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drawings/drawing1.xml" ContentType="application/vnd.openxmlformats-officedocument.drawingml.chartshapes+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3AD4475" w14:textId="700976D0" w:rsidR="00B54D51" w:rsidRPr="00037AD4" w:rsidRDefault="00D04019" w:rsidP="00444CA2">
      <w:pPr>
        <w:jc w:val="center"/>
        <w:rPr>
          <w:rFonts w:asciiTheme="minorHAnsi" w:hAnsiTheme="minorHAnsi" w:cstheme="minorHAnsi"/>
          <w:b/>
          <w:bCs/>
          <w:u w:val="single"/>
        </w:rPr>
      </w:pPr>
      <w:r w:rsidRPr="00037AD4">
        <w:rPr>
          <w:rFonts w:asciiTheme="minorHAnsi" w:hAnsiTheme="minorHAnsi" w:cstheme="minorHAnsi"/>
          <w:noProof/>
          <w:lang w:eastAsia="zh-CN"/>
        </w:rPr>
        <w:drawing>
          <wp:inline distT="0" distB="0" distL="0" distR="0" wp14:anchorId="361FF95B" wp14:editId="03C41AA7">
            <wp:extent cx="2424830" cy="1032151"/>
            <wp:effectExtent l="0" t="0" r="0" b="0"/>
            <wp:docPr id="2" name="Picture 2" descr="Data Science Univers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ta Science Universities"/>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469958" cy="1051360"/>
                    </a:xfrm>
                    <a:prstGeom prst="rect">
                      <a:avLst/>
                    </a:prstGeom>
                    <a:noFill/>
                    <a:ln>
                      <a:noFill/>
                    </a:ln>
                  </pic:spPr>
                </pic:pic>
              </a:graphicData>
            </a:graphic>
          </wp:inline>
        </w:drawing>
      </w:r>
    </w:p>
    <w:p w14:paraId="69282720" w14:textId="77777777" w:rsidR="00B54D51" w:rsidRPr="00037AD4" w:rsidRDefault="00B54D51" w:rsidP="00CA69D6">
      <w:pPr>
        <w:rPr>
          <w:rFonts w:asciiTheme="minorHAnsi" w:hAnsiTheme="minorHAnsi" w:cstheme="minorHAnsi"/>
          <w:b/>
          <w:bCs/>
          <w:u w:val="single"/>
        </w:rPr>
      </w:pPr>
    </w:p>
    <w:p w14:paraId="4471E2AC" w14:textId="77777777" w:rsidR="00B54D51" w:rsidRPr="00037AD4" w:rsidRDefault="00B54D51" w:rsidP="00444CA2">
      <w:pPr>
        <w:jc w:val="center"/>
        <w:rPr>
          <w:rFonts w:asciiTheme="minorHAnsi" w:hAnsiTheme="minorHAnsi" w:cstheme="minorHAnsi"/>
          <w:b/>
          <w:bCs/>
          <w:u w:val="single"/>
        </w:rPr>
      </w:pPr>
    </w:p>
    <w:p w14:paraId="6011B779" w14:textId="77777777" w:rsidR="00B54D51" w:rsidRPr="00037AD4" w:rsidRDefault="00B54D51" w:rsidP="00444CA2">
      <w:pPr>
        <w:jc w:val="center"/>
        <w:rPr>
          <w:rFonts w:asciiTheme="minorHAnsi" w:hAnsiTheme="minorHAnsi" w:cstheme="minorHAnsi"/>
          <w:b/>
          <w:bCs/>
          <w:u w:val="single"/>
        </w:rPr>
      </w:pPr>
    </w:p>
    <w:p w14:paraId="22B898BE" w14:textId="77777777" w:rsidR="00B54D51" w:rsidRPr="00037AD4" w:rsidRDefault="00B54D51" w:rsidP="00444CA2">
      <w:pPr>
        <w:jc w:val="center"/>
        <w:rPr>
          <w:rFonts w:asciiTheme="minorHAnsi" w:hAnsiTheme="minorHAnsi" w:cstheme="minorHAnsi"/>
          <w:b/>
          <w:bCs/>
          <w:u w:val="single"/>
        </w:rPr>
      </w:pPr>
    </w:p>
    <w:p w14:paraId="1EC86733" w14:textId="77777777" w:rsidR="00B54D51" w:rsidRPr="00037AD4" w:rsidRDefault="00B54D51" w:rsidP="00444CA2">
      <w:pPr>
        <w:jc w:val="center"/>
        <w:rPr>
          <w:rFonts w:asciiTheme="minorHAnsi" w:hAnsiTheme="minorHAnsi" w:cstheme="minorHAnsi"/>
          <w:b/>
          <w:bCs/>
          <w:u w:val="single"/>
        </w:rPr>
      </w:pPr>
    </w:p>
    <w:p w14:paraId="092BCF85" w14:textId="77777777" w:rsidR="00B54D51" w:rsidRPr="00037AD4" w:rsidRDefault="00B54D51" w:rsidP="00444CA2">
      <w:pPr>
        <w:jc w:val="center"/>
        <w:rPr>
          <w:rFonts w:asciiTheme="minorHAnsi" w:hAnsiTheme="minorHAnsi" w:cstheme="minorHAnsi"/>
          <w:b/>
          <w:bCs/>
          <w:u w:val="single"/>
        </w:rPr>
      </w:pPr>
      <w:r w:rsidRPr="00037AD4">
        <w:rPr>
          <w:rFonts w:asciiTheme="minorHAnsi" w:hAnsiTheme="minorHAnsi" w:cstheme="minorHAnsi"/>
          <w:b/>
          <w:bCs/>
          <w:noProof/>
          <w:u w:val="single"/>
        </w:rPr>
        <mc:AlternateContent>
          <mc:Choice Requires="wps">
            <w:drawing>
              <wp:anchor distT="0" distB="0" distL="114300" distR="114300" simplePos="0" relativeHeight="251659264" behindDoc="0" locked="0" layoutInCell="1" allowOverlap="1" wp14:anchorId="13C2DB40" wp14:editId="3561F560">
                <wp:simplePos x="0" y="0"/>
                <wp:positionH relativeFrom="column">
                  <wp:posOffset>931941</wp:posOffset>
                </wp:positionH>
                <wp:positionV relativeFrom="paragraph">
                  <wp:posOffset>111446</wp:posOffset>
                </wp:positionV>
                <wp:extent cx="4191754" cy="1176950"/>
                <wp:effectExtent l="25400" t="25400" r="37465" b="42545"/>
                <wp:wrapNone/>
                <wp:docPr id="1" name="Rectangle 1"/>
                <wp:cNvGraphicFramePr/>
                <a:graphic xmlns:a="http://schemas.openxmlformats.org/drawingml/2006/main">
                  <a:graphicData uri="http://schemas.microsoft.com/office/word/2010/wordprocessingShape">
                    <wps:wsp>
                      <wps:cNvSpPr/>
                      <wps:spPr>
                        <a:xfrm>
                          <a:off x="0" y="0"/>
                          <a:ext cx="4191754" cy="1176950"/>
                        </a:xfrm>
                        <a:prstGeom prst="rect">
                          <a:avLst/>
                        </a:prstGeom>
                        <a:ln w="57150" cmpd="dbl">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734BCDEC" w14:textId="7D9BFC82" w:rsidR="00B54D51" w:rsidRDefault="00B54D51" w:rsidP="00CA69D6">
                            <w:pPr>
                              <w:jc w:val="center"/>
                              <w:rPr>
                                <w:rFonts w:asciiTheme="minorHAnsi" w:hAnsiTheme="minorHAnsi"/>
                                <w:b/>
                                <w:bCs/>
                                <w:sz w:val="40"/>
                                <w:szCs w:val="40"/>
                              </w:rPr>
                            </w:pPr>
                            <w:r>
                              <w:rPr>
                                <w:rFonts w:asciiTheme="minorHAnsi" w:hAnsiTheme="minorHAnsi"/>
                                <w:b/>
                                <w:bCs/>
                                <w:sz w:val="40"/>
                                <w:szCs w:val="40"/>
                              </w:rPr>
                              <w:t xml:space="preserve">Health-Related Quality of life </w:t>
                            </w:r>
                            <w:r w:rsidR="00806411">
                              <w:rPr>
                                <w:rFonts w:asciiTheme="minorHAnsi" w:hAnsiTheme="minorHAnsi"/>
                                <w:b/>
                                <w:bCs/>
                                <w:sz w:val="40"/>
                                <w:szCs w:val="40"/>
                              </w:rPr>
                              <w:t>f</w:t>
                            </w:r>
                            <w:r>
                              <w:rPr>
                                <w:rFonts w:asciiTheme="minorHAnsi" w:hAnsiTheme="minorHAnsi"/>
                                <w:b/>
                                <w:bCs/>
                                <w:sz w:val="40"/>
                                <w:szCs w:val="40"/>
                              </w:rPr>
                              <w:t xml:space="preserve">or Economic Evaluation in Dementia: </w:t>
                            </w:r>
                          </w:p>
                          <w:p w14:paraId="3E27DA02" w14:textId="77777777" w:rsidR="00B54D51" w:rsidRPr="00BE09FC" w:rsidRDefault="00B54D51" w:rsidP="00635BCD">
                            <w:pPr>
                              <w:jc w:val="center"/>
                              <w:rPr>
                                <w:i/>
                                <w:iCs/>
                                <w:sz w:val="40"/>
                                <w:szCs w:val="40"/>
                              </w:rPr>
                            </w:pPr>
                            <w:r>
                              <w:rPr>
                                <w:rFonts w:asciiTheme="minorHAnsi" w:hAnsiTheme="minorHAnsi"/>
                                <w:b/>
                                <w:bCs/>
                                <w:i/>
                                <w:iCs/>
                                <w:sz w:val="40"/>
                                <w:szCs w:val="40"/>
                              </w:rPr>
                              <w:t>I</w:t>
                            </w:r>
                            <w:r w:rsidRPr="00BE09FC">
                              <w:rPr>
                                <w:rFonts w:asciiTheme="minorHAnsi" w:hAnsiTheme="minorHAnsi"/>
                                <w:b/>
                                <w:bCs/>
                                <w:i/>
                                <w:iCs/>
                                <w:sz w:val="40"/>
                                <w:szCs w:val="40"/>
                              </w:rPr>
                              <w:t xml:space="preserve">ntegrating </w:t>
                            </w:r>
                            <w:r>
                              <w:rPr>
                                <w:rFonts w:asciiTheme="minorHAnsi" w:hAnsiTheme="minorHAnsi"/>
                                <w:b/>
                                <w:bCs/>
                                <w:i/>
                                <w:iCs/>
                                <w:sz w:val="40"/>
                                <w:szCs w:val="40"/>
                              </w:rPr>
                              <w:t>S</w:t>
                            </w:r>
                            <w:r w:rsidRPr="00BE09FC">
                              <w:rPr>
                                <w:rFonts w:asciiTheme="minorHAnsi" w:hAnsiTheme="minorHAnsi"/>
                                <w:b/>
                                <w:bCs/>
                                <w:i/>
                                <w:iCs/>
                                <w:sz w:val="40"/>
                                <w:szCs w:val="40"/>
                              </w:rPr>
                              <w:t xml:space="preserve">elf and </w:t>
                            </w:r>
                            <w:r>
                              <w:rPr>
                                <w:rFonts w:asciiTheme="minorHAnsi" w:hAnsiTheme="minorHAnsi"/>
                                <w:b/>
                                <w:bCs/>
                                <w:i/>
                                <w:iCs/>
                                <w:sz w:val="40"/>
                                <w:szCs w:val="40"/>
                              </w:rPr>
                              <w:t>P</w:t>
                            </w:r>
                            <w:r w:rsidRPr="00BE09FC">
                              <w:rPr>
                                <w:rFonts w:asciiTheme="minorHAnsi" w:hAnsiTheme="minorHAnsi"/>
                                <w:b/>
                                <w:bCs/>
                                <w:i/>
                                <w:iCs/>
                                <w:sz w:val="40"/>
                                <w:szCs w:val="40"/>
                              </w:rPr>
                              <w:t xml:space="preserve">roxy </w:t>
                            </w:r>
                            <w:r>
                              <w:rPr>
                                <w:rFonts w:asciiTheme="minorHAnsi" w:hAnsiTheme="minorHAnsi"/>
                                <w:b/>
                                <w:bCs/>
                                <w:i/>
                                <w:iCs/>
                                <w:sz w:val="40"/>
                                <w:szCs w:val="40"/>
                              </w:rPr>
                              <w:t>R</w:t>
                            </w:r>
                            <w:r w:rsidRPr="00BE09FC">
                              <w:rPr>
                                <w:rFonts w:asciiTheme="minorHAnsi" w:hAnsiTheme="minorHAnsi"/>
                                <w:b/>
                                <w:bCs/>
                                <w:i/>
                                <w:iCs/>
                                <w:sz w:val="40"/>
                                <w:szCs w:val="40"/>
                              </w:rPr>
                              <w:t>eport</w:t>
                            </w:r>
                            <w:r>
                              <w:rPr>
                                <w:rFonts w:asciiTheme="minorHAnsi" w:hAnsiTheme="minorHAnsi"/>
                                <w:b/>
                                <w:bCs/>
                                <w:i/>
                                <w:iCs/>
                                <w:sz w:val="40"/>
                                <w:szCs w:val="40"/>
                              </w:rPr>
                              <w:t>s</w:t>
                            </w:r>
                            <w:r w:rsidRPr="00BE09FC">
                              <w:rPr>
                                <w:rFonts w:asciiTheme="minorHAnsi" w:hAnsiTheme="minorHAnsi"/>
                                <w:b/>
                                <w:bCs/>
                                <w:i/>
                                <w:iCs/>
                                <w:sz w:val="40"/>
                                <w:szCs w:val="4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3C2DB40" id="Rectangle 1" o:spid="_x0000_s1026" style="position:absolute;left:0;text-align:left;margin-left:73.4pt;margin-top:8.8pt;width:330.05pt;height:92.6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" fillcolor="white [3201]" strokecolor="black [3213]" strokeweight="4.5pt">
                <v:stroke linestyle="thinThin"/>
                <v:textbox>
                  <w:txbxContent>
                    <w:p w14:paraId="734BCDEC" w14:textId="7D9BFC82" w:rsidR="00B54D51" w:rsidRDefault="00B54D51" w:rsidP="00CA69D6">
                      <w:pPr>
                        <w:jc w:val="center"/>
                        <w:rPr>
                          <w:rFonts w:asciiTheme="minorHAnsi" w:hAnsiTheme="minorHAnsi"/>
                          <w:b/>
                          <w:bCs/>
                          <w:sz w:val="40"/>
                          <w:szCs w:val="40"/>
                        </w:rPr>
                      </w:pPr>
                      <w:r>
                        <w:rPr>
                          <w:rFonts w:asciiTheme="minorHAnsi" w:hAnsiTheme="minorHAnsi"/>
                          <w:b/>
                          <w:bCs/>
                          <w:sz w:val="40"/>
                          <w:szCs w:val="40"/>
                        </w:rPr>
                        <w:t xml:space="preserve">Health-Related Quality of life </w:t>
                      </w:r>
                      <w:r w:rsidR="00806411">
                        <w:rPr>
                          <w:rFonts w:asciiTheme="minorHAnsi" w:hAnsiTheme="minorHAnsi"/>
                          <w:b/>
                          <w:bCs/>
                          <w:sz w:val="40"/>
                          <w:szCs w:val="40"/>
                        </w:rPr>
                        <w:t>f</w:t>
                      </w:r>
                      <w:r>
                        <w:rPr>
                          <w:rFonts w:asciiTheme="minorHAnsi" w:hAnsiTheme="minorHAnsi"/>
                          <w:b/>
                          <w:bCs/>
                          <w:sz w:val="40"/>
                          <w:szCs w:val="40"/>
                        </w:rPr>
                        <w:t xml:space="preserve">or Economic Evaluation in Dementia: </w:t>
                      </w:r>
                    </w:p>
                    <w:p w14:paraId="3E27DA02" w14:textId="77777777" w:rsidR="00B54D51" w:rsidRPr="00BE09FC" w:rsidRDefault="00B54D51" w:rsidP="00635BCD">
                      <w:pPr>
                        <w:jc w:val="center"/>
                        <w:rPr>
                          <w:i/>
                          <w:iCs/>
                          <w:sz w:val="40"/>
                          <w:szCs w:val="40"/>
                        </w:rPr>
                      </w:pPr>
                      <w:r>
                        <w:rPr>
                          <w:rFonts w:asciiTheme="minorHAnsi" w:hAnsiTheme="minorHAnsi"/>
                          <w:b/>
                          <w:bCs/>
                          <w:i/>
                          <w:iCs/>
                          <w:sz w:val="40"/>
                          <w:szCs w:val="40"/>
                        </w:rPr>
                        <w:t>I</w:t>
                      </w:r>
                      <w:r w:rsidRPr="00BE09FC">
                        <w:rPr>
                          <w:rFonts w:asciiTheme="minorHAnsi" w:hAnsiTheme="minorHAnsi"/>
                          <w:b/>
                          <w:bCs/>
                          <w:i/>
                          <w:iCs/>
                          <w:sz w:val="40"/>
                          <w:szCs w:val="40"/>
                        </w:rPr>
                        <w:t xml:space="preserve">ntegrating </w:t>
                      </w:r>
                      <w:r>
                        <w:rPr>
                          <w:rFonts w:asciiTheme="minorHAnsi" w:hAnsiTheme="minorHAnsi"/>
                          <w:b/>
                          <w:bCs/>
                          <w:i/>
                          <w:iCs/>
                          <w:sz w:val="40"/>
                          <w:szCs w:val="40"/>
                        </w:rPr>
                        <w:t>S</w:t>
                      </w:r>
                      <w:r w:rsidRPr="00BE09FC">
                        <w:rPr>
                          <w:rFonts w:asciiTheme="minorHAnsi" w:hAnsiTheme="minorHAnsi"/>
                          <w:b/>
                          <w:bCs/>
                          <w:i/>
                          <w:iCs/>
                          <w:sz w:val="40"/>
                          <w:szCs w:val="40"/>
                        </w:rPr>
                        <w:t xml:space="preserve">elf and </w:t>
                      </w:r>
                      <w:r>
                        <w:rPr>
                          <w:rFonts w:asciiTheme="minorHAnsi" w:hAnsiTheme="minorHAnsi"/>
                          <w:b/>
                          <w:bCs/>
                          <w:i/>
                          <w:iCs/>
                          <w:sz w:val="40"/>
                          <w:szCs w:val="40"/>
                        </w:rPr>
                        <w:t>P</w:t>
                      </w:r>
                      <w:r w:rsidRPr="00BE09FC">
                        <w:rPr>
                          <w:rFonts w:asciiTheme="minorHAnsi" w:hAnsiTheme="minorHAnsi"/>
                          <w:b/>
                          <w:bCs/>
                          <w:i/>
                          <w:iCs/>
                          <w:sz w:val="40"/>
                          <w:szCs w:val="40"/>
                        </w:rPr>
                        <w:t xml:space="preserve">roxy </w:t>
                      </w:r>
                      <w:r>
                        <w:rPr>
                          <w:rFonts w:asciiTheme="minorHAnsi" w:hAnsiTheme="minorHAnsi"/>
                          <w:b/>
                          <w:bCs/>
                          <w:i/>
                          <w:iCs/>
                          <w:sz w:val="40"/>
                          <w:szCs w:val="40"/>
                        </w:rPr>
                        <w:t>R</w:t>
                      </w:r>
                      <w:r w:rsidRPr="00BE09FC">
                        <w:rPr>
                          <w:rFonts w:asciiTheme="minorHAnsi" w:hAnsiTheme="minorHAnsi"/>
                          <w:b/>
                          <w:bCs/>
                          <w:i/>
                          <w:iCs/>
                          <w:sz w:val="40"/>
                          <w:szCs w:val="40"/>
                        </w:rPr>
                        <w:t>eport</w:t>
                      </w:r>
                      <w:r>
                        <w:rPr>
                          <w:rFonts w:asciiTheme="minorHAnsi" w:hAnsiTheme="minorHAnsi"/>
                          <w:b/>
                          <w:bCs/>
                          <w:i/>
                          <w:iCs/>
                          <w:sz w:val="40"/>
                          <w:szCs w:val="40"/>
                        </w:rPr>
                        <w:t>s</w:t>
                      </w:r>
                      <w:r w:rsidRPr="00BE09FC">
                        <w:rPr>
                          <w:rFonts w:asciiTheme="minorHAnsi" w:hAnsiTheme="minorHAnsi"/>
                          <w:b/>
                          <w:bCs/>
                          <w:i/>
                          <w:iCs/>
                          <w:sz w:val="40"/>
                          <w:szCs w:val="40"/>
                        </w:rPr>
                        <w:t xml:space="preserve"> </w:t>
                      </w:r>
                    </w:p>
                  </w:txbxContent>
                </v:textbox>
              </v:rect>
            </w:pict>
          </mc:Fallback>
        </mc:AlternateContent>
      </w:r>
    </w:p>
    <w:p w14:paraId="70C4D96F" w14:textId="77777777" w:rsidR="00B54D51" w:rsidRPr="00037AD4" w:rsidRDefault="00B54D51" w:rsidP="00444CA2">
      <w:pPr>
        <w:jc w:val="center"/>
        <w:rPr>
          <w:rFonts w:asciiTheme="minorHAnsi" w:hAnsiTheme="minorHAnsi" w:cstheme="minorHAnsi"/>
          <w:b/>
          <w:bCs/>
          <w:u w:val="single"/>
        </w:rPr>
      </w:pPr>
    </w:p>
    <w:p w14:paraId="4AD67966" w14:textId="77777777" w:rsidR="00B54D51" w:rsidRPr="00037AD4" w:rsidRDefault="00B54D51" w:rsidP="00444CA2">
      <w:pPr>
        <w:jc w:val="center"/>
        <w:rPr>
          <w:rFonts w:asciiTheme="minorHAnsi" w:hAnsiTheme="minorHAnsi" w:cstheme="minorHAnsi"/>
          <w:b/>
          <w:bCs/>
          <w:u w:val="single"/>
        </w:rPr>
      </w:pPr>
    </w:p>
    <w:p w14:paraId="20FC247C" w14:textId="77777777" w:rsidR="00B54D51" w:rsidRPr="00037AD4" w:rsidRDefault="00B54D51" w:rsidP="00444CA2">
      <w:pPr>
        <w:jc w:val="center"/>
        <w:rPr>
          <w:rFonts w:asciiTheme="minorHAnsi" w:hAnsiTheme="minorHAnsi" w:cstheme="minorHAnsi"/>
          <w:b/>
          <w:bCs/>
          <w:u w:val="single"/>
        </w:rPr>
      </w:pPr>
    </w:p>
    <w:p w14:paraId="04106824" w14:textId="77777777" w:rsidR="00B54D51" w:rsidRPr="00037AD4" w:rsidRDefault="00B54D51" w:rsidP="00444CA2">
      <w:pPr>
        <w:jc w:val="center"/>
        <w:rPr>
          <w:rFonts w:asciiTheme="minorHAnsi" w:hAnsiTheme="minorHAnsi" w:cstheme="minorHAnsi"/>
          <w:b/>
          <w:bCs/>
          <w:u w:val="single"/>
        </w:rPr>
      </w:pPr>
    </w:p>
    <w:p w14:paraId="0477DE4F" w14:textId="77777777" w:rsidR="00B54D51" w:rsidRPr="00037AD4" w:rsidRDefault="00B54D51" w:rsidP="00444CA2">
      <w:pPr>
        <w:jc w:val="center"/>
        <w:rPr>
          <w:rFonts w:asciiTheme="minorHAnsi" w:hAnsiTheme="minorHAnsi" w:cstheme="minorHAnsi"/>
          <w:b/>
          <w:bCs/>
          <w:u w:val="single"/>
        </w:rPr>
      </w:pPr>
    </w:p>
    <w:p w14:paraId="05983D24" w14:textId="77777777" w:rsidR="00B54D51" w:rsidRPr="00037AD4" w:rsidRDefault="00B54D51" w:rsidP="00444CA2">
      <w:pPr>
        <w:jc w:val="center"/>
        <w:rPr>
          <w:rFonts w:asciiTheme="minorHAnsi" w:hAnsiTheme="minorHAnsi" w:cstheme="minorHAnsi"/>
          <w:b/>
          <w:bCs/>
        </w:rPr>
      </w:pPr>
    </w:p>
    <w:p w14:paraId="3C6E49A6" w14:textId="77777777" w:rsidR="00B54D51" w:rsidRPr="00037AD4" w:rsidRDefault="00B54D51" w:rsidP="00444CA2">
      <w:pPr>
        <w:jc w:val="center"/>
        <w:rPr>
          <w:rFonts w:asciiTheme="minorHAnsi" w:hAnsiTheme="minorHAnsi" w:cstheme="minorHAnsi"/>
          <w:b/>
          <w:bCs/>
        </w:rPr>
      </w:pPr>
    </w:p>
    <w:p w14:paraId="6E0C284A" w14:textId="77777777" w:rsidR="00B54D51" w:rsidRPr="00037AD4" w:rsidRDefault="00B54D51" w:rsidP="00444CA2">
      <w:pPr>
        <w:jc w:val="center"/>
        <w:rPr>
          <w:rFonts w:asciiTheme="minorHAnsi" w:hAnsiTheme="minorHAnsi" w:cstheme="minorHAnsi"/>
          <w:b/>
          <w:bCs/>
        </w:rPr>
      </w:pPr>
    </w:p>
    <w:p w14:paraId="6372878E" w14:textId="77777777" w:rsidR="00B54D51" w:rsidRPr="00037AD4" w:rsidRDefault="00B54D51" w:rsidP="00444CA2">
      <w:pPr>
        <w:jc w:val="center"/>
        <w:rPr>
          <w:rFonts w:asciiTheme="minorHAnsi" w:hAnsiTheme="minorHAnsi" w:cstheme="minorHAnsi"/>
          <w:b/>
          <w:bCs/>
        </w:rPr>
      </w:pPr>
    </w:p>
    <w:p w14:paraId="3BC74959" w14:textId="77777777" w:rsidR="00B54D51" w:rsidRPr="00037AD4" w:rsidRDefault="00B54D51" w:rsidP="00444CA2">
      <w:pPr>
        <w:jc w:val="center"/>
        <w:rPr>
          <w:rFonts w:asciiTheme="minorHAnsi" w:hAnsiTheme="minorHAnsi" w:cstheme="minorHAnsi"/>
          <w:sz w:val="28"/>
          <w:szCs w:val="28"/>
        </w:rPr>
      </w:pPr>
      <w:r w:rsidRPr="00037AD4">
        <w:rPr>
          <w:rFonts w:asciiTheme="minorHAnsi" w:hAnsiTheme="minorHAnsi" w:cstheme="minorHAnsi"/>
          <w:sz w:val="28"/>
          <w:szCs w:val="28"/>
        </w:rPr>
        <w:t xml:space="preserve">By: </w:t>
      </w:r>
    </w:p>
    <w:p w14:paraId="6755B159" w14:textId="77777777" w:rsidR="00B54D51" w:rsidRPr="00037AD4" w:rsidRDefault="00B54D51" w:rsidP="00444CA2">
      <w:pPr>
        <w:jc w:val="center"/>
        <w:rPr>
          <w:rFonts w:asciiTheme="minorHAnsi" w:hAnsiTheme="minorHAnsi" w:cstheme="minorHAnsi"/>
          <w:sz w:val="28"/>
          <w:szCs w:val="28"/>
        </w:rPr>
      </w:pPr>
      <w:r w:rsidRPr="00037AD4">
        <w:rPr>
          <w:rFonts w:asciiTheme="minorHAnsi" w:hAnsiTheme="minorHAnsi" w:cstheme="minorHAnsi"/>
          <w:sz w:val="28"/>
          <w:szCs w:val="28"/>
        </w:rPr>
        <w:t xml:space="preserve">Hannah Hussain </w:t>
      </w:r>
    </w:p>
    <w:p w14:paraId="5D819140" w14:textId="77777777" w:rsidR="00B54D51" w:rsidRPr="00037AD4" w:rsidRDefault="00B54D51" w:rsidP="00444CA2">
      <w:pPr>
        <w:jc w:val="center"/>
        <w:rPr>
          <w:rFonts w:asciiTheme="minorHAnsi" w:hAnsiTheme="minorHAnsi" w:cstheme="minorHAnsi"/>
          <w:sz w:val="28"/>
          <w:szCs w:val="28"/>
        </w:rPr>
      </w:pPr>
    </w:p>
    <w:p w14:paraId="1A361C31" w14:textId="77777777" w:rsidR="00806411" w:rsidRDefault="00B54D51" w:rsidP="00444CA2">
      <w:pPr>
        <w:jc w:val="center"/>
        <w:rPr>
          <w:rFonts w:asciiTheme="minorHAnsi" w:hAnsiTheme="minorHAnsi" w:cstheme="minorHAnsi"/>
          <w:sz w:val="28"/>
          <w:szCs w:val="28"/>
        </w:rPr>
      </w:pPr>
      <w:r w:rsidRPr="00037AD4">
        <w:rPr>
          <w:rFonts w:asciiTheme="minorHAnsi" w:hAnsiTheme="minorHAnsi" w:cstheme="minorHAnsi"/>
          <w:sz w:val="28"/>
          <w:szCs w:val="28"/>
        </w:rPr>
        <w:t xml:space="preserve">A thesis submitted to The University of Sheffield for the degree of </w:t>
      </w:r>
    </w:p>
    <w:p w14:paraId="4EAE2FFF" w14:textId="36D4BBD1" w:rsidR="00B54D51" w:rsidRPr="00037AD4" w:rsidRDefault="00B54D51" w:rsidP="00444CA2">
      <w:pPr>
        <w:jc w:val="center"/>
        <w:rPr>
          <w:rFonts w:asciiTheme="minorHAnsi" w:hAnsiTheme="minorHAnsi" w:cstheme="minorHAnsi"/>
          <w:sz w:val="28"/>
          <w:szCs w:val="28"/>
        </w:rPr>
      </w:pPr>
      <w:r w:rsidRPr="00037AD4">
        <w:rPr>
          <w:rFonts w:asciiTheme="minorHAnsi" w:hAnsiTheme="minorHAnsi" w:cstheme="minorHAnsi"/>
          <w:sz w:val="28"/>
          <w:szCs w:val="28"/>
        </w:rPr>
        <w:t xml:space="preserve">Doctor of Philosophy (PhD) </w:t>
      </w:r>
    </w:p>
    <w:p w14:paraId="0B742B1F" w14:textId="77777777" w:rsidR="00B54D51" w:rsidRPr="00037AD4" w:rsidRDefault="00B54D51" w:rsidP="00444CA2">
      <w:pPr>
        <w:jc w:val="center"/>
        <w:rPr>
          <w:rFonts w:asciiTheme="minorHAnsi" w:hAnsiTheme="minorHAnsi" w:cstheme="minorHAnsi"/>
          <w:b/>
          <w:bCs/>
          <w:sz w:val="28"/>
          <w:szCs w:val="28"/>
        </w:rPr>
      </w:pPr>
    </w:p>
    <w:p w14:paraId="02A703CE" w14:textId="77777777" w:rsidR="00B54D51" w:rsidRPr="00037AD4" w:rsidRDefault="00B54D51" w:rsidP="00444CA2">
      <w:pPr>
        <w:jc w:val="center"/>
        <w:rPr>
          <w:rFonts w:asciiTheme="minorHAnsi" w:hAnsiTheme="minorHAnsi" w:cstheme="minorHAnsi"/>
        </w:rPr>
      </w:pPr>
    </w:p>
    <w:p w14:paraId="5C49AA82" w14:textId="77777777" w:rsidR="00B54D51" w:rsidRPr="00037AD4" w:rsidRDefault="00B54D51" w:rsidP="00444CA2">
      <w:pPr>
        <w:jc w:val="center"/>
        <w:rPr>
          <w:rFonts w:asciiTheme="minorHAnsi" w:hAnsiTheme="minorHAnsi" w:cstheme="minorHAnsi"/>
          <w:b/>
          <w:bCs/>
          <w:sz w:val="28"/>
          <w:szCs w:val="28"/>
        </w:rPr>
      </w:pPr>
    </w:p>
    <w:p w14:paraId="111F31AC" w14:textId="77777777" w:rsidR="00B54D51" w:rsidRPr="00037AD4" w:rsidRDefault="00B54D51" w:rsidP="00444CA2">
      <w:pPr>
        <w:jc w:val="center"/>
        <w:rPr>
          <w:rFonts w:asciiTheme="minorHAnsi" w:hAnsiTheme="minorHAnsi" w:cstheme="minorHAnsi"/>
          <w:b/>
          <w:bCs/>
          <w:sz w:val="28"/>
          <w:szCs w:val="28"/>
        </w:rPr>
      </w:pPr>
    </w:p>
    <w:p w14:paraId="74C141F0" w14:textId="77777777" w:rsidR="00B54D51" w:rsidRPr="00037AD4" w:rsidRDefault="00B54D51" w:rsidP="0006567E">
      <w:pPr>
        <w:jc w:val="center"/>
        <w:rPr>
          <w:rFonts w:asciiTheme="minorHAnsi" w:hAnsiTheme="minorHAnsi" w:cstheme="minorHAnsi"/>
          <w:sz w:val="28"/>
          <w:szCs w:val="28"/>
        </w:rPr>
      </w:pPr>
    </w:p>
    <w:p w14:paraId="350B85B4" w14:textId="77777777" w:rsidR="00B54D51" w:rsidRPr="00037AD4" w:rsidRDefault="00B54D51" w:rsidP="0006567E">
      <w:pPr>
        <w:jc w:val="center"/>
        <w:rPr>
          <w:rFonts w:asciiTheme="minorHAnsi" w:hAnsiTheme="minorHAnsi" w:cstheme="minorHAnsi"/>
          <w:sz w:val="28"/>
          <w:szCs w:val="28"/>
        </w:rPr>
      </w:pPr>
      <w:r w:rsidRPr="00037AD4">
        <w:rPr>
          <w:rFonts w:asciiTheme="minorHAnsi" w:hAnsiTheme="minorHAnsi" w:cstheme="minorHAnsi"/>
          <w:sz w:val="28"/>
          <w:szCs w:val="28"/>
        </w:rPr>
        <w:t xml:space="preserve">Date of submission: April 2024 </w:t>
      </w:r>
    </w:p>
    <w:p w14:paraId="16152B6D" w14:textId="77777777" w:rsidR="00B54D51" w:rsidRPr="00037AD4" w:rsidRDefault="00B54D51" w:rsidP="0006567E">
      <w:pPr>
        <w:jc w:val="center"/>
        <w:rPr>
          <w:rFonts w:asciiTheme="minorHAnsi" w:hAnsiTheme="minorHAnsi" w:cstheme="minorHAnsi"/>
          <w:sz w:val="28"/>
          <w:szCs w:val="28"/>
        </w:rPr>
      </w:pPr>
    </w:p>
    <w:p w14:paraId="452FB0B1" w14:textId="77777777" w:rsidR="00B54D51" w:rsidRPr="00037AD4" w:rsidRDefault="00B54D51" w:rsidP="0006567E">
      <w:pPr>
        <w:jc w:val="center"/>
        <w:rPr>
          <w:rFonts w:asciiTheme="minorHAnsi" w:hAnsiTheme="minorHAnsi" w:cstheme="minorHAnsi"/>
          <w:sz w:val="28"/>
          <w:szCs w:val="28"/>
        </w:rPr>
      </w:pPr>
    </w:p>
    <w:p w14:paraId="519A43B3" w14:textId="77777777" w:rsidR="00B54D51" w:rsidRPr="00037AD4" w:rsidRDefault="00B54D51" w:rsidP="0006567E">
      <w:pPr>
        <w:jc w:val="center"/>
        <w:rPr>
          <w:rFonts w:asciiTheme="minorHAnsi" w:hAnsiTheme="minorHAnsi" w:cstheme="minorHAnsi"/>
          <w:sz w:val="28"/>
          <w:szCs w:val="28"/>
        </w:rPr>
      </w:pPr>
    </w:p>
    <w:p w14:paraId="26241C38" w14:textId="77777777" w:rsidR="00B54D51" w:rsidRPr="00037AD4" w:rsidRDefault="00B54D51" w:rsidP="0006567E">
      <w:pPr>
        <w:jc w:val="center"/>
        <w:rPr>
          <w:rFonts w:asciiTheme="minorHAnsi" w:hAnsiTheme="minorHAnsi" w:cstheme="minorHAnsi"/>
          <w:sz w:val="28"/>
          <w:szCs w:val="28"/>
        </w:rPr>
      </w:pPr>
    </w:p>
    <w:p w14:paraId="525B634A" w14:textId="77777777" w:rsidR="00B54D51" w:rsidRPr="00037AD4" w:rsidRDefault="00B54D51" w:rsidP="0006567E">
      <w:pPr>
        <w:jc w:val="center"/>
        <w:rPr>
          <w:rFonts w:asciiTheme="minorHAnsi" w:hAnsiTheme="minorHAnsi" w:cstheme="minorHAnsi"/>
          <w:sz w:val="28"/>
          <w:szCs w:val="28"/>
        </w:rPr>
      </w:pPr>
    </w:p>
    <w:p w14:paraId="16FCEAA6" w14:textId="77777777" w:rsidR="00B54D51" w:rsidRPr="00037AD4" w:rsidRDefault="00B54D51" w:rsidP="0006567E">
      <w:pPr>
        <w:jc w:val="center"/>
        <w:rPr>
          <w:rFonts w:asciiTheme="minorHAnsi" w:hAnsiTheme="minorHAnsi" w:cstheme="minorHAnsi"/>
          <w:sz w:val="28"/>
          <w:szCs w:val="28"/>
        </w:rPr>
      </w:pPr>
      <w:r w:rsidRPr="00037AD4">
        <w:rPr>
          <w:rFonts w:asciiTheme="minorHAnsi" w:hAnsiTheme="minorHAnsi" w:cstheme="minorHAnsi"/>
          <w:sz w:val="28"/>
          <w:szCs w:val="28"/>
        </w:rPr>
        <w:t>The University of Sheffield</w:t>
      </w:r>
    </w:p>
    <w:p w14:paraId="7FC290D5" w14:textId="77777777" w:rsidR="00B54D51" w:rsidRPr="00037AD4" w:rsidRDefault="00B54D51" w:rsidP="005A4070">
      <w:pPr>
        <w:jc w:val="center"/>
        <w:rPr>
          <w:rFonts w:asciiTheme="minorHAnsi" w:hAnsiTheme="minorHAnsi" w:cstheme="minorHAnsi"/>
          <w:sz w:val="28"/>
          <w:szCs w:val="28"/>
        </w:rPr>
      </w:pPr>
      <w:r w:rsidRPr="00037AD4">
        <w:rPr>
          <w:rFonts w:asciiTheme="minorHAnsi" w:hAnsiTheme="minorHAnsi" w:cstheme="minorHAnsi"/>
          <w:sz w:val="28"/>
          <w:szCs w:val="28"/>
        </w:rPr>
        <w:t>Faculty of Health</w:t>
      </w:r>
    </w:p>
    <w:p w14:paraId="663B33DD" w14:textId="77777777" w:rsidR="00B54D51" w:rsidRPr="00037AD4" w:rsidRDefault="00B54D51" w:rsidP="005A4070">
      <w:pPr>
        <w:jc w:val="center"/>
        <w:rPr>
          <w:rFonts w:asciiTheme="minorHAnsi" w:hAnsiTheme="minorHAnsi" w:cstheme="minorHAnsi"/>
          <w:sz w:val="28"/>
          <w:szCs w:val="28"/>
        </w:rPr>
      </w:pPr>
      <w:r w:rsidRPr="00037AD4">
        <w:rPr>
          <w:rFonts w:asciiTheme="minorHAnsi" w:hAnsiTheme="minorHAnsi" w:cstheme="minorHAnsi"/>
          <w:sz w:val="28"/>
          <w:szCs w:val="28"/>
        </w:rPr>
        <w:t xml:space="preserve">School of Medicine and Population Health  </w:t>
      </w:r>
      <w:r w:rsidRPr="00037AD4">
        <w:rPr>
          <w:rFonts w:asciiTheme="minorHAnsi" w:hAnsiTheme="minorHAnsi" w:cstheme="minorHAnsi"/>
          <w:sz w:val="28"/>
          <w:szCs w:val="28"/>
        </w:rPr>
        <w:br/>
        <w:t>Sheffield Centre for Health and Related Research</w:t>
      </w:r>
    </w:p>
    <w:p w14:paraId="08418220" w14:textId="77777777" w:rsidR="00B54D51" w:rsidRPr="00037AD4" w:rsidRDefault="00B54D51" w:rsidP="00CA13CC">
      <w:pPr>
        <w:rPr>
          <w:rFonts w:asciiTheme="minorHAnsi" w:hAnsiTheme="minorHAnsi" w:cstheme="minorHAnsi"/>
          <w:sz w:val="28"/>
          <w:szCs w:val="28"/>
        </w:rPr>
        <w:sectPr w:rsidR="00B54D51" w:rsidRPr="00037AD4" w:rsidSect="0051675A">
          <w:headerReference w:type="default" r:id="rId9"/>
          <w:footerReference w:type="even" r:id="rId10"/>
          <w:footerReference w:type="default" r:id="rId11"/>
          <w:pgSz w:w="11906" w:h="16838"/>
          <w:pgMar w:top="1440" w:right="1440" w:bottom="1440" w:left="1440" w:header="708" w:footer="708" w:gutter="0"/>
          <w:cols w:space="708"/>
          <w:docGrid w:linePitch="360"/>
        </w:sectPr>
      </w:pPr>
    </w:p>
    <w:p w14:paraId="5429BB1F" w14:textId="77777777" w:rsidR="00B54D51" w:rsidRPr="00037AD4" w:rsidRDefault="00B54D51" w:rsidP="00750DD2">
      <w:pPr>
        <w:pStyle w:val="Heading2"/>
        <w:jc w:val="center"/>
        <w:rPr>
          <w:b w:val="0"/>
        </w:rPr>
      </w:pPr>
      <w:bookmarkStart w:id="0" w:name="_Toc175742243"/>
      <w:r w:rsidRPr="00037AD4">
        <w:lastRenderedPageBreak/>
        <w:t>Abstract</w:t>
      </w:r>
      <w:bookmarkEnd w:id="0"/>
    </w:p>
    <w:p w14:paraId="5FFC88A0" w14:textId="77777777" w:rsidR="00B54D51" w:rsidRPr="00037AD4" w:rsidRDefault="00B54D51" w:rsidP="00CA13CC">
      <w:pPr>
        <w:jc w:val="center"/>
        <w:rPr>
          <w:rFonts w:asciiTheme="minorHAnsi" w:hAnsiTheme="minorHAnsi" w:cstheme="minorHAnsi"/>
        </w:rPr>
      </w:pPr>
    </w:p>
    <w:p w14:paraId="76123F55" w14:textId="77777777" w:rsidR="00B54D51" w:rsidRPr="00037AD4" w:rsidRDefault="00B54D51" w:rsidP="00177BE2">
      <w:pPr>
        <w:rPr>
          <w:rFonts w:asciiTheme="minorHAnsi" w:hAnsiTheme="minorHAnsi" w:cstheme="minorHAnsi"/>
        </w:rPr>
      </w:pPr>
      <w:r w:rsidRPr="00037AD4">
        <w:rPr>
          <w:rFonts w:asciiTheme="minorHAnsi" w:hAnsiTheme="minorHAnsi" w:cstheme="minorHAnsi"/>
        </w:rPr>
        <w:t>Dementia is a neurodegenerative condition that mostly affects older adults. Given the inevitably ageing population and limited health care resources, the need for reliable and cost-effective dementia interventions are an increasingly important health and social care challenge. As dementia progresses, people with dementia face specific challenges associated with cognitive deterioration which can result in difficulties with self-reporting health status, meaning that, often, there is an increased reliance upon proxy (i.e., formal or informal caregiver) reports for health-related quality of life (HRQoL) assessments. We know that self-report and proxy report often result in different assessments of the health of a person with dementia (PwD), but it is less clear which of the reports is most suitable, whether this differs according to the stage of dementia, or if some combination of the two should be used. Ultimately, these reports are used in assessments of cost effectiveness of heath technologies which in turn are used to inform pricing and policy decisions. Recognised discrepancies between PwD and proxy reports highlight the need for an integrated approach in estimating QALYs for dementia populations.</w:t>
      </w:r>
    </w:p>
    <w:p w14:paraId="35149E95" w14:textId="77777777" w:rsidR="00B54D51" w:rsidRPr="00037AD4" w:rsidRDefault="00B54D51" w:rsidP="00CA13CC">
      <w:pPr>
        <w:rPr>
          <w:rFonts w:asciiTheme="minorHAnsi" w:hAnsiTheme="minorHAnsi" w:cstheme="minorHAnsi"/>
        </w:rPr>
      </w:pPr>
    </w:p>
    <w:p w14:paraId="731499F6" w14:textId="77777777" w:rsidR="00B54D51" w:rsidRPr="00037AD4" w:rsidRDefault="00B54D51" w:rsidP="00CA13CC">
      <w:pPr>
        <w:rPr>
          <w:rFonts w:asciiTheme="minorHAnsi" w:hAnsiTheme="minorHAnsi" w:cstheme="minorHAnsi"/>
          <w:color w:val="0D0D0D"/>
          <w:shd w:val="clear" w:color="auto" w:fill="FFFFFF"/>
        </w:rPr>
      </w:pPr>
      <w:r w:rsidRPr="00037AD4">
        <w:rPr>
          <w:rFonts w:asciiTheme="minorHAnsi" w:hAnsiTheme="minorHAnsi" w:cstheme="minorHAnsi"/>
        </w:rPr>
        <w:t>This thesis aims to analyse differences between HRQoL reports from the PwD and their proxy, with the overarching goal of determining which respondent’s data are optimal for utility score estimations. The thesis includes a review of existing evidence on self and proxy HRQoL assessment, aiming to define the key principles already established in this field. A systematic review is undertaken to assess the psychometric properties of EQ-5D-5L in the context of dementia, aiming to build upon prior findings suggesting the suitability of EQ-5D for dementia evaluation, albeit primarily based on EQ-5D-3L data. Additionally, dementia symptom measures are identified, and a systematic review uses the identified measures to assess convergent validity by contrasting them with EQ-5D's dimensions. The established relationships are used in subsequent analysis chapters. Three distinct dementia trial datasets that collected both PwD and proxy-reported EQ-5D are analysed through psychometric techniques to determine the optimal source of dimension-level data for utility estimations. Additionally, response mapping methods are applied t</w:t>
      </w:r>
      <w:r w:rsidRPr="00037AD4">
        <w:rPr>
          <w:rFonts w:asciiTheme="minorHAnsi" w:hAnsiTheme="minorHAnsi" w:cstheme="minorHAnsi"/>
          <w:color w:val="0D0D0D"/>
          <w:shd w:val="clear" w:color="auto" w:fill="FFFFFF"/>
        </w:rPr>
        <w:t xml:space="preserve">o predict either respondent's data in scenarios where their reports are unavailable. </w:t>
      </w:r>
    </w:p>
    <w:p w14:paraId="7863586B" w14:textId="77777777" w:rsidR="00B54D51" w:rsidRPr="00037AD4" w:rsidRDefault="00B54D51" w:rsidP="00CA13CC">
      <w:pPr>
        <w:rPr>
          <w:rFonts w:asciiTheme="minorHAnsi" w:hAnsiTheme="minorHAnsi" w:cstheme="minorHAnsi"/>
        </w:rPr>
      </w:pPr>
    </w:p>
    <w:p w14:paraId="1643EA00" w14:textId="77777777" w:rsidR="00B54D51" w:rsidRPr="00037AD4" w:rsidRDefault="00B54D51" w:rsidP="006202C2">
      <w:pPr>
        <w:rPr>
          <w:rFonts w:asciiTheme="minorHAnsi" w:hAnsiTheme="minorHAnsi" w:cstheme="minorHAnsi"/>
        </w:rPr>
      </w:pPr>
      <w:r w:rsidRPr="00037AD4">
        <w:rPr>
          <w:rFonts w:asciiTheme="minorHAnsi" w:hAnsiTheme="minorHAnsi" w:cstheme="minorHAnsi"/>
        </w:rPr>
        <w:t xml:space="preserve">Key findings can inform data collection decisions and methodologies for future dementia studies. Patient and public involvement and engagement exercises (PPIE) conducted during the PhD reveal challenges associated with reporting specific EQ-5D dimensions, mirroring the subsequent data analysis findings, which demonstrate floor/ceiling effects and missing observations. Proxy reports are found to closely align with symptom measure scores, particularly for "observable" dimensions such as "mobility" and "self-care". Psychometric analyses suggest that these dimensions are best reported by proxies. However, there is insufficient evidence to deviate from PwD reports for the more "non-observable", personally experienced EQ-5D dimensions. Therefore, the evidence suggests that the ideal source for reporting HRQoL for people with dementia may be a combination of PwD and proxy reported EQ-5D dimensions. </w:t>
      </w:r>
    </w:p>
    <w:p w14:paraId="4674AF7B" w14:textId="77777777" w:rsidR="00B54D51" w:rsidRPr="00037AD4" w:rsidRDefault="00B54D51" w:rsidP="00CA13CC">
      <w:pPr>
        <w:rPr>
          <w:rFonts w:asciiTheme="minorHAnsi" w:hAnsiTheme="minorHAnsi" w:cstheme="minorHAnsi"/>
        </w:rPr>
      </w:pPr>
    </w:p>
    <w:p w14:paraId="057CE558" w14:textId="77777777" w:rsidR="00B54D51" w:rsidRPr="00037AD4" w:rsidRDefault="00B54D51" w:rsidP="00EB329C">
      <w:pPr>
        <w:rPr>
          <w:rFonts w:asciiTheme="minorHAnsi" w:hAnsiTheme="minorHAnsi" w:cstheme="minorHAnsi"/>
        </w:rPr>
      </w:pPr>
      <w:r w:rsidRPr="00037AD4">
        <w:rPr>
          <w:rFonts w:asciiTheme="minorHAnsi" w:hAnsiTheme="minorHAnsi" w:cstheme="minorHAnsi"/>
        </w:rPr>
        <w:t xml:space="preserve">In many clinical studies, EQ-5D responses are only obtained from either the PwD or the proxy. Statistical mapping methods are applied to PwD and proxy data by EQ-5D dimension to allow analysts to estimate the full target EQ-5D in such situations. This approach </w:t>
      </w:r>
      <w:r w:rsidRPr="00037AD4">
        <w:rPr>
          <w:rFonts w:asciiTheme="minorHAnsi" w:hAnsiTheme="minorHAnsi" w:cstheme="minorHAnsi"/>
        </w:rPr>
        <w:lastRenderedPageBreak/>
        <w:t xml:space="preserve">potentially offers a more accurate reflection of dementia experience by integrating both respondent’s reports when estimating HRQoL scores. </w:t>
      </w:r>
    </w:p>
    <w:p w14:paraId="23770469" w14:textId="77777777" w:rsidR="00B54D51" w:rsidRPr="00037AD4" w:rsidRDefault="00B54D51" w:rsidP="00CA13CC">
      <w:pPr>
        <w:rPr>
          <w:rFonts w:asciiTheme="minorHAnsi" w:hAnsiTheme="minorHAnsi" w:cstheme="minorHAnsi"/>
        </w:rPr>
      </w:pPr>
    </w:p>
    <w:p w14:paraId="27F106C3" w14:textId="77777777" w:rsidR="00B54D51" w:rsidRPr="00037AD4" w:rsidRDefault="00B54D51" w:rsidP="00CA13CC">
      <w:pPr>
        <w:rPr>
          <w:rFonts w:asciiTheme="minorHAnsi" w:hAnsiTheme="minorHAnsi" w:cstheme="minorHAnsi"/>
        </w:rPr>
      </w:pPr>
      <w:r w:rsidRPr="00037AD4">
        <w:rPr>
          <w:rFonts w:asciiTheme="minorHAnsi" w:hAnsiTheme="minorHAnsi" w:cstheme="minorHAnsi"/>
        </w:rPr>
        <w:t>The findings also highlight the importance of considering the type of proxy in different residential settings. Staff proxies are deemed more favourable for institutionalised dementia populations. Pragmatic aspects such as instrument administration are appraised for optimising data quality and usability for analyses. This thesis makes a novel contribution to understanding the complexities of HRQoL assessment in dementia populations for use in economic evaluations. A methodologically robust way to integrate PwD and proxy reports via statistical mapping is identified which provides a more comprehensive perspective and a mechanism to overcoming the PwD-proxy gap. This approach provides a valuable tool for future researchers in navigating the challenges inherent in HRQoL research in the context of dementia.</w:t>
      </w:r>
    </w:p>
    <w:p w14:paraId="649D3FC7" w14:textId="77777777" w:rsidR="00B54D51" w:rsidRPr="00037AD4" w:rsidRDefault="00B54D51" w:rsidP="00CA13CC">
      <w:pPr>
        <w:rPr>
          <w:rFonts w:asciiTheme="minorHAnsi" w:hAnsiTheme="minorHAnsi" w:cstheme="minorHAnsi"/>
          <w:b/>
          <w:bCs/>
          <w:u w:val="single"/>
        </w:rPr>
      </w:pPr>
    </w:p>
    <w:p w14:paraId="7FA4A66E" w14:textId="77777777" w:rsidR="00B54D51" w:rsidRPr="00037AD4" w:rsidRDefault="00B54D51" w:rsidP="00CA13CC">
      <w:pPr>
        <w:rPr>
          <w:rFonts w:asciiTheme="minorHAnsi" w:hAnsiTheme="minorHAnsi" w:cstheme="minorHAnsi"/>
          <w:b/>
          <w:bCs/>
          <w:u w:val="single"/>
        </w:rPr>
      </w:pPr>
    </w:p>
    <w:p w14:paraId="6A91D4CD" w14:textId="77777777" w:rsidR="00B54D51" w:rsidRPr="00037AD4" w:rsidRDefault="00B54D51" w:rsidP="00CA13CC">
      <w:pPr>
        <w:rPr>
          <w:rFonts w:asciiTheme="minorHAnsi" w:hAnsiTheme="minorHAnsi" w:cstheme="minorHAnsi"/>
          <w:b/>
          <w:bCs/>
          <w:u w:val="single"/>
        </w:rPr>
      </w:pPr>
    </w:p>
    <w:p w14:paraId="779DACA3" w14:textId="77777777" w:rsidR="00B54D51" w:rsidRPr="00037AD4" w:rsidRDefault="00B54D51" w:rsidP="00CA13CC">
      <w:pPr>
        <w:rPr>
          <w:rFonts w:asciiTheme="minorHAnsi" w:hAnsiTheme="minorHAnsi" w:cstheme="minorHAnsi"/>
          <w:b/>
          <w:bCs/>
          <w:u w:val="single"/>
        </w:rPr>
      </w:pPr>
    </w:p>
    <w:p w14:paraId="76F4E631" w14:textId="77777777" w:rsidR="00B54D51" w:rsidRPr="00037AD4" w:rsidRDefault="00B54D51" w:rsidP="00CA13CC">
      <w:pPr>
        <w:rPr>
          <w:rFonts w:asciiTheme="minorHAnsi" w:hAnsiTheme="minorHAnsi" w:cstheme="minorHAnsi"/>
          <w:b/>
          <w:bCs/>
          <w:u w:val="single"/>
        </w:rPr>
      </w:pPr>
    </w:p>
    <w:p w14:paraId="2C2FE51B" w14:textId="77777777" w:rsidR="00B54D51" w:rsidRPr="00037AD4" w:rsidRDefault="00B54D51" w:rsidP="00CA13CC">
      <w:pPr>
        <w:rPr>
          <w:rFonts w:asciiTheme="minorHAnsi" w:hAnsiTheme="minorHAnsi" w:cstheme="minorHAnsi"/>
          <w:b/>
          <w:bCs/>
          <w:u w:val="single"/>
        </w:rPr>
      </w:pPr>
    </w:p>
    <w:p w14:paraId="447507A9" w14:textId="77777777" w:rsidR="00B54D51" w:rsidRPr="00037AD4" w:rsidRDefault="00B54D51" w:rsidP="00CA13CC">
      <w:pPr>
        <w:rPr>
          <w:rFonts w:asciiTheme="minorHAnsi" w:hAnsiTheme="minorHAnsi" w:cstheme="minorHAnsi"/>
          <w:b/>
          <w:bCs/>
          <w:u w:val="single"/>
        </w:rPr>
      </w:pPr>
    </w:p>
    <w:p w14:paraId="58B3C9D7" w14:textId="77777777" w:rsidR="00B54D51" w:rsidRPr="00037AD4" w:rsidRDefault="00B54D51" w:rsidP="00CA13CC">
      <w:pPr>
        <w:rPr>
          <w:rFonts w:asciiTheme="minorHAnsi" w:hAnsiTheme="minorHAnsi" w:cstheme="minorHAnsi"/>
          <w:b/>
          <w:bCs/>
          <w:u w:val="single"/>
        </w:rPr>
      </w:pPr>
    </w:p>
    <w:p w14:paraId="04532915" w14:textId="77777777" w:rsidR="00B54D51" w:rsidRPr="00037AD4" w:rsidRDefault="00B54D51" w:rsidP="00CA13CC">
      <w:pPr>
        <w:rPr>
          <w:rFonts w:asciiTheme="minorHAnsi" w:hAnsiTheme="minorHAnsi" w:cstheme="minorHAnsi"/>
          <w:b/>
          <w:bCs/>
          <w:u w:val="single"/>
        </w:rPr>
      </w:pPr>
    </w:p>
    <w:p w14:paraId="055BB44B" w14:textId="77777777" w:rsidR="00B54D51" w:rsidRPr="00037AD4" w:rsidRDefault="00B54D51" w:rsidP="00CA13CC">
      <w:pPr>
        <w:rPr>
          <w:rFonts w:asciiTheme="minorHAnsi" w:hAnsiTheme="minorHAnsi" w:cstheme="minorHAnsi"/>
          <w:b/>
          <w:bCs/>
          <w:u w:val="single"/>
        </w:rPr>
      </w:pPr>
    </w:p>
    <w:p w14:paraId="2A20546C" w14:textId="77777777" w:rsidR="00B54D51" w:rsidRPr="00037AD4" w:rsidRDefault="00B54D51" w:rsidP="00CA13CC">
      <w:pPr>
        <w:rPr>
          <w:rFonts w:asciiTheme="minorHAnsi" w:hAnsiTheme="minorHAnsi" w:cstheme="minorHAnsi"/>
          <w:b/>
          <w:bCs/>
          <w:u w:val="single"/>
        </w:rPr>
      </w:pPr>
    </w:p>
    <w:p w14:paraId="35538F66" w14:textId="77777777" w:rsidR="00B54D51" w:rsidRPr="00037AD4" w:rsidRDefault="00B54D51" w:rsidP="00CA13CC">
      <w:pPr>
        <w:rPr>
          <w:rFonts w:asciiTheme="minorHAnsi" w:hAnsiTheme="minorHAnsi" w:cstheme="minorHAnsi"/>
          <w:b/>
          <w:bCs/>
          <w:u w:val="single"/>
        </w:rPr>
      </w:pPr>
    </w:p>
    <w:p w14:paraId="61B0FF90" w14:textId="77777777" w:rsidR="00B54D51" w:rsidRPr="00037AD4" w:rsidRDefault="00B54D51" w:rsidP="00CA13CC">
      <w:pPr>
        <w:rPr>
          <w:rFonts w:asciiTheme="minorHAnsi" w:hAnsiTheme="minorHAnsi" w:cstheme="minorHAnsi"/>
          <w:b/>
          <w:bCs/>
          <w:u w:val="single"/>
        </w:rPr>
      </w:pPr>
    </w:p>
    <w:p w14:paraId="5E492A67" w14:textId="77777777" w:rsidR="00B54D51" w:rsidRPr="00037AD4" w:rsidRDefault="00B54D51" w:rsidP="00CA13CC">
      <w:pPr>
        <w:rPr>
          <w:rFonts w:asciiTheme="minorHAnsi" w:hAnsiTheme="minorHAnsi" w:cstheme="minorHAnsi"/>
          <w:b/>
          <w:bCs/>
          <w:u w:val="single"/>
        </w:rPr>
      </w:pPr>
    </w:p>
    <w:p w14:paraId="37EC8B42" w14:textId="77777777" w:rsidR="00B54D51" w:rsidRPr="00037AD4" w:rsidRDefault="00B54D51" w:rsidP="00CA13CC">
      <w:pPr>
        <w:rPr>
          <w:rFonts w:asciiTheme="minorHAnsi" w:hAnsiTheme="minorHAnsi" w:cstheme="minorHAnsi"/>
          <w:b/>
          <w:bCs/>
          <w:u w:val="single"/>
        </w:rPr>
      </w:pPr>
    </w:p>
    <w:p w14:paraId="08A734A7" w14:textId="77777777" w:rsidR="00B54D51" w:rsidRPr="00037AD4" w:rsidRDefault="00B54D51" w:rsidP="00CA13CC">
      <w:pPr>
        <w:rPr>
          <w:rFonts w:asciiTheme="minorHAnsi" w:hAnsiTheme="minorHAnsi" w:cstheme="minorHAnsi"/>
          <w:b/>
          <w:bCs/>
          <w:u w:val="single"/>
        </w:rPr>
      </w:pPr>
    </w:p>
    <w:p w14:paraId="119B9DB3" w14:textId="77777777" w:rsidR="00B54D51" w:rsidRPr="00037AD4" w:rsidRDefault="00B54D51" w:rsidP="00CA13CC">
      <w:pPr>
        <w:rPr>
          <w:rFonts w:asciiTheme="minorHAnsi" w:hAnsiTheme="minorHAnsi" w:cstheme="minorHAnsi"/>
          <w:b/>
          <w:bCs/>
          <w:u w:val="single"/>
        </w:rPr>
      </w:pPr>
    </w:p>
    <w:p w14:paraId="19FD83E4" w14:textId="77777777" w:rsidR="00B54D51" w:rsidRPr="00037AD4" w:rsidRDefault="00B54D51" w:rsidP="00CA13CC">
      <w:pPr>
        <w:rPr>
          <w:rFonts w:asciiTheme="minorHAnsi" w:hAnsiTheme="minorHAnsi" w:cstheme="minorHAnsi"/>
          <w:b/>
          <w:bCs/>
          <w:u w:val="single"/>
        </w:rPr>
      </w:pPr>
    </w:p>
    <w:p w14:paraId="2DB98D95" w14:textId="77777777" w:rsidR="00B54D51" w:rsidRPr="00037AD4" w:rsidRDefault="00B54D51" w:rsidP="00CA13CC">
      <w:pPr>
        <w:rPr>
          <w:rFonts w:asciiTheme="minorHAnsi" w:hAnsiTheme="minorHAnsi" w:cstheme="minorHAnsi"/>
          <w:b/>
          <w:bCs/>
          <w:u w:val="single"/>
        </w:rPr>
      </w:pPr>
    </w:p>
    <w:p w14:paraId="4279591B" w14:textId="77777777" w:rsidR="00B54D51" w:rsidRPr="00037AD4" w:rsidRDefault="00B54D51" w:rsidP="00CA13CC">
      <w:pPr>
        <w:rPr>
          <w:rFonts w:asciiTheme="minorHAnsi" w:hAnsiTheme="minorHAnsi" w:cstheme="minorHAnsi"/>
          <w:b/>
          <w:bCs/>
          <w:u w:val="single"/>
        </w:rPr>
      </w:pPr>
    </w:p>
    <w:p w14:paraId="445C41B1" w14:textId="77777777" w:rsidR="00B54D51" w:rsidRPr="00037AD4" w:rsidRDefault="00B54D51" w:rsidP="00CA13CC">
      <w:pPr>
        <w:rPr>
          <w:rFonts w:asciiTheme="minorHAnsi" w:hAnsiTheme="minorHAnsi" w:cstheme="minorHAnsi"/>
          <w:b/>
          <w:bCs/>
          <w:u w:val="single"/>
        </w:rPr>
      </w:pPr>
    </w:p>
    <w:p w14:paraId="2250F7D2" w14:textId="77777777" w:rsidR="00B54D51" w:rsidRPr="00037AD4" w:rsidRDefault="00B54D51" w:rsidP="00CA13CC">
      <w:pPr>
        <w:rPr>
          <w:rFonts w:asciiTheme="minorHAnsi" w:hAnsiTheme="minorHAnsi" w:cstheme="minorHAnsi"/>
          <w:b/>
          <w:bCs/>
          <w:u w:val="single"/>
        </w:rPr>
      </w:pPr>
    </w:p>
    <w:p w14:paraId="174008EF" w14:textId="77777777" w:rsidR="00B54D51" w:rsidRPr="00037AD4" w:rsidRDefault="00B54D51" w:rsidP="00CA13CC">
      <w:pPr>
        <w:rPr>
          <w:rFonts w:asciiTheme="minorHAnsi" w:hAnsiTheme="minorHAnsi" w:cstheme="minorHAnsi"/>
          <w:b/>
          <w:bCs/>
          <w:u w:val="single"/>
        </w:rPr>
      </w:pPr>
    </w:p>
    <w:p w14:paraId="0EA383E8" w14:textId="77777777" w:rsidR="00B54D51" w:rsidRPr="00037AD4" w:rsidRDefault="00B54D51" w:rsidP="00CA13CC">
      <w:pPr>
        <w:rPr>
          <w:rFonts w:asciiTheme="minorHAnsi" w:hAnsiTheme="minorHAnsi" w:cstheme="minorHAnsi"/>
          <w:b/>
          <w:bCs/>
          <w:u w:val="single"/>
        </w:rPr>
      </w:pPr>
    </w:p>
    <w:p w14:paraId="32080EE8" w14:textId="77777777" w:rsidR="00B54D51" w:rsidRPr="00037AD4" w:rsidRDefault="00B54D51" w:rsidP="00CA13CC">
      <w:pPr>
        <w:rPr>
          <w:rFonts w:asciiTheme="minorHAnsi" w:hAnsiTheme="minorHAnsi" w:cstheme="minorHAnsi"/>
          <w:b/>
          <w:bCs/>
          <w:u w:val="single"/>
        </w:rPr>
      </w:pPr>
    </w:p>
    <w:p w14:paraId="7A30B9E3" w14:textId="77777777" w:rsidR="00B54D51" w:rsidRPr="00037AD4" w:rsidRDefault="00B54D51" w:rsidP="00CA13CC">
      <w:pPr>
        <w:rPr>
          <w:rFonts w:asciiTheme="minorHAnsi" w:hAnsiTheme="minorHAnsi" w:cstheme="minorHAnsi"/>
          <w:b/>
          <w:bCs/>
          <w:u w:val="single"/>
        </w:rPr>
      </w:pPr>
    </w:p>
    <w:p w14:paraId="3A5830FA" w14:textId="77777777" w:rsidR="00B54D51" w:rsidRPr="00037AD4" w:rsidRDefault="00B54D51" w:rsidP="00CA13CC">
      <w:pPr>
        <w:rPr>
          <w:rFonts w:asciiTheme="minorHAnsi" w:hAnsiTheme="minorHAnsi" w:cstheme="minorHAnsi"/>
          <w:b/>
          <w:bCs/>
          <w:u w:val="single"/>
        </w:rPr>
      </w:pPr>
    </w:p>
    <w:p w14:paraId="645BB5DE" w14:textId="77777777" w:rsidR="00B54D51" w:rsidRPr="00037AD4" w:rsidRDefault="00B54D51" w:rsidP="00CA13CC">
      <w:pPr>
        <w:rPr>
          <w:rFonts w:asciiTheme="minorHAnsi" w:hAnsiTheme="minorHAnsi" w:cstheme="minorHAnsi"/>
          <w:b/>
          <w:bCs/>
          <w:u w:val="single"/>
        </w:rPr>
      </w:pPr>
    </w:p>
    <w:p w14:paraId="2D5CF7B1" w14:textId="77777777" w:rsidR="00B54D51" w:rsidRPr="00037AD4" w:rsidRDefault="00B54D51" w:rsidP="00CA13CC">
      <w:pPr>
        <w:rPr>
          <w:rFonts w:asciiTheme="minorHAnsi" w:hAnsiTheme="minorHAnsi" w:cstheme="minorHAnsi"/>
          <w:b/>
          <w:bCs/>
          <w:u w:val="single"/>
        </w:rPr>
      </w:pPr>
    </w:p>
    <w:p w14:paraId="6297064F" w14:textId="77777777" w:rsidR="00B54D51" w:rsidRPr="00037AD4" w:rsidRDefault="00B54D51" w:rsidP="00CA13CC">
      <w:pPr>
        <w:rPr>
          <w:rFonts w:asciiTheme="minorHAnsi" w:hAnsiTheme="minorHAnsi" w:cstheme="minorHAnsi"/>
          <w:b/>
          <w:bCs/>
          <w:u w:val="single"/>
        </w:rPr>
      </w:pPr>
    </w:p>
    <w:p w14:paraId="56D9E9B4" w14:textId="77777777" w:rsidR="00B54D51" w:rsidRPr="00037AD4" w:rsidRDefault="00B54D51" w:rsidP="00CA13CC">
      <w:pPr>
        <w:rPr>
          <w:rFonts w:asciiTheme="minorHAnsi" w:hAnsiTheme="minorHAnsi" w:cstheme="minorHAnsi"/>
          <w:b/>
          <w:bCs/>
          <w:u w:val="single"/>
        </w:rPr>
      </w:pPr>
    </w:p>
    <w:p w14:paraId="00E7728A" w14:textId="77777777" w:rsidR="00B54D51" w:rsidRPr="00037AD4" w:rsidRDefault="00B54D51" w:rsidP="00CA13CC">
      <w:pPr>
        <w:rPr>
          <w:rFonts w:asciiTheme="minorHAnsi" w:hAnsiTheme="minorHAnsi" w:cstheme="minorHAnsi"/>
          <w:b/>
          <w:bCs/>
          <w:u w:val="single"/>
        </w:rPr>
      </w:pPr>
    </w:p>
    <w:p w14:paraId="4A21CAEF" w14:textId="77777777" w:rsidR="00B54D51" w:rsidRPr="00037AD4" w:rsidRDefault="00B54D51" w:rsidP="00CA13CC">
      <w:pPr>
        <w:rPr>
          <w:rFonts w:asciiTheme="minorHAnsi" w:hAnsiTheme="minorHAnsi" w:cstheme="minorHAnsi"/>
          <w:b/>
          <w:bCs/>
          <w:u w:val="single"/>
        </w:rPr>
      </w:pPr>
    </w:p>
    <w:p w14:paraId="0D731283" w14:textId="77777777" w:rsidR="00B54D51" w:rsidRPr="00037AD4" w:rsidRDefault="00B54D51" w:rsidP="007A43F9">
      <w:pPr>
        <w:pStyle w:val="Heading2"/>
        <w:jc w:val="center"/>
      </w:pPr>
      <w:bookmarkStart w:id="1" w:name="_Toc175742244"/>
      <w:r w:rsidRPr="00037AD4">
        <w:lastRenderedPageBreak/>
        <w:t>Outline of chapters</w:t>
      </w:r>
      <w:bookmarkEnd w:id="1"/>
    </w:p>
    <w:p w14:paraId="1299E8CF" w14:textId="77777777" w:rsidR="00B54D51" w:rsidRPr="00037AD4" w:rsidRDefault="00B54D51" w:rsidP="00CA13CC">
      <w:pPr>
        <w:jc w:val="center"/>
        <w:rPr>
          <w:rFonts w:asciiTheme="minorHAnsi" w:hAnsiTheme="minorHAnsi" w:cstheme="minorHAnsi"/>
          <w:b/>
          <w:bCs/>
          <w:sz w:val="23"/>
          <w:szCs w:val="23"/>
          <w:u w:val="single"/>
        </w:rPr>
      </w:pPr>
    </w:p>
    <w:p w14:paraId="35851009" w14:textId="77777777" w:rsidR="00B54D51" w:rsidRPr="00037AD4" w:rsidRDefault="00B54D51" w:rsidP="00CA13CC">
      <w:pPr>
        <w:rPr>
          <w:rFonts w:asciiTheme="minorHAnsi" w:hAnsiTheme="minorHAnsi" w:cstheme="minorHAnsi"/>
          <w:b/>
          <w:bCs/>
        </w:rPr>
      </w:pPr>
      <w:r w:rsidRPr="00037AD4">
        <w:rPr>
          <w:rFonts w:asciiTheme="minorHAnsi" w:hAnsiTheme="minorHAnsi" w:cstheme="minorHAnsi"/>
          <w:b/>
          <w:bCs/>
        </w:rPr>
        <w:t>Chapter one</w:t>
      </w:r>
    </w:p>
    <w:p w14:paraId="4CC50402" w14:textId="77777777" w:rsidR="00B54D51" w:rsidRPr="00037AD4" w:rsidRDefault="00B54D51" w:rsidP="00CA13CC">
      <w:pPr>
        <w:rPr>
          <w:rFonts w:asciiTheme="minorHAnsi" w:hAnsiTheme="minorHAnsi" w:cstheme="minorHAnsi"/>
          <w:b/>
          <w:bCs/>
          <w:sz w:val="22"/>
          <w:szCs w:val="22"/>
          <w:u w:val="single"/>
        </w:rPr>
      </w:pPr>
    </w:p>
    <w:p w14:paraId="3D37994B" w14:textId="77777777" w:rsidR="00B54D51" w:rsidRPr="00037AD4" w:rsidRDefault="00B54D51" w:rsidP="00CA13CC">
      <w:pPr>
        <w:rPr>
          <w:rFonts w:asciiTheme="minorHAnsi" w:hAnsiTheme="minorHAnsi" w:cstheme="minorHAnsi"/>
          <w:sz w:val="22"/>
          <w:szCs w:val="22"/>
        </w:rPr>
      </w:pPr>
      <w:r w:rsidRPr="00037AD4">
        <w:rPr>
          <w:rFonts w:asciiTheme="minorHAnsi" w:hAnsiTheme="minorHAnsi" w:cstheme="minorHAnsi"/>
          <w:sz w:val="22"/>
          <w:szCs w:val="22"/>
        </w:rPr>
        <w:t>The thesis begins by outlining the NICE guidance on economic evaluation practices within the UK. The clinical area of dementia is summarised, and the challenges associated with self and proxy assessed HRQoL are introduced, along with the central research question, aims and objectives.</w:t>
      </w:r>
    </w:p>
    <w:p w14:paraId="1900A08D" w14:textId="77777777" w:rsidR="00B54D51" w:rsidRPr="00037AD4" w:rsidRDefault="00B54D51" w:rsidP="00CA13CC">
      <w:pPr>
        <w:rPr>
          <w:rFonts w:asciiTheme="minorHAnsi" w:hAnsiTheme="minorHAnsi" w:cstheme="minorHAnsi"/>
          <w:b/>
          <w:bCs/>
          <w:u w:val="single"/>
        </w:rPr>
      </w:pPr>
    </w:p>
    <w:p w14:paraId="481BED94" w14:textId="77777777" w:rsidR="00B54D51" w:rsidRPr="00037AD4" w:rsidRDefault="00B54D51" w:rsidP="00CA13CC">
      <w:pPr>
        <w:rPr>
          <w:rFonts w:asciiTheme="minorHAnsi" w:hAnsiTheme="minorHAnsi" w:cstheme="minorHAnsi"/>
          <w:b/>
          <w:bCs/>
        </w:rPr>
      </w:pPr>
      <w:r w:rsidRPr="00037AD4">
        <w:rPr>
          <w:rFonts w:asciiTheme="minorHAnsi" w:hAnsiTheme="minorHAnsi" w:cstheme="minorHAnsi"/>
          <w:b/>
          <w:bCs/>
        </w:rPr>
        <w:t>Chapter two</w:t>
      </w:r>
    </w:p>
    <w:p w14:paraId="727634FB" w14:textId="77777777" w:rsidR="00B54D51" w:rsidRPr="00037AD4" w:rsidRDefault="00B54D51" w:rsidP="00CA13CC">
      <w:pPr>
        <w:rPr>
          <w:rFonts w:asciiTheme="minorHAnsi" w:hAnsiTheme="minorHAnsi" w:cstheme="minorHAnsi"/>
          <w:b/>
          <w:bCs/>
          <w:sz w:val="22"/>
          <w:szCs w:val="22"/>
          <w:u w:val="single"/>
        </w:rPr>
      </w:pPr>
    </w:p>
    <w:p w14:paraId="3BDB88CE" w14:textId="77777777" w:rsidR="00B54D51" w:rsidRPr="00037AD4" w:rsidRDefault="00B54D51" w:rsidP="00CA13CC">
      <w:pPr>
        <w:rPr>
          <w:rFonts w:asciiTheme="minorHAnsi" w:hAnsiTheme="minorHAnsi" w:cstheme="minorHAnsi"/>
          <w:sz w:val="22"/>
          <w:szCs w:val="22"/>
        </w:rPr>
      </w:pPr>
      <w:r w:rsidRPr="00037AD4">
        <w:rPr>
          <w:rFonts w:asciiTheme="minorHAnsi" w:hAnsiTheme="minorHAnsi" w:cstheme="minorHAnsi"/>
          <w:sz w:val="22"/>
          <w:szCs w:val="22"/>
        </w:rPr>
        <w:t xml:space="preserve">In </w:t>
      </w:r>
      <w:r>
        <w:rPr>
          <w:rFonts w:asciiTheme="minorHAnsi" w:hAnsiTheme="minorHAnsi" w:cstheme="minorHAnsi"/>
          <w:sz w:val="22"/>
          <w:szCs w:val="22"/>
        </w:rPr>
        <w:t>c</w:t>
      </w:r>
      <w:r w:rsidRPr="00037AD4">
        <w:rPr>
          <w:rFonts w:asciiTheme="minorHAnsi" w:hAnsiTheme="minorHAnsi" w:cstheme="minorHAnsi"/>
          <w:sz w:val="22"/>
          <w:szCs w:val="22"/>
        </w:rPr>
        <w:t xml:space="preserve">hapter two, the existing evidence on HRQoL assessment in the context of dementia research is appraised. The broad challenges related to self and proxy HRQoL reports are explored via a pearl-growing review. A systematic review of the psychometric properties of EQ-5D-5L for use in dementia populations is presented which reinforces previously drawn conclusions that EQ-5D is a suitable measure for use in dementia populations. </w:t>
      </w:r>
    </w:p>
    <w:p w14:paraId="701C17FB" w14:textId="77777777" w:rsidR="00B54D51" w:rsidRPr="00037AD4" w:rsidRDefault="00B54D51" w:rsidP="00CA13CC">
      <w:pPr>
        <w:rPr>
          <w:rFonts w:asciiTheme="minorHAnsi" w:hAnsiTheme="minorHAnsi" w:cstheme="minorHAnsi"/>
          <w:sz w:val="22"/>
          <w:szCs w:val="22"/>
        </w:rPr>
      </w:pPr>
    </w:p>
    <w:p w14:paraId="00D0ED87" w14:textId="77777777" w:rsidR="00B54D51" w:rsidRPr="00037AD4" w:rsidRDefault="00B54D51" w:rsidP="00CA13CC">
      <w:pPr>
        <w:rPr>
          <w:rFonts w:asciiTheme="minorHAnsi" w:hAnsiTheme="minorHAnsi" w:cstheme="minorHAnsi"/>
          <w:b/>
          <w:bCs/>
        </w:rPr>
      </w:pPr>
      <w:r w:rsidRPr="00037AD4">
        <w:rPr>
          <w:rFonts w:asciiTheme="minorHAnsi" w:hAnsiTheme="minorHAnsi" w:cstheme="minorHAnsi"/>
          <w:b/>
          <w:bCs/>
        </w:rPr>
        <w:t>Chapter three</w:t>
      </w:r>
    </w:p>
    <w:p w14:paraId="6A34F289" w14:textId="77777777" w:rsidR="00B54D51" w:rsidRPr="00037AD4" w:rsidRDefault="00B54D51" w:rsidP="00CA13CC">
      <w:pPr>
        <w:rPr>
          <w:rFonts w:asciiTheme="minorHAnsi" w:hAnsiTheme="minorHAnsi" w:cstheme="minorHAnsi"/>
          <w:b/>
          <w:bCs/>
          <w:sz w:val="22"/>
          <w:szCs w:val="22"/>
        </w:rPr>
      </w:pPr>
    </w:p>
    <w:p w14:paraId="0C496F34" w14:textId="77777777" w:rsidR="00B54D51" w:rsidRPr="00037AD4" w:rsidRDefault="00B54D51" w:rsidP="00CA13CC">
      <w:pPr>
        <w:rPr>
          <w:rFonts w:asciiTheme="minorHAnsi" w:hAnsiTheme="minorHAnsi" w:cstheme="minorHAnsi"/>
          <w:sz w:val="22"/>
          <w:szCs w:val="22"/>
        </w:rPr>
      </w:pPr>
      <w:r w:rsidRPr="00037AD4">
        <w:rPr>
          <w:rFonts w:asciiTheme="minorHAnsi" w:hAnsiTheme="minorHAnsi" w:cstheme="minorHAnsi"/>
          <w:sz w:val="22"/>
          <w:szCs w:val="22"/>
        </w:rPr>
        <w:t xml:space="preserve">Chapter three examines the wider outcomes considered in dementia trials and studies, with particular focus on core outcomes that capture dementia symptomology. To better explore the applicability of EQ-5D for use in dementia populations, a systematic review of the convergent validity of EQ-5D with core outcomes in dementia is undertaken. </w:t>
      </w:r>
    </w:p>
    <w:p w14:paraId="783BDF60" w14:textId="77777777" w:rsidR="00B54D51" w:rsidRPr="00037AD4" w:rsidRDefault="00B54D51" w:rsidP="00CA13CC">
      <w:pPr>
        <w:rPr>
          <w:rFonts w:asciiTheme="minorHAnsi" w:hAnsiTheme="minorHAnsi" w:cstheme="minorHAnsi"/>
          <w:b/>
          <w:bCs/>
          <w:u w:val="single"/>
        </w:rPr>
      </w:pPr>
    </w:p>
    <w:p w14:paraId="2BF55CA3" w14:textId="77777777" w:rsidR="00B54D51" w:rsidRPr="00037AD4" w:rsidRDefault="00B54D51" w:rsidP="00CA13CC">
      <w:pPr>
        <w:rPr>
          <w:rFonts w:asciiTheme="minorHAnsi" w:hAnsiTheme="minorHAnsi" w:cstheme="minorHAnsi"/>
          <w:b/>
          <w:bCs/>
        </w:rPr>
      </w:pPr>
      <w:r w:rsidRPr="00037AD4">
        <w:rPr>
          <w:rFonts w:asciiTheme="minorHAnsi" w:hAnsiTheme="minorHAnsi" w:cstheme="minorHAnsi"/>
          <w:b/>
          <w:bCs/>
        </w:rPr>
        <w:t xml:space="preserve">Chapter four </w:t>
      </w:r>
    </w:p>
    <w:p w14:paraId="7EEFAF4E" w14:textId="77777777" w:rsidR="00B54D51" w:rsidRPr="00037AD4" w:rsidRDefault="00B54D51" w:rsidP="00CA13CC">
      <w:pPr>
        <w:rPr>
          <w:rFonts w:asciiTheme="minorHAnsi" w:hAnsiTheme="minorHAnsi" w:cstheme="minorHAnsi"/>
          <w:b/>
          <w:bCs/>
          <w:sz w:val="22"/>
          <w:szCs w:val="22"/>
        </w:rPr>
      </w:pPr>
    </w:p>
    <w:p w14:paraId="4C253839" w14:textId="77777777" w:rsidR="00B54D51" w:rsidRPr="00037AD4" w:rsidRDefault="00B54D51" w:rsidP="00CA13CC">
      <w:pPr>
        <w:rPr>
          <w:rFonts w:asciiTheme="minorHAnsi" w:hAnsiTheme="minorHAnsi" w:cstheme="minorHAnsi"/>
          <w:sz w:val="22"/>
          <w:szCs w:val="22"/>
        </w:rPr>
      </w:pPr>
      <w:r w:rsidRPr="00037AD4">
        <w:rPr>
          <w:rFonts w:asciiTheme="minorHAnsi" w:hAnsiTheme="minorHAnsi" w:cstheme="minorHAnsi"/>
          <w:sz w:val="22"/>
          <w:szCs w:val="22"/>
        </w:rPr>
        <w:t xml:space="preserve">Chapter four provides detailed descriptive statistics of three existing dementia trial datasets. This includes an analysis of sample characteristics, missing data and proxy reports, and addresses the convergent validity evidence gaps identified by the prior systematic review. </w:t>
      </w:r>
    </w:p>
    <w:p w14:paraId="4AEACA55" w14:textId="77777777" w:rsidR="00B54D51" w:rsidRPr="00037AD4" w:rsidRDefault="00B54D51" w:rsidP="00CA13CC">
      <w:pPr>
        <w:rPr>
          <w:rFonts w:asciiTheme="minorHAnsi" w:hAnsiTheme="minorHAnsi" w:cstheme="minorHAnsi"/>
          <w:sz w:val="22"/>
          <w:szCs w:val="22"/>
        </w:rPr>
      </w:pPr>
    </w:p>
    <w:p w14:paraId="2C6100BD" w14:textId="77777777" w:rsidR="00B54D51" w:rsidRPr="00037AD4" w:rsidRDefault="00B54D51" w:rsidP="00CA13CC">
      <w:pPr>
        <w:rPr>
          <w:rFonts w:asciiTheme="minorHAnsi" w:hAnsiTheme="minorHAnsi" w:cstheme="minorHAnsi"/>
          <w:b/>
          <w:bCs/>
        </w:rPr>
      </w:pPr>
      <w:r w:rsidRPr="00037AD4">
        <w:rPr>
          <w:rFonts w:asciiTheme="minorHAnsi" w:hAnsiTheme="minorHAnsi" w:cstheme="minorHAnsi"/>
          <w:b/>
          <w:bCs/>
        </w:rPr>
        <w:t xml:space="preserve">Chapter five </w:t>
      </w:r>
    </w:p>
    <w:p w14:paraId="20660EAE" w14:textId="77777777" w:rsidR="00B54D51" w:rsidRPr="00037AD4" w:rsidRDefault="00B54D51" w:rsidP="00CA13CC">
      <w:pPr>
        <w:rPr>
          <w:rFonts w:asciiTheme="minorHAnsi" w:hAnsiTheme="minorHAnsi" w:cstheme="minorHAnsi"/>
          <w:b/>
          <w:bCs/>
          <w:sz w:val="22"/>
          <w:szCs w:val="22"/>
        </w:rPr>
      </w:pPr>
    </w:p>
    <w:p w14:paraId="064DEFA6" w14:textId="77777777" w:rsidR="00B54D51" w:rsidRPr="00037AD4" w:rsidRDefault="00B54D51" w:rsidP="00CA13CC">
      <w:pPr>
        <w:rPr>
          <w:rFonts w:asciiTheme="minorHAnsi" w:hAnsiTheme="minorHAnsi" w:cstheme="minorHAnsi"/>
          <w:sz w:val="22"/>
          <w:szCs w:val="22"/>
        </w:rPr>
      </w:pPr>
      <w:r>
        <w:rPr>
          <w:rFonts w:asciiTheme="minorHAnsi" w:hAnsiTheme="minorHAnsi" w:cstheme="minorHAnsi"/>
          <w:sz w:val="22"/>
          <w:szCs w:val="22"/>
        </w:rPr>
        <w:t>In chapter five, p</w:t>
      </w:r>
      <w:r w:rsidRPr="00037AD4">
        <w:rPr>
          <w:rFonts w:asciiTheme="minorHAnsi" w:hAnsiTheme="minorHAnsi" w:cstheme="minorHAnsi"/>
          <w:sz w:val="22"/>
          <w:szCs w:val="22"/>
        </w:rPr>
        <w:t xml:space="preserve">sychometric analyses of responsiveness, inter-rater agreement and floor and ceiling effects are conducted on the three dementia trial datasets with the goal of identifying which respondent’s EQ-5D dimension reports best reflect the health status of the PwD in line with dementia symptom measure scores. A target combination of EQ-5D dimensions is established by respondent type. </w:t>
      </w:r>
    </w:p>
    <w:p w14:paraId="76EF5CE3" w14:textId="77777777" w:rsidR="00B54D51" w:rsidRPr="00037AD4" w:rsidRDefault="00B54D51" w:rsidP="00CA13CC">
      <w:pPr>
        <w:rPr>
          <w:rFonts w:asciiTheme="minorHAnsi" w:hAnsiTheme="minorHAnsi" w:cstheme="minorHAnsi"/>
          <w:sz w:val="22"/>
          <w:szCs w:val="22"/>
        </w:rPr>
      </w:pPr>
    </w:p>
    <w:p w14:paraId="57CB6966" w14:textId="77777777" w:rsidR="00B54D51" w:rsidRPr="00037AD4" w:rsidRDefault="00B54D51" w:rsidP="00CA13CC">
      <w:pPr>
        <w:rPr>
          <w:rFonts w:asciiTheme="minorHAnsi" w:hAnsiTheme="minorHAnsi" w:cstheme="minorHAnsi"/>
          <w:b/>
          <w:bCs/>
        </w:rPr>
      </w:pPr>
      <w:r w:rsidRPr="00037AD4">
        <w:rPr>
          <w:rFonts w:asciiTheme="minorHAnsi" w:hAnsiTheme="minorHAnsi" w:cstheme="minorHAnsi"/>
          <w:b/>
          <w:bCs/>
        </w:rPr>
        <w:t xml:space="preserve">Chapter six </w:t>
      </w:r>
    </w:p>
    <w:p w14:paraId="31974E7D" w14:textId="77777777" w:rsidR="00B54D51" w:rsidRPr="00037AD4" w:rsidRDefault="00B54D51" w:rsidP="00CA13CC">
      <w:pPr>
        <w:rPr>
          <w:rFonts w:asciiTheme="minorHAnsi" w:hAnsiTheme="minorHAnsi" w:cstheme="minorHAnsi"/>
          <w:sz w:val="22"/>
          <w:szCs w:val="22"/>
        </w:rPr>
      </w:pPr>
    </w:p>
    <w:p w14:paraId="14AAE27C" w14:textId="77777777" w:rsidR="00B54D51" w:rsidRPr="00037AD4" w:rsidRDefault="00B54D51" w:rsidP="00CA13CC">
      <w:pPr>
        <w:rPr>
          <w:rFonts w:asciiTheme="minorHAnsi" w:hAnsiTheme="minorHAnsi" w:cstheme="minorHAnsi"/>
          <w:sz w:val="22"/>
          <w:szCs w:val="22"/>
        </w:rPr>
      </w:pPr>
      <w:r w:rsidRPr="00037AD4">
        <w:rPr>
          <w:rFonts w:asciiTheme="minorHAnsi" w:hAnsiTheme="minorHAnsi" w:cstheme="minorHAnsi"/>
          <w:sz w:val="22"/>
          <w:szCs w:val="22"/>
        </w:rPr>
        <w:t>Chapter six presents response mapping methodology, used to predict the target combination of EQ-5D dimensions when data from either respondent type is unavailable. This serves as a valuable tool for future researchers in estimating utility scores.</w:t>
      </w:r>
    </w:p>
    <w:p w14:paraId="7ABF770D" w14:textId="77777777" w:rsidR="00B54D51" w:rsidRPr="00037AD4" w:rsidRDefault="00B54D51" w:rsidP="00CA13CC">
      <w:pPr>
        <w:rPr>
          <w:rFonts w:asciiTheme="minorHAnsi" w:hAnsiTheme="minorHAnsi" w:cstheme="minorHAnsi"/>
          <w:sz w:val="22"/>
          <w:szCs w:val="22"/>
        </w:rPr>
      </w:pPr>
    </w:p>
    <w:p w14:paraId="1E471CEB" w14:textId="77777777" w:rsidR="00B54D51" w:rsidRPr="00037AD4" w:rsidRDefault="00B54D51" w:rsidP="00CA13CC">
      <w:pPr>
        <w:rPr>
          <w:rFonts w:asciiTheme="minorHAnsi" w:hAnsiTheme="minorHAnsi" w:cstheme="minorHAnsi"/>
          <w:b/>
          <w:bCs/>
        </w:rPr>
      </w:pPr>
      <w:r w:rsidRPr="00037AD4">
        <w:rPr>
          <w:rFonts w:asciiTheme="minorHAnsi" w:hAnsiTheme="minorHAnsi" w:cstheme="minorHAnsi"/>
          <w:b/>
          <w:bCs/>
        </w:rPr>
        <w:t xml:space="preserve">Chapter seven </w:t>
      </w:r>
    </w:p>
    <w:p w14:paraId="292D2C21" w14:textId="77777777" w:rsidR="00B54D51" w:rsidRPr="00037AD4" w:rsidRDefault="00B54D51" w:rsidP="00CA13CC">
      <w:pPr>
        <w:rPr>
          <w:rFonts w:asciiTheme="minorHAnsi" w:hAnsiTheme="minorHAnsi" w:cstheme="minorHAnsi"/>
          <w:b/>
          <w:bCs/>
          <w:sz w:val="22"/>
          <w:szCs w:val="22"/>
        </w:rPr>
      </w:pPr>
    </w:p>
    <w:p w14:paraId="4502AFC6" w14:textId="77777777" w:rsidR="00B54D51" w:rsidRPr="00037AD4" w:rsidRDefault="00B54D51">
      <w:pPr>
        <w:rPr>
          <w:rFonts w:asciiTheme="minorHAnsi" w:hAnsiTheme="minorHAnsi" w:cstheme="minorHAnsi"/>
          <w:sz w:val="22"/>
          <w:szCs w:val="22"/>
        </w:rPr>
      </w:pPr>
      <w:r w:rsidRPr="00037AD4">
        <w:rPr>
          <w:rFonts w:asciiTheme="minorHAnsi" w:hAnsiTheme="minorHAnsi" w:cstheme="minorHAnsi"/>
          <w:sz w:val="22"/>
          <w:szCs w:val="22"/>
        </w:rPr>
        <w:t>Chapter seven discusses the contribution of the research presented in this thesis for understanding the complexities of HRQoL assessment in dementia populations for use in economic evaluations. Data collection recommendations for dementia trials and studies are presented, as well as future research suggestions and limitations</w:t>
      </w:r>
      <w:bookmarkStart w:id="2" w:name="_Toc80969243"/>
      <w:bookmarkStart w:id="3" w:name="_Toc80969324"/>
      <w:bookmarkStart w:id="4" w:name="_Toc80969405"/>
      <w:bookmarkStart w:id="5" w:name="_Toc82180012"/>
      <w:r w:rsidRPr="00037AD4">
        <w:rPr>
          <w:rFonts w:asciiTheme="minorHAnsi" w:hAnsiTheme="minorHAnsi" w:cstheme="minorHAnsi"/>
          <w:sz w:val="22"/>
          <w:szCs w:val="22"/>
        </w:rPr>
        <w:t xml:space="preserve"> of the thesis.</w:t>
      </w:r>
    </w:p>
    <w:p w14:paraId="131E2B34" w14:textId="77777777" w:rsidR="00B54D51" w:rsidRPr="00037AD4" w:rsidRDefault="00B54D51">
      <w:pPr>
        <w:rPr>
          <w:rFonts w:asciiTheme="minorHAnsi" w:hAnsiTheme="minorHAnsi" w:cstheme="minorHAnsi"/>
          <w:sz w:val="22"/>
          <w:szCs w:val="22"/>
        </w:rPr>
      </w:pPr>
    </w:p>
    <w:p w14:paraId="076C2F6E" w14:textId="77777777" w:rsidR="00B54D51" w:rsidRPr="00037AD4" w:rsidRDefault="00B54D51" w:rsidP="007A43F9">
      <w:pPr>
        <w:pStyle w:val="Heading2"/>
        <w:jc w:val="center"/>
        <w:rPr>
          <w:sz w:val="23"/>
          <w:szCs w:val="23"/>
          <w:u w:val="none"/>
        </w:rPr>
      </w:pPr>
      <w:bookmarkStart w:id="6" w:name="_Toc175742245"/>
      <w:r w:rsidRPr="00037AD4">
        <w:lastRenderedPageBreak/>
        <w:t>List of abbreviations</w:t>
      </w:r>
      <w:bookmarkEnd w:id="2"/>
      <w:bookmarkEnd w:id="3"/>
      <w:bookmarkEnd w:id="4"/>
      <w:bookmarkEnd w:id="5"/>
      <w:bookmarkEnd w:id="6"/>
    </w:p>
    <w:p w14:paraId="5C6431A7" w14:textId="77777777" w:rsidR="00B54D51" w:rsidRPr="00037AD4" w:rsidRDefault="00B54D51" w:rsidP="001D6E24">
      <w:pPr>
        <w:rPr>
          <w:rFonts w:asciiTheme="minorHAnsi" w:hAnsiTheme="minorHAnsi" w:cstheme="minorHAnsi"/>
          <w:b/>
          <w:bCs/>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6"/>
        <w:gridCol w:w="7320"/>
      </w:tblGrid>
      <w:tr w:rsidR="00B54D51" w:rsidRPr="00037AD4" w14:paraId="1793DA5F" w14:textId="77777777" w:rsidTr="000B4FC6">
        <w:tc>
          <w:tcPr>
            <w:tcW w:w="1696" w:type="dxa"/>
          </w:tcPr>
          <w:p w14:paraId="0AD1B155" w14:textId="77777777" w:rsidR="00B54D51" w:rsidRPr="00037AD4" w:rsidRDefault="00B54D51" w:rsidP="001C35C0">
            <w:pPr>
              <w:spacing w:line="360" w:lineRule="auto"/>
              <w:rPr>
                <w:rFonts w:asciiTheme="minorHAnsi" w:hAnsiTheme="minorHAnsi" w:cstheme="minorHAnsi"/>
                <w:color w:val="000000" w:themeColor="text1"/>
              </w:rPr>
            </w:pPr>
            <w:r w:rsidRPr="00037AD4">
              <w:rPr>
                <w:rFonts w:asciiTheme="minorHAnsi" w:hAnsiTheme="minorHAnsi" w:cstheme="minorHAnsi"/>
                <w:color w:val="000000" w:themeColor="text1"/>
              </w:rPr>
              <w:t>ACTIFCARE</w:t>
            </w:r>
          </w:p>
        </w:tc>
        <w:tc>
          <w:tcPr>
            <w:tcW w:w="7320" w:type="dxa"/>
          </w:tcPr>
          <w:p w14:paraId="298CBF4E" w14:textId="77777777" w:rsidR="00B54D51" w:rsidRPr="00037AD4" w:rsidRDefault="00B54D51" w:rsidP="001C35C0">
            <w:pPr>
              <w:spacing w:line="360" w:lineRule="auto"/>
              <w:rPr>
                <w:rFonts w:asciiTheme="minorHAnsi" w:hAnsiTheme="minorHAnsi" w:cstheme="minorHAnsi"/>
                <w:color w:val="000000" w:themeColor="text1"/>
              </w:rPr>
            </w:pPr>
            <w:r w:rsidRPr="00037AD4">
              <w:rPr>
                <w:rFonts w:asciiTheme="minorHAnsi" w:hAnsiTheme="minorHAnsi" w:cstheme="minorHAnsi"/>
              </w:rPr>
              <w:t xml:space="preserve">Access to Timely Formal dementia Care in Europe </w:t>
            </w:r>
          </w:p>
        </w:tc>
      </w:tr>
      <w:tr w:rsidR="00B54D51" w:rsidRPr="00037AD4" w14:paraId="39A06296" w14:textId="77777777" w:rsidTr="000B4FC6">
        <w:tc>
          <w:tcPr>
            <w:tcW w:w="1696" w:type="dxa"/>
          </w:tcPr>
          <w:p w14:paraId="1E2D297C" w14:textId="77777777" w:rsidR="00B54D51" w:rsidRPr="00037AD4" w:rsidRDefault="00B54D51" w:rsidP="001C35C0">
            <w:pPr>
              <w:spacing w:line="360" w:lineRule="auto"/>
              <w:rPr>
                <w:rFonts w:asciiTheme="minorHAnsi" w:hAnsiTheme="minorHAnsi" w:cstheme="minorHAnsi"/>
                <w:color w:val="000000" w:themeColor="text1"/>
              </w:rPr>
            </w:pPr>
            <w:r w:rsidRPr="00037AD4">
              <w:rPr>
                <w:rFonts w:asciiTheme="minorHAnsi" w:hAnsiTheme="minorHAnsi" w:cstheme="minorHAnsi"/>
                <w:color w:val="000000" w:themeColor="text1"/>
              </w:rPr>
              <w:t>AD</w:t>
            </w:r>
          </w:p>
        </w:tc>
        <w:tc>
          <w:tcPr>
            <w:tcW w:w="7320" w:type="dxa"/>
          </w:tcPr>
          <w:p w14:paraId="459D2BA6" w14:textId="77777777" w:rsidR="00B54D51" w:rsidRPr="00037AD4" w:rsidRDefault="00B54D51" w:rsidP="001C35C0">
            <w:pPr>
              <w:spacing w:line="360" w:lineRule="auto"/>
              <w:rPr>
                <w:rFonts w:asciiTheme="minorHAnsi" w:hAnsiTheme="minorHAnsi" w:cstheme="minorHAnsi"/>
                <w:color w:val="000000" w:themeColor="text1"/>
              </w:rPr>
            </w:pPr>
            <w:r w:rsidRPr="00037AD4">
              <w:rPr>
                <w:rFonts w:asciiTheme="minorHAnsi" w:hAnsiTheme="minorHAnsi" w:cstheme="minorHAnsi"/>
                <w:color w:val="000000" w:themeColor="text1"/>
              </w:rPr>
              <w:t xml:space="preserve">Alzheimer’s disease </w:t>
            </w:r>
          </w:p>
        </w:tc>
      </w:tr>
      <w:tr w:rsidR="00B54D51" w:rsidRPr="00037AD4" w14:paraId="11025AE0" w14:textId="77777777" w:rsidTr="000B4FC6">
        <w:tc>
          <w:tcPr>
            <w:tcW w:w="1696" w:type="dxa"/>
          </w:tcPr>
          <w:p w14:paraId="58F2E1D1" w14:textId="77777777" w:rsidR="00B54D51" w:rsidRPr="00037AD4" w:rsidRDefault="00B54D51" w:rsidP="001C35C0">
            <w:pPr>
              <w:spacing w:line="360" w:lineRule="auto"/>
              <w:rPr>
                <w:rFonts w:asciiTheme="minorHAnsi" w:hAnsiTheme="minorHAnsi" w:cstheme="minorHAnsi"/>
                <w:color w:val="000000" w:themeColor="text1"/>
              </w:rPr>
            </w:pPr>
            <w:r w:rsidRPr="00037AD4">
              <w:rPr>
                <w:rFonts w:asciiTheme="minorHAnsi" w:hAnsiTheme="minorHAnsi" w:cstheme="minorHAnsi"/>
                <w:color w:val="000000" w:themeColor="text1"/>
              </w:rPr>
              <w:t xml:space="preserve">ADAS-Cog </w:t>
            </w:r>
          </w:p>
        </w:tc>
        <w:tc>
          <w:tcPr>
            <w:tcW w:w="7320" w:type="dxa"/>
          </w:tcPr>
          <w:p w14:paraId="78CDFA25" w14:textId="77777777" w:rsidR="00B54D51" w:rsidRPr="00037AD4" w:rsidRDefault="00B54D51" w:rsidP="001C35C0">
            <w:pPr>
              <w:spacing w:line="360" w:lineRule="auto"/>
              <w:rPr>
                <w:rFonts w:asciiTheme="minorHAnsi" w:hAnsiTheme="minorHAnsi" w:cstheme="minorHAnsi"/>
                <w:color w:val="000000" w:themeColor="text1"/>
              </w:rPr>
            </w:pPr>
            <w:r w:rsidRPr="00037AD4">
              <w:rPr>
                <w:rFonts w:asciiTheme="minorHAnsi" w:hAnsiTheme="minorHAnsi" w:cstheme="minorHAnsi"/>
                <w:color w:val="000000" w:themeColor="text1"/>
              </w:rPr>
              <w:t xml:space="preserve">Alzheimer’s Disease Assessment Scale-Cognitive Subscale </w:t>
            </w:r>
          </w:p>
        </w:tc>
      </w:tr>
      <w:tr w:rsidR="00B54D51" w:rsidRPr="00037AD4" w14:paraId="51E6341A" w14:textId="77777777" w:rsidTr="000B4FC6">
        <w:tc>
          <w:tcPr>
            <w:tcW w:w="1696" w:type="dxa"/>
          </w:tcPr>
          <w:p w14:paraId="2264F98D" w14:textId="77777777" w:rsidR="00B54D51" w:rsidRPr="00037AD4" w:rsidRDefault="00B54D51" w:rsidP="001C35C0">
            <w:pPr>
              <w:spacing w:line="360" w:lineRule="auto"/>
              <w:rPr>
                <w:rFonts w:asciiTheme="minorHAnsi" w:hAnsiTheme="minorHAnsi" w:cstheme="minorHAnsi"/>
                <w:color w:val="000000" w:themeColor="text1"/>
              </w:rPr>
            </w:pPr>
            <w:r w:rsidRPr="00037AD4">
              <w:rPr>
                <w:rFonts w:asciiTheme="minorHAnsi" w:hAnsiTheme="minorHAnsi" w:cstheme="minorHAnsi"/>
                <w:color w:val="000000" w:themeColor="text1"/>
              </w:rPr>
              <w:t>ADCS-ADL</w:t>
            </w:r>
          </w:p>
        </w:tc>
        <w:tc>
          <w:tcPr>
            <w:tcW w:w="7320" w:type="dxa"/>
          </w:tcPr>
          <w:p w14:paraId="16C65637" w14:textId="77777777" w:rsidR="00B54D51" w:rsidRPr="00037AD4" w:rsidRDefault="00B54D51" w:rsidP="001C35C0">
            <w:pPr>
              <w:spacing w:line="360" w:lineRule="auto"/>
              <w:rPr>
                <w:rFonts w:asciiTheme="minorHAnsi" w:hAnsiTheme="minorHAnsi" w:cstheme="minorHAnsi"/>
                <w:color w:val="000000" w:themeColor="text1"/>
              </w:rPr>
            </w:pPr>
            <w:r w:rsidRPr="00037AD4">
              <w:rPr>
                <w:rFonts w:asciiTheme="minorHAnsi" w:hAnsiTheme="minorHAnsi" w:cstheme="minorHAnsi"/>
                <w:color w:val="000000" w:themeColor="text1"/>
              </w:rPr>
              <w:t xml:space="preserve">Alzheimer’s Disease Cooperative Study – Activities of Daily Living inventory </w:t>
            </w:r>
          </w:p>
        </w:tc>
      </w:tr>
      <w:tr w:rsidR="00B54D51" w:rsidRPr="00037AD4" w14:paraId="2AA9FD75" w14:textId="77777777" w:rsidTr="000B4FC6">
        <w:tc>
          <w:tcPr>
            <w:tcW w:w="1696" w:type="dxa"/>
          </w:tcPr>
          <w:p w14:paraId="0769A529" w14:textId="77777777" w:rsidR="00B54D51" w:rsidRPr="00037AD4" w:rsidRDefault="00B54D51" w:rsidP="000B4FC6">
            <w:pPr>
              <w:spacing w:line="360" w:lineRule="auto"/>
              <w:rPr>
                <w:rFonts w:asciiTheme="minorHAnsi" w:hAnsiTheme="minorHAnsi" w:cstheme="minorHAnsi"/>
                <w:color w:val="000000" w:themeColor="text1"/>
              </w:rPr>
            </w:pPr>
            <w:r w:rsidRPr="00037AD4">
              <w:rPr>
                <w:rFonts w:asciiTheme="minorHAnsi" w:hAnsiTheme="minorHAnsi" w:cstheme="minorHAnsi"/>
                <w:color w:val="000000" w:themeColor="text1"/>
              </w:rPr>
              <w:t>ADL</w:t>
            </w:r>
          </w:p>
        </w:tc>
        <w:tc>
          <w:tcPr>
            <w:tcW w:w="7320" w:type="dxa"/>
          </w:tcPr>
          <w:p w14:paraId="7AF1D5F4" w14:textId="77777777" w:rsidR="00B54D51" w:rsidRPr="00037AD4" w:rsidRDefault="00B54D51" w:rsidP="001C35C0">
            <w:pPr>
              <w:spacing w:line="360" w:lineRule="auto"/>
              <w:rPr>
                <w:rFonts w:asciiTheme="minorHAnsi" w:hAnsiTheme="minorHAnsi" w:cstheme="minorHAnsi"/>
                <w:color w:val="000000" w:themeColor="text1"/>
              </w:rPr>
            </w:pPr>
            <w:r w:rsidRPr="00037AD4">
              <w:rPr>
                <w:rFonts w:asciiTheme="minorHAnsi" w:hAnsiTheme="minorHAnsi" w:cstheme="minorHAnsi"/>
                <w:color w:val="000000" w:themeColor="text1"/>
              </w:rPr>
              <w:t xml:space="preserve">Activities of daily living  </w:t>
            </w:r>
          </w:p>
        </w:tc>
      </w:tr>
      <w:tr w:rsidR="00B54D51" w:rsidRPr="00037AD4" w14:paraId="41391807" w14:textId="77777777" w:rsidTr="000B4FC6">
        <w:tc>
          <w:tcPr>
            <w:tcW w:w="1696" w:type="dxa"/>
          </w:tcPr>
          <w:p w14:paraId="566D493E" w14:textId="77777777" w:rsidR="00B54D51" w:rsidRPr="00037AD4" w:rsidRDefault="00B54D51" w:rsidP="001C35C0">
            <w:pPr>
              <w:spacing w:line="360" w:lineRule="auto"/>
              <w:rPr>
                <w:rFonts w:asciiTheme="minorHAnsi" w:hAnsiTheme="minorHAnsi" w:cstheme="minorHAnsi"/>
                <w:color w:val="000000" w:themeColor="text1"/>
              </w:rPr>
            </w:pPr>
            <w:r w:rsidRPr="00037AD4">
              <w:rPr>
                <w:rFonts w:asciiTheme="minorHAnsi" w:hAnsiTheme="minorHAnsi" w:cstheme="minorHAnsi"/>
                <w:color w:val="000000" w:themeColor="text1"/>
              </w:rPr>
              <w:t>AD-5D</w:t>
            </w:r>
          </w:p>
        </w:tc>
        <w:tc>
          <w:tcPr>
            <w:tcW w:w="7320" w:type="dxa"/>
          </w:tcPr>
          <w:p w14:paraId="399FC443" w14:textId="77777777" w:rsidR="00B54D51" w:rsidRPr="00037AD4" w:rsidRDefault="00B54D51" w:rsidP="001C35C0">
            <w:pPr>
              <w:spacing w:line="360" w:lineRule="auto"/>
              <w:rPr>
                <w:rFonts w:asciiTheme="minorHAnsi" w:hAnsiTheme="minorHAnsi" w:cstheme="minorHAnsi"/>
                <w:color w:val="000000" w:themeColor="text1"/>
              </w:rPr>
            </w:pPr>
            <w:r w:rsidRPr="00037AD4">
              <w:rPr>
                <w:rFonts w:asciiTheme="minorHAnsi" w:hAnsiTheme="minorHAnsi" w:cstheme="minorHAnsi"/>
              </w:rPr>
              <w:t>Alzheimer’s Disease Five Dimensions</w:t>
            </w:r>
          </w:p>
        </w:tc>
      </w:tr>
      <w:tr w:rsidR="00B54D51" w:rsidRPr="00037AD4" w14:paraId="46800418" w14:textId="77777777" w:rsidTr="000B4FC6">
        <w:tc>
          <w:tcPr>
            <w:tcW w:w="1696" w:type="dxa"/>
          </w:tcPr>
          <w:p w14:paraId="465BAEA4" w14:textId="77777777" w:rsidR="00B54D51" w:rsidRPr="00037AD4" w:rsidRDefault="00B54D51" w:rsidP="001C35C0">
            <w:pPr>
              <w:spacing w:line="360" w:lineRule="auto"/>
              <w:rPr>
                <w:rFonts w:asciiTheme="minorHAnsi" w:hAnsiTheme="minorHAnsi" w:cstheme="minorHAnsi"/>
                <w:color w:val="000000" w:themeColor="text1"/>
              </w:rPr>
            </w:pPr>
            <w:r w:rsidRPr="00037AD4">
              <w:rPr>
                <w:rFonts w:asciiTheme="minorHAnsi" w:hAnsiTheme="minorHAnsi" w:cstheme="minorHAnsi"/>
                <w:color w:val="000000" w:themeColor="text1"/>
              </w:rPr>
              <w:t>BADLS</w:t>
            </w:r>
          </w:p>
        </w:tc>
        <w:tc>
          <w:tcPr>
            <w:tcW w:w="7320" w:type="dxa"/>
          </w:tcPr>
          <w:p w14:paraId="4647AB36" w14:textId="77777777" w:rsidR="00B54D51" w:rsidRPr="00037AD4" w:rsidRDefault="00B54D51" w:rsidP="001C35C0">
            <w:pPr>
              <w:pStyle w:val="NormalWeb"/>
              <w:spacing w:line="360" w:lineRule="auto"/>
              <w:rPr>
                <w:rFonts w:asciiTheme="minorHAnsi" w:hAnsiTheme="minorHAnsi" w:cstheme="minorHAnsi"/>
                <w:color w:val="111111"/>
              </w:rPr>
            </w:pPr>
            <w:r w:rsidRPr="00037AD4">
              <w:rPr>
                <w:rFonts w:asciiTheme="minorHAnsi" w:hAnsiTheme="minorHAnsi" w:cstheme="minorHAnsi"/>
                <w:color w:val="111111"/>
              </w:rPr>
              <w:t>Bristol Activities of Daily Living</w:t>
            </w:r>
          </w:p>
        </w:tc>
      </w:tr>
      <w:tr w:rsidR="00B54D51" w:rsidRPr="00037AD4" w14:paraId="2FC8446E" w14:textId="77777777" w:rsidTr="000B4FC6">
        <w:tc>
          <w:tcPr>
            <w:tcW w:w="1696" w:type="dxa"/>
          </w:tcPr>
          <w:p w14:paraId="3829DF84" w14:textId="77777777" w:rsidR="00B54D51" w:rsidRPr="00037AD4" w:rsidRDefault="00B54D51" w:rsidP="001C35C0">
            <w:pPr>
              <w:spacing w:line="360" w:lineRule="auto"/>
              <w:rPr>
                <w:rFonts w:asciiTheme="minorHAnsi" w:hAnsiTheme="minorHAnsi" w:cstheme="minorHAnsi"/>
                <w:color w:val="000000" w:themeColor="text1"/>
              </w:rPr>
            </w:pPr>
            <w:r w:rsidRPr="00037AD4">
              <w:rPr>
                <w:rFonts w:asciiTheme="minorHAnsi" w:hAnsiTheme="minorHAnsi" w:cstheme="minorHAnsi"/>
                <w:color w:val="000000" w:themeColor="text1"/>
              </w:rPr>
              <w:t>CHTE</w:t>
            </w:r>
          </w:p>
        </w:tc>
        <w:tc>
          <w:tcPr>
            <w:tcW w:w="7320" w:type="dxa"/>
          </w:tcPr>
          <w:p w14:paraId="397099C7" w14:textId="77777777" w:rsidR="00B54D51" w:rsidRPr="00037AD4" w:rsidRDefault="00B54D51" w:rsidP="001C35C0">
            <w:pPr>
              <w:pStyle w:val="NormalWeb"/>
              <w:spacing w:line="360" w:lineRule="auto"/>
              <w:rPr>
                <w:rFonts w:asciiTheme="minorHAnsi" w:hAnsiTheme="minorHAnsi" w:cstheme="minorHAnsi"/>
                <w:color w:val="000000" w:themeColor="text1"/>
                <w:shd w:val="clear" w:color="auto" w:fill="FFFFFF"/>
              </w:rPr>
            </w:pPr>
            <w:r w:rsidRPr="00037AD4">
              <w:rPr>
                <w:rFonts w:asciiTheme="minorHAnsi" w:hAnsiTheme="minorHAnsi" w:cstheme="minorHAnsi"/>
                <w:color w:val="000000" w:themeColor="text1"/>
                <w:shd w:val="clear" w:color="auto" w:fill="FFFFFF"/>
              </w:rPr>
              <w:t>Centre for Health Technology Evaluation</w:t>
            </w:r>
          </w:p>
        </w:tc>
      </w:tr>
      <w:tr w:rsidR="00B54D51" w:rsidRPr="00037AD4" w14:paraId="101CDA30" w14:textId="77777777" w:rsidTr="000B4FC6">
        <w:tc>
          <w:tcPr>
            <w:tcW w:w="1696" w:type="dxa"/>
          </w:tcPr>
          <w:p w14:paraId="30F60156" w14:textId="77777777" w:rsidR="00B54D51" w:rsidRPr="00037AD4" w:rsidRDefault="00B54D51" w:rsidP="001C35C0">
            <w:pPr>
              <w:spacing w:line="360" w:lineRule="auto"/>
              <w:rPr>
                <w:rFonts w:asciiTheme="minorHAnsi" w:hAnsiTheme="minorHAnsi" w:cstheme="minorHAnsi"/>
                <w:color w:val="000000" w:themeColor="text1"/>
              </w:rPr>
            </w:pPr>
            <w:r w:rsidRPr="00037AD4">
              <w:rPr>
                <w:rFonts w:asciiTheme="minorHAnsi" w:hAnsiTheme="minorHAnsi" w:cstheme="minorHAnsi"/>
                <w:color w:val="000000" w:themeColor="text1"/>
              </w:rPr>
              <w:t xml:space="preserve">CDR </w:t>
            </w:r>
          </w:p>
        </w:tc>
        <w:tc>
          <w:tcPr>
            <w:tcW w:w="7320" w:type="dxa"/>
          </w:tcPr>
          <w:p w14:paraId="689DFDC2" w14:textId="77777777" w:rsidR="00B54D51" w:rsidRPr="00037AD4" w:rsidRDefault="00B54D51" w:rsidP="001C35C0">
            <w:pPr>
              <w:pStyle w:val="NormalWeb"/>
              <w:spacing w:line="360" w:lineRule="auto"/>
              <w:rPr>
                <w:rFonts w:asciiTheme="minorHAnsi" w:hAnsiTheme="minorHAnsi" w:cstheme="minorHAnsi"/>
                <w:color w:val="000000" w:themeColor="text1"/>
                <w:shd w:val="clear" w:color="auto" w:fill="FFFFFF"/>
              </w:rPr>
            </w:pPr>
            <w:r w:rsidRPr="00037AD4">
              <w:rPr>
                <w:rFonts w:asciiTheme="minorHAnsi" w:hAnsiTheme="minorHAnsi" w:cstheme="minorHAnsi"/>
                <w:color w:val="000000" w:themeColor="text1"/>
                <w:shd w:val="clear" w:color="auto" w:fill="FFFFFF"/>
              </w:rPr>
              <w:t xml:space="preserve">Clinical Dementia Rating </w:t>
            </w:r>
          </w:p>
        </w:tc>
      </w:tr>
      <w:tr w:rsidR="00B54D51" w:rsidRPr="00037AD4" w14:paraId="21880B5D" w14:textId="77777777" w:rsidTr="000B4FC6">
        <w:tc>
          <w:tcPr>
            <w:tcW w:w="1696" w:type="dxa"/>
          </w:tcPr>
          <w:p w14:paraId="3DEB2DB1" w14:textId="77777777" w:rsidR="00B54D51" w:rsidRPr="00037AD4" w:rsidRDefault="00B54D51" w:rsidP="001C35C0">
            <w:pPr>
              <w:spacing w:line="360" w:lineRule="auto"/>
              <w:rPr>
                <w:rFonts w:asciiTheme="minorHAnsi" w:hAnsiTheme="minorHAnsi" w:cstheme="minorHAnsi"/>
                <w:color w:val="000000" w:themeColor="text1"/>
              </w:rPr>
            </w:pPr>
            <w:r w:rsidRPr="00037AD4">
              <w:rPr>
                <w:rFonts w:asciiTheme="minorHAnsi" w:hAnsiTheme="minorHAnsi" w:cstheme="minorHAnsi"/>
                <w:color w:val="000000" w:themeColor="text1"/>
              </w:rPr>
              <w:t>C</w:t>
            </w:r>
            <w:r w:rsidRPr="00037AD4">
              <w:rPr>
                <w:rFonts w:asciiTheme="minorHAnsi" w:hAnsiTheme="minorHAnsi" w:cstheme="minorHAnsi"/>
              </w:rPr>
              <w:t>MAI</w:t>
            </w:r>
          </w:p>
        </w:tc>
        <w:tc>
          <w:tcPr>
            <w:tcW w:w="7320" w:type="dxa"/>
          </w:tcPr>
          <w:p w14:paraId="0244B95E" w14:textId="77777777" w:rsidR="00B54D51" w:rsidRPr="00037AD4" w:rsidRDefault="00B54D51" w:rsidP="001C35C0">
            <w:pPr>
              <w:pStyle w:val="NormalWeb"/>
              <w:spacing w:line="360" w:lineRule="auto"/>
              <w:rPr>
                <w:rFonts w:asciiTheme="minorHAnsi" w:hAnsiTheme="minorHAnsi" w:cstheme="minorHAnsi"/>
                <w:color w:val="111111"/>
              </w:rPr>
            </w:pPr>
            <w:r w:rsidRPr="00037AD4">
              <w:rPr>
                <w:rFonts w:asciiTheme="minorHAnsi" w:hAnsiTheme="minorHAnsi" w:cstheme="minorHAnsi"/>
                <w:color w:val="000000" w:themeColor="text1"/>
                <w:shd w:val="clear" w:color="auto" w:fill="FFFFFF"/>
              </w:rPr>
              <w:t>Cohen-Mansfield Agitation Inventory</w:t>
            </w:r>
          </w:p>
        </w:tc>
      </w:tr>
      <w:tr w:rsidR="00B54D51" w:rsidRPr="00037AD4" w14:paraId="4EC1EFA4" w14:textId="77777777" w:rsidTr="000B4FC6">
        <w:tc>
          <w:tcPr>
            <w:tcW w:w="1696" w:type="dxa"/>
          </w:tcPr>
          <w:p w14:paraId="7B28BBCF" w14:textId="77777777" w:rsidR="00B54D51" w:rsidRPr="00037AD4" w:rsidRDefault="00B54D51" w:rsidP="001C35C0">
            <w:pPr>
              <w:spacing w:line="360" w:lineRule="auto"/>
              <w:rPr>
                <w:rFonts w:asciiTheme="minorHAnsi" w:hAnsiTheme="minorHAnsi" w:cstheme="minorHAnsi"/>
                <w:color w:val="000000" w:themeColor="text1"/>
              </w:rPr>
            </w:pPr>
            <w:r w:rsidRPr="00037AD4">
              <w:rPr>
                <w:rFonts w:asciiTheme="minorHAnsi" w:hAnsiTheme="minorHAnsi" w:cstheme="minorHAnsi"/>
                <w:color w:val="000000" w:themeColor="text1"/>
              </w:rPr>
              <w:t xml:space="preserve">CSDD </w:t>
            </w:r>
          </w:p>
        </w:tc>
        <w:tc>
          <w:tcPr>
            <w:tcW w:w="7320" w:type="dxa"/>
          </w:tcPr>
          <w:p w14:paraId="64BA00EA" w14:textId="77777777" w:rsidR="00B54D51" w:rsidRPr="00037AD4" w:rsidRDefault="00B54D51" w:rsidP="001C35C0">
            <w:pPr>
              <w:pStyle w:val="NormalWeb"/>
              <w:spacing w:line="360" w:lineRule="auto"/>
              <w:rPr>
                <w:rFonts w:asciiTheme="minorHAnsi" w:hAnsiTheme="minorHAnsi" w:cstheme="minorHAnsi"/>
                <w:color w:val="000000" w:themeColor="text1"/>
                <w:shd w:val="clear" w:color="auto" w:fill="FFFFFF"/>
              </w:rPr>
            </w:pPr>
            <w:r w:rsidRPr="00037AD4">
              <w:rPr>
                <w:rFonts w:asciiTheme="minorHAnsi" w:hAnsiTheme="minorHAnsi" w:cstheme="minorHAnsi"/>
                <w:color w:val="000000" w:themeColor="text1"/>
                <w:shd w:val="clear" w:color="auto" w:fill="FFFFFF"/>
              </w:rPr>
              <w:t>Cornell Scale for Depression in Dementia</w:t>
            </w:r>
          </w:p>
        </w:tc>
      </w:tr>
      <w:tr w:rsidR="00B54D51" w:rsidRPr="00037AD4" w14:paraId="6F5F66D0" w14:textId="77777777" w:rsidTr="000B4FC6">
        <w:tc>
          <w:tcPr>
            <w:tcW w:w="1696" w:type="dxa"/>
          </w:tcPr>
          <w:p w14:paraId="0113503B" w14:textId="77777777" w:rsidR="00B54D51" w:rsidRPr="00037AD4" w:rsidRDefault="00B54D51" w:rsidP="001C35C0">
            <w:pPr>
              <w:spacing w:line="360" w:lineRule="auto"/>
              <w:rPr>
                <w:rFonts w:asciiTheme="minorHAnsi" w:hAnsiTheme="minorHAnsi" w:cstheme="minorHAnsi"/>
                <w:color w:val="000000" w:themeColor="text1"/>
              </w:rPr>
            </w:pPr>
            <w:r w:rsidRPr="00037AD4">
              <w:rPr>
                <w:rFonts w:asciiTheme="minorHAnsi" w:hAnsiTheme="minorHAnsi" w:cstheme="minorHAnsi"/>
                <w:color w:val="000000" w:themeColor="text1"/>
              </w:rPr>
              <w:t>CUA</w:t>
            </w:r>
          </w:p>
        </w:tc>
        <w:tc>
          <w:tcPr>
            <w:tcW w:w="7320" w:type="dxa"/>
          </w:tcPr>
          <w:p w14:paraId="5CF99F41" w14:textId="77777777" w:rsidR="00B54D51" w:rsidRPr="00037AD4" w:rsidRDefault="00B54D51" w:rsidP="001C35C0">
            <w:pPr>
              <w:pStyle w:val="NormalWeb"/>
              <w:spacing w:line="360" w:lineRule="auto"/>
              <w:rPr>
                <w:rFonts w:asciiTheme="minorHAnsi" w:hAnsiTheme="minorHAnsi" w:cstheme="minorHAnsi"/>
                <w:color w:val="000000" w:themeColor="text1"/>
                <w:shd w:val="clear" w:color="auto" w:fill="FFFFFF"/>
              </w:rPr>
            </w:pPr>
            <w:r w:rsidRPr="00037AD4">
              <w:rPr>
                <w:rFonts w:asciiTheme="minorHAnsi" w:hAnsiTheme="minorHAnsi" w:cstheme="minorHAnsi"/>
                <w:color w:val="000000" w:themeColor="text1"/>
                <w:shd w:val="clear" w:color="auto" w:fill="FFFFFF"/>
              </w:rPr>
              <w:t xml:space="preserve">Cost utility analysis </w:t>
            </w:r>
          </w:p>
        </w:tc>
      </w:tr>
      <w:tr w:rsidR="00B54D51" w:rsidRPr="00037AD4" w14:paraId="07959A99" w14:textId="77777777" w:rsidTr="000B4FC6">
        <w:tc>
          <w:tcPr>
            <w:tcW w:w="1696" w:type="dxa"/>
          </w:tcPr>
          <w:p w14:paraId="39F83BF0" w14:textId="77777777" w:rsidR="00B54D51" w:rsidRPr="00037AD4" w:rsidRDefault="00B54D51" w:rsidP="001C35C0">
            <w:pPr>
              <w:spacing w:line="360" w:lineRule="auto"/>
              <w:rPr>
                <w:rFonts w:asciiTheme="minorHAnsi" w:hAnsiTheme="minorHAnsi" w:cstheme="minorHAnsi"/>
                <w:color w:val="000000" w:themeColor="text1"/>
              </w:rPr>
            </w:pPr>
            <w:r w:rsidRPr="00037AD4">
              <w:rPr>
                <w:rFonts w:asciiTheme="minorHAnsi" w:hAnsiTheme="minorHAnsi" w:cstheme="minorHAnsi"/>
                <w:color w:val="000000" w:themeColor="text1"/>
              </w:rPr>
              <w:t>DQoL</w:t>
            </w:r>
          </w:p>
        </w:tc>
        <w:tc>
          <w:tcPr>
            <w:tcW w:w="7320" w:type="dxa"/>
          </w:tcPr>
          <w:p w14:paraId="03204221" w14:textId="77777777" w:rsidR="00B54D51" w:rsidRPr="00037AD4" w:rsidRDefault="00B54D51" w:rsidP="001C35C0">
            <w:pPr>
              <w:spacing w:line="360" w:lineRule="auto"/>
              <w:rPr>
                <w:rFonts w:asciiTheme="minorHAnsi" w:hAnsiTheme="minorHAnsi" w:cstheme="minorHAnsi"/>
                <w:color w:val="000000" w:themeColor="text1"/>
              </w:rPr>
            </w:pPr>
            <w:r w:rsidRPr="00037AD4">
              <w:rPr>
                <w:rFonts w:asciiTheme="minorHAnsi" w:hAnsiTheme="minorHAnsi" w:cstheme="minorHAnsi"/>
                <w:color w:val="000000" w:themeColor="text1"/>
              </w:rPr>
              <w:t xml:space="preserve">Dementia Quality of Life instrument </w:t>
            </w:r>
          </w:p>
        </w:tc>
      </w:tr>
      <w:tr w:rsidR="00B54D51" w:rsidRPr="00037AD4" w14:paraId="10D51012" w14:textId="77777777" w:rsidTr="000B4FC6">
        <w:tc>
          <w:tcPr>
            <w:tcW w:w="1696" w:type="dxa"/>
          </w:tcPr>
          <w:p w14:paraId="11589250" w14:textId="77777777" w:rsidR="00B54D51" w:rsidRPr="00037AD4" w:rsidRDefault="00B54D51" w:rsidP="001C35C0">
            <w:pPr>
              <w:spacing w:line="360" w:lineRule="auto"/>
              <w:rPr>
                <w:rFonts w:asciiTheme="minorHAnsi" w:hAnsiTheme="minorHAnsi" w:cstheme="minorHAnsi"/>
                <w:color w:val="000000" w:themeColor="text1"/>
              </w:rPr>
            </w:pPr>
            <w:r w:rsidRPr="00037AD4">
              <w:rPr>
                <w:rFonts w:asciiTheme="minorHAnsi" w:hAnsiTheme="minorHAnsi" w:cstheme="minorHAnsi"/>
                <w:color w:val="000000" w:themeColor="text1"/>
              </w:rPr>
              <w:t>DEEP</w:t>
            </w:r>
          </w:p>
        </w:tc>
        <w:tc>
          <w:tcPr>
            <w:tcW w:w="7320" w:type="dxa"/>
          </w:tcPr>
          <w:p w14:paraId="0DF1D069" w14:textId="77777777" w:rsidR="00B54D51" w:rsidRPr="00037AD4" w:rsidRDefault="00B54D51" w:rsidP="001C35C0">
            <w:pPr>
              <w:spacing w:line="360" w:lineRule="auto"/>
              <w:rPr>
                <w:rFonts w:asciiTheme="minorHAnsi" w:hAnsiTheme="minorHAnsi" w:cstheme="minorHAnsi"/>
                <w:color w:val="000000" w:themeColor="text1"/>
              </w:rPr>
            </w:pPr>
            <w:r w:rsidRPr="00037AD4">
              <w:rPr>
                <w:rFonts w:asciiTheme="minorHAnsi" w:hAnsiTheme="minorHAnsi" w:cstheme="minorHAnsi"/>
                <w:color w:val="000000" w:themeColor="text1"/>
              </w:rPr>
              <w:t>Dementia Engagement and Empowerment Project</w:t>
            </w:r>
          </w:p>
        </w:tc>
      </w:tr>
      <w:tr w:rsidR="00B54D51" w:rsidRPr="00037AD4" w14:paraId="4A063640" w14:textId="77777777" w:rsidTr="000B4FC6">
        <w:tc>
          <w:tcPr>
            <w:tcW w:w="1696" w:type="dxa"/>
          </w:tcPr>
          <w:p w14:paraId="58D63C0C" w14:textId="77777777" w:rsidR="00B54D51" w:rsidRPr="00037AD4" w:rsidRDefault="00B54D51" w:rsidP="001C35C0">
            <w:pPr>
              <w:spacing w:line="360" w:lineRule="auto"/>
              <w:rPr>
                <w:rFonts w:asciiTheme="minorHAnsi" w:hAnsiTheme="minorHAnsi" w:cstheme="minorHAnsi"/>
                <w:color w:val="000000" w:themeColor="text1"/>
              </w:rPr>
            </w:pPr>
            <w:r w:rsidRPr="00037AD4">
              <w:rPr>
                <w:rFonts w:asciiTheme="minorHAnsi" w:hAnsiTheme="minorHAnsi" w:cstheme="minorHAnsi"/>
                <w:color w:val="000000" w:themeColor="text1"/>
              </w:rPr>
              <w:t>DEMQoL</w:t>
            </w:r>
          </w:p>
        </w:tc>
        <w:tc>
          <w:tcPr>
            <w:tcW w:w="7320" w:type="dxa"/>
          </w:tcPr>
          <w:p w14:paraId="2DCA6EB7" w14:textId="77777777" w:rsidR="00B54D51" w:rsidRPr="00037AD4" w:rsidRDefault="00B54D51" w:rsidP="001C35C0">
            <w:pPr>
              <w:spacing w:line="360" w:lineRule="auto"/>
              <w:rPr>
                <w:rFonts w:asciiTheme="minorHAnsi" w:hAnsiTheme="minorHAnsi" w:cstheme="minorHAnsi"/>
                <w:color w:val="000000" w:themeColor="text1"/>
              </w:rPr>
            </w:pPr>
            <w:r w:rsidRPr="00037AD4">
              <w:rPr>
                <w:rFonts w:asciiTheme="minorHAnsi" w:hAnsiTheme="minorHAnsi" w:cstheme="minorHAnsi"/>
                <w:color w:val="000000" w:themeColor="text1"/>
              </w:rPr>
              <w:t>Dementia Quality of Life Scale</w:t>
            </w:r>
          </w:p>
        </w:tc>
      </w:tr>
      <w:tr w:rsidR="00B54D51" w:rsidRPr="00037AD4" w14:paraId="2BDD18C7" w14:textId="77777777" w:rsidTr="000B4FC6">
        <w:tc>
          <w:tcPr>
            <w:tcW w:w="1696" w:type="dxa"/>
          </w:tcPr>
          <w:p w14:paraId="6B5C11EF" w14:textId="77777777" w:rsidR="00B54D51" w:rsidRPr="00037AD4" w:rsidRDefault="00B54D51" w:rsidP="001C35C0">
            <w:pPr>
              <w:spacing w:line="360" w:lineRule="auto"/>
              <w:rPr>
                <w:rFonts w:asciiTheme="minorHAnsi" w:hAnsiTheme="minorHAnsi" w:cstheme="minorHAnsi"/>
                <w:color w:val="000000" w:themeColor="text1"/>
              </w:rPr>
            </w:pPr>
            <w:r w:rsidRPr="00037AD4">
              <w:rPr>
                <w:rFonts w:asciiTheme="minorHAnsi" w:hAnsiTheme="minorHAnsi" w:cstheme="minorHAnsi"/>
                <w:color w:val="000000" w:themeColor="text1"/>
              </w:rPr>
              <w:t>DEMQoL-U</w:t>
            </w:r>
          </w:p>
        </w:tc>
        <w:tc>
          <w:tcPr>
            <w:tcW w:w="7320" w:type="dxa"/>
          </w:tcPr>
          <w:p w14:paraId="4628F21D" w14:textId="77777777" w:rsidR="00B54D51" w:rsidRPr="00037AD4" w:rsidRDefault="00B54D51" w:rsidP="001C35C0">
            <w:pPr>
              <w:spacing w:line="360" w:lineRule="auto"/>
              <w:rPr>
                <w:rFonts w:asciiTheme="minorHAnsi" w:hAnsiTheme="minorHAnsi" w:cstheme="minorHAnsi"/>
                <w:color w:val="000000" w:themeColor="text1"/>
              </w:rPr>
            </w:pPr>
            <w:r w:rsidRPr="00037AD4">
              <w:rPr>
                <w:rFonts w:asciiTheme="minorHAnsi" w:hAnsiTheme="minorHAnsi" w:cstheme="minorHAnsi"/>
                <w:color w:val="000000" w:themeColor="text1"/>
              </w:rPr>
              <w:t xml:space="preserve">Dementia Quality of Life – Utility  </w:t>
            </w:r>
          </w:p>
        </w:tc>
      </w:tr>
      <w:tr w:rsidR="00B54D51" w:rsidRPr="00037AD4" w14:paraId="347ABFBE" w14:textId="77777777" w:rsidTr="000B4FC6">
        <w:tc>
          <w:tcPr>
            <w:tcW w:w="1696" w:type="dxa"/>
          </w:tcPr>
          <w:p w14:paraId="5C0C66C1" w14:textId="77777777" w:rsidR="00B54D51" w:rsidRPr="00037AD4" w:rsidRDefault="00B54D51" w:rsidP="001C35C0">
            <w:pPr>
              <w:spacing w:line="360" w:lineRule="auto"/>
              <w:rPr>
                <w:rFonts w:asciiTheme="minorHAnsi" w:hAnsiTheme="minorHAnsi" w:cstheme="minorHAnsi"/>
                <w:color w:val="000000" w:themeColor="text1"/>
              </w:rPr>
            </w:pPr>
            <w:r w:rsidRPr="00037AD4">
              <w:rPr>
                <w:rFonts w:asciiTheme="minorHAnsi" w:hAnsiTheme="minorHAnsi" w:cstheme="minorHAnsi"/>
                <w:color w:val="000000" w:themeColor="text1"/>
              </w:rPr>
              <w:t>DLB</w:t>
            </w:r>
          </w:p>
        </w:tc>
        <w:tc>
          <w:tcPr>
            <w:tcW w:w="7320" w:type="dxa"/>
          </w:tcPr>
          <w:p w14:paraId="62CED97F" w14:textId="77777777" w:rsidR="00B54D51" w:rsidRPr="00037AD4" w:rsidRDefault="00B54D51" w:rsidP="001C35C0">
            <w:pPr>
              <w:spacing w:line="360" w:lineRule="auto"/>
              <w:rPr>
                <w:rFonts w:asciiTheme="minorHAnsi" w:hAnsiTheme="minorHAnsi" w:cstheme="minorHAnsi"/>
                <w:color w:val="000000" w:themeColor="text1"/>
              </w:rPr>
            </w:pPr>
            <w:r w:rsidRPr="00037AD4">
              <w:rPr>
                <w:rFonts w:asciiTheme="minorHAnsi" w:hAnsiTheme="minorHAnsi" w:cstheme="minorHAnsi"/>
                <w:color w:val="000000" w:themeColor="text1"/>
              </w:rPr>
              <w:t>Dementia with Lewy Bodies</w:t>
            </w:r>
          </w:p>
        </w:tc>
      </w:tr>
      <w:tr w:rsidR="00B54D51" w:rsidRPr="00037AD4" w14:paraId="4574C635" w14:textId="77777777" w:rsidTr="000B4FC6">
        <w:tc>
          <w:tcPr>
            <w:tcW w:w="1696" w:type="dxa"/>
          </w:tcPr>
          <w:p w14:paraId="641AB75C" w14:textId="77777777" w:rsidR="00B54D51" w:rsidRPr="00037AD4" w:rsidRDefault="00B54D51" w:rsidP="001C35C0">
            <w:pPr>
              <w:spacing w:line="360" w:lineRule="auto"/>
              <w:rPr>
                <w:rFonts w:asciiTheme="minorHAnsi" w:hAnsiTheme="minorHAnsi" w:cstheme="minorHAnsi"/>
                <w:color w:val="000000" w:themeColor="text1"/>
              </w:rPr>
            </w:pPr>
            <w:r w:rsidRPr="00037AD4">
              <w:rPr>
                <w:rFonts w:asciiTheme="minorHAnsi" w:hAnsiTheme="minorHAnsi" w:cstheme="minorHAnsi"/>
                <w:color w:val="000000" w:themeColor="text1"/>
              </w:rPr>
              <w:t>DRAiSY</w:t>
            </w:r>
          </w:p>
        </w:tc>
        <w:tc>
          <w:tcPr>
            <w:tcW w:w="7320" w:type="dxa"/>
          </w:tcPr>
          <w:p w14:paraId="6FF92E5E" w14:textId="77777777" w:rsidR="00B54D51" w:rsidRPr="00037AD4" w:rsidRDefault="00B54D51" w:rsidP="001C35C0">
            <w:pPr>
              <w:spacing w:line="360" w:lineRule="auto"/>
              <w:rPr>
                <w:rFonts w:asciiTheme="minorHAnsi" w:hAnsiTheme="minorHAnsi" w:cstheme="minorHAnsi"/>
                <w:color w:val="000000" w:themeColor="text1"/>
              </w:rPr>
            </w:pPr>
            <w:r w:rsidRPr="00037AD4">
              <w:rPr>
                <w:rFonts w:asciiTheme="minorHAnsi" w:hAnsiTheme="minorHAnsi" w:cstheme="minorHAnsi"/>
              </w:rPr>
              <w:t>The Dementia Research Advisory Group South Yorkshire</w:t>
            </w:r>
          </w:p>
        </w:tc>
      </w:tr>
      <w:tr w:rsidR="00B54D51" w:rsidRPr="00037AD4" w14:paraId="771E429E" w14:textId="77777777" w:rsidTr="000B4FC6">
        <w:tc>
          <w:tcPr>
            <w:tcW w:w="1696" w:type="dxa"/>
          </w:tcPr>
          <w:p w14:paraId="2BE4B50C" w14:textId="77777777" w:rsidR="00B54D51" w:rsidRPr="00037AD4" w:rsidRDefault="00B54D51" w:rsidP="001C35C0">
            <w:pPr>
              <w:spacing w:line="360" w:lineRule="auto"/>
              <w:rPr>
                <w:rFonts w:asciiTheme="minorHAnsi" w:hAnsiTheme="minorHAnsi" w:cstheme="minorHAnsi"/>
                <w:color w:val="000000" w:themeColor="text1"/>
              </w:rPr>
            </w:pPr>
            <w:r w:rsidRPr="00037AD4">
              <w:rPr>
                <w:rFonts w:asciiTheme="minorHAnsi" w:hAnsiTheme="minorHAnsi" w:cstheme="minorHAnsi"/>
                <w:color w:val="000000" w:themeColor="text1"/>
              </w:rPr>
              <w:t>EEPRU</w:t>
            </w:r>
          </w:p>
        </w:tc>
        <w:tc>
          <w:tcPr>
            <w:tcW w:w="7320" w:type="dxa"/>
          </w:tcPr>
          <w:p w14:paraId="00026661" w14:textId="77777777" w:rsidR="00B54D51" w:rsidRPr="00037AD4" w:rsidRDefault="00B54D51" w:rsidP="001C35C0">
            <w:pPr>
              <w:spacing w:line="360" w:lineRule="auto"/>
              <w:rPr>
                <w:rFonts w:asciiTheme="minorHAnsi" w:hAnsiTheme="minorHAnsi" w:cstheme="minorHAnsi"/>
                <w:color w:val="000000" w:themeColor="text1"/>
              </w:rPr>
            </w:pPr>
            <w:r w:rsidRPr="00037AD4">
              <w:rPr>
                <w:rFonts w:asciiTheme="minorHAnsi" w:hAnsiTheme="minorHAnsi" w:cstheme="minorHAnsi"/>
                <w:color w:val="000000" w:themeColor="text1"/>
              </w:rPr>
              <w:t>Policy Research Unit in Economic Evaluation of Health and Care Interventions</w:t>
            </w:r>
          </w:p>
        </w:tc>
      </w:tr>
      <w:tr w:rsidR="00B54D51" w:rsidRPr="00037AD4" w14:paraId="1ADD7B39" w14:textId="77777777" w:rsidTr="000B4FC6">
        <w:tc>
          <w:tcPr>
            <w:tcW w:w="1696" w:type="dxa"/>
          </w:tcPr>
          <w:p w14:paraId="5EEEAE1F" w14:textId="77777777" w:rsidR="00B54D51" w:rsidRPr="00037AD4" w:rsidRDefault="00B54D51" w:rsidP="001C35C0">
            <w:pPr>
              <w:spacing w:line="360" w:lineRule="auto"/>
              <w:rPr>
                <w:rFonts w:asciiTheme="minorHAnsi" w:hAnsiTheme="minorHAnsi" w:cstheme="minorHAnsi"/>
                <w:color w:val="000000" w:themeColor="text1"/>
              </w:rPr>
            </w:pPr>
            <w:r w:rsidRPr="00037AD4">
              <w:rPr>
                <w:rFonts w:asciiTheme="minorHAnsi" w:hAnsiTheme="minorHAnsi" w:cstheme="minorHAnsi"/>
                <w:color w:val="000000" w:themeColor="text1"/>
              </w:rPr>
              <w:t>EPIC</w:t>
            </w:r>
          </w:p>
        </w:tc>
        <w:tc>
          <w:tcPr>
            <w:tcW w:w="7320" w:type="dxa"/>
          </w:tcPr>
          <w:p w14:paraId="059AB34E" w14:textId="77777777" w:rsidR="00B54D51" w:rsidRPr="00037AD4" w:rsidRDefault="00B54D51" w:rsidP="001C35C0">
            <w:pPr>
              <w:spacing w:line="360" w:lineRule="auto"/>
              <w:rPr>
                <w:rFonts w:asciiTheme="minorHAnsi" w:hAnsiTheme="minorHAnsi" w:cstheme="minorHAnsi"/>
                <w:color w:val="000000" w:themeColor="text1"/>
              </w:rPr>
            </w:pPr>
            <w:r w:rsidRPr="00037AD4">
              <w:rPr>
                <w:rFonts w:asciiTheme="minorHAnsi" w:hAnsiTheme="minorHAnsi" w:cstheme="minorHAnsi"/>
              </w:rPr>
              <w:t>Enhancing Person Centred Care in Care homes</w:t>
            </w:r>
          </w:p>
        </w:tc>
      </w:tr>
      <w:tr w:rsidR="00B54D51" w:rsidRPr="00037AD4" w14:paraId="73AB6E11" w14:textId="77777777" w:rsidTr="000B4FC6">
        <w:tc>
          <w:tcPr>
            <w:tcW w:w="1696" w:type="dxa"/>
          </w:tcPr>
          <w:p w14:paraId="3DCD02EA" w14:textId="77777777" w:rsidR="00B54D51" w:rsidRPr="00037AD4" w:rsidRDefault="00B54D51" w:rsidP="001C35C0">
            <w:pPr>
              <w:spacing w:line="360" w:lineRule="auto"/>
              <w:rPr>
                <w:rFonts w:asciiTheme="minorHAnsi" w:hAnsiTheme="minorHAnsi" w:cstheme="minorHAnsi"/>
                <w:color w:val="000000" w:themeColor="text1"/>
              </w:rPr>
            </w:pPr>
            <w:r w:rsidRPr="00037AD4">
              <w:rPr>
                <w:rFonts w:asciiTheme="minorHAnsi" w:hAnsiTheme="minorHAnsi" w:cstheme="minorHAnsi"/>
                <w:color w:val="000000" w:themeColor="text1"/>
              </w:rPr>
              <w:t>EQ-5D</w:t>
            </w:r>
          </w:p>
        </w:tc>
        <w:tc>
          <w:tcPr>
            <w:tcW w:w="7320" w:type="dxa"/>
          </w:tcPr>
          <w:p w14:paraId="7CF5903D" w14:textId="77777777" w:rsidR="00B54D51" w:rsidRPr="00037AD4" w:rsidRDefault="00B54D51" w:rsidP="001C35C0">
            <w:pPr>
              <w:spacing w:line="360" w:lineRule="auto"/>
              <w:rPr>
                <w:rFonts w:asciiTheme="minorHAnsi" w:hAnsiTheme="minorHAnsi" w:cstheme="minorHAnsi"/>
                <w:color w:val="000000" w:themeColor="text1"/>
              </w:rPr>
            </w:pPr>
            <w:r w:rsidRPr="00037AD4">
              <w:rPr>
                <w:rFonts w:asciiTheme="minorHAnsi" w:hAnsiTheme="minorHAnsi" w:cstheme="minorHAnsi"/>
                <w:color w:val="000000" w:themeColor="text1"/>
              </w:rPr>
              <w:t>EuroQoL Five Dimension</w:t>
            </w:r>
          </w:p>
        </w:tc>
      </w:tr>
      <w:tr w:rsidR="00B54D51" w:rsidRPr="00037AD4" w14:paraId="29552226" w14:textId="77777777" w:rsidTr="000B4FC6">
        <w:tc>
          <w:tcPr>
            <w:tcW w:w="1696" w:type="dxa"/>
          </w:tcPr>
          <w:p w14:paraId="12AA7066" w14:textId="77777777" w:rsidR="00B54D51" w:rsidRPr="00037AD4" w:rsidRDefault="00B54D51" w:rsidP="001C35C0">
            <w:pPr>
              <w:spacing w:line="360" w:lineRule="auto"/>
              <w:rPr>
                <w:rFonts w:asciiTheme="minorHAnsi" w:hAnsiTheme="minorHAnsi" w:cstheme="minorHAnsi"/>
                <w:color w:val="000000" w:themeColor="text1"/>
              </w:rPr>
            </w:pPr>
            <w:r w:rsidRPr="00037AD4">
              <w:rPr>
                <w:rFonts w:asciiTheme="minorHAnsi" w:hAnsiTheme="minorHAnsi" w:cstheme="minorHAnsi"/>
                <w:color w:val="000000" w:themeColor="text1"/>
              </w:rPr>
              <w:t>EQ-5D-3L</w:t>
            </w:r>
          </w:p>
        </w:tc>
        <w:tc>
          <w:tcPr>
            <w:tcW w:w="7320" w:type="dxa"/>
          </w:tcPr>
          <w:p w14:paraId="2FA6B406" w14:textId="77777777" w:rsidR="00B54D51" w:rsidRPr="00037AD4" w:rsidRDefault="00B54D51" w:rsidP="001C35C0">
            <w:pPr>
              <w:spacing w:line="360" w:lineRule="auto"/>
              <w:rPr>
                <w:rFonts w:asciiTheme="minorHAnsi" w:hAnsiTheme="minorHAnsi" w:cstheme="minorHAnsi"/>
                <w:color w:val="000000" w:themeColor="text1"/>
              </w:rPr>
            </w:pPr>
            <w:r w:rsidRPr="00037AD4">
              <w:rPr>
                <w:rFonts w:asciiTheme="minorHAnsi" w:hAnsiTheme="minorHAnsi" w:cstheme="minorHAnsi"/>
                <w:color w:val="000000" w:themeColor="text1"/>
              </w:rPr>
              <w:t xml:space="preserve">EuroQoL Five Dimension three level version </w:t>
            </w:r>
          </w:p>
        </w:tc>
      </w:tr>
      <w:tr w:rsidR="00B54D51" w:rsidRPr="00037AD4" w14:paraId="42A602A1" w14:textId="77777777" w:rsidTr="000B4FC6">
        <w:tc>
          <w:tcPr>
            <w:tcW w:w="1696" w:type="dxa"/>
          </w:tcPr>
          <w:p w14:paraId="420BC8B9" w14:textId="77777777" w:rsidR="00B54D51" w:rsidRPr="00037AD4" w:rsidRDefault="00B54D51" w:rsidP="001C35C0">
            <w:pPr>
              <w:spacing w:line="360" w:lineRule="auto"/>
              <w:rPr>
                <w:rFonts w:asciiTheme="minorHAnsi" w:hAnsiTheme="minorHAnsi" w:cstheme="minorHAnsi"/>
                <w:color w:val="000000" w:themeColor="text1"/>
              </w:rPr>
            </w:pPr>
            <w:r w:rsidRPr="00037AD4">
              <w:rPr>
                <w:rFonts w:asciiTheme="minorHAnsi" w:hAnsiTheme="minorHAnsi" w:cstheme="minorHAnsi"/>
                <w:color w:val="000000" w:themeColor="text1"/>
              </w:rPr>
              <w:t>EQ-5D-5L</w:t>
            </w:r>
          </w:p>
        </w:tc>
        <w:tc>
          <w:tcPr>
            <w:tcW w:w="7320" w:type="dxa"/>
          </w:tcPr>
          <w:p w14:paraId="59202E88" w14:textId="77777777" w:rsidR="00B54D51" w:rsidRPr="00037AD4" w:rsidRDefault="00B54D51" w:rsidP="001C35C0">
            <w:pPr>
              <w:spacing w:line="360" w:lineRule="auto"/>
              <w:rPr>
                <w:rFonts w:asciiTheme="minorHAnsi" w:hAnsiTheme="minorHAnsi" w:cstheme="minorHAnsi"/>
                <w:color w:val="000000" w:themeColor="text1"/>
              </w:rPr>
            </w:pPr>
            <w:r w:rsidRPr="00037AD4">
              <w:rPr>
                <w:rFonts w:asciiTheme="minorHAnsi" w:hAnsiTheme="minorHAnsi" w:cstheme="minorHAnsi"/>
                <w:color w:val="000000" w:themeColor="text1"/>
              </w:rPr>
              <w:t xml:space="preserve">EuroQoL Five Dimension five level version </w:t>
            </w:r>
          </w:p>
        </w:tc>
      </w:tr>
      <w:tr w:rsidR="00B54D51" w:rsidRPr="00037AD4" w14:paraId="0FF9D8F3" w14:textId="77777777" w:rsidTr="000B4FC6">
        <w:tc>
          <w:tcPr>
            <w:tcW w:w="1696" w:type="dxa"/>
          </w:tcPr>
          <w:p w14:paraId="75BFB18D" w14:textId="77777777" w:rsidR="00B54D51" w:rsidRPr="00037AD4" w:rsidRDefault="00B54D51" w:rsidP="001C35C0">
            <w:pPr>
              <w:spacing w:line="360" w:lineRule="auto"/>
              <w:rPr>
                <w:rFonts w:asciiTheme="minorHAnsi" w:hAnsiTheme="minorHAnsi" w:cstheme="minorHAnsi"/>
                <w:color w:val="000000" w:themeColor="text1"/>
              </w:rPr>
            </w:pPr>
            <w:r w:rsidRPr="00037AD4">
              <w:rPr>
                <w:rFonts w:asciiTheme="minorHAnsi" w:hAnsiTheme="minorHAnsi" w:cstheme="minorHAnsi"/>
                <w:color w:val="000000" w:themeColor="text1"/>
              </w:rPr>
              <w:t>FAST</w:t>
            </w:r>
          </w:p>
        </w:tc>
        <w:tc>
          <w:tcPr>
            <w:tcW w:w="7320" w:type="dxa"/>
          </w:tcPr>
          <w:p w14:paraId="560B70F9" w14:textId="77777777" w:rsidR="00B54D51" w:rsidRPr="00037AD4" w:rsidRDefault="00B54D51" w:rsidP="001C35C0">
            <w:pPr>
              <w:spacing w:line="360" w:lineRule="auto"/>
              <w:rPr>
                <w:rFonts w:asciiTheme="minorHAnsi" w:hAnsiTheme="minorHAnsi" w:cstheme="minorHAnsi"/>
                <w:color w:val="000000" w:themeColor="text1"/>
              </w:rPr>
            </w:pPr>
            <w:r w:rsidRPr="00037AD4">
              <w:rPr>
                <w:rFonts w:asciiTheme="minorHAnsi" w:hAnsiTheme="minorHAnsi" w:cstheme="minorHAnsi"/>
              </w:rPr>
              <w:t>Functional assessment staging tool</w:t>
            </w:r>
          </w:p>
        </w:tc>
      </w:tr>
      <w:tr w:rsidR="00B54D51" w:rsidRPr="00037AD4" w14:paraId="19E03B83" w14:textId="77777777" w:rsidTr="000B4FC6">
        <w:tc>
          <w:tcPr>
            <w:tcW w:w="1696" w:type="dxa"/>
          </w:tcPr>
          <w:p w14:paraId="7F04A99B" w14:textId="77777777" w:rsidR="00B54D51" w:rsidRPr="00037AD4" w:rsidRDefault="00B54D51" w:rsidP="001C35C0">
            <w:pPr>
              <w:spacing w:line="360" w:lineRule="auto"/>
              <w:rPr>
                <w:rFonts w:asciiTheme="minorHAnsi" w:hAnsiTheme="minorHAnsi" w:cstheme="minorHAnsi"/>
                <w:color w:val="000000" w:themeColor="text1"/>
              </w:rPr>
            </w:pPr>
            <w:r w:rsidRPr="00037AD4">
              <w:rPr>
                <w:rFonts w:asciiTheme="minorHAnsi" w:hAnsiTheme="minorHAnsi" w:cstheme="minorHAnsi"/>
                <w:color w:val="000000" w:themeColor="text1"/>
              </w:rPr>
              <w:t>GDS</w:t>
            </w:r>
          </w:p>
        </w:tc>
        <w:tc>
          <w:tcPr>
            <w:tcW w:w="7320" w:type="dxa"/>
          </w:tcPr>
          <w:p w14:paraId="70EB9C83" w14:textId="77777777" w:rsidR="00B54D51" w:rsidRPr="00037AD4" w:rsidRDefault="00B54D51" w:rsidP="001C35C0">
            <w:pPr>
              <w:spacing w:line="360" w:lineRule="auto"/>
              <w:rPr>
                <w:rFonts w:asciiTheme="minorHAnsi" w:hAnsiTheme="minorHAnsi" w:cstheme="minorHAnsi"/>
                <w:color w:val="000000" w:themeColor="text1"/>
              </w:rPr>
            </w:pPr>
            <w:r w:rsidRPr="00037AD4">
              <w:rPr>
                <w:rFonts w:asciiTheme="minorHAnsi" w:hAnsiTheme="minorHAnsi" w:cstheme="minorHAnsi"/>
                <w:color w:val="000000" w:themeColor="text1"/>
              </w:rPr>
              <w:t xml:space="preserve">Geriatric Depression Scale </w:t>
            </w:r>
          </w:p>
        </w:tc>
      </w:tr>
      <w:tr w:rsidR="00B54D51" w:rsidRPr="00037AD4" w14:paraId="003050FC" w14:textId="77777777" w:rsidTr="000B4FC6">
        <w:tc>
          <w:tcPr>
            <w:tcW w:w="1696" w:type="dxa"/>
          </w:tcPr>
          <w:p w14:paraId="4A57D60C" w14:textId="77777777" w:rsidR="00B54D51" w:rsidRPr="00037AD4" w:rsidRDefault="00B54D51" w:rsidP="001C35C0">
            <w:pPr>
              <w:spacing w:line="360" w:lineRule="auto"/>
              <w:rPr>
                <w:rFonts w:asciiTheme="minorHAnsi" w:hAnsiTheme="minorHAnsi" w:cstheme="minorHAnsi"/>
                <w:color w:val="000000" w:themeColor="text1"/>
              </w:rPr>
            </w:pPr>
            <w:r w:rsidRPr="00037AD4">
              <w:rPr>
                <w:rFonts w:asciiTheme="minorHAnsi" w:hAnsiTheme="minorHAnsi" w:cstheme="minorHAnsi"/>
                <w:color w:val="000000" w:themeColor="text1"/>
              </w:rPr>
              <w:t>HRQoL</w:t>
            </w:r>
          </w:p>
        </w:tc>
        <w:tc>
          <w:tcPr>
            <w:tcW w:w="7320" w:type="dxa"/>
          </w:tcPr>
          <w:p w14:paraId="26BB72D0" w14:textId="77777777" w:rsidR="00B54D51" w:rsidRPr="00037AD4" w:rsidRDefault="00B54D51" w:rsidP="001C35C0">
            <w:pPr>
              <w:spacing w:line="360" w:lineRule="auto"/>
              <w:rPr>
                <w:rFonts w:asciiTheme="minorHAnsi" w:hAnsiTheme="minorHAnsi" w:cstheme="minorHAnsi"/>
                <w:color w:val="000000" w:themeColor="text1"/>
              </w:rPr>
            </w:pPr>
            <w:r w:rsidRPr="00037AD4">
              <w:rPr>
                <w:rFonts w:asciiTheme="minorHAnsi" w:hAnsiTheme="minorHAnsi" w:cstheme="minorHAnsi"/>
                <w:color w:val="000000" w:themeColor="text1"/>
              </w:rPr>
              <w:t>Health related quality of life</w:t>
            </w:r>
          </w:p>
        </w:tc>
      </w:tr>
      <w:tr w:rsidR="00B54D51" w:rsidRPr="00037AD4" w14:paraId="1905BCAD" w14:textId="77777777" w:rsidTr="000B4FC6">
        <w:tc>
          <w:tcPr>
            <w:tcW w:w="1696" w:type="dxa"/>
          </w:tcPr>
          <w:p w14:paraId="589F8898" w14:textId="77777777" w:rsidR="00B54D51" w:rsidRPr="00037AD4" w:rsidRDefault="00B54D51" w:rsidP="001C35C0">
            <w:pPr>
              <w:spacing w:line="360" w:lineRule="auto"/>
              <w:rPr>
                <w:rFonts w:asciiTheme="minorHAnsi" w:hAnsiTheme="minorHAnsi" w:cstheme="minorHAnsi"/>
                <w:color w:val="000000" w:themeColor="text1"/>
              </w:rPr>
            </w:pPr>
            <w:r w:rsidRPr="00037AD4">
              <w:rPr>
                <w:rFonts w:asciiTheme="minorHAnsi" w:hAnsiTheme="minorHAnsi" w:cstheme="minorHAnsi"/>
                <w:color w:val="000000" w:themeColor="text1"/>
              </w:rPr>
              <w:t>HTA</w:t>
            </w:r>
          </w:p>
        </w:tc>
        <w:tc>
          <w:tcPr>
            <w:tcW w:w="7320" w:type="dxa"/>
          </w:tcPr>
          <w:p w14:paraId="7B482022" w14:textId="77777777" w:rsidR="00B54D51" w:rsidRPr="00037AD4" w:rsidRDefault="00B54D51" w:rsidP="001C35C0">
            <w:pPr>
              <w:spacing w:line="360" w:lineRule="auto"/>
              <w:rPr>
                <w:rFonts w:asciiTheme="minorHAnsi" w:hAnsiTheme="minorHAnsi" w:cstheme="minorHAnsi"/>
                <w:color w:val="000000" w:themeColor="text1"/>
              </w:rPr>
            </w:pPr>
            <w:r w:rsidRPr="00037AD4">
              <w:rPr>
                <w:rFonts w:asciiTheme="minorHAnsi" w:hAnsiTheme="minorHAnsi" w:cstheme="minorHAnsi"/>
                <w:color w:val="000000" w:themeColor="text1"/>
              </w:rPr>
              <w:t xml:space="preserve">Health technology assessment </w:t>
            </w:r>
          </w:p>
        </w:tc>
      </w:tr>
      <w:tr w:rsidR="00B54D51" w:rsidRPr="00037AD4" w14:paraId="2274D54F" w14:textId="77777777" w:rsidTr="000B4FC6">
        <w:tc>
          <w:tcPr>
            <w:tcW w:w="1696" w:type="dxa"/>
          </w:tcPr>
          <w:p w14:paraId="0C240A4C" w14:textId="77777777" w:rsidR="00B54D51" w:rsidRPr="00037AD4" w:rsidRDefault="00B54D51" w:rsidP="001C35C0">
            <w:pPr>
              <w:spacing w:line="360" w:lineRule="auto"/>
              <w:rPr>
                <w:rFonts w:asciiTheme="minorHAnsi" w:hAnsiTheme="minorHAnsi" w:cstheme="minorHAnsi"/>
                <w:color w:val="000000" w:themeColor="text1"/>
              </w:rPr>
            </w:pPr>
            <w:r w:rsidRPr="00037AD4">
              <w:rPr>
                <w:rFonts w:asciiTheme="minorHAnsi" w:hAnsiTheme="minorHAnsi" w:cstheme="minorHAnsi"/>
                <w:color w:val="000000" w:themeColor="text1"/>
              </w:rPr>
              <w:t>IADL (scale)</w:t>
            </w:r>
          </w:p>
        </w:tc>
        <w:tc>
          <w:tcPr>
            <w:tcW w:w="7320" w:type="dxa"/>
          </w:tcPr>
          <w:p w14:paraId="5DABCA18" w14:textId="77777777" w:rsidR="00B54D51" w:rsidRPr="00037AD4" w:rsidRDefault="00B54D51" w:rsidP="001C35C0">
            <w:pPr>
              <w:spacing w:line="360" w:lineRule="auto"/>
              <w:rPr>
                <w:rFonts w:asciiTheme="minorHAnsi" w:hAnsiTheme="minorHAnsi" w:cstheme="minorHAnsi"/>
                <w:color w:val="000000" w:themeColor="text1"/>
              </w:rPr>
            </w:pPr>
            <w:r w:rsidRPr="00037AD4">
              <w:rPr>
                <w:rFonts w:asciiTheme="minorHAnsi" w:hAnsiTheme="minorHAnsi" w:cstheme="minorHAnsi"/>
              </w:rPr>
              <w:t>Lawton’s instrument activities of daily living scale</w:t>
            </w:r>
          </w:p>
        </w:tc>
      </w:tr>
      <w:tr w:rsidR="00B54D51" w:rsidRPr="00037AD4" w14:paraId="4F5D3C7F" w14:textId="77777777" w:rsidTr="000B4FC6">
        <w:tc>
          <w:tcPr>
            <w:tcW w:w="1696" w:type="dxa"/>
          </w:tcPr>
          <w:p w14:paraId="77280253" w14:textId="77777777" w:rsidR="00B54D51" w:rsidRPr="00037AD4" w:rsidRDefault="00B54D51" w:rsidP="001C35C0">
            <w:pPr>
              <w:spacing w:line="360" w:lineRule="auto"/>
              <w:rPr>
                <w:rFonts w:asciiTheme="minorHAnsi" w:hAnsiTheme="minorHAnsi" w:cstheme="minorHAnsi"/>
                <w:color w:val="000000" w:themeColor="text1"/>
              </w:rPr>
            </w:pPr>
            <w:r w:rsidRPr="00037AD4">
              <w:rPr>
                <w:rFonts w:asciiTheme="minorHAnsi" w:hAnsiTheme="minorHAnsi" w:cstheme="minorHAnsi"/>
                <w:color w:val="000000" w:themeColor="text1"/>
              </w:rPr>
              <w:lastRenderedPageBreak/>
              <w:t>ICC</w:t>
            </w:r>
          </w:p>
        </w:tc>
        <w:tc>
          <w:tcPr>
            <w:tcW w:w="7320" w:type="dxa"/>
          </w:tcPr>
          <w:p w14:paraId="54EE270F" w14:textId="77777777" w:rsidR="00B54D51" w:rsidRPr="00037AD4" w:rsidRDefault="00B54D51" w:rsidP="001C35C0">
            <w:pPr>
              <w:spacing w:line="360" w:lineRule="auto"/>
              <w:rPr>
                <w:rFonts w:asciiTheme="minorHAnsi" w:hAnsiTheme="minorHAnsi" w:cstheme="minorHAnsi"/>
                <w:color w:val="000000" w:themeColor="text1"/>
              </w:rPr>
            </w:pPr>
            <w:r w:rsidRPr="00037AD4">
              <w:rPr>
                <w:rFonts w:asciiTheme="minorHAnsi" w:hAnsiTheme="minorHAnsi" w:cstheme="minorHAnsi"/>
                <w:color w:val="000000" w:themeColor="text1"/>
              </w:rPr>
              <w:t xml:space="preserve">Intra-class correlation coefficient </w:t>
            </w:r>
          </w:p>
        </w:tc>
      </w:tr>
      <w:tr w:rsidR="00B54D51" w:rsidRPr="00037AD4" w14:paraId="2A56CBF6" w14:textId="77777777" w:rsidTr="000B4FC6">
        <w:tc>
          <w:tcPr>
            <w:tcW w:w="1696" w:type="dxa"/>
          </w:tcPr>
          <w:p w14:paraId="46E6AA01" w14:textId="77777777" w:rsidR="00B54D51" w:rsidRPr="00037AD4" w:rsidRDefault="00B54D51" w:rsidP="001C35C0">
            <w:pPr>
              <w:spacing w:line="360" w:lineRule="auto"/>
              <w:rPr>
                <w:rFonts w:asciiTheme="minorHAnsi" w:hAnsiTheme="minorHAnsi" w:cstheme="minorHAnsi"/>
                <w:color w:val="000000" w:themeColor="text1"/>
              </w:rPr>
            </w:pPr>
            <w:r w:rsidRPr="00037AD4">
              <w:rPr>
                <w:rFonts w:asciiTheme="minorHAnsi" w:hAnsiTheme="minorHAnsi" w:cstheme="minorHAnsi"/>
                <w:color w:val="000000" w:themeColor="text1"/>
              </w:rPr>
              <w:t>ICECAP-O</w:t>
            </w:r>
          </w:p>
        </w:tc>
        <w:tc>
          <w:tcPr>
            <w:tcW w:w="7320" w:type="dxa"/>
          </w:tcPr>
          <w:p w14:paraId="1A14C859" w14:textId="77777777" w:rsidR="00B54D51" w:rsidRPr="00037AD4" w:rsidRDefault="00B54D51" w:rsidP="001C35C0">
            <w:pPr>
              <w:spacing w:line="360" w:lineRule="auto"/>
              <w:rPr>
                <w:rFonts w:asciiTheme="minorHAnsi" w:hAnsiTheme="minorHAnsi" w:cstheme="minorHAnsi"/>
                <w:color w:val="000000" w:themeColor="text1"/>
              </w:rPr>
            </w:pPr>
            <w:r w:rsidRPr="00037AD4">
              <w:rPr>
                <w:rFonts w:asciiTheme="minorHAnsi" w:hAnsiTheme="minorHAnsi" w:cstheme="minorHAnsi"/>
                <w:color w:val="000000" w:themeColor="text1"/>
                <w:shd w:val="clear" w:color="auto" w:fill="FFFFFF"/>
              </w:rPr>
              <w:t>ICEpop CAPability measure for Older people</w:t>
            </w:r>
          </w:p>
        </w:tc>
      </w:tr>
      <w:tr w:rsidR="00B54D51" w:rsidRPr="00037AD4" w14:paraId="256EC369" w14:textId="77777777" w:rsidTr="000B4FC6">
        <w:tc>
          <w:tcPr>
            <w:tcW w:w="1696" w:type="dxa"/>
          </w:tcPr>
          <w:p w14:paraId="5EDB56BC" w14:textId="77777777" w:rsidR="00B54D51" w:rsidRPr="00037AD4" w:rsidRDefault="00B54D51" w:rsidP="001C35C0">
            <w:pPr>
              <w:spacing w:line="360" w:lineRule="auto"/>
              <w:rPr>
                <w:rFonts w:asciiTheme="minorHAnsi" w:hAnsiTheme="minorHAnsi" w:cstheme="minorHAnsi"/>
                <w:color w:val="000000" w:themeColor="text1"/>
              </w:rPr>
            </w:pPr>
            <w:r w:rsidRPr="00037AD4">
              <w:rPr>
                <w:rFonts w:asciiTheme="minorHAnsi" w:hAnsiTheme="minorHAnsi" w:cstheme="minorHAnsi"/>
                <w:color w:val="000000" w:themeColor="text1"/>
              </w:rPr>
              <w:t>ICER</w:t>
            </w:r>
          </w:p>
        </w:tc>
        <w:tc>
          <w:tcPr>
            <w:tcW w:w="7320" w:type="dxa"/>
          </w:tcPr>
          <w:p w14:paraId="1F9B573F" w14:textId="77777777" w:rsidR="00B54D51" w:rsidRPr="00037AD4" w:rsidRDefault="00B54D51" w:rsidP="001C35C0">
            <w:pPr>
              <w:spacing w:line="360" w:lineRule="auto"/>
              <w:rPr>
                <w:rFonts w:asciiTheme="minorHAnsi" w:hAnsiTheme="minorHAnsi" w:cstheme="minorHAnsi"/>
                <w:color w:val="000000" w:themeColor="text1"/>
                <w:shd w:val="clear" w:color="auto" w:fill="FFFFFF"/>
              </w:rPr>
            </w:pPr>
            <w:r w:rsidRPr="00037AD4">
              <w:rPr>
                <w:rFonts w:asciiTheme="minorHAnsi" w:hAnsiTheme="minorHAnsi" w:cstheme="minorHAnsi"/>
                <w:color w:val="000000" w:themeColor="text1"/>
                <w:shd w:val="clear" w:color="auto" w:fill="FFFFFF"/>
              </w:rPr>
              <w:t xml:space="preserve">Incremental cost-effectiveness ratio </w:t>
            </w:r>
          </w:p>
        </w:tc>
      </w:tr>
      <w:tr w:rsidR="00B54D51" w:rsidRPr="00037AD4" w14:paraId="5E978B5D" w14:textId="77777777" w:rsidTr="000B4FC6">
        <w:tc>
          <w:tcPr>
            <w:tcW w:w="1696" w:type="dxa"/>
          </w:tcPr>
          <w:p w14:paraId="254B5D7A" w14:textId="77777777" w:rsidR="00B54D51" w:rsidRPr="00037AD4" w:rsidRDefault="00B54D51" w:rsidP="001C35C0">
            <w:pPr>
              <w:spacing w:line="360" w:lineRule="auto"/>
              <w:rPr>
                <w:rFonts w:asciiTheme="minorHAnsi" w:hAnsiTheme="minorHAnsi" w:cstheme="minorHAnsi"/>
                <w:noProof/>
                <w:color w:val="000000" w:themeColor="text1"/>
              </w:rPr>
            </w:pPr>
            <w:r w:rsidRPr="00037AD4">
              <w:rPr>
                <w:rFonts w:asciiTheme="minorHAnsi" w:hAnsiTheme="minorHAnsi" w:cstheme="minorHAnsi"/>
                <w:noProof/>
                <w:color w:val="000000" w:themeColor="text1"/>
              </w:rPr>
              <w:t>IPD</w:t>
            </w:r>
          </w:p>
        </w:tc>
        <w:tc>
          <w:tcPr>
            <w:tcW w:w="7320" w:type="dxa"/>
          </w:tcPr>
          <w:p w14:paraId="574DCBFD" w14:textId="77777777" w:rsidR="00B54D51" w:rsidRPr="00037AD4" w:rsidRDefault="00B54D51" w:rsidP="001C35C0">
            <w:pPr>
              <w:spacing w:line="360" w:lineRule="auto"/>
              <w:rPr>
                <w:rFonts w:asciiTheme="minorHAnsi" w:hAnsiTheme="minorHAnsi" w:cstheme="minorHAnsi"/>
                <w:noProof/>
                <w:color w:val="000000" w:themeColor="text1"/>
              </w:rPr>
            </w:pPr>
            <w:r w:rsidRPr="00037AD4">
              <w:rPr>
                <w:rFonts w:asciiTheme="minorHAnsi" w:hAnsiTheme="minorHAnsi" w:cstheme="minorHAnsi"/>
                <w:noProof/>
                <w:color w:val="000000" w:themeColor="text1"/>
              </w:rPr>
              <w:t xml:space="preserve">Individual patient data </w:t>
            </w:r>
          </w:p>
        </w:tc>
      </w:tr>
      <w:tr w:rsidR="00B54D51" w:rsidRPr="00037AD4" w14:paraId="4CD0D0AB" w14:textId="77777777" w:rsidTr="000B4FC6">
        <w:tc>
          <w:tcPr>
            <w:tcW w:w="1696" w:type="dxa"/>
          </w:tcPr>
          <w:p w14:paraId="76CA628C" w14:textId="77777777" w:rsidR="00B54D51" w:rsidRPr="00037AD4" w:rsidRDefault="00B54D51" w:rsidP="001C35C0">
            <w:pPr>
              <w:spacing w:line="360" w:lineRule="auto"/>
              <w:rPr>
                <w:rFonts w:asciiTheme="minorHAnsi" w:hAnsiTheme="minorHAnsi" w:cstheme="minorHAnsi"/>
                <w:color w:val="000000" w:themeColor="text1"/>
              </w:rPr>
            </w:pPr>
            <w:r w:rsidRPr="00037AD4">
              <w:rPr>
                <w:rFonts w:asciiTheme="minorHAnsi" w:hAnsiTheme="minorHAnsi" w:cstheme="minorHAnsi"/>
                <w:noProof/>
                <w:color w:val="000000" w:themeColor="text1"/>
              </w:rPr>
              <w:t>ISRCTN</w:t>
            </w:r>
          </w:p>
        </w:tc>
        <w:tc>
          <w:tcPr>
            <w:tcW w:w="7320" w:type="dxa"/>
          </w:tcPr>
          <w:p w14:paraId="4D33870D" w14:textId="77777777" w:rsidR="00B54D51" w:rsidRPr="00037AD4" w:rsidRDefault="00B54D51" w:rsidP="001C35C0">
            <w:pPr>
              <w:spacing w:line="360" w:lineRule="auto"/>
              <w:rPr>
                <w:rFonts w:asciiTheme="minorHAnsi" w:hAnsiTheme="minorHAnsi" w:cstheme="minorHAnsi"/>
                <w:color w:val="000000" w:themeColor="text1"/>
                <w:shd w:val="clear" w:color="auto" w:fill="FFFFFF"/>
              </w:rPr>
            </w:pPr>
            <w:r w:rsidRPr="00037AD4">
              <w:rPr>
                <w:rFonts w:asciiTheme="minorHAnsi" w:hAnsiTheme="minorHAnsi" w:cstheme="minorHAnsi"/>
                <w:noProof/>
                <w:color w:val="000000" w:themeColor="text1"/>
              </w:rPr>
              <w:t>International Standard Randomised Controlled Trial Number</w:t>
            </w:r>
          </w:p>
        </w:tc>
      </w:tr>
      <w:tr w:rsidR="00B54D51" w:rsidRPr="00037AD4" w14:paraId="3AED1EC3" w14:textId="77777777" w:rsidTr="000B4FC6">
        <w:tc>
          <w:tcPr>
            <w:tcW w:w="1696" w:type="dxa"/>
          </w:tcPr>
          <w:p w14:paraId="01E20CE3" w14:textId="77777777" w:rsidR="00B54D51" w:rsidRPr="00037AD4" w:rsidRDefault="00B54D51" w:rsidP="001C35C0">
            <w:pPr>
              <w:spacing w:line="360" w:lineRule="auto"/>
              <w:rPr>
                <w:rFonts w:asciiTheme="minorHAnsi" w:hAnsiTheme="minorHAnsi" w:cstheme="minorHAnsi"/>
                <w:noProof/>
                <w:color w:val="000000" w:themeColor="text1"/>
              </w:rPr>
            </w:pPr>
            <w:r w:rsidRPr="00037AD4">
              <w:rPr>
                <w:rFonts w:asciiTheme="minorHAnsi" w:hAnsiTheme="minorHAnsi" w:cstheme="minorHAnsi"/>
                <w:noProof/>
                <w:color w:val="000000" w:themeColor="text1"/>
              </w:rPr>
              <w:t>JPND</w:t>
            </w:r>
          </w:p>
        </w:tc>
        <w:tc>
          <w:tcPr>
            <w:tcW w:w="7320" w:type="dxa"/>
          </w:tcPr>
          <w:p w14:paraId="58150EFF" w14:textId="77777777" w:rsidR="00B54D51" w:rsidRPr="00037AD4" w:rsidRDefault="00B54D51" w:rsidP="001C35C0">
            <w:pPr>
              <w:spacing w:line="360" w:lineRule="auto"/>
              <w:rPr>
                <w:rFonts w:asciiTheme="minorHAnsi" w:hAnsiTheme="minorHAnsi" w:cstheme="minorHAnsi"/>
                <w:noProof/>
                <w:color w:val="000000" w:themeColor="text1"/>
              </w:rPr>
            </w:pPr>
            <w:r w:rsidRPr="00037AD4">
              <w:rPr>
                <w:rFonts w:asciiTheme="minorHAnsi" w:hAnsiTheme="minorHAnsi" w:cstheme="minorHAnsi"/>
                <w:noProof/>
                <w:color w:val="000000" w:themeColor="text1"/>
              </w:rPr>
              <w:t>Joint Programme - Neurodegenerative Disease</w:t>
            </w:r>
          </w:p>
        </w:tc>
      </w:tr>
      <w:tr w:rsidR="00B54D51" w:rsidRPr="00037AD4" w14:paraId="1C290389" w14:textId="77777777" w:rsidTr="000B4FC6">
        <w:tc>
          <w:tcPr>
            <w:tcW w:w="1696" w:type="dxa"/>
          </w:tcPr>
          <w:p w14:paraId="35C1EC51" w14:textId="77777777" w:rsidR="00B54D51" w:rsidRPr="00037AD4" w:rsidRDefault="00B54D51" w:rsidP="001C35C0">
            <w:pPr>
              <w:spacing w:line="360" w:lineRule="auto"/>
              <w:rPr>
                <w:rFonts w:asciiTheme="minorHAnsi" w:hAnsiTheme="minorHAnsi" w:cstheme="minorHAnsi"/>
                <w:color w:val="000000" w:themeColor="text1"/>
              </w:rPr>
            </w:pPr>
            <w:r w:rsidRPr="00037AD4">
              <w:rPr>
                <w:rFonts w:asciiTheme="minorHAnsi" w:hAnsiTheme="minorHAnsi" w:cstheme="minorHAnsi"/>
                <w:color w:val="000000" w:themeColor="text1"/>
              </w:rPr>
              <w:t>PBM</w:t>
            </w:r>
          </w:p>
        </w:tc>
        <w:tc>
          <w:tcPr>
            <w:tcW w:w="7320" w:type="dxa"/>
          </w:tcPr>
          <w:p w14:paraId="6B93B238" w14:textId="77777777" w:rsidR="00B54D51" w:rsidRPr="00037AD4" w:rsidRDefault="00B54D51" w:rsidP="001C35C0">
            <w:pPr>
              <w:spacing w:line="360" w:lineRule="auto"/>
              <w:rPr>
                <w:rFonts w:asciiTheme="minorHAnsi" w:hAnsiTheme="minorHAnsi" w:cstheme="minorHAnsi"/>
                <w:color w:val="000000" w:themeColor="text1"/>
              </w:rPr>
            </w:pPr>
            <w:r w:rsidRPr="00037AD4">
              <w:rPr>
                <w:rFonts w:asciiTheme="minorHAnsi" w:hAnsiTheme="minorHAnsi" w:cstheme="minorHAnsi"/>
                <w:color w:val="000000" w:themeColor="text1"/>
              </w:rPr>
              <w:t>Preference-based measure</w:t>
            </w:r>
          </w:p>
        </w:tc>
      </w:tr>
      <w:tr w:rsidR="00B54D51" w:rsidRPr="00037AD4" w14:paraId="1EE9D6AE" w14:textId="77777777" w:rsidTr="000B4FC6">
        <w:tc>
          <w:tcPr>
            <w:tcW w:w="1696" w:type="dxa"/>
          </w:tcPr>
          <w:p w14:paraId="6C79558A" w14:textId="77777777" w:rsidR="00B54D51" w:rsidRPr="00037AD4" w:rsidRDefault="00B54D51" w:rsidP="001C35C0">
            <w:pPr>
              <w:spacing w:line="360" w:lineRule="auto"/>
              <w:rPr>
                <w:rFonts w:asciiTheme="minorHAnsi" w:hAnsiTheme="minorHAnsi" w:cstheme="minorHAnsi"/>
                <w:color w:val="000000" w:themeColor="text1"/>
              </w:rPr>
            </w:pPr>
            <w:r w:rsidRPr="00037AD4">
              <w:rPr>
                <w:rFonts w:asciiTheme="minorHAnsi" w:hAnsiTheme="minorHAnsi" w:cstheme="minorHAnsi"/>
                <w:color w:val="000000" w:themeColor="text1"/>
              </w:rPr>
              <w:t>PPIE</w:t>
            </w:r>
          </w:p>
        </w:tc>
        <w:tc>
          <w:tcPr>
            <w:tcW w:w="7320" w:type="dxa"/>
          </w:tcPr>
          <w:p w14:paraId="05D386DF" w14:textId="77777777" w:rsidR="00B54D51" w:rsidRPr="00037AD4" w:rsidRDefault="00B54D51" w:rsidP="001C35C0">
            <w:pPr>
              <w:spacing w:line="360" w:lineRule="auto"/>
              <w:rPr>
                <w:rFonts w:asciiTheme="minorHAnsi" w:hAnsiTheme="minorHAnsi" w:cstheme="minorHAnsi"/>
                <w:color w:val="000000" w:themeColor="text1"/>
              </w:rPr>
            </w:pPr>
            <w:r w:rsidRPr="00037AD4">
              <w:rPr>
                <w:rFonts w:asciiTheme="minorHAnsi" w:hAnsiTheme="minorHAnsi" w:cstheme="minorHAnsi"/>
                <w:color w:val="000000" w:themeColor="text1"/>
              </w:rPr>
              <w:t xml:space="preserve">Patient and public involvement and engagement </w:t>
            </w:r>
          </w:p>
        </w:tc>
      </w:tr>
      <w:tr w:rsidR="00B54D51" w:rsidRPr="00037AD4" w14:paraId="40117D9E" w14:textId="77777777" w:rsidTr="000B4FC6">
        <w:tc>
          <w:tcPr>
            <w:tcW w:w="1696" w:type="dxa"/>
          </w:tcPr>
          <w:p w14:paraId="0BDD977F" w14:textId="77777777" w:rsidR="00B54D51" w:rsidRPr="00037AD4" w:rsidRDefault="00B54D51" w:rsidP="001C35C0">
            <w:pPr>
              <w:spacing w:line="360" w:lineRule="auto"/>
              <w:rPr>
                <w:rFonts w:asciiTheme="minorHAnsi" w:hAnsiTheme="minorHAnsi" w:cstheme="minorHAnsi"/>
                <w:color w:val="000000" w:themeColor="text1"/>
              </w:rPr>
            </w:pPr>
            <w:r w:rsidRPr="00037AD4">
              <w:rPr>
                <w:rFonts w:asciiTheme="minorHAnsi" w:hAnsiTheme="minorHAnsi" w:cstheme="minorHAnsi"/>
                <w:color w:val="000000" w:themeColor="text1"/>
              </w:rPr>
              <w:t>PRISMA</w:t>
            </w:r>
          </w:p>
        </w:tc>
        <w:tc>
          <w:tcPr>
            <w:tcW w:w="7320" w:type="dxa"/>
          </w:tcPr>
          <w:p w14:paraId="4F09A526" w14:textId="77777777" w:rsidR="00B54D51" w:rsidRPr="00037AD4" w:rsidRDefault="00B54D51" w:rsidP="001C35C0">
            <w:pPr>
              <w:spacing w:line="360" w:lineRule="auto"/>
              <w:rPr>
                <w:rFonts w:asciiTheme="minorHAnsi" w:hAnsiTheme="minorHAnsi" w:cstheme="minorHAnsi"/>
                <w:color w:val="000000" w:themeColor="text1"/>
              </w:rPr>
            </w:pPr>
            <w:r w:rsidRPr="00037AD4">
              <w:rPr>
                <w:rFonts w:asciiTheme="minorHAnsi" w:hAnsiTheme="minorHAnsi" w:cstheme="minorHAnsi"/>
              </w:rPr>
              <w:t>The Preferred Reporting of Items for Systematic Review and Meta-Analysis</w:t>
            </w:r>
          </w:p>
        </w:tc>
      </w:tr>
      <w:tr w:rsidR="00B54D51" w:rsidRPr="00037AD4" w14:paraId="62C4A59B" w14:textId="77777777" w:rsidTr="000B4FC6">
        <w:tc>
          <w:tcPr>
            <w:tcW w:w="1696" w:type="dxa"/>
          </w:tcPr>
          <w:p w14:paraId="7A0CF5EE" w14:textId="77777777" w:rsidR="00B54D51" w:rsidRPr="00037AD4" w:rsidRDefault="00B54D51" w:rsidP="001C35C0">
            <w:pPr>
              <w:spacing w:line="360" w:lineRule="auto"/>
              <w:rPr>
                <w:rFonts w:asciiTheme="minorHAnsi" w:hAnsiTheme="minorHAnsi" w:cstheme="minorHAnsi"/>
                <w:color w:val="000000" w:themeColor="text1"/>
              </w:rPr>
            </w:pPr>
            <w:r w:rsidRPr="00037AD4">
              <w:rPr>
                <w:rFonts w:asciiTheme="minorHAnsi" w:hAnsiTheme="minorHAnsi" w:cstheme="minorHAnsi"/>
                <w:color w:val="000000" w:themeColor="text1"/>
              </w:rPr>
              <w:t>PROM</w:t>
            </w:r>
          </w:p>
        </w:tc>
        <w:tc>
          <w:tcPr>
            <w:tcW w:w="7320" w:type="dxa"/>
          </w:tcPr>
          <w:p w14:paraId="5E439C00" w14:textId="77777777" w:rsidR="00B54D51" w:rsidRPr="00037AD4" w:rsidRDefault="00B54D51" w:rsidP="001C35C0">
            <w:pPr>
              <w:spacing w:line="360" w:lineRule="auto"/>
              <w:rPr>
                <w:rFonts w:asciiTheme="minorHAnsi" w:hAnsiTheme="minorHAnsi" w:cstheme="minorHAnsi"/>
                <w:color w:val="000000" w:themeColor="text1"/>
              </w:rPr>
            </w:pPr>
            <w:r w:rsidRPr="00037AD4">
              <w:rPr>
                <w:rFonts w:asciiTheme="minorHAnsi" w:hAnsiTheme="minorHAnsi" w:cstheme="minorHAnsi"/>
                <w:color w:val="000000" w:themeColor="text1"/>
              </w:rPr>
              <w:t xml:space="preserve">Patient-Reported Outcome Measure </w:t>
            </w:r>
          </w:p>
        </w:tc>
      </w:tr>
      <w:tr w:rsidR="00B54D51" w:rsidRPr="00037AD4" w14:paraId="272DA6C6" w14:textId="77777777" w:rsidTr="000B4FC6">
        <w:tc>
          <w:tcPr>
            <w:tcW w:w="1696" w:type="dxa"/>
          </w:tcPr>
          <w:p w14:paraId="2D1223F2" w14:textId="77777777" w:rsidR="00B54D51" w:rsidRPr="00037AD4" w:rsidRDefault="00B54D51" w:rsidP="001C35C0">
            <w:pPr>
              <w:spacing w:line="360" w:lineRule="auto"/>
              <w:rPr>
                <w:rFonts w:asciiTheme="minorHAnsi" w:hAnsiTheme="minorHAnsi" w:cstheme="minorHAnsi"/>
                <w:color w:val="000000" w:themeColor="text1"/>
              </w:rPr>
            </w:pPr>
            <w:r w:rsidRPr="00037AD4">
              <w:rPr>
                <w:rFonts w:asciiTheme="minorHAnsi" w:hAnsiTheme="minorHAnsi" w:cstheme="minorHAnsi"/>
                <w:color w:val="000000" w:themeColor="text1"/>
              </w:rPr>
              <w:t>PSMS</w:t>
            </w:r>
          </w:p>
        </w:tc>
        <w:tc>
          <w:tcPr>
            <w:tcW w:w="7320" w:type="dxa"/>
          </w:tcPr>
          <w:p w14:paraId="2BF9BF53" w14:textId="77777777" w:rsidR="00B54D51" w:rsidRPr="00037AD4" w:rsidRDefault="00B54D51" w:rsidP="001C35C0">
            <w:pPr>
              <w:spacing w:line="360" w:lineRule="auto"/>
              <w:rPr>
                <w:rFonts w:asciiTheme="minorHAnsi" w:hAnsiTheme="minorHAnsi" w:cstheme="minorHAnsi"/>
                <w:color w:val="000000" w:themeColor="text1"/>
              </w:rPr>
            </w:pPr>
            <w:r w:rsidRPr="00037AD4">
              <w:rPr>
                <w:rFonts w:asciiTheme="minorHAnsi" w:hAnsiTheme="minorHAnsi" w:cstheme="minorHAnsi"/>
              </w:rPr>
              <w:t>Physical Self-Maintenance Scale</w:t>
            </w:r>
          </w:p>
        </w:tc>
      </w:tr>
      <w:tr w:rsidR="00B54D51" w:rsidRPr="00037AD4" w14:paraId="34D40BBC" w14:textId="77777777" w:rsidTr="000B4FC6">
        <w:tc>
          <w:tcPr>
            <w:tcW w:w="1696" w:type="dxa"/>
          </w:tcPr>
          <w:p w14:paraId="1D63C8AF" w14:textId="77777777" w:rsidR="00B54D51" w:rsidRPr="00037AD4" w:rsidRDefault="00B54D51" w:rsidP="001C35C0">
            <w:pPr>
              <w:spacing w:line="360" w:lineRule="auto"/>
              <w:rPr>
                <w:rFonts w:asciiTheme="minorHAnsi" w:hAnsiTheme="minorHAnsi" w:cstheme="minorHAnsi"/>
                <w:color w:val="000000" w:themeColor="text1"/>
              </w:rPr>
            </w:pPr>
            <w:r w:rsidRPr="00037AD4">
              <w:rPr>
                <w:rFonts w:asciiTheme="minorHAnsi" w:hAnsiTheme="minorHAnsi" w:cstheme="minorHAnsi"/>
                <w:color w:val="000000" w:themeColor="text1"/>
              </w:rPr>
              <w:t>PwD</w:t>
            </w:r>
          </w:p>
        </w:tc>
        <w:tc>
          <w:tcPr>
            <w:tcW w:w="7320" w:type="dxa"/>
          </w:tcPr>
          <w:p w14:paraId="18169162" w14:textId="77777777" w:rsidR="00B54D51" w:rsidRPr="00037AD4" w:rsidRDefault="00B54D51" w:rsidP="001C35C0">
            <w:pPr>
              <w:spacing w:line="360" w:lineRule="auto"/>
              <w:rPr>
                <w:rFonts w:asciiTheme="minorHAnsi" w:hAnsiTheme="minorHAnsi" w:cstheme="minorHAnsi"/>
                <w:color w:val="000000" w:themeColor="text1"/>
              </w:rPr>
            </w:pPr>
            <w:r w:rsidRPr="00037AD4">
              <w:rPr>
                <w:rFonts w:asciiTheme="minorHAnsi" w:hAnsiTheme="minorHAnsi" w:cstheme="minorHAnsi"/>
                <w:color w:val="000000" w:themeColor="text1"/>
              </w:rPr>
              <w:t>Person with Dementia</w:t>
            </w:r>
          </w:p>
        </w:tc>
      </w:tr>
      <w:tr w:rsidR="00B54D51" w:rsidRPr="00037AD4" w14:paraId="7C13003A" w14:textId="77777777" w:rsidTr="000B4FC6">
        <w:tc>
          <w:tcPr>
            <w:tcW w:w="1696" w:type="dxa"/>
          </w:tcPr>
          <w:p w14:paraId="45D2E870" w14:textId="77777777" w:rsidR="00B54D51" w:rsidRPr="00037AD4" w:rsidRDefault="00B54D51" w:rsidP="001C35C0">
            <w:pPr>
              <w:spacing w:line="360" w:lineRule="auto"/>
              <w:rPr>
                <w:rFonts w:asciiTheme="minorHAnsi" w:hAnsiTheme="minorHAnsi" w:cstheme="minorHAnsi"/>
                <w:color w:val="000000" w:themeColor="text1"/>
              </w:rPr>
            </w:pPr>
            <w:r w:rsidRPr="00037AD4">
              <w:rPr>
                <w:rFonts w:asciiTheme="minorHAnsi" w:hAnsiTheme="minorHAnsi" w:cstheme="minorHAnsi"/>
                <w:color w:val="000000" w:themeColor="text1"/>
              </w:rPr>
              <w:t>MMSE</w:t>
            </w:r>
          </w:p>
        </w:tc>
        <w:tc>
          <w:tcPr>
            <w:tcW w:w="7320" w:type="dxa"/>
          </w:tcPr>
          <w:p w14:paraId="472BF2EB" w14:textId="77777777" w:rsidR="00B54D51" w:rsidRPr="00037AD4" w:rsidRDefault="00B54D51" w:rsidP="001C35C0">
            <w:pPr>
              <w:pStyle w:val="NormalWeb"/>
              <w:spacing w:line="360" w:lineRule="auto"/>
              <w:rPr>
                <w:rFonts w:asciiTheme="minorHAnsi" w:hAnsiTheme="minorHAnsi" w:cstheme="minorHAnsi"/>
              </w:rPr>
            </w:pPr>
            <w:r w:rsidRPr="00037AD4">
              <w:rPr>
                <w:rFonts w:asciiTheme="minorHAnsi" w:hAnsiTheme="minorHAnsi" w:cstheme="minorHAnsi"/>
              </w:rPr>
              <w:t xml:space="preserve">Mini-Mental State Examination </w:t>
            </w:r>
          </w:p>
        </w:tc>
      </w:tr>
      <w:tr w:rsidR="00B54D51" w:rsidRPr="00037AD4" w14:paraId="094C3130" w14:textId="77777777" w:rsidTr="000B4FC6">
        <w:tc>
          <w:tcPr>
            <w:tcW w:w="1696" w:type="dxa"/>
          </w:tcPr>
          <w:p w14:paraId="7FFCAF9F" w14:textId="77777777" w:rsidR="00B54D51" w:rsidRPr="00037AD4" w:rsidRDefault="00B54D51" w:rsidP="001C35C0">
            <w:pPr>
              <w:spacing w:line="360" w:lineRule="auto"/>
              <w:rPr>
                <w:rFonts w:asciiTheme="minorHAnsi" w:hAnsiTheme="minorHAnsi" w:cstheme="minorHAnsi"/>
                <w:color w:val="000000" w:themeColor="text1"/>
              </w:rPr>
            </w:pPr>
            <w:r w:rsidRPr="00037AD4">
              <w:rPr>
                <w:rFonts w:asciiTheme="minorHAnsi" w:hAnsiTheme="minorHAnsi" w:cstheme="minorHAnsi"/>
                <w:color w:val="000000" w:themeColor="text1"/>
              </w:rPr>
              <w:t>MoCA</w:t>
            </w:r>
          </w:p>
        </w:tc>
        <w:tc>
          <w:tcPr>
            <w:tcW w:w="7320" w:type="dxa"/>
          </w:tcPr>
          <w:p w14:paraId="1BEA5F06" w14:textId="5316A5D7" w:rsidR="00B54D51" w:rsidRPr="00037AD4" w:rsidRDefault="00B54D51" w:rsidP="001C35C0">
            <w:pPr>
              <w:pStyle w:val="NormalWeb"/>
              <w:spacing w:line="360" w:lineRule="auto"/>
              <w:rPr>
                <w:rFonts w:asciiTheme="minorHAnsi" w:hAnsiTheme="minorHAnsi" w:cstheme="minorHAnsi"/>
              </w:rPr>
            </w:pPr>
            <w:r w:rsidRPr="00037AD4">
              <w:rPr>
                <w:rFonts w:asciiTheme="minorHAnsi" w:hAnsiTheme="minorHAnsi" w:cstheme="minorHAnsi"/>
              </w:rPr>
              <w:t>Montreal Cognitive Assessment</w:t>
            </w:r>
          </w:p>
        </w:tc>
      </w:tr>
      <w:tr w:rsidR="00B54D51" w:rsidRPr="00037AD4" w14:paraId="0132E272" w14:textId="77777777" w:rsidTr="000B4FC6">
        <w:tc>
          <w:tcPr>
            <w:tcW w:w="1696" w:type="dxa"/>
          </w:tcPr>
          <w:p w14:paraId="4B07C744" w14:textId="77777777" w:rsidR="00B54D51" w:rsidRPr="00037AD4" w:rsidRDefault="00B54D51" w:rsidP="001C35C0">
            <w:pPr>
              <w:spacing w:line="360" w:lineRule="auto"/>
              <w:rPr>
                <w:rFonts w:asciiTheme="minorHAnsi" w:hAnsiTheme="minorHAnsi" w:cstheme="minorHAnsi"/>
                <w:color w:val="000000" w:themeColor="text1"/>
              </w:rPr>
            </w:pPr>
            <w:r w:rsidRPr="00037AD4">
              <w:rPr>
                <w:rFonts w:asciiTheme="minorHAnsi" w:hAnsiTheme="minorHAnsi" w:cstheme="minorHAnsi"/>
                <w:color w:val="000000" w:themeColor="text1"/>
              </w:rPr>
              <w:t>NICE</w:t>
            </w:r>
          </w:p>
        </w:tc>
        <w:tc>
          <w:tcPr>
            <w:tcW w:w="7320" w:type="dxa"/>
          </w:tcPr>
          <w:p w14:paraId="04746AD3" w14:textId="77777777" w:rsidR="00B54D51" w:rsidRPr="00037AD4" w:rsidRDefault="00B54D51" w:rsidP="001C35C0">
            <w:pPr>
              <w:spacing w:line="360" w:lineRule="auto"/>
              <w:rPr>
                <w:rFonts w:asciiTheme="minorHAnsi" w:hAnsiTheme="minorHAnsi" w:cstheme="minorHAnsi"/>
                <w:color w:val="000000" w:themeColor="text1"/>
              </w:rPr>
            </w:pPr>
            <w:r w:rsidRPr="00037AD4">
              <w:rPr>
                <w:rFonts w:asciiTheme="minorHAnsi" w:hAnsiTheme="minorHAnsi" w:cstheme="minorHAnsi"/>
                <w:color w:val="000000" w:themeColor="text1"/>
              </w:rPr>
              <w:t xml:space="preserve">National Institute for Health and Care Excellence </w:t>
            </w:r>
          </w:p>
        </w:tc>
      </w:tr>
      <w:tr w:rsidR="00B54D51" w:rsidRPr="00037AD4" w14:paraId="6B080A79" w14:textId="77777777" w:rsidTr="000B4FC6">
        <w:tc>
          <w:tcPr>
            <w:tcW w:w="1696" w:type="dxa"/>
          </w:tcPr>
          <w:p w14:paraId="1825CEF6" w14:textId="77777777" w:rsidR="00B54D51" w:rsidRPr="00037AD4" w:rsidRDefault="00B54D51" w:rsidP="001C35C0">
            <w:pPr>
              <w:spacing w:line="360" w:lineRule="auto"/>
              <w:rPr>
                <w:rFonts w:asciiTheme="minorHAnsi" w:hAnsiTheme="minorHAnsi" w:cstheme="minorHAnsi"/>
                <w:color w:val="000000" w:themeColor="text1"/>
              </w:rPr>
            </w:pPr>
            <w:r w:rsidRPr="00037AD4">
              <w:rPr>
                <w:rFonts w:asciiTheme="minorHAnsi" w:hAnsiTheme="minorHAnsi" w:cstheme="minorHAnsi"/>
                <w:color w:val="000000" w:themeColor="text1"/>
              </w:rPr>
              <w:t>NPI</w:t>
            </w:r>
          </w:p>
        </w:tc>
        <w:tc>
          <w:tcPr>
            <w:tcW w:w="7320" w:type="dxa"/>
          </w:tcPr>
          <w:p w14:paraId="7D8178E6" w14:textId="77777777" w:rsidR="00B54D51" w:rsidRPr="00037AD4" w:rsidRDefault="00B54D51" w:rsidP="001C35C0">
            <w:pPr>
              <w:spacing w:line="360" w:lineRule="auto"/>
              <w:rPr>
                <w:rFonts w:asciiTheme="minorHAnsi" w:hAnsiTheme="minorHAnsi" w:cstheme="minorHAnsi"/>
                <w:color w:val="000000" w:themeColor="text1"/>
              </w:rPr>
            </w:pPr>
            <w:r w:rsidRPr="00037AD4">
              <w:rPr>
                <w:rFonts w:asciiTheme="minorHAnsi" w:hAnsiTheme="minorHAnsi" w:cstheme="minorHAnsi"/>
                <w:color w:val="000000" w:themeColor="text1"/>
              </w:rPr>
              <w:t xml:space="preserve">Neuropsychiatric inventory </w:t>
            </w:r>
          </w:p>
        </w:tc>
      </w:tr>
      <w:tr w:rsidR="00B54D51" w:rsidRPr="00037AD4" w14:paraId="4B7382CD" w14:textId="77777777" w:rsidTr="000B4FC6">
        <w:tc>
          <w:tcPr>
            <w:tcW w:w="1696" w:type="dxa"/>
          </w:tcPr>
          <w:p w14:paraId="2E86B061" w14:textId="77777777" w:rsidR="00B54D51" w:rsidRPr="00037AD4" w:rsidRDefault="00B54D51" w:rsidP="001C35C0">
            <w:pPr>
              <w:spacing w:line="360" w:lineRule="auto"/>
              <w:rPr>
                <w:rFonts w:asciiTheme="minorHAnsi" w:hAnsiTheme="minorHAnsi" w:cstheme="minorHAnsi"/>
                <w:color w:val="000000" w:themeColor="text1"/>
              </w:rPr>
            </w:pPr>
            <w:r w:rsidRPr="00037AD4">
              <w:rPr>
                <w:rFonts w:asciiTheme="minorHAnsi" w:hAnsiTheme="minorHAnsi" w:cstheme="minorHAnsi"/>
                <w:color w:val="000000" w:themeColor="text1"/>
              </w:rPr>
              <w:t>QALY</w:t>
            </w:r>
          </w:p>
        </w:tc>
        <w:tc>
          <w:tcPr>
            <w:tcW w:w="7320" w:type="dxa"/>
          </w:tcPr>
          <w:p w14:paraId="00294CCA" w14:textId="77777777" w:rsidR="00B54D51" w:rsidRPr="00037AD4" w:rsidRDefault="00B54D51" w:rsidP="001C35C0">
            <w:pPr>
              <w:spacing w:line="360" w:lineRule="auto"/>
              <w:rPr>
                <w:rFonts w:asciiTheme="minorHAnsi" w:hAnsiTheme="minorHAnsi" w:cstheme="minorHAnsi"/>
                <w:color w:val="000000" w:themeColor="text1"/>
              </w:rPr>
            </w:pPr>
            <w:r w:rsidRPr="00037AD4">
              <w:rPr>
                <w:rFonts w:asciiTheme="minorHAnsi" w:hAnsiTheme="minorHAnsi" w:cstheme="minorHAnsi"/>
                <w:color w:val="000000" w:themeColor="text1"/>
              </w:rPr>
              <w:t>Quality Adjusted Life Year</w:t>
            </w:r>
          </w:p>
        </w:tc>
      </w:tr>
      <w:tr w:rsidR="00B54D51" w:rsidRPr="00037AD4" w14:paraId="045F6A34" w14:textId="77777777" w:rsidTr="000B4FC6">
        <w:tc>
          <w:tcPr>
            <w:tcW w:w="1696" w:type="dxa"/>
          </w:tcPr>
          <w:p w14:paraId="296DCCC4" w14:textId="77777777" w:rsidR="00B54D51" w:rsidRPr="00037AD4" w:rsidRDefault="00B54D51" w:rsidP="001C35C0">
            <w:pPr>
              <w:spacing w:line="360" w:lineRule="auto"/>
              <w:rPr>
                <w:rFonts w:asciiTheme="minorHAnsi" w:hAnsiTheme="minorHAnsi" w:cstheme="minorHAnsi"/>
                <w:color w:val="000000" w:themeColor="text1"/>
              </w:rPr>
            </w:pPr>
            <w:r w:rsidRPr="00037AD4">
              <w:rPr>
                <w:rFonts w:asciiTheme="minorHAnsi" w:hAnsiTheme="minorHAnsi" w:cstheme="minorHAnsi"/>
                <w:color w:val="000000" w:themeColor="text1"/>
              </w:rPr>
              <w:t>QoL</w:t>
            </w:r>
          </w:p>
        </w:tc>
        <w:tc>
          <w:tcPr>
            <w:tcW w:w="7320" w:type="dxa"/>
          </w:tcPr>
          <w:p w14:paraId="74553857" w14:textId="77777777" w:rsidR="00B54D51" w:rsidRPr="00037AD4" w:rsidRDefault="00B54D51" w:rsidP="001C35C0">
            <w:pPr>
              <w:spacing w:line="360" w:lineRule="auto"/>
              <w:rPr>
                <w:rFonts w:asciiTheme="minorHAnsi" w:hAnsiTheme="minorHAnsi" w:cstheme="minorHAnsi"/>
                <w:color w:val="000000" w:themeColor="text1"/>
              </w:rPr>
            </w:pPr>
            <w:r w:rsidRPr="00037AD4">
              <w:rPr>
                <w:rFonts w:asciiTheme="minorHAnsi" w:hAnsiTheme="minorHAnsi" w:cstheme="minorHAnsi"/>
                <w:color w:val="000000" w:themeColor="text1"/>
              </w:rPr>
              <w:t xml:space="preserve">Quality of Life </w:t>
            </w:r>
          </w:p>
        </w:tc>
      </w:tr>
      <w:tr w:rsidR="00B54D51" w:rsidRPr="00037AD4" w14:paraId="21BA5D3F" w14:textId="77777777" w:rsidTr="000B4FC6">
        <w:tc>
          <w:tcPr>
            <w:tcW w:w="1696" w:type="dxa"/>
          </w:tcPr>
          <w:p w14:paraId="5B7A0576" w14:textId="77777777" w:rsidR="00B54D51" w:rsidRPr="00037AD4" w:rsidRDefault="00B54D51" w:rsidP="001C35C0">
            <w:pPr>
              <w:spacing w:line="360" w:lineRule="auto"/>
              <w:rPr>
                <w:rFonts w:asciiTheme="minorHAnsi" w:hAnsiTheme="minorHAnsi" w:cstheme="minorHAnsi"/>
                <w:color w:val="000000" w:themeColor="text1"/>
              </w:rPr>
            </w:pPr>
            <w:r w:rsidRPr="00037AD4">
              <w:rPr>
                <w:rFonts w:asciiTheme="minorHAnsi" w:hAnsiTheme="minorHAnsi" w:cstheme="minorHAnsi"/>
                <w:color w:val="000000" w:themeColor="text1"/>
              </w:rPr>
              <w:t>QoL-AD</w:t>
            </w:r>
          </w:p>
        </w:tc>
        <w:tc>
          <w:tcPr>
            <w:tcW w:w="7320" w:type="dxa"/>
          </w:tcPr>
          <w:p w14:paraId="73305F06" w14:textId="77777777" w:rsidR="00B54D51" w:rsidRPr="00037AD4" w:rsidRDefault="00B54D51" w:rsidP="001C35C0">
            <w:pPr>
              <w:spacing w:line="360" w:lineRule="auto"/>
              <w:rPr>
                <w:rFonts w:asciiTheme="minorHAnsi" w:hAnsiTheme="minorHAnsi" w:cstheme="minorHAnsi"/>
                <w:color w:val="000000" w:themeColor="text1"/>
              </w:rPr>
            </w:pPr>
            <w:r w:rsidRPr="00037AD4">
              <w:rPr>
                <w:rFonts w:asciiTheme="minorHAnsi" w:hAnsiTheme="minorHAnsi" w:cstheme="minorHAnsi"/>
                <w:color w:val="000000" w:themeColor="text1"/>
              </w:rPr>
              <w:t>Quality of Life – Alzheimer’s Disease scale</w:t>
            </w:r>
          </w:p>
        </w:tc>
      </w:tr>
      <w:tr w:rsidR="00B54D51" w:rsidRPr="00037AD4" w14:paraId="6CE7838E" w14:textId="77777777" w:rsidTr="000B4FC6">
        <w:tc>
          <w:tcPr>
            <w:tcW w:w="1696" w:type="dxa"/>
          </w:tcPr>
          <w:p w14:paraId="0597FB4E" w14:textId="77777777" w:rsidR="00B54D51" w:rsidRPr="00037AD4" w:rsidRDefault="00B54D51" w:rsidP="001C35C0">
            <w:pPr>
              <w:spacing w:line="360" w:lineRule="auto"/>
              <w:rPr>
                <w:rFonts w:asciiTheme="minorHAnsi" w:hAnsiTheme="minorHAnsi" w:cstheme="minorHAnsi"/>
                <w:color w:val="000000" w:themeColor="text1"/>
              </w:rPr>
            </w:pPr>
            <w:r w:rsidRPr="00037AD4">
              <w:rPr>
                <w:rFonts w:asciiTheme="minorHAnsi" w:hAnsiTheme="minorHAnsi" w:cstheme="minorHAnsi"/>
                <w:color w:val="000000" w:themeColor="text1"/>
              </w:rPr>
              <w:t>QUALID</w:t>
            </w:r>
          </w:p>
        </w:tc>
        <w:tc>
          <w:tcPr>
            <w:tcW w:w="7320" w:type="dxa"/>
          </w:tcPr>
          <w:p w14:paraId="32908267" w14:textId="77777777" w:rsidR="00B54D51" w:rsidRPr="00037AD4" w:rsidRDefault="00B54D51" w:rsidP="001C35C0">
            <w:pPr>
              <w:spacing w:line="360" w:lineRule="auto"/>
              <w:rPr>
                <w:rFonts w:asciiTheme="minorHAnsi" w:hAnsiTheme="minorHAnsi" w:cstheme="minorHAnsi"/>
                <w:color w:val="000000" w:themeColor="text1"/>
              </w:rPr>
            </w:pPr>
            <w:r w:rsidRPr="00037AD4">
              <w:rPr>
                <w:rFonts w:asciiTheme="minorHAnsi" w:hAnsiTheme="minorHAnsi" w:cstheme="minorHAnsi"/>
                <w:color w:val="000000" w:themeColor="text1"/>
              </w:rPr>
              <w:t>The Quality of Life in Late-Stage Dementia scale</w:t>
            </w:r>
          </w:p>
        </w:tc>
      </w:tr>
      <w:tr w:rsidR="00B54D51" w:rsidRPr="00037AD4" w14:paraId="29DB5C71" w14:textId="77777777" w:rsidTr="000B4FC6">
        <w:tc>
          <w:tcPr>
            <w:tcW w:w="1696" w:type="dxa"/>
          </w:tcPr>
          <w:p w14:paraId="08AECC23" w14:textId="77777777" w:rsidR="00B54D51" w:rsidRPr="00037AD4" w:rsidRDefault="00B54D51" w:rsidP="001C35C0">
            <w:pPr>
              <w:spacing w:line="360" w:lineRule="auto"/>
              <w:rPr>
                <w:rFonts w:asciiTheme="minorHAnsi" w:hAnsiTheme="minorHAnsi" w:cstheme="minorHAnsi"/>
                <w:color w:val="000000" w:themeColor="text1"/>
              </w:rPr>
            </w:pPr>
            <w:r w:rsidRPr="00037AD4">
              <w:rPr>
                <w:rFonts w:asciiTheme="minorHAnsi" w:hAnsiTheme="minorHAnsi" w:cstheme="minorHAnsi"/>
                <w:color w:val="000000" w:themeColor="text1"/>
              </w:rPr>
              <w:t>QUALIDEM</w:t>
            </w:r>
          </w:p>
        </w:tc>
        <w:tc>
          <w:tcPr>
            <w:tcW w:w="7320" w:type="dxa"/>
          </w:tcPr>
          <w:p w14:paraId="34D9FD68" w14:textId="77777777" w:rsidR="00B54D51" w:rsidRPr="00037AD4" w:rsidRDefault="00B54D51" w:rsidP="001C35C0">
            <w:pPr>
              <w:spacing w:line="360" w:lineRule="auto"/>
              <w:rPr>
                <w:rFonts w:asciiTheme="minorHAnsi" w:hAnsiTheme="minorHAnsi" w:cstheme="minorHAnsi"/>
                <w:color w:val="000000" w:themeColor="text1"/>
              </w:rPr>
            </w:pPr>
            <w:r w:rsidRPr="00037AD4">
              <w:rPr>
                <w:rFonts w:asciiTheme="minorHAnsi" w:hAnsiTheme="minorHAnsi" w:cstheme="minorHAnsi"/>
                <w:color w:val="000000" w:themeColor="text1"/>
                <w:shd w:val="clear" w:color="auto" w:fill="FFFFFF"/>
              </w:rPr>
              <w:t>Quality of Life in Late-Stage</w:t>
            </w:r>
            <w:r w:rsidRPr="00037AD4">
              <w:rPr>
                <w:rStyle w:val="apple-converted-space"/>
                <w:rFonts w:asciiTheme="minorHAnsi" w:eastAsiaTheme="majorEastAsia" w:hAnsiTheme="minorHAnsi" w:cstheme="minorHAnsi"/>
                <w:color w:val="000000" w:themeColor="text1"/>
                <w:shd w:val="clear" w:color="auto" w:fill="FFFFFF"/>
              </w:rPr>
              <w:t> </w:t>
            </w:r>
            <w:r w:rsidRPr="00037AD4">
              <w:rPr>
                <w:rStyle w:val="Emphasis"/>
                <w:rFonts w:asciiTheme="minorHAnsi" w:hAnsiTheme="minorHAnsi" w:cstheme="minorHAnsi"/>
                <w:color w:val="000000" w:themeColor="text1"/>
              </w:rPr>
              <w:t>Dementia scale proxy</w:t>
            </w:r>
          </w:p>
        </w:tc>
      </w:tr>
      <w:tr w:rsidR="00B54D51" w:rsidRPr="00037AD4" w14:paraId="2BF3290C" w14:textId="77777777" w:rsidTr="000B4FC6">
        <w:tc>
          <w:tcPr>
            <w:tcW w:w="1696" w:type="dxa"/>
          </w:tcPr>
          <w:p w14:paraId="5F7636D6" w14:textId="77777777" w:rsidR="00B54D51" w:rsidRPr="00037AD4" w:rsidRDefault="00B54D51" w:rsidP="001C35C0">
            <w:pPr>
              <w:spacing w:line="360" w:lineRule="auto"/>
              <w:rPr>
                <w:rFonts w:asciiTheme="minorHAnsi" w:hAnsiTheme="minorHAnsi" w:cstheme="minorHAnsi"/>
                <w:color w:val="000000" w:themeColor="text1"/>
              </w:rPr>
            </w:pPr>
            <w:r w:rsidRPr="00037AD4">
              <w:rPr>
                <w:rFonts w:asciiTheme="minorHAnsi" w:hAnsiTheme="minorHAnsi" w:cstheme="minorHAnsi"/>
                <w:color w:val="000000" w:themeColor="text1"/>
              </w:rPr>
              <w:t xml:space="preserve">QWB </w:t>
            </w:r>
          </w:p>
        </w:tc>
        <w:tc>
          <w:tcPr>
            <w:tcW w:w="7320" w:type="dxa"/>
          </w:tcPr>
          <w:p w14:paraId="55229D23" w14:textId="77777777" w:rsidR="00B54D51" w:rsidRPr="00037AD4" w:rsidRDefault="00B54D51" w:rsidP="001C35C0">
            <w:pPr>
              <w:spacing w:line="360" w:lineRule="auto"/>
              <w:rPr>
                <w:rFonts w:asciiTheme="minorHAnsi" w:hAnsiTheme="minorHAnsi" w:cstheme="minorHAnsi"/>
                <w:color w:val="000000" w:themeColor="text1"/>
              </w:rPr>
            </w:pPr>
            <w:r w:rsidRPr="00037AD4">
              <w:rPr>
                <w:rFonts w:asciiTheme="minorHAnsi" w:hAnsiTheme="minorHAnsi" w:cstheme="minorHAnsi"/>
                <w:color w:val="000000" w:themeColor="text1"/>
              </w:rPr>
              <w:t>Quality of Well-Being scale</w:t>
            </w:r>
          </w:p>
        </w:tc>
      </w:tr>
      <w:tr w:rsidR="00B54D51" w:rsidRPr="00037AD4" w14:paraId="3DFD27A7" w14:textId="77777777" w:rsidTr="000B4FC6">
        <w:tc>
          <w:tcPr>
            <w:tcW w:w="1696" w:type="dxa"/>
          </w:tcPr>
          <w:p w14:paraId="2A7A8954" w14:textId="77777777" w:rsidR="00B54D51" w:rsidRPr="00037AD4" w:rsidRDefault="00B54D51" w:rsidP="001C35C0">
            <w:pPr>
              <w:spacing w:line="360" w:lineRule="auto"/>
              <w:rPr>
                <w:rFonts w:asciiTheme="minorHAnsi" w:hAnsiTheme="minorHAnsi" w:cstheme="minorHAnsi"/>
                <w:color w:val="000000" w:themeColor="text1"/>
              </w:rPr>
            </w:pPr>
            <w:r w:rsidRPr="00037AD4">
              <w:rPr>
                <w:rFonts w:asciiTheme="minorHAnsi" w:hAnsiTheme="minorHAnsi" w:cstheme="minorHAnsi"/>
                <w:color w:val="000000" w:themeColor="text1"/>
              </w:rPr>
              <w:t>RCT</w:t>
            </w:r>
          </w:p>
        </w:tc>
        <w:tc>
          <w:tcPr>
            <w:tcW w:w="7320" w:type="dxa"/>
          </w:tcPr>
          <w:p w14:paraId="39F3186F" w14:textId="77777777" w:rsidR="00B54D51" w:rsidRPr="00037AD4" w:rsidRDefault="00B54D51" w:rsidP="001C35C0">
            <w:pPr>
              <w:spacing w:line="360" w:lineRule="auto"/>
              <w:rPr>
                <w:rFonts w:asciiTheme="minorHAnsi" w:hAnsiTheme="minorHAnsi" w:cstheme="minorHAnsi"/>
              </w:rPr>
            </w:pPr>
            <w:r w:rsidRPr="00037AD4">
              <w:rPr>
                <w:rFonts w:asciiTheme="minorHAnsi" w:hAnsiTheme="minorHAnsi" w:cstheme="minorHAnsi"/>
              </w:rPr>
              <w:t xml:space="preserve">Randomised Controlled Trial </w:t>
            </w:r>
          </w:p>
        </w:tc>
      </w:tr>
      <w:tr w:rsidR="00B54D51" w:rsidRPr="00037AD4" w14:paraId="2CB5BE8F" w14:textId="77777777" w:rsidTr="000B4FC6">
        <w:tc>
          <w:tcPr>
            <w:tcW w:w="1696" w:type="dxa"/>
          </w:tcPr>
          <w:p w14:paraId="33E6F687" w14:textId="77777777" w:rsidR="00B54D51" w:rsidRPr="00037AD4" w:rsidRDefault="00B54D51" w:rsidP="001C35C0">
            <w:pPr>
              <w:spacing w:line="360" w:lineRule="auto"/>
              <w:rPr>
                <w:rFonts w:asciiTheme="minorHAnsi" w:hAnsiTheme="minorHAnsi" w:cstheme="minorHAnsi"/>
                <w:color w:val="000000" w:themeColor="text1"/>
              </w:rPr>
            </w:pPr>
            <w:r w:rsidRPr="00037AD4">
              <w:rPr>
                <w:rFonts w:asciiTheme="minorHAnsi" w:hAnsiTheme="minorHAnsi" w:cstheme="minorHAnsi"/>
                <w:color w:val="000000" w:themeColor="text1"/>
              </w:rPr>
              <w:t xml:space="preserve">REMCARE </w:t>
            </w:r>
          </w:p>
        </w:tc>
        <w:tc>
          <w:tcPr>
            <w:tcW w:w="7320" w:type="dxa"/>
          </w:tcPr>
          <w:p w14:paraId="3E8C701C" w14:textId="77777777" w:rsidR="00B54D51" w:rsidRPr="00037AD4" w:rsidRDefault="00B54D51" w:rsidP="001C35C0">
            <w:pPr>
              <w:spacing w:line="360" w:lineRule="auto"/>
              <w:rPr>
                <w:rFonts w:asciiTheme="minorHAnsi" w:hAnsiTheme="minorHAnsi" w:cstheme="minorHAnsi"/>
                <w:color w:val="000000" w:themeColor="text1"/>
              </w:rPr>
            </w:pPr>
            <w:r w:rsidRPr="00037AD4">
              <w:rPr>
                <w:rFonts w:asciiTheme="minorHAnsi" w:hAnsiTheme="minorHAnsi" w:cstheme="minorHAnsi"/>
              </w:rPr>
              <w:t>REMiniscence groups for people with dementia and their family CAREgivers</w:t>
            </w:r>
          </w:p>
        </w:tc>
      </w:tr>
      <w:tr w:rsidR="00B54D51" w:rsidRPr="00037AD4" w14:paraId="3B37E68E" w14:textId="77777777" w:rsidTr="000B4FC6">
        <w:tc>
          <w:tcPr>
            <w:tcW w:w="1696" w:type="dxa"/>
          </w:tcPr>
          <w:p w14:paraId="535C4C5D" w14:textId="77777777" w:rsidR="00B54D51" w:rsidRPr="00037AD4" w:rsidRDefault="00B54D51" w:rsidP="001C35C0">
            <w:pPr>
              <w:spacing w:line="360" w:lineRule="auto"/>
              <w:rPr>
                <w:rFonts w:asciiTheme="minorHAnsi" w:hAnsiTheme="minorHAnsi" w:cstheme="minorHAnsi"/>
                <w:color w:val="000000" w:themeColor="text1"/>
              </w:rPr>
            </w:pPr>
            <w:r w:rsidRPr="00037AD4">
              <w:rPr>
                <w:rFonts w:asciiTheme="minorHAnsi" w:hAnsiTheme="minorHAnsi" w:cstheme="minorHAnsi"/>
                <w:color w:val="000000" w:themeColor="text1"/>
              </w:rPr>
              <w:t xml:space="preserve">SF-36 </w:t>
            </w:r>
          </w:p>
        </w:tc>
        <w:tc>
          <w:tcPr>
            <w:tcW w:w="7320" w:type="dxa"/>
          </w:tcPr>
          <w:p w14:paraId="16EA7284" w14:textId="77777777" w:rsidR="00B54D51" w:rsidRPr="00037AD4" w:rsidRDefault="00B54D51" w:rsidP="001C35C0">
            <w:pPr>
              <w:spacing w:line="360" w:lineRule="auto"/>
              <w:rPr>
                <w:rFonts w:asciiTheme="minorHAnsi" w:hAnsiTheme="minorHAnsi" w:cstheme="minorHAnsi"/>
              </w:rPr>
            </w:pPr>
            <w:r w:rsidRPr="00037AD4">
              <w:rPr>
                <w:rFonts w:asciiTheme="minorHAnsi" w:hAnsiTheme="minorHAnsi" w:cstheme="minorHAnsi"/>
                <w:color w:val="000000" w:themeColor="text1"/>
              </w:rPr>
              <w:t>Short Form 36</w:t>
            </w:r>
            <w:r w:rsidRPr="00037AD4">
              <w:rPr>
                <w:rStyle w:val="apple-converted-space"/>
                <w:rFonts w:asciiTheme="minorHAnsi" w:eastAsiaTheme="majorEastAsia" w:hAnsiTheme="minorHAnsi" w:cstheme="minorHAnsi"/>
                <w:color w:val="000000" w:themeColor="text1"/>
                <w:shd w:val="clear" w:color="auto" w:fill="FFFFFF"/>
              </w:rPr>
              <w:t> </w:t>
            </w:r>
            <w:r w:rsidRPr="00037AD4">
              <w:rPr>
                <w:rFonts w:asciiTheme="minorHAnsi" w:hAnsiTheme="minorHAnsi" w:cstheme="minorHAnsi"/>
                <w:color w:val="000000" w:themeColor="text1"/>
                <w:shd w:val="clear" w:color="auto" w:fill="FFFFFF"/>
              </w:rPr>
              <w:t>Health Survey Questionnaire</w:t>
            </w:r>
          </w:p>
        </w:tc>
      </w:tr>
      <w:tr w:rsidR="00B54D51" w:rsidRPr="00037AD4" w14:paraId="1CA559CB" w14:textId="77777777" w:rsidTr="000B4FC6">
        <w:tc>
          <w:tcPr>
            <w:tcW w:w="1696" w:type="dxa"/>
          </w:tcPr>
          <w:p w14:paraId="6A949CB1" w14:textId="77777777" w:rsidR="00B54D51" w:rsidRPr="00037AD4" w:rsidRDefault="00B54D51" w:rsidP="001C35C0">
            <w:pPr>
              <w:spacing w:line="360" w:lineRule="auto"/>
              <w:rPr>
                <w:rFonts w:asciiTheme="minorHAnsi" w:hAnsiTheme="minorHAnsi" w:cstheme="minorHAnsi"/>
                <w:color w:val="000000" w:themeColor="text1"/>
              </w:rPr>
            </w:pPr>
            <w:r w:rsidRPr="00037AD4">
              <w:rPr>
                <w:rFonts w:asciiTheme="minorHAnsi" w:hAnsiTheme="minorHAnsi" w:cstheme="minorHAnsi"/>
                <w:color w:val="000000" w:themeColor="text1"/>
              </w:rPr>
              <w:t>UK</w:t>
            </w:r>
          </w:p>
        </w:tc>
        <w:tc>
          <w:tcPr>
            <w:tcW w:w="7320" w:type="dxa"/>
          </w:tcPr>
          <w:p w14:paraId="624C1A99" w14:textId="77777777" w:rsidR="00B54D51" w:rsidRPr="00037AD4" w:rsidRDefault="00B54D51" w:rsidP="001C35C0">
            <w:pPr>
              <w:spacing w:line="360" w:lineRule="auto"/>
              <w:rPr>
                <w:rFonts w:asciiTheme="minorHAnsi" w:hAnsiTheme="minorHAnsi" w:cstheme="minorHAnsi"/>
                <w:color w:val="000000" w:themeColor="text1"/>
              </w:rPr>
            </w:pPr>
            <w:r w:rsidRPr="00037AD4">
              <w:rPr>
                <w:rFonts w:asciiTheme="minorHAnsi" w:hAnsiTheme="minorHAnsi" w:cstheme="minorHAnsi"/>
                <w:color w:val="000000" w:themeColor="text1"/>
              </w:rPr>
              <w:t>United Kingdom</w:t>
            </w:r>
          </w:p>
        </w:tc>
      </w:tr>
      <w:tr w:rsidR="00B54D51" w:rsidRPr="00037AD4" w14:paraId="6F0F124D" w14:textId="77777777" w:rsidTr="000B4FC6">
        <w:tc>
          <w:tcPr>
            <w:tcW w:w="1696" w:type="dxa"/>
          </w:tcPr>
          <w:p w14:paraId="0E727E0A" w14:textId="77777777" w:rsidR="00B54D51" w:rsidRPr="00037AD4" w:rsidRDefault="00B54D51" w:rsidP="001C35C0">
            <w:pPr>
              <w:spacing w:line="360" w:lineRule="auto"/>
              <w:rPr>
                <w:rFonts w:asciiTheme="minorHAnsi" w:hAnsiTheme="minorHAnsi" w:cstheme="minorHAnsi"/>
                <w:color w:val="000000" w:themeColor="text1"/>
              </w:rPr>
            </w:pPr>
            <w:r w:rsidRPr="00037AD4">
              <w:rPr>
                <w:rFonts w:asciiTheme="minorHAnsi" w:hAnsiTheme="minorHAnsi" w:cstheme="minorHAnsi"/>
                <w:color w:val="000000" w:themeColor="text1"/>
              </w:rPr>
              <w:t>VAS</w:t>
            </w:r>
          </w:p>
        </w:tc>
        <w:tc>
          <w:tcPr>
            <w:tcW w:w="7320" w:type="dxa"/>
          </w:tcPr>
          <w:p w14:paraId="595A0F70" w14:textId="77777777" w:rsidR="00B54D51" w:rsidRPr="00037AD4" w:rsidRDefault="00B54D51" w:rsidP="001C35C0">
            <w:pPr>
              <w:spacing w:line="360" w:lineRule="auto"/>
              <w:rPr>
                <w:rFonts w:asciiTheme="minorHAnsi" w:hAnsiTheme="minorHAnsi" w:cstheme="minorHAnsi"/>
                <w:color w:val="000000" w:themeColor="text1"/>
              </w:rPr>
            </w:pPr>
            <w:r w:rsidRPr="00037AD4">
              <w:rPr>
                <w:rFonts w:asciiTheme="minorHAnsi" w:hAnsiTheme="minorHAnsi" w:cstheme="minorHAnsi"/>
                <w:color w:val="000000" w:themeColor="text1"/>
              </w:rPr>
              <w:t xml:space="preserve">Visual Analogue Scale </w:t>
            </w:r>
          </w:p>
        </w:tc>
      </w:tr>
      <w:tr w:rsidR="00B54D51" w:rsidRPr="00037AD4" w14:paraId="4EC08663" w14:textId="77777777" w:rsidTr="000B4FC6">
        <w:tc>
          <w:tcPr>
            <w:tcW w:w="1696" w:type="dxa"/>
          </w:tcPr>
          <w:p w14:paraId="303E1347" w14:textId="77777777" w:rsidR="00B54D51" w:rsidRPr="00037AD4" w:rsidRDefault="00B54D51" w:rsidP="001C35C0">
            <w:pPr>
              <w:spacing w:line="360" w:lineRule="auto"/>
              <w:rPr>
                <w:rFonts w:asciiTheme="minorHAnsi" w:hAnsiTheme="minorHAnsi" w:cstheme="minorHAnsi"/>
                <w:color w:val="000000" w:themeColor="text1"/>
              </w:rPr>
            </w:pPr>
            <w:r w:rsidRPr="00037AD4">
              <w:rPr>
                <w:rFonts w:asciiTheme="minorHAnsi" w:hAnsiTheme="minorHAnsi" w:cstheme="minorHAnsi"/>
                <w:color w:val="000000" w:themeColor="text1"/>
              </w:rPr>
              <w:t>VD</w:t>
            </w:r>
          </w:p>
        </w:tc>
        <w:tc>
          <w:tcPr>
            <w:tcW w:w="7320" w:type="dxa"/>
          </w:tcPr>
          <w:p w14:paraId="587655A5" w14:textId="77777777" w:rsidR="00B54D51" w:rsidRPr="00037AD4" w:rsidRDefault="00B54D51" w:rsidP="001C35C0">
            <w:pPr>
              <w:spacing w:line="360" w:lineRule="auto"/>
              <w:rPr>
                <w:rFonts w:asciiTheme="minorHAnsi" w:hAnsiTheme="minorHAnsi" w:cstheme="minorHAnsi"/>
                <w:color w:val="000000" w:themeColor="text1"/>
              </w:rPr>
            </w:pPr>
            <w:r w:rsidRPr="00037AD4">
              <w:rPr>
                <w:rFonts w:asciiTheme="minorHAnsi" w:hAnsiTheme="minorHAnsi" w:cstheme="minorHAnsi"/>
                <w:color w:val="000000" w:themeColor="text1"/>
              </w:rPr>
              <w:t xml:space="preserve">Vascular Disease </w:t>
            </w:r>
          </w:p>
        </w:tc>
      </w:tr>
    </w:tbl>
    <w:p w14:paraId="4AF06FF0" w14:textId="77777777" w:rsidR="00B54D51" w:rsidRPr="00037AD4" w:rsidRDefault="00B54D51" w:rsidP="00C86EBE">
      <w:pPr>
        <w:rPr>
          <w:rFonts w:asciiTheme="minorHAnsi" w:hAnsiTheme="minorHAnsi" w:cstheme="minorHAnsi"/>
          <w:b/>
          <w:bCs/>
          <w:sz w:val="26"/>
          <w:szCs w:val="26"/>
          <w:u w:val="single"/>
        </w:rPr>
      </w:pPr>
    </w:p>
    <w:p w14:paraId="05031A37" w14:textId="77777777" w:rsidR="00B54D51" w:rsidRPr="00037AD4" w:rsidRDefault="00B54D51" w:rsidP="00C86EBE">
      <w:pPr>
        <w:rPr>
          <w:rFonts w:asciiTheme="minorHAnsi" w:hAnsiTheme="minorHAnsi" w:cstheme="minorHAnsi"/>
          <w:b/>
          <w:bCs/>
          <w:sz w:val="26"/>
          <w:szCs w:val="26"/>
          <w:u w:val="single"/>
        </w:rPr>
      </w:pPr>
    </w:p>
    <w:p w14:paraId="63116328" w14:textId="77777777" w:rsidR="00B54D51" w:rsidRPr="00037AD4" w:rsidRDefault="00B54D51" w:rsidP="007A43F9">
      <w:pPr>
        <w:pStyle w:val="Heading2"/>
        <w:jc w:val="center"/>
        <w:rPr>
          <w:sz w:val="23"/>
          <w:szCs w:val="23"/>
          <w:u w:val="none"/>
        </w:rPr>
      </w:pPr>
      <w:bookmarkStart w:id="7" w:name="_Toc175742246"/>
      <w:r w:rsidRPr="00037AD4">
        <w:lastRenderedPageBreak/>
        <w:t>Publications and presentations</w:t>
      </w:r>
      <w:bookmarkEnd w:id="7"/>
    </w:p>
    <w:p w14:paraId="2D15D1B2" w14:textId="77777777" w:rsidR="00B54D51" w:rsidRPr="00037AD4" w:rsidRDefault="00B54D51" w:rsidP="003D222B">
      <w:pPr>
        <w:rPr>
          <w:rFonts w:asciiTheme="minorHAnsi" w:hAnsiTheme="minorHAnsi" w:cstheme="minorHAnsi"/>
          <w:b/>
          <w:bCs/>
          <w:u w:val="single"/>
        </w:rPr>
      </w:pPr>
    </w:p>
    <w:p w14:paraId="391A5D2D" w14:textId="77777777" w:rsidR="00B54D51" w:rsidRPr="00037AD4" w:rsidRDefault="00B54D51" w:rsidP="003D222B">
      <w:pPr>
        <w:rPr>
          <w:rFonts w:asciiTheme="minorHAnsi" w:hAnsiTheme="minorHAnsi" w:cstheme="minorHAnsi"/>
          <w:b/>
          <w:bCs/>
          <w:u w:val="single"/>
        </w:rPr>
      </w:pPr>
      <w:r w:rsidRPr="00037AD4">
        <w:rPr>
          <w:rFonts w:asciiTheme="minorHAnsi" w:hAnsiTheme="minorHAnsi" w:cstheme="minorHAnsi"/>
          <w:b/>
          <w:bCs/>
          <w:u w:val="single"/>
        </w:rPr>
        <w:t xml:space="preserve">Publications </w:t>
      </w:r>
    </w:p>
    <w:p w14:paraId="43755413" w14:textId="77777777" w:rsidR="00B54D51" w:rsidRPr="00037AD4" w:rsidRDefault="00B54D51" w:rsidP="003D222B">
      <w:pPr>
        <w:rPr>
          <w:rFonts w:asciiTheme="minorHAnsi" w:hAnsiTheme="minorHAnsi" w:cstheme="minorHAnsi"/>
          <w:b/>
          <w:bCs/>
          <w:u w:val="single"/>
        </w:rPr>
      </w:pPr>
    </w:p>
    <w:p w14:paraId="072736BF" w14:textId="77777777" w:rsidR="00B54D51" w:rsidRPr="00037AD4" w:rsidRDefault="00B54D51" w:rsidP="003D222B">
      <w:pPr>
        <w:rPr>
          <w:rFonts w:asciiTheme="minorHAnsi" w:hAnsiTheme="minorHAnsi" w:cstheme="minorHAnsi"/>
          <w:shd w:val="clear" w:color="auto" w:fill="FFFFFF"/>
        </w:rPr>
      </w:pPr>
      <w:r w:rsidRPr="00037AD4">
        <w:rPr>
          <w:rFonts w:asciiTheme="minorHAnsi" w:hAnsiTheme="minorHAnsi" w:cstheme="minorHAnsi"/>
          <w:shd w:val="clear" w:color="auto" w:fill="FFFFFF"/>
        </w:rPr>
        <w:t xml:space="preserve">Keetharuth, A. D., </w:t>
      </w:r>
      <w:r w:rsidRPr="00037AD4">
        <w:rPr>
          <w:rFonts w:asciiTheme="minorHAnsi" w:hAnsiTheme="minorHAnsi" w:cstheme="minorHAnsi"/>
          <w:b/>
          <w:bCs/>
          <w:shd w:val="clear" w:color="auto" w:fill="FFFFFF"/>
        </w:rPr>
        <w:t>Hussain, H.,</w:t>
      </w:r>
      <w:r w:rsidRPr="00037AD4">
        <w:rPr>
          <w:rFonts w:asciiTheme="minorHAnsi" w:hAnsiTheme="minorHAnsi" w:cstheme="minorHAnsi"/>
          <w:shd w:val="clear" w:color="auto" w:fill="FFFFFF"/>
        </w:rPr>
        <w:t xml:space="preserve"> Rowen, D., &amp; Wailoo, A. (2022). Assessing the psychometric performance of EQ-5D-5L in dementia: a systematic review.</w:t>
      </w:r>
      <w:r w:rsidRPr="00037AD4">
        <w:rPr>
          <w:rStyle w:val="apple-converted-space"/>
          <w:rFonts w:asciiTheme="minorHAnsi" w:eastAsiaTheme="majorEastAsia" w:hAnsiTheme="minorHAnsi" w:cstheme="minorHAnsi"/>
          <w:shd w:val="clear" w:color="auto" w:fill="FFFFFF"/>
        </w:rPr>
        <w:t> </w:t>
      </w:r>
      <w:r w:rsidRPr="00037AD4">
        <w:rPr>
          <w:rFonts w:asciiTheme="minorHAnsi" w:hAnsiTheme="minorHAnsi" w:cstheme="minorHAnsi"/>
          <w:i/>
          <w:iCs/>
        </w:rPr>
        <w:t>Health and Quality of Life Outcomes</w:t>
      </w:r>
      <w:r w:rsidRPr="00037AD4">
        <w:rPr>
          <w:rFonts w:asciiTheme="minorHAnsi" w:hAnsiTheme="minorHAnsi" w:cstheme="minorHAnsi"/>
          <w:shd w:val="clear" w:color="auto" w:fill="FFFFFF"/>
        </w:rPr>
        <w:t>,</w:t>
      </w:r>
      <w:r w:rsidRPr="00037AD4">
        <w:rPr>
          <w:rStyle w:val="apple-converted-space"/>
          <w:rFonts w:asciiTheme="minorHAnsi" w:eastAsiaTheme="majorEastAsia" w:hAnsiTheme="minorHAnsi" w:cstheme="minorHAnsi"/>
          <w:shd w:val="clear" w:color="auto" w:fill="FFFFFF"/>
        </w:rPr>
        <w:t> </w:t>
      </w:r>
      <w:r w:rsidRPr="00037AD4">
        <w:rPr>
          <w:rFonts w:asciiTheme="minorHAnsi" w:hAnsiTheme="minorHAnsi" w:cstheme="minorHAnsi"/>
          <w:i/>
          <w:iCs/>
        </w:rPr>
        <w:t>20</w:t>
      </w:r>
      <w:r w:rsidRPr="00037AD4">
        <w:rPr>
          <w:rFonts w:asciiTheme="minorHAnsi" w:hAnsiTheme="minorHAnsi" w:cstheme="minorHAnsi"/>
          <w:shd w:val="clear" w:color="auto" w:fill="FFFFFF"/>
        </w:rPr>
        <w:t>(1), 139.</w:t>
      </w:r>
    </w:p>
    <w:p w14:paraId="066BE8B3" w14:textId="77777777" w:rsidR="00B54D51" w:rsidRPr="00037AD4" w:rsidRDefault="00B54D51" w:rsidP="005A4070">
      <w:pPr>
        <w:jc w:val="center"/>
        <w:rPr>
          <w:rFonts w:asciiTheme="minorHAnsi" w:hAnsiTheme="minorHAnsi" w:cstheme="minorHAnsi"/>
          <w:b/>
          <w:bCs/>
          <w:u w:val="single"/>
        </w:rPr>
      </w:pPr>
    </w:p>
    <w:p w14:paraId="74CACE0D" w14:textId="0FF0FA76" w:rsidR="00B54D51" w:rsidRDefault="00B54D51" w:rsidP="003D222B">
      <w:pPr>
        <w:rPr>
          <w:rFonts w:asciiTheme="minorHAnsi" w:hAnsiTheme="minorHAnsi" w:cstheme="minorHAnsi"/>
          <w:shd w:val="clear" w:color="auto" w:fill="FFFFFF"/>
        </w:rPr>
      </w:pPr>
      <w:r w:rsidRPr="00037AD4">
        <w:rPr>
          <w:rFonts w:asciiTheme="minorHAnsi" w:hAnsiTheme="minorHAnsi" w:cstheme="minorHAnsi"/>
          <w:b/>
          <w:bCs/>
          <w:shd w:val="clear" w:color="auto" w:fill="FFFFFF"/>
        </w:rPr>
        <w:t>Hussain, H</w:t>
      </w:r>
      <w:r w:rsidRPr="00037AD4">
        <w:rPr>
          <w:rFonts w:asciiTheme="minorHAnsi" w:hAnsiTheme="minorHAnsi" w:cstheme="minorHAnsi"/>
          <w:shd w:val="clear" w:color="auto" w:fill="FFFFFF"/>
        </w:rPr>
        <w:t>., Keetharuth, A., Rowen, D., &amp; Wailoo, A. (2022). Convergent validity of EQ-5D with core outcomes in dementia: a systematic review.</w:t>
      </w:r>
      <w:r w:rsidRPr="00037AD4">
        <w:rPr>
          <w:rStyle w:val="apple-converted-space"/>
          <w:rFonts w:asciiTheme="minorHAnsi" w:eastAsiaTheme="majorEastAsia" w:hAnsiTheme="minorHAnsi" w:cstheme="minorHAnsi"/>
          <w:shd w:val="clear" w:color="auto" w:fill="FFFFFF"/>
        </w:rPr>
        <w:t> </w:t>
      </w:r>
      <w:r w:rsidRPr="00037AD4">
        <w:rPr>
          <w:rFonts w:asciiTheme="minorHAnsi" w:hAnsiTheme="minorHAnsi" w:cstheme="minorHAnsi"/>
          <w:i/>
          <w:iCs/>
        </w:rPr>
        <w:t>Health and Quality of Life Outcomes</w:t>
      </w:r>
      <w:r w:rsidRPr="00037AD4">
        <w:rPr>
          <w:rFonts w:asciiTheme="minorHAnsi" w:hAnsiTheme="minorHAnsi" w:cstheme="minorHAnsi"/>
          <w:shd w:val="clear" w:color="auto" w:fill="FFFFFF"/>
        </w:rPr>
        <w:t>,</w:t>
      </w:r>
      <w:r w:rsidRPr="00037AD4">
        <w:rPr>
          <w:rStyle w:val="apple-converted-space"/>
          <w:rFonts w:asciiTheme="minorHAnsi" w:eastAsiaTheme="majorEastAsia" w:hAnsiTheme="minorHAnsi" w:cstheme="minorHAnsi"/>
          <w:shd w:val="clear" w:color="auto" w:fill="FFFFFF"/>
        </w:rPr>
        <w:t> </w:t>
      </w:r>
      <w:r w:rsidRPr="00037AD4">
        <w:rPr>
          <w:rFonts w:asciiTheme="minorHAnsi" w:hAnsiTheme="minorHAnsi" w:cstheme="minorHAnsi"/>
          <w:i/>
          <w:iCs/>
        </w:rPr>
        <w:t>20</w:t>
      </w:r>
      <w:r w:rsidRPr="00037AD4">
        <w:rPr>
          <w:rFonts w:asciiTheme="minorHAnsi" w:hAnsiTheme="minorHAnsi" w:cstheme="minorHAnsi"/>
          <w:shd w:val="clear" w:color="auto" w:fill="FFFFFF"/>
        </w:rPr>
        <w:t>(1), 1-18.</w:t>
      </w:r>
    </w:p>
    <w:p w14:paraId="48C89AA7" w14:textId="77777777" w:rsidR="00962967" w:rsidRDefault="00962967" w:rsidP="003D222B">
      <w:pPr>
        <w:rPr>
          <w:rFonts w:asciiTheme="minorHAnsi" w:hAnsiTheme="minorHAnsi" w:cstheme="minorHAnsi"/>
          <w:b/>
          <w:bCs/>
          <w:u w:val="single"/>
        </w:rPr>
      </w:pPr>
    </w:p>
    <w:p w14:paraId="3E639F3B" w14:textId="69581914" w:rsidR="00962967" w:rsidRDefault="00962967" w:rsidP="003D222B">
      <w:pPr>
        <w:rPr>
          <w:rFonts w:asciiTheme="minorHAnsi" w:hAnsiTheme="minorHAnsi" w:cstheme="minorHAnsi"/>
          <w:b/>
          <w:bCs/>
          <w:u w:val="single"/>
        </w:rPr>
      </w:pPr>
      <w:r w:rsidRPr="00037AD4">
        <w:rPr>
          <w:rFonts w:asciiTheme="minorHAnsi" w:hAnsiTheme="minorHAnsi" w:cstheme="minorHAnsi"/>
          <w:b/>
          <w:bCs/>
          <w:shd w:val="clear" w:color="auto" w:fill="FFFFFF"/>
        </w:rPr>
        <w:t>Hussain, H</w:t>
      </w:r>
      <w:r w:rsidRPr="00037AD4">
        <w:rPr>
          <w:rFonts w:asciiTheme="minorHAnsi" w:hAnsiTheme="minorHAnsi" w:cstheme="minorHAnsi"/>
          <w:shd w:val="clear" w:color="auto" w:fill="FFFFFF"/>
        </w:rPr>
        <w:t>., Keetharuth, A., Rowen, D., &amp; Wailoo, A. (202</w:t>
      </w:r>
      <w:r>
        <w:rPr>
          <w:rFonts w:asciiTheme="minorHAnsi" w:hAnsiTheme="minorHAnsi" w:cstheme="minorHAnsi"/>
          <w:shd w:val="clear" w:color="auto" w:fill="FFFFFF"/>
        </w:rPr>
        <w:t xml:space="preserve">4). Enhancing </w:t>
      </w:r>
      <w:r w:rsidR="001364D7">
        <w:rPr>
          <w:rFonts w:asciiTheme="minorHAnsi" w:hAnsiTheme="minorHAnsi" w:cstheme="minorHAnsi"/>
          <w:shd w:val="clear" w:color="auto" w:fill="FFFFFF"/>
        </w:rPr>
        <w:t>Health Related Quality of Life (</w:t>
      </w:r>
      <w:r>
        <w:rPr>
          <w:rFonts w:asciiTheme="minorHAnsi" w:hAnsiTheme="minorHAnsi" w:cstheme="minorHAnsi"/>
          <w:shd w:val="clear" w:color="auto" w:fill="FFFFFF"/>
        </w:rPr>
        <w:t>HRQoL</w:t>
      </w:r>
      <w:r w:rsidR="001364D7">
        <w:rPr>
          <w:rFonts w:asciiTheme="minorHAnsi" w:hAnsiTheme="minorHAnsi" w:cstheme="minorHAnsi"/>
          <w:shd w:val="clear" w:color="auto" w:fill="FFFFFF"/>
        </w:rPr>
        <w:t>)</w:t>
      </w:r>
      <w:r>
        <w:rPr>
          <w:rFonts w:asciiTheme="minorHAnsi" w:hAnsiTheme="minorHAnsi" w:cstheme="minorHAnsi"/>
          <w:shd w:val="clear" w:color="auto" w:fill="FFFFFF"/>
        </w:rPr>
        <w:t xml:space="preserve"> </w:t>
      </w:r>
      <w:r w:rsidR="001364D7">
        <w:rPr>
          <w:rFonts w:asciiTheme="minorHAnsi" w:hAnsiTheme="minorHAnsi" w:cstheme="minorHAnsi"/>
          <w:shd w:val="clear" w:color="auto" w:fill="FFFFFF"/>
        </w:rPr>
        <w:t>A</w:t>
      </w:r>
      <w:r>
        <w:rPr>
          <w:rFonts w:asciiTheme="minorHAnsi" w:hAnsiTheme="minorHAnsi" w:cstheme="minorHAnsi"/>
          <w:shd w:val="clear" w:color="auto" w:fill="FFFFFF"/>
        </w:rPr>
        <w:t xml:space="preserve">ssessment for </w:t>
      </w:r>
      <w:r w:rsidR="001364D7">
        <w:rPr>
          <w:rFonts w:asciiTheme="minorHAnsi" w:hAnsiTheme="minorHAnsi" w:cstheme="minorHAnsi"/>
          <w:shd w:val="clear" w:color="auto" w:fill="FFFFFF"/>
        </w:rPr>
        <w:t>E</w:t>
      </w:r>
      <w:r>
        <w:rPr>
          <w:rFonts w:asciiTheme="minorHAnsi" w:hAnsiTheme="minorHAnsi" w:cstheme="minorHAnsi"/>
          <w:shd w:val="clear" w:color="auto" w:fill="FFFFFF"/>
        </w:rPr>
        <w:t xml:space="preserve">conomic </w:t>
      </w:r>
      <w:r w:rsidR="001364D7">
        <w:rPr>
          <w:rFonts w:asciiTheme="minorHAnsi" w:hAnsiTheme="minorHAnsi" w:cstheme="minorHAnsi"/>
          <w:shd w:val="clear" w:color="auto" w:fill="FFFFFF"/>
        </w:rPr>
        <w:t>E</w:t>
      </w:r>
      <w:r>
        <w:rPr>
          <w:rFonts w:asciiTheme="minorHAnsi" w:hAnsiTheme="minorHAnsi" w:cstheme="minorHAnsi"/>
          <w:shd w:val="clear" w:color="auto" w:fill="FFFFFF"/>
        </w:rPr>
        <w:t xml:space="preserve">valuation in Dementia Populations: </w:t>
      </w:r>
      <w:r w:rsidR="001364D7">
        <w:rPr>
          <w:rFonts w:asciiTheme="minorHAnsi" w:hAnsiTheme="minorHAnsi" w:cstheme="minorHAnsi"/>
          <w:shd w:val="clear" w:color="auto" w:fill="FFFFFF"/>
        </w:rPr>
        <w:t>C</w:t>
      </w:r>
      <w:r>
        <w:rPr>
          <w:rFonts w:asciiTheme="minorHAnsi" w:hAnsiTheme="minorHAnsi" w:cstheme="minorHAnsi"/>
          <w:shd w:val="clear" w:color="auto" w:fill="FFFFFF"/>
        </w:rPr>
        <w:t xml:space="preserve">hallenges and </w:t>
      </w:r>
      <w:r w:rsidR="001364D7">
        <w:rPr>
          <w:rFonts w:asciiTheme="minorHAnsi" w:hAnsiTheme="minorHAnsi" w:cstheme="minorHAnsi"/>
          <w:shd w:val="clear" w:color="auto" w:fill="FFFFFF"/>
        </w:rPr>
        <w:t>R</w:t>
      </w:r>
      <w:r>
        <w:rPr>
          <w:rFonts w:asciiTheme="minorHAnsi" w:hAnsiTheme="minorHAnsi" w:cstheme="minorHAnsi"/>
          <w:shd w:val="clear" w:color="auto" w:fill="FFFFFF"/>
        </w:rPr>
        <w:t xml:space="preserve">ecommendations for </w:t>
      </w:r>
      <w:r w:rsidR="001364D7">
        <w:rPr>
          <w:rFonts w:asciiTheme="minorHAnsi" w:hAnsiTheme="minorHAnsi" w:cstheme="minorHAnsi"/>
          <w:shd w:val="clear" w:color="auto" w:fill="FFFFFF"/>
        </w:rPr>
        <w:t>F</w:t>
      </w:r>
      <w:r>
        <w:rPr>
          <w:rFonts w:asciiTheme="minorHAnsi" w:hAnsiTheme="minorHAnsi" w:cstheme="minorHAnsi"/>
          <w:shd w:val="clear" w:color="auto" w:fill="FFFFFF"/>
        </w:rPr>
        <w:t xml:space="preserve">uture </w:t>
      </w:r>
      <w:r w:rsidR="001364D7">
        <w:rPr>
          <w:rFonts w:asciiTheme="minorHAnsi" w:hAnsiTheme="minorHAnsi" w:cstheme="minorHAnsi"/>
          <w:shd w:val="clear" w:color="auto" w:fill="FFFFFF"/>
        </w:rPr>
        <w:t>R</w:t>
      </w:r>
      <w:r>
        <w:rPr>
          <w:rFonts w:asciiTheme="minorHAnsi" w:hAnsiTheme="minorHAnsi" w:cstheme="minorHAnsi"/>
          <w:shd w:val="clear" w:color="auto" w:fill="FFFFFF"/>
        </w:rPr>
        <w:t xml:space="preserve">esearch. </w:t>
      </w:r>
      <w:r w:rsidRPr="00962967">
        <w:rPr>
          <w:rFonts w:asciiTheme="minorHAnsi" w:hAnsiTheme="minorHAnsi" w:cstheme="minorHAnsi"/>
          <w:i/>
          <w:iCs/>
          <w:shd w:val="clear" w:color="auto" w:fill="FFFFFF"/>
        </w:rPr>
        <w:t>Submitted to Value in Health</w:t>
      </w:r>
      <w:r>
        <w:rPr>
          <w:rFonts w:asciiTheme="minorHAnsi" w:hAnsiTheme="minorHAnsi" w:cstheme="minorHAnsi"/>
          <w:shd w:val="clear" w:color="auto" w:fill="FFFFFF"/>
        </w:rPr>
        <w:t xml:space="preserve"> </w:t>
      </w:r>
    </w:p>
    <w:p w14:paraId="55BF3D3F" w14:textId="77777777" w:rsidR="00962967" w:rsidRDefault="00962967" w:rsidP="003D222B">
      <w:pPr>
        <w:rPr>
          <w:rFonts w:asciiTheme="minorHAnsi" w:hAnsiTheme="minorHAnsi" w:cstheme="minorHAnsi"/>
          <w:b/>
          <w:bCs/>
          <w:u w:val="single"/>
        </w:rPr>
      </w:pPr>
    </w:p>
    <w:p w14:paraId="451E71D1" w14:textId="0EE080F0" w:rsidR="00B54D51" w:rsidRPr="00037AD4" w:rsidRDefault="00B54D51" w:rsidP="003D222B">
      <w:pPr>
        <w:rPr>
          <w:rFonts w:asciiTheme="minorHAnsi" w:eastAsia="TUOS Blake" w:hAnsiTheme="minorHAnsi" w:cstheme="minorHAnsi"/>
          <w:b/>
          <w:bCs/>
          <w:u w:val="single"/>
        </w:rPr>
      </w:pPr>
      <w:r w:rsidRPr="00037AD4">
        <w:rPr>
          <w:rFonts w:asciiTheme="minorHAnsi" w:eastAsia="TUOS Blake" w:hAnsiTheme="minorHAnsi" w:cstheme="minorHAnsi"/>
          <w:b/>
          <w:bCs/>
          <w:u w:val="single"/>
        </w:rPr>
        <w:t>Refereed Conference Papers – in Print</w:t>
      </w:r>
    </w:p>
    <w:p w14:paraId="3C012AE7" w14:textId="77777777" w:rsidR="00B54D51" w:rsidRPr="00037AD4" w:rsidRDefault="00B54D51" w:rsidP="003D222B">
      <w:pPr>
        <w:rPr>
          <w:rFonts w:ascii="TUOS Blake" w:eastAsia="TUOS Blake" w:hAnsi="TUOS Blake" w:cs="TUOS Blake"/>
          <w:b/>
          <w:bCs/>
        </w:rPr>
      </w:pPr>
    </w:p>
    <w:p w14:paraId="13D7C0CE" w14:textId="77777777" w:rsidR="00B54D51" w:rsidRPr="00037AD4" w:rsidRDefault="00B54D51" w:rsidP="003D222B">
      <w:pPr>
        <w:rPr>
          <w:rFonts w:asciiTheme="minorHAnsi" w:hAnsiTheme="minorHAnsi" w:cstheme="minorHAnsi"/>
        </w:rPr>
      </w:pPr>
      <w:r w:rsidRPr="00037AD4">
        <w:rPr>
          <w:rFonts w:asciiTheme="minorHAnsi" w:hAnsiTheme="minorHAnsi" w:cstheme="minorHAnsi"/>
          <w:shd w:val="clear" w:color="auto" w:fill="FFFFFF"/>
        </w:rPr>
        <w:t xml:space="preserve">Hussain, H., Keetharuth, A., Rowen, D., &amp; Wailoo (2023). </w:t>
      </w:r>
      <w:r w:rsidRPr="00037AD4">
        <w:rPr>
          <w:rFonts w:asciiTheme="minorHAnsi" w:hAnsiTheme="minorHAnsi" w:cstheme="minorHAnsi"/>
        </w:rPr>
        <w:t xml:space="preserve"> A25, Convergent validity of EQ-5D with core outcomes in dementia: a systematic review. Proceedings of the 6th National Patient Reported Outcome Measures (PROMs) Annual UK Research Virtual Conference, Bridgend, Wales 2022. Qual Life Res 32 (Suppl 1), 1–21 (2023). </w:t>
      </w:r>
      <w:hyperlink r:id="rId12" w:history="1">
        <w:r w:rsidRPr="00037AD4">
          <w:rPr>
            <w:rStyle w:val="Hyperlink"/>
            <w:rFonts w:asciiTheme="minorHAnsi" w:hAnsiTheme="minorHAnsi" w:cstheme="minorHAnsi"/>
          </w:rPr>
          <w:t>https://doi.org/10.1007/s11136-023-03353-w</w:t>
        </w:r>
      </w:hyperlink>
      <w:r w:rsidRPr="00037AD4">
        <w:rPr>
          <w:rFonts w:asciiTheme="minorHAnsi" w:hAnsiTheme="minorHAnsi" w:cstheme="minorHAnsi"/>
        </w:rPr>
        <w:t xml:space="preserve"> </w:t>
      </w:r>
    </w:p>
    <w:p w14:paraId="570C4CFE" w14:textId="77777777" w:rsidR="00B54D51" w:rsidRPr="00037AD4" w:rsidRDefault="00B54D51" w:rsidP="003D222B">
      <w:pPr>
        <w:rPr>
          <w:rFonts w:asciiTheme="minorHAnsi" w:hAnsiTheme="minorHAnsi" w:cstheme="minorHAnsi"/>
          <w:b/>
          <w:bCs/>
          <w:u w:val="single"/>
        </w:rPr>
      </w:pPr>
    </w:p>
    <w:p w14:paraId="0DF281EB" w14:textId="77777777" w:rsidR="00B54D51" w:rsidRPr="00037AD4" w:rsidRDefault="00B54D51" w:rsidP="003D222B">
      <w:pPr>
        <w:rPr>
          <w:rFonts w:asciiTheme="minorHAnsi" w:hAnsiTheme="minorHAnsi" w:cstheme="minorHAnsi"/>
          <w:b/>
          <w:bCs/>
          <w:u w:val="single"/>
        </w:rPr>
      </w:pPr>
      <w:r w:rsidRPr="00037AD4">
        <w:rPr>
          <w:rFonts w:asciiTheme="minorHAnsi" w:hAnsiTheme="minorHAnsi" w:cstheme="minorHAnsi"/>
          <w:b/>
          <w:bCs/>
          <w:u w:val="single"/>
        </w:rPr>
        <w:t xml:space="preserve">Conference presentations </w:t>
      </w:r>
    </w:p>
    <w:p w14:paraId="2B6EDF73" w14:textId="77777777" w:rsidR="00B54D51" w:rsidRPr="00037AD4" w:rsidRDefault="00B54D51" w:rsidP="003D222B">
      <w:pPr>
        <w:rPr>
          <w:rFonts w:asciiTheme="minorHAnsi" w:hAnsiTheme="minorHAnsi" w:cstheme="minorHAnsi"/>
          <w:b/>
          <w:bCs/>
          <w:u w:val="single"/>
        </w:rPr>
      </w:pPr>
    </w:p>
    <w:p w14:paraId="577F18C4" w14:textId="77777777" w:rsidR="00B54D51" w:rsidRPr="00037AD4" w:rsidRDefault="00B54D51" w:rsidP="003D222B">
      <w:pPr>
        <w:rPr>
          <w:rFonts w:asciiTheme="minorHAnsi" w:hAnsiTheme="minorHAnsi" w:cstheme="minorHAnsi"/>
        </w:rPr>
      </w:pPr>
      <w:r w:rsidRPr="00037AD4">
        <w:rPr>
          <w:rFonts w:asciiTheme="minorHAnsi" w:hAnsiTheme="minorHAnsi" w:cstheme="minorHAnsi"/>
        </w:rPr>
        <w:t xml:space="preserve">Oral presentation at the ScHARR PGR Conference, 2021 – prize awarded for best “Gone in 60 Seconds” presentation </w:t>
      </w:r>
    </w:p>
    <w:p w14:paraId="41E5F6D0" w14:textId="77777777" w:rsidR="00B54D51" w:rsidRPr="00037AD4" w:rsidRDefault="00B54D51" w:rsidP="003D222B">
      <w:pPr>
        <w:rPr>
          <w:rFonts w:asciiTheme="minorHAnsi" w:hAnsiTheme="minorHAnsi" w:cstheme="minorHAnsi"/>
          <w:b/>
          <w:bCs/>
          <w:highlight w:val="yellow"/>
        </w:rPr>
      </w:pPr>
    </w:p>
    <w:p w14:paraId="2E3A5AB6" w14:textId="77777777" w:rsidR="00B54D51" w:rsidRPr="00037AD4" w:rsidRDefault="00B54D51" w:rsidP="003D222B">
      <w:pPr>
        <w:rPr>
          <w:rFonts w:asciiTheme="minorHAnsi" w:hAnsiTheme="minorHAnsi" w:cstheme="minorHAnsi"/>
          <w:shd w:val="clear" w:color="auto" w:fill="FFFFFF"/>
        </w:rPr>
      </w:pPr>
      <w:r w:rsidRPr="00037AD4">
        <w:rPr>
          <w:rFonts w:asciiTheme="minorHAnsi" w:hAnsiTheme="minorHAnsi" w:cstheme="minorHAnsi"/>
        </w:rPr>
        <w:t>Oral presentation at the 7</w:t>
      </w:r>
      <w:r w:rsidRPr="00037AD4">
        <w:rPr>
          <w:rFonts w:asciiTheme="minorHAnsi" w:hAnsiTheme="minorHAnsi" w:cstheme="minorHAnsi"/>
          <w:vertAlign w:val="superscript"/>
        </w:rPr>
        <w:t>th</w:t>
      </w:r>
      <w:r w:rsidRPr="00037AD4">
        <w:rPr>
          <w:rFonts w:asciiTheme="minorHAnsi" w:hAnsiTheme="minorHAnsi" w:cstheme="minorHAnsi"/>
        </w:rPr>
        <w:t xml:space="preserve"> UK Patient Reported Outcome Measures Research Conference (PROMs), June 2023.</w:t>
      </w:r>
      <w:r w:rsidRPr="00037AD4">
        <w:rPr>
          <w:rFonts w:asciiTheme="minorHAnsi" w:hAnsiTheme="minorHAnsi" w:cstheme="minorHAnsi"/>
          <w:b/>
          <w:bCs/>
        </w:rPr>
        <w:t xml:space="preserve"> </w:t>
      </w:r>
      <w:r w:rsidRPr="00037AD4">
        <w:rPr>
          <w:rFonts w:asciiTheme="minorHAnsi" w:hAnsiTheme="minorHAnsi" w:cstheme="minorHAnsi"/>
          <w:shd w:val="clear" w:color="auto" w:fill="FFFFFF"/>
        </w:rPr>
        <w:t xml:space="preserve">Hussain, H., Keetharuth, A., Rowen, D., &amp; Wailoo, A. Recommendations for HRQoL data collection in dementia populations </w:t>
      </w:r>
    </w:p>
    <w:p w14:paraId="0FB6C718" w14:textId="77777777" w:rsidR="00B54D51" w:rsidRPr="00037AD4" w:rsidRDefault="00B54D51" w:rsidP="003D222B">
      <w:pPr>
        <w:rPr>
          <w:rFonts w:asciiTheme="minorHAnsi" w:hAnsiTheme="minorHAnsi" w:cstheme="minorHAnsi"/>
          <w:highlight w:val="yellow"/>
          <w:shd w:val="clear" w:color="auto" w:fill="FFFFFF"/>
        </w:rPr>
      </w:pPr>
    </w:p>
    <w:p w14:paraId="7200A86D" w14:textId="77777777" w:rsidR="00B54D51" w:rsidRPr="00037AD4" w:rsidRDefault="00B54D51" w:rsidP="003D222B">
      <w:pPr>
        <w:rPr>
          <w:rFonts w:asciiTheme="minorHAnsi" w:hAnsiTheme="minorHAnsi" w:cstheme="minorHAnsi"/>
          <w:b/>
          <w:bCs/>
        </w:rPr>
      </w:pPr>
      <w:r w:rsidRPr="00037AD4">
        <w:rPr>
          <w:rFonts w:asciiTheme="minorHAnsi" w:hAnsiTheme="minorHAnsi" w:cstheme="minorHAnsi"/>
        </w:rPr>
        <w:t>Oral presentation at the Dementia Futures Conference, Sheffield, September 2022.</w:t>
      </w:r>
      <w:r w:rsidRPr="00037AD4">
        <w:rPr>
          <w:rFonts w:asciiTheme="minorHAnsi" w:hAnsiTheme="minorHAnsi" w:cstheme="minorHAnsi"/>
          <w:b/>
          <w:bCs/>
        </w:rPr>
        <w:t xml:space="preserve"> </w:t>
      </w:r>
      <w:r w:rsidRPr="00037AD4">
        <w:rPr>
          <w:rFonts w:asciiTheme="minorHAnsi" w:hAnsiTheme="minorHAnsi" w:cstheme="minorHAnsi"/>
          <w:shd w:val="clear" w:color="auto" w:fill="FFFFFF"/>
        </w:rPr>
        <w:t xml:space="preserve">Hussain, H., Keetharuth, A., Rowen, D., &amp; Wailoo, A. Measuring quality of life in people living with dementia and its challenges </w:t>
      </w:r>
    </w:p>
    <w:p w14:paraId="1E4A4D18" w14:textId="77777777" w:rsidR="00B54D51" w:rsidRPr="00037AD4" w:rsidRDefault="00B54D51" w:rsidP="003D222B">
      <w:pPr>
        <w:rPr>
          <w:rFonts w:asciiTheme="minorHAnsi" w:hAnsiTheme="minorHAnsi" w:cstheme="minorHAnsi"/>
          <w:b/>
          <w:bCs/>
        </w:rPr>
      </w:pPr>
    </w:p>
    <w:p w14:paraId="237C4FFC" w14:textId="77777777" w:rsidR="00B54D51" w:rsidRPr="00037AD4" w:rsidRDefault="00B54D51" w:rsidP="00955E9C">
      <w:pPr>
        <w:rPr>
          <w:rFonts w:asciiTheme="minorHAnsi" w:hAnsiTheme="minorHAnsi" w:cstheme="minorHAnsi"/>
          <w:b/>
          <w:bCs/>
          <w:u w:val="single"/>
        </w:rPr>
      </w:pPr>
    </w:p>
    <w:p w14:paraId="73154E36" w14:textId="77777777" w:rsidR="00B54D51" w:rsidRPr="00037AD4" w:rsidRDefault="00B54D51" w:rsidP="005A4070">
      <w:pPr>
        <w:jc w:val="center"/>
        <w:rPr>
          <w:rFonts w:asciiTheme="minorHAnsi" w:hAnsiTheme="minorHAnsi" w:cstheme="minorHAnsi"/>
          <w:b/>
          <w:bCs/>
          <w:u w:val="single"/>
        </w:rPr>
      </w:pPr>
    </w:p>
    <w:p w14:paraId="2520D093" w14:textId="77777777" w:rsidR="00B54D51" w:rsidRPr="00037AD4" w:rsidRDefault="00B54D51" w:rsidP="00955E9C">
      <w:pPr>
        <w:rPr>
          <w:rFonts w:asciiTheme="minorHAnsi" w:hAnsiTheme="minorHAnsi" w:cstheme="minorHAnsi"/>
          <w:b/>
          <w:bCs/>
          <w:sz w:val="26"/>
          <w:szCs w:val="26"/>
          <w:u w:val="single"/>
        </w:rPr>
      </w:pPr>
    </w:p>
    <w:p w14:paraId="76EE64CD" w14:textId="77777777" w:rsidR="00B54D51" w:rsidRPr="00037AD4" w:rsidRDefault="00B54D51" w:rsidP="00955E9C">
      <w:pPr>
        <w:rPr>
          <w:rFonts w:asciiTheme="minorHAnsi" w:hAnsiTheme="minorHAnsi" w:cstheme="minorHAnsi"/>
          <w:b/>
          <w:bCs/>
          <w:sz w:val="26"/>
          <w:szCs w:val="26"/>
          <w:u w:val="single"/>
        </w:rPr>
      </w:pPr>
    </w:p>
    <w:p w14:paraId="329DFEAA" w14:textId="77777777" w:rsidR="00B54D51" w:rsidRPr="00037AD4" w:rsidRDefault="00B54D51" w:rsidP="00955E9C">
      <w:pPr>
        <w:rPr>
          <w:rFonts w:asciiTheme="minorHAnsi" w:hAnsiTheme="minorHAnsi" w:cstheme="minorHAnsi"/>
          <w:b/>
          <w:bCs/>
          <w:sz w:val="26"/>
          <w:szCs w:val="26"/>
          <w:u w:val="single"/>
        </w:rPr>
      </w:pPr>
    </w:p>
    <w:p w14:paraId="723F92B3" w14:textId="77777777" w:rsidR="00B54D51" w:rsidRPr="00037AD4" w:rsidRDefault="00B54D51" w:rsidP="00955E9C">
      <w:pPr>
        <w:rPr>
          <w:rFonts w:asciiTheme="minorHAnsi" w:hAnsiTheme="minorHAnsi" w:cstheme="minorHAnsi"/>
          <w:b/>
          <w:bCs/>
          <w:sz w:val="26"/>
          <w:szCs w:val="26"/>
          <w:u w:val="single"/>
        </w:rPr>
      </w:pPr>
    </w:p>
    <w:p w14:paraId="73030D35" w14:textId="2E6904FB" w:rsidR="00B54D51" w:rsidRDefault="00B54D51" w:rsidP="00ED34CE">
      <w:pPr>
        <w:rPr>
          <w:rFonts w:asciiTheme="minorHAnsi" w:hAnsiTheme="minorHAnsi" w:cstheme="minorHAnsi"/>
          <w:b/>
          <w:bCs/>
          <w:sz w:val="26"/>
          <w:szCs w:val="26"/>
          <w:u w:val="single"/>
        </w:rPr>
      </w:pPr>
    </w:p>
    <w:p w14:paraId="0DF0DA8B" w14:textId="77777777" w:rsidR="005C6FE7" w:rsidRPr="00037AD4" w:rsidRDefault="005C6FE7" w:rsidP="00ED34CE">
      <w:pPr>
        <w:rPr>
          <w:rFonts w:asciiTheme="minorHAnsi" w:hAnsiTheme="minorHAnsi" w:cstheme="minorHAnsi"/>
          <w:b/>
          <w:bCs/>
          <w:sz w:val="26"/>
          <w:szCs w:val="26"/>
          <w:u w:val="single"/>
        </w:rPr>
      </w:pPr>
    </w:p>
    <w:p w14:paraId="571EB0AD" w14:textId="77777777" w:rsidR="00B54D51" w:rsidRPr="00037AD4" w:rsidRDefault="00B54D51" w:rsidP="007A43F9">
      <w:pPr>
        <w:pStyle w:val="Heading2"/>
        <w:jc w:val="center"/>
      </w:pPr>
      <w:bookmarkStart w:id="8" w:name="_Toc175742247"/>
      <w:r w:rsidRPr="00037AD4">
        <w:lastRenderedPageBreak/>
        <w:t>Acknowledgements</w:t>
      </w:r>
      <w:bookmarkEnd w:id="8"/>
      <w:r w:rsidRPr="00037AD4">
        <w:t xml:space="preserve"> </w:t>
      </w:r>
    </w:p>
    <w:p w14:paraId="4F6CB197" w14:textId="77777777" w:rsidR="00B54D51" w:rsidRPr="00037AD4" w:rsidRDefault="00B54D51" w:rsidP="003D64DD"/>
    <w:p w14:paraId="17E5D868" w14:textId="77777777" w:rsidR="00B54D51" w:rsidRPr="00037AD4" w:rsidRDefault="00B54D51" w:rsidP="003D64DD"/>
    <w:p w14:paraId="67ABCC7E" w14:textId="77777777" w:rsidR="00B54D51" w:rsidRPr="00037AD4" w:rsidRDefault="00B54D51" w:rsidP="003D64DD">
      <w:pPr>
        <w:rPr>
          <w:rFonts w:asciiTheme="minorHAnsi" w:hAnsiTheme="minorHAnsi" w:cstheme="minorHAnsi"/>
          <w:sz w:val="26"/>
          <w:szCs w:val="26"/>
        </w:rPr>
      </w:pPr>
      <w:r w:rsidRPr="00037AD4">
        <w:rPr>
          <w:rFonts w:asciiTheme="minorHAnsi" w:hAnsiTheme="minorHAnsi" w:cstheme="minorHAnsi"/>
          <w:sz w:val="26"/>
          <w:szCs w:val="26"/>
        </w:rPr>
        <w:t>I would like to thank my exceptional and supportive supervisors: Professor Allan Wailoo, Dr. Anju Keetharuth, and Professor Donna Rowen. A double mention to Anju for her friendship, advice and support, which have played a pivotal role in shaping my research journey.</w:t>
      </w:r>
      <w:r w:rsidRPr="00037AD4">
        <w:rPr>
          <w:rFonts w:ascii="Segoe UI" w:hAnsi="Segoe UI" w:cs="Segoe UI"/>
          <w:color w:val="0D0D0D"/>
          <w:shd w:val="clear" w:color="auto" w:fill="FFFFFF"/>
        </w:rPr>
        <w:t xml:space="preserve"> </w:t>
      </w:r>
      <w:r w:rsidRPr="00037AD4">
        <w:rPr>
          <w:rFonts w:asciiTheme="minorHAnsi" w:hAnsiTheme="minorHAnsi" w:cstheme="minorHAnsi"/>
          <w:sz w:val="26"/>
          <w:szCs w:val="26"/>
        </w:rPr>
        <w:t>I also extend my gratitude to Professor Monica Hernandez Alava for her invaluable technical support and assistance during critical moments. Together, their profound insights, unwavering guidance, and constant encouragement throughout my PhD journey have instilled in me the motivation and confidence necessary to navigate this academic pursuit.</w:t>
      </w:r>
    </w:p>
    <w:p w14:paraId="44D0FF40" w14:textId="77777777" w:rsidR="00B54D51" w:rsidRPr="00037AD4" w:rsidRDefault="00B54D51" w:rsidP="00ED34CE">
      <w:pPr>
        <w:rPr>
          <w:rFonts w:asciiTheme="minorHAnsi" w:hAnsiTheme="minorHAnsi" w:cstheme="minorHAnsi"/>
          <w:sz w:val="26"/>
          <w:szCs w:val="26"/>
        </w:rPr>
      </w:pPr>
    </w:p>
    <w:p w14:paraId="20DD0F4C" w14:textId="77777777" w:rsidR="00B54D51" w:rsidRPr="00037AD4" w:rsidRDefault="00B54D51" w:rsidP="00ED34CE">
      <w:pPr>
        <w:rPr>
          <w:rFonts w:asciiTheme="minorHAnsi" w:hAnsiTheme="minorHAnsi" w:cstheme="minorHAnsi"/>
          <w:sz w:val="26"/>
          <w:szCs w:val="26"/>
        </w:rPr>
      </w:pPr>
      <w:r w:rsidRPr="00037AD4">
        <w:rPr>
          <w:rFonts w:asciiTheme="minorHAnsi" w:hAnsiTheme="minorHAnsi" w:cstheme="minorHAnsi"/>
          <w:sz w:val="26"/>
          <w:szCs w:val="26"/>
        </w:rPr>
        <w:t>This project was funded by the Policy Research Unit in Economic Methods of Evaluation in Health and Care Interventions (EEPRU) at the University of Sheffield. Without this funding, this thesis would not have been possible. I am extremely thankful for the funding provided by EEPRU and for the invaluable opportunity it has afforded me.</w:t>
      </w:r>
    </w:p>
    <w:p w14:paraId="5BA0904E" w14:textId="77777777" w:rsidR="00B54D51" w:rsidRPr="00037AD4" w:rsidRDefault="00B54D51" w:rsidP="00ED34CE">
      <w:pPr>
        <w:rPr>
          <w:rFonts w:asciiTheme="minorHAnsi" w:hAnsiTheme="minorHAnsi" w:cstheme="minorHAnsi"/>
          <w:b/>
          <w:bCs/>
          <w:sz w:val="26"/>
          <w:szCs w:val="26"/>
          <w:u w:val="single"/>
        </w:rPr>
      </w:pPr>
    </w:p>
    <w:p w14:paraId="39CCD4EE" w14:textId="77777777" w:rsidR="00B54D51" w:rsidRPr="00037AD4" w:rsidRDefault="00B54D51" w:rsidP="002B3860">
      <w:pPr>
        <w:rPr>
          <w:rFonts w:asciiTheme="minorHAnsi" w:hAnsiTheme="minorHAnsi" w:cstheme="minorHAnsi"/>
          <w:sz w:val="26"/>
          <w:szCs w:val="26"/>
        </w:rPr>
      </w:pPr>
      <w:r w:rsidRPr="00037AD4">
        <w:rPr>
          <w:rFonts w:asciiTheme="minorHAnsi" w:hAnsiTheme="minorHAnsi" w:cstheme="minorHAnsi"/>
          <w:sz w:val="26"/>
          <w:szCs w:val="26"/>
        </w:rPr>
        <w:t xml:space="preserve">This research also would not have been possible without data shared with me from previous trials. My sincere appreciation goes to each clinical trial unit involved, as well as to Professor Claire Surr for facilitating access to the EPIC trial dataset and Professor Bob Woods for his support in accessing the REMCARE and ACTIFCARE study datasets, </w:t>
      </w:r>
      <w:r>
        <w:rPr>
          <w:rFonts w:asciiTheme="minorHAnsi" w:hAnsiTheme="minorHAnsi" w:cstheme="minorHAnsi"/>
          <w:sz w:val="26"/>
          <w:szCs w:val="26"/>
        </w:rPr>
        <w:t>with</w:t>
      </w:r>
      <w:r w:rsidRPr="00037AD4">
        <w:rPr>
          <w:rFonts w:asciiTheme="minorHAnsi" w:hAnsiTheme="minorHAnsi" w:cstheme="minorHAnsi"/>
          <w:sz w:val="26"/>
          <w:szCs w:val="26"/>
        </w:rPr>
        <w:t xml:space="preserve"> additional thanks to Professor Frans Verhey and Professor Ron Handels in acquiring the ACTIFCARE study data. </w:t>
      </w:r>
    </w:p>
    <w:p w14:paraId="02118B14" w14:textId="77777777" w:rsidR="00B54D51" w:rsidRPr="00037AD4" w:rsidRDefault="00B54D51" w:rsidP="002B3860">
      <w:pPr>
        <w:rPr>
          <w:rFonts w:asciiTheme="minorHAnsi" w:hAnsiTheme="minorHAnsi" w:cstheme="minorHAnsi"/>
          <w:sz w:val="26"/>
          <w:szCs w:val="26"/>
        </w:rPr>
      </w:pPr>
    </w:p>
    <w:p w14:paraId="76111EDB" w14:textId="1D018758" w:rsidR="00B54D51" w:rsidRPr="00037AD4" w:rsidRDefault="00B54D51" w:rsidP="002B3860">
      <w:pPr>
        <w:rPr>
          <w:rFonts w:asciiTheme="minorHAnsi" w:hAnsiTheme="minorHAnsi" w:cstheme="minorHAnsi"/>
          <w:sz w:val="26"/>
          <w:szCs w:val="26"/>
        </w:rPr>
      </w:pPr>
      <w:r w:rsidRPr="00037AD4">
        <w:rPr>
          <w:rFonts w:asciiTheme="minorHAnsi" w:hAnsiTheme="minorHAnsi" w:cstheme="minorHAnsi"/>
          <w:sz w:val="26"/>
          <w:szCs w:val="26"/>
        </w:rPr>
        <w:t>Lastly, I extend my deepest gratitude to my family for their unwavering support, love and constant encouragement. To my parents,</w:t>
      </w:r>
      <w:r w:rsidR="002B5521">
        <w:rPr>
          <w:rFonts w:asciiTheme="minorHAnsi" w:hAnsiTheme="minorHAnsi" w:cstheme="minorHAnsi"/>
          <w:sz w:val="26"/>
          <w:szCs w:val="26"/>
        </w:rPr>
        <w:t xml:space="preserve"> Azra and Najabat,</w:t>
      </w:r>
      <w:r w:rsidRPr="00037AD4">
        <w:rPr>
          <w:rFonts w:asciiTheme="minorHAnsi" w:hAnsiTheme="minorHAnsi" w:cstheme="minorHAnsi"/>
          <w:sz w:val="26"/>
          <w:szCs w:val="26"/>
        </w:rPr>
        <w:t xml:space="preserve"> who have always believed in my abilities, encouraged me to achieve my goals and reminded me to take a break! – a huge thank you. </w:t>
      </w:r>
    </w:p>
    <w:p w14:paraId="09D9B84B" w14:textId="77777777" w:rsidR="00B54D51" w:rsidRPr="00037AD4" w:rsidRDefault="00B54D51" w:rsidP="002B3860">
      <w:pPr>
        <w:rPr>
          <w:rFonts w:asciiTheme="minorHAnsi" w:hAnsiTheme="minorHAnsi" w:cstheme="minorHAnsi"/>
          <w:sz w:val="26"/>
          <w:szCs w:val="26"/>
        </w:rPr>
      </w:pPr>
    </w:p>
    <w:p w14:paraId="007FBBB0" w14:textId="77777777" w:rsidR="00B54D51" w:rsidRPr="00037AD4" w:rsidRDefault="00B54D51" w:rsidP="002B3860">
      <w:pPr>
        <w:rPr>
          <w:rFonts w:asciiTheme="minorHAnsi" w:hAnsiTheme="minorHAnsi" w:cstheme="minorHAnsi"/>
          <w:sz w:val="26"/>
          <w:szCs w:val="26"/>
        </w:rPr>
      </w:pPr>
      <w:r w:rsidRPr="00037AD4">
        <w:rPr>
          <w:rFonts w:asciiTheme="minorHAnsi" w:hAnsiTheme="minorHAnsi" w:cstheme="minorHAnsi"/>
          <w:sz w:val="26"/>
          <w:szCs w:val="26"/>
        </w:rPr>
        <w:t xml:space="preserve">To my siblings, Adam, Zainab, and Frances, your positivity and uplifting energy have been a constant source of strength – I thank you. </w:t>
      </w:r>
    </w:p>
    <w:p w14:paraId="3F500962" w14:textId="77777777" w:rsidR="00B54D51" w:rsidRPr="00037AD4" w:rsidRDefault="00B54D51" w:rsidP="002B3860">
      <w:pPr>
        <w:rPr>
          <w:rFonts w:asciiTheme="minorHAnsi" w:hAnsiTheme="minorHAnsi" w:cstheme="minorHAnsi"/>
          <w:sz w:val="26"/>
          <w:szCs w:val="26"/>
        </w:rPr>
      </w:pPr>
    </w:p>
    <w:p w14:paraId="7C84C226" w14:textId="11DA9FB5" w:rsidR="00B54D51" w:rsidRPr="00037AD4" w:rsidRDefault="00B54D51" w:rsidP="002B3860">
      <w:pPr>
        <w:rPr>
          <w:rFonts w:asciiTheme="minorHAnsi" w:hAnsiTheme="minorHAnsi" w:cstheme="minorHAnsi"/>
          <w:sz w:val="26"/>
          <w:szCs w:val="26"/>
        </w:rPr>
      </w:pPr>
      <w:r w:rsidRPr="00037AD4">
        <w:rPr>
          <w:rFonts w:asciiTheme="minorHAnsi" w:hAnsiTheme="minorHAnsi" w:cstheme="minorHAnsi"/>
          <w:sz w:val="26"/>
          <w:szCs w:val="26"/>
        </w:rPr>
        <w:t xml:space="preserve">And to my </w:t>
      </w:r>
      <w:r w:rsidR="008C2D91">
        <w:rPr>
          <w:rFonts w:asciiTheme="minorHAnsi" w:hAnsiTheme="minorHAnsi" w:cstheme="minorHAnsi"/>
          <w:sz w:val="26"/>
          <w:szCs w:val="26"/>
        </w:rPr>
        <w:t xml:space="preserve">life </w:t>
      </w:r>
      <w:r w:rsidRPr="00037AD4">
        <w:rPr>
          <w:rFonts w:asciiTheme="minorHAnsi" w:hAnsiTheme="minorHAnsi" w:cstheme="minorHAnsi"/>
          <w:sz w:val="26"/>
          <w:szCs w:val="26"/>
        </w:rPr>
        <w:t>partner, Ammer, your interest in my work, patience and affection have been immeasurable. Despite the demands of your own busy life, you have consistently provided me with the support and encouragement that I needed to persevere. For you, I am eternally grateful.</w:t>
      </w:r>
    </w:p>
    <w:p w14:paraId="0C193766" w14:textId="77777777" w:rsidR="00B54D51" w:rsidRPr="00037AD4" w:rsidRDefault="00B54D51" w:rsidP="00ED34CE">
      <w:pPr>
        <w:rPr>
          <w:rFonts w:asciiTheme="minorHAnsi" w:hAnsiTheme="minorHAnsi" w:cstheme="minorHAnsi"/>
          <w:sz w:val="26"/>
          <w:szCs w:val="26"/>
        </w:rPr>
      </w:pPr>
    </w:p>
    <w:p w14:paraId="3E6F06D1" w14:textId="77777777" w:rsidR="00B54D51" w:rsidRPr="00037AD4" w:rsidRDefault="00B54D51" w:rsidP="00ED34CE">
      <w:pPr>
        <w:rPr>
          <w:rFonts w:asciiTheme="minorHAnsi" w:hAnsiTheme="minorHAnsi" w:cstheme="minorHAnsi"/>
          <w:b/>
          <w:bCs/>
          <w:sz w:val="26"/>
          <w:szCs w:val="26"/>
          <w:u w:val="single"/>
        </w:rPr>
      </w:pPr>
    </w:p>
    <w:p w14:paraId="446553B2" w14:textId="77777777" w:rsidR="00B54D51" w:rsidRPr="00037AD4" w:rsidRDefault="00B54D51" w:rsidP="007A43F9">
      <w:pPr>
        <w:rPr>
          <w:rFonts w:asciiTheme="minorHAnsi" w:hAnsiTheme="minorHAnsi" w:cstheme="minorHAnsi"/>
          <w:b/>
          <w:bCs/>
          <w:sz w:val="26"/>
          <w:szCs w:val="26"/>
          <w:u w:val="single"/>
        </w:rPr>
      </w:pPr>
    </w:p>
    <w:p w14:paraId="7E48B059" w14:textId="77777777" w:rsidR="00B54D51" w:rsidRPr="00037AD4" w:rsidRDefault="00B54D51" w:rsidP="007A43F9"/>
    <w:sdt>
      <w:sdtPr>
        <w:rPr>
          <w:rFonts w:ascii="Times New Roman" w:eastAsia="Times New Roman" w:hAnsi="Times New Roman" w:cs="Times New Roman"/>
          <w:bCs w:val="0"/>
          <w:sz w:val="24"/>
          <w:szCs w:val="24"/>
          <w:u w:val="none"/>
          <w:lang w:val="en-GB" w:eastAsia="en-GB"/>
        </w:rPr>
        <w:id w:val="1208685473"/>
        <w:docPartObj>
          <w:docPartGallery w:val="Table of Contents"/>
          <w:docPartUnique/>
        </w:docPartObj>
      </w:sdtPr>
      <w:sdtEndPr>
        <w:rPr>
          <w:b/>
          <w:noProof/>
        </w:rPr>
      </w:sdtEndPr>
      <w:sdtContent>
        <w:p w14:paraId="45A23A9F" w14:textId="77777777" w:rsidR="00B54D51" w:rsidRPr="00037AD4" w:rsidRDefault="00B54D51">
          <w:pPr>
            <w:pStyle w:val="TOCHeading"/>
            <w:rPr>
              <w:lang w:val="en-GB"/>
            </w:rPr>
          </w:pPr>
          <w:r w:rsidRPr="00037AD4">
            <w:rPr>
              <w:lang w:val="en-GB"/>
            </w:rPr>
            <w:t>Table of Contents</w:t>
          </w:r>
        </w:p>
        <w:p w14:paraId="3C970333" w14:textId="383EF152" w:rsidR="007C3BCE" w:rsidRDefault="00B54D51">
          <w:pPr>
            <w:pStyle w:val="TOC2"/>
            <w:tabs>
              <w:tab w:val="right" w:leader="dot" w:pos="9016"/>
            </w:tabs>
            <w:rPr>
              <w:rFonts w:eastAsiaTheme="minorEastAsia" w:cstheme="minorBidi"/>
              <w:b w:val="0"/>
              <w:bCs w:val="0"/>
              <w:noProof/>
              <w:kern w:val="2"/>
              <w:sz w:val="24"/>
              <w:szCs w:val="24"/>
              <w14:ligatures w14:val="standardContextual"/>
            </w:rPr>
          </w:pPr>
          <w:r w:rsidRPr="00037AD4">
            <w:rPr>
              <w:b w:val="0"/>
              <w:bCs w:val="0"/>
            </w:rPr>
            <w:fldChar w:fldCharType="begin"/>
          </w:r>
          <w:r w:rsidRPr="00037AD4">
            <w:instrText xml:space="preserve"> TOC \o "1-3" \h \z \u </w:instrText>
          </w:r>
          <w:r w:rsidRPr="00037AD4">
            <w:rPr>
              <w:b w:val="0"/>
              <w:bCs w:val="0"/>
            </w:rPr>
            <w:fldChar w:fldCharType="separate"/>
          </w:r>
          <w:hyperlink w:anchor="_Toc175742243" w:history="1">
            <w:r w:rsidR="007C3BCE" w:rsidRPr="00570643">
              <w:rPr>
                <w:rStyle w:val="Hyperlink"/>
                <w:noProof/>
              </w:rPr>
              <w:t>Abstract</w:t>
            </w:r>
            <w:r w:rsidR="007C3BCE">
              <w:rPr>
                <w:noProof/>
                <w:webHidden/>
              </w:rPr>
              <w:tab/>
            </w:r>
            <w:r w:rsidR="007C3BCE">
              <w:rPr>
                <w:noProof/>
                <w:webHidden/>
              </w:rPr>
              <w:fldChar w:fldCharType="begin"/>
            </w:r>
            <w:r w:rsidR="007C3BCE">
              <w:rPr>
                <w:noProof/>
                <w:webHidden/>
              </w:rPr>
              <w:instrText xml:space="preserve"> PAGEREF _Toc175742243 \h </w:instrText>
            </w:r>
            <w:r w:rsidR="007C3BCE">
              <w:rPr>
                <w:noProof/>
                <w:webHidden/>
              </w:rPr>
            </w:r>
            <w:r w:rsidR="007C3BCE">
              <w:rPr>
                <w:noProof/>
                <w:webHidden/>
              </w:rPr>
              <w:fldChar w:fldCharType="separate"/>
            </w:r>
            <w:r w:rsidR="007C3BCE">
              <w:rPr>
                <w:noProof/>
                <w:webHidden/>
              </w:rPr>
              <w:t>i</w:t>
            </w:r>
            <w:r w:rsidR="007C3BCE">
              <w:rPr>
                <w:noProof/>
                <w:webHidden/>
              </w:rPr>
              <w:fldChar w:fldCharType="end"/>
            </w:r>
          </w:hyperlink>
        </w:p>
        <w:p w14:paraId="08629824" w14:textId="4E42DE12" w:rsidR="007C3BCE" w:rsidRDefault="007C3BCE">
          <w:pPr>
            <w:pStyle w:val="TOC2"/>
            <w:tabs>
              <w:tab w:val="right" w:leader="dot" w:pos="9016"/>
            </w:tabs>
            <w:rPr>
              <w:rFonts w:eastAsiaTheme="minorEastAsia" w:cstheme="minorBidi"/>
              <w:b w:val="0"/>
              <w:bCs w:val="0"/>
              <w:noProof/>
              <w:kern w:val="2"/>
              <w:sz w:val="24"/>
              <w:szCs w:val="24"/>
              <w14:ligatures w14:val="standardContextual"/>
            </w:rPr>
          </w:pPr>
          <w:hyperlink w:anchor="_Toc175742244" w:history="1">
            <w:r w:rsidRPr="00570643">
              <w:rPr>
                <w:rStyle w:val="Hyperlink"/>
                <w:noProof/>
              </w:rPr>
              <w:t>Outline of chapters</w:t>
            </w:r>
            <w:r>
              <w:rPr>
                <w:noProof/>
                <w:webHidden/>
              </w:rPr>
              <w:tab/>
            </w:r>
            <w:r>
              <w:rPr>
                <w:noProof/>
                <w:webHidden/>
              </w:rPr>
              <w:fldChar w:fldCharType="begin"/>
            </w:r>
            <w:r>
              <w:rPr>
                <w:noProof/>
                <w:webHidden/>
              </w:rPr>
              <w:instrText xml:space="preserve"> PAGEREF _Toc175742244 \h </w:instrText>
            </w:r>
            <w:r>
              <w:rPr>
                <w:noProof/>
                <w:webHidden/>
              </w:rPr>
            </w:r>
            <w:r>
              <w:rPr>
                <w:noProof/>
                <w:webHidden/>
              </w:rPr>
              <w:fldChar w:fldCharType="separate"/>
            </w:r>
            <w:r>
              <w:rPr>
                <w:noProof/>
                <w:webHidden/>
              </w:rPr>
              <w:t>iii</w:t>
            </w:r>
            <w:r>
              <w:rPr>
                <w:noProof/>
                <w:webHidden/>
              </w:rPr>
              <w:fldChar w:fldCharType="end"/>
            </w:r>
          </w:hyperlink>
        </w:p>
        <w:p w14:paraId="49736409" w14:textId="1D1DAFF8" w:rsidR="007C3BCE" w:rsidRDefault="007C3BCE">
          <w:pPr>
            <w:pStyle w:val="TOC2"/>
            <w:tabs>
              <w:tab w:val="right" w:leader="dot" w:pos="9016"/>
            </w:tabs>
            <w:rPr>
              <w:rFonts w:eastAsiaTheme="minorEastAsia" w:cstheme="minorBidi"/>
              <w:b w:val="0"/>
              <w:bCs w:val="0"/>
              <w:noProof/>
              <w:kern w:val="2"/>
              <w:sz w:val="24"/>
              <w:szCs w:val="24"/>
              <w14:ligatures w14:val="standardContextual"/>
            </w:rPr>
          </w:pPr>
          <w:hyperlink w:anchor="_Toc175742245" w:history="1">
            <w:r w:rsidRPr="00570643">
              <w:rPr>
                <w:rStyle w:val="Hyperlink"/>
                <w:noProof/>
              </w:rPr>
              <w:t>List of abbreviations</w:t>
            </w:r>
            <w:r>
              <w:rPr>
                <w:noProof/>
                <w:webHidden/>
              </w:rPr>
              <w:tab/>
            </w:r>
            <w:r>
              <w:rPr>
                <w:noProof/>
                <w:webHidden/>
              </w:rPr>
              <w:fldChar w:fldCharType="begin"/>
            </w:r>
            <w:r>
              <w:rPr>
                <w:noProof/>
                <w:webHidden/>
              </w:rPr>
              <w:instrText xml:space="preserve"> PAGEREF _Toc175742245 \h </w:instrText>
            </w:r>
            <w:r>
              <w:rPr>
                <w:noProof/>
                <w:webHidden/>
              </w:rPr>
            </w:r>
            <w:r>
              <w:rPr>
                <w:noProof/>
                <w:webHidden/>
              </w:rPr>
              <w:fldChar w:fldCharType="separate"/>
            </w:r>
            <w:r>
              <w:rPr>
                <w:noProof/>
                <w:webHidden/>
              </w:rPr>
              <w:t>iv</w:t>
            </w:r>
            <w:r>
              <w:rPr>
                <w:noProof/>
                <w:webHidden/>
              </w:rPr>
              <w:fldChar w:fldCharType="end"/>
            </w:r>
          </w:hyperlink>
        </w:p>
        <w:p w14:paraId="6AD187A1" w14:textId="642FB399" w:rsidR="007C3BCE" w:rsidRDefault="007C3BCE">
          <w:pPr>
            <w:pStyle w:val="TOC2"/>
            <w:tabs>
              <w:tab w:val="right" w:leader="dot" w:pos="9016"/>
            </w:tabs>
            <w:rPr>
              <w:rFonts w:eastAsiaTheme="minorEastAsia" w:cstheme="minorBidi"/>
              <w:b w:val="0"/>
              <w:bCs w:val="0"/>
              <w:noProof/>
              <w:kern w:val="2"/>
              <w:sz w:val="24"/>
              <w:szCs w:val="24"/>
              <w14:ligatures w14:val="standardContextual"/>
            </w:rPr>
          </w:pPr>
          <w:hyperlink w:anchor="_Toc175742246" w:history="1">
            <w:r w:rsidRPr="00570643">
              <w:rPr>
                <w:rStyle w:val="Hyperlink"/>
                <w:noProof/>
              </w:rPr>
              <w:t>Publications and presentations</w:t>
            </w:r>
            <w:r>
              <w:rPr>
                <w:noProof/>
                <w:webHidden/>
              </w:rPr>
              <w:tab/>
            </w:r>
            <w:r>
              <w:rPr>
                <w:noProof/>
                <w:webHidden/>
              </w:rPr>
              <w:fldChar w:fldCharType="begin"/>
            </w:r>
            <w:r>
              <w:rPr>
                <w:noProof/>
                <w:webHidden/>
              </w:rPr>
              <w:instrText xml:space="preserve"> PAGEREF _Toc175742246 \h </w:instrText>
            </w:r>
            <w:r>
              <w:rPr>
                <w:noProof/>
                <w:webHidden/>
              </w:rPr>
            </w:r>
            <w:r>
              <w:rPr>
                <w:noProof/>
                <w:webHidden/>
              </w:rPr>
              <w:fldChar w:fldCharType="separate"/>
            </w:r>
            <w:r>
              <w:rPr>
                <w:noProof/>
                <w:webHidden/>
              </w:rPr>
              <w:t>vi</w:t>
            </w:r>
            <w:r>
              <w:rPr>
                <w:noProof/>
                <w:webHidden/>
              </w:rPr>
              <w:fldChar w:fldCharType="end"/>
            </w:r>
          </w:hyperlink>
        </w:p>
        <w:p w14:paraId="034D2DF1" w14:textId="6F5CC904" w:rsidR="007C3BCE" w:rsidRDefault="007C3BCE">
          <w:pPr>
            <w:pStyle w:val="TOC2"/>
            <w:tabs>
              <w:tab w:val="right" w:leader="dot" w:pos="9016"/>
            </w:tabs>
            <w:rPr>
              <w:rFonts w:eastAsiaTheme="minorEastAsia" w:cstheme="minorBidi"/>
              <w:b w:val="0"/>
              <w:bCs w:val="0"/>
              <w:noProof/>
              <w:kern w:val="2"/>
              <w:sz w:val="24"/>
              <w:szCs w:val="24"/>
              <w14:ligatures w14:val="standardContextual"/>
            </w:rPr>
          </w:pPr>
          <w:hyperlink w:anchor="_Toc175742247" w:history="1">
            <w:r w:rsidRPr="00570643">
              <w:rPr>
                <w:rStyle w:val="Hyperlink"/>
                <w:noProof/>
              </w:rPr>
              <w:t>Acknowledgements</w:t>
            </w:r>
            <w:r>
              <w:rPr>
                <w:noProof/>
                <w:webHidden/>
              </w:rPr>
              <w:tab/>
            </w:r>
            <w:r>
              <w:rPr>
                <w:noProof/>
                <w:webHidden/>
              </w:rPr>
              <w:fldChar w:fldCharType="begin"/>
            </w:r>
            <w:r>
              <w:rPr>
                <w:noProof/>
                <w:webHidden/>
              </w:rPr>
              <w:instrText xml:space="preserve"> PAGEREF _Toc175742247 \h </w:instrText>
            </w:r>
            <w:r>
              <w:rPr>
                <w:noProof/>
                <w:webHidden/>
              </w:rPr>
            </w:r>
            <w:r>
              <w:rPr>
                <w:noProof/>
                <w:webHidden/>
              </w:rPr>
              <w:fldChar w:fldCharType="separate"/>
            </w:r>
            <w:r>
              <w:rPr>
                <w:noProof/>
                <w:webHidden/>
              </w:rPr>
              <w:t>vii</w:t>
            </w:r>
            <w:r>
              <w:rPr>
                <w:noProof/>
                <w:webHidden/>
              </w:rPr>
              <w:fldChar w:fldCharType="end"/>
            </w:r>
          </w:hyperlink>
        </w:p>
        <w:p w14:paraId="42E8332B" w14:textId="29FC2432" w:rsidR="007C3BCE" w:rsidRDefault="007C3BCE">
          <w:pPr>
            <w:pStyle w:val="TOC1"/>
            <w:tabs>
              <w:tab w:val="right" w:leader="dot" w:pos="9016"/>
            </w:tabs>
            <w:rPr>
              <w:rFonts w:eastAsiaTheme="minorEastAsia" w:cstheme="minorBidi"/>
              <w:b w:val="0"/>
              <w:bCs w:val="0"/>
              <w:i w:val="0"/>
              <w:iCs w:val="0"/>
              <w:noProof/>
              <w:kern w:val="2"/>
              <w14:ligatures w14:val="standardContextual"/>
            </w:rPr>
          </w:pPr>
          <w:hyperlink w:anchor="_Toc175742248" w:history="1">
            <w:r w:rsidRPr="00570643">
              <w:rPr>
                <w:rStyle w:val="Hyperlink"/>
                <w:noProof/>
              </w:rPr>
              <w:t>1 Introduction</w:t>
            </w:r>
            <w:r>
              <w:rPr>
                <w:noProof/>
                <w:webHidden/>
              </w:rPr>
              <w:tab/>
            </w:r>
            <w:r>
              <w:rPr>
                <w:noProof/>
                <w:webHidden/>
              </w:rPr>
              <w:fldChar w:fldCharType="begin"/>
            </w:r>
            <w:r>
              <w:rPr>
                <w:noProof/>
                <w:webHidden/>
              </w:rPr>
              <w:instrText xml:space="preserve"> PAGEREF _Toc175742248 \h </w:instrText>
            </w:r>
            <w:r>
              <w:rPr>
                <w:noProof/>
                <w:webHidden/>
              </w:rPr>
            </w:r>
            <w:r>
              <w:rPr>
                <w:noProof/>
                <w:webHidden/>
              </w:rPr>
              <w:fldChar w:fldCharType="separate"/>
            </w:r>
            <w:r>
              <w:rPr>
                <w:noProof/>
                <w:webHidden/>
              </w:rPr>
              <w:t>1</w:t>
            </w:r>
            <w:r>
              <w:rPr>
                <w:noProof/>
                <w:webHidden/>
              </w:rPr>
              <w:fldChar w:fldCharType="end"/>
            </w:r>
          </w:hyperlink>
        </w:p>
        <w:p w14:paraId="60FFD070" w14:textId="14CEADFF" w:rsidR="007C3BCE" w:rsidRDefault="007C3BCE">
          <w:pPr>
            <w:pStyle w:val="TOC2"/>
            <w:tabs>
              <w:tab w:val="right" w:leader="dot" w:pos="9016"/>
            </w:tabs>
            <w:rPr>
              <w:rFonts w:eastAsiaTheme="minorEastAsia" w:cstheme="minorBidi"/>
              <w:b w:val="0"/>
              <w:bCs w:val="0"/>
              <w:noProof/>
              <w:kern w:val="2"/>
              <w:sz w:val="24"/>
              <w:szCs w:val="24"/>
              <w14:ligatures w14:val="standardContextual"/>
            </w:rPr>
          </w:pPr>
          <w:hyperlink w:anchor="_Toc175742249" w:history="1">
            <w:r w:rsidRPr="00570643">
              <w:rPr>
                <w:rStyle w:val="Hyperlink"/>
                <w:noProof/>
              </w:rPr>
              <w:t>1.1 Dementia</w:t>
            </w:r>
            <w:r>
              <w:rPr>
                <w:noProof/>
                <w:webHidden/>
              </w:rPr>
              <w:tab/>
            </w:r>
            <w:r>
              <w:rPr>
                <w:noProof/>
                <w:webHidden/>
              </w:rPr>
              <w:fldChar w:fldCharType="begin"/>
            </w:r>
            <w:r>
              <w:rPr>
                <w:noProof/>
                <w:webHidden/>
              </w:rPr>
              <w:instrText xml:space="preserve"> PAGEREF _Toc175742249 \h </w:instrText>
            </w:r>
            <w:r>
              <w:rPr>
                <w:noProof/>
                <w:webHidden/>
              </w:rPr>
            </w:r>
            <w:r>
              <w:rPr>
                <w:noProof/>
                <w:webHidden/>
              </w:rPr>
              <w:fldChar w:fldCharType="separate"/>
            </w:r>
            <w:r>
              <w:rPr>
                <w:noProof/>
                <w:webHidden/>
              </w:rPr>
              <w:t>1</w:t>
            </w:r>
            <w:r>
              <w:rPr>
                <w:noProof/>
                <w:webHidden/>
              </w:rPr>
              <w:fldChar w:fldCharType="end"/>
            </w:r>
          </w:hyperlink>
        </w:p>
        <w:p w14:paraId="50EC4508" w14:textId="56C8C136" w:rsidR="007C3BCE" w:rsidRDefault="007C3BCE">
          <w:pPr>
            <w:pStyle w:val="TOC2"/>
            <w:tabs>
              <w:tab w:val="right" w:leader="dot" w:pos="9016"/>
            </w:tabs>
            <w:rPr>
              <w:rFonts w:eastAsiaTheme="minorEastAsia" w:cstheme="minorBidi"/>
              <w:b w:val="0"/>
              <w:bCs w:val="0"/>
              <w:noProof/>
              <w:kern w:val="2"/>
              <w:sz w:val="24"/>
              <w:szCs w:val="24"/>
              <w14:ligatures w14:val="standardContextual"/>
            </w:rPr>
          </w:pPr>
          <w:hyperlink w:anchor="_Toc175742250" w:history="1">
            <w:r w:rsidRPr="00570643">
              <w:rPr>
                <w:rStyle w:val="Hyperlink"/>
                <w:noProof/>
              </w:rPr>
              <w:t>1.2 The role of economic evaluation</w:t>
            </w:r>
            <w:r>
              <w:rPr>
                <w:noProof/>
                <w:webHidden/>
              </w:rPr>
              <w:tab/>
            </w:r>
            <w:r>
              <w:rPr>
                <w:noProof/>
                <w:webHidden/>
              </w:rPr>
              <w:fldChar w:fldCharType="begin"/>
            </w:r>
            <w:r>
              <w:rPr>
                <w:noProof/>
                <w:webHidden/>
              </w:rPr>
              <w:instrText xml:space="preserve"> PAGEREF _Toc175742250 \h </w:instrText>
            </w:r>
            <w:r>
              <w:rPr>
                <w:noProof/>
                <w:webHidden/>
              </w:rPr>
            </w:r>
            <w:r>
              <w:rPr>
                <w:noProof/>
                <w:webHidden/>
              </w:rPr>
              <w:fldChar w:fldCharType="separate"/>
            </w:r>
            <w:r>
              <w:rPr>
                <w:noProof/>
                <w:webHidden/>
              </w:rPr>
              <w:t>2</w:t>
            </w:r>
            <w:r>
              <w:rPr>
                <w:noProof/>
                <w:webHidden/>
              </w:rPr>
              <w:fldChar w:fldCharType="end"/>
            </w:r>
          </w:hyperlink>
        </w:p>
        <w:p w14:paraId="132136C6" w14:textId="169B6295" w:rsidR="007C3BCE" w:rsidRDefault="007C3BCE">
          <w:pPr>
            <w:pStyle w:val="TOC2"/>
            <w:tabs>
              <w:tab w:val="right" w:leader="dot" w:pos="9016"/>
            </w:tabs>
            <w:rPr>
              <w:rFonts w:eastAsiaTheme="minorEastAsia" w:cstheme="minorBidi"/>
              <w:b w:val="0"/>
              <w:bCs w:val="0"/>
              <w:noProof/>
              <w:kern w:val="2"/>
              <w:sz w:val="24"/>
              <w:szCs w:val="24"/>
              <w14:ligatures w14:val="standardContextual"/>
            </w:rPr>
          </w:pPr>
          <w:hyperlink w:anchor="_Toc175742251" w:history="1">
            <w:r w:rsidRPr="00570643">
              <w:rPr>
                <w:rStyle w:val="Hyperlink"/>
                <w:noProof/>
              </w:rPr>
              <w:t>1.3 The National Institute for Health and Care Excellence guidance on economic evaluation</w:t>
            </w:r>
            <w:r>
              <w:rPr>
                <w:noProof/>
                <w:webHidden/>
              </w:rPr>
              <w:tab/>
            </w:r>
            <w:r>
              <w:rPr>
                <w:noProof/>
                <w:webHidden/>
              </w:rPr>
              <w:fldChar w:fldCharType="begin"/>
            </w:r>
            <w:r>
              <w:rPr>
                <w:noProof/>
                <w:webHidden/>
              </w:rPr>
              <w:instrText xml:space="preserve"> PAGEREF _Toc175742251 \h </w:instrText>
            </w:r>
            <w:r>
              <w:rPr>
                <w:noProof/>
                <w:webHidden/>
              </w:rPr>
            </w:r>
            <w:r>
              <w:rPr>
                <w:noProof/>
                <w:webHidden/>
              </w:rPr>
              <w:fldChar w:fldCharType="separate"/>
            </w:r>
            <w:r>
              <w:rPr>
                <w:noProof/>
                <w:webHidden/>
              </w:rPr>
              <w:t>2</w:t>
            </w:r>
            <w:r>
              <w:rPr>
                <w:noProof/>
                <w:webHidden/>
              </w:rPr>
              <w:fldChar w:fldCharType="end"/>
            </w:r>
          </w:hyperlink>
        </w:p>
        <w:p w14:paraId="7C3F0EDC" w14:textId="0782BF2F" w:rsidR="007C3BCE" w:rsidRDefault="007C3BCE">
          <w:pPr>
            <w:pStyle w:val="TOC2"/>
            <w:tabs>
              <w:tab w:val="right" w:leader="dot" w:pos="9016"/>
            </w:tabs>
            <w:rPr>
              <w:rFonts w:eastAsiaTheme="minorEastAsia" w:cstheme="minorBidi"/>
              <w:b w:val="0"/>
              <w:bCs w:val="0"/>
              <w:noProof/>
              <w:kern w:val="2"/>
              <w:sz w:val="24"/>
              <w:szCs w:val="24"/>
              <w14:ligatures w14:val="standardContextual"/>
            </w:rPr>
          </w:pPr>
          <w:hyperlink w:anchor="_Toc175742252" w:history="1">
            <w:r w:rsidRPr="00570643">
              <w:rPr>
                <w:rStyle w:val="Hyperlink"/>
                <w:noProof/>
              </w:rPr>
              <w:t>1.4 Quality of life for quality-adjusted-life-years</w:t>
            </w:r>
            <w:r>
              <w:rPr>
                <w:noProof/>
                <w:webHidden/>
              </w:rPr>
              <w:tab/>
            </w:r>
            <w:r>
              <w:rPr>
                <w:noProof/>
                <w:webHidden/>
              </w:rPr>
              <w:fldChar w:fldCharType="begin"/>
            </w:r>
            <w:r>
              <w:rPr>
                <w:noProof/>
                <w:webHidden/>
              </w:rPr>
              <w:instrText xml:space="preserve"> PAGEREF _Toc175742252 \h </w:instrText>
            </w:r>
            <w:r>
              <w:rPr>
                <w:noProof/>
                <w:webHidden/>
              </w:rPr>
            </w:r>
            <w:r>
              <w:rPr>
                <w:noProof/>
                <w:webHidden/>
              </w:rPr>
              <w:fldChar w:fldCharType="separate"/>
            </w:r>
            <w:r>
              <w:rPr>
                <w:noProof/>
                <w:webHidden/>
              </w:rPr>
              <w:t>3</w:t>
            </w:r>
            <w:r>
              <w:rPr>
                <w:noProof/>
                <w:webHidden/>
              </w:rPr>
              <w:fldChar w:fldCharType="end"/>
            </w:r>
          </w:hyperlink>
        </w:p>
        <w:p w14:paraId="1A2A1253" w14:textId="2CC70B94" w:rsidR="007C3BCE" w:rsidRDefault="007C3BCE">
          <w:pPr>
            <w:pStyle w:val="TOC2"/>
            <w:tabs>
              <w:tab w:val="right" w:leader="dot" w:pos="9016"/>
            </w:tabs>
            <w:rPr>
              <w:rFonts w:eastAsiaTheme="minorEastAsia" w:cstheme="minorBidi"/>
              <w:b w:val="0"/>
              <w:bCs w:val="0"/>
              <w:noProof/>
              <w:kern w:val="2"/>
              <w:sz w:val="24"/>
              <w:szCs w:val="24"/>
              <w14:ligatures w14:val="standardContextual"/>
            </w:rPr>
          </w:pPr>
          <w:hyperlink w:anchor="_Toc175742253" w:history="1">
            <w:r w:rsidRPr="00570643">
              <w:rPr>
                <w:rStyle w:val="Hyperlink"/>
                <w:noProof/>
              </w:rPr>
              <w:t>1.5 EQ-5D</w:t>
            </w:r>
            <w:r>
              <w:rPr>
                <w:noProof/>
                <w:webHidden/>
              </w:rPr>
              <w:tab/>
            </w:r>
            <w:r>
              <w:rPr>
                <w:noProof/>
                <w:webHidden/>
              </w:rPr>
              <w:fldChar w:fldCharType="begin"/>
            </w:r>
            <w:r>
              <w:rPr>
                <w:noProof/>
                <w:webHidden/>
              </w:rPr>
              <w:instrText xml:space="preserve"> PAGEREF _Toc175742253 \h </w:instrText>
            </w:r>
            <w:r>
              <w:rPr>
                <w:noProof/>
                <w:webHidden/>
              </w:rPr>
            </w:r>
            <w:r>
              <w:rPr>
                <w:noProof/>
                <w:webHidden/>
              </w:rPr>
              <w:fldChar w:fldCharType="separate"/>
            </w:r>
            <w:r>
              <w:rPr>
                <w:noProof/>
                <w:webHidden/>
              </w:rPr>
              <w:t>4</w:t>
            </w:r>
            <w:r>
              <w:rPr>
                <w:noProof/>
                <w:webHidden/>
              </w:rPr>
              <w:fldChar w:fldCharType="end"/>
            </w:r>
          </w:hyperlink>
        </w:p>
        <w:p w14:paraId="5B0DAC21" w14:textId="3E3C1C97" w:rsidR="007C3BCE" w:rsidRDefault="007C3BCE">
          <w:pPr>
            <w:pStyle w:val="TOC2"/>
            <w:tabs>
              <w:tab w:val="right" w:leader="dot" w:pos="9016"/>
            </w:tabs>
            <w:rPr>
              <w:rFonts w:eastAsiaTheme="minorEastAsia" w:cstheme="minorBidi"/>
              <w:b w:val="0"/>
              <w:bCs w:val="0"/>
              <w:noProof/>
              <w:kern w:val="2"/>
              <w:sz w:val="24"/>
              <w:szCs w:val="24"/>
              <w14:ligatures w14:val="standardContextual"/>
            </w:rPr>
          </w:pPr>
          <w:hyperlink w:anchor="_Toc175742254" w:history="1">
            <w:r w:rsidRPr="00570643">
              <w:rPr>
                <w:rStyle w:val="Hyperlink"/>
                <w:noProof/>
              </w:rPr>
              <w:t>1.6 Self vs. proxy assessments of health-related quality of life</w:t>
            </w:r>
            <w:r>
              <w:rPr>
                <w:noProof/>
                <w:webHidden/>
              </w:rPr>
              <w:tab/>
            </w:r>
            <w:r>
              <w:rPr>
                <w:noProof/>
                <w:webHidden/>
              </w:rPr>
              <w:fldChar w:fldCharType="begin"/>
            </w:r>
            <w:r>
              <w:rPr>
                <w:noProof/>
                <w:webHidden/>
              </w:rPr>
              <w:instrText xml:space="preserve"> PAGEREF _Toc175742254 \h </w:instrText>
            </w:r>
            <w:r>
              <w:rPr>
                <w:noProof/>
                <w:webHidden/>
              </w:rPr>
            </w:r>
            <w:r>
              <w:rPr>
                <w:noProof/>
                <w:webHidden/>
              </w:rPr>
              <w:fldChar w:fldCharType="separate"/>
            </w:r>
            <w:r>
              <w:rPr>
                <w:noProof/>
                <w:webHidden/>
              </w:rPr>
              <w:t>4</w:t>
            </w:r>
            <w:r>
              <w:rPr>
                <w:noProof/>
                <w:webHidden/>
              </w:rPr>
              <w:fldChar w:fldCharType="end"/>
            </w:r>
          </w:hyperlink>
        </w:p>
        <w:p w14:paraId="36914DBF" w14:textId="74A0AA12" w:rsidR="007C3BCE" w:rsidRDefault="007C3BCE">
          <w:pPr>
            <w:pStyle w:val="TOC2"/>
            <w:tabs>
              <w:tab w:val="right" w:leader="dot" w:pos="9016"/>
            </w:tabs>
            <w:rPr>
              <w:rFonts w:eastAsiaTheme="minorEastAsia" w:cstheme="minorBidi"/>
              <w:b w:val="0"/>
              <w:bCs w:val="0"/>
              <w:noProof/>
              <w:kern w:val="2"/>
              <w:sz w:val="24"/>
              <w:szCs w:val="24"/>
              <w14:ligatures w14:val="standardContextual"/>
            </w:rPr>
          </w:pPr>
          <w:hyperlink w:anchor="_Toc175742255" w:history="1">
            <w:r w:rsidRPr="00570643">
              <w:rPr>
                <w:rStyle w:val="Hyperlink"/>
                <w:noProof/>
              </w:rPr>
              <w:t>1.7 Aims and objectives</w:t>
            </w:r>
            <w:r>
              <w:rPr>
                <w:noProof/>
                <w:webHidden/>
              </w:rPr>
              <w:tab/>
            </w:r>
            <w:r>
              <w:rPr>
                <w:noProof/>
                <w:webHidden/>
              </w:rPr>
              <w:fldChar w:fldCharType="begin"/>
            </w:r>
            <w:r>
              <w:rPr>
                <w:noProof/>
                <w:webHidden/>
              </w:rPr>
              <w:instrText xml:space="preserve"> PAGEREF _Toc175742255 \h </w:instrText>
            </w:r>
            <w:r>
              <w:rPr>
                <w:noProof/>
                <w:webHidden/>
              </w:rPr>
            </w:r>
            <w:r>
              <w:rPr>
                <w:noProof/>
                <w:webHidden/>
              </w:rPr>
              <w:fldChar w:fldCharType="separate"/>
            </w:r>
            <w:r>
              <w:rPr>
                <w:noProof/>
                <w:webHidden/>
              </w:rPr>
              <w:t>5</w:t>
            </w:r>
            <w:r>
              <w:rPr>
                <w:noProof/>
                <w:webHidden/>
              </w:rPr>
              <w:fldChar w:fldCharType="end"/>
            </w:r>
          </w:hyperlink>
        </w:p>
        <w:p w14:paraId="7F607778" w14:textId="10E1AE2F" w:rsidR="007C3BCE" w:rsidRDefault="007C3BCE">
          <w:pPr>
            <w:pStyle w:val="TOC1"/>
            <w:tabs>
              <w:tab w:val="right" w:leader="dot" w:pos="9016"/>
            </w:tabs>
            <w:rPr>
              <w:rFonts w:eastAsiaTheme="minorEastAsia" w:cstheme="minorBidi"/>
              <w:b w:val="0"/>
              <w:bCs w:val="0"/>
              <w:i w:val="0"/>
              <w:iCs w:val="0"/>
              <w:noProof/>
              <w:kern w:val="2"/>
              <w14:ligatures w14:val="standardContextual"/>
            </w:rPr>
          </w:pPr>
          <w:hyperlink w:anchor="_Toc175742256" w:history="1">
            <w:r w:rsidRPr="00570643">
              <w:rPr>
                <w:rStyle w:val="Hyperlink"/>
                <w:noProof/>
              </w:rPr>
              <w:t>2 Measuring health-related quality of life in dementia populations: existing evidence</w:t>
            </w:r>
            <w:r>
              <w:rPr>
                <w:noProof/>
                <w:webHidden/>
              </w:rPr>
              <w:tab/>
            </w:r>
            <w:r>
              <w:rPr>
                <w:noProof/>
                <w:webHidden/>
              </w:rPr>
              <w:fldChar w:fldCharType="begin"/>
            </w:r>
            <w:r>
              <w:rPr>
                <w:noProof/>
                <w:webHidden/>
              </w:rPr>
              <w:instrText xml:space="preserve"> PAGEREF _Toc175742256 \h </w:instrText>
            </w:r>
            <w:r>
              <w:rPr>
                <w:noProof/>
                <w:webHidden/>
              </w:rPr>
            </w:r>
            <w:r>
              <w:rPr>
                <w:noProof/>
                <w:webHidden/>
              </w:rPr>
              <w:fldChar w:fldCharType="separate"/>
            </w:r>
            <w:r>
              <w:rPr>
                <w:noProof/>
                <w:webHidden/>
              </w:rPr>
              <w:t>6</w:t>
            </w:r>
            <w:r>
              <w:rPr>
                <w:noProof/>
                <w:webHidden/>
              </w:rPr>
              <w:fldChar w:fldCharType="end"/>
            </w:r>
          </w:hyperlink>
        </w:p>
        <w:p w14:paraId="32D423B1" w14:textId="2282A63E" w:rsidR="007C3BCE" w:rsidRDefault="007C3BCE">
          <w:pPr>
            <w:pStyle w:val="TOC2"/>
            <w:tabs>
              <w:tab w:val="right" w:leader="dot" w:pos="9016"/>
            </w:tabs>
            <w:rPr>
              <w:rFonts w:eastAsiaTheme="minorEastAsia" w:cstheme="minorBidi"/>
              <w:b w:val="0"/>
              <w:bCs w:val="0"/>
              <w:noProof/>
              <w:kern w:val="2"/>
              <w:sz w:val="24"/>
              <w:szCs w:val="24"/>
              <w14:ligatures w14:val="standardContextual"/>
            </w:rPr>
          </w:pPr>
          <w:hyperlink w:anchor="_Toc175742257" w:history="1">
            <w:r w:rsidRPr="00570643">
              <w:rPr>
                <w:rStyle w:val="Hyperlink"/>
                <w:noProof/>
              </w:rPr>
              <w:t>2.1 Introduction</w:t>
            </w:r>
            <w:r>
              <w:rPr>
                <w:noProof/>
                <w:webHidden/>
              </w:rPr>
              <w:tab/>
            </w:r>
            <w:r>
              <w:rPr>
                <w:noProof/>
                <w:webHidden/>
              </w:rPr>
              <w:fldChar w:fldCharType="begin"/>
            </w:r>
            <w:r>
              <w:rPr>
                <w:noProof/>
                <w:webHidden/>
              </w:rPr>
              <w:instrText xml:space="preserve"> PAGEREF _Toc175742257 \h </w:instrText>
            </w:r>
            <w:r>
              <w:rPr>
                <w:noProof/>
                <w:webHidden/>
              </w:rPr>
            </w:r>
            <w:r>
              <w:rPr>
                <w:noProof/>
                <w:webHidden/>
              </w:rPr>
              <w:fldChar w:fldCharType="separate"/>
            </w:r>
            <w:r>
              <w:rPr>
                <w:noProof/>
                <w:webHidden/>
              </w:rPr>
              <w:t>6</w:t>
            </w:r>
            <w:r>
              <w:rPr>
                <w:noProof/>
                <w:webHidden/>
              </w:rPr>
              <w:fldChar w:fldCharType="end"/>
            </w:r>
          </w:hyperlink>
        </w:p>
        <w:p w14:paraId="0F6A02C3" w14:textId="0FFE101E" w:rsidR="007C3BCE" w:rsidRDefault="007C3BCE">
          <w:pPr>
            <w:pStyle w:val="TOC2"/>
            <w:tabs>
              <w:tab w:val="right" w:leader="dot" w:pos="9016"/>
            </w:tabs>
            <w:rPr>
              <w:rFonts w:eastAsiaTheme="minorEastAsia" w:cstheme="minorBidi"/>
              <w:b w:val="0"/>
              <w:bCs w:val="0"/>
              <w:noProof/>
              <w:kern w:val="2"/>
              <w:sz w:val="24"/>
              <w:szCs w:val="24"/>
              <w14:ligatures w14:val="standardContextual"/>
            </w:rPr>
          </w:pPr>
          <w:hyperlink w:anchor="_Toc175742258" w:history="1">
            <w:r w:rsidRPr="00570643">
              <w:rPr>
                <w:rStyle w:val="Hyperlink"/>
                <w:noProof/>
              </w:rPr>
              <w:t>2.2 Summary of existing utility-based instruments review</w:t>
            </w:r>
            <w:r>
              <w:rPr>
                <w:noProof/>
                <w:webHidden/>
              </w:rPr>
              <w:tab/>
            </w:r>
            <w:r>
              <w:rPr>
                <w:noProof/>
                <w:webHidden/>
              </w:rPr>
              <w:fldChar w:fldCharType="begin"/>
            </w:r>
            <w:r>
              <w:rPr>
                <w:noProof/>
                <w:webHidden/>
              </w:rPr>
              <w:instrText xml:space="preserve"> PAGEREF _Toc175742258 \h </w:instrText>
            </w:r>
            <w:r>
              <w:rPr>
                <w:noProof/>
                <w:webHidden/>
              </w:rPr>
            </w:r>
            <w:r>
              <w:rPr>
                <w:noProof/>
                <w:webHidden/>
              </w:rPr>
              <w:fldChar w:fldCharType="separate"/>
            </w:r>
            <w:r>
              <w:rPr>
                <w:noProof/>
                <w:webHidden/>
              </w:rPr>
              <w:t>6</w:t>
            </w:r>
            <w:r>
              <w:rPr>
                <w:noProof/>
                <w:webHidden/>
              </w:rPr>
              <w:fldChar w:fldCharType="end"/>
            </w:r>
          </w:hyperlink>
        </w:p>
        <w:p w14:paraId="70F8B4ED" w14:textId="2CCF9960" w:rsidR="007C3BCE" w:rsidRDefault="007C3BCE">
          <w:pPr>
            <w:pStyle w:val="TOC2"/>
            <w:tabs>
              <w:tab w:val="right" w:leader="dot" w:pos="9016"/>
            </w:tabs>
            <w:rPr>
              <w:rFonts w:eastAsiaTheme="minorEastAsia" w:cstheme="minorBidi"/>
              <w:b w:val="0"/>
              <w:bCs w:val="0"/>
              <w:noProof/>
              <w:kern w:val="2"/>
              <w:sz w:val="24"/>
              <w:szCs w:val="24"/>
              <w14:ligatures w14:val="standardContextual"/>
            </w:rPr>
          </w:pPr>
          <w:hyperlink w:anchor="_Toc175742259" w:history="1">
            <w:r w:rsidRPr="00570643">
              <w:rPr>
                <w:rStyle w:val="Hyperlink"/>
                <w:noProof/>
              </w:rPr>
              <w:t>2.3 Assessing the psychometric performance of EQ-5D-5L in dementia: a systematic review</w:t>
            </w:r>
            <w:r>
              <w:rPr>
                <w:noProof/>
                <w:webHidden/>
              </w:rPr>
              <w:tab/>
            </w:r>
            <w:r>
              <w:rPr>
                <w:noProof/>
                <w:webHidden/>
              </w:rPr>
              <w:fldChar w:fldCharType="begin"/>
            </w:r>
            <w:r>
              <w:rPr>
                <w:noProof/>
                <w:webHidden/>
              </w:rPr>
              <w:instrText xml:space="preserve"> PAGEREF _Toc175742259 \h </w:instrText>
            </w:r>
            <w:r>
              <w:rPr>
                <w:noProof/>
                <w:webHidden/>
              </w:rPr>
            </w:r>
            <w:r>
              <w:rPr>
                <w:noProof/>
                <w:webHidden/>
              </w:rPr>
              <w:fldChar w:fldCharType="separate"/>
            </w:r>
            <w:r>
              <w:rPr>
                <w:noProof/>
                <w:webHidden/>
              </w:rPr>
              <w:t>7</w:t>
            </w:r>
            <w:r>
              <w:rPr>
                <w:noProof/>
                <w:webHidden/>
              </w:rPr>
              <w:fldChar w:fldCharType="end"/>
            </w:r>
          </w:hyperlink>
        </w:p>
        <w:p w14:paraId="1041C9E2" w14:textId="3A87BF22" w:rsidR="007C3BCE" w:rsidRDefault="007C3BCE">
          <w:pPr>
            <w:pStyle w:val="TOC3"/>
            <w:tabs>
              <w:tab w:val="right" w:leader="dot" w:pos="9016"/>
            </w:tabs>
            <w:rPr>
              <w:rFonts w:eastAsiaTheme="minorEastAsia" w:cstheme="minorBidi"/>
              <w:noProof/>
              <w:kern w:val="2"/>
              <w:sz w:val="24"/>
              <w:szCs w:val="24"/>
              <w14:ligatures w14:val="standardContextual"/>
            </w:rPr>
          </w:pPr>
          <w:hyperlink w:anchor="_Toc175742260" w:history="1">
            <w:r w:rsidRPr="00570643">
              <w:rPr>
                <w:rStyle w:val="Hyperlink"/>
                <w:noProof/>
              </w:rPr>
              <w:t>2.3.1 Role and reporting methods</w:t>
            </w:r>
            <w:r>
              <w:rPr>
                <w:noProof/>
                <w:webHidden/>
              </w:rPr>
              <w:tab/>
            </w:r>
            <w:r>
              <w:rPr>
                <w:noProof/>
                <w:webHidden/>
              </w:rPr>
              <w:fldChar w:fldCharType="begin"/>
            </w:r>
            <w:r>
              <w:rPr>
                <w:noProof/>
                <w:webHidden/>
              </w:rPr>
              <w:instrText xml:space="preserve"> PAGEREF _Toc175742260 \h </w:instrText>
            </w:r>
            <w:r>
              <w:rPr>
                <w:noProof/>
                <w:webHidden/>
              </w:rPr>
            </w:r>
            <w:r>
              <w:rPr>
                <w:noProof/>
                <w:webHidden/>
              </w:rPr>
              <w:fldChar w:fldCharType="separate"/>
            </w:r>
            <w:r>
              <w:rPr>
                <w:noProof/>
                <w:webHidden/>
              </w:rPr>
              <w:t>7</w:t>
            </w:r>
            <w:r>
              <w:rPr>
                <w:noProof/>
                <w:webHidden/>
              </w:rPr>
              <w:fldChar w:fldCharType="end"/>
            </w:r>
          </w:hyperlink>
        </w:p>
        <w:p w14:paraId="46EA983A" w14:textId="3531712F" w:rsidR="007C3BCE" w:rsidRDefault="007C3BCE">
          <w:pPr>
            <w:pStyle w:val="TOC3"/>
            <w:tabs>
              <w:tab w:val="right" w:leader="dot" w:pos="9016"/>
            </w:tabs>
            <w:rPr>
              <w:rFonts w:eastAsiaTheme="minorEastAsia" w:cstheme="minorBidi"/>
              <w:noProof/>
              <w:kern w:val="2"/>
              <w:sz w:val="24"/>
              <w:szCs w:val="24"/>
              <w14:ligatures w14:val="standardContextual"/>
            </w:rPr>
          </w:pPr>
          <w:hyperlink w:anchor="_Toc175742261" w:history="1">
            <w:r w:rsidRPr="00570643">
              <w:rPr>
                <w:rStyle w:val="Hyperlink"/>
                <w:noProof/>
              </w:rPr>
              <w:t>2.3.2 Study eligibility and data extraction</w:t>
            </w:r>
            <w:r>
              <w:rPr>
                <w:noProof/>
                <w:webHidden/>
              </w:rPr>
              <w:tab/>
            </w:r>
            <w:r>
              <w:rPr>
                <w:noProof/>
                <w:webHidden/>
              </w:rPr>
              <w:fldChar w:fldCharType="begin"/>
            </w:r>
            <w:r>
              <w:rPr>
                <w:noProof/>
                <w:webHidden/>
              </w:rPr>
              <w:instrText xml:space="preserve"> PAGEREF _Toc175742261 \h </w:instrText>
            </w:r>
            <w:r>
              <w:rPr>
                <w:noProof/>
                <w:webHidden/>
              </w:rPr>
            </w:r>
            <w:r>
              <w:rPr>
                <w:noProof/>
                <w:webHidden/>
              </w:rPr>
              <w:fldChar w:fldCharType="separate"/>
            </w:r>
            <w:r>
              <w:rPr>
                <w:noProof/>
                <w:webHidden/>
              </w:rPr>
              <w:t>8</w:t>
            </w:r>
            <w:r>
              <w:rPr>
                <w:noProof/>
                <w:webHidden/>
              </w:rPr>
              <w:fldChar w:fldCharType="end"/>
            </w:r>
          </w:hyperlink>
        </w:p>
        <w:p w14:paraId="30DEBA98" w14:textId="3F7FD5C4" w:rsidR="007C3BCE" w:rsidRDefault="007C3BCE">
          <w:pPr>
            <w:pStyle w:val="TOC3"/>
            <w:tabs>
              <w:tab w:val="right" w:leader="dot" w:pos="9016"/>
            </w:tabs>
            <w:rPr>
              <w:rFonts w:eastAsiaTheme="minorEastAsia" w:cstheme="minorBidi"/>
              <w:noProof/>
              <w:kern w:val="2"/>
              <w:sz w:val="24"/>
              <w:szCs w:val="24"/>
              <w14:ligatures w14:val="standardContextual"/>
            </w:rPr>
          </w:pPr>
          <w:hyperlink w:anchor="_Toc175742262" w:history="1">
            <w:r w:rsidRPr="00570643">
              <w:rPr>
                <w:rStyle w:val="Hyperlink"/>
                <w:noProof/>
              </w:rPr>
              <w:t>2.3.3 Methods of assessing psychometric performance</w:t>
            </w:r>
            <w:r>
              <w:rPr>
                <w:noProof/>
                <w:webHidden/>
              </w:rPr>
              <w:tab/>
            </w:r>
            <w:r>
              <w:rPr>
                <w:noProof/>
                <w:webHidden/>
              </w:rPr>
              <w:fldChar w:fldCharType="begin"/>
            </w:r>
            <w:r>
              <w:rPr>
                <w:noProof/>
                <w:webHidden/>
              </w:rPr>
              <w:instrText xml:space="preserve"> PAGEREF _Toc175742262 \h </w:instrText>
            </w:r>
            <w:r>
              <w:rPr>
                <w:noProof/>
                <w:webHidden/>
              </w:rPr>
            </w:r>
            <w:r>
              <w:rPr>
                <w:noProof/>
                <w:webHidden/>
              </w:rPr>
              <w:fldChar w:fldCharType="separate"/>
            </w:r>
            <w:r>
              <w:rPr>
                <w:noProof/>
                <w:webHidden/>
              </w:rPr>
              <w:t>8</w:t>
            </w:r>
            <w:r>
              <w:rPr>
                <w:noProof/>
                <w:webHidden/>
              </w:rPr>
              <w:fldChar w:fldCharType="end"/>
            </w:r>
          </w:hyperlink>
        </w:p>
        <w:p w14:paraId="6BA924AB" w14:textId="1E4B0051" w:rsidR="007C3BCE" w:rsidRDefault="007C3BCE">
          <w:pPr>
            <w:pStyle w:val="TOC3"/>
            <w:tabs>
              <w:tab w:val="right" w:leader="dot" w:pos="9016"/>
            </w:tabs>
            <w:rPr>
              <w:rFonts w:eastAsiaTheme="minorEastAsia" w:cstheme="minorBidi"/>
              <w:noProof/>
              <w:kern w:val="2"/>
              <w:sz w:val="24"/>
              <w:szCs w:val="24"/>
              <w14:ligatures w14:val="standardContextual"/>
            </w:rPr>
          </w:pPr>
          <w:hyperlink w:anchor="_Toc175742263" w:history="1">
            <w:r w:rsidRPr="00570643">
              <w:rPr>
                <w:rStyle w:val="Hyperlink"/>
                <w:noProof/>
              </w:rPr>
              <w:t>2.3.4 Quality appraisal</w:t>
            </w:r>
            <w:r>
              <w:rPr>
                <w:noProof/>
                <w:webHidden/>
              </w:rPr>
              <w:tab/>
            </w:r>
            <w:r>
              <w:rPr>
                <w:noProof/>
                <w:webHidden/>
              </w:rPr>
              <w:fldChar w:fldCharType="begin"/>
            </w:r>
            <w:r>
              <w:rPr>
                <w:noProof/>
                <w:webHidden/>
              </w:rPr>
              <w:instrText xml:space="preserve"> PAGEREF _Toc175742263 \h </w:instrText>
            </w:r>
            <w:r>
              <w:rPr>
                <w:noProof/>
                <w:webHidden/>
              </w:rPr>
            </w:r>
            <w:r>
              <w:rPr>
                <w:noProof/>
                <w:webHidden/>
              </w:rPr>
              <w:fldChar w:fldCharType="separate"/>
            </w:r>
            <w:r>
              <w:rPr>
                <w:noProof/>
                <w:webHidden/>
              </w:rPr>
              <w:t>10</w:t>
            </w:r>
            <w:r>
              <w:rPr>
                <w:noProof/>
                <w:webHidden/>
              </w:rPr>
              <w:fldChar w:fldCharType="end"/>
            </w:r>
          </w:hyperlink>
        </w:p>
        <w:p w14:paraId="52F0B0F3" w14:textId="1116F745" w:rsidR="007C3BCE" w:rsidRDefault="007C3BCE">
          <w:pPr>
            <w:pStyle w:val="TOC3"/>
            <w:tabs>
              <w:tab w:val="right" w:leader="dot" w:pos="9016"/>
            </w:tabs>
            <w:rPr>
              <w:rFonts w:eastAsiaTheme="minorEastAsia" w:cstheme="minorBidi"/>
              <w:noProof/>
              <w:kern w:val="2"/>
              <w:sz w:val="24"/>
              <w:szCs w:val="24"/>
              <w14:ligatures w14:val="standardContextual"/>
            </w:rPr>
          </w:pPr>
          <w:hyperlink w:anchor="_Toc175742264" w:history="1">
            <w:r w:rsidRPr="00570643">
              <w:rPr>
                <w:rStyle w:val="Hyperlink"/>
                <w:noProof/>
              </w:rPr>
              <w:t>2.3.5 Summary of review results and key findings</w:t>
            </w:r>
            <w:r>
              <w:rPr>
                <w:noProof/>
                <w:webHidden/>
              </w:rPr>
              <w:tab/>
            </w:r>
            <w:r>
              <w:rPr>
                <w:noProof/>
                <w:webHidden/>
              </w:rPr>
              <w:fldChar w:fldCharType="begin"/>
            </w:r>
            <w:r>
              <w:rPr>
                <w:noProof/>
                <w:webHidden/>
              </w:rPr>
              <w:instrText xml:space="preserve"> PAGEREF _Toc175742264 \h </w:instrText>
            </w:r>
            <w:r>
              <w:rPr>
                <w:noProof/>
                <w:webHidden/>
              </w:rPr>
            </w:r>
            <w:r>
              <w:rPr>
                <w:noProof/>
                <w:webHidden/>
              </w:rPr>
              <w:fldChar w:fldCharType="separate"/>
            </w:r>
            <w:r>
              <w:rPr>
                <w:noProof/>
                <w:webHidden/>
              </w:rPr>
              <w:t>12</w:t>
            </w:r>
            <w:r>
              <w:rPr>
                <w:noProof/>
                <w:webHidden/>
              </w:rPr>
              <w:fldChar w:fldCharType="end"/>
            </w:r>
          </w:hyperlink>
        </w:p>
        <w:p w14:paraId="76C14BCA" w14:textId="26CC150E" w:rsidR="007C3BCE" w:rsidRDefault="007C3BCE">
          <w:pPr>
            <w:pStyle w:val="TOC2"/>
            <w:tabs>
              <w:tab w:val="right" w:leader="dot" w:pos="9016"/>
            </w:tabs>
            <w:rPr>
              <w:rFonts w:eastAsiaTheme="minorEastAsia" w:cstheme="minorBidi"/>
              <w:b w:val="0"/>
              <w:bCs w:val="0"/>
              <w:noProof/>
              <w:kern w:val="2"/>
              <w:sz w:val="24"/>
              <w:szCs w:val="24"/>
              <w14:ligatures w14:val="standardContextual"/>
            </w:rPr>
          </w:pPr>
          <w:hyperlink w:anchor="_Toc175742265" w:history="1">
            <w:r w:rsidRPr="00570643">
              <w:rPr>
                <w:rStyle w:val="Hyperlink"/>
                <w:noProof/>
              </w:rPr>
              <w:t>2.4 The key concepts around self and proxy reported quality of life: a pearl growing literature review</w:t>
            </w:r>
            <w:r>
              <w:rPr>
                <w:noProof/>
                <w:webHidden/>
              </w:rPr>
              <w:tab/>
            </w:r>
            <w:r>
              <w:rPr>
                <w:noProof/>
                <w:webHidden/>
              </w:rPr>
              <w:fldChar w:fldCharType="begin"/>
            </w:r>
            <w:r>
              <w:rPr>
                <w:noProof/>
                <w:webHidden/>
              </w:rPr>
              <w:instrText xml:space="preserve"> PAGEREF _Toc175742265 \h </w:instrText>
            </w:r>
            <w:r>
              <w:rPr>
                <w:noProof/>
                <w:webHidden/>
              </w:rPr>
            </w:r>
            <w:r>
              <w:rPr>
                <w:noProof/>
                <w:webHidden/>
              </w:rPr>
              <w:fldChar w:fldCharType="separate"/>
            </w:r>
            <w:r>
              <w:rPr>
                <w:noProof/>
                <w:webHidden/>
              </w:rPr>
              <w:t>13</w:t>
            </w:r>
            <w:r>
              <w:rPr>
                <w:noProof/>
                <w:webHidden/>
              </w:rPr>
              <w:fldChar w:fldCharType="end"/>
            </w:r>
          </w:hyperlink>
        </w:p>
        <w:p w14:paraId="70858BB3" w14:textId="10DB4125" w:rsidR="007C3BCE" w:rsidRDefault="007C3BCE">
          <w:pPr>
            <w:pStyle w:val="TOC3"/>
            <w:tabs>
              <w:tab w:val="right" w:leader="dot" w:pos="9016"/>
            </w:tabs>
            <w:rPr>
              <w:rFonts w:eastAsiaTheme="minorEastAsia" w:cstheme="minorBidi"/>
              <w:noProof/>
              <w:kern w:val="2"/>
              <w:sz w:val="24"/>
              <w:szCs w:val="24"/>
              <w14:ligatures w14:val="standardContextual"/>
            </w:rPr>
          </w:pPr>
          <w:hyperlink w:anchor="_Toc175742266" w:history="1">
            <w:r w:rsidRPr="00570643">
              <w:rPr>
                <w:rStyle w:val="Hyperlink"/>
                <w:noProof/>
              </w:rPr>
              <w:t>2.4.1 Introduction</w:t>
            </w:r>
            <w:r>
              <w:rPr>
                <w:noProof/>
                <w:webHidden/>
              </w:rPr>
              <w:tab/>
            </w:r>
            <w:r>
              <w:rPr>
                <w:noProof/>
                <w:webHidden/>
              </w:rPr>
              <w:fldChar w:fldCharType="begin"/>
            </w:r>
            <w:r>
              <w:rPr>
                <w:noProof/>
                <w:webHidden/>
              </w:rPr>
              <w:instrText xml:space="preserve"> PAGEREF _Toc175742266 \h </w:instrText>
            </w:r>
            <w:r>
              <w:rPr>
                <w:noProof/>
                <w:webHidden/>
              </w:rPr>
            </w:r>
            <w:r>
              <w:rPr>
                <w:noProof/>
                <w:webHidden/>
              </w:rPr>
              <w:fldChar w:fldCharType="separate"/>
            </w:r>
            <w:r>
              <w:rPr>
                <w:noProof/>
                <w:webHidden/>
              </w:rPr>
              <w:t>14</w:t>
            </w:r>
            <w:r>
              <w:rPr>
                <w:noProof/>
                <w:webHidden/>
              </w:rPr>
              <w:fldChar w:fldCharType="end"/>
            </w:r>
          </w:hyperlink>
        </w:p>
        <w:p w14:paraId="4E4D5407" w14:textId="5BD96A9A" w:rsidR="007C3BCE" w:rsidRDefault="007C3BCE">
          <w:pPr>
            <w:pStyle w:val="TOC3"/>
            <w:tabs>
              <w:tab w:val="right" w:leader="dot" w:pos="9016"/>
            </w:tabs>
            <w:rPr>
              <w:rFonts w:eastAsiaTheme="minorEastAsia" w:cstheme="minorBidi"/>
              <w:noProof/>
              <w:kern w:val="2"/>
              <w:sz w:val="24"/>
              <w:szCs w:val="24"/>
              <w14:ligatures w14:val="standardContextual"/>
            </w:rPr>
          </w:pPr>
          <w:hyperlink w:anchor="_Toc175742267" w:history="1">
            <w:r w:rsidRPr="00570643">
              <w:rPr>
                <w:rStyle w:val="Hyperlink"/>
                <w:bCs/>
                <w:noProof/>
              </w:rPr>
              <w:t>2.4.2 Methods</w:t>
            </w:r>
            <w:r>
              <w:rPr>
                <w:noProof/>
                <w:webHidden/>
              </w:rPr>
              <w:tab/>
            </w:r>
            <w:r>
              <w:rPr>
                <w:noProof/>
                <w:webHidden/>
              </w:rPr>
              <w:fldChar w:fldCharType="begin"/>
            </w:r>
            <w:r>
              <w:rPr>
                <w:noProof/>
                <w:webHidden/>
              </w:rPr>
              <w:instrText xml:space="preserve"> PAGEREF _Toc175742267 \h </w:instrText>
            </w:r>
            <w:r>
              <w:rPr>
                <w:noProof/>
                <w:webHidden/>
              </w:rPr>
            </w:r>
            <w:r>
              <w:rPr>
                <w:noProof/>
                <w:webHidden/>
              </w:rPr>
              <w:fldChar w:fldCharType="separate"/>
            </w:r>
            <w:r>
              <w:rPr>
                <w:noProof/>
                <w:webHidden/>
              </w:rPr>
              <w:t>14</w:t>
            </w:r>
            <w:r>
              <w:rPr>
                <w:noProof/>
                <w:webHidden/>
              </w:rPr>
              <w:fldChar w:fldCharType="end"/>
            </w:r>
          </w:hyperlink>
        </w:p>
        <w:p w14:paraId="079D7015" w14:textId="270AE1BD" w:rsidR="007C3BCE" w:rsidRDefault="007C3BCE">
          <w:pPr>
            <w:pStyle w:val="TOC3"/>
            <w:tabs>
              <w:tab w:val="right" w:leader="dot" w:pos="9016"/>
            </w:tabs>
            <w:rPr>
              <w:rFonts w:eastAsiaTheme="minorEastAsia" w:cstheme="minorBidi"/>
              <w:noProof/>
              <w:kern w:val="2"/>
              <w:sz w:val="24"/>
              <w:szCs w:val="24"/>
              <w14:ligatures w14:val="standardContextual"/>
            </w:rPr>
          </w:pPr>
          <w:hyperlink w:anchor="_Toc175742268" w:history="1">
            <w:r w:rsidRPr="00570643">
              <w:rPr>
                <w:rStyle w:val="Hyperlink"/>
                <w:noProof/>
              </w:rPr>
              <w:t>2.4.3 Aims and objectives</w:t>
            </w:r>
            <w:r>
              <w:rPr>
                <w:noProof/>
                <w:webHidden/>
              </w:rPr>
              <w:tab/>
            </w:r>
            <w:r>
              <w:rPr>
                <w:noProof/>
                <w:webHidden/>
              </w:rPr>
              <w:fldChar w:fldCharType="begin"/>
            </w:r>
            <w:r>
              <w:rPr>
                <w:noProof/>
                <w:webHidden/>
              </w:rPr>
              <w:instrText xml:space="preserve"> PAGEREF _Toc175742268 \h </w:instrText>
            </w:r>
            <w:r>
              <w:rPr>
                <w:noProof/>
                <w:webHidden/>
              </w:rPr>
            </w:r>
            <w:r>
              <w:rPr>
                <w:noProof/>
                <w:webHidden/>
              </w:rPr>
              <w:fldChar w:fldCharType="separate"/>
            </w:r>
            <w:r>
              <w:rPr>
                <w:noProof/>
                <w:webHidden/>
              </w:rPr>
              <w:t>14</w:t>
            </w:r>
            <w:r>
              <w:rPr>
                <w:noProof/>
                <w:webHidden/>
              </w:rPr>
              <w:fldChar w:fldCharType="end"/>
            </w:r>
          </w:hyperlink>
        </w:p>
        <w:p w14:paraId="3DE17972" w14:textId="5B011C8F" w:rsidR="007C3BCE" w:rsidRDefault="007C3BCE">
          <w:pPr>
            <w:pStyle w:val="TOC3"/>
            <w:tabs>
              <w:tab w:val="right" w:leader="dot" w:pos="9016"/>
            </w:tabs>
            <w:rPr>
              <w:rFonts w:eastAsiaTheme="minorEastAsia" w:cstheme="minorBidi"/>
              <w:noProof/>
              <w:kern w:val="2"/>
              <w:sz w:val="24"/>
              <w:szCs w:val="24"/>
              <w14:ligatures w14:val="standardContextual"/>
            </w:rPr>
          </w:pPr>
          <w:hyperlink w:anchor="_Toc175742269" w:history="1">
            <w:r w:rsidRPr="00570643">
              <w:rPr>
                <w:rStyle w:val="Hyperlink"/>
                <w:noProof/>
              </w:rPr>
              <w:t>2.4.4 Results</w:t>
            </w:r>
            <w:r>
              <w:rPr>
                <w:noProof/>
                <w:webHidden/>
              </w:rPr>
              <w:tab/>
            </w:r>
            <w:r>
              <w:rPr>
                <w:noProof/>
                <w:webHidden/>
              </w:rPr>
              <w:fldChar w:fldCharType="begin"/>
            </w:r>
            <w:r>
              <w:rPr>
                <w:noProof/>
                <w:webHidden/>
              </w:rPr>
              <w:instrText xml:space="preserve"> PAGEREF _Toc175742269 \h </w:instrText>
            </w:r>
            <w:r>
              <w:rPr>
                <w:noProof/>
                <w:webHidden/>
              </w:rPr>
            </w:r>
            <w:r>
              <w:rPr>
                <w:noProof/>
                <w:webHidden/>
              </w:rPr>
              <w:fldChar w:fldCharType="separate"/>
            </w:r>
            <w:r>
              <w:rPr>
                <w:noProof/>
                <w:webHidden/>
              </w:rPr>
              <w:t>15</w:t>
            </w:r>
            <w:r>
              <w:rPr>
                <w:noProof/>
                <w:webHidden/>
              </w:rPr>
              <w:fldChar w:fldCharType="end"/>
            </w:r>
          </w:hyperlink>
        </w:p>
        <w:p w14:paraId="0DFCDD83" w14:textId="620AE660" w:rsidR="007C3BCE" w:rsidRDefault="007C3BCE">
          <w:pPr>
            <w:pStyle w:val="TOC2"/>
            <w:tabs>
              <w:tab w:val="right" w:leader="dot" w:pos="9016"/>
            </w:tabs>
            <w:rPr>
              <w:rFonts w:eastAsiaTheme="minorEastAsia" w:cstheme="minorBidi"/>
              <w:b w:val="0"/>
              <w:bCs w:val="0"/>
              <w:noProof/>
              <w:kern w:val="2"/>
              <w:sz w:val="24"/>
              <w:szCs w:val="24"/>
              <w14:ligatures w14:val="standardContextual"/>
            </w:rPr>
          </w:pPr>
          <w:hyperlink w:anchor="_Toc175742270" w:history="1">
            <w:r w:rsidRPr="00570643">
              <w:rPr>
                <w:rStyle w:val="Hyperlink"/>
                <w:noProof/>
              </w:rPr>
              <w:t>2.5 Patient and public involvement and engagement session one: specific challenges associated with quality of life assessments in dementia populations</w:t>
            </w:r>
            <w:r>
              <w:rPr>
                <w:noProof/>
                <w:webHidden/>
              </w:rPr>
              <w:tab/>
            </w:r>
            <w:r>
              <w:rPr>
                <w:noProof/>
                <w:webHidden/>
              </w:rPr>
              <w:fldChar w:fldCharType="begin"/>
            </w:r>
            <w:r>
              <w:rPr>
                <w:noProof/>
                <w:webHidden/>
              </w:rPr>
              <w:instrText xml:space="preserve"> PAGEREF _Toc175742270 \h </w:instrText>
            </w:r>
            <w:r>
              <w:rPr>
                <w:noProof/>
                <w:webHidden/>
              </w:rPr>
            </w:r>
            <w:r>
              <w:rPr>
                <w:noProof/>
                <w:webHidden/>
              </w:rPr>
              <w:fldChar w:fldCharType="separate"/>
            </w:r>
            <w:r>
              <w:rPr>
                <w:noProof/>
                <w:webHidden/>
              </w:rPr>
              <w:t>18</w:t>
            </w:r>
            <w:r>
              <w:rPr>
                <w:noProof/>
                <w:webHidden/>
              </w:rPr>
              <w:fldChar w:fldCharType="end"/>
            </w:r>
          </w:hyperlink>
        </w:p>
        <w:p w14:paraId="38CAAEED" w14:textId="42A1A9F8" w:rsidR="007C3BCE" w:rsidRDefault="007C3BCE">
          <w:pPr>
            <w:pStyle w:val="TOC3"/>
            <w:tabs>
              <w:tab w:val="right" w:leader="dot" w:pos="9016"/>
            </w:tabs>
            <w:rPr>
              <w:rFonts w:eastAsiaTheme="minorEastAsia" w:cstheme="minorBidi"/>
              <w:noProof/>
              <w:kern w:val="2"/>
              <w:sz w:val="24"/>
              <w:szCs w:val="24"/>
              <w14:ligatures w14:val="standardContextual"/>
            </w:rPr>
          </w:pPr>
          <w:hyperlink w:anchor="_Toc175742271" w:history="1">
            <w:r w:rsidRPr="00570643">
              <w:rPr>
                <w:rStyle w:val="Hyperlink"/>
                <w:noProof/>
              </w:rPr>
              <w:t>2.5.1 Introduction</w:t>
            </w:r>
            <w:r>
              <w:rPr>
                <w:noProof/>
                <w:webHidden/>
              </w:rPr>
              <w:tab/>
            </w:r>
            <w:r>
              <w:rPr>
                <w:noProof/>
                <w:webHidden/>
              </w:rPr>
              <w:fldChar w:fldCharType="begin"/>
            </w:r>
            <w:r>
              <w:rPr>
                <w:noProof/>
                <w:webHidden/>
              </w:rPr>
              <w:instrText xml:space="preserve"> PAGEREF _Toc175742271 \h </w:instrText>
            </w:r>
            <w:r>
              <w:rPr>
                <w:noProof/>
                <w:webHidden/>
              </w:rPr>
            </w:r>
            <w:r>
              <w:rPr>
                <w:noProof/>
                <w:webHidden/>
              </w:rPr>
              <w:fldChar w:fldCharType="separate"/>
            </w:r>
            <w:r>
              <w:rPr>
                <w:noProof/>
                <w:webHidden/>
              </w:rPr>
              <w:t>19</w:t>
            </w:r>
            <w:r>
              <w:rPr>
                <w:noProof/>
                <w:webHidden/>
              </w:rPr>
              <w:fldChar w:fldCharType="end"/>
            </w:r>
          </w:hyperlink>
        </w:p>
        <w:p w14:paraId="52A586C0" w14:textId="17D3B882" w:rsidR="007C3BCE" w:rsidRDefault="007C3BCE">
          <w:pPr>
            <w:pStyle w:val="TOC3"/>
            <w:tabs>
              <w:tab w:val="right" w:leader="dot" w:pos="9016"/>
            </w:tabs>
            <w:rPr>
              <w:rFonts w:eastAsiaTheme="minorEastAsia" w:cstheme="minorBidi"/>
              <w:noProof/>
              <w:kern w:val="2"/>
              <w:sz w:val="24"/>
              <w:szCs w:val="24"/>
              <w14:ligatures w14:val="standardContextual"/>
            </w:rPr>
          </w:pPr>
          <w:hyperlink w:anchor="_Toc175742272" w:history="1">
            <w:r w:rsidRPr="00570643">
              <w:rPr>
                <w:rStyle w:val="Hyperlink"/>
                <w:noProof/>
              </w:rPr>
              <w:t>2.5.2 Methods</w:t>
            </w:r>
            <w:r>
              <w:rPr>
                <w:noProof/>
                <w:webHidden/>
              </w:rPr>
              <w:tab/>
            </w:r>
            <w:r>
              <w:rPr>
                <w:noProof/>
                <w:webHidden/>
              </w:rPr>
              <w:fldChar w:fldCharType="begin"/>
            </w:r>
            <w:r>
              <w:rPr>
                <w:noProof/>
                <w:webHidden/>
              </w:rPr>
              <w:instrText xml:space="preserve"> PAGEREF _Toc175742272 \h </w:instrText>
            </w:r>
            <w:r>
              <w:rPr>
                <w:noProof/>
                <w:webHidden/>
              </w:rPr>
            </w:r>
            <w:r>
              <w:rPr>
                <w:noProof/>
                <w:webHidden/>
              </w:rPr>
              <w:fldChar w:fldCharType="separate"/>
            </w:r>
            <w:r>
              <w:rPr>
                <w:noProof/>
                <w:webHidden/>
              </w:rPr>
              <w:t>20</w:t>
            </w:r>
            <w:r>
              <w:rPr>
                <w:noProof/>
                <w:webHidden/>
              </w:rPr>
              <w:fldChar w:fldCharType="end"/>
            </w:r>
          </w:hyperlink>
        </w:p>
        <w:p w14:paraId="332F469F" w14:textId="0A5ED016" w:rsidR="007C3BCE" w:rsidRDefault="007C3BCE">
          <w:pPr>
            <w:pStyle w:val="TOC3"/>
            <w:tabs>
              <w:tab w:val="right" w:leader="dot" w:pos="9016"/>
            </w:tabs>
            <w:rPr>
              <w:rFonts w:eastAsiaTheme="minorEastAsia" w:cstheme="minorBidi"/>
              <w:noProof/>
              <w:kern w:val="2"/>
              <w:sz w:val="24"/>
              <w:szCs w:val="24"/>
              <w14:ligatures w14:val="standardContextual"/>
            </w:rPr>
          </w:pPr>
          <w:hyperlink w:anchor="_Toc175742273" w:history="1">
            <w:r w:rsidRPr="00570643">
              <w:rPr>
                <w:rStyle w:val="Hyperlink"/>
                <w:noProof/>
              </w:rPr>
              <w:t>2.5.3 Results</w:t>
            </w:r>
            <w:r>
              <w:rPr>
                <w:noProof/>
                <w:webHidden/>
              </w:rPr>
              <w:tab/>
            </w:r>
            <w:r>
              <w:rPr>
                <w:noProof/>
                <w:webHidden/>
              </w:rPr>
              <w:fldChar w:fldCharType="begin"/>
            </w:r>
            <w:r>
              <w:rPr>
                <w:noProof/>
                <w:webHidden/>
              </w:rPr>
              <w:instrText xml:space="preserve"> PAGEREF _Toc175742273 \h </w:instrText>
            </w:r>
            <w:r>
              <w:rPr>
                <w:noProof/>
                <w:webHidden/>
              </w:rPr>
            </w:r>
            <w:r>
              <w:rPr>
                <w:noProof/>
                <w:webHidden/>
              </w:rPr>
              <w:fldChar w:fldCharType="separate"/>
            </w:r>
            <w:r>
              <w:rPr>
                <w:noProof/>
                <w:webHidden/>
              </w:rPr>
              <w:t>20</w:t>
            </w:r>
            <w:r>
              <w:rPr>
                <w:noProof/>
                <w:webHidden/>
              </w:rPr>
              <w:fldChar w:fldCharType="end"/>
            </w:r>
          </w:hyperlink>
        </w:p>
        <w:p w14:paraId="37B5178E" w14:textId="09787082" w:rsidR="007C3BCE" w:rsidRDefault="007C3BCE">
          <w:pPr>
            <w:pStyle w:val="TOC3"/>
            <w:tabs>
              <w:tab w:val="right" w:leader="dot" w:pos="9016"/>
            </w:tabs>
            <w:rPr>
              <w:rFonts w:eastAsiaTheme="minorEastAsia" w:cstheme="minorBidi"/>
              <w:noProof/>
              <w:kern w:val="2"/>
              <w:sz w:val="24"/>
              <w:szCs w:val="24"/>
              <w14:ligatures w14:val="standardContextual"/>
            </w:rPr>
          </w:pPr>
          <w:hyperlink w:anchor="_Toc175742274" w:history="1">
            <w:r w:rsidRPr="00570643">
              <w:rPr>
                <w:rStyle w:val="Hyperlink"/>
                <w:noProof/>
              </w:rPr>
              <w:t>2.5.4 Key findings</w:t>
            </w:r>
            <w:r>
              <w:rPr>
                <w:noProof/>
                <w:webHidden/>
              </w:rPr>
              <w:tab/>
            </w:r>
            <w:r>
              <w:rPr>
                <w:noProof/>
                <w:webHidden/>
              </w:rPr>
              <w:fldChar w:fldCharType="begin"/>
            </w:r>
            <w:r>
              <w:rPr>
                <w:noProof/>
                <w:webHidden/>
              </w:rPr>
              <w:instrText xml:space="preserve"> PAGEREF _Toc175742274 \h </w:instrText>
            </w:r>
            <w:r>
              <w:rPr>
                <w:noProof/>
                <w:webHidden/>
              </w:rPr>
            </w:r>
            <w:r>
              <w:rPr>
                <w:noProof/>
                <w:webHidden/>
              </w:rPr>
              <w:fldChar w:fldCharType="separate"/>
            </w:r>
            <w:r>
              <w:rPr>
                <w:noProof/>
                <w:webHidden/>
              </w:rPr>
              <w:t>22</w:t>
            </w:r>
            <w:r>
              <w:rPr>
                <w:noProof/>
                <w:webHidden/>
              </w:rPr>
              <w:fldChar w:fldCharType="end"/>
            </w:r>
          </w:hyperlink>
        </w:p>
        <w:p w14:paraId="39557B9A" w14:textId="72F656B4" w:rsidR="007C3BCE" w:rsidRDefault="007C3BCE">
          <w:pPr>
            <w:pStyle w:val="TOC1"/>
            <w:tabs>
              <w:tab w:val="right" w:leader="dot" w:pos="9016"/>
            </w:tabs>
            <w:rPr>
              <w:rFonts w:eastAsiaTheme="minorEastAsia" w:cstheme="minorBidi"/>
              <w:b w:val="0"/>
              <w:bCs w:val="0"/>
              <w:i w:val="0"/>
              <w:iCs w:val="0"/>
              <w:noProof/>
              <w:kern w:val="2"/>
              <w14:ligatures w14:val="standardContextual"/>
            </w:rPr>
          </w:pPr>
          <w:hyperlink w:anchor="_Toc175742275" w:history="1">
            <w:r w:rsidRPr="00570643">
              <w:rPr>
                <w:rStyle w:val="Hyperlink"/>
                <w:noProof/>
              </w:rPr>
              <w:t>3 Wider outcomes considered in dementia trials</w:t>
            </w:r>
            <w:r>
              <w:rPr>
                <w:noProof/>
                <w:webHidden/>
              </w:rPr>
              <w:tab/>
            </w:r>
            <w:r>
              <w:rPr>
                <w:noProof/>
                <w:webHidden/>
              </w:rPr>
              <w:fldChar w:fldCharType="begin"/>
            </w:r>
            <w:r>
              <w:rPr>
                <w:noProof/>
                <w:webHidden/>
              </w:rPr>
              <w:instrText xml:space="preserve"> PAGEREF _Toc175742275 \h </w:instrText>
            </w:r>
            <w:r>
              <w:rPr>
                <w:noProof/>
                <w:webHidden/>
              </w:rPr>
            </w:r>
            <w:r>
              <w:rPr>
                <w:noProof/>
                <w:webHidden/>
              </w:rPr>
              <w:fldChar w:fldCharType="separate"/>
            </w:r>
            <w:r>
              <w:rPr>
                <w:noProof/>
                <w:webHidden/>
              </w:rPr>
              <w:t>23</w:t>
            </w:r>
            <w:r>
              <w:rPr>
                <w:noProof/>
                <w:webHidden/>
              </w:rPr>
              <w:fldChar w:fldCharType="end"/>
            </w:r>
          </w:hyperlink>
        </w:p>
        <w:p w14:paraId="1F7394B2" w14:textId="295B6A2D" w:rsidR="007C3BCE" w:rsidRDefault="007C3BCE">
          <w:pPr>
            <w:pStyle w:val="TOC2"/>
            <w:tabs>
              <w:tab w:val="right" w:leader="dot" w:pos="9016"/>
            </w:tabs>
            <w:rPr>
              <w:rFonts w:eastAsiaTheme="minorEastAsia" w:cstheme="minorBidi"/>
              <w:b w:val="0"/>
              <w:bCs w:val="0"/>
              <w:noProof/>
              <w:kern w:val="2"/>
              <w:sz w:val="24"/>
              <w:szCs w:val="24"/>
              <w14:ligatures w14:val="standardContextual"/>
            </w:rPr>
          </w:pPr>
          <w:hyperlink w:anchor="_Toc175742276" w:history="1">
            <w:r w:rsidRPr="00570643">
              <w:rPr>
                <w:rStyle w:val="Hyperlink"/>
                <w:noProof/>
              </w:rPr>
              <w:t>3.1 Introduction</w:t>
            </w:r>
            <w:r>
              <w:rPr>
                <w:noProof/>
                <w:webHidden/>
              </w:rPr>
              <w:tab/>
            </w:r>
            <w:r>
              <w:rPr>
                <w:noProof/>
                <w:webHidden/>
              </w:rPr>
              <w:fldChar w:fldCharType="begin"/>
            </w:r>
            <w:r>
              <w:rPr>
                <w:noProof/>
                <w:webHidden/>
              </w:rPr>
              <w:instrText xml:space="preserve"> PAGEREF _Toc175742276 \h </w:instrText>
            </w:r>
            <w:r>
              <w:rPr>
                <w:noProof/>
                <w:webHidden/>
              </w:rPr>
            </w:r>
            <w:r>
              <w:rPr>
                <w:noProof/>
                <w:webHidden/>
              </w:rPr>
              <w:fldChar w:fldCharType="separate"/>
            </w:r>
            <w:r>
              <w:rPr>
                <w:noProof/>
                <w:webHidden/>
              </w:rPr>
              <w:t>23</w:t>
            </w:r>
            <w:r>
              <w:rPr>
                <w:noProof/>
                <w:webHidden/>
              </w:rPr>
              <w:fldChar w:fldCharType="end"/>
            </w:r>
          </w:hyperlink>
        </w:p>
        <w:p w14:paraId="301C2AA9" w14:textId="26E871CC" w:rsidR="007C3BCE" w:rsidRDefault="007C3BCE">
          <w:pPr>
            <w:pStyle w:val="TOC2"/>
            <w:tabs>
              <w:tab w:val="right" w:leader="dot" w:pos="9016"/>
            </w:tabs>
            <w:rPr>
              <w:rFonts w:eastAsiaTheme="minorEastAsia" w:cstheme="minorBidi"/>
              <w:b w:val="0"/>
              <w:bCs w:val="0"/>
              <w:noProof/>
              <w:kern w:val="2"/>
              <w:sz w:val="24"/>
              <w:szCs w:val="24"/>
              <w14:ligatures w14:val="standardContextual"/>
            </w:rPr>
          </w:pPr>
          <w:hyperlink w:anchor="_Toc175742277" w:history="1">
            <w:r w:rsidRPr="00570643">
              <w:rPr>
                <w:rStyle w:val="Hyperlink"/>
                <w:noProof/>
              </w:rPr>
              <w:t>3.2 Methods</w:t>
            </w:r>
            <w:r>
              <w:rPr>
                <w:noProof/>
                <w:webHidden/>
              </w:rPr>
              <w:tab/>
            </w:r>
            <w:r>
              <w:rPr>
                <w:noProof/>
                <w:webHidden/>
              </w:rPr>
              <w:fldChar w:fldCharType="begin"/>
            </w:r>
            <w:r>
              <w:rPr>
                <w:noProof/>
                <w:webHidden/>
              </w:rPr>
              <w:instrText xml:space="preserve"> PAGEREF _Toc175742277 \h </w:instrText>
            </w:r>
            <w:r>
              <w:rPr>
                <w:noProof/>
                <w:webHidden/>
              </w:rPr>
            </w:r>
            <w:r>
              <w:rPr>
                <w:noProof/>
                <w:webHidden/>
              </w:rPr>
              <w:fldChar w:fldCharType="separate"/>
            </w:r>
            <w:r>
              <w:rPr>
                <w:noProof/>
                <w:webHidden/>
              </w:rPr>
              <w:t>24</w:t>
            </w:r>
            <w:r>
              <w:rPr>
                <w:noProof/>
                <w:webHidden/>
              </w:rPr>
              <w:fldChar w:fldCharType="end"/>
            </w:r>
          </w:hyperlink>
        </w:p>
        <w:p w14:paraId="439D5F80" w14:textId="4FBC47C9" w:rsidR="007C3BCE" w:rsidRDefault="007C3BCE">
          <w:pPr>
            <w:pStyle w:val="TOC2"/>
            <w:tabs>
              <w:tab w:val="right" w:leader="dot" w:pos="9016"/>
            </w:tabs>
            <w:rPr>
              <w:rFonts w:eastAsiaTheme="minorEastAsia" w:cstheme="minorBidi"/>
              <w:b w:val="0"/>
              <w:bCs w:val="0"/>
              <w:noProof/>
              <w:kern w:val="2"/>
              <w:sz w:val="24"/>
              <w:szCs w:val="24"/>
              <w14:ligatures w14:val="standardContextual"/>
            </w:rPr>
          </w:pPr>
          <w:hyperlink w:anchor="_Toc175742278" w:history="1">
            <w:r w:rsidRPr="00570643">
              <w:rPr>
                <w:rStyle w:val="Hyperlink"/>
                <w:noProof/>
              </w:rPr>
              <w:t>3.3 Results</w:t>
            </w:r>
            <w:r>
              <w:rPr>
                <w:noProof/>
                <w:webHidden/>
              </w:rPr>
              <w:tab/>
            </w:r>
            <w:r>
              <w:rPr>
                <w:noProof/>
                <w:webHidden/>
              </w:rPr>
              <w:fldChar w:fldCharType="begin"/>
            </w:r>
            <w:r>
              <w:rPr>
                <w:noProof/>
                <w:webHidden/>
              </w:rPr>
              <w:instrText xml:space="preserve"> PAGEREF _Toc175742278 \h </w:instrText>
            </w:r>
            <w:r>
              <w:rPr>
                <w:noProof/>
                <w:webHidden/>
              </w:rPr>
            </w:r>
            <w:r>
              <w:rPr>
                <w:noProof/>
                <w:webHidden/>
              </w:rPr>
              <w:fldChar w:fldCharType="separate"/>
            </w:r>
            <w:r>
              <w:rPr>
                <w:noProof/>
                <w:webHidden/>
              </w:rPr>
              <w:t>24</w:t>
            </w:r>
            <w:r>
              <w:rPr>
                <w:noProof/>
                <w:webHidden/>
              </w:rPr>
              <w:fldChar w:fldCharType="end"/>
            </w:r>
          </w:hyperlink>
        </w:p>
        <w:p w14:paraId="07657DA2" w14:textId="67930532" w:rsidR="007C3BCE" w:rsidRDefault="007C3BCE">
          <w:pPr>
            <w:pStyle w:val="TOC3"/>
            <w:tabs>
              <w:tab w:val="right" w:leader="dot" w:pos="9016"/>
            </w:tabs>
            <w:rPr>
              <w:rFonts w:eastAsiaTheme="minorEastAsia" w:cstheme="minorBidi"/>
              <w:noProof/>
              <w:kern w:val="2"/>
              <w:sz w:val="24"/>
              <w:szCs w:val="24"/>
              <w14:ligatures w14:val="standardContextual"/>
            </w:rPr>
          </w:pPr>
          <w:hyperlink w:anchor="_Toc175742279" w:history="1">
            <w:r w:rsidRPr="00570643">
              <w:rPr>
                <w:rStyle w:val="Hyperlink"/>
                <w:noProof/>
              </w:rPr>
              <w:t>3.3.1 Core outcome sets</w:t>
            </w:r>
            <w:r>
              <w:rPr>
                <w:noProof/>
                <w:webHidden/>
              </w:rPr>
              <w:tab/>
            </w:r>
            <w:r>
              <w:rPr>
                <w:noProof/>
                <w:webHidden/>
              </w:rPr>
              <w:fldChar w:fldCharType="begin"/>
            </w:r>
            <w:r>
              <w:rPr>
                <w:noProof/>
                <w:webHidden/>
              </w:rPr>
              <w:instrText xml:space="preserve"> PAGEREF _Toc175742279 \h </w:instrText>
            </w:r>
            <w:r>
              <w:rPr>
                <w:noProof/>
                <w:webHidden/>
              </w:rPr>
            </w:r>
            <w:r>
              <w:rPr>
                <w:noProof/>
                <w:webHidden/>
              </w:rPr>
              <w:fldChar w:fldCharType="separate"/>
            </w:r>
            <w:r>
              <w:rPr>
                <w:noProof/>
                <w:webHidden/>
              </w:rPr>
              <w:t>28</w:t>
            </w:r>
            <w:r>
              <w:rPr>
                <w:noProof/>
                <w:webHidden/>
              </w:rPr>
              <w:fldChar w:fldCharType="end"/>
            </w:r>
          </w:hyperlink>
        </w:p>
        <w:p w14:paraId="5B9151F1" w14:textId="2A81F94B" w:rsidR="007C3BCE" w:rsidRDefault="007C3BCE">
          <w:pPr>
            <w:pStyle w:val="TOC3"/>
            <w:tabs>
              <w:tab w:val="right" w:leader="dot" w:pos="9016"/>
            </w:tabs>
            <w:rPr>
              <w:rFonts w:eastAsiaTheme="minorEastAsia" w:cstheme="minorBidi"/>
              <w:noProof/>
              <w:kern w:val="2"/>
              <w:sz w:val="24"/>
              <w:szCs w:val="24"/>
              <w14:ligatures w14:val="standardContextual"/>
            </w:rPr>
          </w:pPr>
          <w:hyperlink w:anchor="_Toc175742280" w:history="1">
            <w:r w:rsidRPr="00570643">
              <w:rPr>
                <w:rStyle w:val="Hyperlink"/>
                <w:noProof/>
              </w:rPr>
              <w:t>3.3.2 Policy perspective on outcomes to consider in dementia trials and studies</w:t>
            </w:r>
            <w:r>
              <w:rPr>
                <w:noProof/>
                <w:webHidden/>
              </w:rPr>
              <w:tab/>
            </w:r>
            <w:r>
              <w:rPr>
                <w:noProof/>
                <w:webHidden/>
              </w:rPr>
              <w:fldChar w:fldCharType="begin"/>
            </w:r>
            <w:r>
              <w:rPr>
                <w:noProof/>
                <w:webHidden/>
              </w:rPr>
              <w:instrText xml:space="preserve"> PAGEREF _Toc175742280 \h </w:instrText>
            </w:r>
            <w:r>
              <w:rPr>
                <w:noProof/>
                <w:webHidden/>
              </w:rPr>
            </w:r>
            <w:r>
              <w:rPr>
                <w:noProof/>
                <w:webHidden/>
              </w:rPr>
              <w:fldChar w:fldCharType="separate"/>
            </w:r>
            <w:r>
              <w:rPr>
                <w:noProof/>
                <w:webHidden/>
              </w:rPr>
              <w:t>29</w:t>
            </w:r>
            <w:r>
              <w:rPr>
                <w:noProof/>
                <w:webHidden/>
              </w:rPr>
              <w:fldChar w:fldCharType="end"/>
            </w:r>
          </w:hyperlink>
        </w:p>
        <w:p w14:paraId="71017D30" w14:textId="1F078F37" w:rsidR="007C3BCE" w:rsidRDefault="007C3BCE">
          <w:pPr>
            <w:pStyle w:val="TOC2"/>
            <w:tabs>
              <w:tab w:val="right" w:leader="dot" w:pos="9016"/>
            </w:tabs>
            <w:rPr>
              <w:rFonts w:eastAsiaTheme="minorEastAsia" w:cstheme="minorBidi"/>
              <w:b w:val="0"/>
              <w:bCs w:val="0"/>
              <w:noProof/>
              <w:kern w:val="2"/>
              <w:sz w:val="24"/>
              <w:szCs w:val="24"/>
              <w14:ligatures w14:val="standardContextual"/>
            </w:rPr>
          </w:pPr>
          <w:hyperlink w:anchor="_Toc175742281" w:history="1">
            <w:r w:rsidRPr="00570643">
              <w:rPr>
                <w:rStyle w:val="Hyperlink"/>
                <w:noProof/>
              </w:rPr>
              <w:t>3.4 Summary of dementia outcomes</w:t>
            </w:r>
            <w:r>
              <w:rPr>
                <w:noProof/>
                <w:webHidden/>
              </w:rPr>
              <w:tab/>
            </w:r>
            <w:r>
              <w:rPr>
                <w:noProof/>
                <w:webHidden/>
              </w:rPr>
              <w:fldChar w:fldCharType="begin"/>
            </w:r>
            <w:r>
              <w:rPr>
                <w:noProof/>
                <w:webHidden/>
              </w:rPr>
              <w:instrText xml:space="preserve"> PAGEREF _Toc175742281 \h </w:instrText>
            </w:r>
            <w:r>
              <w:rPr>
                <w:noProof/>
                <w:webHidden/>
              </w:rPr>
            </w:r>
            <w:r>
              <w:rPr>
                <w:noProof/>
                <w:webHidden/>
              </w:rPr>
              <w:fldChar w:fldCharType="separate"/>
            </w:r>
            <w:r>
              <w:rPr>
                <w:noProof/>
                <w:webHidden/>
              </w:rPr>
              <w:t>30</w:t>
            </w:r>
            <w:r>
              <w:rPr>
                <w:noProof/>
                <w:webHidden/>
              </w:rPr>
              <w:fldChar w:fldCharType="end"/>
            </w:r>
          </w:hyperlink>
        </w:p>
        <w:p w14:paraId="612C9731" w14:textId="29283417" w:rsidR="007C3BCE" w:rsidRDefault="007C3BCE">
          <w:pPr>
            <w:pStyle w:val="TOC2"/>
            <w:tabs>
              <w:tab w:val="right" w:leader="dot" w:pos="9016"/>
            </w:tabs>
            <w:rPr>
              <w:rFonts w:eastAsiaTheme="minorEastAsia" w:cstheme="minorBidi"/>
              <w:b w:val="0"/>
              <w:bCs w:val="0"/>
              <w:noProof/>
              <w:kern w:val="2"/>
              <w:sz w:val="24"/>
              <w:szCs w:val="24"/>
              <w14:ligatures w14:val="standardContextual"/>
            </w:rPr>
          </w:pPr>
          <w:hyperlink w:anchor="_Toc175742282" w:history="1">
            <w:r w:rsidRPr="00570643">
              <w:rPr>
                <w:rStyle w:val="Hyperlink"/>
                <w:noProof/>
              </w:rPr>
              <w:t>3.5 Core health-related quality of life measures</w:t>
            </w:r>
            <w:r>
              <w:rPr>
                <w:noProof/>
                <w:webHidden/>
              </w:rPr>
              <w:tab/>
            </w:r>
            <w:r>
              <w:rPr>
                <w:noProof/>
                <w:webHidden/>
              </w:rPr>
              <w:fldChar w:fldCharType="begin"/>
            </w:r>
            <w:r>
              <w:rPr>
                <w:noProof/>
                <w:webHidden/>
              </w:rPr>
              <w:instrText xml:space="preserve"> PAGEREF _Toc175742282 \h </w:instrText>
            </w:r>
            <w:r>
              <w:rPr>
                <w:noProof/>
                <w:webHidden/>
              </w:rPr>
            </w:r>
            <w:r>
              <w:rPr>
                <w:noProof/>
                <w:webHidden/>
              </w:rPr>
              <w:fldChar w:fldCharType="separate"/>
            </w:r>
            <w:r>
              <w:rPr>
                <w:noProof/>
                <w:webHidden/>
              </w:rPr>
              <w:t>31</w:t>
            </w:r>
            <w:r>
              <w:rPr>
                <w:noProof/>
                <w:webHidden/>
              </w:rPr>
              <w:fldChar w:fldCharType="end"/>
            </w:r>
          </w:hyperlink>
        </w:p>
        <w:p w14:paraId="06B11D47" w14:textId="7FAB68E5" w:rsidR="007C3BCE" w:rsidRDefault="007C3BCE">
          <w:pPr>
            <w:pStyle w:val="TOC3"/>
            <w:tabs>
              <w:tab w:val="right" w:leader="dot" w:pos="9016"/>
            </w:tabs>
            <w:rPr>
              <w:rFonts w:eastAsiaTheme="minorEastAsia" w:cstheme="minorBidi"/>
              <w:noProof/>
              <w:kern w:val="2"/>
              <w:sz w:val="24"/>
              <w:szCs w:val="24"/>
              <w14:ligatures w14:val="standardContextual"/>
            </w:rPr>
          </w:pPr>
          <w:hyperlink w:anchor="_Toc175742283" w:history="1">
            <w:r w:rsidRPr="00570643">
              <w:rPr>
                <w:rStyle w:val="Hyperlink"/>
                <w:noProof/>
              </w:rPr>
              <w:t>3.5.1 Core dementia specific health-related quality of life measures</w:t>
            </w:r>
            <w:r>
              <w:rPr>
                <w:noProof/>
                <w:webHidden/>
              </w:rPr>
              <w:tab/>
            </w:r>
            <w:r>
              <w:rPr>
                <w:noProof/>
                <w:webHidden/>
              </w:rPr>
              <w:fldChar w:fldCharType="begin"/>
            </w:r>
            <w:r>
              <w:rPr>
                <w:noProof/>
                <w:webHidden/>
              </w:rPr>
              <w:instrText xml:space="preserve"> PAGEREF _Toc175742283 \h </w:instrText>
            </w:r>
            <w:r>
              <w:rPr>
                <w:noProof/>
                <w:webHidden/>
              </w:rPr>
            </w:r>
            <w:r>
              <w:rPr>
                <w:noProof/>
                <w:webHidden/>
              </w:rPr>
              <w:fldChar w:fldCharType="separate"/>
            </w:r>
            <w:r>
              <w:rPr>
                <w:noProof/>
                <w:webHidden/>
              </w:rPr>
              <w:t>31</w:t>
            </w:r>
            <w:r>
              <w:rPr>
                <w:noProof/>
                <w:webHidden/>
              </w:rPr>
              <w:fldChar w:fldCharType="end"/>
            </w:r>
          </w:hyperlink>
        </w:p>
        <w:p w14:paraId="53BCE48A" w14:textId="17C756E6" w:rsidR="007C3BCE" w:rsidRDefault="007C3BCE">
          <w:pPr>
            <w:pStyle w:val="TOC3"/>
            <w:tabs>
              <w:tab w:val="right" w:leader="dot" w:pos="9016"/>
            </w:tabs>
            <w:rPr>
              <w:rFonts w:eastAsiaTheme="minorEastAsia" w:cstheme="minorBidi"/>
              <w:noProof/>
              <w:kern w:val="2"/>
              <w:sz w:val="24"/>
              <w:szCs w:val="24"/>
              <w14:ligatures w14:val="standardContextual"/>
            </w:rPr>
          </w:pPr>
          <w:hyperlink w:anchor="_Toc175742284" w:history="1">
            <w:r w:rsidRPr="00570643">
              <w:rPr>
                <w:rStyle w:val="Hyperlink"/>
                <w:noProof/>
              </w:rPr>
              <w:t>3.5.2 Core generic health-related quality of life measures</w:t>
            </w:r>
            <w:r>
              <w:rPr>
                <w:noProof/>
                <w:webHidden/>
              </w:rPr>
              <w:tab/>
            </w:r>
            <w:r>
              <w:rPr>
                <w:noProof/>
                <w:webHidden/>
              </w:rPr>
              <w:fldChar w:fldCharType="begin"/>
            </w:r>
            <w:r>
              <w:rPr>
                <w:noProof/>
                <w:webHidden/>
              </w:rPr>
              <w:instrText xml:space="preserve"> PAGEREF _Toc175742284 \h </w:instrText>
            </w:r>
            <w:r>
              <w:rPr>
                <w:noProof/>
                <w:webHidden/>
              </w:rPr>
            </w:r>
            <w:r>
              <w:rPr>
                <w:noProof/>
                <w:webHidden/>
              </w:rPr>
              <w:fldChar w:fldCharType="separate"/>
            </w:r>
            <w:r>
              <w:rPr>
                <w:noProof/>
                <w:webHidden/>
              </w:rPr>
              <w:t>32</w:t>
            </w:r>
            <w:r>
              <w:rPr>
                <w:noProof/>
                <w:webHidden/>
              </w:rPr>
              <w:fldChar w:fldCharType="end"/>
            </w:r>
          </w:hyperlink>
        </w:p>
        <w:p w14:paraId="1098615F" w14:textId="51DB22DB" w:rsidR="007C3BCE" w:rsidRDefault="007C3BCE">
          <w:pPr>
            <w:pStyle w:val="TOC3"/>
            <w:tabs>
              <w:tab w:val="right" w:leader="dot" w:pos="9016"/>
            </w:tabs>
            <w:rPr>
              <w:rFonts w:eastAsiaTheme="minorEastAsia" w:cstheme="minorBidi"/>
              <w:noProof/>
              <w:kern w:val="2"/>
              <w:sz w:val="24"/>
              <w:szCs w:val="24"/>
              <w14:ligatures w14:val="standardContextual"/>
            </w:rPr>
          </w:pPr>
          <w:hyperlink w:anchor="_Toc175742285" w:history="1">
            <w:r w:rsidRPr="00570643">
              <w:rPr>
                <w:rStyle w:val="Hyperlink"/>
                <w:noProof/>
              </w:rPr>
              <w:t>3.5.3 Dementia-specific quality of life instrument items by EQ-5D dimension</w:t>
            </w:r>
            <w:r>
              <w:rPr>
                <w:noProof/>
                <w:webHidden/>
              </w:rPr>
              <w:tab/>
            </w:r>
            <w:r>
              <w:rPr>
                <w:noProof/>
                <w:webHidden/>
              </w:rPr>
              <w:fldChar w:fldCharType="begin"/>
            </w:r>
            <w:r>
              <w:rPr>
                <w:noProof/>
                <w:webHidden/>
              </w:rPr>
              <w:instrText xml:space="preserve"> PAGEREF _Toc175742285 \h </w:instrText>
            </w:r>
            <w:r>
              <w:rPr>
                <w:noProof/>
                <w:webHidden/>
              </w:rPr>
            </w:r>
            <w:r>
              <w:rPr>
                <w:noProof/>
                <w:webHidden/>
              </w:rPr>
              <w:fldChar w:fldCharType="separate"/>
            </w:r>
            <w:r>
              <w:rPr>
                <w:noProof/>
                <w:webHidden/>
              </w:rPr>
              <w:t>33</w:t>
            </w:r>
            <w:r>
              <w:rPr>
                <w:noProof/>
                <w:webHidden/>
              </w:rPr>
              <w:fldChar w:fldCharType="end"/>
            </w:r>
          </w:hyperlink>
        </w:p>
        <w:p w14:paraId="40DC27D1" w14:textId="1CC7A838" w:rsidR="007C3BCE" w:rsidRDefault="007C3BCE">
          <w:pPr>
            <w:pStyle w:val="TOC3"/>
            <w:tabs>
              <w:tab w:val="right" w:leader="dot" w:pos="9016"/>
            </w:tabs>
            <w:rPr>
              <w:rFonts w:eastAsiaTheme="minorEastAsia" w:cstheme="minorBidi"/>
              <w:noProof/>
              <w:kern w:val="2"/>
              <w:sz w:val="24"/>
              <w:szCs w:val="24"/>
              <w14:ligatures w14:val="standardContextual"/>
            </w:rPr>
          </w:pPr>
          <w:hyperlink w:anchor="_Toc175742286" w:history="1">
            <w:r w:rsidRPr="00570643">
              <w:rPr>
                <w:rStyle w:val="Hyperlink"/>
                <w:noProof/>
              </w:rPr>
              <w:t>3.5.4 Content validity versus feasibility of health-related quality of life measures in dementia populations</w:t>
            </w:r>
            <w:r>
              <w:rPr>
                <w:noProof/>
                <w:webHidden/>
              </w:rPr>
              <w:tab/>
            </w:r>
            <w:r>
              <w:rPr>
                <w:noProof/>
                <w:webHidden/>
              </w:rPr>
              <w:fldChar w:fldCharType="begin"/>
            </w:r>
            <w:r>
              <w:rPr>
                <w:noProof/>
                <w:webHidden/>
              </w:rPr>
              <w:instrText xml:space="preserve"> PAGEREF _Toc175742286 \h </w:instrText>
            </w:r>
            <w:r>
              <w:rPr>
                <w:noProof/>
                <w:webHidden/>
              </w:rPr>
            </w:r>
            <w:r>
              <w:rPr>
                <w:noProof/>
                <w:webHidden/>
              </w:rPr>
              <w:fldChar w:fldCharType="separate"/>
            </w:r>
            <w:r>
              <w:rPr>
                <w:noProof/>
                <w:webHidden/>
              </w:rPr>
              <w:t>36</w:t>
            </w:r>
            <w:r>
              <w:rPr>
                <w:noProof/>
                <w:webHidden/>
              </w:rPr>
              <w:fldChar w:fldCharType="end"/>
            </w:r>
          </w:hyperlink>
        </w:p>
        <w:p w14:paraId="58F06081" w14:textId="63627EF6" w:rsidR="007C3BCE" w:rsidRDefault="007C3BCE">
          <w:pPr>
            <w:pStyle w:val="TOC2"/>
            <w:tabs>
              <w:tab w:val="right" w:leader="dot" w:pos="9016"/>
            </w:tabs>
            <w:rPr>
              <w:rFonts w:eastAsiaTheme="minorEastAsia" w:cstheme="minorBidi"/>
              <w:b w:val="0"/>
              <w:bCs w:val="0"/>
              <w:noProof/>
              <w:kern w:val="2"/>
              <w:sz w:val="24"/>
              <w:szCs w:val="24"/>
              <w14:ligatures w14:val="standardContextual"/>
            </w:rPr>
          </w:pPr>
          <w:hyperlink w:anchor="_Toc175742287" w:history="1">
            <w:r w:rsidRPr="00570643">
              <w:rPr>
                <w:rStyle w:val="Hyperlink"/>
                <w:noProof/>
              </w:rPr>
              <w:t>3.6 Dementia symptoms measures</w:t>
            </w:r>
            <w:r>
              <w:rPr>
                <w:noProof/>
                <w:webHidden/>
              </w:rPr>
              <w:tab/>
            </w:r>
            <w:r>
              <w:rPr>
                <w:noProof/>
                <w:webHidden/>
              </w:rPr>
              <w:fldChar w:fldCharType="begin"/>
            </w:r>
            <w:r>
              <w:rPr>
                <w:noProof/>
                <w:webHidden/>
              </w:rPr>
              <w:instrText xml:space="preserve"> PAGEREF _Toc175742287 \h </w:instrText>
            </w:r>
            <w:r>
              <w:rPr>
                <w:noProof/>
                <w:webHidden/>
              </w:rPr>
            </w:r>
            <w:r>
              <w:rPr>
                <w:noProof/>
                <w:webHidden/>
              </w:rPr>
              <w:fldChar w:fldCharType="separate"/>
            </w:r>
            <w:r>
              <w:rPr>
                <w:noProof/>
                <w:webHidden/>
              </w:rPr>
              <w:t>36</w:t>
            </w:r>
            <w:r>
              <w:rPr>
                <w:noProof/>
                <w:webHidden/>
              </w:rPr>
              <w:fldChar w:fldCharType="end"/>
            </w:r>
          </w:hyperlink>
        </w:p>
        <w:p w14:paraId="18B31E11" w14:textId="19D5503E" w:rsidR="007C3BCE" w:rsidRDefault="007C3BCE">
          <w:pPr>
            <w:pStyle w:val="TOC3"/>
            <w:tabs>
              <w:tab w:val="right" w:leader="dot" w:pos="9016"/>
            </w:tabs>
            <w:rPr>
              <w:rFonts w:eastAsiaTheme="minorEastAsia" w:cstheme="minorBidi"/>
              <w:noProof/>
              <w:kern w:val="2"/>
              <w:sz w:val="24"/>
              <w:szCs w:val="24"/>
              <w14:ligatures w14:val="standardContextual"/>
            </w:rPr>
          </w:pPr>
          <w:hyperlink w:anchor="_Toc175742288" w:history="1">
            <w:r w:rsidRPr="00570643">
              <w:rPr>
                <w:rStyle w:val="Hyperlink"/>
                <w:noProof/>
              </w:rPr>
              <w:t>3.6.1 Cognition</w:t>
            </w:r>
            <w:r>
              <w:rPr>
                <w:noProof/>
                <w:webHidden/>
              </w:rPr>
              <w:tab/>
            </w:r>
            <w:r>
              <w:rPr>
                <w:noProof/>
                <w:webHidden/>
              </w:rPr>
              <w:fldChar w:fldCharType="begin"/>
            </w:r>
            <w:r>
              <w:rPr>
                <w:noProof/>
                <w:webHidden/>
              </w:rPr>
              <w:instrText xml:space="preserve"> PAGEREF _Toc175742288 \h </w:instrText>
            </w:r>
            <w:r>
              <w:rPr>
                <w:noProof/>
                <w:webHidden/>
              </w:rPr>
            </w:r>
            <w:r>
              <w:rPr>
                <w:noProof/>
                <w:webHidden/>
              </w:rPr>
              <w:fldChar w:fldCharType="separate"/>
            </w:r>
            <w:r>
              <w:rPr>
                <w:noProof/>
                <w:webHidden/>
              </w:rPr>
              <w:t>37</w:t>
            </w:r>
            <w:r>
              <w:rPr>
                <w:noProof/>
                <w:webHidden/>
              </w:rPr>
              <w:fldChar w:fldCharType="end"/>
            </w:r>
          </w:hyperlink>
        </w:p>
        <w:p w14:paraId="2A95268D" w14:textId="65AF1097" w:rsidR="007C3BCE" w:rsidRDefault="007C3BCE">
          <w:pPr>
            <w:pStyle w:val="TOC3"/>
            <w:tabs>
              <w:tab w:val="right" w:leader="dot" w:pos="9016"/>
            </w:tabs>
            <w:rPr>
              <w:rFonts w:eastAsiaTheme="minorEastAsia" w:cstheme="minorBidi"/>
              <w:noProof/>
              <w:kern w:val="2"/>
              <w:sz w:val="24"/>
              <w:szCs w:val="24"/>
              <w14:ligatures w14:val="standardContextual"/>
            </w:rPr>
          </w:pPr>
          <w:hyperlink w:anchor="_Toc175742289" w:history="1">
            <w:r w:rsidRPr="00570643">
              <w:rPr>
                <w:rStyle w:val="Hyperlink"/>
                <w:noProof/>
              </w:rPr>
              <w:t>3.6.2 Function</w:t>
            </w:r>
            <w:r>
              <w:rPr>
                <w:noProof/>
                <w:webHidden/>
              </w:rPr>
              <w:tab/>
            </w:r>
            <w:r>
              <w:rPr>
                <w:noProof/>
                <w:webHidden/>
              </w:rPr>
              <w:fldChar w:fldCharType="begin"/>
            </w:r>
            <w:r>
              <w:rPr>
                <w:noProof/>
                <w:webHidden/>
              </w:rPr>
              <w:instrText xml:space="preserve"> PAGEREF _Toc175742289 \h </w:instrText>
            </w:r>
            <w:r>
              <w:rPr>
                <w:noProof/>
                <w:webHidden/>
              </w:rPr>
            </w:r>
            <w:r>
              <w:rPr>
                <w:noProof/>
                <w:webHidden/>
              </w:rPr>
              <w:fldChar w:fldCharType="separate"/>
            </w:r>
            <w:r>
              <w:rPr>
                <w:noProof/>
                <w:webHidden/>
              </w:rPr>
              <w:t>38</w:t>
            </w:r>
            <w:r>
              <w:rPr>
                <w:noProof/>
                <w:webHidden/>
              </w:rPr>
              <w:fldChar w:fldCharType="end"/>
            </w:r>
          </w:hyperlink>
        </w:p>
        <w:p w14:paraId="36F4C7CA" w14:textId="2BDCC41D" w:rsidR="007C3BCE" w:rsidRDefault="007C3BCE">
          <w:pPr>
            <w:pStyle w:val="TOC3"/>
            <w:tabs>
              <w:tab w:val="right" w:leader="dot" w:pos="9016"/>
            </w:tabs>
            <w:rPr>
              <w:rFonts w:eastAsiaTheme="minorEastAsia" w:cstheme="minorBidi"/>
              <w:noProof/>
              <w:kern w:val="2"/>
              <w:sz w:val="24"/>
              <w:szCs w:val="24"/>
              <w14:ligatures w14:val="standardContextual"/>
            </w:rPr>
          </w:pPr>
          <w:hyperlink w:anchor="_Toc175742290" w:history="1">
            <w:r w:rsidRPr="00570643">
              <w:rPr>
                <w:rStyle w:val="Hyperlink"/>
                <w:noProof/>
              </w:rPr>
              <w:t>3.6.3 Behaviour/mood</w:t>
            </w:r>
            <w:r>
              <w:rPr>
                <w:noProof/>
                <w:webHidden/>
              </w:rPr>
              <w:tab/>
            </w:r>
            <w:r>
              <w:rPr>
                <w:noProof/>
                <w:webHidden/>
              </w:rPr>
              <w:fldChar w:fldCharType="begin"/>
            </w:r>
            <w:r>
              <w:rPr>
                <w:noProof/>
                <w:webHidden/>
              </w:rPr>
              <w:instrText xml:space="preserve"> PAGEREF _Toc175742290 \h </w:instrText>
            </w:r>
            <w:r>
              <w:rPr>
                <w:noProof/>
                <w:webHidden/>
              </w:rPr>
            </w:r>
            <w:r>
              <w:rPr>
                <w:noProof/>
                <w:webHidden/>
              </w:rPr>
              <w:fldChar w:fldCharType="separate"/>
            </w:r>
            <w:r>
              <w:rPr>
                <w:noProof/>
                <w:webHidden/>
              </w:rPr>
              <w:t>40</w:t>
            </w:r>
            <w:r>
              <w:rPr>
                <w:noProof/>
                <w:webHidden/>
              </w:rPr>
              <w:fldChar w:fldCharType="end"/>
            </w:r>
          </w:hyperlink>
        </w:p>
        <w:p w14:paraId="67A15EAE" w14:textId="12CF1E8C" w:rsidR="007C3BCE" w:rsidRDefault="007C3BCE">
          <w:pPr>
            <w:pStyle w:val="TOC2"/>
            <w:tabs>
              <w:tab w:val="right" w:leader="dot" w:pos="9016"/>
            </w:tabs>
            <w:rPr>
              <w:rFonts w:eastAsiaTheme="minorEastAsia" w:cstheme="minorBidi"/>
              <w:b w:val="0"/>
              <w:bCs w:val="0"/>
              <w:noProof/>
              <w:kern w:val="2"/>
              <w:sz w:val="24"/>
              <w:szCs w:val="24"/>
              <w14:ligatures w14:val="standardContextual"/>
            </w:rPr>
          </w:pPr>
          <w:hyperlink w:anchor="_Toc175742291" w:history="1">
            <w:r w:rsidRPr="00570643">
              <w:rPr>
                <w:rStyle w:val="Hyperlink"/>
                <w:noProof/>
              </w:rPr>
              <w:t>3.7 Convergent validity of EQ-5D with core outcomes in dementia: a systematic review</w:t>
            </w:r>
            <w:r>
              <w:rPr>
                <w:noProof/>
                <w:webHidden/>
              </w:rPr>
              <w:tab/>
            </w:r>
            <w:r>
              <w:rPr>
                <w:noProof/>
                <w:webHidden/>
              </w:rPr>
              <w:fldChar w:fldCharType="begin"/>
            </w:r>
            <w:r>
              <w:rPr>
                <w:noProof/>
                <w:webHidden/>
              </w:rPr>
              <w:instrText xml:space="preserve"> PAGEREF _Toc175742291 \h </w:instrText>
            </w:r>
            <w:r>
              <w:rPr>
                <w:noProof/>
                <w:webHidden/>
              </w:rPr>
            </w:r>
            <w:r>
              <w:rPr>
                <w:noProof/>
                <w:webHidden/>
              </w:rPr>
              <w:fldChar w:fldCharType="separate"/>
            </w:r>
            <w:r>
              <w:rPr>
                <w:noProof/>
                <w:webHidden/>
              </w:rPr>
              <w:t>42</w:t>
            </w:r>
            <w:r>
              <w:rPr>
                <w:noProof/>
                <w:webHidden/>
              </w:rPr>
              <w:fldChar w:fldCharType="end"/>
            </w:r>
          </w:hyperlink>
        </w:p>
        <w:p w14:paraId="34BA324C" w14:textId="35F1BED8" w:rsidR="007C3BCE" w:rsidRDefault="007C3BCE">
          <w:pPr>
            <w:pStyle w:val="TOC3"/>
            <w:tabs>
              <w:tab w:val="right" w:leader="dot" w:pos="9016"/>
            </w:tabs>
            <w:rPr>
              <w:rFonts w:eastAsiaTheme="minorEastAsia" w:cstheme="minorBidi"/>
              <w:noProof/>
              <w:kern w:val="2"/>
              <w:sz w:val="24"/>
              <w:szCs w:val="24"/>
              <w14:ligatures w14:val="standardContextual"/>
            </w:rPr>
          </w:pPr>
          <w:hyperlink w:anchor="_Toc175742292" w:history="1">
            <w:r w:rsidRPr="00570643">
              <w:rPr>
                <w:rStyle w:val="Hyperlink"/>
                <w:noProof/>
              </w:rPr>
              <w:t>3.7.1 Introduction</w:t>
            </w:r>
            <w:r>
              <w:rPr>
                <w:noProof/>
                <w:webHidden/>
              </w:rPr>
              <w:tab/>
            </w:r>
            <w:r>
              <w:rPr>
                <w:noProof/>
                <w:webHidden/>
              </w:rPr>
              <w:fldChar w:fldCharType="begin"/>
            </w:r>
            <w:r>
              <w:rPr>
                <w:noProof/>
                <w:webHidden/>
              </w:rPr>
              <w:instrText xml:space="preserve"> PAGEREF _Toc175742292 \h </w:instrText>
            </w:r>
            <w:r>
              <w:rPr>
                <w:noProof/>
                <w:webHidden/>
              </w:rPr>
            </w:r>
            <w:r>
              <w:rPr>
                <w:noProof/>
                <w:webHidden/>
              </w:rPr>
              <w:fldChar w:fldCharType="separate"/>
            </w:r>
            <w:r>
              <w:rPr>
                <w:noProof/>
                <w:webHidden/>
              </w:rPr>
              <w:t>42</w:t>
            </w:r>
            <w:r>
              <w:rPr>
                <w:noProof/>
                <w:webHidden/>
              </w:rPr>
              <w:fldChar w:fldCharType="end"/>
            </w:r>
          </w:hyperlink>
        </w:p>
        <w:p w14:paraId="66285577" w14:textId="05494D0C" w:rsidR="007C3BCE" w:rsidRDefault="007C3BCE">
          <w:pPr>
            <w:pStyle w:val="TOC3"/>
            <w:tabs>
              <w:tab w:val="right" w:leader="dot" w:pos="9016"/>
            </w:tabs>
            <w:rPr>
              <w:rFonts w:eastAsiaTheme="minorEastAsia" w:cstheme="minorBidi"/>
              <w:noProof/>
              <w:kern w:val="2"/>
              <w:sz w:val="24"/>
              <w:szCs w:val="24"/>
              <w14:ligatures w14:val="standardContextual"/>
            </w:rPr>
          </w:pPr>
          <w:hyperlink w:anchor="_Toc175742293" w:history="1">
            <w:r w:rsidRPr="00570643">
              <w:rPr>
                <w:rStyle w:val="Hyperlink"/>
                <w:noProof/>
              </w:rPr>
              <w:t>3.7.2 Systematic review aim</w:t>
            </w:r>
            <w:r>
              <w:rPr>
                <w:noProof/>
                <w:webHidden/>
              </w:rPr>
              <w:tab/>
            </w:r>
            <w:r>
              <w:rPr>
                <w:noProof/>
                <w:webHidden/>
              </w:rPr>
              <w:fldChar w:fldCharType="begin"/>
            </w:r>
            <w:r>
              <w:rPr>
                <w:noProof/>
                <w:webHidden/>
              </w:rPr>
              <w:instrText xml:space="preserve"> PAGEREF _Toc175742293 \h </w:instrText>
            </w:r>
            <w:r>
              <w:rPr>
                <w:noProof/>
                <w:webHidden/>
              </w:rPr>
            </w:r>
            <w:r>
              <w:rPr>
                <w:noProof/>
                <w:webHidden/>
              </w:rPr>
              <w:fldChar w:fldCharType="separate"/>
            </w:r>
            <w:r>
              <w:rPr>
                <w:noProof/>
                <w:webHidden/>
              </w:rPr>
              <w:t>44</w:t>
            </w:r>
            <w:r>
              <w:rPr>
                <w:noProof/>
                <w:webHidden/>
              </w:rPr>
              <w:fldChar w:fldCharType="end"/>
            </w:r>
          </w:hyperlink>
        </w:p>
        <w:p w14:paraId="3463977D" w14:textId="5D9BD390" w:rsidR="007C3BCE" w:rsidRDefault="007C3BCE">
          <w:pPr>
            <w:pStyle w:val="TOC3"/>
            <w:tabs>
              <w:tab w:val="right" w:leader="dot" w:pos="9016"/>
            </w:tabs>
            <w:rPr>
              <w:rFonts w:eastAsiaTheme="minorEastAsia" w:cstheme="minorBidi"/>
              <w:noProof/>
              <w:kern w:val="2"/>
              <w:sz w:val="24"/>
              <w:szCs w:val="24"/>
              <w14:ligatures w14:val="standardContextual"/>
            </w:rPr>
          </w:pPr>
          <w:hyperlink w:anchor="_Toc175742294" w:history="1">
            <w:r w:rsidRPr="00570643">
              <w:rPr>
                <w:rStyle w:val="Hyperlink"/>
                <w:noProof/>
              </w:rPr>
              <w:t>3.7.3 Methods</w:t>
            </w:r>
            <w:r>
              <w:rPr>
                <w:noProof/>
                <w:webHidden/>
              </w:rPr>
              <w:tab/>
            </w:r>
            <w:r>
              <w:rPr>
                <w:noProof/>
                <w:webHidden/>
              </w:rPr>
              <w:fldChar w:fldCharType="begin"/>
            </w:r>
            <w:r>
              <w:rPr>
                <w:noProof/>
                <w:webHidden/>
              </w:rPr>
              <w:instrText xml:space="preserve"> PAGEREF _Toc175742294 \h </w:instrText>
            </w:r>
            <w:r>
              <w:rPr>
                <w:noProof/>
                <w:webHidden/>
              </w:rPr>
            </w:r>
            <w:r>
              <w:rPr>
                <w:noProof/>
                <w:webHidden/>
              </w:rPr>
              <w:fldChar w:fldCharType="separate"/>
            </w:r>
            <w:r>
              <w:rPr>
                <w:noProof/>
                <w:webHidden/>
              </w:rPr>
              <w:t>44</w:t>
            </w:r>
            <w:r>
              <w:rPr>
                <w:noProof/>
                <w:webHidden/>
              </w:rPr>
              <w:fldChar w:fldCharType="end"/>
            </w:r>
          </w:hyperlink>
        </w:p>
        <w:p w14:paraId="6BB76768" w14:textId="10B351BC" w:rsidR="007C3BCE" w:rsidRDefault="007C3BCE">
          <w:pPr>
            <w:pStyle w:val="TOC3"/>
            <w:tabs>
              <w:tab w:val="right" w:leader="dot" w:pos="9016"/>
            </w:tabs>
            <w:rPr>
              <w:rFonts w:eastAsiaTheme="minorEastAsia" w:cstheme="minorBidi"/>
              <w:noProof/>
              <w:kern w:val="2"/>
              <w:sz w:val="24"/>
              <w:szCs w:val="24"/>
              <w14:ligatures w14:val="standardContextual"/>
            </w:rPr>
          </w:pPr>
          <w:hyperlink w:anchor="_Toc175742295" w:history="1">
            <w:r w:rsidRPr="00570643">
              <w:rPr>
                <w:rStyle w:val="Hyperlink"/>
                <w:noProof/>
              </w:rPr>
              <w:t>3.7.4 Results</w:t>
            </w:r>
            <w:r>
              <w:rPr>
                <w:noProof/>
                <w:webHidden/>
              </w:rPr>
              <w:tab/>
            </w:r>
            <w:r>
              <w:rPr>
                <w:noProof/>
                <w:webHidden/>
              </w:rPr>
              <w:fldChar w:fldCharType="begin"/>
            </w:r>
            <w:r>
              <w:rPr>
                <w:noProof/>
                <w:webHidden/>
              </w:rPr>
              <w:instrText xml:space="preserve"> PAGEREF _Toc175742295 \h </w:instrText>
            </w:r>
            <w:r>
              <w:rPr>
                <w:noProof/>
                <w:webHidden/>
              </w:rPr>
            </w:r>
            <w:r>
              <w:rPr>
                <w:noProof/>
                <w:webHidden/>
              </w:rPr>
              <w:fldChar w:fldCharType="separate"/>
            </w:r>
            <w:r>
              <w:rPr>
                <w:noProof/>
                <w:webHidden/>
              </w:rPr>
              <w:t>45</w:t>
            </w:r>
            <w:r>
              <w:rPr>
                <w:noProof/>
                <w:webHidden/>
              </w:rPr>
              <w:fldChar w:fldCharType="end"/>
            </w:r>
          </w:hyperlink>
        </w:p>
        <w:p w14:paraId="7606E82E" w14:textId="7DA6BC77" w:rsidR="007C3BCE" w:rsidRDefault="007C3BCE">
          <w:pPr>
            <w:pStyle w:val="TOC3"/>
            <w:tabs>
              <w:tab w:val="right" w:leader="dot" w:pos="9016"/>
            </w:tabs>
            <w:rPr>
              <w:rFonts w:eastAsiaTheme="minorEastAsia" w:cstheme="minorBidi"/>
              <w:noProof/>
              <w:kern w:val="2"/>
              <w:sz w:val="24"/>
              <w:szCs w:val="24"/>
              <w14:ligatures w14:val="standardContextual"/>
            </w:rPr>
          </w:pPr>
          <w:hyperlink w:anchor="_Toc175742296" w:history="1">
            <w:r w:rsidRPr="00570643">
              <w:rPr>
                <w:rStyle w:val="Hyperlink"/>
                <w:noProof/>
              </w:rPr>
              <w:t>3.7.5 Discussion</w:t>
            </w:r>
            <w:r>
              <w:rPr>
                <w:noProof/>
                <w:webHidden/>
              </w:rPr>
              <w:tab/>
            </w:r>
            <w:r>
              <w:rPr>
                <w:noProof/>
                <w:webHidden/>
              </w:rPr>
              <w:fldChar w:fldCharType="begin"/>
            </w:r>
            <w:r>
              <w:rPr>
                <w:noProof/>
                <w:webHidden/>
              </w:rPr>
              <w:instrText xml:space="preserve"> PAGEREF _Toc175742296 \h </w:instrText>
            </w:r>
            <w:r>
              <w:rPr>
                <w:noProof/>
                <w:webHidden/>
              </w:rPr>
            </w:r>
            <w:r>
              <w:rPr>
                <w:noProof/>
                <w:webHidden/>
              </w:rPr>
              <w:fldChar w:fldCharType="separate"/>
            </w:r>
            <w:r>
              <w:rPr>
                <w:noProof/>
                <w:webHidden/>
              </w:rPr>
              <w:t>63</w:t>
            </w:r>
            <w:r>
              <w:rPr>
                <w:noProof/>
                <w:webHidden/>
              </w:rPr>
              <w:fldChar w:fldCharType="end"/>
            </w:r>
          </w:hyperlink>
        </w:p>
        <w:p w14:paraId="02062008" w14:textId="4B9CFF5C" w:rsidR="007C3BCE" w:rsidRDefault="007C3BCE">
          <w:pPr>
            <w:pStyle w:val="TOC3"/>
            <w:tabs>
              <w:tab w:val="right" w:leader="dot" w:pos="9016"/>
            </w:tabs>
            <w:rPr>
              <w:rFonts w:eastAsiaTheme="minorEastAsia" w:cstheme="minorBidi"/>
              <w:noProof/>
              <w:kern w:val="2"/>
              <w:sz w:val="24"/>
              <w:szCs w:val="24"/>
              <w14:ligatures w14:val="standardContextual"/>
            </w:rPr>
          </w:pPr>
          <w:hyperlink w:anchor="_Toc175742297" w:history="1">
            <w:r w:rsidRPr="00570643">
              <w:rPr>
                <w:rStyle w:val="Hyperlink"/>
                <w:noProof/>
              </w:rPr>
              <w:t>3.7.6 Conclusion</w:t>
            </w:r>
            <w:r>
              <w:rPr>
                <w:noProof/>
                <w:webHidden/>
              </w:rPr>
              <w:tab/>
            </w:r>
            <w:r>
              <w:rPr>
                <w:noProof/>
                <w:webHidden/>
              </w:rPr>
              <w:fldChar w:fldCharType="begin"/>
            </w:r>
            <w:r>
              <w:rPr>
                <w:noProof/>
                <w:webHidden/>
              </w:rPr>
              <w:instrText xml:space="preserve"> PAGEREF _Toc175742297 \h </w:instrText>
            </w:r>
            <w:r>
              <w:rPr>
                <w:noProof/>
                <w:webHidden/>
              </w:rPr>
            </w:r>
            <w:r>
              <w:rPr>
                <w:noProof/>
                <w:webHidden/>
              </w:rPr>
              <w:fldChar w:fldCharType="separate"/>
            </w:r>
            <w:r>
              <w:rPr>
                <w:noProof/>
                <w:webHidden/>
              </w:rPr>
              <w:t>66</w:t>
            </w:r>
            <w:r>
              <w:rPr>
                <w:noProof/>
                <w:webHidden/>
              </w:rPr>
              <w:fldChar w:fldCharType="end"/>
            </w:r>
          </w:hyperlink>
        </w:p>
        <w:p w14:paraId="40077500" w14:textId="16DFACF2" w:rsidR="007C3BCE" w:rsidRDefault="007C3BCE">
          <w:pPr>
            <w:pStyle w:val="TOC1"/>
            <w:tabs>
              <w:tab w:val="right" w:leader="dot" w:pos="9016"/>
            </w:tabs>
            <w:rPr>
              <w:rFonts w:eastAsiaTheme="minorEastAsia" w:cstheme="minorBidi"/>
              <w:b w:val="0"/>
              <w:bCs w:val="0"/>
              <w:i w:val="0"/>
              <w:iCs w:val="0"/>
              <w:noProof/>
              <w:kern w:val="2"/>
              <w14:ligatures w14:val="standardContextual"/>
            </w:rPr>
          </w:pPr>
          <w:hyperlink w:anchor="_Toc175742298" w:history="1">
            <w:r w:rsidRPr="00570643">
              <w:rPr>
                <w:rStyle w:val="Hyperlink"/>
                <w:noProof/>
              </w:rPr>
              <w:t>4 Descriptive statistics of dementia trial data</w:t>
            </w:r>
            <w:r>
              <w:rPr>
                <w:noProof/>
                <w:webHidden/>
              </w:rPr>
              <w:tab/>
            </w:r>
            <w:r>
              <w:rPr>
                <w:noProof/>
                <w:webHidden/>
              </w:rPr>
              <w:fldChar w:fldCharType="begin"/>
            </w:r>
            <w:r>
              <w:rPr>
                <w:noProof/>
                <w:webHidden/>
              </w:rPr>
              <w:instrText xml:space="preserve"> PAGEREF _Toc175742298 \h </w:instrText>
            </w:r>
            <w:r>
              <w:rPr>
                <w:noProof/>
                <w:webHidden/>
              </w:rPr>
            </w:r>
            <w:r>
              <w:rPr>
                <w:noProof/>
                <w:webHidden/>
              </w:rPr>
              <w:fldChar w:fldCharType="separate"/>
            </w:r>
            <w:r>
              <w:rPr>
                <w:noProof/>
                <w:webHidden/>
              </w:rPr>
              <w:t>67</w:t>
            </w:r>
            <w:r>
              <w:rPr>
                <w:noProof/>
                <w:webHidden/>
              </w:rPr>
              <w:fldChar w:fldCharType="end"/>
            </w:r>
          </w:hyperlink>
        </w:p>
        <w:p w14:paraId="79204D47" w14:textId="48854BDB" w:rsidR="007C3BCE" w:rsidRDefault="007C3BCE">
          <w:pPr>
            <w:pStyle w:val="TOC2"/>
            <w:tabs>
              <w:tab w:val="right" w:leader="dot" w:pos="9016"/>
            </w:tabs>
            <w:rPr>
              <w:rFonts w:eastAsiaTheme="minorEastAsia" w:cstheme="minorBidi"/>
              <w:b w:val="0"/>
              <w:bCs w:val="0"/>
              <w:noProof/>
              <w:kern w:val="2"/>
              <w:sz w:val="24"/>
              <w:szCs w:val="24"/>
              <w14:ligatures w14:val="standardContextual"/>
            </w:rPr>
          </w:pPr>
          <w:hyperlink w:anchor="_Toc175742299" w:history="1">
            <w:r w:rsidRPr="00570643">
              <w:rPr>
                <w:rStyle w:val="Hyperlink"/>
                <w:noProof/>
              </w:rPr>
              <w:t>4.1 Introduction</w:t>
            </w:r>
            <w:r>
              <w:rPr>
                <w:noProof/>
                <w:webHidden/>
              </w:rPr>
              <w:tab/>
            </w:r>
            <w:r>
              <w:rPr>
                <w:noProof/>
                <w:webHidden/>
              </w:rPr>
              <w:fldChar w:fldCharType="begin"/>
            </w:r>
            <w:r>
              <w:rPr>
                <w:noProof/>
                <w:webHidden/>
              </w:rPr>
              <w:instrText xml:space="preserve"> PAGEREF _Toc175742299 \h </w:instrText>
            </w:r>
            <w:r>
              <w:rPr>
                <w:noProof/>
                <w:webHidden/>
              </w:rPr>
            </w:r>
            <w:r>
              <w:rPr>
                <w:noProof/>
                <w:webHidden/>
              </w:rPr>
              <w:fldChar w:fldCharType="separate"/>
            </w:r>
            <w:r>
              <w:rPr>
                <w:noProof/>
                <w:webHidden/>
              </w:rPr>
              <w:t>67</w:t>
            </w:r>
            <w:r>
              <w:rPr>
                <w:noProof/>
                <w:webHidden/>
              </w:rPr>
              <w:fldChar w:fldCharType="end"/>
            </w:r>
          </w:hyperlink>
        </w:p>
        <w:p w14:paraId="67418A30" w14:textId="38F52743" w:rsidR="007C3BCE" w:rsidRDefault="007C3BCE">
          <w:pPr>
            <w:pStyle w:val="TOC2"/>
            <w:tabs>
              <w:tab w:val="right" w:leader="dot" w:pos="9016"/>
            </w:tabs>
            <w:rPr>
              <w:rFonts w:eastAsiaTheme="minorEastAsia" w:cstheme="minorBidi"/>
              <w:b w:val="0"/>
              <w:bCs w:val="0"/>
              <w:noProof/>
              <w:kern w:val="2"/>
              <w:sz w:val="24"/>
              <w:szCs w:val="24"/>
              <w14:ligatures w14:val="standardContextual"/>
            </w:rPr>
          </w:pPr>
          <w:hyperlink w:anchor="_Toc175742300" w:history="1">
            <w:r w:rsidRPr="00570643">
              <w:rPr>
                <w:rStyle w:val="Hyperlink"/>
                <w:noProof/>
              </w:rPr>
              <w:t>4.2 Aim and objectives</w:t>
            </w:r>
            <w:r>
              <w:rPr>
                <w:noProof/>
                <w:webHidden/>
              </w:rPr>
              <w:tab/>
            </w:r>
            <w:r>
              <w:rPr>
                <w:noProof/>
                <w:webHidden/>
              </w:rPr>
              <w:fldChar w:fldCharType="begin"/>
            </w:r>
            <w:r>
              <w:rPr>
                <w:noProof/>
                <w:webHidden/>
              </w:rPr>
              <w:instrText xml:space="preserve"> PAGEREF _Toc175742300 \h </w:instrText>
            </w:r>
            <w:r>
              <w:rPr>
                <w:noProof/>
                <w:webHidden/>
              </w:rPr>
            </w:r>
            <w:r>
              <w:rPr>
                <w:noProof/>
                <w:webHidden/>
              </w:rPr>
              <w:fldChar w:fldCharType="separate"/>
            </w:r>
            <w:r>
              <w:rPr>
                <w:noProof/>
                <w:webHidden/>
              </w:rPr>
              <w:t>68</w:t>
            </w:r>
            <w:r>
              <w:rPr>
                <w:noProof/>
                <w:webHidden/>
              </w:rPr>
              <w:fldChar w:fldCharType="end"/>
            </w:r>
          </w:hyperlink>
        </w:p>
        <w:p w14:paraId="585F34C5" w14:textId="1188D46D" w:rsidR="007C3BCE" w:rsidRDefault="007C3BCE">
          <w:pPr>
            <w:pStyle w:val="TOC2"/>
            <w:tabs>
              <w:tab w:val="right" w:leader="dot" w:pos="9016"/>
            </w:tabs>
            <w:rPr>
              <w:rFonts w:eastAsiaTheme="minorEastAsia" w:cstheme="minorBidi"/>
              <w:b w:val="0"/>
              <w:bCs w:val="0"/>
              <w:noProof/>
              <w:kern w:val="2"/>
              <w:sz w:val="24"/>
              <w:szCs w:val="24"/>
              <w14:ligatures w14:val="standardContextual"/>
            </w:rPr>
          </w:pPr>
          <w:hyperlink w:anchor="_Toc175742301" w:history="1">
            <w:r w:rsidRPr="00570643">
              <w:rPr>
                <w:rStyle w:val="Hyperlink"/>
                <w:noProof/>
              </w:rPr>
              <w:t>4.3 Methods</w:t>
            </w:r>
            <w:r>
              <w:rPr>
                <w:noProof/>
                <w:webHidden/>
              </w:rPr>
              <w:tab/>
            </w:r>
            <w:r>
              <w:rPr>
                <w:noProof/>
                <w:webHidden/>
              </w:rPr>
              <w:fldChar w:fldCharType="begin"/>
            </w:r>
            <w:r>
              <w:rPr>
                <w:noProof/>
                <w:webHidden/>
              </w:rPr>
              <w:instrText xml:space="preserve"> PAGEREF _Toc175742301 \h </w:instrText>
            </w:r>
            <w:r>
              <w:rPr>
                <w:noProof/>
                <w:webHidden/>
              </w:rPr>
            </w:r>
            <w:r>
              <w:rPr>
                <w:noProof/>
                <w:webHidden/>
              </w:rPr>
              <w:fldChar w:fldCharType="separate"/>
            </w:r>
            <w:r>
              <w:rPr>
                <w:noProof/>
                <w:webHidden/>
              </w:rPr>
              <w:t>68</w:t>
            </w:r>
            <w:r>
              <w:rPr>
                <w:noProof/>
                <w:webHidden/>
              </w:rPr>
              <w:fldChar w:fldCharType="end"/>
            </w:r>
          </w:hyperlink>
        </w:p>
        <w:p w14:paraId="57784188" w14:textId="34494AF1" w:rsidR="007C3BCE" w:rsidRDefault="007C3BCE">
          <w:pPr>
            <w:pStyle w:val="TOC3"/>
            <w:tabs>
              <w:tab w:val="right" w:leader="dot" w:pos="9016"/>
            </w:tabs>
            <w:rPr>
              <w:rFonts w:eastAsiaTheme="minorEastAsia" w:cstheme="minorBidi"/>
              <w:noProof/>
              <w:kern w:val="2"/>
              <w:sz w:val="24"/>
              <w:szCs w:val="24"/>
              <w14:ligatures w14:val="standardContextual"/>
            </w:rPr>
          </w:pPr>
          <w:hyperlink w:anchor="_Toc175742302" w:history="1">
            <w:r w:rsidRPr="00570643">
              <w:rPr>
                <w:rStyle w:val="Hyperlink"/>
                <w:noProof/>
              </w:rPr>
              <w:t>4.3.1 Statistical analysis</w:t>
            </w:r>
            <w:r>
              <w:rPr>
                <w:noProof/>
                <w:webHidden/>
              </w:rPr>
              <w:tab/>
            </w:r>
            <w:r>
              <w:rPr>
                <w:noProof/>
                <w:webHidden/>
              </w:rPr>
              <w:fldChar w:fldCharType="begin"/>
            </w:r>
            <w:r>
              <w:rPr>
                <w:noProof/>
                <w:webHidden/>
              </w:rPr>
              <w:instrText xml:space="preserve"> PAGEREF _Toc175742302 \h </w:instrText>
            </w:r>
            <w:r>
              <w:rPr>
                <w:noProof/>
                <w:webHidden/>
              </w:rPr>
            </w:r>
            <w:r>
              <w:rPr>
                <w:noProof/>
                <w:webHidden/>
              </w:rPr>
              <w:fldChar w:fldCharType="separate"/>
            </w:r>
            <w:r>
              <w:rPr>
                <w:noProof/>
                <w:webHidden/>
              </w:rPr>
              <w:t>69</w:t>
            </w:r>
            <w:r>
              <w:rPr>
                <w:noProof/>
                <w:webHidden/>
              </w:rPr>
              <w:fldChar w:fldCharType="end"/>
            </w:r>
          </w:hyperlink>
        </w:p>
        <w:p w14:paraId="3B76E1B0" w14:textId="69EAA30A" w:rsidR="007C3BCE" w:rsidRDefault="007C3BCE">
          <w:pPr>
            <w:pStyle w:val="TOC3"/>
            <w:tabs>
              <w:tab w:val="right" w:leader="dot" w:pos="9016"/>
            </w:tabs>
            <w:rPr>
              <w:rFonts w:eastAsiaTheme="minorEastAsia" w:cstheme="minorBidi"/>
              <w:noProof/>
              <w:kern w:val="2"/>
              <w:sz w:val="24"/>
              <w:szCs w:val="24"/>
              <w14:ligatures w14:val="standardContextual"/>
            </w:rPr>
          </w:pPr>
          <w:hyperlink w:anchor="_Toc175742303" w:history="1">
            <w:r w:rsidRPr="00570643">
              <w:rPr>
                <w:rStyle w:val="Hyperlink"/>
                <w:noProof/>
              </w:rPr>
              <w:t>4.3.2 Data</w:t>
            </w:r>
            <w:r>
              <w:rPr>
                <w:noProof/>
                <w:webHidden/>
              </w:rPr>
              <w:tab/>
            </w:r>
            <w:r>
              <w:rPr>
                <w:noProof/>
                <w:webHidden/>
              </w:rPr>
              <w:fldChar w:fldCharType="begin"/>
            </w:r>
            <w:r>
              <w:rPr>
                <w:noProof/>
                <w:webHidden/>
              </w:rPr>
              <w:instrText xml:space="preserve"> PAGEREF _Toc175742303 \h </w:instrText>
            </w:r>
            <w:r>
              <w:rPr>
                <w:noProof/>
                <w:webHidden/>
              </w:rPr>
            </w:r>
            <w:r>
              <w:rPr>
                <w:noProof/>
                <w:webHidden/>
              </w:rPr>
              <w:fldChar w:fldCharType="separate"/>
            </w:r>
            <w:r>
              <w:rPr>
                <w:noProof/>
                <w:webHidden/>
              </w:rPr>
              <w:t>70</w:t>
            </w:r>
            <w:r>
              <w:rPr>
                <w:noProof/>
                <w:webHidden/>
              </w:rPr>
              <w:fldChar w:fldCharType="end"/>
            </w:r>
          </w:hyperlink>
        </w:p>
        <w:p w14:paraId="5ABCEA43" w14:textId="3D17A11F" w:rsidR="007C3BCE" w:rsidRDefault="007C3BCE">
          <w:pPr>
            <w:pStyle w:val="TOC2"/>
            <w:tabs>
              <w:tab w:val="right" w:leader="dot" w:pos="9016"/>
            </w:tabs>
            <w:rPr>
              <w:rFonts w:eastAsiaTheme="minorEastAsia" w:cstheme="minorBidi"/>
              <w:b w:val="0"/>
              <w:bCs w:val="0"/>
              <w:noProof/>
              <w:kern w:val="2"/>
              <w:sz w:val="24"/>
              <w:szCs w:val="24"/>
              <w14:ligatures w14:val="standardContextual"/>
            </w:rPr>
          </w:pPr>
          <w:hyperlink w:anchor="_Toc175742304" w:history="1">
            <w:r w:rsidRPr="00570643">
              <w:rPr>
                <w:rStyle w:val="Hyperlink"/>
                <w:noProof/>
              </w:rPr>
              <w:t>4.4 Results</w:t>
            </w:r>
            <w:r>
              <w:rPr>
                <w:noProof/>
                <w:webHidden/>
              </w:rPr>
              <w:tab/>
            </w:r>
            <w:r>
              <w:rPr>
                <w:noProof/>
                <w:webHidden/>
              </w:rPr>
              <w:fldChar w:fldCharType="begin"/>
            </w:r>
            <w:r>
              <w:rPr>
                <w:noProof/>
                <w:webHidden/>
              </w:rPr>
              <w:instrText xml:space="preserve"> PAGEREF _Toc175742304 \h </w:instrText>
            </w:r>
            <w:r>
              <w:rPr>
                <w:noProof/>
                <w:webHidden/>
              </w:rPr>
            </w:r>
            <w:r>
              <w:rPr>
                <w:noProof/>
                <w:webHidden/>
              </w:rPr>
              <w:fldChar w:fldCharType="separate"/>
            </w:r>
            <w:r>
              <w:rPr>
                <w:noProof/>
                <w:webHidden/>
              </w:rPr>
              <w:t>75</w:t>
            </w:r>
            <w:r>
              <w:rPr>
                <w:noProof/>
                <w:webHidden/>
              </w:rPr>
              <w:fldChar w:fldCharType="end"/>
            </w:r>
          </w:hyperlink>
        </w:p>
        <w:p w14:paraId="1C73F791" w14:textId="6F6F9367" w:rsidR="007C3BCE" w:rsidRDefault="007C3BCE">
          <w:pPr>
            <w:pStyle w:val="TOC3"/>
            <w:tabs>
              <w:tab w:val="right" w:leader="dot" w:pos="9016"/>
            </w:tabs>
            <w:rPr>
              <w:rFonts w:eastAsiaTheme="minorEastAsia" w:cstheme="minorBidi"/>
              <w:noProof/>
              <w:kern w:val="2"/>
              <w:sz w:val="24"/>
              <w:szCs w:val="24"/>
              <w14:ligatures w14:val="standardContextual"/>
            </w:rPr>
          </w:pPr>
          <w:hyperlink w:anchor="_Toc175742305" w:history="1">
            <w:r w:rsidRPr="00570643">
              <w:rPr>
                <w:rStyle w:val="Hyperlink"/>
                <w:noProof/>
              </w:rPr>
              <w:t>4.4.1 Sample characteristics</w:t>
            </w:r>
            <w:r>
              <w:rPr>
                <w:noProof/>
                <w:webHidden/>
              </w:rPr>
              <w:tab/>
            </w:r>
            <w:r>
              <w:rPr>
                <w:noProof/>
                <w:webHidden/>
              </w:rPr>
              <w:fldChar w:fldCharType="begin"/>
            </w:r>
            <w:r>
              <w:rPr>
                <w:noProof/>
                <w:webHidden/>
              </w:rPr>
              <w:instrText xml:space="preserve"> PAGEREF _Toc175742305 \h </w:instrText>
            </w:r>
            <w:r>
              <w:rPr>
                <w:noProof/>
                <w:webHidden/>
              </w:rPr>
            </w:r>
            <w:r>
              <w:rPr>
                <w:noProof/>
                <w:webHidden/>
              </w:rPr>
              <w:fldChar w:fldCharType="separate"/>
            </w:r>
            <w:r>
              <w:rPr>
                <w:noProof/>
                <w:webHidden/>
              </w:rPr>
              <w:t>75</w:t>
            </w:r>
            <w:r>
              <w:rPr>
                <w:noProof/>
                <w:webHidden/>
              </w:rPr>
              <w:fldChar w:fldCharType="end"/>
            </w:r>
          </w:hyperlink>
        </w:p>
        <w:p w14:paraId="27ED2662" w14:textId="09305A4B" w:rsidR="007C3BCE" w:rsidRDefault="007C3BCE">
          <w:pPr>
            <w:pStyle w:val="TOC3"/>
            <w:tabs>
              <w:tab w:val="right" w:leader="dot" w:pos="9016"/>
            </w:tabs>
            <w:rPr>
              <w:rFonts w:eastAsiaTheme="minorEastAsia" w:cstheme="minorBidi"/>
              <w:noProof/>
              <w:kern w:val="2"/>
              <w:sz w:val="24"/>
              <w:szCs w:val="24"/>
              <w14:ligatures w14:val="standardContextual"/>
            </w:rPr>
          </w:pPr>
          <w:hyperlink w:anchor="_Toc175742306" w:history="1">
            <w:r w:rsidRPr="00570643">
              <w:rPr>
                <w:rStyle w:val="Hyperlink"/>
                <w:noProof/>
              </w:rPr>
              <w:t>4.4.2 Missing data analysis</w:t>
            </w:r>
            <w:r>
              <w:rPr>
                <w:noProof/>
                <w:webHidden/>
              </w:rPr>
              <w:tab/>
            </w:r>
            <w:r>
              <w:rPr>
                <w:noProof/>
                <w:webHidden/>
              </w:rPr>
              <w:fldChar w:fldCharType="begin"/>
            </w:r>
            <w:r>
              <w:rPr>
                <w:noProof/>
                <w:webHidden/>
              </w:rPr>
              <w:instrText xml:space="preserve"> PAGEREF _Toc175742306 \h </w:instrText>
            </w:r>
            <w:r>
              <w:rPr>
                <w:noProof/>
                <w:webHidden/>
              </w:rPr>
            </w:r>
            <w:r>
              <w:rPr>
                <w:noProof/>
                <w:webHidden/>
              </w:rPr>
              <w:fldChar w:fldCharType="separate"/>
            </w:r>
            <w:r>
              <w:rPr>
                <w:noProof/>
                <w:webHidden/>
              </w:rPr>
              <w:t>78</w:t>
            </w:r>
            <w:r>
              <w:rPr>
                <w:noProof/>
                <w:webHidden/>
              </w:rPr>
              <w:fldChar w:fldCharType="end"/>
            </w:r>
          </w:hyperlink>
        </w:p>
        <w:p w14:paraId="4FE633A0" w14:textId="11B015FB" w:rsidR="007C3BCE" w:rsidRDefault="007C3BCE">
          <w:pPr>
            <w:pStyle w:val="TOC3"/>
            <w:tabs>
              <w:tab w:val="right" w:leader="dot" w:pos="9016"/>
            </w:tabs>
            <w:rPr>
              <w:rFonts w:eastAsiaTheme="minorEastAsia" w:cstheme="minorBidi"/>
              <w:noProof/>
              <w:kern w:val="2"/>
              <w:sz w:val="24"/>
              <w:szCs w:val="24"/>
              <w14:ligatures w14:val="standardContextual"/>
            </w:rPr>
          </w:pPr>
          <w:hyperlink w:anchor="_Toc175742307" w:history="1">
            <w:r w:rsidRPr="00570643">
              <w:rPr>
                <w:rStyle w:val="Hyperlink"/>
                <w:noProof/>
              </w:rPr>
              <w:t>4.4.3 Inter-rater comparison of EQ-5D dimension reports</w:t>
            </w:r>
            <w:r>
              <w:rPr>
                <w:noProof/>
                <w:webHidden/>
              </w:rPr>
              <w:tab/>
            </w:r>
            <w:r>
              <w:rPr>
                <w:noProof/>
                <w:webHidden/>
              </w:rPr>
              <w:fldChar w:fldCharType="begin"/>
            </w:r>
            <w:r>
              <w:rPr>
                <w:noProof/>
                <w:webHidden/>
              </w:rPr>
              <w:instrText xml:space="preserve"> PAGEREF _Toc175742307 \h </w:instrText>
            </w:r>
            <w:r>
              <w:rPr>
                <w:noProof/>
                <w:webHidden/>
              </w:rPr>
            </w:r>
            <w:r>
              <w:rPr>
                <w:noProof/>
                <w:webHidden/>
              </w:rPr>
              <w:fldChar w:fldCharType="separate"/>
            </w:r>
            <w:r>
              <w:rPr>
                <w:noProof/>
                <w:webHidden/>
              </w:rPr>
              <w:t>81</w:t>
            </w:r>
            <w:r>
              <w:rPr>
                <w:noProof/>
                <w:webHidden/>
              </w:rPr>
              <w:fldChar w:fldCharType="end"/>
            </w:r>
          </w:hyperlink>
        </w:p>
        <w:p w14:paraId="4D57598A" w14:textId="67A31EBB" w:rsidR="007C3BCE" w:rsidRDefault="007C3BCE">
          <w:pPr>
            <w:pStyle w:val="TOC3"/>
            <w:tabs>
              <w:tab w:val="right" w:leader="dot" w:pos="9016"/>
            </w:tabs>
            <w:rPr>
              <w:rFonts w:eastAsiaTheme="minorEastAsia" w:cstheme="minorBidi"/>
              <w:noProof/>
              <w:kern w:val="2"/>
              <w:sz w:val="24"/>
              <w:szCs w:val="24"/>
              <w14:ligatures w14:val="standardContextual"/>
            </w:rPr>
          </w:pPr>
          <w:hyperlink w:anchor="_Toc175742308" w:history="1">
            <w:r w:rsidRPr="00570643">
              <w:rPr>
                <w:rStyle w:val="Hyperlink"/>
                <w:noProof/>
              </w:rPr>
              <w:t>4.4.4 Utility scores</w:t>
            </w:r>
            <w:r>
              <w:rPr>
                <w:noProof/>
                <w:webHidden/>
              </w:rPr>
              <w:tab/>
            </w:r>
            <w:r>
              <w:rPr>
                <w:noProof/>
                <w:webHidden/>
              </w:rPr>
              <w:fldChar w:fldCharType="begin"/>
            </w:r>
            <w:r>
              <w:rPr>
                <w:noProof/>
                <w:webHidden/>
              </w:rPr>
              <w:instrText xml:space="preserve"> PAGEREF _Toc175742308 \h </w:instrText>
            </w:r>
            <w:r>
              <w:rPr>
                <w:noProof/>
                <w:webHidden/>
              </w:rPr>
            </w:r>
            <w:r>
              <w:rPr>
                <w:noProof/>
                <w:webHidden/>
              </w:rPr>
              <w:fldChar w:fldCharType="separate"/>
            </w:r>
            <w:r>
              <w:rPr>
                <w:noProof/>
                <w:webHidden/>
              </w:rPr>
              <w:t>85</w:t>
            </w:r>
            <w:r>
              <w:rPr>
                <w:noProof/>
                <w:webHidden/>
              </w:rPr>
              <w:fldChar w:fldCharType="end"/>
            </w:r>
          </w:hyperlink>
        </w:p>
        <w:p w14:paraId="2B12E9DC" w14:textId="09BDA979" w:rsidR="007C3BCE" w:rsidRDefault="007C3BCE">
          <w:pPr>
            <w:pStyle w:val="TOC3"/>
            <w:tabs>
              <w:tab w:val="right" w:leader="dot" w:pos="9016"/>
            </w:tabs>
            <w:rPr>
              <w:rFonts w:eastAsiaTheme="minorEastAsia" w:cstheme="minorBidi"/>
              <w:noProof/>
              <w:kern w:val="2"/>
              <w:sz w:val="24"/>
              <w:szCs w:val="24"/>
              <w14:ligatures w14:val="standardContextual"/>
            </w:rPr>
          </w:pPr>
          <w:hyperlink w:anchor="_Toc175742309" w:history="1">
            <w:r w:rsidRPr="00570643">
              <w:rPr>
                <w:rStyle w:val="Hyperlink"/>
                <w:noProof/>
              </w:rPr>
              <w:t>4.4.5 Convergent validity analyses</w:t>
            </w:r>
            <w:r>
              <w:rPr>
                <w:noProof/>
                <w:webHidden/>
              </w:rPr>
              <w:tab/>
            </w:r>
            <w:r>
              <w:rPr>
                <w:noProof/>
                <w:webHidden/>
              </w:rPr>
              <w:fldChar w:fldCharType="begin"/>
            </w:r>
            <w:r>
              <w:rPr>
                <w:noProof/>
                <w:webHidden/>
              </w:rPr>
              <w:instrText xml:space="preserve"> PAGEREF _Toc175742309 \h </w:instrText>
            </w:r>
            <w:r>
              <w:rPr>
                <w:noProof/>
                <w:webHidden/>
              </w:rPr>
            </w:r>
            <w:r>
              <w:rPr>
                <w:noProof/>
                <w:webHidden/>
              </w:rPr>
              <w:fldChar w:fldCharType="separate"/>
            </w:r>
            <w:r>
              <w:rPr>
                <w:noProof/>
                <w:webHidden/>
              </w:rPr>
              <w:t>92</w:t>
            </w:r>
            <w:r>
              <w:rPr>
                <w:noProof/>
                <w:webHidden/>
              </w:rPr>
              <w:fldChar w:fldCharType="end"/>
            </w:r>
          </w:hyperlink>
        </w:p>
        <w:p w14:paraId="0FA277E3" w14:textId="633290B4" w:rsidR="007C3BCE" w:rsidRDefault="007C3BCE">
          <w:pPr>
            <w:pStyle w:val="TOC2"/>
            <w:tabs>
              <w:tab w:val="right" w:leader="dot" w:pos="9016"/>
            </w:tabs>
            <w:rPr>
              <w:rFonts w:eastAsiaTheme="minorEastAsia" w:cstheme="minorBidi"/>
              <w:b w:val="0"/>
              <w:bCs w:val="0"/>
              <w:noProof/>
              <w:kern w:val="2"/>
              <w:sz w:val="24"/>
              <w:szCs w:val="24"/>
              <w14:ligatures w14:val="standardContextual"/>
            </w:rPr>
          </w:pPr>
          <w:hyperlink w:anchor="_Toc175742310" w:history="1">
            <w:r w:rsidRPr="00570643">
              <w:rPr>
                <w:rStyle w:val="Hyperlink"/>
                <w:noProof/>
              </w:rPr>
              <w:t>4.5 Discussion</w:t>
            </w:r>
            <w:r>
              <w:rPr>
                <w:noProof/>
                <w:webHidden/>
              </w:rPr>
              <w:tab/>
            </w:r>
            <w:r>
              <w:rPr>
                <w:noProof/>
                <w:webHidden/>
              </w:rPr>
              <w:fldChar w:fldCharType="begin"/>
            </w:r>
            <w:r>
              <w:rPr>
                <w:noProof/>
                <w:webHidden/>
              </w:rPr>
              <w:instrText xml:space="preserve"> PAGEREF _Toc175742310 \h </w:instrText>
            </w:r>
            <w:r>
              <w:rPr>
                <w:noProof/>
                <w:webHidden/>
              </w:rPr>
            </w:r>
            <w:r>
              <w:rPr>
                <w:noProof/>
                <w:webHidden/>
              </w:rPr>
              <w:fldChar w:fldCharType="separate"/>
            </w:r>
            <w:r>
              <w:rPr>
                <w:noProof/>
                <w:webHidden/>
              </w:rPr>
              <w:t>96</w:t>
            </w:r>
            <w:r>
              <w:rPr>
                <w:noProof/>
                <w:webHidden/>
              </w:rPr>
              <w:fldChar w:fldCharType="end"/>
            </w:r>
          </w:hyperlink>
        </w:p>
        <w:p w14:paraId="66DE0692" w14:textId="4440CE83" w:rsidR="007C3BCE" w:rsidRDefault="007C3BCE">
          <w:pPr>
            <w:pStyle w:val="TOC3"/>
            <w:tabs>
              <w:tab w:val="right" w:leader="dot" w:pos="9016"/>
            </w:tabs>
            <w:rPr>
              <w:rFonts w:eastAsiaTheme="minorEastAsia" w:cstheme="minorBidi"/>
              <w:noProof/>
              <w:kern w:val="2"/>
              <w:sz w:val="24"/>
              <w:szCs w:val="24"/>
              <w14:ligatures w14:val="standardContextual"/>
            </w:rPr>
          </w:pPr>
          <w:hyperlink w:anchor="_Toc175742311" w:history="1">
            <w:r w:rsidRPr="00570643">
              <w:rPr>
                <w:rStyle w:val="Hyperlink"/>
                <w:noProof/>
              </w:rPr>
              <w:t>4.5.1 Missing data</w:t>
            </w:r>
            <w:r>
              <w:rPr>
                <w:noProof/>
                <w:webHidden/>
              </w:rPr>
              <w:tab/>
            </w:r>
            <w:r>
              <w:rPr>
                <w:noProof/>
                <w:webHidden/>
              </w:rPr>
              <w:fldChar w:fldCharType="begin"/>
            </w:r>
            <w:r>
              <w:rPr>
                <w:noProof/>
                <w:webHidden/>
              </w:rPr>
              <w:instrText xml:space="preserve"> PAGEREF _Toc175742311 \h </w:instrText>
            </w:r>
            <w:r>
              <w:rPr>
                <w:noProof/>
                <w:webHidden/>
              </w:rPr>
            </w:r>
            <w:r>
              <w:rPr>
                <w:noProof/>
                <w:webHidden/>
              </w:rPr>
              <w:fldChar w:fldCharType="separate"/>
            </w:r>
            <w:r>
              <w:rPr>
                <w:noProof/>
                <w:webHidden/>
              </w:rPr>
              <w:t>96</w:t>
            </w:r>
            <w:r>
              <w:rPr>
                <w:noProof/>
                <w:webHidden/>
              </w:rPr>
              <w:fldChar w:fldCharType="end"/>
            </w:r>
          </w:hyperlink>
        </w:p>
        <w:p w14:paraId="6EAEF756" w14:textId="7D98C3BF" w:rsidR="007C3BCE" w:rsidRDefault="007C3BCE">
          <w:pPr>
            <w:pStyle w:val="TOC3"/>
            <w:tabs>
              <w:tab w:val="right" w:leader="dot" w:pos="9016"/>
            </w:tabs>
            <w:rPr>
              <w:rFonts w:eastAsiaTheme="minorEastAsia" w:cstheme="minorBidi"/>
              <w:noProof/>
              <w:kern w:val="2"/>
              <w:sz w:val="24"/>
              <w:szCs w:val="24"/>
              <w14:ligatures w14:val="standardContextual"/>
            </w:rPr>
          </w:pPr>
          <w:hyperlink w:anchor="_Toc175742312" w:history="1">
            <w:r w:rsidRPr="00570643">
              <w:rPr>
                <w:rStyle w:val="Hyperlink"/>
                <w:noProof/>
              </w:rPr>
              <w:t>4.5.2 Proxy selection and administration</w:t>
            </w:r>
            <w:r>
              <w:rPr>
                <w:noProof/>
                <w:webHidden/>
              </w:rPr>
              <w:tab/>
            </w:r>
            <w:r>
              <w:rPr>
                <w:noProof/>
                <w:webHidden/>
              </w:rPr>
              <w:fldChar w:fldCharType="begin"/>
            </w:r>
            <w:r>
              <w:rPr>
                <w:noProof/>
                <w:webHidden/>
              </w:rPr>
              <w:instrText xml:space="preserve"> PAGEREF _Toc175742312 \h </w:instrText>
            </w:r>
            <w:r>
              <w:rPr>
                <w:noProof/>
                <w:webHidden/>
              </w:rPr>
            </w:r>
            <w:r>
              <w:rPr>
                <w:noProof/>
                <w:webHidden/>
              </w:rPr>
              <w:fldChar w:fldCharType="separate"/>
            </w:r>
            <w:r>
              <w:rPr>
                <w:noProof/>
                <w:webHidden/>
              </w:rPr>
              <w:t>97</w:t>
            </w:r>
            <w:r>
              <w:rPr>
                <w:noProof/>
                <w:webHidden/>
              </w:rPr>
              <w:fldChar w:fldCharType="end"/>
            </w:r>
          </w:hyperlink>
        </w:p>
        <w:p w14:paraId="49539873" w14:textId="31ABCED4" w:rsidR="007C3BCE" w:rsidRDefault="007C3BCE">
          <w:pPr>
            <w:pStyle w:val="TOC3"/>
            <w:tabs>
              <w:tab w:val="right" w:leader="dot" w:pos="9016"/>
            </w:tabs>
            <w:rPr>
              <w:rFonts w:eastAsiaTheme="minorEastAsia" w:cstheme="minorBidi"/>
              <w:noProof/>
              <w:kern w:val="2"/>
              <w:sz w:val="24"/>
              <w:szCs w:val="24"/>
              <w14:ligatures w14:val="standardContextual"/>
            </w:rPr>
          </w:pPr>
          <w:hyperlink w:anchor="_Toc175742313" w:history="1">
            <w:r w:rsidRPr="00570643">
              <w:rPr>
                <w:rStyle w:val="Hyperlink"/>
                <w:noProof/>
              </w:rPr>
              <w:t>4.5.3 Comparing PwD and proxy EQ-5D</w:t>
            </w:r>
            <w:r>
              <w:rPr>
                <w:noProof/>
                <w:webHidden/>
              </w:rPr>
              <w:tab/>
            </w:r>
            <w:r>
              <w:rPr>
                <w:noProof/>
                <w:webHidden/>
              </w:rPr>
              <w:fldChar w:fldCharType="begin"/>
            </w:r>
            <w:r>
              <w:rPr>
                <w:noProof/>
                <w:webHidden/>
              </w:rPr>
              <w:instrText xml:space="preserve"> PAGEREF _Toc175742313 \h </w:instrText>
            </w:r>
            <w:r>
              <w:rPr>
                <w:noProof/>
                <w:webHidden/>
              </w:rPr>
            </w:r>
            <w:r>
              <w:rPr>
                <w:noProof/>
                <w:webHidden/>
              </w:rPr>
              <w:fldChar w:fldCharType="separate"/>
            </w:r>
            <w:r>
              <w:rPr>
                <w:noProof/>
                <w:webHidden/>
              </w:rPr>
              <w:t>98</w:t>
            </w:r>
            <w:r>
              <w:rPr>
                <w:noProof/>
                <w:webHidden/>
              </w:rPr>
              <w:fldChar w:fldCharType="end"/>
            </w:r>
          </w:hyperlink>
        </w:p>
        <w:p w14:paraId="270C5782" w14:textId="596BA370" w:rsidR="007C3BCE" w:rsidRDefault="007C3BCE">
          <w:pPr>
            <w:pStyle w:val="TOC3"/>
            <w:tabs>
              <w:tab w:val="right" w:leader="dot" w:pos="9016"/>
            </w:tabs>
            <w:rPr>
              <w:rFonts w:eastAsiaTheme="minorEastAsia" w:cstheme="minorBidi"/>
              <w:noProof/>
              <w:kern w:val="2"/>
              <w:sz w:val="24"/>
              <w:szCs w:val="24"/>
              <w14:ligatures w14:val="standardContextual"/>
            </w:rPr>
          </w:pPr>
          <w:hyperlink w:anchor="_Toc175742314" w:history="1">
            <w:r w:rsidRPr="00570643">
              <w:rPr>
                <w:rStyle w:val="Hyperlink"/>
                <w:noProof/>
              </w:rPr>
              <w:t>4.5.4 Convergent validity</w:t>
            </w:r>
            <w:r>
              <w:rPr>
                <w:noProof/>
                <w:webHidden/>
              </w:rPr>
              <w:tab/>
            </w:r>
            <w:r>
              <w:rPr>
                <w:noProof/>
                <w:webHidden/>
              </w:rPr>
              <w:fldChar w:fldCharType="begin"/>
            </w:r>
            <w:r>
              <w:rPr>
                <w:noProof/>
                <w:webHidden/>
              </w:rPr>
              <w:instrText xml:space="preserve"> PAGEREF _Toc175742314 \h </w:instrText>
            </w:r>
            <w:r>
              <w:rPr>
                <w:noProof/>
                <w:webHidden/>
              </w:rPr>
            </w:r>
            <w:r>
              <w:rPr>
                <w:noProof/>
                <w:webHidden/>
              </w:rPr>
              <w:fldChar w:fldCharType="separate"/>
            </w:r>
            <w:r>
              <w:rPr>
                <w:noProof/>
                <w:webHidden/>
              </w:rPr>
              <w:t>100</w:t>
            </w:r>
            <w:r>
              <w:rPr>
                <w:noProof/>
                <w:webHidden/>
              </w:rPr>
              <w:fldChar w:fldCharType="end"/>
            </w:r>
          </w:hyperlink>
        </w:p>
        <w:p w14:paraId="1F85E700" w14:textId="3F0C83F6" w:rsidR="007C3BCE" w:rsidRDefault="007C3BCE">
          <w:pPr>
            <w:pStyle w:val="TOC3"/>
            <w:tabs>
              <w:tab w:val="right" w:leader="dot" w:pos="9016"/>
            </w:tabs>
            <w:rPr>
              <w:rFonts w:eastAsiaTheme="minorEastAsia" w:cstheme="minorBidi"/>
              <w:noProof/>
              <w:kern w:val="2"/>
              <w:sz w:val="24"/>
              <w:szCs w:val="24"/>
              <w14:ligatures w14:val="standardContextual"/>
            </w:rPr>
          </w:pPr>
          <w:hyperlink w:anchor="_Toc175742315" w:history="1">
            <w:r w:rsidRPr="00570643">
              <w:rPr>
                <w:rStyle w:val="Hyperlink"/>
                <w:noProof/>
              </w:rPr>
              <w:t>4.5.5 Strengths</w:t>
            </w:r>
            <w:r>
              <w:rPr>
                <w:noProof/>
                <w:webHidden/>
              </w:rPr>
              <w:tab/>
            </w:r>
            <w:r>
              <w:rPr>
                <w:noProof/>
                <w:webHidden/>
              </w:rPr>
              <w:fldChar w:fldCharType="begin"/>
            </w:r>
            <w:r>
              <w:rPr>
                <w:noProof/>
                <w:webHidden/>
              </w:rPr>
              <w:instrText xml:space="preserve"> PAGEREF _Toc175742315 \h </w:instrText>
            </w:r>
            <w:r>
              <w:rPr>
                <w:noProof/>
                <w:webHidden/>
              </w:rPr>
            </w:r>
            <w:r>
              <w:rPr>
                <w:noProof/>
                <w:webHidden/>
              </w:rPr>
              <w:fldChar w:fldCharType="separate"/>
            </w:r>
            <w:r>
              <w:rPr>
                <w:noProof/>
                <w:webHidden/>
              </w:rPr>
              <w:t>101</w:t>
            </w:r>
            <w:r>
              <w:rPr>
                <w:noProof/>
                <w:webHidden/>
              </w:rPr>
              <w:fldChar w:fldCharType="end"/>
            </w:r>
          </w:hyperlink>
        </w:p>
        <w:p w14:paraId="6EFBBD7E" w14:textId="791825D2" w:rsidR="007C3BCE" w:rsidRDefault="007C3BCE">
          <w:pPr>
            <w:pStyle w:val="TOC3"/>
            <w:tabs>
              <w:tab w:val="right" w:leader="dot" w:pos="9016"/>
            </w:tabs>
            <w:rPr>
              <w:rFonts w:eastAsiaTheme="minorEastAsia" w:cstheme="minorBidi"/>
              <w:noProof/>
              <w:kern w:val="2"/>
              <w:sz w:val="24"/>
              <w:szCs w:val="24"/>
              <w14:ligatures w14:val="standardContextual"/>
            </w:rPr>
          </w:pPr>
          <w:hyperlink w:anchor="_Toc175742316" w:history="1">
            <w:r w:rsidRPr="00570643">
              <w:rPr>
                <w:rStyle w:val="Hyperlink"/>
                <w:noProof/>
              </w:rPr>
              <w:t>4.5.6 Limitations</w:t>
            </w:r>
            <w:r>
              <w:rPr>
                <w:noProof/>
                <w:webHidden/>
              </w:rPr>
              <w:tab/>
            </w:r>
            <w:r>
              <w:rPr>
                <w:noProof/>
                <w:webHidden/>
              </w:rPr>
              <w:fldChar w:fldCharType="begin"/>
            </w:r>
            <w:r>
              <w:rPr>
                <w:noProof/>
                <w:webHidden/>
              </w:rPr>
              <w:instrText xml:space="preserve"> PAGEREF _Toc175742316 \h </w:instrText>
            </w:r>
            <w:r>
              <w:rPr>
                <w:noProof/>
                <w:webHidden/>
              </w:rPr>
            </w:r>
            <w:r>
              <w:rPr>
                <w:noProof/>
                <w:webHidden/>
              </w:rPr>
              <w:fldChar w:fldCharType="separate"/>
            </w:r>
            <w:r>
              <w:rPr>
                <w:noProof/>
                <w:webHidden/>
              </w:rPr>
              <w:t>101</w:t>
            </w:r>
            <w:r>
              <w:rPr>
                <w:noProof/>
                <w:webHidden/>
              </w:rPr>
              <w:fldChar w:fldCharType="end"/>
            </w:r>
          </w:hyperlink>
        </w:p>
        <w:p w14:paraId="4AA18A73" w14:textId="4F556B37" w:rsidR="007C3BCE" w:rsidRDefault="007C3BCE">
          <w:pPr>
            <w:pStyle w:val="TOC2"/>
            <w:tabs>
              <w:tab w:val="right" w:leader="dot" w:pos="9016"/>
            </w:tabs>
            <w:rPr>
              <w:rFonts w:eastAsiaTheme="minorEastAsia" w:cstheme="minorBidi"/>
              <w:b w:val="0"/>
              <w:bCs w:val="0"/>
              <w:noProof/>
              <w:kern w:val="2"/>
              <w:sz w:val="24"/>
              <w:szCs w:val="24"/>
              <w14:ligatures w14:val="standardContextual"/>
            </w:rPr>
          </w:pPr>
          <w:hyperlink w:anchor="_Toc175742317" w:history="1">
            <w:r w:rsidRPr="00570643">
              <w:rPr>
                <w:rStyle w:val="Hyperlink"/>
                <w:noProof/>
              </w:rPr>
              <w:t>4.6 Conclusion</w:t>
            </w:r>
            <w:r>
              <w:rPr>
                <w:noProof/>
                <w:webHidden/>
              </w:rPr>
              <w:tab/>
            </w:r>
            <w:r>
              <w:rPr>
                <w:noProof/>
                <w:webHidden/>
              </w:rPr>
              <w:fldChar w:fldCharType="begin"/>
            </w:r>
            <w:r>
              <w:rPr>
                <w:noProof/>
                <w:webHidden/>
              </w:rPr>
              <w:instrText xml:space="preserve"> PAGEREF _Toc175742317 \h </w:instrText>
            </w:r>
            <w:r>
              <w:rPr>
                <w:noProof/>
                <w:webHidden/>
              </w:rPr>
            </w:r>
            <w:r>
              <w:rPr>
                <w:noProof/>
                <w:webHidden/>
              </w:rPr>
              <w:fldChar w:fldCharType="separate"/>
            </w:r>
            <w:r>
              <w:rPr>
                <w:noProof/>
                <w:webHidden/>
              </w:rPr>
              <w:t>102</w:t>
            </w:r>
            <w:r>
              <w:rPr>
                <w:noProof/>
                <w:webHidden/>
              </w:rPr>
              <w:fldChar w:fldCharType="end"/>
            </w:r>
          </w:hyperlink>
        </w:p>
        <w:p w14:paraId="32494B66" w14:textId="08F7641A" w:rsidR="007C3BCE" w:rsidRDefault="007C3BCE">
          <w:pPr>
            <w:pStyle w:val="TOC1"/>
            <w:tabs>
              <w:tab w:val="right" w:leader="dot" w:pos="9016"/>
            </w:tabs>
            <w:rPr>
              <w:rFonts w:eastAsiaTheme="minorEastAsia" w:cstheme="minorBidi"/>
              <w:b w:val="0"/>
              <w:bCs w:val="0"/>
              <w:i w:val="0"/>
              <w:iCs w:val="0"/>
              <w:noProof/>
              <w:kern w:val="2"/>
              <w14:ligatures w14:val="standardContextual"/>
            </w:rPr>
          </w:pPr>
          <w:hyperlink w:anchor="_Toc175742318" w:history="1">
            <w:r w:rsidRPr="00570643">
              <w:rPr>
                <w:rStyle w:val="Hyperlink"/>
                <w:noProof/>
              </w:rPr>
              <w:t>5 Assessing the performance of PwD and proxy EQ-5D responses by dimension</w:t>
            </w:r>
            <w:r>
              <w:rPr>
                <w:noProof/>
                <w:webHidden/>
              </w:rPr>
              <w:tab/>
            </w:r>
            <w:r>
              <w:rPr>
                <w:noProof/>
                <w:webHidden/>
              </w:rPr>
              <w:fldChar w:fldCharType="begin"/>
            </w:r>
            <w:r>
              <w:rPr>
                <w:noProof/>
                <w:webHidden/>
              </w:rPr>
              <w:instrText xml:space="preserve"> PAGEREF _Toc175742318 \h </w:instrText>
            </w:r>
            <w:r>
              <w:rPr>
                <w:noProof/>
                <w:webHidden/>
              </w:rPr>
            </w:r>
            <w:r>
              <w:rPr>
                <w:noProof/>
                <w:webHidden/>
              </w:rPr>
              <w:fldChar w:fldCharType="separate"/>
            </w:r>
            <w:r>
              <w:rPr>
                <w:noProof/>
                <w:webHidden/>
              </w:rPr>
              <w:t>103</w:t>
            </w:r>
            <w:r>
              <w:rPr>
                <w:noProof/>
                <w:webHidden/>
              </w:rPr>
              <w:fldChar w:fldCharType="end"/>
            </w:r>
          </w:hyperlink>
        </w:p>
        <w:p w14:paraId="40DE57EE" w14:textId="463984D8" w:rsidR="007C3BCE" w:rsidRDefault="007C3BCE">
          <w:pPr>
            <w:pStyle w:val="TOC2"/>
            <w:tabs>
              <w:tab w:val="right" w:leader="dot" w:pos="9016"/>
            </w:tabs>
            <w:rPr>
              <w:rFonts w:eastAsiaTheme="minorEastAsia" w:cstheme="minorBidi"/>
              <w:b w:val="0"/>
              <w:bCs w:val="0"/>
              <w:noProof/>
              <w:kern w:val="2"/>
              <w:sz w:val="24"/>
              <w:szCs w:val="24"/>
              <w14:ligatures w14:val="standardContextual"/>
            </w:rPr>
          </w:pPr>
          <w:hyperlink w:anchor="_Toc175742319" w:history="1">
            <w:r w:rsidRPr="00570643">
              <w:rPr>
                <w:rStyle w:val="Hyperlink"/>
                <w:noProof/>
              </w:rPr>
              <w:t>5.1 Introduction</w:t>
            </w:r>
            <w:r>
              <w:rPr>
                <w:noProof/>
                <w:webHidden/>
              </w:rPr>
              <w:tab/>
            </w:r>
            <w:r>
              <w:rPr>
                <w:noProof/>
                <w:webHidden/>
              </w:rPr>
              <w:fldChar w:fldCharType="begin"/>
            </w:r>
            <w:r>
              <w:rPr>
                <w:noProof/>
                <w:webHidden/>
              </w:rPr>
              <w:instrText xml:space="preserve"> PAGEREF _Toc175742319 \h </w:instrText>
            </w:r>
            <w:r>
              <w:rPr>
                <w:noProof/>
                <w:webHidden/>
              </w:rPr>
            </w:r>
            <w:r>
              <w:rPr>
                <w:noProof/>
                <w:webHidden/>
              </w:rPr>
              <w:fldChar w:fldCharType="separate"/>
            </w:r>
            <w:r>
              <w:rPr>
                <w:noProof/>
                <w:webHidden/>
              </w:rPr>
              <w:t>103</w:t>
            </w:r>
            <w:r>
              <w:rPr>
                <w:noProof/>
                <w:webHidden/>
              </w:rPr>
              <w:fldChar w:fldCharType="end"/>
            </w:r>
          </w:hyperlink>
        </w:p>
        <w:p w14:paraId="2CE01111" w14:textId="409B1E39" w:rsidR="007C3BCE" w:rsidRDefault="007C3BCE">
          <w:pPr>
            <w:pStyle w:val="TOC2"/>
            <w:tabs>
              <w:tab w:val="right" w:leader="dot" w:pos="9016"/>
            </w:tabs>
            <w:rPr>
              <w:rFonts w:eastAsiaTheme="minorEastAsia" w:cstheme="minorBidi"/>
              <w:b w:val="0"/>
              <w:bCs w:val="0"/>
              <w:noProof/>
              <w:kern w:val="2"/>
              <w:sz w:val="24"/>
              <w:szCs w:val="24"/>
              <w14:ligatures w14:val="standardContextual"/>
            </w:rPr>
          </w:pPr>
          <w:hyperlink w:anchor="_Toc175742320" w:history="1">
            <w:r w:rsidRPr="00570643">
              <w:rPr>
                <w:rStyle w:val="Hyperlink"/>
                <w:noProof/>
              </w:rPr>
              <w:t>5.2 Aims and objectives</w:t>
            </w:r>
            <w:r>
              <w:rPr>
                <w:noProof/>
                <w:webHidden/>
              </w:rPr>
              <w:tab/>
            </w:r>
            <w:r>
              <w:rPr>
                <w:noProof/>
                <w:webHidden/>
              </w:rPr>
              <w:fldChar w:fldCharType="begin"/>
            </w:r>
            <w:r>
              <w:rPr>
                <w:noProof/>
                <w:webHidden/>
              </w:rPr>
              <w:instrText xml:space="preserve"> PAGEREF _Toc175742320 \h </w:instrText>
            </w:r>
            <w:r>
              <w:rPr>
                <w:noProof/>
                <w:webHidden/>
              </w:rPr>
            </w:r>
            <w:r>
              <w:rPr>
                <w:noProof/>
                <w:webHidden/>
              </w:rPr>
              <w:fldChar w:fldCharType="separate"/>
            </w:r>
            <w:r>
              <w:rPr>
                <w:noProof/>
                <w:webHidden/>
              </w:rPr>
              <w:t>104</w:t>
            </w:r>
            <w:r>
              <w:rPr>
                <w:noProof/>
                <w:webHidden/>
              </w:rPr>
              <w:fldChar w:fldCharType="end"/>
            </w:r>
          </w:hyperlink>
        </w:p>
        <w:p w14:paraId="2AFB7738" w14:textId="230A094E" w:rsidR="007C3BCE" w:rsidRDefault="007C3BCE">
          <w:pPr>
            <w:pStyle w:val="TOC2"/>
            <w:tabs>
              <w:tab w:val="right" w:leader="dot" w:pos="9016"/>
            </w:tabs>
            <w:rPr>
              <w:rFonts w:eastAsiaTheme="minorEastAsia" w:cstheme="minorBidi"/>
              <w:b w:val="0"/>
              <w:bCs w:val="0"/>
              <w:noProof/>
              <w:kern w:val="2"/>
              <w:sz w:val="24"/>
              <w:szCs w:val="24"/>
              <w14:ligatures w14:val="standardContextual"/>
            </w:rPr>
          </w:pPr>
          <w:hyperlink w:anchor="_Toc175742321" w:history="1">
            <w:r w:rsidRPr="00570643">
              <w:rPr>
                <w:rStyle w:val="Hyperlink"/>
                <w:noProof/>
              </w:rPr>
              <w:t>5.3 Methods</w:t>
            </w:r>
            <w:r>
              <w:rPr>
                <w:noProof/>
                <w:webHidden/>
              </w:rPr>
              <w:tab/>
            </w:r>
            <w:r>
              <w:rPr>
                <w:noProof/>
                <w:webHidden/>
              </w:rPr>
              <w:fldChar w:fldCharType="begin"/>
            </w:r>
            <w:r>
              <w:rPr>
                <w:noProof/>
                <w:webHidden/>
              </w:rPr>
              <w:instrText xml:space="preserve"> PAGEREF _Toc175742321 \h </w:instrText>
            </w:r>
            <w:r>
              <w:rPr>
                <w:noProof/>
                <w:webHidden/>
              </w:rPr>
            </w:r>
            <w:r>
              <w:rPr>
                <w:noProof/>
                <w:webHidden/>
              </w:rPr>
              <w:fldChar w:fldCharType="separate"/>
            </w:r>
            <w:r>
              <w:rPr>
                <w:noProof/>
                <w:webHidden/>
              </w:rPr>
              <w:t>104</w:t>
            </w:r>
            <w:r>
              <w:rPr>
                <w:noProof/>
                <w:webHidden/>
              </w:rPr>
              <w:fldChar w:fldCharType="end"/>
            </w:r>
          </w:hyperlink>
        </w:p>
        <w:p w14:paraId="0C19621C" w14:textId="0F3BDDB8" w:rsidR="007C3BCE" w:rsidRDefault="007C3BCE">
          <w:pPr>
            <w:pStyle w:val="TOC3"/>
            <w:tabs>
              <w:tab w:val="right" w:leader="dot" w:pos="9016"/>
            </w:tabs>
            <w:rPr>
              <w:rFonts w:eastAsiaTheme="minorEastAsia" w:cstheme="minorBidi"/>
              <w:noProof/>
              <w:kern w:val="2"/>
              <w:sz w:val="24"/>
              <w:szCs w:val="24"/>
              <w14:ligatures w14:val="standardContextual"/>
            </w:rPr>
          </w:pPr>
          <w:hyperlink w:anchor="_Toc175742322" w:history="1">
            <w:r w:rsidRPr="00570643">
              <w:rPr>
                <w:rStyle w:val="Hyperlink"/>
                <w:noProof/>
              </w:rPr>
              <w:t>5.3.1 Methods for objective one</w:t>
            </w:r>
            <w:r>
              <w:rPr>
                <w:noProof/>
                <w:webHidden/>
              </w:rPr>
              <w:tab/>
            </w:r>
            <w:r>
              <w:rPr>
                <w:noProof/>
                <w:webHidden/>
              </w:rPr>
              <w:fldChar w:fldCharType="begin"/>
            </w:r>
            <w:r>
              <w:rPr>
                <w:noProof/>
                <w:webHidden/>
              </w:rPr>
              <w:instrText xml:space="preserve"> PAGEREF _Toc175742322 \h </w:instrText>
            </w:r>
            <w:r>
              <w:rPr>
                <w:noProof/>
                <w:webHidden/>
              </w:rPr>
            </w:r>
            <w:r>
              <w:rPr>
                <w:noProof/>
                <w:webHidden/>
              </w:rPr>
              <w:fldChar w:fldCharType="separate"/>
            </w:r>
            <w:r>
              <w:rPr>
                <w:noProof/>
                <w:webHidden/>
              </w:rPr>
              <w:t>104</w:t>
            </w:r>
            <w:r>
              <w:rPr>
                <w:noProof/>
                <w:webHidden/>
              </w:rPr>
              <w:fldChar w:fldCharType="end"/>
            </w:r>
          </w:hyperlink>
        </w:p>
        <w:p w14:paraId="44D57994" w14:textId="4E5054E0" w:rsidR="007C3BCE" w:rsidRDefault="007C3BCE">
          <w:pPr>
            <w:pStyle w:val="TOC3"/>
            <w:tabs>
              <w:tab w:val="right" w:leader="dot" w:pos="9016"/>
            </w:tabs>
            <w:rPr>
              <w:rFonts w:eastAsiaTheme="minorEastAsia" w:cstheme="minorBidi"/>
              <w:noProof/>
              <w:kern w:val="2"/>
              <w:sz w:val="24"/>
              <w:szCs w:val="24"/>
              <w14:ligatures w14:val="standardContextual"/>
            </w:rPr>
          </w:pPr>
          <w:hyperlink w:anchor="_Toc175742323" w:history="1">
            <w:r w:rsidRPr="00570643">
              <w:rPr>
                <w:rStyle w:val="Hyperlink"/>
                <w:noProof/>
              </w:rPr>
              <w:t>5.3.2 Methods for objective two</w:t>
            </w:r>
            <w:r>
              <w:rPr>
                <w:noProof/>
                <w:webHidden/>
              </w:rPr>
              <w:tab/>
            </w:r>
            <w:r>
              <w:rPr>
                <w:noProof/>
                <w:webHidden/>
              </w:rPr>
              <w:fldChar w:fldCharType="begin"/>
            </w:r>
            <w:r>
              <w:rPr>
                <w:noProof/>
                <w:webHidden/>
              </w:rPr>
              <w:instrText xml:space="preserve"> PAGEREF _Toc175742323 \h </w:instrText>
            </w:r>
            <w:r>
              <w:rPr>
                <w:noProof/>
                <w:webHidden/>
              </w:rPr>
            </w:r>
            <w:r>
              <w:rPr>
                <w:noProof/>
                <w:webHidden/>
              </w:rPr>
              <w:fldChar w:fldCharType="separate"/>
            </w:r>
            <w:r>
              <w:rPr>
                <w:noProof/>
                <w:webHidden/>
              </w:rPr>
              <w:t>106</w:t>
            </w:r>
            <w:r>
              <w:rPr>
                <w:noProof/>
                <w:webHidden/>
              </w:rPr>
              <w:fldChar w:fldCharType="end"/>
            </w:r>
          </w:hyperlink>
        </w:p>
        <w:p w14:paraId="4CA5FF74" w14:textId="50CAAA5B" w:rsidR="007C3BCE" w:rsidRDefault="007C3BCE">
          <w:pPr>
            <w:pStyle w:val="TOC3"/>
            <w:tabs>
              <w:tab w:val="right" w:leader="dot" w:pos="9016"/>
            </w:tabs>
            <w:rPr>
              <w:rFonts w:eastAsiaTheme="minorEastAsia" w:cstheme="minorBidi"/>
              <w:noProof/>
              <w:kern w:val="2"/>
              <w:sz w:val="24"/>
              <w:szCs w:val="24"/>
              <w14:ligatures w14:val="standardContextual"/>
            </w:rPr>
          </w:pPr>
          <w:hyperlink w:anchor="_Toc175742324" w:history="1">
            <w:r w:rsidRPr="00570643">
              <w:rPr>
                <w:rStyle w:val="Hyperlink"/>
                <w:noProof/>
              </w:rPr>
              <w:t>5.3.3 Methods for objective three</w:t>
            </w:r>
            <w:r>
              <w:rPr>
                <w:noProof/>
                <w:webHidden/>
              </w:rPr>
              <w:tab/>
            </w:r>
            <w:r>
              <w:rPr>
                <w:noProof/>
                <w:webHidden/>
              </w:rPr>
              <w:fldChar w:fldCharType="begin"/>
            </w:r>
            <w:r>
              <w:rPr>
                <w:noProof/>
                <w:webHidden/>
              </w:rPr>
              <w:instrText xml:space="preserve"> PAGEREF _Toc175742324 \h </w:instrText>
            </w:r>
            <w:r>
              <w:rPr>
                <w:noProof/>
                <w:webHidden/>
              </w:rPr>
            </w:r>
            <w:r>
              <w:rPr>
                <w:noProof/>
                <w:webHidden/>
              </w:rPr>
              <w:fldChar w:fldCharType="separate"/>
            </w:r>
            <w:r>
              <w:rPr>
                <w:noProof/>
                <w:webHidden/>
              </w:rPr>
              <w:t>107</w:t>
            </w:r>
            <w:r>
              <w:rPr>
                <w:noProof/>
                <w:webHidden/>
              </w:rPr>
              <w:fldChar w:fldCharType="end"/>
            </w:r>
          </w:hyperlink>
        </w:p>
        <w:p w14:paraId="1745D312" w14:textId="623BBEA1" w:rsidR="007C3BCE" w:rsidRDefault="007C3BCE">
          <w:pPr>
            <w:pStyle w:val="TOC2"/>
            <w:tabs>
              <w:tab w:val="right" w:leader="dot" w:pos="9016"/>
            </w:tabs>
            <w:rPr>
              <w:rFonts w:eastAsiaTheme="minorEastAsia" w:cstheme="minorBidi"/>
              <w:b w:val="0"/>
              <w:bCs w:val="0"/>
              <w:noProof/>
              <w:kern w:val="2"/>
              <w:sz w:val="24"/>
              <w:szCs w:val="24"/>
              <w14:ligatures w14:val="standardContextual"/>
            </w:rPr>
          </w:pPr>
          <w:hyperlink w:anchor="_Toc175742325" w:history="1">
            <w:r w:rsidRPr="00570643">
              <w:rPr>
                <w:rStyle w:val="Hyperlink"/>
                <w:noProof/>
              </w:rPr>
              <w:t>5.4 Results</w:t>
            </w:r>
            <w:r>
              <w:rPr>
                <w:noProof/>
                <w:webHidden/>
              </w:rPr>
              <w:tab/>
            </w:r>
            <w:r>
              <w:rPr>
                <w:noProof/>
                <w:webHidden/>
              </w:rPr>
              <w:fldChar w:fldCharType="begin"/>
            </w:r>
            <w:r>
              <w:rPr>
                <w:noProof/>
                <w:webHidden/>
              </w:rPr>
              <w:instrText xml:space="preserve"> PAGEREF _Toc175742325 \h </w:instrText>
            </w:r>
            <w:r>
              <w:rPr>
                <w:noProof/>
                <w:webHidden/>
              </w:rPr>
            </w:r>
            <w:r>
              <w:rPr>
                <w:noProof/>
                <w:webHidden/>
              </w:rPr>
              <w:fldChar w:fldCharType="separate"/>
            </w:r>
            <w:r>
              <w:rPr>
                <w:noProof/>
                <w:webHidden/>
              </w:rPr>
              <w:t>108</w:t>
            </w:r>
            <w:r>
              <w:rPr>
                <w:noProof/>
                <w:webHidden/>
              </w:rPr>
              <w:fldChar w:fldCharType="end"/>
            </w:r>
          </w:hyperlink>
        </w:p>
        <w:p w14:paraId="6CBF096A" w14:textId="5F4383A5" w:rsidR="007C3BCE" w:rsidRDefault="007C3BCE">
          <w:pPr>
            <w:pStyle w:val="TOC3"/>
            <w:tabs>
              <w:tab w:val="right" w:leader="dot" w:pos="9016"/>
            </w:tabs>
            <w:rPr>
              <w:rFonts w:eastAsiaTheme="minorEastAsia" w:cstheme="minorBidi"/>
              <w:noProof/>
              <w:kern w:val="2"/>
              <w:sz w:val="24"/>
              <w:szCs w:val="24"/>
              <w14:ligatures w14:val="standardContextual"/>
            </w:rPr>
          </w:pPr>
          <w:hyperlink w:anchor="_Toc175742326" w:history="1">
            <w:r w:rsidRPr="00570643">
              <w:rPr>
                <w:rStyle w:val="Hyperlink"/>
                <w:noProof/>
              </w:rPr>
              <w:t>5.4.1 Mobility</w:t>
            </w:r>
            <w:r>
              <w:rPr>
                <w:noProof/>
                <w:webHidden/>
              </w:rPr>
              <w:tab/>
            </w:r>
            <w:r>
              <w:rPr>
                <w:noProof/>
                <w:webHidden/>
              </w:rPr>
              <w:fldChar w:fldCharType="begin"/>
            </w:r>
            <w:r>
              <w:rPr>
                <w:noProof/>
                <w:webHidden/>
              </w:rPr>
              <w:instrText xml:space="preserve"> PAGEREF _Toc175742326 \h </w:instrText>
            </w:r>
            <w:r>
              <w:rPr>
                <w:noProof/>
                <w:webHidden/>
              </w:rPr>
            </w:r>
            <w:r>
              <w:rPr>
                <w:noProof/>
                <w:webHidden/>
              </w:rPr>
              <w:fldChar w:fldCharType="separate"/>
            </w:r>
            <w:r>
              <w:rPr>
                <w:noProof/>
                <w:webHidden/>
              </w:rPr>
              <w:t>108</w:t>
            </w:r>
            <w:r>
              <w:rPr>
                <w:noProof/>
                <w:webHidden/>
              </w:rPr>
              <w:fldChar w:fldCharType="end"/>
            </w:r>
          </w:hyperlink>
        </w:p>
        <w:p w14:paraId="77D92A54" w14:textId="5AB0C4D3" w:rsidR="007C3BCE" w:rsidRDefault="007C3BCE">
          <w:pPr>
            <w:pStyle w:val="TOC3"/>
            <w:tabs>
              <w:tab w:val="right" w:leader="dot" w:pos="9016"/>
            </w:tabs>
            <w:rPr>
              <w:rFonts w:eastAsiaTheme="minorEastAsia" w:cstheme="minorBidi"/>
              <w:noProof/>
              <w:kern w:val="2"/>
              <w:sz w:val="24"/>
              <w:szCs w:val="24"/>
              <w14:ligatures w14:val="standardContextual"/>
            </w:rPr>
          </w:pPr>
          <w:hyperlink w:anchor="_Toc175742327" w:history="1">
            <w:r w:rsidRPr="00570643">
              <w:rPr>
                <w:rStyle w:val="Hyperlink"/>
                <w:noProof/>
              </w:rPr>
              <w:t>5.4.2 Self-care</w:t>
            </w:r>
            <w:r>
              <w:rPr>
                <w:noProof/>
                <w:webHidden/>
              </w:rPr>
              <w:tab/>
            </w:r>
            <w:r>
              <w:rPr>
                <w:noProof/>
                <w:webHidden/>
              </w:rPr>
              <w:fldChar w:fldCharType="begin"/>
            </w:r>
            <w:r>
              <w:rPr>
                <w:noProof/>
                <w:webHidden/>
              </w:rPr>
              <w:instrText xml:space="preserve"> PAGEREF _Toc175742327 \h </w:instrText>
            </w:r>
            <w:r>
              <w:rPr>
                <w:noProof/>
                <w:webHidden/>
              </w:rPr>
            </w:r>
            <w:r>
              <w:rPr>
                <w:noProof/>
                <w:webHidden/>
              </w:rPr>
              <w:fldChar w:fldCharType="separate"/>
            </w:r>
            <w:r>
              <w:rPr>
                <w:noProof/>
                <w:webHidden/>
              </w:rPr>
              <w:t>115</w:t>
            </w:r>
            <w:r>
              <w:rPr>
                <w:noProof/>
                <w:webHidden/>
              </w:rPr>
              <w:fldChar w:fldCharType="end"/>
            </w:r>
          </w:hyperlink>
        </w:p>
        <w:p w14:paraId="6139DE69" w14:textId="644DD330" w:rsidR="007C3BCE" w:rsidRDefault="007C3BCE">
          <w:pPr>
            <w:pStyle w:val="TOC3"/>
            <w:tabs>
              <w:tab w:val="right" w:leader="dot" w:pos="9016"/>
            </w:tabs>
            <w:rPr>
              <w:rFonts w:eastAsiaTheme="minorEastAsia" w:cstheme="minorBidi"/>
              <w:noProof/>
              <w:kern w:val="2"/>
              <w:sz w:val="24"/>
              <w:szCs w:val="24"/>
              <w14:ligatures w14:val="standardContextual"/>
            </w:rPr>
          </w:pPr>
          <w:hyperlink w:anchor="_Toc175742328" w:history="1">
            <w:r w:rsidRPr="00570643">
              <w:rPr>
                <w:rStyle w:val="Hyperlink"/>
                <w:noProof/>
              </w:rPr>
              <w:t>5.4.3 Usual activities</w:t>
            </w:r>
            <w:r>
              <w:rPr>
                <w:noProof/>
                <w:webHidden/>
              </w:rPr>
              <w:tab/>
            </w:r>
            <w:r>
              <w:rPr>
                <w:noProof/>
                <w:webHidden/>
              </w:rPr>
              <w:fldChar w:fldCharType="begin"/>
            </w:r>
            <w:r>
              <w:rPr>
                <w:noProof/>
                <w:webHidden/>
              </w:rPr>
              <w:instrText xml:space="preserve"> PAGEREF _Toc175742328 \h </w:instrText>
            </w:r>
            <w:r>
              <w:rPr>
                <w:noProof/>
                <w:webHidden/>
              </w:rPr>
            </w:r>
            <w:r>
              <w:rPr>
                <w:noProof/>
                <w:webHidden/>
              </w:rPr>
              <w:fldChar w:fldCharType="separate"/>
            </w:r>
            <w:r>
              <w:rPr>
                <w:noProof/>
                <w:webHidden/>
              </w:rPr>
              <w:t>121</w:t>
            </w:r>
            <w:r>
              <w:rPr>
                <w:noProof/>
                <w:webHidden/>
              </w:rPr>
              <w:fldChar w:fldCharType="end"/>
            </w:r>
          </w:hyperlink>
        </w:p>
        <w:p w14:paraId="041652C4" w14:textId="10045B76" w:rsidR="007C3BCE" w:rsidRDefault="007C3BCE">
          <w:pPr>
            <w:pStyle w:val="TOC3"/>
            <w:tabs>
              <w:tab w:val="right" w:leader="dot" w:pos="9016"/>
            </w:tabs>
            <w:rPr>
              <w:rFonts w:eastAsiaTheme="minorEastAsia" w:cstheme="minorBidi"/>
              <w:noProof/>
              <w:kern w:val="2"/>
              <w:sz w:val="24"/>
              <w:szCs w:val="24"/>
              <w14:ligatures w14:val="standardContextual"/>
            </w:rPr>
          </w:pPr>
          <w:hyperlink w:anchor="_Toc175742329" w:history="1">
            <w:r w:rsidRPr="00570643">
              <w:rPr>
                <w:rStyle w:val="Hyperlink"/>
                <w:noProof/>
              </w:rPr>
              <w:t>5.4.4 Pain/discomfort</w:t>
            </w:r>
            <w:r>
              <w:rPr>
                <w:noProof/>
                <w:webHidden/>
              </w:rPr>
              <w:tab/>
            </w:r>
            <w:r>
              <w:rPr>
                <w:noProof/>
                <w:webHidden/>
              </w:rPr>
              <w:fldChar w:fldCharType="begin"/>
            </w:r>
            <w:r>
              <w:rPr>
                <w:noProof/>
                <w:webHidden/>
              </w:rPr>
              <w:instrText xml:space="preserve"> PAGEREF _Toc175742329 \h </w:instrText>
            </w:r>
            <w:r>
              <w:rPr>
                <w:noProof/>
                <w:webHidden/>
              </w:rPr>
            </w:r>
            <w:r>
              <w:rPr>
                <w:noProof/>
                <w:webHidden/>
              </w:rPr>
              <w:fldChar w:fldCharType="separate"/>
            </w:r>
            <w:r>
              <w:rPr>
                <w:noProof/>
                <w:webHidden/>
              </w:rPr>
              <w:t>127</w:t>
            </w:r>
            <w:r>
              <w:rPr>
                <w:noProof/>
                <w:webHidden/>
              </w:rPr>
              <w:fldChar w:fldCharType="end"/>
            </w:r>
          </w:hyperlink>
        </w:p>
        <w:p w14:paraId="6771DCE7" w14:textId="7EC5E70E" w:rsidR="007C3BCE" w:rsidRDefault="007C3BCE">
          <w:pPr>
            <w:pStyle w:val="TOC3"/>
            <w:tabs>
              <w:tab w:val="right" w:leader="dot" w:pos="9016"/>
            </w:tabs>
            <w:rPr>
              <w:rFonts w:eastAsiaTheme="minorEastAsia" w:cstheme="minorBidi"/>
              <w:noProof/>
              <w:kern w:val="2"/>
              <w:sz w:val="24"/>
              <w:szCs w:val="24"/>
              <w14:ligatures w14:val="standardContextual"/>
            </w:rPr>
          </w:pPr>
          <w:hyperlink w:anchor="_Toc175742330" w:history="1">
            <w:r w:rsidRPr="00570643">
              <w:rPr>
                <w:rStyle w:val="Hyperlink"/>
                <w:noProof/>
              </w:rPr>
              <w:t>5.4.5 Anxiety/ depression</w:t>
            </w:r>
            <w:r>
              <w:rPr>
                <w:noProof/>
                <w:webHidden/>
              </w:rPr>
              <w:tab/>
            </w:r>
            <w:r>
              <w:rPr>
                <w:noProof/>
                <w:webHidden/>
              </w:rPr>
              <w:fldChar w:fldCharType="begin"/>
            </w:r>
            <w:r>
              <w:rPr>
                <w:noProof/>
                <w:webHidden/>
              </w:rPr>
              <w:instrText xml:space="preserve"> PAGEREF _Toc175742330 \h </w:instrText>
            </w:r>
            <w:r>
              <w:rPr>
                <w:noProof/>
                <w:webHidden/>
              </w:rPr>
            </w:r>
            <w:r>
              <w:rPr>
                <w:noProof/>
                <w:webHidden/>
              </w:rPr>
              <w:fldChar w:fldCharType="separate"/>
            </w:r>
            <w:r>
              <w:rPr>
                <w:noProof/>
                <w:webHidden/>
              </w:rPr>
              <w:t>132</w:t>
            </w:r>
            <w:r>
              <w:rPr>
                <w:noProof/>
                <w:webHidden/>
              </w:rPr>
              <w:fldChar w:fldCharType="end"/>
            </w:r>
          </w:hyperlink>
        </w:p>
        <w:p w14:paraId="1634707F" w14:textId="6C58EC23" w:rsidR="007C3BCE" w:rsidRDefault="007C3BCE">
          <w:pPr>
            <w:pStyle w:val="TOC3"/>
            <w:tabs>
              <w:tab w:val="right" w:leader="dot" w:pos="9016"/>
            </w:tabs>
            <w:rPr>
              <w:rFonts w:eastAsiaTheme="minorEastAsia" w:cstheme="minorBidi"/>
              <w:noProof/>
              <w:kern w:val="2"/>
              <w:sz w:val="24"/>
              <w:szCs w:val="24"/>
              <w14:ligatures w14:val="standardContextual"/>
            </w:rPr>
          </w:pPr>
          <w:hyperlink w:anchor="_Toc175742331" w:history="1">
            <w:r w:rsidRPr="00570643">
              <w:rPr>
                <w:rStyle w:val="Hyperlink"/>
                <w:noProof/>
              </w:rPr>
              <w:t>5.4.6 EQ-5D index scores</w:t>
            </w:r>
            <w:r>
              <w:rPr>
                <w:noProof/>
                <w:webHidden/>
              </w:rPr>
              <w:tab/>
            </w:r>
            <w:r>
              <w:rPr>
                <w:noProof/>
                <w:webHidden/>
              </w:rPr>
              <w:fldChar w:fldCharType="begin"/>
            </w:r>
            <w:r>
              <w:rPr>
                <w:noProof/>
                <w:webHidden/>
              </w:rPr>
              <w:instrText xml:space="preserve"> PAGEREF _Toc175742331 \h </w:instrText>
            </w:r>
            <w:r>
              <w:rPr>
                <w:noProof/>
                <w:webHidden/>
              </w:rPr>
            </w:r>
            <w:r>
              <w:rPr>
                <w:noProof/>
                <w:webHidden/>
              </w:rPr>
              <w:fldChar w:fldCharType="separate"/>
            </w:r>
            <w:r>
              <w:rPr>
                <w:noProof/>
                <w:webHidden/>
              </w:rPr>
              <w:t>138</w:t>
            </w:r>
            <w:r>
              <w:rPr>
                <w:noProof/>
                <w:webHidden/>
              </w:rPr>
              <w:fldChar w:fldCharType="end"/>
            </w:r>
          </w:hyperlink>
        </w:p>
        <w:p w14:paraId="74CC8529" w14:textId="0B4B6E57" w:rsidR="007C3BCE" w:rsidRDefault="007C3BCE">
          <w:pPr>
            <w:pStyle w:val="TOC2"/>
            <w:tabs>
              <w:tab w:val="right" w:leader="dot" w:pos="9016"/>
            </w:tabs>
            <w:rPr>
              <w:rFonts w:eastAsiaTheme="minorEastAsia" w:cstheme="minorBidi"/>
              <w:b w:val="0"/>
              <w:bCs w:val="0"/>
              <w:noProof/>
              <w:kern w:val="2"/>
              <w:sz w:val="24"/>
              <w:szCs w:val="24"/>
              <w14:ligatures w14:val="standardContextual"/>
            </w:rPr>
          </w:pPr>
          <w:hyperlink w:anchor="_Toc175742332" w:history="1">
            <w:r w:rsidRPr="00570643">
              <w:rPr>
                <w:rStyle w:val="Hyperlink"/>
                <w:noProof/>
              </w:rPr>
              <w:t>5.5 Discussion</w:t>
            </w:r>
            <w:r>
              <w:rPr>
                <w:noProof/>
                <w:webHidden/>
              </w:rPr>
              <w:tab/>
            </w:r>
            <w:r>
              <w:rPr>
                <w:noProof/>
                <w:webHidden/>
              </w:rPr>
              <w:fldChar w:fldCharType="begin"/>
            </w:r>
            <w:r>
              <w:rPr>
                <w:noProof/>
                <w:webHidden/>
              </w:rPr>
              <w:instrText xml:space="preserve"> PAGEREF _Toc175742332 \h </w:instrText>
            </w:r>
            <w:r>
              <w:rPr>
                <w:noProof/>
                <w:webHidden/>
              </w:rPr>
            </w:r>
            <w:r>
              <w:rPr>
                <w:noProof/>
                <w:webHidden/>
              </w:rPr>
              <w:fldChar w:fldCharType="separate"/>
            </w:r>
            <w:r>
              <w:rPr>
                <w:noProof/>
                <w:webHidden/>
              </w:rPr>
              <w:t>147</w:t>
            </w:r>
            <w:r>
              <w:rPr>
                <w:noProof/>
                <w:webHidden/>
              </w:rPr>
              <w:fldChar w:fldCharType="end"/>
            </w:r>
          </w:hyperlink>
        </w:p>
        <w:p w14:paraId="651D6B9B" w14:textId="656C6CCE" w:rsidR="007C3BCE" w:rsidRDefault="007C3BCE">
          <w:pPr>
            <w:pStyle w:val="TOC3"/>
            <w:tabs>
              <w:tab w:val="right" w:leader="dot" w:pos="9016"/>
            </w:tabs>
            <w:rPr>
              <w:rFonts w:eastAsiaTheme="minorEastAsia" w:cstheme="minorBidi"/>
              <w:noProof/>
              <w:kern w:val="2"/>
              <w:sz w:val="24"/>
              <w:szCs w:val="24"/>
              <w14:ligatures w14:val="standardContextual"/>
            </w:rPr>
          </w:pPr>
          <w:hyperlink w:anchor="_Toc175742333" w:history="1">
            <w:r w:rsidRPr="00570643">
              <w:rPr>
                <w:rStyle w:val="Hyperlink"/>
                <w:noProof/>
              </w:rPr>
              <w:t>5.5.1 Objective one: interpretation of change analysis</w:t>
            </w:r>
            <w:r>
              <w:rPr>
                <w:noProof/>
                <w:webHidden/>
              </w:rPr>
              <w:tab/>
            </w:r>
            <w:r>
              <w:rPr>
                <w:noProof/>
                <w:webHidden/>
              </w:rPr>
              <w:fldChar w:fldCharType="begin"/>
            </w:r>
            <w:r>
              <w:rPr>
                <w:noProof/>
                <w:webHidden/>
              </w:rPr>
              <w:instrText xml:space="preserve"> PAGEREF _Toc175742333 \h </w:instrText>
            </w:r>
            <w:r>
              <w:rPr>
                <w:noProof/>
                <w:webHidden/>
              </w:rPr>
            </w:r>
            <w:r>
              <w:rPr>
                <w:noProof/>
                <w:webHidden/>
              </w:rPr>
              <w:fldChar w:fldCharType="separate"/>
            </w:r>
            <w:r>
              <w:rPr>
                <w:noProof/>
                <w:webHidden/>
              </w:rPr>
              <w:t>148</w:t>
            </w:r>
            <w:r>
              <w:rPr>
                <w:noProof/>
                <w:webHidden/>
              </w:rPr>
              <w:fldChar w:fldCharType="end"/>
            </w:r>
          </w:hyperlink>
        </w:p>
        <w:p w14:paraId="34B600EF" w14:textId="69284DDB" w:rsidR="007C3BCE" w:rsidRDefault="007C3BCE">
          <w:pPr>
            <w:pStyle w:val="TOC3"/>
            <w:tabs>
              <w:tab w:val="right" w:leader="dot" w:pos="9016"/>
            </w:tabs>
            <w:rPr>
              <w:rFonts w:eastAsiaTheme="minorEastAsia" w:cstheme="minorBidi"/>
              <w:noProof/>
              <w:kern w:val="2"/>
              <w:sz w:val="24"/>
              <w:szCs w:val="24"/>
              <w14:ligatures w14:val="standardContextual"/>
            </w:rPr>
          </w:pPr>
          <w:hyperlink w:anchor="_Toc175742334" w:history="1">
            <w:r w:rsidRPr="00570643">
              <w:rPr>
                <w:rStyle w:val="Hyperlink"/>
                <w:noProof/>
              </w:rPr>
              <w:t>5.5.2 Objective two: interpretation of inter-rater agreement analysis</w:t>
            </w:r>
            <w:r>
              <w:rPr>
                <w:noProof/>
                <w:webHidden/>
              </w:rPr>
              <w:tab/>
            </w:r>
            <w:r>
              <w:rPr>
                <w:noProof/>
                <w:webHidden/>
              </w:rPr>
              <w:fldChar w:fldCharType="begin"/>
            </w:r>
            <w:r>
              <w:rPr>
                <w:noProof/>
                <w:webHidden/>
              </w:rPr>
              <w:instrText xml:space="preserve"> PAGEREF _Toc175742334 \h </w:instrText>
            </w:r>
            <w:r>
              <w:rPr>
                <w:noProof/>
                <w:webHidden/>
              </w:rPr>
            </w:r>
            <w:r>
              <w:rPr>
                <w:noProof/>
                <w:webHidden/>
              </w:rPr>
              <w:fldChar w:fldCharType="separate"/>
            </w:r>
            <w:r>
              <w:rPr>
                <w:noProof/>
                <w:webHidden/>
              </w:rPr>
              <w:t>150</w:t>
            </w:r>
            <w:r>
              <w:rPr>
                <w:noProof/>
                <w:webHidden/>
              </w:rPr>
              <w:fldChar w:fldCharType="end"/>
            </w:r>
          </w:hyperlink>
        </w:p>
        <w:p w14:paraId="454EB2AE" w14:textId="636EDE9F" w:rsidR="007C3BCE" w:rsidRDefault="007C3BCE">
          <w:pPr>
            <w:pStyle w:val="TOC3"/>
            <w:tabs>
              <w:tab w:val="right" w:leader="dot" w:pos="9016"/>
            </w:tabs>
            <w:rPr>
              <w:rFonts w:eastAsiaTheme="minorEastAsia" w:cstheme="minorBidi"/>
              <w:noProof/>
              <w:kern w:val="2"/>
              <w:sz w:val="24"/>
              <w:szCs w:val="24"/>
              <w14:ligatures w14:val="standardContextual"/>
            </w:rPr>
          </w:pPr>
          <w:hyperlink w:anchor="_Toc175742335" w:history="1">
            <w:r w:rsidRPr="00570643">
              <w:rPr>
                <w:rStyle w:val="Hyperlink"/>
                <w:noProof/>
              </w:rPr>
              <w:t>5.5.3 Objective three: recommendations for combining EQ-5D dimensions by respondent-type</w:t>
            </w:r>
            <w:r>
              <w:rPr>
                <w:noProof/>
                <w:webHidden/>
              </w:rPr>
              <w:tab/>
            </w:r>
            <w:r>
              <w:rPr>
                <w:noProof/>
                <w:webHidden/>
              </w:rPr>
              <w:fldChar w:fldCharType="begin"/>
            </w:r>
            <w:r>
              <w:rPr>
                <w:noProof/>
                <w:webHidden/>
              </w:rPr>
              <w:instrText xml:space="preserve"> PAGEREF _Toc175742335 \h </w:instrText>
            </w:r>
            <w:r>
              <w:rPr>
                <w:noProof/>
                <w:webHidden/>
              </w:rPr>
            </w:r>
            <w:r>
              <w:rPr>
                <w:noProof/>
                <w:webHidden/>
              </w:rPr>
              <w:fldChar w:fldCharType="separate"/>
            </w:r>
            <w:r>
              <w:rPr>
                <w:noProof/>
                <w:webHidden/>
              </w:rPr>
              <w:t>152</w:t>
            </w:r>
            <w:r>
              <w:rPr>
                <w:noProof/>
                <w:webHidden/>
              </w:rPr>
              <w:fldChar w:fldCharType="end"/>
            </w:r>
          </w:hyperlink>
        </w:p>
        <w:p w14:paraId="77299F97" w14:textId="14A2AC09" w:rsidR="007C3BCE" w:rsidRDefault="007C3BCE">
          <w:pPr>
            <w:pStyle w:val="TOC3"/>
            <w:tabs>
              <w:tab w:val="right" w:leader="dot" w:pos="9016"/>
            </w:tabs>
            <w:rPr>
              <w:rFonts w:eastAsiaTheme="minorEastAsia" w:cstheme="minorBidi"/>
              <w:noProof/>
              <w:kern w:val="2"/>
              <w:sz w:val="24"/>
              <w:szCs w:val="24"/>
              <w14:ligatures w14:val="standardContextual"/>
            </w:rPr>
          </w:pPr>
          <w:hyperlink w:anchor="_Toc175742336" w:history="1">
            <w:r w:rsidRPr="00570643">
              <w:rPr>
                <w:rStyle w:val="Hyperlink"/>
                <w:noProof/>
              </w:rPr>
              <w:t>5.5.4 Implication for economic evaluations</w:t>
            </w:r>
            <w:r>
              <w:rPr>
                <w:noProof/>
                <w:webHidden/>
              </w:rPr>
              <w:tab/>
            </w:r>
            <w:r>
              <w:rPr>
                <w:noProof/>
                <w:webHidden/>
              </w:rPr>
              <w:fldChar w:fldCharType="begin"/>
            </w:r>
            <w:r>
              <w:rPr>
                <w:noProof/>
                <w:webHidden/>
              </w:rPr>
              <w:instrText xml:space="preserve"> PAGEREF _Toc175742336 \h </w:instrText>
            </w:r>
            <w:r>
              <w:rPr>
                <w:noProof/>
                <w:webHidden/>
              </w:rPr>
            </w:r>
            <w:r>
              <w:rPr>
                <w:noProof/>
                <w:webHidden/>
              </w:rPr>
              <w:fldChar w:fldCharType="separate"/>
            </w:r>
            <w:r>
              <w:rPr>
                <w:noProof/>
                <w:webHidden/>
              </w:rPr>
              <w:t>153</w:t>
            </w:r>
            <w:r>
              <w:rPr>
                <w:noProof/>
                <w:webHidden/>
              </w:rPr>
              <w:fldChar w:fldCharType="end"/>
            </w:r>
          </w:hyperlink>
        </w:p>
        <w:p w14:paraId="12DC50A8" w14:textId="07BC2EF9" w:rsidR="007C3BCE" w:rsidRDefault="007C3BCE">
          <w:pPr>
            <w:pStyle w:val="TOC3"/>
            <w:tabs>
              <w:tab w:val="right" w:leader="dot" w:pos="9016"/>
            </w:tabs>
            <w:rPr>
              <w:rFonts w:eastAsiaTheme="minorEastAsia" w:cstheme="minorBidi"/>
              <w:noProof/>
              <w:kern w:val="2"/>
              <w:sz w:val="24"/>
              <w:szCs w:val="24"/>
              <w14:ligatures w14:val="standardContextual"/>
            </w:rPr>
          </w:pPr>
          <w:hyperlink w:anchor="_Toc175742337" w:history="1">
            <w:r w:rsidRPr="00570643">
              <w:rPr>
                <w:rStyle w:val="Hyperlink"/>
                <w:noProof/>
              </w:rPr>
              <w:t>5.5.5 Strengths</w:t>
            </w:r>
            <w:r>
              <w:rPr>
                <w:noProof/>
                <w:webHidden/>
              </w:rPr>
              <w:tab/>
            </w:r>
            <w:r>
              <w:rPr>
                <w:noProof/>
                <w:webHidden/>
              </w:rPr>
              <w:fldChar w:fldCharType="begin"/>
            </w:r>
            <w:r>
              <w:rPr>
                <w:noProof/>
                <w:webHidden/>
              </w:rPr>
              <w:instrText xml:space="preserve"> PAGEREF _Toc175742337 \h </w:instrText>
            </w:r>
            <w:r>
              <w:rPr>
                <w:noProof/>
                <w:webHidden/>
              </w:rPr>
            </w:r>
            <w:r>
              <w:rPr>
                <w:noProof/>
                <w:webHidden/>
              </w:rPr>
              <w:fldChar w:fldCharType="separate"/>
            </w:r>
            <w:r>
              <w:rPr>
                <w:noProof/>
                <w:webHidden/>
              </w:rPr>
              <w:t>154</w:t>
            </w:r>
            <w:r>
              <w:rPr>
                <w:noProof/>
                <w:webHidden/>
              </w:rPr>
              <w:fldChar w:fldCharType="end"/>
            </w:r>
          </w:hyperlink>
        </w:p>
        <w:p w14:paraId="290EE69E" w14:textId="65825D1A" w:rsidR="007C3BCE" w:rsidRDefault="007C3BCE">
          <w:pPr>
            <w:pStyle w:val="TOC3"/>
            <w:tabs>
              <w:tab w:val="right" w:leader="dot" w:pos="9016"/>
            </w:tabs>
            <w:rPr>
              <w:rFonts w:eastAsiaTheme="minorEastAsia" w:cstheme="minorBidi"/>
              <w:noProof/>
              <w:kern w:val="2"/>
              <w:sz w:val="24"/>
              <w:szCs w:val="24"/>
              <w14:ligatures w14:val="standardContextual"/>
            </w:rPr>
          </w:pPr>
          <w:hyperlink w:anchor="_Toc175742338" w:history="1">
            <w:r w:rsidRPr="00570643">
              <w:rPr>
                <w:rStyle w:val="Hyperlink"/>
                <w:noProof/>
              </w:rPr>
              <w:t>5.5.6 Limitations</w:t>
            </w:r>
            <w:r>
              <w:rPr>
                <w:noProof/>
                <w:webHidden/>
              </w:rPr>
              <w:tab/>
            </w:r>
            <w:r>
              <w:rPr>
                <w:noProof/>
                <w:webHidden/>
              </w:rPr>
              <w:fldChar w:fldCharType="begin"/>
            </w:r>
            <w:r>
              <w:rPr>
                <w:noProof/>
                <w:webHidden/>
              </w:rPr>
              <w:instrText xml:space="preserve"> PAGEREF _Toc175742338 \h </w:instrText>
            </w:r>
            <w:r>
              <w:rPr>
                <w:noProof/>
                <w:webHidden/>
              </w:rPr>
            </w:r>
            <w:r>
              <w:rPr>
                <w:noProof/>
                <w:webHidden/>
              </w:rPr>
              <w:fldChar w:fldCharType="separate"/>
            </w:r>
            <w:r>
              <w:rPr>
                <w:noProof/>
                <w:webHidden/>
              </w:rPr>
              <w:t>155</w:t>
            </w:r>
            <w:r>
              <w:rPr>
                <w:noProof/>
                <w:webHidden/>
              </w:rPr>
              <w:fldChar w:fldCharType="end"/>
            </w:r>
          </w:hyperlink>
        </w:p>
        <w:p w14:paraId="3BB20DF8" w14:textId="5AF1010C" w:rsidR="007C3BCE" w:rsidRDefault="007C3BCE">
          <w:pPr>
            <w:pStyle w:val="TOC2"/>
            <w:tabs>
              <w:tab w:val="right" w:leader="dot" w:pos="9016"/>
            </w:tabs>
            <w:rPr>
              <w:rFonts w:eastAsiaTheme="minorEastAsia" w:cstheme="minorBidi"/>
              <w:b w:val="0"/>
              <w:bCs w:val="0"/>
              <w:noProof/>
              <w:kern w:val="2"/>
              <w:sz w:val="24"/>
              <w:szCs w:val="24"/>
              <w14:ligatures w14:val="standardContextual"/>
            </w:rPr>
          </w:pPr>
          <w:hyperlink w:anchor="_Toc175742339" w:history="1">
            <w:r w:rsidRPr="00570643">
              <w:rPr>
                <w:rStyle w:val="Hyperlink"/>
                <w:noProof/>
              </w:rPr>
              <w:t>5.6 Patient and public involvement and engagement session two: analysing quality of life in dementia - deciding what matters together</w:t>
            </w:r>
            <w:r>
              <w:rPr>
                <w:noProof/>
                <w:webHidden/>
              </w:rPr>
              <w:tab/>
            </w:r>
            <w:r>
              <w:rPr>
                <w:noProof/>
                <w:webHidden/>
              </w:rPr>
              <w:fldChar w:fldCharType="begin"/>
            </w:r>
            <w:r>
              <w:rPr>
                <w:noProof/>
                <w:webHidden/>
              </w:rPr>
              <w:instrText xml:space="preserve"> PAGEREF _Toc175742339 \h </w:instrText>
            </w:r>
            <w:r>
              <w:rPr>
                <w:noProof/>
                <w:webHidden/>
              </w:rPr>
            </w:r>
            <w:r>
              <w:rPr>
                <w:noProof/>
                <w:webHidden/>
              </w:rPr>
              <w:fldChar w:fldCharType="separate"/>
            </w:r>
            <w:r>
              <w:rPr>
                <w:noProof/>
                <w:webHidden/>
              </w:rPr>
              <w:t>157</w:t>
            </w:r>
            <w:r>
              <w:rPr>
                <w:noProof/>
                <w:webHidden/>
              </w:rPr>
              <w:fldChar w:fldCharType="end"/>
            </w:r>
          </w:hyperlink>
        </w:p>
        <w:p w14:paraId="38CEC361" w14:textId="43D2071B" w:rsidR="007C3BCE" w:rsidRDefault="007C3BCE">
          <w:pPr>
            <w:pStyle w:val="TOC3"/>
            <w:tabs>
              <w:tab w:val="right" w:leader="dot" w:pos="9016"/>
            </w:tabs>
            <w:rPr>
              <w:rFonts w:eastAsiaTheme="minorEastAsia" w:cstheme="minorBidi"/>
              <w:noProof/>
              <w:kern w:val="2"/>
              <w:sz w:val="24"/>
              <w:szCs w:val="24"/>
              <w14:ligatures w14:val="standardContextual"/>
            </w:rPr>
          </w:pPr>
          <w:hyperlink w:anchor="_Toc175742340" w:history="1">
            <w:r w:rsidRPr="00570643">
              <w:rPr>
                <w:rStyle w:val="Hyperlink"/>
                <w:noProof/>
              </w:rPr>
              <w:t>5.6.1 Summary of PPIE results and discussion</w:t>
            </w:r>
            <w:r>
              <w:rPr>
                <w:noProof/>
                <w:webHidden/>
              </w:rPr>
              <w:tab/>
            </w:r>
            <w:r>
              <w:rPr>
                <w:noProof/>
                <w:webHidden/>
              </w:rPr>
              <w:fldChar w:fldCharType="begin"/>
            </w:r>
            <w:r>
              <w:rPr>
                <w:noProof/>
                <w:webHidden/>
              </w:rPr>
              <w:instrText xml:space="preserve"> PAGEREF _Toc175742340 \h </w:instrText>
            </w:r>
            <w:r>
              <w:rPr>
                <w:noProof/>
                <w:webHidden/>
              </w:rPr>
            </w:r>
            <w:r>
              <w:rPr>
                <w:noProof/>
                <w:webHidden/>
              </w:rPr>
              <w:fldChar w:fldCharType="separate"/>
            </w:r>
            <w:r>
              <w:rPr>
                <w:noProof/>
                <w:webHidden/>
              </w:rPr>
              <w:t>157</w:t>
            </w:r>
            <w:r>
              <w:rPr>
                <w:noProof/>
                <w:webHidden/>
              </w:rPr>
              <w:fldChar w:fldCharType="end"/>
            </w:r>
          </w:hyperlink>
        </w:p>
        <w:p w14:paraId="6F2A235F" w14:textId="4C5BE12B" w:rsidR="007C3BCE" w:rsidRDefault="007C3BCE">
          <w:pPr>
            <w:pStyle w:val="TOC2"/>
            <w:tabs>
              <w:tab w:val="right" w:leader="dot" w:pos="9016"/>
            </w:tabs>
            <w:rPr>
              <w:rFonts w:eastAsiaTheme="minorEastAsia" w:cstheme="minorBidi"/>
              <w:b w:val="0"/>
              <w:bCs w:val="0"/>
              <w:noProof/>
              <w:kern w:val="2"/>
              <w:sz w:val="24"/>
              <w:szCs w:val="24"/>
              <w14:ligatures w14:val="standardContextual"/>
            </w:rPr>
          </w:pPr>
          <w:hyperlink w:anchor="_Toc175742341" w:history="1">
            <w:r w:rsidRPr="00570643">
              <w:rPr>
                <w:rStyle w:val="Hyperlink"/>
                <w:noProof/>
              </w:rPr>
              <w:t>5.7 Conclusion</w:t>
            </w:r>
            <w:r>
              <w:rPr>
                <w:noProof/>
                <w:webHidden/>
              </w:rPr>
              <w:tab/>
            </w:r>
            <w:r>
              <w:rPr>
                <w:noProof/>
                <w:webHidden/>
              </w:rPr>
              <w:fldChar w:fldCharType="begin"/>
            </w:r>
            <w:r>
              <w:rPr>
                <w:noProof/>
                <w:webHidden/>
              </w:rPr>
              <w:instrText xml:space="preserve"> PAGEREF _Toc175742341 \h </w:instrText>
            </w:r>
            <w:r>
              <w:rPr>
                <w:noProof/>
                <w:webHidden/>
              </w:rPr>
            </w:r>
            <w:r>
              <w:rPr>
                <w:noProof/>
                <w:webHidden/>
              </w:rPr>
              <w:fldChar w:fldCharType="separate"/>
            </w:r>
            <w:r>
              <w:rPr>
                <w:noProof/>
                <w:webHidden/>
              </w:rPr>
              <w:t>158</w:t>
            </w:r>
            <w:r>
              <w:rPr>
                <w:noProof/>
                <w:webHidden/>
              </w:rPr>
              <w:fldChar w:fldCharType="end"/>
            </w:r>
          </w:hyperlink>
        </w:p>
        <w:p w14:paraId="3E9BEA20" w14:textId="6367F73C" w:rsidR="007C3BCE" w:rsidRDefault="007C3BCE">
          <w:pPr>
            <w:pStyle w:val="TOC1"/>
            <w:tabs>
              <w:tab w:val="right" w:leader="dot" w:pos="9016"/>
            </w:tabs>
            <w:rPr>
              <w:rFonts w:eastAsiaTheme="minorEastAsia" w:cstheme="minorBidi"/>
              <w:b w:val="0"/>
              <w:bCs w:val="0"/>
              <w:i w:val="0"/>
              <w:iCs w:val="0"/>
              <w:noProof/>
              <w:kern w:val="2"/>
              <w14:ligatures w14:val="standardContextual"/>
            </w:rPr>
          </w:pPr>
          <w:hyperlink w:anchor="_Toc175742342" w:history="1">
            <w:r w:rsidRPr="00570643">
              <w:rPr>
                <w:rStyle w:val="Hyperlink"/>
                <w:noProof/>
              </w:rPr>
              <w:t>6 Mapping to the combined-EQ-5D utility score</w:t>
            </w:r>
            <w:r>
              <w:rPr>
                <w:noProof/>
                <w:webHidden/>
              </w:rPr>
              <w:tab/>
            </w:r>
            <w:r>
              <w:rPr>
                <w:noProof/>
                <w:webHidden/>
              </w:rPr>
              <w:fldChar w:fldCharType="begin"/>
            </w:r>
            <w:r>
              <w:rPr>
                <w:noProof/>
                <w:webHidden/>
              </w:rPr>
              <w:instrText xml:space="preserve"> PAGEREF _Toc175742342 \h </w:instrText>
            </w:r>
            <w:r>
              <w:rPr>
                <w:noProof/>
                <w:webHidden/>
              </w:rPr>
            </w:r>
            <w:r>
              <w:rPr>
                <w:noProof/>
                <w:webHidden/>
              </w:rPr>
              <w:fldChar w:fldCharType="separate"/>
            </w:r>
            <w:r>
              <w:rPr>
                <w:noProof/>
                <w:webHidden/>
              </w:rPr>
              <w:t>159</w:t>
            </w:r>
            <w:r>
              <w:rPr>
                <w:noProof/>
                <w:webHidden/>
              </w:rPr>
              <w:fldChar w:fldCharType="end"/>
            </w:r>
          </w:hyperlink>
        </w:p>
        <w:p w14:paraId="7E7195C7" w14:textId="7118882B" w:rsidR="007C3BCE" w:rsidRDefault="007C3BCE">
          <w:pPr>
            <w:pStyle w:val="TOC2"/>
            <w:tabs>
              <w:tab w:val="right" w:leader="dot" w:pos="9016"/>
            </w:tabs>
            <w:rPr>
              <w:rFonts w:eastAsiaTheme="minorEastAsia" w:cstheme="minorBidi"/>
              <w:b w:val="0"/>
              <w:bCs w:val="0"/>
              <w:noProof/>
              <w:kern w:val="2"/>
              <w:sz w:val="24"/>
              <w:szCs w:val="24"/>
              <w14:ligatures w14:val="standardContextual"/>
            </w:rPr>
          </w:pPr>
          <w:hyperlink w:anchor="_Toc175742343" w:history="1">
            <w:r w:rsidRPr="00570643">
              <w:rPr>
                <w:rStyle w:val="Hyperlink"/>
                <w:noProof/>
              </w:rPr>
              <w:t>6.1 Introduction</w:t>
            </w:r>
            <w:r>
              <w:rPr>
                <w:noProof/>
                <w:webHidden/>
              </w:rPr>
              <w:tab/>
            </w:r>
            <w:r>
              <w:rPr>
                <w:noProof/>
                <w:webHidden/>
              </w:rPr>
              <w:fldChar w:fldCharType="begin"/>
            </w:r>
            <w:r>
              <w:rPr>
                <w:noProof/>
                <w:webHidden/>
              </w:rPr>
              <w:instrText xml:space="preserve"> PAGEREF _Toc175742343 \h </w:instrText>
            </w:r>
            <w:r>
              <w:rPr>
                <w:noProof/>
                <w:webHidden/>
              </w:rPr>
            </w:r>
            <w:r>
              <w:rPr>
                <w:noProof/>
                <w:webHidden/>
              </w:rPr>
              <w:fldChar w:fldCharType="separate"/>
            </w:r>
            <w:r>
              <w:rPr>
                <w:noProof/>
                <w:webHidden/>
              </w:rPr>
              <w:t>159</w:t>
            </w:r>
            <w:r>
              <w:rPr>
                <w:noProof/>
                <w:webHidden/>
              </w:rPr>
              <w:fldChar w:fldCharType="end"/>
            </w:r>
          </w:hyperlink>
        </w:p>
        <w:p w14:paraId="668BF06C" w14:textId="2457010B" w:rsidR="007C3BCE" w:rsidRDefault="007C3BCE">
          <w:pPr>
            <w:pStyle w:val="TOC2"/>
            <w:tabs>
              <w:tab w:val="right" w:leader="dot" w:pos="9016"/>
            </w:tabs>
            <w:rPr>
              <w:rFonts w:eastAsiaTheme="minorEastAsia" w:cstheme="minorBidi"/>
              <w:b w:val="0"/>
              <w:bCs w:val="0"/>
              <w:noProof/>
              <w:kern w:val="2"/>
              <w:sz w:val="24"/>
              <w:szCs w:val="24"/>
              <w14:ligatures w14:val="standardContextual"/>
            </w:rPr>
          </w:pPr>
          <w:hyperlink w:anchor="_Toc175742344" w:history="1">
            <w:r w:rsidRPr="00570643">
              <w:rPr>
                <w:rStyle w:val="Hyperlink"/>
                <w:noProof/>
              </w:rPr>
              <w:t>6.2 Aims and objectives</w:t>
            </w:r>
            <w:r>
              <w:rPr>
                <w:noProof/>
                <w:webHidden/>
              </w:rPr>
              <w:tab/>
            </w:r>
            <w:r>
              <w:rPr>
                <w:noProof/>
                <w:webHidden/>
              </w:rPr>
              <w:fldChar w:fldCharType="begin"/>
            </w:r>
            <w:r>
              <w:rPr>
                <w:noProof/>
                <w:webHidden/>
              </w:rPr>
              <w:instrText xml:space="preserve"> PAGEREF _Toc175742344 \h </w:instrText>
            </w:r>
            <w:r>
              <w:rPr>
                <w:noProof/>
                <w:webHidden/>
              </w:rPr>
            </w:r>
            <w:r>
              <w:rPr>
                <w:noProof/>
                <w:webHidden/>
              </w:rPr>
              <w:fldChar w:fldCharType="separate"/>
            </w:r>
            <w:r>
              <w:rPr>
                <w:noProof/>
                <w:webHidden/>
              </w:rPr>
              <w:t>160</w:t>
            </w:r>
            <w:r>
              <w:rPr>
                <w:noProof/>
                <w:webHidden/>
              </w:rPr>
              <w:fldChar w:fldCharType="end"/>
            </w:r>
          </w:hyperlink>
        </w:p>
        <w:p w14:paraId="21934643" w14:textId="2DAE326D" w:rsidR="007C3BCE" w:rsidRDefault="007C3BCE">
          <w:pPr>
            <w:pStyle w:val="TOC2"/>
            <w:tabs>
              <w:tab w:val="right" w:leader="dot" w:pos="9016"/>
            </w:tabs>
            <w:rPr>
              <w:rFonts w:eastAsiaTheme="minorEastAsia" w:cstheme="minorBidi"/>
              <w:b w:val="0"/>
              <w:bCs w:val="0"/>
              <w:noProof/>
              <w:kern w:val="2"/>
              <w:sz w:val="24"/>
              <w:szCs w:val="24"/>
              <w14:ligatures w14:val="standardContextual"/>
            </w:rPr>
          </w:pPr>
          <w:hyperlink w:anchor="_Toc175742345" w:history="1">
            <w:r w:rsidRPr="00570643">
              <w:rPr>
                <w:rStyle w:val="Hyperlink"/>
                <w:noProof/>
              </w:rPr>
              <w:t>6.3 Methods</w:t>
            </w:r>
            <w:r>
              <w:rPr>
                <w:noProof/>
                <w:webHidden/>
              </w:rPr>
              <w:tab/>
            </w:r>
            <w:r>
              <w:rPr>
                <w:noProof/>
                <w:webHidden/>
              </w:rPr>
              <w:fldChar w:fldCharType="begin"/>
            </w:r>
            <w:r>
              <w:rPr>
                <w:noProof/>
                <w:webHidden/>
              </w:rPr>
              <w:instrText xml:space="preserve"> PAGEREF _Toc175742345 \h </w:instrText>
            </w:r>
            <w:r>
              <w:rPr>
                <w:noProof/>
                <w:webHidden/>
              </w:rPr>
            </w:r>
            <w:r>
              <w:rPr>
                <w:noProof/>
                <w:webHidden/>
              </w:rPr>
              <w:fldChar w:fldCharType="separate"/>
            </w:r>
            <w:r>
              <w:rPr>
                <w:noProof/>
                <w:webHidden/>
              </w:rPr>
              <w:t>160</w:t>
            </w:r>
            <w:r>
              <w:rPr>
                <w:noProof/>
                <w:webHidden/>
              </w:rPr>
              <w:fldChar w:fldCharType="end"/>
            </w:r>
          </w:hyperlink>
        </w:p>
        <w:p w14:paraId="29FB48D1" w14:textId="62B37268" w:rsidR="007C3BCE" w:rsidRDefault="007C3BCE">
          <w:pPr>
            <w:pStyle w:val="TOC3"/>
            <w:tabs>
              <w:tab w:val="right" w:leader="dot" w:pos="9016"/>
            </w:tabs>
            <w:rPr>
              <w:rFonts w:eastAsiaTheme="minorEastAsia" w:cstheme="minorBidi"/>
              <w:noProof/>
              <w:kern w:val="2"/>
              <w:sz w:val="24"/>
              <w:szCs w:val="24"/>
              <w14:ligatures w14:val="standardContextual"/>
            </w:rPr>
          </w:pPr>
          <w:hyperlink w:anchor="_Toc175742346" w:history="1">
            <w:r w:rsidRPr="00570643">
              <w:rPr>
                <w:rStyle w:val="Hyperlink"/>
                <w:noProof/>
              </w:rPr>
              <w:t>6.3.1 ACTIFCARE and EPIC trial data</w:t>
            </w:r>
            <w:r>
              <w:rPr>
                <w:noProof/>
                <w:webHidden/>
              </w:rPr>
              <w:tab/>
            </w:r>
            <w:r>
              <w:rPr>
                <w:noProof/>
                <w:webHidden/>
              </w:rPr>
              <w:fldChar w:fldCharType="begin"/>
            </w:r>
            <w:r>
              <w:rPr>
                <w:noProof/>
                <w:webHidden/>
              </w:rPr>
              <w:instrText xml:space="preserve"> PAGEREF _Toc175742346 \h </w:instrText>
            </w:r>
            <w:r>
              <w:rPr>
                <w:noProof/>
                <w:webHidden/>
              </w:rPr>
            </w:r>
            <w:r>
              <w:rPr>
                <w:noProof/>
                <w:webHidden/>
              </w:rPr>
              <w:fldChar w:fldCharType="separate"/>
            </w:r>
            <w:r>
              <w:rPr>
                <w:noProof/>
                <w:webHidden/>
              </w:rPr>
              <w:t>161</w:t>
            </w:r>
            <w:r>
              <w:rPr>
                <w:noProof/>
                <w:webHidden/>
              </w:rPr>
              <w:fldChar w:fldCharType="end"/>
            </w:r>
          </w:hyperlink>
        </w:p>
        <w:p w14:paraId="2825308D" w14:textId="37F7BFB8" w:rsidR="007C3BCE" w:rsidRDefault="007C3BCE">
          <w:pPr>
            <w:pStyle w:val="TOC3"/>
            <w:tabs>
              <w:tab w:val="right" w:leader="dot" w:pos="9016"/>
            </w:tabs>
            <w:rPr>
              <w:rFonts w:eastAsiaTheme="minorEastAsia" w:cstheme="minorBidi"/>
              <w:noProof/>
              <w:kern w:val="2"/>
              <w:sz w:val="24"/>
              <w:szCs w:val="24"/>
              <w14:ligatures w14:val="standardContextual"/>
            </w:rPr>
          </w:pPr>
          <w:hyperlink w:anchor="_Toc175742347" w:history="1">
            <w:r w:rsidRPr="00570643">
              <w:rPr>
                <w:rStyle w:val="Hyperlink"/>
                <w:noProof/>
              </w:rPr>
              <w:t>6.3.2 Ordered probit regression models</w:t>
            </w:r>
            <w:r>
              <w:rPr>
                <w:noProof/>
                <w:webHidden/>
              </w:rPr>
              <w:tab/>
            </w:r>
            <w:r>
              <w:rPr>
                <w:noProof/>
                <w:webHidden/>
              </w:rPr>
              <w:fldChar w:fldCharType="begin"/>
            </w:r>
            <w:r>
              <w:rPr>
                <w:noProof/>
                <w:webHidden/>
              </w:rPr>
              <w:instrText xml:space="preserve"> PAGEREF _Toc175742347 \h </w:instrText>
            </w:r>
            <w:r>
              <w:rPr>
                <w:noProof/>
                <w:webHidden/>
              </w:rPr>
            </w:r>
            <w:r>
              <w:rPr>
                <w:noProof/>
                <w:webHidden/>
              </w:rPr>
              <w:fldChar w:fldCharType="separate"/>
            </w:r>
            <w:r>
              <w:rPr>
                <w:noProof/>
                <w:webHidden/>
              </w:rPr>
              <w:t>161</w:t>
            </w:r>
            <w:r>
              <w:rPr>
                <w:noProof/>
                <w:webHidden/>
              </w:rPr>
              <w:fldChar w:fldCharType="end"/>
            </w:r>
          </w:hyperlink>
        </w:p>
        <w:p w14:paraId="35C454A9" w14:textId="7301A53A" w:rsidR="007C3BCE" w:rsidRDefault="007C3BCE">
          <w:pPr>
            <w:pStyle w:val="TOC3"/>
            <w:tabs>
              <w:tab w:val="right" w:leader="dot" w:pos="9016"/>
            </w:tabs>
            <w:rPr>
              <w:rFonts w:eastAsiaTheme="minorEastAsia" w:cstheme="minorBidi"/>
              <w:noProof/>
              <w:kern w:val="2"/>
              <w:sz w:val="24"/>
              <w:szCs w:val="24"/>
              <w14:ligatures w14:val="standardContextual"/>
            </w:rPr>
          </w:pPr>
          <w:hyperlink w:anchor="_Toc175742348" w:history="1">
            <w:r w:rsidRPr="00570643">
              <w:rPr>
                <w:rStyle w:val="Hyperlink"/>
                <w:noProof/>
              </w:rPr>
              <w:t>6.3.3 Marginal effects for model iterations</w:t>
            </w:r>
            <w:r>
              <w:rPr>
                <w:noProof/>
                <w:webHidden/>
              </w:rPr>
              <w:tab/>
            </w:r>
            <w:r>
              <w:rPr>
                <w:noProof/>
                <w:webHidden/>
              </w:rPr>
              <w:fldChar w:fldCharType="begin"/>
            </w:r>
            <w:r>
              <w:rPr>
                <w:noProof/>
                <w:webHidden/>
              </w:rPr>
              <w:instrText xml:space="preserve"> PAGEREF _Toc175742348 \h </w:instrText>
            </w:r>
            <w:r>
              <w:rPr>
                <w:noProof/>
                <w:webHidden/>
              </w:rPr>
            </w:r>
            <w:r>
              <w:rPr>
                <w:noProof/>
                <w:webHidden/>
              </w:rPr>
              <w:fldChar w:fldCharType="separate"/>
            </w:r>
            <w:r>
              <w:rPr>
                <w:noProof/>
                <w:webHidden/>
              </w:rPr>
              <w:t>163</w:t>
            </w:r>
            <w:r>
              <w:rPr>
                <w:noProof/>
                <w:webHidden/>
              </w:rPr>
              <w:fldChar w:fldCharType="end"/>
            </w:r>
          </w:hyperlink>
        </w:p>
        <w:p w14:paraId="47F09D27" w14:textId="5A268F69" w:rsidR="007C3BCE" w:rsidRDefault="007C3BCE">
          <w:pPr>
            <w:pStyle w:val="TOC3"/>
            <w:tabs>
              <w:tab w:val="right" w:leader="dot" w:pos="9016"/>
            </w:tabs>
            <w:rPr>
              <w:rFonts w:eastAsiaTheme="minorEastAsia" w:cstheme="minorBidi"/>
              <w:noProof/>
              <w:kern w:val="2"/>
              <w:sz w:val="24"/>
              <w:szCs w:val="24"/>
              <w14:ligatures w14:val="standardContextual"/>
            </w:rPr>
          </w:pPr>
          <w:hyperlink w:anchor="_Toc175742349" w:history="1">
            <w:r w:rsidRPr="00570643">
              <w:rPr>
                <w:rStyle w:val="Hyperlink"/>
                <w:noProof/>
              </w:rPr>
              <w:t>6.3.4 Model fit statistics</w:t>
            </w:r>
            <w:r>
              <w:rPr>
                <w:noProof/>
                <w:webHidden/>
              </w:rPr>
              <w:tab/>
            </w:r>
            <w:r>
              <w:rPr>
                <w:noProof/>
                <w:webHidden/>
              </w:rPr>
              <w:fldChar w:fldCharType="begin"/>
            </w:r>
            <w:r>
              <w:rPr>
                <w:noProof/>
                <w:webHidden/>
              </w:rPr>
              <w:instrText xml:space="preserve"> PAGEREF _Toc175742349 \h </w:instrText>
            </w:r>
            <w:r>
              <w:rPr>
                <w:noProof/>
                <w:webHidden/>
              </w:rPr>
            </w:r>
            <w:r>
              <w:rPr>
                <w:noProof/>
                <w:webHidden/>
              </w:rPr>
              <w:fldChar w:fldCharType="separate"/>
            </w:r>
            <w:r>
              <w:rPr>
                <w:noProof/>
                <w:webHidden/>
              </w:rPr>
              <w:t>163</w:t>
            </w:r>
            <w:r>
              <w:rPr>
                <w:noProof/>
                <w:webHidden/>
              </w:rPr>
              <w:fldChar w:fldCharType="end"/>
            </w:r>
          </w:hyperlink>
        </w:p>
        <w:p w14:paraId="74C9BF20" w14:textId="6F36A44F" w:rsidR="007C3BCE" w:rsidRDefault="007C3BCE">
          <w:pPr>
            <w:pStyle w:val="TOC3"/>
            <w:tabs>
              <w:tab w:val="right" w:leader="dot" w:pos="9016"/>
            </w:tabs>
            <w:rPr>
              <w:rFonts w:eastAsiaTheme="minorEastAsia" w:cstheme="minorBidi"/>
              <w:noProof/>
              <w:kern w:val="2"/>
              <w:sz w:val="24"/>
              <w:szCs w:val="24"/>
              <w14:ligatures w14:val="standardContextual"/>
            </w:rPr>
          </w:pPr>
          <w:hyperlink w:anchor="_Toc175742350" w:history="1">
            <w:r w:rsidRPr="00570643">
              <w:rPr>
                <w:rStyle w:val="Hyperlink"/>
                <w:noProof/>
              </w:rPr>
              <w:t>6.3.5 Trial indicator variable</w:t>
            </w:r>
            <w:r>
              <w:rPr>
                <w:noProof/>
                <w:webHidden/>
              </w:rPr>
              <w:tab/>
            </w:r>
            <w:r>
              <w:rPr>
                <w:noProof/>
                <w:webHidden/>
              </w:rPr>
              <w:fldChar w:fldCharType="begin"/>
            </w:r>
            <w:r>
              <w:rPr>
                <w:noProof/>
                <w:webHidden/>
              </w:rPr>
              <w:instrText xml:space="preserve"> PAGEREF _Toc175742350 \h </w:instrText>
            </w:r>
            <w:r>
              <w:rPr>
                <w:noProof/>
                <w:webHidden/>
              </w:rPr>
            </w:r>
            <w:r>
              <w:rPr>
                <w:noProof/>
                <w:webHidden/>
              </w:rPr>
              <w:fldChar w:fldCharType="separate"/>
            </w:r>
            <w:r>
              <w:rPr>
                <w:noProof/>
                <w:webHidden/>
              </w:rPr>
              <w:t>164</w:t>
            </w:r>
            <w:r>
              <w:rPr>
                <w:noProof/>
                <w:webHidden/>
              </w:rPr>
              <w:fldChar w:fldCharType="end"/>
            </w:r>
          </w:hyperlink>
        </w:p>
        <w:p w14:paraId="7AB62648" w14:textId="0A313E01" w:rsidR="007C3BCE" w:rsidRDefault="007C3BCE">
          <w:pPr>
            <w:pStyle w:val="TOC3"/>
            <w:tabs>
              <w:tab w:val="right" w:leader="dot" w:pos="9016"/>
            </w:tabs>
            <w:rPr>
              <w:rFonts w:eastAsiaTheme="minorEastAsia" w:cstheme="minorBidi"/>
              <w:noProof/>
              <w:kern w:val="2"/>
              <w:sz w:val="24"/>
              <w:szCs w:val="24"/>
              <w14:ligatures w14:val="standardContextual"/>
            </w:rPr>
          </w:pPr>
          <w:hyperlink w:anchor="_Toc175742351" w:history="1">
            <w:r w:rsidRPr="00570643">
              <w:rPr>
                <w:rStyle w:val="Hyperlink"/>
                <w:noProof/>
              </w:rPr>
              <w:t>6.3.6 Comparing observed and predicted data</w:t>
            </w:r>
            <w:r>
              <w:rPr>
                <w:noProof/>
                <w:webHidden/>
              </w:rPr>
              <w:tab/>
            </w:r>
            <w:r>
              <w:rPr>
                <w:noProof/>
                <w:webHidden/>
              </w:rPr>
              <w:fldChar w:fldCharType="begin"/>
            </w:r>
            <w:r>
              <w:rPr>
                <w:noProof/>
                <w:webHidden/>
              </w:rPr>
              <w:instrText xml:space="preserve"> PAGEREF _Toc175742351 \h </w:instrText>
            </w:r>
            <w:r>
              <w:rPr>
                <w:noProof/>
                <w:webHidden/>
              </w:rPr>
            </w:r>
            <w:r>
              <w:rPr>
                <w:noProof/>
                <w:webHidden/>
              </w:rPr>
              <w:fldChar w:fldCharType="separate"/>
            </w:r>
            <w:r>
              <w:rPr>
                <w:noProof/>
                <w:webHidden/>
              </w:rPr>
              <w:t>164</w:t>
            </w:r>
            <w:r>
              <w:rPr>
                <w:noProof/>
                <w:webHidden/>
              </w:rPr>
              <w:fldChar w:fldCharType="end"/>
            </w:r>
          </w:hyperlink>
        </w:p>
        <w:p w14:paraId="38E79B82" w14:textId="7DB5D476" w:rsidR="007C3BCE" w:rsidRDefault="007C3BCE">
          <w:pPr>
            <w:pStyle w:val="TOC3"/>
            <w:tabs>
              <w:tab w:val="right" w:leader="dot" w:pos="9016"/>
            </w:tabs>
            <w:rPr>
              <w:rFonts w:eastAsiaTheme="minorEastAsia" w:cstheme="minorBidi"/>
              <w:noProof/>
              <w:kern w:val="2"/>
              <w:sz w:val="24"/>
              <w:szCs w:val="24"/>
              <w14:ligatures w14:val="standardContextual"/>
            </w:rPr>
          </w:pPr>
          <w:hyperlink w:anchor="_Toc175742352" w:history="1">
            <w:r w:rsidRPr="00570643">
              <w:rPr>
                <w:rStyle w:val="Hyperlink"/>
                <w:noProof/>
              </w:rPr>
              <w:t>6.3.7 Estimating utility</w:t>
            </w:r>
            <w:r>
              <w:rPr>
                <w:noProof/>
                <w:webHidden/>
              </w:rPr>
              <w:tab/>
            </w:r>
            <w:r>
              <w:rPr>
                <w:noProof/>
                <w:webHidden/>
              </w:rPr>
              <w:fldChar w:fldCharType="begin"/>
            </w:r>
            <w:r>
              <w:rPr>
                <w:noProof/>
                <w:webHidden/>
              </w:rPr>
              <w:instrText xml:space="preserve"> PAGEREF _Toc175742352 \h </w:instrText>
            </w:r>
            <w:r>
              <w:rPr>
                <w:noProof/>
                <w:webHidden/>
              </w:rPr>
            </w:r>
            <w:r>
              <w:rPr>
                <w:noProof/>
                <w:webHidden/>
              </w:rPr>
              <w:fldChar w:fldCharType="separate"/>
            </w:r>
            <w:r>
              <w:rPr>
                <w:noProof/>
                <w:webHidden/>
              </w:rPr>
              <w:t>165</w:t>
            </w:r>
            <w:r>
              <w:rPr>
                <w:noProof/>
                <w:webHidden/>
              </w:rPr>
              <w:fldChar w:fldCharType="end"/>
            </w:r>
          </w:hyperlink>
        </w:p>
        <w:p w14:paraId="28458DBD" w14:textId="4F331CA2" w:rsidR="007C3BCE" w:rsidRDefault="007C3BCE">
          <w:pPr>
            <w:pStyle w:val="TOC2"/>
            <w:tabs>
              <w:tab w:val="right" w:leader="dot" w:pos="9016"/>
            </w:tabs>
            <w:rPr>
              <w:rFonts w:eastAsiaTheme="minorEastAsia" w:cstheme="minorBidi"/>
              <w:b w:val="0"/>
              <w:bCs w:val="0"/>
              <w:noProof/>
              <w:kern w:val="2"/>
              <w:sz w:val="24"/>
              <w:szCs w:val="24"/>
              <w14:ligatures w14:val="standardContextual"/>
            </w:rPr>
          </w:pPr>
          <w:hyperlink w:anchor="_Toc175742353" w:history="1">
            <w:r w:rsidRPr="00570643">
              <w:rPr>
                <w:rStyle w:val="Hyperlink"/>
                <w:noProof/>
              </w:rPr>
              <w:t>6.4 Results</w:t>
            </w:r>
            <w:r>
              <w:rPr>
                <w:noProof/>
                <w:webHidden/>
              </w:rPr>
              <w:tab/>
            </w:r>
            <w:r>
              <w:rPr>
                <w:noProof/>
                <w:webHidden/>
              </w:rPr>
              <w:fldChar w:fldCharType="begin"/>
            </w:r>
            <w:r>
              <w:rPr>
                <w:noProof/>
                <w:webHidden/>
              </w:rPr>
              <w:instrText xml:space="preserve"> PAGEREF _Toc175742353 \h </w:instrText>
            </w:r>
            <w:r>
              <w:rPr>
                <w:noProof/>
                <w:webHidden/>
              </w:rPr>
            </w:r>
            <w:r>
              <w:rPr>
                <w:noProof/>
                <w:webHidden/>
              </w:rPr>
              <w:fldChar w:fldCharType="separate"/>
            </w:r>
            <w:r>
              <w:rPr>
                <w:noProof/>
                <w:webHidden/>
              </w:rPr>
              <w:t>167</w:t>
            </w:r>
            <w:r>
              <w:rPr>
                <w:noProof/>
                <w:webHidden/>
              </w:rPr>
              <w:fldChar w:fldCharType="end"/>
            </w:r>
          </w:hyperlink>
        </w:p>
        <w:p w14:paraId="0F5B5864" w14:textId="0581CB93" w:rsidR="007C3BCE" w:rsidRDefault="007C3BCE">
          <w:pPr>
            <w:pStyle w:val="TOC3"/>
            <w:tabs>
              <w:tab w:val="right" w:leader="dot" w:pos="9016"/>
            </w:tabs>
            <w:rPr>
              <w:rFonts w:eastAsiaTheme="minorEastAsia" w:cstheme="minorBidi"/>
              <w:noProof/>
              <w:kern w:val="2"/>
              <w:sz w:val="24"/>
              <w:szCs w:val="24"/>
              <w14:ligatures w14:val="standardContextual"/>
            </w:rPr>
          </w:pPr>
          <w:hyperlink w:anchor="_Toc175742354" w:history="1">
            <w:r w:rsidRPr="00570643">
              <w:rPr>
                <w:rStyle w:val="Hyperlink"/>
                <w:noProof/>
              </w:rPr>
              <w:t>6.4.1 Mapping to the “mobility” dimension</w:t>
            </w:r>
            <w:r>
              <w:rPr>
                <w:noProof/>
                <w:webHidden/>
              </w:rPr>
              <w:tab/>
            </w:r>
            <w:r>
              <w:rPr>
                <w:noProof/>
                <w:webHidden/>
              </w:rPr>
              <w:fldChar w:fldCharType="begin"/>
            </w:r>
            <w:r>
              <w:rPr>
                <w:noProof/>
                <w:webHidden/>
              </w:rPr>
              <w:instrText xml:space="preserve"> PAGEREF _Toc175742354 \h </w:instrText>
            </w:r>
            <w:r>
              <w:rPr>
                <w:noProof/>
                <w:webHidden/>
              </w:rPr>
            </w:r>
            <w:r>
              <w:rPr>
                <w:noProof/>
                <w:webHidden/>
              </w:rPr>
              <w:fldChar w:fldCharType="separate"/>
            </w:r>
            <w:r>
              <w:rPr>
                <w:noProof/>
                <w:webHidden/>
              </w:rPr>
              <w:t>167</w:t>
            </w:r>
            <w:r>
              <w:rPr>
                <w:noProof/>
                <w:webHidden/>
              </w:rPr>
              <w:fldChar w:fldCharType="end"/>
            </w:r>
          </w:hyperlink>
        </w:p>
        <w:p w14:paraId="3E5AA7CE" w14:textId="69E63C15" w:rsidR="007C3BCE" w:rsidRDefault="007C3BCE">
          <w:pPr>
            <w:pStyle w:val="TOC3"/>
            <w:tabs>
              <w:tab w:val="right" w:leader="dot" w:pos="9016"/>
            </w:tabs>
            <w:rPr>
              <w:rFonts w:eastAsiaTheme="minorEastAsia" w:cstheme="minorBidi"/>
              <w:noProof/>
              <w:kern w:val="2"/>
              <w:sz w:val="24"/>
              <w:szCs w:val="24"/>
              <w14:ligatures w14:val="standardContextual"/>
            </w:rPr>
          </w:pPr>
          <w:hyperlink w:anchor="_Toc175742355" w:history="1">
            <w:r w:rsidRPr="00570643">
              <w:rPr>
                <w:rStyle w:val="Hyperlink"/>
                <w:noProof/>
              </w:rPr>
              <w:t>6.4.2 Mapping to the “self-care” dimension</w:t>
            </w:r>
            <w:r>
              <w:rPr>
                <w:noProof/>
                <w:webHidden/>
              </w:rPr>
              <w:tab/>
            </w:r>
            <w:r>
              <w:rPr>
                <w:noProof/>
                <w:webHidden/>
              </w:rPr>
              <w:fldChar w:fldCharType="begin"/>
            </w:r>
            <w:r>
              <w:rPr>
                <w:noProof/>
                <w:webHidden/>
              </w:rPr>
              <w:instrText xml:space="preserve"> PAGEREF _Toc175742355 \h </w:instrText>
            </w:r>
            <w:r>
              <w:rPr>
                <w:noProof/>
                <w:webHidden/>
              </w:rPr>
            </w:r>
            <w:r>
              <w:rPr>
                <w:noProof/>
                <w:webHidden/>
              </w:rPr>
              <w:fldChar w:fldCharType="separate"/>
            </w:r>
            <w:r>
              <w:rPr>
                <w:noProof/>
                <w:webHidden/>
              </w:rPr>
              <w:t>170</w:t>
            </w:r>
            <w:r>
              <w:rPr>
                <w:noProof/>
                <w:webHidden/>
              </w:rPr>
              <w:fldChar w:fldCharType="end"/>
            </w:r>
          </w:hyperlink>
        </w:p>
        <w:p w14:paraId="36E45B82" w14:textId="626D2BCC" w:rsidR="007C3BCE" w:rsidRDefault="007C3BCE">
          <w:pPr>
            <w:pStyle w:val="TOC3"/>
            <w:tabs>
              <w:tab w:val="right" w:leader="dot" w:pos="9016"/>
            </w:tabs>
            <w:rPr>
              <w:rFonts w:eastAsiaTheme="minorEastAsia" w:cstheme="minorBidi"/>
              <w:noProof/>
              <w:kern w:val="2"/>
              <w:sz w:val="24"/>
              <w:szCs w:val="24"/>
              <w14:ligatures w14:val="standardContextual"/>
            </w:rPr>
          </w:pPr>
          <w:hyperlink w:anchor="_Toc175742356" w:history="1">
            <w:r w:rsidRPr="00570643">
              <w:rPr>
                <w:rStyle w:val="Hyperlink"/>
                <w:noProof/>
              </w:rPr>
              <w:t>6.4.3 Mapping to the “usual activities” dimension</w:t>
            </w:r>
            <w:r>
              <w:rPr>
                <w:noProof/>
                <w:webHidden/>
              </w:rPr>
              <w:tab/>
            </w:r>
            <w:r>
              <w:rPr>
                <w:noProof/>
                <w:webHidden/>
              </w:rPr>
              <w:fldChar w:fldCharType="begin"/>
            </w:r>
            <w:r>
              <w:rPr>
                <w:noProof/>
                <w:webHidden/>
              </w:rPr>
              <w:instrText xml:space="preserve"> PAGEREF _Toc175742356 \h </w:instrText>
            </w:r>
            <w:r>
              <w:rPr>
                <w:noProof/>
                <w:webHidden/>
              </w:rPr>
            </w:r>
            <w:r>
              <w:rPr>
                <w:noProof/>
                <w:webHidden/>
              </w:rPr>
              <w:fldChar w:fldCharType="separate"/>
            </w:r>
            <w:r>
              <w:rPr>
                <w:noProof/>
                <w:webHidden/>
              </w:rPr>
              <w:t>174</w:t>
            </w:r>
            <w:r>
              <w:rPr>
                <w:noProof/>
                <w:webHidden/>
              </w:rPr>
              <w:fldChar w:fldCharType="end"/>
            </w:r>
          </w:hyperlink>
        </w:p>
        <w:p w14:paraId="7197639D" w14:textId="7253AC0F" w:rsidR="007C3BCE" w:rsidRDefault="007C3BCE">
          <w:pPr>
            <w:pStyle w:val="TOC3"/>
            <w:tabs>
              <w:tab w:val="right" w:leader="dot" w:pos="9016"/>
            </w:tabs>
            <w:rPr>
              <w:rFonts w:eastAsiaTheme="minorEastAsia" w:cstheme="minorBidi"/>
              <w:noProof/>
              <w:kern w:val="2"/>
              <w:sz w:val="24"/>
              <w:szCs w:val="24"/>
              <w14:ligatures w14:val="standardContextual"/>
            </w:rPr>
          </w:pPr>
          <w:hyperlink w:anchor="_Toc175742357" w:history="1">
            <w:r w:rsidRPr="00570643">
              <w:rPr>
                <w:rStyle w:val="Hyperlink"/>
                <w:noProof/>
              </w:rPr>
              <w:t>6.4.4 Mapping to the “pain/discomfort” dimension</w:t>
            </w:r>
            <w:r>
              <w:rPr>
                <w:noProof/>
                <w:webHidden/>
              </w:rPr>
              <w:tab/>
            </w:r>
            <w:r>
              <w:rPr>
                <w:noProof/>
                <w:webHidden/>
              </w:rPr>
              <w:fldChar w:fldCharType="begin"/>
            </w:r>
            <w:r>
              <w:rPr>
                <w:noProof/>
                <w:webHidden/>
              </w:rPr>
              <w:instrText xml:space="preserve"> PAGEREF _Toc175742357 \h </w:instrText>
            </w:r>
            <w:r>
              <w:rPr>
                <w:noProof/>
                <w:webHidden/>
              </w:rPr>
            </w:r>
            <w:r>
              <w:rPr>
                <w:noProof/>
                <w:webHidden/>
              </w:rPr>
              <w:fldChar w:fldCharType="separate"/>
            </w:r>
            <w:r>
              <w:rPr>
                <w:noProof/>
                <w:webHidden/>
              </w:rPr>
              <w:t>177</w:t>
            </w:r>
            <w:r>
              <w:rPr>
                <w:noProof/>
                <w:webHidden/>
              </w:rPr>
              <w:fldChar w:fldCharType="end"/>
            </w:r>
          </w:hyperlink>
        </w:p>
        <w:p w14:paraId="57D5729F" w14:textId="0F5AC5C5" w:rsidR="007C3BCE" w:rsidRDefault="007C3BCE">
          <w:pPr>
            <w:pStyle w:val="TOC3"/>
            <w:tabs>
              <w:tab w:val="right" w:leader="dot" w:pos="9016"/>
            </w:tabs>
            <w:rPr>
              <w:rFonts w:eastAsiaTheme="minorEastAsia" w:cstheme="minorBidi"/>
              <w:noProof/>
              <w:kern w:val="2"/>
              <w:sz w:val="24"/>
              <w:szCs w:val="24"/>
              <w14:ligatures w14:val="standardContextual"/>
            </w:rPr>
          </w:pPr>
          <w:hyperlink w:anchor="_Toc175742358" w:history="1">
            <w:r w:rsidRPr="00570643">
              <w:rPr>
                <w:rStyle w:val="Hyperlink"/>
                <w:noProof/>
              </w:rPr>
              <w:t>6.4.5 Mapping to the “anxiety/depression” dimension</w:t>
            </w:r>
            <w:r>
              <w:rPr>
                <w:noProof/>
                <w:webHidden/>
              </w:rPr>
              <w:tab/>
            </w:r>
            <w:r>
              <w:rPr>
                <w:noProof/>
                <w:webHidden/>
              </w:rPr>
              <w:fldChar w:fldCharType="begin"/>
            </w:r>
            <w:r>
              <w:rPr>
                <w:noProof/>
                <w:webHidden/>
              </w:rPr>
              <w:instrText xml:space="preserve"> PAGEREF _Toc175742358 \h </w:instrText>
            </w:r>
            <w:r>
              <w:rPr>
                <w:noProof/>
                <w:webHidden/>
              </w:rPr>
            </w:r>
            <w:r>
              <w:rPr>
                <w:noProof/>
                <w:webHidden/>
              </w:rPr>
              <w:fldChar w:fldCharType="separate"/>
            </w:r>
            <w:r>
              <w:rPr>
                <w:noProof/>
                <w:webHidden/>
              </w:rPr>
              <w:t>181</w:t>
            </w:r>
            <w:r>
              <w:rPr>
                <w:noProof/>
                <w:webHidden/>
              </w:rPr>
              <w:fldChar w:fldCharType="end"/>
            </w:r>
          </w:hyperlink>
        </w:p>
        <w:p w14:paraId="329B2FE1" w14:textId="57939901" w:rsidR="007C3BCE" w:rsidRDefault="007C3BCE">
          <w:pPr>
            <w:pStyle w:val="TOC3"/>
            <w:tabs>
              <w:tab w:val="right" w:leader="dot" w:pos="9016"/>
            </w:tabs>
            <w:rPr>
              <w:rFonts w:eastAsiaTheme="minorEastAsia" w:cstheme="minorBidi"/>
              <w:noProof/>
              <w:kern w:val="2"/>
              <w:sz w:val="24"/>
              <w:szCs w:val="24"/>
              <w14:ligatures w14:val="standardContextual"/>
            </w:rPr>
          </w:pPr>
          <w:hyperlink w:anchor="_Toc175742359" w:history="1">
            <w:r w:rsidRPr="00570643">
              <w:rPr>
                <w:rStyle w:val="Hyperlink"/>
                <w:noProof/>
              </w:rPr>
              <w:t>6.4.6 Summary of dimension models</w:t>
            </w:r>
            <w:r>
              <w:rPr>
                <w:noProof/>
                <w:webHidden/>
              </w:rPr>
              <w:tab/>
            </w:r>
            <w:r>
              <w:rPr>
                <w:noProof/>
                <w:webHidden/>
              </w:rPr>
              <w:fldChar w:fldCharType="begin"/>
            </w:r>
            <w:r>
              <w:rPr>
                <w:noProof/>
                <w:webHidden/>
              </w:rPr>
              <w:instrText xml:space="preserve"> PAGEREF _Toc175742359 \h </w:instrText>
            </w:r>
            <w:r>
              <w:rPr>
                <w:noProof/>
                <w:webHidden/>
              </w:rPr>
            </w:r>
            <w:r>
              <w:rPr>
                <w:noProof/>
                <w:webHidden/>
              </w:rPr>
              <w:fldChar w:fldCharType="separate"/>
            </w:r>
            <w:r>
              <w:rPr>
                <w:noProof/>
                <w:webHidden/>
              </w:rPr>
              <w:t>184</w:t>
            </w:r>
            <w:r>
              <w:rPr>
                <w:noProof/>
                <w:webHidden/>
              </w:rPr>
              <w:fldChar w:fldCharType="end"/>
            </w:r>
          </w:hyperlink>
        </w:p>
        <w:p w14:paraId="068896B8" w14:textId="0864FE2C" w:rsidR="007C3BCE" w:rsidRDefault="007C3BCE">
          <w:pPr>
            <w:pStyle w:val="TOC3"/>
            <w:tabs>
              <w:tab w:val="right" w:leader="dot" w:pos="9016"/>
            </w:tabs>
            <w:rPr>
              <w:rFonts w:eastAsiaTheme="minorEastAsia" w:cstheme="minorBidi"/>
              <w:noProof/>
              <w:kern w:val="2"/>
              <w:sz w:val="24"/>
              <w:szCs w:val="24"/>
              <w14:ligatures w14:val="standardContextual"/>
            </w:rPr>
          </w:pPr>
          <w:hyperlink w:anchor="_Toc175742360" w:history="1">
            <w:r w:rsidRPr="00570643">
              <w:rPr>
                <w:rStyle w:val="Hyperlink"/>
                <w:noProof/>
              </w:rPr>
              <w:t>6.4.6.1 Pragmatic models</w:t>
            </w:r>
            <w:r>
              <w:rPr>
                <w:noProof/>
                <w:webHidden/>
              </w:rPr>
              <w:tab/>
            </w:r>
            <w:r>
              <w:rPr>
                <w:noProof/>
                <w:webHidden/>
              </w:rPr>
              <w:fldChar w:fldCharType="begin"/>
            </w:r>
            <w:r>
              <w:rPr>
                <w:noProof/>
                <w:webHidden/>
              </w:rPr>
              <w:instrText xml:space="preserve"> PAGEREF _Toc175742360 \h </w:instrText>
            </w:r>
            <w:r>
              <w:rPr>
                <w:noProof/>
                <w:webHidden/>
              </w:rPr>
            </w:r>
            <w:r>
              <w:rPr>
                <w:noProof/>
                <w:webHidden/>
              </w:rPr>
              <w:fldChar w:fldCharType="separate"/>
            </w:r>
            <w:r>
              <w:rPr>
                <w:noProof/>
                <w:webHidden/>
              </w:rPr>
              <w:t>184</w:t>
            </w:r>
            <w:r>
              <w:rPr>
                <w:noProof/>
                <w:webHidden/>
              </w:rPr>
              <w:fldChar w:fldCharType="end"/>
            </w:r>
          </w:hyperlink>
        </w:p>
        <w:p w14:paraId="410ACB5D" w14:textId="4600F0C0" w:rsidR="007C3BCE" w:rsidRDefault="007C3BCE">
          <w:pPr>
            <w:pStyle w:val="TOC3"/>
            <w:tabs>
              <w:tab w:val="right" w:leader="dot" w:pos="9016"/>
            </w:tabs>
            <w:rPr>
              <w:rFonts w:eastAsiaTheme="minorEastAsia" w:cstheme="minorBidi"/>
              <w:noProof/>
              <w:kern w:val="2"/>
              <w:sz w:val="24"/>
              <w:szCs w:val="24"/>
              <w14:ligatures w14:val="standardContextual"/>
            </w:rPr>
          </w:pPr>
          <w:hyperlink w:anchor="_Toc175742361" w:history="1">
            <w:r w:rsidRPr="00570643">
              <w:rPr>
                <w:rStyle w:val="Hyperlink"/>
                <w:noProof/>
              </w:rPr>
              <w:t>6.4.7 Estimating utility scores</w:t>
            </w:r>
            <w:r>
              <w:rPr>
                <w:noProof/>
                <w:webHidden/>
              </w:rPr>
              <w:tab/>
            </w:r>
            <w:r>
              <w:rPr>
                <w:noProof/>
                <w:webHidden/>
              </w:rPr>
              <w:fldChar w:fldCharType="begin"/>
            </w:r>
            <w:r>
              <w:rPr>
                <w:noProof/>
                <w:webHidden/>
              </w:rPr>
              <w:instrText xml:space="preserve"> PAGEREF _Toc175742361 \h </w:instrText>
            </w:r>
            <w:r>
              <w:rPr>
                <w:noProof/>
                <w:webHidden/>
              </w:rPr>
            </w:r>
            <w:r>
              <w:rPr>
                <w:noProof/>
                <w:webHidden/>
              </w:rPr>
              <w:fldChar w:fldCharType="separate"/>
            </w:r>
            <w:r>
              <w:rPr>
                <w:noProof/>
                <w:webHidden/>
              </w:rPr>
              <w:t>185</w:t>
            </w:r>
            <w:r>
              <w:rPr>
                <w:noProof/>
                <w:webHidden/>
              </w:rPr>
              <w:fldChar w:fldCharType="end"/>
            </w:r>
          </w:hyperlink>
        </w:p>
        <w:p w14:paraId="5628834E" w14:textId="73D1135F" w:rsidR="007C3BCE" w:rsidRDefault="007C3BCE">
          <w:pPr>
            <w:pStyle w:val="TOC2"/>
            <w:tabs>
              <w:tab w:val="right" w:leader="dot" w:pos="9016"/>
            </w:tabs>
            <w:rPr>
              <w:rFonts w:eastAsiaTheme="minorEastAsia" w:cstheme="minorBidi"/>
              <w:b w:val="0"/>
              <w:bCs w:val="0"/>
              <w:noProof/>
              <w:kern w:val="2"/>
              <w:sz w:val="24"/>
              <w:szCs w:val="24"/>
              <w14:ligatures w14:val="standardContextual"/>
            </w:rPr>
          </w:pPr>
          <w:hyperlink w:anchor="_Toc175742362" w:history="1">
            <w:r w:rsidRPr="00570643">
              <w:rPr>
                <w:rStyle w:val="Hyperlink"/>
                <w:noProof/>
              </w:rPr>
              <w:t>6.5 Discussion</w:t>
            </w:r>
            <w:r>
              <w:rPr>
                <w:noProof/>
                <w:webHidden/>
              </w:rPr>
              <w:tab/>
            </w:r>
            <w:r>
              <w:rPr>
                <w:noProof/>
                <w:webHidden/>
              </w:rPr>
              <w:fldChar w:fldCharType="begin"/>
            </w:r>
            <w:r>
              <w:rPr>
                <w:noProof/>
                <w:webHidden/>
              </w:rPr>
              <w:instrText xml:space="preserve"> PAGEREF _Toc175742362 \h </w:instrText>
            </w:r>
            <w:r>
              <w:rPr>
                <w:noProof/>
                <w:webHidden/>
              </w:rPr>
            </w:r>
            <w:r>
              <w:rPr>
                <w:noProof/>
                <w:webHidden/>
              </w:rPr>
              <w:fldChar w:fldCharType="separate"/>
            </w:r>
            <w:r>
              <w:rPr>
                <w:noProof/>
                <w:webHidden/>
              </w:rPr>
              <w:t>192</w:t>
            </w:r>
            <w:r>
              <w:rPr>
                <w:noProof/>
                <w:webHidden/>
              </w:rPr>
              <w:fldChar w:fldCharType="end"/>
            </w:r>
          </w:hyperlink>
        </w:p>
        <w:p w14:paraId="6B421CFA" w14:textId="31911331" w:rsidR="007C3BCE" w:rsidRDefault="007C3BCE">
          <w:pPr>
            <w:pStyle w:val="TOC3"/>
            <w:tabs>
              <w:tab w:val="right" w:leader="dot" w:pos="9016"/>
            </w:tabs>
            <w:rPr>
              <w:rFonts w:eastAsiaTheme="minorEastAsia" w:cstheme="minorBidi"/>
              <w:noProof/>
              <w:kern w:val="2"/>
              <w:sz w:val="24"/>
              <w:szCs w:val="24"/>
              <w14:ligatures w14:val="standardContextual"/>
            </w:rPr>
          </w:pPr>
          <w:hyperlink w:anchor="_Toc175742363" w:history="1">
            <w:r w:rsidRPr="00570643">
              <w:rPr>
                <w:rStyle w:val="Hyperlink"/>
                <w:noProof/>
              </w:rPr>
              <w:t>6.5.1 Response mapping models</w:t>
            </w:r>
            <w:r>
              <w:rPr>
                <w:noProof/>
                <w:webHidden/>
              </w:rPr>
              <w:tab/>
            </w:r>
            <w:r>
              <w:rPr>
                <w:noProof/>
                <w:webHidden/>
              </w:rPr>
              <w:fldChar w:fldCharType="begin"/>
            </w:r>
            <w:r>
              <w:rPr>
                <w:noProof/>
                <w:webHidden/>
              </w:rPr>
              <w:instrText xml:space="preserve"> PAGEREF _Toc175742363 \h </w:instrText>
            </w:r>
            <w:r>
              <w:rPr>
                <w:noProof/>
                <w:webHidden/>
              </w:rPr>
            </w:r>
            <w:r>
              <w:rPr>
                <w:noProof/>
                <w:webHidden/>
              </w:rPr>
              <w:fldChar w:fldCharType="separate"/>
            </w:r>
            <w:r>
              <w:rPr>
                <w:noProof/>
                <w:webHidden/>
              </w:rPr>
              <w:t>194</w:t>
            </w:r>
            <w:r>
              <w:rPr>
                <w:noProof/>
                <w:webHidden/>
              </w:rPr>
              <w:fldChar w:fldCharType="end"/>
            </w:r>
          </w:hyperlink>
        </w:p>
        <w:p w14:paraId="625E9443" w14:textId="11432393" w:rsidR="007C3BCE" w:rsidRDefault="007C3BCE">
          <w:pPr>
            <w:pStyle w:val="TOC3"/>
            <w:tabs>
              <w:tab w:val="right" w:leader="dot" w:pos="9016"/>
            </w:tabs>
            <w:rPr>
              <w:rFonts w:eastAsiaTheme="minorEastAsia" w:cstheme="minorBidi"/>
              <w:noProof/>
              <w:kern w:val="2"/>
              <w:sz w:val="24"/>
              <w:szCs w:val="24"/>
              <w14:ligatures w14:val="standardContextual"/>
            </w:rPr>
          </w:pPr>
          <w:hyperlink w:anchor="_Toc175742364" w:history="1">
            <w:r w:rsidRPr="00570643">
              <w:rPr>
                <w:rStyle w:val="Hyperlink"/>
                <w:noProof/>
              </w:rPr>
              <w:t>6.5.2 Dimension level differences</w:t>
            </w:r>
            <w:r>
              <w:rPr>
                <w:noProof/>
                <w:webHidden/>
              </w:rPr>
              <w:tab/>
            </w:r>
            <w:r>
              <w:rPr>
                <w:noProof/>
                <w:webHidden/>
              </w:rPr>
              <w:fldChar w:fldCharType="begin"/>
            </w:r>
            <w:r>
              <w:rPr>
                <w:noProof/>
                <w:webHidden/>
              </w:rPr>
              <w:instrText xml:space="preserve"> PAGEREF _Toc175742364 \h </w:instrText>
            </w:r>
            <w:r>
              <w:rPr>
                <w:noProof/>
                <w:webHidden/>
              </w:rPr>
            </w:r>
            <w:r>
              <w:rPr>
                <w:noProof/>
                <w:webHidden/>
              </w:rPr>
              <w:fldChar w:fldCharType="separate"/>
            </w:r>
            <w:r>
              <w:rPr>
                <w:noProof/>
                <w:webHidden/>
              </w:rPr>
              <w:t>196</w:t>
            </w:r>
            <w:r>
              <w:rPr>
                <w:noProof/>
                <w:webHidden/>
              </w:rPr>
              <w:fldChar w:fldCharType="end"/>
            </w:r>
          </w:hyperlink>
        </w:p>
        <w:p w14:paraId="616AA87A" w14:textId="5912582D" w:rsidR="007C3BCE" w:rsidRDefault="007C3BCE">
          <w:pPr>
            <w:pStyle w:val="TOC3"/>
            <w:tabs>
              <w:tab w:val="right" w:leader="dot" w:pos="9016"/>
            </w:tabs>
            <w:rPr>
              <w:rFonts w:eastAsiaTheme="minorEastAsia" w:cstheme="minorBidi"/>
              <w:noProof/>
              <w:kern w:val="2"/>
              <w:sz w:val="24"/>
              <w:szCs w:val="24"/>
              <w14:ligatures w14:val="standardContextual"/>
            </w:rPr>
          </w:pPr>
          <w:hyperlink w:anchor="_Toc175742365" w:history="1">
            <w:r w:rsidRPr="00570643">
              <w:rPr>
                <w:rStyle w:val="Hyperlink"/>
                <w:noProof/>
              </w:rPr>
              <w:t>6.5.3 Impact of EQ-5D-5L Value Set</w:t>
            </w:r>
            <w:r>
              <w:rPr>
                <w:noProof/>
                <w:webHidden/>
              </w:rPr>
              <w:tab/>
            </w:r>
            <w:r>
              <w:rPr>
                <w:noProof/>
                <w:webHidden/>
              </w:rPr>
              <w:fldChar w:fldCharType="begin"/>
            </w:r>
            <w:r>
              <w:rPr>
                <w:noProof/>
                <w:webHidden/>
              </w:rPr>
              <w:instrText xml:space="preserve"> PAGEREF _Toc175742365 \h </w:instrText>
            </w:r>
            <w:r>
              <w:rPr>
                <w:noProof/>
                <w:webHidden/>
              </w:rPr>
            </w:r>
            <w:r>
              <w:rPr>
                <w:noProof/>
                <w:webHidden/>
              </w:rPr>
              <w:fldChar w:fldCharType="separate"/>
            </w:r>
            <w:r>
              <w:rPr>
                <w:noProof/>
                <w:webHidden/>
              </w:rPr>
              <w:t>197</w:t>
            </w:r>
            <w:r>
              <w:rPr>
                <w:noProof/>
                <w:webHidden/>
              </w:rPr>
              <w:fldChar w:fldCharType="end"/>
            </w:r>
          </w:hyperlink>
        </w:p>
        <w:p w14:paraId="53CE3DDD" w14:textId="6A3F6CB8" w:rsidR="007C3BCE" w:rsidRDefault="007C3BCE">
          <w:pPr>
            <w:pStyle w:val="TOC3"/>
            <w:tabs>
              <w:tab w:val="right" w:leader="dot" w:pos="9016"/>
            </w:tabs>
            <w:rPr>
              <w:rFonts w:eastAsiaTheme="minorEastAsia" w:cstheme="minorBidi"/>
              <w:noProof/>
              <w:kern w:val="2"/>
              <w:sz w:val="24"/>
              <w:szCs w:val="24"/>
              <w14:ligatures w14:val="standardContextual"/>
            </w:rPr>
          </w:pPr>
          <w:hyperlink w:anchor="_Toc175742366" w:history="1">
            <w:r w:rsidRPr="00570643">
              <w:rPr>
                <w:rStyle w:val="Hyperlink"/>
                <w:noProof/>
              </w:rPr>
              <w:t>6.5.4 Research and policy implications</w:t>
            </w:r>
            <w:r>
              <w:rPr>
                <w:noProof/>
                <w:webHidden/>
              </w:rPr>
              <w:tab/>
            </w:r>
            <w:r>
              <w:rPr>
                <w:noProof/>
                <w:webHidden/>
              </w:rPr>
              <w:fldChar w:fldCharType="begin"/>
            </w:r>
            <w:r>
              <w:rPr>
                <w:noProof/>
                <w:webHidden/>
              </w:rPr>
              <w:instrText xml:space="preserve"> PAGEREF _Toc175742366 \h </w:instrText>
            </w:r>
            <w:r>
              <w:rPr>
                <w:noProof/>
                <w:webHidden/>
              </w:rPr>
            </w:r>
            <w:r>
              <w:rPr>
                <w:noProof/>
                <w:webHidden/>
              </w:rPr>
              <w:fldChar w:fldCharType="separate"/>
            </w:r>
            <w:r>
              <w:rPr>
                <w:noProof/>
                <w:webHidden/>
              </w:rPr>
              <w:t>197</w:t>
            </w:r>
            <w:r>
              <w:rPr>
                <w:noProof/>
                <w:webHidden/>
              </w:rPr>
              <w:fldChar w:fldCharType="end"/>
            </w:r>
          </w:hyperlink>
        </w:p>
        <w:p w14:paraId="2A28368E" w14:textId="2767A0EA" w:rsidR="007C3BCE" w:rsidRDefault="007C3BCE">
          <w:pPr>
            <w:pStyle w:val="TOC3"/>
            <w:tabs>
              <w:tab w:val="right" w:leader="dot" w:pos="9016"/>
            </w:tabs>
            <w:rPr>
              <w:rFonts w:eastAsiaTheme="minorEastAsia" w:cstheme="minorBidi"/>
              <w:noProof/>
              <w:kern w:val="2"/>
              <w:sz w:val="24"/>
              <w:szCs w:val="24"/>
              <w14:ligatures w14:val="standardContextual"/>
            </w:rPr>
          </w:pPr>
          <w:hyperlink w:anchor="_Toc175742367" w:history="1">
            <w:r w:rsidRPr="00570643">
              <w:rPr>
                <w:rStyle w:val="Hyperlink"/>
                <w:noProof/>
              </w:rPr>
              <w:t>6.5.5 Strengths</w:t>
            </w:r>
            <w:r>
              <w:rPr>
                <w:noProof/>
                <w:webHidden/>
              </w:rPr>
              <w:tab/>
            </w:r>
            <w:r>
              <w:rPr>
                <w:noProof/>
                <w:webHidden/>
              </w:rPr>
              <w:fldChar w:fldCharType="begin"/>
            </w:r>
            <w:r>
              <w:rPr>
                <w:noProof/>
                <w:webHidden/>
              </w:rPr>
              <w:instrText xml:space="preserve"> PAGEREF _Toc175742367 \h </w:instrText>
            </w:r>
            <w:r>
              <w:rPr>
                <w:noProof/>
                <w:webHidden/>
              </w:rPr>
            </w:r>
            <w:r>
              <w:rPr>
                <w:noProof/>
                <w:webHidden/>
              </w:rPr>
              <w:fldChar w:fldCharType="separate"/>
            </w:r>
            <w:r>
              <w:rPr>
                <w:noProof/>
                <w:webHidden/>
              </w:rPr>
              <w:t>198</w:t>
            </w:r>
            <w:r>
              <w:rPr>
                <w:noProof/>
                <w:webHidden/>
              </w:rPr>
              <w:fldChar w:fldCharType="end"/>
            </w:r>
          </w:hyperlink>
        </w:p>
        <w:p w14:paraId="63C1B54F" w14:textId="39B9FF53" w:rsidR="007C3BCE" w:rsidRDefault="007C3BCE">
          <w:pPr>
            <w:pStyle w:val="TOC3"/>
            <w:tabs>
              <w:tab w:val="right" w:leader="dot" w:pos="9016"/>
            </w:tabs>
            <w:rPr>
              <w:rFonts w:eastAsiaTheme="minorEastAsia" w:cstheme="minorBidi"/>
              <w:noProof/>
              <w:kern w:val="2"/>
              <w:sz w:val="24"/>
              <w:szCs w:val="24"/>
              <w14:ligatures w14:val="standardContextual"/>
            </w:rPr>
          </w:pPr>
          <w:hyperlink w:anchor="_Toc175742368" w:history="1">
            <w:r w:rsidRPr="00570643">
              <w:rPr>
                <w:rStyle w:val="Hyperlink"/>
                <w:noProof/>
              </w:rPr>
              <w:t>6.5.6 Limitations</w:t>
            </w:r>
            <w:r>
              <w:rPr>
                <w:noProof/>
                <w:webHidden/>
              </w:rPr>
              <w:tab/>
            </w:r>
            <w:r>
              <w:rPr>
                <w:noProof/>
                <w:webHidden/>
              </w:rPr>
              <w:fldChar w:fldCharType="begin"/>
            </w:r>
            <w:r>
              <w:rPr>
                <w:noProof/>
                <w:webHidden/>
              </w:rPr>
              <w:instrText xml:space="preserve"> PAGEREF _Toc175742368 \h </w:instrText>
            </w:r>
            <w:r>
              <w:rPr>
                <w:noProof/>
                <w:webHidden/>
              </w:rPr>
            </w:r>
            <w:r>
              <w:rPr>
                <w:noProof/>
                <w:webHidden/>
              </w:rPr>
              <w:fldChar w:fldCharType="separate"/>
            </w:r>
            <w:r>
              <w:rPr>
                <w:noProof/>
                <w:webHidden/>
              </w:rPr>
              <w:t>199</w:t>
            </w:r>
            <w:r>
              <w:rPr>
                <w:noProof/>
                <w:webHidden/>
              </w:rPr>
              <w:fldChar w:fldCharType="end"/>
            </w:r>
          </w:hyperlink>
        </w:p>
        <w:p w14:paraId="19557BBB" w14:textId="708336A3" w:rsidR="007C3BCE" w:rsidRDefault="007C3BCE">
          <w:pPr>
            <w:pStyle w:val="TOC2"/>
            <w:tabs>
              <w:tab w:val="right" w:leader="dot" w:pos="9016"/>
            </w:tabs>
            <w:rPr>
              <w:rFonts w:eastAsiaTheme="minorEastAsia" w:cstheme="minorBidi"/>
              <w:b w:val="0"/>
              <w:bCs w:val="0"/>
              <w:noProof/>
              <w:kern w:val="2"/>
              <w:sz w:val="24"/>
              <w:szCs w:val="24"/>
              <w14:ligatures w14:val="standardContextual"/>
            </w:rPr>
          </w:pPr>
          <w:hyperlink w:anchor="_Toc175742369" w:history="1">
            <w:r w:rsidRPr="00570643">
              <w:rPr>
                <w:rStyle w:val="Hyperlink"/>
                <w:noProof/>
              </w:rPr>
              <w:t>6.6 Conclusion</w:t>
            </w:r>
            <w:r>
              <w:rPr>
                <w:noProof/>
                <w:webHidden/>
              </w:rPr>
              <w:tab/>
            </w:r>
            <w:r>
              <w:rPr>
                <w:noProof/>
                <w:webHidden/>
              </w:rPr>
              <w:fldChar w:fldCharType="begin"/>
            </w:r>
            <w:r>
              <w:rPr>
                <w:noProof/>
                <w:webHidden/>
              </w:rPr>
              <w:instrText xml:space="preserve"> PAGEREF _Toc175742369 \h </w:instrText>
            </w:r>
            <w:r>
              <w:rPr>
                <w:noProof/>
                <w:webHidden/>
              </w:rPr>
            </w:r>
            <w:r>
              <w:rPr>
                <w:noProof/>
                <w:webHidden/>
              </w:rPr>
              <w:fldChar w:fldCharType="separate"/>
            </w:r>
            <w:r>
              <w:rPr>
                <w:noProof/>
                <w:webHidden/>
              </w:rPr>
              <w:t>200</w:t>
            </w:r>
            <w:r>
              <w:rPr>
                <w:noProof/>
                <w:webHidden/>
              </w:rPr>
              <w:fldChar w:fldCharType="end"/>
            </w:r>
          </w:hyperlink>
        </w:p>
        <w:p w14:paraId="7F787B36" w14:textId="71D3075E" w:rsidR="007C3BCE" w:rsidRDefault="007C3BCE">
          <w:pPr>
            <w:pStyle w:val="TOC1"/>
            <w:tabs>
              <w:tab w:val="right" w:leader="dot" w:pos="9016"/>
            </w:tabs>
            <w:rPr>
              <w:rFonts w:eastAsiaTheme="minorEastAsia" w:cstheme="minorBidi"/>
              <w:b w:val="0"/>
              <w:bCs w:val="0"/>
              <w:i w:val="0"/>
              <w:iCs w:val="0"/>
              <w:noProof/>
              <w:kern w:val="2"/>
              <w14:ligatures w14:val="standardContextual"/>
            </w:rPr>
          </w:pPr>
          <w:hyperlink w:anchor="_Toc175742370" w:history="1">
            <w:r w:rsidRPr="00570643">
              <w:rPr>
                <w:rStyle w:val="Hyperlink"/>
                <w:noProof/>
              </w:rPr>
              <w:t>7 Discussion</w:t>
            </w:r>
            <w:r>
              <w:rPr>
                <w:noProof/>
                <w:webHidden/>
              </w:rPr>
              <w:tab/>
            </w:r>
            <w:r>
              <w:rPr>
                <w:noProof/>
                <w:webHidden/>
              </w:rPr>
              <w:fldChar w:fldCharType="begin"/>
            </w:r>
            <w:r>
              <w:rPr>
                <w:noProof/>
                <w:webHidden/>
              </w:rPr>
              <w:instrText xml:space="preserve"> PAGEREF _Toc175742370 \h </w:instrText>
            </w:r>
            <w:r>
              <w:rPr>
                <w:noProof/>
                <w:webHidden/>
              </w:rPr>
            </w:r>
            <w:r>
              <w:rPr>
                <w:noProof/>
                <w:webHidden/>
              </w:rPr>
              <w:fldChar w:fldCharType="separate"/>
            </w:r>
            <w:r>
              <w:rPr>
                <w:noProof/>
                <w:webHidden/>
              </w:rPr>
              <w:t>202</w:t>
            </w:r>
            <w:r>
              <w:rPr>
                <w:noProof/>
                <w:webHidden/>
              </w:rPr>
              <w:fldChar w:fldCharType="end"/>
            </w:r>
          </w:hyperlink>
        </w:p>
        <w:p w14:paraId="4C1BD55B" w14:textId="7BFCE873" w:rsidR="007C3BCE" w:rsidRDefault="007C3BCE">
          <w:pPr>
            <w:pStyle w:val="TOC2"/>
            <w:tabs>
              <w:tab w:val="right" w:leader="dot" w:pos="9016"/>
            </w:tabs>
            <w:rPr>
              <w:rFonts w:eastAsiaTheme="minorEastAsia" w:cstheme="minorBidi"/>
              <w:b w:val="0"/>
              <w:bCs w:val="0"/>
              <w:noProof/>
              <w:kern w:val="2"/>
              <w:sz w:val="24"/>
              <w:szCs w:val="24"/>
              <w14:ligatures w14:val="standardContextual"/>
            </w:rPr>
          </w:pPr>
          <w:hyperlink w:anchor="_Toc175742371" w:history="1">
            <w:r w:rsidRPr="00570643">
              <w:rPr>
                <w:rStyle w:val="Hyperlink"/>
                <w:noProof/>
              </w:rPr>
              <w:t>7.1 Main findings</w:t>
            </w:r>
            <w:r>
              <w:rPr>
                <w:noProof/>
                <w:webHidden/>
              </w:rPr>
              <w:tab/>
            </w:r>
            <w:r>
              <w:rPr>
                <w:noProof/>
                <w:webHidden/>
              </w:rPr>
              <w:fldChar w:fldCharType="begin"/>
            </w:r>
            <w:r>
              <w:rPr>
                <w:noProof/>
                <w:webHidden/>
              </w:rPr>
              <w:instrText xml:space="preserve"> PAGEREF _Toc175742371 \h </w:instrText>
            </w:r>
            <w:r>
              <w:rPr>
                <w:noProof/>
                <w:webHidden/>
              </w:rPr>
            </w:r>
            <w:r>
              <w:rPr>
                <w:noProof/>
                <w:webHidden/>
              </w:rPr>
              <w:fldChar w:fldCharType="separate"/>
            </w:r>
            <w:r>
              <w:rPr>
                <w:noProof/>
                <w:webHidden/>
              </w:rPr>
              <w:t>202</w:t>
            </w:r>
            <w:r>
              <w:rPr>
                <w:noProof/>
                <w:webHidden/>
              </w:rPr>
              <w:fldChar w:fldCharType="end"/>
            </w:r>
          </w:hyperlink>
        </w:p>
        <w:p w14:paraId="62D4DEF2" w14:textId="0E9121AA" w:rsidR="007C3BCE" w:rsidRDefault="007C3BCE">
          <w:pPr>
            <w:pStyle w:val="TOC3"/>
            <w:tabs>
              <w:tab w:val="right" w:leader="dot" w:pos="9016"/>
            </w:tabs>
            <w:rPr>
              <w:rFonts w:eastAsiaTheme="minorEastAsia" w:cstheme="minorBidi"/>
              <w:noProof/>
              <w:kern w:val="2"/>
              <w:sz w:val="24"/>
              <w:szCs w:val="24"/>
              <w14:ligatures w14:val="standardContextual"/>
            </w:rPr>
          </w:pPr>
          <w:hyperlink w:anchor="_Toc175742372" w:history="1">
            <w:r w:rsidRPr="00570643">
              <w:rPr>
                <w:rStyle w:val="Hyperlink"/>
                <w:noProof/>
              </w:rPr>
              <w:t>7.1.1 Interpretation</w:t>
            </w:r>
            <w:r>
              <w:rPr>
                <w:noProof/>
                <w:webHidden/>
              </w:rPr>
              <w:tab/>
            </w:r>
            <w:r>
              <w:rPr>
                <w:noProof/>
                <w:webHidden/>
              </w:rPr>
              <w:fldChar w:fldCharType="begin"/>
            </w:r>
            <w:r>
              <w:rPr>
                <w:noProof/>
                <w:webHidden/>
              </w:rPr>
              <w:instrText xml:space="preserve"> PAGEREF _Toc175742372 \h </w:instrText>
            </w:r>
            <w:r>
              <w:rPr>
                <w:noProof/>
                <w:webHidden/>
              </w:rPr>
            </w:r>
            <w:r>
              <w:rPr>
                <w:noProof/>
                <w:webHidden/>
              </w:rPr>
              <w:fldChar w:fldCharType="separate"/>
            </w:r>
            <w:r>
              <w:rPr>
                <w:noProof/>
                <w:webHidden/>
              </w:rPr>
              <w:t>203</w:t>
            </w:r>
            <w:r>
              <w:rPr>
                <w:noProof/>
                <w:webHidden/>
              </w:rPr>
              <w:fldChar w:fldCharType="end"/>
            </w:r>
          </w:hyperlink>
        </w:p>
        <w:p w14:paraId="1B79D06B" w14:textId="5EDFCA50" w:rsidR="007C3BCE" w:rsidRDefault="007C3BCE">
          <w:pPr>
            <w:pStyle w:val="TOC3"/>
            <w:tabs>
              <w:tab w:val="right" w:leader="dot" w:pos="9016"/>
            </w:tabs>
            <w:rPr>
              <w:rFonts w:eastAsiaTheme="minorEastAsia" w:cstheme="minorBidi"/>
              <w:noProof/>
              <w:kern w:val="2"/>
              <w:sz w:val="24"/>
              <w:szCs w:val="24"/>
              <w14:ligatures w14:val="standardContextual"/>
            </w:rPr>
          </w:pPr>
          <w:hyperlink w:anchor="_Toc175742373" w:history="1">
            <w:r w:rsidRPr="00570643">
              <w:rPr>
                <w:rStyle w:val="Hyperlink"/>
                <w:noProof/>
              </w:rPr>
              <w:t>7.1.2 Contribution to evidence base</w:t>
            </w:r>
            <w:r>
              <w:rPr>
                <w:noProof/>
                <w:webHidden/>
              </w:rPr>
              <w:tab/>
            </w:r>
            <w:r>
              <w:rPr>
                <w:noProof/>
                <w:webHidden/>
              </w:rPr>
              <w:fldChar w:fldCharType="begin"/>
            </w:r>
            <w:r>
              <w:rPr>
                <w:noProof/>
                <w:webHidden/>
              </w:rPr>
              <w:instrText xml:space="preserve"> PAGEREF _Toc175742373 \h </w:instrText>
            </w:r>
            <w:r>
              <w:rPr>
                <w:noProof/>
                <w:webHidden/>
              </w:rPr>
            </w:r>
            <w:r>
              <w:rPr>
                <w:noProof/>
                <w:webHidden/>
              </w:rPr>
              <w:fldChar w:fldCharType="separate"/>
            </w:r>
            <w:r>
              <w:rPr>
                <w:noProof/>
                <w:webHidden/>
              </w:rPr>
              <w:t>203</w:t>
            </w:r>
            <w:r>
              <w:rPr>
                <w:noProof/>
                <w:webHidden/>
              </w:rPr>
              <w:fldChar w:fldCharType="end"/>
            </w:r>
          </w:hyperlink>
        </w:p>
        <w:p w14:paraId="2B3D5EEE" w14:textId="2B2A10CE" w:rsidR="007C3BCE" w:rsidRDefault="007C3BCE">
          <w:pPr>
            <w:pStyle w:val="TOC2"/>
            <w:tabs>
              <w:tab w:val="right" w:leader="dot" w:pos="9016"/>
            </w:tabs>
            <w:rPr>
              <w:rFonts w:eastAsiaTheme="minorEastAsia" w:cstheme="minorBidi"/>
              <w:b w:val="0"/>
              <w:bCs w:val="0"/>
              <w:noProof/>
              <w:kern w:val="2"/>
              <w:sz w:val="24"/>
              <w:szCs w:val="24"/>
              <w14:ligatures w14:val="standardContextual"/>
            </w:rPr>
          </w:pPr>
          <w:hyperlink w:anchor="_Toc175742374" w:history="1">
            <w:r w:rsidRPr="00570643">
              <w:rPr>
                <w:rStyle w:val="Hyperlink"/>
                <w:noProof/>
              </w:rPr>
              <w:t>7.2 Recommendations for data collection methods in dementia studies</w:t>
            </w:r>
            <w:r>
              <w:rPr>
                <w:noProof/>
                <w:webHidden/>
              </w:rPr>
              <w:tab/>
            </w:r>
            <w:r>
              <w:rPr>
                <w:noProof/>
                <w:webHidden/>
              </w:rPr>
              <w:fldChar w:fldCharType="begin"/>
            </w:r>
            <w:r>
              <w:rPr>
                <w:noProof/>
                <w:webHidden/>
              </w:rPr>
              <w:instrText xml:space="preserve"> PAGEREF _Toc175742374 \h </w:instrText>
            </w:r>
            <w:r>
              <w:rPr>
                <w:noProof/>
                <w:webHidden/>
              </w:rPr>
            </w:r>
            <w:r>
              <w:rPr>
                <w:noProof/>
                <w:webHidden/>
              </w:rPr>
              <w:fldChar w:fldCharType="separate"/>
            </w:r>
            <w:r>
              <w:rPr>
                <w:noProof/>
                <w:webHidden/>
              </w:rPr>
              <w:t>208</w:t>
            </w:r>
            <w:r>
              <w:rPr>
                <w:noProof/>
                <w:webHidden/>
              </w:rPr>
              <w:fldChar w:fldCharType="end"/>
            </w:r>
          </w:hyperlink>
        </w:p>
        <w:p w14:paraId="6C6FA3EE" w14:textId="08FD9A65" w:rsidR="007C3BCE" w:rsidRDefault="007C3BCE">
          <w:pPr>
            <w:pStyle w:val="TOC2"/>
            <w:tabs>
              <w:tab w:val="right" w:leader="dot" w:pos="9016"/>
            </w:tabs>
            <w:rPr>
              <w:rFonts w:eastAsiaTheme="minorEastAsia" w:cstheme="minorBidi"/>
              <w:b w:val="0"/>
              <w:bCs w:val="0"/>
              <w:noProof/>
              <w:kern w:val="2"/>
              <w:sz w:val="24"/>
              <w:szCs w:val="24"/>
              <w14:ligatures w14:val="standardContextual"/>
            </w:rPr>
          </w:pPr>
          <w:hyperlink w:anchor="_Toc175742375" w:history="1">
            <w:r w:rsidRPr="00570643">
              <w:rPr>
                <w:rStyle w:val="Hyperlink"/>
                <w:noProof/>
              </w:rPr>
              <w:t>7.3 Limitations</w:t>
            </w:r>
            <w:r>
              <w:rPr>
                <w:noProof/>
                <w:webHidden/>
              </w:rPr>
              <w:tab/>
            </w:r>
            <w:r>
              <w:rPr>
                <w:noProof/>
                <w:webHidden/>
              </w:rPr>
              <w:fldChar w:fldCharType="begin"/>
            </w:r>
            <w:r>
              <w:rPr>
                <w:noProof/>
                <w:webHidden/>
              </w:rPr>
              <w:instrText xml:space="preserve"> PAGEREF _Toc175742375 \h </w:instrText>
            </w:r>
            <w:r>
              <w:rPr>
                <w:noProof/>
                <w:webHidden/>
              </w:rPr>
            </w:r>
            <w:r>
              <w:rPr>
                <w:noProof/>
                <w:webHidden/>
              </w:rPr>
              <w:fldChar w:fldCharType="separate"/>
            </w:r>
            <w:r>
              <w:rPr>
                <w:noProof/>
                <w:webHidden/>
              </w:rPr>
              <w:t>209</w:t>
            </w:r>
            <w:r>
              <w:rPr>
                <w:noProof/>
                <w:webHidden/>
              </w:rPr>
              <w:fldChar w:fldCharType="end"/>
            </w:r>
          </w:hyperlink>
        </w:p>
        <w:p w14:paraId="11F0C8A4" w14:textId="78D03804" w:rsidR="007C3BCE" w:rsidRDefault="007C3BCE">
          <w:pPr>
            <w:pStyle w:val="TOC2"/>
            <w:tabs>
              <w:tab w:val="right" w:leader="dot" w:pos="9016"/>
            </w:tabs>
            <w:rPr>
              <w:rFonts w:eastAsiaTheme="minorEastAsia" w:cstheme="minorBidi"/>
              <w:b w:val="0"/>
              <w:bCs w:val="0"/>
              <w:noProof/>
              <w:kern w:val="2"/>
              <w:sz w:val="24"/>
              <w:szCs w:val="24"/>
              <w14:ligatures w14:val="standardContextual"/>
            </w:rPr>
          </w:pPr>
          <w:hyperlink w:anchor="_Toc175742376" w:history="1">
            <w:r w:rsidRPr="00570643">
              <w:rPr>
                <w:rStyle w:val="Hyperlink"/>
                <w:noProof/>
              </w:rPr>
              <w:t>7.4 Suggestions for future research</w:t>
            </w:r>
            <w:r>
              <w:rPr>
                <w:noProof/>
                <w:webHidden/>
              </w:rPr>
              <w:tab/>
            </w:r>
            <w:r>
              <w:rPr>
                <w:noProof/>
                <w:webHidden/>
              </w:rPr>
              <w:fldChar w:fldCharType="begin"/>
            </w:r>
            <w:r>
              <w:rPr>
                <w:noProof/>
                <w:webHidden/>
              </w:rPr>
              <w:instrText xml:space="preserve"> PAGEREF _Toc175742376 \h </w:instrText>
            </w:r>
            <w:r>
              <w:rPr>
                <w:noProof/>
                <w:webHidden/>
              </w:rPr>
            </w:r>
            <w:r>
              <w:rPr>
                <w:noProof/>
                <w:webHidden/>
              </w:rPr>
              <w:fldChar w:fldCharType="separate"/>
            </w:r>
            <w:r>
              <w:rPr>
                <w:noProof/>
                <w:webHidden/>
              </w:rPr>
              <w:t>210</w:t>
            </w:r>
            <w:r>
              <w:rPr>
                <w:noProof/>
                <w:webHidden/>
              </w:rPr>
              <w:fldChar w:fldCharType="end"/>
            </w:r>
          </w:hyperlink>
        </w:p>
        <w:p w14:paraId="5D4DF3B3" w14:textId="4275708C" w:rsidR="007C3BCE" w:rsidRDefault="007C3BCE">
          <w:pPr>
            <w:pStyle w:val="TOC2"/>
            <w:tabs>
              <w:tab w:val="right" w:leader="dot" w:pos="9016"/>
            </w:tabs>
            <w:rPr>
              <w:rFonts w:eastAsiaTheme="minorEastAsia" w:cstheme="minorBidi"/>
              <w:b w:val="0"/>
              <w:bCs w:val="0"/>
              <w:noProof/>
              <w:kern w:val="2"/>
              <w:sz w:val="24"/>
              <w:szCs w:val="24"/>
              <w14:ligatures w14:val="standardContextual"/>
            </w:rPr>
          </w:pPr>
          <w:hyperlink w:anchor="_Toc175742377" w:history="1">
            <w:r w:rsidRPr="00570643">
              <w:rPr>
                <w:rStyle w:val="Hyperlink"/>
                <w:noProof/>
              </w:rPr>
              <w:t>7.5 Conclusion</w:t>
            </w:r>
            <w:r>
              <w:rPr>
                <w:noProof/>
                <w:webHidden/>
              </w:rPr>
              <w:tab/>
            </w:r>
            <w:r>
              <w:rPr>
                <w:noProof/>
                <w:webHidden/>
              </w:rPr>
              <w:fldChar w:fldCharType="begin"/>
            </w:r>
            <w:r>
              <w:rPr>
                <w:noProof/>
                <w:webHidden/>
              </w:rPr>
              <w:instrText xml:space="preserve"> PAGEREF _Toc175742377 \h </w:instrText>
            </w:r>
            <w:r>
              <w:rPr>
                <w:noProof/>
                <w:webHidden/>
              </w:rPr>
            </w:r>
            <w:r>
              <w:rPr>
                <w:noProof/>
                <w:webHidden/>
              </w:rPr>
              <w:fldChar w:fldCharType="separate"/>
            </w:r>
            <w:r>
              <w:rPr>
                <w:noProof/>
                <w:webHidden/>
              </w:rPr>
              <w:t>212</w:t>
            </w:r>
            <w:r>
              <w:rPr>
                <w:noProof/>
                <w:webHidden/>
              </w:rPr>
              <w:fldChar w:fldCharType="end"/>
            </w:r>
          </w:hyperlink>
        </w:p>
        <w:p w14:paraId="128AF5BE" w14:textId="042C99ED" w:rsidR="007C3BCE" w:rsidRDefault="007C3BCE">
          <w:pPr>
            <w:pStyle w:val="TOC1"/>
            <w:tabs>
              <w:tab w:val="right" w:leader="dot" w:pos="9016"/>
            </w:tabs>
            <w:rPr>
              <w:rFonts w:eastAsiaTheme="minorEastAsia" w:cstheme="minorBidi"/>
              <w:b w:val="0"/>
              <w:bCs w:val="0"/>
              <w:i w:val="0"/>
              <w:iCs w:val="0"/>
              <w:noProof/>
              <w:kern w:val="2"/>
              <w14:ligatures w14:val="standardContextual"/>
            </w:rPr>
          </w:pPr>
          <w:hyperlink w:anchor="_Toc175742378" w:history="1">
            <w:r w:rsidRPr="00570643">
              <w:rPr>
                <w:rStyle w:val="Hyperlink"/>
                <w:noProof/>
              </w:rPr>
              <w:t>Appendices</w:t>
            </w:r>
            <w:r>
              <w:rPr>
                <w:noProof/>
                <w:webHidden/>
              </w:rPr>
              <w:tab/>
            </w:r>
            <w:r>
              <w:rPr>
                <w:noProof/>
                <w:webHidden/>
              </w:rPr>
              <w:fldChar w:fldCharType="begin"/>
            </w:r>
            <w:r>
              <w:rPr>
                <w:noProof/>
                <w:webHidden/>
              </w:rPr>
              <w:instrText xml:space="preserve"> PAGEREF _Toc175742378 \h </w:instrText>
            </w:r>
            <w:r>
              <w:rPr>
                <w:noProof/>
                <w:webHidden/>
              </w:rPr>
            </w:r>
            <w:r>
              <w:rPr>
                <w:noProof/>
                <w:webHidden/>
              </w:rPr>
              <w:fldChar w:fldCharType="separate"/>
            </w:r>
            <w:r>
              <w:rPr>
                <w:noProof/>
                <w:webHidden/>
              </w:rPr>
              <w:t>213</w:t>
            </w:r>
            <w:r>
              <w:rPr>
                <w:noProof/>
                <w:webHidden/>
              </w:rPr>
              <w:fldChar w:fldCharType="end"/>
            </w:r>
          </w:hyperlink>
        </w:p>
        <w:p w14:paraId="78023A16" w14:textId="05A2C3A2" w:rsidR="007C3BCE" w:rsidRDefault="007C3BCE">
          <w:pPr>
            <w:pStyle w:val="TOC2"/>
            <w:tabs>
              <w:tab w:val="right" w:leader="dot" w:pos="9016"/>
            </w:tabs>
            <w:rPr>
              <w:rFonts w:eastAsiaTheme="minorEastAsia" w:cstheme="minorBidi"/>
              <w:b w:val="0"/>
              <w:bCs w:val="0"/>
              <w:noProof/>
              <w:kern w:val="2"/>
              <w:sz w:val="24"/>
              <w:szCs w:val="24"/>
              <w14:ligatures w14:val="standardContextual"/>
            </w:rPr>
          </w:pPr>
          <w:hyperlink w:anchor="_Toc175742379" w:history="1">
            <w:r w:rsidRPr="00570643">
              <w:rPr>
                <w:rStyle w:val="Hyperlink"/>
                <w:noProof/>
              </w:rPr>
              <w:t>Appendix 1 EQ-5D-5L instrument</w:t>
            </w:r>
            <w:r>
              <w:rPr>
                <w:noProof/>
                <w:webHidden/>
              </w:rPr>
              <w:tab/>
            </w:r>
            <w:r>
              <w:rPr>
                <w:noProof/>
                <w:webHidden/>
              </w:rPr>
              <w:fldChar w:fldCharType="begin"/>
            </w:r>
            <w:r>
              <w:rPr>
                <w:noProof/>
                <w:webHidden/>
              </w:rPr>
              <w:instrText xml:space="preserve"> PAGEREF _Toc175742379 \h </w:instrText>
            </w:r>
            <w:r>
              <w:rPr>
                <w:noProof/>
                <w:webHidden/>
              </w:rPr>
            </w:r>
            <w:r>
              <w:rPr>
                <w:noProof/>
                <w:webHidden/>
              </w:rPr>
              <w:fldChar w:fldCharType="separate"/>
            </w:r>
            <w:r>
              <w:rPr>
                <w:noProof/>
                <w:webHidden/>
              </w:rPr>
              <w:t>213</w:t>
            </w:r>
            <w:r>
              <w:rPr>
                <w:noProof/>
                <w:webHidden/>
              </w:rPr>
              <w:fldChar w:fldCharType="end"/>
            </w:r>
          </w:hyperlink>
        </w:p>
        <w:p w14:paraId="087B4373" w14:textId="005E1A64" w:rsidR="007C3BCE" w:rsidRDefault="007C3BCE">
          <w:pPr>
            <w:pStyle w:val="TOC2"/>
            <w:tabs>
              <w:tab w:val="right" w:leader="dot" w:pos="9016"/>
            </w:tabs>
            <w:rPr>
              <w:rFonts w:eastAsiaTheme="minorEastAsia" w:cstheme="minorBidi"/>
              <w:b w:val="0"/>
              <w:bCs w:val="0"/>
              <w:noProof/>
              <w:kern w:val="2"/>
              <w:sz w:val="24"/>
              <w:szCs w:val="24"/>
              <w14:ligatures w14:val="standardContextual"/>
            </w:rPr>
          </w:pPr>
          <w:hyperlink w:anchor="_Toc175742380" w:history="1">
            <w:r w:rsidRPr="00570643">
              <w:rPr>
                <w:rStyle w:val="Hyperlink"/>
                <w:noProof/>
              </w:rPr>
              <w:t>Appendix 2a Systematic review search strategy</w:t>
            </w:r>
            <w:r>
              <w:rPr>
                <w:noProof/>
                <w:webHidden/>
              </w:rPr>
              <w:tab/>
            </w:r>
            <w:r>
              <w:rPr>
                <w:noProof/>
                <w:webHidden/>
              </w:rPr>
              <w:fldChar w:fldCharType="begin"/>
            </w:r>
            <w:r>
              <w:rPr>
                <w:noProof/>
                <w:webHidden/>
              </w:rPr>
              <w:instrText xml:space="preserve"> PAGEREF _Toc175742380 \h </w:instrText>
            </w:r>
            <w:r>
              <w:rPr>
                <w:noProof/>
                <w:webHidden/>
              </w:rPr>
            </w:r>
            <w:r>
              <w:rPr>
                <w:noProof/>
                <w:webHidden/>
              </w:rPr>
              <w:fldChar w:fldCharType="separate"/>
            </w:r>
            <w:r>
              <w:rPr>
                <w:noProof/>
                <w:webHidden/>
              </w:rPr>
              <w:t>215</w:t>
            </w:r>
            <w:r>
              <w:rPr>
                <w:noProof/>
                <w:webHidden/>
              </w:rPr>
              <w:fldChar w:fldCharType="end"/>
            </w:r>
          </w:hyperlink>
        </w:p>
        <w:p w14:paraId="7BD74427" w14:textId="41E2CFC5" w:rsidR="007C3BCE" w:rsidRDefault="007C3BCE">
          <w:pPr>
            <w:pStyle w:val="TOC2"/>
            <w:tabs>
              <w:tab w:val="right" w:leader="dot" w:pos="9016"/>
            </w:tabs>
            <w:rPr>
              <w:rFonts w:eastAsiaTheme="minorEastAsia" w:cstheme="minorBidi"/>
              <w:b w:val="0"/>
              <w:bCs w:val="0"/>
              <w:noProof/>
              <w:kern w:val="2"/>
              <w:sz w:val="24"/>
              <w:szCs w:val="24"/>
              <w14:ligatures w14:val="standardContextual"/>
            </w:rPr>
          </w:pPr>
          <w:hyperlink w:anchor="_Toc175742381" w:history="1">
            <w:r w:rsidRPr="00570643">
              <w:rPr>
                <w:rStyle w:val="Hyperlink"/>
                <w:noProof/>
              </w:rPr>
              <w:t>Appendix 2b Quality assessment of included papers adapted from the GRADE assessment tool</w:t>
            </w:r>
            <w:r>
              <w:rPr>
                <w:noProof/>
                <w:webHidden/>
              </w:rPr>
              <w:tab/>
            </w:r>
            <w:r>
              <w:rPr>
                <w:noProof/>
                <w:webHidden/>
              </w:rPr>
              <w:fldChar w:fldCharType="begin"/>
            </w:r>
            <w:r>
              <w:rPr>
                <w:noProof/>
                <w:webHidden/>
              </w:rPr>
              <w:instrText xml:space="preserve"> PAGEREF _Toc175742381 \h </w:instrText>
            </w:r>
            <w:r>
              <w:rPr>
                <w:noProof/>
                <w:webHidden/>
              </w:rPr>
            </w:r>
            <w:r>
              <w:rPr>
                <w:noProof/>
                <w:webHidden/>
              </w:rPr>
              <w:fldChar w:fldCharType="separate"/>
            </w:r>
            <w:r>
              <w:rPr>
                <w:noProof/>
                <w:webHidden/>
              </w:rPr>
              <w:t>215</w:t>
            </w:r>
            <w:r>
              <w:rPr>
                <w:noProof/>
                <w:webHidden/>
              </w:rPr>
              <w:fldChar w:fldCharType="end"/>
            </w:r>
          </w:hyperlink>
        </w:p>
        <w:p w14:paraId="0C5E80E9" w14:textId="2F6E9551" w:rsidR="007C3BCE" w:rsidRDefault="007C3BCE">
          <w:pPr>
            <w:pStyle w:val="TOC2"/>
            <w:tabs>
              <w:tab w:val="right" w:leader="dot" w:pos="9016"/>
            </w:tabs>
            <w:rPr>
              <w:rFonts w:eastAsiaTheme="minorEastAsia" w:cstheme="minorBidi"/>
              <w:b w:val="0"/>
              <w:bCs w:val="0"/>
              <w:noProof/>
              <w:kern w:val="2"/>
              <w:sz w:val="24"/>
              <w:szCs w:val="24"/>
              <w14:ligatures w14:val="standardContextual"/>
            </w:rPr>
          </w:pPr>
          <w:hyperlink w:anchor="_Toc175742382" w:history="1">
            <w:r w:rsidRPr="00570643">
              <w:rPr>
                <w:rStyle w:val="Hyperlink"/>
                <w:noProof/>
              </w:rPr>
              <w:t>Appendix 2.1 Summary characteristics of included studies</w:t>
            </w:r>
            <w:r>
              <w:rPr>
                <w:noProof/>
                <w:webHidden/>
              </w:rPr>
              <w:tab/>
            </w:r>
            <w:r>
              <w:rPr>
                <w:noProof/>
                <w:webHidden/>
              </w:rPr>
              <w:fldChar w:fldCharType="begin"/>
            </w:r>
            <w:r>
              <w:rPr>
                <w:noProof/>
                <w:webHidden/>
              </w:rPr>
              <w:instrText xml:space="preserve"> PAGEREF _Toc175742382 \h </w:instrText>
            </w:r>
            <w:r>
              <w:rPr>
                <w:noProof/>
                <w:webHidden/>
              </w:rPr>
            </w:r>
            <w:r>
              <w:rPr>
                <w:noProof/>
                <w:webHidden/>
              </w:rPr>
              <w:fldChar w:fldCharType="separate"/>
            </w:r>
            <w:r>
              <w:rPr>
                <w:noProof/>
                <w:webHidden/>
              </w:rPr>
              <w:t>217</w:t>
            </w:r>
            <w:r>
              <w:rPr>
                <w:noProof/>
                <w:webHidden/>
              </w:rPr>
              <w:fldChar w:fldCharType="end"/>
            </w:r>
          </w:hyperlink>
        </w:p>
        <w:p w14:paraId="20841E1F" w14:textId="4F0A1F1C" w:rsidR="007C3BCE" w:rsidRDefault="007C3BCE">
          <w:pPr>
            <w:pStyle w:val="TOC2"/>
            <w:tabs>
              <w:tab w:val="right" w:leader="dot" w:pos="9016"/>
            </w:tabs>
            <w:rPr>
              <w:rFonts w:eastAsiaTheme="minorEastAsia" w:cstheme="minorBidi"/>
              <w:b w:val="0"/>
              <w:bCs w:val="0"/>
              <w:noProof/>
              <w:kern w:val="2"/>
              <w:sz w:val="24"/>
              <w:szCs w:val="24"/>
              <w14:ligatures w14:val="standardContextual"/>
            </w:rPr>
          </w:pPr>
          <w:hyperlink w:anchor="_Toc175742383" w:history="1">
            <w:r w:rsidRPr="00570643">
              <w:rPr>
                <w:rStyle w:val="Hyperlink"/>
                <w:noProof/>
              </w:rPr>
              <w:t>Appendix 2.2 Known-group validity</w:t>
            </w:r>
            <w:r>
              <w:rPr>
                <w:noProof/>
                <w:webHidden/>
              </w:rPr>
              <w:tab/>
            </w:r>
            <w:r>
              <w:rPr>
                <w:noProof/>
                <w:webHidden/>
              </w:rPr>
              <w:fldChar w:fldCharType="begin"/>
            </w:r>
            <w:r>
              <w:rPr>
                <w:noProof/>
                <w:webHidden/>
              </w:rPr>
              <w:instrText xml:space="preserve"> PAGEREF _Toc175742383 \h </w:instrText>
            </w:r>
            <w:r>
              <w:rPr>
                <w:noProof/>
                <w:webHidden/>
              </w:rPr>
            </w:r>
            <w:r>
              <w:rPr>
                <w:noProof/>
                <w:webHidden/>
              </w:rPr>
              <w:fldChar w:fldCharType="separate"/>
            </w:r>
            <w:r>
              <w:rPr>
                <w:noProof/>
                <w:webHidden/>
              </w:rPr>
              <w:t>220</w:t>
            </w:r>
            <w:r>
              <w:rPr>
                <w:noProof/>
                <w:webHidden/>
              </w:rPr>
              <w:fldChar w:fldCharType="end"/>
            </w:r>
          </w:hyperlink>
        </w:p>
        <w:p w14:paraId="07845CF0" w14:textId="4AF2D67D" w:rsidR="007C3BCE" w:rsidRDefault="007C3BCE">
          <w:pPr>
            <w:pStyle w:val="TOC2"/>
            <w:tabs>
              <w:tab w:val="right" w:leader="dot" w:pos="9016"/>
            </w:tabs>
            <w:rPr>
              <w:rFonts w:eastAsiaTheme="minorEastAsia" w:cstheme="minorBidi"/>
              <w:b w:val="0"/>
              <w:bCs w:val="0"/>
              <w:noProof/>
              <w:kern w:val="2"/>
              <w:sz w:val="24"/>
              <w:szCs w:val="24"/>
              <w14:ligatures w14:val="standardContextual"/>
            </w:rPr>
          </w:pPr>
          <w:hyperlink w:anchor="_Toc175742384" w:history="1">
            <w:r w:rsidRPr="00570643">
              <w:rPr>
                <w:rStyle w:val="Hyperlink"/>
                <w:noProof/>
              </w:rPr>
              <w:t>Appendix 2.3 Convergent validity</w:t>
            </w:r>
            <w:r>
              <w:rPr>
                <w:noProof/>
                <w:webHidden/>
              </w:rPr>
              <w:tab/>
            </w:r>
            <w:r>
              <w:rPr>
                <w:noProof/>
                <w:webHidden/>
              </w:rPr>
              <w:fldChar w:fldCharType="begin"/>
            </w:r>
            <w:r>
              <w:rPr>
                <w:noProof/>
                <w:webHidden/>
              </w:rPr>
              <w:instrText xml:space="preserve"> PAGEREF _Toc175742384 \h </w:instrText>
            </w:r>
            <w:r>
              <w:rPr>
                <w:noProof/>
                <w:webHidden/>
              </w:rPr>
            </w:r>
            <w:r>
              <w:rPr>
                <w:noProof/>
                <w:webHidden/>
              </w:rPr>
              <w:fldChar w:fldCharType="separate"/>
            </w:r>
            <w:r>
              <w:rPr>
                <w:noProof/>
                <w:webHidden/>
              </w:rPr>
              <w:t>223</w:t>
            </w:r>
            <w:r>
              <w:rPr>
                <w:noProof/>
                <w:webHidden/>
              </w:rPr>
              <w:fldChar w:fldCharType="end"/>
            </w:r>
          </w:hyperlink>
        </w:p>
        <w:p w14:paraId="7BEE1636" w14:textId="3D43AB52" w:rsidR="007C3BCE" w:rsidRDefault="007C3BCE">
          <w:pPr>
            <w:pStyle w:val="TOC2"/>
            <w:tabs>
              <w:tab w:val="right" w:leader="dot" w:pos="9016"/>
            </w:tabs>
            <w:rPr>
              <w:rFonts w:eastAsiaTheme="minorEastAsia" w:cstheme="minorBidi"/>
              <w:b w:val="0"/>
              <w:bCs w:val="0"/>
              <w:noProof/>
              <w:kern w:val="2"/>
              <w:sz w:val="24"/>
              <w:szCs w:val="24"/>
              <w14:ligatures w14:val="standardContextual"/>
            </w:rPr>
          </w:pPr>
          <w:hyperlink w:anchor="_Toc175742385" w:history="1">
            <w:r w:rsidRPr="00570643">
              <w:rPr>
                <w:rStyle w:val="Hyperlink"/>
                <w:noProof/>
              </w:rPr>
              <w:t>Appendix 2.4 Responsiveness</w:t>
            </w:r>
            <w:r>
              <w:rPr>
                <w:noProof/>
                <w:webHidden/>
              </w:rPr>
              <w:tab/>
            </w:r>
            <w:r>
              <w:rPr>
                <w:noProof/>
                <w:webHidden/>
              </w:rPr>
              <w:fldChar w:fldCharType="begin"/>
            </w:r>
            <w:r>
              <w:rPr>
                <w:noProof/>
                <w:webHidden/>
              </w:rPr>
              <w:instrText xml:space="preserve"> PAGEREF _Toc175742385 \h </w:instrText>
            </w:r>
            <w:r>
              <w:rPr>
                <w:noProof/>
                <w:webHidden/>
              </w:rPr>
            </w:r>
            <w:r>
              <w:rPr>
                <w:noProof/>
                <w:webHidden/>
              </w:rPr>
              <w:fldChar w:fldCharType="separate"/>
            </w:r>
            <w:r>
              <w:rPr>
                <w:noProof/>
                <w:webHidden/>
              </w:rPr>
              <w:t>226</w:t>
            </w:r>
            <w:r>
              <w:rPr>
                <w:noProof/>
                <w:webHidden/>
              </w:rPr>
              <w:fldChar w:fldCharType="end"/>
            </w:r>
          </w:hyperlink>
        </w:p>
        <w:p w14:paraId="77D70A34" w14:textId="3751870B" w:rsidR="007C3BCE" w:rsidRDefault="007C3BCE">
          <w:pPr>
            <w:pStyle w:val="TOC2"/>
            <w:tabs>
              <w:tab w:val="right" w:leader="dot" w:pos="9016"/>
            </w:tabs>
            <w:rPr>
              <w:rFonts w:eastAsiaTheme="minorEastAsia" w:cstheme="minorBidi"/>
              <w:b w:val="0"/>
              <w:bCs w:val="0"/>
              <w:noProof/>
              <w:kern w:val="2"/>
              <w:sz w:val="24"/>
              <w:szCs w:val="24"/>
              <w14:ligatures w14:val="standardContextual"/>
            </w:rPr>
          </w:pPr>
          <w:hyperlink w:anchor="_Toc175742386" w:history="1">
            <w:r w:rsidRPr="00570643">
              <w:rPr>
                <w:rStyle w:val="Hyperlink"/>
                <w:noProof/>
              </w:rPr>
              <w:t>Appendix 2.5 Inter-rater reliability</w:t>
            </w:r>
            <w:r>
              <w:rPr>
                <w:noProof/>
                <w:webHidden/>
              </w:rPr>
              <w:tab/>
            </w:r>
            <w:r>
              <w:rPr>
                <w:noProof/>
                <w:webHidden/>
              </w:rPr>
              <w:fldChar w:fldCharType="begin"/>
            </w:r>
            <w:r>
              <w:rPr>
                <w:noProof/>
                <w:webHidden/>
              </w:rPr>
              <w:instrText xml:space="preserve"> PAGEREF _Toc175742386 \h </w:instrText>
            </w:r>
            <w:r>
              <w:rPr>
                <w:noProof/>
                <w:webHidden/>
              </w:rPr>
            </w:r>
            <w:r>
              <w:rPr>
                <w:noProof/>
                <w:webHidden/>
              </w:rPr>
              <w:fldChar w:fldCharType="separate"/>
            </w:r>
            <w:r>
              <w:rPr>
                <w:noProof/>
                <w:webHidden/>
              </w:rPr>
              <w:t>227</w:t>
            </w:r>
            <w:r>
              <w:rPr>
                <w:noProof/>
                <w:webHidden/>
              </w:rPr>
              <w:fldChar w:fldCharType="end"/>
            </w:r>
          </w:hyperlink>
        </w:p>
        <w:p w14:paraId="0FAF5F02" w14:textId="1613DF98" w:rsidR="007C3BCE" w:rsidRDefault="007C3BCE">
          <w:pPr>
            <w:pStyle w:val="TOC2"/>
            <w:tabs>
              <w:tab w:val="right" w:leader="dot" w:pos="9016"/>
            </w:tabs>
            <w:rPr>
              <w:rFonts w:eastAsiaTheme="minorEastAsia" w:cstheme="minorBidi"/>
              <w:b w:val="0"/>
              <w:bCs w:val="0"/>
              <w:noProof/>
              <w:kern w:val="2"/>
              <w:sz w:val="24"/>
              <w:szCs w:val="24"/>
              <w14:ligatures w14:val="standardContextual"/>
            </w:rPr>
          </w:pPr>
          <w:hyperlink w:anchor="_Toc175742387" w:history="1">
            <w:r w:rsidRPr="00570643">
              <w:rPr>
                <w:rStyle w:val="Hyperlink"/>
                <w:noProof/>
              </w:rPr>
              <w:t>Appendix 2.6 Acceptability and Feasibility</w:t>
            </w:r>
            <w:r>
              <w:rPr>
                <w:noProof/>
                <w:webHidden/>
              </w:rPr>
              <w:tab/>
            </w:r>
            <w:r>
              <w:rPr>
                <w:noProof/>
                <w:webHidden/>
              </w:rPr>
              <w:fldChar w:fldCharType="begin"/>
            </w:r>
            <w:r>
              <w:rPr>
                <w:noProof/>
                <w:webHidden/>
              </w:rPr>
              <w:instrText xml:space="preserve"> PAGEREF _Toc175742387 \h </w:instrText>
            </w:r>
            <w:r>
              <w:rPr>
                <w:noProof/>
                <w:webHidden/>
              </w:rPr>
            </w:r>
            <w:r>
              <w:rPr>
                <w:noProof/>
                <w:webHidden/>
              </w:rPr>
              <w:fldChar w:fldCharType="separate"/>
            </w:r>
            <w:r>
              <w:rPr>
                <w:noProof/>
                <w:webHidden/>
              </w:rPr>
              <w:t>228</w:t>
            </w:r>
            <w:r>
              <w:rPr>
                <w:noProof/>
                <w:webHidden/>
              </w:rPr>
              <w:fldChar w:fldCharType="end"/>
            </w:r>
          </w:hyperlink>
        </w:p>
        <w:p w14:paraId="55DC9BC7" w14:textId="5DE053E0" w:rsidR="007C3BCE" w:rsidRDefault="007C3BCE">
          <w:pPr>
            <w:pStyle w:val="TOC2"/>
            <w:tabs>
              <w:tab w:val="right" w:leader="dot" w:pos="9016"/>
            </w:tabs>
            <w:rPr>
              <w:rFonts w:eastAsiaTheme="minorEastAsia" w:cstheme="minorBidi"/>
              <w:b w:val="0"/>
              <w:bCs w:val="0"/>
              <w:noProof/>
              <w:kern w:val="2"/>
              <w:sz w:val="24"/>
              <w:szCs w:val="24"/>
              <w14:ligatures w14:val="standardContextual"/>
            </w:rPr>
          </w:pPr>
          <w:hyperlink w:anchor="_Toc175742388" w:history="1">
            <w:r w:rsidRPr="00570643">
              <w:rPr>
                <w:rStyle w:val="Hyperlink"/>
                <w:noProof/>
              </w:rPr>
              <w:t>Appendix 2.7 Reference list of papers included in psychometric properties of EQ-5D-5L systematic review</w:t>
            </w:r>
            <w:r>
              <w:rPr>
                <w:noProof/>
                <w:webHidden/>
              </w:rPr>
              <w:tab/>
            </w:r>
            <w:r>
              <w:rPr>
                <w:noProof/>
                <w:webHidden/>
              </w:rPr>
              <w:fldChar w:fldCharType="begin"/>
            </w:r>
            <w:r>
              <w:rPr>
                <w:noProof/>
                <w:webHidden/>
              </w:rPr>
              <w:instrText xml:space="preserve"> PAGEREF _Toc175742388 \h </w:instrText>
            </w:r>
            <w:r>
              <w:rPr>
                <w:noProof/>
                <w:webHidden/>
              </w:rPr>
            </w:r>
            <w:r>
              <w:rPr>
                <w:noProof/>
                <w:webHidden/>
              </w:rPr>
              <w:fldChar w:fldCharType="separate"/>
            </w:r>
            <w:r>
              <w:rPr>
                <w:noProof/>
                <w:webHidden/>
              </w:rPr>
              <w:t>230</w:t>
            </w:r>
            <w:r>
              <w:rPr>
                <w:noProof/>
                <w:webHidden/>
              </w:rPr>
              <w:fldChar w:fldCharType="end"/>
            </w:r>
          </w:hyperlink>
        </w:p>
        <w:p w14:paraId="0B510926" w14:textId="1DAEC547" w:rsidR="007C3BCE" w:rsidRDefault="007C3BCE">
          <w:pPr>
            <w:pStyle w:val="TOC2"/>
            <w:tabs>
              <w:tab w:val="right" w:leader="dot" w:pos="9016"/>
            </w:tabs>
            <w:rPr>
              <w:rFonts w:eastAsiaTheme="minorEastAsia" w:cstheme="minorBidi"/>
              <w:b w:val="0"/>
              <w:bCs w:val="0"/>
              <w:noProof/>
              <w:kern w:val="2"/>
              <w:sz w:val="24"/>
              <w:szCs w:val="24"/>
              <w14:ligatures w14:val="standardContextual"/>
            </w:rPr>
          </w:pPr>
          <w:hyperlink w:anchor="_Toc175742389" w:history="1">
            <w:r w:rsidRPr="00570643">
              <w:rPr>
                <w:rStyle w:val="Hyperlink"/>
                <w:noProof/>
              </w:rPr>
              <w:t>Appendix 2.8 Summary of research project provided to PPIE group</w:t>
            </w:r>
            <w:r>
              <w:rPr>
                <w:noProof/>
                <w:webHidden/>
              </w:rPr>
              <w:tab/>
            </w:r>
            <w:r>
              <w:rPr>
                <w:noProof/>
                <w:webHidden/>
              </w:rPr>
              <w:fldChar w:fldCharType="begin"/>
            </w:r>
            <w:r>
              <w:rPr>
                <w:noProof/>
                <w:webHidden/>
              </w:rPr>
              <w:instrText xml:space="preserve"> PAGEREF _Toc175742389 \h </w:instrText>
            </w:r>
            <w:r>
              <w:rPr>
                <w:noProof/>
                <w:webHidden/>
              </w:rPr>
            </w:r>
            <w:r>
              <w:rPr>
                <w:noProof/>
                <w:webHidden/>
              </w:rPr>
              <w:fldChar w:fldCharType="separate"/>
            </w:r>
            <w:r>
              <w:rPr>
                <w:noProof/>
                <w:webHidden/>
              </w:rPr>
              <w:t>232</w:t>
            </w:r>
            <w:r>
              <w:rPr>
                <w:noProof/>
                <w:webHidden/>
              </w:rPr>
              <w:fldChar w:fldCharType="end"/>
            </w:r>
          </w:hyperlink>
        </w:p>
        <w:p w14:paraId="3ED8A0D7" w14:textId="23AB7473" w:rsidR="007C3BCE" w:rsidRDefault="007C3BCE">
          <w:pPr>
            <w:pStyle w:val="TOC2"/>
            <w:tabs>
              <w:tab w:val="right" w:leader="dot" w:pos="9016"/>
            </w:tabs>
            <w:rPr>
              <w:rFonts w:eastAsiaTheme="minorEastAsia" w:cstheme="minorBidi"/>
              <w:b w:val="0"/>
              <w:bCs w:val="0"/>
              <w:noProof/>
              <w:kern w:val="2"/>
              <w:sz w:val="24"/>
              <w:szCs w:val="24"/>
              <w14:ligatures w14:val="standardContextual"/>
            </w:rPr>
          </w:pPr>
          <w:hyperlink w:anchor="_Toc175742390" w:history="1">
            <w:r w:rsidRPr="00570643">
              <w:rPr>
                <w:rStyle w:val="Hyperlink"/>
                <w:noProof/>
              </w:rPr>
              <w:t>Appendix 2.9 PPIE session tasks and feedback tables</w:t>
            </w:r>
            <w:r>
              <w:rPr>
                <w:noProof/>
                <w:webHidden/>
              </w:rPr>
              <w:tab/>
            </w:r>
            <w:r>
              <w:rPr>
                <w:noProof/>
                <w:webHidden/>
              </w:rPr>
              <w:fldChar w:fldCharType="begin"/>
            </w:r>
            <w:r>
              <w:rPr>
                <w:noProof/>
                <w:webHidden/>
              </w:rPr>
              <w:instrText xml:space="preserve"> PAGEREF _Toc175742390 \h </w:instrText>
            </w:r>
            <w:r>
              <w:rPr>
                <w:noProof/>
                <w:webHidden/>
              </w:rPr>
            </w:r>
            <w:r>
              <w:rPr>
                <w:noProof/>
                <w:webHidden/>
              </w:rPr>
              <w:fldChar w:fldCharType="separate"/>
            </w:r>
            <w:r>
              <w:rPr>
                <w:noProof/>
                <w:webHidden/>
              </w:rPr>
              <w:t>232</w:t>
            </w:r>
            <w:r>
              <w:rPr>
                <w:noProof/>
                <w:webHidden/>
              </w:rPr>
              <w:fldChar w:fldCharType="end"/>
            </w:r>
          </w:hyperlink>
        </w:p>
        <w:p w14:paraId="179F2E20" w14:textId="3365BCD2" w:rsidR="007C3BCE" w:rsidRDefault="007C3BCE">
          <w:pPr>
            <w:pStyle w:val="TOC2"/>
            <w:tabs>
              <w:tab w:val="right" w:leader="dot" w:pos="9016"/>
            </w:tabs>
            <w:rPr>
              <w:rFonts w:eastAsiaTheme="minorEastAsia" w:cstheme="minorBidi"/>
              <w:b w:val="0"/>
              <w:bCs w:val="0"/>
              <w:noProof/>
              <w:kern w:val="2"/>
              <w:sz w:val="24"/>
              <w:szCs w:val="24"/>
              <w14:ligatures w14:val="standardContextual"/>
            </w:rPr>
          </w:pPr>
          <w:hyperlink w:anchor="_Toc175742391" w:history="1">
            <w:r w:rsidRPr="00570643">
              <w:rPr>
                <w:rStyle w:val="Hyperlink"/>
                <w:noProof/>
              </w:rPr>
              <w:t>Appendix 3 Extended summary of identified dementia trial features</w:t>
            </w:r>
            <w:r>
              <w:rPr>
                <w:noProof/>
                <w:webHidden/>
              </w:rPr>
              <w:tab/>
            </w:r>
            <w:r>
              <w:rPr>
                <w:noProof/>
                <w:webHidden/>
              </w:rPr>
              <w:fldChar w:fldCharType="begin"/>
            </w:r>
            <w:r>
              <w:rPr>
                <w:noProof/>
                <w:webHidden/>
              </w:rPr>
              <w:instrText xml:space="preserve"> PAGEREF _Toc175742391 \h </w:instrText>
            </w:r>
            <w:r>
              <w:rPr>
                <w:noProof/>
                <w:webHidden/>
              </w:rPr>
            </w:r>
            <w:r>
              <w:rPr>
                <w:noProof/>
                <w:webHidden/>
              </w:rPr>
              <w:fldChar w:fldCharType="separate"/>
            </w:r>
            <w:r>
              <w:rPr>
                <w:noProof/>
                <w:webHidden/>
              </w:rPr>
              <w:t>236</w:t>
            </w:r>
            <w:r>
              <w:rPr>
                <w:noProof/>
                <w:webHidden/>
              </w:rPr>
              <w:fldChar w:fldCharType="end"/>
            </w:r>
          </w:hyperlink>
        </w:p>
        <w:p w14:paraId="50B9492E" w14:textId="28129545" w:rsidR="007C3BCE" w:rsidRDefault="007C3BCE">
          <w:pPr>
            <w:pStyle w:val="TOC2"/>
            <w:tabs>
              <w:tab w:val="right" w:leader="dot" w:pos="9016"/>
            </w:tabs>
            <w:rPr>
              <w:rFonts w:eastAsiaTheme="minorEastAsia" w:cstheme="minorBidi"/>
              <w:b w:val="0"/>
              <w:bCs w:val="0"/>
              <w:noProof/>
              <w:kern w:val="2"/>
              <w:sz w:val="24"/>
              <w:szCs w:val="24"/>
              <w14:ligatures w14:val="standardContextual"/>
            </w:rPr>
          </w:pPr>
          <w:hyperlink w:anchor="_Toc175742392" w:history="1">
            <w:r w:rsidRPr="00570643">
              <w:rPr>
                <w:rStyle w:val="Hyperlink"/>
                <w:noProof/>
              </w:rPr>
              <w:t>Appendix 3.1a DEMQoL suite conceptual framework</w:t>
            </w:r>
            <w:r>
              <w:rPr>
                <w:noProof/>
                <w:webHidden/>
              </w:rPr>
              <w:tab/>
            </w:r>
            <w:r>
              <w:rPr>
                <w:noProof/>
                <w:webHidden/>
              </w:rPr>
              <w:fldChar w:fldCharType="begin"/>
            </w:r>
            <w:r>
              <w:rPr>
                <w:noProof/>
                <w:webHidden/>
              </w:rPr>
              <w:instrText xml:space="preserve"> PAGEREF _Toc175742392 \h </w:instrText>
            </w:r>
            <w:r>
              <w:rPr>
                <w:noProof/>
                <w:webHidden/>
              </w:rPr>
            </w:r>
            <w:r>
              <w:rPr>
                <w:noProof/>
                <w:webHidden/>
              </w:rPr>
              <w:fldChar w:fldCharType="separate"/>
            </w:r>
            <w:r>
              <w:rPr>
                <w:noProof/>
                <w:webHidden/>
              </w:rPr>
              <w:t>243</w:t>
            </w:r>
            <w:r>
              <w:rPr>
                <w:noProof/>
                <w:webHidden/>
              </w:rPr>
              <w:fldChar w:fldCharType="end"/>
            </w:r>
          </w:hyperlink>
        </w:p>
        <w:p w14:paraId="6F395575" w14:textId="2001988E" w:rsidR="007C3BCE" w:rsidRDefault="007C3BCE">
          <w:pPr>
            <w:pStyle w:val="TOC2"/>
            <w:tabs>
              <w:tab w:val="right" w:leader="dot" w:pos="9016"/>
            </w:tabs>
            <w:rPr>
              <w:rFonts w:eastAsiaTheme="minorEastAsia" w:cstheme="minorBidi"/>
              <w:b w:val="0"/>
              <w:bCs w:val="0"/>
              <w:noProof/>
              <w:kern w:val="2"/>
              <w:sz w:val="24"/>
              <w:szCs w:val="24"/>
              <w14:ligatures w14:val="standardContextual"/>
            </w:rPr>
          </w:pPr>
          <w:hyperlink w:anchor="_Toc175742393" w:history="1">
            <w:r w:rsidRPr="00570643">
              <w:rPr>
                <w:rStyle w:val="Hyperlink"/>
                <w:noProof/>
              </w:rPr>
              <w:t>Appendix 3.1b QoL-AD conceptual framework</w:t>
            </w:r>
            <w:r>
              <w:rPr>
                <w:noProof/>
                <w:webHidden/>
              </w:rPr>
              <w:tab/>
            </w:r>
            <w:r>
              <w:rPr>
                <w:noProof/>
                <w:webHidden/>
              </w:rPr>
              <w:fldChar w:fldCharType="begin"/>
            </w:r>
            <w:r>
              <w:rPr>
                <w:noProof/>
                <w:webHidden/>
              </w:rPr>
              <w:instrText xml:space="preserve"> PAGEREF _Toc175742393 \h </w:instrText>
            </w:r>
            <w:r>
              <w:rPr>
                <w:noProof/>
                <w:webHidden/>
              </w:rPr>
            </w:r>
            <w:r>
              <w:rPr>
                <w:noProof/>
                <w:webHidden/>
              </w:rPr>
              <w:fldChar w:fldCharType="separate"/>
            </w:r>
            <w:r>
              <w:rPr>
                <w:noProof/>
                <w:webHidden/>
              </w:rPr>
              <w:t>245</w:t>
            </w:r>
            <w:r>
              <w:rPr>
                <w:noProof/>
                <w:webHidden/>
              </w:rPr>
              <w:fldChar w:fldCharType="end"/>
            </w:r>
          </w:hyperlink>
        </w:p>
        <w:p w14:paraId="05904AFD" w14:textId="41ED5502" w:rsidR="007C3BCE" w:rsidRDefault="007C3BCE">
          <w:pPr>
            <w:pStyle w:val="TOC2"/>
            <w:tabs>
              <w:tab w:val="right" w:leader="dot" w:pos="9016"/>
            </w:tabs>
            <w:rPr>
              <w:rFonts w:eastAsiaTheme="minorEastAsia" w:cstheme="minorBidi"/>
              <w:b w:val="0"/>
              <w:bCs w:val="0"/>
              <w:noProof/>
              <w:kern w:val="2"/>
              <w:sz w:val="24"/>
              <w:szCs w:val="24"/>
              <w14:ligatures w14:val="standardContextual"/>
            </w:rPr>
          </w:pPr>
          <w:hyperlink w:anchor="_Toc175742394" w:history="1">
            <w:r w:rsidRPr="00570643">
              <w:rPr>
                <w:rStyle w:val="Hyperlink"/>
                <w:noProof/>
              </w:rPr>
              <w:t>Appendix 3.1c QUALID conceptual framework</w:t>
            </w:r>
            <w:r>
              <w:rPr>
                <w:noProof/>
                <w:webHidden/>
              </w:rPr>
              <w:tab/>
            </w:r>
            <w:r>
              <w:rPr>
                <w:noProof/>
                <w:webHidden/>
              </w:rPr>
              <w:fldChar w:fldCharType="begin"/>
            </w:r>
            <w:r>
              <w:rPr>
                <w:noProof/>
                <w:webHidden/>
              </w:rPr>
              <w:instrText xml:space="preserve"> PAGEREF _Toc175742394 \h </w:instrText>
            </w:r>
            <w:r>
              <w:rPr>
                <w:noProof/>
                <w:webHidden/>
              </w:rPr>
            </w:r>
            <w:r>
              <w:rPr>
                <w:noProof/>
                <w:webHidden/>
              </w:rPr>
              <w:fldChar w:fldCharType="separate"/>
            </w:r>
            <w:r>
              <w:rPr>
                <w:noProof/>
                <w:webHidden/>
              </w:rPr>
              <w:t>245</w:t>
            </w:r>
            <w:r>
              <w:rPr>
                <w:noProof/>
                <w:webHidden/>
              </w:rPr>
              <w:fldChar w:fldCharType="end"/>
            </w:r>
          </w:hyperlink>
        </w:p>
        <w:p w14:paraId="0B998B87" w14:textId="0D08EFEF" w:rsidR="007C3BCE" w:rsidRDefault="007C3BCE">
          <w:pPr>
            <w:pStyle w:val="TOC2"/>
            <w:tabs>
              <w:tab w:val="right" w:leader="dot" w:pos="9016"/>
            </w:tabs>
            <w:rPr>
              <w:rFonts w:eastAsiaTheme="minorEastAsia" w:cstheme="minorBidi"/>
              <w:b w:val="0"/>
              <w:bCs w:val="0"/>
              <w:noProof/>
              <w:kern w:val="2"/>
              <w:sz w:val="24"/>
              <w:szCs w:val="24"/>
              <w14:ligatures w14:val="standardContextual"/>
            </w:rPr>
          </w:pPr>
          <w:hyperlink w:anchor="_Toc175742395" w:history="1">
            <w:r w:rsidRPr="00570643">
              <w:rPr>
                <w:rStyle w:val="Hyperlink"/>
                <w:noProof/>
              </w:rPr>
              <w:t>Appendix 3.1d QUALIDEM conceptual framework</w:t>
            </w:r>
            <w:r>
              <w:rPr>
                <w:noProof/>
                <w:webHidden/>
              </w:rPr>
              <w:tab/>
            </w:r>
            <w:r>
              <w:rPr>
                <w:noProof/>
                <w:webHidden/>
              </w:rPr>
              <w:fldChar w:fldCharType="begin"/>
            </w:r>
            <w:r>
              <w:rPr>
                <w:noProof/>
                <w:webHidden/>
              </w:rPr>
              <w:instrText xml:space="preserve"> PAGEREF _Toc175742395 \h </w:instrText>
            </w:r>
            <w:r>
              <w:rPr>
                <w:noProof/>
                <w:webHidden/>
              </w:rPr>
            </w:r>
            <w:r>
              <w:rPr>
                <w:noProof/>
                <w:webHidden/>
              </w:rPr>
              <w:fldChar w:fldCharType="separate"/>
            </w:r>
            <w:r>
              <w:rPr>
                <w:noProof/>
                <w:webHidden/>
              </w:rPr>
              <w:t>246</w:t>
            </w:r>
            <w:r>
              <w:rPr>
                <w:noProof/>
                <w:webHidden/>
              </w:rPr>
              <w:fldChar w:fldCharType="end"/>
            </w:r>
          </w:hyperlink>
        </w:p>
        <w:p w14:paraId="1C8A75B0" w14:textId="1D63064D" w:rsidR="007C3BCE" w:rsidRDefault="007C3BCE">
          <w:pPr>
            <w:pStyle w:val="TOC2"/>
            <w:tabs>
              <w:tab w:val="right" w:leader="dot" w:pos="9016"/>
            </w:tabs>
            <w:rPr>
              <w:rFonts w:eastAsiaTheme="minorEastAsia" w:cstheme="minorBidi"/>
              <w:b w:val="0"/>
              <w:bCs w:val="0"/>
              <w:noProof/>
              <w:kern w:val="2"/>
              <w:sz w:val="24"/>
              <w:szCs w:val="24"/>
              <w14:ligatures w14:val="standardContextual"/>
            </w:rPr>
          </w:pPr>
          <w:hyperlink w:anchor="_Toc175742396" w:history="1">
            <w:r w:rsidRPr="00570643">
              <w:rPr>
                <w:rStyle w:val="Hyperlink"/>
                <w:noProof/>
              </w:rPr>
              <w:t>Appendix 3.2 Summary of reviewing the literature for content validity and feasibility evidence of HRQoL measures in dementia populations</w:t>
            </w:r>
            <w:r>
              <w:rPr>
                <w:noProof/>
                <w:webHidden/>
              </w:rPr>
              <w:tab/>
            </w:r>
            <w:r>
              <w:rPr>
                <w:noProof/>
                <w:webHidden/>
              </w:rPr>
              <w:fldChar w:fldCharType="begin"/>
            </w:r>
            <w:r>
              <w:rPr>
                <w:noProof/>
                <w:webHidden/>
              </w:rPr>
              <w:instrText xml:space="preserve"> PAGEREF _Toc175742396 \h </w:instrText>
            </w:r>
            <w:r>
              <w:rPr>
                <w:noProof/>
                <w:webHidden/>
              </w:rPr>
            </w:r>
            <w:r>
              <w:rPr>
                <w:noProof/>
                <w:webHidden/>
              </w:rPr>
              <w:fldChar w:fldCharType="separate"/>
            </w:r>
            <w:r>
              <w:rPr>
                <w:noProof/>
                <w:webHidden/>
              </w:rPr>
              <w:t>247</w:t>
            </w:r>
            <w:r>
              <w:rPr>
                <w:noProof/>
                <w:webHidden/>
              </w:rPr>
              <w:fldChar w:fldCharType="end"/>
            </w:r>
          </w:hyperlink>
        </w:p>
        <w:p w14:paraId="06D1AAE5" w14:textId="2612E50A" w:rsidR="007C3BCE" w:rsidRDefault="007C3BCE">
          <w:pPr>
            <w:pStyle w:val="TOC2"/>
            <w:tabs>
              <w:tab w:val="right" w:leader="dot" w:pos="9016"/>
            </w:tabs>
            <w:rPr>
              <w:rFonts w:eastAsiaTheme="minorEastAsia" w:cstheme="minorBidi"/>
              <w:b w:val="0"/>
              <w:bCs w:val="0"/>
              <w:noProof/>
              <w:kern w:val="2"/>
              <w:sz w:val="24"/>
              <w:szCs w:val="24"/>
              <w14:ligatures w14:val="standardContextual"/>
            </w:rPr>
          </w:pPr>
          <w:hyperlink w:anchor="_Toc175742397" w:history="1">
            <w:r w:rsidRPr="00570643">
              <w:rPr>
                <w:rStyle w:val="Hyperlink"/>
                <w:noProof/>
              </w:rPr>
              <w:t>Appendix 3.3 Item components of dementia symptom measures</w:t>
            </w:r>
            <w:r>
              <w:rPr>
                <w:noProof/>
                <w:webHidden/>
              </w:rPr>
              <w:tab/>
            </w:r>
            <w:r>
              <w:rPr>
                <w:noProof/>
                <w:webHidden/>
              </w:rPr>
              <w:fldChar w:fldCharType="begin"/>
            </w:r>
            <w:r>
              <w:rPr>
                <w:noProof/>
                <w:webHidden/>
              </w:rPr>
              <w:instrText xml:space="preserve"> PAGEREF _Toc175742397 \h </w:instrText>
            </w:r>
            <w:r>
              <w:rPr>
                <w:noProof/>
                <w:webHidden/>
              </w:rPr>
            </w:r>
            <w:r>
              <w:rPr>
                <w:noProof/>
                <w:webHidden/>
              </w:rPr>
              <w:fldChar w:fldCharType="separate"/>
            </w:r>
            <w:r>
              <w:rPr>
                <w:noProof/>
                <w:webHidden/>
              </w:rPr>
              <w:t>250</w:t>
            </w:r>
            <w:r>
              <w:rPr>
                <w:noProof/>
                <w:webHidden/>
              </w:rPr>
              <w:fldChar w:fldCharType="end"/>
            </w:r>
          </w:hyperlink>
        </w:p>
        <w:p w14:paraId="3495D162" w14:textId="2EC358A2" w:rsidR="007C3BCE" w:rsidRDefault="007C3BCE">
          <w:pPr>
            <w:pStyle w:val="TOC2"/>
            <w:tabs>
              <w:tab w:val="right" w:leader="dot" w:pos="9016"/>
            </w:tabs>
            <w:rPr>
              <w:rFonts w:eastAsiaTheme="minorEastAsia" w:cstheme="minorBidi"/>
              <w:b w:val="0"/>
              <w:bCs w:val="0"/>
              <w:noProof/>
              <w:kern w:val="2"/>
              <w:sz w:val="24"/>
              <w:szCs w:val="24"/>
              <w14:ligatures w14:val="standardContextual"/>
            </w:rPr>
          </w:pPr>
          <w:hyperlink w:anchor="_Toc175742398" w:history="1">
            <w:r w:rsidRPr="00570643">
              <w:rPr>
                <w:rStyle w:val="Hyperlink"/>
                <w:noProof/>
              </w:rPr>
              <w:t>Appendix 3.4 Search strategy used for convergent validity review</w:t>
            </w:r>
            <w:r>
              <w:rPr>
                <w:noProof/>
                <w:webHidden/>
              </w:rPr>
              <w:tab/>
            </w:r>
            <w:r>
              <w:rPr>
                <w:noProof/>
                <w:webHidden/>
              </w:rPr>
              <w:fldChar w:fldCharType="begin"/>
            </w:r>
            <w:r>
              <w:rPr>
                <w:noProof/>
                <w:webHidden/>
              </w:rPr>
              <w:instrText xml:space="preserve"> PAGEREF _Toc175742398 \h </w:instrText>
            </w:r>
            <w:r>
              <w:rPr>
                <w:noProof/>
                <w:webHidden/>
              </w:rPr>
            </w:r>
            <w:r>
              <w:rPr>
                <w:noProof/>
                <w:webHidden/>
              </w:rPr>
              <w:fldChar w:fldCharType="separate"/>
            </w:r>
            <w:r>
              <w:rPr>
                <w:noProof/>
                <w:webHidden/>
              </w:rPr>
              <w:t>252</w:t>
            </w:r>
            <w:r>
              <w:rPr>
                <w:noProof/>
                <w:webHidden/>
              </w:rPr>
              <w:fldChar w:fldCharType="end"/>
            </w:r>
          </w:hyperlink>
        </w:p>
        <w:p w14:paraId="728E6D4C" w14:textId="0CE08C9F" w:rsidR="007C3BCE" w:rsidRDefault="007C3BCE">
          <w:pPr>
            <w:pStyle w:val="TOC2"/>
            <w:tabs>
              <w:tab w:val="right" w:leader="dot" w:pos="9016"/>
            </w:tabs>
            <w:rPr>
              <w:rFonts w:eastAsiaTheme="minorEastAsia" w:cstheme="minorBidi"/>
              <w:b w:val="0"/>
              <w:bCs w:val="0"/>
              <w:noProof/>
              <w:kern w:val="2"/>
              <w:sz w:val="24"/>
              <w:szCs w:val="24"/>
              <w14:ligatures w14:val="standardContextual"/>
            </w:rPr>
          </w:pPr>
          <w:hyperlink w:anchor="_Toc175742399" w:history="1">
            <w:r w:rsidRPr="00570643">
              <w:rPr>
                <w:rStyle w:val="Hyperlink"/>
                <w:noProof/>
              </w:rPr>
              <w:t>Appendix 3.5 Table of the inclusion/exclusion criteria</w:t>
            </w:r>
            <w:r>
              <w:rPr>
                <w:noProof/>
                <w:webHidden/>
              </w:rPr>
              <w:tab/>
            </w:r>
            <w:r>
              <w:rPr>
                <w:noProof/>
                <w:webHidden/>
              </w:rPr>
              <w:fldChar w:fldCharType="begin"/>
            </w:r>
            <w:r>
              <w:rPr>
                <w:noProof/>
                <w:webHidden/>
              </w:rPr>
              <w:instrText xml:space="preserve"> PAGEREF _Toc175742399 \h </w:instrText>
            </w:r>
            <w:r>
              <w:rPr>
                <w:noProof/>
                <w:webHidden/>
              </w:rPr>
            </w:r>
            <w:r>
              <w:rPr>
                <w:noProof/>
                <w:webHidden/>
              </w:rPr>
              <w:fldChar w:fldCharType="separate"/>
            </w:r>
            <w:r>
              <w:rPr>
                <w:noProof/>
                <w:webHidden/>
              </w:rPr>
              <w:t>253</w:t>
            </w:r>
            <w:r>
              <w:rPr>
                <w:noProof/>
                <w:webHidden/>
              </w:rPr>
              <w:fldChar w:fldCharType="end"/>
            </w:r>
          </w:hyperlink>
        </w:p>
        <w:p w14:paraId="5D03EE80" w14:textId="17286AA3" w:rsidR="007C3BCE" w:rsidRDefault="007C3BCE">
          <w:pPr>
            <w:pStyle w:val="TOC2"/>
            <w:tabs>
              <w:tab w:val="right" w:leader="dot" w:pos="9016"/>
            </w:tabs>
            <w:rPr>
              <w:rFonts w:eastAsiaTheme="minorEastAsia" w:cstheme="minorBidi"/>
              <w:b w:val="0"/>
              <w:bCs w:val="0"/>
              <w:noProof/>
              <w:kern w:val="2"/>
              <w:sz w:val="24"/>
              <w:szCs w:val="24"/>
              <w14:ligatures w14:val="standardContextual"/>
            </w:rPr>
          </w:pPr>
          <w:hyperlink w:anchor="_Toc175742400" w:history="1">
            <w:r w:rsidRPr="00570643">
              <w:rPr>
                <w:rStyle w:val="Hyperlink"/>
                <w:noProof/>
              </w:rPr>
              <w:t>Appendix 3.6 Adapted GRADE quality appraisal tool</w:t>
            </w:r>
            <w:r>
              <w:rPr>
                <w:noProof/>
                <w:webHidden/>
              </w:rPr>
              <w:tab/>
            </w:r>
            <w:r>
              <w:rPr>
                <w:noProof/>
                <w:webHidden/>
              </w:rPr>
              <w:fldChar w:fldCharType="begin"/>
            </w:r>
            <w:r>
              <w:rPr>
                <w:noProof/>
                <w:webHidden/>
              </w:rPr>
              <w:instrText xml:space="preserve"> PAGEREF _Toc175742400 \h </w:instrText>
            </w:r>
            <w:r>
              <w:rPr>
                <w:noProof/>
                <w:webHidden/>
              </w:rPr>
            </w:r>
            <w:r>
              <w:rPr>
                <w:noProof/>
                <w:webHidden/>
              </w:rPr>
              <w:fldChar w:fldCharType="separate"/>
            </w:r>
            <w:r>
              <w:rPr>
                <w:noProof/>
                <w:webHidden/>
              </w:rPr>
              <w:t>254</w:t>
            </w:r>
            <w:r>
              <w:rPr>
                <w:noProof/>
                <w:webHidden/>
              </w:rPr>
              <w:fldChar w:fldCharType="end"/>
            </w:r>
          </w:hyperlink>
        </w:p>
        <w:p w14:paraId="7AE181EF" w14:textId="0DF8A318" w:rsidR="007C3BCE" w:rsidRDefault="007C3BCE">
          <w:pPr>
            <w:pStyle w:val="TOC2"/>
            <w:tabs>
              <w:tab w:val="right" w:leader="dot" w:pos="9016"/>
            </w:tabs>
            <w:rPr>
              <w:rFonts w:eastAsiaTheme="minorEastAsia" w:cstheme="minorBidi"/>
              <w:b w:val="0"/>
              <w:bCs w:val="0"/>
              <w:noProof/>
              <w:kern w:val="2"/>
              <w:sz w:val="24"/>
              <w:szCs w:val="24"/>
              <w14:ligatures w14:val="standardContextual"/>
            </w:rPr>
          </w:pPr>
          <w:hyperlink w:anchor="_Toc175742401" w:history="1">
            <w:r w:rsidRPr="00570643">
              <w:rPr>
                <w:rStyle w:val="Hyperlink"/>
                <w:noProof/>
              </w:rPr>
              <w:t>Appendix 3.7 Study characteristics table</w:t>
            </w:r>
            <w:r>
              <w:rPr>
                <w:noProof/>
                <w:webHidden/>
              </w:rPr>
              <w:tab/>
            </w:r>
            <w:r>
              <w:rPr>
                <w:noProof/>
                <w:webHidden/>
              </w:rPr>
              <w:fldChar w:fldCharType="begin"/>
            </w:r>
            <w:r>
              <w:rPr>
                <w:noProof/>
                <w:webHidden/>
              </w:rPr>
              <w:instrText xml:space="preserve"> PAGEREF _Toc175742401 \h </w:instrText>
            </w:r>
            <w:r>
              <w:rPr>
                <w:noProof/>
                <w:webHidden/>
              </w:rPr>
            </w:r>
            <w:r>
              <w:rPr>
                <w:noProof/>
                <w:webHidden/>
              </w:rPr>
              <w:fldChar w:fldCharType="separate"/>
            </w:r>
            <w:r>
              <w:rPr>
                <w:noProof/>
                <w:webHidden/>
              </w:rPr>
              <w:t>257</w:t>
            </w:r>
            <w:r>
              <w:rPr>
                <w:noProof/>
                <w:webHidden/>
              </w:rPr>
              <w:fldChar w:fldCharType="end"/>
            </w:r>
          </w:hyperlink>
        </w:p>
        <w:p w14:paraId="38429B12" w14:textId="6A604958" w:rsidR="007C3BCE" w:rsidRDefault="007C3BCE">
          <w:pPr>
            <w:pStyle w:val="TOC2"/>
            <w:tabs>
              <w:tab w:val="right" w:leader="dot" w:pos="9016"/>
            </w:tabs>
            <w:rPr>
              <w:rFonts w:eastAsiaTheme="minorEastAsia" w:cstheme="minorBidi"/>
              <w:b w:val="0"/>
              <w:bCs w:val="0"/>
              <w:noProof/>
              <w:kern w:val="2"/>
              <w:sz w:val="24"/>
              <w:szCs w:val="24"/>
              <w14:ligatures w14:val="standardContextual"/>
            </w:rPr>
          </w:pPr>
          <w:hyperlink w:anchor="_Toc175742402" w:history="1">
            <w:r w:rsidRPr="00570643">
              <w:rPr>
                <w:rStyle w:val="Hyperlink"/>
                <w:noProof/>
              </w:rPr>
              <w:t>Appendix 3.8 Details of the empirical relationship between cognition and EQ-5D</w:t>
            </w:r>
            <w:r>
              <w:rPr>
                <w:noProof/>
                <w:webHidden/>
              </w:rPr>
              <w:tab/>
            </w:r>
            <w:r>
              <w:rPr>
                <w:noProof/>
                <w:webHidden/>
              </w:rPr>
              <w:fldChar w:fldCharType="begin"/>
            </w:r>
            <w:r>
              <w:rPr>
                <w:noProof/>
                <w:webHidden/>
              </w:rPr>
              <w:instrText xml:space="preserve"> PAGEREF _Toc175742402 \h </w:instrText>
            </w:r>
            <w:r>
              <w:rPr>
                <w:noProof/>
                <w:webHidden/>
              </w:rPr>
            </w:r>
            <w:r>
              <w:rPr>
                <w:noProof/>
                <w:webHidden/>
              </w:rPr>
              <w:fldChar w:fldCharType="separate"/>
            </w:r>
            <w:r>
              <w:rPr>
                <w:noProof/>
                <w:webHidden/>
              </w:rPr>
              <w:t>262</w:t>
            </w:r>
            <w:r>
              <w:rPr>
                <w:noProof/>
                <w:webHidden/>
              </w:rPr>
              <w:fldChar w:fldCharType="end"/>
            </w:r>
          </w:hyperlink>
        </w:p>
        <w:p w14:paraId="6E43D515" w14:textId="5389E462" w:rsidR="007C3BCE" w:rsidRDefault="007C3BCE">
          <w:pPr>
            <w:pStyle w:val="TOC2"/>
            <w:tabs>
              <w:tab w:val="right" w:leader="dot" w:pos="9016"/>
            </w:tabs>
            <w:rPr>
              <w:rFonts w:eastAsiaTheme="minorEastAsia" w:cstheme="minorBidi"/>
              <w:b w:val="0"/>
              <w:bCs w:val="0"/>
              <w:noProof/>
              <w:kern w:val="2"/>
              <w:sz w:val="24"/>
              <w:szCs w:val="24"/>
              <w14:ligatures w14:val="standardContextual"/>
            </w:rPr>
          </w:pPr>
          <w:hyperlink w:anchor="_Toc175742403" w:history="1">
            <w:r w:rsidRPr="00570643">
              <w:rPr>
                <w:rStyle w:val="Hyperlink"/>
                <w:noProof/>
              </w:rPr>
              <w:t>Appendix 3.9 Details of the empirical relationship between function and EQ-5D</w:t>
            </w:r>
            <w:r>
              <w:rPr>
                <w:noProof/>
                <w:webHidden/>
              </w:rPr>
              <w:tab/>
            </w:r>
            <w:r>
              <w:rPr>
                <w:noProof/>
                <w:webHidden/>
              </w:rPr>
              <w:fldChar w:fldCharType="begin"/>
            </w:r>
            <w:r>
              <w:rPr>
                <w:noProof/>
                <w:webHidden/>
              </w:rPr>
              <w:instrText xml:space="preserve"> PAGEREF _Toc175742403 \h </w:instrText>
            </w:r>
            <w:r>
              <w:rPr>
                <w:noProof/>
                <w:webHidden/>
              </w:rPr>
            </w:r>
            <w:r>
              <w:rPr>
                <w:noProof/>
                <w:webHidden/>
              </w:rPr>
              <w:fldChar w:fldCharType="separate"/>
            </w:r>
            <w:r>
              <w:rPr>
                <w:noProof/>
                <w:webHidden/>
              </w:rPr>
              <w:t>266</w:t>
            </w:r>
            <w:r>
              <w:rPr>
                <w:noProof/>
                <w:webHidden/>
              </w:rPr>
              <w:fldChar w:fldCharType="end"/>
            </w:r>
          </w:hyperlink>
        </w:p>
        <w:p w14:paraId="3B5274C6" w14:textId="5B47D679" w:rsidR="007C3BCE" w:rsidRDefault="007C3BCE">
          <w:pPr>
            <w:pStyle w:val="TOC2"/>
            <w:tabs>
              <w:tab w:val="right" w:leader="dot" w:pos="9016"/>
            </w:tabs>
            <w:rPr>
              <w:rFonts w:eastAsiaTheme="minorEastAsia" w:cstheme="minorBidi"/>
              <w:b w:val="0"/>
              <w:bCs w:val="0"/>
              <w:noProof/>
              <w:kern w:val="2"/>
              <w:sz w:val="24"/>
              <w:szCs w:val="24"/>
              <w14:ligatures w14:val="standardContextual"/>
            </w:rPr>
          </w:pPr>
          <w:hyperlink w:anchor="_Toc175742404" w:history="1">
            <w:r w:rsidRPr="00570643">
              <w:rPr>
                <w:rStyle w:val="Hyperlink"/>
                <w:noProof/>
              </w:rPr>
              <w:t>Appendix 3.10 Details of the empirical relationship between behaviour/mood and EQ-5D</w:t>
            </w:r>
            <w:r>
              <w:rPr>
                <w:noProof/>
                <w:webHidden/>
              </w:rPr>
              <w:tab/>
            </w:r>
            <w:r>
              <w:rPr>
                <w:noProof/>
                <w:webHidden/>
              </w:rPr>
              <w:fldChar w:fldCharType="begin"/>
            </w:r>
            <w:r>
              <w:rPr>
                <w:noProof/>
                <w:webHidden/>
              </w:rPr>
              <w:instrText xml:space="preserve"> PAGEREF _Toc175742404 \h </w:instrText>
            </w:r>
            <w:r>
              <w:rPr>
                <w:noProof/>
                <w:webHidden/>
              </w:rPr>
            </w:r>
            <w:r>
              <w:rPr>
                <w:noProof/>
                <w:webHidden/>
              </w:rPr>
              <w:fldChar w:fldCharType="separate"/>
            </w:r>
            <w:r>
              <w:rPr>
                <w:noProof/>
                <w:webHidden/>
              </w:rPr>
              <w:t>271</w:t>
            </w:r>
            <w:r>
              <w:rPr>
                <w:noProof/>
                <w:webHidden/>
              </w:rPr>
              <w:fldChar w:fldCharType="end"/>
            </w:r>
          </w:hyperlink>
        </w:p>
        <w:p w14:paraId="6556AA5E" w14:textId="432116E4" w:rsidR="007C3BCE" w:rsidRDefault="007C3BCE">
          <w:pPr>
            <w:pStyle w:val="TOC2"/>
            <w:tabs>
              <w:tab w:val="right" w:leader="dot" w:pos="9016"/>
            </w:tabs>
            <w:rPr>
              <w:rFonts w:eastAsiaTheme="minorEastAsia" w:cstheme="minorBidi"/>
              <w:b w:val="0"/>
              <w:bCs w:val="0"/>
              <w:noProof/>
              <w:kern w:val="2"/>
              <w:sz w:val="24"/>
              <w:szCs w:val="24"/>
              <w14:ligatures w14:val="standardContextual"/>
            </w:rPr>
          </w:pPr>
          <w:hyperlink w:anchor="_Toc175742405" w:history="1">
            <w:r w:rsidRPr="00570643">
              <w:rPr>
                <w:rStyle w:val="Hyperlink"/>
                <w:noProof/>
              </w:rPr>
              <w:t>Appendix 4 Overview of the trials from which data has been acquired</w:t>
            </w:r>
            <w:r>
              <w:rPr>
                <w:noProof/>
                <w:webHidden/>
              </w:rPr>
              <w:tab/>
            </w:r>
            <w:r>
              <w:rPr>
                <w:noProof/>
                <w:webHidden/>
              </w:rPr>
              <w:fldChar w:fldCharType="begin"/>
            </w:r>
            <w:r>
              <w:rPr>
                <w:noProof/>
                <w:webHidden/>
              </w:rPr>
              <w:instrText xml:space="preserve"> PAGEREF _Toc175742405 \h </w:instrText>
            </w:r>
            <w:r>
              <w:rPr>
                <w:noProof/>
                <w:webHidden/>
              </w:rPr>
            </w:r>
            <w:r>
              <w:rPr>
                <w:noProof/>
                <w:webHidden/>
              </w:rPr>
              <w:fldChar w:fldCharType="separate"/>
            </w:r>
            <w:r>
              <w:rPr>
                <w:noProof/>
                <w:webHidden/>
              </w:rPr>
              <w:t>277</w:t>
            </w:r>
            <w:r>
              <w:rPr>
                <w:noProof/>
                <w:webHidden/>
              </w:rPr>
              <w:fldChar w:fldCharType="end"/>
            </w:r>
          </w:hyperlink>
        </w:p>
        <w:p w14:paraId="48D2BB34" w14:textId="4A6920A3" w:rsidR="007C3BCE" w:rsidRDefault="007C3BCE">
          <w:pPr>
            <w:pStyle w:val="TOC2"/>
            <w:tabs>
              <w:tab w:val="right" w:leader="dot" w:pos="9016"/>
            </w:tabs>
            <w:rPr>
              <w:rFonts w:eastAsiaTheme="minorEastAsia" w:cstheme="minorBidi"/>
              <w:b w:val="0"/>
              <w:bCs w:val="0"/>
              <w:noProof/>
              <w:kern w:val="2"/>
              <w:sz w:val="24"/>
              <w:szCs w:val="24"/>
              <w14:ligatures w14:val="standardContextual"/>
            </w:rPr>
          </w:pPr>
          <w:hyperlink w:anchor="_Toc175742406" w:history="1">
            <w:r w:rsidRPr="00570643">
              <w:rPr>
                <w:rStyle w:val="Hyperlink"/>
                <w:noProof/>
              </w:rPr>
              <w:t>Appendix 4.1 Instrument validation details alongside clinical indications</w:t>
            </w:r>
            <w:r>
              <w:rPr>
                <w:noProof/>
                <w:webHidden/>
              </w:rPr>
              <w:tab/>
            </w:r>
            <w:r>
              <w:rPr>
                <w:noProof/>
                <w:webHidden/>
              </w:rPr>
              <w:fldChar w:fldCharType="begin"/>
            </w:r>
            <w:r>
              <w:rPr>
                <w:noProof/>
                <w:webHidden/>
              </w:rPr>
              <w:instrText xml:space="preserve"> PAGEREF _Toc175742406 \h </w:instrText>
            </w:r>
            <w:r>
              <w:rPr>
                <w:noProof/>
                <w:webHidden/>
              </w:rPr>
            </w:r>
            <w:r>
              <w:rPr>
                <w:noProof/>
                <w:webHidden/>
              </w:rPr>
              <w:fldChar w:fldCharType="separate"/>
            </w:r>
            <w:r>
              <w:rPr>
                <w:noProof/>
                <w:webHidden/>
              </w:rPr>
              <w:t>288</w:t>
            </w:r>
            <w:r>
              <w:rPr>
                <w:noProof/>
                <w:webHidden/>
              </w:rPr>
              <w:fldChar w:fldCharType="end"/>
            </w:r>
          </w:hyperlink>
        </w:p>
        <w:p w14:paraId="576498AC" w14:textId="14E0D69F" w:rsidR="007C3BCE" w:rsidRDefault="007C3BCE">
          <w:pPr>
            <w:pStyle w:val="TOC2"/>
            <w:tabs>
              <w:tab w:val="right" w:leader="dot" w:pos="9016"/>
            </w:tabs>
            <w:rPr>
              <w:rFonts w:eastAsiaTheme="minorEastAsia" w:cstheme="minorBidi"/>
              <w:b w:val="0"/>
              <w:bCs w:val="0"/>
              <w:noProof/>
              <w:kern w:val="2"/>
              <w:sz w:val="24"/>
              <w:szCs w:val="24"/>
              <w14:ligatures w14:val="standardContextual"/>
            </w:rPr>
          </w:pPr>
          <w:hyperlink w:anchor="_Toc175742407" w:history="1">
            <w:r w:rsidRPr="00570643">
              <w:rPr>
                <w:rStyle w:val="Hyperlink"/>
                <w:noProof/>
              </w:rPr>
              <w:t>Appendix 4.2 EQ-5D dimension level cross-tables</w:t>
            </w:r>
            <w:r>
              <w:rPr>
                <w:noProof/>
                <w:webHidden/>
              </w:rPr>
              <w:tab/>
            </w:r>
            <w:r>
              <w:rPr>
                <w:noProof/>
                <w:webHidden/>
              </w:rPr>
              <w:fldChar w:fldCharType="begin"/>
            </w:r>
            <w:r>
              <w:rPr>
                <w:noProof/>
                <w:webHidden/>
              </w:rPr>
              <w:instrText xml:space="preserve"> PAGEREF _Toc175742407 \h </w:instrText>
            </w:r>
            <w:r>
              <w:rPr>
                <w:noProof/>
                <w:webHidden/>
              </w:rPr>
            </w:r>
            <w:r>
              <w:rPr>
                <w:noProof/>
                <w:webHidden/>
              </w:rPr>
              <w:fldChar w:fldCharType="separate"/>
            </w:r>
            <w:r>
              <w:rPr>
                <w:noProof/>
                <w:webHidden/>
              </w:rPr>
              <w:t>292</w:t>
            </w:r>
            <w:r>
              <w:rPr>
                <w:noProof/>
                <w:webHidden/>
              </w:rPr>
              <w:fldChar w:fldCharType="end"/>
            </w:r>
          </w:hyperlink>
        </w:p>
        <w:p w14:paraId="4941F612" w14:textId="63B6B9C7" w:rsidR="007C3BCE" w:rsidRDefault="007C3BCE">
          <w:pPr>
            <w:pStyle w:val="TOC2"/>
            <w:tabs>
              <w:tab w:val="right" w:leader="dot" w:pos="9016"/>
            </w:tabs>
            <w:rPr>
              <w:rFonts w:eastAsiaTheme="minorEastAsia" w:cstheme="minorBidi"/>
              <w:b w:val="0"/>
              <w:bCs w:val="0"/>
              <w:noProof/>
              <w:kern w:val="2"/>
              <w:sz w:val="24"/>
              <w:szCs w:val="24"/>
              <w14:ligatures w14:val="standardContextual"/>
            </w:rPr>
          </w:pPr>
          <w:hyperlink w:anchor="_Toc175742408" w:history="1">
            <w:r w:rsidRPr="00570643">
              <w:rPr>
                <w:rStyle w:val="Hyperlink"/>
                <w:noProof/>
              </w:rPr>
              <w:t>Appendix 5 Summary of convergent validity evidence by EQ-5D dimension</w:t>
            </w:r>
            <w:r>
              <w:rPr>
                <w:noProof/>
                <w:webHidden/>
              </w:rPr>
              <w:tab/>
            </w:r>
            <w:r>
              <w:rPr>
                <w:noProof/>
                <w:webHidden/>
              </w:rPr>
              <w:fldChar w:fldCharType="begin"/>
            </w:r>
            <w:r>
              <w:rPr>
                <w:noProof/>
                <w:webHidden/>
              </w:rPr>
              <w:instrText xml:space="preserve"> PAGEREF _Toc175742408 \h </w:instrText>
            </w:r>
            <w:r>
              <w:rPr>
                <w:noProof/>
                <w:webHidden/>
              </w:rPr>
            </w:r>
            <w:r>
              <w:rPr>
                <w:noProof/>
                <w:webHidden/>
              </w:rPr>
              <w:fldChar w:fldCharType="separate"/>
            </w:r>
            <w:r>
              <w:rPr>
                <w:noProof/>
                <w:webHidden/>
              </w:rPr>
              <w:t>294</w:t>
            </w:r>
            <w:r>
              <w:rPr>
                <w:noProof/>
                <w:webHidden/>
              </w:rPr>
              <w:fldChar w:fldCharType="end"/>
            </w:r>
          </w:hyperlink>
        </w:p>
        <w:p w14:paraId="0289E67C" w14:textId="54CC948B" w:rsidR="007C3BCE" w:rsidRDefault="007C3BCE">
          <w:pPr>
            <w:pStyle w:val="TOC2"/>
            <w:tabs>
              <w:tab w:val="right" w:leader="dot" w:pos="9016"/>
            </w:tabs>
            <w:rPr>
              <w:rFonts w:eastAsiaTheme="minorEastAsia" w:cstheme="minorBidi"/>
              <w:b w:val="0"/>
              <w:bCs w:val="0"/>
              <w:noProof/>
              <w:kern w:val="2"/>
              <w:sz w:val="24"/>
              <w:szCs w:val="24"/>
              <w14:ligatures w14:val="standardContextual"/>
            </w:rPr>
          </w:pPr>
          <w:hyperlink w:anchor="_Toc175742409" w:history="1">
            <w:r w:rsidRPr="00570643">
              <w:rPr>
                <w:rStyle w:val="Hyperlink"/>
                <w:noProof/>
              </w:rPr>
              <w:t>Appendix 5.1 Proportion of PwD-informal proxy dyads and PwD-staff proxy dyads reporting change in the same/opposing directions by EQ-5D dimension</w:t>
            </w:r>
            <w:r>
              <w:rPr>
                <w:noProof/>
                <w:webHidden/>
              </w:rPr>
              <w:tab/>
            </w:r>
            <w:r>
              <w:rPr>
                <w:noProof/>
                <w:webHidden/>
              </w:rPr>
              <w:fldChar w:fldCharType="begin"/>
            </w:r>
            <w:r>
              <w:rPr>
                <w:noProof/>
                <w:webHidden/>
              </w:rPr>
              <w:instrText xml:space="preserve"> PAGEREF _Toc175742409 \h </w:instrText>
            </w:r>
            <w:r>
              <w:rPr>
                <w:noProof/>
                <w:webHidden/>
              </w:rPr>
            </w:r>
            <w:r>
              <w:rPr>
                <w:noProof/>
                <w:webHidden/>
              </w:rPr>
              <w:fldChar w:fldCharType="separate"/>
            </w:r>
            <w:r>
              <w:rPr>
                <w:noProof/>
                <w:webHidden/>
              </w:rPr>
              <w:t>296</w:t>
            </w:r>
            <w:r>
              <w:rPr>
                <w:noProof/>
                <w:webHidden/>
              </w:rPr>
              <w:fldChar w:fldCharType="end"/>
            </w:r>
          </w:hyperlink>
        </w:p>
        <w:p w14:paraId="7F5BE3A2" w14:textId="60631C10" w:rsidR="007C3BCE" w:rsidRDefault="007C3BCE">
          <w:pPr>
            <w:pStyle w:val="TOC2"/>
            <w:tabs>
              <w:tab w:val="right" w:leader="dot" w:pos="9016"/>
            </w:tabs>
            <w:rPr>
              <w:rFonts w:eastAsiaTheme="minorEastAsia" w:cstheme="minorBidi"/>
              <w:b w:val="0"/>
              <w:bCs w:val="0"/>
              <w:noProof/>
              <w:kern w:val="2"/>
              <w:sz w:val="24"/>
              <w:szCs w:val="24"/>
              <w14:ligatures w14:val="standardContextual"/>
            </w:rPr>
          </w:pPr>
          <w:hyperlink w:anchor="_Toc175742410" w:history="1">
            <w:r w:rsidRPr="00570643">
              <w:rPr>
                <w:rStyle w:val="Hyperlink"/>
                <w:noProof/>
              </w:rPr>
              <w:t>Appendix 5.2 Floor and ceiling effects of EQ-5D dimensions</w:t>
            </w:r>
            <w:r>
              <w:rPr>
                <w:noProof/>
                <w:webHidden/>
              </w:rPr>
              <w:tab/>
            </w:r>
            <w:r>
              <w:rPr>
                <w:noProof/>
                <w:webHidden/>
              </w:rPr>
              <w:fldChar w:fldCharType="begin"/>
            </w:r>
            <w:r>
              <w:rPr>
                <w:noProof/>
                <w:webHidden/>
              </w:rPr>
              <w:instrText xml:space="preserve"> PAGEREF _Toc175742410 \h </w:instrText>
            </w:r>
            <w:r>
              <w:rPr>
                <w:noProof/>
                <w:webHidden/>
              </w:rPr>
            </w:r>
            <w:r>
              <w:rPr>
                <w:noProof/>
                <w:webHidden/>
              </w:rPr>
              <w:fldChar w:fldCharType="separate"/>
            </w:r>
            <w:r>
              <w:rPr>
                <w:noProof/>
                <w:webHidden/>
              </w:rPr>
              <w:t>297</w:t>
            </w:r>
            <w:r>
              <w:rPr>
                <w:noProof/>
                <w:webHidden/>
              </w:rPr>
              <w:fldChar w:fldCharType="end"/>
            </w:r>
          </w:hyperlink>
        </w:p>
        <w:p w14:paraId="0338ADBA" w14:textId="16514B52" w:rsidR="007C3BCE" w:rsidRDefault="007C3BCE">
          <w:pPr>
            <w:pStyle w:val="TOC2"/>
            <w:tabs>
              <w:tab w:val="right" w:leader="dot" w:pos="9016"/>
            </w:tabs>
            <w:rPr>
              <w:rFonts w:eastAsiaTheme="minorEastAsia" w:cstheme="minorBidi"/>
              <w:b w:val="0"/>
              <w:bCs w:val="0"/>
              <w:noProof/>
              <w:kern w:val="2"/>
              <w:sz w:val="24"/>
              <w:szCs w:val="24"/>
              <w14:ligatures w14:val="standardContextual"/>
            </w:rPr>
          </w:pPr>
          <w:hyperlink w:anchor="_Toc175742411" w:history="1">
            <w:r w:rsidRPr="00570643">
              <w:rPr>
                <w:rStyle w:val="Hyperlink"/>
                <w:noProof/>
              </w:rPr>
              <w:t>Appendix 5.3 Inter-rater agreement</w:t>
            </w:r>
            <w:r>
              <w:rPr>
                <w:noProof/>
                <w:webHidden/>
              </w:rPr>
              <w:tab/>
            </w:r>
            <w:r>
              <w:rPr>
                <w:noProof/>
                <w:webHidden/>
              </w:rPr>
              <w:fldChar w:fldCharType="begin"/>
            </w:r>
            <w:r>
              <w:rPr>
                <w:noProof/>
                <w:webHidden/>
              </w:rPr>
              <w:instrText xml:space="preserve"> PAGEREF _Toc175742411 \h </w:instrText>
            </w:r>
            <w:r>
              <w:rPr>
                <w:noProof/>
                <w:webHidden/>
              </w:rPr>
            </w:r>
            <w:r>
              <w:rPr>
                <w:noProof/>
                <w:webHidden/>
              </w:rPr>
              <w:fldChar w:fldCharType="separate"/>
            </w:r>
            <w:r>
              <w:rPr>
                <w:noProof/>
                <w:webHidden/>
              </w:rPr>
              <w:t>298</w:t>
            </w:r>
            <w:r>
              <w:rPr>
                <w:noProof/>
                <w:webHidden/>
              </w:rPr>
              <w:fldChar w:fldCharType="end"/>
            </w:r>
          </w:hyperlink>
        </w:p>
        <w:p w14:paraId="306D63F4" w14:textId="33E671AC" w:rsidR="007C3BCE" w:rsidRDefault="007C3BCE">
          <w:pPr>
            <w:pStyle w:val="TOC2"/>
            <w:tabs>
              <w:tab w:val="right" w:leader="dot" w:pos="9016"/>
            </w:tabs>
            <w:rPr>
              <w:rFonts w:eastAsiaTheme="minorEastAsia" w:cstheme="minorBidi"/>
              <w:b w:val="0"/>
              <w:bCs w:val="0"/>
              <w:noProof/>
              <w:kern w:val="2"/>
              <w:sz w:val="24"/>
              <w:szCs w:val="24"/>
              <w14:ligatures w14:val="standardContextual"/>
            </w:rPr>
          </w:pPr>
          <w:hyperlink w:anchor="_Toc175742412" w:history="1">
            <w:r w:rsidRPr="00570643">
              <w:rPr>
                <w:rStyle w:val="Hyperlink"/>
                <w:noProof/>
              </w:rPr>
              <w:t>Appendix 5.4 Responsiveness evidence</w:t>
            </w:r>
            <w:r>
              <w:rPr>
                <w:noProof/>
                <w:webHidden/>
              </w:rPr>
              <w:tab/>
            </w:r>
            <w:r>
              <w:rPr>
                <w:noProof/>
                <w:webHidden/>
              </w:rPr>
              <w:fldChar w:fldCharType="begin"/>
            </w:r>
            <w:r>
              <w:rPr>
                <w:noProof/>
                <w:webHidden/>
              </w:rPr>
              <w:instrText xml:space="preserve"> PAGEREF _Toc175742412 \h </w:instrText>
            </w:r>
            <w:r>
              <w:rPr>
                <w:noProof/>
                <w:webHidden/>
              </w:rPr>
            </w:r>
            <w:r>
              <w:rPr>
                <w:noProof/>
                <w:webHidden/>
              </w:rPr>
              <w:fldChar w:fldCharType="separate"/>
            </w:r>
            <w:r>
              <w:rPr>
                <w:noProof/>
                <w:webHidden/>
              </w:rPr>
              <w:t>300</w:t>
            </w:r>
            <w:r>
              <w:rPr>
                <w:noProof/>
                <w:webHidden/>
              </w:rPr>
              <w:fldChar w:fldCharType="end"/>
            </w:r>
          </w:hyperlink>
        </w:p>
        <w:p w14:paraId="6FA06800" w14:textId="485BAA07" w:rsidR="007C3BCE" w:rsidRDefault="007C3BCE">
          <w:pPr>
            <w:pStyle w:val="TOC2"/>
            <w:tabs>
              <w:tab w:val="right" w:leader="dot" w:pos="9016"/>
            </w:tabs>
            <w:rPr>
              <w:rFonts w:eastAsiaTheme="minorEastAsia" w:cstheme="minorBidi"/>
              <w:b w:val="0"/>
              <w:bCs w:val="0"/>
              <w:noProof/>
              <w:kern w:val="2"/>
              <w:sz w:val="24"/>
              <w:szCs w:val="24"/>
              <w14:ligatures w14:val="standardContextual"/>
            </w:rPr>
          </w:pPr>
          <w:hyperlink w:anchor="_Toc175742413" w:history="1">
            <w:r w:rsidRPr="00570643">
              <w:rPr>
                <w:rStyle w:val="Hyperlink"/>
                <w:noProof/>
              </w:rPr>
              <w:t>Appendix 5.5 Line graph of mean EQ-5D index scores by CDR stage</w:t>
            </w:r>
            <w:r>
              <w:rPr>
                <w:noProof/>
                <w:webHidden/>
              </w:rPr>
              <w:tab/>
            </w:r>
            <w:r>
              <w:rPr>
                <w:noProof/>
                <w:webHidden/>
              </w:rPr>
              <w:fldChar w:fldCharType="begin"/>
            </w:r>
            <w:r>
              <w:rPr>
                <w:noProof/>
                <w:webHidden/>
              </w:rPr>
              <w:instrText xml:space="preserve"> PAGEREF _Toc175742413 \h </w:instrText>
            </w:r>
            <w:r>
              <w:rPr>
                <w:noProof/>
                <w:webHidden/>
              </w:rPr>
            </w:r>
            <w:r>
              <w:rPr>
                <w:noProof/>
                <w:webHidden/>
              </w:rPr>
              <w:fldChar w:fldCharType="separate"/>
            </w:r>
            <w:r>
              <w:rPr>
                <w:noProof/>
                <w:webHidden/>
              </w:rPr>
              <w:t>311</w:t>
            </w:r>
            <w:r>
              <w:rPr>
                <w:noProof/>
                <w:webHidden/>
              </w:rPr>
              <w:fldChar w:fldCharType="end"/>
            </w:r>
          </w:hyperlink>
        </w:p>
        <w:p w14:paraId="77C2A91B" w14:textId="798EBED8" w:rsidR="007C3BCE" w:rsidRDefault="007C3BCE">
          <w:pPr>
            <w:pStyle w:val="TOC2"/>
            <w:tabs>
              <w:tab w:val="right" w:leader="dot" w:pos="9016"/>
            </w:tabs>
            <w:rPr>
              <w:rFonts w:eastAsiaTheme="minorEastAsia" w:cstheme="minorBidi"/>
              <w:b w:val="0"/>
              <w:bCs w:val="0"/>
              <w:noProof/>
              <w:kern w:val="2"/>
              <w:sz w:val="24"/>
              <w:szCs w:val="24"/>
              <w14:ligatures w14:val="standardContextual"/>
            </w:rPr>
          </w:pPr>
          <w:hyperlink w:anchor="_Toc175742414" w:history="1">
            <w:r w:rsidRPr="00570643">
              <w:rPr>
                <w:rStyle w:val="Hyperlink"/>
                <w:noProof/>
              </w:rPr>
              <w:t>Appendix 5.6 Change scores of dementia symptom measures</w:t>
            </w:r>
            <w:r>
              <w:rPr>
                <w:noProof/>
                <w:webHidden/>
              </w:rPr>
              <w:tab/>
            </w:r>
            <w:r>
              <w:rPr>
                <w:noProof/>
                <w:webHidden/>
              </w:rPr>
              <w:fldChar w:fldCharType="begin"/>
            </w:r>
            <w:r>
              <w:rPr>
                <w:noProof/>
                <w:webHidden/>
              </w:rPr>
              <w:instrText xml:space="preserve"> PAGEREF _Toc175742414 \h </w:instrText>
            </w:r>
            <w:r>
              <w:rPr>
                <w:noProof/>
                <w:webHidden/>
              </w:rPr>
            </w:r>
            <w:r>
              <w:rPr>
                <w:noProof/>
                <w:webHidden/>
              </w:rPr>
              <w:fldChar w:fldCharType="separate"/>
            </w:r>
            <w:r>
              <w:rPr>
                <w:noProof/>
                <w:webHidden/>
              </w:rPr>
              <w:t>311</w:t>
            </w:r>
            <w:r>
              <w:rPr>
                <w:noProof/>
                <w:webHidden/>
              </w:rPr>
              <w:fldChar w:fldCharType="end"/>
            </w:r>
          </w:hyperlink>
        </w:p>
        <w:p w14:paraId="01DE5A3D" w14:textId="6AA78CB9" w:rsidR="007C3BCE" w:rsidRDefault="007C3BCE">
          <w:pPr>
            <w:pStyle w:val="TOC2"/>
            <w:tabs>
              <w:tab w:val="right" w:leader="dot" w:pos="9016"/>
            </w:tabs>
            <w:rPr>
              <w:rFonts w:eastAsiaTheme="minorEastAsia" w:cstheme="minorBidi"/>
              <w:b w:val="0"/>
              <w:bCs w:val="0"/>
              <w:noProof/>
              <w:kern w:val="2"/>
              <w:sz w:val="24"/>
              <w:szCs w:val="24"/>
              <w14:ligatures w14:val="standardContextual"/>
            </w:rPr>
          </w:pPr>
          <w:hyperlink w:anchor="_Toc175742415" w:history="1">
            <w:r w:rsidRPr="00570643">
              <w:rPr>
                <w:rStyle w:val="Hyperlink"/>
                <w:noProof/>
              </w:rPr>
              <w:t>Appendix 5.7 PPIE session two feedback and notes</w:t>
            </w:r>
            <w:r>
              <w:rPr>
                <w:noProof/>
                <w:webHidden/>
              </w:rPr>
              <w:tab/>
            </w:r>
            <w:r>
              <w:rPr>
                <w:noProof/>
                <w:webHidden/>
              </w:rPr>
              <w:fldChar w:fldCharType="begin"/>
            </w:r>
            <w:r>
              <w:rPr>
                <w:noProof/>
                <w:webHidden/>
              </w:rPr>
              <w:instrText xml:space="preserve"> PAGEREF _Toc175742415 \h </w:instrText>
            </w:r>
            <w:r>
              <w:rPr>
                <w:noProof/>
                <w:webHidden/>
              </w:rPr>
            </w:r>
            <w:r>
              <w:rPr>
                <w:noProof/>
                <w:webHidden/>
              </w:rPr>
              <w:fldChar w:fldCharType="separate"/>
            </w:r>
            <w:r>
              <w:rPr>
                <w:noProof/>
                <w:webHidden/>
              </w:rPr>
              <w:t>314</w:t>
            </w:r>
            <w:r>
              <w:rPr>
                <w:noProof/>
                <w:webHidden/>
              </w:rPr>
              <w:fldChar w:fldCharType="end"/>
            </w:r>
          </w:hyperlink>
        </w:p>
        <w:p w14:paraId="4A387927" w14:textId="2432910C" w:rsidR="007C3BCE" w:rsidRDefault="007C3BCE">
          <w:pPr>
            <w:pStyle w:val="TOC2"/>
            <w:tabs>
              <w:tab w:val="right" w:leader="dot" w:pos="9016"/>
            </w:tabs>
            <w:rPr>
              <w:rFonts w:eastAsiaTheme="minorEastAsia" w:cstheme="minorBidi"/>
              <w:b w:val="0"/>
              <w:bCs w:val="0"/>
              <w:noProof/>
              <w:kern w:val="2"/>
              <w:sz w:val="24"/>
              <w:szCs w:val="24"/>
              <w14:ligatures w14:val="standardContextual"/>
            </w:rPr>
          </w:pPr>
          <w:hyperlink w:anchor="_Toc175742416" w:history="1">
            <w:r w:rsidRPr="00570643">
              <w:rPr>
                <w:rStyle w:val="Hyperlink"/>
                <w:noProof/>
              </w:rPr>
              <w:t>Appendix 6 EQ-5D dimension response frequency tables</w:t>
            </w:r>
            <w:r>
              <w:rPr>
                <w:noProof/>
                <w:webHidden/>
              </w:rPr>
              <w:tab/>
            </w:r>
            <w:r>
              <w:rPr>
                <w:noProof/>
                <w:webHidden/>
              </w:rPr>
              <w:fldChar w:fldCharType="begin"/>
            </w:r>
            <w:r>
              <w:rPr>
                <w:noProof/>
                <w:webHidden/>
              </w:rPr>
              <w:instrText xml:space="preserve"> PAGEREF _Toc175742416 \h </w:instrText>
            </w:r>
            <w:r>
              <w:rPr>
                <w:noProof/>
                <w:webHidden/>
              </w:rPr>
            </w:r>
            <w:r>
              <w:rPr>
                <w:noProof/>
                <w:webHidden/>
              </w:rPr>
              <w:fldChar w:fldCharType="separate"/>
            </w:r>
            <w:r>
              <w:rPr>
                <w:noProof/>
                <w:webHidden/>
              </w:rPr>
              <w:t>315</w:t>
            </w:r>
            <w:r>
              <w:rPr>
                <w:noProof/>
                <w:webHidden/>
              </w:rPr>
              <w:fldChar w:fldCharType="end"/>
            </w:r>
          </w:hyperlink>
        </w:p>
        <w:p w14:paraId="738CA057" w14:textId="3526208A" w:rsidR="007C3BCE" w:rsidRDefault="007C3BCE">
          <w:pPr>
            <w:pStyle w:val="TOC2"/>
            <w:tabs>
              <w:tab w:val="right" w:leader="dot" w:pos="9016"/>
            </w:tabs>
            <w:rPr>
              <w:rFonts w:eastAsiaTheme="minorEastAsia" w:cstheme="minorBidi"/>
              <w:b w:val="0"/>
              <w:bCs w:val="0"/>
              <w:noProof/>
              <w:kern w:val="2"/>
              <w:sz w:val="24"/>
              <w:szCs w:val="24"/>
              <w14:ligatures w14:val="standardContextual"/>
            </w:rPr>
          </w:pPr>
          <w:hyperlink w:anchor="_Toc175742417" w:history="1">
            <w:r w:rsidRPr="00570643">
              <w:rPr>
                <w:rStyle w:val="Hyperlink"/>
                <w:noProof/>
              </w:rPr>
              <w:t>Appendix 6.1 Correlations between variables</w:t>
            </w:r>
            <w:r>
              <w:rPr>
                <w:noProof/>
                <w:webHidden/>
              </w:rPr>
              <w:tab/>
            </w:r>
            <w:r>
              <w:rPr>
                <w:noProof/>
                <w:webHidden/>
              </w:rPr>
              <w:fldChar w:fldCharType="begin"/>
            </w:r>
            <w:r>
              <w:rPr>
                <w:noProof/>
                <w:webHidden/>
              </w:rPr>
              <w:instrText xml:space="preserve"> PAGEREF _Toc175742417 \h </w:instrText>
            </w:r>
            <w:r>
              <w:rPr>
                <w:noProof/>
                <w:webHidden/>
              </w:rPr>
            </w:r>
            <w:r>
              <w:rPr>
                <w:noProof/>
                <w:webHidden/>
              </w:rPr>
              <w:fldChar w:fldCharType="separate"/>
            </w:r>
            <w:r>
              <w:rPr>
                <w:noProof/>
                <w:webHidden/>
              </w:rPr>
              <w:t>317</w:t>
            </w:r>
            <w:r>
              <w:rPr>
                <w:noProof/>
                <w:webHidden/>
              </w:rPr>
              <w:fldChar w:fldCharType="end"/>
            </w:r>
          </w:hyperlink>
        </w:p>
        <w:p w14:paraId="74F00BE9" w14:textId="263C6F74" w:rsidR="007C3BCE" w:rsidRDefault="007C3BCE">
          <w:pPr>
            <w:pStyle w:val="TOC2"/>
            <w:tabs>
              <w:tab w:val="right" w:leader="dot" w:pos="9016"/>
            </w:tabs>
            <w:rPr>
              <w:rFonts w:eastAsiaTheme="minorEastAsia" w:cstheme="minorBidi"/>
              <w:b w:val="0"/>
              <w:bCs w:val="0"/>
              <w:noProof/>
              <w:kern w:val="2"/>
              <w:sz w:val="24"/>
              <w:szCs w:val="24"/>
              <w14:ligatures w14:val="standardContextual"/>
            </w:rPr>
          </w:pPr>
          <w:hyperlink w:anchor="_Toc175742418" w:history="1">
            <w:r w:rsidRPr="00570643">
              <w:rPr>
                <w:rStyle w:val="Hyperlink"/>
                <w:noProof/>
              </w:rPr>
              <w:t>Appendix 6.2 Iterations of ordered probit dimension-models</w:t>
            </w:r>
            <w:r>
              <w:rPr>
                <w:noProof/>
                <w:webHidden/>
              </w:rPr>
              <w:tab/>
            </w:r>
            <w:r>
              <w:rPr>
                <w:noProof/>
                <w:webHidden/>
              </w:rPr>
              <w:fldChar w:fldCharType="begin"/>
            </w:r>
            <w:r>
              <w:rPr>
                <w:noProof/>
                <w:webHidden/>
              </w:rPr>
              <w:instrText xml:space="preserve"> PAGEREF _Toc175742418 \h </w:instrText>
            </w:r>
            <w:r>
              <w:rPr>
                <w:noProof/>
                <w:webHidden/>
              </w:rPr>
            </w:r>
            <w:r>
              <w:rPr>
                <w:noProof/>
                <w:webHidden/>
              </w:rPr>
              <w:fldChar w:fldCharType="separate"/>
            </w:r>
            <w:r>
              <w:rPr>
                <w:noProof/>
                <w:webHidden/>
              </w:rPr>
              <w:t>321</w:t>
            </w:r>
            <w:r>
              <w:rPr>
                <w:noProof/>
                <w:webHidden/>
              </w:rPr>
              <w:fldChar w:fldCharType="end"/>
            </w:r>
          </w:hyperlink>
        </w:p>
        <w:p w14:paraId="3805CF79" w14:textId="1111214B" w:rsidR="007C3BCE" w:rsidRDefault="007C3BCE">
          <w:pPr>
            <w:pStyle w:val="TOC2"/>
            <w:tabs>
              <w:tab w:val="right" w:leader="dot" w:pos="9016"/>
            </w:tabs>
            <w:rPr>
              <w:rFonts w:eastAsiaTheme="minorEastAsia" w:cstheme="minorBidi"/>
              <w:b w:val="0"/>
              <w:bCs w:val="0"/>
              <w:noProof/>
              <w:kern w:val="2"/>
              <w:sz w:val="24"/>
              <w:szCs w:val="24"/>
              <w14:ligatures w14:val="standardContextual"/>
            </w:rPr>
          </w:pPr>
          <w:hyperlink w:anchor="_Toc175742419" w:history="1">
            <w:r w:rsidRPr="00570643">
              <w:rPr>
                <w:rStyle w:val="Hyperlink"/>
                <w:noProof/>
              </w:rPr>
              <w:t>Appendix 6.3 Marginal effects tables for the final models</w:t>
            </w:r>
            <w:r>
              <w:rPr>
                <w:noProof/>
                <w:webHidden/>
              </w:rPr>
              <w:tab/>
            </w:r>
            <w:r>
              <w:rPr>
                <w:noProof/>
                <w:webHidden/>
              </w:rPr>
              <w:fldChar w:fldCharType="begin"/>
            </w:r>
            <w:r>
              <w:rPr>
                <w:noProof/>
                <w:webHidden/>
              </w:rPr>
              <w:instrText xml:space="preserve"> PAGEREF _Toc175742419 \h </w:instrText>
            </w:r>
            <w:r>
              <w:rPr>
                <w:noProof/>
                <w:webHidden/>
              </w:rPr>
            </w:r>
            <w:r>
              <w:rPr>
                <w:noProof/>
                <w:webHidden/>
              </w:rPr>
              <w:fldChar w:fldCharType="separate"/>
            </w:r>
            <w:r>
              <w:rPr>
                <w:noProof/>
                <w:webHidden/>
              </w:rPr>
              <w:t>349</w:t>
            </w:r>
            <w:r>
              <w:rPr>
                <w:noProof/>
                <w:webHidden/>
              </w:rPr>
              <w:fldChar w:fldCharType="end"/>
            </w:r>
          </w:hyperlink>
        </w:p>
        <w:p w14:paraId="51F5291A" w14:textId="45EB7ECD" w:rsidR="007C3BCE" w:rsidRDefault="007C3BCE">
          <w:pPr>
            <w:pStyle w:val="TOC2"/>
            <w:tabs>
              <w:tab w:val="right" w:leader="dot" w:pos="9016"/>
            </w:tabs>
            <w:rPr>
              <w:rFonts w:eastAsiaTheme="minorEastAsia" w:cstheme="minorBidi"/>
              <w:b w:val="0"/>
              <w:bCs w:val="0"/>
              <w:noProof/>
              <w:kern w:val="2"/>
              <w:sz w:val="24"/>
              <w:szCs w:val="24"/>
              <w14:ligatures w14:val="standardContextual"/>
            </w:rPr>
          </w:pPr>
          <w:hyperlink w:anchor="_Toc175742420" w:history="1">
            <w:r w:rsidRPr="00570643">
              <w:rPr>
                <w:rStyle w:val="Hyperlink"/>
                <w:noProof/>
              </w:rPr>
              <w:t>Appendix 6.4 Including a trial indicator variable</w:t>
            </w:r>
            <w:r>
              <w:rPr>
                <w:noProof/>
                <w:webHidden/>
              </w:rPr>
              <w:tab/>
            </w:r>
            <w:r>
              <w:rPr>
                <w:noProof/>
                <w:webHidden/>
              </w:rPr>
              <w:fldChar w:fldCharType="begin"/>
            </w:r>
            <w:r>
              <w:rPr>
                <w:noProof/>
                <w:webHidden/>
              </w:rPr>
              <w:instrText xml:space="preserve"> PAGEREF _Toc175742420 \h </w:instrText>
            </w:r>
            <w:r>
              <w:rPr>
                <w:noProof/>
                <w:webHidden/>
              </w:rPr>
            </w:r>
            <w:r>
              <w:rPr>
                <w:noProof/>
                <w:webHidden/>
              </w:rPr>
              <w:fldChar w:fldCharType="separate"/>
            </w:r>
            <w:r>
              <w:rPr>
                <w:noProof/>
                <w:webHidden/>
              </w:rPr>
              <w:t>370</w:t>
            </w:r>
            <w:r>
              <w:rPr>
                <w:noProof/>
                <w:webHidden/>
              </w:rPr>
              <w:fldChar w:fldCharType="end"/>
            </w:r>
          </w:hyperlink>
        </w:p>
        <w:p w14:paraId="4536A39C" w14:textId="4B4B6828" w:rsidR="007C3BCE" w:rsidRDefault="007C3BCE">
          <w:pPr>
            <w:pStyle w:val="TOC2"/>
            <w:tabs>
              <w:tab w:val="right" w:leader="dot" w:pos="9016"/>
            </w:tabs>
            <w:rPr>
              <w:rFonts w:eastAsiaTheme="minorEastAsia" w:cstheme="minorBidi"/>
              <w:b w:val="0"/>
              <w:bCs w:val="0"/>
              <w:noProof/>
              <w:kern w:val="2"/>
              <w:sz w:val="24"/>
              <w:szCs w:val="24"/>
              <w14:ligatures w14:val="standardContextual"/>
            </w:rPr>
          </w:pPr>
          <w:hyperlink w:anchor="_Toc175742421" w:history="1">
            <w:r w:rsidRPr="00570643">
              <w:rPr>
                <w:rStyle w:val="Hyperlink"/>
                <w:noProof/>
              </w:rPr>
              <w:t>Appendix 6.5a Pragmatic models</w:t>
            </w:r>
            <w:r>
              <w:rPr>
                <w:noProof/>
                <w:webHidden/>
              </w:rPr>
              <w:tab/>
            </w:r>
            <w:r>
              <w:rPr>
                <w:noProof/>
                <w:webHidden/>
              </w:rPr>
              <w:fldChar w:fldCharType="begin"/>
            </w:r>
            <w:r>
              <w:rPr>
                <w:noProof/>
                <w:webHidden/>
              </w:rPr>
              <w:instrText xml:space="preserve"> PAGEREF _Toc175742421 \h </w:instrText>
            </w:r>
            <w:r>
              <w:rPr>
                <w:noProof/>
                <w:webHidden/>
              </w:rPr>
            </w:r>
            <w:r>
              <w:rPr>
                <w:noProof/>
                <w:webHidden/>
              </w:rPr>
              <w:fldChar w:fldCharType="separate"/>
            </w:r>
            <w:r>
              <w:rPr>
                <w:noProof/>
                <w:webHidden/>
              </w:rPr>
              <w:t>372</w:t>
            </w:r>
            <w:r>
              <w:rPr>
                <w:noProof/>
                <w:webHidden/>
              </w:rPr>
              <w:fldChar w:fldCharType="end"/>
            </w:r>
          </w:hyperlink>
        </w:p>
        <w:p w14:paraId="5C2F775B" w14:textId="556422A2" w:rsidR="007C3BCE" w:rsidRDefault="007C3BCE">
          <w:pPr>
            <w:pStyle w:val="TOC2"/>
            <w:tabs>
              <w:tab w:val="right" w:leader="dot" w:pos="9016"/>
            </w:tabs>
            <w:rPr>
              <w:rFonts w:eastAsiaTheme="minorEastAsia" w:cstheme="minorBidi"/>
              <w:b w:val="0"/>
              <w:bCs w:val="0"/>
              <w:noProof/>
              <w:kern w:val="2"/>
              <w:sz w:val="24"/>
              <w:szCs w:val="24"/>
              <w14:ligatures w14:val="standardContextual"/>
            </w:rPr>
          </w:pPr>
          <w:hyperlink w:anchor="_Toc175742422" w:history="1">
            <w:r w:rsidRPr="00570643">
              <w:rPr>
                <w:rStyle w:val="Hyperlink"/>
                <w:noProof/>
              </w:rPr>
              <w:t>Appendix 6.5 Utility score estimations using 2018 EQ-5D-5L value set for England</w:t>
            </w:r>
            <w:r>
              <w:rPr>
                <w:noProof/>
                <w:webHidden/>
              </w:rPr>
              <w:tab/>
            </w:r>
            <w:r>
              <w:rPr>
                <w:noProof/>
                <w:webHidden/>
              </w:rPr>
              <w:fldChar w:fldCharType="begin"/>
            </w:r>
            <w:r>
              <w:rPr>
                <w:noProof/>
                <w:webHidden/>
              </w:rPr>
              <w:instrText xml:space="preserve"> PAGEREF _Toc175742422 \h </w:instrText>
            </w:r>
            <w:r>
              <w:rPr>
                <w:noProof/>
                <w:webHidden/>
              </w:rPr>
            </w:r>
            <w:r>
              <w:rPr>
                <w:noProof/>
                <w:webHidden/>
              </w:rPr>
              <w:fldChar w:fldCharType="separate"/>
            </w:r>
            <w:r>
              <w:rPr>
                <w:noProof/>
                <w:webHidden/>
              </w:rPr>
              <w:t>378</w:t>
            </w:r>
            <w:r>
              <w:rPr>
                <w:noProof/>
                <w:webHidden/>
              </w:rPr>
              <w:fldChar w:fldCharType="end"/>
            </w:r>
          </w:hyperlink>
        </w:p>
        <w:p w14:paraId="2402B62D" w14:textId="4DFCE2CE" w:rsidR="007C3BCE" w:rsidRDefault="007C3BCE">
          <w:pPr>
            <w:pStyle w:val="TOC2"/>
            <w:tabs>
              <w:tab w:val="right" w:leader="dot" w:pos="9016"/>
            </w:tabs>
            <w:rPr>
              <w:rFonts w:eastAsiaTheme="minorEastAsia" w:cstheme="minorBidi"/>
              <w:b w:val="0"/>
              <w:bCs w:val="0"/>
              <w:noProof/>
              <w:kern w:val="2"/>
              <w:sz w:val="24"/>
              <w:szCs w:val="24"/>
              <w14:ligatures w14:val="standardContextual"/>
            </w:rPr>
          </w:pPr>
          <w:hyperlink w:anchor="_Toc175742423" w:history="1">
            <w:r w:rsidRPr="00570643">
              <w:rPr>
                <w:rStyle w:val="Hyperlink"/>
                <w:noProof/>
              </w:rPr>
              <w:t>Appendix 6.6 Scatterplots of observed vs. predicted EQ-5D index scores</w:t>
            </w:r>
            <w:r>
              <w:rPr>
                <w:noProof/>
                <w:webHidden/>
              </w:rPr>
              <w:tab/>
            </w:r>
            <w:r>
              <w:rPr>
                <w:noProof/>
                <w:webHidden/>
              </w:rPr>
              <w:fldChar w:fldCharType="begin"/>
            </w:r>
            <w:r>
              <w:rPr>
                <w:noProof/>
                <w:webHidden/>
              </w:rPr>
              <w:instrText xml:space="preserve"> PAGEREF _Toc175742423 \h </w:instrText>
            </w:r>
            <w:r>
              <w:rPr>
                <w:noProof/>
                <w:webHidden/>
              </w:rPr>
            </w:r>
            <w:r>
              <w:rPr>
                <w:noProof/>
                <w:webHidden/>
              </w:rPr>
              <w:fldChar w:fldCharType="separate"/>
            </w:r>
            <w:r>
              <w:rPr>
                <w:noProof/>
                <w:webHidden/>
              </w:rPr>
              <w:t>383</w:t>
            </w:r>
            <w:r>
              <w:rPr>
                <w:noProof/>
                <w:webHidden/>
              </w:rPr>
              <w:fldChar w:fldCharType="end"/>
            </w:r>
          </w:hyperlink>
        </w:p>
        <w:p w14:paraId="1713A734" w14:textId="43E6ED74" w:rsidR="007C3BCE" w:rsidRDefault="007C3BCE">
          <w:pPr>
            <w:pStyle w:val="TOC2"/>
            <w:tabs>
              <w:tab w:val="right" w:leader="dot" w:pos="9016"/>
            </w:tabs>
            <w:rPr>
              <w:rFonts w:eastAsiaTheme="minorEastAsia" w:cstheme="minorBidi"/>
              <w:b w:val="0"/>
              <w:bCs w:val="0"/>
              <w:noProof/>
              <w:kern w:val="2"/>
              <w:sz w:val="24"/>
              <w:szCs w:val="24"/>
              <w14:ligatures w14:val="standardContextual"/>
            </w:rPr>
          </w:pPr>
          <w:hyperlink w:anchor="_Toc175742424" w:history="1">
            <w:r w:rsidRPr="00570643">
              <w:rPr>
                <w:rStyle w:val="Hyperlink"/>
                <w:noProof/>
              </w:rPr>
              <w:t>Appendix 6.7a MMSE grouping distribution plots, ACTIFCARE</w:t>
            </w:r>
            <w:r>
              <w:rPr>
                <w:noProof/>
                <w:webHidden/>
              </w:rPr>
              <w:tab/>
            </w:r>
            <w:r>
              <w:rPr>
                <w:noProof/>
                <w:webHidden/>
              </w:rPr>
              <w:fldChar w:fldCharType="begin"/>
            </w:r>
            <w:r>
              <w:rPr>
                <w:noProof/>
                <w:webHidden/>
              </w:rPr>
              <w:instrText xml:space="preserve"> PAGEREF _Toc175742424 \h </w:instrText>
            </w:r>
            <w:r>
              <w:rPr>
                <w:noProof/>
                <w:webHidden/>
              </w:rPr>
            </w:r>
            <w:r>
              <w:rPr>
                <w:noProof/>
                <w:webHidden/>
              </w:rPr>
              <w:fldChar w:fldCharType="separate"/>
            </w:r>
            <w:r>
              <w:rPr>
                <w:noProof/>
                <w:webHidden/>
              </w:rPr>
              <w:t>385</w:t>
            </w:r>
            <w:r>
              <w:rPr>
                <w:noProof/>
                <w:webHidden/>
              </w:rPr>
              <w:fldChar w:fldCharType="end"/>
            </w:r>
          </w:hyperlink>
        </w:p>
        <w:p w14:paraId="68023AF9" w14:textId="6EDC2416" w:rsidR="007C3BCE" w:rsidRDefault="007C3BCE">
          <w:pPr>
            <w:pStyle w:val="TOC2"/>
            <w:tabs>
              <w:tab w:val="right" w:leader="dot" w:pos="9016"/>
            </w:tabs>
            <w:rPr>
              <w:rFonts w:eastAsiaTheme="minorEastAsia" w:cstheme="minorBidi"/>
              <w:b w:val="0"/>
              <w:bCs w:val="0"/>
              <w:noProof/>
              <w:kern w:val="2"/>
              <w:sz w:val="24"/>
              <w:szCs w:val="24"/>
              <w14:ligatures w14:val="standardContextual"/>
            </w:rPr>
          </w:pPr>
          <w:hyperlink w:anchor="_Toc175742425" w:history="1">
            <w:r w:rsidRPr="00570643">
              <w:rPr>
                <w:rStyle w:val="Hyperlink"/>
                <w:noProof/>
              </w:rPr>
              <w:t>Appendix 6.7b Number of utility observations per MMSE stage, ACTIFCARE</w:t>
            </w:r>
            <w:r>
              <w:rPr>
                <w:noProof/>
                <w:webHidden/>
              </w:rPr>
              <w:tab/>
            </w:r>
            <w:r>
              <w:rPr>
                <w:noProof/>
                <w:webHidden/>
              </w:rPr>
              <w:fldChar w:fldCharType="begin"/>
            </w:r>
            <w:r>
              <w:rPr>
                <w:noProof/>
                <w:webHidden/>
              </w:rPr>
              <w:instrText xml:space="preserve"> PAGEREF _Toc175742425 \h </w:instrText>
            </w:r>
            <w:r>
              <w:rPr>
                <w:noProof/>
                <w:webHidden/>
              </w:rPr>
            </w:r>
            <w:r>
              <w:rPr>
                <w:noProof/>
                <w:webHidden/>
              </w:rPr>
              <w:fldChar w:fldCharType="separate"/>
            </w:r>
            <w:r>
              <w:rPr>
                <w:noProof/>
                <w:webHidden/>
              </w:rPr>
              <w:t>386</w:t>
            </w:r>
            <w:r>
              <w:rPr>
                <w:noProof/>
                <w:webHidden/>
              </w:rPr>
              <w:fldChar w:fldCharType="end"/>
            </w:r>
          </w:hyperlink>
        </w:p>
        <w:p w14:paraId="389D4E6E" w14:textId="44598CA5" w:rsidR="007C3BCE" w:rsidRDefault="007C3BCE">
          <w:pPr>
            <w:pStyle w:val="TOC2"/>
            <w:tabs>
              <w:tab w:val="right" w:leader="dot" w:pos="9016"/>
            </w:tabs>
            <w:rPr>
              <w:rFonts w:eastAsiaTheme="minorEastAsia" w:cstheme="minorBidi"/>
              <w:b w:val="0"/>
              <w:bCs w:val="0"/>
              <w:noProof/>
              <w:kern w:val="2"/>
              <w:sz w:val="24"/>
              <w:szCs w:val="24"/>
              <w14:ligatures w14:val="standardContextual"/>
            </w:rPr>
          </w:pPr>
          <w:hyperlink w:anchor="_Toc175742426" w:history="1">
            <w:r w:rsidRPr="00570643">
              <w:rPr>
                <w:rStyle w:val="Hyperlink"/>
                <w:noProof/>
              </w:rPr>
              <w:t>Appendix 6.8 CDR distribution plots</w:t>
            </w:r>
            <w:r>
              <w:rPr>
                <w:noProof/>
                <w:webHidden/>
              </w:rPr>
              <w:tab/>
            </w:r>
            <w:r>
              <w:rPr>
                <w:noProof/>
                <w:webHidden/>
              </w:rPr>
              <w:fldChar w:fldCharType="begin"/>
            </w:r>
            <w:r>
              <w:rPr>
                <w:noProof/>
                <w:webHidden/>
              </w:rPr>
              <w:instrText xml:space="preserve"> PAGEREF _Toc175742426 \h </w:instrText>
            </w:r>
            <w:r>
              <w:rPr>
                <w:noProof/>
                <w:webHidden/>
              </w:rPr>
            </w:r>
            <w:r>
              <w:rPr>
                <w:noProof/>
                <w:webHidden/>
              </w:rPr>
              <w:fldChar w:fldCharType="separate"/>
            </w:r>
            <w:r>
              <w:rPr>
                <w:noProof/>
                <w:webHidden/>
              </w:rPr>
              <w:t>387</w:t>
            </w:r>
            <w:r>
              <w:rPr>
                <w:noProof/>
                <w:webHidden/>
              </w:rPr>
              <w:fldChar w:fldCharType="end"/>
            </w:r>
          </w:hyperlink>
        </w:p>
        <w:p w14:paraId="05D6A1FD" w14:textId="7EF9A526" w:rsidR="007C3BCE" w:rsidRDefault="007C3BCE">
          <w:pPr>
            <w:pStyle w:val="TOC2"/>
            <w:tabs>
              <w:tab w:val="right" w:leader="dot" w:pos="9016"/>
            </w:tabs>
            <w:rPr>
              <w:rFonts w:eastAsiaTheme="minorEastAsia" w:cstheme="minorBidi"/>
              <w:b w:val="0"/>
              <w:bCs w:val="0"/>
              <w:noProof/>
              <w:kern w:val="2"/>
              <w:sz w:val="24"/>
              <w:szCs w:val="24"/>
              <w14:ligatures w14:val="standardContextual"/>
            </w:rPr>
          </w:pPr>
          <w:hyperlink w:anchor="_Toc175742427" w:history="1">
            <w:r w:rsidRPr="00570643">
              <w:rPr>
                <w:rStyle w:val="Hyperlink"/>
                <w:noProof/>
              </w:rPr>
              <w:t>Appendix 6.9 Summary of mapping chapter key findings</w:t>
            </w:r>
            <w:r>
              <w:rPr>
                <w:noProof/>
                <w:webHidden/>
              </w:rPr>
              <w:tab/>
            </w:r>
            <w:r>
              <w:rPr>
                <w:noProof/>
                <w:webHidden/>
              </w:rPr>
              <w:fldChar w:fldCharType="begin"/>
            </w:r>
            <w:r>
              <w:rPr>
                <w:noProof/>
                <w:webHidden/>
              </w:rPr>
              <w:instrText xml:space="preserve"> PAGEREF _Toc175742427 \h </w:instrText>
            </w:r>
            <w:r>
              <w:rPr>
                <w:noProof/>
                <w:webHidden/>
              </w:rPr>
            </w:r>
            <w:r>
              <w:rPr>
                <w:noProof/>
                <w:webHidden/>
              </w:rPr>
              <w:fldChar w:fldCharType="separate"/>
            </w:r>
            <w:r>
              <w:rPr>
                <w:noProof/>
                <w:webHidden/>
              </w:rPr>
              <w:t>389</w:t>
            </w:r>
            <w:r>
              <w:rPr>
                <w:noProof/>
                <w:webHidden/>
              </w:rPr>
              <w:fldChar w:fldCharType="end"/>
            </w:r>
          </w:hyperlink>
        </w:p>
        <w:p w14:paraId="16111A17" w14:textId="4F5E0BA4" w:rsidR="007C3BCE" w:rsidRDefault="007C3BCE">
          <w:pPr>
            <w:pStyle w:val="TOC1"/>
            <w:tabs>
              <w:tab w:val="right" w:leader="dot" w:pos="9016"/>
            </w:tabs>
            <w:rPr>
              <w:rFonts w:eastAsiaTheme="minorEastAsia" w:cstheme="minorBidi"/>
              <w:b w:val="0"/>
              <w:bCs w:val="0"/>
              <w:i w:val="0"/>
              <w:iCs w:val="0"/>
              <w:noProof/>
              <w:kern w:val="2"/>
              <w14:ligatures w14:val="standardContextual"/>
            </w:rPr>
          </w:pPr>
          <w:hyperlink w:anchor="_Toc175742428" w:history="1">
            <w:r w:rsidRPr="00570643">
              <w:rPr>
                <w:rStyle w:val="Hyperlink"/>
                <w:noProof/>
              </w:rPr>
              <w:t>References</w:t>
            </w:r>
            <w:r>
              <w:rPr>
                <w:noProof/>
                <w:webHidden/>
              </w:rPr>
              <w:tab/>
            </w:r>
            <w:r>
              <w:rPr>
                <w:noProof/>
                <w:webHidden/>
              </w:rPr>
              <w:fldChar w:fldCharType="begin"/>
            </w:r>
            <w:r>
              <w:rPr>
                <w:noProof/>
                <w:webHidden/>
              </w:rPr>
              <w:instrText xml:space="preserve"> PAGEREF _Toc175742428 \h </w:instrText>
            </w:r>
            <w:r>
              <w:rPr>
                <w:noProof/>
                <w:webHidden/>
              </w:rPr>
            </w:r>
            <w:r>
              <w:rPr>
                <w:noProof/>
                <w:webHidden/>
              </w:rPr>
              <w:fldChar w:fldCharType="separate"/>
            </w:r>
            <w:r>
              <w:rPr>
                <w:noProof/>
                <w:webHidden/>
              </w:rPr>
              <w:t>390</w:t>
            </w:r>
            <w:r>
              <w:rPr>
                <w:noProof/>
                <w:webHidden/>
              </w:rPr>
              <w:fldChar w:fldCharType="end"/>
            </w:r>
          </w:hyperlink>
        </w:p>
        <w:p w14:paraId="388216FC" w14:textId="29229A28" w:rsidR="00B54D51" w:rsidRPr="00037AD4" w:rsidRDefault="00B54D51" w:rsidP="007A43F9">
          <w:pPr>
            <w:sectPr w:rsidR="00B54D51" w:rsidRPr="00037AD4" w:rsidSect="0051675A">
              <w:footerReference w:type="default" r:id="rId13"/>
              <w:pgSz w:w="11906" w:h="16838"/>
              <w:pgMar w:top="1440" w:right="1440" w:bottom="1440" w:left="1440" w:header="708" w:footer="708" w:gutter="0"/>
              <w:pgNumType w:fmt="lowerRoman" w:start="1"/>
              <w:cols w:space="708"/>
              <w:docGrid w:linePitch="360"/>
            </w:sectPr>
          </w:pPr>
          <w:r w:rsidRPr="00037AD4">
            <w:rPr>
              <w:b/>
              <w:bCs/>
              <w:noProof/>
            </w:rPr>
            <w:fldChar w:fldCharType="end"/>
          </w:r>
        </w:p>
      </w:sdtContent>
    </w:sdt>
    <w:p w14:paraId="71B8879A" w14:textId="77777777" w:rsidR="00B54D51" w:rsidRPr="00037AD4" w:rsidRDefault="00B54D51" w:rsidP="007A43F9">
      <w:pPr>
        <w:pStyle w:val="Heading1"/>
        <w:rPr>
          <w:bCs/>
        </w:rPr>
      </w:pPr>
      <w:bookmarkStart w:id="9" w:name="_Toc175742248"/>
      <w:r w:rsidRPr="00037AD4">
        <w:rPr>
          <w:bCs/>
        </w:rPr>
        <w:lastRenderedPageBreak/>
        <w:t>1 Introduction</w:t>
      </w:r>
      <w:bookmarkEnd w:id="9"/>
      <w:r w:rsidRPr="00037AD4">
        <w:rPr>
          <w:bCs/>
        </w:rPr>
        <w:t xml:space="preserve"> </w:t>
      </w:r>
    </w:p>
    <w:p w14:paraId="4F3718C7" w14:textId="77777777" w:rsidR="00B54D51" w:rsidRPr="00037AD4" w:rsidRDefault="00B54D51" w:rsidP="00F60266">
      <w:pPr>
        <w:rPr>
          <w:rFonts w:asciiTheme="minorHAnsi" w:hAnsiTheme="minorHAnsi" w:cstheme="minorHAnsi"/>
        </w:rPr>
      </w:pPr>
    </w:p>
    <w:p w14:paraId="0FBE719F" w14:textId="77777777" w:rsidR="00B54D51" w:rsidRPr="00037AD4" w:rsidRDefault="00B54D51" w:rsidP="00F60266">
      <w:pPr>
        <w:rPr>
          <w:rFonts w:asciiTheme="minorHAnsi" w:hAnsiTheme="minorHAnsi" w:cstheme="minorHAnsi"/>
        </w:rPr>
      </w:pPr>
      <w:r w:rsidRPr="00037AD4">
        <w:rPr>
          <w:rFonts w:asciiTheme="minorHAnsi" w:hAnsiTheme="minorHAnsi" w:cstheme="minorHAnsi"/>
        </w:rPr>
        <w:t>This introduction chapter begins with an outline of dementia as a condition, before discussing the role of economic evaluation, the current guidance set out by the National Institute for Health and Care Excellence (NICE) and health-related quality of life (HRQoL) assessment. The EQ-5D instrument is of particular interest and is briefly summarised before an introduction to the use of proxy assessments is provided. The chapter concludes by stating the aim</w:t>
      </w:r>
      <w:r>
        <w:rPr>
          <w:rFonts w:asciiTheme="minorHAnsi" w:hAnsiTheme="minorHAnsi" w:cstheme="minorHAnsi"/>
        </w:rPr>
        <w:t>s</w:t>
      </w:r>
      <w:r w:rsidRPr="00037AD4">
        <w:rPr>
          <w:rFonts w:asciiTheme="minorHAnsi" w:hAnsiTheme="minorHAnsi" w:cstheme="minorHAnsi"/>
        </w:rPr>
        <w:t xml:space="preserve"> and objectives of the PhD thesis. </w:t>
      </w:r>
    </w:p>
    <w:p w14:paraId="1819A6BF" w14:textId="77777777" w:rsidR="00B54D51" w:rsidRPr="00037AD4" w:rsidRDefault="00B54D51" w:rsidP="00B4763B">
      <w:pPr>
        <w:rPr>
          <w:rFonts w:asciiTheme="minorHAnsi" w:hAnsiTheme="minorHAnsi" w:cstheme="minorHAnsi"/>
          <w:b/>
          <w:bCs/>
          <w:u w:val="single"/>
        </w:rPr>
      </w:pPr>
    </w:p>
    <w:p w14:paraId="2B1EB9E4" w14:textId="77777777" w:rsidR="00B54D51" w:rsidRPr="00037AD4" w:rsidRDefault="00B54D51" w:rsidP="007A43F9">
      <w:pPr>
        <w:pStyle w:val="Heading2"/>
      </w:pPr>
      <w:bookmarkStart w:id="10" w:name="_Toc175742249"/>
      <w:r w:rsidRPr="00037AD4">
        <w:t>1.1 Dementia</w:t>
      </w:r>
      <w:bookmarkEnd w:id="10"/>
      <w:r w:rsidRPr="00037AD4">
        <w:t xml:space="preserve"> </w:t>
      </w:r>
    </w:p>
    <w:p w14:paraId="54CE24C3" w14:textId="77777777" w:rsidR="00B54D51" w:rsidRPr="00037AD4" w:rsidRDefault="00B54D51" w:rsidP="00B4763B">
      <w:pPr>
        <w:rPr>
          <w:rFonts w:asciiTheme="minorHAnsi" w:hAnsiTheme="minorHAnsi" w:cstheme="minorHAnsi"/>
          <w:b/>
          <w:bCs/>
          <w:u w:val="single"/>
        </w:rPr>
      </w:pPr>
    </w:p>
    <w:p w14:paraId="03652AE1" w14:textId="77777777" w:rsidR="00B54D51" w:rsidRPr="00037AD4" w:rsidRDefault="00B54D51" w:rsidP="00C222AB">
      <w:pPr>
        <w:tabs>
          <w:tab w:val="left" w:pos="6237"/>
        </w:tabs>
        <w:rPr>
          <w:rFonts w:asciiTheme="minorHAnsi" w:hAnsiTheme="minorHAnsi" w:cstheme="minorHAnsi"/>
        </w:rPr>
      </w:pPr>
      <w:r w:rsidRPr="00037AD4">
        <w:rPr>
          <w:rFonts w:asciiTheme="minorHAnsi" w:hAnsiTheme="minorHAnsi" w:cstheme="minorHAnsi"/>
        </w:rPr>
        <w:t xml:space="preserve">Dementia is an umbrella term used to describe multiple conditions. In general, these conditions are defined by progressive neurodegeneration that mostly affects older adults. Neurons of the brain are gradually and irreversibly damaged, resulting in disorder of mental processes. Dementia is typically considered to be a mental condition, characterised by symptoms of cognitive deterioration such as memory loss and speech and language impairments. However, there are a wide range of symptom areas that can be affected by dementia such as behaviour/mood and functional changes </w:t>
      </w:r>
      <w:r>
        <w:rPr>
          <w:rFonts w:asciiTheme="minorHAnsi" w:hAnsiTheme="minorHAnsi" w:cstheme="minorHAnsi"/>
          <w:noProof/>
        </w:rPr>
        <w:t>(Green and Zhang, 2016)</w:t>
      </w:r>
      <w:r w:rsidRPr="00037AD4">
        <w:rPr>
          <w:rFonts w:asciiTheme="minorHAnsi" w:hAnsiTheme="minorHAnsi" w:cstheme="minorHAnsi"/>
        </w:rPr>
        <w:t xml:space="preserve">. </w:t>
      </w:r>
    </w:p>
    <w:p w14:paraId="5B2AABA4" w14:textId="77777777" w:rsidR="00B54D51" w:rsidRPr="00037AD4" w:rsidRDefault="00B54D51" w:rsidP="00C222AB">
      <w:pPr>
        <w:tabs>
          <w:tab w:val="left" w:pos="6237"/>
        </w:tabs>
        <w:rPr>
          <w:rFonts w:asciiTheme="minorHAnsi" w:hAnsiTheme="minorHAnsi" w:cstheme="minorHAnsi"/>
        </w:rPr>
      </w:pPr>
    </w:p>
    <w:p w14:paraId="0F078B5F" w14:textId="438FE290" w:rsidR="00B54D51" w:rsidRPr="00037AD4" w:rsidRDefault="00B54D51" w:rsidP="00C222AB">
      <w:pPr>
        <w:tabs>
          <w:tab w:val="left" w:pos="6237"/>
        </w:tabs>
        <w:rPr>
          <w:rFonts w:asciiTheme="minorHAnsi" w:hAnsiTheme="minorHAnsi" w:cstheme="minorHAnsi"/>
        </w:rPr>
      </w:pPr>
      <w:r w:rsidRPr="00037AD4">
        <w:rPr>
          <w:rFonts w:asciiTheme="minorHAnsi" w:hAnsiTheme="minorHAnsi" w:cstheme="minorHAnsi"/>
        </w:rPr>
        <w:t xml:space="preserve">The most common form of dementia is Alzheimer’s disease (AD) and may contribute to 60-70% of cases, followed by vascular dementia (VD) </w:t>
      </w:r>
      <w:r>
        <w:rPr>
          <w:rFonts w:asciiTheme="minorHAnsi" w:hAnsiTheme="minorHAnsi" w:cstheme="minorHAnsi"/>
          <w:noProof/>
        </w:rPr>
        <w:t>(World Health Organisation, 2023)</w:t>
      </w:r>
      <w:r w:rsidRPr="00037AD4">
        <w:rPr>
          <w:rFonts w:asciiTheme="minorHAnsi" w:hAnsiTheme="minorHAnsi" w:cstheme="minorHAnsi"/>
        </w:rPr>
        <w:t xml:space="preserve">. There are different types of dementia with slightly different presentations, for example, dementia with Lewy bodies (DLB) tends to present with neuropsychiatric disturbances such as hallucinations and sleep disorders </w:t>
      </w:r>
      <w:r>
        <w:rPr>
          <w:rFonts w:asciiTheme="minorHAnsi" w:hAnsiTheme="minorHAnsi" w:cstheme="minorHAnsi"/>
          <w:noProof/>
        </w:rPr>
        <w:t>(Prasad et al., 2023)</w:t>
      </w:r>
      <w:r w:rsidRPr="00037AD4">
        <w:rPr>
          <w:rFonts w:asciiTheme="minorHAnsi" w:hAnsiTheme="minorHAnsi" w:cstheme="minorHAnsi"/>
        </w:rPr>
        <w:t>. Making a clear diagnosis can be difficult because the different forms of dementia are indistinct and people may have more than one type in combination, known as mixed dementia.</w:t>
      </w:r>
    </w:p>
    <w:p w14:paraId="2F7A785B" w14:textId="77777777" w:rsidR="00B54D51" w:rsidRPr="00037AD4" w:rsidRDefault="00B54D51" w:rsidP="00C222AB">
      <w:pPr>
        <w:tabs>
          <w:tab w:val="left" w:pos="6237"/>
        </w:tabs>
        <w:rPr>
          <w:rFonts w:asciiTheme="minorHAnsi" w:hAnsiTheme="minorHAnsi" w:cstheme="minorHAnsi"/>
        </w:rPr>
      </w:pPr>
    </w:p>
    <w:p w14:paraId="0868016C" w14:textId="5540B1A8" w:rsidR="00B54D51" w:rsidRPr="00037AD4" w:rsidRDefault="00B54D51" w:rsidP="00C222AB">
      <w:pPr>
        <w:tabs>
          <w:tab w:val="left" w:pos="6237"/>
        </w:tabs>
        <w:rPr>
          <w:rFonts w:asciiTheme="minorHAnsi" w:hAnsiTheme="minorHAnsi" w:cstheme="minorHAnsi"/>
        </w:rPr>
      </w:pPr>
      <w:r w:rsidRPr="00037AD4">
        <w:rPr>
          <w:rFonts w:asciiTheme="minorHAnsi" w:hAnsiTheme="minorHAnsi" w:cstheme="minorHAnsi"/>
        </w:rPr>
        <w:t xml:space="preserve">As dementia progresses, the care needs of people with dementia become more complex as their ability to independently perform activities of daily living (ADLs) becomes increasingly difficult. With over 60% of people with dementia estimated to be in community dwelling </w:t>
      </w:r>
      <w:r>
        <w:rPr>
          <w:rFonts w:asciiTheme="minorHAnsi" w:hAnsiTheme="minorHAnsi" w:cstheme="minorHAnsi"/>
        </w:rPr>
        <w:t xml:space="preserve">residential settings </w:t>
      </w:r>
      <w:r w:rsidRPr="00037AD4">
        <w:rPr>
          <w:rFonts w:asciiTheme="minorHAnsi" w:hAnsiTheme="minorHAnsi" w:cstheme="minorHAnsi"/>
        </w:rPr>
        <w:t xml:space="preserve">(living in the community as opposed to within an institutionalised setting) </w:t>
      </w:r>
      <w:r>
        <w:rPr>
          <w:rFonts w:asciiTheme="minorHAnsi" w:hAnsiTheme="minorHAnsi" w:cstheme="minorHAnsi"/>
          <w:noProof/>
        </w:rPr>
        <w:t>(Albanese et al., 2007)</w:t>
      </w:r>
      <w:r w:rsidRPr="00037AD4">
        <w:rPr>
          <w:rFonts w:asciiTheme="minorHAnsi" w:hAnsiTheme="minorHAnsi" w:cstheme="minorHAnsi"/>
        </w:rPr>
        <w:t xml:space="preserve">, there is an increased reliance upon informal caregivers such as family members, friends and neighbours to provide ongoing support and care. As the PwD (person with dementia) progresses through various stages of disease severity, care provision increases and may be required over a 24-hour period. </w:t>
      </w:r>
    </w:p>
    <w:p w14:paraId="190B2EDB" w14:textId="77777777" w:rsidR="00B54D51" w:rsidRPr="00037AD4" w:rsidRDefault="00B54D51" w:rsidP="00C222AB">
      <w:pPr>
        <w:tabs>
          <w:tab w:val="left" w:pos="6237"/>
        </w:tabs>
        <w:rPr>
          <w:rFonts w:asciiTheme="minorHAnsi" w:hAnsiTheme="minorHAnsi" w:cstheme="minorHAnsi"/>
        </w:rPr>
      </w:pPr>
    </w:p>
    <w:p w14:paraId="5D1137E3" w14:textId="77777777" w:rsidR="00B54D51" w:rsidRPr="00037AD4" w:rsidRDefault="00B54D51" w:rsidP="00F95C35">
      <w:pPr>
        <w:tabs>
          <w:tab w:val="left" w:pos="6237"/>
        </w:tabs>
        <w:rPr>
          <w:rFonts w:asciiTheme="minorHAnsi" w:hAnsiTheme="minorHAnsi" w:cstheme="minorHAnsi"/>
        </w:rPr>
      </w:pPr>
      <w:r w:rsidRPr="00037AD4">
        <w:rPr>
          <w:rFonts w:asciiTheme="minorHAnsi" w:hAnsiTheme="minorHAnsi" w:cstheme="minorHAnsi"/>
        </w:rPr>
        <w:t xml:space="preserve">As the population ages, the number of people classified as “very old” (aged 85 years and over) is projected to double over the next 25 years </w:t>
      </w:r>
      <w:r>
        <w:rPr>
          <w:rFonts w:asciiTheme="minorHAnsi" w:hAnsiTheme="minorHAnsi" w:cstheme="minorHAnsi"/>
          <w:noProof/>
        </w:rPr>
        <w:t>(ONS, 2017)</w:t>
      </w:r>
      <w:r w:rsidRPr="00037AD4">
        <w:rPr>
          <w:rFonts w:asciiTheme="minorHAnsi" w:hAnsiTheme="minorHAnsi" w:cstheme="minorHAnsi"/>
        </w:rPr>
        <w:t xml:space="preserve">, resulting in an inevitable rise in the prevalence of dementia. The average annual cost of dementia care in the UK is estimated at £34.7 billion a year </w:t>
      </w:r>
      <w:r>
        <w:rPr>
          <w:rFonts w:asciiTheme="minorHAnsi" w:hAnsiTheme="minorHAnsi" w:cstheme="minorHAnsi"/>
          <w:noProof/>
        </w:rPr>
        <w:t>(Alzheimer’s Society, 2020)</w:t>
      </w:r>
      <w:r w:rsidRPr="00037AD4">
        <w:rPr>
          <w:rFonts w:asciiTheme="minorHAnsi" w:hAnsiTheme="minorHAnsi" w:cstheme="minorHAnsi"/>
        </w:rPr>
        <w:t xml:space="preserve">. By the year 2035 there will be a predicted one million people living with dementia in the United Kingdom (UK) alone </w:t>
      </w:r>
      <w:r>
        <w:rPr>
          <w:rFonts w:asciiTheme="minorHAnsi" w:hAnsiTheme="minorHAnsi" w:cstheme="minorHAnsi"/>
          <w:noProof/>
        </w:rPr>
        <w:t>(Kingston et al., 2018)</w:t>
      </w:r>
      <w:r w:rsidRPr="00037AD4">
        <w:rPr>
          <w:rFonts w:asciiTheme="minorHAnsi" w:hAnsiTheme="minorHAnsi" w:cstheme="minorHAnsi"/>
        </w:rPr>
        <w:t xml:space="preserve">, reinforcing dementia as the highest costing health condition </w:t>
      </w:r>
      <w:r>
        <w:rPr>
          <w:rFonts w:asciiTheme="minorHAnsi" w:hAnsiTheme="minorHAnsi" w:cstheme="minorHAnsi"/>
          <w:noProof/>
        </w:rPr>
        <w:t>(ARUK, 2019)</w:t>
      </w:r>
      <w:r w:rsidRPr="00037AD4">
        <w:rPr>
          <w:rFonts w:asciiTheme="minorHAnsi" w:hAnsiTheme="minorHAnsi" w:cstheme="minorHAnsi"/>
        </w:rPr>
        <w:t xml:space="preserve">. Consequently, dementia presents an important health and social care priority. Given the ageing population and limited health care resources, reliable and cost-effective </w:t>
      </w:r>
      <w:r w:rsidRPr="00037AD4">
        <w:rPr>
          <w:rFonts w:asciiTheme="minorHAnsi" w:hAnsiTheme="minorHAnsi" w:cstheme="minorHAnsi"/>
        </w:rPr>
        <w:lastRenderedPageBreak/>
        <w:t xml:space="preserve">strategies are needed to manage both dementia care, and the economic demand associated with it. </w:t>
      </w:r>
    </w:p>
    <w:p w14:paraId="7899DF5F" w14:textId="77777777" w:rsidR="00B54D51" w:rsidRPr="00037AD4" w:rsidRDefault="00B54D51" w:rsidP="00F95C35">
      <w:pPr>
        <w:tabs>
          <w:tab w:val="left" w:pos="6237"/>
        </w:tabs>
        <w:rPr>
          <w:rFonts w:asciiTheme="minorHAnsi" w:hAnsiTheme="minorHAnsi" w:cstheme="minorHAnsi"/>
        </w:rPr>
      </w:pPr>
    </w:p>
    <w:p w14:paraId="421B2C88" w14:textId="77777777" w:rsidR="00B54D51" w:rsidRPr="00037AD4" w:rsidRDefault="00B54D51" w:rsidP="007A43F9">
      <w:pPr>
        <w:pStyle w:val="Heading2"/>
      </w:pPr>
      <w:bookmarkStart w:id="11" w:name="_Toc79582100"/>
      <w:bookmarkStart w:id="12" w:name="_Toc79839728"/>
      <w:bookmarkStart w:id="13" w:name="_Toc80257802"/>
      <w:bookmarkStart w:id="14" w:name="_Toc80969245"/>
      <w:bookmarkStart w:id="15" w:name="_Toc80969326"/>
      <w:bookmarkStart w:id="16" w:name="_Toc80969407"/>
      <w:bookmarkStart w:id="17" w:name="_Toc82180014"/>
      <w:bookmarkStart w:id="18" w:name="_Toc175742250"/>
      <w:r w:rsidRPr="00037AD4">
        <w:t>1.2 The role of economic evaluation</w:t>
      </w:r>
      <w:bookmarkEnd w:id="11"/>
      <w:bookmarkEnd w:id="12"/>
      <w:bookmarkEnd w:id="13"/>
      <w:bookmarkEnd w:id="14"/>
      <w:bookmarkEnd w:id="15"/>
      <w:bookmarkEnd w:id="16"/>
      <w:bookmarkEnd w:id="17"/>
      <w:bookmarkEnd w:id="18"/>
      <w:r w:rsidRPr="00037AD4">
        <w:t xml:space="preserve"> </w:t>
      </w:r>
    </w:p>
    <w:p w14:paraId="27884256" w14:textId="77777777" w:rsidR="00B54D51" w:rsidRPr="00037AD4" w:rsidRDefault="00B54D51" w:rsidP="00B4763B">
      <w:pPr>
        <w:rPr>
          <w:rFonts w:asciiTheme="minorHAnsi" w:hAnsiTheme="minorHAnsi" w:cstheme="minorHAnsi"/>
          <w:b/>
          <w:bCs/>
          <w:u w:val="single"/>
        </w:rPr>
      </w:pPr>
    </w:p>
    <w:p w14:paraId="3165AA6B" w14:textId="77777777" w:rsidR="00B54D51" w:rsidRPr="00037AD4" w:rsidRDefault="00B54D51" w:rsidP="00026323">
      <w:pPr>
        <w:rPr>
          <w:rFonts w:asciiTheme="minorHAnsi" w:hAnsiTheme="minorHAnsi" w:cstheme="minorHAnsi"/>
        </w:rPr>
      </w:pPr>
      <w:r w:rsidRPr="00037AD4">
        <w:rPr>
          <w:rFonts w:asciiTheme="minorHAnsi" w:hAnsiTheme="minorHAnsi" w:cstheme="minorHAnsi"/>
        </w:rPr>
        <w:t>Economic evaluation describes a set of health economic methodologies that are used to evaluate the cost-effectiveness of new and existing health interventions. This analytic approach serves as a tool for policy and decision makers, guiding them to maximise achievable health gains from the available resources by endorsing cost-effective strategies for healthcare systems. The aim is to manage various health conditions within resource constraints, ensuring that all conditions are recognised and treated to the best of the budget's ability, with the ultimate goal of promoting overall health and well-being for the population.</w:t>
      </w:r>
    </w:p>
    <w:p w14:paraId="2447A829" w14:textId="77777777" w:rsidR="00B54D51" w:rsidRPr="00037AD4" w:rsidRDefault="00B54D51" w:rsidP="00026323">
      <w:pPr>
        <w:rPr>
          <w:rFonts w:asciiTheme="minorHAnsi" w:hAnsiTheme="minorHAnsi" w:cstheme="minorHAnsi"/>
        </w:rPr>
      </w:pPr>
    </w:p>
    <w:p w14:paraId="6C0AE5D6" w14:textId="77777777" w:rsidR="00B54D51" w:rsidRPr="00037AD4" w:rsidRDefault="00B54D51" w:rsidP="00026323">
      <w:pPr>
        <w:rPr>
          <w:rFonts w:asciiTheme="minorHAnsi" w:hAnsiTheme="minorHAnsi" w:cstheme="minorHAnsi"/>
        </w:rPr>
      </w:pPr>
      <w:r w:rsidRPr="00037AD4">
        <w:rPr>
          <w:rFonts w:asciiTheme="minorHAnsi" w:hAnsiTheme="minorHAnsi" w:cstheme="minorHAnsi"/>
        </w:rPr>
        <w:t xml:space="preserve">Economic evaluation involves comparing the costs and the benefits of alternative health interventions. There are four main types of economic evaluation that are distinguished by their methods and resulting outputs. These are: cost-minimisation analysis (CMA) (focused on monetary saving), cost-effectiveness analysis (CEA) (expressed in natural units), cost-utility analysis (CUA) (measuring quality of life in utility) and cost-benefit analysis (CBA) (quantified in monetary terms) </w:t>
      </w:r>
      <w:r>
        <w:rPr>
          <w:rFonts w:asciiTheme="minorHAnsi" w:hAnsiTheme="minorHAnsi" w:cstheme="minorHAnsi"/>
          <w:noProof/>
        </w:rPr>
        <w:t>(Drummond et al., 2015)</w:t>
      </w:r>
      <w:r w:rsidRPr="00037AD4">
        <w:rPr>
          <w:rFonts w:asciiTheme="minorHAnsi" w:hAnsiTheme="minorHAnsi" w:cstheme="minorHAnsi"/>
        </w:rPr>
        <w:t xml:space="preserve">. </w:t>
      </w:r>
    </w:p>
    <w:p w14:paraId="792044BD" w14:textId="77777777" w:rsidR="00B54D51" w:rsidRPr="00037AD4" w:rsidRDefault="00B54D51" w:rsidP="00026323">
      <w:pPr>
        <w:rPr>
          <w:rFonts w:asciiTheme="minorHAnsi" w:hAnsiTheme="minorHAnsi" w:cstheme="minorHAnsi"/>
        </w:rPr>
      </w:pPr>
    </w:p>
    <w:p w14:paraId="65FA0C8E" w14:textId="77777777" w:rsidR="00B54D51" w:rsidRPr="00037AD4" w:rsidRDefault="00B54D51" w:rsidP="00026323">
      <w:pPr>
        <w:rPr>
          <w:rFonts w:asciiTheme="minorHAnsi" w:hAnsiTheme="minorHAnsi" w:cstheme="minorHAnsi"/>
        </w:rPr>
      </w:pPr>
      <w:r w:rsidRPr="00037AD4">
        <w:rPr>
          <w:rFonts w:asciiTheme="minorHAnsi" w:hAnsiTheme="minorHAnsi" w:cstheme="minorHAnsi"/>
        </w:rPr>
        <w:t xml:space="preserve">An economic evaluation typically generates an incremental cost-effectiveness ratio (ICER), a key summary statistic that provides a comparative value of health interventions. The ICER is a ratio of the additional cost per additional unit of health benefit. It is calculated by dividing the incremental costs (the difference in costs of the treatment alternatives) by the incremental benefits (the difference in health outcomes of the treatment alternatives) </w:t>
      </w:r>
      <w:r>
        <w:rPr>
          <w:rFonts w:asciiTheme="minorHAnsi" w:hAnsiTheme="minorHAnsi" w:cstheme="minorHAnsi"/>
          <w:noProof/>
        </w:rPr>
        <w:t>(York Health Economics Consortium, 2016a)</w:t>
      </w:r>
      <w:r w:rsidRPr="00037AD4">
        <w:rPr>
          <w:rFonts w:asciiTheme="minorHAnsi" w:hAnsiTheme="minorHAnsi" w:cstheme="minorHAnsi"/>
        </w:rPr>
        <w:t xml:space="preserve">. The ICER of competing interventions are compared against predefined cost-effectiveness thresholds which describe the maximum willingness to pay for additional units of health gain. Whether an intervention falls above or below this threshold aids decision makers when formulating policy recommendations. These comparisons can also be graphically presented via a cost-effectiveness acceptability curve (CEAC) </w:t>
      </w:r>
      <w:r>
        <w:rPr>
          <w:rFonts w:asciiTheme="minorHAnsi" w:hAnsiTheme="minorHAnsi" w:cstheme="minorHAnsi"/>
          <w:noProof/>
        </w:rPr>
        <w:t>(Van Hout et al., 1994)</w:t>
      </w:r>
      <w:r w:rsidRPr="00037AD4">
        <w:rPr>
          <w:rFonts w:asciiTheme="minorHAnsi" w:hAnsiTheme="minorHAnsi" w:cstheme="minorHAnsi"/>
        </w:rPr>
        <w:t>.</w:t>
      </w:r>
    </w:p>
    <w:p w14:paraId="44C09434" w14:textId="77777777" w:rsidR="00B54D51" w:rsidRPr="00037AD4" w:rsidRDefault="00B54D51" w:rsidP="00026323">
      <w:pPr>
        <w:rPr>
          <w:rFonts w:asciiTheme="minorHAnsi" w:hAnsiTheme="minorHAnsi" w:cstheme="minorHAnsi"/>
        </w:rPr>
      </w:pPr>
    </w:p>
    <w:p w14:paraId="2B0268F5" w14:textId="77777777" w:rsidR="00B54D51" w:rsidRPr="00037AD4" w:rsidRDefault="00B54D51" w:rsidP="00026323">
      <w:pPr>
        <w:rPr>
          <w:rFonts w:asciiTheme="minorHAnsi" w:hAnsiTheme="minorHAnsi" w:cstheme="minorHAnsi"/>
        </w:rPr>
      </w:pPr>
      <w:r w:rsidRPr="00037AD4">
        <w:rPr>
          <w:rFonts w:asciiTheme="minorHAnsi" w:hAnsiTheme="minorHAnsi" w:cstheme="minorHAnsi"/>
        </w:rPr>
        <w:t>Economic evaluation is increasingly recognised as a fundamental aspect of healthcare research, signified by its growing integration into clinical trials. To enable high quality economic evaluations, it must be considered even at the earlier stages to facilitate the proactive design of trials, such as selecting relevant measures and optimising data collection processes. Economic evaluation contributes to the development of effective and sustainable healthcare interventions and provides complementary and distinct insights to those derived from clinical research alone.</w:t>
      </w:r>
    </w:p>
    <w:p w14:paraId="16813F38" w14:textId="77777777" w:rsidR="00B54D51" w:rsidRPr="00037AD4" w:rsidRDefault="00B54D51" w:rsidP="00DE423F">
      <w:pPr>
        <w:rPr>
          <w:rFonts w:asciiTheme="minorHAnsi" w:hAnsiTheme="minorHAnsi" w:cstheme="minorHAnsi"/>
        </w:rPr>
      </w:pPr>
      <w:bookmarkStart w:id="19" w:name="_Toc79582101"/>
      <w:bookmarkStart w:id="20" w:name="_Toc79839729"/>
      <w:bookmarkStart w:id="21" w:name="_Toc80257803"/>
    </w:p>
    <w:p w14:paraId="7763145E" w14:textId="77777777" w:rsidR="00B54D51" w:rsidRPr="00037AD4" w:rsidRDefault="00B54D51" w:rsidP="007A43F9">
      <w:pPr>
        <w:pStyle w:val="Heading2"/>
      </w:pPr>
      <w:bookmarkStart w:id="22" w:name="_Toc80969246"/>
      <w:bookmarkStart w:id="23" w:name="_Toc80969327"/>
      <w:bookmarkStart w:id="24" w:name="_Toc80969408"/>
      <w:bookmarkStart w:id="25" w:name="_Toc82180015"/>
      <w:bookmarkStart w:id="26" w:name="_Toc175742251"/>
      <w:r w:rsidRPr="00037AD4">
        <w:t>1.3 The National Institute for Health and Care Excellence guidance on economic evaluation</w:t>
      </w:r>
      <w:bookmarkEnd w:id="19"/>
      <w:bookmarkEnd w:id="20"/>
      <w:bookmarkEnd w:id="21"/>
      <w:bookmarkEnd w:id="22"/>
      <w:bookmarkEnd w:id="23"/>
      <w:bookmarkEnd w:id="24"/>
      <w:bookmarkEnd w:id="25"/>
      <w:bookmarkEnd w:id="26"/>
      <w:r w:rsidRPr="00037AD4">
        <w:t xml:space="preserve"> </w:t>
      </w:r>
    </w:p>
    <w:p w14:paraId="2F114FDD" w14:textId="77777777" w:rsidR="00B54D51" w:rsidRPr="00037AD4" w:rsidRDefault="00B54D51" w:rsidP="00026323">
      <w:pPr>
        <w:rPr>
          <w:rFonts w:asciiTheme="minorHAnsi" w:hAnsiTheme="minorHAnsi" w:cstheme="minorHAnsi"/>
          <w:b/>
          <w:bCs/>
          <w:u w:val="single"/>
        </w:rPr>
      </w:pPr>
    </w:p>
    <w:p w14:paraId="4631928C" w14:textId="77777777" w:rsidR="00B54D51" w:rsidRPr="00037AD4" w:rsidRDefault="00B54D51" w:rsidP="00691A3E">
      <w:pPr>
        <w:rPr>
          <w:rFonts w:asciiTheme="minorHAnsi" w:hAnsiTheme="minorHAnsi" w:cstheme="minorHAnsi"/>
        </w:rPr>
      </w:pPr>
      <w:r w:rsidRPr="00037AD4">
        <w:rPr>
          <w:rFonts w:asciiTheme="minorHAnsi" w:hAnsiTheme="minorHAnsi" w:cstheme="minorHAnsi"/>
        </w:rPr>
        <w:t xml:space="preserve">The National Institute for Health and Care Excellence (NICE) is an independent organisation with the role of improving outcomes for the users of the National Health Service (NHS) and </w:t>
      </w:r>
      <w:r w:rsidRPr="00037AD4">
        <w:rPr>
          <w:rFonts w:asciiTheme="minorHAnsi" w:hAnsiTheme="minorHAnsi" w:cstheme="minorHAnsi"/>
        </w:rPr>
        <w:lastRenderedPageBreak/>
        <w:t>social care systems. NICE performs this role by producing unbiased evidence-based recommendations about new and existing interventions and treatments for use by the NHS. It does this via NICE technology appraisal guidance, which rigorously evaluates the clinical and cost-effectiveness of candidate technologies against predefined criteria. These criteria include factors such as the potential impact on patient outcomes, cost-effectiveness and alignment with NHS priorities and values.</w:t>
      </w:r>
      <w:r w:rsidRPr="00037AD4">
        <w:rPr>
          <w:rFonts w:ascii="Segoe UI" w:hAnsi="Segoe UI" w:cs="Segoe UI"/>
          <w:color w:val="0D0D0D"/>
          <w:shd w:val="clear" w:color="auto" w:fill="FFFFFF"/>
        </w:rPr>
        <w:t xml:space="preserve"> </w:t>
      </w:r>
      <w:r w:rsidRPr="00037AD4">
        <w:rPr>
          <w:rFonts w:asciiTheme="minorHAnsi" w:hAnsiTheme="minorHAnsi" w:cstheme="minorHAnsi"/>
        </w:rPr>
        <w:t xml:space="preserve">Technology appraisals conducted by NICE are informed by comprehensive reviews of clinical and economic evidence, ensuring robust and transparent decision-making processes. NICE recommendations are widely regarded as the gold standard in healthcare guidance, and the NHS is legally obliged to fund treatments that are endorsed by NICE’s technology appraisals </w:t>
      </w:r>
      <w:r>
        <w:rPr>
          <w:rFonts w:asciiTheme="minorHAnsi" w:hAnsiTheme="minorHAnsi" w:cstheme="minorHAnsi"/>
          <w:noProof/>
        </w:rPr>
        <w:t>(NICE, 2020b)</w:t>
      </w:r>
      <w:r w:rsidRPr="00037AD4">
        <w:rPr>
          <w:rFonts w:asciiTheme="minorHAnsi" w:hAnsiTheme="minorHAnsi" w:cstheme="minorHAnsi"/>
        </w:rPr>
        <w:t xml:space="preserve">. </w:t>
      </w:r>
    </w:p>
    <w:p w14:paraId="76CFE6B6" w14:textId="77777777" w:rsidR="00B54D51" w:rsidRPr="00037AD4" w:rsidRDefault="00B54D51" w:rsidP="00691A3E">
      <w:pPr>
        <w:rPr>
          <w:rFonts w:asciiTheme="minorHAnsi" w:hAnsiTheme="minorHAnsi" w:cstheme="minorHAnsi"/>
        </w:rPr>
      </w:pPr>
    </w:p>
    <w:p w14:paraId="20D2DCDD" w14:textId="77777777" w:rsidR="00B54D51" w:rsidRPr="00037AD4" w:rsidRDefault="00B54D51">
      <w:pPr>
        <w:rPr>
          <w:rFonts w:asciiTheme="minorHAnsi" w:hAnsiTheme="minorHAnsi" w:cstheme="minorHAnsi"/>
        </w:rPr>
      </w:pPr>
      <w:r w:rsidRPr="00037AD4">
        <w:rPr>
          <w:rFonts w:asciiTheme="minorHAnsi" w:hAnsiTheme="minorHAnsi" w:cstheme="minorHAnsi"/>
        </w:rPr>
        <w:t xml:space="preserve">Common practice in the UK, as per NICE guidelines </w:t>
      </w:r>
      <w:r>
        <w:rPr>
          <w:rFonts w:asciiTheme="minorHAnsi" w:hAnsiTheme="minorHAnsi" w:cstheme="minorHAnsi"/>
          <w:noProof/>
        </w:rPr>
        <w:t>(NICE, 2013)</w:t>
      </w:r>
      <w:r w:rsidRPr="00037AD4">
        <w:rPr>
          <w:rFonts w:asciiTheme="minorHAnsi" w:hAnsiTheme="minorHAnsi" w:cstheme="minorHAnsi"/>
        </w:rPr>
        <w:t xml:space="preserve">, is to perform CUA with units of benefit expressed as quality-adjusted life years (QALYs). The QALY is a summary metric that combines the impact an intervention has upon both quality and quantity of life. The ICER threshold in the UK is set at £20,000 – £30,000 per QALY. Interventions with an ICER of less than £20,000 per QALY gained are considered by NICE to be cost-effective in the UK, however interventions above the range may still be considered subject to the judgement of an advisory body </w:t>
      </w:r>
      <w:r>
        <w:rPr>
          <w:rFonts w:asciiTheme="minorHAnsi" w:hAnsiTheme="minorHAnsi" w:cstheme="minorHAnsi"/>
          <w:noProof/>
        </w:rPr>
        <w:t>(NICE, 2013)</w:t>
      </w:r>
      <w:r w:rsidRPr="00037AD4">
        <w:rPr>
          <w:rFonts w:asciiTheme="minorHAnsi" w:hAnsiTheme="minorHAnsi" w:cstheme="minorHAnsi"/>
        </w:rPr>
        <w:t>.</w:t>
      </w:r>
    </w:p>
    <w:p w14:paraId="546FD0CB" w14:textId="77777777" w:rsidR="00B54D51" w:rsidRPr="00037AD4" w:rsidRDefault="00B54D51">
      <w:pPr>
        <w:rPr>
          <w:rFonts w:asciiTheme="minorHAnsi" w:hAnsiTheme="minorHAnsi" w:cstheme="minorHAnsi"/>
        </w:rPr>
      </w:pPr>
    </w:p>
    <w:p w14:paraId="60A9D2A9" w14:textId="77777777" w:rsidR="00B54D51" w:rsidRPr="00037AD4" w:rsidRDefault="00B54D51">
      <w:pPr>
        <w:rPr>
          <w:rFonts w:asciiTheme="minorHAnsi" w:hAnsiTheme="minorHAnsi" w:cstheme="minorHAnsi"/>
        </w:rPr>
      </w:pPr>
      <w:r w:rsidRPr="00037AD4">
        <w:rPr>
          <w:rFonts w:asciiTheme="minorHAnsi" w:hAnsiTheme="minorHAnsi" w:cstheme="minorHAnsi"/>
        </w:rPr>
        <w:t xml:space="preserve">NICE guidelines recommend measuring health related quality of life (HRQoL) for QALY estimation via a generic measure, for which EQ-5D </w:t>
      </w:r>
      <w:r>
        <w:rPr>
          <w:rFonts w:asciiTheme="minorHAnsi" w:hAnsiTheme="minorHAnsi" w:cstheme="minorHAnsi"/>
          <w:noProof/>
        </w:rPr>
        <w:t>(EuroQol Group, 1990)</w:t>
      </w:r>
      <w:r w:rsidRPr="00037AD4">
        <w:rPr>
          <w:rFonts w:asciiTheme="minorHAnsi" w:hAnsiTheme="minorHAnsi" w:cstheme="minorHAnsi"/>
        </w:rPr>
        <w:t xml:space="preserve"> is preferred </w:t>
      </w:r>
      <w:r>
        <w:rPr>
          <w:rFonts w:asciiTheme="minorHAnsi" w:hAnsiTheme="minorHAnsi" w:cstheme="minorHAnsi"/>
          <w:noProof/>
        </w:rPr>
        <w:t>(NICE, 2022)</w:t>
      </w:r>
      <w:r w:rsidRPr="00037AD4">
        <w:rPr>
          <w:rFonts w:asciiTheme="minorHAnsi" w:hAnsiTheme="minorHAnsi" w:cstheme="minorHAnsi"/>
        </w:rPr>
        <w:t xml:space="preserve">. A benefit of using a generic HRQoL measure is that the resulting QALYs are comparable across disease areas. This is particularly useful for policy makers when considering across-the-board resource allocation decisions. </w:t>
      </w:r>
    </w:p>
    <w:p w14:paraId="6E039235" w14:textId="77777777" w:rsidR="00B54D51" w:rsidRPr="00037AD4" w:rsidRDefault="00B54D51" w:rsidP="00B4763B">
      <w:pPr>
        <w:rPr>
          <w:rFonts w:asciiTheme="minorHAnsi" w:hAnsiTheme="minorHAnsi" w:cstheme="minorHAnsi"/>
          <w:b/>
          <w:bCs/>
          <w:u w:val="single"/>
        </w:rPr>
      </w:pPr>
    </w:p>
    <w:p w14:paraId="1A0CDBEA" w14:textId="77777777" w:rsidR="00B54D51" w:rsidRPr="00037AD4" w:rsidRDefault="00B54D51" w:rsidP="007A43F9">
      <w:pPr>
        <w:pStyle w:val="Heading2"/>
      </w:pPr>
      <w:bookmarkStart w:id="27" w:name="_Toc79582102"/>
      <w:bookmarkStart w:id="28" w:name="_Toc79839730"/>
      <w:bookmarkStart w:id="29" w:name="_Toc80257804"/>
      <w:bookmarkStart w:id="30" w:name="_Toc80969247"/>
      <w:bookmarkStart w:id="31" w:name="_Toc80969328"/>
      <w:bookmarkStart w:id="32" w:name="_Toc80969409"/>
      <w:bookmarkStart w:id="33" w:name="_Toc82180016"/>
      <w:bookmarkStart w:id="34" w:name="_Toc175742252"/>
      <w:r w:rsidRPr="00037AD4">
        <w:t>1.4 Quality of life for quality-adjusted-life-years</w:t>
      </w:r>
      <w:bookmarkEnd w:id="27"/>
      <w:bookmarkEnd w:id="28"/>
      <w:bookmarkEnd w:id="29"/>
      <w:bookmarkEnd w:id="30"/>
      <w:bookmarkEnd w:id="31"/>
      <w:bookmarkEnd w:id="32"/>
      <w:bookmarkEnd w:id="33"/>
      <w:bookmarkEnd w:id="34"/>
      <w:r w:rsidRPr="00037AD4">
        <w:t xml:space="preserve">  </w:t>
      </w:r>
    </w:p>
    <w:p w14:paraId="7A5D5FC5" w14:textId="77777777" w:rsidR="00B54D51" w:rsidRPr="00037AD4" w:rsidRDefault="00B54D51" w:rsidP="00B4763B">
      <w:pPr>
        <w:rPr>
          <w:rFonts w:asciiTheme="minorHAnsi" w:hAnsiTheme="minorHAnsi" w:cstheme="minorHAnsi"/>
          <w:b/>
          <w:bCs/>
          <w:u w:val="single"/>
        </w:rPr>
      </w:pPr>
    </w:p>
    <w:p w14:paraId="6B2FF882" w14:textId="77777777" w:rsidR="00B54D51" w:rsidRPr="00037AD4" w:rsidRDefault="00B54D51" w:rsidP="00B4763B">
      <w:pPr>
        <w:rPr>
          <w:rFonts w:asciiTheme="minorHAnsi" w:hAnsiTheme="minorHAnsi" w:cstheme="minorHAnsi"/>
        </w:rPr>
      </w:pPr>
      <w:r w:rsidRPr="00037AD4">
        <w:rPr>
          <w:rFonts w:asciiTheme="minorHAnsi" w:hAnsiTheme="minorHAnsi" w:cstheme="minorHAnsi"/>
        </w:rPr>
        <w:t xml:space="preserve">Preference-based measures (PBMs) are commonly used in economic evaluations to capture HRQoL to calculate QALYs. They typically comprise a descriptive set of dimensions which include aspects of health that affect quality of life (QoL). These measures are also defined as patient reported outcome measures (PROMs), as they are traditionally completed by the patient themselves to generate profile scores. If the measure is generic like EQ-5D, it will include items related to broad domains of health. There are also disease specific measures that can be used such as the Dementia Quality of Life Utility-Score (DEMQoL-U) for people with dementia </w:t>
      </w:r>
      <w:r>
        <w:rPr>
          <w:rFonts w:asciiTheme="minorHAnsi" w:hAnsiTheme="minorHAnsi" w:cstheme="minorHAnsi"/>
          <w:noProof/>
        </w:rPr>
        <w:t>(Mulhern et al., 2013)</w:t>
      </w:r>
      <w:r w:rsidRPr="00037AD4">
        <w:rPr>
          <w:rFonts w:asciiTheme="minorHAnsi" w:hAnsiTheme="minorHAnsi" w:cstheme="minorHAnsi"/>
        </w:rPr>
        <w:t xml:space="preserve">, which contains items that are specific to the dementia experience. </w:t>
      </w:r>
    </w:p>
    <w:p w14:paraId="2A5D7B74" w14:textId="77777777" w:rsidR="00B54D51" w:rsidRPr="00037AD4" w:rsidRDefault="00B54D51" w:rsidP="00B4763B">
      <w:pPr>
        <w:rPr>
          <w:rFonts w:asciiTheme="minorHAnsi" w:hAnsiTheme="minorHAnsi" w:cstheme="minorHAnsi"/>
        </w:rPr>
      </w:pPr>
    </w:p>
    <w:p w14:paraId="5F55DE17" w14:textId="77777777" w:rsidR="00B54D51" w:rsidRPr="00037AD4" w:rsidRDefault="00B54D51" w:rsidP="00B4763B">
      <w:pPr>
        <w:rPr>
          <w:rFonts w:asciiTheme="minorHAnsi" w:hAnsiTheme="minorHAnsi" w:cstheme="minorHAnsi"/>
        </w:rPr>
      </w:pPr>
      <w:r w:rsidRPr="00037AD4">
        <w:rPr>
          <w:rFonts w:asciiTheme="minorHAnsi" w:hAnsiTheme="minorHAnsi" w:cstheme="minorHAnsi"/>
        </w:rPr>
        <w:t xml:space="preserve">The key element that makes these measures “preference based” is that the profile scores of respondents may be converted to index scores using value sets. Value sets reflect society’s preferences for different health states and are often country specific. Health states define combinations of responses for the items of the measure. Preferences, typically from the public, are elicited for different health states, and are analysed to produce a value between zero and one, where one reflects perfect health and zero is death. For certain measures, scores below zero are possible and reflect health states considered by society as “worse than dead”. The resulting value is commonly known as an “index score” or “utility” </w:t>
      </w:r>
      <w:r>
        <w:rPr>
          <w:rFonts w:asciiTheme="minorHAnsi" w:hAnsiTheme="minorHAnsi" w:cstheme="minorHAnsi"/>
          <w:noProof/>
        </w:rPr>
        <w:t>(York Health Economics Consortium, 2016b)</w:t>
      </w:r>
      <w:r w:rsidRPr="00037AD4">
        <w:rPr>
          <w:rFonts w:asciiTheme="minorHAnsi" w:hAnsiTheme="minorHAnsi" w:cstheme="minorHAnsi"/>
        </w:rPr>
        <w:t xml:space="preserve">. </w:t>
      </w:r>
    </w:p>
    <w:p w14:paraId="7C360719" w14:textId="77777777" w:rsidR="00B54D51" w:rsidRPr="00037AD4" w:rsidRDefault="00B54D51" w:rsidP="007A43F9">
      <w:pPr>
        <w:pStyle w:val="Heading2"/>
      </w:pPr>
      <w:bookmarkStart w:id="35" w:name="_Toc79582103"/>
      <w:bookmarkStart w:id="36" w:name="_Toc79839731"/>
      <w:bookmarkStart w:id="37" w:name="_Toc80257805"/>
      <w:bookmarkStart w:id="38" w:name="_Toc80969248"/>
      <w:bookmarkStart w:id="39" w:name="_Toc80969329"/>
      <w:bookmarkStart w:id="40" w:name="_Toc80969410"/>
      <w:bookmarkStart w:id="41" w:name="_Toc82180017"/>
      <w:bookmarkStart w:id="42" w:name="_Toc175742253"/>
      <w:r w:rsidRPr="00037AD4">
        <w:lastRenderedPageBreak/>
        <w:t>1.5 EQ-5D</w:t>
      </w:r>
      <w:bookmarkEnd w:id="35"/>
      <w:bookmarkEnd w:id="36"/>
      <w:bookmarkEnd w:id="37"/>
      <w:bookmarkEnd w:id="38"/>
      <w:bookmarkEnd w:id="39"/>
      <w:bookmarkEnd w:id="40"/>
      <w:bookmarkEnd w:id="41"/>
      <w:bookmarkEnd w:id="42"/>
      <w:r w:rsidRPr="00037AD4">
        <w:t xml:space="preserve">  </w:t>
      </w:r>
    </w:p>
    <w:p w14:paraId="3FBB35C1" w14:textId="77777777" w:rsidR="00B54D51" w:rsidRPr="00037AD4" w:rsidRDefault="00B54D51" w:rsidP="00B4763B">
      <w:pPr>
        <w:rPr>
          <w:rFonts w:asciiTheme="minorHAnsi" w:hAnsiTheme="minorHAnsi" w:cstheme="minorHAnsi"/>
          <w:b/>
          <w:bCs/>
          <w:u w:val="single"/>
        </w:rPr>
      </w:pPr>
    </w:p>
    <w:p w14:paraId="0C0A07B5" w14:textId="77777777" w:rsidR="00B54D51" w:rsidRPr="00037AD4" w:rsidRDefault="00B54D51" w:rsidP="00B4763B">
      <w:pPr>
        <w:rPr>
          <w:rFonts w:asciiTheme="minorHAnsi" w:hAnsiTheme="minorHAnsi" w:cstheme="minorHAnsi"/>
        </w:rPr>
      </w:pPr>
      <w:r w:rsidRPr="00037AD4">
        <w:rPr>
          <w:rFonts w:asciiTheme="minorHAnsi" w:hAnsiTheme="minorHAnsi" w:cstheme="minorHAnsi"/>
        </w:rPr>
        <w:t xml:space="preserve">EQ-5D is the preferred measure of HRQoL recommended by NICE and is globally used in health research due to its generic and concise nature. It is comprised of two components, a descriptive system, and a visual analogue scale (VAS). The descriptive system includes five dimension items that reflect generic aspects of HRQoL, these are: “mobility”, “self-care”, “usual activities”, “pain/discomfort” and “anxiety/depression” </w:t>
      </w:r>
      <w:r>
        <w:rPr>
          <w:rFonts w:asciiTheme="minorHAnsi" w:hAnsiTheme="minorHAnsi" w:cstheme="minorHAnsi"/>
          <w:noProof/>
        </w:rPr>
        <w:t>(EuroQol Research Foundation, 2018)</w:t>
      </w:r>
      <w:r w:rsidRPr="00037AD4">
        <w:rPr>
          <w:rFonts w:asciiTheme="minorHAnsi" w:hAnsiTheme="minorHAnsi" w:cstheme="minorHAnsi"/>
        </w:rPr>
        <w:t xml:space="preserve">.  </w:t>
      </w:r>
    </w:p>
    <w:p w14:paraId="77D64F04" w14:textId="77777777" w:rsidR="00B54D51" w:rsidRPr="00037AD4" w:rsidRDefault="00B54D51" w:rsidP="00B4763B">
      <w:pPr>
        <w:rPr>
          <w:rFonts w:asciiTheme="minorHAnsi" w:hAnsiTheme="minorHAnsi" w:cstheme="minorHAnsi"/>
        </w:rPr>
      </w:pPr>
    </w:p>
    <w:p w14:paraId="73A2495B" w14:textId="77777777" w:rsidR="00B54D51" w:rsidRPr="00037AD4" w:rsidRDefault="00B54D51" w:rsidP="00B4763B">
      <w:pPr>
        <w:rPr>
          <w:rFonts w:asciiTheme="minorHAnsi" w:hAnsiTheme="minorHAnsi" w:cstheme="minorHAnsi"/>
        </w:rPr>
      </w:pPr>
      <w:r w:rsidRPr="00037AD4">
        <w:rPr>
          <w:rFonts w:asciiTheme="minorHAnsi" w:hAnsiTheme="minorHAnsi" w:cstheme="minorHAnsi"/>
        </w:rPr>
        <w:t xml:space="preserve">There are two main versions of EQ-5D: EQ-5D-3L </w:t>
      </w:r>
      <w:r>
        <w:rPr>
          <w:rFonts w:asciiTheme="minorHAnsi" w:hAnsiTheme="minorHAnsi" w:cstheme="minorHAnsi"/>
          <w:noProof/>
        </w:rPr>
        <w:t>(EuroQol Group, 1990)</w:t>
      </w:r>
      <w:r w:rsidRPr="00037AD4">
        <w:rPr>
          <w:rFonts w:asciiTheme="minorHAnsi" w:hAnsiTheme="minorHAnsi" w:cstheme="minorHAnsi"/>
        </w:rPr>
        <w:t xml:space="preserve"> and the EQ-5D-5L </w:t>
      </w:r>
      <w:r>
        <w:rPr>
          <w:rFonts w:asciiTheme="minorHAnsi" w:hAnsiTheme="minorHAnsi" w:cstheme="minorHAnsi"/>
          <w:noProof/>
        </w:rPr>
        <w:t>(Herdman et al., 2011)</w:t>
      </w:r>
      <w:r w:rsidRPr="00037AD4">
        <w:rPr>
          <w:rFonts w:asciiTheme="minorHAnsi" w:hAnsiTheme="minorHAnsi" w:cstheme="minorHAnsi"/>
        </w:rPr>
        <w:t xml:space="preserve">. EQ-5D-3L provides three response level options of severity for each of the five dimensions. The EQ-5D-5L version was later introduced with the goal of enhancing sensitivity of the instrument by increasing the number of severity level options </w:t>
      </w:r>
      <w:r>
        <w:rPr>
          <w:rFonts w:asciiTheme="minorHAnsi" w:hAnsiTheme="minorHAnsi" w:cstheme="minorHAnsi"/>
          <w:noProof/>
        </w:rPr>
        <w:t>(Herdman et al., 2011)</w:t>
      </w:r>
      <w:r w:rsidRPr="00037AD4">
        <w:rPr>
          <w:rFonts w:asciiTheme="minorHAnsi" w:hAnsiTheme="minorHAnsi" w:cstheme="minorHAnsi"/>
        </w:rPr>
        <w:t xml:space="preserve">. It contains the same five dimension items but has five levels of severity options for respondents to choose from when providing their reports. There is an increasing preference for EQ-5D-5L driven by its enhanced granularity and potential to address ceiling effects. A sample copy of the EQ-5D-5L instrument can be found </w:t>
      </w:r>
      <w:r w:rsidRPr="00322CFC">
        <w:rPr>
          <w:rFonts w:asciiTheme="minorHAnsi" w:hAnsiTheme="minorHAnsi" w:cstheme="minorHAnsi"/>
        </w:rPr>
        <w:t xml:space="preserve">in </w:t>
      </w:r>
      <w:hyperlink w:anchor="A1" w:history="1">
        <w:r w:rsidRPr="00322CFC">
          <w:rPr>
            <w:rStyle w:val="Hyperlink"/>
            <w:rFonts w:asciiTheme="minorHAnsi" w:hAnsiTheme="minorHAnsi" w:cstheme="minorHAnsi"/>
            <w:color w:val="000000" w:themeColor="text1"/>
            <w:u w:val="none"/>
          </w:rPr>
          <w:t>Appendix 1</w:t>
        </w:r>
      </w:hyperlink>
      <w:r w:rsidRPr="00322CFC">
        <w:rPr>
          <w:rFonts w:asciiTheme="minorHAnsi" w:hAnsiTheme="minorHAnsi" w:cstheme="minorHAnsi"/>
          <w:color w:val="000000" w:themeColor="text1"/>
        </w:rPr>
        <w:t>.</w:t>
      </w:r>
      <w:r w:rsidRPr="00037AD4">
        <w:rPr>
          <w:rFonts w:asciiTheme="minorHAnsi" w:hAnsiTheme="minorHAnsi" w:cstheme="minorHAnsi"/>
          <w:color w:val="000000" w:themeColor="text1"/>
        </w:rPr>
        <w:t xml:space="preserve"> </w:t>
      </w:r>
    </w:p>
    <w:p w14:paraId="33E52078" w14:textId="77777777" w:rsidR="00B54D51" w:rsidRPr="00037AD4" w:rsidRDefault="00B54D51" w:rsidP="00B4763B">
      <w:pPr>
        <w:rPr>
          <w:rFonts w:asciiTheme="minorHAnsi" w:hAnsiTheme="minorHAnsi" w:cstheme="minorHAnsi"/>
        </w:rPr>
      </w:pPr>
    </w:p>
    <w:p w14:paraId="781B7189" w14:textId="77777777" w:rsidR="00B54D51" w:rsidRPr="00037AD4" w:rsidRDefault="00B54D51" w:rsidP="00B4763B">
      <w:pPr>
        <w:rPr>
          <w:rFonts w:asciiTheme="minorHAnsi" w:hAnsiTheme="minorHAnsi" w:cstheme="minorHAnsi"/>
        </w:rPr>
      </w:pPr>
      <w:r w:rsidRPr="00037AD4">
        <w:rPr>
          <w:rFonts w:asciiTheme="minorHAnsi" w:hAnsiTheme="minorHAnsi" w:cstheme="minorHAnsi"/>
        </w:rPr>
        <w:t>EQ-5D can be self-completed or administered by an interviewer by asking respondents to choose the severity level in each dimension that best reflects their health status on that day. The visual analogue scale (VAS) component is a 20cm vertical thermometer-like scale that ranges from 0 – “the worst health you can imagine” to 100 – “the best health you can imagine”. Respondents indicate where on this scale their health is with an X. Both components ask for reports about health “today”. EQ-VAS is not used to generate utility</w:t>
      </w:r>
      <w:r>
        <w:rPr>
          <w:rFonts w:asciiTheme="minorHAnsi" w:hAnsiTheme="minorHAnsi" w:cstheme="minorHAnsi"/>
        </w:rPr>
        <w:t xml:space="preserve"> scores</w:t>
      </w:r>
      <w:r w:rsidRPr="00037AD4">
        <w:rPr>
          <w:rFonts w:asciiTheme="minorHAnsi" w:hAnsiTheme="minorHAnsi" w:cstheme="minorHAnsi"/>
        </w:rPr>
        <w:t>.</w:t>
      </w:r>
    </w:p>
    <w:p w14:paraId="4FDF7BB8" w14:textId="77777777" w:rsidR="00B54D51" w:rsidRPr="00037AD4" w:rsidRDefault="00B54D51" w:rsidP="00B4763B">
      <w:pPr>
        <w:rPr>
          <w:rFonts w:asciiTheme="minorHAnsi" w:hAnsiTheme="minorHAnsi" w:cstheme="minorHAnsi"/>
        </w:rPr>
      </w:pPr>
    </w:p>
    <w:p w14:paraId="4B9A31DC" w14:textId="77777777" w:rsidR="00B54D51" w:rsidRPr="00037AD4" w:rsidRDefault="00B54D51" w:rsidP="007A43F9">
      <w:pPr>
        <w:pStyle w:val="Heading2"/>
      </w:pPr>
      <w:bookmarkStart w:id="43" w:name="_Toc79582104"/>
      <w:bookmarkStart w:id="44" w:name="_Toc79839732"/>
      <w:bookmarkStart w:id="45" w:name="_Toc80257806"/>
      <w:bookmarkStart w:id="46" w:name="_Toc80969249"/>
      <w:bookmarkStart w:id="47" w:name="_Toc80969330"/>
      <w:bookmarkStart w:id="48" w:name="_Toc80969411"/>
      <w:bookmarkStart w:id="49" w:name="_Toc82180018"/>
      <w:bookmarkStart w:id="50" w:name="_Toc175742254"/>
      <w:r w:rsidRPr="00037AD4">
        <w:t xml:space="preserve">1.6 Self vs. proxy </w:t>
      </w:r>
      <w:bookmarkEnd w:id="43"/>
      <w:bookmarkEnd w:id="44"/>
      <w:bookmarkEnd w:id="45"/>
      <w:bookmarkEnd w:id="46"/>
      <w:bookmarkEnd w:id="47"/>
      <w:bookmarkEnd w:id="48"/>
      <w:bookmarkEnd w:id="49"/>
      <w:r w:rsidRPr="00037AD4">
        <w:t>assessments of health-related quality of life</w:t>
      </w:r>
      <w:bookmarkEnd w:id="50"/>
    </w:p>
    <w:p w14:paraId="7577B3F6" w14:textId="77777777" w:rsidR="00B54D51" w:rsidRPr="00037AD4" w:rsidRDefault="00B54D51" w:rsidP="00B4763B">
      <w:pPr>
        <w:rPr>
          <w:rFonts w:asciiTheme="minorHAnsi" w:hAnsiTheme="minorHAnsi" w:cstheme="minorHAnsi"/>
          <w:b/>
          <w:bCs/>
          <w:u w:val="single"/>
        </w:rPr>
      </w:pPr>
    </w:p>
    <w:p w14:paraId="0C3FEBEA" w14:textId="77777777" w:rsidR="00B54D51" w:rsidRPr="00037AD4" w:rsidRDefault="00B54D51" w:rsidP="00026323">
      <w:pPr>
        <w:rPr>
          <w:rFonts w:asciiTheme="minorHAnsi" w:hAnsiTheme="minorHAnsi" w:cstheme="minorHAnsi"/>
        </w:rPr>
      </w:pPr>
      <w:r w:rsidRPr="00037AD4">
        <w:rPr>
          <w:rFonts w:asciiTheme="minorHAnsi" w:hAnsiTheme="minorHAnsi" w:cstheme="minorHAnsi"/>
        </w:rPr>
        <w:t xml:space="preserve">PBMs for use in economic evaluations typically rely on self-reported assessments, whereby the respondent themselves provide answers about their health status. Proxy assessments are defined as when a person is asked to report on behalf of someone else in relation to that person’s health status. A proxy should be someone that knows the person of interest well for example, a family member or friend, caregiver or healthcare professional </w:t>
      </w:r>
      <w:r>
        <w:rPr>
          <w:rFonts w:asciiTheme="minorHAnsi" w:hAnsiTheme="minorHAnsi" w:cstheme="minorHAnsi"/>
          <w:noProof/>
        </w:rPr>
        <w:t>(Pickard and Knight, 2005)</w:t>
      </w:r>
      <w:r w:rsidRPr="00037AD4">
        <w:rPr>
          <w:rFonts w:asciiTheme="minorHAnsi" w:hAnsiTheme="minorHAnsi" w:cstheme="minorHAnsi"/>
        </w:rPr>
        <w:t xml:space="preserve">. Proxy assessments can be used to complement self-assessments or may be used as substitutes in circumstances or conditions where a participant may not be able to provide reports themselves, for example, young children. </w:t>
      </w:r>
    </w:p>
    <w:p w14:paraId="0B4A3A1E" w14:textId="77777777" w:rsidR="00B54D51" w:rsidRPr="00037AD4" w:rsidRDefault="00B54D51" w:rsidP="00026323">
      <w:pPr>
        <w:rPr>
          <w:rFonts w:asciiTheme="minorHAnsi" w:hAnsiTheme="minorHAnsi" w:cstheme="minorHAnsi"/>
        </w:rPr>
      </w:pPr>
    </w:p>
    <w:p w14:paraId="39A436AA" w14:textId="77777777" w:rsidR="00B54D51" w:rsidRPr="00037AD4" w:rsidRDefault="00B54D51" w:rsidP="00485981">
      <w:pPr>
        <w:rPr>
          <w:rFonts w:asciiTheme="minorHAnsi" w:hAnsiTheme="minorHAnsi" w:cstheme="minorHAnsi"/>
        </w:rPr>
      </w:pPr>
      <w:r w:rsidRPr="00037AD4">
        <w:rPr>
          <w:rFonts w:asciiTheme="minorHAnsi" w:hAnsiTheme="minorHAnsi" w:cstheme="minorHAnsi"/>
        </w:rPr>
        <w:t xml:space="preserve">A key consideration when measuring HRQoL in the context of dementia is whether it should be completed by self-report by the PwD, or via a proxy </w:t>
      </w:r>
      <w:r>
        <w:rPr>
          <w:rFonts w:asciiTheme="minorHAnsi" w:hAnsiTheme="minorHAnsi" w:cstheme="minorHAnsi"/>
          <w:noProof/>
        </w:rPr>
        <w:t>(Orgeta et al., 2015b)</w:t>
      </w:r>
      <w:r w:rsidRPr="00037AD4">
        <w:rPr>
          <w:rFonts w:asciiTheme="minorHAnsi" w:hAnsiTheme="minorHAnsi" w:cstheme="minorHAnsi"/>
        </w:rPr>
        <w:t xml:space="preserve">. As informal caregivers often live alongside the PwD and directly observe the impact of the condition, they are thought to provide valuable insight into the PwD’s condition and health status. Proxy reports are particularly important in dementia research as there are specific challenges associated with collecting outcomes from a population with cognition deterioration, including impaired recall and judgement </w:t>
      </w:r>
      <w:r>
        <w:rPr>
          <w:rFonts w:asciiTheme="minorHAnsi" w:hAnsiTheme="minorHAnsi" w:cstheme="minorHAnsi"/>
          <w:noProof/>
        </w:rPr>
        <w:t>(O’Shea et al., 2020)</w:t>
      </w:r>
      <w:r w:rsidRPr="00037AD4">
        <w:rPr>
          <w:rFonts w:asciiTheme="minorHAnsi" w:hAnsiTheme="minorHAnsi" w:cstheme="minorHAnsi"/>
        </w:rPr>
        <w:t xml:space="preserve">. However self-report measures are generally preferred whenever possible as they directly reflect the individual's experience, promote autonomy and empowerment, minimise potential bias and </w:t>
      </w:r>
      <w:r w:rsidRPr="00037AD4">
        <w:rPr>
          <w:rFonts w:asciiTheme="minorHAnsi" w:hAnsiTheme="minorHAnsi" w:cstheme="minorHAnsi"/>
        </w:rPr>
        <w:lastRenderedPageBreak/>
        <w:t xml:space="preserve">facilitate communication between individuals and healthcare providers. It is well established that HRQoL assessments made by people with dementia and proxies do not always align </w:t>
      </w:r>
      <w:r>
        <w:rPr>
          <w:rFonts w:asciiTheme="minorHAnsi" w:hAnsiTheme="minorHAnsi" w:cstheme="minorHAnsi"/>
          <w:noProof/>
        </w:rPr>
        <w:t>(Orgeta et al., 2015b, Banerjee et al., 2006, Hounsome et al., 2011, O’Shea et al., 2020, Farina et al., 2020)</w:t>
      </w:r>
      <w:r w:rsidRPr="00037AD4">
        <w:rPr>
          <w:rFonts w:asciiTheme="minorHAnsi" w:hAnsiTheme="minorHAnsi" w:cstheme="minorHAnsi"/>
        </w:rPr>
        <w:t xml:space="preserve">, resulting in conflict when deciding which reports to use in subsequent evaluations and analyses. </w:t>
      </w:r>
    </w:p>
    <w:p w14:paraId="6BD1E036" w14:textId="77777777" w:rsidR="00B54D51" w:rsidRPr="00037AD4" w:rsidRDefault="00B54D51" w:rsidP="00485981">
      <w:pPr>
        <w:rPr>
          <w:rFonts w:asciiTheme="minorHAnsi" w:hAnsiTheme="minorHAnsi" w:cstheme="minorHAnsi"/>
        </w:rPr>
      </w:pPr>
    </w:p>
    <w:p w14:paraId="6D936A41" w14:textId="77777777" w:rsidR="00B54D51" w:rsidRPr="00037AD4" w:rsidRDefault="00B54D51" w:rsidP="00485981">
      <w:pPr>
        <w:rPr>
          <w:rFonts w:asciiTheme="minorHAnsi" w:hAnsiTheme="minorHAnsi" w:cstheme="minorHAnsi"/>
        </w:rPr>
      </w:pPr>
      <w:r w:rsidRPr="00037AD4">
        <w:rPr>
          <w:rFonts w:asciiTheme="minorHAnsi" w:hAnsiTheme="minorHAnsi" w:cstheme="minorHAnsi"/>
        </w:rPr>
        <w:t xml:space="preserve">It has been recommended to collect both self and proxy reports of HRQoL where possible in dementia studies </w:t>
      </w:r>
      <w:r>
        <w:rPr>
          <w:rFonts w:asciiTheme="minorHAnsi" w:hAnsiTheme="minorHAnsi" w:cstheme="minorHAnsi"/>
          <w:noProof/>
        </w:rPr>
        <w:t>(Smith et al., 2005b)</w:t>
      </w:r>
      <w:r w:rsidRPr="00037AD4">
        <w:rPr>
          <w:rFonts w:asciiTheme="minorHAnsi" w:hAnsiTheme="minorHAnsi" w:cstheme="minorHAnsi"/>
        </w:rPr>
        <w:t>, however there is no clear consensus on how to interpret, integrate or combine them. Due to this misalignment, evaluations may consider the PwD and proxy reports distinctly, resulting in two ICERs or a single ICER that neglects the information provided by one respondent type. The key challenge is that the extent to which either PwD or proxy reports reflect “true” utility is still unknown.</w:t>
      </w:r>
      <w:r w:rsidRPr="00037AD4">
        <w:rPr>
          <w:rFonts w:ascii="Segoe UI" w:hAnsi="Segoe UI" w:cs="Segoe UI"/>
          <w:color w:val="0D0D0D"/>
          <w:shd w:val="clear" w:color="auto" w:fill="FFFFFF"/>
        </w:rPr>
        <w:t xml:space="preserve"> </w:t>
      </w:r>
      <w:r w:rsidRPr="00037AD4">
        <w:rPr>
          <w:rFonts w:asciiTheme="minorHAnsi" w:hAnsiTheme="minorHAnsi" w:cstheme="minorHAnsi"/>
          <w:color w:val="0D0D0D"/>
          <w:shd w:val="clear" w:color="auto" w:fill="FFFFFF"/>
        </w:rPr>
        <w:t>Empirically</w:t>
      </w:r>
      <w:r w:rsidRPr="00037AD4">
        <w:rPr>
          <w:rFonts w:ascii="Segoe UI" w:hAnsi="Segoe UI" w:cs="Segoe UI"/>
          <w:color w:val="0D0D0D"/>
          <w:shd w:val="clear" w:color="auto" w:fill="FFFFFF"/>
        </w:rPr>
        <w:t xml:space="preserve"> </w:t>
      </w:r>
      <w:r w:rsidRPr="00037AD4">
        <w:rPr>
          <w:rFonts w:asciiTheme="minorHAnsi" w:hAnsiTheme="minorHAnsi" w:cstheme="minorHAnsi"/>
        </w:rPr>
        <w:t xml:space="preserve">investigating the disparities between proxy, self-report and other symptom measures would pave the way for identifying the optimal measurement source, and potentially offer a solution to the debate regarding which respondent’s data to use when estimating QALYs in dementia economic evaluations. </w:t>
      </w:r>
    </w:p>
    <w:p w14:paraId="4B603C85" w14:textId="77777777" w:rsidR="00B54D51" w:rsidRPr="00037AD4" w:rsidRDefault="00B54D51" w:rsidP="00485981">
      <w:pPr>
        <w:rPr>
          <w:rFonts w:asciiTheme="minorHAnsi" w:hAnsiTheme="minorHAnsi" w:cstheme="minorHAnsi"/>
        </w:rPr>
      </w:pPr>
    </w:p>
    <w:p w14:paraId="45FE8C5D" w14:textId="77777777" w:rsidR="00B54D51" w:rsidRPr="00037AD4" w:rsidRDefault="00B54D51" w:rsidP="007A43F9">
      <w:pPr>
        <w:pStyle w:val="Heading2"/>
      </w:pPr>
      <w:bookmarkStart w:id="51" w:name="_Toc175742255"/>
      <w:r w:rsidRPr="00037AD4">
        <w:t>1.7 Aims and objectives</w:t>
      </w:r>
      <w:bookmarkEnd w:id="51"/>
      <w:r w:rsidRPr="00037AD4">
        <w:t xml:space="preserve"> </w:t>
      </w:r>
    </w:p>
    <w:p w14:paraId="515BA1A7" w14:textId="77777777" w:rsidR="00B54D51" w:rsidRPr="00037AD4" w:rsidRDefault="00B54D51" w:rsidP="00923A72">
      <w:pPr>
        <w:rPr>
          <w:rFonts w:asciiTheme="minorHAnsi" w:hAnsiTheme="minorHAnsi" w:cstheme="minorHAnsi"/>
        </w:rPr>
      </w:pPr>
    </w:p>
    <w:p w14:paraId="435563A7" w14:textId="77777777" w:rsidR="00B54D51" w:rsidRPr="00037AD4" w:rsidRDefault="00B54D51" w:rsidP="00485981">
      <w:pPr>
        <w:rPr>
          <w:rFonts w:asciiTheme="minorHAnsi" w:hAnsiTheme="minorHAnsi" w:cstheme="minorHAnsi"/>
        </w:rPr>
      </w:pPr>
      <w:r w:rsidRPr="00037AD4">
        <w:rPr>
          <w:rFonts w:asciiTheme="minorHAnsi" w:hAnsiTheme="minorHAnsi" w:cstheme="minorHAnsi"/>
        </w:rPr>
        <w:t xml:space="preserve">The aim of this thesis is to generate an empirical evidence base that advances the understanding of how HRQoL can be effectively applied for use in economic evaluations of dementia interventions. </w:t>
      </w:r>
    </w:p>
    <w:p w14:paraId="3DDCCB4B" w14:textId="77777777" w:rsidR="00B54D51" w:rsidRPr="00037AD4" w:rsidRDefault="00B54D51" w:rsidP="005F785D">
      <w:pPr>
        <w:rPr>
          <w:rFonts w:asciiTheme="minorHAnsi" w:hAnsiTheme="minorHAnsi" w:cstheme="minorHAnsi"/>
        </w:rPr>
      </w:pPr>
    </w:p>
    <w:p w14:paraId="5A6FDCFA" w14:textId="3A1B7B10" w:rsidR="00B54D51" w:rsidRPr="00037AD4" w:rsidRDefault="00B54D51" w:rsidP="005F785D">
      <w:pPr>
        <w:rPr>
          <w:rFonts w:asciiTheme="minorHAnsi" w:hAnsiTheme="minorHAnsi" w:cstheme="minorHAnsi"/>
        </w:rPr>
      </w:pPr>
      <w:r w:rsidRPr="00037AD4">
        <w:rPr>
          <w:rFonts w:asciiTheme="minorHAnsi" w:hAnsiTheme="minorHAnsi" w:cstheme="minorHAnsi"/>
        </w:rPr>
        <w:t xml:space="preserve">This thesis addresses </w:t>
      </w:r>
      <w:r w:rsidR="002B5521">
        <w:rPr>
          <w:rFonts w:asciiTheme="minorHAnsi" w:hAnsiTheme="minorHAnsi" w:cstheme="minorHAnsi"/>
        </w:rPr>
        <w:t>five</w:t>
      </w:r>
      <w:r w:rsidRPr="00037AD4">
        <w:rPr>
          <w:rFonts w:asciiTheme="minorHAnsi" w:hAnsiTheme="minorHAnsi" w:cstheme="minorHAnsi"/>
        </w:rPr>
        <w:t xml:space="preserve"> key objectives to: </w:t>
      </w:r>
    </w:p>
    <w:p w14:paraId="107D4FC5" w14:textId="77777777" w:rsidR="00B54D51" w:rsidRPr="00037AD4" w:rsidRDefault="00B54D51" w:rsidP="005F785D">
      <w:pPr>
        <w:rPr>
          <w:rFonts w:asciiTheme="minorHAnsi" w:hAnsiTheme="minorHAnsi" w:cstheme="minorHAnsi"/>
        </w:rPr>
      </w:pPr>
    </w:p>
    <w:p w14:paraId="3269F017" w14:textId="77777777" w:rsidR="00B54D51" w:rsidRPr="00037AD4" w:rsidRDefault="00B54D51" w:rsidP="0026777C">
      <w:pPr>
        <w:pStyle w:val="ListParagraph"/>
        <w:numPr>
          <w:ilvl w:val="0"/>
          <w:numId w:val="7"/>
        </w:numPr>
        <w:rPr>
          <w:rFonts w:cstheme="minorHAnsi"/>
        </w:rPr>
      </w:pPr>
      <w:r w:rsidRPr="00037AD4">
        <w:rPr>
          <w:rFonts w:cstheme="minorHAnsi"/>
        </w:rPr>
        <w:t>Define the key principles related to self and proxy reported HRQoL through published studies</w:t>
      </w:r>
    </w:p>
    <w:p w14:paraId="252C6CB0" w14:textId="77777777" w:rsidR="00B54D51" w:rsidRPr="00037AD4" w:rsidRDefault="00B54D51" w:rsidP="0026777C">
      <w:pPr>
        <w:pStyle w:val="ListParagraph"/>
        <w:numPr>
          <w:ilvl w:val="0"/>
          <w:numId w:val="7"/>
        </w:numPr>
        <w:rPr>
          <w:rFonts w:cstheme="minorHAnsi"/>
        </w:rPr>
      </w:pPr>
      <w:r w:rsidRPr="00037AD4">
        <w:rPr>
          <w:rFonts w:cstheme="minorHAnsi"/>
        </w:rPr>
        <w:t>Examine the appropriateness of EQ-5D for use in dementia economic evaluations through appraisal of published studies</w:t>
      </w:r>
    </w:p>
    <w:p w14:paraId="3452569B" w14:textId="77777777" w:rsidR="00B54D51" w:rsidRPr="00037AD4" w:rsidRDefault="00B54D51" w:rsidP="0026777C">
      <w:pPr>
        <w:pStyle w:val="ListParagraph"/>
        <w:numPr>
          <w:ilvl w:val="0"/>
          <w:numId w:val="7"/>
        </w:numPr>
        <w:rPr>
          <w:rFonts w:cstheme="minorHAnsi"/>
        </w:rPr>
      </w:pPr>
      <w:r w:rsidRPr="00037AD4">
        <w:rPr>
          <w:rFonts w:cstheme="minorHAnsi"/>
        </w:rPr>
        <w:t xml:space="preserve">Establish the optimal respondent (PwD or proxy) for HRQoL dimension assessments of EQ-5D in dementia, to achieve a “target combination” </w:t>
      </w:r>
    </w:p>
    <w:p w14:paraId="55D15AC3" w14:textId="77777777" w:rsidR="00B54D51" w:rsidRPr="00037AD4" w:rsidRDefault="00B54D51" w:rsidP="0026777C">
      <w:pPr>
        <w:pStyle w:val="ListParagraph"/>
        <w:numPr>
          <w:ilvl w:val="0"/>
          <w:numId w:val="7"/>
        </w:numPr>
        <w:rPr>
          <w:rFonts w:cstheme="minorHAnsi"/>
        </w:rPr>
      </w:pPr>
      <w:r w:rsidRPr="00037AD4">
        <w:rPr>
          <w:rFonts w:cstheme="minorHAnsi"/>
        </w:rPr>
        <w:t xml:space="preserve">Estimate mapping models of the “target” EQ-5D dimension responses </w:t>
      </w:r>
    </w:p>
    <w:p w14:paraId="5B93DE9A" w14:textId="77777777" w:rsidR="00B54D51" w:rsidRPr="00037AD4" w:rsidRDefault="00B54D51" w:rsidP="0026777C">
      <w:pPr>
        <w:pStyle w:val="ListParagraph"/>
        <w:numPr>
          <w:ilvl w:val="0"/>
          <w:numId w:val="7"/>
        </w:numPr>
        <w:rPr>
          <w:rFonts w:cstheme="minorHAnsi"/>
        </w:rPr>
      </w:pPr>
      <w:r w:rsidRPr="00037AD4">
        <w:rPr>
          <w:rFonts w:cstheme="minorHAnsi"/>
        </w:rPr>
        <w:t xml:space="preserve">Provide HRQoL data collection recommendations for dementia studies  </w:t>
      </w:r>
    </w:p>
    <w:p w14:paraId="52CFAC23" w14:textId="77777777" w:rsidR="00B54D51" w:rsidRPr="00037AD4" w:rsidRDefault="00B54D51" w:rsidP="005F785D">
      <w:pPr>
        <w:rPr>
          <w:rFonts w:asciiTheme="minorHAnsi" w:hAnsiTheme="minorHAnsi" w:cstheme="minorHAnsi"/>
        </w:rPr>
      </w:pPr>
    </w:p>
    <w:p w14:paraId="040B8DAA" w14:textId="77777777" w:rsidR="00B54D51" w:rsidRPr="00037AD4" w:rsidRDefault="00B54D51" w:rsidP="005F785D">
      <w:pPr>
        <w:rPr>
          <w:rFonts w:asciiTheme="minorHAnsi" w:hAnsiTheme="minorHAnsi" w:cstheme="minorHAnsi"/>
        </w:rPr>
      </w:pPr>
    </w:p>
    <w:p w14:paraId="4A466928" w14:textId="77777777" w:rsidR="00B54D51" w:rsidRPr="00037AD4" w:rsidRDefault="00B54D51" w:rsidP="00BF3B56">
      <w:pPr>
        <w:pStyle w:val="Heading2"/>
        <w:rPr>
          <w:rFonts w:asciiTheme="minorHAnsi" w:hAnsiTheme="minorHAnsi" w:cstheme="minorHAnsi"/>
          <w:b w:val="0"/>
          <w:bCs/>
        </w:rPr>
      </w:pPr>
    </w:p>
    <w:p w14:paraId="0A3CF86E" w14:textId="77777777" w:rsidR="00B54D51" w:rsidRPr="00037AD4" w:rsidRDefault="00B54D51" w:rsidP="005F785D">
      <w:pPr>
        <w:rPr>
          <w:rFonts w:asciiTheme="minorHAnsi" w:hAnsiTheme="minorHAnsi" w:cstheme="minorHAnsi"/>
        </w:rPr>
      </w:pPr>
    </w:p>
    <w:p w14:paraId="60133FB8" w14:textId="77777777" w:rsidR="00B54D51" w:rsidRPr="00037AD4" w:rsidRDefault="00B54D51" w:rsidP="00B4763B">
      <w:pPr>
        <w:rPr>
          <w:rFonts w:asciiTheme="minorHAnsi" w:hAnsiTheme="minorHAnsi" w:cstheme="minorHAnsi"/>
        </w:rPr>
      </w:pPr>
    </w:p>
    <w:p w14:paraId="5D8052AE" w14:textId="77777777" w:rsidR="00B54D51" w:rsidRPr="00037AD4" w:rsidRDefault="00B54D51" w:rsidP="00B4763B">
      <w:pPr>
        <w:rPr>
          <w:rFonts w:asciiTheme="minorHAnsi" w:hAnsiTheme="minorHAnsi" w:cstheme="minorHAnsi"/>
        </w:rPr>
      </w:pPr>
    </w:p>
    <w:p w14:paraId="1EF0B913" w14:textId="77777777" w:rsidR="00B54D51" w:rsidRPr="00037AD4" w:rsidRDefault="00B54D51" w:rsidP="00B4763B">
      <w:pPr>
        <w:rPr>
          <w:rFonts w:asciiTheme="minorHAnsi" w:hAnsiTheme="minorHAnsi" w:cstheme="minorHAnsi"/>
        </w:rPr>
      </w:pPr>
    </w:p>
    <w:p w14:paraId="13F8DBE8" w14:textId="77777777" w:rsidR="00B54D51" w:rsidRPr="00037AD4" w:rsidRDefault="00B54D51" w:rsidP="00B4763B">
      <w:pPr>
        <w:rPr>
          <w:rFonts w:asciiTheme="minorHAnsi" w:hAnsiTheme="minorHAnsi" w:cstheme="minorHAnsi"/>
        </w:rPr>
      </w:pPr>
    </w:p>
    <w:p w14:paraId="4D190A21" w14:textId="77777777" w:rsidR="00B54D51" w:rsidRPr="00037AD4" w:rsidRDefault="00B54D51" w:rsidP="00B4763B">
      <w:pPr>
        <w:rPr>
          <w:rFonts w:asciiTheme="minorHAnsi" w:hAnsiTheme="minorHAnsi" w:cstheme="minorHAnsi"/>
        </w:rPr>
      </w:pPr>
    </w:p>
    <w:p w14:paraId="54A66C54" w14:textId="77777777" w:rsidR="00B54D51" w:rsidRPr="00037AD4" w:rsidRDefault="00B54D51" w:rsidP="00B4763B">
      <w:pPr>
        <w:rPr>
          <w:rFonts w:asciiTheme="minorHAnsi" w:hAnsiTheme="minorHAnsi" w:cstheme="minorHAnsi"/>
        </w:rPr>
      </w:pPr>
    </w:p>
    <w:p w14:paraId="0F96B247" w14:textId="77777777" w:rsidR="00B54D51" w:rsidRPr="00037AD4" w:rsidRDefault="00B54D51" w:rsidP="00B4763B">
      <w:pPr>
        <w:rPr>
          <w:rFonts w:asciiTheme="minorHAnsi" w:hAnsiTheme="minorHAnsi" w:cstheme="minorHAnsi"/>
        </w:rPr>
      </w:pPr>
    </w:p>
    <w:p w14:paraId="23420684" w14:textId="77777777" w:rsidR="00B54D51" w:rsidRPr="00037AD4" w:rsidRDefault="00B54D51" w:rsidP="007A43F9">
      <w:pPr>
        <w:pStyle w:val="Heading1"/>
      </w:pPr>
      <w:bookmarkStart w:id="52" w:name="_2_Measuring_health-related"/>
      <w:bookmarkStart w:id="53" w:name="_Toc79582122"/>
      <w:bookmarkStart w:id="54" w:name="_Toc79839764"/>
      <w:bookmarkStart w:id="55" w:name="_Toc80257838"/>
      <w:bookmarkStart w:id="56" w:name="_Toc80969252"/>
      <w:bookmarkStart w:id="57" w:name="_Toc80969333"/>
      <w:bookmarkStart w:id="58" w:name="_Toc80969414"/>
      <w:bookmarkStart w:id="59" w:name="_Toc82180021"/>
      <w:bookmarkStart w:id="60" w:name="_Toc175742256"/>
      <w:bookmarkEnd w:id="52"/>
      <w:r w:rsidRPr="00037AD4">
        <w:lastRenderedPageBreak/>
        <w:t xml:space="preserve">2 </w:t>
      </w:r>
      <w:bookmarkEnd w:id="53"/>
      <w:bookmarkEnd w:id="54"/>
      <w:bookmarkEnd w:id="55"/>
      <w:bookmarkEnd w:id="56"/>
      <w:bookmarkEnd w:id="57"/>
      <w:bookmarkEnd w:id="58"/>
      <w:bookmarkEnd w:id="59"/>
      <w:r w:rsidRPr="00037AD4">
        <w:t>Measuring health-related quality of life in dementia populations: existing evidence</w:t>
      </w:r>
      <w:bookmarkEnd w:id="60"/>
      <w:r w:rsidRPr="00037AD4">
        <w:t xml:space="preserve">  </w:t>
      </w:r>
    </w:p>
    <w:p w14:paraId="3700BCB0" w14:textId="77777777" w:rsidR="00B54D51" w:rsidRPr="00037AD4" w:rsidRDefault="00B54D51" w:rsidP="006C1EA1">
      <w:pPr>
        <w:rPr>
          <w:rFonts w:asciiTheme="minorHAnsi" w:hAnsiTheme="minorHAnsi" w:cstheme="minorHAnsi"/>
        </w:rPr>
      </w:pPr>
    </w:p>
    <w:p w14:paraId="32537166" w14:textId="77777777" w:rsidR="00B54D51" w:rsidRPr="00037AD4" w:rsidRDefault="00B54D51" w:rsidP="006C1EA1">
      <w:pPr>
        <w:rPr>
          <w:rFonts w:asciiTheme="minorHAnsi" w:hAnsiTheme="minorHAnsi" w:cstheme="minorHAnsi"/>
        </w:rPr>
      </w:pPr>
      <w:r w:rsidRPr="00037AD4">
        <w:rPr>
          <w:rFonts w:asciiTheme="minorHAnsi" w:hAnsiTheme="minorHAnsi" w:cstheme="minorHAnsi"/>
        </w:rPr>
        <w:t>As discussed in Chapter One, this thesis focuses on optimising HRQoL assessment for use in dementia economic evaluations, taking into account reports from both people with dementia and their proxies. It is therefore important to evaluate the performance of PBMs commonly used in these settings to ascertain their suitability for use in dementia trials and studies, and to define the key principles associated with self-report versus proxy report in HRQoL assessments. This chapter presents this evidence through an updated systematic review assessing the performance of EQ-5D-5L, and a pearl growing literature review defining the challenges and debate surrounding self and proxy reports of HRQoL. The chapter concludes by presenting the first of two PPIE exercises conducted during the PhD. This session was conducted early in the PhD programme with the aim of consolidating the literature's findings and guiding the ongoing research.</w:t>
      </w:r>
    </w:p>
    <w:p w14:paraId="46321824" w14:textId="77777777" w:rsidR="00B54D51" w:rsidRPr="00037AD4" w:rsidRDefault="00B54D51" w:rsidP="006C1EA1">
      <w:pPr>
        <w:rPr>
          <w:rFonts w:asciiTheme="minorHAnsi" w:hAnsiTheme="minorHAnsi" w:cstheme="minorHAnsi"/>
        </w:rPr>
      </w:pPr>
    </w:p>
    <w:p w14:paraId="0AD4FEDD" w14:textId="77777777" w:rsidR="00B54D51" w:rsidRPr="00037AD4" w:rsidRDefault="00B54D51" w:rsidP="009E4B5E">
      <w:pPr>
        <w:pStyle w:val="Heading2"/>
      </w:pPr>
      <w:bookmarkStart w:id="61" w:name="_Toc175742257"/>
      <w:r w:rsidRPr="00037AD4">
        <w:t>2.1 Introduction</w:t>
      </w:r>
      <w:bookmarkEnd w:id="61"/>
      <w:r w:rsidRPr="00037AD4">
        <w:t xml:space="preserve">  </w:t>
      </w:r>
    </w:p>
    <w:p w14:paraId="28421956" w14:textId="77777777" w:rsidR="00B54D51" w:rsidRPr="00037AD4" w:rsidRDefault="00B54D51" w:rsidP="006C1EA1">
      <w:pPr>
        <w:rPr>
          <w:rFonts w:asciiTheme="minorHAnsi" w:hAnsiTheme="minorHAnsi" w:cstheme="minorHAnsi"/>
        </w:rPr>
      </w:pPr>
    </w:p>
    <w:p w14:paraId="0AD2C2CD" w14:textId="77777777" w:rsidR="00B54D51" w:rsidRPr="00037AD4" w:rsidRDefault="00B54D51" w:rsidP="009E4B5E">
      <w:pPr>
        <w:rPr>
          <w:rFonts w:asciiTheme="minorHAnsi" w:hAnsiTheme="minorHAnsi" w:cstheme="minorHAnsi"/>
        </w:rPr>
      </w:pPr>
      <w:r w:rsidRPr="00037AD4">
        <w:rPr>
          <w:rFonts w:asciiTheme="minorHAnsi" w:hAnsiTheme="minorHAnsi" w:cstheme="minorHAnsi"/>
        </w:rPr>
        <w:t xml:space="preserve">Preference-based measures (PBMs) are designed to quantify the impact of health conditions on an individual’s HRQoL by assigning values to different health states based on societal preference. This process results in the generation of a “utility” or index score, which is used for QALY estimation. QALYs are a vital component of economic evaluation as they enable the comparison of the effectiveness of different interventions by considering both the length and quality of life.   </w:t>
      </w:r>
    </w:p>
    <w:p w14:paraId="5287DBAF" w14:textId="77777777" w:rsidR="00B54D51" w:rsidRPr="00037AD4" w:rsidRDefault="00B54D51" w:rsidP="006C1EA1">
      <w:pPr>
        <w:rPr>
          <w:rFonts w:asciiTheme="minorHAnsi" w:hAnsiTheme="minorHAnsi" w:cstheme="minorHAnsi"/>
        </w:rPr>
      </w:pPr>
    </w:p>
    <w:p w14:paraId="41039EAB" w14:textId="77777777" w:rsidR="00B54D51" w:rsidRPr="00037AD4" w:rsidRDefault="00B54D51" w:rsidP="00FE5053">
      <w:pPr>
        <w:rPr>
          <w:rFonts w:asciiTheme="minorHAnsi" w:eastAsiaTheme="minorHAnsi" w:hAnsiTheme="minorHAnsi" w:cstheme="minorHAnsi"/>
          <w:noProof/>
          <w:lang w:eastAsia="en-US"/>
        </w:rPr>
      </w:pPr>
      <w:r w:rsidRPr="00037AD4">
        <w:rPr>
          <w:rFonts w:asciiTheme="minorHAnsi" w:hAnsiTheme="minorHAnsi" w:cstheme="minorHAnsi"/>
        </w:rPr>
        <w:t xml:space="preserve">A recent systematic review was identified that appraised the relevant literature: </w:t>
      </w:r>
      <w:r w:rsidRPr="00037AD4">
        <w:rPr>
          <w:rFonts w:asciiTheme="minorHAnsi" w:eastAsiaTheme="minorHAnsi" w:hAnsiTheme="minorHAnsi" w:cstheme="minorHAnsi"/>
          <w:noProof/>
          <w:lang w:eastAsia="en-US"/>
        </w:rPr>
        <w:t>Li et al.'s "</w:t>
      </w:r>
      <w:r w:rsidRPr="00037AD4">
        <w:rPr>
          <w:rFonts w:asciiTheme="minorHAnsi" w:hAnsiTheme="minorHAnsi" w:cstheme="minorHAnsi"/>
          <w:shd w:val="clear" w:color="auto" w:fill="FFFFFF"/>
        </w:rPr>
        <w:t>Utility-based instruments for people with dementia: a systematic review and meta-regression analysis</w:t>
      </w:r>
      <w:r w:rsidRPr="00037AD4">
        <w:rPr>
          <w:rFonts w:asciiTheme="minorHAnsi" w:eastAsiaTheme="minorHAnsi" w:hAnsiTheme="minorHAnsi" w:cstheme="minorHAnsi"/>
          <w:noProof/>
          <w:lang w:eastAsia="en-US"/>
        </w:rPr>
        <w:t>"</w:t>
      </w:r>
      <w:r>
        <w:rPr>
          <w:rFonts w:asciiTheme="minorHAnsi" w:eastAsiaTheme="minorHAnsi" w:hAnsiTheme="minorHAnsi" w:cstheme="minorHAnsi"/>
          <w:noProof/>
          <w:lang w:eastAsia="en-US"/>
        </w:rPr>
        <w:t>,</w:t>
      </w:r>
      <w:r w:rsidRPr="00037AD4">
        <w:rPr>
          <w:rFonts w:asciiTheme="minorHAnsi" w:eastAsiaTheme="minorHAnsi" w:hAnsiTheme="minorHAnsi" w:cstheme="minorHAnsi"/>
          <w:noProof/>
          <w:lang w:eastAsia="en-US"/>
        </w:rPr>
        <w:t xml:space="preserve"> published in Value in Health in 2018 </w:t>
      </w:r>
      <w:r>
        <w:rPr>
          <w:rFonts w:asciiTheme="minorHAnsi" w:eastAsiaTheme="minorHAnsi" w:hAnsiTheme="minorHAnsi" w:cstheme="minorHAnsi"/>
          <w:noProof/>
          <w:lang w:eastAsia="en-US"/>
        </w:rPr>
        <w:t>(Li et al., 2018)</w:t>
      </w:r>
      <w:r w:rsidRPr="00037AD4">
        <w:rPr>
          <w:rFonts w:asciiTheme="minorHAnsi" w:eastAsiaTheme="minorHAnsi" w:hAnsiTheme="minorHAnsi" w:cstheme="minorHAnsi"/>
          <w:noProof/>
          <w:lang w:eastAsia="en-US"/>
        </w:rPr>
        <w:t xml:space="preserve">; </w:t>
      </w:r>
      <w:r w:rsidRPr="00037AD4">
        <w:rPr>
          <w:rFonts w:asciiTheme="minorHAnsi" w:hAnsiTheme="minorHAnsi" w:cstheme="minorHAnsi"/>
        </w:rPr>
        <w:t xml:space="preserve">a summary of which is provided within this chapter. The authors concluded that EQ-5D is the most valid utility-based instrument for people with dementia </w:t>
      </w:r>
      <w:r>
        <w:rPr>
          <w:rFonts w:asciiTheme="minorHAnsi" w:hAnsiTheme="minorHAnsi" w:cstheme="minorHAnsi"/>
          <w:noProof/>
          <w:color w:val="000000" w:themeColor="text1"/>
        </w:rPr>
        <w:t>(Li et al., 2018)</w:t>
      </w:r>
      <w:r w:rsidRPr="00037AD4">
        <w:rPr>
          <w:rFonts w:asciiTheme="minorHAnsi" w:hAnsiTheme="minorHAnsi" w:cstheme="minorHAnsi"/>
          <w:color w:val="000000" w:themeColor="text1"/>
        </w:rPr>
        <w:t xml:space="preserve">, </w:t>
      </w:r>
      <w:r w:rsidRPr="00037AD4">
        <w:rPr>
          <w:rFonts w:asciiTheme="minorHAnsi" w:hAnsiTheme="minorHAnsi" w:cstheme="minorHAnsi"/>
        </w:rPr>
        <w:t xml:space="preserve">a conclusion drawn mainly from evidence of the three-level version. To update upon this literature, a systematic review was conducted to appraise the psychometric properties of EQ-5D-5L specifically, motivated by its growing use in trials and studies. The EQ-5D-5L descriptive system is now in widespread use. Therefore, updated papers are available to add an assessment of EQ-5D-5L to the existing review. </w:t>
      </w:r>
    </w:p>
    <w:p w14:paraId="42EAD4A5" w14:textId="77777777" w:rsidR="00B54D51" w:rsidRPr="00037AD4" w:rsidRDefault="00B54D51" w:rsidP="00FE5053">
      <w:pPr>
        <w:rPr>
          <w:rFonts w:asciiTheme="minorHAnsi" w:hAnsiTheme="minorHAnsi" w:cstheme="minorHAnsi"/>
        </w:rPr>
      </w:pPr>
    </w:p>
    <w:p w14:paraId="45ECA591" w14:textId="77777777" w:rsidR="00B54D51" w:rsidRPr="00B54D51" w:rsidRDefault="00B54D51" w:rsidP="006C1EA1">
      <w:pPr>
        <w:rPr>
          <w:rFonts w:asciiTheme="minorHAnsi" w:hAnsiTheme="minorHAnsi" w:cstheme="minorHAnsi"/>
        </w:rPr>
      </w:pPr>
      <w:r w:rsidRPr="00037AD4">
        <w:rPr>
          <w:rFonts w:asciiTheme="minorHAnsi" w:hAnsiTheme="minorHAnsi" w:cstheme="minorHAnsi"/>
        </w:rPr>
        <w:t xml:space="preserve">Finally, addressing the other key element of the overarching research question, a pearl growing literature review was conducted to assess the principles and challenges involved in self and proxy reported HRQoL </w:t>
      </w:r>
      <w:r w:rsidRPr="00037AD4">
        <w:rPr>
          <w:rFonts w:asciiTheme="minorHAnsi" w:hAnsiTheme="minorHAnsi" w:cstheme="minorHAnsi"/>
          <w:color w:val="000000" w:themeColor="text1"/>
        </w:rPr>
        <w:t xml:space="preserve">assessments </w:t>
      </w:r>
      <w:hyperlink w:anchor="_2.4_The_principles" w:history="1">
        <w:r w:rsidRPr="00B54D51">
          <w:rPr>
            <w:rStyle w:val="Hyperlink"/>
            <w:rFonts w:asciiTheme="minorHAnsi" w:hAnsiTheme="minorHAnsi" w:cstheme="minorHAnsi"/>
            <w:color w:val="000000" w:themeColor="text1"/>
            <w:u w:val="none"/>
          </w:rPr>
          <w:t>(Section 2.4).</w:t>
        </w:r>
      </w:hyperlink>
      <w:r w:rsidRPr="00B54D51">
        <w:rPr>
          <w:rFonts w:asciiTheme="minorHAnsi" w:hAnsiTheme="minorHAnsi" w:cstheme="minorHAnsi"/>
          <w:color w:val="000000" w:themeColor="text1"/>
        </w:rPr>
        <w:t xml:space="preserve"> </w:t>
      </w:r>
    </w:p>
    <w:p w14:paraId="22988D89" w14:textId="77777777" w:rsidR="00B54D51" w:rsidRPr="00037AD4" w:rsidRDefault="00B54D51" w:rsidP="006C1EA1">
      <w:pPr>
        <w:rPr>
          <w:rFonts w:asciiTheme="minorHAnsi" w:hAnsiTheme="minorHAnsi" w:cstheme="minorHAnsi"/>
        </w:rPr>
      </w:pPr>
    </w:p>
    <w:p w14:paraId="517A7CC9" w14:textId="77777777" w:rsidR="00B54D51" w:rsidRPr="00037AD4" w:rsidRDefault="00B54D51" w:rsidP="007A43F9">
      <w:pPr>
        <w:pStyle w:val="Heading2"/>
      </w:pPr>
      <w:bookmarkStart w:id="62" w:name="_2.2_Summary_of"/>
      <w:bookmarkStart w:id="63" w:name="_Toc80969253"/>
      <w:bookmarkStart w:id="64" w:name="_Toc80969334"/>
      <w:bookmarkStart w:id="65" w:name="_Toc80969415"/>
      <w:bookmarkStart w:id="66" w:name="_Toc82180022"/>
      <w:bookmarkStart w:id="67" w:name="_Toc175742258"/>
      <w:bookmarkEnd w:id="62"/>
      <w:r w:rsidRPr="00037AD4">
        <w:t xml:space="preserve">2.2 Summary of existing </w:t>
      </w:r>
      <w:bookmarkEnd w:id="63"/>
      <w:bookmarkEnd w:id="64"/>
      <w:bookmarkEnd w:id="65"/>
      <w:bookmarkEnd w:id="66"/>
      <w:r w:rsidRPr="00037AD4">
        <w:t>utility-based instruments review</w:t>
      </w:r>
      <w:bookmarkEnd w:id="67"/>
      <w:r w:rsidRPr="00037AD4">
        <w:t xml:space="preserve"> </w:t>
      </w:r>
    </w:p>
    <w:p w14:paraId="631217D0" w14:textId="77777777" w:rsidR="00B54D51" w:rsidRPr="00037AD4" w:rsidRDefault="00B54D51" w:rsidP="00281528">
      <w:pPr>
        <w:rPr>
          <w:rFonts w:asciiTheme="minorHAnsi" w:hAnsiTheme="minorHAnsi" w:cstheme="minorHAnsi"/>
        </w:rPr>
      </w:pPr>
    </w:p>
    <w:p w14:paraId="48287CE0" w14:textId="77777777" w:rsidR="00B54D51" w:rsidRPr="00037AD4" w:rsidRDefault="00B54D51" w:rsidP="006C1EA1">
      <w:pPr>
        <w:rPr>
          <w:rFonts w:asciiTheme="minorHAnsi" w:hAnsiTheme="minorHAnsi" w:cstheme="minorHAnsi"/>
        </w:rPr>
      </w:pPr>
      <w:r w:rsidRPr="00037AD4">
        <w:rPr>
          <w:rFonts w:asciiTheme="minorHAnsi" w:hAnsiTheme="minorHAnsi" w:cstheme="minorHAnsi"/>
        </w:rPr>
        <w:t xml:space="preserve">Li et al. (2018) published a systematic review examining utility-based instruments that have been used in dementia research. The authors compared the psychometric properties of the instruments with the aim of assessing their performance and conducted a meta-analysis to explore factors that influence heterogeneity in generated health state values. </w:t>
      </w:r>
    </w:p>
    <w:p w14:paraId="544B6FF2" w14:textId="77777777" w:rsidR="00B54D51" w:rsidRPr="00037AD4" w:rsidRDefault="00B54D51" w:rsidP="006C1EA1">
      <w:pPr>
        <w:rPr>
          <w:rFonts w:asciiTheme="minorHAnsi" w:hAnsiTheme="minorHAnsi" w:cstheme="minorHAnsi"/>
        </w:rPr>
      </w:pPr>
    </w:p>
    <w:p w14:paraId="6D127732" w14:textId="77777777" w:rsidR="00B54D51" w:rsidRPr="00037AD4" w:rsidRDefault="00B54D51" w:rsidP="006C1EA1">
      <w:pPr>
        <w:rPr>
          <w:rFonts w:asciiTheme="minorHAnsi" w:hAnsiTheme="minorHAnsi" w:cstheme="minorHAnsi"/>
        </w:rPr>
      </w:pPr>
      <w:r w:rsidRPr="00037AD4">
        <w:rPr>
          <w:rFonts w:asciiTheme="minorHAnsi" w:hAnsiTheme="minorHAnsi" w:cstheme="minorHAnsi"/>
        </w:rPr>
        <w:lastRenderedPageBreak/>
        <w:t xml:space="preserve">In total 64 studies were included within the review, where six PBMs were identified. EQ-5D was the most commonly used measure in cost-effectiveness analyses (n=45), followed by the Health-Utility Index Mark 3 (HUI-3) (n=13), HUI-2 (n=5), Quality of Well-being (QWB) (n=4), 15-Dimensional scale (15-D) (n=3), DEMQoL-U/ DEMQoL-Proxy-U (n=2) and Assessment of Quality of life (AQoL) (n=2). </w:t>
      </w:r>
    </w:p>
    <w:p w14:paraId="7873A2A9" w14:textId="77777777" w:rsidR="00B54D51" w:rsidRPr="00037AD4" w:rsidRDefault="00B54D51" w:rsidP="006C1EA1">
      <w:pPr>
        <w:rPr>
          <w:rFonts w:asciiTheme="minorHAnsi" w:hAnsiTheme="minorHAnsi" w:cstheme="minorHAnsi"/>
        </w:rPr>
      </w:pPr>
    </w:p>
    <w:p w14:paraId="07342403" w14:textId="77777777" w:rsidR="00B54D51" w:rsidRPr="00037AD4" w:rsidRDefault="00B54D51" w:rsidP="006C1EA1">
      <w:pPr>
        <w:rPr>
          <w:rFonts w:asciiTheme="minorHAnsi" w:hAnsiTheme="minorHAnsi" w:cstheme="minorHAnsi"/>
        </w:rPr>
      </w:pPr>
      <w:r w:rsidRPr="00037AD4">
        <w:rPr>
          <w:rFonts w:asciiTheme="minorHAnsi" w:hAnsiTheme="minorHAnsi" w:cstheme="minorHAnsi"/>
        </w:rPr>
        <w:t>It was reported that the EQ-5D demonstrated the best psychometric performance for use in people with dementia.</w:t>
      </w:r>
      <w:r w:rsidRPr="00037AD4">
        <w:rPr>
          <w:rFonts w:ascii="Segoe UI" w:hAnsi="Segoe UI" w:cs="Segoe UI"/>
          <w:color w:val="0D0D0D"/>
          <w:shd w:val="clear" w:color="auto" w:fill="FFFFFF"/>
        </w:rPr>
        <w:t xml:space="preserve"> </w:t>
      </w:r>
      <w:r w:rsidRPr="00037AD4">
        <w:rPr>
          <w:rFonts w:asciiTheme="minorHAnsi" w:hAnsiTheme="minorHAnsi" w:cstheme="minorHAnsi"/>
        </w:rPr>
        <w:t xml:space="preserve">This conclusion is drawn from assessments of its feasibility and acceptability, evaluated through completion time, response rate and proportion of missing items; test-retest reliability; validity assessed through content, convergent and known-group validity and responsiveness of scores. Overall, it was deemed that because EQ-5D is concise and straightforward in nature, it presents as a particularly strong candidate for use in dementia populations, where challenges related to cognitive impairment are a particularly important consideration when deciding which outcome measures to collect </w:t>
      </w:r>
      <w:r>
        <w:rPr>
          <w:rFonts w:asciiTheme="minorHAnsi" w:hAnsiTheme="minorHAnsi" w:cstheme="minorHAnsi"/>
          <w:noProof/>
        </w:rPr>
        <w:t>(Michalowsky et al., 2020, Bhattacharya et al., 2010)</w:t>
      </w:r>
      <w:r w:rsidRPr="00037AD4">
        <w:rPr>
          <w:rFonts w:asciiTheme="minorHAnsi" w:hAnsiTheme="minorHAnsi" w:cstheme="minorHAnsi"/>
        </w:rPr>
        <w:t xml:space="preserve">. The EQ-5D-5L is increasingly used in evaluations due to the enhanced sensitivity provided by the two additional levels of severity (over the three level version) </w:t>
      </w:r>
      <w:r>
        <w:rPr>
          <w:rFonts w:asciiTheme="minorHAnsi" w:hAnsiTheme="minorHAnsi" w:cstheme="minorHAnsi"/>
          <w:noProof/>
        </w:rPr>
        <w:t>(Janssen et al., 2018)</w:t>
      </w:r>
      <w:r w:rsidRPr="00037AD4">
        <w:rPr>
          <w:rFonts w:asciiTheme="minorHAnsi" w:hAnsiTheme="minorHAnsi" w:cstheme="minorHAnsi"/>
        </w:rPr>
        <w:t xml:space="preserve">. The conclusions drawn by Li et al. (2018) on the EQ-5D’s psychometric properties in dementia were mainly based on evidence of the three-level version due to a lack of EQ-5D-5L data at the time of review </w:t>
      </w:r>
      <w:r>
        <w:rPr>
          <w:rFonts w:asciiTheme="minorHAnsi" w:hAnsiTheme="minorHAnsi" w:cstheme="minorHAnsi"/>
          <w:noProof/>
        </w:rPr>
        <w:t>(Li et al., 2018)</w:t>
      </w:r>
      <w:r w:rsidRPr="00037AD4">
        <w:rPr>
          <w:rFonts w:asciiTheme="minorHAnsi" w:hAnsiTheme="minorHAnsi" w:cstheme="minorHAnsi"/>
        </w:rPr>
        <w:t xml:space="preserve">, which has therefore motivated the subsequent systematic review. </w:t>
      </w:r>
    </w:p>
    <w:p w14:paraId="765628E1" w14:textId="77777777" w:rsidR="00B54D51" w:rsidRPr="00037AD4" w:rsidRDefault="00B54D51" w:rsidP="006C1EA1">
      <w:pPr>
        <w:rPr>
          <w:rFonts w:asciiTheme="minorHAnsi" w:hAnsiTheme="minorHAnsi" w:cstheme="minorHAnsi"/>
        </w:rPr>
      </w:pPr>
    </w:p>
    <w:p w14:paraId="626B3CDE" w14:textId="77777777" w:rsidR="00B54D51" w:rsidRPr="00037AD4" w:rsidRDefault="00B54D51" w:rsidP="007A43F9">
      <w:pPr>
        <w:pStyle w:val="Heading2"/>
      </w:pPr>
      <w:bookmarkStart w:id="68" w:name="_2.3_Assessing_the"/>
      <w:bookmarkStart w:id="69" w:name="_Toc80969254"/>
      <w:bookmarkStart w:id="70" w:name="_Toc80969335"/>
      <w:bookmarkStart w:id="71" w:name="_Toc80969416"/>
      <w:bookmarkStart w:id="72" w:name="_Toc82180023"/>
      <w:bookmarkStart w:id="73" w:name="_Toc175742259"/>
      <w:bookmarkEnd w:id="68"/>
      <w:r w:rsidRPr="00037AD4">
        <w:t xml:space="preserve">2.3 </w:t>
      </w:r>
      <w:bookmarkEnd w:id="69"/>
      <w:bookmarkEnd w:id="70"/>
      <w:bookmarkEnd w:id="71"/>
      <w:bookmarkEnd w:id="72"/>
      <w:r w:rsidRPr="00037AD4">
        <w:t>Assessing the psychometric performance of EQ-5D-5L in dementia: a systematic review</w:t>
      </w:r>
      <w:bookmarkEnd w:id="73"/>
      <w:r w:rsidRPr="00037AD4">
        <w:t xml:space="preserve">  </w:t>
      </w:r>
    </w:p>
    <w:p w14:paraId="470AF7AD" w14:textId="77777777" w:rsidR="00B54D51" w:rsidRPr="00037AD4" w:rsidRDefault="00B54D51" w:rsidP="006C1EA1">
      <w:pPr>
        <w:rPr>
          <w:rFonts w:asciiTheme="minorHAnsi" w:hAnsiTheme="minorHAnsi" w:cstheme="minorHAnsi"/>
        </w:rPr>
      </w:pPr>
    </w:p>
    <w:p w14:paraId="75848298" w14:textId="31F6D4CC" w:rsidR="00B84F44" w:rsidRPr="00037AD4" w:rsidRDefault="00B84F44" w:rsidP="002B7F9E">
      <w:pPr>
        <w:rPr>
          <w:rFonts w:asciiTheme="minorHAnsi" w:hAnsiTheme="minorHAnsi" w:cstheme="minorHAnsi"/>
        </w:rPr>
      </w:pPr>
      <w:r>
        <w:rPr>
          <w:rFonts w:asciiTheme="minorHAnsi" w:hAnsiTheme="minorHAnsi" w:cstheme="minorHAnsi"/>
        </w:rPr>
        <w:t>The following systematic review focuses solely on evidence related to the five-level version of EQ-5D (EQ-5D-5L);</w:t>
      </w:r>
      <w:r w:rsidRPr="00B84F44">
        <w:rPr>
          <w:rFonts w:asciiTheme="minorHAnsi" w:hAnsiTheme="minorHAnsi" w:cstheme="minorHAnsi"/>
        </w:rPr>
        <w:t xml:space="preserve"> the previously summari</w:t>
      </w:r>
      <w:r>
        <w:rPr>
          <w:rFonts w:asciiTheme="minorHAnsi" w:hAnsiTheme="minorHAnsi" w:cstheme="minorHAnsi"/>
        </w:rPr>
        <w:t>s</w:t>
      </w:r>
      <w:r w:rsidRPr="00B84F44">
        <w:rPr>
          <w:rFonts w:asciiTheme="minorHAnsi" w:hAnsiTheme="minorHAnsi" w:cstheme="minorHAnsi"/>
        </w:rPr>
        <w:t>ed systematic review conducted by Li et al. (2018) concluded that EQ-5D has strong psychometric properties for use in dementia populations. However, this conclusion was primarily based on evidence related to EQ-5D-3L due to the lack of published EQ-5D-5L papers at the time. This review, therefore, aims to bridge that gap by assessing whether the same conclusions can be extended to EQ-5D-5L. EQ-5D-5L is an increasingly popular utility instrument due to its greater number of severity level options, which allows for more precise measurement of health outcomes. Additionally, it is designed to reduce ceiling effects and improve sensitivity, making it a potentially more robust tool for capturing the health-related quality of life in dementia populations.</w:t>
      </w:r>
      <w:r w:rsidRPr="00037AD4">
        <w:rPr>
          <w:rFonts w:asciiTheme="minorHAnsi" w:hAnsiTheme="minorHAnsi" w:cstheme="minorHAnsi"/>
        </w:rPr>
        <w:t xml:space="preserve"> The</w:t>
      </w:r>
      <w:r w:rsidR="00B54D51" w:rsidRPr="00037AD4">
        <w:rPr>
          <w:rFonts w:asciiTheme="minorHAnsi" w:hAnsiTheme="minorHAnsi" w:cstheme="minorHAnsi"/>
        </w:rPr>
        <w:t xml:space="preserve"> </w:t>
      </w:r>
      <w:r>
        <w:rPr>
          <w:rFonts w:asciiTheme="minorHAnsi" w:hAnsiTheme="minorHAnsi" w:cstheme="minorHAnsi"/>
        </w:rPr>
        <w:t xml:space="preserve">overall </w:t>
      </w:r>
      <w:r w:rsidR="00B54D51" w:rsidRPr="00037AD4">
        <w:rPr>
          <w:rFonts w:asciiTheme="minorHAnsi" w:hAnsiTheme="minorHAnsi" w:cstheme="minorHAnsi"/>
        </w:rPr>
        <w:t>objectives of the following review are twofold. Firstly, to systematically identify records containing information on the psychometric properties of EQ-5D-5L in dementia populations. Secondly, to review the literature with the aim of identifying potential datasets for subsequent analyses.</w:t>
      </w:r>
    </w:p>
    <w:p w14:paraId="6130BEC6" w14:textId="77777777" w:rsidR="00B54D51" w:rsidRPr="00037AD4" w:rsidRDefault="00B54D51" w:rsidP="002B7F9E">
      <w:pPr>
        <w:rPr>
          <w:rFonts w:asciiTheme="minorHAnsi" w:hAnsiTheme="minorHAnsi" w:cstheme="minorHAnsi"/>
        </w:rPr>
      </w:pPr>
    </w:p>
    <w:p w14:paraId="26139BBB" w14:textId="77777777" w:rsidR="00B54D51" w:rsidRPr="00037AD4" w:rsidRDefault="00B54D51" w:rsidP="00D0494F">
      <w:pPr>
        <w:pStyle w:val="Heading3"/>
      </w:pPr>
      <w:bookmarkStart w:id="74" w:name="_Toc80969255"/>
      <w:bookmarkStart w:id="75" w:name="_Toc80969336"/>
      <w:bookmarkStart w:id="76" w:name="_Toc80969417"/>
      <w:bookmarkStart w:id="77" w:name="_Toc82180024"/>
      <w:bookmarkStart w:id="78" w:name="_Toc175742260"/>
      <w:r w:rsidRPr="00037AD4">
        <w:t>2.3.1 Role and reporting methods</w:t>
      </w:r>
      <w:bookmarkEnd w:id="74"/>
      <w:bookmarkEnd w:id="75"/>
      <w:bookmarkEnd w:id="76"/>
      <w:bookmarkEnd w:id="77"/>
      <w:bookmarkEnd w:id="78"/>
      <w:r w:rsidRPr="00037AD4">
        <w:t xml:space="preserve">   </w:t>
      </w:r>
    </w:p>
    <w:p w14:paraId="594A1AB1" w14:textId="77777777" w:rsidR="00B54D51" w:rsidRPr="00037AD4" w:rsidRDefault="00B54D51" w:rsidP="006C1EA1">
      <w:pPr>
        <w:rPr>
          <w:rFonts w:asciiTheme="minorHAnsi" w:hAnsiTheme="minorHAnsi" w:cstheme="minorHAnsi"/>
          <w:b/>
          <w:bCs/>
          <w:u w:val="single"/>
        </w:rPr>
      </w:pPr>
    </w:p>
    <w:p w14:paraId="0AEED644" w14:textId="39B04BCA" w:rsidR="00B54D51" w:rsidRPr="00037AD4" w:rsidRDefault="00B54D51" w:rsidP="006C1EA1">
      <w:pPr>
        <w:rPr>
          <w:rFonts w:asciiTheme="minorHAnsi" w:hAnsiTheme="minorHAnsi" w:cstheme="minorHAnsi"/>
        </w:rPr>
      </w:pPr>
      <w:r w:rsidRPr="00037AD4">
        <w:rPr>
          <w:rFonts w:asciiTheme="minorHAnsi" w:hAnsiTheme="minorHAnsi" w:cstheme="minorHAnsi"/>
        </w:rPr>
        <w:t xml:space="preserve">This systematic review was conducted as part of a wider EEPRU project with the thesis supervisory team: Anju Keetharuth (AK), Donna Rowen (DR), Allan Wailoo (AW). </w:t>
      </w:r>
      <w:r w:rsidR="002B5521" w:rsidRPr="002B5521">
        <w:rPr>
          <w:rFonts w:asciiTheme="minorHAnsi" w:hAnsiTheme="minorHAnsi" w:cstheme="minorHAnsi"/>
        </w:rPr>
        <w:t>HH and the supervisory team collaboratively developed the systematic search strategy. HH</w:t>
      </w:r>
      <w:r w:rsidR="002B5521">
        <w:rPr>
          <w:rFonts w:asciiTheme="minorHAnsi" w:hAnsiTheme="minorHAnsi" w:cstheme="minorHAnsi"/>
        </w:rPr>
        <w:t xml:space="preserve"> </w:t>
      </w:r>
      <w:r w:rsidR="002B5521" w:rsidRPr="002B5521">
        <w:rPr>
          <w:rFonts w:asciiTheme="minorHAnsi" w:hAnsiTheme="minorHAnsi" w:cstheme="minorHAnsi"/>
        </w:rPr>
        <w:t>subsequently reviewed the search results to determine which articles to include or exclude. HH extracted data for half of the references</w:t>
      </w:r>
      <w:r w:rsidR="00466A6E">
        <w:rPr>
          <w:rFonts w:asciiTheme="minorHAnsi" w:hAnsiTheme="minorHAnsi" w:cstheme="minorHAnsi"/>
        </w:rPr>
        <w:t xml:space="preserve">, developed the methodology for the quality </w:t>
      </w:r>
      <w:r w:rsidR="00466A6E">
        <w:rPr>
          <w:rFonts w:asciiTheme="minorHAnsi" w:hAnsiTheme="minorHAnsi" w:cstheme="minorHAnsi"/>
        </w:rPr>
        <w:lastRenderedPageBreak/>
        <w:t>assessment</w:t>
      </w:r>
      <w:r w:rsidR="002B5521" w:rsidRPr="002B5521">
        <w:rPr>
          <w:rFonts w:asciiTheme="minorHAnsi" w:hAnsiTheme="minorHAnsi" w:cstheme="minorHAnsi"/>
        </w:rPr>
        <w:t xml:space="preserve"> and significantly contributed to the analysis, as well as the writing of the results and discussion sections of the systematic review, which was then formulated into a journal article. All authors participated in refining various drafts of the manuscript and approved the final version. During the peer-review process, AK and HH jointly responded to reviewer comments.</w:t>
      </w:r>
    </w:p>
    <w:p w14:paraId="079E99A4" w14:textId="77777777" w:rsidR="00B54D51" w:rsidRPr="00037AD4" w:rsidRDefault="00B54D51" w:rsidP="006C1EA1">
      <w:pPr>
        <w:rPr>
          <w:rFonts w:asciiTheme="minorHAnsi" w:hAnsiTheme="minorHAnsi" w:cstheme="minorHAnsi"/>
        </w:rPr>
      </w:pPr>
    </w:p>
    <w:p w14:paraId="6A78DF20" w14:textId="77777777" w:rsidR="00B54D51" w:rsidRPr="00037AD4" w:rsidRDefault="00B54D51" w:rsidP="006C1EA1">
      <w:pPr>
        <w:rPr>
          <w:rFonts w:asciiTheme="minorHAnsi" w:hAnsiTheme="minorHAnsi" w:cstheme="minorHAnsi"/>
        </w:rPr>
      </w:pPr>
      <w:r w:rsidRPr="00037AD4">
        <w:rPr>
          <w:rFonts w:asciiTheme="minorHAnsi" w:hAnsiTheme="minorHAnsi" w:cstheme="minorHAnsi"/>
        </w:rPr>
        <w:t xml:space="preserve">This review was accepted for publication in Health and Quality of Life Outcomes in 2022 </w:t>
      </w:r>
    </w:p>
    <w:p w14:paraId="3A14B175" w14:textId="77777777" w:rsidR="00B54D51" w:rsidRPr="00037AD4" w:rsidRDefault="00B54D51" w:rsidP="006C1EA1">
      <w:pPr>
        <w:rPr>
          <w:rFonts w:asciiTheme="minorHAnsi" w:hAnsiTheme="minorHAnsi" w:cstheme="minorHAnsi"/>
        </w:rPr>
      </w:pPr>
    </w:p>
    <w:p w14:paraId="46E89F62" w14:textId="77777777" w:rsidR="00B54D51" w:rsidRPr="00037AD4" w:rsidRDefault="00000000" w:rsidP="006C1EA1">
      <w:pPr>
        <w:rPr>
          <w:rFonts w:asciiTheme="minorHAnsi" w:hAnsiTheme="minorHAnsi" w:cstheme="minorHAnsi"/>
        </w:rPr>
      </w:pPr>
      <w:hyperlink r:id="rId14" w:history="1">
        <w:r w:rsidR="00B54D51" w:rsidRPr="00037AD4">
          <w:rPr>
            <w:rStyle w:val="Hyperlink"/>
            <w:rFonts w:asciiTheme="minorHAnsi" w:hAnsiTheme="minorHAnsi" w:cstheme="minorHAnsi"/>
          </w:rPr>
          <w:t>https://link.springer.com/article/10.1186/s12955-022-02036-3</w:t>
        </w:r>
      </w:hyperlink>
    </w:p>
    <w:p w14:paraId="6537502F" w14:textId="77777777" w:rsidR="00B54D51" w:rsidRPr="00037AD4" w:rsidRDefault="00B54D51" w:rsidP="006C1EA1">
      <w:pPr>
        <w:rPr>
          <w:rFonts w:asciiTheme="minorHAnsi" w:hAnsiTheme="minorHAnsi" w:cstheme="minorHAnsi"/>
        </w:rPr>
      </w:pPr>
    </w:p>
    <w:p w14:paraId="160C1642" w14:textId="77777777" w:rsidR="00B54D51" w:rsidRPr="00037AD4" w:rsidRDefault="00B54D51" w:rsidP="006C1EA1">
      <w:pPr>
        <w:rPr>
          <w:rFonts w:asciiTheme="minorHAnsi" w:hAnsiTheme="minorHAnsi" w:cstheme="minorHAnsi"/>
          <w:shd w:val="clear" w:color="auto" w:fill="FFFFFF"/>
        </w:rPr>
      </w:pPr>
      <w:r w:rsidRPr="00037AD4">
        <w:rPr>
          <w:rFonts w:asciiTheme="minorHAnsi" w:hAnsiTheme="minorHAnsi" w:cstheme="minorHAnsi"/>
          <w:shd w:val="clear" w:color="auto" w:fill="FFFFFF"/>
        </w:rPr>
        <w:t>Keetharuth, A. D., Hussain, H., Rowen, D., &amp; Wailoo, A. (2022). Assessing the psychometric performance of EQ-5D-5L in dementia: a systematic review.</w:t>
      </w:r>
      <w:r w:rsidRPr="00037AD4">
        <w:rPr>
          <w:rStyle w:val="apple-converted-space"/>
          <w:rFonts w:asciiTheme="minorHAnsi" w:eastAsiaTheme="majorEastAsia" w:hAnsiTheme="minorHAnsi" w:cstheme="minorHAnsi"/>
          <w:shd w:val="clear" w:color="auto" w:fill="FFFFFF"/>
        </w:rPr>
        <w:t> </w:t>
      </w:r>
      <w:r w:rsidRPr="00037AD4">
        <w:rPr>
          <w:rFonts w:asciiTheme="minorHAnsi" w:hAnsiTheme="minorHAnsi" w:cstheme="minorHAnsi"/>
          <w:i/>
          <w:iCs/>
        </w:rPr>
        <w:t>Health and Quality of Life Outcomes</w:t>
      </w:r>
      <w:r w:rsidRPr="00037AD4">
        <w:rPr>
          <w:rFonts w:asciiTheme="minorHAnsi" w:hAnsiTheme="minorHAnsi" w:cstheme="minorHAnsi"/>
          <w:shd w:val="clear" w:color="auto" w:fill="FFFFFF"/>
        </w:rPr>
        <w:t>,</w:t>
      </w:r>
      <w:r w:rsidRPr="00037AD4">
        <w:rPr>
          <w:rStyle w:val="apple-converted-space"/>
          <w:rFonts w:asciiTheme="minorHAnsi" w:eastAsiaTheme="majorEastAsia" w:hAnsiTheme="minorHAnsi" w:cstheme="minorHAnsi"/>
          <w:shd w:val="clear" w:color="auto" w:fill="FFFFFF"/>
        </w:rPr>
        <w:t> </w:t>
      </w:r>
      <w:r w:rsidRPr="00037AD4">
        <w:rPr>
          <w:rFonts w:asciiTheme="minorHAnsi" w:hAnsiTheme="minorHAnsi" w:cstheme="minorHAnsi"/>
          <w:i/>
          <w:iCs/>
        </w:rPr>
        <w:t>20</w:t>
      </w:r>
      <w:r w:rsidRPr="00037AD4">
        <w:rPr>
          <w:rFonts w:asciiTheme="minorHAnsi" w:hAnsiTheme="minorHAnsi" w:cstheme="minorHAnsi"/>
          <w:shd w:val="clear" w:color="auto" w:fill="FFFFFF"/>
        </w:rPr>
        <w:t>(1), 139.</w:t>
      </w:r>
    </w:p>
    <w:p w14:paraId="68BEAD21" w14:textId="77777777" w:rsidR="00B54D51" w:rsidRPr="00037AD4" w:rsidRDefault="00B54D51" w:rsidP="006C1EA1">
      <w:pPr>
        <w:rPr>
          <w:rFonts w:asciiTheme="minorHAnsi" w:hAnsiTheme="minorHAnsi" w:cstheme="minorHAnsi"/>
        </w:rPr>
      </w:pPr>
    </w:p>
    <w:p w14:paraId="7604ABF1" w14:textId="77777777" w:rsidR="00B54D51" w:rsidRPr="00037AD4" w:rsidRDefault="00B54D51" w:rsidP="00D0494F">
      <w:pPr>
        <w:pStyle w:val="Heading3"/>
      </w:pPr>
      <w:bookmarkStart w:id="79" w:name="_Toc80969256"/>
      <w:bookmarkStart w:id="80" w:name="_Toc80969337"/>
      <w:bookmarkStart w:id="81" w:name="_Toc80969418"/>
      <w:bookmarkStart w:id="82" w:name="_Toc82180025"/>
      <w:bookmarkStart w:id="83" w:name="_Toc175742261"/>
      <w:r w:rsidRPr="00037AD4">
        <w:t>2.3.2 Study eligibility and data extraction</w:t>
      </w:r>
      <w:bookmarkEnd w:id="79"/>
      <w:bookmarkEnd w:id="80"/>
      <w:bookmarkEnd w:id="81"/>
      <w:bookmarkEnd w:id="82"/>
      <w:bookmarkEnd w:id="83"/>
    </w:p>
    <w:p w14:paraId="2C453E67" w14:textId="77777777" w:rsidR="00B54D51" w:rsidRPr="00037AD4" w:rsidRDefault="00B54D51" w:rsidP="00534A1F">
      <w:pPr>
        <w:rPr>
          <w:rFonts w:asciiTheme="minorHAnsi" w:hAnsiTheme="minorHAnsi" w:cstheme="minorHAnsi"/>
        </w:rPr>
      </w:pPr>
    </w:p>
    <w:p w14:paraId="7777C703" w14:textId="30311F3A" w:rsidR="00B54D51" w:rsidRPr="00037AD4" w:rsidRDefault="00B54D51" w:rsidP="006C1EA1">
      <w:pPr>
        <w:rPr>
          <w:rFonts w:asciiTheme="minorHAnsi" w:hAnsiTheme="minorHAnsi" w:cstheme="minorHAnsi"/>
        </w:rPr>
      </w:pPr>
      <w:r w:rsidRPr="00037AD4">
        <w:rPr>
          <w:rFonts w:asciiTheme="minorHAnsi" w:hAnsiTheme="minorHAnsi" w:cstheme="minorHAnsi"/>
        </w:rPr>
        <w:t xml:space="preserve">A developed search strategy was applied to three electronic databases (Medline (Ovid), the Web of Science Core Collective Science Citation Index Expanded (Clarivate Analytics) and PsycINFO). </w:t>
      </w:r>
      <w:r w:rsidR="0002494A">
        <w:rPr>
          <w:rFonts w:asciiTheme="minorHAnsi" w:hAnsiTheme="minorHAnsi" w:cstheme="minorHAnsi"/>
        </w:rPr>
        <w:t xml:space="preserve">The final applied search strategy is provided in </w:t>
      </w:r>
      <w:hyperlink w:anchor="_Appendix_2a_Systematic" w:history="1">
        <w:r w:rsidR="0002494A" w:rsidRPr="0002494A">
          <w:rPr>
            <w:rStyle w:val="Hyperlink"/>
            <w:rFonts w:asciiTheme="minorHAnsi" w:hAnsiTheme="minorHAnsi" w:cstheme="minorHAnsi"/>
            <w:color w:val="auto"/>
            <w:u w:val="none"/>
          </w:rPr>
          <w:t>Appendix 2a</w:t>
        </w:r>
      </w:hyperlink>
      <w:r w:rsidR="0002494A" w:rsidRPr="0002494A">
        <w:rPr>
          <w:rFonts w:asciiTheme="minorHAnsi" w:hAnsiTheme="minorHAnsi" w:cstheme="minorHAnsi"/>
        </w:rPr>
        <w:t xml:space="preserve">. </w:t>
      </w:r>
      <w:r w:rsidRPr="00037AD4">
        <w:rPr>
          <w:rFonts w:asciiTheme="minorHAnsi" w:hAnsiTheme="minorHAnsi" w:cstheme="minorHAnsi"/>
        </w:rPr>
        <w:t xml:space="preserve">This generated 286 unique records; four additional records were identified through other sources (n=290). </w:t>
      </w:r>
    </w:p>
    <w:p w14:paraId="491AB6E0" w14:textId="77777777" w:rsidR="00B54D51" w:rsidRPr="00037AD4" w:rsidRDefault="00B54D51" w:rsidP="006C1EA1">
      <w:pPr>
        <w:rPr>
          <w:rFonts w:asciiTheme="minorHAnsi" w:hAnsiTheme="minorHAnsi" w:cstheme="minorHAnsi"/>
        </w:rPr>
      </w:pPr>
    </w:p>
    <w:p w14:paraId="20E681B9" w14:textId="77777777" w:rsidR="00B54D51" w:rsidRPr="00037AD4" w:rsidRDefault="00B54D51" w:rsidP="006C1EA1">
      <w:pPr>
        <w:rPr>
          <w:rFonts w:asciiTheme="minorHAnsi" w:hAnsiTheme="minorHAnsi" w:cstheme="minorHAnsi"/>
        </w:rPr>
      </w:pPr>
      <w:r w:rsidRPr="00037AD4">
        <w:rPr>
          <w:rFonts w:asciiTheme="minorHAnsi" w:hAnsiTheme="minorHAnsi" w:cstheme="minorHAnsi"/>
        </w:rPr>
        <w:t xml:space="preserve">The titles and abstracts were screened independently against the following pre-defined inclusion/exclusion criteria by both AK and HH. The study: investigated dementia populations (studies of elderly populations reporting a distinct subgroup with dementia were also included), collected EQ-5D-5L (studies that used EQ-5D-3L or EQ-VAS only were excluded), any study design was considered (including any papers from which psychometric information could be extracted) and were English language. This stage resulted in 226 records being excluded. The remaining 64 articles were screened in full by AK and HH, and any discrepancies were discussed before deciding whether the record(s) should be included within the review. </w:t>
      </w:r>
    </w:p>
    <w:p w14:paraId="460B6196" w14:textId="77777777" w:rsidR="00B54D51" w:rsidRPr="00037AD4" w:rsidRDefault="00B54D51" w:rsidP="006C1EA1">
      <w:pPr>
        <w:rPr>
          <w:rFonts w:asciiTheme="minorHAnsi" w:hAnsiTheme="minorHAnsi" w:cstheme="minorHAnsi"/>
        </w:rPr>
      </w:pPr>
    </w:p>
    <w:p w14:paraId="3DAB86FE" w14:textId="77777777" w:rsidR="00B54D51" w:rsidRPr="00322CFC" w:rsidRDefault="00B54D51" w:rsidP="006C1EA1">
      <w:pPr>
        <w:rPr>
          <w:rFonts w:asciiTheme="minorHAnsi" w:hAnsiTheme="minorHAnsi" w:cstheme="minorHAnsi"/>
        </w:rPr>
      </w:pPr>
      <w:r w:rsidRPr="00037AD4">
        <w:rPr>
          <w:rFonts w:asciiTheme="minorHAnsi" w:hAnsiTheme="minorHAnsi" w:cstheme="minorHAnsi"/>
        </w:rPr>
        <w:t xml:space="preserve">A data extraction form was used which collected information such as: study aim, country, stage of dementia severity, language of EQ-5D, mode of administration as well as specific psychometric details. To ensure consistency in the quality and standard of the data extracted, the three reviewers: AK, HH and DR independently double extracted the psychometric data for three of the papers. This step enabled discussion prior to further data extraction, thereby ensuring a standard approach was adopted for the remaining papers. The remaining papers were then equally divided, and single </w:t>
      </w:r>
      <w:r w:rsidRPr="00322CFC">
        <w:rPr>
          <w:rFonts w:asciiTheme="minorHAnsi" w:hAnsiTheme="minorHAnsi" w:cstheme="minorHAnsi"/>
        </w:rPr>
        <w:t xml:space="preserve">extracted by both HH and DR (total n=20, a further two texts were later excluded (as shown </w:t>
      </w:r>
      <w:r w:rsidRPr="00322CFC">
        <w:rPr>
          <w:rFonts w:asciiTheme="minorHAnsi" w:hAnsiTheme="minorHAnsi" w:cstheme="minorHAnsi"/>
          <w:color w:val="000000" w:themeColor="text1"/>
        </w:rPr>
        <w:t xml:space="preserve">in </w:t>
      </w:r>
      <w:hyperlink w:anchor="Figure1" w:history="1">
        <w:r w:rsidRPr="00322CFC">
          <w:rPr>
            <w:rStyle w:val="Hyperlink"/>
            <w:rFonts w:asciiTheme="minorHAnsi" w:hAnsiTheme="minorHAnsi" w:cstheme="minorHAnsi"/>
            <w:color w:val="000000" w:themeColor="text1"/>
            <w:u w:val="none"/>
          </w:rPr>
          <w:t>Figure 1</w:t>
        </w:r>
      </w:hyperlink>
      <w:r w:rsidRPr="00322CFC">
        <w:rPr>
          <w:rFonts w:asciiTheme="minorHAnsi" w:hAnsiTheme="minorHAnsi" w:cstheme="minorHAnsi"/>
          <w:color w:val="000000" w:themeColor="text1"/>
        </w:rPr>
        <w:t xml:space="preserve">)). The outcome of the literature search and screening is shown in </w:t>
      </w:r>
      <w:hyperlink w:anchor="Figure1" w:history="1">
        <w:r w:rsidRPr="00322CFC">
          <w:rPr>
            <w:rStyle w:val="Hyperlink"/>
            <w:rFonts w:asciiTheme="minorHAnsi" w:hAnsiTheme="minorHAnsi" w:cstheme="minorHAnsi"/>
            <w:color w:val="000000" w:themeColor="text1"/>
            <w:u w:val="none"/>
          </w:rPr>
          <w:t>Figure 1</w:t>
        </w:r>
      </w:hyperlink>
      <w:r w:rsidRPr="00322CFC">
        <w:rPr>
          <w:rFonts w:asciiTheme="minorHAnsi" w:hAnsiTheme="minorHAnsi" w:cstheme="minorHAnsi"/>
          <w:color w:val="000000" w:themeColor="text1"/>
        </w:rPr>
        <w:t xml:space="preserve">. </w:t>
      </w:r>
    </w:p>
    <w:p w14:paraId="78668D65" w14:textId="77777777" w:rsidR="00B54D51" w:rsidRPr="00037AD4" w:rsidRDefault="00B54D51" w:rsidP="006C1EA1">
      <w:pPr>
        <w:rPr>
          <w:rFonts w:asciiTheme="minorHAnsi" w:hAnsiTheme="minorHAnsi" w:cstheme="minorHAnsi"/>
        </w:rPr>
      </w:pPr>
    </w:p>
    <w:p w14:paraId="114B54B4" w14:textId="77777777" w:rsidR="00B54D51" w:rsidRPr="00037AD4" w:rsidRDefault="00B54D51" w:rsidP="00D0494F">
      <w:pPr>
        <w:pStyle w:val="Heading3"/>
      </w:pPr>
      <w:bookmarkStart w:id="84" w:name="_Toc175742262"/>
      <w:r w:rsidRPr="00037AD4">
        <w:t>2.3.3 Methods of assessing psychometric performance</w:t>
      </w:r>
      <w:bookmarkEnd w:id="84"/>
      <w:r w:rsidRPr="00037AD4">
        <w:t xml:space="preserve"> </w:t>
      </w:r>
    </w:p>
    <w:p w14:paraId="11FD3E5B" w14:textId="77777777" w:rsidR="00B54D51" w:rsidRPr="00037AD4" w:rsidRDefault="00B54D51" w:rsidP="0013234E">
      <w:pPr>
        <w:rPr>
          <w:rFonts w:asciiTheme="minorHAnsi" w:hAnsiTheme="minorHAnsi" w:cstheme="minorHAnsi"/>
        </w:rPr>
      </w:pPr>
    </w:p>
    <w:p w14:paraId="3B4DEF0B" w14:textId="77777777" w:rsidR="00B54D51" w:rsidRPr="00037AD4" w:rsidRDefault="00B54D51" w:rsidP="0013234E">
      <w:pPr>
        <w:rPr>
          <w:rFonts w:asciiTheme="minorHAnsi" w:hAnsiTheme="minorHAnsi" w:cstheme="minorHAnsi"/>
        </w:rPr>
      </w:pPr>
      <w:r w:rsidRPr="00037AD4">
        <w:rPr>
          <w:rFonts w:asciiTheme="minorHAnsi" w:hAnsiTheme="minorHAnsi" w:cstheme="minorHAnsi"/>
        </w:rPr>
        <w:t>To capture the psychometric properties of EQ-5D-5L, summary data reported within the publications related to known-group validity, convergent validity, responsiveness, reliability and acceptability were extracted, the definitions of which are described below.</w:t>
      </w:r>
    </w:p>
    <w:p w14:paraId="37D84580" w14:textId="77777777" w:rsidR="00B54D51" w:rsidRPr="00037AD4" w:rsidRDefault="00B54D51" w:rsidP="0013234E">
      <w:pPr>
        <w:rPr>
          <w:rFonts w:asciiTheme="minorHAnsi" w:hAnsiTheme="minorHAnsi" w:cstheme="minorHAnsi"/>
        </w:rPr>
      </w:pPr>
    </w:p>
    <w:p w14:paraId="7EEF046E" w14:textId="77777777" w:rsidR="00B54D51" w:rsidRPr="00037AD4" w:rsidRDefault="00B54D51" w:rsidP="00D0494F">
      <w:pPr>
        <w:pStyle w:val="Heading4"/>
        <w:rPr>
          <w:i/>
        </w:rPr>
      </w:pPr>
      <w:r w:rsidRPr="00037AD4">
        <w:t xml:space="preserve">2.3.3.1 Known-group validity </w:t>
      </w:r>
    </w:p>
    <w:p w14:paraId="3289F45C" w14:textId="77777777" w:rsidR="00B54D51" w:rsidRPr="00037AD4" w:rsidRDefault="00B54D51" w:rsidP="0013234E">
      <w:pPr>
        <w:rPr>
          <w:rFonts w:asciiTheme="minorHAnsi" w:hAnsiTheme="minorHAnsi" w:cstheme="minorHAnsi"/>
        </w:rPr>
      </w:pPr>
    </w:p>
    <w:p w14:paraId="717045C2" w14:textId="77777777" w:rsidR="00B54D51" w:rsidRPr="00037AD4" w:rsidRDefault="00B54D51" w:rsidP="00077F15">
      <w:pPr>
        <w:rPr>
          <w:rFonts w:asciiTheme="minorHAnsi" w:hAnsiTheme="minorHAnsi" w:cstheme="minorHAnsi"/>
        </w:rPr>
      </w:pPr>
      <w:r w:rsidRPr="00037AD4">
        <w:rPr>
          <w:rFonts w:asciiTheme="minorHAnsi" w:hAnsiTheme="minorHAnsi" w:cstheme="minorHAnsi"/>
        </w:rPr>
        <w:t xml:space="preserve">Known-group validity assesses the instrument's ability to distinguish between distinct groups with different degrees of severity. To investigate this, a hypothesis is first formulated, testing a measure of severity—for example, people with more significant functional impairments are expected to exhibit lower QoL. Known-group validity is confirmed if a statistically significant difference is reported across known-groups, aligning with prior expectations. Standardised effect sizes (ES) can be used to quantify known-group validity </w:t>
      </w:r>
      <w:r>
        <w:rPr>
          <w:rFonts w:asciiTheme="minorHAnsi" w:hAnsiTheme="minorHAnsi" w:cstheme="minorHAnsi"/>
          <w:noProof/>
        </w:rPr>
        <w:t>(Cohen, 2013)</w:t>
      </w:r>
      <w:r w:rsidRPr="00037AD4">
        <w:rPr>
          <w:rFonts w:asciiTheme="minorHAnsi" w:hAnsiTheme="minorHAnsi" w:cstheme="minorHAnsi"/>
        </w:rPr>
        <w:t xml:space="preserve">. </w:t>
      </w:r>
    </w:p>
    <w:p w14:paraId="7B312998" w14:textId="77777777" w:rsidR="00B54D51" w:rsidRPr="00037AD4" w:rsidRDefault="00B54D51" w:rsidP="00077F15">
      <w:pPr>
        <w:rPr>
          <w:rFonts w:asciiTheme="minorHAnsi" w:hAnsiTheme="minorHAnsi" w:cstheme="minorHAnsi"/>
        </w:rPr>
      </w:pPr>
    </w:p>
    <w:p w14:paraId="2815B1D1" w14:textId="77777777" w:rsidR="00B54D51" w:rsidRPr="00037AD4" w:rsidRDefault="00B54D51" w:rsidP="00D0494F">
      <w:pPr>
        <w:pStyle w:val="Heading4"/>
        <w:rPr>
          <w:i/>
        </w:rPr>
      </w:pPr>
      <w:r w:rsidRPr="00037AD4">
        <w:t xml:space="preserve">2.3.3.2 Convergent validity </w:t>
      </w:r>
    </w:p>
    <w:p w14:paraId="635373AB" w14:textId="77777777" w:rsidR="00B54D51" w:rsidRPr="00037AD4" w:rsidRDefault="00B54D51" w:rsidP="0013234E">
      <w:pPr>
        <w:pStyle w:val="Heading4"/>
        <w:rPr>
          <w:rFonts w:asciiTheme="minorHAnsi" w:hAnsiTheme="minorHAnsi" w:cstheme="minorHAnsi"/>
        </w:rPr>
      </w:pPr>
    </w:p>
    <w:p w14:paraId="138951AC" w14:textId="77777777" w:rsidR="00B54D51" w:rsidRPr="00037AD4" w:rsidRDefault="00B54D51" w:rsidP="0013234E">
      <w:pPr>
        <w:rPr>
          <w:rFonts w:asciiTheme="minorHAnsi" w:hAnsiTheme="minorHAnsi" w:cstheme="minorHAnsi"/>
        </w:rPr>
      </w:pPr>
      <w:r w:rsidRPr="00037AD4">
        <w:rPr>
          <w:rFonts w:asciiTheme="minorHAnsi" w:hAnsiTheme="minorHAnsi" w:cstheme="minorHAnsi"/>
        </w:rPr>
        <w:t xml:space="preserve">Convergent validity assesses the relationship between the target measure (such as EQ-5D) and other related measures through statistically significant regression analyses, or more commonly via correlation coefficients. This review used standardised thresholds that consider a correlation coefficient of &gt;0.70 as taken as strong evidence of convergent validity, with the additional categories :&lt;0.40—weak correlation and moderate correlation fell between 0.41 and 0.70 </w:t>
      </w:r>
      <w:r>
        <w:rPr>
          <w:rFonts w:asciiTheme="minorHAnsi" w:hAnsiTheme="minorHAnsi" w:cstheme="minorHAnsi"/>
          <w:noProof/>
        </w:rPr>
        <w:t>(Fitzpatrick et al., 1998)</w:t>
      </w:r>
      <w:r w:rsidRPr="00037AD4">
        <w:rPr>
          <w:rFonts w:asciiTheme="minorHAnsi" w:hAnsiTheme="minorHAnsi" w:cstheme="minorHAnsi"/>
        </w:rPr>
        <w:t>. This assessment can be conducted at the item/dimension level or by using sum scores of relevant scales when applicable.</w:t>
      </w:r>
    </w:p>
    <w:p w14:paraId="160EF234" w14:textId="77777777" w:rsidR="00B54D51" w:rsidRPr="00037AD4" w:rsidRDefault="00B54D51" w:rsidP="0013234E">
      <w:pPr>
        <w:rPr>
          <w:rFonts w:asciiTheme="minorHAnsi" w:hAnsiTheme="minorHAnsi" w:cstheme="minorHAnsi"/>
        </w:rPr>
      </w:pPr>
    </w:p>
    <w:p w14:paraId="566E69A4" w14:textId="77777777" w:rsidR="00B54D51" w:rsidRPr="00037AD4" w:rsidRDefault="00B54D51" w:rsidP="00D0494F">
      <w:pPr>
        <w:pStyle w:val="Heading4"/>
        <w:rPr>
          <w:i/>
        </w:rPr>
      </w:pPr>
      <w:r w:rsidRPr="00037AD4">
        <w:t xml:space="preserve">2.3.3.3 Responsiveness </w:t>
      </w:r>
    </w:p>
    <w:p w14:paraId="64D78D9F" w14:textId="77777777" w:rsidR="00B54D51" w:rsidRPr="00037AD4" w:rsidRDefault="00B54D51" w:rsidP="0013234E">
      <w:pPr>
        <w:rPr>
          <w:rFonts w:asciiTheme="minorHAnsi" w:hAnsiTheme="minorHAnsi" w:cstheme="minorHAnsi"/>
        </w:rPr>
      </w:pPr>
    </w:p>
    <w:p w14:paraId="3C60ECD2" w14:textId="77777777" w:rsidR="00B54D51" w:rsidRPr="00037AD4" w:rsidRDefault="00B54D51" w:rsidP="0013234E">
      <w:pPr>
        <w:rPr>
          <w:rFonts w:asciiTheme="minorHAnsi" w:hAnsiTheme="minorHAnsi" w:cstheme="minorHAnsi"/>
        </w:rPr>
      </w:pPr>
      <w:r w:rsidRPr="00037AD4">
        <w:rPr>
          <w:rFonts w:asciiTheme="minorHAnsi" w:hAnsiTheme="minorHAnsi" w:cstheme="minorHAnsi"/>
        </w:rPr>
        <w:t>Responsiveness describes the instrument’s ability to measure changes over time in circumstances where change is expected, for example clinical deterioration of a condition or post-treatment. Typically, responsiveness is evaluated by analysing the instrument's sensitivity to change using statistical methods such as the standardised response mean (SRM) and standardised effect sizes (SES). The SRM is calculated by dividing the mean change on the measure by the standard deviation of the change, while SES is estimated by dividing the mean difference by the standard deviation of one of the two groups. A statistically significant change over time indicates the measure's responsiveness.</w:t>
      </w:r>
    </w:p>
    <w:p w14:paraId="6D6A08E1" w14:textId="77777777" w:rsidR="00B54D51" w:rsidRPr="00037AD4" w:rsidRDefault="00B54D51" w:rsidP="0013234E">
      <w:pPr>
        <w:rPr>
          <w:rFonts w:asciiTheme="minorHAnsi" w:hAnsiTheme="minorHAnsi" w:cstheme="minorHAnsi"/>
        </w:rPr>
      </w:pPr>
    </w:p>
    <w:p w14:paraId="17E3A2B7" w14:textId="77777777" w:rsidR="00B54D51" w:rsidRPr="00037AD4" w:rsidRDefault="00B54D51" w:rsidP="00D0494F">
      <w:pPr>
        <w:pStyle w:val="Heading4"/>
        <w:rPr>
          <w:i/>
        </w:rPr>
      </w:pPr>
      <w:r w:rsidRPr="00037AD4">
        <w:t xml:space="preserve">2.3.3.4 Reliability </w:t>
      </w:r>
    </w:p>
    <w:p w14:paraId="12E60D71" w14:textId="77777777" w:rsidR="00B54D51" w:rsidRPr="00037AD4" w:rsidRDefault="00B54D51" w:rsidP="0013234E">
      <w:pPr>
        <w:rPr>
          <w:rFonts w:asciiTheme="minorHAnsi" w:hAnsiTheme="minorHAnsi" w:cstheme="minorHAnsi"/>
        </w:rPr>
      </w:pPr>
    </w:p>
    <w:p w14:paraId="1E9E5C0E" w14:textId="77777777" w:rsidR="00B54D51" w:rsidRPr="00037AD4" w:rsidRDefault="00B54D51" w:rsidP="0013234E">
      <w:pPr>
        <w:rPr>
          <w:rFonts w:asciiTheme="minorHAnsi" w:hAnsiTheme="minorHAnsi" w:cstheme="minorHAnsi"/>
        </w:rPr>
      </w:pPr>
      <w:r w:rsidRPr="00037AD4">
        <w:rPr>
          <w:rFonts w:asciiTheme="minorHAnsi" w:hAnsiTheme="minorHAnsi" w:cstheme="minorHAnsi"/>
        </w:rPr>
        <w:t xml:space="preserve">There are three key types of reliability. Test-retest reliability examines the ability of the instrument to generate consistent values in cases where no changes in condition are expected or observed. Inter-rater reliability describes whether different assessors completing the measure produce consistent values. Internal consistency describes the consistency of responses across items in a multiple-item instrument where the underlying construct is the same. Intra-class correlation coefficients (ICC) statistically quantify the degree of agreement between different sets of measurements and are often used to measure both test-retest and inter-rater reliability. </w:t>
      </w:r>
    </w:p>
    <w:p w14:paraId="3C3E3ACF" w14:textId="77777777" w:rsidR="00B54D51" w:rsidRDefault="00B54D51" w:rsidP="0013234E">
      <w:pPr>
        <w:rPr>
          <w:rFonts w:asciiTheme="minorHAnsi" w:hAnsiTheme="minorHAnsi" w:cstheme="minorHAnsi"/>
        </w:rPr>
      </w:pPr>
    </w:p>
    <w:p w14:paraId="4984070E" w14:textId="77777777" w:rsidR="00D75792" w:rsidRPr="00037AD4" w:rsidRDefault="00D75792" w:rsidP="0013234E">
      <w:pPr>
        <w:rPr>
          <w:rFonts w:asciiTheme="minorHAnsi" w:hAnsiTheme="minorHAnsi" w:cstheme="minorHAnsi"/>
        </w:rPr>
      </w:pPr>
    </w:p>
    <w:p w14:paraId="3A62FA1B" w14:textId="77777777" w:rsidR="00B54D51" w:rsidRPr="00037AD4" w:rsidRDefault="00B54D51" w:rsidP="00D0494F">
      <w:pPr>
        <w:pStyle w:val="Heading4"/>
        <w:rPr>
          <w:i/>
        </w:rPr>
      </w:pPr>
      <w:r w:rsidRPr="00037AD4">
        <w:lastRenderedPageBreak/>
        <w:t>2.3.3.5 Acceptability and feasibility</w:t>
      </w:r>
    </w:p>
    <w:p w14:paraId="0221AEA9" w14:textId="77777777" w:rsidR="00B54D51" w:rsidRPr="00037AD4" w:rsidRDefault="00B54D51" w:rsidP="0013234E">
      <w:pPr>
        <w:rPr>
          <w:rFonts w:asciiTheme="minorHAnsi" w:hAnsiTheme="minorHAnsi" w:cstheme="minorHAnsi"/>
        </w:rPr>
      </w:pPr>
    </w:p>
    <w:p w14:paraId="61363C7E" w14:textId="77777777" w:rsidR="00B54D51" w:rsidRPr="00037AD4" w:rsidRDefault="00B54D51" w:rsidP="006C1EA1">
      <w:pPr>
        <w:rPr>
          <w:rFonts w:asciiTheme="minorHAnsi" w:hAnsiTheme="minorHAnsi" w:cstheme="minorHAnsi"/>
        </w:rPr>
      </w:pPr>
      <w:r w:rsidRPr="00037AD4">
        <w:rPr>
          <w:rFonts w:asciiTheme="minorHAnsi" w:hAnsiTheme="minorHAnsi" w:cstheme="minorHAnsi"/>
        </w:rPr>
        <w:t xml:space="preserve">Acceptability and feasibility refer to pragmatic aspects of instrument delivery, and how easy or difficult it is for the participants completing it. This includes factors such as: time taken to complete the measure, amount of missing data and whether guided instructions are required (or whether a participant can complete it independently). </w:t>
      </w:r>
    </w:p>
    <w:p w14:paraId="78BBA954" w14:textId="77777777" w:rsidR="00B54D51" w:rsidRPr="00037AD4" w:rsidRDefault="00B54D51" w:rsidP="00916330">
      <w:pPr>
        <w:rPr>
          <w:rFonts w:asciiTheme="minorHAnsi" w:hAnsiTheme="minorHAnsi" w:cstheme="minorHAnsi"/>
        </w:rPr>
      </w:pPr>
    </w:p>
    <w:p w14:paraId="525C0083" w14:textId="77777777" w:rsidR="00B54D51" w:rsidRPr="00037AD4" w:rsidRDefault="00B54D51" w:rsidP="00D0494F">
      <w:pPr>
        <w:pStyle w:val="Heading3"/>
      </w:pPr>
      <w:bookmarkStart w:id="85" w:name="_Toc175742263"/>
      <w:r w:rsidRPr="00037AD4">
        <w:t>2.3.4 Quality appraisal</w:t>
      </w:r>
      <w:bookmarkEnd w:id="85"/>
      <w:r w:rsidRPr="00037AD4">
        <w:t xml:space="preserve"> </w:t>
      </w:r>
    </w:p>
    <w:p w14:paraId="2E8C8B51" w14:textId="77777777" w:rsidR="00B54D51" w:rsidRPr="00037AD4" w:rsidRDefault="00B54D51" w:rsidP="00916330">
      <w:pPr>
        <w:rPr>
          <w:rFonts w:asciiTheme="minorHAnsi" w:hAnsiTheme="minorHAnsi" w:cstheme="minorHAnsi"/>
        </w:rPr>
      </w:pPr>
    </w:p>
    <w:p w14:paraId="28A35D10" w14:textId="5E4BE97A" w:rsidR="00B54D51" w:rsidRPr="00B84F44" w:rsidRDefault="00B54D51" w:rsidP="00916330">
      <w:pPr>
        <w:rPr>
          <w:rFonts w:asciiTheme="minorHAnsi" w:hAnsiTheme="minorHAnsi" w:cstheme="minorHAnsi"/>
          <w:color w:val="000000" w:themeColor="text1"/>
        </w:rPr>
      </w:pPr>
      <w:r w:rsidRPr="00037AD4">
        <w:rPr>
          <w:rFonts w:asciiTheme="minorHAnsi" w:hAnsiTheme="minorHAnsi" w:cstheme="minorHAnsi"/>
        </w:rPr>
        <w:t xml:space="preserve">This review considered all study types, including clinical studies, cost-effectiveness analyses, and observational studies. Rather than relying on existing quality appraisal tools, which are often tailored to specific study types, the standardised GRADE assessment tool was adopted, serving as a less formal quality appraisal of the papers </w:t>
      </w:r>
      <w:r>
        <w:rPr>
          <w:rFonts w:asciiTheme="minorHAnsi" w:hAnsiTheme="minorHAnsi" w:cstheme="minorHAnsi"/>
          <w:noProof/>
        </w:rPr>
        <w:t>(Meader et al., 2014)</w:t>
      </w:r>
      <w:r w:rsidRPr="00037AD4">
        <w:rPr>
          <w:rFonts w:asciiTheme="minorHAnsi" w:hAnsiTheme="minorHAnsi" w:cstheme="minorHAnsi"/>
        </w:rPr>
        <w:t xml:space="preserve">. The assessment involved 11 questions relating to population characteristics, study sample size, and outcome administration methods, along with considerations of analysis details, data quality, and discussion of selection bias. Each question received a score, and the total score was used to categorise papers as either high, medium or low quality (additional details are reported </w:t>
      </w:r>
      <w:r w:rsidRPr="00037AD4">
        <w:rPr>
          <w:rFonts w:asciiTheme="minorHAnsi" w:hAnsiTheme="minorHAnsi" w:cstheme="minorHAnsi"/>
          <w:color w:val="000000" w:themeColor="text1"/>
        </w:rPr>
        <w:t xml:space="preserve">in </w:t>
      </w:r>
      <w:hyperlink w:anchor="_Appendix_2b_Quality" w:history="1">
        <w:r w:rsidRPr="0002494A">
          <w:rPr>
            <w:rStyle w:val="Hyperlink"/>
            <w:rFonts w:asciiTheme="minorHAnsi" w:hAnsiTheme="minorHAnsi" w:cstheme="minorHAnsi"/>
            <w:color w:val="auto"/>
            <w:u w:val="none"/>
          </w:rPr>
          <w:t>Appendix 2</w:t>
        </w:r>
        <w:r w:rsidR="0002494A" w:rsidRPr="0002494A">
          <w:rPr>
            <w:rStyle w:val="Hyperlink"/>
            <w:rFonts w:asciiTheme="minorHAnsi" w:hAnsiTheme="minorHAnsi" w:cstheme="minorHAnsi"/>
            <w:color w:val="auto"/>
            <w:u w:val="none"/>
          </w:rPr>
          <w:t>b</w:t>
        </w:r>
      </w:hyperlink>
      <w:r w:rsidRPr="0002494A">
        <w:rPr>
          <w:rFonts w:asciiTheme="minorHAnsi" w:hAnsiTheme="minorHAnsi" w:cstheme="minorHAnsi"/>
        </w:rPr>
        <w:t>).</w:t>
      </w:r>
    </w:p>
    <w:p w14:paraId="6DFAFBC4" w14:textId="77777777" w:rsidR="00B84F44" w:rsidRDefault="00B84F44" w:rsidP="00916330">
      <w:pPr>
        <w:rPr>
          <w:rFonts w:asciiTheme="minorHAnsi" w:hAnsiTheme="minorHAnsi" w:cstheme="minorHAnsi"/>
          <w:b/>
          <w:bCs/>
          <w:i/>
          <w:iCs/>
        </w:rPr>
      </w:pPr>
      <w:bookmarkStart w:id="86" w:name="Figure1"/>
    </w:p>
    <w:p w14:paraId="2D9461FB" w14:textId="77777777" w:rsidR="00B84F44" w:rsidRDefault="00B84F44" w:rsidP="00916330">
      <w:pPr>
        <w:rPr>
          <w:rFonts w:asciiTheme="minorHAnsi" w:hAnsiTheme="minorHAnsi" w:cstheme="minorHAnsi"/>
          <w:b/>
          <w:bCs/>
          <w:i/>
          <w:iCs/>
        </w:rPr>
      </w:pPr>
    </w:p>
    <w:p w14:paraId="2CB74C89" w14:textId="77777777" w:rsidR="00B84F44" w:rsidRDefault="00B84F44" w:rsidP="00916330">
      <w:pPr>
        <w:rPr>
          <w:rFonts w:asciiTheme="minorHAnsi" w:hAnsiTheme="minorHAnsi" w:cstheme="minorHAnsi"/>
          <w:b/>
          <w:bCs/>
          <w:i/>
          <w:iCs/>
        </w:rPr>
      </w:pPr>
    </w:p>
    <w:p w14:paraId="0CCE0590" w14:textId="77777777" w:rsidR="00B84F44" w:rsidRDefault="00B84F44" w:rsidP="00916330">
      <w:pPr>
        <w:rPr>
          <w:rFonts w:asciiTheme="minorHAnsi" w:hAnsiTheme="minorHAnsi" w:cstheme="minorHAnsi"/>
          <w:b/>
          <w:bCs/>
          <w:i/>
          <w:iCs/>
        </w:rPr>
      </w:pPr>
    </w:p>
    <w:p w14:paraId="72564FA0" w14:textId="77777777" w:rsidR="00B84F44" w:rsidRDefault="00B84F44" w:rsidP="00916330">
      <w:pPr>
        <w:rPr>
          <w:rFonts w:asciiTheme="minorHAnsi" w:hAnsiTheme="minorHAnsi" w:cstheme="minorHAnsi"/>
          <w:b/>
          <w:bCs/>
          <w:i/>
          <w:iCs/>
        </w:rPr>
      </w:pPr>
    </w:p>
    <w:p w14:paraId="6311A8D1" w14:textId="77777777" w:rsidR="00B84F44" w:rsidRDefault="00B84F44" w:rsidP="00916330">
      <w:pPr>
        <w:rPr>
          <w:rFonts w:asciiTheme="minorHAnsi" w:hAnsiTheme="minorHAnsi" w:cstheme="minorHAnsi"/>
          <w:b/>
          <w:bCs/>
          <w:i/>
          <w:iCs/>
        </w:rPr>
      </w:pPr>
    </w:p>
    <w:p w14:paraId="345FA226" w14:textId="77777777" w:rsidR="00B84F44" w:rsidRDefault="00B84F44" w:rsidP="00916330">
      <w:pPr>
        <w:rPr>
          <w:rFonts w:asciiTheme="minorHAnsi" w:hAnsiTheme="minorHAnsi" w:cstheme="minorHAnsi"/>
          <w:b/>
          <w:bCs/>
          <w:i/>
          <w:iCs/>
        </w:rPr>
      </w:pPr>
    </w:p>
    <w:p w14:paraId="48DE007E" w14:textId="77777777" w:rsidR="00B84F44" w:rsidRDefault="00B84F44" w:rsidP="00916330">
      <w:pPr>
        <w:rPr>
          <w:rFonts w:asciiTheme="minorHAnsi" w:hAnsiTheme="minorHAnsi" w:cstheme="minorHAnsi"/>
          <w:b/>
          <w:bCs/>
          <w:i/>
          <w:iCs/>
        </w:rPr>
      </w:pPr>
    </w:p>
    <w:p w14:paraId="48F1B9BD" w14:textId="77777777" w:rsidR="00B84F44" w:rsidRDefault="00B84F44" w:rsidP="00916330">
      <w:pPr>
        <w:rPr>
          <w:rFonts w:asciiTheme="minorHAnsi" w:hAnsiTheme="minorHAnsi" w:cstheme="minorHAnsi"/>
          <w:b/>
          <w:bCs/>
          <w:i/>
          <w:iCs/>
        </w:rPr>
      </w:pPr>
    </w:p>
    <w:p w14:paraId="5A356390" w14:textId="77777777" w:rsidR="00B84F44" w:rsidRDefault="00B84F44" w:rsidP="00916330">
      <w:pPr>
        <w:rPr>
          <w:rFonts w:asciiTheme="minorHAnsi" w:hAnsiTheme="minorHAnsi" w:cstheme="minorHAnsi"/>
          <w:b/>
          <w:bCs/>
          <w:i/>
          <w:iCs/>
        </w:rPr>
      </w:pPr>
    </w:p>
    <w:p w14:paraId="320C2B40" w14:textId="77777777" w:rsidR="00B84F44" w:rsidRDefault="00B84F44" w:rsidP="00916330">
      <w:pPr>
        <w:rPr>
          <w:rFonts w:asciiTheme="minorHAnsi" w:hAnsiTheme="minorHAnsi" w:cstheme="minorHAnsi"/>
          <w:b/>
          <w:bCs/>
          <w:i/>
          <w:iCs/>
        </w:rPr>
      </w:pPr>
    </w:p>
    <w:p w14:paraId="202AF7FB" w14:textId="77777777" w:rsidR="00B84F44" w:rsidRDefault="00B84F44" w:rsidP="00916330">
      <w:pPr>
        <w:rPr>
          <w:rFonts w:asciiTheme="minorHAnsi" w:hAnsiTheme="minorHAnsi" w:cstheme="minorHAnsi"/>
          <w:b/>
          <w:bCs/>
          <w:i/>
          <w:iCs/>
        </w:rPr>
      </w:pPr>
    </w:p>
    <w:p w14:paraId="3C496BAE" w14:textId="77777777" w:rsidR="00B84F44" w:rsidRDefault="00B84F44" w:rsidP="00916330">
      <w:pPr>
        <w:rPr>
          <w:rFonts w:asciiTheme="minorHAnsi" w:hAnsiTheme="minorHAnsi" w:cstheme="minorHAnsi"/>
          <w:b/>
          <w:bCs/>
          <w:i/>
          <w:iCs/>
        </w:rPr>
      </w:pPr>
    </w:p>
    <w:p w14:paraId="1EE5164F" w14:textId="77777777" w:rsidR="00B84F44" w:rsidRDefault="00B84F44" w:rsidP="00916330">
      <w:pPr>
        <w:rPr>
          <w:rFonts w:asciiTheme="minorHAnsi" w:hAnsiTheme="minorHAnsi" w:cstheme="minorHAnsi"/>
          <w:b/>
          <w:bCs/>
          <w:i/>
          <w:iCs/>
        </w:rPr>
      </w:pPr>
    </w:p>
    <w:p w14:paraId="6816CFAB" w14:textId="77777777" w:rsidR="00B84F44" w:rsidRDefault="00B84F44" w:rsidP="00916330">
      <w:pPr>
        <w:rPr>
          <w:rFonts w:asciiTheme="minorHAnsi" w:hAnsiTheme="minorHAnsi" w:cstheme="minorHAnsi"/>
          <w:b/>
          <w:bCs/>
          <w:i/>
          <w:iCs/>
        </w:rPr>
      </w:pPr>
    </w:p>
    <w:p w14:paraId="3294CBBE" w14:textId="77777777" w:rsidR="00B84F44" w:rsidRDefault="00B84F44" w:rsidP="00916330">
      <w:pPr>
        <w:rPr>
          <w:rFonts w:asciiTheme="minorHAnsi" w:hAnsiTheme="minorHAnsi" w:cstheme="minorHAnsi"/>
          <w:b/>
          <w:bCs/>
          <w:i/>
          <w:iCs/>
        </w:rPr>
      </w:pPr>
    </w:p>
    <w:p w14:paraId="21039D7A" w14:textId="77777777" w:rsidR="00B84F44" w:rsidRDefault="00B84F44" w:rsidP="00916330">
      <w:pPr>
        <w:rPr>
          <w:rFonts w:asciiTheme="minorHAnsi" w:hAnsiTheme="minorHAnsi" w:cstheme="minorHAnsi"/>
          <w:b/>
          <w:bCs/>
          <w:i/>
          <w:iCs/>
        </w:rPr>
      </w:pPr>
    </w:p>
    <w:p w14:paraId="4AD4FC1B" w14:textId="77777777" w:rsidR="00B84F44" w:rsidRDefault="00B84F44" w:rsidP="00916330">
      <w:pPr>
        <w:rPr>
          <w:rFonts w:asciiTheme="minorHAnsi" w:hAnsiTheme="minorHAnsi" w:cstheme="minorHAnsi"/>
          <w:b/>
          <w:bCs/>
          <w:i/>
          <w:iCs/>
        </w:rPr>
      </w:pPr>
    </w:p>
    <w:p w14:paraId="758CBEF9" w14:textId="77777777" w:rsidR="00B84F44" w:rsidRDefault="00B84F44" w:rsidP="00916330">
      <w:pPr>
        <w:rPr>
          <w:rFonts w:asciiTheme="minorHAnsi" w:hAnsiTheme="minorHAnsi" w:cstheme="minorHAnsi"/>
          <w:b/>
          <w:bCs/>
          <w:i/>
          <w:iCs/>
        </w:rPr>
      </w:pPr>
    </w:p>
    <w:p w14:paraId="6A0323EA" w14:textId="77777777" w:rsidR="00B84F44" w:rsidRDefault="00B84F44" w:rsidP="00916330">
      <w:pPr>
        <w:rPr>
          <w:rFonts w:asciiTheme="minorHAnsi" w:hAnsiTheme="minorHAnsi" w:cstheme="minorHAnsi"/>
          <w:b/>
          <w:bCs/>
          <w:i/>
          <w:iCs/>
        </w:rPr>
      </w:pPr>
    </w:p>
    <w:p w14:paraId="474D7D93" w14:textId="77777777" w:rsidR="00B84F44" w:rsidRDefault="00B84F44" w:rsidP="00916330">
      <w:pPr>
        <w:rPr>
          <w:rFonts w:asciiTheme="minorHAnsi" w:hAnsiTheme="minorHAnsi" w:cstheme="minorHAnsi"/>
          <w:b/>
          <w:bCs/>
          <w:i/>
          <w:iCs/>
        </w:rPr>
      </w:pPr>
    </w:p>
    <w:p w14:paraId="19649165" w14:textId="77777777" w:rsidR="00B84F44" w:rsidRDefault="00B84F44" w:rsidP="00916330">
      <w:pPr>
        <w:rPr>
          <w:rFonts w:asciiTheme="minorHAnsi" w:hAnsiTheme="minorHAnsi" w:cstheme="minorHAnsi"/>
          <w:b/>
          <w:bCs/>
          <w:i/>
          <w:iCs/>
        </w:rPr>
      </w:pPr>
    </w:p>
    <w:p w14:paraId="3935A99E" w14:textId="77777777" w:rsidR="00B84F44" w:rsidRDefault="00B84F44" w:rsidP="00916330">
      <w:pPr>
        <w:rPr>
          <w:rFonts w:asciiTheme="minorHAnsi" w:hAnsiTheme="minorHAnsi" w:cstheme="minorHAnsi"/>
          <w:b/>
          <w:bCs/>
          <w:i/>
          <w:iCs/>
        </w:rPr>
      </w:pPr>
    </w:p>
    <w:p w14:paraId="158C3A2C" w14:textId="77777777" w:rsidR="00D75792" w:rsidRDefault="00D75792" w:rsidP="00916330">
      <w:pPr>
        <w:rPr>
          <w:rFonts w:asciiTheme="minorHAnsi" w:hAnsiTheme="minorHAnsi" w:cstheme="minorHAnsi"/>
          <w:b/>
          <w:bCs/>
          <w:i/>
          <w:iCs/>
        </w:rPr>
      </w:pPr>
    </w:p>
    <w:p w14:paraId="0054D3FA" w14:textId="77777777" w:rsidR="00B84F44" w:rsidRDefault="00B84F44" w:rsidP="00916330">
      <w:pPr>
        <w:rPr>
          <w:rFonts w:asciiTheme="minorHAnsi" w:hAnsiTheme="minorHAnsi" w:cstheme="minorHAnsi"/>
          <w:b/>
          <w:bCs/>
          <w:i/>
          <w:iCs/>
        </w:rPr>
      </w:pPr>
    </w:p>
    <w:p w14:paraId="3FEDCB43" w14:textId="77777777" w:rsidR="00B84F44" w:rsidRDefault="00B84F44" w:rsidP="00916330">
      <w:pPr>
        <w:rPr>
          <w:rFonts w:asciiTheme="minorHAnsi" w:hAnsiTheme="minorHAnsi" w:cstheme="minorHAnsi"/>
          <w:b/>
          <w:bCs/>
          <w:i/>
          <w:iCs/>
        </w:rPr>
      </w:pPr>
    </w:p>
    <w:p w14:paraId="0F345D5A" w14:textId="77777777" w:rsidR="00B84F44" w:rsidRDefault="00B84F44" w:rsidP="00916330">
      <w:pPr>
        <w:rPr>
          <w:rFonts w:asciiTheme="minorHAnsi" w:hAnsiTheme="minorHAnsi" w:cstheme="minorHAnsi"/>
          <w:b/>
          <w:bCs/>
          <w:i/>
          <w:iCs/>
        </w:rPr>
      </w:pPr>
    </w:p>
    <w:p w14:paraId="509434A4" w14:textId="77777777" w:rsidR="00B84F44" w:rsidRDefault="00B84F44" w:rsidP="00916330">
      <w:pPr>
        <w:rPr>
          <w:rFonts w:asciiTheme="minorHAnsi" w:hAnsiTheme="minorHAnsi" w:cstheme="minorHAnsi"/>
          <w:b/>
          <w:bCs/>
          <w:i/>
          <w:iCs/>
        </w:rPr>
      </w:pPr>
    </w:p>
    <w:p w14:paraId="19E5F6ED" w14:textId="77777777" w:rsidR="00B84F44" w:rsidRDefault="00B84F44" w:rsidP="00916330">
      <w:pPr>
        <w:rPr>
          <w:rFonts w:asciiTheme="minorHAnsi" w:hAnsiTheme="minorHAnsi" w:cstheme="minorHAnsi"/>
          <w:b/>
          <w:bCs/>
          <w:i/>
          <w:iCs/>
        </w:rPr>
      </w:pPr>
    </w:p>
    <w:p w14:paraId="1E35FFBD" w14:textId="48AC6D32" w:rsidR="00B54D51" w:rsidRPr="00037AD4" w:rsidRDefault="00B54D51" w:rsidP="00916330">
      <w:pPr>
        <w:rPr>
          <w:rFonts w:asciiTheme="minorHAnsi" w:hAnsiTheme="minorHAnsi" w:cstheme="minorHAnsi"/>
          <w:b/>
          <w:bCs/>
          <w:i/>
          <w:iCs/>
        </w:rPr>
      </w:pPr>
      <w:r w:rsidRPr="00037AD4">
        <w:rPr>
          <w:rFonts w:asciiTheme="minorHAnsi" w:hAnsiTheme="minorHAnsi" w:cstheme="minorHAnsi"/>
          <w:b/>
          <w:bCs/>
          <w:i/>
          <w:iCs/>
        </w:rPr>
        <w:lastRenderedPageBreak/>
        <w:t xml:space="preserve">Figure 1, PRISMA flow diagram of screening and study selection process </w:t>
      </w:r>
    </w:p>
    <w:bookmarkEnd w:id="86"/>
    <w:p w14:paraId="18A0AFBB" w14:textId="77777777" w:rsidR="00B54D51" w:rsidRPr="00037AD4" w:rsidRDefault="00B54D51" w:rsidP="00916330">
      <w:pPr>
        <w:rPr>
          <w:rFonts w:asciiTheme="minorHAnsi" w:hAnsiTheme="minorHAnsi" w:cstheme="minorHAnsi"/>
          <w:b/>
          <w:bCs/>
          <w:u w:val="single"/>
        </w:rPr>
      </w:pPr>
    </w:p>
    <w:p w14:paraId="67826A01" w14:textId="77777777" w:rsidR="00B54D51" w:rsidRPr="00037AD4" w:rsidRDefault="00B54D51" w:rsidP="0013234E">
      <w:pPr>
        <w:tabs>
          <w:tab w:val="center" w:pos="1344"/>
          <w:tab w:val="right" w:pos="8306"/>
          <w:tab w:val="right" w:pos="13860"/>
        </w:tabs>
        <w:spacing w:line="360" w:lineRule="auto"/>
        <w:jc w:val="both"/>
        <w:rPr>
          <w:rFonts w:asciiTheme="minorHAnsi" w:hAnsiTheme="minorHAnsi" w:cstheme="minorHAnsi"/>
          <w:b/>
          <w:bCs/>
        </w:rPr>
      </w:pPr>
      <w:r w:rsidRPr="00037AD4">
        <w:rPr>
          <w:rFonts w:asciiTheme="minorHAnsi" w:hAnsiTheme="minorHAnsi" w:cstheme="minorHAnsi"/>
          <w:noProof/>
          <w:lang w:eastAsia="zh-CN"/>
        </w:rPr>
        <mc:AlternateContent>
          <mc:Choice Requires="wps">
            <w:drawing>
              <wp:anchor distT="0" distB="0" distL="114300" distR="114300" simplePos="0" relativeHeight="251660288" behindDoc="0" locked="1" layoutInCell="1" allowOverlap="1" wp14:anchorId="24C79B0A" wp14:editId="18939538">
                <wp:simplePos x="0" y="0"/>
                <wp:positionH relativeFrom="column">
                  <wp:posOffset>498475</wp:posOffset>
                </wp:positionH>
                <wp:positionV relativeFrom="paragraph">
                  <wp:posOffset>165735</wp:posOffset>
                </wp:positionV>
                <wp:extent cx="2228850" cy="928370"/>
                <wp:effectExtent l="0" t="0" r="19050" b="24130"/>
                <wp:wrapNone/>
                <wp:docPr id="18"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28850" cy="928370"/>
                        </a:xfrm>
                        <a:prstGeom prst="rect">
                          <a:avLst/>
                        </a:prstGeom>
                        <a:solidFill>
                          <a:srgbClr val="FFFFFF"/>
                        </a:solidFill>
                        <a:ln w="9525">
                          <a:solidFill>
                            <a:srgbClr val="000000"/>
                          </a:solidFill>
                          <a:miter lim="800000"/>
                          <a:headEnd/>
                          <a:tailEnd/>
                        </a:ln>
                      </wps:spPr>
                      <wps:txbx>
                        <w:txbxContent>
                          <w:p w14:paraId="432274D4" w14:textId="77777777" w:rsidR="00B54D51" w:rsidRDefault="00B54D51" w:rsidP="0013234E">
                            <w:pPr>
                              <w:jc w:val="center"/>
                              <w:rPr>
                                <w:rFonts w:asciiTheme="majorBidi" w:eastAsiaTheme="minorEastAsia" w:hAnsiTheme="majorBidi" w:cstheme="majorBidi"/>
                                <w:bCs/>
                                <w:color w:val="000000"/>
                              </w:rPr>
                            </w:pPr>
                            <w:r w:rsidRPr="000E5D96">
                              <w:rPr>
                                <w:rFonts w:asciiTheme="majorBidi" w:eastAsiaTheme="minorEastAsia" w:hAnsiTheme="majorBidi" w:cstheme="majorBidi"/>
                                <w:bCs/>
                                <w:color w:val="000000"/>
                              </w:rPr>
                              <w:t xml:space="preserve">Records identified through database searching after de-duplication </w:t>
                            </w:r>
                            <w:r w:rsidRPr="000E5D96">
                              <w:rPr>
                                <w:rFonts w:asciiTheme="majorBidi" w:eastAsiaTheme="minorEastAsia" w:hAnsiTheme="majorBidi" w:cstheme="majorBidi"/>
                                <w:bCs/>
                                <w:color w:val="000000"/>
                              </w:rPr>
                              <w:br/>
                              <w:t>(n = 286)</w:t>
                            </w:r>
                          </w:p>
                          <w:p w14:paraId="1BE8C69B" w14:textId="77777777" w:rsidR="00B54D51" w:rsidRDefault="00B54D51" w:rsidP="0013234E">
                            <w:pPr>
                              <w:jc w:val="center"/>
                              <w:rPr>
                                <w:rFonts w:asciiTheme="majorBidi" w:eastAsiaTheme="minorEastAsia" w:hAnsiTheme="majorBidi" w:cstheme="majorBidi"/>
                                <w:bCs/>
                                <w:color w:val="000000"/>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C79B0A" id="Rectangle 2" o:spid="_x0000_s1027" style="position:absolute;left:0;text-align:left;margin-left:39.25pt;margin-top:13.05pt;width:175.5pt;height:73.1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">
                <v:textbox inset=",7.2pt,,7.2pt">
                  <w:txbxContent>
                    <w:p w14:paraId="432274D4" w14:textId="77777777" w:rsidR="00B54D51" w:rsidRDefault="00B54D51" w:rsidP="0013234E">
                      <w:pPr>
                        <w:jc w:val="center"/>
                        <w:rPr>
                          <w:rFonts w:asciiTheme="majorBidi" w:eastAsiaTheme="minorEastAsia" w:hAnsiTheme="majorBidi" w:cstheme="majorBidi"/>
                          <w:bCs/>
                          <w:color w:val="000000"/>
                        </w:rPr>
                      </w:pPr>
                      <w:r w:rsidRPr="000E5D96">
                        <w:rPr>
                          <w:rFonts w:asciiTheme="majorBidi" w:eastAsiaTheme="minorEastAsia" w:hAnsiTheme="majorBidi" w:cstheme="majorBidi"/>
                          <w:bCs/>
                          <w:color w:val="000000"/>
                        </w:rPr>
                        <w:t xml:space="preserve">Records identified through database searching after de-duplication </w:t>
                      </w:r>
                      <w:r w:rsidRPr="000E5D96">
                        <w:rPr>
                          <w:rFonts w:asciiTheme="majorBidi" w:eastAsiaTheme="minorEastAsia" w:hAnsiTheme="majorBidi" w:cstheme="majorBidi"/>
                          <w:bCs/>
                          <w:color w:val="000000"/>
                        </w:rPr>
                        <w:br/>
                        <w:t>(n = 286)</w:t>
                      </w:r>
                    </w:p>
                    <w:p w14:paraId="1BE8C69B" w14:textId="77777777" w:rsidR="00B54D51" w:rsidRDefault="00B54D51" w:rsidP="0013234E">
                      <w:pPr>
                        <w:jc w:val="center"/>
                        <w:rPr>
                          <w:rFonts w:asciiTheme="majorBidi" w:eastAsiaTheme="minorEastAsia" w:hAnsiTheme="majorBidi" w:cstheme="majorBidi"/>
                          <w:bCs/>
                          <w:color w:val="000000"/>
                        </w:rPr>
                      </w:pPr>
                    </w:p>
                  </w:txbxContent>
                </v:textbox>
                <w10:anchorlock/>
              </v:rect>
            </w:pict>
          </mc:Fallback>
        </mc:AlternateContent>
      </w:r>
      <w:r w:rsidRPr="00037AD4">
        <w:rPr>
          <w:rFonts w:asciiTheme="minorHAnsi" w:hAnsiTheme="minorHAnsi" w:cstheme="minorHAnsi"/>
          <w:noProof/>
          <w:lang w:eastAsia="zh-CN"/>
        </w:rPr>
        <mc:AlternateContent>
          <mc:Choice Requires="wps">
            <w:drawing>
              <wp:anchor distT="0" distB="0" distL="114300" distR="114300" simplePos="0" relativeHeight="251661312" behindDoc="0" locked="1" layoutInCell="1" allowOverlap="1" wp14:anchorId="70D03CDD" wp14:editId="7FBBDAF9">
                <wp:simplePos x="0" y="0"/>
                <wp:positionH relativeFrom="column">
                  <wp:posOffset>-842010</wp:posOffset>
                </wp:positionH>
                <wp:positionV relativeFrom="paragraph">
                  <wp:posOffset>2310765</wp:posOffset>
                </wp:positionV>
                <wp:extent cx="1371600" cy="297180"/>
                <wp:effectExtent l="3810" t="0" r="22860" b="22860"/>
                <wp:wrapNone/>
                <wp:docPr id="19"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371600" cy="297180"/>
                        </a:xfrm>
                        <a:prstGeom prst="roundRect">
                          <a:avLst>
                            <a:gd name="adj" fmla="val 16667"/>
                          </a:avLst>
                        </a:prstGeom>
                        <a:solidFill>
                          <a:srgbClr val="CCECFF"/>
                        </a:solidFill>
                        <a:ln w="9525">
                          <a:solidFill>
                            <a:srgbClr val="000000"/>
                          </a:solidFill>
                          <a:round/>
                          <a:headEnd/>
                          <a:tailEnd/>
                        </a:ln>
                      </wps:spPr>
                      <wps:txbx>
                        <w:txbxContent>
                          <w:p w14:paraId="4996E85B" w14:textId="77777777" w:rsidR="00B54D51" w:rsidRPr="000E5D96" w:rsidRDefault="00B54D51" w:rsidP="0013234E">
                            <w:pPr>
                              <w:jc w:val="center"/>
                              <w:rPr>
                                <w:rFonts w:asciiTheme="majorBidi" w:hAnsiTheme="majorBidi" w:cstheme="majorBidi"/>
                                <w:b/>
                                <w:bCs/>
                              </w:rPr>
                            </w:pPr>
                            <w:r w:rsidRPr="000E5D96">
                              <w:rPr>
                                <w:rFonts w:asciiTheme="majorBidi" w:hAnsiTheme="majorBidi" w:cstheme="majorBidi"/>
                                <w:b/>
                                <w:bCs/>
                              </w:rPr>
                              <w:t>Screening</w:t>
                            </w:r>
                          </w:p>
                        </w:txbxContent>
                      </wps:txbx>
                      <wps:bodyPr rot="0" vert="vert270" wrap="square" lIns="45720" tIns="45720" rIns="4572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0D03CDD" id="AutoShape 3" o:spid="_x0000_s1028" style="position:absolute;left:0;text-align:left;margin-left:-66.3pt;margin-top:181.95pt;width:108pt;height:23.4pt;rotation:-90;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" fillcolor="#ccecff">
                <v:textbox style="layout-flow:vertical;mso-layout-flow-alt:bottom-to-top" inset="3.6pt,,3.6pt">
                  <w:txbxContent>
                    <w:p w14:paraId="4996E85B" w14:textId="77777777" w:rsidR="00B54D51" w:rsidRPr="000E5D96" w:rsidRDefault="00B54D51" w:rsidP="0013234E">
                      <w:pPr>
                        <w:jc w:val="center"/>
                        <w:rPr>
                          <w:rFonts w:asciiTheme="majorBidi" w:hAnsiTheme="majorBidi" w:cstheme="majorBidi"/>
                          <w:b/>
                          <w:bCs/>
                        </w:rPr>
                      </w:pPr>
                      <w:r w:rsidRPr="000E5D96">
                        <w:rPr>
                          <w:rFonts w:asciiTheme="majorBidi" w:hAnsiTheme="majorBidi" w:cstheme="majorBidi"/>
                          <w:b/>
                          <w:bCs/>
                        </w:rPr>
                        <w:t>Screening</w:t>
                      </w:r>
                    </w:p>
                  </w:txbxContent>
                </v:textbox>
                <w10:anchorlock/>
              </v:roundrect>
            </w:pict>
          </mc:Fallback>
        </mc:AlternateContent>
      </w:r>
      <w:r w:rsidRPr="00037AD4">
        <w:rPr>
          <w:rFonts w:asciiTheme="minorHAnsi" w:hAnsiTheme="minorHAnsi" w:cstheme="minorHAnsi"/>
          <w:noProof/>
          <w:lang w:eastAsia="zh-CN"/>
        </w:rPr>
        <mc:AlternateContent>
          <mc:Choice Requires="wps">
            <w:drawing>
              <wp:anchor distT="0" distB="0" distL="114300" distR="114300" simplePos="0" relativeHeight="251662336" behindDoc="0" locked="1" layoutInCell="1" allowOverlap="1" wp14:anchorId="64CC89DA" wp14:editId="15D152BB">
                <wp:simplePos x="0" y="0"/>
                <wp:positionH relativeFrom="column">
                  <wp:posOffset>-842010</wp:posOffset>
                </wp:positionH>
                <wp:positionV relativeFrom="paragraph">
                  <wp:posOffset>3910965</wp:posOffset>
                </wp:positionV>
                <wp:extent cx="1371600" cy="297180"/>
                <wp:effectExtent l="3810" t="0" r="22860" b="22860"/>
                <wp:wrapNone/>
                <wp:docPr id="20"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371600" cy="297180"/>
                        </a:xfrm>
                        <a:prstGeom prst="roundRect">
                          <a:avLst>
                            <a:gd name="adj" fmla="val 16667"/>
                          </a:avLst>
                        </a:prstGeom>
                        <a:solidFill>
                          <a:srgbClr val="CCECFF"/>
                        </a:solidFill>
                        <a:ln w="9525">
                          <a:solidFill>
                            <a:srgbClr val="000000"/>
                          </a:solidFill>
                          <a:round/>
                          <a:headEnd/>
                          <a:tailEnd/>
                        </a:ln>
                      </wps:spPr>
                      <wps:txbx>
                        <w:txbxContent>
                          <w:p w14:paraId="2C0B90F1" w14:textId="77777777" w:rsidR="00B54D51" w:rsidRPr="000E5D96" w:rsidRDefault="00B54D51" w:rsidP="0013234E">
                            <w:pPr>
                              <w:jc w:val="center"/>
                              <w:rPr>
                                <w:rFonts w:asciiTheme="majorBidi" w:hAnsiTheme="majorBidi" w:cstheme="majorBidi"/>
                                <w:b/>
                                <w:bCs/>
                              </w:rPr>
                            </w:pPr>
                            <w:r w:rsidRPr="000E5D96">
                              <w:rPr>
                                <w:rFonts w:asciiTheme="majorBidi" w:hAnsiTheme="majorBidi" w:cstheme="majorBidi"/>
                                <w:b/>
                                <w:bCs/>
                              </w:rPr>
                              <w:t>Eligibility</w:t>
                            </w:r>
                          </w:p>
                        </w:txbxContent>
                      </wps:txbx>
                      <wps:bodyPr rot="0" vert="vert270" wrap="square" lIns="45720" tIns="45720" rIns="4572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4CC89DA" id="AutoShape 4" o:spid="_x0000_s1029" style="position:absolute;left:0;text-align:left;margin-left:-66.3pt;margin-top:307.95pt;width:108pt;height:23.4pt;rotation:-90;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" fillcolor="#ccecff">
                <v:textbox style="layout-flow:vertical;mso-layout-flow-alt:bottom-to-top" inset="3.6pt,,3.6pt">
                  <w:txbxContent>
                    <w:p w14:paraId="2C0B90F1" w14:textId="77777777" w:rsidR="00B54D51" w:rsidRPr="000E5D96" w:rsidRDefault="00B54D51" w:rsidP="0013234E">
                      <w:pPr>
                        <w:jc w:val="center"/>
                        <w:rPr>
                          <w:rFonts w:asciiTheme="majorBidi" w:hAnsiTheme="majorBidi" w:cstheme="majorBidi"/>
                          <w:b/>
                          <w:bCs/>
                        </w:rPr>
                      </w:pPr>
                      <w:r w:rsidRPr="000E5D96">
                        <w:rPr>
                          <w:rFonts w:asciiTheme="majorBidi" w:hAnsiTheme="majorBidi" w:cstheme="majorBidi"/>
                          <w:b/>
                          <w:bCs/>
                        </w:rPr>
                        <w:t>Eligibility</w:t>
                      </w:r>
                    </w:p>
                  </w:txbxContent>
                </v:textbox>
                <w10:anchorlock/>
              </v:roundrect>
            </w:pict>
          </mc:Fallback>
        </mc:AlternateContent>
      </w:r>
      <w:r w:rsidRPr="00037AD4">
        <w:rPr>
          <w:rFonts w:asciiTheme="minorHAnsi" w:hAnsiTheme="minorHAnsi" w:cstheme="minorHAnsi"/>
          <w:noProof/>
          <w:lang w:eastAsia="zh-CN"/>
        </w:rPr>
        <mc:AlternateContent>
          <mc:Choice Requires="wps">
            <w:drawing>
              <wp:anchor distT="0" distB="0" distL="114300" distR="114300" simplePos="0" relativeHeight="251663360" behindDoc="0" locked="1" layoutInCell="1" allowOverlap="1" wp14:anchorId="1A5F7DF1" wp14:editId="5C6F4E41">
                <wp:simplePos x="0" y="0"/>
                <wp:positionH relativeFrom="column">
                  <wp:posOffset>-842010</wp:posOffset>
                </wp:positionH>
                <wp:positionV relativeFrom="paragraph">
                  <wp:posOffset>710565</wp:posOffset>
                </wp:positionV>
                <wp:extent cx="1371600" cy="297180"/>
                <wp:effectExtent l="3810" t="0" r="22860" b="22860"/>
                <wp:wrapNone/>
                <wp:docPr id="21"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371600" cy="297180"/>
                        </a:xfrm>
                        <a:prstGeom prst="roundRect">
                          <a:avLst>
                            <a:gd name="adj" fmla="val 16667"/>
                          </a:avLst>
                        </a:prstGeom>
                        <a:solidFill>
                          <a:srgbClr val="CCECFF"/>
                        </a:solidFill>
                        <a:ln w="9525">
                          <a:solidFill>
                            <a:srgbClr val="000000"/>
                          </a:solidFill>
                          <a:round/>
                          <a:headEnd/>
                          <a:tailEnd/>
                        </a:ln>
                      </wps:spPr>
                      <wps:txbx>
                        <w:txbxContent>
                          <w:p w14:paraId="4DB4875B" w14:textId="77777777" w:rsidR="00B54D51" w:rsidRPr="000E5D96" w:rsidRDefault="00B54D51" w:rsidP="0013234E">
                            <w:pPr>
                              <w:jc w:val="center"/>
                              <w:rPr>
                                <w:rFonts w:asciiTheme="majorBidi" w:hAnsiTheme="majorBidi" w:cstheme="majorBidi"/>
                                <w:b/>
                                <w:bCs/>
                              </w:rPr>
                            </w:pPr>
                            <w:r w:rsidRPr="000E5D96">
                              <w:rPr>
                                <w:rFonts w:asciiTheme="majorBidi" w:hAnsiTheme="majorBidi" w:cstheme="majorBidi"/>
                                <w:b/>
                                <w:bCs/>
                              </w:rPr>
                              <w:t>Identification</w:t>
                            </w:r>
                          </w:p>
                        </w:txbxContent>
                      </wps:txbx>
                      <wps:bodyPr rot="0" vert="vert270" wrap="square" lIns="45720" tIns="45720" rIns="4572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A5F7DF1" id="AutoShape 5" o:spid="_x0000_s1030" style="position:absolute;left:0;text-align:left;margin-left:-66.3pt;margin-top:55.95pt;width:108pt;height:23.4pt;rotation:-90;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" fillcolor="#ccecff">
                <v:textbox style="layout-flow:vertical;mso-layout-flow-alt:bottom-to-top" inset="3.6pt,,3.6pt">
                  <w:txbxContent>
                    <w:p w14:paraId="4DB4875B" w14:textId="77777777" w:rsidR="00B54D51" w:rsidRPr="000E5D96" w:rsidRDefault="00B54D51" w:rsidP="0013234E">
                      <w:pPr>
                        <w:jc w:val="center"/>
                        <w:rPr>
                          <w:rFonts w:asciiTheme="majorBidi" w:hAnsiTheme="majorBidi" w:cstheme="majorBidi"/>
                          <w:b/>
                          <w:bCs/>
                        </w:rPr>
                      </w:pPr>
                      <w:r w:rsidRPr="000E5D96">
                        <w:rPr>
                          <w:rFonts w:asciiTheme="majorBidi" w:hAnsiTheme="majorBidi" w:cstheme="majorBidi"/>
                          <w:b/>
                          <w:bCs/>
                        </w:rPr>
                        <w:t>Identification</w:t>
                      </w:r>
                    </w:p>
                  </w:txbxContent>
                </v:textbox>
                <w10:anchorlock/>
              </v:roundrect>
            </w:pict>
          </mc:Fallback>
        </mc:AlternateContent>
      </w:r>
      <w:r w:rsidRPr="00037AD4">
        <w:rPr>
          <w:rFonts w:asciiTheme="minorHAnsi" w:hAnsiTheme="minorHAnsi" w:cstheme="minorHAnsi"/>
          <w:noProof/>
          <w:lang w:eastAsia="zh-CN"/>
        </w:rPr>
        <mc:AlternateContent>
          <mc:Choice Requires="wps">
            <w:drawing>
              <wp:anchor distT="0" distB="0" distL="114300" distR="114300" simplePos="0" relativeHeight="251664384" behindDoc="0" locked="1" layoutInCell="1" allowOverlap="1" wp14:anchorId="351A0D4C" wp14:editId="437CF5D9">
                <wp:simplePos x="0" y="0"/>
                <wp:positionH relativeFrom="column">
                  <wp:posOffset>3063240</wp:posOffset>
                </wp:positionH>
                <wp:positionV relativeFrom="paragraph">
                  <wp:posOffset>168275</wp:posOffset>
                </wp:positionV>
                <wp:extent cx="2228850" cy="929005"/>
                <wp:effectExtent l="0" t="0" r="19050" b="23495"/>
                <wp:wrapNone/>
                <wp:docPr id="7"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28850" cy="929005"/>
                        </a:xfrm>
                        <a:prstGeom prst="rect">
                          <a:avLst/>
                        </a:prstGeom>
                        <a:solidFill>
                          <a:srgbClr val="FFFFFF"/>
                        </a:solidFill>
                        <a:ln w="9525">
                          <a:solidFill>
                            <a:srgbClr val="000000"/>
                          </a:solidFill>
                          <a:miter lim="800000"/>
                          <a:headEnd/>
                          <a:tailEnd/>
                        </a:ln>
                      </wps:spPr>
                      <wps:txbx>
                        <w:txbxContent>
                          <w:p w14:paraId="651DFA0B" w14:textId="77777777" w:rsidR="00B54D51" w:rsidRPr="000E5D96" w:rsidRDefault="00B54D51" w:rsidP="0013234E">
                            <w:pPr>
                              <w:jc w:val="center"/>
                              <w:rPr>
                                <w:rFonts w:asciiTheme="majorBidi" w:eastAsiaTheme="minorEastAsia" w:hAnsiTheme="majorBidi" w:cstheme="majorBidi"/>
                                <w:bCs/>
                                <w:color w:val="000000"/>
                              </w:rPr>
                            </w:pPr>
                            <w:r w:rsidRPr="000E5D96">
                              <w:rPr>
                                <w:rFonts w:asciiTheme="majorBidi" w:eastAsiaTheme="minorEastAsia" w:hAnsiTheme="majorBidi" w:cstheme="majorBidi"/>
                                <w:bCs/>
                                <w:color w:val="000000"/>
                              </w:rPr>
                              <w:t xml:space="preserve">Additional records identified through other sources </w:t>
                            </w:r>
                            <w:r w:rsidRPr="000E5D96">
                              <w:rPr>
                                <w:rFonts w:asciiTheme="majorBidi" w:eastAsiaTheme="minorEastAsia" w:hAnsiTheme="majorBidi" w:cstheme="majorBidi"/>
                                <w:bCs/>
                                <w:color w:val="000000"/>
                              </w:rPr>
                              <w:br/>
                              <w:t>(n = 4)</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1A0D4C" id="Rectangle 6" o:spid="_x0000_s1031" style="position:absolute;left:0;text-align:left;margin-left:241.2pt;margin-top:13.25pt;width:175.5pt;height:73.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">
                <v:textbox inset=",7.2pt,,7.2pt">
                  <w:txbxContent>
                    <w:p w14:paraId="651DFA0B" w14:textId="77777777" w:rsidR="00B54D51" w:rsidRPr="000E5D96" w:rsidRDefault="00B54D51" w:rsidP="0013234E">
                      <w:pPr>
                        <w:jc w:val="center"/>
                        <w:rPr>
                          <w:rFonts w:asciiTheme="majorBidi" w:eastAsiaTheme="minorEastAsia" w:hAnsiTheme="majorBidi" w:cstheme="majorBidi"/>
                          <w:bCs/>
                          <w:color w:val="000000"/>
                        </w:rPr>
                      </w:pPr>
                      <w:r w:rsidRPr="000E5D96">
                        <w:rPr>
                          <w:rFonts w:asciiTheme="majorBidi" w:eastAsiaTheme="minorEastAsia" w:hAnsiTheme="majorBidi" w:cstheme="majorBidi"/>
                          <w:bCs/>
                          <w:color w:val="000000"/>
                        </w:rPr>
                        <w:t xml:space="preserve">Additional records identified through other sources </w:t>
                      </w:r>
                      <w:r w:rsidRPr="000E5D96">
                        <w:rPr>
                          <w:rFonts w:asciiTheme="majorBidi" w:eastAsiaTheme="minorEastAsia" w:hAnsiTheme="majorBidi" w:cstheme="majorBidi"/>
                          <w:bCs/>
                          <w:color w:val="000000"/>
                        </w:rPr>
                        <w:br/>
                        <w:t>(n = 4)</w:t>
                      </w:r>
                    </w:p>
                  </w:txbxContent>
                </v:textbox>
                <w10:anchorlock/>
              </v:rect>
            </w:pict>
          </mc:Fallback>
        </mc:AlternateContent>
      </w:r>
      <w:r w:rsidRPr="00037AD4">
        <w:rPr>
          <w:rFonts w:asciiTheme="minorHAnsi" w:hAnsiTheme="minorHAnsi" w:cstheme="minorHAnsi"/>
          <w:noProof/>
          <w:lang w:eastAsia="zh-CN"/>
        </w:rPr>
        <mc:AlternateContent>
          <mc:Choice Requires="wps">
            <w:drawing>
              <wp:anchor distT="0" distB="0" distL="114300" distR="114300" simplePos="0" relativeHeight="251665408" behindDoc="0" locked="1" layoutInCell="1" allowOverlap="1" wp14:anchorId="2BF06C7C" wp14:editId="417EA50B">
                <wp:simplePos x="0" y="0"/>
                <wp:positionH relativeFrom="column">
                  <wp:posOffset>1851660</wp:posOffset>
                </wp:positionH>
                <wp:positionV relativeFrom="paragraph">
                  <wp:posOffset>3317240</wp:posOffset>
                </wp:positionV>
                <wp:extent cx="1714500" cy="1054735"/>
                <wp:effectExtent l="0" t="0" r="19050" b="12065"/>
                <wp:wrapNone/>
                <wp:docPr id="23"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054735"/>
                        </a:xfrm>
                        <a:prstGeom prst="rect">
                          <a:avLst/>
                        </a:prstGeom>
                        <a:solidFill>
                          <a:srgbClr val="FFFFFF"/>
                        </a:solidFill>
                        <a:ln w="9525">
                          <a:solidFill>
                            <a:srgbClr val="000000"/>
                          </a:solidFill>
                          <a:miter lim="800000"/>
                          <a:headEnd/>
                          <a:tailEnd/>
                        </a:ln>
                      </wps:spPr>
                      <wps:txbx>
                        <w:txbxContent>
                          <w:p w14:paraId="272079F8" w14:textId="77777777" w:rsidR="00B54D51" w:rsidRPr="000E5D96" w:rsidRDefault="00B54D51" w:rsidP="0013234E">
                            <w:pPr>
                              <w:jc w:val="center"/>
                              <w:rPr>
                                <w:rFonts w:asciiTheme="majorBidi" w:eastAsiaTheme="minorEastAsia" w:hAnsiTheme="majorBidi" w:cstheme="majorBidi"/>
                                <w:bCs/>
                                <w:color w:val="000000"/>
                              </w:rPr>
                            </w:pPr>
                            <w:r w:rsidRPr="000E5D96">
                              <w:rPr>
                                <w:rFonts w:asciiTheme="majorBidi" w:eastAsiaTheme="minorEastAsia" w:hAnsiTheme="majorBidi" w:cstheme="majorBidi"/>
                                <w:bCs/>
                                <w:color w:val="000000"/>
                              </w:rPr>
                              <w:t xml:space="preserve">Retrieved articles for detailed examination </w:t>
                            </w:r>
                            <w:r w:rsidRPr="000E5D96">
                              <w:rPr>
                                <w:rFonts w:asciiTheme="majorBidi" w:eastAsiaTheme="minorEastAsia" w:hAnsiTheme="majorBidi" w:cstheme="majorBidi"/>
                                <w:bCs/>
                                <w:color w:val="000000"/>
                              </w:rPr>
                              <w:br/>
                              <w:t>(n =64)</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F06C7C" id="Rectangle 7" o:spid="_x0000_s1032" style="position:absolute;left:0;text-align:left;margin-left:145.8pt;margin-top:261.2pt;width:135pt;height:83.0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">
                <v:textbox inset=",7.2pt,,7.2pt">
                  <w:txbxContent>
                    <w:p w14:paraId="272079F8" w14:textId="77777777" w:rsidR="00B54D51" w:rsidRPr="000E5D96" w:rsidRDefault="00B54D51" w:rsidP="0013234E">
                      <w:pPr>
                        <w:jc w:val="center"/>
                        <w:rPr>
                          <w:rFonts w:asciiTheme="majorBidi" w:eastAsiaTheme="minorEastAsia" w:hAnsiTheme="majorBidi" w:cstheme="majorBidi"/>
                          <w:bCs/>
                          <w:color w:val="000000"/>
                        </w:rPr>
                      </w:pPr>
                      <w:r w:rsidRPr="000E5D96">
                        <w:rPr>
                          <w:rFonts w:asciiTheme="majorBidi" w:eastAsiaTheme="minorEastAsia" w:hAnsiTheme="majorBidi" w:cstheme="majorBidi"/>
                          <w:bCs/>
                          <w:color w:val="000000"/>
                        </w:rPr>
                        <w:t xml:space="preserve">Retrieved articles for detailed examination </w:t>
                      </w:r>
                      <w:r w:rsidRPr="000E5D96">
                        <w:rPr>
                          <w:rFonts w:asciiTheme="majorBidi" w:eastAsiaTheme="minorEastAsia" w:hAnsiTheme="majorBidi" w:cstheme="majorBidi"/>
                          <w:bCs/>
                          <w:color w:val="000000"/>
                        </w:rPr>
                        <w:br/>
                        <w:t>(n =64)</w:t>
                      </w:r>
                    </w:p>
                  </w:txbxContent>
                </v:textbox>
                <w10:anchorlock/>
              </v:rect>
            </w:pict>
          </mc:Fallback>
        </mc:AlternateContent>
      </w:r>
      <w:r w:rsidRPr="00037AD4">
        <w:rPr>
          <w:rFonts w:asciiTheme="minorHAnsi" w:hAnsiTheme="minorHAnsi" w:cstheme="minorHAnsi"/>
          <w:noProof/>
          <w:lang w:eastAsia="zh-CN"/>
        </w:rPr>
        <mc:AlternateContent>
          <mc:Choice Requires="wps">
            <w:drawing>
              <wp:anchor distT="0" distB="0" distL="114300" distR="114300" simplePos="0" relativeHeight="251666432" behindDoc="0" locked="1" layoutInCell="1" allowOverlap="1" wp14:anchorId="328E623A" wp14:editId="1B5B0CA3">
                <wp:simplePos x="0" y="0"/>
                <wp:positionH relativeFrom="column">
                  <wp:posOffset>1454150</wp:posOffset>
                </wp:positionH>
                <wp:positionV relativeFrom="paragraph">
                  <wp:posOffset>1782445</wp:posOffset>
                </wp:positionV>
                <wp:extent cx="2771775" cy="744855"/>
                <wp:effectExtent l="0" t="0" r="28575" b="17145"/>
                <wp:wrapNone/>
                <wp:docPr id="24"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71775" cy="744855"/>
                        </a:xfrm>
                        <a:prstGeom prst="rect">
                          <a:avLst/>
                        </a:prstGeom>
                        <a:solidFill>
                          <a:srgbClr val="FFFFFF"/>
                        </a:solidFill>
                        <a:ln w="9525">
                          <a:solidFill>
                            <a:srgbClr val="000000"/>
                          </a:solidFill>
                          <a:miter lim="800000"/>
                          <a:headEnd/>
                          <a:tailEnd/>
                        </a:ln>
                      </wps:spPr>
                      <wps:txbx>
                        <w:txbxContent>
                          <w:p w14:paraId="6045EA25" w14:textId="77777777" w:rsidR="00B54D51" w:rsidRPr="000E5D96" w:rsidRDefault="00B54D51" w:rsidP="0013234E">
                            <w:pPr>
                              <w:jc w:val="center"/>
                              <w:rPr>
                                <w:rFonts w:asciiTheme="majorBidi" w:eastAsiaTheme="minorEastAsia" w:hAnsiTheme="majorBidi" w:cstheme="majorBidi"/>
                                <w:bCs/>
                                <w:color w:val="000000"/>
                              </w:rPr>
                            </w:pPr>
                            <w:r w:rsidRPr="000E5D96">
                              <w:rPr>
                                <w:rFonts w:asciiTheme="majorBidi" w:eastAsiaTheme="minorEastAsia" w:hAnsiTheme="majorBidi" w:cstheme="majorBidi"/>
                                <w:bCs/>
                                <w:color w:val="000000"/>
                              </w:rPr>
                              <w:t xml:space="preserve">Records screened by title and abstract </w:t>
                            </w:r>
                            <w:r w:rsidRPr="000E5D96">
                              <w:rPr>
                                <w:rFonts w:asciiTheme="majorBidi" w:eastAsiaTheme="minorEastAsia" w:hAnsiTheme="majorBidi" w:cstheme="majorBidi"/>
                                <w:bCs/>
                                <w:color w:val="000000"/>
                              </w:rPr>
                              <w:br/>
                              <w:t>(n = 290)</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8E623A" id="Rectangle 8" o:spid="_x0000_s1033" style="position:absolute;left:0;text-align:left;margin-left:114.5pt;margin-top:140.35pt;width:218.25pt;height:58.6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">
                <v:textbox inset=",7.2pt,,7.2pt">
                  <w:txbxContent>
                    <w:p w14:paraId="6045EA25" w14:textId="77777777" w:rsidR="00B54D51" w:rsidRPr="000E5D96" w:rsidRDefault="00B54D51" w:rsidP="0013234E">
                      <w:pPr>
                        <w:jc w:val="center"/>
                        <w:rPr>
                          <w:rFonts w:asciiTheme="majorBidi" w:eastAsiaTheme="minorEastAsia" w:hAnsiTheme="majorBidi" w:cstheme="majorBidi"/>
                          <w:bCs/>
                          <w:color w:val="000000"/>
                        </w:rPr>
                      </w:pPr>
                      <w:r w:rsidRPr="000E5D96">
                        <w:rPr>
                          <w:rFonts w:asciiTheme="majorBidi" w:eastAsiaTheme="minorEastAsia" w:hAnsiTheme="majorBidi" w:cstheme="majorBidi"/>
                          <w:bCs/>
                          <w:color w:val="000000"/>
                        </w:rPr>
                        <w:t xml:space="preserve">Records screened by title and abstract </w:t>
                      </w:r>
                      <w:r w:rsidRPr="000E5D96">
                        <w:rPr>
                          <w:rFonts w:asciiTheme="majorBidi" w:eastAsiaTheme="minorEastAsia" w:hAnsiTheme="majorBidi" w:cstheme="majorBidi"/>
                          <w:bCs/>
                          <w:color w:val="000000"/>
                        </w:rPr>
                        <w:br/>
                        <w:t>(n = 290)</w:t>
                      </w:r>
                    </w:p>
                  </w:txbxContent>
                </v:textbox>
                <w10:anchorlock/>
              </v:rect>
            </w:pict>
          </mc:Fallback>
        </mc:AlternateContent>
      </w:r>
      <w:r w:rsidRPr="00037AD4">
        <w:rPr>
          <w:rFonts w:asciiTheme="minorHAnsi" w:hAnsiTheme="minorHAnsi" w:cstheme="minorHAnsi"/>
          <w:noProof/>
          <w:lang w:eastAsia="zh-CN"/>
        </w:rPr>
        <mc:AlternateContent>
          <mc:Choice Requires="wps">
            <w:drawing>
              <wp:anchor distT="36576" distB="36576" distL="36575" distR="36575" simplePos="0" relativeHeight="251667456" behindDoc="0" locked="1" layoutInCell="1" allowOverlap="1" wp14:anchorId="0F007A39" wp14:editId="205D883E">
                <wp:simplePos x="0" y="0"/>
                <wp:positionH relativeFrom="column">
                  <wp:posOffset>1758949</wp:posOffset>
                </wp:positionH>
                <wp:positionV relativeFrom="paragraph">
                  <wp:posOffset>1086485</wp:posOffset>
                </wp:positionV>
                <wp:extent cx="0" cy="695325"/>
                <wp:effectExtent l="76200" t="0" r="76200" b="47625"/>
                <wp:wrapNone/>
                <wp:docPr id="25" name="AutoShap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95325"/>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7DBF8831" id="_x0000_t32" coordsize="21600,21600" o:spt="32" o:oned="t" path="m,l21600,21600e" filled="f">
                <v:path arrowok="t" fillok="f" o:connecttype="none"/>
                <o:lock v:ext="edit" shapetype="t"/>
              </v:shapetype>
              <v:shape id="AutoShape 9" o:spid="_x0000_s1026" type="#_x0000_t32" style="position:absolute;margin-left:138.5pt;margin-top:85.55pt;width:0;height:54.75pt;z-index:251667456;visibility:visible;mso-wrap-style:square;mso-width-percent:0;mso-height-percent:0;mso-wrap-distance-left:1.016mm;mso-wrap-distance-top:2.88pt;mso-wrap-distance-right:1.016mm;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">
                <v:stroke endarrow="block"/>
                <v:shadow color="#ccc"/>
                <w10:anchorlock/>
              </v:shape>
            </w:pict>
          </mc:Fallback>
        </mc:AlternateContent>
      </w:r>
      <w:r w:rsidRPr="00037AD4">
        <w:rPr>
          <w:rFonts w:asciiTheme="minorHAnsi" w:hAnsiTheme="minorHAnsi" w:cstheme="minorHAnsi"/>
          <w:noProof/>
          <w:lang w:eastAsia="zh-CN"/>
        </w:rPr>
        <mc:AlternateContent>
          <mc:Choice Requires="wps">
            <w:drawing>
              <wp:anchor distT="36576" distB="36576" distL="36576" distR="36576" simplePos="0" relativeHeight="251668480" behindDoc="0" locked="1" layoutInCell="1" allowOverlap="1" wp14:anchorId="3F407A74" wp14:editId="27A69C5E">
                <wp:simplePos x="0" y="0"/>
                <wp:positionH relativeFrom="column">
                  <wp:posOffset>4031615</wp:posOffset>
                </wp:positionH>
                <wp:positionV relativeFrom="paragraph">
                  <wp:posOffset>1093470</wp:posOffset>
                </wp:positionV>
                <wp:extent cx="13335" cy="728345"/>
                <wp:effectExtent l="76200" t="0" r="62865" b="52705"/>
                <wp:wrapNone/>
                <wp:docPr id="26" name="AutoShap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3335" cy="728345"/>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BADA940" id="AutoShape 10" o:spid="_x0000_s1026" type="#_x0000_t32" style="position:absolute;margin-left:317.45pt;margin-top:86.1pt;width:1.05pt;height:57.35pt;flip:x;z-index:25166848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">
                <v:stroke endarrow="block"/>
                <v:shadow color="#ccc"/>
                <w10:anchorlock/>
              </v:shape>
            </w:pict>
          </mc:Fallback>
        </mc:AlternateContent>
      </w:r>
      <w:r w:rsidRPr="00037AD4">
        <w:rPr>
          <w:rFonts w:asciiTheme="minorHAnsi" w:hAnsiTheme="minorHAnsi" w:cstheme="minorHAnsi"/>
          <w:noProof/>
          <w:lang w:eastAsia="zh-CN"/>
        </w:rPr>
        <mc:AlternateContent>
          <mc:Choice Requires="wps">
            <w:drawing>
              <wp:anchor distT="0" distB="0" distL="114300" distR="114300" simplePos="0" relativeHeight="251669504" behindDoc="0" locked="1" layoutInCell="1" allowOverlap="1" wp14:anchorId="3DC98F06" wp14:editId="7880C0F4">
                <wp:simplePos x="0" y="0"/>
                <wp:positionH relativeFrom="column">
                  <wp:posOffset>4515485</wp:posOffset>
                </wp:positionH>
                <wp:positionV relativeFrom="paragraph">
                  <wp:posOffset>2291080</wp:posOffset>
                </wp:positionV>
                <wp:extent cx="1917065" cy="789305"/>
                <wp:effectExtent l="0" t="0" r="26035" b="10795"/>
                <wp:wrapNone/>
                <wp:docPr id="27"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17065" cy="789305"/>
                        </a:xfrm>
                        <a:prstGeom prst="rect">
                          <a:avLst/>
                        </a:prstGeom>
                        <a:solidFill>
                          <a:srgbClr val="FFFFFF"/>
                        </a:solidFill>
                        <a:ln w="9525">
                          <a:solidFill>
                            <a:srgbClr val="000000"/>
                          </a:solidFill>
                          <a:miter lim="800000"/>
                          <a:headEnd/>
                          <a:tailEnd/>
                        </a:ln>
                      </wps:spPr>
                      <wps:txbx>
                        <w:txbxContent>
                          <w:p w14:paraId="7656E7BB" w14:textId="77777777" w:rsidR="00B54D51" w:rsidRPr="000E5D96" w:rsidRDefault="00B54D51" w:rsidP="0013234E">
                            <w:pPr>
                              <w:jc w:val="center"/>
                              <w:rPr>
                                <w:rFonts w:asciiTheme="majorBidi" w:eastAsiaTheme="minorEastAsia" w:hAnsiTheme="majorBidi" w:cstheme="majorBidi"/>
                                <w:bCs/>
                                <w:color w:val="000000"/>
                              </w:rPr>
                            </w:pPr>
                            <w:r w:rsidRPr="000E5D96">
                              <w:rPr>
                                <w:rFonts w:asciiTheme="majorBidi" w:eastAsiaTheme="minorEastAsia" w:hAnsiTheme="majorBidi" w:cstheme="majorBidi"/>
                                <w:bCs/>
                                <w:color w:val="000000"/>
                              </w:rPr>
                              <w:t xml:space="preserve">Excluded by title and abstract </w:t>
                            </w:r>
                            <w:r w:rsidRPr="000E5D96">
                              <w:rPr>
                                <w:rFonts w:asciiTheme="majorBidi" w:eastAsiaTheme="minorEastAsia" w:hAnsiTheme="majorBidi" w:cstheme="majorBidi"/>
                                <w:bCs/>
                                <w:color w:val="000000"/>
                              </w:rPr>
                              <w:br/>
                              <w:t>(n =226)</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C98F06" id="Rectangle 11" o:spid="_x0000_s1034" style="position:absolute;left:0;text-align:left;margin-left:355.55pt;margin-top:180.4pt;width:150.95pt;height:62.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">
                <v:textbox inset=",7.2pt,,7.2pt">
                  <w:txbxContent>
                    <w:p w14:paraId="7656E7BB" w14:textId="77777777" w:rsidR="00B54D51" w:rsidRPr="000E5D96" w:rsidRDefault="00B54D51" w:rsidP="0013234E">
                      <w:pPr>
                        <w:jc w:val="center"/>
                        <w:rPr>
                          <w:rFonts w:asciiTheme="majorBidi" w:eastAsiaTheme="minorEastAsia" w:hAnsiTheme="majorBidi" w:cstheme="majorBidi"/>
                          <w:bCs/>
                          <w:color w:val="000000"/>
                        </w:rPr>
                      </w:pPr>
                      <w:r w:rsidRPr="000E5D96">
                        <w:rPr>
                          <w:rFonts w:asciiTheme="majorBidi" w:eastAsiaTheme="minorEastAsia" w:hAnsiTheme="majorBidi" w:cstheme="majorBidi"/>
                          <w:bCs/>
                          <w:color w:val="000000"/>
                        </w:rPr>
                        <w:t xml:space="preserve">Excluded by title and abstract </w:t>
                      </w:r>
                      <w:r w:rsidRPr="000E5D96">
                        <w:rPr>
                          <w:rFonts w:asciiTheme="majorBidi" w:eastAsiaTheme="minorEastAsia" w:hAnsiTheme="majorBidi" w:cstheme="majorBidi"/>
                          <w:bCs/>
                          <w:color w:val="000000"/>
                        </w:rPr>
                        <w:br/>
                        <w:t>(n =226)</w:t>
                      </w:r>
                    </w:p>
                  </w:txbxContent>
                </v:textbox>
                <w10:anchorlock/>
              </v:rect>
            </w:pict>
          </mc:Fallback>
        </mc:AlternateContent>
      </w:r>
      <w:r w:rsidRPr="00037AD4">
        <w:rPr>
          <w:rFonts w:asciiTheme="minorHAnsi" w:hAnsiTheme="minorHAnsi" w:cstheme="minorHAnsi"/>
          <w:noProof/>
          <w:lang w:eastAsia="zh-CN"/>
        </w:rPr>
        <mc:AlternateContent>
          <mc:Choice Requires="wps">
            <w:drawing>
              <wp:anchor distT="36575" distB="36575" distL="36576" distR="36576" simplePos="0" relativeHeight="251670528" behindDoc="0" locked="1" layoutInCell="1" allowOverlap="1" wp14:anchorId="7E77406E" wp14:editId="3FEFBC77">
                <wp:simplePos x="0" y="0"/>
                <wp:positionH relativeFrom="column">
                  <wp:posOffset>2743200</wp:posOffset>
                </wp:positionH>
                <wp:positionV relativeFrom="paragraph">
                  <wp:posOffset>2814320</wp:posOffset>
                </wp:positionV>
                <wp:extent cx="1769745" cy="0"/>
                <wp:effectExtent l="0" t="76200" r="20955" b="95250"/>
                <wp:wrapNone/>
                <wp:docPr id="28" name="AutoShap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69745" cy="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D5D9285" id="AutoShape 14" o:spid="_x0000_s1026" type="#_x0000_t32" style="position:absolute;margin-left:3in;margin-top:221.6pt;width:139.35pt;height:0;z-index:251670528;visibility:visible;mso-wrap-style:square;mso-width-percent:0;mso-height-percent:0;mso-wrap-distance-left:2.88pt;mso-wrap-distance-top:1.016mm;mso-wrap-distance-right:2.88pt;mso-wrap-distance-bottom:1.016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">
                <v:stroke endarrow="block"/>
                <v:shadow color="#ccc"/>
                <w10:anchorlock/>
              </v:shape>
            </w:pict>
          </mc:Fallback>
        </mc:AlternateContent>
      </w:r>
      <w:r w:rsidRPr="00037AD4">
        <w:rPr>
          <w:rFonts w:asciiTheme="minorHAnsi" w:hAnsiTheme="minorHAnsi" w:cstheme="minorHAnsi"/>
          <w:noProof/>
          <w:lang w:eastAsia="zh-CN"/>
        </w:rPr>
        <mc:AlternateContent>
          <mc:Choice Requires="wps">
            <w:drawing>
              <wp:anchor distT="36575" distB="36575" distL="36576" distR="36576" simplePos="0" relativeHeight="251671552" behindDoc="0" locked="1" layoutInCell="1" allowOverlap="1" wp14:anchorId="6B1DE87C" wp14:editId="756CD348">
                <wp:simplePos x="0" y="0"/>
                <wp:positionH relativeFrom="column">
                  <wp:posOffset>2766060</wp:posOffset>
                </wp:positionH>
                <wp:positionV relativeFrom="paragraph">
                  <wp:posOffset>4970145</wp:posOffset>
                </wp:positionV>
                <wp:extent cx="1283335" cy="0"/>
                <wp:effectExtent l="0" t="76200" r="12065" b="95250"/>
                <wp:wrapNone/>
                <wp:docPr id="29" name="AutoShap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83335" cy="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46FC8EF" id="AutoShape 15" o:spid="_x0000_s1026" type="#_x0000_t32" style="position:absolute;margin-left:217.8pt;margin-top:391.35pt;width:101.05pt;height:0;z-index:251671552;visibility:visible;mso-wrap-style:square;mso-width-percent:0;mso-height-percent:0;mso-wrap-distance-left:2.88pt;mso-wrap-distance-top:1.016mm;mso-wrap-distance-right:2.88pt;mso-wrap-distance-bottom:1.016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">
                <v:stroke endarrow="block"/>
                <v:shadow color="#ccc"/>
                <w10:anchorlock/>
              </v:shape>
            </w:pict>
          </mc:Fallback>
        </mc:AlternateContent>
      </w:r>
      <w:r w:rsidRPr="00037AD4">
        <w:rPr>
          <w:rFonts w:asciiTheme="minorHAnsi" w:hAnsiTheme="minorHAnsi" w:cstheme="minorHAnsi"/>
          <w:noProof/>
          <w:lang w:eastAsia="zh-CN"/>
        </w:rPr>
        <mc:AlternateContent>
          <mc:Choice Requires="wps">
            <w:drawing>
              <wp:anchor distT="36576" distB="36576" distL="36576" distR="36576" simplePos="0" relativeHeight="251672576" behindDoc="0" locked="1" layoutInCell="1" allowOverlap="1" wp14:anchorId="6AF26345" wp14:editId="6FD7407B">
                <wp:simplePos x="0" y="0"/>
                <wp:positionH relativeFrom="column">
                  <wp:posOffset>2744470</wp:posOffset>
                </wp:positionH>
                <wp:positionV relativeFrom="paragraph">
                  <wp:posOffset>4370070</wp:posOffset>
                </wp:positionV>
                <wp:extent cx="13335" cy="1482090"/>
                <wp:effectExtent l="76200" t="0" r="62865" b="60960"/>
                <wp:wrapNone/>
                <wp:docPr id="30" name="AutoShap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3335" cy="148209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D46F991" id="AutoShape 16" o:spid="_x0000_s1026" type="#_x0000_t32" style="position:absolute;margin-left:216.1pt;margin-top:344.1pt;width:1.05pt;height:116.7pt;flip:x;z-index:25167257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">
                <v:stroke endarrow="block"/>
                <v:shadow color="#ccc"/>
                <w10:anchorlock/>
              </v:shape>
            </w:pict>
          </mc:Fallback>
        </mc:AlternateContent>
      </w:r>
      <w:r w:rsidRPr="00037AD4">
        <w:rPr>
          <w:rFonts w:asciiTheme="minorHAnsi" w:hAnsiTheme="minorHAnsi" w:cstheme="minorHAnsi"/>
          <w:noProof/>
          <w:lang w:eastAsia="zh-CN"/>
        </w:rPr>
        <mc:AlternateContent>
          <mc:Choice Requires="wps">
            <w:drawing>
              <wp:anchor distT="0" distB="0" distL="114300" distR="114300" simplePos="0" relativeHeight="251673600" behindDoc="0" locked="1" layoutInCell="1" allowOverlap="1" wp14:anchorId="2FD1969C" wp14:editId="168BB61E">
                <wp:simplePos x="0" y="0"/>
                <wp:positionH relativeFrom="column">
                  <wp:posOffset>-1229360</wp:posOffset>
                </wp:positionH>
                <wp:positionV relativeFrom="paragraph">
                  <wp:posOffset>5906135</wp:posOffset>
                </wp:positionV>
                <wp:extent cx="2159000" cy="297180"/>
                <wp:effectExtent l="0" t="2540" r="10160" b="10160"/>
                <wp:wrapNone/>
                <wp:docPr id="31"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2159000" cy="297180"/>
                        </a:xfrm>
                        <a:prstGeom prst="roundRect">
                          <a:avLst>
                            <a:gd name="adj" fmla="val 16667"/>
                          </a:avLst>
                        </a:prstGeom>
                        <a:solidFill>
                          <a:srgbClr val="CCECFF"/>
                        </a:solidFill>
                        <a:ln w="9525">
                          <a:solidFill>
                            <a:srgbClr val="000000"/>
                          </a:solidFill>
                          <a:round/>
                          <a:headEnd/>
                          <a:tailEnd/>
                        </a:ln>
                      </wps:spPr>
                      <wps:txbx>
                        <w:txbxContent>
                          <w:p w14:paraId="7A282E88" w14:textId="77777777" w:rsidR="00B54D51" w:rsidRPr="000E5D96" w:rsidRDefault="00B54D51" w:rsidP="0013234E">
                            <w:pPr>
                              <w:jc w:val="center"/>
                              <w:rPr>
                                <w:rFonts w:asciiTheme="majorBidi" w:hAnsiTheme="majorBidi" w:cstheme="majorBidi"/>
                                <w:b/>
                                <w:bCs/>
                              </w:rPr>
                            </w:pPr>
                            <w:r w:rsidRPr="000E5D96">
                              <w:rPr>
                                <w:rFonts w:asciiTheme="majorBidi" w:hAnsiTheme="majorBidi" w:cstheme="majorBidi"/>
                                <w:b/>
                                <w:bCs/>
                              </w:rPr>
                              <w:t>Included</w:t>
                            </w:r>
                          </w:p>
                        </w:txbxContent>
                      </wps:txbx>
                      <wps:bodyPr rot="0" vert="vert270" wrap="square" lIns="45720" tIns="45720" rIns="4572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FD1969C" id="AutoShape 18" o:spid="_x0000_s1035" style="position:absolute;left:0;text-align:left;margin-left:-96.8pt;margin-top:465.05pt;width:170pt;height:23.4pt;rotation:-90;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" fillcolor="#ccecff">
                <v:textbox style="layout-flow:vertical;mso-layout-flow-alt:bottom-to-top" inset="3.6pt,,3.6pt">
                  <w:txbxContent>
                    <w:p w14:paraId="7A282E88" w14:textId="77777777" w:rsidR="00B54D51" w:rsidRPr="000E5D96" w:rsidRDefault="00B54D51" w:rsidP="0013234E">
                      <w:pPr>
                        <w:jc w:val="center"/>
                        <w:rPr>
                          <w:rFonts w:asciiTheme="majorBidi" w:hAnsiTheme="majorBidi" w:cstheme="majorBidi"/>
                          <w:b/>
                          <w:bCs/>
                        </w:rPr>
                      </w:pPr>
                      <w:r w:rsidRPr="000E5D96">
                        <w:rPr>
                          <w:rFonts w:asciiTheme="majorBidi" w:hAnsiTheme="majorBidi" w:cstheme="majorBidi"/>
                          <w:b/>
                          <w:bCs/>
                        </w:rPr>
                        <w:t>Included</w:t>
                      </w:r>
                    </w:p>
                  </w:txbxContent>
                </v:textbox>
                <w10:anchorlock/>
              </v:roundrect>
            </w:pict>
          </mc:Fallback>
        </mc:AlternateContent>
      </w:r>
      <w:r w:rsidRPr="00037AD4">
        <w:rPr>
          <w:rFonts w:asciiTheme="minorHAnsi" w:hAnsiTheme="minorHAnsi" w:cstheme="minorHAnsi"/>
          <w:noProof/>
          <w:lang w:eastAsia="zh-CN"/>
        </w:rPr>
        <mc:AlternateContent>
          <mc:Choice Requires="wps">
            <w:drawing>
              <wp:anchor distT="0" distB="0" distL="114300" distR="114300" simplePos="0" relativeHeight="251674624" behindDoc="0" locked="1" layoutInCell="1" allowOverlap="1" wp14:anchorId="08D64F67" wp14:editId="20B0E63B">
                <wp:simplePos x="0" y="0"/>
                <wp:positionH relativeFrom="column">
                  <wp:posOffset>847725</wp:posOffset>
                </wp:positionH>
                <wp:positionV relativeFrom="paragraph">
                  <wp:posOffset>5880735</wp:posOffset>
                </wp:positionV>
                <wp:extent cx="3242310" cy="923925"/>
                <wp:effectExtent l="0" t="0" r="15240" b="28575"/>
                <wp:wrapNone/>
                <wp:docPr id="32"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42310" cy="923925"/>
                        </a:xfrm>
                        <a:prstGeom prst="rect">
                          <a:avLst/>
                        </a:prstGeom>
                        <a:solidFill>
                          <a:srgbClr val="FFFFFF"/>
                        </a:solidFill>
                        <a:ln w="9525">
                          <a:solidFill>
                            <a:srgbClr val="000000"/>
                          </a:solidFill>
                          <a:miter lim="800000"/>
                          <a:headEnd/>
                          <a:tailEnd/>
                        </a:ln>
                      </wps:spPr>
                      <wps:txbx>
                        <w:txbxContent>
                          <w:p w14:paraId="4C72385B" w14:textId="77777777" w:rsidR="00B54D51" w:rsidRPr="000E5D96" w:rsidRDefault="00B54D51" w:rsidP="0013234E">
                            <w:pPr>
                              <w:jc w:val="center"/>
                              <w:rPr>
                                <w:rFonts w:asciiTheme="majorBidi" w:eastAsiaTheme="minorEastAsia" w:hAnsiTheme="majorBidi" w:cstheme="majorBidi"/>
                                <w:bCs/>
                                <w:color w:val="000000"/>
                              </w:rPr>
                            </w:pPr>
                            <w:r w:rsidRPr="000E5D96">
                              <w:rPr>
                                <w:rFonts w:asciiTheme="majorBidi" w:eastAsiaTheme="minorEastAsia" w:hAnsiTheme="majorBidi" w:cstheme="majorBidi"/>
                                <w:bCs/>
                                <w:color w:val="000000"/>
                              </w:rPr>
                              <w:t xml:space="preserve">Included papers </w:t>
                            </w:r>
                            <w:r w:rsidRPr="000E5D96">
                              <w:rPr>
                                <w:rFonts w:asciiTheme="majorBidi" w:eastAsiaTheme="minorEastAsia" w:hAnsiTheme="majorBidi" w:cstheme="majorBidi"/>
                                <w:bCs/>
                                <w:color w:val="000000"/>
                              </w:rPr>
                              <w:br/>
                              <w:t>(n = 20)</w:t>
                            </w:r>
                          </w:p>
                          <w:p w14:paraId="54E8CE9A" w14:textId="77777777" w:rsidR="00B54D51" w:rsidRPr="000E5D96" w:rsidRDefault="00B54D51" w:rsidP="0013234E">
                            <w:pPr>
                              <w:jc w:val="center"/>
                              <w:rPr>
                                <w:rFonts w:asciiTheme="majorBidi" w:eastAsiaTheme="minorEastAsia" w:hAnsiTheme="majorBidi" w:cstheme="majorBidi"/>
                                <w:bCs/>
                                <w:color w:val="000000"/>
                              </w:rPr>
                            </w:pPr>
                            <w:r w:rsidRPr="000E5D96">
                              <w:rPr>
                                <w:rFonts w:asciiTheme="majorBidi" w:eastAsiaTheme="minorEastAsia" w:hAnsiTheme="majorBidi" w:cstheme="majorBidi"/>
                                <w:bCs/>
                                <w:color w:val="000000"/>
                              </w:rPr>
                              <w:t>Full-text articles, n= 20</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D64F67" id="Rectangle 20" o:spid="_x0000_s1036" style="position:absolute;left:0;text-align:left;margin-left:66.75pt;margin-top:463.05pt;width:255.3pt;height:72.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">
                <v:textbox inset=",7.2pt,,7.2pt">
                  <w:txbxContent>
                    <w:p w14:paraId="4C72385B" w14:textId="77777777" w:rsidR="00B54D51" w:rsidRPr="000E5D96" w:rsidRDefault="00B54D51" w:rsidP="0013234E">
                      <w:pPr>
                        <w:jc w:val="center"/>
                        <w:rPr>
                          <w:rFonts w:asciiTheme="majorBidi" w:eastAsiaTheme="minorEastAsia" w:hAnsiTheme="majorBidi" w:cstheme="majorBidi"/>
                          <w:bCs/>
                          <w:color w:val="000000"/>
                        </w:rPr>
                      </w:pPr>
                      <w:r w:rsidRPr="000E5D96">
                        <w:rPr>
                          <w:rFonts w:asciiTheme="majorBidi" w:eastAsiaTheme="minorEastAsia" w:hAnsiTheme="majorBidi" w:cstheme="majorBidi"/>
                          <w:bCs/>
                          <w:color w:val="000000"/>
                        </w:rPr>
                        <w:t xml:space="preserve">Included papers </w:t>
                      </w:r>
                      <w:r w:rsidRPr="000E5D96">
                        <w:rPr>
                          <w:rFonts w:asciiTheme="majorBidi" w:eastAsiaTheme="minorEastAsia" w:hAnsiTheme="majorBidi" w:cstheme="majorBidi"/>
                          <w:bCs/>
                          <w:color w:val="000000"/>
                        </w:rPr>
                        <w:br/>
                        <w:t>(n = 20)</w:t>
                      </w:r>
                    </w:p>
                    <w:p w14:paraId="54E8CE9A" w14:textId="77777777" w:rsidR="00B54D51" w:rsidRPr="000E5D96" w:rsidRDefault="00B54D51" w:rsidP="0013234E">
                      <w:pPr>
                        <w:jc w:val="center"/>
                        <w:rPr>
                          <w:rFonts w:asciiTheme="majorBidi" w:eastAsiaTheme="minorEastAsia" w:hAnsiTheme="majorBidi" w:cstheme="majorBidi"/>
                          <w:bCs/>
                          <w:color w:val="000000"/>
                        </w:rPr>
                      </w:pPr>
                      <w:r w:rsidRPr="000E5D96">
                        <w:rPr>
                          <w:rFonts w:asciiTheme="majorBidi" w:eastAsiaTheme="minorEastAsia" w:hAnsiTheme="majorBidi" w:cstheme="majorBidi"/>
                          <w:bCs/>
                          <w:color w:val="000000"/>
                        </w:rPr>
                        <w:t>Full-text articles, n= 20</w:t>
                      </w:r>
                    </w:p>
                  </w:txbxContent>
                </v:textbox>
                <w10:anchorlock/>
              </v:rect>
            </w:pict>
          </mc:Fallback>
        </mc:AlternateContent>
      </w:r>
      <w:r w:rsidRPr="00037AD4">
        <w:rPr>
          <w:rFonts w:asciiTheme="minorHAnsi" w:hAnsiTheme="minorHAnsi" w:cstheme="minorHAnsi"/>
          <w:noProof/>
          <w:lang w:eastAsia="zh-CN"/>
        </w:rPr>
        <mc:AlternateContent>
          <mc:Choice Requires="wps">
            <w:drawing>
              <wp:anchor distT="36576" distB="36576" distL="36575" distR="36575" simplePos="0" relativeHeight="251675648" behindDoc="0" locked="1" layoutInCell="1" allowOverlap="1" wp14:anchorId="3D7D27AC" wp14:editId="0567BAD8">
                <wp:simplePos x="0" y="0"/>
                <wp:positionH relativeFrom="column">
                  <wp:posOffset>2731770</wp:posOffset>
                </wp:positionH>
                <wp:positionV relativeFrom="paragraph">
                  <wp:posOffset>2527935</wp:posOffset>
                </wp:positionV>
                <wp:extent cx="0" cy="789305"/>
                <wp:effectExtent l="76200" t="0" r="57150" b="48895"/>
                <wp:wrapNone/>
                <wp:docPr id="33" name="AutoShap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89305"/>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6582217" id="AutoShape 23" o:spid="_x0000_s1026" type="#_x0000_t32" style="position:absolute;margin-left:215.1pt;margin-top:199.05pt;width:0;height:62.15pt;z-index:251675648;visibility:visible;mso-wrap-style:square;mso-width-percent:0;mso-height-percent:0;mso-wrap-distance-left:1.016mm;mso-wrap-distance-top:2.88pt;mso-wrap-distance-right:1.016mm;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">
                <v:stroke endarrow="block"/>
                <v:shadow color="#ccc"/>
                <w10:anchorlock/>
              </v:shape>
            </w:pict>
          </mc:Fallback>
        </mc:AlternateContent>
      </w:r>
      <w:r w:rsidRPr="00037AD4">
        <w:rPr>
          <w:rFonts w:asciiTheme="minorHAnsi" w:hAnsiTheme="minorHAnsi" w:cstheme="minorHAnsi"/>
          <w:noProof/>
          <w:lang w:eastAsia="zh-CN"/>
        </w:rPr>
        <mc:AlternateContent>
          <mc:Choice Requires="wps">
            <w:drawing>
              <wp:anchor distT="0" distB="0" distL="114300" distR="114300" simplePos="0" relativeHeight="251676672" behindDoc="0" locked="1" layoutInCell="1" allowOverlap="1" wp14:anchorId="77779D46" wp14:editId="42D97819">
                <wp:simplePos x="0" y="0"/>
                <wp:positionH relativeFrom="column">
                  <wp:posOffset>4046220</wp:posOffset>
                </wp:positionH>
                <wp:positionV relativeFrom="paragraph">
                  <wp:posOffset>4188460</wp:posOffset>
                </wp:positionV>
                <wp:extent cx="2338070" cy="1595120"/>
                <wp:effectExtent l="0" t="0" r="11430" b="17780"/>
                <wp:wrapNone/>
                <wp:docPr id="34"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8070" cy="1595120"/>
                        </a:xfrm>
                        <a:prstGeom prst="rect">
                          <a:avLst/>
                        </a:prstGeom>
                        <a:solidFill>
                          <a:srgbClr val="FFFFFF"/>
                        </a:solidFill>
                        <a:ln w="9525">
                          <a:solidFill>
                            <a:srgbClr val="000000"/>
                          </a:solidFill>
                          <a:miter lim="800000"/>
                          <a:headEnd/>
                          <a:tailEnd/>
                        </a:ln>
                      </wps:spPr>
                      <wps:txbx>
                        <w:txbxContent>
                          <w:p w14:paraId="0C50C4A6" w14:textId="77777777" w:rsidR="00B54D51" w:rsidRPr="000E5D96" w:rsidRDefault="00B54D51" w:rsidP="0013234E">
                            <w:pPr>
                              <w:contextualSpacing/>
                              <w:jc w:val="center"/>
                              <w:rPr>
                                <w:rFonts w:asciiTheme="majorBidi" w:eastAsiaTheme="minorEastAsia" w:hAnsiTheme="majorBidi" w:cstheme="majorBidi"/>
                                <w:bCs/>
                                <w:color w:val="000000"/>
                              </w:rPr>
                            </w:pPr>
                            <w:r w:rsidRPr="000E5D96">
                              <w:rPr>
                                <w:rFonts w:asciiTheme="majorBidi" w:eastAsiaTheme="minorEastAsia" w:hAnsiTheme="majorBidi" w:cstheme="majorBidi"/>
                                <w:bCs/>
                                <w:color w:val="000000"/>
                              </w:rPr>
                              <w:t xml:space="preserve">Papers excluded, with reasons </w:t>
                            </w:r>
                            <w:r w:rsidRPr="000E5D96">
                              <w:rPr>
                                <w:rFonts w:asciiTheme="majorBidi" w:eastAsiaTheme="minorEastAsia" w:hAnsiTheme="majorBidi" w:cstheme="majorBidi"/>
                                <w:bCs/>
                                <w:color w:val="000000"/>
                              </w:rPr>
                              <w:br/>
                              <w:t>(n = 44)</w:t>
                            </w:r>
                          </w:p>
                          <w:p w14:paraId="1194C311" w14:textId="77777777" w:rsidR="00B54D51" w:rsidRPr="000E5D96" w:rsidRDefault="00B54D51" w:rsidP="0013234E">
                            <w:pPr>
                              <w:contextualSpacing/>
                              <w:jc w:val="center"/>
                              <w:rPr>
                                <w:rFonts w:asciiTheme="majorBidi" w:eastAsiaTheme="minorEastAsia" w:hAnsiTheme="majorBidi" w:cstheme="majorBidi"/>
                                <w:bCs/>
                                <w:color w:val="000000"/>
                              </w:rPr>
                            </w:pPr>
                            <w:r w:rsidRPr="000E5D96">
                              <w:rPr>
                                <w:rFonts w:asciiTheme="majorBidi" w:eastAsiaTheme="minorEastAsia" w:hAnsiTheme="majorBidi" w:cstheme="majorBidi"/>
                                <w:bCs/>
                                <w:color w:val="000000"/>
                              </w:rPr>
                              <w:t>Reasons:</w:t>
                            </w:r>
                          </w:p>
                          <w:p w14:paraId="279CCCBA" w14:textId="77777777" w:rsidR="002A4B43" w:rsidRDefault="00B54D51" w:rsidP="0013234E">
                            <w:pPr>
                              <w:contextualSpacing/>
                              <w:jc w:val="center"/>
                              <w:rPr>
                                <w:rFonts w:asciiTheme="majorBidi" w:eastAsiaTheme="minorEastAsia" w:hAnsiTheme="majorBidi" w:cstheme="majorBidi"/>
                                <w:bCs/>
                                <w:color w:val="000000"/>
                              </w:rPr>
                            </w:pPr>
                            <w:r w:rsidRPr="000E5D96">
                              <w:rPr>
                                <w:rFonts w:asciiTheme="majorBidi" w:eastAsiaTheme="minorEastAsia" w:hAnsiTheme="majorBidi" w:cstheme="majorBidi"/>
                                <w:bCs/>
                                <w:color w:val="000000"/>
                              </w:rPr>
                              <w:t>Did not contain EQ-5D-5L</w:t>
                            </w:r>
                            <w:r>
                              <w:rPr>
                                <w:rFonts w:asciiTheme="majorBidi" w:eastAsiaTheme="minorEastAsia" w:hAnsiTheme="majorBidi" w:cstheme="majorBidi"/>
                                <w:bCs/>
                                <w:color w:val="000000"/>
                              </w:rPr>
                              <w:t xml:space="preserve"> </w:t>
                            </w:r>
                          </w:p>
                          <w:p w14:paraId="130C1479" w14:textId="6F1F8777" w:rsidR="00B54D51" w:rsidRPr="000E5D96" w:rsidRDefault="00B54D51" w:rsidP="0013234E">
                            <w:pPr>
                              <w:contextualSpacing/>
                              <w:jc w:val="center"/>
                              <w:rPr>
                                <w:rFonts w:asciiTheme="majorBidi" w:eastAsiaTheme="minorEastAsia" w:hAnsiTheme="majorBidi" w:cstheme="majorBidi"/>
                                <w:bCs/>
                                <w:color w:val="000000"/>
                              </w:rPr>
                            </w:pPr>
                            <w:r>
                              <w:rPr>
                                <w:rFonts w:asciiTheme="majorBidi" w:eastAsiaTheme="minorEastAsia" w:hAnsiTheme="majorBidi" w:cstheme="majorBidi"/>
                                <w:bCs/>
                                <w:color w:val="000000"/>
                              </w:rPr>
                              <w:t>(n = 15)</w:t>
                            </w:r>
                            <w:r w:rsidRPr="000E5D96">
                              <w:rPr>
                                <w:rFonts w:asciiTheme="majorBidi" w:eastAsiaTheme="minorEastAsia" w:hAnsiTheme="majorBidi" w:cstheme="majorBidi"/>
                                <w:bCs/>
                                <w:color w:val="000000"/>
                              </w:rPr>
                              <w:t xml:space="preserve"> </w:t>
                            </w:r>
                          </w:p>
                          <w:p w14:paraId="58F188A7" w14:textId="77777777" w:rsidR="002A4B43" w:rsidRDefault="00B54D51" w:rsidP="0013234E">
                            <w:pPr>
                              <w:contextualSpacing/>
                              <w:jc w:val="center"/>
                              <w:rPr>
                                <w:rFonts w:asciiTheme="majorBidi" w:eastAsiaTheme="minorEastAsia" w:hAnsiTheme="majorBidi" w:cstheme="majorBidi"/>
                                <w:bCs/>
                                <w:color w:val="000000"/>
                              </w:rPr>
                            </w:pPr>
                            <w:r w:rsidRPr="000E5D96">
                              <w:rPr>
                                <w:rFonts w:asciiTheme="majorBidi" w:eastAsiaTheme="minorEastAsia" w:hAnsiTheme="majorBidi" w:cstheme="majorBidi"/>
                                <w:bCs/>
                                <w:color w:val="000000"/>
                              </w:rPr>
                              <w:t xml:space="preserve">No data could be extracted </w:t>
                            </w:r>
                          </w:p>
                          <w:p w14:paraId="517A1E1D" w14:textId="3145AC58" w:rsidR="00B54D51" w:rsidRPr="000E5D96" w:rsidRDefault="00B54D51" w:rsidP="0013234E">
                            <w:pPr>
                              <w:contextualSpacing/>
                              <w:jc w:val="center"/>
                              <w:rPr>
                                <w:rFonts w:asciiTheme="majorBidi" w:eastAsiaTheme="minorEastAsia" w:hAnsiTheme="majorBidi" w:cstheme="majorBidi"/>
                                <w:bCs/>
                                <w:color w:val="000000"/>
                              </w:rPr>
                            </w:pPr>
                            <w:r>
                              <w:rPr>
                                <w:rFonts w:asciiTheme="majorBidi" w:eastAsiaTheme="minorEastAsia" w:hAnsiTheme="majorBidi" w:cstheme="majorBidi"/>
                                <w:bCs/>
                                <w:color w:val="000000"/>
                              </w:rPr>
                              <w:t>(n = 21)</w:t>
                            </w:r>
                          </w:p>
                          <w:p w14:paraId="54E230EA" w14:textId="77777777" w:rsidR="00B54D51" w:rsidRPr="000E5D96" w:rsidRDefault="00B54D51" w:rsidP="0013234E">
                            <w:pPr>
                              <w:contextualSpacing/>
                              <w:jc w:val="center"/>
                              <w:rPr>
                                <w:rFonts w:asciiTheme="majorBidi" w:eastAsiaTheme="minorEastAsia" w:hAnsiTheme="majorBidi" w:cstheme="majorBidi"/>
                                <w:bCs/>
                                <w:color w:val="000000"/>
                              </w:rPr>
                            </w:pPr>
                            <w:r w:rsidRPr="000E5D96">
                              <w:rPr>
                                <w:rFonts w:asciiTheme="majorBidi" w:eastAsiaTheme="minorEastAsia" w:hAnsiTheme="majorBidi" w:cstheme="majorBidi"/>
                                <w:bCs/>
                                <w:color w:val="000000"/>
                              </w:rPr>
                              <w:t xml:space="preserve">Wrong population </w:t>
                            </w:r>
                            <w:r>
                              <w:rPr>
                                <w:rFonts w:asciiTheme="majorBidi" w:eastAsiaTheme="minorEastAsia" w:hAnsiTheme="majorBidi" w:cstheme="majorBidi"/>
                                <w:bCs/>
                                <w:color w:val="000000"/>
                              </w:rPr>
                              <w:t>(n =8)</w:t>
                            </w:r>
                          </w:p>
                          <w:p w14:paraId="047B523C" w14:textId="77777777" w:rsidR="00B54D51" w:rsidRPr="00D830C9" w:rsidRDefault="00B54D51" w:rsidP="0013234E">
                            <w:pPr>
                              <w:pStyle w:val="ListParagraph"/>
                              <w:ind w:left="360"/>
                              <w:jc w:val="center"/>
                            </w:pPr>
                          </w:p>
                          <w:p w14:paraId="0A0E7761" w14:textId="77777777" w:rsidR="00B54D51" w:rsidRDefault="00B54D51" w:rsidP="0013234E"/>
                          <w:p w14:paraId="680684D3" w14:textId="77777777" w:rsidR="00B54D51" w:rsidRDefault="00B54D51" w:rsidP="0013234E"/>
                          <w:p w14:paraId="5D228285" w14:textId="77777777" w:rsidR="00B54D51" w:rsidRPr="007D71EF" w:rsidRDefault="00B54D51" w:rsidP="0013234E"/>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779D46" id="Rectangle 24" o:spid="_x0000_s1037" style="position:absolute;left:0;text-align:left;margin-left:318.6pt;margin-top:329.8pt;width:184.1pt;height:125.6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">
                <v:textbox inset=",7.2pt,,7.2pt">
                  <w:txbxContent>
                    <w:p w14:paraId="0C50C4A6" w14:textId="77777777" w:rsidR="00B54D51" w:rsidRPr="000E5D96" w:rsidRDefault="00B54D51" w:rsidP="0013234E">
                      <w:pPr>
                        <w:contextualSpacing/>
                        <w:jc w:val="center"/>
                        <w:rPr>
                          <w:rFonts w:asciiTheme="majorBidi" w:eastAsiaTheme="minorEastAsia" w:hAnsiTheme="majorBidi" w:cstheme="majorBidi"/>
                          <w:bCs/>
                          <w:color w:val="000000"/>
                        </w:rPr>
                      </w:pPr>
                      <w:r w:rsidRPr="000E5D96">
                        <w:rPr>
                          <w:rFonts w:asciiTheme="majorBidi" w:eastAsiaTheme="minorEastAsia" w:hAnsiTheme="majorBidi" w:cstheme="majorBidi"/>
                          <w:bCs/>
                          <w:color w:val="000000"/>
                        </w:rPr>
                        <w:t xml:space="preserve">Papers excluded, with reasons </w:t>
                      </w:r>
                      <w:r w:rsidRPr="000E5D96">
                        <w:rPr>
                          <w:rFonts w:asciiTheme="majorBidi" w:eastAsiaTheme="minorEastAsia" w:hAnsiTheme="majorBidi" w:cstheme="majorBidi"/>
                          <w:bCs/>
                          <w:color w:val="000000"/>
                        </w:rPr>
                        <w:br/>
                        <w:t>(n = 44)</w:t>
                      </w:r>
                    </w:p>
                    <w:p w14:paraId="1194C311" w14:textId="77777777" w:rsidR="00B54D51" w:rsidRPr="000E5D96" w:rsidRDefault="00B54D51" w:rsidP="0013234E">
                      <w:pPr>
                        <w:contextualSpacing/>
                        <w:jc w:val="center"/>
                        <w:rPr>
                          <w:rFonts w:asciiTheme="majorBidi" w:eastAsiaTheme="minorEastAsia" w:hAnsiTheme="majorBidi" w:cstheme="majorBidi"/>
                          <w:bCs/>
                          <w:color w:val="000000"/>
                        </w:rPr>
                      </w:pPr>
                      <w:r w:rsidRPr="000E5D96">
                        <w:rPr>
                          <w:rFonts w:asciiTheme="majorBidi" w:eastAsiaTheme="minorEastAsia" w:hAnsiTheme="majorBidi" w:cstheme="majorBidi"/>
                          <w:bCs/>
                          <w:color w:val="000000"/>
                        </w:rPr>
                        <w:t>Reasons:</w:t>
                      </w:r>
                    </w:p>
                    <w:p w14:paraId="279CCCBA" w14:textId="77777777" w:rsidR="002A4B43" w:rsidRDefault="00B54D51" w:rsidP="0013234E">
                      <w:pPr>
                        <w:contextualSpacing/>
                        <w:jc w:val="center"/>
                        <w:rPr>
                          <w:rFonts w:asciiTheme="majorBidi" w:eastAsiaTheme="minorEastAsia" w:hAnsiTheme="majorBidi" w:cstheme="majorBidi"/>
                          <w:bCs/>
                          <w:color w:val="000000"/>
                        </w:rPr>
                      </w:pPr>
                      <w:r w:rsidRPr="000E5D96">
                        <w:rPr>
                          <w:rFonts w:asciiTheme="majorBidi" w:eastAsiaTheme="minorEastAsia" w:hAnsiTheme="majorBidi" w:cstheme="majorBidi"/>
                          <w:bCs/>
                          <w:color w:val="000000"/>
                        </w:rPr>
                        <w:t>Did not contain EQ-5D-5L</w:t>
                      </w:r>
                      <w:r>
                        <w:rPr>
                          <w:rFonts w:asciiTheme="majorBidi" w:eastAsiaTheme="minorEastAsia" w:hAnsiTheme="majorBidi" w:cstheme="majorBidi"/>
                          <w:bCs/>
                          <w:color w:val="000000"/>
                        </w:rPr>
                        <w:t xml:space="preserve"> </w:t>
                      </w:r>
                    </w:p>
                    <w:p w14:paraId="130C1479" w14:textId="6F1F8777" w:rsidR="00B54D51" w:rsidRPr="000E5D96" w:rsidRDefault="00B54D51" w:rsidP="0013234E">
                      <w:pPr>
                        <w:contextualSpacing/>
                        <w:jc w:val="center"/>
                        <w:rPr>
                          <w:rFonts w:asciiTheme="majorBidi" w:eastAsiaTheme="minorEastAsia" w:hAnsiTheme="majorBidi" w:cstheme="majorBidi"/>
                          <w:bCs/>
                          <w:color w:val="000000"/>
                        </w:rPr>
                      </w:pPr>
                      <w:r>
                        <w:rPr>
                          <w:rFonts w:asciiTheme="majorBidi" w:eastAsiaTheme="minorEastAsia" w:hAnsiTheme="majorBidi" w:cstheme="majorBidi"/>
                          <w:bCs/>
                          <w:color w:val="000000"/>
                        </w:rPr>
                        <w:t>(n = 15)</w:t>
                      </w:r>
                      <w:r w:rsidRPr="000E5D96">
                        <w:rPr>
                          <w:rFonts w:asciiTheme="majorBidi" w:eastAsiaTheme="minorEastAsia" w:hAnsiTheme="majorBidi" w:cstheme="majorBidi"/>
                          <w:bCs/>
                          <w:color w:val="000000"/>
                        </w:rPr>
                        <w:t xml:space="preserve"> </w:t>
                      </w:r>
                    </w:p>
                    <w:p w14:paraId="58F188A7" w14:textId="77777777" w:rsidR="002A4B43" w:rsidRDefault="00B54D51" w:rsidP="0013234E">
                      <w:pPr>
                        <w:contextualSpacing/>
                        <w:jc w:val="center"/>
                        <w:rPr>
                          <w:rFonts w:asciiTheme="majorBidi" w:eastAsiaTheme="minorEastAsia" w:hAnsiTheme="majorBidi" w:cstheme="majorBidi"/>
                          <w:bCs/>
                          <w:color w:val="000000"/>
                        </w:rPr>
                      </w:pPr>
                      <w:r w:rsidRPr="000E5D96">
                        <w:rPr>
                          <w:rFonts w:asciiTheme="majorBidi" w:eastAsiaTheme="minorEastAsia" w:hAnsiTheme="majorBidi" w:cstheme="majorBidi"/>
                          <w:bCs/>
                          <w:color w:val="000000"/>
                        </w:rPr>
                        <w:t xml:space="preserve">No data could be extracted </w:t>
                      </w:r>
                    </w:p>
                    <w:p w14:paraId="517A1E1D" w14:textId="3145AC58" w:rsidR="00B54D51" w:rsidRPr="000E5D96" w:rsidRDefault="00B54D51" w:rsidP="0013234E">
                      <w:pPr>
                        <w:contextualSpacing/>
                        <w:jc w:val="center"/>
                        <w:rPr>
                          <w:rFonts w:asciiTheme="majorBidi" w:eastAsiaTheme="minorEastAsia" w:hAnsiTheme="majorBidi" w:cstheme="majorBidi"/>
                          <w:bCs/>
                          <w:color w:val="000000"/>
                        </w:rPr>
                      </w:pPr>
                      <w:r>
                        <w:rPr>
                          <w:rFonts w:asciiTheme="majorBidi" w:eastAsiaTheme="minorEastAsia" w:hAnsiTheme="majorBidi" w:cstheme="majorBidi"/>
                          <w:bCs/>
                          <w:color w:val="000000"/>
                        </w:rPr>
                        <w:t>(n = 21)</w:t>
                      </w:r>
                    </w:p>
                    <w:p w14:paraId="54E230EA" w14:textId="77777777" w:rsidR="00B54D51" w:rsidRPr="000E5D96" w:rsidRDefault="00B54D51" w:rsidP="0013234E">
                      <w:pPr>
                        <w:contextualSpacing/>
                        <w:jc w:val="center"/>
                        <w:rPr>
                          <w:rFonts w:asciiTheme="majorBidi" w:eastAsiaTheme="minorEastAsia" w:hAnsiTheme="majorBidi" w:cstheme="majorBidi"/>
                          <w:bCs/>
                          <w:color w:val="000000"/>
                        </w:rPr>
                      </w:pPr>
                      <w:r w:rsidRPr="000E5D96">
                        <w:rPr>
                          <w:rFonts w:asciiTheme="majorBidi" w:eastAsiaTheme="minorEastAsia" w:hAnsiTheme="majorBidi" w:cstheme="majorBidi"/>
                          <w:bCs/>
                          <w:color w:val="000000"/>
                        </w:rPr>
                        <w:t xml:space="preserve">Wrong population </w:t>
                      </w:r>
                      <w:r>
                        <w:rPr>
                          <w:rFonts w:asciiTheme="majorBidi" w:eastAsiaTheme="minorEastAsia" w:hAnsiTheme="majorBidi" w:cstheme="majorBidi"/>
                          <w:bCs/>
                          <w:color w:val="000000"/>
                        </w:rPr>
                        <w:t>(n =8)</w:t>
                      </w:r>
                    </w:p>
                    <w:p w14:paraId="047B523C" w14:textId="77777777" w:rsidR="00B54D51" w:rsidRPr="00D830C9" w:rsidRDefault="00B54D51" w:rsidP="0013234E">
                      <w:pPr>
                        <w:pStyle w:val="ListParagraph"/>
                        <w:ind w:left="360"/>
                        <w:jc w:val="center"/>
                      </w:pPr>
                    </w:p>
                    <w:p w14:paraId="0A0E7761" w14:textId="77777777" w:rsidR="00B54D51" w:rsidRDefault="00B54D51" w:rsidP="0013234E"/>
                    <w:p w14:paraId="680684D3" w14:textId="77777777" w:rsidR="00B54D51" w:rsidRDefault="00B54D51" w:rsidP="0013234E"/>
                    <w:p w14:paraId="5D228285" w14:textId="77777777" w:rsidR="00B54D51" w:rsidRPr="007D71EF" w:rsidRDefault="00B54D51" w:rsidP="0013234E"/>
                  </w:txbxContent>
                </v:textbox>
                <w10:anchorlock/>
              </v:rect>
            </w:pict>
          </mc:Fallback>
        </mc:AlternateContent>
      </w:r>
    </w:p>
    <w:p w14:paraId="112996BC" w14:textId="77777777" w:rsidR="00B54D51" w:rsidRPr="00037AD4" w:rsidRDefault="00B54D51" w:rsidP="0013234E">
      <w:pPr>
        <w:spacing w:line="360" w:lineRule="auto"/>
        <w:jc w:val="both"/>
        <w:rPr>
          <w:rFonts w:asciiTheme="minorHAnsi" w:hAnsiTheme="minorHAnsi" w:cstheme="minorHAnsi"/>
        </w:rPr>
      </w:pPr>
    </w:p>
    <w:p w14:paraId="03887322" w14:textId="77777777" w:rsidR="00B54D51" w:rsidRPr="00037AD4" w:rsidRDefault="00B54D51" w:rsidP="0013234E">
      <w:pPr>
        <w:autoSpaceDE w:val="0"/>
        <w:autoSpaceDN w:val="0"/>
        <w:adjustRightInd w:val="0"/>
        <w:spacing w:line="360" w:lineRule="auto"/>
        <w:jc w:val="both"/>
        <w:rPr>
          <w:rFonts w:asciiTheme="minorHAnsi" w:hAnsiTheme="minorHAnsi" w:cstheme="minorHAnsi"/>
          <w:color w:val="000000"/>
        </w:rPr>
      </w:pPr>
    </w:p>
    <w:p w14:paraId="24B581BF" w14:textId="77777777" w:rsidR="00B54D51" w:rsidRPr="00037AD4" w:rsidRDefault="00B54D51" w:rsidP="0013234E">
      <w:pPr>
        <w:autoSpaceDE w:val="0"/>
        <w:autoSpaceDN w:val="0"/>
        <w:adjustRightInd w:val="0"/>
        <w:spacing w:line="360" w:lineRule="auto"/>
        <w:jc w:val="both"/>
        <w:rPr>
          <w:rFonts w:asciiTheme="minorHAnsi" w:hAnsiTheme="minorHAnsi" w:cstheme="minorHAnsi"/>
          <w:color w:val="000000"/>
        </w:rPr>
      </w:pPr>
    </w:p>
    <w:p w14:paraId="623F3E2C" w14:textId="77777777" w:rsidR="00B54D51" w:rsidRPr="00037AD4" w:rsidRDefault="00B54D51" w:rsidP="0013234E">
      <w:pPr>
        <w:autoSpaceDE w:val="0"/>
        <w:autoSpaceDN w:val="0"/>
        <w:adjustRightInd w:val="0"/>
        <w:spacing w:line="360" w:lineRule="auto"/>
        <w:jc w:val="both"/>
        <w:rPr>
          <w:rFonts w:asciiTheme="minorHAnsi" w:hAnsiTheme="minorHAnsi" w:cstheme="minorHAnsi"/>
          <w:color w:val="000000"/>
        </w:rPr>
      </w:pPr>
    </w:p>
    <w:p w14:paraId="2F410A42" w14:textId="77777777" w:rsidR="00B54D51" w:rsidRPr="00037AD4" w:rsidRDefault="00B54D51" w:rsidP="0013234E">
      <w:pPr>
        <w:autoSpaceDE w:val="0"/>
        <w:autoSpaceDN w:val="0"/>
        <w:adjustRightInd w:val="0"/>
        <w:spacing w:line="360" w:lineRule="auto"/>
        <w:jc w:val="both"/>
        <w:rPr>
          <w:rFonts w:asciiTheme="minorHAnsi" w:hAnsiTheme="minorHAnsi" w:cstheme="minorHAnsi"/>
          <w:color w:val="000000"/>
        </w:rPr>
      </w:pPr>
    </w:p>
    <w:p w14:paraId="6D334B82" w14:textId="77777777" w:rsidR="00B54D51" w:rsidRPr="00037AD4" w:rsidRDefault="00B54D51" w:rsidP="0013234E">
      <w:pPr>
        <w:autoSpaceDE w:val="0"/>
        <w:autoSpaceDN w:val="0"/>
        <w:adjustRightInd w:val="0"/>
        <w:spacing w:line="360" w:lineRule="auto"/>
        <w:jc w:val="both"/>
        <w:rPr>
          <w:rFonts w:asciiTheme="minorHAnsi" w:hAnsiTheme="minorHAnsi" w:cstheme="minorHAnsi"/>
          <w:color w:val="000000"/>
        </w:rPr>
      </w:pPr>
    </w:p>
    <w:p w14:paraId="63E4A9A5" w14:textId="77777777" w:rsidR="00B54D51" w:rsidRPr="00037AD4" w:rsidRDefault="00B54D51" w:rsidP="0013234E">
      <w:pPr>
        <w:autoSpaceDE w:val="0"/>
        <w:autoSpaceDN w:val="0"/>
        <w:adjustRightInd w:val="0"/>
        <w:spacing w:line="360" w:lineRule="auto"/>
        <w:jc w:val="both"/>
        <w:rPr>
          <w:rFonts w:asciiTheme="minorHAnsi" w:hAnsiTheme="minorHAnsi" w:cstheme="minorHAnsi"/>
          <w:color w:val="000000"/>
        </w:rPr>
      </w:pPr>
    </w:p>
    <w:p w14:paraId="564CFCAD" w14:textId="77777777" w:rsidR="00B54D51" w:rsidRPr="00037AD4" w:rsidRDefault="00B54D51" w:rsidP="0013234E">
      <w:pPr>
        <w:autoSpaceDE w:val="0"/>
        <w:autoSpaceDN w:val="0"/>
        <w:adjustRightInd w:val="0"/>
        <w:spacing w:line="360" w:lineRule="auto"/>
        <w:jc w:val="both"/>
        <w:rPr>
          <w:rFonts w:asciiTheme="minorHAnsi" w:hAnsiTheme="minorHAnsi" w:cstheme="minorHAnsi"/>
          <w:color w:val="000000"/>
        </w:rPr>
      </w:pPr>
    </w:p>
    <w:p w14:paraId="62865B9A" w14:textId="77777777" w:rsidR="00B54D51" w:rsidRPr="00037AD4" w:rsidRDefault="00B54D51" w:rsidP="0013234E">
      <w:pPr>
        <w:autoSpaceDE w:val="0"/>
        <w:autoSpaceDN w:val="0"/>
        <w:adjustRightInd w:val="0"/>
        <w:spacing w:line="360" w:lineRule="auto"/>
        <w:jc w:val="both"/>
        <w:rPr>
          <w:rFonts w:asciiTheme="minorHAnsi" w:hAnsiTheme="minorHAnsi" w:cstheme="minorHAnsi"/>
          <w:color w:val="000000"/>
        </w:rPr>
      </w:pPr>
    </w:p>
    <w:p w14:paraId="57750C38" w14:textId="77777777" w:rsidR="00B54D51" w:rsidRPr="00037AD4" w:rsidRDefault="00B54D51" w:rsidP="0013234E">
      <w:pPr>
        <w:jc w:val="both"/>
        <w:rPr>
          <w:rFonts w:asciiTheme="minorHAnsi" w:hAnsiTheme="minorHAnsi" w:cstheme="minorHAnsi"/>
        </w:rPr>
      </w:pPr>
    </w:p>
    <w:p w14:paraId="4062A20D" w14:textId="77777777" w:rsidR="00B54D51" w:rsidRPr="00037AD4" w:rsidRDefault="00B54D51" w:rsidP="00916330">
      <w:pPr>
        <w:rPr>
          <w:rFonts w:asciiTheme="minorHAnsi" w:hAnsiTheme="minorHAnsi" w:cstheme="minorHAnsi"/>
        </w:rPr>
      </w:pPr>
    </w:p>
    <w:p w14:paraId="22EFA12B" w14:textId="77777777" w:rsidR="00B54D51" w:rsidRPr="00037AD4" w:rsidRDefault="00B54D51" w:rsidP="00916330">
      <w:pPr>
        <w:rPr>
          <w:rFonts w:asciiTheme="minorHAnsi" w:hAnsiTheme="minorHAnsi" w:cstheme="minorHAnsi"/>
        </w:rPr>
      </w:pPr>
    </w:p>
    <w:p w14:paraId="5E06BD4B" w14:textId="77777777" w:rsidR="00B54D51" w:rsidRPr="00037AD4" w:rsidRDefault="00B54D51" w:rsidP="00916330">
      <w:pPr>
        <w:rPr>
          <w:rFonts w:asciiTheme="minorHAnsi" w:hAnsiTheme="minorHAnsi" w:cstheme="minorHAnsi"/>
        </w:rPr>
      </w:pPr>
    </w:p>
    <w:p w14:paraId="4398DBCF" w14:textId="77777777" w:rsidR="00B54D51" w:rsidRPr="00037AD4" w:rsidRDefault="00B54D51" w:rsidP="00916330">
      <w:pPr>
        <w:rPr>
          <w:rFonts w:asciiTheme="minorHAnsi" w:hAnsiTheme="minorHAnsi" w:cstheme="minorHAnsi"/>
        </w:rPr>
      </w:pPr>
    </w:p>
    <w:p w14:paraId="5A356DD0" w14:textId="77777777" w:rsidR="00B54D51" w:rsidRPr="00037AD4" w:rsidRDefault="00B54D51" w:rsidP="00916330">
      <w:pPr>
        <w:rPr>
          <w:rFonts w:asciiTheme="minorHAnsi" w:hAnsiTheme="minorHAnsi" w:cstheme="minorHAnsi"/>
        </w:rPr>
      </w:pPr>
    </w:p>
    <w:p w14:paraId="4EC2A7B1" w14:textId="77777777" w:rsidR="00B54D51" w:rsidRPr="00037AD4" w:rsidRDefault="00B54D51" w:rsidP="00916330">
      <w:pPr>
        <w:rPr>
          <w:rFonts w:asciiTheme="minorHAnsi" w:hAnsiTheme="minorHAnsi" w:cstheme="minorHAnsi"/>
        </w:rPr>
      </w:pPr>
    </w:p>
    <w:p w14:paraId="1CA8170E" w14:textId="77777777" w:rsidR="00B54D51" w:rsidRPr="00037AD4" w:rsidRDefault="00B54D51" w:rsidP="009F78B7">
      <w:pPr>
        <w:rPr>
          <w:rFonts w:asciiTheme="minorHAnsi" w:hAnsiTheme="minorHAnsi" w:cstheme="minorHAnsi"/>
        </w:rPr>
      </w:pPr>
      <w:bookmarkStart w:id="87" w:name="_Toc80969257"/>
      <w:bookmarkStart w:id="88" w:name="_Toc80969338"/>
      <w:bookmarkStart w:id="89" w:name="_Toc80969419"/>
    </w:p>
    <w:p w14:paraId="7789412F" w14:textId="77777777" w:rsidR="00B54D51" w:rsidRPr="00037AD4" w:rsidRDefault="00B54D51" w:rsidP="009F78B7">
      <w:pPr>
        <w:rPr>
          <w:rFonts w:asciiTheme="minorHAnsi" w:hAnsiTheme="minorHAnsi" w:cstheme="minorHAnsi"/>
        </w:rPr>
      </w:pPr>
    </w:p>
    <w:p w14:paraId="6796A4C1" w14:textId="77777777" w:rsidR="00B54D51" w:rsidRPr="00037AD4" w:rsidRDefault="00B54D51" w:rsidP="009F78B7">
      <w:pPr>
        <w:rPr>
          <w:rFonts w:asciiTheme="minorHAnsi" w:hAnsiTheme="minorHAnsi" w:cstheme="minorHAnsi"/>
        </w:rPr>
      </w:pPr>
    </w:p>
    <w:p w14:paraId="193B638C" w14:textId="77777777" w:rsidR="00B54D51" w:rsidRPr="00037AD4" w:rsidRDefault="00B54D51" w:rsidP="009F78B7">
      <w:pPr>
        <w:rPr>
          <w:rFonts w:asciiTheme="minorHAnsi" w:hAnsiTheme="minorHAnsi" w:cstheme="minorHAnsi"/>
        </w:rPr>
      </w:pPr>
    </w:p>
    <w:p w14:paraId="1666A6C3" w14:textId="77777777" w:rsidR="00B54D51" w:rsidRPr="00037AD4" w:rsidRDefault="00B54D51" w:rsidP="009F78B7">
      <w:pPr>
        <w:rPr>
          <w:rFonts w:asciiTheme="minorHAnsi" w:hAnsiTheme="minorHAnsi" w:cstheme="minorHAnsi"/>
        </w:rPr>
      </w:pPr>
    </w:p>
    <w:p w14:paraId="7B184374" w14:textId="77777777" w:rsidR="00B54D51" w:rsidRPr="00037AD4" w:rsidRDefault="00B54D51" w:rsidP="009F78B7">
      <w:pPr>
        <w:rPr>
          <w:rFonts w:asciiTheme="minorHAnsi" w:hAnsiTheme="minorHAnsi" w:cstheme="minorHAnsi"/>
        </w:rPr>
      </w:pPr>
    </w:p>
    <w:p w14:paraId="6CE0B751" w14:textId="77777777" w:rsidR="00B54D51" w:rsidRPr="00037AD4" w:rsidRDefault="00B54D51" w:rsidP="009F78B7">
      <w:pPr>
        <w:rPr>
          <w:rFonts w:asciiTheme="minorHAnsi" w:hAnsiTheme="minorHAnsi" w:cstheme="minorHAnsi"/>
        </w:rPr>
      </w:pPr>
    </w:p>
    <w:p w14:paraId="03E59A23" w14:textId="77777777" w:rsidR="00B54D51" w:rsidRPr="00037AD4" w:rsidRDefault="00B54D51" w:rsidP="009F78B7">
      <w:pPr>
        <w:rPr>
          <w:rFonts w:asciiTheme="minorHAnsi" w:hAnsiTheme="minorHAnsi" w:cstheme="minorHAnsi"/>
        </w:rPr>
      </w:pPr>
    </w:p>
    <w:p w14:paraId="1A56DFFF" w14:textId="77777777" w:rsidR="00B54D51" w:rsidRPr="00037AD4" w:rsidRDefault="00B54D51" w:rsidP="009F78B7">
      <w:pPr>
        <w:rPr>
          <w:rFonts w:asciiTheme="minorHAnsi" w:hAnsiTheme="minorHAnsi" w:cstheme="minorHAnsi"/>
        </w:rPr>
      </w:pPr>
    </w:p>
    <w:p w14:paraId="11DC04B8" w14:textId="77777777" w:rsidR="00B54D51" w:rsidRPr="00037AD4" w:rsidRDefault="00B54D51" w:rsidP="006C1EA1">
      <w:pPr>
        <w:pStyle w:val="Heading2"/>
        <w:rPr>
          <w:rFonts w:asciiTheme="minorHAnsi" w:hAnsiTheme="minorHAnsi" w:cstheme="minorHAnsi"/>
        </w:rPr>
      </w:pPr>
      <w:bookmarkStart w:id="90" w:name="_Toc79582124"/>
      <w:bookmarkStart w:id="91" w:name="_Toc79839766"/>
      <w:bookmarkStart w:id="92" w:name="_Toc80257840"/>
      <w:bookmarkStart w:id="93" w:name="_Toc80969258"/>
      <w:bookmarkStart w:id="94" w:name="_Toc80969339"/>
      <w:bookmarkStart w:id="95" w:name="_Toc80969420"/>
      <w:bookmarkStart w:id="96" w:name="_Toc82180027"/>
      <w:bookmarkEnd w:id="87"/>
      <w:bookmarkEnd w:id="88"/>
      <w:bookmarkEnd w:id="89"/>
    </w:p>
    <w:p w14:paraId="40ADBA78" w14:textId="77777777" w:rsidR="00B54D51" w:rsidRPr="00037AD4" w:rsidRDefault="00B54D51" w:rsidP="003A0653">
      <w:pPr>
        <w:rPr>
          <w:rFonts w:asciiTheme="minorHAnsi" w:hAnsiTheme="minorHAnsi" w:cstheme="minorHAnsi"/>
        </w:rPr>
      </w:pPr>
    </w:p>
    <w:p w14:paraId="63D76D33" w14:textId="77777777" w:rsidR="00B54D51" w:rsidRPr="00037AD4" w:rsidRDefault="00B54D51" w:rsidP="003A0653">
      <w:pPr>
        <w:rPr>
          <w:rFonts w:asciiTheme="minorHAnsi" w:hAnsiTheme="minorHAnsi" w:cstheme="minorHAnsi"/>
        </w:rPr>
      </w:pPr>
    </w:p>
    <w:p w14:paraId="5A853509" w14:textId="77777777" w:rsidR="00B54D51" w:rsidRPr="00037AD4" w:rsidRDefault="00B54D51" w:rsidP="003A0653">
      <w:pPr>
        <w:rPr>
          <w:rFonts w:asciiTheme="minorHAnsi" w:hAnsiTheme="minorHAnsi" w:cstheme="minorHAnsi"/>
        </w:rPr>
      </w:pPr>
    </w:p>
    <w:p w14:paraId="43508F9B" w14:textId="77777777" w:rsidR="00B54D51" w:rsidRPr="00037AD4" w:rsidRDefault="00B54D51" w:rsidP="003A0653">
      <w:pPr>
        <w:rPr>
          <w:rFonts w:asciiTheme="minorHAnsi" w:hAnsiTheme="minorHAnsi" w:cstheme="minorHAnsi"/>
        </w:rPr>
      </w:pPr>
    </w:p>
    <w:p w14:paraId="04A21863" w14:textId="77777777" w:rsidR="00B54D51" w:rsidRPr="00037AD4" w:rsidRDefault="00B54D51" w:rsidP="003A0653">
      <w:pPr>
        <w:rPr>
          <w:rFonts w:asciiTheme="minorHAnsi" w:hAnsiTheme="minorHAnsi" w:cstheme="minorHAnsi"/>
        </w:rPr>
      </w:pPr>
    </w:p>
    <w:p w14:paraId="598E30BB" w14:textId="77777777" w:rsidR="00B54D51" w:rsidRPr="00037AD4" w:rsidRDefault="00B54D51" w:rsidP="003A0653">
      <w:pPr>
        <w:rPr>
          <w:rFonts w:asciiTheme="minorHAnsi" w:hAnsiTheme="minorHAnsi" w:cstheme="minorHAnsi"/>
        </w:rPr>
      </w:pPr>
    </w:p>
    <w:p w14:paraId="4AC63105" w14:textId="77777777" w:rsidR="00B84F44" w:rsidRDefault="00B84F44" w:rsidP="00D0494F">
      <w:pPr>
        <w:pStyle w:val="Heading3"/>
      </w:pPr>
    </w:p>
    <w:p w14:paraId="0D47EDAB" w14:textId="77777777" w:rsidR="00B84F44" w:rsidRDefault="00B84F44" w:rsidP="00D0494F">
      <w:pPr>
        <w:pStyle w:val="Heading3"/>
      </w:pPr>
    </w:p>
    <w:p w14:paraId="3912E6CE" w14:textId="77777777" w:rsidR="00B84F44" w:rsidRDefault="00B84F44" w:rsidP="00D0494F">
      <w:pPr>
        <w:pStyle w:val="Heading3"/>
      </w:pPr>
    </w:p>
    <w:p w14:paraId="5644DDC6" w14:textId="77777777" w:rsidR="00B84F44" w:rsidRDefault="00B84F44" w:rsidP="00B84F44"/>
    <w:p w14:paraId="43D97C18" w14:textId="77777777" w:rsidR="00B84F44" w:rsidRPr="00B84F44" w:rsidRDefault="00B84F44" w:rsidP="00B84F44"/>
    <w:p w14:paraId="15BDED98" w14:textId="109B8390" w:rsidR="00B54D51" w:rsidRPr="00037AD4" w:rsidRDefault="00B54D51" w:rsidP="00D0494F">
      <w:pPr>
        <w:pStyle w:val="Heading3"/>
      </w:pPr>
      <w:bookmarkStart w:id="97" w:name="_Toc175742264"/>
      <w:r w:rsidRPr="00037AD4">
        <w:lastRenderedPageBreak/>
        <w:t xml:space="preserve">2.3.5 Summary of </w:t>
      </w:r>
      <w:bookmarkEnd w:id="90"/>
      <w:bookmarkEnd w:id="91"/>
      <w:bookmarkEnd w:id="92"/>
      <w:r w:rsidRPr="00037AD4">
        <w:t xml:space="preserve">review </w:t>
      </w:r>
      <w:bookmarkEnd w:id="93"/>
      <w:bookmarkEnd w:id="94"/>
      <w:bookmarkEnd w:id="95"/>
      <w:bookmarkEnd w:id="96"/>
      <w:r w:rsidRPr="00037AD4">
        <w:t>results and key findings</w:t>
      </w:r>
      <w:bookmarkEnd w:id="97"/>
    </w:p>
    <w:p w14:paraId="325097AB" w14:textId="77777777" w:rsidR="00B54D51" w:rsidRPr="00037AD4" w:rsidRDefault="00B54D51" w:rsidP="00283F07">
      <w:pPr>
        <w:rPr>
          <w:rFonts w:asciiTheme="minorHAnsi" w:hAnsiTheme="minorHAnsi" w:cstheme="minorHAnsi"/>
        </w:rPr>
      </w:pPr>
    </w:p>
    <w:p w14:paraId="58D73E7B" w14:textId="77777777" w:rsidR="00B54D51" w:rsidRPr="00037AD4" w:rsidRDefault="00B54D51" w:rsidP="00283F07">
      <w:pPr>
        <w:rPr>
          <w:rFonts w:asciiTheme="minorHAnsi" w:hAnsiTheme="minorHAnsi" w:cstheme="minorHAnsi"/>
          <w:color w:val="000000" w:themeColor="text1"/>
        </w:rPr>
      </w:pPr>
      <w:r w:rsidRPr="00037AD4">
        <w:rPr>
          <w:rFonts w:asciiTheme="minorHAnsi" w:hAnsiTheme="minorHAnsi" w:cstheme="minorHAnsi"/>
        </w:rPr>
        <w:t xml:space="preserve">In total 20 papers were included within the review that related to 14 unique studies. These studies were conducted in several countries, most predominantly they were from the UK (n=7), and the English version for EQ-5D (n=13) was most frequently used. The studies recruited participants from various residential settings: care home (n=8), community dwelling (n=6), nursing home (n=4) and memory clinics (n=2). There were a range of dementia severity stages assessed across the studies (where specified): mild (n=3), mild-to-moderate (n=4), moderate-to-severe (n=2), advanced (n=1) and mild AD (n=1). A summary table of the extracted information of the study characteristics is provided </w:t>
      </w:r>
      <w:r w:rsidRPr="00037AD4">
        <w:rPr>
          <w:rFonts w:asciiTheme="minorHAnsi" w:hAnsiTheme="minorHAnsi" w:cstheme="minorHAnsi"/>
          <w:color w:val="000000" w:themeColor="text1"/>
        </w:rPr>
        <w:t xml:space="preserve">in </w:t>
      </w:r>
      <w:hyperlink w:anchor="A21" w:history="1">
        <w:r w:rsidRPr="00B54D51">
          <w:rPr>
            <w:rStyle w:val="Hyperlink"/>
            <w:rFonts w:asciiTheme="minorHAnsi" w:hAnsiTheme="minorHAnsi" w:cstheme="minorHAnsi"/>
            <w:color w:val="000000" w:themeColor="text1"/>
            <w:u w:val="none"/>
          </w:rPr>
          <w:t>Appendix 2.1</w:t>
        </w:r>
      </w:hyperlink>
      <w:r w:rsidRPr="00B54D51">
        <w:rPr>
          <w:rFonts w:asciiTheme="minorHAnsi" w:hAnsiTheme="minorHAnsi" w:cstheme="minorHAnsi"/>
          <w:color w:val="000000" w:themeColor="text1"/>
        </w:rPr>
        <w:t>.</w:t>
      </w:r>
      <w:r w:rsidRPr="00037AD4">
        <w:rPr>
          <w:rFonts w:asciiTheme="minorHAnsi" w:hAnsiTheme="minorHAnsi" w:cstheme="minorHAnsi"/>
          <w:color w:val="000000" w:themeColor="text1"/>
        </w:rPr>
        <w:t xml:space="preserve">   </w:t>
      </w:r>
    </w:p>
    <w:p w14:paraId="5484D9D6" w14:textId="77777777" w:rsidR="00B54D51" w:rsidRPr="00037AD4" w:rsidRDefault="00B54D51" w:rsidP="00283F07">
      <w:pPr>
        <w:rPr>
          <w:rFonts w:asciiTheme="minorHAnsi" w:hAnsiTheme="minorHAnsi" w:cstheme="minorHAnsi"/>
        </w:rPr>
      </w:pPr>
    </w:p>
    <w:p w14:paraId="07A5C8D4" w14:textId="77777777" w:rsidR="00B54D51" w:rsidRPr="00B54D51" w:rsidRDefault="00B54D51" w:rsidP="00283F07">
      <w:pPr>
        <w:rPr>
          <w:rFonts w:asciiTheme="minorHAnsi" w:hAnsiTheme="minorHAnsi" w:cstheme="minorHAnsi"/>
        </w:rPr>
      </w:pPr>
      <w:r w:rsidRPr="00037AD4">
        <w:rPr>
          <w:rFonts w:asciiTheme="minorHAnsi" w:hAnsiTheme="minorHAnsi" w:cstheme="minorHAnsi"/>
        </w:rPr>
        <w:t xml:space="preserve">The studies assessed EQ-5D in a range of ways: index score alone (n=10), dimensions alone (n=1), index score and dimensions (n=8), qualitative exploration (n=1). Twelve of the studies reported using UK specific utilities via the crosswalk from EQ-5D-5L to EQ-5D-3L </w:t>
      </w:r>
      <w:r>
        <w:rPr>
          <w:rFonts w:asciiTheme="minorHAnsi" w:hAnsiTheme="minorHAnsi" w:cstheme="minorHAnsi"/>
          <w:noProof/>
        </w:rPr>
        <w:t>(Van Hout et al., 2012)</w:t>
      </w:r>
      <w:r w:rsidRPr="00037AD4">
        <w:rPr>
          <w:rFonts w:asciiTheme="minorHAnsi" w:hAnsiTheme="minorHAnsi" w:cstheme="minorHAnsi"/>
        </w:rPr>
        <w:t xml:space="preserve"> and the value set for England produced by Devlin et al. (2016) (n=4). One study used both sets mentioned, and for the remaining UK articles it is unclear though there is some reference to UK values (n=3). Of the international studies the following value sets were used: Australian value set (n=1), crosswalk from the Singaporean 3L value set (n=1) and Spanish value set (n=1). The value set used is unclear in a further four articles, and one qualitative paper does not use any value set, while another only analysed dimensions. Summary tables of the extracted data from the review studies are provided in </w:t>
      </w:r>
      <w:hyperlink w:anchor="A22" w:history="1">
        <w:r w:rsidRPr="00B54D51">
          <w:rPr>
            <w:rStyle w:val="Hyperlink"/>
            <w:rFonts w:asciiTheme="minorHAnsi" w:hAnsiTheme="minorHAnsi" w:cstheme="minorHAnsi"/>
            <w:color w:val="000000" w:themeColor="text1"/>
            <w:u w:val="none"/>
          </w:rPr>
          <w:t>Appendix 2.2</w:t>
        </w:r>
      </w:hyperlink>
      <w:r w:rsidRPr="00B54D51">
        <w:rPr>
          <w:rFonts w:asciiTheme="minorHAnsi" w:hAnsiTheme="minorHAnsi" w:cstheme="minorHAnsi"/>
          <w:color w:val="000000" w:themeColor="text1"/>
        </w:rPr>
        <w:t xml:space="preserve"> </w:t>
      </w:r>
      <w:hyperlink w:anchor="A26" w:history="1">
        <w:r w:rsidRPr="00B54D51">
          <w:rPr>
            <w:rStyle w:val="Hyperlink"/>
            <w:rFonts w:asciiTheme="minorHAnsi" w:hAnsiTheme="minorHAnsi" w:cstheme="minorHAnsi"/>
            <w:color w:val="000000" w:themeColor="text1"/>
            <w:u w:val="none"/>
          </w:rPr>
          <w:t xml:space="preserve">– 2.6. </w:t>
        </w:r>
      </w:hyperlink>
      <w:r w:rsidRPr="00B54D51">
        <w:rPr>
          <w:rFonts w:asciiTheme="minorHAnsi" w:hAnsiTheme="minorHAnsi" w:cstheme="minorHAnsi"/>
          <w:color w:val="000000" w:themeColor="text1"/>
        </w:rPr>
        <w:t xml:space="preserve"> </w:t>
      </w:r>
    </w:p>
    <w:p w14:paraId="7E161792" w14:textId="77777777" w:rsidR="00B54D51" w:rsidRDefault="00B54D51" w:rsidP="00283F07">
      <w:pPr>
        <w:rPr>
          <w:rFonts w:asciiTheme="minorHAnsi" w:hAnsiTheme="minorHAnsi" w:cstheme="minorHAnsi"/>
        </w:rPr>
      </w:pPr>
    </w:p>
    <w:p w14:paraId="08059EAB" w14:textId="488E0361" w:rsidR="0002494A" w:rsidRDefault="00CA09A9" w:rsidP="00283F07">
      <w:pPr>
        <w:rPr>
          <w:rFonts w:asciiTheme="minorHAnsi" w:hAnsiTheme="minorHAnsi" w:cstheme="minorHAnsi"/>
          <w:color w:val="000000"/>
        </w:rPr>
      </w:pPr>
      <w:r w:rsidRPr="00CA09A9">
        <w:rPr>
          <w:rFonts w:asciiTheme="minorHAnsi" w:hAnsiTheme="minorHAnsi" w:cstheme="minorHAnsi"/>
          <w:color w:val="000000"/>
        </w:rPr>
        <w:t>Although a quality assessment was conducted, it did not influence the findings, as only three of the papers were determined to be of low quality. The primary purpose of the quality appraisal was not to exclude any papers, but to provide a contextual understanding of the available evidence by including all relevant studies, irrespective of their quality. If a greater number of papers had been deemed low quality, it would have indicated a more significant concern regarding the psychometric evidence available in the field.</w:t>
      </w:r>
    </w:p>
    <w:p w14:paraId="022817E8" w14:textId="77777777" w:rsidR="00CA09A9" w:rsidRPr="00037AD4" w:rsidRDefault="00CA09A9" w:rsidP="00283F07">
      <w:pPr>
        <w:rPr>
          <w:rFonts w:asciiTheme="minorHAnsi" w:hAnsiTheme="minorHAnsi" w:cstheme="minorHAnsi"/>
        </w:rPr>
      </w:pPr>
    </w:p>
    <w:p w14:paraId="309342D6" w14:textId="77777777" w:rsidR="00B54D51" w:rsidRPr="00037AD4" w:rsidRDefault="00B54D51" w:rsidP="00283F07">
      <w:pPr>
        <w:rPr>
          <w:rFonts w:asciiTheme="minorHAnsi" w:hAnsiTheme="minorHAnsi" w:cstheme="minorHAnsi"/>
        </w:rPr>
      </w:pPr>
      <w:r w:rsidRPr="00037AD4">
        <w:rPr>
          <w:rFonts w:asciiTheme="minorHAnsi" w:hAnsiTheme="minorHAnsi" w:cstheme="minorHAnsi"/>
        </w:rPr>
        <w:t xml:space="preserve">Known group validity was explored by seven of the studies, the data from which is </w:t>
      </w:r>
      <w:r w:rsidRPr="00037AD4">
        <w:rPr>
          <w:rFonts w:asciiTheme="minorHAnsi" w:hAnsiTheme="minorHAnsi" w:cstheme="minorHAnsi"/>
          <w:color w:val="000000" w:themeColor="text1"/>
        </w:rPr>
        <w:t xml:space="preserve">presented in </w:t>
      </w:r>
      <w:hyperlink w:anchor="A22" w:history="1">
        <w:r w:rsidRPr="00B54D51">
          <w:rPr>
            <w:rStyle w:val="Hyperlink"/>
            <w:rFonts w:asciiTheme="minorHAnsi" w:hAnsiTheme="minorHAnsi" w:cstheme="minorHAnsi"/>
            <w:color w:val="000000" w:themeColor="text1"/>
            <w:u w:val="none"/>
          </w:rPr>
          <w:t>Appendix 2.2</w:t>
        </w:r>
      </w:hyperlink>
      <w:r w:rsidRPr="00B54D51">
        <w:rPr>
          <w:rFonts w:asciiTheme="minorHAnsi" w:hAnsiTheme="minorHAnsi" w:cstheme="minorHAnsi"/>
          <w:color w:val="000000" w:themeColor="text1"/>
        </w:rPr>
        <w:t>. The</w:t>
      </w:r>
      <w:r w:rsidRPr="00037AD4">
        <w:rPr>
          <w:rFonts w:asciiTheme="minorHAnsi" w:hAnsiTheme="minorHAnsi" w:cstheme="minorHAnsi"/>
          <w:color w:val="000000" w:themeColor="text1"/>
        </w:rPr>
        <w:t xml:space="preserve"> </w:t>
      </w:r>
      <w:r w:rsidRPr="00037AD4">
        <w:rPr>
          <w:rFonts w:asciiTheme="minorHAnsi" w:hAnsiTheme="minorHAnsi" w:cstheme="minorHAnsi"/>
        </w:rPr>
        <w:t xml:space="preserve">findings indicated that EQ-5D-5L scores can distinguish between different severities as measured by cognitive impairment, depression, level of dependence and pain. Five of the seven studies reported clear differences in the expected direction, one study reported some opposing findings (but overall, as expected) </w:t>
      </w:r>
      <w:r>
        <w:rPr>
          <w:rFonts w:asciiTheme="minorHAnsi" w:hAnsiTheme="minorHAnsi" w:cstheme="minorHAnsi"/>
          <w:noProof/>
          <w:color w:val="000000" w:themeColor="text1"/>
        </w:rPr>
        <w:t>(Ratcliffe et al., 2017)</w:t>
      </w:r>
      <w:r w:rsidRPr="00037AD4">
        <w:rPr>
          <w:rFonts w:asciiTheme="minorHAnsi" w:hAnsiTheme="minorHAnsi" w:cstheme="minorHAnsi"/>
          <w:color w:val="000000" w:themeColor="text1"/>
        </w:rPr>
        <w:t xml:space="preserve"> and another study found that while the results are in the expected direction </w:t>
      </w:r>
      <w:r w:rsidRPr="00037AD4">
        <w:rPr>
          <w:rFonts w:asciiTheme="minorHAnsi" w:hAnsiTheme="minorHAnsi" w:cstheme="minorHAnsi"/>
        </w:rPr>
        <w:t xml:space="preserve">(EQ-5D correlation with cognition and functional impairment), EQ-5D scores were higher in those with a dementia diagnosis than those </w:t>
      </w:r>
      <w:r w:rsidRPr="00037AD4">
        <w:rPr>
          <w:rFonts w:asciiTheme="minorHAnsi" w:hAnsiTheme="minorHAnsi" w:cstheme="minorHAnsi"/>
          <w:color w:val="000000" w:themeColor="text1"/>
        </w:rPr>
        <w:t xml:space="preserve">without </w:t>
      </w:r>
      <w:r>
        <w:rPr>
          <w:rFonts w:asciiTheme="minorHAnsi" w:hAnsiTheme="minorHAnsi" w:cstheme="minorHAnsi"/>
          <w:noProof/>
          <w:color w:val="000000" w:themeColor="text1"/>
        </w:rPr>
        <w:t>(Easton et al., 2018)</w:t>
      </w:r>
      <w:r w:rsidRPr="00037AD4">
        <w:rPr>
          <w:rFonts w:asciiTheme="minorHAnsi" w:hAnsiTheme="minorHAnsi" w:cstheme="minorHAnsi"/>
          <w:color w:val="000000" w:themeColor="text1"/>
        </w:rPr>
        <w:t>.</w:t>
      </w:r>
    </w:p>
    <w:p w14:paraId="1C77DCE4" w14:textId="77777777" w:rsidR="00B54D51" w:rsidRPr="00037AD4" w:rsidRDefault="00B54D51" w:rsidP="00283F07">
      <w:pPr>
        <w:rPr>
          <w:rFonts w:asciiTheme="minorHAnsi" w:hAnsiTheme="minorHAnsi" w:cstheme="minorHAnsi"/>
        </w:rPr>
      </w:pPr>
    </w:p>
    <w:p w14:paraId="3D61E5CE" w14:textId="77777777" w:rsidR="00B54D51" w:rsidRPr="00B54D51" w:rsidRDefault="00B54D51" w:rsidP="00283F07">
      <w:pPr>
        <w:rPr>
          <w:rFonts w:asciiTheme="minorHAnsi" w:hAnsiTheme="minorHAnsi" w:cstheme="minorHAnsi"/>
          <w:color w:val="000000" w:themeColor="text1"/>
        </w:rPr>
      </w:pPr>
      <w:r w:rsidRPr="00037AD4">
        <w:rPr>
          <w:rFonts w:asciiTheme="minorHAnsi" w:hAnsiTheme="minorHAnsi" w:cstheme="minorHAnsi"/>
        </w:rPr>
        <w:t xml:space="preserve">Convergent validity was explored in nine of the studies, whereby all of the studies reported significant correlations between EQ-5D scores and scores on other key measures such as: DEMQoL-U, DEMQoL-U-Proxy, QUALID, ICECAP-O and QoL-AD-NH. However, the strength of the associations was </w:t>
      </w:r>
      <w:r w:rsidRPr="00037AD4">
        <w:rPr>
          <w:rFonts w:asciiTheme="minorHAnsi" w:hAnsiTheme="minorHAnsi" w:cstheme="minorHAnsi"/>
          <w:color w:val="000000" w:themeColor="text1"/>
        </w:rPr>
        <w:t>mixed, whereby four studies reported weak correlation coefficients (r&lt;0.4) despite their significant associations</w:t>
      </w:r>
      <w:r>
        <w:rPr>
          <w:rFonts w:asciiTheme="minorHAnsi" w:hAnsiTheme="minorHAnsi" w:cstheme="minorHAnsi"/>
          <w:color w:val="000000" w:themeColor="text1"/>
        </w:rPr>
        <w:t xml:space="preserve"> </w:t>
      </w:r>
      <w:r>
        <w:rPr>
          <w:rFonts w:asciiTheme="minorHAnsi" w:hAnsiTheme="minorHAnsi" w:cstheme="minorHAnsi"/>
          <w:noProof/>
          <w:color w:val="000000" w:themeColor="text1"/>
        </w:rPr>
        <w:t>(Easton et al., 2018, Martin et al., 2019, Griffiths et al., 2020, Sopina et al., 2019)</w:t>
      </w:r>
      <w:r w:rsidRPr="00037AD4">
        <w:rPr>
          <w:rFonts w:asciiTheme="minorHAnsi" w:hAnsiTheme="minorHAnsi" w:cstheme="minorHAnsi"/>
          <w:color w:val="000000" w:themeColor="text1"/>
        </w:rPr>
        <w:t xml:space="preserve">. Convergent validity evidence is reported in </w:t>
      </w:r>
      <w:hyperlink w:anchor="A23" w:history="1">
        <w:r w:rsidRPr="00B54D51">
          <w:rPr>
            <w:rStyle w:val="Hyperlink"/>
            <w:rFonts w:asciiTheme="minorHAnsi" w:hAnsiTheme="minorHAnsi" w:cstheme="minorHAnsi"/>
            <w:color w:val="000000" w:themeColor="text1"/>
            <w:u w:val="none"/>
          </w:rPr>
          <w:t>Appendix 2.3.</w:t>
        </w:r>
      </w:hyperlink>
      <w:r w:rsidRPr="00B54D51">
        <w:rPr>
          <w:rFonts w:asciiTheme="minorHAnsi" w:hAnsiTheme="minorHAnsi" w:cstheme="minorHAnsi"/>
          <w:color w:val="000000" w:themeColor="text1"/>
        </w:rPr>
        <w:t xml:space="preserve"> </w:t>
      </w:r>
    </w:p>
    <w:p w14:paraId="6FB9D48B" w14:textId="77777777" w:rsidR="00B54D51" w:rsidRPr="00037AD4" w:rsidRDefault="00B54D51" w:rsidP="00283F07">
      <w:pPr>
        <w:rPr>
          <w:rFonts w:asciiTheme="minorHAnsi" w:hAnsiTheme="minorHAnsi" w:cstheme="minorHAnsi"/>
          <w:color w:val="000000" w:themeColor="text1"/>
        </w:rPr>
      </w:pPr>
    </w:p>
    <w:p w14:paraId="471BC7FD" w14:textId="77777777" w:rsidR="00B54D51" w:rsidRPr="00037AD4" w:rsidRDefault="00B54D51" w:rsidP="00283F07">
      <w:pPr>
        <w:rPr>
          <w:rFonts w:asciiTheme="minorHAnsi" w:hAnsiTheme="minorHAnsi" w:cstheme="minorHAnsi"/>
        </w:rPr>
      </w:pPr>
      <w:r w:rsidRPr="00037AD4">
        <w:rPr>
          <w:rFonts w:asciiTheme="minorHAnsi" w:hAnsiTheme="minorHAnsi" w:cstheme="minorHAnsi"/>
          <w:color w:val="000000" w:themeColor="text1"/>
        </w:rPr>
        <w:lastRenderedPageBreak/>
        <w:t xml:space="preserve">Extracted responsiveness data is reported in </w:t>
      </w:r>
      <w:hyperlink w:anchor="A24" w:history="1">
        <w:r w:rsidRPr="00B54D51">
          <w:rPr>
            <w:rStyle w:val="Hyperlink"/>
            <w:rFonts w:asciiTheme="minorHAnsi" w:hAnsiTheme="minorHAnsi" w:cstheme="minorHAnsi"/>
            <w:color w:val="000000" w:themeColor="text1"/>
            <w:u w:val="none"/>
          </w:rPr>
          <w:t>Appendix 2.4</w:t>
        </w:r>
      </w:hyperlink>
      <w:r w:rsidRPr="00B54D51">
        <w:rPr>
          <w:rFonts w:asciiTheme="minorHAnsi" w:hAnsiTheme="minorHAnsi" w:cstheme="minorHAnsi"/>
          <w:color w:val="000000" w:themeColor="text1"/>
        </w:rPr>
        <w:t>;</w:t>
      </w:r>
      <w:r w:rsidRPr="00037AD4">
        <w:rPr>
          <w:rFonts w:asciiTheme="minorHAnsi" w:hAnsiTheme="minorHAnsi" w:cstheme="minorHAnsi"/>
          <w:color w:val="000000" w:themeColor="text1"/>
        </w:rPr>
        <w:t xml:space="preserve"> six </w:t>
      </w:r>
      <w:r w:rsidRPr="00037AD4">
        <w:rPr>
          <w:rFonts w:asciiTheme="minorHAnsi" w:hAnsiTheme="minorHAnsi" w:cstheme="minorHAnsi"/>
        </w:rPr>
        <w:t xml:space="preserve">of the studies explored responsiveness with all of the studies assessing EQ-5D-5L index score from baseline to one or more follow-up points. Five of the six studies reported clear change in the expected direction, however one study reported evidence of responsiveness for proxy-reported EQ-5D-5L (completed by informal or staff proxies), but not when self-completed by the PwD themselves </w:t>
      </w:r>
      <w:r>
        <w:rPr>
          <w:rFonts w:asciiTheme="minorHAnsi" w:hAnsiTheme="minorHAnsi" w:cstheme="minorHAnsi"/>
          <w:noProof/>
        </w:rPr>
        <w:t>(Martin et al., 2019)</w:t>
      </w:r>
      <w:r w:rsidRPr="00037AD4">
        <w:rPr>
          <w:rFonts w:asciiTheme="minorHAnsi" w:hAnsiTheme="minorHAnsi" w:cstheme="minorHAnsi"/>
        </w:rPr>
        <w:t xml:space="preserve">. </w:t>
      </w:r>
    </w:p>
    <w:p w14:paraId="0FD4198B" w14:textId="77777777" w:rsidR="00B54D51" w:rsidRPr="00037AD4" w:rsidRDefault="00B54D51" w:rsidP="00283F07">
      <w:pPr>
        <w:rPr>
          <w:rFonts w:asciiTheme="minorHAnsi" w:hAnsiTheme="minorHAnsi" w:cstheme="minorHAnsi"/>
        </w:rPr>
      </w:pPr>
    </w:p>
    <w:p w14:paraId="56E49ACC" w14:textId="77777777" w:rsidR="00B54D51" w:rsidRPr="00B54D51" w:rsidRDefault="00B54D51" w:rsidP="00283F07">
      <w:pPr>
        <w:rPr>
          <w:rFonts w:asciiTheme="minorHAnsi" w:hAnsiTheme="minorHAnsi" w:cstheme="minorHAnsi"/>
        </w:rPr>
      </w:pPr>
      <w:r w:rsidRPr="00037AD4">
        <w:rPr>
          <w:rFonts w:asciiTheme="minorHAnsi" w:hAnsiTheme="minorHAnsi" w:cstheme="minorHAnsi"/>
        </w:rPr>
        <w:t xml:space="preserve">Inter-rater reliability was assessed by seven of the studies, which compared PwD self and proxy reported (staff proxies (n=2), informal caregivers (family member/friend) (n=4), both (n=1)) EQ-5D. All studies show clear evidence for the lack of inter-rater reliability between PwD and proxy reports. Across the studies, people with dementia self-reported higher EQ-5D scores than those provided by proxies. </w:t>
      </w:r>
      <w:r w:rsidRPr="00037AD4">
        <w:rPr>
          <w:rFonts w:asciiTheme="minorHAnsi" w:hAnsiTheme="minorHAnsi" w:cstheme="minorHAnsi"/>
          <w:color w:val="000000" w:themeColor="text1"/>
        </w:rPr>
        <w:t xml:space="preserve">This information is provided in </w:t>
      </w:r>
      <w:hyperlink w:anchor="A25" w:history="1">
        <w:r w:rsidRPr="00B54D51">
          <w:rPr>
            <w:rStyle w:val="Hyperlink"/>
            <w:rFonts w:asciiTheme="minorHAnsi" w:hAnsiTheme="minorHAnsi" w:cstheme="minorHAnsi"/>
            <w:color w:val="000000" w:themeColor="text1"/>
            <w:u w:val="none"/>
          </w:rPr>
          <w:t>Appendix 2.5.</w:t>
        </w:r>
      </w:hyperlink>
    </w:p>
    <w:p w14:paraId="1B1371E2" w14:textId="77777777" w:rsidR="00B54D51" w:rsidRPr="00B54D51" w:rsidRDefault="00B54D51" w:rsidP="00283F07">
      <w:pPr>
        <w:rPr>
          <w:rFonts w:asciiTheme="minorHAnsi" w:hAnsiTheme="minorHAnsi" w:cstheme="minorHAnsi"/>
        </w:rPr>
      </w:pPr>
    </w:p>
    <w:p w14:paraId="5404A28C" w14:textId="77777777" w:rsidR="00B54D51" w:rsidRPr="00037AD4" w:rsidRDefault="00B54D51" w:rsidP="00283F07">
      <w:pPr>
        <w:rPr>
          <w:rFonts w:asciiTheme="minorHAnsi" w:hAnsiTheme="minorHAnsi" w:cstheme="minorHAnsi"/>
        </w:rPr>
      </w:pPr>
      <w:r w:rsidRPr="00B54D51">
        <w:rPr>
          <w:rFonts w:asciiTheme="minorHAnsi" w:hAnsiTheme="minorHAnsi" w:cstheme="minorHAnsi"/>
        </w:rPr>
        <w:t>Ten of the studies explored acceptability and feasibility</w:t>
      </w:r>
      <w:r w:rsidRPr="00B54D51">
        <w:rPr>
          <w:rFonts w:asciiTheme="minorHAnsi" w:hAnsiTheme="minorHAnsi" w:cstheme="minorHAnsi"/>
          <w:color w:val="000000" w:themeColor="text1"/>
        </w:rPr>
        <w:t xml:space="preserve">, as presented in </w:t>
      </w:r>
      <w:hyperlink w:anchor="A26" w:history="1">
        <w:r w:rsidRPr="00B54D51">
          <w:rPr>
            <w:rStyle w:val="Hyperlink"/>
            <w:rFonts w:asciiTheme="minorHAnsi" w:hAnsiTheme="minorHAnsi" w:cstheme="minorHAnsi"/>
            <w:color w:val="000000" w:themeColor="text1"/>
            <w:u w:val="none"/>
          </w:rPr>
          <w:t>Appendix 2.6</w:t>
        </w:r>
      </w:hyperlink>
      <w:r w:rsidRPr="00B54D51">
        <w:rPr>
          <w:rFonts w:asciiTheme="minorHAnsi" w:hAnsiTheme="minorHAnsi" w:cstheme="minorHAnsi"/>
          <w:color w:val="000000" w:themeColor="text1"/>
        </w:rPr>
        <w:t>.</w:t>
      </w:r>
      <w:r w:rsidRPr="00037AD4">
        <w:rPr>
          <w:rFonts w:asciiTheme="minorHAnsi" w:hAnsiTheme="minorHAnsi" w:cstheme="minorHAnsi"/>
          <w:color w:val="000000" w:themeColor="text1"/>
        </w:rPr>
        <w:t xml:space="preserve"> </w:t>
      </w:r>
      <w:r w:rsidRPr="00037AD4">
        <w:rPr>
          <w:rFonts w:asciiTheme="minorHAnsi" w:hAnsiTheme="minorHAnsi" w:cstheme="minorHAnsi"/>
        </w:rPr>
        <w:t xml:space="preserve">Five of the studies reported EQ-5D-5L to be acceptable for use in dementia populations, however one study reported that self-completion is feasible for only part of the population </w:t>
      </w:r>
      <w:r>
        <w:rPr>
          <w:rFonts w:asciiTheme="minorHAnsi" w:hAnsiTheme="minorHAnsi" w:cstheme="minorHAnsi"/>
          <w:noProof/>
        </w:rPr>
        <w:t>(Easton et al., 2018)</w:t>
      </w:r>
      <w:r w:rsidRPr="00037AD4">
        <w:rPr>
          <w:rFonts w:asciiTheme="minorHAnsi" w:hAnsiTheme="minorHAnsi" w:cstheme="minorHAnsi"/>
        </w:rPr>
        <w:t xml:space="preserve">. It was generally found that as dementia severity increases, the feasibility of EQ-5D-5L data collection decreases due to issues with severe cognitive impairment and fatigue.  </w:t>
      </w:r>
    </w:p>
    <w:p w14:paraId="50DCBE95" w14:textId="77777777" w:rsidR="00B54D51" w:rsidRPr="00037AD4" w:rsidRDefault="00B54D51" w:rsidP="00093AE7">
      <w:pPr>
        <w:rPr>
          <w:rFonts w:asciiTheme="minorHAnsi" w:hAnsiTheme="minorHAnsi" w:cstheme="minorHAnsi"/>
          <w:b/>
          <w:bCs/>
        </w:rPr>
      </w:pPr>
    </w:p>
    <w:p w14:paraId="3F883F48" w14:textId="77777777" w:rsidR="00B54D51" w:rsidRPr="00037AD4" w:rsidRDefault="00B54D51" w:rsidP="00093AE7">
      <w:pPr>
        <w:rPr>
          <w:rFonts w:asciiTheme="minorHAnsi" w:hAnsiTheme="minorHAnsi" w:cstheme="minorHAnsi"/>
        </w:rPr>
      </w:pPr>
      <w:r w:rsidRPr="00037AD4">
        <w:rPr>
          <w:rFonts w:asciiTheme="minorHAnsi" w:hAnsiTheme="minorHAnsi" w:cstheme="minorHAnsi"/>
        </w:rPr>
        <w:t>Overall, the findings suggest that EQ-5D-5L possesses good psychometric performance in dementia populations. However, it is important to interpret the results with caution due to the relatively limited availability of published evidence. Only a subset of studies directly aimed to investigate psychometric properties, highlighting a gap in the existing literature and evidence base. One significant finding relates to the impact of dementia progression on the PwD’s ability to self-complete EQ-5D. Although it is common practice to rely on proxy reports under these cases, the review highlighted another key finding - the poor inter-rater agreement between PwD-reported and proxy-reported EQ-5D. This finding mirrors similar observations in the broader literature, emphasising the need for further exploration to understand the intricacies of PwD and proxy reported HRQoL outcomes in the context of dementia.</w:t>
      </w:r>
    </w:p>
    <w:p w14:paraId="68F08F3C" w14:textId="77777777" w:rsidR="00B54D51" w:rsidRPr="00037AD4" w:rsidRDefault="00B54D51" w:rsidP="00B4763B">
      <w:pPr>
        <w:rPr>
          <w:rFonts w:asciiTheme="minorHAnsi" w:hAnsiTheme="minorHAnsi" w:cstheme="minorHAnsi"/>
        </w:rPr>
      </w:pPr>
    </w:p>
    <w:p w14:paraId="6FB3E815" w14:textId="77777777" w:rsidR="00B54D51" w:rsidRPr="00037AD4" w:rsidRDefault="00B54D51" w:rsidP="007A43F9">
      <w:pPr>
        <w:pStyle w:val="Heading2"/>
      </w:pPr>
      <w:bookmarkStart w:id="98" w:name="_2.4_The_principles"/>
      <w:bookmarkStart w:id="99" w:name="_2.4_The_key"/>
      <w:bookmarkStart w:id="100" w:name="_Toc79582107"/>
      <w:bookmarkStart w:id="101" w:name="_Toc79839735"/>
      <w:bookmarkStart w:id="102" w:name="_Toc80257809"/>
      <w:bookmarkStart w:id="103" w:name="_Toc80969259"/>
      <w:bookmarkStart w:id="104" w:name="_Toc80969340"/>
      <w:bookmarkStart w:id="105" w:name="_Toc80969421"/>
      <w:bookmarkStart w:id="106" w:name="_Toc82180028"/>
      <w:bookmarkStart w:id="107" w:name="_Toc175742265"/>
      <w:bookmarkEnd w:id="98"/>
      <w:bookmarkEnd w:id="99"/>
      <w:r w:rsidRPr="00037AD4">
        <w:t xml:space="preserve">2.4 The key concepts around self and proxy reported quality of life: a pearl growing literature </w:t>
      </w:r>
      <w:bookmarkEnd w:id="100"/>
      <w:bookmarkEnd w:id="101"/>
      <w:bookmarkEnd w:id="102"/>
      <w:bookmarkEnd w:id="103"/>
      <w:bookmarkEnd w:id="104"/>
      <w:bookmarkEnd w:id="105"/>
      <w:bookmarkEnd w:id="106"/>
      <w:r w:rsidRPr="00037AD4">
        <w:t>review</w:t>
      </w:r>
      <w:bookmarkEnd w:id="107"/>
    </w:p>
    <w:p w14:paraId="63DB4E0F" w14:textId="77777777" w:rsidR="00B54D51" w:rsidRPr="00037AD4" w:rsidRDefault="00B54D51" w:rsidP="00B4763B">
      <w:pPr>
        <w:rPr>
          <w:rFonts w:asciiTheme="minorHAnsi" w:eastAsiaTheme="minorHAnsi" w:hAnsiTheme="minorHAnsi" w:cstheme="minorHAnsi"/>
          <w:color w:val="000000" w:themeColor="text1"/>
          <w:lang w:eastAsia="en-US"/>
        </w:rPr>
      </w:pPr>
    </w:p>
    <w:p w14:paraId="33828858" w14:textId="097A8501" w:rsidR="00B54D51" w:rsidRPr="00B84F44" w:rsidRDefault="00B54D51" w:rsidP="00B84F44">
      <w:pPr>
        <w:rPr>
          <w:rFonts w:asciiTheme="minorHAnsi" w:hAnsiTheme="minorHAnsi" w:cstheme="minorHAnsi"/>
          <w:b/>
          <w:bCs/>
          <w:u w:val="single"/>
        </w:rPr>
      </w:pPr>
      <w:r w:rsidRPr="00037AD4">
        <w:rPr>
          <w:rFonts w:asciiTheme="minorHAnsi" w:hAnsiTheme="minorHAnsi" w:cstheme="minorHAnsi"/>
          <w:color w:val="000000" w:themeColor="text1"/>
        </w:rPr>
        <w:t>The purpose of this literature review is to evaluate existing literature surrounding participants’ self-reported HRQoL assessments, in contrast with reports made by proxies on their behalf. To include a range of perspectives, an article with no fixed clinical area has been selected as the “pearl”. It is beneficial to gain insights across health condition as this knowledge may be applied to the context of dementia. The findings from dementia-specific studies can subsequently validate and enrich this broader knowledge. As this section relates specifically to the nuances of different types of respondent’s reports, a broader definition of QoL is included, as opposed to purely HRQoL. This approach expands the scope, offering greater potential for gaining insights into the differences observed when comparing respondent reports.</w:t>
      </w:r>
      <w:bookmarkStart w:id="108" w:name="_Toc79582108"/>
      <w:bookmarkStart w:id="109" w:name="_Toc79839736"/>
      <w:bookmarkStart w:id="110" w:name="_Toc80257810"/>
      <w:bookmarkStart w:id="111" w:name="_Toc80969260"/>
      <w:bookmarkStart w:id="112" w:name="_Toc80969341"/>
      <w:bookmarkStart w:id="113" w:name="_Toc80969422"/>
      <w:bookmarkStart w:id="114" w:name="_Toc82180029"/>
    </w:p>
    <w:p w14:paraId="31B55CD4" w14:textId="77777777" w:rsidR="00B54D51" w:rsidRPr="00037AD4" w:rsidRDefault="00B54D51" w:rsidP="007A43F9">
      <w:pPr>
        <w:pStyle w:val="Heading3"/>
      </w:pPr>
      <w:bookmarkStart w:id="115" w:name="_Toc175742266"/>
      <w:r w:rsidRPr="00037AD4">
        <w:lastRenderedPageBreak/>
        <w:t xml:space="preserve">2.4.1 </w:t>
      </w:r>
      <w:bookmarkEnd w:id="108"/>
      <w:bookmarkEnd w:id="109"/>
      <w:bookmarkEnd w:id="110"/>
      <w:bookmarkEnd w:id="111"/>
      <w:bookmarkEnd w:id="112"/>
      <w:bookmarkEnd w:id="113"/>
      <w:bookmarkEnd w:id="114"/>
      <w:r w:rsidRPr="00037AD4">
        <w:t>Introduction</w:t>
      </w:r>
      <w:bookmarkEnd w:id="115"/>
      <w:r w:rsidRPr="00037AD4">
        <w:t xml:space="preserve"> </w:t>
      </w:r>
    </w:p>
    <w:p w14:paraId="15B70816" w14:textId="77777777" w:rsidR="00B54D51" w:rsidRPr="00037AD4" w:rsidRDefault="00B54D51" w:rsidP="00E83629">
      <w:pPr>
        <w:rPr>
          <w:rFonts w:asciiTheme="minorHAnsi" w:hAnsiTheme="minorHAnsi" w:cstheme="minorHAnsi"/>
        </w:rPr>
      </w:pPr>
    </w:p>
    <w:p w14:paraId="29BDEA04" w14:textId="77777777" w:rsidR="00B54D51" w:rsidRPr="00037AD4" w:rsidRDefault="00B54D51" w:rsidP="00E83629">
      <w:pPr>
        <w:rPr>
          <w:rFonts w:asciiTheme="minorHAnsi" w:hAnsiTheme="minorHAnsi" w:cstheme="minorHAnsi"/>
        </w:rPr>
      </w:pPr>
      <w:r w:rsidRPr="00037AD4">
        <w:rPr>
          <w:rFonts w:asciiTheme="minorHAnsi" w:hAnsiTheme="minorHAnsi" w:cstheme="minorHAnsi"/>
        </w:rPr>
        <w:t>QoL assessments may be provided by a proxy to either supplement or replace self-assessments when necessary. However, using proxies presents several practical challenges, including the selection of an appropriate proxy and determining the perspective they should adopt when providing reports. To gain insight into these challenges and the established concepts regarding self and proxy-reported QoL, a pearl-growing literature search was conducted. This serves as an important preliminary step for the subsequent chapters, as it facilitates an understanding of the theories and concepts surrounding self and proxy reporting – a central aspect throughout this thesis aimed at optimising HRQoL assessments for use in dementia economic evaluations. Knowledge of these challenges and principles can later be drawn upon and recognised when appraising dementia studies that have collected both PwD and proxy data, and when analysing such data. Whenever feasible, the identified principles have been related to findings from dementia research.</w:t>
      </w:r>
    </w:p>
    <w:p w14:paraId="75C773DE" w14:textId="77777777" w:rsidR="00B54D51" w:rsidRPr="00037AD4" w:rsidRDefault="00B54D51" w:rsidP="007A43F9">
      <w:pPr>
        <w:pStyle w:val="Heading3"/>
      </w:pPr>
    </w:p>
    <w:p w14:paraId="7FB4F25F" w14:textId="77777777" w:rsidR="00B54D51" w:rsidRPr="00037AD4" w:rsidRDefault="00B54D51" w:rsidP="007A43F9">
      <w:pPr>
        <w:pStyle w:val="Heading3"/>
        <w:rPr>
          <w:bCs/>
          <w:szCs w:val="26"/>
        </w:rPr>
      </w:pPr>
      <w:bookmarkStart w:id="116" w:name="_Toc79582109"/>
      <w:bookmarkStart w:id="117" w:name="_Toc79839737"/>
      <w:bookmarkStart w:id="118" w:name="_Toc80257811"/>
      <w:bookmarkStart w:id="119" w:name="_Toc80969261"/>
      <w:bookmarkStart w:id="120" w:name="_Toc80969342"/>
      <w:bookmarkStart w:id="121" w:name="_Toc80969423"/>
      <w:bookmarkStart w:id="122" w:name="_Toc82180030"/>
      <w:bookmarkStart w:id="123" w:name="_Toc175742267"/>
      <w:r w:rsidRPr="00037AD4">
        <w:rPr>
          <w:bCs/>
          <w:szCs w:val="26"/>
        </w:rPr>
        <w:t>2.4.2 Methods</w:t>
      </w:r>
      <w:bookmarkEnd w:id="116"/>
      <w:bookmarkEnd w:id="117"/>
      <w:bookmarkEnd w:id="118"/>
      <w:bookmarkEnd w:id="119"/>
      <w:bookmarkEnd w:id="120"/>
      <w:bookmarkEnd w:id="121"/>
      <w:bookmarkEnd w:id="122"/>
      <w:bookmarkEnd w:id="123"/>
    </w:p>
    <w:p w14:paraId="5BC327E9" w14:textId="77777777" w:rsidR="00B54D51" w:rsidRPr="00037AD4" w:rsidRDefault="00B54D51" w:rsidP="00B4763B">
      <w:pPr>
        <w:rPr>
          <w:rFonts w:asciiTheme="minorHAnsi" w:hAnsiTheme="minorHAnsi" w:cstheme="minorHAnsi"/>
          <w:color w:val="000000" w:themeColor="text1"/>
        </w:rPr>
      </w:pPr>
    </w:p>
    <w:p w14:paraId="68DF0A28" w14:textId="77777777" w:rsidR="00B54D51" w:rsidRPr="00037AD4" w:rsidRDefault="00B54D51" w:rsidP="00B4763B">
      <w:pPr>
        <w:rPr>
          <w:rFonts w:asciiTheme="minorHAnsi" w:hAnsiTheme="minorHAnsi" w:cstheme="minorHAnsi"/>
          <w:color w:val="000000" w:themeColor="text1"/>
        </w:rPr>
      </w:pPr>
      <w:r w:rsidRPr="00037AD4">
        <w:rPr>
          <w:rFonts w:asciiTheme="minorHAnsi" w:hAnsiTheme="minorHAnsi" w:cstheme="minorHAnsi"/>
          <w:color w:val="000000" w:themeColor="text1"/>
        </w:rPr>
        <w:t xml:space="preserve">Pearl growing is a literature-searching technique that builds upon information that one already has. It relies on identifying a key article (referred to as “the pearl”) which is central to the topic, and chain searching the references of this article. The article is then forward searched to identify articles that have been cited by the primary article </w:t>
      </w:r>
      <w:r>
        <w:rPr>
          <w:rFonts w:asciiTheme="minorHAnsi" w:hAnsiTheme="minorHAnsi" w:cstheme="minorHAnsi"/>
          <w:noProof/>
          <w:color w:val="000000" w:themeColor="text1"/>
        </w:rPr>
        <w:t>(Papaioannou et al., 2010)</w:t>
      </w:r>
      <w:r w:rsidRPr="00037AD4">
        <w:rPr>
          <w:rFonts w:asciiTheme="minorHAnsi" w:hAnsiTheme="minorHAnsi" w:cstheme="minorHAnsi"/>
          <w:color w:val="000000" w:themeColor="text1"/>
        </w:rPr>
        <w:t>. Conducting this type of review enables an understanding of the key concepts that have been established within the research area of interest via recurrent reporting and confirmatory analyses.</w:t>
      </w:r>
    </w:p>
    <w:p w14:paraId="4F958BAE" w14:textId="77777777" w:rsidR="00B54D51" w:rsidRPr="00037AD4" w:rsidRDefault="00B54D51" w:rsidP="00B4763B">
      <w:pPr>
        <w:rPr>
          <w:rFonts w:asciiTheme="minorHAnsi" w:hAnsiTheme="minorHAnsi" w:cstheme="minorHAnsi"/>
          <w:color w:val="000000" w:themeColor="text1"/>
        </w:rPr>
      </w:pPr>
    </w:p>
    <w:p w14:paraId="371C624F" w14:textId="77777777" w:rsidR="00B54D51" w:rsidRPr="00037AD4" w:rsidRDefault="00B54D51" w:rsidP="00B4763B">
      <w:pPr>
        <w:rPr>
          <w:rFonts w:asciiTheme="minorHAnsi" w:hAnsiTheme="minorHAnsi" w:cstheme="minorHAnsi"/>
          <w:color w:val="000000" w:themeColor="text1"/>
        </w:rPr>
      </w:pPr>
      <w:r w:rsidRPr="00037AD4">
        <w:rPr>
          <w:rFonts w:asciiTheme="minorHAnsi" w:hAnsiTheme="minorHAnsi" w:cstheme="minorHAnsi"/>
          <w:color w:val="000000" w:themeColor="text1"/>
        </w:rPr>
        <w:t xml:space="preserve">The primary “pearl” article identified was </w:t>
      </w:r>
      <w:r w:rsidRPr="00037AD4">
        <w:rPr>
          <w:rFonts w:asciiTheme="minorHAnsi" w:hAnsiTheme="minorHAnsi" w:cstheme="minorHAnsi"/>
          <w:color w:val="000000" w:themeColor="text1"/>
          <w:shd w:val="clear" w:color="auto" w:fill="FFFFFF"/>
        </w:rPr>
        <w:t xml:space="preserve">Rand, S. E., and Caiels, J. </w:t>
      </w:r>
      <w:r w:rsidRPr="00037AD4">
        <w:rPr>
          <w:rFonts w:asciiTheme="minorHAnsi" w:hAnsiTheme="minorHAnsi" w:cstheme="minorHAnsi"/>
          <w:i/>
          <w:iCs/>
          <w:color w:val="000000" w:themeColor="text1"/>
          <w:shd w:val="clear" w:color="auto" w:fill="FFFFFF"/>
        </w:rPr>
        <w:t>"Using proxies to assess quality of life: a review of the issues and challenges."</w:t>
      </w:r>
      <w:r w:rsidRPr="00037AD4">
        <w:rPr>
          <w:rFonts w:asciiTheme="minorHAnsi" w:hAnsiTheme="minorHAnsi" w:cstheme="minorHAnsi"/>
          <w:color w:val="000000" w:themeColor="text1"/>
          <w:shd w:val="clear" w:color="auto" w:fill="FFFFFF"/>
        </w:rPr>
        <w:t xml:space="preserve"> (2015) </w:t>
      </w:r>
      <w:r>
        <w:rPr>
          <w:rFonts w:asciiTheme="minorHAnsi" w:hAnsiTheme="minorHAnsi" w:cstheme="minorHAnsi"/>
          <w:noProof/>
          <w:color w:val="000000" w:themeColor="text1"/>
          <w:shd w:val="clear" w:color="auto" w:fill="FFFFFF"/>
        </w:rPr>
        <w:t>(Rand and Caiels, 2015)</w:t>
      </w:r>
      <w:r w:rsidRPr="00037AD4">
        <w:rPr>
          <w:rFonts w:asciiTheme="minorHAnsi" w:hAnsiTheme="minorHAnsi" w:cstheme="minorHAnsi"/>
          <w:color w:val="000000" w:themeColor="text1"/>
          <w:shd w:val="clear" w:color="auto" w:fill="FFFFFF"/>
        </w:rPr>
        <w:t xml:space="preserve">. This reference was selected as it provides a comprehensive summary of the literature on the use of proxy assessments of QoL and is not limited by clinical area. </w:t>
      </w:r>
    </w:p>
    <w:p w14:paraId="56F45135" w14:textId="77777777" w:rsidR="00B54D51" w:rsidRPr="00037AD4" w:rsidRDefault="00B54D51" w:rsidP="00B4763B">
      <w:pPr>
        <w:rPr>
          <w:rFonts w:asciiTheme="minorHAnsi" w:hAnsiTheme="minorHAnsi" w:cstheme="minorHAnsi"/>
        </w:rPr>
      </w:pPr>
    </w:p>
    <w:p w14:paraId="75DC364B" w14:textId="77777777" w:rsidR="00B54D51" w:rsidRPr="00037AD4" w:rsidRDefault="00B54D51" w:rsidP="007A43F9">
      <w:pPr>
        <w:pStyle w:val="Heading3"/>
      </w:pPr>
      <w:bookmarkStart w:id="124" w:name="_Toc79582110"/>
      <w:bookmarkStart w:id="125" w:name="_Toc79839738"/>
      <w:bookmarkStart w:id="126" w:name="_Toc80257812"/>
      <w:bookmarkStart w:id="127" w:name="_Toc80969262"/>
      <w:bookmarkStart w:id="128" w:name="_Toc80969343"/>
      <w:bookmarkStart w:id="129" w:name="_Toc80969424"/>
      <w:bookmarkStart w:id="130" w:name="_Toc82180031"/>
      <w:bookmarkStart w:id="131" w:name="_Toc175742268"/>
      <w:r w:rsidRPr="00037AD4">
        <w:t>2.4.3 Aims and objectives</w:t>
      </w:r>
      <w:bookmarkEnd w:id="124"/>
      <w:bookmarkEnd w:id="125"/>
      <w:bookmarkEnd w:id="126"/>
      <w:bookmarkEnd w:id="127"/>
      <w:bookmarkEnd w:id="128"/>
      <w:bookmarkEnd w:id="129"/>
      <w:bookmarkEnd w:id="130"/>
      <w:bookmarkEnd w:id="131"/>
      <w:r w:rsidRPr="00037AD4">
        <w:t xml:space="preserve">  </w:t>
      </w:r>
    </w:p>
    <w:p w14:paraId="1C1BC57F" w14:textId="77777777" w:rsidR="00B54D51" w:rsidRPr="00037AD4" w:rsidRDefault="00B54D51" w:rsidP="00B4763B">
      <w:pPr>
        <w:rPr>
          <w:rFonts w:asciiTheme="minorHAnsi" w:hAnsiTheme="minorHAnsi" w:cstheme="minorHAnsi"/>
        </w:rPr>
      </w:pPr>
    </w:p>
    <w:p w14:paraId="7074627D" w14:textId="77777777" w:rsidR="00B54D51" w:rsidRPr="00037AD4" w:rsidRDefault="00B54D51" w:rsidP="00B4763B">
      <w:pPr>
        <w:rPr>
          <w:rFonts w:asciiTheme="minorHAnsi" w:hAnsiTheme="minorHAnsi" w:cstheme="minorHAnsi"/>
        </w:rPr>
      </w:pPr>
      <w:r w:rsidRPr="00037AD4">
        <w:rPr>
          <w:rFonts w:asciiTheme="minorHAnsi" w:hAnsiTheme="minorHAnsi" w:cstheme="minorHAnsi"/>
        </w:rPr>
        <w:t xml:space="preserve">The aim of this literature review is to summarise the existing evidence on the use of proxy rated QoL. The findings are presented by division into key themes that have been identified within the “pearl” article. Where possible, literature linking these themes to dementia through the chain searched references is reported. </w:t>
      </w:r>
    </w:p>
    <w:p w14:paraId="3BF34EF2" w14:textId="77777777" w:rsidR="00B54D51" w:rsidRPr="00037AD4" w:rsidRDefault="00B54D51" w:rsidP="00B4763B">
      <w:pPr>
        <w:rPr>
          <w:rFonts w:asciiTheme="minorHAnsi" w:hAnsiTheme="minorHAnsi" w:cstheme="minorHAnsi"/>
        </w:rPr>
      </w:pPr>
    </w:p>
    <w:p w14:paraId="0028655F" w14:textId="77777777" w:rsidR="00B54D51" w:rsidRPr="00037AD4" w:rsidRDefault="00B54D51" w:rsidP="00B4763B">
      <w:pPr>
        <w:rPr>
          <w:rFonts w:asciiTheme="minorHAnsi" w:hAnsiTheme="minorHAnsi" w:cstheme="minorHAnsi"/>
        </w:rPr>
      </w:pPr>
      <w:r w:rsidRPr="00037AD4">
        <w:rPr>
          <w:rFonts w:asciiTheme="minorHAnsi" w:hAnsiTheme="minorHAnsi" w:cstheme="minorHAnsi"/>
        </w:rPr>
        <w:t>Rand and Caiels (2015) conducted a literature search between 200</w:t>
      </w:r>
      <w:r>
        <w:rPr>
          <w:rFonts w:asciiTheme="minorHAnsi" w:hAnsiTheme="minorHAnsi" w:cstheme="minorHAnsi"/>
        </w:rPr>
        <w:t>4</w:t>
      </w:r>
      <w:r w:rsidRPr="00037AD4">
        <w:rPr>
          <w:rFonts w:asciiTheme="minorHAnsi" w:hAnsiTheme="minorHAnsi" w:cstheme="minorHAnsi"/>
        </w:rPr>
        <w:t xml:space="preserve"> and 2014 with the aim of identifying methodological challenges and issues associated with the use of proxy reports to collect QoL data in adult populations. They identified 79 articles that met their inclusion/exclusion criteria, of which five were other literature reviews. The clinical group varied, including both mental and physical conditions, such as: dementia (n=30), cancer (n=11), intellectual disabilities (n=5) and stroke (n=5). The QoL instruments assessed by the selected studies included both disease specific and generic measures, such as QoL-AD (n=17), EQ-5D (n=14) and SF-36 (n=3). The authors highlighted an article by Pickard and Knight titled “</w:t>
      </w:r>
      <w:r w:rsidRPr="00037AD4">
        <w:rPr>
          <w:rFonts w:asciiTheme="minorHAnsi" w:hAnsiTheme="minorHAnsi" w:cstheme="minorHAnsi"/>
          <w:shd w:val="clear" w:color="auto" w:fill="FFFFFF"/>
        </w:rPr>
        <w:t xml:space="preserve">Proxy evaluation of health-related quality of life: a conceptual framework for </w:t>
      </w:r>
      <w:r w:rsidRPr="00037AD4">
        <w:rPr>
          <w:rFonts w:asciiTheme="minorHAnsi" w:hAnsiTheme="minorHAnsi" w:cstheme="minorHAnsi"/>
          <w:shd w:val="clear" w:color="auto" w:fill="FFFFFF"/>
        </w:rPr>
        <w:lastRenderedPageBreak/>
        <w:t>understanding multiple proxy perspectives”, published in Medical Care in</w:t>
      </w:r>
      <w:r w:rsidRPr="00037AD4">
        <w:rPr>
          <w:rFonts w:asciiTheme="minorHAnsi" w:hAnsiTheme="minorHAnsi" w:cstheme="minorHAnsi"/>
        </w:rPr>
        <w:t xml:space="preserve"> 2005, </w:t>
      </w:r>
      <w:r>
        <w:rPr>
          <w:rFonts w:asciiTheme="minorHAnsi" w:hAnsiTheme="minorHAnsi" w:cstheme="minorHAnsi"/>
          <w:noProof/>
        </w:rPr>
        <w:t>(Pickard and Knight, 2005)</w:t>
      </w:r>
      <w:r w:rsidRPr="00037AD4">
        <w:rPr>
          <w:rFonts w:asciiTheme="minorHAnsi" w:hAnsiTheme="minorHAnsi" w:cstheme="minorHAnsi"/>
        </w:rPr>
        <w:t xml:space="preserve"> as being central to the conceptualisation of proxy assessments for HRQoL; therefore, this article is also summarised separately within this section. </w:t>
      </w:r>
    </w:p>
    <w:p w14:paraId="33AFAEC5" w14:textId="77777777" w:rsidR="00B54D51" w:rsidRPr="00037AD4" w:rsidRDefault="00B54D51" w:rsidP="00B4763B">
      <w:pPr>
        <w:rPr>
          <w:rFonts w:asciiTheme="minorHAnsi" w:hAnsiTheme="minorHAnsi" w:cstheme="minorHAnsi"/>
        </w:rPr>
      </w:pPr>
    </w:p>
    <w:p w14:paraId="0213D697" w14:textId="77777777" w:rsidR="00B54D51" w:rsidRPr="00037AD4" w:rsidRDefault="00B54D51" w:rsidP="00D0494F">
      <w:pPr>
        <w:pStyle w:val="Heading3"/>
      </w:pPr>
      <w:bookmarkStart w:id="132" w:name="_Toc175742269"/>
      <w:r w:rsidRPr="00037AD4">
        <w:t>2.4.4 Results</w:t>
      </w:r>
      <w:bookmarkEnd w:id="132"/>
      <w:r w:rsidRPr="00037AD4">
        <w:t xml:space="preserve"> </w:t>
      </w:r>
    </w:p>
    <w:p w14:paraId="4E1C17BA" w14:textId="77777777" w:rsidR="00B54D51" w:rsidRPr="00037AD4" w:rsidRDefault="00B54D51" w:rsidP="00D0494F"/>
    <w:p w14:paraId="26C70F3E" w14:textId="77777777" w:rsidR="00B54D51" w:rsidRPr="00037AD4" w:rsidRDefault="00B54D51" w:rsidP="00B4763B">
      <w:pPr>
        <w:rPr>
          <w:rFonts w:asciiTheme="minorHAnsi" w:hAnsiTheme="minorHAnsi" w:cstheme="minorHAnsi"/>
        </w:rPr>
      </w:pPr>
      <w:r w:rsidRPr="00037AD4">
        <w:rPr>
          <w:rFonts w:asciiTheme="minorHAnsi" w:hAnsiTheme="minorHAnsi" w:cstheme="minorHAnsi"/>
        </w:rPr>
        <w:t>The following section summarises the findings of the pearl-growing literature review.</w:t>
      </w:r>
    </w:p>
    <w:p w14:paraId="3DA091BE" w14:textId="77777777" w:rsidR="00B54D51" w:rsidRPr="00037AD4" w:rsidRDefault="00B54D51" w:rsidP="00B4763B">
      <w:pPr>
        <w:rPr>
          <w:rFonts w:asciiTheme="minorHAnsi" w:hAnsiTheme="minorHAnsi" w:cstheme="minorHAnsi"/>
        </w:rPr>
      </w:pPr>
    </w:p>
    <w:p w14:paraId="54040628" w14:textId="77777777" w:rsidR="00B54D51" w:rsidRPr="00037AD4" w:rsidRDefault="00B54D51" w:rsidP="00D0494F">
      <w:pPr>
        <w:pStyle w:val="Heading4"/>
      </w:pPr>
      <w:bookmarkStart w:id="133" w:name="_Toc79582111"/>
      <w:bookmarkStart w:id="134" w:name="_Toc79839739"/>
      <w:bookmarkStart w:id="135" w:name="_Toc80257813"/>
      <w:bookmarkStart w:id="136" w:name="_Toc80969263"/>
      <w:bookmarkStart w:id="137" w:name="_Toc80969344"/>
      <w:bookmarkStart w:id="138" w:name="_Toc80969425"/>
      <w:bookmarkStart w:id="139" w:name="_Toc82180032"/>
      <w:bookmarkStart w:id="140" w:name="S2341"/>
      <w:r w:rsidRPr="00037AD4">
        <w:t xml:space="preserve">2.4.4.1 General comparison of self and proxy reported </w:t>
      </w:r>
      <w:bookmarkEnd w:id="133"/>
      <w:bookmarkEnd w:id="134"/>
      <w:r w:rsidRPr="00037AD4">
        <w:t>quality of life</w:t>
      </w:r>
      <w:bookmarkEnd w:id="135"/>
      <w:bookmarkEnd w:id="136"/>
      <w:bookmarkEnd w:id="137"/>
      <w:bookmarkEnd w:id="138"/>
      <w:bookmarkEnd w:id="139"/>
      <w:bookmarkEnd w:id="140"/>
    </w:p>
    <w:p w14:paraId="396D0818" w14:textId="77777777" w:rsidR="00B54D51" w:rsidRPr="00037AD4" w:rsidRDefault="00B54D51" w:rsidP="002E5956">
      <w:pPr>
        <w:pStyle w:val="NormalWeb"/>
        <w:rPr>
          <w:rFonts w:asciiTheme="minorHAnsi" w:hAnsiTheme="minorHAnsi" w:cstheme="minorHAnsi"/>
        </w:rPr>
      </w:pPr>
      <w:r w:rsidRPr="00037AD4">
        <w:rPr>
          <w:rFonts w:asciiTheme="minorHAnsi" w:hAnsiTheme="minorHAnsi" w:cstheme="minorHAnsi"/>
        </w:rPr>
        <w:t xml:space="preserve">The review reports evidence from the studies of various conditions (for example, dementia, cancer and stroke) regarding inter-rater disparity between self and proxy reported QoL, which the authors describe as “proxy bias”. Rand and Caiels (2015) explain that proxy-bias can manifest as an underestimation or overestimation of scores when compared with self-reports, and that proxies may exhibit a tendency to moderate their QoL reports, leaning toward a middle-ground response, rather than extremes of very good or very poor QoL </w:t>
      </w:r>
      <w:r>
        <w:rPr>
          <w:rFonts w:asciiTheme="minorHAnsi" w:hAnsiTheme="minorHAnsi" w:cstheme="minorHAnsi"/>
          <w:noProof/>
        </w:rPr>
        <w:t>(Rand and Caiels, 2015)</w:t>
      </w:r>
      <w:r w:rsidRPr="00037AD4">
        <w:rPr>
          <w:rFonts w:asciiTheme="minorHAnsi" w:hAnsiTheme="minorHAnsi" w:cstheme="minorHAnsi"/>
        </w:rPr>
        <w:t>. This pattern aligns with the concept of central tendency bias, which describes the occurrence of individuals to provide middle/centr</w:t>
      </w:r>
      <w:r>
        <w:rPr>
          <w:rFonts w:asciiTheme="minorHAnsi" w:hAnsiTheme="minorHAnsi" w:cstheme="minorHAnsi"/>
        </w:rPr>
        <w:t>al</w:t>
      </w:r>
      <w:r w:rsidRPr="00037AD4">
        <w:rPr>
          <w:rFonts w:asciiTheme="minorHAnsi" w:hAnsiTheme="minorHAnsi" w:cstheme="minorHAnsi"/>
        </w:rPr>
        <w:t xml:space="preserve"> item responses on scales of surveys and questionnaires. Central tendency bias has been reported to be driven by factors such as uncertainty, desire for social acceptance and hesitance to express strong opinions </w:t>
      </w:r>
      <w:r>
        <w:rPr>
          <w:rFonts w:asciiTheme="minorHAnsi" w:hAnsiTheme="minorHAnsi" w:cstheme="minorHAnsi"/>
          <w:noProof/>
        </w:rPr>
        <w:t>(Crosetto et al., 2020)</w:t>
      </w:r>
      <w:r w:rsidRPr="00037AD4">
        <w:rPr>
          <w:rFonts w:asciiTheme="minorHAnsi" w:hAnsiTheme="minorHAnsi" w:cstheme="minorHAnsi"/>
        </w:rPr>
        <w:t>. These driving factors may similarly contribute to the observed proxy bias in proxy reports.</w:t>
      </w:r>
    </w:p>
    <w:p w14:paraId="26DC5936" w14:textId="77777777" w:rsidR="00B54D51" w:rsidRPr="00037AD4" w:rsidRDefault="00B54D51" w:rsidP="00B4763B">
      <w:pPr>
        <w:rPr>
          <w:rFonts w:asciiTheme="minorHAnsi" w:hAnsiTheme="minorHAnsi" w:cstheme="minorHAnsi"/>
          <w:color w:val="000000" w:themeColor="text1"/>
        </w:rPr>
      </w:pPr>
      <w:r w:rsidRPr="00037AD4">
        <w:rPr>
          <w:rFonts w:asciiTheme="minorHAnsi" w:hAnsiTheme="minorHAnsi" w:cstheme="minorHAnsi"/>
        </w:rPr>
        <w:t xml:space="preserve">A </w:t>
      </w:r>
      <w:r w:rsidRPr="00037AD4">
        <w:rPr>
          <w:rFonts w:asciiTheme="minorHAnsi" w:hAnsiTheme="minorHAnsi" w:cstheme="minorHAnsi"/>
          <w:i/>
          <w:iCs/>
        </w:rPr>
        <w:t>pessimistic</w:t>
      </w:r>
      <w:r w:rsidRPr="00037AD4">
        <w:rPr>
          <w:rFonts w:asciiTheme="minorHAnsi" w:hAnsiTheme="minorHAnsi" w:cstheme="minorHAnsi"/>
        </w:rPr>
        <w:t xml:space="preserve"> proxy bias is frequently reported in dementia-specific literature. Two prior systematic reviews with a focus on dementia consistently found that self-reported QoL scores by people with dementia tend to be more optimistic when compared to proxy reports about the same person </w:t>
      </w:r>
      <w:r>
        <w:rPr>
          <w:rFonts w:asciiTheme="minorHAnsi" w:hAnsiTheme="minorHAnsi" w:cstheme="minorHAnsi"/>
          <w:noProof/>
        </w:rPr>
        <w:t>(Shearer et al., 2012, Hounsome et al., 2011)</w:t>
      </w:r>
      <w:r w:rsidRPr="00037AD4">
        <w:rPr>
          <w:rFonts w:asciiTheme="minorHAnsi" w:hAnsiTheme="minorHAnsi" w:cstheme="minorHAnsi"/>
        </w:rPr>
        <w:t xml:space="preserve">. </w:t>
      </w:r>
      <w:r w:rsidRPr="00037AD4">
        <w:rPr>
          <w:rFonts w:asciiTheme="minorHAnsi" w:hAnsiTheme="minorHAnsi" w:cstheme="minorHAnsi"/>
          <w:color w:val="000000" w:themeColor="text1"/>
        </w:rPr>
        <w:t xml:space="preserve">Several theories attempt to explain the occurrence of proxy bias in the context of dementia. Many widely used (HR)QoL measures are designed for self-report, with subsequent proxy instructions. These measures include “non-observable” or subjectively experienced dimensions, such as anxiety and depression. It has been suggested that proxies may overestimate difficulties in these less observable QoL dimensions </w:t>
      </w:r>
      <w:r>
        <w:rPr>
          <w:rFonts w:asciiTheme="minorHAnsi" w:hAnsiTheme="minorHAnsi" w:cstheme="minorHAnsi"/>
          <w:noProof/>
          <w:color w:val="000000" w:themeColor="text1"/>
        </w:rPr>
        <w:t>(Haywood et al., 2005)</w:t>
      </w:r>
      <w:r w:rsidRPr="00037AD4">
        <w:rPr>
          <w:rFonts w:asciiTheme="minorHAnsi" w:hAnsiTheme="minorHAnsi" w:cstheme="minorHAnsi"/>
          <w:color w:val="000000" w:themeColor="text1"/>
        </w:rPr>
        <w:t xml:space="preserve">, making proxy completion more challenging and less reliable for these specific areas </w:t>
      </w:r>
      <w:r>
        <w:rPr>
          <w:rFonts w:asciiTheme="minorHAnsi" w:hAnsiTheme="minorHAnsi" w:cstheme="minorHAnsi"/>
          <w:noProof/>
        </w:rPr>
        <w:t>(Griffiths et al., 2020)</w:t>
      </w:r>
      <w:r w:rsidRPr="00037AD4">
        <w:rPr>
          <w:rFonts w:asciiTheme="minorHAnsi" w:hAnsiTheme="minorHAnsi" w:cstheme="minorHAnsi"/>
        </w:rPr>
        <w:t xml:space="preserve">. </w:t>
      </w:r>
      <w:r w:rsidRPr="00037AD4">
        <w:rPr>
          <w:rFonts w:asciiTheme="minorHAnsi" w:hAnsiTheme="minorHAnsi" w:cstheme="minorHAnsi"/>
          <w:color w:val="000000" w:themeColor="text1"/>
        </w:rPr>
        <w:t xml:space="preserve">Another theory relates to the idea of proxies projecting their own experienced caregiving burden onto their reports of the QoL about the PwD </w:t>
      </w:r>
      <w:r>
        <w:rPr>
          <w:rFonts w:asciiTheme="minorHAnsi" w:hAnsiTheme="minorHAnsi" w:cstheme="minorHAnsi"/>
          <w:noProof/>
        </w:rPr>
        <w:t>(Shearer et al., 2012)</w:t>
      </w:r>
      <w:r w:rsidRPr="00037AD4">
        <w:rPr>
          <w:rFonts w:asciiTheme="minorHAnsi" w:hAnsiTheme="minorHAnsi" w:cstheme="minorHAnsi"/>
        </w:rPr>
        <w:t>, also known as “projection bias”. This is particularly relevant for informal proxies</w:t>
      </w:r>
      <w:r w:rsidRPr="00037AD4">
        <w:rPr>
          <w:rFonts w:asciiTheme="minorHAnsi" w:hAnsiTheme="minorHAnsi" w:cstheme="minorHAnsi"/>
          <w:color w:val="000000" w:themeColor="text1"/>
        </w:rPr>
        <w:t xml:space="preserve">, as research indicates that caregivers with high perceived burden scores, as measured by specific instruments such as the Caregiver Burden Scale </w:t>
      </w:r>
      <w:r>
        <w:rPr>
          <w:rFonts w:asciiTheme="minorHAnsi" w:hAnsiTheme="minorHAnsi" w:cstheme="minorHAnsi"/>
          <w:noProof/>
          <w:color w:val="000000" w:themeColor="text1"/>
        </w:rPr>
        <w:t>(Graessel et al., 2014)</w:t>
      </w:r>
      <w:r w:rsidRPr="00037AD4">
        <w:rPr>
          <w:rFonts w:asciiTheme="minorHAnsi" w:hAnsiTheme="minorHAnsi" w:cstheme="minorHAnsi"/>
          <w:color w:val="000000" w:themeColor="text1"/>
        </w:rPr>
        <w:t xml:space="preserve"> and the Zarit Burden-Interview </w:t>
      </w:r>
      <w:r>
        <w:rPr>
          <w:rFonts w:asciiTheme="minorHAnsi" w:hAnsiTheme="minorHAnsi" w:cstheme="minorHAnsi"/>
          <w:noProof/>
          <w:color w:val="000000" w:themeColor="text1"/>
        </w:rPr>
        <w:t>(Higginson et al., 2010)</w:t>
      </w:r>
      <w:r w:rsidRPr="00037AD4">
        <w:rPr>
          <w:rFonts w:asciiTheme="minorHAnsi" w:hAnsiTheme="minorHAnsi" w:cstheme="minorHAnsi"/>
          <w:color w:val="000000" w:themeColor="text1"/>
        </w:rPr>
        <w:t xml:space="preserve">, reported significantly lower mean proxy EQ-5D scores </w:t>
      </w:r>
      <w:r>
        <w:rPr>
          <w:rFonts w:asciiTheme="minorHAnsi" w:hAnsiTheme="minorHAnsi" w:cstheme="minorHAnsi"/>
          <w:noProof/>
          <w:color w:val="000000" w:themeColor="text1"/>
        </w:rPr>
        <w:t>(Shearer et al., 2012, Andren and Elmståhl, 2008)</w:t>
      </w:r>
      <w:r w:rsidRPr="00037AD4">
        <w:rPr>
          <w:rFonts w:asciiTheme="minorHAnsi" w:hAnsiTheme="minorHAnsi" w:cstheme="minorHAnsi"/>
          <w:color w:val="000000" w:themeColor="text1"/>
        </w:rPr>
        <w:t>.</w:t>
      </w:r>
    </w:p>
    <w:p w14:paraId="6E5733F2" w14:textId="77777777" w:rsidR="00B54D51" w:rsidRPr="00037AD4" w:rsidRDefault="00B54D51" w:rsidP="00B4763B">
      <w:pPr>
        <w:rPr>
          <w:rFonts w:asciiTheme="minorHAnsi" w:hAnsiTheme="minorHAnsi" w:cstheme="minorHAnsi"/>
        </w:rPr>
      </w:pPr>
    </w:p>
    <w:p w14:paraId="2270C81F" w14:textId="77777777" w:rsidR="00B54D51" w:rsidRPr="00037AD4" w:rsidRDefault="00B54D51" w:rsidP="00D0494F">
      <w:pPr>
        <w:pStyle w:val="Heading4"/>
      </w:pPr>
      <w:bookmarkStart w:id="141" w:name="_Toc79582112"/>
      <w:bookmarkStart w:id="142" w:name="_Toc79839740"/>
      <w:bookmarkStart w:id="143" w:name="_Toc80257814"/>
      <w:bookmarkStart w:id="144" w:name="_Toc80969264"/>
      <w:bookmarkStart w:id="145" w:name="_Toc80969345"/>
      <w:bookmarkStart w:id="146" w:name="_Toc80969426"/>
      <w:bookmarkStart w:id="147" w:name="_Toc82180033"/>
      <w:r w:rsidRPr="00037AD4">
        <w:t>2.4.4.2 Domains of</w:t>
      </w:r>
      <w:bookmarkEnd w:id="141"/>
      <w:bookmarkEnd w:id="142"/>
      <w:r w:rsidRPr="00037AD4">
        <w:t xml:space="preserve"> quality of life</w:t>
      </w:r>
      <w:bookmarkEnd w:id="143"/>
      <w:bookmarkEnd w:id="144"/>
      <w:bookmarkEnd w:id="145"/>
      <w:bookmarkEnd w:id="146"/>
      <w:bookmarkEnd w:id="147"/>
      <w:r w:rsidRPr="00037AD4">
        <w:t xml:space="preserve"> </w:t>
      </w:r>
    </w:p>
    <w:p w14:paraId="5BBA14D1" w14:textId="77777777" w:rsidR="00B54D51" w:rsidRPr="00037AD4" w:rsidRDefault="00B54D51" w:rsidP="00B4763B">
      <w:pPr>
        <w:rPr>
          <w:rFonts w:asciiTheme="minorHAnsi" w:hAnsiTheme="minorHAnsi" w:cstheme="minorHAnsi"/>
        </w:rPr>
      </w:pPr>
    </w:p>
    <w:p w14:paraId="0CBD81AD" w14:textId="4812179C" w:rsidR="00B54D51" w:rsidRPr="00037AD4" w:rsidRDefault="00B54D51" w:rsidP="00B4763B">
      <w:pPr>
        <w:rPr>
          <w:rFonts w:asciiTheme="minorHAnsi" w:hAnsiTheme="minorHAnsi" w:cstheme="minorHAnsi"/>
        </w:rPr>
      </w:pPr>
      <w:r w:rsidRPr="00037AD4">
        <w:rPr>
          <w:rFonts w:asciiTheme="minorHAnsi" w:hAnsiTheme="minorHAnsi" w:cstheme="minorHAnsi"/>
        </w:rPr>
        <w:t xml:space="preserve">The degree of agreement between proxy and self-reported QoL may differ according to the health domain being assessed. For EQ-5D in dementia populations in particular, it has been reported that there is stronger agreement for the “observable” dimensions such as </w:t>
      </w:r>
      <w:r w:rsidRPr="00037AD4">
        <w:rPr>
          <w:rFonts w:asciiTheme="minorHAnsi" w:hAnsiTheme="minorHAnsi" w:cstheme="minorHAnsi"/>
        </w:rPr>
        <w:lastRenderedPageBreak/>
        <w:t xml:space="preserve">“mobility”, compared with the non-observable dimensions such as “anxiety/depression” and “usual activities”, which may involve greater subjective interpretation in reporting </w:t>
      </w:r>
      <w:r>
        <w:rPr>
          <w:rFonts w:asciiTheme="minorHAnsi" w:hAnsiTheme="minorHAnsi" w:cstheme="minorHAnsi"/>
          <w:noProof/>
        </w:rPr>
        <w:t>(Hounsome et al., 2011</w:t>
      </w:r>
      <w:r w:rsidR="00322CFC">
        <w:rPr>
          <w:rFonts w:asciiTheme="minorHAnsi" w:hAnsiTheme="minorHAnsi" w:cstheme="minorHAnsi"/>
          <w:noProof/>
        </w:rPr>
        <w:t>,</w:t>
      </w:r>
      <w:r w:rsidR="00322CFC">
        <w:rPr>
          <w:rFonts w:asciiTheme="minorHAnsi" w:hAnsiTheme="minorHAnsi" w:cstheme="minorHAnsi"/>
        </w:rPr>
        <w:t xml:space="preserve"> </w:t>
      </w:r>
      <w:r w:rsidRPr="00037AD4">
        <w:rPr>
          <w:rFonts w:asciiTheme="minorHAnsi" w:hAnsiTheme="minorHAnsi" w:cstheme="minorHAnsi"/>
        </w:rPr>
        <w:t>Selai</w:t>
      </w:r>
      <w:r w:rsidR="00322CFC">
        <w:rPr>
          <w:rFonts w:asciiTheme="minorHAnsi" w:hAnsiTheme="minorHAnsi" w:cstheme="minorHAnsi"/>
        </w:rPr>
        <w:t xml:space="preserve"> et al.,</w:t>
      </w:r>
      <w:r w:rsidRPr="00037AD4">
        <w:rPr>
          <w:rFonts w:asciiTheme="minorHAnsi" w:hAnsiTheme="minorHAnsi" w:cstheme="minorHAnsi"/>
        </w:rPr>
        <w:t xml:space="preserve"> 2001</w:t>
      </w:r>
      <w:r w:rsidR="00322CFC">
        <w:rPr>
          <w:rFonts w:asciiTheme="minorHAnsi" w:hAnsiTheme="minorHAnsi" w:cstheme="minorHAnsi"/>
        </w:rPr>
        <w:t>)</w:t>
      </w:r>
      <w:r w:rsidRPr="00037AD4">
        <w:rPr>
          <w:rFonts w:asciiTheme="minorHAnsi" w:hAnsiTheme="minorHAnsi" w:cstheme="minorHAnsi"/>
        </w:rPr>
        <w:t>.</w:t>
      </w:r>
    </w:p>
    <w:p w14:paraId="5D2484F7" w14:textId="77777777" w:rsidR="00B54D51" w:rsidRPr="00037AD4" w:rsidRDefault="00B54D51" w:rsidP="00B4763B">
      <w:pPr>
        <w:rPr>
          <w:rFonts w:asciiTheme="minorHAnsi" w:hAnsiTheme="minorHAnsi" w:cstheme="minorHAnsi"/>
        </w:rPr>
      </w:pPr>
      <w:r w:rsidRPr="00037AD4">
        <w:rPr>
          <w:rFonts w:asciiTheme="minorHAnsi" w:hAnsiTheme="minorHAnsi" w:cstheme="minorHAnsi"/>
        </w:rPr>
        <w:t>This finding has been reported for other patient groups and QoL measures, for example, a study of patients with cardiac disease with their next-of-kin serving as proxies reported the strongest agreement on physical domains of the 36-item Short Form Survey (SF-36), another generic measure of HRQ</w:t>
      </w:r>
      <w:r>
        <w:rPr>
          <w:rFonts w:asciiTheme="minorHAnsi" w:hAnsiTheme="minorHAnsi" w:cstheme="minorHAnsi"/>
        </w:rPr>
        <w:t>o</w:t>
      </w:r>
      <w:r w:rsidRPr="00037AD4">
        <w:rPr>
          <w:rFonts w:asciiTheme="minorHAnsi" w:hAnsiTheme="minorHAnsi" w:cstheme="minorHAnsi"/>
        </w:rPr>
        <w:t xml:space="preserve">L. These dimensions included “physical functioning” and the “physical component scale”. The lowest agreement was observed for domains such as “bodily pain” and “vitality”, where there is a greater element of subjective personal experience </w:t>
      </w:r>
      <w:r>
        <w:rPr>
          <w:rFonts w:asciiTheme="minorHAnsi" w:hAnsiTheme="minorHAnsi" w:cstheme="minorHAnsi"/>
          <w:noProof/>
        </w:rPr>
        <w:t>(Rand and Caiels, 2015, Elliott et al., 2006)</w:t>
      </w:r>
      <w:r w:rsidRPr="00037AD4">
        <w:rPr>
          <w:rFonts w:asciiTheme="minorHAnsi" w:hAnsiTheme="minorHAnsi" w:cstheme="minorHAnsi"/>
        </w:rPr>
        <w:t xml:space="preserve">. </w:t>
      </w:r>
    </w:p>
    <w:p w14:paraId="5D0DDDA2" w14:textId="77777777" w:rsidR="00B54D51" w:rsidRPr="00037AD4" w:rsidRDefault="00B54D51" w:rsidP="00B4763B">
      <w:pPr>
        <w:rPr>
          <w:rFonts w:asciiTheme="minorHAnsi" w:hAnsiTheme="minorHAnsi" w:cstheme="minorHAnsi"/>
        </w:rPr>
      </w:pPr>
    </w:p>
    <w:p w14:paraId="77FC6AE3" w14:textId="77777777" w:rsidR="00B54D51" w:rsidRPr="00037AD4" w:rsidRDefault="00B54D51" w:rsidP="000D1597">
      <w:pPr>
        <w:rPr>
          <w:rFonts w:asciiTheme="minorHAnsi" w:hAnsiTheme="minorHAnsi" w:cstheme="minorHAnsi"/>
        </w:rPr>
      </w:pPr>
      <w:r w:rsidRPr="00037AD4">
        <w:rPr>
          <w:rFonts w:asciiTheme="minorHAnsi" w:hAnsiTheme="minorHAnsi" w:cstheme="minorHAnsi"/>
        </w:rPr>
        <w:t>Some of the pearl review studies indicated that the impact of domain type is influenced by the characteristics of the proxy respondent; suggesting that proxies with more frequent social interaction with the person of interest are better able to report on subjective domains</w:t>
      </w:r>
      <w:r w:rsidRPr="00037AD4">
        <w:rPr>
          <w:rFonts w:asciiTheme="minorHAnsi" w:hAnsiTheme="minorHAnsi" w:cstheme="minorHAnsi"/>
          <w:color w:val="FF0000"/>
        </w:rPr>
        <w:t xml:space="preserve"> </w:t>
      </w:r>
      <w:r>
        <w:rPr>
          <w:rFonts w:asciiTheme="minorHAnsi" w:hAnsiTheme="minorHAnsi" w:cstheme="minorHAnsi"/>
          <w:noProof/>
        </w:rPr>
        <w:t>(Rand and Caiels, 2015)</w:t>
      </w:r>
      <w:r w:rsidRPr="00037AD4">
        <w:rPr>
          <w:rFonts w:asciiTheme="minorHAnsi" w:hAnsiTheme="minorHAnsi" w:cstheme="minorHAnsi"/>
        </w:rPr>
        <w:t>. It was highlighted that reports by relatives have smaller discrepancies on psychological domains compared to those completed by non-relatives. This finding is again reiterated within the dementia literature, whereby higher construct validity is observed for informal proxy reports of less observable dimensions such as “usual activities” and “anxiety/depression”</w:t>
      </w:r>
      <w:r>
        <w:rPr>
          <w:rFonts w:asciiTheme="minorHAnsi" w:hAnsiTheme="minorHAnsi" w:cstheme="minorHAnsi"/>
        </w:rPr>
        <w:t>,</w:t>
      </w:r>
      <w:r w:rsidRPr="00037AD4">
        <w:rPr>
          <w:rFonts w:asciiTheme="minorHAnsi" w:hAnsiTheme="minorHAnsi" w:cstheme="minorHAnsi"/>
        </w:rPr>
        <w:t xml:space="preserve"> when compared with health-care professional reports </w:t>
      </w:r>
      <w:bookmarkStart w:id="148" w:name="_Toc79582113"/>
      <w:bookmarkStart w:id="149" w:name="_Toc79839741"/>
      <w:bookmarkStart w:id="150" w:name="_Toc80257815"/>
      <w:bookmarkStart w:id="151" w:name="_Toc80969265"/>
      <w:bookmarkStart w:id="152" w:name="_Toc80969346"/>
      <w:bookmarkStart w:id="153" w:name="_Toc80969427"/>
      <w:bookmarkStart w:id="154" w:name="_Toc82180034"/>
      <w:r>
        <w:rPr>
          <w:rFonts w:asciiTheme="minorHAnsi" w:hAnsiTheme="minorHAnsi" w:cstheme="minorHAnsi"/>
          <w:noProof/>
        </w:rPr>
        <w:t>(Bryan et al., 2005)</w:t>
      </w:r>
      <w:r w:rsidRPr="00037AD4">
        <w:rPr>
          <w:rFonts w:asciiTheme="minorHAnsi" w:hAnsiTheme="minorHAnsi" w:cstheme="minorHAnsi"/>
        </w:rPr>
        <w:t xml:space="preserve">. </w:t>
      </w:r>
    </w:p>
    <w:p w14:paraId="299D7AE8" w14:textId="77777777" w:rsidR="00B54D51" w:rsidRPr="00037AD4" w:rsidRDefault="00B54D51" w:rsidP="000D1597">
      <w:pPr>
        <w:rPr>
          <w:rFonts w:asciiTheme="minorHAnsi" w:hAnsiTheme="minorHAnsi" w:cstheme="minorHAnsi"/>
        </w:rPr>
      </w:pPr>
    </w:p>
    <w:p w14:paraId="1980D440" w14:textId="77777777" w:rsidR="00B54D51" w:rsidRPr="00037AD4" w:rsidRDefault="00B54D51" w:rsidP="00D0494F">
      <w:pPr>
        <w:pStyle w:val="Heading4"/>
      </w:pPr>
      <w:r w:rsidRPr="00037AD4">
        <w:t>2.4.4.3 Relationship of proxy</w:t>
      </w:r>
      <w:bookmarkEnd w:id="148"/>
      <w:bookmarkEnd w:id="149"/>
      <w:bookmarkEnd w:id="150"/>
      <w:bookmarkEnd w:id="151"/>
      <w:bookmarkEnd w:id="152"/>
      <w:bookmarkEnd w:id="153"/>
      <w:bookmarkEnd w:id="154"/>
      <w:r w:rsidRPr="00037AD4">
        <w:t xml:space="preserve"> and respondent characteristics  </w:t>
      </w:r>
    </w:p>
    <w:p w14:paraId="7E5B570A" w14:textId="77777777" w:rsidR="00B54D51" w:rsidRPr="00037AD4" w:rsidRDefault="00B54D51" w:rsidP="00B4763B">
      <w:pPr>
        <w:rPr>
          <w:rFonts w:asciiTheme="minorHAnsi" w:hAnsiTheme="minorHAnsi" w:cstheme="minorHAnsi"/>
        </w:rPr>
      </w:pPr>
    </w:p>
    <w:p w14:paraId="112718E4" w14:textId="77777777" w:rsidR="00B54D51" w:rsidRPr="00037AD4" w:rsidRDefault="00B54D51" w:rsidP="00B4763B">
      <w:pPr>
        <w:rPr>
          <w:rFonts w:asciiTheme="minorHAnsi" w:hAnsiTheme="minorHAnsi" w:cstheme="minorHAnsi"/>
        </w:rPr>
      </w:pPr>
      <w:r w:rsidRPr="00037AD4">
        <w:rPr>
          <w:rFonts w:asciiTheme="minorHAnsi" w:hAnsiTheme="minorHAnsi" w:cstheme="minorHAnsi"/>
        </w:rPr>
        <w:t xml:space="preserve">Rand and Caiels (2015) indicate that QoL reports completed by different </w:t>
      </w:r>
      <w:r w:rsidRPr="00037AD4">
        <w:rPr>
          <w:rFonts w:asciiTheme="minorHAnsi" w:hAnsiTheme="minorHAnsi" w:cstheme="minorHAnsi"/>
          <w:i/>
          <w:iCs/>
        </w:rPr>
        <w:t>types</w:t>
      </w:r>
      <w:r w:rsidRPr="00037AD4">
        <w:rPr>
          <w:rFonts w:asciiTheme="minorHAnsi" w:hAnsiTheme="minorHAnsi" w:cstheme="minorHAnsi"/>
        </w:rPr>
        <w:t xml:space="preserve"> of proxies are not necessarily interchangeable. Higher construct validity has been observed for clinician reports of observable dimensions of EQ-5D such as “mobility” and “self-care” when compared with informal proxy reports </w:t>
      </w:r>
      <w:r>
        <w:rPr>
          <w:rFonts w:asciiTheme="minorHAnsi" w:hAnsiTheme="minorHAnsi" w:cstheme="minorHAnsi"/>
          <w:noProof/>
        </w:rPr>
        <w:t>(Bryan et al., 2005)</w:t>
      </w:r>
      <w:r w:rsidRPr="00037AD4">
        <w:rPr>
          <w:rFonts w:asciiTheme="minorHAnsi" w:hAnsiTheme="minorHAnsi" w:cstheme="minorHAnsi"/>
        </w:rPr>
        <w:t xml:space="preserve">. This principle is echoed in the dementia literature where Hounsome et al. (2011) reported that inter-rater agreement between informal and formal proxy reports of the non-observable dimensions is noted to be particularly poor </w:t>
      </w:r>
      <w:r>
        <w:rPr>
          <w:rFonts w:asciiTheme="minorHAnsi" w:hAnsiTheme="minorHAnsi" w:cstheme="minorHAnsi"/>
          <w:noProof/>
        </w:rPr>
        <w:t>(Coucill et al., 2001, Hounsome et al., 2011)</w:t>
      </w:r>
      <w:r w:rsidRPr="00037AD4">
        <w:rPr>
          <w:rFonts w:asciiTheme="minorHAnsi" w:hAnsiTheme="minorHAnsi" w:cstheme="minorHAnsi"/>
        </w:rPr>
        <w:t>.</w:t>
      </w:r>
    </w:p>
    <w:p w14:paraId="23F298DA" w14:textId="77777777" w:rsidR="00B54D51" w:rsidRPr="00037AD4" w:rsidRDefault="00B54D51" w:rsidP="00B4763B">
      <w:pPr>
        <w:rPr>
          <w:rFonts w:asciiTheme="minorHAnsi" w:hAnsiTheme="minorHAnsi" w:cstheme="minorHAnsi"/>
        </w:rPr>
      </w:pPr>
    </w:p>
    <w:p w14:paraId="2CDEBB9D" w14:textId="77777777" w:rsidR="00B54D51" w:rsidRPr="00037AD4" w:rsidRDefault="00B54D51" w:rsidP="00B4763B">
      <w:pPr>
        <w:rPr>
          <w:rFonts w:asciiTheme="minorHAnsi" w:hAnsiTheme="minorHAnsi" w:cstheme="minorHAnsi"/>
        </w:rPr>
      </w:pPr>
      <w:r w:rsidRPr="00037AD4">
        <w:rPr>
          <w:rFonts w:asciiTheme="minorHAnsi" w:hAnsiTheme="minorHAnsi" w:cstheme="minorHAnsi"/>
        </w:rPr>
        <w:t xml:space="preserve">The frequency of contact between the person of interest and the proxy is thought to play a key role. In a study conducted in residential care settings, QoL and well-being were measured via the ICEpop CAPability measure for Older people (ICECAP-O). It was observed that nurses with greater proximity and contact with the PwD produced scores with stronger associations to self-reported QoL scores, when compared with scores from family proxies with less interaction </w:t>
      </w:r>
      <w:r>
        <w:rPr>
          <w:rFonts w:asciiTheme="minorHAnsi" w:hAnsiTheme="minorHAnsi" w:cstheme="minorHAnsi"/>
          <w:noProof/>
        </w:rPr>
        <w:t>(Makai et al., 2012)</w:t>
      </w:r>
      <w:r w:rsidRPr="00037AD4">
        <w:rPr>
          <w:rFonts w:asciiTheme="minorHAnsi" w:hAnsiTheme="minorHAnsi" w:cstheme="minorHAnsi"/>
        </w:rPr>
        <w:t xml:space="preserve">. The authors of the pearl article recommend that the proxy should have a high-level of contact with the person, so that they may understand their experience and preferences as best possible. For dementia populations, an important consideration is the PwD’s residential status. </w:t>
      </w:r>
    </w:p>
    <w:p w14:paraId="77D03665" w14:textId="77777777" w:rsidR="00B54D51" w:rsidRPr="00037AD4" w:rsidRDefault="00B54D51" w:rsidP="00B4763B">
      <w:pPr>
        <w:rPr>
          <w:rFonts w:asciiTheme="minorHAnsi" w:hAnsiTheme="minorHAnsi" w:cstheme="minorHAnsi"/>
        </w:rPr>
      </w:pPr>
    </w:p>
    <w:p w14:paraId="09C3C205" w14:textId="77777777" w:rsidR="00B54D51" w:rsidRPr="00037AD4" w:rsidRDefault="00B54D51">
      <w:pPr>
        <w:rPr>
          <w:rFonts w:asciiTheme="minorHAnsi" w:hAnsiTheme="minorHAnsi" w:cstheme="minorHAnsi"/>
        </w:rPr>
      </w:pPr>
      <w:r w:rsidRPr="00037AD4">
        <w:rPr>
          <w:rFonts w:asciiTheme="minorHAnsi" w:hAnsiTheme="minorHAnsi" w:cstheme="minorHAnsi"/>
        </w:rPr>
        <w:t xml:space="preserve">The results of the pearl review also highlight that the characteristics of both respondents (the person of interest and proxy) affect proxy-assessment of QoL. External and overtly observable aspects of a person’s QoL are strongly associated with proxy assessment, for example ability to conduct activities of daily living (ADLs). </w:t>
      </w:r>
    </w:p>
    <w:p w14:paraId="35F70113" w14:textId="77777777" w:rsidR="00B54D51" w:rsidRPr="00037AD4" w:rsidRDefault="00B54D51" w:rsidP="00B4763B">
      <w:pPr>
        <w:rPr>
          <w:rFonts w:asciiTheme="minorHAnsi" w:hAnsiTheme="minorHAnsi" w:cstheme="minorHAnsi"/>
        </w:rPr>
      </w:pPr>
    </w:p>
    <w:p w14:paraId="5FF105C6" w14:textId="77777777" w:rsidR="00B54D51" w:rsidRPr="00037AD4" w:rsidRDefault="00B54D51" w:rsidP="00B4763B">
      <w:pPr>
        <w:rPr>
          <w:rFonts w:asciiTheme="minorHAnsi" w:hAnsiTheme="minorHAnsi" w:cstheme="minorHAnsi"/>
        </w:rPr>
      </w:pPr>
      <w:r w:rsidRPr="00037AD4">
        <w:rPr>
          <w:rFonts w:asciiTheme="minorHAnsi" w:hAnsiTheme="minorHAnsi" w:cstheme="minorHAnsi"/>
        </w:rPr>
        <w:lastRenderedPageBreak/>
        <w:t xml:space="preserve">Characteristics related to the proxies themselves are also reported to impact their ratings such as caregiving burden. This principle has been reported in multiple dementia studies </w:t>
      </w:r>
      <w:r>
        <w:rPr>
          <w:rFonts w:asciiTheme="minorHAnsi" w:hAnsiTheme="minorHAnsi" w:cstheme="minorHAnsi"/>
          <w:noProof/>
        </w:rPr>
        <w:t>(Gräske et al., 2014, Gómez-Gallego et al., 2012, Shearer et al., 2012, Landeiro et al., 2020</w:t>
      </w:r>
      <w:proofErr w:type="gramStart"/>
      <w:r>
        <w:rPr>
          <w:rFonts w:asciiTheme="minorHAnsi" w:hAnsiTheme="minorHAnsi" w:cstheme="minorHAnsi"/>
          <w:noProof/>
        </w:rPr>
        <w:t>)</w:t>
      </w:r>
      <w:r w:rsidRPr="00037AD4">
        <w:rPr>
          <w:rFonts w:asciiTheme="minorHAnsi" w:hAnsiTheme="minorHAnsi" w:cstheme="minorHAnsi"/>
        </w:rPr>
        <w:t>, and</w:t>
      </w:r>
      <w:proofErr w:type="gramEnd"/>
      <w:r w:rsidRPr="00037AD4">
        <w:rPr>
          <w:rFonts w:asciiTheme="minorHAnsi" w:hAnsiTheme="minorHAnsi" w:cstheme="minorHAnsi"/>
        </w:rPr>
        <w:t xml:space="preserve"> is previously explained </w:t>
      </w:r>
      <w:r w:rsidRPr="00037AD4">
        <w:rPr>
          <w:rFonts w:asciiTheme="minorHAnsi" w:hAnsiTheme="minorHAnsi" w:cstheme="minorHAnsi"/>
          <w:color w:val="000000" w:themeColor="text1"/>
        </w:rPr>
        <w:t xml:space="preserve">in </w:t>
      </w:r>
      <w:hyperlink w:anchor="S2341" w:history="1">
        <w:r w:rsidRPr="00B54D51">
          <w:rPr>
            <w:rStyle w:val="Hyperlink"/>
            <w:rFonts w:asciiTheme="minorHAnsi" w:hAnsiTheme="minorHAnsi" w:cstheme="minorHAnsi"/>
            <w:color w:val="000000" w:themeColor="text1"/>
            <w:u w:val="none"/>
          </w:rPr>
          <w:t>section 2.4.4.1</w:t>
        </w:r>
      </w:hyperlink>
      <w:r w:rsidRPr="00B54D51">
        <w:rPr>
          <w:rFonts w:asciiTheme="minorHAnsi" w:hAnsiTheme="minorHAnsi" w:cstheme="minorHAnsi"/>
          <w:color w:val="000000" w:themeColor="text1"/>
        </w:rPr>
        <w:t xml:space="preserve"> </w:t>
      </w:r>
      <w:r w:rsidRPr="00B54D51">
        <w:rPr>
          <w:rFonts w:asciiTheme="minorHAnsi" w:hAnsiTheme="minorHAnsi" w:cstheme="minorHAnsi"/>
        </w:rPr>
        <w:t>as</w:t>
      </w:r>
      <w:r w:rsidRPr="00037AD4">
        <w:rPr>
          <w:rFonts w:asciiTheme="minorHAnsi" w:hAnsiTheme="minorHAnsi" w:cstheme="minorHAnsi"/>
        </w:rPr>
        <w:t xml:space="preserve"> “projection bias”. Additional proxy related characteristics reported as playing a role in their QoL reports include their own health status and depression scores, whereby it was noted that female proxy reports were more strongly aligned with their </w:t>
      </w:r>
      <w:r w:rsidRPr="00037AD4">
        <w:rPr>
          <w:rFonts w:asciiTheme="minorHAnsi" w:hAnsiTheme="minorHAnsi" w:cstheme="minorHAnsi"/>
          <w:i/>
          <w:iCs/>
        </w:rPr>
        <w:t>own</w:t>
      </w:r>
      <w:r w:rsidRPr="00037AD4">
        <w:rPr>
          <w:rFonts w:asciiTheme="minorHAnsi" w:hAnsiTheme="minorHAnsi" w:cstheme="minorHAnsi"/>
        </w:rPr>
        <w:t xml:space="preserve"> QoL, while male proxy reports were aligned with the patient’s depression scores </w:t>
      </w:r>
      <w:r>
        <w:rPr>
          <w:rFonts w:asciiTheme="minorHAnsi" w:hAnsiTheme="minorHAnsi" w:cstheme="minorHAnsi"/>
          <w:noProof/>
        </w:rPr>
        <w:t>(Schiffczyk et al., 2010)</w:t>
      </w:r>
      <w:r w:rsidRPr="00037AD4">
        <w:rPr>
          <w:rFonts w:asciiTheme="minorHAnsi" w:hAnsiTheme="minorHAnsi" w:cstheme="minorHAnsi"/>
        </w:rPr>
        <w:t xml:space="preserve">. In addition, informal caregivers such as spouse and partner proxies are often elderly themselves in the context of dementia and are at risk of health problems worsened by caregiving responsibilities </w:t>
      </w:r>
      <w:r>
        <w:rPr>
          <w:rFonts w:asciiTheme="minorHAnsi" w:hAnsiTheme="minorHAnsi" w:cstheme="minorHAnsi"/>
          <w:noProof/>
        </w:rPr>
        <w:t>(Shearer et al., 2012)</w:t>
      </w:r>
      <w:r w:rsidRPr="00037AD4">
        <w:rPr>
          <w:rFonts w:asciiTheme="minorHAnsi" w:hAnsiTheme="minorHAnsi" w:cstheme="minorHAnsi"/>
        </w:rPr>
        <w:t xml:space="preserve">. These variables become notably relevant when selecting a proxy. While it is important for the proxy to have a good understanding of the PwD’s daily condition, certain factors such as serving as a caregiver may introduce bias into their reports, potentially further compromising their objectivity. </w:t>
      </w:r>
    </w:p>
    <w:p w14:paraId="3C776EE5" w14:textId="77777777" w:rsidR="00B54D51" w:rsidRPr="00037AD4" w:rsidRDefault="00B54D51" w:rsidP="00B4763B">
      <w:pPr>
        <w:rPr>
          <w:rFonts w:asciiTheme="minorHAnsi" w:hAnsiTheme="minorHAnsi" w:cstheme="minorHAnsi"/>
        </w:rPr>
      </w:pPr>
    </w:p>
    <w:p w14:paraId="4CE62B98" w14:textId="77777777" w:rsidR="00B54D51" w:rsidRPr="00037AD4" w:rsidRDefault="00B54D51" w:rsidP="00B4763B">
      <w:pPr>
        <w:rPr>
          <w:rFonts w:asciiTheme="minorHAnsi" w:hAnsiTheme="minorHAnsi" w:cstheme="minorHAnsi"/>
        </w:rPr>
      </w:pPr>
      <w:r w:rsidRPr="00037AD4">
        <w:rPr>
          <w:rFonts w:asciiTheme="minorHAnsi" w:hAnsiTheme="minorHAnsi" w:cstheme="minorHAnsi"/>
        </w:rPr>
        <w:t>Various characteristics have been reported to be associated with self-reported QoL scores, including depression, anxiety, functional abilities, cognitive impairment</w:t>
      </w:r>
      <w:r>
        <w:rPr>
          <w:rFonts w:asciiTheme="minorHAnsi" w:hAnsiTheme="minorHAnsi" w:cstheme="minorHAnsi"/>
        </w:rPr>
        <w:t xml:space="preserve"> </w:t>
      </w:r>
      <w:r w:rsidRPr="00037AD4">
        <w:rPr>
          <w:rFonts w:asciiTheme="minorHAnsi" w:hAnsiTheme="minorHAnsi" w:cstheme="minorHAnsi"/>
        </w:rPr>
        <w:t xml:space="preserve">and stress </w:t>
      </w:r>
      <w:r>
        <w:rPr>
          <w:rFonts w:asciiTheme="minorHAnsi" w:hAnsiTheme="minorHAnsi" w:cstheme="minorHAnsi"/>
          <w:noProof/>
        </w:rPr>
        <w:t>(Rand and Caiels, 2015)</w:t>
      </w:r>
      <w:r w:rsidRPr="00037AD4">
        <w:rPr>
          <w:rFonts w:asciiTheme="minorHAnsi" w:hAnsiTheme="minorHAnsi" w:cstheme="minorHAnsi"/>
        </w:rPr>
        <w:t>. While it may be the case that self and proxy reports are guided by different factors, these findings indicate significant overlap in the key variables associated with QoL reports.</w:t>
      </w:r>
    </w:p>
    <w:p w14:paraId="35234F58" w14:textId="77777777" w:rsidR="00B54D51" w:rsidRPr="00037AD4" w:rsidRDefault="00B54D51" w:rsidP="00B4763B">
      <w:pPr>
        <w:rPr>
          <w:rFonts w:asciiTheme="minorHAnsi" w:hAnsiTheme="minorHAnsi" w:cstheme="minorHAnsi"/>
        </w:rPr>
      </w:pPr>
    </w:p>
    <w:p w14:paraId="26A7B6BE" w14:textId="77777777" w:rsidR="00B54D51" w:rsidRPr="00037AD4" w:rsidRDefault="00B54D51" w:rsidP="00D0494F">
      <w:pPr>
        <w:pStyle w:val="Heading4"/>
      </w:pPr>
      <w:bookmarkStart w:id="155" w:name="_Toc79582115"/>
      <w:bookmarkStart w:id="156" w:name="_Toc79839743"/>
      <w:bookmarkStart w:id="157" w:name="_Toc80257817"/>
      <w:bookmarkStart w:id="158" w:name="_Toc80969267"/>
      <w:bookmarkStart w:id="159" w:name="_Toc80969348"/>
      <w:bookmarkStart w:id="160" w:name="_Toc80969429"/>
      <w:bookmarkStart w:id="161" w:name="_Toc82180036"/>
      <w:r w:rsidRPr="00037AD4">
        <w:t>2.4.4.4 Perspective</w:t>
      </w:r>
      <w:bookmarkEnd w:id="155"/>
      <w:bookmarkEnd w:id="156"/>
      <w:bookmarkEnd w:id="157"/>
      <w:bookmarkEnd w:id="158"/>
      <w:bookmarkEnd w:id="159"/>
      <w:bookmarkEnd w:id="160"/>
      <w:bookmarkEnd w:id="161"/>
      <w:r w:rsidRPr="00037AD4">
        <w:t xml:space="preserve"> </w:t>
      </w:r>
    </w:p>
    <w:p w14:paraId="0B1A4D5A" w14:textId="77777777" w:rsidR="00B54D51" w:rsidRPr="00037AD4" w:rsidRDefault="00B54D51" w:rsidP="0051554F">
      <w:pPr>
        <w:pStyle w:val="NormalWeb"/>
        <w:rPr>
          <w:rFonts w:asciiTheme="minorHAnsi" w:hAnsiTheme="minorHAnsi" w:cstheme="minorHAnsi"/>
        </w:rPr>
      </w:pPr>
      <w:r w:rsidRPr="00037AD4">
        <w:rPr>
          <w:rFonts w:asciiTheme="minorHAnsi" w:hAnsiTheme="minorHAnsi" w:cstheme="minorHAnsi"/>
        </w:rPr>
        <w:t>Rand and Caiels (2015) highlighted the importa</w:t>
      </w:r>
      <w:r>
        <w:rPr>
          <w:rFonts w:asciiTheme="minorHAnsi" w:hAnsiTheme="minorHAnsi" w:cstheme="minorHAnsi"/>
        </w:rPr>
        <w:t>nce</w:t>
      </w:r>
      <w:r w:rsidRPr="00037AD4">
        <w:rPr>
          <w:rFonts w:asciiTheme="minorHAnsi" w:hAnsiTheme="minorHAnsi" w:cstheme="minorHAnsi"/>
        </w:rPr>
        <w:t xml:space="preserve"> of the perspective adopted by proxies when making their assessments, noting that this notion was conceptualised in a prior article </w:t>
      </w:r>
      <w:r>
        <w:rPr>
          <w:rFonts w:asciiTheme="minorHAnsi" w:hAnsiTheme="minorHAnsi" w:cstheme="minorHAnsi"/>
          <w:noProof/>
        </w:rPr>
        <w:t>(Pickard and Knight, 2005)</w:t>
      </w:r>
      <w:r w:rsidRPr="00037AD4">
        <w:rPr>
          <w:rFonts w:asciiTheme="minorHAnsi" w:hAnsiTheme="minorHAnsi" w:cstheme="minorHAnsi"/>
        </w:rPr>
        <w:t>. The proxy may adopt a “proxy-patient” perspective, where they are asked to report based on what they believe the person would rate themselves, aiming to capture the person’s own perspective. Alternatively, the proxy may adopt the “proxy-proxy” perspective, where they are asked to provide their own assessment of the person’s QoL based on their knowledge, experience</w:t>
      </w:r>
      <w:r>
        <w:rPr>
          <w:rFonts w:asciiTheme="minorHAnsi" w:hAnsiTheme="minorHAnsi" w:cstheme="minorHAnsi"/>
        </w:rPr>
        <w:t xml:space="preserve"> </w:t>
      </w:r>
      <w:r w:rsidRPr="00037AD4">
        <w:rPr>
          <w:rFonts w:asciiTheme="minorHAnsi" w:hAnsiTheme="minorHAnsi" w:cstheme="minorHAnsi"/>
        </w:rPr>
        <w:t xml:space="preserve">and judgement. </w:t>
      </w:r>
    </w:p>
    <w:p w14:paraId="0B161D43" w14:textId="77777777" w:rsidR="00B54D51" w:rsidRPr="00037AD4" w:rsidRDefault="00B54D51" w:rsidP="0051554F">
      <w:pPr>
        <w:pStyle w:val="NormalWeb"/>
        <w:rPr>
          <w:rFonts w:asciiTheme="minorHAnsi" w:hAnsiTheme="minorHAnsi" w:cstheme="minorHAnsi"/>
        </w:rPr>
      </w:pPr>
      <w:r w:rsidRPr="00037AD4">
        <w:rPr>
          <w:rFonts w:asciiTheme="minorHAnsi" w:hAnsiTheme="minorHAnsi" w:cstheme="minorHAnsi"/>
        </w:rPr>
        <w:t xml:space="preserve">Pickard and Knight (2005) explain the importance and distinction between the inter-rater and intra-proxy gaps. The inter-rater gap describes the difference between self-reports and the proxy reports that have adopted the “proxy-patient” perspective. The intra-proxy gap describes the difference between proxy reports provided via a “proxy-patient” and “proxy-proxy” perspective. Lack of clear instrument instructions regarding which perspective a proxy should adopt has resulted in relying on proxy discretion, which has the potential to confound results. Some evidence shows that proxy-patient perspective reports are more consistent with self-reports </w:t>
      </w:r>
      <w:r>
        <w:rPr>
          <w:rFonts w:asciiTheme="minorHAnsi" w:hAnsiTheme="minorHAnsi" w:cstheme="minorHAnsi"/>
          <w:noProof/>
        </w:rPr>
        <w:t>(Pickard and Knight, 2005)</w:t>
      </w:r>
      <w:r w:rsidRPr="00037AD4">
        <w:rPr>
          <w:rFonts w:asciiTheme="minorHAnsi" w:hAnsiTheme="minorHAnsi" w:cstheme="minorHAnsi"/>
        </w:rPr>
        <w:t xml:space="preserve">, but that this may risk overlooking key information that the (proxy is aware that the) person may be reluctant to share or is not aware of, for example pains that present at night when the patient is </w:t>
      </w:r>
      <w:r w:rsidRPr="00037AD4">
        <w:rPr>
          <w:rFonts w:asciiTheme="minorHAnsi" w:hAnsiTheme="minorHAnsi" w:cstheme="minorHAnsi"/>
          <w:color w:val="000000" w:themeColor="text1"/>
        </w:rPr>
        <w:t xml:space="preserve">sleeping. </w:t>
      </w:r>
    </w:p>
    <w:p w14:paraId="6A6D4337" w14:textId="77777777" w:rsidR="00B54D51" w:rsidRPr="00037AD4" w:rsidRDefault="00B54D51" w:rsidP="0051554F">
      <w:pPr>
        <w:pStyle w:val="NormalWeb"/>
        <w:rPr>
          <w:rFonts w:asciiTheme="minorHAnsi" w:hAnsiTheme="minorHAnsi" w:cstheme="minorHAnsi"/>
        </w:rPr>
      </w:pPr>
      <w:r w:rsidRPr="00037AD4">
        <w:rPr>
          <w:rFonts w:asciiTheme="minorHAnsi" w:hAnsiTheme="minorHAnsi" w:cstheme="minorHAnsi"/>
        </w:rPr>
        <w:t xml:space="preserve">The intra-proxy gap is therefore useful for providing clinically meaningful information; a person may be bedbound and report no issues with mobility. A proxy may replicate this from the proxy-patient perspective, but from a proxy-proxy perspective would disagree. This is a particularly important consideration when using informal proxy reports in dementia populations. The proxy may have a greater understanding of the PwD’s own preferences </w:t>
      </w:r>
      <w:r w:rsidRPr="00037AD4">
        <w:rPr>
          <w:rFonts w:asciiTheme="minorHAnsi" w:hAnsiTheme="minorHAnsi" w:cstheme="minorHAnsi"/>
        </w:rPr>
        <w:lastRenderedPageBreak/>
        <w:t xml:space="preserve">and perception and may match self-reports. What is ultimately in question is the PwD’s awareness and understanding of their condition, which may alter their fundamental ability to judge and assesses their own QoL. This prompts the question about whether the primary objective is indeed alignment with PwD reports. </w:t>
      </w:r>
    </w:p>
    <w:p w14:paraId="7CB897CD" w14:textId="77777777" w:rsidR="00B54D51" w:rsidRPr="00037AD4" w:rsidRDefault="00B54D51" w:rsidP="00D0494F">
      <w:pPr>
        <w:pStyle w:val="Heading4"/>
      </w:pPr>
      <w:bookmarkStart w:id="162" w:name="_Toc79582116"/>
      <w:bookmarkStart w:id="163" w:name="_Toc79839744"/>
      <w:bookmarkStart w:id="164" w:name="_Toc80257818"/>
      <w:bookmarkStart w:id="165" w:name="_Toc80969268"/>
      <w:bookmarkStart w:id="166" w:name="_Toc80969349"/>
      <w:bookmarkStart w:id="167" w:name="_Toc80969430"/>
      <w:bookmarkStart w:id="168" w:name="_Toc82180037"/>
      <w:r w:rsidRPr="00037AD4">
        <w:t>2.4.4.5 The National Institute for Health and Care Excellence stance</w:t>
      </w:r>
      <w:bookmarkEnd w:id="162"/>
      <w:bookmarkEnd w:id="163"/>
      <w:bookmarkEnd w:id="164"/>
      <w:bookmarkEnd w:id="165"/>
      <w:bookmarkEnd w:id="166"/>
      <w:bookmarkEnd w:id="167"/>
      <w:bookmarkEnd w:id="168"/>
      <w:r w:rsidRPr="00037AD4">
        <w:t xml:space="preserve"> on using proxy reports of quality of life</w:t>
      </w:r>
    </w:p>
    <w:p w14:paraId="50A49938" w14:textId="77777777" w:rsidR="00B54D51" w:rsidRPr="00037AD4" w:rsidRDefault="00B54D51" w:rsidP="00584C9B">
      <w:pPr>
        <w:rPr>
          <w:rFonts w:asciiTheme="minorHAnsi" w:hAnsiTheme="minorHAnsi" w:cstheme="minorHAnsi"/>
        </w:rPr>
      </w:pPr>
    </w:p>
    <w:p w14:paraId="5596DC06" w14:textId="77777777" w:rsidR="00B54D51" w:rsidRPr="00037AD4" w:rsidRDefault="00B54D51" w:rsidP="0094313C">
      <w:pPr>
        <w:rPr>
          <w:rFonts w:asciiTheme="minorHAnsi" w:hAnsiTheme="minorHAnsi" w:cstheme="minorHAnsi"/>
        </w:rPr>
      </w:pPr>
      <w:r w:rsidRPr="00037AD4">
        <w:rPr>
          <w:rFonts w:asciiTheme="minorHAnsi" w:hAnsiTheme="minorHAnsi" w:cstheme="minorHAnsi"/>
        </w:rPr>
        <w:t xml:space="preserve">There is one key technology appraisal published by NICE for the management of Alzheimer’s disease. The report was first published by NICE in 2011 and was later updated in 2018, assessing the pharmacological therapies of: donepezil, galantamine, rivastigmine and memantine as options for managing mild to moderate Alzheimer’s disease </w:t>
      </w:r>
      <w:r>
        <w:rPr>
          <w:rFonts w:asciiTheme="minorHAnsi" w:hAnsiTheme="minorHAnsi" w:cstheme="minorHAnsi"/>
          <w:noProof/>
        </w:rPr>
        <w:t>(NICE, 2011a)</w:t>
      </w:r>
      <w:r w:rsidRPr="00037AD4">
        <w:rPr>
          <w:rFonts w:asciiTheme="minorHAnsi" w:hAnsiTheme="minorHAnsi" w:cstheme="minorHAnsi"/>
        </w:rPr>
        <w:t xml:space="preserve">. As part of the cost-effectiveness analyses, the committee acknowledged differences in HRQoL reports provided by the PwD themselves and their caregivers serving as proxies. It was advised by clinical specialists that at early stages of dementia, it might be considered more appropriate for patients to self-report, and at more severe stages - to use proxy utility provided by a caregiver </w:t>
      </w:r>
      <w:r>
        <w:rPr>
          <w:rFonts w:asciiTheme="minorHAnsi" w:hAnsiTheme="minorHAnsi" w:cstheme="minorHAnsi"/>
          <w:noProof/>
        </w:rPr>
        <w:t>(NICE, 2011a)</w:t>
      </w:r>
      <w:r w:rsidRPr="00037AD4">
        <w:rPr>
          <w:rFonts w:asciiTheme="minorHAnsi" w:hAnsiTheme="minorHAnsi" w:cstheme="minorHAnsi"/>
        </w:rPr>
        <w:t xml:space="preserve">. For the base-case model, EQ-5D utility values were derived from proxies, and utilities generated from self-reports were used in the sensitivity analyses. The justification provided for this was that the literature highlights that people with dementia self-report much higher utilities than those estimated by caregivers, particularly in populations with severe dementia </w:t>
      </w:r>
      <w:r>
        <w:rPr>
          <w:rFonts w:asciiTheme="minorHAnsi" w:hAnsiTheme="minorHAnsi" w:cstheme="minorHAnsi"/>
          <w:noProof/>
        </w:rPr>
        <w:t>(NICE, 2011b)</w:t>
      </w:r>
      <w:r w:rsidRPr="00037AD4">
        <w:rPr>
          <w:rFonts w:asciiTheme="minorHAnsi" w:hAnsiTheme="minorHAnsi" w:cstheme="minorHAnsi"/>
        </w:rPr>
        <w:t>.</w:t>
      </w:r>
    </w:p>
    <w:p w14:paraId="1783B47D" w14:textId="77777777" w:rsidR="00B54D51" w:rsidRPr="00037AD4" w:rsidRDefault="00B54D51" w:rsidP="00B4763B">
      <w:pPr>
        <w:rPr>
          <w:rFonts w:asciiTheme="minorHAnsi" w:hAnsiTheme="minorHAnsi" w:cstheme="minorHAnsi"/>
        </w:rPr>
      </w:pPr>
    </w:p>
    <w:p w14:paraId="32AFDEE0" w14:textId="77777777" w:rsidR="00B54D51" w:rsidRPr="00037AD4" w:rsidRDefault="00B54D51" w:rsidP="003A43FD">
      <w:pPr>
        <w:rPr>
          <w:rFonts w:asciiTheme="minorHAnsi" w:hAnsiTheme="minorHAnsi" w:cstheme="minorHAnsi"/>
        </w:rPr>
      </w:pPr>
      <w:r w:rsidRPr="00037AD4">
        <w:rPr>
          <w:rFonts w:asciiTheme="minorHAnsi" w:hAnsiTheme="minorHAnsi" w:cstheme="minorHAnsi"/>
        </w:rPr>
        <w:t xml:space="preserve">The NICE committee highlighted that utility values for HRQoL reported by people with dementia themselves and by their caregivers are both relevant </w:t>
      </w:r>
      <w:r>
        <w:rPr>
          <w:rFonts w:asciiTheme="minorHAnsi" w:hAnsiTheme="minorHAnsi" w:cstheme="minorHAnsi"/>
          <w:noProof/>
        </w:rPr>
        <w:t>(NICE, 2011b)</w:t>
      </w:r>
      <w:r w:rsidRPr="00037AD4">
        <w:rPr>
          <w:rFonts w:asciiTheme="minorHAnsi" w:hAnsiTheme="minorHAnsi" w:cstheme="minorHAnsi"/>
        </w:rPr>
        <w:t xml:space="preserve">. More broadly, the NICE Centre for Health Technology Evaluation (CHTE) produced a recent (July 2020) task and finish group report investigating current methods and cases for change related to HRQoL within economic evaluation </w:t>
      </w:r>
      <w:r>
        <w:rPr>
          <w:rFonts w:asciiTheme="minorHAnsi" w:hAnsiTheme="minorHAnsi" w:cstheme="minorHAnsi"/>
          <w:noProof/>
        </w:rPr>
        <w:t>(NICE, 2020a)</w:t>
      </w:r>
      <w:r w:rsidRPr="00037AD4">
        <w:rPr>
          <w:rFonts w:asciiTheme="minorHAnsi" w:hAnsiTheme="minorHAnsi" w:cstheme="minorHAnsi"/>
        </w:rPr>
        <w:t xml:space="preserve">. Although proxy-reports within dementia were not explicitly discussed within this report, the use of proxy reports in measuring and valuing children’s HRQoL was acknowledged. It was highlighted that where both self and proxy reports are available, the data chosen for use within subsequent economic models should be clearly reported, and a rationale to support this choice in data should be provided. </w:t>
      </w:r>
    </w:p>
    <w:p w14:paraId="20060B72" w14:textId="77777777" w:rsidR="00B54D51" w:rsidRPr="00037AD4" w:rsidRDefault="00B54D51" w:rsidP="003A43FD">
      <w:pPr>
        <w:rPr>
          <w:rFonts w:asciiTheme="minorHAnsi" w:hAnsiTheme="minorHAnsi" w:cstheme="minorHAnsi"/>
        </w:rPr>
      </w:pPr>
    </w:p>
    <w:p w14:paraId="22F1E69D" w14:textId="77777777" w:rsidR="00B54D51" w:rsidRPr="00037AD4" w:rsidRDefault="00B54D51" w:rsidP="003A43FD">
      <w:pPr>
        <w:rPr>
          <w:rFonts w:asciiTheme="minorHAnsi" w:hAnsiTheme="minorHAnsi" w:cstheme="minorHAnsi"/>
        </w:rPr>
      </w:pPr>
      <w:r w:rsidRPr="00037AD4">
        <w:rPr>
          <w:rFonts w:asciiTheme="minorHAnsi" w:hAnsiTheme="minorHAnsi" w:cstheme="minorHAnsi"/>
        </w:rPr>
        <w:t>The methods guide also indicates that informal caregivers should provide the proxy-reports (over formal caregivers or healthcare professionals).</w:t>
      </w:r>
      <w:r w:rsidRPr="00037AD4">
        <w:rPr>
          <w:rFonts w:asciiTheme="minorHAnsi" w:hAnsiTheme="minorHAnsi" w:cstheme="minorHAnsi"/>
          <w:color w:val="FF0000"/>
        </w:rPr>
        <w:t xml:space="preserve"> </w:t>
      </w:r>
      <w:r w:rsidRPr="00037AD4">
        <w:rPr>
          <w:rFonts w:asciiTheme="minorHAnsi" w:hAnsiTheme="minorHAnsi" w:cstheme="minorHAnsi"/>
        </w:rPr>
        <w:t xml:space="preserve">The methods adopted when generating utility scores has an impact on the estimation of QALYs and the resultant ICER, inevitably impacting the allocation of resources for health interventions. NICE has however taken no definitive stance regarding how to interpret or integrate proxy-reports and inter-rater disparities, despite proxy-reports being collected within studies and used within analyses </w:t>
      </w:r>
      <w:r>
        <w:rPr>
          <w:rFonts w:asciiTheme="minorHAnsi" w:hAnsiTheme="minorHAnsi" w:cstheme="minorHAnsi"/>
          <w:noProof/>
        </w:rPr>
        <w:t>(NICE, 2020a)</w:t>
      </w:r>
      <w:r w:rsidRPr="00037AD4">
        <w:rPr>
          <w:rFonts w:asciiTheme="minorHAnsi" w:hAnsiTheme="minorHAnsi" w:cstheme="minorHAnsi"/>
        </w:rPr>
        <w:t xml:space="preserve">. </w:t>
      </w:r>
      <w:bookmarkStart w:id="169" w:name="_Toc79582125"/>
      <w:bookmarkStart w:id="170" w:name="_Toc79839750"/>
      <w:bookmarkStart w:id="171" w:name="_Toc80257824"/>
    </w:p>
    <w:p w14:paraId="3528D27A" w14:textId="77777777" w:rsidR="00B54D51" w:rsidRPr="00037AD4" w:rsidRDefault="00B54D51" w:rsidP="003A43FD">
      <w:pPr>
        <w:rPr>
          <w:rFonts w:asciiTheme="minorHAnsi" w:hAnsiTheme="minorHAnsi" w:cstheme="minorHAnsi"/>
        </w:rPr>
      </w:pPr>
    </w:p>
    <w:p w14:paraId="7A1F6A0F" w14:textId="77777777" w:rsidR="00B54D51" w:rsidRPr="00037AD4" w:rsidRDefault="00B54D51" w:rsidP="007A43F9">
      <w:pPr>
        <w:pStyle w:val="Heading2"/>
      </w:pPr>
      <w:bookmarkStart w:id="172" w:name="_2.5_Patient_and"/>
      <w:bookmarkStart w:id="173" w:name="ppie1"/>
      <w:bookmarkStart w:id="174" w:name="_Toc175742270"/>
      <w:bookmarkEnd w:id="172"/>
      <w:r w:rsidRPr="00037AD4">
        <w:t>2.5 Patient and public involvement and engagement session one: specific challenges associated with quality of life assessments in dementia populations</w:t>
      </w:r>
      <w:bookmarkEnd w:id="174"/>
      <w:r w:rsidRPr="00037AD4">
        <w:t xml:space="preserve"> </w:t>
      </w:r>
    </w:p>
    <w:bookmarkEnd w:id="173"/>
    <w:p w14:paraId="2234B631" w14:textId="77777777" w:rsidR="00B54D51" w:rsidRPr="00037AD4" w:rsidRDefault="00B54D51" w:rsidP="003A43FD">
      <w:pPr>
        <w:rPr>
          <w:rFonts w:asciiTheme="minorHAnsi" w:hAnsiTheme="minorHAnsi" w:cstheme="minorHAnsi"/>
          <w:b/>
          <w:bCs/>
          <w:u w:val="single"/>
        </w:rPr>
      </w:pPr>
    </w:p>
    <w:p w14:paraId="5B3E2946" w14:textId="77777777" w:rsidR="00B54D51" w:rsidRPr="00037AD4" w:rsidRDefault="00B54D51" w:rsidP="00077AC9">
      <w:pPr>
        <w:rPr>
          <w:rFonts w:asciiTheme="minorHAnsi" w:hAnsiTheme="minorHAnsi" w:cstheme="minorHAnsi"/>
        </w:rPr>
      </w:pPr>
      <w:r w:rsidRPr="00037AD4">
        <w:rPr>
          <w:rFonts w:asciiTheme="minorHAnsi" w:hAnsiTheme="minorHAnsi" w:cstheme="minorHAnsi"/>
        </w:rPr>
        <w:t xml:space="preserve">Patient and public involvement and engagement (PPIE) describes the active partnership between patients/ the public and researchers in research processes, which is distinct from </w:t>
      </w:r>
      <w:r w:rsidRPr="00037AD4">
        <w:rPr>
          <w:rFonts w:asciiTheme="minorHAnsi" w:hAnsiTheme="minorHAnsi" w:cstheme="minorHAnsi"/>
        </w:rPr>
        <w:lastRenderedPageBreak/>
        <w:t xml:space="preserve">participating within a study. The central outcome is to conduct research </w:t>
      </w:r>
      <w:r w:rsidRPr="00037AD4">
        <w:rPr>
          <w:rFonts w:asciiTheme="minorHAnsi" w:hAnsiTheme="minorHAnsi" w:cstheme="minorHAnsi"/>
          <w:i/>
          <w:iCs/>
        </w:rPr>
        <w:t>with</w:t>
      </w:r>
      <w:r w:rsidRPr="00037AD4">
        <w:rPr>
          <w:rFonts w:asciiTheme="minorHAnsi" w:hAnsiTheme="minorHAnsi" w:cstheme="minorHAnsi"/>
        </w:rPr>
        <w:t xml:space="preserve"> the input of the research user, as opposed to about or for them </w:t>
      </w:r>
      <w:r>
        <w:rPr>
          <w:rFonts w:asciiTheme="minorHAnsi" w:hAnsiTheme="minorHAnsi" w:cstheme="minorHAnsi"/>
          <w:noProof/>
        </w:rPr>
        <w:t>(Hoddinott et al., 2018)</w:t>
      </w:r>
      <w:r w:rsidRPr="00037AD4">
        <w:rPr>
          <w:rFonts w:asciiTheme="minorHAnsi" w:hAnsiTheme="minorHAnsi" w:cstheme="minorHAnsi"/>
        </w:rPr>
        <w:t xml:space="preserve">. </w:t>
      </w:r>
    </w:p>
    <w:p w14:paraId="0D1560A0" w14:textId="77777777" w:rsidR="00B54D51" w:rsidRPr="00037AD4" w:rsidRDefault="00B54D51" w:rsidP="00077AC9">
      <w:pPr>
        <w:rPr>
          <w:rFonts w:asciiTheme="minorHAnsi" w:hAnsiTheme="minorHAnsi" w:cstheme="minorHAnsi"/>
        </w:rPr>
      </w:pPr>
    </w:p>
    <w:p w14:paraId="08288211" w14:textId="77777777" w:rsidR="00B54D51" w:rsidRPr="00037AD4" w:rsidRDefault="00B54D51" w:rsidP="007A43F9">
      <w:pPr>
        <w:pStyle w:val="Heading3"/>
      </w:pPr>
      <w:bookmarkStart w:id="175" w:name="_Toc175742271"/>
      <w:r w:rsidRPr="00037AD4">
        <w:t>2.5.1 Introduction</w:t>
      </w:r>
      <w:bookmarkEnd w:id="175"/>
      <w:r w:rsidRPr="00037AD4">
        <w:t xml:space="preserve"> </w:t>
      </w:r>
    </w:p>
    <w:p w14:paraId="15127289" w14:textId="77777777" w:rsidR="00B54D51" w:rsidRPr="00037AD4" w:rsidRDefault="00B54D51" w:rsidP="00414C54">
      <w:pPr>
        <w:rPr>
          <w:rFonts w:asciiTheme="minorHAnsi" w:hAnsiTheme="minorHAnsi" w:cstheme="minorHAnsi"/>
        </w:rPr>
      </w:pPr>
    </w:p>
    <w:p w14:paraId="7FC0B99F" w14:textId="77777777" w:rsidR="00B54D51" w:rsidRPr="00037AD4" w:rsidRDefault="00B54D51" w:rsidP="00414C54">
      <w:pPr>
        <w:rPr>
          <w:rFonts w:asciiTheme="minorHAnsi" w:hAnsiTheme="minorHAnsi" w:cstheme="minorHAnsi"/>
        </w:rPr>
      </w:pPr>
      <w:r w:rsidRPr="00037AD4">
        <w:rPr>
          <w:rFonts w:asciiTheme="minorHAnsi" w:hAnsiTheme="minorHAnsi" w:cstheme="minorHAnsi"/>
        </w:rPr>
        <w:t xml:space="preserve">There is growing recognition of the significance of patients and the public in shaping the course of research. PPIE in research fosters a more inclusive, patient-centred approach to research practice that integrates the voice of the target research user (otherwise referred to as a “patient expert”), by feeding their input into developmental stages and helping to ensure appropriate research design and content </w:t>
      </w:r>
      <w:r>
        <w:rPr>
          <w:rFonts w:asciiTheme="minorHAnsi" w:hAnsiTheme="minorHAnsi" w:cstheme="minorHAnsi"/>
          <w:noProof/>
        </w:rPr>
        <w:t>(Carlton et al., 2022)</w:t>
      </w:r>
      <w:r w:rsidRPr="00037AD4">
        <w:rPr>
          <w:rFonts w:asciiTheme="minorHAnsi" w:hAnsiTheme="minorHAnsi" w:cstheme="minorHAnsi"/>
        </w:rPr>
        <w:t xml:space="preserve">. The significance of PPIE is further emphasised in healthcare research, including quantitative studies, which are typically driven by empirical data </w:t>
      </w:r>
      <w:r>
        <w:rPr>
          <w:rFonts w:asciiTheme="minorHAnsi" w:hAnsiTheme="minorHAnsi" w:cstheme="minorHAnsi"/>
          <w:noProof/>
        </w:rPr>
        <w:t>(de Graaff et al., 2021, Biggane et al., 2019)</w:t>
      </w:r>
      <w:r w:rsidRPr="00037AD4">
        <w:rPr>
          <w:rFonts w:asciiTheme="minorHAnsi" w:hAnsiTheme="minorHAnsi" w:cstheme="minorHAnsi"/>
        </w:rPr>
        <w:t xml:space="preserve">. Here, the integration of patient and public perspectives becomes even more critical for ensuring that the quantitative findings correspond with the lived experiences and priorities of those directly impacted. </w:t>
      </w:r>
    </w:p>
    <w:p w14:paraId="1F9E1062" w14:textId="77777777" w:rsidR="00B54D51" w:rsidRPr="00037AD4" w:rsidRDefault="00B54D51" w:rsidP="00414C54">
      <w:pPr>
        <w:rPr>
          <w:rFonts w:asciiTheme="minorHAnsi" w:hAnsiTheme="minorHAnsi" w:cstheme="minorHAnsi"/>
        </w:rPr>
      </w:pPr>
    </w:p>
    <w:p w14:paraId="0DE750C1" w14:textId="77777777" w:rsidR="00B54D51" w:rsidRPr="00037AD4" w:rsidRDefault="00B54D51" w:rsidP="00414C54">
      <w:pPr>
        <w:rPr>
          <w:rFonts w:asciiTheme="minorHAnsi" w:hAnsiTheme="minorHAnsi" w:cstheme="minorHAnsi"/>
        </w:rPr>
      </w:pPr>
      <w:r w:rsidRPr="00037AD4">
        <w:rPr>
          <w:rFonts w:asciiTheme="minorHAnsi" w:hAnsiTheme="minorHAnsi" w:cstheme="minorHAnsi"/>
        </w:rPr>
        <w:t xml:space="preserve">As previously stated, PPIE members are not research participants. Their role serves more in steering and guiding ongoing research, helping to refine research questions and priorities, and aiding design such as identifying appropriate materials and methods </w:t>
      </w:r>
      <w:r>
        <w:rPr>
          <w:rFonts w:asciiTheme="minorHAnsi" w:hAnsiTheme="minorHAnsi" w:cstheme="minorHAnsi"/>
          <w:noProof/>
        </w:rPr>
        <w:t>(NHS HRA, 2024)</w:t>
      </w:r>
      <w:r w:rsidRPr="00037AD4">
        <w:rPr>
          <w:rFonts w:asciiTheme="minorHAnsi" w:hAnsiTheme="minorHAnsi" w:cstheme="minorHAnsi"/>
        </w:rPr>
        <w:t>. Integrating PPIE enhances the methodological robustness of the research by enabling it to be guided by patient expert opinion and promoting a meaningful interpretation of quantitative outcomes. The inclusion of both people with dementia and their caregivers in the PPIE process holds particular importance by acknowledging their distinct perspectives. In this research, “patient and public” is defined as people with dementia and their caregivers (who would serve as informal proxies).</w:t>
      </w:r>
    </w:p>
    <w:p w14:paraId="7E11A4B9" w14:textId="77777777" w:rsidR="00B54D51" w:rsidRPr="00037AD4" w:rsidRDefault="00B54D51" w:rsidP="00414C54">
      <w:pPr>
        <w:rPr>
          <w:rFonts w:asciiTheme="minorHAnsi" w:hAnsiTheme="minorHAnsi" w:cstheme="minorHAnsi"/>
          <w:sz w:val="26"/>
          <w:szCs w:val="26"/>
        </w:rPr>
      </w:pPr>
    </w:p>
    <w:p w14:paraId="05E93849" w14:textId="77777777" w:rsidR="00B54D51" w:rsidRPr="00037AD4" w:rsidRDefault="00B54D51" w:rsidP="007A43F9">
      <w:pPr>
        <w:pStyle w:val="Heading4"/>
        <w:rPr>
          <w:b w:val="0"/>
        </w:rPr>
      </w:pPr>
      <w:r w:rsidRPr="00037AD4">
        <w:t xml:space="preserve">2.5.1.1 PPIE session one objectives </w:t>
      </w:r>
    </w:p>
    <w:p w14:paraId="5F20EB5C" w14:textId="77777777" w:rsidR="00B54D51" w:rsidRPr="00037AD4" w:rsidRDefault="00B54D51" w:rsidP="00EB036E">
      <w:pPr>
        <w:rPr>
          <w:rFonts w:asciiTheme="minorHAnsi" w:hAnsiTheme="minorHAnsi" w:cstheme="minorHAnsi"/>
        </w:rPr>
      </w:pPr>
    </w:p>
    <w:p w14:paraId="0CF21406" w14:textId="77777777" w:rsidR="00B54D51" w:rsidRPr="00037AD4" w:rsidRDefault="00B54D51" w:rsidP="00EB036E">
      <w:pPr>
        <w:rPr>
          <w:rFonts w:asciiTheme="minorHAnsi" w:hAnsiTheme="minorHAnsi" w:cstheme="minorHAnsi"/>
        </w:rPr>
      </w:pPr>
      <w:r w:rsidRPr="00037AD4">
        <w:rPr>
          <w:rFonts w:asciiTheme="minorHAnsi" w:hAnsiTheme="minorHAnsi" w:cstheme="minorHAnsi"/>
        </w:rPr>
        <w:t xml:space="preserve">Two PPIE exercises were conducted as part of this thesis. Session one, as reported within this section, occurred sixteen months into the PhD programme in March 2022. The aim of this session was to gather direct insights from people with dementia and their caregivers about their perspectives of an inter-rater gap in the reports that they provide about the PwD. The session aimed to explore their opinions regarding whose HRQoL reports should be focused upon for use in analyses, particularly when considering the intricacies of dementia research. </w:t>
      </w:r>
    </w:p>
    <w:p w14:paraId="3DF6D75D" w14:textId="77777777" w:rsidR="00B54D51" w:rsidRPr="00037AD4" w:rsidRDefault="00B54D51" w:rsidP="00EB036E">
      <w:pPr>
        <w:rPr>
          <w:rFonts w:asciiTheme="minorHAnsi" w:hAnsiTheme="minorHAnsi" w:cstheme="minorHAnsi"/>
        </w:rPr>
      </w:pPr>
    </w:p>
    <w:p w14:paraId="41B0D291" w14:textId="77777777" w:rsidR="00B54D51" w:rsidRPr="00037AD4" w:rsidRDefault="00B54D51" w:rsidP="00EB036E">
      <w:pPr>
        <w:rPr>
          <w:rFonts w:asciiTheme="minorHAnsi" w:hAnsiTheme="minorHAnsi" w:cstheme="minorHAnsi"/>
        </w:rPr>
      </w:pPr>
      <w:r w:rsidRPr="00037AD4">
        <w:rPr>
          <w:rFonts w:asciiTheme="minorHAnsi" w:hAnsiTheme="minorHAnsi" w:cstheme="minorHAnsi"/>
        </w:rPr>
        <w:t>The focus was not on evaluating whether the group members believed certain HRQoL measures are effective or comprehensive for use in dementia studies. As previously mentioned, EQ-5D has been identified as a suitable measure for use in dementia populations. With a specific focus on the "usual activities" dimension of EQ-5D, the session had the following objectives:</w:t>
      </w:r>
    </w:p>
    <w:p w14:paraId="378ADEF7" w14:textId="77777777" w:rsidR="00B54D51" w:rsidRPr="00037AD4" w:rsidRDefault="00B54D51" w:rsidP="00EB036E">
      <w:pPr>
        <w:rPr>
          <w:rFonts w:asciiTheme="minorHAnsi" w:hAnsiTheme="minorHAnsi" w:cstheme="minorHAnsi"/>
        </w:rPr>
      </w:pPr>
    </w:p>
    <w:p w14:paraId="65987ED9" w14:textId="77777777" w:rsidR="00B54D51" w:rsidRPr="00037AD4" w:rsidRDefault="00B54D51" w:rsidP="0026777C">
      <w:pPr>
        <w:numPr>
          <w:ilvl w:val="0"/>
          <w:numId w:val="8"/>
        </w:numPr>
        <w:rPr>
          <w:rFonts w:asciiTheme="minorHAnsi" w:hAnsiTheme="minorHAnsi" w:cstheme="minorHAnsi"/>
        </w:rPr>
      </w:pPr>
      <w:r w:rsidRPr="00037AD4">
        <w:rPr>
          <w:rFonts w:asciiTheme="minorHAnsi" w:hAnsiTheme="minorHAnsi" w:cstheme="minorHAnsi"/>
        </w:rPr>
        <w:t>Request members to respond to the "usual activities" dimension, either reporting upon themselves as people with dementia or providing a proxy report as caregivers. Followed by discussions on their experiences with the task and their perceptions of the alignment of reports</w:t>
      </w:r>
    </w:p>
    <w:p w14:paraId="264731DC" w14:textId="77777777" w:rsidR="00B54D51" w:rsidRPr="00037AD4" w:rsidRDefault="00B54D51" w:rsidP="0026777C">
      <w:pPr>
        <w:numPr>
          <w:ilvl w:val="0"/>
          <w:numId w:val="8"/>
        </w:numPr>
        <w:rPr>
          <w:rFonts w:asciiTheme="minorHAnsi" w:hAnsiTheme="minorHAnsi" w:cstheme="minorHAnsi"/>
        </w:rPr>
      </w:pPr>
      <w:r w:rsidRPr="00037AD4">
        <w:rPr>
          <w:rFonts w:asciiTheme="minorHAnsi" w:hAnsiTheme="minorHAnsi" w:cstheme="minorHAnsi"/>
        </w:rPr>
        <w:lastRenderedPageBreak/>
        <w:t>Engage in a discussion about the remaining EQ-5D dimensions ("mobility"</w:t>
      </w:r>
      <w:r>
        <w:rPr>
          <w:rFonts w:asciiTheme="minorHAnsi" w:hAnsiTheme="minorHAnsi" w:cstheme="minorHAnsi"/>
        </w:rPr>
        <w:t>,</w:t>
      </w:r>
      <w:r w:rsidRPr="00037AD4">
        <w:rPr>
          <w:rFonts w:asciiTheme="minorHAnsi" w:hAnsiTheme="minorHAnsi" w:cstheme="minorHAnsi"/>
        </w:rPr>
        <w:t xml:space="preserve"> "self-care"</w:t>
      </w:r>
      <w:r>
        <w:rPr>
          <w:rFonts w:asciiTheme="minorHAnsi" w:hAnsiTheme="minorHAnsi" w:cstheme="minorHAnsi"/>
        </w:rPr>
        <w:t>,</w:t>
      </w:r>
      <w:r w:rsidRPr="00037AD4">
        <w:rPr>
          <w:rFonts w:asciiTheme="minorHAnsi" w:hAnsiTheme="minorHAnsi" w:cstheme="minorHAnsi"/>
        </w:rPr>
        <w:t xml:space="preserve"> "pain/discomfort" and "anxiety/depression") with a focus on the ease or difficulty of reporting</w:t>
      </w:r>
    </w:p>
    <w:p w14:paraId="14509566" w14:textId="77777777" w:rsidR="00B54D51" w:rsidRPr="00037AD4" w:rsidRDefault="00B54D51" w:rsidP="0026777C">
      <w:pPr>
        <w:numPr>
          <w:ilvl w:val="0"/>
          <w:numId w:val="8"/>
        </w:numPr>
        <w:rPr>
          <w:rFonts w:asciiTheme="minorHAnsi" w:hAnsiTheme="minorHAnsi" w:cstheme="minorHAnsi"/>
        </w:rPr>
      </w:pPr>
      <w:r w:rsidRPr="00037AD4">
        <w:rPr>
          <w:rFonts w:asciiTheme="minorHAnsi" w:hAnsiTheme="minorHAnsi" w:cstheme="minorHAnsi"/>
        </w:rPr>
        <w:t>Introduce terminologies for grouping EQ-5D dimensions and seek the groups opinions on which (if any) terminology resonates most with them</w:t>
      </w:r>
    </w:p>
    <w:p w14:paraId="728020AD" w14:textId="77777777" w:rsidR="00B54D51" w:rsidRPr="00037AD4" w:rsidRDefault="00B54D51" w:rsidP="003A43FD">
      <w:pPr>
        <w:rPr>
          <w:rFonts w:asciiTheme="minorHAnsi" w:hAnsiTheme="minorHAnsi" w:cstheme="minorHAnsi"/>
        </w:rPr>
      </w:pPr>
    </w:p>
    <w:p w14:paraId="387276A6" w14:textId="77777777" w:rsidR="00B54D51" w:rsidRPr="00037AD4" w:rsidRDefault="00B54D51" w:rsidP="007A43F9">
      <w:pPr>
        <w:pStyle w:val="Heading3"/>
      </w:pPr>
      <w:bookmarkStart w:id="176" w:name="_Toc175742272"/>
      <w:r w:rsidRPr="00037AD4">
        <w:t>2.5.2 Methods</w:t>
      </w:r>
      <w:bookmarkEnd w:id="176"/>
      <w:r w:rsidRPr="00037AD4">
        <w:t xml:space="preserve"> </w:t>
      </w:r>
    </w:p>
    <w:p w14:paraId="1A3E8411" w14:textId="77777777" w:rsidR="00B54D51" w:rsidRPr="00037AD4" w:rsidRDefault="00B54D51" w:rsidP="00364B8D">
      <w:pPr>
        <w:rPr>
          <w:rFonts w:asciiTheme="minorHAnsi" w:hAnsiTheme="minorHAnsi" w:cstheme="minorHAnsi"/>
        </w:rPr>
      </w:pPr>
    </w:p>
    <w:p w14:paraId="6B5D37C5" w14:textId="792086AC" w:rsidR="00B54D51" w:rsidRPr="00037AD4" w:rsidRDefault="00B54D51" w:rsidP="003A43FD">
      <w:pPr>
        <w:rPr>
          <w:rFonts w:asciiTheme="minorHAnsi" w:hAnsiTheme="minorHAnsi" w:cstheme="minorHAnsi"/>
        </w:rPr>
      </w:pPr>
      <w:r w:rsidRPr="00037AD4">
        <w:rPr>
          <w:rFonts w:asciiTheme="minorHAnsi" w:hAnsiTheme="minorHAnsi" w:cstheme="minorHAnsi"/>
        </w:rPr>
        <w:t xml:space="preserve">The Dementia Research Advisory Group South Yorkshire (DRAiSY) was contacted to identify patient experts </w:t>
      </w:r>
      <w:r>
        <w:rPr>
          <w:rFonts w:asciiTheme="minorHAnsi" w:hAnsiTheme="minorHAnsi" w:cstheme="minorHAnsi"/>
          <w:noProof/>
        </w:rPr>
        <w:t>(DRAiSY, 2021)</w:t>
      </w:r>
      <w:r w:rsidRPr="00037AD4">
        <w:rPr>
          <w:rFonts w:asciiTheme="minorHAnsi" w:hAnsiTheme="minorHAnsi" w:cstheme="minorHAnsi"/>
        </w:rPr>
        <w:t xml:space="preserve"> as this group already consists of people with dementia and caregivers that actively participate in public involvement within research. The framework set out by the DRAiSY group was adopted for planning and conducting the PPIE session </w:t>
      </w:r>
      <w:r>
        <w:rPr>
          <w:rFonts w:asciiTheme="minorHAnsi" w:hAnsiTheme="minorHAnsi" w:cstheme="minorHAnsi"/>
          <w:noProof/>
        </w:rPr>
        <w:t>(DRAiSY, 2021)</w:t>
      </w:r>
      <w:r w:rsidRPr="00037AD4">
        <w:rPr>
          <w:rFonts w:asciiTheme="minorHAnsi" w:hAnsiTheme="minorHAnsi" w:cstheme="minorHAnsi"/>
        </w:rPr>
        <w:t xml:space="preserve">. In particular, the framework refers to guidance from the Dementia Engagement and Empowerment Project (DEEP) around sharing information in a suitable and accessible way for people with dementia. This includes considerations such as language and images to avoid, and methods for making presentation more accessible for people with dementia </w:t>
      </w:r>
      <w:r>
        <w:rPr>
          <w:rFonts w:asciiTheme="minorHAnsi" w:hAnsiTheme="minorHAnsi" w:cstheme="minorHAnsi"/>
          <w:noProof/>
        </w:rPr>
        <w:t>(DEEP, 2021)</w:t>
      </w:r>
      <w:r w:rsidRPr="00037AD4">
        <w:rPr>
          <w:rFonts w:asciiTheme="minorHAnsi" w:hAnsiTheme="minorHAnsi" w:cstheme="minorHAnsi"/>
        </w:rPr>
        <w:t xml:space="preserve">.  </w:t>
      </w:r>
    </w:p>
    <w:p w14:paraId="72317839" w14:textId="77777777" w:rsidR="00B54D51" w:rsidRPr="00037AD4" w:rsidRDefault="00B54D51" w:rsidP="003A43FD">
      <w:pPr>
        <w:rPr>
          <w:rFonts w:asciiTheme="minorHAnsi" w:hAnsiTheme="minorHAnsi" w:cstheme="minorHAnsi"/>
        </w:rPr>
      </w:pPr>
    </w:p>
    <w:p w14:paraId="6EDE260E" w14:textId="77777777" w:rsidR="00B54D51" w:rsidRPr="00B54D51" w:rsidRDefault="00B54D51" w:rsidP="00FB2D5A">
      <w:pPr>
        <w:rPr>
          <w:rFonts w:asciiTheme="minorHAnsi" w:hAnsiTheme="minorHAnsi" w:cstheme="minorHAnsi"/>
          <w:color w:val="000000" w:themeColor="text1"/>
        </w:rPr>
      </w:pPr>
      <w:r w:rsidRPr="00037AD4">
        <w:rPr>
          <w:rFonts w:asciiTheme="minorHAnsi" w:hAnsiTheme="minorHAnsi" w:cstheme="minorHAnsi"/>
        </w:rPr>
        <w:t xml:space="preserve">Materials were distributed prior to the session via email and were circulated by the chair for the DRAiSY group (Dr Jane McKeown at the time). The materials included a copy of the EQ-5D questionnaire (same version as provided </w:t>
      </w:r>
      <w:r w:rsidRPr="00B54D51">
        <w:rPr>
          <w:rFonts w:asciiTheme="minorHAnsi" w:hAnsiTheme="minorHAnsi" w:cstheme="minorHAnsi"/>
        </w:rPr>
        <w:t xml:space="preserve">in </w:t>
      </w:r>
      <w:hyperlink w:anchor="A1" w:history="1">
        <w:r w:rsidRPr="00B54D51">
          <w:rPr>
            <w:rStyle w:val="Hyperlink"/>
            <w:rFonts w:asciiTheme="minorHAnsi" w:hAnsiTheme="minorHAnsi" w:cstheme="minorHAnsi"/>
            <w:color w:val="000000" w:themeColor="text1"/>
            <w:u w:val="none"/>
          </w:rPr>
          <w:t>Appendix 1</w:t>
        </w:r>
      </w:hyperlink>
      <w:r w:rsidRPr="00B54D51">
        <w:rPr>
          <w:rFonts w:asciiTheme="minorHAnsi" w:hAnsiTheme="minorHAnsi" w:cstheme="minorHAnsi"/>
          <w:color w:val="000000" w:themeColor="text1"/>
        </w:rPr>
        <w:t xml:space="preserve">) and a brief lay summary of the research project which is provided in </w:t>
      </w:r>
      <w:hyperlink w:anchor="A28" w:history="1">
        <w:r w:rsidRPr="00B54D51">
          <w:rPr>
            <w:rStyle w:val="Hyperlink"/>
            <w:rFonts w:asciiTheme="minorHAnsi" w:hAnsiTheme="minorHAnsi" w:cstheme="minorHAnsi"/>
            <w:color w:val="000000" w:themeColor="text1"/>
            <w:u w:val="none"/>
          </w:rPr>
          <w:t>Appendix 2.8</w:t>
        </w:r>
      </w:hyperlink>
      <w:r w:rsidRPr="00B54D51">
        <w:rPr>
          <w:rFonts w:asciiTheme="minorHAnsi" w:hAnsiTheme="minorHAnsi" w:cstheme="minorHAnsi"/>
          <w:color w:val="000000" w:themeColor="text1"/>
        </w:rPr>
        <w:t xml:space="preserve">. </w:t>
      </w:r>
    </w:p>
    <w:p w14:paraId="5B66D0F5" w14:textId="77777777" w:rsidR="00B54D51" w:rsidRPr="00037AD4" w:rsidRDefault="00B54D51" w:rsidP="00FB2D5A">
      <w:pPr>
        <w:rPr>
          <w:rFonts w:asciiTheme="minorHAnsi" w:hAnsiTheme="minorHAnsi" w:cstheme="minorHAnsi"/>
          <w:color w:val="FF0000"/>
        </w:rPr>
      </w:pPr>
    </w:p>
    <w:p w14:paraId="126B3A2C" w14:textId="77777777" w:rsidR="00B54D51" w:rsidRPr="00037AD4" w:rsidRDefault="00B54D51" w:rsidP="00FB2D5A">
      <w:pPr>
        <w:rPr>
          <w:rFonts w:asciiTheme="minorHAnsi" w:hAnsiTheme="minorHAnsi" w:cstheme="minorHAnsi"/>
          <w:color w:val="FF0000"/>
        </w:rPr>
      </w:pPr>
      <w:r w:rsidRPr="00037AD4">
        <w:rPr>
          <w:rFonts w:asciiTheme="minorHAnsi" w:hAnsiTheme="minorHAnsi" w:cstheme="minorHAnsi"/>
        </w:rPr>
        <w:t>The PPIE session adopted the format of a focus group, whereby open conversation was encouraged. The session was planned to last no longer than 45 minutes in duration to ensure optimal comfort for the group. A maximum of four PwD-proxy dyads was proposed to allow equal opportunity for members to contribute and provide input.</w:t>
      </w:r>
    </w:p>
    <w:p w14:paraId="36A3646E" w14:textId="77777777" w:rsidR="00B54D51" w:rsidRPr="00037AD4" w:rsidRDefault="00B54D51" w:rsidP="003A43FD">
      <w:pPr>
        <w:rPr>
          <w:rFonts w:asciiTheme="minorHAnsi" w:hAnsiTheme="minorHAnsi" w:cstheme="minorHAnsi"/>
        </w:rPr>
      </w:pPr>
    </w:p>
    <w:p w14:paraId="35509D83" w14:textId="77777777" w:rsidR="00B54D51" w:rsidRPr="00037AD4" w:rsidRDefault="00B54D51" w:rsidP="007A43F9">
      <w:pPr>
        <w:pStyle w:val="Heading3"/>
      </w:pPr>
      <w:bookmarkStart w:id="177" w:name="_Toc175742273"/>
      <w:r w:rsidRPr="00037AD4">
        <w:t>2.5.3 Results</w:t>
      </w:r>
      <w:bookmarkEnd w:id="177"/>
      <w:r w:rsidRPr="00037AD4">
        <w:t xml:space="preserve"> </w:t>
      </w:r>
    </w:p>
    <w:p w14:paraId="70B7845A" w14:textId="77777777" w:rsidR="00B54D51" w:rsidRPr="00037AD4" w:rsidRDefault="00B54D51" w:rsidP="00FB2D5A">
      <w:pPr>
        <w:rPr>
          <w:rFonts w:asciiTheme="minorHAnsi" w:hAnsiTheme="minorHAnsi" w:cstheme="minorHAnsi"/>
          <w:color w:val="FF0000"/>
        </w:rPr>
      </w:pPr>
    </w:p>
    <w:p w14:paraId="4B5D61C3" w14:textId="77777777" w:rsidR="00B54D51" w:rsidRPr="00037AD4" w:rsidRDefault="00B54D51" w:rsidP="00F2098F">
      <w:pPr>
        <w:rPr>
          <w:rFonts w:asciiTheme="minorHAnsi" w:hAnsiTheme="minorHAnsi" w:cstheme="minorHAnsi"/>
          <w:color w:val="000000" w:themeColor="text1"/>
        </w:rPr>
      </w:pPr>
      <w:r w:rsidRPr="00037AD4">
        <w:rPr>
          <w:rFonts w:asciiTheme="minorHAnsi" w:hAnsiTheme="minorHAnsi" w:cstheme="minorHAnsi"/>
        </w:rPr>
        <w:t xml:space="preserve">Due to COVID restrictions (at the time – March 2022), the meeting was conducted virtually via Zoom. In attendance were Hannah Hussain (researcher) and Dr McKeown (chair for the DRAiSY group). Dr McKeown helped to facilitate the discussion and took meeting notes. The group members included: three people with dementia and three spousal caregivers. Feedback tables and the images used on the slides are provided </w:t>
      </w:r>
      <w:r w:rsidRPr="00037AD4">
        <w:rPr>
          <w:rFonts w:asciiTheme="minorHAnsi" w:hAnsiTheme="minorHAnsi" w:cstheme="minorHAnsi"/>
          <w:color w:val="000000" w:themeColor="text1"/>
        </w:rPr>
        <w:t xml:space="preserve">in </w:t>
      </w:r>
      <w:hyperlink w:anchor="A29" w:history="1">
        <w:r w:rsidRPr="00B54D51">
          <w:rPr>
            <w:rStyle w:val="Hyperlink"/>
            <w:rFonts w:asciiTheme="minorHAnsi" w:hAnsiTheme="minorHAnsi" w:cstheme="minorHAnsi"/>
            <w:color w:val="000000" w:themeColor="text1"/>
            <w:u w:val="none"/>
          </w:rPr>
          <w:t>Appendix 2.9</w:t>
        </w:r>
      </w:hyperlink>
      <w:r w:rsidRPr="00B54D51">
        <w:rPr>
          <w:rFonts w:asciiTheme="minorHAnsi" w:hAnsiTheme="minorHAnsi" w:cstheme="minorHAnsi"/>
          <w:color w:val="000000" w:themeColor="text1"/>
        </w:rPr>
        <w:t>.</w:t>
      </w:r>
      <w:r w:rsidRPr="00037AD4">
        <w:rPr>
          <w:rFonts w:asciiTheme="minorHAnsi" w:hAnsiTheme="minorHAnsi" w:cstheme="minorHAnsi"/>
          <w:color w:val="000000" w:themeColor="text1"/>
        </w:rPr>
        <w:t xml:space="preserve"> </w:t>
      </w:r>
    </w:p>
    <w:p w14:paraId="587C536D" w14:textId="77777777" w:rsidR="00B54D51" w:rsidRPr="00037AD4" w:rsidRDefault="00B54D51" w:rsidP="00F2098F">
      <w:pPr>
        <w:rPr>
          <w:rFonts w:asciiTheme="minorHAnsi" w:hAnsiTheme="minorHAnsi" w:cstheme="minorHAnsi"/>
        </w:rPr>
      </w:pPr>
    </w:p>
    <w:p w14:paraId="3499516B" w14:textId="77777777" w:rsidR="00B54D51" w:rsidRPr="00037AD4" w:rsidRDefault="00B54D51" w:rsidP="007A43F9">
      <w:pPr>
        <w:pStyle w:val="Heading4"/>
      </w:pPr>
      <w:r w:rsidRPr="00037AD4">
        <w:t>2.5.3.1 Results for objective one</w:t>
      </w:r>
    </w:p>
    <w:p w14:paraId="78D54105" w14:textId="77777777" w:rsidR="00B54D51" w:rsidRPr="00037AD4" w:rsidRDefault="00B54D51" w:rsidP="00F2098F">
      <w:pPr>
        <w:rPr>
          <w:rFonts w:asciiTheme="minorHAnsi" w:hAnsiTheme="minorHAnsi" w:cstheme="minorHAnsi"/>
        </w:rPr>
      </w:pPr>
    </w:p>
    <w:p w14:paraId="4A0A6E5A" w14:textId="183DB35E" w:rsidR="00B54D51" w:rsidRPr="00B84F44" w:rsidRDefault="00B54D51" w:rsidP="00B84F44">
      <w:pPr>
        <w:rPr>
          <w:rFonts w:asciiTheme="minorHAnsi" w:hAnsiTheme="minorHAnsi" w:cstheme="minorHAnsi"/>
        </w:rPr>
      </w:pPr>
      <w:r w:rsidRPr="00037AD4">
        <w:rPr>
          <w:rFonts w:asciiTheme="minorHAnsi" w:hAnsiTheme="minorHAnsi" w:cstheme="minorHAnsi"/>
        </w:rPr>
        <w:t>When focusing on the “usual activities” dimension specifically, there were some concerns raised by the group. People with dementia within the group overall fed-back that the question was vague and difficult to understand. They reported that the answer may vary depending on the activity being considered and that more specific examples would be beneficial, as well as visual prompts to foster inclusion of people with non-verbal dementia. Informal proxies within the group reported that the question was not challenging to proxy report upon, but that the PwD that they cared for may have either omitted the question or that their answers would have differed.</w:t>
      </w:r>
    </w:p>
    <w:p w14:paraId="44B48BBE" w14:textId="77777777" w:rsidR="00B54D51" w:rsidRPr="00037AD4" w:rsidRDefault="00B54D51" w:rsidP="007A43F9">
      <w:pPr>
        <w:pStyle w:val="Heading4"/>
        <w:rPr>
          <w:bCs/>
          <w:szCs w:val="26"/>
        </w:rPr>
      </w:pPr>
      <w:r w:rsidRPr="00037AD4">
        <w:rPr>
          <w:bCs/>
          <w:szCs w:val="26"/>
        </w:rPr>
        <w:lastRenderedPageBreak/>
        <w:t>2.5.3.2 Results for objective two</w:t>
      </w:r>
    </w:p>
    <w:p w14:paraId="5D61CF3D" w14:textId="77777777" w:rsidR="00B54D51" w:rsidRPr="00037AD4" w:rsidRDefault="00B54D51" w:rsidP="00FB2D5A">
      <w:pPr>
        <w:rPr>
          <w:rFonts w:asciiTheme="minorHAnsi" w:hAnsiTheme="minorHAnsi" w:cstheme="minorHAnsi"/>
          <w:color w:val="FF0000"/>
        </w:rPr>
      </w:pPr>
    </w:p>
    <w:p w14:paraId="0C58417D" w14:textId="77777777" w:rsidR="00B54D51" w:rsidRPr="00037AD4" w:rsidRDefault="00B54D51" w:rsidP="002233F9">
      <w:pPr>
        <w:rPr>
          <w:rFonts w:asciiTheme="minorHAnsi" w:hAnsiTheme="minorHAnsi" w:cstheme="minorHAnsi"/>
        </w:rPr>
      </w:pPr>
      <w:r w:rsidRPr="00037AD4">
        <w:rPr>
          <w:rFonts w:asciiTheme="minorHAnsi" w:hAnsiTheme="minorHAnsi" w:cstheme="minorHAnsi"/>
        </w:rPr>
        <w:t>Shifting the group's focus to the remaining EQ-5D dimensions revealed further discussions. The consensus was that "mobility" might be more straightforward for proxy reporting, given its visible nature. However, a unique situation arose when a member with dementia shared challenges with their sense of direction (impacted by their dementia), making independent walking unsafe for them. It was discussed that challenges like this may potentially lead to different interpretations that extend beyond physical movement.</w:t>
      </w:r>
    </w:p>
    <w:p w14:paraId="30D50239" w14:textId="77777777" w:rsidR="00B54D51" w:rsidRPr="00037AD4" w:rsidRDefault="00B54D51" w:rsidP="002233F9">
      <w:pPr>
        <w:rPr>
          <w:rFonts w:asciiTheme="minorHAnsi" w:hAnsiTheme="minorHAnsi" w:cstheme="minorHAnsi"/>
        </w:rPr>
      </w:pPr>
    </w:p>
    <w:p w14:paraId="76C305D1" w14:textId="77777777" w:rsidR="00B54D51" w:rsidRPr="00037AD4" w:rsidRDefault="00B54D51" w:rsidP="002233F9">
      <w:pPr>
        <w:rPr>
          <w:rFonts w:asciiTheme="minorHAnsi" w:hAnsiTheme="minorHAnsi" w:cstheme="minorHAnsi"/>
        </w:rPr>
      </w:pPr>
      <w:r w:rsidRPr="00037AD4">
        <w:rPr>
          <w:rFonts w:asciiTheme="minorHAnsi" w:hAnsiTheme="minorHAnsi" w:cstheme="minorHAnsi"/>
        </w:rPr>
        <w:t>Concerns were flagged during the discussion in relation to the "anxiety/depression" dimension as members with dementia expressed frustration associated with their condition. The impact of respondents providing reports in the same room was discussed, whereby the PwD may answer differently to avoid upsetting their caregiver. This discussion highlighted a practical consideration for data collection methods.</w:t>
      </w:r>
    </w:p>
    <w:p w14:paraId="32C31D36" w14:textId="77777777" w:rsidR="00B54D51" w:rsidRPr="00037AD4" w:rsidRDefault="00B54D51" w:rsidP="002233F9">
      <w:pPr>
        <w:rPr>
          <w:rFonts w:asciiTheme="minorHAnsi" w:hAnsiTheme="minorHAnsi" w:cstheme="minorHAnsi"/>
        </w:rPr>
      </w:pPr>
    </w:p>
    <w:p w14:paraId="024464E2" w14:textId="77777777" w:rsidR="00B54D51" w:rsidRPr="00037AD4" w:rsidRDefault="00B54D51" w:rsidP="002233F9">
      <w:pPr>
        <w:rPr>
          <w:rFonts w:asciiTheme="minorHAnsi" w:hAnsiTheme="minorHAnsi" w:cstheme="minorHAnsi"/>
        </w:rPr>
      </w:pPr>
      <w:r w:rsidRPr="00037AD4">
        <w:rPr>
          <w:rFonts w:asciiTheme="minorHAnsi" w:hAnsiTheme="minorHAnsi" w:cstheme="minorHAnsi"/>
        </w:rPr>
        <w:t>Overall, people with dementia strongly felt the need to report for themselves, but that steps could be taken to encourage accurate self-reporting. Informal proxy caregivers also believed that their opinions are valuable, as they may offer alternative and insightful perspectives.</w:t>
      </w:r>
    </w:p>
    <w:p w14:paraId="14DED16D" w14:textId="77777777" w:rsidR="00B54D51" w:rsidRPr="00037AD4" w:rsidRDefault="00B54D51" w:rsidP="00FB2D5A">
      <w:pPr>
        <w:rPr>
          <w:rFonts w:asciiTheme="minorHAnsi" w:hAnsiTheme="minorHAnsi" w:cstheme="minorHAnsi"/>
          <w:color w:val="FF0000"/>
        </w:rPr>
      </w:pPr>
    </w:p>
    <w:p w14:paraId="4314F33B" w14:textId="77777777" w:rsidR="00B54D51" w:rsidRPr="00037AD4" w:rsidRDefault="00B54D51" w:rsidP="007A43F9">
      <w:pPr>
        <w:pStyle w:val="Heading4"/>
      </w:pPr>
      <w:r w:rsidRPr="00037AD4">
        <w:t>2.5.3.3 Results for objective three</w:t>
      </w:r>
    </w:p>
    <w:p w14:paraId="15C3E47F" w14:textId="77777777" w:rsidR="00B54D51" w:rsidRPr="00037AD4" w:rsidRDefault="00B54D51" w:rsidP="00FB2D5A">
      <w:pPr>
        <w:rPr>
          <w:rFonts w:asciiTheme="minorHAnsi" w:hAnsiTheme="minorHAnsi" w:cstheme="minorHAnsi"/>
          <w:b/>
          <w:bCs/>
          <w:u w:val="single"/>
        </w:rPr>
      </w:pPr>
    </w:p>
    <w:p w14:paraId="1721893F" w14:textId="77777777" w:rsidR="00B54D51" w:rsidRPr="00037AD4" w:rsidRDefault="00B54D51" w:rsidP="00FB2D5A">
      <w:pPr>
        <w:rPr>
          <w:rFonts w:asciiTheme="minorHAnsi" w:hAnsiTheme="minorHAnsi" w:cstheme="minorHAnsi"/>
        </w:rPr>
      </w:pPr>
      <w:r w:rsidRPr="00037AD4">
        <w:rPr>
          <w:rFonts w:asciiTheme="minorHAnsi" w:hAnsiTheme="minorHAnsi" w:cstheme="minorHAnsi"/>
        </w:rPr>
        <w:t xml:space="preserve">With the aim of standardising the terminology used for referring to EQ-5D dimensions, the PPIE group was presented with two hypothetical titles for the grouped dimensions, as illustrated in </w:t>
      </w:r>
      <w:r w:rsidRPr="00037AD4">
        <w:rPr>
          <w:rFonts w:asciiTheme="minorHAnsi" w:hAnsiTheme="minorHAnsi" w:cstheme="minorHAnsi"/>
          <w:color w:val="000000" w:themeColor="text1"/>
        </w:rPr>
        <w:t>Figure 2 below</w:t>
      </w:r>
      <w:r w:rsidRPr="00037AD4">
        <w:rPr>
          <w:rFonts w:asciiTheme="minorHAnsi" w:hAnsiTheme="minorHAnsi" w:cstheme="minorHAnsi"/>
        </w:rPr>
        <w:t xml:space="preserve">. </w:t>
      </w:r>
    </w:p>
    <w:p w14:paraId="7C9AF6B2" w14:textId="77777777" w:rsidR="00B54D51" w:rsidRPr="00037AD4" w:rsidRDefault="00B54D51" w:rsidP="00FB2D5A">
      <w:pPr>
        <w:rPr>
          <w:rFonts w:asciiTheme="minorHAnsi" w:hAnsiTheme="minorHAnsi" w:cstheme="minorHAnsi"/>
        </w:rPr>
      </w:pPr>
    </w:p>
    <w:p w14:paraId="5FF70F6F" w14:textId="77777777" w:rsidR="00B54D51" w:rsidRPr="00037AD4" w:rsidRDefault="00B54D51" w:rsidP="00413832">
      <w:pPr>
        <w:rPr>
          <w:rFonts w:asciiTheme="minorHAnsi" w:hAnsiTheme="minorHAnsi" w:cstheme="minorHAnsi"/>
        </w:rPr>
      </w:pPr>
      <w:r w:rsidRPr="00037AD4">
        <w:rPr>
          <w:rFonts w:asciiTheme="minorHAnsi" w:hAnsiTheme="minorHAnsi" w:cstheme="minorHAnsi"/>
        </w:rPr>
        <w:t>This objective yielded less input when compared to the previous two tasks, suggesting that the group might have encountered conceptual challenges with the assignment. Additionally, being the final task could have contributed to potential fatigue among the participants. While specific comments on the terminologies were not prompted, there was an agreement within discussions that the proposed groupings themselves were logically structured.</w:t>
      </w:r>
    </w:p>
    <w:p w14:paraId="2418106F" w14:textId="77777777" w:rsidR="00B54D51" w:rsidRPr="00037AD4" w:rsidRDefault="00B54D51" w:rsidP="00FB2D5A">
      <w:pPr>
        <w:rPr>
          <w:rFonts w:asciiTheme="minorHAnsi" w:hAnsiTheme="minorHAnsi" w:cstheme="minorHAnsi"/>
        </w:rPr>
      </w:pPr>
    </w:p>
    <w:p w14:paraId="4A3B3682" w14:textId="77777777" w:rsidR="00B54D51" w:rsidRPr="00037AD4" w:rsidRDefault="00B54D51" w:rsidP="00FB2D5A">
      <w:pPr>
        <w:rPr>
          <w:rFonts w:asciiTheme="minorHAnsi" w:hAnsiTheme="minorHAnsi" w:cstheme="minorHAnsi"/>
          <w:b/>
          <w:bCs/>
          <w:i/>
          <w:iCs/>
        </w:rPr>
      </w:pPr>
      <w:r w:rsidRPr="00037AD4">
        <w:rPr>
          <w:rFonts w:asciiTheme="minorHAnsi" w:hAnsiTheme="minorHAnsi" w:cstheme="minorHAnsi"/>
          <w:b/>
          <w:bCs/>
          <w:i/>
          <w:iCs/>
        </w:rPr>
        <w:t xml:space="preserve">Figure 2, EQ-5D dimension groups </w:t>
      </w:r>
    </w:p>
    <w:p w14:paraId="5CA6FE4E" w14:textId="77777777" w:rsidR="00B54D51" w:rsidRPr="00037AD4" w:rsidRDefault="00B54D51" w:rsidP="00FB2D5A">
      <w:pPr>
        <w:rPr>
          <w:rFonts w:asciiTheme="minorHAnsi" w:hAnsiTheme="minorHAnsi" w:cstheme="minorHAnsi"/>
          <w:b/>
          <w:bCs/>
          <w:color w:val="FF0000"/>
        </w:rPr>
      </w:pPr>
    </w:p>
    <w:p w14:paraId="0D76D174" w14:textId="28FF43BB" w:rsidR="00B54D51" w:rsidRPr="00037AD4" w:rsidRDefault="00B82EB5" w:rsidP="00FA7B66">
      <w:pPr>
        <w:jc w:val="center"/>
        <w:rPr>
          <w:rFonts w:asciiTheme="minorHAnsi" w:hAnsiTheme="minorHAnsi" w:cstheme="minorHAnsi"/>
          <w:b/>
          <w:bCs/>
          <w:color w:val="FF0000"/>
        </w:rPr>
      </w:pPr>
      <w:r w:rsidRPr="00037AD4">
        <w:rPr>
          <w:rFonts w:asciiTheme="minorHAnsi" w:hAnsiTheme="minorHAnsi" w:cstheme="minorHAnsi"/>
          <w:noProof/>
          <w:lang w:eastAsia="zh-CN"/>
        </w:rPr>
        <w:drawing>
          <wp:inline distT="0" distB="0" distL="0" distR="0" wp14:anchorId="63D623E4" wp14:editId="292BBC32">
            <wp:extent cx="3867124" cy="2603500"/>
            <wp:effectExtent l="0" t="0" r="0" b="0"/>
            <wp:docPr id="8" name="Picture 8"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with medium confidence"/>
                    <pic:cNvPicPr/>
                  </pic:nvPicPr>
                  <pic:blipFill>
                    <a:blip r:embed="rId15">
                      <a:extLst>
                        <a:ext uri="{28A0092B-C50C-407E-A947-70E740481C1C}">
                          <a14:useLocalDpi xmlns:a14="http://schemas.microsoft.com/office/drawing/2010/main" val="0"/>
                        </a:ext>
                      </a:extLst>
                    </a:blip>
                    <a:stretch>
                      <a:fillRect/>
                    </a:stretch>
                  </pic:blipFill>
                  <pic:spPr>
                    <a:xfrm>
                      <a:off x="0" y="0"/>
                      <a:ext cx="3887431" cy="2617172"/>
                    </a:xfrm>
                    <a:prstGeom prst="rect">
                      <a:avLst/>
                    </a:prstGeom>
                  </pic:spPr>
                </pic:pic>
              </a:graphicData>
            </a:graphic>
          </wp:inline>
        </w:drawing>
      </w:r>
    </w:p>
    <w:p w14:paraId="34136E65" w14:textId="77777777" w:rsidR="00CA09A9" w:rsidRDefault="00CA09A9" w:rsidP="007A43F9">
      <w:pPr>
        <w:pStyle w:val="Heading3"/>
      </w:pPr>
    </w:p>
    <w:p w14:paraId="224DFDD3" w14:textId="692E6632" w:rsidR="00B54D51" w:rsidRPr="00037AD4" w:rsidRDefault="00B54D51" w:rsidP="007A43F9">
      <w:pPr>
        <w:pStyle w:val="Heading3"/>
      </w:pPr>
      <w:bookmarkStart w:id="178" w:name="_Toc175742274"/>
      <w:r w:rsidRPr="00037AD4">
        <w:t>2.5.4 Key findings</w:t>
      </w:r>
      <w:bookmarkEnd w:id="178"/>
      <w:r w:rsidRPr="00037AD4">
        <w:t xml:space="preserve"> </w:t>
      </w:r>
    </w:p>
    <w:p w14:paraId="250F4159" w14:textId="77777777" w:rsidR="00B54D51" w:rsidRPr="00037AD4" w:rsidRDefault="00B54D51" w:rsidP="003A43FD">
      <w:pPr>
        <w:rPr>
          <w:rFonts w:asciiTheme="minorHAnsi" w:hAnsiTheme="minorHAnsi" w:cstheme="minorHAnsi"/>
        </w:rPr>
      </w:pPr>
    </w:p>
    <w:p w14:paraId="554AC7ED" w14:textId="77777777" w:rsidR="00B54D51" w:rsidRPr="00037AD4" w:rsidRDefault="00B54D51" w:rsidP="005D6B26">
      <w:pPr>
        <w:rPr>
          <w:rFonts w:asciiTheme="minorHAnsi" w:hAnsiTheme="minorHAnsi" w:cstheme="minorHAnsi"/>
        </w:rPr>
      </w:pPr>
      <w:r w:rsidRPr="00037AD4">
        <w:rPr>
          <w:rFonts w:asciiTheme="minorHAnsi" w:hAnsiTheme="minorHAnsi" w:cstheme="minorHAnsi"/>
        </w:rPr>
        <w:t xml:space="preserve">In summary, the group discussions on inter-rater agreement mirrored findings from the existing literature. It is evident that both people with dementia and informal caregivers (as proxies) recognise the presence of a gap in their reports. However, both respondent types equally emphasise the validity and importance of their reports in assessing HRQoL for dementia research. This input will be considered during subsequent analyses when incorporating both respondents' reports. It is apparent, both from the literature and from the group’s discussions, that relying solely on one type of respondent neglects crucial insights into the HRQoL of people with dementia. </w:t>
      </w:r>
    </w:p>
    <w:p w14:paraId="30E4ABB6" w14:textId="77777777" w:rsidR="00B54D51" w:rsidRPr="00037AD4" w:rsidRDefault="00B54D51" w:rsidP="005D6B26">
      <w:pPr>
        <w:rPr>
          <w:rFonts w:asciiTheme="minorHAnsi" w:hAnsiTheme="minorHAnsi" w:cstheme="minorHAnsi"/>
        </w:rPr>
      </w:pPr>
    </w:p>
    <w:p w14:paraId="4F9C2C13" w14:textId="77777777" w:rsidR="00B54D51" w:rsidRPr="00037AD4" w:rsidRDefault="00B54D51" w:rsidP="005D6B26">
      <w:pPr>
        <w:rPr>
          <w:rFonts w:asciiTheme="minorHAnsi" w:hAnsiTheme="minorHAnsi" w:cstheme="minorHAnsi"/>
        </w:rPr>
      </w:pPr>
      <w:r w:rsidRPr="00037AD4">
        <w:rPr>
          <w:rFonts w:asciiTheme="minorHAnsi" w:hAnsiTheme="minorHAnsi" w:cstheme="minorHAnsi"/>
        </w:rPr>
        <w:t xml:space="preserve">Specific concerns were raised regarding the interpretation of the "usual activities" and "anxiety/depression" dimensions. Even the "mobility" dimension was acknowledged to face potential interpretation differences. As further investigation into the EQ-5D dimensions is conducted, attention will be given to understanding and addressing potential discrepancies in interpretation between respondent types that may be influencing how and why they provide different reports about the same person. </w:t>
      </w:r>
    </w:p>
    <w:p w14:paraId="3553AF44" w14:textId="77777777" w:rsidR="00B54D51" w:rsidRPr="00037AD4" w:rsidRDefault="00B54D51" w:rsidP="005D6B26">
      <w:pPr>
        <w:rPr>
          <w:rFonts w:asciiTheme="minorHAnsi" w:hAnsiTheme="minorHAnsi" w:cstheme="minorHAnsi"/>
        </w:rPr>
      </w:pPr>
    </w:p>
    <w:p w14:paraId="66779FCA" w14:textId="77777777" w:rsidR="00B54D51" w:rsidRPr="00037AD4" w:rsidRDefault="00B54D51" w:rsidP="005D6B26">
      <w:pPr>
        <w:rPr>
          <w:rFonts w:asciiTheme="minorHAnsi" w:hAnsiTheme="minorHAnsi" w:cstheme="minorHAnsi"/>
        </w:rPr>
      </w:pPr>
      <w:r w:rsidRPr="00037AD4">
        <w:rPr>
          <w:rFonts w:asciiTheme="minorHAnsi" w:hAnsiTheme="minorHAnsi" w:cstheme="minorHAnsi"/>
        </w:rPr>
        <w:t>The group highlighted pragmatic factors that play a central role in how HRQoL reports are provided. These factors include the proximity of the other respondent and the potential benefit of visual aids and prompts. This feedback highlights the importance of consistently considering this additional layer in PROM assessments – the pragmatic aspects of data collection and administration methods.</w:t>
      </w:r>
    </w:p>
    <w:p w14:paraId="1639EB4B" w14:textId="77777777" w:rsidR="00B54D51" w:rsidRPr="00037AD4" w:rsidRDefault="00B54D51" w:rsidP="003A43FD">
      <w:pPr>
        <w:rPr>
          <w:rFonts w:asciiTheme="minorHAnsi" w:hAnsiTheme="minorHAnsi" w:cstheme="minorHAnsi"/>
        </w:rPr>
      </w:pPr>
    </w:p>
    <w:p w14:paraId="470446BB" w14:textId="77777777" w:rsidR="00B54D51" w:rsidRPr="00037AD4" w:rsidRDefault="00B54D51" w:rsidP="003A43FD">
      <w:pPr>
        <w:rPr>
          <w:rFonts w:asciiTheme="minorHAnsi" w:hAnsiTheme="minorHAnsi" w:cstheme="minorHAnsi"/>
        </w:rPr>
      </w:pPr>
    </w:p>
    <w:p w14:paraId="0A1A4D67" w14:textId="77777777" w:rsidR="00B54D51" w:rsidRPr="00037AD4" w:rsidRDefault="00B54D51" w:rsidP="003A43FD">
      <w:pPr>
        <w:rPr>
          <w:rFonts w:asciiTheme="minorHAnsi" w:hAnsiTheme="minorHAnsi" w:cstheme="minorHAnsi"/>
        </w:rPr>
      </w:pPr>
    </w:p>
    <w:p w14:paraId="2E181740" w14:textId="77777777" w:rsidR="00B54D51" w:rsidRPr="00037AD4" w:rsidRDefault="00B54D51" w:rsidP="003A43FD">
      <w:pPr>
        <w:rPr>
          <w:rFonts w:asciiTheme="minorHAnsi" w:hAnsiTheme="minorHAnsi" w:cstheme="minorHAnsi"/>
        </w:rPr>
      </w:pPr>
    </w:p>
    <w:p w14:paraId="6D40B9E1" w14:textId="77777777" w:rsidR="00B54D51" w:rsidRPr="00037AD4" w:rsidRDefault="00B54D51" w:rsidP="003A43FD">
      <w:pPr>
        <w:rPr>
          <w:rFonts w:asciiTheme="minorHAnsi" w:hAnsiTheme="minorHAnsi" w:cstheme="minorHAnsi"/>
        </w:rPr>
      </w:pPr>
    </w:p>
    <w:p w14:paraId="6727DF74" w14:textId="77777777" w:rsidR="00B54D51" w:rsidRPr="00037AD4" w:rsidRDefault="00B54D51" w:rsidP="003A43FD">
      <w:pPr>
        <w:rPr>
          <w:rFonts w:asciiTheme="minorHAnsi" w:hAnsiTheme="minorHAnsi" w:cstheme="minorHAnsi"/>
        </w:rPr>
      </w:pPr>
    </w:p>
    <w:p w14:paraId="7FB44293" w14:textId="77777777" w:rsidR="00B54D51" w:rsidRPr="00037AD4" w:rsidRDefault="00B54D51" w:rsidP="003A43FD">
      <w:pPr>
        <w:rPr>
          <w:rFonts w:asciiTheme="minorHAnsi" w:hAnsiTheme="minorHAnsi" w:cstheme="minorHAnsi"/>
        </w:rPr>
      </w:pPr>
    </w:p>
    <w:p w14:paraId="7A3F0B59" w14:textId="60C76DB4" w:rsidR="00B54D51" w:rsidRDefault="00B54D51" w:rsidP="007C6911">
      <w:pPr>
        <w:rPr>
          <w:rFonts w:asciiTheme="minorHAnsi" w:hAnsiTheme="minorHAnsi" w:cstheme="minorHAnsi"/>
        </w:rPr>
      </w:pPr>
      <w:bookmarkStart w:id="179" w:name="_Toc80969269"/>
      <w:bookmarkStart w:id="180" w:name="_Toc80969350"/>
      <w:bookmarkStart w:id="181" w:name="_Toc80969431"/>
      <w:bookmarkStart w:id="182" w:name="_Toc82180038"/>
    </w:p>
    <w:p w14:paraId="5DC87F56" w14:textId="77777777" w:rsidR="00322CFC" w:rsidRDefault="00322CFC" w:rsidP="007C6911">
      <w:pPr>
        <w:rPr>
          <w:rFonts w:asciiTheme="minorHAnsi" w:hAnsiTheme="minorHAnsi" w:cstheme="minorHAnsi"/>
        </w:rPr>
      </w:pPr>
    </w:p>
    <w:p w14:paraId="136D77D9" w14:textId="77777777" w:rsidR="00B84F44" w:rsidRDefault="00B84F44" w:rsidP="007C6911">
      <w:pPr>
        <w:rPr>
          <w:rFonts w:asciiTheme="minorHAnsi" w:hAnsiTheme="minorHAnsi" w:cstheme="minorHAnsi"/>
        </w:rPr>
      </w:pPr>
    </w:p>
    <w:p w14:paraId="53367327" w14:textId="77777777" w:rsidR="00B84F44" w:rsidRDefault="00B84F44" w:rsidP="007C6911">
      <w:pPr>
        <w:rPr>
          <w:rFonts w:asciiTheme="minorHAnsi" w:hAnsiTheme="minorHAnsi" w:cstheme="minorHAnsi"/>
        </w:rPr>
      </w:pPr>
    </w:p>
    <w:p w14:paraId="739EBF12" w14:textId="77777777" w:rsidR="00B84F44" w:rsidRDefault="00B84F44" w:rsidP="007C6911">
      <w:pPr>
        <w:rPr>
          <w:rFonts w:asciiTheme="minorHAnsi" w:hAnsiTheme="minorHAnsi" w:cstheme="minorHAnsi"/>
        </w:rPr>
      </w:pPr>
    </w:p>
    <w:p w14:paraId="7FD7DE22" w14:textId="77777777" w:rsidR="00B84F44" w:rsidRDefault="00B84F44" w:rsidP="007C6911">
      <w:pPr>
        <w:rPr>
          <w:rFonts w:asciiTheme="minorHAnsi" w:hAnsiTheme="minorHAnsi" w:cstheme="minorHAnsi"/>
        </w:rPr>
      </w:pPr>
    </w:p>
    <w:p w14:paraId="4ACA2D6E" w14:textId="77777777" w:rsidR="00B84F44" w:rsidRDefault="00B84F44" w:rsidP="007C6911">
      <w:pPr>
        <w:rPr>
          <w:rFonts w:asciiTheme="minorHAnsi" w:hAnsiTheme="minorHAnsi" w:cstheme="minorHAnsi"/>
        </w:rPr>
      </w:pPr>
    </w:p>
    <w:p w14:paraId="0BC511E3" w14:textId="77777777" w:rsidR="00B84F44" w:rsidRDefault="00B84F44" w:rsidP="007C6911">
      <w:pPr>
        <w:rPr>
          <w:rFonts w:asciiTheme="minorHAnsi" w:hAnsiTheme="minorHAnsi" w:cstheme="minorHAnsi"/>
        </w:rPr>
      </w:pPr>
    </w:p>
    <w:p w14:paraId="2A1DECAA" w14:textId="77777777" w:rsidR="00B84F44" w:rsidRDefault="00B84F44" w:rsidP="007C6911">
      <w:pPr>
        <w:rPr>
          <w:rFonts w:asciiTheme="minorHAnsi" w:hAnsiTheme="minorHAnsi" w:cstheme="minorHAnsi"/>
        </w:rPr>
      </w:pPr>
    </w:p>
    <w:p w14:paraId="156BE814" w14:textId="77777777" w:rsidR="00B84F44" w:rsidRDefault="00B84F44" w:rsidP="007C6911">
      <w:pPr>
        <w:rPr>
          <w:rFonts w:asciiTheme="minorHAnsi" w:hAnsiTheme="minorHAnsi" w:cstheme="minorHAnsi"/>
        </w:rPr>
      </w:pPr>
    </w:p>
    <w:p w14:paraId="41BBE1CF" w14:textId="77777777" w:rsidR="00B84F44" w:rsidRDefault="00B84F44" w:rsidP="007C6911">
      <w:pPr>
        <w:rPr>
          <w:rFonts w:asciiTheme="minorHAnsi" w:hAnsiTheme="minorHAnsi" w:cstheme="minorHAnsi"/>
        </w:rPr>
      </w:pPr>
    </w:p>
    <w:p w14:paraId="7E45BBFF" w14:textId="77777777" w:rsidR="00B84F44" w:rsidRDefault="00B84F44" w:rsidP="007C6911">
      <w:pPr>
        <w:rPr>
          <w:rFonts w:asciiTheme="minorHAnsi" w:hAnsiTheme="minorHAnsi" w:cstheme="minorHAnsi"/>
        </w:rPr>
      </w:pPr>
    </w:p>
    <w:p w14:paraId="48628FD8" w14:textId="77777777" w:rsidR="00B84F44" w:rsidRPr="00037AD4" w:rsidRDefault="00B84F44" w:rsidP="007C6911">
      <w:pPr>
        <w:rPr>
          <w:rFonts w:asciiTheme="minorHAnsi" w:hAnsiTheme="minorHAnsi" w:cstheme="minorHAnsi"/>
        </w:rPr>
      </w:pPr>
    </w:p>
    <w:p w14:paraId="5FA34CB1" w14:textId="77777777" w:rsidR="00B54D51" w:rsidRPr="00037AD4" w:rsidRDefault="00B54D51" w:rsidP="007A43F9">
      <w:pPr>
        <w:pStyle w:val="Heading1"/>
      </w:pPr>
      <w:bookmarkStart w:id="183" w:name="_3_Wider_outcomes"/>
      <w:bookmarkStart w:id="184" w:name="_Toc175742275"/>
      <w:bookmarkEnd w:id="183"/>
      <w:r w:rsidRPr="00037AD4">
        <w:lastRenderedPageBreak/>
        <w:t>3 Wider outcomes considered in dementia trials</w:t>
      </w:r>
      <w:bookmarkEnd w:id="169"/>
      <w:bookmarkEnd w:id="170"/>
      <w:bookmarkEnd w:id="171"/>
      <w:bookmarkEnd w:id="179"/>
      <w:bookmarkEnd w:id="180"/>
      <w:bookmarkEnd w:id="181"/>
      <w:bookmarkEnd w:id="182"/>
      <w:bookmarkEnd w:id="184"/>
      <w:r w:rsidRPr="00037AD4">
        <w:t xml:space="preserve"> </w:t>
      </w:r>
    </w:p>
    <w:p w14:paraId="16C209C8" w14:textId="77777777" w:rsidR="00B54D51" w:rsidRPr="00037AD4" w:rsidRDefault="00B54D51" w:rsidP="00EF0973">
      <w:pPr>
        <w:rPr>
          <w:rFonts w:asciiTheme="minorHAnsi" w:hAnsiTheme="minorHAnsi" w:cstheme="minorHAnsi"/>
        </w:rPr>
      </w:pPr>
    </w:p>
    <w:p w14:paraId="2CFDEB37" w14:textId="77777777" w:rsidR="00B54D51" w:rsidRPr="00037AD4" w:rsidRDefault="00B54D51" w:rsidP="00B3761E">
      <w:pPr>
        <w:rPr>
          <w:rFonts w:asciiTheme="minorHAnsi" w:hAnsiTheme="minorHAnsi" w:cstheme="minorHAnsi"/>
        </w:rPr>
      </w:pPr>
      <w:r w:rsidRPr="00037AD4">
        <w:rPr>
          <w:rFonts w:asciiTheme="minorHAnsi" w:hAnsiTheme="minorHAnsi" w:cstheme="minorHAnsi"/>
        </w:rPr>
        <w:t xml:space="preserve">The primary focus of this thesis relates to the measurement of HRQoL for QALY estimation in the evaluation of dementia interventions, where different respondent’s data may be collected about the same person (PwD and proxy). In Chapter Two, it was established that the EQ-5D instrument is suitable for use in dementia populations, and the fundamental principles governing self and proxy assessments were outlined. To further evaluate the appropriateness of EQ-5D in dementia populations, an understanding of the key symptomology of dementia is essential to gauge how effectively a generic HRQoL measure like EQ-5D captures and aligns with dementia symptoms. </w:t>
      </w:r>
    </w:p>
    <w:p w14:paraId="2435613E" w14:textId="77777777" w:rsidR="00B54D51" w:rsidRPr="00037AD4" w:rsidRDefault="00B54D51" w:rsidP="00B3761E">
      <w:pPr>
        <w:rPr>
          <w:rFonts w:asciiTheme="minorHAnsi" w:hAnsiTheme="minorHAnsi" w:cstheme="minorHAnsi"/>
        </w:rPr>
      </w:pPr>
    </w:p>
    <w:p w14:paraId="2EE04D35" w14:textId="77777777" w:rsidR="00B54D51" w:rsidRPr="00037AD4" w:rsidRDefault="00B54D51" w:rsidP="00B3761E">
      <w:pPr>
        <w:rPr>
          <w:rFonts w:asciiTheme="minorHAnsi" w:hAnsiTheme="minorHAnsi" w:cstheme="minorHAnsi"/>
        </w:rPr>
      </w:pPr>
      <w:r w:rsidRPr="00037AD4">
        <w:rPr>
          <w:rFonts w:asciiTheme="minorHAnsi" w:hAnsiTheme="minorHAnsi" w:cstheme="minorHAnsi"/>
        </w:rPr>
        <w:t>This chapter examines existing practices of dementia trials and studies, identifying key outcome measures used to assess dementia symptoms. Additionally, it compares the constructs included within dementia-specific HRQoL measures with EQ-5D’s dimensions, thereby providing additional assessment of EQ-5D’s efficacy within dementia populations. The insights gathered regarding core dementia symptom measures inform the systematic review presented in this chapter, guiding the search strategy. This systematic review aims to assess the convergent validity of EQ-5D (both its dimensions and overall score) with scores from dementia symptom measures. The review aims to identify relationships between EQ-5D dimensions and these symptom measure scores to be applied in subsequent analyses and to evaluate whether EQ-5D's dimensions adequately capture the key domains of dementia symptoms despite its generic nature.</w:t>
      </w:r>
    </w:p>
    <w:p w14:paraId="6DFEC13E" w14:textId="77777777" w:rsidR="00B54D51" w:rsidRPr="00037AD4" w:rsidRDefault="00B54D51" w:rsidP="00EF0973">
      <w:pPr>
        <w:rPr>
          <w:rFonts w:asciiTheme="minorHAnsi" w:hAnsiTheme="minorHAnsi" w:cstheme="minorHAnsi"/>
        </w:rPr>
      </w:pPr>
    </w:p>
    <w:p w14:paraId="6148634E" w14:textId="77777777" w:rsidR="00B54D51" w:rsidRPr="00037AD4" w:rsidRDefault="00B54D51" w:rsidP="007A43F9">
      <w:pPr>
        <w:pStyle w:val="Heading2"/>
      </w:pPr>
      <w:bookmarkStart w:id="185" w:name="_Toc175742276"/>
      <w:r w:rsidRPr="00037AD4">
        <w:t>3.1 Introduction</w:t>
      </w:r>
      <w:bookmarkEnd w:id="185"/>
      <w:r w:rsidRPr="00037AD4">
        <w:t xml:space="preserve">  </w:t>
      </w:r>
    </w:p>
    <w:p w14:paraId="311683E0" w14:textId="77777777" w:rsidR="00B54D51" w:rsidRPr="00037AD4" w:rsidRDefault="00B54D51" w:rsidP="00EF0973">
      <w:pPr>
        <w:rPr>
          <w:rFonts w:asciiTheme="minorHAnsi" w:hAnsiTheme="minorHAnsi" w:cstheme="minorHAnsi"/>
          <w:b/>
          <w:bCs/>
          <w:sz w:val="26"/>
          <w:szCs w:val="26"/>
          <w:u w:val="single"/>
        </w:rPr>
      </w:pPr>
    </w:p>
    <w:p w14:paraId="47CDE85D" w14:textId="77777777" w:rsidR="00B54D51" w:rsidRPr="00037AD4" w:rsidRDefault="00B54D51" w:rsidP="00EF0973">
      <w:pPr>
        <w:rPr>
          <w:rFonts w:asciiTheme="minorHAnsi" w:hAnsiTheme="minorHAnsi" w:cstheme="minorHAnsi"/>
        </w:rPr>
      </w:pPr>
      <w:r w:rsidRPr="00037AD4">
        <w:rPr>
          <w:rFonts w:asciiTheme="minorHAnsi" w:hAnsiTheme="minorHAnsi" w:cstheme="minorHAnsi"/>
        </w:rPr>
        <w:t>HRQoL is recognised as pivotal for health economic evaluation, however the outcomes selected from clinical studies can vary based on several factors including the intervention under investigation, target population and clinical endpoints. The selected outcome measures should possess the ability to detect changes in symptoms important enough that people with the condition would be willing to trade off length of life, for condition improvement. Despite dementia being traditionally hallmarked by cognitive deterioration, reviewing the frequent and recurring outcome measures integrated within dementia studies provides insights into the core symptom domains of dementia that extend beyond cognitive impairment.</w:t>
      </w:r>
    </w:p>
    <w:p w14:paraId="41581645" w14:textId="77777777" w:rsidR="00B54D51" w:rsidRPr="00037AD4" w:rsidRDefault="00B54D51" w:rsidP="00EF0973">
      <w:pPr>
        <w:rPr>
          <w:rFonts w:asciiTheme="minorHAnsi" w:hAnsiTheme="minorHAnsi" w:cstheme="minorHAnsi"/>
        </w:rPr>
      </w:pPr>
    </w:p>
    <w:p w14:paraId="6B5B30C7" w14:textId="77777777" w:rsidR="00B54D51" w:rsidRPr="00037AD4" w:rsidRDefault="00B54D51" w:rsidP="00EF0973">
      <w:pPr>
        <w:rPr>
          <w:rFonts w:asciiTheme="minorHAnsi" w:hAnsiTheme="minorHAnsi" w:cstheme="minorHAnsi"/>
        </w:rPr>
      </w:pPr>
      <w:r w:rsidRPr="00037AD4">
        <w:rPr>
          <w:rFonts w:asciiTheme="minorHAnsi" w:hAnsiTheme="minorHAnsi" w:cstheme="minorHAnsi"/>
        </w:rPr>
        <w:t xml:space="preserve">In the development of economic models, an important element involves assigning utilities to health states within the model structure. These health states play a key role in characterising disease progression and should accurately reflect experience of the condition. Current research has highlighted that evidence supporting a clear and consistent association between impaired cognitive status and lower HRQoL is limited </w:t>
      </w:r>
      <w:r>
        <w:rPr>
          <w:rFonts w:asciiTheme="minorHAnsi" w:hAnsiTheme="minorHAnsi" w:cstheme="minorHAnsi"/>
          <w:noProof/>
        </w:rPr>
        <w:t>(Banerjee et al., 2009)</w:t>
      </w:r>
      <w:r w:rsidRPr="00037AD4">
        <w:rPr>
          <w:rFonts w:asciiTheme="minorHAnsi" w:hAnsiTheme="minorHAnsi" w:cstheme="minorHAnsi"/>
        </w:rPr>
        <w:t xml:space="preserve">. Therefore, relying on a model that uses cognitive classification alone as the predictive variable for dementia severity and progression may have restricted abilities to estimate the impact of dementia and the potential benefits gained from interventions </w:t>
      </w:r>
      <w:r>
        <w:rPr>
          <w:rFonts w:asciiTheme="minorHAnsi" w:hAnsiTheme="minorHAnsi" w:cstheme="minorHAnsi"/>
          <w:noProof/>
        </w:rPr>
        <w:t>(Green and Zhang, 2016)</w:t>
      </w:r>
      <w:r w:rsidRPr="00037AD4">
        <w:rPr>
          <w:rFonts w:asciiTheme="minorHAnsi" w:hAnsiTheme="minorHAnsi" w:cstheme="minorHAnsi"/>
        </w:rPr>
        <w:t xml:space="preserve">. </w:t>
      </w:r>
    </w:p>
    <w:p w14:paraId="246B28B9" w14:textId="77777777" w:rsidR="00B54D51" w:rsidRPr="00037AD4" w:rsidRDefault="00B54D51" w:rsidP="00EF0973">
      <w:pPr>
        <w:rPr>
          <w:rFonts w:asciiTheme="minorHAnsi" w:hAnsiTheme="minorHAnsi" w:cstheme="minorHAnsi"/>
          <w:color w:val="000000" w:themeColor="text1"/>
        </w:rPr>
      </w:pPr>
    </w:p>
    <w:p w14:paraId="3E06005F" w14:textId="77777777" w:rsidR="00B54D51" w:rsidRPr="00037AD4" w:rsidRDefault="00B54D51" w:rsidP="007C6911">
      <w:pPr>
        <w:rPr>
          <w:rFonts w:asciiTheme="minorHAnsi" w:hAnsiTheme="minorHAnsi" w:cstheme="minorHAnsi"/>
        </w:rPr>
      </w:pPr>
      <w:r w:rsidRPr="00037AD4">
        <w:rPr>
          <w:rFonts w:asciiTheme="minorHAnsi" w:hAnsiTheme="minorHAnsi" w:cstheme="minorHAnsi"/>
        </w:rPr>
        <w:lastRenderedPageBreak/>
        <w:t xml:space="preserve">It has been discussed in the wider literature that the central clinical features of dementia are broadly categorised by the effects of </w:t>
      </w:r>
      <w:r w:rsidRPr="00037AD4">
        <w:rPr>
          <w:rFonts w:asciiTheme="minorHAnsi" w:hAnsiTheme="minorHAnsi" w:cstheme="minorHAnsi"/>
          <w:i/>
          <w:iCs/>
        </w:rPr>
        <w:t>cognition</w:t>
      </w:r>
      <w:r w:rsidRPr="00037AD4">
        <w:rPr>
          <w:rFonts w:asciiTheme="minorHAnsi" w:hAnsiTheme="minorHAnsi" w:cstheme="minorHAnsi"/>
        </w:rPr>
        <w:t xml:space="preserve"> and</w:t>
      </w:r>
      <w:r w:rsidRPr="00037AD4">
        <w:rPr>
          <w:rFonts w:asciiTheme="minorHAnsi" w:hAnsiTheme="minorHAnsi" w:cstheme="minorHAnsi"/>
          <w:i/>
          <w:iCs/>
        </w:rPr>
        <w:t xml:space="preserve"> function </w:t>
      </w:r>
      <w:r w:rsidRPr="00037AD4">
        <w:rPr>
          <w:rFonts w:asciiTheme="minorHAnsi" w:hAnsiTheme="minorHAnsi" w:cstheme="minorHAnsi"/>
        </w:rPr>
        <w:t>and</w:t>
      </w:r>
      <w:r w:rsidRPr="00037AD4">
        <w:rPr>
          <w:rFonts w:asciiTheme="minorHAnsi" w:hAnsiTheme="minorHAnsi" w:cstheme="minorHAnsi"/>
          <w:i/>
          <w:iCs/>
        </w:rPr>
        <w:t xml:space="preserve"> behaviour/mood</w:t>
      </w:r>
      <w:r w:rsidRPr="00037AD4">
        <w:rPr>
          <w:rFonts w:asciiTheme="minorHAnsi" w:hAnsiTheme="minorHAnsi" w:cstheme="minorHAnsi"/>
        </w:rPr>
        <w:t xml:space="preserve"> symptoms </w:t>
      </w:r>
      <w:r>
        <w:rPr>
          <w:rFonts w:asciiTheme="minorHAnsi" w:hAnsiTheme="minorHAnsi" w:cstheme="minorHAnsi"/>
          <w:noProof/>
        </w:rPr>
        <w:t>(Jutkowitz et al., 2017)</w:t>
      </w:r>
      <w:r w:rsidRPr="00037AD4">
        <w:rPr>
          <w:rFonts w:asciiTheme="minorHAnsi" w:hAnsiTheme="minorHAnsi" w:cstheme="minorHAnsi"/>
        </w:rPr>
        <w:t xml:space="preserve">, and that changes in one or more of these domains can provide the basis for assessing the severity and progression of dementia </w:t>
      </w:r>
      <w:r>
        <w:rPr>
          <w:rFonts w:asciiTheme="minorHAnsi" w:hAnsiTheme="minorHAnsi" w:cstheme="minorHAnsi"/>
          <w:noProof/>
        </w:rPr>
        <w:t>(Green and Zhang, 2016)</w:t>
      </w:r>
      <w:r w:rsidRPr="00037AD4">
        <w:rPr>
          <w:rFonts w:asciiTheme="minorHAnsi" w:hAnsiTheme="minorHAnsi" w:cstheme="minorHAnsi"/>
        </w:rPr>
        <w:t xml:space="preserve">. The aim of this chapter is to offer a condensed overview of the primary outcomes incorporated in dementia trials, thereby presenting what is currently regarded as standard practice. This information will then inform the subsequent systematic review that is presented within this chapter by identifying measures that can be used to assess convergent validity of EQ-5D in the context of dementia.  </w:t>
      </w:r>
    </w:p>
    <w:p w14:paraId="07491B13" w14:textId="77777777" w:rsidR="00B54D51" w:rsidRPr="00037AD4" w:rsidRDefault="00B54D51" w:rsidP="00EF0973">
      <w:pPr>
        <w:rPr>
          <w:rFonts w:asciiTheme="minorHAnsi" w:hAnsiTheme="minorHAnsi" w:cstheme="minorHAnsi"/>
          <w:b/>
          <w:bCs/>
          <w:sz w:val="26"/>
          <w:szCs w:val="26"/>
          <w:u w:val="single"/>
        </w:rPr>
      </w:pPr>
    </w:p>
    <w:p w14:paraId="1AA06439" w14:textId="77777777" w:rsidR="00B54D51" w:rsidRPr="00037AD4" w:rsidRDefault="00B54D51" w:rsidP="007A43F9">
      <w:pPr>
        <w:pStyle w:val="Heading2"/>
      </w:pPr>
      <w:bookmarkStart w:id="186" w:name="_Toc80969270"/>
      <w:bookmarkStart w:id="187" w:name="_Toc80969351"/>
      <w:bookmarkStart w:id="188" w:name="_Toc80969432"/>
      <w:bookmarkStart w:id="189" w:name="_Toc82180039"/>
      <w:bookmarkStart w:id="190" w:name="_Toc175742277"/>
      <w:r w:rsidRPr="00037AD4">
        <w:t>3.2 Methods</w:t>
      </w:r>
      <w:bookmarkEnd w:id="186"/>
      <w:bookmarkEnd w:id="187"/>
      <w:bookmarkEnd w:id="188"/>
      <w:bookmarkEnd w:id="189"/>
      <w:bookmarkEnd w:id="190"/>
    </w:p>
    <w:p w14:paraId="16319AA7" w14:textId="77777777" w:rsidR="00B54D51" w:rsidRPr="00037AD4" w:rsidRDefault="00B54D51" w:rsidP="005A7288">
      <w:pPr>
        <w:rPr>
          <w:rFonts w:asciiTheme="minorHAnsi" w:hAnsiTheme="minorHAnsi" w:cstheme="minorHAnsi"/>
          <w:color w:val="000000" w:themeColor="text1"/>
        </w:rPr>
      </w:pPr>
    </w:p>
    <w:p w14:paraId="0806B823" w14:textId="77777777" w:rsidR="00B54D51" w:rsidRPr="00037AD4" w:rsidRDefault="00B54D51" w:rsidP="00D16470">
      <w:pPr>
        <w:pStyle w:val="EndNoteBibliography"/>
        <w:rPr>
          <w:rFonts w:asciiTheme="minorHAnsi" w:hAnsiTheme="minorHAnsi" w:cstheme="minorHAnsi"/>
          <w:noProof/>
          <w:color w:val="000000" w:themeColor="text1"/>
          <w:lang w:val="en-GB"/>
        </w:rPr>
      </w:pPr>
      <w:r w:rsidRPr="00037AD4">
        <w:rPr>
          <w:rFonts w:asciiTheme="minorHAnsi" w:hAnsiTheme="minorHAnsi" w:cstheme="minorHAnsi"/>
          <w:color w:val="000000" w:themeColor="text1"/>
          <w:lang w:val="en-GB"/>
        </w:rPr>
        <w:t xml:space="preserve">A pragmatic search aimed at identifying literature reviews focusing on outcomes in dementia was conducted and a relevant focused literature review was identified and appraised: </w:t>
      </w:r>
      <w:r w:rsidRPr="00037AD4">
        <w:rPr>
          <w:rFonts w:asciiTheme="minorHAnsi" w:hAnsiTheme="minorHAnsi" w:cstheme="minorHAnsi"/>
          <w:noProof/>
          <w:color w:val="000000" w:themeColor="text1"/>
          <w:lang w:val="en-GB"/>
        </w:rPr>
        <w:t xml:space="preserve">Harrison et al.'s "Outcomes measures in a decade of dementia and mild cognitive impairment trials," published in Alzheimer's Research &amp; Therapy in 2016 </w:t>
      </w:r>
      <w:r>
        <w:rPr>
          <w:rFonts w:asciiTheme="minorHAnsi" w:hAnsiTheme="minorHAnsi" w:cstheme="minorHAnsi"/>
          <w:noProof/>
          <w:color w:val="000000" w:themeColor="text1"/>
          <w:lang w:val="en-GB"/>
        </w:rPr>
        <w:t>(Harrison et al., 2016)</w:t>
      </w:r>
      <w:r w:rsidRPr="00037AD4">
        <w:rPr>
          <w:rFonts w:asciiTheme="minorHAnsi" w:hAnsiTheme="minorHAnsi" w:cstheme="minorHAnsi"/>
          <w:noProof/>
          <w:color w:val="000000" w:themeColor="text1"/>
          <w:lang w:val="en-GB"/>
        </w:rPr>
        <w:t xml:space="preserve">. This paper was deemed a suitable starting point, however due to the year of publication (2016), it would now be considered outdated. To bridge the gap between its findings and current practices, a search for dementia trials was conducted using the International Standard Randomised Controlled Trial Number (ISRCTN) registry database. This step enables an informal assessment while still gathering sufficient information for this stage of the thesis. The ISRCTN database includes study designs beyond randomised controlled trials (RCT) alone, including observational and interventional trials </w:t>
      </w:r>
      <w:r>
        <w:rPr>
          <w:rFonts w:asciiTheme="minorHAnsi" w:hAnsiTheme="minorHAnsi" w:cstheme="minorHAnsi"/>
          <w:noProof/>
          <w:color w:val="000000" w:themeColor="text1"/>
          <w:lang w:val="en-GB"/>
        </w:rPr>
        <w:t>(BMC, 2021)</w:t>
      </w:r>
      <w:r w:rsidRPr="00037AD4">
        <w:rPr>
          <w:rFonts w:asciiTheme="minorHAnsi" w:hAnsiTheme="minorHAnsi" w:cstheme="minorHAnsi"/>
          <w:noProof/>
          <w:color w:val="000000" w:themeColor="text1"/>
          <w:lang w:val="en-GB"/>
        </w:rPr>
        <w:t>. The search strategy solely included the keyword “dementia”, and was then limited to completed and ongoing trials with no specified time constraints. To supplement the outcomes and measures identified from these trials, core outcome sets were searched for and summarised by intervention type. Additionally, NICE guidelines were consulted to incorporate a policy perspective when selecting outcomes to be considered in dementia trials and studies</w:t>
      </w:r>
      <w:r>
        <w:rPr>
          <w:rFonts w:asciiTheme="minorHAnsi" w:hAnsiTheme="minorHAnsi" w:cstheme="minorHAnsi"/>
          <w:noProof/>
          <w:color w:val="000000" w:themeColor="text1"/>
          <w:lang w:val="en-GB"/>
        </w:rPr>
        <w:t>.</w:t>
      </w:r>
    </w:p>
    <w:p w14:paraId="04D2C46D" w14:textId="77777777" w:rsidR="00B54D51" w:rsidRPr="00037AD4" w:rsidRDefault="00B54D51" w:rsidP="00D16470">
      <w:pPr>
        <w:pStyle w:val="EndNoteBibliography"/>
        <w:rPr>
          <w:rFonts w:asciiTheme="minorHAnsi" w:hAnsiTheme="minorHAnsi" w:cstheme="minorHAnsi"/>
          <w:noProof/>
          <w:color w:val="000000" w:themeColor="text1"/>
          <w:lang w:val="en-GB"/>
        </w:rPr>
      </w:pPr>
    </w:p>
    <w:p w14:paraId="24C6356F" w14:textId="77777777" w:rsidR="00B54D51" w:rsidRPr="00037AD4" w:rsidRDefault="00B54D51" w:rsidP="007A43F9">
      <w:pPr>
        <w:pStyle w:val="Heading2"/>
      </w:pPr>
      <w:bookmarkStart w:id="191" w:name="_Toc80969271"/>
      <w:bookmarkStart w:id="192" w:name="_Toc80969352"/>
      <w:bookmarkStart w:id="193" w:name="_Toc80969433"/>
      <w:bookmarkStart w:id="194" w:name="_Toc82180040"/>
      <w:bookmarkStart w:id="195" w:name="_Toc175742278"/>
      <w:r w:rsidRPr="00037AD4">
        <w:t>3.3 Results</w:t>
      </w:r>
      <w:bookmarkEnd w:id="191"/>
      <w:bookmarkEnd w:id="192"/>
      <w:bookmarkEnd w:id="193"/>
      <w:bookmarkEnd w:id="194"/>
      <w:bookmarkEnd w:id="195"/>
      <w:r w:rsidRPr="00037AD4">
        <w:t xml:space="preserve"> </w:t>
      </w:r>
    </w:p>
    <w:p w14:paraId="62FCA0C3" w14:textId="77777777" w:rsidR="00B54D51" w:rsidRPr="00037AD4" w:rsidRDefault="00B54D51" w:rsidP="00C8665A">
      <w:pPr>
        <w:pStyle w:val="EndNoteBibliography"/>
        <w:rPr>
          <w:rFonts w:asciiTheme="minorHAnsi" w:hAnsiTheme="minorHAnsi" w:cstheme="minorHAnsi"/>
          <w:i/>
          <w:iCs/>
          <w:noProof/>
          <w:color w:val="000000" w:themeColor="text1"/>
          <w:lang w:val="en-GB"/>
        </w:rPr>
      </w:pPr>
    </w:p>
    <w:p w14:paraId="10B056F3" w14:textId="77777777" w:rsidR="00B54D51" w:rsidRPr="00037AD4" w:rsidRDefault="00B54D51" w:rsidP="00C8665A">
      <w:pPr>
        <w:pStyle w:val="EndNoteBibliography"/>
        <w:rPr>
          <w:rFonts w:asciiTheme="minorHAnsi" w:hAnsiTheme="minorHAnsi" w:cstheme="minorHAnsi"/>
          <w:noProof/>
          <w:color w:val="000000" w:themeColor="text1"/>
          <w:lang w:val="en-GB"/>
        </w:rPr>
      </w:pPr>
      <w:r w:rsidRPr="00037AD4">
        <w:rPr>
          <w:rFonts w:asciiTheme="minorHAnsi" w:hAnsiTheme="minorHAnsi" w:cstheme="minorHAnsi"/>
          <w:noProof/>
          <w:color w:val="000000" w:themeColor="text1"/>
          <w:lang w:val="en-GB"/>
        </w:rPr>
        <w:t>Harrison et al. (2016) conducted a focused review of the literature to identify outcome measures used in dementia and mild cognitive impairment studies between 2004-2014, spanning a decade of research. They incorporated 805 original records into their review, with dementia trial records comprising over 80% of the total. The majority of these records consisted of peer-reviewed publications (n=630, 78%) and focused primarily on pharmacological interventions (n=487, 60%).</w:t>
      </w:r>
    </w:p>
    <w:p w14:paraId="5804504A" w14:textId="77777777" w:rsidR="00B54D51" w:rsidRPr="00037AD4" w:rsidRDefault="00B54D51" w:rsidP="00C8665A">
      <w:pPr>
        <w:pStyle w:val="EndNoteBibliography"/>
        <w:rPr>
          <w:rFonts w:asciiTheme="minorHAnsi" w:hAnsiTheme="minorHAnsi" w:cstheme="minorHAnsi"/>
          <w:noProof/>
          <w:color w:val="000000" w:themeColor="text1"/>
          <w:lang w:val="en-GB"/>
        </w:rPr>
      </w:pPr>
    </w:p>
    <w:p w14:paraId="38890093" w14:textId="77777777" w:rsidR="00B54D51" w:rsidRPr="00037AD4" w:rsidRDefault="00B54D51" w:rsidP="00C8665A">
      <w:pPr>
        <w:pStyle w:val="EndNoteBibliography"/>
        <w:rPr>
          <w:rFonts w:asciiTheme="minorHAnsi" w:hAnsiTheme="minorHAnsi" w:cstheme="minorHAnsi"/>
          <w:noProof/>
          <w:color w:val="000000" w:themeColor="text1"/>
          <w:lang w:val="en-GB"/>
        </w:rPr>
      </w:pPr>
      <w:r w:rsidRPr="00037AD4">
        <w:rPr>
          <w:rFonts w:asciiTheme="minorHAnsi" w:hAnsiTheme="minorHAnsi" w:cstheme="minorHAnsi"/>
          <w:noProof/>
          <w:color w:val="000000" w:themeColor="text1"/>
          <w:lang w:val="en-GB"/>
        </w:rPr>
        <w:t xml:space="preserve">QoL outcome measures were included in only 13% of the studies, the assessments tools for which were the Quality of Life in Alzheimer’s Disease scale (QoL-AD), EQ-5D, Dementia Quality of Life Scale (DEMQoL/DEMQoL proxy for proxy assessed version) and the Quality of Life in Late-Stage Dementia scale (QUALID/QUALIDEM for proxy assessed version). However, the authors indicated an interesting trend – highlighting that the measurement of QoL was more common in the more recent trials </w:t>
      </w:r>
      <w:r>
        <w:rPr>
          <w:rFonts w:asciiTheme="minorHAnsi" w:hAnsiTheme="minorHAnsi" w:cstheme="minorHAnsi"/>
          <w:noProof/>
          <w:color w:val="000000" w:themeColor="text1"/>
          <w:lang w:val="en-GB"/>
        </w:rPr>
        <w:t>(Harrison et al., 2016)</w:t>
      </w:r>
      <w:r w:rsidRPr="00037AD4">
        <w:rPr>
          <w:rFonts w:asciiTheme="minorHAnsi" w:hAnsiTheme="minorHAnsi" w:cstheme="minorHAnsi"/>
          <w:noProof/>
          <w:color w:val="000000" w:themeColor="text1"/>
          <w:lang w:val="en-GB"/>
        </w:rPr>
        <w:t xml:space="preserve">. This observation prompts the notion that the significance of QoL assessments is gaining recognition over time </w:t>
      </w:r>
      <w:r w:rsidRPr="00037AD4">
        <w:rPr>
          <w:rFonts w:asciiTheme="minorHAnsi" w:hAnsiTheme="minorHAnsi" w:cstheme="minorHAnsi"/>
          <w:noProof/>
          <w:color w:val="000000" w:themeColor="text1"/>
          <w:lang w:val="en-GB"/>
        </w:rPr>
        <w:lastRenderedPageBreak/>
        <w:t>within the dementia research landscape. Updating the search strategy may show a continued upward trajectory of the integration of QoL measures in contemporary trials, reinforcing the growing importance of QoL assessment in the field.</w:t>
      </w:r>
    </w:p>
    <w:p w14:paraId="7AE7CB22" w14:textId="77777777" w:rsidR="00B54D51" w:rsidRPr="00037AD4" w:rsidRDefault="00B54D51" w:rsidP="00C8665A">
      <w:pPr>
        <w:pStyle w:val="EndNoteBibliography"/>
        <w:rPr>
          <w:rFonts w:asciiTheme="minorHAnsi" w:hAnsiTheme="minorHAnsi" w:cstheme="minorHAnsi"/>
          <w:noProof/>
          <w:color w:val="000000" w:themeColor="text1"/>
          <w:lang w:val="en-GB"/>
        </w:rPr>
      </w:pPr>
    </w:p>
    <w:p w14:paraId="2968DF59" w14:textId="77777777" w:rsidR="00B54D51" w:rsidRPr="00037AD4" w:rsidRDefault="00B54D51" w:rsidP="00C8665A">
      <w:pPr>
        <w:pStyle w:val="EndNoteBibliography"/>
        <w:rPr>
          <w:rFonts w:asciiTheme="minorHAnsi" w:hAnsiTheme="minorHAnsi" w:cstheme="minorHAnsi"/>
          <w:noProof/>
          <w:color w:val="FF0000"/>
          <w:lang w:val="en-GB"/>
        </w:rPr>
      </w:pPr>
      <w:r w:rsidRPr="00037AD4">
        <w:rPr>
          <w:rFonts w:asciiTheme="minorHAnsi" w:hAnsiTheme="minorHAnsi" w:cstheme="minorHAnsi"/>
          <w:noProof/>
          <w:color w:val="000000" w:themeColor="text1"/>
          <w:lang w:val="en-GB"/>
        </w:rPr>
        <w:t xml:space="preserve">Rather than undertaking a formal update of the review, a search was conducted using the ISRCTN database. The condensed summary of this search, with a specific emphasis on the primary and secondary outcome measures gathered in dementia trials is presented in Table 1. Supplementary details were obtained by accessing the trial's respective site pages and publications as necessary. For a comprehensive overview, the complete data extraction table is available </w:t>
      </w:r>
      <w:r w:rsidRPr="00B54D51">
        <w:rPr>
          <w:rFonts w:asciiTheme="minorHAnsi" w:hAnsiTheme="minorHAnsi" w:cstheme="minorHAnsi"/>
          <w:noProof/>
          <w:color w:val="000000" w:themeColor="text1"/>
          <w:lang w:val="en-GB"/>
        </w:rPr>
        <w:t xml:space="preserve">in </w:t>
      </w:r>
      <w:hyperlink w:anchor="A3" w:history="1">
        <w:r w:rsidRPr="00B54D51">
          <w:rPr>
            <w:rStyle w:val="Hyperlink"/>
            <w:rFonts w:asciiTheme="minorHAnsi" w:hAnsiTheme="minorHAnsi" w:cstheme="minorHAnsi"/>
            <w:noProof/>
            <w:color w:val="000000" w:themeColor="text1"/>
            <w:u w:val="none"/>
            <w:lang w:val="en-GB"/>
          </w:rPr>
          <w:t>Appendix 3</w:t>
        </w:r>
      </w:hyperlink>
      <w:r w:rsidRPr="00B54D51">
        <w:rPr>
          <w:rFonts w:asciiTheme="minorHAnsi" w:hAnsiTheme="minorHAnsi" w:cstheme="minorHAnsi"/>
          <w:noProof/>
          <w:color w:val="000000" w:themeColor="text1"/>
          <w:lang w:val="en-GB"/>
        </w:rPr>
        <w:t>.</w:t>
      </w:r>
      <w:r w:rsidRPr="00037AD4">
        <w:rPr>
          <w:rFonts w:asciiTheme="minorHAnsi" w:hAnsiTheme="minorHAnsi" w:cstheme="minorHAnsi"/>
          <w:noProof/>
          <w:color w:val="000000" w:themeColor="text1"/>
          <w:lang w:val="en-GB"/>
        </w:rPr>
        <w:t xml:space="preserve"> Four QoL measures emerged as primary or secondary outcomes across the identified trials</w:t>
      </w:r>
      <w:r w:rsidRPr="00037AD4">
        <w:rPr>
          <w:rFonts w:asciiTheme="minorHAnsi" w:hAnsiTheme="minorHAnsi" w:cstheme="minorHAnsi"/>
          <w:noProof/>
          <w:lang w:val="en-GB"/>
        </w:rPr>
        <w:t xml:space="preserve">, all focusing on health-related QoL. DEMQoL, in either its self-report or proxy version was the most commonly used (n=15), followed by EQ-5D and/or EQ-5D proxy (n=9), and QoL-AD and/or QoL-AD proxy (n=6). Additionally, one study incorporated the Short Form Health Survey (SF-12). </w:t>
      </w:r>
    </w:p>
    <w:p w14:paraId="374D26E2" w14:textId="77777777" w:rsidR="00B54D51" w:rsidRPr="00037AD4" w:rsidRDefault="00B54D51" w:rsidP="00C8665A">
      <w:pPr>
        <w:pStyle w:val="EndNoteBibliography"/>
        <w:rPr>
          <w:rFonts w:asciiTheme="minorHAnsi" w:hAnsiTheme="minorHAnsi" w:cstheme="minorHAnsi"/>
          <w:noProof/>
          <w:color w:val="FF0000"/>
          <w:lang w:val="en-GB"/>
        </w:rPr>
      </w:pPr>
    </w:p>
    <w:p w14:paraId="25D985DE" w14:textId="77777777" w:rsidR="00B54D51" w:rsidRPr="00037AD4" w:rsidRDefault="00B54D51" w:rsidP="00C8665A">
      <w:pPr>
        <w:pStyle w:val="EndNoteBibliography"/>
        <w:rPr>
          <w:rFonts w:asciiTheme="minorHAnsi" w:hAnsiTheme="minorHAnsi" w:cstheme="minorHAnsi"/>
          <w:b/>
          <w:bCs/>
          <w:i/>
          <w:iCs/>
          <w:noProof/>
          <w:color w:val="000000" w:themeColor="text1"/>
          <w:lang w:val="en-GB"/>
        </w:rPr>
      </w:pPr>
      <w:r w:rsidRPr="00037AD4">
        <w:rPr>
          <w:rFonts w:asciiTheme="minorHAnsi" w:hAnsiTheme="minorHAnsi" w:cstheme="minorHAnsi"/>
          <w:b/>
          <w:bCs/>
          <w:i/>
          <w:iCs/>
          <w:noProof/>
          <w:lang w:val="en-GB"/>
        </w:rPr>
        <w:t xml:space="preserve">Table 1, Summary of identified dementia trials </w:t>
      </w:r>
    </w:p>
    <w:p w14:paraId="24F1605B" w14:textId="77777777" w:rsidR="00B54D51" w:rsidRPr="00037AD4" w:rsidRDefault="00B54D51" w:rsidP="000131EE">
      <w:pPr>
        <w:rPr>
          <w:rFonts w:asciiTheme="minorHAnsi" w:hAnsiTheme="minorHAnsi" w:cstheme="minorHAnsi"/>
          <w:noProof/>
        </w:rPr>
      </w:pPr>
    </w:p>
    <w:tbl>
      <w:tblPr>
        <w:tblStyle w:val="TableGrid"/>
        <w:tblW w:w="0" w:type="auto"/>
        <w:tblLook w:val="04A0" w:firstRow="1" w:lastRow="0" w:firstColumn="1" w:lastColumn="0" w:noHBand="0" w:noVBand="1"/>
      </w:tblPr>
      <w:tblGrid>
        <w:gridCol w:w="1424"/>
        <w:gridCol w:w="1401"/>
        <w:gridCol w:w="1529"/>
        <w:gridCol w:w="2104"/>
        <w:gridCol w:w="1217"/>
        <w:gridCol w:w="1341"/>
      </w:tblGrid>
      <w:tr w:rsidR="00B54D51" w:rsidRPr="00037AD4" w14:paraId="6C477331" w14:textId="77777777" w:rsidTr="0078211D">
        <w:tc>
          <w:tcPr>
            <w:tcW w:w="1424" w:type="dxa"/>
          </w:tcPr>
          <w:p w14:paraId="5B0A3A34" w14:textId="77777777" w:rsidR="00B54D51" w:rsidRPr="00037AD4" w:rsidRDefault="00B54D51" w:rsidP="0078211D">
            <w:pPr>
              <w:rPr>
                <w:rFonts w:asciiTheme="minorHAnsi" w:hAnsiTheme="minorHAnsi" w:cstheme="minorHAnsi"/>
              </w:rPr>
            </w:pPr>
            <w:r w:rsidRPr="00037AD4">
              <w:rPr>
                <w:rFonts w:asciiTheme="minorHAnsi" w:hAnsiTheme="minorHAnsi" w:cstheme="minorHAnsi"/>
              </w:rPr>
              <w:t>Trial name</w:t>
            </w:r>
          </w:p>
        </w:tc>
        <w:tc>
          <w:tcPr>
            <w:tcW w:w="1401" w:type="dxa"/>
          </w:tcPr>
          <w:p w14:paraId="3267D11B" w14:textId="77777777" w:rsidR="00B54D51" w:rsidRPr="00037AD4" w:rsidRDefault="00B54D51" w:rsidP="0078211D">
            <w:pPr>
              <w:rPr>
                <w:rFonts w:asciiTheme="minorHAnsi" w:hAnsiTheme="minorHAnsi" w:cstheme="minorHAnsi"/>
              </w:rPr>
            </w:pPr>
            <w:r w:rsidRPr="00037AD4">
              <w:rPr>
                <w:rFonts w:asciiTheme="minorHAnsi" w:hAnsiTheme="minorHAnsi" w:cstheme="minorHAnsi"/>
              </w:rPr>
              <w:t>Is the trial complete?</w:t>
            </w:r>
          </w:p>
        </w:tc>
        <w:tc>
          <w:tcPr>
            <w:tcW w:w="1529" w:type="dxa"/>
          </w:tcPr>
          <w:p w14:paraId="53CDC815" w14:textId="77777777" w:rsidR="00B54D51" w:rsidRPr="00037AD4" w:rsidRDefault="00B54D51" w:rsidP="0078211D">
            <w:pPr>
              <w:rPr>
                <w:rFonts w:asciiTheme="minorHAnsi" w:hAnsiTheme="minorHAnsi" w:cstheme="minorHAnsi"/>
              </w:rPr>
            </w:pPr>
            <w:r w:rsidRPr="00037AD4">
              <w:rPr>
                <w:rFonts w:asciiTheme="minorHAnsi" w:hAnsiTheme="minorHAnsi" w:cstheme="minorHAnsi"/>
              </w:rPr>
              <w:t>Intervention type</w:t>
            </w:r>
          </w:p>
        </w:tc>
        <w:tc>
          <w:tcPr>
            <w:tcW w:w="2104" w:type="dxa"/>
          </w:tcPr>
          <w:p w14:paraId="1881AE37" w14:textId="77777777" w:rsidR="00B54D51" w:rsidRPr="00037AD4" w:rsidRDefault="00B54D51" w:rsidP="0078211D">
            <w:pPr>
              <w:rPr>
                <w:rFonts w:asciiTheme="minorHAnsi" w:hAnsiTheme="minorHAnsi" w:cstheme="minorHAnsi"/>
              </w:rPr>
            </w:pPr>
            <w:r w:rsidRPr="00037AD4">
              <w:rPr>
                <w:rFonts w:asciiTheme="minorHAnsi" w:hAnsiTheme="minorHAnsi" w:cstheme="minorHAnsi"/>
              </w:rPr>
              <w:t>Primary outcomes</w:t>
            </w:r>
          </w:p>
        </w:tc>
        <w:tc>
          <w:tcPr>
            <w:tcW w:w="1217" w:type="dxa"/>
          </w:tcPr>
          <w:p w14:paraId="42052CA0" w14:textId="77777777" w:rsidR="00B54D51" w:rsidRPr="00037AD4" w:rsidRDefault="00B54D51" w:rsidP="0078211D">
            <w:pPr>
              <w:rPr>
                <w:rFonts w:asciiTheme="minorHAnsi" w:hAnsiTheme="minorHAnsi" w:cstheme="minorHAnsi"/>
              </w:rPr>
            </w:pPr>
            <w:r w:rsidRPr="00037AD4">
              <w:rPr>
                <w:rFonts w:asciiTheme="minorHAnsi" w:hAnsiTheme="minorHAnsi" w:cstheme="minorHAnsi"/>
              </w:rPr>
              <w:t xml:space="preserve">HRQoL: primary or secondary outcome? </w:t>
            </w:r>
          </w:p>
        </w:tc>
        <w:tc>
          <w:tcPr>
            <w:tcW w:w="1341" w:type="dxa"/>
          </w:tcPr>
          <w:p w14:paraId="5B8DDC40" w14:textId="77777777" w:rsidR="00B54D51" w:rsidRPr="00037AD4" w:rsidRDefault="00B54D51" w:rsidP="0078211D">
            <w:pPr>
              <w:rPr>
                <w:rFonts w:asciiTheme="minorHAnsi" w:hAnsiTheme="minorHAnsi" w:cstheme="minorHAnsi"/>
              </w:rPr>
            </w:pPr>
            <w:r w:rsidRPr="00037AD4">
              <w:rPr>
                <w:rFonts w:asciiTheme="minorHAnsi" w:hAnsiTheme="minorHAnsi" w:cstheme="minorHAnsi"/>
              </w:rPr>
              <w:t>Measures both PwD and proxy HRQoL?</w:t>
            </w:r>
          </w:p>
        </w:tc>
      </w:tr>
      <w:tr w:rsidR="00B54D51" w:rsidRPr="00037AD4" w14:paraId="437B7084" w14:textId="77777777" w:rsidTr="0078211D">
        <w:tc>
          <w:tcPr>
            <w:tcW w:w="1424" w:type="dxa"/>
          </w:tcPr>
          <w:p w14:paraId="0C1B06E1" w14:textId="77777777" w:rsidR="00B54D51" w:rsidRPr="00037AD4" w:rsidRDefault="00B54D51" w:rsidP="0078211D">
            <w:pPr>
              <w:rPr>
                <w:rFonts w:asciiTheme="minorHAnsi" w:hAnsiTheme="minorHAnsi" w:cstheme="minorHAnsi"/>
              </w:rPr>
            </w:pPr>
            <w:r w:rsidRPr="00037AD4">
              <w:rPr>
                <w:rFonts w:asciiTheme="minorHAnsi" w:hAnsiTheme="minorHAnsi" w:cstheme="minorHAnsi"/>
              </w:rPr>
              <w:t>ACTIFCARE</w:t>
            </w:r>
          </w:p>
        </w:tc>
        <w:tc>
          <w:tcPr>
            <w:tcW w:w="1401" w:type="dxa"/>
          </w:tcPr>
          <w:p w14:paraId="03E3A4C2" w14:textId="77777777" w:rsidR="00B54D51" w:rsidRPr="00037AD4" w:rsidRDefault="00B54D51" w:rsidP="0078211D">
            <w:pPr>
              <w:rPr>
                <w:rFonts w:asciiTheme="minorHAnsi" w:hAnsiTheme="minorHAnsi" w:cstheme="minorHAnsi"/>
              </w:rPr>
            </w:pPr>
            <w:r w:rsidRPr="00037AD4">
              <w:rPr>
                <w:rFonts w:ascii="Segoe UI Symbol" w:hAnsi="Segoe UI Symbol" w:cs="Segoe UI Symbol"/>
                <w:color w:val="040C28"/>
              </w:rPr>
              <w:t>✓</w:t>
            </w:r>
          </w:p>
        </w:tc>
        <w:tc>
          <w:tcPr>
            <w:tcW w:w="1529" w:type="dxa"/>
          </w:tcPr>
          <w:p w14:paraId="4F3450BC" w14:textId="77777777" w:rsidR="00B54D51" w:rsidRPr="00037AD4" w:rsidRDefault="00B54D51" w:rsidP="0078211D">
            <w:pPr>
              <w:rPr>
                <w:rFonts w:asciiTheme="minorHAnsi" w:hAnsiTheme="minorHAnsi" w:cstheme="minorHAnsi"/>
              </w:rPr>
            </w:pPr>
            <w:r w:rsidRPr="00037AD4">
              <w:rPr>
                <w:rFonts w:asciiTheme="minorHAnsi" w:hAnsiTheme="minorHAnsi" w:cstheme="minorHAnsi"/>
              </w:rPr>
              <w:t>NI</w:t>
            </w:r>
          </w:p>
        </w:tc>
        <w:tc>
          <w:tcPr>
            <w:tcW w:w="2104" w:type="dxa"/>
          </w:tcPr>
          <w:p w14:paraId="250A2739" w14:textId="77777777" w:rsidR="00B54D51" w:rsidRPr="00037AD4" w:rsidRDefault="00B54D51" w:rsidP="0078211D">
            <w:pPr>
              <w:rPr>
                <w:rFonts w:asciiTheme="minorHAnsi" w:hAnsiTheme="minorHAnsi" w:cstheme="minorHAnsi"/>
              </w:rPr>
            </w:pPr>
            <w:r w:rsidRPr="00037AD4">
              <w:rPr>
                <w:rFonts w:asciiTheme="minorHAnsi" w:hAnsiTheme="minorHAnsi" w:cstheme="minorHAnsi"/>
              </w:rPr>
              <w:t xml:space="preserve">Needs assessment, resource use </w:t>
            </w:r>
          </w:p>
        </w:tc>
        <w:tc>
          <w:tcPr>
            <w:tcW w:w="1217" w:type="dxa"/>
          </w:tcPr>
          <w:p w14:paraId="118F70E7" w14:textId="77777777" w:rsidR="00B54D51" w:rsidRPr="00037AD4" w:rsidRDefault="00B54D51" w:rsidP="0078211D">
            <w:pPr>
              <w:rPr>
                <w:rFonts w:asciiTheme="minorHAnsi" w:hAnsiTheme="minorHAnsi" w:cstheme="minorHAnsi"/>
              </w:rPr>
            </w:pPr>
            <w:r w:rsidRPr="00037AD4">
              <w:rPr>
                <w:rFonts w:ascii="Segoe UI Symbol" w:hAnsi="Segoe UI Symbol" w:cs="Segoe UI Symbol"/>
                <w:color w:val="040C28"/>
              </w:rPr>
              <w:t>✓</w:t>
            </w:r>
          </w:p>
        </w:tc>
        <w:tc>
          <w:tcPr>
            <w:tcW w:w="1341" w:type="dxa"/>
          </w:tcPr>
          <w:p w14:paraId="46EB146D" w14:textId="77777777" w:rsidR="00B54D51" w:rsidRPr="00037AD4" w:rsidRDefault="00B54D51" w:rsidP="0078211D">
            <w:pPr>
              <w:rPr>
                <w:rFonts w:asciiTheme="minorHAnsi" w:hAnsiTheme="minorHAnsi" w:cstheme="minorHAnsi"/>
              </w:rPr>
            </w:pPr>
            <w:r w:rsidRPr="00037AD4">
              <w:rPr>
                <w:rFonts w:ascii="Segoe UI Symbol" w:hAnsi="Segoe UI Symbol" w:cs="Segoe UI Symbol"/>
                <w:color w:val="040C28"/>
              </w:rPr>
              <w:t>✓</w:t>
            </w:r>
          </w:p>
        </w:tc>
      </w:tr>
      <w:tr w:rsidR="00B54D51" w:rsidRPr="00037AD4" w14:paraId="3321466D" w14:textId="77777777" w:rsidTr="0078211D">
        <w:tc>
          <w:tcPr>
            <w:tcW w:w="1424" w:type="dxa"/>
          </w:tcPr>
          <w:p w14:paraId="71984666" w14:textId="77777777" w:rsidR="00B54D51" w:rsidRPr="00037AD4" w:rsidRDefault="00B54D51" w:rsidP="0078211D">
            <w:pPr>
              <w:rPr>
                <w:rFonts w:asciiTheme="minorHAnsi" w:hAnsiTheme="minorHAnsi" w:cstheme="minorHAnsi"/>
              </w:rPr>
            </w:pPr>
            <w:r w:rsidRPr="00037AD4">
              <w:rPr>
                <w:rFonts w:asciiTheme="minorHAnsi" w:hAnsiTheme="minorHAnsi" w:cstheme="minorHAnsi"/>
              </w:rPr>
              <w:t>AD2000</w:t>
            </w:r>
          </w:p>
        </w:tc>
        <w:tc>
          <w:tcPr>
            <w:tcW w:w="1401" w:type="dxa"/>
          </w:tcPr>
          <w:p w14:paraId="79D1BE13" w14:textId="77777777" w:rsidR="00B54D51" w:rsidRPr="00037AD4" w:rsidRDefault="00B54D51" w:rsidP="0078211D">
            <w:pPr>
              <w:rPr>
                <w:rFonts w:asciiTheme="minorHAnsi" w:hAnsiTheme="minorHAnsi" w:cstheme="minorHAnsi"/>
              </w:rPr>
            </w:pPr>
            <w:r w:rsidRPr="00037AD4">
              <w:rPr>
                <w:rFonts w:ascii="Segoe UI Symbol" w:hAnsi="Segoe UI Symbol" w:cs="Segoe UI Symbol"/>
                <w:color w:val="040C28"/>
              </w:rPr>
              <w:t>✓</w:t>
            </w:r>
          </w:p>
        </w:tc>
        <w:tc>
          <w:tcPr>
            <w:tcW w:w="1529" w:type="dxa"/>
          </w:tcPr>
          <w:p w14:paraId="7E75C507" w14:textId="77777777" w:rsidR="00B54D51" w:rsidRPr="00037AD4" w:rsidRDefault="00B54D51" w:rsidP="0078211D">
            <w:pPr>
              <w:rPr>
                <w:rFonts w:asciiTheme="minorHAnsi" w:hAnsiTheme="minorHAnsi" w:cstheme="minorHAnsi"/>
              </w:rPr>
            </w:pPr>
            <w:r w:rsidRPr="00037AD4">
              <w:rPr>
                <w:rFonts w:asciiTheme="minorHAnsi" w:hAnsiTheme="minorHAnsi" w:cstheme="minorHAnsi"/>
              </w:rPr>
              <w:t>Ph</w:t>
            </w:r>
          </w:p>
        </w:tc>
        <w:tc>
          <w:tcPr>
            <w:tcW w:w="2104" w:type="dxa"/>
          </w:tcPr>
          <w:p w14:paraId="07148D91" w14:textId="77777777" w:rsidR="00B54D51" w:rsidRPr="00037AD4" w:rsidRDefault="00B54D51" w:rsidP="0078211D">
            <w:pPr>
              <w:rPr>
                <w:rFonts w:asciiTheme="minorHAnsi" w:hAnsiTheme="minorHAnsi" w:cstheme="minorHAnsi"/>
              </w:rPr>
            </w:pPr>
            <w:r w:rsidRPr="00037AD4">
              <w:rPr>
                <w:rFonts w:asciiTheme="minorHAnsi" w:hAnsiTheme="minorHAnsi" w:cstheme="minorHAnsi"/>
              </w:rPr>
              <w:t>Cognition, function</w:t>
            </w:r>
          </w:p>
        </w:tc>
        <w:tc>
          <w:tcPr>
            <w:tcW w:w="1217" w:type="dxa"/>
          </w:tcPr>
          <w:p w14:paraId="3A879612" w14:textId="77777777" w:rsidR="00B54D51" w:rsidRPr="00037AD4" w:rsidRDefault="00B54D51" w:rsidP="0078211D">
            <w:pPr>
              <w:rPr>
                <w:rFonts w:asciiTheme="minorHAnsi" w:hAnsiTheme="minorHAnsi" w:cstheme="minorHAnsi"/>
              </w:rPr>
            </w:pPr>
            <w:r w:rsidRPr="00037AD4">
              <w:rPr>
                <w:rFonts w:asciiTheme="minorHAnsi" w:hAnsiTheme="minorHAnsi" w:cstheme="minorHAnsi"/>
                <w:color w:val="202124"/>
                <w:shd w:val="clear" w:color="auto" w:fill="FFFFFF"/>
              </w:rPr>
              <w:t>×</w:t>
            </w:r>
          </w:p>
        </w:tc>
        <w:tc>
          <w:tcPr>
            <w:tcW w:w="1341" w:type="dxa"/>
          </w:tcPr>
          <w:p w14:paraId="7E94F253" w14:textId="77777777" w:rsidR="00B54D51" w:rsidRPr="00037AD4" w:rsidRDefault="00B54D51" w:rsidP="0078211D">
            <w:pPr>
              <w:rPr>
                <w:rFonts w:asciiTheme="minorHAnsi" w:hAnsiTheme="minorHAnsi" w:cstheme="minorHAnsi"/>
              </w:rPr>
            </w:pPr>
            <w:r w:rsidRPr="00037AD4">
              <w:rPr>
                <w:rFonts w:asciiTheme="minorHAnsi" w:hAnsiTheme="minorHAnsi" w:cstheme="minorHAnsi"/>
              </w:rPr>
              <w:t>N/A</w:t>
            </w:r>
          </w:p>
        </w:tc>
      </w:tr>
      <w:tr w:rsidR="00B54D51" w:rsidRPr="00037AD4" w14:paraId="13DC9E5B" w14:textId="77777777" w:rsidTr="0078211D">
        <w:tc>
          <w:tcPr>
            <w:tcW w:w="1424" w:type="dxa"/>
          </w:tcPr>
          <w:p w14:paraId="1E978935" w14:textId="77777777" w:rsidR="00B54D51" w:rsidRPr="00037AD4" w:rsidRDefault="00B54D51" w:rsidP="0078211D">
            <w:pPr>
              <w:rPr>
                <w:rFonts w:asciiTheme="minorHAnsi" w:hAnsiTheme="minorHAnsi" w:cstheme="minorHAnsi"/>
              </w:rPr>
            </w:pPr>
            <w:r w:rsidRPr="00037AD4">
              <w:rPr>
                <w:rFonts w:asciiTheme="minorHAnsi" w:hAnsiTheme="minorHAnsi" w:cstheme="minorHAnsi"/>
              </w:rPr>
              <w:t>ADEX</w:t>
            </w:r>
          </w:p>
        </w:tc>
        <w:tc>
          <w:tcPr>
            <w:tcW w:w="1401" w:type="dxa"/>
          </w:tcPr>
          <w:p w14:paraId="36778647" w14:textId="77777777" w:rsidR="00B54D51" w:rsidRPr="00037AD4" w:rsidRDefault="00B54D51" w:rsidP="0078211D">
            <w:pPr>
              <w:rPr>
                <w:rFonts w:asciiTheme="minorHAnsi" w:hAnsiTheme="minorHAnsi" w:cstheme="minorHAnsi"/>
              </w:rPr>
            </w:pPr>
            <w:r w:rsidRPr="00037AD4">
              <w:rPr>
                <w:rFonts w:ascii="Segoe UI Symbol" w:hAnsi="Segoe UI Symbol" w:cs="Segoe UI Symbol"/>
                <w:color w:val="040C28"/>
              </w:rPr>
              <w:t>✓</w:t>
            </w:r>
          </w:p>
        </w:tc>
        <w:tc>
          <w:tcPr>
            <w:tcW w:w="1529" w:type="dxa"/>
          </w:tcPr>
          <w:p w14:paraId="22672B56" w14:textId="77777777" w:rsidR="00B54D51" w:rsidRPr="00037AD4" w:rsidRDefault="00B54D51" w:rsidP="0078211D">
            <w:pPr>
              <w:rPr>
                <w:rFonts w:asciiTheme="minorHAnsi" w:hAnsiTheme="minorHAnsi" w:cstheme="minorHAnsi"/>
              </w:rPr>
            </w:pPr>
            <w:r w:rsidRPr="00037AD4">
              <w:rPr>
                <w:rFonts w:asciiTheme="minorHAnsi" w:hAnsiTheme="minorHAnsi" w:cstheme="minorHAnsi"/>
              </w:rPr>
              <w:t>N-Ph</w:t>
            </w:r>
          </w:p>
        </w:tc>
        <w:tc>
          <w:tcPr>
            <w:tcW w:w="2104" w:type="dxa"/>
          </w:tcPr>
          <w:p w14:paraId="6AF6380A" w14:textId="77777777" w:rsidR="00B54D51" w:rsidRPr="00037AD4" w:rsidRDefault="00B54D51" w:rsidP="0078211D">
            <w:pPr>
              <w:rPr>
                <w:rFonts w:asciiTheme="minorHAnsi" w:hAnsiTheme="minorHAnsi" w:cstheme="minorHAnsi"/>
              </w:rPr>
            </w:pPr>
            <w:r w:rsidRPr="00037AD4">
              <w:rPr>
                <w:rFonts w:asciiTheme="minorHAnsi" w:hAnsiTheme="minorHAnsi" w:cstheme="minorHAnsi"/>
              </w:rPr>
              <w:t>Cognition</w:t>
            </w:r>
          </w:p>
        </w:tc>
        <w:tc>
          <w:tcPr>
            <w:tcW w:w="1217" w:type="dxa"/>
          </w:tcPr>
          <w:p w14:paraId="02D0C183" w14:textId="77777777" w:rsidR="00B54D51" w:rsidRPr="00037AD4" w:rsidRDefault="00B54D51" w:rsidP="0078211D">
            <w:pPr>
              <w:rPr>
                <w:rFonts w:asciiTheme="minorHAnsi" w:hAnsiTheme="minorHAnsi" w:cstheme="minorHAnsi"/>
              </w:rPr>
            </w:pPr>
            <w:r w:rsidRPr="00037AD4">
              <w:rPr>
                <w:rFonts w:ascii="Segoe UI Symbol" w:hAnsi="Segoe UI Symbol" w:cs="Segoe UI Symbol"/>
                <w:color w:val="040C28"/>
              </w:rPr>
              <w:t>✓</w:t>
            </w:r>
          </w:p>
        </w:tc>
        <w:tc>
          <w:tcPr>
            <w:tcW w:w="1341" w:type="dxa"/>
          </w:tcPr>
          <w:p w14:paraId="1D9C6508" w14:textId="77777777" w:rsidR="00B54D51" w:rsidRPr="00037AD4" w:rsidRDefault="00B54D51" w:rsidP="0078211D">
            <w:pPr>
              <w:rPr>
                <w:rFonts w:asciiTheme="minorHAnsi" w:hAnsiTheme="minorHAnsi" w:cstheme="minorHAnsi"/>
              </w:rPr>
            </w:pPr>
            <w:r w:rsidRPr="00037AD4">
              <w:rPr>
                <w:rFonts w:ascii="Segoe UI Symbol" w:hAnsi="Segoe UI Symbol" w:cs="Segoe UI Symbol"/>
                <w:color w:val="040C28"/>
              </w:rPr>
              <w:t>✓</w:t>
            </w:r>
          </w:p>
        </w:tc>
      </w:tr>
      <w:tr w:rsidR="00B54D51" w:rsidRPr="00037AD4" w14:paraId="4F5417B6" w14:textId="77777777" w:rsidTr="0078211D">
        <w:tc>
          <w:tcPr>
            <w:tcW w:w="1424" w:type="dxa"/>
          </w:tcPr>
          <w:p w14:paraId="11B3C741" w14:textId="77777777" w:rsidR="00B54D51" w:rsidRPr="00037AD4" w:rsidRDefault="00B54D51" w:rsidP="0078211D">
            <w:pPr>
              <w:rPr>
                <w:rFonts w:asciiTheme="minorHAnsi" w:hAnsiTheme="minorHAnsi" w:cstheme="minorHAnsi"/>
              </w:rPr>
            </w:pPr>
            <w:r w:rsidRPr="00037AD4">
              <w:rPr>
                <w:rFonts w:asciiTheme="minorHAnsi" w:hAnsiTheme="minorHAnsi" w:cstheme="minorHAnsi"/>
              </w:rPr>
              <w:t>ATTILA</w:t>
            </w:r>
          </w:p>
        </w:tc>
        <w:tc>
          <w:tcPr>
            <w:tcW w:w="1401" w:type="dxa"/>
          </w:tcPr>
          <w:p w14:paraId="38EFB2F3" w14:textId="77777777" w:rsidR="00B54D51" w:rsidRPr="00037AD4" w:rsidRDefault="00B54D51" w:rsidP="0078211D">
            <w:pPr>
              <w:rPr>
                <w:rFonts w:asciiTheme="minorHAnsi" w:hAnsiTheme="minorHAnsi" w:cstheme="minorHAnsi"/>
              </w:rPr>
            </w:pPr>
            <w:r w:rsidRPr="00037AD4">
              <w:rPr>
                <w:rFonts w:ascii="Segoe UI Symbol" w:hAnsi="Segoe UI Symbol" w:cs="Segoe UI Symbol"/>
                <w:color w:val="040C28"/>
              </w:rPr>
              <w:t>✓</w:t>
            </w:r>
          </w:p>
        </w:tc>
        <w:tc>
          <w:tcPr>
            <w:tcW w:w="1529" w:type="dxa"/>
          </w:tcPr>
          <w:p w14:paraId="5EB0DFCE" w14:textId="77777777" w:rsidR="00B54D51" w:rsidRPr="00037AD4" w:rsidRDefault="00B54D51" w:rsidP="0078211D">
            <w:pPr>
              <w:rPr>
                <w:rFonts w:asciiTheme="minorHAnsi" w:hAnsiTheme="minorHAnsi" w:cstheme="minorHAnsi"/>
              </w:rPr>
            </w:pPr>
            <w:r w:rsidRPr="00037AD4">
              <w:rPr>
                <w:rFonts w:asciiTheme="minorHAnsi" w:hAnsiTheme="minorHAnsi" w:cstheme="minorHAnsi"/>
              </w:rPr>
              <w:t>N-Ph</w:t>
            </w:r>
          </w:p>
        </w:tc>
        <w:tc>
          <w:tcPr>
            <w:tcW w:w="2104" w:type="dxa"/>
          </w:tcPr>
          <w:p w14:paraId="4286BF46" w14:textId="77777777" w:rsidR="00B54D51" w:rsidRPr="00037AD4" w:rsidRDefault="00B54D51" w:rsidP="0078211D">
            <w:pPr>
              <w:rPr>
                <w:rFonts w:asciiTheme="minorHAnsi" w:hAnsiTheme="minorHAnsi" w:cstheme="minorHAnsi"/>
              </w:rPr>
            </w:pPr>
            <w:r w:rsidRPr="00037AD4">
              <w:rPr>
                <w:rFonts w:asciiTheme="minorHAnsi" w:hAnsiTheme="minorHAnsi" w:cstheme="minorHAnsi"/>
              </w:rPr>
              <w:t xml:space="preserve">Time to institutionalisation, HRQoL </w:t>
            </w:r>
          </w:p>
        </w:tc>
        <w:tc>
          <w:tcPr>
            <w:tcW w:w="1217" w:type="dxa"/>
          </w:tcPr>
          <w:p w14:paraId="4664A750" w14:textId="77777777" w:rsidR="00B54D51" w:rsidRPr="00037AD4" w:rsidRDefault="00B54D51" w:rsidP="0078211D">
            <w:pPr>
              <w:rPr>
                <w:rFonts w:asciiTheme="minorHAnsi" w:hAnsiTheme="minorHAnsi" w:cstheme="minorHAnsi"/>
              </w:rPr>
            </w:pPr>
            <w:r w:rsidRPr="00037AD4">
              <w:rPr>
                <w:rFonts w:ascii="Segoe UI Symbol" w:hAnsi="Segoe UI Symbol" w:cs="Segoe UI Symbol"/>
                <w:color w:val="040C28"/>
              </w:rPr>
              <w:t>✓</w:t>
            </w:r>
          </w:p>
        </w:tc>
        <w:tc>
          <w:tcPr>
            <w:tcW w:w="1341" w:type="dxa"/>
          </w:tcPr>
          <w:p w14:paraId="1E737B76" w14:textId="77777777" w:rsidR="00B54D51" w:rsidRPr="00037AD4" w:rsidRDefault="00B54D51" w:rsidP="0078211D">
            <w:pPr>
              <w:rPr>
                <w:rFonts w:asciiTheme="minorHAnsi" w:hAnsiTheme="minorHAnsi" w:cstheme="minorHAnsi"/>
              </w:rPr>
            </w:pPr>
            <w:r w:rsidRPr="00037AD4">
              <w:rPr>
                <w:rFonts w:ascii="Segoe UI Symbol" w:hAnsi="Segoe UI Symbol" w:cs="Segoe UI Symbol"/>
                <w:color w:val="040C28"/>
              </w:rPr>
              <w:t>✓</w:t>
            </w:r>
          </w:p>
        </w:tc>
      </w:tr>
      <w:tr w:rsidR="00B54D51" w:rsidRPr="00037AD4" w14:paraId="00B087C2" w14:textId="77777777" w:rsidTr="0078211D">
        <w:tc>
          <w:tcPr>
            <w:tcW w:w="1424" w:type="dxa"/>
          </w:tcPr>
          <w:p w14:paraId="681E83A5" w14:textId="77777777" w:rsidR="00B54D51" w:rsidRPr="00037AD4" w:rsidRDefault="00B54D51" w:rsidP="0078211D">
            <w:pPr>
              <w:rPr>
                <w:rFonts w:asciiTheme="minorHAnsi" w:hAnsiTheme="minorHAnsi" w:cstheme="minorHAnsi"/>
              </w:rPr>
            </w:pPr>
            <w:r w:rsidRPr="00037AD4">
              <w:rPr>
                <w:rFonts w:asciiTheme="minorHAnsi" w:hAnsiTheme="minorHAnsi" w:cstheme="minorHAnsi"/>
              </w:rPr>
              <w:t>CALM-AD</w:t>
            </w:r>
          </w:p>
        </w:tc>
        <w:tc>
          <w:tcPr>
            <w:tcW w:w="1401" w:type="dxa"/>
          </w:tcPr>
          <w:p w14:paraId="75AD4BAC" w14:textId="77777777" w:rsidR="00B54D51" w:rsidRPr="00037AD4" w:rsidRDefault="00B54D51" w:rsidP="0078211D">
            <w:pPr>
              <w:rPr>
                <w:rFonts w:asciiTheme="minorHAnsi" w:hAnsiTheme="minorHAnsi" w:cstheme="minorHAnsi"/>
              </w:rPr>
            </w:pPr>
            <w:r w:rsidRPr="00037AD4">
              <w:rPr>
                <w:rFonts w:ascii="Segoe UI Symbol" w:hAnsi="Segoe UI Symbol" w:cs="Segoe UI Symbol"/>
                <w:color w:val="040C28"/>
              </w:rPr>
              <w:t>✓</w:t>
            </w:r>
          </w:p>
        </w:tc>
        <w:tc>
          <w:tcPr>
            <w:tcW w:w="1529" w:type="dxa"/>
          </w:tcPr>
          <w:p w14:paraId="143CF38F" w14:textId="77777777" w:rsidR="00B54D51" w:rsidRPr="00037AD4" w:rsidRDefault="00B54D51" w:rsidP="0078211D">
            <w:pPr>
              <w:rPr>
                <w:rFonts w:asciiTheme="minorHAnsi" w:hAnsiTheme="minorHAnsi" w:cstheme="minorHAnsi"/>
              </w:rPr>
            </w:pPr>
            <w:r w:rsidRPr="00037AD4">
              <w:rPr>
                <w:rFonts w:asciiTheme="minorHAnsi" w:hAnsiTheme="minorHAnsi" w:cstheme="minorHAnsi"/>
              </w:rPr>
              <w:t>Ph</w:t>
            </w:r>
          </w:p>
        </w:tc>
        <w:tc>
          <w:tcPr>
            <w:tcW w:w="2104" w:type="dxa"/>
          </w:tcPr>
          <w:p w14:paraId="015861FC" w14:textId="77777777" w:rsidR="00B54D51" w:rsidRPr="00037AD4" w:rsidRDefault="00B54D51" w:rsidP="0078211D">
            <w:pPr>
              <w:rPr>
                <w:rFonts w:asciiTheme="minorHAnsi" w:hAnsiTheme="minorHAnsi" w:cstheme="minorHAnsi"/>
              </w:rPr>
            </w:pPr>
            <w:r w:rsidRPr="00037AD4">
              <w:rPr>
                <w:rFonts w:asciiTheme="minorHAnsi" w:hAnsiTheme="minorHAnsi" w:cstheme="minorHAnsi"/>
              </w:rPr>
              <w:t>Behaviour/mood (agitation)</w:t>
            </w:r>
          </w:p>
        </w:tc>
        <w:tc>
          <w:tcPr>
            <w:tcW w:w="1217" w:type="dxa"/>
          </w:tcPr>
          <w:p w14:paraId="36B3BA64" w14:textId="77777777" w:rsidR="00B54D51" w:rsidRPr="00037AD4" w:rsidRDefault="00B54D51" w:rsidP="0078211D">
            <w:pPr>
              <w:rPr>
                <w:rFonts w:asciiTheme="minorHAnsi" w:hAnsiTheme="minorHAnsi" w:cstheme="minorHAnsi"/>
              </w:rPr>
            </w:pPr>
            <w:r w:rsidRPr="00037AD4">
              <w:rPr>
                <w:rFonts w:asciiTheme="minorHAnsi" w:hAnsiTheme="minorHAnsi" w:cstheme="minorHAnsi"/>
                <w:color w:val="202124"/>
                <w:shd w:val="clear" w:color="auto" w:fill="FFFFFF"/>
              </w:rPr>
              <w:t>×</w:t>
            </w:r>
          </w:p>
        </w:tc>
        <w:tc>
          <w:tcPr>
            <w:tcW w:w="1341" w:type="dxa"/>
          </w:tcPr>
          <w:p w14:paraId="280270DD" w14:textId="77777777" w:rsidR="00B54D51" w:rsidRPr="00037AD4" w:rsidRDefault="00B54D51" w:rsidP="0078211D">
            <w:pPr>
              <w:rPr>
                <w:rFonts w:asciiTheme="minorHAnsi" w:hAnsiTheme="minorHAnsi" w:cstheme="minorHAnsi"/>
              </w:rPr>
            </w:pPr>
            <w:r w:rsidRPr="00037AD4">
              <w:rPr>
                <w:rFonts w:asciiTheme="minorHAnsi" w:hAnsiTheme="minorHAnsi" w:cstheme="minorHAnsi"/>
              </w:rPr>
              <w:t>N/A</w:t>
            </w:r>
          </w:p>
        </w:tc>
      </w:tr>
      <w:tr w:rsidR="00B54D51" w:rsidRPr="00037AD4" w14:paraId="29A7044B" w14:textId="77777777" w:rsidTr="0078211D">
        <w:tc>
          <w:tcPr>
            <w:tcW w:w="1424" w:type="dxa"/>
          </w:tcPr>
          <w:p w14:paraId="0F54DD2B" w14:textId="77777777" w:rsidR="00B54D51" w:rsidRPr="00037AD4" w:rsidRDefault="00B54D51" w:rsidP="0078211D">
            <w:pPr>
              <w:rPr>
                <w:rFonts w:asciiTheme="minorHAnsi" w:hAnsiTheme="minorHAnsi" w:cstheme="minorHAnsi"/>
              </w:rPr>
            </w:pPr>
            <w:r w:rsidRPr="00037AD4">
              <w:rPr>
                <w:rFonts w:asciiTheme="minorHAnsi" w:hAnsiTheme="minorHAnsi" w:cstheme="minorHAnsi"/>
              </w:rPr>
              <w:t>DADE</w:t>
            </w:r>
          </w:p>
        </w:tc>
        <w:tc>
          <w:tcPr>
            <w:tcW w:w="1401" w:type="dxa"/>
          </w:tcPr>
          <w:p w14:paraId="45B57D3C" w14:textId="77777777" w:rsidR="00B54D51" w:rsidRPr="00037AD4" w:rsidRDefault="00B54D51" w:rsidP="0078211D">
            <w:pPr>
              <w:rPr>
                <w:rFonts w:asciiTheme="minorHAnsi" w:hAnsiTheme="minorHAnsi" w:cstheme="minorHAnsi"/>
              </w:rPr>
            </w:pPr>
            <w:r w:rsidRPr="00037AD4">
              <w:rPr>
                <w:rFonts w:ascii="Segoe UI Symbol" w:hAnsi="Segoe UI Symbol" w:cs="Segoe UI Symbol"/>
                <w:color w:val="040C28"/>
              </w:rPr>
              <w:t>✓</w:t>
            </w:r>
          </w:p>
        </w:tc>
        <w:tc>
          <w:tcPr>
            <w:tcW w:w="1529" w:type="dxa"/>
          </w:tcPr>
          <w:p w14:paraId="5E923821" w14:textId="77777777" w:rsidR="00B54D51" w:rsidRPr="00037AD4" w:rsidRDefault="00B54D51" w:rsidP="0078211D">
            <w:pPr>
              <w:rPr>
                <w:rFonts w:asciiTheme="minorHAnsi" w:hAnsiTheme="minorHAnsi" w:cstheme="minorHAnsi"/>
              </w:rPr>
            </w:pPr>
            <w:r w:rsidRPr="00037AD4">
              <w:rPr>
                <w:rFonts w:asciiTheme="minorHAnsi" w:hAnsiTheme="minorHAnsi" w:cstheme="minorHAnsi"/>
              </w:rPr>
              <w:t>NI</w:t>
            </w:r>
          </w:p>
        </w:tc>
        <w:tc>
          <w:tcPr>
            <w:tcW w:w="2104" w:type="dxa"/>
          </w:tcPr>
          <w:p w14:paraId="2A803D88" w14:textId="77777777" w:rsidR="00B54D51" w:rsidRPr="00037AD4" w:rsidRDefault="00B54D51" w:rsidP="0078211D">
            <w:pPr>
              <w:rPr>
                <w:rFonts w:asciiTheme="minorHAnsi" w:hAnsiTheme="minorHAnsi" w:cstheme="minorHAnsi"/>
              </w:rPr>
            </w:pPr>
            <w:r w:rsidRPr="00037AD4">
              <w:rPr>
                <w:rFonts w:asciiTheme="minorHAnsi" w:hAnsiTheme="minorHAnsi" w:cstheme="minorHAnsi"/>
              </w:rPr>
              <w:t>Function</w:t>
            </w:r>
          </w:p>
        </w:tc>
        <w:tc>
          <w:tcPr>
            <w:tcW w:w="1217" w:type="dxa"/>
          </w:tcPr>
          <w:p w14:paraId="14C54155" w14:textId="77777777" w:rsidR="00B54D51" w:rsidRPr="00037AD4" w:rsidRDefault="00B54D51" w:rsidP="0078211D">
            <w:pPr>
              <w:rPr>
                <w:rFonts w:asciiTheme="minorHAnsi" w:hAnsiTheme="minorHAnsi" w:cstheme="minorHAnsi"/>
              </w:rPr>
            </w:pPr>
            <w:r w:rsidRPr="00037AD4">
              <w:rPr>
                <w:rFonts w:ascii="Segoe UI Symbol" w:hAnsi="Segoe UI Symbol" w:cs="Segoe UI Symbol"/>
                <w:color w:val="040C28"/>
              </w:rPr>
              <w:t>✓</w:t>
            </w:r>
          </w:p>
        </w:tc>
        <w:tc>
          <w:tcPr>
            <w:tcW w:w="1341" w:type="dxa"/>
          </w:tcPr>
          <w:p w14:paraId="6E6812D2" w14:textId="77777777" w:rsidR="00B54D51" w:rsidRPr="00037AD4" w:rsidRDefault="00B54D51" w:rsidP="0078211D">
            <w:pPr>
              <w:rPr>
                <w:rFonts w:asciiTheme="minorHAnsi" w:hAnsiTheme="minorHAnsi" w:cstheme="minorHAnsi"/>
              </w:rPr>
            </w:pPr>
            <w:r w:rsidRPr="00037AD4">
              <w:rPr>
                <w:rFonts w:ascii="Segoe UI Symbol" w:hAnsi="Segoe UI Symbol" w:cs="Segoe UI Symbol"/>
                <w:color w:val="040C28"/>
              </w:rPr>
              <w:t>✓</w:t>
            </w:r>
          </w:p>
        </w:tc>
      </w:tr>
      <w:tr w:rsidR="00B54D51" w:rsidRPr="00037AD4" w14:paraId="43418A41" w14:textId="77777777" w:rsidTr="0078211D">
        <w:tc>
          <w:tcPr>
            <w:tcW w:w="1424" w:type="dxa"/>
          </w:tcPr>
          <w:p w14:paraId="075C6A6C" w14:textId="77777777" w:rsidR="00B54D51" w:rsidRPr="00037AD4" w:rsidRDefault="00B54D51" w:rsidP="0078211D">
            <w:pPr>
              <w:rPr>
                <w:rFonts w:asciiTheme="minorHAnsi" w:hAnsiTheme="minorHAnsi" w:cstheme="minorHAnsi"/>
              </w:rPr>
            </w:pPr>
            <w:r w:rsidRPr="00037AD4">
              <w:rPr>
                <w:rFonts w:asciiTheme="minorHAnsi" w:hAnsiTheme="minorHAnsi" w:cstheme="minorHAnsi"/>
              </w:rPr>
              <w:t>DCM EPIC</w:t>
            </w:r>
          </w:p>
        </w:tc>
        <w:tc>
          <w:tcPr>
            <w:tcW w:w="1401" w:type="dxa"/>
          </w:tcPr>
          <w:p w14:paraId="7F6B550C" w14:textId="77777777" w:rsidR="00B54D51" w:rsidRPr="00037AD4" w:rsidRDefault="00B54D51" w:rsidP="0078211D">
            <w:pPr>
              <w:rPr>
                <w:rFonts w:asciiTheme="minorHAnsi" w:hAnsiTheme="minorHAnsi" w:cstheme="minorHAnsi"/>
              </w:rPr>
            </w:pPr>
            <w:r w:rsidRPr="00037AD4">
              <w:rPr>
                <w:rFonts w:ascii="Segoe UI Symbol" w:hAnsi="Segoe UI Symbol" w:cs="Segoe UI Symbol"/>
                <w:color w:val="040C28"/>
              </w:rPr>
              <w:t>✓</w:t>
            </w:r>
          </w:p>
        </w:tc>
        <w:tc>
          <w:tcPr>
            <w:tcW w:w="1529" w:type="dxa"/>
          </w:tcPr>
          <w:p w14:paraId="53AAA6D1" w14:textId="77777777" w:rsidR="00B54D51" w:rsidRPr="00037AD4" w:rsidRDefault="00B54D51" w:rsidP="0078211D">
            <w:pPr>
              <w:rPr>
                <w:rFonts w:asciiTheme="minorHAnsi" w:hAnsiTheme="minorHAnsi" w:cstheme="minorHAnsi"/>
              </w:rPr>
            </w:pPr>
            <w:r w:rsidRPr="00037AD4">
              <w:rPr>
                <w:rFonts w:asciiTheme="minorHAnsi" w:hAnsiTheme="minorHAnsi" w:cstheme="minorHAnsi"/>
              </w:rPr>
              <w:t>N-Ph</w:t>
            </w:r>
          </w:p>
        </w:tc>
        <w:tc>
          <w:tcPr>
            <w:tcW w:w="2104" w:type="dxa"/>
          </w:tcPr>
          <w:p w14:paraId="54CE8AB3" w14:textId="77777777" w:rsidR="00B54D51" w:rsidRPr="00037AD4" w:rsidRDefault="00B54D51" w:rsidP="0078211D">
            <w:pPr>
              <w:rPr>
                <w:rFonts w:asciiTheme="minorHAnsi" w:hAnsiTheme="minorHAnsi" w:cstheme="minorHAnsi"/>
              </w:rPr>
            </w:pPr>
            <w:r w:rsidRPr="00037AD4">
              <w:rPr>
                <w:rFonts w:asciiTheme="minorHAnsi" w:hAnsiTheme="minorHAnsi" w:cstheme="minorHAnsi"/>
              </w:rPr>
              <w:t xml:space="preserve">Behaviour/mood (agitation) </w:t>
            </w:r>
          </w:p>
        </w:tc>
        <w:tc>
          <w:tcPr>
            <w:tcW w:w="1217" w:type="dxa"/>
          </w:tcPr>
          <w:p w14:paraId="12ABC8A7" w14:textId="77777777" w:rsidR="00B54D51" w:rsidRPr="00037AD4" w:rsidRDefault="00B54D51" w:rsidP="0078211D">
            <w:pPr>
              <w:rPr>
                <w:rFonts w:asciiTheme="minorHAnsi" w:hAnsiTheme="minorHAnsi" w:cstheme="minorHAnsi"/>
              </w:rPr>
            </w:pPr>
            <w:r w:rsidRPr="00037AD4">
              <w:rPr>
                <w:rFonts w:ascii="Segoe UI Symbol" w:hAnsi="Segoe UI Symbol" w:cs="Segoe UI Symbol"/>
                <w:color w:val="040C28"/>
              </w:rPr>
              <w:t>✓</w:t>
            </w:r>
          </w:p>
        </w:tc>
        <w:tc>
          <w:tcPr>
            <w:tcW w:w="1341" w:type="dxa"/>
          </w:tcPr>
          <w:p w14:paraId="633D570D" w14:textId="77777777" w:rsidR="00B54D51" w:rsidRPr="00037AD4" w:rsidRDefault="00B54D51" w:rsidP="0078211D">
            <w:pPr>
              <w:rPr>
                <w:rFonts w:asciiTheme="minorHAnsi" w:hAnsiTheme="minorHAnsi" w:cstheme="minorHAnsi"/>
              </w:rPr>
            </w:pPr>
            <w:r w:rsidRPr="00037AD4">
              <w:rPr>
                <w:rFonts w:ascii="Segoe UI Symbol" w:hAnsi="Segoe UI Symbol" w:cs="Segoe UI Symbol"/>
                <w:color w:val="040C28"/>
              </w:rPr>
              <w:t>✓</w:t>
            </w:r>
          </w:p>
        </w:tc>
      </w:tr>
      <w:tr w:rsidR="00B54D51" w:rsidRPr="00037AD4" w14:paraId="29E92BD2" w14:textId="77777777" w:rsidTr="0078211D">
        <w:tc>
          <w:tcPr>
            <w:tcW w:w="1424" w:type="dxa"/>
          </w:tcPr>
          <w:p w14:paraId="4461B51B" w14:textId="77777777" w:rsidR="00B54D51" w:rsidRPr="00037AD4" w:rsidRDefault="00B54D51" w:rsidP="0078211D">
            <w:pPr>
              <w:rPr>
                <w:rFonts w:asciiTheme="minorHAnsi" w:hAnsiTheme="minorHAnsi" w:cstheme="minorHAnsi"/>
              </w:rPr>
            </w:pPr>
            <w:r w:rsidRPr="00037AD4">
              <w:rPr>
                <w:rFonts w:asciiTheme="minorHAnsi" w:hAnsiTheme="minorHAnsi" w:cstheme="minorHAnsi"/>
              </w:rPr>
              <w:t>DOMINO-AD</w:t>
            </w:r>
          </w:p>
        </w:tc>
        <w:tc>
          <w:tcPr>
            <w:tcW w:w="1401" w:type="dxa"/>
          </w:tcPr>
          <w:p w14:paraId="736DB050" w14:textId="77777777" w:rsidR="00B54D51" w:rsidRPr="00037AD4" w:rsidRDefault="00B54D51" w:rsidP="0078211D">
            <w:pPr>
              <w:rPr>
                <w:rFonts w:asciiTheme="minorHAnsi" w:hAnsiTheme="minorHAnsi" w:cstheme="minorHAnsi"/>
              </w:rPr>
            </w:pPr>
            <w:r w:rsidRPr="00037AD4">
              <w:rPr>
                <w:rFonts w:ascii="Segoe UI Symbol" w:hAnsi="Segoe UI Symbol" w:cs="Segoe UI Symbol"/>
                <w:color w:val="040C28"/>
              </w:rPr>
              <w:t>✓</w:t>
            </w:r>
          </w:p>
        </w:tc>
        <w:tc>
          <w:tcPr>
            <w:tcW w:w="1529" w:type="dxa"/>
          </w:tcPr>
          <w:p w14:paraId="5211CF4B" w14:textId="77777777" w:rsidR="00B54D51" w:rsidRPr="00037AD4" w:rsidRDefault="00B54D51" w:rsidP="0078211D">
            <w:pPr>
              <w:rPr>
                <w:rFonts w:asciiTheme="minorHAnsi" w:hAnsiTheme="minorHAnsi" w:cstheme="minorHAnsi"/>
              </w:rPr>
            </w:pPr>
            <w:r w:rsidRPr="00037AD4">
              <w:rPr>
                <w:rFonts w:asciiTheme="minorHAnsi" w:hAnsiTheme="minorHAnsi" w:cstheme="minorHAnsi"/>
              </w:rPr>
              <w:t>Ph</w:t>
            </w:r>
          </w:p>
        </w:tc>
        <w:tc>
          <w:tcPr>
            <w:tcW w:w="2104" w:type="dxa"/>
          </w:tcPr>
          <w:p w14:paraId="104A4F2F" w14:textId="77777777" w:rsidR="00B54D51" w:rsidRPr="00037AD4" w:rsidRDefault="00B54D51" w:rsidP="0078211D">
            <w:pPr>
              <w:rPr>
                <w:rFonts w:asciiTheme="minorHAnsi" w:hAnsiTheme="minorHAnsi" w:cstheme="minorHAnsi"/>
              </w:rPr>
            </w:pPr>
            <w:r w:rsidRPr="00037AD4">
              <w:rPr>
                <w:rFonts w:asciiTheme="minorHAnsi" w:hAnsiTheme="minorHAnsi" w:cstheme="minorHAnsi"/>
              </w:rPr>
              <w:t>Cognition, function</w:t>
            </w:r>
          </w:p>
        </w:tc>
        <w:tc>
          <w:tcPr>
            <w:tcW w:w="1217" w:type="dxa"/>
          </w:tcPr>
          <w:p w14:paraId="0DCC76E0" w14:textId="77777777" w:rsidR="00B54D51" w:rsidRPr="00037AD4" w:rsidRDefault="00B54D51" w:rsidP="0078211D">
            <w:pPr>
              <w:rPr>
                <w:rFonts w:asciiTheme="minorHAnsi" w:hAnsiTheme="minorHAnsi" w:cstheme="minorHAnsi"/>
              </w:rPr>
            </w:pPr>
            <w:r w:rsidRPr="00037AD4">
              <w:rPr>
                <w:rFonts w:ascii="Segoe UI Symbol" w:hAnsi="Segoe UI Symbol" w:cs="Segoe UI Symbol"/>
                <w:color w:val="040C28"/>
              </w:rPr>
              <w:t>✓</w:t>
            </w:r>
          </w:p>
        </w:tc>
        <w:tc>
          <w:tcPr>
            <w:tcW w:w="1341" w:type="dxa"/>
          </w:tcPr>
          <w:p w14:paraId="77F916B6" w14:textId="77777777" w:rsidR="00B54D51" w:rsidRPr="00037AD4" w:rsidRDefault="00B54D51" w:rsidP="0078211D">
            <w:pPr>
              <w:rPr>
                <w:rFonts w:asciiTheme="minorHAnsi" w:hAnsiTheme="minorHAnsi" w:cstheme="minorHAnsi"/>
              </w:rPr>
            </w:pPr>
            <w:r w:rsidRPr="00037AD4">
              <w:rPr>
                <w:rFonts w:asciiTheme="minorHAnsi" w:hAnsiTheme="minorHAnsi" w:cstheme="minorHAnsi"/>
                <w:color w:val="202124"/>
                <w:shd w:val="clear" w:color="auto" w:fill="FFFFFF"/>
              </w:rPr>
              <w:t>×</w:t>
            </w:r>
          </w:p>
        </w:tc>
      </w:tr>
      <w:tr w:rsidR="00B54D51" w:rsidRPr="00037AD4" w14:paraId="3D63E304" w14:textId="77777777" w:rsidTr="0078211D">
        <w:tc>
          <w:tcPr>
            <w:tcW w:w="1424" w:type="dxa"/>
          </w:tcPr>
          <w:p w14:paraId="7142D9BF" w14:textId="77777777" w:rsidR="00B54D51" w:rsidRPr="00037AD4" w:rsidRDefault="00B54D51" w:rsidP="0078211D">
            <w:pPr>
              <w:rPr>
                <w:rFonts w:asciiTheme="minorHAnsi" w:hAnsiTheme="minorHAnsi" w:cstheme="minorHAnsi"/>
              </w:rPr>
            </w:pPr>
            <w:r w:rsidRPr="00037AD4">
              <w:rPr>
                <w:rFonts w:asciiTheme="minorHAnsi" w:hAnsiTheme="minorHAnsi" w:cstheme="minorHAnsi"/>
              </w:rPr>
              <w:t>DPACT</w:t>
            </w:r>
          </w:p>
        </w:tc>
        <w:tc>
          <w:tcPr>
            <w:tcW w:w="1401" w:type="dxa"/>
          </w:tcPr>
          <w:p w14:paraId="2CA87903" w14:textId="77777777" w:rsidR="00B54D51" w:rsidRPr="00037AD4" w:rsidRDefault="00B54D51" w:rsidP="0078211D">
            <w:pPr>
              <w:rPr>
                <w:rFonts w:asciiTheme="minorHAnsi" w:hAnsiTheme="minorHAnsi" w:cstheme="minorHAnsi"/>
              </w:rPr>
            </w:pPr>
            <w:r w:rsidRPr="00037AD4">
              <w:rPr>
                <w:rFonts w:ascii="Segoe UI Symbol" w:hAnsi="Segoe UI Symbol" w:cs="Segoe UI Symbol"/>
                <w:color w:val="040C28"/>
              </w:rPr>
              <w:t>✓</w:t>
            </w:r>
          </w:p>
        </w:tc>
        <w:tc>
          <w:tcPr>
            <w:tcW w:w="1529" w:type="dxa"/>
          </w:tcPr>
          <w:p w14:paraId="56372F0C" w14:textId="77777777" w:rsidR="00B54D51" w:rsidRPr="00037AD4" w:rsidRDefault="00B54D51" w:rsidP="0078211D">
            <w:pPr>
              <w:rPr>
                <w:rFonts w:asciiTheme="minorHAnsi" w:hAnsiTheme="minorHAnsi" w:cstheme="minorHAnsi"/>
              </w:rPr>
            </w:pPr>
            <w:r w:rsidRPr="00037AD4">
              <w:rPr>
                <w:rFonts w:asciiTheme="minorHAnsi" w:hAnsiTheme="minorHAnsi" w:cstheme="minorHAnsi"/>
              </w:rPr>
              <w:t>N-Ph</w:t>
            </w:r>
          </w:p>
        </w:tc>
        <w:tc>
          <w:tcPr>
            <w:tcW w:w="2104" w:type="dxa"/>
          </w:tcPr>
          <w:p w14:paraId="1E14B9BA" w14:textId="77777777" w:rsidR="00B54D51" w:rsidRPr="00037AD4" w:rsidRDefault="00B54D51" w:rsidP="0078211D">
            <w:pPr>
              <w:rPr>
                <w:rFonts w:asciiTheme="minorHAnsi" w:hAnsiTheme="minorHAnsi" w:cstheme="minorHAnsi"/>
              </w:rPr>
            </w:pPr>
            <w:r w:rsidRPr="00037AD4">
              <w:rPr>
                <w:rFonts w:asciiTheme="minorHAnsi" w:hAnsiTheme="minorHAnsi" w:cstheme="minorHAnsi"/>
              </w:rPr>
              <w:t xml:space="preserve">HRQoL, function, behaviour/mood </w:t>
            </w:r>
          </w:p>
        </w:tc>
        <w:tc>
          <w:tcPr>
            <w:tcW w:w="1217" w:type="dxa"/>
          </w:tcPr>
          <w:p w14:paraId="1C25CA4C" w14:textId="77777777" w:rsidR="00B54D51" w:rsidRPr="00037AD4" w:rsidRDefault="00B54D51" w:rsidP="0078211D">
            <w:pPr>
              <w:rPr>
                <w:rFonts w:asciiTheme="minorHAnsi" w:hAnsiTheme="minorHAnsi" w:cstheme="minorHAnsi"/>
              </w:rPr>
            </w:pPr>
            <w:r w:rsidRPr="00037AD4">
              <w:rPr>
                <w:rFonts w:ascii="Segoe UI Symbol" w:hAnsi="Segoe UI Symbol" w:cs="Segoe UI Symbol"/>
                <w:color w:val="040C28"/>
              </w:rPr>
              <w:t>✓</w:t>
            </w:r>
          </w:p>
        </w:tc>
        <w:tc>
          <w:tcPr>
            <w:tcW w:w="1341" w:type="dxa"/>
          </w:tcPr>
          <w:p w14:paraId="70CE8226" w14:textId="77777777" w:rsidR="00B54D51" w:rsidRPr="00037AD4" w:rsidRDefault="00B54D51" w:rsidP="0078211D">
            <w:pPr>
              <w:rPr>
                <w:rFonts w:asciiTheme="minorHAnsi" w:hAnsiTheme="minorHAnsi" w:cstheme="minorHAnsi"/>
              </w:rPr>
            </w:pPr>
            <w:r w:rsidRPr="00037AD4">
              <w:rPr>
                <w:rFonts w:ascii="Segoe UI Symbol" w:hAnsi="Segoe UI Symbol" w:cs="Segoe UI Symbol"/>
                <w:color w:val="040C28"/>
              </w:rPr>
              <w:t>✓</w:t>
            </w:r>
          </w:p>
        </w:tc>
      </w:tr>
      <w:tr w:rsidR="00B54D51" w:rsidRPr="00037AD4" w14:paraId="57B2D8F3" w14:textId="77777777" w:rsidTr="0078211D">
        <w:tc>
          <w:tcPr>
            <w:tcW w:w="1424" w:type="dxa"/>
          </w:tcPr>
          <w:p w14:paraId="3C08E9FE" w14:textId="77777777" w:rsidR="00B54D51" w:rsidRPr="00037AD4" w:rsidRDefault="00B54D51" w:rsidP="0078211D">
            <w:pPr>
              <w:rPr>
                <w:rFonts w:asciiTheme="minorHAnsi" w:hAnsiTheme="minorHAnsi" w:cstheme="minorHAnsi"/>
              </w:rPr>
            </w:pPr>
            <w:r w:rsidRPr="00037AD4">
              <w:rPr>
                <w:rFonts w:asciiTheme="minorHAnsi" w:hAnsiTheme="minorHAnsi" w:cstheme="minorHAnsi"/>
              </w:rPr>
              <w:t>DREAMS-START</w:t>
            </w:r>
          </w:p>
        </w:tc>
        <w:tc>
          <w:tcPr>
            <w:tcW w:w="1401" w:type="dxa"/>
          </w:tcPr>
          <w:p w14:paraId="3D059170" w14:textId="77777777" w:rsidR="00B54D51" w:rsidRPr="00037AD4" w:rsidRDefault="00B54D51" w:rsidP="0078211D">
            <w:pPr>
              <w:rPr>
                <w:rFonts w:asciiTheme="minorHAnsi" w:hAnsiTheme="minorHAnsi" w:cstheme="minorHAnsi"/>
              </w:rPr>
            </w:pPr>
            <w:r w:rsidRPr="00037AD4">
              <w:rPr>
                <w:rFonts w:asciiTheme="minorHAnsi" w:hAnsiTheme="minorHAnsi" w:cstheme="minorHAnsi"/>
                <w:color w:val="202124"/>
                <w:shd w:val="clear" w:color="auto" w:fill="FFFFFF"/>
              </w:rPr>
              <w:t>×</w:t>
            </w:r>
          </w:p>
        </w:tc>
        <w:tc>
          <w:tcPr>
            <w:tcW w:w="1529" w:type="dxa"/>
          </w:tcPr>
          <w:p w14:paraId="19A93933" w14:textId="77777777" w:rsidR="00B54D51" w:rsidRPr="00037AD4" w:rsidRDefault="00B54D51" w:rsidP="0078211D">
            <w:pPr>
              <w:rPr>
                <w:rFonts w:asciiTheme="minorHAnsi" w:hAnsiTheme="minorHAnsi" w:cstheme="minorHAnsi"/>
              </w:rPr>
            </w:pPr>
            <w:r w:rsidRPr="00037AD4">
              <w:rPr>
                <w:rFonts w:asciiTheme="minorHAnsi" w:hAnsiTheme="minorHAnsi" w:cstheme="minorHAnsi"/>
              </w:rPr>
              <w:t>N-Ph</w:t>
            </w:r>
          </w:p>
        </w:tc>
        <w:tc>
          <w:tcPr>
            <w:tcW w:w="2104" w:type="dxa"/>
          </w:tcPr>
          <w:p w14:paraId="0C042642" w14:textId="77777777" w:rsidR="00B54D51" w:rsidRPr="00037AD4" w:rsidRDefault="00B54D51" w:rsidP="0078211D">
            <w:pPr>
              <w:rPr>
                <w:rFonts w:asciiTheme="minorHAnsi" w:hAnsiTheme="minorHAnsi" w:cstheme="minorHAnsi"/>
              </w:rPr>
            </w:pPr>
            <w:r w:rsidRPr="00037AD4">
              <w:rPr>
                <w:rFonts w:asciiTheme="minorHAnsi" w:hAnsiTheme="minorHAnsi" w:cstheme="minorHAnsi"/>
              </w:rPr>
              <w:t xml:space="preserve">Sleep quality </w:t>
            </w:r>
          </w:p>
        </w:tc>
        <w:tc>
          <w:tcPr>
            <w:tcW w:w="1217" w:type="dxa"/>
          </w:tcPr>
          <w:p w14:paraId="163C6575" w14:textId="77777777" w:rsidR="00B54D51" w:rsidRPr="00037AD4" w:rsidRDefault="00B54D51" w:rsidP="0078211D">
            <w:pPr>
              <w:rPr>
                <w:rFonts w:asciiTheme="minorHAnsi" w:hAnsiTheme="minorHAnsi" w:cstheme="minorHAnsi"/>
              </w:rPr>
            </w:pPr>
            <w:r w:rsidRPr="00037AD4">
              <w:rPr>
                <w:rFonts w:ascii="Segoe UI Symbol" w:hAnsi="Segoe UI Symbol" w:cs="Segoe UI Symbol"/>
                <w:color w:val="040C28"/>
              </w:rPr>
              <w:t>✓</w:t>
            </w:r>
          </w:p>
        </w:tc>
        <w:tc>
          <w:tcPr>
            <w:tcW w:w="1341" w:type="dxa"/>
          </w:tcPr>
          <w:p w14:paraId="260CE4D0" w14:textId="77777777" w:rsidR="00B54D51" w:rsidRPr="00037AD4" w:rsidRDefault="00B54D51" w:rsidP="0078211D">
            <w:pPr>
              <w:rPr>
                <w:rFonts w:asciiTheme="minorHAnsi" w:hAnsiTheme="minorHAnsi" w:cstheme="minorHAnsi"/>
              </w:rPr>
            </w:pPr>
            <w:r w:rsidRPr="00037AD4">
              <w:rPr>
                <w:rFonts w:asciiTheme="minorHAnsi" w:hAnsiTheme="minorHAnsi" w:cstheme="minorHAnsi"/>
                <w:color w:val="202124"/>
                <w:shd w:val="clear" w:color="auto" w:fill="FFFFFF"/>
              </w:rPr>
              <w:t>×</w:t>
            </w:r>
          </w:p>
        </w:tc>
      </w:tr>
      <w:tr w:rsidR="00B54D51" w:rsidRPr="00037AD4" w14:paraId="2158EC91" w14:textId="77777777" w:rsidTr="0078211D">
        <w:tc>
          <w:tcPr>
            <w:tcW w:w="1424" w:type="dxa"/>
          </w:tcPr>
          <w:p w14:paraId="0339D6DF" w14:textId="77777777" w:rsidR="00B54D51" w:rsidRPr="00037AD4" w:rsidRDefault="00B54D51" w:rsidP="0078211D">
            <w:pPr>
              <w:rPr>
                <w:rFonts w:asciiTheme="minorHAnsi" w:hAnsiTheme="minorHAnsi" w:cstheme="minorHAnsi"/>
              </w:rPr>
            </w:pPr>
            <w:r w:rsidRPr="00037AD4">
              <w:rPr>
                <w:rFonts w:asciiTheme="minorHAnsi" w:hAnsiTheme="minorHAnsi" w:cstheme="minorHAnsi"/>
              </w:rPr>
              <w:t>EVIDEM-E</w:t>
            </w:r>
          </w:p>
        </w:tc>
        <w:tc>
          <w:tcPr>
            <w:tcW w:w="1401" w:type="dxa"/>
          </w:tcPr>
          <w:p w14:paraId="5CF4CE66" w14:textId="77777777" w:rsidR="00B54D51" w:rsidRPr="00037AD4" w:rsidRDefault="00B54D51" w:rsidP="0078211D">
            <w:pPr>
              <w:rPr>
                <w:rFonts w:asciiTheme="minorHAnsi" w:hAnsiTheme="minorHAnsi" w:cstheme="minorHAnsi"/>
              </w:rPr>
            </w:pPr>
            <w:r w:rsidRPr="00037AD4">
              <w:rPr>
                <w:rFonts w:ascii="Segoe UI Symbol" w:hAnsi="Segoe UI Symbol" w:cs="Segoe UI Symbol"/>
                <w:color w:val="040C28"/>
              </w:rPr>
              <w:t>✓</w:t>
            </w:r>
          </w:p>
        </w:tc>
        <w:tc>
          <w:tcPr>
            <w:tcW w:w="1529" w:type="dxa"/>
          </w:tcPr>
          <w:p w14:paraId="369F1166" w14:textId="77777777" w:rsidR="00B54D51" w:rsidRPr="00037AD4" w:rsidRDefault="00B54D51" w:rsidP="0078211D">
            <w:pPr>
              <w:rPr>
                <w:rFonts w:asciiTheme="minorHAnsi" w:hAnsiTheme="minorHAnsi" w:cstheme="minorHAnsi"/>
              </w:rPr>
            </w:pPr>
            <w:r w:rsidRPr="00037AD4">
              <w:rPr>
                <w:rFonts w:asciiTheme="minorHAnsi" w:hAnsiTheme="minorHAnsi" w:cstheme="minorHAnsi"/>
              </w:rPr>
              <w:t>N-Ph</w:t>
            </w:r>
          </w:p>
        </w:tc>
        <w:tc>
          <w:tcPr>
            <w:tcW w:w="2104" w:type="dxa"/>
          </w:tcPr>
          <w:p w14:paraId="0F6B4794" w14:textId="77777777" w:rsidR="00B54D51" w:rsidRPr="00037AD4" w:rsidRDefault="00B54D51" w:rsidP="0078211D">
            <w:pPr>
              <w:rPr>
                <w:rFonts w:asciiTheme="minorHAnsi" w:hAnsiTheme="minorHAnsi" w:cstheme="minorHAnsi"/>
              </w:rPr>
            </w:pPr>
            <w:r w:rsidRPr="00037AD4">
              <w:rPr>
                <w:rFonts w:asciiTheme="minorHAnsi" w:hAnsiTheme="minorHAnsi" w:cstheme="minorHAnsi"/>
              </w:rPr>
              <w:t>Behaviour/mood</w:t>
            </w:r>
          </w:p>
        </w:tc>
        <w:tc>
          <w:tcPr>
            <w:tcW w:w="1217" w:type="dxa"/>
          </w:tcPr>
          <w:p w14:paraId="21A5C438" w14:textId="77777777" w:rsidR="00B54D51" w:rsidRPr="00037AD4" w:rsidRDefault="00B54D51" w:rsidP="0078211D">
            <w:pPr>
              <w:rPr>
                <w:rFonts w:asciiTheme="minorHAnsi" w:hAnsiTheme="minorHAnsi" w:cstheme="minorHAnsi"/>
              </w:rPr>
            </w:pPr>
            <w:r w:rsidRPr="00037AD4">
              <w:rPr>
                <w:rFonts w:ascii="Segoe UI Symbol" w:hAnsi="Segoe UI Symbol" w:cs="Segoe UI Symbol"/>
                <w:color w:val="040C28"/>
              </w:rPr>
              <w:t>✓</w:t>
            </w:r>
          </w:p>
        </w:tc>
        <w:tc>
          <w:tcPr>
            <w:tcW w:w="1341" w:type="dxa"/>
          </w:tcPr>
          <w:p w14:paraId="6F656ECF" w14:textId="77777777" w:rsidR="00B54D51" w:rsidRPr="00037AD4" w:rsidRDefault="00B54D51" w:rsidP="0078211D">
            <w:pPr>
              <w:rPr>
                <w:rFonts w:asciiTheme="minorHAnsi" w:hAnsiTheme="minorHAnsi" w:cstheme="minorHAnsi"/>
              </w:rPr>
            </w:pPr>
            <w:r w:rsidRPr="00037AD4">
              <w:rPr>
                <w:rFonts w:asciiTheme="minorHAnsi" w:hAnsiTheme="minorHAnsi" w:cstheme="minorHAnsi"/>
                <w:color w:val="202124"/>
                <w:shd w:val="clear" w:color="auto" w:fill="FFFFFF"/>
              </w:rPr>
              <w:t>×</w:t>
            </w:r>
          </w:p>
        </w:tc>
      </w:tr>
      <w:tr w:rsidR="00B54D51" w:rsidRPr="00037AD4" w14:paraId="01A24A67" w14:textId="77777777" w:rsidTr="0078211D">
        <w:tc>
          <w:tcPr>
            <w:tcW w:w="1424" w:type="dxa"/>
          </w:tcPr>
          <w:p w14:paraId="6B7849C5" w14:textId="77777777" w:rsidR="00B54D51" w:rsidRPr="00037AD4" w:rsidRDefault="00B54D51" w:rsidP="0078211D">
            <w:pPr>
              <w:rPr>
                <w:rFonts w:asciiTheme="minorHAnsi" w:hAnsiTheme="minorHAnsi" w:cstheme="minorHAnsi"/>
              </w:rPr>
            </w:pPr>
            <w:r w:rsidRPr="00037AD4">
              <w:rPr>
                <w:rFonts w:asciiTheme="minorHAnsi" w:hAnsiTheme="minorHAnsi" w:cstheme="minorHAnsi"/>
              </w:rPr>
              <w:t>EVIDEM-ED</w:t>
            </w:r>
          </w:p>
        </w:tc>
        <w:tc>
          <w:tcPr>
            <w:tcW w:w="1401" w:type="dxa"/>
          </w:tcPr>
          <w:p w14:paraId="00B2F545" w14:textId="77777777" w:rsidR="00B54D51" w:rsidRPr="00037AD4" w:rsidRDefault="00B54D51" w:rsidP="0078211D">
            <w:pPr>
              <w:rPr>
                <w:rFonts w:asciiTheme="minorHAnsi" w:hAnsiTheme="minorHAnsi" w:cstheme="minorHAnsi"/>
              </w:rPr>
            </w:pPr>
            <w:r w:rsidRPr="00037AD4">
              <w:rPr>
                <w:rFonts w:ascii="Segoe UI Symbol" w:hAnsi="Segoe UI Symbol" w:cs="Segoe UI Symbol"/>
                <w:color w:val="040C28"/>
              </w:rPr>
              <w:t>✓</w:t>
            </w:r>
          </w:p>
        </w:tc>
        <w:tc>
          <w:tcPr>
            <w:tcW w:w="1529" w:type="dxa"/>
          </w:tcPr>
          <w:p w14:paraId="6C77FE5A" w14:textId="77777777" w:rsidR="00B54D51" w:rsidRPr="00037AD4" w:rsidRDefault="00B54D51" w:rsidP="0078211D">
            <w:pPr>
              <w:rPr>
                <w:rFonts w:asciiTheme="minorHAnsi" w:hAnsiTheme="minorHAnsi" w:cstheme="minorHAnsi"/>
              </w:rPr>
            </w:pPr>
            <w:r w:rsidRPr="00037AD4">
              <w:rPr>
                <w:rFonts w:asciiTheme="minorHAnsi" w:hAnsiTheme="minorHAnsi" w:cstheme="minorHAnsi"/>
              </w:rPr>
              <w:t>N-Ph</w:t>
            </w:r>
          </w:p>
        </w:tc>
        <w:tc>
          <w:tcPr>
            <w:tcW w:w="2104" w:type="dxa"/>
          </w:tcPr>
          <w:p w14:paraId="5265BBEE" w14:textId="77777777" w:rsidR="00B54D51" w:rsidRPr="00037AD4" w:rsidRDefault="00B54D51" w:rsidP="0078211D">
            <w:pPr>
              <w:rPr>
                <w:rFonts w:asciiTheme="minorHAnsi" w:hAnsiTheme="minorHAnsi" w:cstheme="minorHAnsi"/>
              </w:rPr>
            </w:pPr>
            <w:r w:rsidRPr="00037AD4">
              <w:rPr>
                <w:rFonts w:asciiTheme="minorHAnsi" w:hAnsiTheme="minorHAnsi" w:cstheme="minorHAnsi"/>
              </w:rPr>
              <w:t>Counts of reviews</w:t>
            </w:r>
          </w:p>
        </w:tc>
        <w:tc>
          <w:tcPr>
            <w:tcW w:w="1217" w:type="dxa"/>
          </w:tcPr>
          <w:p w14:paraId="23E77ACB" w14:textId="77777777" w:rsidR="00B54D51" w:rsidRPr="00037AD4" w:rsidRDefault="00B54D51" w:rsidP="0078211D">
            <w:pPr>
              <w:rPr>
                <w:rFonts w:asciiTheme="minorHAnsi" w:hAnsiTheme="minorHAnsi" w:cstheme="minorHAnsi"/>
              </w:rPr>
            </w:pPr>
            <w:r w:rsidRPr="00037AD4">
              <w:rPr>
                <w:rFonts w:ascii="Segoe UI Symbol" w:hAnsi="Segoe UI Symbol" w:cs="Segoe UI Symbol"/>
                <w:color w:val="040C28"/>
              </w:rPr>
              <w:t>✓</w:t>
            </w:r>
          </w:p>
        </w:tc>
        <w:tc>
          <w:tcPr>
            <w:tcW w:w="1341" w:type="dxa"/>
          </w:tcPr>
          <w:p w14:paraId="025E95B7" w14:textId="77777777" w:rsidR="00B54D51" w:rsidRPr="00037AD4" w:rsidRDefault="00B54D51" w:rsidP="0078211D">
            <w:pPr>
              <w:rPr>
                <w:rFonts w:asciiTheme="minorHAnsi" w:hAnsiTheme="minorHAnsi" w:cstheme="minorHAnsi"/>
              </w:rPr>
            </w:pPr>
            <w:r w:rsidRPr="00037AD4">
              <w:rPr>
                <w:rFonts w:asciiTheme="minorHAnsi" w:hAnsiTheme="minorHAnsi" w:cstheme="minorHAnsi"/>
                <w:color w:val="202124"/>
                <w:shd w:val="clear" w:color="auto" w:fill="FFFFFF"/>
              </w:rPr>
              <w:t>×</w:t>
            </w:r>
          </w:p>
        </w:tc>
      </w:tr>
      <w:tr w:rsidR="00B54D51" w:rsidRPr="00037AD4" w14:paraId="34D7D17B" w14:textId="77777777" w:rsidTr="0078211D">
        <w:tc>
          <w:tcPr>
            <w:tcW w:w="1424" w:type="dxa"/>
          </w:tcPr>
          <w:p w14:paraId="4A0CF862" w14:textId="77777777" w:rsidR="00B54D51" w:rsidRPr="00037AD4" w:rsidRDefault="00B54D51" w:rsidP="0078211D">
            <w:pPr>
              <w:rPr>
                <w:rFonts w:asciiTheme="minorHAnsi" w:hAnsiTheme="minorHAnsi" w:cstheme="minorHAnsi"/>
              </w:rPr>
            </w:pPr>
            <w:r w:rsidRPr="00037AD4">
              <w:rPr>
                <w:rFonts w:asciiTheme="minorHAnsi" w:hAnsiTheme="minorHAnsi" w:cstheme="minorHAnsi"/>
              </w:rPr>
              <w:t>GREAT</w:t>
            </w:r>
          </w:p>
        </w:tc>
        <w:tc>
          <w:tcPr>
            <w:tcW w:w="1401" w:type="dxa"/>
          </w:tcPr>
          <w:p w14:paraId="6EA1A375" w14:textId="77777777" w:rsidR="00B54D51" w:rsidRPr="00037AD4" w:rsidRDefault="00B54D51" w:rsidP="0078211D">
            <w:pPr>
              <w:rPr>
                <w:rFonts w:asciiTheme="minorHAnsi" w:hAnsiTheme="minorHAnsi" w:cstheme="minorHAnsi"/>
              </w:rPr>
            </w:pPr>
            <w:r w:rsidRPr="00037AD4">
              <w:rPr>
                <w:rFonts w:ascii="Segoe UI Symbol" w:hAnsi="Segoe UI Symbol" w:cs="Segoe UI Symbol"/>
                <w:color w:val="040C28"/>
              </w:rPr>
              <w:t>✓</w:t>
            </w:r>
          </w:p>
        </w:tc>
        <w:tc>
          <w:tcPr>
            <w:tcW w:w="1529" w:type="dxa"/>
          </w:tcPr>
          <w:p w14:paraId="4A08A0C3" w14:textId="77777777" w:rsidR="00B54D51" w:rsidRPr="00037AD4" w:rsidRDefault="00B54D51" w:rsidP="0078211D">
            <w:pPr>
              <w:rPr>
                <w:rFonts w:asciiTheme="minorHAnsi" w:hAnsiTheme="minorHAnsi" w:cstheme="minorHAnsi"/>
              </w:rPr>
            </w:pPr>
            <w:r w:rsidRPr="00037AD4">
              <w:rPr>
                <w:rFonts w:asciiTheme="minorHAnsi" w:hAnsiTheme="minorHAnsi" w:cstheme="minorHAnsi"/>
              </w:rPr>
              <w:t>N-Ph</w:t>
            </w:r>
          </w:p>
        </w:tc>
        <w:tc>
          <w:tcPr>
            <w:tcW w:w="2104" w:type="dxa"/>
          </w:tcPr>
          <w:p w14:paraId="480C29FD" w14:textId="77777777" w:rsidR="00B54D51" w:rsidRPr="00037AD4" w:rsidRDefault="00B54D51" w:rsidP="0078211D">
            <w:pPr>
              <w:rPr>
                <w:rFonts w:asciiTheme="minorHAnsi" w:hAnsiTheme="minorHAnsi" w:cstheme="minorHAnsi"/>
              </w:rPr>
            </w:pPr>
            <w:r w:rsidRPr="00037AD4">
              <w:rPr>
                <w:rFonts w:asciiTheme="minorHAnsi" w:hAnsiTheme="minorHAnsi" w:cstheme="minorHAnsi"/>
              </w:rPr>
              <w:t xml:space="preserve">Goal setting </w:t>
            </w:r>
          </w:p>
        </w:tc>
        <w:tc>
          <w:tcPr>
            <w:tcW w:w="1217" w:type="dxa"/>
          </w:tcPr>
          <w:p w14:paraId="15B39DE3" w14:textId="77777777" w:rsidR="00B54D51" w:rsidRPr="00037AD4" w:rsidRDefault="00B54D51" w:rsidP="0078211D">
            <w:pPr>
              <w:rPr>
                <w:rFonts w:asciiTheme="minorHAnsi" w:hAnsiTheme="minorHAnsi" w:cstheme="minorHAnsi"/>
              </w:rPr>
            </w:pPr>
            <w:r w:rsidRPr="00037AD4">
              <w:rPr>
                <w:rFonts w:ascii="Segoe UI Symbol" w:hAnsi="Segoe UI Symbol" w:cs="Segoe UI Symbol"/>
                <w:color w:val="040C28"/>
              </w:rPr>
              <w:t>✓</w:t>
            </w:r>
          </w:p>
        </w:tc>
        <w:tc>
          <w:tcPr>
            <w:tcW w:w="1341" w:type="dxa"/>
          </w:tcPr>
          <w:p w14:paraId="26BCD22D" w14:textId="77777777" w:rsidR="00B54D51" w:rsidRPr="00037AD4" w:rsidRDefault="00B54D51" w:rsidP="0078211D">
            <w:pPr>
              <w:rPr>
                <w:rFonts w:asciiTheme="minorHAnsi" w:hAnsiTheme="minorHAnsi" w:cstheme="minorHAnsi"/>
              </w:rPr>
            </w:pPr>
            <w:r w:rsidRPr="00037AD4">
              <w:rPr>
                <w:rFonts w:asciiTheme="minorHAnsi" w:hAnsiTheme="minorHAnsi" w:cstheme="minorHAnsi"/>
                <w:color w:val="202124"/>
                <w:shd w:val="clear" w:color="auto" w:fill="FFFFFF"/>
              </w:rPr>
              <w:t>×</w:t>
            </w:r>
          </w:p>
        </w:tc>
      </w:tr>
      <w:tr w:rsidR="00B54D51" w:rsidRPr="00037AD4" w14:paraId="33CAE97E" w14:textId="77777777" w:rsidTr="0078211D">
        <w:tc>
          <w:tcPr>
            <w:tcW w:w="1424" w:type="dxa"/>
          </w:tcPr>
          <w:p w14:paraId="568C19F3" w14:textId="77777777" w:rsidR="00B54D51" w:rsidRPr="00037AD4" w:rsidRDefault="00B54D51" w:rsidP="0078211D">
            <w:pPr>
              <w:rPr>
                <w:rFonts w:asciiTheme="minorHAnsi" w:hAnsiTheme="minorHAnsi" w:cstheme="minorHAnsi"/>
              </w:rPr>
            </w:pPr>
            <w:r w:rsidRPr="00037AD4">
              <w:rPr>
                <w:rFonts w:asciiTheme="minorHAnsi" w:hAnsiTheme="minorHAnsi" w:cstheme="minorHAnsi"/>
              </w:rPr>
              <w:t>HTA-SADD</w:t>
            </w:r>
          </w:p>
        </w:tc>
        <w:tc>
          <w:tcPr>
            <w:tcW w:w="1401" w:type="dxa"/>
          </w:tcPr>
          <w:p w14:paraId="57CC56F1" w14:textId="77777777" w:rsidR="00B54D51" w:rsidRPr="00037AD4" w:rsidRDefault="00B54D51" w:rsidP="0078211D">
            <w:pPr>
              <w:rPr>
                <w:rFonts w:asciiTheme="minorHAnsi" w:hAnsiTheme="minorHAnsi" w:cstheme="minorHAnsi"/>
              </w:rPr>
            </w:pPr>
            <w:r w:rsidRPr="00037AD4">
              <w:rPr>
                <w:rFonts w:ascii="Segoe UI Symbol" w:hAnsi="Segoe UI Symbol" w:cs="Segoe UI Symbol"/>
                <w:color w:val="040C28"/>
              </w:rPr>
              <w:t>✓</w:t>
            </w:r>
          </w:p>
        </w:tc>
        <w:tc>
          <w:tcPr>
            <w:tcW w:w="1529" w:type="dxa"/>
          </w:tcPr>
          <w:p w14:paraId="55304952" w14:textId="77777777" w:rsidR="00B54D51" w:rsidRPr="00037AD4" w:rsidRDefault="00B54D51" w:rsidP="0078211D">
            <w:pPr>
              <w:rPr>
                <w:rFonts w:asciiTheme="minorHAnsi" w:hAnsiTheme="minorHAnsi" w:cstheme="minorHAnsi"/>
              </w:rPr>
            </w:pPr>
            <w:r w:rsidRPr="00037AD4">
              <w:rPr>
                <w:rFonts w:asciiTheme="minorHAnsi" w:hAnsiTheme="minorHAnsi" w:cstheme="minorHAnsi"/>
              </w:rPr>
              <w:t>Ph</w:t>
            </w:r>
          </w:p>
        </w:tc>
        <w:tc>
          <w:tcPr>
            <w:tcW w:w="2104" w:type="dxa"/>
          </w:tcPr>
          <w:p w14:paraId="3879AC9A" w14:textId="77777777" w:rsidR="00B54D51" w:rsidRPr="00037AD4" w:rsidRDefault="00B54D51" w:rsidP="0078211D">
            <w:pPr>
              <w:rPr>
                <w:rFonts w:asciiTheme="minorHAnsi" w:hAnsiTheme="minorHAnsi" w:cstheme="minorHAnsi"/>
              </w:rPr>
            </w:pPr>
            <w:r w:rsidRPr="00037AD4">
              <w:rPr>
                <w:rFonts w:asciiTheme="minorHAnsi" w:hAnsiTheme="minorHAnsi" w:cstheme="minorHAnsi"/>
              </w:rPr>
              <w:t>Behaviour/mood (depression), resource use</w:t>
            </w:r>
          </w:p>
        </w:tc>
        <w:tc>
          <w:tcPr>
            <w:tcW w:w="1217" w:type="dxa"/>
          </w:tcPr>
          <w:p w14:paraId="2EDF534F" w14:textId="77777777" w:rsidR="00B54D51" w:rsidRPr="00037AD4" w:rsidRDefault="00B54D51" w:rsidP="0078211D">
            <w:pPr>
              <w:rPr>
                <w:rFonts w:asciiTheme="minorHAnsi" w:hAnsiTheme="minorHAnsi" w:cstheme="minorHAnsi"/>
              </w:rPr>
            </w:pPr>
            <w:r w:rsidRPr="00037AD4">
              <w:rPr>
                <w:rFonts w:ascii="Segoe UI Symbol" w:hAnsi="Segoe UI Symbol" w:cs="Segoe UI Symbol"/>
                <w:color w:val="040C28"/>
              </w:rPr>
              <w:t>✓</w:t>
            </w:r>
          </w:p>
        </w:tc>
        <w:tc>
          <w:tcPr>
            <w:tcW w:w="1341" w:type="dxa"/>
          </w:tcPr>
          <w:p w14:paraId="488BBC7D" w14:textId="77777777" w:rsidR="00B54D51" w:rsidRPr="00037AD4" w:rsidRDefault="00B54D51" w:rsidP="0078211D">
            <w:pPr>
              <w:rPr>
                <w:rFonts w:asciiTheme="minorHAnsi" w:hAnsiTheme="minorHAnsi" w:cstheme="minorHAnsi"/>
              </w:rPr>
            </w:pPr>
            <w:r w:rsidRPr="00037AD4">
              <w:rPr>
                <w:rFonts w:ascii="Segoe UI Symbol" w:hAnsi="Segoe UI Symbol" w:cs="Segoe UI Symbol"/>
                <w:color w:val="040C28"/>
              </w:rPr>
              <w:t>✓</w:t>
            </w:r>
          </w:p>
        </w:tc>
      </w:tr>
      <w:tr w:rsidR="00B54D51" w:rsidRPr="00037AD4" w14:paraId="24B72F4A" w14:textId="77777777" w:rsidTr="0078211D">
        <w:tc>
          <w:tcPr>
            <w:tcW w:w="1424" w:type="dxa"/>
          </w:tcPr>
          <w:p w14:paraId="1BE07B00" w14:textId="5B24AE25" w:rsidR="00B54D51" w:rsidRPr="00037AD4" w:rsidRDefault="00B54D51" w:rsidP="00B54D51">
            <w:pPr>
              <w:rPr>
                <w:rFonts w:asciiTheme="minorHAnsi" w:hAnsiTheme="minorHAnsi" w:cstheme="minorHAnsi"/>
              </w:rPr>
            </w:pPr>
            <w:r w:rsidRPr="00037AD4">
              <w:rPr>
                <w:rFonts w:asciiTheme="minorHAnsi" w:hAnsiTheme="minorHAnsi" w:cstheme="minorHAnsi"/>
              </w:rPr>
              <w:lastRenderedPageBreak/>
              <w:t>Trial name</w:t>
            </w:r>
          </w:p>
        </w:tc>
        <w:tc>
          <w:tcPr>
            <w:tcW w:w="1401" w:type="dxa"/>
          </w:tcPr>
          <w:p w14:paraId="0DDB609B" w14:textId="29399E81" w:rsidR="00B54D51" w:rsidRPr="00037AD4" w:rsidRDefault="00B54D51" w:rsidP="00B54D51">
            <w:pPr>
              <w:rPr>
                <w:rFonts w:ascii="Segoe UI Symbol" w:hAnsi="Segoe UI Symbol" w:cs="Segoe UI Symbol"/>
                <w:color w:val="040C28"/>
              </w:rPr>
            </w:pPr>
            <w:r w:rsidRPr="00037AD4">
              <w:rPr>
                <w:rFonts w:asciiTheme="minorHAnsi" w:hAnsiTheme="minorHAnsi" w:cstheme="minorHAnsi"/>
              </w:rPr>
              <w:t>Is the trial complete?</w:t>
            </w:r>
          </w:p>
        </w:tc>
        <w:tc>
          <w:tcPr>
            <w:tcW w:w="1529" w:type="dxa"/>
          </w:tcPr>
          <w:p w14:paraId="3415D73A" w14:textId="22828545" w:rsidR="00B54D51" w:rsidRPr="00037AD4" w:rsidRDefault="00B54D51" w:rsidP="00B54D51">
            <w:pPr>
              <w:rPr>
                <w:rFonts w:asciiTheme="minorHAnsi" w:hAnsiTheme="minorHAnsi" w:cstheme="minorHAnsi"/>
              </w:rPr>
            </w:pPr>
            <w:r w:rsidRPr="00037AD4">
              <w:rPr>
                <w:rFonts w:asciiTheme="minorHAnsi" w:hAnsiTheme="minorHAnsi" w:cstheme="minorHAnsi"/>
              </w:rPr>
              <w:t>Intervention type</w:t>
            </w:r>
          </w:p>
        </w:tc>
        <w:tc>
          <w:tcPr>
            <w:tcW w:w="2104" w:type="dxa"/>
          </w:tcPr>
          <w:p w14:paraId="44EE9965" w14:textId="043F69B5" w:rsidR="00B54D51" w:rsidRPr="00037AD4" w:rsidRDefault="00B54D51" w:rsidP="00B54D51">
            <w:pPr>
              <w:rPr>
                <w:rFonts w:asciiTheme="minorHAnsi" w:hAnsiTheme="minorHAnsi" w:cstheme="minorHAnsi"/>
              </w:rPr>
            </w:pPr>
            <w:r w:rsidRPr="00037AD4">
              <w:rPr>
                <w:rFonts w:asciiTheme="minorHAnsi" w:hAnsiTheme="minorHAnsi" w:cstheme="minorHAnsi"/>
              </w:rPr>
              <w:t>Primary outcomes</w:t>
            </w:r>
          </w:p>
        </w:tc>
        <w:tc>
          <w:tcPr>
            <w:tcW w:w="1217" w:type="dxa"/>
          </w:tcPr>
          <w:p w14:paraId="107FA2EB" w14:textId="0FC6FCBB" w:rsidR="00B54D51" w:rsidRPr="00037AD4" w:rsidRDefault="00B54D51" w:rsidP="00B54D51">
            <w:pPr>
              <w:rPr>
                <w:rFonts w:ascii="Segoe UI Symbol" w:hAnsi="Segoe UI Symbol" w:cs="Segoe UI Symbol"/>
                <w:color w:val="040C28"/>
              </w:rPr>
            </w:pPr>
            <w:r w:rsidRPr="00037AD4">
              <w:rPr>
                <w:rFonts w:asciiTheme="minorHAnsi" w:hAnsiTheme="minorHAnsi" w:cstheme="minorHAnsi"/>
              </w:rPr>
              <w:t xml:space="preserve">HRQoL: primary or secondary outcome? </w:t>
            </w:r>
          </w:p>
        </w:tc>
        <w:tc>
          <w:tcPr>
            <w:tcW w:w="1341" w:type="dxa"/>
          </w:tcPr>
          <w:p w14:paraId="0B99C214" w14:textId="5FDA3958" w:rsidR="00B54D51" w:rsidRPr="00037AD4" w:rsidRDefault="00B54D51" w:rsidP="00B54D51">
            <w:pPr>
              <w:rPr>
                <w:rFonts w:asciiTheme="minorHAnsi" w:hAnsiTheme="minorHAnsi" w:cstheme="minorHAnsi"/>
                <w:color w:val="202124"/>
                <w:shd w:val="clear" w:color="auto" w:fill="FFFFFF"/>
              </w:rPr>
            </w:pPr>
            <w:r w:rsidRPr="00037AD4">
              <w:rPr>
                <w:rFonts w:asciiTheme="minorHAnsi" w:hAnsiTheme="minorHAnsi" w:cstheme="minorHAnsi"/>
              </w:rPr>
              <w:t>Measures both PwD and proxy HRQoL?</w:t>
            </w:r>
          </w:p>
        </w:tc>
      </w:tr>
      <w:tr w:rsidR="00B54D51" w:rsidRPr="00037AD4" w14:paraId="4AB2BF7E" w14:textId="77777777" w:rsidTr="0078211D">
        <w:tc>
          <w:tcPr>
            <w:tcW w:w="1424" w:type="dxa"/>
          </w:tcPr>
          <w:p w14:paraId="0A6C57B3" w14:textId="77777777" w:rsidR="00B54D51" w:rsidRPr="00037AD4" w:rsidRDefault="00B54D51" w:rsidP="00B54D51">
            <w:pPr>
              <w:rPr>
                <w:rFonts w:asciiTheme="minorHAnsi" w:hAnsiTheme="minorHAnsi" w:cstheme="minorHAnsi"/>
              </w:rPr>
            </w:pPr>
            <w:r w:rsidRPr="00037AD4">
              <w:rPr>
                <w:rFonts w:asciiTheme="minorHAnsi" w:hAnsiTheme="minorHAnsi" w:cstheme="minorHAnsi"/>
              </w:rPr>
              <w:t>iCST</w:t>
            </w:r>
          </w:p>
        </w:tc>
        <w:tc>
          <w:tcPr>
            <w:tcW w:w="1401" w:type="dxa"/>
          </w:tcPr>
          <w:p w14:paraId="796D2818" w14:textId="77777777" w:rsidR="00B54D51" w:rsidRPr="00037AD4" w:rsidRDefault="00B54D51" w:rsidP="00B54D51">
            <w:pPr>
              <w:rPr>
                <w:rFonts w:asciiTheme="minorHAnsi" w:hAnsiTheme="minorHAnsi" w:cstheme="minorHAnsi"/>
              </w:rPr>
            </w:pPr>
            <w:r w:rsidRPr="00037AD4">
              <w:rPr>
                <w:rFonts w:ascii="Segoe UI Symbol" w:hAnsi="Segoe UI Symbol" w:cs="Segoe UI Symbol"/>
                <w:color w:val="040C28"/>
              </w:rPr>
              <w:t>✓</w:t>
            </w:r>
          </w:p>
        </w:tc>
        <w:tc>
          <w:tcPr>
            <w:tcW w:w="1529" w:type="dxa"/>
          </w:tcPr>
          <w:p w14:paraId="6BA81827" w14:textId="77777777" w:rsidR="00B54D51" w:rsidRPr="00037AD4" w:rsidRDefault="00B54D51" w:rsidP="00B54D51">
            <w:pPr>
              <w:rPr>
                <w:rFonts w:asciiTheme="minorHAnsi" w:hAnsiTheme="minorHAnsi" w:cstheme="minorHAnsi"/>
              </w:rPr>
            </w:pPr>
            <w:r w:rsidRPr="00037AD4">
              <w:rPr>
                <w:rFonts w:asciiTheme="minorHAnsi" w:hAnsiTheme="minorHAnsi" w:cstheme="minorHAnsi"/>
              </w:rPr>
              <w:t>N-Ph</w:t>
            </w:r>
          </w:p>
        </w:tc>
        <w:tc>
          <w:tcPr>
            <w:tcW w:w="2104" w:type="dxa"/>
          </w:tcPr>
          <w:p w14:paraId="2AB37EB0" w14:textId="77777777" w:rsidR="00B54D51" w:rsidRPr="00037AD4" w:rsidRDefault="00B54D51" w:rsidP="00B54D51">
            <w:pPr>
              <w:rPr>
                <w:rFonts w:asciiTheme="minorHAnsi" w:hAnsiTheme="minorHAnsi" w:cstheme="minorHAnsi"/>
              </w:rPr>
            </w:pPr>
            <w:r w:rsidRPr="00037AD4">
              <w:rPr>
                <w:rFonts w:asciiTheme="minorHAnsi" w:hAnsiTheme="minorHAnsi" w:cstheme="minorHAnsi"/>
              </w:rPr>
              <w:t xml:space="preserve">Cognition </w:t>
            </w:r>
          </w:p>
        </w:tc>
        <w:tc>
          <w:tcPr>
            <w:tcW w:w="1217" w:type="dxa"/>
          </w:tcPr>
          <w:p w14:paraId="430FFCC8" w14:textId="77777777" w:rsidR="00B54D51" w:rsidRPr="00037AD4" w:rsidRDefault="00B54D51" w:rsidP="00B54D51">
            <w:pPr>
              <w:rPr>
                <w:rFonts w:asciiTheme="minorHAnsi" w:hAnsiTheme="minorHAnsi" w:cstheme="minorHAnsi"/>
              </w:rPr>
            </w:pPr>
            <w:r w:rsidRPr="00037AD4">
              <w:rPr>
                <w:rFonts w:ascii="Segoe UI Symbol" w:hAnsi="Segoe UI Symbol" w:cs="Segoe UI Symbol"/>
                <w:color w:val="040C28"/>
              </w:rPr>
              <w:t>✓</w:t>
            </w:r>
          </w:p>
        </w:tc>
        <w:tc>
          <w:tcPr>
            <w:tcW w:w="1341" w:type="dxa"/>
          </w:tcPr>
          <w:p w14:paraId="57614C23" w14:textId="77777777" w:rsidR="00B54D51" w:rsidRPr="00037AD4" w:rsidRDefault="00B54D51" w:rsidP="00B54D51">
            <w:pPr>
              <w:rPr>
                <w:rFonts w:asciiTheme="minorHAnsi" w:hAnsiTheme="minorHAnsi" w:cstheme="minorHAnsi"/>
              </w:rPr>
            </w:pPr>
            <w:r w:rsidRPr="00037AD4">
              <w:rPr>
                <w:rFonts w:asciiTheme="minorHAnsi" w:hAnsiTheme="minorHAnsi" w:cstheme="minorHAnsi"/>
                <w:color w:val="202124"/>
                <w:shd w:val="clear" w:color="auto" w:fill="FFFFFF"/>
              </w:rPr>
              <w:t>×</w:t>
            </w:r>
          </w:p>
        </w:tc>
      </w:tr>
      <w:tr w:rsidR="00B54D51" w:rsidRPr="00037AD4" w14:paraId="74416DD3" w14:textId="77777777" w:rsidTr="0078211D">
        <w:tc>
          <w:tcPr>
            <w:tcW w:w="1424" w:type="dxa"/>
          </w:tcPr>
          <w:p w14:paraId="46692A60" w14:textId="77777777" w:rsidR="00B54D51" w:rsidRPr="00037AD4" w:rsidRDefault="00B54D51" w:rsidP="00B54D51">
            <w:pPr>
              <w:rPr>
                <w:rFonts w:asciiTheme="minorHAnsi" w:hAnsiTheme="minorHAnsi" w:cstheme="minorHAnsi"/>
              </w:rPr>
            </w:pPr>
            <w:r w:rsidRPr="00037AD4">
              <w:rPr>
                <w:rFonts w:asciiTheme="minorHAnsi" w:hAnsiTheme="minorHAnsi" w:cstheme="minorHAnsi"/>
              </w:rPr>
              <w:t>IDEAL</w:t>
            </w:r>
          </w:p>
        </w:tc>
        <w:tc>
          <w:tcPr>
            <w:tcW w:w="1401" w:type="dxa"/>
          </w:tcPr>
          <w:p w14:paraId="4B8B8A67" w14:textId="77777777" w:rsidR="00B54D51" w:rsidRPr="00037AD4" w:rsidRDefault="00B54D51" w:rsidP="00B54D51">
            <w:pPr>
              <w:rPr>
                <w:rFonts w:asciiTheme="minorHAnsi" w:hAnsiTheme="minorHAnsi" w:cstheme="minorHAnsi"/>
              </w:rPr>
            </w:pPr>
            <w:r w:rsidRPr="00037AD4">
              <w:rPr>
                <w:rFonts w:asciiTheme="minorHAnsi" w:hAnsiTheme="minorHAnsi" w:cstheme="minorHAnsi"/>
                <w:color w:val="202124"/>
                <w:shd w:val="clear" w:color="auto" w:fill="FFFFFF"/>
              </w:rPr>
              <w:t>×</w:t>
            </w:r>
          </w:p>
        </w:tc>
        <w:tc>
          <w:tcPr>
            <w:tcW w:w="1529" w:type="dxa"/>
          </w:tcPr>
          <w:p w14:paraId="43496FFA" w14:textId="77777777" w:rsidR="00B54D51" w:rsidRPr="00037AD4" w:rsidRDefault="00B54D51" w:rsidP="00B54D51">
            <w:pPr>
              <w:rPr>
                <w:rFonts w:asciiTheme="minorHAnsi" w:hAnsiTheme="minorHAnsi" w:cstheme="minorHAnsi"/>
              </w:rPr>
            </w:pPr>
            <w:r w:rsidRPr="00037AD4">
              <w:rPr>
                <w:rFonts w:asciiTheme="minorHAnsi" w:hAnsiTheme="minorHAnsi" w:cstheme="minorHAnsi"/>
              </w:rPr>
              <w:t>NI</w:t>
            </w:r>
          </w:p>
        </w:tc>
        <w:tc>
          <w:tcPr>
            <w:tcW w:w="2104" w:type="dxa"/>
          </w:tcPr>
          <w:p w14:paraId="7359AC80" w14:textId="77777777" w:rsidR="00B54D51" w:rsidRPr="00037AD4" w:rsidRDefault="00B54D51" w:rsidP="00B54D51">
            <w:pPr>
              <w:rPr>
                <w:rFonts w:asciiTheme="minorHAnsi" w:hAnsiTheme="minorHAnsi" w:cstheme="minorHAnsi"/>
              </w:rPr>
            </w:pPr>
            <w:r w:rsidRPr="00037AD4">
              <w:rPr>
                <w:rFonts w:asciiTheme="minorHAnsi" w:hAnsiTheme="minorHAnsi" w:cstheme="minorHAnsi"/>
              </w:rPr>
              <w:t xml:space="preserve">HRQoL, Well-being </w:t>
            </w:r>
          </w:p>
        </w:tc>
        <w:tc>
          <w:tcPr>
            <w:tcW w:w="1217" w:type="dxa"/>
          </w:tcPr>
          <w:p w14:paraId="523B8CCE" w14:textId="77777777" w:rsidR="00B54D51" w:rsidRPr="00037AD4" w:rsidRDefault="00B54D51" w:rsidP="00B54D51">
            <w:pPr>
              <w:rPr>
                <w:rFonts w:asciiTheme="minorHAnsi" w:hAnsiTheme="minorHAnsi" w:cstheme="minorHAnsi"/>
              </w:rPr>
            </w:pPr>
            <w:r w:rsidRPr="00037AD4">
              <w:rPr>
                <w:rFonts w:ascii="Segoe UI Symbol" w:hAnsi="Segoe UI Symbol" w:cs="Segoe UI Symbol"/>
                <w:color w:val="040C28"/>
              </w:rPr>
              <w:t>✓</w:t>
            </w:r>
          </w:p>
        </w:tc>
        <w:tc>
          <w:tcPr>
            <w:tcW w:w="1341" w:type="dxa"/>
          </w:tcPr>
          <w:p w14:paraId="5195A0AA" w14:textId="77777777" w:rsidR="00B54D51" w:rsidRPr="00037AD4" w:rsidRDefault="00B54D51" w:rsidP="00B54D51">
            <w:pPr>
              <w:rPr>
                <w:rFonts w:asciiTheme="minorHAnsi" w:hAnsiTheme="minorHAnsi" w:cstheme="minorHAnsi"/>
              </w:rPr>
            </w:pPr>
            <w:r w:rsidRPr="00037AD4">
              <w:rPr>
                <w:rFonts w:asciiTheme="minorHAnsi" w:hAnsiTheme="minorHAnsi" w:cstheme="minorHAnsi"/>
                <w:color w:val="202124"/>
                <w:shd w:val="clear" w:color="auto" w:fill="FFFFFF"/>
              </w:rPr>
              <w:t>×</w:t>
            </w:r>
          </w:p>
        </w:tc>
      </w:tr>
      <w:tr w:rsidR="00B54D51" w:rsidRPr="00037AD4" w14:paraId="37612E11" w14:textId="77777777" w:rsidTr="0078211D">
        <w:tc>
          <w:tcPr>
            <w:tcW w:w="1424" w:type="dxa"/>
          </w:tcPr>
          <w:p w14:paraId="0D1F3037" w14:textId="77777777" w:rsidR="00B54D51" w:rsidRPr="00037AD4" w:rsidRDefault="00B54D51" w:rsidP="00B54D51">
            <w:pPr>
              <w:rPr>
                <w:rFonts w:asciiTheme="minorHAnsi" w:hAnsiTheme="minorHAnsi" w:cstheme="minorHAnsi"/>
              </w:rPr>
            </w:pPr>
            <w:r w:rsidRPr="00037AD4">
              <w:rPr>
                <w:rFonts w:asciiTheme="minorHAnsi" w:hAnsiTheme="minorHAnsi" w:cstheme="minorHAnsi"/>
              </w:rPr>
              <w:t>mCST</w:t>
            </w:r>
          </w:p>
        </w:tc>
        <w:tc>
          <w:tcPr>
            <w:tcW w:w="1401" w:type="dxa"/>
          </w:tcPr>
          <w:p w14:paraId="00896B80" w14:textId="77777777" w:rsidR="00B54D51" w:rsidRPr="00037AD4" w:rsidRDefault="00B54D51" w:rsidP="00B54D51">
            <w:pPr>
              <w:rPr>
                <w:rFonts w:asciiTheme="minorHAnsi" w:hAnsiTheme="minorHAnsi" w:cstheme="minorHAnsi"/>
              </w:rPr>
            </w:pPr>
            <w:r w:rsidRPr="00037AD4">
              <w:rPr>
                <w:rFonts w:ascii="Segoe UI Symbol" w:hAnsi="Segoe UI Symbol" w:cs="Segoe UI Symbol"/>
                <w:color w:val="040C28"/>
              </w:rPr>
              <w:t>✓</w:t>
            </w:r>
          </w:p>
        </w:tc>
        <w:tc>
          <w:tcPr>
            <w:tcW w:w="1529" w:type="dxa"/>
          </w:tcPr>
          <w:p w14:paraId="32EDC5D9" w14:textId="77777777" w:rsidR="00B54D51" w:rsidRPr="00037AD4" w:rsidRDefault="00B54D51" w:rsidP="00B54D51">
            <w:pPr>
              <w:rPr>
                <w:rFonts w:asciiTheme="minorHAnsi" w:hAnsiTheme="minorHAnsi" w:cstheme="minorHAnsi"/>
              </w:rPr>
            </w:pPr>
            <w:r w:rsidRPr="00037AD4">
              <w:rPr>
                <w:rFonts w:asciiTheme="minorHAnsi" w:hAnsiTheme="minorHAnsi" w:cstheme="minorHAnsi"/>
              </w:rPr>
              <w:t>N-Ph</w:t>
            </w:r>
          </w:p>
        </w:tc>
        <w:tc>
          <w:tcPr>
            <w:tcW w:w="2104" w:type="dxa"/>
          </w:tcPr>
          <w:p w14:paraId="66CBE016" w14:textId="77777777" w:rsidR="00B54D51" w:rsidRPr="00037AD4" w:rsidRDefault="00B54D51" w:rsidP="00B54D51">
            <w:pPr>
              <w:rPr>
                <w:rFonts w:asciiTheme="minorHAnsi" w:hAnsiTheme="minorHAnsi" w:cstheme="minorHAnsi"/>
              </w:rPr>
            </w:pPr>
            <w:r w:rsidRPr="00037AD4">
              <w:rPr>
                <w:rFonts w:asciiTheme="minorHAnsi" w:hAnsiTheme="minorHAnsi" w:cstheme="minorHAnsi"/>
              </w:rPr>
              <w:t xml:space="preserve">Cognition, HRQoL </w:t>
            </w:r>
          </w:p>
        </w:tc>
        <w:tc>
          <w:tcPr>
            <w:tcW w:w="1217" w:type="dxa"/>
          </w:tcPr>
          <w:p w14:paraId="3660918F" w14:textId="77777777" w:rsidR="00B54D51" w:rsidRPr="00037AD4" w:rsidRDefault="00B54D51" w:rsidP="00B54D51">
            <w:pPr>
              <w:rPr>
                <w:rFonts w:asciiTheme="minorHAnsi" w:hAnsiTheme="minorHAnsi" w:cstheme="minorHAnsi"/>
              </w:rPr>
            </w:pPr>
            <w:r w:rsidRPr="00037AD4">
              <w:rPr>
                <w:rFonts w:ascii="Segoe UI Symbol" w:hAnsi="Segoe UI Symbol" w:cs="Segoe UI Symbol"/>
                <w:color w:val="040C28"/>
              </w:rPr>
              <w:t>✓</w:t>
            </w:r>
          </w:p>
        </w:tc>
        <w:tc>
          <w:tcPr>
            <w:tcW w:w="1341" w:type="dxa"/>
          </w:tcPr>
          <w:p w14:paraId="31BCE9C6" w14:textId="77777777" w:rsidR="00B54D51" w:rsidRPr="00037AD4" w:rsidRDefault="00B54D51" w:rsidP="00B54D51">
            <w:pPr>
              <w:rPr>
                <w:rFonts w:asciiTheme="minorHAnsi" w:hAnsiTheme="minorHAnsi" w:cstheme="minorHAnsi"/>
              </w:rPr>
            </w:pPr>
            <w:r w:rsidRPr="00037AD4">
              <w:rPr>
                <w:rFonts w:ascii="Segoe UI Symbol" w:hAnsi="Segoe UI Symbol" w:cs="Segoe UI Symbol"/>
                <w:color w:val="040C28"/>
              </w:rPr>
              <w:t>✓</w:t>
            </w:r>
          </w:p>
        </w:tc>
      </w:tr>
      <w:tr w:rsidR="00B54D51" w:rsidRPr="00037AD4" w14:paraId="374D332F" w14:textId="77777777" w:rsidTr="0078211D">
        <w:tc>
          <w:tcPr>
            <w:tcW w:w="1424" w:type="dxa"/>
          </w:tcPr>
          <w:p w14:paraId="2631138D" w14:textId="77777777" w:rsidR="00B54D51" w:rsidRPr="00037AD4" w:rsidRDefault="00B54D51" w:rsidP="00B54D51">
            <w:pPr>
              <w:rPr>
                <w:rFonts w:asciiTheme="minorHAnsi" w:hAnsiTheme="minorHAnsi" w:cstheme="minorHAnsi"/>
              </w:rPr>
            </w:pPr>
            <w:r w:rsidRPr="00037AD4">
              <w:rPr>
                <w:rFonts w:asciiTheme="minorHAnsi" w:hAnsiTheme="minorHAnsi" w:cstheme="minorHAnsi"/>
              </w:rPr>
              <w:t>PRESIDE</w:t>
            </w:r>
          </w:p>
        </w:tc>
        <w:tc>
          <w:tcPr>
            <w:tcW w:w="1401" w:type="dxa"/>
          </w:tcPr>
          <w:p w14:paraId="43C7C5BD" w14:textId="77777777" w:rsidR="00B54D51" w:rsidRPr="00037AD4" w:rsidRDefault="00B54D51" w:rsidP="00B54D51">
            <w:pPr>
              <w:rPr>
                <w:rFonts w:asciiTheme="minorHAnsi" w:hAnsiTheme="minorHAnsi" w:cstheme="minorHAnsi"/>
                <w:b/>
                <w:bCs/>
              </w:rPr>
            </w:pPr>
            <w:r w:rsidRPr="00037AD4">
              <w:rPr>
                <w:rFonts w:ascii="Segoe UI Symbol" w:hAnsi="Segoe UI Symbol" w:cs="Segoe UI Symbol"/>
                <w:color w:val="040C28"/>
              </w:rPr>
              <w:t>✓</w:t>
            </w:r>
          </w:p>
        </w:tc>
        <w:tc>
          <w:tcPr>
            <w:tcW w:w="1529" w:type="dxa"/>
          </w:tcPr>
          <w:p w14:paraId="61F9C25E" w14:textId="77777777" w:rsidR="00B54D51" w:rsidRPr="00037AD4" w:rsidRDefault="00B54D51" w:rsidP="00B54D51">
            <w:pPr>
              <w:rPr>
                <w:rFonts w:asciiTheme="minorHAnsi" w:hAnsiTheme="minorHAnsi" w:cstheme="minorHAnsi"/>
              </w:rPr>
            </w:pPr>
            <w:r w:rsidRPr="00037AD4">
              <w:rPr>
                <w:rFonts w:asciiTheme="minorHAnsi" w:hAnsiTheme="minorHAnsi" w:cstheme="minorHAnsi"/>
              </w:rPr>
              <w:t>N-Ph</w:t>
            </w:r>
          </w:p>
        </w:tc>
        <w:tc>
          <w:tcPr>
            <w:tcW w:w="2104" w:type="dxa"/>
          </w:tcPr>
          <w:p w14:paraId="45A280C4" w14:textId="77777777" w:rsidR="00B54D51" w:rsidRPr="00037AD4" w:rsidRDefault="00B54D51" w:rsidP="00B54D51">
            <w:pPr>
              <w:rPr>
                <w:rFonts w:asciiTheme="minorHAnsi" w:hAnsiTheme="minorHAnsi" w:cstheme="minorHAnsi"/>
              </w:rPr>
            </w:pPr>
            <w:r w:rsidRPr="00037AD4">
              <w:rPr>
                <w:rFonts w:asciiTheme="minorHAnsi" w:hAnsiTheme="minorHAnsi" w:cstheme="minorHAnsi"/>
              </w:rPr>
              <w:t xml:space="preserve">Feasibility </w:t>
            </w:r>
          </w:p>
        </w:tc>
        <w:tc>
          <w:tcPr>
            <w:tcW w:w="1217" w:type="dxa"/>
          </w:tcPr>
          <w:p w14:paraId="0632B945" w14:textId="77777777" w:rsidR="00B54D51" w:rsidRPr="00037AD4" w:rsidRDefault="00B54D51" w:rsidP="00B54D51">
            <w:pPr>
              <w:rPr>
                <w:rFonts w:asciiTheme="minorHAnsi" w:hAnsiTheme="minorHAnsi" w:cstheme="minorHAnsi"/>
              </w:rPr>
            </w:pPr>
            <w:r w:rsidRPr="00037AD4">
              <w:rPr>
                <w:rFonts w:ascii="Segoe UI Symbol" w:hAnsi="Segoe UI Symbol" w:cs="Segoe UI Symbol"/>
                <w:color w:val="040C28"/>
              </w:rPr>
              <w:t>✓</w:t>
            </w:r>
          </w:p>
        </w:tc>
        <w:tc>
          <w:tcPr>
            <w:tcW w:w="1341" w:type="dxa"/>
          </w:tcPr>
          <w:p w14:paraId="62FA4C47" w14:textId="77777777" w:rsidR="00B54D51" w:rsidRPr="00037AD4" w:rsidRDefault="00B54D51" w:rsidP="00B54D51">
            <w:pPr>
              <w:rPr>
                <w:rFonts w:asciiTheme="minorHAnsi" w:hAnsiTheme="minorHAnsi" w:cstheme="minorHAnsi"/>
              </w:rPr>
            </w:pPr>
            <w:r w:rsidRPr="00037AD4">
              <w:rPr>
                <w:rFonts w:ascii="Segoe UI Symbol" w:hAnsi="Segoe UI Symbol" w:cs="Segoe UI Symbol"/>
                <w:color w:val="040C28"/>
              </w:rPr>
              <w:t>✓</w:t>
            </w:r>
          </w:p>
        </w:tc>
      </w:tr>
      <w:tr w:rsidR="00B54D51" w:rsidRPr="00037AD4" w14:paraId="6D0D9C79" w14:textId="77777777" w:rsidTr="0078211D">
        <w:tc>
          <w:tcPr>
            <w:tcW w:w="1424" w:type="dxa"/>
          </w:tcPr>
          <w:p w14:paraId="27B1616D" w14:textId="77777777" w:rsidR="00B54D51" w:rsidRPr="00037AD4" w:rsidRDefault="00B54D51" w:rsidP="00B54D51">
            <w:pPr>
              <w:rPr>
                <w:rFonts w:asciiTheme="minorHAnsi" w:hAnsiTheme="minorHAnsi" w:cstheme="minorHAnsi"/>
              </w:rPr>
            </w:pPr>
            <w:r w:rsidRPr="00037AD4">
              <w:rPr>
                <w:rFonts w:asciiTheme="minorHAnsi" w:hAnsiTheme="minorHAnsi" w:cstheme="minorHAnsi"/>
              </w:rPr>
              <w:t>REMCARE</w:t>
            </w:r>
          </w:p>
        </w:tc>
        <w:tc>
          <w:tcPr>
            <w:tcW w:w="1401" w:type="dxa"/>
          </w:tcPr>
          <w:p w14:paraId="5AF353C9" w14:textId="77777777" w:rsidR="00B54D51" w:rsidRPr="00037AD4" w:rsidRDefault="00B54D51" w:rsidP="00B54D51">
            <w:pPr>
              <w:rPr>
                <w:rFonts w:asciiTheme="minorHAnsi" w:hAnsiTheme="minorHAnsi" w:cstheme="minorHAnsi"/>
              </w:rPr>
            </w:pPr>
            <w:r w:rsidRPr="00037AD4">
              <w:rPr>
                <w:rFonts w:ascii="Segoe UI Symbol" w:hAnsi="Segoe UI Symbol" w:cs="Segoe UI Symbol"/>
                <w:color w:val="040C28"/>
              </w:rPr>
              <w:t>✓</w:t>
            </w:r>
          </w:p>
        </w:tc>
        <w:tc>
          <w:tcPr>
            <w:tcW w:w="1529" w:type="dxa"/>
          </w:tcPr>
          <w:p w14:paraId="43E220E8" w14:textId="77777777" w:rsidR="00B54D51" w:rsidRPr="00037AD4" w:rsidRDefault="00B54D51" w:rsidP="00B54D51">
            <w:pPr>
              <w:rPr>
                <w:rFonts w:asciiTheme="minorHAnsi" w:hAnsiTheme="minorHAnsi" w:cstheme="minorHAnsi"/>
              </w:rPr>
            </w:pPr>
            <w:r w:rsidRPr="00037AD4">
              <w:rPr>
                <w:rFonts w:asciiTheme="minorHAnsi" w:hAnsiTheme="minorHAnsi" w:cstheme="minorHAnsi"/>
              </w:rPr>
              <w:t>N-Ph</w:t>
            </w:r>
          </w:p>
        </w:tc>
        <w:tc>
          <w:tcPr>
            <w:tcW w:w="2104" w:type="dxa"/>
          </w:tcPr>
          <w:p w14:paraId="55154AC8" w14:textId="77777777" w:rsidR="00B54D51" w:rsidRPr="00037AD4" w:rsidRDefault="00B54D51" w:rsidP="00B54D51">
            <w:pPr>
              <w:rPr>
                <w:rFonts w:asciiTheme="minorHAnsi" w:hAnsiTheme="minorHAnsi" w:cstheme="minorHAnsi"/>
              </w:rPr>
            </w:pPr>
            <w:r w:rsidRPr="00037AD4">
              <w:rPr>
                <w:rFonts w:asciiTheme="minorHAnsi" w:hAnsiTheme="minorHAnsi" w:cstheme="minorHAnsi"/>
              </w:rPr>
              <w:t xml:space="preserve">HRQoL, behaviour/mood  </w:t>
            </w:r>
          </w:p>
        </w:tc>
        <w:tc>
          <w:tcPr>
            <w:tcW w:w="1217" w:type="dxa"/>
          </w:tcPr>
          <w:p w14:paraId="2CE2C714" w14:textId="77777777" w:rsidR="00B54D51" w:rsidRPr="00037AD4" w:rsidRDefault="00B54D51" w:rsidP="00B54D51">
            <w:pPr>
              <w:rPr>
                <w:rFonts w:asciiTheme="minorHAnsi" w:hAnsiTheme="minorHAnsi" w:cstheme="minorHAnsi"/>
              </w:rPr>
            </w:pPr>
            <w:r w:rsidRPr="00037AD4">
              <w:rPr>
                <w:rFonts w:ascii="Segoe UI Symbol" w:hAnsi="Segoe UI Symbol" w:cs="Segoe UI Symbol"/>
                <w:color w:val="040C28"/>
              </w:rPr>
              <w:t>✓</w:t>
            </w:r>
          </w:p>
        </w:tc>
        <w:tc>
          <w:tcPr>
            <w:tcW w:w="1341" w:type="dxa"/>
          </w:tcPr>
          <w:p w14:paraId="12FC1DBD" w14:textId="77777777" w:rsidR="00B54D51" w:rsidRPr="00037AD4" w:rsidRDefault="00B54D51" w:rsidP="00B54D51">
            <w:pPr>
              <w:rPr>
                <w:rFonts w:asciiTheme="minorHAnsi" w:hAnsiTheme="minorHAnsi" w:cstheme="minorHAnsi"/>
              </w:rPr>
            </w:pPr>
            <w:r w:rsidRPr="00037AD4">
              <w:rPr>
                <w:rFonts w:ascii="Segoe UI Symbol" w:hAnsi="Segoe UI Symbol" w:cs="Segoe UI Symbol"/>
                <w:color w:val="040C28"/>
              </w:rPr>
              <w:t>✓</w:t>
            </w:r>
          </w:p>
        </w:tc>
      </w:tr>
      <w:tr w:rsidR="00B54D51" w:rsidRPr="00037AD4" w14:paraId="46E83E5A" w14:textId="77777777" w:rsidTr="0078211D">
        <w:tc>
          <w:tcPr>
            <w:tcW w:w="1424" w:type="dxa"/>
          </w:tcPr>
          <w:p w14:paraId="3E38AC5E" w14:textId="77777777" w:rsidR="00B54D51" w:rsidRPr="00037AD4" w:rsidRDefault="00B54D51" w:rsidP="00B54D51">
            <w:pPr>
              <w:rPr>
                <w:rFonts w:asciiTheme="minorHAnsi" w:hAnsiTheme="minorHAnsi" w:cstheme="minorHAnsi"/>
              </w:rPr>
            </w:pPr>
            <w:r w:rsidRPr="00037AD4">
              <w:rPr>
                <w:rFonts w:asciiTheme="minorHAnsi" w:hAnsiTheme="minorHAnsi" w:cstheme="minorHAnsi"/>
              </w:rPr>
              <w:t>SENSE-Cog</w:t>
            </w:r>
          </w:p>
        </w:tc>
        <w:tc>
          <w:tcPr>
            <w:tcW w:w="1401" w:type="dxa"/>
          </w:tcPr>
          <w:p w14:paraId="1F3966E5" w14:textId="77777777" w:rsidR="00B54D51" w:rsidRPr="00037AD4" w:rsidRDefault="00B54D51" w:rsidP="00B54D51">
            <w:pPr>
              <w:rPr>
                <w:rFonts w:asciiTheme="minorHAnsi" w:hAnsiTheme="minorHAnsi" w:cstheme="minorHAnsi"/>
              </w:rPr>
            </w:pPr>
            <w:r w:rsidRPr="00037AD4">
              <w:rPr>
                <w:rFonts w:ascii="Segoe UI Symbol" w:hAnsi="Segoe UI Symbol" w:cs="Segoe UI Symbol"/>
                <w:color w:val="040C28"/>
              </w:rPr>
              <w:t>✓</w:t>
            </w:r>
          </w:p>
        </w:tc>
        <w:tc>
          <w:tcPr>
            <w:tcW w:w="1529" w:type="dxa"/>
          </w:tcPr>
          <w:p w14:paraId="782D2360" w14:textId="77777777" w:rsidR="00B54D51" w:rsidRPr="00037AD4" w:rsidRDefault="00B54D51" w:rsidP="00B54D51">
            <w:pPr>
              <w:rPr>
                <w:rFonts w:asciiTheme="minorHAnsi" w:hAnsiTheme="minorHAnsi" w:cstheme="minorHAnsi"/>
              </w:rPr>
            </w:pPr>
            <w:r w:rsidRPr="00037AD4">
              <w:rPr>
                <w:rFonts w:asciiTheme="minorHAnsi" w:hAnsiTheme="minorHAnsi" w:cstheme="minorHAnsi"/>
              </w:rPr>
              <w:t>N-Ph</w:t>
            </w:r>
          </w:p>
        </w:tc>
        <w:tc>
          <w:tcPr>
            <w:tcW w:w="2104" w:type="dxa"/>
          </w:tcPr>
          <w:p w14:paraId="76B2FEF3" w14:textId="77777777" w:rsidR="00B54D51" w:rsidRPr="00037AD4" w:rsidRDefault="00B54D51" w:rsidP="00B54D51">
            <w:pPr>
              <w:rPr>
                <w:rFonts w:asciiTheme="minorHAnsi" w:hAnsiTheme="minorHAnsi" w:cstheme="minorHAnsi"/>
              </w:rPr>
            </w:pPr>
            <w:r w:rsidRPr="00037AD4">
              <w:rPr>
                <w:rFonts w:asciiTheme="minorHAnsi" w:hAnsiTheme="minorHAnsi" w:cstheme="minorHAnsi"/>
              </w:rPr>
              <w:t>HRQoL</w:t>
            </w:r>
          </w:p>
        </w:tc>
        <w:tc>
          <w:tcPr>
            <w:tcW w:w="1217" w:type="dxa"/>
          </w:tcPr>
          <w:p w14:paraId="4BEBB1D4" w14:textId="77777777" w:rsidR="00B54D51" w:rsidRPr="00037AD4" w:rsidRDefault="00B54D51" w:rsidP="00B54D51">
            <w:pPr>
              <w:rPr>
                <w:rFonts w:asciiTheme="minorHAnsi" w:hAnsiTheme="minorHAnsi" w:cstheme="minorHAnsi"/>
              </w:rPr>
            </w:pPr>
            <w:r w:rsidRPr="00037AD4">
              <w:rPr>
                <w:rFonts w:ascii="Segoe UI Symbol" w:hAnsi="Segoe UI Symbol" w:cs="Segoe UI Symbol"/>
                <w:color w:val="040C28"/>
              </w:rPr>
              <w:t>✓</w:t>
            </w:r>
          </w:p>
        </w:tc>
        <w:tc>
          <w:tcPr>
            <w:tcW w:w="1341" w:type="dxa"/>
          </w:tcPr>
          <w:p w14:paraId="2C11EE1B" w14:textId="77777777" w:rsidR="00B54D51" w:rsidRPr="00037AD4" w:rsidRDefault="00B54D51" w:rsidP="00B54D51">
            <w:pPr>
              <w:rPr>
                <w:rFonts w:asciiTheme="minorHAnsi" w:hAnsiTheme="minorHAnsi" w:cstheme="minorHAnsi"/>
              </w:rPr>
            </w:pPr>
            <w:r w:rsidRPr="00037AD4">
              <w:rPr>
                <w:rFonts w:ascii="Segoe UI Symbol" w:hAnsi="Segoe UI Symbol" w:cs="Segoe UI Symbol"/>
                <w:color w:val="040C28"/>
              </w:rPr>
              <w:t>✓</w:t>
            </w:r>
          </w:p>
        </w:tc>
      </w:tr>
      <w:tr w:rsidR="00B54D51" w:rsidRPr="00037AD4" w14:paraId="2356CF18" w14:textId="77777777" w:rsidTr="0078211D">
        <w:tc>
          <w:tcPr>
            <w:tcW w:w="1424" w:type="dxa"/>
          </w:tcPr>
          <w:p w14:paraId="56ACD38B" w14:textId="77777777" w:rsidR="00B54D51" w:rsidRPr="00037AD4" w:rsidRDefault="00B54D51" w:rsidP="00B54D51">
            <w:pPr>
              <w:rPr>
                <w:rFonts w:asciiTheme="minorHAnsi" w:hAnsiTheme="minorHAnsi" w:cstheme="minorHAnsi"/>
              </w:rPr>
            </w:pPr>
            <w:r w:rsidRPr="00037AD4">
              <w:rPr>
                <w:rFonts w:asciiTheme="minorHAnsi" w:hAnsiTheme="minorHAnsi" w:cstheme="minorHAnsi"/>
              </w:rPr>
              <w:t>WHELD</w:t>
            </w:r>
          </w:p>
        </w:tc>
        <w:tc>
          <w:tcPr>
            <w:tcW w:w="1401" w:type="dxa"/>
          </w:tcPr>
          <w:p w14:paraId="3F3C54F6" w14:textId="77777777" w:rsidR="00B54D51" w:rsidRPr="00037AD4" w:rsidRDefault="00B54D51" w:rsidP="00B54D51">
            <w:pPr>
              <w:rPr>
                <w:rFonts w:asciiTheme="minorHAnsi" w:hAnsiTheme="minorHAnsi" w:cstheme="minorHAnsi"/>
              </w:rPr>
            </w:pPr>
            <w:r w:rsidRPr="00037AD4">
              <w:rPr>
                <w:rFonts w:ascii="Segoe UI Symbol" w:hAnsi="Segoe UI Symbol" w:cs="Segoe UI Symbol"/>
                <w:color w:val="040C28"/>
              </w:rPr>
              <w:t>✓</w:t>
            </w:r>
          </w:p>
        </w:tc>
        <w:tc>
          <w:tcPr>
            <w:tcW w:w="1529" w:type="dxa"/>
          </w:tcPr>
          <w:p w14:paraId="08943690" w14:textId="77777777" w:rsidR="00B54D51" w:rsidRPr="00037AD4" w:rsidRDefault="00B54D51" w:rsidP="00B54D51">
            <w:pPr>
              <w:rPr>
                <w:rFonts w:asciiTheme="minorHAnsi" w:hAnsiTheme="minorHAnsi" w:cstheme="minorHAnsi"/>
              </w:rPr>
            </w:pPr>
            <w:r w:rsidRPr="00037AD4">
              <w:rPr>
                <w:rFonts w:asciiTheme="minorHAnsi" w:hAnsiTheme="minorHAnsi" w:cstheme="minorHAnsi"/>
              </w:rPr>
              <w:t>N-Ph</w:t>
            </w:r>
          </w:p>
        </w:tc>
        <w:tc>
          <w:tcPr>
            <w:tcW w:w="2104" w:type="dxa"/>
          </w:tcPr>
          <w:p w14:paraId="38FDF9F2" w14:textId="77777777" w:rsidR="00B54D51" w:rsidRPr="00037AD4" w:rsidRDefault="00B54D51" w:rsidP="00B54D51">
            <w:pPr>
              <w:rPr>
                <w:rFonts w:asciiTheme="minorHAnsi" w:hAnsiTheme="minorHAnsi" w:cstheme="minorHAnsi"/>
              </w:rPr>
            </w:pPr>
            <w:r w:rsidRPr="00037AD4">
              <w:rPr>
                <w:rFonts w:asciiTheme="minorHAnsi" w:hAnsiTheme="minorHAnsi" w:cstheme="minorHAnsi"/>
              </w:rPr>
              <w:t>Behaviour/mood (agitation)</w:t>
            </w:r>
          </w:p>
        </w:tc>
        <w:tc>
          <w:tcPr>
            <w:tcW w:w="1217" w:type="dxa"/>
          </w:tcPr>
          <w:p w14:paraId="026A8545" w14:textId="77777777" w:rsidR="00B54D51" w:rsidRPr="00037AD4" w:rsidRDefault="00B54D51" w:rsidP="00B54D51">
            <w:pPr>
              <w:rPr>
                <w:rFonts w:asciiTheme="minorHAnsi" w:hAnsiTheme="minorHAnsi" w:cstheme="minorHAnsi"/>
              </w:rPr>
            </w:pPr>
            <w:r w:rsidRPr="00037AD4">
              <w:rPr>
                <w:rFonts w:ascii="Segoe UI Symbol" w:hAnsi="Segoe UI Symbol" w:cs="Segoe UI Symbol"/>
                <w:color w:val="040C28"/>
              </w:rPr>
              <w:t>✓</w:t>
            </w:r>
          </w:p>
        </w:tc>
        <w:tc>
          <w:tcPr>
            <w:tcW w:w="1341" w:type="dxa"/>
          </w:tcPr>
          <w:p w14:paraId="4B875F10" w14:textId="77777777" w:rsidR="00B54D51" w:rsidRPr="00037AD4" w:rsidRDefault="00B54D51" w:rsidP="00B54D51">
            <w:pPr>
              <w:rPr>
                <w:rFonts w:asciiTheme="minorHAnsi" w:hAnsiTheme="minorHAnsi" w:cstheme="minorHAnsi"/>
              </w:rPr>
            </w:pPr>
            <w:r w:rsidRPr="00037AD4">
              <w:rPr>
                <w:rFonts w:asciiTheme="minorHAnsi" w:hAnsiTheme="minorHAnsi" w:cstheme="minorHAnsi"/>
                <w:color w:val="202124"/>
                <w:shd w:val="clear" w:color="auto" w:fill="FFFFFF"/>
              </w:rPr>
              <w:t>×</w:t>
            </w:r>
          </w:p>
        </w:tc>
      </w:tr>
      <w:tr w:rsidR="00B54D51" w:rsidRPr="00037AD4" w14:paraId="255CCF25" w14:textId="77777777" w:rsidTr="0078211D">
        <w:tc>
          <w:tcPr>
            <w:tcW w:w="9016" w:type="dxa"/>
            <w:gridSpan w:val="6"/>
          </w:tcPr>
          <w:p w14:paraId="545393E0" w14:textId="77777777" w:rsidR="00B54D51" w:rsidRPr="00037AD4" w:rsidRDefault="00B54D51" w:rsidP="00B54D51">
            <w:pPr>
              <w:rPr>
                <w:rFonts w:asciiTheme="minorHAnsi" w:hAnsiTheme="minorHAnsi" w:cstheme="minorHAnsi"/>
                <w:sz w:val="22"/>
                <w:szCs w:val="22"/>
              </w:rPr>
            </w:pPr>
            <w:r w:rsidRPr="00037AD4">
              <w:rPr>
                <w:rFonts w:asciiTheme="minorHAnsi" w:hAnsiTheme="minorHAnsi" w:cstheme="minorHAnsi"/>
                <w:sz w:val="22"/>
                <w:szCs w:val="22"/>
              </w:rPr>
              <w:t>Intervention type code: Ph, pharmacological, N-Ph, non-pharmacological; NI, non-interventional, i.e., observational study with no intervention; N/A not applicable</w:t>
            </w:r>
          </w:p>
        </w:tc>
      </w:tr>
    </w:tbl>
    <w:p w14:paraId="74837EF4" w14:textId="77777777" w:rsidR="00B54D51" w:rsidRPr="00037AD4" w:rsidRDefault="00B54D51" w:rsidP="000131EE">
      <w:pPr>
        <w:rPr>
          <w:rFonts w:asciiTheme="minorHAnsi" w:hAnsiTheme="minorHAnsi" w:cstheme="minorHAnsi"/>
          <w:noProof/>
        </w:rPr>
      </w:pPr>
    </w:p>
    <w:p w14:paraId="73AA3F8A" w14:textId="77777777" w:rsidR="00B54D51" w:rsidRPr="00037AD4" w:rsidRDefault="00B54D51" w:rsidP="0006531A">
      <w:pPr>
        <w:pStyle w:val="EndNoteBibliography"/>
        <w:rPr>
          <w:rFonts w:asciiTheme="minorHAnsi" w:hAnsiTheme="minorHAnsi" w:cstheme="minorHAnsi"/>
          <w:noProof/>
          <w:color w:val="000000" w:themeColor="text1"/>
          <w:lang w:val="en-GB"/>
        </w:rPr>
      </w:pPr>
      <w:r w:rsidRPr="00037AD4">
        <w:rPr>
          <w:rFonts w:asciiTheme="minorHAnsi" w:hAnsiTheme="minorHAnsi" w:cstheme="minorHAnsi"/>
          <w:noProof/>
          <w:color w:val="000000" w:themeColor="text1"/>
          <w:lang w:val="en-GB"/>
        </w:rPr>
        <w:t xml:space="preserve">Table 2 details the instruments used to measure the primary outcomes in the dementia trials. The table illustrates that there are a diverse range of instruments used to capture the same outcome. The range of instruments expands further when also examining secondary outcomes, as presented in </w:t>
      </w:r>
      <w:hyperlink w:anchor="A3" w:history="1">
        <w:r w:rsidRPr="00B54D51">
          <w:rPr>
            <w:rStyle w:val="Hyperlink"/>
            <w:rFonts w:asciiTheme="minorHAnsi" w:hAnsiTheme="minorHAnsi" w:cstheme="minorHAnsi"/>
            <w:noProof/>
            <w:color w:val="000000" w:themeColor="text1"/>
            <w:u w:val="none"/>
            <w:lang w:val="en-GB"/>
          </w:rPr>
          <w:t>Appendix 3.</w:t>
        </w:r>
      </w:hyperlink>
    </w:p>
    <w:p w14:paraId="6554765C" w14:textId="77777777" w:rsidR="00B54D51" w:rsidRPr="00037AD4" w:rsidRDefault="00B54D51" w:rsidP="0006531A">
      <w:pPr>
        <w:pStyle w:val="EndNoteBibliography"/>
        <w:rPr>
          <w:rFonts w:asciiTheme="minorHAnsi" w:hAnsiTheme="minorHAnsi" w:cstheme="minorHAnsi"/>
          <w:noProof/>
          <w:color w:val="000000" w:themeColor="text1"/>
          <w:lang w:val="en-GB"/>
        </w:rPr>
      </w:pPr>
    </w:p>
    <w:p w14:paraId="744D908B" w14:textId="77777777" w:rsidR="00B54D51" w:rsidRPr="00037AD4" w:rsidRDefault="00B54D51" w:rsidP="0006531A">
      <w:pPr>
        <w:pStyle w:val="EndNoteBibliography"/>
        <w:rPr>
          <w:rFonts w:asciiTheme="minorHAnsi" w:hAnsiTheme="minorHAnsi" w:cstheme="minorHAnsi"/>
          <w:b/>
          <w:bCs/>
          <w:i/>
          <w:iCs/>
          <w:noProof/>
          <w:lang w:val="en-GB"/>
        </w:rPr>
      </w:pPr>
      <w:r w:rsidRPr="00037AD4">
        <w:rPr>
          <w:rFonts w:asciiTheme="minorHAnsi" w:hAnsiTheme="minorHAnsi" w:cstheme="minorHAnsi"/>
          <w:b/>
          <w:bCs/>
          <w:i/>
          <w:iCs/>
          <w:noProof/>
          <w:lang w:val="en-GB"/>
        </w:rPr>
        <w:t xml:space="preserve">Table 2, Instruments used to capture the primary outcomes in identified dementia trials </w:t>
      </w:r>
    </w:p>
    <w:p w14:paraId="5EAF1EA1" w14:textId="77777777" w:rsidR="00B54D51" w:rsidRPr="00037AD4" w:rsidRDefault="00B54D51" w:rsidP="0006531A">
      <w:pPr>
        <w:pStyle w:val="EndNoteBibliography"/>
        <w:rPr>
          <w:rFonts w:asciiTheme="minorHAnsi" w:hAnsiTheme="minorHAnsi" w:cstheme="minorHAnsi"/>
          <w:noProof/>
          <w:color w:val="000000" w:themeColor="text1"/>
          <w:lang w:val="en-GB"/>
        </w:rPr>
      </w:pPr>
    </w:p>
    <w:tbl>
      <w:tblPr>
        <w:tblStyle w:val="TableGrid"/>
        <w:tblW w:w="0" w:type="auto"/>
        <w:tblLook w:val="04A0" w:firstRow="1" w:lastRow="0" w:firstColumn="1" w:lastColumn="0" w:noHBand="0" w:noVBand="1"/>
      </w:tblPr>
      <w:tblGrid>
        <w:gridCol w:w="4508"/>
        <w:gridCol w:w="4508"/>
      </w:tblGrid>
      <w:tr w:rsidR="00B54D51" w:rsidRPr="00037AD4" w14:paraId="79353E9A" w14:textId="77777777" w:rsidTr="0078211D">
        <w:tc>
          <w:tcPr>
            <w:tcW w:w="4508" w:type="dxa"/>
          </w:tcPr>
          <w:p w14:paraId="7F36E352" w14:textId="77777777" w:rsidR="00B54D51" w:rsidRPr="00037AD4" w:rsidRDefault="00B54D51" w:rsidP="0006531A">
            <w:pPr>
              <w:pStyle w:val="EndNoteBibliography"/>
              <w:rPr>
                <w:rFonts w:asciiTheme="minorHAnsi" w:hAnsiTheme="minorHAnsi" w:cstheme="minorHAnsi"/>
                <w:noProof/>
                <w:color w:val="000000" w:themeColor="text1"/>
                <w:lang w:val="en-GB"/>
              </w:rPr>
            </w:pPr>
            <w:r w:rsidRPr="00037AD4">
              <w:rPr>
                <w:rFonts w:asciiTheme="minorHAnsi" w:hAnsiTheme="minorHAnsi" w:cstheme="minorHAnsi"/>
                <w:noProof/>
                <w:color w:val="000000" w:themeColor="text1"/>
                <w:lang w:val="en-GB"/>
              </w:rPr>
              <w:t>Primary outcome</w:t>
            </w:r>
          </w:p>
        </w:tc>
        <w:tc>
          <w:tcPr>
            <w:tcW w:w="4508" w:type="dxa"/>
          </w:tcPr>
          <w:p w14:paraId="77BBC303" w14:textId="77777777" w:rsidR="00B54D51" w:rsidRPr="00037AD4" w:rsidRDefault="00B54D51" w:rsidP="0006531A">
            <w:pPr>
              <w:pStyle w:val="EndNoteBibliography"/>
              <w:rPr>
                <w:rFonts w:asciiTheme="minorHAnsi" w:hAnsiTheme="minorHAnsi" w:cstheme="minorHAnsi"/>
                <w:noProof/>
                <w:color w:val="000000" w:themeColor="text1"/>
                <w:lang w:val="en-GB"/>
              </w:rPr>
            </w:pPr>
            <w:r w:rsidRPr="00037AD4">
              <w:rPr>
                <w:rFonts w:asciiTheme="minorHAnsi" w:hAnsiTheme="minorHAnsi" w:cstheme="minorHAnsi"/>
                <w:noProof/>
                <w:color w:val="000000" w:themeColor="text1"/>
                <w:lang w:val="en-GB"/>
              </w:rPr>
              <w:t>Instrument/measurement (count if &gt;1)</w:t>
            </w:r>
          </w:p>
        </w:tc>
      </w:tr>
      <w:tr w:rsidR="00B54D51" w:rsidRPr="00037AD4" w14:paraId="01DBB133" w14:textId="77777777" w:rsidTr="0078211D">
        <w:tc>
          <w:tcPr>
            <w:tcW w:w="4508" w:type="dxa"/>
          </w:tcPr>
          <w:p w14:paraId="0AAF852C" w14:textId="77777777" w:rsidR="00B54D51" w:rsidRPr="00037AD4" w:rsidRDefault="00B54D51" w:rsidP="0006531A">
            <w:pPr>
              <w:pStyle w:val="EndNoteBibliography"/>
              <w:rPr>
                <w:rFonts w:asciiTheme="minorHAnsi" w:hAnsiTheme="minorHAnsi" w:cstheme="minorHAnsi"/>
                <w:noProof/>
                <w:color w:val="000000" w:themeColor="text1"/>
                <w:lang w:val="en-GB"/>
              </w:rPr>
            </w:pPr>
            <w:r w:rsidRPr="00037AD4">
              <w:rPr>
                <w:rFonts w:asciiTheme="minorHAnsi" w:hAnsiTheme="minorHAnsi" w:cstheme="minorHAnsi"/>
                <w:noProof/>
                <w:color w:val="000000" w:themeColor="text1"/>
                <w:lang w:val="en-GB"/>
              </w:rPr>
              <w:t>Behaviour/mood</w:t>
            </w:r>
          </w:p>
        </w:tc>
        <w:tc>
          <w:tcPr>
            <w:tcW w:w="4508" w:type="dxa"/>
          </w:tcPr>
          <w:p w14:paraId="0A9499C4" w14:textId="77777777" w:rsidR="00B54D51" w:rsidRPr="00037AD4" w:rsidRDefault="00B54D51" w:rsidP="0006531A">
            <w:pPr>
              <w:pStyle w:val="EndNoteBibliography"/>
              <w:rPr>
                <w:rFonts w:asciiTheme="minorHAnsi" w:hAnsiTheme="minorHAnsi" w:cstheme="minorHAnsi"/>
                <w:noProof/>
                <w:color w:val="000000" w:themeColor="text1"/>
                <w:lang w:val="en-GB"/>
              </w:rPr>
            </w:pPr>
            <w:r w:rsidRPr="00037AD4">
              <w:rPr>
                <w:rFonts w:asciiTheme="minorHAnsi" w:hAnsiTheme="minorHAnsi" w:cstheme="minorHAnsi"/>
                <w:noProof/>
                <w:color w:val="000000" w:themeColor="text1"/>
                <w:lang w:val="en-GB"/>
              </w:rPr>
              <w:t xml:space="preserve">CMAI (3), NPI (2), CSDD </w:t>
            </w:r>
          </w:p>
        </w:tc>
      </w:tr>
      <w:tr w:rsidR="00B54D51" w:rsidRPr="00037AD4" w14:paraId="79BD52C0" w14:textId="77777777" w:rsidTr="0078211D">
        <w:tc>
          <w:tcPr>
            <w:tcW w:w="4508" w:type="dxa"/>
          </w:tcPr>
          <w:p w14:paraId="64299F75" w14:textId="77777777" w:rsidR="00B54D51" w:rsidRPr="00037AD4" w:rsidRDefault="00B54D51" w:rsidP="0006531A">
            <w:pPr>
              <w:pStyle w:val="EndNoteBibliography"/>
              <w:rPr>
                <w:rFonts w:asciiTheme="minorHAnsi" w:hAnsiTheme="minorHAnsi" w:cstheme="minorHAnsi"/>
                <w:noProof/>
                <w:color w:val="000000" w:themeColor="text1"/>
                <w:lang w:val="en-GB"/>
              </w:rPr>
            </w:pPr>
            <w:r w:rsidRPr="00037AD4">
              <w:rPr>
                <w:rFonts w:asciiTheme="minorHAnsi" w:hAnsiTheme="minorHAnsi" w:cstheme="minorHAnsi"/>
                <w:noProof/>
                <w:color w:val="000000" w:themeColor="text1"/>
                <w:lang w:val="en-GB"/>
              </w:rPr>
              <w:t>Cognition</w:t>
            </w:r>
          </w:p>
        </w:tc>
        <w:tc>
          <w:tcPr>
            <w:tcW w:w="4508" w:type="dxa"/>
          </w:tcPr>
          <w:p w14:paraId="2BD7329C" w14:textId="77777777" w:rsidR="00B54D51" w:rsidRPr="00037AD4" w:rsidRDefault="00B54D51" w:rsidP="0006531A">
            <w:pPr>
              <w:pStyle w:val="EndNoteBibliography"/>
              <w:rPr>
                <w:rFonts w:asciiTheme="minorHAnsi" w:hAnsiTheme="minorHAnsi" w:cstheme="minorHAnsi"/>
                <w:noProof/>
                <w:color w:val="000000" w:themeColor="text1"/>
                <w:lang w:val="en-GB"/>
              </w:rPr>
            </w:pPr>
            <w:r w:rsidRPr="00037AD4">
              <w:rPr>
                <w:rFonts w:asciiTheme="minorHAnsi" w:hAnsiTheme="minorHAnsi" w:cstheme="minorHAnsi"/>
                <w:noProof/>
                <w:color w:val="000000" w:themeColor="text1"/>
                <w:lang w:val="en-GB"/>
              </w:rPr>
              <w:t xml:space="preserve">MMSE (2), CAMDOG-DS, SDMT, ADAS-Cog </w:t>
            </w:r>
          </w:p>
        </w:tc>
      </w:tr>
      <w:tr w:rsidR="00B54D51" w:rsidRPr="00037AD4" w14:paraId="1BBC2A0D" w14:textId="77777777" w:rsidTr="0078211D">
        <w:tc>
          <w:tcPr>
            <w:tcW w:w="4508" w:type="dxa"/>
          </w:tcPr>
          <w:p w14:paraId="6F1C85E9" w14:textId="77777777" w:rsidR="00B54D51" w:rsidRPr="00037AD4" w:rsidRDefault="00B54D51" w:rsidP="0006531A">
            <w:pPr>
              <w:pStyle w:val="EndNoteBibliography"/>
              <w:rPr>
                <w:rFonts w:asciiTheme="minorHAnsi" w:hAnsiTheme="minorHAnsi" w:cstheme="minorHAnsi"/>
                <w:noProof/>
                <w:color w:val="000000" w:themeColor="text1"/>
                <w:lang w:val="en-GB"/>
              </w:rPr>
            </w:pPr>
            <w:r w:rsidRPr="00037AD4">
              <w:rPr>
                <w:rFonts w:asciiTheme="minorHAnsi" w:hAnsiTheme="minorHAnsi" w:cstheme="minorHAnsi"/>
                <w:noProof/>
                <w:color w:val="000000" w:themeColor="text1"/>
                <w:lang w:val="en-GB"/>
              </w:rPr>
              <w:t xml:space="preserve">Feasibility </w:t>
            </w:r>
          </w:p>
        </w:tc>
        <w:tc>
          <w:tcPr>
            <w:tcW w:w="4508" w:type="dxa"/>
          </w:tcPr>
          <w:p w14:paraId="344A26B8" w14:textId="77777777" w:rsidR="00B54D51" w:rsidRPr="00037AD4" w:rsidRDefault="00B54D51" w:rsidP="0006531A">
            <w:pPr>
              <w:pStyle w:val="EndNoteBibliography"/>
              <w:rPr>
                <w:rFonts w:asciiTheme="minorHAnsi" w:hAnsiTheme="minorHAnsi" w:cstheme="minorHAnsi"/>
                <w:noProof/>
                <w:color w:val="000000" w:themeColor="text1"/>
                <w:lang w:val="en-GB"/>
              </w:rPr>
            </w:pPr>
            <w:r w:rsidRPr="00037AD4">
              <w:rPr>
                <w:rFonts w:asciiTheme="minorHAnsi" w:hAnsiTheme="minorHAnsi" w:cstheme="minorHAnsi"/>
                <w:noProof/>
                <w:color w:val="000000" w:themeColor="text1"/>
                <w:lang w:val="en-GB"/>
              </w:rPr>
              <w:t xml:space="preserve">Recruitment, retention and acceptability </w:t>
            </w:r>
          </w:p>
        </w:tc>
      </w:tr>
      <w:tr w:rsidR="00B54D51" w:rsidRPr="00037AD4" w14:paraId="24C28C02" w14:textId="77777777" w:rsidTr="0078211D">
        <w:tc>
          <w:tcPr>
            <w:tcW w:w="4508" w:type="dxa"/>
          </w:tcPr>
          <w:p w14:paraId="1CA5F9F5" w14:textId="77777777" w:rsidR="00B54D51" w:rsidRPr="00037AD4" w:rsidRDefault="00B54D51" w:rsidP="0006531A">
            <w:pPr>
              <w:pStyle w:val="EndNoteBibliography"/>
              <w:rPr>
                <w:rFonts w:asciiTheme="minorHAnsi" w:hAnsiTheme="minorHAnsi" w:cstheme="minorHAnsi"/>
                <w:noProof/>
                <w:color w:val="000000" w:themeColor="text1"/>
                <w:lang w:val="en-GB"/>
              </w:rPr>
            </w:pPr>
            <w:r w:rsidRPr="00037AD4">
              <w:rPr>
                <w:rFonts w:asciiTheme="minorHAnsi" w:hAnsiTheme="minorHAnsi" w:cstheme="minorHAnsi"/>
                <w:noProof/>
                <w:color w:val="000000" w:themeColor="text1"/>
                <w:lang w:val="en-GB"/>
              </w:rPr>
              <w:t>Function</w:t>
            </w:r>
          </w:p>
        </w:tc>
        <w:tc>
          <w:tcPr>
            <w:tcW w:w="4508" w:type="dxa"/>
          </w:tcPr>
          <w:p w14:paraId="2672FF8D" w14:textId="77777777" w:rsidR="00B54D51" w:rsidRPr="00037AD4" w:rsidRDefault="00B54D51" w:rsidP="0006531A">
            <w:pPr>
              <w:pStyle w:val="EndNoteBibliography"/>
              <w:rPr>
                <w:rFonts w:asciiTheme="minorHAnsi" w:hAnsiTheme="minorHAnsi" w:cstheme="minorHAnsi"/>
                <w:noProof/>
                <w:color w:val="000000" w:themeColor="text1"/>
                <w:lang w:val="en-GB"/>
              </w:rPr>
            </w:pPr>
            <w:r w:rsidRPr="00037AD4">
              <w:rPr>
                <w:rFonts w:asciiTheme="minorHAnsi" w:hAnsiTheme="minorHAnsi" w:cstheme="minorHAnsi"/>
                <w:noProof/>
                <w:color w:val="000000" w:themeColor="text1"/>
                <w:lang w:val="en-GB"/>
              </w:rPr>
              <w:t xml:space="preserve">BADLS (3), Dependence Scale </w:t>
            </w:r>
          </w:p>
        </w:tc>
      </w:tr>
      <w:tr w:rsidR="00B54D51" w:rsidRPr="00037AD4" w14:paraId="05CF510D" w14:textId="77777777" w:rsidTr="0078211D">
        <w:tc>
          <w:tcPr>
            <w:tcW w:w="4508" w:type="dxa"/>
          </w:tcPr>
          <w:p w14:paraId="5681DCA7" w14:textId="77777777" w:rsidR="00B54D51" w:rsidRPr="00037AD4" w:rsidRDefault="00B54D51" w:rsidP="0006531A">
            <w:pPr>
              <w:pStyle w:val="EndNoteBibliography"/>
              <w:rPr>
                <w:rFonts w:asciiTheme="minorHAnsi" w:hAnsiTheme="minorHAnsi" w:cstheme="minorHAnsi"/>
                <w:noProof/>
                <w:color w:val="000000" w:themeColor="text1"/>
                <w:lang w:val="en-GB"/>
              </w:rPr>
            </w:pPr>
            <w:r w:rsidRPr="00037AD4">
              <w:rPr>
                <w:rFonts w:asciiTheme="minorHAnsi" w:hAnsiTheme="minorHAnsi" w:cstheme="minorHAnsi"/>
                <w:noProof/>
                <w:color w:val="000000" w:themeColor="text1"/>
                <w:lang w:val="en-GB"/>
              </w:rPr>
              <w:t xml:space="preserve">Goal setting </w:t>
            </w:r>
          </w:p>
        </w:tc>
        <w:tc>
          <w:tcPr>
            <w:tcW w:w="4508" w:type="dxa"/>
          </w:tcPr>
          <w:p w14:paraId="4EFAC7C9" w14:textId="77777777" w:rsidR="00B54D51" w:rsidRPr="00037AD4" w:rsidRDefault="00B54D51" w:rsidP="0006531A">
            <w:pPr>
              <w:pStyle w:val="EndNoteBibliography"/>
              <w:rPr>
                <w:rFonts w:asciiTheme="minorHAnsi" w:hAnsiTheme="minorHAnsi" w:cstheme="minorHAnsi"/>
                <w:noProof/>
                <w:color w:val="000000" w:themeColor="text1"/>
                <w:lang w:val="en-GB"/>
              </w:rPr>
            </w:pPr>
            <w:r w:rsidRPr="00037AD4">
              <w:rPr>
                <w:rFonts w:asciiTheme="minorHAnsi" w:hAnsiTheme="minorHAnsi" w:cstheme="minorHAnsi"/>
                <w:noProof/>
                <w:color w:val="000000" w:themeColor="text1"/>
                <w:lang w:val="en-GB"/>
              </w:rPr>
              <w:t xml:space="preserve">Bangor Goal-setting interview </w:t>
            </w:r>
          </w:p>
        </w:tc>
      </w:tr>
      <w:tr w:rsidR="00B54D51" w:rsidRPr="00037AD4" w14:paraId="630892A8" w14:textId="77777777" w:rsidTr="0078211D">
        <w:tc>
          <w:tcPr>
            <w:tcW w:w="4508" w:type="dxa"/>
          </w:tcPr>
          <w:p w14:paraId="7D6509D4" w14:textId="77777777" w:rsidR="00B54D51" w:rsidRPr="00037AD4" w:rsidRDefault="00B54D51" w:rsidP="0006531A">
            <w:pPr>
              <w:pStyle w:val="EndNoteBibliography"/>
              <w:rPr>
                <w:rFonts w:asciiTheme="minorHAnsi" w:hAnsiTheme="minorHAnsi" w:cstheme="minorHAnsi"/>
                <w:noProof/>
                <w:color w:val="000000" w:themeColor="text1"/>
                <w:lang w:val="en-GB"/>
              </w:rPr>
            </w:pPr>
            <w:r w:rsidRPr="00037AD4">
              <w:rPr>
                <w:rFonts w:asciiTheme="minorHAnsi" w:hAnsiTheme="minorHAnsi" w:cstheme="minorHAnsi"/>
                <w:noProof/>
                <w:color w:val="000000" w:themeColor="text1"/>
                <w:lang w:val="en-GB"/>
              </w:rPr>
              <w:t>HRQoL</w:t>
            </w:r>
          </w:p>
        </w:tc>
        <w:tc>
          <w:tcPr>
            <w:tcW w:w="4508" w:type="dxa"/>
          </w:tcPr>
          <w:p w14:paraId="28370D5E" w14:textId="77777777" w:rsidR="00B54D51" w:rsidRPr="00037AD4" w:rsidRDefault="00B54D51" w:rsidP="0006531A">
            <w:pPr>
              <w:pStyle w:val="EndNoteBibliography"/>
              <w:rPr>
                <w:rFonts w:asciiTheme="minorHAnsi" w:hAnsiTheme="minorHAnsi" w:cstheme="minorHAnsi"/>
                <w:noProof/>
                <w:color w:val="000000" w:themeColor="text1"/>
                <w:lang w:val="en-GB"/>
              </w:rPr>
            </w:pPr>
            <w:r w:rsidRPr="00037AD4">
              <w:rPr>
                <w:rFonts w:asciiTheme="minorHAnsi" w:hAnsiTheme="minorHAnsi" w:cstheme="minorHAnsi"/>
                <w:noProof/>
                <w:color w:val="000000" w:themeColor="text1"/>
                <w:lang w:val="en-GB"/>
              </w:rPr>
              <w:t>DEMQoL (4), QoL-AD (2), EQ-5D (2)</w:t>
            </w:r>
          </w:p>
        </w:tc>
      </w:tr>
      <w:tr w:rsidR="00B54D51" w:rsidRPr="00037AD4" w14:paraId="570FD41E" w14:textId="77777777" w:rsidTr="0078211D">
        <w:tc>
          <w:tcPr>
            <w:tcW w:w="4508" w:type="dxa"/>
          </w:tcPr>
          <w:p w14:paraId="5AEF2A1F" w14:textId="77777777" w:rsidR="00B54D51" w:rsidRPr="00037AD4" w:rsidRDefault="00B54D51" w:rsidP="0006531A">
            <w:pPr>
              <w:pStyle w:val="EndNoteBibliography"/>
              <w:rPr>
                <w:rFonts w:asciiTheme="minorHAnsi" w:hAnsiTheme="minorHAnsi" w:cstheme="minorHAnsi"/>
                <w:noProof/>
                <w:color w:val="000000" w:themeColor="text1"/>
                <w:lang w:val="en-GB"/>
              </w:rPr>
            </w:pPr>
            <w:r w:rsidRPr="00037AD4">
              <w:rPr>
                <w:rFonts w:asciiTheme="minorHAnsi" w:hAnsiTheme="minorHAnsi" w:cstheme="minorHAnsi"/>
                <w:noProof/>
                <w:color w:val="000000" w:themeColor="text1"/>
                <w:lang w:val="en-GB"/>
              </w:rPr>
              <w:t>Needs assessment</w:t>
            </w:r>
          </w:p>
        </w:tc>
        <w:tc>
          <w:tcPr>
            <w:tcW w:w="4508" w:type="dxa"/>
          </w:tcPr>
          <w:p w14:paraId="242FC11A" w14:textId="77777777" w:rsidR="00B54D51" w:rsidRPr="00037AD4" w:rsidRDefault="00B54D51" w:rsidP="0006531A">
            <w:pPr>
              <w:pStyle w:val="EndNoteBibliography"/>
              <w:rPr>
                <w:rFonts w:asciiTheme="minorHAnsi" w:hAnsiTheme="minorHAnsi" w:cstheme="minorHAnsi"/>
                <w:noProof/>
                <w:color w:val="000000" w:themeColor="text1"/>
                <w:lang w:val="en-GB"/>
              </w:rPr>
            </w:pPr>
            <w:r w:rsidRPr="00037AD4">
              <w:rPr>
                <w:rFonts w:asciiTheme="minorHAnsi" w:hAnsiTheme="minorHAnsi" w:cstheme="minorHAnsi"/>
                <w:noProof/>
                <w:color w:val="000000" w:themeColor="text1"/>
                <w:lang w:val="en-GB"/>
              </w:rPr>
              <w:t xml:space="preserve">CANE </w:t>
            </w:r>
          </w:p>
        </w:tc>
      </w:tr>
      <w:tr w:rsidR="00B54D51" w:rsidRPr="00037AD4" w14:paraId="02426AEE" w14:textId="77777777" w:rsidTr="0078211D">
        <w:tc>
          <w:tcPr>
            <w:tcW w:w="4508" w:type="dxa"/>
          </w:tcPr>
          <w:p w14:paraId="15495C4A" w14:textId="77777777" w:rsidR="00B54D51" w:rsidRPr="00037AD4" w:rsidRDefault="00B54D51" w:rsidP="0006531A">
            <w:pPr>
              <w:pStyle w:val="EndNoteBibliography"/>
              <w:rPr>
                <w:rFonts w:asciiTheme="minorHAnsi" w:hAnsiTheme="minorHAnsi" w:cstheme="minorHAnsi"/>
                <w:noProof/>
                <w:color w:val="000000" w:themeColor="text1"/>
                <w:lang w:val="en-GB"/>
              </w:rPr>
            </w:pPr>
            <w:r w:rsidRPr="00037AD4">
              <w:rPr>
                <w:rFonts w:asciiTheme="minorHAnsi" w:hAnsiTheme="minorHAnsi" w:cstheme="minorHAnsi"/>
                <w:noProof/>
                <w:color w:val="000000" w:themeColor="text1"/>
                <w:lang w:val="en-GB"/>
              </w:rPr>
              <w:t>Other</w:t>
            </w:r>
          </w:p>
        </w:tc>
        <w:tc>
          <w:tcPr>
            <w:tcW w:w="4508" w:type="dxa"/>
          </w:tcPr>
          <w:p w14:paraId="3A66511C" w14:textId="77777777" w:rsidR="00B54D51" w:rsidRPr="00037AD4" w:rsidRDefault="00B54D51" w:rsidP="0006531A">
            <w:pPr>
              <w:pStyle w:val="EndNoteBibliography"/>
              <w:rPr>
                <w:rFonts w:asciiTheme="minorHAnsi" w:hAnsiTheme="minorHAnsi" w:cstheme="minorHAnsi"/>
                <w:noProof/>
                <w:color w:val="000000" w:themeColor="text1"/>
                <w:lang w:val="en-GB"/>
              </w:rPr>
            </w:pPr>
            <w:r w:rsidRPr="00037AD4">
              <w:rPr>
                <w:rFonts w:asciiTheme="minorHAnsi" w:hAnsiTheme="minorHAnsi" w:cstheme="minorHAnsi"/>
                <w:noProof/>
                <w:color w:val="000000" w:themeColor="text1"/>
                <w:lang w:val="en-GB"/>
              </w:rPr>
              <w:t xml:space="preserve">Number of reviews, Time to institutionalisation, WHO-5  </w:t>
            </w:r>
          </w:p>
        </w:tc>
      </w:tr>
      <w:tr w:rsidR="00B54D51" w:rsidRPr="00037AD4" w14:paraId="4572218B" w14:textId="77777777" w:rsidTr="0078211D">
        <w:tc>
          <w:tcPr>
            <w:tcW w:w="4508" w:type="dxa"/>
          </w:tcPr>
          <w:p w14:paraId="490CD213" w14:textId="77777777" w:rsidR="00B54D51" w:rsidRPr="00037AD4" w:rsidRDefault="00B54D51" w:rsidP="0006531A">
            <w:pPr>
              <w:pStyle w:val="EndNoteBibliography"/>
              <w:rPr>
                <w:rFonts w:asciiTheme="minorHAnsi" w:hAnsiTheme="minorHAnsi" w:cstheme="minorHAnsi"/>
                <w:noProof/>
                <w:color w:val="000000" w:themeColor="text1"/>
                <w:lang w:val="en-GB"/>
              </w:rPr>
            </w:pPr>
            <w:r w:rsidRPr="00037AD4">
              <w:rPr>
                <w:rFonts w:asciiTheme="minorHAnsi" w:hAnsiTheme="minorHAnsi" w:cstheme="minorHAnsi"/>
                <w:noProof/>
                <w:color w:val="000000" w:themeColor="text1"/>
                <w:lang w:val="en-GB"/>
              </w:rPr>
              <w:t>Resource use</w:t>
            </w:r>
          </w:p>
        </w:tc>
        <w:tc>
          <w:tcPr>
            <w:tcW w:w="4508" w:type="dxa"/>
          </w:tcPr>
          <w:p w14:paraId="0BE403CA" w14:textId="77777777" w:rsidR="00B54D51" w:rsidRPr="00037AD4" w:rsidRDefault="00B54D51" w:rsidP="0006531A">
            <w:pPr>
              <w:pStyle w:val="EndNoteBibliography"/>
              <w:rPr>
                <w:rFonts w:asciiTheme="minorHAnsi" w:hAnsiTheme="minorHAnsi" w:cstheme="minorHAnsi"/>
                <w:noProof/>
                <w:color w:val="000000" w:themeColor="text1"/>
                <w:lang w:val="en-GB"/>
              </w:rPr>
            </w:pPr>
            <w:r w:rsidRPr="00037AD4">
              <w:rPr>
                <w:rFonts w:asciiTheme="minorHAnsi" w:hAnsiTheme="minorHAnsi" w:cstheme="minorHAnsi"/>
                <w:noProof/>
                <w:color w:val="000000" w:themeColor="text1"/>
                <w:lang w:val="en-GB"/>
              </w:rPr>
              <w:t xml:space="preserve">CSRI, RUD </w:t>
            </w:r>
          </w:p>
        </w:tc>
      </w:tr>
      <w:tr w:rsidR="00B54D51" w:rsidRPr="00037AD4" w14:paraId="3A795AC0" w14:textId="77777777" w:rsidTr="0078211D">
        <w:tc>
          <w:tcPr>
            <w:tcW w:w="4508" w:type="dxa"/>
          </w:tcPr>
          <w:p w14:paraId="467D9E13" w14:textId="77777777" w:rsidR="00B54D51" w:rsidRPr="00037AD4" w:rsidRDefault="00B54D51" w:rsidP="0006531A">
            <w:pPr>
              <w:pStyle w:val="EndNoteBibliography"/>
              <w:rPr>
                <w:rFonts w:asciiTheme="minorHAnsi" w:hAnsiTheme="minorHAnsi" w:cstheme="minorHAnsi"/>
                <w:noProof/>
                <w:color w:val="000000" w:themeColor="text1"/>
                <w:lang w:val="en-GB"/>
              </w:rPr>
            </w:pPr>
            <w:r w:rsidRPr="00037AD4">
              <w:rPr>
                <w:rFonts w:asciiTheme="minorHAnsi" w:hAnsiTheme="minorHAnsi" w:cstheme="minorHAnsi"/>
                <w:noProof/>
                <w:color w:val="000000" w:themeColor="text1"/>
                <w:lang w:val="en-GB"/>
              </w:rPr>
              <w:t xml:space="preserve">Sleep quality </w:t>
            </w:r>
          </w:p>
        </w:tc>
        <w:tc>
          <w:tcPr>
            <w:tcW w:w="4508" w:type="dxa"/>
          </w:tcPr>
          <w:p w14:paraId="5C260ACE" w14:textId="77777777" w:rsidR="00B54D51" w:rsidRPr="00037AD4" w:rsidRDefault="00B54D51" w:rsidP="0006531A">
            <w:pPr>
              <w:pStyle w:val="EndNoteBibliography"/>
              <w:rPr>
                <w:rFonts w:asciiTheme="minorHAnsi" w:hAnsiTheme="minorHAnsi" w:cstheme="minorHAnsi"/>
                <w:noProof/>
                <w:color w:val="000000" w:themeColor="text1"/>
                <w:lang w:val="en-GB"/>
              </w:rPr>
            </w:pPr>
            <w:r w:rsidRPr="00037AD4">
              <w:rPr>
                <w:rFonts w:asciiTheme="minorHAnsi" w:hAnsiTheme="minorHAnsi" w:cstheme="minorHAnsi"/>
                <w:noProof/>
                <w:color w:val="000000" w:themeColor="text1"/>
                <w:lang w:val="en-GB"/>
              </w:rPr>
              <w:t xml:space="preserve">SDI </w:t>
            </w:r>
          </w:p>
        </w:tc>
      </w:tr>
      <w:tr w:rsidR="00B54D51" w:rsidRPr="00037AD4" w14:paraId="4D67E199" w14:textId="77777777" w:rsidTr="002C5A55">
        <w:tc>
          <w:tcPr>
            <w:tcW w:w="9016" w:type="dxa"/>
            <w:gridSpan w:val="2"/>
          </w:tcPr>
          <w:p w14:paraId="5C9B5064" w14:textId="77777777" w:rsidR="00B54D51" w:rsidRPr="00037AD4" w:rsidRDefault="00B54D51" w:rsidP="00276FE7">
            <w:pPr>
              <w:rPr>
                <w:rFonts w:asciiTheme="minorHAnsi" w:hAnsiTheme="minorHAnsi" w:cstheme="minorHAnsi"/>
                <w:noProof/>
                <w:color w:val="000000" w:themeColor="text1"/>
                <w:sz w:val="22"/>
                <w:szCs w:val="22"/>
              </w:rPr>
            </w:pPr>
            <w:r w:rsidRPr="00037AD4">
              <w:rPr>
                <w:rFonts w:asciiTheme="minorHAnsi" w:hAnsiTheme="minorHAnsi" w:cstheme="minorHAnsi"/>
                <w:noProof/>
                <w:sz w:val="20"/>
                <w:szCs w:val="20"/>
              </w:rPr>
              <w:t xml:space="preserve">ADAS-Cog, </w:t>
            </w:r>
            <w:r w:rsidRPr="00037AD4">
              <w:rPr>
                <w:rFonts w:asciiTheme="minorHAnsi" w:hAnsiTheme="minorHAnsi" w:cstheme="minorHAnsi"/>
                <w:sz w:val="20"/>
                <w:szCs w:val="20"/>
              </w:rPr>
              <w:t xml:space="preserve">Alzheimer’s Disease Assessment Scale – Cognitive subscale; </w:t>
            </w:r>
            <w:r w:rsidRPr="00037AD4">
              <w:rPr>
                <w:rFonts w:asciiTheme="minorHAnsi" w:hAnsiTheme="minorHAnsi" w:cstheme="minorHAnsi"/>
                <w:noProof/>
                <w:sz w:val="20"/>
                <w:szCs w:val="20"/>
              </w:rPr>
              <w:t>BADLS, Bristol Activities of Daily Living scale; CAMDOG-DS,</w:t>
            </w:r>
            <w:r w:rsidRPr="00037AD4">
              <w:rPr>
                <w:rFonts w:asciiTheme="minorHAnsi" w:hAnsiTheme="minorHAnsi" w:cstheme="minorHAnsi"/>
                <w:sz w:val="20"/>
                <w:szCs w:val="20"/>
              </w:rPr>
              <w:t xml:space="preserve"> Cambridge cognitive examination for older adults with Down’s syndrome; </w:t>
            </w:r>
            <w:r w:rsidRPr="00037AD4">
              <w:rPr>
                <w:rFonts w:asciiTheme="minorHAnsi" w:hAnsiTheme="minorHAnsi" w:cstheme="minorHAnsi"/>
                <w:noProof/>
                <w:sz w:val="20"/>
                <w:szCs w:val="20"/>
              </w:rPr>
              <w:t xml:space="preserve">CANE, </w:t>
            </w:r>
            <w:r w:rsidRPr="00037AD4">
              <w:rPr>
                <w:rFonts w:asciiTheme="minorHAnsi" w:hAnsiTheme="minorHAnsi" w:cstheme="minorHAnsi"/>
                <w:sz w:val="20"/>
                <w:szCs w:val="20"/>
              </w:rPr>
              <w:t xml:space="preserve">Camberwell Assessment of Needs for the Elderly; </w:t>
            </w:r>
            <w:r w:rsidRPr="00037AD4">
              <w:rPr>
                <w:rFonts w:asciiTheme="minorHAnsi" w:hAnsiTheme="minorHAnsi" w:cstheme="minorHAnsi"/>
                <w:noProof/>
                <w:sz w:val="20"/>
                <w:szCs w:val="20"/>
              </w:rPr>
              <w:t xml:space="preserve">CMAI, </w:t>
            </w:r>
            <w:r w:rsidRPr="00037AD4">
              <w:rPr>
                <w:rFonts w:asciiTheme="minorHAnsi" w:hAnsiTheme="minorHAnsi" w:cstheme="minorHAnsi"/>
                <w:sz w:val="20"/>
                <w:szCs w:val="20"/>
              </w:rPr>
              <w:t xml:space="preserve">CMAI, Cohen Mansfield Agitation Inventory; CSRI, Client Services Receipt Inventory; CSDD, Cornell Scale for Depression in Dementia; DEMQoL, </w:t>
            </w:r>
            <w:r w:rsidRPr="00037AD4">
              <w:rPr>
                <w:rFonts w:asciiTheme="minorHAnsi" w:hAnsiTheme="minorHAnsi" w:cstheme="minorHAnsi"/>
                <w:sz w:val="20"/>
                <w:szCs w:val="20"/>
                <w:shd w:val="clear" w:color="auto" w:fill="FFFFFF"/>
              </w:rPr>
              <w:t>Dementia Quality of life scale; NPI, Neuropsychiatric Inventory; QoL-AD, Q</w:t>
            </w:r>
            <w:r w:rsidRPr="00037AD4">
              <w:rPr>
                <w:rFonts w:asciiTheme="minorHAnsi" w:hAnsiTheme="minorHAnsi" w:cstheme="minorHAnsi"/>
                <w:sz w:val="20"/>
                <w:szCs w:val="20"/>
              </w:rPr>
              <w:t xml:space="preserve">uality of Life in Alzheimer’s Disease scale; RUD, Resource Utilisation in Dementia; SDI, Sleep Disorders Inventory; SDMT, Symbol Digit Modalities Test; WHO-5, The World Health Organisation Five Well-Being Index </w:t>
            </w:r>
          </w:p>
        </w:tc>
      </w:tr>
    </w:tbl>
    <w:p w14:paraId="2546792F" w14:textId="77777777" w:rsidR="00B54D51" w:rsidRPr="00037AD4" w:rsidRDefault="00B54D51" w:rsidP="0006531A">
      <w:pPr>
        <w:pStyle w:val="EndNoteBibliography"/>
        <w:rPr>
          <w:rFonts w:asciiTheme="minorHAnsi" w:hAnsiTheme="minorHAnsi" w:cstheme="minorHAnsi"/>
          <w:noProof/>
          <w:color w:val="000000" w:themeColor="text1"/>
          <w:lang w:val="en-GB"/>
        </w:rPr>
      </w:pPr>
    </w:p>
    <w:p w14:paraId="1BA3C84F" w14:textId="77777777" w:rsidR="00B54D51" w:rsidRPr="00037AD4" w:rsidRDefault="00B54D51" w:rsidP="0006531A">
      <w:pPr>
        <w:pStyle w:val="EndNoteBibliography"/>
        <w:rPr>
          <w:rFonts w:asciiTheme="minorHAnsi" w:hAnsiTheme="minorHAnsi" w:cstheme="minorHAnsi"/>
          <w:noProof/>
          <w:lang w:val="en-GB"/>
        </w:rPr>
      </w:pPr>
      <w:r w:rsidRPr="00037AD4">
        <w:rPr>
          <w:rFonts w:asciiTheme="minorHAnsi" w:hAnsiTheme="minorHAnsi" w:cstheme="minorHAnsi"/>
          <w:noProof/>
          <w:color w:val="000000" w:themeColor="text1"/>
          <w:lang w:val="en-GB"/>
        </w:rPr>
        <w:t xml:space="preserve">For all types of trials and studies, the primary and secondary outcomes considered for collection are related to the type of intervention and its goals as a treatment. Through the search for dementia trials, both interventional and non-interventional studies were </w:t>
      </w:r>
      <w:r w:rsidRPr="00037AD4">
        <w:rPr>
          <w:rFonts w:asciiTheme="minorHAnsi" w:hAnsiTheme="minorHAnsi" w:cstheme="minorHAnsi"/>
          <w:noProof/>
          <w:color w:val="000000" w:themeColor="text1"/>
          <w:lang w:val="en-GB"/>
        </w:rPr>
        <w:lastRenderedPageBreak/>
        <w:t xml:space="preserve">identified, leading to the concept of categorising dementia trials into three key types: </w:t>
      </w:r>
      <w:r w:rsidRPr="00037AD4">
        <w:rPr>
          <w:rFonts w:asciiTheme="minorHAnsi" w:hAnsiTheme="minorHAnsi" w:cstheme="minorHAnsi"/>
          <w:i/>
          <w:iCs/>
          <w:noProof/>
          <w:color w:val="000000" w:themeColor="text1"/>
          <w:lang w:val="en-GB"/>
        </w:rPr>
        <w:t>pharmacological, non-pharmacological</w:t>
      </w:r>
      <w:r w:rsidRPr="00037AD4">
        <w:rPr>
          <w:rFonts w:asciiTheme="minorHAnsi" w:hAnsiTheme="minorHAnsi" w:cstheme="minorHAnsi"/>
          <w:noProof/>
          <w:color w:val="000000" w:themeColor="text1"/>
          <w:lang w:val="en-GB"/>
        </w:rPr>
        <w:t xml:space="preserve"> and</w:t>
      </w:r>
      <w:r w:rsidRPr="00037AD4">
        <w:rPr>
          <w:rFonts w:asciiTheme="minorHAnsi" w:hAnsiTheme="minorHAnsi" w:cstheme="minorHAnsi"/>
          <w:i/>
          <w:iCs/>
          <w:noProof/>
          <w:color w:val="000000" w:themeColor="text1"/>
          <w:lang w:val="en-GB"/>
        </w:rPr>
        <w:t xml:space="preserve"> non-interventional studies.</w:t>
      </w:r>
      <w:r w:rsidRPr="00037AD4">
        <w:rPr>
          <w:rFonts w:asciiTheme="minorHAnsi" w:hAnsiTheme="minorHAnsi" w:cstheme="minorHAnsi"/>
          <w:noProof/>
          <w:color w:val="000000" w:themeColor="text1"/>
          <w:lang w:val="en-GB"/>
        </w:rPr>
        <w:t xml:space="preserve"> </w:t>
      </w:r>
      <w:r w:rsidRPr="00037AD4">
        <w:rPr>
          <w:rFonts w:asciiTheme="minorHAnsi" w:hAnsiTheme="minorHAnsi" w:cstheme="minorHAnsi"/>
          <w:lang w:val="en-GB"/>
        </w:rPr>
        <w:t>All of which have specific objectives that are relevant within their respective classifications.</w:t>
      </w:r>
    </w:p>
    <w:p w14:paraId="75483611" w14:textId="77777777" w:rsidR="00B54D51" w:rsidRPr="00037AD4" w:rsidRDefault="00B54D51" w:rsidP="0006531A">
      <w:pPr>
        <w:pStyle w:val="EndNoteBibliography"/>
        <w:rPr>
          <w:rFonts w:asciiTheme="minorHAnsi" w:hAnsiTheme="minorHAnsi" w:cstheme="minorHAnsi"/>
          <w:i/>
          <w:iCs/>
          <w:noProof/>
          <w:color w:val="000000" w:themeColor="text1"/>
          <w:lang w:val="en-GB"/>
        </w:rPr>
      </w:pPr>
    </w:p>
    <w:p w14:paraId="6E4F334B" w14:textId="77777777" w:rsidR="00B54D51" w:rsidRPr="00037AD4" w:rsidRDefault="00B54D51" w:rsidP="0006531A">
      <w:pPr>
        <w:pStyle w:val="EndNoteBibliography"/>
        <w:rPr>
          <w:rFonts w:asciiTheme="minorHAnsi" w:hAnsiTheme="minorHAnsi" w:cstheme="minorHAnsi"/>
          <w:noProof/>
          <w:color w:val="000000" w:themeColor="text1"/>
          <w:lang w:val="en-GB"/>
        </w:rPr>
      </w:pPr>
      <w:r w:rsidRPr="00037AD4">
        <w:rPr>
          <w:rFonts w:asciiTheme="minorHAnsi" w:hAnsiTheme="minorHAnsi" w:cstheme="minorHAnsi"/>
          <w:noProof/>
          <w:color w:val="000000" w:themeColor="text1"/>
          <w:lang w:val="en-GB"/>
        </w:rPr>
        <w:t xml:space="preserve">There is no known cure for dementia. Therefore pharmacological interventions such as drug therapies aim to slow down dementia progression and/or manage the symptoms of dementia. There are two main drug classes in terms of dementia medication: cholinesterase inhibitors and NMDA </w:t>
      </w:r>
      <w:r w:rsidRPr="00037AD4">
        <w:rPr>
          <w:rFonts w:asciiTheme="minorHAnsi" w:hAnsiTheme="minorHAnsi" w:cstheme="minorHAnsi"/>
          <w:lang w:val="en-GB"/>
        </w:rPr>
        <w:t>(N-Methyl-D-Aspartate)</w:t>
      </w:r>
      <w:r w:rsidRPr="00037AD4">
        <w:rPr>
          <w:rFonts w:asciiTheme="minorHAnsi" w:hAnsiTheme="minorHAnsi" w:cstheme="minorHAnsi"/>
          <w:noProof/>
          <w:color w:val="000000" w:themeColor="text1"/>
          <w:lang w:val="en-GB"/>
        </w:rPr>
        <w:t xml:space="preserve"> receptor antagonists </w:t>
      </w:r>
      <w:r>
        <w:rPr>
          <w:rFonts w:asciiTheme="minorHAnsi" w:hAnsiTheme="minorHAnsi" w:cstheme="minorHAnsi"/>
          <w:noProof/>
          <w:color w:val="000000" w:themeColor="text1"/>
          <w:lang w:val="en-GB"/>
        </w:rPr>
        <w:t>(Jones, 2011)</w:t>
      </w:r>
      <w:r w:rsidRPr="00037AD4">
        <w:rPr>
          <w:rFonts w:asciiTheme="minorHAnsi" w:hAnsiTheme="minorHAnsi" w:cstheme="minorHAnsi"/>
          <w:noProof/>
          <w:color w:val="000000" w:themeColor="text1"/>
          <w:lang w:val="en-GB"/>
        </w:rPr>
        <w:t xml:space="preserve">. Both drug classes have slightly different mechanisms of action, but similarly affect receptors in the brain and can be used in combination. Both of these drug classes have the shared goal of slowing down cognitive decline, therefore trials of these interventions may typically opt to measure cognition as the primary outcome. </w:t>
      </w:r>
    </w:p>
    <w:p w14:paraId="6F6FADAB" w14:textId="77777777" w:rsidR="00B54D51" w:rsidRPr="00037AD4" w:rsidRDefault="00B54D51" w:rsidP="0006531A">
      <w:pPr>
        <w:pStyle w:val="EndNoteBibliography"/>
        <w:rPr>
          <w:rFonts w:asciiTheme="minorHAnsi" w:hAnsiTheme="minorHAnsi" w:cstheme="minorHAnsi"/>
          <w:noProof/>
          <w:color w:val="000000" w:themeColor="text1"/>
          <w:lang w:val="en-GB"/>
        </w:rPr>
      </w:pPr>
    </w:p>
    <w:p w14:paraId="2A6668D7" w14:textId="77777777" w:rsidR="00B54D51" w:rsidRPr="00037AD4" w:rsidRDefault="00B54D51" w:rsidP="0006531A">
      <w:pPr>
        <w:pStyle w:val="EndNoteBibliography"/>
        <w:rPr>
          <w:rFonts w:asciiTheme="minorHAnsi" w:hAnsiTheme="minorHAnsi" w:cstheme="minorHAnsi"/>
          <w:noProof/>
          <w:color w:val="000000" w:themeColor="text1"/>
          <w:lang w:val="en-GB"/>
        </w:rPr>
      </w:pPr>
      <w:r w:rsidRPr="00037AD4">
        <w:rPr>
          <w:rFonts w:asciiTheme="minorHAnsi" w:hAnsiTheme="minorHAnsi" w:cstheme="minorHAnsi"/>
          <w:noProof/>
          <w:color w:val="000000" w:themeColor="text1"/>
          <w:lang w:val="en-GB"/>
        </w:rPr>
        <w:t>Non-pharmacological interventions are evidence-based treatments with a non-drug focus. Key types of non-pharmacological intervention</w:t>
      </w:r>
      <w:r>
        <w:rPr>
          <w:rFonts w:asciiTheme="minorHAnsi" w:hAnsiTheme="minorHAnsi" w:cstheme="minorHAnsi"/>
          <w:noProof/>
          <w:color w:val="000000" w:themeColor="text1"/>
          <w:lang w:val="en-GB"/>
        </w:rPr>
        <w:t>s for dementia</w:t>
      </w:r>
      <w:r w:rsidRPr="00037AD4">
        <w:rPr>
          <w:rFonts w:asciiTheme="minorHAnsi" w:hAnsiTheme="minorHAnsi" w:cstheme="minorHAnsi"/>
          <w:noProof/>
          <w:color w:val="000000" w:themeColor="text1"/>
          <w:lang w:val="en-GB"/>
        </w:rPr>
        <w:t xml:space="preserve"> are psychosocial treatments such as cognitive behavioural therapy (CBT) and occupational therapy </w:t>
      </w:r>
      <w:r>
        <w:rPr>
          <w:rFonts w:asciiTheme="minorHAnsi" w:hAnsiTheme="minorHAnsi" w:cstheme="minorHAnsi"/>
          <w:noProof/>
          <w:color w:val="000000" w:themeColor="text1"/>
          <w:lang w:val="en-GB"/>
        </w:rPr>
        <w:t>(Oyebode and Parveen, 2019)</w:t>
      </w:r>
      <w:r w:rsidRPr="00037AD4">
        <w:rPr>
          <w:rFonts w:asciiTheme="minorHAnsi" w:hAnsiTheme="minorHAnsi" w:cstheme="minorHAnsi"/>
          <w:noProof/>
          <w:color w:val="000000" w:themeColor="text1"/>
          <w:lang w:val="en-GB"/>
        </w:rPr>
        <w:t xml:space="preserve">. These types of treatments typically involve working with the PwD to problem solve and to teach them new skills to modify dysfunctional thinking and </w:t>
      </w:r>
      <w:r w:rsidRPr="00037AD4">
        <w:rPr>
          <w:rFonts w:asciiTheme="minorHAnsi" w:hAnsiTheme="minorHAnsi" w:cstheme="minorHAnsi"/>
          <w:noProof/>
          <w:lang w:val="en-GB"/>
        </w:rPr>
        <w:t xml:space="preserve">behaviours </w:t>
      </w:r>
      <w:r>
        <w:rPr>
          <w:rFonts w:asciiTheme="minorHAnsi" w:hAnsiTheme="minorHAnsi" w:cstheme="minorHAnsi"/>
          <w:noProof/>
          <w:lang w:val="en-GB"/>
        </w:rPr>
        <w:t>(Patel et al., 2014)</w:t>
      </w:r>
      <w:r w:rsidRPr="00037AD4">
        <w:rPr>
          <w:rFonts w:asciiTheme="minorHAnsi" w:hAnsiTheme="minorHAnsi" w:cstheme="minorHAnsi"/>
          <w:noProof/>
          <w:lang w:val="en-GB"/>
        </w:rPr>
        <w:t xml:space="preserve">. While </w:t>
      </w:r>
      <w:r w:rsidRPr="00037AD4">
        <w:rPr>
          <w:rFonts w:asciiTheme="minorHAnsi" w:hAnsiTheme="minorHAnsi" w:cstheme="minorHAnsi"/>
          <w:noProof/>
          <w:color w:val="000000" w:themeColor="text1"/>
          <w:lang w:val="en-GB"/>
        </w:rPr>
        <w:t xml:space="preserve">they may have a range of goals, these psychosocial interventions mainly centre around promoting living independently (via improving basic daily functioning) and general well-being. These outcomes may be captured by a range of measures, including PROMs. </w:t>
      </w:r>
    </w:p>
    <w:p w14:paraId="35D0D35A" w14:textId="77777777" w:rsidR="00B54D51" w:rsidRPr="00037AD4" w:rsidRDefault="00B54D51" w:rsidP="0006531A">
      <w:pPr>
        <w:pStyle w:val="EndNoteBibliography"/>
        <w:rPr>
          <w:rFonts w:asciiTheme="minorHAnsi" w:hAnsiTheme="minorHAnsi" w:cstheme="minorHAnsi"/>
          <w:noProof/>
          <w:color w:val="000000" w:themeColor="text1"/>
          <w:lang w:val="en-GB"/>
        </w:rPr>
      </w:pPr>
    </w:p>
    <w:p w14:paraId="2748F5F8" w14:textId="77777777" w:rsidR="00B54D51" w:rsidRPr="00037AD4" w:rsidRDefault="00B54D51" w:rsidP="0006531A">
      <w:pPr>
        <w:pStyle w:val="EndNoteBibliography"/>
        <w:rPr>
          <w:rFonts w:asciiTheme="minorHAnsi" w:hAnsiTheme="minorHAnsi" w:cstheme="minorHAnsi"/>
          <w:noProof/>
          <w:color w:val="000000" w:themeColor="text1"/>
          <w:lang w:val="en-GB"/>
        </w:rPr>
      </w:pPr>
      <w:r w:rsidRPr="00037AD4">
        <w:rPr>
          <w:rFonts w:asciiTheme="minorHAnsi" w:hAnsiTheme="minorHAnsi" w:cstheme="minorHAnsi"/>
          <w:noProof/>
          <w:color w:val="000000" w:themeColor="text1"/>
          <w:lang w:val="en-GB"/>
        </w:rPr>
        <w:t xml:space="preserve">Other non-pharmacological interventions such as exercise programmes, music, dance and multi-sensory therapies generally have broader non-clinical aims such as impacting well-being and promoting living well with dementia. These types of interventions are often considered in addition to pharmacological and psychosocial interventions. Although they have broad applications and address the non-cognitive symptoms of dementia such as agitation, aggression and sleep disorders </w:t>
      </w:r>
      <w:r>
        <w:rPr>
          <w:rFonts w:asciiTheme="minorHAnsi" w:hAnsiTheme="minorHAnsi" w:cstheme="minorHAnsi"/>
          <w:noProof/>
          <w:color w:val="000000" w:themeColor="text1"/>
          <w:lang w:val="en-GB"/>
        </w:rPr>
        <w:t>(Douglas et al., 2004)</w:t>
      </w:r>
      <w:r w:rsidRPr="00037AD4">
        <w:rPr>
          <w:rFonts w:asciiTheme="minorHAnsi" w:hAnsiTheme="minorHAnsi" w:cstheme="minorHAnsi"/>
          <w:noProof/>
          <w:color w:val="000000" w:themeColor="text1"/>
          <w:lang w:val="en-GB"/>
        </w:rPr>
        <w:t xml:space="preserve">, they are often difficult to show as cost effective due to limitations in the quality of the available evidence </w:t>
      </w:r>
      <w:r>
        <w:rPr>
          <w:rFonts w:asciiTheme="minorHAnsi" w:hAnsiTheme="minorHAnsi" w:cstheme="minorHAnsi"/>
          <w:noProof/>
          <w:color w:val="000000" w:themeColor="text1"/>
          <w:lang w:val="en-GB"/>
        </w:rPr>
        <w:t>(Nickel et al., 2018)</w:t>
      </w:r>
      <w:r w:rsidRPr="00037AD4">
        <w:rPr>
          <w:rFonts w:asciiTheme="minorHAnsi" w:hAnsiTheme="minorHAnsi" w:cstheme="minorHAnsi"/>
          <w:noProof/>
          <w:color w:val="000000" w:themeColor="text1"/>
          <w:lang w:val="en-GB"/>
        </w:rPr>
        <w:t xml:space="preserve">.  </w:t>
      </w:r>
    </w:p>
    <w:p w14:paraId="3510EF81" w14:textId="77777777" w:rsidR="00B54D51" w:rsidRPr="00037AD4" w:rsidRDefault="00B54D51" w:rsidP="0006531A">
      <w:pPr>
        <w:pStyle w:val="EndNoteBibliography"/>
        <w:rPr>
          <w:rFonts w:asciiTheme="minorHAnsi" w:hAnsiTheme="minorHAnsi" w:cstheme="minorHAnsi"/>
          <w:noProof/>
          <w:color w:val="000000" w:themeColor="text1"/>
          <w:lang w:val="en-GB"/>
        </w:rPr>
      </w:pPr>
    </w:p>
    <w:p w14:paraId="65C0FB7B" w14:textId="1AE371DD" w:rsidR="00B54D51" w:rsidRPr="00037AD4" w:rsidRDefault="00B54D51" w:rsidP="00AC5AF3">
      <w:pPr>
        <w:pStyle w:val="EndNoteBibliography"/>
        <w:rPr>
          <w:rFonts w:asciiTheme="minorHAnsi" w:hAnsiTheme="minorHAnsi" w:cstheme="minorHAnsi"/>
          <w:noProof/>
          <w:color w:val="000000" w:themeColor="text1"/>
          <w:lang w:val="en-GB"/>
        </w:rPr>
      </w:pPr>
      <w:r w:rsidRPr="00037AD4">
        <w:rPr>
          <w:rFonts w:asciiTheme="minorHAnsi" w:hAnsiTheme="minorHAnsi" w:cstheme="minorHAnsi"/>
          <w:noProof/>
          <w:color w:val="000000" w:themeColor="text1"/>
          <w:lang w:val="en-GB"/>
        </w:rPr>
        <w:t xml:space="preserve">Non-interventional studies are considered to be clinical studies, other than clinical trials </w:t>
      </w:r>
      <w:r>
        <w:rPr>
          <w:rFonts w:asciiTheme="minorHAnsi" w:hAnsiTheme="minorHAnsi" w:cstheme="minorHAnsi"/>
          <w:noProof/>
          <w:color w:val="000000" w:themeColor="text1"/>
          <w:lang w:val="en-GB"/>
        </w:rPr>
        <w:t>(Francisconi et al., 2020)</w:t>
      </w:r>
      <w:r w:rsidRPr="00037AD4">
        <w:rPr>
          <w:rFonts w:asciiTheme="minorHAnsi" w:hAnsiTheme="minorHAnsi" w:cstheme="minorHAnsi"/>
          <w:noProof/>
          <w:color w:val="000000" w:themeColor="text1"/>
          <w:lang w:val="en-GB"/>
        </w:rPr>
        <w:t>. In the context of dementia research, they often involve observing people with dementia in natural environments without introducing specific treatments. These observational studies tend to focus on understanding disease progression and symptoms, and use real-world data such as medical records and memory clinic assessments. The goal is to gain insights into dementia's natural course, patterns</w:t>
      </w:r>
      <w:r>
        <w:rPr>
          <w:rFonts w:asciiTheme="minorHAnsi" w:hAnsiTheme="minorHAnsi" w:cstheme="minorHAnsi"/>
          <w:noProof/>
          <w:color w:val="000000" w:themeColor="text1"/>
          <w:lang w:val="en-GB"/>
        </w:rPr>
        <w:t xml:space="preserve"> </w:t>
      </w:r>
      <w:r w:rsidRPr="00037AD4">
        <w:rPr>
          <w:rFonts w:asciiTheme="minorHAnsi" w:hAnsiTheme="minorHAnsi" w:cstheme="minorHAnsi"/>
          <w:noProof/>
          <w:color w:val="000000" w:themeColor="text1"/>
          <w:lang w:val="en-GB"/>
        </w:rPr>
        <w:t xml:space="preserve">and risk factors without necessarily implementing an external intervention. These studies may measure a range of outcomes, largely dependent on the setting, for example comparing needs assessments of people with dementia living in community dwelling or in institutionalised settings </w:t>
      </w:r>
      <w:r>
        <w:rPr>
          <w:rFonts w:asciiTheme="minorHAnsi" w:hAnsiTheme="minorHAnsi" w:cstheme="minorHAnsi"/>
          <w:noProof/>
          <w:color w:val="000000" w:themeColor="text1"/>
          <w:lang w:val="en-GB"/>
        </w:rPr>
        <w:t>(Meaney et al., 2005)</w:t>
      </w:r>
      <w:r w:rsidRPr="00037AD4">
        <w:rPr>
          <w:rFonts w:asciiTheme="minorHAnsi" w:hAnsiTheme="minorHAnsi" w:cstheme="minorHAnsi"/>
          <w:noProof/>
          <w:color w:val="000000" w:themeColor="text1"/>
          <w:lang w:val="en-GB"/>
        </w:rPr>
        <w:t xml:space="preserve">.   </w:t>
      </w:r>
    </w:p>
    <w:p w14:paraId="377C92CC" w14:textId="77777777" w:rsidR="00B54D51" w:rsidRPr="00037AD4" w:rsidRDefault="00B54D51" w:rsidP="0006531A">
      <w:pPr>
        <w:pStyle w:val="EndNoteBibliography"/>
        <w:rPr>
          <w:rFonts w:asciiTheme="minorHAnsi" w:hAnsiTheme="minorHAnsi" w:cstheme="minorHAnsi"/>
          <w:noProof/>
          <w:color w:val="FF0000"/>
          <w:lang w:val="en-GB"/>
        </w:rPr>
      </w:pPr>
    </w:p>
    <w:p w14:paraId="41187247" w14:textId="77777777" w:rsidR="00B54D51" w:rsidRDefault="00B54D51" w:rsidP="0006531A">
      <w:pPr>
        <w:pStyle w:val="EndNoteBibliography"/>
        <w:rPr>
          <w:rFonts w:asciiTheme="minorHAnsi" w:hAnsiTheme="minorHAnsi" w:cstheme="minorHAnsi"/>
          <w:noProof/>
          <w:color w:val="000000" w:themeColor="text1"/>
          <w:lang w:val="en-GB"/>
        </w:rPr>
      </w:pPr>
      <w:r w:rsidRPr="00037AD4">
        <w:rPr>
          <w:rFonts w:asciiTheme="minorHAnsi" w:hAnsiTheme="minorHAnsi" w:cstheme="minorHAnsi"/>
          <w:noProof/>
          <w:color w:val="000000" w:themeColor="text1"/>
          <w:lang w:val="en-GB"/>
        </w:rPr>
        <w:t xml:space="preserve">The results from the ISRCTN database search align with Harrison et al.'s (2016) systematic review on outcomes measures, indicating a focus on cognitive measures in dementia trials. QoL was commonly selected as a secondary outcome, with DEMQoL emerging as the </w:t>
      </w:r>
      <w:r>
        <w:rPr>
          <w:rFonts w:asciiTheme="minorHAnsi" w:hAnsiTheme="minorHAnsi" w:cstheme="minorHAnsi"/>
          <w:noProof/>
          <w:color w:val="000000" w:themeColor="text1"/>
          <w:lang w:val="en-GB"/>
        </w:rPr>
        <w:t xml:space="preserve">most </w:t>
      </w:r>
      <w:r w:rsidRPr="00037AD4">
        <w:rPr>
          <w:rFonts w:asciiTheme="minorHAnsi" w:hAnsiTheme="minorHAnsi" w:cstheme="minorHAnsi"/>
          <w:noProof/>
          <w:color w:val="000000" w:themeColor="text1"/>
          <w:lang w:val="en-GB"/>
        </w:rPr>
        <w:t xml:space="preserve">frequently used instrument, including a mix of self and proxy administration. There was </w:t>
      </w:r>
      <w:r w:rsidRPr="00037AD4">
        <w:rPr>
          <w:rFonts w:asciiTheme="minorHAnsi" w:hAnsiTheme="minorHAnsi" w:cstheme="minorHAnsi"/>
          <w:noProof/>
          <w:color w:val="000000" w:themeColor="text1"/>
          <w:lang w:val="en-GB"/>
        </w:rPr>
        <w:lastRenderedPageBreak/>
        <w:t xml:space="preserve">significant heterogeneity in the chosen outcome measures across trials, echoing concerns raised by Harrison et al (2016). This inconsistency limits the comparability and interpretation of findings across studies. Efforts to address this issue by standardising outcome measures, possibly through the development of core outcome sets, have been proposed in the literature. Standardisation of outcomes aims to improve the useability of data for meta-analysis and secondary analyses, therefore enabling more robust conclusions to be drawn across trials. </w:t>
      </w:r>
    </w:p>
    <w:p w14:paraId="61E4E349" w14:textId="77777777" w:rsidR="00B54D51" w:rsidRPr="00037AD4" w:rsidRDefault="00B54D51" w:rsidP="0006531A">
      <w:pPr>
        <w:pStyle w:val="EndNoteBibliography"/>
        <w:rPr>
          <w:rFonts w:asciiTheme="minorHAnsi" w:hAnsiTheme="minorHAnsi" w:cstheme="minorHAnsi"/>
          <w:noProof/>
          <w:color w:val="000000" w:themeColor="text1"/>
          <w:lang w:val="en-GB"/>
        </w:rPr>
      </w:pPr>
      <w:r w:rsidRPr="00037AD4">
        <w:rPr>
          <w:rFonts w:asciiTheme="minorHAnsi" w:hAnsiTheme="minorHAnsi" w:cstheme="minorHAnsi"/>
          <w:noProof/>
          <w:color w:val="000000" w:themeColor="text1"/>
          <w:lang w:val="en-GB"/>
        </w:rPr>
        <w:t xml:space="preserve"> </w:t>
      </w:r>
    </w:p>
    <w:p w14:paraId="24F04B07" w14:textId="77777777" w:rsidR="00B54D51" w:rsidRPr="00037AD4" w:rsidRDefault="00B54D51" w:rsidP="007A43F9">
      <w:pPr>
        <w:pStyle w:val="Heading3"/>
        <w:rPr>
          <w:noProof/>
        </w:rPr>
      </w:pPr>
      <w:bookmarkStart w:id="196" w:name="_Toc175742279"/>
      <w:r w:rsidRPr="00037AD4">
        <w:rPr>
          <w:noProof/>
        </w:rPr>
        <w:t>3.3.1 Core outcome sets</w:t>
      </w:r>
      <w:bookmarkEnd w:id="196"/>
      <w:r w:rsidRPr="00037AD4">
        <w:rPr>
          <w:noProof/>
        </w:rPr>
        <w:t xml:space="preserve"> </w:t>
      </w:r>
    </w:p>
    <w:p w14:paraId="317B0769" w14:textId="77777777" w:rsidR="00B54D51" w:rsidRPr="00037AD4" w:rsidRDefault="00B54D51" w:rsidP="0006531A">
      <w:pPr>
        <w:pStyle w:val="EndNoteBibliography"/>
        <w:rPr>
          <w:rFonts w:asciiTheme="minorHAnsi" w:hAnsiTheme="minorHAnsi" w:cstheme="minorHAnsi"/>
          <w:noProof/>
          <w:color w:val="000000" w:themeColor="text1"/>
          <w:lang w:val="en-GB"/>
        </w:rPr>
      </w:pPr>
    </w:p>
    <w:p w14:paraId="57D82601" w14:textId="77777777" w:rsidR="00B54D51" w:rsidRPr="00037AD4" w:rsidRDefault="00B54D51" w:rsidP="00B42F5D">
      <w:pPr>
        <w:pStyle w:val="EndNoteBibliography"/>
        <w:rPr>
          <w:rFonts w:asciiTheme="minorHAnsi" w:hAnsiTheme="minorHAnsi" w:cstheme="minorHAnsi"/>
          <w:noProof/>
          <w:color w:val="000000" w:themeColor="text1"/>
          <w:lang w:val="en-GB"/>
        </w:rPr>
      </w:pPr>
      <w:r w:rsidRPr="00037AD4">
        <w:rPr>
          <w:rFonts w:asciiTheme="minorHAnsi" w:hAnsiTheme="minorHAnsi" w:cstheme="minorHAnsi"/>
          <w:noProof/>
          <w:color w:val="000000" w:themeColor="text1"/>
          <w:lang w:val="en-GB"/>
        </w:rPr>
        <w:t xml:space="preserve">The purpose of core outcome sets are to define agreed standarised sets of outcomes that are recommended for inclusion when assessing interventions in trials. The process of core outcome set development involves engaging various stakeholders, in the case of dementia for example, people with dementia, caregivers, healthcare professionals and policy makers. </w:t>
      </w:r>
    </w:p>
    <w:p w14:paraId="1A36CC8E" w14:textId="77777777" w:rsidR="00B54D51" w:rsidRPr="00037AD4" w:rsidRDefault="00B54D51" w:rsidP="00B42F5D">
      <w:pPr>
        <w:pStyle w:val="EndNoteBibliography"/>
        <w:rPr>
          <w:rFonts w:asciiTheme="minorHAnsi" w:hAnsiTheme="minorHAnsi" w:cstheme="minorHAnsi"/>
          <w:noProof/>
          <w:color w:val="000000" w:themeColor="text1"/>
          <w:lang w:val="en-GB"/>
        </w:rPr>
      </w:pPr>
    </w:p>
    <w:p w14:paraId="43523568" w14:textId="77777777" w:rsidR="00B54D51" w:rsidRPr="00037AD4" w:rsidRDefault="00B54D51" w:rsidP="002362CE">
      <w:pPr>
        <w:pStyle w:val="EndNoteBibliography"/>
        <w:rPr>
          <w:rFonts w:asciiTheme="minorHAnsi" w:hAnsiTheme="minorHAnsi" w:cstheme="minorHAnsi"/>
          <w:noProof/>
          <w:color w:val="000000" w:themeColor="text1"/>
          <w:lang w:val="en-GB"/>
        </w:rPr>
      </w:pPr>
      <w:r w:rsidRPr="00037AD4">
        <w:rPr>
          <w:rFonts w:asciiTheme="minorHAnsi" w:hAnsiTheme="minorHAnsi" w:cstheme="minorHAnsi"/>
          <w:noProof/>
          <w:color w:val="000000" w:themeColor="text1"/>
          <w:lang w:val="en-GB"/>
        </w:rPr>
        <w:t>Due to the high degree of variability in outcome measures adopted across dementia trials, there has been growing interest in establishing core outcome sets for dementia studies. However, due to the different types of dementia interventions, there is to date no singular core outcome set. Core outcome sets were identified for both pharmacological and non-pharmacological dementia interventions, which are summarised within this section.</w:t>
      </w:r>
      <w:bookmarkStart w:id="197" w:name="_Toc79582127"/>
      <w:bookmarkStart w:id="198" w:name="_Toc79839752"/>
      <w:bookmarkStart w:id="199" w:name="_Toc80257826"/>
    </w:p>
    <w:p w14:paraId="43D7BE1C" w14:textId="77777777" w:rsidR="00B54D51" w:rsidRPr="00037AD4" w:rsidRDefault="00B54D51" w:rsidP="007A43F9">
      <w:pPr>
        <w:pStyle w:val="Heading4"/>
        <w:rPr>
          <w:noProof/>
        </w:rPr>
      </w:pPr>
    </w:p>
    <w:p w14:paraId="46A4FE28" w14:textId="77777777" w:rsidR="00B54D51" w:rsidRPr="00037AD4" w:rsidRDefault="00B54D51" w:rsidP="007A43F9">
      <w:pPr>
        <w:pStyle w:val="Heading4"/>
        <w:rPr>
          <w:noProof/>
          <w:sz w:val="24"/>
          <w:u w:val="none"/>
        </w:rPr>
      </w:pPr>
      <w:r w:rsidRPr="00037AD4">
        <w:rPr>
          <w:noProof/>
        </w:rPr>
        <w:t>3.3.1.1 Core outcome</w:t>
      </w:r>
      <w:bookmarkEnd w:id="197"/>
      <w:bookmarkEnd w:id="198"/>
      <w:bookmarkEnd w:id="199"/>
      <w:r w:rsidRPr="00037AD4">
        <w:rPr>
          <w:noProof/>
        </w:rPr>
        <w:t>s for pharmacological interventions</w:t>
      </w:r>
    </w:p>
    <w:p w14:paraId="42B71108" w14:textId="77777777" w:rsidR="00B54D51" w:rsidRPr="00037AD4" w:rsidRDefault="00B54D51" w:rsidP="00950C69">
      <w:pPr>
        <w:pStyle w:val="EndNoteBibliography"/>
        <w:rPr>
          <w:rFonts w:asciiTheme="minorHAnsi" w:hAnsiTheme="minorHAnsi" w:cstheme="minorHAnsi"/>
          <w:noProof/>
          <w:color w:val="000000" w:themeColor="text1"/>
          <w:lang w:val="en-GB"/>
        </w:rPr>
      </w:pPr>
    </w:p>
    <w:p w14:paraId="04154B35" w14:textId="77777777" w:rsidR="00B54D51" w:rsidRPr="00037AD4" w:rsidRDefault="00B54D51" w:rsidP="00950C69">
      <w:pPr>
        <w:pStyle w:val="EndNoteBibliography"/>
        <w:rPr>
          <w:rFonts w:asciiTheme="minorHAnsi" w:hAnsiTheme="minorHAnsi" w:cstheme="minorHAnsi"/>
          <w:noProof/>
          <w:color w:val="000000" w:themeColor="text1"/>
          <w:lang w:val="en-GB"/>
        </w:rPr>
      </w:pPr>
      <w:r w:rsidRPr="00037AD4">
        <w:rPr>
          <w:rFonts w:asciiTheme="minorHAnsi" w:hAnsiTheme="minorHAnsi" w:cstheme="minorHAnsi"/>
          <w:noProof/>
          <w:color w:val="000000" w:themeColor="text1"/>
          <w:lang w:val="en-GB"/>
        </w:rPr>
        <w:t xml:space="preserve">Webster et al. (2017) generated a core outcome set for disease modifying pharmacological interventions </w:t>
      </w:r>
      <w:r>
        <w:rPr>
          <w:rFonts w:asciiTheme="minorHAnsi" w:hAnsiTheme="minorHAnsi" w:cstheme="minorHAnsi"/>
          <w:noProof/>
          <w:color w:val="000000" w:themeColor="text1"/>
          <w:lang w:val="en-GB"/>
        </w:rPr>
        <w:t>(Webster et al., 2017)</w:t>
      </w:r>
      <w:r w:rsidRPr="00037AD4">
        <w:rPr>
          <w:rFonts w:asciiTheme="minorHAnsi" w:hAnsiTheme="minorHAnsi" w:cstheme="minorHAnsi"/>
          <w:noProof/>
          <w:color w:val="000000" w:themeColor="text1"/>
          <w:lang w:val="en-GB"/>
        </w:rPr>
        <w:t xml:space="preserve">. Primarily a systematic review was conducted, whereby 81 outcome measures were detected from 125 dementia trials. Outcomes were then differentiated by measurement domain, such as cognition, QoL and biological markers. Various aspects related to the identified outcome measures were considered, including the measure’s psychometric properties and the frequency of use across trials. </w:t>
      </w:r>
    </w:p>
    <w:p w14:paraId="3FF2E7ED" w14:textId="77777777" w:rsidR="00B54D51" w:rsidRPr="00037AD4" w:rsidRDefault="00B54D51" w:rsidP="00950C69">
      <w:pPr>
        <w:pStyle w:val="EndNoteBibliography"/>
        <w:rPr>
          <w:rFonts w:asciiTheme="minorHAnsi" w:hAnsiTheme="minorHAnsi" w:cstheme="minorHAnsi"/>
          <w:noProof/>
          <w:color w:val="000000" w:themeColor="text1"/>
          <w:lang w:val="en-GB"/>
        </w:rPr>
      </w:pPr>
      <w:r w:rsidRPr="00037AD4">
        <w:rPr>
          <w:rFonts w:asciiTheme="minorHAnsi" w:hAnsiTheme="minorHAnsi" w:cstheme="minorHAnsi"/>
          <w:noProof/>
          <w:color w:val="000000" w:themeColor="text1"/>
          <w:lang w:val="en-GB"/>
        </w:rPr>
        <w:t xml:space="preserve"> </w:t>
      </w:r>
    </w:p>
    <w:p w14:paraId="64B8475C" w14:textId="77777777" w:rsidR="00B54D51" w:rsidRPr="00037AD4" w:rsidRDefault="00B54D51" w:rsidP="00950C69">
      <w:pPr>
        <w:pStyle w:val="EndNoteBibliography"/>
        <w:rPr>
          <w:rFonts w:asciiTheme="minorHAnsi" w:hAnsiTheme="minorHAnsi" w:cstheme="minorHAnsi"/>
          <w:noProof/>
          <w:color w:val="000000" w:themeColor="text1"/>
          <w:lang w:val="en-GB"/>
        </w:rPr>
      </w:pPr>
      <w:r w:rsidRPr="00037AD4">
        <w:rPr>
          <w:rFonts w:asciiTheme="minorHAnsi" w:hAnsiTheme="minorHAnsi" w:cstheme="minorHAnsi"/>
          <w:noProof/>
          <w:color w:val="000000" w:themeColor="text1"/>
          <w:lang w:val="en-GB"/>
        </w:rPr>
        <w:t xml:space="preserve">People with dementia, caregivers and conference experts were consulted and highlighted </w:t>
      </w:r>
      <w:r w:rsidRPr="00037AD4">
        <w:rPr>
          <w:rFonts w:asciiTheme="minorHAnsi" w:hAnsiTheme="minorHAnsi" w:cstheme="minorHAnsi"/>
          <w:i/>
          <w:iCs/>
          <w:noProof/>
          <w:color w:val="000000" w:themeColor="text1"/>
          <w:lang w:val="en-GB"/>
        </w:rPr>
        <w:t>cognition</w:t>
      </w:r>
      <w:r w:rsidRPr="00037AD4">
        <w:rPr>
          <w:rFonts w:asciiTheme="minorHAnsi" w:hAnsiTheme="minorHAnsi" w:cstheme="minorHAnsi"/>
          <w:noProof/>
          <w:color w:val="000000" w:themeColor="text1"/>
          <w:lang w:val="en-GB"/>
        </w:rPr>
        <w:t xml:space="preserve"> via the Mini-Mental State Examination (MMSE) or the Alzheimer’s Disease Assessment Scale-Cognitive Subscale (ADAS-Cog), and </w:t>
      </w:r>
      <w:r w:rsidRPr="00037AD4">
        <w:rPr>
          <w:rFonts w:asciiTheme="minorHAnsi" w:hAnsiTheme="minorHAnsi" w:cstheme="minorHAnsi"/>
          <w:i/>
          <w:iCs/>
          <w:noProof/>
          <w:color w:val="000000" w:themeColor="text1"/>
          <w:lang w:val="en-GB"/>
        </w:rPr>
        <w:t>biological markers</w:t>
      </w:r>
      <w:r w:rsidRPr="00037AD4">
        <w:rPr>
          <w:rFonts w:asciiTheme="minorHAnsi" w:hAnsiTheme="minorHAnsi" w:cstheme="minorHAnsi"/>
          <w:noProof/>
          <w:color w:val="000000" w:themeColor="text1"/>
          <w:lang w:val="en-GB"/>
        </w:rPr>
        <w:t xml:space="preserve"> (such as magnetic resonance imaging (MRI) scans and fluid markers) as core and fundamental for measurement. Other non-core, but recommended outcomes were: </w:t>
      </w:r>
      <w:r w:rsidRPr="00037AD4">
        <w:rPr>
          <w:rFonts w:asciiTheme="minorHAnsi" w:hAnsiTheme="minorHAnsi" w:cstheme="minorHAnsi"/>
          <w:i/>
          <w:iCs/>
          <w:noProof/>
          <w:color w:val="000000" w:themeColor="text1"/>
          <w:lang w:val="en-GB"/>
        </w:rPr>
        <w:t xml:space="preserve">neuropsychiatric symptoms </w:t>
      </w:r>
      <w:r w:rsidRPr="00037AD4">
        <w:rPr>
          <w:rFonts w:asciiTheme="minorHAnsi" w:hAnsiTheme="minorHAnsi" w:cstheme="minorHAnsi"/>
          <w:noProof/>
          <w:color w:val="000000" w:themeColor="text1"/>
          <w:lang w:val="en-GB"/>
        </w:rPr>
        <w:t xml:space="preserve">via the Neuropscychiatric Inventory (NPI), </w:t>
      </w:r>
      <w:r w:rsidRPr="00037AD4">
        <w:rPr>
          <w:rFonts w:asciiTheme="minorHAnsi" w:hAnsiTheme="minorHAnsi" w:cstheme="minorHAnsi"/>
          <w:i/>
          <w:iCs/>
          <w:noProof/>
          <w:color w:val="000000" w:themeColor="text1"/>
          <w:lang w:val="en-GB"/>
        </w:rPr>
        <w:t>activities of daily living</w:t>
      </w:r>
      <w:r w:rsidRPr="00037AD4">
        <w:rPr>
          <w:rFonts w:asciiTheme="minorHAnsi" w:hAnsiTheme="minorHAnsi" w:cstheme="minorHAnsi"/>
          <w:noProof/>
          <w:color w:val="000000" w:themeColor="text1"/>
          <w:lang w:val="en-GB"/>
        </w:rPr>
        <w:t xml:space="preserve"> via the Disability Assessment for Dementia (DAD) and </w:t>
      </w:r>
      <w:r w:rsidRPr="00037AD4">
        <w:rPr>
          <w:rFonts w:asciiTheme="minorHAnsi" w:hAnsiTheme="minorHAnsi" w:cstheme="minorHAnsi"/>
          <w:i/>
          <w:iCs/>
          <w:noProof/>
          <w:color w:val="000000" w:themeColor="text1"/>
          <w:lang w:val="en-GB"/>
        </w:rPr>
        <w:t xml:space="preserve">QoL </w:t>
      </w:r>
      <w:r w:rsidRPr="00037AD4">
        <w:rPr>
          <w:rFonts w:asciiTheme="minorHAnsi" w:hAnsiTheme="minorHAnsi" w:cstheme="minorHAnsi"/>
          <w:noProof/>
          <w:color w:val="000000" w:themeColor="text1"/>
          <w:lang w:val="en-GB"/>
        </w:rPr>
        <w:t xml:space="preserve">via DEMQoL. </w:t>
      </w:r>
    </w:p>
    <w:p w14:paraId="0C969394" w14:textId="77777777" w:rsidR="00B54D51" w:rsidRPr="00037AD4" w:rsidRDefault="00B54D51" w:rsidP="00950C69">
      <w:pPr>
        <w:pStyle w:val="EndNoteBibliography"/>
        <w:rPr>
          <w:rFonts w:asciiTheme="minorHAnsi" w:hAnsiTheme="minorHAnsi" w:cstheme="minorHAnsi"/>
          <w:noProof/>
          <w:color w:val="000000" w:themeColor="text1"/>
          <w:lang w:val="en-GB"/>
        </w:rPr>
      </w:pPr>
    </w:p>
    <w:p w14:paraId="07A8519C" w14:textId="77777777" w:rsidR="00B54D51" w:rsidRPr="00037AD4" w:rsidRDefault="00B54D51" w:rsidP="00950C69">
      <w:pPr>
        <w:pStyle w:val="EndNoteBibliography"/>
        <w:rPr>
          <w:rFonts w:asciiTheme="minorHAnsi" w:hAnsiTheme="minorHAnsi" w:cstheme="minorHAnsi"/>
          <w:noProof/>
          <w:color w:val="000000" w:themeColor="text1"/>
          <w:lang w:val="en-GB"/>
        </w:rPr>
      </w:pPr>
      <w:r w:rsidRPr="00037AD4">
        <w:rPr>
          <w:rFonts w:asciiTheme="minorHAnsi" w:hAnsiTheme="minorHAnsi" w:cstheme="minorHAnsi"/>
          <w:noProof/>
          <w:color w:val="000000" w:themeColor="text1"/>
          <w:lang w:val="en-GB"/>
        </w:rPr>
        <w:t xml:space="preserve">The importance of measuring QoL was emphasised for phase three trials where there are economic considerations and QALYs are to be considered. However the conference experts did not include an economist, therefore DEMQoL was recommended solely on the basis that it can be used to estimate QALYs and that it can be administered via both PwD and proxy assessment. When discussing QoL measurement, the authors additionally noted the need to measure both PwD and proxy reports for the case of participant deterioration </w:t>
      </w:r>
      <w:r>
        <w:rPr>
          <w:rFonts w:asciiTheme="minorHAnsi" w:hAnsiTheme="minorHAnsi" w:cstheme="minorHAnsi"/>
          <w:noProof/>
          <w:color w:val="000000" w:themeColor="text1"/>
          <w:lang w:val="en-GB"/>
        </w:rPr>
        <w:t>(Webster et al., 2017)</w:t>
      </w:r>
      <w:r w:rsidRPr="00037AD4">
        <w:rPr>
          <w:rFonts w:asciiTheme="minorHAnsi" w:hAnsiTheme="minorHAnsi" w:cstheme="minorHAnsi"/>
          <w:noProof/>
          <w:color w:val="000000" w:themeColor="text1"/>
          <w:lang w:val="en-GB"/>
        </w:rPr>
        <w:t xml:space="preserve">. </w:t>
      </w:r>
    </w:p>
    <w:p w14:paraId="5F4F9407" w14:textId="77777777" w:rsidR="00B54D51" w:rsidRPr="00037AD4" w:rsidRDefault="00B54D51" w:rsidP="00950C69">
      <w:pPr>
        <w:pStyle w:val="EndNoteBibliography"/>
        <w:rPr>
          <w:rFonts w:asciiTheme="minorHAnsi" w:hAnsiTheme="minorHAnsi" w:cstheme="minorHAnsi"/>
          <w:noProof/>
          <w:color w:val="000000" w:themeColor="text1"/>
          <w:lang w:val="en-GB"/>
        </w:rPr>
      </w:pPr>
    </w:p>
    <w:p w14:paraId="0AEEBFE4" w14:textId="77777777" w:rsidR="00B54D51" w:rsidRPr="00037AD4" w:rsidRDefault="00B54D51" w:rsidP="007A43F9">
      <w:pPr>
        <w:pStyle w:val="Heading4"/>
      </w:pPr>
      <w:bookmarkStart w:id="200" w:name="_Toc79582128"/>
      <w:bookmarkStart w:id="201" w:name="_Toc79839753"/>
      <w:bookmarkStart w:id="202" w:name="_Toc80257827"/>
      <w:r w:rsidRPr="00037AD4">
        <w:lastRenderedPageBreak/>
        <w:t xml:space="preserve">3.3.1.2 </w:t>
      </w:r>
      <w:bookmarkEnd w:id="200"/>
      <w:bookmarkEnd w:id="201"/>
      <w:bookmarkEnd w:id="202"/>
      <w:r w:rsidRPr="00037AD4">
        <w:t>Core outcomes for non-pharmacological interventions</w:t>
      </w:r>
    </w:p>
    <w:p w14:paraId="04443E29" w14:textId="77777777" w:rsidR="00B54D51" w:rsidRPr="00037AD4" w:rsidRDefault="00B54D51" w:rsidP="00B72ECB">
      <w:pPr>
        <w:rPr>
          <w:rFonts w:asciiTheme="minorHAnsi" w:hAnsiTheme="minorHAnsi" w:cstheme="minorHAnsi"/>
        </w:rPr>
      </w:pPr>
    </w:p>
    <w:p w14:paraId="49116470" w14:textId="77777777" w:rsidR="00B54D51" w:rsidRPr="00037AD4" w:rsidRDefault="00B54D51" w:rsidP="00950C69">
      <w:pPr>
        <w:pStyle w:val="EndNoteBibliography"/>
        <w:rPr>
          <w:rFonts w:asciiTheme="minorHAnsi" w:hAnsiTheme="minorHAnsi" w:cstheme="minorHAnsi"/>
          <w:noProof/>
          <w:color w:val="000000" w:themeColor="text1"/>
          <w:lang w:val="en-GB"/>
        </w:rPr>
      </w:pPr>
      <w:r w:rsidRPr="00037AD4">
        <w:rPr>
          <w:rFonts w:asciiTheme="minorHAnsi" w:hAnsiTheme="minorHAnsi" w:cstheme="minorHAnsi"/>
          <w:noProof/>
          <w:color w:val="000000" w:themeColor="text1"/>
          <w:lang w:val="en-GB"/>
        </w:rPr>
        <w:t xml:space="preserve">In 2015, the EU Joint Programme - Neurodegenerative Disease (JPND) working group report </w:t>
      </w:r>
      <w:r>
        <w:rPr>
          <w:rFonts w:asciiTheme="minorHAnsi" w:hAnsiTheme="minorHAnsi" w:cstheme="minorHAnsi"/>
          <w:noProof/>
          <w:color w:val="000000" w:themeColor="text1"/>
          <w:lang w:val="en-GB"/>
        </w:rPr>
        <w:t>(JPND, 2015)</w:t>
      </w:r>
      <w:r w:rsidRPr="00037AD4">
        <w:rPr>
          <w:rFonts w:asciiTheme="minorHAnsi" w:hAnsiTheme="minorHAnsi" w:cstheme="minorHAnsi"/>
          <w:noProof/>
          <w:color w:val="000000" w:themeColor="text1"/>
          <w:lang w:val="en-GB"/>
        </w:rPr>
        <w:t xml:space="preserve"> updated a 2008 core outcome set </w:t>
      </w:r>
      <w:r>
        <w:rPr>
          <w:rFonts w:asciiTheme="minorHAnsi" w:hAnsiTheme="minorHAnsi" w:cstheme="minorHAnsi"/>
          <w:noProof/>
          <w:color w:val="000000" w:themeColor="text1"/>
          <w:lang w:val="en-GB"/>
        </w:rPr>
        <w:t>(Moniz-Cook et al., 2008)</w:t>
      </w:r>
      <w:r w:rsidRPr="00037AD4">
        <w:rPr>
          <w:rFonts w:asciiTheme="minorHAnsi" w:hAnsiTheme="minorHAnsi" w:cstheme="minorHAnsi"/>
          <w:noProof/>
          <w:color w:val="000000" w:themeColor="text1"/>
          <w:lang w:val="en-GB"/>
        </w:rPr>
        <w:t xml:space="preserve"> with the scope of psychosocial intervention research in dementia care. The development process involved a mix of methods, including conducting consensus workshops and systematic literature reviewing. They divided domains into those related to people with dementia, caregivers and staff. </w:t>
      </w:r>
    </w:p>
    <w:p w14:paraId="3B4709B5" w14:textId="77777777" w:rsidR="00B54D51" w:rsidRPr="00037AD4" w:rsidRDefault="00B54D51" w:rsidP="00950C69">
      <w:pPr>
        <w:pStyle w:val="EndNoteBibliography"/>
        <w:rPr>
          <w:rFonts w:asciiTheme="minorHAnsi" w:hAnsiTheme="minorHAnsi" w:cstheme="minorHAnsi"/>
          <w:noProof/>
          <w:color w:val="000000" w:themeColor="text1"/>
          <w:lang w:val="en-GB"/>
        </w:rPr>
      </w:pPr>
    </w:p>
    <w:p w14:paraId="2F4C499C" w14:textId="77777777" w:rsidR="00B54D51" w:rsidRPr="00037AD4" w:rsidRDefault="00B54D51" w:rsidP="00950C69">
      <w:pPr>
        <w:pStyle w:val="EndNoteBibliography"/>
        <w:rPr>
          <w:rFonts w:asciiTheme="minorHAnsi" w:hAnsiTheme="minorHAnsi" w:cstheme="minorHAnsi"/>
          <w:noProof/>
          <w:color w:val="000000" w:themeColor="text1"/>
          <w:lang w:val="en-GB"/>
        </w:rPr>
      </w:pPr>
      <w:r w:rsidRPr="00037AD4">
        <w:rPr>
          <w:rFonts w:asciiTheme="minorHAnsi" w:hAnsiTheme="minorHAnsi" w:cstheme="minorHAnsi"/>
          <w:noProof/>
          <w:color w:val="000000" w:themeColor="text1"/>
          <w:lang w:val="en-GB"/>
        </w:rPr>
        <w:t xml:space="preserve">The primary study identified </w:t>
      </w:r>
      <w:r w:rsidRPr="00037AD4">
        <w:rPr>
          <w:rFonts w:asciiTheme="minorHAnsi" w:hAnsiTheme="minorHAnsi" w:cstheme="minorHAnsi"/>
          <w:i/>
          <w:iCs/>
          <w:noProof/>
          <w:color w:val="000000" w:themeColor="text1"/>
          <w:lang w:val="en-GB"/>
        </w:rPr>
        <w:t xml:space="preserve">mood, QoL, activities of daily living, behaviour </w:t>
      </w:r>
      <w:r w:rsidRPr="00037AD4">
        <w:rPr>
          <w:rFonts w:asciiTheme="minorHAnsi" w:hAnsiTheme="minorHAnsi" w:cstheme="minorHAnsi"/>
          <w:noProof/>
          <w:color w:val="000000" w:themeColor="text1"/>
          <w:lang w:val="en-GB"/>
        </w:rPr>
        <w:t xml:space="preserve">and </w:t>
      </w:r>
      <w:r w:rsidRPr="00037AD4">
        <w:rPr>
          <w:rFonts w:asciiTheme="minorHAnsi" w:hAnsiTheme="minorHAnsi" w:cstheme="minorHAnsi"/>
          <w:i/>
          <w:iCs/>
          <w:noProof/>
          <w:color w:val="000000" w:themeColor="text1"/>
          <w:lang w:val="en-GB"/>
        </w:rPr>
        <w:t>global disease</w:t>
      </w:r>
      <w:r w:rsidRPr="00037AD4">
        <w:rPr>
          <w:rFonts w:asciiTheme="minorHAnsi" w:hAnsiTheme="minorHAnsi" w:cstheme="minorHAnsi"/>
          <w:noProof/>
          <w:color w:val="000000" w:themeColor="text1"/>
          <w:lang w:val="en-GB"/>
        </w:rPr>
        <w:t xml:space="preserve"> as core domains for measurement in people with dementia </w:t>
      </w:r>
      <w:r>
        <w:rPr>
          <w:rFonts w:asciiTheme="minorHAnsi" w:hAnsiTheme="minorHAnsi" w:cstheme="minorHAnsi"/>
          <w:noProof/>
          <w:color w:val="000000" w:themeColor="text1"/>
          <w:lang w:val="en-GB"/>
        </w:rPr>
        <w:t>(Moniz-Cook et al., 2008)</w:t>
      </w:r>
      <w:r w:rsidRPr="00037AD4">
        <w:rPr>
          <w:rFonts w:asciiTheme="minorHAnsi" w:hAnsiTheme="minorHAnsi" w:cstheme="minorHAnsi"/>
          <w:noProof/>
          <w:color w:val="000000" w:themeColor="text1"/>
          <w:lang w:val="en-GB"/>
        </w:rPr>
        <w:t xml:space="preserve">. This was since updated to the following domains and outcome measures: </w:t>
      </w:r>
      <w:r w:rsidRPr="00037AD4">
        <w:rPr>
          <w:rFonts w:asciiTheme="minorHAnsi" w:hAnsiTheme="minorHAnsi" w:cstheme="minorHAnsi"/>
          <w:i/>
          <w:iCs/>
          <w:noProof/>
          <w:color w:val="000000" w:themeColor="text1"/>
          <w:lang w:val="en-GB"/>
        </w:rPr>
        <w:t xml:space="preserve">mood </w:t>
      </w:r>
      <w:r w:rsidRPr="00037AD4">
        <w:rPr>
          <w:rFonts w:asciiTheme="minorHAnsi" w:hAnsiTheme="minorHAnsi" w:cstheme="minorHAnsi"/>
          <w:noProof/>
          <w:color w:val="000000" w:themeColor="text1"/>
          <w:lang w:val="en-GB"/>
        </w:rPr>
        <w:t xml:space="preserve">via the Cornell Scale for Depression in Dementia (CSDD) or Geriatric Depression Scale 15-item version (GDS-15); </w:t>
      </w:r>
      <w:r w:rsidRPr="00037AD4">
        <w:rPr>
          <w:rFonts w:asciiTheme="minorHAnsi" w:hAnsiTheme="minorHAnsi" w:cstheme="minorHAnsi"/>
          <w:i/>
          <w:iCs/>
          <w:noProof/>
          <w:color w:val="000000" w:themeColor="text1"/>
          <w:lang w:val="en-GB"/>
        </w:rPr>
        <w:t xml:space="preserve">QoL </w:t>
      </w:r>
      <w:r w:rsidRPr="00037AD4">
        <w:rPr>
          <w:rFonts w:asciiTheme="minorHAnsi" w:hAnsiTheme="minorHAnsi" w:cstheme="minorHAnsi"/>
          <w:noProof/>
          <w:color w:val="000000" w:themeColor="text1"/>
          <w:lang w:val="en-GB"/>
        </w:rPr>
        <w:t xml:space="preserve">via Quality of Life in Alzheimer’s Disease (QoL-AD), the Dementia Quality of Life instrument (DQoL), the Quality of Life in Late-stage Dementia Scale (QUALID/QUALIDEM) or DEMQOL; </w:t>
      </w:r>
      <w:r w:rsidRPr="00037AD4">
        <w:rPr>
          <w:rFonts w:asciiTheme="minorHAnsi" w:hAnsiTheme="minorHAnsi" w:cstheme="minorHAnsi"/>
          <w:i/>
          <w:iCs/>
          <w:noProof/>
          <w:color w:val="000000" w:themeColor="text1"/>
          <w:lang w:val="en-GB"/>
        </w:rPr>
        <w:t xml:space="preserve">HRQoL </w:t>
      </w:r>
      <w:r w:rsidRPr="00037AD4">
        <w:rPr>
          <w:rFonts w:asciiTheme="minorHAnsi" w:hAnsiTheme="minorHAnsi" w:cstheme="minorHAnsi"/>
          <w:noProof/>
          <w:color w:val="000000" w:themeColor="text1"/>
          <w:lang w:val="en-GB"/>
        </w:rPr>
        <w:t xml:space="preserve">via EQ-5D and </w:t>
      </w:r>
      <w:r w:rsidRPr="00037AD4">
        <w:rPr>
          <w:rFonts w:asciiTheme="minorHAnsi" w:hAnsiTheme="minorHAnsi" w:cstheme="minorHAnsi"/>
          <w:i/>
          <w:iCs/>
          <w:noProof/>
          <w:color w:val="000000" w:themeColor="text1"/>
          <w:lang w:val="en-GB"/>
        </w:rPr>
        <w:t xml:space="preserve">activities of daily living </w:t>
      </w:r>
      <w:r w:rsidRPr="00037AD4">
        <w:rPr>
          <w:rFonts w:asciiTheme="minorHAnsi" w:hAnsiTheme="minorHAnsi" w:cstheme="minorHAnsi"/>
          <w:noProof/>
          <w:color w:val="000000" w:themeColor="text1"/>
          <w:lang w:val="en-GB"/>
        </w:rPr>
        <w:t xml:space="preserve">via the Lawton Instrumental Activities of Daily Living (IADL) Scale, the Katz Index of Activities of Daily Living (Katz ADL), the Alzheimer’s disease cooperative study – activities of daily living inventory (ADCS-ADL), Bristol Activities of Daily Living Scale (BADLS) or the Disability Assessment for Dementia (DAD) </w:t>
      </w:r>
      <w:r>
        <w:rPr>
          <w:rFonts w:asciiTheme="minorHAnsi" w:hAnsiTheme="minorHAnsi" w:cstheme="minorHAnsi"/>
          <w:noProof/>
          <w:color w:val="000000" w:themeColor="text1"/>
          <w:lang w:val="en-GB"/>
        </w:rPr>
        <w:t>(JPND, 2015)</w:t>
      </w:r>
      <w:r w:rsidRPr="00037AD4">
        <w:rPr>
          <w:rFonts w:asciiTheme="minorHAnsi" w:hAnsiTheme="minorHAnsi" w:cstheme="minorHAnsi"/>
          <w:noProof/>
          <w:color w:val="000000" w:themeColor="text1"/>
          <w:lang w:val="en-GB"/>
        </w:rPr>
        <w:t xml:space="preserve">.  </w:t>
      </w:r>
    </w:p>
    <w:p w14:paraId="1CB0ABE2" w14:textId="77777777" w:rsidR="00B54D51" w:rsidRPr="00037AD4" w:rsidRDefault="00B54D51" w:rsidP="00950C69">
      <w:pPr>
        <w:pStyle w:val="EndNoteBibliography"/>
        <w:rPr>
          <w:rFonts w:asciiTheme="minorHAnsi" w:hAnsiTheme="minorHAnsi" w:cstheme="minorHAnsi"/>
          <w:noProof/>
          <w:color w:val="000000" w:themeColor="text1"/>
          <w:lang w:val="en-GB"/>
        </w:rPr>
      </w:pPr>
      <w:r w:rsidRPr="00037AD4">
        <w:rPr>
          <w:rFonts w:asciiTheme="minorHAnsi" w:hAnsiTheme="minorHAnsi" w:cstheme="minorHAnsi"/>
          <w:noProof/>
          <w:color w:val="000000" w:themeColor="text1"/>
          <w:lang w:val="en-GB"/>
        </w:rPr>
        <w:t xml:space="preserve"> </w:t>
      </w:r>
    </w:p>
    <w:p w14:paraId="40BEB825" w14:textId="77777777" w:rsidR="00B54D51" w:rsidRPr="00037AD4" w:rsidRDefault="00B54D51" w:rsidP="00DD7ECB">
      <w:pPr>
        <w:pStyle w:val="EndNoteBibliography"/>
        <w:rPr>
          <w:rFonts w:asciiTheme="minorHAnsi" w:hAnsiTheme="minorHAnsi" w:cstheme="minorHAnsi"/>
          <w:noProof/>
          <w:color w:val="000000" w:themeColor="text1"/>
          <w:lang w:val="en-GB"/>
        </w:rPr>
      </w:pPr>
      <w:r w:rsidRPr="00037AD4">
        <w:rPr>
          <w:rFonts w:asciiTheme="minorHAnsi" w:hAnsiTheme="minorHAnsi" w:cstheme="minorHAnsi"/>
          <w:noProof/>
          <w:color w:val="000000" w:themeColor="text1"/>
          <w:lang w:val="en-GB"/>
        </w:rPr>
        <w:t xml:space="preserve">Another core outcome set was identified and was published in 2020. This study focused on non-pharmacological health and social care community based interventions </w:t>
      </w:r>
      <w:r>
        <w:rPr>
          <w:rFonts w:asciiTheme="minorHAnsi" w:hAnsiTheme="minorHAnsi" w:cstheme="minorHAnsi"/>
          <w:noProof/>
          <w:color w:val="000000" w:themeColor="text1"/>
          <w:lang w:val="en-GB"/>
        </w:rPr>
        <w:t>(Reilly et al., 2020)</w:t>
      </w:r>
      <w:r w:rsidRPr="00037AD4">
        <w:rPr>
          <w:rFonts w:asciiTheme="minorHAnsi" w:hAnsiTheme="minorHAnsi" w:cstheme="minorHAnsi"/>
          <w:noProof/>
          <w:color w:val="000000" w:themeColor="text1"/>
          <w:lang w:val="en-GB"/>
        </w:rPr>
        <w:t xml:space="preserve">, with the broad scope of covering different types of interventions and social programmes, such as memory cafes, art-based activities and educational programmes. </w:t>
      </w:r>
    </w:p>
    <w:p w14:paraId="6FAB425F" w14:textId="77777777" w:rsidR="00B54D51" w:rsidRPr="00037AD4" w:rsidRDefault="00B54D51" w:rsidP="00DD7ECB">
      <w:pPr>
        <w:pStyle w:val="EndNoteBibliography"/>
        <w:rPr>
          <w:rFonts w:asciiTheme="minorHAnsi" w:hAnsiTheme="minorHAnsi" w:cstheme="minorHAnsi"/>
          <w:noProof/>
          <w:color w:val="000000" w:themeColor="text1"/>
          <w:lang w:val="en-GB"/>
        </w:rPr>
      </w:pPr>
    </w:p>
    <w:p w14:paraId="181E3C09" w14:textId="77777777" w:rsidR="00B54D51" w:rsidRPr="00037AD4" w:rsidRDefault="00B54D51" w:rsidP="00DD7ECB">
      <w:pPr>
        <w:pStyle w:val="EndNoteBibliography"/>
        <w:rPr>
          <w:rFonts w:asciiTheme="minorHAnsi" w:hAnsiTheme="minorHAnsi" w:cstheme="minorHAnsi"/>
          <w:noProof/>
          <w:color w:val="000000" w:themeColor="text1"/>
          <w:lang w:val="en-GB"/>
        </w:rPr>
      </w:pPr>
      <w:r w:rsidRPr="00037AD4">
        <w:rPr>
          <w:rFonts w:asciiTheme="minorHAnsi" w:hAnsiTheme="minorHAnsi" w:cstheme="minorHAnsi"/>
          <w:noProof/>
          <w:color w:val="000000" w:themeColor="text1"/>
          <w:lang w:val="en-GB"/>
        </w:rPr>
        <w:t xml:space="preserve">The development process involved literature reviewing to detect outcomes, followed by consultation with various stakeholders to establish the identified outcome’s relevance through interviews and focus groups. This resulted in a long-list of outcome items, which were refined under four umbrella domains: </w:t>
      </w:r>
      <w:r w:rsidRPr="00037AD4">
        <w:rPr>
          <w:rFonts w:asciiTheme="minorHAnsi" w:hAnsiTheme="minorHAnsi" w:cstheme="minorHAnsi"/>
          <w:i/>
          <w:iCs/>
          <w:noProof/>
          <w:color w:val="000000" w:themeColor="text1"/>
          <w:lang w:val="en-GB"/>
        </w:rPr>
        <w:t xml:space="preserve">self-managing dementia symptoms, QoL, friendly neighbourhood and home </w:t>
      </w:r>
      <w:r w:rsidRPr="00037AD4">
        <w:rPr>
          <w:rFonts w:asciiTheme="minorHAnsi" w:hAnsiTheme="minorHAnsi" w:cstheme="minorHAnsi"/>
          <w:noProof/>
          <w:color w:val="000000" w:themeColor="text1"/>
          <w:lang w:val="en-GB"/>
        </w:rPr>
        <w:t>and</w:t>
      </w:r>
      <w:r w:rsidRPr="00037AD4">
        <w:rPr>
          <w:rFonts w:asciiTheme="minorHAnsi" w:hAnsiTheme="minorHAnsi" w:cstheme="minorHAnsi"/>
          <w:i/>
          <w:iCs/>
          <w:noProof/>
          <w:color w:val="000000" w:themeColor="text1"/>
          <w:lang w:val="en-GB"/>
        </w:rPr>
        <w:t xml:space="preserve"> independence</w:t>
      </w:r>
      <w:r w:rsidRPr="00037AD4">
        <w:rPr>
          <w:rFonts w:asciiTheme="minorHAnsi" w:hAnsiTheme="minorHAnsi" w:cstheme="minorHAnsi"/>
          <w:noProof/>
          <w:color w:val="000000" w:themeColor="text1"/>
          <w:lang w:val="en-GB"/>
        </w:rPr>
        <w:t xml:space="preserve"> </w:t>
      </w:r>
      <w:r>
        <w:rPr>
          <w:rFonts w:asciiTheme="minorHAnsi" w:hAnsiTheme="minorHAnsi" w:cstheme="minorHAnsi"/>
          <w:noProof/>
          <w:color w:val="000000" w:themeColor="text1"/>
          <w:lang w:val="en-GB"/>
        </w:rPr>
        <w:t>(Harding et al., 2019)</w:t>
      </w:r>
      <w:r w:rsidRPr="00037AD4">
        <w:rPr>
          <w:rFonts w:asciiTheme="minorHAnsi" w:hAnsiTheme="minorHAnsi" w:cstheme="minorHAnsi"/>
          <w:noProof/>
          <w:color w:val="000000" w:themeColor="text1"/>
          <w:lang w:val="en-GB"/>
        </w:rPr>
        <w:t xml:space="preserve">. Upon further analyses and application of mixed-methods, 13 outcome items were identified to be considered “core” </w:t>
      </w:r>
      <w:r>
        <w:rPr>
          <w:rFonts w:asciiTheme="minorHAnsi" w:hAnsiTheme="minorHAnsi" w:cstheme="minorHAnsi"/>
          <w:noProof/>
          <w:color w:val="000000" w:themeColor="text1"/>
          <w:lang w:val="en-GB"/>
        </w:rPr>
        <w:t>(Reilly et al., 2020)</w:t>
      </w:r>
      <w:r w:rsidRPr="00037AD4">
        <w:rPr>
          <w:rFonts w:asciiTheme="minorHAnsi" w:hAnsiTheme="minorHAnsi" w:cstheme="minorHAnsi"/>
          <w:noProof/>
          <w:color w:val="000000" w:themeColor="text1"/>
          <w:lang w:val="en-GB"/>
        </w:rPr>
        <w:t xml:space="preserve">. These items included </w:t>
      </w:r>
      <w:r w:rsidRPr="00037AD4">
        <w:rPr>
          <w:rFonts w:asciiTheme="minorHAnsi" w:hAnsiTheme="minorHAnsi" w:cstheme="minorHAnsi"/>
          <w:i/>
          <w:iCs/>
          <w:noProof/>
          <w:color w:val="000000" w:themeColor="text1"/>
          <w:lang w:val="en-GB"/>
        </w:rPr>
        <w:t>meaningful activities,</w:t>
      </w:r>
      <w:r w:rsidRPr="00037AD4">
        <w:rPr>
          <w:rFonts w:asciiTheme="minorHAnsi" w:hAnsiTheme="minorHAnsi" w:cstheme="minorHAnsi"/>
          <w:noProof/>
          <w:color w:val="000000" w:themeColor="text1"/>
          <w:lang w:val="en-GB"/>
        </w:rPr>
        <w:t xml:space="preserve"> </w:t>
      </w:r>
      <w:r w:rsidRPr="00037AD4">
        <w:rPr>
          <w:rFonts w:asciiTheme="minorHAnsi" w:hAnsiTheme="minorHAnsi" w:cstheme="minorHAnsi"/>
          <w:i/>
          <w:iCs/>
          <w:noProof/>
          <w:color w:val="000000" w:themeColor="text1"/>
          <w:lang w:val="en-GB"/>
        </w:rPr>
        <w:t xml:space="preserve">feeling safe and secure </w:t>
      </w:r>
      <w:r w:rsidRPr="00037AD4">
        <w:rPr>
          <w:rFonts w:asciiTheme="minorHAnsi" w:hAnsiTheme="minorHAnsi" w:cstheme="minorHAnsi"/>
          <w:noProof/>
          <w:color w:val="000000" w:themeColor="text1"/>
          <w:lang w:val="en-GB"/>
        </w:rPr>
        <w:t xml:space="preserve">and </w:t>
      </w:r>
      <w:r w:rsidRPr="00037AD4">
        <w:rPr>
          <w:rFonts w:asciiTheme="minorHAnsi" w:hAnsiTheme="minorHAnsi" w:cstheme="minorHAnsi"/>
          <w:i/>
          <w:iCs/>
          <w:noProof/>
          <w:color w:val="000000" w:themeColor="text1"/>
          <w:lang w:val="en-GB"/>
        </w:rPr>
        <w:t>vision and hearing.</w:t>
      </w:r>
      <w:r w:rsidRPr="00037AD4">
        <w:rPr>
          <w:rFonts w:asciiTheme="minorHAnsi" w:hAnsiTheme="minorHAnsi" w:cstheme="minorHAnsi"/>
          <w:noProof/>
          <w:color w:val="000000" w:themeColor="text1"/>
          <w:lang w:val="en-GB"/>
        </w:rPr>
        <w:t xml:space="preserve"> </w:t>
      </w:r>
    </w:p>
    <w:p w14:paraId="5AF1F31E" w14:textId="77777777" w:rsidR="00B54D51" w:rsidRPr="00037AD4" w:rsidRDefault="00B54D51" w:rsidP="00DD7ECB">
      <w:pPr>
        <w:pStyle w:val="EndNoteBibliography"/>
        <w:rPr>
          <w:rFonts w:asciiTheme="minorHAnsi" w:hAnsiTheme="minorHAnsi" w:cstheme="minorHAnsi"/>
          <w:noProof/>
          <w:color w:val="000000" w:themeColor="text1"/>
          <w:lang w:val="en-GB"/>
        </w:rPr>
      </w:pPr>
    </w:p>
    <w:p w14:paraId="0F08BB8A" w14:textId="77777777" w:rsidR="00B54D51" w:rsidRPr="00037AD4" w:rsidRDefault="00B54D51" w:rsidP="00DD7ECB">
      <w:pPr>
        <w:pStyle w:val="EndNoteBibliography"/>
        <w:rPr>
          <w:rFonts w:asciiTheme="minorHAnsi" w:hAnsiTheme="minorHAnsi" w:cstheme="minorHAnsi"/>
          <w:noProof/>
          <w:color w:val="000000" w:themeColor="text1"/>
          <w:lang w:val="en-GB"/>
        </w:rPr>
      </w:pPr>
      <w:r w:rsidRPr="00037AD4">
        <w:rPr>
          <w:rFonts w:asciiTheme="minorHAnsi" w:hAnsiTheme="minorHAnsi" w:cstheme="minorHAnsi"/>
          <w:noProof/>
          <w:color w:val="000000" w:themeColor="text1"/>
          <w:lang w:val="en-GB"/>
        </w:rPr>
        <w:t xml:space="preserve">A systematic literature review of measurement instruments to identify appropriate tools that capture the 13 core outcomes was conducted </w:t>
      </w:r>
      <w:r>
        <w:rPr>
          <w:rFonts w:asciiTheme="minorHAnsi" w:hAnsiTheme="minorHAnsi" w:cstheme="minorHAnsi"/>
          <w:noProof/>
          <w:color w:val="000000" w:themeColor="text1"/>
          <w:lang w:val="en-GB"/>
        </w:rPr>
        <w:t>(Harding et al., 2021)</w:t>
      </w:r>
      <w:r w:rsidRPr="00037AD4">
        <w:rPr>
          <w:rFonts w:asciiTheme="minorHAnsi" w:hAnsiTheme="minorHAnsi" w:cstheme="minorHAnsi"/>
          <w:noProof/>
          <w:color w:val="000000" w:themeColor="text1"/>
          <w:lang w:val="en-GB"/>
        </w:rPr>
        <w:t xml:space="preserve">. It was reported that none of the instruments met face validity threshold criteria, however the following instruments were highlighted as being the most relevant: </w:t>
      </w:r>
      <w:r w:rsidRPr="00037AD4">
        <w:rPr>
          <w:rFonts w:asciiTheme="minorHAnsi" w:hAnsiTheme="minorHAnsi" w:cstheme="minorHAnsi"/>
          <w:i/>
          <w:iCs/>
          <w:lang w:val="en-GB"/>
        </w:rPr>
        <w:t xml:space="preserve">Older Americans’ Resources and Services Instrumental Activities of Daily Living, The Adult Social Care Outcome Toolkit, The Nottingham Health Profile and Engagement </w:t>
      </w:r>
      <w:r w:rsidRPr="00037AD4">
        <w:rPr>
          <w:rFonts w:asciiTheme="minorHAnsi" w:hAnsiTheme="minorHAnsi" w:cstheme="minorHAnsi"/>
          <w:lang w:val="en-GB"/>
        </w:rPr>
        <w:t>and</w:t>
      </w:r>
      <w:r w:rsidRPr="00037AD4">
        <w:rPr>
          <w:rFonts w:asciiTheme="minorHAnsi" w:hAnsiTheme="minorHAnsi" w:cstheme="minorHAnsi"/>
          <w:i/>
          <w:iCs/>
          <w:lang w:val="en-GB"/>
        </w:rPr>
        <w:t xml:space="preserve"> Independence in Dementia Questionnaire </w:t>
      </w:r>
      <w:r>
        <w:rPr>
          <w:rFonts w:asciiTheme="minorHAnsi" w:hAnsiTheme="minorHAnsi" w:cstheme="minorHAnsi"/>
          <w:noProof/>
          <w:lang w:val="en-GB"/>
        </w:rPr>
        <w:t>(Reilly et al., 2020)</w:t>
      </w:r>
      <w:r w:rsidRPr="00037AD4">
        <w:rPr>
          <w:rFonts w:asciiTheme="minorHAnsi" w:hAnsiTheme="minorHAnsi" w:cstheme="minorHAnsi"/>
          <w:lang w:val="en-GB"/>
        </w:rPr>
        <w:t>.</w:t>
      </w:r>
      <w:r w:rsidRPr="00037AD4">
        <w:rPr>
          <w:rFonts w:asciiTheme="minorHAnsi" w:hAnsiTheme="minorHAnsi" w:cstheme="minorHAnsi"/>
          <w:i/>
          <w:iCs/>
          <w:lang w:val="en-GB"/>
        </w:rPr>
        <w:t xml:space="preserve"> </w:t>
      </w:r>
    </w:p>
    <w:p w14:paraId="5D0F575A" w14:textId="77777777" w:rsidR="00B54D51" w:rsidRPr="00037AD4" w:rsidRDefault="00B54D51" w:rsidP="006E31F3">
      <w:pPr>
        <w:pStyle w:val="EndNoteBibliography"/>
        <w:rPr>
          <w:rFonts w:asciiTheme="minorHAnsi" w:hAnsiTheme="minorHAnsi" w:cstheme="minorHAnsi"/>
          <w:lang w:val="en-GB"/>
        </w:rPr>
      </w:pPr>
    </w:p>
    <w:p w14:paraId="3096F6B5" w14:textId="77777777" w:rsidR="00B54D51" w:rsidRPr="00037AD4" w:rsidRDefault="00B54D51" w:rsidP="007A43F9">
      <w:pPr>
        <w:pStyle w:val="Heading3"/>
        <w:rPr>
          <w:i/>
          <w:iCs/>
        </w:rPr>
      </w:pPr>
      <w:bookmarkStart w:id="203" w:name="_Toc79582130"/>
      <w:bookmarkStart w:id="204" w:name="_Toc79839755"/>
      <w:bookmarkStart w:id="205" w:name="_Toc80257829"/>
      <w:bookmarkStart w:id="206" w:name="_Toc175742280"/>
      <w:r w:rsidRPr="00037AD4">
        <w:t xml:space="preserve">3.3.2 </w:t>
      </w:r>
      <w:bookmarkEnd w:id="203"/>
      <w:bookmarkEnd w:id="204"/>
      <w:bookmarkEnd w:id="205"/>
      <w:r w:rsidRPr="00037AD4">
        <w:t>Policy perspective on outcomes to consider in dementia trials and studies</w:t>
      </w:r>
      <w:bookmarkEnd w:id="206"/>
      <w:r w:rsidRPr="00037AD4">
        <w:t xml:space="preserve"> </w:t>
      </w:r>
    </w:p>
    <w:p w14:paraId="2A833D85" w14:textId="77777777" w:rsidR="00B54D51" w:rsidRPr="00037AD4" w:rsidRDefault="00B54D51" w:rsidP="003E42C4">
      <w:pPr>
        <w:pStyle w:val="EndNoteBibliography"/>
        <w:rPr>
          <w:rFonts w:asciiTheme="minorHAnsi" w:hAnsiTheme="minorHAnsi" w:cstheme="minorHAnsi"/>
          <w:b/>
          <w:bCs/>
          <w:lang w:val="en-GB"/>
        </w:rPr>
      </w:pPr>
    </w:p>
    <w:p w14:paraId="07DBE0E6" w14:textId="77777777" w:rsidR="00B54D51" w:rsidRPr="00037AD4" w:rsidRDefault="00B54D51" w:rsidP="003E42C4">
      <w:pPr>
        <w:pStyle w:val="EndNoteBibliography"/>
        <w:rPr>
          <w:rFonts w:asciiTheme="minorHAnsi" w:hAnsiTheme="minorHAnsi" w:cstheme="minorHAnsi"/>
          <w:lang w:val="en-GB"/>
        </w:rPr>
      </w:pPr>
      <w:r w:rsidRPr="00037AD4">
        <w:rPr>
          <w:rFonts w:asciiTheme="minorHAnsi" w:hAnsiTheme="minorHAnsi" w:cstheme="minorHAnsi"/>
          <w:lang w:val="en-GB"/>
        </w:rPr>
        <w:t xml:space="preserve">NICE guidelines and appraisal documents were consulted to incorporate a policy perspective regarding outcomes to be measured in dementia intervention studies. In 2010, a multiple </w:t>
      </w:r>
      <w:r w:rsidRPr="00037AD4">
        <w:rPr>
          <w:rFonts w:asciiTheme="minorHAnsi" w:hAnsiTheme="minorHAnsi" w:cstheme="minorHAnsi"/>
          <w:lang w:val="en-GB"/>
        </w:rPr>
        <w:lastRenderedPageBreak/>
        <w:t xml:space="preserve">technology appraisal was submitted to NICE by Eisai and Pfizer (pharmaceutical companies) </w:t>
      </w:r>
      <w:r>
        <w:rPr>
          <w:rFonts w:asciiTheme="minorHAnsi" w:hAnsiTheme="minorHAnsi" w:cstheme="minorHAnsi"/>
          <w:noProof/>
          <w:lang w:val="en-GB"/>
        </w:rPr>
        <w:t>(NICE, 2011a, NICE, 2010)</w:t>
      </w:r>
      <w:r w:rsidRPr="00037AD4">
        <w:rPr>
          <w:rFonts w:asciiTheme="minorHAnsi" w:hAnsiTheme="minorHAnsi" w:cstheme="minorHAnsi"/>
          <w:lang w:val="en-GB"/>
        </w:rPr>
        <w:t xml:space="preserve"> which evaluated acetylcholinesterase inhibitors (AChEI) for use in Alzheimer’s disease. To date, AChEI’s are still considered to be first line drug therapies for the management and treatment of dementia </w:t>
      </w:r>
      <w:r>
        <w:rPr>
          <w:rFonts w:asciiTheme="minorHAnsi" w:hAnsiTheme="minorHAnsi" w:cstheme="minorHAnsi"/>
          <w:noProof/>
          <w:lang w:val="en-GB"/>
        </w:rPr>
        <w:t>(BNF, 2021)</w:t>
      </w:r>
      <w:r w:rsidRPr="00037AD4">
        <w:rPr>
          <w:rFonts w:asciiTheme="minorHAnsi" w:hAnsiTheme="minorHAnsi" w:cstheme="minorHAnsi"/>
          <w:lang w:val="en-GB"/>
        </w:rPr>
        <w:t xml:space="preserve">.  </w:t>
      </w:r>
    </w:p>
    <w:p w14:paraId="194F9945" w14:textId="77777777" w:rsidR="00B54D51" w:rsidRPr="00037AD4" w:rsidRDefault="00B54D51" w:rsidP="003E42C4">
      <w:pPr>
        <w:pStyle w:val="EndNoteBibliography"/>
        <w:rPr>
          <w:rFonts w:asciiTheme="minorHAnsi" w:hAnsiTheme="minorHAnsi" w:cstheme="minorHAnsi"/>
          <w:lang w:val="en-GB"/>
        </w:rPr>
      </w:pPr>
    </w:p>
    <w:p w14:paraId="1DB7AB02" w14:textId="77777777" w:rsidR="00B54D51" w:rsidRPr="00037AD4" w:rsidRDefault="00B54D51" w:rsidP="003E42C4">
      <w:pPr>
        <w:pStyle w:val="EndNoteBibliography"/>
        <w:rPr>
          <w:rFonts w:asciiTheme="minorHAnsi" w:hAnsiTheme="minorHAnsi" w:cstheme="minorHAnsi"/>
          <w:lang w:val="en-GB"/>
        </w:rPr>
      </w:pPr>
      <w:r w:rsidRPr="00037AD4">
        <w:rPr>
          <w:rFonts w:asciiTheme="minorHAnsi" w:hAnsiTheme="minorHAnsi" w:cstheme="minorHAnsi"/>
          <w:lang w:val="en-GB"/>
        </w:rPr>
        <w:t xml:space="preserve">As part of the technology appraisal, systematic literature reviewing was conducted to identify and summarise relevant trials. The authors highlighted that typically only one measure was selected as the primary outcome measure, which was reductive because different symptom domains are impacted to different degrees by treatments and disease progression </w:t>
      </w:r>
      <w:r>
        <w:rPr>
          <w:rFonts w:asciiTheme="minorHAnsi" w:hAnsiTheme="minorHAnsi" w:cstheme="minorHAnsi"/>
          <w:noProof/>
          <w:lang w:val="en-GB"/>
        </w:rPr>
        <w:t>(NICE, 2011a)</w:t>
      </w:r>
      <w:r w:rsidRPr="00037AD4">
        <w:rPr>
          <w:rFonts w:asciiTheme="minorHAnsi" w:hAnsiTheme="minorHAnsi" w:cstheme="minorHAnsi"/>
          <w:lang w:val="en-GB"/>
        </w:rPr>
        <w:t xml:space="preserve">. In the final appraisal document, it was noted that despite MMSE traditionally dominating outcome measurement of dementia disease progression, it is fundamental that it is not considered the sole determinant of treatment decisions. It was recommended that a range of tools should be used that can provide a clinically meaningful evaluation of the patient’s health state, such as cognition plus global disease, function and behavioural impairment </w:t>
      </w:r>
      <w:r>
        <w:rPr>
          <w:rFonts w:asciiTheme="minorHAnsi" w:hAnsiTheme="minorHAnsi" w:cstheme="minorHAnsi"/>
          <w:noProof/>
          <w:lang w:val="en-GB"/>
        </w:rPr>
        <w:t>(NICE, 2011c)</w:t>
      </w:r>
      <w:r w:rsidRPr="00037AD4">
        <w:rPr>
          <w:rFonts w:asciiTheme="minorHAnsi" w:hAnsiTheme="minorHAnsi" w:cstheme="minorHAnsi"/>
          <w:lang w:val="en-GB"/>
        </w:rPr>
        <w:t xml:space="preserve">. </w:t>
      </w:r>
    </w:p>
    <w:p w14:paraId="2A283562" w14:textId="77777777" w:rsidR="00B54D51" w:rsidRPr="00037AD4" w:rsidRDefault="00B54D51" w:rsidP="003E42C4">
      <w:pPr>
        <w:pStyle w:val="EndNoteBibliography"/>
        <w:rPr>
          <w:rFonts w:asciiTheme="minorHAnsi" w:hAnsiTheme="minorHAnsi" w:cstheme="minorHAnsi"/>
          <w:lang w:val="en-GB"/>
        </w:rPr>
      </w:pPr>
    </w:p>
    <w:p w14:paraId="6394B948" w14:textId="77777777" w:rsidR="00B54D51" w:rsidRPr="00037AD4" w:rsidRDefault="00B54D51" w:rsidP="008A31A8">
      <w:pPr>
        <w:pStyle w:val="EndNoteBibliography"/>
        <w:rPr>
          <w:rFonts w:asciiTheme="minorHAnsi" w:hAnsiTheme="minorHAnsi" w:cstheme="minorHAnsi"/>
          <w:i/>
          <w:iCs/>
          <w:lang w:val="en-GB"/>
        </w:rPr>
      </w:pPr>
      <w:r w:rsidRPr="00037AD4">
        <w:rPr>
          <w:rFonts w:asciiTheme="minorHAnsi" w:hAnsiTheme="minorHAnsi" w:cstheme="minorHAnsi"/>
          <w:lang w:val="en-GB"/>
        </w:rPr>
        <w:t xml:space="preserve">When broadening the policy lens beyond the UK, the United States Food and Drug Administration (FDA) propose that dementia clinical trials should use co-primary outcome measures, including cognition and function or global assessment measures in drug trials </w:t>
      </w:r>
      <w:r>
        <w:rPr>
          <w:rFonts w:asciiTheme="minorHAnsi" w:hAnsiTheme="minorHAnsi" w:cstheme="minorHAnsi"/>
          <w:noProof/>
          <w:lang w:val="en-GB"/>
        </w:rPr>
        <w:t>(U.S. FDA, 2013)</w:t>
      </w:r>
      <w:r w:rsidRPr="00037AD4">
        <w:rPr>
          <w:rFonts w:asciiTheme="minorHAnsi" w:hAnsiTheme="minorHAnsi" w:cstheme="minorHAnsi"/>
          <w:lang w:val="en-GB"/>
        </w:rPr>
        <w:t xml:space="preserve">. The International Consortium for Health Outcomes Measurement (ICHOM) have also recommended the following outcome measures in their standard set for dementia: Neuropsychiatric Inventory (NPI) </w:t>
      </w:r>
      <w:r w:rsidRPr="00037AD4">
        <w:rPr>
          <w:rFonts w:asciiTheme="minorHAnsi" w:hAnsiTheme="minorHAnsi" w:cstheme="minorHAnsi"/>
          <w:i/>
          <w:iCs/>
          <w:lang w:val="en-GB"/>
        </w:rPr>
        <w:t xml:space="preserve">(behaviour/mood), </w:t>
      </w:r>
      <w:r w:rsidRPr="00037AD4">
        <w:rPr>
          <w:rFonts w:asciiTheme="minorHAnsi" w:hAnsiTheme="minorHAnsi" w:cstheme="minorHAnsi"/>
          <w:lang w:val="en-GB"/>
        </w:rPr>
        <w:t>MoCA</w:t>
      </w:r>
      <w:r w:rsidRPr="00037AD4">
        <w:rPr>
          <w:rFonts w:asciiTheme="minorHAnsi" w:hAnsiTheme="minorHAnsi" w:cstheme="minorHAnsi"/>
          <w:i/>
          <w:iCs/>
          <w:lang w:val="en-GB"/>
        </w:rPr>
        <w:t xml:space="preserve"> (cognition), </w:t>
      </w:r>
      <w:r w:rsidRPr="00037AD4">
        <w:rPr>
          <w:rFonts w:asciiTheme="minorHAnsi" w:hAnsiTheme="minorHAnsi" w:cstheme="minorHAnsi"/>
          <w:lang w:val="en-GB"/>
        </w:rPr>
        <w:t>Bristol Activities of Daily Living Scale</w:t>
      </w:r>
      <w:r w:rsidRPr="00037AD4">
        <w:rPr>
          <w:rFonts w:asciiTheme="minorHAnsi" w:hAnsiTheme="minorHAnsi" w:cstheme="minorHAnsi"/>
          <w:i/>
          <w:iCs/>
          <w:lang w:val="en-GB"/>
        </w:rPr>
        <w:t xml:space="preserve"> </w:t>
      </w:r>
      <w:r w:rsidRPr="00037AD4">
        <w:rPr>
          <w:rFonts w:asciiTheme="minorHAnsi" w:hAnsiTheme="minorHAnsi" w:cstheme="minorHAnsi"/>
          <w:lang w:val="en-GB"/>
        </w:rPr>
        <w:t>(BADLS)</w:t>
      </w:r>
      <w:r w:rsidRPr="00037AD4">
        <w:rPr>
          <w:rFonts w:asciiTheme="minorHAnsi" w:hAnsiTheme="minorHAnsi" w:cstheme="minorHAnsi"/>
          <w:i/>
          <w:iCs/>
          <w:lang w:val="en-GB"/>
        </w:rPr>
        <w:t xml:space="preserve"> (activities of daily living), </w:t>
      </w:r>
      <w:r w:rsidRPr="00037AD4">
        <w:rPr>
          <w:rFonts w:asciiTheme="minorHAnsi" w:hAnsiTheme="minorHAnsi" w:cstheme="minorHAnsi"/>
          <w:lang w:val="en-GB"/>
        </w:rPr>
        <w:t xml:space="preserve">QoL-AD </w:t>
      </w:r>
      <w:r w:rsidRPr="00037AD4">
        <w:rPr>
          <w:rFonts w:asciiTheme="minorHAnsi" w:hAnsiTheme="minorHAnsi" w:cstheme="minorHAnsi"/>
          <w:i/>
          <w:iCs/>
          <w:lang w:val="en-GB"/>
        </w:rPr>
        <w:t xml:space="preserve">(QoL), </w:t>
      </w:r>
      <w:r w:rsidRPr="00037AD4">
        <w:rPr>
          <w:rFonts w:asciiTheme="minorHAnsi" w:hAnsiTheme="minorHAnsi" w:cstheme="minorHAnsi"/>
          <w:lang w:val="en-GB"/>
        </w:rPr>
        <w:t>Quality of Well Being Scale (QWB)</w:t>
      </w:r>
      <w:r w:rsidRPr="00037AD4">
        <w:rPr>
          <w:rFonts w:asciiTheme="minorHAnsi" w:hAnsiTheme="minorHAnsi" w:cstheme="minorHAnsi"/>
          <w:i/>
          <w:iCs/>
          <w:lang w:val="en-GB"/>
        </w:rPr>
        <w:t xml:space="preserve"> (well-being), </w:t>
      </w:r>
      <w:r w:rsidRPr="00037AD4">
        <w:rPr>
          <w:rFonts w:asciiTheme="minorHAnsi" w:hAnsiTheme="minorHAnsi" w:cstheme="minorHAnsi"/>
          <w:lang w:val="en-GB"/>
        </w:rPr>
        <w:t>EQ-5D</w:t>
      </w:r>
      <w:r w:rsidRPr="00037AD4">
        <w:rPr>
          <w:rFonts w:asciiTheme="minorHAnsi" w:hAnsiTheme="minorHAnsi" w:cstheme="minorHAnsi"/>
          <w:i/>
          <w:iCs/>
          <w:lang w:val="en-GB"/>
        </w:rPr>
        <w:t xml:space="preserve"> (HRQoL) </w:t>
      </w:r>
      <w:r w:rsidRPr="00037AD4">
        <w:rPr>
          <w:rFonts w:asciiTheme="minorHAnsi" w:hAnsiTheme="minorHAnsi" w:cstheme="minorHAnsi"/>
          <w:lang w:val="en-GB"/>
        </w:rPr>
        <w:t>and Clinical Dementia Rating scale (CDR)</w:t>
      </w:r>
      <w:r w:rsidRPr="00037AD4">
        <w:rPr>
          <w:rFonts w:asciiTheme="minorHAnsi" w:hAnsiTheme="minorHAnsi" w:cstheme="minorHAnsi"/>
          <w:i/>
          <w:iCs/>
          <w:lang w:val="en-GB"/>
        </w:rPr>
        <w:t xml:space="preserve"> (global disease severity) </w:t>
      </w:r>
      <w:r>
        <w:rPr>
          <w:rFonts w:asciiTheme="minorHAnsi" w:hAnsiTheme="minorHAnsi" w:cstheme="minorHAnsi"/>
          <w:noProof/>
          <w:lang w:val="en-GB"/>
        </w:rPr>
        <w:t>(ICHOM, 2016)</w:t>
      </w:r>
      <w:r w:rsidRPr="00037AD4">
        <w:rPr>
          <w:rFonts w:asciiTheme="minorHAnsi" w:hAnsiTheme="minorHAnsi" w:cstheme="minorHAnsi"/>
          <w:i/>
          <w:iCs/>
          <w:lang w:val="en-GB"/>
        </w:rPr>
        <w:t xml:space="preserve">.  </w:t>
      </w:r>
    </w:p>
    <w:p w14:paraId="5B94E056" w14:textId="77777777" w:rsidR="00B54D51" w:rsidRPr="00037AD4" w:rsidRDefault="00B54D51" w:rsidP="003E42C4">
      <w:pPr>
        <w:pStyle w:val="EndNoteBibliography"/>
        <w:rPr>
          <w:rFonts w:asciiTheme="minorHAnsi" w:hAnsiTheme="minorHAnsi" w:cstheme="minorHAnsi"/>
          <w:lang w:val="en-GB"/>
        </w:rPr>
      </w:pPr>
      <w:r w:rsidRPr="00037AD4">
        <w:rPr>
          <w:rFonts w:asciiTheme="minorHAnsi" w:hAnsiTheme="minorHAnsi" w:cstheme="minorHAnsi"/>
          <w:lang w:val="en-GB"/>
        </w:rPr>
        <w:t xml:space="preserve"> </w:t>
      </w:r>
    </w:p>
    <w:p w14:paraId="796F33A2" w14:textId="77777777" w:rsidR="00B54D51" w:rsidRPr="00037AD4" w:rsidRDefault="00B54D51" w:rsidP="007A43F9">
      <w:pPr>
        <w:pStyle w:val="Heading2"/>
      </w:pPr>
      <w:bookmarkStart w:id="207" w:name="_Toc79582131"/>
      <w:bookmarkStart w:id="208" w:name="_Toc79839756"/>
      <w:bookmarkStart w:id="209" w:name="_Toc80257830"/>
      <w:bookmarkStart w:id="210" w:name="_Toc80969274"/>
      <w:bookmarkStart w:id="211" w:name="_Toc80969355"/>
      <w:bookmarkStart w:id="212" w:name="_Toc80969435"/>
      <w:bookmarkStart w:id="213" w:name="_Toc82180042"/>
      <w:bookmarkStart w:id="214" w:name="_Toc175742281"/>
      <w:r w:rsidRPr="00037AD4">
        <w:t>3.4 Summary of dementia outcomes</w:t>
      </w:r>
      <w:bookmarkEnd w:id="207"/>
      <w:bookmarkEnd w:id="208"/>
      <w:bookmarkEnd w:id="209"/>
      <w:bookmarkEnd w:id="210"/>
      <w:bookmarkEnd w:id="211"/>
      <w:bookmarkEnd w:id="212"/>
      <w:bookmarkEnd w:id="213"/>
      <w:bookmarkEnd w:id="214"/>
      <w:r w:rsidRPr="00037AD4">
        <w:t xml:space="preserve"> </w:t>
      </w:r>
    </w:p>
    <w:p w14:paraId="3A1CB960" w14:textId="77777777" w:rsidR="00B54D51" w:rsidRPr="00037AD4" w:rsidRDefault="00B54D51" w:rsidP="00274C65">
      <w:pPr>
        <w:pStyle w:val="EndNoteBibliography"/>
        <w:rPr>
          <w:rFonts w:asciiTheme="minorHAnsi" w:hAnsiTheme="minorHAnsi" w:cstheme="minorHAnsi"/>
          <w:b/>
          <w:bCs/>
          <w:lang w:val="en-GB"/>
        </w:rPr>
      </w:pPr>
    </w:p>
    <w:p w14:paraId="7B006486" w14:textId="77777777" w:rsidR="00B54D51" w:rsidRPr="00037AD4" w:rsidRDefault="00B54D51" w:rsidP="00813115">
      <w:pPr>
        <w:pStyle w:val="EndNoteBibliography"/>
        <w:rPr>
          <w:rFonts w:asciiTheme="minorHAnsi" w:hAnsiTheme="minorHAnsi" w:cstheme="minorHAnsi"/>
          <w:lang w:val="en-GB"/>
        </w:rPr>
      </w:pPr>
      <w:r w:rsidRPr="00037AD4">
        <w:rPr>
          <w:rFonts w:asciiTheme="minorHAnsi" w:hAnsiTheme="minorHAnsi" w:cstheme="minorHAnsi"/>
          <w:lang w:val="en-GB"/>
        </w:rPr>
        <w:t xml:space="preserve">Core outcome sets are available; however, they are relatively recent, and their recommendations may not yet be integrated and reflected in dementia trial practices. It is evident that cognition is a characteristic symptom area in dementia and is therefore frequently measured via cognitive tests as a primary outcome measure. However, the relevance of performance in standardised cognitive tests is unclear, as translating such scores into practical and operative outcomes is not yet universally established </w:t>
      </w:r>
      <w:r>
        <w:rPr>
          <w:rFonts w:asciiTheme="minorHAnsi" w:hAnsiTheme="minorHAnsi" w:cstheme="minorHAnsi"/>
          <w:noProof/>
          <w:lang w:val="en-GB"/>
        </w:rPr>
        <w:t>(Tsoi et al., 2015)</w:t>
      </w:r>
      <w:r w:rsidRPr="00037AD4">
        <w:rPr>
          <w:rFonts w:asciiTheme="minorHAnsi" w:hAnsiTheme="minorHAnsi" w:cstheme="minorHAnsi"/>
          <w:lang w:val="en-GB"/>
        </w:rPr>
        <w:t xml:space="preserve">. Therefore, the growing interest in measuring wider outcomes in dementia research is not unexpected. QoL and functional outcomes such as abilities to conduct daily activities have been discussed as potentially more relevant outcomes, particularly when considering economic impacts, as they reflect how an intervention impacts how a person feels and what they are able to do </w:t>
      </w:r>
      <w:r>
        <w:rPr>
          <w:rFonts w:asciiTheme="minorHAnsi" w:hAnsiTheme="minorHAnsi" w:cstheme="minorHAnsi"/>
          <w:noProof/>
          <w:lang w:val="en-GB"/>
        </w:rPr>
        <w:t>(Harrison et al., 2016)</w:t>
      </w:r>
      <w:r w:rsidRPr="00037AD4">
        <w:rPr>
          <w:rFonts w:asciiTheme="minorHAnsi" w:hAnsiTheme="minorHAnsi" w:cstheme="minorHAnsi"/>
          <w:lang w:val="en-GB"/>
        </w:rPr>
        <w:t xml:space="preserve">. </w:t>
      </w:r>
    </w:p>
    <w:p w14:paraId="591D61EA" w14:textId="77777777" w:rsidR="00B54D51" w:rsidRPr="00037AD4" w:rsidRDefault="00B54D51" w:rsidP="00274C65">
      <w:pPr>
        <w:pStyle w:val="EndNoteBibliography"/>
        <w:rPr>
          <w:rFonts w:asciiTheme="minorHAnsi" w:hAnsiTheme="minorHAnsi" w:cstheme="minorHAnsi"/>
          <w:lang w:val="en-GB"/>
        </w:rPr>
      </w:pPr>
    </w:p>
    <w:p w14:paraId="574223F3" w14:textId="77777777" w:rsidR="00B54D51" w:rsidRPr="00037AD4" w:rsidRDefault="00B54D51" w:rsidP="00274C65">
      <w:pPr>
        <w:pStyle w:val="EndNoteBibliography"/>
        <w:rPr>
          <w:rFonts w:asciiTheme="minorHAnsi" w:hAnsiTheme="minorHAnsi" w:cstheme="minorHAnsi"/>
          <w:lang w:val="en-GB"/>
        </w:rPr>
      </w:pPr>
      <w:r w:rsidRPr="00037AD4">
        <w:rPr>
          <w:rFonts w:asciiTheme="minorHAnsi" w:hAnsiTheme="minorHAnsi" w:cstheme="minorHAnsi"/>
          <w:color w:val="000000" w:themeColor="text1"/>
          <w:lang w:val="en-GB"/>
        </w:rPr>
        <w:t xml:space="preserve">The range of symptoms associated with dementia, coupled with the different types of interventions involved in its care and management, has resulted in the observed heterogeneity in the outcome domains considered for evaluation and the instruments used to measure them. </w:t>
      </w:r>
      <w:r w:rsidRPr="00037AD4">
        <w:rPr>
          <w:rFonts w:asciiTheme="minorHAnsi" w:hAnsiTheme="minorHAnsi" w:cstheme="minorHAnsi"/>
          <w:lang w:val="en-GB"/>
        </w:rPr>
        <w:t xml:space="preserve">In addition to the discussed outcomes, beyond-health outcomes are also applicable for measuring impacts of dementia interventions. These include aspects such as time to institutionalisation and service/resource use, as these are central objectives of dementia interventions that aim to maintain independence - a key driver of costs </w:t>
      </w:r>
      <w:r>
        <w:rPr>
          <w:rFonts w:asciiTheme="minorHAnsi" w:hAnsiTheme="minorHAnsi" w:cstheme="minorHAnsi"/>
          <w:noProof/>
          <w:lang w:val="en-GB"/>
        </w:rPr>
        <w:t xml:space="preserve">(Harrison </w:t>
      </w:r>
      <w:r>
        <w:rPr>
          <w:rFonts w:asciiTheme="minorHAnsi" w:hAnsiTheme="minorHAnsi" w:cstheme="minorHAnsi"/>
          <w:noProof/>
          <w:lang w:val="en-GB"/>
        </w:rPr>
        <w:lastRenderedPageBreak/>
        <w:t>et al., 2016)</w:t>
      </w:r>
      <w:r w:rsidRPr="00037AD4">
        <w:rPr>
          <w:rFonts w:asciiTheme="minorHAnsi" w:hAnsiTheme="minorHAnsi" w:cstheme="minorHAnsi"/>
          <w:lang w:val="en-GB"/>
        </w:rPr>
        <w:t xml:space="preserve">, and are important concerns commonly reported by people with dementia and informal caregivers. Table 3 summarises the recurring outcome areas and instruments identified from the ISRCTN trial search, the core outcome sets and policy recommendation documents.  </w:t>
      </w:r>
    </w:p>
    <w:p w14:paraId="1F6A083B" w14:textId="77777777" w:rsidR="00B54D51" w:rsidRDefault="00B54D51" w:rsidP="00274C65">
      <w:pPr>
        <w:pStyle w:val="EndNoteBibliography"/>
        <w:rPr>
          <w:rFonts w:asciiTheme="minorHAnsi" w:hAnsiTheme="minorHAnsi" w:cstheme="minorHAnsi"/>
          <w:lang w:val="en-GB"/>
        </w:rPr>
      </w:pPr>
      <w:bookmarkStart w:id="215" w:name="Table3"/>
    </w:p>
    <w:p w14:paraId="41CA88F0" w14:textId="77777777" w:rsidR="00B54D51" w:rsidRPr="00037AD4" w:rsidRDefault="00B54D51" w:rsidP="00274C65">
      <w:pPr>
        <w:pStyle w:val="EndNoteBibliography"/>
        <w:rPr>
          <w:rFonts w:asciiTheme="minorHAnsi" w:hAnsiTheme="minorHAnsi" w:cstheme="minorHAnsi"/>
          <w:b/>
          <w:bCs/>
          <w:i/>
          <w:iCs/>
          <w:lang w:val="en-GB"/>
        </w:rPr>
      </w:pPr>
      <w:r w:rsidRPr="00037AD4">
        <w:rPr>
          <w:rFonts w:asciiTheme="minorHAnsi" w:hAnsiTheme="minorHAnsi" w:cstheme="minorHAnsi"/>
          <w:b/>
          <w:bCs/>
          <w:i/>
          <w:iCs/>
          <w:lang w:val="en-GB"/>
        </w:rPr>
        <w:t>Table 3, Outcomes and instruments in dementia studies</w:t>
      </w:r>
      <w:bookmarkEnd w:id="215"/>
    </w:p>
    <w:p w14:paraId="11F4404C" w14:textId="77777777" w:rsidR="00B54D51" w:rsidRPr="00037AD4" w:rsidRDefault="00B54D51" w:rsidP="00274C65">
      <w:pPr>
        <w:pStyle w:val="EndNoteBibliography"/>
        <w:rPr>
          <w:rFonts w:asciiTheme="minorHAnsi" w:hAnsiTheme="minorHAnsi" w:cstheme="minorHAnsi"/>
          <w:b/>
          <w:bCs/>
          <w:u w:val="single"/>
          <w:lang w:val="en-GB"/>
        </w:rPr>
      </w:pPr>
    </w:p>
    <w:tbl>
      <w:tblPr>
        <w:tblStyle w:val="TableGrid"/>
        <w:tblW w:w="0" w:type="auto"/>
        <w:tblInd w:w="-5" w:type="dxa"/>
        <w:tblLook w:val="04A0" w:firstRow="1" w:lastRow="0" w:firstColumn="1" w:lastColumn="0" w:noHBand="0" w:noVBand="1"/>
      </w:tblPr>
      <w:tblGrid>
        <w:gridCol w:w="2254"/>
        <w:gridCol w:w="6762"/>
      </w:tblGrid>
      <w:tr w:rsidR="00B54D51" w:rsidRPr="00037AD4" w14:paraId="112F3469" w14:textId="77777777" w:rsidTr="008426EC">
        <w:tc>
          <w:tcPr>
            <w:tcW w:w="2254" w:type="dxa"/>
          </w:tcPr>
          <w:p w14:paraId="625366AB" w14:textId="77777777" w:rsidR="00B54D51" w:rsidRPr="00037AD4" w:rsidRDefault="00B54D51" w:rsidP="00274C65">
            <w:pPr>
              <w:pStyle w:val="EndNoteBibliography"/>
              <w:rPr>
                <w:rFonts w:asciiTheme="minorHAnsi" w:hAnsiTheme="minorHAnsi" w:cstheme="minorHAnsi"/>
                <w:b/>
                <w:bCs/>
                <w:sz w:val="22"/>
                <w:szCs w:val="22"/>
                <w:lang w:val="en-GB"/>
              </w:rPr>
            </w:pPr>
            <w:r w:rsidRPr="00037AD4">
              <w:rPr>
                <w:rFonts w:asciiTheme="minorHAnsi" w:hAnsiTheme="minorHAnsi" w:cstheme="minorHAnsi"/>
                <w:b/>
                <w:bCs/>
                <w:sz w:val="22"/>
                <w:szCs w:val="22"/>
                <w:lang w:val="en-GB"/>
              </w:rPr>
              <w:t>Outcome</w:t>
            </w:r>
          </w:p>
        </w:tc>
        <w:tc>
          <w:tcPr>
            <w:tcW w:w="6762" w:type="dxa"/>
          </w:tcPr>
          <w:p w14:paraId="34969DC4" w14:textId="77777777" w:rsidR="00B54D51" w:rsidRPr="00037AD4" w:rsidRDefault="00B54D51" w:rsidP="00274C65">
            <w:pPr>
              <w:pStyle w:val="EndNoteBibliography"/>
              <w:rPr>
                <w:rFonts w:asciiTheme="minorHAnsi" w:hAnsiTheme="minorHAnsi" w:cstheme="minorHAnsi"/>
                <w:b/>
                <w:bCs/>
                <w:sz w:val="22"/>
                <w:szCs w:val="22"/>
                <w:lang w:val="en-GB"/>
              </w:rPr>
            </w:pPr>
            <w:r w:rsidRPr="00037AD4">
              <w:rPr>
                <w:rFonts w:asciiTheme="minorHAnsi" w:hAnsiTheme="minorHAnsi" w:cstheme="minorHAnsi"/>
                <w:b/>
                <w:bCs/>
                <w:sz w:val="22"/>
                <w:szCs w:val="22"/>
                <w:lang w:val="en-GB"/>
              </w:rPr>
              <w:t>Instrument</w:t>
            </w:r>
          </w:p>
        </w:tc>
      </w:tr>
      <w:tr w:rsidR="00B54D51" w:rsidRPr="00037AD4" w14:paraId="328218EA" w14:textId="77777777" w:rsidTr="008426EC">
        <w:tc>
          <w:tcPr>
            <w:tcW w:w="2254" w:type="dxa"/>
          </w:tcPr>
          <w:p w14:paraId="5AFA4934" w14:textId="77777777" w:rsidR="00B54D51" w:rsidRPr="00037AD4" w:rsidRDefault="00B54D51" w:rsidP="00274C65">
            <w:pPr>
              <w:pStyle w:val="EndNoteBibliography"/>
              <w:rPr>
                <w:rFonts w:asciiTheme="minorHAnsi" w:hAnsiTheme="minorHAnsi" w:cstheme="minorHAnsi"/>
                <w:sz w:val="22"/>
                <w:szCs w:val="22"/>
                <w:lang w:val="en-GB"/>
              </w:rPr>
            </w:pPr>
            <w:r w:rsidRPr="00037AD4">
              <w:rPr>
                <w:rFonts w:asciiTheme="minorHAnsi" w:hAnsiTheme="minorHAnsi" w:cstheme="minorHAnsi"/>
                <w:sz w:val="22"/>
                <w:szCs w:val="22"/>
                <w:lang w:val="en-GB"/>
              </w:rPr>
              <w:t>Cognition</w:t>
            </w:r>
          </w:p>
        </w:tc>
        <w:tc>
          <w:tcPr>
            <w:tcW w:w="6762" w:type="dxa"/>
          </w:tcPr>
          <w:p w14:paraId="4ED73E69" w14:textId="77777777" w:rsidR="00B54D51" w:rsidRPr="00037AD4" w:rsidRDefault="00B54D51" w:rsidP="00274C65">
            <w:pPr>
              <w:pStyle w:val="EndNoteBibliography"/>
              <w:rPr>
                <w:rFonts w:asciiTheme="minorHAnsi" w:hAnsiTheme="minorHAnsi" w:cstheme="minorHAnsi"/>
                <w:sz w:val="22"/>
                <w:szCs w:val="22"/>
                <w:lang w:val="en-GB"/>
              </w:rPr>
            </w:pPr>
            <w:r w:rsidRPr="00037AD4">
              <w:rPr>
                <w:rFonts w:asciiTheme="minorHAnsi" w:hAnsiTheme="minorHAnsi" w:cstheme="minorHAnsi"/>
                <w:sz w:val="22"/>
                <w:szCs w:val="22"/>
                <w:lang w:val="en-GB"/>
              </w:rPr>
              <w:t xml:space="preserve">MoCA, MMSE, ADAS-Cog, SIB </w:t>
            </w:r>
          </w:p>
        </w:tc>
      </w:tr>
      <w:tr w:rsidR="00B54D51" w:rsidRPr="00037AD4" w14:paraId="520FCF35" w14:textId="77777777" w:rsidTr="008426EC">
        <w:tc>
          <w:tcPr>
            <w:tcW w:w="2254" w:type="dxa"/>
          </w:tcPr>
          <w:p w14:paraId="44028985" w14:textId="77777777" w:rsidR="00B54D51" w:rsidRPr="00037AD4" w:rsidRDefault="00B54D51" w:rsidP="00274C65">
            <w:pPr>
              <w:pStyle w:val="EndNoteBibliography"/>
              <w:rPr>
                <w:rFonts w:asciiTheme="minorHAnsi" w:hAnsiTheme="minorHAnsi" w:cstheme="minorHAnsi"/>
                <w:sz w:val="22"/>
                <w:szCs w:val="22"/>
                <w:lang w:val="en-GB"/>
              </w:rPr>
            </w:pPr>
            <w:r w:rsidRPr="00037AD4">
              <w:rPr>
                <w:rFonts w:asciiTheme="minorHAnsi" w:hAnsiTheme="minorHAnsi" w:cstheme="minorHAnsi"/>
                <w:sz w:val="22"/>
                <w:szCs w:val="22"/>
                <w:lang w:val="en-GB"/>
              </w:rPr>
              <w:t xml:space="preserve">Activities of daily living  </w:t>
            </w:r>
          </w:p>
        </w:tc>
        <w:tc>
          <w:tcPr>
            <w:tcW w:w="6762" w:type="dxa"/>
          </w:tcPr>
          <w:p w14:paraId="30629C38" w14:textId="77777777" w:rsidR="00B54D51" w:rsidRPr="00037AD4" w:rsidRDefault="00B54D51" w:rsidP="00274C65">
            <w:pPr>
              <w:pStyle w:val="EndNoteBibliography"/>
              <w:rPr>
                <w:rFonts w:asciiTheme="minorHAnsi" w:hAnsiTheme="minorHAnsi" w:cstheme="minorHAnsi"/>
                <w:sz w:val="22"/>
                <w:szCs w:val="22"/>
                <w:lang w:val="en-GB"/>
              </w:rPr>
            </w:pPr>
            <w:r w:rsidRPr="00037AD4">
              <w:rPr>
                <w:rFonts w:asciiTheme="minorHAnsi" w:hAnsiTheme="minorHAnsi" w:cstheme="minorHAnsi"/>
                <w:sz w:val="22"/>
                <w:szCs w:val="22"/>
                <w:lang w:val="en-GB"/>
              </w:rPr>
              <w:t xml:space="preserve">BADLS, DAD, ADCS-ADL, Lawton, Katz Index, Barthel Index </w:t>
            </w:r>
          </w:p>
        </w:tc>
      </w:tr>
      <w:tr w:rsidR="00B54D51" w:rsidRPr="00037AD4" w14:paraId="74DDBD85" w14:textId="77777777" w:rsidTr="008426EC">
        <w:tc>
          <w:tcPr>
            <w:tcW w:w="2254" w:type="dxa"/>
          </w:tcPr>
          <w:p w14:paraId="438D0D4E" w14:textId="77777777" w:rsidR="00B54D51" w:rsidRPr="00037AD4" w:rsidRDefault="00B54D51" w:rsidP="00274C65">
            <w:pPr>
              <w:pStyle w:val="EndNoteBibliography"/>
              <w:rPr>
                <w:rFonts w:asciiTheme="minorHAnsi" w:hAnsiTheme="minorHAnsi" w:cstheme="minorHAnsi"/>
                <w:sz w:val="22"/>
                <w:szCs w:val="22"/>
                <w:lang w:val="en-GB"/>
              </w:rPr>
            </w:pPr>
            <w:r w:rsidRPr="00037AD4">
              <w:rPr>
                <w:rFonts w:asciiTheme="minorHAnsi" w:hAnsiTheme="minorHAnsi" w:cstheme="minorHAnsi"/>
                <w:sz w:val="22"/>
                <w:szCs w:val="22"/>
                <w:lang w:val="en-GB"/>
              </w:rPr>
              <w:t xml:space="preserve">Dementia specific HRQoL </w:t>
            </w:r>
          </w:p>
        </w:tc>
        <w:tc>
          <w:tcPr>
            <w:tcW w:w="6762" w:type="dxa"/>
          </w:tcPr>
          <w:p w14:paraId="15443624" w14:textId="77777777" w:rsidR="00B54D51" w:rsidRPr="00037AD4" w:rsidRDefault="00B54D51" w:rsidP="00274C65">
            <w:pPr>
              <w:pStyle w:val="EndNoteBibliography"/>
              <w:rPr>
                <w:rFonts w:asciiTheme="minorHAnsi" w:hAnsiTheme="minorHAnsi" w:cstheme="minorHAnsi"/>
                <w:sz w:val="22"/>
                <w:szCs w:val="22"/>
                <w:lang w:val="en-GB"/>
              </w:rPr>
            </w:pPr>
            <w:r w:rsidRPr="00037AD4">
              <w:rPr>
                <w:rFonts w:asciiTheme="minorHAnsi" w:hAnsiTheme="minorHAnsi" w:cstheme="minorHAnsi"/>
                <w:sz w:val="22"/>
                <w:szCs w:val="22"/>
                <w:lang w:val="en-GB"/>
              </w:rPr>
              <w:t>DEMQoL, DEMQoL-proxy, QoL-AD, QUALID, QUALIDEM</w:t>
            </w:r>
          </w:p>
        </w:tc>
      </w:tr>
      <w:tr w:rsidR="00B54D51" w:rsidRPr="00037AD4" w14:paraId="26E6BF2E" w14:textId="77777777" w:rsidTr="008426EC">
        <w:tc>
          <w:tcPr>
            <w:tcW w:w="2254" w:type="dxa"/>
          </w:tcPr>
          <w:p w14:paraId="79BC8B3A" w14:textId="77777777" w:rsidR="00B54D51" w:rsidRPr="00037AD4" w:rsidRDefault="00B54D51" w:rsidP="00274C65">
            <w:pPr>
              <w:pStyle w:val="EndNoteBibliography"/>
              <w:rPr>
                <w:rFonts w:asciiTheme="minorHAnsi" w:hAnsiTheme="minorHAnsi" w:cstheme="minorHAnsi"/>
                <w:sz w:val="22"/>
                <w:szCs w:val="22"/>
                <w:lang w:val="en-GB"/>
              </w:rPr>
            </w:pPr>
            <w:r w:rsidRPr="00037AD4">
              <w:rPr>
                <w:rFonts w:asciiTheme="minorHAnsi" w:hAnsiTheme="minorHAnsi" w:cstheme="minorHAnsi"/>
                <w:sz w:val="22"/>
                <w:szCs w:val="22"/>
                <w:lang w:val="en-GB"/>
              </w:rPr>
              <w:t xml:space="preserve">Generic HRQoL </w:t>
            </w:r>
          </w:p>
        </w:tc>
        <w:tc>
          <w:tcPr>
            <w:tcW w:w="6762" w:type="dxa"/>
          </w:tcPr>
          <w:p w14:paraId="51363046" w14:textId="77777777" w:rsidR="00B54D51" w:rsidRPr="00037AD4" w:rsidRDefault="00B54D51" w:rsidP="00274C65">
            <w:pPr>
              <w:pStyle w:val="EndNoteBibliography"/>
              <w:rPr>
                <w:rFonts w:asciiTheme="minorHAnsi" w:hAnsiTheme="minorHAnsi" w:cstheme="minorHAnsi"/>
                <w:sz w:val="22"/>
                <w:szCs w:val="22"/>
                <w:lang w:val="en-GB"/>
              </w:rPr>
            </w:pPr>
            <w:r w:rsidRPr="00037AD4">
              <w:rPr>
                <w:rFonts w:asciiTheme="minorHAnsi" w:hAnsiTheme="minorHAnsi" w:cstheme="minorHAnsi"/>
                <w:sz w:val="22"/>
                <w:szCs w:val="22"/>
                <w:lang w:val="en-GB"/>
              </w:rPr>
              <w:t>EQ-5D</w:t>
            </w:r>
          </w:p>
        </w:tc>
      </w:tr>
      <w:tr w:rsidR="00B54D51" w:rsidRPr="00037AD4" w14:paraId="7A0A321F" w14:textId="77777777" w:rsidTr="008426EC">
        <w:tc>
          <w:tcPr>
            <w:tcW w:w="2254" w:type="dxa"/>
          </w:tcPr>
          <w:p w14:paraId="7D4101B4" w14:textId="77777777" w:rsidR="00B54D51" w:rsidRPr="00037AD4" w:rsidRDefault="00B54D51" w:rsidP="00274C65">
            <w:pPr>
              <w:pStyle w:val="EndNoteBibliography"/>
              <w:rPr>
                <w:rFonts w:asciiTheme="minorHAnsi" w:hAnsiTheme="minorHAnsi" w:cstheme="minorHAnsi"/>
                <w:sz w:val="22"/>
                <w:szCs w:val="22"/>
                <w:lang w:val="en-GB"/>
              </w:rPr>
            </w:pPr>
            <w:r w:rsidRPr="00037AD4">
              <w:rPr>
                <w:rFonts w:asciiTheme="minorHAnsi" w:hAnsiTheme="minorHAnsi" w:cstheme="minorHAnsi"/>
                <w:sz w:val="22"/>
                <w:szCs w:val="22"/>
                <w:lang w:val="en-GB"/>
              </w:rPr>
              <w:t>Behaviour and mood</w:t>
            </w:r>
          </w:p>
        </w:tc>
        <w:tc>
          <w:tcPr>
            <w:tcW w:w="6762" w:type="dxa"/>
          </w:tcPr>
          <w:p w14:paraId="41EB46DC" w14:textId="77777777" w:rsidR="00B54D51" w:rsidRPr="00037AD4" w:rsidRDefault="00B54D51" w:rsidP="00274C65">
            <w:pPr>
              <w:pStyle w:val="EndNoteBibliography"/>
              <w:rPr>
                <w:rFonts w:asciiTheme="minorHAnsi" w:hAnsiTheme="minorHAnsi" w:cstheme="minorHAnsi"/>
                <w:sz w:val="22"/>
                <w:szCs w:val="22"/>
                <w:lang w:val="en-GB"/>
              </w:rPr>
            </w:pPr>
            <w:r w:rsidRPr="00037AD4">
              <w:rPr>
                <w:rFonts w:asciiTheme="minorHAnsi" w:hAnsiTheme="minorHAnsi" w:cstheme="minorHAnsi"/>
                <w:sz w:val="22"/>
                <w:szCs w:val="22"/>
                <w:lang w:val="en-GB"/>
              </w:rPr>
              <w:t>NPI, CMAI, CSDD, GDS-15</w:t>
            </w:r>
          </w:p>
        </w:tc>
      </w:tr>
      <w:tr w:rsidR="00B54D51" w:rsidRPr="00037AD4" w14:paraId="34614BE1" w14:textId="77777777" w:rsidTr="008426EC">
        <w:tc>
          <w:tcPr>
            <w:tcW w:w="9016" w:type="dxa"/>
            <w:gridSpan w:val="2"/>
            <w:tcBorders>
              <w:bottom w:val="single" w:sz="4" w:space="0" w:color="auto"/>
            </w:tcBorders>
          </w:tcPr>
          <w:p w14:paraId="7431C50C" w14:textId="77777777" w:rsidR="00B54D51" w:rsidRPr="00037AD4" w:rsidRDefault="00B54D51" w:rsidP="002A0CF3">
            <w:pPr>
              <w:rPr>
                <w:rFonts w:asciiTheme="minorHAnsi" w:hAnsiTheme="minorHAnsi" w:cstheme="minorHAnsi"/>
                <w:sz w:val="20"/>
                <w:szCs w:val="20"/>
              </w:rPr>
            </w:pPr>
            <w:r w:rsidRPr="00037AD4">
              <w:rPr>
                <w:rFonts w:asciiTheme="minorHAnsi" w:hAnsiTheme="minorHAnsi" w:cstheme="minorHAnsi"/>
                <w:i/>
                <w:iCs/>
                <w:color w:val="000000" w:themeColor="text1"/>
                <w:sz w:val="20"/>
                <w:szCs w:val="20"/>
              </w:rPr>
              <w:t xml:space="preserve">ADAS-Cog, </w:t>
            </w:r>
            <w:r w:rsidRPr="00037AD4">
              <w:rPr>
                <w:rFonts w:asciiTheme="minorHAnsi" w:hAnsiTheme="minorHAnsi" w:cstheme="minorHAnsi"/>
                <w:i/>
                <w:iCs/>
                <w:color w:val="000000" w:themeColor="text1"/>
                <w:sz w:val="20"/>
                <w:szCs w:val="20"/>
                <w:shd w:val="clear" w:color="auto" w:fill="FFFFFF"/>
              </w:rPr>
              <w:t xml:space="preserve">The Alzheimer's Disease Assessment Scale-Cognitive Subscale; ADCS-ADL, Alzheimer’s Disease Cooperative Study Activities of Daily Living Scale; BADLS, Bristol Activities of Daily Living Scale; </w:t>
            </w:r>
            <w:r w:rsidRPr="00037AD4">
              <w:rPr>
                <w:rFonts w:asciiTheme="minorHAnsi" w:hAnsiTheme="minorHAnsi" w:cstheme="minorHAnsi"/>
                <w:i/>
                <w:iCs/>
                <w:color w:val="000000" w:themeColor="text1"/>
                <w:sz w:val="20"/>
                <w:szCs w:val="20"/>
              </w:rPr>
              <w:t xml:space="preserve">CMAI, </w:t>
            </w:r>
            <w:r w:rsidRPr="00037AD4">
              <w:rPr>
                <w:rFonts w:asciiTheme="minorHAnsi" w:hAnsiTheme="minorHAnsi" w:cstheme="minorHAnsi"/>
                <w:i/>
                <w:iCs/>
                <w:color w:val="000000" w:themeColor="text1"/>
                <w:sz w:val="20"/>
                <w:szCs w:val="20"/>
                <w:shd w:val="clear" w:color="auto" w:fill="FFFFFF"/>
              </w:rPr>
              <w:t>Cohen-Mansfield Agitation Inventory; CSDD, Cornell Scale for Depression in Dementia; DAD, Disability Assessment for Dementia; GDS-15, Geriatric Depression Scale 15 items;</w:t>
            </w:r>
            <w:r w:rsidRPr="00037AD4">
              <w:rPr>
                <w:rFonts w:asciiTheme="minorHAnsi" w:hAnsiTheme="minorHAnsi" w:cstheme="minorHAnsi"/>
                <w:i/>
                <w:iCs/>
                <w:color w:val="000000" w:themeColor="text1"/>
                <w:sz w:val="20"/>
                <w:szCs w:val="20"/>
              </w:rPr>
              <w:t xml:space="preserve"> MoCA, Montreal Cognitive Assessment; MMSE, Mini-Mental State Examination; </w:t>
            </w:r>
            <w:r w:rsidRPr="00037AD4">
              <w:rPr>
                <w:rStyle w:val="Emphasis"/>
                <w:rFonts w:asciiTheme="minorHAnsi" w:hAnsiTheme="minorHAnsi" w:cstheme="minorHAnsi"/>
                <w:color w:val="000000" w:themeColor="text1"/>
              </w:rPr>
              <w:t xml:space="preserve">NPI, </w:t>
            </w:r>
            <w:r w:rsidRPr="00037AD4">
              <w:rPr>
                <w:rFonts w:asciiTheme="minorHAnsi" w:hAnsiTheme="minorHAnsi" w:cstheme="minorHAnsi"/>
                <w:i/>
                <w:iCs/>
                <w:color w:val="000000" w:themeColor="text1"/>
                <w:sz w:val="20"/>
                <w:szCs w:val="20"/>
              </w:rPr>
              <w:t>Neuropsychiatric Inventory;</w:t>
            </w:r>
            <w:r w:rsidRPr="00037AD4">
              <w:rPr>
                <w:rFonts w:asciiTheme="minorHAnsi" w:hAnsiTheme="minorHAnsi" w:cstheme="minorHAnsi"/>
                <w:i/>
                <w:iCs/>
                <w:color w:val="000000" w:themeColor="text1"/>
                <w:sz w:val="20"/>
                <w:szCs w:val="20"/>
                <w:shd w:val="clear" w:color="auto" w:fill="FFFFFF"/>
              </w:rPr>
              <w:t xml:space="preserve"> QoL-AD, Quality of Life in Alzheimer's disease scale;</w:t>
            </w:r>
            <w:r w:rsidRPr="00037AD4">
              <w:rPr>
                <w:rFonts w:asciiTheme="minorHAnsi" w:hAnsiTheme="minorHAnsi" w:cstheme="minorHAnsi"/>
                <w:i/>
                <w:iCs/>
                <w:color w:val="000000" w:themeColor="text1"/>
                <w:sz w:val="20"/>
                <w:szCs w:val="20"/>
              </w:rPr>
              <w:t xml:space="preserve"> QUALID, </w:t>
            </w:r>
            <w:r w:rsidRPr="00037AD4">
              <w:rPr>
                <w:rFonts w:asciiTheme="minorHAnsi" w:hAnsiTheme="minorHAnsi" w:cstheme="minorHAnsi"/>
                <w:i/>
                <w:iCs/>
                <w:color w:val="000000" w:themeColor="text1"/>
                <w:sz w:val="20"/>
                <w:szCs w:val="20"/>
                <w:shd w:val="clear" w:color="auto" w:fill="FFFFFF"/>
              </w:rPr>
              <w:t>Quality of Life in Late-Stage</w:t>
            </w:r>
            <w:r w:rsidRPr="00037AD4">
              <w:rPr>
                <w:rStyle w:val="apple-converted-space"/>
                <w:rFonts w:asciiTheme="minorHAnsi" w:eastAsiaTheme="majorEastAsia" w:hAnsiTheme="minorHAnsi" w:cstheme="minorHAnsi"/>
                <w:i/>
                <w:iCs/>
                <w:color w:val="000000" w:themeColor="text1"/>
                <w:sz w:val="20"/>
                <w:szCs w:val="20"/>
                <w:shd w:val="clear" w:color="auto" w:fill="FFFFFF"/>
              </w:rPr>
              <w:t> </w:t>
            </w:r>
            <w:r w:rsidRPr="00037AD4">
              <w:rPr>
                <w:rStyle w:val="Emphasis"/>
                <w:rFonts w:asciiTheme="minorHAnsi" w:hAnsiTheme="minorHAnsi" w:cstheme="minorHAnsi"/>
                <w:color w:val="000000" w:themeColor="text1"/>
              </w:rPr>
              <w:t xml:space="preserve">Dementia Scale; QUALIDEM, </w:t>
            </w:r>
            <w:r w:rsidRPr="00037AD4">
              <w:rPr>
                <w:rFonts w:asciiTheme="minorHAnsi" w:hAnsiTheme="minorHAnsi" w:cstheme="minorHAnsi"/>
                <w:i/>
                <w:iCs/>
                <w:color w:val="000000" w:themeColor="text1"/>
                <w:sz w:val="20"/>
                <w:szCs w:val="20"/>
                <w:shd w:val="clear" w:color="auto" w:fill="FFFFFF"/>
              </w:rPr>
              <w:t>Quality of Life in Late-</w:t>
            </w:r>
            <w:r w:rsidRPr="00037AD4">
              <w:rPr>
                <w:rFonts w:asciiTheme="minorHAnsi" w:hAnsiTheme="minorHAnsi" w:cstheme="minorHAnsi"/>
                <w:color w:val="000000" w:themeColor="text1"/>
                <w:sz w:val="20"/>
                <w:szCs w:val="20"/>
                <w:shd w:val="clear" w:color="auto" w:fill="FFFFFF"/>
              </w:rPr>
              <w:t>Stage</w:t>
            </w:r>
            <w:r w:rsidRPr="00037AD4">
              <w:rPr>
                <w:rStyle w:val="apple-converted-space"/>
                <w:rFonts w:asciiTheme="minorHAnsi" w:eastAsiaTheme="majorEastAsia" w:hAnsiTheme="minorHAnsi" w:cstheme="minorHAnsi"/>
                <w:color w:val="000000" w:themeColor="text1"/>
                <w:sz w:val="20"/>
                <w:szCs w:val="20"/>
                <w:shd w:val="clear" w:color="auto" w:fill="FFFFFF"/>
              </w:rPr>
              <w:t> </w:t>
            </w:r>
            <w:r w:rsidRPr="00037AD4">
              <w:rPr>
                <w:rStyle w:val="Emphasis"/>
                <w:rFonts w:asciiTheme="minorHAnsi" w:hAnsiTheme="minorHAnsi" w:cstheme="minorHAnsi"/>
                <w:color w:val="000000" w:themeColor="text1"/>
              </w:rPr>
              <w:t xml:space="preserve">Dementia Scale proxy; </w:t>
            </w:r>
            <w:r w:rsidRPr="00037AD4">
              <w:rPr>
                <w:rFonts w:asciiTheme="minorHAnsi" w:hAnsiTheme="minorHAnsi" w:cstheme="minorHAnsi"/>
                <w:i/>
                <w:iCs/>
                <w:color w:val="000000" w:themeColor="text1"/>
                <w:sz w:val="20"/>
                <w:szCs w:val="20"/>
                <w:shd w:val="clear" w:color="auto" w:fill="FFFFFF"/>
              </w:rPr>
              <w:t>SIB, Severe Impairment Battery</w:t>
            </w:r>
          </w:p>
        </w:tc>
      </w:tr>
    </w:tbl>
    <w:p w14:paraId="13A8CD95" w14:textId="77777777" w:rsidR="00B54D51" w:rsidRPr="00037AD4" w:rsidRDefault="00B54D51" w:rsidP="00FA0847">
      <w:bookmarkStart w:id="216" w:name="_Toc79582132"/>
      <w:bookmarkStart w:id="217" w:name="_Toc79839757"/>
      <w:bookmarkStart w:id="218" w:name="_Toc80257831"/>
      <w:bookmarkStart w:id="219" w:name="_Toc80969275"/>
      <w:bookmarkStart w:id="220" w:name="_Toc80969356"/>
      <w:bookmarkStart w:id="221" w:name="_Toc80969436"/>
      <w:bookmarkStart w:id="222" w:name="_Toc82180043"/>
    </w:p>
    <w:p w14:paraId="4DE3949C" w14:textId="77777777" w:rsidR="00B54D51" w:rsidRPr="00037AD4" w:rsidRDefault="00B54D51" w:rsidP="007A43F9">
      <w:pPr>
        <w:pStyle w:val="Heading2"/>
      </w:pPr>
      <w:bookmarkStart w:id="223" w:name="_Toc175742282"/>
      <w:r w:rsidRPr="00037AD4">
        <w:t xml:space="preserve">3.5 </w:t>
      </w:r>
      <w:bookmarkEnd w:id="216"/>
      <w:bookmarkEnd w:id="217"/>
      <w:bookmarkEnd w:id="218"/>
      <w:bookmarkEnd w:id="219"/>
      <w:bookmarkEnd w:id="220"/>
      <w:bookmarkEnd w:id="221"/>
      <w:bookmarkEnd w:id="222"/>
      <w:r w:rsidRPr="00037AD4">
        <w:t>Core health-related quality of life measures</w:t>
      </w:r>
      <w:bookmarkEnd w:id="223"/>
      <w:r w:rsidRPr="00037AD4">
        <w:t xml:space="preserve"> </w:t>
      </w:r>
    </w:p>
    <w:p w14:paraId="2EC90974" w14:textId="77777777" w:rsidR="00B54D51" w:rsidRPr="00037AD4" w:rsidRDefault="00B54D51" w:rsidP="003E42C4">
      <w:pPr>
        <w:pStyle w:val="EndNoteBibliography"/>
        <w:rPr>
          <w:rFonts w:asciiTheme="minorHAnsi" w:hAnsiTheme="minorHAnsi" w:cstheme="minorHAnsi"/>
          <w:b/>
          <w:bCs/>
          <w:u w:val="single"/>
          <w:lang w:val="en-GB"/>
        </w:rPr>
      </w:pPr>
    </w:p>
    <w:p w14:paraId="717C6661" w14:textId="77777777" w:rsidR="00B54D51" w:rsidRPr="00037AD4" w:rsidRDefault="00B54D51" w:rsidP="003E42C4">
      <w:pPr>
        <w:pStyle w:val="EndNoteBibliography"/>
        <w:rPr>
          <w:rFonts w:asciiTheme="minorHAnsi" w:hAnsiTheme="minorHAnsi" w:cstheme="minorHAnsi"/>
          <w:lang w:val="en-GB"/>
        </w:rPr>
      </w:pPr>
      <w:r w:rsidRPr="00037AD4">
        <w:rPr>
          <w:rFonts w:asciiTheme="minorHAnsi" w:hAnsiTheme="minorHAnsi" w:cstheme="minorHAnsi"/>
          <w:lang w:val="en-GB"/>
        </w:rPr>
        <w:t xml:space="preserve">To enable a complete understanding of HRQoL measurement in dementia evaluations, the instruments that were identified as core are explored in detail, as </w:t>
      </w:r>
      <w:r w:rsidRPr="00037AD4">
        <w:rPr>
          <w:rFonts w:asciiTheme="minorHAnsi" w:hAnsiTheme="minorHAnsi" w:cstheme="minorHAnsi"/>
          <w:color w:val="000000" w:themeColor="text1"/>
          <w:lang w:val="en-GB"/>
        </w:rPr>
        <w:t xml:space="preserve">reported in </w:t>
      </w:r>
      <w:hyperlink w:anchor="Table3" w:history="1">
        <w:r w:rsidRPr="00B54D51">
          <w:rPr>
            <w:rStyle w:val="Hyperlink"/>
            <w:rFonts w:asciiTheme="minorHAnsi" w:hAnsiTheme="minorHAnsi" w:cstheme="minorHAnsi"/>
            <w:color w:val="000000" w:themeColor="text1"/>
            <w:u w:val="none"/>
            <w:lang w:val="en-GB"/>
          </w:rPr>
          <w:t>Table 3</w:t>
        </w:r>
      </w:hyperlink>
      <w:r w:rsidRPr="00037AD4">
        <w:rPr>
          <w:rFonts w:asciiTheme="minorHAnsi" w:hAnsiTheme="minorHAnsi" w:cstheme="minorHAnsi"/>
          <w:color w:val="000000" w:themeColor="text1"/>
          <w:lang w:val="en-GB"/>
        </w:rPr>
        <w:t xml:space="preserve">. </w:t>
      </w:r>
      <w:r w:rsidRPr="00037AD4">
        <w:rPr>
          <w:rFonts w:asciiTheme="minorHAnsi" w:hAnsiTheme="minorHAnsi" w:cstheme="minorHAnsi"/>
          <w:lang w:val="en-GB"/>
        </w:rPr>
        <w:t xml:space="preserve">These instruments included five dementia-specific QoL measures (DEMQoL and DEMQoL-proxy, QoL-AD, QUALID and QUALIDEM) and one generic measure (EQ-5D), all characterised by a health-related focus. EQ-5D measures generic aspects of HRQoL and is therefore applied across conditions. The dementia-specific measures provide a more focused assessment of the health-related challenges associated with dementia, including aspects such as cognition, emotional well-being and physical function. These HRQoL measures contrast with more general QoL measures, which typically include a broader range of life domains such as material, social and emotional well-being </w:t>
      </w:r>
      <w:r>
        <w:rPr>
          <w:rFonts w:asciiTheme="minorHAnsi" w:hAnsiTheme="minorHAnsi" w:cstheme="minorHAnsi"/>
          <w:noProof/>
          <w:lang w:val="en-GB"/>
        </w:rPr>
        <w:t>(Karimi and Brazier, 2016)</w:t>
      </w:r>
      <w:r w:rsidRPr="00037AD4">
        <w:rPr>
          <w:rFonts w:asciiTheme="minorHAnsi" w:hAnsiTheme="minorHAnsi" w:cstheme="minorHAnsi"/>
          <w:lang w:val="en-GB"/>
        </w:rPr>
        <w:t xml:space="preserve">. </w:t>
      </w:r>
    </w:p>
    <w:p w14:paraId="4C707CC4" w14:textId="77777777" w:rsidR="00B54D51" w:rsidRPr="00037AD4" w:rsidRDefault="00B54D51" w:rsidP="003E42C4">
      <w:pPr>
        <w:pStyle w:val="EndNoteBibliography"/>
        <w:rPr>
          <w:rFonts w:asciiTheme="minorHAnsi" w:hAnsiTheme="minorHAnsi" w:cstheme="minorHAnsi"/>
          <w:lang w:val="en-GB"/>
        </w:rPr>
      </w:pPr>
    </w:p>
    <w:p w14:paraId="126F49D7" w14:textId="77777777" w:rsidR="00B54D51" w:rsidRPr="00037AD4" w:rsidRDefault="00B54D51" w:rsidP="007A43F9">
      <w:pPr>
        <w:pStyle w:val="Heading3"/>
      </w:pPr>
      <w:bookmarkStart w:id="224" w:name="_Toc175742283"/>
      <w:r w:rsidRPr="00037AD4">
        <w:t xml:space="preserve">3.5.1 Core dementia specific </w:t>
      </w:r>
      <w:r w:rsidRPr="00037AD4">
        <w:rPr>
          <w:color w:val="000000" w:themeColor="text1"/>
        </w:rPr>
        <w:t>health-related quality of life</w:t>
      </w:r>
      <w:r w:rsidRPr="00037AD4">
        <w:t xml:space="preserve"> measures</w:t>
      </w:r>
      <w:bookmarkEnd w:id="224"/>
      <w:r w:rsidRPr="00037AD4">
        <w:t xml:space="preserve"> </w:t>
      </w:r>
    </w:p>
    <w:p w14:paraId="52708064" w14:textId="77777777" w:rsidR="00B54D51" w:rsidRPr="00037AD4" w:rsidRDefault="00B54D51" w:rsidP="003E42C4">
      <w:pPr>
        <w:pStyle w:val="EndNoteBibliography"/>
        <w:rPr>
          <w:rFonts w:asciiTheme="minorHAnsi" w:hAnsiTheme="minorHAnsi" w:cstheme="minorHAnsi"/>
          <w:lang w:val="en-GB"/>
        </w:rPr>
      </w:pPr>
    </w:p>
    <w:p w14:paraId="40FA5A83" w14:textId="77777777" w:rsidR="00B54D51" w:rsidRPr="00037AD4" w:rsidRDefault="00B54D51" w:rsidP="003E42C4">
      <w:pPr>
        <w:pStyle w:val="EndNoteBibliography"/>
        <w:rPr>
          <w:rFonts w:asciiTheme="minorHAnsi" w:hAnsiTheme="minorHAnsi" w:cstheme="minorHAnsi"/>
          <w:lang w:val="en-GB"/>
        </w:rPr>
      </w:pPr>
      <w:r w:rsidRPr="00037AD4">
        <w:rPr>
          <w:rFonts w:asciiTheme="minorHAnsi" w:hAnsiTheme="minorHAnsi" w:cstheme="minorHAnsi"/>
          <w:lang w:val="en-GB"/>
        </w:rPr>
        <w:t xml:space="preserve">Despite their shared goal in measuring dementia specific HRQoL, the domains and individual item components vary between the instruments. This section aims to summarise these domains by consulting the distinct instrument’s development and conceptual framework. This step involved identifying primary development papers and chain searching their references for any additional related information. </w:t>
      </w:r>
    </w:p>
    <w:p w14:paraId="5F6F39CA" w14:textId="77777777" w:rsidR="00B54D51" w:rsidRPr="00037AD4" w:rsidRDefault="00B54D51" w:rsidP="003E42C4">
      <w:pPr>
        <w:pStyle w:val="EndNoteBibliography"/>
        <w:rPr>
          <w:rFonts w:asciiTheme="minorHAnsi" w:hAnsiTheme="minorHAnsi" w:cstheme="minorHAnsi"/>
          <w:sz w:val="26"/>
          <w:szCs w:val="26"/>
          <w:lang w:val="en-GB"/>
        </w:rPr>
      </w:pPr>
    </w:p>
    <w:p w14:paraId="4908F14B" w14:textId="77777777" w:rsidR="00B54D51" w:rsidRPr="00037AD4" w:rsidRDefault="00B54D51" w:rsidP="007A43F9">
      <w:pPr>
        <w:pStyle w:val="Heading4"/>
      </w:pPr>
      <w:bookmarkStart w:id="225" w:name="_Toc79582133"/>
      <w:bookmarkStart w:id="226" w:name="_Toc79839758"/>
      <w:bookmarkStart w:id="227" w:name="_Toc80257832"/>
      <w:bookmarkStart w:id="228" w:name="_Toc80969276"/>
      <w:bookmarkStart w:id="229" w:name="_Toc80969357"/>
      <w:bookmarkStart w:id="230" w:name="_Toc80969437"/>
      <w:bookmarkStart w:id="231" w:name="_Toc82180044"/>
      <w:r w:rsidRPr="00037AD4">
        <w:t xml:space="preserve">3.5.1.1 </w:t>
      </w:r>
      <w:bookmarkEnd w:id="225"/>
      <w:bookmarkEnd w:id="226"/>
      <w:bookmarkEnd w:id="227"/>
      <w:bookmarkEnd w:id="228"/>
      <w:bookmarkEnd w:id="229"/>
      <w:bookmarkEnd w:id="230"/>
      <w:bookmarkEnd w:id="231"/>
      <w:r w:rsidRPr="00037AD4">
        <w:t xml:space="preserve">The DEMQoL Suite </w:t>
      </w:r>
    </w:p>
    <w:p w14:paraId="771DAE33" w14:textId="77777777" w:rsidR="00B54D51" w:rsidRPr="00037AD4" w:rsidRDefault="00B54D51" w:rsidP="00D93CA6">
      <w:pPr>
        <w:rPr>
          <w:rFonts w:asciiTheme="minorHAnsi" w:hAnsiTheme="minorHAnsi" w:cstheme="minorHAnsi"/>
        </w:rPr>
      </w:pPr>
    </w:p>
    <w:p w14:paraId="48B0C034" w14:textId="77777777" w:rsidR="00B54D51" w:rsidRPr="00037AD4" w:rsidRDefault="00B54D51" w:rsidP="00D93CA6">
      <w:pPr>
        <w:rPr>
          <w:rFonts w:asciiTheme="minorHAnsi" w:hAnsiTheme="minorHAnsi" w:cstheme="minorHAnsi"/>
        </w:rPr>
      </w:pPr>
      <w:r w:rsidRPr="00037AD4">
        <w:rPr>
          <w:rFonts w:asciiTheme="minorHAnsi" w:hAnsiTheme="minorHAnsi" w:cstheme="minorHAnsi"/>
        </w:rPr>
        <w:t xml:space="preserve">The DEMQoL suite comprises of a PwD self-reported and a proxy-reported measure. Both measures include a similar but distinct item set. The proxy-version is intended for </w:t>
      </w:r>
      <w:r w:rsidRPr="00037AD4">
        <w:rPr>
          <w:rFonts w:asciiTheme="minorHAnsi" w:hAnsiTheme="minorHAnsi" w:cstheme="minorHAnsi"/>
        </w:rPr>
        <w:lastRenderedPageBreak/>
        <w:t xml:space="preserve">completion by either a formal or informal caregiver, granted they have sufficient knowledge of the person’s condition and experience. This inclusive approach to proxy completion allows for flexibility in obtaining valuable insights into the PwD’s QoL across different care settings. There are five overarching QoL domains across both instruments, these are: </w:t>
      </w:r>
      <w:r w:rsidRPr="00037AD4">
        <w:rPr>
          <w:rFonts w:asciiTheme="minorHAnsi" w:hAnsiTheme="minorHAnsi" w:cstheme="minorHAnsi"/>
          <w:i/>
          <w:iCs/>
        </w:rPr>
        <w:t xml:space="preserve">daily activities and looking after yourself, health and well-being, cognitive functioning, social relationship, </w:t>
      </w:r>
      <w:r w:rsidRPr="00037AD4">
        <w:rPr>
          <w:rFonts w:asciiTheme="minorHAnsi" w:hAnsiTheme="minorHAnsi" w:cstheme="minorHAnsi"/>
        </w:rPr>
        <w:t>and</w:t>
      </w:r>
      <w:r w:rsidRPr="00037AD4">
        <w:rPr>
          <w:rFonts w:asciiTheme="minorHAnsi" w:hAnsiTheme="minorHAnsi" w:cstheme="minorHAnsi"/>
          <w:i/>
          <w:iCs/>
        </w:rPr>
        <w:t xml:space="preserve"> self-concept </w:t>
      </w:r>
      <w:r>
        <w:rPr>
          <w:rFonts w:asciiTheme="minorHAnsi" w:hAnsiTheme="minorHAnsi" w:cstheme="minorHAnsi"/>
          <w:noProof/>
        </w:rPr>
        <w:t>(Smith et al., 2005a)</w:t>
      </w:r>
      <w:r w:rsidRPr="00037AD4">
        <w:rPr>
          <w:rFonts w:asciiTheme="minorHAnsi" w:hAnsiTheme="minorHAnsi" w:cstheme="minorHAnsi"/>
        </w:rPr>
        <w:t>.</w:t>
      </w:r>
      <w:r w:rsidRPr="00037AD4">
        <w:rPr>
          <w:rFonts w:asciiTheme="minorHAnsi" w:hAnsiTheme="minorHAnsi" w:cstheme="minorHAnsi"/>
          <w:i/>
          <w:iCs/>
        </w:rPr>
        <w:t xml:space="preserve"> </w:t>
      </w:r>
      <w:r w:rsidRPr="00037AD4">
        <w:rPr>
          <w:rFonts w:asciiTheme="minorHAnsi" w:hAnsiTheme="minorHAnsi" w:cstheme="minorHAnsi"/>
        </w:rPr>
        <w:t xml:space="preserve">A summary of the developmental framework is </w:t>
      </w:r>
      <w:r w:rsidRPr="00037AD4">
        <w:rPr>
          <w:rFonts w:asciiTheme="minorHAnsi" w:hAnsiTheme="minorHAnsi" w:cstheme="minorHAnsi"/>
          <w:color w:val="000000" w:themeColor="text1"/>
        </w:rPr>
        <w:t xml:space="preserve">provided in </w:t>
      </w:r>
      <w:hyperlink w:anchor="A31a" w:history="1">
        <w:r w:rsidRPr="00B54D51">
          <w:rPr>
            <w:rStyle w:val="Hyperlink"/>
            <w:rFonts w:asciiTheme="minorHAnsi" w:hAnsiTheme="minorHAnsi" w:cstheme="minorHAnsi"/>
            <w:color w:val="000000" w:themeColor="text1"/>
            <w:u w:val="none"/>
          </w:rPr>
          <w:t>Appendix 3.1a</w:t>
        </w:r>
      </w:hyperlink>
      <w:r w:rsidRPr="00B54D51">
        <w:rPr>
          <w:rFonts w:asciiTheme="minorHAnsi" w:hAnsiTheme="minorHAnsi" w:cstheme="minorHAnsi"/>
          <w:color w:val="000000" w:themeColor="text1"/>
        </w:rPr>
        <w:t>,</w:t>
      </w:r>
      <w:r w:rsidRPr="00037AD4">
        <w:rPr>
          <w:rFonts w:asciiTheme="minorHAnsi" w:hAnsiTheme="minorHAnsi" w:cstheme="minorHAnsi"/>
          <w:color w:val="000000" w:themeColor="text1"/>
        </w:rPr>
        <w:t xml:space="preserve"> as well as tables </w:t>
      </w:r>
      <w:r w:rsidRPr="00037AD4">
        <w:rPr>
          <w:rFonts w:asciiTheme="minorHAnsi" w:hAnsiTheme="minorHAnsi" w:cstheme="minorHAnsi"/>
        </w:rPr>
        <w:t xml:space="preserve">displaying the items of the two instruments and their related domains. </w:t>
      </w:r>
    </w:p>
    <w:p w14:paraId="3FCA7776" w14:textId="77777777" w:rsidR="00B54D51" w:rsidRDefault="00B54D51" w:rsidP="007A43F9">
      <w:pPr>
        <w:pStyle w:val="Heading4"/>
      </w:pPr>
      <w:bookmarkStart w:id="232" w:name="_Toc79582134"/>
      <w:bookmarkStart w:id="233" w:name="_Toc79839759"/>
      <w:bookmarkStart w:id="234" w:name="_Toc80257833"/>
      <w:bookmarkStart w:id="235" w:name="_Toc80969277"/>
      <w:bookmarkStart w:id="236" w:name="_Toc80969358"/>
      <w:bookmarkStart w:id="237" w:name="_Toc80969438"/>
      <w:bookmarkStart w:id="238" w:name="_Toc82180045"/>
    </w:p>
    <w:p w14:paraId="5555CB46" w14:textId="77777777" w:rsidR="00B54D51" w:rsidRPr="00037AD4" w:rsidRDefault="00B54D51" w:rsidP="007A43F9">
      <w:pPr>
        <w:pStyle w:val="Heading4"/>
      </w:pPr>
      <w:r w:rsidRPr="00037AD4">
        <w:t>3.5.1.2 QoL-AD</w:t>
      </w:r>
      <w:bookmarkEnd w:id="232"/>
      <w:bookmarkEnd w:id="233"/>
      <w:bookmarkEnd w:id="234"/>
      <w:bookmarkEnd w:id="235"/>
      <w:bookmarkEnd w:id="236"/>
      <w:bookmarkEnd w:id="237"/>
      <w:bookmarkEnd w:id="238"/>
      <w:r w:rsidRPr="00037AD4">
        <w:t xml:space="preserve"> </w:t>
      </w:r>
    </w:p>
    <w:p w14:paraId="57641B5D" w14:textId="77777777" w:rsidR="00B54D51" w:rsidRPr="00037AD4" w:rsidRDefault="00B54D51" w:rsidP="002A7056">
      <w:pPr>
        <w:pStyle w:val="EndNoteBibliography"/>
        <w:rPr>
          <w:rFonts w:asciiTheme="minorHAnsi" w:hAnsiTheme="minorHAnsi" w:cstheme="minorHAnsi"/>
          <w:b/>
          <w:bCs/>
          <w:u w:val="single"/>
          <w:lang w:val="en-GB"/>
        </w:rPr>
      </w:pPr>
    </w:p>
    <w:p w14:paraId="367A9DF2" w14:textId="77777777" w:rsidR="00B54D51" w:rsidRPr="00037AD4" w:rsidRDefault="00B54D51" w:rsidP="00145889">
      <w:pPr>
        <w:pStyle w:val="EndNoteBibliography"/>
        <w:rPr>
          <w:rFonts w:asciiTheme="minorHAnsi" w:hAnsiTheme="minorHAnsi" w:cstheme="minorHAnsi"/>
          <w:color w:val="000000" w:themeColor="text1"/>
          <w:lang w:val="en-GB"/>
        </w:rPr>
      </w:pPr>
      <w:r w:rsidRPr="00037AD4">
        <w:rPr>
          <w:rFonts w:asciiTheme="minorHAnsi" w:hAnsiTheme="minorHAnsi" w:cstheme="minorHAnsi"/>
          <w:color w:val="000000" w:themeColor="text1"/>
          <w:lang w:val="en-GB"/>
        </w:rPr>
        <w:t xml:space="preserve">The QoL-AD measure can be completed by the PwD or a proxy, using the same instrument and identical item set for both respondent types. The instrument’s development and included items are based upon Lawton’s domains of QoL: </w:t>
      </w:r>
      <w:r w:rsidRPr="00037AD4">
        <w:rPr>
          <w:rFonts w:asciiTheme="minorHAnsi" w:hAnsiTheme="minorHAnsi" w:cstheme="minorHAnsi"/>
          <w:i/>
          <w:iCs/>
          <w:color w:val="000000" w:themeColor="text1"/>
          <w:lang w:val="en-GB"/>
        </w:rPr>
        <w:t xml:space="preserve">behavioural competence, the objective environment, psychological well-being </w:t>
      </w:r>
      <w:r w:rsidRPr="00037AD4">
        <w:rPr>
          <w:rFonts w:asciiTheme="minorHAnsi" w:hAnsiTheme="minorHAnsi" w:cstheme="minorHAnsi"/>
          <w:color w:val="000000" w:themeColor="text1"/>
          <w:lang w:val="en-GB"/>
        </w:rPr>
        <w:t xml:space="preserve">and </w:t>
      </w:r>
      <w:r w:rsidRPr="00037AD4">
        <w:rPr>
          <w:rFonts w:asciiTheme="minorHAnsi" w:hAnsiTheme="minorHAnsi" w:cstheme="minorHAnsi"/>
          <w:i/>
          <w:iCs/>
          <w:color w:val="000000" w:themeColor="text1"/>
          <w:lang w:val="en-GB"/>
        </w:rPr>
        <w:t xml:space="preserve">perceived </w:t>
      </w:r>
      <w:r w:rsidRPr="00850871">
        <w:rPr>
          <w:rFonts w:asciiTheme="minorHAnsi" w:hAnsiTheme="minorHAnsi" w:cstheme="minorHAnsi"/>
          <w:color w:val="000000" w:themeColor="text1"/>
          <w:lang w:val="en-GB"/>
        </w:rPr>
        <w:t xml:space="preserve">QoL </w:t>
      </w:r>
      <w:r>
        <w:rPr>
          <w:rFonts w:asciiTheme="minorHAnsi" w:hAnsiTheme="minorHAnsi" w:cstheme="minorHAnsi"/>
          <w:noProof/>
          <w:color w:val="000000" w:themeColor="text1"/>
          <w:lang w:val="en-GB"/>
        </w:rPr>
        <w:t>(Logsdon et al., 2002, Jonker et al., 2004)</w:t>
      </w:r>
      <w:r w:rsidRPr="00850871">
        <w:rPr>
          <w:rFonts w:asciiTheme="minorHAnsi" w:hAnsiTheme="minorHAnsi" w:cstheme="minorHAnsi"/>
          <w:color w:val="000000" w:themeColor="text1"/>
          <w:lang w:val="en-GB"/>
        </w:rPr>
        <w:t>.</w:t>
      </w:r>
      <w:r w:rsidRPr="00037AD4">
        <w:rPr>
          <w:rFonts w:asciiTheme="minorHAnsi" w:hAnsiTheme="minorHAnsi" w:cstheme="minorHAnsi"/>
          <w:i/>
          <w:iCs/>
          <w:color w:val="000000" w:themeColor="text1"/>
          <w:lang w:val="en-GB"/>
        </w:rPr>
        <w:t xml:space="preserve"> </w:t>
      </w:r>
      <w:r w:rsidRPr="00037AD4">
        <w:rPr>
          <w:rFonts w:asciiTheme="minorHAnsi" w:hAnsiTheme="minorHAnsi" w:cstheme="minorHAnsi"/>
          <w:color w:val="000000" w:themeColor="text1"/>
          <w:lang w:val="en-GB"/>
        </w:rPr>
        <w:t xml:space="preserve">A concise summary of the developmental details and framework can be found in </w:t>
      </w:r>
      <w:hyperlink w:anchor="A31b" w:history="1">
        <w:r w:rsidRPr="00B54D51">
          <w:rPr>
            <w:rStyle w:val="Hyperlink"/>
            <w:rFonts w:asciiTheme="minorHAnsi" w:hAnsiTheme="minorHAnsi" w:cstheme="minorHAnsi"/>
            <w:color w:val="000000" w:themeColor="text1"/>
            <w:u w:val="none"/>
            <w:lang w:val="en-GB"/>
          </w:rPr>
          <w:t>Appendix 3.1b</w:t>
        </w:r>
      </w:hyperlink>
      <w:r w:rsidRPr="00B54D51">
        <w:rPr>
          <w:rFonts w:asciiTheme="minorHAnsi" w:hAnsiTheme="minorHAnsi" w:cstheme="minorHAnsi"/>
          <w:color w:val="000000" w:themeColor="text1"/>
          <w:lang w:val="en-GB"/>
        </w:rPr>
        <w:t>,</w:t>
      </w:r>
      <w:r w:rsidRPr="00037AD4">
        <w:rPr>
          <w:rFonts w:asciiTheme="minorHAnsi" w:hAnsiTheme="minorHAnsi" w:cstheme="minorHAnsi"/>
          <w:color w:val="000000" w:themeColor="text1"/>
          <w:lang w:val="en-GB"/>
        </w:rPr>
        <w:t xml:space="preserve"> accompanied by a table presenting the items of the measure.</w:t>
      </w:r>
    </w:p>
    <w:p w14:paraId="190A1A9E" w14:textId="77777777" w:rsidR="00B54D51" w:rsidRPr="00037AD4" w:rsidRDefault="00B54D51" w:rsidP="003C16AA">
      <w:pPr>
        <w:rPr>
          <w:rFonts w:asciiTheme="minorHAnsi" w:hAnsiTheme="minorHAnsi" w:cstheme="minorHAnsi"/>
        </w:rPr>
      </w:pPr>
    </w:p>
    <w:p w14:paraId="33ABE0BD" w14:textId="77777777" w:rsidR="00B54D51" w:rsidRPr="00037AD4" w:rsidRDefault="00B54D51" w:rsidP="007A43F9">
      <w:pPr>
        <w:pStyle w:val="Heading4"/>
      </w:pPr>
      <w:bookmarkStart w:id="239" w:name="_Toc79582135"/>
      <w:bookmarkStart w:id="240" w:name="_Toc79839760"/>
      <w:bookmarkStart w:id="241" w:name="_Toc80257834"/>
      <w:bookmarkStart w:id="242" w:name="_Toc80969278"/>
      <w:bookmarkStart w:id="243" w:name="_Toc80969359"/>
      <w:bookmarkStart w:id="244" w:name="_Toc80969439"/>
      <w:bookmarkStart w:id="245" w:name="_Toc82180046"/>
      <w:r w:rsidRPr="00037AD4">
        <w:t>3.5.1.3 QUALID</w:t>
      </w:r>
      <w:bookmarkEnd w:id="239"/>
      <w:bookmarkEnd w:id="240"/>
      <w:bookmarkEnd w:id="241"/>
      <w:bookmarkEnd w:id="242"/>
      <w:bookmarkEnd w:id="243"/>
      <w:bookmarkEnd w:id="244"/>
      <w:bookmarkEnd w:id="245"/>
      <w:r w:rsidRPr="00037AD4">
        <w:t xml:space="preserve"> </w:t>
      </w:r>
    </w:p>
    <w:p w14:paraId="63D9751F" w14:textId="77777777" w:rsidR="00B54D51" w:rsidRPr="00037AD4" w:rsidRDefault="00B54D51" w:rsidP="002A7056">
      <w:pPr>
        <w:pStyle w:val="EndNoteBibliography"/>
        <w:rPr>
          <w:rFonts w:asciiTheme="minorHAnsi" w:hAnsiTheme="minorHAnsi" w:cstheme="minorHAnsi"/>
          <w:b/>
          <w:bCs/>
          <w:u w:val="single"/>
          <w:lang w:val="en-GB"/>
        </w:rPr>
      </w:pPr>
    </w:p>
    <w:p w14:paraId="286F0486" w14:textId="77777777" w:rsidR="00B54D51" w:rsidRPr="00037AD4" w:rsidRDefault="00B54D51" w:rsidP="007D3AC1">
      <w:pPr>
        <w:pStyle w:val="EndNoteBibliography"/>
        <w:rPr>
          <w:rFonts w:asciiTheme="minorHAnsi" w:hAnsiTheme="minorHAnsi" w:cstheme="minorHAnsi"/>
          <w:i/>
          <w:iCs/>
          <w:lang w:val="en-GB"/>
        </w:rPr>
      </w:pPr>
      <w:r w:rsidRPr="00037AD4">
        <w:rPr>
          <w:rFonts w:asciiTheme="minorHAnsi" w:hAnsiTheme="minorHAnsi" w:cstheme="minorHAnsi"/>
          <w:lang w:val="en-GB"/>
        </w:rPr>
        <w:t xml:space="preserve">The QUALID is a proxy-reported measure specifically designed for assessing institutionalised populations with late-stage dementia. Its development was based upon Lawton’s domains of QoL in AD research </w:t>
      </w:r>
      <w:r>
        <w:rPr>
          <w:rFonts w:asciiTheme="minorHAnsi" w:hAnsiTheme="minorHAnsi" w:cstheme="minorHAnsi"/>
          <w:noProof/>
          <w:lang w:val="en-GB"/>
        </w:rPr>
        <w:t>(Lawton, 1994)</w:t>
      </w:r>
      <w:r w:rsidRPr="00037AD4">
        <w:rPr>
          <w:rFonts w:asciiTheme="minorHAnsi" w:hAnsiTheme="minorHAnsi" w:cstheme="minorHAnsi"/>
          <w:lang w:val="en-GB"/>
        </w:rPr>
        <w:t xml:space="preserve"> and Logsdon’s pleasant event schedule in AD patients </w:t>
      </w:r>
      <w:r>
        <w:rPr>
          <w:rFonts w:asciiTheme="minorHAnsi" w:hAnsiTheme="minorHAnsi" w:cstheme="minorHAnsi"/>
          <w:noProof/>
          <w:lang w:val="en-GB"/>
        </w:rPr>
        <w:t>(Logsdon and Teri, 1997)</w:t>
      </w:r>
      <w:r w:rsidRPr="00037AD4">
        <w:rPr>
          <w:rFonts w:asciiTheme="minorHAnsi" w:hAnsiTheme="minorHAnsi" w:cstheme="minorHAnsi"/>
          <w:lang w:val="en-GB"/>
        </w:rPr>
        <w:t xml:space="preserve">, including: </w:t>
      </w:r>
      <w:r w:rsidRPr="00037AD4">
        <w:rPr>
          <w:rFonts w:asciiTheme="minorHAnsi" w:hAnsiTheme="minorHAnsi" w:cstheme="minorHAnsi"/>
          <w:i/>
          <w:iCs/>
          <w:lang w:val="en-GB"/>
        </w:rPr>
        <w:t xml:space="preserve">cognitive functioning, the ability to perform activities of daily living and to engage in meaningful time use and social behaviour, </w:t>
      </w:r>
      <w:r w:rsidRPr="00037AD4">
        <w:rPr>
          <w:rFonts w:asciiTheme="minorHAnsi" w:hAnsiTheme="minorHAnsi" w:cstheme="minorHAnsi"/>
          <w:lang w:val="en-GB"/>
        </w:rPr>
        <w:t xml:space="preserve">and </w:t>
      </w:r>
      <w:r w:rsidRPr="00037AD4">
        <w:rPr>
          <w:rFonts w:asciiTheme="minorHAnsi" w:hAnsiTheme="minorHAnsi" w:cstheme="minorHAnsi"/>
          <w:i/>
          <w:iCs/>
          <w:lang w:val="en-GB"/>
        </w:rPr>
        <w:t xml:space="preserve">a favourable balance between positive emotion and absence of negative emotion </w:t>
      </w:r>
      <w:r w:rsidRPr="00037AD4">
        <w:rPr>
          <w:rFonts w:asciiTheme="minorHAnsi" w:hAnsiTheme="minorHAnsi" w:cstheme="minorHAnsi"/>
          <w:lang w:val="en-GB"/>
        </w:rPr>
        <w:t>and</w:t>
      </w:r>
      <w:r w:rsidRPr="00037AD4">
        <w:rPr>
          <w:rFonts w:asciiTheme="minorHAnsi" w:hAnsiTheme="minorHAnsi" w:cstheme="minorHAnsi"/>
          <w:i/>
          <w:iCs/>
          <w:lang w:val="en-GB"/>
        </w:rPr>
        <w:t xml:space="preserve"> pleasant events. </w:t>
      </w:r>
      <w:r w:rsidRPr="00037AD4">
        <w:rPr>
          <w:rFonts w:asciiTheme="minorHAnsi" w:hAnsiTheme="minorHAnsi" w:cstheme="minorHAnsi"/>
          <w:lang w:val="en-GB"/>
        </w:rPr>
        <w:t xml:space="preserve">A summary of the QUALID’s framework and items is </w:t>
      </w:r>
      <w:r w:rsidRPr="00037AD4">
        <w:rPr>
          <w:rFonts w:asciiTheme="minorHAnsi" w:hAnsiTheme="minorHAnsi" w:cstheme="minorHAnsi"/>
          <w:color w:val="000000" w:themeColor="text1"/>
          <w:lang w:val="en-GB"/>
        </w:rPr>
        <w:t xml:space="preserve">provided in </w:t>
      </w:r>
      <w:hyperlink w:anchor="A31c" w:history="1">
        <w:r w:rsidRPr="00B54D51">
          <w:rPr>
            <w:rStyle w:val="Hyperlink"/>
            <w:rFonts w:asciiTheme="minorHAnsi" w:hAnsiTheme="minorHAnsi" w:cstheme="minorHAnsi"/>
            <w:color w:val="000000" w:themeColor="text1"/>
            <w:u w:val="none"/>
            <w:lang w:val="en-GB"/>
          </w:rPr>
          <w:t>Appendix 3.1c.</w:t>
        </w:r>
      </w:hyperlink>
      <w:r w:rsidRPr="00B54D51">
        <w:rPr>
          <w:rFonts w:asciiTheme="minorHAnsi" w:hAnsiTheme="minorHAnsi" w:cstheme="minorHAnsi"/>
          <w:color w:val="000000" w:themeColor="text1"/>
          <w:lang w:val="en-GB"/>
        </w:rPr>
        <w:t xml:space="preserve"> </w:t>
      </w:r>
    </w:p>
    <w:p w14:paraId="460D4F7D" w14:textId="77777777" w:rsidR="00B54D51" w:rsidRPr="00037AD4" w:rsidRDefault="00B54D51" w:rsidP="002A7056">
      <w:pPr>
        <w:pStyle w:val="EndNoteBibliography"/>
        <w:rPr>
          <w:rFonts w:asciiTheme="minorHAnsi" w:hAnsiTheme="minorHAnsi" w:cstheme="minorHAnsi"/>
          <w:lang w:val="en-GB"/>
        </w:rPr>
      </w:pPr>
    </w:p>
    <w:p w14:paraId="07AF3AD7" w14:textId="77777777" w:rsidR="00B54D51" w:rsidRPr="00037AD4" w:rsidRDefault="00B54D51" w:rsidP="007A43F9">
      <w:pPr>
        <w:pStyle w:val="Heading4"/>
      </w:pPr>
      <w:bookmarkStart w:id="246" w:name="_Toc79582136"/>
      <w:bookmarkStart w:id="247" w:name="_Toc79839761"/>
      <w:bookmarkStart w:id="248" w:name="_Toc80257835"/>
      <w:bookmarkStart w:id="249" w:name="_Toc80969279"/>
      <w:bookmarkStart w:id="250" w:name="_Toc80969360"/>
      <w:bookmarkStart w:id="251" w:name="_Toc80969440"/>
      <w:bookmarkStart w:id="252" w:name="_Toc82180047"/>
      <w:r w:rsidRPr="00037AD4">
        <w:t>3.5.1.4 QUALIDEM</w:t>
      </w:r>
      <w:bookmarkEnd w:id="246"/>
      <w:bookmarkEnd w:id="247"/>
      <w:bookmarkEnd w:id="248"/>
      <w:bookmarkEnd w:id="249"/>
      <w:bookmarkEnd w:id="250"/>
      <w:bookmarkEnd w:id="251"/>
      <w:bookmarkEnd w:id="252"/>
      <w:r w:rsidRPr="00037AD4">
        <w:t xml:space="preserve"> </w:t>
      </w:r>
    </w:p>
    <w:p w14:paraId="68710812" w14:textId="77777777" w:rsidR="00B54D51" w:rsidRPr="00037AD4" w:rsidRDefault="00B54D51" w:rsidP="008E07A9">
      <w:pPr>
        <w:rPr>
          <w:rFonts w:asciiTheme="minorHAnsi" w:hAnsiTheme="minorHAnsi" w:cstheme="minorHAnsi"/>
        </w:rPr>
      </w:pPr>
    </w:p>
    <w:p w14:paraId="534F7CB2" w14:textId="77777777" w:rsidR="00B54D51" w:rsidRPr="00037AD4" w:rsidRDefault="00B54D51" w:rsidP="008F4889">
      <w:pPr>
        <w:rPr>
          <w:rFonts w:asciiTheme="minorHAnsi" w:hAnsiTheme="minorHAnsi" w:cstheme="minorHAnsi"/>
        </w:rPr>
      </w:pPr>
      <w:r w:rsidRPr="00037AD4">
        <w:rPr>
          <w:rFonts w:asciiTheme="minorHAnsi" w:hAnsiTheme="minorHAnsi" w:cstheme="minorHAnsi"/>
        </w:rPr>
        <w:t xml:space="preserve">The QUALIDEM is again a proxy-reported measure intended for use in institutionalised populations. The measures conceptualisation was based upon adaptive tasks outlined in the “adaptation coping model” </w:t>
      </w:r>
      <w:r>
        <w:rPr>
          <w:rFonts w:asciiTheme="minorHAnsi" w:hAnsiTheme="minorHAnsi" w:cstheme="minorHAnsi"/>
          <w:noProof/>
        </w:rPr>
        <w:t>(Dröes, 1991)</w:t>
      </w:r>
      <w:r w:rsidRPr="00037AD4">
        <w:rPr>
          <w:rFonts w:asciiTheme="minorHAnsi" w:hAnsiTheme="minorHAnsi" w:cstheme="minorHAnsi"/>
        </w:rPr>
        <w:t xml:space="preserve">, leading to the following domains: </w:t>
      </w:r>
      <w:r w:rsidRPr="00037AD4">
        <w:rPr>
          <w:rFonts w:asciiTheme="minorHAnsi" w:hAnsiTheme="minorHAnsi" w:cstheme="minorHAnsi"/>
          <w:i/>
          <w:iCs/>
        </w:rPr>
        <w:t xml:space="preserve">care relationships, positive affect, negative affect, restless tense behaviour, positive self-image, social relations, social isolation, feeling at home </w:t>
      </w:r>
      <w:r w:rsidRPr="00037AD4">
        <w:rPr>
          <w:rFonts w:asciiTheme="minorHAnsi" w:hAnsiTheme="minorHAnsi" w:cstheme="minorHAnsi"/>
        </w:rPr>
        <w:t>and</w:t>
      </w:r>
      <w:r w:rsidRPr="00037AD4">
        <w:rPr>
          <w:rFonts w:asciiTheme="minorHAnsi" w:hAnsiTheme="minorHAnsi" w:cstheme="minorHAnsi"/>
          <w:i/>
          <w:iCs/>
        </w:rPr>
        <w:t xml:space="preserve"> having something to do </w:t>
      </w:r>
      <w:r w:rsidRPr="00B54D51">
        <w:rPr>
          <w:rFonts w:asciiTheme="minorHAnsi" w:hAnsiTheme="minorHAnsi" w:cstheme="minorHAnsi"/>
          <w:noProof/>
        </w:rPr>
        <w:t>(Dichter et al., 2016)</w:t>
      </w:r>
      <w:r w:rsidRPr="00037AD4">
        <w:rPr>
          <w:rFonts w:asciiTheme="minorHAnsi" w:hAnsiTheme="minorHAnsi" w:cstheme="minorHAnsi"/>
          <w:i/>
          <w:iCs/>
        </w:rPr>
        <w:t xml:space="preserve">. </w:t>
      </w:r>
      <w:r w:rsidRPr="00037AD4">
        <w:rPr>
          <w:rFonts w:asciiTheme="minorHAnsi" w:hAnsiTheme="minorHAnsi" w:cstheme="minorHAnsi"/>
        </w:rPr>
        <w:t>Further details about the QUALIDEM measure and the instrument’s items are pr</w:t>
      </w:r>
      <w:r w:rsidRPr="00037AD4">
        <w:rPr>
          <w:rFonts w:asciiTheme="minorHAnsi" w:hAnsiTheme="minorHAnsi" w:cstheme="minorHAnsi"/>
          <w:color w:val="000000" w:themeColor="text1"/>
        </w:rPr>
        <w:t xml:space="preserve">ovided in </w:t>
      </w:r>
      <w:hyperlink w:anchor="A31d" w:history="1">
        <w:r w:rsidRPr="00B54D51">
          <w:rPr>
            <w:rStyle w:val="Hyperlink"/>
            <w:rFonts w:asciiTheme="minorHAnsi" w:hAnsiTheme="minorHAnsi" w:cstheme="minorHAnsi"/>
            <w:color w:val="000000" w:themeColor="text1"/>
            <w:u w:val="none"/>
          </w:rPr>
          <w:t>Appendix 3.1d.</w:t>
        </w:r>
      </w:hyperlink>
      <w:r w:rsidRPr="00037AD4">
        <w:rPr>
          <w:rFonts w:asciiTheme="minorHAnsi" w:hAnsiTheme="minorHAnsi" w:cstheme="minorHAnsi"/>
          <w:color w:val="000000" w:themeColor="text1"/>
        </w:rPr>
        <w:t xml:space="preserve"> </w:t>
      </w:r>
    </w:p>
    <w:p w14:paraId="2B6F908E" w14:textId="77777777" w:rsidR="00B54D51" w:rsidRPr="00037AD4" w:rsidRDefault="00B54D51" w:rsidP="002A7056">
      <w:pPr>
        <w:pStyle w:val="EndNoteBibliography"/>
        <w:rPr>
          <w:rFonts w:asciiTheme="minorHAnsi" w:hAnsiTheme="minorHAnsi" w:cstheme="minorHAnsi"/>
          <w:b/>
          <w:bCs/>
          <w:u w:val="single"/>
          <w:lang w:val="en-GB"/>
        </w:rPr>
      </w:pPr>
    </w:p>
    <w:p w14:paraId="720973E5" w14:textId="77777777" w:rsidR="00B54D51" w:rsidRPr="00037AD4" w:rsidRDefault="00B54D51" w:rsidP="007A43F9">
      <w:pPr>
        <w:pStyle w:val="Heading3"/>
        <w:rPr>
          <w:szCs w:val="26"/>
        </w:rPr>
      </w:pPr>
      <w:bookmarkStart w:id="253" w:name="_Toc175742284"/>
      <w:r w:rsidRPr="00037AD4">
        <w:rPr>
          <w:szCs w:val="26"/>
        </w:rPr>
        <w:t xml:space="preserve">3.5.2 Core generic </w:t>
      </w:r>
      <w:r w:rsidRPr="00037AD4">
        <w:t xml:space="preserve">health-related quality of life </w:t>
      </w:r>
      <w:r w:rsidRPr="00037AD4">
        <w:rPr>
          <w:szCs w:val="26"/>
        </w:rPr>
        <w:t>measures</w:t>
      </w:r>
      <w:bookmarkEnd w:id="253"/>
      <w:r w:rsidRPr="00037AD4">
        <w:rPr>
          <w:szCs w:val="26"/>
        </w:rPr>
        <w:t xml:space="preserve"> </w:t>
      </w:r>
    </w:p>
    <w:p w14:paraId="6FB01000" w14:textId="77777777" w:rsidR="00B54D51" w:rsidRPr="00037AD4" w:rsidRDefault="00B54D51" w:rsidP="002A7056">
      <w:pPr>
        <w:pStyle w:val="EndNoteBibliography"/>
        <w:rPr>
          <w:rFonts w:asciiTheme="minorHAnsi" w:hAnsiTheme="minorHAnsi" w:cstheme="minorHAnsi"/>
          <w:b/>
          <w:bCs/>
          <w:u w:val="single"/>
          <w:lang w:val="en-GB"/>
        </w:rPr>
      </w:pPr>
    </w:p>
    <w:p w14:paraId="5062BAEC" w14:textId="6E674468" w:rsidR="00B54D51" w:rsidRPr="00037AD4" w:rsidRDefault="00B54D51" w:rsidP="002A7056">
      <w:pPr>
        <w:pStyle w:val="EndNoteBibliography"/>
        <w:rPr>
          <w:rFonts w:asciiTheme="minorHAnsi" w:hAnsiTheme="minorHAnsi" w:cstheme="minorHAnsi"/>
          <w:lang w:val="en-GB"/>
        </w:rPr>
      </w:pPr>
      <w:r w:rsidRPr="00037AD4">
        <w:rPr>
          <w:rFonts w:asciiTheme="minorHAnsi" w:hAnsiTheme="minorHAnsi" w:cstheme="minorHAnsi"/>
          <w:lang w:val="en-GB"/>
        </w:rPr>
        <w:t xml:space="preserve">The sole generic HRQoL measure that was detected as core for consideration in dementia trials and studies is EQ-5D. EQ-5D comprises two parts: a descriptive system and a visual analogue scale (VAS). It can be administered in several ways including paper-and-pen, telephone interview and face-to-face, for which there are different versions with different sets of instructions for administration </w:t>
      </w:r>
      <w:r>
        <w:rPr>
          <w:rFonts w:asciiTheme="minorHAnsi" w:hAnsiTheme="minorHAnsi" w:cstheme="minorHAnsi"/>
          <w:noProof/>
          <w:lang w:val="en-GB"/>
        </w:rPr>
        <w:t>(EuroQol Research Foundation, 2023b)</w:t>
      </w:r>
      <w:r w:rsidRPr="00037AD4">
        <w:rPr>
          <w:rFonts w:asciiTheme="minorHAnsi" w:hAnsiTheme="minorHAnsi" w:cstheme="minorHAnsi"/>
          <w:lang w:val="en-GB"/>
        </w:rPr>
        <w:t xml:space="preserve">. EQ-5D can be completed via self or proxy response. There are two proxy versions. In version one the proxy </w:t>
      </w:r>
      <w:r w:rsidRPr="00037AD4">
        <w:rPr>
          <w:rFonts w:asciiTheme="minorHAnsi" w:hAnsiTheme="minorHAnsi" w:cstheme="minorHAnsi"/>
          <w:lang w:val="en-GB"/>
        </w:rPr>
        <w:lastRenderedPageBreak/>
        <w:t xml:space="preserve">adopts their own perspective, and in version two proxies are asked to adopt a proxy-patient perspective </w:t>
      </w:r>
      <w:r>
        <w:rPr>
          <w:rFonts w:asciiTheme="minorHAnsi" w:hAnsiTheme="minorHAnsi" w:cstheme="minorHAnsi"/>
          <w:noProof/>
          <w:lang w:val="en-GB"/>
        </w:rPr>
        <w:t>(EuroQol Research Foundation, 2023a)</w:t>
      </w:r>
      <w:r w:rsidRPr="00037AD4">
        <w:rPr>
          <w:rFonts w:asciiTheme="minorHAnsi" w:hAnsiTheme="minorHAnsi" w:cstheme="minorHAnsi"/>
          <w:lang w:val="en-GB"/>
        </w:rPr>
        <w:t xml:space="preserve">.  </w:t>
      </w:r>
    </w:p>
    <w:p w14:paraId="76A9D15D" w14:textId="77777777" w:rsidR="00B54D51" w:rsidRPr="00037AD4" w:rsidRDefault="00B54D51" w:rsidP="002A7056">
      <w:pPr>
        <w:pStyle w:val="EndNoteBibliography"/>
        <w:rPr>
          <w:rFonts w:asciiTheme="minorHAnsi" w:hAnsiTheme="minorHAnsi" w:cstheme="minorHAnsi"/>
          <w:lang w:val="en-GB"/>
        </w:rPr>
      </w:pPr>
    </w:p>
    <w:p w14:paraId="6BD1D09F" w14:textId="77777777" w:rsidR="00B54D51" w:rsidRPr="00037AD4" w:rsidRDefault="00B54D51" w:rsidP="002A7056">
      <w:pPr>
        <w:pStyle w:val="EndNoteBibliography"/>
        <w:rPr>
          <w:rFonts w:asciiTheme="minorHAnsi" w:hAnsiTheme="minorHAnsi" w:cstheme="minorHAnsi"/>
          <w:lang w:val="en-GB"/>
        </w:rPr>
      </w:pPr>
      <w:r w:rsidRPr="00037AD4">
        <w:rPr>
          <w:rFonts w:asciiTheme="minorHAnsi" w:hAnsiTheme="minorHAnsi" w:cstheme="minorHAnsi"/>
          <w:lang w:val="en-GB"/>
        </w:rPr>
        <w:t xml:space="preserve">EQ-5D is widely used in trials globally, and there are a range of value sets available by country/region which enable index scores (or utilities) to be estimated that reflect the societal preferences of the given country </w:t>
      </w:r>
      <w:r>
        <w:rPr>
          <w:rFonts w:asciiTheme="minorHAnsi" w:hAnsiTheme="minorHAnsi" w:cstheme="minorHAnsi"/>
          <w:noProof/>
          <w:lang w:val="en-GB"/>
        </w:rPr>
        <w:t>(EuroQol Research Foundation, 2023c)</w:t>
      </w:r>
      <w:r w:rsidRPr="00037AD4">
        <w:rPr>
          <w:rFonts w:asciiTheme="minorHAnsi" w:hAnsiTheme="minorHAnsi" w:cstheme="minorHAnsi"/>
          <w:lang w:val="en-GB"/>
        </w:rPr>
        <w:t xml:space="preserve">. These scores can then be integrated into country-specific economic evaluations. The development and item selection process for EQ-5D involved reviewing existing generic health measures at the time. It was reported that item content did not vary greatly between existing measures, mainly just by nomenclature, therefore the focus was to refine dimension categories </w:t>
      </w:r>
      <w:r>
        <w:rPr>
          <w:rFonts w:asciiTheme="minorHAnsi" w:hAnsiTheme="minorHAnsi" w:cstheme="minorHAnsi"/>
          <w:noProof/>
          <w:lang w:val="en-GB"/>
        </w:rPr>
        <w:t>(Devlin and Brooks, 2017)</w:t>
      </w:r>
      <w:r w:rsidRPr="00037AD4">
        <w:rPr>
          <w:rFonts w:asciiTheme="minorHAnsi" w:hAnsiTheme="minorHAnsi" w:cstheme="minorHAnsi"/>
          <w:lang w:val="en-GB"/>
        </w:rPr>
        <w:t xml:space="preserve">. Each item reflects a different fundamental dimension of HRQoL; these are shown in Figure 3. </w:t>
      </w:r>
    </w:p>
    <w:p w14:paraId="6B3D5D11" w14:textId="77777777" w:rsidR="00B54D51" w:rsidRPr="00037AD4" w:rsidRDefault="00B54D51" w:rsidP="002A7056">
      <w:pPr>
        <w:pStyle w:val="EndNoteBibliography"/>
        <w:rPr>
          <w:rFonts w:asciiTheme="minorHAnsi" w:hAnsiTheme="minorHAnsi" w:cstheme="minorHAnsi"/>
          <w:lang w:val="en-GB"/>
        </w:rPr>
      </w:pPr>
    </w:p>
    <w:p w14:paraId="2C285860" w14:textId="77777777" w:rsidR="00B54D51" w:rsidRPr="00037AD4" w:rsidRDefault="00B54D51" w:rsidP="002A7056">
      <w:pPr>
        <w:pStyle w:val="EndNoteBibliography"/>
        <w:rPr>
          <w:rFonts w:asciiTheme="minorHAnsi" w:hAnsiTheme="minorHAnsi" w:cstheme="minorHAnsi"/>
          <w:b/>
          <w:bCs/>
          <w:i/>
          <w:iCs/>
          <w:lang w:val="en-GB"/>
        </w:rPr>
      </w:pPr>
      <w:r w:rsidRPr="00037AD4">
        <w:rPr>
          <w:rFonts w:asciiTheme="minorHAnsi" w:hAnsiTheme="minorHAnsi" w:cstheme="minorHAnsi"/>
          <w:b/>
          <w:bCs/>
          <w:i/>
          <w:iCs/>
          <w:lang w:val="en-GB"/>
        </w:rPr>
        <w:t xml:space="preserve">Figure 3, EQ-5D dimensions </w:t>
      </w:r>
    </w:p>
    <w:p w14:paraId="22D336D0" w14:textId="77777777" w:rsidR="00B54D51" w:rsidRPr="00037AD4" w:rsidRDefault="00B54D51" w:rsidP="002A7056">
      <w:pPr>
        <w:pStyle w:val="EndNoteBibliography"/>
        <w:rPr>
          <w:rFonts w:asciiTheme="minorHAnsi" w:hAnsiTheme="minorHAnsi" w:cstheme="minorHAnsi"/>
          <w:b/>
          <w:bCs/>
          <w:u w:val="single"/>
          <w:lang w:val="en-GB"/>
        </w:rPr>
      </w:pPr>
    </w:p>
    <w:p w14:paraId="1BEA9E89" w14:textId="4CCCBA8B" w:rsidR="00B54D51" w:rsidRPr="00037AD4" w:rsidRDefault="00322CFC" w:rsidP="00ED3DF2">
      <w:pPr>
        <w:pStyle w:val="EndNoteBibliography"/>
        <w:jc w:val="center"/>
        <w:rPr>
          <w:rFonts w:asciiTheme="minorHAnsi" w:hAnsiTheme="minorHAnsi" w:cstheme="minorHAnsi"/>
          <w:lang w:val="en-GB"/>
        </w:rPr>
      </w:pPr>
      <w:r w:rsidRPr="00037AD4">
        <w:rPr>
          <w:rFonts w:asciiTheme="minorHAnsi" w:hAnsiTheme="minorHAnsi" w:cstheme="minorHAnsi"/>
          <w:noProof/>
          <w:lang w:val="en-GB" w:eastAsia="zh-CN"/>
        </w:rPr>
        <w:drawing>
          <wp:inline distT="0" distB="0" distL="0" distR="0" wp14:anchorId="651D45BA" wp14:editId="2F08EB9B">
            <wp:extent cx="3715966" cy="3676125"/>
            <wp:effectExtent l="0" t="0" r="571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16">
                      <a:extLst>
                        <a:ext uri="{28A0092B-C50C-407E-A947-70E740481C1C}">
                          <a14:useLocalDpi xmlns:a14="http://schemas.microsoft.com/office/drawing/2010/main" val="0"/>
                        </a:ext>
                      </a:extLst>
                    </a:blip>
                    <a:srcRect l="21725" r="21418"/>
                    <a:stretch/>
                  </pic:blipFill>
                  <pic:spPr bwMode="auto">
                    <a:xfrm>
                      <a:off x="0" y="0"/>
                      <a:ext cx="3721578" cy="3681677"/>
                    </a:xfrm>
                    <a:prstGeom prst="rect">
                      <a:avLst/>
                    </a:prstGeom>
                    <a:ln>
                      <a:noFill/>
                    </a:ln>
                    <a:extLst>
                      <a:ext uri="{53640926-AAD7-44D8-BBD7-CCE9431645EC}">
                        <a14:shadowObscured xmlns:a14="http://schemas.microsoft.com/office/drawing/2010/main"/>
                      </a:ext>
                    </a:extLst>
                  </pic:spPr>
                </pic:pic>
              </a:graphicData>
            </a:graphic>
          </wp:inline>
        </w:drawing>
      </w:r>
    </w:p>
    <w:p w14:paraId="12D0A080" w14:textId="77777777" w:rsidR="00B54D51" w:rsidRPr="00037AD4" w:rsidRDefault="00B54D51" w:rsidP="002A7056">
      <w:pPr>
        <w:pStyle w:val="EndNoteBibliography"/>
        <w:rPr>
          <w:rFonts w:asciiTheme="minorHAnsi" w:hAnsiTheme="minorHAnsi" w:cstheme="minorHAnsi"/>
          <w:lang w:val="en-GB"/>
        </w:rPr>
      </w:pPr>
    </w:p>
    <w:p w14:paraId="68AA00DA" w14:textId="77777777" w:rsidR="00B54D51" w:rsidRPr="00037AD4" w:rsidRDefault="00B54D51" w:rsidP="007A43F9">
      <w:pPr>
        <w:pStyle w:val="Heading3"/>
      </w:pPr>
      <w:bookmarkStart w:id="254" w:name="_Toc79582138"/>
      <w:bookmarkStart w:id="255" w:name="_Toc79839763"/>
      <w:bookmarkStart w:id="256" w:name="_Toc80257837"/>
      <w:bookmarkStart w:id="257" w:name="_Toc80969281"/>
      <w:bookmarkStart w:id="258" w:name="_Toc80969362"/>
      <w:bookmarkStart w:id="259" w:name="_Toc80969442"/>
      <w:bookmarkStart w:id="260" w:name="_Toc82180049"/>
      <w:bookmarkStart w:id="261" w:name="_Toc175742285"/>
      <w:r w:rsidRPr="00037AD4">
        <w:t>3.5.3 Dementia-specific quality of life instrument items by EQ-5D dimension</w:t>
      </w:r>
      <w:bookmarkEnd w:id="254"/>
      <w:bookmarkEnd w:id="255"/>
      <w:bookmarkEnd w:id="256"/>
      <w:bookmarkEnd w:id="257"/>
      <w:bookmarkEnd w:id="258"/>
      <w:bookmarkEnd w:id="259"/>
      <w:bookmarkEnd w:id="260"/>
      <w:bookmarkEnd w:id="261"/>
      <w:r w:rsidRPr="00037AD4">
        <w:t xml:space="preserve"> </w:t>
      </w:r>
    </w:p>
    <w:p w14:paraId="5CEF876E" w14:textId="77777777" w:rsidR="00B54D51" w:rsidRPr="00037AD4" w:rsidRDefault="00B54D51" w:rsidP="00470687">
      <w:pPr>
        <w:pStyle w:val="EndNoteBibliography"/>
        <w:rPr>
          <w:rFonts w:asciiTheme="minorHAnsi" w:hAnsiTheme="minorHAnsi" w:cstheme="minorHAnsi"/>
          <w:lang w:val="en-GB"/>
        </w:rPr>
      </w:pPr>
    </w:p>
    <w:p w14:paraId="6C2B77CD" w14:textId="77777777" w:rsidR="00B54D51" w:rsidRPr="00037AD4" w:rsidRDefault="00B54D51" w:rsidP="00470687">
      <w:pPr>
        <w:pStyle w:val="EndNoteBibliography"/>
        <w:rPr>
          <w:rFonts w:asciiTheme="minorHAnsi" w:hAnsiTheme="minorHAnsi" w:cstheme="minorHAnsi"/>
          <w:lang w:val="en-GB"/>
        </w:rPr>
      </w:pPr>
      <w:r w:rsidRPr="00037AD4">
        <w:rPr>
          <w:rFonts w:asciiTheme="minorHAnsi" w:hAnsiTheme="minorHAnsi" w:cstheme="minorHAnsi"/>
          <w:lang w:val="en-GB"/>
        </w:rPr>
        <w:t xml:space="preserve">Although it has been established that EQ-5D is a suitable HRQoL measure for dementia populations due to its good psychometric properties and concise nature </w:t>
      </w:r>
      <w:r>
        <w:rPr>
          <w:rFonts w:asciiTheme="minorHAnsi" w:hAnsiTheme="minorHAnsi" w:cstheme="minorHAnsi"/>
          <w:noProof/>
          <w:lang w:val="en-GB"/>
        </w:rPr>
        <w:t>(Li et al., 2018, Keetharuth et al., 2022)</w:t>
      </w:r>
      <w:r w:rsidRPr="00037AD4">
        <w:rPr>
          <w:rFonts w:asciiTheme="minorHAnsi" w:hAnsiTheme="minorHAnsi" w:cstheme="minorHAnsi"/>
          <w:lang w:val="en-GB"/>
        </w:rPr>
        <w:t xml:space="preserve">, a deeper exploration into the association between EQ-5D and the dementia specific QoL measures was undertaken. This involved comparing EQ-5D dimensions with the four core dementia-specific instruments as presented in </w:t>
      </w:r>
      <w:r w:rsidRPr="00037AD4">
        <w:rPr>
          <w:rFonts w:asciiTheme="minorHAnsi" w:hAnsiTheme="minorHAnsi" w:cstheme="minorHAnsi"/>
          <w:color w:val="000000" w:themeColor="text1"/>
          <w:lang w:val="en-GB"/>
        </w:rPr>
        <w:t>Table 4</w:t>
      </w:r>
      <w:r w:rsidRPr="00037AD4">
        <w:rPr>
          <w:rFonts w:asciiTheme="minorHAnsi" w:hAnsiTheme="minorHAnsi" w:cstheme="minorHAnsi"/>
          <w:lang w:val="en-GB"/>
        </w:rPr>
        <w:t xml:space="preserve">, thereby providing </w:t>
      </w:r>
      <w:r>
        <w:rPr>
          <w:rFonts w:asciiTheme="minorHAnsi" w:hAnsiTheme="minorHAnsi" w:cstheme="minorHAnsi"/>
          <w:lang w:val="en-GB"/>
        </w:rPr>
        <w:t xml:space="preserve">a </w:t>
      </w:r>
      <w:r w:rsidRPr="00037AD4">
        <w:rPr>
          <w:rFonts w:asciiTheme="minorHAnsi" w:hAnsiTheme="minorHAnsi" w:cstheme="minorHAnsi"/>
          <w:lang w:val="en-GB"/>
        </w:rPr>
        <w:t xml:space="preserve">cross-table of EQ-5D’s dimensions and each of the dementia-specific measures. </w:t>
      </w:r>
    </w:p>
    <w:p w14:paraId="3981F8EB" w14:textId="0A7FACAC" w:rsidR="00B54D51" w:rsidRDefault="00B54D51" w:rsidP="00470687">
      <w:pPr>
        <w:rPr>
          <w:rFonts w:asciiTheme="minorHAnsi" w:hAnsiTheme="minorHAnsi" w:cstheme="minorHAnsi"/>
          <w:b/>
          <w:bCs/>
          <w:i/>
          <w:iCs/>
        </w:rPr>
      </w:pPr>
    </w:p>
    <w:p w14:paraId="5F0FF55C" w14:textId="77777777" w:rsidR="00322CFC" w:rsidRDefault="00322CFC" w:rsidP="00470687">
      <w:pPr>
        <w:rPr>
          <w:rFonts w:asciiTheme="minorHAnsi" w:hAnsiTheme="minorHAnsi" w:cstheme="minorHAnsi"/>
          <w:b/>
          <w:bCs/>
          <w:i/>
          <w:iCs/>
        </w:rPr>
      </w:pPr>
    </w:p>
    <w:p w14:paraId="7A93D40D" w14:textId="51D6D3A3" w:rsidR="00B54D51" w:rsidRPr="00037AD4" w:rsidRDefault="00B54D51" w:rsidP="00470687">
      <w:pPr>
        <w:rPr>
          <w:rFonts w:asciiTheme="minorHAnsi" w:hAnsiTheme="minorHAnsi" w:cstheme="minorHAnsi"/>
          <w:b/>
          <w:bCs/>
          <w:i/>
          <w:iCs/>
        </w:rPr>
      </w:pPr>
      <w:r w:rsidRPr="00037AD4">
        <w:rPr>
          <w:rFonts w:asciiTheme="minorHAnsi" w:hAnsiTheme="minorHAnsi" w:cstheme="minorHAnsi"/>
          <w:b/>
          <w:bCs/>
          <w:i/>
          <w:iCs/>
        </w:rPr>
        <w:lastRenderedPageBreak/>
        <w:t xml:space="preserve"> Table 4, Dementia specific QoL items by EQ-5D dimension </w:t>
      </w:r>
    </w:p>
    <w:p w14:paraId="143AE758" w14:textId="77777777" w:rsidR="00B54D51" w:rsidRPr="00037AD4" w:rsidRDefault="00B54D51" w:rsidP="00470687">
      <w:pPr>
        <w:rPr>
          <w:rFonts w:asciiTheme="minorHAnsi" w:hAnsiTheme="minorHAnsi" w:cstheme="minorHAnsi"/>
          <w:b/>
          <w:bCs/>
          <w:u w:val="single"/>
        </w:rPr>
      </w:pPr>
    </w:p>
    <w:tbl>
      <w:tblPr>
        <w:tblStyle w:val="TableGrid"/>
        <w:tblW w:w="0" w:type="auto"/>
        <w:tblLook w:val="04A0" w:firstRow="1" w:lastRow="0" w:firstColumn="1" w:lastColumn="0" w:noHBand="0" w:noVBand="1"/>
      </w:tblPr>
      <w:tblGrid>
        <w:gridCol w:w="977"/>
        <w:gridCol w:w="1348"/>
        <w:gridCol w:w="2086"/>
        <w:gridCol w:w="1183"/>
        <w:gridCol w:w="1980"/>
        <w:gridCol w:w="1442"/>
      </w:tblGrid>
      <w:tr w:rsidR="00B54D51" w:rsidRPr="00037AD4" w14:paraId="66F62CB2" w14:textId="77777777" w:rsidTr="00C801B5">
        <w:tc>
          <w:tcPr>
            <w:tcW w:w="0" w:type="auto"/>
            <w:tcBorders>
              <w:tl2br w:val="single" w:sz="4" w:space="0" w:color="auto"/>
            </w:tcBorders>
          </w:tcPr>
          <w:p w14:paraId="32C9CEBF" w14:textId="77777777" w:rsidR="00B54D51" w:rsidRPr="00037AD4" w:rsidRDefault="00B54D51" w:rsidP="007C4A7B">
            <w:pPr>
              <w:pStyle w:val="EndNoteBibliography"/>
              <w:jc w:val="right"/>
              <w:rPr>
                <w:rFonts w:asciiTheme="minorHAnsi" w:hAnsiTheme="minorHAnsi" w:cstheme="minorHAnsi"/>
                <w:b/>
                <w:bCs/>
                <w:vertAlign w:val="superscript"/>
                <w:lang w:val="en-GB"/>
              </w:rPr>
            </w:pPr>
            <w:r w:rsidRPr="00037AD4">
              <w:rPr>
                <w:rFonts w:asciiTheme="minorHAnsi" w:hAnsiTheme="minorHAnsi" w:cstheme="minorHAnsi"/>
                <w:b/>
                <w:bCs/>
                <w:vertAlign w:val="superscript"/>
                <w:lang w:val="en-GB"/>
              </w:rPr>
              <w:t>Instrument name</w:t>
            </w:r>
          </w:p>
          <w:p w14:paraId="030D3C93" w14:textId="77777777" w:rsidR="00B54D51" w:rsidRPr="00037AD4" w:rsidRDefault="00B54D51" w:rsidP="007C4A7B">
            <w:pPr>
              <w:pStyle w:val="EndNoteBibliography"/>
              <w:rPr>
                <w:rFonts w:asciiTheme="minorHAnsi" w:hAnsiTheme="minorHAnsi" w:cstheme="minorHAnsi"/>
                <w:b/>
                <w:bCs/>
                <w:vertAlign w:val="superscript"/>
                <w:lang w:val="en-GB"/>
              </w:rPr>
            </w:pPr>
            <w:r w:rsidRPr="00037AD4">
              <w:rPr>
                <w:rFonts w:asciiTheme="minorHAnsi" w:hAnsiTheme="minorHAnsi" w:cstheme="minorHAnsi"/>
                <w:b/>
                <w:bCs/>
                <w:vertAlign w:val="subscript"/>
                <w:lang w:val="en-GB"/>
              </w:rPr>
              <w:t>EQ-5D dimension</w:t>
            </w:r>
          </w:p>
        </w:tc>
        <w:tc>
          <w:tcPr>
            <w:tcW w:w="0" w:type="auto"/>
          </w:tcPr>
          <w:p w14:paraId="2DD975F2" w14:textId="77777777" w:rsidR="00B54D51" w:rsidRPr="00037AD4" w:rsidRDefault="00B54D51" w:rsidP="007C4A7B">
            <w:pPr>
              <w:pStyle w:val="EndNoteBibliography"/>
              <w:rPr>
                <w:rFonts w:asciiTheme="minorHAnsi" w:hAnsiTheme="minorHAnsi" w:cstheme="minorHAnsi"/>
                <w:b/>
                <w:bCs/>
                <w:lang w:val="en-GB"/>
              </w:rPr>
            </w:pPr>
            <w:r w:rsidRPr="00037AD4">
              <w:rPr>
                <w:rFonts w:asciiTheme="minorHAnsi" w:hAnsiTheme="minorHAnsi" w:cstheme="minorHAnsi"/>
                <w:b/>
                <w:bCs/>
                <w:lang w:val="en-GB"/>
              </w:rPr>
              <w:t>DEMQoL</w:t>
            </w:r>
          </w:p>
        </w:tc>
        <w:tc>
          <w:tcPr>
            <w:tcW w:w="0" w:type="auto"/>
          </w:tcPr>
          <w:p w14:paraId="0A8E94A5" w14:textId="77777777" w:rsidR="00B54D51" w:rsidRPr="00037AD4" w:rsidRDefault="00B54D51" w:rsidP="007C4A7B">
            <w:pPr>
              <w:pStyle w:val="EndNoteBibliography"/>
              <w:rPr>
                <w:rFonts w:asciiTheme="minorHAnsi" w:hAnsiTheme="minorHAnsi" w:cstheme="minorHAnsi"/>
                <w:b/>
                <w:bCs/>
                <w:lang w:val="en-GB"/>
              </w:rPr>
            </w:pPr>
            <w:r w:rsidRPr="00037AD4">
              <w:rPr>
                <w:rFonts w:asciiTheme="minorHAnsi" w:hAnsiTheme="minorHAnsi" w:cstheme="minorHAnsi"/>
                <w:b/>
                <w:bCs/>
                <w:lang w:val="en-GB"/>
              </w:rPr>
              <w:t xml:space="preserve">DEMQoL-proxy </w:t>
            </w:r>
          </w:p>
        </w:tc>
        <w:tc>
          <w:tcPr>
            <w:tcW w:w="0" w:type="auto"/>
          </w:tcPr>
          <w:p w14:paraId="1AE92C40" w14:textId="77777777" w:rsidR="00B54D51" w:rsidRPr="00037AD4" w:rsidRDefault="00B54D51" w:rsidP="007C4A7B">
            <w:pPr>
              <w:pStyle w:val="EndNoteBibliography"/>
              <w:rPr>
                <w:rFonts w:asciiTheme="minorHAnsi" w:hAnsiTheme="minorHAnsi" w:cstheme="minorHAnsi"/>
                <w:b/>
                <w:bCs/>
                <w:lang w:val="en-GB"/>
              </w:rPr>
            </w:pPr>
            <w:r w:rsidRPr="00037AD4">
              <w:rPr>
                <w:rFonts w:asciiTheme="minorHAnsi" w:hAnsiTheme="minorHAnsi" w:cstheme="minorHAnsi"/>
                <w:b/>
                <w:bCs/>
                <w:lang w:val="en-GB"/>
              </w:rPr>
              <w:t>QoL-AD</w:t>
            </w:r>
          </w:p>
        </w:tc>
        <w:tc>
          <w:tcPr>
            <w:tcW w:w="0" w:type="auto"/>
          </w:tcPr>
          <w:p w14:paraId="7E535077" w14:textId="77777777" w:rsidR="00B54D51" w:rsidRPr="00037AD4" w:rsidRDefault="00B54D51" w:rsidP="007C4A7B">
            <w:pPr>
              <w:pStyle w:val="EndNoteBibliography"/>
              <w:rPr>
                <w:rFonts w:asciiTheme="minorHAnsi" w:hAnsiTheme="minorHAnsi" w:cstheme="minorHAnsi"/>
                <w:b/>
                <w:bCs/>
                <w:lang w:val="en-GB"/>
              </w:rPr>
            </w:pPr>
            <w:r w:rsidRPr="00037AD4">
              <w:rPr>
                <w:rFonts w:asciiTheme="minorHAnsi" w:hAnsiTheme="minorHAnsi" w:cstheme="minorHAnsi"/>
                <w:b/>
                <w:bCs/>
                <w:lang w:val="en-GB"/>
              </w:rPr>
              <w:t>QUALID</w:t>
            </w:r>
          </w:p>
        </w:tc>
        <w:tc>
          <w:tcPr>
            <w:tcW w:w="0" w:type="auto"/>
          </w:tcPr>
          <w:p w14:paraId="5D42CE6E" w14:textId="77777777" w:rsidR="00B54D51" w:rsidRPr="00037AD4" w:rsidRDefault="00B54D51" w:rsidP="007C4A7B">
            <w:pPr>
              <w:pStyle w:val="EndNoteBibliography"/>
              <w:rPr>
                <w:rFonts w:asciiTheme="minorHAnsi" w:hAnsiTheme="minorHAnsi" w:cstheme="minorHAnsi"/>
                <w:b/>
                <w:bCs/>
                <w:lang w:val="en-GB"/>
              </w:rPr>
            </w:pPr>
            <w:r w:rsidRPr="00037AD4">
              <w:rPr>
                <w:rFonts w:asciiTheme="minorHAnsi" w:hAnsiTheme="minorHAnsi" w:cstheme="minorHAnsi"/>
                <w:b/>
                <w:bCs/>
                <w:lang w:val="en-GB"/>
              </w:rPr>
              <w:t>QUALIDEM</w:t>
            </w:r>
          </w:p>
        </w:tc>
      </w:tr>
      <w:tr w:rsidR="00B54D51" w:rsidRPr="00037AD4" w14:paraId="15710DED" w14:textId="77777777" w:rsidTr="00C801B5">
        <w:tc>
          <w:tcPr>
            <w:tcW w:w="0" w:type="auto"/>
          </w:tcPr>
          <w:p w14:paraId="0D1DA799" w14:textId="77777777" w:rsidR="00B54D51" w:rsidRPr="00037AD4" w:rsidRDefault="00B54D51" w:rsidP="007C4A7B">
            <w:pPr>
              <w:pStyle w:val="EndNoteBibliography"/>
              <w:rPr>
                <w:rFonts w:asciiTheme="minorHAnsi" w:hAnsiTheme="minorHAnsi" w:cstheme="minorHAnsi"/>
                <w:b/>
                <w:bCs/>
                <w:lang w:val="en-GB"/>
              </w:rPr>
            </w:pPr>
            <w:r w:rsidRPr="00037AD4">
              <w:rPr>
                <w:rFonts w:asciiTheme="minorHAnsi" w:hAnsiTheme="minorHAnsi" w:cstheme="minorHAnsi"/>
                <w:b/>
                <w:bCs/>
                <w:lang w:val="en-GB"/>
              </w:rPr>
              <w:t>M</w:t>
            </w:r>
          </w:p>
        </w:tc>
        <w:tc>
          <w:tcPr>
            <w:tcW w:w="0" w:type="auto"/>
          </w:tcPr>
          <w:p w14:paraId="45B34085" w14:textId="77777777" w:rsidR="00B54D51" w:rsidRPr="00037AD4" w:rsidRDefault="00B54D51" w:rsidP="007C4A7B">
            <w:pPr>
              <w:pStyle w:val="EndNoteBibliography"/>
              <w:rPr>
                <w:rFonts w:asciiTheme="minorHAnsi" w:hAnsiTheme="minorHAnsi" w:cstheme="minorHAnsi"/>
                <w:lang w:val="en-GB"/>
              </w:rPr>
            </w:pPr>
          </w:p>
        </w:tc>
        <w:tc>
          <w:tcPr>
            <w:tcW w:w="0" w:type="auto"/>
          </w:tcPr>
          <w:p w14:paraId="08BF010A" w14:textId="77777777" w:rsidR="00B54D51" w:rsidRPr="00037AD4" w:rsidRDefault="00B54D51" w:rsidP="007C4A7B">
            <w:pPr>
              <w:pStyle w:val="EndNoteBibliography"/>
              <w:rPr>
                <w:rFonts w:asciiTheme="minorHAnsi" w:hAnsiTheme="minorHAnsi" w:cstheme="minorHAnsi"/>
                <w:lang w:val="en-GB"/>
              </w:rPr>
            </w:pPr>
          </w:p>
        </w:tc>
        <w:tc>
          <w:tcPr>
            <w:tcW w:w="0" w:type="auto"/>
          </w:tcPr>
          <w:p w14:paraId="2297A47E" w14:textId="77777777" w:rsidR="00B54D51" w:rsidRPr="00037AD4" w:rsidRDefault="00B54D51" w:rsidP="007C4A7B">
            <w:pPr>
              <w:pStyle w:val="EndNoteBibliography"/>
              <w:rPr>
                <w:rFonts w:asciiTheme="minorHAnsi" w:hAnsiTheme="minorHAnsi" w:cstheme="minorHAnsi"/>
                <w:lang w:val="en-GB"/>
              </w:rPr>
            </w:pPr>
          </w:p>
        </w:tc>
        <w:tc>
          <w:tcPr>
            <w:tcW w:w="0" w:type="auto"/>
          </w:tcPr>
          <w:p w14:paraId="2E8E30AB" w14:textId="77777777" w:rsidR="00B54D51" w:rsidRPr="00037AD4" w:rsidRDefault="00B54D51" w:rsidP="007C4A7B">
            <w:pPr>
              <w:pStyle w:val="EndNoteBibliography"/>
              <w:rPr>
                <w:rFonts w:asciiTheme="minorHAnsi" w:hAnsiTheme="minorHAnsi" w:cstheme="minorHAnsi"/>
                <w:lang w:val="en-GB"/>
              </w:rPr>
            </w:pPr>
          </w:p>
        </w:tc>
        <w:tc>
          <w:tcPr>
            <w:tcW w:w="0" w:type="auto"/>
          </w:tcPr>
          <w:p w14:paraId="1FEDE11F" w14:textId="77777777" w:rsidR="00B54D51" w:rsidRPr="00037AD4" w:rsidRDefault="00B54D51" w:rsidP="007C4A7B">
            <w:pPr>
              <w:rPr>
                <w:rFonts w:asciiTheme="minorHAnsi" w:hAnsiTheme="minorHAnsi" w:cstheme="minorHAnsi"/>
              </w:rPr>
            </w:pPr>
            <w:r w:rsidRPr="00037AD4">
              <w:rPr>
                <w:rFonts w:ascii="Segoe UI Symbol" w:hAnsi="Segoe UI Symbol" w:cs="Segoe UI Symbol"/>
              </w:rPr>
              <w:t>✓</w:t>
            </w:r>
          </w:p>
          <w:p w14:paraId="03E2234E" w14:textId="77777777" w:rsidR="00B54D51" w:rsidRPr="00037AD4" w:rsidRDefault="00B54D51" w:rsidP="007C4A7B">
            <w:pPr>
              <w:rPr>
                <w:rFonts w:asciiTheme="minorHAnsi" w:hAnsiTheme="minorHAnsi" w:cstheme="minorHAnsi"/>
              </w:rPr>
            </w:pPr>
            <w:r w:rsidRPr="00037AD4">
              <w:rPr>
                <w:rFonts w:asciiTheme="minorHAnsi" w:hAnsiTheme="minorHAnsi" w:cstheme="minorHAnsi"/>
              </w:rPr>
              <w:t>“Lays in bed”</w:t>
            </w:r>
          </w:p>
        </w:tc>
      </w:tr>
      <w:tr w:rsidR="00B54D51" w:rsidRPr="00037AD4" w14:paraId="501F2ADF" w14:textId="77777777" w:rsidTr="00C801B5">
        <w:tc>
          <w:tcPr>
            <w:tcW w:w="0" w:type="auto"/>
          </w:tcPr>
          <w:p w14:paraId="2D30057B" w14:textId="77777777" w:rsidR="00B54D51" w:rsidRPr="00037AD4" w:rsidRDefault="00B54D51" w:rsidP="007C4A7B">
            <w:pPr>
              <w:pStyle w:val="EndNoteBibliography"/>
              <w:rPr>
                <w:rFonts w:asciiTheme="minorHAnsi" w:hAnsiTheme="minorHAnsi" w:cstheme="minorHAnsi"/>
                <w:b/>
                <w:bCs/>
                <w:lang w:val="en-GB"/>
              </w:rPr>
            </w:pPr>
            <w:r w:rsidRPr="00037AD4">
              <w:rPr>
                <w:rFonts w:asciiTheme="minorHAnsi" w:hAnsiTheme="minorHAnsi" w:cstheme="minorHAnsi"/>
                <w:b/>
                <w:bCs/>
                <w:lang w:val="en-GB"/>
              </w:rPr>
              <w:t xml:space="preserve">SC </w:t>
            </w:r>
          </w:p>
        </w:tc>
        <w:tc>
          <w:tcPr>
            <w:tcW w:w="0" w:type="auto"/>
          </w:tcPr>
          <w:p w14:paraId="264F04FF" w14:textId="77777777" w:rsidR="00B54D51" w:rsidRPr="00037AD4" w:rsidRDefault="00B54D51" w:rsidP="007C4A7B">
            <w:pPr>
              <w:rPr>
                <w:rFonts w:asciiTheme="minorHAnsi" w:hAnsiTheme="minorHAnsi" w:cstheme="minorHAnsi"/>
              </w:rPr>
            </w:pPr>
            <w:r w:rsidRPr="00037AD4">
              <w:rPr>
                <w:rFonts w:ascii="Segoe UI Symbol" w:hAnsi="Segoe UI Symbol" w:cs="Segoe UI Symbol"/>
              </w:rPr>
              <w:t>✓</w:t>
            </w:r>
          </w:p>
          <w:p w14:paraId="407F5ECA" w14:textId="77777777" w:rsidR="00B54D51" w:rsidRPr="00037AD4" w:rsidRDefault="00B54D51" w:rsidP="007C4A7B">
            <w:pPr>
              <w:rPr>
                <w:rFonts w:asciiTheme="minorHAnsi" w:hAnsiTheme="minorHAnsi" w:cstheme="minorHAnsi"/>
              </w:rPr>
            </w:pPr>
            <w:r w:rsidRPr="00037AD4">
              <w:rPr>
                <w:rFonts w:asciiTheme="minorHAnsi" w:hAnsiTheme="minorHAnsi" w:cstheme="minorHAnsi"/>
              </w:rPr>
              <w:t>“Toileting”</w:t>
            </w:r>
          </w:p>
        </w:tc>
        <w:tc>
          <w:tcPr>
            <w:tcW w:w="0" w:type="auto"/>
          </w:tcPr>
          <w:p w14:paraId="71642F0A" w14:textId="77777777" w:rsidR="00B54D51" w:rsidRPr="00037AD4" w:rsidRDefault="00B54D51" w:rsidP="007C4A7B">
            <w:pPr>
              <w:rPr>
                <w:rFonts w:asciiTheme="minorHAnsi" w:hAnsiTheme="minorHAnsi" w:cstheme="minorHAnsi"/>
              </w:rPr>
            </w:pPr>
            <w:r w:rsidRPr="00037AD4">
              <w:rPr>
                <w:rFonts w:ascii="Segoe UI Symbol" w:hAnsi="Segoe UI Symbol" w:cs="Segoe UI Symbol"/>
              </w:rPr>
              <w:t>✓</w:t>
            </w:r>
            <w:r w:rsidRPr="00037AD4">
              <w:rPr>
                <w:rFonts w:asciiTheme="minorHAnsi" w:hAnsiTheme="minorHAnsi" w:cstheme="minorHAnsi"/>
              </w:rPr>
              <w:t xml:space="preserve"> </w:t>
            </w:r>
          </w:p>
          <w:p w14:paraId="2B6D93A9" w14:textId="77777777" w:rsidR="00B54D51" w:rsidRPr="00037AD4" w:rsidRDefault="00B54D51" w:rsidP="007C4A7B">
            <w:pPr>
              <w:rPr>
                <w:rFonts w:asciiTheme="minorHAnsi" w:hAnsiTheme="minorHAnsi" w:cstheme="minorHAnsi"/>
              </w:rPr>
            </w:pPr>
            <w:r w:rsidRPr="00037AD4">
              <w:rPr>
                <w:rFonts w:asciiTheme="minorHAnsi" w:hAnsiTheme="minorHAnsi" w:cstheme="minorHAnsi"/>
              </w:rPr>
              <w:t>“Cleaning, looking nice”</w:t>
            </w:r>
          </w:p>
        </w:tc>
        <w:tc>
          <w:tcPr>
            <w:tcW w:w="0" w:type="auto"/>
          </w:tcPr>
          <w:p w14:paraId="25C68C25" w14:textId="77777777" w:rsidR="00B54D51" w:rsidRPr="00037AD4" w:rsidRDefault="00B54D51" w:rsidP="007C4A7B">
            <w:pPr>
              <w:pStyle w:val="EndNoteBibliography"/>
              <w:rPr>
                <w:rFonts w:asciiTheme="minorHAnsi" w:hAnsiTheme="minorHAnsi" w:cstheme="minorHAnsi"/>
                <w:lang w:val="en-GB"/>
              </w:rPr>
            </w:pPr>
          </w:p>
        </w:tc>
        <w:tc>
          <w:tcPr>
            <w:tcW w:w="0" w:type="auto"/>
          </w:tcPr>
          <w:p w14:paraId="4CFB216F" w14:textId="77777777" w:rsidR="00B54D51" w:rsidRPr="00037AD4" w:rsidRDefault="00B54D51" w:rsidP="007C4A7B">
            <w:pPr>
              <w:pStyle w:val="EndNoteBibliography"/>
              <w:rPr>
                <w:rFonts w:asciiTheme="minorHAnsi" w:hAnsiTheme="minorHAnsi" w:cstheme="minorHAnsi"/>
                <w:lang w:val="en-GB"/>
              </w:rPr>
            </w:pPr>
          </w:p>
        </w:tc>
        <w:tc>
          <w:tcPr>
            <w:tcW w:w="0" w:type="auto"/>
          </w:tcPr>
          <w:p w14:paraId="593E8FCA" w14:textId="77777777" w:rsidR="00B54D51" w:rsidRPr="00037AD4" w:rsidRDefault="00B54D51" w:rsidP="007C4A7B">
            <w:pPr>
              <w:pStyle w:val="EndNoteBibliography"/>
              <w:rPr>
                <w:rFonts w:asciiTheme="minorHAnsi" w:hAnsiTheme="minorHAnsi" w:cstheme="minorHAnsi"/>
                <w:lang w:val="en-GB"/>
              </w:rPr>
            </w:pPr>
          </w:p>
        </w:tc>
      </w:tr>
      <w:tr w:rsidR="00B54D51" w:rsidRPr="00037AD4" w14:paraId="703F8F6F" w14:textId="77777777" w:rsidTr="00C801B5">
        <w:tc>
          <w:tcPr>
            <w:tcW w:w="0" w:type="auto"/>
          </w:tcPr>
          <w:p w14:paraId="56BC9BD4" w14:textId="77777777" w:rsidR="00B54D51" w:rsidRPr="00037AD4" w:rsidRDefault="00B54D51" w:rsidP="007C4A7B">
            <w:pPr>
              <w:pStyle w:val="EndNoteBibliography"/>
              <w:rPr>
                <w:rFonts w:asciiTheme="minorHAnsi" w:hAnsiTheme="minorHAnsi" w:cstheme="minorHAnsi"/>
                <w:b/>
                <w:bCs/>
                <w:lang w:val="en-GB"/>
              </w:rPr>
            </w:pPr>
            <w:r w:rsidRPr="00037AD4">
              <w:rPr>
                <w:rFonts w:asciiTheme="minorHAnsi" w:hAnsiTheme="minorHAnsi" w:cstheme="minorHAnsi"/>
                <w:b/>
                <w:bCs/>
                <w:lang w:val="en-GB"/>
              </w:rPr>
              <w:t xml:space="preserve">UA </w:t>
            </w:r>
          </w:p>
        </w:tc>
        <w:tc>
          <w:tcPr>
            <w:tcW w:w="0" w:type="auto"/>
          </w:tcPr>
          <w:p w14:paraId="1CB306A9" w14:textId="77777777" w:rsidR="00B54D51" w:rsidRPr="00037AD4" w:rsidRDefault="00B54D51" w:rsidP="007C4A7B">
            <w:pPr>
              <w:rPr>
                <w:rFonts w:asciiTheme="minorHAnsi" w:hAnsiTheme="minorHAnsi" w:cstheme="minorHAnsi"/>
              </w:rPr>
            </w:pPr>
            <w:r w:rsidRPr="00037AD4">
              <w:rPr>
                <w:rFonts w:ascii="Segoe UI Symbol" w:hAnsi="Segoe UI Symbol" w:cs="Segoe UI Symbol"/>
              </w:rPr>
              <w:t>✓</w:t>
            </w:r>
          </w:p>
          <w:p w14:paraId="1B13316D" w14:textId="77777777" w:rsidR="00B54D51" w:rsidRPr="00037AD4" w:rsidRDefault="00B54D51" w:rsidP="007C4A7B">
            <w:pPr>
              <w:rPr>
                <w:rFonts w:asciiTheme="minorHAnsi" w:hAnsiTheme="minorHAnsi" w:cstheme="minorHAnsi"/>
              </w:rPr>
            </w:pPr>
            <w:r w:rsidRPr="00037AD4">
              <w:rPr>
                <w:rFonts w:asciiTheme="minorHAnsi" w:hAnsiTheme="minorHAnsi" w:cstheme="minorHAnsi"/>
              </w:rPr>
              <w:t>“Things to do”, “Enjoying life”</w:t>
            </w:r>
          </w:p>
        </w:tc>
        <w:tc>
          <w:tcPr>
            <w:tcW w:w="0" w:type="auto"/>
          </w:tcPr>
          <w:p w14:paraId="4A5BE6A2" w14:textId="77777777" w:rsidR="00B54D51" w:rsidRPr="00037AD4" w:rsidRDefault="00B54D51" w:rsidP="007C4A7B">
            <w:pPr>
              <w:rPr>
                <w:rFonts w:asciiTheme="minorHAnsi" w:hAnsiTheme="minorHAnsi" w:cstheme="minorHAnsi"/>
              </w:rPr>
            </w:pPr>
            <w:r w:rsidRPr="00037AD4">
              <w:rPr>
                <w:rFonts w:ascii="Segoe UI Symbol" w:hAnsi="Segoe UI Symbol" w:cs="Segoe UI Symbol"/>
              </w:rPr>
              <w:t>✓</w:t>
            </w:r>
            <w:r w:rsidRPr="00037AD4">
              <w:rPr>
                <w:rFonts w:asciiTheme="minorHAnsi" w:hAnsiTheme="minorHAnsi" w:cstheme="minorHAnsi"/>
              </w:rPr>
              <w:t xml:space="preserve"> </w:t>
            </w:r>
          </w:p>
          <w:p w14:paraId="42ABABFE" w14:textId="77777777" w:rsidR="00B54D51" w:rsidRPr="00037AD4" w:rsidRDefault="00B54D51" w:rsidP="007C4A7B">
            <w:pPr>
              <w:rPr>
                <w:rFonts w:asciiTheme="minorHAnsi" w:hAnsiTheme="minorHAnsi" w:cstheme="minorHAnsi"/>
              </w:rPr>
            </w:pPr>
            <w:r w:rsidRPr="00037AD4">
              <w:rPr>
                <w:rFonts w:asciiTheme="minorHAnsi" w:hAnsiTheme="minorHAnsi" w:cstheme="minorHAnsi"/>
              </w:rPr>
              <w:t>“Useful part”</w:t>
            </w:r>
          </w:p>
        </w:tc>
        <w:tc>
          <w:tcPr>
            <w:tcW w:w="0" w:type="auto"/>
          </w:tcPr>
          <w:p w14:paraId="4EF212A1" w14:textId="77777777" w:rsidR="00B54D51" w:rsidRPr="00037AD4" w:rsidRDefault="00B54D51" w:rsidP="007C4A7B">
            <w:pPr>
              <w:rPr>
                <w:rFonts w:asciiTheme="minorHAnsi" w:hAnsiTheme="minorHAnsi" w:cstheme="minorHAnsi"/>
              </w:rPr>
            </w:pPr>
            <w:r w:rsidRPr="00037AD4">
              <w:rPr>
                <w:rFonts w:ascii="Segoe UI Symbol" w:hAnsi="Segoe UI Symbol" w:cs="Segoe UI Symbol"/>
              </w:rPr>
              <w:t>✓</w:t>
            </w:r>
          </w:p>
          <w:p w14:paraId="37C17EC9" w14:textId="77777777" w:rsidR="00B54D51" w:rsidRPr="00037AD4" w:rsidRDefault="00B54D51" w:rsidP="007C4A7B">
            <w:pPr>
              <w:rPr>
                <w:rFonts w:asciiTheme="minorHAnsi" w:hAnsiTheme="minorHAnsi" w:cstheme="minorHAnsi"/>
              </w:rPr>
            </w:pPr>
            <w:r w:rsidRPr="00037AD4">
              <w:rPr>
                <w:rFonts w:asciiTheme="minorHAnsi" w:hAnsiTheme="minorHAnsi" w:cstheme="minorHAnsi"/>
              </w:rPr>
              <w:t xml:space="preserve">“Chores”, “Fun” </w:t>
            </w:r>
          </w:p>
        </w:tc>
        <w:tc>
          <w:tcPr>
            <w:tcW w:w="0" w:type="auto"/>
          </w:tcPr>
          <w:p w14:paraId="1529A5C3" w14:textId="77777777" w:rsidR="00B54D51" w:rsidRPr="00037AD4" w:rsidRDefault="00B54D51" w:rsidP="007C4A7B">
            <w:pPr>
              <w:rPr>
                <w:rFonts w:asciiTheme="minorHAnsi" w:hAnsiTheme="minorHAnsi" w:cstheme="minorHAnsi"/>
              </w:rPr>
            </w:pPr>
            <w:r w:rsidRPr="00037AD4">
              <w:rPr>
                <w:rFonts w:ascii="Segoe UI Symbol" w:hAnsi="Segoe UI Symbol" w:cs="Segoe UI Symbol"/>
              </w:rPr>
              <w:t>✓</w:t>
            </w:r>
            <w:r w:rsidRPr="00037AD4">
              <w:rPr>
                <w:rFonts w:asciiTheme="minorHAnsi" w:hAnsiTheme="minorHAnsi" w:cstheme="minorHAnsi"/>
              </w:rPr>
              <w:t xml:space="preserve"> </w:t>
            </w:r>
          </w:p>
          <w:p w14:paraId="79C8DAEA" w14:textId="77777777" w:rsidR="00B54D51" w:rsidRPr="00037AD4" w:rsidRDefault="00B54D51" w:rsidP="007C4A7B">
            <w:pPr>
              <w:rPr>
                <w:rFonts w:asciiTheme="minorHAnsi" w:hAnsiTheme="minorHAnsi" w:cstheme="minorHAnsi"/>
              </w:rPr>
            </w:pPr>
            <w:r w:rsidRPr="00037AD4">
              <w:rPr>
                <w:rFonts w:asciiTheme="minorHAnsi" w:hAnsiTheme="minorHAnsi" w:cstheme="minorHAnsi"/>
              </w:rPr>
              <w:t>“Pleasant events”</w:t>
            </w:r>
          </w:p>
        </w:tc>
        <w:tc>
          <w:tcPr>
            <w:tcW w:w="0" w:type="auto"/>
          </w:tcPr>
          <w:p w14:paraId="2983423D" w14:textId="77777777" w:rsidR="00B54D51" w:rsidRPr="00037AD4" w:rsidRDefault="00B54D51" w:rsidP="007C4A7B">
            <w:pPr>
              <w:rPr>
                <w:rFonts w:asciiTheme="minorHAnsi" w:hAnsiTheme="minorHAnsi" w:cstheme="minorHAnsi"/>
              </w:rPr>
            </w:pPr>
            <w:r w:rsidRPr="00037AD4">
              <w:rPr>
                <w:rFonts w:ascii="Segoe UI Symbol" w:hAnsi="Segoe UI Symbol" w:cs="Segoe UI Symbol"/>
              </w:rPr>
              <w:t>✓</w:t>
            </w:r>
            <w:r w:rsidRPr="00037AD4">
              <w:rPr>
                <w:rFonts w:asciiTheme="minorHAnsi" w:hAnsiTheme="minorHAnsi" w:cstheme="minorHAnsi"/>
              </w:rPr>
              <w:t xml:space="preserve"> </w:t>
            </w:r>
          </w:p>
          <w:p w14:paraId="2B90E21F" w14:textId="77777777" w:rsidR="00B54D51" w:rsidRPr="00037AD4" w:rsidRDefault="00B54D51" w:rsidP="007C4A7B">
            <w:pPr>
              <w:rPr>
                <w:rFonts w:asciiTheme="minorHAnsi" w:hAnsiTheme="minorHAnsi" w:cstheme="minorHAnsi"/>
              </w:rPr>
            </w:pPr>
            <w:r w:rsidRPr="00037AD4">
              <w:rPr>
                <w:rFonts w:asciiTheme="minorHAnsi" w:hAnsiTheme="minorHAnsi" w:cstheme="minorHAnsi"/>
              </w:rPr>
              <w:t>“Enjoys daily life”, “Able to do things”</w:t>
            </w:r>
          </w:p>
        </w:tc>
      </w:tr>
      <w:tr w:rsidR="00B54D51" w:rsidRPr="00037AD4" w14:paraId="46D34237" w14:textId="77777777" w:rsidTr="00C801B5">
        <w:tc>
          <w:tcPr>
            <w:tcW w:w="0" w:type="auto"/>
          </w:tcPr>
          <w:p w14:paraId="516E7CCD" w14:textId="77777777" w:rsidR="00B54D51" w:rsidRPr="00037AD4" w:rsidRDefault="00B54D51" w:rsidP="007C4A7B">
            <w:pPr>
              <w:pStyle w:val="EndNoteBibliography"/>
              <w:rPr>
                <w:rFonts w:asciiTheme="minorHAnsi" w:hAnsiTheme="minorHAnsi" w:cstheme="minorHAnsi"/>
                <w:b/>
                <w:bCs/>
                <w:lang w:val="en-GB"/>
              </w:rPr>
            </w:pPr>
            <w:r w:rsidRPr="00037AD4">
              <w:rPr>
                <w:rFonts w:asciiTheme="minorHAnsi" w:hAnsiTheme="minorHAnsi" w:cstheme="minorHAnsi"/>
                <w:b/>
                <w:bCs/>
                <w:lang w:val="en-GB"/>
              </w:rPr>
              <w:t xml:space="preserve">P/D </w:t>
            </w:r>
          </w:p>
        </w:tc>
        <w:tc>
          <w:tcPr>
            <w:tcW w:w="0" w:type="auto"/>
          </w:tcPr>
          <w:p w14:paraId="16B69878" w14:textId="77777777" w:rsidR="00B54D51" w:rsidRPr="00037AD4" w:rsidRDefault="00B54D51" w:rsidP="007C4A7B">
            <w:pPr>
              <w:pStyle w:val="EndNoteBibliography"/>
              <w:rPr>
                <w:rFonts w:asciiTheme="minorHAnsi" w:hAnsiTheme="minorHAnsi" w:cstheme="minorHAnsi"/>
                <w:lang w:val="en-GB"/>
              </w:rPr>
            </w:pPr>
          </w:p>
        </w:tc>
        <w:tc>
          <w:tcPr>
            <w:tcW w:w="0" w:type="auto"/>
          </w:tcPr>
          <w:p w14:paraId="7603FED2" w14:textId="77777777" w:rsidR="00B54D51" w:rsidRPr="00037AD4" w:rsidRDefault="00B54D51" w:rsidP="007C4A7B">
            <w:pPr>
              <w:pStyle w:val="EndNoteBibliography"/>
              <w:rPr>
                <w:rFonts w:asciiTheme="minorHAnsi" w:hAnsiTheme="minorHAnsi" w:cstheme="minorHAnsi"/>
                <w:lang w:val="en-GB"/>
              </w:rPr>
            </w:pPr>
          </w:p>
        </w:tc>
        <w:tc>
          <w:tcPr>
            <w:tcW w:w="0" w:type="auto"/>
          </w:tcPr>
          <w:p w14:paraId="1253A638" w14:textId="77777777" w:rsidR="00B54D51" w:rsidRPr="00037AD4" w:rsidRDefault="00B54D51" w:rsidP="007C4A7B">
            <w:pPr>
              <w:pStyle w:val="EndNoteBibliography"/>
              <w:rPr>
                <w:rFonts w:asciiTheme="minorHAnsi" w:hAnsiTheme="minorHAnsi" w:cstheme="minorHAnsi"/>
                <w:lang w:val="en-GB"/>
              </w:rPr>
            </w:pPr>
          </w:p>
        </w:tc>
        <w:tc>
          <w:tcPr>
            <w:tcW w:w="0" w:type="auto"/>
          </w:tcPr>
          <w:p w14:paraId="2E1C636C" w14:textId="77777777" w:rsidR="00B54D51" w:rsidRPr="00037AD4" w:rsidRDefault="00B54D51" w:rsidP="007C4A7B">
            <w:pPr>
              <w:rPr>
                <w:rFonts w:asciiTheme="minorHAnsi" w:hAnsiTheme="minorHAnsi" w:cstheme="minorHAnsi"/>
              </w:rPr>
            </w:pPr>
            <w:r w:rsidRPr="00037AD4">
              <w:rPr>
                <w:rFonts w:ascii="Segoe UI Symbol" w:hAnsi="Segoe UI Symbol" w:cs="Segoe UI Symbol"/>
              </w:rPr>
              <w:t>✓</w:t>
            </w:r>
          </w:p>
          <w:p w14:paraId="121EFF1A" w14:textId="77777777" w:rsidR="00B54D51" w:rsidRPr="00037AD4" w:rsidRDefault="00B54D51" w:rsidP="007C4A7B">
            <w:pPr>
              <w:rPr>
                <w:rFonts w:asciiTheme="minorHAnsi" w:hAnsiTheme="minorHAnsi" w:cstheme="minorHAnsi"/>
              </w:rPr>
            </w:pPr>
            <w:r w:rsidRPr="00037AD4">
              <w:rPr>
                <w:rFonts w:asciiTheme="minorHAnsi" w:hAnsiTheme="minorHAnsi" w:cstheme="minorHAnsi"/>
              </w:rPr>
              <w:t>“Physically uncomfortable”, “Sounds of discontent”</w:t>
            </w:r>
          </w:p>
        </w:tc>
        <w:tc>
          <w:tcPr>
            <w:tcW w:w="0" w:type="auto"/>
          </w:tcPr>
          <w:p w14:paraId="4A2D4C41" w14:textId="77777777" w:rsidR="00B54D51" w:rsidRPr="00037AD4" w:rsidRDefault="00B54D51" w:rsidP="007C4A7B">
            <w:pPr>
              <w:pStyle w:val="EndNoteBibliography"/>
              <w:rPr>
                <w:rFonts w:asciiTheme="minorHAnsi" w:hAnsiTheme="minorHAnsi" w:cstheme="minorHAnsi"/>
                <w:lang w:val="en-GB"/>
              </w:rPr>
            </w:pPr>
          </w:p>
        </w:tc>
      </w:tr>
      <w:tr w:rsidR="00B54D51" w:rsidRPr="00037AD4" w14:paraId="4D6DFAE7" w14:textId="77777777" w:rsidTr="00C801B5">
        <w:tc>
          <w:tcPr>
            <w:tcW w:w="0" w:type="auto"/>
          </w:tcPr>
          <w:p w14:paraId="31A00156" w14:textId="77777777" w:rsidR="00B54D51" w:rsidRPr="00037AD4" w:rsidRDefault="00B54D51" w:rsidP="007C4A7B">
            <w:pPr>
              <w:pStyle w:val="EndNoteBibliography"/>
              <w:rPr>
                <w:rFonts w:asciiTheme="minorHAnsi" w:hAnsiTheme="minorHAnsi" w:cstheme="minorHAnsi"/>
                <w:b/>
                <w:bCs/>
                <w:lang w:val="en-GB"/>
              </w:rPr>
            </w:pPr>
            <w:r w:rsidRPr="00037AD4">
              <w:rPr>
                <w:rFonts w:asciiTheme="minorHAnsi" w:hAnsiTheme="minorHAnsi" w:cstheme="minorHAnsi"/>
                <w:b/>
                <w:bCs/>
                <w:lang w:val="en-GB"/>
              </w:rPr>
              <w:t>A/D</w:t>
            </w:r>
          </w:p>
        </w:tc>
        <w:tc>
          <w:tcPr>
            <w:tcW w:w="0" w:type="auto"/>
          </w:tcPr>
          <w:p w14:paraId="62601369" w14:textId="77777777" w:rsidR="00B54D51" w:rsidRPr="00037AD4" w:rsidRDefault="00B54D51" w:rsidP="007C4A7B">
            <w:pPr>
              <w:rPr>
                <w:rFonts w:asciiTheme="minorHAnsi" w:hAnsiTheme="minorHAnsi" w:cstheme="minorHAnsi"/>
              </w:rPr>
            </w:pPr>
            <w:r w:rsidRPr="00037AD4">
              <w:rPr>
                <w:rFonts w:ascii="Segoe UI Symbol" w:hAnsi="Segoe UI Symbol" w:cs="Segoe UI Symbol"/>
              </w:rPr>
              <w:t>✓</w:t>
            </w:r>
            <w:r w:rsidRPr="00037AD4">
              <w:rPr>
                <w:rFonts w:asciiTheme="minorHAnsi" w:hAnsiTheme="minorHAnsi" w:cstheme="minorHAnsi"/>
              </w:rPr>
              <w:t xml:space="preserve"> </w:t>
            </w:r>
          </w:p>
          <w:p w14:paraId="1AD594D0" w14:textId="77777777" w:rsidR="00B54D51" w:rsidRPr="00037AD4" w:rsidRDefault="00B54D51" w:rsidP="007C4A7B">
            <w:pPr>
              <w:rPr>
                <w:rFonts w:asciiTheme="minorHAnsi" w:hAnsiTheme="minorHAnsi" w:cstheme="minorHAnsi"/>
              </w:rPr>
            </w:pPr>
            <w:r w:rsidRPr="00037AD4">
              <w:rPr>
                <w:rFonts w:asciiTheme="minorHAnsi" w:hAnsiTheme="minorHAnsi" w:cstheme="minorHAnsi"/>
              </w:rPr>
              <w:t>“Worried/ anxious”</w:t>
            </w:r>
          </w:p>
        </w:tc>
        <w:tc>
          <w:tcPr>
            <w:tcW w:w="0" w:type="auto"/>
          </w:tcPr>
          <w:p w14:paraId="0EBAB819" w14:textId="77777777" w:rsidR="00B54D51" w:rsidRPr="00037AD4" w:rsidRDefault="00B54D51" w:rsidP="007C4A7B">
            <w:pPr>
              <w:rPr>
                <w:rFonts w:asciiTheme="minorHAnsi" w:hAnsiTheme="minorHAnsi" w:cstheme="minorHAnsi"/>
              </w:rPr>
            </w:pPr>
            <w:r w:rsidRPr="00037AD4">
              <w:rPr>
                <w:rFonts w:ascii="Segoe UI Symbol" w:hAnsi="Segoe UI Symbol" w:cs="Segoe UI Symbol"/>
              </w:rPr>
              <w:t>✓</w:t>
            </w:r>
          </w:p>
          <w:p w14:paraId="2C3543F7" w14:textId="77777777" w:rsidR="00B54D51" w:rsidRPr="00037AD4" w:rsidRDefault="00B54D51" w:rsidP="007C4A7B">
            <w:pPr>
              <w:rPr>
                <w:rFonts w:asciiTheme="minorHAnsi" w:hAnsiTheme="minorHAnsi" w:cstheme="minorHAnsi"/>
              </w:rPr>
            </w:pPr>
            <w:r w:rsidRPr="00037AD4">
              <w:rPr>
                <w:rFonts w:asciiTheme="minorHAnsi" w:hAnsiTheme="minorHAnsi" w:cstheme="minorHAnsi"/>
              </w:rPr>
              <w:t>“Worried/anxious”</w:t>
            </w:r>
          </w:p>
        </w:tc>
        <w:tc>
          <w:tcPr>
            <w:tcW w:w="0" w:type="auto"/>
          </w:tcPr>
          <w:p w14:paraId="127D2D01" w14:textId="77777777" w:rsidR="00B54D51" w:rsidRPr="00037AD4" w:rsidRDefault="00B54D51" w:rsidP="007C4A7B">
            <w:pPr>
              <w:rPr>
                <w:rFonts w:asciiTheme="minorHAnsi" w:hAnsiTheme="minorHAnsi" w:cstheme="minorHAnsi"/>
              </w:rPr>
            </w:pPr>
            <w:r w:rsidRPr="00037AD4">
              <w:rPr>
                <w:rFonts w:ascii="Segoe UI Symbol" w:hAnsi="Segoe UI Symbol" w:cs="Segoe UI Symbol"/>
              </w:rPr>
              <w:t>✓</w:t>
            </w:r>
            <w:r w:rsidRPr="00037AD4">
              <w:rPr>
                <w:rFonts w:asciiTheme="minorHAnsi" w:hAnsiTheme="minorHAnsi" w:cstheme="minorHAnsi"/>
              </w:rPr>
              <w:t xml:space="preserve"> </w:t>
            </w:r>
          </w:p>
          <w:p w14:paraId="673443C5" w14:textId="77777777" w:rsidR="00B54D51" w:rsidRPr="00037AD4" w:rsidRDefault="00B54D51" w:rsidP="007C4A7B">
            <w:pPr>
              <w:rPr>
                <w:rFonts w:asciiTheme="minorHAnsi" w:hAnsiTheme="minorHAnsi" w:cstheme="minorHAnsi"/>
              </w:rPr>
            </w:pPr>
            <w:r w:rsidRPr="00037AD4">
              <w:rPr>
                <w:rFonts w:asciiTheme="minorHAnsi" w:hAnsiTheme="minorHAnsi" w:cstheme="minorHAnsi"/>
              </w:rPr>
              <w:t>“Mood”</w:t>
            </w:r>
          </w:p>
        </w:tc>
        <w:tc>
          <w:tcPr>
            <w:tcW w:w="0" w:type="auto"/>
          </w:tcPr>
          <w:p w14:paraId="5B18D68C" w14:textId="77777777" w:rsidR="00B54D51" w:rsidRPr="00037AD4" w:rsidRDefault="00B54D51" w:rsidP="007C4A7B">
            <w:pPr>
              <w:rPr>
                <w:rFonts w:asciiTheme="minorHAnsi" w:hAnsiTheme="minorHAnsi" w:cstheme="minorHAnsi"/>
              </w:rPr>
            </w:pPr>
            <w:r w:rsidRPr="00037AD4">
              <w:rPr>
                <w:rFonts w:ascii="Segoe UI Symbol" w:hAnsi="Segoe UI Symbol" w:cs="Segoe UI Symbol"/>
              </w:rPr>
              <w:t>✓</w:t>
            </w:r>
          </w:p>
          <w:p w14:paraId="62EBADF8" w14:textId="77777777" w:rsidR="00B54D51" w:rsidRPr="00037AD4" w:rsidRDefault="00B54D51" w:rsidP="007C4A7B">
            <w:pPr>
              <w:rPr>
                <w:rFonts w:asciiTheme="minorHAnsi" w:hAnsiTheme="minorHAnsi" w:cstheme="minorHAnsi"/>
              </w:rPr>
            </w:pPr>
            <w:r w:rsidRPr="00037AD4">
              <w:rPr>
                <w:rFonts w:asciiTheme="minorHAnsi" w:hAnsiTheme="minorHAnsi" w:cstheme="minorHAnsi"/>
              </w:rPr>
              <w:t>“Sad”, “Irritable”, “Calm”</w:t>
            </w:r>
          </w:p>
        </w:tc>
        <w:tc>
          <w:tcPr>
            <w:tcW w:w="0" w:type="auto"/>
          </w:tcPr>
          <w:p w14:paraId="067DFFA1" w14:textId="77777777" w:rsidR="00B54D51" w:rsidRPr="00037AD4" w:rsidRDefault="00B54D51" w:rsidP="007C4A7B">
            <w:pPr>
              <w:rPr>
                <w:rFonts w:asciiTheme="minorHAnsi" w:hAnsiTheme="minorHAnsi" w:cstheme="minorHAnsi"/>
              </w:rPr>
            </w:pPr>
            <w:r w:rsidRPr="00037AD4">
              <w:rPr>
                <w:rFonts w:ascii="Segoe UI Symbol" w:hAnsi="Segoe UI Symbol" w:cs="Segoe UI Symbol"/>
              </w:rPr>
              <w:t>✓</w:t>
            </w:r>
          </w:p>
          <w:p w14:paraId="2AC4729F" w14:textId="77777777" w:rsidR="00B54D51" w:rsidRPr="00037AD4" w:rsidRDefault="00B54D51" w:rsidP="007C4A7B">
            <w:pPr>
              <w:rPr>
                <w:rFonts w:asciiTheme="minorHAnsi" w:hAnsiTheme="minorHAnsi" w:cstheme="minorHAnsi"/>
              </w:rPr>
            </w:pPr>
            <w:r w:rsidRPr="00037AD4">
              <w:rPr>
                <w:rFonts w:asciiTheme="minorHAnsi" w:hAnsiTheme="minorHAnsi" w:cstheme="minorHAnsi"/>
              </w:rPr>
              <w:t>“Anxious”</w:t>
            </w:r>
          </w:p>
        </w:tc>
      </w:tr>
      <w:tr w:rsidR="00B54D51" w:rsidRPr="00037AD4" w14:paraId="0B3F5AAB" w14:textId="77777777" w:rsidTr="00C801B5">
        <w:tc>
          <w:tcPr>
            <w:tcW w:w="0" w:type="auto"/>
            <w:gridSpan w:val="6"/>
          </w:tcPr>
          <w:p w14:paraId="0F3F5227" w14:textId="77777777" w:rsidR="00B54D51" w:rsidRPr="00037AD4" w:rsidRDefault="00B54D51" w:rsidP="007C4A7B">
            <w:pPr>
              <w:rPr>
                <w:rFonts w:asciiTheme="minorHAnsi" w:hAnsiTheme="minorHAnsi" w:cstheme="minorHAnsi"/>
              </w:rPr>
            </w:pPr>
            <w:r w:rsidRPr="00037AD4">
              <w:rPr>
                <w:rFonts w:asciiTheme="minorHAnsi" w:hAnsiTheme="minorHAnsi" w:cstheme="minorHAnsi"/>
              </w:rPr>
              <w:t>M, mobility; SC, self-care; UA, usual activities; P/D, pain/ discomfort; A/D, anxiety/ depression</w:t>
            </w:r>
          </w:p>
        </w:tc>
      </w:tr>
    </w:tbl>
    <w:p w14:paraId="188603F3" w14:textId="77777777" w:rsidR="00B54D51" w:rsidRPr="00037AD4" w:rsidRDefault="00B54D51" w:rsidP="003C1E58">
      <w:pPr>
        <w:rPr>
          <w:rFonts w:asciiTheme="minorHAnsi" w:hAnsiTheme="minorHAnsi" w:cstheme="minorHAnsi"/>
        </w:rPr>
      </w:pPr>
    </w:p>
    <w:p w14:paraId="68525319" w14:textId="77777777" w:rsidR="00B54D51" w:rsidRPr="00037AD4" w:rsidRDefault="00B54D51" w:rsidP="003C1E58">
      <w:pPr>
        <w:rPr>
          <w:rFonts w:asciiTheme="minorHAnsi" w:hAnsiTheme="minorHAnsi" w:cstheme="minorHAnsi"/>
        </w:rPr>
      </w:pPr>
      <w:r w:rsidRPr="00037AD4">
        <w:rPr>
          <w:rFonts w:asciiTheme="minorHAnsi" w:hAnsiTheme="minorHAnsi" w:cstheme="minorHAnsi"/>
        </w:rPr>
        <w:t xml:space="preserve">This assessment indicates that none of the dementia-specific instruments directly incorporate items that cover all EQ-5D dimensions. However, all of the instruments do measure "anxiety/depression", and include an item related to conducting "usual activities", highlighting the particular importance attributed to these aspects in dementia. These dimensions specifically align with other core outcomes of function and behaviour/mood to consider in dementia research, as </w:t>
      </w:r>
      <w:r w:rsidRPr="00037AD4">
        <w:rPr>
          <w:rFonts w:asciiTheme="minorHAnsi" w:hAnsiTheme="minorHAnsi" w:cstheme="minorHAnsi"/>
          <w:color w:val="000000" w:themeColor="text1"/>
        </w:rPr>
        <w:t xml:space="preserve">outlined in </w:t>
      </w:r>
      <w:hyperlink w:anchor="Table3" w:history="1">
        <w:r w:rsidRPr="00B54D51">
          <w:rPr>
            <w:rStyle w:val="Hyperlink"/>
            <w:rFonts w:asciiTheme="minorHAnsi" w:hAnsiTheme="minorHAnsi" w:cstheme="minorHAnsi"/>
            <w:color w:val="000000" w:themeColor="text1"/>
            <w:u w:val="none"/>
          </w:rPr>
          <w:t>Table 3</w:t>
        </w:r>
      </w:hyperlink>
      <w:r w:rsidRPr="00B54D51">
        <w:rPr>
          <w:rFonts w:asciiTheme="minorHAnsi" w:hAnsiTheme="minorHAnsi" w:cstheme="minorHAnsi"/>
          <w:color w:val="000000" w:themeColor="text1"/>
        </w:rPr>
        <w:t>.</w:t>
      </w:r>
      <w:r w:rsidRPr="00037AD4">
        <w:rPr>
          <w:rFonts w:asciiTheme="minorHAnsi" w:hAnsiTheme="minorHAnsi" w:cstheme="minorHAnsi"/>
          <w:color w:val="000000" w:themeColor="text1"/>
        </w:rPr>
        <w:t xml:space="preserve"> </w:t>
      </w:r>
      <w:r w:rsidRPr="00037AD4">
        <w:rPr>
          <w:rFonts w:asciiTheme="minorHAnsi" w:hAnsiTheme="minorHAnsi" w:cstheme="minorHAnsi"/>
        </w:rPr>
        <w:t>Notably, "self-care" is exclusively addressed within the DEMQoL suite, while the aspects of "pain/discomfort" and "mobility" are considered within the QUALID and QUALIDEM scales, respectively.</w:t>
      </w:r>
    </w:p>
    <w:p w14:paraId="394ACD69" w14:textId="77777777" w:rsidR="00B54D51" w:rsidRPr="00037AD4" w:rsidRDefault="00B54D51" w:rsidP="003C1E58">
      <w:pPr>
        <w:rPr>
          <w:rFonts w:asciiTheme="minorHAnsi" w:hAnsiTheme="minorHAnsi" w:cstheme="minorHAnsi"/>
        </w:rPr>
      </w:pPr>
    </w:p>
    <w:p w14:paraId="05B6FB22" w14:textId="77777777" w:rsidR="00B54D51" w:rsidRPr="00037AD4" w:rsidRDefault="00B54D51" w:rsidP="003C1E58">
      <w:pPr>
        <w:rPr>
          <w:rFonts w:asciiTheme="minorHAnsi" w:hAnsiTheme="minorHAnsi" w:cstheme="minorHAnsi"/>
        </w:rPr>
      </w:pPr>
      <w:r w:rsidRPr="00037AD4">
        <w:rPr>
          <w:rFonts w:asciiTheme="minorHAnsi" w:hAnsiTheme="minorHAnsi" w:cstheme="minorHAnsi"/>
        </w:rPr>
        <w:t xml:space="preserve">The next step involved comparing the domains of the dementia-specific instruments against EQ-5D </w:t>
      </w:r>
      <w:r w:rsidRPr="00037AD4">
        <w:rPr>
          <w:rFonts w:asciiTheme="minorHAnsi" w:hAnsiTheme="minorHAnsi" w:cstheme="minorHAnsi"/>
          <w:color w:val="000000" w:themeColor="text1"/>
        </w:rPr>
        <w:t xml:space="preserve">dimensions. Table 5 lists </w:t>
      </w:r>
      <w:r w:rsidRPr="00037AD4">
        <w:rPr>
          <w:rFonts w:asciiTheme="minorHAnsi" w:hAnsiTheme="minorHAnsi" w:cstheme="minorHAnsi"/>
        </w:rPr>
        <w:t>the domain categories present in the four identified core dementia specific instruments. Hypothetical corresponding EQ-5D dimensions are suggested and presented alongside, highlighting potential areas of measurement overlap.</w:t>
      </w:r>
    </w:p>
    <w:p w14:paraId="57CCED7D" w14:textId="77777777" w:rsidR="00B54D51" w:rsidRPr="00037AD4" w:rsidRDefault="00B54D51" w:rsidP="003C1E58">
      <w:pPr>
        <w:rPr>
          <w:rFonts w:asciiTheme="minorHAnsi" w:hAnsiTheme="minorHAnsi" w:cstheme="minorHAnsi"/>
          <w:i/>
          <w:iCs/>
        </w:rPr>
      </w:pPr>
    </w:p>
    <w:p w14:paraId="41ECC603" w14:textId="0244B114" w:rsidR="00B54D51" w:rsidRDefault="00B54D51" w:rsidP="003C1E58">
      <w:pPr>
        <w:rPr>
          <w:rFonts w:asciiTheme="minorHAnsi" w:hAnsiTheme="minorHAnsi" w:cstheme="minorHAnsi"/>
          <w:i/>
          <w:iCs/>
        </w:rPr>
      </w:pPr>
    </w:p>
    <w:p w14:paraId="2049F9E6" w14:textId="77777777" w:rsidR="00322CFC" w:rsidRDefault="00322CFC" w:rsidP="003C1E58">
      <w:pPr>
        <w:rPr>
          <w:rFonts w:asciiTheme="minorHAnsi" w:hAnsiTheme="minorHAnsi" w:cstheme="minorHAnsi"/>
          <w:i/>
          <w:iCs/>
        </w:rPr>
      </w:pPr>
    </w:p>
    <w:p w14:paraId="340946A2" w14:textId="77777777" w:rsidR="00B54D51" w:rsidRDefault="00B54D51" w:rsidP="003C1E58">
      <w:pPr>
        <w:rPr>
          <w:rFonts w:asciiTheme="minorHAnsi" w:hAnsiTheme="minorHAnsi" w:cstheme="minorHAnsi"/>
          <w:i/>
          <w:iCs/>
        </w:rPr>
      </w:pPr>
    </w:p>
    <w:p w14:paraId="504581F7" w14:textId="77777777" w:rsidR="00B54D51" w:rsidRPr="00037AD4" w:rsidRDefault="00B54D51" w:rsidP="003C1E58">
      <w:pPr>
        <w:rPr>
          <w:rFonts w:asciiTheme="minorHAnsi" w:hAnsiTheme="minorHAnsi" w:cstheme="minorHAnsi"/>
          <w:i/>
          <w:iCs/>
        </w:rPr>
      </w:pPr>
    </w:p>
    <w:p w14:paraId="1597BFD1" w14:textId="77777777" w:rsidR="00B54D51" w:rsidRPr="00037AD4" w:rsidRDefault="00B54D51" w:rsidP="003C1E58">
      <w:pPr>
        <w:rPr>
          <w:rFonts w:asciiTheme="minorHAnsi" w:hAnsiTheme="minorHAnsi" w:cstheme="minorHAnsi"/>
          <w:b/>
          <w:bCs/>
          <w:i/>
          <w:iCs/>
        </w:rPr>
      </w:pPr>
      <w:r w:rsidRPr="00037AD4">
        <w:rPr>
          <w:rFonts w:asciiTheme="minorHAnsi" w:hAnsiTheme="minorHAnsi" w:cstheme="minorHAnsi"/>
          <w:b/>
          <w:bCs/>
          <w:i/>
          <w:iCs/>
        </w:rPr>
        <w:lastRenderedPageBreak/>
        <w:t>Table 5, Dementia specific QoL domains by theoretical corresponding EQ-5D dimension</w:t>
      </w:r>
    </w:p>
    <w:p w14:paraId="79A67BA8" w14:textId="77777777" w:rsidR="00B54D51" w:rsidRPr="00037AD4" w:rsidRDefault="00B54D51" w:rsidP="003C1E58">
      <w:pPr>
        <w:rPr>
          <w:rFonts w:asciiTheme="minorHAnsi" w:hAnsiTheme="minorHAnsi" w:cstheme="minorHAnsi"/>
          <w:b/>
          <w:bCs/>
          <w:u w:val="single"/>
        </w:rPr>
      </w:pPr>
    </w:p>
    <w:tbl>
      <w:tblPr>
        <w:tblStyle w:val="TableGrid"/>
        <w:tblW w:w="5000" w:type="pct"/>
        <w:tblLook w:val="04A0" w:firstRow="1" w:lastRow="0" w:firstColumn="1" w:lastColumn="0" w:noHBand="0" w:noVBand="1"/>
      </w:tblPr>
      <w:tblGrid>
        <w:gridCol w:w="4674"/>
        <w:gridCol w:w="4342"/>
      </w:tblGrid>
      <w:tr w:rsidR="00B54D51" w:rsidRPr="00037AD4" w14:paraId="68822198" w14:textId="77777777" w:rsidTr="00E9649C">
        <w:trPr>
          <w:trHeight w:val="507"/>
        </w:trPr>
        <w:tc>
          <w:tcPr>
            <w:tcW w:w="2592" w:type="pct"/>
          </w:tcPr>
          <w:p w14:paraId="02E2C7DB" w14:textId="77777777" w:rsidR="00B54D51" w:rsidRPr="00037AD4" w:rsidRDefault="00B54D51" w:rsidP="003C1E58">
            <w:pPr>
              <w:rPr>
                <w:rFonts w:asciiTheme="minorHAnsi" w:hAnsiTheme="minorHAnsi" w:cstheme="minorHAnsi"/>
                <w:b/>
                <w:bCs/>
              </w:rPr>
            </w:pPr>
            <w:r w:rsidRPr="00037AD4">
              <w:rPr>
                <w:rFonts w:asciiTheme="minorHAnsi" w:hAnsiTheme="minorHAnsi" w:cstheme="minorHAnsi"/>
                <w:b/>
                <w:bCs/>
              </w:rPr>
              <w:t>Dementia specific QoL domains</w:t>
            </w:r>
          </w:p>
        </w:tc>
        <w:tc>
          <w:tcPr>
            <w:tcW w:w="2408" w:type="pct"/>
          </w:tcPr>
          <w:p w14:paraId="5119DEB8" w14:textId="77777777" w:rsidR="00B54D51" w:rsidRPr="00037AD4" w:rsidRDefault="00B54D51" w:rsidP="003C1E58">
            <w:pPr>
              <w:rPr>
                <w:rFonts w:asciiTheme="minorHAnsi" w:hAnsiTheme="minorHAnsi" w:cstheme="minorHAnsi"/>
                <w:b/>
                <w:bCs/>
              </w:rPr>
            </w:pPr>
            <w:r w:rsidRPr="00037AD4">
              <w:rPr>
                <w:rFonts w:asciiTheme="minorHAnsi" w:hAnsiTheme="minorHAnsi" w:cstheme="minorHAnsi"/>
                <w:b/>
                <w:bCs/>
              </w:rPr>
              <w:t>Theoretical corresponding EQ-5D dimension</w:t>
            </w:r>
          </w:p>
        </w:tc>
      </w:tr>
      <w:tr w:rsidR="00B54D51" w:rsidRPr="00037AD4" w14:paraId="6850A5CD" w14:textId="77777777" w:rsidTr="00E9649C">
        <w:trPr>
          <w:trHeight w:val="260"/>
        </w:trPr>
        <w:tc>
          <w:tcPr>
            <w:tcW w:w="2592" w:type="pct"/>
          </w:tcPr>
          <w:p w14:paraId="634FB283" w14:textId="77777777" w:rsidR="00B54D51" w:rsidRPr="00037AD4" w:rsidRDefault="00B54D51" w:rsidP="003C1E58">
            <w:pPr>
              <w:rPr>
                <w:rFonts w:asciiTheme="minorHAnsi" w:hAnsiTheme="minorHAnsi" w:cstheme="minorHAnsi"/>
              </w:rPr>
            </w:pPr>
            <w:r w:rsidRPr="00037AD4">
              <w:rPr>
                <w:rFonts w:asciiTheme="minorHAnsi" w:hAnsiTheme="minorHAnsi" w:cstheme="minorHAnsi"/>
              </w:rPr>
              <w:t>Health and wellbeing</w:t>
            </w:r>
          </w:p>
        </w:tc>
        <w:tc>
          <w:tcPr>
            <w:tcW w:w="2408" w:type="pct"/>
          </w:tcPr>
          <w:p w14:paraId="038033D2" w14:textId="32C869A1" w:rsidR="00B54D51" w:rsidRPr="00037AD4" w:rsidRDefault="00B54D51" w:rsidP="003C1E58">
            <w:pPr>
              <w:rPr>
                <w:rFonts w:asciiTheme="minorHAnsi" w:hAnsiTheme="minorHAnsi" w:cstheme="minorHAnsi"/>
              </w:rPr>
            </w:pPr>
            <w:r w:rsidRPr="00037AD4">
              <w:rPr>
                <w:rFonts w:asciiTheme="minorHAnsi" w:hAnsiTheme="minorHAnsi" w:cstheme="minorHAnsi"/>
              </w:rPr>
              <w:t xml:space="preserve">VAS, </w:t>
            </w:r>
            <w:r w:rsidR="00170665">
              <w:rPr>
                <w:rFonts w:asciiTheme="minorHAnsi" w:hAnsiTheme="minorHAnsi" w:cstheme="minorHAnsi"/>
              </w:rPr>
              <w:t>I</w:t>
            </w:r>
            <w:r w:rsidRPr="00037AD4">
              <w:rPr>
                <w:rFonts w:asciiTheme="minorHAnsi" w:hAnsiTheme="minorHAnsi" w:cstheme="minorHAnsi"/>
              </w:rPr>
              <w:t>ndex score</w:t>
            </w:r>
          </w:p>
        </w:tc>
      </w:tr>
      <w:tr w:rsidR="00B54D51" w:rsidRPr="00037AD4" w14:paraId="3863A65A" w14:textId="77777777" w:rsidTr="00170665">
        <w:trPr>
          <w:trHeight w:val="395"/>
        </w:trPr>
        <w:tc>
          <w:tcPr>
            <w:tcW w:w="2592" w:type="pct"/>
          </w:tcPr>
          <w:p w14:paraId="78F5913F" w14:textId="77777777" w:rsidR="00B54D51" w:rsidRPr="00037AD4" w:rsidRDefault="00B54D51" w:rsidP="003C1E58">
            <w:pPr>
              <w:rPr>
                <w:rFonts w:asciiTheme="minorHAnsi" w:hAnsiTheme="minorHAnsi" w:cstheme="minorHAnsi"/>
              </w:rPr>
            </w:pPr>
            <w:r w:rsidRPr="00037AD4">
              <w:rPr>
                <w:rFonts w:asciiTheme="minorHAnsi" w:hAnsiTheme="minorHAnsi" w:cstheme="minorHAnsi"/>
              </w:rPr>
              <w:t>Daily activities and looking after yourself</w:t>
            </w:r>
          </w:p>
        </w:tc>
        <w:tc>
          <w:tcPr>
            <w:tcW w:w="2408" w:type="pct"/>
          </w:tcPr>
          <w:p w14:paraId="7FD20DAD" w14:textId="77777777" w:rsidR="00B54D51" w:rsidRPr="00037AD4" w:rsidRDefault="00B54D51" w:rsidP="003C1E58">
            <w:pPr>
              <w:rPr>
                <w:rFonts w:asciiTheme="minorHAnsi" w:hAnsiTheme="minorHAnsi" w:cstheme="minorHAnsi"/>
              </w:rPr>
            </w:pPr>
            <w:r w:rsidRPr="00037AD4">
              <w:rPr>
                <w:rFonts w:asciiTheme="minorHAnsi" w:hAnsiTheme="minorHAnsi" w:cstheme="minorHAnsi"/>
              </w:rPr>
              <w:t>Self-care, Mobility, Usual activities</w:t>
            </w:r>
          </w:p>
        </w:tc>
      </w:tr>
      <w:tr w:rsidR="00B54D51" w:rsidRPr="00037AD4" w14:paraId="3E084C8E" w14:textId="77777777" w:rsidTr="00170665">
        <w:trPr>
          <w:trHeight w:val="303"/>
        </w:trPr>
        <w:tc>
          <w:tcPr>
            <w:tcW w:w="2592" w:type="pct"/>
          </w:tcPr>
          <w:p w14:paraId="61F191F3" w14:textId="77777777" w:rsidR="00B54D51" w:rsidRPr="00037AD4" w:rsidRDefault="00B54D51" w:rsidP="003C1E58">
            <w:pPr>
              <w:rPr>
                <w:rFonts w:asciiTheme="minorHAnsi" w:hAnsiTheme="minorHAnsi" w:cstheme="minorHAnsi"/>
              </w:rPr>
            </w:pPr>
            <w:r w:rsidRPr="00037AD4">
              <w:rPr>
                <w:rFonts w:asciiTheme="minorHAnsi" w:hAnsiTheme="minorHAnsi" w:cstheme="minorHAnsi"/>
              </w:rPr>
              <w:t xml:space="preserve">Cognitive functioning </w:t>
            </w:r>
          </w:p>
        </w:tc>
        <w:tc>
          <w:tcPr>
            <w:tcW w:w="2408" w:type="pct"/>
          </w:tcPr>
          <w:p w14:paraId="0B790D85" w14:textId="3A69B943" w:rsidR="00B54D51" w:rsidRPr="00037AD4" w:rsidRDefault="00170665" w:rsidP="003C1E58">
            <w:pPr>
              <w:rPr>
                <w:rFonts w:asciiTheme="minorHAnsi" w:hAnsiTheme="minorHAnsi" w:cstheme="minorHAnsi"/>
              </w:rPr>
            </w:pPr>
            <w:r>
              <w:rPr>
                <w:rFonts w:asciiTheme="minorHAnsi" w:hAnsiTheme="minorHAnsi" w:cstheme="minorHAnsi"/>
              </w:rPr>
              <w:t>N/A</w:t>
            </w:r>
          </w:p>
        </w:tc>
      </w:tr>
      <w:tr w:rsidR="00B54D51" w:rsidRPr="00037AD4" w14:paraId="79F31309" w14:textId="77777777" w:rsidTr="00E9649C">
        <w:trPr>
          <w:trHeight w:val="246"/>
        </w:trPr>
        <w:tc>
          <w:tcPr>
            <w:tcW w:w="2592" w:type="pct"/>
          </w:tcPr>
          <w:p w14:paraId="5F6DC7FD" w14:textId="77777777" w:rsidR="00B54D51" w:rsidRPr="00037AD4" w:rsidRDefault="00B54D51" w:rsidP="003C1E58">
            <w:pPr>
              <w:rPr>
                <w:rFonts w:asciiTheme="minorHAnsi" w:hAnsiTheme="minorHAnsi" w:cstheme="minorHAnsi"/>
              </w:rPr>
            </w:pPr>
            <w:r w:rsidRPr="00037AD4">
              <w:rPr>
                <w:rFonts w:asciiTheme="minorHAnsi" w:hAnsiTheme="minorHAnsi" w:cstheme="minorHAnsi"/>
              </w:rPr>
              <w:t>Social relationships</w:t>
            </w:r>
          </w:p>
        </w:tc>
        <w:tc>
          <w:tcPr>
            <w:tcW w:w="2408" w:type="pct"/>
          </w:tcPr>
          <w:p w14:paraId="119E1E0A" w14:textId="77777777" w:rsidR="00B54D51" w:rsidRPr="00037AD4" w:rsidRDefault="00B54D51" w:rsidP="003C1E58">
            <w:pPr>
              <w:rPr>
                <w:rFonts w:asciiTheme="minorHAnsi" w:hAnsiTheme="minorHAnsi" w:cstheme="minorHAnsi"/>
              </w:rPr>
            </w:pPr>
            <w:r w:rsidRPr="00037AD4">
              <w:rPr>
                <w:rFonts w:asciiTheme="minorHAnsi" w:hAnsiTheme="minorHAnsi" w:cstheme="minorHAnsi"/>
              </w:rPr>
              <w:t xml:space="preserve">Usual activities </w:t>
            </w:r>
          </w:p>
        </w:tc>
      </w:tr>
      <w:tr w:rsidR="00B54D51" w:rsidRPr="00037AD4" w14:paraId="1A7C18AC" w14:textId="77777777" w:rsidTr="00E9649C">
        <w:trPr>
          <w:trHeight w:val="260"/>
        </w:trPr>
        <w:tc>
          <w:tcPr>
            <w:tcW w:w="2592" w:type="pct"/>
          </w:tcPr>
          <w:p w14:paraId="7D2E4351" w14:textId="77777777" w:rsidR="00B54D51" w:rsidRPr="00037AD4" w:rsidRDefault="00B54D51" w:rsidP="003C1E58">
            <w:pPr>
              <w:rPr>
                <w:rFonts w:asciiTheme="minorHAnsi" w:hAnsiTheme="minorHAnsi" w:cstheme="minorHAnsi"/>
              </w:rPr>
            </w:pPr>
            <w:r w:rsidRPr="00037AD4">
              <w:rPr>
                <w:rFonts w:asciiTheme="minorHAnsi" w:hAnsiTheme="minorHAnsi" w:cstheme="minorHAnsi"/>
              </w:rPr>
              <w:t xml:space="preserve">Self-concept </w:t>
            </w:r>
          </w:p>
        </w:tc>
        <w:tc>
          <w:tcPr>
            <w:tcW w:w="2408" w:type="pct"/>
          </w:tcPr>
          <w:p w14:paraId="72D96EC9" w14:textId="77777777" w:rsidR="00B54D51" w:rsidRPr="00037AD4" w:rsidRDefault="00B54D51" w:rsidP="003C1E58">
            <w:pPr>
              <w:rPr>
                <w:rFonts w:asciiTheme="minorHAnsi" w:hAnsiTheme="minorHAnsi" w:cstheme="minorHAnsi"/>
              </w:rPr>
            </w:pPr>
            <w:r w:rsidRPr="00037AD4">
              <w:rPr>
                <w:rFonts w:asciiTheme="minorHAnsi" w:hAnsiTheme="minorHAnsi" w:cstheme="minorHAnsi"/>
              </w:rPr>
              <w:t>VAS, Index score*</w:t>
            </w:r>
          </w:p>
        </w:tc>
      </w:tr>
      <w:tr w:rsidR="00B54D51" w:rsidRPr="00037AD4" w14:paraId="7B2600EE" w14:textId="77777777" w:rsidTr="00170665">
        <w:trPr>
          <w:trHeight w:val="375"/>
        </w:trPr>
        <w:tc>
          <w:tcPr>
            <w:tcW w:w="2592" w:type="pct"/>
          </w:tcPr>
          <w:p w14:paraId="25CB3782" w14:textId="77777777" w:rsidR="00B54D51" w:rsidRPr="00037AD4" w:rsidRDefault="00B54D51" w:rsidP="003C1E58">
            <w:pPr>
              <w:rPr>
                <w:rFonts w:asciiTheme="minorHAnsi" w:hAnsiTheme="minorHAnsi" w:cstheme="minorHAnsi"/>
              </w:rPr>
            </w:pPr>
            <w:r w:rsidRPr="00037AD4">
              <w:rPr>
                <w:rFonts w:asciiTheme="minorHAnsi" w:hAnsiTheme="minorHAnsi" w:cstheme="minorHAnsi"/>
              </w:rPr>
              <w:t xml:space="preserve">Behavioural competence </w:t>
            </w:r>
          </w:p>
        </w:tc>
        <w:tc>
          <w:tcPr>
            <w:tcW w:w="2408" w:type="pct"/>
          </w:tcPr>
          <w:p w14:paraId="001D3279" w14:textId="77777777" w:rsidR="00B54D51" w:rsidRPr="00037AD4" w:rsidRDefault="00B54D51" w:rsidP="003C1E58">
            <w:pPr>
              <w:rPr>
                <w:rFonts w:asciiTheme="minorHAnsi" w:hAnsiTheme="minorHAnsi" w:cstheme="minorHAnsi"/>
              </w:rPr>
            </w:pPr>
            <w:r w:rsidRPr="00037AD4">
              <w:rPr>
                <w:rFonts w:asciiTheme="minorHAnsi" w:hAnsiTheme="minorHAnsi" w:cstheme="minorHAnsi"/>
              </w:rPr>
              <w:t>Anxiety/depression, Usual activities</w:t>
            </w:r>
          </w:p>
        </w:tc>
      </w:tr>
      <w:tr w:rsidR="00B54D51" w:rsidRPr="00037AD4" w14:paraId="6E151C11" w14:textId="77777777" w:rsidTr="00E9649C">
        <w:trPr>
          <w:trHeight w:val="301"/>
        </w:trPr>
        <w:tc>
          <w:tcPr>
            <w:tcW w:w="2592" w:type="pct"/>
          </w:tcPr>
          <w:p w14:paraId="7BFE9468" w14:textId="77777777" w:rsidR="00B54D51" w:rsidRPr="00037AD4" w:rsidRDefault="00B54D51" w:rsidP="009C071F">
            <w:pPr>
              <w:rPr>
                <w:rFonts w:asciiTheme="minorHAnsi" w:hAnsiTheme="minorHAnsi" w:cstheme="minorHAnsi"/>
              </w:rPr>
            </w:pPr>
            <w:r w:rsidRPr="00037AD4">
              <w:rPr>
                <w:rFonts w:asciiTheme="minorHAnsi" w:hAnsiTheme="minorHAnsi" w:cstheme="minorHAnsi"/>
              </w:rPr>
              <w:t>Psychological well-being</w:t>
            </w:r>
          </w:p>
        </w:tc>
        <w:tc>
          <w:tcPr>
            <w:tcW w:w="2408" w:type="pct"/>
          </w:tcPr>
          <w:p w14:paraId="70906239" w14:textId="77777777" w:rsidR="00B54D51" w:rsidRPr="00037AD4" w:rsidRDefault="00B54D51" w:rsidP="009C071F">
            <w:pPr>
              <w:rPr>
                <w:rFonts w:asciiTheme="minorHAnsi" w:hAnsiTheme="minorHAnsi" w:cstheme="minorHAnsi"/>
              </w:rPr>
            </w:pPr>
            <w:r w:rsidRPr="00037AD4">
              <w:rPr>
                <w:rFonts w:asciiTheme="minorHAnsi" w:hAnsiTheme="minorHAnsi" w:cstheme="minorHAnsi"/>
              </w:rPr>
              <w:t>Anxiety/depression</w:t>
            </w:r>
          </w:p>
        </w:tc>
      </w:tr>
      <w:tr w:rsidR="00B54D51" w:rsidRPr="00037AD4" w14:paraId="42944DFC" w14:textId="77777777" w:rsidTr="00E9649C">
        <w:trPr>
          <w:trHeight w:val="246"/>
        </w:trPr>
        <w:tc>
          <w:tcPr>
            <w:tcW w:w="2592" w:type="pct"/>
          </w:tcPr>
          <w:p w14:paraId="3AE29FA7" w14:textId="77777777" w:rsidR="00B54D51" w:rsidRPr="00037AD4" w:rsidRDefault="00B54D51" w:rsidP="009C071F">
            <w:pPr>
              <w:rPr>
                <w:rFonts w:asciiTheme="minorHAnsi" w:hAnsiTheme="minorHAnsi" w:cstheme="minorHAnsi"/>
              </w:rPr>
            </w:pPr>
            <w:r w:rsidRPr="00037AD4">
              <w:rPr>
                <w:rFonts w:asciiTheme="minorHAnsi" w:hAnsiTheme="minorHAnsi" w:cstheme="minorHAnsi"/>
              </w:rPr>
              <w:t xml:space="preserve">Objective environment </w:t>
            </w:r>
          </w:p>
        </w:tc>
        <w:tc>
          <w:tcPr>
            <w:tcW w:w="2408" w:type="pct"/>
          </w:tcPr>
          <w:p w14:paraId="23139DAA" w14:textId="77777777" w:rsidR="00B54D51" w:rsidRPr="00037AD4" w:rsidRDefault="00B54D51" w:rsidP="009C071F">
            <w:pPr>
              <w:rPr>
                <w:rFonts w:asciiTheme="minorHAnsi" w:hAnsiTheme="minorHAnsi" w:cstheme="minorHAnsi"/>
              </w:rPr>
            </w:pPr>
            <w:r w:rsidRPr="00037AD4">
              <w:rPr>
                <w:rFonts w:asciiTheme="minorHAnsi" w:hAnsiTheme="minorHAnsi" w:cstheme="minorHAnsi"/>
              </w:rPr>
              <w:t>Usual activities</w:t>
            </w:r>
          </w:p>
        </w:tc>
      </w:tr>
      <w:tr w:rsidR="00B54D51" w:rsidRPr="00037AD4" w14:paraId="06647B0E" w14:textId="77777777" w:rsidTr="00E9649C">
        <w:trPr>
          <w:trHeight w:val="260"/>
        </w:trPr>
        <w:tc>
          <w:tcPr>
            <w:tcW w:w="2592" w:type="pct"/>
          </w:tcPr>
          <w:p w14:paraId="4E80A479" w14:textId="77777777" w:rsidR="00B54D51" w:rsidRPr="00037AD4" w:rsidRDefault="00B54D51" w:rsidP="009C071F">
            <w:pPr>
              <w:rPr>
                <w:rFonts w:asciiTheme="minorHAnsi" w:hAnsiTheme="minorHAnsi" w:cstheme="minorHAnsi"/>
              </w:rPr>
            </w:pPr>
            <w:r w:rsidRPr="00037AD4">
              <w:rPr>
                <w:rFonts w:asciiTheme="minorHAnsi" w:hAnsiTheme="minorHAnsi" w:cstheme="minorHAnsi"/>
              </w:rPr>
              <w:t xml:space="preserve">Perceived QoL </w:t>
            </w:r>
          </w:p>
        </w:tc>
        <w:tc>
          <w:tcPr>
            <w:tcW w:w="2408" w:type="pct"/>
          </w:tcPr>
          <w:p w14:paraId="38328D53" w14:textId="1526E48A" w:rsidR="00B54D51" w:rsidRPr="00037AD4" w:rsidRDefault="00B54D51" w:rsidP="009C071F">
            <w:pPr>
              <w:rPr>
                <w:rFonts w:asciiTheme="minorHAnsi" w:hAnsiTheme="minorHAnsi" w:cstheme="minorHAnsi"/>
              </w:rPr>
            </w:pPr>
            <w:r w:rsidRPr="00037AD4">
              <w:rPr>
                <w:rFonts w:asciiTheme="minorHAnsi" w:hAnsiTheme="minorHAnsi" w:cstheme="minorHAnsi"/>
              </w:rPr>
              <w:t xml:space="preserve">VAS, </w:t>
            </w:r>
            <w:r w:rsidR="00170665">
              <w:rPr>
                <w:rFonts w:asciiTheme="minorHAnsi" w:hAnsiTheme="minorHAnsi" w:cstheme="minorHAnsi"/>
              </w:rPr>
              <w:t>Index score</w:t>
            </w:r>
          </w:p>
        </w:tc>
      </w:tr>
      <w:tr w:rsidR="00B54D51" w:rsidRPr="00037AD4" w14:paraId="7E3B0510" w14:textId="77777777" w:rsidTr="00E9649C">
        <w:trPr>
          <w:trHeight w:val="246"/>
        </w:trPr>
        <w:tc>
          <w:tcPr>
            <w:tcW w:w="2592" w:type="pct"/>
          </w:tcPr>
          <w:p w14:paraId="57D169A7" w14:textId="77777777" w:rsidR="00B54D51" w:rsidRPr="00037AD4" w:rsidRDefault="00B54D51" w:rsidP="009C071F">
            <w:pPr>
              <w:rPr>
                <w:rFonts w:asciiTheme="minorHAnsi" w:hAnsiTheme="minorHAnsi" w:cstheme="minorHAnsi"/>
              </w:rPr>
            </w:pPr>
            <w:r w:rsidRPr="00037AD4">
              <w:rPr>
                <w:rFonts w:asciiTheme="minorHAnsi" w:hAnsiTheme="minorHAnsi" w:cstheme="minorHAnsi"/>
              </w:rPr>
              <w:t>Positive emotion</w:t>
            </w:r>
          </w:p>
        </w:tc>
        <w:tc>
          <w:tcPr>
            <w:tcW w:w="2408" w:type="pct"/>
          </w:tcPr>
          <w:p w14:paraId="17CF13E5" w14:textId="77777777" w:rsidR="00B54D51" w:rsidRPr="00037AD4" w:rsidRDefault="00B54D51" w:rsidP="009C071F">
            <w:pPr>
              <w:rPr>
                <w:rFonts w:asciiTheme="minorHAnsi" w:hAnsiTheme="minorHAnsi" w:cstheme="minorHAnsi"/>
              </w:rPr>
            </w:pPr>
            <w:r w:rsidRPr="00037AD4">
              <w:rPr>
                <w:rFonts w:asciiTheme="minorHAnsi" w:hAnsiTheme="minorHAnsi" w:cstheme="minorHAnsi"/>
              </w:rPr>
              <w:t>Anxiety/depression (absence of)</w:t>
            </w:r>
          </w:p>
        </w:tc>
      </w:tr>
      <w:tr w:rsidR="00B54D51" w:rsidRPr="00037AD4" w14:paraId="7573828C" w14:textId="77777777" w:rsidTr="00E9649C">
        <w:trPr>
          <w:trHeight w:val="260"/>
        </w:trPr>
        <w:tc>
          <w:tcPr>
            <w:tcW w:w="2592" w:type="pct"/>
          </w:tcPr>
          <w:p w14:paraId="393E44F4" w14:textId="77777777" w:rsidR="00B54D51" w:rsidRPr="00037AD4" w:rsidRDefault="00B54D51" w:rsidP="009C071F">
            <w:pPr>
              <w:rPr>
                <w:rFonts w:asciiTheme="minorHAnsi" w:hAnsiTheme="minorHAnsi" w:cstheme="minorHAnsi"/>
              </w:rPr>
            </w:pPr>
            <w:r w:rsidRPr="00037AD4">
              <w:rPr>
                <w:rFonts w:asciiTheme="minorHAnsi" w:hAnsiTheme="minorHAnsi" w:cstheme="minorHAnsi"/>
              </w:rPr>
              <w:t xml:space="preserve">Negative emotion </w:t>
            </w:r>
          </w:p>
        </w:tc>
        <w:tc>
          <w:tcPr>
            <w:tcW w:w="2408" w:type="pct"/>
          </w:tcPr>
          <w:p w14:paraId="24E80E26" w14:textId="77777777" w:rsidR="00B54D51" w:rsidRPr="00037AD4" w:rsidRDefault="00B54D51" w:rsidP="009C071F">
            <w:pPr>
              <w:rPr>
                <w:rFonts w:asciiTheme="minorHAnsi" w:hAnsiTheme="minorHAnsi" w:cstheme="minorHAnsi"/>
              </w:rPr>
            </w:pPr>
            <w:r w:rsidRPr="00037AD4">
              <w:rPr>
                <w:rFonts w:asciiTheme="minorHAnsi" w:hAnsiTheme="minorHAnsi" w:cstheme="minorHAnsi"/>
              </w:rPr>
              <w:t>Anxiety/depression (presence of)</w:t>
            </w:r>
          </w:p>
        </w:tc>
      </w:tr>
      <w:tr w:rsidR="00B54D51" w:rsidRPr="00037AD4" w14:paraId="160427A0" w14:textId="77777777" w:rsidTr="00E9649C">
        <w:trPr>
          <w:trHeight w:val="246"/>
        </w:trPr>
        <w:tc>
          <w:tcPr>
            <w:tcW w:w="2592" w:type="pct"/>
          </w:tcPr>
          <w:p w14:paraId="6B641E48" w14:textId="77777777" w:rsidR="00B54D51" w:rsidRPr="00037AD4" w:rsidRDefault="00B54D51" w:rsidP="009C071F">
            <w:pPr>
              <w:rPr>
                <w:rFonts w:asciiTheme="minorHAnsi" w:hAnsiTheme="minorHAnsi" w:cstheme="minorHAnsi"/>
              </w:rPr>
            </w:pPr>
            <w:r w:rsidRPr="00037AD4">
              <w:rPr>
                <w:rFonts w:asciiTheme="minorHAnsi" w:hAnsiTheme="minorHAnsi" w:cstheme="minorHAnsi"/>
              </w:rPr>
              <w:t xml:space="preserve">Pleasant event </w:t>
            </w:r>
          </w:p>
        </w:tc>
        <w:tc>
          <w:tcPr>
            <w:tcW w:w="2408" w:type="pct"/>
          </w:tcPr>
          <w:p w14:paraId="7AEA9FDF" w14:textId="77777777" w:rsidR="00B54D51" w:rsidRPr="00037AD4" w:rsidRDefault="00B54D51" w:rsidP="009C071F">
            <w:pPr>
              <w:rPr>
                <w:rFonts w:asciiTheme="minorHAnsi" w:hAnsiTheme="minorHAnsi" w:cstheme="minorHAnsi"/>
              </w:rPr>
            </w:pPr>
            <w:r w:rsidRPr="00037AD4">
              <w:rPr>
                <w:rFonts w:asciiTheme="minorHAnsi" w:hAnsiTheme="minorHAnsi" w:cstheme="minorHAnsi"/>
              </w:rPr>
              <w:t xml:space="preserve">Usual activities </w:t>
            </w:r>
          </w:p>
        </w:tc>
      </w:tr>
      <w:tr w:rsidR="00B54D51" w:rsidRPr="00037AD4" w14:paraId="7FBCF2B8" w14:textId="77777777" w:rsidTr="00E9649C">
        <w:trPr>
          <w:trHeight w:val="260"/>
        </w:trPr>
        <w:tc>
          <w:tcPr>
            <w:tcW w:w="2592" w:type="pct"/>
          </w:tcPr>
          <w:p w14:paraId="3870D11C" w14:textId="77777777" w:rsidR="00B54D51" w:rsidRPr="00037AD4" w:rsidRDefault="00B54D51" w:rsidP="009C071F">
            <w:pPr>
              <w:rPr>
                <w:rFonts w:asciiTheme="minorHAnsi" w:hAnsiTheme="minorHAnsi" w:cstheme="minorHAnsi"/>
              </w:rPr>
            </w:pPr>
            <w:r w:rsidRPr="00037AD4">
              <w:rPr>
                <w:rFonts w:asciiTheme="minorHAnsi" w:hAnsiTheme="minorHAnsi" w:cstheme="minorHAnsi"/>
              </w:rPr>
              <w:t xml:space="preserve">Positive affect </w:t>
            </w:r>
          </w:p>
        </w:tc>
        <w:tc>
          <w:tcPr>
            <w:tcW w:w="2408" w:type="pct"/>
          </w:tcPr>
          <w:p w14:paraId="5B12EA8C" w14:textId="77777777" w:rsidR="00B54D51" w:rsidRPr="00037AD4" w:rsidRDefault="00B54D51" w:rsidP="009C071F">
            <w:pPr>
              <w:rPr>
                <w:rFonts w:asciiTheme="minorHAnsi" w:hAnsiTheme="minorHAnsi" w:cstheme="minorHAnsi"/>
              </w:rPr>
            </w:pPr>
            <w:r w:rsidRPr="00037AD4">
              <w:rPr>
                <w:rFonts w:asciiTheme="minorHAnsi" w:hAnsiTheme="minorHAnsi" w:cstheme="minorHAnsi"/>
              </w:rPr>
              <w:t>Anxiety/depression (absence of)</w:t>
            </w:r>
          </w:p>
        </w:tc>
      </w:tr>
      <w:tr w:rsidR="00B54D51" w:rsidRPr="00037AD4" w14:paraId="079F70EF" w14:textId="77777777" w:rsidTr="003C4720">
        <w:trPr>
          <w:trHeight w:val="91"/>
        </w:trPr>
        <w:tc>
          <w:tcPr>
            <w:tcW w:w="2592" w:type="pct"/>
          </w:tcPr>
          <w:p w14:paraId="0EB87256" w14:textId="77777777" w:rsidR="00B54D51" w:rsidRPr="00037AD4" w:rsidRDefault="00B54D51" w:rsidP="009C071F">
            <w:pPr>
              <w:rPr>
                <w:rFonts w:asciiTheme="minorHAnsi" w:hAnsiTheme="minorHAnsi" w:cstheme="minorHAnsi"/>
              </w:rPr>
            </w:pPr>
            <w:r w:rsidRPr="00037AD4">
              <w:rPr>
                <w:rFonts w:asciiTheme="minorHAnsi" w:hAnsiTheme="minorHAnsi" w:cstheme="minorHAnsi"/>
              </w:rPr>
              <w:t xml:space="preserve">Restless tense behaviour </w:t>
            </w:r>
          </w:p>
        </w:tc>
        <w:tc>
          <w:tcPr>
            <w:tcW w:w="2408" w:type="pct"/>
          </w:tcPr>
          <w:p w14:paraId="5506F986" w14:textId="7C64A1BE" w:rsidR="00B54D51" w:rsidRPr="00037AD4" w:rsidRDefault="00170665" w:rsidP="009C071F">
            <w:pPr>
              <w:rPr>
                <w:rFonts w:asciiTheme="minorHAnsi" w:hAnsiTheme="minorHAnsi" w:cstheme="minorHAnsi"/>
              </w:rPr>
            </w:pPr>
            <w:r>
              <w:rPr>
                <w:rFonts w:asciiTheme="minorHAnsi" w:hAnsiTheme="minorHAnsi" w:cstheme="minorHAnsi"/>
              </w:rPr>
              <w:t>A</w:t>
            </w:r>
            <w:r w:rsidR="00B54D51" w:rsidRPr="00037AD4">
              <w:rPr>
                <w:rFonts w:asciiTheme="minorHAnsi" w:hAnsiTheme="minorHAnsi" w:cstheme="minorHAnsi"/>
              </w:rPr>
              <w:t>nxiety/ depression</w:t>
            </w:r>
          </w:p>
        </w:tc>
      </w:tr>
      <w:tr w:rsidR="00B54D51" w:rsidRPr="00037AD4" w14:paraId="192195C6" w14:textId="77777777" w:rsidTr="00E9649C">
        <w:trPr>
          <w:trHeight w:val="246"/>
        </w:trPr>
        <w:tc>
          <w:tcPr>
            <w:tcW w:w="2592" w:type="pct"/>
          </w:tcPr>
          <w:p w14:paraId="4815A868" w14:textId="77777777" w:rsidR="00B54D51" w:rsidRPr="00037AD4" w:rsidRDefault="00B54D51" w:rsidP="009C071F">
            <w:pPr>
              <w:rPr>
                <w:rFonts w:asciiTheme="minorHAnsi" w:hAnsiTheme="minorHAnsi" w:cstheme="minorHAnsi"/>
              </w:rPr>
            </w:pPr>
            <w:r w:rsidRPr="00037AD4">
              <w:rPr>
                <w:rFonts w:asciiTheme="minorHAnsi" w:hAnsiTheme="minorHAnsi" w:cstheme="minorHAnsi"/>
              </w:rPr>
              <w:t>Care relationship</w:t>
            </w:r>
          </w:p>
        </w:tc>
        <w:tc>
          <w:tcPr>
            <w:tcW w:w="2408" w:type="pct"/>
          </w:tcPr>
          <w:p w14:paraId="01EA6B43" w14:textId="52AF2FBA" w:rsidR="00B54D51" w:rsidRPr="00037AD4" w:rsidRDefault="00170665" w:rsidP="009C071F">
            <w:pPr>
              <w:rPr>
                <w:rFonts w:asciiTheme="minorHAnsi" w:hAnsiTheme="minorHAnsi" w:cstheme="minorHAnsi"/>
              </w:rPr>
            </w:pPr>
            <w:r>
              <w:rPr>
                <w:rFonts w:asciiTheme="minorHAnsi" w:hAnsiTheme="minorHAnsi" w:cstheme="minorHAnsi"/>
              </w:rPr>
              <w:t>N/A</w:t>
            </w:r>
            <w:r w:rsidR="00B54D51" w:rsidRPr="00037AD4">
              <w:rPr>
                <w:rFonts w:asciiTheme="minorHAnsi" w:hAnsiTheme="minorHAnsi" w:cstheme="minorHAnsi"/>
              </w:rPr>
              <w:t xml:space="preserve"> </w:t>
            </w:r>
          </w:p>
        </w:tc>
      </w:tr>
      <w:tr w:rsidR="00B54D51" w:rsidRPr="00037AD4" w14:paraId="700898EB" w14:textId="77777777" w:rsidTr="00E9649C">
        <w:trPr>
          <w:trHeight w:val="260"/>
        </w:trPr>
        <w:tc>
          <w:tcPr>
            <w:tcW w:w="2592" w:type="pct"/>
          </w:tcPr>
          <w:p w14:paraId="387B9BC2" w14:textId="77777777" w:rsidR="00B54D51" w:rsidRPr="00037AD4" w:rsidRDefault="00B54D51" w:rsidP="009C071F">
            <w:pPr>
              <w:rPr>
                <w:rFonts w:asciiTheme="minorHAnsi" w:hAnsiTheme="minorHAnsi" w:cstheme="minorHAnsi"/>
              </w:rPr>
            </w:pPr>
            <w:r w:rsidRPr="00037AD4">
              <w:rPr>
                <w:rFonts w:asciiTheme="minorHAnsi" w:hAnsiTheme="minorHAnsi" w:cstheme="minorHAnsi"/>
              </w:rPr>
              <w:t xml:space="preserve">Negative affect </w:t>
            </w:r>
          </w:p>
        </w:tc>
        <w:tc>
          <w:tcPr>
            <w:tcW w:w="2408" w:type="pct"/>
          </w:tcPr>
          <w:p w14:paraId="79132F40" w14:textId="77777777" w:rsidR="00B54D51" w:rsidRPr="00037AD4" w:rsidRDefault="00B54D51" w:rsidP="009C071F">
            <w:pPr>
              <w:rPr>
                <w:rFonts w:asciiTheme="minorHAnsi" w:hAnsiTheme="minorHAnsi" w:cstheme="minorHAnsi"/>
              </w:rPr>
            </w:pPr>
            <w:r w:rsidRPr="00037AD4">
              <w:rPr>
                <w:rFonts w:asciiTheme="minorHAnsi" w:hAnsiTheme="minorHAnsi" w:cstheme="minorHAnsi"/>
              </w:rPr>
              <w:t>Anxiety/depression (presence of)</w:t>
            </w:r>
          </w:p>
        </w:tc>
      </w:tr>
      <w:tr w:rsidR="00B54D51" w:rsidRPr="00037AD4" w14:paraId="23A72A2F" w14:textId="77777777" w:rsidTr="00E9649C">
        <w:trPr>
          <w:trHeight w:val="260"/>
        </w:trPr>
        <w:tc>
          <w:tcPr>
            <w:tcW w:w="2592" w:type="pct"/>
          </w:tcPr>
          <w:p w14:paraId="14DF5427" w14:textId="77777777" w:rsidR="00B54D51" w:rsidRPr="00037AD4" w:rsidRDefault="00B54D51" w:rsidP="009C071F">
            <w:pPr>
              <w:rPr>
                <w:rFonts w:asciiTheme="minorHAnsi" w:hAnsiTheme="minorHAnsi" w:cstheme="minorHAnsi"/>
              </w:rPr>
            </w:pPr>
            <w:r w:rsidRPr="00037AD4">
              <w:rPr>
                <w:rFonts w:asciiTheme="minorHAnsi" w:hAnsiTheme="minorHAnsi" w:cstheme="minorHAnsi"/>
              </w:rPr>
              <w:t xml:space="preserve">Social isolation </w:t>
            </w:r>
          </w:p>
        </w:tc>
        <w:tc>
          <w:tcPr>
            <w:tcW w:w="2408" w:type="pct"/>
          </w:tcPr>
          <w:p w14:paraId="56AC1B7B" w14:textId="77777777" w:rsidR="00B54D51" w:rsidRPr="00037AD4" w:rsidRDefault="00B54D51" w:rsidP="009C071F">
            <w:pPr>
              <w:rPr>
                <w:rFonts w:asciiTheme="minorHAnsi" w:hAnsiTheme="minorHAnsi" w:cstheme="minorHAnsi"/>
              </w:rPr>
            </w:pPr>
            <w:r w:rsidRPr="00037AD4">
              <w:rPr>
                <w:rFonts w:asciiTheme="minorHAnsi" w:hAnsiTheme="minorHAnsi" w:cstheme="minorHAnsi"/>
              </w:rPr>
              <w:t>Anxiety/depression</w:t>
            </w:r>
          </w:p>
        </w:tc>
      </w:tr>
      <w:tr w:rsidR="00B54D51" w:rsidRPr="00037AD4" w14:paraId="737D63B4" w14:textId="77777777" w:rsidTr="00E9649C">
        <w:trPr>
          <w:trHeight w:val="246"/>
        </w:trPr>
        <w:tc>
          <w:tcPr>
            <w:tcW w:w="2592" w:type="pct"/>
          </w:tcPr>
          <w:p w14:paraId="5F0A0126" w14:textId="77777777" w:rsidR="00B54D51" w:rsidRPr="00037AD4" w:rsidRDefault="00B54D51" w:rsidP="009C071F">
            <w:pPr>
              <w:rPr>
                <w:rFonts w:asciiTheme="minorHAnsi" w:hAnsiTheme="minorHAnsi" w:cstheme="minorHAnsi"/>
              </w:rPr>
            </w:pPr>
            <w:r w:rsidRPr="00037AD4">
              <w:rPr>
                <w:rFonts w:asciiTheme="minorHAnsi" w:hAnsiTheme="minorHAnsi" w:cstheme="minorHAnsi"/>
              </w:rPr>
              <w:t xml:space="preserve">Feeling at home </w:t>
            </w:r>
          </w:p>
        </w:tc>
        <w:tc>
          <w:tcPr>
            <w:tcW w:w="2408" w:type="pct"/>
          </w:tcPr>
          <w:p w14:paraId="1DDAF1DD" w14:textId="7B9690A6" w:rsidR="00B54D51" w:rsidRPr="00037AD4" w:rsidRDefault="00170665" w:rsidP="009C071F">
            <w:pPr>
              <w:rPr>
                <w:rFonts w:asciiTheme="minorHAnsi" w:hAnsiTheme="minorHAnsi" w:cstheme="minorHAnsi"/>
              </w:rPr>
            </w:pPr>
            <w:r>
              <w:rPr>
                <w:rFonts w:asciiTheme="minorHAnsi" w:hAnsiTheme="minorHAnsi" w:cstheme="minorHAnsi"/>
              </w:rPr>
              <w:t>N/A</w:t>
            </w:r>
          </w:p>
        </w:tc>
      </w:tr>
      <w:tr w:rsidR="00B54D51" w:rsidRPr="00037AD4" w14:paraId="220E1ACB" w14:textId="77777777" w:rsidTr="00E9649C">
        <w:trPr>
          <w:trHeight w:val="63"/>
        </w:trPr>
        <w:tc>
          <w:tcPr>
            <w:tcW w:w="2592" w:type="pct"/>
          </w:tcPr>
          <w:p w14:paraId="2C66E7FA" w14:textId="77777777" w:rsidR="00B54D51" w:rsidRPr="00037AD4" w:rsidRDefault="00B54D51" w:rsidP="009C071F">
            <w:pPr>
              <w:rPr>
                <w:rFonts w:asciiTheme="minorHAnsi" w:hAnsiTheme="minorHAnsi" w:cstheme="minorHAnsi"/>
              </w:rPr>
            </w:pPr>
            <w:r w:rsidRPr="00037AD4">
              <w:rPr>
                <w:rFonts w:asciiTheme="minorHAnsi" w:hAnsiTheme="minorHAnsi" w:cstheme="minorHAnsi"/>
              </w:rPr>
              <w:t>Having something to do</w:t>
            </w:r>
          </w:p>
        </w:tc>
        <w:tc>
          <w:tcPr>
            <w:tcW w:w="2408" w:type="pct"/>
          </w:tcPr>
          <w:p w14:paraId="02DE37C4" w14:textId="77777777" w:rsidR="00B54D51" w:rsidRPr="00037AD4" w:rsidRDefault="00B54D51" w:rsidP="009C071F">
            <w:pPr>
              <w:rPr>
                <w:rFonts w:asciiTheme="minorHAnsi" w:hAnsiTheme="minorHAnsi" w:cstheme="minorHAnsi"/>
              </w:rPr>
            </w:pPr>
            <w:r w:rsidRPr="00037AD4">
              <w:rPr>
                <w:rFonts w:asciiTheme="minorHAnsi" w:hAnsiTheme="minorHAnsi" w:cstheme="minorHAnsi"/>
              </w:rPr>
              <w:t>Usual activities</w:t>
            </w:r>
          </w:p>
        </w:tc>
      </w:tr>
      <w:tr w:rsidR="00B54D51" w:rsidRPr="00037AD4" w14:paraId="2E2ABBC8" w14:textId="77777777" w:rsidTr="009A35C3">
        <w:trPr>
          <w:trHeight w:val="246"/>
        </w:trPr>
        <w:tc>
          <w:tcPr>
            <w:tcW w:w="2592" w:type="pct"/>
            <w:tcBorders>
              <w:bottom w:val="single" w:sz="4" w:space="0" w:color="auto"/>
            </w:tcBorders>
          </w:tcPr>
          <w:p w14:paraId="1226A742" w14:textId="77777777" w:rsidR="00B54D51" w:rsidRPr="00037AD4" w:rsidRDefault="00B54D51" w:rsidP="009C071F">
            <w:pPr>
              <w:rPr>
                <w:rFonts w:asciiTheme="minorHAnsi" w:hAnsiTheme="minorHAnsi" w:cstheme="minorHAnsi"/>
              </w:rPr>
            </w:pPr>
            <w:r w:rsidRPr="00037AD4">
              <w:rPr>
                <w:rFonts w:asciiTheme="minorHAnsi" w:hAnsiTheme="minorHAnsi" w:cstheme="minorHAnsi"/>
              </w:rPr>
              <w:t xml:space="preserve">Positive self-image </w:t>
            </w:r>
          </w:p>
        </w:tc>
        <w:tc>
          <w:tcPr>
            <w:tcW w:w="2408" w:type="pct"/>
            <w:tcBorders>
              <w:bottom w:val="single" w:sz="4" w:space="0" w:color="auto"/>
            </w:tcBorders>
          </w:tcPr>
          <w:p w14:paraId="6FEB3A5C" w14:textId="37A9E88F" w:rsidR="00B54D51" w:rsidRPr="00037AD4" w:rsidRDefault="00B54D51" w:rsidP="009C071F">
            <w:pPr>
              <w:rPr>
                <w:rFonts w:asciiTheme="minorHAnsi" w:hAnsiTheme="minorHAnsi" w:cstheme="minorHAnsi"/>
              </w:rPr>
            </w:pPr>
            <w:r w:rsidRPr="00037AD4">
              <w:rPr>
                <w:rFonts w:asciiTheme="minorHAnsi" w:hAnsiTheme="minorHAnsi" w:cstheme="minorHAnsi"/>
              </w:rPr>
              <w:t>VAS, Self-care</w:t>
            </w:r>
          </w:p>
        </w:tc>
      </w:tr>
      <w:tr w:rsidR="00B54D51" w:rsidRPr="00037AD4" w14:paraId="232011B6" w14:textId="77777777" w:rsidTr="00F1043A">
        <w:trPr>
          <w:trHeight w:val="246"/>
        </w:trPr>
        <w:tc>
          <w:tcPr>
            <w:tcW w:w="5000" w:type="pct"/>
            <w:gridSpan w:val="2"/>
            <w:tcBorders>
              <w:bottom w:val="single" w:sz="4" w:space="0" w:color="auto"/>
            </w:tcBorders>
          </w:tcPr>
          <w:p w14:paraId="3872B1E9" w14:textId="77777777" w:rsidR="00B54D51" w:rsidRPr="00322CFC" w:rsidRDefault="00B54D51" w:rsidP="009C071F">
            <w:pPr>
              <w:rPr>
                <w:rFonts w:asciiTheme="minorHAnsi" w:hAnsiTheme="minorHAnsi" w:cstheme="minorHAnsi"/>
                <w:sz w:val="22"/>
                <w:szCs w:val="22"/>
              </w:rPr>
            </w:pPr>
            <w:r w:rsidRPr="00322CFC">
              <w:rPr>
                <w:rFonts w:asciiTheme="minorHAnsi" w:hAnsiTheme="minorHAnsi" w:cstheme="minorHAnsi"/>
                <w:sz w:val="22"/>
                <w:szCs w:val="22"/>
              </w:rPr>
              <w:t>VAS, visual analogue scale</w:t>
            </w:r>
          </w:p>
        </w:tc>
      </w:tr>
      <w:tr w:rsidR="00B54D51" w:rsidRPr="00037AD4" w14:paraId="594210E7" w14:textId="77777777" w:rsidTr="009A35C3">
        <w:trPr>
          <w:trHeight w:val="246"/>
        </w:trPr>
        <w:tc>
          <w:tcPr>
            <w:tcW w:w="5000" w:type="pct"/>
            <w:gridSpan w:val="2"/>
            <w:tcBorders>
              <w:left w:val="nil"/>
              <w:bottom w:val="nil"/>
              <w:right w:val="nil"/>
            </w:tcBorders>
          </w:tcPr>
          <w:p w14:paraId="20543355" w14:textId="77777777" w:rsidR="00B54D51" w:rsidRPr="00037AD4" w:rsidRDefault="00B54D51" w:rsidP="009C071F">
            <w:pPr>
              <w:rPr>
                <w:rFonts w:asciiTheme="minorHAnsi" w:hAnsiTheme="minorHAnsi" w:cstheme="minorHAnsi"/>
              </w:rPr>
            </w:pPr>
            <w:r w:rsidRPr="00037AD4">
              <w:rPr>
                <w:rFonts w:asciiTheme="minorHAnsi" w:hAnsiTheme="minorHAnsi" w:cstheme="minorHAnsi"/>
                <w:sz w:val="22"/>
                <w:szCs w:val="22"/>
              </w:rPr>
              <w:t xml:space="preserve">*association is unclear, but theorised for the purpose of this task </w:t>
            </w:r>
          </w:p>
        </w:tc>
      </w:tr>
    </w:tbl>
    <w:p w14:paraId="568F63A1" w14:textId="77777777" w:rsidR="00B54D51" w:rsidRPr="00037AD4" w:rsidRDefault="00B54D51" w:rsidP="0083259F">
      <w:pPr>
        <w:rPr>
          <w:rFonts w:asciiTheme="minorHAnsi" w:hAnsiTheme="minorHAnsi" w:cstheme="minorHAnsi"/>
        </w:rPr>
      </w:pPr>
    </w:p>
    <w:p w14:paraId="55EDFF0A" w14:textId="51A98CF9" w:rsidR="00B54D51" w:rsidRPr="00037AD4" w:rsidRDefault="00B54D51" w:rsidP="003C2406">
      <w:pPr>
        <w:rPr>
          <w:rFonts w:asciiTheme="minorHAnsi" w:hAnsiTheme="minorHAnsi" w:cstheme="minorHAnsi"/>
        </w:rPr>
      </w:pPr>
      <w:r w:rsidRPr="00037AD4">
        <w:rPr>
          <w:rFonts w:asciiTheme="minorHAnsi" w:hAnsiTheme="minorHAnsi" w:cstheme="minorHAnsi"/>
        </w:rPr>
        <w:t xml:space="preserve">The objective here was not to hypothesise correlations between domain categories, but rather to identify conceptual overlap in measurement. </w:t>
      </w:r>
      <w:r w:rsidR="00170665" w:rsidRPr="00170665">
        <w:rPr>
          <w:rFonts w:asciiTheme="minorHAnsi" w:hAnsiTheme="minorHAnsi" w:cstheme="minorHAnsi"/>
        </w:rPr>
        <w:t xml:space="preserve">This evaluation indicates that the EQ-5D has the potential to capture most of the overarching dementia-specific quality of life domains found in the cited instruments. However, </w:t>
      </w:r>
      <w:r w:rsidR="00170665">
        <w:rPr>
          <w:rFonts w:asciiTheme="minorHAnsi" w:hAnsiTheme="minorHAnsi" w:cstheme="minorHAnsi"/>
        </w:rPr>
        <w:t>there is a noted</w:t>
      </w:r>
      <w:r w:rsidR="00170665" w:rsidRPr="00170665">
        <w:rPr>
          <w:rFonts w:asciiTheme="minorHAnsi" w:hAnsiTheme="minorHAnsi" w:cstheme="minorHAnsi"/>
        </w:rPr>
        <w:t xml:space="preserve"> lack</w:t>
      </w:r>
      <w:r w:rsidR="00170665">
        <w:rPr>
          <w:rFonts w:asciiTheme="minorHAnsi" w:hAnsiTheme="minorHAnsi" w:cstheme="minorHAnsi"/>
        </w:rPr>
        <w:t xml:space="preserve"> of</w:t>
      </w:r>
      <w:r w:rsidR="00170665" w:rsidRPr="00170665">
        <w:rPr>
          <w:rFonts w:asciiTheme="minorHAnsi" w:hAnsiTheme="minorHAnsi" w:cstheme="minorHAnsi"/>
        </w:rPr>
        <w:t xml:space="preserve"> corresponding dimensions for the dementia-specific domains of "cognitive functioning"</w:t>
      </w:r>
      <w:r w:rsidR="00170665">
        <w:rPr>
          <w:rFonts w:asciiTheme="minorHAnsi" w:hAnsiTheme="minorHAnsi" w:cstheme="minorHAnsi"/>
        </w:rPr>
        <w:t>,</w:t>
      </w:r>
      <w:r w:rsidR="00170665" w:rsidRPr="00170665">
        <w:rPr>
          <w:rFonts w:asciiTheme="minorHAnsi" w:hAnsiTheme="minorHAnsi" w:cstheme="minorHAnsi"/>
        </w:rPr>
        <w:t xml:space="preserve"> "care relationship"</w:t>
      </w:r>
      <w:r w:rsidR="00170665">
        <w:rPr>
          <w:rFonts w:asciiTheme="minorHAnsi" w:hAnsiTheme="minorHAnsi" w:cstheme="minorHAnsi"/>
        </w:rPr>
        <w:t>,</w:t>
      </w:r>
      <w:r w:rsidR="00170665" w:rsidRPr="00170665">
        <w:rPr>
          <w:rFonts w:asciiTheme="minorHAnsi" w:hAnsiTheme="minorHAnsi" w:cstheme="minorHAnsi"/>
        </w:rPr>
        <w:t xml:space="preserve"> and "feeling at home"</w:t>
      </w:r>
      <w:r w:rsidR="00170665">
        <w:rPr>
          <w:rFonts w:asciiTheme="minorHAnsi" w:hAnsiTheme="minorHAnsi" w:cstheme="minorHAnsi"/>
        </w:rPr>
        <w:t>. I</w:t>
      </w:r>
      <w:r w:rsidRPr="00037AD4">
        <w:rPr>
          <w:rFonts w:asciiTheme="minorHAnsi" w:hAnsiTheme="minorHAnsi" w:cstheme="minorHAnsi"/>
        </w:rPr>
        <w:t xml:space="preserve">n certain instances, a direct equivalence was observed, such as between negative emotion and “anxiety/ depression”. The absence and presence of positive/negative emotions/affects has been applied in this task, acknowledging that these concepts are not strictly interchangeable; however, for the purposes of this exercise, they were deemed equivalent. Additionally, while not strictly a dimension, in some cases the EQ-VAS presented as the most comparable feature and was therefore included for the purposes of this task. Despite the generic nature of EQ-5D, it becomes evident that it has the potential to capture most of the key overarching domains identified in the dementia-specific instruments within its own dimension categories. </w:t>
      </w:r>
    </w:p>
    <w:p w14:paraId="265DFD86" w14:textId="77777777" w:rsidR="00B54D51" w:rsidRDefault="00B54D51" w:rsidP="003C2406">
      <w:pPr>
        <w:rPr>
          <w:rFonts w:asciiTheme="minorHAnsi" w:hAnsiTheme="minorHAnsi" w:cstheme="minorHAnsi"/>
          <w:sz w:val="26"/>
          <w:szCs w:val="26"/>
        </w:rPr>
      </w:pPr>
    </w:p>
    <w:p w14:paraId="4AFC0469" w14:textId="77777777" w:rsidR="00F23BDF" w:rsidRPr="00037AD4" w:rsidRDefault="00F23BDF" w:rsidP="003C2406">
      <w:pPr>
        <w:rPr>
          <w:rFonts w:asciiTheme="minorHAnsi" w:hAnsiTheme="minorHAnsi" w:cstheme="minorHAnsi"/>
          <w:sz w:val="26"/>
          <w:szCs w:val="26"/>
        </w:rPr>
      </w:pPr>
    </w:p>
    <w:p w14:paraId="7ED3BDD1" w14:textId="77777777" w:rsidR="00B54D51" w:rsidRPr="00037AD4" w:rsidRDefault="00B54D51" w:rsidP="007A43F9">
      <w:pPr>
        <w:pStyle w:val="Heading3"/>
      </w:pPr>
      <w:bookmarkStart w:id="262" w:name="_Toc175742286"/>
      <w:r w:rsidRPr="00037AD4">
        <w:lastRenderedPageBreak/>
        <w:t xml:space="preserve">3.5.4 Content validity versus feasibility of </w:t>
      </w:r>
      <w:r w:rsidRPr="00037AD4">
        <w:rPr>
          <w:color w:val="000000" w:themeColor="text1"/>
        </w:rPr>
        <w:t xml:space="preserve">health-related quality of life </w:t>
      </w:r>
      <w:r w:rsidRPr="00037AD4">
        <w:t>measures in dementia populations</w:t>
      </w:r>
      <w:bookmarkEnd w:id="262"/>
      <w:r w:rsidRPr="00037AD4">
        <w:t xml:space="preserve"> </w:t>
      </w:r>
    </w:p>
    <w:p w14:paraId="1C25E759" w14:textId="77777777" w:rsidR="00B54D51" w:rsidRPr="00037AD4" w:rsidRDefault="00B54D51" w:rsidP="003C2406">
      <w:pPr>
        <w:rPr>
          <w:rFonts w:asciiTheme="minorHAnsi" w:hAnsiTheme="minorHAnsi" w:cstheme="minorHAnsi"/>
          <w:b/>
          <w:bCs/>
          <w:sz w:val="26"/>
          <w:szCs w:val="26"/>
          <w:u w:val="single"/>
        </w:rPr>
      </w:pPr>
    </w:p>
    <w:p w14:paraId="752914E0" w14:textId="77777777" w:rsidR="00B54D51" w:rsidRPr="00037AD4" w:rsidRDefault="00B54D51" w:rsidP="003C2406">
      <w:pPr>
        <w:rPr>
          <w:rFonts w:asciiTheme="minorHAnsi" w:hAnsiTheme="minorHAnsi" w:cstheme="minorHAnsi"/>
        </w:rPr>
      </w:pPr>
      <w:r w:rsidRPr="00037AD4">
        <w:rPr>
          <w:rFonts w:asciiTheme="minorHAnsi" w:hAnsiTheme="minorHAnsi" w:cstheme="minorHAnsi"/>
          <w:i/>
          <w:iCs/>
        </w:rPr>
        <w:t>Content validity</w:t>
      </w:r>
      <w:r w:rsidRPr="00037AD4">
        <w:rPr>
          <w:rFonts w:asciiTheme="minorHAnsi" w:hAnsiTheme="minorHAnsi" w:cstheme="minorHAnsi"/>
        </w:rPr>
        <w:t xml:space="preserve"> describes the psychometric property that examines the extent to which an instrument measures what it proposes to measure, and the relevance of an instrument’s items to its target respondents. This property can be verified by referring to the methods used to develop and test questionnaire items </w:t>
      </w:r>
      <w:r>
        <w:rPr>
          <w:rFonts w:asciiTheme="minorHAnsi" w:hAnsiTheme="minorHAnsi" w:cstheme="minorHAnsi"/>
          <w:noProof/>
        </w:rPr>
        <w:t>(Silberfeld et al., 2002)</w:t>
      </w:r>
      <w:r w:rsidRPr="00037AD4">
        <w:rPr>
          <w:rFonts w:asciiTheme="minorHAnsi" w:hAnsiTheme="minorHAnsi" w:cstheme="minorHAnsi"/>
        </w:rPr>
        <w:t xml:space="preserve">. </w:t>
      </w:r>
    </w:p>
    <w:p w14:paraId="4412C385" w14:textId="77777777" w:rsidR="00B54D51" w:rsidRPr="00037AD4" w:rsidRDefault="00B54D51" w:rsidP="003C2406">
      <w:pPr>
        <w:rPr>
          <w:rFonts w:asciiTheme="minorHAnsi" w:hAnsiTheme="minorHAnsi" w:cstheme="minorHAnsi"/>
        </w:rPr>
      </w:pPr>
      <w:r w:rsidRPr="00037AD4">
        <w:rPr>
          <w:rFonts w:asciiTheme="minorHAnsi" w:hAnsiTheme="minorHAnsi" w:cstheme="minorHAnsi"/>
        </w:rPr>
        <w:br/>
        <w:t xml:space="preserve">There is typically a trade-off between content validity and the practicality of an instrument, determined by its feasibility and acceptability. These properties can be demonstrated by the time it takes to complete a measure, and comprehension of questions </w:t>
      </w:r>
      <w:r>
        <w:rPr>
          <w:rFonts w:asciiTheme="minorHAnsi" w:hAnsiTheme="minorHAnsi" w:cstheme="minorHAnsi"/>
          <w:noProof/>
        </w:rPr>
        <w:t>(Brazier and Deverill, 1999)</w:t>
      </w:r>
      <w:r w:rsidRPr="00037AD4">
        <w:rPr>
          <w:rFonts w:asciiTheme="minorHAnsi" w:hAnsiTheme="minorHAnsi" w:cstheme="minorHAnsi"/>
        </w:rPr>
        <w:t>. The lack of these psychometric properties can have detrimental impacts on data quality, presenting as large proportions of missing data. When considering measures in dementia populations, the burden of extensive questioning can be especially challenging due to cognitive issues such as concentration and judgement.</w:t>
      </w:r>
    </w:p>
    <w:p w14:paraId="1EE39FC2" w14:textId="77777777" w:rsidR="00B54D51" w:rsidRPr="00037AD4" w:rsidRDefault="00B54D51" w:rsidP="003C2406">
      <w:pPr>
        <w:rPr>
          <w:rFonts w:asciiTheme="minorHAnsi" w:hAnsiTheme="minorHAnsi" w:cstheme="minorHAnsi"/>
        </w:rPr>
      </w:pPr>
    </w:p>
    <w:p w14:paraId="1D74922C" w14:textId="77777777" w:rsidR="00B54D51" w:rsidRPr="00037AD4" w:rsidRDefault="00B54D51" w:rsidP="00857515">
      <w:pPr>
        <w:rPr>
          <w:rFonts w:asciiTheme="minorHAnsi" w:hAnsiTheme="minorHAnsi" w:cstheme="minorHAnsi"/>
        </w:rPr>
      </w:pPr>
      <w:r w:rsidRPr="00037AD4">
        <w:rPr>
          <w:rFonts w:asciiTheme="minorHAnsi" w:hAnsiTheme="minorHAnsi" w:cstheme="minorHAnsi"/>
        </w:rPr>
        <w:t xml:space="preserve">Previously conducted systematic reviews were identified to understand this balance, summaries of which are provided in </w:t>
      </w:r>
      <w:hyperlink w:anchor="A32" w:history="1">
        <w:r w:rsidRPr="00B54D51">
          <w:rPr>
            <w:rStyle w:val="Hyperlink"/>
            <w:rFonts w:asciiTheme="minorHAnsi" w:hAnsiTheme="minorHAnsi" w:cstheme="minorHAnsi"/>
            <w:color w:val="000000" w:themeColor="text1"/>
            <w:u w:val="none"/>
          </w:rPr>
          <w:t>Appendix 3.2</w:t>
        </w:r>
      </w:hyperlink>
      <w:r w:rsidRPr="00B54D51">
        <w:rPr>
          <w:rFonts w:asciiTheme="minorHAnsi" w:hAnsiTheme="minorHAnsi" w:cstheme="minorHAnsi"/>
          <w:color w:val="000000" w:themeColor="text1"/>
        </w:rPr>
        <w:t>.</w:t>
      </w:r>
      <w:r w:rsidRPr="00037AD4">
        <w:rPr>
          <w:rFonts w:asciiTheme="minorHAnsi" w:hAnsiTheme="minorHAnsi" w:cstheme="minorHAnsi"/>
          <w:color w:val="000000" w:themeColor="text1"/>
        </w:rPr>
        <w:t xml:space="preserve"> From </w:t>
      </w:r>
      <w:r w:rsidRPr="00037AD4">
        <w:rPr>
          <w:rFonts w:asciiTheme="minorHAnsi" w:hAnsiTheme="minorHAnsi" w:cstheme="minorHAnsi"/>
        </w:rPr>
        <w:t xml:space="preserve">this information it was concluded that when considering HRQoL for use in dementia economic evaluations, the trade-off between content validity and feasibility is inevitable. Using an instrument with many items that covers multiple QoL domains may appear advantageous to avoid neglecting any areas, however this volume of questions can over-burden the respondent, resulting in poor quality data. </w:t>
      </w:r>
    </w:p>
    <w:p w14:paraId="1C185A68" w14:textId="77777777" w:rsidR="00B54D51" w:rsidRPr="00037AD4" w:rsidRDefault="00B54D51" w:rsidP="00857515">
      <w:pPr>
        <w:rPr>
          <w:rFonts w:asciiTheme="minorHAnsi" w:hAnsiTheme="minorHAnsi" w:cstheme="minorHAnsi"/>
        </w:rPr>
      </w:pPr>
    </w:p>
    <w:p w14:paraId="6D511900" w14:textId="40C5604F" w:rsidR="00B54D51" w:rsidRPr="00037AD4" w:rsidRDefault="00B54D51" w:rsidP="00857515">
      <w:pPr>
        <w:rPr>
          <w:rFonts w:asciiTheme="minorHAnsi" w:hAnsiTheme="minorHAnsi" w:cstheme="minorHAnsi"/>
        </w:rPr>
      </w:pPr>
      <w:r w:rsidRPr="00037AD4">
        <w:rPr>
          <w:rFonts w:asciiTheme="minorHAnsi" w:hAnsiTheme="minorHAnsi" w:cstheme="minorHAnsi"/>
        </w:rPr>
        <w:t xml:space="preserve">Another important trade-off to consider is the decision between using dementia specific or generic HRQoL measures. This choice involves balancing sensitivity to the clinical context, as reflected in dementia-specific measures, against the advantages of generalisability and comparability, which are achievable only with the use of generic measures. While this is a consideration across all disease areas, the literature highlights that there were already 15 different dementia specific HRQoL instruments before 2011 </w:t>
      </w:r>
      <w:r>
        <w:rPr>
          <w:rFonts w:asciiTheme="minorHAnsi" w:hAnsiTheme="minorHAnsi" w:cstheme="minorHAnsi"/>
          <w:noProof/>
        </w:rPr>
        <w:t>(Perales et al., 2013)</w:t>
      </w:r>
      <w:r w:rsidRPr="00037AD4">
        <w:rPr>
          <w:rFonts w:asciiTheme="minorHAnsi" w:hAnsiTheme="minorHAnsi" w:cstheme="minorHAnsi"/>
        </w:rPr>
        <w:t xml:space="preserve">. This highlights the lack of consensus in conceptualising HRQoL for dementia and shows that there is no current “gold standard” for measuring and quantifying HRQoL in dementia, a point that is echoed within the wider literature </w:t>
      </w:r>
      <w:r>
        <w:rPr>
          <w:rFonts w:asciiTheme="minorHAnsi" w:hAnsiTheme="minorHAnsi" w:cstheme="minorHAnsi"/>
          <w:noProof/>
        </w:rPr>
        <w:t>(Perales et al., 2013</w:t>
      </w:r>
      <w:r w:rsidR="002A4B43">
        <w:rPr>
          <w:rFonts w:asciiTheme="minorHAnsi" w:hAnsiTheme="minorHAnsi" w:cstheme="minorHAnsi"/>
          <w:noProof/>
        </w:rPr>
        <w:t xml:space="preserve">, </w:t>
      </w:r>
      <w:r>
        <w:rPr>
          <w:rFonts w:asciiTheme="minorHAnsi" w:hAnsiTheme="minorHAnsi" w:cstheme="minorHAnsi"/>
          <w:noProof/>
        </w:rPr>
        <w:t>Gräske et al., 2014, Edelman et al., 2005)</w:t>
      </w:r>
      <w:r w:rsidRPr="00037AD4">
        <w:rPr>
          <w:rFonts w:asciiTheme="minorHAnsi" w:hAnsiTheme="minorHAnsi" w:cstheme="minorHAnsi"/>
        </w:rPr>
        <w:t xml:space="preserve">. </w:t>
      </w:r>
    </w:p>
    <w:p w14:paraId="5B39114E" w14:textId="77777777" w:rsidR="00B54D51" w:rsidRPr="00037AD4" w:rsidRDefault="00B54D51" w:rsidP="00857515">
      <w:pPr>
        <w:rPr>
          <w:rFonts w:asciiTheme="minorHAnsi" w:hAnsiTheme="minorHAnsi" w:cstheme="minorHAnsi"/>
        </w:rPr>
      </w:pPr>
    </w:p>
    <w:p w14:paraId="3759C45D" w14:textId="77777777" w:rsidR="00B54D51" w:rsidRPr="00037AD4" w:rsidRDefault="00B54D51" w:rsidP="003C2406">
      <w:pPr>
        <w:rPr>
          <w:rFonts w:asciiTheme="minorHAnsi" w:hAnsiTheme="minorHAnsi" w:cstheme="minorHAnsi"/>
        </w:rPr>
      </w:pPr>
      <w:r w:rsidRPr="00037AD4">
        <w:rPr>
          <w:rFonts w:asciiTheme="minorHAnsi" w:hAnsiTheme="minorHAnsi" w:cstheme="minorHAnsi"/>
        </w:rPr>
        <w:t xml:space="preserve">In light of this, the prior research endorsing EQ-5D’s suitability for use in dementia populations, coupled with NICE guidelines advocating for EQ-5D utility scores to enable cross-comparison between intervention and disease areas </w:t>
      </w:r>
      <w:r>
        <w:rPr>
          <w:rFonts w:asciiTheme="minorHAnsi" w:hAnsiTheme="minorHAnsi" w:cstheme="minorHAnsi"/>
          <w:noProof/>
        </w:rPr>
        <w:t>(NICE, 2013)</w:t>
      </w:r>
      <w:r w:rsidRPr="00037AD4">
        <w:rPr>
          <w:rFonts w:asciiTheme="minorHAnsi" w:hAnsiTheme="minorHAnsi" w:cstheme="minorHAnsi"/>
        </w:rPr>
        <w:t>, provides substantial support for prioritising EQ-5D in this thesis.</w:t>
      </w:r>
    </w:p>
    <w:p w14:paraId="09CEF443" w14:textId="77777777" w:rsidR="00B54D51" w:rsidRPr="00037AD4" w:rsidRDefault="00B54D51" w:rsidP="003C2406">
      <w:pPr>
        <w:rPr>
          <w:rFonts w:asciiTheme="minorHAnsi" w:hAnsiTheme="minorHAnsi" w:cstheme="minorHAnsi"/>
        </w:rPr>
      </w:pPr>
    </w:p>
    <w:p w14:paraId="637D64F6" w14:textId="77777777" w:rsidR="00B54D51" w:rsidRPr="00037AD4" w:rsidRDefault="00B54D51" w:rsidP="007A43F9">
      <w:pPr>
        <w:pStyle w:val="Heading2"/>
      </w:pPr>
      <w:bookmarkStart w:id="263" w:name="_Toc79582139"/>
      <w:bookmarkStart w:id="264" w:name="_Toc79839767"/>
      <w:bookmarkStart w:id="265" w:name="_Toc80257841"/>
      <w:bookmarkStart w:id="266" w:name="_Toc80969282"/>
      <w:bookmarkStart w:id="267" w:name="_Toc80969363"/>
      <w:bookmarkStart w:id="268" w:name="_Toc80969443"/>
      <w:bookmarkStart w:id="269" w:name="_Toc82180050"/>
      <w:bookmarkStart w:id="270" w:name="_Toc175742287"/>
      <w:r w:rsidRPr="00037AD4">
        <w:t xml:space="preserve">3.6 </w:t>
      </w:r>
      <w:bookmarkEnd w:id="263"/>
      <w:bookmarkEnd w:id="264"/>
      <w:bookmarkEnd w:id="265"/>
      <w:bookmarkEnd w:id="266"/>
      <w:bookmarkEnd w:id="267"/>
      <w:bookmarkEnd w:id="268"/>
      <w:bookmarkEnd w:id="269"/>
      <w:r w:rsidRPr="00037AD4">
        <w:t>Dementia symptoms measures</w:t>
      </w:r>
      <w:bookmarkEnd w:id="270"/>
      <w:r w:rsidRPr="00037AD4">
        <w:t xml:space="preserve"> </w:t>
      </w:r>
    </w:p>
    <w:p w14:paraId="5C971B2A" w14:textId="77777777" w:rsidR="00B54D51" w:rsidRPr="00037AD4" w:rsidRDefault="00B54D51" w:rsidP="007C4A7B">
      <w:pPr>
        <w:pStyle w:val="EndNoteBibliography"/>
        <w:rPr>
          <w:rFonts w:asciiTheme="minorHAnsi" w:hAnsiTheme="minorHAnsi" w:cstheme="minorHAnsi"/>
          <w:b/>
          <w:bCs/>
          <w:u w:val="single"/>
          <w:lang w:val="en-GB"/>
        </w:rPr>
      </w:pPr>
    </w:p>
    <w:p w14:paraId="2BFA0662" w14:textId="4F13DA46" w:rsidR="00B54D51" w:rsidRPr="00037AD4" w:rsidRDefault="00B54D51" w:rsidP="007C4A7B">
      <w:pPr>
        <w:pStyle w:val="EndNoteBibliography"/>
        <w:rPr>
          <w:rFonts w:asciiTheme="minorHAnsi" w:hAnsiTheme="minorHAnsi" w:cstheme="minorHAnsi"/>
          <w:lang w:val="en-GB"/>
        </w:rPr>
      </w:pPr>
      <w:r w:rsidRPr="00037AD4">
        <w:rPr>
          <w:rFonts w:asciiTheme="minorHAnsi" w:hAnsiTheme="minorHAnsi" w:cstheme="minorHAnsi"/>
          <w:lang w:val="en-GB"/>
        </w:rPr>
        <w:t>Measures of dementia symptoms are considered core for collection in dementia trials and studies, including cognition, function and broadly behaviour/mood</w:t>
      </w:r>
      <w:r w:rsidRPr="00037AD4">
        <w:rPr>
          <w:rFonts w:asciiTheme="minorHAnsi" w:hAnsiTheme="minorHAnsi" w:cstheme="minorHAnsi"/>
          <w:i/>
          <w:iCs/>
          <w:lang w:val="en-GB"/>
        </w:rPr>
        <w:t>.</w:t>
      </w:r>
      <w:r w:rsidRPr="00037AD4">
        <w:rPr>
          <w:rFonts w:asciiTheme="minorHAnsi" w:hAnsiTheme="minorHAnsi" w:cstheme="minorHAnsi"/>
          <w:lang w:val="en-GB"/>
        </w:rPr>
        <w:t xml:space="preserve"> These symptoms areas are well established clinical features in dementia, each contributing to the progression of the condition </w:t>
      </w:r>
      <w:r>
        <w:rPr>
          <w:rFonts w:asciiTheme="minorHAnsi" w:hAnsiTheme="minorHAnsi" w:cstheme="minorHAnsi"/>
          <w:noProof/>
          <w:lang w:val="en-GB"/>
        </w:rPr>
        <w:t>(Jutkowitz et al., 2017</w:t>
      </w:r>
      <w:r w:rsidR="002A4B43">
        <w:rPr>
          <w:rFonts w:asciiTheme="minorHAnsi" w:hAnsiTheme="minorHAnsi" w:cstheme="minorHAnsi"/>
          <w:noProof/>
          <w:lang w:val="en-GB"/>
        </w:rPr>
        <w:t xml:space="preserve">, </w:t>
      </w:r>
      <w:r>
        <w:rPr>
          <w:rFonts w:asciiTheme="minorHAnsi" w:hAnsiTheme="minorHAnsi" w:cstheme="minorHAnsi"/>
          <w:noProof/>
          <w:lang w:val="en-GB"/>
        </w:rPr>
        <w:t>Green and Zhang, 2016)</w:t>
      </w:r>
      <w:r w:rsidRPr="00037AD4">
        <w:rPr>
          <w:rFonts w:asciiTheme="minorHAnsi" w:hAnsiTheme="minorHAnsi" w:cstheme="minorHAnsi"/>
          <w:lang w:val="en-GB"/>
        </w:rPr>
        <w:t xml:space="preserve">. There are frequently used </w:t>
      </w:r>
      <w:r w:rsidRPr="00037AD4">
        <w:rPr>
          <w:rFonts w:asciiTheme="minorHAnsi" w:hAnsiTheme="minorHAnsi" w:cstheme="minorHAnsi"/>
          <w:lang w:val="en-GB"/>
        </w:rPr>
        <w:lastRenderedPageBreak/>
        <w:t xml:space="preserve">instruments for measuring these symptom domains, some of which are designed specifically for use in dementia populations.  </w:t>
      </w:r>
    </w:p>
    <w:p w14:paraId="31D39533" w14:textId="77777777" w:rsidR="00B54D51" w:rsidRPr="00037AD4" w:rsidRDefault="00B54D51" w:rsidP="007C4A7B">
      <w:pPr>
        <w:pStyle w:val="EndNoteBibliography"/>
        <w:rPr>
          <w:rFonts w:asciiTheme="minorHAnsi" w:hAnsiTheme="minorHAnsi" w:cstheme="minorHAnsi"/>
          <w:lang w:val="en-GB"/>
        </w:rPr>
      </w:pPr>
    </w:p>
    <w:p w14:paraId="1D0F96D4" w14:textId="77777777" w:rsidR="00B54D51" w:rsidRPr="00B54D51" w:rsidRDefault="00B54D51" w:rsidP="007C4A7B">
      <w:pPr>
        <w:pStyle w:val="EndNoteBibliography"/>
        <w:rPr>
          <w:rFonts w:asciiTheme="minorHAnsi" w:hAnsiTheme="minorHAnsi" w:cstheme="minorHAnsi"/>
          <w:color w:val="000000" w:themeColor="text1"/>
          <w:lang w:val="en-GB"/>
        </w:rPr>
      </w:pPr>
      <w:r w:rsidRPr="00037AD4">
        <w:rPr>
          <w:rFonts w:asciiTheme="minorHAnsi" w:hAnsiTheme="minorHAnsi" w:cstheme="minorHAnsi"/>
          <w:lang w:val="en-GB"/>
        </w:rPr>
        <w:t>Due to the complex, multi-faceted nature of dementia symptoms, their impact can significantly influence the QoL of people with dementia</w:t>
      </w:r>
      <w:r w:rsidRPr="00037AD4">
        <w:rPr>
          <w:rFonts w:asciiTheme="minorHAnsi" w:eastAsia="Times New Roman" w:hAnsiTheme="minorHAnsi" w:cstheme="minorHAnsi"/>
          <w:color w:val="374151"/>
          <w:lang w:val="en-GB" w:eastAsia="en-GB"/>
        </w:rPr>
        <w:t xml:space="preserve">. </w:t>
      </w:r>
      <w:r w:rsidRPr="00037AD4">
        <w:rPr>
          <w:rFonts w:asciiTheme="minorHAnsi" w:hAnsiTheme="minorHAnsi" w:cstheme="minorHAnsi"/>
          <w:lang w:val="en-GB"/>
        </w:rPr>
        <w:t xml:space="preserve">HRQoL instruments intended for this population should adequately capture these aspects. To investigate the potential of EQ-5D to concurrently detecting the impact of key dementia symptoms (cognition, function, and behaviour/mood), it was imperative to comprehend the instruments used to assess these outcomes. This section aims to present a summary of the core measures for dementia symptoms </w:t>
      </w:r>
      <w:r w:rsidRPr="00037AD4">
        <w:rPr>
          <w:rFonts w:asciiTheme="minorHAnsi" w:hAnsiTheme="minorHAnsi" w:cstheme="minorHAnsi"/>
          <w:color w:val="000000" w:themeColor="text1"/>
          <w:lang w:val="en-GB"/>
        </w:rPr>
        <w:t xml:space="preserve">listed in </w:t>
      </w:r>
      <w:hyperlink w:anchor="Table3" w:history="1">
        <w:r w:rsidRPr="00B54D51">
          <w:rPr>
            <w:rStyle w:val="Hyperlink"/>
            <w:rFonts w:asciiTheme="minorHAnsi" w:hAnsiTheme="minorHAnsi" w:cstheme="minorHAnsi"/>
            <w:color w:val="000000" w:themeColor="text1"/>
            <w:u w:val="none"/>
            <w:lang w:val="en-GB"/>
          </w:rPr>
          <w:t>Table 3.</w:t>
        </w:r>
      </w:hyperlink>
    </w:p>
    <w:p w14:paraId="7A19F98F" w14:textId="77777777" w:rsidR="00B54D51" w:rsidRPr="00037AD4" w:rsidRDefault="00B54D51" w:rsidP="007C4A7B">
      <w:pPr>
        <w:pStyle w:val="EndNoteBibliography"/>
        <w:rPr>
          <w:rFonts w:asciiTheme="minorHAnsi" w:hAnsiTheme="minorHAnsi" w:cstheme="minorHAnsi"/>
          <w:lang w:val="en-GB"/>
        </w:rPr>
      </w:pPr>
    </w:p>
    <w:p w14:paraId="5187EC24" w14:textId="77777777" w:rsidR="00B54D51" w:rsidRPr="00037AD4" w:rsidRDefault="00B54D51" w:rsidP="007A43F9">
      <w:pPr>
        <w:pStyle w:val="Heading3"/>
      </w:pPr>
      <w:bookmarkStart w:id="271" w:name="_Toc79582140"/>
      <w:bookmarkStart w:id="272" w:name="_Toc79839768"/>
      <w:bookmarkStart w:id="273" w:name="_Toc80257842"/>
      <w:bookmarkStart w:id="274" w:name="_Toc80969283"/>
      <w:bookmarkStart w:id="275" w:name="_Toc80969364"/>
      <w:bookmarkStart w:id="276" w:name="_Toc80969444"/>
      <w:bookmarkStart w:id="277" w:name="_Toc82180051"/>
      <w:bookmarkStart w:id="278" w:name="_Toc175742288"/>
      <w:r w:rsidRPr="00037AD4">
        <w:t>3.6.1 Cognition</w:t>
      </w:r>
      <w:bookmarkEnd w:id="271"/>
      <w:bookmarkEnd w:id="272"/>
      <w:bookmarkEnd w:id="273"/>
      <w:bookmarkEnd w:id="274"/>
      <w:bookmarkEnd w:id="275"/>
      <w:bookmarkEnd w:id="276"/>
      <w:bookmarkEnd w:id="277"/>
      <w:bookmarkEnd w:id="278"/>
    </w:p>
    <w:p w14:paraId="667B1165" w14:textId="77777777" w:rsidR="00B54D51" w:rsidRPr="00037AD4" w:rsidRDefault="00B54D51" w:rsidP="007C4A7B">
      <w:pPr>
        <w:pStyle w:val="EndNoteBibliography"/>
        <w:rPr>
          <w:rFonts w:asciiTheme="minorHAnsi" w:hAnsiTheme="minorHAnsi" w:cstheme="minorHAnsi"/>
          <w:lang w:val="en-GB"/>
        </w:rPr>
      </w:pPr>
    </w:p>
    <w:p w14:paraId="1A57343F" w14:textId="77777777" w:rsidR="00B54D51" w:rsidRPr="00037AD4" w:rsidRDefault="00B54D51" w:rsidP="007C4A7B">
      <w:pPr>
        <w:pStyle w:val="EndNoteBibliography"/>
        <w:rPr>
          <w:rFonts w:asciiTheme="minorHAnsi" w:hAnsiTheme="minorHAnsi" w:cstheme="minorHAnsi"/>
          <w:color w:val="000000" w:themeColor="text1"/>
          <w:lang w:val="en-GB"/>
        </w:rPr>
      </w:pPr>
      <w:r w:rsidRPr="00037AD4">
        <w:rPr>
          <w:rFonts w:asciiTheme="minorHAnsi" w:hAnsiTheme="minorHAnsi" w:cstheme="minorHAnsi"/>
          <w:color w:val="000000" w:themeColor="text1"/>
          <w:lang w:val="en-GB"/>
        </w:rPr>
        <w:t>The core cognition instruments were: MMSE, MoCA, ADAS-Cog and SIB. Table 6 summarises the key features of these four cognition tools, all of which have the shared aim of assessing cognitive domains and providing quantitative insights into an individual's cognitive abilities and potential impairments. Two of these measures (ADAS-Cog and SIB) have been designed specifically for use in dementia populations and can be used as assessment tools to monitor and evaluate cognitive function and provide valuable information about the progression of dementia over time.</w:t>
      </w:r>
    </w:p>
    <w:p w14:paraId="1E7C2596" w14:textId="77777777" w:rsidR="00B54D51" w:rsidRPr="00037AD4" w:rsidRDefault="00B54D51" w:rsidP="007C4A7B">
      <w:pPr>
        <w:pStyle w:val="EndNoteBibliography"/>
        <w:rPr>
          <w:rFonts w:asciiTheme="minorHAnsi" w:hAnsiTheme="minorHAnsi" w:cstheme="minorHAnsi"/>
          <w:lang w:val="en-GB"/>
        </w:rPr>
      </w:pPr>
    </w:p>
    <w:p w14:paraId="1BBAB706" w14:textId="77777777" w:rsidR="00B54D51" w:rsidRPr="00037AD4" w:rsidRDefault="00B54D51" w:rsidP="007C4A7B">
      <w:pPr>
        <w:pStyle w:val="EndNoteBibliography"/>
        <w:rPr>
          <w:rFonts w:asciiTheme="minorHAnsi" w:hAnsiTheme="minorHAnsi" w:cstheme="minorHAnsi"/>
          <w:b/>
          <w:bCs/>
          <w:i/>
          <w:iCs/>
          <w:lang w:val="en-GB"/>
        </w:rPr>
      </w:pPr>
      <w:r w:rsidRPr="00037AD4">
        <w:rPr>
          <w:rFonts w:asciiTheme="minorHAnsi" w:hAnsiTheme="minorHAnsi" w:cstheme="minorHAnsi"/>
          <w:b/>
          <w:bCs/>
          <w:i/>
          <w:iCs/>
          <w:lang w:val="en-GB"/>
        </w:rPr>
        <w:t xml:space="preserve">Table 6, Summary of cognition instruments </w:t>
      </w:r>
    </w:p>
    <w:p w14:paraId="650C1840" w14:textId="77777777" w:rsidR="00B54D51" w:rsidRPr="00037AD4" w:rsidRDefault="00B54D51" w:rsidP="007C4A7B">
      <w:pPr>
        <w:pStyle w:val="EndNoteBibliography"/>
        <w:rPr>
          <w:rFonts w:asciiTheme="minorHAnsi" w:hAnsiTheme="minorHAnsi" w:cstheme="minorHAnsi"/>
          <w:b/>
          <w:bCs/>
          <w:u w:val="single"/>
          <w:lang w:val="en-GB"/>
        </w:rPr>
      </w:pPr>
    </w:p>
    <w:tbl>
      <w:tblPr>
        <w:tblStyle w:val="TableGrid"/>
        <w:tblW w:w="10179" w:type="dxa"/>
        <w:tblLook w:val="04A0" w:firstRow="1" w:lastRow="0" w:firstColumn="1" w:lastColumn="0" w:noHBand="0" w:noVBand="1"/>
      </w:tblPr>
      <w:tblGrid>
        <w:gridCol w:w="1100"/>
        <w:gridCol w:w="1218"/>
        <w:gridCol w:w="1695"/>
        <w:gridCol w:w="1425"/>
        <w:gridCol w:w="1034"/>
        <w:gridCol w:w="1610"/>
        <w:gridCol w:w="2097"/>
      </w:tblGrid>
      <w:tr w:rsidR="00B54D51" w:rsidRPr="00037AD4" w14:paraId="43E49860" w14:textId="77777777" w:rsidTr="00C434ED">
        <w:trPr>
          <w:trHeight w:val="694"/>
        </w:trPr>
        <w:tc>
          <w:tcPr>
            <w:tcW w:w="1116" w:type="dxa"/>
          </w:tcPr>
          <w:p w14:paraId="1C0B3C7F" w14:textId="77777777" w:rsidR="00B54D51" w:rsidRPr="00037AD4" w:rsidRDefault="00B54D51" w:rsidP="007C4A7B">
            <w:pPr>
              <w:pStyle w:val="EndNoteBibliography"/>
              <w:rPr>
                <w:rFonts w:asciiTheme="minorHAnsi" w:hAnsiTheme="minorHAnsi" w:cstheme="minorHAnsi"/>
                <w:b/>
                <w:bCs/>
                <w:color w:val="000000" w:themeColor="text1"/>
                <w:lang w:val="en-GB"/>
              </w:rPr>
            </w:pPr>
            <w:r w:rsidRPr="00037AD4">
              <w:rPr>
                <w:rFonts w:asciiTheme="minorHAnsi" w:hAnsiTheme="minorHAnsi" w:cstheme="minorHAnsi"/>
                <w:b/>
                <w:bCs/>
                <w:color w:val="000000" w:themeColor="text1"/>
                <w:lang w:val="en-GB"/>
              </w:rPr>
              <w:t>Name</w:t>
            </w:r>
          </w:p>
        </w:tc>
        <w:tc>
          <w:tcPr>
            <w:tcW w:w="1135" w:type="dxa"/>
          </w:tcPr>
          <w:p w14:paraId="761CA787" w14:textId="77777777" w:rsidR="00B54D51" w:rsidRPr="00037AD4" w:rsidRDefault="00B54D51" w:rsidP="007C4A7B">
            <w:pPr>
              <w:pStyle w:val="EndNoteBibliography"/>
              <w:rPr>
                <w:rFonts w:asciiTheme="minorHAnsi" w:hAnsiTheme="minorHAnsi" w:cstheme="minorHAnsi"/>
                <w:b/>
                <w:bCs/>
                <w:color w:val="000000" w:themeColor="text1"/>
                <w:lang w:val="en-GB"/>
              </w:rPr>
            </w:pPr>
            <w:r w:rsidRPr="00037AD4">
              <w:rPr>
                <w:rFonts w:asciiTheme="minorHAnsi" w:hAnsiTheme="minorHAnsi" w:cstheme="minorHAnsi"/>
                <w:b/>
                <w:bCs/>
                <w:color w:val="000000" w:themeColor="text1"/>
                <w:lang w:val="en-GB"/>
              </w:rPr>
              <w:t>Estimated duration (mins)</w:t>
            </w:r>
          </w:p>
        </w:tc>
        <w:tc>
          <w:tcPr>
            <w:tcW w:w="1717" w:type="dxa"/>
          </w:tcPr>
          <w:p w14:paraId="4453EC9D" w14:textId="77777777" w:rsidR="00B54D51" w:rsidRPr="00037AD4" w:rsidRDefault="00B54D51" w:rsidP="007C4A7B">
            <w:pPr>
              <w:pStyle w:val="EndNoteBibliography"/>
              <w:rPr>
                <w:rFonts w:asciiTheme="minorHAnsi" w:hAnsiTheme="minorHAnsi" w:cstheme="minorHAnsi"/>
                <w:b/>
                <w:bCs/>
                <w:color w:val="000000" w:themeColor="text1"/>
                <w:lang w:val="en-GB"/>
              </w:rPr>
            </w:pPr>
            <w:r w:rsidRPr="00037AD4">
              <w:rPr>
                <w:rFonts w:asciiTheme="minorHAnsi" w:hAnsiTheme="minorHAnsi" w:cstheme="minorHAnsi"/>
                <w:b/>
                <w:bCs/>
                <w:color w:val="000000" w:themeColor="text1"/>
                <w:lang w:val="en-GB"/>
              </w:rPr>
              <w:t>Intended purpose</w:t>
            </w:r>
          </w:p>
        </w:tc>
        <w:tc>
          <w:tcPr>
            <w:tcW w:w="1433" w:type="dxa"/>
          </w:tcPr>
          <w:p w14:paraId="62A92590" w14:textId="77777777" w:rsidR="00B54D51" w:rsidRPr="00037AD4" w:rsidRDefault="00B54D51" w:rsidP="007C4A7B">
            <w:pPr>
              <w:pStyle w:val="EndNoteBibliography"/>
              <w:rPr>
                <w:rFonts w:asciiTheme="minorHAnsi" w:hAnsiTheme="minorHAnsi" w:cstheme="minorHAnsi"/>
                <w:b/>
                <w:bCs/>
                <w:color w:val="000000" w:themeColor="text1"/>
                <w:lang w:val="en-GB"/>
              </w:rPr>
            </w:pPr>
            <w:r w:rsidRPr="00037AD4">
              <w:rPr>
                <w:rFonts w:asciiTheme="minorHAnsi" w:hAnsiTheme="minorHAnsi" w:cstheme="minorHAnsi"/>
                <w:b/>
                <w:bCs/>
                <w:color w:val="000000" w:themeColor="text1"/>
                <w:lang w:val="en-GB"/>
              </w:rPr>
              <w:t>Designed specifically for dementia</w:t>
            </w:r>
          </w:p>
        </w:tc>
        <w:tc>
          <w:tcPr>
            <w:tcW w:w="1022" w:type="dxa"/>
          </w:tcPr>
          <w:p w14:paraId="0E13000C" w14:textId="77777777" w:rsidR="00B54D51" w:rsidRPr="00037AD4" w:rsidRDefault="00B54D51" w:rsidP="007C4A7B">
            <w:pPr>
              <w:pStyle w:val="EndNoteBibliography"/>
              <w:rPr>
                <w:rFonts w:asciiTheme="minorHAnsi" w:hAnsiTheme="minorHAnsi" w:cstheme="minorHAnsi"/>
                <w:b/>
                <w:bCs/>
                <w:lang w:val="en-GB"/>
              </w:rPr>
            </w:pPr>
            <w:r w:rsidRPr="00037AD4">
              <w:rPr>
                <w:rFonts w:asciiTheme="minorHAnsi" w:hAnsiTheme="minorHAnsi" w:cstheme="minorHAnsi"/>
                <w:b/>
                <w:bCs/>
                <w:lang w:val="en-GB"/>
              </w:rPr>
              <w:t>Number of items</w:t>
            </w:r>
          </w:p>
        </w:tc>
        <w:tc>
          <w:tcPr>
            <w:tcW w:w="1610" w:type="dxa"/>
          </w:tcPr>
          <w:p w14:paraId="09F59412" w14:textId="77777777" w:rsidR="00B54D51" w:rsidRPr="00037AD4" w:rsidRDefault="00B54D51" w:rsidP="007C4A7B">
            <w:pPr>
              <w:pStyle w:val="EndNoteBibliography"/>
              <w:rPr>
                <w:rFonts w:asciiTheme="minorHAnsi" w:hAnsiTheme="minorHAnsi" w:cstheme="minorHAnsi"/>
                <w:b/>
                <w:bCs/>
                <w:lang w:val="en-GB"/>
              </w:rPr>
            </w:pPr>
            <w:r w:rsidRPr="00037AD4">
              <w:rPr>
                <w:rFonts w:asciiTheme="minorHAnsi" w:hAnsiTheme="minorHAnsi" w:cstheme="minorHAnsi"/>
                <w:b/>
                <w:bCs/>
                <w:lang w:val="en-GB"/>
              </w:rPr>
              <w:t>Format</w:t>
            </w:r>
          </w:p>
        </w:tc>
        <w:tc>
          <w:tcPr>
            <w:tcW w:w="2146" w:type="dxa"/>
          </w:tcPr>
          <w:p w14:paraId="2D3E237F" w14:textId="77777777" w:rsidR="00B54D51" w:rsidRPr="00037AD4" w:rsidRDefault="00B54D51" w:rsidP="007C4A7B">
            <w:pPr>
              <w:pStyle w:val="EndNoteBibliography"/>
              <w:rPr>
                <w:rFonts w:asciiTheme="minorHAnsi" w:hAnsiTheme="minorHAnsi" w:cstheme="minorHAnsi"/>
                <w:b/>
                <w:bCs/>
                <w:lang w:val="en-GB"/>
              </w:rPr>
            </w:pPr>
            <w:r w:rsidRPr="00037AD4">
              <w:rPr>
                <w:rFonts w:asciiTheme="minorHAnsi" w:hAnsiTheme="minorHAnsi" w:cstheme="minorHAnsi"/>
                <w:b/>
                <w:bCs/>
                <w:lang w:val="en-GB"/>
              </w:rPr>
              <w:t>Scoring</w:t>
            </w:r>
          </w:p>
        </w:tc>
      </w:tr>
      <w:tr w:rsidR="00B54D51" w:rsidRPr="00037AD4" w14:paraId="0B4C1341" w14:textId="77777777" w:rsidTr="00C434ED">
        <w:trPr>
          <w:trHeight w:val="934"/>
        </w:trPr>
        <w:tc>
          <w:tcPr>
            <w:tcW w:w="1116" w:type="dxa"/>
          </w:tcPr>
          <w:p w14:paraId="33B68187" w14:textId="77777777" w:rsidR="00B54D51" w:rsidRPr="00037AD4" w:rsidRDefault="00B54D51" w:rsidP="007C4A7B">
            <w:pPr>
              <w:pStyle w:val="EndNoteBibliography"/>
              <w:rPr>
                <w:rFonts w:asciiTheme="minorHAnsi" w:hAnsiTheme="minorHAnsi" w:cstheme="minorHAnsi"/>
                <w:color w:val="000000" w:themeColor="text1"/>
                <w:lang w:val="en-GB"/>
              </w:rPr>
            </w:pPr>
            <w:r w:rsidRPr="00037AD4">
              <w:rPr>
                <w:rFonts w:asciiTheme="minorHAnsi" w:hAnsiTheme="minorHAnsi" w:cstheme="minorHAnsi"/>
                <w:color w:val="000000" w:themeColor="text1"/>
                <w:lang w:val="en-GB"/>
              </w:rPr>
              <w:t>MMSE</w:t>
            </w:r>
          </w:p>
        </w:tc>
        <w:tc>
          <w:tcPr>
            <w:tcW w:w="1135" w:type="dxa"/>
          </w:tcPr>
          <w:p w14:paraId="7B93EC09" w14:textId="77777777" w:rsidR="00B54D51" w:rsidRPr="00037AD4" w:rsidRDefault="00B54D51" w:rsidP="007C4A7B">
            <w:pPr>
              <w:pStyle w:val="EndNoteBibliography"/>
              <w:rPr>
                <w:rFonts w:asciiTheme="minorHAnsi" w:hAnsiTheme="minorHAnsi" w:cstheme="minorHAnsi"/>
                <w:color w:val="000000" w:themeColor="text1"/>
                <w:lang w:val="en-GB"/>
              </w:rPr>
            </w:pPr>
            <w:r w:rsidRPr="00037AD4">
              <w:rPr>
                <w:rFonts w:asciiTheme="minorHAnsi" w:hAnsiTheme="minorHAnsi" w:cstheme="minorHAnsi"/>
                <w:color w:val="000000" w:themeColor="text1"/>
                <w:lang w:val="en-GB"/>
              </w:rPr>
              <w:t>5 – 10</w:t>
            </w:r>
          </w:p>
        </w:tc>
        <w:tc>
          <w:tcPr>
            <w:tcW w:w="1717" w:type="dxa"/>
          </w:tcPr>
          <w:p w14:paraId="74D306DC" w14:textId="77777777" w:rsidR="00B54D51" w:rsidRPr="00037AD4" w:rsidRDefault="00B54D51" w:rsidP="007C4A7B">
            <w:pPr>
              <w:pStyle w:val="EndNoteBibliography"/>
              <w:rPr>
                <w:rFonts w:asciiTheme="minorHAnsi" w:hAnsiTheme="minorHAnsi" w:cstheme="minorHAnsi"/>
                <w:color w:val="000000" w:themeColor="text1"/>
                <w:lang w:val="en-GB"/>
              </w:rPr>
            </w:pPr>
            <w:r w:rsidRPr="00037AD4">
              <w:rPr>
                <w:rFonts w:asciiTheme="minorHAnsi" w:hAnsiTheme="minorHAnsi" w:cstheme="minorHAnsi"/>
                <w:color w:val="000000" w:themeColor="text1"/>
                <w:lang w:val="en-GB"/>
              </w:rPr>
              <w:t>Dementia diagnosis</w:t>
            </w:r>
          </w:p>
        </w:tc>
        <w:tc>
          <w:tcPr>
            <w:tcW w:w="1433" w:type="dxa"/>
          </w:tcPr>
          <w:p w14:paraId="5EBB0DD9" w14:textId="77777777" w:rsidR="00B54D51" w:rsidRPr="00037AD4" w:rsidRDefault="00B54D51" w:rsidP="007C4A7B">
            <w:pPr>
              <w:pStyle w:val="EndNoteBibliography"/>
              <w:rPr>
                <w:rFonts w:asciiTheme="minorHAnsi" w:hAnsiTheme="minorHAnsi" w:cstheme="minorHAnsi"/>
                <w:color w:val="000000" w:themeColor="text1"/>
                <w:lang w:val="en-GB"/>
              </w:rPr>
            </w:pPr>
          </w:p>
        </w:tc>
        <w:tc>
          <w:tcPr>
            <w:tcW w:w="1022" w:type="dxa"/>
          </w:tcPr>
          <w:p w14:paraId="490F1546" w14:textId="77777777" w:rsidR="00B54D51" w:rsidRPr="00037AD4" w:rsidRDefault="00B54D51" w:rsidP="007C4A7B">
            <w:pPr>
              <w:pStyle w:val="EndNoteBibliography"/>
              <w:rPr>
                <w:rFonts w:asciiTheme="minorHAnsi" w:hAnsiTheme="minorHAnsi" w:cstheme="minorHAnsi"/>
                <w:lang w:val="en-GB"/>
              </w:rPr>
            </w:pPr>
            <w:r w:rsidRPr="00037AD4">
              <w:rPr>
                <w:rFonts w:asciiTheme="minorHAnsi" w:hAnsiTheme="minorHAnsi" w:cstheme="minorHAnsi"/>
                <w:lang w:val="en-GB"/>
              </w:rPr>
              <w:t>30</w:t>
            </w:r>
          </w:p>
        </w:tc>
        <w:tc>
          <w:tcPr>
            <w:tcW w:w="1610" w:type="dxa"/>
          </w:tcPr>
          <w:p w14:paraId="62AFF74B" w14:textId="77777777" w:rsidR="00B54D51" w:rsidRPr="00037AD4" w:rsidRDefault="00B54D51" w:rsidP="007C4A7B">
            <w:pPr>
              <w:pStyle w:val="EndNoteBibliography"/>
              <w:rPr>
                <w:rFonts w:asciiTheme="minorHAnsi" w:hAnsiTheme="minorHAnsi" w:cstheme="minorHAnsi"/>
                <w:lang w:val="en-GB"/>
              </w:rPr>
            </w:pPr>
            <w:r w:rsidRPr="00037AD4">
              <w:rPr>
                <w:rFonts w:asciiTheme="minorHAnsi" w:hAnsiTheme="minorHAnsi" w:cstheme="minorHAnsi"/>
                <w:lang w:val="en-GB"/>
              </w:rPr>
              <w:t>Questionnaire plus drawing task</w:t>
            </w:r>
          </w:p>
        </w:tc>
        <w:tc>
          <w:tcPr>
            <w:tcW w:w="2146" w:type="dxa"/>
          </w:tcPr>
          <w:p w14:paraId="13AEE26C" w14:textId="77777777" w:rsidR="00B54D51" w:rsidRPr="00037AD4" w:rsidRDefault="00B54D51" w:rsidP="007C4A7B">
            <w:pPr>
              <w:pStyle w:val="EndNoteBibliography"/>
              <w:rPr>
                <w:rFonts w:asciiTheme="minorHAnsi" w:hAnsiTheme="minorHAnsi" w:cstheme="minorHAnsi"/>
                <w:lang w:val="en-GB"/>
              </w:rPr>
            </w:pPr>
            <w:r w:rsidRPr="00037AD4">
              <w:rPr>
                <w:rFonts w:asciiTheme="minorHAnsi" w:hAnsiTheme="minorHAnsi" w:cstheme="minorHAnsi"/>
                <w:lang w:val="en-GB"/>
              </w:rPr>
              <w:t>24-30, normal</w:t>
            </w:r>
          </w:p>
          <w:p w14:paraId="37310B79" w14:textId="77777777" w:rsidR="00B54D51" w:rsidRPr="00037AD4" w:rsidRDefault="00B54D51" w:rsidP="007C4A7B">
            <w:pPr>
              <w:pStyle w:val="EndNoteBibliography"/>
              <w:rPr>
                <w:rFonts w:asciiTheme="minorHAnsi" w:hAnsiTheme="minorHAnsi" w:cstheme="minorHAnsi"/>
                <w:lang w:val="en-GB"/>
              </w:rPr>
            </w:pPr>
            <w:r w:rsidRPr="00037AD4">
              <w:rPr>
                <w:rFonts w:asciiTheme="minorHAnsi" w:hAnsiTheme="minorHAnsi" w:cstheme="minorHAnsi"/>
                <w:lang w:val="en-GB"/>
              </w:rPr>
              <w:t>19-23, MCI</w:t>
            </w:r>
          </w:p>
          <w:p w14:paraId="6F91EA4F" w14:textId="77777777" w:rsidR="00B54D51" w:rsidRPr="00037AD4" w:rsidRDefault="00B54D51" w:rsidP="007C4A7B">
            <w:pPr>
              <w:pStyle w:val="EndNoteBibliography"/>
              <w:rPr>
                <w:rFonts w:asciiTheme="minorHAnsi" w:hAnsiTheme="minorHAnsi" w:cstheme="minorHAnsi"/>
                <w:lang w:val="en-GB"/>
              </w:rPr>
            </w:pPr>
            <w:r w:rsidRPr="00037AD4">
              <w:rPr>
                <w:rFonts w:asciiTheme="minorHAnsi" w:hAnsiTheme="minorHAnsi" w:cstheme="minorHAnsi"/>
                <w:lang w:val="en-GB"/>
              </w:rPr>
              <w:t>10-18, moderate</w:t>
            </w:r>
          </w:p>
          <w:p w14:paraId="4BD6D23C" w14:textId="77777777" w:rsidR="00B54D51" w:rsidRPr="00037AD4" w:rsidRDefault="00B54D51" w:rsidP="007C4A7B">
            <w:pPr>
              <w:pStyle w:val="EndNoteBibliography"/>
              <w:rPr>
                <w:rFonts w:asciiTheme="minorHAnsi" w:hAnsiTheme="minorHAnsi" w:cstheme="minorHAnsi"/>
                <w:lang w:val="en-GB"/>
              </w:rPr>
            </w:pPr>
            <w:r w:rsidRPr="00037AD4">
              <w:rPr>
                <w:rFonts w:asciiTheme="minorHAnsi" w:hAnsiTheme="minorHAnsi" w:cstheme="minorHAnsi"/>
                <w:lang w:val="en-GB"/>
              </w:rPr>
              <w:t>&lt;9, severe</w:t>
            </w:r>
          </w:p>
        </w:tc>
      </w:tr>
      <w:tr w:rsidR="00B54D51" w:rsidRPr="00037AD4" w14:paraId="578F422D" w14:textId="77777777" w:rsidTr="00C434ED">
        <w:trPr>
          <w:trHeight w:val="934"/>
        </w:trPr>
        <w:tc>
          <w:tcPr>
            <w:tcW w:w="1116" w:type="dxa"/>
          </w:tcPr>
          <w:p w14:paraId="008B54B9" w14:textId="77777777" w:rsidR="00B54D51" w:rsidRPr="00037AD4" w:rsidRDefault="00B54D51" w:rsidP="007C4A7B">
            <w:pPr>
              <w:pStyle w:val="EndNoteBibliography"/>
              <w:rPr>
                <w:rFonts w:asciiTheme="minorHAnsi" w:hAnsiTheme="minorHAnsi" w:cstheme="minorHAnsi"/>
                <w:color w:val="000000" w:themeColor="text1"/>
                <w:lang w:val="en-GB"/>
              </w:rPr>
            </w:pPr>
            <w:r w:rsidRPr="00037AD4">
              <w:rPr>
                <w:rFonts w:asciiTheme="minorHAnsi" w:hAnsiTheme="minorHAnsi" w:cstheme="minorHAnsi"/>
                <w:color w:val="000000" w:themeColor="text1"/>
                <w:lang w:val="en-GB"/>
              </w:rPr>
              <w:t>MoCA</w:t>
            </w:r>
          </w:p>
        </w:tc>
        <w:tc>
          <w:tcPr>
            <w:tcW w:w="1135" w:type="dxa"/>
          </w:tcPr>
          <w:p w14:paraId="7C3DE1D8" w14:textId="77777777" w:rsidR="00B54D51" w:rsidRPr="00037AD4" w:rsidRDefault="00B54D51" w:rsidP="007C4A7B">
            <w:pPr>
              <w:pStyle w:val="EndNoteBibliography"/>
              <w:rPr>
                <w:rFonts w:asciiTheme="minorHAnsi" w:hAnsiTheme="minorHAnsi" w:cstheme="minorHAnsi"/>
                <w:color w:val="000000" w:themeColor="text1"/>
                <w:lang w:val="en-GB"/>
              </w:rPr>
            </w:pPr>
            <w:r w:rsidRPr="00037AD4">
              <w:rPr>
                <w:rFonts w:asciiTheme="minorHAnsi" w:hAnsiTheme="minorHAnsi" w:cstheme="minorHAnsi"/>
                <w:color w:val="000000" w:themeColor="text1"/>
                <w:lang w:val="en-GB"/>
              </w:rPr>
              <w:t>10</w:t>
            </w:r>
          </w:p>
        </w:tc>
        <w:tc>
          <w:tcPr>
            <w:tcW w:w="1717" w:type="dxa"/>
          </w:tcPr>
          <w:p w14:paraId="6D0E14DA" w14:textId="77777777" w:rsidR="00B54D51" w:rsidRPr="00037AD4" w:rsidRDefault="00B54D51" w:rsidP="007C4A7B">
            <w:pPr>
              <w:pStyle w:val="EndNoteBibliography"/>
              <w:rPr>
                <w:rFonts w:asciiTheme="minorHAnsi" w:hAnsiTheme="minorHAnsi" w:cstheme="minorHAnsi"/>
                <w:color w:val="000000" w:themeColor="text1"/>
                <w:lang w:val="en-GB"/>
              </w:rPr>
            </w:pPr>
            <w:r w:rsidRPr="00037AD4">
              <w:rPr>
                <w:rFonts w:asciiTheme="minorHAnsi" w:hAnsiTheme="minorHAnsi" w:cstheme="minorHAnsi"/>
                <w:color w:val="000000" w:themeColor="text1"/>
                <w:lang w:val="en-GB"/>
              </w:rPr>
              <w:t>Detect cognitive impairment</w:t>
            </w:r>
          </w:p>
        </w:tc>
        <w:tc>
          <w:tcPr>
            <w:tcW w:w="1433" w:type="dxa"/>
          </w:tcPr>
          <w:p w14:paraId="5042DE77" w14:textId="77777777" w:rsidR="00B54D51" w:rsidRPr="00037AD4" w:rsidRDefault="00B54D51" w:rsidP="007C4A7B">
            <w:pPr>
              <w:pStyle w:val="EndNoteBibliography"/>
              <w:rPr>
                <w:rFonts w:asciiTheme="minorHAnsi" w:hAnsiTheme="minorHAnsi" w:cstheme="minorHAnsi"/>
                <w:color w:val="000000" w:themeColor="text1"/>
                <w:lang w:val="en-GB"/>
              </w:rPr>
            </w:pPr>
          </w:p>
        </w:tc>
        <w:tc>
          <w:tcPr>
            <w:tcW w:w="1022" w:type="dxa"/>
          </w:tcPr>
          <w:p w14:paraId="305D4B08" w14:textId="77777777" w:rsidR="00B54D51" w:rsidRPr="00037AD4" w:rsidRDefault="00B54D51" w:rsidP="007C4A7B">
            <w:pPr>
              <w:pStyle w:val="EndNoteBibliography"/>
              <w:rPr>
                <w:rFonts w:asciiTheme="minorHAnsi" w:hAnsiTheme="minorHAnsi" w:cstheme="minorHAnsi"/>
                <w:lang w:val="en-GB"/>
              </w:rPr>
            </w:pPr>
            <w:r w:rsidRPr="00037AD4">
              <w:rPr>
                <w:rFonts w:asciiTheme="minorHAnsi" w:hAnsiTheme="minorHAnsi" w:cstheme="minorHAnsi"/>
                <w:lang w:val="en-GB"/>
              </w:rPr>
              <w:t>30</w:t>
            </w:r>
          </w:p>
        </w:tc>
        <w:tc>
          <w:tcPr>
            <w:tcW w:w="1610" w:type="dxa"/>
          </w:tcPr>
          <w:p w14:paraId="0614368B" w14:textId="77777777" w:rsidR="00B54D51" w:rsidRPr="00037AD4" w:rsidRDefault="00B54D51" w:rsidP="007C4A7B">
            <w:pPr>
              <w:pStyle w:val="EndNoteBibliography"/>
              <w:rPr>
                <w:rFonts w:asciiTheme="minorHAnsi" w:hAnsiTheme="minorHAnsi" w:cstheme="minorHAnsi"/>
                <w:lang w:val="en-GB"/>
              </w:rPr>
            </w:pPr>
            <w:r w:rsidRPr="00037AD4">
              <w:rPr>
                <w:rFonts w:asciiTheme="minorHAnsi" w:hAnsiTheme="minorHAnsi" w:cstheme="minorHAnsi"/>
                <w:lang w:val="en-GB"/>
              </w:rPr>
              <w:t>Questionnaire plus drawing task</w:t>
            </w:r>
          </w:p>
        </w:tc>
        <w:tc>
          <w:tcPr>
            <w:tcW w:w="2146" w:type="dxa"/>
          </w:tcPr>
          <w:p w14:paraId="507D34A8" w14:textId="77777777" w:rsidR="00B54D51" w:rsidRPr="00037AD4" w:rsidRDefault="00B54D51" w:rsidP="007C4A7B">
            <w:pPr>
              <w:pStyle w:val="EndNoteBibliography"/>
              <w:rPr>
                <w:rFonts w:asciiTheme="minorHAnsi" w:hAnsiTheme="minorHAnsi" w:cstheme="minorHAnsi"/>
                <w:lang w:val="en-GB"/>
              </w:rPr>
            </w:pPr>
            <w:r w:rsidRPr="00037AD4">
              <w:rPr>
                <w:rFonts w:asciiTheme="minorHAnsi" w:hAnsiTheme="minorHAnsi" w:cstheme="minorHAnsi"/>
                <w:lang w:val="en-GB"/>
              </w:rPr>
              <w:t>26+, normal</w:t>
            </w:r>
          </w:p>
          <w:p w14:paraId="6E59F9C7" w14:textId="77777777" w:rsidR="00B54D51" w:rsidRPr="00037AD4" w:rsidRDefault="00B54D51" w:rsidP="007C4A7B">
            <w:pPr>
              <w:pStyle w:val="EndNoteBibliography"/>
              <w:rPr>
                <w:rFonts w:asciiTheme="minorHAnsi" w:hAnsiTheme="minorHAnsi" w:cstheme="minorHAnsi"/>
                <w:lang w:val="en-GB"/>
              </w:rPr>
            </w:pPr>
            <w:r w:rsidRPr="00037AD4">
              <w:rPr>
                <w:rFonts w:asciiTheme="minorHAnsi" w:hAnsiTheme="minorHAnsi" w:cstheme="minorHAnsi"/>
                <w:lang w:val="en-GB"/>
              </w:rPr>
              <w:t xml:space="preserve">18-25, MCI </w:t>
            </w:r>
          </w:p>
          <w:p w14:paraId="0CD044F3" w14:textId="77777777" w:rsidR="00B54D51" w:rsidRPr="00037AD4" w:rsidRDefault="00B54D51" w:rsidP="007C4A7B">
            <w:pPr>
              <w:pStyle w:val="EndNoteBibliography"/>
              <w:rPr>
                <w:rFonts w:asciiTheme="minorHAnsi" w:hAnsiTheme="minorHAnsi" w:cstheme="minorHAnsi"/>
                <w:lang w:val="en-GB"/>
              </w:rPr>
            </w:pPr>
            <w:r w:rsidRPr="00037AD4">
              <w:rPr>
                <w:rFonts w:asciiTheme="minorHAnsi" w:hAnsiTheme="minorHAnsi" w:cstheme="minorHAnsi"/>
                <w:lang w:val="en-GB"/>
              </w:rPr>
              <w:t>10-17, moderate</w:t>
            </w:r>
          </w:p>
          <w:p w14:paraId="2CF1E948" w14:textId="77777777" w:rsidR="00B54D51" w:rsidRPr="00037AD4" w:rsidRDefault="00B54D51" w:rsidP="007C4A7B">
            <w:pPr>
              <w:pStyle w:val="EndNoteBibliography"/>
              <w:rPr>
                <w:rFonts w:asciiTheme="minorHAnsi" w:hAnsiTheme="minorHAnsi" w:cstheme="minorHAnsi"/>
                <w:lang w:val="en-GB"/>
              </w:rPr>
            </w:pPr>
            <w:r w:rsidRPr="00037AD4">
              <w:rPr>
                <w:rFonts w:asciiTheme="minorHAnsi" w:hAnsiTheme="minorHAnsi" w:cstheme="minorHAnsi"/>
                <w:lang w:val="en-GB"/>
              </w:rPr>
              <w:t>&lt;10, severe</w:t>
            </w:r>
          </w:p>
        </w:tc>
      </w:tr>
      <w:tr w:rsidR="00B54D51" w:rsidRPr="00037AD4" w14:paraId="6BA68F15" w14:textId="77777777" w:rsidTr="00C434ED">
        <w:trPr>
          <w:trHeight w:val="934"/>
        </w:trPr>
        <w:tc>
          <w:tcPr>
            <w:tcW w:w="1116" w:type="dxa"/>
          </w:tcPr>
          <w:p w14:paraId="2DEA9C14" w14:textId="77777777" w:rsidR="00B54D51" w:rsidRPr="00037AD4" w:rsidRDefault="00B54D51" w:rsidP="007C4A7B">
            <w:pPr>
              <w:pStyle w:val="EndNoteBibliography"/>
              <w:rPr>
                <w:rFonts w:asciiTheme="minorHAnsi" w:hAnsiTheme="minorHAnsi" w:cstheme="minorHAnsi"/>
                <w:color w:val="000000" w:themeColor="text1"/>
                <w:lang w:val="en-GB"/>
              </w:rPr>
            </w:pPr>
            <w:r w:rsidRPr="00037AD4">
              <w:rPr>
                <w:rFonts w:asciiTheme="minorHAnsi" w:hAnsiTheme="minorHAnsi" w:cstheme="minorHAnsi"/>
                <w:color w:val="000000" w:themeColor="text1"/>
                <w:lang w:val="en-GB"/>
              </w:rPr>
              <w:t>ADAS-Cog</w:t>
            </w:r>
          </w:p>
        </w:tc>
        <w:tc>
          <w:tcPr>
            <w:tcW w:w="1135" w:type="dxa"/>
          </w:tcPr>
          <w:p w14:paraId="1C727C0A" w14:textId="77777777" w:rsidR="00B54D51" w:rsidRPr="00037AD4" w:rsidRDefault="00B54D51" w:rsidP="007C4A7B">
            <w:pPr>
              <w:pStyle w:val="EndNoteBibliography"/>
              <w:rPr>
                <w:rFonts w:asciiTheme="minorHAnsi" w:hAnsiTheme="minorHAnsi" w:cstheme="minorHAnsi"/>
                <w:color w:val="000000" w:themeColor="text1"/>
                <w:lang w:val="en-GB"/>
              </w:rPr>
            </w:pPr>
            <w:r w:rsidRPr="00037AD4">
              <w:rPr>
                <w:rFonts w:asciiTheme="minorHAnsi" w:hAnsiTheme="minorHAnsi" w:cstheme="minorHAnsi"/>
                <w:color w:val="000000" w:themeColor="text1"/>
                <w:lang w:val="en-GB"/>
              </w:rPr>
              <w:t xml:space="preserve">45 – 60 </w:t>
            </w:r>
          </w:p>
        </w:tc>
        <w:tc>
          <w:tcPr>
            <w:tcW w:w="1717" w:type="dxa"/>
          </w:tcPr>
          <w:p w14:paraId="6F0D5E20" w14:textId="77777777" w:rsidR="00B54D51" w:rsidRPr="00037AD4" w:rsidRDefault="00B54D51" w:rsidP="007C4A7B">
            <w:pPr>
              <w:pStyle w:val="EndNoteBibliography"/>
              <w:rPr>
                <w:rFonts w:asciiTheme="minorHAnsi" w:hAnsiTheme="minorHAnsi" w:cstheme="minorHAnsi"/>
                <w:color w:val="000000" w:themeColor="text1"/>
                <w:lang w:val="en-GB"/>
              </w:rPr>
            </w:pPr>
            <w:r w:rsidRPr="00037AD4">
              <w:rPr>
                <w:rFonts w:asciiTheme="minorHAnsi" w:hAnsiTheme="minorHAnsi" w:cstheme="minorHAnsi"/>
                <w:color w:val="000000" w:themeColor="text1"/>
                <w:lang w:val="en-GB"/>
              </w:rPr>
              <w:t>Assess cognitive symptoms of dementia</w:t>
            </w:r>
          </w:p>
        </w:tc>
        <w:tc>
          <w:tcPr>
            <w:tcW w:w="1433" w:type="dxa"/>
          </w:tcPr>
          <w:p w14:paraId="6EE0F14D" w14:textId="77777777" w:rsidR="00B54D51" w:rsidRPr="00037AD4" w:rsidRDefault="00B54D51" w:rsidP="00290971">
            <w:pPr>
              <w:rPr>
                <w:rFonts w:asciiTheme="minorHAnsi" w:hAnsiTheme="minorHAnsi" w:cstheme="minorHAnsi"/>
                <w:color w:val="000000" w:themeColor="text1"/>
              </w:rPr>
            </w:pPr>
            <w:r w:rsidRPr="00037AD4">
              <w:rPr>
                <w:rFonts w:ascii="Segoe UI Symbol" w:hAnsi="Segoe UI Symbol" w:cs="Segoe UI Symbol"/>
                <w:color w:val="000000" w:themeColor="text1"/>
                <w:shd w:val="clear" w:color="auto" w:fill="FFFFFF"/>
              </w:rPr>
              <w:t>✓</w:t>
            </w:r>
          </w:p>
        </w:tc>
        <w:tc>
          <w:tcPr>
            <w:tcW w:w="1022" w:type="dxa"/>
          </w:tcPr>
          <w:p w14:paraId="46960498" w14:textId="77777777" w:rsidR="00B54D51" w:rsidRPr="00037AD4" w:rsidRDefault="00B54D51" w:rsidP="007C4A7B">
            <w:pPr>
              <w:pStyle w:val="EndNoteBibliography"/>
              <w:rPr>
                <w:rFonts w:asciiTheme="minorHAnsi" w:hAnsiTheme="minorHAnsi" w:cstheme="minorHAnsi"/>
                <w:lang w:val="en-GB"/>
              </w:rPr>
            </w:pPr>
            <w:r w:rsidRPr="00037AD4">
              <w:rPr>
                <w:rFonts w:asciiTheme="minorHAnsi" w:hAnsiTheme="minorHAnsi" w:cstheme="minorHAnsi"/>
                <w:lang w:val="en-GB"/>
              </w:rPr>
              <w:t>10</w:t>
            </w:r>
          </w:p>
        </w:tc>
        <w:tc>
          <w:tcPr>
            <w:tcW w:w="1610" w:type="dxa"/>
          </w:tcPr>
          <w:p w14:paraId="043B0B2C" w14:textId="77777777" w:rsidR="00B54D51" w:rsidRPr="00037AD4" w:rsidRDefault="00B54D51" w:rsidP="007C4A7B">
            <w:pPr>
              <w:pStyle w:val="EndNoteBibliography"/>
              <w:rPr>
                <w:rFonts w:asciiTheme="minorHAnsi" w:hAnsiTheme="minorHAnsi" w:cstheme="minorHAnsi"/>
                <w:lang w:val="en-GB"/>
              </w:rPr>
            </w:pPr>
            <w:r w:rsidRPr="00037AD4">
              <w:rPr>
                <w:rFonts w:asciiTheme="minorHAnsi" w:hAnsiTheme="minorHAnsi" w:cstheme="minorHAnsi"/>
                <w:lang w:val="en-GB"/>
              </w:rPr>
              <w:t>Series of physical tasks</w:t>
            </w:r>
          </w:p>
        </w:tc>
        <w:tc>
          <w:tcPr>
            <w:tcW w:w="2146" w:type="dxa"/>
          </w:tcPr>
          <w:p w14:paraId="68284331" w14:textId="77777777" w:rsidR="00B54D51" w:rsidRPr="00037AD4" w:rsidRDefault="00B54D51" w:rsidP="007C4A7B">
            <w:pPr>
              <w:pStyle w:val="EndNoteBibliography"/>
              <w:rPr>
                <w:rFonts w:asciiTheme="minorHAnsi" w:hAnsiTheme="minorHAnsi" w:cstheme="minorHAnsi"/>
                <w:lang w:val="en-GB"/>
              </w:rPr>
            </w:pPr>
            <w:r w:rsidRPr="00037AD4">
              <w:rPr>
                <w:rFonts w:asciiTheme="minorHAnsi" w:hAnsiTheme="minorHAnsi" w:cstheme="minorHAnsi"/>
                <w:lang w:val="en-GB"/>
              </w:rPr>
              <w:t xml:space="preserve">Range for 0 – 70, &gt;18 indicating greater cognitive impairment </w:t>
            </w:r>
          </w:p>
        </w:tc>
      </w:tr>
      <w:tr w:rsidR="00B54D51" w:rsidRPr="00037AD4" w14:paraId="7598C84F" w14:textId="77777777" w:rsidTr="00C434ED">
        <w:trPr>
          <w:trHeight w:val="921"/>
        </w:trPr>
        <w:tc>
          <w:tcPr>
            <w:tcW w:w="1116" w:type="dxa"/>
          </w:tcPr>
          <w:p w14:paraId="6FCC0220" w14:textId="77777777" w:rsidR="00B54D51" w:rsidRPr="00037AD4" w:rsidRDefault="00B54D51" w:rsidP="007C4A7B">
            <w:pPr>
              <w:pStyle w:val="EndNoteBibliography"/>
              <w:rPr>
                <w:rFonts w:asciiTheme="minorHAnsi" w:hAnsiTheme="minorHAnsi" w:cstheme="minorHAnsi"/>
                <w:color w:val="000000" w:themeColor="text1"/>
                <w:lang w:val="en-GB"/>
              </w:rPr>
            </w:pPr>
            <w:r w:rsidRPr="00037AD4">
              <w:rPr>
                <w:rFonts w:asciiTheme="minorHAnsi" w:hAnsiTheme="minorHAnsi" w:cstheme="minorHAnsi"/>
                <w:color w:val="000000" w:themeColor="text1"/>
                <w:lang w:val="en-GB"/>
              </w:rPr>
              <w:t>SIB</w:t>
            </w:r>
          </w:p>
        </w:tc>
        <w:tc>
          <w:tcPr>
            <w:tcW w:w="1135" w:type="dxa"/>
          </w:tcPr>
          <w:p w14:paraId="007A7C3E" w14:textId="77777777" w:rsidR="00B54D51" w:rsidRPr="00037AD4" w:rsidRDefault="00B54D51" w:rsidP="007C4A7B">
            <w:pPr>
              <w:pStyle w:val="EndNoteBibliography"/>
              <w:rPr>
                <w:rFonts w:asciiTheme="minorHAnsi" w:hAnsiTheme="minorHAnsi" w:cstheme="minorHAnsi"/>
                <w:color w:val="000000" w:themeColor="text1"/>
                <w:lang w:val="en-GB"/>
              </w:rPr>
            </w:pPr>
            <w:r w:rsidRPr="00037AD4">
              <w:rPr>
                <w:rFonts w:asciiTheme="minorHAnsi" w:hAnsiTheme="minorHAnsi" w:cstheme="minorHAnsi"/>
                <w:color w:val="000000" w:themeColor="text1"/>
                <w:lang w:val="en-GB"/>
              </w:rPr>
              <w:t>20</w:t>
            </w:r>
          </w:p>
        </w:tc>
        <w:tc>
          <w:tcPr>
            <w:tcW w:w="1717" w:type="dxa"/>
          </w:tcPr>
          <w:p w14:paraId="75FCF850" w14:textId="77777777" w:rsidR="00B54D51" w:rsidRPr="00037AD4" w:rsidRDefault="00B54D51" w:rsidP="007C4A7B">
            <w:pPr>
              <w:pStyle w:val="EndNoteBibliography"/>
              <w:rPr>
                <w:rFonts w:asciiTheme="minorHAnsi" w:hAnsiTheme="minorHAnsi" w:cstheme="minorHAnsi"/>
                <w:color w:val="000000" w:themeColor="text1"/>
                <w:lang w:val="en-GB"/>
              </w:rPr>
            </w:pPr>
            <w:r w:rsidRPr="00037AD4">
              <w:rPr>
                <w:rFonts w:asciiTheme="minorHAnsi" w:hAnsiTheme="minorHAnsi" w:cstheme="minorHAnsi"/>
                <w:color w:val="000000" w:themeColor="text1"/>
                <w:lang w:val="en-GB"/>
              </w:rPr>
              <w:t>Assess skills in people with severe dementia</w:t>
            </w:r>
          </w:p>
        </w:tc>
        <w:tc>
          <w:tcPr>
            <w:tcW w:w="1433" w:type="dxa"/>
          </w:tcPr>
          <w:p w14:paraId="04CF1233" w14:textId="77777777" w:rsidR="00B54D51" w:rsidRPr="00037AD4" w:rsidRDefault="00B54D51" w:rsidP="007C4A7B">
            <w:pPr>
              <w:pStyle w:val="EndNoteBibliography"/>
              <w:rPr>
                <w:rFonts w:asciiTheme="minorHAnsi" w:hAnsiTheme="minorHAnsi" w:cstheme="minorHAnsi"/>
                <w:color w:val="000000" w:themeColor="text1"/>
                <w:lang w:val="en-GB"/>
              </w:rPr>
            </w:pPr>
            <w:r w:rsidRPr="00037AD4">
              <w:rPr>
                <w:rFonts w:ascii="Segoe UI Symbol" w:hAnsi="Segoe UI Symbol" w:cs="Segoe UI Symbol"/>
                <w:color w:val="000000" w:themeColor="text1"/>
                <w:shd w:val="clear" w:color="auto" w:fill="FFFFFF"/>
                <w:lang w:val="en-GB"/>
              </w:rPr>
              <w:t>✓</w:t>
            </w:r>
          </w:p>
        </w:tc>
        <w:tc>
          <w:tcPr>
            <w:tcW w:w="1022" w:type="dxa"/>
          </w:tcPr>
          <w:p w14:paraId="16F9D438" w14:textId="77777777" w:rsidR="00B54D51" w:rsidRPr="00037AD4" w:rsidRDefault="00B54D51" w:rsidP="007C4A7B">
            <w:pPr>
              <w:pStyle w:val="EndNoteBibliography"/>
              <w:rPr>
                <w:rFonts w:asciiTheme="minorHAnsi" w:hAnsiTheme="minorHAnsi" w:cstheme="minorHAnsi"/>
                <w:lang w:val="en-GB"/>
              </w:rPr>
            </w:pPr>
            <w:r w:rsidRPr="00037AD4">
              <w:rPr>
                <w:rFonts w:asciiTheme="minorHAnsi" w:hAnsiTheme="minorHAnsi" w:cstheme="minorHAnsi"/>
                <w:lang w:val="en-GB"/>
              </w:rPr>
              <w:t>40</w:t>
            </w:r>
          </w:p>
        </w:tc>
        <w:tc>
          <w:tcPr>
            <w:tcW w:w="1610" w:type="dxa"/>
          </w:tcPr>
          <w:p w14:paraId="094F29D6" w14:textId="77777777" w:rsidR="00B54D51" w:rsidRPr="00037AD4" w:rsidRDefault="00B54D51" w:rsidP="007C4A7B">
            <w:pPr>
              <w:pStyle w:val="EndNoteBibliography"/>
              <w:rPr>
                <w:rFonts w:asciiTheme="minorHAnsi" w:hAnsiTheme="minorHAnsi" w:cstheme="minorHAnsi"/>
                <w:lang w:val="en-GB"/>
              </w:rPr>
            </w:pPr>
            <w:r w:rsidRPr="00037AD4">
              <w:rPr>
                <w:rFonts w:asciiTheme="minorHAnsi" w:hAnsiTheme="minorHAnsi" w:cstheme="minorHAnsi"/>
                <w:lang w:val="en-GB"/>
              </w:rPr>
              <w:t>One-step commands</w:t>
            </w:r>
          </w:p>
        </w:tc>
        <w:tc>
          <w:tcPr>
            <w:tcW w:w="2146" w:type="dxa"/>
          </w:tcPr>
          <w:p w14:paraId="3D04A0C7" w14:textId="77777777" w:rsidR="00B54D51" w:rsidRPr="00037AD4" w:rsidRDefault="00B54D51" w:rsidP="007C4A7B">
            <w:pPr>
              <w:pStyle w:val="EndNoteBibliography"/>
              <w:rPr>
                <w:rFonts w:asciiTheme="minorHAnsi" w:hAnsiTheme="minorHAnsi" w:cstheme="minorHAnsi"/>
                <w:lang w:val="en-GB"/>
              </w:rPr>
            </w:pPr>
            <w:r w:rsidRPr="00037AD4">
              <w:rPr>
                <w:rFonts w:asciiTheme="minorHAnsi" w:hAnsiTheme="minorHAnsi" w:cstheme="minorHAnsi"/>
                <w:lang w:val="en-GB"/>
              </w:rPr>
              <w:t>Range 0 – 100, &lt;63 indicates very severely impaired</w:t>
            </w:r>
          </w:p>
        </w:tc>
      </w:tr>
      <w:tr w:rsidR="00B54D51" w:rsidRPr="00037AD4" w14:paraId="78D8D538" w14:textId="77777777" w:rsidTr="001872BD">
        <w:trPr>
          <w:trHeight w:val="488"/>
        </w:trPr>
        <w:tc>
          <w:tcPr>
            <w:tcW w:w="10179" w:type="dxa"/>
            <w:gridSpan w:val="7"/>
          </w:tcPr>
          <w:p w14:paraId="01496CA0" w14:textId="77777777" w:rsidR="00B54D51" w:rsidRPr="00037AD4" w:rsidRDefault="00B54D51" w:rsidP="001872BD">
            <w:pPr>
              <w:rPr>
                <w:rFonts w:asciiTheme="minorHAnsi" w:hAnsiTheme="minorHAnsi" w:cstheme="minorHAnsi"/>
                <w:color w:val="000000" w:themeColor="text1"/>
                <w:sz w:val="22"/>
                <w:szCs w:val="22"/>
                <w:shd w:val="clear" w:color="auto" w:fill="FFFFFF"/>
              </w:rPr>
            </w:pPr>
            <w:r w:rsidRPr="00037AD4">
              <w:rPr>
                <w:rFonts w:asciiTheme="minorHAnsi" w:hAnsiTheme="minorHAnsi" w:cstheme="minorHAnsi"/>
                <w:color w:val="000000" w:themeColor="text1"/>
                <w:sz w:val="22"/>
                <w:szCs w:val="22"/>
              </w:rPr>
              <w:t xml:space="preserve">MMSE, mini-mental state examination; MoCA, Montreal cognition assessment; ADAS-Cog, </w:t>
            </w:r>
            <w:r w:rsidRPr="00037AD4">
              <w:rPr>
                <w:rFonts w:asciiTheme="minorHAnsi" w:hAnsiTheme="minorHAnsi" w:cstheme="minorHAnsi"/>
                <w:color w:val="000000" w:themeColor="text1"/>
                <w:sz w:val="22"/>
                <w:szCs w:val="22"/>
                <w:shd w:val="clear" w:color="auto" w:fill="FFFFFF"/>
              </w:rPr>
              <w:t>Alzheimer's Disease Assessment Scale–Cognitive Subscale; SIB, Severe Impairment Battery</w:t>
            </w:r>
          </w:p>
        </w:tc>
      </w:tr>
    </w:tbl>
    <w:p w14:paraId="3178ADCC" w14:textId="77777777" w:rsidR="00B54D51" w:rsidRPr="00037AD4" w:rsidRDefault="00B54D51" w:rsidP="007C4A7B">
      <w:pPr>
        <w:pStyle w:val="EndNoteBibliography"/>
        <w:rPr>
          <w:rFonts w:asciiTheme="minorHAnsi" w:hAnsiTheme="minorHAnsi" w:cstheme="minorHAnsi"/>
          <w:lang w:val="en-GB"/>
        </w:rPr>
      </w:pPr>
    </w:p>
    <w:p w14:paraId="7DB03210" w14:textId="435BF304" w:rsidR="00B54D51" w:rsidRPr="00037AD4" w:rsidRDefault="00B54D51" w:rsidP="007C4A7B">
      <w:pPr>
        <w:pStyle w:val="EndNoteBibliography"/>
        <w:rPr>
          <w:rFonts w:asciiTheme="minorHAnsi" w:hAnsiTheme="minorHAnsi" w:cstheme="minorHAnsi"/>
          <w:lang w:val="en-GB"/>
        </w:rPr>
      </w:pPr>
      <w:r w:rsidRPr="00037AD4">
        <w:rPr>
          <w:rFonts w:asciiTheme="minorHAnsi" w:hAnsiTheme="minorHAnsi" w:cstheme="minorHAnsi"/>
          <w:lang w:val="en-GB"/>
        </w:rPr>
        <w:lastRenderedPageBreak/>
        <w:t xml:space="preserve">MMSE and MoCA both involve administering standardised questions to the person for assessment via a questionnaire </w:t>
      </w:r>
      <w:r w:rsidR="00322CFC" w:rsidRPr="00037AD4">
        <w:rPr>
          <w:rFonts w:asciiTheme="minorHAnsi" w:hAnsiTheme="minorHAnsi" w:cstheme="minorHAnsi"/>
          <w:lang w:val="en-GB"/>
        </w:rPr>
        <w:t>format</w:t>
      </w:r>
      <w:r w:rsidR="00322CFC">
        <w:rPr>
          <w:rFonts w:asciiTheme="minorHAnsi" w:hAnsiTheme="minorHAnsi" w:cstheme="minorHAnsi"/>
          <w:lang w:val="en-GB"/>
        </w:rPr>
        <w:t xml:space="preserve"> – but</w:t>
      </w:r>
      <w:r w:rsidRPr="00037AD4">
        <w:rPr>
          <w:rFonts w:asciiTheme="minorHAnsi" w:hAnsiTheme="minorHAnsi" w:cstheme="minorHAnsi"/>
          <w:lang w:val="en-GB"/>
        </w:rPr>
        <w:t xml:space="preserve"> may also include a drawing task to assess orientation (depending on the modification/version) </w:t>
      </w:r>
      <w:r>
        <w:rPr>
          <w:rFonts w:asciiTheme="minorHAnsi" w:hAnsiTheme="minorHAnsi" w:cstheme="minorHAnsi"/>
          <w:noProof/>
          <w:lang w:val="en-GB"/>
        </w:rPr>
        <w:t>(MoCA Cognition, 2021, Tidy, 2022)</w:t>
      </w:r>
      <w:r w:rsidRPr="00037AD4">
        <w:rPr>
          <w:rFonts w:asciiTheme="minorHAnsi" w:hAnsiTheme="minorHAnsi" w:cstheme="minorHAnsi"/>
          <w:lang w:val="en-GB"/>
        </w:rPr>
        <w:t xml:space="preserve">. Both instruments have wider applications than dementia alone, for example they can be used as cognitive screening tools for other neurological conditions such as Parkinson’s and Huntington’s disease. </w:t>
      </w:r>
    </w:p>
    <w:p w14:paraId="6B7D9089" w14:textId="77777777" w:rsidR="00B54D51" w:rsidRPr="00037AD4" w:rsidRDefault="00B54D51" w:rsidP="007C4A7B">
      <w:pPr>
        <w:pStyle w:val="EndNoteBibliography"/>
        <w:rPr>
          <w:rFonts w:asciiTheme="minorHAnsi" w:hAnsiTheme="minorHAnsi" w:cstheme="minorHAnsi"/>
          <w:lang w:val="en-GB"/>
        </w:rPr>
      </w:pPr>
    </w:p>
    <w:p w14:paraId="4B1EDA5F" w14:textId="75EA475A" w:rsidR="00B54D51" w:rsidRPr="00037AD4" w:rsidRDefault="00B54D51" w:rsidP="007C4A7B">
      <w:pPr>
        <w:pStyle w:val="EndNoteBibliography"/>
        <w:rPr>
          <w:rFonts w:asciiTheme="minorHAnsi" w:hAnsiTheme="minorHAnsi" w:cstheme="minorHAnsi"/>
          <w:lang w:val="en-GB"/>
        </w:rPr>
      </w:pPr>
      <w:r w:rsidRPr="00037AD4">
        <w:rPr>
          <w:rFonts w:asciiTheme="minorHAnsi" w:hAnsiTheme="minorHAnsi" w:cstheme="minorHAnsi"/>
          <w:lang w:val="en-GB"/>
        </w:rPr>
        <w:t xml:space="preserve">Unlike MMSE and MoCA, ADAS-Cog includes a series of physical tasks (under the headings: constructional and ideational praxis), such as sealing an envelope and making a fist </w:t>
      </w:r>
      <w:r>
        <w:rPr>
          <w:rFonts w:asciiTheme="minorHAnsi" w:hAnsiTheme="minorHAnsi" w:cstheme="minorHAnsi"/>
          <w:noProof/>
          <w:lang w:val="en-GB"/>
        </w:rPr>
        <w:t>(Heerema, 2021)</w:t>
      </w:r>
      <w:r w:rsidRPr="00037AD4">
        <w:rPr>
          <w:rFonts w:asciiTheme="minorHAnsi" w:hAnsiTheme="minorHAnsi" w:cstheme="minorHAnsi"/>
          <w:lang w:val="en-GB"/>
        </w:rPr>
        <w:t xml:space="preserve">. ADAS-Cog may be considered more sensitive and reliable for use in populations already diagnosed with dementia </w:t>
      </w:r>
      <w:r>
        <w:rPr>
          <w:rFonts w:asciiTheme="minorHAnsi" w:hAnsiTheme="minorHAnsi" w:cstheme="minorHAnsi"/>
          <w:noProof/>
          <w:lang w:val="en-GB"/>
        </w:rPr>
        <w:t>(Kaufman et al., 2016)</w:t>
      </w:r>
      <w:r w:rsidRPr="00037AD4">
        <w:rPr>
          <w:rFonts w:asciiTheme="minorHAnsi" w:hAnsiTheme="minorHAnsi" w:cstheme="minorHAnsi"/>
          <w:lang w:val="en-GB"/>
        </w:rPr>
        <w:t xml:space="preserve">, however it has the longest duration to administer. SIB was designed for use in populations with severe dementia, where standardised neurological tests are not suitable </w:t>
      </w:r>
      <w:r>
        <w:rPr>
          <w:rFonts w:asciiTheme="minorHAnsi" w:hAnsiTheme="minorHAnsi" w:cstheme="minorHAnsi"/>
          <w:noProof/>
          <w:lang w:val="en-GB"/>
        </w:rPr>
        <w:t>(Fish, 2011)</w:t>
      </w:r>
      <w:r w:rsidRPr="00037AD4">
        <w:rPr>
          <w:rFonts w:asciiTheme="minorHAnsi" w:hAnsiTheme="minorHAnsi" w:cstheme="minorHAnsi"/>
          <w:lang w:val="en-GB"/>
        </w:rPr>
        <w:t xml:space="preserve">. There are therefore no cut-off points for “normal cognition”. Table </w:t>
      </w:r>
      <w:r w:rsidR="00673F38">
        <w:rPr>
          <w:rFonts w:asciiTheme="minorHAnsi" w:hAnsiTheme="minorHAnsi" w:cstheme="minorHAnsi"/>
          <w:lang w:val="en-GB"/>
        </w:rPr>
        <w:t>6</w:t>
      </w:r>
      <w:r w:rsidRPr="00037AD4">
        <w:rPr>
          <w:rFonts w:asciiTheme="minorHAnsi" w:hAnsiTheme="minorHAnsi" w:cstheme="minorHAnsi"/>
          <w:lang w:val="en-GB"/>
        </w:rPr>
        <w:t xml:space="preserve"> shows the cognitive item components by instrument. </w:t>
      </w:r>
    </w:p>
    <w:p w14:paraId="79AC3910" w14:textId="77777777" w:rsidR="00B54D51" w:rsidRPr="00037AD4" w:rsidRDefault="00B54D51" w:rsidP="007C4A7B">
      <w:pPr>
        <w:pStyle w:val="EndNoteBibliography"/>
        <w:rPr>
          <w:rFonts w:asciiTheme="minorHAnsi" w:hAnsiTheme="minorHAnsi" w:cstheme="minorHAnsi"/>
          <w:lang w:val="en-GB"/>
        </w:rPr>
      </w:pPr>
    </w:p>
    <w:p w14:paraId="5F1610C0" w14:textId="77777777" w:rsidR="00B54D51" w:rsidRPr="00037AD4" w:rsidRDefault="00B54D51" w:rsidP="007C5CA5">
      <w:pPr>
        <w:pStyle w:val="EndNoteBibliography"/>
        <w:rPr>
          <w:rFonts w:asciiTheme="minorHAnsi" w:hAnsiTheme="minorHAnsi" w:cstheme="minorHAnsi"/>
          <w:color w:val="000000" w:themeColor="text1"/>
          <w:lang w:val="en-GB"/>
        </w:rPr>
      </w:pPr>
      <w:r w:rsidRPr="00037AD4">
        <w:rPr>
          <w:rFonts w:asciiTheme="minorHAnsi" w:hAnsiTheme="minorHAnsi" w:cstheme="minorHAnsi"/>
          <w:lang w:val="en-GB"/>
        </w:rPr>
        <w:t xml:space="preserve">A </w:t>
      </w:r>
      <w:r w:rsidRPr="00037AD4">
        <w:rPr>
          <w:rFonts w:asciiTheme="minorHAnsi" w:hAnsiTheme="minorHAnsi" w:cstheme="minorHAnsi"/>
          <w:color w:val="000000" w:themeColor="text1"/>
          <w:lang w:val="en-GB"/>
        </w:rPr>
        <w:t xml:space="preserve">table listing the item components of the four cognition measures is provided </w:t>
      </w:r>
      <w:r w:rsidRPr="00B54D51">
        <w:rPr>
          <w:rFonts w:asciiTheme="minorHAnsi" w:hAnsiTheme="minorHAnsi" w:cstheme="minorHAnsi"/>
          <w:color w:val="000000" w:themeColor="text1"/>
          <w:lang w:val="en-GB"/>
        </w:rPr>
        <w:t xml:space="preserve">in </w:t>
      </w:r>
      <w:hyperlink w:anchor="A33" w:history="1">
        <w:r w:rsidRPr="00B54D51">
          <w:rPr>
            <w:rStyle w:val="Hyperlink"/>
            <w:rFonts w:asciiTheme="minorHAnsi" w:hAnsiTheme="minorHAnsi" w:cstheme="minorHAnsi"/>
            <w:color w:val="000000" w:themeColor="text1"/>
            <w:u w:val="none"/>
            <w:lang w:val="en-GB"/>
          </w:rPr>
          <w:t>Table A3.3a in Appendix 3.3</w:t>
        </w:r>
      </w:hyperlink>
      <w:r w:rsidRPr="00037AD4">
        <w:rPr>
          <w:rFonts w:asciiTheme="minorHAnsi" w:hAnsiTheme="minorHAnsi" w:cstheme="minorHAnsi"/>
          <w:color w:val="000000" w:themeColor="text1"/>
          <w:lang w:val="en-GB"/>
        </w:rPr>
        <w:t xml:space="preserve"> and shows that there is an overlap in domains across the instruments, such as orientation, attention, calculation, recall and language. Cognitive domains requiring direct observation by a researcher for measurement are distinct features found exclusively in dementia-specific instruments, specifically categorised under ideation praxis and construction.</w:t>
      </w:r>
      <w:bookmarkStart w:id="279" w:name="_Toc79582141"/>
      <w:bookmarkStart w:id="280" w:name="_Toc79839769"/>
      <w:bookmarkStart w:id="281" w:name="_Toc80257843"/>
      <w:bookmarkStart w:id="282" w:name="_Toc80969284"/>
      <w:bookmarkStart w:id="283" w:name="_Toc80969365"/>
      <w:bookmarkStart w:id="284" w:name="_Toc80969445"/>
      <w:bookmarkStart w:id="285" w:name="_Toc82180052"/>
    </w:p>
    <w:p w14:paraId="6C8D6BFD" w14:textId="77777777" w:rsidR="00B54D51" w:rsidRPr="00037AD4" w:rsidRDefault="00B54D51" w:rsidP="007C5CA5">
      <w:pPr>
        <w:pStyle w:val="EndNoteBibliography"/>
        <w:rPr>
          <w:rFonts w:asciiTheme="minorHAnsi" w:hAnsiTheme="minorHAnsi" w:cstheme="minorHAnsi"/>
          <w:color w:val="000000" w:themeColor="text1"/>
          <w:lang w:val="en-GB"/>
        </w:rPr>
      </w:pPr>
    </w:p>
    <w:p w14:paraId="0874CBBD" w14:textId="77777777" w:rsidR="00B54D51" w:rsidRPr="00037AD4" w:rsidRDefault="00B54D51" w:rsidP="007A43F9">
      <w:pPr>
        <w:pStyle w:val="Heading3"/>
      </w:pPr>
      <w:bookmarkStart w:id="286" w:name="_Toc175742289"/>
      <w:r w:rsidRPr="00037AD4">
        <w:t xml:space="preserve">3.6.2 </w:t>
      </w:r>
      <w:bookmarkEnd w:id="279"/>
      <w:bookmarkEnd w:id="280"/>
      <w:bookmarkEnd w:id="281"/>
      <w:bookmarkEnd w:id="282"/>
      <w:bookmarkEnd w:id="283"/>
      <w:bookmarkEnd w:id="284"/>
      <w:bookmarkEnd w:id="285"/>
      <w:r w:rsidRPr="00037AD4">
        <w:t>Function</w:t>
      </w:r>
      <w:bookmarkEnd w:id="286"/>
    </w:p>
    <w:p w14:paraId="03B8CAD6" w14:textId="77777777" w:rsidR="00B54D51" w:rsidRPr="00037AD4" w:rsidRDefault="00B54D51" w:rsidP="003919EF">
      <w:pPr>
        <w:pStyle w:val="EndNoteBibliography"/>
        <w:rPr>
          <w:rFonts w:asciiTheme="minorHAnsi" w:hAnsiTheme="minorHAnsi" w:cstheme="minorHAnsi"/>
          <w:lang w:val="en-GB"/>
        </w:rPr>
      </w:pPr>
    </w:p>
    <w:p w14:paraId="634A178E" w14:textId="77777777" w:rsidR="00B54D51" w:rsidRPr="00037AD4" w:rsidRDefault="00B54D51" w:rsidP="003C2406">
      <w:pPr>
        <w:pStyle w:val="EndNoteBibliography"/>
        <w:rPr>
          <w:rFonts w:asciiTheme="minorHAnsi" w:hAnsiTheme="minorHAnsi" w:cstheme="minorHAnsi"/>
          <w:lang w:val="en-GB"/>
        </w:rPr>
      </w:pPr>
      <w:r w:rsidRPr="00037AD4">
        <w:rPr>
          <w:rFonts w:asciiTheme="minorHAnsi" w:hAnsiTheme="minorHAnsi" w:cstheme="minorHAnsi"/>
          <w:lang w:val="en-GB"/>
        </w:rPr>
        <w:t xml:space="preserve">There are two key types of activities of daily living (ADL) that can be measured to assess function: basic and instrumental. Basic ADL (BADL) describes tasks that are fundamental to survival and generally centre around self-care, such as bathing and feeding. Instrumental ADL (IADL) are complex skills that enable a person to live independently, such as managing finances and using a phone. </w:t>
      </w:r>
    </w:p>
    <w:p w14:paraId="2C769C0C" w14:textId="77777777" w:rsidR="00B54D51" w:rsidRPr="00037AD4" w:rsidRDefault="00B54D51" w:rsidP="003C2406">
      <w:pPr>
        <w:pStyle w:val="EndNoteBibliography"/>
        <w:rPr>
          <w:rFonts w:asciiTheme="minorHAnsi" w:hAnsiTheme="minorHAnsi" w:cstheme="minorHAnsi"/>
          <w:lang w:val="en-GB"/>
        </w:rPr>
      </w:pPr>
    </w:p>
    <w:p w14:paraId="5D4D3CB1" w14:textId="77777777" w:rsidR="00B54D51" w:rsidRPr="00037AD4" w:rsidRDefault="00B54D51" w:rsidP="003C2406">
      <w:pPr>
        <w:pStyle w:val="EndNoteBibliography"/>
        <w:rPr>
          <w:rFonts w:asciiTheme="minorHAnsi" w:hAnsiTheme="minorHAnsi" w:cstheme="minorHAnsi"/>
          <w:lang w:val="en-GB"/>
        </w:rPr>
      </w:pPr>
      <w:r w:rsidRPr="00037AD4">
        <w:rPr>
          <w:rFonts w:asciiTheme="minorHAnsi" w:hAnsiTheme="minorHAnsi" w:cstheme="minorHAnsi"/>
          <w:lang w:val="en-GB"/>
        </w:rPr>
        <w:t xml:space="preserve">ADL performance scores can define a person’s </w:t>
      </w:r>
      <w:r w:rsidRPr="00037AD4">
        <w:rPr>
          <w:rFonts w:asciiTheme="minorHAnsi" w:hAnsiTheme="minorHAnsi" w:cstheme="minorHAnsi"/>
          <w:i/>
          <w:iCs/>
          <w:lang w:val="en-GB"/>
        </w:rPr>
        <w:t>functional</w:t>
      </w:r>
      <w:r w:rsidRPr="00037AD4">
        <w:rPr>
          <w:rFonts w:asciiTheme="minorHAnsi" w:hAnsiTheme="minorHAnsi" w:cstheme="minorHAnsi"/>
          <w:lang w:val="en-GB"/>
        </w:rPr>
        <w:t xml:space="preserve"> or </w:t>
      </w:r>
      <w:r w:rsidRPr="00037AD4">
        <w:rPr>
          <w:rFonts w:asciiTheme="minorHAnsi" w:hAnsiTheme="minorHAnsi" w:cstheme="minorHAnsi"/>
          <w:i/>
          <w:iCs/>
          <w:lang w:val="en-GB"/>
        </w:rPr>
        <w:t xml:space="preserve">dependence </w:t>
      </w:r>
      <w:r w:rsidRPr="00037AD4">
        <w:rPr>
          <w:rFonts w:asciiTheme="minorHAnsi" w:hAnsiTheme="minorHAnsi" w:cstheme="minorHAnsi"/>
          <w:lang w:val="en-GB"/>
        </w:rPr>
        <w:t xml:space="preserve">status. These terms are often used interchangeably, the key distinction is that dependence defines a person’s reliance upon others. There are six identified core function instruments for dementia studies: BADLS, DAD, ADCS-ADL, </w:t>
      </w:r>
      <w:r w:rsidRPr="00037AD4">
        <w:rPr>
          <w:rFonts w:asciiTheme="minorHAnsi" w:hAnsiTheme="minorHAnsi" w:cstheme="minorHAnsi"/>
          <w:noProof/>
          <w:color w:val="000000" w:themeColor="text1"/>
          <w:lang w:val="en-GB"/>
        </w:rPr>
        <w:t xml:space="preserve">Lawton IADL Scale, Katz Index of ADL </w:t>
      </w:r>
      <w:r w:rsidRPr="00037AD4">
        <w:rPr>
          <w:rFonts w:asciiTheme="minorHAnsi" w:hAnsiTheme="minorHAnsi" w:cstheme="minorHAnsi"/>
          <w:lang w:val="en-GB"/>
        </w:rPr>
        <w:t xml:space="preserve">and Barthel index. </w:t>
      </w:r>
      <w:r w:rsidRPr="00037AD4">
        <w:rPr>
          <w:rFonts w:asciiTheme="minorHAnsi" w:hAnsiTheme="minorHAnsi" w:cstheme="minorHAnsi"/>
          <w:color w:val="000000" w:themeColor="text1"/>
          <w:lang w:val="en-GB"/>
        </w:rPr>
        <w:t xml:space="preserve">Table 7 </w:t>
      </w:r>
      <w:r w:rsidRPr="00037AD4">
        <w:rPr>
          <w:rFonts w:asciiTheme="minorHAnsi" w:hAnsiTheme="minorHAnsi" w:cstheme="minorHAnsi"/>
          <w:lang w:val="en-GB"/>
        </w:rPr>
        <w:t xml:space="preserve">provides a summary of the key features of these instruments. </w:t>
      </w:r>
    </w:p>
    <w:p w14:paraId="771E4550" w14:textId="77777777" w:rsidR="00B54D51" w:rsidRPr="00037AD4" w:rsidRDefault="00B54D51" w:rsidP="003919EF">
      <w:pPr>
        <w:pStyle w:val="EndNoteBibliography"/>
        <w:rPr>
          <w:rFonts w:asciiTheme="minorHAnsi" w:hAnsiTheme="minorHAnsi" w:cstheme="minorHAnsi"/>
          <w:lang w:val="en-GB"/>
        </w:rPr>
      </w:pPr>
    </w:p>
    <w:p w14:paraId="5F56074B" w14:textId="77777777" w:rsidR="00B54D51" w:rsidRPr="00037AD4" w:rsidRDefault="00B54D51" w:rsidP="003919EF">
      <w:pPr>
        <w:pStyle w:val="EndNoteBibliography"/>
        <w:rPr>
          <w:rFonts w:asciiTheme="minorHAnsi" w:hAnsiTheme="minorHAnsi" w:cstheme="minorHAnsi"/>
          <w:lang w:val="en-GB"/>
        </w:rPr>
      </w:pPr>
    </w:p>
    <w:p w14:paraId="0262C48E" w14:textId="77777777" w:rsidR="00B54D51" w:rsidRPr="00037AD4" w:rsidRDefault="00B54D51" w:rsidP="003919EF">
      <w:pPr>
        <w:pStyle w:val="EndNoteBibliography"/>
        <w:rPr>
          <w:rFonts w:asciiTheme="minorHAnsi" w:hAnsiTheme="minorHAnsi" w:cstheme="minorHAnsi"/>
          <w:lang w:val="en-GB"/>
        </w:rPr>
      </w:pPr>
    </w:p>
    <w:p w14:paraId="221B3C2D" w14:textId="77777777" w:rsidR="00B54D51" w:rsidRPr="00037AD4" w:rsidRDefault="00B54D51" w:rsidP="003919EF">
      <w:pPr>
        <w:pStyle w:val="EndNoteBibliography"/>
        <w:rPr>
          <w:rFonts w:asciiTheme="minorHAnsi" w:hAnsiTheme="minorHAnsi" w:cstheme="minorHAnsi"/>
          <w:lang w:val="en-GB"/>
        </w:rPr>
      </w:pPr>
    </w:p>
    <w:p w14:paraId="09E053DC" w14:textId="77777777" w:rsidR="00B54D51" w:rsidRPr="00037AD4" w:rsidRDefault="00B54D51" w:rsidP="003919EF">
      <w:pPr>
        <w:pStyle w:val="EndNoteBibliography"/>
        <w:rPr>
          <w:rFonts w:asciiTheme="minorHAnsi" w:hAnsiTheme="minorHAnsi" w:cstheme="minorHAnsi"/>
          <w:lang w:val="en-GB"/>
        </w:rPr>
      </w:pPr>
    </w:p>
    <w:p w14:paraId="7DFDCA4D" w14:textId="77777777" w:rsidR="00B54D51" w:rsidRPr="00037AD4" w:rsidRDefault="00B54D51" w:rsidP="003919EF">
      <w:pPr>
        <w:pStyle w:val="EndNoteBibliography"/>
        <w:rPr>
          <w:rFonts w:asciiTheme="minorHAnsi" w:hAnsiTheme="minorHAnsi" w:cstheme="minorHAnsi"/>
          <w:lang w:val="en-GB"/>
        </w:rPr>
      </w:pPr>
    </w:p>
    <w:p w14:paraId="3CA615E7" w14:textId="3986BAF8" w:rsidR="00B54D51" w:rsidRDefault="00B54D51" w:rsidP="003919EF">
      <w:pPr>
        <w:pStyle w:val="EndNoteBibliography"/>
        <w:rPr>
          <w:rFonts w:asciiTheme="minorHAnsi" w:hAnsiTheme="minorHAnsi" w:cstheme="minorHAnsi"/>
          <w:lang w:val="en-GB"/>
        </w:rPr>
      </w:pPr>
    </w:p>
    <w:p w14:paraId="00BF7FC2" w14:textId="77777777" w:rsidR="00322CFC" w:rsidRDefault="00322CFC" w:rsidP="003919EF">
      <w:pPr>
        <w:pStyle w:val="EndNoteBibliography"/>
        <w:rPr>
          <w:rFonts w:asciiTheme="minorHAnsi" w:hAnsiTheme="minorHAnsi" w:cstheme="minorHAnsi"/>
          <w:lang w:val="en-GB"/>
        </w:rPr>
      </w:pPr>
    </w:p>
    <w:p w14:paraId="084A9441" w14:textId="77777777" w:rsidR="00B54D51" w:rsidRDefault="00B54D51" w:rsidP="003919EF">
      <w:pPr>
        <w:pStyle w:val="EndNoteBibliography"/>
        <w:rPr>
          <w:rFonts w:asciiTheme="minorHAnsi" w:hAnsiTheme="minorHAnsi" w:cstheme="minorHAnsi"/>
          <w:lang w:val="en-GB"/>
        </w:rPr>
      </w:pPr>
    </w:p>
    <w:p w14:paraId="1E4C314C" w14:textId="77777777" w:rsidR="00F23BDF" w:rsidRPr="00037AD4" w:rsidRDefault="00F23BDF" w:rsidP="003919EF">
      <w:pPr>
        <w:pStyle w:val="EndNoteBibliography"/>
        <w:rPr>
          <w:rFonts w:asciiTheme="minorHAnsi" w:hAnsiTheme="minorHAnsi" w:cstheme="minorHAnsi"/>
          <w:lang w:val="en-GB"/>
        </w:rPr>
      </w:pPr>
    </w:p>
    <w:p w14:paraId="4AA30BF2" w14:textId="77777777" w:rsidR="00B54D51" w:rsidRPr="00037AD4" w:rsidRDefault="00B54D51" w:rsidP="003919EF">
      <w:pPr>
        <w:pStyle w:val="EndNoteBibliography"/>
        <w:rPr>
          <w:rFonts w:asciiTheme="minorHAnsi" w:hAnsiTheme="minorHAnsi" w:cstheme="minorHAnsi"/>
          <w:lang w:val="en-GB"/>
        </w:rPr>
      </w:pPr>
    </w:p>
    <w:p w14:paraId="6C0E1243" w14:textId="77777777" w:rsidR="00B54D51" w:rsidRPr="00037AD4" w:rsidRDefault="00B54D51" w:rsidP="003919EF">
      <w:pPr>
        <w:pStyle w:val="EndNoteBibliography"/>
        <w:rPr>
          <w:rFonts w:asciiTheme="minorHAnsi" w:hAnsiTheme="minorHAnsi" w:cstheme="minorHAnsi"/>
          <w:b/>
          <w:bCs/>
          <w:i/>
          <w:iCs/>
          <w:lang w:val="en-GB"/>
        </w:rPr>
      </w:pPr>
      <w:r w:rsidRPr="00037AD4">
        <w:rPr>
          <w:rFonts w:asciiTheme="minorHAnsi" w:hAnsiTheme="minorHAnsi" w:cstheme="minorHAnsi"/>
          <w:b/>
          <w:bCs/>
          <w:i/>
          <w:iCs/>
          <w:lang w:val="en-GB"/>
        </w:rPr>
        <w:lastRenderedPageBreak/>
        <w:t xml:space="preserve">Table 7, Summary of function instruments </w:t>
      </w:r>
    </w:p>
    <w:p w14:paraId="72DF7BE3" w14:textId="77777777" w:rsidR="00B54D51" w:rsidRPr="00037AD4" w:rsidRDefault="00B54D51" w:rsidP="003919EF">
      <w:pPr>
        <w:pStyle w:val="EndNoteBibliography"/>
        <w:rPr>
          <w:rFonts w:asciiTheme="minorHAnsi" w:hAnsiTheme="minorHAnsi" w:cstheme="minorHAnsi"/>
          <w:b/>
          <w:bCs/>
          <w:u w:val="single"/>
          <w:lang w:val="en-GB"/>
        </w:rPr>
      </w:pPr>
    </w:p>
    <w:tbl>
      <w:tblPr>
        <w:tblStyle w:val="TableGrid"/>
        <w:tblW w:w="10032" w:type="dxa"/>
        <w:tblLayout w:type="fixed"/>
        <w:tblLook w:val="04A0" w:firstRow="1" w:lastRow="0" w:firstColumn="1" w:lastColumn="0" w:noHBand="0" w:noVBand="1"/>
      </w:tblPr>
      <w:tblGrid>
        <w:gridCol w:w="945"/>
        <w:gridCol w:w="1220"/>
        <w:gridCol w:w="1492"/>
        <w:gridCol w:w="1220"/>
        <w:gridCol w:w="1627"/>
        <w:gridCol w:w="814"/>
        <w:gridCol w:w="1085"/>
        <w:gridCol w:w="1629"/>
      </w:tblGrid>
      <w:tr w:rsidR="00B54D51" w:rsidRPr="00037AD4" w14:paraId="7BA750EE" w14:textId="77777777" w:rsidTr="008F77C5">
        <w:trPr>
          <w:trHeight w:val="712"/>
        </w:trPr>
        <w:tc>
          <w:tcPr>
            <w:tcW w:w="945" w:type="dxa"/>
          </w:tcPr>
          <w:p w14:paraId="02A0B4DF" w14:textId="77777777" w:rsidR="00B54D51" w:rsidRPr="00037AD4" w:rsidRDefault="00B54D51" w:rsidP="003919EF">
            <w:pPr>
              <w:pStyle w:val="EndNoteBibliography"/>
              <w:rPr>
                <w:rFonts w:asciiTheme="minorHAnsi" w:hAnsiTheme="minorHAnsi" w:cstheme="minorHAnsi"/>
                <w:b/>
                <w:bCs/>
                <w:color w:val="000000" w:themeColor="text1"/>
                <w:lang w:val="en-GB"/>
              </w:rPr>
            </w:pPr>
            <w:r w:rsidRPr="00037AD4">
              <w:rPr>
                <w:rFonts w:asciiTheme="minorHAnsi" w:hAnsiTheme="minorHAnsi" w:cstheme="minorHAnsi"/>
                <w:b/>
                <w:bCs/>
                <w:color w:val="000000" w:themeColor="text1"/>
                <w:lang w:val="en-GB"/>
              </w:rPr>
              <w:t>Name</w:t>
            </w:r>
          </w:p>
        </w:tc>
        <w:tc>
          <w:tcPr>
            <w:tcW w:w="1220" w:type="dxa"/>
          </w:tcPr>
          <w:p w14:paraId="6A4776CC" w14:textId="77777777" w:rsidR="00B54D51" w:rsidRPr="00037AD4" w:rsidRDefault="00B54D51" w:rsidP="003919EF">
            <w:pPr>
              <w:pStyle w:val="EndNoteBibliography"/>
              <w:rPr>
                <w:rFonts w:asciiTheme="minorHAnsi" w:hAnsiTheme="minorHAnsi" w:cstheme="minorHAnsi"/>
                <w:b/>
                <w:bCs/>
                <w:color w:val="000000" w:themeColor="text1"/>
                <w:lang w:val="en-GB"/>
              </w:rPr>
            </w:pPr>
            <w:r w:rsidRPr="00037AD4">
              <w:rPr>
                <w:rFonts w:asciiTheme="minorHAnsi" w:hAnsiTheme="minorHAnsi" w:cstheme="minorHAnsi"/>
                <w:b/>
                <w:bCs/>
                <w:color w:val="000000" w:themeColor="text1"/>
                <w:lang w:val="en-GB"/>
              </w:rPr>
              <w:t>Estimated duration (mins)</w:t>
            </w:r>
          </w:p>
        </w:tc>
        <w:tc>
          <w:tcPr>
            <w:tcW w:w="1492" w:type="dxa"/>
          </w:tcPr>
          <w:p w14:paraId="52A55B42" w14:textId="77777777" w:rsidR="00B54D51" w:rsidRPr="00037AD4" w:rsidRDefault="00B54D51" w:rsidP="003919EF">
            <w:pPr>
              <w:pStyle w:val="EndNoteBibliography"/>
              <w:rPr>
                <w:rFonts w:asciiTheme="minorHAnsi" w:hAnsiTheme="minorHAnsi" w:cstheme="minorHAnsi"/>
                <w:b/>
                <w:bCs/>
                <w:color w:val="000000" w:themeColor="text1"/>
                <w:lang w:val="en-GB"/>
              </w:rPr>
            </w:pPr>
            <w:r w:rsidRPr="00037AD4">
              <w:rPr>
                <w:rFonts w:asciiTheme="minorHAnsi" w:hAnsiTheme="minorHAnsi" w:cstheme="minorHAnsi"/>
                <w:b/>
                <w:bCs/>
                <w:color w:val="000000" w:themeColor="text1"/>
                <w:lang w:val="en-GB"/>
              </w:rPr>
              <w:t>Intended purpose</w:t>
            </w:r>
          </w:p>
        </w:tc>
        <w:tc>
          <w:tcPr>
            <w:tcW w:w="1220" w:type="dxa"/>
          </w:tcPr>
          <w:p w14:paraId="2CAADA14" w14:textId="77777777" w:rsidR="00B54D51" w:rsidRPr="00037AD4" w:rsidRDefault="00B54D51" w:rsidP="003919EF">
            <w:pPr>
              <w:pStyle w:val="EndNoteBibliography"/>
              <w:rPr>
                <w:rFonts w:asciiTheme="minorHAnsi" w:hAnsiTheme="minorHAnsi" w:cstheme="minorHAnsi"/>
                <w:b/>
                <w:bCs/>
                <w:color w:val="000000" w:themeColor="text1"/>
                <w:lang w:val="en-GB"/>
              </w:rPr>
            </w:pPr>
            <w:r w:rsidRPr="00037AD4">
              <w:rPr>
                <w:rFonts w:asciiTheme="minorHAnsi" w:hAnsiTheme="minorHAnsi" w:cstheme="minorHAnsi"/>
                <w:b/>
                <w:bCs/>
                <w:color w:val="000000" w:themeColor="text1"/>
                <w:lang w:val="en-GB"/>
              </w:rPr>
              <w:t>Designed for dementia</w:t>
            </w:r>
          </w:p>
        </w:tc>
        <w:tc>
          <w:tcPr>
            <w:tcW w:w="1627" w:type="dxa"/>
          </w:tcPr>
          <w:p w14:paraId="317D08B5" w14:textId="77777777" w:rsidR="00B54D51" w:rsidRPr="00037AD4" w:rsidRDefault="00B54D51" w:rsidP="003919EF">
            <w:pPr>
              <w:pStyle w:val="EndNoteBibliography"/>
              <w:rPr>
                <w:rFonts w:asciiTheme="minorHAnsi" w:hAnsiTheme="minorHAnsi" w:cstheme="minorHAnsi"/>
                <w:b/>
                <w:bCs/>
                <w:color w:val="000000" w:themeColor="text1"/>
                <w:lang w:val="en-GB"/>
              </w:rPr>
            </w:pPr>
            <w:r w:rsidRPr="00037AD4">
              <w:rPr>
                <w:rFonts w:asciiTheme="minorHAnsi" w:hAnsiTheme="minorHAnsi" w:cstheme="minorHAnsi"/>
                <w:b/>
                <w:bCs/>
                <w:color w:val="000000" w:themeColor="text1"/>
                <w:lang w:val="en-GB"/>
              </w:rPr>
              <w:t>Format</w:t>
            </w:r>
          </w:p>
        </w:tc>
        <w:tc>
          <w:tcPr>
            <w:tcW w:w="814" w:type="dxa"/>
          </w:tcPr>
          <w:p w14:paraId="24C3E09F" w14:textId="77777777" w:rsidR="00B54D51" w:rsidRPr="00037AD4" w:rsidRDefault="00B54D51" w:rsidP="003919EF">
            <w:pPr>
              <w:pStyle w:val="EndNoteBibliography"/>
              <w:rPr>
                <w:rFonts w:asciiTheme="minorHAnsi" w:hAnsiTheme="minorHAnsi" w:cstheme="minorHAnsi"/>
                <w:b/>
                <w:bCs/>
                <w:color w:val="000000" w:themeColor="text1"/>
                <w:lang w:val="en-GB"/>
              </w:rPr>
            </w:pPr>
            <w:r w:rsidRPr="00037AD4">
              <w:rPr>
                <w:rFonts w:asciiTheme="minorHAnsi" w:hAnsiTheme="minorHAnsi" w:cstheme="minorHAnsi"/>
                <w:b/>
                <w:bCs/>
                <w:color w:val="000000" w:themeColor="text1"/>
                <w:lang w:val="en-GB"/>
              </w:rPr>
              <w:t>Type of ADL</w:t>
            </w:r>
          </w:p>
        </w:tc>
        <w:tc>
          <w:tcPr>
            <w:tcW w:w="1085" w:type="dxa"/>
          </w:tcPr>
          <w:p w14:paraId="098CF793" w14:textId="77777777" w:rsidR="00B54D51" w:rsidRPr="00037AD4" w:rsidRDefault="00B54D51" w:rsidP="003919EF">
            <w:pPr>
              <w:pStyle w:val="EndNoteBibliography"/>
              <w:rPr>
                <w:rFonts w:asciiTheme="minorHAnsi" w:hAnsiTheme="minorHAnsi" w:cstheme="minorHAnsi"/>
                <w:b/>
                <w:bCs/>
                <w:color w:val="000000" w:themeColor="text1"/>
                <w:lang w:val="en-GB"/>
              </w:rPr>
            </w:pPr>
            <w:r w:rsidRPr="00037AD4">
              <w:rPr>
                <w:rFonts w:asciiTheme="minorHAnsi" w:hAnsiTheme="minorHAnsi" w:cstheme="minorHAnsi"/>
                <w:b/>
                <w:bCs/>
                <w:color w:val="000000" w:themeColor="text1"/>
                <w:lang w:val="en-GB"/>
              </w:rPr>
              <w:t xml:space="preserve">Number of items </w:t>
            </w:r>
          </w:p>
        </w:tc>
        <w:tc>
          <w:tcPr>
            <w:tcW w:w="1627" w:type="dxa"/>
          </w:tcPr>
          <w:p w14:paraId="000284A5" w14:textId="77777777" w:rsidR="00B54D51" w:rsidRPr="00037AD4" w:rsidRDefault="00B54D51" w:rsidP="003919EF">
            <w:pPr>
              <w:pStyle w:val="EndNoteBibliography"/>
              <w:rPr>
                <w:rFonts w:asciiTheme="minorHAnsi" w:hAnsiTheme="minorHAnsi" w:cstheme="minorHAnsi"/>
                <w:b/>
                <w:bCs/>
                <w:color w:val="000000" w:themeColor="text1"/>
                <w:lang w:val="en-GB"/>
              </w:rPr>
            </w:pPr>
            <w:r w:rsidRPr="00037AD4">
              <w:rPr>
                <w:rFonts w:asciiTheme="minorHAnsi" w:hAnsiTheme="minorHAnsi" w:cstheme="minorHAnsi"/>
                <w:b/>
                <w:bCs/>
                <w:color w:val="000000" w:themeColor="text1"/>
                <w:lang w:val="en-GB"/>
              </w:rPr>
              <w:t>Scoring</w:t>
            </w:r>
          </w:p>
        </w:tc>
      </w:tr>
      <w:tr w:rsidR="00B54D51" w:rsidRPr="00037AD4" w14:paraId="43488555" w14:textId="77777777" w:rsidTr="008F77C5">
        <w:trPr>
          <w:trHeight w:val="1207"/>
        </w:trPr>
        <w:tc>
          <w:tcPr>
            <w:tcW w:w="945" w:type="dxa"/>
          </w:tcPr>
          <w:p w14:paraId="5CD8B3FF" w14:textId="77777777" w:rsidR="00B54D51" w:rsidRPr="00037AD4" w:rsidRDefault="00B54D51" w:rsidP="003919EF">
            <w:pPr>
              <w:pStyle w:val="EndNoteBibliography"/>
              <w:rPr>
                <w:rFonts w:asciiTheme="minorHAnsi" w:hAnsiTheme="minorHAnsi" w:cstheme="minorHAnsi"/>
                <w:color w:val="000000" w:themeColor="text1"/>
                <w:lang w:val="en-GB"/>
              </w:rPr>
            </w:pPr>
            <w:r w:rsidRPr="00037AD4">
              <w:rPr>
                <w:rFonts w:asciiTheme="minorHAnsi" w:hAnsiTheme="minorHAnsi" w:cstheme="minorHAnsi"/>
                <w:color w:val="000000" w:themeColor="text1"/>
                <w:lang w:val="en-GB"/>
              </w:rPr>
              <w:t>BADLS</w:t>
            </w:r>
          </w:p>
        </w:tc>
        <w:tc>
          <w:tcPr>
            <w:tcW w:w="1220" w:type="dxa"/>
          </w:tcPr>
          <w:p w14:paraId="007E16E1" w14:textId="77777777" w:rsidR="00B54D51" w:rsidRPr="00037AD4" w:rsidRDefault="00B54D51" w:rsidP="00DE544D">
            <w:pPr>
              <w:rPr>
                <w:rFonts w:asciiTheme="minorHAnsi" w:hAnsiTheme="minorHAnsi" w:cstheme="minorHAnsi"/>
                <w:color w:val="000000" w:themeColor="text1"/>
                <w:shd w:val="clear" w:color="auto" w:fill="FFFFFF"/>
              </w:rPr>
            </w:pPr>
            <w:r w:rsidRPr="00037AD4">
              <w:rPr>
                <w:rFonts w:asciiTheme="minorHAnsi" w:hAnsiTheme="minorHAnsi" w:cstheme="minorHAnsi"/>
                <w:color w:val="000000" w:themeColor="text1"/>
                <w:shd w:val="clear" w:color="auto" w:fill="FFFFFF"/>
              </w:rPr>
              <w:t xml:space="preserve">Unclear </w:t>
            </w:r>
          </w:p>
        </w:tc>
        <w:tc>
          <w:tcPr>
            <w:tcW w:w="1492" w:type="dxa"/>
          </w:tcPr>
          <w:p w14:paraId="00407608" w14:textId="77777777" w:rsidR="00B54D51" w:rsidRPr="00037AD4" w:rsidRDefault="00B54D51" w:rsidP="00DE544D">
            <w:pPr>
              <w:rPr>
                <w:rFonts w:asciiTheme="minorHAnsi" w:hAnsiTheme="minorHAnsi" w:cstheme="minorHAnsi"/>
                <w:color w:val="000000" w:themeColor="text1"/>
              </w:rPr>
            </w:pPr>
            <w:r w:rsidRPr="00037AD4">
              <w:rPr>
                <w:rFonts w:asciiTheme="minorHAnsi" w:hAnsiTheme="minorHAnsi" w:cstheme="minorHAnsi"/>
                <w:color w:val="000000" w:themeColor="text1"/>
                <w:shd w:val="clear" w:color="auto" w:fill="FFFFFF"/>
              </w:rPr>
              <w:t>Measure ability of the PwD to carry out</w:t>
            </w:r>
            <w:r w:rsidRPr="00037AD4">
              <w:rPr>
                <w:rStyle w:val="apple-converted-space"/>
                <w:rFonts w:asciiTheme="minorHAnsi" w:eastAsiaTheme="majorEastAsia" w:hAnsiTheme="minorHAnsi" w:cstheme="minorHAnsi"/>
                <w:color w:val="000000" w:themeColor="text1"/>
                <w:shd w:val="clear" w:color="auto" w:fill="FFFFFF"/>
              </w:rPr>
              <w:t> ADL</w:t>
            </w:r>
          </w:p>
          <w:p w14:paraId="43FCBE8A" w14:textId="77777777" w:rsidR="00B54D51" w:rsidRPr="00037AD4" w:rsidRDefault="00B54D51" w:rsidP="003919EF">
            <w:pPr>
              <w:pStyle w:val="EndNoteBibliography"/>
              <w:rPr>
                <w:rFonts w:asciiTheme="minorHAnsi" w:hAnsiTheme="minorHAnsi" w:cstheme="minorHAnsi"/>
                <w:color w:val="000000" w:themeColor="text1"/>
                <w:lang w:val="en-GB"/>
              </w:rPr>
            </w:pPr>
          </w:p>
        </w:tc>
        <w:tc>
          <w:tcPr>
            <w:tcW w:w="1220" w:type="dxa"/>
          </w:tcPr>
          <w:p w14:paraId="52268ADC" w14:textId="77777777" w:rsidR="00B54D51" w:rsidRPr="00037AD4" w:rsidRDefault="00B54D51" w:rsidP="003919EF">
            <w:pPr>
              <w:pStyle w:val="EndNoteBibliography"/>
              <w:rPr>
                <w:rFonts w:asciiTheme="minorHAnsi" w:hAnsiTheme="minorHAnsi" w:cstheme="minorHAnsi"/>
                <w:color w:val="000000" w:themeColor="text1"/>
                <w:lang w:val="en-GB"/>
              </w:rPr>
            </w:pPr>
            <w:r w:rsidRPr="00037AD4">
              <w:rPr>
                <w:rFonts w:ascii="Segoe UI Symbol" w:hAnsi="Segoe UI Symbol" w:cs="Segoe UI Symbol"/>
                <w:color w:val="000000" w:themeColor="text1"/>
                <w:shd w:val="clear" w:color="auto" w:fill="FFFFFF"/>
                <w:lang w:val="en-GB"/>
              </w:rPr>
              <w:t>✓</w:t>
            </w:r>
          </w:p>
        </w:tc>
        <w:tc>
          <w:tcPr>
            <w:tcW w:w="1627" w:type="dxa"/>
          </w:tcPr>
          <w:p w14:paraId="2BA9FC61" w14:textId="77777777" w:rsidR="00B54D51" w:rsidRPr="00037AD4" w:rsidRDefault="00B54D51" w:rsidP="003919EF">
            <w:pPr>
              <w:pStyle w:val="EndNoteBibliography"/>
              <w:rPr>
                <w:rFonts w:asciiTheme="minorHAnsi" w:hAnsiTheme="minorHAnsi" w:cstheme="minorHAnsi"/>
                <w:color w:val="000000" w:themeColor="text1"/>
                <w:lang w:val="en-GB"/>
              </w:rPr>
            </w:pPr>
            <w:r w:rsidRPr="00037AD4">
              <w:rPr>
                <w:rFonts w:asciiTheme="minorHAnsi" w:hAnsiTheme="minorHAnsi" w:cstheme="minorHAnsi"/>
                <w:color w:val="000000" w:themeColor="text1"/>
                <w:lang w:val="en-GB"/>
              </w:rPr>
              <w:t xml:space="preserve">Proxy-reported questionnaire </w:t>
            </w:r>
          </w:p>
        </w:tc>
        <w:tc>
          <w:tcPr>
            <w:tcW w:w="814" w:type="dxa"/>
          </w:tcPr>
          <w:p w14:paraId="3343E2A4" w14:textId="77777777" w:rsidR="00B54D51" w:rsidRPr="00037AD4" w:rsidRDefault="00B54D51" w:rsidP="003919EF">
            <w:pPr>
              <w:pStyle w:val="EndNoteBibliography"/>
              <w:rPr>
                <w:rFonts w:asciiTheme="minorHAnsi" w:hAnsiTheme="minorHAnsi" w:cstheme="minorHAnsi"/>
                <w:color w:val="000000" w:themeColor="text1"/>
                <w:lang w:val="en-GB"/>
              </w:rPr>
            </w:pPr>
            <w:r w:rsidRPr="00037AD4">
              <w:rPr>
                <w:rFonts w:asciiTheme="minorHAnsi" w:hAnsiTheme="minorHAnsi" w:cstheme="minorHAnsi"/>
                <w:color w:val="000000" w:themeColor="text1"/>
                <w:lang w:val="en-GB"/>
              </w:rPr>
              <w:t xml:space="preserve">Both </w:t>
            </w:r>
          </w:p>
        </w:tc>
        <w:tc>
          <w:tcPr>
            <w:tcW w:w="1085" w:type="dxa"/>
          </w:tcPr>
          <w:p w14:paraId="4E5A7968" w14:textId="77777777" w:rsidR="00B54D51" w:rsidRPr="00037AD4" w:rsidRDefault="00B54D51" w:rsidP="003919EF">
            <w:pPr>
              <w:pStyle w:val="EndNoteBibliography"/>
              <w:rPr>
                <w:rFonts w:asciiTheme="minorHAnsi" w:hAnsiTheme="minorHAnsi" w:cstheme="minorHAnsi"/>
                <w:color w:val="000000" w:themeColor="text1"/>
                <w:lang w:val="en-GB"/>
              </w:rPr>
            </w:pPr>
            <w:r w:rsidRPr="00037AD4">
              <w:rPr>
                <w:rFonts w:asciiTheme="minorHAnsi" w:hAnsiTheme="minorHAnsi" w:cstheme="minorHAnsi"/>
                <w:color w:val="000000" w:themeColor="text1"/>
                <w:lang w:val="en-GB"/>
              </w:rPr>
              <w:t>20</w:t>
            </w:r>
          </w:p>
        </w:tc>
        <w:tc>
          <w:tcPr>
            <w:tcW w:w="1627" w:type="dxa"/>
          </w:tcPr>
          <w:p w14:paraId="7FF05DB9" w14:textId="77777777" w:rsidR="00B54D51" w:rsidRPr="00037AD4" w:rsidRDefault="00B54D51" w:rsidP="003919EF">
            <w:pPr>
              <w:pStyle w:val="EndNoteBibliography"/>
              <w:rPr>
                <w:rFonts w:asciiTheme="minorHAnsi" w:hAnsiTheme="minorHAnsi" w:cstheme="minorHAnsi"/>
                <w:color w:val="000000" w:themeColor="text1"/>
                <w:lang w:val="en-GB"/>
              </w:rPr>
            </w:pPr>
            <w:r w:rsidRPr="00037AD4">
              <w:rPr>
                <w:rFonts w:asciiTheme="minorHAnsi" w:hAnsiTheme="minorHAnsi" w:cstheme="minorHAnsi"/>
                <w:color w:val="000000" w:themeColor="text1"/>
                <w:lang w:val="en-GB"/>
              </w:rPr>
              <w:t xml:space="preserve">0 – 60: totally independent – totally dependent </w:t>
            </w:r>
          </w:p>
        </w:tc>
      </w:tr>
      <w:tr w:rsidR="00B54D51" w:rsidRPr="00037AD4" w14:paraId="076D4C16" w14:textId="77777777" w:rsidTr="008F77C5">
        <w:trPr>
          <w:trHeight w:val="1424"/>
        </w:trPr>
        <w:tc>
          <w:tcPr>
            <w:tcW w:w="945" w:type="dxa"/>
          </w:tcPr>
          <w:p w14:paraId="502FE2EC" w14:textId="77777777" w:rsidR="00B54D51" w:rsidRPr="00037AD4" w:rsidRDefault="00B54D51" w:rsidP="003919EF">
            <w:pPr>
              <w:pStyle w:val="EndNoteBibliography"/>
              <w:rPr>
                <w:rFonts w:asciiTheme="minorHAnsi" w:hAnsiTheme="minorHAnsi" w:cstheme="minorHAnsi"/>
                <w:color w:val="000000" w:themeColor="text1"/>
                <w:lang w:val="en-GB"/>
              </w:rPr>
            </w:pPr>
            <w:r w:rsidRPr="00037AD4">
              <w:rPr>
                <w:rFonts w:asciiTheme="minorHAnsi" w:hAnsiTheme="minorHAnsi" w:cstheme="minorHAnsi"/>
                <w:color w:val="000000" w:themeColor="text1"/>
                <w:lang w:val="en-GB"/>
              </w:rPr>
              <w:t>DAD*</w:t>
            </w:r>
          </w:p>
        </w:tc>
        <w:tc>
          <w:tcPr>
            <w:tcW w:w="1220" w:type="dxa"/>
          </w:tcPr>
          <w:p w14:paraId="582157CB" w14:textId="77777777" w:rsidR="00B54D51" w:rsidRPr="00037AD4" w:rsidRDefault="00B54D51" w:rsidP="00DE544D">
            <w:pPr>
              <w:rPr>
                <w:rFonts w:asciiTheme="minorHAnsi" w:hAnsiTheme="minorHAnsi" w:cstheme="minorHAnsi"/>
                <w:color w:val="000000" w:themeColor="text1"/>
                <w:shd w:val="clear" w:color="auto" w:fill="FFFFFF"/>
              </w:rPr>
            </w:pPr>
            <w:r w:rsidRPr="00037AD4">
              <w:rPr>
                <w:rFonts w:asciiTheme="minorHAnsi" w:hAnsiTheme="minorHAnsi" w:cstheme="minorHAnsi"/>
                <w:color w:val="000000" w:themeColor="text1"/>
                <w:shd w:val="clear" w:color="auto" w:fill="FFFFFF"/>
              </w:rPr>
              <w:t xml:space="preserve">15 – 20 </w:t>
            </w:r>
          </w:p>
        </w:tc>
        <w:tc>
          <w:tcPr>
            <w:tcW w:w="1492" w:type="dxa"/>
          </w:tcPr>
          <w:p w14:paraId="1231DB58" w14:textId="77777777" w:rsidR="00B54D51" w:rsidRPr="00037AD4" w:rsidRDefault="00B54D51" w:rsidP="00DE544D">
            <w:pPr>
              <w:rPr>
                <w:rFonts w:asciiTheme="minorHAnsi" w:hAnsiTheme="minorHAnsi" w:cstheme="minorHAnsi"/>
                <w:color w:val="000000" w:themeColor="text1"/>
              </w:rPr>
            </w:pPr>
            <w:r w:rsidRPr="00037AD4">
              <w:rPr>
                <w:rFonts w:asciiTheme="minorHAnsi" w:hAnsiTheme="minorHAnsi" w:cstheme="minorHAnsi"/>
                <w:color w:val="000000" w:themeColor="text1"/>
                <w:shd w:val="clear" w:color="auto" w:fill="FFFFFF"/>
              </w:rPr>
              <w:t>Measure ability of the PwD to carry out</w:t>
            </w:r>
            <w:r w:rsidRPr="00037AD4">
              <w:rPr>
                <w:rStyle w:val="apple-converted-space"/>
                <w:rFonts w:asciiTheme="minorHAnsi" w:eastAsiaTheme="majorEastAsia" w:hAnsiTheme="minorHAnsi" w:cstheme="minorHAnsi"/>
                <w:color w:val="000000" w:themeColor="text1"/>
                <w:shd w:val="clear" w:color="auto" w:fill="FFFFFF"/>
              </w:rPr>
              <w:t> ADL</w:t>
            </w:r>
          </w:p>
        </w:tc>
        <w:tc>
          <w:tcPr>
            <w:tcW w:w="1220" w:type="dxa"/>
          </w:tcPr>
          <w:p w14:paraId="1DB87538" w14:textId="77777777" w:rsidR="00B54D51" w:rsidRPr="00037AD4" w:rsidRDefault="00B54D51" w:rsidP="003919EF">
            <w:pPr>
              <w:pStyle w:val="EndNoteBibliography"/>
              <w:rPr>
                <w:rFonts w:asciiTheme="minorHAnsi" w:hAnsiTheme="minorHAnsi" w:cstheme="minorHAnsi"/>
                <w:color w:val="000000" w:themeColor="text1"/>
                <w:lang w:val="en-GB"/>
              </w:rPr>
            </w:pPr>
            <w:r w:rsidRPr="00037AD4">
              <w:rPr>
                <w:rFonts w:ascii="Segoe UI Symbol" w:hAnsi="Segoe UI Symbol" w:cs="Segoe UI Symbol"/>
                <w:color w:val="000000" w:themeColor="text1"/>
                <w:shd w:val="clear" w:color="auto" w:fill="FFFFFF"/>
                <w:lang w:val="en-GB"/>
              </w:rPr>
              <w:t>✓</w:t>
            </w:r>
          </w:p>
        </w:tc>
        <w:tc>
          <w:tcPr>
            <w:tcW w:w="1627" w:type="dxa"/>
          </w:tcPr>
          <w:p w14:paraId="4875AC4D" w14:textId="77777777" w:rsidR="00B54D51" w:rsidRPr="00037AD4" w:rsidRDefault="00B54D51" w:rsidP="003919EF">
            <w:pPr>
              <w:pStyle w:val="EndNoteBibliography"/>
              <w:rPr>
                <w:rFonts w:asciiTheme="minorHAnsi" w:hAnsiTheme="minorHAnsi" w:cstheme="minorHAnsi"/>
                <w:color w:val="000000" w:themeColor="text1"/>
                <w:lang w:val="en-GB"/>
              </w:rPr>
            </w:pPr>
            <w:r w:rsidRPr="00037AD4">
              <w:rPr>
                <w:rFonts w:asciiTheme="minorHAnsi" w:hAnsiTheme="minorHAnsi" w:cstheme="minorHAnsi"/>
                <w:color w:val="000000" w:themeColor="text1"/>
                <w:lang w:val="en-GB"/>
              </w:rPr>
              <w:t>Interview-based proxy questionnaire</w:t>
            </w:r>
          </w:p>
        </w:tc>
        <w:tc>
          <w:tcPr>
            <w:tcW w:w="814" w:type="dxa"/>
          </w:tcPr>
          <w:p w14:paraId="655FE056" w14:textId="77777777" w:rsidR="00B54D51" w:rsidRPr="00037AD4" w:rsidRDefault="00B54D51" w:rsidP="003919EF">
            <w:pPr>
              <w:pStyle w:val="EndNoteBibliography"/>
              <w:rPr>
                <w:rFonts w:asciiTheme="minorHAnsi" w:hAnsiTheme="minorHAnsi" w:cstheme="minorHAnsi"/>
                <w:color w:val="000000" w:themeColor="text1"/>
                <w:lang w:val="en-GB"/>
              </w:rPr>
            </w:pPr>
            <w:r w:rsidRPr="00037AD4">
              <w:rPr>
                <w:rFonts w:asciiTheme="minorHAnsi" w:hAnsiTheme="minorHAnsi" w:cstheme="minorHAnsi"/>
                <w:color w:val="000000" w:themeColor="text1"/>
                <w:lang w:val="en-GB"/>
              </w:rPr>
              <w:t xml:space="preserve">Both </w:t>
            </w:r>
          </w:p>
        </w:tc>
        <w:tc>
          <w:tcPr>
            <w:tcW w:w="1085" w:type="dxa"/>
          </w:tcPr>
          <w:p w14:paraId="2A2E1F55" w14:textId="77777777" w:rsidR="00B54D51" w:rsidRPr="00037AD4" w:rsidRDefault="00B54D51" w:rsidP="003919EF">
            <w:pPr>
              <w:pStyle w:val="EndNoteBibliography"/>
              <w:rPr>
                <w:rFonts w:asciiTheme="minorHAnsi" w:hAnsiTheme="minorHAnsi" w:cstheme="minorHAnsi"/>
                <w:color w:val="000000" w:themeColor="text1"/>
                <w:lang w:val="en-GB"/>
              </w:rPr>
            </w:pPr>
            <w:r w:rsidRPr="00037AD4">
              <w:rPr>
                <w:rFonts w:asciiTheme="minorHAnsi" w:hAnsiTheme="minorHAnsi" w:cstheme="minorHAnsi"/>
                <w:color w:val="000000" w:themeColor="text1"/>
                <w:lang w:val="en-GB"/>
              </w:rPr>
              <w:t>40</w:t>
            </w:r>
          </w:p>
        </w:tc>
        <w:tc>
          <w:tcPr>
            <w:tcW w:w="1627" w:type="dxa"/>
          </w:tcPr>
          <w:p w14:paraId="4674BC6C" w14:textId="77777777" w:rsidR="00B54D51" w:rsidRPr="00037AD4" w:rsidRDefault="00B54D51" w:rsidP="003919EF">
            <w:pPr>
              <w:pStyle w:val="EndNoteBibliography"/>
              <w:rPr>
                <w:rFonts w:asciiTheme="minorHAnsi" w:hAnsiTheme="minorHAnsi" w:cstheme="minorHAnsi"/>
                <w:color w:val="000000" w:themeColor="text1"/>
                <w:lang w:val="en-GB"/>
              </w:rPr>
            </w:pPr>
            <w:r w:rsidRPr="00037AD4">
              <w:rPr>
                <w:rFonts w:asciiTheme="minorHAnsi" w:hAnsiTheme="minorHAnsi" w:cstheme="minorHAnsi"/>
                <w:color w:val="000000" w:themeColor="text1"/>
                <w:lang w:val="en-GB"/>
              </w:rPr>
              <w:t xml:space="preserve">0 – 100: most severe – without dependence </w:t>
            </w:r>
          </w:p>
        </w:tc>
      </w:tr>
      <w:tr w:rsidR="00B54D51" w:rsidRPr="00037AD4" w14:paraId="1B0D4DE8" w14:textId="77777777" w:rsidTr="008F77C5">
        <w:trPr>
          <w:trHeight w:val="1439"/>
        </w:trPr>
        <w:tc>
          <w:tcPr>
            <w:tcW w:w="945" w:type="dxa"/>
          </w:tcPr>
          <w:p w14:paraId="070C9B19" w14:textId="77777777" w:rsidR="00B54D51" w:rsidRPr="00037AD4" w:rsidRDefault="00B54D51" w:rsidP="003919EF">
            <w:pPr>
              <w:pStyle w:val="EndNoteBibliography"/>
              <w:rPr>
                <w:rFonts w:asciiTheme="minorHAnsi" w:hAnsiTheme="minorHAnsi" w:cstheme="minorHAnsi"/>
                <w:color w:val="000000" w:themeColor="text1"/>
                <w:lang w:val="en-GB"/>
              </w:rPr>
            </w:pPr>
            <w:r w:rsidRPr="00037AD4">
              <w:rPr>
                <w:rFonts w:asciiTheme="minorHAnsi" w:hAnsiTheme="minorHAnsi" w:cstheme="minorHAnsi"/>
                <w:color w:val="000000" w:themeColor="text1"/>
                <w:lang w:val="en-GB"/>
              </w:rPr>
              <w:t>ADCS-ADL</w:t>
            </w:r>
          </w:p>
        </w:tc>
        <w:tc>
          <w:tcPr>
            <w:tcW w:w="1220" w:type="dxa"/>
          </w:tcPr>
          <w:p w14:paraId="09A6BCEA" w14:textId="77777777" w:rsidR="00B54D51" w:rsidRPr="00037AD4" w:rsidRDefault="00B54D51" w:rsidP="003919EF">
            <w:pPr>
              <w:pStyle w:val="EndNoteBibliography"/>
              <w:rPr>
                <w:rFonts w:asciiTheme="minorHAnsi" w:hAnsiTheme="minorHAnsi" w:cstheme="minorHAnsi"/>
                <w:color w:val="000000" w:themeColor="text1"/>
                <w:lang w:val="en-GB"/>
              </w:rPr>
            </w:pPr>
            <w:r w:rsidRPr="00037AD4">
              <w:rPr>
                <w:rFonts w:asciiTheme="minorHAnsi" w:hAnsiTheme="minorHAnsi" w:cstheme="minorHAnsi"/>
                <w:color w:val="000000" w:themeColor="text1"/>
                <w:lang w:val="en-GB"/>
              </w:rPr>
              <w:t xml:space="preserve">15 – 30 </w:t>
            </w:r>
          </w:p>
        </w:tc>
        <w:tc>
          <w:tcPr>
            <w:tcW w:w="1492" w:type="dxa"/>
          </w:tcPr>
          <w:p w14:paraId="5CAA24A3" w14:textId="77777777" w:rsidR="00B54D51" w:rsidRPr="00037AD4" w:rsidRDefault="00B54D51" w:rsidP="003919EF">
            <w:pPr>
              <w:pStyle w:val="EndNoteBibliography"/>
              <w:rPr>
                <w:rFonts w:asciiTheme="minorHAnsi" w:hAnsiTheme="minorHAnsi" w:cstheme="minorHAnsi"/>
                <w:color w:val="000000" w:themeColor="text1"/>
                <w:lang w:val="en-GB"/>
              </w:rPr>
            </w:pPr>
            <w:r w:rsidRPr="00037AD4">
              <w:rPr>
                <w:rFonts w:asciiTheme="minorHAnsi" w:hAnsiTheme="minorHAnsi" w:cstheme="minorHAnsi"/>
                <w:color w:val="000000" w:themeColor="text1"/>
                <w:lang w:val="en-GB"/>
              </w:rPr>
              <w:t>Evaluate ADL abilities over time and detect changes in the PwD</w:t>
            </w:r>
          </w:p>
        </w:tc>
        <w:tc>
          <w:tcPr>
            <w:tcW w:w="1220" w:type="dxa"/>
          </w:tcPr>
          <w:p w14:paraId="064C73EF" w14:textId="77777777" w:rsidR="00B54D51" w:rsidRPr="00037AD4" w:rsidRDefault="00B54D51" w:rsidP="003919EF">
            <w:pPr>
              <w:pStyle w:val="EndNoteBibliography"/>
              <w:rPr>
                <w:rFonts w:asciiTheme="minorHAnsi" w:hAnsiTheme="minorHAnsi" w:cstheme="minorHAnsi"/>
                <w:color w:val="000000" w:themeColor="text1"/>
                <w:lang w:val="en-GB"/>
              </w:rPr>
            </w:pPr>
            <w:r w:rsidRPr="00037AD4">
              <w:rPr>
                <w:rFonts w:ascii="Segoe UI Symbol" w:hAnsi="Segoe UI Symbol" w:cs="Segoe UI Symbol"/>
                <w:color w:val="000000" w:themeColor="text1"/>
                <w:shd w:val="clear" w:color="auto" w:fill="FFFFFF"/>
                <w:lang w:val="en-GB"/>
              </w:rPr>
              <w:t>✓</w:t>
            </w:r>
          </w:p>
        </w:tc>
        <w:tc>
          <w:tcPr>
            <w:tcW w:w="1627" w:type="dxa"/>
          </w:tcPr>
          <w:p w14:paraId="3E084ED2" w14:textId="77777777" w:rsidR="00B54D51" w:rsidRPr="00037AD4" w:rsidRDefault="00B54D51" w:rsidP="003919EF">
            <w:pPr>
              <w:pStyle w:val="EndNoteBibliography"/>
              <w:rPr>
                <w:rFonts w:asciiTheme="minorHAnsi" w:hAnsiTheme="minorHAnsi" w:cstheme="minorHAnsi"/>
                <w:color w:val="000000" w:themeColor="text1"/>
                <w:lang w:val="en-GB"/>
              </w:rPr>
            </w:pPr>
            <w:r w:rsidRPr="00037AD4">
              <w:rPr>
                <w:rFonts w:asciiTheme="minorHAnsi" w:hAnsiTheme="minorHAnsi" w:cstheme="minorHAnsi"/>
                <w:color w:val="000000" w:themeColor="text1"/>
                <w:lang w:val="en-GB"/>
              </w:rPr>
              <w:t>Proxy-reported questionnaire</w:t>
            </w:r>
          </w:p>
        </w:tc>
        <w:tc>
          <w:tcPr>
            <w:tcW w:w="814" w:type="dxa"/>
          </w:tcPr>
          <w:p w14:paraId="5FC4B491" w14:textId="77777777" w:rsidR="00B54D51" w:rsidRPr="00037AD4" w:rsidRDefault="00B54D51" w:rsidP="0019202D">
            <w:pPr>
              <w:pStyle w:val="EndNoteBibliography"/>
              <w:rPr>
                <w:rFonts w:asciiTheme="minorHAnsi" w:hAnsiTheme="minorHAnsi" w:cstheme="minorHAnsi"/>
                <w:color w:val="000000" w:themeColor="text1"/>
                <w:lang w:val="en-GB"/>
              </w:rPr>
            </w:pPr>
            <w:r w:rsidRPr="00037AD4">
              <w:rPr>
                <w:rFonts w:asciiTheme="minorHAnsi" w:hAnsiTheme="minorHAnsi" w:cstheme="minorHAnsi"/>
                <w:color w:val="000000" w:themeColor="text1"/>
                <w:lang w:val="en-GB"/>
              </w:rPr>
              <w:t xml:space="preserve">Both </w:t>
            </w:r>
          </w:p>
        </w:tc>
        <w:tc>
          <w:tcPr>
            <w:tcW w:w="1085" w:type="dxa"/>
          </w:tcPr>
          <w:p w14:paraId="184FF632" w14:textId="77777777" w:rsidR="00B54D51" w:rsidRPr="00037AD4" w:rsidRDefault="00B54D51" w:rsidP="003919EF">
            <w:pPr>
              <w:pStyle w:val="EndNoteBibliography"/>
              <w:rPr>
                <w:rFonts w:asciiTheme="minorHAnsi" w:hAnsiTheme="minorHAnsi" w:cstheme="minorHAnsi"/>
                <w:color w:val="000000" w:themeColor="text1"/>
                <w:lang w:val="en-GB"/>
              </w:rPr>
            </w:pPr>
            <w:r w:rsidRPr="00037AD4">
              <w:rPr>
                <w:rFonts w:asciiTheme="minorHAnsi" w:hAnsiTheme="minorHAnsi" w:cstheme="minorHAnsi"/>
                <w:color w:val="000000" w:themeColor="text1"/>
                <w:lang w:val="en-GB"/>
              </w:rPr>
              <w:t>23</w:t>
            </w:r>
          </w:p>
        </w:tc>
        <w:tc>
          <w:tcPr>
            <w:tcW w:w="1627" w:type="dxa"/>
          </w:tcPr>
          <w:p w14:paraId="4EA495A2" w14:textId="77777777" w:rsidR="00B54D51" w:rsidRPr="00037AD4" w:rsidRDefault="00B54D51" w:rsidP="003919EF">
            <w:pPr>
              <w:pStyle w:val="EndNoteBibliography"/>
              <w:rPr>
                <w:rFonts w:asciiTheme="minorHAnsi" w:hAnsiTheme="minorHAnsi" w:cstheme="minorHAnsi"/>
                <w:color w:val="000000" w:themeColor="text1"/>
                <w:lang w:val="en-GB"/>
              </w:rPr>
            </w:pPr>
            <w:r w:rsidRPr="00037AD4">
              <w:rPr>
                <w:rFonts w:asciiTheme="minorHAnsi" w:hAnsiTheme="minorHAnsi" w:cstheme="minorHAnsi"/>
                <w:color w:val="000000" w:themeColor="text1"/>
                <w:lang w:val="en-GB"/>
              </w:rPr>
              <w:t xml:space="preserve">0 – 78: higher scores are better functioning </w:t>
            </w:r>
          </w:p>
        </w:tc>
      </w:tr>
      <w:tr w:rsidR="00B54D51" w:rsidRPr="00037AD4" w14:paraId="0837EB70" w14:textId="77777777" w:rsidTr="008F77C5">
        <w:trPr>
          <w:trHeight w:val="959"/>
        </w:trPr>
        <w:tc>
          <w:tcPr>
            <w:tcW w:w="945" w:type="dxa"/>
          </w:tcPr>
          <w:p w14:paraId="68727FE4" w14:textId="77777777" w:rsidR="00B54D51" w:rsidRPr="00037AD4" w:rsidRDefault="00B54D51" w:rsidP="003919EF">
            <w:pPr>
              <w:pStyle w:val="EndNoteBibliography"/>
              <w:rPr>
                <w:rFonts w:asciiTheme="minorHAnsi" w:hAnsiTheme="minorHAnsi" w:cstheme="minorHAnsi"/>
                <w:color w:val="000000" w:themeColor="text1"/>
                <w:lang w:val="en-GB"/>
              </w:rPr>
            </w:pPr>
            <w:r w:rsidRPr="00037AD4">
              <w:rPr>
                <w:rFonts w:asciiTheme="minorHAnsi" w:hAnsiTheme="minorHAnsi" w:cstheme="minorHAnsi"/>
                <w:color w:val="000000" w:themeColor="text1"/>
                <w:lang w:val="en-GB"/>
              </w:rPr>
              <w:t>Lawton</w:t>
            </w:r>
          </w:p>
          <w:p w14:paraId="0BA13A07" w14:textId="77777777" w:rsidR="00B54D51" w:rsidRPr="00037AD4" w:rsidRDefault="00B54D51" w:rsidP="003919EF">
            <w:pPr>
              <w:pStyle w:val="EndNoteBibliography"/>
              <w:rPr>
                <w:rFonts w:asciiTheme="minorHAnsi" w:hAnsiTheme="minorHAnsi" w:cstheme="minorHAnsi"/>
                <w:color w:val="000000" w:themeColor="text1"/>
                <w:lang w:val="en-GB"/>
              </w:rPr>
            </w:pPr>
            <w:r w:rsidRPr="00037AD4">
              <w:rPr>
                <w:rFonts w:asciiTheme="minorHAnsi" w:hAnsiTheme="minorHAnsi" w:cstheme="minorHAnsi"/>
                <w:color w:val="000000" w:themeColor="text1"/>
                <w:lang w:val="en-GB"/>
              </w:rPr>
              <w:t>scale</w:t>
            </w:r>
          </w:p>
        </w:tc>
        <w:tc>
          <w:tcPr>
            <w:tcW w:w="1220" w:type="dxa"/>
          </w:tcPr>
          <w:p w14:paraId="433BDD1C" w14:textId="77777777" w:rsidR="00B54D51" w:rsidRPr="00037AD4" w:rsidRDefault="00B54D51" w:rsidP="003919EF">
            <w:pPr>
              <w:pStyle w:val="EndNoteBibliography"/>
              <w:rPr>
                <w:rFonts w:asciiTheme="minorHAnsi" w:hAnsiTheme="minorHAnsi" w:cstheme="minorHAnsi"/>
                <w:color w:val="000000" w:themeColor="text1"/>
                <w:lang w:val="en-GB"/>
              </w:rPr>
            </w:pPr>
            <w:r w:rsidRPr="00037AD4">
              <w:rPr>
                <w:rFonts w:asciiTheme="minorHAnsi" w:hAnsiTheme="minorHAnsi" w:cstheme="minorHAnsi"/>
                <w:color w:val="000000" w:themeColor="text1"/>
                <w:lang w:val="en-GB"/>
              </w:rPr>
              <w:t xml:space="preserve">10 – 15 </w:t>
            </w:r>
          </w:p>
        </w:tc>
        <w:tc>
          <w:tcPr>
            <w:tcW w:w="1492" w:type="dxa"/>
          </w:tcPr>
          <w:p w14:paraId="6A9E4859" w14:textId="77777777" w:rsidR="00B54D51" w:rsidRPr="00037AD4" w:rsidRDefault="00B54D51" w:rsidP="003919EF">
            <w:pPr>
              <w:pStyle w:val="EndNoteBibliography"/>
              <w:rPr>
                <w:rFonts w:asciiTheme="minorHAnsi" w:hAnsiTheme="minorHAnsi" w:cstheme="minorHAnsi"/>
                <w:color w:val="000000" w:themeColor="text1"/>
                <w:lang w:val="en-GB"/>
              </w:rPr>
            </w:pPr>
            <w:r w:rsidRPr="00037AD4">
              <w:rPr>
                <w:rFonts w:asciiTheme="minorHAnsi" w:hAnsiTheme="minorHAnsi" w:cstheme="minorHAnsi"/>
                <w:color w:val="000000" w:themeColor="text1"/>
                <w:lang w:val="en-GB"/>
              </w:rPr>
              <w:t>Assess function in older people</w:t>
            </w:r>
          </w:p>
        </w:tc>
        <w:tc>
          <w:tcPr>
            <w:tcW w:w="1220" w:type="dxa"/>
          </w:tcPr>
          <w:p w14:paraId="554A5B9E" w14:textId="77777777" w:rsidR="00B54D51" w:rsidRPr="00037AD4" w:rsidRDefault="00B54D51" w:rsidP="003919EF">
            <w:pPr>
              <w:pStyle w:val="EndNoteBibliography"/>
              <w:rPr>
                <w:rFonts w:asciiTheme="minorHAnsi" w:hAnsiTheme="minorHAnsi" w:cstheme="minorHAnsi"/>
                <w:color w:val="000000" w:themeColor="text1"/>
                <w:lang w:val="en-GB"/>
              </w:rPr>
            </w:pPr>
          </w:p>
        </w:tc>
        <w:tc>
          <w:tcPr>
            <w:tcW w:w="1627" w:type="dxa"/>
          </w:tcPr>
          <w:p w14:paraId="20A99BB6" w14:textId="77777777" w:rsidR="00B54D51" w:rsidRPr="00037AD4" w:rsidRDefault="00B54D51" w:rsidP="003919EF">
            <w:pPr>
              <w:pStyle w:val="EndNoteBibliography"/>
              <w:rPr>
                <w:rFonts w:asciiTheme="minorHAnsi" w:hAnsiTheme="minorHAnsi" w:cstheme="minorHAnsi"/>
                <w:color w:val="000000" w:themeColor="text1"/>
                <w:lang w:val="en-GB"/>
              </w:rPr>
            </w:pPr>
            <w:r w:rsidRPr="00037AD4">
              <w:rPr>
                <w:rFonts w:asciiTheme="minorHAnsi" w:hAnsiTheme="minorHAnsi" w:cstheme="minorHAnsi"/>
                <w:color w:val="000000" w:themeColor="text1"/>
                <w:lang w:val="en-GB"/>
              </w:rPr>
              <w:t>Interview-based proxy questionnaire</w:t>
            </w:r>
          </w:p>
        </w:tc>
        <w:tc>
          <w:tcPr>
            <w:tcW w:w="814" w:type="dxa"/>
          </w:tcPr>
          <w:p w14:paraId="25C74A65" w14:textId="77777777" w:rsidR="00B54D51" w:rsidRPr="00037AD4" w:rsidRDefault="00B54D51" w:rsidP="003919EF">
            <w:pPr>
              <w:pStyle w:val="EndNoteBibliography"/>
              <w:rPr>
                <w:rFonts w:asciiTheme="minorHAnsi" w:hAnsiTheme="minorHAnsi" w:cstheme="minorHAnsi"/>
                <w:color w:val="000000" w:themeColor="text1"/>
                <w:lang w:val="en-GB"/>
              </w:rPr>
            </w:pPr>
            <w:r w:rsidRPr="00037AD4">
              <w:rPr>
                <w:rFonts w:asciiTheme="minorHAnsi" w:hAnsiTheme="minorHAnsi" w:cstheme="minorHAnsi"/>
                <w:color w:val="000000" w:themeColor="text1"/>
                <w:lang w:val="en-GB"/>
              </w:rPr>
              <w:t xml:space="preserve">IADL </w:t>
            </w:r>
          </w:p>
        </w:tc>
        <w:tc>
          <w:tcPr>
            <w:tcW w:w="1085" w:type="dxa"/>
          </w:tcPr>
          <w:p w14:paraId="697DBDC9" w14:textId="77777777" w:rsidR="00B54D51" w:rsidRPr="00037AD4" w:rsidRDefault="00B54D51" w:rsidP="003919EF">
            <w:pPr>
              <w:pStyle w:val="EndNoteBibliography"/>
              <w:rPr>
                <w:rFonts w:asciiTheme="minorHAnsi" w:hAnsiTheme="minorHAnsi" w:cstheme="minorHAnsi"/>
                <w:color w:val="000000" w:themeColor="text1"/>
                <w:lang w:val="en-GB"/>
              </w:rPr>
            </w:pPr>
            <w:r w:rsidRPr="00037AD4">
              <w:rPr>
                <w:rFonts w:asciiTheme="minorHAnsi" w:hAnsiTheme="minorHAnsi" w:cstheme="minorHAnsi"/>
                <w:color w:val="000000" w:themeColor="text1"/>
                <w:lang w:val="en-GB"/>
              </w:rPr>
              <w:t>8</w:t>
            </w:r>
          </w:p>
        </w:tc>
        <w:tc>
          <w:tcPr>
            <w:tcW w:w="1627" w:type="dxa"/>
          </w:tcPr>
          <w:p w14:paraId="17E6B199" w14:textId="77777777" w:rsidR="00B54D51" w:rsidRPr="00037AD4" w:rsidRDefault="00B54D51" w:rsidP="003919EF">
            <w:pPr>
              <w:pStyle w:val="EndNoteBibliography"/>
              <w:rPr>
                <w:rFonts w:asciiTheme="minorHAnsi" w:hAnsiTheme="minorHAnsi" w:cstheme="minorHAnsi"/>
                <w:color w:val="000000" w:themeColor="text1"/>
                <w:lang w:val="en-GB"/>
              </w:rPr>
            </w:pPr>
            <w:r w:rsidRPr="00037AD4">
              <w:rPr>
                <w:rFonts w:asciiTheme="minorHAnsi" w:hAnsiTheme="minorHAnsi" w:cstheme="minorHAnsi"/>
                <w:color w:val="000000" w:themeColor="text1"/>
                <w:lang w:val="en-GB"/>
              </w:rPr>
              <w:t xml:space="preserve">0 – 8: low function – high function </w:t>
            </w:r>
          </w:p>
        </w:tc>
      </w:tr>
      <w:tr w:rsidR="00B54D51" w:rsidRPr="00037AD4" w14:paraId="1C9E855D" w14:textId="77777777" w:rsidTr="008F77C5">
        <w:trPr>
          <w:trHeight w:val="232"/>
        </w:trPr>
        <w:tc>
          <w:tcPr>
            <w:tcW w:w="945" w:type="dxa"/>
          </w:tcPr>
          <w:p w14:paraId="644FEBA5" w14:textId="77777777" w:rsidR="00B54D51" w:rsidRPr="00037AD4" w:rsidRDefault="00B54D51" w:rsidP="003919EF">
            <w:pPr>
              <w:pStyle w:val="EndNoteBibliography"/>
              <w:rPr>
                <w:rFonts w:asciiTheme="minorHAnsi" w:hAnsiTheme="minorHAnsi" w:cstheme="minorHAnsi"/>
                <w:color w:val="000000" w:themeColor="text1"/>
                <w:lang w:val="en-GB"/>
              </w:rPr>
            </w:pPr>
            <w:r w:rsidRPr="00037AD4">
              <w:rPr>
                <w:rFonts w:asciiTheme="minorHAnsi" w:hAnsiTheme="minorHAnsi" w:cstheme="minorHAnsi"/>
                <w:color w:val="000000" w:themeColor="text1"/>
                <w:lang w:val="en-GB"/>
              </w:rPr>
              <w:t>Katz index</w:t>
            </w:r>
          </w:p>
        </w:tc>
        <w:tc>
          <w:tcPr>
            <w:tcW w:w="1220" w:type="dxa"/>
          </w:tcPr>
          <w:p w14:paraId="69100F7A" w14:textId="77777777" w:rsidR="00B54D51" w:rsidRPr="00037AD4" w:rsidRDefault="00B54D51" w:rsidP="003919EF">
            <w:pPr>
              <w:pStyle w:val="EndNoteBibliography"/>
              <w:rPr>
                <w:rFonts w:asciiTheme="minorHAnsi" w:hAnsiTheme="minorHAnsi" w:cstheme="minorHAnsi"/>
                <w:color w:val="000000" w:themeColor="text1"/>
                <w:lang w:val="en-GB"/>
              </w:rPr>
            </w:pPr>
            <w:r w:rsidRPr="00037AD4">
              <w:rPr>
                <w:rFonts w:asciiTheme="minorHAnsi" w:hAnsiTheme="minorHAnsi" w:cstheme="minorHAnsi"/>
                <w:color w:val="000000" w:themeColor="text1"/>
                <w:lang w:val="en-GB"/>
              </w:rPr>
              <w:t xml:space="preserve">10 – 15 </w:t>
            </w:r>
          </w:p>
        </w:tc>
        <w:tc>
          <w:tcPr>
            <w:tcW w:w="1492" w:type="dxa"/>
          </w:tcPr>
          <w:p w14:paraId="282EA2CC" w14:textId="77777777" w:rsidR="00B54D51" w:rsidRPr="00037AD4" w:rsidRDefault="00B54D51" w:rsidP="003919EF">
            <w:pPr>
              <w:pStyle w:val="EndNoteBibliography"/>
              <w:rPr>
                <w:rFonts w:asciiTheme="minorHAnsi" w:hAnsiTheme="minorHAnsi" w:cstheme="minorHAnsi"/>
                <w:color w:val="000000" w:themeColor="text1"/>
                <w:lang w:val="en-GB"/>
              </w:rPr>
            </w:pPr>
            <w:r w:rsidRPr="00037AD4">
              <w:rPr>
                <w:rFonts w:asciiTheme="minorHAnsi" w:hAnsiTheme="minorHAnsi" w:cstheme="minorHAnsi"/>
                <w:color w:val="000000" w:themeColor="text1"/>
                <w:lang w:val="en-GB"/>
              </w:rPr>
              <w:t xml:space="preserve">Measure ADL ability and dependence </w:t>
            </w:r>
          </w:p>
        </w:tc>
        <w:tc>
          <w:tcPr>
            <w:tcW w:w="1220" w:type="dxa"/>
          </w:tcPr>
          <w:p w14:paraId="20284008" w14:textId="77777777" w:rsidR="00B54D51" w:rsidRPr="00037AD4" w:rsidRDefault="00B54D51" w:rsidP="003919EF">
            <w:pPr>
              <w:pStyle w:val="EndNoteBibliography"/>
              <w:rPr>
                <w:rFonts w:asciiTheme="minorHAnsi" w:hAnsiTheme="minorHAnsi" w:cstheme="minorHAnsi"/>
                <w:color w:val="000000" w:themeColor="text1"/>
                <w:lang w:val="en-GB"/>
              </w:rPr>
            </w:pPr>
          </w:p>
        </w:tc>
        <w:tc>
          <w:tcPr>
            <w:tcW w:w="1627" w:type="dxa"/>
          </w:tcPr>
          <w:p w14:paraId="432D372B" w14:textId="77777777" w:rsidR="00B54D51" w:rsidRPr="00037AD4" w:rsidRDefault="00B54D51" w:rsidP="003919EF">
            <w:pPr>
              <w:pStyle w:val="EndNoteBibliography"/>
              <w:rPr>
                <w:rFonts w:asciiTheme="minorHAnsi" w:hAnsiTheme="minorHAnsi" w:cstheme="minorHAnsi"/>
                <w:color w:val="000000" w:themeColor="text1"/>
                <w:lang w:val="en-GB"/>
              </w:rPr>
            </w:pPr>
            <w:r w:rsidRPr="00037AD4">
              <w:rPr>
                <w:rFonts w:asciiTheme="minorHAnsi" w:hAnsiTheme="minorHAnsi" w:cstheme="minorHAnsi"/>
                <w:color w:val="000000" w:themeColor="text1"/>
                <w:lang w:val="en-GB"/>
              </w:rPr>
              <w:t xml:space="preserve">Observer or proxy report  </w:t>
            </w:r>
          </w:p>
        </w:tc>
        <w:tc>
          <w:tcPr>
            <w:tcW w:w="814" w:type="dxa"/>
          </w:tcPr>
          <w:p w14:paraId="38AA324E" w14:textId="77777777" w:rsidR="00B54D51" w:rsidRPr="00037AD4" w:rsidRDefault="00B54D51" w:rsidP="003919EF">
            <w:pPr>
              <w:pStyle w:val="EndNoteBibliography"/>
              <w:rPr>
                <w:rFonts w:asciiTheme="minorHAnsi" w:hAnsiTheme="minorHAnsi" w:cstheme="minorHAnsi"/>
                <w:color w:val="000000" w:themeColor="text1"/>
                <w:lang w:val="en-GB"/>
              </w:rPr>
            </w:pPr>
            <w:r w:rsidRPr="00037AD4">
              <w:rPr>
                <w:rFonts w:asciiTheme="minorHAnsi" w:hAnsiTheme="minorHAnsi" w:cstheme="minorHAnsi"/>
                <w:color w:val="000000" w:themeColor="text1"/>
                <w:lang w:val="en-GB"/>
              </w:rPr>
              <w:t>BADL</w:t>
            </w:r>
          </w:p>
        </w:tc>
        <w:tc>
          <w:tcPr>
            <w:tcW w:w="1085" w:type="dxa"/>
          </w:tcPr>
          <w:p w14:paraId="7458B153" w14:textId="77777777" w:rsidR="00B54D51" w:rsidRPr="00037AD4" w:rsidRDefault="00B54D51" w:rsidP="003919EF">
            <w:pPr>
              <w:pStyle w:val="EndNoteBibliography"/>
              <w:rPr>
                <w:rFonts w:asciiTheme="minorHAnsi" w:hAnsiTheme="minorHAnsi" w:cstheme="minorHAnsi"/>
                <w:color w:val="000000" w:themeColor="text1"/>
                <w:lang w:val="en-GB"/>
              </w:rPr>
            </w:pPr>
            <w:r w:rsidRPr="00037AD4">
              <w:rPr>
                <w:rFonts w:asciiTheme="minorHAnsi" w:hAnsiTheme="minorHAnsi" w:cstheme="minorHAnsi"/>
                <w:color w:val="000000" w:themeColor="text1"/>
                <w:lang w:val="en-GB"/>
              </w:rPr>
              <w:t>6</w:t>
            </w:r>
          </w:p>
        </w:tc>
        <w:tc>
          <w:tcPr>
            <w:tcW w:w="1627" w:type="dxa"/>
          </w:tcPr>
          <w:p w14:paraId="0997B8F0" w14:textId="77777777" w:rsidR="00B54D51" w:rsidRPr="00037AD4" w:rsidRDefault="00B54D51" w:rsidP="003919EF">
            <w:pPr>
              <w:pStyle w:val="EndNoteBibliography"/>
              <w:rPr>
                <w:rFonts w:asciiTheme="minorHAnsi" w:hAnsiTheme="minorHAnsi" w:cstheme="minorHAnsi"/>
                <w:color w:val="000000" w:themeColor="text1"/>
                <w:lang w:val="en-GB"/>
              </w:rPr>
            </w:pPr>
            <w:r w:rsidRPr="00037AD4">
              <w:rPr>
                <w:rFonts w:asciiTheme="minorHAnsi" w:hAnsiTheme="minorHAnsi" w:cstheme="minorHAnsi"/>
                <w:color w:val="000000" w:themeColor="text1"/>
                <w:lang w:val="en-GB"/>
              </w:rPr>
              <w:t>0 – 6: 6, full function, 4, moderate impairment, &lt;2, severe functional impairment</w:t>
            </w:r>
          </w:p>
        </w:tc>
      </w:tr>
      <w:tr w:rsidR="00B54D51" w:rsidRPr="00037AD4" w14:paraId="35163CB1" w14:textId="77777777" w:rsidTr="008F77C5">
        <w:trPr>
          <w:trHeight w:val="1060"/>
        </w:trPr>
        <w:tc>
          <w:tcPr>
            <w:tcW w:w="945" w:type="dxa"/>
          </w:tcPr>
          <w:p w14:paraId="086F00C7" w14:textId="77777777" w:rsidR="00B54D51" w:rsidRPr="00037AD4" w:rsidRDefault="00B54D51" w:rsidP="003919EF">
            <w:pPr>
              <w:pStyle w:val="EndNoteBibliography"/>
              <w:rPr>
                <w:rFonts w:asciiTheme="minorHAnsi" w:hAnsiTheme="minorHAnsi" w:cstheme="minorHAnsi"/>
                <w:color w:val="000000" w:themeColor="text1"/>
                <w:lang w:val="en-GB"/>
              </w:rPr>
            </w:pPr>
            <w:r w:rsidRPr="00037AD4">
              <w:rPr>
                <w:rFonts w:asciiTheme="minorHAnsi" w:hAnsiTheme="minorHAnsi" w:cstheme="minorHAnsi"/>
                <w:color w:val="000000" w:themeColor="text1"/>
                <w:lang w:val="en-GB"/>
              </w:rPr>
              <w:t>Barthel</w:t>
            </w:r>
          </w:p>
        </w:tc>
        <w:tc>
          <w:tcPr>
            <w:tcW w:w="1220" w:type="dxa"/>
          </w:tcPr>
          <w:p w14:paraId="257D8A6B" w14:textId="77777777" w:rsidR="00B54D51" w:rsidRPr="00037AD4" w:rsidRDefault="00B54D51" w:rsidP="003919EF">
            <w:pPr>
              <w:pStyle w:val="EndNoteBibliography"/>
              <w:rPr>
                <w:rFonts w:asciiTheme="minorHAnsi" w:hAnsiTheme="minorHAnsi" w:cstheme="minorHAnsi"/>
                <w:color w:val="000000" w:themeColor="text1"/>
                <w:lang w:val="en-GB"/>
              </w:rPr>
            </w:pPr>
            <w:r w:rsidRPr="00037AD4">
              <w:rPr>
                <w:rFonts w:asciiTheme="minorHAnsi" w:hAnsiTheme="minorHAnsi" w:cstheme="minorHAnsi"/>
                <w:color w:val="000000" w:themeColor="text1"/>
                <w:lang w:val="en-GB"/>
              </w:rPr>
              <w:t>20</w:t>
            </w:r>
          </w:p>
        </w:tc>
        <w:tc>
          <w:tcPr>
            <w:tcW w:w="1492" w:type="dxa"/>
          </w:tcPr>
          <w:p w14:paraId="5C33E038" w14:textId="77777777" w:rsidR="00B54D51" w:rsidRPr="00037AD4" w:rsidRDefault="00B54D51" w:rsidP="003919EF">
            <w:pPr>
              <w:pStyle w:val="EndNoteBibliography"/>
              <w:rPr>
                <w:rFonts w:asciiTheme="minorHAnsi" w:hAnsiTheme="minorHAnsi" w:cstheme="minorHAnsi"/>
                <w:color w:val="000000" w:themeColor="text1"/>
                <w:lang w:val="en-GB"/>
              </w:rPr>
            </w:pPr>
            <w:r w:rsidRPr="00037AD4">
              <w:rPr>
                <w:rFonts w:asciiTheme="minorHAnsi" w:hAnsiTheme="minorHAnsi" w:cstheme="minorHAnsi"/>
                <w:color w:val="000000" w:themeColor="text1"/>
                <w:lang w:val="en-GB"/>
              </w:rPr>
              <w:t>Measure function and need for assistance in BADL</w:t>
            </w:r>
          </w:p>
        </w:tc>
        <w:tc>
          <w:tcPr>
            <w:tcW w:w="1220" w:type="dxa"/>
          </w:tcPr>
          <w:p w14:paraId="4D2DAAC5" w14:textId="77777777" w:rsidR="00B54D51" w:rsidRPr="00037AD4" w:rsidRDefault="00B54D51" w:rsidP="003919EF">
            <w:pPr>
              <w:pStyle w:val="EndNoteBibliography"/>
              <w:rPr>
                <w:rFonts w:asciiTheme="minorHAnsi" w:hAnsiTheme="minorHAnsi" w:cstheme="minorHAnsi"/>
                <w:color w:val="000000" w:themeColor="text1"/>
                <w:lang w:val="en-GB"/>
              </w:rPr>
            </w:pPr>
          </w:p>
        </w:tc>
        <w:tc>
          <w:tcPr>
            <w:tcW w:w="1627" w:type="dxa"/>
          </w:tcPr>
          <w:p w14:paraId="6BFD2D04" w14:textId="77777777" w:rsidR="00B54D51" w:rsidRPr="00037AD4" w:rsidRDefault="00B54D51" w:rsidP="003919EF">
            <w:pPr>
              <w:pStyle w:val="EndNoteBibliography"/>
              <w:rPr>
                <w:rFonts w:asciiTheme="minorHAnsi" w:hAnsiTheme="minorHAnsi" w:cstheme="minorHAnsi"/>
                <w:color w:val="000000" w:themeColor="text1"/>
                <w:lang w:val="en-GB"/>
              </w:rPr>
            </w:pPr>
            <w:r w:rsidRPr="00037AD4">
              <w:rPr>
                <w:rFonts w:asciiTheme="minorHAnsi" w:hAnsiTheme="minorHAnsi" w:cstheme="minorHAnsi"/>
                <w:color w:val="000000" w:themeColor="text1"/>
                <w:lang w:val="en-GB"/>
              </w:rPr>
              <w:t>Medical records, direct observation or interview</w:t>
            </w:r>
          </w:p>
        </w:tc>
        <w:tc>
          <w:tcPr>
            <w:tcW w:w="814" w:type="dxa"/>
          </w:tcPr>
          <w:p w14:paraId="6AB4F068" w14:textId="77777777" w:rsidR="00B54D51" w:rsidRPr="00037AD4" w:rsidRDefault="00B54D51" w:rsidP="003919EF">
            <w:pPr>
              <w:pStyle w:val="EndNoteBibliography"/>
              <w:rPr>
                <w:rFonts w:asciiTheme="minorHAnsi" w:hAnsiTheme="minorHAnsi" w:cstheme="minorHAnsi"/>
                <w:color w:val="000000" w:themeColor="text1"/>
                <w:lang w:val="en-GB"/>
              </w:rPr>
            </w:pPr>
            <w:r w:rsidRPr="00037AD4">
              <w:rPr>
                <w:rFonts w:asciiTheme="minorHAnsi" w:hAnsiTheme="minorHAnsi" w:cstheme="minorHAnsi"/>
                <w:color w:val="000000" w:themeColor="text1"/>
                <w:lang w:val="en-GB"/>
              </w:rPr>
              <w:t>BADL</w:t>
            </w:r>
          </w:p>
        </w:tc>
        <w:tc>
          <w:tcPr>
            <w:tcW w:w="1085" w:type="dxa"/>
          </w:tcPr>
          <w:p w14:paraId="3A77ACA9" w14:textId="77777777" w:rsidR="00B54D51" w:rsidRPr="00037AD4" w:rsidRDefault="00B54D51" w:rsidP="003919EF">
            <w:pPr>
              <w:pStyle w:val="EndNoteBibliography"/>
              <w:rPr>
                <w:rFonts w:asciiTheme="minorHAnsi" w:hAnsiTheme="minorHAnsi" w:cstheme="minorHAnsi"/>
                <w:color w:val="000000" w:themeColor="text1"/>
                <w:lang w:val="en-GB"/>
              </w:rPr>
            </w:pPr>
            <w:r w:rsidRPr="00037AD4">
              <w:rPr>
                <w:rFonts w:asciiTheme="minorHAnsi" w:hAnsiTheme="minorHAnsi" w:cstheme="minorHAnsi"/>
                <w:color w:val="000000" w:themeColor="text1"/>
                <w:lang w:val="en-GB"/>
              </w:rPr>
              <w:t>10</w:t>
            </w:r>
          </w:p>
        </w:tc>
        <w:tc>
          <w:tcPr>
            <w:tcW w:w="1627" w:type="dxa"/>
          </w:tcPr>
          <w:p w14:paraId="1C2791EF" w14:textId="77777777" w:rsidR="00B54D51" w:rsidRPr="00037AD4" w:rsidRDefault="00B54D51" w:rsidP="003919EF">
            <w:pPr>
              <w:pStyle w:val="EndNoteBibliography"/>
              <w:rPr>
                <w:rFonts w:asciiTheme="minorHAnsi" w:hAnsiTheme="minorHAnsi" w:cstheme="minorHAnsi"/>
                <w:color w:val="000000" w:themeColor="text1"/>
                <w:lang w:val="en-GB"/>
              </w:rPr>
            </w:pPr>
            <w:r w:rsidRPr="00037AD4">
              <w:rPr>
                <w:rFonts w:asciiTheme="minorHAnsi" w:hAnsiTheme="minorHAnsi" w:cstheme="minorHAnsi"/>
                <w:color w:val="000000" w:themeColor="text1"/>
                <w:lang w:val="en-GB"/>
              </w:rPr>
              <w:t xml:space="preserve">0 – 100: totally dependent – completely independent </w:t>
            </w:r>
          </w:p>
        </w:tc>
      </w:tr>
      <w:tr w:rsidR="00B54D51" w:rsidRPr="00037AD4" w14:paraId="69E6F8EC" w14:textId="77777777" w:rsidTr="008F77C5">
        <w:trPr>
          <w:trHeight w:val="578"/>
        </w:trPr>
        <w:tc>
          <w:tcPr>
            <w:tcW w:w="10032" w:type="dxa"/>
            <w:gridSpan w:val="8"/>
          </w:tcPr>
          <w:p w14:paraId="312314FD" w14:textId="77777777" w:rsidR="00B54D51" w:rsidRPr="00037AD4" w:rsidRDefault="00B54D51" w:rsidP="00676D13">
            <w:pPr>
              <w:rPr>
                <w:rFonts w:asciiTheme="minorHAnsi" w:hAnsiTheme="minorHAnsi" w:cstheme="minorHAnsi"/>
                <w:sz w:val="22"/>
                <w:szCs w:val="22"/>
              </w:rPr>
            </w:pPr>
            <w:r w:rsidRPr="00037AD4">
              <w:rPr>
                <w:rFonts w:asciiTheme="minorHAnsi" w:hAnsiTheme="minorHAnsi" w:cstheme="minorHAnsi"/>
                <w:sz w:val="22"/>
                <w:szCs w:val="22"/>
              </w:rPr>
              <w:t xml:space="preserve">BADLS, Bristol activities of daily living scale; DAD, disability assessment for dementia; ADCS-ADL, </w:t>
            </w:r>
            <w:r w:rsidRPr="00037AD4">
              <w:rPr>
                <w:rFonts w:asciiTheme="minorHAnsi" w:hAnsiTheme="minorHAnsi" w:cstheme="minorHAnsi"/>
                <w:sz w:val="22"/>
                <w:szCs w:val="22"/>
              </w:rPr>
              <w:fldChar w:fldCharType="begin"/>
            </w:r>
            <w:r w:rsidRPr="00037AD4">
              <w:rPr>
                <w:rFonts w:asciiTheme="minorHAnsi" w:hAnsiTheme="minorHAnsi" w:cstheme="minorHAnsi"/>
                <w:sz w:val="22"/>
                <w:szCs w:val="22"/>
              </w:rPr>
              <w:instrText xml:space="preserve"> HYPERLINK "https://link.springer.com/10.1007%2F978-0-387-79948-3_1791" </w:instrText>
            </w:r>
            <w:r w:rsidRPr="00037AD4">
              <w:rPr>
                <w:rFonts w:asciiTheme="minorHAnsi" w:hAnsiTheme="minorHAnsi" w:cstheme="minorHAnsi"/>
                <w:sz w:val="22"/>
                <w:szCs w:val="22"/>
              </w:rPr>
            </w:r>
            <w:r w:rsidRPr="00037AD4">
              <w:rPr>
                <w:rFonts w:asciiTheme="minorHAnsi" w:hAnsiTheme="minorHAnsi" w:cstheme="minorHAnsi"/>
                <w:sz w:val="22"/>
                <w:szCs w:val="22"/>
              </w:rPr>
              <w:fldChar w:fldCharType="separate"/>
            </w:r>
            <w:r w:rsidRPr="00037AD4">
              <w:rPr>
                <w:rFonts w:asciiTheme="minorHAnsi" w:hAnsiTheme="minorHAnsi" w:cstheme="minorHAnsi"/>
                <w:sz w:val="22"/>
                <w:szCs w:val="22"/>
              </w:rPr>
              <w:t>Alzheimer's Disease Cooperative Study ADL Scale</w:t>
            </w:r>
          </w:p>
          <w:p w14:paraId="29E8FAB7" w14:textId="77777777" w:rsidR="00B54D51" w:rsidRPr="00037AD4" w:rsidRDefault="00B54D51" w:rsidP="00676D13">
            <w:pPr>
              <w:rPr>
                <w:rFonts w:asciiTheme="minorHAnsi" w:hAnsiTheme="minorHAnsi" w:cstheme="minorHAnsi"/>
              </w:rPr>
            </w:pPr>
            <w:r w:rsidRPr="00037AD4">
              <w:rPr>
                <w:rFonts w:asciiTheme="minorHAnsi" w:hAnsiTheme="minorHAnsi" w:cstheme="minorHAnsi"/>
                <w:sz w:val="22"/>
                <w:szCs w:val="22"/>
              </w:rPr>
              <w:fldChar w:fldCharType="end"/>
            </w:r>
          </w:p>
        </w:tc>
      </w:tr>
    </w:tbl>
    <w:p w14:paraId="5CE869A6" w14:textId="77777777" w:rsidR="00B54D51" w:rsidRPr="00037AD4" w:rsidRDefault="00B54D51" w:rsidP="003919EF">
      <w:pPr>
        <w:pStyle w:val="EndNoteBibliography"/>
        <w:rPr>
          <w:rFonts w:asciiTheme="minorHAnsi" w:hAnsiTheme="minorHAnsi" w:cstheme="minorHAnsi"/>
          <w:sz w:val="18"/>
          <w:szCs w:val="18"/>
          <w:lang w:val="en-GB"/>
        </w:rPr>
      </w:pPr>
      <w:r w:rsidRPr="00037AD4">
        <w:rPr>
          <w:rFonts w:asciiTheme="minorHAnsi" w:hAnsiTheme="minorHAnsi" w:cstheme="minorHAnsi"/>
          <w:sz w:val="18"/>
          <w:szCs w:val="18"/>
          <w:lang w:val="en-GB"/>
        </w:rPr>
        <w:t>*10 item version commonly used in practice; however full version includes 40 items</w:t>
      </w:r>
    </w:p>
    <w:p w14:paraId="5B29DF11" w14:textId="77777777" w:rsidR="00B54D51" w:rsidRPr="00037AD4" w:rsidRDefault="00B54D51" w:rsidP="003919EF">
      <w:pPr>
        <w:pStyle w:val="EndNoteBibliography"/>
        <w:rPr>
          <w:rFonts w:asciiTheme="minorHAnsi" w:hAnsiTheme="minorHAnsi" w:cstheme="minorHAnsi"/>
          <w:lang w:val="en-GB"/>
        </w:rPr>
      </w:pPr>
    </w:p>
    <w:p w14:paraId="705F803D" w14:textId="77777777" w:rsidR="00B54D51" w:rsidRPr="00037AD4" w:rsidRDefault="00B54D51" w:rsidP="00813115">
      <w:pPr>
        <w:pStyle w:val="EndNoteBibliography"/>
        <w:rPr>
          <w:rFonts w:asciiTheme="minorHAnsi" w:hAnsiTheme="minorHAnsi" w:cstheme="minorHAnsi"/>
          <w:lang w:val="en-GB"/>
        </w:rPr>
      </w:pPr>
      <w:r w:rsidRPr="00037AD4">
        <w:rPr>
          <w:rFonts w:asciiTheme="minorHAnsi" w:hAnsiTheme="minorHAnsi" w:cstheme="minorHAnsi"/>
          <w:lang w:val="en-GB"/>
        </w:rPr>
        <w:t xml:space="preserve">Three of the six ADL instruments are designed specifically for use in dementia populations, all of which are proxy-reported questionnaires that consider both BADL and IADL. The Lawton IADL scale is targeted for use in older adults. The Katz index of ADL and the Barthel index have wider clinical applications such as disability and rehabilitation, and the data for these instruments can either be collected via questionnaire or direct observation. </w:t>
      </w:r>
    </w:p>
    <w:p w14:paraId="1AC7A809" w14:textId="77777777" w:rsidR="00B54D51" w:rsidRPr="00037AD4" w:rsidRDefault="00B54D51" w:rsidP="00813115">
      <w:pPr>
        <w:pStyle w:val="EndNoteBibliography"/>
        <w:rPr>
          <w:rFonts w:asciiTheme="minorHAnsi" w:hAnsiTheme="minorHAnsi" w:cstheme="minorHAnsi"/>
          <w:lang w:val="en-GB"/>
        </w:rPr>
      </w:pPr>
    </w:p>
    <w:p w14:paraId="78862F1E" w14:textId="77777777" w:rsidR="00B54D51" w:rsidRPr="00037AD4" w:rsidRDefault="00B54D51" w:rsidP="007C4A7B">
      <w:pPr>
        <w:pStyle w:val="EndNoteBibliography"/>
        <w:rPr>
          <w:rFonts w:asciiTheme="minorHAnsi" w:hAnsiTheme="minorHAnsi" w:cstheme="minorHAnsi"/>
          <w:lang w:val="en-GB"/>
        </w:rPr>
      </w:pPr>
      <w:r w:rsidRPr="00037AD4">
        <w:rPr>
          <w:rFonts w:asciiTheme="minorHAnsi" w:hAnsiTheme="minorHAnsi" w:cstheme="minorHAnsi"/>
          <w:lang w:val="en-GB"/>
        </w:rPr>
        <w:lastRenderedPageBreak/>
        <w:t xml:space="preserve">A list of ADL item domains for the six instruments is provided in </w:t>
      </w:r>
      <w:hyperlink w:anchor="A33" w:history="1">
        <w:r w:rsidRPr="00B54D51">
          <w:rPr>
            <w:rStyle w:val="Hyperlink"/>
            <w:rFonts w:asciiTheme="minorHAnsi" w:hAnsiTheme="minorHAnsi" w:cstheme="minorHAnsi"/>
            <w:color w:val="000000" w:themeColor="text1"/>
            <w:u w:val="none"/>
            <w:lang w:val="en-GB"/>
          </w:rPr>
          <w:t>Appendix 3.3, Table A3.3b.</w:t>
        </w:r>
      </w:hyperlink>
      <w:r w:rsidRPr="00037AD4">
        <w:rPr>
          <w:rFonts w:asciiTheme="minorHAnsi" w:hAnsiTheme="minorHAnsi" w:cstheme="minorHAnsi"/>
          <w:color w:val="000000" w:themeColor="text1"/>
          <w:lang w:val="en-GB"/>
        </w:rPr>
        <w:t xml:space="preserve"> </w:t>
      </w:r>
      <w:r w:rsidRPr="00037AD4">
        <w:rPr>
          <w:rFonts w:asciiTheme="minorHAnsi" w:hAnsiTheme="minorHAnsi" w:cstheme="minorHAnsi"/>
          <w:lang w:val="en-GB"/>
        </w:rPr>
        <w:t xml:space="preserve">For the purposes of this exercise the 10-item DAD scale was considered, and items were collapsed into an overarching category, for example the ADCS-ADL inventory has a distinct item for “use of household appliances to do chores”, which here has been considered the same as “housekeeping/chores”. Independent of whether the instrument was targeted specifically for use in people with dementia, there are item domains that frequently recur; for example, five of the six instruments include items related to </w:t>
      </w:r>
      <w:r w:rsidRPr="00037AD4">
        <w:rPr>
          <w:rFonts w:asciiTheme="minorHAnsi" w:hAnsiTheme="minorHAnsi" w:cstheme="minorHAnsi"/>
          <w:i/>
          <w:iCs/>
          <w:lang w:val="en-GB"/>
        </w:rPr>
        <w:t xml:space="preserve">feeding, personal hygiene, dressing </w:t>
      </w:r>
      <w:r w:rsidRPr="00037AD4">
        <w:rPr>
          <w:rFonts w:asciiTheme="minorHAnsi" w:hAnsiTheme="minorHAnsi" w:cstheme="minorHAnsi"/>
          <w:lang w:val="en-GB"/>
        </w:rPr>
        <w:t xml:space="preserve">and </w:t>
      </w:r>
      <w:r w:rsidRPr="00037AD4">
        <w:rPr>
          <w:rFonts w:asciiTheme="minorHAnsi" w:hAnsiTheme="minorHAnsi" w:cstheme="minorHAnsi"/>
          <w:i/>
          <w:iCs/>
          <w:lang w:val="en-GB"/>
        </w:rPr>
        <w:t>using the toilet.</w:t>
      </w:r>
      <w:r w:rsidRPr="00037AD4">
        <w:rPr>
          <w:rFonts w:asciiTheme="minorHAnsi" w:hAnsiTheme="minorHAnsi" w:cstheme="minorHAnsi"/>
          <w:lang w:val="en-GB"/>
        </w:rPr>
        <w:t xml:space="preserve"> </w:t>
      </w:r>
    </w:p>
    <w:p w14:paraId="4ECA8789" w14:textId="77777777" w:rsidR="00B54D51" w:rsidRPr="00037AD4" w:rsidRDefault="00B54D51" w:rsidP="007C4A7B">
      <w:pPr>
        <w:pStyle w:val="EndNoteBibliography"/>
        <w:rPr>
          <w:rFonts w:asciiTheme="minorHAnsi" w:hAnsiTheme="minorHAnsi" w:cstheme="minorHAnsi"/>
          <w:lang w:val="en-GB"/>
        </w:rPr>
      </w:pPr>
    </w:p>
    <w:p w14:paraId="4ABE7380" w14:textId="77777777" w:rsidR="00B54D51" w:rsidRPr="00037AD4" w:rsidRDefault="00B54D51" w:rsidP="007A43F9">
      <w:pPr>
        <w:pStyle w:val="Heading3"/>
      </w:pPr>
      <w:bookmarkStart w:id="287" w:name="_Toc79582142"/>
      <w:bookmarkStart w:id="288" w:name="_Toc79839770"/>
      <w:bookmarkStart w:id="289" w:name="_Toc80257844"/>
      <w:bookmarkStart w:id="290" w:name="_Toc80969285"/>
      <w:bookmarkStart w:id="291" w:name="_Toc80969366"/>
      <w:bookmarkStart w:id="292" w:name="_Toc80969446"/>
      <w:bookmarkStart w:id="293" w:name="_Toc82180053"/>
      <w:bookmarkStart w:id="294" w:name="_Toc175742290"/>
      <w:r w:rsidRPr="00037AD4">
        <w:t>3.6.3 Behaviour/mood</w:t>
      </w:r>
      <w:bookmarkEnd w:id="294"/>
      <w:r w:rsidRPr="00037AD4">
        <w:t xml:space="preserve"> </w:t>
      </w:r>
      <w:bookmarkEnd w:id="287"/>
      <w:bookmarkEnd w:id="288"/>
      <w:bookmarkEnd w:id="289"/>
      <w:bookmarkEnd w:id="290"/>
      <w:bookmarkEnd w:id="291"/>
      <w:bookmarkEnd w:id="292"/>
      <w:bookmarkEnd w:id="293"/>
    </w:p>
    <w:p w14:paraId="0761E273" w14:textId="77777777" w:rsidR="00B54D51" w:rsidRPr="00037AD4" w:rsidRDefault="00B54D51" w:rsidP="0067737A">
      <w:pPr>
        <w:pStyle w:val="EndNoteBibliography"/>
        <w:rPr>
          <w:rFonts w:asciiTheme="minorHAnsi" w:hAnsiTheme="minorHAnsi" w:cstheme="minorHAnsi"/>
          <w:lang w:val="en-GB"/>
        </w:rPr>
      </w:pPr>
    </w:p>
    <w:p w14:paraId="51390D4C" w14:textId="77777777" w:rsidR="00B54D51" w:rsidRPr="00037AD4" w:rsidRDefault="00B54D51" w:rsidP="0067737A">
      <w:pPr>
        <w:pStyle w:val="EndNoteBibliography"/>
        <w:rPr>
          <w:rFonts w:asciiTheme="minorHAnsi" w:hAnsiTheme="minorHAnsi" w:cstheme="minorHAnsi"/>
          <w:lang w:val="en-GB"/>
        </w:rPr>
      </w:pPr>
      <w:r w:rsidRPr="00037AD4">
        <w:rPr>
          <w:rFonts w:asciiTheme="minorHAnsi" w:hAnsiTheme="minorHAnsi" w:cstheme="minorHAnsi"/>
          <w:lang w:val="en-GB"/>
        </w:rPr>
        <w:t>Four core behaviour/mood measures were identified for use in dementia trials and studies. These were: the Neuropsychiatric Inventory (NPI), Cohen-Mansfield Agitation Inventory (CMAI), Cornell Scale for Depression in Dementia (CSDD) and Geriatric Depression Scale short form (15 items) (GDS-15).</w:t>
      </w:r>
    </w:p>
    <w:p w14:paraId="14C00D4E" w14:textId="77777777" w:rsidR="00B54D51" w:rsidRPr="00037AD4" w:rsidRDefault="00B54D51" w:rsidP="0067737A">
      <w:pPr>
        <w:pStyle w:val="EndNoteBibliography"/>
        <w:rPr>
          <w:rFonts w:asciiTheme="minorHAnsi" w:hAnsiTheme="minorHAnsi" w:cstheme="minorHAnsi"/>
          <w:lang w:val="en-GB"/>
        </w:rPr>
      </w:pPr>
    </w:p>
    <w:p w14:paraId="66CAD694" w14:textId="3BFE329C" w:rsidR="00322CFC" w:rsidRDefault="00B54D51" w:rsidP="0067737A">
      <w:pPr>
        <w:pStyle w:val="EndNoteBibliography"/>
        <w:rPr>
          <w:rFonts w:asciiTheme="minorHAnsi" w:hAnsiTheme="minorHAnsi" w:cstheme="minorHAnsi"/>
          <w:lang w:val="en-GB"/>
        </w:rPr>
      </w:pPr>
      <w:r w:rsidRPr="00037AD4">
        <w:rPr>
          <w:rFonts w:asciiTheme="minorHAnsi" w:hAnsiTheme="minorHAnsi" w:cstheme="minorHAnsi"/>
          <w:lang w:val="en-GB"/>
        </w:rPr>
        <w:t xml:space="preserve">The instruments measure different aspects of behaviour, mood and general mental health. The NPI has the broadest scope of the measures as it aims to measure behavioural disturbance via 12 neuropsychiatric symptoms that present in dementia, including depression and agitation </w:t>
      </w:r>
      <w:r>
        <w:rPr>
          <w:rFonts w:asciiTheme="minorHAnsi" w:hAnsiTheme="minorHAnsi" w:cstheme="minorHAnsi"/>
          <w:noProof/>
          <w:lang w:val="en-GB"/>
        </w:rPr>
        <w:t>(Cummings, 2020)</w:t>
      </w:r>
      <w:r w:rsidRPr="00037AD4">
        <w:rPr>
          <w:rFonts w:asciiTheme="minorHAnsi" w:hAnsiTheme="minorHAnsi" w:cstheme="minorHAnsi"/>
          <w:lang w:val="en-GB"/>
        </w:rPr>
        <w:t xml:space="preserve">. The CMAI specifically assesses agitation alone </w:t>
      </w:r>
      <w:r>
        <w:rPr>
          <w:rFonts w:asciiTheme="minorHAnsi" w:hAnsiTheme="minorHAnsi" w:cstheme="minorHAnsi"/>
          <w:noProof/>
          <w:lang w:val="en-GB"/>
        </w:rPr>
        <w:t>(Cohen-Mansfield, 1991)</w:t>
      </w:r>
      <w:r w:rsidRPr="00037AD4">
        <w:rPr>
          <w:rFonts w:asciiTheme="minorHAnsi" w:hAnsiTheme="minorHAnsi" w:cstheme="minorHAnsi"/>
          <w:lang w:val="en-GB"/>
        </w:rPr>
        <w:t xml:space="preserve">, and both the CSDD and GDS-15 measure depressive symptoms </w:t>
      </w:r>
      <w:r>
        <w:rPr>
          <w:rFonts w:asciiTheme="minorHAnsi" w:hAnsiTheme="minorHAnsi" w:cstheme="minorHAnsi"/>
          <w:noProof/>
          <w:lang w:val="en-GB"/>
        </w:rPr>
        <w:t>(Kørner et al., 2006)</w:t>
      </w:r>
      <w:r w:rsidRPr="00037AD4">
        <w:rPr>
          <w:rFonts w:asciiTheme="minorHAnsi" w:hAnsiTheme="minorHAnsi" w:cstheme="minorHAnsi"/>
          <w:lang w:val="en-GB"/>
        </w:rPr>
        <w:t xml:space="preserve">. </w:t>
      </w:r>
    </w:p>
    <w:p w14:paraId="21E85D9F" w14:textId="6A45C7CC" w:rsidR="00322CFC" w:rsidRDefault="00322CFC" w:rsidP="0067737A">
      <w:pPr>
        <w:pStyle w:val="EndNoteBibliography"/>
        <w:rPr>
          <w:rFonts w:asciiTheme="minorHAnsi" w:hAnsiTheme="minorHAnsi" w:cstheme="minorHAnsi"/>
          <w:lang w:val="en-GB"/>
        </w:rPr>
      </w:pPr>
    </w:p>
    <w:p w14:paraId="120EBD3F" w14:textId="5A7ECF16" w:rsidR="00322CFC" w:rsidRDefault="00322CFC" w:rsidP="0067737A">
      <w:pPr>
        <w:pStyle w:val="EndNoteBibliography"/>
        <w:rPr>
          <w:rFonts w:asciiTheme="minorHAnsi" w:hAnsiTheme="minorHAnsi" w:cstheme="minorHAnsi"/>
          <w:lang w:val="en-GB"/>
        </w:rPr>
      </w:pPr>
    </w:p>
    <w:p w14:paraId="4DDB577B" w14:textId="72B7F760" w:rsidR="00322CFC" w:rsidRDefault="00322CFC" w:rsidP="0067737A">
      <w:pPr>
        <w:pStyle w:val="EndNoteBibliography"/>
        <w:rPr>
          <w:rFonts w:asciiTheme="minorHAnsi" w:hAnsiTheme="minorHAnsi" w:cstheme="minorHAnsi"/>
          <w:lang w:val="en-GB"/>
        </w:rPr>
      </w:pPr>
    </w:p>
    <w:p w14:paraId="169A1B15" w14:textId="310DBC30" w:rsidR="00322CFC" w:rsidRDefault="00322CFC" w:rsidP="0067737A">
      <w:pPr>
        <w:pStyle w:val="EndNoteBibliography"/>
        <w:rPr>
          <w:rFonts w:asciiTheme="minorHAnsi" w:hAnsiTheme="minorHAnsi" w:cstheme="minorHAnsi"/>
          <w:lang w:val="en-GB"/>
        </w:rPr>
      </w:pPr>
    </w:p>
    <w:p w14:paraId="76F942D1" w14:textId="538553C5" w:rsidR="00322CFC" w:rsidRDefault="00322CFC" w:rsidP="0067737A">
      <w:pPr>
        <w:pStyle w:val="EndNoteBibliography"/>
        <w:rPr>
          <w:rFonts w:asciiTheme="minorHAnsi" w:hAnsiTheme="minorHAnsi" w:cstheme="minorHAnsi"/>
          <w:lang w:val="en-GB"/>
        </w:rPr>
      </w:pPr>
    </w:p>
    <w:p w14:paraId="3CEB928B" w14:textId="3461C081" w:rsidR="00322CFC" w:rsidRDefault="00322CFC" w:rsidP="0067737A">
      <w:pPr>
        <w:pStyle w:val="EndNoteBibliography"/>
        <w:rPr>
          <w:rFonts w:asciiTheme="minorHAnsi" w:hAnsiTheme="minorHAnsi" w:cstheme="minorHAnsi"/>
          <w:lang w:val="en-GB"/>
        </w:rPr>
      </w:pPr>
    </w:p>
    <w:p w14:paraId="2522DED2" w14:textId="45CADC7B" w:rsidR="00322CFC" w:rsidRDefault="00322CFC" w:rsidP="0067737A">
      <w:pPr>
        <w:pStyle w:val="EndNoteBibliography"/>
        <w:rPr>
          <w:rFonts w:asciiTheme="minorHAnsi" w:hAnsiTheme="minorHAnsi" w:cstheme="minorHAnsi"/>
          <w:lang w:val="en-GB"/>
        </w:rPr>
      </w:pPr>
    </w:p>
    <w:p w14:paraId="12792B62" w14:textId="4D821A21" w:rsidR="00322CFC" w:rsidRDefault="00322CFC" w:rsidP="0067737A">
      <w:pPr>
        <w:pStyle w:val="EndNoteBibliography"/>
        <w:rPr>
          <w:rFonts w:asciiTheme="minorHAnsi" w:hAnsiTheme="minorHAnsi" w:cstheme="minorHAnsi"/>
          <w:lang w:val="en-GB"/>
        </w:rPr>
      </w:pPr>
    </w:p>
    <w:p w14:paraId="1331416D" w14:textId="63A7B97A" w:rsidR="00322CFC" w:rsidRDefault="00322CFC" w:rsidP="0067737A">
      <w:pPr>
        <w:pStyle w:val="EndNoteBibliography"/>
        <w:rPr>
          <w:rFonts w:asciiTheme="minorHAnsi" w:hAnsiTheme="minorHAnsi" w:cstheme="minorHAnsi"/>
          <w:lang w:val="en-GB"/>
        </w:rPr>
      </w:pPr>
    </w:p>
    <w:p w14:paraId="34837714" w14:textId="327C1A7A" w:rsidR="00322CFC" w:rsidRDefault="00322CFC" w:rsidP="0067737A">
      <w:pPr>
        <w:pStyle w:val="EndNoteBibliography"/>
        <w:rPr>
          <w:rFonts w:asciiTheme="minorHAnsi" w:hAnsiTheme="minorHAnsi" w:cstheme="minorHAnsi"/>
          <w:lang w:val="en-GB"/>
        </w:rPr>
      </w:pPr>
    </w:p>
    <w:p w14:paraId="5E10767C" w14:textId="389E6DC8" w:rsidR="00322CFC" w:rsidRDefault="00322CFC" w:rsidP="0067737A">
      <w:pPr>
        <w:pStyle w:val="EndNoteBibliography"/>
        <w:rPr>
          <w:rFonts w:asciiTheme="minorHAnsi" w:hAnsiTheme="minorHAnsi" w:cstheme="minorHAnsi"/>
          <w:lang w:val="en-GB"/>
        </w:rPr>
      </w:pPr>
    </w:p>
    <w:p w14:paraId="30E6595D" w14:textId="0FFF181C" w:rsidR="00322CFC" w:rsidRDefault="00322CFC" w:rsidP="0067737A">
      <w:pPr>
        <w:pStyle w:val="EndNoteBibliography"/>
        <w:rPr>
          <w:rFonts w:asciiTheme="minorHAnsi" w:hAnsiTheme="minorHAnsi" w:cstheme="minorHAnsi"/>
          <w:lang w:val="en-GB"/>
        </w:rPr>
      </w:pPr>
    </w:p>
    <w:p w14:paraId="484C9D0C" w14:textId="3E31BC03" w:rsidR="00322CFC" w:rsidRDefault="00322CFC" w:rsidP="0067737A">
      <w:pPr>
        <w:pStyle w:val="EndNoteBibliography"/>
        <w:rPr>
          <w:rFonts w:asciiTheme="minorHAnsi" w:hAnsiTheme="minorHAnsi" w:cstheme="minorHAnsi"/>
          <w:lang w:val="en-GB"/>
        </w:rPr>
      </w:pPr>
    </w:p>
    <w:p w14:paraId="15069316" w14:textId="38457E39" w:rsidR="00322CFC" w:rsidRDefault="00322CFC" w:rsidP="0067737A">
      <w:pPr>
        <w:pStyle w:val="EndNoteBibliography"/>
        <w:rPr>
          <w:rFonts w:asciiTheme="minorHAnsi" w:hAnsiTheme="minorHAnsi" w:cstheme="minorHAnsi"/>
          <w:lang w:val="en-GB"/>
        </w:rPr>
      </w:pPr>
    </w:p>
    <w:p w14:paraId="5D081245" w14:textId="19B1B86F" w:rsidR="00322CFC" w:rsidRDefault="00322CFC" w:rsidP="0067737A">
      <w:pPr>
        <w:pStyle w:val="EndNoteBibliography"/>
        <w:rPr>
          <w:rFonts w:asciiTheme="minorHAnsi" w:hAnsiTheme="minorHAnsi" w:cstheme="minorHAnsi"/>
          <w:lang w:val="en-GB"/>
        </w:rPr>
      </w:pPr>
    </w:p>
    <w:p w14:paraId="310CCB71" w14:textId="045388C6" w:rsidR="00322CFC" w:rsidRDefault="00322CFC" w:rsidP="0067737A">
      <w:pPr>
        <w:pStyle w:val="EndNoteBibliography"/>
        <w:rPr>
          <w:rFonts w:asciiTheme="minorHAnsi" w:hAnsiTheme="minorHAnsi" w:cstheme="minorHAnsi"/>
          <w:lang w:val="en-GB"/>
        </w:rPr>
      </w:pPr>
    </w:p>
    <w:p w14:paraId="13B2CBC1" w14:textId="77777777" w:rsidR="00322CFC" w:rsidRDefault="00322CFC" w:rsidP="0067737A">
      <w:pPr>
        <w:pStyle w:val="EndNoteBibliography"/>
        <w:rPr>
          <w:rFonts w:asciiTheme="minorHAnsi" w:hAnsiTheme="minorHAnsi" w:cstheme="minorHAnsi"/>
          <w:lang w:val="en-GB"/>
        </w:rPr>
      </w:pPr>
    </w:p>
    <w:p w14:paraId="48AC9DBE" w14:textId="212C6DB3" w:rsidR="00322CFC" w:rsidRDefault="00322CFC" w:rsidP="0067737A">
      <w:pPr>
        <w:pStyle w:val="EndNoteBibliography"/>
        <w:rPr>
          <w:rFonts w:asciiTheme="minorHAnsi" w:hAnsiTheme="minorHAnsi" w:cstheme="minorHAnsi"/>
          <w:lang w:val="en-GB"/>
        </w:rPr>
      </w:pPr>
    </w:p>
    <w:p w14:paraId="4079202E" w14:textId="01D44860" w:rsidR="00322CFC" w:rsidRDefault="00322CFC" w:rsidP="0067737A">
      <w:pPr>
        <w:pStyle w:val="EndNoteBibliography"/>
        <w:rPr>
          <w:rFonts w:asciiTheme="minorHAnsi" w:hAnsiTheme="minorHAnsi" w:cstheme="minorHAnsi"/>
          <w:lang w:val="en-GB"/>
        </w:rPr>
      </w:pPr>
    </w:p>
    <w:p w14:paraId="47E93F2D" w14:textId="5A2972F2" w:rsidR="00322CFC" w:rsidRDefault="00322CFC" w:rsidP="0067737A">
      <w:pPr>
        <w:pStyle w:val="EndNoteBibliography"/>
        <w:rPr>
          <w:rFonts w:asciiTheme="minorHAnsi" w:hAnsiTheme="minorHAnsi" w:cstheme="minorHAnsi"/>
          <w:lang w:val="en-GB"/>
        </w:rPr>
      </w:pPr>
    </w:p>
    <w:p w14:paraId="032B9758" w14:textId="3A59ADE3" w:rsidR="00322CFC" w:rsidRDefault="00322CFC" w:rsidP="0067737A">
      <w:pPr>
        <w:pStyle w:val="EndNoteBibliography"/>
        <w:rPr>
          <w:rFonts w:asciiTheme="minorHAnsi" w:hAnsiTheme="minorHAnsi" w:cstheme="minorHAnsi"/>
          <w:lang w:val="en-GB"/>
        </w:rPr>
      </w:pPr>
    </w:p>
    <w:p w14:paraId="1D70A9AC" w14:textId="0629EB8D" w:rsidR="00322CFC" w:rsidRDefault="00322CFC" w:rsidP="0067737A">
      <w:pPr>
        <w:pStyle w:val="EndNoteBibliography"/>
        <w:rPr>
          <w:rFonts w:asciiTheme="minorHAnsi" w:hAnsiTheme="minorHAnsi" w:cstheme="minorHAnsi"/>
          <w:lang w:val="en-GB"/>
        </w:rPr>
      </w:pPr>
    </w:p>
    <w:p w14:paraId="113E3F51" w14:textId="1C0FB7A8" w:rsidR="00322CFC" w:rsidRDefault="00322CFC" w:rsidP="0067737A">
      <w:pPr>
        <w:pStyle w:val="EndNoteBibliography"/>
        <w:rPr>
          <w:rFonts w:asciiTheme="minorHAnsi" w:hAnsiTheme="minorHAnsi" w:cstheme="minorHAnsi"/>
          <w:lang w:val="en-GB"/>
        </w:rPr>
      </w:pPr>
    </w:p>
    <w:p w14:paraId="22056879" w14:textId="4485A586" w:rsidR="00322CFC" w:rsidRDefault="00322CFC" w:rsidP="0067737A">
      <w:pPr>
        <w:pStyle w:val="EndNoteBibliography"/>
        <w:rPr>
          <w:rFonts w:asciiTheme="minorHAnsi" w:hAnsiTheme="minorHAnsi" w:cstheme="minorHAnsi"/>
          <w:lang w:val="en-GB"/>
        </w:rPr>
      </w:pPr>
    </w:p>
    <w:p w14:paraId="562BEF07" w14:textId="77777777" w:rsidR="00322CFC" w:rsidRPr="00037AD4" w:rsidRDefault="00322CFC" w:rsidP="0067737A">
      <w:pPr>
        <w:pStyle w:val="EndNoteBibliography"/>
        <w:rPr>
          <w:rFonts w:asciiTheme="minorHAnsi" w:hAnsiTheme="minorHAnsi" w:cstheme="minorHAnsi"/>
          <w:lang w:val="en-GB"/>
        </w:rPr>
      </w:pPr>
    </w:p>
    <w:p w14:paraId="292B71B1" w14:textId="77777777" w:rsidR="00B54D51" w:rsidRPr="00037AD4" w:rsidRDefault="00B54D51" w:rsidP="0067737A">
      <w:pPr>
        <w:pStyle w:val="EndNoteBibliography"/>
        <w:rPr>
          <w:rFonts w:asciiTheme="minorHAnsi" w:hAnsiTheme="minorHAnsi" w:cstheme="minorHAnsi"/>
          <w:b/>
          <w:bCs/>
          <w:i/>
          <w:iCs/>
          <w:lang w:val="en-GB"/>
        </w:rPr>
      </w:pPr>
      <w:r w:rsidRPr="00037AD4">
        <w:rPr>
          <w:rFonts w:asciiTheme="minorHAnsi" w:hAnsiTheme="minorHAnsi" w:cstheme="minorHAnsi"/>
          <w:b/>
          <w:bCs/>
          <w:i/>
          <w:iCs/>
          <w:lang w:val="en-GB"/>
        </w:rPr>
        <w:lastRenderedPageBreak/>
        <w:t xml:space="preserve">Table 8, Summary of behavioural instruments </w:t>
      </w:r>
    </w:p>
    <w:p w14:paraId="02B55F22" w14:textId="77777777" w:rsidR="00B54D51" w:rsidRPr="00037AD4" w:rsidRDefault="00B54D51" w:rsidP="0067737A">
      <w:pPr>
        <w:pStyle w:val="EndNoteBibliography"/>
        <w:rPr>
          <w:rFonts w:asciiTheme="minorHAnsi" w:hAnsiTheme="minorHAnsi" w:cstheme="minorHAnsi"/>
          <w:b/>
          <w:bCs/>
          <w:u w:val="single"/>
          <w:lang w:val="en-GB"/>
        </w:rPr>
      </w:pPr>
    </w:p>
    <w:tbl>
      <w:tblPr>
        <w:tblStyle w:val="TableGrid"/>
        <w:tblW w:w="10081" w:type="dxa"/>
        <w:tblLook w:val="04A0" w:firstRow="1" w:lastRow="0" w:firstColumn="1" w:lastColumn="0" w:noHBand="0" w:noVBand="1"/>
      </w:tblPr>
      <w:tblGrid>
        <w:gridCol w:w="835"/>
        <w:gridCol w:w="1218"/>
        <w:gridCol w:w="2131"/>
        <w:gridCol w:w="1307"/>
        <w:gridCol w:w="1569"/>
        <w:gridCol w:w="1034"/>
        <w:gridCol w:w="1987"/>
      </w:tblGrid>
      <w:tr w:rsidR="00B54D51" w:rsidRPr="00037AD4" w14:paraId="32024A53" w14:textId="77777777" w:rsidTr="00322CFC">
        <w:trPr>
          <w:trHeight w:val="1221"/>
        </w:trPr>
        <w:tc>
          <w:tcPr>
            <w:tcW w:w="836" w:type="dxa"/>
          </w:tcPr>
          <w:p w14:paraId="030F47F0" w14:textId="77777777" w:rsidR="00B54D51" w:rsidRPr="00037AD4" w:rsidRDefault="00B54D51" w:rsidP="0067737A">
            <w:pPr>
              <w:pStyle w:val="EndNoteBibliography"/>
              <w:rPr>
                <w:rFonts w:asciiTheme="minorHAnsi" w:hAnsiTheme="minorHAnsi" w:cstheme="minorHAnsi"/>
                <w:b/>
                <w:bCs/>
                <w:lang w:val="en-GB"/>
              </w:rPr>
            </w:pPr>
            <w:r w:rsidRPr="00037AD4">
              <w:rPr>
                <w:rFonts w:asciiTheme="minorHAnsi" w:hAnsiTheme="minorHAnsi" w:cstheme="minorHAnsi"/>
                <w:b/>
                <w:bCs/>
                <w:lang w:val="en-GB"/>
              </w:rPr>
              <w:t>Name</w:t>
            </w:r>
          </w:p>
        </w:tc>
        <w:tc>
          <w:tcPr>
            <w:tcW w:w="1203" w:type="dxa"/>
          </w:tcPr>
          <w:p w14:paraId="7C477896" w14:textId="77777777" w:rsidR="00B54D51" w:rsidRPr="00037AD4" w:rsidRDefault="00B54D51" w:rsidP="0067737A">
            <w:pPr>
              <w:pStyle w:val="EndNoteBibliography"/>
              <w:rPr>
                <w:rFonts w:asciiTheme="minorHAnsi" w:hAnsiTheme="minorHAnsi" w:cstheme="minorHAnsi"/>
                <w:b/>
                <w:bCs/>
                <w:lang w:val="en-GB"/>
              </w:rPr>
            </w:pPr>
            <w:r w:rsidRPr="00037AD4">
              <w:rPr>
                <w:rFonts w:asciiTheme="minorHAnsi" w:hAnsiTheme="minorHAnsi" w:cstheme="minorHAnsi"/>
                <w:b/>
                <w:bCs/>
                <w:lang w:val="en-GB"/>
              </w:rPr>
              <w:t>Estimated duration (mins)</w:t>
            </w:r>
          </w:p>
        </w:tc>
        <w:tc>
          <w:tcPr>
            <w:tcW w:w="2151" w:type="dxa"/>
          </w:tcPr>
          <w:p w14:paraId="5CE9FE62" w14:textId="77777777" w:rsidR="00B54D51" w:rsidRPr="00037AD4" w:rsidRDefault="00B54D51" w:rsidP="0067737A">
            <w:pPr>
              <w:pStyle w:val="EndNoteBibliography"/>
              <w:rPr>
                <w:rFonts w:asciiTheme="minorHAnsi" w:hAnsiTheme="minorHAnsi" w:cstheme="minorHAnsi"/>
                <w:b/>
                <w:bCs/>
                <w:lang w:val="en-GB"/>
              </w:rPr>
            </w:pPr>
            <w:r w:rsidRPr="00037AD4">
              <w:rPr>
                <w:rFonts w:asciiTheme="minorHAnsi" w:hAnsiTheme="minorHAnsi" w:cstheme="minorHAnsi"/>
                <w:b/>
                <w:bCs/>
                <w:lang w:val="en-GB"/>
              </w:rPr>
              <w:t xml:space="preserve">Intended purpose </w:t>
            </w:r>
          </w:p>
        </w:tc>
        <w:tc>
          <w:tcPr>
            <w:tcW w:w="1291" w:type="dxa"/>
          </w:tcPr>
          <w:p w14:paraId="17D0DD88" w14:textId="77777777" w:rsidR="00B54D51" w:rsidRPr="00037AD4" w:rsidRDefault="00B54D51" w:rsidP="0067737A">
            <w:pPr>
              <w:pStyle w:val="EndNoteBibliography"/>
              <w:rPr>
                <w:rFonts w:asciiTheme="minorHAnsi" w:hAnsiTheme="minorHAnsi" w:cstheme="minorHAnsi"/>
                <w:b/>
                <w:bCs/>
                <w:lang w:val="en-GB"/>
              </w:rPr>
            </w:pPr>
            <w:r w:rsidRPr="00037AD4">
              <w:rPr>
                <w:rFonts w:asciiTheme="minorHAnsi" w:hAnsiTheme="minorHAnsi" w:cstheme="minorHAnsi"/>
                <w:b/>
                <w:bCs/>
                <w:lang w:val="en-GB"/>
              </w:rPr>
              <w:t>Designed specifically for dementia</w:t>
            </w:r>
          </w:p>
        </w:tc>
        <w:tc>
          <w:tcPr>
            <w:tcW w:w="1550" w:type="dxa"/>
          </w:tcPr>
          <w:p w14:paraId="42CF5B69" w14:textId="77777777" w:rsidR="00B54D51" w:rsidRPr="00037AD4" w:rsidRDefault="00B54D51" w:rsidP="0067737A">
            <w:pPr>
              <w:pStyle w:val="EndNoteBibliography"/>
              <w:rPr>
                <w:rFonts w:asciiTheme="minorHAnsi" w:hAnsiTheme="minorHAnsi" w:cstheme="minorHAnsi"/>
                <w:b/>
                <w:bCs/>
                <w:lang w:val="en-GB"/>
              </w:rPr>
            </w:pPr>
            <w:r w:rsidRPr="00037AD4">
              <w:rPr>
                <w:rFonts w:asciiTheme="minorHAnsi" w:hAnsiTheme="minorHAnsi" w:cstheme="minorHAnsi"/>
                <w:b/>
                <w:bCs/>
                <w:lang w:val="en-GB"/>
              </w:rPr>
              <w:t>Format</w:t>
            </w:r>
          </w:p>
        </w:tc>
        <w:tc>
          <w:tcPr>
            <w:tcW w:w="1026" w:type="dxa"/>
          </w:tcPr>
          <w:p w14:paraId="27F29D0B" w14:textId="77777777" w:rsidR="00B54D51" w:rsidRPr="00037AD4" w:rsidRDefault="00B54D51" w:rsidP="0067737A">
            <w:pPr>
              <w:pStyle w:val="EndNoteBibliography"/>
              <w:rPr>
                <w:rFonts w:asciiTheme="minorHAnsi" w:hAnsiTheme="minorHAnsi" w:cstheme="minorHAnsi"/>
                <w:b/>
                <w:bCs/>
                <w:lang w:val="en-GB"/>
              </w:rPr>
            </w:pPr>
            <w:r w:rsidRPr="00037AD4">
              <w:rPr>
                <w:rFonts w:asciiTheme="minorHAnsi" w:hAnsiTheme="minorHAnsi" w:cstheme="minorHAnsi"/>
                <w:b/>
                <w:bCs/>
                <w:lang w:val="en-GB"/>
              </w:rPr>
              <w:t xml:space="preserve">Number of items </w:t>
            </w:r>
          </w:p>
        </w:tc>
        <w:tc>
          <w:tcPr>
            <w:tcW w:w="2020" w:type="dxa"/>
          </w:tcPr>
          <w:p w14:paraId="217F76EE" w14:textId="77777777" w:rsidR="00B54D51" w:rsidRPr="00037AD4" w:rsidRDefault="00B54D51" w:rsidP="0067737A">
            <w:pPr>
              <w:pStyle w:val="EndNoteBibliography"/>
              <w:rPr>
                <w:rFonts w:asciiTheme="minorHAnsi" w:hAnsiTheme="minorHAnsi" w:cstheme="minorHAnsi"/>
                <w:b/>
                <w:bCs/>
                <w:lang w:val="en-GB"/>
              </w:rPr>
            </w:pPr>
            <w:r w:rsidRPr="00037AD4">
              <w:rPr>
                <w:rFonts w:asciiTheme="minorHAnsi" w:hAnsiTheme="minorHAnsi" w:cstheme="minorHAnsi"/>
                <w:b/>
                <w:bCs/>
                <w:lang w:val="en-GB"/>
              </w:rPr>
              <w:t>Scoring</w:t>
            </w:r>
          </w:p>
        </w:tc>
      </w:tr>
      <w:tr w:rsidR="00B54D51" w:rsidRPr="00037AD4" w14:paraId="70214F8B" w14:textId="77777777" w:rsidTr="00322CFC">
        <w:trPr>
          <w:trHeight w:val="1051"/>
        </w:trPr>
        <w:tc>
          <w:tcPr>
            <w:tcW w:w="836" w:type="dxa"/>
          </w:tcPr>
          <w:p w14:paraId="1CEA1F08" w14:textId="77777777" w:rsidR="00B54D51" w:rsidRPr="00037AD4" w:rsidRDefault="00B54D51" w:rsidP="0067737A">
            <w:pPr>
              <w:pStyle w:val="EndNoteBibliography"/>
              <w:rPr>
                <w:rFonts w:asciiTheme="minorHAnsi" w:hAnsiTheme="minorHAnsi" w:cstheme="minorHAnsi"/>
                <w:lang w:val="en-GB"/>
              </w:rPr>
            </w:pPr>
            <w:r w:rsidRPr="00037AD4">
              <w:rPr>
                <w:rFonts w:asciiTheme="minorHAnsi" w:hAnsiTheme="minorHAnsi" w:cstheme="minorHAnsi"/>
                <w:lang w:val="en-GB"/>
              </w:rPr>
              <w:t>NPI</w:t>
            </w:r>
          </w:p>
        </w:tc>
        <w:tc>
          <w:tcPr>
            <w:tcW w:w="1203" w:type="dxa"/>
          </w:tcPr>
          <w:p w14:paraId="5CB53751" w14:textId="77777777" w:rsidR="00B54D51" w:rsidRPr="00037AD4" w:rsidRDefault="00B54D51" w:rsidP="0067737A">
            <w:pPr>
              <w:pStyle w:val="EndNoteBibliography"/>
              <w:rPr>
                <w:rFonts w:asciiTheme="minorHAnsi" w:hAnsiTheme="minorHAnsi" w:cstheme="minorHAnsi"/>
                <w:lang w:val="en-GB"/>
              </w:rPr>
            </w:pPr>
            <w:r w:rsidRPr="00037AD4">
              <w:rPr>
                <w:rFonts w:asciiTheme="minorHAnsi" w:hAnsiTheme="minorHAnsi" w:cstheme="minorHAnsi"/>
                <w:lang w:val="en-GB"/>
              </w:rPr>
              <w:t>20 – 30</w:t>
            </w:r>
          </w:p>
        </w:tc>
        <w:tc>
          <w:tcPr>
            <w:tcW w:w="2151" w:type="dxa"/>
          </w:tcPr>
          <w:p w14:paraId="2F180E38" w14:textId="77777777" w:rsidR="00B54D51" w:rsidRPr="00037AD4" w:rsidRDefault="00B54D51" w:rsidP="0067737A">
            <w:pPr>
              <w:pStyle w:val="EndNoteBibliography"/>
              <w:rPr>
                <w:rFonts w:asciiTheme="minorHAnsi" w:hAnsiTheme="minorHAnsi" w:cstheme="minorHAnsi"/>
                <w:lang w:val="en-GB"/>
              </w:rPr>
            </w:pPr>
            <w:r w:rsidRPr="00037AD4">
              <w:rPr>
                <w:rFonts w:asciiTheme="minorHAnsi" w:hAnsiTheme="minorHAnsi" w:cstheme="minorHAnsi"/>
                <w:lang w:val="en-GB"/>
              </w:rPr>
              <w:t xml:space="preserve">Assess dementia-related behavioural symptoms </w:t>
            </w:r>
          </w:p>
        </w:tc>
        <w:tc>
          <w:tcPr>
            <w:tcW w:w="1291" w:type="dxa"/>
          </w:tcPr>
          <w:p w14:paraId="48E6547B" w14:textId="77777777" w:rsidR="00B54D51" w:rsidRPr="00037AD4" w:rsidRDefault="00B54D51" w:rsidP="0067737A">
            <w:pPr>
              <w:pStyle w:val="EndNoteBibliography"/>
              <w:rPr>
                <w:rFonts w:asciiTheme="minorHAnsi" w:hAnsiTheme="minorHAnsi" w:cstheme="minorHAnsi"/>
                <w:lang w:val="en-GB"/>
              </w:rPr>
            </w:pPr>
            <w:r w:rsidRPr="00037AD4">
              <w:rPr>
                <w:rFonts w:ascii="Segoe UI Symbol" w:hAnsi="Segoe UI Symbol" w:cs="Segoe UI Symbol"/>
                <w:color w:val="000000" w:themeColor="text1"/>
                <w:shd w:val="clear" w:color="auto" w:fill="FFFFFF"/>
                <w:lang w:val="en-GB"/>
              </w:rPr>
              <w:t>✓</w:t>
            </w:r>
          </w:p>
        </w:tc>
        <w:tc>
          <w:tcPr>
            <w:tcW w:w="1550" w:type="dxa"/>
          </w:tcPr>
          <w:p w14:paraId="4743E03B" w14:textId="77777777" w:rsidR="00B54D51" w:rsidRPr="00037AD4" w:rsidRDefault="00B54D51" w:rsidP="0067737A">
            <w:pPr>
              <w:pStyle w:val="EndNoteBibliography"/>
              <w:rPr>
                <w:rFonts w:asciiTheme="minorHAnsi" w:hAnsiTheme="minorHAnsi" w:cstheme="minorHAnsi"/>
                <w:lang w:val="en-GB"/>
              </w:rPr>
            </w:pPr>
            <w:r w:rsidRPr="00037AD4">
              <w:rPr>
                <w:rFonts w:asciiTheme="minorHAnsi" w:hAnsiTheme="minorHAnsi" w:cstheme="minorHAnsi"/>
                <w:color w:val="000000" w:themeColor="text1"/>
                <w:lang w:val="en-GB"/>
              </w:rPr>
              <w:t>Interview-based proxy questionnaire</w:t>
            </w:r>
          </w:p>
        </w:tc>
        <w:tc>
          <w:tcPr>
            <w:tcW w:w="1026" w:type="dxa"/>
          </w:tcPr>
          <w:p w14:paraId="11FE0058" w14:textId="77777777" w:rsidR="00B54D51" w:rsidRPr="00037AD4" w:rsidRDefault="00B54D51" w:rsidP="0067737A">
            <w:pPr>
              <w:pStyle w:val="EndNoteBibliography"/>
              <w:rPr>
                <w:rFonts w:asciiTheme="minorHAnsi" w:hAnsiTheme="minorHAnsi" w:cstheme="minorHAnsi"/>
                <w:lang w:val="en-GB"/>
              </w:rPr>
            </w:pPr>
            <w:r w:rsidRPr="00037AD4">
              <w:rPr>
                <w:rFonts w:asciiTheme="minorHAnsi" w:hAnsiTheme="minorHAnsi" w:cstheme="minorHAnsi"/>
                <w:lang w:val="en-GB"/>
              </w:rPr>
              <w:t>12</w:t>
            </w:r>
          </w:p>
        </w:tc>
        <w:tc>
          <w:tcPr>
            <w:tcW w:w="2020" w:type="dxa"/>
          </w:tcPr>
          <w:p w14:paraId="585FD954" w14:textId="77777777" w:rsidR="00B54D51" w:rsidRPr="00037AD4" w:rsidRDefault="00B54D51" w:rsidP="0067737A">
            <w:pPr>
              <w:pStyle w:val="EndNoteBibliography"/>
              <w:rPr>
                <w:rFonts w:asciiTheme="minorHAnsi" w:hAnsiTheme="minorHAnsi" w:cstheme="minorHAnsi"/>
                <w:lang w:val="en-GB"/>
              </w:rPr>
            </w:pPr>
            <w:r w:rsidRPr="00037AD4">
              <w:rPr>
                <w:rFonts w:asciiTheme="minorHAnsi" w:hAnsiTheme="minorHAnsi" w:cstheme="minorHAnsi"/>
                <w:lang w:val="en-GB"/>
              </w:rPr>
              <w:t xml:space="preserve">0 – 144, higher scores indicate greater severity </w:t>
            </w:r>
          </w:p>
        </w:tc>
      </w:tr>
      <w:tr w:rsidR="00B54D51" w:rsidRPr="00037AD4" w14:paraId="0EA2BF79" w14:textId="77777777" w:rsidTr="00322CFC">
        <w:trPr>
          <w:trHeight w:val="967"/>
        </w:trPr>
        <w:tc>
          <w:tcPr>
            <w:tcW w:w="836" w:type="dxa"/>
          </w:tcPr>
          <w:p w14:paraId="48F57424" w14:textId="77777777" w:rsidR="00B54D51" w:rsidRPr="00037AD4" w:rsidRDefault="00B54D51" w:rsidP="0067737A">
            <w:pPr>
              <w:pStyle w:val="EndNoteBibliography"/>
              <w:rPr>
                <w:rFonts w:asciiTheme="minorHAnsi" w:hAnsiTheme="minorHAnsi" w:cstheme="minorHAnsi"/>
                <w:lang w:val="en-GB"/>
              </w:rPr>
            </w:pPr>
            <w:r w:rsidRPr="00037AD4">
              <w:rPr>
                <w:rFonts w:asciiTheme="minorHAnsi" w:hAnsiTheme="minorHAnsi" w:cstheme="minorHAnsi"/>
                <w:lang w:val="en-GB"/>
              </w:rPr>
              <w:t>CMAI</w:t>
            </w:r>
          </w:p>
        </w:tc>
        <w:tc>
          <w:tcPr>
            <w:tcW w:w="1203" w:type="dxa"/>
          </w:tcPr>
          <w:p w14:paraId="0B75719B" w14:textId="77777777" w:rsidR="00B54D51" w:rsidRPr="00037AD4" w:rsidRDefault="00B54D51" w:rsidP="0067737A">
            <w:pPr>
              <w:pStyle w:val="EndNoteBibliography"/>
              <w:rPr>
                <w:rFonts w:asciiTheme="minorHAnsi" w:hAnsiTheme="minorHAnsi" w:cstheme="minorHAnsi"/>
                <w:lang w:val="en-GB"/>
              </w:rPr>
            </w:pPr>
            <w:r w:rsidRPr="00037AD4">
              <w:rPr>
                <w:rFonts w:asciiTheme="minorHAnsi" w:hAnsiTheme="minorHAnsi" w:cstheme="minorHAnsi"/>
                <w:lang w:val="en-GB"/>
              </w:rPr>
              <w:t>20</w:t>
            </w:r>
          </w:p>
        </w:tc>
        <w:tc>
          <w:tcPr>
            <w:tcW w:w="2151" w:type="dxa"/>
          </w:tcPr>
          <w:p w14:paraId="339409B2" w14:textId="77777777" w:rsidR="00B54D51" w:rsidRPr="00037AD4" w:rsidRDefault="00B54D51" w:rsidP="0067737A">
            <w:pPr>
              <w:pStyle w:val="EndNoteBibliography"/>
              <w:rPr>
                <w:rFonts w:asciiTheme="minorHAnsi" w:hAnsiTheme="minorHAnsi" w:cstheme="minorHAnsi"/>
                <w:lang w:val="en-GB"/>
              </w:rPr>
            </w:pPr>
            <w:r w:rsidRPr="00037AD4">
              <w:rPr>
                <w:rFonts w:asciiTheme="minorHAnsi" w:hAnsiTheme="minorHAnsi" w:cstheme="minorHAnsi"/>
                <w:lang w:val="en-GB"/>
              </w:rPr>
              <w:t xml:space="preserve">Assess agitation in institutionalized older adults </w:t>
            </w:r>
          </w:p>
        </w:tc>
        <w:tc>
          <w:tcPr>
            <w:tcW w:w="1291" w:type="dxa"/>
          </w:tcPr>
          <w:p w14:paraId="5144C8F4" w14:textId="77777777" w:rsidR="00B54D51" w:rsidRPr="00037AD4" w:rsidRDefault="00B54D51" w:rsidP="0067737A">
            <w:pPr>
              <w:pStyle w:val="EndNoteBibliography"/>
              <w:rPr>
                <w:rFonts w:asciiTheme="minorHAnsi" w:hAnsiTheme="minorHAnsi" w:cstheme="minorHAnsi"/>
                <w:lang w:val="en-GB"/>
              </w:rPr>
            </w:pPr>
          </w:p>
        </w:tc>
        <w:tc>
          <w:tcPr>
            <w:tcW w:w="1550" w:type="dxa"/>
          </w:tcPr>
          <w:p w14:paraId="56DE29EE" w14:textId="77777777" w:rsidR="00B54D51" w:rsidRPr="00037AD4" w:rsidRDefault="00B54D51" w:rsidP="0067737A">
            <w:pPr>
              <w:pStyle w:val="EndNoteBibliography"/>
              <w:rPr>
                <w:rFonts w:asciiTheme="minorHAnsi" w:hAnsiTheme="minorHAnsi" w:cstheme="minorHAnsi"/>
                <w:lang w:val="en-GB"/>
              </w:rPr>
            </w:pPr>
            <w:r w:rsidRPr="00037AD4">
              <w:rPr>
                <w:rFonts w:asciiTheme="minorHAnsi" w:hAnsiTheme="minorHAnsi" w:cstheme="minorHAnsi"/>
                <w:color w:val="000000" w:themeColor="text1"/>
                <w:lang w:val="en-GB"/>
              </w:rPr>
              <w:t>Proxy-reported questionnaire</w:t>
            </w:r>
          </w:p>
        </w:tc>
        <w:tc>
          <w:tcPr>
            <w:tcW w:w="1026" w:type="dxa"/>
          </w:tcPr>
          <w:p w14:paraId="23FB81E1" w14:textId="77777777" w:rsidR="00B54D51" w:rsidRPr="00037AD4" w:rsidRDefault="00B54D51" w:rsidP="0067737A">
            <w:pPr>
              <w:pStyle w:val="EndNoteBibliography"/>
              <w:rPr>
                <w:rFonts w:asciiTheme="minorHAnsi" w:hAnsiTheme="minorHAnsi" w:cstheme="minorHAnsi"/>
                <w:lang w:val="en-GB"/>
              </w:rPr>
            </w:pPr>
            <w:r w:rsidRPr="00037AD4">
              <w:rPr>
                <w:rFonts w:asciiTheme="minorHAnsi" w:hAnsiTheme="minorHAnsi" w:cstheme="minorHAnsi"/>
                <w:lang w:val="en-GB"/>
              </w:rPr>
              <w:t>29</w:t>
            </w:r>
          </w:p>
        </w:tc>
        <w:tc>
          <w:tcPr>
            <w:tcW w:w="2020" w:type="dxa"/>
          </w:tcPr>
          <w:p w14:paraId="02B2563B" w14:textId="77777777" w:rsidR="00B54D51" w:rsidRPr="00037AD4" w:rsidRDefault="00B54D51" w:rsidP="0067737A">
            <w:pPr>
              <w:pStyle w:val="EndNoteBibliography"/>
              <w:rPr>
                <w:rFonts w:asciiTheme="minorHAnsi" w:hAnsiTheme="minorHAnsi" w:cstheme="minorHAnsi"/>
                <w:lang w:val="en-GB"/>
              </w:rPr>
            </w:pPr>
            <w:r w:rsidRPr="00037AD4">
              <w:rPr>
                <w:rFonts w:asciiTheme="minorHAnsi" w:hAnsiTheme="minorHAnsi" w:cstheme="minorHAnsi"/>
                <w:lang w:val="en-GB"/>
              </w:rPr>
              <w:t>29 – 203, higher scores indicate greater severity</w:t>
            </w:r>
          </w:p>
        </w:tc>
      </w:tr>
      <w:tr w:rsidR="00B54D51" w:rsidRPr="00037AD4" w14:paraId="1663559E" w14:textId="77777777" w:rsidTr="00322CFC">
        <w:trPr>
          <w:trHeight w:val="1846"/>
        </w:trPr>
        <w:tc>
          <w:tcPr>
            <w:tcW w:w="836" w:type="dxa"/>
          </w:tcPr>
          <w:p w14:paraId="1498349E" w14:textId="77777777" w:rsidR="00B54D51" w:rsidRPr="00037AD4" w:rsidRDefault="00B54D51" w:rsidP="0067737A">
            <w:pPr>
              <w:pStyle w:val="EndNoteBibliography"/>
              <w:rPr>
                <w:rFonts w:asciiTheme="minorHAnsi" w:hAnsiTheme="minorHAnsi" w:cstheme="minorHAnsi"/>
                <w:lang w:val="en-GB"/>
              </w:rPr>
            </w:pPr>
            <w:r w:rsidRPr="00037AD4">
              <w:rPr>
                <w:rFonts w:asciiTheme="minorHAnsi" w:hAnsiTheme="minorHAnsi" w:cstheme="minorHAnsi"/>
                <w:lang w:val="en-GB"/>
              </w:rPr>
              <w:t>CSDD</w:t>
            </w:r>
          </w:p>
        </w:tc>
        <w:tc>
          <w:tcPr>
            <w:tcW w:w="1203" w:type="dxa"/>
          </w:tcPr>
          <w:p w14:paraId="2E274999" w14:textId="77777777" w:rsidR="00B54D51" w:rsidRPr="00037AD4" w:rsidRDefault="00B54D51" w:rsidP="0067737A">
            <w:pPr>
              <w:pStyle w:val="EndNoteBibliography"/>
              <w:rPr>
                <w:rFonts w:asciiTheme="minorHAnsi" w:hAnsiTheme="minorHAnsi" w:cstheme="minorHAnsi"/>
                <w:lang w:val="en-GB"/>
              </w:rPr>
            </w:pPr>
            <w:r w:rsidRPr="00037AD4">
              <w:rPr>
                <w:rFonts w:asciiTheme="minorHAnsi" w:hAnsiTheme="minorHAnsi" w:cstheme="minorHAnsi"/>
                <w:lang w:val="en-GB"/>
              </w:rPr>
              <w:t>20</w:t>
            </w:r>
          </w:p>
        </w:tc>
        <w:tc>
          <w:tcPr>
            <w:tcW w:w="2151" w:type="dxa"/>
          </w:tcPr>
          <w:p w14:paraId="343F2EE6" w14:textId="77777777" w:rsidR="00B54D51" w:rsidRPr="00037AD4" w:rsidRDefault="00B54D51" w:rsidP="0067737A">
            <w:pPr>
              <w:pStyle w:val="EndNoteBibliography"/>
              <w:rPr>
                <w:rFonts w:asciiTheme="minorHAnsi" w:hAnsiTheme="minorHAnsi" w:cstheme="minorHAnsi"/>
                <w:lang w:val="en-GB"/>
              </w:rPr>
            </w:pPr>
            <w:r w:rsidRPr="00037AD4">
              <w:rPr>
                <w:rFonts w:asciiTheme="minorHAnsi" w:hAnsiTheme="minorHAnsi" w:cstheme="minorHAnsi"/>
                <w:lang w:val="en-GB"/>
              </w:rPr>
              <w:t xml:space="preserve">Assess the severity of depressive symptoms in people with dementia </w:t>
            </w:r>
          </w:p>
        </w:tc>
        <w:tc>
          <w:tcPr>
            <w:tcW w:w="1291" w:type="dxa"/>
          </w:tcPr>
          <w:p w14:paraId="76F70FDC" w14:textId="77777777" w:rsidR="00B54D51" w:rsidRPr="00037AD4" w:rsidRDefault="00B54D51" w:rsidP="0067737A">
            <w:pPr>
              <w:pStyle w:val="EndNoteBibliography"/>
              <w:rPr>
                <w:rFonts w:asciiTheme="minorHAnsi" w:hAnsiTheme="minorHAnsi" w:cstheme="minorHAnsi"/>
                <w:lang w:val="en-GB"/>
              </w:rPr>
            </w:pPr>
            <w:r w:rsidRPr="00037AD4">
              <w:rPr>
                <w:rFonts w:ascii="Segoe UI Symbol" w:hAnsi="Segoe UI Symbol" w:cs="Segoe UI Symbol"/>
                <w:color w:val="000000" w:themeColor="text1"/>
                <w:shd w:val="clear" w:color="auto" w:fill="FFFFFF"/>
                <w:lang w:val="en-GB"/>
              </w:rPr>
              <w:t>✓</w:t>
            </w:r>
          </w:p>
        </w:tc>
        <w:tc>
          <w:tcPr>
            <w:tcW w:w="1550" w:type="dxa"/>
          </w:tcPr>
          <w:p w14:paraId="7F2850BF" w14:textId="77777777" w:rsidR="00B54D51" w:rsidRPr="00037AD4" w:rsidRDefault="00B54D51" w:rsidP="0067737A">
            <w:pPr>
              <w:pStyle w:val="EndNoteBibliography"/>
              <w:rPr>
                <w:rFonts w:asciiTheme="minorHAnsi" w:hAnsiTheme="minorHAnsi" w:cstheme="minorHAnsi"/>
                <w:b/>
                <w:bCs/>
                <w:lang w:val="en-GB"/>
              </w:rPr>
            </w:pPr>
            <w:r w:rsidRPr="00037AD4">
              <w:rPr>
                <w:rFonts w:asciiTheme="minorHAnsi" w:hAnsiTheme="minorHAnsi" w:cstheme="minorHAnsi"/>
                <w:color w:val="000000" w:themeColor="text1"/>
                <w:lang w:val="en-GB"/>
              </w:rPr>
              <w:t>Interview-based proxy questionnaire</w:t>
            </w:r>
          </w:p>
        </w:tc>
        <w:tc>
          <w:tcPr>
            <w:tcW w:w="1026" w:type="dxa"/>
          </w:tcPr>
          <w:p w14:paraId="48AEA9E5" w14:textId="77777777" w:rsidR="00B54D51" w:rsidRPr="00037AD4" w:rsidRDefault="00B54D51" w:rsidP="0067737A">
            <w:pPr>
              <w:pStyle w:val="EndNoteBibliography"/>
              <w:rPr>
                <w:rFonts w:asciiTheme="minorHAnsi" w:hAnsiTheme="minorHAnsi" w:cstheme="minorHAnsi"/>
                <w:lang w:val="en-GB"/>
              </w:rPr>
            </w:pPr>
            <w:r w:rsidRPr="00037AD4">
              <w:rPr>
                <w:rFonts w:asciiTheme="minorHAnsi" w:hAnsiTheme="minorHAnsi" w:cstheme="minorHAnsi"/>
                <w:lang w:val="en-GB"/>
              </w:rPr>
              <w:t>19</w:t>
            </w:r>
          </w:p>
        </w:tc>
        <w:tc>
          <w:tcPr>
            <w:tcW w:w="2020" w:type="dxa"/>
          </w:tcPr>
          <w:p w14:paraId="6FB88F6E" w14:textId="77777777" w:rsidR="00B54D51" w:rsidRPr="00037AD4" w:rsidRDefault="00B54D51" w:rsidP="0067737A">
            <w:pPr>
              <w:pStyle w:val="EndNoteBibliography"/>
              <w:rPr>
                <w:rFonts w:asciiTheme="minorHAnsi" w:hAnsiTheme="minorHAnsi" w:cstheme="minorHAnsi"/>
                <w:lang w:val="en-GB"/>
              </w:rPr>
            </w:pPr>
            <w:r w:rsidRPr="00037AD4">
              <w:rPr>
                <w:rFonts w:asciiTheme="minorHAnsi" w:hAnsiTheme="minorHAnsi" w:cstheme="minorHAnsi"/>
                <w:lang w:val="en-GB"/>
              </w:rPr>
              <w:t>0 – 38, higher scores indicate greater severity, &gt;12 indicates probable depression</w:t>
            </w:r>
          </w:p>
        </w:tc>
      </w:tr>
      <w:tr w:rsidR="00B54D51" w:rsidRPr="00037AD4" w14:paraId="5726E470" w14:textId="77777777" w:rsidTr="00322CFC">
        <w:trPr>
          <w:trHeight w:val="1830"/>
        </w:trPr>
        <w:tc>
          <w:tcPr>
            <w:tcW w:w="836" w:type="dxa"/>
          </w:tcPr>
          <w:p w14:paraId="7BD83C2D" w14:textId="77777777" w:rsidR="00B54D51" w:rsidRPr="00037AD4" w:rsidRDefault="00B54D51" w:rsidP="004A4E0C">
            <w:pPr>
              <w:pStyle w:val="EndNoteBibliography"/>
              <w:rPr>
                <w:rFonts w:asciiTheme="minorHAnsi" w:hAnsiTheme="minorHAnsi" w:cstheme="minorHAnsi"/>
                <w:lang w:val="en-GB"/>
              </w:rPr>
            </w:pPr>
            <w:r w:rsidRPr="00037AD4">
              <w:rPr>
                <w:rFonts w:asciiTheme="minorHAnsi" w:hAnsiTheme="minorHAnsi" w:cstheme="minorHAnsi"/>
                <w:lang w:val="en-GB"/>
              </w:rPr>
              <w:t>GDS-15</w:t>
            </w:r>
          </w:p>
        </w:tc>
        <w:tc>
          <w:tcPr>
            <w:tcW w:w="1203" w:type="dxa"/>
          </w:tcPr>
          <w:p w14:paraId="318989E0" w14:textId="77777777" w:rsidR="00B54D51" w:rsidRPr="00037AD4" w:rsidRDefault="00B54D51" w:rsidP="004A4E0C">
            <w:pPr>
              <w:pStyle w:val="EndNoteBibliography"/>
              <w:rPr>
                <w:rFonts w:asciiTheme="minorHAnsi" w:hAnsiTheme="minorHAnsi" w:cstheme="minorHAnsi"/>
                <w:lang w:val="en-GB"/>
              </w:rPr>
            </w:pPr>
            <w:r w:rsidRPr="00037AD4">
              <w:rPr>
                <w:rFonts w:asciiTheme="minorHAnsi" w:hAnsiTheme="minorHAnsi" w:cstheme="minorHAnsi"/>
                <w:lang w:val="en-GB"/>
              </w:rPr>
              <w:t xml:space="preserve">&lt;10 </w:t>
            </w:r>
          </w:p>
        </w:tc>
        <w:tc>
          <w:tcPr>
            <w:tcW w:w="2151" w:type="dxa"/>
          </w:tcPr>
          <w:p w14:paraId="047B3636" w14:textId="77777777" w:rsidR="00B54D51" w:rsidRPr="00037AD4" w:rsidRDefault="00B54D51" w:rsidP="004A4E0C">
            <w:pPr>
              <w:pStyle w:val="EndNoteBibliography"/>
              <w:rPr>
                <w:rFonts w:asciiTheme="minorHAnsi" w:hAnsiTheme="minorHAnsi" w:cstheme="minorHAnsi"/>
                <w:lang w:val="en-GB"/>
              </w:rPr>
            </w:pPr>
            <w:r w:rsidRPr="00037AD4">
              <w:rPr>
                <w:rFonts w:asciiTheme="minorHAnsi" w:hAnsiTheme="minorHAnsi" w:cstheme="minorHAnsi"/>
                <w:lang w:val="en-GB"/>
              </w:rPr>
              <w:t>Screening for depression symptoms in the elderly</w:t>
            </w:r>
          </w:p>
        </w:tc>
        <w:tc>
          <w:tcPr>
            <w:tcW w:w="1291" w:type="dxa"/>
          </w:tcPr>
          <w:p w14:paraId="05DB754F" w14:textId="77777777" w:rsidR="00B54D51" w:rsidRPr="00037AD4" w:rsidRDefault="00B54D51" w:rsidP="004A4E0C">
            <w:pPr>
              <w:pStyle w:val="EndNoteBibliography"/>
              <w:rPr>
                <w:rFonts w:asciiTheme="minorHAnsi" w:hAnsiTheme="minorHAnsi" w:cstheme="minorHAnsi"/>
                <w:lang w:val="en-GB"/>
              </w:rPr>
            </w:pPr>
          </w:p>
        </w:tc>
        <w:tc>
          <w:tcPr>
            <w:tcW w:w="1550" w:type="dxa"/>
          </w:tcPr>
          <w:p w14:paraId="4F301A4F" w14:textId="77777777" w:rsidR="00B54D51" w:rsidRPr="00037AD4" w:rsidRDefault="00B54D51" w:rsidP="004A4E0C">
            <w:pPr>
              <w:pStyle w:val="EndNoteBibliography"/>
              <w:rPr>
                <w:rFonts w:asciiTheme="minorHAnsi" w:hAnsiTheme="minorHAnsi" w:cstheme="minorHAnsi"/>
                <w:lang w:val="en-GB"/>
              </w:rPr>
            </w:pPr>
            <w:r w:rsidRPr="00037AD4">
              <w:rPr>
                <w:rFonts w:asciiTheme="minorHAnsi" w:hAnsiTheme="minorHAnsi" w:cstheme="minorHAnsi"/>
                <w:color w:val="000000" w:themeColor="text1"/>
                <w:lang w:val="en-GB"/>
              </w:rPr>
              <w:t xml:space="preserve">Interview based questionnaire </w:t>
            </w:r>
          </w:p>
        </w:tc>
        <w:tc>
          <w:tcPr>
            <w:tcW w:w="1026" w:type="dxa"/>
          </w:tcPr>
          <w:p w14:paraId="036E34E6" w14:textId="77777777" w:rsidR="00B54D51" w:rsidRPr="00037AD4" w:rsidRDefault="00B54D51" w:rsidP="004A4E0C">
            <w:pPr>
              <w:pStyle w:val="EndNoteBibliography"/>
              <w:rPr>
                <w:rFonts w:asciiTheme="minorHAnsi" w:hAnsiTheme="minorHAnsi" w:cstheme="minorHAnsi"/>
                <w:lang w:val="en-GB"/>
              </w:rPr>
            </w:pPr>
            <w:r w:rsidRPr="00037AD4">
              <w:rPr>
                <w:rFonts w:asciiTheme="minorHAnsi" w:hAnsiTheme="minorHAnsi" w:cstheme="minorHAnsi"/>
                <w:lang w:val="en-GB"/>
              </w:rPr>
              <w:t>15</w:t>
            </w:r>
          </w:p>
        </w:tc>
        <w:tc>
          <w:tcPr>
            <w:tcW w:w="2020" w:type="dxa"/>
          </w:tcPr>
          <w:p w14:paraId="35F01A1F" w14:textId="77777777" w:rsidR="00B54D51" w:rsidRPr="00037AD4" w:rsidRDefault="00B54D51" w:rsidP="004A4E0C">
            <w:pPr>
              <w:pStyle w:val="EndNoteBibliography"/>
              <w:rPr>
                <w:rFonts w:asciiTheme="minorHAnsi" w:hAnsiTheme="minorHAnsi" w:cstheme="minorHAnsi"/>
                <w:lang w:val="en-GB"/>
              </w:rPr>
            </w:pPr>
            <w:r w:rsidRPr="00037AD4">
              <w:rPr>
                <w:rFonts w:asciiTheme="minorHAnsi" w:hAnsiTheme="minorHAnsi" w:cstheme="minorHAnsi"/>
                <w:lang w:val="en-GB"/>
              </w:rPr>
              <w:t>0 – 15; 0-4, normal, 5-8, mild depression, 9-11, moderate depression, 12-15 severe depression</w:t>
            </w:r>
          </w:p>
        </w:tc>
      </w:tr>
      <w:tr w:rsidR="00B54D51" w:rsidRPr="00037AD4" w14:paraId="1B5224C5" w14:textId="77777777" w:rsidTr="00322CFC">
        <w:trPr>
          <w:trHeight w:val="694"/>
        </w:trPr>
        <w:tc>
          <w:tcPr>
            <w:tcW w:w="10081" w:type="dxa"/>
            <w:gridSpan w:val="7"/>
          </w:tcPr>
          <w:p w14:paraId="0A1679FA" w14:textId="77777777" w:rsidR="00B54D51" w:rsidRPr="00322CFC" w:rsidRDefault="00B54D51" w:rsidP="004A4E0C">
            <w:pPr>
              <w:pStyle w:val="EndNoteBibliography"/>
              <w:rPr>
                <w:rFonts w:asciiTheme="minorHAnsi" w:hAnsiTheme="minorHAnsi" w:cstheme="minorHAnsi"/>
                <w:sz w:val="22"/>
                <w:szCs w:val="22"/>
                <w:lang w:val="en-GB"/>
              </w:rPr>
            </w:pPr>
            <w:r w:rsidRPr="00322CFC">
              <w:rPr>
                <w:rFonts w:asciiTheme="minorHAnsi" w:hAnsiTheme="minorHAnsi" w:cstheme="minorHAnsi"/>
                <w:sz w:val="22"/>
                <w:szCs w:val="22"/>
                <w:lang w:val="en-GB"/>
              </w:rPr>
              <w:t>NPI, Neuropsychiatric inventory; CMAI, Cohen Mansfield agitation inventory; CSDD, Cornell scale for depression in dementia; geriatric depression scale 15 items, GDS-15</w:t>
            </w:r>
          </w:p>
        </w:tc>
      </w:tr>
    </w:tbl>
    <w:p w14:paraId="39594ED7" w14:textId="77777777" w:rsidR="00B54D51" w:rsidRPr="00037AD4" w:rsidRDefault="00B54D51" w:rsidP="0067737A">
      <w:pPr>
        <w:pStyle w:val="EndNoteBibliography"/>
        <w:rPr>
          <w:rFonts w:asciiTheme="minorHAnsi" w:hAnsiTheme="minorHAnsi" w:cstheme="minorHAnsi"/>
          <w:lang w:val="en-GB"/>
        </w:rPr>
      </w:pPr>
    </w:p>
    <w:p w14:paraId="32326D91" w14:textId="77777777" w:rsidR="00B54D51" w:rsidRPr="00037AD4" w:rsidRDefault="00B54D51" w:rsidP="00802261">
      <w:pPr>
        <w:pStyle w:val="EndNoteBibliography"/>
        <w:rPr>
          <w:rFonts w:asciiTheme="minorHAnsi" w:hAnsiTheme="minorHAnsi" w:cstheme="minorHAnsi"/>
          <w:lang w:val="en-GB"/>
        </w:rPr>
      </w:pPr>
      <w:r w:rsidRPr="00037AD4">
        <w:rPr>
          <w:rFonts w:asciiTheme="minorHAnsi" w:hAnsiTheme="minorHAnsi" w:cstheme="minorHAnsi"/>
          <w:lang w:val="en-GB"/>
        </w:rPr>
        <w:t xml:space="preserve">NPI and CSDD are designed specifically for use in populations with dementia; CMAI and GDS are intended for use in general older adults. Three of the measures rely solely on proxy-reports. A cross-comparison of the instrument’s item domains is provided in </w:t>
      </w:r>
      <w:hyperlink w:anchor="A33" w:history="1">
        <w:r w:rsidRPr="00322CFC">
          <w:rPr>
            <w:rStyle w:val="Hyperlink"/>
            <w:rFonts w:asciiTheme="minorHAnsi" w:hAnsiTheme="minorHAnsi" w:cstheme="minorHAnsi"/>
            <w:color w:val="000000" w:themeColor="text1"/>
            <w:u w:val="none"/>
            <w:lang w:val="en-GB"/>
          </w:rPr>
          <w:t>Table A3.3c of Appendix 3.3</w:t>
        </w:r>
      </w:hyperlink>
      <w:r w:rsidRPr="00322CFC">
        <w:rPr>
          <w:rFonts w:asciiTheme="minorHAnsi" w:hAnsiTheme="minorHAnsi" w:cstheme="minorHAnsi"/>
          <w:color w:val="000000" w:themeColor="text1"/>
          <w:lang w:val="en-GB"/>
        </w:rPr>
        <w:t xml:space="preserve">. </w:t>
      </w:r>
      <w:r w:rsidRPr="00322CFC">
        <w:rPr>
          <w:rFonts w:asciiTheme="minorHAnsi" w:hAnsiTheme="minorHAnsi" w:cstheme="minorHAnsi"/>
          <w:lang w:val="en-GB"/>
        </w:rPr>
        <w:t>The</w:t>
      </w:r>
      <w:r w:rsidRPr="00037AD4">
        <w:rPr>
          <w:rFonts w:asciiTheme="minorHAnsi" w:hAnsiTheme="minorHAnsi" w:cstheme="minorHAnsi"/>
          <w:lang w:val="en-GB"/>
        </w:rPr>
        <w:t xml:space="preserve"> only domain assessed by all of the measures is related to depression/depressive symptoms. However, the following five domains occur in three of the four instruments: agitation/aggression, anxiety/fear, apathy/indifference, night-time/sleep disturbance and appetite and eating disorders; highlighting the importance of these concepts across measures for measuring behaviour/mood in dementia.  </w:t>
      </w:r>
    </w:p>
    <w:p w14:paraId="53A216E3" w14:textId="6E7DC837" w:rsidR="00B54D51" w:rsidRDefault="00B54D51" w:rsidP="00802261">
      <w:pPr>
        <w:pStyle w:val="EndNoteBibliography"/>
        <w:rPr>
          <w:rFonts w:asciiTheme="minorHAnsi" w:hAnsiTheme="minorHAnsi" w:cstheme="minorHAnsi"/>
          <w:lang w:val="en-GB"/>
        </w:rPr>
      </w:pPr>
    </w:p>
    <w:p w14:paraId="6A76DCAA" w14:textId="6CFC5B2B" w:rsidR="00322CFC" w:rsidRDefault="00322CFC" w:rsidP="00802261">
      <w:pPr>
        <w:pStyle w:val="EndNoteBibliography"/>
        <w:rPr>
          <w:rFonts w:asciiTheme="minorHAnsi" w:hAnsiTheme="minorHAnsi" w:cstheme="minorHAnsi"/>
          <w:lang w:val="en-GB"/>
        </w:rPr>
      </w:pPr>
    </w:p>
    <w:p w14:paraId="284272AA" w14:textId="133D352F" w:rsidR="00322CFC" w:rsidRDefault="00322CFC" w:rsidP="00802261">
      <w:pPr>
        <w:pStyle w:val="EndNoteBibliography"/>
        <w:rPr>
          <w:rFonts w:asciiTheme="minorHAnsi" w:hAnsiTheme="minorHAnsi" w:cstheme="minorHAnsi"/>
          <w:lang w:val="en-GB"/>
        </w:rPr>
      </w:pPr>
    </w:p>
    <w:p w14:paraId="2E2DFFA0" w14:textId="6D3CB18E" w:rsidR="00322CFC" w:rsidRDefault="00322CFC" w:rsidP="00802261">
      <w:pPr>
        <w:pStyle w:val="EndNoteBibliography"/>
        <w:rPr>
          <w:rFonts w:asciiTheme="minorHAnsi" w:hAnsiTheme="minorHAnsi" w:cstheme="minorHAnsi"/>
          <w:lang w:val="en-GB"/>
        </w:rPr>
      </w:pPr>
    </w:p>
    <w:p w14:paraId="4C74832E" w14:textId="7C2253E4" w:rsidR="00322CFC" w:rsidRDefault="00322CFC" w:rsidP="00802261">
      <w:pPr>
        <w:pStyle w:val="EndNoteBibliography"/>
        <w:rPr>
          <w:rFonts w:asciiTheme="minorHAnsi" w:hAnsiTheme="minorHAnsi" w:cstheme="minorHAnsi"/>
          <w:lang w:val="en-GB"/>
        </w:rPr>
      </w:pPr>
    </w:p>
    <w:p w14:paraId="1D6F69B0" w14:textId="77777777" w:rsidR="00322CFC" w:rsidRDefault="00322CFC" w:rsidP="00802261">
      <w:pPr>
        <w:pStyle w:val="EndNoteBibliography"/>
        <w:rPr>
          <w:rFonts w:asciiTheme="minorHAnsi" w:hAnsiTheme="minorHAnsi" w:cstheme="minorHAnsi"/>
          <w:lang w:val="en-GB"/>
        </w:rPr>
      </w:pPr>
    </w:p>
    <w:p w14:paraId="50F646C1" w14:textId="77777777" w:rsidR="00F23BDF" w:rsidRPr="00037AD4" w:rsidRDefault="00F23BDF" w:rsidP="00802261">
      <w:pPr>
        <w:pStyle w:val="EndNoteBibliography"/>
        <w:rPr>
          <w:rFonts w:asciiTheme="minorHAnsi" w:hAnsiTheme="minorHAnsi" w:cstheme="minorHAnsi"/>
          <w:lang w:val="en-GB"/>
        </w:rPr>
      </w:pPr>
    </w:p>
    <w:p w14:paraId="0C54D9AF" w14:textId="77777777" w:rsidR="00B54D51" w:rsidRPr="00037AD4" w:rsidRDefault="00B54D51" w:rsidP="007A43F9">
      <w:pPr>
        <w:pStyle w:val="Heading2"/>
      </w:pPr>
      <w:bookmarkStart w:id="295" w:name="_3.7_Convergent_validity"/>
      <w:bookmarkStart w:id="296" w:name="_Toc79582143"/>
      <w:bookmarkStart w:id="297" w:name="_Toc79839771"/>
      <w:bookmarkStart w:id="298" w:name="_Toc80257845"/>
      <w:bookmarkStart w:id="299" w:name="_Toc80969286"/>
      <w:bookmarkStart w:id="300" w:name="_Toc80969367"/>
      <w:bookmarkStart w:id="301" w:name="_Toc80969447"/>
      <w:bookmarkStart w:id="302" w:name="_Toc82180054"/>
      <w:bookmarkStart w:id="303" w:name="Ch37"/>
      <w:bookmarkStart w:id="304" w:name="_Toc175742291"/>
      <w:bookmarkEnd w:id="295"/>
      <w:r w:rsidRPr="00037AD4">
        <w:lastRenderedPageBreak/>
        <w:t>3.7 Convergent validity of EQ-5D with core outcomes in dementia: a systematic review</w:t>
      </w:r>
      <w:bookmarkEnd w:id="296"/>
      <w:bookmarkEnd w:id="297"/>
      <w:bookmarkEnd w:id="298"/>
      <w:bookmarkEnd w:id="299"/>
      <w:bookmarkEnd w:id="300"/>
      <w:bookmarkEnd w:id="301"/>
      <w:bookmarkEnd w:id="302"/>
      <w:bookmarkEnd w:id="304"/>
    </w:p>
    <w:bookmarkEnd w:id="303"/>
    <w:p w14:paraId="2E2FD289" w14:textId="77777777" w:rsidR="00B54D51" w:rsidRDefault="00B54D51" w:rsidP="00B81A96">
      <w:pPr>
        <w:rPr>
          <w:rFonts w:asciiTheme="minorHAnsi" w:hAnsiTheme="minorHAnsi" w:cstheme="minorHAnsi"/>
        </w:rPr>
      </w:pPr>
    </w:p>
    <w:p w14:paraId="435F0D57" w14:textId="268285A1" w:rsidR="00F23BDF" w:rsidRPr="00037AD4" w:rsidRDefault="00F23BDF" w:rsidP="00B81A96">
      <w:pPr>
        <w:rPr>
          <w:rFonts w:asciiTheme="minorHAnsi" w:hAnsiTheme="minorHAnsi" w:cstheme="minorHAnsi"/>
        </w:rPr>
      </w:pPr>
      <w:r w:rsidRPr="00F23BDF">
        <w:rPr>
          <w:rFonts w:asciiTheme="minorHAnsi" w:hAnsiTheme="minorHAnsi" w:cstheme="minorHAnsi"/>
        </w:rPr>
        <w:t>This systematic review was specifically conducted for this thesis with the support of the supervisory team: Anju Keetharuth (AK), Donna Rowen (DR), and Allan Wailoo (AW). As first author, HH independently developed the systematic search strategy, reviewed the search results to determine inclusion or exclusion of articles, completed the full data extraction of the references</w:t>
      </w:r>
      <w:r>
        <w:rPr>
          <w:rFonts w:asciiTheme="minorHAnsi" w:hAnsiTheme="minorHAnsi" w:cstheme="minorHAnsi"/>
        </w:rPr>
        <w:t xml:space="preserve"> and developed and conducted the quality appraisal assessment</w:t>
      </w:r>
      <w:r w:rsidRPr="00F23BDF">
        <w:rPr>
          <w:rFonts w:asciiTheme="minorHAnsi" w:hAnsiTheme="minorHAnsi" w:cstheme="minorHAnsi"/>
        </w:rPr>
        <w:t xml:space="preserve">. HH also wrote the </w:t>
      </w:r>
      <w:r>
        <w:rPr>
          <w:rFonts w:asciiTheme="minorHAnsi" w:hAnsiTheme="minorHAnsi" w:cstheme="minorHAnsi"/>
        </w:rPr>
        <w:t>full</w:t>
      </w:r>
      <w:r w:rsidRPr="00F23BDF">
        <w:rPr>
          <w:rFonts w:asciiTheme="minorHAnsi" w:hAnsiTheme="minorHAnsi" w:cstheme="minorHAnsi"/>
        </w:rPr>
        <w:t xml:space="preserve"> paper, including the introduction, methodology, results and discussion sections of the systematic review. All authors contributed to refining various drafts of the manuscript and approved the final version. During the peer-review process, AK and HH jointly addressed reviewer comments.</w:t>
      </w:r>
    </w:p>
    <w:p w14:paraId="2F2052FE" w14:textId="77777777" w:rsidR="00F23BDF" w:rsidRDefault="00F23BDF" w:rsidP="00B81A96">
      <w:pPr>
        <w:rPr>
          <w:rFonts w:asciiTheme="minorHAnsi" w:hAnsiTheme="minorHAnsi" w:cstheme="minorHAnsi"/>
        </w:rPr>
      </w:pPr>
    </w:p>
    <w:p w14:paraId="7BACA1F1" w14:textId="27A38ACA" w:rsidR="00B54D51" w:rsidRPr="00037AD4" w:rsidRDefault="00B54D51" w:rsidP="00B81A96">
      <w:pPr>
        <w:rPr>
          <w:rFonts w:asciiTheme="minorHAnsi" w:hAnsiTheme="minorHAnsi" w:cstheme="minorHAnsi"/>
        </w:rPr>
      </w:pPr>
      <w:r w:rsidRPr="00037AD4">
        <w:rPr>
          <w:rFonts w:asciiTheme="minorHAnsi" w:hAnsiTheme="minorHAnsi" w:cstheme="minorHAnsi"/>
        </w:rPr>
        <w:t>Th</w:t>
      </w:r>
      <w:r w:rsidR="00F23BDF">
        <w:rPr>
          <w:rFonts w:asciiTheme="minorHAnsi" w:hAnsiTheme="minorHAnsi" w:cstheme="minorHAnsi"/>
        </w:rPr>
        <w:t xml:space="preserve">is </w:t>
      </w:r>
      <w:r w:rsidRPr="00037AD4">
        <w:rPr>
          <w:rFonts w:asciiTheme="minorHAnsi" w:hAnsiTheme="minorHAnsi" w:cstheme="minorHAnsi"/>
        </w:rPr>
        <w:t>systematic review was accepted for publication in Health and Quality of Life Outcomes in 2022</w:t>
      </w:r>
    </w:p>
    <w:p w14:paraId="28CD8207" w14:textId="77777777" w:rsidR="00B54D51" w:rsidRPr="00037AD4" w:rsidRDefault="00B54D51" w:rsidP="00B81A96">
      <w:pPr>
        <w:rPr>
          <w:rFonts w:asciiTheme="minorHAnsi" w:hAnsiTheme="minorHAnsi" w:cstheme="minorHAnsi"/>
        </w:rPr>
      </w:pPr>
    </w:p>
    <w:p w14:paraId="6F021A89" w14:textId="77777777" w:rsidR="00B54D51" w:rsidRPr="00037AD4" w:rsidRDefault="00000000" w:rsidP="00B81A96">
      <w:pPr>
        <w:rPr>
          <w:rFonts w:asciiTheme="minorHAnsi" w:hAnsiTheme="minorHAnsi" w:cstheme="minorHAnsi"/>
        </w:rPr>
      </w:pPr>
      <w:hyperlink r:id="rId17" w:history="1">
        <w:r w:rsidR="00B54D51" w:rsidRPr="00037AD4">
          <w:rPr>
            <w:rStyle w:val="Hyperlink"/>
            <w:rFonts w:asciiTheme="minorHAnsi" w:hAnsiTheme="minorHAnsi" w:cstheme="minorHAnsi"/>
          </w:rPr>
          <w:t>https://hqlo.biomedcentral.com/articles/10.1186/s12955-022-02062-1</w:t>
        </w:r>
      </w:hyperlink>
    </w:p>
    <w:p w14:paraId="3EC0EB5C" w14:textId="77777777" w:rsidR="00B54D51" w:rsidRPr="00037AD4" w:rsidRDefault="00B54D51" w:rsidP="00B81A96">
      <w:pPr>
        <w:rPr>
          <w:rFonts w:asciiTheme="minorHAnsi" w:hAnsiTheme="minorHAnsi" w:cstheme="minorHAnsi"/>
        </w:rPr>
      </w:pPr>
    </w:p>
    <w:p w14:paraId="0A12105A" w14:textId="77777777" w:rsidR="00B54D51" w:rsidRDefault="00B54D51" w:rsidP="00B81A96">
      <w:pPr>
        <w:rPr>
          <w:rFonts w:asciiTheme="minorHAnsi" w:hAnsiTheme="minorHAnsi" w:cstheme="minorHAnsi"/>
          <w:shd w:val="clear" w:color="auto" w:fill="FFFFFF"/>
        </w:rPr>
      </w:pPr>
      <w:r w:rsidRPr="00037AD4">
        <w:rPr>
          <w:rFonts w:asciiTheme="minorHAnsi" w:hAnsiTheme="minorHAnsi" w:cstheme="minorHAnsi"/>
          <w:shd w:val="clear" w:color="auto" w:fill="FFFFFF"/>
        </w:rPr>
        <w:t>Hussain, H., Keetharuth, A., Rowen, D., &amp; Wailoo, A. (2022). Convergent validity of EQ-5D with core outcomes in dementia: a systematic review.</w:t>
      </w:r>
      <w:r w:rsidRPr="00037AD4">
        <w:rPr>
          <w:rStyle w:val="apple-converted-space"/>
          <w:rFonts w:asciiTheme="minorHAnsi" w:eastAsiaTheme="majorEastAsia" w:hAnsiTheme="minorHAnsi" w:cstheme="minorHAnsi"/>
          <w:shd w:val="clear" w:color="auto" w:fill="FFFFFF"/>
        </w:rPr>
        <w:t> </w:t>
      </w:r>
      <w:r w:rsidRPr="00037AD4">
        <w:rPr>
          <w:rFonts w:asciiTheme="minorHAnsi" w:hAnsiTheme="minorHAnsi" w:cstheme="minorHAnsi"/>
          <w:i/>
          <w:iCs/>
        </w:rPr>
        <w:t>Health and Quality of Life Outcomes</w:t>
      </w:r>
      <w:r w:rsidRPr="00037AD4">
        <w:rPr>
          <w:rFonts w:asciiTheme="minorHAnsi" w:hAnsiTheme="minorHAnsi" w:cstheme="minorHAnsi"/>
          <w:shd w:val="clear" w:color="auto" w:fill="FFFFFF"/>
        </w:rPr>
        <w:t>,</w:t>
      </w:r>
      <w:r w:rsidRPr="00037AD4">
        <w:rPr>
          <w:rStyle w:val="apple-converted-space"/>
          <w:rFonts w:asciiTheme="minorHAnsi" w:eastAsiaTheme="majorEastAsia" w:hAnsiTheme="minorHAnsi" w:cstheme="minorHAnsi"/>
          <w:shd w:val="clear" w:color="auto" w:fill="FFFFFF"/>
        </w:rPr>
        <w:t> </w:t>
      </w:r>
      <w:r w:rsidRPr="00037AD4">
        <w:rPr>
          <w:rFonts w:asciiTheme="minorHAnsi" w:hAnsiTheme="minorHAnsi" w:cstheme="minorHAnsi"/>
          <w:i/>
          <w:iCs/>
        </w:rPr>
        <w:t>20</w:t>
      </w:r>
      <w:r w:rsidRPr="00037AD4">
        <w:rPr>
          <w:rFonts w:asciiTheme="minorHAnsi" w:hAnsiTheme="minorHAnsi" w:cstheme="minorHAnsi"/>
          <w:shd w:val="clear" w:color="auto" w:fill="FFFFFF"/>
        </w:rPr>
        <w:t>(1), 1-18.</w:t>
      </w:r>
    </w:p>
    <w:p w14:paraId="7209FDB2" w14:textId="77777777" w:rsidR="00B54D51" w:rsidRPr="00037AD4" w:rsidRDefault="00B54D51" w:rsidP="00B81A96">
      <w:pPr>
        <w:rPr>
          <w:rFonts w:asciiTheme="minorHAnsi" w:hAnsiTheme="minorHAnsi" w:cstheme="minorHAnsi"/>
          <w:b/>
          <w:bCs/>
          <w:color w:val="000000" w:themeColor="text1"/>
          <w:u w:val="single"/>
        </w:rPr>
      </w:pPr>
    </w:p>
    <w:p w14:paraId="04568DEE" w14:textId="77777777" w:rsidR="00B54D51" w:rsidRPr="00037AD4" w:rsidRDefault="00B54D51" w:rsidP="007A43F9">
      <w:pPr>
        <w:pStyle w:val="Heading3"/>
      </w:pPr>
      <w:bookmarkStart w:id="305" w:name="_Toc175742292"/>
      <w:r w:rsidRPr="00037AD4">
        <w:t>3.7.1 Introduction</w:t>
      </w:r>
      <w:bookmarkEnd w:id="305"/>
      <w:r w:rsidRPr="00037AD4">
        <w:t xml:space="preserve">  </w:t>
      </w:r>
    </w:p>
    <w:p w14:paraId="078F851C" w14:textId="77777777" w:rsidR="00B54D51" w:rsidRPr="00037AD4" w:rsidRDefault="00B54D51" w:rsidP="00B67A3C">
      <w:pPr>
        <w:pStyle w:val="NormalWeb"/>
        <w:rPr>
          <w:rFonts w:asciiTheme="minorHAnsi" w:hAnsiTheme="minorHAnsi" w:cstheme="minorHAnsi"/>
        </w:rPr>
      </w:pPr>
      <w:r w:rsidRPr="00037AD4">
        <w:rPr>
          <w:rFonts w:asciiTheme="minorHAnsi" w:hAnsiTheme="minorHAnsi" w:cstheme="minorHAnsi"/>
        </w:rPr>
        <w:t xml:space="preserve">As previously discussed, dementia is characterised by cognitive symptoms such as memory loss and speech and language impairments – but also impacts behaviour/mood, function </w:t>
      </w:r>
      <w:r>
        <w:rPr>
          <w:rFonts w:asciiTheme="minorHAnsi" w:hAnsiTheme="minorHAnsi" w:cstheme="minorHAnsi"/>
          <w:noProof/>
        </w:rPr>
        <w:t>(Green and Zhang, 2016)</w:t>
      </w:r>
      <w:r w:rsidRPr="00037AD4">
        <w:rPr>
          <w:rFonts w:asciiTheme="minorHAnsi" w:hAnsiTheme="minorHAnsi" w:cstheme="minorHAnsi"/>
        </w:rPr>
        <w:t xml:space="preserve">, and general quality of life (QoL) </w:t>
      </w:r>
      <w:r>
        <w:rPr>
          <w:rFonts w:asciiTheme="minorHAnsi" w:hAnsiTheme="minorHAnsi" w:cstheme="minorHAnsi"/>
          <w:noProof/>
        </w:rPr>
        <w:t>(Banerjee et al., 2006)</w:t>
      </w:r>
      <w:r w:rsidRPr="00037AD4">
        <w:rPr>
          <w:rFonts w:asciiTheme="minorHAnsi" w:hAnsiTheme="minorHAnsi" w:cstheme="minorHAnsi"/>
        </w:rPr>
        <w:t xml:space="preserve">. For decision-making to be optimal, the instrument used to measure HRQoL should be responsive and representative of the population in question, and the greatest comparability is produced when the same measure is used across studies. Previous reviews concluded that EQ-5D demonstrates strong acceptability and feasibility within this population due to its concise nature, and that the three-level version displays good overall psychometric properties in dementia research settings </w:t>
      </w:r>
      <w:r>
        <w:rPr>
          <w:rFonts w:asciiTheme="minorHAnsi" w:hAnsiTheme="minorHAnsi" w:cstheme="minorHAnsi"/>
          <w:noProof/>
        </w:rPr>
        <w:t>(Landeiro et al., 2020, Li et al., 2018)</w:t>
      </w:r>
      <w:r w:rsidRPr="00037AD4">
        <w:rPr>
          <w:rFonts w:asciiTheme="minorHAnsi" w:hAnsiTheme="minorHAnsi" w:cstheme="minorHAnsi"/>
        </w:rPr>
        <w:t xml:space="preserve">. Given that EQ-5D is widely used, is acceptable in dementia populations and recommended by NICE guidelines </w:t>
      </w:r>
      <w:r>
        <w:rPr>
          <w:rFonts w:asciiTheme="minorHAnsi" w:hAnsiTheme="minorHAnsi" w:cstheme="minorHAnsi"/>
          <w:noProof/>
        </w:rPr>
        <w:t>(EuroQol Group, 1990)</w:t>
      </w:r>
      <w:r w:rsidRPr="00037AD4">
        <w:rPr>
          <w:rFonts w:asciiTheme="minorHAnsi" w:hAnsiTheme="minorHAnsi" w:cstheme="minorHAnsi"/>
        </w:rPr>
        <w:t xml:space="preserve">, this systematic review will focus on the EQ-5D measure. There are additional measures that are considered core for collection in dementia studies as they distinctly measure the impact of the key dementia outcomes of: </w:t>
      </w:r>
      <w:r w:rsidRPr="00037AD4">
        <w:rPr>
          <w:rFonts w:asciiTheme="minorHAnsi" w:hAnsiTheme="minorHAnsi" w:cstheme="minorHAnsi"/>
          <w:i/>
          <w:iCs/>
        </w:rPr>
        <w:t xml:space="preserve">cognition, function, </w:t>
      </w:r>
      <w:r w:rsidRPr="00037AD4">
        <w:rPr>
          <w:rFonts w:asciiTheme="minorHAnsi" w:hAnsiTheme="minorHAnsi" w:cstheme="minorHAnsi"/>
        </w:rPr>
        <w:t xml:space="preserve">and </w:t>
      </w:r>
      <w:r w:rsidRPr="00037AD4">
        <w:rPr>
          <w:rFonts w:asciiTheme="minorHAnsi" w:hAnsiTheme="minorHAnsi" w:cstheme="minorHAnsi"/>
          <w:i/>
          <w:iCs/>
        </w:rPr>
        <w:t xml:space="preserve">behaviour/mood </w:t>
      </w:r>
      <w:r w:rsidRPr="00B54D51">
        <w:rPr>
          <w:rFonts w:asciiTheme="minorHAnsi" w:hAnsiTheme="minorHAnsi" w:cstheme="minorHAnsi"/>
          <w:noProof/>
        </w:rPr>
        <w:t>(Green and Zhang, 2016)</w:t>
      </w:r>
      <w:r w:rsidRPr="00B54D51">
        <w:rPr>
          <w:rFonts w:asciiTheme="minorHAnsi" w:hAnsiTheme="minorHAnsi" w:cstheme="minorHAnsi"/>
        </w:rPr>
        <w:t>, and</w:t>
      </w:r>
      <w:r w:rsidRPr="00037AD4">
        <w:rPr>
          <w:rFonts w:asciiTheme="minorHAnsi" w:hAnsiTheme="minorHAnsi" w:cstheme="minorHAnsi"/>
        </w:rPr>
        <w:t xml:space="preserve"> therefore together reflect dementia symptomology (as reported</w:t>
      </w:r>
      <w:r w:rsidRPr="00037AD4">
        <w:rPr>
          <w:rFonts w:asciiTheme="minorHAnsi" w:hAnsiTheme="minorHAnsi" w:cstheme="minorHAnsi"/>
          <w:color w:val="000000" w:themeColor="text1"/>
        </w:rPr>
        <w:t xml:space="preserve"> in </w:t>
      </w:r>
      <w:hyperlink w:anchor="Table3" w:history="1">
        <w:r w:rsidRPr="00B54D51">
          <w:rPr>
            <w:rStyle w:val="Hyperlink"/>
            <w:rFonts w:asciiTheme="minorHAnsi" w:hAnsiTheme="minorHAnsi" w:cstheme="minorHAnsi"/>
            <w:color w:val="000000" w:themeColor="text1"/>
            <w:u w:val="none"/>
          </w:rPr>
          <w:t>Table 3</w:t>
        </w:r>
      </w:hyperlink>
      <w:r w:rsidRPr="00B54D51">
        <w:rPr>
          <w:rFonts w:asciiTheme="minorHAnsi" w:hAnsiTheme="minorHAnsi" w:cstheme="minorHAnsi"/>
        </w:rPr>
        <w:t>).</w:t>
      </w:r>
      <w:r w:rsidRPr="00037AD4">
        <w:rPr>
          <w:rFonts w:asciiTheme="minorHAnsi" w:hAnsiTheme="minorHAnsi" w:cstheme="minorHAnsi"/>
        </w:rPr>
        <w:t xml:space="preserve"> Evidence regarding convergent validity of EQ-5D with these core outcome measures would address the question of how effectively EQ-5D reflects the experience of dementia by capturing symptoms assessed by symptom measures, and therefore dementia-HRQoL. </w:t>
      </w:r>
    </w:p>
    <w:p w14:paraId="27F225A4" w14:textId="77777777" w:rsidR="00B54D51" w:rsidRPr="00037AD4" w:rsidRDefault="00B54D51" w:rsidP="00B67A3C">
      <w:pPr>
        <w:pStyle w:val="NormalWeb"/>
        <w:rPr>
          <w:rFonts w:asciiTheme="minorHAnsi" w:hAnsiTheme="minorHAnsi" w:cstheme="minorHAnsi"/>
        </w:rPr>
      </w:pPr>
      <w:r w:rsidRPr="00037AD4">
        <w:rPr>
          <w:rFonts w:asciiTheme="minorHAnsi" w:hAnsiTheme="minorHAnsi" w:cstheme="minorHAnsi"/>
        </w:rPr>
        <w:t xml:space="preserve">Two previous recent systematic reviews that have explored HRQoL in dementia have commonly concluded that EQ-5D was the most appropriate utility instrument for use in dementia populations </w:t>
      </w:r>
      <w:r>
        <w:rPr>
          <w:rFonts w:asciiTheme="minorHAnsi" w:hAnsiTheme="minorHAnsi" w:cstheme="minorHAnsi"/>
          <w:noProof/>
        </w:rPr>
        <w:t>(Li et al., 2018, Landeiro et al., 2020)</w:t>
      </w:r>
      <w:r w:rsidRPr="00037AD4">
        <w:rPr>
          <w:rFonts w:asciiTheme="minorHAnsi" w:hAnsiTheme="minorHAnsi" w:cstheme="minorHAnsi"/>
        </w:rPr>
        <w:t xml:space="preserve">. Although these reviews highlight the value of EQ-5D in dementia research, both reviews broadly investigated </w:t>
      </w:r>
      <w:r w:rsidRPr="00037AD4">
        <w:rPr>
          <w:rFonts w:asciiTheme="minorHAnsi" w:hAnsiTheme="minorHAnsi" w:cstheme="minorHAnsi"/>
        </w:rPr>
        <w:lastRenderedPageBreak/>
        <w:t xml:space="preserve">psychometric properties, as opposed to specifically focusing on the convergent validity with dementia clinical trial outcomes, which is an important consideration as EQ-5D is increasingly used in dementia populations. A recent review (2022) broadly assessed the psychometric performance of EQ-5D in dementia populations, however it focused solely on EQ-5D-5L </w:t>
      </w:r>
      <w:r>
        <w:rPr>
          <w:rFonts w:asciiTheme="minorHAnsi" w:hAnsiTheme="minorHAnsi" w:cstheme="minorHAnsi"/>
          <w:noProof/>
        </w:rPr>
        <w:t>(Keetharuth et al., 2022)</w:t>
      </w:r>
      <w:r w:rsidRPr="00037AD4">
        <w:rPr>
          <w:rFonts w:asciiTheme="minorHAnsi" w:hAnsiTheme="minorHAnsi" w:cstheme="minorHAnsi"/>
        </w:rPr>
        <w:t xml:space="preserve">. An earlier review (2011) </w:t>
      </w:r>
      <w:r>
        <w:rPr>
          <w:rFonts w:asciiTheme="minorHAnsi" w:hAnsiTheme="minorHAnsi" w:cstheme="minorHAnsi"/>
          <w:noProof/>
        </w:rPr>
        <w:t>(Hounsome et al., 2011)</w:t>
      </w:r>
      <w:r w:rsidRPr="00037AD4">
        <w:rPr>
          <w:rFonts w:asciiTheme="minorHAnsi" w:hAnsiTheme="minorHAnsi" w:cstheme="minorHAnsi"/>
        </w:rPr>
        <w:t xml:space="preserve"> directly explored EQ-5D-3L as a QoL measure in people with dementia, investigating various psychometric properties including feasibility, reliability, responsiveness and validity. However, the authors highlighted a key recurring theme in the lack of association between self-reported and proxy-reported EQ-5D, indicating problems with inter-rater reliability </w:t>
      </w:r>
      <w:r>
        <w:rPr>
          <w:rFonts w:asciiTheme="minorHAnsi" w:hAnsiTheme="minorHAnsi" w:cstheme="minorHAnsi"/>
          <w:noProof/>
        </w:rPr>
        <w:t>(Hounsome et al., 2011)</w:t>
      </w:r>
      <w:r w:rsidRPr="00037AD4">
        <w:rPr>
          <w:rFonts w:asciiTheme="minorHAnsi" w:hAnsiTheme="minorHAnsi" w:cstheme="minorHAnsi"/>
        </w:rPr>
        <w:t xml:space="preserve">. </w:t>
      </w:r>
    </w:p>
    <w:p w14:paraId="0F9ACD56" w14:textId="77777777" w:rsidR="00B54D51" w:rsidRPr="00037AD4" w:rsidRDefault="00B54D51" w:rsidP="00B67A3C">
      <w:pPr>
        <w:pStyle w:val="NormalWeb"/>
        <w:rPr>
          <w:rFonts w:asciiTheme="minorHAnsi" w:hAnsiTheme="minorHAnsi" w:cstheme="minorHAnsi"/>
        </w:rPr>
      </w:pPr>
      <w:r w:rsidRPr="00037AD4">
        <w:rPr>
          <w:rFonts w:asciiTheme="minorHAnsi" w:hAnsiTheme="minorHAnsi" w:cstheme="minorHAnsi"/>
        </w:rPr>
        <w:t xml:space="preserve">As previously discussed, proxy-report is when someone is asked to report on behalf of someone else, typically performed by a family member, caregiver or healthcare professional. Proxy-reports are particularly important in dementia research as there are specific challenges associated with collecting outcomes within a population of deteriorating cognition, including impaired recall and judgement </w:t>
      </w:r>
      <w:r>
        <w:rPr>
          <w:rFonts w:asciiTheme="minorHAnsi" w:hAnsiTheme="minorHAnsi" w:cstheme="minorHAnsi"/>
          <w:noProof/>
        </w:rPr>
        <w:t>(O’Shea et al., 2020)</w:t>
      </w:r>
      <w:r w:rsidRPr="00037AD4">
        <w:rPr>
          <w:rFonts w:asciiTheme="minorHAnsi" w:hAnsiTheme="minorHAnsi" w:cstheme="minorHAnsi"/>
        </w:rPr>
        <w:t xml:space="preserve">. It is established within the literature that HRQoL reports made by people with dementia and proxies do not align, with self-reports often reflecting more optimistic responses </w:t>
      </w:r>
      <w:r>
        <w:rPr>
          <w:rFonts w:asciiTheme="minorHAnsi" w:hAnsiTheme="minorHAnsi" w:cstheme="minorHAnsi"/>
          <w:noProof/>
        </w:rPr>
        <w:t>(Banerjee et al., 2006, Smith et al., 2020, Pickard and Knight, 2005, Rand and Caiels, 2015, Hounsome et al., 2011)</w:t>
      </w:r>
      <w:r w:rsidRPr="00037AD4">
        <w:rPr>
          <w:rFonts w:asciiTheme="minorHAnsi" w:hAnsiTheme="minorHAnsi" w:cstheme="minorHAnsi"/>
        </w:rPr>
        <w:t xml:space="preserve">. This divergence may be more pronounced for some aspects of HRQoL than others. Certain dimensions of HRQoL i.e., “anxiety/depression” and “pain/discomfort” in EQ-5D may be considered “less/non-observable” and therefore more difficult to proxy-report upon. The “mobility”, “self-care” and “usual activities” dimensions in EQ-5D are more “observable” and are therefore considered to be less subjective </w:t>
      </w:r>
      <w:r>
        <w:rPr>
          <w:rFonts w:asciiTheme="minorHAnsi" w:hAnsiTheme="minorHAnsi" w:cstheme="minorHAnsi"/>
          <w:noProof/>
        </w:rPr>
        <w:t>(Hounsome et al., 2011, Pickard and Knight, 2005)</w:t>
      </w:r>
      <w:r w:rsidRPr="00037AD4">
        <w:rPr>
          <w:rFonts w:asciiTheme="minorHAnsi" w:hAnsiTheme="minorHAnsi" w:cstheme="minorHAnsi"/>
        </w:rPr>
        <w:t>. This issue is particularly important in dementia, since people with more severe cognitive impairment may not be able to reliably self-report their HRQoL. Therefore, while self-report is usually considered preferable, this may not be feasible for all people with dementia.</w:t>
      </w:r>
    </w:p>
    <w:p w14:paraId="40C41E08" w14:textId="77777777" w:rsidR="00B54D51" w:rsidRPr="00037AD4" w:rsidRDefault="00B54D51" w:rsidP="00B67A3C">
      <w:pPr>
        <w:pStyle w:val="NormalWeb"/>
        <w:rPr>
          <w:rFonts w:asciiTheme="minorHAnsi" w:hAnsiTheme="minorHAnsi" w:cstheme="minorHAnsi"/>
        </w:rPr>
      </w:pPr>
      <w:r w:rsidRPr="00037AD4">
        <w:rPr>
          <w:rFonts w:asciiTheme="minorHAnsi" w:hAnsiTheme="minorHAnsi" w:cstheme="minorHAnsi"/>
        </w:rPr>
        <w:t xml:space="preserve">In light of the challenges surrounding the use of self and proxy reported HRQoL in dementia, there is the need to develop ways of overcoming these issues to ensure accurate and reliable analyses. It is important to retain the patient as the focus, therefore self-reports are considered default. However, to understand when it is better to use proxy-reports, dementia severity and dimension specific data should be explored. Therefore, there is a gap in the research to investigate the convergent validity of EQ-5D against core outcome measures in dementia for both self and proxy-reports. </w:t>
      </w:r>
    </w:p>
    <w:p w14:paraId="3EC0DED1" w14:textId="77777777" w:rsidR="00B54D51" w:rsidRPr="00037AD4" w:rsidRDefault="00B54D51" w:rsidP="002857DC">
      <w:pPr>
        <w:pStyle w:val="NormalWeb"/>
        <w:rPr>
          <w:rFonts w:asciiTheme="minorHAnsi" w:hAnsiTheme="minorHAnsi" w:cstheme="minorHAnsi"/>
        </w:rPr>
      </w:pPr>
      <w:r w:rsidRPr="00037AD4">
        <w:rPr>
          <w:rFonts w:asciiTheme="minorHAnsi" w:hAnsiTheme="minorHAnsi" w:cstheme="minorHAnsi"/>
        </w:rPr>
        <w:t xml:space="preserve">Previous systematic reviews have explored the psychometric properties of EQ-5D </w:t>
      </w:r>
      <w:r>
        <w:rPr>
          <w:rFonts w:asciiTheme="minorHAnsi" w:hAnsiTheme="minorHAnsi" w:cstheme="minorHAnsi"/>
          <w:noProof/>
        </w:rPr>
        <w:t>(Landeiro et al., 2020, Li et al., 2018, Hounsome et al., 2011, Keetharuth et al., 2022)</w:t>
      </w:r>
      <w:r w:rsidRPr="00037AD4">
        <w:rPr>
          <w:rFonts w:asciiTheme="minorHAnsi" w:hAnsiTheme="minorHAnsi" w:cstheme="minorHAnsi"/>
        </w:rPr>
        <w:t>, however these do not specifically focus on convergent validity and hence the level of detail provided on convergent validity is limited. Convergent validity is an important property that when explored in detail can highlight an instrument’s ability to measure defined constructs. Therefore, this review will focus specifically on convergent validity of EQ-5D. This research adds to the existing psychometric literature of EQ-5D in dementia populations, and aids in addressing the question of how well EQ-5D captures dementia outcomes in light of its widespread use. Therefore, a systematic literature review of the existing evidence was conducted, which to our knowledge is the first of its kind.</w:t>
      </w:r>
    </w:p>
    <w:p w14:paraId="0830BD77" w14:textId="77777777" w:rsidR="00B54D51" w:rsidRPr="00037AD4" w:rsidRDefault="00B54D51" w:rsidP="007A43F9">
      <w:pPr>
        <w:pStyle w:val="Heading3"/>
        <w:rPr>
          <w:color w:val="000000" w:themeColor="text1"/>
        </w:rPr>
      </w:pPr>
      <w:bookmarkStart w:id="306" w:name="_Toc175742293"/>
      <w:r w:rsidRPr="00037AD4">
        <w:lastRenderedPageBreak/>
        <w:t xml:space="preserve">3.7.2 Systematic review </w:t>
      </w:r>
      <w:r w:rsidRPr="00037AD4">
        <w:rPr>
          <w:color w:val="000000" w:themeColor="text1"/>
        </w:rPr>
        <w:t>aim</w:t>
      </w:r>
      <w:bookmarkEnd w:id="306"/>
    </w:p>
    <w:p w14:paraId="50E120EC" w14:textId="77777777" w:rsidR="00B54D51" w:rsidRPr="00037AD4" w:rsidRDefault="00B54D51" w:rsidP="002857DC">
      <w:pPr>
        <w:pStyle w:val="NormalWeb"/>
        <w:rPr>
          <w:rFonts w:asciiTheme="minorHAnsi" w:hAnsiTheme="minorHAnsi" w:cstheme="minorHAnsi"/>
          <w:color w:val="000000" w:themeColor="text1"/>
        </w:rPr>
      </w:pPr>
      <w:r w:rsidRPr="00037AD4">
        <w:rPr>
          <w:rFonts w:asciiTheme="minorHAnsi" w:hAnsiTheme="minorHAnsi" w:cstheme="minorHAnsi"/>
          <w:color w:val="000000" w:themeColor="text1"/>
        </w:rPr>
        <w:t xml:space="preserve">The aim of this systematic review was to assess the convergent validity of the five EQ-5D dimensions (both 3L and 5L versions) with pre-defined core outcomes in dementia, taking into consideration the potential impacts of respondent type (self vs. proxy EQ-5D reports). </w:t>
      </w:r>
    </w:p>
    <w:p w14:paraId="67B8DB65" w14:textId="77777777" w:rsidR="00B54D51" w:rsidRPr="00037AD4" w:rsidRDefault="00B54D51" w:rsidP="007A43F9">
      <w:pPr>
        <w:pStyle w:val="Heading3"/>
      </w:pPr>
      <w:bookmarkStart w:id="307" w:name="_Toc175742294"/>
      <w:r w:rsidRPr="00037AD4">
        <w:t>3.7.3 Methods</w:t>
      </w:r>
      <w:bookmarkEnd w:id="307"/>
      <w:r w:rsidRPr="00037AD4">
        <w:t xml:space="preserve"> </w:t>
      </w:r>
    </w:p>
    <w:p w14:paraId="39C58D7B" w14:textId="16F5CA43" w:rsidR="00B54D51" w:rsidRPr="00037AD4" w:rsidRDefault="00B54D51" w:rsidP="002857DC">
      <w:pPr>
        <w:pStyle w:val="NormalWeb"/>
        <w:rPr>
          <w:rFonts w:asciiTheme="minorHAnsi" w:hAnsiTheme="minorHAnsi" w:cstheme="minorHAnsi"/>
        </w:rPr>
      </w:pPr>
      <w:r w:rsidRPr="00037AD4">
        <w:rPr>
          <w:rFonts w:asciiTheme="minorHAnsi" w:hAnsiTheme="minorHAnsi" w:cstheme="minorHAnsi"/>
        </w:rPr>
        <w:t>The systematic review adopted the methodology outlined by the Centre for Review and Dissemination (CRD)</w:t>
      </w:r>
      <w:r>
        <w:rPr>
          <w:rFonts w:asciiTheme="minorHAnsi" w:hAnsiTheme="minorHAnsi" w:cstheme="minorHAnsi"/>
        </w:rPr>
        <w:t xml:space="preserve"> </w:t>
      </w:r>
      <w:r>
        <w:rPr>
          <w:rFonts w:asciiTheme="minorHAnsi" w:hAnsiTheme="minorHAnsi" w:cstheme="minorHAnsi"/>
          <w:noProof/>
        </w:rPr>
        <w:t>(University of York CRD, 2009)</w:t>
      </w:r>
      <w:r w:rsidRPr="00037AD4">
        <w:rPr>
          <w:rFonts w:asciiTheme="minorHAnsi" w:hAnsiTheme="minorHAnsi" w:cstheme="minorHAnsi"/>
        </w:rPr>
        <w:t>. The Preferred Reporting of Items for Systematic Review and Meta-Analysis guidance (PRISMA)</w:t>
      </w:r>
      <w:r>
        <w:rPr>
          <w:rFonts w:asciiTheme="minorHAnsi" w:hAnsiTheme="minorHAnsi" w:cstheme="minorHAnsi"/>
        </w:rPr>
        <w:t xml:space="preserve"> </w:t>
      </w:r>
      <w:r>
        <w:rPr>
          <w:rFonts w:asciiTheme="minorHAnsi" w:hAnsiTheme="minorHAnsi" w:cstheme="minorHAnsi"/>
          <w:noProof/>
        </w:rPr>
        <w:t>(Moher et al., 2009)</w:t>
      </w:r>
      <w:r w:rsidRPr="00037AD4">
        <w:rPr>
          <w:rFonts w:asciiTheme="minorHAnsi" w:hAnsiTheme="minorHAnsi" w:cstheme="minorHAnsi"/>
        </w:rPr>
        <w:t xml:space="preserve"> were followed for reporting the results, and a narrative approach adopted for reporting the main analysis.  </w:t>
      </w:r>
    </w:p>
    <w:p w14:paraId="6AD16EB7" w14:textId="77777777" w:rsidR="00B54D51" w:rsidRPr="00037AD4" w:rsidRDefault="00B54D51" w:rsidP="007A43F9">
      <w:pPr>
        <w:pStyle w:val="Heading4"/>
      </w:pPr>
      <w:r w:rsidRPr="00037AD4">
        <w:t xml:space="preserve">3.7.3.1 Convergent validity </w:t>
      </w:r>
    </w:p>
    <w:p w14:paraId="7F9143CF" w14:textId="77777777" w:rsidR="00B54D51" w:rsidRPr="00037AD4" w:rsidRDefault="00B54D51" w:rsidP="002857DC">
      <w:pPr>
        <w:pStyle w:val="NormalWeb"/>
        <w:rPr>
          <w:rFonts w:asciiTheme="minorHAnsi" w:hAnsiTheme="minorHAnsi" w:cstheme="minorHAnsi"/>
        </w:rPr>
      </w:pPr>
      <w:r w:rsidRPr="00037AD4">
        <w:rPr>
          <w:rFonts w:asciiTheme="minorHAnsi" w:hAnsiTheme="minorHAnsi" w:cstheme="minorHAnsi"/>
        </w:rPr>
        <w:t xml:space="preserve">Convergent validity defines the strength of association between the measure of interest (in this case EQ-5D) and other measures via statistical significance of regression analyses or correlation coefficients. If the correlation with a measure capturing the same construct (kappa) is: &gt;0.4 it is considered as moderate and convergent validity is established (&gt;0.2: slight, &gt;0.6: good and &gt;0.8: very high) </w:t>
      </w:r>
      <w:r>
        <w:rPr>
          <w:rFonts w:asciiTheme="minorHAnsi" w:hAnsiTheme="minorHAnsi" w:cstheme="minorHAnsi"/>
          <w:noProof/>
        </w:rPr>
        <w:t>(Fayers and Machin, 2013)</w:t>
      </w:r>
      <w:r w:rsidRPr="00037AD4">
        <w:rPr>
          <w:rFonts w:asciiTheme="minorHAnsi" w:hAnsiTheme="minorHAnsi" w:cstheme="minorHAnsi"/>
        </w:rPr>
        <w:t xml:space="preserve">.  </w:t>
      </w:r>
    </w:p>
    <w:p w14:paraId="02E35A9B" w14:textId="77777777" w:rsidR="00B54D51" w:rsidRPr="00037AD4" w:rsidRDefault="00B54D51" w:rsidP="007A43F9">
      <w:pPr>
        <w:pStyle w:val="Heading4"/>
      </w:pPr>
      <w:r w:rsidRPr="00037AD4">
        <w:t xml:space="preserve">3.7.3.2 Core dementia outcomes </w:t>
      </w:r>
    </w:p>
    <w:p w14:paraId="6717B044" w14:textId="77777777" w:rsidR="00B54D51" w:rsidRPr="00037AD4" w:rsidRDefault="00B54D51" w:rsidP="002857DC">
      <w:pPr>
        <w:pStyle w:val="NormalWeb"/>
        <w:rPr>
          <w:rFonts w:asciiTheme="minorHAnsi" w:hAnsiTheme="minorHAnsi" w:cstheme="minorHAnsi"/>
        </w:rPr>
      </w:pPr>
      <w:r w:rsidRPr="00037AD4">
        <w:rPr>
          <w:rFonts w:asciiTheme="minorHAnsi" w:hAnsiTheme="minorHAnsi" w:cstheme="minorHAnsi"/>
        </w:rPr>
        <w:t xml:space="preserve">Although cognition is the hallmark feature of dementia, the original description and diagnosis also include functional and behavioural deficits, whereby dementia severity and progression are assessed by changes in one or more of these outcome areas </w:t>
      </w:r>
      <w:r>
        <w:rPr>
          <w:rFonts w:asciiTheme="minorHAnsi" w:hAnsiTheme="minorHAnsi" w:cstheme="minorHAnsi"/>
          <w:noProof/>
        </w:rPr>
        <w:t>(Green and Zhang, 2016)</w:t>
      </w:r>
      <w:r w:rsidRPr="00037AD4">
        <w:rPr>
          <w:rFonts w:asciiTheme="minorHAnsi" w:hAnsiTheme="minorHAnsi" w:cstheme="minorHAnsi"/>
        </w:rPr>
        <w:t xml:space="preserve">. Current practice for outcome collection in dementia clinical trials and studies has been previously explored within this chapter, whereby the </w:t>
      </w:r>
      <w:r w:rsidRPr="00037AD4">
        <w:rPr>
          <w:rFonts w:asciiTheme="minorHAnsi" w:hAnsiTheme="minorHAnsi" w:cstheme="minorHAnsi"/>
          <w:noProof/>
          <w:color w:val="000000" w:themeColor="text1"/>
        </w:rPr>
        <w:t xml:space="preserve">ISRCTN database and core outcome sets were appraised and collated. </w:t>
      </w:r>
      <w:hyperlink w:anchor="Table3" w:history="1">
        <w:r w:rsidRPr="00B54D51">
          <w:rPr>
            <w:rStyle w:val="Hyperlink"/>
            <w:rFonts w:asciiTheme="minorHAnsi" w:hAnsiTheme="minorHAnsi" w:cstheme="minorHAnsi"/>
            <w:noProof/>
            <w:color w:val="000000" w:themeColor="text1"/>
            <w:u w:val="none"/>
          </w:rPr>
          <w:t>Table 3</w:t>
        </w:r>
      </w:hyperlink>
      <w:r w:rsidRPr="00B54D51">
        <w:rPr>
          <w:rFonts w:asciiTheme="minorHAnsi" w:hAnsiTheme="minorHAnsi" w:cstheme="minorHAnsi"/>
          <w:noProof/>
          <w:color w:val="000000" w:themeColor="text1"/>
        </w:rPr>
        <w:t xml:space="preserve"> provides</w:t>
      </w:r>
      <w:r w:rsidRPr="00037AD4">
        <w:rPr>
          <w:rFonts w:asciiTheme="minorHAnsi" w:hAnsiTheme="minorHAnsi" w:cstheme="minorHAnsi"/>
          <w:noProof/>
          <w:color w:val="000000" w:themeColor="text1"/>
        </w:rPr>
        <w:t xml:space="preserve"> a summary of the key recurring outcome areas and measurement instruments identified as recommended, and considered as core for collection in dementia studies and trials.</w:t>
      </w:r>
    </w:p>
    <w:p w14:paraId="12D2173F" w14:textId="77777777" w:rsidR="00B54D51" w:rsidRPr="00037AD4" w:rsidRDefault="00B54D51" w:rsidP="007A43F9">
      <w:pPr>
        <w:pStyle w:val="Heading4"/>
      </w:pPr>
      <w:r w:rsidRPr="00037AD4">
        <w:t xml:space="preserve">3.7.3.3 Literature searching </w:t>
      </w:r>
    </w:p>
    <w:p w14:paraId="20D27DA4" w14:textId="77777777" w:rsidR="00B54D51" w:rsidRPr="00037AD4" w:rsidRDefault="00B54D51" w:rsidP="002857DC">
      <w:pPr>
        <w:pStyle w:val="NormalWeb"/>
        <w:rPr>
          <w:rFonts w:asciiTheme="minorHAnsi" w:hAnsiTheme="minorHAnsi" w:cstheme="minorHAnsi"/>
        </w:rPr>
      </w:pPr>
      <w:r w:rsidRPr="00037AD4">
        <w:rPr>
          <w:rFonts w:asciiTheme="minorHAnsi" w:hAnsiTheme="minorHAnsi" w:cstheme="minorHAnsi"/>
        </w:rPr>
        <w:t xml:space="preserve">The literature search was conducted in three electronic databases (Medline, PsycINFO and CINAHL) by one author (HH) initially in April 2021 from database inception, and later re-ran and updated to September 2022. Search terms included those related to dementia, EQ-5D and core measure names. The full search strategy is provided in </w:t>
      </w:r>
      <w:hyperlink w:anchor="A34" w:history="1">
        <w:r w:rsidRPr="00B54D51">
          <w:rPr>
            <w:rStyle w:val="Hyperlink"/>
            <w:rFonts w:asciiTheme="minorHAnsi" w:hAnsiTheme="minorHAnsi" w:cstheme="minorHAnsi"/>
            <w:color w:val="000000" w:themeColor="text1"/>
            <w:u w:val="none"/>
          </w:rPr>
          <w:t>Appendix 3.4</w:t>
        </w:r>
      </w:hyperlink>
      <w:r w:rsidRPr="00B54D51">
        <w:rPr>
          <w:rFonts w:asciiTheme="minorHAnsi" w:hAnsiTheme="minorHAnsi" w:cstheme="minorHAnsi"/>
          <w:color w:val="000000" w:themeColor="text1"/>
        </w:rPr>
        <w:t>.</w:t>
      </w:r>
      <w:r w:rsidRPr="00037AD4">
        <w:rPr>
          <w:rFonts w:asciiTheme="minorHAnsi" w:hAnsiTheme="minorHAnsi" w:cstheme="minorHAnsi"/>
          <w:color w:val="000000" w:themeColor="text1"/>
        </w:rPr>
        <w:t xml:space="preserve"> </w:t>
      </w:r>
      <w:r w:rsidRPr="00037AD4">
        <w:rPr>
          <w:rFonts w:asciiTheme="minorHAnsi" w:hAnsiTheme="minorHAnsi" w:cstheme="minorHAnsi"/>
        </w:rPr>
        <w:t>Title and abstract screening were conducted by one author (HH) and verified independently by another author (AK, Anju Keetharuth) to check for discrepancies and establish study inclusion. Included studies were then screened in full text by one author (HH) against pre-defined inclusion and exclusion criteria to determine eligibility for the review. If at this point a text did not include extractable data, it was excluded from the review. Any discrepancies were discussed between the authors and resolved prior to data extraction.</w:t>
      </w:r>
    </w:p>
    <w:p w14:paraId="462AC76E" w14:textId="77777777" w:rsidR="00B54D51" w:rsidRPr="00037AD4" w:rsidRDefault="00B54D51" w:rsidP="007A43F9">
      <w:pPr>
        <w:pStyle w:val="Heading4"/>
      </w:pPr>
      <w:r w:rsidRPr="00037AD4">
        <w:lastRenderedPageBreak/>
        <w:t xml:space="preserve">3.7.3.4 Inclusion/exclusion criteria </w:t>
      </w:r>
    </w:p>
    <w:p w14:paraId="7231B268" w14:textId="77777777" w:rsidR="00B54D51" w:rsidRPr="00037AD4" w:rsidRDefault="00B54D51" w:rsidP="002857DC">
      <w:pPr>
        <w:pStyle w:val="NormalWeb"/>
        <w:rPr>
          <w:rFonts w:asciiTheme="minorHAnsi" w:hAnsiTheme="minorHAnsi" w:cstheme="minorHAnsi"/>
        </w:rPr>
      </w:pPr>
      <w:r w:rsidRPr="00037AD4">
        <w:rPr>
          <w:rFonts w:asciiTheme="minorHAnsi" w:hAnsiTheme="minorHAnsi" w:cstheme="minorHAnsi"/>
        </w:rPr>
        <w:t xml:space="preserve">Studies were considered eligible for inclusion within the review if they included individual level data from people with dementia of any type (as opposed to general ageing or mild cognitive impairment alone), they collected </w:t>
      </w:r>
      <w:proofErr w:type="spellStart"/>
      <w:r w:rsidRPr="00037AD4">
        <w:rPr>
          <w:rFonts w:asciiTheme="minorHAnsi" w:hAnsiTheme="minorHAnsi" w:cstheme="minorHAnsi"/>
        </w:rPr>
        <w:t>self and/or</w:t>
      </w:r>
      <w:proofErr w:type="spellEnd"/>
      <w:r w:rsidRPr="00037AD4">
        <w:rPr>
          <w:rFonts w:asciiTheme="minorHAnsi" w:hAnsiTheme="minorHAnsi" w:cstheme="minorHAnsi"/>
        </w:rPr>
        <w:t xml:space="preserve"> proxy reported EQ-5D-3L or EQ-5D-5L and they collected at least one of the predefined core dementia outcome measures </w:t>
      </w:r>
      <w:r w:rsidRPr="00037AD4">
        <w:rPr>
          <w:rFonts w:asciiTheme="minorHAnsi" w:hAnsiTheme="minorHAnsi" w:cstheme="minorHAnsi"/>
          <w:color w:val="000000" w:themeColor="text1"/>
        </w:rPr>
        <w:t>(</w:t>
      </w:r>
      <w:hyperlink w:anchor="Table3" w:history="1">
        <w:r w:rsidRPr="00B54D51">
          <w:rPr>
            <w:rStyle w:val="Hyperlink"/>
            <w:rFonts w:asciiTheme="minorHAnsi" w:hAnsiTheme="minorHAnsi" w:cstheme="minorHAnsi"/>
            <w:color w:val="000000" w:themeColor="text1"/>
            <w:u w:val="none"/>
          </w:rPr>
          <w:t>see Table 3</w:t>
        </w:r>
      </w:hyperlink>
      <w:r w:rsidRPr="00B54D51">
        <w:rPr>
          <w:rFonts w:asciiTheme="minorHAnsi" w:hAnsiTheme="minorHAnsi" w:cstheme="minorHAnsi"/>
        </w:rPr>
        <w:t>).</w:t>
      </w:r>
      <w:r w:rsidRPr="00037AD4">
        <w:rPr>
          <w:rFonts w:asciiTheme="minorHAnsi" w:hAnsiTheme="minorHAnsi" w:cstheme="minorHAnsi"/>
        </w:rPr>
        <w:t xml:space="preserve"> Studies reporting only EQ-VAS were excluded as the purpose of the review is to focus on measures for use in economic evaluation, and EQ-VAS cannot be used for this purpose. Studies collecting outcomes related to caregivers alone were excluded. To allow for diversity of the study types, all study designs were considered eligible for the review (e.g., observational studies and RCTs) but were limited to those published in English (see </w:t>
      </w:r>
      <w:hyperlink w:anchor="A35" w:history="1">
        <w:r w:rsidRPr="00B54D51">
          <w:rPr>
            <w:rStyle w:val="Hyperlink"/>
            <w:rFonts w:asciiTheme="minorHAnsi" w:hAnsiTheme="minorHAnsi" w:cstheme="minorHAnsi"/>
            <w:color w:val="000000" w:themeColor="text1"/>
            <w:u w:val="none"/>
          </w:rPr>
          <w:t>Appendix 3.5</w:t>
        </w:r>
      </w:hyperlink>
      <w:r w:rsidRPr="00037AD4">
        <w:rPr>
          <w:rFonts w:asciiTheme="minorHAnsi" w:hAnsiTheme="minorHAnsi" w:cstheme="minorHAnsi"/>
          <w:color w:val="FF0000"/>
        </w:rPr>
        <w:t xml:space="preserve"> </w:t>
      </w:r>
      <w:r w:rsidRPr="00037AD4">
        <w:rPr>
          <w:rFonts w:asciiTheme="minorHAnsi" w:hAnsiTheme="minorHAnsi" w:cstheme="minorHAnsi"/>
        </w:rPr>
        <w:t xml:space="preserve">for a table of the inclusion/exclusion criteria). Protocol papers, feasibility studies, conference abstracts, grey literature and previous systematic reviews were excluded, but were chain searched for additional eligible references. </w:t>
      </w:r>
    </w:p>
    <w:p w14:paraId="77962BC0" w14:textId="77777777" w:rsidR="00B54D51" w:rsidRPr="00037AD4" w:rsidRDefault="00B54D51" w:rsidP="007A43F9">
      <w:pPr>
        <w:pStyle w:val="Heading4"/>
      </w:pPr>
      <w:r w:rsidRPr="00037AD4">
        <w:t xml:space="preserve">3.7.3.5 Data extraction </w:t>
      </w:r>
    </w:p>
    <w:p w14:paraId="57195B36" w14:textId="77777777" w:rsidR="00B54D51" w:rsidRPr="00037AD4" w:rsidRDefault="00B54D51" w:rsidP="002857DC">
      <w:pPr>
        <w:pStyle w:val="NormalWeb"/>
        <w:rPr>
          <w:rFonts w:asciiTheme="minorHAnsi" w:hAnsiTheme="minorHAnsi" w:cstheme="minorHAnsi"/>
        </w:rPr>
      </w:pPr>
      <w:r w:rsidRPr="00037AD4">
        <w:rPr>
          <w:rFonts w:asciiTheme="minorHAnsi" w:hAnsiTheme="minorHAnsi" w:cstheme="minorHAnsi"/>
        </w:rPr>
        <w:t>Data on the study characteristics, settings, aspects of dementia (i.e., type and stage) and study objectives was synthesised using pre-defined extraction tables. Convergent validity of EQ-5D was captured against the reported core dementia outcome measures. Statistical data on relationships between the outcomes and EQ-5D index scores as well as with the EQ-5D dimensions were extracted. EQ-VAS data were not extracted. A narrative synthesis was used to interpret the extracted data.</w:t>
      </w:r>
    </w:p>
    <w:p w14:paraId="02CD0734" w14:textId="77777777" w:rsidR="00B54D51" w:rsidRPr="00322CFC" w:rsidRDefault="00B54D51" w:rsidP="00322CFC">
      <w:pPr>
        <w:pStyle w:val="Heading4"/>
      </w:pPr>
      <w:r w:rsidRPr="00322CFC">
        <w:t xml:space="preserve">3.7.3.6 Quality appraisal </w:t>
      </w:r>
    </w:p>
    <w:p w14:paraId="0E9A0E8A" w14:textId="77777777" w:rsidR="00B54D51" w:rsidRPr="00037AD4" w:rsidRDefault="00B54D51" w:rsidP="00F40B65">
      <w:pPr>
        <w:pStyle w:val="NormalWeb"/>
        <w:rPr>
          <w:rFonts w:asciiTheme="minorHAnsi" w:hAnsiTheme="minorHAnsi" w:cstheme="minorHAnsi"/>
        </w:rPr>
      </w:pPr>
      <w:r w:rsidRPr="00037AD4">
        <w:rPr>
          <w:rFonts w:asciiTheme="minorHAnsi" w:hAnsiTheme="minorHAnsi" w:cstheme="minorHAnsi"/>
        </w:rPr>
        <w:t xml:space="preserve">The standardised GRADE assessment tool was adapted and used to assess the quality of the papers included in the review </w:t>
      </w:r>
      <w:r>
        <w:rPr>
          <w:rFonts w:asciiTheme="minorHAnsi" w:hAnsiTheme="minorHAnsi" w:cstheme="minorHAnsi"/>
          <w:noProof/>
        </w:rPr>
        <w:t>(Meader et al., 2014)</w:t>
      </w:r>
      <w:r w:rsidRPr="00037AD4">
        <w:rPr>
          <w:rFonts w:asciiTheme="minorHAnsi" w:hAnsiTheme="minorHAnsi" w:cstheme="minorHAnsi"/>
        </w:rPr>
        <w:t>. Although this method is less formal than using a pre-existing quality appraisal tool, it was deemed the most appropriate as the review allowed for the inclusion of all study types. The quality appraisal included nine items regarding the study’s population, sample, outcome assessment, analysis</w:t>
      </w:r>
      <w:r>
        <w:rPr>
          <w:rFonts w:asciiTheme="minorHAnsi" w:hAnsiTheme="minorHAnsi" w:cstheme="minorHAnsi"/>
        </w:rPr>
        <w:t xml:space="preserve"> </w:t>
      </w:r>
      <w:r w:rsidRPr="00037AD4">
        <w:rPr>
          <w:rFonts w:asciiTheme="minorHAnsi" w:hAnsiTheme="minorHAnsi" w:cstheme="minorHAnsi"/>
        </w:rPr>
        <w:t xml:space="preserve">and data resulting in a score of either high, medium or low quality (see </w:t>
      </w:r>
      <w:hyperlink w:anchor="A36" w:history="1">
        <w:r w:rsidRPr="00B54D51">
          <w:rPr>
            <w:rStyle w:val="Hyperlink"/>
            <w:rFonts w:asciiTheme="minorHAnsi" w:hAnsiTheme="minorHAnsi" w:cstheme="minorHAnsi"/>
            <w:color w:val="000000" w:themeColor="text1"/>
            <w:u w:val="none"/>
          </w:rPr>
          <w:t>Appendix 3.6</w:t>
        </w:r>
      </w:hyperlink>
      <w:r w:rsidRPr="00037AD4">
        <w:rPr>
          <w:rFonts w:asciiTheme="minorHAnsi" w:hAnsiTheme="minorHAnsi" w:cstheme="minorHAnsi"/>
          <w:color w:val="FF0000"/>
        </w:rPr>
        <w:t xml:space="preserve"> </w:t>
      </w:r>
      <w:r w:rsidRPr="00037AD4">
        <w:rPr>
          <w:rFonts w:asciiTheme="minorHAnsi" w:hAnsiTheme="minorHAnsi" w:cstheme="minorHAnsi"/>
        </w:rPr>
        <w:t xml:space="preserve">full details). </w:t>
      </w:r>
    </w:p>
    <w:p w14:paraId="472C83E6" w14:textId="77777777" w:rsidR="00B54D51" w:rsidRPr="00037AD4" w:rsidRDefault="00B54D51" w:rsidP="007A43F9">
      <w:pPr>
        <w:pStyle w:val="Heading3"/>
      </w:pPr>
      <w:bookmarkStart w:id="308" w:name="_Toc175742295"/>
      <w:r w:rsidRPr="00037AD4">
        <w:t>3.7.4 Results</w:t>
      </w:r>
      <w:bookmarkEnd w:id="308"/>
      <w:r w:rsidRPr="00037AD4">
        <w:t xml:space="preserve"> </w:t>
      </w:r>
    </w:p>
    <w:p w14:paraId="11CCEF24" w14:textId="77777777" w:rsidR="00B54D51" w:rsidRPr="00037AD4" w:rsidRDefault="00B54D51" w:rsidP="007D47E3">
      <w:pPr>
        <w:pStyle w:val="NormalWeb"/>
        <w:rPr>
          <w:rFonts w:asciiTheme="minorHAnsi" w:hAnsiTheme="minorHAnsi" w:cstheme="minorHAnsi"/>
        </w:rPr>
      </w:pPr>
      <w:r w:rsidRPr="00037AD4">
        <w:rPr>
          <w:rFonts w:asciiTheme="minorHAnsi" w:hAnsiTheme="minorHAnsi" w:cstheme="minorHAnsi"/>
        </w:rPr>
        <w:t xml:space="preserve">The outcome of the literature search and screening is shown in </w:t>
      </w:r>
      <w:r w:rsidRPr="00037AD4">
        <w:rPr>
          <w:rFonts w:asciiTheme="minorHAnsi" w:hAnsiTheme="minorHAnsi" w:cstheme="minorHAnsi"/>
          <w:color w:val="000000" w:themeColor="text1"/>
        </w:rPr>
        <w:t>Figure 4</w:t>
      </w:r>
      <w:r w:rsidRPr="00037AD4">
        <w:rPr>
          <w:rFonts w:asciiTheme="minorHAnsi" w:hAnsiTheme="minorHAnsi" w:cstheme="minorHAnsi"/>
        </w:rPr>
        <w:t xml:space="preserve">. The initial search strategy retrieved 282 records. Following the removal of duplicates there were 236 records remaining, for which the titles and abstracts were screened. After re-running and updating the search, 30 articles met the inclusion criteria for the review. </w:t>
      </w:r>
    </w:p>
    <w:p w14:paraId="7DFEF0B8" w14:textId="77777777" w:rsidR="00B54D51" w:rsidRPr="00037AD4" w:rsidRDefault="00B54D51" w:rsidP="007D47E3">
      <w:pPr>
        <w:pStyle w:val="NormalWeb"/>
        <w:rPr>
          <w:rFonts w:asciiTheme="minorHAnsi" w:hAnsiTheme="minorHAnsi" w:cstheme="minorHAnsi"/>
        </w:rPr>
      </w:pPr>
    </w:p>
    <w:p w14:paraId="3865CF56" w14:textId="77777777" w:rsidR="00B54D51" w:rsidRPr="00037AD4" w:rsidRDefault="00B54D51" w:rsidP="007D47E3">
      <w:pPr>
        <w:pStyle w:val="NormalWeb"/>
        <w:rPr>
          <w:rFonts w:asciiTheme="minorHAnsi" w:hAnsiTheme="minorHAnsi" w:cstheme="minorHAnsi"/>
        </w:rPr>
      </w:pPr>
    </w:p>
    <w:p w14:paraId="34CFDFE6" w14:textId="77777777" w:rsidR="00B54D51" w:rsidRPr="00037AD4" w:rsidRDefault="00B54D51" w:rsidP="007D47E3">
      <w:pPr>
        <w:pStyle w:val="NormalWeb"/>
        <w:rPr>
          <w:rFonts w:asciiTheme="minorHAnsi" w:hAnsiTheme="minorHAnsi" w:cstheme="minorHAnsi"/>
        </w:rPr>
        <w:sectPr w:rsidR="00B54D51" w:rsidRPr="00037AD4" w:rsidSect="0051675A">
          <w:footerReference w:type="default" r:id="rId18"/>
          <w:pgSz w:w="11906" w:h="16838"/>
          <w:pgMar w:top="1440" w:right="1440" w:bottom="1440" w:left="1440" w:header="708" w:footer="708" w:gutter="0"/>
          <w:pgNumType w:start="1"/>
          <w:cols w:space="708"/>
          <w:docGrid w:linePitch="360"/>
        </w:sectPr>
      </w:pPr>
    </w:p>
    <w:p w14:paraId="25CD433D" w14:textId="77777777" w:rsidR="00B54D51" w:rsidRPr="00037AD4" w:rsidRDefault="00B54D51" w:rsidP="007D47E3">
      <w:pPr>
        <w:pStyle w:val="NormalWeb"/>
        <w:rPr>
          <w:rFonts w:asciiTheme="minorHAnsi" w:hAnsiTheme="minorHAnsi" w:cstheme="minorHAnsi"/>
          <w:b/>
          <w:bCs/>
          <w:i/>
          <w:iCs/>
        </w:rPr>
      </w:pPr>
      <w:r w:rsidRPr="00037AD4">
        <w:rPr>
          <w:rFonts w:asciiTheme="minorHAnsi" w:hAnsiTheme="minorHAnsi" w:cstheme="minorHAnsi"/>
          <w:b/>
          <w:bCs/>
          <w:i/>
          <w:iCs/>
        </w:rPr>
        <w:lastRenderedPageBreak/>
        <w:t>Figure 4, PRISMA flow diagram of literature searching hits</w:t>
      </w:r>
    </w:p>
    <w:p w14:paraId="4E9935FA" w14:textId="72990FB1" w:rsidR="00B54D51" w:rsidRPr="00037AD4" w:rsidRDefault="00322CFC" w:rsidP="007D47E3">
      <w:pPr>
        <w:pStyle w:val="NormalWeb"/>
        <w:rPr>
          <w:rFonts w:asciiTheme="minorHAnsi" w:hAnsiTheme="minorHAnsi" w:cstheme="minorHAnsi"/>
        </w:rPr>
        <w:sectPr w:rsidR="00B54D51" w:rsidRPr="00037AD4" w:rsidSect="0051675A">
          <w:pgSz w:w="16838" w:h="11906" w:orient="landscape"/>
          <w:pgMar w:top="1440" w:right="1440" w:bottom="1440" w:left="1440" w:header="708" w:footer="708" w:gutter="0"/>
          <w:cols w:space="708"/>
          <w:docGrid w:linePitch="360"/>
        </w:sectPr>
      </w:pPr>
      <w:r w:rsidRPr="00037AD4">
        <w:rPr>
          <w:rFonts w:asciiTheme="minorHAnsi" w:hAnsiTheme="minorHAnsi" w:cstheme="minorHAnsi"/>
          <w:noProof/>
          <w:lang w:eastAsia="zh-CN"/>
        </w:rPr>
        <w:drawing>
          <wp:inline distT="0" distB="0" distL="0" distR="0" wp14:anchorId="74FBF681" wp14:editId="012CA0CA">
            <wp:extent cx="8851900" cy="497903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9">
                      <a:extLst>
                        <a:ext uri="{28A0092B-C50C-407E-A947-70E740481C1C}">
                          <a14:useLocalDpi xmlns:a14="http://schemas.microsoft.com/office/drawing/2010/main" val="0"/>
                        </a:ext>
                      </a:extLst>
                    </a:blip>
                    <a:stretch>
                      <a:fillRect/>
                    </a:stretch>
                  </pic:blipFill>
                  <pic:spPr>
                    <a:xfrm>
                      <a:off x="0" y="0"/>
                      <a:ext cx="8851900" cy="4979035"/>
                    </a:xfrm>
                    <a:prstGeom prst="rect">
                      <a:avLst/>
                    </a:prstGeom>
                  </pic:spPr>
                </pic:pic>
              </a:graphicData>
            </a:graphic>
          </wp:inline>
        </w:drawing>
      </w:r>
    </w:p>
    <w:p w14:paraId="66B8A836" w14:textId="77777777" w:rsidR="00B54D51" w:rsidRPr="00037AD4" w:rsidRDefault="00B54D51" w:rsidP="007A43F9">
      <w:pPr>
        <w:pStyle w:val="Heading4"/>
      </w:pPr>
      <w:r w:rsidRPr="00037AD4">
        <w:lastRenderedPageBreak/>
        <w:t xml:space="preserve">3.7.4.1 Study characteristics </w:t>
      </w:r>
    </w:p>
    <w:p w14:paraId="551A0B23" w14:textId="4824758E" w:rsidR="00B54D51" w:rsidRPr="00037AD4" w:rsidRDefault="00000000" w:rsidP="0059168A">
      <w:pPr>
        <w:pStyle w:val="NormalWeb"/>
        <w:rPr>
          <w:rFonts w:asciiTheme="minorHAnsi" w:hAnsiTheme="minorHAnsi" w:cstheme="minorHAnsi"/>
        </w:rPr>
      </w:pPr>
      <w:hyperlink w:anchor="A37" w:history="1">
        <w:r w:rsidR="00B54D51" w:rsidRPr="00B54D51">
          <w:rPr>
            <w:rStyle w:val="Hyperlink"/>
            <w:rFonts w:asciiTheme="minorHAnsi" w:hAnsiTheme="minorHAnsi" w:cstheme="minorHAnsi"/>
            <w:color w:val="000000" w:themeColor="text1"/>
            <w:u w:val="none"/>
          </w:rPr>
          <w:t>Appendix 3.7</w:t>
        </w:r>
      </w:hyperlink>
      <w:r w:rsidR="00B54D51" w:rsidRPr="00037AD4">
        <w:rPr>
          <w:rFonts w:asciiTheme="minorHAnsi" w:hAnsiTheme="minorHAnsi" w:cstheme="minorHAnsi"/>
          <w:color w:val="000000" w:themeColor="text1"/>
        </w:rPr>
        <w:t xml:space="preserve"> provides a summary of the characteristics of the selected studies. Of the 30 studies included, </w:t>
      </w:r>
      <w:r w:rsidR="00B54D51" w:rsidRPr="00037AD4">
        <w:rPr>
          <w:rFonts w:asciiTheme="minorHAnsi" w:hAnsiTheme="minorHAnsi" w:cstheme="minorHAnsi"/>
        </w:rPr>
        <w:t xml:space="preserve">they were predominantly from European countries (n=15) </w:t>
      </w:r>
      <w:r w:rsidR="00B54D51">
        <w:rPr>
          <w:rFonts w:asciiTheme="minorHAnsi" w:hAnsiTheme="minorHAnsi" w:cstheme="minorHAnsi"/>
          <w:noProof/>
        </w:rPr>
        <w:t>(Ankri et al., 2003, Bhattacharya et al., 2010, Boström et al., 2007, Castro-Monteiro et al., 2014, Diaz‐Redondo et al., 2014, Érsek et al., 2010, Garre-Olmo et al., 2017, González‐Vélez et al., 2015, Haaksma et al., 2018, Heßmann et al., 2016, Kunz, 2010, Schiffczyk et al., 2010, Van De Beek et al., 2019, Vogel et al., 2006, Michalowsky et al., 2021)</w:t>
      </w:r>
      <w:r w:rsidR="00B54D51" w:rsidRPr="00037AD4">
        <w:rPr>
          <w:rFonts w:asciiTheme="minorHAnsi" w:hAnsiTheme="minorHAnsi" w:cstheme="minorHAnsi"/>
        </w:rPr>
        <w:t xml:space="preserve"> and the UK (n=7)</w:t>
      </w:r>
      <w:r w:rsidR="00B54D51">
        <w:rPr>
          <w:rFonts w:asciiTheme="minorHAnsi" w:hAnsiTheme="minorHAnsi" w:cstheme="minorHAnsi"/>
        </w:rPr>
        <w:t xml:space="preserve"> </w:t>
      </w:r>
      <w:r w:rsidR="00B54D51">
        <w:rPr>
          <w:rFonts w:asciiTheme="minorHAnsi" w:hAnsiTheme="minorHAnsi" w:cstheme="minorHAnsi"/>
          <w:noProof/>
        </w:rPr>
        <w:t>(Bryan et al., 2005, Farina et al., 2020, Orgeta et al., 2015a, Sheehan et al., 2012, Trigg et al., 2015, King et al., 2022, Martin et al., 2019)</w:t>
      </w:r>
      <w:r w:rsidR="00B54D51" w:rsidRPr="00037AD4">
        <w:rPr>
          <w:rFonts w:asciiTheme="minorHAnsi" w:hAnsiTheme="minorHAnsi" w:cstheme="minorHAnsi"/>
        </w:rPr>
        <w:t xml:space="preserve">. There were a total of 17 papers published since 2012 </w:t>
      </w:r>
      <w:r w:rsidR="00B54D51">
        <w:rPr>
          <w:rFonts w:asciiTheme="minorHAnsi" w:hAnsiTheme="minorHAnsi" w:cstheme="minorHAnsi"/>
          <w:noProof/>
        </w:rPr>
        <w:t>(Bhattacharya et al., 2010, Bonfiglio et al., 2019, Castro-Monteiro et al., 2014, Diaz‐Redondo et al., 2014, Easton et al., 2018, Farina et al., 2020, Garre-Olmo et al., 2017, González‐Vélez et al., 2015, Haaksma et al., 2018, Heßmann et al., 2016, Orgeta et al., 2015a, Sheehan et al., 2012, Trigg et al., 2015, Van De Beek et al., 2019, Ashizawa et al., 2021, King et al., 2022, Michalowsky et al., 2021, Martin et al., 2019)</w:t>
      </w:r>
      <w:r w:rsidR="00B54D51">
        <w:rPr>
          <w:rFonts w:asciiTheme="minorHAnsi" w:hAnsiTheme="minorHAnsi" w:cstheme="minorHAnsi"/>
        </w:rPr>
        <w:t xml:space="preserve"> </w:t>
      </w:r>
      <w:r w:rsidR="00B54D51" w:rsidRPr="00037AD4">
        <w:rPr>
          <w:rFonts w:asciiTheme="minorHAnsi" w:hAnsiTheme="minorHAnsi" w:cstheme="minorHAnsi"/>
        </w:rPr>
        <w:t xml:space="preserve">(last ten years), and the most recent study included was from 2022 </w:t>
      </w:r>
      <w:r w:rsidR="00B54D51">
        <w:rPr>
          <w:rFonts w:asciiTheme="minorHAnsi" w:hAnsiTheme="minorHAnsi" w:cstheme="minorHAnsi"/>
          <w:noProof/>
        </w:rPr>
        <w:t>(King et al., 2022)</w:t>
      </w:r>
      <w:r w:rsidR="00B54D51" w:rsidRPr="00037AD4">
        <w:rPr>
          <w:rFonts w:asciiTheme="minorHAnsi" w:hAnsiTheme="minorHAnsi" w:cstheme="minorHAnsi"/>
        </w:rPr>
        <w:t xml:space="preserve">. Less than a fifth of the studies used data from RCTs (n=5) </w:t>
      </w:r>
      <w:r w:rsidR="00B54D51">
        <w:rPr>
          <w:rFonts w:asciiTheme="minorHAnsi" w:hAnsiTheme="minorHAnsi" w:cstheme="minorHAnsi"/>
          <w:noProof/>
        </w:rPr>
        <w:t>(Bhattacharya et al., 2010, Boström et al., 2007, Kunz, 2010, Martin et al., 2019, Orgeta et al., 2015a)</w:t>
      </w:r>
      <w:r w:rsidR="00B54D51" w:rsidRPr="00037AD4">
        <w:rPr>
          <w:rFonts w:asciiTheme="minorHAnsi" w:hAnsiTheme="minorHAnsi" w:cstheme="minorHAnsi"/>
        </w:rPr>
        <w:t xml:space="preserve">. Alzheimer’s disease (AD) was the most included type of dementia, and it was the sole subtype evaluated in over a third of the studies (n=11) </w:t>
      </w:r>
      <w:r w:rsidR="00B54D51">
        <w:rPr>
          <w:rFonts w:asciiTheme="minorHAnsi" w:hAnsiTheme="minorHAnsi" w:cstheme="minorHAnsi"/>
          <w:noProof/>
        </w:rPr>
        <w:t>(Bhattacharya et al., 2010, Garre-Olmo et al., 2017, Haaksma et al., 2018, Heßmann et al., 2016, Karlawish et al., 2008a, Karlawish et al., 2008b, Naglie et al., 2011b, Naglie et al., 2011a, Trigg et al., 2015, Vogel et al., 2006, Ashizawa et al., 2021)</w:t>
      </w:r>
      <w:r w:rsidR="00B54D51" w:rsidRPr="00037AD4">
        <w:rPr>
          <w:rFonts w:asciiTheme="minorHAnsi" w:hAnsiTheme="minorHAnsi" w:cstheme="minorHAnsi"/>
        </w:rPr>
        <w:t xml:space="preserve">; four studies considered AD in combination with dementia with Lewy Bodies (DLB) </w:t>
      </w:r>
      <w:r w:rsidR="00B54D51">
        <w:rPr>
          <w:rFonts w:asciiTheme="minorHAnsi" w:hAnsiTheme="minorHAnsi" w:cstheme="minorHAnsi"/>
          <w:noProof/>
        </w:rPr>
        <w:t>(Boström et al., 2007, Van De Beek et al., 2019)</w:t>
      </w:r>
      <w:r w:rsidR="00B54D51" w:rsidRPr="00037AD4">
        <w:rPr>
          <w:rFonts w:asciiTheme="minorHAnsi" w:hAnsiTheme="minorHAnsi" w:cstheme="minorHAnsi"/>
        </w:rPr>
        <w:t xml:space="preserve">, vascular dementia (VD) </w:t>
      </w:r>
      <w:r w:rsidR="00B54D51">
        <w:rPr>
          <w:rFonts w:asciiTheme="minorHAnsi" w:hAnsiTheme="minorHAnsi" w:cstheme="minorHAnsi"/>
          <w:noProof/>
        </w:rPr>
        <w:t>(Bryan et al., 2005)</w:t>
      </w:r>
      <w:r w:rsidR="00B54D51" w:rsidRPr="00037AD4">
        <w:rPr>
          <w:rFonts w:asciiTheme="minorHAnsi" w:hAnsiTheme="minorHAnsi" w:cstheme="minorHAnsi"/>
        </w:rPr>
        <w:t xml:space="preserve"> or mixed</w:t>
      </w:r>
      <w:r w:rsidR="00B54D51">
        <w:rPr>
          <w:rFonts w:asciiTheme="minorHAnsi" w:hAnsiTheme="minorHAnsi" w:cstheme="minorHAnsi"/>
        </w:rPr>
        <w:t xml:space="preserve"> </w:t>
      </w:r>
      <w:r w:rsidR="00B54D51">
        <w:rPr>
          <w:rFonts w:asciiTheme="minorHAnsi" w:hAnsiTheme="minorHAnsi" w:cstheme="minorHAnsi"/>
          <w:noProof/>
        </w:rPr>
        <w:t>(Schiffczyk et al., 2010)</w:t>
      </w:r>
      <w:r w:rsidR="00B54D51" w:rsidRPr="00037AD4">
        <w:rPr>
          <w:rFonts w:asciiTheme="minorHAnsi" w:hAnsiTheme="minorHAnsi" w:cstheme="minorHAnsi"/>
        </w:rPr>
        <w:t xml:space="preserve">. Seven of the studies considered any type of dementia </w:t>
      </w:r>
      <w:r w:rsidR="00B54D51">
        <w:rPr>
          <w:rFonts w:asciiTheme="minorHAnsi" w:hAnsiTheme="minorHAnsi" w:cstheme="minorHAnsi"/>
          <w:noProof/>
        </w:rPr>
        <w:t>(Ankri et al., 2003, Érsek et al., 2010, Farina et al., 2020, Orgeta et al., 2015a, Sheehan et al., 2012, King et al., 2022, Michalowsky et al., 2021)</w:t>
      </w:r>
      <w:r w:rsidR="00B54D51" w:rsidRPr="00037AD4">
        <w:rPr>
          <w:rFonts w:asciiTheme="minorHAnsi" w:hAnsiTheme="minorHAnsi" w:cstheme="minorHAnsi"/>
        </w:rPr>
        <w:t xml:space="preserve">, and eight studies did not specify the type of dementia under investigation </w:t>
      </w:r>
      <w:r w:rsidR="00B54D51">
        <w:rPr>
          <w:rFonts w:asciiTheme="minorHAnsi" w:hAnsiTheme="minorHAnsi" w:cstheme="minorHAnsi"/>
          <w:noProof/>
        </w:rPr>
        <w:t>(Castro-Monteiro et al., 2014, Diaz‐Redondo et al., 2014, Bonfiglio et al., 2019, González‐Vélez et al., 2015, Kunz, 2010, Kuo et al., 2010, Easton et al., 2018, Martin et al., 2019)</w:t>
      </w:r>
      <w:r w:rsidR="00B54D51" w:rsidRPr="00037AD4">
        <w:rPr>
          <w:rFonts w:asciiTheme="minorHAnsi" w:hAnsiTheme="minorHAnsi" w:cstheme="minorHAnsi"/>
        </w:rPr>
        <w:t xml:space="preserve">. </w:t>
      </w:r>
    </w:p>
    <w:p w14:paraId="632A30A7" w14:textId="77777777" w:rsidR="00B54D51" w:rsidRPr="00037AD4" w:rsidRDefault="00B54D51" w:rsidP="0059168A">
      <w:pPr>
        <w:pStyle w:val="NormalWeb"/>
        <w:rPr>
          <w:rFonts w:asciiTheme="minorHAnsi" w:hAnsiTheme="minorHAnsi" w:cstheme="minorHAnsi"/>
        </w:rPr>
      </w:pPr>
      <w:r w:rsidRPr="00037AD4">
        <w:rPr>
          <w:rFonts w:asciiTheme="minorHAnsi" w:hAnsiTheme="minorHAnsi" w:cstheme="minorHAnsi"/>
        </w:rPr>
        <w:t xml:space="preserve">The studies included samples across all stages of dementia, from very mild to severe, which was typically characterised by MMSE scores. Most of the studies defined dementia severity via MMSE scores, however some studies did not collect MMSE, thereby using an alternative outcome, i.e., CDR </w:t>
      </w:r>
      <w:r>
        <w:rPr>
          <w:rFonts w:asciiTheme="minorHAnsi" w:hAnsiTheme="minorHAnsi" w:cstheme="minorHAnsi"/>
          <w:noProof/>
        </w:rPr>
        <w:t>(Castro-Monteiro et al., 2014, Diaz‐Redondo et al., 2014, Bryan et al., 2005, González‐Vélez et al., 2015, Orgeta et al., 2015a, Sheehan et al., 2012)</w:t>
      </w:r>
      <w:r w:rsidRPr="00037AD4">
        <w:rPr>
          <w:rFonts w:asciiTheme="minorHAnsi" w:hAnsiTheme="minorHAnsi" w:cstheme="minorHAnsi"/>
        </w:rPr>
        <w:t xml:space="preserve">. The lowest mean MMSE reported was 12.8 </w:t>
      </w:r>
      <w:r>
        <w:rPr>
          <w:rFonts w:asciiTheme="minorHAnsi" w:hAnsiTheme="minorHAnsi" w:cstheme="minorHAnsi"/>
          <w:noProof/>
        </w:rPr>
        <w:t>(Ankri et al., 2003)</w:t>
      </w:r>
      <w:r w:rsidRPr="00037AD4">
        <w:rPr>
          <w:rFonts w:asciiTheme="minorHAnsi" w:hAnsiTheme="minorHAnsi" w:cstheme="minorHAnsi"/>
        </w:rPr>
        <w:t xml:space="preserve">, and the highest was 24.9 </w:t>
      </w:r>
      <w:r>
        <w:rPr>
          <w:rFonts w:asciiTheme="minorHAnsi" w:hAnsiTheme="minorHAnsi" w:cstheme="minorHAnsi"/>
          <w:noProof/>
        </w:rPr>
        <w:t>(Bonfiglio et al., 2019, Vogel et al., 2006)</w:t>
      </w:r>
      <w:r w:rsidRPr="00037AD4">
        <w:rPr>
          <w:rFonts w:asciiTheme="minorHAnsi" w:hAnsiTheme="minorHAnsi" w:cstheme="minorHAnsi"/>
        </w:rPr>
        <w:t xml:space="preserve">. The study sample sizes ranged from 48 </w:t>
      </w:r>
      <w:r>
        <w:rPr>
          <w:rFonts w:asciiTheme="minorHAnsi" w:hAnsiTheme="minorHAnsi" w:cstheme="minorHAnsi"/>
          <w:noProof/>
        </w:rPr>
        <w:t>(Vogel et al., 2006)</w:t>
      </w:r>
      <w:r w:rsidRPr="00037AD4">
        <w:rPr>
          <w:rFonts w:asciiTheme="minorHAnsi" w:hAnsiTheme="minorHAnsi" w:cstheme="minorHAnsi"/>
        </w:rPr>
        <w:t xml:space="preserve"> – 1004 </w:t>
      </w:r>
      <w:r>
        <w:rPr>
          <w:rFonts w:asciiTheme="minorHAnsi" w:hAnsiTheme="minorHAnsi" w:cstheme="minorHAnsi"/>
          <w:noProof/>
        </w:rPr>
        <w:t>(Griffiths et al., 2020)</w:t>
      </w:r>
      <w:r w:rsidRPr="00037AD4">
        <w:rPr>
          <w:rFonts w:asciiTheme="minorHAnsi" w:hAnsiTheme="minorHAnsi" w:cstheme="minorHAnsi"/>
        </w:rPr>
        <w:t xml:space="preserve"> participants. EQ-5D-3L was most commonly collected (n=27), and only four studies collected EQ-5D-5L </w:t>
      </w:r>
      <w:r>
        <w:rPr>
          <w:rFonts w:asciiTheme="minorHAnsi" w:hAnsiTheme="minorHAnsi" w:cstheme="minorHAnsi"/>
          <w:noProof/>
        </w:rPr>
        <w:t>(Bonfiglio et al., 2019, Easton et al., 2018, Michalowsky et al., 2021, Ashizawa et al., 2021)</w:t>
      </w:r>
      <w:r w:rsidRPr="00037AD4">
        <w:rPr>
          <w:rFonts w:asciiTheme="minorHAnsi" w:hAnsiTheme="minorHAnsi" w:cstheme="minorHAnsi"/>
        </w:rPr>
        <w:t xml:space="preserve"> (one study considered both EQ-5D-3L and EQ-5D-5L </w:t>
      </w:r>
      <w:r>
        <w:rPr>
          <w:rFonts w:asciiTheme="minorHAnsi" w:hAnsiTheme="minorHAnsi" w:cstheme="minorHAnsi"/>
          <w:noProof/>
        </w:rPr>
        <w:t>(Michalowsky et al., 2021)</w:t>
      </w:r>
      <w:r w:rsidRPr="00037AD4">
        <w:rPr>
          <w:rFonts w:asciiTheme="minorHAnsi" w:hAnsiTheme="minorHAnsi" w:cstheme="minorHAnsi"/>
        </w:rPr>
        <w:t xml:space="preserve">). There was a mix of study settings; eleven studies focused solely on community dwelling people with dementia </w:t>
      </w:r>
      <w:r>
        <w:rPr>
          <w:rFonts w:asciiTheme="minorHAnsi" w:hAnsiTheme="minorHAnsi" w:cstheme="minorHAnsi"/>
          <w:noProof/>
        </w:rPr>
        <w:t>(Bhattacharya et al., 2010, Bonfiglio et al., 2019, Bryan et al., 2005, Karlawish et al., 2008a, Kunz, 2010, Karlawish et al., 2008b, Naglie et al., 2011b, Naglie et al., 2011a, Orgeta et al., 2015a, Schiffczyk et al., 2010, Michalowsky et al., 2021)</w:t>
      </w:r>
      <w:r w:rsidRPr="00037AD4">
        <w:rPr>
          <w:rFonts w:asciiTheme="minorHAnsi" w:hAnsiTheme="minorHAnsi" w:cstheme="minorHAnsi"/>
        </w:rPr>
        <w:t xml:space="preserve">, while six studies collected data from institutionalised residents alone </w:t>
      </w:r>
      <w:r>
        <w:rPr>
          <w:rFonts w:asciiTheme="minorHAnsi" w:hAnsiTheme="minorHAnsi" w:cstheme="minorHAnsi"/>
          <w:noProof/>
        </w:rPr>
        <w:t>(Griffiths et al., 2020, González‐Vélez et al., 2015, Castro-Monteiro et al., 2014, Diaz‐Redondo et al., 2014, Easton et al., 2018, Ashizawa et al., 2021)</w:t>
      </w:r>
      <w:r w:rsidRPr="00037AD4">
        <w:rPr>
          <w:rFonts w:asciiTheme="minorHAnsi" w:hAnsiTheme="minorHAnsi" w:cstheme="minorHAnsi"/>
        </w:rPr>
        <w:t xml:space="preserve">. Quality of life data were </w:t>
      </w:r>
      <w:r w:rsidRPr="00037AD4">
        <w:rPr>
          <w:rFonts w:asciiTheme="minorHAnsi" w:hAnsiTheme="minorHAnsi" w:cstheme="minorHAnsi"/>
        </w:rPr>
        <w:lastRenderedPageBreak/>
        <w:t xml:space="preserve">collected entirely via a proxy (n=9) </w:t>
      </w:r>
      <w:r>
        <w:rPr>
          <w:rFonts w:asciiTheme="minorHAnsi" w:hAnsiTheme="minorHAnsi" w:cstheme="minorHAnsi"/>
          <w:noProof/>
        </w:rPr>
        <w:t>(Bryan et al., 2005, Castro-Monteiro et al., 2014, Diaz‐Redondo et al., 2014, Garre-Olmo et al., 2017, González‐Vélez et al., 2015, Haaksma et al., 2018, Naglie et al., 2011b, Karlawish et al., 2008b, Ashizawa et al., 2021)</w:t>
      </w:r>
      <w:r w:rsidRPr="00037AD4">
        <w:rPr>
          <w:rFonts w:asciiTheme="minorHAnsi" w:hAnsiTheme="minorHAnsi" w:cstheme="minorHAnsi"/>
        </w:rPr>
        <w:t xml:space="preserve"> or self-report (n=3) </w:t>
      </w:r>
      <w:r>
        <w:rPr>
          <w:rFonts w:asciiTheme="minorHAnsi" w:hAnsiTheme="minorHAnsi" w:cstheme="minorHAnsi"/>
          <w:noProof/>
        </w:rPr>
        <w:t>(Naglie et al., 2011a, Van De Beek et al., 2019, Karlawish et al., 2008a)</w:t>
      </w:r>
      <w:r w:rsidRPr="00037AD4">
        <w:rPr>
          <w:rFonts w:asciiTheme="minorHAnsi" w:hAnsiTheme="minorHAnsi" w:cstheme="minorHAnsi"/>
        </w:rPr>
        <w:t xml:space="preserve"> in some studies, however over half of the studies used both proxy and self-report (n=17) </w:t>
      </w:r>
      <w:r>
        <w:rPr>
          <w:rFonts w:asciiTheme="minorHAnsi" w:hAnsiTheme="minorHAnsi" w:cstheme="minorHAnsi"/>
          <w:noProof/>
        </w:rPr>
        <w:t>(Ankri et al., 2003, Bhattacharya et al., 2010, Bonfiglio et al., 2019, Boström et al., 2007, Easton et al., 2018, Farina et al., 2020, Heßmann et al., 2016, Karlawish et al., 2008a, Kunz, 2010, Karlawish et al., 2008b, Griffiths et al., 2020, Orgeta et al., 2015a, Schiffczyk et al., 2010, Sheehan et al., 2012, Trigg et al., 2015, Vogel et al., 2006, King et al., 2022, Michalowsky et al., 2021)</w:t>
      </w:r>
      <w:r w:rsidRPr="00037AD4">
        <w:rPr>
          <w:rFonts w:asciiTheme="minorHAnsi" w:hAnsiTheme="minorHAnsi" w:cstheme="minorHAnsi"/>
        </w:rPr>
        <w:t xml:space="preserve">. Where self-report was exclusively used, the studies explored people with mild dementia. Of the seventeen studies that included people with severe dementia within their sample, ten studies used both self and proxy reports </w:t>
      </w:r>
      <w:r>
        <w:rPr>
          <w:rFonts w:asciiTheme="minorHAnsi" w:hAnsiTheme="minorHAnsi" w:cstheme="minorHAnsi"/>
          <w:noProof/>
        </w:rPr>
        <w:t>(Trigg et al., 2015, Sheehan et al., 2012, Schiffczyk et al., 2010, Griffiths et al., 2020, Kuo et al., 2010, Heßmann et al., 2016, Farina et al., 2020, Boström et al., 2007, Ankri et al., 2003, King et al., 2022)</w:t>
      </w:r>
      <w:r w:rsidRPr="00037AD4">
        <w:rPr>
          <w:rFonts w:asciiTheme="minorHAnsi" w:hAnsiTheme="minorHAnsi" w:cstheme="minorHAnsi"/>
        </w:rPr>
        <w:t xml:space="preserve">, six studies used proxy-reports alone </w:t>
      </w:r>
      <w:r>
        <w:rPr>
          <w:rFonts w:asciiTheme="minorHAnsi" w:hAnsiTheme="minorHAnsi" w:cstheme="minorHAnsi"/>
          <w:noProof/>
        </w:rPr>
        <w:t>(González‐Vélez et al., 2015, Garre-Olmo et al., 2017, Diaz‐Redondo et al., 2014, Castro-Monteiro et al., 2014, Naglie et al., 2011b, Ashizawa et al., 2021)</w:t>
      </w:r>
      <w:r w:rsidRPr="00037AD4">
        <w:rPr>
          <w:rFonts w:asciiTheme="minorHAnsi" w:hAnsiTheme="minorHAnsi" w:cstheme="minorHAnsi"/>
        </w:rPr>
        <w:t xml:space="preserve"> and one study did not report the rater type </w:t>
      </w:r>
      <w:r>
        <w:rPr>
          <w:rFonts w:asciiTheme="minorHAnsi" w:hAnsiTheme="minorHAnsi" w:cstheme="minorHAnsi"/>
          <w:noProof/>
        </w:rPr>
        <w:t>(Érsek et al., 2010)</w:t>
      </w:r>
      <w:r w:rsidRPr="00037AD4">
        <w:rPr>
          <w:rFonts w:asciiTheme="minorHAnsi" w:hAnsiTheme="minorHAnsi" w:cstheme="minorHAnsi"/>
        </w:rPr>
        <w:t xml:space="preserve">. The proxy-type was most commonly an informal caregiver (i.e., family member, friend, or neighbour), however four studies also included formal caregivers </w:t>
      </w:r>
      <w:r>
        <w:rPr>
          <w:rFonts w:asciiTheme="minorHAnsi" w:hAnsiTheme="minorHAnsi" w:cstheme="minorHAnsi"/>
          <w:noProof/>
        </w:rPr>
        <w:t>(Ankri et al., 2003, Bonfiglio et al., 2019, González‐Vélez et al., 2015, Griffiths et al., 2020)</w:t>
      </w:r>
      <w:r w:rsidRPr="00037AD4">
        <w:rPr>
          <w:rFonts w:asciiTheme="minorHAnsi" w:hAnsiTheme="minorHAnsi" w:cstheme="minorHAnsi"/>
        </w:rPr>
        <w:t xml:space="preserve"> and one study additionally used clinicians to proxy report</w:t>
      </w:r>
      <w:r>
        <w:rPr>
          <w:rFonts w:asciiTheme="minorHAnsi" w:hAnsiTheme="minorHAnsi" w:cstheme="minorHAnsi"/>
        </w:rPr>
        <w:t xml:space="preserve"> </w:t>
      </w:r>
      <w:r>
        <w:rPr>
          <w:rFonts w:asciiTheme="minorHAnsi" w:hAnsiTheme="minorHAnsi" w:cstheme="minorHAnsi"/>
          <w:noProof/>
        </w:rPr>
        <w:t>(Bryan et al., 2005)</w:t>
      </w:r>
      <w:r w:rsidRPr="00037AD4">
        <w:rPr>
          <w:rFonts w:asciiTheme="minorHAnsi" w:hAnsiTheme="minorHAnsi" w:cstheme="minorHAnsi"/>
        </w:rPr>
        <w:t xml:space="preserve">. EQ-5D was mainly administered via an interview (n=21) </w:t>
      </w:r>
      <w:r>
        <w:rPr>
          <w:rFonts w:asciiTheme="minorHAnsi" w:hAnsiTheme="minorHAnsi" w:cstheme="minorHAnsi"/>
          <w:noProof/>
        </w:rPr>
        <w:t>(Ankri et al., 2003, Bhattacharya et al., 2010, Boström et al., 2007, Castro-Monteiro et al., 2014, Easton et al., 2018, Garre-Olmo et al., 2017, Haaksma et al., 2018, Heßmann et al., 2016, Karlawish et al., 2008a, Karlawish et al., 2008b, Kunz, 2010, Kuo et al., 2010, Griffiths et al., 2020, Naglie et al., 2011a, Naglie et al., 2011b, Orgeta et al., 2015a, Schiffczyk et al., 2010, Sheehan et al., 2012, Trigg et al., 2015, Vogel et al., 2006, King et al., 2022, Michalowsky et al., 2021)</w:t>
      </w:r>
      <w:r w:rsidRPr="00037AD4">
        <w:rPr>
          <w:rFonts w:asciiTheme="minorHAnsi" w:hAnsiTheme="minorHAnsi" w:cstheme="minorHAnsi"/>
        </w:rPr>
        <w:t xml:space="preserve">, three studies did not report this detail </w:t>
      </w:r>
      <w:r>
        <w:rPr>
          <w:rFonts w:asciiTheme="minorHAnsi" w:hAnsiTheme="minorHAnsi" w:cstheme="minorHAnsi"/>
          <w:noProof/>
        </w:rPr>
        <w:t>(Diaz‐Redondo et al., 2014, Érsek et al., 2010, Van De Beek et al., 2019)</w:t>
      </w:r>
      <w:r w:rsidRPr="00037AD4">
        <w:rPr>
          <w:rFonts w:asciiTheme="minorHAnsi" w:hAnsiTheme="minorHAnsi" w:cstheme="minorHAnsi"/>
        </w:rPr>
        <w:t xml:space="preserve">, and one study used interviews for PwD and self-administration for proxies </w:t>
      </w:r>
      <w:r>
        <w:rPr>
          <w:rFonts w:asciiTheme="minorHAnsi" w:hAnsiTheme="minorHAnsi" w:cstheme="minorHAnsi"/>
          <w:noProof/>
        </w:rPr>
        <w:t>(Vogel et al., 2006)</w:t>
      </w:r>
      <w:r w:rsidRPr="00037AD4">
        <w:rPr>
          <w:rFonts w:asciiTheme="minorHAnsi" w:hAnsiTheme="minorHAnsi" w:cstheme="minorHAnsi"/>
        </w:rPr>
        <w:t xml:space="preserve">. Of the four studies that solely used PwD self-reported EQ-5D, two collected this via interview </w:t>
      </w:r>
      <w:r>
        <w:rPr>
          <w:rFonts w:asciiTheme="minorHAnsi" w:hAnsiTheme="minorHAnsi" w:cstheme="minorHAnsi"/>
          <w:noProof/>
        </w:rPr>
        <w:t>(Naglie et al., 2011b, Karlawish et al., 2008a)</w:t>
      </w:r>
      <w:r w:rsidRPr="00037AD4">
        <w:rPr>
          <w:rFonts w:asciiTheme="minorHAnsi" w:hAnsiTheme="minorHAnsi" w:cstheme="minorHAnsi"/>
        </w:rPr>
        <w:t xml:space="preserve">, one used self-administration booklets </w:t>
      </w:r>
      <w:r>
        <w:rPr>
          <w:rFonts w:asciiTheme="minorHAnsi" w:hAnsiTheme="minorHAnsi" w:cstheme="minorHAnsi"/>
          <w:noProof/>
        </w:rPr>
        <w:t>(Ashizawa et al., 2021)</w:t>
      </w:r>
      <w:r w:rsidRPr="00037AD4">
        <w:rPr>
          <w:rFonts w:asciiTheme="minorHAnsi" w:hAnsiTheme="minorHAnsi" w:cstheme="minorHAnsi"/>
        </w:rPr>
        <w:t xml:space="preserve"> and one did not report this information </w:t>
      </w:r>
      <w:r>
        <w:rPr>
          <w:rFonts w:asciiTheme="minorHAnsi" w:hAnsiTheme="minorHAnsi" w:cstheme="minorHAnsi"/>
          <w:noProof/>
        </w:rPr>
        <w:t>(Van De Beek et al., 2019)</w:t>
      </w:r>
      <w:r w:rsidRPr="00037AD4">
        <w:rPr>
          <w:rFonts w:asciiTheme="minorHAnsi" w:hAnsiTheme="minorHAnsi" w:cstheme="minorHAnsi"/>
        </w:rPr>
        <w:t xml:space="preserve">. </w:t>
      </w:r>
    </w:p>
    <w:p w14:paraId="649968EF" w14:textId="77777777" w:rsidR="00B54D51" w:rsidRPr="00037AD4" w:rsidRDefault="00B54D51" w:rsidP="007A43F9">
      <w:pPr>
        <w:pStyle w:val="Heading4"/>
      </w:pPr>
      <w:r w:rsidRPr="00037AD4">
        <w:t xml:space="preserve">3.7.4.2 Core dementia outcome measures </w:t>
      </w:r>
    </w:p>
    <w:p w14:paraId="6C5B72BC" w14:textId="77777777" w:rsidR="00B54D51" w:rsidRPr="00037AD4" w:rsidRDefault="00B54D51" w:rsidP="0059168A">
      <w:pPr>
        <w:pStyle w:val="NormalWeb"/>
        <w:rPr>
          <w:rFonts w:asciiTheme="minorHAnsi" w:hAnsiTheme="minorHAnsi" w:cstheme="minorHAnsi"/>
        </w:rPr>
      </w:pPr>
      <w:r w:rsidRPr="00037AD4">
        <w:rPr>
          <w:rFonts w:asciiTheme="minorHAnsi" w:hAnsiTheme="minorHAnsi" w:cstheme="minorHAnsi"/>
          <w:color w:val="000000" w:themeColor="text1"/>
        </w:rPr>
        <w:t xml:space="preserve">Table 9 </w:t>
      </w:r>
      <w:r w:rsidRPr="00037AD4">
        <w:rPr>
          <w:rFonts w:asciiTheme="minorHAnsi" w:hAnsiTheme="minorHAnsi" w:cstheme="minorHAnsi"/>
        </w:rPr>
        <w:t xml:space="preserve">lists the measures that were used to measure the core dementia outcomes in the studies. Details of the measures have been previously reported within this chapter. In total there were 12 distinct measures: Two cognition measures (MMSE and ADAS-Cog), six measures of function (Katz ADL, ADCS-ADL, Barthel index, Lawton scale, DAD and BADLS) and four behaviour/mood measures (NPI, CSDD, GDS and CMAI). Where it was reported, the measures were completed either by proxy, researcher observation, or a combination of information such as self or proxy information and recent care records. The most predominant measure was the MMSE (n=25), followed by the NPI (n=12). </w:t>
      </w:r>
    </w:p>
    <w:p w14:paraId="0B4D954E" w14:textId="77777777" w:rsidR="00B54D51" w:rsidRPr="00037AD4" w:rsidRDefault="00B54D51" w:rsidP="0059168A">
      <w:pPr>
        <w:pStyle w:val="NormalWeb"/>
        <w:rPr>
          <w:rFonts w:asciiTheme="minorHAnsi" w:hAnsiTheme="minorHAnsi" w:cstheme="minorHAnsi"/>
        </w:rPr>
        <w:sectPr w:rsidR="00B54D51" w:rsidRPr="00037AD4" w:rsidSect="0051675A">
          <w:pgSz w:w="11906" w:h="16838"/>
          <w:pgMar w:top="1440" w:right="1440" w:bottom="1440" w:left="1440" w:header="708" w:footer="708" w:gutter="0"/>
          <w:cols w:space="708"/>
          <w:docGrid w:linePitch="360"/>
        </w:sectPr>
      </w:pPr>
    </w:p>
    <w:p w14:paraId="3A658051" w14:textId="77777777" w:rsidR="00B54D51" w:rsidRPr="00037AD4" w:rsidRDefault="00B54D51" w:rsidP="0059168A">
      <w:pPr>
        <w:pStyle w:val="NormalWeb"/>
        <w:rPr>
          <w:rFonts w:asciiTheme="minorHAnsi" w:hAnsiTheme="minorHAnsi" w:cstheme="minorHAnsi"/>
          <w:b/>
          <w:bCs/>
          <w:i/>
          <w:iCs/>
        </w:rPr>
      </w:pPr>
      <w:r w:rsidRPr="00037AD4">
        <w:rPr>
          <w:rFonts w:asciiTheme="minorHAnsi" w:hAnsiTheme="minorHAnsi" w:cstheme="minorHAnsi"/>
          <w:b/>
          <w:bCs/>
          <w:i/>
          <w:iCs/>
        </w:rPr>
        <w:lastRenderedPageBreak/>
        <w:t xml:space="preserve">Table 9, Core dementia outcome measures </w:t>
      </w:r>
    </w:p>
    <w:tbl>
      <w:tblPr>
        <w:tblStyle w:val="TableGrid"/>
        <w:tblW w:w="0" w:type="auto"/>
        <w:tblLook w:val="04A0" w:firstRow="1" w:lastRow="0" w:firstColumn="1" w:lastColumn="0" w:noHBand="0" w:noVBand="1"/>
      </w:tblPr>
      <w:tblGrid>
        <w:gridCol w:w="2432"/>
        <w:gridCol w:w="988"/>
        <w:gridCol w:w="1013"/>
        <w:gridCol w:w="930"/>
        <w:gridCol w:w="1013"/>
        <w:gridCol w:w="1054"/>
        <w:gridCol w:w="1062"/>
        <w:gridCol w:w="863"/>
        <w:gridCol w:w="1054"/>
        <w:gridCol w:w="789"/>
        <w:gridCol w:w="964"/>
        <w:gridCol w:w="864"/>
        <w:gridCol w:w="922"/>
      </w:tblGrid>
      <w:tr w:rsidR="00B54D51" w:rsidRPr="00037AD4" w14:paraId="1848FB2F" w14:textId="77777777" w:rsidTr="00DB46DD">
        <w:trPr>
          <w:tblHeader/>
        </w:trPr>
        <w:tc>
          <w:tcPr>
            <w:tcW w:w="2432" w:type="dxa"/>
          </w:tcPr>
          <w:p w14:paraId="62F878FE" w14:textId="77777777" w:rsidR="00B54D51" w:rsidRPr="00037AD4" w:rsidRDefault="00B54D51" w:rsidP="001A7D5D">
            <w:pPr>
              <w:pStyle w:val="NormalWeb"/>
              <w:rPr>
                <w:rFonts w:asciiTheme="minorHAnsi" w:hAnsiTheme="minorHAnsi" w:cstheme="minorHAnsi"/>
                <w:b/>
                <w:bCs/>
              </w:rPr>
            </w:pPr>
          </w:p>
        </w:tc>
        <w:tc>
          <w:tcPr>
            <w:tcW w:w="2001" w:type="dxa"/>
            <w:gridSpan w:val="2"/>
          </w:tcPr>
          <w:p w14:paraId="714692BE" w14:textId="77777777" w:rsidR="00B54D51" w:rsidRPr="00037AD4" w:rsidRDefault="00B54D51" w:rsidP="001A7D5D">
            <w:pPr>
              <w:pStyle w:val="NormalWeb"/>
              <w:rPr>
                <w:rFonts w:asciiTheme="minorHAnsi" w:hAnsiTheme="minorHAnsi" w:cstheme="minorHAnsi"/>
                <w:b/>
                <w:bCs/>
                <w:i/>
                <w:iCs/>
              </w:rPr>
            </w:pPr>
            <w:r w:rsidRPr="00037AD4">
              <w:rPr>
                <w:rFonts w:asciiTheme="minorHAnsi" w:hAnsiTheme="minorHAnsi" w:cstheme="minorHAnsi"/>
                <w:b/>
                <w:bCs/>
                <w:i/>
                <w:iCs/>
              </w:rPr>
              <w:t>Cognition</w:t>
            </w:r>
          </w:p>
        </w:tc>
        <w:tc>
          <w:tcPr>
            <w:tcW w:w="5976" w:type="dxa"/>
            <w:gridSpan w:val="6"/>
          </w:tcPr>
          <w:p w14:paraId="3B78877F" w14:textId="77777777" w:rsidR="00B54D51" w:rsidRPr="00037AD4" w:rsidRDefault="00B54D51" w:rsidP="001A7D5D">
            <w:pPr>
              <w:pStyle w:val="NormalWeb"/>
              <w:rPr>
                <w:rFonts w:asciiTheme="minorHAnsi" w:hAnsiTheme="minorHAnsi" w:cstheme="minorHAnsi"/>
                <w:b/>
                <w:bCs/>
                <w:i/>
                <w:iCs/>
              </w:rPr>
            </w:pPr>
            <w:r w:rsidRPr="00037AD4">
              <w:rPr>
                <w:rFonts w:asciiTheme="minorHAnsi" w:hAnsiTheme="minorHAnsi" w:cstheme="minorHAnsi"/>
                <w:b/>
                <w:bCs/>
                <w:i/>
                <w:iCs/>
              </w:rPr>
              <w:t>Function</w:t>
            </w:r>
          </w:p>
        </w:tc>
        <w:tc>
          <w:tcPr>
            <w:tcW w:w="3539" w:type="dxa"/>
            <w:gridSpan w:val="4"/>
          </w:tcPr>
          <w:p w14:paraId="19F2F260" w14:textId="77777777" w:rsidR="00B54D51" w:rsidRPr="00037AD4" w:rsidRDefault="00B54D51" w:rsidP="001A7D5D">
            <w:pPr>
              <w:pStyle w:val="NormalWeb"/>
              <w:rPr>
                <w:rFonts w:asciiTheme="minorHAnsi" w:hAnsiTheme="minorHAnsi" w:cstheme="minorHAnsi"/>
                <w:b/>
                <w:bCs/>
                <w:i/>
                <w:iCs/>
              </w:rPr>
            </w:pPr>
            <w:r w:rsidRPr="00037AD4">
              <w:rPr>
                <w:rFonts w:asciiTheme="minorHAnsi" w:hAnsiTheme="minorHAnsi" w:cstheme="minorHAnsi"/>
                <w:b/>
                <w:bCs/>
                <w:i/>
                <w:iCs/>
              </w:rPr>
              <w:t>Behaviour/mood</w:t>
            </w:r>
          </w:p>
        </w:tc>
      </w:tr>
      <w:tr w:rsidR="00B54D51" w:rsidRPr="00037AD4" w14:paraId="57DF1B74" w14:textId="77777777" w:rsidTr="00DB46DD">
        <w:trPr>
          <w:tblHeader/>
        </w:trPr>
        <w:tc>
          <w:tcPr>
            <w:tcW w:w="2432" w:type="dxa"/>
          </w:tcPr>
          <w:p w14:paraId="42D8F74A" w14:textId="77777777" w:rsidR="00B54D51" w:rsidRPr="00037AD4" w:rsidRDefault="00B54D51" w:rsidP="001A7D5D">
            <w:pPr>
              <w:pStyle w:val="NormalWeb"/>
              <w:rPr>
                <w:rFonts w:asciiTheme="minorHAnsi" w:hAnsiTheme="minorHAnsi" w:cstheme="minorHAnsi"/>
                <w:b/>
                <w:bCs/>
              </w:rPr>
            </w:pPr>
            <w:r w:rsidRPr="00037AD4">
              <w:rPr>
                <w:rFonts w:asciiTheme="minorHAnsi" w:hAnsiTheme="minorHAnsi" w:cstheme="minorHAnsi"/>
                <w:b/>
                <w:bCs/>
              </w:rPr>
              <w:t>Author</w:t>
            </w:r>
          </w:p>
        </w:tc>
        <w:tc>
          <w:tcPr>
            <w:tcW w:w="988" w:type="dxa"/>
          </w:tcPr>
          <w:p w14:paraId="1893BB16" w14:textId="77777777" w:rsidR="00B54D51" w:rsidRPr="00037AD4" w:rsidRDefault="00B54D51" w:rsidP="001A7D5D">
            <w:pPr>
              <w:pStyle w:val="NormalWeb"/>
              <w:rPr>
                <w:rFonts w:asciiTheme="minorHAnsi" w:hAnsiTheme="minorHAnsi" w:cstheme="minorHAnsi"/>
                <w:b/>
                <w:bCs/>
              </w:rPr>
            </w:pPr>
            <w:r w:rsidRPr="00037AD4">
              <w:rPr>
                <w:rFonts w:asciiTheme="minorHAnsi" w:hAnsiTheme="minorHAnsi" w:cstheme="minorHAnsi"/>
                <w:b/>
                <w:bCs/>
              </w:rPr>
              <w:t>MMSE</w:t>
            </w:r>
          </w:p>
        </w:tc>
        <w:tc>
          <w:tcPr>
            <w:tcW w:w="1013" w:type="dxa"/>
          </w:tcPr>
          <w:p w14:paraId="767CEF5D" w14:textId="77777777" w:rsidR="00B54D51" w:rsidRPr="00037AD4" w:rsidRDefault="00B54D51" w:rsidP="001A7D5D">
            <w:pPr>
              <w:pStyle w:val="NormalWeb"/>
              <w:rPr>
                <w:rFonts w:asciiTheme="minorHAnsi" w:hAnsiTheme="minorHAnsi" w:cstheme="minorHAnsi"/>
                <w:b/>
                <w:bCs/>
              </w:rPr>
            </w:pPr>
            <w:r w:rsidRPr="00037AD4">
              <w:rPr>
                <w:rFonts w:asciiTheme="minorHAnsi" w:hAnsiTheme="minorHAnsi" w:cstheme="minorHAnsi"/>
                <w:b/>
                <w:bCs/>
              </w:rPr>
              <w:t>ADAS-Cog</w:t>
            </w:r>
          </w:p>
        </w:tc>
        <w:tc>
          <w:tcPr>
            <w:tcW w:w="930" w:type="dxa"/>
          </w:tcPr>
          <w:p w14:paraId="31F7C1B7" w14:textId="77777777" w:rsidR="00B54D51" w:rsidRPr="00037AD4" w:rsidRDefault="00B54D51" w:rsidP="001A7D5D">
            <w:pPr>
              <w:pStyle w:val="NormalWeb"/>
              <w:rPr>
                <w:rFonts w:asciiTheme="minorHAnsi" w:hAnsiTheme="minorHAnsi" w:cstheme="minorHAnsi"/>
                <w:b/>
                <w:bCs/>
              </w:rPr>
            </w:pPr>
            <w:r w:rsidRPr="00037AD4">
              <w:rPr>
                <w:rFonts w:asciiTheme="minorHAnsi" w:hAnsiTheme="minorHAnsi" w:cstheme="minorHAnsi"/>
                <w:b/>
                <w:bCs/>
              </w:rPr>
              <w:t>Katz index</w:t>
            </w:r>
          </w:p>
        </w:tc>
        <w:tc>
          <w:tcPr>
            <w:tcW w:w="1013" w:type="dxa"/>
          </w:tcPr>
          <w:p w14:paraId="08CF57EF" w14:textId="77777777" w:rsidR="00B54D51" w:rsidRPr="00037AD4" w:rsidRDefault="00B54D51" w:rsidP="001A7D5D">
            <w:pPr>
              <w:pStyle w:val="NormalWeb"/>
              <w:rPr>
                <w:rFonts w:asciiTheme="minorHAnsi" w:hAnsiTheme="minorHAnsi" w:cstheme="minorHAnsi"/>
                <w:b/>
                <w:bCs/>
              </w:rPr>
            </w:pPr>
            <w:r w:rsidRPr="00037AD4">
              <w:rPr>
                <w:rFonts w:asciiTheme="minorHAnsi" w:hAnsiTheme="minorHAnsi" w:cstheme="minorHAnsi"/>
                <w:b/>
                <w:bCs/>
              </w:rPr>
              <w:t>ADCS-ADL</w:t>
            </w:r>
          </w:p>
        </w:tc>
        <w:tc>
          <w:tcPr>
            <w:tcW w:w="1054" w:type="dxa"/>
          </w:tcPr>
          <w:p w14:paraId="156D261F" w14:textId="77777777" w:rsidR="00B54D51" w:rsidRPr="00037AD4" w:rsidRDefault="00B54D51" w:rsidP="001A7D5D">
            <w:pPr>
              <w:pStyle w:val="NormalWeb"/>
              <w:rPr>
                <w:rFonts w:asciiTheme="minorHAnsi" w:hAnsiTheme="minorHAnsi" w:cstheme="minorHAnsi"/>
                <w:b/>
                <w:bCs/>
              </w:rPr>
            </w:pPr>
            <w:r w:rsidRPr="00037AD4">
              <w:rPr>
                <w:rFonts w:asciiTheme="minorHAnsi" w:hAnsiTheme="minorHAnsi" w:cstheme="minorHAnsi"/>
                <w:b/>
                <w:bCs/>
              </w:rPr>
              <w:t>Barthel index</w:t>
            </w:r>
          </w:p>
        </w:tc>
        <w:tc>
          <w:tcPr>
            <w:tcW w:w="1062" w:type="dxa"/>
          </w:tcPr>
          <w:p w14:paraId="175C32E1" w14:textId="77777777" w:rsidR="00B54D51" w:rsidRPr="00037AD4" w:rsidRDefault="00B54D51" w:rsidP="001A7D5D">
            <w:pPr>
              <w:pStyle w:val="NormalWeb"/>
              <w:rPr>
                <w:rFonts w:asciiTheme="minorHAnsi" w:hAnsiTheme="minorHAnsi" w:cstheme="minorHAnsi"/>
                <w:b/>
                <w:bCs/>
              </w:rPr>
            </w:pPr>
            <w:r w:rsidRPr="00037AD4">
              <w:rPr>
                <w:rFonts w:asciiTheme="minorHAnsi" w:hAnsiTheme="minorHAnsi" w:cstheme="minorHAnsi"/>
                <w:b/>
                <w:bCs/>
              </w:rPr>
              <w:t>Lawton scale</w:t>
            </w:r>
          </w:p>
        </w:tc>
        <w:tc>
          <w:tcPr>
            <w:tcW w:w="863" w:type="dxa"/>
          </w:tcPr>
          <w:p w14:paraId="47189D62" w14:textId="77777777" w:rsidR="00B54D51" w:rsidRPr="00037AD4" w:rsidRDefault="00B54D51" w:rsidP="001A7D5D">
            <w:pPr>
              <w:pStyle w:val="NormalWeb"/>
              <w:rPr>
                <w:rFonts w:asciiTheme="minorHAnsi" w:hAnsiTheme="minorHAnsi" w:cstheme="minorHAnsi"/>
                <w:b/>
                <w:bCs/>
              </w:rPr>
            </w:pPr>
            <w:r w:rsidRPr="00037AD4">
              <w:rPr>
                <w:rFonts w:asciiTheme="minorHAnsi" w:hAnsiTheme="minorHAnsi" w:cstheme="minorHAnsi"/>
                <w:b/>
                <w:bCs/>
              </w:rPr>
              <w:t>DAD</w:t>
            </w:r>
          </w:p>
        </w:tc>
        <w:tc>
          <w:tcPr>
            <w:tcW w:w="1054" w:type="dxa"/>
          </w:tcPr>
          <w:p w14:paraId="165A828F" w14:textId="77777777" w:rsidR="00B54D51" w:rsidRPr="00037AD4" w:rsidRDefault="00B54D51" w:rsidP="001A7D5D">
            <w:pPr>
              <w:pStyle w:val="NormalWeb"/>
              <w:rPr>
                <w:rFonts w:asciiTheme="minorHAnsi" w:hAnsiTheme="minorHAnsi" w:cstheme="minorHAnsi"/>
                <w:b/>
                <w:bCs/>
              </w:rPr>
            </w:pPr>
            <w:r w:rsidRPr="00037AD4">
              <w:rPr>
                <w:rFonts w:asciiTheme="minorHAnsi" w:hAnsiTheme="minorHAnsi" w:cstheme="minorHAnsi"/>
                <w:b/>
                <w:bCs/>
              </w:rPr>
              <w:t>BADLS</w:t>
            </w:r>
          </w:p>
        </w:tc>
        <w:tc>
          <w:tcPr>
            <w:tcW w:w="789" w:type="dxa"/>
          </w:tcPr>
          <w:p w14:paraId="294F6624" w14:textId="77777777" w:rsidR="00B54D51" w:rsidRPr="00037AD4" w:rsidRDefault="00B54D51" w:rsidP="001A7D5D">
            <w:pPr>
              <w:pStyle w:val="NormalWeb"/>
              <w:rPr>
                <w:rFonts w:asciiTheme="minorHAnsi" w:hAnsiTheme="minorHAnsi" w:cstheme="minorHAnsi"/>
                <w:b/>
                <w:bCs/>
              </w:rPr>
            </w:pPr>
            <w:r w:rsidRPr="00037AD4">
              <w:rPr>
                <w:rFonts w:asciiTheme="minorHAnsi" w:hAnsiTheme="minorHAnsi" w:cstheme="minorHAnsi"/>
                <w:b/>
                <w:bCs/>
              </w:rPr>
              <w:t>NPI</w:t>
            </w:r>
          </w:p>
        </w:tc>
        <w:tc>
          <w:tcPr>
            <w:tcW w:w="964" w:type="dxa"/>
          </w:tcPr>
          <w:p w14:paraId="660E43C6" w14:textId="77777777" w:rsidR="00B54D51" w:rsidRPr="00037AD4" w:rsidRDefault="00B54D51" w:rsidP="001A7D5D">
            <w:pPr>
              <w:pStyle w:val="NormalWeb"/>
              <w:rPr>
                <w:rFonts w:asciiTheme="minorHAnsi" w:hAnsiTheme="minorHAnsi" w:cstheme="minorHAnsi"/>
                <w:b/>
                <w:bCs/>
              </w:rPr>
            </w:pPr>
            <w:r w:rsidRPr="00037AD4">
              <w:rPr>
                <w:rFonts w:asciiTheme="minorHAnsi" w:hAnsiTheme="minorHAnsi" w:cstheme="minorHAnsi"/>
                <w:b/>
                <w:bCs/>
              </w:rPr>
              <w:t>CSDD</w:t>
            </w:r>
          </w:p>
        </w:tc>
        <w:tc>
          <w:tcPr>
            <w:tcW w:w="864" w:type="dxa"/>
          </w:tcPr>
          <w:p w14:paraId="4C4AF4D2" w14:textId="77777777" w:rsidR="00B54D51" w:rsidRPr="00037AD4" w:rsidRDefault="00B54D51" w:rsidP="001A7D5D">
            <w:pPr>
              <w:pStyle w:val="NormalWeb"/>
              <w:rPr>
                <w:rFonts w:asciiTheme="minorHAnsi" w:hAnsiTheme="minorHAnsi" w:cstheme="minorHAnsi"/>
                <w:b/>
                <w:bCs/>
              </w:rPr>
            </w:pPr>
            <w:r w:rsidRPr="00037AD4">
              <w:rPr>
                <w:rFonts w:asciiTheme="minorHAnsi" w:hAnsiTheme="minorHAnsi" w:cstheme="minorHAnsi"/>
                <w:b/>
                <w:bCs/>
              </w:rPr>
              <w:t>GDS</w:t>
            </w:r>
          </w:p>
        </w:tc>
        <w:tc>
          <w:tcPr>
            <w:tcW w:w="922" w:type="dxa"/>
          </w:tcPr>
          <w:p w14:paraId="729EF9B9" w14:textId="77777777" w:rsidR="00B54D51" w:rsidRPr="00037AD4" w:rsidRDefault="00B54D51" w:rsidP="001A7D5D">
            <w:pPr>
              <w:pStyle w:val="NormalWeb"/>
              <w:rPr>
                <w:rFonts w:asciiTheme="minorHAnsi" w:hAnsiTheme="minorHAnsi" w:cstheme="minorHAnsi"/>
                <w:b/>
                <w:bCs/>
              </w:rPr>
            </w:pPr>
            <w:r w:rsidRPr="00037AD4">
              <w:rPr>
                <w:rFonts w:asciiTheme="minorHAnsi" w:hAnsiTheme="minorHAnsi" w:cstheme="minorHAnsi"/>
                <w:b/>
                <w:bCs/>
              </w:rPr>
              <w:t xml:space="preserve">CMAI </w:t>
            </w:r>
          </w:p>
        </w:tc>
      </w:tr>
      <w:tr w:rsidR="00B54D51" w:rsidRPr="00037AD4" w14:paraId="43C52220" w14:textId="77777777" w:rsidTr="0078211D">
        <w:tc>
          <w:tcPr>
            <w:tcW w:w="2432" w:type="dxa"/>
          </w:tcPr>
          <w:p w14:paraId="252D04B0" w14:textId="77777777" w:rsidR="00B54D51" w:rsidRPr="00037AD4" w:rsidRDefault="00B54D51" w:rsidP="001A7D5D">
            <w:pPr>
              <w:pStyle w:val="NormalWeb"/>
              <w:rPr>
                <w:rFonts w:asciiTheme="minorHAnsi" w:hAnsiTheme="minorHAnsi" w:cstheme="minorHAnsi"/>
              </w:rPr>
            </w:pPr>
            <w:r w:rsidRPr="00037AD4">
              <w:rPr>
                <w:rFonts w:asciiTheme="minorHAnsi" w:hAnsiTheme="minorHAnsi" w:cstheme="minorHAnsi"/>
              </w:rPr>
              <w:t xml:space="preserve">Ankri, 2003 </w:t>
            </w:r>
            <w:r>
              <w:rPr>
                <w:rFonts w:asciiTheme="minorHAnsi" w:hAnsiTheme="minorHAnsi" w:cstheme="minorHAnsi"/>
                <w:noProof/>
              </w:rPr>
              <w:t>(Ankri et al., 2003)</w:t>
            </w:r>
          </w:p>
        </w:tc>
        <w:tc>
          <w:tcPr>
            <w:tcW w:w="988" w:type="dxa"/>
          </w:tcPr>
          <w:p w14:paraId="4B199BB8" w14:textId="77777777" w:rsidR="00B54D51" w:rsidRPr="00037AD4" w:rsidRDefault="00B54D51" w:rsidP="001A7D5D">
            <w:pPr>
              <w:pStyle w:val="NormalWeb"/>
              <w:rPr>
                <w:rFonts w:asciiTheme="minorHAnsi" w:hAnsiTheme="minorHAnsi" w:cstheme="minorHAnsi"/>
              </w:rPr>
            </w:pPr>
            <w:r w:rsidRPr="00037AD4">
              <w:rPr>
                <w:rFonts w:ascii="Segoe UI Symbol" w:hAnsi="Segoe UI Symbol" w:cs="Segoe UI Symbol"/>
              </w:rPr>
              <w:t>✓</w:t>
            </w:r>
          </w:p>
        </w:tc>
        <w:tc>
          <w:tcPr>
            <w:tcW w:w="1013" w:type="dxa"/>
          </w:tcPr>
          <w:p w14:paraId="3077BC22" w14:textId="77777777" w:rsidR="00B54D51" w:rsidRPr="00037AD4" w:rsidRDefault="00B54D51" w:rsidP="001A7D5D">
            <w:pPr>
              <w:pStyle w:val="NormalWeb"/>
              <w:rPr>
                <w:rFonts w:asciiTheme="minorHAnsi" w:hAnsiTheme="minorHAnsi" w:cstheme="minorHAnsi"/>
              </w:rPr>
            </w:pPr>
          </w:p>
        </w:tc>
        <w:tc>
          <w:tcPr>
            <w:tcW w:w="930" w:type="dxa"/>
          </w:tcPr>
          <w:p w14:paraId="7C793977" w14:textId="77777777" w:rsidR="00B54D51" w:rsidRPr="00037AD4" w:rsidRDefault="00B54D51" w:rsidP="001A7D5D">
            <w:pPr>
              <w:pStyle w:val="NormalWeb"/>
              <w:rPr>
                <w:rFonts w:asciiTheme="minorHAnsi" w:hAnsiTheme="minorHAnsi" w:cstheme="minorHAnsi"/>
              </w:rPr>
            </w:pPr>
            <w:r w:rsidRPr="00037AD4">
              <w:rPr>
                <w:rFonts w:ascii="Segoe UI Symbol" w:hAnsi="Segoe UI Symbol" w:cs="Segoe UI Symbol"/>
              </w:rPr>
              <w:t>✓</w:t>
            </w:r>
          </w:p>
        </w:tc>
        <w:tc>
          <w:tcPr>
            <w:tcW w:w="1013" w:type="dxa"/>
          </w:tcPr>
          <w:p w14:paraId="519E979F" w14:textId="77777777" w:rsidR="00B54D51" w:rsidRPr="00037AD4" w:rsidRDefault="00B54D51" w:rsidP="001A7D5D">
            <w:pPr>
              <w:pStyle w:val="NormalWeb"/>
              <w:rPr>
                <w:rFonts w:asciiTheme="minorHAnsi" w:hAnsiTheme="minorHAnsi" w:cstheme="minorHAnsi"/>
              </w:rPr>
            </w:pPr>
          </w:p>
        </w:tc>
        <w:tc>
          <w:tcPr>
            <w:tcW w:w="1054" w:type="dxa"/>
          </w:tcPr>
          <w:p w14:paraId="4C2B7F4F" w14:textId="77777777" w:rsidR="00B54D51" w:rsidRPr="00037AD4" w:rsidRDefault="00B54D51" w:rsidP="001A7D5D">
            <w:pPr>
              <w:pStyle w:val="NormalWeb"/>
              <w:rPr>
                <w:rFonts w:asciiTheme="minorHAnsi" w:hAnsiTheme="minorHAnsi" w:cstheme="minorHAnsi"/>
              </w:rPr>
            </w:pPr>
          </w:p>
        </w:tc>
        <w:tc>
          <w:tcPr>
            <w:tcW w:w="1062" w:type="dxa"/>
          </w:tcPr>
          <w:p w14:paraId="3BBFDDA7" w14:textId="77777777" w:rsidR="00B54D51" w:rsidRPr="00037AD4" w:rsidRDefault="00B54D51" w:rsidP="001A7D5D">
            <w:pPr>
              <w:pStyle w:val="NormalWeb"/>
              <w:rPr>
                <w:rFonts w:asciiTheme="minorHAnsi" w:hAnsiTheme="minorHAnsi" w:cstheme="minorHAnsi"/>
              </w:rPr>
            </w:pPr>
          </w:p>
        </w:tc>
        <w:tc>
          <w:tcPr>
            <w:tcW w:w="863" w:type="dxa"/>
          </w:tcPr>
          <w:p w14:paraId="4AA73558" w14:textId="77777777" w:rsidR="00B54D51" w:rsidRPr="00037AD4" w:rsidRDefault="00B54D51" w:rsidP="001A7D5D">
            <w:pPr>
              <w:pStyle w:val="NormalWeb"/>
              <w:rPr>
                <w:rFonts w:asciiTheme="minorHAnsi" w:hAnsiTheme="minorHAnsi" w:cstheme="minorHAnsi"/>
              </w:rPr>
            </w:pPr>
          </w:p>
        </w:tc>
        <w:tc>
          <w:tcPr>
            <w:tcW w:w="1054" w:type="dxa"/>
          </w:tcPr>
          <w:p w14:paraId="0BB65D78" w14:textId="77777777" w:rsidR="00B54D51" w:rsidRPr="00037AD4" w:rsidRDefault="00B54D51" w:rsidP="001A7D5D">
            <w:pPr>
              <w:pStyle w:val="NormalWeb"/>
              <w:rPr>
                <w:rFonts w:asciiTheme="minorHAnsi" w:hAnsiTheme="minorHAnsi" w:cstheme="minorHAnsi"/>
              </w:rPr>
            </w:pPr>
          </w:p>
        </w:tc>
        <w:tc>
          <w:tcPr>
            <w:tcW w:w="789" w:type="dxa"/>
          </w:tcPr>
          <w:p w14:paraId="6E2C78AB" w14:textId="77777777" w:rsidR="00B54D51" w:rsidRPr="00037AD4" w:rsidRDefault="00B54D51" w:rsidP="001A7D5D">
            <w:pPr>
              <w:pStyle w:val="NormalWeb"/>
              <w:rPr>
                <w:rFonts w:asciiTheme="minorHAnsi" w:hAnsiTheme="minorHAnsi" w:cstheme="minorHAnsi"/>
              </w:rPr>
            </w:pPr>
          </w:p>
        </w:tc>
        <w:tc>
          <w:tcPr>
            <w:tcW w:w="964" w:type="dxa"/>
          </w:tcPr>
          <w:p w14:paraId="3B1E1B2D" w14:textId="77777777" w:rsidR="00B54D51" w:rsidRPr="00037AD4" w:rsidRDefault="00B54D51" w:rsidP="001A7D5D">
            <w:pPr>
              <w:pStyle w:val="NormalWeb"/>
              <w:rPr>
                <w:rFonts w:asciiTheme="minorHAnsi" w:hAnsiTheme="minorHAnsi" w:cstheme="minorHAnsi"/>
              </w:rPr>
            </w:pPr>
          </w:p>
        </w:tc>
        <w:tc>
          <w:tcPr>
            <w:tcW w:w="864" w:type="dxa"/>
          </w:tcPr>
          <w:p w14:paraId="0D056C49" w14:textId="77777777" w:rsidR="00B54D51" w:rsidRPr="00037AD4" w:rsidRDefault="00B54D51" w:rsidP="001A7D5D">
            <w:pPr>
              <w:pStyle w:val="NormalWeb"/>
              <w:rPr>
                <w:rFonts w:asciiTheme="minorHAnsi" w:hAnsiTheme="minorHAnsi" w:cstheme="minorHAnsi"/>
              </w:rPr>
            </w:pPr>
          </w:p>
        </w:tc>
        <w:tc>
          <w:tcPr>
            <w:tcW w:w="922" w:type="dxa"/>
          </w:tcPr>
          <w:p w14:paraId="2417E551" w14:textId="77777777" w:rsidR="00B54D51" w:rsidRPr="00037AD4" w:rsidRDefault="00B54D51" w:rsidP="001A7D5D">
            <w:pPr>
              <w:pStyle w:val="NormalWeb"/>
              <w:rPr>
                <w:rFonts w:asciiTheme="minorHAnsi" w:hAnsiTheme="minorHAnsi" w:cstheme="minorHAnsi"/>
              </w:rPr>
            </w:pPr>
          </w:p>
        </w:tc>
      </w:tr>
      <w:tr w:rsidR="00B54D51" w:rsidRPr="00037AD4" w14:paraId="49B509A7" w14:textId="77777777" w:rsidTr="0078211D">
        <w:tc>
          <w:tcPr>
            <w:tcW w:w="2432" w:type="dxa"/>
          </w:tcPr>
          <w:p w14:paraId="7CBB0D53" w14:textId="77777777" w:rsidR="00B54D51" w:rsidRPr="00037AD4" w:rsidRDefault="00B54D51" w:rsidP="001A7D5D">
            <w:pPr>
              <w:pStyle w:val="NormalWeb"/>
              <w:rPr>
                <w:rFonts w:asciiTheme="minorHAnsi" w:hAnsiTheme="minorHAnsi" w:cstheme="minorHAnsi"/>
              </w:rPr>
            </w:pPr>
            <w:r w:rsidRPr="00037AD4">
              <w:rPr>
                <w:rFonts w:asciiTheme="minorHAnsi" w:hAnsiTheme="minorHAnsi" w:cstheme="minorHAnsi"/>
              </w:rPr>
              <w:t xml:space="preserve">Ashizawa, 2021 </w:t>
            </w:r>
            <w:r>
              <w:rPr>
                <w:rFonts w:asciiTheme="minorHAnsi" w:hAnsiTheme="minorHAnsi" w:cstheme="minorHAnsi"/>
                <w:noProof/>
              </w:rPr>
              <w:t>(Ashizawa et al., 2021)</w:t>
            </w:r>
          </w:p>
        </w:tc>
        <w:tc>
          <w:tcPr>
            <w:tcW w:w="988" w:type="dxa"/>
          </w:tcPr>
          <w:p w14:paraId="2EFB11FA" w14:textId="77777777" w:rsidR="00B54D51" w:rsidRPr="00037AD4" w:rsidRDefault="00B54D51" w:rsidP="001A7D5D">
            <w:pPr>
              <w:pStyle w:val="NormalWeb"/>
              <w:rPr>
                <w:rFonts w:asciiTheme="minorHAnsi" w:hAnsiTheme="minorHAnsi" w:cstheme="minorHAnsi"/>
              </w:rPr>
            </w:pPr>
            <w:r w:rsidRPr="00037AD4">
              <w:rPr>
                <w:rFonts w:ascii="Segoe UI Symbol" w:hAnsi="Segoe UI Symbol" w:cs="Segoe UI Symbol"/>
              </w:rPr>
              <w:t>✓</w:t>
            </w:r>
          </w:p>
        </w:tc>
        <w:tc>
          <w:tcPr>
            <w:tcW w:w="1013" w:type="dxa"/>
          </w:tcPr>
          <w:p w14:paraId="70ED8227" w14:textId="77777777" w:rsidR="00B54D51" w:rsidRPr="00037AD4" w:rsidRDefault="00B54D51" w:rsidP="001A7D5D">
            <w:pPr>
              <w:pStyle w:val="NormalWeb"/>
              <w:rPr>
                <w:rFonts w:asciiTheme="minorHAnsi" w:hAnsiTheme="minorHAnsi" w:cstheme="minorHAnsi"/>
              </w:rPr>
            </w:pPr>
          </w:p>
        </w:tc>
        <w:tc>
          <w:tcPr>
            <w:tcW w:w="930" w:type="dxa"/>
          </w:tcPr>
          <w:p w14:paraId="62A7064E" w14:textId="77777777" w:rsidR="00B54D51" w:rsidRPr="00037AD4" w:rsidRDefault="00B54D51" w:rsidP="001A7D5D">
            <w:pPr>
              <w:pStyle w:val="NormalWeb"/>
              <w:rPr>
                <w:rFonts w:asciiTheme="minorHAnsi" w:hAnsiTheme="minorHAnsi" w:cstheme="minorHAnsi"/>
              </w:rPr>
            </w:pPr>
          </w:p>
        </w:tc>
        <w:tc>
          <w:tcPr>
            <w:tcW w:w="1013" w:type="dxa"/>
          </w:tcPr>
          <w:p w14:paraId="3CA9CD28" w14:textId="77777777" w:rsidR="00B54D51" w:rsidRPr="00037AD4" w:rsidRDefault="00B54D51" w:rsidP="001A7D5D">
            <w:pPr>
              <w:pStyle w:val="NormalWeb"/>
              <w:rPr>
                <w:rFonts w:asciiTheme="minorHAnsi" w:hAnsiTheme="minorHAnsi" w:cstheme="minorHAnsi"/>
              </w:rPr>
            </w:pPr>
          </w:p>
        </w:tc>
        <w:tc>
          <w:tcPr>
            <w:tcW w:w="1054" w:type="dxa"/>
          </w:tcPr>
          <w:p w14:paraId="593043CF" w14:textId="77777777" w:rsidR="00B54D51" w:rsidRPr="00037AD4" w:rsidRDefault="00B54D51" w:rsidP="001A7D5D">
            <w:pPr>
              <w:pStyle w:val="NormalWeb"/>
              <w:rPr>
                <w:rFonts w:asciiTheme="minorHAnsi" w:hAnsiTheme="minorHAnsi" w:cstheme="minorHAnsi"/>
              </w:rPr>
            </w:pPr>
            <w:r w:rsidRPr="00037AD4">
              <w:rPr>
                <w:rFonts w:ascii="Segoe UI Symbol" w:hAnsi="Segoe UI Symbol" w:cs="Segoe UI Symbol"/>
              </w:rPr>
              <w:t>✓</w:t>
            </w:r>
          </w:p>
        </w:tc>
        <w:tc>
          <w:tcPr>
            <w:tcW w:w="1062" w:type="dxa"/>
          </w:tcPr>
          <w:p w14:paraId="2BA63298" w14:textId="77777777" w:rsidR="00B54D51" w:rsidRPr="00037AD4" w:rsidRDefault="00B54D51" w:rsidP="001A7D5D">
            <w:pPr>
              <w:pStyle w:val="NormalWeb"/>
              <w:rPr>
                <w:rFonts w:asciiTheme="minorHAnsi" w:hAnsiTheme="minorHAnsi" w:cstheme="minorHAnsi"/>
              </w:rPr>
            </w:pPr>
          </w:p>
        </w:tc>
        <w:tc>
          <w:tcPr>
            <w:tcW w:w="863" w:type="dxa"/>
          </w:tcPr>
          <w:p w14:paraId="21EFB541" w14:textId="77777777" w:rsidR="00B54D51" w:rsidRPr="00037AD4" w:rsidRDefault="00B54D51" w:rsidP="001A7D5D">
            <w:pPr>
              <w:pStyle w:val="NormalWeb"/>
              <w:rPr>
                <w:rFonts w:asciiTheme="minorHAnsi" w:hAnsiTheme="minorHAnsi" w:cstheme="minorHAnsi"/>
              </w:rPr>
            </w:pPr>
          </w:p>
        </w:tc>
        <w:tc>
          <w:tcPr>
            <w:tcW w:w="1054" w:type="dxa"/>
          </w:tcPr>
          <w:p w14:paraId="040955C2" w14:textId="77777777" w:rsidR="00B54D51" w:rsidRPr="00037AD4" w:rsidRDefault="00B54D51" w:rsidP="001A7D5D">
            <w:pPr>
              <w:pStyle w:val="NormalWeb"/>
              <w:rPr>
                <w:rFonts w:asciiTheme="minorHAnsi" w:hAnsiTheme="minorHAnsi" w:cstheme="minorHAnsi"/>
              </w:rPr>
            </w:pPr>
          </w:p>
        </w:tc>
        <w:tc>
          <w:tcPr>
            <w:tcW w:w="789" w:type="dxa"/>
          </w:tcPr>
          <w:p w14:paraId="752BB077" w14:textId="77777777" w:rsidR="00B54D51" w:rsidRPr="00037AD4" w:rsidRDefault="00B54D51" w:rsidP="001A7D5D">
            <w:pPr>
              <w:pStyle w:val="NormalWeb"/>
              <w:rPr>
                <w:rFonts w:asciiTheme="minorHAnsi" w:hAnsiTheme="minorHAnsi" w:cstheme="minorHAnsi"/>
              </w:rPr>
            </w:pPr>
          </w:p>
        </w:tc>
        <w:tc>
          <w:tcPr>
            <w:tcW w:w="964" w:type="dxa"/>
          </w:tcPr>
          <w:p w14:paraId="281DBFE4" w14:textId="77777777" w:rsidR="00B54D51" w:rsidRPr="00037AD4" w:rsidRDefault="00B54D51" w:rsidP="001A7D5D">
            <w:pPr>
              <w:pStyle w:val="NormalWeb"/>
              <w:rPr>
                <w:rFonts w:asciiTheme="minorHAnsi" w:hAnsiTheme="minorHAnsi" w:cstheme="minorHAnsi"/>
              </w:rPr>
            </w:pPr>
          </w:p>
        </w:tc>
        <w:tc>
          <w:tcPr>
            <w:tcW w:w="864" w:type="dxa"/>
          </w:tcPr>
          <w:p w14:paraId="18574EA5" w14:textId="77777777" w:rsidR="00B54D51" w:rsidRPr="00037AD4" w:rsidRDefault="00B54D51" w:rsidP="001A7D5D">
            <w:pPr>
              <w:pStyle w:val="NormalWeb"/>
              <w:rPr>
                <w:rFonts w:asciiTheme="minorHAnsi" w:hAnsiTheme="minorHAnsi" w:cstheme="minorHAnsi"/>
              </w:rPr>
            </w:pPr>
          </w:p>
        </w:tc>
        <w:tc>
          <w:tcPr>
            <w:tcW w:w="922" w:type="dxa"/>
          </w:tcPr>
          <w:p w14:paraId="6870C7FC" w14:textId="77777777" w:rsidR="00B54D51" w:rsidRPr="00037AD4" w:rsidRDefault="00B54D51" w:rsidP="001A7D5D">
            <w:pPr>
              <w:pStyle w:val="NormalWeb"/>
              <w:rPr>
                <w:rFonts w:asciiTheme="minorHAnsi" w:hAnsiTheme="minorHAnsi" w:cstheme="minorHAnsi"/>
              </w:rPr>
            </w:pPr>
          </w:p>
        </w:tc>
      </w:tr>
      <w:tr w:rsidR="00B54D51" w:rsidRPr="00037AD4" w14:paraId="466C3153" w14:textId="77777777" w:rsidTr="0078211D">
        <w:tc>
          <w:tcPr>
            <w:tcW w:w="2432" w:type="dxa"/>
          </w:tcPr>
          <w:p w14:paraId="41403637" w14:textId="77777777" w:rsidR="00B54D51" w:rsidRPr="00037AD4" w:rsidRDefault="00B54D51" w:rsidP="001A7D5D">
            <w:pPr>
              <w:pStyle w:val="NormalWeb"/>
              <w:rPr>
                <w:rFonts w:asciiTheme="minorHAnsi" w:hAnsiTheme="minorHAnsi" w:cstheme="minorHAnsi"/>
              </w:rPr>
            </w:pPr>
            <w:r w:rsidRPr="00037AD4">
              <w:rPr>
                <w:rFonts w:asciiTheme="minorHAnsi" w:hAnsiTheme="minorHAnsi" w:cstheme="minorHAnsi"/>
              </w:rPr>
              <w:t xml:space="preserve">Bhattacharya, 2010 </w:t>
            </w:r>
            <w:r>
              <w:rPr>
                <w:rFonts w:asciiTheme="minorHAnsi" w:hAnsiTheme="minorHAnsi" w:cstheme="minorHAnsi"/>
                <w:noProof/>
              </w:rPr>
              <w:t>(Bhattacharya et al., 2010)</w:t>
            </w:r>
          </w:p>
        </w:tc>
        <w:tc>
          <w:tcPr>
            <w:tcW w:w="988" w:type="dxa"/>
          </w:tcPr>
          <w:p w14:paraId="576CC10F" w14:textId="77777777" w:rsidR="00B54D51" w:rsidRPr="00037AD4" w:rsidRDefault="00B54D51" w:rsidP="001A7D5D">
            <w:pPr>
              <w:pStyle w:val="NormalWeb"/>
              <w:rPr>
                <w:rFonts w:asciiTheme="minorHAnsi" w:hAnsiTheme="minorHAnsi" w:cstheme="minorHAnsi"/>
              </w:rPr>
            </w:pPr>
            <w:r w:rsidRPr="00037AD4">
              <w:rPr>
                <w:rFonts w:ascii="Segoe UI Symbol" w:hAnsi="Segoe UI Symbol" w:cs="Segoe UI Symbol"/>
              </w:rPr>
              <w:t>✓</w:t>
            </w:r>
          </w:p>
        </w:tc>
        <w:tc>
          <w:tcPr>
            <w:tcW w:w="1013" w:type="dxa"/>
          </w:tcPr>
          <w:p w14:paraId="02373791" w14:textId="77777777" w:rsidR="00B54D51" w:rsidRPr="00037AD4" w:rsidRDefault="00B54D51" w:rsidP="001A7D5D">
            <w:pPr>
              <w:pStyle w:val="NormalWeb"/>
              <w:rPr>
                <w:rFonts w:asciiTheme="minorHAnsi" w:hAnsiTheme="minorHAnsi" w:cstheme="minorHAnsi"/>
              </w:rPr>
            </w:pPr>
          </w:p>
        </w:tc>
        <w:tc>
          <w:tcPr>
            <w:tcW w:w="930" w:type="dxa"/>
          </w:tcPr>
          <w:p w14:paraId="1B5B645C" w14:textId="77777777" w:rsidR="00B54D51" w:rsidRPr="00037AD4" w:rsidRDefault="00B54D51" w:rsidP="001A7D5D">
            <w:pPr>
              <w:pStyle w:val="NormalWeb"/>
              <w:rPr>
                <w:rFonts w:asciiTheme="minorHAnsi" w:hAnsiTheme="minorHAnsi" w:cstheme="minorHAnsi"/>
              </w:rPr>
            </w:pPr>
          </w:p>
        </w:tc>
        <w:tc>
          <w:tcPr>
            <w:tcW w:w="1013" w:type="dxa"/>
          </w:tcPr>
          <w:p w14:paraId="1C25D71F" w14:textId="77777777" w:rsidR="00B54D51" w:rsidRPr="00037AD4" w:rsidRDefault="00B54D51" w:rsidP="001A7D5D">
            <w:pPr>
              <w:pStyle w:val="NormalWeb"/>
              <w:rPr>
                <w:rFonts w:asciiTheme="minorHAnsi" w:hAnsiTheme="minorHAnsi" w:cstheme="minorHAnsi"/>
              </w:rPr>
            </w:pPr>
            <w:r w:rsidRPr="00037AD4">
              <w:rPr>
                <w:rFonts w:ascii="Segoe UI Symbol" w:hAnsi="Segoe UI Symbol" w:cs="Segoe UI Symbol"/>
              </w:rPr>
              <w:t>✓</w:t>
            </w:r>
          </w:p>
        </w:tc>
        <w:tc>
          <w:tcPr>
            <w:tcW w:w="1054" w:type="dxa"/>
          </w:tcPr>
          <w:p w14:paraId="72BA857E" w14:textId="77777777" w:rsidR="00B54D51" w:rsidRPr="00037AD4" w:rsidRDefault="00B54D51" w:rsidP="001A7D5D">
            <w:pPr>
              <w:pStyle w:val="NormalWeb"/>
              <w:rPr>
                <w:rFonts w:asciiTheme="minorHAnsi" w:hAnsiTheme="minorHAnsi" w:cstheme="minorHAnsi"/>
              </w:rPr>
            </w:pPr>
          </w:p>
        </w:tc>
        <w:tc>
          <w:tcPr>
            <w:tcW w:w="1062" w:type="dxa"/>
          </w:tcPr>
          <w:p w14:paraId="78A02CAE" w14:textId="77777777" w:rsidR="00B54D51" w:rsidRPr="00037AD4" w:rsidRDefault="00B54D51" w:rsidP="001A7D5D">
            <w:pPr>
              <w:pStyle w:val="NormalWeb"/>
              <w:rPr>
                <w:rFonts w:asciiTheme="minorHAnsi" w:hAnsiTheme="minorHAnsi" w:cstheme="minorHAnsi"/>
              </w:rPr>
            </w:pPr>
          </w:p>
        </w:tc>
        <w:tc>
          <w:tcPr>
            <w:tcW w:w="863" w:type="dxa"/>
          </w:tcPr>
          <w:p w14:paraId="33DEFD6E" w14:textId="77777777" w:rsidR="00B54D51" w:rsidRPr="00037AD4" w:rsidRDefault="00B54D51" w:rsidP="001A7D5D">
            <w:pPr>
              <w:pStyle w:val="NormalWeb"/>
              <w:rPr>
                <w:rFonts w:asciiTheme="minorHAnsi" w:hAnsiTheme="minorHAnsi" w:cstheme="minorHAnsi"/>
              </w:rPr>
            </w:pPr>
          </w:p>
        </w:tc>
        <w:tc>
          <w:tcPr>
            <w:tcW w:w="1054" w:type="dxa"/>
          </w:tcPr>
          <w:p w14:paraId="0CAD464C" w14:textId="77777777" w:rsidR="00B54D51" w:rsidRPr="00037AD4" w:rsidRDefault="00B54D51" w:rsidP="001A7D5D">
            <w:pPr>
              <w:pStyle w:val="NormalWeb"/>
              <w:rPr>
                <w:rFonts w:asciiTheme="minorHAnsi" w:hAnsiTheme="minorHAnsi" w:cstheme="minorHAnsi"/>
              </w:rPr>
            </w:pPr>
          </w:p>
        </w:tc>
        <w:tc>
          <w:tcPr>
            <w:tcW w:w="789" w:type="dxa"/>
          </w:tcPr>
          <w:p w14:paraId="6E6E8336" w14:textId="77777777" w:rsidR="00B54D51" w:rsidRPr="00037AD4" w:rsidRDefault="00B54D51" w:rsidP="001A7D5D">
            <w:pPr>
              <w:pStyle w:val="NormalWeb"/>
              <w:rPr>
                <w:rFonts w:asciiTheme="minorHAnsi" w:hAnsiTheme="minorHAnsi" w:cstheme="minorHAnsi"/>
              </w:rPr>
            </w:pPr>
            <w:r w:rsidRPr="00037AD4">
              <w:rPr>
                <w:rFonts w:ascii="Segoe UI Symbol" w:hAnsi="Segoe UI Symbol" w:cs="Segoe UI Symbol"/>
              </w:rPr>
              <w:t>✓</w:t>
            </w:r>
          </w:p>
        </w:tc>
        <w:tc>
          <w:tcPr>
            <w:tcW w:w="964" w:type="dxa"/>
          </w:tcPr>
          <w:p w14:paraId="20AC91E6" w14:textId="77777777" w:rsidR="00B54D51" w:rsidRPr="00037AD4" w:rsidRDefault="00B54D51" w:rsidP="001A7D5D">
            <w:pPr>
              <w:pStyle w:val="NormalWeb"/>
              <w:rPr>
                <w:rFonts w:asciiTheme="minorHAnsi" w:hAnsiTheme="minorHAnsi" w:cstheme="minorHAnsi"/>
              </w:rPr>
            </w:pPr>
            <w:r w:rsidRPr="00037AD4">
              <w:rPr>
                <w:rFonts w:ascii="Segoe UI Symbol" w:hAnsi="Segoe UI Symbol" w:cs="Segoe UI Symbol"/>
              </w:rPr>
              <w:t>✓</w:t>
            </w:r>
          </w:p>
        </w:tc>
        <w:tc>
          <w:tcPr>
            <w:tcW w:w="864" w:type="dxa"/>
          </w:tcPr>
          <w:p w14:paraId="1765F1F5" w14:textId="77777777" w:rsidR="00B54D51" w:rsidRPr="00037AD4" w:rsidRDefault="00B54D51" w:rsidP="001A7D5D">
            <w:pPr>
              <w:pStyle w:val="NormalWeb"/>
              <w:rPr>
                <w:rFonts w:asciiTheme="minorHAnsi" w:hAnsiTheme="minorHAnsi" w:cstheme="minorHAnsi"/>
              </w:rPr>
            </w:pPr>
          </w:p>
        </w:tc>
        <w:tc>
          <w:tcPr>
            <w:tcW w:w="922" w:type="dxa"/>
          </w:tcPr>
          <w:p w14:paraId="3D000FD5" w14:textId="77777777" w:rsidR="00B54D51" w:rsidRPr="00037AD4" w:rsidRDefault="00B54D51" w:rsidP="001A7D5D">
            <w:pPr>
              <w:pStyle w:val="NormalWeb"/>
              <w:rPr>
                <w:rFonts w:asciiTheme="minorHAnsi" w:hAnsiTheme="minorHAnsi" w:cstheme="minorHAnsi"/>
              </w:rPr>
            </w:pPr>
          </w:p>
        </w:tc>
      </w:tr>
      <w:tr w:rsidR="00B54D51" w:rsidRPr="00037AD4" w14:paraId="2105F7A3" w14:textId="77777777" w:rsidTr="0078211D">
        <w:tc>
          <w:tcPr>
            <w:tcW w:w="2432" w:type="dxa"/>
          </w:tcPr>
          <w:p w14:paraId="3FAD19EA" w14:textId="77777777" w:rsidR="00B54D51" w:rsidRPr="00037AD4" w:rsidRDefault="00B54D51" w:rsidP="001A7D5D">
            <w:pPr>
              <w:pStyle w:val="NormalWeb"/>
              <w:rPr>
                <w:rFonts w:asciiTheme="minorHAnsi" w:hAnsiTheme="minorHAnsi" w:cstheme="minorHAnsi"/>
              </w:rPr>
            </w:pPr>
            <w:r w:rsidRPr="00037AD4">
              <w:rPr>
                <w:rFonts w:asciiTheme="minorHAnsi" w:hAnsiTheme="minorHAnsi" w:cstheme="minorHAnsi"/>
              </w:rPr>
              <w:t xml:space="preserve">Bonfiglio, 2019 </w:t>
            </w:r>
            <w:r>
              <w:rPr>
                <w:rFonts w:asciiTheme="minorHAnsi" w:hAnsiTheme="minorHAnsi" w:cstheme="minorHAnsi"/>
                <w:noProof/>
              </w:rPr>
              <w:t>(Bonfiglio et al., 2019)</w:t>
            </w:r>
          </w:p>
        </w:tc>
        <w:tc>
          <w:tcPr>
            <w:tcW w:w="988" w:type="dxa"/>
          </w:tcPr>
          <w:p w14:paraId="6EC7FAE6" w14:textId="77777777" w:rsidR="00B54D51" w:rsidRPr="00037AD4" w:rsidRDefault="00B54D51" w:rsidP="001A7D5D">
            <w:pPr>
              <w:pStyle w:val="NormalWeb"/>
              <w:rPr>
                <w:rFonts w:asciiTheme="minorHAnsi" w:hAnsiTheme="minorHAnsi" w:cstheme="minorHAnsi"/>
              </w:rPr>
            </w:pPr>
            <w:r w:rsidRPr="00037AD4">
              <w:rPr>
                <w:rFonts w:ascii="Segoe UI Symbol" w:hAnsi="Segoe UI Symbol" w:cs="Segoe UI Symbol"/>
              </w:rPr>
              <w:t>✓</w:t>
            </w:r>
          </w:p>
        </w:tc>
        <w:tc>
          <w:tcPr>
            <w:tcW w:w="1013" w:type="dxa"/>
          </w:tcPr>
          <w:p w14:paraId="08F1420B" w14:textId="77777777" w:rsidR="00B54D51" w:rsidRPr="00037AD4" w:rsidRDefault="00B54D51" w:rsidP="001A7D5D">
            <w:pPr>
              <w:pStyle w:val="NormalWeb"/>
              <w:rPr>
                <w:rFonts w:asciiTheme="minorHAnsi" w:hAnsiTheme="minorHAnsi" w:cstheme="minorHAnsi"/>
              </w:rPr>
            </w:pPr>
          </w:p>
        </w:tc>
        <w:tc>
          <w:tcPr>
            <w:tcW w:w="930" w:type="dxa"/>
          </w:tcPr>
          <w:p w14:paraId="2A7F5678" w14:textId="77777777" w:rsidR="00B54D51" w:rsidRPr="00037AD4" w:rsidRDefault="00B54D51" w:rsidP="001A7D5D">
            <w:pPr>
              <w:pStyle w:val="NormalWeb"/>
              <w:rPr>
                <w:rFonts w:asciiTheme="minorHAnsi" w:hAnsiTheme="minorHAnsi" w:cstheme="minorHAnsi"/>
              </w:rPr>
            </w:pPr>
          </w:p>
        </w:tc>
        <w:tc>
          <w:tcPr>
            <w:tcW w:w="1013" w:type="dxa"/>
          </w:tcPr>
          <w:p w14:paraId="72251574" w14:textId="77777777" w:rsidR="00B54D51" w:rsidRPr="00037AD4" w:rsidRDefault="00B54D51" w:rsidP="001A7D5D">
            <w:pPr>
              <w:pStyle w:val="NormalWeb"/>
              <w:rPr>
                <w:rFonts w:asciiTheme="minorHAnsi" w:hAnsiTheme="minorHAnsi" w:cstheme="minorHAnsi"/>
              </w:rPr>
            </w:pPr>
          </w:p>
        </w:tc>
        <w:tc>
          <w:tcPr>
            <w:tcW w:w="1054" w:type="dxa"/>
          </w:tcPr>
          <w:p w14:paraId="13B4F782" w14:textId="77777777" w:rsidR="00B54D51" w:rsidRPr="00037AD4" w:rsidRDefault="00B54D51" w:rsidP="001A7D5D">
            <w:pPr>
              <w:pStyle w:val="NormalWeb"/>
              <w:rPr>
                <w:rFonts w:asciiTheme="minorHAnsi" w:hAnsiTheme="minorHAnsi" w:cstheme="minorHAnsi"/>
              </w:rPr>
            </w:pPr>
            <w:r w:rsidRPr="00037AD4">
              <w:rPr>
                <w:rFonts w:ascii="Segoe UI Symbol" w:hAnsi="Segoe UI Symbol" w:cs="Segoe UI Symbol"/>
              </w:rPr>
              <w:t>✓</w:t>
            </w:r>
          </w:p>
        </w:tc>
        <w:tc>
          <w:tcPr>
            <w:tcW w:w="1062" w:type="dxa"/>
          </w:tcPr>
          <w:p w14:paraId="2087ED27" w14:textId="77777777" w:rsidR="00B54D51" w:rsidRPr="00037AD4" w:rsidRDefault="00B54D51" w:rsidP="001A7D5D">
            <w:pPr>
              <w:pStyle w:val="NormalWeb"/>
              <w:rPr>
                <w:rFonts w:asciiTheme="minorHAnsi" w:hAnsiTheme="minorHAnsi" w:cstheme="minorHAnsi"/>
              </w:rPr>
            </w:pPr>
            <w:r w:rsidRPr="00037AD4">
              <w:rPr>
                <w:rFonts w:ascii="Segoe UI Symbol" w:hAnsi="Segoe UI Symbol" w:cs="Segoe UI Symbol"/>
              </w:rPr>
              <w:t>✓</w:t>
            </w:r>
          </w:p>
        </w:tc>
        <w:tc>
          <w:tcPr>
            <w:tcW w:w="863" w:type="dxa"/>
          </w:tcPr>
          <w:p w14:paraId="19A1AA1E" w14:textId="77777777" w:rsidR="00B54D51" w:rsidRPr="00037AD4" w:rsidRDefault="00B54D51" w:rsidP="001A7D5D">
            <w:pPr>
              <w:pStyle w:val="NormalWeb"/>
              <w:rPr>
                <w:rFonts w:asciiTheme="minorHAnsi" w:hAnsiTheme="minorHAnsi" w:cstheme="minorHAnsi"/>
              </w:rPr>
            </w:pPr>
          </w:p>
        </w:tc>
        <w:tc>
          <w:tcPr>
            <w:tcW w:w="1054" w:type="dxa"/>
          </w:tcPr>
          <w:p w14:paraId="6A07F62C" w14:textId="77777777" w:rsidR="00B54D51" w:rsidRPr="00037AD4" w:rsidRDefault="00B54D51" w:rsidP="001A7D5D">
            <w:pPr>
              <w:pStyle w:val="NormalWeb"/>
              <w:rPr>
                <w:rFonts w:asciiTheme="minorHAnsi" w:hAnsiTheme="minorHAnsi" w:cstheme="minorHAnsi"/>
              </w:rPr>
            </w:pPr>
          </w:p>
        </w:tc>
        <w:tc>
          <w:tcPr>
            <w:tcW w:w="789" w:type="dxa"/>
          </w:tcPr>
          <w:p w14:paraId="4E7BD571" w14:textId="77777777" w:rsidR="00B54D51" w:rsidRPr="00037AD4" w:rsidRDefault="00B54D51" w:rsidP="001A7D5D">
            <w:pPr>
              <w:pStyle w:val="NormalWeb"/>
              <w:rPr>
                <w:rFonts w:asciiTheme="minorHAnsi" w:hAnsiTheme="minorHAnsi" w:cstheme="minorHAnsi"/>
              </w:rPr>
            </w:pPr>
          </w:p>
        </w:tc>
        <w:tc>
          <w:tcPr>
            <w:tcW w:w="964" w:type="dxa"/>
          </w:tcPr>
          <w:p w14:paraId="7FB8399F" w14:textId="77777777" w:rsidR="00B54D51" w:rsidRPr="00037AD4" w:rsidRDefault="00B54D51" w:rsidP="001A7D5D">
            <w:pPr>
              <w:pStyle w:val="NormalWeb"/>
              <w:rPr>
                <w:rFonts w:asciiTheme="minorHAnsi" w:hAnsiTheme="minorHAnsi" w:cstheme="minorHAnsi"/>
              </w:rPr>
            </w:pPr>
          </w:p>
        </w:tc>
        <w:tc>
          <w:tcPr>
            <w:tcW w:w="864" w:type="dxa"/>
          </w:tcPr>
          <w:p w14:paraId="59878657" w14:textId="77777777" w:rsidR="00B54D51" w:rsidRPr="00037AD4" w:rsidRDefault="00B54D51" w:rsidP="001A7D5D">
            <w:pPr>
              <w:pStyle w:val="NormalWeb"/>
              <w:rPr>
                <w:rFonts w:asciiTheme="minorHAnsi" w:hAnsiTheme="minorHAnsi" w:cstheme="minorHAnsi"/>
              </w:rPr>
            </w:pPr>
            <w:r w:rsidRPr="00037AD4">
              <w:rPr>
                <w:rFonts w:ascii="Segoe UI Symbol" w:hAnsi="Segoe UI Symbol" w:cs="Segoe UI Symbol"/>
              </w:rPr>
              <w:t>✓</w:t>
            </w:r>
          </w:p>
        </w:tc>
        <w:tc>
          <w:tcPr>
            <w:tcW w:w="922" w:type="dxa"/>
          </w:tcPr>
          <w:p w14:paraId="3F39A1EE" w14:textId="77777777" w:rsidR="00B54D51" w:rsidRPr="00037AD4" w:rsidRDefault="00B54D51" w:rsidP="001A7D5D">
            <w:pPr>
              <w:pStyle w:val="NormalWeb"/>
              <w:rPr>
                <w:rFonts w:asciiTheme="minorHAnsi" w:hAnsiTheme="minorHAnsi" w:cstheme="minorHAnsi"/>
              </w:rPr>
            </w:pPr>
          </w:p>
        </w:tc>
      </w:tr>
      <w:tr w:rsidR="00B54D51" w:rsidRPr="00037AD4" w14:paraId="5F33097D" w14:textId="77777777" w:rsidTr="0078211D">
        <w:tc>
          <w:tcPr>
            <w:tcW w:w="2432" w:type="dxa"/>
          </w:tcPr>
          <w:p w14:paraId="7CF9E953" w14:textId="77777777" w:rsidR="00B54D51" w:rsidRPr="00037AD4" w:rsidRDefault="00B54D51" w:rsidP="001A7D5D">
            <w:pPr>
              <w:pStyle w:val="NormalWeb"/>
              <w:rPr>
                <w:rFonts w:asciiTheme="minorHAnsi" w:hAnsiTheme="minorHAnsi" w:cstheme="minorHAnsi"/>
              </w:rPr>
            </w:pPr>
            <w:r w:rsidRPr="00037AD4">
              <w:rPr>
                <w:rFonts w:asciiTheme="minorHAnsi" w:hAnsiTheme="minorHAnsi" w:cstheme="minorHAnsi"/>
              </w:rPr>
              <w:t xml:space="preserve">Bostrom, 2007 </w:t>
            </w:r>
            <w:r>
              <w:rPr>
                <w:rFonts w:asciiTheme="minorHAnsi" w:hAnsiTheme="minorHAnsi" w:cstheme="minorHAnsi"/>
                <w:noProof/>
              </w:rPr>
              <w:t>(Boström et al., 2007)</w:t>
            </w:r>
          </w:p>
        </w:tc>
        <w:tc>
          <w:tcPr>
            <w:tcW w:w="988" w:type="dxa"/>
          </w:tcPr>
          <w:p w14:paraId="1A790F70" w14:textId="77777777" w:rsidR="00B54D51" w:rsidRPr="00037AD4" w:rsidRDefault="00B54D51" w:rsidP="001A7D5D">
            <w:pPr>
              <w:pStyle w:val="NormalWeb"/>
              <w:rPr>
                <w:rFonts w:asciiTheme="minorHAnsi" w:hAnsiTheme="minorHAnsi" w:cstheme="minorHAnsi"/>
              </w:rPr>
            </w:pPr>
          </w:p>
        </w:tc>
        <w:tc>
          <w:tcPr>
            <w:tcW w:w="1013" w:type="dxa"/>
          </w:tcPr>
          <w:p w14:paraId="3151FFF3" w14:textId="77777777" w:rsidR="00B54D51" w:rsidRPr="00037AD4" w:rsidRDefault="00B54D51" w:rsidP="001A7D5D">
            <w:pPr>
              <w:pStyle w:val="NormalWeb"/>
              <w:rPr>
                <w:rFonts w:asciiTheme="minorHAnsi" w:hAnsiTheme="minorHAnsi" w:cstheme="minorHAnsi"/>
              </w:rPr>
            </w:pPr>
            <w:r w:rsidRPr="00037AD4">
              <w:rPr>
                <w:rFonts w:ascii="Segoe UI Symbol" w:hAnsi="Segoe UI Symbol" w:cs="Segoe UI Symbol"/>
              </w:rPr>
              <w:t>✓</w:t>
            </w:r>
          </w:p>
        </w:tc>
        <w:tc>
          <w:tcPr>
            <w:tcW w:w="930" w:type="dxa"/>
          </w:tcPr>
          <w:p w14:paraId="31D4D2F6" w14:textId="77777777" w:rsidR="00B54D51" w:rsidRPr="00037AD4" w:rsidRDefault="00B54D51" w:rsidP="001A7D5D">
            <w:pPr>
              <w:pStyle w:val="NormalWeb"/>
              <w:rPr>
                <w:rFonts w:asciiTheme="minorHAnsi" w:hAnsiTheme="minorHAnsi" w:cstheme="minorHAnsi"/>
              </w:rPr>
            </w:pPr>
          </w:p>
        </w:tc>
        <w:tc>
          <w:tcPr>
            <w:tcW w:w="1013" w:type="dxa"/>
          </w:tcPr>
          <w:p w14:paraId="4CADFE5C" w14:textId="77777777" w:rsidR="00B54D51" w:rsidRPr="00037AD4" w:rsidRDefault="00B54D51" w:rsidP="001A7D5D">
            <w:pPr>
              <w:pStyle w:val="NormalWeb"/>
              <w:rPr>
                <w:rFonts w:asciiTheme="minorHAnsi" w:hAnsiTheme="minorHAnsi" w:cstheme="minorHAnsi"/>
              </w:rPr>
            </w:pPr>
          </w:p>
        </w:tc>
        <w:tc>
          <w:tcPr>
            <w:tcW w:w="1054" w:type="dxa"/>
          </w:tcPr>
          <w:p w14:paraId="4A03E4D7" w14:textId="77777777" w:rsidR="00B54D51" w:rsidRPr="00037AD4" w:rsidRDefault="00B54D51" w:rsidP="001A7D5D">
            <w:pPr>
              <w:pStyle w:val="NormalWeb"/>
              <w:rPr>
                <w:rFonts w:asciiTheme="minorHAnsi" w:hAnsiTheme="minorHAnsi" w:cstheme="minorHAnsi"/>
              </w:rPr>
            </w:pPr>
          </w:p>
        </w:tc>
        <w:tc>
          <w:tcPr>
            <w:tcW w:w="1062" w:type="dxa"/>
          </w:tcPr>
          <w:p w14:paraId="126EE8A5" w14:textId="77777777" w:rsidR="00B54D51" w:rsidRPr="00037AD4" w:rsidRDefault="00B54D51" w:rsidP="001A7D5D">
            <w:pPr>
              <w:pStyle w:val="NormalWeb"/>
              <w:rPr>
                <w:rFonts w:asciiTheme="minorHAnsi" w:hAnsiTheme="minorHAnsi" w:cstheme="minorHAnsi"/>
              </w:rPr>
            </w:pPr>
          </w:p>
        </w:tc>
        <w:tc>
          <w:tcPr>
            <w:tcW w:w="863" w:type="dxa"/>
          </w:tcPr>
          <w:p w14:paraId="43DFC1EE" w14:textId="77777777" w:rsidR="00B54D51" w:rsidRPr="00037AD4" w:rsidRDefault="00B54D51" w:rsidP="001A7D5D">
            <w:pPr>
              <w:pStyle w:val="NormalWeb"/>
              <w:rPr>
                <w:rFonts w:asciiTheme="minorHAnsi" w:hAnsiTheme="minorHAnsi" w:cstheme="minorHAnsi"/>
              </w:rPr>
            </w:pPr>
            <w:r w:rsidRPr="00037AD4">
              <w:rPr>
                <w:rFonts w:ascii="Segoe UI Symbol" w:hAnsi="Segoe UI Symbol" w:cs="Segoe UI Symbol"/>
              </w:rPr>
              <w:t>✓</w:t>
            </w:r>
          </w:p>
        </w:tc>
        <w:tc>
          <w:tcPr>
            <w:tcW w:w="1054" w:type="dxa"/>
          </w:tcPr>
          <w:p w14:paraId="7A1FA5F1" w14:textId="77777777" w:rsidR="00B54D51" w:rsidRPr="00037AD4" w:rsidRDefault="00B54D51" w:rsidP="001A7D5D">
            <w:pPr>
              <w:pStyle w:val="NormalWeb"/>
              <w:rPr>
                <w:rFonts w:asciiTheme="minorHAnsi" w:hAnsiTheme="minorHAnsi" w:cstheme="minorHAnsi"/>
              </w:rPr>
            </w:pPr>
          </w:p>
        </w:tc>
        <w:tc>
          <w:tcPr>
            <w:tcW w:w="789" w:type="dxa"/>
          </w:tcPr>
          <w:p w14:paraId="2B2E10A1" w14:textId="77777777" w:rsidR="00B54D51" w:rsidRPr="00037AD4" w:rsidRDefault="00B54D51" w:rsidP="001A7D5D">
            <w:pPr>
              <w:pStyle w:val="NormalWeb"/>
              <w:rPr>
                <w:rFonts w:asciiTheme="minorHAnsi" w:hAnsiTheme="minorHAnsi" w:cstheme="minorHAnsi"/>
              </w:rPr>
            </w:pPr>
            <w:r w:rsidRPr="00037AD4">
              <w:rPr>
                <w:rFonts w:ascii="Segoe UI Symbol" w:hAnsi="Segoe UI Symbol" w:cs="Segoe UI Symbol"/>
              </w:rPr>
              <w:t>✓</w:t>
            </w:r>
          </w:p>
        </w:tc>
        <w:tc>
          <w:tcPr>
            <w:tcW w:w="964" w:type="dxa"/>
          </w:tcPr>
          <w:p w14:paraId="2140B08E" w14:textId="77777777" w:rsidR="00B54D51" w:rsidRPr="00037AD4" w:rsidRDefault="00B54D51" w:rsidP="001A7D5D">
            <w:pPr>
              <w:pStyle w:val="NormalWeb"/>
              <w:rPr>
                <w:rFonts w:asciiTheme="minorHAnsi" w:hAnsiTheme="minorHAnsi" w:cstheme="minorHAnsi"/>
              </w:rPr>
            </w:pPr>
          </w:p>
        </w:tc>
        <w:tc>
          <w:tcPr>
            <w:tcW w:w="864" w:type="dxa"/>
          </w:tcPr>
          <w:p w14:paraId="49C1F6AD" w14:textId="77777777" w:rsidR="00B54D51" w:rsidRPr="00037AD4" w:rsidRDefault="00B54D51" w:rsidP="001A7D5D">
            <w:pPr>
              <w:pStyle w:val="NormalWeb"/>
              <w:rPr>
                <w:rFonts w:asciiTheme="minorHAnsi" w:hAnsiTheme="minorHAnsi" w:cstheme="minorHAnsi"/>
              </w:rPr>
            </w:pPr>
          </w:p>
        </w:tc>
        <w:tc>
          <w:tcPr>
            <w:tcW w:w="922" w:type="dxa"/>
          </w:tcPr>
          <w:p w14:paraId="31212271" w14:textId="77777777" w:rsidR="00B54D51" w:rsidRPr="00037AD4" w:rsidRDefault="00B54D51" w:rsidP="001A7D5D">
            <w:pPr>
              <w:pStyle w:val="NormalWeb"/>
              <w:rPr>
                <w:rFonts w:asciiTheme="minorHAnsi" w:hAnsiTheme="minorHAnsi" w:cstheme="minorHAnsi"/>
              </w:rPr>
            </w:pPr>
          </w:p>
        </w:tc>
      </w:tr>
      <w:tr w:rsidR="00B54D51" w:rsidRPr="00037AD4" w14:paraId="0B7A0F59" w14:textId="77777777" w:rsidTr="0078211D">
        <w:tc>
          <w:tcPr>
            <w:tcW w:w="2432" w:type="dxa"/>
          </w:tcPr>
          <w:p w14:paraId="43FFE257" w14:textId="77777777" w:rsidR="00B54D51" w:rsidRPr="00037AD4" w:rsidRDefault="00B54D51" w:rsidP="001A7D5D">
            <w:pPr>
              <w:pStyle w:val="NormalWeb"/>
              <w:rPr>
                <w:rFonts w:asciiTheme="minorHAnsi" w:hAnsiTheme="minorHAnsi" w:cstheme="minorHAnsi"/>
              </w:rPr>
            </w:pPr>
            <w:r w:rsidRPr="00037AD4">
              <w:rPr>
                <w:rFonts w:asciiTheme="minorHAnsi" w:hAnsiTheme="minorHAnsi" w:cstheme="minorHAnsi"/>
              </w:rPr>
              <w:t xml:space="preserve">Bryan, 2005 </w:t>
            </w:r>
            <w:r>
              <w:rPr>
                <w:rFonts w:asciiTheme="minorHAnsi" w:hAnsiTheme="minorHAnsi" w:cstheme="minorHAnsi"/>
                <w:noProof/>
              </w:rPr>
              <w:t>(Bryan et al., 2005)</w:t>
            </w:r>
          </w:p>
        </w:tc>
        <w:tc>
          <w:tcPr>
            <w:tcW w:w="988" w:type="dxa"/>
          </w:tcPr>
          <w:p w14:paraId="4A9B0CF4" w14:textId="77777777" w:rsidR="00B54D51" w:rsidRPr="00037AD4" w:rsidRDefault="00B54D51" w:rsidP="001A7D5D">
            <w:pPr>
              <w:pStyle w:val="NormalWeb"/>
              <w:rPr>
                <w:rFonts w:asciiTheme="minorHAnsi" w:hAnsiTheme="minorHAnsi" w:cstheme="minorHAnsi"/>
              </w:rPr>
            </w:pPr>
            <w:r w:rsidRPr="00037AD4">
              <w:rPr>
                <w:rFonts w:ascii="Segoe UI Symbol" w:hAnsi="Segoe UI Symbol" w:cs="Segoe UI Symbol"/>
              </w:rPr>
              <w:t>✓</w:t>
            </w:r>
          </w:p>
        </w:tc>
        <w:tc>
          <w:tcPr>
            <w:tcW w:w="1013" w:type="dxa"/>
          </w:tcPr>
          <w:p w14:paraId="394CD551" w14:textId="77777777" w:rsidR="00B54D51" w:rsidRPr="00037AD4" w:rsidRDefault="00B54D51" w:rsidP="001A7D5D">
            <w:pPr>
              <w:pStyle w:val="NormalWeb"/>
              <w:rPr>
                <w:rFonts w:asciiTheme="minorHAnsi" w:hAnsiTheme="minorHAnsi" w:cstheme="minorHAnsi"/>
              </w:rPr>
            </w:pPr>
          </w:p>
        </w:tc>
        <w:tc>
          <w:tcPr>
            <w:tcW w:w="930" w:type="dxa"/>
          </w:tcPr>
          <w:p w14:paraId="53A054BF" w14:textId="77777777" w:rsidR="00B54D51" w:rsidRPr="00037AD4" w:rsidRDefault="00B54D51" w:rsidP="001A7D5D">
            <w:pPr>
              <w:pStyle w:val="NormalWeb"/>
              <w:rPr>
                <w:rFonts w:asciiTheme="minorHAnsi" w:hAnsiTheme="minorHAnsi" w:cstheme="minorHAnsi"/>
              </w:rPr>
            </w:pPr>
          </w:p>
        </w:tc>
        <w:tc>
          <w:tcPr>
            <w:tcW w:w="1013" w:type="dxa"/>
          </w:tcPr>
          <w:p w14:paraId="48E018CD" w14:textId="77777777" w:rsidR="00B54D51" w:rsidRPr="00037AD4" w:rsidRDefault="00B54D51" w:rsidP="001A7D5D">
            <w:pPr>
              <w:pStyle w:val="NormalWeb"/>
              <w:rPr>
                <w:rFonts w:asciiTheme="minorHAnsi" w:hAnsiTheme="minorHAnsi" w:cstheme="minorHAnsi"/>
              </w:rPr>
            </w:pPr>
          </w:p>
        </w:tc>
        <w:tc>
          <w:tcPr>
            <w:tcW w:w="1054" w:type="dxa"/>
          </w:tcPr>
          <w:p w14:paraId="58243C26" w14:textId="77777777" w:rsidR="00B54D51" w:rsidRPr="00037AD4" w:rsidRDefault="00B54D51" w:rsidP="001A7D5D">
            <w:pPr>
              <w:pStyle w:val="NormalWeb"/>
              <w:rPr>
                <w:rFonts w:asciiTheme="minorHAnsi" w:hAnsiTheme="minorHAnsi" w:cstheme="minorHAnsi"/>
              </w:rPr>
            </w:pPr>
          </w:p>
        </w:tc>
        <w:tc>
          <w:tcPr>
            <w:tcW w:w="1062" w:type="dxa"/>
          </w:tcPr>
          <w:p w14:paraId="0124692E" w14:textId="77777777" w:rsidR="00B54D51" w:rsidRPr="00037AD4" w:rsidRDefault="00B54D51" w:rsidP="001A7D5D">
            <w:pPr>
              <w:pStyle w:val="NormalWeb"/>
              <w:rPr>
                <w:rFonts w:asciiTheme="minorHAnsi" w:hAnsiTheme="minorHAnsi" w:cstheme="minorHAnsi"/>
              </w:rPr>
            </w:pPr>
          </w:p>
        </w:tc>
        <w:tc>
          <w:tcPr>
            <w:tcW w:w="863" w:type="dxa"/>
          </w:tcPr>
          <w:p w14:paraId="6CE3C859" w14:textId="77777777" w:rsidR="00B54D51" w:rsidRPr="00037AD4" w:rsidRDefault="00B54D51" w:rsidP="001A7D5D">
            <w:pPr>
              <w:pStyle w:val="NormalWeb"/>
              <w:rPr>
                <w:rFonts w:asciiTheme="minorHAnsi" w:hAnsiTheme="minorHAnsi" w:cstheme="minorHAnsi"/>
              </w:rPr>
            </w:pPr>
          </w:p>
        </w:tc>
        <w:tc>
          <w:tcPr>
            <w:tcW w:w="1054" w:type="dxa"/>
          </w:tcPr>
          <w:p w14:paraId="7989F8D6" w14:textId="77777777" w:rsidR="00B54D51" w:rsidRPr="00037AD4" w:rsidRDefault="00B54D51" w:rsidP="001A7D5D">
            <w:pPr>
              <w:pStyle w:val="NormalWeb"/>
              <w:rPr>
                <w:rFonts w:asciiTheme="minorHAnsi" w:hAnsiTheme="minorHAnsi" w:cstheme="minorHAnsi"/>
              </w:rPr>
            </w:pPr>
            <w:r w:rsidRPr="00037AD4">
              <w:rPr>
                <w:rFonts w:ascii="Segoe UI Symbol" w:hAnsi="Segoe UI Symbol" w:cs="Segoe UI Symbol"/>
              </w:rPr>
              <w:t>✓</w:t>
            </w:r>
          </w:p>
        </w:tc>
        <w:tc>
          <w:tcPr>
            <w:tcW w:w="789" w:type="dxa"/>
          </w:tcPr>
          <w:p w14:paraId="3D1C34E2" w14:textId="77777777" w:rsidR="00B54D51" w:rsidRPr="00037AD4" w:rsidRDefault="00B54D51" w:rsidP="001A7D5D">
            <w:pPr>
              <w:pStyle w:val="NormalWeb"/>
              <w:rPr>
                <w:rFonts w:asciiTheme="minorHAnsi" w:hAnsiTheme="minorHAnsi" w:cstheme="minorHAnsi"/>
              </w:rPr>
            </w:pPr>
            <w:r w:rsidRPr="00037AD4">
              <w:rPr>
                <w:rFonts w:ascii="Segoe UI Symbol" w:hAnsi="Segoe UI Symbol" w:cs="Segoe UI Symbol"/>
              </w:rPr>
              <w:t>✓</w:t>
            </w:r>
          </w:p>
        </w:tc>
        <w:tc>
          <w:tcPr>
            <w:tcW w:w="964" w:type="dxa"/>
          </w:tcPr>
          <w:p w14:paraId="7E25A7C7" w14:textId="77777777" w:rsidR="00B54D51" w:rsidRPr="00037AD4" w:rsidRDefault="00B54D51" w:rsidP="001A7D5D">
            <w:pPr>
              <w:pStyle w:val="NormalWeb"/>
              <w:rPr>
                <w:rFonts w:asciiTheme="minorHAnsi" w:hAnsiTheme="minorHAnsi" w:cstheme="minorHAnsi"/>
              </w:rPr>
            </w:pPr>
          </w:p>
        </w:tc>
        <w:tc>
          <w:tcPr>
            <w:tcW w:w="864" w:type="dxa"/>
          </w:tcPr>
          <w:p w14:paraId="05A269CB" w14:textId="77777777" w:rsidR="00B54D51" w:rsidRPr="00037AD4" w:rsidRDefault="00B54D51" w:rsidP="001A7D5D">
            <w:pPr>
              <w:pStyle w:val="NormalWeb"/>
              <w:rPr>
                <w:rFonts w:asciiTheme="minorHAnsi" w:hAnsiTheme="minorHAnsi" w:cstheme="minorHAnsi"/>
              </w:rPr>
            </w:pPr>
          </w:p>
        </w:tc>
        <w:tc>
          <w:tcPr>
            <w:tcW w:w="922" w:type="dxa"/>
          </w:tcPr>
          <w:p w14:paraId="42C144D2" w14:textId="77777777" w:rsidR="00B54D51" w:rsidRPr="00037AD4" w:rsidRDefault="00B54D51" w:rsidP="001A7D5D">
            <w:pPr>
              <w:pStyle w:val="NormalWeb"/>
              <w:rPr>
                <w:rFonts w:asciiTheme="minorHAnsi" w:hAnsiTheme="minorHAnsi" w:cstheme="minorHAnsi"/>
              </w:rPr>
            </w:pPr>
          </w:p>
        </w:tc>
      </w:tr>
      <w:tr w:rsidR="00B54D51" w:rsidRPr="00037AD4" w14:paraId="2EA8B342" w14:textId="77777777" w:rsidTr="0078211D">
        <w:tc>
          <w:tcPr>
            <w:tcW w:w="2432" w:type="dxa"/>
          </w:tcPr>
          <w:p w14:paraId="64AB81C0" w14:textId="77777777" w:rsidR="00B54D51" w:rsidRPr="00037AD4" w:rsidRDefault="00B54D51" w:rsidP="001A7D5D">
            <w:pPr>
              <w:pStyle w:val="NormalWeb"/>
              <w:rPr>
                <w:rFonts w:asciiTheme="minorHAnsi" w:hAnsiTheme="minorHAnsi" w:cstheme="minorHAnsi"/>
              </w:rPr>
            </w:pPr>
            <w:r w:rsidRPr="00037AD4">
              <w:rPr>
                <w:rFonts w:asciiTheme="minorHAnsi" w:hAnsiTheme="minorHAnsi" w:cstheme="minorHAnsi"/>
              </w:rPr>
              <w:t xml:space="preserve">Castro-Monteiro, 2014 </w:t>
            </w:r>
            <w:r>
              <w:rPr>
                <w:rFonts w:asciiTheme="minorHAnsi" w:hAnsiTheme="minorHAnsi" w:cstheme="minorHAnsi"/>
                <w:noProof/>
              </w:rPr>
              <w:t>(Castro-Monteiro et al., 2014)</w:t>
            </w:r>
          </w:p>
        </w:tc>
        <w:tc>
          <w:tcPr>
            <w:tcW w:w="988" w:type="dxa"/>
          </w:tcPr>
          <w:p w14:paraId="229D9A56" w14:textId="77777777" w:rsidR="00B54D51" w:rsidRPr="00037AD4" w:rsidRDefault="00B54D51" w:rsidP="001A7D5D">
            <w:pPr>
              <w:pStyle w:val="NormalWeb"/>
              <w:rPr>
                <w:rFonts w:asciiTheme="minorHAnsi" w:hAnsiTheme="minorHAnsi" w:cstheme="minorHAnsi"/>
              </w:rPr>
            </w:pPr>
            <w:r w:rsidRPr="00037AD4">
              <w:rPr>
                <w:rFonts w:ascii="Segoe UI Symbol" w:hAnsi="Segoe UI Symbol" w:cs="Segoe UI Symbol"/>
              </w:rPr>
              <w:t>✓</w:t>
            </w:r>
          </w:p>
        </w:tc>
        <w:tc>
          <w:tcPr>
            <w:tcW w:w="1013" w:type="dxa"/>
          </w:tcPr>
          <w:p w14:paraId="1336AB30" w14:textId="77777777" w:rsidR="00B54D51" w:rsidRPr="00037AD4" w:rsidRDefault="00B54D51" w:rsidP="001A7D5D">
            <w:pPr>
              <w:pStyle w:val="NormalWeb"/>
              <w:rPr>
                <w:rFonts w:asciiTheme="minorHAnsi" w:hAnsiTheme="minorHAnsi" w:cstheme="minorHAnsi"/>
              </w:rPr>
            </w:pPr>
          </w:p>
        </w:tc>
        <w:tc>
          <w:tcPr>
            <w:tcW w:w="930" w:type="dxa"/>
          </w:tcPr>
          <w:p w14:paraId="33521107" w14:textId="77777777" w:rsidR="00B54D51" w:rsidRPr="00037AD4" w:rsidRDefault="00B54D51" w:rsidP="001A7D5D">
            <w:pPr>
              <w:pStyle w:val="NormalWeb"/>
              <w:rPr>
                <w:rFonts w:asciiTheme="minorHAnsi" w:hAnsiTheme="minorHAnsi" w:cstheme="minorHAnsi"/>
              </w:rPr>
            </w:pPr>
          </w:p>
        </w:tc>
        <w:tc>
          <w:tcPr>
            <w:tcW w:w="1013" w:type="dxa"/>
          </w:tcPr>
          <w:p w14:paraId="6E64030C" w14:textId="77777777" w:rsidR="00B54D51" w:rsidRPr="00037AD4" w:rsidRDefault="00B54D51" w:rsidP="001A7D5D">
            <w:pPr>
              <w:pStyle w:val="NormalWeb"/>
              <w:rPr>
                <w:rFonts w:asciiTheme="minorHAnsi" w:hAnsiTheme="minorHAnsi" w:cstheme="minorHAnsi"/>
              </w:rPr>
            </w:pPr>
          </w:p>
        </w:tc>
        <w:tc>
          <w:tcPr>
            <w:tcW w:w="1054" w:type="dxa"/>
          </w:tcPr>
          <w:p w14:paraId="0DD5C478" w14:textId="77777777" w:rsidR="00B54D51" w:rsidRPr="00037AD4" w:rsidRDefault="00B54D51" w:rsidP="001A7D5D">
            <w:pPr>
              <w:pStyle w:val="NormalWeb"/>
              <w:rPr>
                <w:rFonts w:asciiTheme="minorHAnsi" w:hAnsiTheme="minorHAnsi" w:cstheme="minorHAnsi"/>
              </w:rPr>
            </w:pPr>
            <w:r w:rsidRPr="00037AD4">
              <w:rPr>
                <w:rFonts w:ascii="Segoe UI Symbol" w:hAnsi="Segoe UI Symbol" w:cs="Segoe UI Symbol"/>
              </w:rPr>
              <w:t>✓</w:t>
            </w:r>
          </w:p>
        </w:tc>
        <w:tc>
          <w:tcPr>
            <w:tcW w:w="1062" w:type="dxa"/>
          </w:tcPr>
          <w:p w14:paraId="5CDEF2A7" w14:textId="77777777" w:rsidR="00B54D51" w:rsidRPr="00037AD4" w:rsidRDefault="00B54D51" w:rsidP="001A7D5D">
            <w:pPr>
              <w:pStyle w:val="NormalWeb"/>
              <w:rPr>
                <w:rFonts w:asciiTheme="minorHAnsi" w:hAnsiTheme="minorHAnsi" w:cstheme="minorHAnsi"/>
              </w:rPr>
            </w:pPr>
          </w:p>
        </w:tc>
        <w:tc>
          <w:tcPr>
            <w:tcW w:w="863" w:type="dxa"/>
          </w:tcPr>
          <w:p w14:paraId="700FE04F" w14:textId="77777777" w:rsidR="00B54D51" w:rsidRPr="00037AD4" w:rsidRDefault="00B54D51" w:rsidP="001A7D5D">
            <w:pPr>
              <w:pStyle w:val="NormalWeb"/>
              <w:rPr>
                <w:rFonts w:asciiTheme="minorHAnsi" w:hAnsiTheme="minorHAnsi" w:cstheme="minorHAnsi"/>
              </w:rPr>
            </w:pPr>
          </w:p>
        </w:tc>
        <w:tc>
          <w:tcPr>
            <w:tcW w:w="1054" w:type="dxa"/>
          </w:tcPr>
          <w:p w14:paraId="2C1D2944" w14:textId="77777777" w:rsidR="00B54D51" w:rsidRPr="00037AD4" w:rsidRDefault="00B54D51" w:rsidP="001A7D5D">
            <w:pPr>
              <w:pStyle w:val="NormalWeb"/>
              <w:rPr>
                <w:rFonts w:asciiTheme="minorHAnsi" w:hAnsiTheme="minorHAnsi" w:cstheme="minorHAnsi"/>
              </w:rPr>
            </w:pPr>
          </w:p>
        </w:tc>
        <w:tc>
          <w:tcPr>
            <w:tcW w:w="789" w:type="dxa"/>
          </w:tcPr>
          <w:p w14:paraId="75C4E533" w14:textId="77777777" w:rsidR="00B54D51" w:rsidRPr="00037AD4" w:rsidRDefault="00B54D51" w:rsidP="001A7D5D">
            <w:pPr>
              <w:pStyle w:val="NormalWeb"/>
              <w:rPr>
                <w:rFonts w:asciiTheme="minorHAnsi" w:hAnsiTheme="minorHAnsi" w:cstheme="minorHAnsi"/>
              </w:rPr>
            </w:pPr>
          </w:p>
        </w:tc>
        <w:tc>
          <w:tcPr>
            <w:tcW w:w="964" w:type="dxa"/>
          </w:tcPr>
          <w:p w14:paraId="1D99CB04" w14:textId="77777777" w:rsidR="00B54D51" w:rsidRPr="00037AD4" w:rsidRDefault="00B54D51" w:rsidP="001A7D5D">
            <w:pPr>
              <w:pStyle w:val="NormalWeb"/>
              <w:rPr>
                <w:rFonts w:asciiTheme="minorHAnsi" w:hAnsiTheme="minorHAnsi" w:cstheme="minorHAnsi"/>
              </w:rPr>
            </w:pPr>
            <w:r w:rsidRPr="00037AD4">
              <w:rPr>
                <w:rFonts w:ascii="Segoe UI Symbol" w:hAnsi="Segoe UI Symbol" w:cs="Segoe UI Symbol"/>
              </w:rPr>
              <w:t>✓</w:t>
            </w:r>
          </w:p>
        </w:tc>
        <w:tc>
          <w:tcPr>
            <w:tcW w:w="864" w:type="dxa"/>
          </w:tcPr>
          <w:p w14:paraId="300E2B1A" w14:textId="77777777" w:rsidR="00B54D51" w:rsidRPr="00037AD4" w:rsidRDefault="00B54D51" w:rsidP="001A7D5D">
            <w:pPr>
              <w:pStyle w:val="NormalWeb"/>
              <w:rPr>
                <w:rFonts w:asciiTheme="minorHAnsi" w:hAnsiTheme="minorHAnsi" w:cstheme="minorHAnsi"/>
              </w:rPr>
            </w:pPr>
          </w:p>
        </w:tc>
        <w:tc>
          <w:tcPr>
            <w:tcW w:w="922" w:type="dxa"/>
          </w:tcPr>
          <w:p w14:paraId="2A984556" w14:textId="77777777" w:rsidR="00B54D51" w:rsidRPr="00037AD4" w:rsidRDefault="00B54D51" w:rsidP="001A7D5D">
            <w:pPr>
              <w:pStyle w:val="NormalWeb"/>
              <w:rPr>
                <w:rFonts w:asciiTheme="minorHAnsi" w:hAnsiTheme="minorHAnsi" w:cstheme="minorHAnsi"/>
              </w:rPr>
            </w:pPr>
          </w:p>
        </w:tc>
      </w:tr>
      <w:tr w:rsidR="00B54D51" w:rsidRPr="00037AD4" w14:paraId="0E971520" w14:textId="77777777" w:rsidTr="0078211D">
        <w:tc>
          <w:tcPr>
            <w:tcW w:w="2432" w:type="dxa"/>
          </w:tcPr>
          <w:p w14:paraId="18F1BB9A" w14:textId="77777777" w:rsidR="00B54D51" w:rsidRPr="00037AD4" w:rsidRDefault="00B54D51" w:rsidP="001A7D5D">
            <w:pPr>
              <w:pStyle w:val="NormalWeb"/>
              <w:rPr>
                <w:rFonts w:asciiTheme="minorHAnsi" w:hAnsiTheme="minorHAnsi" w:cstheme="minorHAnsi"/>
              </w:rPr>
            </w:pPr>
            <w:r w:rsidRPr="00037AD4">
              <w:rPr>
                <w:rFonts w:asciiTheme="minorHAnsi" w:hAnsiTheme="minorHAnsi" w:cstheme="minorHAnsi"/>
              </w:rPr>
              <w:t xml:space="preserve">Diaz-Redondo, 2014 </w:t>
            </w:r>
            <w:r>
              <w:rPr>
                <w:rFonts w:asciiTheme="minorHAnsi" w:hAnsiTheme="minorHAnsi" w:cstheme="minorHAnsi"/>
                <w:noProof/>
              </w:rPr>
              <w:t>(Diaz‐Redondo et al., 2014)</w:t>
            </w:r>
          </w:p>
        </w:tc>
        <w:tc>
          <w:tcPr>
            <w:tcW w:w="988" w:type="dxa"/>
          </w:tcPr>
          <w:p w14:paraId="0CB6C782" w14:textId="77777777" w:rsidR="00B54D51" w:rsidRPr="00037AD4" w:rsidRDefault="00B54D51" w:rsidP="001A7D5D">
            <w:pPr>
              <w:pStyle w:val="NormalWeb"/>
              <w:rPr>
                <w:rFonts w:asciiTheme="minorHAnsi" w:hAnsiTheme="minorHAnsi" w:cstheme="minorHAnsi"/>
              </w:rPr>
            </w:pPr>
            <w:r w:rsidRPr="00037AD4">
              <w:rPr>
                <w:rFonts w:ascii="Segoe UI Symbol" w:hAnsi="Segoe UI Symbol" w:cs="Segoe UI Symbol"/>
              </w:rPr>
              <w:t>✓</w:t>
            </w:r>
          </w:p>
        </w:tc>
        <w:tc>
          <w:tcPr>
            <w:tcW w:w="1013" w:type="dxa"/>
          </w:tcPr>
          <w:p w14:paraId="5B10816B" w14:textId="77777777" w:rsidR="00B54D51" w:rsidRPr="00037AD4" w:rsidRDefault="00B54D51" w:rsidP="001A7D5D">
            <w:pPr>
              <w:pStyle w:val="NormalWeb"/>
              <w:rPr>
                <w:rFonts w:asciiTheme="minorHAnsi" w:hAnsiTheme="minorHAnsi" w:cstheme="minorHAnsi"/>
              </w:rPr>
            </w:pPr>
          </w:p>
        </w:tc>
        <w:tc>
          <w:tcPr>
            <w:tcW w:w="930" w:type="dxa"/>
          </w:tcPr>
          <w:p w14:paraId="2341D2BE" w14:textId="77777777" w:rsidR="00B54D51" w:rsidRPr="00037AD4" w:rsidRDefault="00B54D51" w:rsidP="001A7D5D">
            <w:pPr>
              <w:pStyle w:val="NormalWeb"/>
              <w:rPr>
                <w:rFonts w:asciiTheme="minorHAnsi" w:hAnsiTheme="minorHAnsi" w:cstheme="minorHAnsi"/>
              </w:rPr>
            </w:pPr>
          </w:p>
        </w:tc>
        <w:tc>
          <w:tcPr>
            <w:tcW w:w="1013" w:type="dxa"/>
          </w:tcPr>
          <w:p w14:paraId="2F3E99F1" w14:textId="77777777" w:rsidR="00B54D51" w:rsidRPr="00037AD4" w:rsidRDefault="00B54D51" w:rsidP="001A7D5D">
            <w:pPr>
              <w:pStyle w:val="NormalWeb"/>
              <w:rPr>
                <w:rFonts w:asciiTheme="minorHAnsi" w:hAnsiTheme="minorHAnsi" w:cstheme="minorHAnsi"/>
              </w:rPr>
            </w:pPr>
          </w:p>
        </w:tc>
        <w:tc>
          <w:tcPr>
            <w:tcW w:w="1054" w:type="dxa"/>
          </w:tcPr>
          <w:p w14:paraId="0FA48101" w14:textId="77777777" w:rsidR="00B54D51" w:rsidRPr="00037AD4" w:rsidRDefault="00B54D51" w:rsidP="001A7D5D">
            <w:pPr>
              <w:pStyle w:val="NormalWeb"/>
              <w:rPr>
                <w:rFonts w:asciiTheme="minorHAnsi" w:hAnsiTheme="minorHAnsi" w:cstheme="minorHAnsi"/>
              </w:rPr>
            </w:pPr>
            <w:r w:rsidRPr="00037AD4">
              <w:rPr>
                <w:rFonts w:ascii="Segoe UI Symbol" w:hAnsi="Segoe UI Symbol" w:cs="Segoe UI Symbol"/>
              </w:rPr>
              <w:t>✓</w:t>
            </w:r>
          </w:p>
        </w:tc>
        <w:tc>
          <w:tcPr>
            <w:tcW w:w="1062" w:type="dxa"/>
          </w:tcPr>
          <w:p w14:paraId="34F5BDA9" w14:textId="77777777" w:rsidR="00B54D51" w:rsidRPr="00037AD4" w:rsidRDefault="00B54D51" w:rsidP="001A7D5D">
            <w:pPr>
              <w:pStyle w:val="NormalWeb"/>
              <w:rPr>
                <w:rFonts w:asciiTheme="minorHAnsi" w:hAnsiTheme="minorHAnsi" w:cstheme="minorHAnsi"/>
              </w:rPr>
            </w:pPr>
          </w:p>
        </w:tc>
        <w:tc>
          <w:tcPr>
            <w:tcW w:w="863" w:type="dxa"/>
          </w:tcPr>
          <w:p w14:paraId="5279BC02" w14:textId="77777777" w:rsidR="00B54D51" w:rsidRPr="00037AD4" w:rsidRDefault="00B54D51" w:rsidP="001A7D5D">
            <w:pPr>
              <w:pStyle w:val="NormalWeb"/>
              <w:rPr>
                <w:rFonts w:asciiTheme="minorHAnsi" w:hAnsiTheme="minorHAnsi" w:cstheme="minorHAnsi"/>
              </w:rPr>
            </w:pPr>
          </w:p>
        </w:tc>
        <w:tc>
          <w:tcPr>
            <w:tcW w:w="1054" w:type="dxa"/>
          </w:tcPr>
          <w:p w14:paraId="232E7ABC" w14:textId="77777777" w:rsidR="00B54D51" w:rsidRPr="00037AD4" w:rsidRDefault="00B54D51" w:rsidP="001A7D5D">
            <w:pPr>
              <w:pStyle w:val="NormalWeb"/>
              <w:rPr>
                <w:rFonts w:asciiTheme="minorHAnsi" w:hAnsiTheme="minorHAnsi" w:cstheme="minorHAnsi"/>
              </w:rPr>
            </w:pPr>
          </w:p>
        </w:tc>
        <w:tc>
          <w:tcPr>
            <w:tcW w:w="789" w:type="dxa"/>
          </w:tcPr>
          <w:p w14:paraId="49274840" w14:textId="77777777" w:rsidR="00B54D51" w:rsidRPr="00037AD4" w:rsidRDefault="00B54D51" w:rsidP="001A7D5D">
            <w:pPr>
              <w:pStyle w:val="NormalWeb"/>
              <w:rPr>
                <w:rFonts w:asciiTheme="minorHAnsi" w:hAnsiTheme="minorHAnsi" w:cstheme="minorHAnsi"/>
              </w:rPr>
            </w:pPr>
          </w:p>
        </w:tc>
        <w:tc>
          <w:tcPr>
            <w:tcW w:w="964" w:type="dxa"/>
          </w:tcPr>
          <w:p w14:paraId="030BA3CF" w14:textId="77777777" w:rsidR="00B54D51" w:rsidRPr="00037AD4" w:rsidRDefault="00B54D51" w:rsidP="001A7D5D">
            <w:pPr>
              <w:pStyle w:val="NormalWeb"/>
              <w:rPr>
                <w:rFonts w:asciiTheme="minorHAnsi" w:hAnsiTheme="minorHAnsi" w:cstheme="minorHAnsi"/>
              </w:rPr>
            </w:pPr>
            <w:r w:rsidRPr="00037AD4">
              <w:rPr>
                <w:rFonts w:ascii="Segoe UI Symbol" w:hAnsi="Segoe UI Symbol" w:cs="Segoe UI Symbol"/>
              </w:rPr>
              <w:t>✓</w:t>
            </w:r>
          </w:p>
        </w:tc>
        <w:tc>
          <w:tcPr>
            <w:tcW w:w="864" w:type="dxa"/>
          </w:tcPr>
          <w:p w14:paraId="7097E688" w14:textId="77777777" w:rsidR="00B54D51" w:rsidRPr="00037AD4" w:rsidRDefault="00B54D51" w:rsidP="001A7D5D">
            <w:pPr>
              <w:pStyle w:val="NormalWeb"/>
              <w:rPr>
                <w:rFonts w:asciiTheme="minorHAnsi" w:hAnsiTheme="minorHAnsi" w:cstheme="minorHAnsi"/>
              </w:rPr>
            </w:pPr>
          </w:p>
        </w:tc>
        <w:tc>
          <w:tcPr>
            <w:tcW w:w="922" w:type="dxa"/>
          </w:tcPr>
          <w:p w14:paraId="0E73E14E" w14:textId="77777777" w:rsidR="00B54D51" w:rsidRPr="00037AD4" w:rsidRDefault="00B54D51" w:rsidP="001A7D5D">
            <w:pPr>
              <w:pStyle w:val="NormalWeb"/>
              <w:rPr>
                <w:rFonts w:asciiTheme="minorHAnsi" w:hAnsiTheme="minorHAnsi" w:cstheme="minorHAnsi"/>
              </w:rPr>
            </w:pPr>
          </w:p>
        </w:tc>
      </w:tr>
      <w:tr w:rsidR="00B54D51" w:rsidRPr="00037AD4" w14:paraId="0B3FC682" w14:textId="77777777" w:rsidTr="0078211D">
        <w:tc>
          <w:tcPr>
            <w:tcW w:w="2432" w:type="dxa"/>
          </w:tcPr>
          <w:p w14:paraId="55123169" w14:textId="77777777" w:rsidR="00B54D51" w:rsidRPr="00037AD4" w:rsidRDefault="00B54D51" w:rsidP="001A7D5D">
            <w:pPr>
              <w:pStyle w:val="NormalWeb"/>
              <w:rPr>
                <w:rFonts w:asciiTheme="minorHAnsi" w:hAnsiTheme="minorHAnsi" w:cstheme="minorHAnsi"/>
              </w:rPr>
            </w:pPr>
            <w:r w:rsidRPr="00037AD4">
              <w:rPr>
                <w:rFonts w:asciiTheme="minorHAnsi" w:hAnsiTheme="minorHAnsi" w:cstheme="minorHAnsi"/>
              </w:rPr>
              <w:t>Easton, 2018</w:t>
            </w:r>
            <w:r>
              <w:rPr>
                <w:rFonts w:asciiTheme="minorHAnsi" w:hAnsiTheme="minorHAnsi" w:cstheme="minorHAnsi"/>
                <w:noProof/>
              </w:rPr>
              <w:t>(Easton et al., 2018)</w:t>
            </w:r>
          </w:p>
        </w:tc>
        <w:tc>
          <w:tcPr>
            <w:tcW w:w="988" w:type="dxa"/>
          </w:tcPr>
          <w:p w14:paraId="35FE593E" w14:textId="77777777" w:rsidR="00B54D51" w:rsidRPr="00037AD4" w:rsidRDefault="00B54D51" w:rsidP="001A7D5D">
            <w:pPr>
              <w:pStyle w:val="NormalWeb"/>
              <w:rPr>
                <w:rFonts w:asciiTheme="minorHAnsi" w:hAnsiTheme="minorHAnsi" w:cstheme="minorHAnsi"/>
              </w:rPr>
            </w:pPr>
          </w:p>
        </w:tc>
        <w:tc>
          <w:tcPr>
            <w:tcW w:w="1013" w:type="dxa"/>
          </w:tcPr>
          <w:p w14:paraId="79B28007" w14:textId="77777777" w:rsidR="00B54D51" w:rsidRPr="00037AD4" w:rsidRDefault="00B54D51" w:rsidP="001A7D5D">
            <w:pPr>
              <w:pStyle w:val="NormalWeb"/>
              <w:rPr>
                <w:rFonts w:asciiTheme="minorHAnsi" w:hAnsiTheme="minorHAnsi" w:cstheme="minorHAnsi"/>
              </w:rPr>
            </w:pPr>
          </w:p>
        </w:tc>
        <w:tc>
          <w:tcPr>
            <w:tcW w:w="930" w:type="dxa"/>
          </w:tcPr>
          <w:p w14:paraId="4FE68AF2" w14:textId="77777777" w:rsidR="00B54D51" w:rsidRPr="00037AD4" w:rsidRDefault="00B54D51" w:rsidP="001A7D5D">
            <w:pPr>
              <w:pStyle w:val="NormalWeb"/>
              <w:rPr>
                <w:rFonts w:asciiTheme="minorHAnsi" w:hAnsiTheme="minorHAnsi" w:cstheme="minorHAnsi"/>
              </w:rPr>
            </w:pPr>
          </w:p>
        </w:tc>
        <w:tc>
          <w:tcPr>
            <w:tcW w:w="1013" w:type="dxa"/>
          </w:tcPr>
          <w:p w14:paraId="5A6D503C" w14:textId="77777777" w:rsidR="00B54D51" w:rsidRPr="00037AD4" w:rsidRDefault="00B54D51" w:rsidP="001A7D5D">
            <w:pPr>
              <w:pStyle w:val="NormalWeb"/>
              <w:rPr>
                <w:rFonts w:asciiTheme="minorHAnsi" w:hAnsiTheme="minorHAnsi" w:cstheme="minorHAnsi"/>
              </w:rPr>
            </w:pPr>
          </w:p>
        </w:tc>
        <w:tc>
          <w:tcPr>
            <w:tcW w:w="1054" w:type="dxa"/>
          </w:tcPr>
          <w:p w14:paraId="2EAC0456" w14:textId="77777777" w:rsidR="00B54D51" w:rsidRPr="00037AD4" w:rsidRDefault="00B54D51" w:rsidP="001A7D5D">
            <w:pPr>
              <w:pStyle w:val="NormalWeb"/>
              <w:rPr>
                <w:rFonts w:asciiTheme="minorHAnsi" w:hAnsiTheme="minorHAnsi" w:cstheme="minorHAnsi"/>
              </w:rPr>
            </w:pPr>
            <w:r w:rsidRPr="00037AD4">
              <w:rPr>
                <w:rFonts w:ascii="Segoe UI Symbol" w:hAnsi="Segoe UI Symbol" w:cs="Segoe UI Symbol"/>
              </w:rPr>
              <w:t>✓</w:t>
            </w:r>
          </w:p>
        </w:tc>
        <w:tc>
          <w:tcPr>
            <w:tcW w:w="1062" w:type="dxa"/>
          </w:tcPr>
          <w:p w14:paraId="182F185C" w14:textId="77777777" w:rsidR="00B54D51" w:rsidRPr="00037AD4" w:rsidRDefault="00B54D51" w:rsidP="001A7D5D">
            <w:pPr>
              <w:pStyle w:val="NormalWeb"/>
              <w:rPr>
                <w:rFonts w:asciiTheme="minorHAnsi" w:hAnsiTheme="minorHAnsi" w:cstheme="minorHAnsi"/>
              </w:rPr>
            </w:pPr>
          </w:p>
        </w:tc>
        <w:tc>
          <w:tcPr>
            <w:tcW w:w="863" w:type="dxa"/>
          </w:tcPr>
          <w:p w14:paraId="61C62EFA" w14:textId="77777777" w:rsidR="00B54D51" w:rsidRPr="00037AD4" w:rsidRDefault="00B54D51" w:rsidP="001A7D5D">
            <w:pPr>
              <w:pStyle w:val="NormalWeb"/>
              <w:rPr>
                <w:rFonts w:asciiTheme="minorHAnsi" w:hAnsiTheme="minorHAnsi" w:cstheme="minorHAnsi"/>
              </w:rPr>
            </w:pPr>
          </w:p>
        </w:tc>
        <w:tc>
          <w:tcPr>
            <w:tcW w:w="1054" w:type="dxa"/>
          </w:tcPr>
          <w:p w14:paraId="0B051772" w14:textId="77777777" w:rsidR="00B54D51" w:rsidRPr="00037AD4" w:rsidRDefault="00B54D51" w:rsidP="001A7D5D">
            <w:pPr>
              <w:pStyle w:val="NormalWeb"/>
              <w:rPr>
                <w:rFonts w:asciiTheme="minorHAnsi" w:hAnsiTheme="minorHAnsi" w:cstheme="minorHAnsi"/>
              </w:rPr>
            </w:pPr>
          </w:p>
        </w:tc>
        <w:tc>
          <w:tcPr>
            <w:tcW w:w="789" w:type="dxa"/>
          </w:tcPr>
          <w:p w14:paraId="5D613619" w14:textId="77777777" w:rsidR="00B54D51" w:rsidRPr="00037AD4" w:rsidRDefault="00B54D51" w:rsidP="001A7D5D">
            <w:pPr>
              <w:pStyle w:val="NormalWeb"/>
              <w:rPr>
                <w:rFonts w:asciiTheme="minorHAnsi" w:hAnsiTheme="minorHAnsi" w:cstheme="minorHAnsi"/>
              </w:rPr>
            </w:pPr>
            <w:r w:rsidRPr="00037AD4">
              <w:rPr>
                <w:rFonts w:ascii="Segoe UI Symbol" w:hAnsi="Segoe UI Symbol" w:cs="Segoe UI Symbol"/>
              </w:rPr>
              <w:t>✓</w:t>
            </w:r>
          </w:p>
        </w:tc>
        <w:tc>
          <w:tcPr>
            <w:tcW w:w="964" w:type="dxa"/>
          </w:tcPr>
          <w:p w14:paraId="75653412" w14:textId="77777777" w:rsidR="00B54D51" w:rsidRPr="00037AD4" w:rsidRDefault="00B54D51" w:rsidP="001A7D5D">
            <w:pPr>
              <w:pStyle w:val="NormalWeb"/>
              <w:rPr>
                <w:rFonts w:asciiTheme="minorHAnsi" w:hAnsiTheme="minorHAnsi" w:cstheme="minorHAnsi"/>
              </w:rPr>
            </w:pPr>
          </w:p>
        </w:tc>
        <w:tc>
          <w:tcPr>
            <w:tcW w:w="864" w:type="dxa"/>
          </w:tcPr>
          <w:p w14:paraId="468B9252" w14:textId="77777777" w:rsidR="00B54D51" w:rsidRPr="00037AD4" w:rsidRDefault="00B54D51" w:rsidP="001A7D5D">
            <w:pPr>
              <w:pStyle w:val="NormalWeb"/>
              <w:rPr>
                <w:rFonts w:asciiTheme="minorHAnsi" w:hAnsiTheme="minorHAnsi" w:cstheme="minorHAnsi"/>
              </w:rPr>
            </w:pPr>
          </w:p>
        </w:tc>
        <w:tc>
          <w:tcPr>
            <w:tcW w:w="922" w:type="dxa"/>
          </w:tcPr>
          <w:p w14:paraId="73793053" w14:textId="77777777" w:rsidR="00B54D51" w:rsidRPr="00037AD4" w:rsidRDefault="00B54D51" w:rsidP="001A7D5D">
            <w:pPr>
              <w:pStyle w:val="NormalWeb"/>
              <w:rPr>
                <w:rFonts w:asciiTheme="minorHAnsi" w:hAnsiTheme="minorHAnsi" w:cstheme="minorHAnsi"/>
              </w:rPr>
            </w:pPr>
          </w:p>
        </w:tc>
      </w:tr>
      <w:tr w:rsidR="00B54D51" w:rsidRPr="00037AD4" w14:paraId="384419B4" w14:textId="77777777" w:rsidTr="0078211D">
        <w:tc>
          <w:tcPr>
            <w:tcW w:w="2432" w:type="dxa"/>
          </w:tcPr>
          <w:p w14:paraId="28AF2180" w14:textId="77777777" w:rsidR="00B54D51" w:rsidRPr="00037AD4" w:rsidRDefault="00B54D51" w:rsidP="001A7D5D">
            <w:pPr>
              <w:pStyle w:val="NormalWeb"/>
              <w:rPr>
                <w:rFonts w:asciiTheme="minorHAnsi" w:hAnsiTheme="minorHAnsi" w:cstheme="minorHAnsi"/>
              </w:rPr>
            </w:pPr>
            <w:r w:rsidRPr="00037AD4">
              <w:rPr>
                <w:rFonts w:asciiTheme="minorHAnsi" w:hAnsiTheme="minorHAnsi" w:cstheme="minorHAnsi"/>
              </w:rPr>
              <w:t xml:space="preserve">Ersek, 2010 </w:t>
            </w:r>
            <w:r>
              <w:rPr>
                <w:rFonts w:asciiTheme="minorHAnsi" w:hAnsiTheme="minorHAnsi" w:cstheme="minorHAnsi"/>
                <w:noProof/>
              </w:rPr>
              <w:t>(Érsek et al., 2010)</w:t>
            </w:r>
          </w:p>
        </w:tc>
        <w:tc>
          <w:tcPr>
            <w:tcW w:w="988" w:type="dxa"/>
          </w:tcPr>
          <w:p w14:paraId="61A4EEC9" w14:textId="77777777" w:rsidR="00B54D51" w:rsidRPr="00037AD4" w:rsidRDefault="00B54D51" w:rsidP="001A7D5D">
            <w:pPr>
              <w:pStyle w:val="NormalWeb"/>
              <w:rPr>
                <w:rFonts w:asciiTheme="minorHAnsi" w:hAnsiTheme="minorHAnsi" w:cstheme="minorHAnsi"/>
              </w:rPr>
            </w:pPr>
            <w:r w:rsidRPr="00037AD4">
              <w:rPr>
                <w:rFonts w:ascii="Segoe UI Symbol" w:hAnsi="Segoe UI Symbol" w:cs="Segoe UI Symbol"/>
              </w:rPr>
              <w:t>✓</w:t>
            </w:r>
          </w:p>
        </w:tc>
        <w:tc>
          <w:tcPr>
            <w:tcW w:w="1013" w:type="dxa"/>
          </w:tcPr>
          <w:p w14:paraId="0F697335" w14:textId="77777777" w:rsidR="00B54D51" w:rsidRPr="00037AD4" w:rsidRDefault="00B54D51" w:rsidP="001A7D5D">
            <w:pPr>
              <w:pStyle w:val="NormalWeb"/>
              <w:rPr>
                <w:rFonts w:asciiTheme="minorHAnsi" w:hAnsiTheme="minorHAnsi" w:cstheme="minorHAnsi"/>
              </w:rPr>
            </w:pPr>
          </w:p>
        </w:tc>
        <w:tc>
          <w:tcPr>
            <w:tcW w:w="930" w:type="dxa"/>
          </w:tcPr>
          <w:p w14:paraId="5B757817" w14:textId="77777777" w:rsidR="00B54D51" w:rsidRPr="00037AD4" w:rsidRDefault="00B54D51" w:rsidP="001A7D5D">
            <w:pPr>
              <w:pStyle w:val="NormalWeb"/>
              <w:rPr>
                <w:rFonts w:asciiTheme="minorHAnsi" w:hAnsiTheme="minorHAnsi" w:cstheme="minorHAnsi"/>
              </w:rPr>
            </w:pPr>
          </w:p>
        </w:tc>
        <w:tc>
          <w:tcPr>
            <w:tcW w:w="1013" w:type="dxa"/>
          </w:tcPr>
          <w:p w14:paraId="448D0144" w14:textId="77777777" w:rsidR="00B54D51" w:rsidRPr="00037AD4" w:rsidRDefault="00B54D51" w:rsidP="001A7D5D">
            <w:pPr>
              <w:pStyle w:val="NormalWeb"/>
              <w:rPr>
                <w:rFonts w:asciiTheme="minorHAnsi" w:hAnsiTheme="minorHAnsi" w:cstheme="minorHAnsi"/>
              </w:rPr>
            </w:pPr>
          </w:p>
        </w:tc>
        <w:tc>
          <w:tcPr>
            <w:tcW w:w="1054" w:type="dxa"/>
          </w:tcPr>
          <w:p w14:paraId="707671A8" w14:textId="77777777" w:rsidR="00B54D51" w:rsidRPr="00037AD4" w:rsidRDefault="00B54D51" w:rsidP="001A7D5D">
            <w:pPr>
              <w:pStyle w:val="NormalWeb"/>
              <w:rPr>
                <w:rFonts w:asciiTheme="minorHAnsi" w:hAnsiTheme="minorHAnsi" w:cstheme="minorHAnsi"/>
              </w:rPr>
            </w:pPr>
          </w:p>
        </w:tc>
        <w:tc>
          <w:tcPr>
            <w:tcW w:w="1062" w:type="dxa"/>
          </w:tcPr>
          <w:p w14:paraId="0AF31FB6" w14:textId="77777777" w:rsidR="00B54D51" w:rsidRPr="00037AD4" w:rsidRDefault="00B54D51" w:rsidP="001A7D5D">
            <w:pPr>
              <w:pStyle w:val="NormalWeb"/>
              <w:rPr>
                <w:rFonts w:asciiTheme="minorHAnsi" w:hAnsiTheme="minorHAnsi" w:cstheme="minorHAnsi"/>
              </w:rPr>
            </w:pPr>
          </w:p>
        </w:tc>
        <w:tc>
          <w:tcPr>
            <w:tcW w:w="863" w:type="dxa"/>
          </w:tcPr>
          <w:p w14:paraId="2C144F54" w14:textId="77777777" w:rsidR="00B54D51" w:rsidRPr="00037AD4" w:rsidRDefault="00B54D51" w:rsidP="001A7D5D">
            <w:pPr>
              <w:pStyle w:val="NormalWeb"/>
              <w:rPr>
                <w:rFonts w:asciiTheme="minorHAnsi" w:hAnsiTheme="minorHAnsi" w:cstheme="minorHAnsi"/>
              </w:rPr>
            </w:pPr>
          </w:p>
        </w:tc>
        <w:tc>
          <w:tcPr>
            <w:tcW w:w="1054" w:type="dxa"/>
          </w:tcPr>
          <w:p w14:paraId="22340490" w14:textId="77777777" w:rsidR="00B54D51" w:rsidRPr="00037AD4" w:rsidRDefault="00B54D51" w:rsidP="001A7D5D">
            <w:pPr>
              <w:pStyle w:val="NormalWeb"/>
              <w:rPr>
                <w:rFonts w:asciiTheme="minorHAnsi" w:hAnsiTheme="minorHAnsi" w:cstheme="minorHAnsi"/>
              </w:rPr>
            </w:pPr>
          </w:p>
        </w:tc>
        <w:tc>
          <w:tcPr>
            <w:tcW w:w="789" w:type="dxa"/>
          </w:tcPr>
          <w:p w14:paraId="409FC0E2" w14:textId="77777777" w:rsidR="00B54D51" w:rsidRPr="00037AD4" w:rsidRDefault="00B54D51" w:rsidP="001A7D5D">
            <w:pPr>
              <w:pStyle w:val="NormalWeb"/>
              <w:rPr>
                <w:rFonts w:asciiTheme="minorHAnsi" w:hAnsiTheme="minorHAnsi" w:cstheme="minorHAnsi"/>
              </w:rPr>
            </w:pPr>
          </w:p>
        </w:tc>
        <w:tc>
          <w:tcPr>
            <w:tcW w:w="964" w:type="dxa"/>
          </w:tcPr>
          <w:p w14:paraId="4BB77D43" w14:textId="77777777" w:rsidR="00B54D51" w:rsidRPr="00037AD4" w:rsidRDefault="00B54D51" w:rsidP="001A7D5D">
            <w:pPr>
              <w:pStyle w:val="NormalWeb"/>
              <w:rPr>
                <w:rFonts w:asciiTheme="minorHAnsi" w:hAnsiTheme="minorHAnsi" w:cstheme="minorHAnsi"/>
              </w:rPr>
            </w:pPr>
          </w:p>
        </w:tc>
        <w:tc>
          <w:tcPr>
            <w:tcW w:w="864" w:type="dxa"/>
          </w:tcPr>
          <w:p w14:paraId="594D410A" w14:textId="77777777" w:rsidR="00B54D51" w:rsidRPr="00037AD4" w:rsidRDefault="00B54D51" w:rsidP="001A7D5D">
            <w:pPr>
              <w:pStyle w:val="NormalWeb"/>
              <w:rPr>
                <w:rFonts w:asciiTheme="minorHAnsi" w:hAnsiTheme="minorHAnsi" w:cstheme="minorHAnsi"/>
              </w:rPr>
            </w:pPr>
          </w:p>
        </w:tc>
        <w:tc>
          <w:tcPr>
            <w:tcW w:w="922" w:type="dxa"/>
          </w:tcPr>
          <w:p w14:paraId="03C50456" w14:textId="77777777" w:rsidR="00B54D51" w:rsidRPr="00037AD4" w:rsidRDefault="00B54D51" w:rsidP="001A7D5D">
            <w:pPr>
              <w:pStyle w:val="NormalWeb"/>
              <w:rPr>
                <w:rFonts w:asciiTheme="minorHAnsi" w:hAnsiTheme="minorHAnsi" w:cstheme="minorHAnsi"/>
              </w:rPr>
            </w:pPr>
          </w:p>
        </w:tc>
      </w:tr>
      <w:tr w:rsidR="00B54D51" w:rsidRPr="00037AD4" w14:paraId="353268D1" w14:textId="77777777" w:rsidTr="0078211D">
        <w:tc>
          <w:tcPr>
            <w:tcW w:w="2432" w:type="dxa"/>
          </w:tcPr>
          <w:p w14:paraId="279AECA7" w14:textId="77777777" w:rsidR="00B54D51" w:rsidRPr="00037AD4" w:rsidRDefault="00B54D51" w:rsidP="001A7D5D">
            <w:pPr>
              <w:pStyle w:val="NormalWeb"/>
              <w:rPr>
                <w:rFonts w:asciiTheme="minorHAnsi" w:hAnsiTheme="minorHAnsi" w:cstheme="minorHAnsi"/>
              </w:rPr>
            </w:pPr>
            <w:r w:rsidRPr="00037AD4">
              <w:rPr>
                <w:rFonts w:asciiTheme="minorHAnsi" w:hAnsiTheme="minorHAnsi" w:cstheme="minorHAnsi"/>
              </w:rPr>
              <w:t xml:space="preserve">Farina, 2020 </w:t>
            </w:r>
            <w:r>
              <w:rPr>
                <w:rFonts w:asciiTheme="minorHAnsi" w:hAnsiTheme="minorHAnsi" w:cstheme="minorHAnsi"/>
                <w:noProof/>
              </w:rPr>
              <w:t>(Farina et al., 2020)</w:t>
            </w:r>
          </w:p>
        </w:tc>
        <w:tc>
          <w:tcPr>
            <w:tcW w:w="988" w:type="dxa"/>
          </w:tcPr>
          <w:p w14:paraId="7D758979" w14:textId="77777777" w:rsidR="00B54D51" w:rsidRPr="00037AD4" w:rsidRDefault="00B54D51" w:rsidP="001A7D5D">
            <w:pPr>
              <w:pStyle w:val="NormalWeb"/>
              <w:rPr>
                <w:rFonts w:asciiTheme="minorHAnsi" w:hAnsiTheme="minorHAnsi" w:cstheme="minorHAnsi"/>
              </w:rPr>
            </w:pPr>
            <w:r w:rsidRPr="00037AD4">
              <w:rPr>
                <w:rFonts w:ascii="Segoe UI Symbol" w:hAnsi="Segoe UI Symbol" w:cs="Segoe UI Symbol"/>
              </w:rPr>
              <w:t>✓</w:t>
            </w:r>
          </w:p>
        </w:tc>
        <w:tc>
          <w:tcPr>
            <w:tcW w:w="1013" w:type="dxa"/>
          </w:tcPr>
          <w:p w14:paraId="2127D9C0" w14:textId="77777777" w:rsidR="00B54D51" w:rsidRPr="00037AD4" w:rsidRDefault="00B54D51" w:rsidP="001A7D5D">
            <w:pPr>
              <w:pStyle w:val="NormalWeb"/>
              <w:rPr>
                <w:rFonts w:asciiTheme="minorHAnsi" w:hAnsiTheme="minorHAnsi" w:cstheme="minorHAnsi"/>
              </w:rPr>
            </w:pPr>
          </w:p>
        </w:tc>
        <w:tc>
          <w:tcPr>
            <w:tcW w:w="930" w:type="dxa"/>
          </w:tcPr>
          <w:p w14:paraId="10D958B8" w14:textId="77777777" w:rsidR="00B54D51" w:rsidRPr="00037AD4" w:rsidRDefault="00B54D51" w:rsidP="001A7D5D">
            <w:pPr>
              <w:pStyle w:val="NormalWeb"/>
              <w:rPr>
                <w:rFonts w:asciiTheme="minorHAnsi" w:hAnsiTheme="minorHAnsi" w:cstheme="minorHAnsi"/>
              </w:rPr>
            </w:pPr>
          </w:p>
        </w:tc>
        <w:tc>
          <w:tcPr>
            <w:tcW w:w="1013" w:type="dxa"/>
          </w:tcPr>
          <w:p w14:paraId="7D2D46A2" w14:textId="77777777" w:rsidR="00B54D51" w:rsidRPr="00037AD4" w:rsidRDefault="00B54D51" w:rsidP="001A7D5D">
            <w:pPr>
              <w:pStyle w:val="NormalWeb"/>
              <w:rPr>
                <w:rFonts w:asciiTheme="minorHAnsi" w:hAnsiTheme="minorHAnsi" w:cstheme="minorHAnsi"/>
              </w:rPr>
            </w:pPr>
          </w:p>
        </w:tc>
        <w:tc>
          <w:tcPr>
            <w:tcW w:w="1054" w:type="dxa"/>
          </w:tcPr>
          <w:p w14:paraId="4CFBB31B" w14:textId="77777777" w:rsidR="00B54D51" w:rsidRPr="00037AD4" w:rsidRDefault="00B54D51" w:rsidP="001A7D5D">
            <w:pPr>
              <w:pStyle w:val="NormalWeb"/>
              <w:rPr>
                <w:rFonts w:asciiTheme="minorHAnsi" w:hAnsiTheme="minorHAnsi" w:cstheme="minorHAnsi"/>
              </w:rPr>
            </w:pPr>
          </w:p>
        </w:tc>
        <w:tc>
          <w:tcPr>
            <w:tcW w:w="1062" w:type="dxa"/>
          </w:tcPr>
          <w:p w14:paraId="6F12EF31" w14:textId="77777777" w:rsidR="00B54D51" w:rsidRPr="00037AD4" w:rsidRDefault="00B54D51" w:rsidP="001A7D5D">
            <w:pPr>
              <w:pStyle w:val="NormalWeb"/>
              <w:rPr>
                <w:rFonts w:asciiTheme="minorHAnsi" w:hAnsiTheme="minorHAnsi" w:cstheme="minorHAnsi"/>
              </w:rPr>
            </w:pPr>
          </w:p>
        </w:tc>
        <w:tc>
          <w:tcPr>
            <w:tcW w:w="863" w:type="dxa"/>
          </w:tcPr>
          <w:p w14:paraId="446F2994" w14:textId="77777777" w:rsidR="00B54D51" w:rsidRPr="00037AD4" w:rsidRDefault="00B54D51" w:rsidP="001A7D5D">
            <w:pPr>
              <w:pStyle w:val="NormalWeb"/>
              <w:rPr>
                <w:rFonts w:asciiTheme="minorHAnsi" w:hAnsiTheme="minorHAnsi" w:cstheme="minorHAnsi"/>
              </w:rPr>
            </w:pPr>
          </w:p>
        </w:tc>
        <w:tc>
          <w:tcPr>
            <w:tcW w:w="1054" w:type="dxa"/>
          </w:tcPr>
          <w:p w14:paraId="779AF97D" w14:textId="77777777" w:rsidR="00B54D51" w:rsidRPr="00037AD4" w:rsidRDefault="00B54D51" w:rsidP="001A7D5D">
            <w:pPr>
              <w:pStyle w:val="NormalWeb"/>
              <w:rPr>
                <w:rFonts w:asciiTheme="minorHAnsi" w:hAnsiTheme="minorHAnsi" w:cstheme="minorHAnsi"/>
              </w:rPr>
            </w:pPr>
          </w:p>
        </w:tc>
        <w:tc>
          <w:tcPr>
            <w:tcW w:w="789" w:type="dxa"/>
          </w:tcPr>
          <w:p w14:paraId="0F6231BD" w14:textId="77777777" w:rsidR="00B54D51" w:rsidRPr="00037AD4" w:rsidRDefault="00B54D51" w:rsidP="001A7D5D">
            <w:pPr>
              <w:pStyle w:val="NormalWeb"/>
              <w:rPr>
                <w:rFonts w:asciiTheme="minorHAnsi" w:hAnsiTheme="minorHAnsi" w:cstheme="minorHAnsi"/>
              </w:rPr>
            </w:pPr>
            <w:r w:rsidRPr="00037AD4">
              <w:rPr>
                <w:rFonts w:ascii="Segoe UI Symbol" w:hAnsi="Segoe UI Symbol" w:cs="Segoe UI Symbol"/>
              </w:rPr>
              <w:t>✓</w:t>
            </w:r>
          </w:p>
        </w:tc>
        <w:tc>
          <w:tcPr>
            <w:tcW w:w="964" w:type="dxa"/>
          </w:tcPr>
          <w:p w14:paraId="451AE6EB" w14:textId="77777777" w:rsidR="00B54D51" w:rsidRPr="00037AD4" w:rsidRDefault="00B54D51" w:rsidP="001A7D5D">
            <w:pPr>
              <w:pStyle w:val="NormalWeb"/>
              <w:rPr>
                <w:rFonts w:asciiTheme="minorHAnsi" w:hAnsiTheme="minorHAnsi" w:cstheme="minorHAnsi"/>
              </w:rPr>
            </w:pPr>
          </w:p>
        </w:tc>
        <w:tc>
          <w:tcPr>
            <w:tcW w:w="864" w:type="dxa"/>
          </w:tcPr>
          <w:p w14:paraId="3419953F" w14:textId="77777777" w:rsidR="00B54D51" w:rsidRPr="00037AD4" w:rsidRDefault="00B54D51" w:rsidP="001A7D5D">
            <w:pPr>
              <w:pStyle w:val="NormalWeb"/>
              <w:rPr>
                <w:rFonts w:asciiTheme="minorHAnsi" w:hAnsiTheme="minorHAnsi" w:cstheme="minorHAnsi"/>
              </w:rPr>
            </w:pPr>
          </w:p>
        </w:tc>
        <w:tc>
          <w:tcPr>
            <w:tcW w:w="922" w:type="dxa"/>
          </w:tcPr>
          <w:p w14:paraId="547F5D7D" w14:textId="77777777" w:rsidR="00B54D51" w:rsidRPr="00037AD4" w:rsidRDefault="00B54D51" w:rsidP="001A7D5D">
            <w:pPr>
              <w:pStyle w:val="NormalWeb"/>
              <w:rPr>
                <w:rFonts w:asciiTheme="minorHAnsi" w:hAnsiTheme="minorHAnsi" w:cstheme="minorHAnsi"/>
              </w:rPr>
            </w:pPr>
          </w:p>
        </w:tc>
      </w:tr>
      <w:tr w:rsidR="00B54D51" w:rsidRPr="00037AD4" w14:paraId="060BEF74" w14:textId="77777777" w:rsidTr="0078211D">
        <w:tc>
          <w:tcPr>
            <w:tcW w:w="2432" w:type="dxa"/>
          </w:tcPr>
          <w:p w14:paraId="69EBDCAF" w14:textId="77777777" w:rsidR="00B54D51" w:rsidRPr="00037AD4" w:rsidRDefault="00B54D51" w:rsidP="001A7D5D">
            <w:pPr>
              <w:pStyle w:val="NormalWeb"/>
              <w:rPr>
                <w:rFonts w:asciiTheme="minorHAnsi" w:hAnsiTheme="minorHAnsi" w:cstheme="minorHAnsi"/>
              </w:rPr>
            </w:pPr>
            <w:r w:rsidRPr="00037AD4">
              <w:rPr>
                <w:rFonts w:asciiTheme="minorHAnsi" w:hAnsiTheme="minorHAnsi" w:cstheme="minorHAnsi"/>
              </w:rPr>
              <w:lastRenderedPageBreak/>
              <w:t xml:space="preserve">Garre-Olmo, 2017 </w:t>
            </w:r>
            <w:r>
              <w:rPr>
                <w:rFonts w:asciiTheme="minorHAnsi" w:hAnsiTheme="minorHAnsi" w:cstheme="minorHAnsi"/>
                <w:noProof/>
              </w:rPr>
              <w:t>(Garre-Olmo et al., 2017)</w:t>
            </w:r>
          </w:p>
        </w:tc>
        <w:tc>
          <w:tcPr>
            <w:tcW w:w="988" w:type="dxa"/>
          </w:tcPr>
          <w:p w14:paraId="187E1FB6" w14:textId="77777777" w:rsidR="00B54D51" w:rsidRPr="00037AD4" w:rsidRDefault="00B54D51" w:rsidP="001A7D5D">
            <w:pPr>
              <w:pStyle w:val="NormalWeb"/>
              <w:rPr>
                <w:rFonts w:asciiTheme="minorHAnsi" w:hAnsiTheme="minorHAnsi" w:cstheme="minorHAnsi"/>
              </w:rPr>
            </w:pPr>
            <w:r w:rsidRPr="00037AD4">
              <w:rPr>
                <w:rFonts w:ascii="Segoe UI Symbol" w:hAnsi="Segoe UI Symbol" w:cs="Segoe UI Symbol"/>
              </w:rPr>
              <w:t>✓</w:t>
            </w:r>
          </w:p>
        </w:tc>
        <w:tc>
          <w:tcPr>
            <w:tcW w:w="1013" w:type="dxa"/>
          </w:tcPr>
          <w:p w14:paraId="39933F71" w14:textId="77777777" w:rsidR="00B54D51" w:rsidRPr="00037AD4" w:rsidRDefault="00B54D51" w:rsidP="001A7D5D">
            <w:pPr>
              <w:pStyle w:val="NormalWeb"/>
              <w:rPr>
                <w:rFonts w:asciiTheme="minorHAnsi" w:hAnsiTheme="minorHAnsi" w:cstheme="minorHAnsi"/>
              </w:rPr>
            </w:pPr>
          </w:p>
        </w:tc>
        <w:tc>
          <w:tcPr>
            <w:tcW w:w="930" w:type="dxa"/>
          </w:tcPr>
          <w:p w14:paraId="60F59FF9" w14:textId="77777777" w:rsidR="00B54D51" w:rsidRPr="00037AD4" w:rsidRDefault="00B54D51" w:rsidP="001A7D5D">
            <w:pPr>
              <w:pStyle w:val="NormalWeb"/>
              <w:rPr>
                <w:rFonts w:asciiTheme="minorHAnsi" w:hAnsiTheme="minorHAnsi" w:cstheme="minorHAnsi"/>
              </w:rPr>
            </w:pPr>
          </w:p>
        </w:tc>
        <w:tc>
          <w:tcPr>
            <w:tcW w:w="1013" w:type="dxa"/>
          </w:tcPr>
          <w:p w14:paraId="4A071010" w14:textId="77777777" w:rsidR="00B54D51" w:rsidRPr="00037AD4" w:rsidRDefault="00B54D51" w:rsidP="001A7D5D">
            <w:pPr>
              <w:pStyle w:val="NormalWeb"/>
              <w:rPr>
                <w:rFonts w:asciiTheme="minorHAnsi" w:hAnsiTheme="minorHAnsi" w:cstheme="minorHAnsi"/>
              </w:rPr>
            </w:pPr>
          </w:p>
        </w:tc>
        <w:tc>
          <w:tcPr>
            <w:tcW w:w="1054" w:type="dxa"/>
          </w:tcPr>
          <w:p w14:paraId="0C001247" w14:textId="77777777" w:rsidR="00B54D51" w:rsidRPr="00037AD4" w:rsidRDefault="00B54D51" w:rsidP="001A7D5D">
            <w:pPr>
              <w:pStyle w:val="NormalWeb"/>
              <w:rPr>
                <w:rFonts w:asciiTheme="minorHAnsi" w:hAnsiTheme="minorHAnsi" w:cstheme="minorHAnsi"/>
              </w:rPr>
            </w:pPr>
          </w:p>
        </w:tc>
        <w:tc>
          <w:tcPr>
            <w:tcW w:w="1062" w:type="dxa"/>
          </w:tcPr>
          <w:p w14:paraId="79C9E6CF" w14:textId="77777777" w:rsidR="00B54D51" w:rsidRPr="00037AD4" w:rsidRDefault="00B54D51" w:rsidP="001A7D5D">
            <w:pPr>
              <w:pStyle w:val="NormalWeb"/>
              <w:rPr>
                <w:rFonts w:asciiTheme="minorHAnsi" w:hAnsiTheme="minorHAnsi" w:cstheme="minorHAnsi"/>
              </w:rPr>
            </w:pPr>
          </w:p>
        </w:tc>
        <w:tc>
          <w:tcPr>
            <w:tcW w:w="863" w:type="dxa"/>
          </w:tcPr>
          <w:p w14:paraId="51A89C2B" w14:textId="77777777" w:rsidR="00B54D51" w:rsidRPr="00037AD4" w:rsidRDefault="00B54D51" w:rsidP="001A7D5D">
            <w:pPr>
              <w:pStyle w:val="NormalWeb"/>
              <w:rPr>
                <w:rFonts w:asciiTheme="minorHAnsi" w:hAnsiTheme="minorHAnsi" w:cstheme="minorHAnsi"/>
              </w:rPr>
            </w:pPr>
            <w:r w:rsidRPr="00037AD4">
              <w:rPr>
                <w:rFonts w:ascii="Segoe UI Symbol" w:hAnsi="Segoe UI Symbol" w:cs="Segoe UI Symbol"/>
              </w:rPr>
              <w:t>✓</w:t>
            </w:r>
          </w:p>
        </w:tc>
        <w:tc>
          <w:tcPr>
            <w:tcW w:w="1054" w:type="dxa"/>
          </w:tcPr>
          <w:p w14:paraId="4C7BF8F5" w14:textId="77777777" w:rsidR="00B54D51" w:rsidRPr="00037AD4" w:rsidRDefault="00B54D51" w:rsidP="001A7D5D">
            <w:pPr>
              <w:pStyle w:val="NormalWeb"/>
              <w:rPr>
                <w:rFonts w:asciiTheme="minorHAnsi" w:hAnsiTheme="minorHAnsi" w:cstheme="minorHAnsi"/>
              </w:rPr>
            </w:pPr>
          </w:p>
        </w:tc>
        <w:tc>
          <w:tcPr>
            <w:tcW w:w="789" w:type="dxa"/>
          </w:tcPr>
          <w:p w14:paraId="4B0AB8F4" w14:textId="77777777" w:rsidR="00B54D51" w:rsidRPr="00037AD4" w:rsidRDefault="00B54D51" w:rsidP="001A7D5D">
            <w:pPr>
              <w:pStyle w:val="NormalWeb"/>
              <w:rPr>
                <w:rFonts w:asciiTheme="minorHAnsi" w:hAnsiTheme="minorHAnsi" w:cstheme="minorHAnsi"/>
              </w:rPr>
            </w:pPr>
            <w:r w:rsidRPr="00037AD4">
              <w:rPr>
                <w:rFonts w:ascii="Segoe UI Symbol" w:hAnsi="Segoe UI Symbol" w:cs="Segoe UI Symbol"/>
              </w:rPr>
              <w:t>✓</w:t>
            </w:r>
          </w:p>
        </w:tc>
        <w:tc>
          <w:tcPr>
            <w:tcW w:w="964" w:type="dxa"/>
          </w:tcPr>
          <w:p w14:paraId="75663C55" w14:textId="77777777" w:rsidR="00B54D51" w:rsidRPr="00037AD4" w:rsidRDefault="00B54D51" w:rsidP="001A7D5D">
            <w:pPr>
              <w:pStyle w:val="NormalWeb"/>
              <w:rPr>
                <w:rFonts w:asciiTheme="minorHAnsi" w:hAnsiTheme="minorHAnsi" w:cstheme="minorHAnsi"/>
              </w:rPr>
            </w:pPr>
          </w:p>
        </w:tc>
        <w:tc>
          <w:tcPr>
            <w:tcW w:w="864" w:type="dxa"/>
          </w:tcPr>
          <w:p w14:paraId="6E2584F5" w14:textId="77777777" w:rsidR="00B54D51" w:rsidRPr="00037AD4" w:rsidRDefault="00B54D51" w:rsidP="001A7D5D">
            <w:pPr>
              <w:pStyle w:val="NormalWeb"/>
              <w:rPr>
                <w:rFonts w:asciiTheme="minorHAnsi" w:hAnsiTheme="minorHAnsi" w:cstheme="minorHAnsi"/>
              </w:rPr>
            </w:pPr>
          </w:p>
        </w:tc>
        <w:tc>
          <w:tcPr>
            <w:tcW w:w="922" w:type="dxa"/>
          </w:tcPr>
          <w:p w14:paraId="306AA36A" w14:textId="77777777" w:rsidR="00B54D51" w:rsidRPr="00037AD4" w:rsidRDefault="00B54D51" w:rsidP="001A7D5D">
            <w:pPr>
              <w:pStyle w:val="NormalWeb"/>
              <w:rPr>
                <w:rFonts w:asciiTheme="minorHAnsi" w:hAnsiTheme="minorHAnsi" w:cstheme="minorHAnsi"/>
              </w:rPr>
            </w:pPr>
          </w:p>
        </w:tc>
      </w:tr>
      <w:tr w:rsidR="00B54D51" w:rsidRPr="00037AD4" w14:paraId="6EAA913B" w14:textId="77777777" w:rsidTr="0078211D">
        <w:tc>
          <w:tcPr>
            <w:tcW w:w="2432" w:type="dxa"/>
          </w:tcPr>
          <w:p w14:paraId="12EDF5BB" w14:textId="77777777" w:rsidR="00B54D51" w:rsidRPr="00037AD4" w:rsidRDefault="00B54D51" w:rsidP="001A7D5D">
            <w:pPr>
              <w:pStyle w:val="NormalWeb"/>
              <w:rPr>
                <w:rFonts w:asciiTheme="minorHAnsi" w:hAnsiTheme="minorHAnsi" w:cstheme="minorHAnsi"/>
              </w:rPr>
            </w:pPr>
            <w:r w:rsidRPr="00037AD4">
              <w:rPr>
                <w:rFonts w:asciiTheme="minorHAnsi" w:hAnsiTheme="minorHAnsi" w:cstheme="minorHAnsi"/>
              </w:rPr>
              <w:t xml:space="preserve">Gonzalez-Velez, 2015 </w:t>
            </w:r>
            <w:r>
              <w:rPr>
                <w:rFonts w:asciiTheme="minorHAnsi" w:hAnsiTheme="minorHAnsi" w:cstheme="minorHAnsi"/>
                <w:noProof/>
              </w:rPr>
              <w:t>(González‐Vélez et al., 2015)</w:t>
            </w:r>
          </w:p>
        </w:tc>
        <w:tc>
          <w:tcPr>
            <w:tcW w:w="988" w:type="dxa"/>
          </w:tcPr>
          <w:p w14:paraId="4DF8D070" w14:textId="77777777" w:rsidR="00B54D51" w:rsidRPr="00037AD4" w:rsidRDefault="00B54D51" w:rsidP="001A7D5D">
            <w:pPr>
              <w:pStyle w:val="NormalWeb"/>
              <w:rPr>
                <w:rFonts w:asciiTheme="minorHAnsi" w:hAnsiTheme="minorHAnsi" w:cstheme="minorHAnsi"/>
              </w:rPr>
            </w:pPr>
            <w:r w:rsidRPr="00037AD4">
              <w:rPr>
                <w:rFonts w:ascii="Segoe UI Symbol" w:hAnsi="Segoe UI Symbol" w:cs="Segoe UI Symbol"/>
              </w:rPr>
              <w:t>✓</w:t>
            </w:r>
          </w:p>
        </w:tc>
        <w:tc>
          <w:tcPr>
            <w:tcW w:w="1013" w:type="dxa"/>
          </w:tcPr>
          <w:p w14:paraId="5D6139CB" w14:textId="77777777" w:rsidR="00B54D51" w:rsidRPr="00037AD4" w:rsidRDefault="00B54D51" w:rsidP="001A7D5D">
            <w:pPr>
              <w:pStyle w:val="NormalWeb"/>
              <w:rPr>
                <w:rFonts w:asciiTheme="minorHAnsi" w:hAnsiTheme="minorHAnsi" w:cstheme="minorHAnsi"/>
              </w:rPr>
            </w:pPr>
          </w:p>
        </w:tc>
        <w:tc>
          <w:tcPr>
            <w:tcW w:w="930" w:type="dxa"/>
          </w:tcPr>
          <w:p w14:paraId="75F30A2B" w14:textId="77777777" w:rsidR="00B54D51" w:rsidRPr="00037AD4" w:rsidRDefault="00B54D51" w:rsidP="001A7D5D">
            <w:pPr>
              <w:pStyle w:val="NormalWeb"/>
              <w:rPr>
                <w:rFonts w:asciiTheme="minorHAnsi" w:hAnsiTheme="minorHAnsi" w:cstheme="minorHAnsi"/>
              </w:rPr>
            </w:pPr>
          </w:p>
        </w:tc>
        <w:tc>
          <w:tcPr>
            <w:tcW w:w="1013" w:type="dxa"/>
          </w:tcPr>
          <w:p w14:paraId="07DA0345" w14:textId="77777777" w:rsidR="00B54D51" w:rsidRPr="00037AD4" w:rsidRDefault="00B54D51" w:rsidP="001A7D5D">
            <w:pPr>
              <w:pStyle w:val="NormalWeb"/>
              <w:rPr>
                <w:rFonts w:asciiTheme="minorHAnsi" w:hAnsiTheme="minorHAnsi" w:cstheme="minorHAnsi"/>
              </w:rPr>
            </w:pPr>
          </w:p>
        </w:tc>
        <w:tc>
          <w:tcPr>
            <w:tcW w:w="1054" w:type="dxa"/>
          </w:tcPr>
          <w:p w14:paraId="51BC140E" w14:textId="77777777" w:rsidR="00B54D51" w:rsidRPr="00037AD4" w:rsidRDefault="00B54D51" w:rsidP="001A7D5D">
            <w:pPr>
              <w:pStyle w:val="NormalWeb"/>
              <w:rPr>
                <w:rFonts w:asciiTheme="minorHAnsi" w:hAnsiTheme="minorHAnsi" w:cstheme="minorHAnsi"/>
              </w:rPr>
            </w:pPr>
            <w:r w:rsidRPr="00037AD4">
              <w:rPr>
                <w:rFonts w:ascii="Segoe UI Symbol" w:hAnsi="Segoe UI Symbol" w:cs="Segoe UI Symbol"/>
              </w:rPr>
              <w:t>✓</w:t>
            </w:r>
          </w:p>
        </w:tc>
        <w:tc>
          <w:tcPr>
            <w:tcW w:w="1062" w:type="dxa"/>
          </w:tcPr>
          <w:p w14:paraId="375A3A73" w14:textId="77777777" w:rsidR="00B54D51" w:rsidRPr="00037AD4" w:rsidRDefault="00B54D51" w:rsidP="001A7D5D">
            <w:pPr>
              <w:pStyle w:val="NormalWeb"/>
              <w:rPr>
                <w:rFonts w:asciiTheme="minorHAnsi" w:hAnsiTheme="minorHAnsi" w:cstheme="minorHAnsi"/>
              </w:rPr>
            </w:pPr>
          </w:p>
        </w:tc>
        <w:tc>
          <w:tcPr>
            <w:tcW w:w="863" w:type="dxa"/>
          </w:tcPr>
          <w:p w14:paraId="1B810DB2" w14:textId="77777777" w:rsidR="00B54D51" w:rsidRPr="00037AD4" w:rsidRDefault="00B54D51" w:rsidP="001A7D5D">
            <w:pPr>
              <w:pStyle w:val="NormalWeb"/>
              <w:rPr>
                <w:rFonts w:asciiTheme="minorHAnsi" w:hAnsiTheme="minorHAnsi" w:cstheme="minorHAnsi"/>
              </w:rPr>
            </w:pPr>
          </w:p>
        </w:tc>
        <w:tc>
          <w:tcPr>
            <w:tcW w:w="1054" w:type="dxa"/>
          </w:tcPr>
          <w:p w14:paraId="40F716D1" w14:textId="77777777" w:rsidR="00B54D51" w:rsidRPr="00037AD4" w:rsidRDefault="00B54D51" w:rsidP="001A7D5D">
            <w:pPr>
              <w:pStyle w:val="NormalWeb"/>
              <w:rPr>
                <w:rFonts w:asciiTheme="minorHAnsi" w:hAnsiTheme="minorHAnsi" w:cstheme="minorHAnsi"/>
              </w:rPr>
            </w:pPr>
          </w:p>
        </w:tc>
        <w:tc>
          <w:tcPr>
            <w:tcW w:w="789" w:type="dxa"/>
          </w:tcPr>
          <w:p w14:paraId="62332FC2" w14:textId="77777777" w:rsidR="00B54D51" w:rsidRPr="00037AD4" w:rsidRDefault="00B54D51" w:rsidP="001A7D5D">
            <w:pPr>
              <w:pStyle w:val="NormalWeb"/>
              <w:rPr>
                <w:rFonts w:asciiTheme="minorHAnsi" w:hAnsiTheme="minorHAnsi" w:cstheme="minorHAnsi"/>
              </w:rPr>
            </w:pPr>
          </w:p>
        </w:tc>
        <w:tc>
          <w:tcPr>
            <w:tcW w:w="964" w:type="dxa"/>
          </w:tcPr>
          <w:p w14:paraId="60BC0B87" w14:textId="77777777" w:rsidR="00B54D51" w:rsidRPr="00037AD4" w:rsidRDefault="00B54D51" w:rsidP="001A7D5D">
            <w:pPr>
              <w:pStyle w:val="NormalWeb"/>
              <w:rPr>
                <w:rFonts w:asciiTheme="minorHAnsi" w:hAnsiTheme="minorHAnsi" w:cstheme="minorHAnsi"/>
              </w:rPr>
            </w:pPr>
            <w:r w:rsidRPr="00037AD4">
              <w:rPr>
                <w:rFonts w:ascii="Segoe UI Symbol" w:hAnsi="Segoe UI Symbol" w:cs="Segoe UI Symbol"/>
              </w:rPr>
              <w:t>✓</w:t>
            </w:r>
          </w:p>
        </w:tc>
        <w:tc>
          <w:tcPr>
            <w:tcW w:w="864" w:type="dxa"/>
          </w:tcPr>
          <w:p w14:paraId="29132305" w14:textId="77777777" w:rsidR="00B54D51" w:rsidRPr="00037AD4" w:rsidRDefault="00B54D51" w:rsidP="001A7D5D">
            <w:pPr>
              <w:pStyle w:val="NormalWeb"/>
              <w:rPr>
                <w:rFonts w:asciiTheme="minorHAnsi" w:hAnsiTheme="minorHAnsi" w:cstheme="minorHAnsi"/>
              </w:rPr>
            </w:pPr>
          </w:p>
        </w:tc>
        <w:tc>
          <w:tcPr>
            <w:tcW w:w="922" w:type="dxa"/>
          </w:tcPr>
          <w:p w14:paraId="5E333CA6" w14:textId="77777777" w:rsidR="00B54D51" w:rsidRPr="00037AD4" w:rsidRDefault="00B54D51" w:rsidP="001A7D5D">
            <w:pPr>
              <w:pStyle w:val="NormalWeb"/>
              <w:rPr>
                <w:rFonts w:asciiTheme="minorHAnsi" w:hAnsiTheme="minorHAnsi" w:cstheme="minorHAnsi"/>
              </w:rPr>
            </w:pPr>
          </w:p>
        </w:tc>
      </w:tr>
      <w:tr w:rsidR="00B54D51" w:rsidRPr="00037AD4" w14:paraId="342460EF" w14:textId="77777777" w:rsidTr="0078211D">
        <w:tc>
          <w:tcPr>
            <w:tcW w:w="2432" w:type="dxa"/>
          </w:tcPr>
          <w:p w14:paraId="209277FA" w14:textId="77777777" w:rsidR="00B54D51" w:rsidRPr="00037AD4" w:rsidRDefault="00B54D51" w:rsidP="001A7D5D">
            <w:pPr>
              <w:pStyle w:val="NormalWeb"/>
              <w:rPr>
                <w:rFonts w:asciiTheme="minorHAnsi" w:hAnsiTheme="minorHAnsi" w:cstheme="minorHAnsi"/>
              </w:rPr>
            </w:pPr>
            <w:r w:rsidRPr="00037AD4">
              <w:rPr>
                <w:rFonts w:asciiTheme="minorHAnsi" w:hAnsiTheme="minorHAnsi" w:cstheme="minorHAnsi"/>
              </w:rPr>
              <w:t xml:space="preserve">Haaksma, 2018 </w:t>
            </w:r>
            <w:r>
              <w:rPr>
                <w:rFonts w:asciiTheme="minorHAnsi" w:hAnsiTheme="minorHAnsi" w:cstheme="minorHAnsi"/>
                <w:noProof/>
              </w:rPr>
              <w:t>(Haaksma et al., 2018)</w:t>
            </w:r>
          </w:p>
        </w:tc>
        <w:tc>
          <w:tcPr>
            <w:tcW w:w="988" w:type="dxa"/>
          </w:tcPr>
          <w:p w14:paraId="2E1168E5" w14:textId="77777777" w:rsidR="00B54D51" w:rsidRPr="00037AD4" w:rsidRDefault="00B54D51" w:rsidP="001A7D5D">
            <w:pPr>
              <w:pStyle w:val="NormalWeb"/>
              <w:rPr>
                <w:rFonts w:asciiTheme="minorHAnsi" w:hAnsiTheme="minorHAnsi" w:cstheme="minorHAnsi"/>
              </w:rPr>
            </w:pPr>
            <w:r w:rsidRPr="00037AD4">
              <w:rPr>
                <w:rFonts w:ascii="Segoe UI Symbol" w:hAnsi="Segoe UI Symbol" w:cs="Segoe UI Symbol"/>
              </w:rPr>
              <w:t>✓</w:t>
            </w:r>
          </w:p>
        </w:tc>
        <w:tc>
          <w:tcPr>
            <w:tcW w:w="1013" w:type="dxa"/>
          </w:tcPr>
          <w:p w14:paraId="6CF1E012" w14:textId="77777777" w:rsidR="00B54D51" w:rsidRPr="00037AD4" w:rsidRDefault="00B54D51" w:rsidP="001A7D5D">
            <w:pPr>
              <w:pStyle w:val="NormalWeb"/>
              <w:rPr>
                <w:rFonts w:asciiTheme="minorHAnsi" w:hAnsiTheme="minorHAnsi" w:cstheme="minorHAnsi"/>
              </w:rPr>
            </w:pPr>
          </w:p>
        </w:tc>
        <w:tc>
          <w:tcPr>
            <w:tcW w:w="930" w:type="dxa"/>
          </w:tcPr>
          <w:p w14:paraId="162E0C4D" w14:textId="77777777" w:rsidR="00B54D51" w:rsidRPr="00037AD4" w:rsidRDefault="00B54D51" w:rsidP="001A7D5D">
            <w:pPr>
              <w:pStyle w:val="NormalWeb"/>
              <w:rPr>
                <w:rFonts w:asciiTheme="minorHAnsi" w:hAnsiTheme="minorHAnsi" w:cstheme="minorHAnsi"/>
              </w:rPr>
            </w:pPr>
          </w:p>
        </w:tc>
        <w:tc>
          <w:tcPr>
            <w:tcW w:w="1013" w:type="dxa"/>
          </w:tcPr>
          <w:p w14:paraId="7F9A9FE4" w14:textId="77777777" w:rsidR="00B54D51" w:rsidRPr="00037AD4" w:rsidRDefault="00B54D51" w:rsidP="001A7D5D">
            <w:pPr>
              <w:pStyle w:val="NormalWeb"/>
              <w:rPr>
                <w:rFonts w:asciiTheme="minorHAnsi" w:hAnsiTheme="minorHAnsi" w:cstheme="minorHAnsi"/>
              </w:rPr>
            </w:pPr>
          </w:p>
        </w:tc>
        <w:tc>
          <w:tcPr>
            <w:tcW w:w="1054" w:type="dxa"/>
          </w:tcPr>
          <w:p w14:paraId="69F4D753" w14:textId="77777777" w:rsidR="00B54D51" w:rsidRPr="00037AD4" w:rsidRDefault="00B54D51" w:rsidP="001A7D5D">
            <w:pPr>
              <w:pStyle w:val="NormalWeb"/>
              <w:rPr>
                <w:rFonts w:asciiTheme="minorHAnsi" w:hAnsiTheme="minorHAnsi" w:cstheme="minorHAnsi"/>
              </w:rPr>
            </w:pPr>
          </w:p>
        </w:tc>
        <w:tc>
          <w:tcPr>
            <w:tcW w:w="1062" w:type="dxa"/>
          </w:tcPr>
          <w:p w14:paraId="70F581C3" w14:textId="77777777" w:rsidR="00B54D51" w:rsidRPr="00037AD4" w:rsidRDefault="00B54D51" w:rsidP="001A7D5D">
            <w:pPr>
              <w:pStyle w:val="NormalWeb"/>
              <w:rPr>
                <w:rFonts w:asciiTheme="minorHAnsi" w:hAnsiTheme="minorHAnsi" w:cstheme="minorHAnsi"/>
              </w:rPr>
            </w:pPr>
          </w:p>
        </w:tc>
        <w:tc>
          <w:tcPr>
            <w:tcW w:w="863" w:type="dxa"/>
          </w:tcPr>
          <w:p w14:paraId="15800449" w14:textId="77777777" w:rsidR="00B54D51" w:rsidRPr="00037AD4" w:rsidRDefault="00B54D51" w:rsidP="001A7D5D">
            <w:pPr>
              <w:pStyle w:val="NormalWeb"/>
              <w:rPr>
                <w:rFonts w:asciiTheme="minorHAnsi" w:hAnsiTheme="minorHAnsi" w:cstheme="minorHAnsi"/>
              </w:rPr>
            </w:pPr>
            <w:r w:rsidRPr="00037AD4">
              <w:rPr>
                <w:rFonts w:ascii="Segoe UI Symbol" w:hAnsi="Segoe UI Symbol" w:cs="Segoe UI Symbol"/>
              </w:rPr>
              <w:t>✓</w:t>
            </w:r>
          </w:p>
        </w:tc>
        <w:tc>
          <w:tcPr>
            <w:tcW w:w="1054" w:type="dxa"/>
          </w:tcPr>
          <w:p w14:paraId="6B313477" w14:textId="77777777" w:rsidR="00B54D51" w:rsidRPr="00037AD4" w:rsidRDefault="00B54D51" w:rsidP="001A7D5D">
            <w:pPr>
              <w:pStyle w:val="NormalWeb"/>
              <w:rPr>
                <w:rFonts w:asciiTheme="minorHAnsi" w:hAnsiTheme="minorHAnsi" w:cstheme="minorHAnsi"/>
              </w:rPr>
            </w:pPr>
          </w:p>
        </w:tc>
        <w:tc>
          <w:tcPr>
            <w:tcW w:w="789" w:type="dxa"/>
          </w:tcPr>
          <w:p w14:paraId="59B6B22A" w14:textId="77777777" w:rsidR="00B54D51" w:rsidRPr="00037AD4" w:rsidRDefault="00B54D51" w:rsidP="001A7D5D">
            <w:pPr>
              <w:pStyle w:val="NormalWeb"/>
              <w:rPr>
                <w:rFonts w:asciiTheme="minorHAnsi" w:hAnsiTheme="minorHAnsi" w:cstheme="minorHAnsi"/>
              </w:rPr>
            </w:pPr>
            <w:r w:rsidRPr="00037AD4">
              <w:rPr>
                <w:rFonts w:ascii="Segoe UI Symbol" w:hAnsi="Segoe UI Symbol" w:cs="Segoe UI Symbol"/>
              </w:rPr>
              <w:t>✓</w:t>
            </w:r>
          </w:p>
        </w:tc>
        <w:tc>
          <w:tcPr>
            <w:tcW w:w="964" w:type="dxa"/>
          </w:tcPr>
          <w:p w14:paraId="50DDD5B1" w14:textId="77777777" w:rsidR="00B54D51" w:rsidRPr="00037AD4" w:rsidRDefault="00B54D51" w:rsidP="001A7D5D">
            <w:pPr>
              <w:pStyle w:val="NormalWeb"/>
              <w:rPr>
                <w:rFonts w:asciiTheme="minorHAnsi" w:hAnsiTheme="minorHAnsi" w:cstheme="minorHAnsi"/>
              </w:rPr>
            </w:pPr>
          </w:p>
        </w:tc>
        <w:tc>
          <w:tcPr>
            <w:tcW w:w="864" w:type="dxa"/>
          </w:tcPr>
          <w:p w14:paraId="695BB85F" w14:textId="77777777" w:rsidR="00B54D51" w:rsidRPr="00037AD4" w:rsidRDefault="00B54D51" w:rsidP="001A7D5D">
            <w:pPr>
              <w:pStyle w:val="NormalWeb"/>
              <w:rPr>
                <w:rFonts w:asciiTheme="minorHAnsi" w:hAnsiTheme="minorHAnsi" w:cstheme="minorHAnsi"/>
              </w:rPr>
            </w:pPr>
          </w:p>
        </w:tc>
        <w:tc>
          <w:tcPr>
            <w:tcW w:w="922" w:type="dxa"/>
          </w:tcPr>
          <w:p w14:paraId="7EBD02E1" w14:textId="77777777" w:rsidR="00B54D51" w:rsidRPr="00037AD4" w:rsidRDefault="00B54D51" w:rsidP="001A7D5D">
            <w:pPr>
              <w:pStyle w:val="NormalWeb"/>
              <w:rPr>
                <w:rFonts w:asciiTheme="minorHAnsi" w:hAnsiTheme="minorHAnsi" w:cstheme="minorHAnsi"/>
              </w:rPr>
            </w:pPr>
          </w:p>
        </w:tc>
      </w:tr>
      <w:tr w:rsidR="00B54D51" w:rsidRPr="00037AD4" w14:paraId="3A146065" w14:textId="77777777" w:rsidTr="0078211D">
        <w:tc>
          <w:tcPr>
            <w:tcW w:w="2432" w:type="dxa"/>
          </w:tcPr>
          <w:p w14:paraId="72A77994" w14:textId="77777777" w:rsidR="00B54D51" w:rsidRPr="00037AD4" w:rsidRDefault="00B54D51" w:rsidP="001A7D5D">
            <w:pPr>
              <w:pStyle w:val="NormalWeb"/>
              <w:rPr>
                <w:rFonts w:asciiTheme="minorHAnsi" w:hAnsiTheme="minorHAnsi" w:cstheme="minorHAnsi"/>
              </w:rPr>
            </w:pPr>
            <w:r w:rsidRPr="00037AD4">
              <w:rPr>
                <w:rFonts w:asciiTheme="minorHAnsi" w:hAnsiTheme="minorHAnsi" w:cstheme="minorHAnsi"/>
              </w:rPr>
              <w:t xml:space="preserve">Heßmann, 2018 </w:t>
            </w:r>
            <w:r>
              <w:rPr>
                <w:rFonts w:asciiTheme="minorHAnsi" w:hAnsiTheme="minorHAnsi" w:cstheme="minorHAnsi"/>
                <w:noProof/>
              </w:rPr>
              <w:t>(Heßmann et al., 2016)</w:t>
            </w:r>
          </w:p>
        </w:tc>
        <w:tc>
          <w:tcPr>
            <w:tcW w:w="988" w:type="dxa"/>
          </w:tcPr>
          <w:p w14:paraId="1DF00AEB" w14:textId="77777777" w:rsidR="00B54D51" w:rsidRPr="00037AD4" w:rsidRDefault="00B54D51" w:rsidP="001A7D5D">
            <w:pPr>
              <w:pStyle w:val="NormalWeb"/>
              <w:rPr>
                <w:rFonts w:asciiTheme="minorHAnsi" w:hAnsiTheme="minorHAnsi" w:cstheme="minorHAnsi"/>
              </w:rPr>
            </w:pPr>
            <w:r w:rsidRPr="00037AD4">
              <w:rPr>
                <w:rFonts w:ascii="Segoe UI Symbol" w:hAnsi="Segoe UI Symbol" w:cs="Segoe UI Symbol"/>
              </w:rPr>
              <w:t>✓</w:t>
            </w:r>
          </w:p>
        </w:tc>
        <w:tc>
          <w:tcPr>
            <w:tcW w:w="1013" w:type="dxa"/>
          </w:tcPr>
          <w:p w14:paraId="1CDF9F6E" w14:textId="77777777" w:rsidR="00B54D51" w:rsidRPr="00037AD4" w:rsidRDefault="00B54D51" w:rsidP="001A7D5D">
            <w:pPr>
              <w:pStyle w:val="NormalWeb"/>
              <w:rPr>
                <w:rFonts w:asciiTheme="minorHAnsi" w:hAnsiTheme="minorHAnsi" w:cstheme="minorHAnsi"/>
              </w:rPr>
            </w:pPr>
          </w:p>
        </w:tc>
        <w:tc>
          <w:tcPr>
            <w:tcW w:w="930" w:type="dxa"/>
          </w:tcPr>
          <w:p w14:paraId="49F4126E" w14:textId="77777777" w:rsidR="00B54D51" w:rsidRPr="00037AD4" w:rsidRDefault="00B54D51" w:rsidP="001A7D5D">
            <w:pPr>
              <w:pStyle w:val="NormalWeb"/>
              <w:rPr>
                <w:rFonts w:asciiTheme="minorHAnsi" w:hAnsiTheme="minorHAnsi" w:cstheme="minorHAnsi"/>
              </w:rPr>
            </w:pPr>
          </w:p>
        </w:tc>
        <w:tc>
          <w:tcPr>
            <w:tcW w:w="1013" w:type="dxa"/>
          </w:tcPr>
          <w:p w14:paraId="3373ED23" w14:textId="77777777" w:rsidR="00B54D51" w:rsidRPr="00037AD4" w:rsidRDefault="00B54D51" w:rsidP="001A7D5D">
            <w:pPr>
              <w:pStyle w:val="NormalWeb"/>
              <w:rPr>
                <w:rFonts w:asciiTheme="minorHAnsi" w:hAnsiTheme="minorHAnsi" w:cstheme="minorHAnsi"/>
              </w:rPr>
            </w:pPr>
            <w:r w:rsidRPr="00037AD4">
              <w:rPr>
                <w:rFonts w:ascii="Segoe UI Symbol" w:hAnsi="Segoe UI Symbol" w:cs="Segoe UI Symbol"/>
              </w:rPr>
              <w:t>✓</w:t>
            </w:r>
          </w:p>
        </w:tc>
        <w:tc>
          <w:tcPr>
            <w:tcW w:w="1054" w:type="dxa"/>
          </w:tcPr>
          <w:p w14:paraId="015D3621" w14:textId="77777777" w:rsidR="00B54D51" w:rsidRPr="00037AD4" w:rsidRDefault="00B54D51" w:rsidP="001A7D5D">
            <w:pPr>
              <w:pStyle w:val="NormalWeb"/>
              <w:rPr>
                <w:rFonts w:asciiTheme="minorHAnsi" w:hAnsiTheme="minorHAnsi" w:cstheme="minorHAnsi"/>
              </w:rPr>
            </w:pPr>
          </w:p>
        </w:tc>
        <w:tc>
          <w:tcPr>
            <w:tcW w:w="1062" w:type="dxa"/>
          </w:tcPr>
          <w:p w14:paraId="6FF23E5E" w14:textId="77777777" w:rsidR="00B54D51" w:rsidRPr="00037AD4" w:rsidRDefault="00B54D51" w:rsidP="001A7D5D">
            <w:pPr>
              <w:pStyle w:val="NormalWeb"/>
              <w:rPr>
                <w:rFonts w:asciiTheme="minorHAnsi" w:hAnsiTheme="minorHAnsi" w:cstheme="minorHAnsi"/>
              </w:rPr>
            </w:pPr>
          </w:p>
        </w:tc>
        <w:tc>
          <w:tcPr>
            <w:tcW w:w="863" w:type="dxa"/>
          </w:tcPr>
          <w:p w14:paraId="3B4F86B3" w14:textId="77777777" w:rsidR="00B54D51" w:rsidRPr="00037AD4" w:rsidRDefault="00B54D51" w:rsidP="001A7D5D">
            <w:pPr>
              <w:pStyle w:val="NormalWeb"/>
              <w:rPr>
                <w:rFonts w:asciiTheme="minorHAnsi" w:hAnsiTheme="minorHAnsi" w:cstheme="minorHAnsi"/>
              </w:rPr>
            </w:pPr>
          </w:p>
        </w:tc>
        <w:tc>
          <w:tcPr>
            <w:tcW w:w="1054" w:type="dxa"/>
          </w:tcPr>
          <w:p w14:paraId="74EF4B47" w14:textId="77777777" w:rsidR="00B54D51" w:rsidRPr="00037AD4" w:rsidRDefault="00B54D51" w:rsidP="001A7D5D">
            <w:pPr>
              <w:pStyle w:val="NormalWeb"/>
              <w:rPr>
                <w:rFonts w:asciiTheme="minorHAnsi" w:hAnsiTheme="minorHAnsi" w:cstheme="minorHAnsi"/>
              </w:rPr>
            </w:pPr>
          </w:p>
        </w:tc>
        <w:tc>
          <w:tcPr>
            <w:tcW w:w="789" w:type="dxa"/>
          </w:tcPr>
          <w:p w14:paraId="1B27E339" w14:textId="77777777" w:rsidR="00B54D51" w:rsidRPr="00037AD4" w:rsidRDefault="00B54D51" w:rsidP="001A7D5D">
            <w:pPr>
              <w:pStyle w:val="NormalWeb"/>
              <w:rPr>
                <w:rFonts w:asciiTheme="minorHAnsi" w:hAnsiTheme="minorHAnsi" w:cstheme="minorHAnsi"/>
              </w:rPr>
            </w:pPr>
            <w:r w:rsidRPr="00037AD4">
              <w:rPr>
                <w:rFonts w:ascii="Segoe UI Symbol" w:hAnsi="Segoe UI Symbol" w:cs="Segoe UI Symbol"/>
              </w:rPr>
              <w:t>✓</w:t>
            </w:r>
          </w:p>
        </w:tc>
        <w:tc>
          <w:tcPr>
            <w:tcW w:w="964" w:type="dxa"/>
          </w:tcPr>
          <w:p w14:paraId="6444C212" w14:textId="77777777" w:rsidR="00B54D51" w:rsidRPr="00037AD4" w:rsidRDefault="00B54D51" w:rsidP="001A7D5D">
            <w:pPr>
              <w:pStyle w:val="NormalWeb"/>
              <w:rPr>
                <w:rFonts w:asciiTheme="minorHAnsi" w:hAnsiTheme="minorHAnsi" w:cstheme="minorHAnsi"/>
              </w:rPr>
            </w:pPr>
          </w:p>
        </w:tc>
        <w:tc>
          <w:tcPr>
            <w:tcW w:w="864" w:type="dxa"/>
          </w:tcPr>
          <w:p w14:paraId="3CD60781" w14:textId="77777777" w:rsidR="00B54D51" w:rsidRPr="00037AD4" w:rsidRDefault="00B54D51" w:rsidP="001A7D5D">
            <w:pPr>
              <w:pStyle w:val="NormalWeb"/>
              <w:rPr>
                <w:rFonts w:asciiTheme="minorHAnsi" w:hAnsiTheme="minorHAnsi" w:cstheme="minorHAnsi"/>
              </w:rPr>
            </w:pPr>
          </w:p>
        </w:tc>
        <w:tc>
          <w:tcPr>
            <w:tcW w:w="922" w:type="dxa"/>
          </w:tcPr>
          <w:p w14:paraId="79EAA6F8" w14:textId="77777777" w:rsidR="00B54D51" w:rsidRPr="00037AD4" w:rsidRDefault="00B54D51" w:rsidP="001A7D5D">
            <w:pPr>
              <w:pStyle w:val="NormalWeb"/>
              <w:rPr>
                <w:rFonts w:asciiTheme="minorHAnsi" w:hAnsiTheme="minorHAnsi" w:cstheme="minorHAnsi"/>
              </w:rPr>
            </w:pPr>
          </w:p>
        </w:tc>
      </w:tr>
      <w:tr w:rsidR="00B54D51" w:rsidRPr="00037AD4" w14:paraId="182D0D10" w14:textId="77777777" w:rsidTr="0078211D">
        <w:tc>
          <w:tcPr>
            <w:tcW w:w="2432" w:type="dxa"/>
          </w:tcPr>
          <w:p w14:paraId="3AC2D689" w14:textId="77777777" w:rsidR="00B54D51" w:rsidRPr="00037AD4" w:rsidRDefault="00B54D51" w:rsidP="001A7D5D">
            <w:pPr>
              <w:pStyle w:val="NormalWeb"/>
              <w:rPr>
                <w:rFonts w:asciiTheme="minorHAnsi" w:hAnsiTheme="minorHAnsi" w:cstheme="minorHAnsi"/>
              </w:rPr>
            </w:pPr>
            <w:r w:rsidRPr="00037AD4">
              <w:rPr>
                <w:rFonts w:asciiTheme="minorHAnsi" w:hAnsiTheme="minorHAnsi" w:cstheme="minorHAnsi"/>
              </w:rPr>
              <w:t xml:space="preserve">Karlawish, 2008 [1] </w:t>
            </w:r>
            <w:r>
              <w:rPr>
                <w:rFonts w:asciiTheme="minorHAnsi" w:hAnsiTheme="minorHAnsi" w:cstheme="minorHAnsi"/>
                <w:noProof/>
              </w:rPr>
              <w:t>(Karlawish et al., 2008a)</w:t>
            </w:r>
          </w:p>
        </w:tc>
        <w:tc>
          <w:tcPr>
            <w:tcW w:w="988" w:type="dxa"/>
          </w:tcPr>
          <w:p w14:paraId="5FAD296C" w14:textId="77777777" w:rsidR="00B54D51" w:rsidRPr="00037AD4" w:rsidRDefault="00B54D51" w:rsidP="001A7D5D">
            <w:pPr>
              <w:pStyle w:val="NormalWeb"/>
              <w:rPr>
                <w:rFonts w:asciiTheme="minorHAnsi" w:hAnsiTheme="minorHAnsi" w:cstheme="minorHAnsi"/>
              </w:rPr>
            </w:pPr>
            <w:r w:rsidRPr="00037AD4">
              <w:rPr>
                <w:rFonts w:ascii="Segoe UI Symbol" w:hAnsi="Segoe UI Symbol" w:cs="Segoe UI Symbol"/>
              </w:rPr>
              <w:t>✓</w:t>
            </w:r>
          </w:p>
        </w:tc>
        <w:tc>
          <w:tcPr>
            <w:tcW w:w="1013" w:type="dxa"/>
          </w:tcPr>
          <w:p w14:paraId="111B0468" w14:textId="77777777" w:rsidR="00B54D51" w:rsidRPr="00037AD4" w:rsidRDefault="00B54D51" w:rsidP="001A7D5D">
            <w:pPr>
              <w:pStyle w:val="NormalWeb"/>
              <w:rPr>
                <w:rFonts w:asciiTheme="minorHAnsi" w:hAnsiTheme="minorHAnsi" w:cstheme="minorHAnsi"/>
              </w:rPr>
            </w:pPr>
          </w:p>
        </w:tc>
        <w:tc>
          <w:tcPr>
            <w:tcW w:w="930" w:type="dxa"/>
          </w:tcPr>
          <w:p w14:paraId="5484BA09" w14:textId="77777777" w:rsidR="00B54D51" w:rsidRPr="00037AD4" w:rsidRDefault="00B54D51" w:rsidP="001A7D5D">
            <w:pPr>
              <w:pStyle w:val="NormalWeb"/>
              <w:rPr>
                <w:rFonts w:asciiTheme="minorHAnsi" w:hAnsiTheme="minorHAnsi" w:cstheme="minorHAnsi"/>
              </w:rPr>
            </w:pPr>
          </w:p>
        </w:tc>
        <w:tc>
          <w:tcPr>
            <w:tcW w:w="1013" w:type="dxa"/>
          </w:tcPr>
          <w:p w14:paraId="02E1C437" w14:textId="77777777" w:rsidR="00B54D51" w:rsidRPr="00037AD4" w:rsidRDefault="00B54D51" w:rsidP="001A7D5D">
            <w:pPr>
              <w:pStyle w:val="NormalWeb"/>
              <w:rPr>
                <w:rFonts w:asciiTheme="minorHAnsi" w:hAnsiTheme="minorHAnsi" w:cstheme="minorHAnsi"/>
              </w:rPr>
            </w:pPr>
          </w:p>
        </w:tc>
        <w:tc>
          <w:tcPr>
            <w:tcW w:w="1054" w:type="dxa"/>
          </w:tcPr>
          <w:p w14:paraId="2A311666" w14:textId="77777777" w:rsidR="00B54D51" w:rsidRPr="00037AD4" w:rsidRDefault="00B54D51" w:rsidP="001A7D5D">
            <w:pPr>
              <w:pStyle w:val="NormalWeb"/>
              <w:rPr>
                <w:rFonts w:asciiTheme="minorHAnsi" w:hAnsiTheme="minorHAnsi" w:cstheme="minorHAnsi"/>
              </w:rPr>
            </w:pPr>
          </w:p>
        </w:tc>
        <w:tc>
          <w:tcPr>
            <w:tcW w:w="1062" w:type="dxa"/>
          </w:tcPr>
          <w:p w14:paraId="3835052C" w14:textId="77777777" w:rsidR="00B54D51" w:rsidRPr="00037AD4" w:rsidRDefault="00B54D51" w:rsidP="001A7D5D">
            <w:pPr>
              <w:pStyle w:val="NormalWeb"/>
              <w:rPr>
                <w:rFonts w:asciiTheme="minorHAnsi" w:hAnsiTheme="minorHAnsi" w:cstheme="minorHAnsi"/>
              </w:rPr>
            </w:pPr>
            <w:r w:rsidRPr="00037AD4">
              <w:rPr>
                <w:rFonts w:ascii="Segoe UI Symbol" w:hAnsi="Segoe UI Symbol" w:cs="Segoe UI Symbol"/>
              </w:rPr>
              <w:t>✓</w:t>
            </w:r>
          </w:p>
        </w:tc>
        <w:tc>
          <w:tcPr>
            <w:tcW w:w="863" w:type="dxa"/>
          </w:tcPr>
          <w:p w14:paraId="651449B7" w14:textId="77777777" w:rsidR="00B54D51" w:rsidRPr="00037AD4" w:rsidRDefault="00B54D51" w:rsidP="001A7D5D">
            <w:pPr>
              <w:pStyle w:val="NormalWeb"/>
              <w:rPr>
                <w:rFonts w:asciiTheme="minorHAnsi" w:hAnsiTheme="minorHAnsi" w:cstheme="minorHAnsi"/>
              </w:rPr>
            </w:pPr>
          </w:p>
        </w:tc>
        <w:tc>
          <w:tcPr>
            <w:tcW w:w="1054" w:type="dxa"/>
          </w:tcPr>
          <w:p w14:paraId="565CDE6D" w14:textId="77777777" w:rsidR="00B54D51" w:rsidRPr="00037AD4" w:rsidRDefault="00B54D51" w:rsidP="001A7D5D">
            <w:pPr>
              <w:pStyle w:val="NormalWeb"/>
              <w:rPr>
                <w:rFonts w:asciiTheme="minorHAnsi" w:hAnsiTheme="minorHAnsi" w:cstheme="minorHAnsi"/>
              </w:rPr>
            </w:pPr>
          </w:p>
        </w:tc>
        <w:tc>
          <w:tcPr>
            <w:tcW w:w="789" w:type="dxa"/>
          </w:tcPr>
          <w:p w14:paraId="43CDD97C" w14:textId="77777777" w:rsidR="00B54D51" w:rsidRPr="00037AD4" w:rsidRDefault="00B54D51" w:rsidP="001A7D5D">
            <w:pPr>
              <w:pStyle w:val="NormalWeb"/>
              <w:rPr>
                <w:rFonts w:asciiTheme="minorHAnsi" w:hAnsiTheme="minorHAnsi" w:cstheme="minorHAnsi"/>
              </w:rPr>
            </w:pPr>
          </w:p>
        </w:tc>
        <w:tc>
          <w:tcPr>
            <w:tcW w:w="964" w:type="dxa"/>
          </w:tcPr>
          <w:p w14:paraId="4B1D3460" w14:textId="77777777" w:rsidR="00B54D51" w:rsidRPr="00037AD4" w:rsidRDefault="00B54D51" w:rsidP="001A7D5D">
            <w:pPr>
              <w:pStyle w:val="NormalWeb"/>
              <w:rPr>
                <w:rFonts w:asciiTheme="minorHAnsi" w:hAnsiTheme="minorHAnsi" w:cstheme="minorHAnsi"/>
              </w:rPr>
            </w:pPr>
          </w:p>
        </w:tc>
        <w:tc>
          <w:tcPr>
            <w:tcW w:w="864" w:type="dxa"/>
          </w:tcPr>
          <w:p w14:paraId="3A6F27E8" w14:textId="77777777" w:rsidR="00B54D51" w:rsidRPr="00037AD4" w:rsidRDefault="00B54D51" w:rsidP="001A7D5D">
            <w:pPr>
              <w:pStyle w:val="NormalWeb"/>
              <w:rPr>
                <w:rFonts w:asciiTheme="minorHAnsi" w:hAnsiTheme="minorHAnsi" w:cstheme="minorHAnsi"/>
              </w:rPr>
            </w:pPr>
            <w:r w:rsidRPr="00037AD4">
              <w:rPr>
                <w:rFonts w:ascii="Segoe UI Symbol" w:hAnsi="Segoe UI Symbol" w:cs="Segoe UI Symbol"/>
              </w:rPr>
              <w:t>✓</w:t>
            </w:r>
          </w:p>
        </w:tc>
        <w:tc>
          <w:tcPr>
            <w:tcW w:w="922" w:type="dxa"/>
          </w:tcPr>
          <w:p w14:paraId="555AD1BC" w14:textId="77777777" w:rsidR="00B54D51" w:rsidRPr="00037AD4" w:rsidRDefault="00B54D51" w:rsidP="001A7D5D">
            <w:pPr>
              <w:pStyle w:val="NormalWeb"/>
              <w:rPr>
                <w:rFonts w:asciiTheme="minorHAnsi" w:hAnsiTheme="minorHAnsi" w:cstheme="minorHAnsi"/>
              </w:rPr>
            </w:pPr>
          </w:p>
        </w:tc>
      </w:tr>
      <w:tr w:rsidR="00B54D51" w:rsidRPr="00037AD4" w14:paraId="4785B36C" w14:textId="77777777" w:rsidTr="0078211D">
        <w:tc>
          <w:tcPr>
            <w:tcW w:w="2432" w:type="dxa"/>
          </w:tcPr>
          <w:p w14:paraId="135AEAA5" w14:textId="77777777" w:rsidR="00B54D51" w:rsidRPr="00037AD4" w:rsidRDefault="00B54D51" w:rsidP="001A7D5D">
            <w:pPr>
              <w:pStyle w:val="NormalWeb"/>
              <w:rPr>
                <w:rFonts w:asciiTheme="minorHAnsi" w:hAnsiTheme="minorHAnsi" w:cstheme="minorHAnsi"/>
              </w:rPr>
            </w:pPr>
            <w:r w:rsidRPr="00037AD4">
              <w:rPr>
                <w:rFonts w:asciiTheme="minorHAnsi" w:hAnsiTheme="minorHAnsi" w:cstheme="minorHAnsi"/>
              </w:rPr>
              <w:t xml:space="preserve">Karlawish, 2008 [2] </w:t>
            </w:r>
            <w:r>
              <w:rPr>
                <w:rFonts w:asciiTheme="minorHAnsi" w:hAnsiTheme="minorHAnsi" w:cstheme="minorHAnsi"/>
                <w:noProof/>
              </w:rPr>
              <w:t>(Karlawish et al., 2008b)</w:t>
            </w:r>
          </w:p>
        </w:tc>
        <w:tc>
          <w:tcPr>
            <w:tcW w:w="988" w:type="dxa"/>
          </w:tcPr>
          <w:p w14:paraId="21E86887" w14:textId="77777777" w:rsidR="00B54D51" w:rsidRPr="00037AD4" w:rsidRDefault="00B54D51" w:rsidP="001A7D5D">
            <w:pPr>
              <w:pStyle w:val="NormalWeb"/>
              <w:rPr>
                <w:rFonts w:asciiTheme="minorHAnsi" w:hAnsiTheme="minorHAnsi" w:cstheme="minorHAnsi"/>
              </w:rPr>
            </w:pPr>
            <w:r w:rsidRPr="00037AD4">
              <w:rPr>
                <w:rFonts w:ascii="Segoe UI Symbol" w:hAnsi="Segoe UI Symbol" w:cs="Segoe UI Symbol"/>
              </w:rPr>
              <w:t>✓</w:t>
            </w:r>
          </w:p>
        </w:tc>
        <w:tc>
          <w:tcPr>
            <w:tcW w:w="1013" w:type="dxa"/>
          </w:tcPr>
          <w:p w14:paraId="6BFEB970" w14:textId="77777777" w:rsidR="00B54D51" w:rsidRPr="00037AD4" w:rsidRDefault="00B54D51" w:rsidP="001A7D5D">
            <w:pPr>
              <w:pStyle w:val="NormalWeb"/>
              <w:rPr>
                <w:rFonts w:asciiTheme="minorHAnsi" w:hAnsiTheme="minorHAnsi" w:cstheme="minorHAnsi"/>
              </w:rPr>
            </w:pPr>
          </w:p>
        </w:tc>
        <w:tc>
          <w:tcPr>
            <w:tcW w:w="930" w:type="dxa"/>
          </w:tcPr>
          <w:p w14:paraId="261CF8F2" w14:textId="77777777" w:rsidR="00B54D51" w:rsidRPr="00037AD4" w:rsidRDefault="00B54D51" w:rsidP="001A7D5D">
            <w:pPr>
              <w:pStyle w:val="NormalWeb"/>
              <w:rPr>
                <w:rFonts w:asciiTheme="minorHAnsi" w:hAnsiTheme="minorHAnsi" w:cstheme="minorHAnsi"/>
              </w:rPr>
            </w:pPr>
          </w:p>
        </w:tc>
        <w:tc>
          <w:tcPr>
            <w:tcW w:w="1013" w:type="dxa"/>
          </w:tcPr>
          <w:p w14:paraId="40872E1C" w14:textId="77777777" w:rsidR="00B54D51" w:rsidRPr="00037AD4" w:rsidRDefault="00B54D51" w:rsidP="001A7D5D">
            <w:pPr>
              <w:pStyle w:val="NormalWeb"/>
              <w:rPr>
                <w:rFonts w:asciiTheme="minorHAnsi" w:hAnsiTheme="minorHAnsi" w:cstheme="minorHAnsi"/>
              </w:rPr>
            </w:pPr>
          </w:p>
        </w:tc>
        <w:tc>
          <w:tcPr>
            <w:tcW w:w="1054" w:type="dxa"/>
          </w:tcPr>
          <w:p w14:paraId="1D00CBFB" w14:textId="77777777" w:rsidR="00B54D51" w:rsidRPr="00037AD4" w:rsidRDefault="00B54D51" w:rsidP="001A7D5D">
            <w:pPr>
              <w:pStyle w:val="NormalWeb"/>
              <w:rPr>
                <w:rFonts w:asciiTheme="minorHAnsi" w:hAnsiTheme="minorHAnsi" w:cstheme="minorHAnsi"/>
              </w:rPr>
            </w:pPr>
          </w:p>
        </w:tc>
        <w:tc>
          <w:tcPr>
            <w:tcW w:w="1062" w:type="dxa"/>
          </w:tcPr>
          <w:p w14:paraId="429E0D90" w14:textId="77777777" w:rsidR="00B54D51" w:rsidRPr="00037AD4" w:rsidRDefault="00B54D51" w:rsidP="001A7D5D">
            <w:pPr>
              <w:pStyle w:val="NormalWeb"/>
              <w:rPr>
                <w:rFonts w:asciiTheme="minorHAnsi" w:hAnsiTheme="minorHAnsi" w:cstheme="minorHAnsi"/>
              </w:rPr>
            </w:pPr>
            <w:r w:rsidRPr="00037AD4">
              <w:rPr>
                <w:rFonts w:ascii="Segoe UI Symbol" w:hAnsi="Segoe UI Symbol" w:cs="Segoe UI Symbol"/>
              </w:rPr>
              <w:t>✓</w:t>
            </w:r>
          </w:p>
        </w:tc>
        <w:tc>
          <w:tcPr>
            <w:tcW w:w="863" w:type="dxa"/>
          </w:tcPr>
          <w:p w14:paraId="447B1BB0" w14:textId="77777777" w:rsidR="00B54D51" w:rsidRPr="00037AD4" w:rsidRDefault="00B54D51" w:rsidP="001A7D5D">
            <w:pPr>
              <w:pStyle w:val="NormalWeb"/>
              <w:rPr>
                <w:rFonts w:asciiTheme="minorHAnsi" w:hAnsiTheme="minorHAnsi" w:cstheme="minorHAnsi"/>
              </w:rPr>
            </w:pPr>
          </w:p>
        </w:tc>
        <w:tc>
          <w:tcPr>
            <w:tcW w:w="1054" w:type="dxa"/>
          </w:tcPr>
          <w:p w14:paraId="41E208A0" w14:textId="77777777" w:rsidR="00B54D51" w:rsidRPr="00037AD4" w:rsidRDefault="00B54D51" w:rsidP="001A7D5D">
            <w:pPr>
              <w:pStyle w:val="NormalWeb"/>
              <w:rPr>
                <w:rFonts w:asciiTheme="minorHAnsi" w:hAnsiTheme="minorHAnsi" w:cstheme="minorHAnsi"/>
              </w:rPr>
            </w:pPr>
          </w:p>
        </w:tc>
        <w:tc>
          <w:tcPr>
            <w:tcW w:w="789" w:type="dxa"/>
          </w:tcPr>
          <w:p w14:paraId="1771CC3A" w14:textId="77777777" w:rsidR="00B54D51" w:rsidRPr="00037AD4" w:rsidRDefault="00B54D51" w:rsidP="001A7D5D">
            <w:pPr>
              <w:pStyle w:val="NormalWeb"/>
              <w:rPr>
                <w:rFonts w:asciiTheme="minorHAnsi" w:hAnsiTheme="minorHAnsi" w:cstheme="minorHAnsi"/>
              </w:rPr>
            </w:pPr>
          </w:p>
        </w:tc>
        <w:tc>
          <w:tcPr>
            <w:tcW w:w="964" w:type="dxa"/>
          </w:tcPr>
          <w:p w14:paraId="03B48858" w14:textId="77777777" w:rsidR="00B54D51" w:rsidRPr="00037AD4" w:rsidRDefault="00B54D51" w:rsidP="001A7D5D">
            <w:pPr>
              <w:pStyle w:val="NormalWeb"/>
              <w:rPr>
                <w:rFonts w:asciiTheme="minorHAnsi" w:hAnsiTheme="minorHAnsi" w:cstheme="minorHAnsi"/>
              </w:rPr>
            </w:pPr>
          </w:p>
        </w:tc>
        <w:tc>
          <w:tcPr>
            <w:tcW w:w="864" w:type="dxa"/>
          </w:tcPr>
          <w:p w14:paraId="3FDF3F15" w14:textId="77777777" w:rsidR="00B54D51" w:rsidRPr="00037AD4" w:rsidRDefault="00B54D51" w:rsidP="001A7D5D">
            <w:pPr>
              <w:pStyle w:val="NormalWeb"/>
              <w:rPr>
                <w:rFonts w:asciiTheme="minorHAnsi" w:hAnsiTheme="minorHAnsi" w:cstheme="minorHAnsi"/>
              </w:rPr>
            </w:pPr>
            <w:r w:rsidRPr="00037AD4">
              <w:rPr>
                <w:rFonts w:ascii="Segoe UI Symbol" w:hAnsi="Segoe UI Symbol" w:cs="Segoe UI Symbol"/>
              </w:rPr>
              <w:t>✓</w:t>
            </w:r>
          </w:p>
        </w:tc>
        <w:tc>
          <w:tcPr>
            <w:tcW w:w="922" w:type="dxa"/>
          </w:tcPr>
          <w:p w14:paraId="7283DB6C" w14:textId="77777777" w:rsidR="00B54D51" w:rsidRPr="00037AD4" w:rsidRDefault="00B54D51" w:rsidP="001A7D5D">
            <w:pPr>
              <w:pStyle w:val="NormalWeb"/>
              <w:rPr>
                <w:rFonts w:asciiTheme="minorHAnsi" w:hAnsiTheme="minorHAnsi" w:cstheme="minorHAnsi"/>
              </w:rPr>
            </w:pPr>
          </w:p>
        </w:tc>
      </w:tr>
      <w:tr w:rsidR="00B54D51" w:rsidRPr="00037AD4" w14:paraId="6B0E2354" w14:textId="77777777" w:rsidTr="0078211D">
        <w:tc>
          <w:tcPr>
            <w:tcW w:w="2432" w:type="dxa"/>
          </w:tcPr>
          <w:p w14:paraId="6F41135E" w14:textId="77777777" w:rsidR="00B54D51" w:rsidRPr="00037AD4" w:rsidRDefault="00B54D51" w:rsidP="001A7D5D">
            <w:pPr>
              <w:pStyle w:val="NormalWeb"/>
              <w:rPr>
                <w:rFonts w:asciiTheme="minorHAnsi" w:hAnsiTheme="minorHAnsi" w:cstheme="minorHAnsi"/>
              </w:rPr>
            </w:pPr>
            <w:r w:rsidRPr="00037AD4">
              <w:rPr>
                <w:rFonts w:asciiTheme="minorHAnsi" w:hAnsiTheme="minorHAnsi" w:cstheme="minorHAnsi"/>
              </w:rPr>
              <w:t xml:space="preserve">King, 2022 </w:t>
            </w:r>
            <w:r>
              <w:rPr>
                <w:rFonts w:asciiTheme="minorHAnsi" w:hAnsiTheme="minorHAnsi" w:cstheme="minorHAnsi"/>
                <w:noProof/>
              </w:rPr>
              <w:t>(King et al., 2022)</w:t>
            </w:r>
          </w:p>
        </w:tc>
        <w:tc>
          <w:tcPr>
            <w:tcW w:w="988" w:type="dxa"/>
          </w:tcPr>
          <w:p w14:paraId="2E90F4E3" w14:textId="77777777" w:rsidR="00B54D51" w:rsidRPr="00037AD4" w:rsidRDefault="00B54D51" w:rsidP="001A7D5D">
            <w:pPr>
              <w:pStyle w:val="NormalWeb"/>
              <w:rPr>
                <w:rFonts w:asciiTheme="minorHAnsi" w:hAnsiTheme="minorHAnsi" w:cstheme="minorHAnsi"/>
              </w:rPr>
            </w:pPr>
            <w:r w:rsidRPr="00037AD4">
              <w:rPr>
                <w:rFonts w:ascii="Segoe UI Symbol" w:hAnsi="Segoe UI Symbol" w:cs="Segoe UI Symbol"/>
              </w:rPr>
              <w:t>✓</w:t>
            </w:r>
          </w:p>
        </w:tc>
        <w:tc>
          <w:tcPr>
            <w:tcW w:w="1013" w:type="dxa"/>
          </w:tcPr>
          <w:p w14:paraId="0A0F6622" w14:textId="77777777" w:rsidR="00B54D51" w:rsidRPr="00037AD4" w:rsidRDefault="00B54D51" w:rsidP="001A7D5D">
            <w:pPr>
              <w:pStyle w:val="NormalWeb"/>
              <w:rPr>
                <w:rFonts w:asciiTheme="minorHAnsi" w:hAnsiTheme="minorHAnsi" w:cstheme="minorHAnsi"/>
              </w:rPr>
            </w:pPr>
          </w:p>
        </w:tc>
        <w:tc>
          <w:tcPr>
            <w:tcW w:w="930" w:type="dxa"/>
          </w:tcPr>
          <w:p w14:paraId="0BCDECA3" w14:textId="77777777" w:rsidR="00B54D51" w:rsidRPr="00037AD4" w:rsidRDefault="00B54D51" w:rsidP="001A7D5D">
            <w:pPr>
              <w:pStyle w:val="NormalWeb"/>
              <w:rPr>
                <w:rFonts w:asciiTheme="minorHAnsi" w:hAnsiTheme="minorHAnsi" w:cstheme="minorHAnsi"/>
              </w:rPr>
            </w:pPr>
          </w:p>
        </w:tc>
        <w:tc>
          <w:tcPr>
            <w:tcW w:w="1013" w:type="dxa"/>
          </w:tcPr>
          <w:p w14:paraId="75FBEB39" w14:textId="77777777" w:rsidR="00B54D51" w:rsidRPr="00037AD4" w:rsidRDefault="00B54D51" w:rsidP="001A7D5D">
            <w:pPr>
              <w:pStyle w:val="NormalWeb"/>
              <w:rPr>
                <w:rFonts w:asciiTheme="minorHAnsi" w:hAnsiTheme="minorHAnsi" w:cstheme="minorHAnsi"/>
              </w:rPr>
            </w:pPr>
          </w:p>
        </w:tc>
        <w:tc>
          <w:tcPr>
            <w:tcW w:w="1054" w:type="dxa"/>
          </w:tcPr>
          <w:p w14:paraId="5C7BEAE2" w14:textId="77777777" w:rsidR="00B54D51" w:rsidRPr="00037AD4" w:rsidRDefault="00B54D51" w:rsidP="001A7D5D">
            <w:pPr>
              <w:pStyle w:val="NormalWeb"/>
              <w:rPr>
                <w:rFonts w:asciiTheme="minorHAnsi" w:hAnsiTheme="minorHAnsi" w:cstheme="minorHAnsi"/>
              </w:rPr>
            </w:pPr>
          </w:p>
        </w:tc>
        <w:tc>
          <w:tcPr>
            <w:tcW w:w="1062" w:type="dxa"/>
          </w:tcPr>
          <w:p w14:paraId="18EEBFA3" w14:textId="77777777" w:rsidR="00B54D51" w:rsidRPr="00037AD4" w:rsidRDefault="00B54D51" w:rsidP="001A7D5D">
            <w:pPr>
              <w:pStyle w:val="NormalWeb"/>
              <w:rPr>
                <w:rFonts w:asciiTheme="minorHAnsi" w:hAnsiTheme="minorHAnsi" w:cstheme="minorHAnsi"/>
              </w:rPr>
            </w:pPr>
          </w:p>
        </w:tc>
        <w:tc>
          <w:tcPr>
            <w:tcW w:w="863" w:type="dxa"/>
          </w:tcPr>
          <w:p w14:paraId="1A3A9A66" w14:textId="77777777" w:rsidR="00B54D51" w:rsidRPr="00037AD4" w:rsidRDefault="00B54D51" w:rsidP="001A7D5D">
            <w:pPr>
              <w:pStyle w:val="NormalWeb"/>
              <w:rPr>
                <w:rFonts w:asciiTheme="minorHAnsi" w:hAnsiTheme="minorHAnsi" w:cstheme="minorHAnsi"/>
              </w:rPr>
            </w:pPr>
          </w:p>
        </w:tc>
        <w:tc>
          <w:tcPr>
            <w:tcW w:w="1054" w:type="dxa"/>
          </w:tcPr>
          <w:p w14:paraId="5541E7C9" w14:textId="77777777" w:rsidR="00B54D51" w:rsidRPr="00037AD4" w:rsidRDefault="00B54D51" w:rsidP="001A7D5D">
            <w:pPr>
              <w:pStyle w:val="NormalWeb"/>
              <w:rPr>
                <w:rFonts w:asciiTheme="minorHAnsi" w:hAnsiTheme="minorHAnsi" w:cstheme="minorHAnsi"/>
              </w:rPr>
            </w:pPr>
            <w:r w:rsidRPr="00037AD4">
              <w:rPr>
                <w:rFonts w:ascii="Segoe UI Symbol" w:hAnsi="Segoe UI Symbol" w:cs="Segoe UI Symbol"/>
              </w:rPr>
              <w:t>✓</w:t>
            </w:r>
          </w:p>
        </w:tc>
        <w:tc>
          <w:tcPr>
            <w:tcW w:w="789" w:type="dxa"/>
          </w:tcPr>
          <w:p w14:paraId="5C65F4B7" w14:textId="77777777" w:rsidR="00B54D51" w:rsidRPr="00037AD4" w:rsidRDefault="00B54D51" w:rsidP="001A7D5D">
            <w:pPr>
              <w:pStyle w:val="NormalWeb"/>
              <w:rPr>
                <w:rFonts w:asciiTheme="minorHAnsi" w:hAnsiTheme="minorHAnsi" w:cstheme="minorHAnsi"/>
              </w:rPr>
            </w:pPr>
          </w:p>
        </w:tc>
        <w:tc>
          <w:tcPr>
            <w:tcW w:w="964" w:type="dxa"/>
          </w:tcPr>
          <w:p w14:paraId="4E6A037F" w14:textId="77777777" w:rsidR="00B54D51" w:rsidRPr="00037AD4" w:rsidRDefault="00B54D51" w:rsidP="001A7D5D">
            <w:pPr>
              <w:pStyle w:val="NormalWeb"/>
              <w:rPr>
                <w:rFonts w:asciiTheme="minorHAnsi" w:hAnsiTheme="minorHAnsi" w:cstheme="minorHAnsi"/>
              </w:rPr>
            </w:pPr>
          </w:p>
        </w:tc>
        <w:tc>
          <w:tcPr>
            <w:tcW w:w="864" w:type="dxa"/>
          </w:tcPr>
          <w:p w14:paraId="5414F202" w14:textId="77777777" w:rsidR="00B54D51" w:rsidRPr="00037AD4" w:rsidRDefault="00B54D51" w:rsidP="001A7D5D">
            <w:pPr>
              <w:pStyle w:val="NormalWeb"/>
              <w:rPr>
                <w:rFonts w:asciiTheme="minorHAnsi" w:hAnsiTheme="minorHAnsi" w:cstheme="minorHAnsi"/>
              </w:rPr>
            </w:pPr>
          </w:p>
        </w:tc>
        <w:tc>
          <w:tcPr>
            <w:tcW w:w="922" w:type="dxa"/>
          </w:tcPr>
          <w:p w14:paraId="42950C85" w14:textId="77777777" w:rsidR="00B54D51" w:rsidRPr="00037AD4" w:rsidRDefault="00B54D51" w:rsidP="001A7D5D">
            <w:pPr>
              <w:pStyle w:val="NormalWeb"/>
              <w:rPr>
                <w:rFonts w:asciiTheme="minorHAnsi" w:hAnsiTheme="minorHAnsi" w:cstheme="minorHAnsi"/>
              </w:rPr>
            </w:pPr>
          </w:p>
        </w:tc>
      </w:tr>
      <w:tr w:rsidR="00B54D51" w:rsidRPr="00037AD4" w14:paraId="32F11C6E" w14:textId="77777777" w:rsidTr="0078211D">
        <w:tc>
          <w:tcPr>
            <w:tcW w:w="2432" w:type="dxa"/>
          </w:tcPr>
          <w:p w14:paraId="186E45A1" w14:textId="77777777" w:rsidR="00B54D51" w:rsidRPr="00037AD4" w:rsidRDefault="00B54D51" w:rsidP="001A7D5D">
            <w:pPr>
              <w:pStyle w:val="NormalWeb"/>
              <w:rPr>
                <w:rFonts w:asciiTheme="minorHAnsi" w:hAnsiTheme="minorHAnsi" w:cstheme="minorHAnsi"/>
              </w:rPr>
            </w:pPr>
            <w:r w:rsidRPr="00037AD4">
              <w:rPr>
                <w:rFonts w:asciiTheme="minorHAnsi" w:hAnsiTheme="minorHAnsi" w:cstheme="minorHAnsi"/>
              </w:rPr>
              <w:t xml:space="preserve">Kunz, 2010 </w:t>
            </w:r>
            <w:r>
              <w:rPr>
                <w:rFonts w:asciiTheme="minorHAnsi" w:hAnsiTheme="minorHAnsi" w:cstheme="minorHAnsi"/>
                <w:noProof/>
              </w:rPr>
              <w:t>(Kunz, 2010)</w:t>
            </w:r>
          </w:p>
        </w:tc>
        <w:tc>
          <w:tcPr>
            <w:tcW w:w="988" w:type="dxa"/>
          </w:tcPr>
          <w:p w14:paraId="5971EB8E" w14:textId="77777777" w:rsidR="00B54D51" w:rsidRPr="00037AD4" w:rsidRDefault="00B54D51" w:rsidP="001A7D5D">
            <w:pPr>
              <w:pStyle w:val="NormalWeb"/>
              <w:rPr>
                <w:rFonts w:asciiTheme="minorHAnsi" w:hAnsiTheme="minorHAnsi" w:cstheme="minorHAnsi"/>
              </w:rPr>
            </w:pPr>
            <w:r w:rsidRPr="00037AD4">
              <w:rPr>
                <w:rFonts w:ascii="Segoe UI Symbol" w:hAnsi="Segoe UI Symbol" w:cs="Segoe UI Symbol"/>
              </w:rPr>
              <w:t>✓</w:t>
            </w:r>
          </w:p>
        </w:tc>
        <w:tc>
          <w:tcPr>
            <w:tcW w:w="1013" w:type="dxa"/>
          </w:tcPr>
          <w:p w14:paraId="02669E07" w14:textId="77777777" w:rsidR="00B54D51" w:rsidRPr="00037AD4" w:rsidRDefault="00B54D51" w:rsidP="001A7D5D">
            <w:pPr>
              <w:pStyle w:val="NormalWeb"/>
              <w:rPr>
                <w:rFonts w:asciiTheme="minorHAnsi" w:hAnsiTheme="minorHAnsi" w:cstheme="minorHAnsi"/>
              </w:rPr>
            </w:pPr>
          </w:p>
        </w:tc>
        <w:tc>
          <w:tcPr>
            <w:tcW w:w="930" w:type="dxa"/>
          </w:tcPr>
          <w:p w14:paraId="35C91430" w14:textId="77777777" w:rsidR="00B54D51" w:rsidRPr="00037AD4" w:rsidRDefault="00B54D51" w:rsidP="001A7D5D">
            <w:pPr>
              <w:pStyle w:val="NormalWeb"/>
              <w:rPr>
                <w:rFonts w:asciiTheme="minorHAnsi" w:hAnsiTheme="minorHAnsi" w:cstheme="minorHAnsi"/>
              </w:rPr>
            </w:pPr>
          </w:p>
        </w:tc>
        <w:tc>
          <w:tcPr>
            <w:tcW w:w="1013" w:type="dxa"/>
          </w:tcPr>
          <w:p w14:paraId="7E183E44" w14:textId="77777777" w:rsidR="00B54D51" w:rsidRPr="00037AD4" w:rsidRDefault="00B54D51" w:rsidP="001A7D5D">
            <w:pPr>
              <w:pStyle w:val="NormalWeb"/>
              <w:rPr>
                <w:rFonts w:asciiTheme="minorHAnsi" w:hAnsiTheme="minorHAnsi" w:cstheme="minorHAnsi"/>
              </w:rPr>
            </w:pPr>
          </w:p>
        </w:tc>
        <w:tc>
          <w:tcPr>
            <w:tcW w:w="1054" w:type="dxa"/>
          </w:tcPr>
          <w:p w14:paraId="0319BCD4" w14:textId="77777777" w:rsidR="00B54D51" w:rsidRPr="00037AD4" w:rsidRDefault="00B54D51" w:rsidP="001A7D5D">
            <w:pPr>
              <w:pStyle w:val="NormalWeb"/>
              <w:rPr>
                <w:rFonts w:asciiTheme="minorHAnsi" w:hAnsiTheme="minorHAnsi" w:cstheme="minorHAnsi"/>
              </w:rPr>
            </w:pPr>
            <w:r w:rsidRPr="00037AD4">
              <w:rPr>
                <w:rFonts w:ascii="Segoe UI Symbol" w:hAnsi="Segoe UI Symbol" w:cs="Segoe UI Symbol"/>
              </w:rPr>
              <w:t>✓</w:t>
            </w:r>
          </w:p>
        </w:tc>
        <w:tc>
          <w:tcPr>
            <w:tcW w:w="1062" w:type="dxa"/>
          </w:tcPr>
          <w:p w14:paraId="0D6DC9E4" w14:textId="77777777" w:rsidR="00B54D51" w:rsidRPr="00037AD4" w:rsidRDefault="00B54D51" w:rsidP="001A7D5D">
            <w:pPr>
              <w:pStyle w:val="NormalWeb"/>
              <w:rPr>
                <w:rFonts w:asciiTheme="minorHAnsi" w:hAnsiTheme="minorHAnsi" w:cstheme="minorHAnsi"/>
              </w:rPr>
            </w:pPr>
          </w:p>
        </w:tc>
        <w:tc>
          <w:tcPr>
            <w:tcW w:w="863" w:type="dxa"/>
          </w:tcPr>
          <w:p w14:paraId="47E6DE23" w14:textId="77777777" w:rsidR="00B54D51" w:rsidRPr="00037AD4" w:rsidRDefault="00B54D51" w:rsidP="001A7D5D">
            <w:pPr>
              <w:pStyle w:val="NormalWeb"/>
              <w:rPr>
                <w:rFonts w:asciiTheme="minorHAnsi" w:hAnsiTheme="minorHAnsi" w:cstheme="minorHAnsi"/>
              </w:rPr>
            </w:pPr>
          </w:p>
        </w:tc>
        <w:tc>
          <w:tcPr>
            <w:tcW w:w="1054" w:type="dxa"/>
          </w:tcPr>
          <w:p w14:paraId="7EE4B8EE" w14:textId="77777777" w:rsidR="00B54D51" w:rsidRPr="00037AD4" w:rsidRDefault="00B54D51" w:rsidP="001A7D5D">
            <w:pPr>
              <w:pStyle w:val="NormalWeb"/>
              <w:rPr>
                <w:rFonts w:asciiTheme="minorHAnsi" w:hAnsiTheme="minorHAnsi" w:cstheme="minorHAnsi"/>
              </w:rPr>
            </w:pPr>
          </w:p>
        </w:tc>
        <w:tc>
          <w:tcPr>
            <w:tcW w:w="789" w:type="dxa"/>
          </w:tcPr>
          <w:p w14:paraId="279788F6" w14:textId="77777777" w:rsidR="00B54D51" w:rsidRPr="00037AD4" w:rsidRDefault="00B54D51" w:rsidP="001A7D5D">
            <w:pPr>
              <w:pStyle w:val="NormalWeb"/>
              <w:rPr>
                <w:rFonts w:asciiTheme="minorHAnsi" w:hAnsiTheme="minorHAnsi" w:cstheme="minorHAnsi"/>
              </w:rPr>
            </w:pPr>
          </w:p>
        </w:tc>
        <w:tc>
          <w:tcPr>
            <w:tcW w:w="964" w:type="dxa"/>
          </w:tcPr>
          <w:p w14:paraId="7B6DFAA3" w14:textId="77777777" w:rsidR="00B54D51" w:rsidRPr="00037AD4" w:rsidRDefault="00B54D51" w:rsidP="001A7D5D">
            <w:pPr>
              <w:pStyle w:val="NormalWeb"/>
              <w:rPr>
                <w:rFonts w:asciiTheme="minorHAnsi" w:hAnsiTheme="minorHAnsi" w:cstheme="minorHAnsi"/>
              </w:rPr>
            </w:pPr>
          </w:p>
        </w:tc>
        <w:tc>
          <w:tcPr>
            <w:tcW w:w="864" w:type="dxa"/>
          </w:tcPr>
          <w:p w14:paraId="45354509" w14:textId="77777777" w:rsidR="00B54D51" w:rsidRPr="00037AD4" w:rsidRDefault="00B54D51" w:rsidP="001A7D5D">
            <w:pPr>
              <w:pStyle w:val="NormalWeb"/>
              <w:rPr>
                <w:rFonts w:asciiTheme="minorHAnsi" w:hAnsiTheme="minorHAnsi" w:cstheme="minorHAnsi"/>
              </w:rPr>
            </w:pPr>
          </w:p>
        </w:tc>
        <w:tc>
          <w:tcPr>
            <w:tcW w:w="922" w:type="dxa"/>
          </w:tcPr>
          <w:p w14:paraId="27A653FF" w14:textId="77777777" w:rsidR="00B54D51" w:rsidRPr="00037AD4" w:rsidRDefault="00B54D51" w:rsidP="001A7D5D">
            <w:pPr>
              <w:pStyle w:val="NormalWeb"/>
              <w:rPr>
                <w:rFonts w:asciiTheme="minorHAnsi" w:hAnsiTheme="minorHAnsi" w:cstheme="minorHAnsi"/>
              </w:rPr>
            </w:pPr>
          </w:p>
        </w:tc>
      </w:tr>
      <w:tr w:rsidR="00B54D51" w:rsidRPr="00037AD4" w14:paraId="0D84065B" w14:textId="77777777" w:rsidTr="0078211D">
        <w:tc>
          <w:tcPr>
            <w:tcW w:w="2432" w:type="dxa"/>
          </w:tcPr>
          <w:p w14:paraId="66DC63AD" w14:textId="77777777" w:rsidR="00B54D51" w:rsidRPr="00037AD4" w:rsidRDefault="00B54D51" w:rsidP="001A7D5D">
            <w:pPr>
              <w:pStyle w:val="NormalWeb"/>
              <w:rPr>
                <w:rFonts w:asciiTheme="minorHAnsi" w:hAnsiTheme="minorHAnsi" w:cstheme="minorHAnsi"/>
              </w:rPr>
            </w:pPr>
            <w:r w:rsidRPr="00037AD4">
              <w:rPr>
                <w:rFonts w:asciiTheme="minorHAnsi" w:hAnsiTheme="minorHAnsi" w:cstheme="minorHAnsi"/>
              </w:rPr>
              <w:t xml:space="preserve">Kuo, 2010 </w:t>
            </w:r>
            <w:r>
              <w:rPr>
                <w:rFonts w:asciiTheme="minorHAnsi" w:hAnsiTheme="minorHAnsi" w:cstheme="minorHAnsi"/>
                <w:noProof/>
              </w:rPr>
              <w:t>(Kuo et al., 2010)</w:t>
            </w:r>
          </w:p>
        </w:tc>
        <w:tc>
          <w:tcPr>
            <w:tcW w:w="988" w:type="dxa"/>
          </w:tcPr>
          <w:p w14:paraId="2FE8DB23" w14:textId="77777777" w:rsidR="00B54D51" w:rsidRPr="00037AD4" w:rsidRDefault="00B54D51" w:rsidP="001A7D5D">
            <w:pPr>
              <w:pStyle w:val="NormalWeb"/>
              <w:rPr>
                <w:rFonts w:asciiTheme="minorHAnsi" w:hAnsiTheme="minorHAnsi" w:cstheme="minorHAnsi"/>
              </w:rPr>
            </w:pPr>
            <w:r w:rsidRPr="00037AD4">
              <w:rPr>
                <w:rFonts w:ascii="Segoe UI Symbol" w:hAnsi="Segoe UI Symbol" w:cs="Segoe UI Symbol"/>
              </w:rPr>
              <w:t>✓</w:t>
            </w:r>
          </w:p>
        </w:tc>
        <w:tc>
          <w:tcPr>
            <w:tcW w:w="1013" w:type="dxa"/>
          </w:tcPr>
          <w:p w14:paraId="132B87CA" w14:textId="77777777" w:rsidR="00B54D51" w:rsidRPr="00037AD4" w:rsidRDefault="00B54D51" w:rsidP="001A7D5D">
            <w:pPr>
              <w:pStyle w:val="NormalWeb"/>
              <w:rPr>
                <w:rFonts w:asciiTheme="minorHAnsi" w:hAnsiTheme="minorHAnsi" w:cstheme="minorHAnsi"/>
              </w:rPr>
            </w:pPr>
          </w:p>
        </w:tc>
        <w:tc>
          <w:tcPr>
            <w:tcW w:w="930" w:type="dxa"/>
          </w:tcPr>
          <w:p w14:paraId="0804FB18" w14:textId="77777777" w:rsidR="00B54D51" w:rsidRPr="00037AD4" w:rsidRDefault="00B54D51" w:rsidP="001A7D5D">
            <w:pPr>
              <w:pStyle w:val="NormalWeb"/>
              <w:rPr>
                <w:rFonts w:asciiTheme="minorHAnsi" w:hAnsiTheme="minorHAnsi" w:cstheme="minorHAnsi"/>
              </w:rPr>
            </w:pPr>
          </w:p>
        </w:tc>
        <w:tc>
          <w:tcPr>
            <w:tcW w:w="1013" w:type="dxa"/>
          </w:tcPr>
          <w:p w14:paraId="42218FBA" w14:textId="77777777" w:rsidR="00B54D51" w:rsidRPr="00037AD4" w:rsidRDefault="00B54D51" w:rsidP="001A7D5D">
            <w:pPr>
              <w:pStyle w:val="NormalWeb"/>
              <w:rPr>
                <w:rFonts w:asciiTheme="minorHAnsi" w:hAnsiTheme="minorHAnsi" w:cstheme="minorHAnsi"/>
              </w:rPr>
            </w:pPr>
          </w:p>
        </w:tc>
        <w:tc>
          <w:tcPr>
            <w:tcW w:w="1054" w:type="dxa"/>
          </w:tcPr>
          <w:p w14:paraId="1C939B67" w14:textId="77777777" w:rsidR="00B54D51" w:rsidRPr="00037AD4" w:rsidRDefault="00B54D51" w:rsidP="001A7D5D">
            <w:pPr>
              <w:pStyle w:val="NormalWeb"/>
              <w:rPr>
                <w:rFonts w:asciiTheme="minorHAnsi" w:hAnsiTheme="minorHAnsi" w:cstheme="minorHAnsi"/>
              </w:rPr>
            </w:pPr>
            <w:r w:rsidRPr="00037AD4">
              <w:rPr>
                <w:rFonts w:ascii="Segoe UI Symbol" w:hAnsi="Segoe UI Symbol" w:cs="Segoe UI Symbol"/>
              </w:rPr>
              <w:t>✓</w:t>
            </w:r>
          </w:p>
        </w:tc>
        <w:tc>
          <w:tcPr>
            <w:tcW w:w="1062" w:type="dxa"/>
          </w:tcPr>
          <w:p w14:paraId="65BD872C" w14:textId="77777777" w:rsidR="00B54D51" w:rsidRPr="00037AD4" w:rsidRDefault="00B54D51" w:rsidP="001A7D5D">
            <w:pPr>
              <w:pStyle w:val="NormalWeb"/>
              <w:rPr>
                <w:rFonts w:asciiTheme="minorHAnsi" w:hAnsiTheme="minorHAnsi" w:cstheme="minorHAnsi"/>
              </w:rPr>
            </w:pPr>
          </w:p>
        </w:tc>
        <w:tc>
          <w:tcPr>
            <w:tcW w:w="863" w:type="dxa"/>
          </w:tcPr>
          <w:p w14:paraId="32F78B23" w14:textId="77777777" w:rsidR="00B54D51" w:rsidRPr="00037AD4" w:rsidRDefault="00B54D51" w:rsidP="001A7D5D">
            <w:pPr>
              <w:pStyle w:val="NormalWeb"/>
              <w:rPr>
                <w:rFonts w:asciiTheme="minorHAnsi" w:hAnsiTheme="minorHAnsi" w:cstheme="minorHAnsi"/>
              </w:rPr>
            </w:pPr>
          </w:p>
        </w:tc>
        <w:tc>
          <w:tcPr>
            <w:tcW w:w="1054" w:type="dxa"/>
          </w:tcPr>
          <w:p w14:paraId="5DA1839F" w14:textId="77777777" w:rsidR="00B54D51" w:rsidRPr="00037AD4" w:rsidRDefault="00B54D51" w:rsidP="001A7D5D">
            <w:pPr>
              <w:pStyle w:val="NormalWeb"/>
              <w:rPr>
                <w:rFonts w:asciiTheme="minorHAnsi" w:hAnsiTheme="minorHAnsi" w:cstheme="minorHAnsi"/>
              </w:rPr>
            </w:pPr>
          </w:p>
        </w:tc>
        <w:tc>
          <w:tcPr>
            <w:tcW w:w="789" w:type="dxa"/>
          </w:tcPr>
          <w:p w14:paraId="184356A9" w14:textId="77777777" w:rsidR="00B54D51" w:rsidRPr="00037AD4" w:rsidRDefault="00B54D51" w:rsidP="001A7D5D">
            <w:pPr>
              <w:pStyle w:val="NormalWeb"/>
              <w:rPr>
                <w:rFonts w:asciiTheme="minorHAnsi" w:hAnsiTheme="minorHAnsi" w:cstheme="minorHAnsi"/>
              </w:rPr>
            </w:pPr>
          </w:p>
        </w:tc>
        <w:tc>
          <w:tcPr>
            <w:tcW w:w="964" w:type="dxa"/>
          </w:tcPr>
          <w:p w14:paraId="6A605A73" w14:textId="77777777" w:rsidR="00B54D51" w:rsidRPr="00037AD4" w:rsidRDefault="00B54D51" w:rsidP="001A7D5D">
            <w:pPr>
              <w:pStyle w:val="NormalWeb"/>
              <w:rPr>
                <w:rFonts w:asciiTheme="minorHAnsi" w:hAnsiTheme="minorHAnsi" w:cstheme="minorHAnsi"/>
              </w:rPr>
            </w:pPr>
          </w:p>
        </w:tc>
        <w:tc>
          <w:tcPr>
            <w:tcW w:w="864" w:type="dxa"/>
          </w:tcPr>
          <w:p w14:paraId="0D7ACB71" w14:textId="77777777" w:rsidR="00B54D51" w:rsidRPr="00037AD4" w:rsidRDefault="00B54D51" w:rsidP="001A7D5D">
            <w:pPr>
              <w:pStyle w:val="NormalWeb"/>
              <w:rPr>
                <w:rFonts w:asciiTheme="minorHAnsi" w:hAnsiTheme="minorHAnsi" w:cstheme="minorHAnsi"/>
              </w:rPr>
            </w:pPr>
          </w:p>
        </w:tc>
        <w:tc>
          <w:tcPr>
            <w:tcW w:w="922" w:type="dxa"/>
          </w:tcPr>
          <w:p w14:paraId="3ADB637A" w14:textId="77777777" w:rsidR="00B54D51" w:rsidRPr="00037AD4" w:rsidRDefault="00B54D51" w:rsidP="001A7D5D">
            <w:pPr>
              <w:pStyle w:val="NormalWeb"/>
              <w:rPr>
                <w:rFonts w:asciiTheme="minorHAnsi" w:hAnsiTheme="minorHAnsi" w:cstheme="minorHAnsi"/>
              </w:rPr>
            </w:pPr>
          </w:p>
        </w:tc>
      </w:tr>
      <w:tr w:rsidR="00B54D51" w:rsidRPr="00037AD4" w14:paraId="614640FE" w14:textId="77777777" w:rsidTr="0078211D">
        <w:tc>
          <w:tcPr>
            <w:tcW w:w="2432" w:type="dxa"/>
          </w:tcPr>
          <w:p w14:paraId="1CF48C08" w14:textId="77777777" w:rsidR="00B54D51" w:rsidRPr="00037AD4" w:rsidRDefault="00B54D51" w:rsidP="001A7D5D">
            <w:pPr>
              <w:pStyle w:val="NormalWeb"/>
              <w:rPr>
                <w:rFonts w:asciiTheme="minorHAnsi" w:hAnsiTheme="minorHAnsi" w:cstheme="minorHAnsi"/>
              </w:rPr>
            </w:pPr>
            <w:r w:rsidRPr="00037AD4">
              <w:rPr>
                <w:rFonts w:asciiTheme="minorHAnsi" w:hAnsiTheme="minorHAnsi" w:cstheme="minorHAnsi"/>
              </w:rPr>
              <w:t xml:space="preserve">Martin, 2019 </w:t>
            </w:r>
            <w:r>
              <w:rPr>
                <w:rFonts w:asciiTheme="minorHAnsi" w:hAnsiTheme="minorHAnsi" w:cstheme="minorHAnsi"/>
                <w:noProof/>
              </w:rPr>
              <w:t>(Martin et al., 2019)</w:t>
            </w:r>
          </w:p>
        </w:tc>
        <w:tc>
          <w:tcPr>
            <w:tcW w:w="988" w:type="dxa"/>
          </w:tcPr>
          <w:p w14:paraId="6CACC082" w14:textId="77777777" w:rsidR="00B54D51" w:rsidRPr="00037AD4" w:rsidRDefault="00B54D51" w:rsidP="001A7D5D">
            <w:pPr>
              <w:pStyle w:val="NormalWeb"/>
              <w:rPr>
                <w:rFonts w:asciiTheme="minorHAnsi" w:hAnsiTheme="minorHAnsi" w:cstheme="minorHAnsi"/>
              </w:rPr>
            </w:pPr>
          </w:p>
        </w:tc>
        <w:tc>
          <w:tcPr>
            <w:tcW w:w="1013" w:type="dxa"/>
          </w:tcPr>
          <w:p w14:paraId="3A621E82" w14:textId="77777777" w:rsidR="00B54D51" w:rsidRPr="00037AD4" w:rsidRDefault="00B54D51" w:rsidP="001A7D5D">
            <w:pPr>
              <w:pStyle w:val="NormalWeb"/>
              <w:rPr>
                <w:rFonts w:asciiTheme="minorHAnsi" w:hAnsiTheme="minorHAnsi" w:cstheme="minorHAnsi"/>
              </w:rPr>
            </w:pPr>
          </w:p>
        </w:tc>
        <w:tc>
          <w:tcPr>
            <w:tcW w:w="930" w:type="dxa"/>
          </w:tcPr>
          <w:p w14:paraId="61392EA0" w14:textId="77777777" w:rsidR="00B54D51" w:rsidRPr="00037AD4" w:rsidRDefault="00B54D51" w:rsidP="001A7D5D">
            <w:pPr>
              <w:pStyle w:val="NormalWeb"/>
              <w:rPr>
                <w:rFonts w:asciiTheme="minorHAnsi" w:hAnsiTheme="minorHAnsi" w:cstheme="minorHAnsi"/>
              </w:rPr>
            </w:pPr>
          </w:p>
        </w:tc>
        <w:tc>
          <w:tcPr>
            <w:tcW w:w="1013" w:type="dxa"/>
          </w:tcPr>
          <w:p w14:paraId="69BEA250" w14:textId="77777777" w:rsidR="00B54D51" w:rsidRPr="00037AD4" w:rsidRDefault="00B54D51" w:rsidP="001A7D5D">
            <w:pPr>
              <w:pStyle w:val="NormalWeb"/>
              <w:rPr>
                <w:rFonts w:asciiTheme="minorHAnsi" w:hAnsiTheme="minorHAnsi" w:cstheme="minorHAnsi"/>
              </w:rPr>
            </w:pPr>
          </w:p>
        </w:tc>
        <w:tc>
          <w:tcPr>
            <w:tcW w:w="1054" w:type="dxa"/>
          </w:tcPr>
          <w:p w14:paraId="5165D05F" w14:textId="77777777" w:rsidR="00B54D51" w:rsidRPr="00037AD4" w:rsidRDefault="00B54D51" w:rsidP="001A7D5D">
            <w:pPr>
              <w:pStyle w:val="NormalWeb"/>
              <w:rPr>
                <w:rFonts w:asciiTheme="minorHAnsi" w:hAnsiTheme="minorHAnsi" w:cstheme="minorHAnsi"/>
              </w:rPr>
            </w:pPr>
          </w:p>
        </w:tc>
        <w:tc>
          <w:tcPr>
            <w:tcW w:w="1062" w:type="dxa"/>
          </w:tcPr>
          <w:p w14:paraId="49F7A946" w14:textId="77777777" w:rsidR="00B54D51" w:rsidRPr="00037AD4" w:rsidRDefault="00B54D51" w:rsidP="001A7D5D">
            <w:pPr>
              <w:pStyle w:val="NormalWeb"/>
              <w:rPr>
                <w:rFonts w:asciiTheme="minorHAnsi" w:hAnsiTheme="minorHAnsi" w:cstheme="minorHAnsi"/>
              </w:rPr>
            </w:pPr>
          </w:p>
        </w:tc>
        <w:tc>
          <w:tcPr>
            <w:tcW w:w="863" w:type="dxa"/>
          </w:tcPr>
          <w:p w14:paraId="3D25B753" w14:textId="77777777" w:rsidR="00B54D51" w:rsidRPr="00037AD4" w:rsidRDefault="00B54D51" w:rsidP="001A7D5D">
            <w:pPr>
              <w:pStyle w:val="NormalWeb"/>
              <w:rPr>
                <w:rFonts w:asciiTheme="minorHAnsi" w:hAnsiTheme="minorHAnsi" w:cstheme="minorHAnsi"/>
              </w:rPr>
            </w:pPr>
          </w:p>
        </w:tc>
        <w:tc>
          <w:tcPr>
            <w:tcW w:w="1054" w:type="dxa"/>
          </w:tcPr>
          <w:p w14:paraId="6AF6BD45" w14:textId="77777777" w:rsidR="00B54D51" w:rsidRPr="00037AD4" w:rsidRDefault="00B54D51" w:rsidP="001A7D5D">
            <w:pPr>
              <w:pStyle w:val="NormalWeb"/>
              <w:rPr>
                <w:rFonts w:asciiTheme="minorHAnsi" w:hAnsiTheme="minorHAnsi" w:cstheme="minorHAnsi"/>
              </w:rPr>
            </w:pPr>
          </w:p>
        </w:tc>
        <w:tc>
          <w:tcPr>
            <w:tcW w:w="789" w:type="dxa"/>
          </w:tcPr>
          <w:p w14:paraId="16C80345" w14:textId="77777777" w:rsidR="00B54D51" w:rsidRPr="00037AD4" w:rsidRDefault="00B54D51" w:rsidP="001A7D5D">
            <w:pPr>
              <w:pStyle w:val="NormalWeb"/>
              <w:rPr>
                <w:rFonts w:asciiTheme="minorHAnsi" w:hAnsiTheme="minorHAnsi" w:cstheme="minorHAnsi"/>
              </w:rPr>
            </w:pPr>
          </w:p>
        </w:tc>
        <w:tc>
          <w:tcPr>
            <w:tcW w:w="964" w:type="dxa"/>
          </w:tcPr>
          <w:p w14:paraId="123223A5" w14:textId="77777777" w:rsidR="00B54D51" w:rsidRPr="00037AD4" w:rsidRDefault="00B54D51" w:rsidP="001A7D5D">
            <w:pPr>
              <w:pStyle w:val="NormalWeb"/>
              <w:rPr>
                <w:rFonts w:asciiTheme="minorHAnsi" w:hAnsiTheme="minorHAnsi" w:cstheme="minorHAnsi"/>
              </w:rPr>
            </w:pPr>
          </w:p>
        </w:tc>
        <w:tc>
          <w:tcPr>
            <w:tcW w:w="864" w:type="dxa"/>
          </w:tcPr>
          <w:p w14:paraId="288E1F8C" w14:textId="77777777" w:rsidR="00B54D51" w:rsidRPr="00037AD4" w:rsidRDefault="00B54D51" w:rsidP="001A7D5D">
            <w:pPr>
              <w:pStyle w:val="NormalWeb"/>
              <w:rPr>
                <w:rFonts w:asciiTheme="minorHAnsi" w:hAnsiTheme="minorHAnsi" w:cstheme="minorHAnsi"/>
              </w:rPr>
            </w:pPr>
          </w:p>
        </w:tc>
        <w:tc>
          <w:tcPr>
            <w:tcW w:w="922" w:type="dxa"/>
          </w:tcPr>
          <w:p w14:paraId="6F5D16F2" w14:textId="77777777" w:rsidR="00B54D51" w:rsidRPr="00037AD4" w:rsidRDefault="00B54D51" w:rsidP="001A7D5D">
            <w:pPr>
              <w:pStyle w:val="NormalWeb"/>
              <w:rPr>
                <w:rFonts w:asciiTheme="minorHAnsi" w:hAnsiTheme="minorHAnsi" w:cstheme="minorHAnsi"/>
              </w:rPr>
            </w:pPr>
            <w:r w:rsidRPr="00037AD4">
              <w:rPr>
                <w:rFonts w:ascii="Segoe UI Symbol" w:hAnsi="Segoe UI Symbol" w:cs="Segoe UI Symbol"/>
              </w:rPr>
              <w:t>✓</w:t>
            </w:r>
          </w:p>
        </w:tc>
      </w:tr>
      <w:tr w:rsidR="00B54D51" w:rsidRPr="00037AD4" w14:paraId="1BCE9967" w14:textId="77777777" w:rsidTr="0078211D">
        <w:tc>
          <w:tcPr>
            <w:tcW w:w="2432" w:type="dxa"/>
          </w:tcPr>
          <w:p w14:paraId="5F382C82" w14:textId="77777777" w:rsidR="00B54D51" w:rsidRPr="00037AD4" w:rsidRDefault="00B54D51" w:rsidP="001A7D5D">
            <w:pPr>
              <w:pStyle w:val="NormalWeb"/>
              <w:rPr>
                <w:rFonts w:asciiTheme="minorHAnsi" w:hAnsiTheme="minorHAnsi" w:cstheme="minorHAnsi"/>
              </w:rPr>
            </w:pPr>
            <w:r w:rsidRPr="00037AD4">
              <w:rPr>
                <w:rFonts w:asciiTheme="minorHAnsi" w:hAnsiTheme="minorHAnsi" w:cstheme="minorHAnsi"/>
              </w:rPr>
              <w:lastRenderedPageBreak/>
              <w:t xml:space="preserve">Michalowsky, 2021 </w:t>
            </w:r>
            <w:r>
              <w:rPr>
                <w:rFonts w:asciiTheme="minorHAnsi" w:hAnsiTheme="minorHAnsi" w:cstheme="minorHAnsi"/>
                <w:noProof/>
              </w:rPr>
              <w:t>(Michalowsky et al., 2021)</w:t>
            </w:r>
          </w:p>
        </w:tc>
        <w:tc>
          <w:tcPr>
            <w:tcW w:w="988" w:type="dxa"/>
          </w:tcPr>
          <w:p w14:paraId="09106812" w14:textId="77777777" w:rsidR="00B54D51" w:rsidRPr="00037AD4" w:rsidRDefault="00B54D51" w:rsidP="001A7D5D">
            <w:pPr>
              <w:pStyle w:val="NormalWeb"/>
              <w:rPr>
                <w:rFonts w:asciiTheme="minorHAnsi" w:hAnsiTheme="minorHAnsi" w:cstheme="minorHAnsi"/>
              </w:rPr>
            </w:pPr>
            <w:r w:rsidRPr="00037AD4">
              <w:rPr>
                <w:rFonts w:ascii="Segoe UI Symbol" w:hAnsi="Segoe UI Symbol" w:cs="Segoe UI Symbol"/>
              </w:rPr>
              <w:t>✓</w:t>
            </w:r>
          </w:p>
        </w:tc>
        <w:tc>
          <w:tcPr>
            <w:tcW w:w="1013" w:type="dxa"/>
          </w:tcPr>
          <w:p w14:paraId="55754325" w14:textId="77777777" w:rsidR="00B54D51" w:rsidRPr="00037AD4" w:rsidRDefault="00B54D51" w:rsidP="001A7D5D">
            <w:pPr>
              <w:pStyle w:val="NormalWeb"/>
              <w:rPr>
                <w:rFonts w:asciiTheme="minorHAnsi" w:hAnsiTheme="minorHAnsi" w:cstheme="minorHAnsi"/>
              </w:rPr>
            </w:pPr>
          </w:p>
        </w:tc>
        <w:tc>
          <w:tcPr>
            <w:tcW w:w="930" w:type="dxa"/>
          </w:tcPr>
          <w:p w14:paraId="0E9DBCA9" w14:textId="77777777" w:rsidR="00B54D51" w:rsidRPr="00037AD4" w:rsidRDefault="00B54D51" w:rsidP="001A7D5D">
            <w:pPr>
              <w:pStyle w:val="NormalWeb"/>
              <w:rPr>
                <w:rFonts w:asciiTheme="minorHAnsi" w:hAnsiTheme="minorHAnsi" w:cstheme="minorHAnsi"/>
              </w:rPr>
            </w:pPr>
          </w:p>
        </w:tc>
        <w:tc>
          <w:tcPr>
            <w:tcW w:w="1013" w:type="dxa"/>
          </w:tcPr>
          <w:p w14:paraId="545B472E" w14:textId="77777777" w:rsidR="00B54D51" w:rsidRPr="00037AD4" w:rsidRDefault="00B54D51" w:rsidP="001A7D5D">
            <w:pPr>
              <w:pStyle w:val="NormalWeb"/>
              <w:rPr>
                <w:rFonts w:asciiTheme="minorHAnsi" w:hAnsiTheme="minorHAnsi" w:cstheme="minorHAnsi"/>
              </w:rPr>
            </w:pPr>
          </w:p>
        </w:tc>
        <w:tc>
          <w:tcPr>
            <w:tcW w:w="1054" w:type="dxa"/>
          </w:tcPr>
          <w:p w14:paraId="4CC69ADC" w14:textId="77777777" w:rsidR="00B54D51" w:rsidRPr="00037AD4" w:rsidRDefault="00B54D51" w:rsidP="001A7D5D">
            <w:pPr>
              <w:pStyle w:val="NormalWeb"/>
              <w:rPr>
                <w:rFonts w:asciiTheme="minorHAnsi" w:hAnsiTheme="minorHAnsi" w:cstheme="minorHAnsi"/>
              </w:rPr>
            </w:pPr>
          </w:p>
        </w:tc>
        <w:tc>
          <w:tcPr>
            <w:tcW w:w="1062" w:type="dxa"/>
          </w:tcPr>
          <w:p w14:paraId="7A2FBA04" w14:textId="77777777" w:rsidR="00B54D51" w:rsidRPr="00037AD4" w:rsidRDefault="00B54D51" w:rsidP="001A7D5D">
            <w:pPr>
              <w:pStyle w:val="NormalWeb"/>
              <w:rPr>
                <w:rFonts w:asciiTheme="minorHAnsi" w:hAnsiTheme="minorHAnsi" w:cstheme="minorHAnsi"/>
              </w:rPr>
            </w:pPr>
          </w:p>
        </w:tc>
        <w:tc>
          <w:tcPr>
            <w:tcW w:w="863" w:type="dxa"/>
          </w:tcPr>
          <w:p w14:paraId="14003254" w14:textId="77777777" w:rsidR="00B54D51" w:rsidRPr="00037AD4" w:rsidRDefault="00B54D51" w:rsidP="001A7D5D">
            <w:pPr>
              <w:pStyle w:val="NormalWeb"/>
              <w:rPr>
                <w:rFonts w:asciiTheme="minorHAnsi" w:hAnsiTheme="minorHAnsi" w:cstheme="minorHAnsi"/>
              </w:rPr>
            </w:pPr>
          </w:p>
        </w:tc>
        <w:tc>
          <w:tcPr>
            <w:tcW w:w="1054" w:type="dxa"/>
          </w:tcPr>
          <w:p w14:paraId="66977231" w14:textId="77777777" w:rsidR="00B54D51" w:rsidRPr="00037AD4" w:rsidRDefault="00B54D51" w:rsidP="001A7D5D">
            <w:pPr>
              <w:pStyle w:val="NormalWeb"/>
              <w:rPr>
                <w:rFonts w:asciiTheme="minorHAnsi" w:hAnsiTheme="minorHAnsi" w:cstheme="minorHAnsi"/>
              </w:rPr>
            </w:pPr>
          </w:p>
        </w:tc>
        <w:tc>
          <w:tcPr>
            <w:tcW w:w="789" w:type="dxa"/>
          </w:tcPr>
          <w:p w14:paraId="5B04AC0C" w14:textId="77777777" w:rsidR="00B54D51" w:rsidRPr="00037AD4" w:rsidRDefault="00B54D51" w:rsidP="001A7D5D">
            <w:pPr>
              <w:pStyle w:val="NormalWeb"/>
              <w:rPr>
                <w:rFonts w:asciiTheme="minorHAnsi" w:hAnsiTheme="minorHAnsi" w:cstheme="minorHAnsi"/>
              </w:rPr>
            </w:pPr>
          </w:p>
        </w:tc>
        <w:tc>
          <w:tcPr>
            <w:tcW w:w="964" w:type="dxa"/>
          </w:tcPr>
          <w:p w14:paraId="5D4937ED" w14:textId="77777777" w:rsidR="00B54D51" w:rsidRPr="00037AD4" w:rsidRDefault="00B54D51" w:rsidP="001A7D5D">
            <w:pPr>
              <w:pStyle w:val="NormalWeb"/>
              <w:rPr>
                <w:rFonts w:asciiTheme="minorHAnsi" w:hAnsiTheme="minorHAnsi" w:cstheme="minorHAnsi"/>
              </w:rPr>
            </w:pPr>
          </w:p>
        </w:tc>
        <w:tc>
          <w:tcPr>
            <w:tcW w:w="864" w:type="dxa"/>
          </w:tcPr>
          <w:p w14:paraId="5CF36AB1" w14:textId="77777777" w:rsidR="00B54D51" w:rsidRPr="00037AD4" w:rsidRDefault="00B54D51" w:rsidP="001A7D5D">
            <w:pPr>
              <w:pStyle w:val="NormalWeb"/>
              <w:rPr>
                <w:rFonts w:asciiTheme="minorHAnsi" w:hAnsiTheme="minorHAnsi" w:cstheme="minorHAnsi"/>
              </w:rPr>
            </w:pPr>
            <w:r w:rsidRPr="00037AD4">
              <w:rPr>
                <w:rFonts w:ascii="Segoe UI Symbol" w:hAnsi="Segoe UI Symbol" w:cs="Segoe UI Symbol"/>
              </w:rPr>
              <w:t>✓</w:t>
            </w:r>
          </w:p>
        </w:tc>
        <w:tc>
          <w:tcPr>
            <w:tcW w:w="922" w:type="dxa"/>
          </w:tcPr>
          <w:p w14:paraId="01510237" w14:textId="77777777" w:rsidR="00B54D51" w:rsidRPr="00037AD4" w:rsidRDefault="00B54D51" w:rsidP="001A7D5D">
            <w:pPr>
              <w:pStyle w:val="NormalWeb"/>
              <w:rPr>
                <w:rFonts w:asciiTheme="minorHAnsi" w:hAnsiTheme="minorHAnsi" w:cstheme="minorHAnsi"/>
              </w:rPr>
            </w:pPr>
          </w:p>
        </w:tc>
      </w:tr>
      <w:tr w:rsidR="00B54D51" w:rsidRPr="00037AD4" w14:paraId="0460706D" w14:textId="77777777" w:rsidTr="0078211D">
        <w:tc>
          <w:tcPr>
            <w:tcW w:w="2432" w:type="dxa"/>
          </w:tcPr>
          <w:p w14:paraId="5FDFB858" w14:textId="77777777" w:rsidR="00B54D51" w:rsidRPr="00037AD4" w:rsidRDefault="00B54D51" w:rsidP="001A7D5D">
            <w:pPr>
              <w:pStyle w:val="NormalWeb"/>
              <w:rPr>
                <w:rFonts w:asciiTheme="minorHAnsi" w:hAnsiTheme="minorHAnsi" w:cstheme="minorHAnsi"/>
              </w:rPr>
            </w:pPr>
            <w:r w:rsidRPr="00037AD4">
              <w:rPr>
                <w:rFonts w:asciiTheme="minorHAnsi" w:hAnsiTheme="minorHAnsi" w:cstheme="minorHAnsi"/>
              </w:rPr>
              <w:t xml:space="preserve">Naglie, 2011 [1] </w:t>
            </w:r>
            <w:r>
              <w:rPr>
                <w:rFonts w:asciiTheme="minorHAnsi" w:hAnsiTheme="minorHAnsi" w:cstheme="minorHAnsi"/>
                <w:noProof/>
              </w:rPr>
              <w:t>(Naglie et al., 2011a)</w:t>
            </w:r>
          </w:p>
        </w:tc>
        <w:tc>
          <w:tcPr>
            <w:tcW w:w="988" w:type="dxa"/>
          </w:tcPr>
          <w:p w14:paraId="24AFE897" w14:textId="77777777" w:rsidR="00B54D51" w:rsidRPr="00037AD4" w:rsidRDefault="00B54D51" w:rsidP="001A7D5D">
            <w:pPr>
              <w:pStyle w:val="NormalWeb"/>
              <w:rPr>
                <w:rFonts w:asciiTheme="minorHAnsi" w:hAnsiTheme="minorHAnsi" w:cstheme="minorHAnsi"/>
              </w:rPr>
            </w:pPr>
            <w:r w:rsidRPr="00037AD4">
              <w:rPr>
                <w:rFonts w:ascii="Segoe UI Symbol" w:hAnsi="Segoe UI Symbol" w:cs="Segoe UI Symbol"/>
              </w:rPr>
              <w:t>✓</w:t>
            </w:r>
          </w:p>
        </w:tc>
        <w:tc>
          <w:tcPr>
            <w:tcW w:w="1013" w:type="dxa"/>
          </w:tcPr>
          <w:p w14:paraId="0B7AB822" w14:textId="77777777" w:rsidR="00B54D51" w:rsidRPr="00037AD4" w:rsidRDefault="00B54D51" w:rsidP="001A7D5D">
            <w:pPr>
              <w:pStyle w:val="NormalWeb"/>
              <w:rPr>
                <w:rFonts w:asciiTheme="minorHAnsi" w:hAnsiTheme="minorHAnsi" w:cstheme="minorHAnsi"/>
              </w:rPr>
            </w:pPr>
            <w:r w:rsidRPr="00037AD4">
              <w:rPr>
                <w:rFonts w:ascii="Segoe UI Symbol" w:hAnsi="Segoe UI Symbol" w:cs="Segoe UI Symbol"/>
              </w:rPr>
              <w:t>✓</w:t>
            </w:r>
          </w:p>
        </w:tc>
        <w:tc>
          <w:tcPr>
            <w:tcW w:w="930" w:type="dxa"/>
          </w:tcPr>
          <w:p w14:paraId="7DF6AA91" w14:textId="77777777" w:rsidR="00B54D51" w:rsidRPr="00037AD4" w:rsidRDefault="00B54D51" w:rsidP="001A7D5D">
            <w:pPr>
              <w:pStyle w:val="NormalWeb"/>
              <w:rPr>
                <w:rFonts w:asciiTheme="minorHAnsi" w:hAnsiTheme="minorHAnsi" w:cstheme="minorHAnsi"/>
              </w:rPr>
            </w:pPr>
          </w:p>
        </w:tc>
        <w:tc>
          <w:tcPr>
            <w:tcW w:w="1013" w:type="dxa"/>
          </w:tcPr>
          <w:p w14:paraId="7AFA820B" w14:textId="77777777" w:rsidR="00B54D51" w:rsidRPr="00037AD4" w:rsidRDefault="00B54D51" w:rsidP="001A7D5D">
            <w:pPr>
              <w:pStyle w:val="NormalWeb"/>
              <w:rPr>
                <w:rFonts w:asciiTheme="minorHAnsi" w:hAnsiTheme="minorHAnsi" w:cstheme="minorHAnsi"/>
              </w:rPr>
            </w:pPr>
          </w:p>
        </w:tc>
        <w:tc>
          <w:tcPr>
            <w:tcW w:w="1054" w:type="dxa"/>
          </w:tcPr>
          <w:p w14:paraId="775BEC7C" w14:textId="77777777" w:rsidR="00B54D51" w:rsidRPr="00037AD4" w:rsidRDefault="00B54D51" w:rsidP="001A7D5D">
            <w:pPr>
              <w:pStyle w:val="NormalWeb"/>
              <w:rPr>
                <w:rFonts w:asciiTheme="minorHAnsi" w:hAnsiTheme="minorHAnsi" w:cstheme="minorHAnsi"/>
              </w:rPr>
            </w:pPr>
          </w:p>
        </w:tc>
        <w:tc>
          <w:tcPr>
            <w:tcW w:w="1062" w:type="dxa"/>
          </w:tcPr>
          <w:p w14:paraId="1C8C4111" w14:textId="77777777" w:rsidR="00B54D51" w:rsidRPr="00037AD4" w:rsidRDefault="00B54D51" w:rsidP="001A7D5D">
            <w:pPr>
              <w:pStyle w:val="NormalWeb"/>
              <w:rPr>
                <w:rFonts w:asciiTheme="minorHAnsi" w:hAnsiTheme="minorHAnsi" w:cstheme="minorHAnsi"/>
              </w:rPr>
            </w:pPr>
          </w:p>
        </w:tc>
        <w:tc>
          <w:tcPr>
            <w:tcW w:w="863" w:type="dxa"/>
          </w:tcPr>
          <w:p w14:paraId="4BA8F1EE" w14:textId="77777777" w:rsidR="00B54D51" w:rsidRPr="00037AD4" w:rsidRDefault="00B54D51" w:rsidP="001A7D5D">
            <w:pPr>
              <w:pStyle w:val="NormalWeb"/>
              <w:rPr>
                <w:rFonts w:asciiTheme="minorHAnsi" w:hAnsiTheme="minorHAnsi" w:cstheme="minorHAnsi"/>
              </w:rPr>
            </w:pPr>
            <w:r w:rsidRPr="00037AD4">
              <w:rPr>
                <w:rFonts w:ascii="Segoe UI Symbol" w:hAnsi="Segoe UI Symbol" w:cs="Segoe UI Symbol"/>
              </w:rPr>
              <w:t>✓</w:t>
            </w:r>
          </w:p>
        </w:tc>
        <w:tc>
          <w:tcPr>
            <w:tcW w:w="1054" w:type="dxa"/>
          </w:tcPr>
          <w:p w14:paraId="2B561F9D" w14:textId="77777777" w:rsidR="00B54D51" w:rsidRPr="00037AD4" w:rsidRDefault="00B54D51" w:rsidP="001A7D5D">
            <w:pPr>
              <w:pStyle w:val="NormalWeb"/>
              <w:rPr>
                <w:rFonts w:asciiTheme="minorHAnsi" w:hAnsiTheme="minorHAnsi" w:cstheme="minorHAnsi"/>
              </w:rPr>
            </w:pPr>
          </w:p>
        </w:tc>
        <w:tc>
          <w:tcPr>
            <w:tcW w:w="789" w:type="dxa"/>
          </w:tcPr>
          <w:p w14:paraId="22078FF2" w14:textId="77777777" w:rsidR="00B54D51" w:rsidRPr="00037AD4" w:rsidRDefault="00B54D51" w:rsidP="001A7D5D">
            <w:pPr>
              <w:pStyle w:val="NormalWeb"/>
              <w:rPr>
                <w:rFonts w:asciiTheme="minorHAnsi" w:hAnsiTheme="minorHAnsi" w:cstheme="minorHAnsi"/>
              </w:rPr>
            </w:pPr>
            <w:r w:rsidRPr="00037AD4">
              <w:rPr>
                <w:rFonts w:ascii="Segoe UI Symbol" w:hAnsi="Segoe UI Symbol" w:cs="Segoe UI Symbol"/>
              </w:rPr>
              <w:t>✓</w:t>
            </w:r>
          </w:p>
        </w:tc>
        <w:tc>
          <w:tcPr>
            <w:tcW w:w="964" w:type="dxa"/>
          </w:tcPr>
          <w:p w14:paraId="1729FC73" w14:textId="77777777" w:rsidR="00B54D51" w:rsidRPr="00037AD4" w:rsidRDefault="00B54D51" w:rsidP="001A7D5D">
            <w:pPr>
              <w:pStyle w:val="NormalWeb"/>
              <w:rPr>
                <w:rFonts w:asciiTheme="minorHAnsi" w:hAnsiTheme="minorHAnsi" w:cstheme="minorHAnsi"/>
              </w:rPr>
            </w:pPr>
          </w:p>
        </w:tc>
        <w:tc>
          <w:tcPr>
            <w:tcW w:w="864" w:type="dxa"/>
          </w:tcPr>
          <w:p w14:paraId="40C690D5" w14:textId="77777777" w:rsidR="00B54D51" w:rsidRPr="00037AD4" w:rsidRDefault="00B54D51" w:rsidP="001A7D5D">
            <w:pPr>
              <w:pStyle w:val="NormalWeb"/>
              <w:rPr>
                <w:rFonts w:asciiTheme="minorHAnsi" w:hAnsiTheme="minorHAnsi" w:cstheme="minorHAnsi"/>
              </w:rPr>
            </w:pPr>
            <w:r w:rsidRPr="00037AD4">
              <w:rPr>
                <w:rFonts w:ascii="Segoe UI Symbol" w:hAnsi="Segoe UI Symbol" w:cs="Segoe UI Symbol"/>
              </w:rPr>
              <w:t>✓</w:t>
            </w:r>
          </w:p>
        </w:tc>
        <w:tc>
          <w:tcPr>
            <w:tcW w:w="922" w:type="dxa"/>
          </w:tcPr>
          <w:p w14:paraId="1CAF190B" w14:textId="77777777" w:rsidR="00B54D51" w:rsidRPr="00037AD4" w:rsidRDefault="00B54D51" w:rsidP="001A7D5D">
            <w:pPr>
              <w:pStyle w:val="NormalWeb"/>
              <w:rPr>
                <w:rFonts w:asciiTheme="minorHAnsi" w:hAnsiTheme="minorHAnsi" w:cstheme="minorHAnsi"/>
              </w:rPr>
            </w:pPr>
          </w:p>
        </w:tc>
      </w:tr>
      <w:tr w:rsidR="00B54D51" w:rsidRPr="00037AD4" w14:paraId="5ED94FAA" w14:textId="77777777" w:rsidTr="0078211D">
        <w:tc>
          <w:tcPr>
            <w:tcW w:w="2432" w:type="dxa"/>
          </w:tcPr>
          <w:p w14:paraId="02C5A645" w14:textId="77777777" w:rsidR="00B54D51" w:rsidRPr="00037AD4" w:rsidRDefault="00B54D51" w:rsidP="001A7D5D">
            <w:pPr>
              <w:pStyle w:val="NormalWeb"/>
              <w:rPr>
                <w:rFonts w:asciiTheme="minorHAnsi" w:hAnsiTheme="minorHAnsi" w:cstheme="minorHAnsi"/>
              </w:rPr>
            </w:pPr>
            <w:r w:rsidRPr="00037AD4">
              <w:rPr>
                <w:rFonts w:asciiTheme="minorHAnsi" w:hAnsiTheme="minorHAnsi" w:cstheme="minorHAnsi"/>
              </w:rPr>
              <w:t xml:space="preserve">Naglie, 2011 [2] </w:t>
            </w:r>
            <w:r>
              <w:rPr>
                <w:rFonts w:asciiTheme="minorHAnsi" w:hAnsiTheme="minorHAnsi" w:cstheme="minorHAnsi"/>
                <w:noProof/>
              </w:rPr>
              <w:t>(Naglie et al., 2011b)</w:t>
            </w:r>
          </w:p>
        </w:tc>
        <w:tc>
          <w:tcPr>
            <w:tcW w:w="988" w:type="dxa"/>
          </w:tcPr>
          <w:p w14:paraId="73886008" w14:textId="77777777" w:rsidR="00B54D51" w:rsidRPr="00037AD4" w:rsidRDefault="00B54D51" w:rsidP="001A7D5D">
            <w:pPr>
              <w:pStyle w:val="NormalWeb"/>
              <w:rPr>
                <w:rFonts w:asciiTheme="minorHAnsi" w:hAnsiTheme="minorHAnsi" w:cstheme="minorHAnsi"/>
              </w:rPr>
            </w:pPr>
            <w:r w:rsidRPr="00037AD4">
              <w:rPr>
                <w:rFonts w:ascii="Segoe UI Symbol" w:hAnsi="Segoe UI Symbol" w:cs="Segoe UI Symbol"/>
              </w:rPr>
              <w:t>✓</w:t>
            </w:r>
          </w:p>
        </w:tc>
        <w:tc>
          <w:tcPr>
            <w:tcW w:w="1013" w:type="dxa"/>
          </w:tcPr>
          <w:p w14:paraId="51D9113D" w14:textId="77777777" w:rsidR="00B54D51" w:rsidRPr="00037AD4" w:rsidRDefault="00B54D51" w:rsidP="001A7D5D">
            <w:pPr>
              <w:pStyle w:val="NormalWeb"/>
              <w:rPr>
                <w:rFonts w:asciiTheme="minorHAnsi" w:hAnsiTheme="minorHAnsi" w:cstheme="minorHAnsi"/>
              </w:rPr>
            </w:pPr>
            <w:r w:rsidRPr="00037AD4">
              <w:rPr>
                <w:rFonts w:ascii="Segoe UI Symbol" w:hAnsi="Segoe UI Symbol" w:cs="Segoe UI Symbol"/>
              </w:rPr>
              <w:t>✓</w:t>
            </w:r>
          </w:p>
        </w:tc>
        <w:tc>
          <w:tcPr>
            <w:tcW w:w="930" w:type="dxa"/>
          </w:tcPr>
          <w:p w14:paraId="0F772528" w14:textId="77777777" w:rsidR="00B54D51" w:rsidRPr="00037AD4" w:rsidRDefault="00B54D51" w:rsidP="001A7D5D">
            <w:pPr>
              <w:pStyle w:val="NormalWeb"/>
              <w:rPr>
                <w:rFonts w:asciiTheme="minorHAnsi" w:hAnsiTheme="minorHAnsi" w:cstheme="minorHAnsi"/>
              </w:rPr>
            </w:pPr>
          </w:p>
        </w:tc>
        <w:tc>
          <w:tcPr>
            <w:tcW w:w="1013" w:type="dxa"/>
          </w:tcPr>
          <w:p w14:paraId="68D93AC2" w14:textId="77777777" w:rsidR="00B54D51" w:rsidRPr="00037AD4" w:rsidRDefault="00B54D51" w:rsidP="001A7D5D">
            <w:pPr>
              <w:pStyle w:val="NormalWeb"/>
              <w:rPr>
                <w:rFonts w:asciiTheme="minorHAnsi" w:hAnsiTheme="minorHAnsi" w:cstheme="minorHAnsi"/>
              </w:rPr>
            </w:pPr>
          </w:p>
        </w:tc>
        <w:tc>
          <w:tcPr>
            <w:tcW w:w="1054" w:type="dxa"/>
          </w:tcPr>
          <w:p w14:paraId="70B00C66" w14:textId="77777777" w:rsidR="00B54D51" w:rsidRPr="00037AD4" w:rsidRDefault="00B54D51" w:rsidP="001A7D5D">
            <w:pPr>
              <w:pStyle w:val="NormalWeb"/>
              <w:rPr>
                <w:rFonts w:asciiTheme="minorHAnsi" w:hAnsiTheme="minorHAnsi" w:cstheme="minorHAnsi"/>
              </w:rPr>
            </w:pPr>
          </w:p>
        </w:tc>
        <w:tc>
          <w:tcPr>
            <w:tcW w:w="1062" w:type="dxa"/>
          </w:tcPr>
          <w:p w14:paraId="2CD8A2C9" w14:textId="77777777" w:rsidR="00B54D51" w:rsidRPr="00037AD4" w:rsidRDefault="00B54D51" w:rsidP="001A7D5D">
            <w:pPr>
              <w:pStyle w:val="NormalWeb"/>
              <w:rPr>
                <w:rFonts w:asciiTheme="minorHAnsi" w:hAnsiTheme="minorHAnsi" w:cstheme="minorHAnsi"/>
              </w:rPr>
            </w:pPr>
          </w:p>
        </w:tc>
        <w:tc>
          <w:tcPr>
            <w:tcW w:w="863" w:type="dxa"/>
          </w:tcPr>
          <w:p w14:paraId="0DE9CB12" w14:textId="77777777" w:rsidR="00B54D51" w:rsidRPr="00037AD4" w:rsidRDefault="00B54D51" w:rsidP="001A7D5D">
            <w:pPr>
              <w:pStyle w:val="NormalWeb"/>
              <w:rPr>
                <w:rFonts w:asciiTheme="minorHAnsi" w:hAnsiTheme="minorHAnsi" w:cstheme="minorHAnsi"/>
              </w:rPr>
            </w:pPr>
            <w:r w:rsidRPr="00037AD4">
              <w:rPr>
                <w:rFonts w:ascii="Segoe UI Symbol" w:hAnsi="Segoe UI Symbol" w:cs="Segoe UI Symbol"/>
              </w:rPr>
              <w:t>✓</w:t>
            </w:r>
          </w:p>
        </w:tc>
        <w:tc>
          <w:tcPr>
            <w:tcW w:w="1054" w:type="dxa"/>
          </w:tcPr>
          <w:p w14:paraId="5D20210B" w14:textId="77777777" w:rsidR="00B54D51" w:rsidRPr="00037AD4" w:rsidRDefault="00B54D51" w:rsidP="001A7D5D">
            <w:pPr>
              <w:pStyle w:val="NormalWeb"/>
              <w:rPr>
                <w:rFonts w:asciiTheme="minorHAnsi" w:hAnsiTheme="minorHAnsi" w:cstheme="minorHAnsi"/>
              </w:rPr>
            </w:pPr>
          </w:p>
        </w:tc>
        <w:tc>
          <w:tcPr>
            <w:tcW w:w="789" w:type="dxa"/>
          </w:tcPr>
          <w:p w14:paraId="34A082FB" w14:textId="77777777" w:rsidR="00B54D51" w:rsidRPr="00037AD4" w:rsidRDefault="00B54D51" w:rsidP="001A7D5D">
            <w:pPr>
              <w:pStyle w:val="NormalWeb"/>
              <w:rPr>
                <w:rFonts w:asciiTheme="minorHAnsi" w:hAnsiTheme="minorHAnsi" w:cstheme="minorHAnsi"/>
              </w:rPr>
            </w:pPr>
            <w:r w:rsidRPr="00037AD4">
              <w:rPr>
                <w:rFonts w:ascii="Segoe UI Symbol" w:hAnsi="Segoe UI Symbol" w:cs="Segoe UI Symbol"/>
              </w:rPr>
              <w:t>✓</w:t>
            </w:r>
          </w:p>
        </w:tc>
        <w:tc>
          <w:tcPr>
            <w:tcW w:w="964" w:type="dxa"/>
          </w:tcPr>
          <w:p w14:paraId="0CCDA4D0" w14:textId="77777777" w:rsidR="00B54D51" w:rsidRPr="00037AD4" w:rsidRDefault="00B54D51" w:rsidP="001A7D5D">
            <w:pPr>
              <w:pStyle w:val="NormalWeb"/>
              <w:rPr>
                <w:rFonts w:asciiTheme="minorHAnsi" w:hAnsiTheme="minorHAnsi" w:cstheme="minorHAnsi"/>
              </w:rPr>
            </w:pPr>
          </w:p>
        </w:tc>
        <w:tc>
          <w:tcPr>
            <w:tcW w:w="864" w:type="dxa"/>
          </w:tcPr>
          <w:p w14:paraId="483879EE" w14:textId="77777777" w:rsidR="00B54D51" w:rsidRPr="00037AD4" w:rsidRDefault="00B54D51" w:rsidP="001A7D5D">
            <w:pPr>
              <w:pStyle w:val="NormalWeb"/>
              <w:rPr>
                <w:rFonts w:asciiTheme="minorHAnsi" w:hAnsiTheme="minorHAnsi" w:cstheme="minorHAnsi"/>
              </w:rPr>
            </w:pPr>
          </w:p>
        </w:tc>
        <w:tc>
          <w:tcPr>
            <w:tcW w:w="922" w:type="dxa"/>
          </w:tcPr>
          <w:p w14:paraId="39AA8C68" w14:textId="77777777" w:rsidR="00B54D51" w:rsidRPr="00037AD4" w:rsidRDefault="00B54D51" w:rsidP="001A7D5D">
            <w:pPr>
              <w:pStyle w:val="NormalWeb"/>
              <w:rPr>
                <w:rFonts w:asciiTheme="minorHAnsi" w:hAnsiTheme="minorHAnsi" w:cstheme="minorHAnsi"/>
              </w:rPr>
            </w:pPr>
          </w:p>
        </w:tc>
      </w:tr>
      <w:tr w:rsidR="00B54D51" w:rsidRPr="00037AD4" w14:paraId="469B271D" w14:textId="77777777" w:rsidTr="0078211D">
        <w:tc>
          <w:tcPr>
            <w:tcW w:w="2432" w:type="dxa"/>
          </w:tcPr>
          <w:p w14:paraId="51D21D73" w14:textId="77777777" w:rsidR="00B54D51" w:rsidRPr="00037AD4" w:rsidRDefault="00B54D51" w:rsidP="001A7D5D">
            <w:pPr>
              <w:pStyle w:val="NormalWeb"/>
              <w:rPr>
                <w:rFonts w:asciiTheme="minorHAnsi" w:hAnsiTheme="minorHAnsi" w:cstheme="minorHAnsi"/>
              </w:rPr>
            </w:pPr>
            <w:r w:rsidRPr="00037AD4">
              <w:rPr>
                <w:rFonts w:asciiTheme="minorHAnsi" w:hAnsiTheme="minorHAnsi" w:cstheme="minorHAnsi"/>
              </w:rPr>
              <w:t xml:space="preserve">Orgeta, 2015 </w:t>
            </w:r>
            <w:r>
              <w:rPr>
                <w:rFonts w:asciiTheme="minorHAnsi" w:hAnsiTheme="minorHAnsi" w:cstheme="minorHAnsi"/>
                <w:noProof/>
              </w:rPr>
              <w:t>(Orgeta et al., 2015a)</w:t>
            </w:r>
          </w:p>
        </w:tc>
        <w:tc>
          <w:tcPr>
            <w:tcW w:w="988" w:type="dxa"/>
          </w:tcPr>
          <w:p w14:paraId="04C0A5D0" w14:textId="77777777" w:rsidR="00B54D51" w:rsidRPr="00037AD4" w:rsidRDefault="00B54D51" w:rsidP="001A7D5D">
            <w:pPr>
              <w:pStyle w:val="NormalWeb"/>
              <w:rPr>
                <w:rFonts w:asciiTheme="minorHAnsi" w:hAnsiTheme="minorHAnsi" w:cstheme="minorHAnsi"/>
              </w:rPr>
            </w:pPr>
          </w:p>
        </w:tc>
        <w:tc>
          <w:tcPr>
            <w:tcW w:w="1013" w:type="dxa"/>
          </w:tcPr>
          <w:p w14:paraId="6DA5D8A7" w14:textId="77777777" w:rsidR="00B54D51" w:rsidRPr="00037AD4" w:rsidRDefault="00B54D51" w:rsidP="001A7D5D">
            <w:pPr>
              <w:pStyle w:val="NormalWeb"/>
              <w:rPr>
                <w:rFonts w:asciiTheme="minorHAnsi" w:hAnsiTheme="minorHAnsi" w:cstheme="minorHAnsi"/>
              </w:rPr>
            </w:pPr>
          </w:p>
        </w:tc>
        <w:tc>
          <w:tcPr>
            <w:tcW w:w="930" w:type="dxa"/>
          </w:tcPr>
          <w:p w14:paraId="0E75726F" w14:textId="77777777" w:rsidR="00B54D51" w:rsidRPr="00037AD4" w:rsidRDefault="00B54D51" w:rsidP="001A7D5D">
            <w:pPr>
              <w:pStyle w:val="NormalWeb"/>
              <w:rPr>
                <w:rFonts w:asciiTheme="minorHAnsi" w:hAnsiTheme="minorHAnsi" w:cstheme="minorHAnsi"/>
              </w:rPr>
            </w:pPr>
          </w:p>
        </w:tc>
        <w:tc>
          <w:tcPr>
            <w:tcW w:w="1013" w:type="dxa"/>
          </w:tcPr>
          <w:p w14:paraId="4AB3D83A" w14:textId="77777777" w:rsidR="00B54D51" w:rsidRPr="00037AD4" w:rsidRDefault="00B54D51" w:rsidP="001A7D5D">
            <w:pPr>
              <w:pStyle w:val="NormalWeb"/>
              <w:rPr>
                <w:rFonts w:asciiTheme="minorHAnsi" w:hAnsiTheme="minorHAnsi" w:cstheme="minorHAnsi"/>
              </w:rPr>
            </w:pPr>
          </w:p>
        </w:tc>
        <w:tc>
          <w:tcPr>
            <w:tcW w:w="1054" w:type="dxa"/>
          </w:tcPr>
          <w:p w14:paraId="707B02FB" w14:textId="77777777" w:rsidR="00B54D51" w:rsidRPr="00037AD4" w:rsidRDefault="00B54D51" w:rsidP="001A7D5D">
            <w:pPr>
              <w:pStyle w:val="NormalWeb"/>
              <w:rPr>
                <w:rFonts w:asciiTheme="minorHAnsi" w:hAnsiTheme="minorHAnsi" w:cstheme="minorHAnsi"/>
              </w:rPr>
            </w:pPr>
          </w:p>
        </w:tc>
        <w:tc>
          <w:tcPr>
            <w:tcW w:w="1062" w:type="dxa"/>
          </w:tcPr>
          <w:p w14:paraId="3A2E5630" w14:textId="77777777" w:rsidR="00B54D51" w:rsidRPr="00037AD4" w:rsidRDefault="00B54D51" w:rsidP="001A7D5D">
            <w:pPr>
              <w:pStyle w:val="NormalWeb"/>
              <w:rPr>
                <w:rFonts w:asciiTheme="minorHAnsi" w:hAnsiTheme="minorHAnsi" w:cstheme="minorHAnsi"/>
              </w:rPr>
            </w:pPr>
          </w:p>
        </w:tc>
        <w:tc>
          <w:tcPr>
            <w:tcW w:w="863" w:type="dxa"/>
          </w:tcPr>
          <w:p w14:paraId="1EAD44C8" w14:textId="77777777" w:rsidR="00B54D51" w:rsidRPr="00037AD4" w:rsidRDefault="00B54D51" w:rsidP="001A7D5D">
            <w:pPr>
              <w:pStyle w:val="NormalWeb"/>
              <w:rPr>
                <w:rFonts w:asciiTheme="minorHAnsi" w:hAnsiTheme="minorHAnsi" w:cstheme="minorHAnsi"/>
              </w:rPr>
            </w:pPr>
          </w:p>
        </w:tc>
        <w:tc>
          <w:tcPr>
            <w:tcW w:w="1054" w:type="dxa"/>
          </w:tcPr>
          <w:p w14:paraId="78348239" w14:textId="77777777" w:rsidR="00B54D51" w:rsidRPr="00037AD4" w:rsidRDefault="00B54D51" w:rsidP="001A7D5D">
            <w:pPr>
              <w:pStyle w:val="NormalWeb"/>
              <w:rPr>
                <w:rFonts w:asciiTheme="minorHAnsi" w:hAnsiTheme="minorHAnsi" w:cstheme="minorHAnsi"/>
              </w:rPr>
            </w:pPr>
            <w:r w:rsidRPr="00037AD4">
              <w:rPr>
                <w:rFonts w:ascii="Segoe UI Symbol" w:hAnsi="Segoe UI Symbol" w:cs="Segoe UI Symbol"/>
              </w:rPr>
              <w:t>✓</w:t>
            </w:r>
          </w:p>
        </w:tc>
        <w:tc>
          <w:tcPr>
            <w:tcW w:w="789" w:type="dxa"/>
          </w:tcPr>
          <w:p w14:paraId="1174AF2F" w14:textId="77777777" w:rsidR="00B54D51" w:rsidRPr="00037AD4" w:rsidRDefault="00B54D51" w:rsidP="001A7D5D">
            <w:pPr>
              <w:pStyle w:val="NormalWeb"/>
              <w:rPr>
                <w:rFonts w:asciiTheme="minorHAnsi" w:hAnsiTheme="minorHAnsi" w:cstheme="minorHAnsi"/>
              </w:rPr>
            </w:pPr>
          </w:p>
        </w:tc>
        <w:tc>
          <w:tcPr>
            <w:tcW w:w="964" w:type="dxa"/>
          </w:tcPr>
          <w:p w14:paraId="447155E5" w14:textId="77777777" w:rsidR="00B54D51" w:rsidRPr="00037AD4" w:rsidRDefault="00B54D51" w:rsidP="001A7D5D">
            <w:pPr>
              <w:pStyle w:val="NormalWeb"/>
              <w:rPr>
                <w:rFonts w:asciiTheme="minorHAnsi" w:hAnsiTheme="minorHAnsi" w:cstheme="minorHAnsi"/>
              </w:rPr>
            </w:pPr>
            <w:r w:rsidRPr="00037AD4">
              <w:rPr>
                <w:rFonts w:ascii="Segoe UI Symbol" w:hAnsi="Segoe UI Symbol" w:cs="Segoe UI Symbol"/>
              </w:rPr>
              <w:t>✓</w:t>
            </w:r>
          </w:p>
        </w:tc>
        <w:tc>
          <w:tcPr>
            <w:tcW w:w="864" w:type="dxa"/>
          </w:tcPr>
          <w:p w14:paraId="4AF91865" w14:textId="77777777" w:rsidR="00B54D51" w:rsidRPr="00037AD4" w:rsidRDefault="00B54D51" w:rsidP="001A7D5D">
            <w:pPr>
              <w:pStyle w:val="NormalWeb"/>
              <w:rPr>
                <w:rFonts w:asciiTheme="minorHAnsi" w:hAnsiTheme="minorHAnsi" w:cstheme="minorHAnsi"/>
              </w:rPr>
            </w:pPr>
          </w:p>
        </w:tc>
        <w:tc>
          <w:tcPr>
            <w:tcW w:w="922" w:type="dxa"/>
          </w:tcPr>
          <w:p w14:paraId="5129AB3D" w14:textId="77777777" w:rsidR="00B54D51" w:rsidRPr="00037AD4" w:rsidRDefault="00B54D51" w:rsidP="001A7D5D">
            <w:pPr>
              <w:pStyle w:val="NormalWeb"/>
              <w:rPr>
                <w:rFonts w:asciiTheme="minorHAnsi" w:hAnsiTheme="minorHAnsi" w:cstheme="minorHAnsi"/>
              </w:rPr>
            </w:pPr>
          </w:p>
        </w:tc>
      </w:tr>
      <w:tr w:rsidR="00B54D51" w:rsidRPr="00037AD4" w14:paraId="1C9E48A8" w14:textId="77777777" w:rsidTr="0078211D">
        <w:tc>
          <w:tcPr>
            <w:tcW w:w="2432" w:type="dxa"/>
          </w:tcPr>
          <w:p w14:paraId="49386936" w14:textId="77777777" w:rsidR="00B54D51" w:rsidRPr="00037AD4" w:rsidRDefault="00B54D51" w:rsidP="001A7D5D">
            <w:pPr>
              <w:pStyle w:val="NormalWeb"/>
              <w:rPr>
                <w:rFonts w:asciiTheme="minorHAnsi" w:hAnsiTheme="minorHAnsi" w:cstheme="minorHAnsi"/>
              </w:rPr>
            </w:pPr>
            <w:r w:rsidRPr="00037AD4">
              <w:rPr>
                <w:rFonts w:asciiTheme="minorHAnsi" w:hAnsiTheme="minorHAnsi" w:cstheme="minorHAnsi"/>
              </w:rPr>
              <w:t xml:space="preserve">Schiffczyk, 2010 </w:t>
            </w:r>
            <w:r>
              <w:rPr>
                <w:rFonts w:asciiTheme="minorHAnsi" w:hAnsiTheme="minorHAnsi" w:cstheme="minorHAnsi"/>
                <w:noProof/>
              </w:rPr>
              <w:t>(Schiffczyk et al., 2010)</w:t>
            </w:r>
          </w:p>
        </w:tc>
        <w:tc>
          <w:tcPr>
            <w:tcW w:w="988" w:type="dxa"/>
          </w:tcPr>
          <w:p w14:paraId="1429291E" w14:textId="77777777" w:rsidR="00B54D51" w:rsidRPr="00037AD4" w:rsidRDefault="00B54D51" w:rsidP="001A7D5D">
            <w:pPr>
              <w:pStyle w:val="NormalWeb"/>
              <w:rPr>
                <w:rFonts w:asciiTheme="minorHAnsi" w:hAnsiTheme="minorHAnsi" w:cstheme="minorHAnsi"/>
              </w:rPr>
            </w:pPr>
            <w:r w:rsidRPr="00037AD4">
              <w:rPr>
                <w:rFonts w:ascii="Segoe UI Symbol" w:hAnsi="Segoe UI Symbol" w:cs="Segoe UI Symbol"/>
              </w:rPr>
              <w:t>✓</w:t>
            </w:r>
          </w:p>
        </w:tc>
        <w:tc>
          <w:tcPr>
            <w:tcW w:w="1013" w:type="dxa"/>
          </w:tcPr>
          <w:p w14:paraId="0A1B17FA" w14:textId="77777777" w:rsidR="00B54D51" w:rsidRPr="00037AD4" w:rsidRDefault="00B54D51" w:rsidP="001A7D5D">
            <w:pPr>
              <w:pStyle w:val="NormalWeb"/>
              <w:rPr>
                <w:rFonts w:asciiTheme="minorHAnsi" w:hAnsiTheme="minorHAnsi" w:cstheme="minorHAnsi"/>
              </w:rPr>
            </w:pPr>
            <w:r w:rsidRPr="00037AD4">
              <w:rPr>
                <w:rFonts w:ascii="Segoe UI Symbol" w:hAnsi="Segoe UI Symbol" w:cs="Segoe UI Symbol"/>
              </w:rPr>
              <w:t>✓</w:t>
            </w:r>
          </w:p>
        </w:tc>
        <w:tc>
          <w:tcPr>
            <w:tcW w:w="930" w:type="dxa"/>
          </w:tcPr>
          <w:p w14:paraId="4C738E83" w14:textId="77777777" w:rsidR="00B54D51" w:rsidRPr="00037AD4" w:rsidRDefault="00B54D51" w:rsidP="001A7D5D">
            <w:pPr>
              <w:pStyle w:val="NormalWeb"/>
              <w:rPr>
                <w:rFonts w:asciiTheme="minorHAnsi" w:hAnsiTheme="minorHAnsi" w:cstheme="minorHAnsi"/>
              </w:rPr>
            </w:pPr>
          </w:p>
        </w:tc>
        <w:tc>
          <w:tcPr>
            <w:tcW w:w="1013" w:type="dxa"/>
          </w:tcPr>
          <w:p w14:paraId="082F1661" w14:textId="77777777" w:rsidR="00B54D51" w:rsidRPr="00037AD4" w:rsidRDefault="00B54D51" w:rsidP="001A7D5D">
            <w:pPr>
              <w:pStyle w:val="NormalWeb"/>
              <w:rPr>
                <w:rFonts w:asciiTheme="minorHAnsi" w:hAnsiTheme="minorHAnsi" w:cstheme="minorHAnsi"/>
              </w:rPr>
            </w:pPr>
          </w:p>
        </w:tc>
        <w:tc>
          <w:tcPr>
            <w:tcW w:w="1054" w:type="dxa"/>
          </w:tcPr>
          <w:p w14:paraId="117A321A" w14:textId="77777777" w:rsidR="00B54D51" w:rsidRPr="00037AD4" w:rsidRDefault="00B54D51" w:rsidP="001A7D5D">
            <w:pPr>
              <w:pStyle w:val="NormalWeb"/>
              <w:rPr>
                <w:rFonts w:asciiTheme="minorHAnsi" w:hAnsiTheme="minorHAnsi" w:cstheme="minorHAnsi"/>
              </w:rPr>
            </w:pPr>
          </w:p>
        </w:tc>
        <w:tc>
          <w:tcPr>
            <w:tcW w:w="1062" w:type="dxa"/>
          </w:tcPr>
          <w:p w14:paraId="17E0BF07" w14:textId="77777777" w:rsidR="00B54D51" w:rsidRPr="00037AD4" w:rsidRDefault="00B54D51" w:rsidP="001A7D5D">
            <w:pPr>
              <w:pStyle w:val="NormalWeb"/>
              <w:rPr>
                <w:rFonts w:asciiTheme="minorHAnsi" w:hAnsiTheme="minorHAnsi" w:cstheme="minorHAnsi"/>
              </w:rPr>
            </w:pPr>
          </w:p>
        </w:tc>
        <w:tc>
          <w:tcPr>
            <w:tcW w:w="863" w:type="dxa"/>
          </w:tcPr>
          <w:p w14:paraId="240D3022" w14:textId="77777777" w:rsidR="00B54D51" w:rsidRPr="00037AD4" w:rsidRDefault="00B54D51" w:rsidP="001A7D5D">
            <w:pPr>
              <w:pStyle w:val="NormalWeb"/>
              <w:rPr>
                <w:rFonts w:asciiTheme="minorHAnsi" w:hAnsiTheme="minorHAnsi" w:cstheme="minorHAnsi"/>
              </w:rPr>
            </w:pPr>
          </w:p>
        </w:tc>
        <w:tc>
          <w:tcPr>
            <w:tcW w:w="1054" w:type="dxa"/>
          </w:tcPr>
          <w:p w14:paraId="28FC51DC" w14:textId="77777777" w:rsidR="00B54D51" w:rsidRPr="00037AD4" w:rsidRDefault="00B54D51" w:rsidP="001A7D5D">
            <w:pPr>
              <w:pStyle w:val="NormalWeb"/>
              <w:rPr>
                <w:rFonts w:asciiTheme="minorHAnsi" w:hAnsiTheme="minorHAnsi" w:cstheme="minorHAnsi"/>
              </w:rPr>
            </w:pPr>
          </w:p>
        </w:tc>
        <w:tc>
          <w:tcPr>
            <w:tcW w:w="789" w:type="dxa"/>
          </w:tcPr>
          <w:p w14:paraId="72DD1FAA" w14:textId="77777777" w:rsidR="00B54D51" w:rsidRPr="00037AD4" w:rsidRDefault="00B54D51" w:rsidP="001A7D5D">
            <w:pPr>
              <w:pStyle w:val="NormalWeb"/>
              <w:rPr>
                <w:rFonts w:asciiTheme="minorHAnsi" w:hAnsiTheme="minorHAnsi" w:cstheme="minorHAnsi"/>
              </w:rPr>
            </w:pPr>
          </w:p>
        </w:tc>
        <w:tc>
          <w:tcPr>
            <w:tcW w:w="964" w:type="dxa"/>
          </w:tcPr>
          <w:p w14:paraId="2814A62F" w14:textId="77777777" w:rsidR="00B54D51" w:rsidRPr="00037AD4" w:rsidRDefault="00B54D51" w:rsidP="001A7D5D">
            <w:pPr>
              <w:pStyle w:val="NormalWeb"/>
              <w:rPr>
                <w:rFonts w:asciiTheme="minorHAnsi" w:hAnsiTheme="minorHAnsi" w:cstheme="minorHAnsi"/>
              </w:rPr>
            </w:pPr>
          </w:p>
        </w:tc>
        <w:tc>
          <w:tcPr>
            <w:tcW w:w="864" w:type="dxa"/>
          </w:tcPr>
          <w:p w14:paraId="3B38226E" w14:textId="77777777" w:rsidR="00B54D51" w:rsidRPr="00037AD4" w:rsidRDefault="00B54D51" w:rsidP="001A7D5D">
            <w:pPr>
              <w:pStyle w:val="NormalWeb"/>
              <w:rPr>
                <w:rFonts w:asciiTheme="minorHAnsi" w:hAnsiTheme="minorHAnsi" w:cstheme="minorHAnsi"/>
              </w:rPr>
            </w:pPr>
            <w:r w:rsidRPr="00037AD4">
              <w:rPr>
                <w:rFonts w:ascii="Segoe UI Symbol" w:hAnsi="Segoe UI Symbol" w:cs="Segoe UI Symbol"/>
              </w:rPr>
              <w:t>✓</w:t>
            </w:r>
          </w:p>
        </w:tc>
        <w:tc>
          <w:tcPr>
            <w:tcW w:w="922" w:type="dxa"/>
          </w:tcPr>
          <w:p w14:paraId="738DA921" w14:textId="77777777" w:rsidR="00B54D51" w:rsidRPr="00037AD4" w:rsidRDefault="00B54D51" w:rsidP="001A7D5D">
            <w:pPr>
              <w:pStyle w:val="NormalWeb"/>
              <w:rPr>
                <w:rFonts w:asciiTheme="minorHAnsi" w:hAnsiTheme="minorHAnsi" w:cstheme="minorHAnsi"/>
              </w:rPr>
            </w:pPr>
          </w:p>
        </w:tc>
      </w:tr>
      <w:tr w:rsidR="00B54D51" w:rsidRPr="00037AD4" w14:paraId="29563B6E" w14:textId="77777777" w:rsidTr="0078211D">
        <w:tc>
          <w:tcPr>
            <w:tcW w:w="2432" w:type="dxa"/>
          </w:tcPr>
          <w:p w14:paraId="7F561DA2" w14:textId="77777777" w:rsidR="00B54D51" w:rsidRPr="00037AD4" w:rsidRDefault="00B54D51" w:rsidP="001A7D5D">
            <w:pPr>
              <w:pStyle w:val="NormalWeb"/>
              <w:rPr>
                <w:rFonts w:asciiTheme="minorHAnsi" w:hAnsiTheme="minorHAnsi" w:cstheme="minorHAnsi"/>
              </w:rPr>
            </w:pPr>
            <w:r w:rsidRPr="00037AD4">
              <w:rPr>
                <w:rFonts w:asciiTheme="minorHAnsi" w:hAnsiTheme="minorHAnsi" w:cstheme="minorHAnsi"/>
              </w:rPr>
              <w:t>Sheehan, 2012</w:t>
            </w:r>
            <w:r>
              <w:rPr>
                <w:rFonts w:asciiTheme="minorHAnsi" w:hAnsiTheme="minorHAnsi" w:cstheme="minorHAnsi"/>
              </w:rPr>
              <w:t xml:space="preserve"> </w:t>
            </w:r>
            <w:r>
              <w:rPr>
                <w:rFonts w:asciiTheme="minorHAnsi" w:hAnsiTheme="minorHAnsi" w:cstheme="minorHAnsi"/>
                <w:noProof/>
              </w:rPr>
              <w:t>(Sheehan et al., 2012)</w:t>
            </w:r>
          </w:p>
        </w:tc>
        <w:tc>
          <w:tcPr>
            <w:tcW w:w="988" w:type="dxa"/>
          </w:tcPr>
          <w:p w14:paraId="25BBD06E" w14:textId="77777777" w:rsidR="00B54D51" w:rsidRPr="00037AD4" w:rsidRDefault="00B54D51" w:rsidP="001A7D5D">
            <w:pPr>
              <w:pStyle w:val="NormalWeb"/>
              <w:rPr>
                <w:rFonts w:asciiTheme="minorHAnsi" w:hAnsiTheme="minorHAnsi" w:cstheme="minorHAnsi"/>
              </w:rPr>
            </w:pPr>
          </w:p>
        </w:tc>
        <w:tc>
          <w:tcPr>
            <w:tcW w:w="1013" w:type="dxa"/>
          </w:tcPr>
          <w:p w14:paraId="3137DA1D" w14:textId="77777777" w:rsidR="00B54D51" w:rsidRPr="00037AD4" w:rsidRDefault="00B54D51" w:rsidP="001A7D5D">
            <w:pPr>
              <w:pStyle w:val="NormalWeb"/>
              <w:rPr>
                <w:rFonts w:asciiTheme="minorHAnsi" w:hAnsiTheme="minorHAnsi" w:cstheme="minorHAnsi"/>
              </w:rPr>
            </w:pPr>
          </w:p>
        </w:tc>
        <w:tc>
          <w:tcPr>
            <w:tcW w:w="930" w:type="dxa"/>
          </w:tcPr>
          <w:p w14:paraId="46B74F52" w14:textId="77777777" w:rsidR="00B54D51" w:rsidRPr="00037AD4" w:rsidRDefault="00B54D51" w:rsidP="001A7D5D">
            <w:pPr>
              <w:pStyle w:val="NormalWeb"/>
              <w:rPr>
                <w:rFonts w:asciiTheme="minorHAnsi" w:hAnsiTheme="minorHAnsi" w:cstheme="minorHAnsi"/>
              </w:rPr>
            </w:pPr>
          </w:p>
        </w:tc>
        <w:tc>
          <w:tcPr>
            <w:tcW w:w="1013" w:type="dxa"/>
          </w:tcPr>
          <w:p w14:paraId="016ACCE4" w14:textId="77777777" w:rsidR="00B54D51" w:rsidRPr="00037AD4" w:rsidRDefault="00B54D51" w:rsidP="001A7D5D">
            <w:pPr>
              <w:pStyle w:val="NormalWeb"/>
              <w:rPr>
                <w:rFonts w:asciiTheme="minorHAnsi" w:hAnsiTheme="minorHAnsi" w:cstheme="minorHAnsi"/>
              </w:rPr>
            </w:pPr>
          </w:p>
        </w:tc>
        <w:tc>
          <w:tcPr>
            <w:tcW w:w="1054" w:type="dxa"/>
          </w:tcPr>
          <w:p w14:paraId="794300F8" w14:textId="77777777" w:rsidR="00B54D51" w:rsidRPr="00037AD4" w:rsidRDefault="00B54D51" w:rsidP="001A7D5D">
            <w:pPr>
              <w:pStyle w:val="NormalWeb"/>
              <w:rPr>
                <w:rFonts w:asciiTheme="minorHAnsi" w:hAnsiTheme="minorHAnsi" w:cstheme="minorHAnsi"/>
              </w:rPr>
            </w:pPr>
          </w:p>
        </w:tc>
        <w:tc>
          <w:tcPr>
            <w:tcW w:w="1062" w:type="dxa"/>
          </w:tcPr>
          <w:p w14:paraId="1A892880" w14:textId="77777777" w:rsidR="00B54D51" w:rsidRPr="00037AD4" w:rsidRDefault="00B54D51" w:rsidP="001A7D5D">
            <w:pPr>
              <w:pStyle w:val="NormalWeb"/>
              <w:rPr>
                <w:rFonts w:asciiTheme="minorHAnsi" w:hAnsiTheme="minorHAnsi" w:cstheme="minorHAnsi"/>
              </w:rPr>
            </w:pPr>
            <w:r w:rsidRPr="00037AD4">
              <w:rPr>
                <w:rFonts w:ascii="Segoe UI Symbol" w:hAnsi="Segoe UI Symbol" w:cs="Segoe UI Symbol"/>
              </w:rPr>
              <w:t>✓</w:t>
            </w:r>
          </w:p>
        </w:tc>
        <w:tc>
          <w:tcPr>
            <w:tcW w:w="863" w:type="dxa"/>
          </w:tcPr>
          <w:p w14:paraId="1AE38600" w14:textId="77777777" w:rsidR="00B54D51" w:rsidRPr="00037AD4" w:rsidRDefault="00B54D51" w:rsidP="001A7D5D">
            <w:pPr>
              <w:pStyle w:val="NormalWeb"/>
              <w:rPr>
                <w:rFonts w:asciiTheme="minorHAnsi" w:hAnsiTheme="minorHAnsi" w:cstheme="minorHAnsi"/>
              </w:rPr>
            </w:pPr>
          </w:p>
        </w:tc>
        <w:tc>
          <w:tcPr>
            <w:tcW w:w="1054" w:type="dxa"/>
          </w:tcPr>
          <w:p w14:paraId="25987D20" w14:textId="77777777" w:rsidR="00B54D51" w:rsidRPr="00037AD4" w:rsidRDefault="00B54D51" w:rsidP="001A7D5D">
            <w:pPr>
              <w:pStyle w:val="NormalWeb"/>
              <w:rPr>
                <w:rFonts w:asciiTheme="minorHAnsi" w:hAnsiTheme="minorHAnsi" w:cstheme="minorHAnsi"/>
              </w:rPr>
            </w:pPr>
          </w:p>
        </w:tc>
        <w:tc>
          <w:tcPr>
            <w:tcW w:w="789" w:type="dxa"/>
          </w:tcPr>
          <w:p w14:paraId="66050745" w14:textId="77777777" w:rsidR="00B54D51" w:rsidRPr="00037AD4" w:rsidRDefault="00B54D51" w:rsidP="001A7D5D">
            <w:pPr>
              <w:pStyle w:val="NormalWeb"/>
              <w:rPr>
                <w:rFonts w:asciiTheme="minorHAnsi" w:hAnsiTheme="minorHAnsi" w:cstheme="minorHAnsi"/>
              </w:rPr>
            </w:pPr>
          </w:p>
        </w:tc>
        <w:tc>
          <w:tcPr>
            <w:tcW w:w="964" w:type="dxa"/>
          </w:tcPr>
          <w:p w14:paraId="69F4C951" w14:textId="77777777" w:rsidR="00B54D51" w:rsidRPr="00037AD4" w:rsidRDefault="00B54D51" w:rsidP="001A7D5D">
            <w:pPr>
              <w:pStyle w:val="NormalWeb"/>
              <w:rPr>
                <w:rFonts w:asciiTheme="minorHAnsi" w:hAnsiTheme="minorHAnsi" w:cstheme="minorHAnsi"/>
              </w:rPr>
            </w:pPr>
          </w:p>
        </w:tc>
        <w:tc>
          <w:tcPr>
            <w:tcW w:w="864" w:type="dxa"/>
          </w:tcPr>
          <w:p w14:paraId="6EDC0DCD" w14:textId="77777777" w:rsidR="00B54D51" w:rsidRPr="00037AD4" w:rsidRDefault="00B54D51" w:rsidP="001A7D5D">
            <w:pPr>
              <w:pStyle w:val="NormalWeb"/>
              <w:rPr>
                <w:rFonts w:asciiTheme="minorHAnsi" w:hAnsiTheme="minorHAnsi" w:cstheme="minorHAnsi"/>
              </w:rPr>
            </w:pPr>
            <w:r w:rsidRPr="00037AD4">
              <w:rPr>
                <w:rFonts w:ascii="Segoe UI Symbol" w:hAnsi="Segoe UI Symbol" w:cs="Segoe UI Symbol"/>
              </w:rPr>
              <w:t>✓</w:t>
            </w:r>
          </w:p>
        </w:tc>
        <w:tc>
          <w:tcPr>
            <w:tcW w:w="922" w:type="dxa"/>
          </w:tcPr>
          <w:p w14:paraId="0B0A6876" w14:textId="77777777" w:rsidR="00B54D51" w:rsidRPr="00037AD4" w:rsidRDefault="00B54D51" w:rsidP="001A7D5D">
            <w:pPr>
              <w:pStyle w:val="NormalWeb"/>
              <w:rPr>
                <w:rFonts w:asciiTheme="minorHAnsi" w:hAnsiTheme="minorHAnsi" w:cstheme="minorHAnsi"/>
              </w:rPr>
            </w:pPr>
          </w:p>
        </w:tc>
      </w:tr>
      <w:tr w:rsidR="00B54D51" w:rsidRPr="00037AD4" w14:paraId="202E094D" w14:textId="77777777" w:rsidTr="0078211D">
        <w:tc>
          <w:tcPr>
            <w:tcW w:w="2432" w:type="dxa"/>
          </w:tcPr>
          <w:p w14:paraId="6C32A627" w14:textId="77777777" w:rsidR="00B54D51" w:rsidRPr="00037AD4" w:rsidRDefault="00B54D51" w:rsidP="001A7D5D">
            <w:pPr>
              <w:pStyle w:val="NormalWeb"/>
              <w:rPr>
                <w:rFonts w:asciiTheme="minorHAnsi" w:hAnsiTheme="minorHAnsi" w:cstheme="minorHAnsi"/>
              </w:rPr>
            </w:pPr>
            <w:r w:rsidRPr="00037AD4">
              <w:rPr>
                <w:rFonts w:asciiTheme="minorHAnsi" w:hAnsiTheme="minorHAnsi" w:cstheme="minorHAnsi"/>
              </w:rPr>
              <w:t xml:space="preserve">Trigg, 2015 </w:t>
            </w:r>
            <w:r>
              <w:rPr>
                <w:rFonts w:asciiTheme="minorHAnsi" w:hAnsiTheme="minorHAnsi" w:cstheme="minorHAnsi"/>
                <w:noProof/>
              </w:rPr>
              <w:t>(Trigg et al., 2015)</w:t>
            </w:r>
          </w:p>
        </w:tc>
        <w:tc>
          <w:tcPr>
            <w:tcW w:w="988" w:type="dxa"/>
          </w:tcPr>
          <w:p w14:paraId="6E1D1309" w14:textId="77777777" w:rsidR="00B54D51" w:rsidRPr="00037AD4" w:rsidRDefault="00B54D51" w:rsidP="001A7D5D">
            <w:pPr>
              <w:pStyle w:val="NormalWeb"/>
              <w:rPr>
                <w:rFonts w:asciiTheme="minorHAnsi" w:hAnsiTheme="minorHAnsi" w:cstheme="minorHAnsi"/>
              </w:rPr>
            </w:pPr>
            <w:r w:rsidRPr="00037AD4">
              <w:rPr>
                <w:rFonts w:ascii="Segoe UI Symbol" w:hAnsi="Segoe UI Symbol" w:cs="Segoe UI Symbol"/>
              </w:rPr>
              <w:t>✓</w:t>
            </w:r>
          </w:p>
        </w:tc>
        <w:tc>
          <w:tcPr>
            <w:tcW w:w="1013" w:type="dxa"/>
          </w:tcPr>
          <w:p w14:paraId="6C703D9F" w14:textId="77777777" w:rsidR="00B54D51" w:rsidRPr="00037AD4" w:rsidRDefault="00B54D51" w:rsidP="001A7D5D">
            <w:pPr>
              <w:pStyle w:val="NormalWeb"/>
              <w:rPr>
                <w:rFonts w:asciiTheme="minorHAnsi" w:hAnsiTheme="minorHAnsi" w:cstheme="minorHAnsi"/>
              </w:rPr>
            </w:pPr>
          </w:p>
        </w:tc>
        <w:tc>
          <w:tcPr>
            <w:tcW w:w="930" w:type="dxa"/>
          </w:tcPr>
          <w:p w14:paraId="28F8F89F" w14:textId="77777777" w:rsidR="00B54D51" w:rsidRPr="00037AD4" w:rsidRDefault="00B54D51" w:rsidP="001A7D5D">
            <w:pPr>
              <w:pStyle w:val="NormalWeb"/>
              <w:rPr>
                <w:rFonts w:asciiTheme="minorHAnsi" w:hAnsiTheme="minorHAnsi" w:cstheme="minorHAnsi"/>
              </w:rPr>
            </w:pPr>
          </w:p>
        </w:tc>
        <w:tc>
          <w:tcPr>
            <w:tcW w:w="1013" w:type="dxa"/>
          </w:tcPr>
          <w:p w14:paraId="7266A8FA" w14:textId="77777777" w:rsidR="00B54D51" w:rsidRPr="00037AD4" w:rsidRDefault="00B54D51" w:rsidP="001A7D5D">
            <w:pPr>
              <w:pStyle w:val="NormalWeb"/>
              <w:rPr>
                <w:rFonts w:asciiTheme="minorHAnsi" w:hAnsiTheme="minorHAnsi" w:cstheme="minorHAnsi"/>
              </w:rPr>
            </w:pPr>
          </w:p>
        </w:tc>
        <w:tc>
          <w:tcPr>
            <w:tcW w:w="1054" w:type="dxa"/>
          </w:tcPr>
          <w:p w14:paraId="676D6804" w14:textId="77777777" w:rsidR="00B54D51" w:rsidRPr="00037AD4" w:rsidRDefault="00B54D51" w:rsidP="001A7D5D">
            <w:pPr>
              <w:pStyle w:val="NormalWeb"/>
              <w:rPr>
                <w:rFonts w:asciiTheme="minorHAnsi" w:hAnsiTheme="minorHAnsi" w:cstheme="minorHAnsi"/>
              </w:rPr>
            </w:pPr>
          </w:p>
        </w:tc>
        <w:tc>
          <w:tcPr>
            <w:tcW w:w="1062" w:type="dxa"/>
          </w:tcPr>
          <w:p w14:paraId="6B3C628D" w14:textId="77777777" w:rsidR="00B54D51" w:rsidRPr="00037AD4" w:rsidRDefault="00B54D51" w:rsidP="001A7D5D">
            <w:pPr>
              <w:pStyle w:val="NormalWeb"/>
              <w:rPr>
                <w:rFonts w:asciiTheme="minorHAnsi" w:hAnsiTheme="minorHAnsi" w:cstheme="minorHAnsi"/>
              </w:rPr>
            </w:pPr>
          </w:p>
        </w:tc>
        <w:tc>
          <w:tcPr>
            <w:tcW w:w="863" w:type="dxa"/>
          </w:tcPr>
          <w:p w14:paraId="069DBA28" w14:textId="77777777" w:rsidR="00B54D51" w:rsidRPr="00037AD4" w:rsidRDefault="00B54D51" w:rsidP="001A7D5D">
            <w:pPr>
              <w:pStyle w:val="NormalWeb"/>
              <w:rPr>
                <w:rFonts w:asciiTheme="minorHAnsi" w:hAnsiTheme="minorHAnsi" w:cstheme="minorHAnsi"/>
              </w:rPr>
            </w:pPr>
            <w:r w:rsidRPr="00037AD4">
              <w:rPr>
                <w:rFonts w:ascii="Segoe UI Symbol" w:hAnsi="Segoe UI Symbol" w:cs="Segoe UI Symbol"/>
              </w:rPr>
              <w:t>✓</w:t>
            </w:r>
          </w:p>
        </w:tc>
        <w:tc>
          <w:tcPr>
            <w:tcW w:w="1054" w:type="dxa"/>
          </w:tcPr>
          <w:p w14:paraId="6BFB389E" w14:textId="77777777" w:rsidR="00B54D51" w:rsidRPr="00037AD4" w:rsidRDefault="00B54D51" w:rsidP="001A7D5D">
            <w:pPr>
              <w:pStyle w:val="NormalWeb"/>
              <w:rPr>
                <w:rFonts w:asciiTheme="minorHAnsi" w:hAnsiTheme="minorHAnsi" w:cstheme="minorHAnsi"/>
              </w:rPr>
            </w:pPr>
          </w:p>
        </w:tc>
        <w:tc>
          <w:tcPr>
            <w:tcW w:w="789" w:type="dxa"/>
          </w:tcPr>
          <w:p w14:paraId="1FB7E60F" w14:textId="77777777" w:rsidR="00B54D51" w:rsidRPr="00037AD4" w:rsidRDefault="00B54D51" w:rsidP="001A7D5D">
            <w:pPr>
              <w:pStyle w:val="NormalWeb"/>
              <w:rPr>
                <w:rFonts w:asciiTheme="minorHAnsi" w:hAnsiTheme="minorHAnsi" w:cstheme="minorHAnsi"/>
              </w:rPr>
            </w:pPr>
            <w:r w:rsidRPr="00037AD4">
              <w:rPr>
                <w:rFonts w:ascii="Segoe UI Symbol" w:hAnsi="Segoe UI Symbol" w:cs="Segoe UI Symbol"/>
              </w:rPr>
              <w:t>✓</w:t>
            </w:r>
          </w:p>
        </w:tc>
        <w:tc>
          <w:tcPr>
            <w:tcW w:w="964" w:type="dxa"/>
          </w:tcPr>
          <w:p w14:paraId="6D018D36" w14:textId="77777777" w:rsidR="00B54D51" w:rsidRPr="00037AD4" w:rsidRDefault="00B54D51" w:rsidP="001A7D5D">
            <w:pPr>
              <w:pStyle w:val="NormalWeb"/>
              <w:rPr>
                <w:rFonts w:asciiTheme="minorHAnsi" w:hAnsiTheme="minorHAnsi" w:cstheme="minorHAnsi"/>
              </w:rPr>
            </w:pPr>
          </w:p>
        </w:tc>
        <w:tc>
          <w:tcPr>
            <w:tcW w:w="864" w:type="dxa"/>
          </w:tcPr>
          <w:p w14:paraId="6F93408F" w14:textId="77777777" w:rsidR="00B54D51" w:rsidRPr="00037AD4" w:rsidRDefault="00B54D51" w:rsidP="001A7D5D">
            <w:pPr>
              <w:pStyle w:val="NormalWeb"/>
              <w:rPr>
                <w:rFonts w:asciiTheme="minorHAnsi" w:hAnsiTheme="minorHAnsi" w:cstheme="minorHAnsi"/>
              </w:rPr>
            </w:pPr>
          </w:p>
        </w:tc>
        <w:tc>
          <w:tcPr>
            <w:tcW w:w="922" w:type="dxa"/>
          </w:tcPr>
          <w:p w14:paraId="7F20962C" w14:textId="77777777" w:rsidR="00B54D51" w:rsidRPr="00037AD4" w:rsidRDefault="00B54D51" w:rsidP="001A7D5D">
            <w:pPr>
              <w:pStyle w:val="NormalWeb"/>
              <w:rPr>
                <w:rFonts w:asciiTheme="minorHAnsi" w:hAnsiTheme="minorHAnsi" w:cstheme="minorHAnsi"/>
              </w:rPr>
            </w:pPr>
          </w:p>
        </w:tc>
      </w:tr>
      <w:tr w:rsidR="00B54D51" w:rsidRPr="00037AD4" w14:paraId="0D23053C" w14:textId="77777777" w:rsidTr="0078211D">
        <w:tc>
          <w:tcPr>
            <w:tcW w:w="2432" w:type="dxa"/>
          </w:tcPr>
          <w:p w14:paraId="2127976E" w14:textId="77777777" w:rsidR="00B54D51" w:rsidRPr="00037AD4" w:rsidRDefault="00B54D51" w:rsidP="001A7D5D">
            <w:pPr>
              <w:pStyle w:val="NormalWeb"/>
              <w:rPr>
                <w:rFonts w:asciiTheme="minorHAnsi" w:hAnsiTheme="minorHAnsi" w:cstheme="minorHAnsi"/>
              </w:rPr>
            </w:pPr>
            <w:r w:rsidRPr="00037AD4">
              <w:rPr>
                <w:rFonts w:asciiTheme="minorHAnsi" w:hAnsiTheme="minorHAnsi" w:cstheme="minorHAnsi"/>
              </w:rPr>
              <w:t xml:space="preserve">van de Beek, 2019 </w:t>
            </w:r>
            <w:r>
              <w:rPr>
                <w:rFonts w:asciiTheme="minorHAnsi" w:hAnsiTheme="minorHAnsi" w:cstheme="minorHAnsi"/>
                <w:noProof/>
              </w:rPr>
              <w:t>(Van De Beek et al., 2019)</w:t>
            </w:r>
          </w:p>
        </w:tc>
        <w:tc>
          <w:tcPr>
            <w:tcW w:w="988" w:type="dxa"/>
          </w:tcPr>
          <w:p w14:paraId="06E9233E" w14:textId="77777777" w:rsidR="00B54D51" w:rsidRPr="00037AD4" w:rsidRDefault="00B54D51" w:rsidP="001A7D5D">
            <w:pPr>
              <w:pStyle w:val="NormalWeb"/>
              <w:rPr>
                <w:rFonts w:asciiTheme="minorHAnsi" w:hAnsiTheme="minorHAnsi" w:cstheme="minorHAnsi"/>
              </w:rPr>
            </w:pPr>
            <w:r w:rsidRPr="00037AD4">
              <w:rPr>
                <w:rFonts w:ascii="Segoe UI Symbol" w:hAnsi="Segoe UI Symbol" w:cs="Segoe UI Symbol"/>
              </w:rPr>
              <w:t>✓</w:t>
            </w:r>
          </w:p>
        </w:tc>
        <w:tc>
          <w:tcPr>
            <w:tcW w:w="1013" w:type="dxa"/>
          </w:tcPr>
          <w:p w14:paraId="38F9B18E" w14:textId="77777777" w:rsidR="00B54D51" w:rsidRPr="00037AD4" w:rsidRDefault="00B54D51" w:rsidP="001A7D5D">
            <w:pPr>
              <w:pStyle w:val="NormalWeb"/>
              <w:rPr>
                <w:rFonts w:asciiTheme="minorHAnsi" w:hAnsiTheme="minorHAnsi" w:cstheme="minorHAnsi"/>
              </w:rPr>
            </w:pPr>
          </w:p>
        </w:tc>
        <w:tc>
          <w:tcPr>
            <w:tcW w:w="930" w:type="dxa"/>
          </w:tcPr>
          <w:p w14:paraId="5E1D589F" w14:textId="77777777" w:rsidR="00B54D51" w:rsidRPr="00037AD4" w:rsidRDefault="00B54D51" w:rsidP="001A7D5D">
            <w:pPr>
              <w:pStyle w:val="NormalWeb"/>
              <w:rPr>
                <w:rFonts w:asciiTheme="minorHAnsi" w:hAnsiTheme="minorHAnsi" w:cstheme="minorHAnsi"/>
              </w:rPr>
            </w:pPr>
          </w:p>
        </w:tc>
        <w:tc>
          <w:tcPr>
            <w:tcW w:w="1013" w:type="dxa"/>
          </w:tcPr>
          <w:p w14:paraId="26DDA2E8" w14:textId="77777777" w:rsidR="00B54D51" w:rsidRPr="00037AD4" w:rsidRDefault="00B54D51" w:rsidP="001A7D5D">
            <w:pPr>
              <w:pStyle w:val="NormalWeb"/>
              <w:rPr>
                <w:rFonts w:asciiTheme="minorHAnsi" w:hAnsiTheme="minorHAnsi" w:cstheme="minorHAnsi"/>
              </w:rPr>
            </w:pPr>
          </w:p>
        </w:tc>
        <w:tc>
          <w:tcPr>
            <w:tcW w:w="1054" w:type="dxa"/>
          </w:tcPr>
          <w:p w14:paraId="1FBF5B46" w14:textId="77777777" w:rsidR="00B54D51" w:rsidRPr="00037AD4" w:rsidRDefault="00B54D51" w:rsidP="001A7D5D">
            <w:pPr>
              <w:pStyle w:val="NormalWeb"/>
              <w:rPr>
                <w:rFonts w:asciiTheme="minorHAnsi" w:hAnsiTheme="minorHAnsi" w:cstheme="minorHAnsi"/>
              </w:rPr>
            </w:pPr>
          </w:p>
        </w:tc>
        <w:tc>
          <w:tcPr>
            <w:tcW w:w="1062" w:type="dxa"/>
          </w:tcPr>
          <w:p w14:paraId="0B1D60BA" w14:textId="77777777" w:rsidR="00B54D51" w:rsidRPr="00037AD4" w:rsidRDefault="00B54D51" w:rsidP="001A7D5D">
            <w:pPr>
              <w:pStyle w:val="NormalWeb"/>
              <w:rPr>
                <w:rFonts w:asciiTheme="minorHAnsi" w:hAnsiTheme="minorHAnsi" w:cstheme="minorHAnsi"/>
              </w:rPr>
            </w:pPr>
          </w:p>
        </w:tc>
        <w:tc>
          <w:tcPr>
            <w:tcW w:w="863" w:type="dxa"/>
          </w:tcPr>
          <w:p w14:paraId="01148050" w14:textId="77777777" w:rsidR="00B54D51" w:rsidRPr="00037AD4" w:rsidRDefault="00B54D51" w:rsidP="001A7D5D">
            <w:pPr>
              <w:pStyle w:val="NormalWeb"/>
              <w:rPr>
                <w:rFonts w:asciiTheme="minorHAnsi" w:hAnsiTheme="minorHAnsi" w:cstheme="minorHAnsi"/>
              </w:rPr>
            </w:pPr>
            <w:r w:rsidRPr="00037AD4">
              <w:rPr>
                <w:rFonts w:ascii="Segoe UI Symbol" w:hAnsi="Segoe UI Symbol" w:cs="Segoe UI Symbol"/>
              </w:rPr>
              <w:t>✓</w:t>
            </w:r>
          </w:p>
        </w:tc>
        <w:tc>
          <w:tcPr>
            <w:tcW w:w="1054" w:type="dxa"/>
          </w:tcPr>
          <w:p w14:paraId="0A8B2E25" w14:textId="77777777" w:rsidR="00B54D51" w:rsidRPr="00037AD4" w:rsidRDefault="00B54D51" w:rsidP="001A7D5D">
            <w:pPr>
              <w:pStyle w:val="NormalWeb"/>
              <w:rPr>
                <w:rFonts w:asciiTheme="minorHAnsi" w:hAnsiTheme="minorHAnsi" w:cstheme="minorHAnsi"/>
              </w:rPr>
            </w:pPr>
          </w:p>
        </w:tc>
        <w:tc>
          <w:tcPr>
            <w:tcW w:w="789" w:type="dxa"/>
          </w:tcPr>
          <w:p w14:paraId="1875F3F2" w14:textId="77777777" w:rsidR="00B54D51" w:rsidRPr="00037AD4" w:rsidRDefault="00B54D51" w:rsidP="001A7D5D">
            <w:pPr>
              <w:pStyle w:val="NormalWeb"/>
              <w:rPr>
                <w:rFonts w:asciiTheme="minorHAnsi" w:hAnsiTheme="minorHAnsi" w:cstheme="minorHAnsi"/>
              </w:rPr>
            </w:pPr>
            <w:r w:rsidRPr="00037AD4">
              <w:rPr>
                <w:rFonts w:ascii="Segoe UI Symbol" w:hAnsi="Segoe UI Symbol" w:cs="Segoe UI Symbol"/>
              </w:rPr>
              <w:t>✓</w:t>
            </w:r>
          </w:p>
        </w:tc>
        <w:tc>
          <w:tcPr>
            <w:tcW w:w="964" w:type="dxa"/>
          </w:tcPr>
          <w:p w14:paraId="001C5A3B" w14:textId="77777777" w:rsidR="00B54D51" w:rsidRPr="00037AD4" w:rsidRDefault="00B54D51" w:rsidP="001A7D5D">
            <w:pPr>
              <w:pStyle w:val="NormalWeb"/>
              <w:rPr>
                <w:rFonts w:asciiTheme="minorHAnsi" w:hAnsiTheme="minorHAnsi" w:cstheme="minorHAnsi"/>
              </w:rPr>
            </w:pPr>
          </w:p>
        </w:tc>
        <w:tc>
          <w:tcPr>
            <w:tcW w:w="864" w:type="dxa"/>
          </w:tcPr>
          <w:p w14:paraId="5ABE33F4" w14:textId="77777777" w:rsidR="00B54D51" w:rsidRPr="00037AD4" w:rsidRDefault="00B54D51" w:rsidP="001A7D5D">
            <w:pPr>
              <w:pStyle w:val="NormalWeb"/>
              <w:rPr>
                <w:rFonts w:asciiTheme="minorHAnsi" w:hAnsiTheme="minorHAnsi" w:cstheme="minorHAnsi"/>
              </w:rPr>
            </w:pPr>
            <w:r w:rsidRPr="00037AD4">
              <w:rPr>
                <w:rFonts w:ascii="Segoe UI Symbol" w:hAnsi="Segoe UI Symbol" w:cs="Segoe UI Symbol"/>
              </w:rPr>
              <w:t>✓</w:t>
            </w:r>
          </w:p>
        </w:tc>
        <w:tc>
          <w:tcPr>
            <w:tcW w:w="922" w:type="dxa"/>
          </w:tcPr>
          <w:p w14:paraId="4DDC07C6" w14:textId="77777777" w:rsidR="00B54D51" w:rsidRPr="00037AD4" w:rsidRDefault="00B54D51" w:rsidP="001A7D5D">
            <w:pPr>
              <w:pStyle w:val="NormalWeb"/>
              <w:rPr>
                <w:rFonts w:asciiTheme="minorHAnsi" w:hAnsiTheme="minorHAnsi" w:cstheme="minorHAnsi"/>
              </w:rPr>
            </w:pPr>
          </w:p>
        </w:tc>
      </w:tr>
      <w:tr w:rsidR="00B54D51" w:rsidRPr="00037AD4" w14:paraId="56D5C6E1" w14:textId="77777777" w:rsidTr="0078211D">
        <w:tc>
          <w:tcPr>
            <w:tcW w:w="2432" w:type="dxa"/>
          </w:tcPr>
          <w:p w14:paraId="138C7B28" w14:textId="77777777" w:rsidR="00B54D51" w:rsidRPr="00037AD4" w:rsidRDefault="00B54D51" w:rsidP="001A7D5D">
            <w:pPr>
              <w:pStyle w:val="NormalWeb"/>
              <w:rPr>
                <w:rFonts w:asciiTheme="minorHAnsi" w:hAnsiTheme="minorHAnsi" w:cstheme="minorHAnsi"/>
              </w:rPr>
            </w:pPr>
            <w:r w:rsidRPr="00037AD4">
              <w:rPr>
                <w:rFonts w:asciiTheme="minorHAnsi" w:hAnsiTheme="minorHAnsi" w:cstheme="minorHAnsi"/>
              </w:rPr>
              <w:t xml:space="preserve">Vogel, 2006 </w:t>
            </w:r>
            <w:r>
              <w:rPr>
                <w:rFonts w:asciiTheme="minorHAnsi" w:hAnsiTheme="minorHAnsi" w:cstheme="minorHAnsi"/>
                <w:noProof/>
              </w:rPr>
              <w:t>(Vogel et al., 2006)</w:t>
            </w:r>
          </w:p>
        </w:tc>
        <w:tc>
          <w:tcPr>
            <w:tcW w:w="988" w:type="dxa"/>
          </w:tcPr>
          <w:p w14:paraId="0F5D7564" w14:textId="77777777" w:rsidR="00B54D51" w:rsidRPr="00037AD4" w:rsidRDefault="00B54D51" w:rsidP="001A7D5D">
            <w:pPr>
              <w:pStyle w:val="NormalWeb"/>
              <w:rPr>
                <w:rFonts w:asciiTheme="minorHAnsi" w:hAnsiTheme="minorHAnsi" w:cstheme="minorHAnsi"/>
              </w:rPr>
            </w:pPr>
            <w:r w:rsidRPr="00037AD4">
              <w:rPr>
                <w:rFonts w:ascii="Segoe UI Symbol" w:hAnsi="Segoe UI Symbol" w:cs="Segoe UI Symbol"/>
              </w:rPr>
              <w:t>✓</w:t>
            </w:r>
          </w:p>
        </w:tc>
        <w:tc>
          <w:tcPr>
            <w:tcW w:w="1013" w:type="dxa"/>
          </w:tcPr>
          <w:p w14:paraId="0F6D383A" w14:textId="77777777" w:rsidR="00B54D51" w:rsidRPr="00037AD4" w:rsidRDefault="00B54D51" w:rsidP="001A7D5D">
            <w:pPr>
              <w:pStyle w:val="NormalWeb"/>
              <w:rPr>
                <w:rFonts w:asciiTheme="minorHAnsi" w:hAnsiTheme="minorHAnsi" w:cstheme="minorHAnsi"/>
              </w:rPr>
            </w:pPr>
          </w:p>
        </w:tc>
        <w:tc>
          <w:tcPr>
            <w:tcW w:w="930" w:type="dxa"/>
          </w:tcPr>
          <w:p w14:paraId="6C12B3B4" w14:textId="77777777" w:rsidR="00B54D51" w:rsidRPr="00037AD4" w:rsidRDefault="00B54D51" w:rsidP="001A7D5D">
            <w:pPr>
              <w:pStyle w:val="NormalWeb"/>
              <w:rPr>
                <w:rFonts w:asciiTheme="minorHAnsi" w:hAnsiTheme="minorHAnsi" w:cstheme="minorHAnsi"/>
              </w:rPr>
            </w:pPr>
          </w:p>
        </w:tc>
        <w:tc>
          <w:tcPr>
            <w:tcW w:w="1013" w:type="dxa"/>
          </w:tcPr>
          <w:p w14:paraId="2484E7CB" w14:textId="77777777" w:rsidR="00B54D51" w:rsidRPr="00037AD4" w:rsidRDefault="00B54D51" w:rsidP="001A7D5D">
            <w:pPr>
              <w:pStyle w:val="NormalWeb"/>
              <w:rPr>
                <w:rFonts w:asciiTheme="minorHAnsi" w:hAnsiTheme="minorHAnsi" w:cstheme="minorHAnsi"/>
              </w:rPr>
            </w:pPr>
          </w:p>
        </w:tc>
        <w:tc>
          <w:tcPr>
            <w:tcW w:w="1054" w:type="dxa"/>
          </w:tcPr>
          <w:p w14:paraId="19BD23B3" w14:textId="77777777" w:rsidR="00B54D51" w:rsidRPr="00037AD4" w:rsidRDefault="00B54D51" w:rsidP="001A7D5D">
            <w:pPr>
              <w:pStyle w:val="NormalWeb"/>
              <w:rPr>
                <w:rFonts w:asciiTheme="minorHAnsi" w:hAnsiTheme="minorHAnsi" w:cstheme="minorHAnsi"/>
              </w:rPr>
            </w:pPr>
          </w:p>
        </w:tc>
        <w:tc>
          <w:tcPr>
            <w:tcW w:w="1062" w:type="dxa"/>
          </w:tcPr>
          <w:p w14:paraId="080F5269" w14:textId="77777777" w:rsidR="00B54D51" w:rsidRPr="00037AD4" w:rsidRDefault="00B54D51" w:rsidP="001A7D5D">
            <w:pPr>
              <w:pStyle w:val="NormalWeb"/>
              <w:rPr>
                <w:rFonts w:asciiTheme="minorHAnsi" w:hAnsiTheme="minorHAnsi" w:cstheme="minorHAnsi"/>
              </w:rPr>
            </w:pPr>
          </w:p>
        </w:tc>
        <w:tc>
          <w:tcPr>
            <w:tcW w:w="863" w:type="dxa"/>
          </w:tcPr>
          <w:p w14:paraId="4ED94B74" w14:textId="77777777" w:rsidR="00B54D51" w:rsidRPr="00037AD4" w:rsidRDefault="00B54D51" w:rsidP="001A7D5D">
            <w:pPr>
              <w:pStyle w:val="NormalWeb"/>
              <w:rPr>
                <w:rFonts w:asciiTheme="minorHAnsi" w:hAnsiTheme="minorHAnsi" w:cstheme="minorHAnsi"/>
              </w:rPr>
            </w:pPr>
          </w:p>
        </w:tc>
        <w:tc>
          <w:tcPr>
            <w:tcW w:w="1054" w:type="dxa"/>
          </w:tcPr>
          <w:p w14:paraId="01307BA8" w14:textId="77777777" w:rsidR="00B54D51" w:rsidRPr="00037AD4" w:rsidRDefault="00B54D51" w:rsidP="001A7D5D">
            <w:pPr>
              <w:pStyle w:val="NormalWeb"/>
              <w:rPr>
                <w:rFonts w:asciiTheme="minorHAnsi" w:hAnsiTheme="minorHAnsi" w:cstheme="minorHAnsi"/>
              </w:rPr>
            </w:pPr>
          </w:p>
        </w:tc>
        <w:tc>
          <w:tcPr>
            <w:tcW w:w="789" w:type="dxa"/>
          </w:tcPr>
          <w:p w14:paraId="3C049FB1" w14:textId="77777777" w:rsidR="00B54D51" w:rsidRPr="00037AD4" w:rsidRDefault="00B54D51" w:rsidP="001A7D5D">
            <w:pPr>
              <w:pStyle w:val="NormalWeb"/>
              <w:rPr>
                <w:rFonts w:asciiTheme="minorHAnsi" w:hAnsiTheme="minorHAnsi" w:cstheme="minorHAnsi"/>
              </w:rPr>
            </w:pPr>
          </w:p>
        </w:tc>
        <w:tc>
          <w:tcPr>
            <w:tcW w:w="964" w:type="dxa"/>
          </w:tcPr>
          <w:p w14:paraId="186F23F8" w14:textId="77777777" w:rsidR="00B54D51" w:rsidRPr="00037AD4" w:rsidRDefault="00B54D51" w:rsidP="001A7D5D">
            <w:pPr>
              <w:pStyle w:val="NormalWeb"/>
              <w:rPr>
                <w:rFonts w:asciiTheme="minorHAnsi" w:hAnsiTheme="minorHAnsi" w:cstheme="minorHAnsi"/>
              </w:rPr>
            </w:pPr>
          </w:p>
        </w:tc>
        <w:tc>
          <w:tcPr>
            <w:tcW w:w="864" w:type="dxa"/>
          </w:tcPr>
          <w:p w14:paraId="7AC397CA" w14:textId="77777777" w:rsidR="00B54D51" w:rsidRPr="00037AD4" w:rsidRDefault="00B54D51" w:rsidP="001A7D5D">
            <w:pPr>
              <w:pStyle w:val="NormalWeb"/>
              <w:rPr>
                <w:rFonts w:asciiTheme="minorHAnsi" w:hAnsiTheme="minorHAnsi" w:cstheme="minorHAnsi"/>
              </w:rPr>
            </w:pPr>
            <w:r w:rsidRPr="00037AD4">
              <w:rPr>
                <w:rFonts w:ascii="Segoe UI Symbol" w:hAnsi="Segoe UI Symbol" w:cs="Segoe UI Symbol"/>
              </w:rPr>
              <w:t>✓</w:t>
            </w:r>
          </w:p>
        </w:tc>
        <w:tc>
          <w:tcPr>
            <w:tcW w:w="922" w:type="dxa"/>
          </w:tcPr>
          <w:p w14:paraId="3CA31127" w14:textId="77777777" w:rsidR="00B54D51" w:rsidRPr="00037AD4" w:rsidRDefault="00B54D51" w:rsidP="001A7D5D">
            <w:pPr>
              <w:pStyle w:val="NormalWeb"/>
              <w:rPr>
                <w:rFonts w:asciiTheme="minorHAnsi" w:hAnsiTheme="minorHAnsi" w:cstheme="minorHAnsi"/>
              </w:rPr>
            </w:pPr>
          </w:p>
        </w:tc>
      </w:tr>
      <w:tr w:rsidR="00B54D51" w:rsidRPr="00037AD4" w14:paraId="5B8CDC7C" w14:textId="77777777" w:rsidTr="0078211D">
        <w:tc>
          <w:tcPr>
            <w:tcW w:w="2432" w:type="dxa"/>
          </w:tcPr>
          <w:p w14:paraId="623B8B0A" w14:textId="77777777" w:rsidR="00B54D51" w:rsidRPr="00037AD4" w:rsidRDefault="00B54D51" w:rsidP="001A7D5D">
            <w:pPr>
              <w:pStyle w:val="NormalWeb"/>
              <w:rPr>
                <w:rFonts w:asciiTheme="minorHAnsi" w:hAnsiTheme="minorHAnsi" w:cstheme="minorHAnsi"/>
              </w:rPr>
            </w:pPr>
            <w:r w:rsidRPr="00037AD4">
              <w:rPr>
                <w:rFonts w:asciiTheme="minorHAnsi" w:hAnsiTheme="minorHAnsi" w:cstheme="minorHAnsi"/>
              </w:rPr>
              <w:t>Number of studies</w:t>
            </w:r>
          </w:p>
        </w:tc>
        <w:tc>
          <w:tcPr>
            <w:tcW w:w="988" w:type="dxa"/>
          </w:tcPr>
          <w:p w14:paraId="2151EEA7" w14:textId="77777777" w:rsidR="00B54D51" w:rsidRPr="00037AD4" w:rsidRDefault="00B54D51" w:rsidP="001A7D5D">
            <w:pPr>
              <w:pStyle w:val="NormalWeb"/>
              <w:rPr>
                <w:rFonts w:asciiTheme="minorHAnsi" w:hAnsiTheme="minorHAnsi" w:cstheme="minorHAnsi"/>
              </w:rPr>
            </w:pPr>
            <w:r w:rsidRPr="00037AD4">
              <w:rPr>
                <w:rFonts w:asciiTheme="minorHAnsi" w:hAnsiTheme="minorHAnsi" w:cstheme="minorHAnsi"/>
              </w:rPr>
              <w:t>25</w:t>
            </w:r>
          </w:p>
        </w:tc>
        <w:tc>
          <w:tcPr>
            <w:tcW w:w="1013" w:type="dxa"/>
          </w:tcPr>
          <w:p w14:paraId="5F3D4559" w14:textId="77777777" w:rsidR="00B54D51" w:rsidRPr="00037AD4" w:rsidRDefault="00B54D51" w:rsidP="001A7D5D">
            <w:pPr>
              <w:pStyle w:val="NormalWeb"/>
              <w:rPr>
                <w:rFonts w:asciiTheme="minorHAnsi" w:hAnsiTheme="minorHAnsi" w:cstheme="minorHAnsi"/>
              </w:rPr>
            </w:pPr>
            <w:r w:rsidRPr="00037AD4">
              <w:rPr>
                <w:rFonts w:asciiTheme="minorHAnsi" w:hAnsiTheme="minorHAnsi" w:cstheme="minorHAnsi"/>
              </w:rPr>
              <w:t>4</w:t>
            </w:r>
          </w:p>
        </w:tc>
        <w:tc>
          <w:tcPr>
            <w:tcW w:w="930" w:type="dxa"/>
          </w:tcPr>
          <w:p w14:paraId="4C9A4883" w14:textId="77777777" w:rsidR="00B54D51" w:rsidRPr="00037AD4" w:rsidRDefault="00B54D51" w:rsidP="001A7D5D">
            <w:pPr>
              <w:pStyle w:val="NormalWeb"/>
              <w:rPr>
                <w:rFonts w:asciiTheme="minorHAnsi" w:hAnsiTheme="minorHAnsi" w:cstheme="minorHAnsi"/>
              </w:rPr>
            </w:pPr>
            <w:r w:rsidRPr="00037AD4">
              <w:rPr>
                <w:rFonts w:asciiTheme="minorHAnsi" w:hAnsiTheme="minorHAnsi" w:cstheme="minorHAnsi"/>
              </w:rPr>
              <w:t>1</w:t>
            </w:r>
          </w:p>
        </w:tc>
        <w:tc>
          <w:tcPr>
            <w:tcW w:w="1013" w:type="dxa"/>
          </w:tcPr>
          <w:p w14:paraId="55DCB9FB" w14:textId="77777777" w:rsidR="00B54D51" w:rsidRPr="00037AD4" w:rsidRDefault="00B54D51" w:rsidP="001A7D5D">
            <w:pPr>
              <w:pStyle w:val="NormalWeb"/>
              <w:rPr>
                <w:rFonts w:asciiTheme="minorHAnsi" w:hAnsiTheme="minorHAnsi" w:cstheme="minorHAnsi"/>
              </w:rPr>
            </w:pPr>
            <w:r w:rsidRPr="00037AD4">
              <w:rPr>
                <w:rFonts w:asciiTheme="minorHAnsi" w:hAnsiTheme="minorHAnsi" w:cstheme="minorHAnsi"/>
              </w:rPr>
              <w:t>2</w:t>
            </w:r>
          </w:p>
        </w:tc>
        <w:tc>
          <w:tcPr>
            <w:tcW w:w="1054" w:type="dxa"/>
          </w:tcPr>
          <w:p w14:paraId="0FD7BDB5" w14:textId="77777777" w:rsidR="00B54D51" w:rsidRPr="00037AD4" w:rsidRDefault="00B54D51" w:rsidP="001A7D5D">
            <w:pPr>
              <w:pStyle w:val="NormalWeb"/>
              <w:rPr>
                <w:rFonts w:asciiTheme="minorHAnsi" w:hAnsiTheme="minorHAnsi" w:cstheme="minorHAnsi"/>
              </w:rPr>
            </w:pPr>
            <w:r w:rsidRPr="00037AD4">
              <w:rPr>
                <w:rFonts w:asciiTheme="minorHAnsi" w:hAnsiTheme="minorHAnsi" w:cstheme="minorHAnsi"/>
              </w:rPr>
              <w:t>8</w:t>
            </w:r>
          </w:p>
        </w:tc>
        <w:tc>
          <w:tcPr>
            <w:tcW w:w="1062" w:type="dxa"/>
          </w:tcPr>
          <w:p w14:paraId="62959554" w14:textId="77777777" w:rsidR="00B54D51" w:rsidRPr="00037AD4" w:rsidRDefault="00B54D51" w:rsidP="001A7D5D">
            <w:pPr>
              <w:pStyle w:val="NormalWeb"/>
              <w:rPr>
                <w:rFonts w:asciiTheme="minorHAnsi" w:hAnsiTheme="minorHAnsi" w:cstheme="minorHAnsi"/>
              </w:rPr>
            </w:pPr>
            <w:r w:rsidRPr="00037AD4">
              <w:rPr>
                <w:rFonts w:asciiTheme="minorHAnsi" w:hAnsiTheme="minorHAnsi" w:cstheme="minorHAnsi"/>
              </w:rPr>
              <w:t>4</w:t>
            </w:r>
          </w:p>
        </w:tc>
        <w:tc>
          <w:tcPr>
            <w:tcW w:w="863" w:type="dxa"/>
          </w:tcPr>
          <w:p w14:paraId="1F8EA9C9" w14:textId="77777777" w:rsidR="00B54D51" w:rsidRPr="00037AD4" w:rsidRDefault="00B54D51" w:rsidP="001A7D5D">
            <w:pPr>
              <w:pStyle w:val="NormalWeb"/>
              <w:rPr>
                <w:rFonts w:asciiTheme="minorHAnsi" w:hAnsiTheme="minorHAnsi" w:cstheme="minorHAnsi"/>
              </w:rPr>
            </w:pPr>
            <w:r w:rsidRPr="00037AD4">
              <w:rPr>
                <w:rFonts w:asciiTheme="minorHAnsi" w:hAnsiTheme="minorHAnsi" w:cstheme="minorHAnsi"/>
              </w:rPr>
              <w:t>7</w:t>
            </w:r>
          </w:p>
        </w:tc>
        <w:tc>
          <w:tcPr>
            <w:tcW w:w="1054" w:type="dxa"/>
          </w:tcPr>
          <w:p w14:paraId="3F143792" w14:textId="77777777" w:rsidR="00B54D51" w:rsidRPr="00037AD4" w:rsidRDefault="00B54D51" w:rsidP="001A7D5D">
            <w:pPr>
              <w:pStyle w:val="NormalWeb"/>
              <w:rPr>
                <w:rFonts w:asciiTheme="minorHAnsi" w:hAnsiTheme="minorHAnsi" w:cstheme="minorHAnsi"/>
              </w:rPr>
            </w:pPr>
            <w:r w:rsidRPr="00037AD4">
              <w:rPr>
                <w:rFonts w:asciiTheme="minorHAnsi" w:hAnsiTheme="minorHAnsi" w:cstheme="minorHAnsi"/>
              </w:rPr>
              <w:t>3</w:t>
            </w:r>
          </w:p>
        </w:tc>
        <w:tc>
          <w:tcPr>
            <w:tcW w:w="789" w:type="dxa"/>
          </w:tcPr>
          <w:p w14:paraId="05A4B4AF" w14:textId="77777777" w:rsidR="00B54D51" w:rsidRPr="00037AD4" w:rsidRDefault="00B54D51" w:rsidP="001A7D5D">
            <w:pPr>
              <w:pStyle w:val="NormalWeb"/>
              <w:rPr>
                <w:rFonts w:asciiTheme="minorHAnsi" w:hAnsiTheme="minorHAnsi" w:cstheme="minorHAnsi"/>
              </w:rPr>
            </w:pPr>
            <w:r w:rsidRPr="00037AD4">
              <w:rPr>
                <w:rFonts w:asciiTheme="minorHAnsi" w:hAnsiTheme="minorHAnsi" w:cstheme="minorHAnsi"/>
              </w:rPr>
              <w:t>12</w:t>
            </w:r>
          </w:p>
        </w:tc>
        <w:tc>
          <w:tcPr>
            <w:tcW w:w="964" w:type="dxa"/>
          </w:tcPr>
          <w:p w14:paraId="1AB44C7B" w14:textId="77777777" w:rsidR="00B54D51" w:rsidRPr="00037AD4" w:rsidRDefault="00B54D51" w:rsidP="001A7D5D">
            <w:pPr>
              <w:pStyle w:val="NormalWeb"/>
              <w:rPr>
                <w:rFonts w:asciiTheme="minorHAnsi" w:hAnsiTheme="minorHAnsi" w:cstheme="minorHAnsi"/>
              </w:rPr>
            </w:pPr>
            <w:r w:rsidRPr="00037AD4">
              <w:rPr>
                <w:rFonts w:asciiTheme="minorHAnsi" w:hAnsiTheme="minorHAnsi" w:cstheme="minorHAnsi"/>
              </w:rPr>
              <w:t>5</w:t>
            </w:r>
          </w:p>
        </w:tc>
        <w:tc>
          <w:tcPr>
            <w:tcW w:w="864" w:type="dxa"/>
          </w:tcPr>
          <w:p w14:paraId="11E6D949" w14:textId="77777777" w:rsidR="00B54D51" w:rsidRPr="00037AD4" w:rsidRDefault="00B54D51" w:rsidP="001A7D5D">
            <w:pPr>
              <w:pStyle w:val="NormalWeb"/>
              <w:rPr>
                <w:rFonts w:asciiTheme="minorHAnsi" w:hAnsiTheme="minorHAnsi" w:cstheme="minorHAnsi"/>
              </w:rPr>
            </w:pPr>
            <w:r w:rsidRPr="00037AD4">
              <w:rPr>
                <w:rFonts w:asciiTheme="minorHAnsi" w:hAnsiTheme="minorHAnsi" w:cstheme="minorHAnsi"/>
              </w:rPr>
              <w:t>9</w:t>
            </w:r>
          </w:p>
        </w:tc>
        <w:tc>
          <w:tcPr>
            <w:tcW w:w="922" w:type="dxa"/>
          </w:tcPr>
          <w:p w14:paraId="602A8DC0" w14:textId="77777777" w:rsidR="00B54D51" w:rsidRPr="00037AD4" w:rsidRDefault="00B54D51" w:rsidP="001A7D5D">
            <w:pPr>
              <w:pStyle w:val="NormalWeb"/>
              <w:rPr>
                <w:rFonts w:asciiTheme="minorHAnsi" w:hAnsiTheme="minorHAnsi" w:cstheme="minorHAnsi"/>
              </w:rPr>
            </w:pPr>
            <w:r w:rsidRPr="00037AD4">
              <w:rPr>
                <w:rFonts w:asciiTheme="minorHAnsi" w:hAnsiTheme="minorHAnsi" w:cstheme="minorHAnsi"/>
              </w:rPr>
              <w:t>1</w:t>
            </w:r>
          </w:p>
        </w:tc>
      </w:tr>
    </w:tbl>
    <w:p w14:paraId="45F363CD" w14:textId="77777777" w:rsidR="00B54D51" w:rsidRPr="00037AD4" w:rsidRDefault="00B54D51" w:rsidP="0059168A">
      <w:pPr>
        <w:pStyle w:val="NormalWeb"/>
        <w:rPr>
          <w:rFonts w:asciiTheme="minorHAnsi" w:hAnsiTheme="minorHAnsi" w:cstheme="minorHAnsi"/>
        </w:rPr>
        <w:sectPr w:rsidR="00B54D51" w:rsidRPr="00037AD4" w:rsidSect="0051675A">
          <w:pgSz w:w="16838" w:h="11906" w:orient="landscape"/>
          <w:pgMar w:top="1440" w:right="1440" w:bottom="1440" w:left="1440" w:header="708" w:footer="708" w:gutter="0"/>
          <w:cols w:space="708"/>
          <w:docGrid w:linePitch="360"/>
        </w:sectPr>
      </w:pPr>
    </w:p>
    <w:p w14:paraId="254898C0" w14:textId="77777777" w:rsidR="00B54D51" w:rsidRPr="00037AD4" w:rsidRDefault="00B54D51" w:rsidP="007A43F9">
      <w:pPr>
        <w:pStyle w:val="Heading4"/>
      </w:pPr>
      <w:r w:rsidRPr="00037AD4">
        <w:lastRenderedPageBreak/>
        <w:t>3.7.4.3 EQ-5D convergent validity with cognition</w:t>
      </w:r>
    </w:p>
    <w:p w14:paraId="6D18B917" w14:textId="77777777" w:rsidR="00B54D51" w:rsidRPr="00037AD4" w:rsidRDefault="00B54D51" w:rsidP="00FD3058">
      <w:pPr>
        <w:pStyle w:val="NormalWeb"/>
        <w:rPr>
          <w:rFonts w:asciiTheme="minorHAnsi" w:hAnsiTheme="minorHAnsi" w:cstheme="minorHAnsi"/>
        </w:rPr>
      </w:pPr>
      <w:r w:rsidRPr="00037AD4">
        <w:rPr>
          <w:rFonts w:asciiTheme="minorHAnsi" w:hAnsiTheme="minorHAnsi" w:cstheme="minorHAnsi"/>
        </w:rPr>
        <w:t xml:space="preserve">It was hypothesised that cognition would have a positive correlation with EQ-5D whereby greater cognitive impairment would be associated with lower EQ-5D index scores (lower MMSE scores indicate greater cognitive impairment). </w:t>
      </w:r>
      <w:hyperlink w:anchor="A38" w:history="1">
        <w:r w:rsidRPr="00B54D51">
          <w:rPr>
            <w:rStyle w:val="Hyperlink"/>
            <w:rFonts w:asciiTheme="minorHAnsi" w:hAnsiTheme="minorHAnsi" w:cstheme="minorHAnsi"/>
            <w:color w:val="000000" w:themeColor="text1"/>
            <w:u w:val="none"/>
          </w:rPr>
          <w:t>Appendix 3.8</w:t>
        </w:r>
      </w:hyperlink>
      <w:r w:rsidRPr="00037AD4">
        <w:rPr>
          <w:rFonts w:asciiTheme="minorHAnsi" w:hAnsiTheme="minorHAnsi" w:cstheme="minorHAnsi"/>
          <w:color w:val="000000" w:themeColor="text1"/>
        </w:rPr>
        <w:t xml:space="preserve"> </w:t>
      </w:r>
      <w:r w:rsidRPr="00037AD4">
        <w:rPr>
          <w:rFonts w:asciiTheme="minorHAnsi" w:hAnsiTheme="minorHAnsi" w:cstheme="minorHAnsi"/>
        </w:rPr>
        <w:t xml:space="preserve">provides complete details of the empirical relationship between cognition and EQ-5D. In total, eighteen studies assessed the convergent validity between EQ-5D index scores and the cognitive measures (MMSE, n=17; ADAS-Cog, n=2; one study collected both measures </w:t>
      </w:r>
      <w:r>
        <w:rPr>
          <w:rFonts w:asciiTheme="minorHAnsi" w:hAnsiTheme="minorHAnsi" w:cstheme="minorHAnsi"/>
          <w:noProof/>
        </w:rPr>
        <w:t>(Bonfiglio et al., 2019)</w:t>
      </w:r>
      <w:r w:rsidRPr="00037AD4">
        <w:rPr>
          <w:rFonts w:asciiTheme="minorHAnsi" w:hAnsiTheme="minorHAnsi" w:cstheme="minorHAnsi"/>
        </w:rPr>
        <w:t xml:space="preserve">). Three studies reported a different relationship between cognition and EQ-5D by respondent type </w:t>
      </w:r>
      <w:r>
        <w:rPr>
          <w:rFonts w:asciiTheme="minorHAnsi" w:hAnsiTheme="minorHAnsi" w:cstheme="minorHAnsi"/>
          <w:noProof/>
        </w:rPr>
        <w:t>(Farina et al., 2020, Heßmann et al., 2016, Bonfiglio et al., 2019)</w:t>
      </w:r>
      <w:r w:rsidRPr="00037AD4">
        <w:rPr>
          <w:rFonts w:asciiTheme="minorHAnsi" w:hAnsiTheme="minorHAnsi" w:cstheme="minorHAnsi"/>
        </w:rPr>
        <w:t xml:space="preserve">. </w:t>
      </w:r>
    </w:p>
    <w:p w14:paraId="6881A229" w14:textId="77777777" w:rsidR="00B54D51" w:rsidRPr="00037AD4" w:rsidRDefault="00B54D51" w:rsidP="00FD3058">
      <w:pPr>
        <w:pStyle w:val="NormalWeb"/>
        <w:rPr>
          <w:rFonts w:asciiTheme="minorHAnsi" w:hAnsiTheme="minorHAnsi" w:cstheme="minorHAnsi"/>
        </w:rPr>
      </w:pPr>
      <w:r w:rsidRPr="00037AD4">
        <w:rPr>
          <w:rFonts w:asciiTheme="minorHAnsi" w:hAnsiTheme="minorHAnsi" w:cstheme="minorHAnsi"/>
        </w:rPr>
        <w:t xml:space="preserve">Within only seven distinct studies a statistically significant relationship (p&lt;0.05) between cognition and EQ-5D was reported, all of which were </w:t>
      </w:r>
      <w:r w:rsidRPr="00037AD4">
        <w:rPr>
          <w:rFonts w:asciiTheme="minorHAnsi" w:hAnsiTheme="minorHAnsi" w:cstheme="minorHAnsi"/>
          <w:i/>
          <w:iCs/>
        </w:rPr>
        <w:t xml:space="preserve">positive correlations </w:t>
      </w:r>
      <w:r>
        <w:rPr>
          <w:rFonts w:asciiTheme="minorHAnsi" w:hAnsiTheme="minorHAnsi" w:cstheme="minorHAnsi"/>
          <w:noProof/>
        </w:rPr>
        <w:t>(Bonfiglio et al., 2019, Farina et al., 2020, Heßmann et al., 2016, Naglie et al., 2011b, Schiffczyk et al., 2010, Ashizawa et al., 2021, King et al., 2022)</w:t>
      </w:r>
      <w:r w:rsidRPr="00037AD4">
        <w:rPr>
          <w:rFonts w:asciiTheme="minorHAnsi" w:hAnsiTheme="minorHAnsi" w:cstheme="minorHAnsi"/>
        </w:rPr>
        <w:t xml:space="preserve">, and three of these seven studies had a sample size of greater than 300 </w:t>
      </w:r>
      <w:r>
        <w:rPr>
          <w:rFonts w:asciiTheme="minorHAnsi" w:hAnsiTheme="minorHAnsi" w:cstheme="minorHAnsi"/>
          <w:noProof/>
        </w:rPr>
        <w:t>(Farina et al., 2020, Heßmann et al., 2016, Naglie et al., 2011b)</w:t>
      </w:r>
      <w:r w:rsidRPr="00037AD4">
        <w:rPr>
          <w:rFonts w:asciiTheme="minorHAnsi" w:hAnsiTheme="minorHAnsi" w:cstheme="minorHAnsi"/>
        </w:rPr>
        <w:t xml:space="preserve">. Of the studies that reported statistically significant findings, the respondent type was predominantly an informal caregiver (five of seven studies) and were studies that had included participants spanning the entire dementia severity range (mild-to-severe). The one study that reported a statistically significant association between self-reported EQ-5D and cognition was within a mild-stage study sample </w:t>
      </w:r>
      <w:r>
        <w:rPr>
          <w:rFonts w:asciiTheme="minorHAnsi" w:hAnsiTheme="minorHAnsi" w:cstheme="minorHAnsi"/>
          <w:noProof/>
        </w:rPr>
        <w:t>(Bonfiglio et al., 2019)</w:t>
      </w:r>
      <w:r w:rsidRPr="00037AD4">
        <w:rPr>
          <w:rFonts w:asciiTheme="minorHAnsi" w:hAnsiTheme="minorHAnsi" w:cstheme="minorHAnsi"/>
        </w:rPr>
        <w:t xml:space="preserve">. Figure 5 shows the proportion of studies that demonstrated a relationship between cognition and EQ-5D in both directions (see </w:t>
      </w:r>
      <w:hyperlink w:anchor="A38" w:history="1">
        <w:r w:rsidRPr="00B54D51">
          <w:rPr>
            <w:rStyle w:val="Hyperlink"/>
            <w:rFonts w:asciiTheme="minorHAnsi" w:hAnsiTheme="minorHAnsi" w:cstheme="minorHAnsi"/>
            <w:color w:val="000000" w:themeColor="text1"/>
            <w:u w:val="none"/>
          </w:rPr>
          <w:t>Appendix 3.8</w:t>
        </w:r>
      </w:hyperlink>
      <w:r w:rsidRPr="00037AD4">
        <w:rPr>
          <w:rFonts w:asciiTheme="minorHAnsi" w:hAnsiTheme="minorHAnsi" w:cstheme="minorHAnsi"/>
          <w:color w:val="000000" w:themeColor="text1"/>
        </w:rPr>
        <w:t xml:space="preserve"> </w:t>
      </w:r>
      <w:r w:rsidRPr="00037AD4">
        <w:rPr>
          <w:rFonts w:asciiTheme="minorHAnsi" w:hAnsiTheme="minorHAnsi" w:cstheme="minorHAnsi"/>
        </w:rPr>
        <w:t>for more details).</w:t>
      </w:r>
    </w:p>
    <w:p w14:paraId="5036F402" w14:textId="77777777" w:rsidR="00B54D51" w:rsidRPr="00037AD4" w:rsidRDefault="00B54D51" w:rsidP="00FD3058">
      <w:pPr>
        <w:pStyle w:val="NormalWeb"/>
        <w:rPr>
          <w:rFonts w:asciiTheme="minorHAnsi" w:hAnsiTheme="minorHAnsi" w:cstheme="minorHAnsi"/>
          <w:b/>
          <w:bCs/>
          <w:i/>
          <w:iCs/>
        </w:rPr>
      </w:pPr>
      <w:r w:rsidRPr="00037AD4">
        <w:rPr>
          <w:rFonts w:asciiTheme="minorHAnsi" w:hAnsiTheme="minorHAnsi" w:cstheme="minorHAnsi"/>
          <w:b/>
          <w:bCs/>
          <w:i/>
          <w:iCs/>
        </w:rPr>
        <w:t xml:space="preserve">Figure 5, Direction of convergent validity between EQ-5D and cognition </w:t>
      </w:r>
    </w:p>
    <w:p w14:paraId="673BC6E4" w14:textId="7075B3D9" w:rsidR="00B54D51" w:rsidRPr="00037AD4" w:rsidRDefault="00B77D6A" w:rsidP="00FD3058">
      <w:pPr>
        <w:pStyle w:val="NormalWeb"/>
        <w:rPr>
          <w:rFonts w:asciiTheme="minorHAnsi" w:hAnsiTheme="minorHAnsi" w:cstheme="minorHAnsi"/>
          <w:b/>
          <w:bCs/>
          <w:u w:val="single"/>
        </w:rPr>
      </w:pPr>
      <w:r w:rsidRPr="00037AD4">
        <w:rPr>
          <w:rFonts w:asciiTheme="minorHAnsi" w:hAnsiTheme="minorHAnsi" w:cstheme="minorHAnsi"/>
          <w:b/>
          <w:bCs/>
          <w:noProof/>
          <w:lang w:eastAsia="zh-CN"/>
        </w:rPr>
        <w:drawing>
          <wp:inline distT="0" distB="0" distL="0" distR="0" wp14:anchorId="6E8179AD" wp14:editId="3138B344">
            <wp:extent cx="5731510" cy="3223260"/>
            <wp:effectExtent l="0" t="0" r="0" b="25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0">
                      <a:extLst>
                        <a:ext uri="{28A0092B-C50C-407E-A947-70E740481C1C}">
                          <a14:useLocalDpi xmlns:a14="http://schemas.microsoft.com/office/drawing/2010/main" val="0"/>
                        </a:ext>
                      </a:extLst>
                    </a:blip>
                    <a:stretch>
                      <a:fillRect/>
                    </a:stretch>
                  </pic:blipFill>
                  <pic:spPr>
                    <a:xfrm>
                      <a:off x="0" y="0"/>
                      <a:ext cx="5731510" cy="3223260"/>
                    </a:xfrm>
                    <a:prstGeom prst="rect">
                      <a:avLst/>
                    </a:prstGeom>
                  </pic:spPr>
                </pic:pic>
              </a:graphicData>
            </a:graphic>
          </wp:inline>
        </w:drawing>
      </w:r>
    </w:p>
    <w:p w14:paraId="7B4A14AE" w14:textId="77777777" w:rsidR="00B54D51" w:rsidRPr="00037AD4" w:rsidRDefault="00B54D51" w:rsidP="00FD3058">
      <w:pPr>
        <w:rPr>
          <w:rFonts w:asciiTheme="minorHAnsi" w:hAnsiTheme="minorHAnsi" w:cstheme="minorHAnsi"/>
          <w:sz w:val="18"/>
          <w:szCs w:val="18"/>
        </w:rPr>
      </w:pPr>
      <w:r w:rsidRPr="00037AD4">
        <w:rPr>
          <w:rFonts w:asciiTheme="minorHAnsi" w:hAnsiTheme="minorHAnsi" w:cstheme="minorHAnsi"/>
          <w:sz w:val="18"/>
          <w:szCs w:val="18"/>
        </w:rPr>
        <w:t xml:space="preserve">*Total number of studies is n=19 as 2 studies report convergent validity twice </w:t>
      </w:r>
    </w:p>
    <w:p w14:paraId="64086114" w14:textId="77777777" w:rsidR="00B54D51" w:rsidRPr="00037AD4" w:rsidRDefault="00B54D51" w:rsidP="007A43F9">
      <w:pPr>
        <w:pStyle w:val="Heading4"/>
      </w:pPr>
      <w:r w:rsidRPr="00037AD4">
        <w:lastRenderedPageBreak/>
        <w:t>3.7.4.4 EQ-5D convergent validity with function</w:t>
      </w:r>
    </w:p>
    <w:p w14:paraId="30811E7F" w14:textId="77777777" w:rsidR="00B54D51" w:rsidRPr="00037AD4" w:rsidRDefault="00B54D51" w:rsidP="00FD3058">
      <w:pPr>
        <w:pStyle w:val="NormalWeb"/>
        <w:rPr>
          <w:rFonts w:asciiTheme="minorHAnsi" w:hAnsiTheme="minorHAnsi" w:cstheme="minorHAnsi"/>
        </w:rPr>
      </w:pPr>
      <w:r w:rsidRPr="00037AD4">
        <w:rPr>
          <w:rFonts w:asciiTheme="minorHAnsi" w:hAnsiTheme="minorHAnsi" w:cstheme="minorHAnsi"/>
        </w:rPr>
        <w:t xml:space="preserve">For the convergent validity between EQ-5D and the measures of function, a positive correlation was hypothesised whereby greater functional independence would be associated with higher EQ-5D index score. Twenty distinct studies provided empirical evidence of the convergent validity between EQ-5D and the measure of function within the study (ADCS-ADL, n=2; BADLS, n=2; Barthel index, n=7; DAD, n=6; Lawton scale, n=4; one study collected both Barthel index and Lawton scale </w:t>
      </w:r>
      <w:r>
        <w:rPr>
          <w:rFonts w:asciiTheme="minorHAnsi" w:hAnsiTheme="minorHAnsi" w:cstheme="minorHAnsi"/>
          <w:noProof/>
        </w:rPr>
        <w:t>(Bonfiglio et al., 2019)</w:t>
      </w:r>
      <w:r w:rsidRPr="00037AD4">
        <w:rPr>
          <w:rFonts w:asciiTheme="minorHAnsi" w:hAnsiTheme="minorHAnsi" w:cstheme="minorHAnsi"/>
        </w:rPr>
        <w:t xml:space="preserve">). </w:t>
      </w:r>
    </w:p>
    <w:p w14:paraId="647BCCFE" w14:textId="6AB6898A" w:rsidR="00B54D51" w:rsidRPr="00037AD4" w:rsidRDefault="00B54D51" w:rsidP="00FD3058">
      <w:pPr>
        <w:pStyle w:val="NormalWeb"/>
        <w:rPr>
          <w:rFonts w:asciiTheme="minorHAnsi" w:hAnsiTheme="minorHAnsi" w:cstheme="minorHAnsi"/>
        </w:rPr>
      </w:pPr>
      <w:r w:rsidRPr="00037AD4">
        <w:rPr>
          <w:rFonts w:asciiTheme="minorHAnsi" w:hAnsiTheme="minorHAnsi" w:cstheme="minorHAnsi"/>
        </w:rPr>
        <w:t xml:space="preserve">Two studies reported a difference in relationship between function and EQ-5D by respondent type, whereby the Lawton index showed a positive and significant correlation with proxy EQ-5D and a negative and non-significant correlation with self-rated EQ-5D </w:t>
      </w:r>
      <w:r>
        <w:rPr>
          <w:rFonts w:asciiTheme="minorHAnsi" w:hAnsiTheme="minorHAnsi" w:cstheme="minorHAnsi"/>
          <w:noProof/>
        </w:rPr>
        <w:t>(Bonfiglio et al., 2019, Sheehan et al., 2012)</w:t>
      </w:r>
      <w:r w:rsidRPr="00037AD4">
        <w:rPr>
          <w:rFonts w:asciiTheme="minorHAnsi" w:hAnsiTheme="minorHAnsi" w:cstheme="minorHAnsi"/>
        </w:rPr>
        <w:t xml:space="preserve">. These two studies were the only reports of a negative association; both of these studies had a mainly mild-stage sample size of &lt;200 participants. The remaining studies all reported a positive correlation between function and EQ-5D, of which the majority (15/16 studies) were statistically significant. Two studies explored function as a dependent variable within regression analyses, both of which found it to be a significant (p&lt;0.01) determinant of proxy reported EQ-5D </w:t>
      </w:r>
      <w:r>
        <w:rPr>
          <w:rFonts w:asciiTheme="minorHAnsi" w:hAnsiTheme="minorHAnsi" w:cstheme="minorHAnsi"/>
          <w:noProof/>
        </w:rPr>
        <w:t>(Ashizawa et al., 2021, King et al., 2022)</w:t>
      </w:r>
      <w:r w:rsidRPr="00037AD4">
        <w:rPr>
          <w:rFonts w:asciiTheme="minorHAnsi" w:hAnsiTheme="minorHAnsi" w:cstheme="minorHAnsi"/>
        </w:rPr>
        <w:t>, but not self-reported EQ-5D</w:t>
      </w:r>
      <w:r>
        <w:rPr>
          <w:rFonts w:asciiTheme="minorHAnsi" w:hAnsiTheme="minorHAnsi" w:cstheme="minorHAnsi"/>
        </w:rPr>
        <w:t xml:space="preserve"> </w:t>
      </w:r>
      <w:r>
        <w:rPr>
          <w:rFonts w:asciiTheme="minorHAnsi" w:hAnsiTheme="minorHAnsi" w:cstheme="minorHAnsi"/>
          <w:noProof/>
        </w:rPr>
        <w:t>(King et al., 2022)</w:t>
      </w:r>
      <w:r w:rsidRPr="00037AD4">
        <w:rPr>
          <w:rFonts w:asciiTheme="minorHAnsi" w:hAnsiTheme="minorHAnsi" w:cstheme="minorHAnsi"/>
        </w:rPr>
        <w:t xml:space="preserve">. One study had reported a positive correlation between ADCS-ADL and EQ-5D for both respondent </w:t>
      </w:r>
      <w:r w:rsidR="00B77D6A" w:rsidRPr="00037AD4">
        <w:rPr>
          <w:rFonts w:asciiTheme="minorHAnsi" w:hAnsiTheme="minorHAnsi" w:cstheme="minorHAnsi"/>
        </w:rPr>
        <w:t>types but</w:t>
      </w:r>
      <w:r w:rsidRPr="00037AD4">
        <w:rPr>
          <w:rFonts w:asciiTheme="minorHAnsi" w:hAnsiTheme="minorHAnsi" w:cstheme="minorHAnsi"/>
        </w:rPr>
        <w:t xml:space="preserve"> was only statistically significant for proxy-report </w:t>
      </w:r>
      <w:r>
        <w:rPr>
          <w:rFonts w:asciiTheme="minorHAnsi" w:hAnsiTheme="minorHAnsi" w:cstheme="minorHAnsi"/>
          <w:noProof/>
        </w:rPr>
        <w:t>(Bhattacharya et al., 2010</w:t>
      </w:r>
      <w:proofErr w:type="gramStart"/>
      <w:r>
        <w:rPr>
          <w:rFonts w:asciiTheme="minorHAnsi" w:hAnsiTheme="minorHAnsi" w:cstheme="minorHAnsi"/>
          <w:noProof/>
        </w:rPr>
        <w:t>)</w:t>
      </w:r>
      <w:r w:rsidRPr="00037AD4">
        <w:rPr>
          <w:rFonts w:asciiTheme="minorHAnsi" w:hAnsiTheme="minorHAnsi" w:cstheme="minorHAnsi"/>
        </w:rPr>
        <w:t>, and</w:t>
      </w:r>
      <w:proofErr w:type="gramEnd"/>
      <w:r w:rsidRPr="00037AD4">
        <w:rPr>
          <w:rFonts w:asciiTheme="minorHAnsi" w:hAnsiTheme="minorHAnsi" w:cstheme="minorHAnsi"/>
        </w:rPr>
        <w:t xml:space="preserve"> was again within a mild-stage study sample </w:t>
      </w:r>
      <w:r>
        <w:rPr>
          <w:rFonts w:asciiTheme="minorHAnsi" w:hAnsiTheme="minorHAnsi" w:cstheme="minorHAnsi"/>
          <w:noProof/>
        </w:rPr>
        <w:t>(Bhattacharya et al., 2010)</w:t>
      </w:r>
      <w:r w:rsidRPr="00037AD4">
        <w:rPr>
          <w:rFonts w:asciiTheme="minorHAnsi" w:hAnsiTheme="minorHAnsi" w:cstheme="minorHAnsi"/>
        </w:rPr>
        <w:t xml:space="preserve">. </w:t>
      </w:r>
      <w:r w:rsidRPr="00037AD4">
        <w:rPr>
          <w:rFonts w:asciiTheme="minorHAnsi" w:hAnsiTheme="minorHAnsi" w:cstheme="minorHAnsi"/>
          <w:color w:val="000000" w:themeColor="text1"/>
        </w:rPr>
        <w:t xml:space="preserve">Figure 6 </w:t>
      </w:r>
      <w:r w:rsidRPr="00037AD4">
        <w:rPr>
          <w:rFonts w:asciiTheme="minorHAnsi" w:hAnsiTheme="minorHAnsi" w:cstheme="minorHAnsi"/>
        </w:rPr>
        <w:t xml:space="preserve">shows the characteristics of the studies that reported convergent validity evidence between function and EQ-5D </w:t>
      </w:r>
      <w:r w:rsidRPr="00B54D51">
        <w:rPr>
          <w:rFonts w:asciiTheme="minorHAnsi" w:hAnsiTheme="minorHAnsi" w:cstheme="minorHAnsi"/>
        </w:rPr>
        <w:t>(</w:t>
      </w:r>
      <w:hyperlink w:anchor="A39" w:history="1">
        <w:r w:rsidRPr="00B54D51">
          <w:rPr>
            <w:rStyle w:val="Hyperlink"/>
            <w:rFonts w:asciiTheme="minorHAnsi" w:hAnsiTheme="minorHAnsi" w:cstheme="minorHAnsi"/>
            <w:color w:val="000000" w:themeColor="text1"/>
            <w:u w:val="none"/>
          </w:rPr>
          <w:t>Appendix 3.9</w:t>
        </w:r>
      </w:hyperlink>
      <w:r w:rsidRPr="00037AD4">
        <w:rPr>
          <w:rFonts w:asciiTheme="minorHAnsi" w:hAnsiTheme="minorHAnsi" w:cstheme="minorHAnsi"/>
          <w:color w:val="000000" w:themeColor="text1"/>
        </w:rPr>
        <w:t xml:space="preserve"> </w:t>
      </w:r>
      <w:r w:rsidRPr="00037AD4">
        <w:rPr>
          <w:rFonts w:asciiTheme="minorHAnsi" w:hAnsiTheme="minorHAnsi" w:cstheme="minorHAnsi"/>
        </w:rPr>
        <w:t xml:space="preserve">provides complete details). </w:t>
      </w:r>
    </w:p>
    <w:p w14:paraId="7C742AD3" w14:textId="77777777" w:rsidR="00B54D51" w:rsidRPr="00037AD4" w:rsidRDefault="00B54D51" w:rsidP="007A43F9">
      <w:pPr>
        <w:pStyle w:val="Heading4"/>
      </w:pPr>
      <w:r w:rsidRPr="00037AD4">
        <w:t xml:space="preserve">3.7.4.5 EQ-5D convergent validity with behaviour/mood </w:t>
      </w:r>
    </w:p>
    <w:p w14:paraId="0F9BD8D7" w14:textId="77777777" w:rsidR="00B54D51" w:rsidRPr="00037AD4" w:rsidRDefault="00B54D51" w:rsidP="00CF14A3">
      <w:pPr>
        <w:pStyle w:val="NormalWeb"/>
        <w:rPr>
          <w:rFonts w:asciiTheme="minorHAnsi" w:hAnsiTheme="minorHAnsi" w:cstheme="minorHAnsi"/>
        </w:rPr>
      </w:pPr>
      <w:r w:rsidRPr="00037AD4">
        <w:rPr>
          <w:rFonts w:asciiTheme="minorHAnsi" w:hAnsiTheme="minorHAnsi" w:cstheme="minorHAnsi"/>
        </w:rPr>
        <w:t xml:space="preserve">For the behaviour/mood measures, higher scores indicate greater severity. Therefore, it was hypothesised that the measures would have negative correlations with EQ-5D, whereby more behavioural disturbance is associated with lower EQ-5D index scores. Seventeen distinct studies reported empirical evidence of the convergent validity between EQ-5D and the measure of behaviour/mood, four studies collected multiple measures </w:t>
      </w:r>
      <w:r>
        <w:rPr>
          <w:rFonts w:asciiTheme="minorHAnsi" w:hAnsiTheme="minorHAnsi" w:cstheme="minorHAnsi"/>
          <w:noProof/>
        </w:rPr>
        <w:t>(Bhattacharya et al., 2010, Heßmann et al., 2016, Naglie et al., 2011b, Naglie et al., 2011a)</w:t>
      </w:r>
      <w:r w:rsidRPr="00037AD4">
        <w:rPr>
          <w:rFonts w:asciiTheme="minorHAnsi" w:hAnsiTheme="minorHAnsi" w:cstheme="minorHAnsi"/>
        </w:rPr>
        <w:t xml:space="preserve"> (CSDD, n=2; CMAI, n=1; GDS, n=8; NPI, n=10). Only one study captured agitation (via CMAI), reporting a negative correlation with EQ-5D which was only statistically significant for proxy-report </w:t>
      </w:r>
      <w:r>
        <w:rPr>
          <w:rFonts w:asciiTheme="minorHAnsi" w:hAnsiTheme="minorHAnsi" w:cstheme="minorHAnsi"/>
          <w:noProof/>
        </w:rPr>
        <w:t>(Martin et al., 2019)</w:t>
      </w:r>
      <w:r w:rsidRPr="00037AD4">
        <w:rPr>
          <w:rFonts w:asciiTheme="minorHAnsi" w:hAnsiTheme="minorHAnsi" w:cstheme="minorHAnsi"/>
        </w:rPr>
        <w:t xml:space="preserve">.  </w:t>
      </w:r>
    </w:p>
    <w:p w14:paraId="68DA7111" w14:textId="77777777" w:rsidR="00B54D51" w:rsidRPr="00037AD4" w:rsidRDefault="00B54D51" w:rsidP="00CF14A3">
      <w:pPr>
        <w:pStyle w:val="NormalWeb"/>
        <w:rPr>
          <w:rFonts w:asciiTheme="minorHAnsi" w:hAnsiTheme="minorHAnsi" w:cstheme="minorHAnsi"/>
        </w:rPr>
      </w:pPr>
      <w:r w:rsidRPr="00037AD4">
        <w:rPr>
          <w:rFonts w:asciiTheme="minorHAnsi" w:hAnsiTheme="minorHAnsi" w:cstheme="minorHAnsi"/>
        </w:rPr>
        <w:t xml:space="preserve">Ten studies measured depression (via CSDD and GDS). All ten studies reported a negative correlation between the measure of depression and EQ-5D, whereby statistically significant results were found with self-rated EQ-5D only n=4 </w:t>
      </w:r>
      <w:r>
        <w:rPr>
          <w:rFonts w:asciiTheme="minorHAnsi" w:hAnsiTheme="minorHAnsi" w:cstheme="minorHAnsi"/>
          <w:noProof/>
        </w:rPr>
        <w:t>(Bonfiglio et al., 2019, Karlawish et al., 2008a, Naglie et al., 2011a, Van De Beek et al., 2019)</w:t>
      </w:r>
      <w:r w:rsidRPr="00037AD4">
        <w:rPr>
          <w:rFonts w:asciiTheme="minorHAnsi" w:hAnsiTheme="minorHAnsi" w:cstheme="minorHAnsi"/>
        </w:rPr>
        <w:t xml:space="preserve">; proxy-EQ-5D only, n=2 </w:t>
      </w:r>
      <w:r>
        <w:rPr>
          <w:rFonts w:asciiTheme="minorHAnsi" w:hAnsiTheme="minorHAnsi" w:cstheme="minorHAnsi"/>
          <w:noProof/>
        </w:rPr>
        <w:t>(Naglie et al., 2011b, Orgeta et al., 2015a)</w:t>
      </w:r>
      <w:r w:rsidRPr="00037AD4">
        <w:rPr>
          <w:rFonts w:asciiTheme="minorHAnsi" w:hAnsiTheme="minorHAnsi" w:cstheme="minorHAnsi"/>
        </w:rPr>
        <w:t xml:space="preserve"> and both respondent types, n=2 </w:t>
      </w:r>
      <w:r>
        <w:rPr>
          <w:rFonts w:asciiTheme="minorHAnsi" w:hAnsiTheme="minorHAnsi" w:cstheme="minorHAnsi"/>
          <w:noProof/>
        </w:rPr>
        <w:t>(Bhattacharya et al., 2010, Heßmann et al., 2016)</w:t>
      </w:r>
      <w:r w:rsidRPr="00037AD4">
        <w:rPr>
          <w:rFonts w:asciiTheme="minorHAnsi" w:hAnsiTheme="minorHAnsi" w:cstheme="minorHAnsi"/>
        </w:rPr>
        <w:t xml:space="preserve">. One study did not report statistical significance, but rather strength of correlation coefficients – indicating moderate convergent validity between EQ-5D index scores and GDS </w:t>
      </w:r>
      <w:r>
        <w:rPr>
          <w:rFonts w:asciiTheme="minorHAnsi" w:hAnsiTheme="minorHAnsi" w:cstheme="minorHAnsi"/>
          <w:noProof/>
        </w:rPr>
        <w:t>(Michalowsky et al., 2021)</w:t>
      </w:r>
      <w:r w:rsidRPr="00037AD4">
        <w:rPr>
          <w:rFonts w:asciiTheme="minorHAnsi" w:hAnsiTheme="minorHAnsi" w:cstheme="minorHAnsi"/>
        </w:rPr>
        <w:t xml:space="preserve">. </w:t>
      </w:r>
    </w:p>
    <w:p w14:paraId="1F308586" w14:textId="77777777" w:rsidR="00B54D51" w:rsidRPr="00037AD4" w:rsidRDefault="00B54D51" w:rsidP="00CF14A3">
      <w:pPr>
        <w:pStyle w:val="NormalWeb"/>
        <w:rPr>
          <w:rFonts w:asciiTheme="minorHAnsi" w:hAnsiTheme="minorHAnsi" w:cstheme="minorHAnsi"/>
        </w:rPr>
      </w:pPr>
      <w:r w:rsidRPr="00037AD4">
        <w:rPr>
          <w:rFonts w:asciiTheme="minorHAnsi" w:hAnsiTheme="minorHAnsi" w:cstheme="minorHAnsi"/>
        </w:rPr>
        <w:lastRenderedPageBreak/>
        <w:t xml:space="preserve">The NPI captures 12 broad neuropsychiatric symptoms and was administered in ten of the reviewed studies. Two of these studies reported a difference in relationship between NPI and EQ-5D by respondent type; one study found a negative correlation with self-rated EQ-5D, but a positive correlation with proxy-EQ-5D </w:t>
      </w:r>
      <w:r>
        <w:rPr>
          <w:rFonts w:asciiTheme="minorHAnsi" w:hAnsiTheme="minorHAnsi" w:cstheme="minorHAnsi"/>
          <w:noProof/>
        </w:rPr>
        <w:t>(Easton et al., 2018)</w:t>
      </w:r>
      <w:r w:rsidRPr="00037AD4">
        <w:rPr>
          <w:rFonts w:asciiTheme="minorHAnsi" w:hAnsiTheme="minorHAnsi" w:cstheme="minorHAnsi"/>
        </w:rPr>
        <w:t xml:space="preserve">, while the other study found the inverse </w:t>
      </w:r>
      <w:r>
        <w:rPr>
          <w:rFonts w:asciiTheme="minorHAnsi" w:hAnsiTheme="minorHAnsi" w:cstheme="minorHAnsi"/>
          <w:noProof/>
        </w:rPr>
        <w:t>(Trigg et al., 2015)</w:t>
      </w:r>
      <w:r w:rsidRPr="00037AD4">
        <w:rPr>
          <w:rFonts w:asciiTheme="minorHAnsi" w:hAnsiTheme="minorHAnsi" w:cstheme="minorHAnsi"/>
        </w:rPr>
        <w:t xml:space="preserve">. However, neither of these findings were statistically significant. The remaining studies all reported negative correlations, whereby statistical significance was found only with proxy-EQ-5D </w:t>
      </w:r>
      <w:r>
        <w:rPr>
          <w:rFonts w:asciiTheme="minorHAnsi" w:hAnsiTheme="minorHAnsi" w:cstheme="minorHAnsi"/>
          <w:noProof/>
        </w:rPr>
        <w:t>(Bhattacharya et al., 2010, Boström et al., 2007, Farina et al., 2020, Garre-Olmo et al., 2017, Haaksma et al., 2018, Heßmann et al., 2016, Naglie et al., 2011b)</w:t>
      </w:r>
      <w:r w:rsidRPr="00037AD4">
        <w:rPr>
          <w:rFonts w:asciiTheme="minorHAnsi" w:hAnsiTheme="minorHAnsi" w:cstheme="minorHAnsi"/>
        </w:rPr>
        <w:t xml:space="preserve">. </w:t>
      </w:r>
      <w:r w:rsidRPr="00037AD4">
        <w:rPr>
          <w:rFonts w:asciiTheme="minorHAnsi" w:hAnsiTheme="minorHAnsi" w:cstheme="minorHAnsi"/>
          <w:color w:val="000000" w:themeColor="text1"/>
        </w:rPr>
        <w:t xml:space="preserve">Figure 7 </w:t>
      </w:r>
      <w:r w:rsidRPr="00037AD4">
        <w:rPr>
          <w:rFonts w:asciiTheme="minorHAnsi" w:hAnsiTheme="minorHAnsi" w:cstheme="minorHAnsi"/>
        </w:rPr>
        <w:t xml:space="preserve">shows the characteristics of the studies that reported convergent validity evidence between the behaviour/mood measure and EQ-5D </w:t>
      </w:r>
      <w:r w:rsidRPr="00B54D51">
        <w:rPr>
          <w:rFonts w:asciiTheme="minorHAnsi" w:hAnsiTheme="minorHAnsi" w:cstheme="minorHAnsi"/>
        </w:rPr>
        <w:t>(</w:t>
      </w:r>
      <w:hyperlink w:anchor="A310" w:history="1">
        <w:r w:rsidRPr="00B54D51">
          <w:rPr>
            <w:rStyle w:val="Hyperlink"/>
            <w:rFonts w:asciiTheme="minorHAnsi" w:hAnsiTheme="minorHAnsi" w:cstheme="minorHAnsi"/>
            <w:color w:val="000000" w:themeColor="text1"/>
            <w:u w:val="none"/>
          </w:rPr>
          <w:t>Appendix 3.10</w:t>
        </w:r>
      </w:hyperlink>
      <w:r w:rsidRPr="00B54D51">
        <w:rPr>
          <w:rFonts w:asciiTheme="minorHAnsi" w:hAnsiTheme="minorHAnsi" w:cstheme="minorHAnsi"/>
          <w:color w:val="000000" w:themeColor="text1"/>
        </w:rPr>
        <w:t xml:space="preserve"> </w:t>
      </w:r>
      <w:r w:rsidRPr="00B54D51">
        <w:rPr>
          <w:rFonts w:asciiTheme="minorHAnsi" w:hAnsiTheme="minorHAnsi" w:cstheme="minorHAnsi"/>
        </w:rPr>
        <w:t>provides complete details).</w:t>
      </w:r>
    </w:p>
    <w:p w14:paraId="237F322F" w14:textId="77777777" w:rsidR="00B54D51" w:rsidRPr="00037AD4" w:rsidRDefault="00B54D51" w:rsidP="00CF14A3">
      <w:pPr>
        <w:pStyle w:val="NormalWeb"/>
        <w:rPr>
          <w:rFonts w:asciiTheme="minorHAnsi" w:hAnsiTheme="minorHAnsi" w:cstheme="minorHAnsi"/>
        </w:rPr>
      </w:pPr>
    </w:p>
    <w:p w14:paraId="61B4FA02" w14:textId="77777777" w:rsidR="00B54D51" w:rsidRPr="00037AD4" w:rsidRDefault="00B54D51" w:rsidP="00CF14A3">
      <w:pPr>
        <w:pStyle w:val="NormalWeb"/>
        <w:rPr>
          <w:rFonts w:asciiTheme="minorHAnsi" w:hAnsiTheme="minorHAnsi" w:cstheme="minorHAnsi"/>
        </w:rPr>
      </w:pPr>
    </w:p>
    <w:p w14:paraId="76E7FCC2" w14:textId="77777777" w:rsidR="00B54D51" w:rsidRPr="00037AD4" w:rsidRDefault="00B54D51" w:rsidP="00CF14A3">
      <w:pPr>
        <w:pStyle w:val="NormalWeb"/>
        <w:rPr>
          <w:rFonts w:asciiTheme="minorHAnsi" w:hAnsiTheme="minorHAnsi" w:cstheme="minorHAnsi"/>
        </w:rPr>
        <w:sectPr w:rsidR="00B54D51" w:rsidRPr="00037AD4" w:rsidSect="0051675A">
          <w:pgSz w:w="11906" w:h="16838"/>
          <w:pgMar w:top="1440" w:right="1440" w:bottom="1440" w:left="1440" w:header="708" w:footer="708" w:gutter="0"/>
          <w:cols w:space="708"/>
          <w:docGrid w:linePitch="360"/>
        </w:sectPr>
      </w:pPr>
    </w:p>
    <w:p w14:paraId="3CD89D1B" w14:textId="77777777" w:rsidR="00B54D51" w:rsidRPr="00037AD4" w:rsidRDefault="00B54D51" w:rsidP="00CF14A3">
      <w:pPr>
        <w:pStyle w:val="NormalWeb"/>
        <w:rPr>
          <w:rFonts w:asciiTheme="minorHAnsi" w:hAnsiTheme="minorHAnsi" w:cstheme="minorHAnsi"/>
          <w:b/>
          <w:bCs/>
          <w:i/>
          <w:iCs/>
        </w:rPr>
      </w:pPr>
      <w:r w:rsidRPr="00037AD4">
        <w:rPr>
          <w:rFonts w:asciiTheme="minorHAnsi" w:hAnsiTheme="minorHAnsi" w:cstheme="minorHAnsi"/>
          <w:b/>
          <w:bCs/>
          <w:i/>
          <w:iCs/>
        </w:rPr>
        <w:lastRenderedPageBreak/>
        <w:t>Figure 6, Characteristics of studies reporting convergent validity between EQ-5D and function</w:t>
      </w:r>
    </w:p>
    <w:p w14:paraId="5D0FEDBF" w14:textId="13FEEED8" w:rsidR="00B54D51" w:rsidRPr="00037AD4" w:rsidRDefault="00B77D6A" w:rsidP="00CF14A3">
      <w:pPr>
        <w:pStyle w:val="NormalWeb"/>
        <w:rPr>
          <w:rFonts w:asciiTheme="minorHAnsi" w:hAnsiTheme="minorHAnsi" w:cstheme="minorHAnsi"/>
        </w:rPr>
      </w:pPr>
      <w:r w:rsidRPr="00037AD4">
        <w:rPr>
          <w:rFonts w:asciiTheme="minorHAnsi" w:hAnsiTheme="minorHAnsi" w:cstheme="minorHAnsi"/>
          <w:noProof/>
          <w:lang w:eastAsia="zh-CN"/>
        </w:rPr>
        <w:drawing>
          <wp:inline distT="0" distB="0" distL="0" distR="0" wp14:anchorId="361D9056" wp14:editId="0FFBDCF2">
            <wp:extent cx="8820000" cy="4968000"/>
            <wp:effectExtent l="0" t="0" r="0" b="0"/>
            <wp:docPr id="14"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1">
                      <a:extLst>
                        <a:ext uri="{28A0092B-C50C-407E-A947-70E740481C1C}">
                          <a14:useLocalDpi xmlns:a14="http://schemas.microsoft.com/office/drawing/2010/main" val="0"/>
                        </a:ext>
                      </a:extLst>
                    </a:blip>
                    <a:stretch>
                      <a:fillRect/>
                    </a:stretch>
                  </pic:blipFill>
                  <pic:spPr>
                    <a:xfrm>
                      <a:off x="0" y="0"/>
                      <a:ext cx="8820000" cy="4968000"/>
                    </a:xfrm>
                    <a:prstGeom prst="rect">
                      <a:avLst/>
                    </a:prstGeom>
                  </pic:spPr>
                </pic:pic>
              </a:graphicData>
            </a:graphic>
          </wp:inline>
        </w:drawing>
      </w:r>
    </w:p>
    <w:p w14:paraId="4720A987" w14:textId="77777777" w:rsidR="00B54D51" w:rsidRPr="00037AD4" w:rsidRDefault="00B54D51" w:rsidP="00CF14A3">
      <w:pPr>
        <w:pStyle w:val="NormalWeb"/>
        <w:rPr>
          <w:rFonts w:asciiTheme="minorHAnsi" w:hAnsiTheme="minorHAnsi" w:cstheme="minorHAnsi"/>
          <w:b/>
          <w:bCs/>
          <w:u w:val="single"/>
        </w:rPr>
      </w:pPr>
      <w:r w:rsidRPr="00037AD4">
        <w:rPr>
          <w:rFonts w:asciiTheme="minorHAnsi" w:hAnsiTheme="minorHAnsi" w:cstheme="minorHAnsi"/>
          <w:sz w:val="18"/>
          <w:szCs w:val="18"/>
        </w:rPr>
        <w:t>*Indicates non-significant correlation (p&gt;0.05). Y axis = sample size</w:t>
      </w:r>
    </w:p>
    <w:p w14:paraId="4B148485" w14:textId="77777777" w:rsidR="00B54D51" w:rsidRPr="00037AD4" w:rsidRDefault="00B54D51" w:rsidP="00CF14A3">
      <w:pPr>
        <w:pStyle w:val="NormalWeb"/>
        <w:rPr>
          <w:rFonts w:asciiTheme="minorHAnsi" w:hAnsiTheme="minorHAnsi" w:cstheme="minorHAnsi"/>
          <w:b/>
          <w:bCs/>
          <w:u w:val="single"/>
        </w:rPr>
      </w:pPr>
      <w:r w:rsidRPr="00037AD4">
        <w:rPr>
          <w:rFonts w:asciiTheme="minorHAnsi" w:hAnsiTheme="minorHAnsi" w:cstheme="minorHAnsi"/>
          <w:b/>
          <w:bCs/>
          <w:i/>
          <w:iCs/>
        </w:rPr>
        <w:lastRenderedPageBreak/>
        <w:t xml:space="preserve">Figure 7, Characteristics of studies reporting convergent validity between EQ-5D and behaviour/mood </w:t>
      </w:r>
    </w:p>
    <w:p w14:paraId="6D2CD268" w14:textId="1190387E" w:rsidR="00B54D51" w:rsidRPr="00037AD4" w:rsidRDefault="00B77D6A" w:rsidP="000D09D2">
      <w:pPr>
        <w:pStyle w:val="NormalWeb"/>
        <w:rPr>
          <w:rFonts w:asciiTheme="minorHAnsi" w:hAnsiTheme="minorHAnsi" w:cstheme="minorHAnsi"/>
          <w:sz w:val="18"/>
          <w:szCs w:val="18"/>
        </w:rPr>
      </w:pPr>
      <w:r w:rsidRPr="00037AD4">
        <w:rPr>
          <w:rFonts w:asciiTheme="minorHAnsi" w:hAnsiTheme="minorHAnsi" w:cstheme="minorHAnsi"/>
          <w:noProof/>
          <w:lang w:eastAsia="zh-CN"/>
        </w:rPr>
        <w:drawing>
          <wp:inline distT="0" distB="0" distL="0" distR="0" wp14:anchorId="64D3F185" wp14:editId="2A636A7A">
            <wp:extent cx="8820000" cy="4968000"/>
            <wp:effectExtent l="0" t="0" r="0" b="0"/>
            <wp:docPr id="15"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2">
                      <a:extLst>
                        <a:ext uri="{28A0092B-C50C-407E-A947-70E740481C1C}">
                          <a14:useLocalDpi xmlns:a14="http://schemas.microsoft.com/office/drawing/2010/main" val="0"/>
                        </a:ext>
                      </a:extLst>
                    </a:blip>
                    <a:stretch>
                      <a:fillRect/>
                    </a:stretch>
                  </pic:blipFill>
                  <pic:spPr>
                    <a:xfrm>
                      <a:off x="0" y="0"/>
                      <a:ext cx="8820000" cy="4968000"/>
                    </a:xfrm>
                    <a:prstGeom prst="rect">
                      <a:avLst/>
                    </a:prstGeom>
                  </pic:spPr>
                </pic:pic>
              </a:graphicData>
            </a:graphic>
          </wp:inline>
        </w:drawing>
      </w:r>
    </w:p>
    <w:p w14:paraId="6B90D5CA" w14:textId="77777777" w:rsidR="00B54D51" w:rsidRPr="00037AD4" w:rsidRDefault="00B54D51" w:rsidP="000D09D2">
      <w:pPr>
        <w:pStyle w:val="NormalWeb"/>
        <w:rPr>
          <w:rFonts w:asciiTheme="minorHAnsi" w:hAnsiTheme="minorHAnsi" w:cstheme="minorHAnsi"/>
          <w:sz w:val="18"/>
          <w:szCs w:val="18"/>
        </w:rPr>
        <w:sectPr w:rsidR="00B54D51" w:rsidRPr="00037AD4" w:rsidSect="0051675A">
          <w:pgSz w:w="16838" w:h="11906" w:orient="landscape"/>
          <w:pgMar w:top="1440" w:right="1440" w:bottom="1440" w:left="1440" w:header="708" w:footer="708" w:gutter="0"/>
          <w:cols w:space="708"/>
          <w:docGrid w:linePitch="360"/>
        </w:sectPr>
      </w:pPr>
      <w:r w:rsidRPr="00037AD4">
        <w:rPr>
          <w:rFonts w:asciiTheme="minorHAnsi" w:hAnsiTheme="minorHAnsi" w:cstheme="minorHAnsi"/>
          <w:sz w:val="18"/>
          <w:szCs w:val="18"/>
        </w:rPr>
        <w:t>*Indicates non-significant correlation (p&gt;0.05). Y axis = sample size</w:t>
      </w:r>
    </w:p>
    <w:p w14:paraId="2E66A9E2" w14:textId="77777777" w:rsidR="00B54D51" w:rsidRPr="00037AD4" w:rsidRDefault="00B54D51" w:rsidP="007A43F9">
      <w:pPr>
        <w:pStyle w:val="Heading4"/>
      </w:pPr>
      <w:bookmarkStart w:id="309" w:name="_3.7.4.6_Convergent_validity"/>
      <w:bookmarkStart w:id="310" w:name="Sec3746"/>
      <w:bookmarkEnd w:id="309"/>
      <w:r w:rsidRPr="00037AD4">
        <w:lastRenderedPageBreak/>
        <w:t xml:space="preserve">3.7.4.6 Convergent validity evidence by EQ-5D dimension </w:t>
      </w:r>
    </w:p>
    <w:bookmarkEnd w:id="310"/>
    <w:p w14:paraId="3390148D" w14:textId="77777777" w:rsidR="00B54D51" w:rsidRPr="00037AD4" w:rsidRDefault="00B54D51" w:rsidP="000D09D2">
      <w:pPr>
        <w:pStyle w:val="NormalWeb"/>
        <w:rPr>
          <w:rFonts w:asciiTheme="minorHAnsi" w:hAnsiTheme="minorHAnsi" w:cstheme="minorHAnsi"/>
        </w:rPr>
      </w:pPr>
      <w:r w:rsidRPr="00037AD4">
        <w:rPr>
          <w:rFonts w:asciiTheme="minorHAnsi" w:hAnsiTheme="minorHAnsi" w:cstheme="minorHAnsi"/>
        </w:rPr>
        <w:t xml:space="preserve">A total of seven distinct studies reported empirical evidence of convergent validity of the pre-defined core dementia outcome measures with EQ-5D dimensions – summarised in </w:t>
      </w:r>
      <w:hyperlink w:anchor="Table10" w:history="1">
        <w:r w:rsidRPr="00B54D51">
          <w:rPr>
            <w:rStyle w:val="Hyperlink"/>
            <w:rFonts w:asciiTheme="minorHAnsi" w:hAnsiTheme="minorHAnsi" w:cstheme="minorHAnsi"/>
            <w:color w:val="000000" w:themeColor="text1"/>
            <w:u w:val="none"/>
          </w:rPr>
          <w:t>Table 10</w:t>
        </w:r>
      </w:hyperlink>
      <w:r w:rsidRPr="00B54D51">
        <w:rPr>
          <w:rFonts w:asciiTheme="minorHAnsi" w:hAnsiTheme="minorHAnsi" w:cstheme="minorHAnsi"/>
        </w:rPr>
        <w:t>.</w:t>
      </w:r>
      <w:r w:rsidRPr="00037AD4">
        <w:rPr>
          <w:rFonts w:asciiTheme="minorHAnsi" w:hAnsiTheme="minorHAnsi" w:cstheme="minorHAnsi"/>
        </w:rPr>
        <w:t xml:space="preserve"> Cognition (via MMSE) was associated with self-report</w:t>
      </w:r>
      <w:r>
        <w:rPr>
          <w:rFonts w:asciiTheme="minorHAnsi" w:hAnsiTheme="minorHAnsi" w:cstheme="minorHAnsi"/>
        </w:rPr>
        <w:t>ed</w:t>
      </w:r>
      <w:r w:rsidRPr="00037AD4">
        <w:rPr>
          <w:rFonts w:asciiTheme="minorHAnsi" w:hAnsiTheme="minorHAnsi" w:cstheme="minorHAnsi"/>
        </w:rPr>
        <w:t xml:space="preserve"> “anxiety/depression” </w:t>
      </w:r>
      <w:r>
        <w:rPr>
          <w:rFonts w:asciiTheme="minorHAnsi" w:hAnsiTheme="minorHAnsi" w:cstheme="minorHAnsi"/>
          <w:noProof/>
        </w:rPr>
        <w:t>(Ankri et al., 2003)</w:t>
      </w:r>
      <w:r w:rsidRPr="00037AD4">
        <w:rPr>
          <w:rFonts w:asciiTheme="minorHAnsi" w:hAnsiTheme="minorHAnsi" w:cstheme="minorHAnsi"/>
        </w:rPr>
        <w:t xml:space="preserve">, and people with more cognitive impairment self-reported fewer problems across all EQ-5D dimensions </w:t>
      </w:r>
      <w:r>
        <w:rPr>
          <w:rFonts w:asciiTheme="minorHAnsi" w:hAnsiTheme="minorHAnsi" w:cstheme="minorHAnsi"/>
          <w:noProof/>
        </w:rPr>
        <w:t>(Easton et al., 2018)</w:t>
      </w:r>
      <w:r w:rsidRPr="00037AD4">
        <w:rPr>
          <w:rFonts w:asciiTheme="minorHAnsi" w:hAnsiTheme="minorHAnsi" w:cstheme="minorHAnsi"/>
        </w:rPr>
        <w:t xml:space="preserve">. </w:t>
      </w:r>
    </w:p>
    <w:p w14:paraId="397129B5" w14:textId="77777777" w:rsidR="00B54D51" w:rsidRPr="00037AD4" w:rsidRDefault="00B54D51" w:rsidP="000D09D2">
      <w:pPr>
        <w:pStyle w:val="NormalWeb"/>
        <w:rPr>
          <w:rFonts w:asciiTheme="minorHAnsi" w:hAnsiTheme="minorHAnsi" w:cstheme="minorHAnsi"/>
        </w:rPr>
      </w:pPr>
      <w:r w:rsidRPr="00037AD4">
        <w:rPr>
          <w:rFonts w:asciiTheme="minorHAnsi" w:hAnsiTheme="minorHAnsi" w:cstheme="minorHAnsi"/>
        </w:rPr>
        <w:t xml:space="preserve">Function via the Katz index was associated with self-reported “mobility”, “self-care”, “usual activities”, and “pain/discomfort”; no relation was found with “anxiety/depression” </w:t>
      </w:r>
      <w:r>
        <w:rPr>
          <w:rFonts w:asciiTheme="minorHAnsi" w:hAnsiTheme="minorHAnsi" w:cstheme="minorHAnsi"/>
          <w:noProof/>
        </w:rPr>
        <w:t>(Ankri et al., 2003)</w:t>
      </w:r>
      <w:r w:rsidRPr="00037AD4">
        <w:rPr>
          <w:rFonts w:asciiTheme="minorHAnsi" w:hAnsiTheme="minorHAnsi" w:cstheme="minorHAnsi"/>
        </w:rPr>
        <w:t>. Function via BADLS was correlated with proxy rated mobility, self-care and usual activities. Stronger correlations were observed for informal carer reports of self-care and usual activities, while the clinician rated mobility correlation was stronger</w:t>
      </w:r>
      <w:r>
        <w:rPr>
          <w:rFonts w:asciiTheme="minorHAnsi" w:hAnsiTheme="minorHAnsi" w:cstheme="minorHAnsi"/>
        </w:rPr>
        <w:t xml:space="preserve"> </w:t>
      </w:r>
      <w:r>
        <w:rPr>
          <w:rFonts w:asciiTheme="minorHAnsi" w:hAnsiTheme="minorHAnsi" w:cstheme="minorHAnsi"/>
          <w:noProof/>
        </w:rPr>
        <w:t>(Bryan et al., 2005)</w:t>
      </w:r>
      <w:r w:rsidRPr="00037AD4">
        <w:rPr>
          <w:rFonts w:asciiTheme="minorHAnsi" w:hAnsiTheme="minorHAnsi" w:cstheme="minorHAnsi"/>
        </w:rPr>
        <w:t xml:space="preserve">. Function via Barthel index was significantly correlated with self and proxy mobility, self-care and usual activities </w:t>
      </w:r>
      <w:r>
        <w:rPr>
          <w:rFonts w:asciiTheme="minorHAnsi" w:hAnsiTheme="minorHAnsi" w:cstheme="minorHAnsi"/>
          <w:noProof/>
        </w:rPr>
        <w:t>(Easton et al., 2018</w:t>
      </w:r>
      <w:proofErr w:type="gramStart"/>
      <w:r>
        <w:rPr>
          <w:rFonts w:asciiTheme="minorHAnsi" w:hAnsiTheme="minorHAnsi" w:cstheme="minorHAnsi"/>
          <w:noProof/>
        </w:rPr>
        <w:t>)</w:t>
      </w:r>
      <w:r w:rsidRPr="00037AD4">
        <w:rPr>
          <w:rFonts w:asciiTheme="minorHAnsi" w:hAnsiTheme="minorHAnsi" w:cstheme="minorHAnsi"/>
        </w:rPr>
        <w:t>, and</w:t>
      </w:r>
      <w:proofErr w:type="gramEnd"/>
      <w:r w:rsidRPr="00037AD4">
        <w:rPr>
          <w:rFonts w:asciiTheme="minorHAnsi" w:hAnsiTheme="minorHAnsi" w:cstheme="minorHAnsi"/>
        </w:rPr>
        <w:t xml:space="preserve"> was associated with reporting problems in all EQ-5D dimensions minus anxiety/depression </w:t>
      </w:r>
      <w:r>
        <w:rPr>
          <w:rFonts w:asciiTheme="minorHAnsi" w:hAnsiTheme="minorHAnsi" w:cstheme="minorHAnsi"/>
          <w:noProof/>
        </w:rPr>
        <w:t>(Diaz‐Redondo et al., 2014)</w:t>
      </w:r>
      <w:r w:rsidRPr="00037AD4">
        <w:rPr>
          <w:rFonts w:asciiTheme="minorHAnsi" w:hAnsiTheme="minorHAnsi" w:cstheme="minorHAnsi"/>
        </w:rPr>
        <w:t xml:space="preserve">. </w:t>
      </w:r>
    </w:p>
    <w:p w14:paraId="4559DF58" w14:textId="77777777" w:rsidR="00B54D51" w:rsidRPr="00037AD4" w:rsidRDefault="00B54D51" w:rsidP="00FD3058">
      <w:pPr>
        <w:pStyle w:val="NormalWeb"/>
        <w:rPr>
          <w:rFonts w:asciiTheme="minorHAnsi" w:hAnsiTheme="minorHAnsi" w:cstheme="minorHAnsi"/>
        </w:rPr>
      </w:pPr>
      <w:r w:rsidRPr="00037AD4">
        <w:rPr>
          <w:rFonts w:asciiTheme="minorHAnsi" w:hAnsiTheme="minorHAnsi" w:cstheme="minorHAnsi"/>
        </w:rPr>
        <w:t xml:space="preserve">Depression (via CSDD) was associated with reporting problems in “anxiety/depression” </w:t>
      </w:r>
      <w:r>
        <w:rPr>
          <w:rFonts w:asciiTheme="minorHAnsi" w:hAnsiTheme="minorHAnsi" w:cstheme="minorHAnsi"/>
          <w:noProof/>
        </w:rPr>
        <w:t>(Diaz‐Redondo et al., 2014)</w:t>
      </w:r>
      <w:r w:rsidRPr="00037AD4">
        <w:rPr>
          <w:rFonts w:asciiTheme="minorHAnsi" w:hAnsiTheme="minorHAnsi" w:cstheme="minorHAnsi"/>
        </w:rPr>
        <w:t xml:space="preserve">; and depression (via GDS) showed evidence of moderate convergent validity with “mobility”, “self-care”, “usual activities” and “anxiety/depression” </w:t>
      </w:r>
      <w:r>
        <w:rPr>
          <w:rFonts w:asciiTheme="minorHAnsi" w:hAnsiTheme="minorHAnsi" w:cstheme="minorHAnsi"/>
          <w:noProof/>
        </w:rPr>
        <w:t>(Michalowsky et al., 2021)</w:t>
      </w:r>
      <w:r w:rsidRPr="00037AD4">
        <w:rPr>
          <w:rFonts w:asciiTheme="minorHAnsi" w:hAnsiTheme="minorHAnsi" w:cstheme="minorHAnsi"/>
        </w:rPr>
        <w:t xml:space="preserve">. NPI summary scores were associated with proxy reported “anxiety/depression” </w:t>
      </w:r>
      <w:r>
        <w:rPr>
          <w:rFonts w:asciiTheme="minorHAnsi" w:hAnsiTheme="minorHAnsi" w:cstheme="minorHAnsi"/>
          <w:noProof/>
        </w:rPr>
        <w:t>(Bryan et al., 2005, Easton et al., 2018)</w:t>
      </w:r>
      <w:r w:rsidRPr="00037AD4">
        <w:rPr>
          <w:rFonts w:asciiTheme="minorHAnsi" w:hAnsiTheme="minorHAnsi" w:cstheme="minorHAnsi"/>
        </w:rPr>
        <w:t xml:space="preserve"> and “mobility” </w:t>
      </w:r>
      <w:r>
        <w:rPr>
          <w:rFonts w:asciiTheme="minorHAnsi" w:hAnsiTheme="minorHAnsi" w:cstheme="minorHAnsi"/>
          <w:noProof/>
        </w:rPr>
        <w:t>(Easton et al., 2018)</w:t>
      </w:r>
      <w:r w:rsidRPr="00037AD4">
        <w:rPr>
          <w:rFonts w:asciiTheme="minorHAnsi" w:hAnsiTheme="minorHAnsi" w:cstheme="minorHAnsi"/>
        </w:rPr>
        <w:t xml:space="preserve">. </w:t>
      </w:r>
    </w:p>
    <w:p w14:paraId="23D9FD99" w14:textId="77777777" w:rsidR="00B54D51" w:rsidRPr="00037AD4" w:rsidRDefault="00B54D51" w:rsidP="007A43F9">
      <w:pPr>
        <w:pStyle w:val="Heading4"/>
      </w:pPr>
      <w:r w:rsidRPr="00037AD4">
        <w:t xml:space="preserve">3.7.4.7 Inter-rater agreement </w:t>
      </w:r>
    </w:p>
    <w:p w14:paraId="7CE2AD1F" w14:textId="77777777" w:rsidR="00B54D51" w:rsidRPr="00037AD4" w:rsidRDefault="00B54D51" w:rsidP="00553F88">
      <w:pPr>
        <w:pStyle w:val="NormalWeb"/>
        <w:rPr>
          <w:rFonts w:asciiTheme="minorHAnsi" w:hAnsiTheme="minorHAnsi" w:cstheme="minorHAnsi"/>
        </w:rPr>
      </w:pPr>
      <w:r w:rsidRPr="00037AD4">
        <w:rPr>
          <w:rFonts w:asciiTheme="minorHAnsi" w:hAnsiTheme="minorHAnsi" w:cstheme="minorHAnsi"/>
        </w:rPr>
        <w:t xml:space="preserve">In this section, respondent is taken to mean the respondent type, that is PwD or proxy. To further understand the potential impacts of </w:t>
      </w:r>
      <w:r>
        <w:rPr>
          <w:rFonts w:asciiTheme="minorHAnsi" w:hAnsiTheme="minorHAnsi" w:cstheme="minorHAnsi"/>
        </w:rPr>
        <w:t>respondent</w:t>
      </w:r>
      <w:r w:rsidRPr="00037AD4">
        <w:rPr>
          <w:rFonts w:asciiTheme="minorHAnsi" w:hAnsiTheme="minorHAnsi" w:cstheme="minorHAnsi"/>
        </w:rPr>
        <w:t>-type upon EQ-5D assessment, information related to the inter-rater agreement was extracted and is summarised i</w:t>
      </w:r>
      <w:r w:rsidRPr="00B54D51">
        <w:rPr>
          <w:rFonts w:asciiTheme="minorHAnsi" w:hAnsiTheme="minorHAnsi" w:cstheme="minorHAnsi"/>
        </w:rPr>
        <w:t xml:space="preserve">n </w:t>
      </w:r>
      <w:hyperlink w:anchor="Table11" w:history="1">
        <w:r w:rsidRPr="00B54D51">
          <w:rPr>
            <w:rStyle w:val="Hyperlink"/>
            <w:rFonts w:asciiTheme="minorHAnsi" w:hAnsiTheme="minorHAnsi" w:cstheme="minorHAnsi"/>
            <w:color w:val="000000" w:themeColor="text1"/>
            <w:u w:val="none"/>
          </w:rPr>
          <w:t>Table 11.</w:t>
        </w:r>
      </w:hyperlink>
      <w:r w:rsidRPr="00037AD4">
        <w:rPr>
          <w:rFonts w:asciiTheme="minorHAnsi" w:hAnsiTheme="minorHAnsi" w:cstheme="minorHAnsi"/>
          <w:color w:val="000000" w:themeColor="text1"/>
        </w:rPr>
        <w:t xml:space="preserve"> </w:t>
      </w:r>
    </w:p>
    <w:p w14:paraId="1F187699" w14:textId="77777777" w:rsidR="00B54D51" w:rsidRPr="00037AD4" w:rsidRDefault="00B54D51" w:rsidP="00553F88">
      <w:pPr>
        <w:pStyle w:val="NormalWeb"/>
        <w:rPr>
          <w:rFonts w:asciiTheme="minorHAnsi" w:hAnsiTheme="minorHAnsi" w:cstheme="minorHAnsi"/>
        </w:rPr>
      </w:pPr>
      <w:r w:rsidRPr="00037AD4">
        <w:rPr>
          <w:rFonts w:asciiTheme="minorHAnsi" w:hAnsiTheme="minorHAnsi" w:cstheme="minorHAnsi"/>
        </w:rPr>
        <w:t xml:space="preserve">Nine studies, representing samples across the entire dementia-severity range, commented on the inter-rater agreement between self and proxy reported EQ-5D index scores </w:t>
      </w:r>
      <w:r>
        <w:rPr>
          <w:rFonts w:asciiTheme="minorHAnsi" w:hAnsiTheme="minorHAnsi" w:cstheme="minorHAnsi"/>
          <w:noProof/>
        </w:rPr>
        <w:t>(Ankri et al., 2003, Orgeta et al., 2015a, Vogel et al., 2006, Bonfiglio et al., 2019, Kunz, 2010, Farina et al., 2020, Heßmann et al., 2016, Griffiths et al., 2020, Sheehan et al., 2012)</w:t>
      </w:r>
      <w:r w:rsidRPr="00037AD4">
        <w:rPr>
          <w:rFonts w:asciiTheme="minorHAnsi" w:hAnsiTheme="minorHAnsi" w:cstheme="minorHAnsi"/>
        </w:rPr>
        <w:t xml:space="preserve">. Proxy-EQ-5D index scores were found to be significantly lower than self-report </w:t>
      </w:r>
      <w:r>
        <w:rPr>
          <w:rFonts w:asciiTheme="minorHAnsi" w:hAnsiTheme="minorHAnsi" w:cstheme="minorHAnsi"/>
          <w:noProof/>
        </w:rPr>
        <w:t>(Kunz, 2010, Bonfiglio et al., 2019, Heßmann et al., 2016, Orgeta et al., 2015a, Sheehan et al., 2012)</w:t>
      </w:r>
      <w:r w:rsidRPr="00037AD4">
        <w:rPr>
          <w:rFonts w:asciiTheme="minorHAnsi" w:hAnsiTheme="minorHAnsi" w:cstheme="minorHAnsi"/>
        </w:rPr>
        <w:t xml:space="preserve"> and had stronger correlations with clinical variables </w:t>
      </w:r>
      <w:r>
        <w:rPr>
          <w:rFonts w:asciiTheme="minorHAnsi" w:hAnsiTheme="minorHAnsi" w:cstheme="minorHAnsi"/>
          <w:noProof/>
        </w:rPr>
        <w:t>(Bhattacharya et al., 2010, Farina et al., 2020, Griffiths et al., 2020)</w:t>
      </w:r>
      <w:r w:rsidRPr="00037AD4">
        <w:rPr>
          <w:rFonts w:asciiTheme="minorHAnsi" w:hAnsiTheme="minorHAnsi" w:cstheme="minorHAnsi"/>
        </w:rPr>
        <w:t xml:space="preserve">. </w:t>
      </w:r>
    </w:p>
    <w:p w14:paraId="088A9AA3" w14:textId="77777777" w:rsidR="00B54D51" w:rsidRPr="00037AD4" w:rsidRDefault="00B54D51" w:rsidP="00553F88">
      <w:pPr>
        <w:pStyle w:val="NormalWeb"/>
        <w:rPr>
          <w:rFonts w:asciiTheme="minorHAnsi" w:hAnsiTheme="minorHAnsi" w:cstheme="minorHAnsi"/>
        </w:rPr>
      </w:pPr>
      <w:r w:rsidRPr="00037AD4">
        <w:rPr>
          <w:rFonts w:asciiTheme="minorHAnsi" w:hAnsiTheme="minorHAnsi" w:cstheme="minorHAnsi"/>
        </w:rPr>
        <w:t xml:space="preserve">Of the EQ-5D dimensions, it was reported in two distinct studies that the “mobility” dimension had the strongest inter-rater agreement, produced at an acceptable level (kappa &gt;0.4) (versus the other dimensions) </w:t>
      </w:r>
      <w:r>
        <w:rPr>
          <w:rFonts w:asciiTheme="minorHAnsi" w:hAnsiTheme="minorHAnsi" w:cstheme="minorHAnsi"/>
          <w:noProof/>
        </w:rPr>
        <w:t>(Ankri et al., 2003, Orgeta et al., 2015a)</w:t>
      </w:r>
      <w:r w:rsidRPr="00037AD4">
        <w:rPr>
          <w:rFonts w:asciiTheme="minorHAnsi" w:hAnsiTheme="minorHAnsi" w:cstheme="minorHAnsi"/>
        </w:rPr>
        <w:t xml:space="preserve">. One of the studies reported that agreement between formal and informal proxies was also highest for “mobility” (kappa =0.61), and all other dimensions remained below the usually accepted level </w:t>
      </w:r>
      <w:r>
        <w:rPr>
          <w:rFonts w:asciiTheme="minorHAnsi" w:hAnsiTheme="minorHAnsi" w:cstheme="minorHAnsi"/>
          <w:noProof/>
        </w:rPr>
        <w:t>(Ankri et al., 2003)</w:t>
      </w:r>
      <w:r w:rsidRPr="00037AD4">
        <w:rPr>
          <w:rFonts w:asciiTheme="minorHAnsi" w:hAnsiTheme="minorHAnsi" w:cstheme="minorHAnsi"/>
        </w:rPr>
        <w:t xml:space="preserve">. </w:t>
      </w:r>
    </w:p>
    <w:p w14:paraId="485B0487" w14:textId="77777777" w:rsidR="00B54D51" w:rsidRPr="00037AD4" w:rsidRDefault="00B54D51" w:rsidP="00553F88">
      <w:pPr>
        <w:pStyle w:val="NormalWeb"/>
        <w:rPr>
          <w:rFonts w:asciiTheme="minorHAnsi" w:hAnsiTheme="minorHAnsi" w:cstheme="minorHAnsi"/>
        </w:rPr>
      </w:pPr>
      <w:r w:rsidRPr="00037AD4">
        <w:rPr>
          <w:rFonts w:asciiTheme="minorHAnsi" w:hAnsiTheme="minorHAnsi" w:cstheme="minorHAnsi"/>
        </w:rPr>
        <w:lastRenderedPageBreak/>
        <w:t xml:space="preserve">Agreement between reports of the “usual activities” dimension was the lowest, with self-report reflecting more optimistic reports </w:t>
      </w:r>
      <w:r>
        <w:rPr>
          <w:rFonts w:asciiTheme="minorHAnsi" w:hAnsiTheme="minorHAnsi" w:cstheme="minorHAnsi"/>
          <w:noProof/>
        </w:rPr>
        <w:t>(Orgeta et al., 2015a, Kunz, 2010, Bonfiglio et al., 2019, Vogel et al., 2006)</w:t>
      </w:r>
      <w:r w:rsidRPr="00037AD4">
        <w:rPr>
          <w:rFonts w:asciiTheme="minorHAnsi" w:hAnsiTheme="minorHAnsi" w:cstheme="minorHAnsi"/>
        </w:rPr>
        <w:t xml:space="preserve">. Agreement in the pain/discomfort dimension was low, whereby proxies rated more problems than people with dementia themselves </w:t>
      </w:r>
      <w:r>
        <w:rPr>
          <w:rFonts w:asciiTheme="minorHAnsi" w:hAnsiTheme="minorHAnsi" w:cstheme="minorHAnsi"/>
          <w:noProof/>
        </w:rPr>
        <w:t>(Orgeta et al., 2015a, Bonfiglio et al., 2019, Vogel et al., 2006)</w:t>
      </w:r>
      <w:r w:rsidRPr="00037AD4">
        <w:rPr>
          <w:rFonts w:asciiTheme="minorHAnsi" w:hAnsiTheme="minorHAnsi" w:cstheme="minorHAnsi"/>
        </w:rPr>
        <w:t xml:space="preserve">. Evidence of agreement in the “anxiety/depression” dimension was mixed; one study found that PwD self-rated this dimension more optimistically than proxies </w:t>
      </w:r>
      <w:r>
        <w:rPr>
          <w:rFonts w:asciiTheme="minorHAnsi" w:hAnsiTheme="minorHAnsi" w:cstheme="minorHAnsi"/>
          <w:noProof/>
        </w:rPr>
        <w:t>(Bonfiglio et al., 2019)</w:t>
      </w:r>
      <w:r w:rsidRPr="00037AD4">
        <w:rPr>
          <w:rFonts w:asciiTheme="minorHAnsi" w:hAnsiTheme="minorHAnsi" w:cstheme="minorHAnsi"/>
        </w:rPr>
        <w:t xml:space="preserve">, while another study reported that this was the only dimension that people with dementia had self-rated more problems (than proxies) </w:t>
      </w:r>
      <w:r>
        <w:rPr>
          <w:rFonts w:asciiTheme="minorHAnsi" w:hAnsiTheme="minorHAnsi" w:cstheme="minorHAnsi"/>
          <w:noProof/>
        </w:rPr>
        <w:t>(Vogel et al., 2006)</w:t>
      </w:r>
      <w:r w:rsidRPr="00037AD4">
        <w:rPr>
          <w:rFonts w:asciiTheme="minorHAnsi" w:hAnsiTheme="minorHAnsi" w:cstheme="minorHAnsi"/>
        </w:rPr>
        <w:t xml:space="preserve">. </w:t>
      </w:r>
    </w:p>
    <w:p w14:paraId="66C99A6A" w14:textId="77777777" w:rsidR="00B54D51" w:rsidRPr="00037AD4" w:rsidRDefault="00B54D51" w:rsidP="007A43F9">
      <w:pPr>
        <w:pStyle w:val="Heading4"/>
      </w:pPr>
      <w:r w:rsidRPr="00037AD4">
        <w:t xml:space="preserve">3.7.4.8 Quality appraisal </w:t>
      </w:r>
    </w:p>
    <w:p w14:paraId="5F35B982" w14:textId="77777777" w:rsidR="00B54D51" w:rsidRPr="00037AD4" w:rsidRDefault="00B54D51" w:rsidP="00553F88">
      <w:pPr>
        <w:pStyle w:val="NormalWeb"/>
        <w:rPr>
          <w:rFonts w:asciiTheme="minorHAnsi" w:hAnsiTheme="minorHAnsi" w:cstheme="minorHAnsi"/>
        </w:rPr>
      </w:pPr>
      <w:r w:rsidRPr="00037AD4">
        <w:rPr>
          <w:rFonts w:asciiTheme="minorHAnsi" w:hAnsiTheme="minorHAnsi" w:cstheme="minorHAnsi"/>
        </w:rPr>
        <w:t>Of the 30 papers included within the review, 18 were of high quality, and the remaining 12 were considered to be of medium quality (</w:t>
      </w:r>
      <w:hyperlink w:anchor="A36" w:history="1">
        <w:r w:rsidRPr="00B54D51">
          <w:rPr>
            <w:rStyle w:val="Hyperlink"/>
            <w:rFonts w:asciiTheme="minorHAnsi" w:hAnsiTheme="minorHAnsi" w:cstheme="minorHAnsi"/>
            <w:color w:val="000000" w:themeColor="text1"/>
            <w:u w:val="none"/>
          </w:rPr>
          <w:t>Appendix 3.6</w:t>
        </w:r>
      </w:hyperlink>
      <w:r w:rsidRPr="00B54D51">
        <w:rPr>
          <w:rFonts w:asciiTheme="minorHAnsi" w:hAnsiTheme="minorHAnsi" w:cstheme="minorHAnsi"/>
          <w:color w:val="000000" w:themeColor="text1"/>
        </w:rPr>
        <w:t xml:space="preserve"> </w:t>
      </w:r>
      <w:r w:rsidRPr="00B54D51">
        <w:rPr>
          <w:rFonts w:asciiTheme="minorHAnsi" w:hAnsiTheme="minorHAnsi" w:cstheme="minorHAnsi"/>
        </w:rPr>
        <w:t>provides</w:t>
      </w:r>
      <w:r w:rsidRPr="00037AD4">
        <w:rPr>
          <w:rFonts w:asciiTheme="minorHAnsi" w:hAnsiTheme="minorHAnsi" w:cstheme="minorHAnsi"/>
        </w:rPr>
        <w:t xml:space="preserve"> the full quality appraisal details). </w:t>
      </w:r>
    </w:p>
    <w:p w14:paraId="2B1AAABC" w14:textId="77777777" w:rsidR="00B54D51" w:rsidRPr="00037AD4" w:rsidRDefault="00B54D51" w:rsidP="00FD3058">
      <w:pPr>
        <w:pStyle w:val="NormalWeb"/>
        <w:rPr>
          <w:rFonts w:asciiTheme="minorHAnsi" w:hAnsiTheme="minorHAnsi" w:cstheme="minorHAnsi"/>
        </w:rPr>
      </w:pPr>
    </w:p>
    <w:p w14:paraId="3914C776" w14:textId="77777777" w:rsidR="00B54D51" w:rsidRPr="00037AD4" w:rsidRDefault="00B54D51" w:rsidP="00FD3058">
      <w:pPr>
        <w:pStyle w:val="NormalWeb"/>
        <w:rPr>
          <w:rFonts w:asciiTheme="minorHAnsi" w:hAnsiTheme="minorHAnsi" w:cstheme="minorHAnsi"/>
        </w:rPr>
      </w:pPr>
    </w:p>
    <w:p w14:paraId="6D34D98C" w14:textId="77777777" w:rsidR="00B54D51" w:rsidRPr="00037AD4" w:rsidRDefault="00B54D51" w:rsidP="00FD3058">
      <w:pPr>
        <w:pStyle w:val="NormalWeb"/>
        <w:rPr>
          <w:rFonts w:asciiTheme="minorHAnsi" w:hAnsiTheme="minorHAnsi" w:cstheme="minorHAnsi"/>
        </w:rPr>
        <w:sectPr w:rsidR="00B54D51" w:rsidRPr="00037AD4" w:rsidSect="0051675A">
          <w:pgSz w:w="11906" w:h="16838"/>
          <w:pgMar w:top="1440" w:right="1440" w:bottom="1440" w:left="1440" w:header="708" w:footer="708" w:gutter="0"/>
          <w:cols w:space="708"/>
          <w:docGrid w:linePitch="360"/>
        </w:sectPr>
      </w:pPr>
    </w:p>
    <w:p w14:paraId="1F8ACE57" w14:textId="77777777" w:rsidR="00B54D51" w:rsidRPr="00037AD4" w:rsidRDefault="00B54D51" w:rsidP="00FD3058">
      <w:pPr>
        <w:pStyle w:val="NormalWeb"/>
        <w:rPr>
          <w:rFonts w:asciiTheme="minorHAnsi" w:hAnsiTheme="minorHAnsi" w:cstheme="minorHAnsi"/>
          <w:b/>
          <w:bCs/>
          <w:i/>
          <w:iCs/>
        </w:rPr>
      </w:pPr>
      <w:bookmarkStart w:id="311" w:name="Table10"/>
      <w:r w:rsidRPr="00037AD4">
        <w:rPr>
          <w:rFonts w:asciiTheme="minorHAnsi" w:hAnsiTheme="minorHAnsi" w:cstheme="minorHAnsi"/>
          <w:b/>
          <w:bCs/>
          <w:i/>
          <w:iCs/>
        </w:rPr>
        <w:lastRenderedPageBreak/>
        <w:t xml:space="preserve">Table 10, Empirical evidence of relationship between outcome measures and EQ-5D dimensions </w:t>
      </w:r>
    </w:p>
    <w:tbl>
      <w:tblPr>
        <w:tblStyle w:val="TableGrid"/>
        <w:tblW w:w="0" w:type="auto"/>
        <w:tblLook w:val="04A0" w:firstRow="1" w:lastRow="0" w:firstColumn="1" w:lastColumn="0" w:noHBand="0" w:noVBand="1"/>
      </w:tblPr>
      <w:tblGrid>
        <w:gridCol w:w="1920"/>
        <w:gridCol w:w="8876"/>
        <w:gridCol w:w="783"/>
        <w:gridCol w:w="586"/>
        <w:gridCol w:w="1783"/>
      </w:tblGrid>
      <w:tr w:rsidR="00B54D51" w:rsidRPr="00037AD4" w14:paraId="52E11641" w14:textId="77777777" w:rsidTr="00553F88">
        <w:trPr>
          <w:trHeight w:val="491"/>
        </w:trPr>
        <w:tc>
          <w:tcPr>
            <w:tcW w:w="0" w:type="auto"/>
          </w:tcPr>
          <w:bookmarkEnd w:id="311"/>
          <w:p w14:paraId="2B1AAA76" w14:textId="77777777" w:rsidR="00B54D51" w:rsidRPr="00037AD4" w:rsidRDefault="00B54D51" w:rsidP="00A43609">
            <w:pPr>
              <w:rPr>
                <w:rFonts w:asciiTheme="minorHAnsi" w:hAnsiTheme="minorHAnsi" w:cstheme="minorHAnsi"/>
                <w:b/>
                <w:bCs/>
              </w:rPr>
            </w:pPr>
            <w:r w:rsidRPr="00037AD4">
              <w:rPr>
                <w:rFonts w:asciiTheme="minorHAnsi" w:hAnsiTheme="minorHAnsi" w:cstheme="minorHAnsi"/>
                <w:b/>
                <w:bCs/>
              </w:rPr>
              <w:t>Broader domain</w:t>
            </w:r>
          </w:p>
        </w:tc>
        <w:tc>
          <w:tcPr>
            <w:tcW w:w="0" w:type="auto"/>
          </w:tcPr>
          <w:p w14:paraId="390A35F4" w14:textId="77777777" w:rsidR="00B54D51" w:rsidRPr="00037AD4" w:rsidRDefault="00B54D51" w:rsidP="00A43609">
            <w:pPr>
              <w:rPr>
                <w:rFonts w:asciiTheme="minorHAnsi" w:hAnsiTheme="minorHAnsi" w:cstheme="minorHAnsi"/>
                <w:b/>
                <w:bCs/>
              </w:rPr>
            </w:pPr>
            <w:r w:rsidRPr="00037AD4">
              <w:rPr>
                <w:rFonts w:asciiTheme="minorHAnsi" w:hAnsiTheme="minorHAnsi" w:cstheme="minorHAnsi"/>
                <w:b/>
                <w:bCs/>
              </w:rPr>
              <w:t>Empirical evidence of association with EQ-5D dimensions</w:t>
            </w:r>
          </w:p>
        </w:tc>
        <w:tc>
          <w:tcPr>
            <w:tcW w:w="0" w:type="auto"/>
          </w:tcPr>
          <w:p w14:paraId="57C4973F" w14:textId="77777777" w:rsidR="00B54D51" w:rsidRPr="00037AD4" w:rsidRDefault="00B54D51" w:rsidP="00A43609">
            <w:pPr>
              <w:rPr>
                <w:rFonts w:asciiTheme="minorHAnsi" w:hAnsiTheme="minorHAnsi" w:cstheme="minorHAnsi"/>
                <w:b/>
                <w:bCs/>
              </w:rPr>
            </w:pPr>
            <w:r w:rsidRPr="00037AD4">
              <w:rPr>
                <w:rFonts w:asciiTheme="minorHAnsi" w:hAnsiTheme="minorHAnsi" w:cstheme="minorHAnsi"/>
                <w:b/>
                <w:bCs/>
              </w:rPr>
              <w:t>Proxy</w:t>
            </w:r>
          </w:p>
        </w:tc>
        <w:tc>
          <w:tcPr>
            <w:tcW w:w="0" w:type="auto"/>
          </w:tcPr>
          <w:p w14:paraId="2BEB4246" w14:textId="77777777" w:rsidR="00B54D51" w:rsidRPr="00037AD4" w:rsidRDefault="00B54D51" w:rsidP="00A43609">
            <w:pPr>
              <w:rPr>
                <w:rFonts w:asciiTheme="minorHAnsi" w:hAnsiTheme="minorHAnsi" w:cstheme="minorHAnsi"/>
                <w:b/>
                <w:bCs/>
              </w:rPr>
            </w:pPr>
            <w:r w:rsidRPr="00037AD4">
              <w:rPr>
                <w:rFonts w:asciiTheme="minorHAnsi" w:hAnsiTheme="minorHAnsi" w:cstheme="minorHAnsi"/>
                <w:b/>
                <w:bCs/>
              </w:rPr>
              <w:t>Self</w:t>
            </w:r>
          </w:p>
        </w:tc>
        <w:tc>
          <w:tcPr>
            <w:tcW w:w="0" w:type="auto"/>
          </w:tcPr>
          <w:p w14:paraId="7B5A50F7" w14:textId="77777777" w:rsidR="00B54D51" w:rsidRPr="00037AD4" w:rsidRDefault="00B54D51" w:rsidP="00A43609">
            <w:pPr>
              <w:rPr>
                <w:rFonts w:asciiTheme="minorHAnsi" w:hAnsiTheme="minorHAnsi" w:cstheme="minorHAnsi"/>
                <w:b/>
                <w:bCs/>
              </w:rPr>
            </w:pPr>
            <w:r w:rsidRPr="00037AD4">
              <w:rPr>
                <w:rFonts w:asciiTheme="minorHAnsi" w:hAnsiTheme="minorHAnsi" w:cstheme="minorHAnsi"/>
                <w:b/>
                <w:bCs/>
              </w:rPr>
              <w:t>Reference</w:t>
            </w:r>
          </w:p>
        </w:tc>
      </w:tr>
      <w:tr w:rsidR="00B54D51" w:rsidRPr="00037AD4" w14:paraId="59C15F13" w14:textId="77777777" w:rsidTr="00553F88">
        <w:trPr>
          <w:trHeight w:val="90"/>
        </w:trPr>
        <w:tc>
          <w:tcPr>
            <w:tcW w:w="0" w:type="auto"/>
            <w:vMerge w:val="restart"/>
          </w:tcPr>
          <w:p w14:paraId="201FA5A4" w14:textId="77777777" w:rsidR="00B54D51" w:rsidRPr="00037AD4" w:rsidRDefault="00B54D51" w:rsidP="00A43609">
            <w:pPr>
              <w:rPr>
                <w:rFonts w:asciiTheme="minorHAnsi" w:hAnsiTheme="minorHAnsi" w:cstheme="minorHAnsi"/>
                <w:b/>
                <w:bCs/>
              </w:rPr>
            </w:pPr>
            <w:r w:rsidRPr="00037AD4">
              <w:rPr>
                <w:rFonts w:asciiTheme="minorHAnsi" w:hAnsiTheme="minorHAnsi" w:cstheme="minorHAnsi"/>
                <w:b/>
                <w:bCs/>
              </w:rPr>
              <w:t>Cognition</w:t>
            </w:r>
          </w:p>
        </w:tc>
        <w:tc>
          <w:tcPr>
            <w:tcW w:w="0" w:type="auto"/>
          </w:tcPr>
          <w:p w14:paraId="792238E0" w14:textId="77777777" w:rsidR="00B54D51" w:rsidRPr="00037AD4" w:rsidRDefault="00B54D51" w:rsidP="00A43609">
            <w:pPr>
              <w:rPr>
                <w:rFonts w:asciiTheme="minorHAnsi" w:hAnsiTheme="minorHAnsi" w:cstheme="minorHAnsi"/>
              </w:rPr>
            </w:pPr>
            <w:r w:rsidRPr="00037AD4">
              <w:rPr>
                <w:rFonts w:asciiTheme="minorHAnsi" w:hAnsiTheme="minorHAnsi" w:cstheme="minorHAnsi"/>
              </w:rPr>
              <w:t xml:space="preserve">Positive association between MMSE and anxiety/ depression </w:t>
            </w:r>
            <w:r w:rsidRPr="00037AD4">
              <w:rPr>
                <w:rFonts w:asciiTheme="minorHAnsi" w:hAnsiTheme="minorHAnsi" w:cstheme="minorHAnsi"/>
                <w:b/>
                <w:bCs/>
              </w:rPr>
              <w:t>(F=6.86, p= .001)</w:t>
            </w:r>
            <w:r w:rsidRPr="00037AD4">
              <w:rPr>
                <w:rFonts w:asciiTheme="minorHAnsi" w:hAnsiTheme="minorHAnsi" w:cstheme="minorHAnsi"/>
              </w:rPr>
              <w:t xml:space="preserve">  </w:t>
            </w:r>
          </w:p>
        </w:tc>
        <w:tc>
          <w:tcPr>
            <w:tcW w:w="0" w:type="auto"/>
          </w:tcPr>
          <w:p w14:paraId="30ECE156" w14:textId="77777777" w:rsidR="00B54D51" w:rsidRPr="00037AD4" w:rsidRDefault="00B54D51" w:rsidP="00A43609">
            <w:pPr>
              <w:rPr>
                <w:rFonts w:asciiTheme="minorHAnsi" w:hAnsiTheme="minorHAnsi" w:cstheme="minorHAnsi"/>
              </w:rPr>
            </w:pPr>
          </w:p>
        </w:tc>
        <w:tc>
          <w:tcPr>
            <w:tcW w:w="0" w:type="auto"/>
          </w:tcPr>
          <w:p w14:paraId="0A8D72BE" w14:textId="77777777" w:rsidR="00B54D51" w:rsidRPr="00037AD4" w:rsidRDefault="00B54D51" w:rsidP="00A43609">
            <w:pPr>
              <w:rPr>
                <w:rFonts w:asciiTheme="minorHAnsi" w:hAnsiTheme="minorHAnsi" w:cstheme="minorHAnsi"/>
              </w:rPr>
            </w:pPr>
            <w:r w:rsidRPr="00037AD4">
              <w:rPr>
                <w:rFonts w:ascii="Segoe UI Symbol" w:hAnsi="Segoe UI Symbol" w:cs="Segoe UI Symbol"/>
                <w:color w:val="202124"/>
                <w:shd w:val="clear" w:color="auto" w:fill="FFFFFF"/>
              </w:rPr>
              <w:t>✓</w:t>
            </w:r>
          </w:p>
        </w:tc>
        <w:tc>
          <w:tcPr>
            <w:tcW w:w="0" w:type="auto"/>
          </w:tcPr>
          <w:p w14:paraId="6F7795F9" w14:textId="77777777" w:rsidR="00B54D51" w:rsidRPr="00037AD4" w:rsidRDefault="00B54D51" w:rsidP="00A43609">
            <w:pPr>
              <w:rPr>
                <w:rFonts w:asciiTheme="minorHAnsi" w:hAnsiTheme="minorHAnsi" w:cstheme="minorHAnsi"/>
              </w:rPr>
            </w:pPr>
            <w:r w:rsidRPr="00037AD4">
              <w:rPr>
                <w:rFonts w:asciiTheme="minorHAnsi" w:hAnsiTheme="minorHAnsi" w:cstheme="minorHAnsi"/>
              </w:rPr>
              <w:t>Ankri et al (2003)</w:t>
            </w:r>
          </w:p>
        </w:tc>
      </w:tr>
      <w:tr w:rsidR="00B54D51" w:rsidRPr="00037AD4" w14:paraId="1246E27F" w14:textId="77777777" w:rsidTr="00553F88">
        <w:trPr>
          <w:trHeight w:val="90"/>
        </w:trPr>
        <w:tc>
          <w:tcPr>
            <w:tcW w:w="0" w:type="auto"/>
            <w:vMerge/>
          </w:tcPr>
          <w:p w14:paraId="6A695236" w14:textId="77777777" w:rsidR="00B54D51" w:rsidRPr="00037AD4" w:rsidRDefault="00B54D51" w:rsidP="00A43609">
            <w:pPr>
              <w:rPr>
                <w:rFonts w:asciiTheme="minorHAnsi" w:hAnsiTheme="minorHAnsi" w:cstheme="minorHAnsi"/>
                <w:b/>
                <w:bCs/>
              </w:rPr>
            </w:pPr>
          </w:p>
        </w:tc>
        <w:tc>
          <w:tcPr>
            <w:tcW w:w="0" w:type="auto"/>
          </w:tcPr>
          <w:p w14:paraId="6583DA8D" w14:textId="77777777" w:rsidR="00B54D51" w:rsidRPr="00037AD4" w:rsidRDefault="00B54D51" w:rsidP="00A43609">
            <w:pPr>
              <w:rPr>
                <w:rFonts w:asciiTheme="minorHAnsi" w:hAnsiTheme="minorHAnsi" w:cstheme="minorHAnsi"/>
              </w:rPr>
            </w:pPr>
            <w:r w:rsidRPr="00037AD4">
              <w:rPr>
                <w:rFonts w:asciiTheme="minorHAnsi" w:hAnsiTheme="minorHAnsi" w:cstheme="minorHAnsi"/>
              </w:rPr>
              <w:t>People with severe cognitive impairment (MMSE 0-9) reported considerably fewer problems in all EQ-5D dimensions – compared with the less cognitively impaired. People with MMSE 20-30 reported the most problems with pain/discomfort. People with MMSE 10-19 had the most problems with usual activities</w:t>
            </w:r>
          </w:p>
        </w:tc>
        <w:tc>
          <w:tcPr>
            <w:tcW w:w="0" w:type="auto"/>
          </w:tcPr>
          <w:p w14:paraId="0E643382" w14:textId="77777777" w:rsidR="00B54D51" w:rsidRPr="00037AD4" w:rsidRDefault="00B54D51" w:rsidP="00A43609">
            <w:pPr>
              <w:rPr>
                <w:rFonts w:asciiTheme="minorHAnsi" w:hAnsiTheme="minorHAnsi" w:cstheme="minorHAnsi"/>
              </w:rPr>
            </w:pPr>
          </w:p>
        </w:tc>
        <w:tc>
          <w:tcPr>
            <w:tcW w:w="0" w:type="auto"/>
          </w:tcPr>
          <w:p w14:paraId="3518C55D" w14:textId="77777777" w:rsidR="00B54D51" w:rsidRPr="00037AD4" w:rsidRDefault="00B54D51" w:rsidP="00A43609">
            <w:pPr>
              <w:rPr>
                <w:rFonts w:asciiTheme="minorHAnsi" w:hAnsiTheme="minorHAnsi" w:cstheme="minorHAnsi"/>
              </w:rPr>
            </w:pPr>
            <w:r w:rsidRPr="00037AD4">
              <w:rPr>
                <w:rFonts w:ascii="Segoe UI Symbol" w:hAnsi="Segoe UI Symbol" w:cs="Segoe UI Symbol"/>
                <w:color w:val="202124"/>
                <w:shd w:val="clear" w:color="auto" w:fill="FFFFFF"/>
              </w:rPr>
              <w:t>✓</w:t>
            </w:r>
          </w:p>
          <w:p w14:paraId="12585109" w14:textId="77777777" w:rsidR="00B54D51" w:rsidRPr="00037AD4" w:rsidRDefault="00B54D51" w:rsidP="00A43609">
            <w:pPr>
              <w:rPr>
                <w:rFonts w:asciiTheme="minorHAnsi" w:hAnsiTheme="minorHAnsi" w:cstheme="minorHAnsi"/>
              </w:rPr>
            </w:pPr>
          </w:p>
        </w:tc>
        <w:tc>
          <w:tcPr>
            <w:tcW w:w="0" w:type="auto"/>
          </w:tcPr>
          <w:p w14:paraId="61298E59" w14:textId="77777777" w:rsidR="00B54D51" w:rsidRPr="00037AD4" w:rsidRDefault="00B54D51" w:rsidP="00A43609">
            <w:pPr>
              <w:rPr>
                <w:rFonts w:asciiTheme="minorHAnsi" w:hAnsiTheme="minorHAnsi" w:cstheme="minorHAnsi"/>
              </w:rPr>
            </w:pPr>
            <w:r w:rsidRPr="00037AD4">
              <w:rPr>
                <w:rFonts w:asciiTheme="minorHAnsi" w:hAnsiTheme="minorHAnsi" w:cstheme="minorHAnsi"/>
              </w:rPr>
              <w:t>Heßmann et al (2016)</w:t>
            </w:r>
          </w:p>
        </w:tc>
      </w:tr>
      <w:tr w:rsidR="00B54D51" w:rsidRPr="00037AD4" w14:paraId="13CCB0B6" w14:textId="77777777" w:rsidTr="00553F88">
        <w:trPr>
          <w:trHeight w:val="17"/>
        </w:trPr>
        <w:tc>
          <w:tcPr>
            <w:tcW w:w="0" w:type="auto"/>
            <w:vMerge w:val="restart"/>
          </w:tcPr>
          <w:p w14:paraId="446BE6C5" w14:textId="77777777" w:rsidR="00B54D51" w:rsidRPr="00037AD4" w:rsidRDefault="00B54D51" w:rsidP="00A43609">
            <w:pPr>
              <w:rPr>
                <w:rFonts w:asciiTheme="minorHAnsi" w:hAnsiTheme="minorHAnsi" w:cstheme="minorHAnsi"/>
                <w:b/>
                <w:bCs/>
              </w:rPr>
            </w:pPr>
            <w:r w:rsidRPr="00037AD4">
              <w:rPr>
                <w:rFonts w:asciiTheme="minorHAnsi" w:hAnsiTheme="minorHAnsi" w:cstheme="minorHAnsi"/>
                <w:b/>
                <w:bCs/>
              </w:rPr>
              <w:t>ADL</w:t>
            </w:r>
          </w:p>
        </w:tc>
        <w:tc>
          <w:tcPr>
            <w:tcW w:w="0" w:type="auto"/>
          </w:tcPr>
          <w:p w14:paraId="7A80FC17" w14:textId="77777777" w:rsidR="00B54D51" w:rsidRPr="00037AD4" w:rsidRDefault="00B54D51" w:rsidP="00A43609">
            <w:pPr>
              <w:rPr>
                <w:rFonts w:asciiTheme="minorHAnsi" w:hAnsiTheme="minorHAnsi" w:cstheme="minorHAnsi"/>
              </w:rPr>
            </w:pPr>
            <w:r w:rsidRPr="00037AD4">
              <w:rPr>
                <w:rFonts w:asciiTheme="minorHAnsi" w:hAnsiTheme="minorHAnsi" w:cstheme="minorHAnsi"/>
              </w:rPr>
              <w:t xml:space="preserve">Positive association between Katz indicator and mobility </w:t>
            </w:r>
            <w:r w:rsidRPr="00037AD4">
              <w:rPr>
                <w:rFonts w:asciiTheme="minorHAnsi" w:hAnsiTheme="minorHAnsi" w:cstheme="minorHAnsi"/>
                <w:b/>
                <w:bCs/>
              </w:rPr>
              <w:t>(F = 16.4, p &lt; .0001)</w:t>
            </w:r>
          </w:p>
        </w:tc>
        <w:tc>
          <w:tcPr>
            <w:tcW w:w="0" w:type="auto"/>
          </w:tcPr>
          <w:p w14:paraId="4153E71B" w14:textId="77777777" w:rsidR="00B54D51" w:rsidRPr="00037AD4" w:rsidRDefault="00B54D51" w:rsidP="00A43609">
            <w:pPr>
              <w:rPr>
                <w:rFonts w:asciiTheme="minorHAnsi" w:hAnsiTheme="minorHAnsi" w:cstheme="minorHAnsi"/>
              </w:rPr>
            </w:pPr>
          </w:p>
        </w:tc>
        <w:tc>
          <w:tcPr>
            <w:tcW w:w="0" w:type="auto"/>
          </w:tcPr>
          <w:p w14:paraId="4AD5CE40" w14:textId="77777777" w:rsidR="00B54D51" w:rsidRPr="00037AD4" w:rsidRDefault="00B54D51" w:rsidP="00A43609">
            <w:pPr>
              <w:rPr>
                <w:rFonts w:asciiTheme="minorHAnsi" w:hAnsiTheme="minorHAnsi" w:cstheme="minorHAnsi"/>
              </w:rPr>
            </w:pPr>
            <w:r w:rsidRPr="00037AD4">
              <w:rPr>
                <w:rFonts w:ascii="Segoe UI Symbol" w:hAnsi="Segoe UI Symbol" w:cs="Segoe UI Symbol"/>
                <w:color w:val="202124"/>
                <w:shd w:val="clear" w:color="auto" w:fill="FFFFFF"/>
              </w:rPr>
              <w:t>✓</w:t>
            </w:r>
          </w:p>
        </w:tc>
        <w:tc>
          <w:tcPr>
            <w:tcW w:w="0" w:type="auto"/>
          </w:tcPr>
          <w:p w14:paraId="0756461E" w14:textId="77777777" w:rsidR="00B54D51" w:rsidRPr="00037AD4" w:rsidRDefault="00B54D51" w:rsidP="00A43609">
            <w:pPr>
              <w:rPr>
                <w:rFonts w:asciiTheme="minorHAnsi" w:hAnsiTheme="minorHAnsi" w:cstheme="minorHAnsi"/>
              </w:rPr>
            </w:pPr>
            <w:r w:rsidRPr="00037AD4">
              <w:rPr>
                <w:rFonts w:asciiTheme="minorHAnsi" w:hAnsiTheme="minorHAnsi" w:cstheme="minorHAnsi"/>
              </w:rPr>
              <w:t>Ankri et al (2003)</w:t>
            </w:r>
          </w:p>
        </w:tc>
      </w:tr>
      <w:tr w:rsidR="00B54D51" w:rsidRPr="00037AD4" w14:paraId="7EA8534A" w14:textId="77777777" w:rsidTr="00553F88">
        <w:trPr>
          <w:trHeight w:val="17"/>
        </w:trPr>
        <w:tc>
          <w:tcPr>
            <w:tcW w:w="0" w:type="auto"/>
            <w:vMerge/>
          </w:tcPr>
          <w:p w14:paraId="2EA3F85B" w14:textId="77777777" w:rsidR="00B54D51" w:rsidRPr="00037AD4" w:rsidRDefault="00B54D51" w:rsidP="00A43609">
            <w:pPr>
              <w:rPr>
                <w:rFonts w:asciiTheme="minorHAnsi" w:hAnsiTheme="minorHAnsi" w:cstheme="minorHAnsi"/>
                <w:b/>
                <w:bCs/>
              </w:rPr>
            </w:pPr>
          </w:p>
        </w:tc>
        <w:tc>
          <w:tcPr>
            <w:tcW w:w="0" w:type="auto"/>
          </w:tcPr>
          <w:p w14:paraId="637B8469" w14:textId="77777777" w:rsidR="00B54D51" w:rsidRPr="00037AD4" w:rsidRDefault="00B54D51" w:rsidP="00A43609">
            <w:pPr>
              <w:rPr>
                <w:rFonts w:asciiTheme="minorHAnsi" w:hAnsiTheme="minorHAnsi" w:cstheme="minorHAnsi"/>
              </w:rPr>
            </w:pPr>
            <w:r w:rsidRPr="00037AD4">
              <w:rPr>
                <w:rFonts w:asciiTheme="minorHAnsi" w:hAnsiTheme="minorHAnsi" w:cstheme="minorHAnsi"/>
              </w:rPr>
              <w:t xml:space="preserve">Positive association between Katz indicator and self-care </w:t>
            </w:r>
            <w:r w:rsidRPr="00037AD4">
              <w:rPr>
                <w:rFonts w:asciiTheme="minorHAnsi" w:hAnsiTheme="minorHAnsi" w:cstheme="minorHAnsi"/>
                <w:b/>
                <w:bCs/>
              </w:rPr>
              <w:t>(F = 6.3, p &lt; .0001)</w:t>
            </w:r>
          </w:p>
        </w:tc>
        <w:tc>
          <w:tcPr>
            <w:tcW w:w="0" w:type="auto"/>
          </w:tcPr>
          <w:p w14:paraId="1493A9AE" w14:textId="77777777" w:rsidR="00B54D51" w:rsidRPr="00037AD4" w:rsidRDefault="00B54D51" w:rsidP="00A43609">
            <w:pPr>
              <w:rPr>
                <w:rFonts w:asciiTheme="minorHAnsi" w:hAnsiTheme="minorHAnsi" w:cstheme="minorHAnsi"/>
              </w:rPr>
            </w:pPr>
          </w:p>
        </w:tc>
        <w:tc>
          <w:tcPr>
            <w:tcW w:w="0" w:type="auto"/>
          </w:tcPr>
          <w:p w14:paraId="7FE14383" w14:textId="77777777" w:rsidR="00B54D51" w:rsidRPr="00037AD4" w:rsidRDefault="00B54D51" w:rsidP="00A43609">
            <w:pPr>
              <w:rPr>
                <w:rFonts w:asciiTheme="minorHAnsi" w:hAnsiTheme="minorHAnsi" w:cstheme="minorHAnsi"/>
              </w:rPr>
            </w:pPr>
            <w:r w:rsidRPr="00037AD4">
              <w:rPr>
                <w:rFonts w:ascii="Segoe UI Symbol" w:hAnsi="Segoe UI Symbol" w:cs="Segoe UI Symbol"/>
                <w:color w:val="202124"/>
                <w:shd w:val="clear" w:color="auto" w:fill="FFFFFF"/>
              </w:rPr>
              <w:t>✓</w:t>
            </w:r>
          </w:p>
        </w:tc>
        <w:tc>
          <w:tcPr>
            <w:tcW w:w="0" w:type="auto"/>
          </w:tcPr>
          <w:p w14:paraId="7FE7E77B" w14:textId="77777777" w:rsidR="00B54D51" w:rsidRPr="00037AD4" w:rsidRDefault="00B54D51" w:rsidP="00A43609">
            <w:pPr>
              <w:rPr>
                <w:rFonts w:asciiTheme="minorHAnsi" w:hAnsiTheme="minorHAnsi" w:cstheme="minorHAnsi"/>
              </w:rPr>
            </w:pPr>
            <w:r w:rsidRPr="00037AD4">
              <w:rPr>
                <w:rFonts w:asciiTheme="minorHAnsi" w:hAnsiTheme="minorHAnsi" w:cstheme="minorHAnsi"/>
              </w:rPr>
              <w:t>Ankri et al (2003)</w:t>
            </w:r>
          </w:p>
        </w:tc>
      </w:tr>
      <w:tr w:rsidR="00B54D51" w:rsidRPr="00037AD4" w14:paraId="6A204C18" w14:textId="77777777" w:rsidTr="00553F88">
        <w:trPr>
          <w:trHeight w:val="17"/>
        </w:trPr>
        <w:tc>
          <w:tcPr>
            <w:tcW w:w="0" w:type="auto"/>
            <w:vMerge/>
          </w:tcPr>
          <w:p w14:paraId="1A903698" w14:textId="77777777" w:rsidR="00B54D51" w:rsidRPr="00037AD4" w:rsidRDefault="00B54D51" w:rsidP="00A43609">
            <w:pPr>
              <w:rPr>
                <w:rFonts w:asciiTheme="minorHAnsi" w:hAnsiTheme="minorHAnsi" w:cstheme="minorHAnsi"/>
                <w:b/>
                <w:bCs/>
              </w:rPr>
            </w:pPr>
          </w:p>
        </w:tc>
        <w:tc>
          <w:tcPr>
            <w:tcW w:w="0" w:type="auto"/>
          </w:tcPr>
          <w:p w14:paraId="298B30AC" w14:textId="77777777" w:rsidR="00B54D51" w:rsidRPr="00037AD4" w:rsidRDefault="00B54D51" w:rsidP="00A43609">
            <w:pPr>
              <w:rPr>
                <w:rFonts w:asciiTheme="minorHAnsi" w:hAnsiTheme="minorHAnsi" w:cstheme="minorHAnsi"/>
              </w:rPr>
            </w:pPr>
            <w:r w:rsidRPr="00037AD4">
              <w:rPr>
                <w:rFonts w:asciiTheme="minorHAnsi" w:hAnsiTheme="minorHAnsi" w:cstheme="minorHAnsi"/>
              </w:rPr>
              <w:t xml:space="preserve">Positive association between Katz indicator and usual activities </w:t>
            </w:r>
            <w:r w:rsidRPr="00037AD4">
              <w:rPr>
                <w:rFonts w:asciiTheme="minorHAnsi" w:hAnsiTheme="minorHAnsi" w:cstheme="minorHAnsi"/>
                <w:b/>
                <w:bCs/>
              </w:rPr>
              <w:t>(F = 6.8, p &lt; .002)</w:t>
            </w:r>
          </w:p>
        </w:tc>
        <w:tc>
          <w:tcPr>
            <w:tcW w:w="0" w:type="auto"/>
          </w:tcPr>
          <w:p w14:paraId="5BD70CF3" w14:textId="77777777" w:rsidR="00B54D51" w:rsidRPr="00037AD4" w:rsidRDefault="00B54D51" w:rsidP="00A43609">
            <w:pPr>
              <w:rPr>
                <w:rFonts w:asciiTheme="minorHAnsi" w:hAnsiTheme="minorHAnsi" w:cstheme="minorHAnsi"/>
              </w:rPr>
            </w:pPr>
          </w:p>
        </w:tc>
        <w:tc>
          <w:tcPr>
            <w:tcW w:w="0" w:type="auto"/>
          </w:tcPr>
          <w:p w14:paraId="6418B7A4" w14:textId="77777777" w:rsidR="00B54D51" w:rsidRPr="00037AD4" w:rsidRDefault="00B54D51" w:rsidP="00A43609">
            <w:pPr>
              <w:rPr>
                <w:rFonts w:asciiTheme="minorHAnsi" w:hAnsiTheme="minorHAnsi" w:cstheme="minorHAnsi"/>
              </w:rPr>
            </w:pPr>
            <w:r w:rsidRPr="00037AD4">
              <w:rPr>
                <w:rFonts w:ascii="Segoe UI Symbol" w:hAnsi="Segoe UI Symbol" w:cs="Segoe UI Symbol"/>
                <w:color w:val="202124"/>
                <w:shd w:val="clear" w:color="auto" w:fill="FFFFFF"/>
              </w:rPr>
              <w:t>✓</w:t>
            </w:r>
          </w:p>
        </w:tc>
        <w:tc>
          <w:tcPr>
            <w:tcW w:w="0" w:type="auto"/>
          </w:tcPr>
          <w:p w14:paraId="234A07F7" w14:textId="77777777" w:rsidR="00B54D51" w:rsidRPr="00037AD4" w:rsidRDefault="00B54D51" w:rsidP="00A43609">
            <w:pPr>
              <w:rPr>
                <w:rFonts w:asciiTheme="minorHAnsi" w:hAnsiTheme="minorHAnsi" w:cstheme="minorHAnsi"/>
              </w:rPr>
            </w:pPr>
            <w:r w:rsidRPr="00037AD4">
              <w:rPr>
                <w:rFonts w:asciiTheme="minorHAnsi" w:hAnsiTheme="minorHAnsi" w:cstheme="minorHAnsi"/>
              </w:rPr>
              <w:t>Ankri et al (2003)</w:t>
            </w:r>
          </w:p>
        </w:tc>
      </w:tr>
      <w:tr w:rsidR="00B54D51" w:rsidRPr="00037AD4" w14:paraId="5A4CF403" w14:textId="77777777" w:rsidTr="00553F88">
        <w:trPr>
          <w:trHeight w:val="17"/>
        </w:trPr>
        <w:tc>
          <w:tcPr>
            <w:tcW w:w="0" w:type="auto"/>
            <w:vMerge/>
          </w:tcPr>
          <w:p w14:paraId="74142BDA" w14:textId="77777777" w:rsidR="00B54D51" w:rsidRPr="00037AD4" w:rsidRDefault="00B54D51" w:rsidP="00A43609">
            <w:pPr>
              <w:rPr>
                <w:rFonts w:asciiTheme="minorHAnsi" w:hAnsiTheme="minorHAnsi" w:cstheme="minorHAnsi"/>
                <w:b/>
                <w:bCs/>
              </w:rPr>
            </w:pPr>
          </w:p>
        </w:tc>
        <w:tc>
          <w:tcPr>
            <w:tcW w:w="0" w:type="auto"/>
          </w:tcPr>
          <w:p w14:paraId="44E3430E" w14:textId="77777777" w:rsidR="00B54D51" w:rsidRPr="00037AD4" w:rsidRDefault="00B54D51" w:rsidP="00A43609">
            <w:pPr>
              <w:rPr>
                <w:rFonts w:asciiTheme="minorHAnsi" w:hAnsiTheme="minorHAnsi" w:cstheme="minorHAnsi"/>
              </w:rPr>
            </w:pPr>
            <w:r w:rsidRPr="00037AD4">
              <w:rPr>
                <w:rFonts w:asciiTheme="minorHAnsi" w:hAnsiTheme="minorHAnsi" w:cstheme="minorHAnsi"/>
              </w:rPr>
              <w:t xml:space="preserve">Positive association between Katz indicator and pain/discomfort </w:t>
            </w:r>
            <w:r w:rsidRPr="00037AD4">
              <w:rPr>
                <w:rFonts w:asciiTheme="minorHAnsi" w:hAnsiTheme="minorHAnsi" w:cstheme="minorHAnsi"/>
                <w:b/>
                <w:bCs/>
              </w:rPr>
              <w:t>(F = 6.8, p &lt; .002)</w:t>
            </w:r>
          </w:p>
        </w:tc>
        <w:tc>
          <w:tcPr>
            <w:tcW w:w="0" w:type="auto"/>
          </w:tcPr>
          <w:p w14:paraId="5D904979" w14:textId="77777777" w:rsidR="00B54D51" w:rsidRPr="00037AD4" w:rsidRDefault="00B54D51" w:rsidP="00A43609">
            <w:pPr>
              <w:rPr>
                <w:rFonts w:asciiTheme="minorHAnsi" w:hAnsiTheme="minorHAnsi" w:cstheme="minorHAnsi"/>
              </w:rPr>
            </w:pPr>
          </w:p>
        </w:tc>
        <w:tc>
          <w:tcPr>
            <w:tcW w:w="0" w:type="auto"/>
          </w:tcPr>
          <w:p w14:paraId="035F9B8D" w14:textId="77777777" w:rsidR="00B54D51" w:rsidRPr="00037AD4" w:rsidRDefault="00B54D51" w:rsidP="00A43609">
            <w:pPr>
              <w:rPr>
                <w:rFonts w:asciiTheme="minorHAnsi" w:hAnsiTheme="minorHAnsi" w:cstheme="minorHAnsi"/>
              </w:rPr>
            </w:pPr>
            <w:r w:rsidRPr="00037AD4">
              <w:rPr>
                <w:rFonts w:ascii="Segoe UI Symbol" w:hAnsi="Segoe UI Symbol" w:cs="Segoe UI Symbol"/>
                <w:color w:val="202124"/>
                <w:shd w:val="clear" w:color="auto" w:fill="FFFFFF"/>
              </w:rPr>
              <w:t>✓</w:t>
            </w:r>
          </w:p>
        </w:tc>
        <w:tc>
          <w:tcPr>
            <w:tcW w:w="0" w:type="auto"/>
          </w:tcPr>
          <w:p w14:paraId="05DF159E" w14:textId="77777777" w:rsidR="00B54D51" w:rsidRPr="00037AD4" w:rsidRDefault="00B54D51" w:rsidP="00A43609">
            <w:pPr>
              <w:rPr>
                <w:rFonts w:asciiTheme="minorHAnsi" w:hAnsiTheme="minorHAnsi" w:cstheme="minorHAnsi"/>
              </w:rPr>
            </w:pPr>
            <w:r w:rsidRPr="00037AD4">
              <w:rPr>
                <w:rFonts w:asciiTheme="minorHAnsi" w:hAnsiTheme="minorHAnsi" w:cstheme="minorHAnsi"/>
              </w:rPr>
              <w:t>Ankri et al (2003)</w:t>
            </w:r>
          </w:p>
        </w:tc>
      </w:tr>
      <w:tr w:rsidR="00B54D51" w:rsidRPr="00037AD4" w14:paraId="16451A4A" w14:textId="77777777" w:rsidTr="00553F88">
        <w:trPr>
          <w:trHeight w:val="17"/>
        </w:trPr>
        <w:tc>
          <w:tcPr>
            <w:tcW w:w="0" w:type="auto"/>
            <w:vMerge/>
          </w:tcPr>
          <w:p w14:paraId="5539F7F9" w14:textId="77777777" w:rsidR="00B54D51" w:rsidRPr="00037AD4" w:rsidRDefault="00B54D51" w:rsidP="00A43609">
            <w:pPr>
              <w:rPr>
                <w:rFonts w:asciiTheme="minorHAnsi" w:hAnsiTheme="minorHAnsi" w:cstheme="minorHAnsi"/>
                <w:b/>
                <w:bCs/>
              </w:rPr>
            </w:pPr>
          </w:p>
        </w:tc>
        <w:tc>
          <w:tcPr>
            <w:tcW w:w="0" w:type="auto"/>
          </w:tcPr>
          <w:p w14:paraId="2BEADFFA" w14:textId="77777777" w:rsidR="00B54D51" w:rsidRPr="00037AD4" w:rsidRDefault="00B54D51" w:rsidP="00A43609">
            <w:pPr>
              <w:rPr>
                <w:rFonts w:asciiTheme="minorHAnsi" w:hAnsiTheme="minorHAnsi" w:cstheme="minorHAnsi"/>
              </w:rPr>
            </w:pPr>
            <w:r w:rsidRPr="00037AD4">
              <w:rPr>
                <w:rFonts w:asciiTheme="minorHAnsi" w:hAnsiTheme="minorHAnsi" w:cstheme="minorHAnsi"/>
              </w:rPr>
              <w:t>Boxplots indicate positive association between BADLS and mobility. Observed associations: all carers 0.44; clinician 0.59; live-in carers 0.38;</w:t>
            </w:r>
            <w:r w:rsidRPr="00037AD4">
              <w:rPr>
                <w:rFonts w:asciiTheme="minorHAnsi" w:hAnsiTheme="minorHAnsi" w:cstheme="minorHAnsi"/>
                <w:b/>
                <w:bCs/>
              </w:rPr>
              <w:t xml:space="preserve"> (p&lt;0.01)</w:t>
            </w:r>
          </w:p>
        </w:tc>
        <w:tc>
          <w:tcPr>
            <w:tcW w:w="0" w:type="auto"/>
          </w:tcPr>
          <w:p w14:paraId="6C9F4F76" w14:textId="77777777" w:rsidR="00B54D51" w:rsidRPr="00037AD4" w:rsidRDefault="00B54D51" w:rsidP="00A43609">
            <w:pPr>
              <w:rPr>
                <w:rFonts w:asciiTheme="minorHAnsi" w:hAnsiTheme="minorHAnsi" w:cstheme="minorHAnsi"/>
              </w:rPr>
            </w:pPr>
            <w:r w:rsidRPr="00037AD4">
              <w:rPr>
                <w:rFonts w:ascii="Segoe UI Symbol" w:hAnsi="Segoe UI Symbol" w:cs="Segoe UI Symbol"/>
                <w:color w:val="202124"/>
                <w:shd w:val="clear" w:color="auto" w:fill="FFFFFF"/>
              </w:rPr>
              <w:t>✓</w:t>
            </w:r>
          </w:p>
        </w:tc>
        <w:tc>
          <w:tcPr>
            <w:tcW w:w="0" w:type="auto"/>
          </w:tcPr>
          <w:p w14:paraId="36B8534F" w14:textId="77777777" w:rsidR="00B54D51" w:rsidRPr="00037AD4" w:rsidRDefault="00B54D51" w:rsidP="00A43609">
            <w:pPr>
              <w:rPr>
                <w:rFonts w:asciiTheme="minorHAnsi" w:hAnsiTheme="minorHAnsi" w:cstheme="minorHAnsi"/>
              </w:rPr>
            </w:pPr>
          </w:p>
        </w:tc>
        <w:tc>
          <w:tcPr>
            <w:tcW w:w="0" w:type="auto"/>
          </w:tcPr>
          <w:p w14:paraId="5860D7D6" w14:textId="77777777" w:rsidR="00B54D51" w:rsidRPr="00037AD4" w:rsidRDefault="00B54D51" w:rsidP="00A43609">
            <w:pPr>
              <w:rPr>
                <w:rFonts w:asciiTheme="minorHAnsi" w:hAnsiTheme="minorHAnsi" w:cstheme="minorHAnsi"/>
              </w:rPr>
            </w:pPr>
            <w:r w:rsidRPr="00037AD4">
              <w:rPr>
                <w:rFonts w:asciiTheme="minorHAnsi" w:hAnsiTheme="minorHAnsi" w:cstheme="minorHAnsi"/>
              </w:rPr>
              <w:t>Bryan et al (2005)</w:t>
            </w:r>
          </w:p>
        </w:tc>
      </w:tr>
      <w:tr w:rsidR="00B54D51" w:rsidRPr="00037AD4" w14:paraId="07A9E53D" w14:textId="77777777" w:rsidTr="00553F88">
        <w:trPr>
          <w:trHeight w:val="17"/>
        </w:trPr>
        <w:tc>
          <w:tcPr>
            <w:tcW w:w="0" w:type="auto"/>
            <w:vMerge/>
          </w:tcPr>
          <w:p w14:paraId="740E51C9" w14:textId="77777777" w:rsidR="00B54D51" w:rsidRPr="00037AD4" w:rsidRDefault="00B54D51" w:rsidP="00A43609">
            <w:pPr>
              <w:rPr>
                <w:rFonts w:asciiTheme="minorHAnsi" w:hAnsiTheme="minorHAnsi" w:cstheme="minorHAnsi"/>
                <w:b/>
                <w:bCs/>
              </w:rPr>
            </w:pPr>
          </w:p>
        </w:tc>
        <w:tc>
          <w:tcPr>
            <w:tcW w:w="0" w:type="auto"/>
          </w:tcPr>
          <w:p w14:paraId="6464821B" w14:textId="77777777" w:rsidR="00B54D51" w:rsidRPr="00037AD4" w:rsidRDefault="00B54D51" w:rsidP="00A43609">
            <w:pPr>
              <w:rPr>
                <w:rFonts w:asciiTheme="minorHAnsi" w:hAnsiTheme="minorHAnsi" w:cstheme="minorHAnsi"/>
              </w:rPr>
            </w:pPr>
            <w:r w:rsidRPr="00037AD4">
              <w:rPr>
                <w:rFonts w:asciiTheme="minorHAnsi" w:hAnsiTheme="minorHAnsi" w:cstheme="minorHAnsi"/>
              </w:rPr>
              <w:t>Boxplots indicate positive association BADLS and self-care. Observed associations: all carers 0.57; clinician 0.62; live-in carers 0.65; (</w:t>
            </w:r>
            <w:r w:rsidRPr="00037AD4">
              <w:rPr>
                <w:rFonts w:asciiTheme="minorHAnsi" w:hAnsiTheme="minorHAnsi" w:cstheme="minorHAnsi"/>
                <w:b/>
                <w:bCs/>
              </w:rPr>
              <w:t>p&lt;0.01)</w:t>
            </w:r>
          </w:p>
        </w:tc>
        <w:tc>
          <w:tcPr>
            <w:tcW w:w="0" w:type="auto"/>
          </w:tcPr>
          <w:p w14:paraId="7EE029D6" w14:textId="77777777" w:rsidR="00B54D51" w:rsidRPr="00037AD4" w:rsidRDefault="00B54D51" w:rsidP="00A43609">
            <w:pPr>
              <w:rPr>
                <w:rFonts w:asciiTheme="minorHAnsi" w:hAnsiTheme="minorHAnsi" w:cstheme="minorHAnsi"/>
              </w:rPr>
            </w:pPr>
            <w:r w:rsidRPr="00037AD4">
              <w:rPr>
                <w:rFonts w:ascii="Segoe UI Symbol" w:hAnsi="Segoe UI Symbol" w:cs="Segoe UI Symbol"/>
                <w:color w:val="202124"/>
                <w:shd w:val="clear" w:color="auto" w:fill="FFFFFF"/>
              </w:rPr>
              <w:t>✓</w:t>
            </w:r>
          </w:p>
        </w:tc>
        <w:tc>
          <w:tcPr>
            <w:tcW w:w="0" w:type="auto"/>
          </w:tcPr>
          <w:p w14:paraId="78B1E363" w14:textId="77777777" w:rsidR="00B54D51" w:rsidRPr="00037AD4" w:rsidRDefault="00B54D51" w:rsidP="00A43609">
            <w:pPr>
              <w:rPr>
                <w:rFonts w:asciiTheme="minorHAnsi" w:hAnsiTheme="minorHAnsi" w:cstheme="minorHAnsi"/>
              </w:rPr>
            </w:pPr>
          </w:p>
        </w:tc>
        <w:tc>
          <w:tcPr>
            <w:tcW w:w="0" w:type="auto"/>
          </w:tcPr>
          <w:p w14:paraId="5B6D357D" w14:textId="77777777" w:rsidR="00B54D51" w:rsidRPr="00037AD4" w:rsidRDefault="00B54D51" w:rsidP="00A43609">
            <w:pPr>
              <w:rPr>
                <w:rFonts w:asciiTheme="minorHAnsi" w:hAnsiTheme="minorHAnsi" w:cstheme="minorHAnsi"/>
              </w:rPr>
            </w:pPr>
            <w:r w:rsidRPr="00037AD4">
              <w:rPr>
                <w:rFonts w:asciiTheme="minorHAnsi" w:hAnsiTheme="minorHAnsi" w:cstheme="minorHAnsi"/>
              </w:rPr>
              <w:t>Bryan et al (2005)</w:t>
            </w:r>
          </w:p>
        </w:tc>
      </w:tr>
      <w:tr w:rsidR="00B54D51" w:rsidRPr="00037AD4" w14:paraId="60F31363" w14:textId="77777777" w:rsidTr="00553F88">
        <w:trPr>
          <w:trHeight w:val="17"/>
        </w:trPr>
        <w:tc>
          <w:tcPr>
            <w:tcW w:w="0" w:type="auto"/>
            <w:vMerge/>
          </w:tcPr>
          <w:p w14:paraId="1BCC0D0F" w14:textId="77777777" w:rsidR="00B54D51" w:rsidRPr="00037AD4" w:rsidRDefault="00B54D51" w:rsidP="00A43609">
            <w:pPr>
              <w:rPr>
                <w:rFonts w:asciiTheme="minorHAnsi" w:hAnsiTheme="minorHAnsi" w:cstheme="minorHAnsi"/>
                <w:b/>
                <w:bCs/>
              </w:rPr>
            </w:pPr>
          </w:p>
        </w:tc>
        <w:tc>
          <w:tcPr>
            <w:tcW w:w="0" w:type="auto"/>
          </w:tcPr>
          <w:p w14:paraId="7E1DBF41" w14:textId="77777777" w:rsidR="00B54D51" w:rsidRPr="00037AD4" w:rsidRDefault="00B54D51" w:rsidP="00A43609">
            <w:pPr>
              <w:rPr>
                <w:rFonts w:asciiTheme="minorHAnsi" w:hAnsiTheme="minorHAnsi" w:cstheme="minorHAnsi"/>
              </w:rPr>
            </w:pPr>
            <w:r w:rsidRPr="00037AD4">
              <w:rPr>
                <w:rFonts w:asciiTheme="minorHAnsi" w:hAnsiTheme="minorHAnsi" w:cstheme="minorHAnsi"/>
              </w:rPr>
              <w:t>Boxplots indicate positive association BADLS and usual activities. Observed associations: all carers 0.62; clinician 0.50; live-in carers 0.75; (</w:t>
            </w:r>
            <w:r w:rsidRPr="00037AD4">
              <w:rPr>
                <w:rFonts w:asciiTheme="minorHAnsi" w:hAnsiTheme="minorHAnsi" w:cstheme="minorHAnsi"/>
                <w:b/>
                <w:bCs/>
              </w:rPr>
              <w:t>p&lt;0.01)</w:t>
            </w:r>
          </w:p>
        </w:tc>
        <w:tc>
          <w:tcPr>
            <w:tcW w:w="0" w:type="auto"/>
          </w:tcPr>
          <w:p w14:paraId="563F1367" w14:textId="77777777" w:rsidR="00B54D51" w:rsidRPr="00037AD4" w:rsidRDefault="00B54D51" w:rsidP="00A43609">
            <w:pPr>
              <w:rPr>
                <w:rFonts w:asciiTheme="minorHAnsi" w:hAnsiTheme="minorHAnsi" w:cstheme="minorHAnsi"/>
              </w:rPr>
            </w:pPr>
            <w:r w:rsidRPr="00037AD4">
              <w:rPr>
                <w:rFonts w:ascii="Segoe UI Symbol" w:hAnsi="Segoe UI Symbol" w:cs="Segoe UI Symbol"/>
                <w:color w:val="202124"/>
                <w:shd w:val="clear" w:color="auto" w:fill="FFFFFF"/>
              </w:rPr>
              <w:t>✓</w:t>
            </w:r>
          </w:p>
        </w:tc>
        <w:tc>
          <w:tcPr>
            <w:tcW w:w="0" w:type="auto"/>
          </w:tcPr>
          <w:p w14:paraId="4CD83ABF" w14:textId="77777777" w:rsidR="00B54D51" w:rsidRPr="00037AD4" w:rsidRDefault="00B54D51" w:rsidP="00A43609">
            <w:pPr>
              <w:rPr>
                <w:rFonts w:asciiTheme="minorHAnsi" w:hAnsiTheme="minorHAnsi" w:cstheme="minorHAnsi"/>
              </w:rPr>
            </w:pPr>
          </w:p>
        </w:tc>
        <w:tc>
          <w:tcPr>
            <w:tcW w:w="0" w:type="auto"/>
          </w:tcPr>
          <w:p w14:paraId="1E52938C" w14:textId="77777777" w:rsidR="00B54D51" w:rsidRPr="00037AD4" w:rsidRDefault="00B54D51" w:rsidP="00A43609">
            <w:pPr>
              <w:rPr>
                <w:rFonts w:asciiTheme="minorHAnsi" w:hAnsiTheme="minorHAnsi" w:cstheme="minorHAnsi"/>
              </w:rPr>
            </w:pPr>
            <w:r w:rsidRPr="00037AD4">
              <w:rPr>
                <w:rFonts w:asciiTheme="minorHAnsi" w:hAnsiTheme="minorHAnsi" w:cstheme="minorHAnsi"/>
              </w:rPr>
              <w:t>Bryan et al (2005)</w:t>
            </w:r>
          </w:p>
        </w:tc>
      </w:tr>
      <w:tr w:rsidR="00B54D51" w:rsidRPr="00037AD4" w14:paraId="427B5980" w14:textId="77777777" w:rsidTr="00553F88">
        <w:trPr>
          <w:trHeight w:val="17"/>
        </w:trPr>
        <w:tc>
          <w:tcPr>
            <w:tcW w:w="0" w:type="auto"/>
            <w:vMerge/>
          </w:tcPr>
          <w:p w14:paraId="683B9946" w14:textId="77777777" w:rsidR="00B54D51" w:rsidRPr="00037AD4" w:rsidRDefault="00B54D51" w:rsidP="00A43609">
            <w:pPr>
              <w:rPr>
                <w:rFonts w:asciiTheme="minorHAnsi" w:hAnsiTheme="minorHAnsi" w:cstheme="minorHAnsi"/>
                <w:b/>
                <w:bCs/>
              </w:rPr>
            </w:pPr>
          </w:p>
        </w:tc>
        <w:tc>
          <w:tcPr>
            <w:tcW w:w="0" w:type="auto"/>
          </w:tcPr>
          <w:p w14:paraId="51740A3D" w14:textId="77777777" w:rsidR="00B54D51" w:rsidRPr="00037AD4" w:rsidRDefault="00B54D51" w:rsidP="00A43609">
            <w:pPr>
              <w:rPr>
                <w:rFonts w:asciiTheme="minorHAnsi" w:hAnsiTheme="minorHAnsi" w:cstheme="minorHAnsi"/>
              </w:rPr>
            </w:pPr>
            <w:r w:rsidRPr="00037AD4">
              <w:rPr>
                <w:rFonts w:asciiTheme="minorHAnsi" w:hAnsiTheme="minorHAnsi" w:cstheme="minorHAnsi"/>
              </w:rPr>
              <w:t xml:space="preserve">Reporting problems in all EQ-5D dimension (minus anxiety/depression) was significantly associated with worse scores on the Barthel index </w:t>
            </w:r>
            <w:r w:rsidRPr="00037AD4">
              <w:rPr>
                <w:rFonts w:asciiTheme="minorHAnsi" w:hAnsiTheme="minorHAnsi" w:cstheme="minorHAnsi"/>
                <w:b/>
                <w:bCs/>
              </w:rPr>
              <w:t>(p&lt;0.01)</w:t>
            </w:r>
          </w:p>
        </w:tc>
        <w:tc>
          <w:tcPr>
            <w:tcW w:w="0" w:type="auto"/>
          </w:tcPr>
          <w:p w14:paraId="6BB9B101" w14:textId="77777777" w:rsidR="00B54D51" w:rsidRPr="00037AD4" w:rsidRDefault="00B54D51" w:rsidP="00A43609">
            <w:pPr>
              <w:rPr>
                <w:rFonts w:asciiTheme="minorHAnsi" w:hAnsiTheme="minorHAnsi" w:cstheme="minorHAnsi"/>
              </w:rPr>
            </w:pPr>
            <w:r w:rsidRPr="00037AD4">
              <w:rPr>
                <w:rFonts w:ascii="Segoe UI Symbol" w:hAnsi="Segoe UI Symbol" w:cs="Segoe UI Symbol"/>
                <w:color w:val="202124"/>
                <w:shd w:val="clear" w:color="auto" w:fill="FFFFFF"/>
              </w:rPr>
              <w:t>✓</w:t>
            </w:r>
          </w:p>
        </w:tc>
        <w:tc>
          <w:tcPr>
            <w:tcW w:w="0" w:type="auto"/>
          </w:tcPr>
          <w:p w14:paraId="4DC87450" w14:textId="77777777" w:rsidR="00B54D51" w:rsidRPr="00037AD4" w:rsidRDefault="00B54D51" w:rsidP="00A43609">
            <w:pPr>
              <w:rPr>
                <w:rFonts w:asciiTheme="minorHAnsi" w:hAnsiTheme="minorHAnsi" w:cstheme="minorHAnsi"/>
              </w:rPr>
            </w:pPr>
          </w:p>
        </w:tc>
        <w:tc>
          <w:tcPr>
            <w:tcW w:w="0" w:type="auto"/>
          </w:tcPr>
          <w:p w14:paraId="1E231222" w14:textId="77777777" w:rsidR="00B54D51" w:rsidRPr="00037AD4" w:rsidRDefault="00B54D51" w:rsidP="00A43609">
            <w:pPr>
              <w:rPr>
                <w:rFonts w:asciiTheme="minorHAnsi" w:hAnsiTheme="minorHAnsi" w:cstheme="minorHAnsi"/>
              </w:rPr>
            </w:pPr>
            <w:r w:rsidRPr="00037AD4">
              <w:rPr>
                <w:rFonts w:asciiTheme="minorHAnsi" w:hAnsiTheme="minorHAnsi" w:cstheme="minorHAnsi"/>
              </w:rPr>
              <w:t>Diaz-Redondo et al (2014)</w:t>
            </w:r>
          </w:p>
        </w:tc>
      </w:tr>
      <w:tr w:rsidR="00B54D51" w:rsidRPr="00037AD4" w14:paraId="75B77184" w14:textId="77777777" w:rsidTr="00553F88">
        <w:trPr>
          <w:trHeight w:val="17"/>
        </w:trPr>
        <w:tc>
          <w:tcPr>
            <w:tcW w:w="0" w:type="auto"/>
            <w:vMerge/>
          </w:tcPr>
          <w:p w14:paraId="1125515B" w14:textId="77777777" w:rsidR="00B54D51" w:rsidRPr="00037AD4" w:rsidRDefault="00B54D51" w:rsidP="00A43609">
            <w:pPr>
              <w:rPr>
                <w:rFonts w:asciiTheme="minorHAnsi" w:hAnsiTheme="minorHAnsi" w:cstheme="minorHAnsi"/>
                <w:b/>
                <w:bCs/>
              </w:rPr>
            </w:pPr>
          </w:p>
        </w:tc>
        <w:tc>
          <w:tcPr>
            <w:tcW w:w="0" w:type="auto"/>
          </w:tcPr>
          <w:p w14:paraId="5FAEB8F8" w14:textId="77777777" w:rsidR="00B54D51" w:rsidRPr="00037AD4" w:rsidRDefault="00B54D51" w:rsidP="00A43609">
            <w:pPr>
              <w:rPr>
                <w:rFonts w:asciiTheme="minorHAnsi" w:hAnsiTheme="minorHAnsi" w:cstheme="minorHAnsi"/>
              </w:rPr>
            </w:pPr>
            <w:r w:rsidRPr="00037AD4">
              <w:rPr>
                <w:rFonts w:asciiTheme="minorHAnsi" w:hAnsiTheme="minorHAnsi" w:cstheme="minorHAnsi"/>
              </w:rPr>
              <w:t xml:space="preserve">Negative association between Barthel index score and self-reported mobility </w:t>
            </w:r>
            <w:r w:rsidRPr="00037AD4">
              <w:rPr>
                <w:rFonts w:asciiTheme="minorHAnsi" w:hAnsiTheme="minorHAnsi" w:cstheme="minorHAnsi"/>
                <w:b/>
                <w:bCs/>
              </w:rPr>
              <w:t>(-0.499),</w:t>
            </w:r>
            <w:r w:rsidRPr="00037AD4">
              <w:rPr>
                <w:rFonts w:asciiTheme="minorHAnsi" w:hAnsiTheme="minorHAnsi" w:cstheme="minorHAnsi"/>
              </w:rPr>
              <w:t xml:space="preserve"> self-care </w:t>
            </w:r>
            <w:r w:rsidRPr="00037AD4">
              <w:rPr>
                <w:rFonts w:asciiTheme="minorHAnsi" w:hAnsiTheme="minorHAnsi" w:cstheme="minorHAnsi"/>
                <w:b/>
                <w:bCs/>
              </w:rPr>
              <w:t>(-.0609)</w:t>
            </w:r>
            <w:r w:rsidRPr="00037AD4">
              <w:rPr>
                <w:rFonts w:asciiTheme="minorHAnsi" w:hAnsiTheme="minorHAnsi" w:cstheme="minorHAnsi"/>
              </w:rPr>
              <w:t xml:space="preserve"> and usual activities </w:t>
            </w:r>
            <w:r w:rsidRPr="00037AD4">
              <w:rPr>
                <w:rFonts w:asciiTheme="minorHAnsi" w:hAnsiTheme="minorHAnsi" w:cstheme="minorHAnsi"/>
                <w:b/>
                <w:bCs/>
              </w:rPr>
              <w:t>(-0.374) = p&lt;0.01</w:t>
            </w:r>
          </w:p>
        </w:tc>
        <w:tc>
          <w:tcPr>
            <w:tcW w:w="0" w:type="auto"/>
          </w:tcPr>
          <w:p w14:paraId="4CFAE2AD" w14:textId="77777777" w:rsidR="00B54D51" w:rsidRPr="00037AD4" w:rsidRDefault="00B54D51" w:rsidP="00A43609">
            <w:pPr>
              <w:rPr>
                <w:rFonts w:asciiTheme="minorHAnsi" w:hAnsiTheme="minorHAnsi" w:cstheme="minorHAnsi"/>
              </w:rPr>
            </w:pPr>
            <w:r w:rsidRPr="00037AD4">
              <w:rPr>
                <w:rFonts w:asciiTheme="minorHAnsi" w:hAnsiTheme="minorHAnsi" w:cstheme="minorHAnsi"/>
              </w:rPr>
              <w:t xml:space="preserve"> </w:t>
            </w:r>
          </w:p>
        </w:tc>
        <w:tc>
          <w:tcPr>
            <w:tcW w:w="0" w:type="auto"/>
          </w:tcPr>
          <w:p w14:paraId="4FD6E5DB" w14:textId="77777777" w:rsidR="00B54D51" w:rsidRPr="00037AD4" w:rsidRDefault="00B54D51" w:rsidP="00A43609">
            <w:pPr>
              <w:rPr>
                <w:rFonts w:asciiTheme="minorHAnsi" w:hAnsiTheme="minorHAnsi" w:cstheme="minorHAnsi"/>
              </w:rPr>
            </w:pPr>
            <w:r w:rsidRPr="00037AD4">
              <w:rPr>
                <w:rFonts w:ascii="Segoe UI Symbol" w:hAnsi="Segoe UI Symbol" w:cs="Segoe UI Symbol"/>
                <w:color w:val="202124"/>
                <w:shd w:val="clear" w:color="auto" w:fill="FFFFFF"/>
              </w:rPr>
              <w:t>✓</w:t>
            </w:r>
          </w:p>
        </w:tc>
        <w:tc>
          <w:tcPr>
            <w:tcW w:w="0" w:type="auto"/>
          </w:tcPr>
          <w:p w14:paraId="023CE8B1" w14:textId="77777777" w:rsidR="00B54D51" w:rsidRPr="00037AD4" w:rsidRDefault="00B54D51" w:rsidP="00A43609">
            <w:pPr>
              <w:rPr>
                <w:rFonts w:asciiTheme="minorHAnsi" w:hAnsiTheme="minorHAnsi" w:cstheme="minorHAnsi"/>
              </w:rPr>
            </w:pPr>
            <w:r w:rsidRPr="00037AD4">
              <w:rPr>
                <w:rFonts w:asciiTheme="minorHAnsi" w:hAnsiTheme="minorHAnsi" w:cstheme="minorHAnsi"/>
              </w:rPr>
              <w:t>Easton et al (2018)</w:t>
            </w:r>
          </w:p>
        </w:tc>
      </w:tr>
      <w:tr w:rsidR="00B54D51" w:rsidRPr="00037AD4" w14:paraId="3F6BB44E" w14:textId="77777777" w:rsidTr="00553F88">
        <w:trPr>
          <w:trHeight w:val="17"/>
        </w:trPr>
        <w:tc>
          <w:tcPr>
            <w:tcW w:w="0" w:type="auto"/>
            <w:vMerge/>
          </w:tcPr>
          <w:p w14:paraId="198ABD09" w14:textId="77777777" w:rsidR="00B54D51" w:rsidRPr="00037AD4" w:rsidRDefault="00B54D51" w:rsidP="00A43609">
            <w:pPr>
              <w:rPr>
                <w:rFonts w:asciiTheme="minorHAnsi" w:hAnsiTheme="minorHAnsi" w:cstheme="minorHAnsi"/>
                <w:b/>
                <w:bCs/>
              </w:rPr>
            </w:pPr>
          </w:p>
        </w:tc>
        <w:tc>
          <w:tcPr>
            <w:tcW w:w="0" w:type="auto"/>
          </w:tcPr>
          <w:p w14:paraId="7A82B1D9" w14:textId="77777777" w:rsidR="00B54D51" w:rsidRPr="00037AD4" w:rsidRDefault="00B54D51" w:rsidP="00A43609">
            <w:pPr>
              <w:rPr>
                <w:rFonts w:asciiTheme="minorHAnsi" w:hAnsiTheme="minorHAnsi" w:cstheme="minorHAnsi"/>
              </w:rPr>
            </w:pPr>
            <w:r w:rsidRPr="00037AD4">
              <w:rPr>
                <w:rFonts w:asciiTheme="minorHAnsi" w:hAnsiTheme="minorHAnsi" w:cstheme="minorHAnsi"/>
              </w:rPr>
              <w:t xml:space="preserve">Negative association between Barthel index score and proxy reported mobility </w:t>
            </w:r>
            <w:r w:rsidRPr="00037AD4">
              <w:rPr>
                <w:rFonts w:asciiTheme="minorHAnsi" w:hAnsiTheme="minorHAnsi" w:cstheme="minorHAnsi"/>
                <w:b/>
                <w:bCs/>
              </w:rPr>
              <w:t>(-0.555</w:t>
            </w:r>
            <w:r w:rsidRPr="00037AD4">
              <w:rPr>
                <w:rFonts w:asciiTheme="minorHAnsi" w:hAnsiTheme="minorHAnsi" w:cstheme="minorHAnsi"/>
              </w:rPr>
              <w:t>), self-care (-</w:t>
            </w:r>
            <w:r w:rsidRPr="00037AD4">
              <w:rPr>
                <w:rFonts w:asciiTheme="minorHAnsi" w:hAnsiTheme="minorHAnsi" w:cstheme="minorHAnsi"/>
                <w:b/>
                <w:bCs/>
              </w:rPr>
              <w:t>0.627),</w:t>
            </w:r>
            <w:r w:rsidRPr="00037AD4">
              <w:rPr>
                <w:rFonts w:asciiTheme="minorHAnsi" w:hAnsiTheme="minorHAnsi" w:cstheme="minorHAnsi"/>
              </w:rPr>
              <w:t xml:space="preserve"> usual activities </w:t>
            </w:r>
            <w:r w:rsidRPr="00037AD4">
              <w:rPr>
                <w:rFonts w:asciiTheme="minorHAnsi" w:hAnsiTheme="minorHAnsi" w:cstheme="minorHAnsi"/>
                <w:b/>
                <w:bCs/>
              </w:rPr>
              <w:t>(-0.577) = p&lt;0.01</w:t>
            </w:r>
          </w:p>
        </w:tc>
        <w:tc>
          <w:tcPr>
            <w:tcW w:w="0" w:type="auto"/>
          </w:tcPr>
          <w:p w14:paraId="02EDB8CA" w14:textId="77777777" w:rsidR="00B54D51" w:rsidRPr="00037AD4" w:rsidRDefault="00B54D51" w:rsidP="00A43609">
            <w:pPr>
              <w:rPr>
                <w:rFonts w:asciiTheme="minorHAnsi" w:hAnsiTheme="minorHAnsi" w:cstheme="minorHAnsi"/>
              </w:rPr>
            </w:pPr>
            <w:r w:rsidRPr="00037AD4">
              <w:rPr>
                <w:rFonts w:ascii="Segoe UI Symbol" w:hAnsi="Segoe UI Symbol" w:cs="Segoe UI Symbol"/>
                <w:color w:val="202124"/>
                <w:shd w:val="clear" w:color="auto" w:fill="FFFFFF"/>
              </w:rPr>
              <w:t>✓</w:t>
            </w:r>
          </w:p>
        </w:tc>
        <w:tc>
          <w:tcPr>
            <w:tcW w:w="0" w:type="auto"/>
          </w:tcPr>
          <w:p w14:paraId="74D6C0AC" w14:textId="77777777" w:rsidR="00B54D51" w:rsidRPr="00037AD4" w:rsidRDefault="00B54D51" w:rsidP="00A43609">
            <w:pPr>
              <w:rPr>
                <w:rFonts w:asciiTheme="minorHAnsi" w:hAnsiTheme="minorHAnsi" w:cstheme="minorHAnsi"/>
              </w:rPr>
            </w:pPr>
          </w:p>
        </w:tc>
        <w:tc>
          <w:tcPr>
            <w:tcW w:w="0" w:type="auto"/>
          </w:tcPr>
          <w:p w14:paraId="6DAA7587" w14:textId="77777777" w:rsidR="00B54D51" w:rsidRPr="00037AD4" w:rsidRDefault="00B54D51" w:rsidP="00A43609">
            <w:pPr>
              <w:rPr>
                <w:rFonts w:asciiTheme="minorHAnsi" w:hAnsiTheme="minorHAnsi" w:cstheme="minorHAnsi"/>
              </w:rPr>
            </w:pPr>
            <w:r w:rsidRPr="00037AD4">
              <w:rPr>
                <w:rFonts w:asciiTheme="minorHAnsi" w:hAnsiTheme="minorHAnsi" w:cstheme="minorHAnsi"/>
              </w:rPr>
              <w:t>Easton et al (2018)</w:t>
            </w:r>
          </w:p>
        </w:tc>
      </w:tr>
      <w:tr w:rsidR="00B54D51" w:rsidRPr="00037AD4" w14:paraId="38DB0CAD" w14:textId="77777777" w:rsidTr="00553F88">
        <w:trPr>
          <w:trHeight w:val="31"/>
        </w:trPr>
        <w:tc>
          <w:tcPr>
            <w:tcW w:w="0" w:type="auto"/>
            <w:vMerge w:val="restart"/>
          </w:tcPr>
          <w:p w14:paraId="21F0DC58" w14:textId="77777777" w:rsidR="00B54D51" w:rsidRPr="00037AD4" w:rsidRDefault="00B54D51" w:rsidP="00A43609">
            <w:pPr>
              <w:rPr>
                <w:rFonts w:asciiTheme="minorHAnsi" w:hAnsiTheme="minorHAnsi" w:cstheme="minorHAnsi"/>
                <w:b/>
                <w:bCs/>
              </w:rPr>
            </w:pPr>
            <w:r w:rsidRPr="00037AD4">
              <w:rPr>
                <w:rFonts w:asciiTheme="minorHAnsi" w:hAnsiTheme="minorHAnsi" w:cstheme="minorHAnsi"/>
                <w:b/>
                <w:bCs/>
              </w:rPr>
              <w:lastRenderedPageBreak/>
              <w:t>Behaviour/mood</w:t>
            </w:r>
          </w:p>
        </w:tc>
        <w:tc>
          <w:tcPr>
            <w:tcW w:w="0" w:type="auto"/>
          </w:tcPr>
          <w:p w14:paraId="3041E4CD" w14:textId="77777777" w:rsidR="00B54D51" w:rsidRPr="00037AD4" w:rsidRDefault="00B54D51" w:rsidP="00A43609">
            <w:pPr>
              <w:rPr>
                <w:rFonts w:asciiTheme="minorHAnsi" w:hAnsiTheme="minorHAnsi" w:cstheme="minorHAnsi"/>
              </w:rPr>
            </w:pPr>
            <w:r w:rsidRPr="00037AD4">
              <w:rPr>
                <w:rFonts w:asciiTheme="minorHAnsi" w:hAnsiTheme="minorHAnsi" w:cstheme="minorHAnsi"/>
              </w:rPr>
              <w:t xml:space="preserve">NPI summary score and EQ-5D anxiety/depression show positive association. Observed associations seen between clinician proxy rating </w:t>
            </w:r>
            <w:r w:rsidRPr="00037AD4">
              <w:rPr>
                <w:rFonts w:asciiTheme="minorHAnsi" w:hAnsiTheme="minorHAnsi" w:cstheme="minorHAnsi"/>
                <w:b/>
                <w:bCs/>
              </w:rPr>
              <w:t>= 0.46, p&lt;0.01.</w:t>
            </w:r>
            <w:r w:rsidRPr="00037AD4">
              <w:rPr>
                <w:rFonts w:asciiTheme="minorHAnsi" w:hAnsiTheme="minorHAnsi" w:cstheme="minorHAnsi"/>
              </w:rPr>
              <w:t xml:space="preserve"> No association for other proxy types</w:t>
            </w:r>
          </w:p>
        </w:tc>
        <w:tc>
          <w:tcPr>
            <w:tcW w:w="0" w:type="auto"/>
          </w:tcPr>
          <w:p w14:paraId="6AF3553A" w14:textId="77777777" w:rsidR="00B54D51" w:rsidRPr="00037AD4" w:rsidRDefault="00B54D51" w:rsidP="00A43609">
            <w:pPr>
              <w:rPr>
                <w:rFonts w:asciiTheme="minorHAnsi" w:hAnsiTheme="minorHAnsi" w:cstheme="minorHAnsi"/>
              </w:rPr>
            </w:pPr>
            <w:r w:rsidRPr="00037AD4">
              <w:rPr>
                <w:rFonts w:ascii="Segoe UI Symbol" w:hAnsi="Segoe UI Symbol" w:cs="Segoe UI Symbol"/>
                <w:color w:val="202124"/>
                <w:shd w:val="clear" w:color="auto" w:fill="FFFFFF"/>
              </w:rPr>
              <w:t>✓</w:t>
            </w:r>
          </w:p>
        </w:tc>
        <w:tc>
          <w:tcPr>
            <w:tcW w:w="0" w:type="auto"/>
          </w:tcPr>
          <w:p w14:paraId="14197A39" w14:textId="77777777" w:rsidR="00B54D51" w:rsidRPr="00037AD4" w:rsidRDefault="00B54D51" w:rsidP="00A43609">
            <w:pPr>
              <w:rPr>
                <w:rFonts w:asciiTheme="minorHAnsi" w:hAnsiTheme="minorHAnsi" w:cstheme="minorHAnsi"/>
              </w:rPr>
            </w:pPr>
          </w:p>
        </w:tc>
        <w:tc>
          <w:tcPr>
            <w:tcW w:w="0" w:type="auto"/>
          </w:tcPr>
          <w:p w14:paraId="3072A2C4" w14:textId="77777777" w:rsidR="00B54D51" w:rsidRPr="00037AD4" w:rsidRDefault="00B54D51" w:rsidP="00A43609">
            <w:pPr>
              <w:rPr>
                <w:rFonts w:asciiTheme="minorHAnsi" w:hAnsiTheme="minorHAnsi" w:cstheme="minorHAnsi"/>
              </w:rPr>
            </w:pPr>
            <w:r w:rsidRPr="00037AD4">
              <w:rPr>
                <w:rFonts w:asciiTheme="minorHAnsi" w:hAnsiTheme="minorHAnsi" w:cstheme="minorHAnsi"/>
              </w:rPr>
              <w:t>Bryan et al (2005)</w:t>
            </w:r>
          </w:p>
        </w:tc>
      </w:tr>
      <w:tr w:rsidR="00B54D51" w:rsidRPr="00037AD4" w14:paraId="03840745" w14:textId="77777777" w:rsidTr="00553F88">
        <w:trPr>
          <w:trHeight w:val="29"/>
        </w:trPr>
        <w:tc>
          <w:tcPr>
            <w:tcW w:w="0" w:type="auto"/>
            <w:vMerge/>
          </w:tcPr>
          <w:p w14:paraId="468209A9" w14:textId="77777777" w:rsidR="00B54D51" w:rsidRPr="00037AD4" w:rsidRDefault="00B54D51" w:rsidP="00A43609">
            <w:pPr>
              <w:rPr>
                <w:rFonts w:asciiTheme="minorHAnsi" w:hAnsiTheme="minorHAnsi" w:cstheme="minorHAnsi"/>
              </w:rPr>
            </w:pPr>
          </w:p>
        </w:tc>
        <w:tc>
          <w:tcPr>
            <w:tcW w:w="0" w:type="auto"/>
          </w:tcPr>
          <w:p w14:paraId="05B976CF" w14:textId="77777777" w:rsidR="00B54D51" w:rsidRPr="00037AD4" w:rsidRDefault="00B54D51" w:rsidP="00A43609">
            <w:pPr>
              <w:rPr>
                <w:rFonts w:asciiTheme="minorHAnsi" w:hAnsiTheme="minorHAnsi" w:cstheme="minorHAnsi"/>
              </w:rPr>
            </w:pPr>
            <w:r w:rsidRPr="00037AD4">
              <w:rPr>
                <w:rFonts w:asciiTheme="minorHAnsi" w:hAnsiTheme="minorHAnsi" w:cstheme="minorHAnsi"/>
              </w:rPr>
              <w:t xml:space="preserve">Reporting problems in EQ-5D anxiety/depression dimension was significantly associated with Cornell scale score </w:t>
            </w:r>
            <w:r w:rsidRPr="00037AD4">
              <w:rPr>
                <w:rFonts w:asciiTheme="minorHAnsi" w:hAnsiTheme="minorHAnsi" w:cstheme="minorHAnsi"/>
                <w:b/>
                <w:bCs/>
              </w:rPr>
              <w:t>(p&lt;0.01)</w:t>
            </w:r>
          </w:p>
        </w:tc>
        <w:tc>
          <w:tcPr>
            <w:tcW w:w="0" w:type="auto"/>
          </w:tcPr>
          <w:p w14:paraId="370F9195" w14:textId="77777777" w:rsidR="00B54D51" w:rsidRPr="00037AD4" w:rsidRDefault="00B54D51" w:rsidP="00A43609">
            <w:pPr>
              <w:rPr>
                <w:rFonts w:asciiTheme="minorHAnsi" w:hAnsiTheme="minorHAnsi" w:cstheme="minorHAnsi"/>
              </w:rPr>
            </w:pPr>
            <w:r w:rsidRPr="00037AD4">
              <w:rPr>
                <w:rFonts w:ascii="Segoe UI Symbol" w:hAnsi="Segoe UI Symbol" w:cs="Segoe UI Symbol"/>
                <w:color w:val="202124"/>
                <w:shd w:val="clear" w:color="auto" w:fill="FFFFFF"/>
              </w:rPr>
              <w:t>✓</w:t>
            </w:r>
          </w:p>
        </w:tc>
        <w:tc>
          <w:tcPr>
            <w:tcW w:w="0" w:type="auto"/>
          </w:tcPr>
          <w:p w14:paraId="6B50C550" w14:textId="77777777" w:rsidR="00B54D51" w:rsidRPr="00037AD4" w:rsidRDefault="00B54D51" w:rsidP="00A43609">
            <w:pPr>
              <w:rPr>
                <w:rFonts w:asciiTheme="minorHAnsi" w:hAnsiTheme="minorHAnsi" w:cstheme="minorHAnsi"/>
              </w:rPr>
            </w:pPr>
          </w:p>
        </w:tc>
        <w:tc>
          <w:tcPr>
            <w:tcW w:w="0" w:type="auto"/>
          </w:tcPr>
          <w:p w14:paraId="14AE7325" w14:textId="77777777" w:rsidR="00B54D51" w:rsidRPr="00037AD4" w:rsidRDefault="00B54D51" w:rsidP="00A43609">
            <w:pPr>
              <w:rPr>
                <w:rFonts w:asciiTheme="minorHAnsi" w:hAnsiTheme="minorHAnsi" w:cstheme="minorHAnsi"/>
              </w:rPr>
            </w:pPr>
            <w:r w:rsidRPr="00037AD4">
              <w:rPr>
                <w:rFonts w:asciiTheme="minorHAnsi" w:hAnsiTheme="minorHAnsi" w:cstheme="minorHAnsi"/>
              </w:rPr>
              <w:t>Diaz-Redondo et al (2014)</w:t>
            </w:r>
          </w:p>
        </w:tc>
      </w:tr>
      <w:tr w:rsidR="00B54D51" w:rsidRPr="00037AD4" w14:paraId="4A5F5F2D" w14:textId="77777777" w:rsidTr="00553F88">
        <w:trPr>
          <w:trHeight w:val="29"/>
        </w:trPr>
        <w:tc>
          <w:tcPr>
            <w:tcW w:w="0" w:type="auto"/>
            <w:vMerge/>
          </w:tcPr>
          <w:p w14:paraId="7B1797B6" w14:textId="77777777" w:rsidR="00B54D51" w:rsidRPr="00037AD4" w:rsidRDefault="00B54D51" w:rsidP="00A43609">
            <w:pPr>
              <w:rPr>
                <w:rFonts w:asciiTheme="minorHAnsi" w:hAnsiTheme="minorHAnsi" w:cstheme="minorHAnsi"/>
              </w:rPr>
            </w:pPr>
          </w:p>
        </w:tc>
        <w:tc>
          <w:tcPr>
            <w:tcW w:w="0" w:type="auto"/>
          </w:tcPr>
          <w:p w14:paraId="5324236B" w14:textId="77777777" w:rsidR="00B54D51" w:rsidRPr="00037AD4" w:rsidRDefault="00B54D51" w:rsidP="00A43609">
            <w:pPr>
              <w:rPr>
                <w:rFonts w:asciiTheme="minorHAnsi" w:hAnsiTheme="minorHAnsi" w:cstheme="minorHAnsi"/>
              </w:rPr>
            </w:pPr>
            <w:r w:rsidRPr="00037AD4">
              <w:rPr>
                <w:rFonts w:asciiTheme="minorHAnsi" w:hAnsiTheme="minorHAnsi" w:cstheme="minorHAnsi"/>
              </w:rPr>
              <w:t xml:space="preserve">NPI negatively association with mobility </w:t>
            </w:r>
            <w:r w:rsidRPr="00037AD4">
              <w:rPr>
                <w:rFonts w:asciiTheme="minorHAnsi" w:hAnsiTheme="minorHAnsi" w:cstheme="minorHAnsi"/>
                <w:b/>
                <w:bCs/>
              </w:rPr>
              <w:t>(-0.177)</w:t>
            </w:r>
            <w:r w:rsidRPr="00037AD4">
              <w:rPr>
                <w:rFonts w:asciiTheme="minorHAnsi" w:hAnsiTheme="minorHAnsi" w:cstheme="minorHAnsi"/>
              </w:rPr>
              <w:t xml:space="preserve"> and anxiety/depression </w:t>
            </w:r>
            <w:r w:rsidRPr="00037AD4">
              <w:rPr>
                <w:rFonts w:asciiTheme="minorHAnsi" w:hAnsiTheme="minorHAnsi" w:cstheme="minorHAnsi"/>
                <w:b/>
                <w:bCs/>
              </w:rPr>
              <w:t>(0.160) = p&lt;0.01</w:t>
            </w:r>
          </w:p>
        </w:tc>
        <w:tc>
          <w:tcPr>
            <w:tcW w:w="0" w:type="auto"/>
          </w:tcPr>
          <w:p w14:paraId="2C6F94EB" w14:textId="77777777" w:rsidR="00B54D51" w:rsidRPr="00037AD4" w:rsidRDefault="00B54D51" w:rsidP="00A43609">
            <w:pPr>
              <w:rPr>
                <w:rFonts w:asciiTheme="minorHAnsi" w:hAnsiTheme="minorHAnsi" w:cstheme="minorHAnsi"/>
              </w:rPr>
            </w:pPr>
            <w:r w:rsidRPr="00037AD4">
              <w:rPr>
                <w:rFonts w:ascii="Segoe UI Symbol" w:hAnsi="Segoe UI Symbol" w:cs="Segoe UI Symbol"/>
                <w:color w:val="202124"/>
                <w:shd w:val="clear" w:color="auto" w:fill="FFFFFF"/>
              </w:rPr>
              <w:t>✓</w:t>
            </w:r>
          </w:p>
        </w:tc>
        <w:tc>
          <w:tcPr>
            <w:tcW w:w="0" w:type="auto"/>
          </w:tcPr>
          <w:p w14:paraId="4FB0B511" w14:textId="77777777" w:rsidR="00B54D51" w:rsidRPr="00037AD4" w:rsidRDefault="00B54D51" w:rsidP="00A43609">
            <w:pPr>
              <w:rPr>
                <w:rFonts w:asciiTheme="minorHAnsi" w:hAnsiTheme="minorHAnsi" w:cstheme="minorHAnsi"/>
              </w:rPr>
            </w:pPr>
          </w:p>
        </w:tc>
        <w:tc>
          <w:tcPr>
            <w:tcW w:w="0" w:type="auto"/>
          </w:tcPr>
          <w:p w14:paraId="491F21C5" w14:textId="77777777" w:rsidR="00B54D51" w:rsidRPr="00037AD4" w:rsidRDefault="00B54D51" w:rsidP="00A43609">
            <w:pPr>
              <w:rPr>
                <w:rFonts w:asciiTheme="minorHAnsi" w:hAnsiTheme="minorHAnsi" w:cstheme="minorHAnsi"/>
              </w:rPr>
            </w:pPr>
            <w:r w:rsidRPr="00037AD4">
              <w:rPr>
                <w:rFonts w:asciiTheme="minorHAnsi" w:hAnsiTheme="minorHAnsi" w:cstheme="minorHAnsi"/>
              </w:rPr>
              <w:t>Easton et al (2018)</w:t>
            </w:r>
          </w:p>
        </w:tc>
      </w:tr>
      <w:tr w:rsidR="00B54D51" w:rsidRPr="00037AD4" w14:paraId="163F541F" w14:textId="77777777" w:rsidTr="00553F88">
        <w:trPr>
          <w:trHeight w:val="29"/>
        </w:trPr>
        <w:tc>
          <w:tcPr>
            <w:tcW w:w="0" w:type="auto"/>
            <w:vMerge/>
          </w:tcPr>
          <w:p w14:paraId="47D32EAB" w14:textId="77777777" w:rsidR="00B54D51" w:rsidRPr="00037AD4" w:rsidRDefault="00B54D51" w:rsidP="00A43609">
            <w:pPr>
              <w:rPr>
                <w:rFonts w:asciiTheme="minorHAnsi" w:hAnsiTheme="minorHAnsi" w:cstheme="minorHAnsi"/>
              </w:rPr>
            </w:pPr>
          </w:p>
        </w:tc>
        <w:tc>
          <w:tcPr>
            <w:tcW w:w="0" w:type="auto"/>
          </w:tcPr>
          <w:p w14:paraId="0BB2307D" w14:textId="77777777" w:rsidR="00B54D51" w:rsidRPr="00037AD4" w:rsidRDefault="00B54D51" w:rsidP="00A43609">
            <w:pPr>
              <w:rPr>
                <w:rFonts w:asciiTheme="minorHAnsi" w:hAnsiTheme="minorHAnsi" w:cstheme="minorHAnsi"/>
              </w:rPr>
            </w:pPr>
            <w:r w:rsidRPr="00037AD4">
              <w:rPr>
                <w:rFonts w:asciiTheme="minorHAnsi" w:hAnsiTheme="minorHAnsi" w:cstheme="minorHAnsi"/>
              </w:rPr>
              <w:t xml:space="preserve">GDS demonstrated moderate convergent validity via strength of correlation coefficients with the following EQ-5D dimensions: mobility (3L), </w:t>
            </w:r>
            <w:r w:rsidRPr="00037AD4">
              <w:rPr>
                <w:rFonts w:asciiTheme="minorHAnsi" w:hAnsiTheme="minorHAnsi" w:cstheme="minorHAnsi"/>
                <w:b/>
                <w:bCs/>
              </w:rPr>
              <w:t>0.310</w:t>
            </w:r>
            <w:r w:rsidRPr="00037AD4">
              <w:rPr>
                <w:rFonts w:asciiTheme="minorHAnsi" w:hAnsiTheme="minorHAnsi" w:cstheme="minorHAnsi"/>
              </w:rPr>
              <w:t xml:space="preserve">; self-care (3L), </w:t>
            </w:r>
            <w:r w:rsidRPr="00037AD4">
              <w:rPr>
                <w:rFonts w:asciiTheme="minorHAnsi" w:hAnsiTheme="minorHAnsi" w:cstheme="minorHAnsi"/>
                <w:b/>
                <w:bCs/>
              </w:rPr>
              <w:t>0.446</w:t>
            </w:r>
            <w:r w:rsidRPr="00037AD4">
              <w:rPr>
                <w:rFonts w:asciiTheme="minorHAnsi" w:hAnsiTheme="minorHAnsi" w:cstheme="minorHAnsi"/>
              </w:rPr>
              <w:t xml:space="preserve">; usual activities (3L), </w:t>
            </w:r>
            <w:r w:rsidRPr="00037AD4">
              <w:rPr>
                <w:rFonts w:asciiTheme="minorHAnsi" w:hAnsiTheme="minorHAnsi" w:cstheme="minorHAnsi"/>
                <w:b/>
                <w:bCs/>
              </w:rPr>
              <w:t>0.414;</w:t>
            </w:r>
            <w:r w:rsidRPr="00037AD4">
              <w:rPr>
                <w:rFonts w:asciiTheme="minorHAnsi" w:hAnsiTheme="minorHAnsi" w:cstheme="minorHAnsi"/>
              </w:rPr>
              <w:t xml:space="preserve"> anxiety/depression (5L), </w:t>
            </w:r>
            <w:r w:rsidRPr="00037AD4">
              <w:rPr>
                <w:rFonts w:asciiTheme="minorHAnsi" w:hAnsiTheme="minorHAnsi" w:cstheme="minorHAnsi"/>
                <w:b/>
                <w:bCs/>
              </w:rPr>
              <w:t>0.317;</w:t>
            </w:r>
            <w:r w:rsidRPr="00037AD4">
              <w:rPr>
                <w:rFonts w:asciiTheme="minorHAnsi" w:hAnsiTheme="minorHAnsi" w:cstheme="minorHAnsi"/>
              </w:rPr>
              <w:t xml:space="preserve"> poor correlation with pain/discomfort – </w:t>
            </w:r>
            <w:r w:rsidRPr="00037AD4">
              <w:rPr>
                <w:rFonts w:asciiTheme="minorHAnsi" w:hAnsiTheme="minorHAnsi" w:cstheme="minorHAnsi"/>
                <w:b/>
                <w:bCs/>
              </w:rPr>
              <w:t xml:space="preserve">p values not reported </w:t>
            </w:r>
          </w:p>
        </w:tc>
        <w:tc>
          <w:tcPr>
            <w:tcW w:w="0" w:type="auto"/>
          </w:tcPr>
          <w:p w14:paraId="4DFAE122" w14:textId="77777777" w:rsidR="00B54D51" w:rsidRPr="00037AD4" w:rsidRDefault="00B54D51" w:rsidP="00A43609">
            <w:pPr>
              <w:rPr>
                <w:rFonts w:asciiTheme="minorHAnsi" w:hAnsiTheme="minorHAnsi" w:cstheme="minorHAnsi"/>
                <w:color w:val="202124"/>
                <w:shd w:val="clear" w:color="auto" w:fill="FFFFFF"/>
              </w:rPr>
            </w:pPr>
          </w:p>
        </w:tc>
        <w:tc>
          <w:tcPr>
            <w:tcW w:w="0" w:type="auto"/>
          </w:tcPr>
          <w:p w14:paraId="2C9BB842" w14:textId="77777777" w:rsidR="00B54D51" w:rsidRPr="00037AD4" w:rsidRDefault="00B54D51" w:rsidP="00A43609">
            <w:pPr>
              <w:rPr>
                <w:rFonts w:asciiTheme="minorHAnsi" w:hAnsiTheme="minorHAnsi" w:cstheme="minorHAnsi"/>
              </w:rPr>
            </w:pPr>
            <w:r w:rsidRPr="00037AD4">
              <w:rPr>
                <w:rFonts w:ascii="Segoe UI Symbol" w:hAnsi="Segoe UI Symbol" w:cs="Segoe UI Symbol"/>
                <w:color w:val="202124"/>
                <w:shd w:val="clear" w:color="auto" w:fill="FFFFFF"/>
              </w:rPr>
              <w:t>✓</w:t>
            </w:r>
          </w:p>
        </w:tc>
        <w:tc>
          <w:tcPr>
            <w:tcW w:w="0" w:type="auto"/>
          </w:tcPr>
          <w:p w14:paraId="6CF88CD2" w14:textId="77777777" w:rsidR="00B54D51" w:rsidRPr="00037AD4" w:rsidRDefault="00B54D51" w:rsidP="00A43609">
            <w:pPr>
              <w:rPr>
                <w:rFonts w:asciiTheme="minorHAnsi" w:hAnsiTheme="minorHAnsi" w:cstheme="minorHAnsi"/>
              </w:rPr>
            </w:pPr>
            <w:r w:rsidRPr="00037AD4">
              <w:rPr>
                <w:rFonts w:asciiTheme="minorHAnsi" w:hAnsiTheme="minorHAnsi" w:cstheme="minorHAnsi"/>
              </w:rPr>
              <w:t>Michalowsky et al (2021)</w:t>
            </w:r>
          </w:p>
        </w:tc>
      </w:tr>
    </w:tbl>
    <w:p w14:paraId="168AD83F" w14:textId="77777777" w:rsidR="00B54D51" w:rsidRPr="00037AD4" w:rsidRDefault="00B54D51" w:rsidP="00FD3058">
      <w:pPr>
        <w:pStyle w:val="NormalWeb"/>
        <w:rPr>
          <w:rFonts w:asciiTheme="minorHAnsi" w:hAnsiTheme="minorHAnsi" w:cstheme="minorHAnsi"/>
          <w:b/>
          <w:bCs/>
          <w:i/>
          <w:iCs/>
        </w:rPr>
      </w:pPr>
      <w:bookmarkStart w:id="312" w:name="Table11"/>
    </w:p>
    <w:p w14:paraId="67969817" w14:textId="77777777" w:rsidR="00B54D51" w:rsidRPr="00037AD4" w:rsidRDefault="00B54D51" w:rsidP="00FD3058">
      <w:pPr>
        <w:pStyle w:val="NormalWeb"/>
        <w:rPr>
          <w:rFonts w:asciiTheme="minorHAnsi" w:hAnsiTheme="minorHAnsi" w:cstheme="minorHAnsi"/>
          <w:b/>
          <w:bCs/>
          <w:i/>
          <w:iCs/>
        </w:rPr>
      </w:pPr>
    </w:p>
    <w:p w14:paraId="175594D5" w14:textId="77777777" w:rsidR="00B54D51" w:rsidRPr="00037AD4" w:rsidRDefault="00B54D51" w:rsidP="00FD3058">
      <w:pPr>
        <w:pStyle w:val="NormalWeb"/>
        <w:rPr>
          <w:rFonts w:asciiTheme="minorHAnsi" w:hAnsiTheme="minorHAnsi" w:cstheme="minorHAnsi"/>
          <w:b/>
          <w:bCs/>
          <w:i/>
          <w:iCs/>
        </w:rPr>
      </w:pPr>
    </w:p>
    <w:p w14:paraId="493B6720" w14:textId="77777777" w:rsidR="00B54D51" w:rsidRPr="00037AD4" w:rsidRDefault="00B54D51" w:rsidP="00FD3058">
      <w:pPr>
        <w:pStyle w:val="NormalWeb"/>
        <w:rPr>
          <w:rFonts w:asciiTheme="minorHAnsi" w:hAnsiTheme="minorHAnsi" w:cstheme="minorHAnsi"/>
          <w:b/>
          <w:bCs/>
          <w:i/>
          <w:iCs/>
        </w:rPr>
      </w:pPr>
    </w:p>
    <w:p w14:paraId="06F015DD" w14:textId="77777777" w:rsidR="00B54D51" w:rsidRPr="00037AD4" w:rsidRDefault="00B54D51" w:rsidP="00FD3058">
      <w:pPr>
        <w:pStyle w:val="NormalWeb"/>
        <w:rPr>
          <w:rFonts w:asciiTheme="minorHAnsi" w:hAnsiTheme="minorHAnsi" w:cstheme="minorHAnsi"/>
          <w:b/>
          <w:bCs/>
          <w:i/>
          <w:iCs/>
        </w:rPr>
      </w:pPr>
    </w:p>
    <w:p w14:paraId="43836D97" w14:textId="77777777" w:rsidR="00B54D51" w:rsidRPr="00037AD4" w:rsidRDefault="00B54D51" w:rsidP="00FD3058">
      <w:pPr>
        <w:pStyle w:val="NormalWeb"/>
        <w:rPr>
          <w:rFonts w:asciiTheme="minorHAnsi" w:hAnsiTheme="minorHAnsi" w:cstheme="minorHAnsi"/>
          <w:b/>
          <w:bCs/>
          <w:i/>
          <w:iCs/>
        </w:rPr>
      </w:pPr>
    </w:p>
    <w:p w14:paraId="24101D70" w14:textId="77777777" w:rsidR="00B54D51" w:rsidRPr="00037AD4" w:rsidRDefault="00B54D51" w:rsidP="00FD3058">
      <w:pPr>
        <w:pStyle w:val="NormalWeb"/>
        <w:rPr>
          <w:rFonts w:asciiTheme="minorHAnsi" w:hAnsiTheme="minorHAnsi" w:cstheme="minorHAnsi"/>
          <w:b/>
          <w:bCs/>
          <w:i/>
          <w:iCs/>
        </w:rPr>
      </w:pPr>
    </w:p>
    <w:p w14:paraId="19461487" w14:textId="77777777" w:rsidR="00B54D51" w:rsidRPr="00037AD4" w:rsidRDefault="00B54D51" w:rsidP="00FD3058">
      <w:pPr>
        <w:pStyle w:val="NormalWeb"/>
        <w:rPr>
          <w:rFonts w:asciiTheme="minorHAnsi" w:hAnsiTheme="minorHAnsi" w:cstheme="minorHAnsi"/>
          <w:b/>
          <w:bCs/>
          <w:i/>
          <w:iCs/>
        </w:rPr>
      </w:pPr>
    </w:p>
    <w:p w14:paraId="308E336B" w14:textId="77777777" w:rsidR="00B54D51" w:rsidRPr="00037AD4" w:rsidRDefault="00B54D51" w:rsidP="00FD3058">
      <w:pPr>
        <w:pStyle w:val="NormalWeb"/>
        <w:rPr>
          <w:rFonts w:asciiTheme="minorHAnsi" w:hAnsiTheme="minorHAnsi" w:cstheme="minorHAnsi"/>
          <w:b/>
          <w:bCs/>
          <w:i/>
          <w:iCs/>
        </w:rPr>
      </w:pPr>
    </w:p>
    <w:p w14:paraId="5A57686F" w14:textId="77777777" w:rsidR="00B54D51" w:rsidRPr="00037AD4" w:rsidRDefault="00B54D51" w:rsidP="00FD3058">
      <w:pPr>
        <w:pStyle w:val="NormalWeb"/>
        <w:rPr>
          <w:rFonts w:asciiTheme="minorHAnsi" w:hAnsiTheme="minorHAnsi" w:cstheme="minorHAnsi"/>
          <w:b/>
          <w:bCs/>
          <w:i/>
          <w:iCs/>
        </w:rPr>
      </w:pPr>
      <w:r w:rsidRPr="00037AD4">
        <w:rPr>
          <w:rFonts w:asciiTheme="minorHAnsi" w:hAnsiTheme="minorHAnsi" w:cstheme="minorHAnsi"/>
          <w:b/>
          <w:bCs/>
          <w:i/>
          <w:iCs/>
        </w:rPr>
        <w:lastRenderedPageBreak/>
        <w:t xml:space="preserve">Table 11, Evidence of inter-rater agreement </w:t>
      </w:r>
    </w:p>
    <w:bookmarkEnd w:id="312"/>
    <w:tbl>
      <w:tblPr>
        <w:tblStyle w:val="TableGrid"/>
        <w:tblW w:w="14467" w:type="dxa"/>
        <w:jc w:val="center"/>
        <w:tblLook w:val="04A0" w:firstRow="1" w:lastRow="0" w:firstColumn="1" w:lastColumn="0" w:noHBand="0" w:noVBand="1"/>
      </w:tblPr>
      <w:tblGrid>
        <w:gridCol w:w="2428"/>
        <w:gridCol w:w="10220"/>
        <w:gridCol w:w="1819"/>
      </w:tblGrid>
      <w:tr w:rsidR="00B54D51" w:rsidRPr="00037AD4" w14:paraId="556928B5" w14:textId="77777777" w:rsidTr="00BF13FD">
        <w:trPr>
          <w:trHeight w:val="233"/>
          <w:jc w:val="center"/>
        </w:trPr>
        <w:tc>
          <w:tcPr>
            <w:tcW w:w="2428" w:type="dxa"/>
            <w:tcBorders>
              <w:top w:val="nil"/>
              <w:left w:val="single" w:sz="4" w:space="0" w:color="FFFFFF"/>
              <w:right w:val="single" w:sz="4" w:space="0" w:color="auto"/>
            </w:tcBorders>
            <w:shd w:val="clear" w:color="auto" w:fill="auto"/>
          </w:tcPr>
          <w:p w14:paraId="664E5EFC" w14:textId="77777777" w:rsidR="00B54D51" w:rsidRPr="00037AD4" w:rsidRDefault="00B54D51" w:rsidP="00BF13FD">
            <w:pPr>
              <w:pStyle w:val="NormalWeb"/>
              <w:rPr>
                <w:rFonts w:asciiTheme="minorHAnsi" w:hAnsiTheme="minorHAnsi" w:cstheme="minorHAnsi"/>
              </w:rPr>
            </w:pPr>
          </w:p>
        </w:tc>
        <w:tc>
          <w:tcPr>
            <w:tcW w:w="12039" w:type="dxa"/>
            <w:gridSpan w:val="2"/>
            <w:tcBorders>
              <w:top w:val="single" w:sz="4" w:space="0" w:color="auto"/>
              <w:left w:val="single" w:sz="4" w:space="0" w:color="auto"/>
            </w:tcBorders>
          </w:tcPr>
          <w:p w14:paraId="679EE2A1" w14:textId="77777777" w:rsidR="00B54D51" w:rsidRPr="00037AD4" w:rsidRDefault="00B54D51" w:rsidP="00BF13FD">
            <w:pPr>
              <w:pStyle w:val="NormalWeb"/>
              <w:rPr>
                <w:rFonts w:asciiTheme="minorHAnsi" w:hAnsiTheme="minorHAnsi" w:cstheme="minorHAnsi"/>
                <w:b/>
                <w:bCs/>
              </w:rPr>
            </w:pPr>
            <w:r w:rsidRPr="00037AD4">
              <w:rPr>
                <w:rFonts w:asciiTheme="minorHAnsi" w:hAnsiTheme="minorHAnsi" w:cstheme="minorHAnsi"/>
                <w:b/>
                <w:bCs/>
              </w:rPr>
              <w:t>Inter-rater agreement (PwD and proxy)</w:t>
            </w:r>
          </w:p>
        </w:tc>
      </w:tr>
      <w:tr w:rsidR="00B54D51" w:rsidRPr="00037AD4" w14:paraId="41B087A5" w14:textId="77777777" w:rsidTr="00BF13FD">
        <w:trPr>
          <w:trHeight w:val="249"/>
          <w:jc w:val="center"/>
        </w:trPr>
        <w:tc>
          <w:tcPr>
            <w:tcW w:w="2428" w:type="dxa"/>
            <w:shd w:val="clear" w:color="auto" w:fill="auto"/>
          </w:tcPr>
          <w:p w14:paraId="3E4B8903" w14:textId="77777777" w:rsidR="00B54D51" w:rsidRPr="00037AD4" w:rsidRDefault="00B54D51" w:rsidP="00BF13FD">
            <w:pPr>
              <w:pStyle w:val="NormalWeb"/>
              <w:rPr>
                <w:rFonts w:asciiTheme="minorHAnsi" w:hAnsiTheme="minorHAnsi" w:cstheme="minorHAnsi"/>
                <w:b/>
                <w:bCs/>
              </w:rPr>
            </w:pPr>
            <w:r w:rsidRPr="00037AD4">
              <w:rPr>
                <w:rFonts w:asciiTheme="minorHAnsi" w:hAnsiTheme="minorHAnsi" w:cstheme="minorHAnsi"/>
                <w:b/>
                <w:bCs/>
              </w:rPr>
              <w:t>EQ-5D dimension</w:t>
            </w:r>
          </w:p>
        </w:tc>
        <w:tc>
          <w:tcPr>
            <w:tcW w:w="10220" w:type="dxa"/>
          </w:tcPr>
          <w:p w14:paraId="72D40916" w14:textId="77777777" w:rsidR="00B54D51" w:rsidRPr="00037AD4" w:rsidRDefault="00B54D51" w:rsidP="00BF13FD">
            <w:pPr>
              <w:pStyle w:val="NormalWeb"/>
              <w:rPr>
                <w:rFonts w:asciiTheme="minorHAnsi" w:hAnsiTheme="minorHAnsi" w:cstheme="minorHAnsi"/>
              </w:rPr>
            </w:pPr>
            <w:r w:rsidRPr="00037AD4">
              <w:rPr>
                <w:rFonts w:asciiTheme="minorHAnsi" w:hAnsiTheme="minorHAnsi" w:cstheme="minorHAnsi"/>
              </w:rPr>
              <w:t>Evidence</w:t>
            </w:r>
          </w:p>
        </w:tc>
        <w:tc>
          <w:tcPr>
            <w:tcW w:w="1819" w:type="dxa"/>
          </w:tcPr>
          <w:p w14:paraId="4B6D7865" w14:textId="77777777" w:rsidR="00B54D51" w:rsidRPr="00037AD4" w:rsidRDefault="00B54D51" w:rsidP="00BF13FD">
            <w:pPr>
              <w:pStyle w:val="NormalWeb"/>
              <w:rPr>
                <w:rFonts w:asciiTheme="minorHAnsi" w:hAnsiTheme="minorHAnsi" w:cstheme="minorHAnsi"/>
              </w:rPr>
            </w:pPr>
            <w:r w:rsidRPr="00037AD4">
              <w:rPr>
                <w:rFonts w:asciiTheme="minorHAnsi" w:hAnsiTheme="minorHAnsi" w:cstheme="minorHAnsi"/>
              </w:rPr>
              <w:t>Source</w:t>
            </w:r>
          </w:p>
        </w:tc>
      </w:tr>
      <w:tr w:rsidR="00B54D51" w:rsidRPr="00037AD4" w14:paraId="6E2F9642" w14:textId="77777777" w:rsidTr="00BF13FD">
        <w:trPr>
          <w:trHeight w:val="84"/>
          <w:jc w:val="center"/>
        </w:trPr>
        <w:tc>
          <w:tcPr>
            <w:tcW w:w="2428" w:type="dxa"/>
            <w:vMerge w:val="restart"/>
          </w:tcPr>
          <w:p w14:paraId="2C508D53" w14:textId="77777777" w:rsidR="00B54D51" w:rsidRPr="00037AD4" w:rsidRDefault="00B54D51" w:rsidP="00BF13FD">
            <w:pPr>
              <w:pStyle w:val="NormalWeb"/>
              <w:rPr>
                <w:rFonts w:asciiTheme="minorHAnsi" w:hAnsiTheme="minorHAnsi" w:cstheme="minorHAnsi"/>
                <w:b/>
                <w:bCs/>
              </w:rPr>
            </w:pPr>
            <w:r w:rsidRPr="00037AD4">
              <w:rPr>
                <w:rFonts w:asciiTheme="minorHAnsi" w:hAnsiTheme="minorHAnsi" w:cstheme="minorHAnsi"/>
                <w:b/>
                <w:bCs/>
              </w:rPr>
              <w:t>Mobility</w:t>
            </w:r>
          </w:p>
        </w:tc>
        <w:tc>
          <w:tcPr>
            <w:tcW w:w="10220" w:type="dxa"/>
          </w:tcPr>
          <w:p w14:paraId="294A6E76" w14:textId="77777777" w:rsidR="00B54D51" w:rsidRPr="00037AD4" w:rsidRDefault="00B54D51" w:rsidP="00BF13FD">
            <w:pPr>
              <w:pStyle w:val="NormalWeb"/>
              <w:rPr>
                <w:rFonts w:asciiTheme="minorHAnsi" w:hAnsiTheme="minorHAnsi" w:cstheme="minorHAnsi"/>
              </w:rPr>
            </w:pPr>
            <w:r w:rsidRPr="00037AD4">
              <w:rPr>
                <w:rFonts w:asciiTheme="minorHAnsi" w:hAnsiTheme="minorHAnsi" w:cstheme="minorHAnsi"/>
              </w:rPr>
              <w:t>Mobility was the only dimension to produce an acceptable level of agreement (kappa = 0.53 formal, 0.44 informal proxy)</w:t>
            </w:r>
          </w:p>
        </w:tc>
        <w:tc>
          <w:tcPr>
            <w:tcW w:w="1819" w:type="dxa"/>
          </w:tcPr>
          <w:p w14:paraId="277C7F62" w14:textId="77777777" w:rsidR="00B54D51" w:rsidRPr="00037AD4" w:rsidRDefault="00B54D51" w:rsidP="00BF13FD">
            <w:pPr>
              <w:pStyle w:val="NormalWeb"/>
              <w:rPr>
                <w:rFonts w:asciiTheme="minorHAnsi" w:hAnsiTheme="minorHAnsi" w:cstheme="minorHAnsi"/>
              </w:rPr>
            </w:pPr>
            <w:r w:rsidRPr="00037AD4">
              <w:rPr>
                <w:rFonts w:asciiTheme="minorHAnsi" w:hAnsiTheme="minorHAnsi" w:cstheme="minorHAnsi"/>
              </w:rPr>
              <w:t xml:space="preserve">Ankri et al (2003) </w:t>
            </w:r>
          </w:p>
        </w:tc>
      </w:tr>
      <w:tr w:rsidR="00B54D51" w:rsidRPr="00037AD4" w14:paraId="54D55C82" w14:textId="77777777" w:rsidTr="00BF13FD">
        <w:trPr>
          <w:trHeight w:val="84"/>
          <w:jc w:val="center"/>
        </w:trPr>
        <w:tc>
          <w:tcPr>
            <w:tcW w:w="2428" w:type="dxa"/>
            <w:vMerge/>
          </w:tcPr>
          <w:p w14:paraId="32A46301" w14:textId="77777777" w:rsidR="00B54D51" w:rsidRPr="00037AD4" w:rsidRDefault="00B54D51" w:rsidP="00BF13FD">
            <w:pPr>
              <w:pStyle w:val="NormalWeb"/>
              <w:rPr>
                <w:rFonts w:asciiTheme="minorHAnsi" w:hAnsiTheme="minorHAnsi" w:cstheme="minorHAnsi"/>
                <w:b/>
                <w:bCs/>
              </w:rPr>
            </w:pPr>
          </w:p>
        </w:tc>
        <w:tc>
          <w:tcPr>
            <w:tcW w:w="10220" w:type="dxa"/>
          </w:tcPr>
          <w:p w14:paraId="6776EF1C" w14:textId="77777777" w:rsidR="00B54D51" w:rsidRPr="00037AD4" w:rsidRDefault="00B54D51" w:rsidP="00BF13FD">
            <w:pPr>
              <w:pStyle w:val="NormalWeb"/>
              <w:rPr>
                <w:rFonts w:asciiTheme="minorHAnsi" w:hAnsiTheme="minorHAnsi" w:cstheme="minorHAnsi"/>
              </w:rPr>
            </w:pPr>
            <w:r w:rsidRPr="00037AD4">
              <w:rPr>
                <w:rFonts w:asciiTheme="minorHAnsi" w:hAnsiTheme="minorHAnsi" w:cstheme="minorHAnsi"/>
              </w:rPr>
              <w:t>Mobility dimension produced the best agreement on the dimensions (kappa coefficient indicate moderate agreement)</w:t>
            </w:r>
          </w:p>
        </w:tc>
        <w:tc>
          <w:tcPr>
            <w:tcW w:w="1819" w:type="dxa"/>
          </w:tcPr>
          <w:p w14:paraId="58BFE587" w14:textId="77777777" w:rsidR="00B54D51" w:rsidRPr="00037AD4" w:rsidRDefault="00B54D51" w:rsidP="00BF13FD">
            <w:pPr>
              <w:pStyle w:val="NormalWeb"/>
              <w:rPr>
                <w:rFonts w:asciiTheme="minorHAnsi" w:hAnsiTheme="minorHAnsi" w:cstheme="minorHAnsi"/>
              </w:rPr>
            </w:pPr>
            <w:r w:rsidRPr="00037AD4">
              <w:rPr>
                <w:rFonts w:asciiTheme="minorHAnsi" w:hAnsiTheme="minorHAnsi" w:cstheme="minorHAnsi"/>
              </w:rPr>
              <w:t>Orgeta et al (2015)</w:t>
            </w:r>
          </w:p>
        </w:tc>
      </w:tr>
      <w:tr w:rsidR="00B54D51" w:rsidRPr="00037AD4" w14:paraId="608E5BA4" w14:textId="77777777" w:rsidTr="00BF13FD">
        <w:trPr>
          <w:trHeight w:val="84"/>
          <w:jc w:val="center"/>
        </w:trPr>
        <w:tc>
          <w:tcPr>
            <w:tcW w:w="2428" w:type="dxa"/>
            <w:vMerge/>
          </w:tcPr>
          <w:p w14:paraId="184AD9B8" w14:textId="77777777" w:rsidR="00B54D51" w:rsidRPr="00037AD4" w:rsidRDefault="00B54D51" w:rsidP="00BF13FD">
            <w:pPr>
              <w:pStyle w:val="NormalWeb"/>
              <w:rPr>
                <w:rFonts w:asciiTheme="minorHAnsi" w:hAnsiTheme="minorHAnsi" w:cstheme="minorHAnsi"/>
                <w:b/>
                <w:bCs/>
              </w:rPr>
            </w:pPr>
          </w:p>
        </w:tc>
        <w:tc>
          <w:tcPr>
            <w:tcW w:w="10220" w:type="dxa"/>
          </w:tcPr>
          <w:p w14:paraId="0A8F304E" w14:textId="77777777" w:rsidR="00B54D51" w:rsidRPr="00037AD4" w:rsidRDefault="00B54D51" w:rsidP="00BF13FD">
            <w:pPr>
              <w:pStyle w:val="NormalWeb"/>
              <w:rPr>
                <w:rFonts w:asciiTheme="minorHAnsi" w:hAnsiTheme="minorHAnsi" w:cstheme="minorHAnsi"/>
              </w:rPr>
            </w:pPr>
            <w:r w:rsidRPr="00037AD4">
              <w:rPr>
                <w:rFonts w:asciiTheme="minorHAnsi" w:hAnsiTheme="minorHAnsi" w:cstheme="minorHAnsi"/>
              </w:rPr>
              <w:t>Proxies rated more problems in the mobility dimension (than PwD had self-rated)</w:t>
            </w:r>
          </w:p>
        </w:tc>
        <w:tc>
          <w:tcPr>
            <w:tcW w:w="1819" w:type="dxa"/>
          </w:tcPr>
          <w:p w14:paraId="323CC640" w14:textId="77777777" w:rsidR="00B54D51" w:rsidRPr="00037AD4" w:rsidRDefault="00B54D51" w:rsidP="00BF13FD">
            <w:pPr>
              <w:pStyle w:val="NormalWeb"/>
              <w:rPr>
                <w:rFonts w:asciiTheme="minorHAnsi" w:hAnsiTheme="minorHAnsi" w:cstheme="minorHAnsi"/>
              </w:rPr>
            </w:pPr>
            <w:r w:rsidRPr="00037AD4">
              <w:rPr>
                <w:rFonts w:asciiTheme="minorHAnsi" w:hAnsiTheme="minorHAnsi" w:cstheme="minorHAnsi"/>
              </w:rPr>
              <w:t>Vogel et al (2006)</w:t>
            </w:r>
          </w:p>
        </w:tc>
      </w:tr>
      <w:tr w:rsidR="00B54D51" w:rsidRPr="00037AD4" w14:paraId="224B7E81" w14:textId="77777777" w:rsidTr="00BF13FD">
        <w:trPr>
          <w:trHeight w:val="126"/>
          <w:jc w:val="center"/>
        </w:trPr>
        <w:tc>
          <w:tcPr>
            <w:tcW w:w="2428" w:type="dxa"/>
            <w:vMerge w:val="restart"/>
          </w:tcPr>
          <w:p w14:paraId="505E8CFA" w14:textId="77777777" w:rsidR="00B54D51" w:rsidRPr="00037AD4" w:rsidRDefault="00B54D51" w:rsidP="00BF13FD">
            <w:pPr>
              <w:pStyle w:val="NormalWeb"/>
              <w:rPr>
                <w:rFonts w:asciiTheme="minorHAnsi" w:hAnsiTheme="minorHAnsi" w:cstheme="minorHAnsi"/>
                <w:b/>
                <w:bCs/>
              </w:rPr>
            </w:pPr>
            <w:r w:rsidRPr="00037AD4">
              <w:rPr>
                <w:rFonts w:asciiTheme="minorHAnsi" w:hAnsiTheme="minorHAnsi" w:cstheme="minorHAnsi"/>
                <w:b/>
                <w:bCs/>
              </w:rPr>
              <w:t>Self-care</w:t>
            </w:r>
          </w:p>
        </w:tc>
        <w:tc>
          <w:tcPr>
            <w:tcW w:w="10220" w:type="dxa"/>
          </w:tcPr>
          <w:p w14:paraId="565329F6" w14:textId="77777777" w:rsidR="00B54D51" w:rsidRPr="00037AD4" w:rsidRDefault="00B54D51" w:rsidP="00BF13FD">
            <w:pPr>
              <w:pStyle w:val="NormalWeb"/>
              <w:rPr>
                <w:rFonts w:asciiTheme="minorHAnsi" w:hAnsiTheme="minorHAnsi" w:cstheme="minorHAnsi"/>
              </w:rPr>
            </w:pPr>
            <w:r w:rsidRPr="00037AD4">
              <w:rPr>
                <w:rFonts w:asciiTheme="minorHAnsi" w:hAnsiTheme="minorHAnsi" w:cstheme="minorHAnsi"/>
              </w:rPr>
              <w:t>PwD self-rated self-care significantly more optimistically than proxies (1.0 +/- 0.2 vs 1.1 +/- 0.4, P = 0.031</w:t>
            </w:r>
          </w:p>
        </w:tc>
        <w:tc>
          <w:tcPr>
            <w:tcW w:w="1819" w:type="dxa"/>
          </w:tcPr>
          <w:p w14:paraId="4F7DA5B9" w14:textId="77777777" w:rsidR="00B54D51" w:rsidRPr="00037AD4" w:rsidRDefault="00B54D51" w:rsidP="00BF13FD">
            <w:pPr>
              <w:pStyle w:val="NormalWeb"/>
              <w:rPr>
                <w:rFonts w:asciiTheme="minorHAnsi" w:hAnsiTheme="minorHAnsi" w:cstheme="minorHAnsi"/>
              </w:rPr>
            </w:pPr>
            <w:r w:rsidRPr="00037AD4">
              <w:rPr>
                <w:rFonts w:asciiTheme="minorHAnsi" w:hAnsiTheme="minorHAnsi" w:cstheme="minorHAnsi"/>
              </w:rPr>
              <w:t>Bonfiglio et al (2019)</w:t>
            </w:r>
          </w:p>
        </w:tc>
      </w:tr>
      <w:tr w:rsidR="00B54D51" w:rsidRPr="00037AD4" w14:paraId="3F1DAF30" w14:textId="77777777" w:rsidTr="00BF13FD">
        <w:trPr>
          <w:trHeight w:val="126"/>
          <w:jc w:val="center"/>
        </w:trPr>
        <w:tc>
          <w:tcPr>
            <w:tcW w:w="2428" w:type="dxa"/>
            <w:vMerge/>
          </w:tcPr>
          <w:p w14:paraId="4540DB9A" w14:textId="77777777" w:rsidR="00B54D51" w:rsidRPr="00037AD4" w:rsidRDefault="00B54D51" w:rsidP="00BF13FD">
            <w:pPr>
              <w:pStyle w:val="NormalWeb"/>
              <w:rPr>
                <w:rFonts w:asciiTheme="minorHAnsi" w:hAnsiTheme="minorHAnsi" w:cstheme="minorHAnsi"/>
                <w:b/>
                <w:bCs/>
              </w:rPr>
            </w:pPr>
          </w:p>
        </w:tc>
        <w:tc>
          <w:tcPr>
            <w:tcW w:w="10220" w:type="dxa"/>
          </w:tcPr>
          <w:p w14:paraId="64357A62" w14:textId="77777777" w:rsidR="00B54D51" w:rsidRPr="00037AD4" w:rsidRDefault="00B54D51" w:rsidP="00BF13FD">
            <w:pPr>
              <w:pStyle w:val="NormalWeb"/>
              <w:rPr>
                <w:rFonts w:asciiTheme="minorHAnsi" w:hAnsiTheme="minorHAnsi" w:cstheme="minorHAnsi"/>
              </w:rPr>
            </w:pPr>
            <w:r w:rsidRPr="00037AD4">
              <w:rPr>
                <w:rFonts w:asciiTheme="minorHAnsi" w:hAnsiTheme="minorHAnsi" w:cstheme="minorHAnsi"/>
              </w:rPr>
              <w:t>Self-care was the only EQ-5D dimension to show a significant correlation between self and proxy report (r=0.51, p&lt;0.01)</w:t>
            </w:r>
          </w:p>
        </w:tc>
        <w:tc>
          <w:tcPr>
            <w:tcW w:w="1819" w:type="dxa"/>
          </w:tcPr>
          <w:p w14:paraId="72A500D4" w14:textId="77777777" w:rsidR="00B54D51" w:rsidRPr="00037AD4" w:rsidRDefault="00B54D51" w:rsidP="00BF13FD">
            <w:pPr>
              <w:pStyle w:val="NormalWeb"/>
              <w:rPr>
                <w:rFonts w:asciiTheme="minorHAnsi" w:hAnsiTheme="minorHAnsi" w:cstheme="minorHAnsi"/>
              </w:rPr>
            </w:pPr>
            <w:r w:rsidRPr="00037AD4">
              <w:rPr>
                <w:rFonts w:asciiTheme="minorHAnsi" w:hAnsiTheme="minorHAnsi" w:cstheme="minorHAnsi"/>
              </w:rPr>
              <w:t>Vogel et al (2006)</w:t>
            </w:r>
          </w:p>
        </w:tc>
      </w:tr>
      <w:tr w:rsidR="00B54D51" w:rsidRPr="00037AD4" w14:paraId="0B90D337" w14:textId="77777777" w:rsidTr="00BF13FD">
        <w:trPr>
          <w:trHeight w:val="63"/>
          <w:jc w:val="center"/>
        </w:trPr>
        <w:tc>
          <w:tcPr>
            <w:tcW w:w="2428" w:type="dxa"/>
            <w:vMerge w:val="restart"/>
          </w:tcPr>
          <w:p w14:paraId="70D6AD1C" w14:textId="77777777" w:rsidR="00B54D51" w:rsidRPr="00037AD4" w:rsidRDefault="00B54D51" w:rsidP="00BF13FD">
            <w:pPr>
              <w:pStyle w:val="NormalWeb"/>
              <w:rPr>
                <w:rFonts w:asciiTheme="minorHAnsi" w:hAnsiTheme="minorHAnsi" w:cstheme="minorHAnsi"/>
                <w:b/>
                <w:bCs/>
              </w:rPr>
            </w:pPr>
            <w:r w:rsidRPr="00037AD4">
              <w:rPr>
                <w:rFonts w:asciiTheme="minorHAnsi" w:hAnsiTheme="minorHAnsi" w:cstheme="minorHAnsi"/>
                <w:b/>
                <w:bCs/>
              </w:rPr>
              <w:t>Usual activities</w:t>
            </w:r>
          </w:p>
        </w:tc>
        <w:tc>
          <w:tcPr>
            <w:tcW w:w="10220" w:type="dxa"/>
          </w:tcPr>
          <w:p w14:paraId="76BC01DB" w14:textId="77777777" w:rsidR="00B54D51" w:rsidRPr="00037AD4" w:rsidRDefault="00B54D51" w:rsidP="00BF13FD">
            <w:pPr>
              <w:pStyle w:val="NormalWeb"/>
              <w:rPr>
                <w:rFonts w:asciiTheme="minorHAnsi" w:hAnsiTheme="minorHAnsi" w:cstheme="minorHAnsi"/>
              </w:rPr>
            </w:pPr>
            <w:r w:rsidRPr="00037AD4">
              <w:rPr>
                <w:rFonts w:asciiTheme="minorHAnsi" w:hAnsiTheme="minorHAnsi" w:cstheme="minorHAnsi"/>
              </w:rPr>
              <w:t>Agreement (across proxy type) was lowest with PwD for usual activities dimension</w:t>
            </w:r>
          </w:p>
        </w:tc>
        <w:tc>
          <w:tcPr>
            <w:tcW w:w="1819" w:type="dxa"/>
          </w:tcPr>
          <w:p w14:paraId="25A023F9" w14:textId="77777777" w:rsidR="00B54D51" w:rsidRPr="00037AD4" w:rsidRDefault="00B54D51" w:rsidP="00BF13FD">
            <w:pPr>
              <w:pStyle w:val="NormalWeb"/>
              <w:rPr>
                <w:rFonts w:asciiTheme="minorHAnsi" w:hAnsiTheme="minorHAnsi" w:cstheme="minorHAnsi"/>
              </w:rPr>
            </w:pPr>
            <w:r w:rsidRPr="00037AD4">
              <w:rPr>
                <w:rFonts w:asciiTheme="minorHAnsi" w:hAnsiTheme="minorHAnsi" w:cstheme="minorHAnsi"/>
              </w:rPr>
              <w:t>Orgeta et al (2015)</w:t>
            </w:r>
          </w:p>
        </w:tc>
      </w:tr>
      <w:tr w:rsidR="00B54D51" w:rsidRPr="00037AD4" w14:paraId="6DA3A85F" w14:textId="77777777" w:rsidTr="00BF13FD">
        <w:trPr>
          <w:trHeight w:val="63"/>
          <w:jc w:val="center"/>
        </w:trPr>
        <w:tc>
          <w:tcPr>
            <w:tcW w:w="2428" w:type="dxa"/>
            <w:vMerge/>
          </w:tcPr>
          <w:p w14:paraId="4E038A98" w14:textId="77777777" w:rsidR="00B54D51" w:rsidRPr="00037AD4" w:rsidRDefault="00B54D51" w:rsidP="00BF13FD">
            <w:pPr>
              <w:pStyle w:val="NormalWeb"/>
              <w:rPr>
                <w:rFonts w:asciiTheme="minorHAnsi" w:hAnsiTheme="minorHAnsi" w:cstheme="minorHAnsi"/>
                <w:b/>
                <w:bCs/>
              </w:rPr>
            </w:pPr>
          </w:p>
        </w:tc>
        <w:tc>
          <w:tcPr>
            <w:tcW w:w="10220" w:type="dxa"/>
          </w:tcPr>
          <w:p w14:paraId="78E8CA19" w14:textId="77777777" w:rsidR="00B54D51" w:rsidRPr="00037AD4" w:rsidRDefault="00B54D51" w:rsidP="00BF13FD">
            <w:pPr>
              <w:pStyle w:val="NormalWeb"/>
              <w:rPr>
                <w:rFonts w:asciiTheme="minorHAnsi" w:hAnsiTheme="minorHAnsi" w:cstheme="minorHAnsi"/>
              </w:rPr>
            </w:pPr>
            <w:r w:rsidRPr="00037AD4">
              <w:rPr>
                <w:rFonts w:asciiTheme="minorHAnsi" w:hAnsiTheme="minorHAnsi" w:cstheme="minorHAnsi"/>
              </w:rPr>
              <w:t>The difference between the kappa-coefficients in the subgroups of mild vs moderate PwD was statistically significant (p&gt;0.05)</w:t>
            </w:r>
          </w:p>
        </w:tc>
        <w:tc>
          <w:tcPr>
            <w:tcW w:w="1819" w:type="dxa"/>
          </w:tcPr>
          <w:p w14:paraId="159E1BF8" w14:textId="77777777" w:rsidR="00B54D51" w:rsidRPr="00037AD4" w:rsidRDefault="00B54D51" w:rsidP="00BF13FD">
            <w:pPr>
              <w:pStyle w:val="NormalWeb"/>
              <w:rPr>
                <w:rFonts w:asciiTheme="minorHAnsi" w:hAnsiTheme="minorHAnsi" w:cstheme="minorHAnsi"/>
              </w:rPr>
            </w:pPr>
            <w:r w:rsidRPr="00037AD4">
              <w:rPr>
                <w:rFonts w:asciiTheme="minorHAnsi" w:hAnsiTheme="minorHAnsi" w:cstheme="minorHAnsi"/>
              </w:rPr>
              <w:t>Kunz et al (2010)</w:t>
            </w:r>
          </w:p>
        </w:tc>
      </w:tr>
      <w:tr w:rsidR="00B54D51" w:rsidRPr="00037AD4" w14:paraId="7200A702" w14:textId="77777777" w:rsidTr="00BF13FD">
        <w:trPr>
          <w:trHeight w:val="63"/>
          <w:jc w:val="center"/>
        </w:trPr>
        <w:tc>
          <w:tcPr>
            <w:tcW w:w="2428" w:type="dxa"/>
            <w:vMerge/>
          </w:tcPr>
          <w:p w14:paraId="3A7F35F4" w14:textId="77777777" w:rsidR="00B54D51" w:rsidRPr="00037AD4" w:rsidRDefault="00B54D51" w:rsidP="00BF13FD">
            <w:pPr>
              <w:pStyle w:val="NormalWeb"/>
              <w:rPr>
                <w:rFonts w:asciiTheme="minorHAnsi" w:hAnsiTheme="minorHAnsi" w:cstheme="minorHAnsi"/>
                <w:b/>
                <w:bCs/>
              </w:rPr>
            </w:pPr>
          </w:p>
        </w:tc>
        <w:tc>
          <w:tcPr>
            <w:tcW w:w="10220" w:type="dxa"/>
          </w:tcPr>
          <w:p w14:paraId="3D45ABC8" w14:textId="77777777" w:rsidR="00B54D51" w:rsidRPr="00037AD4" w:rsidRDefault="00B54D51" w:rsidP="00BF13FD">
            <w:pPr>
              <w:pStyle w:val="NormalWeb"/>
              <w:rPr>
                <w:rFonts w:asciiTheme="minorHAnsi" w:hAnsiTheme="minorHAnsi" w:cstheme="minorHAnsi"/>
              </w:rPr>
            </w:pPr>
            <w:r w:rsidRPr="00037AD4">
              <w:rPr>
                <w:rFonts w:asciiTheme="minorHAnsi" w:hAnsiTheme="minorHAnsi" w:cstheme="minorHAnsi"/>
              </w:rPr>
              <w:t>PwD self-rated usual activities significantly more optimistically than proxies (1.1 +/- 0.4 vs 1.6 +/- 0.8, P = 0.000)</w:t>
            </w:r>
          </w:p>
        </w:tc>
        <w:tc>
          <w:tcPr>
            <w:tcW w:w="1819" w:type="dxa"/>
          </w:tcPr>
          <w:p w14:paraId="34DBDED7" w14:textId="77777777" w:rsidR="00B54D51" w:rsidRPr="00037AD4" w:rsidRDefault="00B54D51" w:rsidP="00BF13FD">
            <w:pPr>
              <w:pStyle w:val="NormalWeb"/>
              <w:rPr>
                <w:rFonts w:asciiTheme="minorHAnsi" w:hAnsiTheme="minorHAnsi" w:cstheme="minorHAnsi"/>
              </w:rPr>
            </w:pPr>
            <w:r w:rsidRPr="00037AD4">
              <w:rPr>
                <w:rFonts w:asciiTheme="minorHAnsi" w:hAnsiTheme="minorHAnsi" w:cstheme="minorHAnsi"/>
              </w:rPr>
              <w:t>Bonfiglio et al (2019)</w:t>
            </w:r>
          </w:p>
        </w:tc>
      </w:tr>
      <w:tr w:rsidR="00B54D51" w:rsidRPr="00037AD4" w14:paraId="4A2EB806" w14:textId="77777777" w:rsidTr="00BF13FD">
        <w:trPr>
          <w:trHeight w:val="63"/>
          <w:jc w:val="center"/>
        </w:trPr>
        <w:tc>
          <w:tcPr>
            <w:tcW w:w="2428" w:type="dxa"/>
            <w:vMerge/>
          </w:tcPr>
          <w:p w14:paraId="1E13EDD1" w14:textId="77777777" w:rsidR="00B54D51" w:rsidRPr="00037AD4" w:rsidRDefault="00B54D51" w:rsidP="00BF13FD">
            <w:pPr>
              <w:pStyle w:val="NormalWeb"/>
              <w:rPr>
                <w:rFonts w:asciiTheme="minorHAnsi" w:hAnsiTheme="minorHAnsi" w:cstheme="minorHAnsi"/>
                <w:b/>
                <w:bCs/>
              </w:rPr>
            </w:pPr>
          </w:p>
        </w:tc>
        <w:tc>
          <w:tcPr>
            <w:tcW w:w="10220" w:type="dxa"/>
          </w:tcPr>
          <w:p w14:paraId="7D972897" w14:textId="77777777" w:rsidR="00B54D51" w:rsidRPr="00037AD4" w:rsidRDefault="00B54D51" w:rsidP="00BF13FD">
            <w:pPr>
              <w:pStyle w:val="NormalWeb"/>
              <w:rPr>
                <w:rFonts w:asciiTheme="minorHAnsi" w:hAnsiTheme="minorHAnsi" w:cstheme="minorHAnsi"/>
              </w:rPr>
            </w:pPr>
            <w:r w:rsidRPr="00037AD4">
              <w:rPr>
                <w:rFonts w:asciiTheme="minorHAnsi" w:hAnsiTheme="minorHAnsi" w:cstheme="minorHAnsi"/>
              </w:rPr>
              <w:t>Proxies rated more problems in the usual activities dimension (than PwD had self-rated)</w:t>
            </w:r>
          </w:p>
        </w:tc>
        <w:tc>
          <w:tcPr>
            <w:tcW w:w="1819" w:type="dxa"/>
          </w:tcPr>
          <w:p w14:paraId="2AFD1581" w14:textId="77777777" w:rsidR="00B54D51" w:rsidRPr="00037AD4" w:rsidRDefault="00B54D51" w:rsidP="00BF13FD">
            <w:pPr>
              <w:pStyle w:val="NormalWeb"/>
              <w:rPr>
                <w:rFonts w:asciiTheme="minorHAnsi" w:hAnsiTheme="minorHAnsi" w:cstheme="minorHAnsi"/>
              </w:rPr>
            </w:pPr>
            <w:r w:rsidRPr="00037AD4">
              <w:rPr>
                <w:rFonts w:asciiTheme="minorHAnsi" w:hAnsiTheme="minorHAnsi" w:cstheme="minorHAnsi"/>
              </w:rPr>
              <w:t>Vogel et al (2006)</w:t>
            </w:r>
          </w:p>
        </w:tc>
      </w:tr>
      <w:tr w:rsidR="00B54D51" w:rsidRPr="00037AD4" w14:paraId="081653ED" w14:textId="77777777" w:rsidTr="00BF13FD">
        <w:trPr>
          <w:trHeight w:val="63"/>
          <w:jc w:val="center"/>
        </w:trPr>
        <w:tc>
          <w:tcPr>
            <w:tcW w:w="2428" w:type="dxa"/>
            <w:vMerge/>
          </w:tcPr>
          <w:p w14:paraId="7D56A6ED" w14:textId="77777777" w:rsidR="00B54D51" w:rsidRPr="00037AD4" w:rsidRDefault="00B54D51" w:rsidP="00BF13FD">
            <w:pPr>
              <w:pStyle w:val="NormalWeb"/>
              <w:rPr>
                <w:rFonts w:asciiTheme="minorHAnsi" w:hAnsiTheme="minorHAnsi" w:cstheme="minorHAnsi"/>
                <w:b/>
                <w:bCs/>
              </w:rPr>
            </w:pPr>
          </w:p>
        </w:tc>
        <w:tc>
          <w:tcPr>
            <w:tcW w:w="10220" w:type="dxa"/>
          </w:tcPr>
          <w:p w14:paraId="004ECFC2" w14:textId="77777777" w:rsidR="00B54D51" w:rsidRPr="00037AD4" w:rsidRDefault="00B54D51" w:rsidP="00BF13FD">
            <w:pPr>
              <w:pStyle w:val="NormalWeb"/>
              <w:rPr>
                <w:rFonts w:asciiTheme="minorHAnsi" w:hAnsiTheme="minorHAnsi" w:cstheme="minorHAnsi"/>
              </w:rPr>
            </w:pPr>
            <w:r w:rsidRPr="00037AD4">
              <w:rPr>
                <w:rFonts w:asciiTheme="minorHAnsi" w:hAnsiTheme="minorHAnsi" w:cstheme="minorHAnsi"/>
              </w:rPr>
              <w:t>PwD self-rated pain/discomfort significantly more optimistically than proxies (1.5 +/- 0.7 vs 1.7 +/- 0.9, P = 0.015)</w:t>
            </w:r>
          </w:p>
        </w:tc>
        <w:tc>
          <w:tcPr>
            <w:tcW w:w="1819" w:type="dxa"/>
          </w:tcPr>
          <w:p w14:paraId="6A84EA1D" w14:textId="77777777" w:rsidR="00B54D51" w:rsidRPr="00037AD4" w:rsidRDefault="00B54D51" w:rsidP="00BF13FD">
            <w:pPr>
              <w:pStyle w:val="NormalWeb"/>
              <w:rPr>
                <w:rFonts w:asciiTheme="minorHAnsi" w:hAnsiTheme="minorHAnsi" w:cstheme="minorHAnsi"/>
              </w:rPr>
            </w:pPr>
            <w:r w:rsidRPr="00037AD4">
              <w:rPr>
                <w:rFonts w:asciiTheme="minorHAnsi" w:hAnsiTheme="minorHAnsi" w:cstheme="minorHAnsi"/>
              </w:rPr>
              <w:t>Bonfiglio et al (2019)</w:t>
            </w:r>
          </w:p>
        </w:tc>
      </w:tr>
      <w:tr w:rsidR="00B54D51" w:rsidRPr="00037AD4" w14:paraId="4546065A" w14:textId="77777777" w:rsidTr="00BF13FD">
        <w:trPr>
          <w:trHeight w:val="63"/>
          <w:jc w:val="center"/>
        </w:trPr>
        <w:tc>
          <w:tcPr>
            <w:tcW w:w="2428" w:type="dxa"/>
            <w:vMerge/>
          </w:tcPr>
          <w:p w14:paraId="5B9E507C" w14:textId="77777777" w:rsidR="00B54D51" w:rsidRPr="00037AD4" w:rsidRDefault="00B54D51" w:rsidP="00BF13FD">
            <w:pPr>
              <w:pStyle w:val="NormalWeb"/>
              <w:rPr>
                <w:rFonts w:asciiTheme="minorHAnsi" w:hAnsiTheme="minorHAnsi" w:cstheme="minorHAnsi"/>
                <w:b/>
                <w:bCs/>
              </w:rPr>
            </w:pPr>
          </w:p>
        </w:tc>
        <w:tc>
          <w:tcPr>
            <w:tcW w:w="10220" w:type="dxa"/>
          </w:tcPr>
          <w:p w14:paraId="63829763" w14:textId="77777777" w:rsidR="00B54D51" w:rsidRPr="00037AD4" w:rsidRDefault="00B54D51" w:rsidP="00BF13FD">
            <w:pPr>
              <w:pStyle w:val="NormalWeb"/>
              <w:rPr>
                <w:rFonts w:asciiTheme="minorHAnsi" w:hAnsiTheme="minorHAnsi" w:cstheme="minorHAnsi"/>
              </w:rPr>
            </w:pPr>
            <w:r w:rsidRPr="00037AD4">
              <w:rPr>
                <w:rFonts w:asciiTheme="minorHAnsi" w:hAnsiTheme="minorHAnsi" w:cstheme="minorHAnsi"/>
              </w:rPr>
              <w:t>Proxies rated more problems in the pain/discomfort dimension (than PwD had self-rated)</w:t>
            </w:r>
          </w:p>
        </w:tc>
        <w:tc>
          <w:tcPr>
            <w:tcW w:w="1819" w:type="dxa"/>
          </w:tcPr>
          <w:p w14:paraId="23F691D9" w14:textId="77777777" w:rsidR="00B54D51" w:rsidRPr="00037AD4" w:rsidRDefault="00B54D51" w:rsidP="00BF13FD">
            <w:pPr>
              <w:pStyle w:val="NormalWeb"/>
              <w:rPr>
                <w:rFonts w:asciiTheme="minorHAnsi" w:hAnsiTheme="minorHAnsi" w:cstheme="minorHAnsi"/>
              </w:rPr>
            </w:pPr>
            <w:r w:rsidRPr="00037AD4">
              <w:rPr>
                <w:rFonts w:asciiTheme="minorHAnsi" w:hAnsiTheme="minorHAnsi" w:cstheme="minorHAnsi"/>
              </w:rPr>
              <w:t>Vogel et al (2006)</w:t>
            </w:r>
          </w:p>
        </w:tc>
      </w:tr>
      <w:tr w:rsidR="00B54D51" w:rsidRPr="00037AD4" w14:paraId="721A4EFE" w14:textId="77777777" w:rsidTr="00BF13FD">
        <w:trPr>
          <w:trHeight w:val="84"/>
          <w:jc w:val="center"/>
        </w:trPr>
        <w:tc>
          <w:tcPr>
            <w:tcW w:w="2428" w:type="dxa"/>
            <w:vMerge w:val="restart"/>
          </w:tcPr>
          <w:p w14:paraId="2A6E8057" w14:textId="77777777" w:rsidR="00B54D51" w:rsidRPr="00037AD4" w:rsidRDefault="00B54D51" w:rsidP="00BF13FD">
            <w:pPr>
              <w:pStyle w:val="NormalWeb"/>
              <w:rPr>
                <w:rFonts w:asciiTheme="minorHAnsi" w:hAnsiTheme="minorHAnsi" w:cstheme="minorHAnsi"/>
                <w:b/>
                <w:bCs/>
              </w:rPr>
            </w:pPr>
            <w:r w:rsidRPr="00037AD4">
              <w:rPr>
                <w:rFonts w:asciiTheme="minorHAnsi" w:hAnsiTheme="minorHAnsi" w:cstheme="minorHAnsi"/>
                <w:b/>
                <w:bCs/>
              </w:rPr>
              <w:t>Anxiety/depression</w:t>
            </w:r>
          </w:p>
        </w:tc>
        <w:tc>
          <w:tcPr>
            <w:tcW w:w="10220" w:type="dxa"/>
          </w:tcPr>
          <w:p w14:paraId="6C3E54AE" w14:textId="77777777" w:rsidR="00B54D51" w:rsidRPr="00037AD4" w:rsidRDefault="00B54D51" w:rsidP="00BF13FD">
            <w:pPr>
              <w:pStyle w:val="NormalWeb"/>
              <w:rPr>
                <w:rFonts w:asciiTheme="minorHAnsi" w:hAnsiTheme="minorHAnsi" w:cstheme="minorHAnsi"/>
              </w:rPr>
            </w:pPr>
            <w:r w:rsidRPr="00037AD4">
              <w:rPr>
                <w:rFonts w:asciiTheme="minorHAnsi" w:hAnsiTheme="minorHAnsi" w:cstheme="minorHAnsi"/>
              </w:rPr>
              <w:t>PwD self-rated anxiety/depression significantly more optimistically than proxies (1.1 +/- 0.5 vs 1.3 +/- 0.5, P = 0.008)</w:t>
            </w:r>
          </w:p>
        </w:tc>
        <w:tc>
          <w:tcPr>
            <w:tcW w:w="1819" w:type="dxa"/>
          </w:tcPr>
          <w:p w14:paraId="2E439791" w14:textId="77777777" w:rsidR="00B54D51" w:rsidRPr="00037AD4" w:rsidRDefault="00B54D51" w:rsidP="00BF13FD">
            <w:pPr>
              <w:pStyle w:val="NormalWeb"/>
              <w:rPr>
                <w:rFonts w:asciiTheme="minorHAnsi" w:hAnsiTheme="minorHAnsi" w:cstheme="minorHAnsi"/>
              </w:rPr>
            </w:pPr>
            <w:r w:rsidRPr="00037AD4">
              <w:rPr>
                <w:rFonts w:asciiTheme="minorHAnsi" w:hAnsiTheme="minorHAnsi" w:cstheme="minorHAnsi"/>
              </w:rPr>
              <w:t>Bonfiglio et al (2019)</w:t>
            </w:r>
          </w:p>
        </w:tc>
      </w:tr>
      <w:tr w:rsidR="00B54D51" w:rsidRPr="00037AD4" w14:paraId="409D3731" w14:textId="77777777" w:rsidTr="00BF13FD">
        <w:trPr>
          <w:trHeight w:val="84"/>
          <w:jc w:val="center"/>
        </w:trPr>
        <w:tc>
          <w:tcPr>
            <w:tcW w:w="2428" w:type="dxa"/>
            <w:vMerge/>
          </w:tcPr>
          <w:p w14:paraId="765564C0" w14:textId="77777777" w:rsidR="00B54D51" w:rsidRPr="00037AD4" w:rsidRDefault="00B54D51" w:rsidP="00BF13FD">
            <w:pPr>
              <w:pStyle w:val="NormalWeb"/>
              <w:rPr>
                <w:rFonts w:asciiTheme="minorHAnsi" w:hAnsiTheme="minorHAnsi" w:cstheme="minorHAnsi"/>
                <w:b/>
                <w:bCs/>
              </w:rPr>
            </w:pPr>
          </w:p>
        </w:tc>
        <w:tc>
          <w:tcPr>
            <w:tcW w:w="10220" w:type="dxa"/>
          </w:tcPr>
          <w:p w14:paraId="45070AF7" w14:textId="77777777" w:rsidR="00B54D51" w:rsidRPr="00037AD4" w:rsidRDefault="00B54D51" w:rsidP="00BF13FD">
            <w:pPr>
              <w:pStyle w:val="NormalWeb"/>
              <w:rPr>
                <w:rFonts w:asciiTheme="minorHAnsi" w:hAnsiTheme="minorHAnsi" w:cstheme="minorHAnsi"/>
              </w:rPr>
            </w:pPr>
            <w:r w:rsidRPr="00037AD4">
              <w:rPr>
                <w:rFonts w:asciiTheme="minorHAnsi" w:hAnsiTheme="minorHAnsi" w:cstheme="minorHAnsi"/>
              </w:rPr>
              <w:t>Anxiety/depression was the only dimension that PwD self-rated more problems than proxies</w:t>
            </w:r>
          </w:p>
        </w:tc>
        <w:tc>
          <w:tcPr>
            <w:tcW w:w="1819" w:type="dxa"/>
          </w:tcPr>
          <w:p w14:paraId="3A3C9141" w14:textId="77777777" w:rsidR="00B54D51" w:rsidRPr="00037AD4" w:rsidRDefault="00B54D51" w:rsidP="00BF13FD">
            <w:pPr>
              <w:pStyle w:val="NormalWeb"/>
              <w:rPr>
                <w:rFonts w:asciiTheme="minorHAnsi" w:hAnsiTheme="minorHAnsi" w:cstheme="minorHAnsi"/>
              </w:rPr>
            </w:pPr>
            <w:r w:rsidRPr="00037AD4">
              <w:rPr>
                <w:rFonts w:asciiTheme="minorHAnsi" w:hAnsiTheme="minorHAnsi" w:cstheme="minorHAnsi"/>
              </w:rPr>
              <w:t>Vogel et al (2006)</w:t>
            </w:r>
          </w:p>
        </w:tc>
      </w:tr>
      <w:tr w:rsidR="00B54D51" w:rsidRPr="00037AD4" w14:paraId="3A8EF517" w14:textId="77777777" w:rsidTr="00BF13FD">
        <w:trPr>
          <w:trHeight w:val="30"/>
          <w:jc w:val="center"/>
        </w:trPr>
        <w:tc>
          <w:tcPr>
            <w:tcW w:w="2428" w:type="dxa"/>
            <w:vMerge w:val="restart"/>
          </w:tcPr>
          <w:p w14:paraId="6A5B1EB3" w14:textId="77777777" w:rsidR="00B54D51" w:rsidRPr="00037AD4" w:rsidRDefault="00B54D51" w:rsidP="00BF13FD">
            <w:pPr>
              <w:pStyle w:val="NormalWeb"/>
              <w:rPr>
                <w:rFonts w:asciiTheme="minorHAnsi" w:hAnsiTheme="minorHAnsi" w:cstheme="minorHAnsi"/>
                <w:b/>
                <w:bCs/>
              </w:rPr>
            </w:pPr>
            <w:r w:rsidRPr="00037AD4">
              <w:rPr>
                <w:rFonts w:asciiTheme="minorHAnsi" w:hAnsiTheme="minorHAnsi" w:cstheme="minorHAnsi"/>
                <w:b/>
                <w:bCs/>
              </w:rPr>
              <w:t>EQ-5D index score</w:t>
            </w:r>
          </w:p>
        </w:tc>
        <w:tc>
          <w:tcPr>
            <w:tcW w:w="10220" w:type="dxa"/>
          </w:tcPr>
          <w:p w14:paraId="44B5B94E" w14:textId="77777777" w:rsidR="00B54D51" w:rsidRPr="00037AD4" w:rsidRDefault="00B54D51" w:rsidP="00BF13FD">
            <w:pPr>
              <w:pStyle w:val="NormalWeb"/>
              <w:rPr>
                <w:rFonts w:asciiTheme="minorHAnsi" w:hAnsiTheme="minorHAnsi" w:cstheme="minorHAnsi"/>
              </w:rPr>
            </w:pPr>
            <w:r w:rsidRPr="00037AD4">
              <w:rPr>
                <w:rFonts w:asciiTheme="minorHAnsi" w:hAnsiTheme="minorHAnsi" w:cstheme="minorHAnsi"/>
              </w:rPr>
              <w:t>Intraclass correlation coefficient for EQ-5D total scores on PwD and proxy responses reflected average concordance – informal: ICC = 0.41, p&lt;0.001), formal: ICC = 0.42, p&lt;0.001)</w:t>
            </w:r>
          </w:p>
        </w:tc>
        <w:tc>
          <w:tcPr>
            <w:tcW w:w="1819" w:type="dxa"/>
          </w:tcPr>
          <w:p w14:paraId="0A92BDFB" w14:textId="77777777" w:rsidR="00B54D51" w:rsidRPr="00037AD4" w:rsidRDefault="00B54D51" w:rsidP="00BF13FD">
            <w:pPr>
              <w:pStyle w:val="NormalWeb"/>
              <w:rPr>
                <w:rFonts w:asciiTheme="minorHAnsi" w:hAnsiTheme="minorHAnsi" w:cstheme="minorHAnsi"/>
              </w:rPr>
            </w:pPr>
            <w:r w:rsidRPr="00037AD4">
              <w:rPr>
                <w:rFonts w:asciiTheme="minorHAnsi" w:hAnsiTheme="minorHAnsi" w:cstheme="minorHAnsi"/>
              </w:rPr>
              <w:t>Ankri et al (2003)</w:t>
            </w:r>
          </w:p>
        </w:tc>
      </w:tr>
      <w:tr w:rsidR="00B54D51" w:rsidRPr="00037AD4" w14:paraId="42CDCF29" w14:textId="77777777" w:rsidTr="00BF13FD">
        <w:trPr>
          <w:trHeight w:val="27"/>
          <w:jc w:val="center"/>
        </w:trPr>
        <w:tc>
          <w:tcPr>
            <w:tcW w:w="2428" w:type="dxa"/>
            <w:vMerge/>
          </w:tcPr>
          <w:p w14:paraId="195D41F5" w14:textId="77777777" w:rsidR="00B54D51" w:rsidRPr="00037AD4" w:rsidRDefault="00B54D51" w:rsidP="00BF13FD">
            <w:pPr>
              <w:pStyle w:val="NormalWeb"/>
              <w:rPr>
                <w:rFonts w:asciiTheme="minorHAnsi" w:hAnsiTheme="minorHAnsi" w:cstheme="minorHAnsi"/>
              </w:rPr>
            </w:pPr>
          </w:p>
        </w:tc>
        <w:tc>
          <w:tcPr>
            <w:tcW w:w="10220" w:type="dxa"/>
          </w:tcPr>
          <w:p w14:paraId="29B81C3D" w14:textId="77777777" w:rsidR="00B54D51" w:rsidRPr="00037AD4" w:rsidRDefault="00B54D51" w:rsidP="00BF13FD">
            <w:pPr>
              <w:pStyle w:val="NormalWeb"/>
              <w:rPr>
                <w:rFonts w:asciiTheme="minorHAnsi" w:hAnsiTheme="minorHAnsi" w:cstheme="minorHAnsi"/>
              </w:rPr>
            </w:pPr>
            <w:r w:rsidRPr="00037AD4">
              <w:rPr>
                <w:rFonts w:asciiTheme="minorHAnsi" w:hAnsiTheme="minorHAnsi" w:cstheme="minorHAnsi"/>
              </w:rPr>
              <w:t>Proxy EQ-5D ratings were significantly worse, with a mean difference of 0.1 in total score</w:t>
            </w:r>
          </w:p>
        </w:tc>
        <w:tc>
          <w:tcPr>
            <w:tcW w:w="1819" w:type="dxa"/>
          </w:tcPr>
          <w:p w14:paraId="17200789" w14:textId="77777777" w:rsidR="00B54D51" w:rsidRPr="00037AD4" w:rsidRDefault="00B54D51" w:rsidP="00BF13FD">
            <w:pPr>
              <w:pStyle w:val="NormalWeb"/>
              <w:rPr>
                <w:rFonts w:asciiTheme="minorHAnsi" w:hAnsiTheme="minorHAnsi" w:cstheme="minorHAnsi"/>
              </w:rPr>
            </w:pPr>
            <w:r w:rsidRPr="00037AD4">
              <w:rPr>
                <w:rFonts w:asciiTheme="minorHAnsi" w:hAnsiTheme="minorHAnsi" w:cstheme="minorHAnsi"/>
              </w:rPr>
              <w:t>Kunz et al (2010)</w:t>
            </w:r>
          </w:p>
        </w:tc>
      </w:tr>
      <w:tr w:rsidR="00B54D51" w:rsidRPr="00037AD4" w14:paraId="593A9E0A" w14:textId="77777777" w:rsidTr="00BF13FD">
        <w:trPr>
          <w:trHeight w:val="27"/>
          <w:jc w:val="center"/>
        </w:trPr>
        <w:tc>
          <w:tcPr>
            <w:tcW w:w="2428" w:type="dxa"/>
            <w:vMerge/>
          </w:tcPr>
          <w:p w14:paraId="6C91412B" w14:textId="77777777" w:rsidR="00B54D51" w:rsidRPr="00037AD4" w:rsidRDefault="00B54D51" w:rsidP="00BF13FD">
            <w:pPr>
              <w:pStyle w:val="NormalWeb"/>
              <w:rPr>
                <w:rFonts w:asciiTheme="minorHAnsi" w:hAnsiTheme="minorHAnsi" w:cstheme="minorHAnsi"/>
              </w:rPr>
            </w:pPr>
          </w:p>
        </w:tc>
        <w:tc>
          <w:tcPr>
            <w:tcW w:w="10220" w:type="dxa"/>
          </w:tcPr>
          <w:p w14:paraId="1B7DF055" w14:textId="77777777" w:rsidR="00B54D51" w:rsidRPr="00037AD4" w:rsidRDefault="00B54D51" w:rsidP="00BF13FD">
            <w:pPr>
              <w:pStyle w:val="NormalWeb"/>
              <w:rPr>
                <w:rFonts w:asciiTheme="minorHAnsi" w:hAnsiTheme="minorHAnsi" w:cstheme="minorHAnsi"/>
              </w:rPr>
            </w:pPr>
            <w:r w:rsidRPr="00037AD4">
              <w:rPr>
                <w:rFonts w:asciiTheme="minorHAnsi" w:hAnsiTheme="minorHAnsi" w:cstheme="minorHAnsi"/>
              </w:rPr>
              <w:t>Relationships between EQ-5D scores and clinical variables (CSDD, NPI, ADCS-ADL) were stronger for proxy assessments</w:t>
            </w:r>
          </w:p>
        </w:tc>
        <w:tc>
          <w:tcPr>
            <w:tcW w:w="1819" w:type="dxa"/>
          </w:tcPr>
          <w:p w14:paraId="49799AF6" w14:textId="77777777" w:rsidR="00B54D51" w:rsidRPr="00037AD4" w:rsidRDefault="00B54D51" w:rsidP="00BF13FD">
            <w:pPr>
              <w:pStyle w:val="NormalWeb"/>
              <w:rPr>
                <w:rFonts w:asciiTheme="minorHAnsi" w:hAnsiTheme="minorHAnsi" w:cstheme="minorHAnsi"/>
              </w:rPr>
            </w:pPr>
            <w:r w:rsidRPr="00037AD4">
              <w:rPr>
                <w:rFonts w:asciiTheme="minorHAnsi" w:hAnsiTheme="minorHAnsi" w:cstheme="minorHAnsi"/>
              </w:rPr>
              <w:t>Bhattacharya et al (2010)</w:t>
            </w:r>
          </w:p>
        </w:tc>
      </w:tr>
      <w:tr w:rsidR="00B54D51" w:rsidRPr="00037AD4" w14:paraId="70CF6BFC" w14:textId="77777777" w:rsidTr="00BF13FD">
        <w:trPr>
          <w:trHeight w:val="27"/>
          <w:jc w:val="center"/>
        </w:trPr>
        <w:tc>
          <w:tcPr>
            <w:tcW w:w="2428" w:type="dxa"/>
            <w:vMerge/>
          </w:tcPr>
          <w:p w14:paraId="38CDDB32" w14:textId="77777777" w:rsidR="00B54D51" w:rsidRPr="00037AD4" w:rsidRDefault="00B54D51" w:rsidP="00BF13FD">
            <w:pPr>
              <w:pStyle w:val="NormalWeb"/>
              <w:rPr>
                <w:rFonts w:asciiTheme="minorHAnsi" w:hAnsiTheme="minorHAnsi" w:cstheme="minorHAnsi"/>
              </w:rPr>
            </w:pPr>
          </w:p>
        </w:tc>
        <w:tc>
          <w:tcPr>
            <w:tcW w:w="10220" w:type="dxa"/>
          </w:tcPr>
          <w:p w14:paraId="4C5EE6C7" w14:textId="77777777" w:rsidR="00B54D51" w:rsidRPr="00037AD4" w:rsidRDefault="00B54D51" w:rsidP="00BF13FD">
            <w:pPr>
              <w:pStyle w:val="NormalWeb"/>
              <w:rPr>
                <w:rFonts w:asciiTheme="minorHAnsi" w:hAnsiTheme="minorHAnsi" w:cstheme="minorHAnsi"/>
              </w:rPr>
            </w:pPr>
            <w:r w:rsidRPr="00037AD4">
              <w:rPr>
                <w:rFonts w:asciiTheme="minorHAnsi" w:hAnsiTheme="minorHAnsi" w:cstheme="minorHAnsi"/>
              </w:rPr>
              <w:t>Proxy EQ-5D index scores were significantly lower than self-report (0.8 +/- 0.1 vs 0.9 +/- 0.1, P = 0.000)</w:t>
            </w:r>
          </w:p>
        </w:tc>
        <w:tc>
          <w:tcPr>
            <w:tcW w:w="1819" w:type="dxa"/>
          </w:tcPr>
          <w:p w14:paraId="6FC8436C" w14:textId="77777777" w:rsidR="00B54D51" w:rsidRPr="00037AD4" w:rsidRDefault="00B54D51" w:rsidP="00BF13FD">
            <w:pPr>
              <w:pStyle w:val="NormalWeb"/>
              <w:rPr>
                <w:rFonts w:asciiTheme="minorHAnsi" w:hAnsiTheme="minorHAnsi" w:cstheme="minorHAnsi"/>
              </w:rPr>
            </w:pPr>
            <w:r w:rsidRPr="00037AD4">
              <w:rPr>
                <w:rFonts w:asciiTheme="minorHAnsi" w:hAnsiTheme="minorHAnsi" w:cstheme="minorHAnsi"/>
              </w:rPr>
              <w:t>Bonfiglio et al (2019)</w:t>
            </w:r>
          </w:p>
        </w:tc>
      </w:tr>
      <w:tr w:rsidR="00B54D51" w:rsidRPr="00037AD4" w14:paraId="0FEE312E" w14:textId="77777777" w:rsidTr="00BF13FD">
        <w:trPr>
          <w:trHeight w:val="27"/>
          <w:jc w:val="center"/>
        </w:trPr>
        <w:tc>
          <w:tcPr>
            <w:tcW w:w="2428" w:type="dxa"/>
            <w:vMerge/>
          </w:tcPr>
          <w:p w14:paraId="606E9629" w14:textId="77777777" w:rsidR="00B54D51" w:rsidRPr="00037AD4" w:rsidRDefault="00B54D51" w:rsidP="00BF13FD">
            <w:pPr>
              <w:pStyle w:val="NormalWeb"/>
              <w:rPr>
                <w:rFonts w:asciiTheme="minorHAnsi" w:hAnsiTheme="minorHAnsi" w:cstheme="minorHAnsi"/>
              </w:rPr>
            </w:pPr>
          </w:p>
        </w:tc>
        <w:tc>
          <w:tcPr>
            <w:tcW w:w="10220" w:type="dxa"/>
          </w:tcPr>
          <w:p w14:paraId="0D83873A" w14:textId="77777777" w:rsidR="00B54D51" w:rsidRPr="00037AD4" w:rsidRDefault="00B54D51" w:rsidP="00BF13FD">
            <w:pPr>
              <w:pStyle w:val="NormalWeb"/>
              <w:rPr>
                <w:rFonts w:asciiTheme="minorHAnsi" w:hAnsiTheme="minorHAnsi" w:cstheme="minorHAnsi"/>
              </w:rPr>
            </w:pPr>
            <w:r w:rsidRPr="00037AD4">
              <w:rPr>
                <w:rFonts w:asciiTheme="minorHAnsi" w:hAnsiTheme="minorHAnsi" w:cstheme="minorHAnsi"/>
              </w:rPr>
              <w:t>MMSE and NPI scores were significantly associated with EQ-5D proxy (p=0.00), but not EQ-5D self-report (p=0.63</w:t>
            </w:r>
          </w:p>
        </w:tc>
        <w:tc>
          <w:tcPr>
            <w:tcW w:w="1819" w:type="dxa"/>
          </w:tcPr>
          <w:p w14:paraId="09E777DE" w14:textId="77777777" w:rsidR="00B54D51" w:rsidRPr="00037AD4" w:rsidRDefault="00B54D51" w:rsidP="00BF13FD">
            <w:pPr>
              <w:pStyle w:val="NormalWeb"/>
              <w:rPr>
                <w:rFonts w:asciiTheme="minorHAnsi" w:hAnsiTheme="minorHAnsi" w:cstheme="minorHAnsi"/>
              </w:rPr>
            </w:pPr>
            <w:r w:rsidRPr="00037AD4">
              <w:rPr>
                <w:rFonts w:asciiTheme="minorHAnsi" w:hAnsiTheme="minorHAnsi" w:cstheme="minorHAnsi"/>
              </w:rPr>
              <w:t>Farina et al (2020)</w:t>
            </w:r>
          </w:p>
        </w:tc>
      </w:tr>
      <w:tr w:rsidR="00B54D51" w:rsidRPr="00037AD4" w14:paraId="40080C3B" w14:textId="77777777" w:rsidTr="00BF13FD">
        <w:trPr>
          <w:trHeight w:val="27"/>
          <w:jc w:val="center"/>
        </w:trPr>
        <w:tc>
          <w:tcPr>
            <w:tcW w:w="2428" w:type="dxa"/>
            <w:vMerge/>
          </w:tcPr>
          <w:p w14:paraId="3FE167A9" w14:textId="77777777" w:rsidR="00B54D51" w:rsidRPr="00037AD4" w:rsidRDefault="00B54D51" w:rsidP="00BF13FD">
            <w:pPr>
              <w:pStyle w:val="NormalWeb"/>
              <w:rPr>
                <w:rFonts w:asciiTheme="minorHAnsi" w:hAnsiTheme="minorHAnsi" w:cstheme="minorHAnsi"/>
              </w:rPr>
            </w:pPr>
          </w:p>
        </w:tc>
        <w:tc>
          <w:tcPr>
            <w:tcW w:w="10220" w:type="dxa"/>
          </w:tcPr>
          <w:p w14:paraId="45528FD7" w14:textId="77777777" w:rsidR="00B54D51" w:rsidRPr="00037AD4" w:rsidRDefault="00B54D51" w:rsidP="00BF13FD">
            <w:pPr>
              <w:pStyle w:val="NormalWeb"/>
              <w:rPr>
                <w:rFonts w:asciiTheme="minorHAnsi" w:hAnsiTheme="minorHAnsi" w:cstheme="minorHAnsi"/>
              </w:rPr>
            </w:pPr>
            <w:r w:rsidRPr="00037AD4">
              <w:rPr>
                <w:rFonts w:asciiTheme="minorHAnsi" w:hAnsiTheme="minorHAnsi" w:cstheme="minorHAnsi"/>
              </w:rPr>
              <w:t>EQ-5D index scores were significantly different based on the rater: 0.67 (+/- 0.33) for self-report and 0.45 (+/- 0.36) for proxy, p&lt;0.001</w:t>
            </w:r>
          </w:p>
        </w:tc>
        <w:tc>
          <w:tcPr>
            <w:tcW w:w="1819" w:type="dxa"/>
          </w:tcPr>
          <w:p w14:paraId="0B6515F5" w14:textId="77777777" w:rsidR="00B54D51" w:rsidRPr="00037AD4" w:rsidRDefault="00B54D51" w:rsidP="00BF13FD">
            <w:pPr>
              <w:pStyle w:val="NormalWeb"/>
              <w:rPr>
                <w:rFonts w:asciiTheme="minorHAnsi" w:hAnsiTheme="minorHAnsi" w:cstheme="minorHAnsi"/>
              </w:rPr>
            </w:pPr>
            <w:r w:rsidRPr="00037AD4">
              <w:rPr>
                <w:rFonts w:asciiTheme="minorHAnsi" w:hAnsiTheme="minorHAnsi" w:cstheme="minorHAnsi"/>
              </w:rPr>
              <w:t>Heßmann et al (2016)</w:t>
            </w:r>
          </w:p>
        </w:tc>
      </w:tr>
      <w:tr w:rsidR="00B54D51" w:rsidRPr="00037AD4" w14:paraId="1AAC94CF" w14:textId="77777777" w:rsidTr="00BF13FD">
        <w:trPr>
          <w:trHeight w:val="27"/>
          <w:jc w:val="center"/>
        </w:trPr>
        <w:tc>
          <w:tcPr>
            <w:tcW w:w="2428" w:type="dxa"/>
            <w:vMerge/>
          </w:tcPr>
          <w:p w14:paraId="0FC9FE11" w14:textId="77777777" w:rsidR="00B54D51" w:rsidRPr="00037AD4" w:rsidRDefault="00B54D51" w:rsidP="00BF13FD">
            <w:pPr>
              <w:pStyle w:val="NormalWeb"/>
              <w:rPr>
                <w:rFonts w:asciiTheme="minorHAnsi" w:hAnsiTheme="minorHAnsi" w:cstheme="minorHAnsi"/>
              </w:rPr>
            </w:pPr>
          </w:p>
        </w:tc>
        <w:tc>
          <w:tcPr>
            <w:tcW w:w="10220" w:type="dxa"/>
          </w:tcPr>
          <w:p w14:paraId="5324825B" w14:textId="77777777" w:rsidR="00B54D51" w:rsidRPr="00037AD4" w:rsidRDefault="00B54D51" w:rsidP="00BF13FD">
            <w:pPr>
              <w:pStyle w:val="NormalWeb"/>
              <w:rPr>
                <w:rFonts w:asciiTheme="minorHAnsi" w:hAnsiTheme="minorHAnsi" w:cstheme="minorHAnsi"/>
              </w:rPr>
            </w:pPr>
            <w:r w:rsidRPr="00037AD4">
              <w:rPr>
                <w:rFonts w:asciiTheme="minorHAnsi" w:hAnsiTheme="minorHAnsi" w:cstheme="minorHAnsi"/>
              </w:rPr>
              <w:t>Self-completed EQ-5D was poor at reflecting clinically important differences and changes in clinical measures, vs EQ-5D proxy which did capture these changes</w:t>
            </w:r>
          </w:p>
        </w:tc>
        <w:tc>
          <w:tcPr>
            <w:tcW w:w="1819" w:type="dxa"/>
          </w:tcPr>
          <w:p w14:paraId="3AA9AF08" w14:textId="77777777" w:rsidR="00B54D51" w:rsidRPr="00037AD4" w:rsidRDefault="00B54D51" w:rsidP="00BF13FD">
            <w:pPr>
              <w:pStyle w:val="NormalWeb"/>
              <w:rPr>
                <w:rFonts w:asciiTheme="minorHAnsi" w:hAnsiTheme="minorHAnsi" w:cstheme="minorHAnsi"/>
              </w:rPr>
            </w:pPr>
            <w:r w:rsidRPr="00037AD4">
              <w:rPr>
                <w:rFonts w:asciiTheme="minorHAnsi" w:hAnsiTheme="minorHAnsi" w:cstheme="minorHAnsi"/>
              </w:rPr>
              <w:t xml:space="preserve">Martin et al (2019) </w:t>
            </w:r>
          </w:p>
        </w:tc>
      </w:tr>
      <w:tr w:rsidR="00B54D51" w:rsidRPr="00037AD4" w14:paraId="532DBEC2" w14:textId="77777777" w:rsidTr="00BF13FD">
        <w:trPr>
          <w:trHeight w:val="27"/>
          <w:jc w:val="center"/>
        </w:trPr>
        <w:tc>
          <w:tcPr>
            <w:tcW w:w="2428" w:type="dxa"/>
            <w:vMerge/>
          </w:tcPr>
          <w:p w14:paraId="69D586F0" w14:textId="77777777" w:rsidR="00B54D51" w:rsidRPr="00037AD4" w:rsidRDefault="00B54D51" w:rsidP="00BF13FD">
            <w:pPr>
              <w:pStyle w:val="NormalWeb"/>
              <w:rPr>
                <w:rFonts w:asciiTheme="minorHAnsi" w:hAnsiTheme="minorHAnsi" w:cstheme="minorHAnsi"/>
              </w:rPr>
            </w:pPr>
          </w:p>
        </w:tc>
        <w:tc>
          <w:tcPr>
            <w:tcW w:w="10220" w:type="dxa"/>
          </w:tcPr>
          <w:p w14:paraId="3FA698CD" w14:textId="77777777" w:rsidR="00B54D51" w:rsidRPr="00037AD4" w:rsidRDefault="00B54D51" w:rsidP="00BF13FD">
            <w:pPr>
              <w:pStyle w:val="NormalWeb"/>
              <w:rPr>
                <w:rFonts w:asciiTheme="minorHAnsi" w:hAnsiTheme="minorHAnsi" w:cstheme="minorHAnsi"/>
              </w:rPr>
            </w:pPr>
            <w:r w:rsidRPr="00037AD4">
              <w:rPr>
                <w:rFonts w:asciiTheme="minorHAnsi" w:hAnsiTheme="minorHAnsi" w:cstheme="minorHAnsi"/>
              </w:rPr>
              <w:t>EQ-5D proxy index scores were significantly lower than self-scores</w:t>
            </w:r>
          </w:p>
        </w:tc>
        <w:tc>
          <w:tcPr>
            <w:tcW w:w="1819" w:type="dxa"/>
          </w:tcPr>
          <w:p w14:paraId="7540D4B9" w14:textId="77777777" w:rsidR="00B54D51" w:rsidRPr="00037AD4" w:rsidRDefault="00B54D51" w:rsidP="00BF13FD">
            <w:pPr>
              <w:pStyle w:val="NormalWeb"/>
              <w:rPr>
                <w:rFonts w:asciiTheme="minorHAnsi" w:hAnsiTheme="minorHAnsi" w:cstheme="minorHAnsi"/>
              </w:rPr>
            </w:pPr>
            <w:r w:rsidRPr="00037AD4">
              <w:rPr>
                <w:rFonts w:asciiTheme="minorHAnsi" w:hAnsiTheme="minorHAnsi" w:cstheme="minorHAnsi"/>
              </w:rPr>
              <w:t>Orgeta et al (2015)</w:t>
            </w:r>
          </w:p>
        </w:tc>
      </w:tr>
      <w:tr w:rsidR="00B54D51" w:rsidRPr="00037AD4" w14:paraId="241CA544" w14:textId="77777777" w:rsidTr="00BF13FD">
        <w:trPr>
          <w:trHeight w:val="27"/>
          <w:jc w:val="center"/>
        </w:trPr>
        <w:tc>
          <w:tcPr>
            <w:tcW w:w="2428" w:type="dxa"/>
            <w:vMerge/>
          </w:tcPr>
          <w:p w14:paraId="1CFBF491" w14:textId="77777777" w:rsidR="00B54D51" w:rsidRPr="00037AD4" w:rsidRDefault="00B54D51" w:rsidP="00BF13FD">
            <w:pPr>
              <w:pStyle w:val="NormalWeb"/>
              <w:rPr>
                <w:rFonts w:asciiTheme="minorHAnsi" w:hAnsiTheme="minorHAnsi" w:cstheme="minorHAnsi"/>
              </w:rPr>
            </w:pPr>
          </w:p>
        </w:tc>
        <w:tc>
          <w:tcPr>
            <w:tcW w:w="10220" w:type="dxa"/>
          </w:tcPr>
          <w:p w14:paraId="08E21B39" w14:textId="77777777" w:rsidR="00B54D51" w:rsidRPr="00037AD4" w:rsidRDefault="00B54D51" w:rsidP="00BF13FD">
            <w:pPr>
              <w:pStyle w:val="NormalWeb"/>
              <w:rPr>
                <w:rFonts w:asciiTheme="minorHAnsi" w:hAnsiTheme="minorHAnsi" w:cstheme="minorHAnsi"/>
              </w:rPr>
            </w:pPr>
            <w:r w:rsidRPr="00037AD4">
              <w:rPr>
                <w:rFonts w:asciiTheme="minorHAnsi" w:hAnsiTheme="minorHAnsi" w:cstheme="minorHAnsi"/>
              </w:rPr>
              <w:t>Self-rated EQ-5D scores were significantly higher than proxy EQ-5D (patient mean EQ-5D score 0.71, 95% CI 0.64–0.77, proxies mean EQ-5D score 0.30, 95% CI 0.22–0.38), mean difference 0.40 (95% CI 0.32–0.48, p 5 0.001)</w:t>
            </w:r>
          </w:p>
        </w:tc>
        <w:tc>
          <w:tcPr>
            <w:tcW w:w="1819" w:type="dxa"/>
          </w:tcPr>
          <w:p w14:paraId="653B0430" w14:textId="77777777" w:rsidR="00B54D51" w:rsidRPr="00037AD4" w:rsidRDefault="00B54D51" w:rsidP="00BF13FD">
            <w:pPr>
              <w:pStyle w:val="NormalWeb"/>
              <w:rPr>
                <w:rFonts w:asciiTheme="minorHAnsi" w:hAnsiTheme="minorHAnsi" w:cstheme="minorHAnsi"/>
              </w:rPr>
            </w:pPr>
            <w:r w:rsidRPr="00037AD4">
              <w:rPr>
                <w:rFonts w:asciiTheme="minorHAnsi" w:hAnsiTheme="minorHAnsi" w:cstheme="minorHAnsi"/>
              </w:rPr>
              <w:t>Sheehan et al (2012)</w:t>
            </w:r>
          </w:p>
        </w:tc>
      </w:tr>
    </w:tbl>
    <w:p w14:paraId="79FCF6E5" w14:textId="77777777" w:rsidR="00B54D51" w:rsidRPr="00037AD4" w:rsidRDefault="00B54D51" w:rsidP="00FD3058">
      <w:pPr>
        <w:pStyle w:val="NormalWeb"/>
        <w:rPr>
          <w:rFonts w:asciiTheme="minorHAnsi" w:hAnsiTheme="minorHAnsi" w:cstheme="minorHAnsi"/>
        </w:rPr>
        <w:sectPr w:rsidR="00B54D51" w:rsidRPr="00037AD4" w:rsidSect="0051675A">
          <w:pgSz w:w="16838" w:h="11906" w:orient="landscape"/>
          <w:pgMar w:top="1440" w:right="1440" w:bottom="1440" w:left="1440" w:header="708" w:footer="708" w:gutter="0"/>
          <w:cols w:space="708"/>
          <w:docGrid w:linePitch="360"/>
        </w:sectPr>
      </w:pPr>
    </w:p>
    <w:p w14:paraId="78989D2F" w14:textId="77777777" w:rsidR="00B54D51" w:rsidRPr="00037AD4" w:rsidRDefault="00B54D51" w:rsidP="007A43F9">
      <w:pPr>
        <w:pStyle w:val="Heading3"/>
      </w:pPr>
      <w:bookmarkStart w:id="313" w:name="_Toc175742296"/>
      <w:r w:rsidRPr="00037AD4">
        <w:lastRenderedPageBreak/>
        <w:t>3.7.5 Discussion</w:t>
      </w:r>
      <w:bookmarkEnd w:id="313"/>
      <w:r w:rsidRPr="00037AD4">
        <w:t xml:space="preserve"> </w:t>
      </w:r>
    </w:p>
    <w:p w14:paraId="11D306CB" w14:textId="77777777" w:rsidR="00B54D51" w:rsidRPr="00037AD4" w:rsidRDefault="00B54D51" w:rsidP="003F5411">
      <w:pPr>
        <w:pStyle w:val="NormalWeb"/>
        <w:rPr>
          <w:rFonts w:asciiTheme="minorHAnsi" w:hAnsiTheme="minorHAnsi" w:cstheme="minorHAnsi"/>
        </w:rPr>
      </w:pPr>
      <w:r w:rsidRPr="00037AD4">
        <w:rPr>
          <w:rFonts w:asciiTheme="minorHAnsi" w:hAnsiTheme="minorHAnsi" w:cstheme="minorHAnsi"/>
        </w:rPr>
        <w:t xml:space="preserve">There is a growing recognition of the wide use and acceptability of EQ-5D within dementia populations, thereby capturing generic HRQoL that can be converted to utilities for use in cost-effectiveness analyses. An important factor in exploring the use of such a measure is its psychometric properties. This targeted literature review identified 30 studies which contained empirical evidence related to the convergent validity of EQ-5D with at least one pre-defined core measure of: cognition (n=18), function (n=20), or behaviour/mood (n=17), the main symptom outcomes in studies of people with dementia. The findings indicate that EQ-5D convergent validity with clinical measures of function, behaviour/mood and cognition were in the expected direction. There is strong evidence of low inter-rater agreement between self and proxy report. Evidence at the dimension-level was limited, however there were some data to support convergent validity between specific EQ-5D dimensions and clinical outcomes, and differences in inter-rater agreement by dimension type. </w:t>
      </w:r>
    </w:p>
    <w:p w14:paraId="67B850D1" w14:textId="77777777" w:rsidR="00B54D51" w:rsidRPr="00037AD4" w:rsidRDefault="00B54D51" w:rsidP="003F5411">
      <w:pPr>
        <w:pStyle w:val="NormalWeb"/>
        <w:rPr>
          <w:rFonts w:asciiTheme="minorHAnsi" w:hAnsiTheme="minorHAnsi" w:cstheme="minorHAnsi"/>
        </w:rPr>
      </w:pPr>
      <w:r w:rsidRPr="00037AD4">
        <w:rPr>
          <w:rFonts w:asciiTheme="minorHAnsi" w:hAnsiTheme="minorHAnsi" w:cstheme="minorHAnsi"/>
        </w:rPr>
        <w:t xml:space="preserve">It was hypothesised that as cognition deteriorates, EQ-5D would also deteriorate. If a switch in reporting occurs from self to proxy report when a PwD is no longer able to accurately self-report, this relationship would still be sustained. Only seven studies reported evidence of statistically significant associations with cognition, and they were all with a positive correlation, therefore agreeing with the </w:t>
      </w:r>
      <w:r w:rsidRPr="00037AD4">
        <w:rPr>
          <w:rFonts w:asciiTheme="minorHAnsi" w:hAnsiTheme="minorHAnsi" w:cstheme="minorHAnsi"/>
          <w:i/>
          <w:iCs/>
        </w:rPr>
        <w:t>a priori</w:t>
      </w:r>
      <w:r w:rsidRPr="00037AD4">
        <w:rPr>
          <w:rFonts w:asciiTheme="minorHAnsi" w:hAnsiTheme="minorHAnsi" w:cstheme="minorHAnsi"/>
        </w:rPr>
        <w:t xml:space="preserve"> hypothesis. As observed and expected, proxy-reports showed stronger associations with the symptom measures. Where a negative but non-significant correlation with self-reported EQ-5D (within the same dyad) was reported </w:t>
      </w:r>
      <w:r>
        <w:rPr>
          <w:rFonts w:asciiTheme="minorHAnsi" w:hAnsiTheme="minorHAnsi" w:cstheme="minorHAnsi"/>
          <w:noProof/>
        </w:rPr>
        <w:t>(Bonfiglio et al., 2019, Farina et al., 2020)</w:t>
      </w:r>
      <w:r w:rsidRPr="00037AD4">
        <w:rPr>
          <w:rFonts w:asciiTheme="minorHAnsi" w:hAnsiTheme="minorHAnsi" w:cstheme="minorHAnsi"/>
        </w:rPr>
        <w:t xml:space="preserve">; this finding could indicate that self-reported EQ-5D was collected until a certain stage of dementia severity before a switch to proxy-EQ-5D was initiated. However, papers did not tend to report this substitution. A negative relationship between self-reported EQ-5D and cognition would only be anticipated at the more severe stages of dementia progression if self-report were to still be used (where the PwD’s self-awareness has deteriorated) </w:t>
      </w:r>
      <w:r>
        <w:rPr>
          <w:rFonts w:asciiTheme="minorHAnsi" w:hAnsiTheme="minorHAnsi" w:cstheme="minorHAnsi"/>
          <w:noProof/>
        </w:rPr>
        <w:t>(Farina et al., 2020, Banerjee et al., 2006)</w:t>
      </w:r>
      <w:r w:rsidRPr="00037AD4">
        <w:rPr>
          <w:rFonts w:asciiTheme="minorHAnsi" w:hAnsiTheme="minorHAnsi" w:cstheme="minorHAnsi"/>
        </w:rPr>
        <w:t xml:space="preserve">. In addition, a relationship between cognition and EQ-5D dimension “anxiety/depression” was observed – whereby reporting more problems in this dimension corresponded with greater MMSE scores (less cognitive impairment) </w:t>
      </w:r>
      <w:r>
        <w:rPr>
          <w:rFonts w:asciiTheme="minorHAnsi" w:hAnsiTheme="minorHAnsi" w:cstheme="minorHAnsi"/>
          <w:noProof/>
        </w:rPr>
        <w:t>(Ankri et al., 2003)</w:t>
      </w:r>
      <w:r w:rsidRPr="00037AD4">
        <w:rPr>
          <w:rFonts w:asciiTheme="minorHAnsi" w:hAnsiTheme="minorHAnsi" w:cstheme="minorHAnsi"/>
        </w:rPr>
        <w:t xml:space="preserve">. These findings potentially highlight the greater self-awareness at earlier cognitive stages, whereby the person can recognise their own deterioration, as well as newly identifying with the label of the dementia diagnosis (thereby inducing “anxiety/depression”). </w:t>
      </w:r>
    </w:p>
    <w:p w14:paraId="25014F2C" w14:textId="77777777" w:rsidR="00B54D51" w:rsidRPr="00037AD4" w:rsidRDefault="00B54D51" w:rsidP="003F5411">
      <w:pPr>
        <w:pStyle w:val="NormalWeb"/>
        <w:rPr>
          <w:rFonts w:asciiTheme="minorHAnsi" w:hAnsiTheme="minorHAnsi" w:cstheme="minorHAnsi"/>
        </w:rPr>
      </w:pPr>
      <w:r w:rsidRPr="00037AD4">
        <w:rPr>
          <w:rFonts w:asciiTheme="minorHAnsi" w:hAnsiTheme="minorHAnsi" w:cstheme="minorHAnsi"/>
        </w:rPr>
        <w:t xml:space="preserve">The evidence on the convergent validity between EQ-5D and function was more robust. Fifteen studies reported a statistically significant positive association between the outcomes, whereby greater functional impairment was correlated with lower EQ-5D as hypothesised. This finding is echoed within the wider literature whereby using ADL as a marker of disease progression within economic models has been suggested, due to its importance within dementia disease experience and its alignment with HRQoL </w:t>
      </w:r>
      <w:r>
        <w:rPr>
          <w:rFonts w:asciiTheme="minorHAnsi" w:hAnsiTheme="minorHAnsi" w:cstheme="minorHAnsi"/>
          <w:noProof/>
        </w:rPr>
        <w:t>(Sopina and Sørensen, 2018)</w:t>
      </w:r>
      <w:r w:rsidRPr="00037AD4">
        <w:rPr>
          <w:rFonts w:asciiTheme="minorHAnsi" w:hAnsiTheme="minorHAnsi" w:cstheme="minorHAnsi"/>
        </w:rPr>
        <w:t xml:space="preserve">. Only two studies reported a negative association with self-reported EQ-5D, however both findings were from mild-stage study samples, where it would be expected that functional impairment would be relatively low. Overall, the studies that reported non-significant results were mainly (75%) from sample sizes of &lt;200, further highlighting the challenges associated with considering smaller studies for psychometric appraisals. As previously outlined, there are two fundamental types of ADL: BADLs and IADLs. Where there </w:t>
      </w:r>
      <w:r w:rsidRPr="00037AD4">
        <w:rPr>
          <w:rFonts w:asciiTheme="minorHAnsi" w:hAnsiTheme="minorHAnsi" w:cstheme="minorHAnsi"/>
        </w:rPr>
        <w:lastRenderedPageBreak/>
        <w:t>were mixed reports such that proxy-EQ-5D correlated with the measure of function, but self-reported EQ-5D did not, the instruments were measures of IADL (ADCS-ADL</w:t>
      </w:r>
      <w:r>
        <w:rPr>
          <w:rFonts w:asciiTheme="minorHAnsi" w:hAnsiTheme="minorHAnsi" w:cstheme="minorHAnsi"/>
        </w:rPr>
        <w:t xml:space="preserve"> </w:t>
      </w:r>
      <w:r>
        <w:rPr>
          <w:rFonts w:asciiTheme="minorHAnsi" w:hAnsiTheme="minorHAnsi" w:cstheme="minorHAnsi"/>
          <w:noProof/>
        </w:rPr>
        <w:t>(Bhattacharya et al., 2010, Heßmann et al., 2016)</w:t>
      </w:r>
      <w:r w:rsidRPr="00037AD4">
        <w:rPr>
          <w:rFonts w:asciiTheme="minorHAnsi" w:hAnsiTheme="minorHAnsi" w:cstheme="minorHAnsi"/>
        </w:rPr>
        <w:t xml:space="preserve"> and Lawton Scale </w:t>
      </w:r>
      <w:r>
        <w:rPr>
          <w:rFonts w:asciiTheme="minorHAnsi" w:hAnsiTheme="minorHAnsi" w:cstheme="minorHAnsi"/>
          <w:noProof/>
        </w:rPr>
        <w:t>(Bonfiglio et al., 2019, Sheehan et al., 2012)</w:t>
      </w:r>
      <w:r w:rsidRPr="00037AD4">
        <w:rPr>
          <w:rFonts w:asciiTheme="minorHAnsi" w:hAnsiTheme="minorHAnsi" w:cstheme="minorHAnsi"/>
        </w:rPr>
        <w:t xml:space="preserve">). As IADLs are daily tasks that are not necessary for functional living, e.g., handling finances, it may be that people with dementia do not recognise their impairments in conducting these activities as they are now being performed by a proxy, and that the proxy is more aware of these impairments and their impact. All the studies that measured BADLs showed evidence of convergent validity with EQ-5D. In dementia progression, IADL impairment is experienced sooner and BADLs are not impacted until the more severe stages of disease </w:t>
      </w:r>
      <w:r>
        <w:rPr>
          <w:rFonts w:asciiTheme="minorHAnsi" w:hAnsiTheme="minorHAnsi" w:cstheme="minorHAnsi"/>
          <w:noProof/>
        </w:rPr>
        <w:t>(McLaughlin et al., 2010, Desai et al., 2004)</w:t>
      </w:r>
      <w:r w:rsidRPr="00037AD4">
        <w:rPr>
          <w:rFonts w:asciiTheme="minorHAnsi" w:hAnsiTheme="minorHAnsi" w:cstheme="minorHAnsi"/>
        </w:rPr>
        <w:t xml:space="preserve">. Therefore, the relationship between EQ-5D with BADLs is not unanticipated, with EQ-5D being a measure of health status, it has been found to be more responsive to changes in severe stages of disease </w:t>
      </w:r>
      <w:r>
        <w:rPr>
          <w:rFonts w:asciiTheme="minorHAnsi" w:hAnsiTheme="minorHAnsi" w:cstheme="minorHAnsi"/>
          <w:noProof/>
        </w:rPr>
        <w:t>(Payakachat et al., 2015b)</w:t>
      </w:r>
      <w:r w:rsidRPr="00037AD4">
        <w:rPr>
          <w:rFonts w:asciiTheme="minorHAnsi" w:hAnsiTheme="minorHAnsi" w:cstheme="minorHAnsi"/>
        </w:rPr>
        <w:t>.</w:t>
      </w:r>
    </w:p>
    <w:p w14:paraId="3E471E61" w14:textId="77777777" w:rsidR="00B54D51" w:rsidRPr="00037AD4" w:rsidRDefault="00B54D51" w:rsidP="003F5411">
      <w:pPr>
        <w:pStyle w:val="NormalWeb"/>
        <w:rPr>
          <w:rFonts w:asciiTheme="minorHAnsi" w:hAnsiTheme="minorHAnsi" w:cstheme="minorHAnsi"/>
        </w:rPr>
      </w:pPr>
      <w:r w:rsidRPr="00037AD4">
        <w:rPr>
          <w:rFonts w:asciiTheme="minorHAnsi" w:hAnsiTheme="minorHAnsi" w:cstheme="minorHAnsi"/>
        </w:rPr>
        <w:t xml:space="preserve">It was hypothesised that lower EQ-5D scores would be associated with greater behavioural/mood disturbances, as demonstrated by a negative correlation. The included measures captured different aspects of behaviour/mood. The only study where agitation (via CMAI) was measured reported a statistically significant relationship with EQ-5D-proxy </w:t>
      </w:r>
      <w:r>
        <w:rPr>
          <w:rFonts w:asciiTheme="minorHAnsi" w:hAnsiTheme="minorHAnsi" w:cstheme="minorHAnsi"/>
          <w:noProof/>
        </w:rPr>
        <w:t>(Martin et al., 2019)</w:t>
      </w:r>
      <w:r w:rsidRPr="00037AD4">
        <w:rPr>
          <w:rFonts w:asciiTheme="minorHAnsi" w:hAnsiTheme="minorHAnsi" w:cstheme="minorHAnsi"/>
        </w:rPr>
        <w:t xml:space="preserve">. Similarly, the evidence of convergent validity between neuropsychiatric disturbance (via NPI) and EQ-5D index scores was only statistically significant for proxy-report. Whereas evidence of EQ-5D convergent validity with measures of depression was observed to a greater extent with self-report. As depression is a more personal experience, and the NPI additionally captures broader neuropsychiatric symptoms, this pattern of association is predictable. However, this finding should be interpreted with caution as it is important to consider the impact of the administration of these symptom measures. The measures of depression are self-reported by the PwD themselves, while the broader symptom measures such as the NPI are proxy reported. Therefore, the relationships observed may be impacted by </w:t>
      </w:r>
      <w:r w:rsidRPr="00037AD4">
        <w:rPr>
          <w:rFonts w:asciiTheme="minorHAnsi" w:hAnsiTheme="minorHAnsi" w:cstheme="minorHAnsi"/>
          <w:i/>
          <w:iCs/>
        </w:rPr>
        <w:t>who</w:t>
      </w:r>
      <w:r w:rsidRPr="00037AD4">
        <w:rPr>
          <w:rFonts w:asciiTheme="minorHAnsi" w:hAnsiTheme="minorHAnsi" w:cstheme="minorHAnsi"/>
        </w:rPr>
        <w:t xml:space="preserve"> is completing both measures, as opposed to the content of the measures themselves. </w:t>
      </w:r>
    </w:p>
    <w:p w14:paraId="49654F72" w14:textId="77777777" w:rsidR="00B54D51" w:rsidRPr="00037AD4" w:rsidRDefault="00B54D51" w:rsidP="003F5411">
      <w:pPr>
        <w:pStyle w:val="NormalWeb"/>
        <w:rPr>
          <w:rFonts w:asciiTheme="minorHAnsi" w:hAnsiTheme="minorHAnsi" w:cstheme="minorHAnsi"/>
        </w:rPr>
      </w:pPr>
      <w:r w:rsidRPr="00037AD4">
        <w:rPr>
          <w:rFonts w:asciiTheme="minorHAnsi" w:hAnsiTheme="minorHAnsi" w:cstheme="minorHAnsi"/>
        </w:rPr>
        <w:t xml:space="preserve">A key objective of this review was to explore the evidence surrounding convergent validity of EQ-5D dimensions with the core dementia outcome measures. The findings show that while the “observable” dimensions “mobility”, “self-care” and “usual activities” were associated with functional measures, the “non-observable” dimension “anxiety/depression” was associated with the measures of cognition and behaviour/mood. Although these findings indicate relationships between the symptom measures and the appropriate corresponding EQ-5D dimensions (thus demonstrating convergent validity of EQ-5D at the dimension-level), they should be interpreted with caution. Firstly, one paper reported that GDS had moderate convergent validity with all EQ-5D dimensions (minus “pain/discomfort”) </w:t>
      </w:r>
      <w:r>
        <w:rPr>
          <w:rFonts w:asciiTheme="minorHAnsi" w:hAnsiTheme="minorHAnsi" w:cstheme="minorHAnsi"/>
          <w:noProof/>
        </w:rPr>
        <w:t>(Michalowsky et al., 2021)</w:t>
      </w:r>
      <w:r w:rsidRPr="00037AD4">
        <w:rPr>
          <w:rFonts w:asciiTheme="minorHAnsi" w:hAnsiTheme="minorHAnsi" w:cstheme="minorHAnsi"/>
        </w:rPr>
        <w:t>. Secondly, as highlighted by Karlawish et al (2008), 41% of EQ-5D scores were at 1.0 (perfect health), and people did not self-report impairment in dimensions such as “usual activities”, where one would typically expect to see disability in this population</w:t>
      </w:r>
      <w:r>
        <w:rPr>
          <w:rFonts w:asciiTheme="minorHAnsi" w:hAnsiTheme="minorHAnsi" w:cstheme="minorHAnsi"/>
        </w:rPr>
        <w:t xml:space="preserve"> </w:t>
      </w:r>
      <w:r>
        <w:rPr>
          <w:rFonts w:asciiTheme="minorHAnsi" w:hAnsiTheme="minorHAnsi" w:cstheme="minorHAnsi"/>
          <w:noProof/>
        </w:rPr>
        <w:t>(Karlawish et al., 2008a)</w:t>
      </w:r>
      <w:r w:rsidRPr="00037AD4">
        <w:rPr>
          <w:rFonts w:asciiTheme="minorHAnsi" w:hAnsiTheme="minorHAnsi" w:cstheme="minorHAnsi"/>
        </w:rPr>
        <w:t xml:space="preserve">. Lastly, the number of papers reporting evidence at the EQ-5D dimension level was low (n=7) and as indicated by Michalowsky et al (2021), there are additional factors to consider when observing dimensions on both EQ-5D-3L and EQ-5D-5L </w:t>
      </w:r>
      <w:r>
        <w:rPr>
          <w:rFonts w:asciiTheme="minorHAnsi" w:hAnsiTheme="minorHAnsi" w:cstheme="minorHAnsi"/>
          <w:noProof/>
        </w:rPr>
        <w:t>(Michalowsky et al., 2021)</w:t>
      </w:r>
      <w:r w:rsidRPr="00037AD4">
        <w:rPr>
          <w:rFonts w:asciiTheme="minorHAnsi" w:hAnsiTheme="minorHAnsi" w:cstheme="minorHAnsi"/>
        </w:rPr>
        <w:t xml:space="preserve">. </w:t>
      </w:r>
    </w:p>
    <w:p w14:paraId="4EA5AAF2" w14:textId="77777777" w:rsidR="00B54D51" w:rsidRPr="00037AD4" w:rsidRDefault="00B54D51" w:rsidP="003F5411">
      <w:pPr>
        <w:pStyle w:val="NormalWeb"/>
        <w:rPr>
          <w:rFonts w:asciiTheme="minorHAnsi" w:hAnsiTheme="minorHAnsi" w:cstheme="minorHAnsi"/>
        </w:rPr>
      </w:pPr>
      <w:r w:rsidRPr="00037AD4">
        <w:rPr>
          <w:rFonts w:asciiTheme="minorHAnsi" w:hAnsiTheme="minorHAnsi" w:cstheme="minorHAnsi"/>
        </w:rPr>
        <w:lastRenderedPageBreak/>
        <w:t xml:space="preserve">Evidence assessing inter-rater agreement between self and proxy reports of EQ-5D index scores and where possible, EQ-5D dimensions mirrors the existing evidence – inter-rater agreement was generally poor, particularly for EQ-5D index scores. People with dementia self-reported fewer problems than their proxies. This finding is established within the literature </w:t>
      </w:r>
      <w:r>
        <w:rPr>
          <w:rFonts w:asciiTheme="minorHAnsi" w:hAnsiTheme="minorHAnsi" w:cstheme="minorHAnsi"/>
          <w:noProof/>
        </w:rPr>
        <w:t>(Hounsome et al., 2011, Shearer et al., 2012, Rand and Caiels, 2015)</w:t>
      </w:r>
      <w:r w:rsidRPr="00037AD4">
        <w:rPr>
          <w:rFonts w:asciiTheme="minorHAnsi" w:hAnsiTheme="minorHAnsi" w:cstheme="minorHAnsi"/>
        </w:rPr>
        <w:t xml:space="preserve"> and is theorised to be the result of various factors such as response-shift</w:t>
      </w:r>
      <w:r>
        <w:rPr>
          <w:rFonts w:asciiTheme="minorHAnsi" w:hAnsiTheme="minorHAnsi" w:cstheme="minorHAnsi"/>
        </w:rPr>
        <w:t xml:space="preserve"> </w:t>
      </w:r>
      <w:r>
        <w:rPr>
          <w:rFonts w:asciiTheme="minorHAnsi" w:hAnsiTheme="minorHAnsi" w:cstheme="minorHAnsi"/>
          <w:noProof/>
        </w:rPr>
        <w:t>(Römhild et al., 2018, Sprangers and Schwartz, 1999)</w:t>
      </w:r>
      <w:r w:rsidRPr="00037AD4">
        <w:rPr>
          <w:rFonts w:asciiTheme="minorHAnsi" w:hAnsiTheme="minorHAnsi" w:cstheme="minorHAnsi"/>
        </w:rPr>
        <w:t xml:space="preserve"> and/or proxy burden resulting in “projection bias” </w:t>
      </w:r>
      <w:r>
        <w:rPr>
          <w:rFonts w:asciiTheme="minorHAnsi" w:hAnsiTheme="minorHAnsi" w:cstheme="minorHAnsi"/>
          <w:noProof/>
        </w:rPr>
        <w:t>(Shearer et al., 2012, Gräske et al., 2014, Gómez-Gallego et al., 2012)</w:t>
      </w:r>
      <w:r w:rsidRPr="00037AD4">
        <w:rPr>
          <w:rFonts w:asciiTheme="minorHAnsi" w:hAnsiTheme="minorHAnsi" w:cstheme="minorHAnsi"/>
        </w:rPr>
        <w:t xml:space="preserve">. </w:t>
      </w:r>
    </w:p>
    <w:p w14:paraId="449BDA49" w14:textId="77777777" w:rsidR="00B54D51" w:rsidRPr="00037AD4" w:rsidRDefault="00B54D51" w:rsidP="003F5411">
      <w:pPr>
        <w:pStyle w:val="NormalWeb"/>
        <w:rPr>
          <w:rFonts w:asciiTheme="minorHAnsi" w:hAnsiTheme="minorHAnsi" w:cstheme="minorHAnsi"/>
        </w:rPr>
      </w:pPr>
      <w:r w:rsidRPr="00037AD4">
        <w:rPr>
          <w:rFonts w:asciiTheme="minorHAnsi" w:hAnsiTheme="minorHAnsi" w:cstheme="minorHAnsi"/>
        </w:rPr>
        <w:t xml:space="preserve">When analysing inter-rater agreement at the dimension-level the findings were mixed. For the “non-observable” dimensions of “pain/discomfort” and “anxiety/depression”, agreement was low. This was also the case for the “self-care” dimension. The “observable” dimension of “mobility” was reported to have the strongest inter-rater agreement. Bonfiglio et al (2019) commented on this phenomenon, highlighting the difficulty in establishing agreement between people with dementia and proxies for non-observable factors such as “pain/discomfort” and “anxiety/depression” </w:t>
      </w:r>
      <w:r>
        <w:rPr>
          <w:rFonts w:asciiTheme="minorHAnsi" w:hAnsiTheme="minorHAnsi" w:cstheme="minorHAnsi"/>
          <w:noProof/>
        </w:rPr>
        <w:t>(Bonfiglio et al., 2019)</w:t>
      </w:r>
      <w:r w:rsidRPr="00037AD4">
        <w:rPr>
          <w:rFonts w:asciiTheme="minorHAnsi" w:hAnsiTheme="minorHAnsi" w:cstheme="minorHAnsi"/>
        </w:rPr>
        <w:t xml:space="preserve">. Overall, proxy-assessments tend to show a higher degree of association with the symptom measures, an observation that has been recurrently noted in the wider literature </w:t>
      </w:r>
      <w:r>
        <w:rPr>
          <w:rFonts w:asciiTheme="minorHAnsi" w:hAnsiTheme="minorHAnsi" w:cstheme="minorHAnsi"/>
          <w:noProof/>
        </w:rPr>
        <w:t>(Muus et al., 2009, Elliott et al., 2006, Pickard and Knight, 2005, Rand and Caiels, 2015)</w:t>
      </w:r>
      <w:r w:rsidRPr="00037AD4">
        <w:rPr>
          <w:rFonts w:asciiTheme="minorHAnsi" w:hAnsiTheme="minorHAnsi" w:cstheme="minorHAnsi"/>
        </w:rPr>
        <w:t xml:space="preserve"> and may be influenced by disease severity. Garre-Olmo et al (2017) reported that strength of the relationship between function (via DAD) and EQ-5D increased with increasing disease severity </w:t>
      </w:r>
      <w:r>
        <w:rPr>
          <w:rFonts w:asciiTheme="minorHAnsi" w:hAnsiTheme="minorHAnsi" w:cstheme="minorHAnsi"/>
          <w:noProof/>
        </w:rPr>
        <w:t>(Garre-Olmo et al., 2017)</w:t>
      </w:r>
      <w:r w:rsidRPr="00037AD4">
        <w:rPr>
          <w:rFonts w:asciiTheme="minorHAnsi" w:hAnsiTheme="minorHAnsi" w:cstheme="minorHAnsi"/>
        </w:rPr>
        <w:t xml:space="preserve">. However, exploring the impact of disease severity was beyond the scope of this review. </w:t>
      </w:r>
    </w:p>
    <w:p w14:paraId="2A11EA3A" w14:textId="77777777" w:rsidR="00B54D51" w:rsidRPr="00037AD4" w:rsidRDefault="00B54D51" w:rsidP="007A43F9">
      <w:pPr>
        <w:pStyle w:val="Heading4"/>
      </w:pPr>
      <w:r w:rsidRPr="00037AD4">
        <w:t xml:space="preserve">3.7.5.1 Strengths and limitations </w:t>
      </w:r>
    </w:p>
    <w:p w14:paraId="0C538665" w14:textId="77777777" w:rsidR="00B54D51" w:rsidRPr="00037AD4" w:rsidRDefault="00B54D51" w:rsidP="003F5411">
      <w:pPr>
        <w:pStyle w:val="NormalWeb"/>
        <w:rPr>
          <w:rFonts w:asciiTheme="minorHAnsi" w:hAnsiTheme="minorHAnsi" w:cstheme="minorHAnsi"/>
        </w:rPr>
      </w:pPr>
      <w:r w:rsidRPr="00037AD4">
        <w:rPr>
          <w:rFonts w:asciiTheme="minorHAnsi" w:hAnsiTheme="minorHAnsi" w:cstheme="minorHAnsi"/>
        </w:rPr>
        <w:t xml:space="preserve">A key strength of this review is that it addresses a research area that has not been fully explored, and is to my knowledge, the first review of its kind to specifically synthesise the relevant evidence of EQ-5D convergent validity with dementia outcomes. However, the search strategy was only applied to limited electronic databases and therefore there may have been relevant studies that were not identified for this review (additional chain-searching of references was performed in an aim to minimise this). Only published journal articles in English language were included, resulting in a total of only 30 papers, and 25 papers were excluded solely because of the absence of extractable data. This highlights the lack of research focusing exclusively on psychometric properties, as this was a specified objective of only n=16 papers, with the review evidence originating mainly from trials and observational studies. However, despite the lack of studies with a specific psychometric focus, over half of the included studies were deemed as high quality for evaluating convergent validity. In addition, as the core dementia outcome measures considered within this review were pre-determined, it is possible that not all measures were covered in the evaluation. However, to mitigate against this potential bias, a methodological approach was adopted in selecting the core outcome measures for consideration. </w:t>
      </w:r>
    </w:p>
    <w:p w14:paraId="7B578390" w14:textId="77777777" w:rsidR="00B54D51" w:rsidRPr="00037AD4" w:rsidRDefault="00B54D51" w:rsidP="003F5411">
      <w:pPr>
        <w:pStyle w:val="NormalWeb"/>
        <w:rPr>
          <w:rFonts w:asciiTheme="minorHAnsi" w:hAnsiTheme="minorHAnsi" w:cstheme="minorHAnsi"/>
        </w:rPr>
      </w:pPr>
      <w:r w:rsidRPr="00037AD4">
        <w:rPr>
          <w:rFonts w:asciiTheme="minorHAnsi" w:hAnsiTheme="minorHAnsi" w:cstheme="minorHAnsi"/>
        </w:rPr>
        <w:t xml:space="preserve">The inclusion criteria were broad, a range of study types were included, and no date restriction was applied to the online databases. Another strength was the exploration of inter-rater reliability and extracting this information at the EQ-5D dimension-level where available. Lastly, there are several factors that were not explored as they were beyond the </w:t>
      </w:r>
      <w:r w:rsidRPr="00037AD4">
        <w:rPr>
          <w:rFonts w:asciiTheme="minorHAnsi" w:hAnsiTheme="minorHAnsi" w:cstheme="minorHAnsi"/>
        </w:rPr>
        <w:lastRenderedPageBreak/>
        <w:t xml:space="preserve">scope of this review. The characteristics of the proxy (i.e., sociodemographic factors) and pragmatic aspects i.e., instrument administration method were not explored, which could potentially impact the findings. A previously published study reported that where caregivers themselves were in pain </w:t>
      </w:r>
      <w:r>
        <w:rPr>
          <w:rFonts w:asciiTheme="minorHAnsi" w:hAnsiTheme="minorHAnsi" w:cstheme="minorHAnsi"/>
          <w:noProof/>
        </w:rPr>
        <w:t>(Orgeta et al., 2015b)</w:t>
      </w:r>
      <w:r w:rsidRPr="00037AD4">
        <w:rPr>
          <w:rFonts w:asciiTheme="minorHAnsi" w:hAnsiTheme="minorHAnsi" w:cstheme="minorHAnsi"/>
        </w:rPr>
        <w:t xml:space="preserve">, they reported more problems with pain in the PwD, inferring projection bias. Additionally, one of the studies commented on the difference in validity by proxy type, reporting that the data provided by clinician-proxies, when compared to that of informal caregivers, had higher construct validity for the more “observable” dimensions of EQ-5D (i.e., “mobility” and “self-care”). On the other hand, data from informal caregivers had higher construct validity for the less observable dimensions (i.e., “anxiety/depression”). </w:t>
      </w:r>
    </w:p>
    <w:p w14:paraId="675F3853" w14:textId="77777777" w:rsidR="00B54D51" w:rsidRPr="00037AD4" w:rsidRDefault="00B54D51" w:rsidP="007A43F9">
      <w:pPr>
        <w:pStyle w:val="Heading3"/>
      </w:pPr>
      <w:bookmarkStart w:id="314" w:name="_Toc175742297"/>
      <w:r w:rsidRPr="00037AD4">
        <w:t>3.7.6 Conclusion</w:t>
      </w:r>
      <w:bookmarkEnd w:id="314"/>
      <w:r w:rsidRPr="00037AD4">
        <w:t xml:space="preserve"> </w:t>
      </w:r>
    </w:p>
    <w:p w14:paraId="4B00C2A9" w14:textId="77777777" w:rsidR="00B54D51" w:rsidRPr="00037AD4" w:rsidRDefault="00B54D51" w:rsidP="003F5411">
      <w:pPr>
        <w:pStyle w:val="NormalWeb"/>
        <w:rPr>
          <w:rFonts w:asciiTheme="minorHAnsi" w:hAnsiTheme="minorHAnsi" w:cstheme="minorHAnsi"/>
        </w:rPr>
      </w:pPr>
      <w:r w:rsidRPr="00037AD4">
        <w:rPr>
          <w:rFonts w:asciiTheme="minorHAnsi" w:hAnsiTheme="minorHAnsi" w:cstheme="minorHAnsi"/>
        </w:rPr>
        <w:t xml:space="preserve">This systematic literature review concludes that there is published evidence to indicate convergent validity between EQ-5D and the core dementia outcome measures of function, behaviour/mood, and cognition in the expected directions. Additionally, at the dimension-level, EQ-5D dimensions show associations with specific symptom measures, whereby the degree of association differed by respondent-type (PwD-self vs. proxy respondents). Overall inter-rater agreement was poor, particularly for the “non-observable” dimensions of EQ-5D (i.e., “pain/discomfort”, “anxiety/depression”). It should, however, be noted that these conclusions are based on very limited published data, and this review highlights the lack of studies investigating the psychometric properties of measures for use in dementia populations. </w:t>
      </w:r>
    </w:p>
    <w:p w14:paraId="7738A68E" w14:textId="77777777" w:rsidR="00B54D51" w:rsidRPr="00037AD4" w:rsidRDefault="00B54D51" w:rsidP="003F5411">
      <w:pPr>
        <w:pStyle w:val="NormalWeb"/>
        <w:rPr>
          <w:rFonts w:asciiTheme="minorHAnsi" w:hAnsiTheme="minorHAnsi" w:cstheme="minorHAnsi"/>
        </w:rPr>
      </w:pPr>
      <w:r w:rsidRPr="00037AD4">
        <w:rPr>
          <w:rFonts w:asciiTheme="minorHAnsi" w:hAnsiTheme="minorHAnsi" w:cstheme="minorHAnsi"/>
        </w:rPr>
        <w:t xml:space="preserve">Measuring HRQoL in dementia populations is a complex issue, particularly when considering the challenges with both PwD and proxy reporting. This review revealed that, despite the limited evidence pool, EQ-5D exhibits convergent validity with other dementia outcomes, and that for “observable” dimensions (i.e., “mobility”, “self-care”, “usual activities”), the associations are stronger when using proxy-EQ-5D. There is currently no guidance on which report to use in evaluations and how to </w:t>
      </w:r>
      <w:r>
        <w:rPr>
          <w:rFonts w:asciiTheme="minorHAnsi" w:hAnsiTheme="minorHAnsi" w:cstheme="minorHAnsi"/>
        </w:rPr>
        <w:t>integrate</w:t>
      </w:r>
      <w:r w:rsidRPr="00037AD4">
        <w:rPr>
          <w:rFonts w:asciiTheme="minorHAnsi" w:hAnsiTheme="minorHAnsi" w:cstheme="minorHAnsi"/>
        </w:rPr>
        <w:t xml:space="preserve"> scores. Future studies could explore whether a combination of EQ-5D dimensions reports from both respondent types could be considered for use in evaluations. </w:t>
      </w:r>
    </w:p>
    <w:p w14:paraId="535A9BA2" w14:textId="77777777" w:rsidR="00B54D51" w:rsidRPr="00037AD4" w:rsidRDefault="00B54D51" w:rsidP="00FD3058">
      <w:pPr>
        <w:pStyle w:val="NormalWeb"/>
        <w:rPr>
          <w:rFonts w:asciiTheme="minorHAnsi" w:hAnsiTheme="minorHAnsi" w:cstheme="minorHAnsi"/>
          <w:b/>
          <w:bCs/>
          <w:u w:val="single"/>
        </w:rPr>
      </w:pPr>
    </w:p>
    <w:p w14:paraId="56116E0B" w14:textId="77777777" w:rsidR="00B54D51" w:rsidRPr="00037AD4" w:rsidRDefault="00B54D51" w:rsidP="00FD3058">
      <w:pPr>
        <w:pStyle w:val="NormalWeb"/>
        <w:rPr>
          <w:rFonts w:asciiTheme="minorHAnsi" w:hAnsiTheme="minorHAnsi" w:cstheme="minorHAnsi"/>
        </w:rPr>
      </w:pPr>
    </w:p>
    <w:p w14:paraId="75B76DD1" w14:textId="77777777" w:rsidR="00B54D51" w:rsidRPr="00037AD4" w:rsidRDefault="00B54D51" w:rsidP="00FD3058">
      <w:pPr>
        <w:pStyle w:val="NormalWeb"/>
        <w:rPr>
          <w:rFonts w:asciiTheme="minorHAnsi" w:hAnsiTheme="minorHAnsi" w:cstheme="minorHAnsi"/>
        </w:rPr>
      </w:pPr>
    </w:p>
    <w:p w14:paraId="18FCD241" w14:textId="77777777" w:rsidR="00B54D51" w:rsidRPr="00037AD4" w:rsidRDefault="00B54D51" w:rsidP="00FD3058">
      <w:pPr>
        <w:pStyle w:val="NormalWeb"/>
        <w:rPr>
          <w:rFonts w:asciiTheme="minorHAnsi" w:hAnsiTheme="minorHAnsi" w:cstheme="minorHAnsi"/>
        </w:rPr>
      </w:pPr>
    </w:p>
    <w:p w14:paraId="361ACDAC" w14:textId="77777777" w:rsidR="00B54D51" w:rsidRPr="00037AD4" w:rsidRDefault="00B54D51" w:rsidP="00FD3058">
      <w:pPr>
        <w:pStyle w:val="NormalWeb"/>
        <w:rPr>
          <w:rFonts w:asciiTheme="minorHAnsi" w:hAnsiTheme="minorHAnsi" w:cstheme="minorHAnsi"/>
        </w:rPr>
      </w:pPr>
    </w:p>
    <w:p w14:paraId="3D5112F4" w14:textId="77777777" w:rsidR="00B54D51" w:rsidRPr="00037AD4" w:rsidRDefault="00B54D51" w:rsidP="00FD3058">
      <w:pPr>
        <w:pStyle w:val="NormalWeb"/>
        <w:rPr>
          <w:rFonts w:asciiTheme="minorHAnsi" w:hAnsiTheme="minorHAnsi" w:cstheme="minorHAnsi"/>
        </w:rPr>
      </w:pPr>
    </w:p>
    <w:p w14:paraId="6A5101D1" w14:textId="77777777" w:rsidR="00B54D51" w:rsidRPr="00037AD4" w:rsidRDefault="00B54D51" w:rsidP="00FD3058">
      <w:pPr>
        <w:pStyle w:val="NormalWeb"/>
        <w:rPr>
          <w:rFonts w:asciiTheme="minorHAnsi" w:hAnsiTheme="minorHAnsi" w:cstheme="minorHAnsi"/>
        </w:rPr>
      </w:pPr>
    </w:p>
    <w:p w14:paraId="40BF8D56" w14:textId="77777777" w:rsidR="00B54D51" w:rsidRPr="00037AD4" w:rsidRDefault="00B54D51" w:rsidP="007A43F9">
      <w:pPr>
        <w:pStyle w:val="Heading1"/>
      </w:pPr>
      <w:bookmarkStart w:id="315" w:name="_4_Descriptive_statistics"/>
      <w:bookmarkStart w:id="316" w:name="_Toc175742298"/>
      <w:bookmarkEnd w:id="315"/>
      <w:r w:rsidRPr="00037AD4">
        <w:lastRenderedPageBreak/>
        <w:t>4 Descriptive statistics of dementia trial data</w:t>
      </w:r>
      <w:bookmarkEnd w:id="316"/>
    </w:p>
    <w:p w14:paraId="0F9DF0FD" w14:textId="77777777" w:rsidR="00B54D51" w:rsidRPr="00037AD4" w:rsidRDefault="00B54D51" w:rsidP="00F3452A"/>
    <w:p w14:paraId="3932DE18" w14:textId="77777777" w:rsidR="00B54D51" w:rsidRPr="00037AD4" w:rsidRDefault="00B54D51" w:rsidP="00F3452A">
      <w:pPr>
        <w:rPr>
          <w:rFonts w:asciiTheme="minorHAnsi" w:hAnsiTheme="minorHAnsi" w:cstheme="minorHAnsi"/>
        </w:rPr>
      </w:pPr>
      <w:r w:rsidRPr="00037AD4">
        <w:rPr>
          <w:rFonts w:asciiTheme="minorHAnsi" w:hAnsiTheme="minorHAnsi" w:cstheme="minorHAnsi"/>
        </w:rPr>
        <w:t>In the context of dementia research, assessing HRQoL presents challenges when considering self and proxy evaluations. Chapter Two highlights these challenges, noting a discrepancy in scores and establishing EQ-5D as a suitable HRQoL instrument for use in dementia populations. The central aim of this thesis is to delve into the debate surrounding which respondent’s EQ-5D data (PwD or proxy) should be used to inform QALY estimations in dementia evaluations.</w:t>
      </w:r>
    </w:p>
    <w:p w14:paraId="6F7F23CB" w14:textId="77777777" w:rsidR="00B54D51" w:rsidRPr="00037AD4" w:rsidRDefault="00B54D51" w:rsidP="00F3452A">
      <w:pPr>
        <w:rPr>
          <w:rFonts w:asciiTheme="minorHAnsi" w:hAnsiTheme="minorHAnsi" w:cstheme="minorHAnsi"/>
        </w:rPr>
      </w:pPr>
    </w:p>
    <w:p w14:paraId="7B8D2438" w14:textId="77777777" w:rsidR="00B54D51" w:rsidRPr="00037AD4" w:rsidRDefault="00B54D51" w:rsidP="003F09FC">
      <w:pPr>
        <w:rPr>
          <w:rFonts w:asciiTheme="minorHAnsi" w:hAnsiTheme="minorHAnsi" w:cstheme="minorHAnsi"/>
        </w:rPr>
      </w:pPr>
      <w:r w:rsidRPr="00037AD4">
        <w:rPr>
          <w:rFonts w:asciiTheme="minorHAnsi" w:hAnsiTheme="minorHAnsi" w:cstheme="minorHAnsi"/>
        </w:rPr>
        <w:t xml:space="preserve">Chapter Three investigates dementia outcome measures, aiming to gauge existing practices in trials and studies while identifying key symptom areas. Core outcome sets are identified which include symptom measures across cognition, function, behaviour/mood, and quality of life domains. This chapter also contrasts EQ-5D with dementia-specific measures, further appraising the value of EQ-5D in the context of dementia research and acknowledging the trade-off between specificity and generalisability of HRQoL measures. Additionally, Chapter Three includes a systematic review to assess EQ-5D's convergent validity with dementia symptom measures, revealing stronger associations with proxy reports. However, here it was shown that there are limited published studies that apply psychometric analyses to explore the inter-rater gap, particularly at the dimension-level of EQ-5D (a research gap that was identified in the systematic review of </w:t>
      </w:r>
      <w:hyperlink w:anchor="_3.7_Convergent_validity" w:history="1">
        <w:r w:rsidRPr="00B54D51">
          <w:rPr>
            <w:rStyle w:val="Hyperlink"/>
            <w:rFonts w:asciiTheme="minorHAnsi" w:hAnsiTheme="minorHAnsi" w:cstheme="minorHAnsi"/>
            <w:color w:val="auto"/>
            <w:u w:val="none"/>
          </w:rPr>
          <w:t>Chapter Three (presented in Section 3.7)).</w:t>
        </w:r>
      </w:hyperlink>
      <w:r w:rsidRPr="00B54D51">
        <w:rPr>
          <w:rFonts w:asciiTheme="minorHAnsi" w:hAnsiTheme="minorHAnsi" w:cstheme="minorHAnsi"/>
        </w:rPr>
        <w:t xml:space="preserve"> </w:t>
      </w:r>
      <w:r w:rsidRPr="00037AD4">
        <w:rPr>
          <w:rFonts w:asciiTheme="minorHAnsi" w:hAnsiTheme="minorHAnsi" w:cstheme="minorHAnsi"/>
        </w:rPr>
        <w:t>Dimension-level evidence could support the development of a solution to the PwD-proxy problem by assessing</w:t>
      </w:r>
      <w:r w:rsidRPr="00037AD4">
        <w:rPr>
          <w:rFonts w:asciiTheme="minorHAnsi" w:hAnsiTheme="minorHAnsi" w:cstheme="minorHAnsi"/>
          <w:i/>
          <w:iCs/>
        </w:rPr>
        <w:t xml:space="preserve"> </w:t>
      </w:r>
      <w:r w:rsidRPr="00037AD4">
        <w:rPr>
          <w:rFonts w:asciiTheme="minorHAnsi" w:hAnsiTheme="minorHAnsi" w:cstheme="minorHAnsi"/>
        </w:rPr>
        <w:t xml:space="preserve">if there are particular dimensions at which differences occur, and their correspondence with changes in dementia symptom progression. </w:t>
      </w:r>
    </w:p>
    <w:p w14:paraId="70B373BF" w14:textId="77777777" w:rsidR="00B54D51" w:rsidRPr="00037AD4" w:rsidRDefault="00B54D51" w:rsidP="003F09FC">
      <w:pPr>
        <w:rPr>
          <w:rFonts w:asciiTheme="minorHAnsi" w:hAnsiTheme="minorHAnsi" w:cstheme="minorHAnsi"/>
        </w:rPr>
      </w:pPr>
    </w:p>
    <w:p w14:paraId="2F6C6CE2" w14:textId="77777777" w:rsidR="00B54D51" w:rsidRPr="00037AD4" w:rsidRDefault="00B54D51" w:rsidP="003F09FC">
      <w:pPr>
        <w:rPr>
          <w:rFonts w:asciiTheme="minorHAnsi" w:hAnsiTheme="minorHAnsi" w:cstheme="minorHAnsi"/>
        </w:rPr>
      </w:pPr>
      <w:r w:rsidRPr="00037AD4">
        <w:rPr>
          <w:rFonts w:asciiTheme="minorHAnsi" w:hAnsiTheme="minorHAnsi" w:cstheme="minorHAnsi"/>
        </w:rPr>
        <w:t>Chapter Four provides an in-depth examination of three dementia trial datasets that are used in this thesis. It presents detailed insights into trial characteristics, sample demographics, missing data analyses and inter-rater comparisons of EQ-5D dimensions. Building upon Chapter Three's findings, this chapter addresses the convergent validity gap at the dimension level, guiding subsequent analyses within the thesis.</w:t>
      </w:r>
    </w:p>
    <w:p w14:paraId="6D99F5BD" w14:textId="77777777" w:rsidR="00B54D51" w:rsidRPr="00037AD4" w:rsidRDefault="00B54D51" w:rsidP="00FA6717">
      <w:pPr>
        <w:ind w:firstLine="720"/>
        <w:rPr>
          <w:rFonts w:asciiTheme="minorHAnsi" w:hAnsiTheme="minorHAnsi" w:cstheme="minorHAnsi"/>
        </w:rPr>
      </w:pPr>
    </w:p>
    <w:p w14:paraId="4675331E" w14:textId="77777777" w:rsidR="00B54D51" w:rsidRPr="00037AD4" w:rsidRDefault="00B54D51" w:rsidP="007A43F9">
      <w:pPr>
        <w:pStyle w:val="Heading2"/>
      </w:pPr>
      <w:bookmarkStart w:id="317" w:name="_Toc175742299"/>
      <w:r w:rsidRPr="00037AD4">
        <w:t>4.1 Introduction</w:t>
      </w:r>
      <w:bookmarkEnd w:id="317"/>
      <w:r w:rsidRPr="00037AD4">
        <w:t xml:space="preserve"> </w:t>
      </w:r>
    </w:p>
    <w:p w14:paraId="1936EFA0" w14:textId="77777777" w:rsidR="00B54D51" w:rsidRPr="00037AD4" w:rsidRDefault="00B54D51" w:rsidP="007A43F9"/>
    <w:p w14:paraId="6B938BEA" w14:textId="77777777" w:rsidR="00B54D51" w:rsidRPr="00037AD4" w:rsidRDefault="00B54D51" w:rsidP="00063D74">
      <w:pPr>
        <w:rPr>
          <w:rFonts w:asciiTheme="minorHAnsi" w:hAnsiTheme="minorHAnsi" w:cstheme="minorHAnsi"/>
        </w:rPr>
      </w:pPr>
      <w:r w:rsidRPr="00037AD4">
        <w:rPr>
          <w:rFonts w:asciiTheme="minorHAnsi" w:hAnsiTheme="minorHAnsi" w:cstheme="minorHAnsi"/>
        </w:rPr>
        <w:t xml:space="preserve">Both the PwD and a proxy that knows them well and understands their condition provide valuable information about the QoL of the PwD. The role of the proxy in dementia studies is of vital importance and is often served by a family member or friend who is involved in the PwD’s care. The key reason for turning to proxies in conditions like dementia is due to impaired cognition of the PwD, which in turn impacts aspects such as judgement, awareness and recall – traits that are fundamental for reliable HRQoL self-assessment. </w:t>
      </w:r>
    </w:p>
    <w:p w14:paraId="166B7218" w14:textId="77777777" w:rsidR="00B54D51" w:rsidRPr="00037AD4" w:rsidRDefault="00B54D51" w:rsidP="00063D74">
      <w:pPr>
        <w:rPr>
          <w:rFonts w:asciiTheme="minorHAnsi" w:hAnsiTheme="minorHAnsi" w:cstheme="minorHAnsi"/>
        </w:rPr>
      </w:pPr>
    </w:p>
    <w:p w14:paraId="3304AD5B" w14:textId="77777777" w:rsidR="00B54D51" w:rsidRPr="00037AD4" w:rsidRDefault="00B54D51" w:rsidP="00063D74">
      <w:pPr>
        <w:rPr>
          <w:rFonts w:asciiTheme="minorHAnsi" w:hAnsiTheme="minorHAnsi" w:cstheme="minorHAnsi"/>
        </w:rPr>
      </w:pPr>
      <w:r w:rsidRPr="00037AD4">
        <w:rPr>
          <w:rFonts w:asciiTheme="minorHAnsi" w:hAnsiTheme="minorHAnsi" w:cstheme="minorHAnsi"/>
        </w:rPr>
        <w:t xml:space="preserve">It is therefore acknowledged that proxy-reports on behalf of the PwD may be appealing to researchers as a mechanism to bypass these challenges. However, self-report is generally preferred as a direct reflection of the user’s experience, and therefore sole use of proxy reports is a sub-optimal option. There is currently no consensus regarding which respondents’ HRQoL reports are considered to be a more accurate reflection of dementia experience in line with clinical presentation. Current practice in studies that have collected both PwD and proxy HRQoL data has been to perform distinct analyses using both sets of </w:t>
      </w:r>
      <w:r w:rsidRPr="00037AD4">
        <w:rPr>
          <w:rFonts w:asciiTheme="minorHAnsi" w:hAnsiTheme="minorHAnsi" w:cstheme="minorHAnsi"/>
        </w:rPr>
        <w:lastRenderedPageBreak/>
        <w:t xml:space="preserve">reports, ultimately resulting in distinct cost-effectiveness estimates. This sensitivity analysis approach requires decision makers to choose between the outputs of the analyses, thereby neglecting the insights contained in the reports from a key respondent type. </w:t>
      </w:r>
    </w:p>
    <w:p w14:paraId="557B3D18" w14:textId="77777777" w:rsidR="00B54D51" w:rsidRPr="00037AD4" w:rsidRDefault="00B54D51" w:rsidP="00063D74">
      <w:pPr>
        <w:rPr>
          <w:rFonts w:asciiTheme="minorHAnsi" w:hAnsiTheme="minorHAnsi" w:cstheme="minorHAnsi"/>
        </w:rPr>
      </w:pPr>
    </w:p>
    <w:p w14:paraId="73E3B508" w14:textId="0C0798D9" w:rsidR="00B54D51" w:rsidRPr="00037AD4" w:rsidRDefault="00B54D51" w:rsidP="00063D74">
      <w:pPr>
        <w:rPr>
          <w:rFonts w:asciiTheme="minorHAnsi" w:hAnsiTheme="minorHAnsi" w:cstheme="minorHAnsi"/>
        </w:rPr>
      </w:pPr>
      <w:r w:rsidRPr="00037AD4">
        <w:rPr>
          <w:rFonts w:asciiTheme="minorHAnsi" w:hAnsiTheme="minorHAnsi" w:cstheme="minorHAnsi"/>
        </w:rPr>
        <w:t>Empirical analyses to determine which respondent’s data most accurately reflects the HRQoL of the PwD would serve as a value tool in informing how to estimate QALYs for use in dementia economic evaluations. To achieve this objective, data</w:t>
      </w:r>
      <w:r w:rsidR="00466A6E">
        <w:rPr>
          <w:rFonts w:asciiTheme="minorHAnsi" w:hAnsiTheme="minorHAnsi" w:cstheme="minorHAnsi"/>
        </w:rPr>
        <w:t>sets</w:t>
      </w:r>
      <w:r w:rsidRPr="00037AD4">
        <w:rPr>
          <w:rFonts w:asciiTheme="minorHAnsi" w:hAnsiTheme="minorHAnsi" w:cstheme="minorHAnsi"/>
        </w:rPr>
        <w:t xml:space="preserve"> from three distinct dementia studies </w:t>
      </w:r>
      <w:r w:rsidR="00466A6E">
        <w:rPr>
          <w:rFonts w:asciiTheme="minorHAnsi" w:hAnsiTheme="minorHAnsi" w:cstheme="minorHAnsi"/>
        </w:rPr>
        <w:t xml:space="preserve">were </w:t>
      </w:r>
      <w:r w:rsidRPr="00037AD4">
        <w:rPr>
          <w:rFonts w:asciiTheme="minorHAnsi" w:hAnsiTheme="minorHAnsi" w:cstheme="minorHAnsi"/>
        </w:rPr>
        <w:t>acquired for secondary analysis.</w:t>
      </w:r>
      <w:r w:rsidR="004C52B3">
        <w:rPr>
          <w:rFonts w:asciiTheme="minorHAnsi" w:hAnsiTheme="minorHAnsi" w:cstheme="minorHAnsi"/>
        </w:rPr>
        <w:t xml:space="preserve"> These studies were identified </w:t>
      </w:r>
      <w:r w:rsidR="00FA604E">
        <w:rPr>
          <w:rFonts w:asciiTheme="minorHAnsi" w:hAnsiTheme="minorHAnsi" w:cstheme="minorHAnsi"/>
        </w:rPr>
        <w:t>through</w:t>
      </w:r>
      <w:r w:rsidR="004C52B3">
        <w:rPr>
          <w:rFonts w:asciiTheme="minorHAnsi" w:hAnsiTheme="minorHAnsi" w:cstheme="minorHAnsi"/>
        </w:rPr>
        <w:t xml:space="preserve"> the </w:t>
      </w:r>
      <w:r w:rsidR="00FA604E">
        <w:rPr>
          <w:rFonts w:asciiTheme="minorHAnsi" w:hAnsiTheme="minorHAnsi" w:cstheme="minorHAnsi"/>
        </w:rPr>
        <w:t xml:space="preserve">previously reported </w:t>
      </w:r>
      <w:r w:rsidR="004C52B3">
        <w:rPr>
          <w:rFonts w:asciiTheme="minorHAnsi" w:hAnsiTheme="minorHAnsi" w:cstheme="minorHAnsi"/>
        </w:rPr>
        <w:t>systematic revie</w:t>
      </w:r>
      <w:r w:rsidR="00FA604E">
        <w:rPr>
          <w:rFonts w:asciiTheme="minorHAnsi" w:hAnsiTheme="minorHAnsi" w:cstheme="minorHAnsi"/>
        </w:rPr>
        <w:t>w processes and</w:t>
      </w:r>
      <w:r w:rsidRPr="00037AD4">
        <w:rPr>
          <w:rFonts w:asciiTheme="minorHAnsi" w:hAnsiTheme="minorHAnsi" w:cstheme="minorHAnsi"/>
        </w:rPr>
        <w:t xml:space="preserve"> specifically </w:t>
      </w:r>
      <w:r w:rsidR="00FA604E">
        <w:rPr>
          <w:rFonts w:asciiTheme="minorHAnsi" w:hAnsiTheme="minorHAnsi" w:cstheme="minorHAnsi"/>
        </w:rPr>
        <w:t>selected</w:t>
      </w:r>
      <w:r w:rsidRPr="00037AD4">
        <w:rPr>
          <w:rFonts w:asciiTheme="minorHAnsi" w:hAnsiTheme="minorHAnsi" w:cstheme="minorHAnsi"/>
        </w:rPr>
        <w:t xml:space="preserve"> </w:t>
      </w:r>
      <w:r w:rsidR="00FA604E">
        <w:rPr>
          <w:rFonts w:asciiTheme="minorHAnsi" w:hAnsiTheme="minorHAnsi" w:cstheme="minorHAnsi"/>
        </w:rPr>
        <w:t>for</w:t>
      </w:r>
      <w:r w:rsidRPr="00037AD4">
        <w:rPr>
          <w:rFonts w:asciiTheme="minorHAnsi" w:hAnsiTheme="minorHAnsi" w:cstheme="minorHAnsi"/>
        </w:rPr>
        <w:t xml:space="preserve"> their inclusion of both PwD and proxy-reported EQ-5D data, longitudinal data collection points, core dementia symptom outcome measures, and a diverse sample of people with dementia in different residential settings (e.g., community dwelling and institutionalised). In addition, the selection of studies conducted within the UK and Europe enhances pragmatic considerations and facilitates greater accessibility to data sharing among authors.</w:t>
      </w:r>
    </w:p>
    <w:p w14:paraId="01A4E2A8" w14:textId="77777777" w:rsidR="00B54D51" w:rsidRPr="00037AD4" w:rsidRDefault="00B54D51" w:rsidP="00063D74">
      <w:pPr>
        <w:rPr>
          <w:rFonts w:asciiTheme="minorHAnsi" w:hAnsiTheme="minorHAnsi" w:cstheme="minorHAnsi"/>
        </w:rPr>
      </w:pPr>
    </w:p>
    <w:p w14:paraId="2D97E621" w14:textId="77777777" w:rsidR="00B54D51" w:rsidRPr="00037AD4" w:rsidRDefault="00B54D51" w:rsidP="007A43F9">
      <w:pPr>
        <w:pStyle w:val="Heading2"/>
      </w:pPr>
      <w:bookmarkStart w:id="318" w:name="_Toc175742300"/>
      <w:r w:rsidRPr="00037AD4">
        <w:t>4.2 Aim and objectives</w:t>
      </w:r>
      <w:bookmarkEnd w:id="318"/>
      <w:r w:rsidRPr="00037AD4">
        <w:t xml:space="preserve"> </w:t>
      </w:r>
    </w:p>
    <w:p w14:paraId="37644214" w14:textId="77777777" w:rsidR="00B54D51" w:rsidRPr="00037AD4" w:rsidRDefault="00B54D51" w:rsidP="00063D74">
      <w:pPr>
        <w:rPr>
          <w:rFonts w:asciiTheme="minorHAnsi" w:hAnsiTheme="minorHAnsi" w:cstheme="minorHAnsi"/>
          <w:b/>
          <w:bCs/>
          <w:u w:val="single"/>
        </w:rPr>
      </w:pPr>
    </w:p>
    <w:p w14:paraId="1C47C030" w14:textId="77777777" w:rsidR="00B54D51" w:rsidRPr="00037AD4" w:rsidRDefault="00B54D51" w:rsidP="00063D74">
      <w:pPr>
        <w:rPr>
          <w:rFonts w:asciiTheme="minorHAnsi" w:hAnsiTheme="minorHAnsi" w:cstheme="minorHAnsi"/>
        </w:rPr>
      </w:pPr>
      <w:r w:rsidRPr="00037AD4">
        <w:rPr>
          <w:rFonts w:asciiTheme="minorHAnsi" w:hAnsiTheme="minorHAnsi" w:cstheme="minorHAnsi"/>
        </w:rPr>
        <w:t xml:space="preserve">The following chapter aims to provide detailed descriptive statistics of three dementia studies datasets (study names: REMiniscence groups for people with dementia and their family CAREgivers (REMCARE </w:t>
      </w:r>
      <w:r>
        <w:rPr>
          <w:rFonts w:asciiTheme="minorHAnsi" w:hAnsiTheme="minorHAnsi" w:cstheme="minorHAnsi"/>
          <w:noProof/>
        </w:rPr>
        <w:t>(Woods et al., 2012)</w:t>
      </w:r>
      <w:r w:rsidRPr="00037AD4">
        <w:rPr>
          <w:rFonts w:asciiTheme="minorHAnsi" w:hAnsiTheme="minorHAnsi" w:cstheme="minorHAnsi"/>
        </w:rPr>
        <w:t xml:space="preserve">, Access to Timely Formal dementia Care in Europe (ACTIFCARE </w:t>
      </w:r>
      <w:r>
        <w:rPr>
          <w:rFonts w:asciiTheme="minorHAnsi" w:hAnsiTheme="minorHAnsi" w:cstheme="minorHAnsi"/>
          <w:noProof/>
        </w:rPr>
        <w:t>(Kerpershoek et al., 2016)</w:t>
      </w:r>
      <w:r w:rsidRPr="00037AD4">
        <w:rPr>
          <w:rFonts w:asciiTheme="minorHAnsi" w:hAnsiTheme="minorHAnsi" w:cstheme="minorHAnsi"/>
        </w:rPr>
        <w:t xml:space="preserve">) and Enhancing Person Centred Care in Care homes (EPIC </w:t>
      </w:r>
      <w:r>
        <w:rPr>
          <w:rFonts w:asciiTheme="minorHAnsi" w:hAnsiTheme="minorHAnsi" w:cstheme="minorHAnsi"/>
          <w:noProof/>
        </w:rPr>
        <w:t>(Surr et al., 2020)</w:t>
      </w:r>
      <w:r w:rsidRPr="00037AD4">
        <w:rPr>
          <w:rFonts w:asciiTheme="minorHAnsi" w:hAnsiTheme="minorHAnsi" w:cstheme="minorHAnsi"/>
        </w:rPr>
        <w:t xml:space="preserve">). The purpose of exploring the datasets in detail is to inform the analysis of subsequent chapters, in order to establish which respondent’s EQ-5D data is optimal for use in dementia economic evaluations. </w:t>
      </w:r>
    </w:p>
    <w:p w14:paraId="07A4B52D" w14:textId="77777777" w:rsidR="00B54D51" w:rsidRPr="00037AD4" w:rsidRDefault="00B54D51" w:rsidP="00063D74">
      <w:pPr>
        <w:rPr>
          <w:rFonts w:asciiTheme="minorHAnsi" w:hAnsiTheme="minorHAnsi" w:cstheme="minorHAnsi"/>
        </w:rPr>
      </w:pPr>
    </w:p>
    <w:p w14:paraId="54C73A9D" w14:textId="77777777" w:rsidR="00B54D51" w:rsidRPr="00037AD4" w:rsidRDefault="00B54D51" w:rsidP="00063D74">
      <w:pPr>
        <w:rPr>
          <w:rFonts w:asciiTheme="minorHAnsi" w:hAnsiTheme="minorHAnsi" w:cstheme="minorHAnsi"/>
        </w:rPr>
      </w:pPr>
      <w:r w:rsidRPr="00037AD4">
        <w:rPr>
          <w:rFonts w:asciiTheme="minorHAnsi" w:hAnsiTheme="minorHAnsi" w:cstheme="minorHAnsi"/>
        </w:rPr>
        <w:t>The three key objectives of this chapter are to:</w:t>
      </w:r>
    </w:p>
    <w:p w14:paraId="7A208CDF" w14:textId="77777777" w:rsidR="00B54D51" w:rsidRPr="00037AD4" w:rsidRDefault="00B54D51" w:rsidP="00063D74">
      <w:pPr>
        <w:rPr>
          <w:rFonts w:asciiTheme="minorHAnsi" w:hAnsiTheme="minorHAnsi" w:cstheme="minorHAnsi"/>
        </w:rPr>
      </w:pPr>
    </w:p>
    <w:p w14:paraId="4DC9402C" w14:textId="77777777" w:rsidR="00B54D51" w:rsidRPr="00037AD4" w:rsidRDefault="00B54D51" w:rsidP="002F527F">
      <w:pPr>
        <w:pStyle w:val="ListParagraph"/>
        <w:numPr>
          <w:ilvl w:val="0"/>
          <w:numId w:val="10"/>
        </w:numPr>
        <w:rPr>
          <w:rFonts w:cstheme="minorHAnsi"/>
        </w:rPr>
      </w:pPr>
      <w:r w:rsidRPr="00037AD4">
        <w:rPr>
          <w:rFonts w:cstheme="minorHAnsi"/>
        </w:rPr>
        <w:t>Provide detailed descriptive statistics for the three datasets to understand the characteristics, variability and distribution with</w:t>
      </w:r>
      <w:r>
        <w:rPr>
          <w:rFonts w:cstheme="minorHAnsi"/>
        </w:rPr>
        <w:t>in</w:t>
      </w:r>
      <w:r w:rsidRPr="00037AD4">
        <w:rPr>
          <w:rFonts w:cstheme="minorHAnsi"/>
        </w:rPr>
        <w:t xml:space="preserve"> the study populations  </w:t>
      </w:r>
    </w:p>
    <w:p w14:paraId="3CAFA6E2" w14:textId="77777777" w:rsidR="00B54D51" w:rsidRPr="00037AD4" w:rsidRDefault="00B54D51" w:rsidP="002F527F">
      <w:pPr>
        <w:pStyle w:val="ListParagraph"/>
        <w:numPr>
          <w:ilvl w:val="0"/>
          <w:numId w:val="10"/>
        </w:numPr>
        <w:rPr>
          <w:rFonts w:cstheme="minorHAnsi"/>
        </w:rPr>
      </w:pPr>
      <w:r w:rsidRPr="00037AD4">
        <w:rPr>
          <w:rFonts w:cstheme="minorHAnsi"/>
        </w:rPr>
        <w:t xml:space="preserve">Robustly investigate the properties and quality of the data, including their limitations, in order to inform subsequent analyses effectively </w:t>
      </w:r>
    </w:p>
    <w:p w14:paraId="39A21035" w14:textId="77777777" w:rsidR="00B54D51" w:rsidRPr="00037AD4" w:rsidRDefault="00B54D51" w:rsidP="002F527F">
      <w:pPr>
        <w:pStyle w:val="ListParagraph"/>
        <w:numPr>
          <w:ilvl w:val="0"/>
          <w:numId w:val="10"/>
        </w:numPr>
        <w:rPr>
          <w:rFonts w:cstheme="minorHAnsi"/>
        </w:rPr>
      </w:pPr>
      <w:r w:rsidRPr="00037AD4">
        <w:rPr>
          <w:rFonts w:cstheme="minorHAnsi"/>
        </w:rPr>
        <w:t xml:space="preserve">Conduct psychometric analyses to assess the validity of EQ-5D data at the dimension-level, addressing gaps identified in the previously reported systematic review. These analyses will contribute to understanding the inter-rater gap (between people with dementia and proxies), and enhance the overall understanding of the data’s psychometric properties </w:t>
      </w:r>
    </w:p>
    <w:p w14:paraId="19548E82" w14:textId="77777777" w:rsidR="00B54D51" w:rsidRPr="00037AD4" w:rsidRDefault="00B54D51" w:rsidP="007A43F9">
      <w:pPr>
        <w:pStyle w:val="ListParagraph"/>
        <w:rPr>
          <w:rFonts w:cstheme="minorHAnsi"/>
        </w:rPr>
      </w:pPr>
    </w:p>
    <w:p w14:paraId="5BEBCF1E" w14:textId="77777777" w:rsidR="00B54D51" w:rsidRPr="00037AD4" w:rsidRDefault="00B54D51" w:rsidP="007A43F9">
      <w:pPr>
        <w:pStyle w:val="Heading2"/>
      </w:pPr>
      <w:bookmarkStart w:id="319" w:name="_Toc175742301"/>
      <w:r w:rsidRPr="00037AD4">
        <w:t>4.3 Methods</w:t>
      </w:r>
      <w:bookmarkEnd w:id="319"/>
    </w:p>
    <w:p w14:paraId="00758D17" w14:textId="77777777" w:rsidR="00B54D51" w:rsidRPr="00037AD4" w:rsidRDefault="00B54D51" w:rsidP="007A43F9"/>
    <w:p w14:paraId="38B26101" w14:textId="77777777" w:rsidR="00B54D51" w:rsidRPr="00037AD4" w:rsidRDefault="00B54D51" w:rsidP="00063D74">
      <w:pPr>
        <w:rPr>
          <w:rFonts w:asciiTheme="minorHAnsi" w:hAnsiTheme="minorHAnsi" w:cstheme="minorHAnsi"/>
        </w:rPr>
      </w:pPr>
      <w:r w:rsidRPr="00037AD4">
        <w:rPr>
          <w:rFonts w:asciiTheme="minorHAnsi" w:hAnsiTheme="minorHAnsi" w:cstheme="minorHAnsi"/>
        </w:rPr>
        <w:t xml:space="preserve">The following section outlines the statistical methods applied to the datasets of the three studies (REMCARE, ACTIFCARE and EPIC), aiming to present detailed descriptive statistics beyond those initially reported in the original study papers which tend to focus on clinical effectiveness. The objective is to offer an in-depth analysis of the data that is tailored to the purpose of the subsequent secondary analyses. At the end of this section, a summary of the key information for each study is presented. For a more comprehensive synopsis of the studies, refer to the detailed summaries provided in </w:t>
      </w:r>
      <w:hyperlink w:anchor="A4" w:history="1">
        <w:r w:rsidRPr="00B54D51">
          <w:rPr>
            <w:rStyle w:val="Hyperlink"/>
            <w:rFonts w:asciiTheme="minorHAnsi" w:hAnsiTheme="minorHAnsi" w:cstheme="minorHAnsi"/>
            <w:color w:val="auto"/>
            <w:u w:val="none"/>
          </w:rPr>
          <w:t>Appendix 4.</w:t>
        </w:r>
      </w:hyperlink>
      <w:r w:rsidRPr="00B54D51">
        <w:rPr>
          <w:rFonts w:asciiTheme="minorHAnsi" w:hAnsiTheme="minorHAnsi" w:cstheme="minorHAnsi"/>
        </w:rPr>
        <w:t xml:space="preserve"> </w:t>
      </w:r>
    </w:p>
    <w:p w14:paraId="2E403F4E" w14:textId="77777777" w:rsidR="00B54D51" w:rsidRPr="00037AD4" w:rsidRDefault="00B54D51" w:rsidP="007A43F9">
      <w:pPr>
        <w:pStyle w:val="Heading3"/>
      </w:pPr>
      <w:bookmarkStart w:id="320" w:name="_4.3.1_Statistical_analysis"/>
      <w:bookmarkStart w:id="321" w:name="sec431"/>
      <w:bookmarkStart w:id="322" w:name="_Toc175742302"/>
      <w:bookmarkEnd w:id="320"/>
      <w:r w:rsidRPr="00037AD4">
        <w:lastRenderedPageBreak/>
        <w:t>4.3.1 Statistical analysis</w:t>
      </w:r>
      <w:bookmarkEnd w:id="322"/>
      <w:r w:rsidRPr="00037AD4">
        <w:t xml:space="preserve"> </w:t>
      </w:r>
    </w:p>
    <w:bookmarkEnd w:id="321"/>
    <w:p w14:paraId="71C94D67" w14:textId="77777777" w:rsidR="00B54D51" w:rsidRPr="00037AD4" w:rsidRDefault="00B54D51" w:rsidP="00063D74">
      <w:pPr>
        <w:rPr>
          <w:rFonts w:asciiTheme="minorHAnsi" w:hAnsiTheme="minorHAnsi" w:cstheme="minorHAnsi"/>
          <w:b/>
          <w:bCs/>
          <w:u w:val="single"/>
        </w:rPr>
      </w:pPr>
    </w:p>
    <w:p w14:paraId="52AB5FDA" w14:textId="7277451F" w:rsidR="00B54D51" w:rsidRPr="00037AD4" w:rsidRDefault="00B54D51" w:rsidP="00063D74">
      <w:pPr>
        <w:rPr>
          <w:rFonts w:asciiTheme="minorHAnsi" w:hAnsiTheme="minorHAnsi" w:cstheme="minorHAnsi"/>
        </w:rPr>
      </w:pPr>
      <w:r w:rsidRPr="00037AD4">
        <w:rPr>
          <w:rFonts w:asciiTheme="minorHAnsi" w:hAnsiTheme="minorHAnsi" w:cstheme="minorHAnsi"/>
        </w:rPr>
        <w:t xml:space="preserve">Feasibility is examined by the percentage of missing data, including the proportion of missing item level data for self-rated EQ-5D. </w:t>
      </w:r>
      <w:r w:rsidRPr="00AA36A6">
        <w:rPr>
          <w:rFonts w:asciiTheme="minorHAnsi" w:hAnsiTheme="minorHAnsi" w:cstheme="minorHAnsi"/>
        </w:rPr>
        <w:t xml:space="preserve">Independent samples </w:t>
      </w:r>
      <w:r w:rsidR="0085385D" w:rsidRPr="00AA36A6">
        <w:rPr>
          <w:rFonts w:asciiTheme="minorHAnsi" w:hAnsiTheme="minorHAnsi" w:cstheme="minorHAnsi"/>
        </w:rPr>
        <w:t>T</w:t>
      </w:r>
      <w:r w:rsidRPr="00AA36A6">
        <w:rPr>
          <w:rFonts w:asciiTheme="minorHAnsi" w:hAnsiTheme="minorHAnsi" w:cstheme="minorHAnsi"/>
        </w:rPr>
        <w:t>-tests are used to assess whether there is a difference in dementia severity (via CDR) of people with and without missing data.</w:t>
      </w:r>
      <w:r w:rsidRPr="00037AD4">
        <w:rPr>
          <w:rFonts w:asciiTheme="minorHAnsi" w:hAnsiTheme="minorHAnsi" w:cstheme="minorHAnsi"/>
        </w:rPr>
        <w:t xml:space="preserve"> </w:t>
      </w:r>
    </w:p>
    <w:p w14:paraId="13891CB8" w14:textId="77777777" w:rsidR="00B54D51" w:rsidRPr="00037AD4" w:rsidRDefault="00B54D51" w:rsidP="00063D74">
      <w:pPr>
        <w:rPr>
          <w:rFonts w:asciiTheme="minorHAnsi" w:hAnsiTheme="minorHAnsi" w:cstheme="minorHAnsi"/>
        </w:rPr>
      </w:pPr>
    </w:p>
    <w:p w14:paraId="0E1F6F40" w14:textId="77777777" w:rsidR="00B54D51" w:rsidRPr="00037AD4" w:rsidRDefault="00B54D51" w:rsidP="00063D74">
      <w:pPr>
        <w:rPr>
          <w:rFonts w:asciiTheme="minorHAnsi" w:hAnsiTheme="minorHAnsi" w:cstheme="minorHAnsi"/>
        </w:rPr>
      </w:pPr>
      <w:r w:rsidRPr="00037AD4">
        <w:rPr>
          <w:rFonts w:asciiTheme="minorHAnsi" w:hAnsiTheme="minorHAnsi" w:cstheme="minorHAnsi"/>
        </w:rPr>
        <w:t xml:space="preserve">Convergent validity of EQ-5D is tested by correlating EQ-5D dimensions with clinical instruments collected within the studies. Statistical significance via p values, and Pearson’s correlation coefficients are used to explore this, whereby according to published thresholds, a correlation coefficient of &gt;0.4 is considered as moderate and convergent validity is established (&gt;0.2: slight, &gt;0.6: good and &gt;0.8: very high) </w:t>
      </w:r>
      <w:r>
        <w:rPr>
          <w:rFonts w:asciiTheme="minorHAnsi" w:hAnsiTheme="minorHAnsi" w:cstheme="minorHAnsi"/>
          <w:noProof/>
        </w:rPr>
        <w:t>(Fayers and Machin, 2013)</w:t>
      </w:r>
      <w:r w:rsidRPr="00037AD4">
        <w:rPr>
          <w:rFonts w:asciiTheme="minorHAnsi" w:hAnsiTheme="minorHAnsi" w:cstheme="minorHAnsi"/>
        </w:rPr>
        <w:t>. Construct validity of EQ-5D within dementia populations is explored via the relationship between EQ-5D index scores and dementia specific QoL measures collected within the studies. The same threshold criteria are applied for considering the strength of these relationships. A p value &lt;0.05 is considered statistically significant for all analyses. Where applicable</w:t>
      </w:r>
      <w:r>
        <w:rPr>
          <w:rFonts w:asciiTheme="minorHAnsi" w:hAnsiTheme="minorHAnsi" w:cstheme="minorHAnsi"/>
        </w:rPr>
        <w:t>,</w:t>
      </w:r>
      <w:r w:rsidRPr="00037AD4">
        <w:rPr>
          <w:rFonts w:asciiTheme="minorHAnsi" w:hAnsiTheme="minorHAnsi" w:cstheme="minorHAnsi"/>
        </w:rPr>
        <w:t xml:space="preserve"> additional levels of significance are indicated within the results tables. </w:t>
      </w:r>
    </w:p>
    <w:p w14:paraId="66FBAAC3" w14:textId="77777777" w:rsidR="00B54D51" w:rsidRPr="00037AD4" w:rsidRDefault="00B54D51" w:rsidP="00063D74">
      <w:pPr>
        <w:rPr>
          <w:rFonts w:asciiTheme="minorHAnsi" w:hAnsiTheme="minorHAnsi" w:cstheme="minorHAnsi"/>
        </w:rPr>
      </w:pPr>
    </w:p>
    <w:p w14:paraId="5FD2E3BD" w14:textId="7FE0B12E" w:rsidR="00B54D51" w:rsidRPr="00037AD4" w:rsidRDefault="00B54D51" w:rsidP="00063D74">
      <w:pPr>
        <w:rPr>
          <w:rFonts w:asciiTheme="minorHAnsi" w:hAnsiTheme="minorHAnsi" w:cstheme="minorHAnsi"/>
        </w:rPr>
      </w:pPr>
      <w:r w:rsidRPr="00037AD4">
        <w:rPr>
          <w:rFonts w:asciiTheme="minorHAnsi" w:hAnsiTheme="minorHAnsi" w:cstheme="minorHAnsi"/>
        </w:rPr>
        <w:t xml:space="preserve">Spearman’s rank correlation is used for comparing PwD self and proxy reported EQ-5D dimension responses, and Pearson’s correlation is used to compare EQ-5D utility/index </w:t>
      </w:r>
      <w:r w:rsidRPr="00AA36A6">
        <w:rPr>
          <w:rFonts w:asciiTheme="minorHAnsi" w:hAnsiTheme="minorHAnsi" w:cstheme="minorHAnsi"/>
        </w:rPr>
        <w:t xml:space="preserve">scores. Paired </w:t>
      </w:r>
      <w:r w:rsidR="00AA36A6" w:rsidRPr="00AA36A6">
        <w:rPr>
          <w:rFonts w:asciiTheme="minorHAnsi" w:hAnsiTheme="minorHAnsi" w:cstheme="minorHAnsi"/>
        </w:rPr>
        <w:t>T</w:t>
      </w:r>
      <w:r w:rsidRPr="00AA36A6">
        <w:rPr>
          <w:rFonts w:asciiTheme="minorHAnsi" w:hAnsiTheme="minorHAnsi" w:cstheme="minorHAnsi"/>
        </w:rPr>
        <w:t xml:space="preserve">-tests are used to assess differences between EQ-5D utility reports from people with dementia and their proxies. The paired </w:t>
      </w:r>
      <w:r w:rsidR="00A974EE">
        <w:rPr>
          <w:rFonts w:asciiTheme="minorHAnsi" w:hAnsiTheme="minorHAnsi" w:cstheme="minorHAnsi"/>
        </w:rPr>
        <w:t>T</w:t>
      </w:r>
      <w:r w:rsidRPr="00AA36A6">
        <w:rPr>
          <w:rFonts w:asciiTheme="minorHAnsi" w:hAnsiTheme="minorHAnsi" w:cstheme="minorHAnsi"/>
        </w:rPr>
        <w:t xml:space="preserve">-tests highlight whether there are significant differences in how people with dementia and proxies report upon HRQoL. Independent samples </w:t>
      </w:r>
      <w:r w:rsidR="00AA36A6" w:rsidRPr="00AA36A6">
        <w:rPr>
          <w:rFonts w:asciiTheme="minorHAnsi" w:hAnsiTheme="minorHAnsi" w:cstheme="minorHAnsi"/>
        </w:rPr>
        <w:t>T</w:t>
      </w:r>
      <w:r w:rsidRPr="00AA36A6">
        <w:rPr>
          <w:rFonts w:asciiTheme="minorHAnsi" w:hAnsiTheme="minorHAnsi" w:cstheme="minorHAnsi"/>
        </w:rPr>
        <w:t xml:space="preserve">-tests are used when comparing mean utilities across subgroups, such as different administration methods or proxy relationships. These tests help identify factors influencing the agreement or discrepancy between PwD self-reports and proxy reports within distinct groups. Paired </w:t>
      </w:r>
      <w:r w:rsidR="00A974EE">
        <w:rPr>
          <w:rFonts w:asciiTheme="minorHAnsi" w:hAnsiTheme="minorHAnsi" w:cstheme="minorHAnsi"/>
        </w:rPr>
        <w:t>T</w:t>
      </w:r>
      <w:r w:rsidRPr="00AA36A6">
        <w:rPr>
          <w:rFonts w:asciiTheme="minorHAnsi" w:hAnsiTheme="minorHAnsi" w:cstheme="minorHAnsi"/>
        </w:rPr>
        <w:t xml:space="preserve">-tests assess overall agreement or divergence, while independent samples </w:t>
      </w:r>
      <w:r w:rsidR="00A974EE">
        <w:rPr>
          <w:rFonts w:asciiTheme="minorHAnsi" w:hAnsiTheme="minorHAnsi" w:cstheme="minorHAnsi"/>
        </w:rPr>
        <w:t>T</w:t>
      </w:r>
      <w:r w:rsidRPr="00AA36A6">
        <w:rPr>
          <w:rFonts w:asciiTheme="minorHAnsi" w:hAnsiTheme="minorHAnsi" w:cstheme="minorHAnsi"/>
        </w:rPr>
        <w:t xml:space="preserve">-tests explore variations within subgroups, applied together to gauge a deeper understanding of aspects impacting inter-rater agreement – within the limits of the available data. </w:t>
      </w:r>
      <w:r w:rsidR="00AA36A6" w:rsidRPr="00AA36A6">
        <w:rPr>
          <w:rFonts w:asciiTheme="minorHAnsi" w:hAnsiTheme="minorHAnsi" w:cstheme="minorHAnsi"/>
        </w:rPr>
        <w:t xml:space="preserve">Although </w:t>
      </w:r>
      <w:r w:rsidR="00A974EE">
        <w:rPr>
          <w:rFonts w:asciiTheme="minorHAnsi" w:hAnsiTheme="minorHAnsi" w:cstheme="minorHAnsi"/>
        </w:rPr>
        <w:t>T</w:t>
      </w:r>
      <w:r w:rsidR="00AA36A6" w:rsidRPr="00AA36A6">
        <w:rPr>
          <w:rFonts w:asciiTheme="minorHAnsi" w:hAnsiTheme="minorHAnsi" w:cstheme="minorHAnsi"/>
        </w:rPr>
        <w:t>-tests assume that the distribution of the populations from which the samples are drawn are approximately normal, because of the larger number of observations</w:t>
      </w:r>
      <w:r w:rsidR="00AA36A6">
        <w:rPr>
          <w:rFonts w:asciiTheme="minorHAnsi" w:hAnsiTheme="minorHAnsi" w:cstheme="minorHAnsi"/>
        </w:rPr>
        <w:t xml:space="preserve"> with the datasets</w:t>
      </w:r>
      <w:r w:rsidR="00AA36A6" w:rsidRPr="00AA36A6">
        <w:rPr>
          <w:rFonts w:asciiTheme="minorHAnsi" w:hAnsiTheme="minorHAnsi" w:cstheme="minorHAnsi"/>
        </w:rPr>
        <w:t xml:space="preserve">, </w:t>
      </w:r>
      <w:r w:rsidR="00322CFC">
        <w:rPr>
          <w:rFonts w:asciiTheme="minorHAnsi" w:hAnsiTheme="minorHAnsi" w:cstheme="minorHAnsi"/>
        </w:rPr>
        <w:t>C</w:t>
      </w:r>
      <w:r w:rsidR="00AA36A6" w:rsidRPr="00AA36A6">
        <w:rPr>
          <w:rFonts w:asciiTheme="minorHAnsi" w:hAnsiTheme="minorHAnsi" w:cstheme="minorHAnsi"/>
        </w:rPr>
        <w:t xml:space="preserve">entral </w:t>
      </w:r>
      <w:r w:rsidR="00322CFC">
        <w:rPr>
          <w:rFonts w:asciiTheme="minorHAnsi" w:hAnsiTheme="minorHAnsi" w:cstheme="minorHAnsi"/>
        </w:rPr>
        <w:t>L</w:t>
      </w:r>
      <w:r w:rsidR="00AA36A6" w:rsidRPr="00AA36A6">
        <w:rPr>
          <w:rFonts w:asciiTheme="minorHAnsi" w:hAnsiTheme="minorHAnsi" w:cstheme="minorHAnsi"/>
        </w:rPr>
        <w:t xml:space="preserve">imit </w:t>
      </w:r>
      <w:r w:rsidR="00322CFC">
        <w:rPr>
          <w:rFonts w:asciiTheme="minorHAnsi" w:hAnsiTheme="minorHAnsi" w:cstheme="minorHAnsi"/>
        </w:rPr>
        <w:t>T</w:t>
      </w:r>
      <w:r w:rsidR="00AA36A6" w:rsidRPr="00AA36A6">
        <w:rPr>
          <w:rFonts w:asciiTheme="minorHAnsi" w:hAnsiTheme="minorHAnsi" w:cstheme="minorHAnsi"/>
        </w:rPr>
        <w:t xml:space="preserve">heorem ensures that the sampling distribution of the mean </w:t>
      </w:r>
      <w:r w:rsidR="00AA36A6">
        <w:rPr>
          <w:rFonts w:asciiTheme="minorHAnsi" w:hAnsiTheme="minorHAnsi" w:cstheme="minorHAnsi"/>
        </w:rPr>
        <w:t xml:space="preserve">is </w:t>
      </w:r>
      <w:r w:rsidR="00AA36A6" w:rsidRPr="00AA36A6">
        <w:rPr>
          <w:rFonts w:asciiTheme="minorHAnsi" w:hAnsiTheme="minorHAnsi" w:cstheme="minorHAnsi"/>
        </w:rPr>
        <w:t>approximately normal – regardless of the sample of the population distribution</w:t>
      </w:r>
      <w:r w:rsidR="00322CFC">
        <w:rPr>
          <w:rFonts w:asciiTheme="minorHAnsi" w:hAnsiTheme="minorHAnsi" w:cstheme="minorHAnsi"/>
        </w:rPr>
        <w:t xml:space="preserve"> (Moore and McCabe, 1989)</w:t>
      </w:r>
      <w:r w:rsidR="00AA36A6" w:rsidRPr="00AA36A6">
        <w:rPr>
          <w:rFonts w:asciiTheme="minorHAnsi" w:hAnsiTheme="minorHAnsi" w:cstheme="minorHAnsi"/>
        </w:rPr>
        <w:t xml:space="preserve">. Therefore, the use of </w:t>
      </w:r>
      <w:r w:rsidR="00A974EE">
        <w:rPr>
          <w:rFonts w:asciiTheme="minorHAnsi" w:hAnsiTheme="minorHAnsi" w:cstheme="minorHAnsi"/>
        </w:rPr>
        <w:t>T</w:t>
      </w:r>
      <w:r w:rsidR="00AA36A6" w:rsidRPr="00AA36A6">
        <w:rPr>
          <w:rFonts w:asciiTheme="minorHAnsi" w:hAnsiTheme="minorHAnsi" w:cstheme="minorHAnsi"/>
        </w:rPr>
        <w:t>-tests</w:t>
      </w:r>
      <w:r w:rsidR="00AA36A6">
        <w:rPr>
          <w:rFonts w:asciiTheme="minorHAnsi" w:hAnsiTheme="minorHAnsi" w:cstheme="minorHAnsi"/>
        </w:rPr>
        <w:t xml:space="preserve"> for</w:t>
      </w:r>
      <w:r w:rsidR="00AA36A6" w:rsidRPr="00AA36A6">
        <w:rPr>
          <w:rFonts w:asciiTheme="minorHAnsi" w:hAnsiTheme="minorHAnsi" w:cstheme="minorHAnsi"/>
        </w:rPr>
        <w:t xml:space="preserve"> comparing mean EQ-5D</w:t>
      </w:r>
      <w:r w:rsidR="00AA36A6">
        <w:rPr>
          <w:rFonts w:asciiTheme="minorHAnsi" w:hAnsiTheme="minorHAnsi" w:cstheme="minorHAnsi"/>
        </w:rPr>
        <w:t xml:space="preserve"> index</w:t>
      </w:r>
      <w:r w:rsidR="00AA36A6" w:rsidRPr="00AA36A6">
        <w:rPr>
          <w:rFonts w:asciiTheme="minorHAnsi" w:hAnsiTheme="minorHAnsi" w:cstheme="minorHAnsi"/>
        </w:rPr>
        <w:t xml:space="preserve"> scores is justified.</w:t>
      </w:r>
      <w:r w:rsidR="00AA36A6">
        <w:rPr>
          <w:rFonts w:asciiTheme="minorHAnsi" w:hAnsiTheme="minorHAnsi" w:cstheme="minorHAnsi"/>
        </w:rPr>
        <w:t xml:space="preserve"> </w:t>
      </w:r>
    </w:p>
    <w:p w14:paraId="3877AEE4" w14:textId="77777777" w:rsidR="00B54D51" w:rsidRPr="00037AD4" w:rsidRDefault="00B54D51" w:rsidP="00063D74">
      <w:pPr>
        <w:rPr>
          <w:rFonts w:asciiTheme="minorHAnsi" w:hAnsiTheme="minorHAnsi" w:cstheme="minorHAnsi"/>
        </w:rPr>
      </w:pPr>
    </w:p>
    <w:p w14:paraId="627D2383" w14:textId="08A9370A" w:rsidR="00B54D51" w:rsidRPr="00037AD4" w:rsidRDefault="00B54D51" w:rsidP="00063D74">
      <w:pPr>
        <w:rPr>
          <w:rFonts w:asciiTheme="minorHAnsi" w:hAnsiTheme="minorHAnsi" w:cstheme="minorHAnsi"/>
        </w:rPr>
      </w:pPr>
      <w:r w:rsidRPr="00D04019">
        <w:rPr>
          <w:rFonts w:asciiTheme="minorHAnsi" w:hAnsiTheme="minorHAnsi" w:cstheme="minorHAnsi"/>
        </w:rPr>
        <w:t>To test the impact of clinical and demographic variables on PwD and proxy reports of EQ-5D, multivariate linear regression analyses are conducted.</w:t>
      </w:r>
      <w:r w:rsidRPr="00037AD4">
        <w:rPr>
          <w:rFonts w:asciiTheme="minorHAnsi" w:hAnsiTheme="minorHAnsi" w:cstheme="minorHAnsi"/>
        </w:rPr>
        <w:t xml:space="preserve"> This type of regression is selected because the dependent variable, EQ-5D index score, is treated as a continuous variable. This approach allows examination of the relationships between multiple independent variables and the dependent variable (EQ-5D index scores) while accounting for potential confounding factors. EQ-5D index scores estimated from PwD and proxy reports respectively are entered as dependent variables, and the various demographic and clinical measures that are included within the study datasets are entered as predictor variables, as well as any additional variables of interest, for example the proxies’ own HRQoL via EQ-5D within the REMCARE study. </w:t>
      </w:r>
      <w:r w:rsidR="002743A3" w:rsidRPr="002743A3">
        <w:rPr>
          <w:rFonts w:asciiTheme="minorHAnsi" w:hAnsiTheme="minorHAnsi" w:cstheme="minorHAnsi"/>
        </w:rPr>
        <w:t xml:space="preserve">While multivariate linear regression may not align with the assumption of normality in the distribution of EQ-5D, its </w:t>
      </w:r>
      <w:r w:rsidR="002743A3">
        <w:rPr>
          <w:rFonts w:asciiTheme="minorHAnsi" w:hAnsiTheme="minorHAnsi" w:cstheme="minorHAnsi"/>
        </w:rPr>
        <w:t>application</w:t>
      </w:r>
      <w:r w:rsidR="002743A3" w:rsidRPr="002743A3">
        <w:rPr>
          <w:rFonts w:asciiTheme="minorHAnsi" w:hAnsiTheme="minorHAnsi" w:cstheme="minorHAnsi"/>
        </w:rPr>
        <w:t xml:space="preserve"> primarily serves to </w:t>
      </w:r>
      <w:r w:rsidR="002743A3" w:rsidRPr="002743A3">
        <w:rPr>
          <w:rFonts w:asciiTheme="minorHAnsi" w:hAnsiTheme="minorHAnsi" w:cstheme="minorHAnsi"/>
        </w:rPr>
        <w:lastRenderedPageBreak/>
        <w:t>identify important variables and their directional impact, rather than for predictive purposes. Acknowledging this limitation, the choice of linear regression is deemed suitable for the exploratory nature of this analysis.</w:t>
      </w:r>
    </w:p>
    <w:p w14:paraId="75C84BC0" w14:textId="77777777" w:rsidR="00B54D51" w:rsidRPr="00037AD4" w:rsidRDefault="00B54D51" w:rsidP="00063D74">
      <w:pPr>
        <w:rPr>
          <w:rFonts w:asciiTheme="minorHAnsi" w:hAnsiTheme="minorHAnsi" w:cstheme="minorHAnsi"/>
        </w:rPr>
      </w:pPr>
    </w:p>
    <w:p w14:paraId="200F0BEC" w14:textId="77777777" w:rsidR="00B54D51" w:rsidRPr="00037AD4" w:rsidRDefault="00B54D51" w:rsidP="00063D74">
      <w:pPr>
        <w:rPr>
          <w:rFonts w:asciiTheme="minorHAnsi" w:hAnsiTheme="minorHAnsi" w:cstheme="minorHAnsi"/>
        </w:rPr>
      </w:pPr>
      <w:r w:rsidRPr="00037AD4">
        <w:rPr>
          <w:rFonts w:asciiTheme="minorHAnsi" w:hAnsiTheme="minorHAnsi" w:cstheme="minorHAnsi"/>
        </w:rPr>
        <w:t xml:space="preserve">Health utility/index scores are estimated from EQ-5D data from both respondent types (PwD and proxy). The EQ-5D-3L value set for England </w:t>
      </w:r>
      <w:r>
        <w:rPr>
          <w:rFonts w:asciiTheme="minorHAnsi" w:hAnsiTheme="minorHAnsi" w:cstheme="minorHAnsi"/>
          <w:noProof/>
        </w:rPr>
        <w:t>(Dolan, 1997)</w:t>
      </w:r>
      <w:r w:rsidRPr="00037AD4">
        <w:rPr>
          <w:rFonts w:asciiTheme="minorHAnsi" w:hAnsiTheme="minorHAnsi" w:cstheme="minorHAnsi"/>
        </w:rPr>
        <w:t xml:space="preserve"> is used for REMCARE study data. Current NICE guidelines recommend mapping EQ-5D-5L responses onto the EQ-5D-3L value set, in the absence of a suitable UK EQ-5D-5L value for use </w:t>
      </w:r>
      <w:r>
        <w:rPr>
          <w:rFonts w:asciiTheme="minorHAnsi" w:hAnsiTheme="minorHAnsi" w:cstheme="minorHAnsi"/>
          <w:noProof/>
        </w:rPr>
        <w:t>(NICE, 2019b)</w:t>
      </w:r>
      <w:r w:rsidRPr="00037AD4">
        <w:rPr>
          <w:rFonts w:asciiTheme="minorHAnsi" w:hAnsiTheme="minorHAnsi" w:cstheme="minorHAnsi"/>
        </w:rPr>
        <w:t xml:space="preserve">. Therefore, for the ACTIFCARE and EPIC study data, where EQ-5D-5L has been collected, utility scores are calculated using the mapping approach recommended by NICE which is conditional on age and gender </w:t>
      </w:r>
      <w:r>
        <w:rPr>
          <w:rFonts w:asciiTheme="minorHAnsi" w:hAnsiTheme="minorHAnsi" w:cstheme="minorHAnsi"/>
          <w:noProof/>
        </w:rPr>
        <w:t>(NICE, 2020b, Hernández Alava et al., 2023)</w:t>
      </w:r>
      <w:r w:rsidRPr="00037AD4">
        <w:rPr>
          <w:rFonts w:asciiTheme="minorHAnsi" w:hAnsiTheme="minorHAnsi" w:cstheme="minorHAnsi"/>
        </w:rPr>
        <w:t xml:space="preserve">. </w:t>
      </w:r>
    </w:p>
    <w:p w14:paraId="7C492A48" w14:textId="77777777" w:rsidR="00B54D51" w:rsidRPr="00037AD4" w:rsidRDefault="00B54D51" w:rsidP="00063D74">
      <w:pPr>
        <w:rPr>
          <w:rFonts w:asciiTheme="minorHAnsi" w:hAnsiTheme="minorHAnsi" w:cstheme="minorHAnsi"/>
        </w:rPr>
      </w:pPr>
    </w:p>
    <w:p w14:paraId="1DE80C49" w14:textId="77777777" w:rsidR="00B54D51" w:rsidRPr="00037AD4" w:rsidRDefault="00B54D51" w:rsidP="00063D74">
      <w:pPr>
        <w:rPr>
          <w:rFonts w:asciiTheme="minorHAnsi" w:hAnsiTheme="minorHAnsi" w:cstheme="minorHAnsi"/>
        </w:rPr>
      </w:pPr>
      <w:r w:rsidRPr="00037AD4">
        <w:rPr>
          <w:rFonts w:asciiTheme="minorHAnsi" w:hAnsiTheme="minorHAnsi" w:cstheme="minorHAnsi"/>
        </w:rPr>
        <w:t xml:space="preserve">All three studies collected the dementia specific measure, QoL-AD. At the time of analysis, a value set was available that converts QoL-AD data to health utility scores, known as Alzheimer’s Disease Five Dimensions (AD-5D) utility </w:t>
      </w:r>
      <w:r>
        <w:rPr>
          <w:rFonts w:asciiTheme="minorHAnsi" w:hAnsiTheme="minorHAnsi" w:cstheme="minorHAnsi"/>
          <w:noProof/>
        </w:rPr>
        <w:t>(Comans et al., 2020)</w:t>
      </w:r>
      <w:r w:rsidRPr="00037AD4">
        <w:rPr>
          <w:rFonts w:asciiTheme="minorHAnsi" w:hAnsiTheme="minorHAnsi" w:cstheme="minorHAnsi"/>
        </w:rPr>
        <w:t xml:space="preserve">. It includes the following five QoL-AD dimensions: </w:t>
      </w:r>
      <w:r w:rsidRPr="00037AD4">
        <w:rPr>
          <w:rFonts w:asciiTheme="minorHAnsi" w:hAnsiTheme="minorHAnsi" w:cstheme="minorHAnsi"/>
          <w:i/>
          <w:iCs/>
        </w:rPr>
        <w:t>physical health, mood, living situation</w:t>
      </w:r>
      <w:r w:rsidRPr="00037AD4">
        <w:rPr>
          <w:rFonts w:asciiTheme="minorHAnsi" w:hAnsiTheme="minorHAnsi" w:cstheme="minorHAnsi"/>
        </w:rPr>
        <w:t xml:space="preserve"> and</w:t>
      </w:r>
      <w:r w:rsidRPr="00037AD4">
        <w:rPr>
          <w:rFonts w:asciiTheme="minorHAnsi" w:hAnsiTheme="minorHAnsi" w:cstheme="minorHAnsi"/>
          <w:i/>
          <w:iCs/>
        </w:rPr>
        <w:t xml:space="preserve"> ability to do things for fun.</w:t>
      </w:r>
      <w:r w:rsidRPr="00037AD4">
        <w:rPr>
          <w:rFonts w:asciiTheme="minorHAnsi" w:hAnsiTheme="minorHAnsi" w:cstheme="minorHAnsi"/>
        </w:rPr>
        <w:t xml:space="preserve"> The value set used is representative of the general population in Australia </w:t>
      </w:r>
      <w:r>
        <w:rPr>
          <w:rFonts w:asciiTheme="minorHAnsi" w:hAnsiTheme="minorHAnsi" w:cstheme="minorHAnsi"/>
          <w:noProof/>
        </w:rPr>
        <w:t>(Comans et al., 2020)</w:t>
      </w:r>
      <w:r w:rsidRPr="00037AD4">
        <w:rPr>
          <w:rFonts w:asciiTheme="minorHAnsi" w:hAnsiTheme="minorHAnsi" w:cstheme="minorHAnsi"/>
        </w:rPr>
        <w:t xml:space="preserve">. QoL-AD instrument scores are also calculated for the three datasets by summing the item scores. Where both PwD and proxy reports are collected (within the REMCARE and ACTIFCARE study), the QoL-AD weighted composite score is also calculated </w:t>
      </w:r>
      <w:r>
        <w:rPr>
          <w:rFonts w:asciiTheme="minorHAnsi" w:hAnsiTheme="minorHAnsi" w:cstheme="minorHAnsi"/>
          <w:noProof/>
        </w:rPr>
        <w:t>(Logsdon et al., 1999)</w:t>
      </w:r>
      <w:r w:rsidRPr="00037AD4">
        <w:rPr>
          <w:rFonts w:asciiTheme="minorHAnsi" w:hAnsiTheme="minorHAnsi" w:cstheme="minorHAnsi"/>
        </w:rPr>
        <w:t xml:space="preserve">. </w:t>
      </w:r>
    </w:p>
    <w:p w14:paraId="6A2C175F" w14:textId="77777777" w:rsidR="00B54D51" w:rsidRPr="00037AD4" w:rsidRDefault="00B54D51" w:rsidP="00063D74">
      <w:pPr>
        <w:rPr>
          <w:rFonts w:asciiTheme="minorHAnsi" w:hAnsiTheme="minorHAnsi" w:cstheme="minorHAnsi"/>
        </w:rPr>
      </w:pPr>
    </w:p>
    <w:p w14:paraId="388982F6" w14:textId="77777777" w:rsidR="00B54D51" w:rsidRPr="00037AD4" w:rsidRDefault="00B54D51" w:rsidP="00063D74">
      <w:pPr>
        <w:rPr>
          <w:rFonts w:asciiTheme="minorHAnsi" w:hAnsiTheme="minorHAnsi" w:cstheme="minorHAnsi"/>
        </w:rPr>
      </w:pPr>
      <w:r w:rsidRPr="00037AD4">
        <w:rPr>
          <w:rFonts w:asciiTheme="minorHAnsi" w:hAnsiTheme="minorHAnsi" w:cstheme="minorHAnsi"/>
        </w:rPr>
        <w:t xml:space="preserve">DEMQoL and DEMQoL-proxy are included in ACTIFCARE and EPIC datasets. These are converted into two preference-based index measures: the DEMQoL-U from the PwD-reported DEMQoL, and the DEMQoL-Proxy-U from proxy-reported DEMQoL-proxy. This estimation uses published utility decrements elicited from members of the UK general population </w:t>
      </w:r>
      <w:r>
        <w:rPr>
          <w:rFonts w:asciiTheme="minorHAnsi" w:hAnsiTheme="minorHAnsi" w:cstheme="minorHAnsi"/>
          <w:noProof/>
        </w:rPr>
        <w:t>(Rowen et al., 2012)</w:t>
      </w:r>
      <w:r w:rsidRPr="00037AD4">
        <w:rPr>
          <w:rFonts w:asciiTheme="minorHAnsi" w:hAnsiTheme="minorHAnsi" w:cstheme="minorHAnsi"/>
        </w:rPr>
        <w:t xml:space="preserve">. </w:t>
      </w:r>
    </w:p>
    <w:p w14:paraId="0E71DCFB" w14:textId="77777777" w:rsidR="00B54D51" w:rsidRPr="00037AD4" w:rsidRDefault="00B54D51" w:rsidP="00063D74">
      <w:pPr>
        <w:rPr>
          <w:rFonts w:asciiTheme="minorHAnsi" w:hAnsiTheme="minorHAnsi" w:cstheme="minorHAnsi"/>
        </w:rPr>
      </w:pPr>
    </w:p>
    <w:p w14:paraId="413732D8" w14:textId="77777777" w:rsidR="00B54D51" w:rsidRPr="00037AD4" w:rsidRDefault="00B54D51" w:rsidP="00063D74">
      <w:pPr>
        <w:rPr>
          <w:rFonts w:asciiTheme="minorHAnsi" w:hAnsiTheme="minorHAnsi" w:cstheme="minorHAnsi"/>
        </w:rPr>
      </w:pPr>
      <w:r w:rsidRPr="00037AD4">
        <w:rPr>
          <w:rFonts w:asciiTheme="minorHAnsi" w:hAnsiTheme="minorHAnsi" w:cstheme="minorHAnsi"/>
        </w:rPr>
        <w:t xml:space="preserve">The ACTIFCARE study collected the ICECAP-O (ICEpop CAPability measure for Older people), a measure of well-being for older people. A published value set is used to convert ICECAP-O data to a capability index score </w:t>
      </w:r>
      <w:r>
        <w:rPr>
          <w:rFonts w:asciiTheme="minorHAnsi" w:hAnsiTheme="minorHAnsi" w:cstheme="minorHAnsi"/>
          <w:noProof/>
        </w:rPr>
        <w:t>(Coast et al., 2008)</w:t>
      </w:r>
      <w:r w:rsidRPr="00037AD4">
        <w:rPr>
          <w:rFonts w:asciiTheme="minorHAnsi" w:hAnsiTheme="minorHAnsi" w:cstheme="minorHAnsi"/>
        </w:rPr>
        <w:t xml:space="preserve">. </w:t>
      </w:r>
    </w:p>
    <w:p w14:paraId="7DA66201" w14:textId="77777777" w:rsidR="00B54D51" w:rsidRPr="00037AD4" w:rsidRDefault="00B54D51" w:rsidP="00063D74">
      <w:pPr>
        <w:rPr>
          <w:rFonts w:asciiTheme="minorHAnsi" w:hAnsiTheme="minorHAnsi" w:cstheme="minorHAnsi"/>
        </w:rPr>
      </w:pPr>
    </w:p>
    <w:p w14:paraId="730AC2E3" w14:textId="77777777" w:rsidR="00B54D51" w:rsidRPr="00037AD4" w:rsidRDefault="00B54D51" w:rsidP="00063D74">
      <w:pPr>
        <w:rPr>
          <w:rFonts w:asciiTheme="minorHAnsi" w:hAnsiTheme="minorHAnsi" w:cstheme="minorHAnsi"/>
        </w:rPr>
      </w:pPr>
      <w:r w:rsidRPr="00037AD4">
        <w:rPr>
          <w:rFonts w:asciiTheme="minorHAnsi" w:hAnsiTheme="minorHAnsi" w:cstheme="minorHAnsi"/>
        </w:rPr>
        <w:t xml:space="preserve">In some instances, data of the measures are only available in the datasets as item scores. Total measure scores are calculated using the methodologies outlined in the related instrument development and scoring publications. This step is conducted for: DEMQoL and DEMQoL-proxy </w:t>
      </w:r>
      <w:r>
        <w:rPr>
          <w:rFonts w:asciiTheme="minorHAnsi" w:hAnsiTheme="minorHAnsi" w:cstheme="minorHAnsi"/>
          <w:noProof/>
        </w:rPr>
        <w:t>(Smith et al., 2005a)</w:t>
      </w:r>
      <w:r w:rsidRPr="00037AD4">
        <w:rPr>
          <w:rFonts w:asciiTheme="minorHAnsi" w:hAnsiTheme="minorHAnsi" w:cstheme="minorHAnsi"/>
        </w:rPr>
        <w:t xml:space="preserve">, QoL-AD </w:t>
      </w:r>
      <w:r>
        <w:rPr>
          <w:rFonts w:asciiTheme="minorHAnsi" w:hAnsiTheme="minorHAnsi" w:cstheme="minorHAnsi"/>
          <w:noProof/>
        </w:rPr>
        <w:t>(Logsdon et al., 1999)</w:t>
      </w:r>
      <w:r w:rsidRPr="00037AD4">
        <w:rPr>
          <w:rFonts w:asciiTheme="minorHAnsi" w:hAnsiTheme="minorHAnsi" w:cstheme="minorHAnsi"/>
        </w:rPr>
        <w:t xml:space="preserve"> QUALID </w:t>
      </w:r>
      <w:r>
        <w:rPr>
          <w:rFonts w:asciiTheme="minorHAnsi" w:hAnsiTheme="minorHAnsi" w:cstheme="minorHAnsi"/>
          <w:noProof/>
        </w:rPr>
        <w:t>(Weiner et al., 2000)</w:t>
      </w:r>
      <w:r w:rsidRPr="00037AD4">
        <w:rPr>
          <w:rFonts w:asciiTheme="minorHAnsi" w:hAnsiTheme="minorHAnsi" w:cstheme="minorHAnsi"/>
        </w:rPr>
        <w:t xml:space="preserve">, BADLS </w:t>
      </w:r>
      <w:r>
        <w:rPr>
          <w:rFonts w:asciiTheme="minorHAnsi" w:hAnsiTheme="minorHAnsi" w:cstheme="minorHAnsi"/>
          <w:noProof/>
        </w:rPr>
        <w:t>(BUCKS et al., 1996)</w:t>
      </w:r>
      <w:r w:rsidRPr="00037AD4">
        <w:rPr>
          <w:rFonts w:asciiTheme="minorHAnsi" w:hAnsiTheme="minorHAnsi" w:cstheme="minorHAnsi"/>
        </w:rPr>
        <w:t xml:space="preserve">, CSDD </w:t>
      </w:r>
      <w:r>
        <w:rPr>
          <w:rFonts w:asciiTheme="minorHAnsi" w:hAnsiTheme="minorHAnsi" w:cstheme="minorHAnsi"/>
          <w:noProof/>
        </w:rPr>
        <w:t>(Alexopoulos et al., 1988)</w:t>
      </w:r>
      <w:r w:rsidRPr="00037AD4">
        <w:rPr>
          <w:rFonts w:asciiTheme="minorHAnsi" w:hAnsiTheme="minorHAnsi" w:cstheme="minorHAnsi"/>
        </w:rPr>
        <w:t xml:space="preserve">, NPI </w:t>
      </w:r>
      <w:r>
        <w:rPr>
          <w:rFonts w:asciiTheme="minorHAnsi" w:hAnsiTheme="minorHAnsi" w:cstheme="minorHAnsi"/>
          <w:noProof/>
        </w:rPr>
        <w:t>(Connor et al., 2008)</w:t>
      </w:r>
      <w:r w:rsidRPr="00037AD4">
        <w:rPr>
          <w:rFonts w:asciiTheme="minorHAnsi" w:hAnsiTheme="minorHAnsi" w:cstheme="minorHAnsi"/>
        </w:rPr>
        <w:t xml:space="preserve">, IADL </w:t>
      </w:r>
      <w:r>
        <w:rPr>
          <w:rFonts w:asciiTheme="minorHAnsi" w:hAnsiTheme="minorHAnsi" w:cstheme="minorHAnsi"/>
          <w:noProof/>
        </w:rPr>
        <w:t>(Graf, 2008)</w:t>
      </w:r>
      <w:r w:rsidRPr="00037AD4">
        <w:rPr>
          <w:rFonts w:asciiTheme="minorHAnsi" w:hAnsiTheme="minorHAnsi" w:cstheme="minorHAnsi"/>
        </w:rPr>
        <w:t xml:space="preserve"> and PSMS </w:t>
      </w:r>
      <w:r>
        <w:rPr>
          <w:rFonts w:asciiTheme="minorHAnsi" w:hAnsiTheme="minorHAnsi" w:cstheme="minorHAnsi"/>
          <w:noProof/>
        </w:rPr>
        <w:t>(Lawton, 1988)</w:t>
      </w:r>
      <w:r w:rsidRPr="00037AD4">
        <w:rPr>
          <w:rFonts w:asciiTheme="minorHAnsi" w:hAnsiTheme="minorHAnsi" w:cstheme="minorHAnsi"/>
        </w:rPr>
        <w:t xml:space="preserve">. </w:t>
      </w:r>
    </w:p>
    <w:p w14:paraId="7EE3687C" w14:textId="77777777" w:rsidR="00B54D51" w:rsidRPr="00037AD4" w:rsidRDefault="00B54D51" w:rsidP="00063D74">
      <w:pPr>
        <w:rPr>
          <w:rFonts w:asciiTheme="minorHAnsi" w:hAnsiTheme="minorHAnsi" w:cstheme="minorHAnsi"/>
        </w:rPr>
      </w:pPr>
    </w:p>
    <w:p w14:paraId="752C5E25" w14:textId="77777777" w:rsidR="00B54D51" w:rsidRPr="00037AD4" w:rsidRDefault="00B54D51" w:rsidP="00063D74">
      <w:pPr>
        <w:rPr>
          <w:rFonts w:asciiTheme="minorHAnsi" w:hAnsiTheme="minorHAnsi" w:cstheme="minorHAnsi"/>
        </w:rPr>
      </w:pPr>
      <w:r w:rsidRPr="00037AD4">
        <w:rPr>
          <w:rFonts w:asciiTheme="minorHAnsi" w:hAnsiTheme="minorHAnsi" w:cstheme="minorHAnsi"/>
        </w:rPr>
        <w:t xml:space="preserve">All calculations are performed using STATA 17.0 (version for Mac). </w:t>
      </w:r>
    </w:p>
    <w:p w14:paraId="4224B072" w14:textId="77777777" w:rsidR="00B54D51" w:rsidRPr="00037AD4" w:rsidRDefault="00B54D51" w:rsidP="00063D74">
      <w:pPr>
        <w:rPr>
          <w:rFonts w:asciiTheme="minorHAnsi" w:hAnsiTheme="minorHAnsi" w:cstheme="minorHAnsi"/>
        </w:rPr>
      </w:pPr>
    </w:p>
    <w:p w14:paraId="1491DAC3" w14:textId="77777777" w:rsidR="00B54D51" w:rsidRPr="00037AD4" w:rsidRDefault="00B54D51" w:rsidP="007A43F9">
      <w:pPr>
        <w:pStyle w:val="Heading3"/>
      </w:pPr>
      <w:bookmarkStart w:id="323" w:name="_Toc175742303"/>
      <w:r w:rsidRPr="00037AD4">
        <w:t>4.3.2 Data</w:t>
      </w:r>
      <w:bookmarkEnd w:id="323"/>
      <w:r w:rsidRPr="00037AD4">
        <w:t xml:space="preserve"> </w:t>
      </w:r>
    </w:p>
    <w:p w14:paraId="3A821A0C" w14:textId="77777777" w:rsidR="00B54D51" w:rsidRPr="00037AD4" w:rsidRDefault="00B54D51" w:rsidP="007A43F9"/>
    <w:p w14:paraId="2C2E0279" w14:textId="77777777" w:rsidR="00B54D51" w:rsidRPr="00037AD4" w:rsidRDefault="00B54D51" w:rsidP="00241EAD">
      <w:pPr>
        <w:rPr>
          <w:rFonts w:asciiTheme="minorHAnsi" w:hAnsiTheme="minorHAnsi" w:cstheme="minorHAnsi"/>
          <w:color w:val="000000" w:themeColor="text1"/>
        </w:rPr>
      </w:pPr>
      <w:r w:rsidRPr="00037AD4">
        <w:rPr>
          <w:rFonts w:asciiTheme="minorHAnsi" w:hAnsiTheme="minorHAnsi" w:cstheme="minorHAnsi"/>
          <w:color w:val="000000" w:themeColor="text1"/>
        </w:rPr>
        <w:t xml:space="preserve">It is important to note that the datasets made available for these analyses from the distinct clinical trials units are not exhaustive, and therefore exclude some measures that had been originally collected by the studies. </w:t>
      </w:r>
      <w:r w:rsidRPr="00037AD4">
        <w:rPr>
          <w:rFonts w:asciiTheme="minorHAnsi" w:hAnsiTheme="minorHAnsi" w:cstheme="minorHAnsi"/>
        </w:rPr>
        <w:t xml:space="preserve">Table 12 </w:t>
      </w:r>
      <w:r w:rsidRPr="00037AD4">
        <w:rPr>
          <w:rFonts w:asciiTheme="minorHAnsi" w:hAnsiTheme="minorHAnsi" w:cstheme="minorHAnsi"/>
          <w:color w:val="000000" w:themeColor="text1"/>
        </w:rPr>
        <w:t xml:space="preserve">below provides a summary of the key characteristics of the three studies. </w:t>
      </w:r>
    </w:p>
    <w:p w14:paraId="7C2193B3" w14:textId="77777777" w:rsidR="00B54D51" w:rsidRPr="00037AD4" w:rsidRDefault="00B54D51" w:rsidP="00241EAD">
      <w:pPr>
        <w:rPr>
          <w:rFonts w:asciiTheme="minorHAnsi" w:hAnsiTheme="minorHAnsi" w:cstheme="minorHAnsi"/>
          <w:color w:val="000000" w:themeColor="text1"/>
        </w:rPr>
      </w:pPr>
    </w:p>
    <w:p w14:paraId="2F2C3FA0" w14:textId="77777777" w:rsidR="00B54D51" w:rsidRPr="00037AD4" w:rsidRDefault="00B54D51" w:rsidP="00241EAD">
      <w:pPr>
        <w:rPr>
          <w:rFonts w:asciiTheme="minorHAnsi" w:hAnsiTheme="minorHAnsi" w:cstheme="minorHAnsi"/>
          <w:color w:val="000000" w:themeColor="text1"/>
        </w:rPr>
      </w:pPr>
      <w:r w:rsidRPr="00037AD4">
        <w:rPr>
          <w:rFonts w:asciiTheme="minorHAnsi" w:hAnsiTheme="minorHAnsi" w:cstheme="minorHAnsi"/>
          <w:color w:val="000000" w:themeColor="text1"/>
        </w:rPr>
        <w:t xml:space="preserve">As shown in Table 12, both the REMCARE and the EPIC studies are RCTs, whereas the ACTIFCARE study is an observational cohort study. The key difference in the study designs highlights that within the ACTIFCARE study participants are not assigned treatments, instead researchers observe and gather data based on the participants’ natural exposures and conditions. Both of the interventions within the REMCARE and EPIC studies are non-pharmacological in nature. The REMCARE study investigates “reminiscence groups” within community settings for community dwelling people with dementia. The EPIC study explores the application of Dementia Care Mapping (DCM) alongside usual care in care-homes for institutionalised people with dementia. </w:t>
      </w:r>
    </w:p>
    <w:p w14:paraId="4F91B1DE" w14:textId="77777777" w:rsidR="00B54D51" w:rsidRPr="00037AD4" w:rsidRDefault="00B54D51" w:rsidP="00241EAD">
      <w:pPr>
        <w:rPr>
          <w:rFonts w:asciiTheme="minorHAnsi" w:hAnsiTheme="minorHAnsi" w:cstheme="minorHAnsi"/>
          <w:color w:val="000000" w:themeColor="text1"/>
        </w:rPr>
      </w:pPr>
    </w:p>
    <w:p w14:paraId="3C4678A3" w14:textId="38D5C21E" w:rsidR="00B54D51" w:rsidRPr="00B77D6A" w:rsidRDefault="00B54D51" w:rsidP="00241EAD">
      <w:pPr>
        <w:rPr>
          <w:rFonts w:asciiTheme="minorHAnsi" w:hAnsiTheme="minorHAnsi" w:cstheme="minorHAnsi"/>
          <w:color w:val="000000" w:themeColor="text1"/>
        </w:rPr>
      </w:pPr>
      <w:r w:rsidRPr="00037AD4">
        <w:rPr>
          <w:rFonts w:asciiTheme="minorHAnsi" w:hAnsiTheme="minorHAnsi" w:cstheme="minorHAnsi"/>
          <w:color w:val="000000" w:themeColor="text1"/>
        </w:rPr>
        <w:t xml:space="preserve">Of the three studies, the EPIC trial recruited the largest number of PwD-proxy dyads (n=734). The REMCARE study collected the three-level version of EQ-5D from people with dementia and informal care givers acting as proxies for the PwD; it also collected the caregiver’s </w:t>
      </w:r>
      <w:r w:rsidRPr="00037AD4">
        <w:rPr>
          <w:rFonts w:asciiTheme="minorHAnsi" w:hAnsiTheme="minorHAnsi" w:cstheme="minorHAnsi"/>
          <w:i/>
          <w:iCs/>
          <w:color w:val="000000" w:themeColor="text1"/>
        </w:rPr>
        <w:t xml:space="preserve">own </w:t>
      </w:r>
      <w:r w:rsidRPr="00037AD4">
        <w:rPr>
          <w:rFonts w:asciiTheme="minorHAnsi" w:hAnsiTheme="minorHAnsi" w:cstheme="minorHAnsi"/>
          <w:color w:val="000000" w:themeColor="text1"/>
        </w:rPr>
        <w:t xml:space="preserve">HRQoL via EQ-5D-3L. The ACTFICARE and EPIC studies both collected the five-level version of EQ-5D, also collecting data from the PwD and an informal proxy, with the EPIC study also collecting data from a staff member serving as a proxy for the PwD. This data, along with various other outcome measures was collected at three time points by each study, with the EPIC study collecting the most longitudinal data (final follow-up at 16 months). While both the REMCARE and ACTIFCARE studies concentrate on the recruitment of people with dementia within the mild-to-moderate stages of dementia, the EPIC study extends its inclusion criteria to encompass individuals with severe dementia. A full summary of each trial’s study design, instruments collected, and the key findings is provided in </w:t>
      </w:r>
      <w:hyperlink w:anchor="A4" w:history="1">
        <w:r w:rsidRPr="00B54D51">
          <w:rPr>
            <w:rStyle w:val="Hyperlink"/>
            <w:rFonts w:asciiTheme="minorHAnsi" w:hAnsiTheme="minorHAnsi" w:cstheme="minorHAnsi"/>
            <w:color w:val="auto"/>
            <w:u w:val="none"/>
          </w:rPr>
          <w:t>Appendix 4.</w:t>
        </w:r>
      </w:hyperlink>
      <w:r w:rsidRPr="00B54D51">
        <w:rPr>
          <w:rFonts w:asciiTheme="minorHAnsi" w:hAnsiTheme="minorHAnsi" w:cstheme="minorHAnsi"/>
        </w:rPr>
        <w:t xml:space="preserve"> </w:t>
      </w:r>
    </w:p>
    <w:p w14:paraId="768EDA41" w14:textId="77777777" w:rsidR="00B54D51" w:rsidRPr="00037AD4" w:rsidRDefault="00B54D51" w:rsidP="00241EAD">
      <w:pPr>
        <w:rPr>
          <w:rFonts w:asciiTheme="minorHAnsi" w:hAnsiTheme="minorHAnsi" w:cstheme="minorHAnsi"/>
          <w:color w:val="000000" w:themeColor="text1"/>
        </w:rPr>
      </w:pPr>
    </w:p>
    <w:p w14:paraId="06868C04" w14:textId="57656E93" w:rsidR="00B54D51" w:rsidRDefault="00B54D51" w:rsidP="00241EAD">
      <w:pPr>
        <w:rPr>
          <w:rFonts w:asciiTheme="minorHAnsi" w:hAnsiTheme="minorHAnsi" w:cstheme="minorHAnsi"/>
          <w:b/>
          <w:bCs/>
          <w:i/>
          <w:iCs/>
        </w:rPr>
      </w:pPr>
      <w:r w:rsidRPr="00037AD4">
        <w:rPr>
          <w:rFonts w:asciiTheme="minorHAnsi" w:hAnsiTheme="minorHAnsi" w:cstheme="minorHAnsi"/>
          <w:b/>
          <w:bCs/>
          <w:i/>
          <w:iCs/>
        </w:rPr>
        <w:t xml:space="preserve">Table 12, Summary table of study characteristics </w:t>
      </w:r>
    </w:p>
    <w:p w14:paraId="694FE374" w14:textId="77777777" w:rsidR="00B77D6A" w:rsidRPr="00B77D6A" w:rsidRDefault="00B77D6A" w:rsidP="00241EAD">
      <w:pPr>
        <w:rPr>
          <w:rFonts w:asciiTheme="minorHAnsi" w:hAnsiTheme="minorHAnsi" w:cstheme="minorHAnsi"/>
          <w:b/>
          <w:bCs/>
          <w:i/>
          <w:iCs/>
        </w:rPr>
      </w:pPr>
    </w:p>
    <w:tbl>
      <w:tblPr>
        <w:tblStyle w:val="TableGrid"/>
        <w:tblW w:w="5000" w:type="pct"/>
        <w:tblLook w:val="04A0" w:firstRow="1" w:lastRow="0" w:firstColumn="1" w:lastColumn="0" w:noHBand="0" w:noVBand="1"/>
      </w:tblPr>
      <w:tblGrid>
        <w:gridCol w:w="1773"/>
        <w:gridCol w:w="2454"/>
        <w:gridCol w:w="2241"/>
        <w:gridCol w:w="2548"/>
      </w:tblGrid>
      <w:tr w:rsidR="00B54D51" w:rsidRPr="00037AD4" w14:paraId="2AA5802E" w14:textId="77777777" w:rsidTr="008F00F0">
        <w:trPr>
          <w:trHeight w:val="209"/>
        </w:trPr>
        <w:tc>
          <w:tcPr>
            <w:tcW w:w="983" w:type="pct"/>
          </w:tcPr>
          <w:p w14:paraId="72B639A3"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Study name</w:t>
            </w:r>
          </w:p>
        </w:tc>
        <w:tc>
          <w:tcPr>
            <w:tcW w:w="1361" w:type="pct"/>
            <w:hideMark/>
          </w:tcPr>
          <w:p w14:paraId="53CE074B"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REMCARE </w:t>
            </w:r>
          </w:p>
        </w:tc>
        <w:tc>
          <w:tcPr>
            <w:tcW w:w="1243" w:type="pct"/>
            <w:hideMark/>
          </w:tcPr>
          <w:p w14:paraId="21FAA370"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ACTIFCARE</w:t>
            </w:r>
          </w:p>
        </w:tc>
        <w:tc>
          <w:tcPr>
            <w:tcW w:w="1413" w:type="pct"/>
            <w:hideMark/>
          </w:tcPr>
          <w:p w14:paraId="275CB557"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EPIC</w:t>
            </w:r>
          </w:p>
        </w:tc>
      </w:tr>
      <w:tr w:rsidR="00B54D51" w:rsidRPr="00037AD4" w14:paraId="539E6BD3" w14:textId="77777777" w:rsidTr="008F00F0">
        <w:trPr>
          <w:trHeight w:val="209"/>
        </w:trPr>
        <w:tc>
          <w:tcPr>
            <w:tcW w:w="983" w:type="pct"/>
          </w:tcPr>
          <w:p w14:paraId="2A3339AE"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Study type</w:t>
            </w:r>
          </w:p>
        </w:tc>
        <w:tc>
          <w:tcPr>
            <w:tcW w:w="1361" w:type="pct"/>
            <w:hideMark/>
          </w:tcPr>
          <w:p w14:paraId="0A38A14E"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RCT of non-pharmacological intervention</w:t>
            </w:r>
          </w:p>
        </w:tc>
        <w:tc>
          <w:tcPr>
            <w:tcW w:w="1243" w:type="pct"/>
            <w:hideMark/>
          </w:tcPr>
          <w:p w14:paraId="3990DFB0"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Prospective cohort study for best-practice development </w:t>
            </w:r>
          </w:p>
        </w:tc>
        <w:tc>
          <w:tcPr>
            <w:tcW w:w="1413" w:type="pct"/>
            <w:hideMark/>
          </w:tcPr>
          <w:p w14:paraId="05E23F2E"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RCT of non-pharmacological intervention</w:t>
            </w:r>
          </w:p>
        </w:tc>
      </w:tr>
      <w:tr w:rsidR="00B54D51" w:rsidRPr="00037AD4" w14:paraId="1A47ACC6" w14:textId="77777777" w:rsidTr="008F00F0">
        <w:trPr>
          <w:trHeight w:val="209"/>
        </w:trPr>
        <w:tc>
          <w:tcPr>
            <w:tcW w:w="983" w:type="pct"/>
          </w:tcPr>
          <w:p w14:paraId="7F9B6C9E" w14:textId="77777777" w:rsidR="00B54D51" w:rsidRPr="00037AD4" w:rsidRDefault="00B54D51" w:rsidP="008F00F0">
            <w:pPr>
              <w:rPr>
                <w:rFonts w:asciiTheme="minorHAnsi" w:hAnsiTheme="minorHAnsi" w:cstheme="minorHAnsi"/>
              </w:rPr>
            </w:pPr>
            <w:r w:rsidRPr="00037AD4">
              <w:rPr>
                <w:rFonts w:asciiTheme="minorHAnsi" w:hAnsiTheme="minorHAnsi" w:cstheme="minorHAnsi"/>
                <w:color w:val="000000" w:themeColor="text1"/>
              </w:rPr>
              <w:t xml:space="preserve">PwD recruited (n) </w:t>
            </w:r>
          </w:p>
        </w:tc>
        <w:tc>
          <w:tcPr>
            <w:tcW w:w="1361" w:type="pct"/>
          </w:tcPr>
          <w:p w14:paraId="08A2E9FB" w14:textId="77777777" w:rsidR="00B54D51" w:rsidRPr="00037AD4" w:rsidRDefault="00B54D51" w:rsidP="008F00F0">
            <w:pPr>
              <w:rPr>
                <w:rFonts w:asciiTheme="minorHAnsi" w:hAnsiTheme="minorHAnsi" w:cstheme="minorHAnsi"/>
                <w:highlight w:val="yellow"/>
              </w:rPr>
            </w:pPr>
            <w:r w:rsidRPr="00037AD4">
              <w:rPr>
                <w:rFonts w:asciiTheme="minorHAnsi" w:hAnsiTheme="minorHAnsi" w:cstheme="minorHAnsi"/>
              </w:rPr>
              <w:t>488</w:t>
            </w:r>
          </w:p>
        </w:tc>
        <w:tc>
          <w:tcPr>
            <w:tcW w:w="1243" w:type="pct"/>
          </w:tcPr>
          <w:p w14:paraId="6CF6E9F8" w14:textId="77777777" w:rsidR="00B54D51" w:rsidRPr="00037AD4" w:rsidRDefault="00B54D51" w:rsidP="008F00F0">
            <w:pPr>
              <w:rPr>
                <w:rFonts w:asciiTheme="minorHAnsi" w:hAnsiTheme="minorHAnsi" w:cstheme="minorHAnsi"/>
                <w:highlight w:val="yellow"/>
              </w:rPr>
            </w:pPr>
            <w:r w:rsidRPr="00037AD4">
              <w:rPr>
                <w:rFonts w:asciiTheme="minorHAnsi" w:hAnsiTheme="minorHAnsi" w:cstheme="minorHAnsi"/>
              </w:rPr>
              <w:t>451</w:t>
            </w:r>
          </w:p>
        </w:tc>
        <w:tc>
          <w:tcPr>
            <w:tcW w:w="1413" w:type="pct"/>
          </w:tcPr>
          <w:p w14:paraId="577ABA3D" w14:textId="77777777" w:rsidR="00B54D51" w:rsidRPr="00037AD4" w:rsidRDefault="00B54D51" w:rsidP="008F00F0">
            <w:pPr>
              <w:rPr>
                <w:rFonts w:asciiTheme="minorHAnsi" w:hAnsiTheme="minorHAnsi" w:cstheme="minorHAnsi"/>
                <w:highlight w:val="yellow"/>
              </w:rPr>
            </w:pPr>
            <w:r w:rsidRPr="00037AD4">
              <w:rPr>
                <w:rFonts w:asciiTheme="minorHAnsi" w:hAnsiTheme="minorHAnsi" w:cstheme="minorHAnsi"/>
              </w:rPr>
              <w:t>734</w:t>
            </w:r>
          </w:p>
        </w:tc>
      </w:tr>
      <w:tr w:rsidR="00B54D51" w:rsidRPr="00037AD4" w14:paraId="50F3EC64" w14:textId="77777777" w:rsidTr="008F00F0">
        <w:trPr>
          <w:trHeight w:val="113"/>
        </w:trPr>
        <w:tc>
          <w:tcPr>
            <w:tcW w:w="983" w:type="pct"/>
          </w:tcPr>
          <w:p w14:paraId="4ABBF003"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Residential status of PwD</w:t>
            </w:r>
          </w:p>
        </w:tc>
        <w:tc>
          <w:tcPr>
            <w:tcW w:w="2604" w:type="pct"/>
            <w:gridSpan w:val="2"/>
          </w:tcPr>
          <w:p w14:paraId="26F372E4" w14:textId="77777777" w:rsidR="00B54D51" w:rsidRPr="00037AD4" w:rsidRDefault="00B54D51" w:rsidP="008F00F0">
            <w:pPr>
              <w:jc w:val="center"/>
              <w:rPr>
                <w:rFonts w:asciiTheme="minorHAnsi" w:hAnsiTheme="minorHAnsi" w:cstheme="minorHAnsi"/>
              </w:rPr>
            </w:pPr>
            <w:r w:rsidRPr="00037AD4">
              <w:rPr>
                <w:rFonts w:asciiTheme="minorHAnsi" w:hAnsiTheme="minorHAnsi" w:cstheme="minorHAnsi"/>
              </w:rPr>
              <w:t>Community dwelling</w:t>
            </w:r>
          </w:p>
        </w:tc>
        <w:tc>
          <w:tcPr>
            <w:tcW w:w="1413" w:type="pct"/>
          </w:tcPr>
          <w:p w14:paraId="648B5976"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Institutionalised</w:t>
            </w:r>
          </w:p>
        </w:tc>
      </w:tr>
      <w:tr w:rsidR="00B54D51" w:rsidRPr="00037AD4" w14:paraId="71E506CA" w14:textId="77777777" w:rsidTr="008F00F0">
        <w:trPr>
          <w:trHeight w:val="113"/>
        </w:trPr>
        <w:tc>
          <w:tcPr>
            <w:tcW w:w="983" w:type="pct"/>
          </w:tcPr>
          <w:p w14:paraId="38C0A114"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Version of EQ-5D</w:t>
            </w:r>
          </w:p>
        </w:tc>
        <w:tc>
          <w:tcPr>
            <w:tcW w:w="1361" w:type="pct"/>
            <w:hideMark/>
          </w:tcPr>
          <w:p w14:paraId="50F0538E"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EQ-5D-3L</w:t>
            </w:r>
          </w:p>
        </w:tc>
        <w:tc>
          <w:tcPr>
            <w:tcW w:w="2656" w:type="pct"/>
            <w:gridSpan w:val="2"/>
            <w:hideMark/>
          </w:tcPr>
          <w:p w14:paraId="2EC25FE1"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EQ-5D-5L</w:t>
            </w:r>
          </w:p>
        </w:tc>
      </w:tr>
      <w:tr w:rsidR="00B54D51" w:rsidRPr="00037AD4" w14:paraId="1D168F49" w14:textId="77777777" w:rsidTr="008F00F0">
        <w:trPr>
          <w:trHeight w:val="209"/>
        </w:trPr>
        <w:tc>
          <w:tcPr>
            <w:tcW w:w="983" w:type="pct"/>
          </w:tcPr>
          <w:p w14:paraId="7A425B3B"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Participants recruited</w:t>
            </w:r>
          </w:p>
        </w:tc>
        <w:tc>
          <w:tcPr>
            <w:tcW w:w="2604" w:type="pct"/>
            <w:gridSpan w:val="2"/>
            <w:hideMark/>
          </w:tcPr>
          <w:p w14:paraId="5EB2DD58" w14:textId="77777777" w:rsidR="00B54D51" w:rsidRPr="00037AD4" w:rsidRDefault="00B54D51" w:rsidP="008F00F0">
            <w:pPr>
              <w:jc w:val="center"/>
              <w:rPr>
                <w:rFonts w:asciiTheme="minorHAnsi" w:hAnsiTheme="minorHAnsi" w:cstheme="minorHAnsi"/>
              </w:rPr>
            </w:pPr>
            <w:r w:rsidRPr="00037AD4">
              <w:rPr>
                <w:rFonts w:asciiTheme="minorHAnsi" w:hAnsiTheme="minorHAnsi" w:cstheme="minorHAnsi"/>
              </w:rPr>
              <w:t>PwD and informal proxy</w:t>
            </w:r>
          </w:p>
        </w:tc>
        <w:tc>
          <w:tcPr>
            <w:tcW w:w="1413" w:type="pct"/>
            <w:hideMark/>
          </w:tcPr>
          <w:p w14:paraId="0EE25D00"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PwD, informal and staff proxy</w:t>
            </w:r>
          </w:p>
        </w:tc>
      </w:tr>
      <w:tr w:rsidR="00B54D51" w:rsidRPr="00037AD4" w14:paraId="27B82DEB" w14:textId="77777777" w:rsidTr="008F00F0">
        <w:trPr>
          <w:trHeight w:val="209"/>
        </w:trPr>
        <w:tc>
          <w:tcPr>
            <w:tcW w:w="983" w:type="pct"/>
          </w:tcPr>
          <w:p w14:paraId="0583A589"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Dementia severity stage*</w:t>
            </w:r>
          </w:p>
        </w:tc>
        <w:tc>
          <w:tcPr>
            <w:tcW w:w="2604" w:type="pct"/>
            <w:gridSpan w:val="2"/>
            <w:hideMark/>
          </w:tcPr>
          <w:p w14:paraId="26722D39" w14:textId="77777777" w:rsidR="00B54D51" w:rsidRPr="00037AD4" w:rsidRDefault="00B54D51" w:rsidP="008F00F0">
            <w:pPr>
              <w:jc w:val="center"/>
              <w:rPr>
                <w:rFonts w:asciiTheme="minorHAnsi" w:hAnsiTheme="minorHAnsi" w:cstheme="minorHAnsi"/>
              </w:rPr>
            </w:pPr>
            <w:r w:rsidRPr="00037AD4">
              <w:rPr>
                <w:rFonts w:asciiTheme="minorHAnsi" w:hAnsiTheme="minorHAnsi" w:cstheme="minorHAnsi"/>
              </w:rPr>
              <w:t>Mild-to-moderate</w:t>
            </w:r>
          </w:p>
        </w:tc>
        <w:tc>
          <w:tcPr>
            <w:tcW w:w="1413" w:type="pct"/>
            <w:hideMark/>
          </w:tcPr>
          <w:p w14:paraId="053D9CE2"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Mild-to-severe </w:t>
            </w:r>
          </w:p>
        </w:tc>
      </w:tr>
      <w:tr w:rsidR="00B54D51" w:rsidRPr="00037AD4" w14:paraId="5DD8D26E" w14:textId="77777777" w:rsidTr="008F00F0">
        <w:trPr>
          <w:trHeight w:val="83"/>
        </w:trPr>
        <w:tc>
          <w:tcPr>
            <w:tcW w:w="983" w:type="pct"/>
          </w:tcPr>
          <w:p w14:paraId="5FC66377"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Longitudinal EQ-5D data</w:t>
            </w:r>
          </w:p>
        </w:tc>
        <w:tc>
          <w:tcPr>
            <w:tcW w:w="1361" w:type="pct"/>
          </w:tcPr>
          <w:p w14:paraId="58E2B6ED"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T0 (baseline), </w:t>
            </w:r>
          </w:p>
          <w:p w14:paraId="0C90951E"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T1 (3 months), </w:t>
            </w:r>
          </w:p>
          <w:p w14:paraId="21B54C68"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T2 (10 months)</w:t>
            </w:r>
          </w:p>
        </w:tc>
        <w:tc>
          <w:tcPr>
            <w:tcW w:w="1243" w:type="pct"/>
          </w:tcPr>
          <w:p w14:paraId="43410793"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T0 (baseline), </w:t>
            </w:r>
          </w:p>
          <w:p w14:paraId="30CC6B6B"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T1 (6 months), </w:t>
            </w:r>
          </w:p>
          <w:p w14:paraId="2D41B99F"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T2 (12 months)</w:t>
            </w:r>
          </w:p>
        </w:tc>
        <w:tc>
          <w:tcPr>
            <w:tcW w:w="1413" w:type="pct"/>
          </w:tcPr>
          <w:p w14:paraId="4D7AC2C1"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T0 (baseline), </w:t>
            </w:r>
          </w:p>
          <w:p w14:paraId="798E5694"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T1 (6 months), </w:t>
            </w:r>
          </w:p>
          <w:p w14:paraId="649C5E41"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T2 (16 months)</w:t>
            </w:r>
          </w:p>
        </w:tc>
      </w:tr>
      <w:tr w:rsidR="00B54D51" w:rsidRPr="00037AD4" w14:paraId="436FC256" w14:textId="77777777" w:rsidTr="008F00F0">
        <w:trPr>
          <w:trHeight w:val="377"/>
        </w:trPr>
        <w:tc>
          <w:tcPr>
            <w:tcW w:w="5000" w:type="pct"/>
            <w:gridSpan w:val="4"/>
          </w:tcPr>
          <w:p w14:paraId="620DB899" w14:textId="77777777" w:rsidR="00B54D51" w:rsidRPr="00037AD4" w:rsidRDefault="00B54D51" w:rsidP="008F00F0">
            <w:pPr>
              <w:rPr>
                <w:rFonts w:asciiTheme="minorHAnsi" w:hAnsiTheme="minorHAnsi" w:cstheme="minorHAnsi"/>
                <w:sz w:val="20"/>
                <w:szCs w:val="20"/>
              </w:rPr>
            </w:pPr>
            <w:r w:rsidRPr="00037AD4">
              <w:rPr>
                <w:rFonts w:asciiTheme="minorHAnsi" w:hAnsiTheme="minorHAnsi" w:cstheme="minorHAnsi"/>
                <w:sz w:val="20"/>
                <w:szCs w:val="20"/>
              </w:rPr>
              <w:t xml:space="preserve">CDR, Clinical Dementia Rating Scale; PwD, person with dementia; T0, baseline; T1, first follow-up; T2, final follow-up; *Dementia severity stage of sample defined by CDR at T0 </w:t>
            </w:r>
          </w:p>
        </w:tc>
      </w:tr>
    </w:tbl>
    <w:p w14:paraId="317F47A4" w14:textId="77777777" w:rsidR="00B54D51" w:rsidRPr="00037AD4" w:rsidRDefault="00B54D51" w:rsidP="00241EAD">
      <w:pPr>
        <w:rPr>
          <w:rFonts w:asciiTheme="minorHAnsi" w:hAnsiTheme="minorHAnsi" w:cstheme="minorHAnsi"/>
          <w:color w:val="FF0000"/>
        </w:rPr>
      </w:pPr>
    </w:p>
    <w:p w14:paraId="7AEC35B7" w14:textId="77777777" w:rsidR="00B54D51" w:rsidRPr="00037AD4" w:rsidRDefault="00B54D51" w:rsidP="00241EAD">
      <w:pPr>
        <w:rPr>
          <w:rFonts w:asciiTheme="minorHAnsi" w:hAnsiTheme="minorHAnsi" w:cstheme="minorHAnsi"/>
          <w:color w:val="000000" w:themeColor="text1"/>
        </w:rPr>
      </w:pPr>
      <w:r w:rsidRPr="00037AD4">
        <w:rPr>
          <w:rFonts w:asciiTheme="minorHAnsi" w:hAnsiTheme="minorHAnsi" w:cstheme="minorHAnsi"/>
          <w:color w:val="000000" w:themeColor="text1"/>
        </w:rPr>
        <w:t xml:space="preserve">Table 13 below presents a summary of the measures provided by the data sharing agreements across the three dementia studies. All of the studies collected the clinical dementia rating scale (CDR) that is often used to define the severity stage of the PwD, however the REMCARE study only collected CDR at baseline assessment as part of the eligibility criteria. All three studies included a measure of function and behaviour/mood, however only ACTIFCARE collected a measure of cognition. </w:t>
      </w:r>
    </w:p>
    <w:p w14:paraId="52D5B733" w14:textId="77777777" w:rsidR="00B54D51" w:rsidRPr="00037AD4" w:rsidRDefault="00B54D51" w:rsidP="00241EAD">
      <w:pPr>
        <w:rPr>
          <w:rFonts w:asciiTheme="minorHAnsi" w:hAnsiTheme="minorHAnsi" w:cstheme="minorHAnsi"/>
          <w:color w:val="000000" w:themeColor="text1"/>
        </w:rPr>
      </w:pPr>
    </w:p>
    <w:p w14:paraId="6BE1F3F8" w14:textId="77777777" w:rsidR="00B54D51" w:rsidRPr="00B54D51" w:rsidRDefault="00B54D51" w:rsidP="00241EAD">
      <w:pPr>
        <w:rPr>
          <w:rFonts w:asciiTheme="minorHAnsi" w:hAnsiTheme="minorHAnsi" w:cstheme="minorHAnsi"/>
        </w:rPr>
      </w:pPr>
      <w:r w:rsidRPr="00037AD4">
        <w:rPr>
          <w:rFonts w:asciiTheme="minorHAnsi" w:hAnsiTheme="minorHAnsi" w:cstheme="minorHAnsi"/>
          <w:color w:val="000000" w:themeColor="text1"/>
        </w:rPr>
        <w:t xml:space="preserve">The instruments measuring cognition, function and behaviour/mood capture the main symptom </w:t>
      </w:r>
      <w:r w:rsidRPr="00037AD4">
        <w:rPr>
          <w:rFonts w:asciiTheme="minorHAnsi" w:hAnsiTheme="minorHAnsi" w:cstheme="minorHAnsi"/>
        </w:rPr>
        <w:t xml:space="preserve">areas of dementia, as established </w:t>
      </w:r>
      <w:r w:rsidRPr="00B54D51">
        <w:rPr>
          <w:rFonts w:asciiTheme="minorHAnsi" w:hAnsiTheme="minorHAnsi" w:cstheme="minorHAnsi"/>
        </w:rPr>
        <w:t xml:space="preserve">in </w:t>
      </w:r>
      <w:hyperlink w:anchor="_3_Wider_outcomes" w:history="1">
        <w:r w:rsidRPr="00B54D51">
          <w:rPr>
            <w:rStyle w:val="Hyperlink"/>
            <w:rFonts w:asciiTheme="minorHAnsi" w:hAnsiTheme="minorHAnsi" w:cstheme="minorHAnsi"/>
            <w:color w:val="auto"/>
            <w:u w:val="none"/>
          </w:rPr>
          <w:t>Chapter Three</w:t>
        </w:r>
      </w:hyperlink>
      <w:r w:rsidRPr="00B54D51">
        <w:rPr>
          <w:rFonts w:asciiTheme="minorHAnsi" w:hAnsiTheme="minorHAnsi" w:cstheme="minorHAnsi"/>
        </w:rPr>
        <w:t xml:space="preserve">. Technically these instruments are not classified as “clinical” measures, but rather instruments that can measure clinical symptoms. For a detailed overview of the key validation information linking the specific symptom measures from the trials to their clinical indications, please refer to </w:t>
      </w:r>
      <w:hyperlink w:anchor="A41" w:history="1">
        <w:r w:rsidRPr="00B54D51">
          <w:rPr>
            <w:rStyle w:val="Hyperlink"/>
            <w:rFonts w:asciiTheme="minorHAnsi" w:hAnsiTheme="minorHAnsi" w:cstheme="minorHAnsi"/>
            <w:color w:val="auto"/>
            <w:u w:val="none"/>
          </w:rPr>
          <w:t>Appendix 4.1.</w:t>
        </w:r>
      </w:hyperlink>
      <w:r w:rsidRPr="00B54D51">
        <w:rPr>
          <w:rFonts w:asciiTheme="minorHAnsi" w:hAnsiTheme="minorHAnsi" w:cstheme="minorHAnsi"/>
        </w:rPr>
        <w:t xml:space="preserve"> </w:t>
      </w:r>
    </w:p>
    <w:p w14:paraId="56596621" w14:textId="77777777" w:rsidR="00B54D51" w:rsidRPr="00037AD4" w:rsidRDefault="00B54D51" w:rsidP="00241EAD">
      <w:pPr>
        <w:rPr>
          <w:rFonts w:asciiTheme="minorHAnsi" w:hAnsiTheme="minorHAnsi" w:cstheme="minorHAnsi"/>
          <w:color w:val="000000" w:themeColor="text1"/>
        </w:rPr>
      </w:pPr>
    </w:p>
    <w:p w14:paraId="3EAFF5B3" w14:textId="77777777" w:rsidR="00B54D51" w:rsidRPr="00037AD4" w:rsidRDefault="00B54D51" w:rsidP="00241EAD">
      <w:pPr>
        <w:rPr>
          <w:rFonts w:asciiTheme="minorHAnsi" w:hAnsiTheme="minorHAnsi" w:cstheme="minorHAnsi"/>
          <w:color w:val="000000" w:themeColor="text1"/>
        </w:rPr>
      </w:pPr>
      <w:r w:rsidRPr="00037AD4">
        <w:rPr>
          <w:rFonts w:asciiTheme="minorHAnsi" w:hAnsiTheme="minorHAnsi" w:cstheme="minorHAnsi"/>
          <w:color w:val="000000" w:themeColor="text1"/>
        </w:rPr>
        <w:t xml:space="preserve">All three studies included dementia specific QoL measures in addition to EQ-5D. Only the EPIC study dataset provided additional details regarding instrument administration method, however it did not collect demographic data related to the caregiver within the study (i.e., caregiver’s age and sex). All three datasets commonly included data regarding the relationship of the informal proxy to the PwD, age and sex of the PwD. </w:t>
      </w:r>
    </w:p>
    <w:p w14:paraId="7F71BB93" w14:textId="77777777" w:rsidR="00B54D51" w:rsidRPr="00037AD4" w:rsidRDefault="00B54D51" w:rsidP="00241EAD">
      <w:pPr>
        <w:rPr>
          <w:rFonts w:asciiTheme="minorHAnsi" w:hAnsiTheme="minorHAnsi" w:cstheme="minorHAnsi"/>
          <w:color w:val="FF0000"/>
        </w:rPr>
      </w:pPr>
    </w:p>
    <w:p w14:paraId="4935F7A7" w14:textId="77777777" w:rsidR="00B54D51" w:rsidRPr="00037AD4" w:rsidRDefault="00B54D51" w:rsidP="00241EAD">
      <w:pPr>
        <w:rPr>
          <w:rFonts w:asciiTheme="minorHAnsi" w:hAnsiTheme="minorHAnsi" w:cstheme="minorHAnsi"/>
          <w:b/>
          <w:bCs/>
          <w:i/>
          <w:iCs/>
        </w:rPr>
      </w:pPr>
      <w:r w:rsidRPr="00037AD4">
        <w:rPr>
          <w:rFonts w:asciiTheme="minorHAnsi" w:hAnsiTheme="minorHAnsi" w:cstheme="minorHAnsi"/>
          <w:b/>
          <w:bCs/>
          <w:i/>
          <w:iCs/>
        </w:rPr>
        <w:t xml:space="preserve">Table 13, Summary of available measures from the dementia datasets  </w:t>
      </w:r>
    </w:p>
    <w:p w14:paraId="366AA83F" w14:textId="77777777" w:rsidR="00B54D51" w:rsidRPr="00037AD4" w:rsidRDefault="00B54D51" w:rsidP="00241EAD">
      <w:pPr>
        <w:rPr>
          <w:rFonts w:asciiTheme="minorHAnsi" w:hAnsiTheme="minorHAnsi" w:cstheme="minorHAnsi"/>
        </w:rPr>
      </w:pPr>
    </w:p>
    <w:tbl>
      <w:tblPr>
        <w:tblStyle w:val="TableGrid"/>
        <w:tblW w:w="9634" w:type="dxa"/>
        <w:tblLook w:val="04A0" w:firstRow="1" w:lastRow="0" w:firstColumn="1" w:lastColumn="0" w:noHBand="0" w:noVBand="1"/>
      </w:tblPr>
      <w:tblGrid>
        <w:gridCol w:w="1304"/>
        <w:gridCol w:w="1875"/>
        <w:gridCol w:w="1103"/>
        <w:gridCol w:w="610"/>
        <w:gridCol w:w="1237"/>
        <w:gridCol w:w="1804"/>
        <w:gridCol w:w="1701"/>
      </w:tblGrid>
      <w:tr w:rsidR="00B54D51" w:rsidRPr="00037AD4" w14:paraId="2493179D" w14:textId="77777777" w:rsidTr="007166B6">
        <w:trPr>
          <w:tblHeader/>
        </w:trPr>
        <w:tc>
          <w:tcPr>
            <w:tcW w:w="6129" w:type="dxa"/>
            <w:gridSpan w:val="5"/>
          </w:tcPr>
          <w:p w14:paraId="34C545EA" w14:textId="77777777" w:rsidR="00B54D51" w:rsidRPr="00037AD4" w:rsidRDefault="00B54D51" w:rsidP="008F00F0">
            <w:pPr>
              <w:rPr>
                <w:rFonts w:asciiTheme="minorHAnsi" w:hAnsiTheme="minorHAnsi" w:cstheme="minorHAnsi"/>
                <w:sz w:val="20"/>
                <w:szCs w:val="20"/>
              </w:rPr>
            </w:pPr>
            <w:r w:rsidRPr="00037AD4">
              <w:rPr>
                <w:rFonts w:asciiTheme="minorHAnsi" w:hAnsiTheme="minorHAnsi" w:cstheme="minorHAnsi"/>
                <w:sz w:val="20"/>
                <w:szCs w:val="20"/>
              </w:rPr>
              <w:t xml:space="preserve">Instrument details </w:t>
            </w:r>
          </w:p>
        </w:tc>
        <w:tc>
          <w:tcPr>
            <w:tcW w:w="3505" w:type="dxa"/>
            <w:gridSpan w:val="2"/>
          </w:tcPr>
          <w:p w14:paraId="0F17F15C" w14:textId="77777777" w:rsidR="00B54D51" w:rsidRPr="00037AD4" w:rsidRDefault="00B54D51" w:rsidP="008F00F0">
            <w:pPr>
              <w:rPr>
                <w:rFonts w:asciiTheme="minorHAnsi" w:hAnsiTheme="minorHAnsi" w:cstheme="minorHAnsi"/>
                <w:sz w:val="20"/>
                <w:szCs w:val="20"/>
              </w:rPr>
            </w:pPr>
            <w:r w:rsidRPr="00037AD4">
              <w:rPr>
                <w:rFonts w:asciiTheme="minorHAnsi" w:hAnsiTheme="minorHAnsi" w:cstheme="minorHAnsi"/>
                <w:sz w:val="20"/>
                <w:szCs w:val="20"/>
              </w:rPr>
              <w:t xml:space="preserve">Variable used in analyses </w:t>
            </w:r>
          </w:p>
        </w:tc>
      </w:tr>
      <w:tr w:rsidR="00B54D51" w:rsidRPr="00037AD4" w14:paraId="1E8D3BF9" w14:textId="77777777" w:rsidTr="007166B6">
        <w:trPr>
          <w:trHeight w:val="1311"/>
          <w:tblHeader/>
        </w:trPr>
        <w:tc>
          <w:tcPr>
            <w:tcW w:w="1304" w:type="dxa"/>
            <w:vMerge w:val="restart"/>
          </w:tcPr>
          <w:p w14:paraId="39FD9690" w14:textId="77777777" w:rsidR="00B54D51" w:rsidRPr="00037AD4" w:rsidRDefault="00B54D51" w:rsidP="008F00F0">
            <w:pPr>
              <w:rPr>
                <w:rFonts w:asciiTheme="minorHAnsi" w:hAnsiTheme="minorHAnsi" w:cstheme="minorHAnsi"/>
                <w:sz w:val="20"/>
                <w:szCs w:val="20"/>
              </w:rPr>
            </w:pPr>
            <w:r w:rsidRPr="00037AD4">
              <w:rPr>
                <w:rFonts w:asciiTheme="minorHAnsi" w:hAnsiTheme="minorHAnsi" w:cstheme="minorHAnsi"/>
                <w:sz w:val="20"/>
                <w:szCs w:val="20"/>
              </w:rPr>
              <w:t>Instrument name</w:t>
            </w:r>
          </w:p>
        </w:tc>
        <w:tc>
          <w:tcPr>
            <w:tcW w:w="1875" w:type="dxa"/>
            <w:vMerge w:val="restart"/>
          </w:tcPr>
          <w:p w14:paraId="5085D273" w14:textId="77777777" w:rsidR="00B54D51" w:rsidRPr="00037AD4" w:rsidRDefault="00B54D51" w:rsidP="008F00F0">
            <w:pPr>
              <w:rPr>
                <w:rFonts w:asciiTheme="minorHAnsi" w:hAnsiTheme="minorHAnsi" w:cstheme="minorHAnsi"/>
                <w:sz w:val="20"/>
                <w:szCs w:val="20"/>
              </w:rPr>
            </w:pPr>
            <w:r w:rsidRPr="00037AD4">
              <w:rPr>
                <w:rFonts w:asciiTheme="minorHAnsi" w:hAnsiTheme="minorHAnsi" w:cstheme="minorHAnsi"/>
                <w:sz w:val="20"/>
                <w:szCs w:val="20"/>
              </w:rPr>
              <w:t xml:space="preserve">What it measures </w:t>
            </w:r>
          </w:p>
        </w:tc>
        <w:tc>
          <w:tcPr>
            <w:tcW w:w="2950" w:type="dxa"/>
            <w:gridSpan w:val="3"/>
          </w:tcPr>
          <w:p w14:paraId="38E77233" w14:textId="77777777" w:rsidR="00B54D51" w:rsidRPr="00037AD4" w:rsidRDefault="00B54D51" w:rsidP="008F00F0">
            <w:pPr>
              <w:rPr>
                <w:rFonts w:asciiTheme="minorHAnsi" w:hAnsiTheme="minorHAnsi" w:cstheme="minorHAnsi"/>
                <w:sz w:val="20"/>
                <w:szCs w:val="20"/>
              </w:rPr>
            </w:pPr>
            <w:r w:rsidRPr="00037AD4">
              <w:rPr>
                <w:rFonts w:asciiTheme="minorHAnsi" w:hAnsiTheme="minorHAnsi" w:cstheme="minorHAnsi"/>
                <w:sz w:val="20"/>
                <w:szCs w:val="20"/>
              </w:rPr>
              <w:t>Included in which studies?</w:t>
            </w:r>
          </w:p>
        </w:tc>
        <w:tc>
          <w:tcPr>
            <w:tcW w:w="1804" w:type="dxa"/>
            <w:vMerge w:val="restart"/>
          </w:tcPr>
          <w:p w14:paraId="2214E200" w14:textId="77777777" w:rsidR="00B54D51" w:rsidRPr="00037AD4" w:rsidRDefault="00B54D51" w:rsidP="008F00F0">
            <w:pPr>
              <w:rPr>
                <w:rFonts w:asciiTheme="minorHAnsi" w:hAnsiTheme="minorHAnsi" w:cstheme="minorHAnsi"/>
                <w:sz w:val="20"/>
                <w:szCs w:val="20"/>
              </w:rPr>
            </w:pPr>
            <w:r w:rsidRPr="00037AD4">
              <w:rPr>
                <w:rFonts w:asciiTheme="minorHAnsi" w:hAnsiTheme="minorHAnsi" w:cstheme="minorHAnsi"/>
                <w:sz w:val="20"/>
                <w:szCs w:val="20"/>
              </w:rPr>
              <w:t>Conversion of questionnaire data to numerical score</w:t>
            </w:r>
          </w:p>
        </w:tc>
        <w:tc>
          <w:tcPr>
            <w:tcW w:w="1701" w:type="dxa"/>
            <w:vMerge w:val="restart"/>
          </w:tcPr>
          <w:p w14:paraId="162EDAD1" w14:textId="77777777" w:rsidR="00B54D51" w:rsidRPr="00037AD4" w:rsidRDefault="00B54D51" w:rsidP="008F00F0">
            <w:pPr>
              <w:rPr>
                <w:rFonts w:asciiTheme="minorHAnsi" w:hAnsiTheme="minorHAnsi" w:cstheme="minorHAnsi"/>
                <w:sz w:val="20"/>
                <w:szCs w:val="20"/>
              </w:rPr>
            </w:pPr>
            <w:r w:rsidRPr="00037AD4">
              <w:rPr>
                <w:rFonts w:asciiTheme="minorHAnsi" w:hAnsiTheme="minorHAnsi" w:cstheme="minorHAnsi"/>
                <w:sz w:val="20"/>
                <w:szCs w:val="20"/>
              </w:rPr>
              <w:t xml:space="preserve">Interpretation of scores   </w:t>
            </w:r>
          </w:p>
        </w:tc>
      </w:tr>
      <w:tr w:rsidR="00B54D51" w:rsidRPr="00037AD4" w14:paraId="558B45DE" w14:textId="77777777" w:rsidTr="007166B6">
        <w:trPr>
          <w:tblHeader/>
        </w:trPr>
        <w:tc>
          <w:tcPr>
            <w:tcW w:w="1304" w:type="dxa"/>
            <w:vMerge/>
          </w:tcPr>
          <w:p w14:paraId="2B429434" w14:textId="77777777" w:rsidR="00B54D51" w:rsidRPr="00037AD4" w:rsidRDefault="00B54D51" w:rsidP="008F00F0">
            <w:pPr>
              <w:rPr>
                <w:rFonts w:asciiTheme="minorHAnsi" w:hAnsiTheme="minorHAnsi" w:cstheme="minorHAnsi"/>
                <w:sz w:val="20"/>
                <w:szCs w:val="20"/>
              </w:rPr>
            </w:pPr>
          </w:p>
        </w:tc>
        <w:tc>
          <w:tcPr>
            <w:tcW w:w="1875" w:type="dxa"/>
            <w:vMerge/>
          </w:tcPr>
          <w:p w14:paraId="343C5314" w14:textId="77777777" w:rsidR="00B54D51" w:rsidRPr="00037AD4" w:rsidRDefault="00B54D51" w:rsidP="008F00F0">
            <w:pPr>
              <w:rPr>
                <w:rFonts w:asciiTheme="minorHAnsi" w:hAnsiTheme="minorHAnsi" w:cstheme="minorHAnsi"/>
                <w:sz w:val="20"/>
                <w:szCs w:val="20"/>
              </w:rPr>
            </w:pPr>
          </w:p>
        </w:tc>
        <w:tc>
          <w:tcPr>
            <w:tcW w:w="1103" w:type="dxa"/>
          </w:tcPr>
          <w:p w14:paraId="094BE4FC" w14:textId="77777777" w:rsidR="00B54D51" w:rsidRPr="00037AD4" w:rsidRDefault="00B54D51" w:rsidP="008F00F0">
            <w:pPr>
              <w:rPr>
                <w:rFonts w:asciiTheme="minorHAnsi" w:hAnsiTheme="minorHAnsi" w:cstheme="minorHAnsi"/>
                <w:sz w:val="20"/>
                <w:szCs w:val="20"/>
              </w:rPr>
            </w:pPr>
            <w:r w:rsidRPr="00037AD4">
              <w:rPr>
                <w:rFonts w:asciiTheme="minorHAnsi" w:hAnsiTheme="minorHAnsi" w:cstheme="minorHAnsi"/>
                <w:sz w:val="20"/>
                <w:szCs w:val="20"/>
              </w:rPr>
              <w:t>REMCARE</w:t>
            </w:r>
          </w:p>
        </w:tc>
        <w:tc>
          <w:tcPr>
            <w:tcW w:w="610" w:type="dxa"/>
          </w:tcPr>
          <w:p w14:paraId="3F9C4C4C" w14:textId="77777777" w:rsidR="00B54D51" w:rsidRPr="00037AD4" w:rsidRDefault="00B54D51" w:rsidP="008F00F0">
            <w:pPr>
              <w:rPr>
                <w:rFonts w:asciiTheme="minorHAnsi" w:hAnsiTheme="minorHAnsi" w:cstheme="minorHAnsi"/>
                <w:sz w:val="20"/>
                <w:szCs w:val="20"/>
              </w:rPr>
            </w:pPr>
            <w:r w:rsidRPr="00037AD4">
              <w:rPr>
                <w:rFonts w:asciiTheme="minorHAnsi" w:hAnsiTheme="minorHAnsi" w:cstheme="minorHAnsi"/>
                <w:sz w:val="20"/>
                <w:szCs w:val="20"/>
              </w:rPr>
              <w:t>EPIC</w:t>
            </w:r>
          </w:p>
        </w:tc>
        <w:tc>
          <w:tcPr>
            <w:tcW w:w="1237" w:type="dxa"/>
          </w:tcPr>
          <w:p w14:paraId="6A27D4A7" w14:textId="77777777" w:rsidR="00B54D51" w:rsidRPr="00037AD4" w:rsidRDefault="00B54D51" w:rsidP="008F00F0">
            <w:pPr>
              <w:rPr>
                <w:rFonts w:asciiTheme="minorHAnsi" w:hAnsiTheme="minorHAnsi" w:cstheme="minorHAnsi"/>
                <w:sz w:val="20"/>
                <w:szCs w:val="20"/>
              </w:rPr>
            </w:pPr>
            <w:r w:rsidRPr="00037AD4">
              <w:rPr>
                <w:rFonts w:asciiTheme="minorHAnsi" w:hAnsiTheme="minorHAnsi" w:cstheme="minorHAnsi"/>
                <w:sz w:val="20"/>
                <w:szCs w:val="20"/>
              </w:rPr>
              <w:t xml:space="preserve">ACTIFCARE </w:t>
            </w:r>
          </w:p>
        </w:tc>
        <w:tc>
          <w:tcPr>
            <w:tcW w:w="1804" w:type="dxa"/>
            <w:vMerge/>
          </w:tcPr>
          <w:p w14:paraId="1515EABB" w14:textId="77777777" w:rsidR="00B54D51" w:rsidRPr="00037AD4" w:rsidRDefault="00B54D51" w:rsidP="008F00F0">
            <w:pPr>
              <w:rPr>
                <w:rFonts w:asciiTheme="minorHAnsi" w:hAnsiTheme="minorHAnsi" w:cstheme="minorHAnsi"/>
                <w:sz w:val="20"/>
                <w:szCs w:val="20"/>
              </w:rPr>
            </w:pPr>
          </w:p>
        </w:tc>
        <w:tc>
          <w:tcPr>
            <w:tcW w:w="1701" w:type="dxa"/>
            <w:vMerge/>
          </w:tcPr>
          <w:p w14:paraId="04DAB62B" w14:textId="77777777" w:rsidR="00B54D51" w:rsidRPr="00037AD4" w:rsidRDefault="00B54D51" w:rsidP="008F00F0">
            <w:pPr>
              <w:rPr>
                <w:rFonts w:asciiTheme="minorHAnsi" w:hAnsiTheme="minorHAnsi" w:cstheme="minorHAnsi"/>
                <w:sz w:val="20"/>
                <w:szCs w:val="20"/>
              </w:rPr>
            </w:pPr>
          </w:p>
        </w:tc>
      </w:tr>
      <w:tr w:rsidR="00B54D51" w:rsidRPr="00037AD4" w14:paraId="4D89FE75" w14:textId="77777777" w:rsidTr="008F00F0">
        <w:tc>
          <w:tcPr>
            <w:tcW w:w="9634" w:type="dxa"/>
            <w:gridSpan w:val="7"/>
            <w:shd w:val="clear" w:color="auto" w:fill="EDEDED" w:themeFill="accent3" w:themeFillTint="33"/>
          </w:tcPr>
          <w:p w14:paraId="5B0442F8" w14:textId="77777777" w:rsidR="00B54D51" w:rsidRPr="00037AD4" w:rsidRDefault="00B54D51" w:rsidP="008F00F0">
            <w:pPr>
              <w:rPr>
                <w:rFonts w:asciiTheme="minorHAnsi" w:hAnsiTheme="minorHAnsi" w:cstheme="minorHAnsi"/>
                <w:sz w:val="20"/>
                <w:szCs w:val="20"/>
              </w:rPr>
            </w:pPr>
            <w:r w:rsidRPr="00037AD4">
              <w:rPr>
                <w:rFonts w:asciiTheme="minorHAnsi" w:hAnsiTheme="minorHAnsi" w:cstheme="minorHAnsi"/>
                <w:sz w:val="20"/>
                <w:szCs w:val="20"/>
              </w:rPr>
              <w:t xml:space="preserve">Preference-based measures </w:t>
            </w:r>
          </w:p>
        </w:tc>
      </w:tr>
      <w:tr w:rsidR="00B54D51" w:rsidRPr="00037AD4" w14:paraId="03B66852" w14:textId="77777777" w:rsidTr="008F00F0">
        <w:tc>
          <w:tcPr>
            <w:tcW w:w="1304" w:type="dxa"/>
          </w:tcPr>
          <w:p w14:paraId="41F3AA97" w14:textId="77777777" w:rsidR="00B54D51" w:rsidRPr="00037AD4" w:rsidRDefault="00B54D51" w:rsidP="008F00F0">
            <w:pPr>
              <w:rPr>
                <w:rFonts w:asciiTheme="minorHAnsi" w:hAnsiTheme="minorHAnsi" w:cstheme="minorHAnsi"/>
                <w:sz w:val="20"/>
                <w:szCs w:val="20"/>
              </w:rPr>
            </w:pPr>
            <w:r w:rsidRPr="00037AD4">
              <w:rPr>
                <w:rFonts w:asciiTheme="minorHAnsi" w:hAnsiTheme="minorHAnsi" w:cstheme="minorHAnsi"/>
                <w:sz w:val="20"/>
                <w:szCs w:val="20"/>
              </w:rPr>
              <w:t>EQ-5D-5L</w:t>
            </w:r>
          </w:p>
        </w:tc>
        <w:tc>
          <w:tcPr>
            <w:tcW w:w="1875" w:type="dxa"/>
            <w:vMerge w:val="restart"/>
          </w:tcPr>
          <w:p w14:paraId="3BE445C3" w14:textId="77777777" w:rsidR="00B54D51" w:rsidRPr="00037AD4" w:rsidRDefault="00B54D51" w:rsidP="008F00F0">
            <w:pPr>
              <w:rPr>
                <w:rFonts w:asciiTheme="minorHAnsi" w:hAnsiTheme="minorHAnsi" w:cstheme="minorHAnsi"/>
                <w:sz w:val="20"/>
                <w:szCs w:val="20"/>
              </w:rPr>
            </w:pPr>
            <w:r w:rsidRPr="00037AD4">
              <w:rPr>
                <w:rFonts w:asciiTheme="minorHAnsi" w:hAnsiTheme="minorHAnsi" w:cstheme="minorHAnsi"/>
                <w:sz w:val="20"/>
                <w:szCs w:val="20"/>
              </w:rPr>
              <w:t xml:space="preserve">Generic HRQoL instrument via five items </w:t>
            </w:r>
          </w:p>
        </w:tc>
        <w:tc>
          <w:tcPr>
            <w:tcW w:w="1103" w:type="dxa"/>
          </w:tcPr>
          <w:p w14:paraId="3F551AB0" w14:textId="77777777" w:rsidR="00B54D51" w:rsidRPr="00037AD4" w:rsidRDefault="00B54D51" w:rsidP="008F00F0">
            <w:pPr>
              <w:rPr>
                <w:rFonts w:asciiTheme="minorHAnsi" w:hAnsiTheme="minorHAnsi" w:cstheme="minorHAnsi"/>
                <w:sz w:val="20"/>
                <w:szCs w:val="20"/>
              </w:rPr>
            </w:pPr>
          </w:p>
        </w:tc>
        <w:tc>
          <w:tcPr>
            <w:tcW w:w="610" w:type="dxa"/>
          </w:tcPr>
          <w:p w14:paraId="3EEDAB67" w14:textId="77777777" w:rsidR="00B54D51" w:rsidRPr="00037AD4" w:rsidRDefault="00B54D51" w:rsidP="008F00F0">
            <w:pPr>
              <w:rPr>
                <w:rFonts w:asciiTheme="minorHAnsi" w:hAnsiTheme="minorHAnsi" w:cstheme="minorHAnsi"/>
                <w:sz w:val="20"/>
                <w:szCs w:val="20"/>
              </w:rPr>
            </w:pPr>
            <w:r w:rsidRPr="00037AD4">
              <w:rPr>
                <w:rFonts w:ascii="Segoe UI Symbol" w:hAnsi="Segoe UI Symbol" w:cs="Segoe UI Symbol"/>
                <w:b/>
                <w:bCs/>
                <w:color w:val="202124"/>
                <w:sz w:val="20"/>
                <w:szCs w:val="20"/>
              </w:rPr>
              <w:t>✓</w:t>
            </w:r>
          </w:p>
        </w:tc>
        <w:tc>
          <w:tcPr>
            <w:tcW w:w="1237" w:type="dxa"/>
          </w:tcPr>
          <w:p w14:paraId="3ED5639D" w14:textId="77777777" w:rsidR="00B54D51" w:rsidRPr="00037AD4" w:rsidRDefault="00B54D51" w:rsidP="008F00F0">
            <w:pPr>
              <w:rPr>
                <w:rFonts w:asciiTheme="minorHAnsi" w:hAnsiTheme="minorHAnsi" w:cstheme="minorHAnsi"/>
                <w:sz w:val="20"/>
                <w:szCs w:val="20"/>
              </w:rPr>
            </w:pPr>
            <w:r w:rsidRPr="00037AD4">
              <w:rPr>
                <w:rFonts w:ascii="Segoe UI Symbol" w:hAnsi="Segoe UI Symbol" w:cs="Segoe UI Symbol"/>
                <w:b/>
                <w:bCs/>
                <w:color w:val="202124"/>
                <w:sz w:val="20"/>
                <w:szCs w:val="20"/>
              </w:rPr>
              <w:t>✓</w:t>
            </w:r>
          </w:p>
        </w:tc>
        <w:tc>
          <w:tcPr>
            <w:tcW w:w="1804" w:type="dxa"/>
            <w:vMerge w:val="restart"/>
          </w:tcPr>
          <w:p w14:paraId="1B5B45AB" w14:textId="77777777" w:rsidR="00B54D51" w:rsidRPr="00037AD4" w:rsidRDefault="00B54D51" w:rsidP="008F00F0">
            <w:pPr>
              <w:rPr>
                <w:rFonts w:asciiTheme="minorHAnsi" w:hAnsiTheme="minorHAnsi" w:cstheme="minorHAnsi"/>
                <w:sz w:val="20"/>
                <w:szCs w:val="20"/>
              </w:rPr>
            </w:pPr>
            <w:r w:rsidRPr="00037AD4">
              <w:rPr>
                <w:rFonts w:asciiTheme="minorHAnsi" w:hAnsiTheme="minorHAnsi" w:cstheme="minorHAnsi"/>
                <w:sz w:val="20"/>
                <w:szCs w:val="20"/>
              </w:rPr>
              <w:t xml:space="preserve">Index utility score calculated via mapping to EQ-5D-3L value set </w:t>
            </w:r>
            <w:r>
              <w:rPr>
                <w:rFonts w:asciiTheme="minorHAnsi" w:hAnsiTheme="minorHAnsi" w:cstheme="minorHAnsi"/>
                <w:noProof/>
                <w:sz w:val="20"/>
                <w:szCs w:val="20"/>
              </w:rPr>
              <w:t>(Hernández Alava et al., 2023)</w:t>
            </w:r>
          </w:p>
        </w:tc>
        <w:tc>
          <w:tcPr>
            <w:tcW w:w="1701" w:type="dxa"/>
            <w:vMerge w:val="restart"/>
          </w:tcPr>
          <w:p w14:paraId="178C7D7A" w14:textId="77777777" w:rsidR="00B54D51" w:rsidRPr="00037AD4" w:rsidRDefault="00B54D51" w:rsidP="008F00F0">
            <w:pPr>
              <w:rPr>
                <w:rFonts w:asciiTheme="minorHAnsi" w:hAnsiTheme="minorHAnsi" w:cstheme="minorHAnsi"/>
                <w:sz w:val="20"/>
                <w:szCs w:val="20"/>
              </w:rPr>
            </w:pPr>
            <w:r w:rsidRPr="00037AD4">
              <w:rPr>
                <w:rFonts w:asciiTheme="minorHAnsi" w:hAnsiTheme="minorHAnsi" w:cstheme="minorHAnsi"/>
                <w:sz w:val="20"/>
                <w:szCs w:val="20"/>
              </w:rPr>
              <w:t>Scores at 1 represent perfect health and 0 represents a state equivalent to dead. Negative values are considered as indicating health states worse than dead</w:t>
            </w:r>
          </w:p>
        </w:tc>
      </w:tr>
      <w:tr w:rsidR="00B54D51" w:rsidRPr="00037AD4" w14:paraId="63AD9DCC" w14:textId="77777777" w:rsidTr="008F00F0">
        <w:tc>
          <w:tcPr>
            <w:tcW w:w="1304" w:type="dxa"/>
          </w:tcPr>
          <w:p w14:paraId="07CCD1B5" w14:textId="77777777" w:rsidR="00B54D51" w:rsidRPr="00037AD4" w:rsidRDefault="00B54D51" w:rsidP="008F00F0">
            <w:pPr>
              <w:rPr>
                <w:rFonts w:asciiTheme="minorHAnsi" w:hAnsiTheme="minorHAnsi" w:cstheme="minorHAnsi"/>
                <w:sz w:val="20"/>
                <w:szCs w:val="20"/>
              </w:rPr>
            </w:pPr>
            <w:r w:rsidRPr="00037AD4">
              <w:rPr>
                <w:rFonts w:asciiTheme="minorHAnsi" w:hAnsiTheme="minorHAnsi" w:cstheme="minorHAnsi"/>
                <w:sz w:val="20"/>
                <w:szCs w:val="20"/>
              </w:rPr>
              <w:t xml:space="preserve">EQ-5D-5L proxy </w:t>
            </w:r>
          </w:p>
        </w:tc>
        <w:tc>
          <w:tcPr>
            <w:tcW w:w="1875" w:type="dxa"/>
            <w:vMerge/>
          </w:tcPr>
          <w:p w14:paraId="5795BDE8" w14:textId="77777777" w:rsidR="00B54D51" w:rsidRPr="00037AD4" w:rsidRDefault="00B54D51" w:rsidP="008F00F0">
            <w:pPr>
              <w:rPr>
                <w:rFonts w:asciiTheme="minorHAnsi" w:hAnsiTheme="minorHAnsi" w:cstheme="minorHAnsi"/>
                <w:sz w:val="20"/>
                <w:szCs w:val="20"/>
              </w:rPr>
            </w:pPr>
          </w:p>
        </w:tc>
        <w:tc>
          <w:tcPr>
            <w:tcW w:w="1103" w:type="dxa"/>
          </w:tcPr>
          <w:p w14:paraId="26A34D1E" w14:textId="77777777" w:rsidR="00B54D51" w:rsidRPr="00037AD4" w:rsidRDefault="00B54D51" w:rsidP="008F00F0">
            <w:pPr>
              <w:rPr>
                <w:rFonts w:asciiTheme="minorHAnsi" w:hAnsiTheme="minorHAnsi" w:cstheme="minorHAnsi"/>
                <w:sz w:val="20"/>
                <w:szCs w:val="20"/>
              </w:rPr>
            </w:pPr>
          </w:p>
        </w:tc>
        <w:tc>
          <w:tcPr>
            <w:tcW w:w="610" w:type="dxa"/>
          </w:tcPr>
          <w:p w14:paraId="61D23796" w14:textId="77777777" w:rsidR="00B54D51" w:rsidRPr="00037AD4" w:rsidRDefault="00B54D51" w:rsidP="008F00F0">
            <w:pPr>
              <w:rPr>
                <w:rFonts w:asciiTheme="minorHAnsi" w:hAnsiTheme="minorHAnsi" w:cstheme="minorHAnsi"/>
                <w:sz w:val="20"/>
                <w:szCs w:val="20"/>
              </w:rPr>
            </w:pPr>
            <w:r w:rsidRPr="00037AD4">
              <w:rPr>
                <w:rFonts w:ascii="Segoe UI Symbol" w:hAnsi="Segoe UI Symbol" w:cs="Segoe UI Symbol"/>
                <w:b/>
                <w:bCs/>
                <w:color w:val="202124"/>
                <w:sz w:val="20"/>
                <w:szCs w:val="20"/>
              </w:rPr>
              <w:t>✓</w:t>
            </w:r>
          </w:p>
          <w:p w14:paraId="58AB5E77" w14:textId="77777777" w:rsidR="00B54D51" w:rsidRPr="00037AD4" w:rsidRDefault="00B54D51" w:rsidP="008F00F0">
            <w:pPr>
              <w:rPr>
                <w:rFonts w:asciiTheme="minorHAnsi" w:hAnsiTheme="minorHAnsi" w:cstheme="minorHAnsi"/>
                <w:sz w:val="20"/>
                <w:szCs w:val="20"/>
              </w:rPr>
            </w:pPr>
          </w:p>
        </w:tc>
        <w:tc>
          <w:tcPr>
            <w:tcW w:w="1237" w:type="dxa"/>
          </w:tcPr>
          <w:p w14:paraId="4153E76D" w14:textId="77777777" w:rsidR="00B54D51" w:rsidRPr="00037AD4" w:rsidRDefault="00B54D51" w:rsidP="008F00F0">
            <w:pPr>
              <w:rPr>
                <w:rFonts w:asciiTheme="minorHAnsi" w:hAnsiTheme="minorHAnsi" w:cstheme="minorHAnsi"/>
                <w:sz w:val="20"/>
                <w:szCs w:val="20"/>
              </w:rPr>
            </w:pPr>
            <w:r w:rsidRPr="00037AD4">
              <w:rPr>
                <w:rFonts w:ascii="Segoe UI Symbol" w:hAnsi="Segoe UI Symbol" w:cs="Segoe UI Symbol"/>
                <w:b/>
                <w:bCs/>
                <w:color w:val="202124"/>
                <w:sz w:val="20"/>
                <w:szCs w:val="20"/>
              </w:rPr>
              <w:t>✓</w:t>
            </w:r>
          </w:p>
          <w:p w14:paraId="4AE22587" w14:textId="77777777" w:rsidR="00B54D51" w:rsidRPr="00037AD4" w:rsidRDefault="00B54D51" w:rsidP="008F00F0">
            <w:pPr>
              <w:rPr>
                <w:rFonts w:asciiTheme="minorHAnsi" w:hAnsiTheme="minorHAnsi" w:cstheme="minorHAnsi"/>
                <w:sz w:val="20"/>
                <w:szCs w:val="20"/>
              </w:rPr>
            </w:pPr>
          </w:p>
        </w:tc>
        <w:tc>
          <w:tcPr>
            <w:tcW w:w="1804" w:type="dxa"/>
            <w:vMerge/>
          </w:tcPr>
          <w:p w14:paraId="60C67938" w14:textId="77777777" w:rsidR="00B54D51" w:rsidRPr="00037AD4" w:rsidRDefault="00B54D51" w:rsidP="008F00F0">
            <w:pPr>
              <w:rPr>
                <w:rFonts w:asciiTheme="minorHAnsi" w:hAnsiTheme="minorHAnsi" w:cstheme="minorHAnsi"/>
                <w:sz w:val="20"/>
                <w:szCs w:val="20"/>
              </w:rPr>
            </w:pPr>
          </w:p>
        </w:tc>
        <w:tc>
          <w:tcPr>
            <w:tcW w:w="1701" w:type="dxa"/>
            <w:vMerge/>
          </w:tcPr>
          <w:p w14:paraId="392536A1" w14:textId="77777777" w:rsidR="00B54D51" w:rsidRPr="00037AD4" w:rsidRDefault="00B54D51" w:rsidP="008F00F0">
            <w:pPr>
              <w:rPr>
                <w:rFonts w:asciiTheme="minorHAnsi" w:hAnsiTheme="minorHAnsi" w:cstheme="minorHAnsi"/>
                <w:sz w:val="20"/>
                <w:szCs w:val="20"/>
              </w:rPr>
            </w:pPr>
          </w:p>
        </w:tc>
      </w:tr>
      <w:tr w:rsidR="00B54D51" w:rsidRPr="00037AD4" w14:paraId="3110CFDD" w14:textId="77777777" w:rsidTr="008F00F0">
        <w:tc>
          <w:tcPr>
            <w:tcW w:w="1304" w:type="dxa"/>
          </w:tcPr>
          <w:p w14:paraId="168B76C0" w14:textId="77777777" w:rsidR="00B54D51" w:rsidRPr="00037AD4" w:rsidRDefault="00B54D51" w:rsidP="008F00F0">
            <w:pPr>
              <w:rPr>
                <w:rFonts w:asciiTheme="minorHAnsi" w:hAnsiTheme="minorHAnsi" w:cstheme="minorHAnsi"/>
                <w:sz w:val="20"/>
                <w:szCs w:val="20"/>
              </w:rPr>
            </w:pPr>
            <w:r w:rsidRPr="00037AD4">
              <w:rPr>
                <w:rFonts w:asciiTheme="minorHAnsi" w:hAnsiTheme="minorHAnsi" w:cstheme="minorHAnsi"/>
                <w:sz w:val="20"/>
                <w:szCs w:val="20"/>
              </w:rPr>
              <w:t>EQ-5D-3L</w:t>
            </w:r>
          </w:p>
        </w:tc>
        <w:tc>
          <w:tcPr>
            <w:tcW w:w="1875" w:type="dxa"/>
            <w:vMerge/>
          </w:tcPr>
          <w:p w14:paraId="7F575CD8" w14:textId="77777777" w:rsidR="00B54D51" w:rsidRPr="00037AD4" w:rsidRDefault="00B54D51" w:rsidP="008F00F0">
            <w:pPr>
              <w:rPr>
                <w:rFonts w:asciiTheme="minorHAnsi" w:hAnsiTheme="minorHAnsi" w:cstheme="minorHAnsi"/>
                <w:sz w:val="20"/>
                <w:szCs w:val="20"/>
              </w:rPr>
            </w:pPr>
          </w:p>
        </w:tc>
        <w:tc>
          <w:tcPr>
            <w:tcW w:w="1103" w:type="dxa"/>
          </w:tcPr>
          <w:p w14:paraId="5591B40B" w14:textId="77777777" w:rsidR="00B54D51" w:rsidRPr="00037AD4" w:rsidRDefault="00B54D51" w:rsidP="008F00F0">
            <w:pPr>
              <w:rPr>
                <w:rFonts w:asciiTheme="minorHAnsi" w:hAnsiTheme="minorHAnsi" w:cstheme="minorHAnsi"/>
                <w:sz w:val="20"/>
                <w:szCs w:val="20"/>
              </w:rPr>
            </w:pPr>
            <w:r w:rsidRPr="00037AD4">
              <w:rPr>
                <w:rFonts w:ascii="Segoe UI Symbol" w:hAnsi="Segoe UI Symbol" w:cs="Segoe UI Symbol"/>
                <w:b/>
                <w:bCs/>
                <w:color w:val="202124"/>
                <w:sz w:val="20"/>
                <w:szCs w:val="20"/>
              </w:rPr>
              <w:t>✓</w:t>
            </w:r>
          </w:p>
        </w:tc>
        <w:tc>
          <w:tcPr>
            <w:tcW w:w="610" w:type="dxa"/>
          </w:tcPr>
          <w:p w14:paraId="51B4E149" w14:textId="77777777" w:rsidR="00B54D51" w:rsidRPr="00037AD4" w:rsidRDefault="00B54D51" w:rsidP="008F00F0">
            <w:pPr>
              <w:rPr>
                <w:rFonts w:asciiTheme="minorHAnsi" w:hAnsiTheme="minorHAnsi" w:cstheme="minorHAnsi"/>
                <w:sz w:val="20"/>
                <w:szCs w:val="20"/>
              </w:rPr>
            </w:pPr>
          </w:p>
        </w:tc>
        <w:tc>
          <w:tcPr>
            <w:tcW w:w="1237" w:type="dxa"/>
          </w:tcPr>
          <w:p w14:paraId="23339ED0" w14:textId="77777777" w:rsidR="00B54D51" w:rsidRPr="00037AD4" w:rsidRDefault="00B54D51" w:rsidP="008F00F0">
            <w:pPr>
              <w:rPr>
                <w:rFonts w:asciiTheme="minorHAnsi" w:hAnsiTheme="minorHAnsi" w:cstheme="minorHAnsi"/>
                <w:sz w:val="20"/>
                <w:szCs w:val="20"/>
              </w:rPr>
            </w:pPr>
          </w:p>
        </w:tc>
        <w:tc>
          <w:tcPr>
            <w:tcW w:w="1804" w:type="dxa"/>
            <w:vMerge w:val="restart"/>
          </w:tcPr>
          <w:p w14:paraId="0E605D9E" w14:textId="77777777" w:rsidR="00B54D51" w:rsidRPr="00037AD4" w:rsidRDefault="00B54D51" w:rsidP="008F00F0">
            <w:pPr>
              <w:rPr>
                <w:rFonts w:asciiTheme="minorHAnsi" w:hAnsiTheme="minorHAnsi" w:cstheme="minorHAnsi"/>
                <w:sz w:val="20"/>
                <w:szCs w:val="20"/>
              </w:rPr>
            </w:pPr>
            <w:r w:rsidRPr="00037AD4">
              <w:rPr>
                <w:rFonts w:asciiTheme="minorHAnsi" w:hAnsiTheme="minorHAnsi" w:cstheme="minorHAnsi"/>
                <w:sz w:val="20"/>
                <w:szCs w:val="20"/>
              </w:rPr>
              <w:t xml:space="preserve">Index utility scores calculated using general population value set for England </w:t>
            </w:r>
            <w:r>
              <w:rPr>
                <w:rFonts w:asciiTheme="minorHAnsi" w:hAnsiTheme="minorHAnsi" w:cstheme="minorHAnsi"/>
                <w:noProof/>
                <w:sz w:val="20"/>
                <w:szCs w:val="20"/>
              </w:rPr>
              <w:t>(Dolan, 1997)</w:t>
            </w:r>
          </w:p>
        </w:tc>
        <w:tc>
          <w:tcPr>
            <w:tcW w:w="1701" w:type="dxa"/>
            <w:vMerge/>
          </w:tcPr>
          <w:p w14:paraId="21F437E3" w14:textId="77777777" w:rsidR="00B54D51" w:rsidRPr="00037AD4" w:rsidRDefault="00B54D51" w:rsidP="008F00F0">
            <w:pPr>
              <w:rPr>
                <w:rFonts w:asciiTheme="minorHAnsi" w:hAnsiTheme="minorHAnsi" w:cstheme="minorHAnsi"/>
                <w:sz w:val="20"/>
                <w:szCs w:val="20"/>
              </w:rPr>
            </w:pPr>
          </w:p>
        </w:tc>
      </w:tr>
      <w:tr w:rsidR="00B54D51" w:rsidRPr="00037AD4" w14:paraId="49C866DC" w14:textId="77777777" w:rsidTr="008F00F0">
        <w:tc>
          <w:tcPr>
            <w:tcW w:w="1304" w:type="dxa"/>
          </w:tcPr>
          <w:p w14:paraId="6D03274D" w14:textId="77777777" w:rsidR="00B54D51" w:rsidRPr="00037AD4" w:rsidRDefault="00B54D51" w:rsidP="008F00F0">
            <w:pPr>
              <w:rPr>
                <w:rFonts w:asciiTheme="minorHAnsi" w:hAnsiTheme="minorHAnsi" w:cstheme="minorHAnsi"/>
                <w:sz w:val="20"/>
                <w:szCs w:val="20"/>
              </w:rPr>
            </w:pPr>
            <w:r w:rsidRPr="00037AD4">
              <w:rPr>
                <w:rFonts w:asciiTheme="minorHAnsi" w:hAnsiTheme="minorHAnsi" w:cstheme="minorHAnsi"/>
                <w:sz w:val="20"/>
                <w:szCs w:val="20"/>
              </w:rPr>
              <w:t xml:space="preserve">EQ-5D-3L proxy </w:t>
            </w:r>
          </w:p>
        </w:tc>
        <w:tc>
          <w:tcPr>
            <w:tcW w:w="1875" w:type="dxa"/>
            <w:vMerge/>
          </w:tcPr>
          <w:p w14:paraId="2D07A2E5" w14:textId="77777777" w:rsidR="00B54D51" w:rsidRPr="00037AD4" w:rsidRDefault="00B54D51" w:rsidP="008F00F0">
            <w:pPr>
              <w:rPr>
                <w:rFonts w:asciiTheme="minorHAnsi" w:hAnsiTheme="minorHAnsi" w:cstheme="minorHAnsi"/>
                <w:sz w:val="20"/>
                <w:szCs w:val="20"/>
              </w:rPr>
            </w:pPr>
          </w:p>
        </w:tc>
        <w:tc>
          <w:tcPr>
            <w:tcW w:w="1103" w:type="dxa"/>
          </w:tcPr>
          <w:p w14:paraId="1900F0A7" w14:textId="77777777" w:rsidR="00B54D51" w:rsidRPr="00037AD4" w:rsidRDefault="00B54D51" w:rsidP="008F00F0">
            <w:pPr>
              <w:rPr>
                <w:rFonts w:asciiTheme="minorHAnsi" w:hAnsiTheme="minorHAnsi" w:cstheme="minorHAnsi"/>
                <w:sz w:val="20"/>
                <w:szCs w:val="20"/>
              </w:rPr>
            </w:pPr>
            <w:r w:rsidRPr="00037AD4">
              <w:rPr>
                <w:rFonts w:ascii="Segoe UI Symbol" w:hAnsi="Segoe UI Symbol" w:cs="Segoe UI Symbol"/>
                <w:b/>
                <w:bCs/>
                <w:color w:val="202124"/>
                <w:sz w:val="20"/>
                <w:szCs w:val="20"/>
              </w:rPr>
              <w:t>✓</w:t>
            </w:r>
          </w:p>
        </w:tc>
        <w:tc>
          <w:tcPr>
            <w:tcW w:w="610" w:type="dxa"/>
          </w:tcPr>
          <w:p w14:paraId="541CF8C1" w14:textId="77777777" w:rsidR="00B54D51" w:rsidRPr="00037AD4" w:rsidRDefault="00B54D51" w:rsidP="008F00F0">
            <w:pPr>
              <w:rPr>
                <w:rFonts w:asciiTheme="minorHAnsi" w:hAnsiTheme="minorHAnsi" w:cstheme="minorHAnsi"/>
                <w:sz w:val="20"/>
                <w:szCs w:val="20"/>
              </w:rPr>
            </w:pPr>
          </w:p>
        </w:tc>
        <w:tc>
          <w:tcPr>
            <w:tcW w:w="1237" w:type="dxa"/>
          </w:tcPr>
          <w:p w14:paraId="767FE5E4" w14:textId="77777777" w:rsidR="00B54D51" w:rsidRPr="00037AD4" w:rsidRDefault="00B54D51" w:rsidP="008F00F0">
            <w:pPr>
              <w:rPr>
                <w:rFonts w:asciiTheme="minorHAnsi" w:hAnsiTheme="minorHAnsi" w:cstheme="minorHAnsi"/>
                <w:sz w:val="20"/>
                <w:szCs w:val="20"/>
              </w:rPr>
            </w:pPr>
          </w:p>
        </w:tc>
        <w:tc>
          <w:tcPr>
            <w:tcW w:w="1804" w:type="dxa"/>
            <w:vMerge/>
          </w:tcPr>
          <w:p w14:paraId="23A35D9B" w14:textId="77777777" w:rsidR="00B54D51" w:rsidRPr="00037AD4" w:rsidRDefault="00B54D51" w:rsidP="008F00F0">
            <w:pPr>
              <w:rPr>
                <w:rFonts w:asciiTheme="minorHAnsi" w:hAnsiTheme="minorHAnsi" w:cstheme="minorHAnsi"/>
                <w:sz w:val="20"/>
                <w:szCs w:val="20"/>
              </w:rPr>
            </w:pPr>
          </w:p>
        </w:tc>
        <w:tc>
          <w:tcPr>
            <w:tcW w:w="1701" w:type="dxa"/>
            <w:vMerge/>
          </w:tcPr>
          <w:p w14:paraId="4D4ACDDD" w14:textId="77777777" w:rsidR="00B54D51" w:rsidRPr="00037AD4" w:rsidRDefault="00B54D51" w:rsidP="008F00F0">
            <w:pPr>
              <w:rPr>
                <w:rFonts w:asciiTheme="minorHAnsi" w:hAnsiTheme="minorHAnsi" w:cstheme="minorHAnsi"/>
                <w:sz w:val="20"/>
                <w:szCs w:val="20"/>
              </w:rPr>
            </w:pPr>
          </w:p>
        </w:tc>
      </w:tr>
      <w:tr w:rsidR="00B54D51" w:rsidRPr="00037AD4" w14:paraId="1EF5EF40" w14:textId="77777777" w:rsidTr="008F00F0">
        <w:tc>
          <w:tcPr>
            <w:tcW w:w="1304" w:type="dxa"/>
          </w:tcPr>
          <w:p w14:paraId="281EDC04" w14:textId="77777777" w:rsidR="00B54D51" w:rsidRPr="00037AD4" w:rsidRDefault="00B54D51" w:rsidP="008F00F0">
            <w:pPr>
              <w:rPr>
                <w:rFonts w:asciiTheme="minorHAnsi" w:hAnsiTheme="minorHAnsi" w:cstheme="minorHAnsi"/>
                <w:sz w:val="20"/>
                <w:szCs w:val="20"/>
              </w:rPr>
            </w:pPr>
            <w:r w:rsidRPr="00037AD4">
              <w:rPr>
                <w:rFonts w:asciiTheme="minorHAnsi" w:hAnsiTheme="minorHAnsi" w:cstheme="minorHAnsi"/>
                <w:sz w:val="20"/>
                <w:szCs w:val="20"/>
              </w:rPr>
              <w:t>EQ-5D-3L (carer)</w:t>
            </w:r>
          </w:p>
        </w:tc>
        <w:tc>
          <w:tcPr>
            <w:tcW w:w="1875" w:type="dxa"/>
            <w:vMerge/>
          </w:tcPr>
          <w:p w14:paraId="42EB53FA" w14:textId="77777777" w:rsidR="00B54D51" w:rsidRPr="00037AD4" w:rsidRDefault="00B54D51" w:rsidP="008F00F0">
            <w:pPr>
              <w:rPr>
                <w:rFonts w:asciiTheme="minorHAnsi" w:hAnsiTheme="minorHAnsi" w:cstheme="minorHAnsi"/>
                <w:sz w:val="20"/>
                <w:szCs w:val="20"/>
              </w:rPr>
            </w:pPr>
          </w:p>
        </w:tc>
        <w:tc>
          <w:tcPr>
            <w:tcW w:w="1103" w:type="dxa"/>
          </w:tcPr>
          <w:p w14:paraId="59018572" w14:textId="77777777" w:rsidR="00B54D51" w:rsidRPr="00037AD4" w:rsidRDefault="00B54D51" w:rsidP="008F00F0">
            <w:pPr>
              <w:rPr>
                <w:rFonts w:asciiTheme="minorHAnsi" w:hAnsiTheme="minorHAnsi" w:cstheme="minorHAnsi"/>
                <w:b/>
                <w:bCs/>
                <w:color w:val="202124"/>
                <w:sz w:val="20"/>
                <w:szCs w:val="20"/>
              </w:rPr>
            </w:pPr>
          </w:p>
        </w:tc>
        <w:tc>
          <w:tcPr>
            <w:tcW w:w="610" w:type="dxa"/>
          </w:tcPr>
          <w:p w14:paraId="2A694846" w14:textId="77777777" w:rsidR="00B54D51" w:rsidRPr="00037AD4" w:rsidRDefault="00B54D51" w:rsidP="008F00F0">
            <w:pPr>
              <w:rPr>
                <w:rFonts w:asciiTheme="minorHAnsi" w:hAnsiTheme="minorHAnsi" w:cstheme="minorHAnsi"/>
                <w:sz w:val="20"/>
                <w:szCs w:val="20"/>
              </w:rPr>
            </w:pPr>
          </w:p>
        </w:tc>
        <w:tc>
          <w:tcPr>
            <w:tcW w:w="1237" w:type="dxa"/>
          </w:tcPr>
          <w:p w14:paraId="24066173" w14:textId="77777777" w:rsidR="00B54D51" w:rsidRPr="00037AD4" w:rsidRDefault="00B54D51" w:rsidP="008F00F0">
            <w:pPr>
              <w:rPr>
                <w:rFonts w:asciiTheme="minorHAnsi" w:hAnsiTheme="minorHAnsi" w:cstheme="minorHAnsi"/>
                <w:sz w:val="20"/>
                <w:szCs w:val="20"/>
              </w:rPr>
            </w:pPr>
          </w:p>
        </w:tc>
        <w:tc>
          <w:tcPr>
            <w:tcW w:w="1804" w:type="dxa"/>
            <w:vMerge/>
          </w:tcPr>
          <w:p w14:paraId="23D53F36" w14:textId="77777777" w:rsidR="00B54D51" w:rsidRPr="00037AD4" w:rsidRDefault="00B54D51" w:rsidP="008F00F0">
            <w:pPr>
              <w:rPr>
                <w:rFonts w:asciiTheme="minorHAnsi" w:hAnsiTheme="minorHAnsi" w:cstheme="minorHAnsi"/>
                <w:sz w:val="20"/>
                <w:szCs w:val="20"/>
              </w:rPr>
            </w:pPr>
          </w:p>
        </w:tc>
        <w:tc>
          <w:tcPr>
            <w:tcW w:w="1701" w:type="dxa"/>
            <w:vMerge/>
          </w:tcPr>
          <w:p w14:paraId="46E6CA91" w14:textId="77777777" w:rsidR="00B54D51" w:rsidRPr="00037AD4" w:rsidRDefault="00B54D51" w:rsidP="008F00F0">
            <w:pPr>
              <w:rPr>
                <w:rFonts w:asciiTheme="minorHAnsi" w:hAnsiTheme="minorHAnsi" w:cstheme="minorHAnsi"/>
                <w:sz w:val="20"/>
                <w:szCs w:val="20"/>
              </w:rPr>
            </w:pPr>
          </w:p>
        </w:tc>
      </w:tr>
      <w:tr w:rsidR="00B54D51" w:rsidRPr="00037AD4" w14:paraId="6A0BF26B" w14:textId="77777777" w:rsidTr="008F00F0">
        <w:tc>
          <w:tcPr>
            <w:tcW w:w="1304" w:type="dxa"/>
          </w:tcPr>
          <w:p w14:paraId="5BE8242B" w14:textId="77777777" w:rsidR="00B54D51" w:rsidRPr="00037AD4" w:rsidRDefault="00B54D51" w:rsidP="008F00F0">
            <w:pPr>
              <w:rPr>
                <w:rFonts w:asciiTheme="minorHAnsi" w:hAnsiTheme="minorHAnsi" w:cstheme="minorHAnsi"/>
                <w:sz w:val="20"/>
                <w:szCs w:val="20"/>
              </w:rPr>
            </w:pPr>
            <w:r w:rsidRPr="00037AD4">
              <w:rPr>
                <w:rFonts w:asciiTheme="minorHAnsi" w:hAnsiTheme="minorHAnsi" w:cstheme="minorHAnsi"/>
                <w:sz w:val="20"/>
                <w:szCs w:val="20"/>
              </w:rPr>
              <w:t>DEMQoL</w:t>
            </w:r>
          </w:p>
        </w:tc>
        <w:tc>
          <w:tcPr>
            <w:tcW w:w="1875" w:type="dxa"/>
          </w:tcPr>
          <w:p w14:paraId="73C06F1E" w14:textId="77777777" w:rsidR="00B54D51" w:rsidRPr="00037AD4" w:rsidRDefault="00B54D51" w:rsidP="008F00F0">
            <w:pPr>
              <w:rPr>
                <w:rFonts w:asciiTheme="minorHAnsi" w:hAnsiTheme="minorHAnsi" w:cstheme="minorHAnsi"/>
                <w:sz w:val="20"/>
                <w:szCs w:val="20"/>
              </w:rPr>
            </w:pPr>
            <w:r w:rsidRPr="00037AD4">
              <w:rPr>
                <w:rFonts w:asciiTheme="minorHAnsi" w:hAnsiTheme="minorHAnsi" w:cstheme="minorHAnsi"/>
                <w:sz w:val="20"/>
                <w:szCs w:val="20"/>
              </w:rPr>
              <w:t xml:space="preserve">Dementia specific QoL via 28 items </w:t>
            </w:r>
          </w:p>
        </w:tc>
        <w:tc>
          <w:tcPr>
            <w:tcW w:w="1103" w:type="dxa"/>
          </w:tcPr>
          <w:p w14:paraId="3873C883" w14:textId="77777777" w:rsidR="00B54D51" w:rsidRPr="00037AD4" w:rsidRDefault="00B54D51" w:rsidP="008F00F0">
            <w:pPr>
              <w:rPr>
                <w:rFonts w:asciiTheme="minorHAnsi" w:hAnsiTheme="minorHAnsi" w:cstheme="minorHAnsi"/>
                <w:sz w:val="20"/>
                <w:szCs w:val="20"/>
              </w:rPr>
            </w:pPr>
          </w:p>
        </w:tc>
        <w:tc>
          <w:tcPr>
            <w:tcW w:w="610" w:type="dxa"/>
          </w:tcPr>
          <w:p w14:paraId="4CE011BF" w14:textId="77777777" w:rsidR="00B54D51" w:rsidRPr="00037AD4" w:rsidRDefault="00B54D51" w:rsidP="008F00F0">
            <w:pPr>
              <w:rPr>
                <w:rFonts w:asciiTheme="minorHAnsi" w:hAnsiTheme="minorHAnsi" w:cstheme="minorHAnsi"/>
                <w:sz w:val="20"/>
                <w:szCs w:val="20"/>
              </w:rPr>
            </w:pPr>
            <w:r w:rsidRPr="00037AD4">
              <w:rPr>
                <w:rFonts w:ascii="Segoe UI Symbol" w:hAnsi="Segoe UI Symbol" w:cs="Segoe UI Symbol"/>
                <w:b/>
                <w:bCs/>
                <w:color w:val="202124"/>
                <w:sz w:val="20"/>
                <w:szCs w:val="20"/>
              </w:rPr>
              <w:t>✓</w:t>
            </w:r>
          </w:p>
        </w:tc>
        <w:tc>
          <w:tcPr>
            <w:tcW w:w="1237" w:type="dxa"/>
          </w:tcPr>
          <w:p w14:paraId="4B15A327" w14:textId="77777777" w:rsidR="00B54D51" w:rsidRPr="00037AD4" w:rsidRDefault="00B54D51" w:rsidP="008F00F0">
            <w:pPr>
              <w:rPr>
                <w:rFonts w:asciiTheme="minorHAnsi" w:hAnsiTheme="minorHAnsi" w:cstheme="minorHAnsi"/>
                <w:sz w:val="20"/>
                <w:szCs w:val="20"/>
              </w:rPr>
            </w:pPr>
            <w:r w:rsidRPr="00037AD4">
              <w:rPr>
                <w:rFonts w:ascii="Segoe UI Symbol" w:hAnsi="Segoe UI Symbol" w:cs="Segoe UI Symbol"/>
                <w:b/>
                <w:bCs/>
                <w:color w:val="202124"/>
                <w:sz w:val="20"/>
                <w:szCs w:val="20"/>
              </w:rPr>
              <w:t>✓</w:t>
            </w:r>
          </w:p>
        </w:tc>
        <w:tc>
          <w:tcPr>
            <w:tcW w:w="1804" w:type="dxa"/>
          </w:tcPr>
          <w:p w14:paraId="1820F60C" w14:textId="77777777" w:rsidR="00B54D51" w:rsidRPr="00037AD4" w:rsidRDefault="00B54D51" w:rsidP="008F00F0">
            <w:pPr>
              <w:rPr>
                <w:rFonts w:asciiTheme="minorHAnsi" w:hAnsiTheme="minorHAnsi" w:cstheme="minorHAnsi"/>
                <w:sz w:val="20"/>
                <w:szCs w:val="20"/>
              </w:rPr>
            </w:pPr>
            <w:r w:rsidRPr="00037AD4">
              <w:rPr>
                <w:rFonts w:asciiTheme="minorHAnsi" w:hAnsiTheme="minorHAnsi" w:cstheme="minorHAnsi"/>
                <w:sz w:val="20"/>
                <w:szCs w:val="20"/>
              </w:rPr>
              <w:t xml:space="preserve">Five items of the DEMQoL converted to index utility scores (DEMQoL-U) using general population values </w:t>
            </w:r>
            <w:r>
              <w:rPr>
                <w:rFonts w:asciiTheme="minorHAnsi" w:hAnsiTheme="minorHAnsi" w:cstheme="minorHAnsi"/>
                <w:noProof/>
                <w:sz w:val="20"/>
                <w:szCs w:val="20"/>
              </w:rPr>
              <w:t>(Rowen et al., 2012)</w:t>
            </w:r>
          </w:p>
        </w:tc>
        <w:tc>
          <w:tcPr>
            <w:tcW w:w="1701" w:type="dxa"/>
          </w:tcPr>
          <w:p w14:paraId="438BECE5" w14:textId="77777777" w:rsidR="00B54D51" w:rsidRPr="00037AD4" w:rsidRDefault="00B54D51" w:rsidP="008F00F0">
            <w:pPr>
              <w:rPr>
                <w:rFonts w:asciiTheme="minorHAnsi" w:hAnsiTheme="minorHAnsi" w:cstheme="minorHAnsi"/>
                <w:sz w:val="20"/>
                <w:szCs w:val="20"/>
              </w:rPr>
            </w:pPr>
            <w:r w:rsidRPr="00037AD4">
              <w:rPr>
                <w:rFonts w:asciiTheme="minorHAnsi" w:hAnsiTheme="minorHAnsi" w:cstheme="minorHAnsi"/>
                <w:sz w:val="20"/>
                <w:szCs w:val="20"/>
              </w:rPr>
              <w:t xml:space="preserve">Higher scores reflect better health staters, and there are no negative scores </w:t>
            </w:r>
          </w:p>
        </w:tc>
      </w:tr>
      <w:tr w:rsidR="00B54D51" w:rsidRPr="00037AD4" w14:paraId="6EB291ED" w14:textId="77777777" w:rsidTr="008F00F0">
        <w:tc>
          <w:tcPr>
            <w:tcW w:w="1304" w:type="dxa"/>
          </w:tcPr>
          <w:p w14:paraId="675FDBEB" w14:textId="77777777" w:rsidR="00B54D51" w:rsidRPr="00037AD4" w:rsidRDefault="00B54D51" w:rsidP="008F00F0">
            <w:pPr>
              <w:rPr>
                <w:rFonts w:asciiTheme="minorHAnsi" w:hAnsiTheme="minorHAnsi" w:cstheme="minorHAnsi"/>
                <w:sz w:val="20"/>
                <w:szCs w:val="20"/>
              </w:rPr>
            </w:pPr>
            <w:r w:rsidRPr="00037AD4">
              <w:rPr>
                <w:rFonts w:asciiTheme="minorHAnsi" w:hAnsiTheme="minorHAnsi" w:cstheme="minorHAnsi"/>
                <w:sz w:val="20"/>
                <w:szCs w:val="20"/>
              </w:rPr>
              <w:lastRenderedPageBreak/>
              <w:t>DEMQoL-proxy</w:t>
            </w:r>
          </w:p>
        </w:tc>
        <w:tc>
          <w:tcPr>
            <w:tcW w:w="1875" w:type="dxa"/>
          </w:tcPr>
          <w:p w14:paraId="6384B989" w14:textId="77777777" w:rsidR="00B54D51" w:rsidRPr="00037AD4" w:rsidRDefault="00B54D51" w:rsidP="008F00F0">
            <w:pPr>
              <w:rPr>
                <w:rFonts w:asciiTheme="minorHAnsi" w:hAnsiTheme="minorHAnsi" w:cstheme="minorHAnsi"/>
                <w:sz w:val="20"/>
                <w:szCs w:val="20"/>
              </w:rPr>
            </w:pPr>
            <w:r w:rsidRPr="00037AD4">
              <w:rPr>
                <w:rFonts w:asciiTheme="minorHAnsi" w:hAnsiTheme="minorHAnsi" w:cstheme="minorHAnsi"/>
                <w:sz w:val="20"/>
                <w:szCs w:val="20"/>
              </w:rPr>
              <w:t>Dementia specific QoL via 31 items</w:t>
            </w:r>
          </w:p>
        </w:tc>
        <w:tc>
          <w:tcPr>
            <w:tcW w:w="1103" w:type="dxa"/>
          </w:tcPr>
          <w:p w14:paraId="75CE9D93" w14:textId="77777777" w:rsidR="00B54D51" w:rsidRPr="00037AD4" w:rsidRDefault="00B54D51" w:rsidP="008F00F0">
            <w:pPr>
              <w:rPr>
                <w:rFonts w:asciiTheme="minorHAnsi" w:hAnsiTheme="minorHAnsi" w:cstheme="minorHAnsi"/>
                <w:sz w:val="20"/>
                <w:szCs w:val="20"/>
              </w:rPr>
            </w:pPr>
          </w:p>
        </w:tc>
        <w:tc>
          <w:tcPr>
            <w:tcW w:w="610" w:type="dxa"/>
          </w:tcPr>
          <w:p w14:paraId="12800452" w14:textId="77777777" w:rsidR="00B54D51" w:rsidRPr="00037AD4" w:rsidRDefault="00B54D51" w:rsidP="008F00F0">
            <w:pPr>
              <w:rPr>
                <w:rFonts w:asciiTheme="minorHAnsi" w:hAnsiTheme="minorHAnsi" w:cstheme="minorHAnsi"/>
                <w:sz w:val="20"/>
                <w:szCs w:val="20"/>
              </w:rPr>
            </w:pPr>
            <w:r w:rsidRPr="00037AD4">
              <w:rPr>
                <w:rFonts w:ascii="Segoe UI Symbol" w:hAnsi="Segoe UI Symbol" w:cs="Segoe UI Symbol"/>
                <w:b/>
                <w:bCs/>
                <w:color w:val="202124"/>
                <w:sz w:val="20"/>
                <w:szCs w:val="20"/>
              </w:rPr>
              <w:t>✓</w:t>
            </w:r>
          </w:p>
        </w:tc>
        <w:tc>
          <w:tcPr>
            <w:tcW w:w="1237" w:type="dxa"/>
          </w:tcPr>
          <w:p w14:paraId="54327144" w14:textId="77777777" w:rsidR="00B54D51" w:rsidRPr="00037AD4" w:rsidRDefault="00B54D51" w:rsidP="008F00F0">
            <w:pPr>
              <w:rPr>
                <w:rFonts w:asciiTheme="minorHAnsi" w:hAnsiTheme="minorHAnsi" w:cstheme="minorHAnsi"/>
                <w:sz w:val="20"/>
                <w:szCs w:val="20"/>
              </w:rPr>
            </w:pPr>
            <w:r w:rsidRPr="00037AD4">
              <w:rPr>
                <w:rFonts w:ascii="Segoe UI Symbol" w:hAnsi="Segoe UI Symbol" w:cs="Segoe UI Symbol"/>
                <w:b/>
                <w:bCs/>
                <w:color w:val="202124"/>
                <w:sz w:val="20"/>
                <w:szCs w:val="20"/>
              </w:rPr>
              <w:t>✓</w:t>
            </w:r>
          </w:p>
        </w:tc>
        <w:tc>
          <w:tcPr>
            <w:tcW w:w="1804" w:type="dxa"/>
          </w:tcPr>
          <w:p w14:paraId="2E300F60" w14:textId="77777777" w:rsidR="00B54D51" w:rsidRPr="00037AD4" w:rsidRDefault="00B54D51" w:rsidP="008F00F0">
            <w:pPr>
              <w:rPr>
                <w:rFonts w:asciiTheme="minorHAnsi" w:hAnsiTheme="minorHAnsi" w:cstheme="minorHAnsi"/>
                <w:sz w:val="20"/>
                <w:szCs w:val="20"/>
              </w:rPr>
            </w:pPr>
            <w:r w:rsidRPr="00037AD4">
              <w:rPr>
                <w:rFonts w:asciiTheme="minorHAnsi" w:hAnsiTheme="minorHAnsi" w:cstheme="minorHAnsi"/>
                <w:sz w:val="20"/>
                <w:szCs w:val="20"/>
              </w:rPr>
              <w:t xml:space="preserve">Four items of the DEMQoL converted to index utility scores (DEMQoL-U) using general population values </w:t>
            </w:r>
            <w:r>
              <w:rPr>
                <w:rFonts w:asciiTheme="minorHAnsi" w:hAnsiTheme="minorHAnsi" w:cstheme="minorHAnsi"/>
                <w:noProof/>
                <w:sz w:val="20"/>
                <w:szCs w:val="20"/>
              </w:rPr>
              <w:t>(Mulhern et al., 2013)</w:t>
            </w:r>
          </w:p>
        </w:tc>
        <w:tc>
          <w:tcPr>
            <w:tcW w:w="1701" w:type="dxa"/>
          </w:tcPr>
          <w:p w14:paraId="04CAAF45" w14:textId="77777777" w:rsidR="00B54D51" w:rsidRPr="00037AD4" w:rsidRDefault="00B54D51" w:rsidP="008F00F0">
            <w:pPr>
              <w:rPr>
                <w:rFonts w:asciiTheme="minorHAnsi" w:hAnsiTheme="minorHAnsi" w:cstheme="minorHAnsi"/>
                <w:sz w:val="20"/>
                <w:szCs w:val="20"/>
              </w:rPr>
            </w:pPr>
            <w:r w:rsidRPr="00037AD4">
              <w:rPr>
                <w:rFonts w:asciiTheme="minorHAnsi" w:hAnsiTheme="minorHAnsi" w:cstheme="minorHAnsi"/>
                <w:sz w:val="20"/>
                <w:szCs w:val="20"/>
              </w:rPr>
              <w:t>Higher scores reflect better health states, and there are no negative scores</w:t>
            </w:r>
          </w:p>
        </w:tc>
      </w:tr>
      <w:tr w:rsidR="00B54D51" w:rsidRPr="00037AD4" w14:paraId="1675BE56" w14:textId="77777777" w:rsidTr="008F00F0">
        <w:tc>
          <w:tcPr>
            <w:tcW w:w="1304" w:type="dxa"/>
          </w:tcPr>
          <w:p w14:paraId="53952336" w14:textId="77777777" w:rsidR="00B54D51" w:rsidRPr="00037AD4" w:rsidRDefault="00B54D51" w:rsidP="008F00F0">
            <w:pPr>
              <w:rPr>
                <w:rFonts w:asciiTheme="minorHAnsi" w:hAnsiTheme="minorHAnsi" w:cstheme="minorHAnsi"/>
                <w:sz w:val="20"/>
                <w:szCs w:val="20"/>
              </w:rPr>
            </w:pPr>
            <w:r w:rsidRPr="00037AD4">
              <w:rPr>
                <w:rFonts w:asciiTheme="minorHAnsi" w:hAnsiTheme="minorHAnsi" w:cstheme="minorHAnsi"/>
                <w:sz w:val="20"/>
                <w:szCs w:val="20"/>
              </w:rPr>
              <w:t xml:space="preserve">QoL-AD </w:t>
            </w:r>
          </w:p>
        </w:tc>
        <w:tc>
          <w:tcPr>
            <w:tcW w:w="1875" w:type="dxa"/>
            <w:vMerge w:val="restart"/>
          </w:tcPr>
          <w:p w14:paraId="1B74C109" w14:textId="77777777" w:rsidR="00B54D51" w:rsidRPr="00037AD4" w:rsidRDefault="00B54D51" w:rsidP="008F00F0">
            <w:pPr>
              <w:rPr>
                <w:rFonts w:asciiTheme="minorHAnsi" w:hAnsiTheme="minorHAnsi" w:cstheme="minorHAnsi"/>
                <w:sz w:val="20"/>
                <w:szCs w:val="20"/>
              </w:rPr>
            </w:pPr>
            <w:r w:rsidRPr="00037AD4">
              <w:rPr>
                <w:rFonts w:asciiTheme="minorHAnsi" w:hAnsiTheme="minorHAnsi" w:cstheme="minorHAnsi"/>
                <w:sz w:val="20"/>
                <w:szCs w:val="20"/>
              </w:rPr>
              <w:t>Dementia specific QoL via 13 items. The adapted version for care homes includes 15 times</w:t>
            </w:r>
          </w:p>
        </w:tc>
        <w:tc>
          <w:tcPr>
            <w:tcW w:w="1103" w:type="dxa"/>
          </w:tcPr>
          <w:p w14:paraId="691E37C1" w14:textId="77777777" w:rsidR="00B54D51" w:rsidRPr="00037AD4" w:rsidRDefault="00B54D51" w:rsidP="008F00F0">
            <w:pPr>
              <w:rPr>
                <w:rFonts w:asciiTheme="minorHAnsi" w:hAnsiTheme="minorHAnsi" w:cstheme="minorHAnsi"/>
                <w:sz w:val="20"/>
                <w:szCs w:val="20"/>
              </w:rPr>
            </w:pPr>
            <w:r w:rsidRPr="00037AD4">
              <w:rPr>
                <w:rFonts w:ascii="Segoe UI Symbol" w:hAnsi="Segoe UI Symbol" w:cs="Segoe UI Symbol"/>
                <w:b/>
                <w:bCs/>
                <w:color w:val="202124"/>
                <w:sz w:val="20"/>
                <w:szCs w:val="20"/>
              </w:rPr>
              <w:t>✓</w:t>
            </w:r>
          </w:p>
        </w:tc>
        <w:tc>
          <w:tcPr>
            <w:tcW w:w="610" w:type="dxa"/>
          </w:tcPr>
          <w:p w14:paraId="474DDDE0" w14:textId="77777777" w:rsidR="00B54D51" w:rsidRPr="00037AD4" w:rsidRDefault="00B54D51" w:rsidP="008F00F0">
            <w:pPr>
              <w:rPr>
                <w:rFonts w:asciiTheme="minorHAnsi" w:hAnsiTheme="minorHAnsi" w:cstheme="minorHAnsi"/>
                <w:b/>
                <w:bCs/>
                <w:color w:val="202124"/>
                <w:sz w:val="20"/>
                <w:szCs w:val="20"/>
              </w:rPr>
            </w:pPr>
          </w:p>
        </w:tc>
        <w:tc>
          <w:tcPr>
            <w:tcW w:w="1237" w:type="dxa"/>
          </w:tcPr>
          <w:p w14:paraId="1145B065" w14:textId="77777777" w:rsidR="00B54D51" w:rsidRPr="00037AD4" w:rsidRDefault="00B54D51" w:rsidP="008F00F0">
            <w:pPr>
              <w:rPr>
                <w:rFonts w:asciiTheme="minorHAnsi" w:hAnsiTheme="minorHAnsi" w:cstheme="minorHAnsi"/>
                <w:b/>
                <w:bCs/>
                <w:color w:val="202124"/>
                <w:sz w:val="20"/>
                <w:szCs w:val="20"/>
              </w:rPr>
            </w:pPr>
            <w:r w:rsidRPr="00037AD4">
              <w:rPr>
                <w:rFonts w:ascii="Segoe UI Symbol" w:hAnsi="Segoe UI Symbol" w:cs="Segoe UI Symbol"/>
                <w:b/>
                <w:bCs/>
                <w:color w:val="202124"/>
                <w:sz w:val="20"/>
                <w:szCs w:val="20"/>
              </w:rPr>
              <w:t>✓</w:t>
            </w:r>
          </w:p>
        </w:tc>
        <w:tc>
          <w:tcPr>
            <w:tcW w:w="1804" w:type="dxa"/>
            <w:vMerge w:val="restart"/>
          </w:tcPr>
          <w:p w14:paraId="398CDA40" w14:textId="77777777" w:rsidR="00B54D51" w:rsidRPr="00037AD4" w:rsidRDefault="00B54D51" w:rsidP="008F00F0">
            <w:pPr>
              <w:rPr>
                <w:rFonts w:asciiTheme="minorHAnsi" w:hAnsiTheme="minorHAnsi" w:cstheme="minorHAnsi"/>
                <w:sz w:val="20"/>
                <w:szCs w:val="20"/>
              </w:rPr>
            </w:pPr>
            <w:r w:rsidRPr="00037AD4">
              <w:rPr>
                <w:rFonts w:asciiTheme="minorHAnsi" w:hAnsiTheme="minorHAnsi" w:cstheme="minorHAnsi"/>
                <w:sz w:val="20"/>
                <w:szCs w:val="20"/>
              </w:rPr>
              <w:t xml:space="preserve">Five items of the QoL-AD converted to index utility scores (AD-5D) using general population values for Australia </w:t>
            </w:r>
            <w:r>
              <w:rPr>
                <w:rFonts w:asciiTheme="minorHAnsi" w:hAnsiTheme="minorHAnsi" w:cstheme="minorHAnsi"/>
                <w:noProof/>
                <w:sz w:val="20"/>
                <w:szCs w:val="20"/>
              </w:rPr>
              <w:t>(Comans et al., 2020)</w:t>
            </w:r>
          </w:p>
        </w:tc>
        <w:tc>
          <w:tcPr>
            <w:tcW w:w="1701" w:type="dxa"/>
            <w:vMerge w:val="restart"/>
          </w:tcPr>
          <w:p w14:paraId="6B9D8EA2" w14:textId="77777777" w:rsidR="00B54D51" w:rsidRPr="00037AD4" w:rsidRDefault="00B54D51" w:rsidP="008F00F0">
            <w:pPr>
              <w:rPr>
                <w:rFonts w:asciiTheme="minorHAnsi" w:hAnsiTheme="minorHAnsi" w:cstheme="minorHAnsi"/>
                <w:sz w:val="20"/>
                <w:szCs w:val="20"/>
              </w:rPr>
            </w:pPr>
            <w:r w:rsidRPr="00037AD4">
              <w:rPr>
                <w:rFonts w:asciiTheme="minorHAnsi" w:hAnsiTheme="minorHAnsi" w:cstheme="minorHAnsi"/>
                <w:sz w:val="20"/>
                <w:szCs w:val="20"/>
              </w:rPr>
              <w:t xml:space="preserve">Scores equal to 1 represent perfect health, negative scores are possible  </w:t>
            </w:r>
          </w:p>
        </w:tc>
      </w:tr>
      <w:tr w:rsidR="00B54D51" w:rsidRPr="00037AD4" w14:paraId="52D43E0B" w14:textId="77777777" w:rsidTr="008F00F0">
        <w:tc>
          <w:tcPr>
            <w:tcW w:w="1304" w:type="dxa"/>
          </w:tcPr>
          <w:p w14:paraId="3E13A8DB" w14:textId="77777777" w:rsidR="00B54D51" w:rsidRPr="00037AD4" w:rsidRDefault="00B54D51" w:rsidP="008F00F0">
            <w:pPr>
              <w:rPr>
                <w:rFonts w:asciiTheme="minorHAnsi" w:hAnsiTheme="minorHAnsi" w:cstheme="minorHAnsi"/>
                <w:sz w:val="20"/>
                <w:szCs w:val="20"/>
              </w:rPr>
            </w:pPr>
            <w:r w:rsidRPr="00037AD4">
              <w:rPr>
                <w:rFonts w:asciiTheme="minorHAnsi" w:hAnsiTheme="minorHAnsi" w:cstheme="minorHAnsi"/>
                <w:sz w:val="20"/>
                <w:szCs w:val="20"/>
              </w:rPr>
              <w:t>QoL-AD NH</w:t>
            </w:r>
          </w:p>
        </w:tc>
        <w:tc>
          <w:tcPr>
            <w:tcW w:w="1875" w:type="dxa"/>
            <w:vMerge/>
          </w:tcPr>
          <w:p w14:paraId="1341BB91" w14:textId="77777777" w:rsidR="00B54D51" w:rsidRPr="00037AD4" w:rsidRDefault="00B54D51" w:rsidP="008F00F0">
            <w:pPr>
              <w:rPr>
                <w:rFonts w:asciiTheme="minorHAnsi" w:hAnsiTheme="minorHAnsi" w:cstheme="minorHAnsi"/>
                <w:sz w:val="20"/>
                <w:szCs w:val="20"/>
              </w:rPr>
            </w:pPr>
          </w:p>
        </w:tc>
        <w:tc>
          <w:tcPr>
            <w:tcW w:w="1103" w:type="dxa"/>
          </w:tcPr>
          <w:p w14:paraId="5BC573A1" w14:textId="77777777" w:rsidR="00B54D51" w:rsidRPr="00037AD4" w:rsidRDefault="00B54D51" w:rsidP="008F00F0">
            <w:pPr>
              <w:rPr>
                <w:rFonts w:asciiTheme="minorHAnsi" w:hAnsiTheme="minorHAnsi" w:cstheme="minorHAnsi"/>
                <w:b/>
                <w:bCs/>
                <w:color w:val="202124"/>
                <w:sz w:val="20"/>
                <w:szCs w:val="20"/>
              </w:rPr>
            </w:pPr>
          </w:p>
        </w:tc>
        <w:tc>
          <w:tcPr>
            <w:tcW w:w="610" w:type="dxa"/>
          </w:tcPr>
          <w:p w14:paraId="40F1CC0B" w14:textId="77777777" w:rsidR="00B54D51" w:rsidRPr="00037AD4" w:rsidRDefault="00B54D51" w:rsidP="008F00F0">
            <w:pPr>
              <w:rPr>
                <w:rFonts w:asciiTheme="minorHAnsi" w:hAnsiTheme="minorHAnsi" w:cstheme="minorHAnsi"/>
                <w:b/>
                <w:bCs/>
                <w:color w:val="202124"/>
                <w:sz w:val="20"/>
                <w:szCs w:val="20"/>
              </w:rPr>
            </w:pPr>
            <w:r w:rsidRPr="00037AD4">
              <w:rPr>
                <w:rFonts w:ascii="Segoe UI Symbol" w:hAnsi="Segoe UI Symbol" w:cs="Segoe UI Symbol"/>
                <w:b/>
                <w:bCs/>
                <w:color w:val="202124"/>
                <w:sz w:val="20"/>
                <w:szCs w:val="20"/>
              </w:rPr>
              <w:t>✓</w:t>
            </w:r>
          </w:p>
        </w:tc>
        <w:tc>
          <w:tcPr>
            <w:tcW w:w="1237" w:type="dxa"/>
          </w:tcPr>
          <w:p w14:paraId="172D92B2" w14:textId="77777777" w:rsidR="00B54D51" w:rsidRPr="00037AD4" w:rsidRDefault="00B54D51" w:rsidP="008F00F0">
            <w:pPr>
              <w:rPr>
                <w:rFonts w:asciiTheme="minorHAnsi" w:hAnsiTheme="minorHAnsi" w:cstheme="minorHAnsi"/>
                <w:b/>
                <w:bCs/>
                <w:color w:val="202124"/>
                <w:sz w:val="20"/>
                <w:szCs w:val="20"/>
              </w:rPr>
            </w:pPr>
          </w:p>
        </w:tc>
        <w:tc>
          <w:tcPr>
            <w:tcW w:w="1804" w:type="dxa"/>
            <w:vMerge/>
          </w:tcPr>
          <w:p w14:paraId="4A618231" w14:textId="77777777" w:rsidR="00B54D51" w:rsidRPr="00037AD4" w:rsidRDefault="00B54D51" w:rsidP="008F00F0">
            <w:pPr>
              <w:rPr>
                <w:rFonts w:asciiTheme="minorHAnsi" w:hAnsiTheme="minorHAnsi" w:cstheme="minorHAnsi"/>
                <w:sz w:val="20"/>
                <w:szCs w:val="20"/>
              </w:rPr>
            </w:pPr>
          </w:p>
        </w:tc>
        <w:tc>
          <w:tcPr>
            <w:tcW w:w="1701" w:type="dxa"/>
            <w:vMerge/>
          </w:tcPr>
          <w:p w14:paraId="19CC6F3D" w14:textId="77777777" w:rsidR="00B54D51" w:rsidRPr="00037AD4" w:rsidRDefault="00B54D51" w:rsidP="008F00F0">
            <w:pPr>
              <w:rPr>
                <w:rFonts w:asciiTheme="minorHAnsi" w:hAnsiTheme="minorHAnsi" w:cstheme="minorHAnsi"/>
                <w:sz w:val="20"/>
                <w:szCs w:val="20"/>
              </w:rPr>
            </w:pPr>
          </w:p>
        </w:tc>
      </w:tr>
      <w:tr w:rsidR="00B54D51" w:rsidRPr="00037AD4" w14:paraId="3F1A9A93" w14:textId="77777777" w:rsidTr="008F00F0">
        <w:tc>
          <w:tcPr>
            <w:tcW w:w="1304" w:type="dxa"/>
          </w:tcPr>
          <w:p w14:paraId="335CFF64" w14:textId="77777777" w:rsidR="00B54D51" w:rsidRPr="00037AD4" w:rsidRDefault="00B54D51" w:rsidP="008F00F0">
            <w:pPr>
              <w:rPr>
                <w:rFonts w:asciiTheme="minorHAnsi" w:hAnsiTheme="minorHAnsi" w:cstheme="minorHAnsi"/>
                <w:sz w:val="20"/>
                <w:szCs w:val="20"/>
              </w:rPr>
            </w:pPr>
            <w:r w:rsidRPr="00037AD4">
              <w:rPr>
                <w:rFonts w:asciiTheme="minorHAnsi" w:hAnsiTheme="minorHAnsi" w:cstheme="minorHAnsi"/>
                <w:sz w:val="20"/>
                <w:szCs w:val="20"/>
              </w:rPr>
              <w:t>QoL-AD proxy</w:t>
            </w:r>
          </w:p>
        </w:tc>
        <w:tc>
          <w:tcPr>
            <w:tcW w:w="1875" w:type="dxa"/>
            <w:vMerge/>
          </w:tcPr>
          <w:p w14:paraId="11BE7F8A" w14:textId="77777777" w:rsidR="00B54D51" w:rsidRPr="00037AD4" w:rsidRDefault="00B54D51" w:rsidP="008F00F0">
            <w:pPr>
              <w:rPr>
                <w:rFonts w:asciiTheme="minorHAnsi" w:hAnsiTheme="minorHAnsi" w:cstheme="minorHAnsi"/>
                <w:sz w:val="20"/>
                <w:szCs w:val="20"/>
              </w:rPr>
            </w:pPr>
          </w:p>
        </w:tc>
        <w:tc>
          <w:tcPr>
            <w:tcW w:w="1103" w:type="dxa"/>
          </w:tcPr>
          <w:p w14:paraId="542F8D4D" w14:textId="77777777" w:rsidR="00B54D51" w:rsidRPr="00037AD4" w:rsidRDefault="00B54D51" w:rsidP="008F00F0">
            <w:pPr>
              <w:rPr>
                <w:rFonts w:asciiTheme="minorHAnsi" w:hAnsiTheme="minorHAnsi" w:cstheme="minorHAnsi"/>
                <w:sz w:val="20"/>
                <w:szCs w:val="20"/>
              </w:rPr>
            </w:pPr>
            <w:r w:rsidRPr="00037AD4">
              <w:rPr>
                <w:rFonts w:ascii="Segoe UI Symbol" w:hAnsi="Segoe UI Symbol" w:cs="Segoe UI Symbol"/>
                <w:b/>
                <w:bCs/>
                <w:color w:val="202124"/>
                <w:sz w:val="20"/>
                <w:szCs w:val="20"/>
              </w:rPr>
              <w:t>✓</w:t>
            </w:r>
          </w:p>
        </w:tc>
        <w:tc>
          <w:tcPr>
            <w:tcW w:w="610" w:type="dxa"/>
          </w:tcPr>
          <w:p w14:paraId="3F4C9758" w14:textId="77777777" w:rsidR="00B54D51" w:rsidRPr="00037AD4" w:rsidRDefault="00B54D51" w:rsidP="008F00F0">
            <w:pPr>
              <w:rPr>
                <w:rFonts w:asciiTheme="minorHAnsi" w:hAnsiTheme="minorHAnsi" w:cstheme="minorHAnsi"/>
                <w:b/>
                <w:bCs/>
                <w:color w:val="202124"/>
                <w:sz w:val="20"/>
                <w:szCs w:val="20"/>
              </w:rPr>
            </w:pPr>
          </w:p>
        </w:tc>
        <w:tc>
          <w:tcPr>
            <w:tcW w:w="1237" w:type="dxa"/>
          </w:tcPr>
          <w:p w14:paraId="7856D2AC" w14:textId="77777777" w:rsidR="00B54D51" w:rsidRPr="00037AD4" w:rsidRDefault="00B54D51" w:rsidP="008F00F0">
            <w:pPr>
              <w:rPr>
                <w:rFonts w:asciiTheme="minorHAnsi" w:hAnsiTheme="minorHAnsi" w:cstheme="minorHAnsi"/>
                <w:b/>
                <w:bCs/>
                <w:color w:val="202124"/>
                <w:sz w:val="20"/>
                <w:szCs w:val="20"/>
              </w:rPr>
            </w:pPr>
            <w:r w:rsidRPr="00037AD4">
              <w:rPr>
                <w:rFonts w:ascii="Segoe UI Symbol" w:hAnsi="Segoe UI Symbol" w:cs="Segoe UI Symbol"/>
                <w:b/>
                <w:bCs/>
                <w:color w:val="202124"/>
                <w:sz w:val="20"/>
                <w:szCs w:val="20"/>
              </w:rPr>
              <w:t>✓</w:t>
            </w:r>
          </w:p>
        </w:tc>
        <w:tc>
          <w:tcPr>
            <w:tcW w:w="1804" w:type="dxa"/>
            <w:vMerge/>
          </w:tcPr>
          <w:p w14:paraId="35DD0A2B" w14:textId="77777777" w:rsidR="00B54D51" w:rsidRPr="00037AD4" w:rsidRDefault="00B54D51" w:rsidP="008F00F0">
            <w:pPr>
              <w:rPr>
                <w:rFonts w:asciiTheme="minorHAnsi" w:hAnsiTheme="minorHAnsi" w:cstheme="minorHAnsi"/>
                <w:sz w:val="20"/>
                <w:szCs w:val="20"/>
              </w:rPr>
            </w:pPr>
          </w:p>
        </w:tc>
        <w:tc>
          <w:tcPr>
            <w:tcW w:w="1701" w:type="dxa"/>
            <w:vMerge/>
          </w:tcPr>
          <w:p w14:paraId="7BDBECDB" w14:textId="77777777" w:rsidR="00B54D51" w:rsidRPr="00037AD4" w:rsidRDefault="00B54D51" w:rsidP="008F00F0">
            <w:pPr>
              <w:rPr>
                <w:rFonts w:asciiTheme="minorHAnsi" w:hAnsiTheme="minorHAnsi" w:cstheme="minorHAnsi"/>
                <w:sz w:val="20"/>
                <w:szCs w:val="20"/>
              </w:rPr>
            </w:pPr>
          </w:p>
        </w:tc>
      </w:tr>
      <w:tr w:rsidR="00B54D51" w:rsidRPr="00037AD4" w14:paraId="38E24D06" w14:textId="77777777" w:rsidTr="008F00F0">
        <w:tc>
          <w:tcPr>
            <w:tcW w:w="9634" w:type="dxa"/>
            <w:gridSpan w:val="7"/>
            <w:shd w:val="clear" w:color="auto" w:fill="EDEDED" w:themeFill="accent3" w:themeFillTint="33"/>
          </w:tcPr>
          <w:p w14:paraId="7AA8CD8B" w14:textId="77777777" w:rsidR="00B54D51" w:rsidRPr="00037AD4" w:rsidRDefault="00B54D51" w:rsidP="008F00F0">
            <w:pPr>
              <w:rPr>
                <w:rFonts w:asciiTheme="minorHAnsi" w:hAnsiTheme="minorHAnsi" w:cstheme="minorHAnsi"/>
                <w:sz w:val="20"/>
                <w:szCs w:val="20"/>
              </w:rPr>
            </w:pPr>
            <w:r w:rsidRPr="00037AD4">
              <w:rPr>
                <w:rFonts w:asciiTheme="minorHAnsi" w:hAnsiTheme="minorHAnsi" w:cstheme="minorHAnsi"/>
                <w:sz w:val="20"/>
                <w:szCs w:val="20"/>
              </w:rPr>
              <w:t xml:space="preserve">Other HRQoL measures </w:t>
            </w:r>
          </w:p>
        </w:tc>
      </w:tr>
      <w:tr w:rsidR="00B54D51" w:rsidRPr="00037AD4" w14:paraId="1108AF69" w14:textId="77777777" w:rsidTr="008F00F0">
        <w:tc>
          <w:tcPr>
            <w:tcW w:w="1304" w:type="dxa"/>
          </w:tcPr>
          <w:p w14:paraId="5CB1BF03" w14:textId="77777777" w:rsidR="00B54D51" w:rsidRPr="00037AD4" w:rsidRDefault="00B54D51" w:rsidP="008F00F0">
            <w:pPr>
              <w:rPr>
                <w:rFonts w:asciiTheme="minorHAnsi" w:hAnsiTheme="minorHAnsi" w:cstheme="minorHAnsi"/>
                <w:sz w:val="20"/>
                <w:szCs w:val="20"/>
                <w:highlight w:val="yellow"/>
              </w:rPr>
            </w:pPr>
            <w:r w:rsidRPr="00037AD4">
              <w:rPr>
                <w:rFonts w:asciiTheme="minorHAnsi" w:hAnsiTheme="minorHAnsi" w:cstheme="minorHAnsi"/>
                <w:sz w:val="20"/>
                <w:szCs w:val="20"/>
              </w:rPr>
              <w:t xml:space="preserve">QUALID </w:t>
            </w:r>
          </w:p>
        </w:tc>
        <w:tc>
          <w:tcPr>
            <w:tcW w:w="1875" w:type="dxa"/>
          </w:tcPr>
          <w:p w14:paraId="29F9BC25" w14:textId="77777777" w:rsidR="00B54D51" w:rsidRPr="00037AD4" w:rsidRDefault="00B54D51" w:rsidP="008F00F0">
            <w:pPr>
              <w:rPr>
                <w:rFonts w:asciiTheme="minorHAnsi" w:hAnsiTheme="minorHAnsi" w:cstheme="minorHAnsi"/>
                <w:sz w:val="20"/>
                <w:szCs w:val="20"/>
                <w:highlight w:val="yellow"/>
              </w:rPr>
            </w:pPr>
            <w:r w:rsidRPr="00037AD4">
              <w:rPr>
                <w:rFonts w:asciiTheme="minorHAnsi" w:hAnsiTheme="minorHAnsi" w:cstheme="minorHAnsi"/>
                <w:sz w:val="20"/>
                <w:szCs w:val="20"/>
              </w:rPr>
              <w:t xml:space="preserve">Dementia specific QoL via 11 indicators </w:t>
            </w:r>
          </w:p>
        </w:tc>
        <w:tc>
          <w:tcPr>
            <w:tcW w:w="1103" w:type="dxa"/>
          </w:tcPr>
          <w:p w14:paraId="6CB39A0D" w14:textId="77777777" w:rsidR="00B54D51" w:rsidRPr="00037AD4" w:rsidRDefault="00B54D51" w:rsidP="008F00F0">
            <w:pPr>
              <w:rPr>
                <w:rFonts w:asciiTheme="minorHAnsi" w:hAnsiTheme="minorHAnsi" w:cstheme="minorHAnsi"/>
                <w:sz w:val="20"/>
                <w:szCs w:val="20"/>
                <w:highlight w:val="yellow"/>
              </w:rPr>
            </w:pPr>
          </w:p>
        </w:tc>
        <w:tc>
          <w:tcPr>
            <w:tcW w:w="610" w:type="dxa"/>
          </w:tcPr>
          <w:p w14:paraId="4129D0EB" w14:textId="77777777" w:rsidR="00B54D51" w:rsidRPr="00037AD4" w:rsidRDefault="00B54D51" w:rsidP="008F00F0">
            <w:pPr>
              <w:rPr>
                <w:rFonts w:asciiTheme="minorHAnsi" w:hAnsiTheme="minorHAnsi" w:cstheme="minorHAnsi"/>
                <w:sz w:val="20"/>
                <w:szCs w:val="20"/>
                <w:highlight w:val="yellow"/>
              </w:rPr>
            </w:pPr>
            <w:r w:rsidRPr="00037AD4">
              <w:rPr>
                <w:rFonts w:ascii="Segoe UI Symbol" w:hAnsi="Segoe UI Symbol" w:cs="Segoe UI Symbol"/>
                <w:b/>
                <w:bCs/>
                <w:color w:val="202124"/>
                <w:sz w:val="20"/>
                <w:szCs w:val="20"/>
              </w:rPr>
              <w:t>✓</w:t>
            </w:r>
          </w:p>
        </w:tc>
        <w:tc>
          <w:tcPr>
            <w:tcW w:w="1237" w:type="dxa"/>
          </w:tcPr>
          <w:p w14:paraId="7C40AC4C" w14:textId="77777777" w:rsidR="00B54D51" w:rsidRPr="00037AD4" w:rsidRDefault="00B54D51" w:rsidP="008F00F0">
            <w:pPr>
              <w:rPr>
                <w:rFonts w:asciiTheme="minorHAnsi" w:hAnsiTheme="minorHAnsi" w:cstheme="minorHAnsi"/>
                <w:sz w:val="20"/>
                <w:szCs w:val="20"/>
                <w:highlight w:val="yellow"/>
              </w:rPr>
            </w:pPr>
          </w:p>
        </w:tc>
        <w:tc>
          <w:tcPr>
            <w:tcW w:w="1804" w:type="dxa"/>
          </w:tcPr>
          <w:p w14:paraId="581ED326" w14:textId="77777777" w:rsidR="00B54D51" w:rsidRPr="00037AD4" w:rsidRDefault="00B54D51" w:rsidP="008F00F0">
            <w:pPr>
              <w:rPr>
                <w:rFonts w:asciiTheme="minorHAnsi" w:hAnsiTheme="minorHAnsi" w:cstheme="minorHAnsi"/>
                <w:sz w:val="20"/>
                <w:szCs w:val="20"/>
              </w:rPr>
            </w:pPr>
            <w:r w:rsidRPr="00037AD4">
              <w:rPr>
                <w:rFonts w:asciiTheme="minorHAnsi" w:hAnsiTheme="minorHAnsi" w:cstheme="minorHAnsi"/>
                <w:sz w:val="20"/>
                <w:szCs w:val="20"/>
              </w:rPr>
              <w:t xml:space="preserve">Individual scores are summed with a 5-point response scale </w:t>
            </w:r>
            <w:r>
              <w:rPr>
                <w:rFonts w:asciiTheme="minorHAnsi" w:hAnsiTheme="minorHAnsi" w:cstheme="minorHAnsi"/>
                <w:noProof/>
                <w:sz w:val="20"/>
                <w:szCs w:val="20"/>
              </w:rPr>
              <w:t>(Weiner et al., 2000)</w:t>
            </w:r>
          </w:p>
        </w:tc>
        <w:tc>
          <w:tcPr>
            <w:tcW w:w="1701" w:type="dxa"/>
          </w:tcPr>
          <w:p w14:paraId="3197363E" w14:textId="77777777" w:rsidR="00B54D51" w:rsidRPr="00037AD4" w:rsidRDefault="00B54D51" w:rsidP="008F00F0">
            <w:pPr>
              <w:rPr>
                <w:rFonts w:asciiTheme="minorHAnsi" w:hAnsiTheme="minorHAnsi" w:cstheme="minorHAnsi"/>
                <w:sz w:val="20"/>
                <w:szCs w:val="20"/>
              </w:rPr>
            </w:pPr>
            <w:r w:rsidRPr="00037AD4">
              <w:rPr>
                <w:rFonts w:asciiTheme="minorHAnsi" w:hAnsiTheme="minorHAnsi" w:cstheme="minorHAnsi"/>
                <w:sz w:val="20"/>
                <w:szCs w:val="20"/>
              </w:rPr>
              <w:t xml:space="preserve">Higher scores indicate lower QoL </w:t>
            </w:r>
          </w:p>
        </w:tc>
      </w:tr>
      <w:tr w:rsidR="00B54D51" w:rsidRPr="00037AD4" w14:paraId="4A115E10" w14:textId="77777777" w:rsidTr="008F00F0">
        <w:tc>
          <w:tcPr>
            <w:tcW w:w="1304" w:type="dxa"/>
          </w:tcPr>
          <w:p w14:paraId="153DFC2E" w14:textId="77777777" w:rsidR="00B54D51" w:rsidRPr="00037AD4" w:rsidRDefault="00B54D51" w:rsidP="008F00F0">
            <w:pPr>
              <w:rPr>
                <w:rFonts w:asciiTheme="minorHAnsi" w:hAnsiTheme="minorHAnsi" w:cstheme="minorHAnsi"/>
                <w:sz w:val="20"/>
                <w:szCs w:val="20"/>
              </w:rPr>
            </w:pPr>
            <w:r w:rsidRPr="00037AD4">
              <w:rPr>
                <w:rFonts w:asciiTheme="minorHAnsi" w:hAnsiTheme="minorHAnsi" w:cstheme="minorHAnsi"/>
                <w:sz w:val="20"/>
                <w:szCs w:val="20"/>
              </w:rPr>
              <w:t>ICECAP-O</w:t>
            </w:r>
          </w:p>
        </w:tc>
        <w:tc>
          <w:tcPr>
            <w:tcW w:w="1875" w:type="dxa"/>
          </w:tcPr>
          <w:p w14:paraId="06002A8F" w14:textId="77777777" w:rsidR="00B54D51" w:rsidRPr="00037AD4" w:rsidRDefault="00B54D51" w:rsidP="008F00F0">
            <w:pPr>
              <w:rPr>
                <w:rFonts w:asciiTheme="minorHAnsi" w:hAnsiTheme="minorHAnsi" w:cstheme="minorHAnsi"/>
                <w:sz w:val="20"/>
                <w:szCs w:val="20"/>
              </w:rPr>
            </w:pPr>
            <w:r w:rsidRPr="00037AD4">
              <w:rPr>
                <w:rFonts w:asciiTheme="minorHAnsi" w:hAnsiTheme="minorHAnsi" w:cstheme="minorHAnsi"/>
                <w:sz w:val="20"/>
                <w:szCs w:val="20"/>
              </w:rPr>
              <w:t>Capability in older people via 5 dimensions</w:t>
            </w:r>
          </w:p>
        </w:tc>
        <w:tc>
          <w:tcPr>
            <w:tcW w:w="1103" w:type="dxa"/>
          </w:tcPr>
          <w:p w14:paraId="4F6D6C1E" w14:textId="77777777" w:rsidR="00B54D51" w:rsidRPr="00037AD4" w:rsidRDefault="00B54D51" w:rsidP="008F00F0">
            <w:pPr>
              <w:rPr>
                <w:rFonts w:asciiTheme="minorHAnsi" w:hAnsiTheme="minorHAnsi" w:cstheme="minorHAnsi"/>
                <w:sz w:val="20"/>
                <w:szCs w:val="20"/>
              </w:rPr>
            </w:pPr>
          </w:p>
        </w:tc>
        <w:tc>
          <w:tcPr>
            <w:tcW w:w="610" w:type="dxa"/>
          </w:tcPr>
          <w:p w14:paraId="33D98F45" w14:textId="77777777" w:rsidR="00B54D51" w:rsidRPr="00037AD4" w:rsidRDefault="00B54D51" w:rsidP="008F00F0">
            <w:pPr>
              <w:rPr>
                <w:rFonts w:asciiTheme="minorHAnsi" w:hAnsiTheme="minorHAnsi" w:cstheme="minorHAnsi"/>
                <w:sz w:val="20"/>
                <w:szCs w:val="20"/>
              </w:rPr>
            </w:pPr>
          </w:p>
        </w:tc>
        <w:tc>
          <w:tcPr>
            <w:tcW w:w="1237" w:type="dxa"/>
          </w:tcPr>
          <w:p w14:paraId="3C5A11C6" w14:textId="77777777" w:rsidR="00B54D51" w:rsidRPr="00037AD4" w:rsidRDefault="00B54D51" w:rsidP="008F00F0">
            <w:pPr>
              <w:rPr>
                <w:rFonts w:asciiTheme="minorHAnsi" w:hAnsiTheme="minorHAnsi" w:cstheme="minorHAnsi"/>
                <w:sz w:val="20"/>
                <w:szCs w:val="20"/>
              </w:rPr>
            </w:pPr>
            <w:r w:rsidRPr="00037AD4">
              <w:rPr>
                <w:rFonts w:ascii="Segoe UI Symbol" w:hAnsi="Segoe UI Symbol" w:cs="Segoe UI Symbol"/>
                <w:b/>
                <w:bCs/>
                <w:color w:val="202124"/>
                <w:sz w:val="20"/>
                <w:szCs w:val="20"/>
              </w:rPr>
              <w:t>✓</w:t>
            </w:r>
          </w:p>
        </w:tc>
        <w:tc>
          <w:tcPr>
            <w:tcW w:w="1804" w:type="dxa"/>
          </w:tcPr>
          <w:p w14:paraId="6668AC3F" w14:textId="77777777" w:rsidR="00B54D51" w:rsidRPr="00037AD4" w:rsidRDefault="00B54D51" w:rsidP="008F00F0">
            <w:pPr>
              <w:rPr>
                <w:rFonts w:asciiTheme="minorHAnsi" w:hAnsiTheme="minorHAnsi" w:cstheme="minorHAnsi"/>
                <w:sz w:val="20"/>
                <w:szCs w:val="20"/>
              </w:rPr>
            </w:pPr>
            <w:r w:rsidRPr="00037AD4">
              <w:rPr>
                <w:rFonts w:asciiTheme="minorHAnsi" w:hAnsiTheme="minorHAnsi" w:cstheme="minorHAnsi"/>
                <w:sz w:val="20"/>
                <w:szCs w:val="20"/>
              </w:rPr>
              <w:t xml:space="preserve">Capability index scores are calculated using preference-based tariffs of people ages 65+ </w:t>
            </w:r>
            <w:r>
              <w:rPr>
                <w:rFonts w:asciiTheme="minorHAnsi" w:hAnsiTheme="minorHAnsi" w:cstheme="minorHAnsi"/>
                <w:noProof/>
                <w:sz w:val="20"/>
                <w:szCs w:val="20"/>
              </w:rPr>
              <w:t>(Coast et al., 2008)</w:t>
            </w:r>
          </w:p>
        </w:tc>
        <w:tc>
          <w:tcPr>
            <w:tcW w:w="1701" w:type="dxa"/>
          </w:tcPr>
          <w:p w14:paraId="58A4EC7D" w14:textId="77777777" w:rsidR="00B54D51" w:rsidRPr="00037AD4" w:rsidRDefault="00B54D51" w:rsidP="008F00F0">
            <w:pPr>
              <w:rPr>
                <w:rFonts w:asciiTheme="minorHAnsi" w:hAnsiTheme="minorHAnsi" w:cstheme="minorHAnsi"/>
                <w:sz w:val="20"/>
                <w:szCs w:val="20"/>
              </w:rPr>
            </w:pPr>
            <w:r w:rsidRPr="00037AD4">
              <w:rPr>
                <w:rFonts w:asciiTheme="minorHAnsi" w:hAnsiTheme="minorHAnsi" w:cstheme="minorHAnsi"/>
                <w:sz w:val="20"/>
                <w:szCs w:val="20"/>
              </w:rPr>
              <w:t xml:space="preserve">Scores range from 0 – 1, higher scores indicate greater wellbeing  </w:t>
            </w:r>
          </w:p>
        </w:tc>
      </w:tr>
      <w:tr w:rsidR="00B54D51" w:rsidRPr="00037AD4" w14:paraId="4E32536D" w14:textId="77777777" w:rsidTr="008F00F0">
        <w:tc>
          <w:tcPr>
            <w:tcW w:w="9634" w:type="dxa"/>
            <w:gridSpan w:val="7"/>
            <w:shd w:val="clear" w:color="auto" w:fill="EDEDED" w:themeFill="accent3" w:themeFillTint="33"/>
          </w:tcPr>
          <w:p w14:paraId="17525FCF" w14:textId="77777777" w:rsidR="00B54D51" w:rsidRPr="00037AD4" w:rsidRDefault="00B54D51" w:rsidP="008F00F0">
            <w:pPr>
              <w:rPr>
                <w:rFonts w:asciiTheme="minorHAnsi" w:hAnsiTheme="minorHAnsi" w:cstheme="minorHAnsi"/>
                <w:sz w:val="20"/>
                <w:szCs w:val="20"/>
              </w:rPr>
            </w:pPr>
            <w:r w:rsidRPr="00037AD4">
              <w:rPr>
                <w:rFonts w:asciiTheme="minorHAnsi" w:hAnsiTheme="minorHAnsi" w:cstheme="minorHAnsi"/>
                <w:sz w:val="20"/>
                <w:szCs w:val="20"/>
              </w:rPr>
              <w:t xml:space="preserve">Clinical severity measures </w:t>
            </w:r>
          </w:p>
        </w:tc>
      </w:tr>
      <w:tr w:rsidR="00B54D51" w:rsidRPr="00037AD4" w14:paraId="580F0338" w14:textId="77777777" w:rsidTr="008F00F0">
        <w:tc>
          <w:tcPr>
            <w:tcW w:w="1304" w:type="dxa"/>
          </w:tcPr>
          <w:p w14:paraId="7BB76485" w14:textId="77777777" w:rsidR="00B54D51" w:rsidRPr="00037AD4" w:rsidRDefault="00B54D51" w:rsidP="008F00F0">
            <w:pPr>
              <w:rPr>
                <w:rFonts w:asciiTheme="minorHAnsi" w:hAnsiTheme="minorHAnsi" w:cstheme="minorHAnsi"/>
                <w:sz w:val="20"/>
                <w:szCs w:val="20"/>
              </w:rPr>
            </w:pPr>
            <w:r w:rsidRPr="00037AD4">
              <w:rPr>
                <w:rFonts w:asciiTheme="minorHAnsi" w:hAnsiTheme="minorHAnsi" w:cstheme="minorHAnsi"/>
                <w:sz w:val="20"/>
                <w:szCs w:val="20"/>
              </w:rPr>
              <w:t>CDR</w:t>
            </w:r>
          </w:p>
        </w:tc>
        <w:tc>
          <w:tcPr>
            <w:tcW w:w="1875" w:type="dxa"/>
          </w:tcPr>
          <w:p w14:paraId="4598400C" w14:textId="77777777" w:rsidR="00B54D51" w:rsidRPr="00037AD4" w:rsidRDefault="00B54D51" w:rsidP="008F00F0">
            <w:pPr>
              <w:rPr>
                <w:rFonts w:asciiTheme="minorHAnsi" w:hAnsiTheme="minorHAnsi" w:cstheme="minorHAnsi"/>
                <w:sz w:val="20"/>
                <w:szCs w:val="20"/>
              </w:rPr>
            </w:pPr>
            <w:r w:rsidRPr="00037AD4">
              <w:rPr>
                <w:rFonts w:asciiTheme="minorHAnsi" w:hAnsiTheme="minorHAnsi" w:cstheme="minorHAnsi"/>
                <w:sz w:val="20"/>
                <w:szCs w:val="20"/>
              </w:rPr>
              <w:t>Cognitive and functional impairment on 6 key categories</w:t>
            </w:r>
          </w:p>
        </w:tc>
        <w:tc>
          <w:tcPr>
            <w:tcW w:w="1103" w:type="dxa"/>
          </w:tcPr>
          <w:p w14:paraId="7CDDDE67" w14:textId="77777777" w:rsidR="00B54D51" w:rsidRPr="00037AD4" w:rsidRDefault="00B54D51" w:rsidP="008F00F0">
            <w:pPr>
              <w:rPr>
                <w:rFonts w:asciiTheme="minorHAnsi" w:hAnsiTheme="minorHAnsi" w:cstheme="minorHAnsi"/>
                <w:sz w:val="20"/>
                <w:szCs w:val="20"/>
              </w:rPr>
            </w:pPr>
            <w:r w:rsidRPr="00037AD4">
              <w:rPr>
                <w:rFonts w:ascii="Segoe UI Symbol" w:hAnsi="Segoe UI Symbol" w:cs="Segoe UI Symbol"/>
                <w:b/>
                <w:bCs/>
                <w:color w:val="202124"/>
                <w:sz w:val="20"/>
                <w:szCs w:val="20"/>
              </w:rPr>
              <w:t>✓</w:t>
            </w:r>
          </w:p>
        </w:tc>
        <w:tc>
          <w:tcPr>
            <w:tcW w:w="610" w:type="dxa"/>
          </w:tcPr>
          <w:p w14:paraId="66AA11A6" w14:textId="77777777" w:rsidR="00B54D51" w:rsidRPr="00037AD4" w:rsidRDefault="00B54D51" w:rsidP="008F00F0">
            <w:pPr>
              <w:rPr>
                <w:rFonts w:asciiTheme="minorHAnsi" w:hAnsiTheme="minorHAnsi" w:cstheme="minorHAnsi"/>
                <w:sz w:val="20"/>
                <w:szCs w:val="20"/>
              </w:rPr>
            </w:pPr>
            <w:r w:rsidRPr="00037AD4">
              <w:rPr>
                <w:rFonts w:ascii="Segoe UI Symbol" w:hAnsi="Segoe UI Symbol" w:cs="Segoe UI Symbol"/>
                <w:b/>
                <w:bCs/>
                <w:color w:val="202124"/>
                <w:sz w:val="20"/>
                <w:szCs w:val="20"/>
              </w:rPr>
              <w:t>✓</w:t>
            </w:r>
          </w:p>
        </w:tc>
        <w:tc>
          <w:tcPr>
            <w:tcW w:w="1237" w:type="dxa"/>
          </w:tcPr>
          <w:p w14:paraId="2573ED71" w14:textId="77777777" w:rsidR="00B54D51" w:rsidRPr="00037AD4" w:rsidRDefault="00B54D51" w:rsidP="008F00F0">
            <w:pPr>
              <w:rPr>
                <w:rFonts w:asciiTheme="minorHAnsi" w:hAnsiTheme="minorHAnsi" w:cstheme="minorHAnsi"/>
                <w:sz w:val="20"/>
                <w:szCs w:val="20"/>
              </w:rPr>
            </w:pPr>
            <w:r w:rsidRPr="00037AD4">
              <w:rPr>
                <w:rFonts w:ascii="Segoe UI Symbol" w:hAnsi="Segoe UI Symbol" w:cs="Segoe UI Symbol"/>
                <w:b/>
                <w:bCs/>
                <w:color w:val="202124"/>
                <w:sz w:val="20"/>
                <w:szCs w:val="20"/>
              </w:rPr>
              <w:t>✓</w:t>
            </w:r>
          </w:p>
        </w:tc>
        <w:tc>
          <w:tcPr>
            <w:tcW w:w="1804" w:type="dxa"/>
          </w:tcPr>
          <w:p w14:paraId="6B68BD3F" w14:textId="77777777" w:rsidR="00B54D51" w:rsidRPr="00037AD4" w:rsidRDefault="00B54D51" w:rsidP="008F00F0">
            <w:pPr>
              <w:rPr>
                <w:rFonts w:asciiTheme="minorHAnsi" w:hAnsiTheme="minorHAnsi" w:cstheme="minorHAnsi"/>
                <w:sz w:val="20"/>
                <w:szCs w:val="20"/>
              </w:rPr>
            </w:pPr>
            <w:r w:rsidRPr="00037AD4">
              <w:rPr>
                <w:rFonts w:asciiTheme="minorHAnsi" w:hAnsiTheme="minorHAnsi" w:cstheme="minorHAnsi"/>
                <w:sz w:val="20"/>
                <w:szCs w:val="20"/>
              </w:rPr>
              <w:t xml:space="preserve">The six domains are summed to create a 0- 18 “sum of boxes” score </w:t>
            </w:r>
            <w:r>
              <w:rPr>
                <w:rFonts w:asciiTheme="minorHAnsi" w:hAnsiTheme="minorHAnsi" w:cstheme="minorHAnsi"/>
                <w:noProof/>
                <w:sz w:val="20"/>
                <w:szCs w:val="20"/>
              </w:rPr>
              <w:t>(Morris, 1991)</w:t>
            </w:r>
          </w:p>
        </w:tc>
        <w:tc>
          <w:tcPr>
            <w:tcW w:w="1701" w:type="dxa"/>
          </w:tcPr>
          <w:p w14:paraId="2C3118BE" w14:textId="77777777" w:rsidR="00B54D51" w:rsidRPr="00037AD4" w:rsidRDefault="00B54D51" w:rsidP="008F00F0">
            <w:pPr>
              <w:rPr>
                <w:rFonts w:asciiTheme="minorHAnsi" w:hAnsiTheme="minorHAnsi" w:cstheme="minorHAnsi"/>
                <w:sz w:val="20"/>
                <w:szCs w:val="20"/>
              </w:rPr>
            </w:pPr>
            <w:r w:rsidRPr="00037AD4">
              <w:rPr>
                <w:rFonts w:asciiTheme="minorHAnsi" w:hAnsiTheme="minorHAnsi" w:cstheme="minorHAnsi"/>
                <w:sz w:val="20"/>
                <w:szCs w:val="20"/>
              </w:rPr>
              <w:t>CDR scale of 0-3: 0, no dementia;</w:t>
            </w:r>
          </w:p>
          <w:p w14:paraId="728EF86D" w14:textId="77777777" w:rsidR="00B54D51" w:rsidRPr="00037AD4" w:rsidRDefault="00B54D51" w:rsidP="008F00F0">
            <w:pPr>
              <w:rPr>
                <w:rFonts w:asciiTheme="minorHAnsi" w:hAnsiTheme="minorHAnsi" w:cstheme="minorHAnsi"/>
                <w:sz w:val="20"/>
                <w:szCs w:val="20"/>
              </w:rPr>
            </w:pPr>
            <w:r w:rsidRPr="00037AD4">
              <w:rPr>
                <w:rFonts w:asciiTheme="minorHAnsi" w:hAnsiTheme="minorHAnsi" w:cstheme="minorHAnsi"/>
                <w:sz w:val="20"/>
                <w:szCs w:val="20"/>
              </w:rPr>
              <w:t>0.5, very mild;</w:t>
            </w:r>
          </w:p>
          <w:p w14:paraId="71DD71C5" w14:textId="77777777" w:rsidR="00B54D51" w:rsidRPr="00037AD4" w:rsidRDefault="00B54D51" w:rsidP="008F00F0">
            <w:pPr>
              <w:rPr>
                <w:rFonts w:asciiTheme="minorHAnsi" w:hAnsiTheme="minorHAnsi" w:cstheme="minorHAnsi"/>
                <w:sz w:val="20"/>
                <w:szCs w:val="20"/>
              </w:rPr>
            </w:pPr>
            <w:r w:rsidRPr="00037AD4">
              <w:rPr>
                <w:rFonts w:asciiTheme="minorHAnsi" w:hAnsiTheme="minorHAnsi" w:cstheme="minorHAnsi"/>
                <w:sz w:val="20"/>
                <w:szCs w:val="20"/>
              </w:rPr>
              <w:t>1, MCI;</w:t>
            </w:r>
          </w:p>
          <w:p w14:paraId="57627C4A" w14:textId="77777777" w:rsidR="00B54D51" w:rsidRPr="00037AD4" w:rsidRDefault="00B54D51" w:rsidP="008F00F0">
            <w:pPr>
              <w:rPr>
                <w:rFonts w:asciiTheme="minorHAnsi" w:hAnsiTheme="minorHAnsi" w:cstheme="minorHAnsi"/>
                <w:sz w:val="20"/>
                <w:szCs w:val="20"/>
              </w:rPr>
            </w:pPr>
            <w:r w:rsidRPr="00037AD4">
              <w:rPr>
                <w:rFonts w:asciiTheme="minorHAnsi" w:hAnsiTheme="minorHAnsi" w:cstheme="minorHAnsi"/>
                <w:sz w:val="20"/>
                <w:szCs w:val="20"/>
              </w:rPr>
              <w:t>2, moderate;</w:t>
            </w:r>
          </w:p>
          <w:p w14:paraId="7847081C" w14:textId="77777777" w:rsidR="00B54D51" w:rsidRPr="00037AD4" w:rsidRDefault="00B54D51" w:rsidP="008F00F0">
            <w:pPr>
              <w:rPr>
                <w:rFonts w:asciiTheme="minorHAnsi" w:hAnsiTheme="minorHAnsi" w:cstheme="minorHAnsi"/>
                <w:sz w:val="20"/>
                <w:szCs w:val="20"/>
              </w:rPr>
            </w:pPr>
            <w:r w:rsidRPr="00037AD4">
              <w:rPr>
                <w:rFonts w:asciiTheme="minorHAnsi" w:hAnsiTheme="minorHAnsi" w:cstheme="minorHAnsi"/>
                <w:sz w:val="20"/>
                <w:szCs w:val="20"/>
              </w:rPr>
              <w:t xml:space="preserve">3, severe </w:t>
            </w:r>
          </w:p>
        </w:tc>
      </w:tr>
      <w:tr w:rsidR="00B54D51" w:rsidRPr="00037AD4" w14:paraId="12D111C7" w14:textId="77777777" w:rsidTr="008F00F0">
        <w:tc>
          <w:tcPr>
            <w:tcW w:w="9634" w:type="dxa"/>
            <w:gridSpan w:val="7"/>
            <w:shd w:val="clear" w:color="auto" w:fill="EDEDED" w:themeFill="accent3" w:themeFillTint="33"/>
          </w:tcPr>
          <w:p w14:paraId="52FB6EA8" w14:textId="77777777" w:rsidR="00B54D51" w:rsidRPr="00037AD4" w:rsidRDefault="00B54D51" w:rsidP="008F00F0">
            <w:pPr>
              <w:rPr>
                <w:rFonts w:asciiTheme="minorHAnsi" w:hAnsiTheme="minorHAnsi" w:cstheme="minorHAnsi"/>
                <w:sz w:val="20"/>
                <w:szCs w:val="20"/>
              </w:rPr>
            </w:pPr>
            <w:r w:rsidRPr="00037AD4">
              <w:rPr>
                <w:rFonts w:asciiTheme="minorHAnsi" w:hAnsiTheme="minorHAnsi" w:cstheme="minorHAnsi"/>
                <w:sz w:val="20"/>
                <w:szCs w:val="20"/>
              </w:rPr>
              <w:t xml:space="preserve">Cognitive measures </w:t>
            </w:r>
          </w:p>
        </w:tc>
      </w:tr>
      <w:tr w:rsidR="00B54D51" w:rsidRPr="00037AD4" w14:paraId="173406AC" w14:textId="77777777" w:rsidTr="008F00F0">
        <w:tc>
          <w:tcPr>
            <w:tcW w:w="1304" w:type="dxa"/>
          </w:tcPr>
          <w:p w14:paraId="79A3C499" w14:textId="77777777" w:rsidR="00B54D51" w:rsidRPr="00037AD4" w:rsidRDefault="00B54D51" w:rsidP="008F00F0">
            <w:pPr>
              <w:rPr>
                <w:rFonts w:asciiTheme="minorHAnsi" w:hAnsiTheme="minorHAnsi" w:cstheme="minorHAnsi"/>
                <w:sz w:val="20"/>
                <w:szCs w:val="20"/>
              </w:rPr>
            </w:pPr>
            <w:r w:rsidRPr="00037AD4">
              <w:rPr>
                <w:rFonts w:asciiTheme="minorHAnsi" w:hAnsiTheme="minorHAnsi" w:cstheme="minorHAnsi"/>
                <w:sz w:val="20"/>
                <w:szCs w:val="20"/>
              </w:rPr>
              <w:t>MMSE</w:t>
            </w:r>
          </w:p>
        </w:tc>
        <w:tc>
          <w:tcPr>
            <w:tcW w:w="1875" w:type="dxa"/>
          </w:tcPr>
          <w:p w14:paraId="1ABA2276" w14:textId="77777777" w:rsidR="00B54D51" w:rsidRPr="00037AD4" w:rsidRDefault="00B54D51" w:rsidP="008F00F0">
            <w:pPr>
              <w:rPr>
                <w:rFonts w:asciiTheme="minorHAnsi" w:hAnsiTheme="minorHAnsi" w:cstheme="minorHAnsi"/>
                <w:sz w:val="20"/>
                <w:szCs w:val="20"/>
              </w:rPr>
            </w:pPr>
            <w:r w:rsidRPr="00037AD4">
              <w:rPr>
                <w:rFonts w:asciiTheme="minorHAnsi" w:hAnsiTheme="minorHAnsi" w:cstheme="minorHAnsi"/>
                <w:sz w:val="20"/>
                <w:szCs w:val="20"/>
              </w:rPr>
              <w:t>Cognition via a 30-point questionnaire</w:t>
            </w:r>
          </w:p>
        </w:tc>
        <w:tc>
          <w:tcPr>
            <w:tcW w:w="1103" w:type="dxa"/>
          </w:tcPr>
          <w:p w14:paraId="71C8CC86" w14:textId="77777777" w:rsidR="00B54D51" w:rsidRPr="00037AD4" w:rsidRDefault="00B54D51" w:rsidP="008F00F0">
            <w:pPr>
              <w:rPr>
                <w:rFonts w:asciiTheme="minorHAnsi" w:hAnsiTheme="minorHAnsi" w:cstheme="minorHAnsi"/>
                <w:sz w:val="20"/>
                <w:szCs w:val="20"/>
              </w:rPr>
            </w:pPr>
          </w:p>
        </w:tc>
        <w:tc>
          <w:tcPr>
            <w:tcW w:w="610" w:type="dxa"/>
          </w:tcPr>
          <w:p w14:paraId="3F5B31B5" w14:textId="77777777" w:rsidR="00B54D51" w:rsidRPr="00037AD4" w:rsidRDefault="00B54D51" w:rsidP="008F00F0">
            <w:pPr>
              <w:rPr>
                <w:rFonts w:asciiTheme="minorHAnsi" w:hAnsiTheme="minorHAnsi" w:cstheme="minorHAnsi"/>
                <w:sz w:val="20"/>
                <w:szCs w:val="20"/>
              </w:rPr>
            </w:pPr>
          </w:p>
        </w:tc>
        <w:tc>
          <w:tcPr>
            <w:tcW w:w="1237" w:type="dxa"/>
          </w:tcPr>
          <w:p w14:paraId="288EBE81" w14:textId="77777777" w:rsidR="00B54D51" w:rsidRPr="00037AD4" w:rsidRDefault="00B54D51" w:rsidP="008F00F0">
            <w:pPr>
              <w:rPr>
                <w:rFonts w:asciiTheme="minorHAnsi" w:hAnsiTheme="minorHAnsi" w:cstheme="minorHAnsi"/>
                <w:sz w:val="20"/>
                <w:szCs w:val="20"/>
              </w:rPr>
            </w:pPr>
            <w:r w:rsidRPr="00037AD4">
              <w:rPr>
                <w:rFonts w:ascii="Segoe UI Symbol" w:hAnsi="Segoe UI Symbol" w:cs="Segoe UI Symbol"/>
                <w:b/>
                <w:bCs/>
                <w:color w:val="202124"/>
                <w:sz w:val="20"/>
                <w:szCs w:val="20"/>
              </w:rPr>
              <w:t>✓</w:t>
            </w:r>
          </w:p>
        </w:tc>
        <w:tc>
          <w:tcPr>
            <w:tcW w:w="1804" w:type="dxa"/>
          </w:tcPr>
          <w:p w14:paraId="072F14DD" w14:textId="77777777" w:rsidR="00B54D51" w:rsidRPr="00037AD4" w:rsidRDefault="00B54D51" w:rsidP="008F00F0">
            <w:pPr>
              <w:rPr>
                <w:rFonts w:asciiTheme="minorHAnsi" w:hAnsiTheme="minorHAnsi" w:cstheme="minorHAnsi"/>
                <w:sz w:val="20"/>
                <w:szCs w:val="20"/>
              </w:rPr>
            </w:pPr>
            <w:r w:rsidRPr="00037AD4">
              <w:rPr>
                <w:rFonts w:asciiTheme="minorHAnsi" w:hAnsiTheme="minorHAnsi" w:cstheme="minorHAnsi"/>
                <w:sz w:val="20"/>
                <w:szCs w:val="20"/>
              </w:rPr>
              <w:t xml:space="preserve">The sum of the correct answers equals the test-takers score </w:t>
            </w:r>
            <w:r>
              <w:rPr>
                <w:rFonts w:asciiTheme="minorHAnsi" w:hAnsiTheme="minorHAnsi" w:cstheme="minorHAnsi"/>
                <w:noProof/>
                <w:sz w:val="20"/>
                <w:szCs w:val="20"/>
              </w:rPr>
              <w:t>(Galea and Woodward, 2005)</w:t>
            </w:r>
          </w:p>
        </w:tc>
        <w:tc>
          <w:tcPr>
            <w:tcW w:w="1701" w:type="dxa"/>
          </w:tcPr>
          <w:p w14:paraId="34400607" w14:textId="77777777" w:rsidR="00B54D51" w:rsidRPr="00037AD4" w:rsidRDefault="00B54D51" w:rsidP="008F00F0">
            <w:pPr>
              <w:rPr>
                <w:rFonts w:asciiTheme="minorHAnsi" w:hAnsiTheme="minorHAnsi" w:cstheme="minorHAnsi"/>
                <w:sz w:val="20"/>
                <w:szCs w:val="20"/>
              </w:rPr>
            </w:pPr>
            <w:r w:rsidRPr="00037AD4">
              <w:rPr>
                <w:rFonts w:asciiTheme="minorHAnsi" w:hAnsiTheme="minorHAnsi" w:cstheme="minorHAnsi"/>
                <w:sz w:val="20"/>
                <w:szCs w:val="20"/>
              </w:rPr>
              <w:t>Maximum score is 30. &gt;24 normal; 19 – 23, mild dementia; 10 – 18, moderate dementia; &gt;9, severe dementia</w:t>
            </w:r>
          </w:p>
        </w:tc>
      </w:tr>
      <w:tr w:rsidR="00B54D51" w:rsidRPr="00037AD4" w14:paraId="4B8D35D4" w14:textId="77777777" w:rsidTr="008F00F0">
        <w:tc>
          <w:tcPr>
            <w:tcW w:w="9634" w:type="dxa"/>
            <w:gridSpan w:val="7"/>
            <w:shd w:val="clear" w:color="auto" w:fill="EDEDED" w:themeFill="accent3" w:themeFillTint="33"/>
          </w:tcPr>
          <w:p w14:paraId="41F0BCF1" w14:textId="77777777" w:rsidR="00B54D51" w:rsidRPr="00037AD4" w:rsidRDefault="00B54D51" w:rsidP="008F00F0">
            <w:pPr>
              <w:rPr>
                <w:rFonts w:asciiTheme="minorHAnsi" w:hAnsiTheme="minorHAnsi" w:cstheme="minorHAnsi"/>
                <w:sz w:val="20"/>
                <w:szCs w:val="20"/>
              </w:rPr>
            </w:pPr>
            <w:r w:rsidRPr="00037AD4">
              <w:rPr>
                <w:rFonts w:asciiTheme="minorHAnsi" w:hAnsiTheme="minorHAnsi" w:cstheme="minorHAnsi"/>
                <w:sz w:val="20"/>
                <w:szCs w:val="20"/>
              </w:rPr>
              <w:t xml:space="preserve">Behavioural measures </w:t>
            </w:r>
          </w:p>
        </w:tc>
      </w:tr>
      <w:tr w:rsidR="00B54D51" w:rsidRPr="00037AD4" w14:paraId="611A76CC" w14:textId="77777777" w:rsidTr="008F00F0">
        <w:tc>
          <w:tcPr>
            <w:tcW w:w="1304" w:type="dxa"/>
          </w:tcPr>
          <w:p w14:paraId="0356DC69" w14:textId="77777777" w:rsidR="00B54D51" w:rsidRPr="00037AD4" w:rsidRDefault="00B54D51" w:rsidP="008F00F0">
            <w:pPr>
              <w:rPr>
                <w:rFonts w:asciiTheme="minorHAnsi" w:hAnsiTheme="minorHAnsi" w:cstheme="minorHAnsi"/>
                <w:color w:val="000000" w:themeColor="text1"/>
                <w:sz w:val="20"/>
                <w:szCs w:val="20"/>
              </w:rPr>
            </w:pPr>
            <w:r w:rsidRPr="00037AD4">
              <w:rPr>
                <w:rFonts w:asciiTheme="minorHAnsi" w:hAnsiTheme="minorHAnsi" w:cstheme="minorHAnsi"/>
                <w:color w:val="000000" w:themeColor="text1"/>
                <w:sz w:val="20"/>
                <w:szCs w:val="20"/>
              </w:rPr>
              <w:t>NPI-NH</w:t>
            </w:r>
          </w:p>
        </w:tc>
        <w:tc>
          <w:tcPr>
            <w:tcW w:w="1875" w:type="dxa"/>
          </w:tcPr>
          <w:p w14:paraId="36526C2E" w14:textId="77777777" w:rsidR="00B54D51" w:rsidRPr="00037AD4" w:rsidRDefault="00B54D51" w:rsidP="008F00F0">
            <w:pPr>
              <w:rPr>
                <w:rFonts w:asciiTheme="minorHAnsi" w:hAnsiTheme="minorHAnsi" w:cstheme="minorHAnsi"/>
                <w:color w:val="000000" w:themeColor="text1"/>
                <w:sz w:val="20"/>
                <w:szCs w:val="20"/>
              </w:rPr>
            </w:pPr>
            <w:r w:rsidRPr="00037AD4">
              <w:rPr>
                <w:rFonts w:asciiTheme="minorHAnsi" w:hAnsiTheme="minorHAnsi" w:cstheme="minorHAnsi"/>
                <w:color w:val="000000" w:themeColor="text1"/>
                <w:sz w:val="20"/>
                <w:szCs w:val="20"/>
              </w:rPr>
              <w:t xml:space="preserve">Neuropsychiatric symptoms of </w:t>
            </w:r>
            <w:r w:rsidRPr="00037AD4">
              <w:rPr>
                <w:rFonts w:asciiTheme="minorHAnsi" w:hAnsiTheme="minorHAnsi" w:cstheme="minorHAnsi"/>
                <w:color w:val="000000" w:themeColor="text1"/>
                <w:sz w:val="20"/>
                <w:szCs w:val="20"/>
              </w:rPr>
              <w:lastRenderedPageBreak/>
              <w:t>nursing home residents 12 domains</w:t>
            </w:r>
          </w:p>
        </w:tc>
        <w:tc>
          <w:tcPr>
            <w:tcW w:w="1103" w:type="dxa"/>
          </w:tcPr>
          <w:p w14:paraId="130CF7DB" w14:textId="77777777" w:rsidR="00B54D51" w:rsidRPr="00037AD4" w:rsidRDefault="00B54D51" w:rsidP="008F00F0">
            <w:pPr>
              <w:rPr>
                <w:rFonts w:asciiTheme="minorHAnsi" w:hAnsiTheme="minorHAnsi" w:cstheme="minorHAnsi"/>
                <w:color w:val="000000" w:themeColor="text1"/>
                <w:sz w:val="20"/>
                <w:szCs w:val="20"/>
              </w:rPr>
            </w:pPr>
          </w:p>
        </w:tc>
        <w:tc>
          <w:tcPr>
            <w:tcW w:w="610" w:type="dxa"/>
          </w:tcPr>
          <w:p w14:paraId="738D498C" w14:textId="77777777" w:rsidR="00B54D51" w:rsidRPr="00037AD4" w:rsidRDefault="00B54D51" w:rsidP="008F00F0">
            <w:pPr>
              <w:rPr>
                <w:rFonts w:asciiTheme="minorHAnsi" w:hAnsiTheme="minorHAnsi" w:cstheme="minorHAnsi"/>
                <w:color w:val="000000" w:themeColor="text1"/>
                <w:sz w:val="20"/>
                <w:szCs w:val="20"/>
              </w:rPr>
            </w:pPr>
            <w:r w:rsidRPr="00037AD4">
              <w:rPr>
                <w:rFonts w:ascii="Segoe UI Symbol" w:hAnsi="Segoe UI Symbol" w:cs="Segoe UI Symbol"/>
                <w:b/>
                <w:bCs/>
                <w:color w:val="000000" w:themeColor="text1"/>
                <w:sz w:val="20"/>
                <w:szCs w:val="20"/>
              </w:rPr>
              <w:t>✓</w:t>
            </w:r>
          </w:p>
        </w:tc>
        <w:tc>
          <w:tcPr>
            <w:tcW w:w="1237" w:type="dxa"/>
          </w:tcPr>
          <w:p w14:paraId="0E4B7A85" w14:textId="77777777" w:rsidR="00B54D51" w:rsidRPr="00037AD4" w:rsidRDefault="00B54D51" w:rsidP="008F00F0">
            <w:pPr>
              <w:rPr>
                <w:rFonts w:asciiTheme="minorHAnsi" w:hAnsiTheme="minorHAnsi" w:cstheme="minorHAnsi"/>
                <w:color w:val="000000" w:themeColor="text1"/>
                <w:sz w:val="20"/>
                <w:szCs w:val="20"/>
              </w:rPr>
            </w:pPr>
          </w:p>
        </w:tc>
        <w:tc>
          <w:tcPr>
            <w:tcW w:w="1804" w:type="dxa"/>
          </w:tcPr>
          <w:p w14:paraId="00A80122" w14:textId="77777777" w:rsidR="00B54D51" w:rsidRPr="00037AD4" w:rsidRDefault="00B54D51" w:rsidP="008F00F0">
            <w:pPr>
              <w:rPr>
                <w:rFonts w:asciiTheme="minorHAnsi" w:hAnsiTheme="minorHAnsi" w:cstheme="minorHAnsi"/>
                <w:color w:val="000000" w:themeColor="text1"/>
                <w:sz w:val="20"/>
                <w:szCs w:val="20"/>
              </w:rPr>
            </w:pPr>
            <w:r w:rsidRPr="00037AD4">
              <w:rPr>
                <w:rFonts w:asciiTheme="minorHAnsi" w:hAnsiTheme="minorHAnsi" w:cstheme="minorHAnsi"/>
                <w:color w:val="000000" w:themeColor="text1"/>
                <w:sz w:val="20"/>
                <w:szCs w:val="20"/>
              </w:rPr>
              <w:t xml:space="preserve">Scores are calculated by </w:t>
            </w:r>
            <w:r w:rsidRPr="00037AD4">
              <w:rPr>
                <w:rFonts w:asciiTheme="minorHAnsi" w:hAnsiTheme="minorHAnsi" w:cstheme="minorHAnsi"/>
                <w:color w:val="000000" w:themeColor="text1"/>
                <w:sz w:val="20"/>
                <w:szCs w:val="20"/>
              </w:rPr>
              <w:lastRenderedPageBreak/>
              <w:t xml:space="preserve">considering the frequency and severity of symptoms, and summing the scores of the first 10 domains </w:t>
            </w:r>
            <w:r>
              <w:rPr>
                <w:rFonts w:asciiTheme="minorHAnsi" w:hAnsiTheme="minorHAnsi" w:cstheme="minorHAnsi"/>
                <w:noProof/>
                <w:color w:val="000000" w:themeColor="text1"/>
                <w:sz w:val="20"/>
                <w:szCs w:val="20"/>
              </w:rPr>
              <w:t>(Cummings, 2020)</w:t>
            </w:r>
          </w:p>
        </w:tc>
        <w:tc>
          <w:tcPr>
            <w:tcW w:w="1701" w:type="dxa"/>
            <w:vMerge w:val="restart"/>
          </w:tcPr>
          <w:p w14:paraId="48402D66" w14:textId="77777777" w:rsidR="00B54D51" w:rsidRPr="00037AD4" w:rsidRDefault="00B54D51" w:rsidP="008F00F0">
            <w:pPr>
              <w:rPr>
                <w:rFonts w:asciiTheme="minorHAnsi" w:hAnsiTheme="minorHAnsi" w:cstheme="minorHAnsi"/>
                <w:color w:val="000000" w:themeColor="text1"/>
                <w:sz w:val="20"/>
                <w:szCs w:val="20"/>
                <w:highlight w:val="yellow"/>
              </w:rPr>
            </w:pPr>
            <w:r w:rsidRPr="00037AD4">
              <w:rPr>
                <w:rFonts w:asciiTheme="minorHAnsi" w:hAnsiTheme="minorHAnsi" w:cstheme="minorHAnsi"/>
                <w:color w:val="000000" w:themeColor="text1"/>
                <w:sz w:val="20"/>
                <w:szCs w:val="20"/>
              </w:rPr>
              <w:lastRenderedPageBreak/>
              <w:t xml:space="preserve">Higher scores indicate more </w:t>
            </w:r>
            <w:r w:rsidRPr="00037AD4">
              <w:rPr>
                <w:rFonts w:asciiTheme="minorHAnsi" w:hAnsiTheme="minorHAnsi" w:cstheme="minorHAnsi"/>
                <w:color w:val="000000" w:themeColor="text1"/>
                <w:sz w:val="20"/>
                <w:szCs w:val="20"/>
              </w:rPr>
              <w:lastRenderedPageBreak/>
              <w:t xml:space="preserve">significant behavioural and psychological issues </w:t>
            </w:r>
          </w:p>
        </w:tc>
      </w:tr>
      <w:tr w:rsidR="00B54D51" w:rsidRPr="00037AD4" w14:paraId="098A366E" w14:textId="77777777" w:rsidTr="008F00F0">
        <w:tc>
          <w:tcPr>
            <w:tcW w:w="1304" w:type="dxa"/>
          </w:tcPr>
          <w:p w14:paraId="4F4C661F" w14:textId="77777777" w:rsidR="00B54D51" w:rsidRPr="00037AD4" w:rsidRDefault="00B54D51" w:rsidP="008F00F0">
            <w:pPr>
              <w:rPr>
                <w:rFonts w:asciiTheme="minorHAnsi" w:hAnsiTheme="minorHAnsi" w:cstheme="minorHAnsi"/>
                <w:color w:val="000000" w:themeColor="text1"/>
                <w:sz w:val="20"/>
                <w:szCs w:val="20"/>
              </w:rPr>
            </w:pPr>
            <w:r w:rsidRPr="00037AD4">
              <w:rPr>
                <w:rFonts w:asciiTheme="minorHAnsi" w:hAnsiTheme="minorHAnsi" w:cstheme="minorHAnsi"/>
                <w:color w:val="000000" w:themeColor="text1"/>
                <w:sz w:val="20"/>
                <w:szCs w:val="20"/>
              </w:rPr>
              <w:lastRenderedPageBreak/>
              <w:t>NPI-Q</w:t>
            </w:r>
          </w:p>
        </w:tc>
        <w:tc>
          <w:tcPr>
            <w:tcW w:w="1875" w:type="dxa"/>
          </w:tcPr>
          <w:p w14:paraId="40F69053" w14:textId="77777777" w:rsidR="00B54D51" w:rsidRPr="00037AD4" w:rsidRDefault="00B54D51" w:rsidP="008F00F0">
            <w:pPr>
              <w:rPr>
                <w:rFonts w:asciiTheme="minorHAnsi" w:hAnsiTheme="minorHAnsi" w:cstheme="minorHAnsi"/>
                <w:color w:val="000000" w:themeColor="text1"/>
                <w:sz w:val="20"/>
                <w:szCs w:val="20"/>
              </w:rPr>
            </w:pPr>
            <w:r w:rsidRPr="00037AD4">
              <w:rPr>
                <w:rFonts w:asciiTheme="minorHAnsi" w:hAnsiTheme="minorHAnsi" w:cstheme="minorHAnsi"/>
                <w:color w:val="000000" w:themeColor="text1"/>
                <w:sz w:val="20"/>
                <w:szCs w:val="20"/>
              </w:rPr>
              <w:t>Neuropsychiatric symptoms via 12 domains</w:t>
            </w:r>
          </w:p>
        </w:tc>
        <w:tc>
          <w:tcPr>
            <w:tcW w:w="1103" w:type="dxa"/>
          </w:tcPr>
          <w:p w14:paraId="4E0B8A8E" w14:textId="77777777" w:rsidR="00B54D51" w:rsidRPr="00037AD4" w:rsidRDefault="00B54D51" w:rsidP="008F00F0">
            <w:pPr>
              <w:rPr>
                <w:rFonts w:asciiTheme="minorHAnsi" w:hAnsiTheme="minorHAnsi" w:cstheme="minorHAnsi"/>
                <w:color w:val="000000" w:themeColor="text1"/>
                <w:sz w:val="20"/>
                <w:szCs w:val="20"/>
              </w:rPr>
            </w:pPr>
          </w:p>
        </w:tc>
        <w:tc>
          <w:tcPr>
            <w:tcW w:w="610" w:type="dxa"/>
          </w:tcPr>
          <w:p w14:paraId="2BCF5197" w14:textId="77777777" w:rsidR="00B54D51" w:rsidRPr="00037AD4" w:rsidRDefault="00B54D51" w:rsidP="008F00F0">
            <w:pPr>
              <w:rPr>
                <w:rFonts w:asciiTheme="minorHAnsi" w:hAnsiTheme="minorHAnsi" w:cstheme="minorHAnsi"/>
                <w:color w:val="000000" w:themeColor="text1"/>
                <w:sz w:val="20"/>
                <w:szCs w:val="20"/>
              </w:rPr>
            </w:pPr>
          </w:p>
        </w:tc>
        <w:tc>
          <w:tcPr>
            <w:tcW w:w="1237" w:type="dxa"/>
          </w:tcPr>
          <w:p w14:paraId="4B79C5D4" w14:textId="77777777" w:rsidR="00B54D51" w:rsidRPr="00037AD4" w:rsidRDefault="00B54D51" w:rsidP="008F00F0">
            <w:pPr>
              <w:rPr>
                <w:rFonts w:asciiTheme="minorHAnsi" w:hAnsiTheme="minorHAnsi" w:cstheme="minorHAnsi"/>
                <w:color w:val="000000" w:themeColor="text1"/>
                <w:sz w:val="20"/>
                <w:szCs w:val="20"/>
              </w:rPr>
            </w:pPr>
            <w:r w:rsidRPr="00037AD4">
              <w:rPr>
                <w:rFonts w:ascii="Segoe UI Symbol" w:hAnsi="Segoe UI Symbol" w:cs="Segoe UI Symbol"/>
                <w:b/>
                <w:bCs/>
                <w:color w:val="000000" w:themeColor="text1"/>
                <w:sz w:val="20"/>
                <w:szCs w:val="20"/>
              </w:rPr>
              <w:t>✓</w:t>
            </w:r>
          </w:p>
        </w:tc>
        <w:tc>
          <w:tcPr>
            <w:tcW w:w="1804" w:type="dxa"/>
          </w:tcPr>
          <w:p w14:paraId="19A723CB" w14:textId="77777777" w:rsidR="00B54D51" w:rsidRPr="00037AD4" w:rsidRDefault="00B54D51" w:rsidP="008F00F0">
            <w:pPr>
              <w:rPr>
                <w:rFonts w:asciiTheme="minorHAnsi" w:hAnsiTheme="minorHAnsi" w:cstheme="minorHAnsi"/>
                <w:color w:val="000000" w:themeColor="text1"/>
                <w:sz w:val="20"/>
                <w:szCs w:val="20"/>
              </w:rPr>
            </w:pPr>
            <w:r w:rsidRPr="00037AD4">
              <w:rPr>
                <w:rFonts w:asciiTheme="minorHAnsi" w:hAnsiTheme="minorHAnsi" w:cstheme="minorHAnsi"/>
                <w:color w:val="000000" w:themeColor="text1"/>
                <w:sz w:val="20"/>
                <w:szCs w:val="20"/>
              </w:rPr>
              <w:t xml:space="preserve">Scores are calculated by summing the subscale scores for all 12 domains </w:t>
            </w:r>
            <w:r>
              <w:rPr>
                <w:rFonts w:asciiTheme="minorHAnsi" w:hAnsiTheme="minorHAnsi" w:cstheme="minorHAnsi"/>
                <w:noProof/>
                <w:color w:val="000000" w:themeColor="text1"/>
                <w:sz w:val="20"/>
                <w:szCs w:val="20"/>
              </w:rPr>
              <w:t>(Cummings, 2020)</w:t>
            </w:r>
          </w:p>
        </w:tc>
        <w:tc>
          <w:tcPr>
            <w:tcW w:w="1701" w:type="dxa"/>
            <w:vMerge/>
          </w:tcPr>
          <w:p w14:paraId="3C14EB0D" w14:textId="77777777" w:rsidR="00B54D51" w:rsidRPr="00037AD4" w:rsidRDefault="00B54D51" w:rsidP="008F00F0">
            <w:pPr>
              <w:rPr>
                <w:rFonts w:asciiTheme="minorHAnsi" w:hAnsiTheme="minorHAnsi" w:cstheme="minorHAnsi"/>
                <w:color w:val="FF0000"/>
                <w:sz w:val="20"/>
                <w:szCs w:val="20"/>
                <w:highlight w:val="yellow"/>
                <w:rPrChange w:id="324" w:author="Hannah Hussain" w:date="2023-09-18T14:40:00Z">
                  <w:rPr>
                    <w:sz w:val="20"/>
                    <w:szCs w:val="20"/>
                    <w:highlight w:val="yellow"/>
                  </w:rPr>
                </w:rPrChange>
              </w:rPr>
            </w:pPr>
          </w:p>
        </w:tc>
      </w:tr>
      <w:tr w:rsidR="00B54D51" w:rsidRPr="00037AD4" w14:paraId="52A63CB6" w14:textId="77777777" w:rsidTr="008F00F0">
        <w:tc>
          <w:tcPr>
            <w:tcW w:w="1304" w:type="dxa"/>
          </w:tcPr>
          <w:p w14:paraId="1656D23C" w14:textId="77777777" w:rsidR="00B54D51" w:rsidRPr="00037AD4" w:rsidRDefault="00B54D51" w:rsidP="008F00F0">
            <w:pPr>
              <w:rPr>
                <w:rFonts w:asciiTheme="minorHAnsi" w:hAnsiTheme="minorHAnsi" w:cstheme="minorHAnsi"/>
                <w:sz w:val="20"/>
                <w:szCs w:val="20"/>
              </w:rPr>
            </w:pPr>
            <w:r w:rsidRPr="00037AD4">
              <w:rPr>
                <w:rFonts w:asciiTheme="minorHAnsi" w:hAnsiTheme="minorHAnsi" w:cstheme="minorHAnsi"/>
                <w:sz w:val="20"/>
                <w:szCs w:val="20"/>
              </w:rPr>
              <w:t>CSDD</w:t>
            </w:r>
          </w:p>
        </w:tc>
        <w:tc>
          <w:tcPr>
            <w:tcW w:w="1875" w:type="dxa"/>
          </w:tcPr>
          <w:p w14:paraId="1BCC0B16" w14:textId="77777777" w:rsidR="00B54D51" w:rsidRPr="00037AD4" w:rsidRDefault="00B54D51" w:rsidP="008F00F0">
            <w:pPr>
              <w:rPr>
                <w:rFonts w:asciiTheme="minorHAnsi" w:hAnsiTheme="minorHAnsi" w:cstheme="minorHAnsi"/>
                <w:sz w:val="20"/>
                <w:szCs w:val="20"/>
              </w:rPr>
            </w:pPr>
            <w:r w:rsidRPr="00037AD4">
              <w:rPr>
                <w:rFonts w:asciiTheme="minorHAnsi" w:hAnsiTheme="minorHAnsi" w:cstheme="minorHAnsi"/>
                <w:sz w:val="20"/>
                <w:szCs w:val="20"/>
              </w:rPr>
              <w:t>Depressive symptoms in PwD via 5 domains (19-items)</w:t>
            </w:r>
          </w:p>
        </w:tc>
        <w:tc>
          <w:tcPr>
            <w:tcW w:w="1103" w:type="dxa"/>
          </w:tcPr>
          <w:p w14:paraId="7DD202CF" w14:textId="77777777" w:rsidR="00B54D51" w:rsidRPr="00037AD4" w:rsidRDefault="00B54D51" w:rsidP="008F00F0">
            <w:pPr>
              <w:rPr>
                <w:rFonts w:asciiTheme="minorHAnsi" w:hAnsiTheme="minorHAnsi" w:cstheme="minorHAnsi"/>
                <w:sz w:val="20"/>
                <w:szCs w:val="20"/>
              </w:rPr>
            </w:pPr>
            <w:r w:rsidRPr="00037AD4">
              <w:rPr>
                <w:rFonts w:ascii="Segoe UI Symbol" w:hAnsi="Segoe UI Symbol" w:cs="Segoe UI Symbol"/>
                <w:b/>
                <w:bCs/>
                <w:color w:val="202124"/>
                <w:sz w:val="20"/>
                <w:szCs w:val="20"/>
              </w:rPr>
              <w:t>✓</w:t>
            </w:r>
          </w:p>
        </w:tc>
        <w:tc>
          <w:tcPr>
            <w:tcW w:w="610" w:type="dxa"/>
          </w:tcPr>
          <w:p w14:paraId="7CC2CBC3" w14:textId="77777777" w:rsidR="00B54D51" w:rsidRPr="00037AD4" w:rsidRDefault="00B54D51" w:rsidP="008F00F0">
            <w:pPr>
              <w:rPr>
                <w:rFonts w:asciiTheme="minorHAnsi" w:hAnsiTheme="minorHAnsi" w:cstheme="minorHAnsi"/>
                <w:sz w:val="20"/>
                <w:szCs w:val="20"/>
              </w:rPr>
            </w:pPr>
          </w:p>
        </w:tc>
        <w:tc>
          <w:tcPr>
            <w:tcW w:w="1237" w:type="dxa"/>
          </w:tcPr>
          <w:p w14:paraId="580FEEC0" w14:textId="77777777" w:rsidR="00B54D51" w:rsidRPr="00037AD4" w:rsidRDefault="00B54D51" w:rsidP="008F00F0">
            <w:pPr>
              <w:rPr>
                <w:rFonts w:asciiTheme="minorHAnsi" w:hAnsiTheme="minorHAnsi" w:cstheme="minorHAnsi"/>
                <w:sz w:val="20"/>
                <w:szCs w:val="20"/>
              </w:rPr>
            </w:pPr>
          </w:p>
        </w:tc>
        <w:tc>
          <w:tcPr>
            <w:tcW w:w="1804" w:type="dxa"/>
          </w:tcPr>
          <w:p w14:paraId="76471FC7" w14:textId="77777777" w:rsidR="00B54D51" w:rsidRPr="00037AD4" w:rsidRDefault="00B54D51" w:rsidP="008F00F0">
            <w:pPr>
              <w:rPr>
                <w:rFonts w:asciiTheme="minorHAnsi" w:hAnsiTheme="minorHAnsi" w:cstheme="minorHAnsi"/>
                <w:sz w:val="20"/>
                <w:szCs w:val="20"/>
              </w:rPr>
            </w:pPr>
            <w:r w:rsidRPr="00037AD4">
              <w:rPr>
                <w:rFonts w:asciiTheme="minorHAnsi" w:hAnsiTheme="minorHAnsi" w:cstheme="minorHAnsi"/>
                <w:sz w:val="20"/>
                <w:szCs w:val="20"/>
              </w:rPr>
              <w:t xml:space="preserve">Scores are summed, each item has a severity range of 0-2 </w:t>
            </w:r>
            <w:r>
              <w:rPr>
                <w:rFonts w:asciiTheme="minorHAnsi" w:hAnsiTheme="minorHAnsi" w:cstheme="minorHAnsi"/>
                <w:noProof/>
                <w:sz w:val="20"/>
                <w:szCs w:val="20"/>
              </w:rPr>
              <w:t>(Alexopoulos et al., 1988)</w:t>
            </w:r>
          </w:p>
        </w:tc>
        <w:tc>
          <w:tcPr>
            <w:tcW w:w="1701" w:type="dxa"/>
          </w:tcPr>
          <w:p w14:paraId="219B01F1" w14:textId="77777777" w:rsidR="00B54D51" w:rsidRPr="00037AD4" w:rsidRDefault="00B54D51" w:rsidP="008F00F0">
            <w:pPr>
              <w:rPr>
                <w:rFonts w:asciiTheme="minorHAnsi" w:hAnsiTheme="minorHAnsi" w:cstheme="minorHAnsi"/>
                <w:sz w:val="20"/>
                <w:szCs w:val="20"/>
              </w:rPr>
            </w:pPr>
            <w:r w:rsidRPr="00037AD4">
              <w:rPr>
                <w:rFonts w:asciiTheme="minorHAnsi" w:hAnsiTheme="minorHAnsi" w:cstheme="minorHAnsi"/>
                <w:sz w:val="20"/>
                <w:szCs w:val="20"/>
              </w:rPr>
              <w:t>Higher scores indicate greater depression symptoms</w:t>
            </w:r>
          </w:p>
        </w:tc>
      </w:tr>
      <w:tr w:rsidR="00B54D51" w:rsidRPr="00037AD4" w14:paraId="526BEDF0" w14:textId="77777777" w:rsidTr="008F00F0">
        <w:tc>
          <w:tcPr>
            <w:tcW w:w="9634" w:type="dxa"/>
            <w:gridSpan w:val="7"/>
            <w:shd w:val="clear" w:color="auto" w:fill="EDEDED" w:themeFill="accent3" w:themeFillTint="33"/>
          </w:tcPr>
          <w:p w14:paraId="4E73FADE" w14:textId="77777777" w:rsidR="00B54D51" w:rsidRPr="00037AD4" w:rsidRDefault="00B54D51" w:rsidP="008F00F0">
            <w:pPr>
              <w:rPr>
                <w:rFonts w:asciiTheme="minorHAnsi" w:hAnsiTheme="minorHAnsi" w:cstheme="minorHAnsi"/>
                <w:sz w:val="20"/>
                <w:szCs w:val="20"/>
              </w:rPr>
            </w:pPr>
            <w:r w:rsidRPr="00037AD4">
              <w:rPr>
                <w:rFonts w:asciiTheme="minorHAnsi" w:hAnsiTheme="minorHAnsi" w:cstheme="minorHAnsi"/>
                <w:sz w:val="20"/>
                <w:szCs w:val="20"/>
              </w:rPr>
              <w:t>Functional measures</w:t>
            </w:r>
          </w:p>
        </w:tc>
      </w:tr>
      <w:tr w:rsidR="00B54D51" w:rsidRPr="00037AD4" w14:paraId="42C37895" w14:textId="77777777" w:rsidTr="008F00F0">
        <w:tc>
          <w:tcPr>
            <w:tcW w:w="1304" w:type="dxa"/>
          </w:tcPr>
          <w:p w14:paraId="1194017B" w14:textId="77777777" w:rsidR="00B54D51" w:rsidRPr="00037AD4" w:rsidRDefault="00B54D51" w:rsidP="008F00F0">
            <w:pPr>
              <w:rPr>
                <w:rFonts w:asciiTheme="minorHAnsi" w:hAnsiTheme="minorHAnsi" w:cstheme="minorHAnsi"/>
                <w:sz w:val="20"/>
                <w:szCs w:val="20"/>
              </w:rPr>
            </w:pPr>
            <w:r w:rsidRPr="00037AD4">
              <w:rPr>
                <w:rFonts w:asciiTheme="minorHAnsi" w:hAnsiTheme="minorHAnsi" w:cstheme="minorHAnsi"/>
                <w:sz w:val="20"/>
                <w:szCs w:val="20"/>
              </w:rPr>
              <w:t>FAST</w:t>
            </w:r>
          </w:p>
        </w:tc>
        <w:tc>
          <w:tcPr>
            <w:tcW w:w="1875" w:type="dxa"/>
          </w:tcPr>
          <w:p w14:paraId="760997BC" w14:textId="77777777" w:rsidR="00B54D51" w:rsidRPr="00037AD4" w:rsidRDefault="00B54D51" w:rsidP="008F00F0">
            <w:pPr>
              <w:rPr>
                <w:rFonts w:asciiTheme="minorHAnsi" w:hAnsiTheme="minorHAnsi" w:cstheme="minorHAnsi"/>
                <w:sz w:val="20"/>
                <w:szCs w:val="20"/>
              </w:rPr>
            </w:pPr>
            <w:r w:rsidRPr="00037AD4">
              <w:rPr>
                <w:rFonts w:asciiTheme="minorHAnsi" w:hAnsiTheme="minorHAnsi" w:cstheme="minorHAnsi"/>
                <w:sz w:val="20"/>
                <w:szCs w:val="20"/>
              </w:rPr>
              <w:t>Functional impairment on a scale of 1 (no difficulties) – 7 (severe dementia)</w:t>
            </w:r>
          </w:p>
        </w:tc>
        <w:tc>
          <w:tcPr>
            <w:tcW w:w="1103" w:type="dxa"/>
          </w:tcPr>
          <w:p w14:paraId="690EEF25" w14:textId="77777777" w:rsidR="00B54D51" w:rsidRPr="00037AD4" w:rsidRDefault="00B54D51" w:rsidP="008F00F0">
            <w:pPr>
              <w:rPr>
                <w:rFonts w:asciiTheme="minorHAnsi" w:hAnsiTheme="minorHAnsi" w:cstheme="minorHAnsi"/>
                <w:sz w:val="20"/>
                <w:szCs w:val="20"/>
              </w:rPr>
            </w:pPr>
          </w:p>
        </w:tc>
        <w:tc>
          <w:tcPr>
            <w:tcW w:w="610" w:type="dxa"/>
          </w:tcPr>
          <w:p w14:paraId="7CF95559" w14:textId="77777777" w:rsidR="00B54D51" w:rsidRPr="00037AD4" w:rsidRDefault="00B54D51" w:rsidP="008F00F0">
            <w:pPr>
              <w:rPr>
                <w:rFonts w:asciiTheme="minorHAnsi" w:hAnsiTheme="minorHAnsi" w:cstheme="minorHAnsi"/>
                <w:sz w:val="20"/>
                <w:szCs w:val="20"/>
              </w:rPr>
            </w:pPr>
            <w:r w:rsidRPr="00037AD4">
              <w:rPr>
                <w:rFonts w:ascii="Segoe UI Symbol" w:hAnsi="Segoe UI Symbol" w:cs="Segoe UI Symbol"/>
                <w:b/>
                <w:bCs/>
                <w:color w:val="202124"/>
                <w:sz w:val="20"/>
                <w:szCs w:val="20"/>
              </w:rPr>
              <w:t>✓</w:t>
            </w:r>
          </w:p>
        </w:tc>
        <w:tc>
          <w:tcPr>
            <w:tcW w:w="1237" w:type="dxa"/>
          </w:tcPr>
          <w:p w14:paraId="044C41A7" w14:textId="77777777" w:rsidR="00B54D51" w:rsidRPr="00037AD4" w:rsidRDefault="00B54D51" w:rsidP="008F00F0">
            <w:pPr>
              <w:rPr>
                <w:rFonts w:asciiTheme="minorHAnsi" w:hAnsiTheme="minorHAnsi" w:cstheme="minorHAnsi"/>
                <w:sz w:val="20"/>
                <w:szCs w:val="20"/>
              </w:rPr>
            </w:pPr>
          </w:p>
        </w:tc>
        <w:tc>
          <w:tcPr>
            <w:tcW w:w="1804" w:type="dxa"/>
          </w:tcPr>
          <w:p w14:paraId="7C7F6321" w14:textId="77777777" w:rsidR="00B54D51" w:rsidRPr="00037AD4" w:rsidRDefault="00B54D51" w:rsidP="008F00F0">
            <w:pPr>
              <w:rPr>
                <w:rFonts w:asciiTheme="minorHAnsi" w:hAnsiTheme="minorHAnsi" w:cstheme="minorHAnsi"/>
                <w:sz w:val="20"/>
                <w:szCs w:val="20"/>
              </w:rPr>
            </w:pPr>
            <w:r w:rsidRPr="00037AD4">
              <w:rPr>
                <w:rFonts w:asciiTheme="minorHAnsi" w:hAnsiTheme="minorHAnsi" w:cstheme="minorHAnsi"/>
                <w:sz w:val="20"/>
                <w:szCs w:val="20"/>
              </w:rPr>
              <w:t xml:space="preserve">FAST scores of &lt;4 were combined into a single category </w:t>
            </w:r>
            <w:r>
              <w:rPr>
                <w:rFonts w:asciiTheme="minorHAnsi" w:hAnsiTheme="minorHAnsi" w:cstheme="minorHAnsi"/>
                <w:noProof/>
                <w:sz w:val="20"/>
                <w:szCs w:val="20"/>
              </w:rPr>
              <w:t>(Reisberg, 1988)</w:t>
            </w:r>
          </w:p>
        </w:tc>
        <w:tc>
          <w:tcPr>
            <w:tcW w:w="1701" w:type="dxa"/>
          </w:tcPr>
          <w:p w14:paraId="3E0AE36C" w14:textId="77777777" w:rsidR="00B54D51" w:rsidRPr="00037AD4" w:rsidRDefault="00B54D51" w:rsidP="008F00F0">
            <w:pPr>
              <w:rPr>
                <w:rFonts w:asciiTheme="minorHAnsi" w:hAnsiTheme="minorHAnsi" w:cstheme="minorHAnsi"/>
                <w:sz w:val="20"/>
                <w:szCs w:val="20"/>
              </w:rPr>
            </w:pPr>
            <w:r w:rsidRPr="00037AD4">
              <w:rPr>
                <w:rFonts w:asciiTheme="minorHAnsi" w:hAnsiTheme="minorHAnsi" w:cstheme="minorHAnsi"/>
                <w:sz w:val="20"/>
                <w:szCs w:val="20"/>
              </w:rPr>
              <w:t>1, normally functioning adult; 2, normally functioning senior adult; 3, early dementia; 4, mild dementia; 5, mid-stage dementia; 6, moderately severe dementia; 7, severe (end stage) dementia</w:t>
            </w:r>
          </w:p>
        </w:tc>
      </w:tr>
      <w:tr w:rsidR="00B54D51" w:rsidRPr="00037AD4" w14:paraId="2E5F9498" w14:textId="77777777" w:rsidTr="008F00F0">
        <w:tc>
          <w:tcPr>
            <w:tcW w:w="1304" w:type="dxa"/>
          </w:tcPr>
          <w:p w14:paraId="5FF5B781" w14:textId="77777777" w:rsidR="00B54D51" w:rsidRPr="00037AD4" w:rsidRDefault="00B54D51" w:rsidP="008F00F0">
            <w:pPr>
              <w:rPr>
                <w:rFonts w:asciiTheme="minorHAnsi" w:hAnsiTheme="minorHAnsi" w:cstheme="minorHAnsi"/>
                <w:sz w:val="20"/>
                <w:szCs w:val="20"/>
              </w:rPr>
            </w:pPr>
            <w:r w:rsidRPr="00037AD4">
              <w:rPr>
                <w:rFonts w:asciiTheme="minorHAnsi" w:hAnsiTheme="minorHAnsi" w:cstheme="minorHAnsi"/>
                <w:sz w:val="20"/>
                <w:szCs w:val="20"/>
              </w:rPr>
              <w:t>BADLS</w:t>
            </w:r>
          </w:p>
        </w:tc>
        <w:tc>
          <w:tcPr>
            <w:tcW w:w="1875" w:type="dxa"/>
          </w:tcPr>
          <w:p w14:paraId="708DC5B9" w14:textId="77777777" w:rsidR="00B54D51" w:rsidRPr="00037AD4" w:rsidRDefault="00B54D51" w:rsidP="008F00F0">
            <w:pPr>
              <w:rPr>
                <w:rFonts w:asciiTheme="minorHAnsi" w:hAnsiTheme="minorHAnsi" w:cstheme="minorHAnsi"/>
                <w:sz w:val="20"/>
                <w:szCs w:val="20"/>
              </w:rPr>
            </w:pPr>
            <w:r w:rsidRPr="00037AD4">
              <w:rPr>
                <w:rFonts w:asciiTheme="minorHAnsi" w:hAnsiTheme="minorHAnsi" w:cstheme="minorHAnsi"/>
                <w:sz w:val="20"/>
                <w:szCs w:val="20"/>
              </w:rPr>
              <w:t>Functional impairment via 20-items</w:t>
            </w:r>
          </w:p>
        </w:tc>
        <w:tc>
          <w:tcPr>
            <w:tcW w:w="1103" w:type="dxa"/>
          </w:tcPr>
          <w:p w14:paraId="09E73FB3" w14:textId="77777777" w:rsidR="00B54D51" w:rsidRPr="00037AD4" w:rsidRDefault="00B54D51" w:rsidP="008F00F0">
            <w:pPr>
              <w:rPr>
                <w:rFonts w:asciiTheme="minorHAnsi" w:hAnsiTheme="minorHAnsi" w:cstheme="minorHAnsi"/>
                <w:sz w:val="20"/>
                <w:szCs w:val="20"/>
              </w:rPr>
            </w:pPr>
            <w:r w:rsidRPr="00037AD4">
              <w:rPr>
                <w:rFonts w:ascii="Segoe UI Symbol" w:hAnsi="Segoe UI Symbol" w:cs="Segoe UI Symbol"/>
                <w:b/>
                <w:bCs/>
                <w:color w:val="202124"/>
                <w:sz w:val="20"/>
                <w:szCs w:val="20"/>
              </w:rPr>
              <w:t>✓</w:t>
            </w:r>
          </w:p>
        </w:tc>
        <w:tc>
          <w:tcPr>
            <w:tcW w:w="610" w:type="dxa"/>
          </w:tcPr>
          <w:p w14:paraId="07836250" w14:textId="77777777" w:rsidR="00B54D51" w:rsidRPr="00037AD4" w:rsidRDefault="00B54D51" w:rsidP="008F00F0">
            <w:pPr>
              <w:rPr>
                <w:rFonts w:asciiTheme="minorHAnsi" w:hAnsiTheme="minorHAnsi" w:cstheme="minorHAnsi"/>
                <w:sz w:val="20"/>
                <w:szCs w:val="20"/>
              </w:rPr>
            </w:pPr>
          </w:p>
        </w:tc>
        <w:tc>
          <w:tcPr>
            <w:tcW w:w="1237" w:type="dxa"/>
          </w:tcPr>
          <w:p w14:paraId="565F57F3" w14:textId="77777777" w:rsidR="00B54D51" w:rsidRPr="00037AD4" w:rsidRDefault="00B54D51" w:rsidP="008F00F0">
            <w:pPr>
              <w:rPr>
                <w:rFonts w:asciiTheme="minorHAnsi" w:hAnsiTheme="minorHAnsi" w:cstheme="minorHAnsi"/>
                <w:sz w:val="20"/>
                <w:szCs w:val="20"/>
              </w:rPr>
            </w:pPr>
          </w:p>
        </w:tc>
        <w:tc>
          <w:tcPr>
            <w:tcW w:w="1804" w:type="dxa"/>
          </w:tcPr>
          <w:p w14:paraId="22BDEAA8" w14:textId="77777777" w:rsidR="00B54D51" w:rsidRPr="00037AD4" w:rsidRDefault="00B54D51" w:rsidP="008F00F0">
            <w:pPr>
              <w:rPr>
                <w:rFonts w:asciiTheme="minorHAnsi" w:hAnsiTheme="minorHAnsi" w:cstheme="minorHAnsi"/>
                <w:sz w:val="20"/>
                <w:szCs w:val="20"/>
              </w:rPr>
            </w:pPr>
            <w:r w:rsidRPr="00037AD4">
              <w:rPr>
                <w:rFonts w:asciiTheme="minorHAnsi" w:hAnsiTheme="minorHAnsi" w:cstheme="minorHAnsi"/>
                <w:sz w:val="20"/>
                <w:szCs w:val="20"/>
              </w:rPr>
              <w:t xml:space="preserve">Scores are summed, each item has a severity range of 0-4 </w:t>
            </w:r>
            <w:r>
              <w:rPr>
                <w:rFonts w:asciiTheme="minorHAnsi" w:hAnsiTheme="minorHAnsi" w:cstheme="minorHAnsi"/>
                <w:noProof/>
                <w:sz w:val="20"/>
                <w:szCs w:val="20"/>
              </w:rPr>
              <w:t>(BUCKS et al., 1996)</w:t>
            </w:r>
          </w:p>
        </w:tc>
        <w:tc>
          <w:tcPr>
            <w:tcW w:w="1701" w:type="dxa"/>
          </w:tcPr>
          <w:p w14:paraId="6ADFFFA7" w14:textId="77777777" w:rsidR="00B54D51" w:rsidRPr="00037AD4" w:rsidRDefault="00B54D51" w:rsidP="008F00F0">
            <w:pPr>
              <w:rPr>
                <w:rFonts w:asciiTheme="minorHAnsi" w:hAnsiTheme="minorHAnsi" w:cstheme="minorHAnsi"/>
                <w:sz w:val="20"/>
                <w:szCs w:val="20"/>
              </w:rPr>
            </w:pPr>
            <w:r w:rsidRPr="00037AD4">
              <w:rPr>
                <w:rFonts w:asciiTheme="minorHAnsi" w:hAnsiTheme="minorHAnsi" w:cstheme="minorHAnsi"/>
                <w:sz w:val="20"/>
                <w:szCs w:val="20"/>
              </w:rPr>
              <w:t xml:space="preserve">Higher scores indicate greater independence/ better function </w:t>
            </w:r>
          </w:p>
        </w:tc>
      </w:tr>
      <w:tr w:rsidR="00B54D51" w:rsidRPr="00037AD4" w14:paraId="23108003" w14:textId="77777777" w:rsidTr="008F00F0">
        <w:tc>
          <w:tcPr>
            <w:tcW w:w="1304" w:type="dxa"/>
          </w:tcPr>
          <w:p w14:paraId="23D4467D" w14:textId="77777777" w:rsidR="00B54D51" w:rsidRPr="00037AD4" w:rsidRDefault="00B54D51" w:rsidP="008F00F0">
            <w:pPr>
              <w:rPr>
                <w:rFonts w:asciiTheme="minorHAnsi" w:hAnsiTheme="minorHAnsi" w:cstheme="minorHAnsi"/>
                <w:sz w:val="20"/>
                <w:szCs w:val="20"/>
              </w:rPr>
            </w:pPr>
            <w:r w:rsidRPr="00037AD4">
              <w:rPr>
                <w:rFonts w:asciiTheme="minorHAnsi" w:hAnsiTheme="minorHAnsi" w:cstheme="minorHAnsi"/>
                <w:sz w:val="20"/>
                <w:szCs w:val="20"/>
              </w:rPr>
              <w:t>IADL (Lawton Scale)</w:t>
            </w:r>
          </w:p>
        </w:tc>
        <w:tc>
          <w:tcPr>
            <w:tcW w:w="1875" w:type="dxa"/>
          </w:tcPr>
          <w:p w14:paraId="21A0F6E3" w14:textId="77777777" w:rsidR="00B54D51" w:rsidRPr="00037AD4" w:rsidRDefault="00B54D51" w:rsidP="008F00F0">
            <w:pPr>
              <w:rPr>
                <w:rFonts w:asciiTheme="minorHAnsi" w:hAnsiTheme="minorHAnsi" w:cstheme="minorHAnsi"/>
                <w:sz w:val="20"/>
                <w:szCs w:val="20"/>
              </w:rPr>
            </w:pPr>
            <w:r w:rsidRPr="00037AD4">
              <w:rPr>
                <w:rFonts w:asciiTheme="minorHAnsi" w:hAnsiTheme="minorHAnsi" w:cstheme="minorHAnsi"/>
                <w:sz w:val="20"/>
                <w:szCs w:val="20"/>
              </w:rPr>
              <w:t>Instrumental ADLs via 8 domains</w:t>
            </w:r>
          </w:p>
        </w:tc>
        <w:tc>
          <w:tcPr>
            <w:tcW w:w="1103" w:type="dxa"/>
          </w:tcPr>
          <w:p w14:paraId="372C3543" w14:textId="77777777" w:rsidR="00B54D51" w:rsidRPr="00037AD4" w:rsidRDefault="00B54D51" w:rsidP="008F00F0">
            <w:pPr>
              <w:rPr>
                <w:rFonts w:asciiTheme="minorHAnsi" w:hAnsiTheme="minorHAnsi" w:cstheme="minorHAnsi"/>
                <w:sz w:val="20"/>
                <w:szCs w:val="20"/>
              </w:rPr>
            </w:pPr>
          </w:p>
        </w:tc>
        <w:tc>
          <w:tcPr>
            <w:tcW w:w="610" w:type="dxa"/>
          </w:tcPr>
          <w:p w14:paraId="36041A2A" w14:textId="77777777" w:rsidR="00B54D51" w:rsidRPr="00037AD4" w:rsidRDefault="00B54D51" w:rsidP="008F00F0">
            <w:pPr>
              <w:rPr>
                <w:rFonts w:asciiTheme="minorHAnsi" w:hAnsiTheme="minorHAnsi" w:cstheme="minorHAnsi"/>
                <w:sz w:val="20"/>
                <w:szCs w:val="20"/>
              </w:rPr>
            </w:pPr>
          </w:p>
        </w:tc>
        <w:tc>
          <w:tcPr>
            <w:tcW w:w="1237" w:type="dxa"/>
          </w:tcPr>
          <w:p w14:paraId="566C9A65" w14:textId="77777777" w:rsidR="00B54D51" w:rsidRPr="00037AD4" w:rsidRDefault="00B54D51" w:rsidP="008F00F0">
            <w:pPr>
              <w:rPr>
                <w:rFonts w:asciiTheme="minorHAnsi" w:hAnsiTheme="minorHAnsi" w:cstheme="minorHAnsi"/>
                <w:sz w:val="20"/>
                <w:szCs w:val="20"/>
              </w:rPr>
            </w:pPr>
            <w:r w:rsidRPr="00037AD4">
              <w:rPr>
                <w:rFonts w:ascii="Segoe UI Symbol" w:hAnsi="Segoe UI Symbol" w:cs="Segoe UI Symbol"/>
                <w:b/>
                <w:bCs/>
                <w:color w:val="202124"/>
                <w:sz w:val="20"/>
                <w:szCs w:val="20"/>
              </w:rPr>
              <w:t>✓</w:t>
            </w:r>
          </w:p>
        </w:tc>
        <w:tc>
          <w:tcPr>
            <w:tcW w:w="1804" w:type="dxa"/>
          </w:tcPr>
          <w:p w14:paraId="1F6BE611" w14:textId="77777777" w:rsidR="00B54D51" w:rsidRPr="00037AD4" w:rsidRDefault="00B54D51" w:rsidP="008F00F0">
            <w:pPr>
              <w:rPr>
                <w:rFonts w:asciiTheme="minorHAnsi" w:hAnsiTheme="minorHAnsi" w:cstheme="minorHAnsi"/>
                <w:sz w:val="20"/>
                <w:szCs w:val="20"/>
              </w:rPr>
            </w:pPr>
            <w:r w:rsidRPr="00037AD4">
              <w:rPr>
                <w:rFonts w:asciiTheme="minorHAnsi" w:hAnsiTheme="minorHAnsi" w:cstheme="minorHAnsi"/>
                <w:sz w:val="20"/>
                <w:szCs w:val="20"/>
              </w:rPr>
              <w:t xml:space="preserve">Items are rated dichotomously, and the 8 responses are summed </w:t>
            </w:r>
            <w:r>
              <w:rPr>
                <w:rFonts w:asciiTheme="minorHAnsi" w:hAnsiTheme="minorHAnsi" w:cstheme="minorHAnsi"/>
                <w:noProof/>
                <w:sz w:val="20"/>
                <w:szCs w:val="20"/>
              </w:rPr>
              <w:t>(Graf, 2008)</w:t>
            </w:r>
          </w:p>
        </w:tc>
        <w:tc>
          <w:tcPr>
            <w:tcW w:w="1701" w:type="dxa"/>
          </w:tcPr>
          <w:p w14:paraId="0965D7B2" w14:textId="77777777" w:rsidR="00B54D51" w:rsidRPr="00037AD4" w:rsidRDefault="00B54D51" w:rsidP="008F00F0">
            <w:pPr>
              <w:rPr>
                <w:rFonts w:asciiTheme="minorHAnsi" w:hAnsiTheme="minorHAnsi" w:cstheme="minorHAnsi"/>
                <w:sz w:val="20"/>
                <w:szCs w:val="20"/>
              </w:rPr>
            </w:pPr>
            <w:r w:rsidRPr="00037AD4">
              <w:rPr>
                <w:rFonts w:asciiTheme="minorHAnsi" w:hAnsiTheme="minorHAnsi" w:cstheme="minorHAnsi"/>
                <w:sz w:val="20"/>
                <w:szCs w:val="20"/>
              </w:rPr>
              <w:t>Higher scores indicate greater independence/ better function</w:t>
            </w:r>
          </w:p>
        </w:tc>
      </w:tr>
      <w:tr w:rsidR="00B54D51" w:rsidRPr="00037AD4" w14:paraId="3E68EEED" w14:textId="77777777" w:rsidTr="008F00F0">
        <w:tc>
          <w:tcPr>
            <w:tcW w:w="1304" w:type="dxa"/>
          </w:tcPr>
          <w:p w14:paraId="4B0BBD58" w14:textId="77777777" w:rsidR="00B54D51" w:rsidRPr="00037AD4" w:rsidRDefault="00B54D51" w:rsidP="008F00F0">
            <w:pPr>
              <w:rPr>
                <w:rFonts w:asciiTheme="minorHAnsi" w:hAnsiTheme="minorHAnsi" w:cstheme="minorHAnsi"/>
                <w:sz w:val="20"/>
                <w:szCs w:val="20"/>
              </w:rPr>
            </w:pPr>
            <w:r w:rsidRPr="00037AD4">
              <w:rPr>
                <w:rFonts w:asciiTheme="minorHAnsi" w:hAnsiTheme="minorHAnsi" w:cstheme="minorHAnsi"/>
                <w:sz w:val="20"/>
                <w:szCs w:val="20"/>
              </w:rPr>
              <w:t xml:space="preserve">PSMS </w:t>
            </w:r>
          </w:p>
        </w:tc>
        <w:tc>
          <w:tcPr>
            <w:tcW w:w="1875" w:type="dxa"/>
          </w:tcPr>
          <w:p w14:paraId="1C6BB309" w14:textId="77777777" w:rsidR="00B54D51" w:rsidRPr="00037AD4" w:rsidRDefault="00B54D51" w:rsidP="008F00F0">
            <w:pPr>
              <w:rPr>
                <w:rFonts w:asciiTheme="minorHAnsi" w:hAnsiTheme="minorHAnsi" w:cstheme="minorHAnsi"/>
                <w:sz w:val="20"/>
                <w:szCs w:val="20"/>
              </w:rPr>
            </w:pPr>
            <w:r w:rsidRPr="00037AD4">
              <w:rPr>
                <w:rFonts w:asciiTheme="minorHAnsi" w:hAnsiTheme="minorHAnsi" w:cstheme="minorHAnsi"/>
                <w:sz w:val="20"/>
                <w:szCs w:val="20"/>
              </w:rPr>
              <w:t>Basic ADLs via 6 domains</w:t>
            </w:r>
          </w:p>
        </w:tc>
        <w:tc>
          <w:tcPr>
            <w:tcW w:w="1103" w:type="dxa"/>
          </w:tcPr>
          <w:p w14:paraId="6AC0207B" w14:textId="77777777" w:rsidR="00B54D51" w:rsidRPr="00037AD4" w:rsidRDefault="00B54D51" w:rsidP="008F00F0">
            <w:pPr>
              <w:rPr>
                <w:rFonts w:asciiTheme="minorHAnsi" w:hAnsiTheme="minorHAnsi" w:cstheme="minorHAnsi"/>
                <w:sz w:val="20"/>
                <w:szCs w:val="20"/>
              </w:rPr>
            </w:pPr>
          </w:p>
        </w:tc>
        <w:tc>
          <w:tcPr>
            <w:tcW w:w="610" w:type="dxa"/>
          </w:tcPr>
          <w:p w14:paraId="67AB0212" w14:textId="77777777" w:rsidR="00B54D51" w:rsidRPr="00037AD4" w:rsidRDefault="00B54D51" w:rsidP="008F00F0">
            <w:pPr>
              <w:rPr>
                <w:rFonts w:asciiTheme="minorHAnsi" w:hAnsiTheme="minorHAnsi" w:cstheme="minorHAnsi"/>
                <w:sz w:val="20"/>
                <w:szCs w:val="20"/>
              </w:rPr>
            </w:pPr>
          </w:p>
        </w:tc>
        <w:tc>
          <w:tcPr>
            <w:tcW w:w="1237" w:type="dxa"/>
          </w:tcPr>
          <w:p w14:paraId="267B6241" w14:textId="77777777" w:rsidR="00B54D51" w:rsidRPr="00037AD4" w:rsidRDefault="00B54D51" w:rsidP="008F00F0">
            <w:pPr>
              <w:rPr>
                <w:rFonts w:asciiTheme="minorHAnsi" w:hAnsiTheme="minorHAnsi" w:cstheme="minorHAnsi"/>
                <w:sz w:val="20"/>
                <w:szCs w:val="20"/>
              </w:rPr>
            </w:pPr>
            <w:r w:rsidRPr="00037AD4">
              <w:rPr>
                <w:rFonts w:ascii="Segoe UI Symbol" w:hAnsi="Segoe UI Symbol" w:cs="Segoe UI Symbol"/>
                <w:b/>
                <w:bCs/>
                <w:color w:val="202124"/>
                <w:sz w:val="20"/>
                <w:szCs w:val="20"/>
              </w:rPr>
              <w:t>✓</w:t>
            </w:r>
          </w:p>
        </w:tc>
        <w:tc>
          <w:tcPr>
            <w:tcW w:w="1804" w:type="dxa"/>
          </w:tcPr>
          <w:p w14:paraId="667518CD" w14:textId="77777777" w:rsidR="00B54D51" w:rsidRPr="00037AD4" w:rsidRDefault="00B54D51" w:rsidP="008F00F0">
            <w:pPr>
              <w:rPr>
                <w:rFonts w:asciiTheme="minorHAnsi" w:hAnsiTheme="minorHAnsi" w:cstheme="minorHAnsi"/>
                <w:sz w:val="20"/>
                <w:szCs w:val="20"/>
              </w:rPr>
            </w:pPr>
            <w:r w:rsidRPr="00037AD4">
              <w:rPr>
                <w:rFonts w:asciiTheme="minorHAnsi" w:hAnsiTheme="minorHAnsi" w:cstheme="minorHAnsi"/>
                <w:sz w:val="20"/>
                <w:szCs w:val="20"/>
              </w:rPr>
              <w:t xml:space="preserve">Items are dichotomously, and the 6 </w:t>
            </w:r>
            <w:r w:rsidRPr="00037AD4">
              <w:rPr>
                <w:rFonts w:asciiTheme="minorHAnsi" w:hAnsiTheme="minorHAnsi" w:cstheme="minorHAnsi"/>
                <w:sz w:val="20"/>
                <w:szCs w:val="20"/>
              </w:rPr>
              <w:lastRenderedPageBreak/>
              <w:t xml:space="preserve">responses are summed </w:t>
            </w:r>
            <w:r>
              <w:rPr>
                <w:rFonts w:asciiTheme="minorHAnsi" w:hAnsiTheme="minorHAnsi" w:cstheme="minorHAnsi"/>
                <w:noProof/>
                <w:sz w:val="20"/>
                <w:szCs w:val="20"/>
              </w:rPr>
              <w:t>(Lawton, 1988)</w:t>
            </w:r>
          </w:p>
        </w:tc>
        <w:tc>
          <w:tcPr>
            <w:tcW w:w="1701" w:type="dxa"/>
          </w:tcPr>
          <w:p w14:paraId="35454B5D" w14:textId="77777777" w:rsidR="00B54D51" w:rsidRPr="00037AD4" w:rsidRDefault="00B54D51" w:rsidP="008F00F0">
            <w:pPr>
              <w:rPr>
                <w:rFonts w:asciiTheme="minorHAnsi" w:hAnsiTheme="minorHAnsi" w:cstheme="minorHAnsi"/>
                <w:sz w:val="20"/>
                <w:szCs w:val="20"/>
              </w:rPr>
            </w:pPr>
            <w:r w:rsidRPr="00037AD4">
              <w:rPr>
                <w:rFonts w:asciiTheme="minorHAnsi" w:hAnsiTheme="minorHAnsi" w:cstheme="minorHAnsi"/>
                <w:sz w:val="20"/>
                <w:szCs w:val="20"/>
              </w:rPr>
              <w:lastRenderedPageBreak/>
              <w:t xml:space="preserve">Higher scores indicate greater </w:t>
            </w:r>
            <w:r w:rsidRPr="00037AD4">
              <w:rPr>
                <w:rFonts w:asciiTheme="minorHAnsi" w:hAnsiTheme="minorHAnsi" w:cstheme="minorHAnsi"/>
                <w:sz w:val="20"/>
                <w:szCs w:val="20"/>
              </w:rPr>
              <w:lastRenderedPageBreak/>
              <w:t>independence/ better function</w:t>
            </w:r>
          </w:p>
        </w:tc>
      </w:tr>
      <w:tr w:rsidR="00B54D51" w:rsidRPr="00037AD4" w14:paraId="30B29201" w14:textId="77777777" w:rsidTr="008F00F0">
        <w:tc>
          <w:tcPr>
            <w:tcW w:w="9634" w:type="dxa"/>
            <w:gridSpan w:val="7"/>
          </w:tcPr>
          <w:p w14:paraId="5AA2C028" w14:textId="77777777" w:rsidR="00B54D51" w:rsidRPr="00B54D51" w:rsidRDefault="00B54D51" w:rsidP="008F00F0">
            <w:pPr>
              <w:rPr>
                <w:rFonts w:asciiTheme="minorHAnsi" w:hAnsiTheme="minorHAnsi" w:cstheme="minorHAnsi"/>
                <w:sz w:val="19"/>
                <w:szCs w:val="19"/>
              </w:rPr>
            </w:pPr>
            <w:r w:rsidRPr="00B54D51">
              <w:rPr>
                <w:rFonts w:asciiTheme="minorHAnsi" w:hAnsiTheme="minorHAnsi" w:cstheme="minorHAnsi"/>
                <w:sz w:val="19"/>
                <w:szCs w:val="19"/>
              </w:rPr>
              <w:lastRenderedPageBreak/>
              <w:t>BADLS, Bristol activities of daily living scale; CDR, clinical dementia rating scale; CSDD, Cornell scale for depression in dementia; DEMQoL, Dementia quality of life instrument; FAST, Functional assessment staging tool; IADL, Lawton’s instrument activities of daily living scale; ICECAP-O, ICEpop Capability measure for Older people; MMSE, mini-mental state examination; NPI-Q, neuropsychiatric inventory questionnaire; NPI-NH, neuropsychiatric inventory nursing home version; PSMS, physical self-maintenance scale; QoL-AD, quality of life in Alzheimer’s disease scale; QoL-AD NH, quality of life in Alzheimer’s disease in nursing homes; QUALID, quality of life in late-stage dementia scale</w:t>
            </w:r>
          </w:p>
        </w:tc>
      </w:tr>
    </w:tbl>
    <w:p w14:paraId="2E95F0DD" w14:textId="77777777" w:rsidR="00B77D6A" w:rsidRDefault="00B77D6A" w:rsidP="007A43F9">
      <w:pPr>
        <w:pStyle w:val="Heading2"/>
      </w:pPr>
    </w:p>
    <w:p w14:paraId="590C29C2" w14:textId="7B84BEBA" w:rsidR="00B54D51" w:rsidRPr="00037AD4" w:rsidRDefault="00B54D51" w:rsidP="007A43F9">
      <w:pPr>
        <w:pStyle w:val="Heading2"/>
      </w:pPr>
      <w:bookmarkStart w:id="325" w:name="_Toc175742304"/>
      <w:r w:rsidRPr="00037AD4">
        <w:t>4.4 Results</w:t>
      </w:r>
      <w:bookmarkEnd w:id="325"/>
      <w:r w:rsidRPr="00037AD4">
        <w:t xml:space="preserve"> </w:t>
      </w:r>
    </w:p>
    <w:p w14:paraId="42AACC38" w14:textId="77777777" w:rsidR="00B54D51" w:rsidRPr="00037AD4" w:rsidRDefault="00B54D51" w:rsidP="007A43F9"/>
    <w:p w14:paraId="2D696AE5" w14:textId="77777777" w:rsidR="00B54D51" w:rsidRPr="00037AD4" w:rsidRDefault="00B54D51" w:rsidP="00241EAD">
      <w:pPr>
        <w:rPr>
          <w:rFonts w:asciiTheme="minorHAnsi" w:hAnsiTheme="minorHAnsi" w:cstheme="minorHAnsi"/>
          <w:color w:val="000000" w:themeColor="text1"/>
        </w:rPr>
      </w:pPr>
      <w:r w:rsidRPr="00037AD4">
        <w:rPr>
          <w:rFonts w:asciiTheme="minorHAnsi" w:hAnsiTheme="minorHAnsi" w:cstheme="minorHAnsi"/>
          <w:color w:val="000000" w:themeColor="text1"/>
        </w:rPr>
        <w:t xml:space="preserve">The following section provides the results of the statistical analyses applied to the three study datasets. </w:t>
      </w:r>
    </w:p>
    <w:p w14:paraId="403691E8" w14:textId="77777777" w:rsidR="00B54D51" w:rsidRPr="00037AD4" w:rsidRDefault="00B54D51" w:rsidP="00241EAD">
      <w:pPr>
        <w:rPr>
          <w:rFonts w:asciiTheme="minorHAnsi" w:hAnsiTheme="minorHAnsi" w:cstheme="minorHAnsi"/>
          <w:color w:val="FF0000"/>
        </w:rPr>
      </w:pPr>
    </w:p>
    <w:p w14:paraId="08884C66" w14:textId="77777777" w:rsidR="00B54D51" w:rsidRPr="00037AD4" w:rsidRDefault="00B54D51" w:rsidP="007A43F9">
      <w:pPr>
        <w:pStyle w:val="Heading3"/>
      </w:pPr>
      <w:bookmarkStart w:id="326" w:name="_Toc175742305"/>
      <w:r w:rsidRPr="00037AD4">
        <w:t>4.4.1 Sample characteristics</w:t>
      </w:r>
      <w:bookmarkEnd w:id="326"/>
      <w:r w:rsidRPr="00037AD4">
        <w:t xml:space="preserve"> </w:t>
      </w:r>
    </w:p>
    <w:p w14:paraId="6FE793BB" w14:textId="77777777" w:rsidR="00B54D51" w:rsidRPr="00037AD4" w:rsidRDefault="00B54D51" w:rsidP="00241EAD">
      <w:pPr>
        <w:rPr>
          <w:rFonts w:asciiTheme="minorHAnsi" w:hAnsiTheme="minorHAnsi" w:cstheme="minorHAnsi"/>
          <w:b/>
          <w:bCs/>
          <w:color w:val="FF0000"/>
          <w:u w:val="single"/>
        </w:rPr>
      </w:pPr>
    </w:p>
    <w:p w14:paraId="221B735B" w14:textId="77777777" w:rsidR="00B54D51" w:rsidRPr="00037AD4" w:rsidRDefault="00B54D51" w:rsidP="00241EAD">
      <w:pPr>
        <w:rPr>
          <w:rFonts w:asciiTheme="minorHAnsi" w:hAnsiTheme="minorHAnsi" w:cstheme="minorHAnsi"/>
          <w:color w:val="000000" w:themeColor="text1"/>
        </w:rPr>
      </w:pPr>
      <w:r w:rsidRPr="00037AD4">
        <w:rPr>
          <w:rFonts w:asciiTheme="minorHAnsi" w:hAnsiTheme="minorHAnsi" w:cstheme="minorHAnsi"/>
        </w:rPr>
        <w:t xml:space="preserve">Table 14 </w:t>
      </w:r>
      <w:r w:rsidRPr="00037AD4">
        <w:rPr>
          <w:rFonts w:asciiTheme="minorHAnsi" w:hAnsiTheme="minorHAnsi" w:cstheme="minorHAnsi"/>
          <w:color w:val="000000" w:themeColor="text1"/>
        </w:rPr>
        <w:t>includes an overview of the descriptive statistics of the study samples using a cross-section of baseline data. The demographic characteristics of people with dementia and their informal proxies are presented, offering insights into the composition of the participant groups in the EPIC, REMCARE and ACTIFCARE studies.</w:t>
      </w:r>
    </w:p>
    <w:p w14:paraId="12253ECE" w14:textId="77777777" w:rsidR="00B54D51" w:rsidRPr="00037AD4" w:rsidRDefault="00B54D51" w:rsidP="00241EAD">
      <w:pPr>
        <w:rPr>
          <w:rFonts w:asciiTheme="minorHAnsi" w:hAnsiTheme="minorHAnsi" w:cstheme="minorHAnsi"/>
          <w:color w:val="000000" w:themeColor="text1"/>
        </w:rPr>
      </w:pPr>
    </w:p>
    <w:p w14:paraId="39E72905" w14:textId="77777777" w:rsidR="00B54D51" w:rsidRPr="00037AD4" w:rsidRDefault="00B54D51" w:rsidP="00241EAD">
      <w:pPr>
        <w:rPr>
          <w:rFonts w:asciiTheme="minorHAnsi" w:hAnsiTheme="minorHAnsi" w:cstheme="minorHAnsi"/>
          <w:color w:val="000000" w:themeColor="text1"/>
        </w:rPr>
      </w:pPr>
      <w:r w:rsidRPr="00037AD4">
        <w:rPr>
          <w:rFonts w:asciiTheme="minorHAnsi" w:hAnsiTheme="minorHAnsi" w:cstheme="minorHAnsi"/>
          <w:color w:val="000000" w:themeColor="text1"/>
        </w:rPr>
        <w:t xml:space="preserve">The mean age of people with dementia was oldest in the EPIC study, with adult children (including children-in-law) being the dominant relationship with informal proxies. Approximately 74% of people with dementia in the EPIC study were female, reflecting a notable gender bias. The REMCARE and ACTIFCARE studies recruited near equal proportions of male and female people with dementia, with spouses being the dominant relationship for informal proxies in these two studies. The sex distribution of informal proxies was nearly the same for these studies too (approximately 67% female), with a similar mean proxy age of just below 70 years. </w:t>
      </w:r>
    </w:p>
    <w:p w14:paraId="741D89E4" w14:textId="77777777" w:rsidR="00B54D51" w:rsidRPr="00037AD4" w:rsidRDefault="00B54D51" w:rsidP="00241EAD">
      <w:pPr>
        <w:rPr>
          <w:rFonts w:asciiTheme="minorHAnsi" w:hAnsiTheme="minorHAnsi" w:cstheme="minorHAnsi"/>
          <w:color w:val="000000" w:themeColor="text1"/>
        </w:rPr>
      </w:pPr>
    </w:p>
    <w:p w14:paraId="2C3FF14E" w14:textId="77777777" w:rsidR="00B54D51" w:rsidRPr="00037AD4" w:rsidRDefault="00B54D51" w:rsidP="00241EAD">
      <w:pPr>
        <w:rPr>
          <w:rFonts w:asciiTheme="minorHAnsi" w:hAnsiTheme="minorHAnsi" w:cstheme="minorHAnsi"/>
          <w:color w:val="000000" w:themeColor="text1"/>
        </w:rPr>
      </w:pPr>
      <w:r w:rsidRPr="00037AD4">
        <w:rPr>
          <w:rFonts w:asciiTheme="minorHAnsi" w:hAnsiTheme="minorHAnsi" w:cstheme="minorHAnsi"/>
          <w:color w:val="000000" w:themeColor="text1"/>
        </w:rPr>
        <w:t>The REMCARE and ACTIFCARE studies exhibited similar profiles in terms of dementia severity stage, with the majority of people with dementia having mild dementia. The EPIC trial had a higher proportion of people with dementia in the moderate or severe stages (nearly 70% of the sample). The type of dementia was largely unreported in the REMCARE study, while the EPIC trial did not collect this information.</w:t>
      </w:r>
    </w:p>
    <w:p w14:paraId="2C191262" w14:textId="77777777" w:rsidR="00B54D51" w:rsidRPr="00037AD4" w:rsidRDefault="00B54D51" w:rsidP="00241EAD">
      <w:pPr>
        <w:rPr>
          <w:rFonts w:asciiTheme="minorHAnsi" w:hAnsiTheme="minorHAnsi" w:cstheme="minorHAnsi"/>
          <w:color w:val="000000" w:themeColor="text1"/>
        </w:rPr>
      </w:pPr>
    </w:p>
    <w:p w14:paraId="58E2F34C" w14:textId="77777777" w:rsidR="00B54D51" w:rsidRPr="00037AD4" w:rsidRDefault="00B54D51" w:rsidP="00241EAD">
      <w:pPr>
        <w:rPr>
          <w:rFonts w:asciiTheme="minorHAnsi" w:hAnsiTheme="minorHAnsi" w:cstheme="minorHAnsi"/>
          <w:color w:val="000000" w:themeColor="text1"/>
        </w:rPr>
      </w:pPr>
      <w:r w:rsidRPr="00037AD4">
        <w:rPr>
          <w:rFonts w:asciiTheme="minorHAnsi" w:hAnsiTheme="minorHAnsi" w:cstheme="minorHAnsi"/>
          <w:color w:val="000000" w:themeColor="text1"/>
        </w:rPr>
        <w:t xml:space="preserve">Comorbidity prevalence collected by the EPIC study showed that approximately 90% of the PwD sample had comorbidities at baseline. In the ACTIFCARE study, around 72% of the people with dementia cohabited with the informal caregivers who served as the proxy, and approximately 40% had regular daily contact. This information is not reported in the table. </w:t>
      </w:r>
    </w:p>
    <w:p w14:paraId="219B3B07" w14:textId="77777777" w:rsidR="00B77D6A" w:rsidRDefault="00B77D6A" w:rsidP="00241EAD">
      <w:pPr>
        <w:rPr>
          <w:rFonts w:asciiTheme="minorHAnsi" w:hAnsiTheme="minorHAnsi" w:cstheme="minorHAnsi"/>
          <w:b/>
          <w:bCs/>
          <w:color w:val="FF0000"/>
          <w:u w:val="single"/>
        </w:rPr>
      </w:pPr>
    </w:p>
    <w:p w14:paraId="3FCBDCAA" w14:textId="49461B89" w:rsidR="00B54D51" w:rsidRPr="00037AD4" w:rsidRDefault="00B54D51" w:rsidP="00241EAD">
      <w:pPr>
        <w:rPr>
          <w:rFonts w:asciiTheme="minorHAnsi" w:hAnsiTheme="minorHAnsi" w:cstheme="minorHAnsi"/>
          <w:b/>
          <w:bCs/>
          <w:i/>
          <w:iCs/>
          <w:color w:val="FF0000"/>
        </w:rPr>
      </w:pPr>
      <w:r w:rsidRPr="00037AD4">
        <w:rPr>
          <w:rFonts w:asciiTheme="minorHAnsi" w:hAnsiTheme="minorHAnsi" w:cstheme="minorHAnsi"/>
          <w:b/>
          <w:bCs/>
          <w:i/>
          <w:iCs/>
        </w:rPr>
        <w:lastRenderedPageBreak/>
        <w:t xml:space="preserve">Table 14, Descriptive statistics of the three dementia study samples </w:t>
      </w:r>
    </w:p>
    <w:p w14:paraId="0ADD3F3A" w14:textId="77777777" w:rsidR="00B54D51" w:rsidRPr="00037AD4" w:rsidRDefault="00B54D51" w:rsidP="00241EAD">
      <w:pPr>
        <w:rPr>
          <w:rFonts w:asciiTheme="minorHAnsi" w:hAnsiTheme="minorHAnsi" w:cstheme="minorHAnsi"/>
          <w:b/>
          <w:bCs/>
          <w:color w:val="FF0000"/>
          <w:u w:val="single"/>
        </w:rPr>
      </w:pPr>
    </w:p>
    <w:tbl>
      <w:tblPr>
        <w:tblStyle w:val="TableGrid"/>
        <w:tblW w:w="8926" w:type="dxa"/>
        <w:tblLook w:val="04A0" w:firstRow="1" w:lastRow="0" w:firstColumn="1" w:lastColumn="0" w:noHBand="0" w:noVBand="1"/>
      </w:tblPr>
      <w:tblGrid>
        <w:gridCol w:w="3256"/>
        <w:gridCol w:w="1701"/>
        <w:gridCol w:w="1984"/>
        <w:gridCol w:w="1985"/>
      </w:tblGrid>
      <w:tr w:rsidR="00B54D51" w:rsidRPr="00037AD4" w14:paraId="6CCC7092" w14:textId="77777777" w:rsidTr="007166B6">
        <w:trPr>
          <w:tblHeader/>
        </w:trPr>
        <w:tc>
          <w:tcPr>
            <w:tcW w:w="3256" w:type="dxa"/>
            <w:tcBorders>
              <w:top w:val="nil"/>
              <w:left w:val="nil"/>
            </w:tcBorders>
          </w:tcPr>
          <w:p w14:paraId="64CF42E6" w14:textId="77777777" w:rsidR="00B54D51" w:rsidRPr="00037AD4" w:rsidRDefault="00B54D51" w:rsidP="008F00F0">
            <w:pPr>
              <w:rPr>
                <w:rFonts w:asciiTheme="minorHAnsi" w:hAnsiTheme="minorHAnsi" w:cstheme="minorHAnsi"/>
              </w:rPr>
            </w:pPr>
          </w:p>
        </w:tc>
        <w:tc>
          <w:tcPr>
            <w:tcW w:w="5670" w:type="dxa"/>
            <w:gridSpan w:val="3"/>
          </w:tcPr>
          <w:p w14:paraId="7E465F8C" w14:textId="77777777" w:rsidR="00B54D51" w:rsidRPr="00037AD4" w:rsidRDefault="00B54D51" w:rsidP="008F00F0">
            <w:pPr>
              <w:jc w:val="center"/>
              <w:rPr>
                <w:rFonts w:asciiTheme="minorHAnsi" w:hAnsiTheme="minorHAnsi" w:cstheme="minorHAnsi"/>
              </w:rPr>
            </w:pPr>
            <w:r w:rsidRPr="00037AD4">
              <w:rPr>
                <w:rFonts w:asciiTheme="minorHAnsi" w:hAnsiTheme="minorHAnsi" w:cstheme="minorHAnsi"/>
              </w:rPr>
              <w:t>Study name</w:t>
            </w:r>
          </w:p>
        </w:tc>
      </w:tr>
      <w:tr w:rsidR="00B54D51" w:rsidRPr="00037AD4" w14:paraId="126CF046" w14:textId="77777777" w:rsidTr="007166B6">
        <w:trPr>
          <w:tblHeader/>
        </w:trPr>
        <w:tc>
          <w:tcPr>
            <w:tcW w:w="3256" w:type="dxa"/>
          </w:tcPr>
          <w:p w14:paraId="7A0794D6"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n (%)</w:t>
            </w:r>
          </w:p>
        </w:tc>
        <w:tc>
          <w:tcPr>
            <w:tcW w:w="1701" w:type="dxa"/>
          </w:tcPr>
          <w:p w14:paraId="0FE5C311"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REMCARE</w:t>
            </w:r>
          </w:p>
        </w:tc>
        <w:tc>
          <w:tcPr>
            <w:tcW w:w="1984" w:type="dxa"/>
          </w:tcPr>
          <w:p w14:paraId="7C79173F"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EPIC</w:t>
            </w:r>
          </w:p>
        </w:tc>
        <w:tc>
          <w:tcPr>
            <w:tcW w:w="1985" w:type="dxa"/>
          </w:tcPr>
          <w:p w14:paraId="4C7DD54E"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ACTIFCARE </w:t>
            </w:r>
          </w:p>
        </w:tc>
      </w:tr>
      <w:tr w:rsidR="00B54D51" w:rsidRPr="00037AD4" w14:paraId="57ECE931" w14:textId="77777777" w:rsidTr="008F00F0">
        <w:tc>
          <w:tcPr>
            <w:tcW w:w="3256" w:type="dxa"/>
          </w:tcPr>
          <w:p w14:paraId="784A6639"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Number of dyads</w:t>
            </w:r>
          </w:p>
        </w:tc>
        <w:tc>
          <w:tcPr>
            <w:tcW w:w="1701" w:type="dxa"/>
          </w:tcPr>
          <w:p w14:paraId="59408CC5"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488</w:t>
            </w:r>
          </w:p>
        </w:tc>
        <w:tc>
          <w:tcPr>
            <w:tcW w:w="1984" w:type="dxa"/>
          </w:tcPr>
          <w:p w14:paraId="1C654958"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734</w:t>
            </w:r>
          </w:p>
        </w:tc>
        <w:tc>
          <w:tcPr>
            <w:tcW w:w="1985" w:type="dxa"/>
          </w:tcPr>
          <w:p w14:paraId="74BB7E65"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451</w:t>
            </w:r>
          </w:p>
        </w:tc>
      </w:tr>
      <w:tr w:rsidR="00B54D51" w:rsidRPr="00037AD4" w14:paraId="3ACA9161" w14:textId="77777777" w:rsidTr="008F00F0">
        <w:tc>
          <w:tcPr>
            <w:tcW w:w="3256" w:type="dxa"/>
          </w:tcPr>
          <w:p w14:paraId="36BAEA6C"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Residential status of PwD</w:t>
            </w:r>
          </w:p>
          <w:p w14:paraId="3BC0011C"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Community dwelling</w:t>
            </w:r>
          </w:p>
          <w:p w14:paraId="4FF75AC6"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Institutionalised</w:t>
            </w:r>
          </w:p>
        </w:tc>
        <w:tc>
          <w:tcPr>
            <w:tcW w:w="1701" w:type="dxa"/>
          </w:tcPr>
          <w:p w14:paraId="5F624255" w14:textId="77777777" w:rsidR="00B54D51" w:rsidRPr="00037AD4" w:rsidRDefault="00B54D51" w:rsidP="008F00F0">
            <w:pPr>
              <w:rPr>
                <w:rFonts w:asciiTheme="minorHAnsi" w:hAnsiTheme="minorHAnsi" w:cstheme="minorHAnsi"/>
              </w:rPr>
            </w:pPr>
          </w:p>
          <w:p w14:paraId="5797A001"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488 (100)</w:t>
            </w:r>
          </w:p>
          <w:p w14:paraId="6EE21A21" w14:textId="77777777" w:rsidR="00B54D51" w:rsidRPr="00037AD4" w:rsidRDefault="00B54D51" w:rsidP="008F00F0">
            <w:pPr>
              <w:rPr>
                <w:rFonts w:asciiTheme="minorHAnsi" w:hAnsiTheme="minorHAnsi" w:cstheme="minorHAnsi"/>
              </w:rPr>
            </w:pPr>
          </w:p>
        </w:tc>
        <w:tc>
          <w:tcPr>
            <w:tcW w:w="1984" w:type="dxa"/>
          </w:tcPr>
          <w:p w14:paraId="73116709" w14:textId="77777777" w:rsidR="00B54D51" w:rsidRPr="00037AD4" w:rsidRDefault="00B54D51" w:rsidP="008F00F0">
            <w:pPr>
              <w:rPr>
                <w:rFonts w:asciiTheme="minorHAnsi" w:hAnsiTheme="minorHAnsi" w:cstheme="minorHAnsi"/>
              </w:rPr>
            </w:pPr>
          </w:p>
          <w:p w14:paraId="7DAAB8A1" w14:textId="77777777" w:rsidR="00B54D51" w:rsidRPr="00037AD4" w:rsidRDefault="00B54D51" w:rsidP="008F00F0">
            <w:pPr>
              <w:rPr>
                <w:rFonts w:asciiTheme="minorHAnsi" w:hAnsiTheme="minorHAnsi" w:cstheme="minorHAnsi"/>
              </w:rPr>
            </w:pPr>
          </w:p>
          <w:p w14:paraId="1979FC24"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734 (100)</w:t>
            </w:r>
          </w:p>
        </w:tc>
        <w:tc>
          <w:tcPr>
            <w:tcW w:w="1985" w:type="dxa"/>
          </w:tcPr>
          <w:p w14:paraId="77CAAA18" w14:textId="77777777" w:rsidR="00B54D51" w:rsidRPr="00037AD4" w:rsidRDefault="00B54D51" w:rsidP="008F00F0">
            <w:pPr>
              <w:rPr>
                <w:rFonts w:asciiTheme="minorHAnsi" w:hAnsiTheme="minorHAnsi" w:cstheme="minorHAnsi"/>
              </w:rPr>
            </w:pPr>
          </w:p>
          <w:p w14:paraId="34EC63B0"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426 (94.5)</w:t>
            </w:r>
          </w:p>
          <w:p w14:paraId="6BB93246"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25 (5.5)</w:t>
            </w:r>
          </w:p>
        </w:tc>
      </w:tr>
      <w:tr w:rsidR="00B54D51" w:rsidRPr="00037AD4" w14:paraId="45BAA6A5" w14:textId="77777777" w:rsidTr="008F00F0">
        <w:tc>
          <w:tcPr>
            <w:tcW w:w="3256" w:type="dxa"/>
          </w:tcPr>
          <w:p w14:paraId="08380A16"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Sex of PwD</w:t>
            </w:r>
          </w:p>
          <w:p w14:paraId="68E7AB48"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Male</w:t>
            </w:r>
          </w:p>
          <w:p w14:paraId="1AA2D954"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Female</w:t>
            </w:r>
          </w:p>
        </w:tc>
        <w:tc>
          <w:tcPr>
            <w:tcW w:w="1701" w:type="dxa"/>
          </w:tcPr>
          <w:p w14:paraId="74781BC4" w14:textId="77777777" w:rsidR="00B54D51" w:rsidRPr="00037AD4" w:rsidRDefault="00B54D51" w:rsidP="008F00F0">
            <w:pPr>
              <w:rPr>
                <w:rFonts w:asciiTheme="minorHAnsi" w:hAnsiTheme="minorHAnsi" w:cstheme="minorHAnsi"/>
              </w:rPr>
            </w:pPr>
          </w:p>
          <w:p w14:paraId="3ECE2D82"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245 (50.3)</w:t>
            </w:r>
          </w:p>
          <w:p w14:paraId="06B49F15"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242 (49.7)</w:t>
            </w:r>
          </w:p>
        </w:tc>
        <w:tc>
          <w:tcPr>
            <w:tcW w:w="1984" w:type="dxa"/>
          </w:tcPr>
          <w:p w14:paraId="5A47ADB6" w14:textId="77777777" w:rsidR="00B54D51" w:rsidRPr="00037AD4" w:rsidRDefault="00B54D51" w:rsidP="008F00F0">
            <w:pPr>
              <w:rPr>
                <w:rFonts w:asciiTheme="minorHAnsi" w:hAnsiTheme="minorHAnsi" w:cstheme="minorHAnsi"/>
              </w:rPr>
            </w:pPr>
          </w:p>
          <w:p w14:paraId="0AE00B18"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188 (26.2)</w:t>
            </w:r>
          </w:p>
          <w:p w14:paraId="50164161"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529 (73.8)</w:t>
            </w:r>
          </w:p>
        </w:tc>
        <w:tc>
          <w:tcPr>
            <w:tcW w:w="1985" w:type="dxa"/>
          </w:tcPr>
          <w:p w14:paraId="00D6FFC8" w14:textId="77777777" w:rsidR="00B54D51" w:rsidRPr="00037AD4" w:rsidRDefault="00B54D51" w:rsidP="008F00F0">
            <w:pPr>
              <w:rPr>
                <w:rFonts w:asciiTheme="minorHAnsi" w:hAnsiTheme="minorHAnsi" w:cstheme="minorHAnsi"/>
              </w:rPr>
            </w:pPr>
          </w:p>
          <w:p w14:paraId="531F5174"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205 (45.5)</w:t>
            </w:r>
          </w:p>
          <w:p w14:paraId="7384B903"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246 (54.5)</w:t>
            </w:r>
          </w:p>
        </w:tc>
      </w:tr>
      <w:tr w:rsidR="00B54D51" w:rsidRPr="00037AD4" w14:paraId="5D8CD80F" w14:textId="77777777" w:rsidTr="008F00F0">
        <w:tc>
          <w:tcPr>
            <w:tcW w:w="3256" w:type="dxa"/>
          </w:tcPr>
          <w:p w14:paraId="2497D9D7"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Age of PwD</w:t>
            </w:r>
          </w:p>
          <w:p w14:paraId="708CD509"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Mean (SD)</w:t>
            </w:r>
          </w:p>
          <w:p w14:paraId="65D5A27E"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Range</w:t>
            </w:r>
          </w:p>
        </w:tc>
        <w:tc>
          <w:tcPr>
            <w:tcW w:w="1701" w:type="dxa"/>
          </w:tcPr>
          <w:p w14:paraId="4FC7AF16" w14:textId="77777777" w:rsidR="00B54D51" w:rsidRPr="00037AD4" w:rsidRDefault="00B54D51" w:rsidP="008F00F0">
            <w:pPr>
              <w:rPr>
                <w:rFonts w:asciiTheme="minorHAnsi" w:hAnsiTheme="minorHAnsi" w:cstheme="minorHAnsi"/>
              </w:rPr>
            </w:pPr>
          </w:p>
          <w:p w14:paraId="3A94CDBD"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77.5 (7.3)</w:t>
            </w:r>
          </w:p>
          <w:p w14:paraId="79A590F7"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54 – 95 </w:t>
            </w:r>
          </w:p>
        </w:tc>
        <w:tc>
          <w:tcPr>
            <w:tcW w:w="1984" w:type="dxa"/>
          </w:tcPr>
          <w:p w14:paraId="5FB7549B" w14:textId="77777777" w:rsidR="00B54D51" w:rsidRPr="00037AD4" w:rsidRDefault="00B54D51" w:rsidP="008F00F0">
            <w:pPr>
              <w:rPr>
                <w:rFonts w:asciiTheme="minorHAnsi" w:hAnsiTheme="minorHAnsi" w:cstheme="minorHAnsi"/>
              </w:rPr>
            </w:pPr>
          </w:p>
          <w:p w14:paraId="1735A856"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85.6 (7.6)</w:t>
            </w:r>
          </w:p>
          <w:p w14:paraId="00879F8C"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58 – 102 </w:t>
            </w:r>
          </w:p>
        </w:tc>
        <w:tc>
          <w:tcPr>
            <w:tcW w:w="1985" w:type="dxa"/>
          </w:tcPr>
          <w:p w14:paraId="6E006917" w14:textId="77777777" w:rsidR="00B54D51" w:rsidRPr="00037AD4" w:rsidRDefault="00B54D51" w:rsidP="008F00F0">
            <w:pPr>
              <w:rPr>
                <w:rFonts w:asciiTheme="minorHAnsi" w:hAnsiTheme="minorHAnsi" w:cstheme="minorHAnsi"/>
              </w:rPr>
            </w:pPr>
          </w:p>
          <w:p w14:paraId="20CC9025"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77.8 (7.9)</w:t>
            </w:r>
          </w:p>
          <w:p w14:paraId="62C292F6"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47 – 98</w:t>
            </w:r>
          </w:p>
        </w:tc>
      </w:tr>
      <w:tr w:rsidR="00B54D51" w:rsidRPr="00037AD4" w14:paraId="64B39FD2" w14:textId="77777777" w:rsidTr="008F00F0">
        <w:tc>
          <w:tcPr>
            <w:tcW w:w="3256" w:type="dxa"/>
          </w:tcPr>
          <w:p w14:paraId="7F49987A"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Sex of informal proxy </w:t>
            </w:r>
          </w:p>
          <w:p w14:paraId="456B8924"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Male</w:t>
            </w:r>
          </w:p>
          <w:p w14:paraId="4978F7A1"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Female</w:t>
            </w:r>
          </w:p>
        </w:tc>
        <w:tc>
          <w:tcPr>
            <w:tcW w:w="1701" w:type="dxa"/>
          </w:tcPr>
          <w:p w14:paraId="40C0B541" w14:textId="77777777" w:rsidR="00B54D51" w:rsidRPr="00037AD4" w:rsidRDefault="00B54D51" w:rsidP="008F00F0">
            <w:pPr>
              <w:rPr>
                <w:rFonts w:asciiTheme="minorHAnsi" w:hAnsiTheme="minorHAnsi" w:cstheme="minorHAnsi"/>
              </w:rPr>
            </w:pPr>
          </w:p>
          <w:p w14:paraId="3BF64951"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160 (33.0)</w:t>
            </w:r>
          </w:p>
          <w:p w14:paraId="726785EF"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325 (67.0)</w:t>
            </w:r>
          </w:p>
        </w:tc>
        <w:tc>
          <w:tcPr>
            <w:tcW w:w="1984" w:type="dxa"/>
          </w:tcPr>
          <w:p w14:paraId="088A160B" w14:textId="77777777" w:rsidR="00B54D51" w:rsidRPr="00037AD4" w:rsidRDefault="00B54D51" w:rsidP="008F00F0">
            <w:pPr>
              <w:rPr>
                <w:rFonts w:asciiTheme="minorHAnsi" w:hAnsiTheme="minorHAnsi" w:cstheme="minorHAnsi"/>
              </w:rPr>
            </w:pPr>
          </w:p>
          <w:p w14:paraId="347C4CFC"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w:t>
            </w:r>
          </w:p>
        </w:tc>
        <w:tc>
          <w:tcPr>
            <w:tcW w:w="1985" w:type="dxa"/>
          </w:tcPr>
          <w:p w14:paraId="1FA220BD" w14:textId="77777777" w:rsidR="00B54D51" w:rsidRPr="00037AD4" w:rsidRDefault="00B54D51" w:rsidP="008F00F0">
            <w:pPr>
              <w:rPr>
                <w:rFonts w:asciiTheme="minorHAnsi" w:hAnsiTheme="minorHAnsi" w:cstheme="minorHAnsi"/>
              </w:rPr>
            </w:pPr>
          </w:p>
          <w:p w14:paraId="29CEA730"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151 (33.6)</w:t>
            </w:r>
          </w:p>
          <w:p w14:paraId="77F09C93"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299 (66.4)</w:t>
            </w:r>
          </w:p>
        </w:tc>
      </w:tr>
      <w:tr w:rsidR="00B54D51" w:rsidRPr="00037AD4" w14:paraId="312137EA" w14:textId="77777777" w:rsidTr="008F00F0">
        <w:tc>
          <w:tcPr>
            <w:tcW w:w="3256" w:type="dxa"/>
          </w:tcPr>
          <w:p w14:paraId="5A073532"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Age of informal proxy</w:t>
            </w:r>
          </w:p>
          <w:p w14:paraId="6190AD4F"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Mean (SD)</w:t>
            </w:r>
          </w:p>
          <w:p w14:paraId="065589FE"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Range </w:t>
            </w:r>
          </w:p>
        </w:tc>
        <w:tc>
          <w:tcPr>
            <w:tcW w:w="1701" w:type="dxa"/>
          </w:tcPr>
          <w:p w14:paraId="1A9B8408" w14:textId="77777777" w:rsidR="00B54D51" w:rsidRPr="00037AD4" w:rsidRDefault="00B54D51" w:rsidP="008F00F0">
            <w:pPr>
              <w:rPr>
                <w:rFonts w:asciiTheme="minorHAnsi" w:hAnsiTheme="minorHAnsi" w:cstheme="minorHAnsi"/>
              </w:rPr>
            </w:pPr>
          </w:p>
          <w:p w14:paraId="5B24E791"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69.6 (11.6)</w:t>
            </w:r>
          </w:p>
          <w:p w14:paraId="31D49C83"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23 – 91 </w:t>
            </w:r>
          </w:p>
        </w:tc>
        <w:tc>
          <w:tcPr>
            <w:tcW w:w="1984" w:type="dxa"/>
          </w:tcPr>
          <w:p w14:paraId="44852A93" w14:textId="77777777" w:rsidR="00B54D51" w:rsidRPr="00037AD4" w:rsidRDefault="00B54D51" w:rsidP="008F00F0">
            <w:pPr>
              <w:rPr>
                <w:rFonts w:asciiTheme="minorHAnsi" w:hAnsiTheme="minorHAnsi" w:cstheme="minorHAnsi"/>
              </w:rPr>
            </w:pPr>
          </w:p>
          <w:p w14:paraId="43BF3334"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w:t>
            </w:r>
          </w:p>
        </w:tc>
        <w:tc>
          <w:tcPr>
            <w:tcW w:w="1985" w:type="dxa"/>
          </w:tcPr>
          <w:p w14:paraId="191C17A7" w14:textId="77777777" w:rsidR="00B54D51" w:rsidRPr="00037AD4" w:rsidRDefault="00B54D51" w:rsidP="008F00F0">
            <w:pPr>
              <w:rPr>
                <w:rFonts w:asciiTheme="minorHAnsi" w:hAnsiTheme="minorHAnsi" w:cstheme="minorHAnsi"/>
              </w:rPr>
            </w:pPr>
          </w:p>
          <w:p w14:paraId="65C41943"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66.4 (13.3)</w:t>
            </w:r>
          </w:p>
          <w:p w14:paraId="2F0A1700"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25 – 92 </w:t>
            </w:r>
          </w:p>
        </w:tc>
      </w:tr>
      <w:tr w:rsidR="00B54D51" w:rsidRPr="00037AD4" w14:paraId="78F8FEB0" w14:textId="77777777" w:rsidTr="008F00F0">
        <w:tc>
          <w:tcPr>
            <w:tcW w:w="3256" w:type="dxa"/>
          </w:tcPr>
          <w:p w14:paraId="626AC879"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Relationship of informal proxy</w:t>
            </w:r>
          </w:p>
          <w:p w14:paraId="3599BA33"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Spouse</w:t>
            </w:r>
          </w:p>
          <w:p w14:paraId="6589141C"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Adult child</w:t>
            </w:r>
          </w:p>
          <w:p w14:paraId="56D5715A"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Other relative </w:t>
            </w:r>
          </w:p>
          <w:p w14:paraId="556A7B36"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Friend</w:t>
            </w:r>
          </w:p>
          <w:p w14:paraId="7105A792"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Other</w:t>
            </w:r>
          </w:p>
        </w:tc>
        <w:tc>
          <w:tcPr>
            <w:tcW w:w="1701" w:type="dxa"/>
          </w:tcPr>
          <w:p w14:paraId="00FA8DE5" w14:textId="77777777" w:rsidR="00B54D51" w:rsidRPr="00037AD4" w:rsidRDefault="00B54D51" w:rsidP="008F00F0">
            <w:pPr>
              <w:rPr>
                <w:rFonts w:asciiTheme="minorHAnsi" w:hAnsiTheme="minorHAnsi" w:cstheme="minorHAnsi"/>
              </w:rPr>
            </w:pPr>
          </w:p>
          <w:p w14:paraId="2722356D"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345 (71.0)</w:t>
            </w:r>
          </w:p>
          <w:p w14:paraId="66686905"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101 (20.8)</w:t>
            </w:r>
          </w:p>
          <w:p w14:paraId="4E91C2AA"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10 (2.1)</w:t>
            </w:r>
          </w:p>
          <w:p w14:paraId="48E5CDD2"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15 (3.1)</w:t>
            </w:r>
          </w:p>
          <w:p w14:paraId="3315D7DE"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15 (3.1)</w:t>
            </w:r>
          </w:p>
        </w:tc>
        <w:tc>
          <w:tcPr>
            <w:tcW w:w="1984" w:type="dxa"/>
          </w:tcPr>
          <w:p w14:paraId="68072CAC"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n=171</w:t>
            </w:r>
          </w:p>
          <w:p w14:paraId="7649B832"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44 (25.7)</w:t>
            </w:r>
          </w:p>
          <w:p w14:paraId="052C3DB8"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99 (57.9)</w:t>
            </w:r>
          </w:p>
          <w:p w14:paraId="0D487086"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21 (12.3)</w:t>
            </w:r>
          </w:p>
          <w:p w14:paraId="2F116C65"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7 (4.1)</w:t>
            </w:r>
          </w:p>
          <w:p w14:paraId="4A781C82" w14:textId="77777777" w:rsidR="00B54D51" w:rsidRPr="00037AD4" w:rsidRDefault="00B54D51" w:rsidP="008F00F0">
            <w:pPr>
              <w:rPr>
                <w:rFonts w:asciiTheme="minorHAnsi" w:hAnsiTheme="minorHAnsi" w:cstheme="minorHAnsi"/>
              </w:rPr>
            </w:pPr>
          </w:p>
        </w:tc>
        <w:tc>
          <w:tcPr>
            <w:tcW w:w="1985" w:type="dxa"/>
          </w:tcPr>
          <w:p w14:paraId="7CEA7B71" w14:textId="77777777" w:rsidR="00B54D51" w:rsidRPr="00037AD4" w:rsidRDefault="00B54D51" w:rsidP="008F00F0">
            <w:pPr>
              <w:rPr>
                <w:rFonts w:asciiTheme="minorHAnsi" w:hAnsiTheme="minorHAnsi" w:cstheme="minorHAnsi"/>
              </w:rPr>
            </w:pPr>
          </w:p>
          <w:p w14:paraId="4A8EA48C"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287 (63.6)</w:t>
            </w:r>
          </w:p>
          <w:p w14:paraId="5D4B6A7F"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144 (31.9)</w:t>
            </w:r>
          </w:p>
          <w:p w14:paraId="31416999"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14 (3.1)</w:t>
            </w:r>
          </w:p>
          <w:p w14:paraId="357CD5CB"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4 (&lt;1)</w:t>
            </w:r>
          </w:p>
          <w:p w14:paraId="1122A3F7"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1 (&lt;1)</w:t>
            </w:r>
          </w:p>
        </w:tc>
      </w:tr>
      <w:tr w:rsidR="00B54D51" w:rsidRPr="00037AD4" w14:paraId="0CBF77E9" w14:textId="77777777" w:rsidTr="008F00F0">
        <w:tc>
          <w:tcPr>
            <w:tcW w:w="3256" w:type="dxa"/>
          </w:tcPr>
          <w:p w14:paraId="034F9C7A"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CDR stage</w:t>
            </w:r>
          </w:p>
          <w:p w14:paraId="2032B596"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 no dementia</w:t>
            </w:r>
          </w:p>
          <w:p w14:paraId="546CF6FD"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0.5, very mild</w:t>
            </w:r>
          </w:p>
          <w:p w14:paraId="734C1AEE"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1, mild</w:t>
            </w:r>
          </w:p>
          <w:p w14:paraId="49B20031"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2, moderate</w:t>
            </w:r>
          </w:p>
          <w:p w14:paraId="4CBE28A6"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3, severe</w:t>
            </w:r>
          </w:p>
        </w:tc>
        <w:tc>
          <w:tcPr>
            <w:tcW w:w="1701" w:type="dxa"/>
          </w:tcPr>
          <w:p w14:paraId="362A41C5" w14:textId="77777777" w:rsidR="00B54D51" w:rsidRPr="00037AD4" w:rsidRDefault="00B54D51" w:rsidP="008F00F0">
            <w:pPr>
              <w:rPr>
                <w:rFonts w:asciiTheme="minorHAnsi" w:hAnsiTheme="minorHAnsi" w:cstheme="minorHAnsi"/>
              </w:rPr>
            </w:pPr>
          </w:p>
          <w:p w14:paraId="0E29F7C3" w14:textId="77777777" w:rsidR="00B54D51" w:rsidRPr="00037AD4" w:rsidRDefault="00B54D51" w:rsidP="008F00F0">
            <w:pPr>
              <w:rPr>
                <w:rFonts w:asciiTheme="minorHAnsi" w:hAnsiTheme="minorHAnsi" w:cstheme="minorHAnsi"/>
              </w:rPr>
            </w:pPr>
          </w:p>
          <w:p w14:paraId="7B12BB78"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30 (6.2)</w:t>
            </w:r>
          </w:p>
          <w:p w14:paraId="18AEDD50"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328 (67.4)</w:t>
            </w:r>
          </w:p>
          <w:p w14:paraId="076CFD23"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129 (26.5)</w:t>
            </w:r>
          </w:p>
          <w:p w14:paraId="7B37EE98" w14:textId="77777777" w:rsidR="00B54D51" w:rsidRPr="00037AD4" w:rsidRDefault="00B54D51" w:rsidP="008F00F0">
            <w:pPr>
              <w:rPr>
                <w:rFonts w:asciiTheme="minorHAnsi" w:hAnsiTheme="minorHAnsi" w:cstheme="minorHAnsi"/>
              </w:rPr>
            </w:pPr>
          </w:p>
        </w:tc>
        <w:tc>
          <w:tcPr>
            <w:tcW w:w="1984" w:type="dxa"/>
          </w:tcPr>
          <w:p w14:paraId="2BC936FB" w14:textId="77777777" w:rsidR="00B54D51" w:rsidRPr="00037AD4" w:rsidRDefault="00B54D51" w:rsidP="008F00F0">
            <w:pPr>
              <w:rPr>
                <w:rFonts w:asciiTheme="minorHAnsi" w:hAnsiTheme="minorHAnsi" w:cstheme="minorHAnsi"/>
              </w:rPr>
            </w:pPr>
          </w:p>
          <w:p w14:paraId="614EF51A"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3 (&lt;1)</w:t>
            </w:r>
          </w:p>
          <w:p w14:paraId="2D1DCFF2"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40 (5.5)</w:t>
            </w:r>
          </w:p>
          <w:p w14:paraId="6BBF4729"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180 (25.0)</w:t>
            </w:r>
          </w:p>
          <w:p w14:paraId="2419DE57"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271 (37.5)</w:t>
            </w:r>
          </w:p>
          <w:p w14:paraId="0F737F8F"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228 (31.6)</w:t>
            </w:r>
          </w:p>
        </w:tc>
        <w:tc>
          <w:tcPr>
            <w:tcW w:w="1985" w:type="dxa"/>
          </w:tcPr>
          <w:p w14:paraId="5CF13D28" w14:textId="77777777" w:rsidR="00B54D51" w:rsidRPr="00037AD4" w:rsidRDefault="00B54D51" w:rsidP="008F00F0">
            <w:pPr>
              <w:rPr>
                <w:rFonts w:asciiTheme="minorHAnsi" w:hAnsiTheme="minorHAnsi" w:cstheme="minorHAnsi"/>
              </w:rPr>
            </w:pPr>
          </w:p>
          <w:p w14:paraId="2DC407D1" w14:textId="77777777" w:rsidR="00B54D51" w:rsidRPr="00037AD4" w:rsidRDefault="00B54D51" w:rsidP="008F00F0">
            <w:pPr>
              <w:rPr>
                <w:rFonts w:asciiTheme="minorHAnsi" w:hAnsiTheme="minorHAnsi" w:cstheme="minorHAnsi"/>
              </w:rPr>
            </w:pPr>
          </w:p>
          <w:p w14:paraId="546CA010"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9 (2.0)</w:t>
            </w:r>
          </w:p>
          <w:p w14:paraId="6645560F"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345 (78.2)</w:t>
            </w:r>
          </w:p>
          <w:p w14:paraId="0D036BE6"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87 (19.7)</w:t>
            </w:r>
          </w:p>
          <w:p w14:paraId="574EFFFD" w14:textId="77777777" w:rsidR="00B54D51" w:rsidRPr="00037AD4" w:rsidRDefault="00B54D51" w:rsidP="008F00F0">
            <w:pPr>
              <w:rPr>
                <w:rFonts w:asciiTheme="minorHAnsi" w:hAnsiTheme="minorHAnsi" w:cstheme="minorHAnsi"/>
              </w:rPr>
            </w:pPr>
          </w:p>
        </w:tc>
      </w:tr>
      <w:tr w:rsidR="00B54D51" w:rsidRPr="00037AD4" w14:paraId="4DC76EC6" w14:textId="77777777" w:rsidTr="008F00F0">
        <w:tc>
          <w:tcPr>
            <w:tcW w:w="3256" w:type="dxa"/>
          </w:tcPr>
          <w:p w14:paraId="2867E7CF"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Dementia type</w:t>
            </w:r>
          </w:p>
          <w:p w14:paraId="3534B296"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Alzheimer’s disease</w:t>
            </w:r>
          </w:p>
          <w:p w14:paraId="41B3FBC9"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Vascular dementia</w:t>
            </w:r>
          </w:p>
          <w:p w14:paraId="30CF18F3"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Dementia with Lewy bodies </w:t>
            </w:r>
          </w:p>
          <w:p w14:paraId="13FCEE55"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Mixed</w:t>
            </w:r>
          </w:p>
          <w:p w14:paraId="694FF45D"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Unknown</w:t>
            </w:r>
          </w:p>
          <w:p w14:paraId="3B5E8A8C"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Not reported</w:t>
            </w:r>
          </w:p>
        </w:tc>
        <w:tc>
          <w:tcPr>
            <w:tcW w:w="1701" w:type="dxa"/>
          </w:tcPr>
          <w:p w14:paraId="34F5F2E1" w14:textId="77777777" w:rsidR="00B54D51" w:rsidRPr="00037AD4" w:rsidRDefault="00B54D51" w:rsidP="008F00F0">
            <w:pPr>
              <w:rPr>
                <w:rFonts w:asciiTheme="minorHAnsi" w:hAnsiTheme="minorHAnsi" w:cstheme="minorHAnsi"/>
              </w:rPr>
            </w:pPr>
          </w:p>
          <w:p w14:paraId="5A73694B"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106 (21.8)</w:t>
            </w:r>
          </w:p>
          <w:p w14:paraId="189B4DFF"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24 (5.0)</w:t>
            </w:r>
          </w:p>
          <w:p w14:paraId="190BEAC2"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1 (0.2)</w:t>
            </w:r>
          </w:p>
          <w:p w14:paraId="7939D403"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17 (3.5)</w:t>
            </w:r>
          </w:p>
          <w:p w14:paraId="3A87787E"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36 (7.3)</w:t>
            </w:r>
          </w:p>
          <w:p w14:paraId="7A2647EC"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304 (62.2)</w:t>
            </w:r>
          </w:p>
        </w:tc>
        <w:tc>
          <w:tcPr>
            <w:tcW w:w="1984" w:type="dxa"/>
          </w:tcPr>
          <w:p w14:paraId="29A213E2" w14:textId="77777777" w:rsidR="00B54D51" w:rsidRPr="00037AD4" w:rsidRDefault="00B54D51" w:rsidP="008F00F0">
            <w:pPr>
              <w:rPr>
                <w:rFonts w:asciiTheme="minorHAnsi" w:hAnsiTheme="minorHAnsi" w:cstheme="minorHAnsi"/>
              </w:rPr>
            </w:pPr>
          </w:p>
          <w:p w14:paraId="49E19559"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w:t>
            </w:r>
          </w:p>
        </w:tc>
        <w:tc>
          <w:tcPr>
            <w:tcW w:w="1985" w:type="dxa"/>
          </w:tcPr>
          <w:p w14:paraId="6E2B65C6" w14:textId="77777777" w:rsidR="00B54D51" w:rsidRPr="00037AD4" w:rsidRDefault="00B54D51" w:rsidP="008F00F0">
            <w:pPr>
              <w:rPr>
                <w:rFonts w:asciiTheme="minorHAnsi" w:hAnsiTheme="minorHAnsi" w:cstheme="minorHAnsi"/>
              </w:rPr>
            </w:pPr>
          </w:p>
          <w:p w14:paraId="11EC5318"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218 (48.6)</w:t>
            </w:r>
          </w:p>
          <w:p w14:paraId="323C846E"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52 (11.6)</w:t>
            </w:r>
          </w:p>
          <w:p w14:paraId="56B13917"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6 (1.3)</w:t>
            </w:r>
          </w:p>
          <w:p w14:paraId="67E80BFB"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56 (12.5)</w:t>
            </w:r>
          </w:p>
          <w:p w14:paraId="4C209A36"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90 (20.0)</w:t>
            </w:r>
          </w:p>
          <w:p w14:paraId="19C8F764"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27 (6.0)</w:t>
            </w:r>
          </w:p>
        </w:tc>
      </w:tr>
      <w:tr w:rsidR="00B54D51" w:rsidRPr="00037AD4" w14:paraId="58AEDEBD" w14:textId="77777777" w:rsidTr="008F00F0">
        <w:tc>
          <w:tcPr>
            <w:tcW w:w="3256" w:type="dxa"/>
          </w:tcPr>
          <w:p w14:paraId="76F18BA7"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MMSE </w:t>
            </w:r>
          </w:p>
          <w:p w14:paraId="2B876AD3"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Mean (SD) </w:t>
            </w:r>
          </w:p>
          <w:p w14:paraId="0519DC86"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Range</w:t>
            </w:r>
          </w:p>
        </w:tc>
        <w:tc>
          <w:tcPr>
            <w:tcW w:w="1701" w:type="dxa"/>
          </w:tcPr>
          <w:p w14:paraId="4C2DB92D" w14:textId="77777777" w:rsidR="00B54D51" w:rsidRPr="00037AD4" w:rsidRDefault="00B54D51" w:rsidP="008F00F0">
            <w:pPr>
              <w:rPr>
                <w:rFonts w:asciiTheme="minorHAnsi" w:hAnsiTheme="minorHAnsi" w:cstheme="minorHAnsi"/>
              </w:rPr>
            </w:pPr>
          </w:p>
          <w:p w14:paraId="1125CB8B"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w:t>
            </w:r>
          </w:p>
        </w:tc>
        <w:tc>
          <w:tcPr>
            <w:tcW w:w="1984" w:type="dxa"/>
          </w:tcPr>
          <w:p w14:paraId="71FE3EF4" w14:textId="77777777" w:rsidR="00B54D51" w:rsidRPr="00037AD4" w:rsidRDefault="00B54D51" w:rsidP="008F00F0">
            <w:pPr>
              <w:rPr>
                <w:rFonts w:asciiTheme="minorHAnsi" w:hAnsiTheme="minorHAnsi" w:cstheme="minorHAnsi"/>
              </w:rPr>
            </w:pPr>
          </w:p>
          <w:p w14:paraId="41C1FDF8"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w:t>
            </w:r>
          </w:p>
        </w:tc>
        <w:tc>
          <w:tcPr>
            <w:tcW w:w="1985" w:type="dxa"/>
          </w:tcPr>
          <w:p w14:paraId="4A38D927" w14:textId="77777777" w:rsidR="00B54D51" w:rsidRPr="00037AD4" w:rsidRDefault="00B54D51" w:rsidP="008F00F0">
            <w:pPr>
              <w:rPr>
                <w:rFonts w:asciiTheme="minorHAnsi" w:hAnsiTheme="minorHAnsi" w:cstheme="minorHAnsi"/>
              </w:rPr>
            </w:pPr>
          </w:p>
          <w:p w14:paraId="01EF80A4"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19.0 (5.0)</w:t>
            </w:r>
          </w:p>
          <w:p w14:paraId="5C26D464"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3 –30 </w:t>
            </w:r>
          </w:p>
        </w:tc>
      </w:tr>
      <w:tr w:rsidR="00B54D51" w:rsidRPr="00037AD4" w14:paraId="4B4F0471" w14:textId="77777777" w:rsidTr="008F00F0">
        <w:tc>
          <w:tcPr>
            <w:tcW w:w="3256" w:type="dxa"/>
          </w:tcPr>
          <w:p w14:paraId="47A3E468"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Function</w:t>
            </w:r>
          </w:p>
          <w:p w14:paraId="757E4B43"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BADLS: Mean (SD); Range</w:t>
            </w:r>
          </w:p>
          <w:p w14:paraId="091A2F3F"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IADL: Mean (SD); Range</w:t>
            </w:r>
          </w:p>
          <w:p w14:paraId="4C933890"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PSMS: Mean (SD); Range</w:t>
            </w:r>
          </w:p>
          <w:p w14:paraId="46EDBA63"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lastRenderedPageBreak/>
              <w:t xml:space="preserve">FAST stage: 1 – 7 </w:t>
            </w:r>
          </w:p>
        </w:tc>
        <w:tc>
          <w:tcPr>
            <w:tcW w:w="1701" w:type="dxa"/>
          </w:tcPr>
          <w:p w14:paraId="29144C25" w14:textId="77777777" w:rsidR="00B54D51" w:rsidRPr="00037AD4" w:rsidRDefault="00B54D51" w:rsidP="008F00F0">
            <w:pPr>
              <w:rPr>
                <w:rFonts w:asciiTheme="minorHAnsi" w:hAnsiTheme="minorHAnsi" w:cstheme="minorHAnsi"/>
              </w:rPr>
            </w:pPr>
          </w:p>
          <w:p w14:paraId="0AB9FBAA"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16.1 (9.6); 0-47</w:t>
            </w:r>
          </w:p>
          <w:p w14:paraId="1BF86288" w14:textId="77777777" w:rsidR="00B54D51" w:rsidRPr="00037AD4" w:rsidRDefault="00B54D51" w:rsidP="008F00F0">
            <w:pPr>
              <w:rPr>
                <w:rFonts w:asciiTheme="minorHAnsi" w:hAnsiTheme="minorHAnsi" w:cstheme="minorHAnsi"/>
              </w:rPr>
            </w:pPr>
          </w:p>
          <w:p w14:paraId="22E8B09C" w14:textId="77777777" w:rsidR="00B54D51" w:rsidRPr="00037AD4" w:rsidRDefault="00B54D51" w:rsidP="008F00F0">
            <w:pPr>
              <w:rPr>
                <w:rFonts w:asciiTheme="minorHAnsi" w:hAnsiTheme="minorHAnsi" w:cstheme="minorHAnsi"/>
              </w:rPr>
            </w:pPr>
          </w:p>
          <w:p w14:paraId="53CC02CC" w14:textId="77777777" w:rsidR="00B54D51" w:rsidRPr="00037AD4" w:rsidRDefault="00B54D51" w:rsidP="008F00F0">
            <w:pPr>
              <w:rPr>
                <w:rFonts w:asciiTheme="minorHAnsi" w:hAnsiTheme="minorHAnsi" w:cstheme="minorHAnsi"/>
              </w:rPr>
            </w:pPr>
          </w:p>
        </w:tc>
        <w:tc>
          <w:tcPr>
            <w:tcW w:w="1984" w:type="dxa"/>
          </w:tcPr>
          <w:p w14:paraId="549439CE" w14:textId="77777777" w:rsidR="00B54D51" w:rsidRPr="00037AD4" w:rsidRDefault="00B54D51" w:rsidP="008F00F0">
            <w:pPr>
              <w:rPr>
                <w:rFonts w:asciiTheme="minorHAnsi" w:hAnsiTheme="minorHAnsi" w:cstheme="minorHAnsi"/>
              </w:rPr>
            </w:pPr>
          </w:p>
          <w:p w14:paraId="557A6AAD" w14:textId="77777777" w:rsidR="00B54D51" w:rsidRPr="00037AD4" w:rsidRDefault="00B54D51" w:rsidP="008F00F0">
            <w:pPr>
              <w:rPr>
                <w:rFonts w:asciiTheme="minorHAnsi" w:hAnsiTheme="minorHAnsi" w:cstheme="minorHAnsi"/>
              </w:rPr>
            </w:pPr>
          </w:p>
          <w:p w14:paraId="545B5CB1" w14:textId="77777777" w:rsidR="00B54D51" w:rsidRPr="00037AD4" w:rsidRDefault="00B54D51" w:rsidP="008F00F0">
            <w:pPr>
              <w:rPr>
                <w:rFonts w:asciiTheme="minorHAnsi" w:hAnsiTheme="minorHAnsi" w:cstheme="minorHAnsi"/>
              </w:rPr>
            </w:pPr>
          </w:p>
          <w:p w14:paraId="4FFFD714" w14:textId="77777777" w:rsidR="00B54D51" w:rsidRPr="00037AD4" w:rsidRDefault="00B54D51" w:rsidP="008F00F0">
            <w:pPr>
              <w:rPr>
                <w:rFonts w:asciiTheme="minorHAnsi" w:hAnsiTheme="minorHAnsi" w:cstheme="minorHAnsi"/>
              </w:rPr>
            </w:pPr>
          </w:p>
          <w:p w14:paraId="24EAFFDF"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lastRenderedPageBreak/>
              <w:t xml:space="preserve">1-3: 6 &lt;1 </w:t>
            </w:r>
          </w:p>
          <w:p w14:paraId="6666CD2D"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4: 97 (13.6); </w:t>
            </w:r>
          </w:p>
          <w:p w14:paraId="10DA15E9"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5: 75 (10.5); </w:t>
            </w:r>
          </w:p>
          <w:p w14:paraId="198747F7"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6: 387 (54.4); </w:t>
            </w:r>
          </w:p>
          <w:p w14:paraId="75E08AAC"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7: 147 (20.7)</w:t>
            </w:r>
          </w:p>
        </w:tc>
        <w:tc>
          <w:tcPr>
            <w:tcW w:w="1985" w:type="dxa"/>
          </w:tcPr>
          <w:p w14:paraId="4234CE50" w14:textId="77777777" w:rsidR="00B54D51" w:rsidRPr="00037AD4" w:rsidRDefault="00B54D51" w:rsidP="008F00F0">
            <w:pPr>
              <w:rPr>
                <w:rFonts w:asciiTheme="minorHAnsi" w:hAnsiTheme="minorHAnsi" w:cstheme="minorHAnsi"/>
              </w:rPr>
            </w:pPr>
          </w:p>
          <w:p w14:paraId="7EDBA734" w14:textId="77777777" w:rsidR="00B54D51" w:rsidRPr="00037AD4" w:rsidRDefault="00B54D51" w:rsidP="008F00F0">
            <w:pPr>
              <w:rPr>
                <w:rFonts w:asciiTheme="minorHAnsi" w:hAnsiTheme="minorHAnsi" w:cstheme="minorHAnsi"/>
              </w:rPr>
            </w:pPr>
          </w:p>
          <w:p w14:paraId="4BAA756B"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5.2 (2.2); 0-8</w:t>
            </w:r>
          </w:p>
          <w:p w14:paraId="656769B4"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3.6 (1.9); 0 -6 </w:t>
            </w:r>
          </w:p>
        </w:tc>
      </w:tr>
      <w:tr w:rsidR="00B54D51" w:rsidRPr="00037AD4" w14:paraId="6D3DF451" w14:textId="77777777" w:rsidTr="008F00F0">
        <w:tc>
          <w:tcPr>
            <w:tcW w:w="3256" w:type="dxa"/>
          </w:tcPr>
          <w:p w14:paraId="316A4C07"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Behaviour/mood</w:t>
            </w:r>
          </w:p>
          <w:p w14:paraId="55F36E60"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CSDD: Mean (SD); Range</w:t>
            </w:r>
          </w:p>
          <w:p w14:paraId="76DE3DCD"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NPI-NH: Mean (SD); Range</w:t>
            </w:r>
          </w:p>
          <w:p w14:paraId="46F5D503"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NPI-Q: Mean (SD); Range</w:t>
            </w:r>
          </w:p>
        </w:tc>
        <w:tc>
          <w:tcPr>
            <w:tcW w:w="1701" w:type="dxa"/>
          </w:tcPr>
          <w:p w14:paraId="5FF9B186" w14:textId="77777777" w:rsidR="00B54D51" w:rsidRPr="00037AD4" w:rsidRDefault="00B54D51" w:rsidP="008F00F0">
            <w:pPr>
              <w:rPr>
                <w:rFonts w:asciiTheme="minorHAnsi" w:hAnsiTheme="minorHAnsi" w:cstheme="minorHAnsi"/>
              </w:rPr>
            </w:pPr>
          </w:p>
          <w:p w14:paraId="091C4EEE"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6.96 (5.0); 0-23</w:t>
            </w:r>
          </w:p>
        </w:tc>
        <w:tc>
          <w:tcPr>
            <w:tcW w:w="1984" w:type="dxa"/>
          </w:tcPr>
          <w:p w14:paraId="1E0CAD7F" w14:textId="77777777" w:rsidR="00B54D51" w:rsidRPr="00037AD4" w:rsidRDefault="00B54D51" w:rsidP="008F00F0">
            <w:pPr>
              <w:rPr>
                <w:rFonts w:asciiTheme="minorHAnsi" w:hAnsiTheme="minorHAnsi" w:cstheme="minorHAnsi"/>
              </w:rPr>
            </w:pPr>
          </w:p>
          <w:p w14:paraId="67689AFB" w14:textId="77777777" w:rsidR="00B54D51" w:rsidRPr="00037AD4" w:rsidRDefault="00B54D51" w:rsidP="008F00F0">
            <w:pPr>
              <w:rPr>
                <w:rFonts w:asciiTheme="minorHAnsi" w:hAnsiTheme="minorHAnsi" w:cstheme="minorHAnsi"/>
              </w:rPr>
            </w:pPr>
          </w:p>
          <w:p w14:paraId="330E71B7"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12.2 (13.0); 0-84</w:t>
            </w:r>
          </w:p>
        </w:tc>
        <w:tc>
          <w:tcPr>
            <w:tcW w:w="1985" w:type="dxa"/>
          </w:tcPr>
          <w:p w14:paraId="4C2D4DD9" w14:textId="77777777" w:rsidR="00B54D51" w:rsidRPr="00037AD4" w:rsidRDefault="00B54D51" w:rsidP="008F00F0">
            <w:pPr>
              <w:rPr>
                <w:rFonts w:asciiTheme="minorHAnsi" w:hAnsiTheme="minorHAnsi" w:cstheme="minorHAnsi"/>
              </w:rPr>
            </w:pPr>
          </w:p>
          <w:p w14:paraId="01106BE8" w14:textId="77777777" w:rsidR="00B54D51" w:rsidRPr="00037AD4" w:rsidRDefault="00B54D51" w:rsidP="008F00F0">
            <w:pPr>
              <w:rPr>
                <w:rFonts w:asciiTheme="minorHAnsi" w:hAnsiTheme="minorHAnsi" w:cstheme="minorHAnsi"/>
              </w:rPr>
            </w:pPr>
          </w:p>
          <w:p w14:paraId="6E08503C" w14:textId="77777777" w:rsidR="00B54D51" w:rsidRPr="00037AD4" w:rsidRDefault="00B54D51" w:rsidP="008F00F0">
            <w:pPr>
              <w:rPr>
                <w:rFonts w:asciiTheme="minorHAnsi" w:hAnsiTheme="minorHAnsi" w:cstheme="minorHAnsi"/>
              </w:rPr>
            </w:pPr>
          </w:p>
          <w:p w14:paraId="4FFB0D66"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17.9 (18.5); 0-124</w:t>
            </w:r>
          </w:p>
        </w:tc>
      </w:tr>
      <w:tr w:rsidR="00B54D51" w:rsidRPr="00037AD4" w14:paraId="3D441D08" w14:textId="77777777" w:rsidTr="008F00F0">
        <w:tc>
          <w:tcPr>
            <w:tcW w:w="8926" w:type="dxa"/>
            <w:gridSpan w:val="4"/>
          </w:tcPr>
          <w:p w14:paraId="7CD2C7B3" w14:textId="77777777" w:rsidR="00B54D51" w:rsidRPr="00037AD4" w:rsidRDefault="00B54D51" w:rsidP="008F00F0">
            <w:pPr>
              <w:rPr>
                <w:rFonts w:asciiTheme="minorHAnsi" w:hAnsiTheme="minorHAnsi" w:cstheme="minorHAnsi"/>
                <w:sz w:val="20"/>
                <w:szCs w:val="20"/>
              </w:rPr>
            </w:pPr>
            <w:r w:rsidRPr="00037AD4">
              <w:rPr>
                <w:rFonts w:asciiTheme="minorHAnsi" w:hAnsiTheme="minorHAnsi" w:cstheme="minorHAnsi"/>
                <w:sz w:val="20"/>
                <w:szCs w:val="20"/>
              </w:rPr>
              <w:t>BADLS, Bristol activities of daily living scale; CDR, clinical dementia rating scale; CSDD, Cornell scale for depression in dementia; FAST, Functional assessment staging tool; IADL, Lawton’s instrument activities of daily living scale; MMSE, mini-mental state examination; NPI-Q, neuropsychiatric inventory questionnaire; NPI-NH, neuropsychiatric inventory nursing home version; PSMS, physical self-maintenance scale; PwD, person with dementia; SD, standard deviation</w:t>
            </w:r>
          </w:p>
        </w:tc>
      </w:tr>
    </w:tbl>
    <w:p w14:paraId="791A913F" w14:textId="77777777" w:rsidR="00B54D51" w:rsidRPr="00037AD4" w:rsidRDefault="00B54D51" w:rsidP="00CB199A">
      <w:pPr>
        <w:rPr>
          <w:rFonts w:asciiTheme="minorHAnsi" w:hAnsiTheme="minorHAnsi" w:cstheme="minorHAnsi"/>
          <w:b/>
          <w:bCs/>
          <w:color w:val="FF0000"/>
          <w:u w:val="single"/>
        </w:rPr>
      </w:pPr>
    </w:p>
    <w:p w14:paraId="0B4319D2" w14:textId="77777777" w:rsidR="00B54D51" w:rsidRPr="00037AD4" w:rsidRDefault="00B54D51" w:rsidP="007A43F9">
      <w:pPr>
        <w:pStyle w:val="Heading4"/>
      </w:pPr>
      <w:r w:rsidRPr="00037AD4">
        <w:t xml:space="preserve">4.4.1.1 Additional proxy-related information </w:t>
      </w:r>
    </w:p>
    <w:p w14:paraId="2842518D" w14:textId="77777777" w:rsidR="00B54D51" w:rsidRPr="00037AD4" w:rsidRDefault="00B54D51" w:rsidP="00CB199A">
      <w:pPr>
        <w:rPr>
          <w:rFonts w:asciiTheme="minorHAnsi" w:hAnsiTheme="minorHAnsi" w:cstheme="minorHAnsi"/>
          <w:b/>
          <w:bCs/>
          <w:color w:val="FF0000"/>
          <w:u w:val="single"/>
        </w:rPr>
      </w:pPr>
    </w:p>
    <w:p w14:paraId="133F53E9" w14:textId="77777777" w:rsidR="00B54D51" w:rsidRPr="00037AD4" w:rsidRDefault="00B54D51" w:rsidP="00CB199A">
      <w:pPr>
        <w:rPr>
          <w:rFonts w:asciiTheme="minorHAnsi" w:hAnsiTheme="minorHAnsi" w:cstheme="minorHAnsi"/>
        </w:rPr>
      </w:pPr>
      <w:r w:rsidRPr="00037AD4">
        <w:rPr>
          <w:rFonts w:asciiTheme="minorHAnsi" w:hAnsiTheme="minorHAnsi" w:cstheme="minorHAnsi"/>
        </w:rPr>
        <w:t xml:space="preserve">The EPIC trial provided additional information regarding the administration method of EQ-5D adopted by informal proxies; Table 15a below summarises this information across all three time points. Postal completion was the most popular form of administration method.  </w:t>
      </w:r>
    </w:p>
    <w:p w14:paraId="7F82C245" w14:textId="77777777" w:rsidR="00B54D51" w:rsidRPr="00037AD4" w:rsidRDefault="00B54D51" w:rsidP="00CB199A">
      <w:pPr>
        <w:rPr>
          <w:rFonts w:asciiTheme="minorHAnsi" w:hAnsiTheme="minorHAnsi" w:cstheme="minorHAnsi"/>
        </w:rPr>
      </w:pPr>
    </w:p>
    <w:p w14:paraId="5663CCD9" w14:textId="77777777" w:rsidR="00B54D51" w:rsidRPr="00037AD4" w:rsidRDefault="00B54D51" w:rsidP="00CB199A">
      <w:pPr>
        <w:rPr>
          <w:rFonts w:asciiTheme="minorHAnsi" w:hAnsiTheme="minorHAnsi" w:cstheme="minorHAnsi"/>
          <w:b/>
          <w:bCs/>
          <w:i/>
          <w:iCs/>
          <w:color w:val="000000" w:themeColor="text1"/>
        </w:rPr>
      </w:pPr>
      <w:r w:rsidRPr="00037AD4">
        <w:rPr>
          <w:rFonts w:asciiTheme="minorHAnsi" w:hAnsiTheme="minorHAnsi" w:cstheme="minorHAnsi"/>
          <w:b/>
          <w:bCs/>
          <w:i/>
          <w:iCs/>
          <w:color w:val="000000" w:themeColor="text1"/>
        </w:rPr>
        <w:t>Table 15a, Informal proxy EQ-5D administration method: EPIC</w:t>
      </w:r>
    </w:p>
    <w:p w14:paraId="4DB67D5E" w14:textId="77777777" w:rsidR="00B54D51" w:rsidRPr="00037AD4" w:rsidRDefault="00B54D51" w:rsidP="00CB199A">
      <w:pPr>
        <w:rPr>
          <w:rFonts w:asciiTheme="minorHAnsi" w:hAnsiTheme="minorHAnsi" w:cstheme="minorHAnsi"/>
        </w:rPr>
      </w:pPr>
    </w:p>
    <w:tbl>
      <w:tblPr>
        <w:tblStyle w:val="TableGrid"/>
        <w:tblW w:w="0" w:type="auto"/>
        <w:tblLook w:val="04A0" w:firstRow="1" w:lastRow="0" w:firstColumn="1" w:lastColumn="0" w:noHBand="0" w:noVBand="1"/>
      </w:tblPr>
      <w:tblGrid>
        <w:gridCol w:w="4508"/>
        <w:gridCol w:w="4508"/>
      </w:tblGrid>
      <w:tr w:rsidR="00B54D51" w:rsidRPr="00037AD4" w14:paraId="0D134856" w14:textId="77777777" w:rsidTr="008F00F0">
        <w:tc>
          <w:tcPr>
            <w:tcW w:w="4508" w:type="dxa"/>
          </w:tcPr>
          <w:p w14:paraId="6CF46580"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Administration method</w:t>
            </w:r>
          </w:p>
        </w:tc>
        <w:tc>
          <w:tcPr>
            <w:tcW w:w="4508" w:type="dxa"/>
          </w:tcPr>
          <w:p w14:paraId="76E6BDFB"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n (%)</w:t>
            </w:r>
          </w:p>
        </w:tc>
      </w:tr>
      <w:tr w:rsidR="00B54D51" w:rsidRPr="00037AD4" w14:paraId="122A82B3" w14:textId="77777777" w:rsidTr="008F00F0">
        <w:tc>
          <w:tcPr>
            <w:tcW w:w="4508" w:type="dxa"/>
          </w:tcPr>
          <w:p w14:paraId="37CAD25A"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Face-to-face</w:t>
            </w:r>
          </w:p>
        </w:tc>
        <w:tc>
          <w:tcPr>
            <w:tcW w:w="4508" w:type="dxa"/>
          </w:tcPr>
          <w:p w14:paraId="7AF488A1"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122 (35.2)</w:t>
            </w:r>
          </w:p>
        </w:tc>
      </w:tr>
      <w:tr w:rsidR="00B54D51" w:rsidRPr="00037AD4" w14:paraId="481C88BA" w14:textId="77777777" w:rsidTr="008F00F0">
        <w:tc>
          <w:tcPr>
            <w:tcW w:w="4508" w:type="dxa"/>
          </w:tcPr>
          <w:p w14:paraId="03E4CA66"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Telephone</w:t>
            </w:r>
          </w:p>
        </w:tc>
        <w:tc>
          <w:tcPr>
            <w:tcW w:w="4508" w:type="dxa"/>
          </w:tcPr>
          <w:p w14:paraId="7B355576"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21 (6.0) </w:t>
            </w:r>
          </w:p>
        </w:tc>
      </w:tr>
      <w:tr w:rsidR="00B54D51" w:rsidRPr="00037AD4" w14:paraId="512FD1F8" w14:textId="77777777" w:rsidTr="008F00F0">
        <w:tc>
          <w:tcPr>
            <w:tcW w:w="4508" w:type="dxa"/>
          </w:tcPr>
          <w:p w14:paraId="09B620F7"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Postal </w:t>
            </w:r>
          </w:p>
        </w:tc>
        <w:tc>
          <w:tcPr>
            <w:tcW w:w="4508" w:type="dxa"/>
          </w:tcPr>
          <w:p w14:paraId="2B1B4B98"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203 (58.8)</w:t>
            </w:r>
          </w:p>
        </w:tc>
      </w:tr>
    </w:tbl>
    <w:p w14:paraId="3297096F" w14:textId="77777777" w:rsidR="00B54D51" w:rsidRPr="00037AD4" w:rsidRDefault="00B54D51" w:rsidP="00CB199A">
      <w:pPr>
        <w:rPr>
          <w:rFonts w:asciiTheme="minorHAnsi" w:hAnsiTheme="minorHAnsi" w:cstheme="minorHAnsi"/>
        </w:rPr>
      </w:pPr>
    </w:p>
    <w:p w14:paraId="6751C834" w14:textId="77777777" w:rsidR="00B54D51" w:rsidRPr="00037AD4" w:rsidRDefault="00B54D51" w:rsidP="00CB199A">
      <w:pPr>
        <w:rPr>
          <w:rFonts w:asciiTheme="minorHAnsi" w:hAnsiTheme="minorHAnsi" w:cstheme="minorHAnsi"/>
        </w:rPr>
      </w:pPr>
      <w:r w:rsidRPr="00037AD4">
        <w:rPr>
          <w:rFonts w:asciiTheme="minorHAnsi" w:hAnsiTheme="minorHAnsi" w:cstheme="minorHAnsi"/>
        </w:rPr>
        <w:t xml:space="preserve">Table 15b subdivides the administration method selected by the relationship of the informal proxy to the PwD. Spouses and offspring were the most predominant proxy relationship types in the trial. Spouse-proxies tended to opt for face-to-face administration, whereas the majority (nearly 70%) of offspring proxies utilised the postal method. </w:t>
      </w:r>
    </w:p>
    <w:p w14:paraId="477A6DC6" w14:textId="77777777" w:rsidR="00B54D51" w:rsidRPr="00037AD4" w:rsidRDefault="00B54D51" w:rsidP="00CB199A">
      <w:pPr>
        <w:rPr>
          <w:rFonts w:asciiTheme="minorHAnsi" w:hAnsiTheme="minorHAnsi" w:cstheme="minorHAnsi"/>
          <w:b/>
          <w:bCs/>
          <w:i/>
          <w:iCs/>
          <w:color w:val="000000" w:themeColor="text1"/>
        </w:rPr>
      </w:pPr>
    </w:p>
    <w:p w14:paraId="3ED21A93" w14:textId="77777777" w:rsidR="00B54D51" w:rsidRPr="00037AD4" w:rsidRDefault="00B54D51" w:rsidP="00CB199A">
      <w:pPr>
        <w:rPr>
          <w:rFonts w:asciiTheme="minorHAnsi" w:hAnsiTheme="minorHAnsi" w:cstheme="minorHAnsi"/>
          <w:b/>
          <w:bCs/>
          <w:i/>
          <w:iCs/>
          <w:color w:val="000000" w:themeColor="text1"/>
        </w:rPr>
      </w:pPr>
      <w:r w:rsidRPr="00037AD4">
        <w:rPr>
          <w:rFonts w:asciiTheme="minorHAnsi" w:hAnsiTheme="minorHAnsi" w:cstheme="minorHAnsi"/>
          <w:b/>
          <w:bCs/>
          <w:i/>
          <w:iCs/>
          <w:color w:val="000000" w:themeColor="text1"/>
        </w:rPr>
        <w:t>Table 15b, EQ-5D administration method by informal proxy type: EPIC</w:t>
      </w:r>
    </w:p>
    <w:p w14:paraId="1D52447C" w14:textId="77777777" w:rsidR="00B54D51" w:rsidRPr="00037AD4" w:rsidRDefault="00B54D51" w:rsidP="00CB199A">
      <w:pPr>
        <w:rPr>
          <w:rFonts w:asciiTheme="minorHAnsi" w:hAnsiTheme="minorHAnsi" w:cstheme="minorHAnsi"/>
          <w:b/>
          <w:bCs/>
          <w:color w:val="FF0000"/>
          <w:u w:val="single"/>
        </w:rPr>
      </w:pPr>
    </w:p>
    <w:tbl>
      <w:tblPr>
        <w:tblStyle w:val="TableGrid"/>
        <w:tblW w:w="0" w:type="auto"/>
        <w:tblLook w:val="04A0" w:firstRow="1" w:lastRow="0" w:firstColumn="1" w:lastColumn="0" w:noHBand="0" w:noVBand="1"/>
      </w:tblPr>
      <w:tblGrid>
        <w:gridCol w:w="1803"/>
        <w:gridCol w:w="1803"/>
        <w:gridCol w:w="1803"/>
        <w:gridCol w:w="1803"/>
        <w:gridCol w:w="1804"/>
      </w:tblGrid>
      <w:tr w:rsidR="00B54D51" w:rsidRPr="00037AD4" w14:paraId="343193DE" w14:textId="77777777" w:rsidTr="008F00F0">
        <w:tc>
          <w:tcPr>
            <w:tcW w:w="1803" w:type="dxa"/>
          </w:tcPr>
          <w:p w14:paraId="7819FCAB"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n (%)</w:t>
            </w:r>
          </w:p>
        </w:tc>
        <w:tc>
          <w:tcPr>
            <w:tcW w:w="7213" w:type="dxa"/>
            <w:gridSpan w:val="4"/>
          </w:tcPr>
          <w:p w14:paraId="17FF3218" w14:textId="77777777" w:rsidR="00B54D51" w:rsidRPr="00037AD4" w:rsidRDefault="00B54D51" w:rsidP="008F00F0">
            <w:pPr>
              <w:jc w:val="center"/>
              <w:rPr>
                <w:rFonts w:asciiTheme="minorHAnsi" w:hAnsiTheme="minorHAnsi" w:cstheme="minorHAnsi"/>
              </w:rPr>
            </w:pPr>
            <w:r w:rsidRPr="00037AD4">
              <w:rPr>
                <w:rFonts w:asciiTheme="minorHAnsi" w:hAnsiTheme="minorHAnsi" w:cstheme="minorHAnsi"/>
              </w:rPr>
              <w:t>Relationship of informal proxy to PwD</w:t>
            </w:r>
          </w:p>
        </w:tc>
      </w:tr>
      <w:tr w:rsidR="00B54D51" w:rsidRPr="00037AD4" w14:paraId="1C0FC093" w14:textId="77777777" w:rsidTr="008F00F0">
        <w:tc>
          <w:tcPr>
            <w:tcW w:w="1803" w:type="dxa"/>
          </w:tcPr>
          <w:p w14:paraId="6D027A9F"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Administration method</w:t>
            </w:r>
          </w:p>
        </w:tc>
        <w:tc>
          <w:tcPr>
            <w:tcW w:w="1803" w:type="dxa"/>
          </w:tcPr>
          <w:p w14:paraId="132710D6"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Spouse</w:t>
            </w:r>
          </w:p>
        </w:tc>
        <w:tc>
          <w:tcPr>
            <w:tcW w:w="1803" w:type="dxa"/>
          </w:tcPr>
          <w:p w14:paraId="5CBDAAF2"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Offspring</w:t>
            </w:r>
          </w:p>
        </w:tc>
        <w:tc>
          <w:tcPr>
            <w:tcW w:w="1803" w:type="dxa"/>
          </w:tcPr>
          <w:p w14:paraId="7353F182"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Other relative </w:t>
            </w:r>
          </w:p>
        </w:tc>
        <w:tc>
          <w:tcPr>
            <w:tcW w:w="1804" w:type="dxa"/>
          </w:tcPr>
          <w:p w14:paraId="76650222"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Friend</w:t>
            </w:r>
          </w:p>
        </w:tc>
      </w:tr>
      <w:tr w:rsidR="00B54D51" w:rsidRPr="00037AD4" w14:paraId="352A15F3" w14:textId="77777777" w:rsidTr="008F00F0">
        <w:tc>
          <w:tcPr>
            <w:tcW w:w="1803" w:type="dxa"/>
          </w:tcPr>
          <w:p w14:paraId="235B825F"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Face-to-face</w:t>
            </w:r>
          </w:p>
        </w:tc>
        <w:tc>
          <w:tcPr>
            <w:tcW w:w="1803" w:type="dxa"/>
          </w:tcPr>
          <w:p w14:paraId="08A54E7B"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52 (55.3)</w:t>
            </w:r>
          </w:p>
        </w:tc>
        <w:tc>
          <w:tcPr>
            <w:tcW w:w="1803" w:type="dxa"/>
          </w:tcPr>
          <w:p w14:paraId="48C0819A"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53 (24.8)</w:t>
            </w:r>
          </w:p>
        </w:tc>
        <w:tc>
          <w:tcPr>
            <w:tcW w:w="1803" w:type="dxa"/>
          </w:tcPr>
          <w:p w14:paraId="1C38BE46"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15 (34.9)</w:t>
            </w:r>
          </w:p>
        </w:tc>
        <w:tc>
          <w:tcPr>
            <w:tcW w:w="1804" w:type="dxa"/>
          </w:tcPr>
          <w:p w14:paraId="47E8484A"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2 (18.1)</w:t>
            </w:r>
          </w:p>
        </w:tc>
      </w:tr>
      <w:tr w:rsidR="00B54D51" w:rsidRPr="00037AD4" w14:paraId="0B22FC9A" w14:textId="77777777" w:rsidTr="008F00F0">
        <w:tc>
          <w:tcPr>
            <w:tcW w:w="1803" w:type="dxa"/>
          </w:tcPr>
          <w:p w14:paraId="2A98E7AA"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Telephone</w:t>
            </w:r>
          </w:p>
        </w:tc>
        <w:tc>
          <w:tcPr>
            <w:tcW w:w="1803" w:type="dxa"/>
          </w:tcPr>
          <w:p w14:paraId="46FC3D2C"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3 (3.1)</w:t>
            </w:r>
          </w:p>
        </w:tc>
        <w:tc>
          <w:tcPr>
            <w:tcW w:w="1803" w:type="dxa"/>
          </w:tcPr>
          <w:p w14:paraId="55C3A7B6"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16 (7.4)</w:t>
            </w:r>
          </w:p>
        </w:tc>
        <w:tc>
          <w:tcPr>
            <w:tcW w:w="1803" w:type="dxa"/>
          </w:tcPr>
          <w:p w14:paraId="4E05CC14"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2 (4.7)</w:t>
            </w:r>
          </w:p>
        </w:tc>
        <w:tc>
          <w:tcPr>
            <w:tcW w:w="1804" w:type="dxa"/>
          </w:tcPr>
          <w:p w14:paraId="4F7308BC"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w:t>
            </w:r>
          </w:p>
        </w:tc>
      </w:tr>
      <w:tr w:rsidR="00B54D51" w:rsidRPr="00037AD4" w14:paraId="0A8C977A" w14:textId="77777777" w:rsidTr="008F00F0">
        <w:trPr>
          <w:trHeight w:val="143"/>
        </w:trPr>
        <w:tc>
          <w:tcPr>
            <w:tcW w:w="1803" w:type="dxa"/>
          </w:tcPr>
          <w:p w14:paraId="58414D6D"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Postal </w:t>
            </w:r>
          </w:p>
        </w:tc>
        <w:tc>
          <w:tcPr>
            <w:tcW w:w="1803" w:type="dxa"/>
          </w:tcPr>
          <w:p w14:paraId="5C443240"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39 (41.4)</w:t>
            </w:r>
          </w:p>
        </w:tc>
        <w:tc>
          <w:tcPr>
            <w:tcW w:w="1803" w:type="dxa"/>
          </w:tcPr>
          <w:p w14:paraId="3F48B16B"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145 (67.8)</w:t>
            </w:r>
          </w:p>
        </w:tc>
        <w:tc>
          <w:tcPr>
            <w:tcW w:w="1803" w:type="dxa"/>
          </w:tcPr>
          <w:p w14:paraId="62CB2C7D"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26 (60.4)</w:t>
            </w:r>
          </w:p>
        </w:tc>
        <w:tc>
          <w:tcPr>
            <w:tcW w:w="1804" w:type="dxa"/>
          </w:tcPr>
          <w:p w14:paraId="2776905A"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9 (81.9)</w:t>
            </w:r>
          </w:p>
        </w:tc>
      </w:tr>
      <w:tr w:rsidR="00B54D51" w:rsidRPr="00037AD4" w14:paraId="4D244F6B" w14:textId="77777777" w:rsidTr="008F00F0">
        <w:trPr>
          <w:trHeight w:val="143"/>
        </w:trPr>
        <w:tc>
          <w:tcPr>
            <w:tcW w:w="9016" w:type="dxa"/>
            <w:gridSpan w:val="5"/>
          </w:tcPr>
          <w:p w14:paraId="4E9BE16F" w14:textId="77777777" w:rsidR="00B54D51" w:rsidRPr="00037AD4" w:rsidRDefault="00B54D51" w:rsidP="008F00F0">
            <w:pPr>
              <w:rPr>
                <w:rFonts w:asciiTheme="minorHAnsi" w:hAnsiTheme="minorHAnsi" w:cstheme="minorHAnsi"/>
                <w:sz w:val="20"/>
                <w:szCs w:val="20"/>
              </w:rPr>
            </w:pPr>
            <w:r w:rsidRPr="00037AD4">
              <w:rPr>
                <w:rFonts w:asciiTheme="minorHAnsi" w:hAnsiTheme="minorHAnsi" w:cstheme="minorHAnsi"/>
                <w:sz w:val="20"/>
                <w:szCs w:val="20"/>
              </w:rPr>
              <w:t>*Offspring proxy includes adult children and children-in-law</w:t>
            </w:r>
          </w:p>
        </w:tc>
      </w:tr>
    </w:tbl>
    <w:p w14:paraId="05078B86" w14:textId="77777777" w:rsidR="00B54D51" w:rsidRPr="00037AD4" w:rsidRDefault="00B54D51" w:rsidP="00CB199A">
      <w:pPr>
        <w:rPr>
          <w:rFonts w:asciiTheme="minorHAnsi" w:hAnsiTheme="minorHAnsi" w:cstheme="minorHAnsi"/>
        </w:rPr>
      </w:pPr>
    </w:p>
    <w:p w14:paraId="0D804A61" w14:textId="77777777" w:rsidR="00B54D51" w:rsidRPr="00037AD4" w:rsidRDefault="00B54D51" w:rsidP="00CB199A">
      <w:pPr>
        <w:rPr>
          <w:rFonts w:asciiTheme="minorHAnsi" w:hAnsiTheme="minorHAnsi" w:cstheme="minorHAnsi"/>
        </w:rPr>
      </w:pPr>
      <w:r w:rsidRPr="00037AD4">
        <w:rPr>
          <w:rFonts w:asciiTheme="minorHAnsi" w:hAnsiTheme="minorHAnsi" w:cstheme="minorHAnsi"/>
        </w:rPr>
        <w:t xml:space="preserve">The ACTIFCARE trial provided data on the frequency of visits made by informal proxies to the PwD. As shown in Table 15c where the data is presented by relationship type, there may </w:t>
      </w:r>
      <w:r w:rsidRPr="00037AD4">
        <w:rPr>
          <w:rFonts w:asciiTheme="minorHAnsi" w:hAnsiTheme="minorHAnsi" w:cstheme="minorHAnsi"/>
        </w:rPr>
        <w:lastRenderedPageBreak/>
        <w:t>be a potential trend where offspring proxies may visit less frequently (with over 25% visiting weekly or less) than spouse proxies. However, the data is largely missing (especially for spouse proxies), and without complete data, drawing meaningful conclusions from this information is not achievable.</w:t>
      </w:r>
    </w:p>
    <w:p w14:paraId="0DB235A5" w14:textId="77777777" w:rsidR="00B54D51" w:rsidRPr="00037AD4" w:rsidRDefault="00B54D51" w:rsidP="00CB199A">
      <w:pPr>
        <w:rPr>
          <w:rFonts w:asciiTheme="minorHAnsi" w:hAnsiTheme="minorHAnsi" w:cstheme="minorHAnsi"/>
        </w:rPr>
      </w:pPr>
    </w:p>
    <w:p w14:paraId="08C0BC95" w14:textId="77777777" w:rsidR="00B54D51" w:rsidRPr="00037AD4" w:rsidRDefault="00B54D51" w:rsidP="00CB199A">
      <w:pPr>
        <w:rPr>
          <w:rFonts w:asciiTheme="minorHAnsi" w:hAnsiTheme="minorHAnsi" w:cstheme="minorHAnsi"/>
          <w:b/>
          <w:bCs/>
          <w:i/>
          <w:iCs/>
        </w:rPr>
      </w:pPr>
      <w:r w:rsidRPr="00037AD4">
        <w:rPr>
          <w:rFonts w:asciiTheme="minorHAnsi" w:hAnsiTheme="minorHAnsi" w:cstheme="minorHAnsi"/>
          <w:b/>
          <w:bCs/>
          <w:i/>
          <w:iCs/>
          <w:color w:val="000000" w:themeColor="text1"/>
        </w:rPr>
        <w:t xml:space="preserve">Table 15c, Visit frequency by proxy type: ACTIFCARE </w:t>
      </w:r>
    </w:p>
    <w:p w14:paraId="650F5819" w14:textId="77777777" w:rsidR="00B54D51" w:rsidRPr="00037AD4" w:rsidRDefault="00B54D51" w:rsidP="00CB199A">
      <w:pPr>
        <w:rPr>
          <w:rFonts w:asciiTheme="minorHAnsi" w:hAnsiTheme="minorHAnsi" w:cstheme="minorHAnsi"/>
        </w:rPr>
      </w:pPr>
    </w:p>
    <w:tbl>
      <w:tblPr>
        <w:tblStyle w:val="TableGrid"/>
        <w:tblW w:w="0" w:type="auto"/>
        <w:tblLook w:val="04A0" w:firstRow="1" w:lastRow="0" w:firstColumn="1" w:lastColumn="0" w:noHBand="0" w:noVBand="1"/>
      </w:tblPr>
      <w:tblGrid>
        <w:gridCol w:w="1883"/>
        <w:gridCol w:w="2094"/>
        <w:gridCol w:w="1823"/>
        <w:gridCol w:w="1785"/>
        <w:gridCol w:w="1431"/>
      </w:tblGrid>
      <w:tr w:rsidR="00B54D51" w:rsidRPr="00037AD4" w14:paraId="4AA42BA6" w14:textId="77777777" w:rsidTr="008F00F0">
        <w:tc>
          <w:tcPr>
            <w:tcW w:w="1883" w:type="dxa"/>
          </w:tcPr>
          <w:p w14:paraId="18B3AB39"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n (%)</w:t>
            </w:r>
          </w:p>
        </w:tc>
        <w:tc>
          <w:tcPr>
            <w:tcW w:w="2094" w:type="dxa"/>
          </w:tcPr>
          <w:p w14:paraId="3FBC7203"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Spouse/partner</w:t>
            </w:r>
          </w:p>
        </w:tc>
        <w:tc>
          <w:tcPr>
            <w:tcW w:w="1823" w:type="dxa"/>
          </w:tcPr>
          <w:p w14:paraId="3B6EC1CB"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Offspring </w:t>
            </w:r>
          </w:p>
        </w:tc>
        <w:tc>
          <w:tcPr>
            <w:tcW w:w="1785" w:type="dxa"/>
          </w:tcPr>
          <w:p w14:paraId="230D6762"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Other relative </w:t>
            </w:r>
          </w:p>
        </w:tc>
        <w:tc>
          <w:tcPr>
            <w:tcW w:w="1431" w:type="dxa"/>
          </w:tcPr>
          <w:p w14:paraId="5443DDE3"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Other </w:t>
            </w:r>
          </w:p>
        </w:tc>
      </w:tr>
      <w:tr w:rsidR="00B54D51" w:rsidRPr="00037AD4" w14:paraId="28909BC1" w14:textId="77777777" w:rsidTr="008F00F0">
        <w:tc>
          <w:tcPr>
            <w:tcW w:w="1883" w:type="dxa"/>
          </w:tcPr>
          <w:p w14:paraId="172B6582"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Daily</w:t>
            </w:r>
          </w:p>
        </w:tc>
        <w:tc>
          <w:tcPr>
            <w:tcW w:w="2094" w:type="dxa"/>
          </w:tcPr>
          <w:p w14:paraId="76E1FCC5"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16 (43.2)</w:t>
            </w:r>
          </w:p>
        </w:tc>
        <w:tc>
          <w:tcPr>
            <w:tcW w:w="1823" w:type="dxa"/>
          </w:tcPr>
          <w:p w14:paraId="56AB1BE2"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95 (32.9)</w:t>
            </w:r>
          </w:p>
        </w:tc>
        <w:tc>
          <w:tcPr>
            <w:tcW w:w="1785" w:type="dxa"/>
          </w:tcPr>
          <w:p w14:paraId="7D5992ED"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13 (48.2)</w:t>
            </w:r>
          </w:p>
        </w:tc>
        <w:tc>
          <w:tcPr>
            <w:tcW w:w="1431" w:type="dxa"/>
          </w:tcPr>
          <w:p w14:paraId="70668887"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2 (22.2)</w:t>
            </w:r>
          </w:p>
        </w:tc>
      </w:tr>
      <w:tr w:rsidR="00B54D51" w:rsidRPr="00037AD4" w14:paraId="4CE2C6C0" w14:textId="77777777" w:rsidTr="008F00F0">
        <w:tc>
          <w:tcPr>
            <w:tcW w:w="1883" w:type="dxa"/>
          </w:tcPr>
          <w:p w14:paraId="4EB40691"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Every few days</w:t>
            </w:r>
          </w:p>
        </w:tc>
        <w:tc>
          <w:tcPr>
            <w:tcW w:w="2094" w:type="dxa"/>
          </w:tcPr>
          <w:p w14:paraId="6B6CBF24"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17 (46.0)</w:t>
            </w:r>
          </w:p>
        </w:tc>
        <w:tc>
          <w:tcPr>
            <w:tcW w:w="1823" w:type="dxa"/>
          </w:tcPr>
          <w:p w14:paraId="45EDB972"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119 (41.2)</w:t>
            </w:r>
          </w:p>
        </w:tc>
        <w:tc>
          <w:tcPr>
            <w:tcW w:w="1785" w:type="dxa"/>
          </w:tcPr>
          <w:p w14:paraId="4BF01D82"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3 (11.1)</w:t>
            </w:r>
          </w:p>
        </w:tc>
        <w:tc>
          <w:tcPr>
            <w:tcW w:w="1431" w:type="dxa"/>
          </w:tcPr>
          <w:p w14:paraId="55A8EEEC"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3 (33.4)</w:t>
            </w:r>
          </w:p>
        </w:tc>
      </w:tr>
      <w:tr w:rsidR="00B54D51" w:rsidRPr="00037AD4" w14:paraId="37989F80" w14:textId="77777777" w:rsidTr="008F00F0">
        <w:tc>
          <w:tcPr>
            <w:tcW w:w="1883" w:type="dxa"/>
          </w:tcPr>
          <w:p w14:paraId="32EF869F"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Weekly</w:t>
            </w:r>
          </w:p>
        </w:tc>
        <w:tc>
          <w:tcPr>
            <w:tcW w:w="2094" w:type="dxa"/>
          </w:tcPr>
          <w:p w14:paraId="2A0C578E"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1 (2.7)</w:t>
            </w:r>
          </w:p>
        </w:tc>
        <w:tc>
          <w:tcPr>
            <w:tcW w:w="1823" w:type="dxa"/>
          </w:tcPr>
          <w:p w14:paraId="3687BB9A"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55 (19.0)</w:t>
            </w:r>
          </w:p>
        </w:tc>
        <w:tc>
          <w:tcPr>
            <w:tcW w:w="1785" w:type="dxa"/>
          </w:tcPr>
          <w:p w14:paraId="1034D4B2"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7 (25.9)</w:t>
            </w:r>
          </w:p>
        </w:tc>
        <w:tc>
          <w:tcPr>
            <w:tcW w:w="1431" w:type="dxa"/>
          </w:tcPr>
          <w:p w14:paraId="55D06AA8"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2 (22.2)</w:t>
            </w:r>
          </w:p>
        </w:tc>
      </w:tr>
      <w:tr w:rsidR="00B54D51" w:rsidRPr="00037AD4" w14:paraId="0E8F94E0" w14:textId="77777777" w:rsidTr="008F00F0">
        <w:tc>
          <w:tcPr>
            <w:tcW w:w="1883" w:type="dxa"/>
          </w:tcPr>
          <w:p w14:paraId="752BBDA0"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Fortnightly </w:t>
            </w:r>
          </w:p>
        </w:tc>
        <w:tc>
          <w:tcPr>
            <w:tcW w:w="2094" w:type="dxa"/>
          </w:tcPr>
          <w:p w14:paraId="2A1691F2"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2 (5.4)</w:t>
            </w:r>
          </w:p>
        </w:tc>
        <w:tc>
          <w:tcPr>
            <w:tcW w:w="1823" w:type="dxa"/>
          </w:tcPr>
          <w:p w14:paraId="3EE9BD44"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11 (3.8)</w:t>
            </w:r>
          </w:p>
        </w:tc>
        <w:tc>
          <w:tcPr>
            <w:tcW w:w="1785" w:type="dxa"/>
          </w:tcPr>
          <w:p w14:paraId="280EB711"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1 (3.7)</w:t>
            </w:r>
          </w:p>
        </w:tc>
        <w:tc>
          <w:tcPr>
            <w:tcW w:w="1431" w:type="dxa"/>
          </w:tcPr>
          <w:p w14:paraId="5791C717"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2 (22.2)</w:t>
            </w:r>
          </w:p>
        </w:tc>
      </w:tr>
      <w:tr w:rsidR="00B54D51" w:rsidRPr="00037AD4" w14:paraId="40282757" w14:textId="77777777" w:rsidTr="008F00F0">
        <w:tc>
          <w:tcPr>
            <w:tcW w:w="1883" w:type="dxa"/>
          </w:tcPr>
          <w:p w14:paraId="354F0ED9"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Monthly</w:t>
            </w:r>
          </w:p>
        </w:tc>
        <w:tc>
          <w:tcPr>
            <w:tcW w:w="2094" w:type="dxa"/>
          </w:tcPr>
          <w:p w14:paraId="34F95A86"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1 (2.7)</w:t>
            </w:r>
          </w:p>
        </w:tc>
        <w:tc>
          <w:tcPr>
            <w:tcW w:w="1823" w:type="dxa"/>
          </w:tcPr>
          <w:p w14:paraId="5D12894A"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6 (2.1)</w:t>
            </w:r>
          </w:p>
        </w:tc>
        <w:tc>
          <w:tcPr>
            <w:tcW w:w="1785" w:type="dxa"/>
          </w:tcPr>
          <w:p w14:paraId="2B29C815"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2 (7.4)</w:t>
            </w:r>
          </w:p>
        </w:tc>
        <w:tc>
          <w:tcPr>
            <w:tcW w:w="1431" w:type="dxa"/>
          </w:tcPr>
          <w:p w14:paraId="7CED8C31" w14:textId="77777777" w:rsidR="00B54D51" w:rsidRPr="00037AD4" w:rsidRDefault="00B54D51" w:rsidP="008F00F0">
            <w:pPr>
              <w:rPr>
                <w:rFonts w:asciiTheme="minorHAnsi" w:hAnsiTheme="minorHAnsi" w:cstheme="minorHAnsi"/>
              </w:rPr>
            </w:pPr>
          </w:p>
        </w:tc>
      </w:tr>
      <w:tr w:rsidR="00B54D51" w:rsidRPr="00037AD4" w14:paraId="3A9F9821" w14:textId="77777777" w:rsidTr="008F00F0">
        <w:tc>
          <w:tcPr>
            <w:tcW w:w="1883" w:type="dxa"/>
          </w:tcPr>
          <w:p w14:paraId="5F7A120A"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Other</w:t>
            </w:r>
          </w:p>
        </w:tc>
        <w:tc>
          <w:tcPr>
            <w:tcW w:w="2094" w:type="dxa"/>
          </w:tcPr>
          <w:p w14:paraId="6912F6E0"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w:t>
            </w:r>
          </w:p>
        </w:tc>
        <w:tc>
          <w:tcPr>
            <w:tcW w:w="1823" w:type="dxa"/>
          </w:tcPr>
          <w:p w14:paraId="1795E923"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3 (1.0)</w:t>
            </w:r>
          </w:p>
        </w:tc>
        <w:tc>
          <w:tcPr>
            <w:tcW w:w="1785" w:type="dxa"/>
          </w:tcPr>
          <w:p w14:paraId="6D1D9D8F"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1 (3.7)</w:t>
            </w:r>
          </w:p>
        </w:tc>
        <w:tc>
          <w:tcPr>
            <w:tcW w:w="1431" w:type="dxa"/>
          </w:tcPr>
          <w:p w14:paraId="2432597B" w14:textId="77777777" w:rsidR="00B54D51" w:rsidRPr="00037AD4" w:rsidRDefault="00B54D51" w:rsidP="008F00F0">
            <w:pPr>
              <w:rPr>
                <w:rFonts w:asciiTheme="minorHAnsi" w:hAnsiTheme="minorHAnsi" w:cstheme="minorHAnsi"/>
              </w:rPr>
            </w:pPr>
          </w:p>
        </w:tc>
      </w:tr>
      <w:tr w:rsidR="00B54D51" w:rsidRPr="00037AD4" w14:paraId="559F60F5" w14:textId="77777777" w:rsidTr="008F00F0">
        <w:tc>
          <w:tcPr>
            <w:tcW w:w="9016" w:type="dxa"/>
            <w:gridSpan w:val="5"/>
          </w:tcPr>
          <w:p w14:paraId="179BF8AA" w14:textId="77777777" w:rsidR="00B54D51" w:rsidRPr="00037AD4" w:rsidRDefault="00B54D51" w:rsidP="008F00F0">
            <w:pPr>
              <w:rPr>
                <w:rFonts w:asciiTheme="minorHAnsi" w:hAnsiTheme="minorHAnsi" w:cstheme="minorHAnsi"/>
              </w:rPr>
            </w:pPr>
            <w:r w:rsidRPr="00037AD4">
              <w:rPr>
                <w:rFonts w:asciiTheme="minorHAnsi" w:hAnsiTheme="minorHAnsi" w:cstheme="minorHAnsi"/>
                <w:sz w:val="20"/>
                <w:szCs w:val="20"/>
              </w:rPr>
              <w:t>*Offspring proxy includes adult children and children-in-law</w:t>
            </w:r>
          </w:p>
        </w:tc>
      </w:tr>
    </w:tbl>
    <w:p w14:paraId="5E57709E" w14:textId="77777777" w:rsidR="00B54D51" w:rsidRPr="00037AD4" w:rsidRDefault="00B54D51" w:rsidP="00E00585">
      <w:pPr>
        <w:rPr>
          <w:rFonts w:asciiTheme="minorHAnsi" w:hAnsiTheme="minorHAnsi" w:cstheme="minorHAnsi"/>
          <w:b/>
          <w:bCs/>
          <w:color w:val="FF0000"/>
          <w:sz w:val="26"/>
          <w:szCs w:val="26"/>
          <w:u w:val="single"/>
        </w:rPr>
      </w:pPr>
      <w:r w:rsidRPr="00037AD4">
        <w:rPr>
          <w:rFonts w:asciiTheme="minorHAnsi" w:hAnsiTheme="minorHAnsi" w:cstheme="minorHAnsi"/>
          <w:b/>
          <w:bCs/>
          <w:color w:val="FF0000"/>
          <w:sz w:val="26"/>
          <w:szCs w:val="26"/>
          <w:u w:val="single"/>
        </w:rPr>
        <w:t xml:space="preserve"> </w:t>
      </w:r>
    </w:p>
    <w:p w14:paraId="5B884087" w14:textId="77777777" w:rsidR="00B54D51" w:rsidRPr="00037AD4" w:rsidRDefault="00B54D51" w:rsidP="007A43F9">
      <w:pPr>
        <w:pStyle w:val="Heading3"/>
        <w:rPr>
          <w:color w:val="FF0000"/>
        </w:rPr>
      </w:pPr>
      <w:bookmarkStart w:id="327" w:name="sec442"/>
      <w:bookmarkStart w:id="328" w:name="_Toc175742306"/>
      <w:r w:rsidRPr="00037AD4">
        <w:t>4.4.2 Missing data analysis</w:t>
      </w:r>
      <w:bookmarkEnd w:id="328"/>
      <w:r w:rsidRPr="00037AD4">
        <w:t xml:space="preserve"> </w:t>
      </w:r>
    </w:p>
    <w:bookmarkEnd w:id="327"/>
    <w:p w14:paraId="152060CC" w14:textId="77777777" w:rsidR="00B54D51" w:rsidRPr="00037AD4" w:rsidRDefault="00B54D51" w:rsidP="00E00585">
      <w:pPr>
        <w:rPr>
          <w:rFonts w:asciiTheme="minorHAnsi" w:hAnsiTheme="minorHAnsi" w:cstheme="minorHAnsi"/>
          <w:b/>
          <w:bCs/>
          <w:color w:val="FF0000"/>
          <w:u w:val="single"/>
        </w:rPr>
      </w:pPr>
    </w:p>
    <w:p w14:paraId="162E3F37" w14:textId="77777777" w:rsidR="00B54D51" w:rsidRPr="00037AD4" w:rsidRDefault="00B54D51" w:rsidP="00E00585">
      <w:pPr>
        <w:rPr>
          <w:rFonts w:asciiTheme="minorHAnsi" w:hAnsiTheme="minorHAnsi" w:cstheme="minorHAnsi"/>
        </w:rPr>
      </w:pPr>
      <w:r w:rsidRPr="00037AD4">
        <w:rPr>
          <w:rFonts w:asciiTheme="minorHAnsi" w:hAnsiTheme="minorHAnsi" w:cstheme="minorHAnsi"/>
          <w:color w:val="000000" w:themeColor="text1"/>
        </w:rPr>
        <w:t xml:space="preserve">Table 16 </w:t>
      </w:r>
      <w:r w:rsidRPr="00037AD4">
        <w:rPr>
          <w:rFonts w:asciiTheme="minorHAnsi" w:hAnsiTheme="minorHAnsi" w:cstheme="minorHAnsi"/>
        </w:rPr>
        <w:t xml:space="preserve">shows the proportion of missing data for each of the EQ-5D items as reported by the PwD and proxies for all three studies using data from all timepoints. The total number of possible participant observations for the REMCARE, EPIC and ACTIFCARE studies were n=1464, n=2202 and n=1353 respectively (the recruited number multiplied by three data collection time points). The first row in the table indicates the number of participants who had EQ-5D completely missing (missing all item reports) or had been lost at either follow-up point (T1 or T2). The second row indicates the total number of complete EQ-5D instruments, with no missing observations for any dimension. For the REMCARE study, this value also reflects the number of EQ-5D index score estimations (note that all EQ-5D dimensions need to be complete for the utility/index scores to be calculated). The EPIC and ACTIFCARE studies collected EQ-5D-5L, and its estimation is conditional upon additional variables of PwD sex and age </w:t>
      </w:r>
      <w:r>
        <w:rPr>
          <w:rFonts w:asciiTheme="minorHAnsi" w:hAnsiTheme="minorHAnsi" w:cstheme="minorHAnsi"/>
          <w:noProof/>
        </w:rPr>
        <w:t>(Hernández Alava et al., 2023)</w:t>
      </w:r>
      <w:r w:rsidRPr="00037AD4">
        <w:rPr>
          <w:rFonts w:asciiTheme="minorHAnsi" w:hAnsiTheme="minorHAnsi" w:cstheme="minorHAnsi"/>
        </w:rPr>
        <w:t xml:space="preserve">, therefore the total number of utility estimations is in these instances </w:t>
      </w:r>
      <w:r>
        <w:rPr>
          <w:rFonts w:asciiTheme="minorHAnsi" w:hAnsiTheme="minorHAnsi" w:cstheme="minorHAnsi"/>
        </w:rPr>
        <w:t xml:space="preserve">may be </w:t>
      </w:r>
      <w:r w:rsidRPr="00037AD4">
        <w:rPr>
          <w:rFonts w:asciiTheme="minorHAnsi" w:hAnsiTheme="minorHAnsi" w:cstheme="minorHAnsi"/>
        </w:rPr>
        <w:t>lower due to missing demographic data for some participants. The rows in the table with dimension reports reflect the number of missing observations for specific EQ-5D dimensions. These values are presented distinctly from cases where the entire instrument is missing, whereby respondents may have omitted only the specified dimension or multiple dimensions, but the entire set of item-reports is not missing.</w:t>
      </w:r>
    </w:p>
    <w:p w14:paraId="073BD0F0" w14:textId="77777777" w:rsidR="00B54D51" w:rsidRPr="00037AD4" w:rsidRDefault="00B54D51" w:rsidP="00E00585">
      <w:pPr>
        <w:rPr>
          <w:rFonts w:asciiTheme="minorHAnsi" w:hAnsiTheme="minorHAnsi" w:cstheme="minorHAnsi"/>
        </w:rPr>
      </w:pPr>
    </w:p>
    <w:p w14:paraId="1CCB4442" w14:textId="77777777" w:rsidR="00B54D51" w:rsidRPr="00037AD4" w:rsidRDefault="00B54D51" w:rsidP="00E00585">
      <w:pPr>
        <w:rPr>
          <w:rFonts w:asciiTheme="minorHAnsi" w:hAnsiTheme="minorHAnsi" w:cstheme="minorHAnsi"/>
        </w:rPr>
      </w:pPr>
      <w:r w:rsidRPr="00037AD4">
        <w:rPr>
          <w:rFonts w:asciiTheme="minorHAnsi" w:hAnsiTheme="minorHAnsi" w:cstheme="minorHAnsi"/>
        </w:rPr>
        <w:t xml:space="preserve">The EPIC study saw high attrition of people with dementia (around 43.0% of people with dementia were lost to follow-up mainly due to death, reported in </w:t>
      </w:r>
      <w:hyperlink w:anchor="attr" w:history="1">
        <w:r w:rsidRPr="00B54D51">
          <w:rPr>
            <w:rStyle w:val="Hyperlink"/>
            <w:rFonts w:asciiTheme="minorHAnsi" w:hAnsiTheme="minorHAnsi" w:cstheme="minorHAnsi"/>
            <w:color w:val="auto"/>
            <w:u w:val="none"/>
          </w:rPr>
          <w:t>Appendix 4</w:t>
        </w:r>
      </w:hyperlink>
      <w:r w:rsidRPr="00B54D51">
        <w:rPr>
          <w:rFonts w:asciiTheme="minorHAnsi" w:hAnsiTheme="minorHAnsi" w:cstheme="minorHAnsi"/>
        </w:rPr>
        <w:t xml:space="preserve">). </w:t>
      </w:r>
      <w:r w:rsidRPr="00037AD4">
        <w:rPr>
          <w:rFonts w:asciiTheme="minorHAnsi" w:hAnsiTheme="minorHAnsi" w:cstheme="minorHAnsi"/>
        </w:rPr>
        <w:t xml:space="preserve">For the EPIC study, recruitment of informal proxies was low from the outset (n=171), and by the final follow-up assessment, only informal proxies (n = 66) remained in the trial. Similarly, for the REMCARE and ACTIFCARE studies , proxies provided a larger number of complete EQ-5D cases when compared with PwD-reports. Proxies in all three studies had higher proportions of complete EQ-5D reports when compared with the PwD. </w:t>
      </w:r>
    </w:p>
    <w:p w14:paraId="3D064CE0" w14:textId="77777777" w:rsidR="00B54D51" w:rsidRPr="00037AD4" w:rsidRDefault="00B54D51" w:rsidP="00E00585">
      <w:pPr>
        <w:rPr>
          <w:rFonts w:asciiTheme="minorHAnsi" w:hAnsiTheme="minorHAnsi" w:cstheme="minorHAnsi"/>
        </w:rPr>
      </w:pPr>
    </w:p>
    <w:p w14:paraId="35C0105B" w14:textId="77777777" w:rsidR="00B54D51" w:rsidRPr="00037AD4" w:rsidRDefault="00B54D51" w:rsidP="00E00585">
      <w:pPr>
        <w:rPr>
          <w:rFonts w:asciiTheme="minorHAnsi" w:hAnsiTheme="minorHAnsi" w:cstheme="minorHAnsi"/>
        </w:rPr>
      </w:pPr>
      <w:r w:rsidRPr="00037AD4">
        <w:rPr>
          <w:rFonts w:asciiTheme="minorHAnsi" w:hAnsiTheme="minorHAnsi" w:cstheme="minorHAnsi"/>
        </w:rPr>
        <w:lastRenderedPageBreak/>
        <w:t xml:space="preserve">Overall, proxy-reported EQ-5D has less missing item data when compared with PwD-reports, particularly staff-proxy reports where none of the dimensions show more than two missing observations. The “usual activities” dimension has the most missing data across the trials and respondents, whereby nearly 5% of people with dementia did not complete this item in the EPIC trial, followed by the “anxiety/depression” dimension. </w:t>
      </w:r>
    </w:p>
    <w:p w14:paraId="24404AE0" w14:textId="77777777" w:rsidR="00B54D51" w:rsidRPr="00037AD4" w:rsidRDefault="00B54D51" w:rsidP="00E00585">
      <w:pPr>
        <w:rPr>
          <w:rFonts w:asciiTheme="minorHAnsi" w:hAnsiTheme="minorHAnsi" w:cstheme="minorHAnsi"/>
        </w:rPr>
      </w:pPr>
    </w:p>
    <w:p w14:paraId="518548B8" w14:textId="77777777" w:rsidR="00B54D51" w:rsidRPr="00037AD4" w:rsidRDefault="00B54D51" w:rsidP="00E00585">
      <w:pPr>
        <w:rPr>
          <w:rFonts w:asciiTheme="minorHAnsi" w:hAnsiTheme="minorHAnsi" w:cstheme="minorHAnsi"/>
          <w:b/>
          <w:bCs/>
          <w:i/>
          <w:iCs/>
        </w:rPr>
      </w:pPr>
      <w:r w:rsidRPr="00037AD4">
        <w:rPr>
          <w:rFonts w:asciiTheme="minorHAnsi" w:hAnsiTheme="minorHAnsi" w:cstheme="minorHAnsi"/>
          <w:b/>
          <w:bCs/>
          <w:i/>
          <w:iCs/>
        </w:rPr>
        <w:t xml:space="preserve">Table 16, Missing data by EQ-5D dimension </w:t>
      </w:r>
    </w:p>
    <w:p w14:paraId="0143906A" w14:textId="77777777" w:rsidR="00B54D51" w:rsidRPr="00037AD4" w:rsidRDefault="00B54D51" w:rsidP="00E00585">
      <w:pPr>
        <w:rPr>
          <w:rFonts w:asciiTheme="minorHAnsi" w:hAnsiTheme="minorHAnsi" w:cstheme="minorHAnsi"/>
          <w:b/>
          <w:bCs/>
          <w:u w:val="single"/>
        </w:rPr>
      </w:pPr>
    </w:p>
    <w:tbl>
      <w:tblPr>
        <w:tblStyle w:val="TableGrid"/>
        <w:tblW w:w="0" w:type="auto"/>
        <w:tblLook w:val="04A0" w:firstRow="1" w:lastRow="0" w:firstColumn="1" w:lastColumn="0" w:noHBand="0" w:noVBand="1"/>
      </w:tblPr>
      <w:tblGrid>
        <w:gridCol w:w="2444"/>
        <w:gridCol w:w="950"/>
        <w:gridCol w:w="949"/>
        <w:gridCol w:w="913"/>
        <w:gridCol w:w="913"/>
        <w:gridCol w:w="949"/>
        <w:gridCol w:w="949"/>
        <w:gridCol w:w="949"/>
      </w:tblGrid>
      <w:tr w:rsidR="00B54D51" w:rsidRPr="00037AD4" w14:paraId="2882B791" w14:textId="77777777" w:rsidTr="008F00F0">
        <w:trPr>
          <w:trHeight w:val="366"/>
        </w:trPr>
        <w:tc>
          <w:tcPr>
            <w:tcW w:w="0" w:type="auto"/>
          </w:tcPr>
          <w:p w14:paraId="1807F69F"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Study</w:t>
            </w:r>
          </w:p>
        </w:tc>
        <w:tc>
          <w:tcPr>
            <w:tcW w:w="0" w:type="auto"/>
            <w:gridSpan w:val="2"/>
          </w:tcPr>
          <w:p w14:paraId="048CE983"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REMCARE</w:t>
            </w:r>
          </w:p>
        </w:tc>
        <w:tc>
          <w:tcPr>
            <w:tcW w:w="0" w:type="auto"/>
            <w:gridSpan w:val="3"/>
          </w:tcPr>
          <w:p w14:paraId="2CE70AF7" w14:textId="77777777" w:rsidR="00B54D51" w:rsidRPr="00037AD4" w:rsidRDefault="00B54D51" w:rsidP="008F00F0">
            <w:pPr>
              <w:jc w:val="center"/>
              <w:rPr>
                <w:rFonts w:asciiTheme="minorHAnsi" w:hAnsiTheme="minorHAnsi" w:cstheme="minorHAnsi"/>
              </w:rPr>
            </w:pPr>
            <w:r w:rsidRPr="00037AD4">
              <w:rPr>
                <w:rFonts w:asciiTheme="minorHAnsi" w:hAnsiTheme="minorHAnsi" w:cstheme="minorHAnsi"/>
              </w:rPr>
              <w:t>EPIC</w:t>
            </w:r>
          </w:p>
        </w:tc>
        <w:tc>
          <w:tcPr>
            <w:tcW w:w="0" w:type="auto"/>
            <w:gridSpan w:val="2"/>
          </w:tcPr>
          <w:p w14:paraId="369C62AF"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ACTIFCARE</w:t>
            </w:r>
          </w:p>
        </w:tc>
      </w:tr>
      <w:tr w:rsidR="00B54D51" w:rsidRPr="00037AD4" w14:paraId="700A0E74" w14:textId="77777777" w:rsidTr="008F00F0">
        <w:trPr>
          <w:trHeight w:val="342"/>
        </w:trPr>
        <w:tc>
          <w:tcPr>
            <w:tcW w:w="0" w:type="auto"/>
          </w:tcPr>
          <w:p w14:paraId="39C90BB2"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Respondent, n (%)</w:t>
            </w:r>
          </w:p>
        </w:tc>
        <w:tc>
          <w:tcPr>
            <w:tcW w:w="0" w:type="auto"/>
          </w:tcPr>
          <w:p w14:paraId="70D27338"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PwD</w:t>
            </w:r>
          </w:p>
        </w:tc>
        <w:tc>
          <w:tcPr>
            <w:tcW w:w="0" w:type="auto"/>
          </w:tcPr>
          <w:p w14:paraId="549B1717"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Proxy</w:t>
            </w:r>
          </w:p>
        </w:tc>
        <w:tc>
          <w:tcPr>
            <w:tcW w:w="0" w:type="auto"/>
          </w:tcPr>
          <w:p w14:paraId="5CD1AEFC"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PwD </w:t>
            </w:r>
          </w:p>
        </w:tc>
        <w:tc>
          <w:tcPr>
            <w:tcW w:w="0" w:type="auto"/>
          </w:tcPr>
          <w:p w14:paraId="7332ED62"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Proxy</w:t>
            </w:r>
          </w:p>
        </w:tc>
        <w:tc>
          <w:tcPr>
            <w:tcW w:w="0" w:type="auto"/>
          </w:tcPr>
          <w:p w14:paraId="03C9C1C4"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Staff</w:t>
            </w:r>
          </w:p>
        </w:tc>
        <w:tc>
          <w:tcPr>
            <w:tcW w:w="0" w:type="auto"/>
          </w:tcPr>
          <w:p w14:paraId="6E1B24BD"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PwD</w:t>
            </w:r>
          </w:p>
        </w:tc>
        <w:tc>
          <w:tcPr>
            <w:tcW w:w="0" w:type="auto"/>
          </w:tcPr>
          <w:p w14:paraId="225D4AC4"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Proxy</w:t>
            </w:r>
          </w:p>
        </w:tc>
      </w:tr>
      <w:tr w:rsidR="00B54D51" w:rsidRPr="00037AD4" w14:paraId="58EF9B2F" w14:textId="77777777" w:rsidTr="008F00F0">
        <w:trPr>
          <w:trHeight w:val="342"/>
        </w:trPr>
        <w:tc>
          <w:tcPr>
            <w:tcW w:w="0" w:type="auto"/>
          </w:tcPr>
          <w:p w14:paraId="4CD95C65"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Missing all EQ-5D dimensions/ </w:t>
            </w:r>
          </w:p>
          <w:p w14:paraId="49BA6A07"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lost to follow-up </w:t>
            </w:r>
          </w:p>
        </w:tc>
        <w:tc>
          <w:tcPr>
            <w:tcW w:w="0" w:type="auto"/>
          </w:tcPr>
          <w:p w14:paraId="0F82787F"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276 (19.3)</w:t>
            </w:r>
          </w:p>
        </w:tc>
        <w:tc>
          <w:tcPr>
            <w:tcW w:w="0" w:type="auto"/>
          </w:tcPr>
          <w:p w14:paraId="1B554D79"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247 (17.0)</w:t>
            </w:r>
          </w:p>
        </w:tc>
        <w:tc>
          <w:tcPr>
            <w:tcW w:w="0" w:type="auto"/>
          </w:tcPr>
          <w:p w14:paraId="3289CA50"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1380</w:t>
            </w:r>
          </w:p>
          <w:p w14:paraId="6B23311B"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(62.7)</w:t>
            </w:r>
          </w:p>
        </w:tc>
        <w:tc>
          <w:tcPr>
            <w:tcW w:w="0" w:type="auto"/>
          </w:tcPr>
          <w:p w14:paraId="401FD50A"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104 (23.0)</w:t>
            </w:r>
          </w:p>
        </w:tc>
        <w:tc>
          <w:tcPr>
            <w:tcW w:w="0" w:type="auto"/>
          </w:tcPr>
          <w:p w14:paraId="203CC0C5"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501</w:t>
            </w:r>
          </w:p>
          <w:p w14:paraId="55BBFAC4"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(22.8)</w:t>
            </w:r>
          </w:p>
          <w:p w14:paraId="279009B2" w14:textId="77777777" w:rsidR="00B54D51" w:rsidRPr="00037AD4" w:rsidRDefault="00B54D51" w:rsidP="008F00F0">
            <w:pPr>
              <w:rPr>
                <w:rFonts w:asciiTheme="minorHAnsi" w:hAnsiTheme="minorHAnsi" w:cstheme="minorHAnsi"/>
              </w:rPr>
            </w:pPr>
          </w:p>
        </w:tc>
        <w:tc>
          <w:tcPr>
            <w:tcW w:w="0" w:type="auto"/>
          </w:tcPr>
          <w:p w14:paraId="5BD0B8FF"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213 (16.2)</w:t>
            </w:r>
          </w:p>
        </w:tc>
        <w:tc>
          <w:tcPr>
            <w:tcW w:w="0" w:type="auto"/>
          </w:tcPr>
          <w:p w14:paraId="7155E57A"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158</w:t>
            </w:r>
          </w:p>
          <w:p w14:paraId="0751672B"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(11.8) </w:t>
            </w:r>
          </w:p>
        </w:tc>
      </w:tr>
      <w:tr w:rsidR="00B54D51" w:rsidRPr="00037AD4" w14:paraId="63A35F44" w14:textId="77777777" w:rsidTr="008F00F0">
        <w:trPr>
          <w:trHeight w:val="342"/>
        </w:trPr>
        <w:tc>
          <w:tcPr>
            <w:tcW w:w="0" w:type="auto"/>
          </w:tcPr>
          <w:p w14:paraId="7B214D9C"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Complete EQ-5D reports, n (%)</w:t>
            </w:r>
          </w:p>
        </w:tc>
        <w:tc>
          <w:tcPr>
            <w:tcW w:w="0" w:type="auto"/>
          </w:tcPr>
          <w:p w14:paraId="47AB5D52"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1153 (80.7)</w:t>
            </w:r>
          </w:p>
        </w:tc>
        <w:tc>
          <w:tcPr>
            <w:tcW w:w="0" w:type="auto"/>
          </w:tcPr>
          <w:p w14:paraId="1427F22D"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1206 (83.0)</w:t>
            </w:r>
          </w:p>
        </w:tc>
        <w:tc>
          <w:tcPr>
            <w:tcW w:w="0" w:type="auto"/>
          </w:tcPr>
          <w:p w14:paraId="5B826497"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765 (34.6)</w:t>
            </w:r>
          </w:p>
        </w:tc>
        <w:tc>
          <w:tcPr>
            <w:tcW w:w="0" w:type="auto"/>
          </w:tcPr>
          <w:p w14:paraId="3459D032"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349 (77.0)</w:t>
            </w:r>
          </w:p>
        </w:tc>
        <w:tc>
          <w:tcPr>
            <w:tcW w:w="0" w:type="auto"/>
          </w:tcPr>
          <w:p w14:paraId="7494D1BF"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1696 (77.2)</w:t>
            </w:r>
          </w:p>
        </w:tc>
        <w:tc>
          <w:tcPr>
            <w:tcW w:w="0" w:type="auto"/>
          </w:tcPr>
          <w:p w14:paraId="0C3F8673"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1105 (83.8)</w:t>
            </w:r>
          </w:p>
        </w:tc>
        <w:tc>
          <w:tcPr>
            <w:tcW w:w="0" w:type="auto"/>
          </w:tcPr>
          <w:p w14:paraId="7C159934"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1182 (88.2)</w:t>
            </w:r>
          </w:p>
        </w:tc>
      </w:tr>
      <w:tr w:rsidR="00B54D51" w:rsidRPr="00037AD4" w14:paraId="2542EA0C" w14:textId="77777777" w:rsidTr="008F00F0">
        <w:trPr>
          <w:trHeight w:val="366"/>
        </w:trPr>
        <w:tc>
          <w:tcPr>
            <w:tcW w:w="0" w:type="auto"/>
          </w:tcPr>
          <w:p w14:paraId="0D8AABD1"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Mobility</w:t>
            </w:r>
          </w:p>
        </w:tc>
        <w:tc>
          <w:tcPr>
            <w:tcW w:w="0" w:type="auto"/>
          </w:tcPr>
          <w:p w14:paraId="1BEE2AEC"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4</w:t>
            </w:r>
          </w:p>
          <w:p w14:paraId="1AF169D7"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(0.3)</w:t>
            </w:r>
          </w:p>
        </w:tc>
        <w:tc>
          <w:tcPr>
            <w:tcW w:w="0" w:type="auto"/>
          </w:tcPr>
          <w:p w14:paraId="3A76293C"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 (0)</w:t>
            </w:r>
          </w:p>
          <w:p w14:paraId="6218AB40" w14:textId="77777777" w:rsidR="00B54D51" w:rsidRPr="00037AD4" w:rsidRDefault="00B54D51" w:rsidP="008F00F0">
            <w:pPr>
              <w:rPr>
                <w:rFonts w:asciiTheme="minorHAnsi" w:hAnsiTheme="minorHAnsi" w:cstheme="minorHAnsi"/>
              </w:rPr>
            </w:pPr>
          </w:p>
        </w:tc>
        <w:tc>
          <w:tcPr>
            <w:tcW w:w="0" w:type="auto"/>
          </w:tcPr>
          <w:p w14:paraId="676EA8E3"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20 (2.6)</w:t>
            </w:r>
          </w:p>
        </w:tc>
        <w:tc>
          <w:tcPr>
            <w:tcW w:w="0" w:type="auto"/>
          </w:tcPr>
          <w:p w14:paraId="1B520939"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4 </w:t>
            </w:r>
          </w:p>
          <w:p w14:paraId="353893BE"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(1.1)</w:t>
            </w:r>
          </w:p>
        </w:tc>
        <w:tc>
          <w:tcPr>
            <w:tcW w:w="0" w:type="auto"/>
          </w:tcPr>
          <w:p w14:paraId="5688B72A"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2 </w:t>
            </w:r>
          </w:p>
          <w:p w14:paraId="55E7A99D"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(0.1)</w:t>
            </w:r>
          </w:p>
        </w:tc>
        <w:tc>
          <w:tcPr>
            <w:tcW w:w="0" w:type="auto"/>
          </w:tcPr>
          <w:p w14:paraId="3362C055"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1 (&lt;0.1)</w:t>
            </w:r>
          </w:p>
        </w:tc>
        <w:tc>
          <w:tcPr>
            <w:tcW w:w="0" w:type="auto"/>
          </w:tcPr>
          <w:p w14:paraId="6E793D9D"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w:t>
            </w:r>
          </w:p>
          <w:p w14:paraId="3C3DADD7"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w:t>
            </w:r>
          </w:p>
        </w:tc>
      </w:tr>
      <w:tr w:rsidR="00B54D51" w:rsidRPr="00037AD4" w14:paraId="3C232DED" w14:textId="77777777" w:rsidTr="008F00F0">
        <w:trPr>
          <w:trHeight w:val="366"/>
        </w:trPr>
        <w:tc>
          <w:tcPr>
            <w:tcW w:w="0" w:type="auto"/>
          </w:tcPr>
          <w:p w14:paraId="13199924"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Self-care</w:t>
            </w:r>
          </w:p>
        </w:tc>
        <w:tc>
          <w:tcPr>
            <w:tcW w:w="0" w:type="auto"/>
          </w:tcPr>
          <w:p w14:paraId="5814B831"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5</w:t>
            </w:r>
          </w:p>
          <w:p w14:paraId="2DEB1FE5"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(0.4)</w:t>
            </w:r>
          </w:p>
        </w:tc>
        <w:tc>
          <w:tcPr>
            <w:tcW w:w="0" w:type="auto"/>
          </w:tcPr>
          <w:p w14:paraId="303363D7"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0 </w:t>
            </w:r>
          </w:p>
          <w:p w14:paraId="3E8A0C2B"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w:t>
            </w:r>
          </w:p>
        </w:tc>
        <w:tc>
          <w:tcPr>
            <w:tcW w:w="0" w:type="auto"/>
          </w:tcPr>
          <w:p w14:paraId="51019806"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22 (2.9)</w:t>
            </w:r>
          </w:p>
        </w:tc>
        <w:tc>
          <w:tcPr>
            <w:tcW w:w="0" w:type="auto"/>
          </w:tcPr>
          <w:p w14:paraId="4532062E"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6 </w:t>
            </w:r>
          </w:p>
          <w:p w14:paraId="2B23F10C"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(1.7)</w:t>
            </w:r>
          </w:p>
        </w:tc>
        <w:tc>
          <w:tcPr>
            <w:tcW w:w="0" w:type="auto"/>
          </w:tcPr>
          <w:p w14:paraId="1CE32723"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1 (&lt;0.1)</w:t>
            </w:r>
          </w:p>
        </w:tc>
        <w:tc>
          <w:tcPr>
            <w:tcW w:w="0" w:type="auto"/>
          </w:tcPr>
          <w:p w14:paraId="51613205"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8</w:t>
            </w:r>
          </w:p>
          <w:p w14:paraId="18C8CE86"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(0.8)</w:t>
            </w:r>
          </w:p>
        </w:tc>
        <w:tc>
          <w:tcPr>
            <w:tcW w:w="0" w:type="auto"/>
          </w:tcPr>
          <w:p w14:paraId="6AA7A2F3"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1 (&lt;0.1)</w:t>
            </w:r>
          </w:p>
        </w:tc>
      </w:tr>
      <w:tr w:rsidR="00B54D51" w:rsidRPr="00037AD4" w14:paraId="4895755C" w14:textId="77777777" w:rsidTr="008F00F0">
        <w:trPr>
          <w:trHeight w:val="342"/>
        </w:trPr>
        <w:tc>
          <w:tcPr>
            <w:tcW w:w="0" w:type="auto"/>
          </w:tcPr>
          <w:p w14:paraId="2CA5BB49"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Usual activities</w:t>
            </w:r>
          </w:p>
        </w:tc>
        <w:tc>
          <w:tcPr>
            <w:tcW w:w="0" w:type="auto"/>
          </w:tcPr>
          <w:p w14:paraId="6D0E9F5B"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23 (2.0)</w:t>
            </w:r>
          </w:p>
        </w:tc>
        <w:tc>
          <w:tcPr>
            <w:tcW w:w="0" w:type="auto"/>
          </w:tcPr>
          <w:p w14:paraId="65045CF8"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5</w:t>
            </w:r>
          </w:p>
          <w:p w14:paraId="736F7A1F"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(0.4)</w:t>
            </w:r>
          </w:p>
        </w:tc>
        <w:tc>
          <w:tcPr>
            <w:tcW w:w="0" w:type="auto"/>
          </w:tcPr>
          <w:p w14:paraId="16ACE3E9"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37 (4.8)</w:t>
            </w:r>
          </w:p>
        </w:tc>
        <w:tc>
          <w:tcPr>
            <w:tcW w:w="0" w:type="auto"/>
          </w:tcPr>
          <w:p w14:paraId="01B023CF"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6</w:t>
            </w:r>
          </w:p>
          <w:p w14:paraId="5D5A7E96"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(1.7)</w:t>
            </w:r>
          </w:p>
        </w:tc>
        <w:tc>
          <w:tcPr>
            <w:tcW w:w="0" w:type="auto"/>
          </w:tcPr>
          <w:p w14:paraId="73B717C8"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0 </w:t>
            </w:r>
          </w:p>
          <w:p w14:paraId="52185BF3"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w:t>
            </w:r>
          </w:p>
        </w:tc>
        <w:tc>
          <w:tcPr>
            <w:tcW w:w="0" w:type="auto"/>
          </w:tcPr>
          <w:p w14:paraId="0B8C62B4"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25 (2.2)</w:t>
            </w:r>
          </w:p>
        </w:tc>
        <w:tc>
          <w:tcPr>
            <w:tcW w:w="0" w:type="auto"/>
          </w:tcPr>
          <w:p w14:paraId="23B35CAC"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3 </w:t>
            </w:r>
          </w:p>
          <w:p w14:paraId="32F6FEB0"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(0.3)</w:t>
            </w:r>
          </w:p>
        </w:tc>
      </w:tr>
      <w:tr w:rsidR="00B54D51" w:rsidRPr="00037AD4" w14:paraId="29468B75" w14:textId="77777777" w:rsidTr="008F00F0">
        <w:trPr>
          <w:trHeight w:val="366"/>
        </w:trPr>
        <w:tc>
          <w:tcPr>
            <w:tcW w:w="0" w:type="auto"/>
          </w:tcPr>
          <w:p w14:paraId="28C438F1"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Pain/discomfort</w:t>
            </w:r>
          </w:p>
        </w:tc>
        <w:tc>
          <w:tcPr>
            <w:tcW w:w="0" w:type="auto"/>
          </w:tcPr>
          <w:p w14:paraId="0AC94C52"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6 </w:t>
            </w:r>
          </w:p>
          <w:p w14:paraId="6781A64D"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(0.5)</w:t>
            </w:r>
          </w:p>
        </w:tc>
        <w:tc>
          <w:tcPr>
            <w:tcW w:w="0" w:type="auto"/>
          </w:tcPr>
          <w:p w14:paraId="73D5C0DF"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3 </w:t>
            </w:r>
          </w:p>
          <w:p w14:paraId="6A55103D"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(0.2)</w:t>
            </w:r>
          </w:p>
        </w:tc>
        <w:tc>
          <w:tcPr>
            <w:tcW w:w="0" w:type="auto"/>
          </w:tcPr>
          <w:p w14:paraId="5C5CDD48"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17 (2.2)</w:t>
            </w:r>
          </w:p>
        </w:tc>
        <w:tc>
          <w:tcPr>
            <w:tcW w:w="0" w:type="auto"/>
          </w:tcPr>
          <w:p w14:paraId="71A20D49"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5 </w:t>
            </w:r>
          </w:p>
          <w:p w14:paraId="70E4AC91"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(1.4)</w:t>
            </w:r>
          </w:p>
        </w:tc>
        <w:tc>
          <w:tcPr>
            <w:tcW w:w="0" w:type="auto"/>
          </w:tcPr>
          <w:p w14:paraId="0FBD2B0B"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1 (&lt;0.1)</w:t>
            </w:r>
          </w:p>
        </w:tc>
        <w:tc>
          <w:tcPr>
            <w:tcW w:w="0" w:type="auto"/>
          </w:tcPr>
          <w:p w14:paraId="6728FBEB"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8</w:t>
            </w:r>
          </w:p>
          <w:p w14:paraId="2A5545AE"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(0.8)</w:t>
            </w:r>
          </w:p>
        </w:tc>
        <w:tc>
          <w:tcPr>
            <w:tcW w:w="0" w:type="auto"/>
          </w:tcPr>
          <w:p w14:paraId="245EFFDA"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4 </w:t>
            </w:r>
          </w:p>
          <w:p w14:paraId="6B8A074A"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(0.3)</w:t>
            </w:r>
          </w:p>
        </w:tc>
      </w:tr>
      <w:tr w:rsidR="00B54D51" w:rsidRPr="00037AD4" w14:paraId="477F6691" w14:textId="77777777" w:rsidTr="008F00F0">
        <w:trPr>
          <w:trHeight w:val="342"/>
        </w:trPr>
        <w:tc>
          <w:tcPr>
            <w:tcW w:w="0" w:type="auto"/>
          </w:tcPr>
          <w:p w14:paraId="1260DECC"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Anxiety/depression</w:t>
            </w:r>
          </w:p>
        </w:tc>
        <w:tc>
          <w:tcPr>
            <w:tcW w:w="0" w:type="auto"/>
          </w:tcPr>
          <w:p w14:paraId="2950030A"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15 (1.3)</w:t>
            </w:r>
          </w:p>
        </w:tc>
        <w:tc>
          <w:tcPr>
            <w:tcW w:w="0" w:type="auto"/>
          </w:tcPr>
          <w:p w14:paraId="7D9162AE"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4 </w:t>
            </w:r>
          </w:p>
          <w:p w14:paraId="4D83BB6D"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(0.3)</w:t>
            </w:r>
          </w:p>
        </w:tc>
        <w:tc>
          <w:tcPr>
            <w:tcW w:w="0" w:type="auto"/>
          </w:tcPr>
          <w:p w14:paraId="51BA1525"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30 (4.0)</w:t>
            </w:r>
          </w:p>
        </w:tc>
        <w:tc>
          <w:tcPr>
            <w:tcW w:w="0" w:type="auto"/>
          </w:tcPr>
          <w:p w14:paraId="6ACA1065"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3</w:t>
            </w:r>
          </w:p>
          <w:p w14:paraId="64E3D85E"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(0.9)</w:t>
            </w:r>
          </w:p>
        </w:tc>
        <w:tc>
          <w:tcPr>
            <w:tcW w:w="0" w:type="auto"/>
          </w:tcPr>
          <w:p w14:paraId="13F07AB9"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2</w:t>
            </w:r>
          </w:p>
          <w:p w14:paraId="0BA0C641"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(0.1)</w:t>
            </w:r>
          </w:p>
        </w:tc>
        <w:tc>
          <w:tcPr>
            <w:tcW w:w="0" w:type="auto"/>
          </w:tcPr>
          <w:p w14:paraId="31E2642F"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9 </w:t>
            </w:r>
          </w:p>
          <w:p w14:paraId="552A3E3B"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(0.9)</w:t>
            </w:r>
          </w:p>
        </w:tc>
        <w:tc>
          <w:tcPr>
            <w:tcW w:w="0" w:type="auto"/>
          </w:tcPr>
          <w:p w14:paraId="50A2517F"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8 </w:t>
            </w:r>
          </w:p>
          <w:p w14:paraId="7E1D5CD6"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(0.7)</w:t>
            </w:r>
          </w:p>
        </w:tc>
      </w:tr>
      <w:tr w:rsidR="00B54D51" w:rsidRPr="00037AD4" w14:paraId="64A9EBDD" w14:textId="77777777" w:rsidTr="008F00F0">
        <w:trPr>
          <w:trHeight w:val="342"/>
        </w:trPr>
        <w:tc>
          <w:tcPr>
            <w:tcW w:w="0" w:type="auto"/>
            <w:gridSpan w:val="8"/>
          </w:tcPr>
          <w:p w14:paraId="7D8EA702" w14:textId="77777777" w:rsidR="00B54D51" w:rsidRPr="00037AD4" w:rsidRDefault="00B54D51" w:rsidP="008F00F0">
            <w:pPr>
              <w:rPr>
                <w:rFonts w:asciiTheme="minorHAnsi" w:hAnsiTheme="minorHAnsi" w:cstheme="minorHAnsi"/>
                <w:sz w:val="20"/>
                <w:szCs w:val="20"/>
              </w:rPr>
            </w:pPr>
            <w:r w:rsidRPr="00037AD4">
              <w:rPr>
                <w:rFonts w:asciiTheme="minorHAnsi" w:hAnsiTheme="minorHAnsi" w:cstheme="minorHAnsi"/>
                <w:sz w:val="20"/>
                <w:szCs w:val="20"/>
              </w:rPr>
              <w:t xml:space="preserve">Proxy, informal proxy; PwD, person with dementia; Staff, staff proxy </w:t>
            </w:r>
          </w:p>
        </w:tc>
      </w:tr>
    </w:tbl>
    <w:p w14:paraId="65CA6C1A" w14:textId="77777777" w:rsidR="00B54D51" w:rsidRPr="00037AD4" w:rsidRDefault="00B54D51" w:rsidP="001E6DA5">
      <w:pPr>
        <w:rPr>
          <w:rFonts w:asciiTheme="minorHAnsi" w:hAnsiTheme="minorHAnsi" w:cstheme="minorHAnsi"/>
          <w:color w:val="FF0000"/>
        </w:rPr>
      </w:pPr>
    </w:p>
    <w:p w14:paraId="21A21416" w14:textId="77777777" w:rsidR="00B54D51" w:rsidRPr="00037AD4" w:rsidRDefault="00B54D51" w:rsidP="001E6DA5">
      <w:pPr>
        <w:rPr>
          <w:rFonts w:asciiTheme="minorHAnsi" w:hAnsiTheme="minorHAnsi" w:cstheme="minorHAnsi"/>
        </w:rPr>
      </w:pPr>
      <w:r w:rsidRPr="00037AD4">
        <w:rPr>
          <w:rFonts w:asciiTheme="minorHAnsi" w:hAnsiTheme="minorHAnsi" w:cstheme="minorHAnsi"/>
        </w:rPr>
        <w:t xml:space="preserve">Table 17 presents missing EQ-5D dimension level data for all three trials by informal proxy relationship to the PwD. The table values reflect the number of cases in which at least one EQ-5D dimension is missing, not counting reports where all dimensions are missing/proxy is lost to follow-up. The majority of missing dimension-level data is attributed to spouse/partner proxy reports; however, this may also be because for two of the trials (REMCARE and ACTIFCARE), this type of proxy was the most predominant type. </w:t>
      </w:r>
    </w:p>
    <w:p w14:paraId="61E96662" w14:textId="77777777" w:rsidR="00B54D51" w:rsidRPr="00037AD4" w:rsidRDefault="00B54D51" w:rsidP="001E6DA5">
      <w:pPr>
        <w:rPr>
          <w:rFonts w:asciiTheme="minorHAnsi" w:hAnsiTheme="minorHAnsi" w:cstheme="minorHAnsi"/>
          <w:b/>
          <w:bCs/>
          <w:u w:val="single"/>
        </w:rPr>
      </w:pPr>
    </w:p>
    <w:p w14:paraId="5209A800" w14:textId="77777777" w:rsidR="00B54D51" w:rsidRPr="00037AD4" w:rsidRDefault="00B54D51" w:rsidP="001E6DA5">
      <w:pPr>
        <w:rPr>
          <w:rFonts w:asciiTheme="minorHAnsi" w:hAnsiTheme="minorHAnsi" w:cstheme="minorHAnsi"/>
          <w:b/>
          <w:bCs/>
          <w:i/>
          <w:iCs/>
        </w:rPr>
      </w:pPr>
      <w:r w:rsidRPr="00037AD4">
        <w:rPr>
          <w:rFonts w:asciiTheme="minorHAnsi" w:hAnsiTheme="minorHAnsi" w:cstheme="minorHAnsi"/>
          <w:b/>
          <w:bCs/>
          <w:i/>
          <w:iCs/>
        </w:rPr>
        <w:t>Table 17, Missing EQ-5D data by relationship of informal proxy</w:t>
      </w:r>
    </w:p>
    <w:p w14:paraId="577EDF24" w14:textId="77777777" w:rsidR="00B54D51" w:rsidRPr="00037AD4" w:rsidRDefault="00B54D51" w:rsidP="001E6DA5">
      <w:pPr>
        <w:rPr>
          <w:rFonts w:asciiTheme="minorHAnsi" w:hAnsiTheme="minorHAnsi" w:cstheme="minorHAnsi"/>
          <w:b/>
          <w:bCs/>
          <w:i/>
          <w:iCs/>
        </w:rPr>
      </w:pPr>
    </w:p>
    <w:tbl>
      <w:tblPr>
        <w:tblStyle w:val="TableGrid"/>
        <w:tblW w:w="0" w:type="auto"/>
        <w:tblLook w:val="04A0" w:firstRow="1" w:lastRow="0" w:firstColumn="1" w:lastColumn="0" w:noHBand="0" w:noVBand="1"/>
      </w:tblPr>
      <w:tblGrid>
        <w:gridCol w:w="2676"/>
        <w:gridCol w:w="3170"/>
        <w:gridCol w:w="3170"/>
      </w:tblGrid>
      <w:tr w:rsidR="00B54D51" w:rsidRPr="00037AD4" w14:paraId="2880A0A1" w14:textId="77777777" w:rsidTr="008938EC">
        <w:tc>
          <w:tcPr>
            <w:tcW w:w="2676" w:type="dxa"/>
          </w:tcPr>
          <w:p w14:paraId="39434B6F" w14:textId="77777777" w:rsidR="00B54D51" w:rsidRPr="00037AD4" w:rsidRDefault="00B54D51" w:rsidP="008938EC">
            <w:pPr>
              <w:rPr>
                <w:rFonts w:asciiTheme="minorHAnsi" w:hAnsiTheme="minorHAnsi" w:cstheme="minorHAnsi"/>
              </w:rPr>
            </w:pPr>
            <w:r w:rsidRPr="00037AD4">
              <w:rPr>
                <w:rFonts w:asciiTheme="minorHAnsi" w:hAnsiTheme="minorHAnsi" w:cstheme="minorHAnsi"/>
              </w:rPr>
              <w:t>Relationship</w:t>
            </w:r>
          </w:p>
        </w:tc>
        <w:tc>
          <w:tcPr>
            <w:tcW w:w="3170" w:type="dxa"/>
          </w:tcPr>
          <w:p w14:paraId="65B1B59E" w14:textId="77777777" w:rsidR="00B54D51" w:rsidRPr="00037AD4" w:rsidRDefault="00B54D51" w:rsidP="008938EC">
            <w:pPr>
              <w:rPr>
                <w:rFonts w:asciiTheme="minorHAnsi" w:hAnsiTheme="minorHAnsi" w:cstheme="minorHAnsi"/>
              </w:rPr>
            </w:pPr>
            <w:r w:rsidRPr="00037AD4">
              <w:rPr>
                <w:rFonts w:asciiTheme="minorHAnsi" w:hAnsiTheme="minorHAnsi" w:cstheme="minorHAnsi"/>
              </w:rPr>
              <w:t xml:space="preserve">Complete EQ-5D reports </w:t>
            </w:r>
          </w:p>
          <w:p w14:paraId="6D91557F" w14:textId="77777777" w:rsidR="00B54D51" w:rsidRPr="00037AD4" w:rsidRDefault="00B54D51" w:rsidP="008938EC">
            <w:pPr>
              <w:rPr>
                <w:rFonts w:asciiTheme="minorHAnsi" w:hAnsiTheme="minorHAnsi" w:cstheme="minorHAnsi"/>
              </w:rPr>
            </w:pPr>
            <w:r w:rsidRPr="00037AD4">
              <w:rPr>
                <w:rFonts w:asciiTheme="minorHAnsi" w:hAnsiTheme="minorHAnsi" w:cstheme="minorHAnsi"/>
              </w:rPr>
              <w:t>(n, %)</w:t>
            </w:r>
          </w:p>
        </w:tc>
        <w:tc>
          <w:tcPr>
            <w:tcW w:w="3170" w:type="dxa"/>
          </w:tcPr>
          <w:p w14:paraId="7B89E6F0" w14:textId="77777777" w:rsidR="00B54D51" w:rsidRPr="00037AD4" w:rsidRDefault="00B54D51" w:rsidP="008938EC">
            <w:pPr>
              <w:rPr>
                <w:rFonts w:asciiTheme="minorHAnsi" w:hAnsiTheme="minorHAnsi" w:cstheme="minorHAnsi"/>
              </w:rPr>
            </w:pPr>
            <w:r w:rsidRPr="00037AD4">
              <w:rPr>
                <w:rFonts w:asciiTheme="minorHAnsi" w:hAnsiTheme="minorHAnsi" w:cstheme="minorHAnsi"/>
              </w:rPr>
              <w:t xml:space="preserve">Missing at least one item </w:t>
            </w:r>
          </w:p>
          <w:p w14:paraId="746D847D" w14:textId="77777777" w:rsidR="00B54D51" w:rsidRPr="00037AD4" w:rsidRDefault="00B54D51" w:rsidP="008938EC">
            <w:pPr>
              <w:rPr>
                <w:rFonts w:asciiTheme="minorHAnsi" w:hAnsiTheme="minorHAnsi" w:cstheme="minorHAnsi"/>
              </w:rPr>
            </w:pPr>
            <w:r w:rsidRPr="00037AD4">
              <w:rPr>
                <w:rFonts w:asciiTheme="minorHAnsi" w:hAnsiTheme="minorHAnsi" w:cstheme="minorHAnsi"/>
              </w:rPr>
              <w:t>(n, %)</w:t>
            </w:r>
          </w:p>
        </w:tc>
      </w:tr>
      <w:tr w:rsidR="00B54D51" w:rsidRPr="00037AD4" w14:paraId="47CFE747" w14:textId="77777777" w:rsidTr="008938EC">
        <w:tc>
          <w:tcPr>
            <w:tcW w:w="2676" w:type="dxa"/>
          </w:tcPr>
          <w:p w14:paraId="699F05A5" w14:textId="77777777" w:rsidR="00B54D51" w:rsidRPr="00037AD4" w:rsidRDefault="00B54D51" w:rsidP="008938EC">
            <w:pPr>
              <w:rPr>
                <w:rFonts w:asciiTheme="minorHAnsi" w:hAnsiTheme="minorHAnsi" w:cstheme="minorHAnsi"/>
              </w:rPr>
            </w:pPr>
            <w:r w:rsidRPr="00037AD4">
              <w:rPr>
                <w:rFonts w:asciiTheme="minorHAnsi" w:hAnsiTheme="minorHAnsi" w:cstheme="minorHAnsi"/>
              </w:rPr>
              <w:t>Spouse/partner</w:t>
            </w:r>
          </w:p>
        </w:tc>
        <w:tc>
          <w:tcPr>
            <w:tcW w:w="3170" w:type="dxa"/>
          </w:tcPr>
          <w:p w14:paraId="14A87DE2" w14:textId="77777777" w:rsidR="00B54D51" w:rsidRPr="00037AD4" w:rsidRDefault="00B54D51" w:rsidP="008938EC">
            <w:pPr>
              <w:rPr>
                <w:rFonts w:asciiTheme="minorHAnsi" w:hAnsiTheme="minorHAnsi" w:cstheme="minorHAnsi"/>
              </w:rPr>
            </w:pPr>
            <w:r w:rsidRPr="00037AD4">
              <w:rPr>
                <w:rFonts w:asciiTheme="minorHAnsi" w:hAnsiTheme="minorHAnsi" w:cstheme="minorHAnsi"/>
              </w:rPr>
              <w:t>1699 (62.2)</w:t>
            </w:r>
          </w:p>
        </w:tc>
        <w:tc>
          <w:tcPr>
            <w:tcW w:w="3170" w:type="dxa"/>
          </w:tcPr>
          <w:p w14:paraId="1EF21302" w14:textId="77777777" w:rsidR="00B54D51" w:rsidRPr="00037AD4" w:rsidRDefault="00B54D51" w:rsidP="008938EC">
            <w:pPr>
              <w:rPr>
                <w:rFonts w:asciiTheme="minorHAnsi" w:hAnsiTheme="minorHAnsi" w:cstheme="minorHAnsi"/>
              </w:rPr>
            </w:pPr>
            <w:r w:rsidRPr="00037AD4">
              <w:rPr>
                <w:rFonts w:asciiTheme="minorHAnsi" w:hAnsiTheme="minorHAnsi" w:cstheme="minorHAnsi"/>
              </w:rPr>
              <w:t>25 (48.0)</w:t>
            </w:r>
          </w:p>
        </w:tc>
      </w:tr>
      <w:tr w:rsidR="00B54D51" w:rsidRPr="00037AD4" w14:paraId="4E36D385" w14:textId="77777777" w:rsidTr="008938EC">
        <w:tc>
          <w:tcPr>
            <w:tcW w:w="2676" w:type="dxa"/>
          </w:tcPr>
          <w:p w14:paraId="0DE86770" w14:textId="77777777" w:rsidR="00B54D51" w:rsidRPr="00037AD4" w:rsidRDefault="00B54D51" w:rsidP="008938EC">
            <w:pPr>
              <w:rPr>
                <w:rFonts w:asciiTheme="minorHAnsi" w:hAnsiTheme="minorHAnsi" w:cstheme="minorHAnsi"/>
              </w:rPr>
            </w:pPr>
            <w:r w:rsidRPr="00037AD4">
              <w:rPr>
                <w:rFonts w:asciiTheme="minorHAnsi" w:hAnsiTheme="minorHAnsi" w:cstheme="minorHAnsi"/>
              </w:rPr>
              <w:t xml:space="preserve">Adult child </w:t>
            </w:r>
          </w:p>
        </w:tc>
        <w:tc>
          <w:tcPr>
            <w:tcW w:w="3170" w:type="dxa"/>
          </w:tcPr>
          <w:p w14:paraId="27D4E298" w14:textId="77777777" w:rsidR="00B54D51" w:rsidRPr="00037AD4" w:rsidRDefault="00B54D51" w:rsidP="008938EC">
            <w:pPr>
              <w:rPr>
                <w:rFonts w:asciiTheme="minorHAnsi" w:hAnsiTheme="minorHAnsi" w:cstheme="minorHAnsi"/>
              </w:rPr>
            </w:pPr>
            <w:r w:rsidRPr="00037AD4">
              <w:rPr>
                <w:rFonts w:asciiTheme="minorHAnsi" w:hAnsiTheme="minorHAnsi" w:cstheme="minorHAnsi"/>
              </w:rPr>
              <w:t>837 (30.6)</w:t>
            </w:r>
          </w:p>
        </w:tc>
        <w:tc>
          <w:tcPr>
            <w:tcW w:w="3170" w:type="dxa"/>
          </w:tcPr>
          <w:p w14:paraId="2D05AFD2" w14:textId="77777777" w:rsidR="00B54D51" w:rsidRPr="00037AD4" w:rsidRDefault="00B54D51" w:rsidP="008938EC">
            <w:pPr>
              <w:rPr>
                <w:rFonts w:asciiTheme="minorHAnsi" w:hAnsiTheme="minorHAnsi" w:cstheme="minorHAnsi"/>
              </w:rPr>
            </w:pPr>
            <w:r w:rsidRPr="00037AD4">
              <w:rPr>
                <w:rFonts w:asciiTheme="minorHAnsi" w:hAnsiTheme="minorHAnsi" w:cstheme="minorHAnsi"/>
              </w:rPr>
              <w:t>14 (27.0)</w:t>
            </w:r>
          </w:p>
        </w:tc>
      </w:tr>
      <w:tr w:rsidR="00B54D51" w:rsidRPr="00037AD4" w14:paraId="484FF1ED" w14:textId="77777777" w:rsidTr="008938EC">
        <w:tc>
          <w:tcPr>
            <w:tcW w:w="2676" w:type="dxa"/>
          </w:tcPr>
          <w:p w14:paraId="285D730E" w14:textId="77777777" w:rsidR="00B54D51" w:rsidRPr="00037AD4" w:rsidRDefault="00B54D51" w:rsidP="008938EC">
            <w:pPr>
              <w:rPr>
                <w:rFonts w:asciiTheme="minorHAnsi" w:hAnsiTheme="minorHAnsi" w:cstheme="minorHAnsi"/>
              </w:rPr>
            </w:pPr>
            <w:r w:rsidRPr="00037AD4">
              <w:rPr>
                <w:rFonts w:asciiTheme="minorHAnsi" w:hAnsiTheme="minorHAnsi" w:cstheme="minorHAnsi"/>
              </w:rPr>
              <w:t>Other relative</w:t>
            </w:r>
          </w:p>
        </w:tc>
        <w:tc>
          <w:tcPr>
            <w:tcW w:w="3170" w:type="dxa"/>
          </w:tcPr>
          <w:p w14:paraId="24139C7B" w14:textId="77777777" w:rsidR="00B54D51" w:rsidRPr="00037AD4" w:rsidRDefault="00B54D51" w:rsidP="008938EC">
            <w:pPr>
              <w:rPr>
                <w:rFonts w:asciiTheme="minorHAnsi" w:hAnsiTheme="minorHAnsi" w:cstheme="minorHAnsi"/>
              </w:rPr>
            </w:pPr>
            <w:r w:rsidRPr="00037AD4">
              <w:rPr>
                <w:rFonts w:asciiTheme="minorHAnsi" w:hAnsiTheme="minorHAnsi" w:cstheme="minorHAnsi"/>
              </w:rPr>
              <w:t>97 (3.6)</w:t>
            </w:r>
          </w:p>
        </w:tc>
        <w:tc>
          <w:tcPr>
            <w:tcW w:w="3170" w:type="dxa"/>
          </w:tcPr>
          <w:p w14:paraId="1F66DD99" w14:textId="77777777" w:rsidR="00B54D51" w:rsidRPr="00037AD4" w:rsidRDefault="00B54D51" w:rsidP="008938EC">
            <w:pPr>
              <w:rPr>
                <w:rFonts w:asciiTheme="minorHAnsi" w:hAnsiTheme="minorHAnsi" w:cstheme="minorHAnsi"/>
              </w:rPr>
            </w:pPr>
            <w:r w:rsidRPr="00037AD4">
              <w:rPr>
                <w:rFonts w:asciiTheme="minorHAnsi" w:hAnsiTheme="minorHAnsi" w:cstheme="minorHAnsi"/>
              </w:rPr>
              <w:t xml:space="preserve">7 (13.4) </w:t>
            </w:r>
          </w:p>
        </w:tc>
      </w:tr>
      <w:tr w:rsidR="00B54D51" w:rsidRPr="00037AD4" w14:paraId="3A16C3B0" w14:textId="77777777" w:rsidTr="008938EC">
        <w:tc>
          <w:tcPr>
            <w:tcW w:w="2676" w:type="dxa"/>
          </w:tcPr>
          <w:p w14:paraId="3E00E58B" w14:textId="77777777" w:rsidR="00B54D51" w:rsidRPr="00037AD4" w:rsidRDefault="00B54D51" w:rsidP="008938EC">
            <w:pPr>
              <w:rPr>
                <w:rFonts w:asciiTheme="minorHAnsi" w:hAnsiTheme="minorHAnsi" w:cstheme="minorHAnsi"/>
              </w:rPr>
            </w:pPr>
            <w:r w:rsidRPr="00037AD4">
              <w:rPr>
                <w:rFonts w:asciiTheme="minorHAnsi" w:hAnsiTheme="minorHAnsi" w:cstheme="minorHAnsi"/>
              </w:rPr>
              <w:t xml:space="preserve">Friend/other </w:t>
            </w:r>
          </w:p>
        </w:tc>
        <w:tc>
          <w:tcPr>
            <w:tcW w:w="3170" w:type="dxa"/>
          </w:tcPr>
          <w:p w14:paraId="4372D42C" w14:textId="77777777" w:rsidR="00B54D51" w:rsidRPr="00037AD4" w:rsidRDefault="00B54D51" w:rsidP="008938EC">
            <w:pPr>
              <w:rPr>
                <w:rFonts w:asciiTheme="minorHAnsi" w:hAnsiTheme="minorHAnsi" w:cstheme="minorHAnsi"/>
              </w:rPr>
            </w:pPr>
            <w:r w:rsidRPr="00037AD4">
              <w:rPr>
                <w:rFonts w:asciiTheme="minorHAnsi" w:hAnsiTheme="minorHAnsi" w:cstheme="minorHAnsi"/>
              </w:rPr>
              <w:t>99 (3.6)</w:t>
            </w:r>
          </w:p>
        </w:tc>
        <w:tc>
          <w:tcPr>
            <w:tcW w:w="3170" w:type="dxa"/>
          </w:tcPr>
          <w:p w14:paraId="27426B2F" w14:textId="77777777" w:rsidR="00B54D51" w:rsidRPr="00037AD4" w:rsidRDefault="00B54D51" w:rsidP="008938EC">
            <w:pPr>
              <w:rPr>
                <w:rFonts w:asciiTheme="minorHAnsi" w:hAnsiTheme="minorHAnsi" w:cstheme="minorHAnsi"/>
              </w:rPr>
            </w:pPr>
            <w:r w:rsidRPr="00037AD4">
              <w:rPr>
                <w:rFonts w:asciiTheme="minorHAnsi" w:hAnsiTheme="minorHAnsi" w:cstheme="minorHAnsi"/>
              </w:rPr>
              <w:t>6 (11.6)</w:t>
            </w:r>
          </w:p>
        </w:tc>
      </w:tr>
      <w:tr w:rsidR="00B54D51" w:rsidRPr="00037AD4" w14:paraId="041AE0A2" w14:textId="77777777" w:rsidTr="008938EC">
        <w:tc>
          <w:tcPr>
            <w:tcW w:w="2676" w:type="dxa"/>
          </w:tcPr>
          <w:p w14:paraId="165E1A12" w14:textId="77777777" w:rsidR="00B54D51" w:rsidRPr="00037AD4" w:rsidRDefault="00B54D51" w:rsidP="008938EC">
            <w:pPr>
              <w:rPr>
                <w:rFonts w:asciiTheme="minorHAnsi" w:hAnsiTheme="minorHAnsi" w:cstheme="minorHAnsi"/>
              </w:rPr>
            </w:pPr>
            <w:r w:rsidRPr="00037AD4">
              <w:rPr>
                <w:rFonts w:asciiTheme="minorHAnsi" w:hAnsiTheme="minorHAnsi" w:cstheme="minorHAnsi"/>
              </w:rPr>
              <w:t>Total</w:t>
            </w:r>
          </w:p>
        </w:tc>
        <w:tc>
          <w:tcPr>
            <w:tcW w:w="3170" w:type="dxa"/>
          </w:tcPr>
          <w:p w14:paraId="331AE3EE" w14:textId="77777777" w:rsidR="00B54D51" w:rsidRPr="00037AD4" w:rsidRDefault="00B54D51" w:rsidP="008938EC">
            <w:pPr>
              <w:rPr>
                <w:rFonts w:asciiTheme="minorHAnsi" w:hAnsiTheme="minorHAnsi" w:cstheme="minorHAnsi"/>
              </w:rPr>
            </w:pPr>
            <w:r w:rsidRPr="00037AD4">
              <w:rPr>
                <w:rFonts w:asciiTheme="minorHAnsi" w:hAnsiTheme="minorHAnsi" w:cstheme="minorHAnsi"/>
              </w:rPr>
              <w:t>2732</w:t>
            </w:r>
          </w:p>
        </w:tc>
        <w:tc>
          <w:tcPr>
            <w:tcW w:w="3170" w:type="dxa"/>
          </w:tcPr>
          <w:p w14:paraId="29A6EE90" w14:textId="77777777" w:rsidR="00B54D51" w:rsidRPr="00037AD4" w:rsidRDefault="00B54D51" w:rsidP="008938EC">
            <w:pPr>
              <w:rPr>
                <w:rFonts w:asciiTheme="minorHAnsi" w:hAnsiTheme="minorHAnsi" w:cstheme="minorHAnsi"/>
              </w:rPr>
            </w:pPr>
            <w:r w:rsidRPr="00037AD4">
              <w:rPr>
                <w:rFonts w:asciiTheme="minorHAnsi" w:hAnsiTheme="minorHAnsi" w:cstheme="minorHAnsi"/>
              </w:rPr>
              <w:t>52</w:t>
            </w:r>
          </w:p>
        </w:tc>
      </w:tr>
    </w:tbl>
    <w:p w14:paraId="162863EC" w14:textId="77777777" w:rsidR="00B54D51" w:rsidRPr="00037AD4" w:rsidRDefault="00B54D51" w:rsidP="001E6DA5">
      <w:pPr>
        <w:rPr>
          <w:rFonts w:asciiTheme="minorHAnsi" w:hAnsiTheme="minorHAnsi" w:cstheme="minorHAnsi"/>
          <w:b/>
          <w:bCs/>
          <w:u w:val="single"/>
        </w:rPr>
      </w:pPr>
    </w:p>
    <w:p w14:paraId="268E09A3" w14:textId="77777777" w:rsidR="00B54D51" w:rsidRPr="00037AD4" w:rsidRDefault="00B54D51" w:rsidP="001E6DA5">
      <w:pPr>
        <w:rPr>
          <w:rFonts w:asciiTheme="minorHAnsi" w:hAnsiTheme="minorHAnsi" w:cstheme="minorHAnsi"/>
        </w:rPr>
      </w:pPr>
      <w:r w:rsidRPr="00037AD4">
        <w:rPr>
          <w:rFonts w:asciiTheme="minorHAnsi" w:hAnsiTheme="minorHAnsi" w:cstheme="minorHAnsi"/>
        </w:rPr>
        <w:t xml:space="preserve">Using a baseline cross section of the data from all three of the dementia trials, missing EQ-5D data is reported in Table 18 by CDR stage (at baseline). A baseline cross-section has been </w:t>
      </w:r>
      <w:r w:rsidRPr="00037AD4">
        <w:rPr>
          <w:rFonts w:asciiTheme="minorHAnsi" w:hAnsiTheme="minorHAnsi" w:cstheme="minorHAnsi"/>
        </w:rPr>
        <w:lastRenderedPageBreak/>
        <w:t xml:space="preserve">used because the REMCARE study collected CDR at this time point only. Baseline missing data from informal proxies was generally low. It can be seen that for all respondent types, the missingness of data tends to increase with CDR severity stage, whereby 51% of PwD-reported cases where all EQ-5D items are missing are for people with severe dementia. However, it must be noted that data related to staff proxies and for people within severe CDR stages are mainly from the EPIC trial only (as REMCARE and ACTIFARE focused on recruitment of people with mild-to-moderate dementia). Therefore, this finding may be influenced by trial factors as well as dementia severity stage.   </w:t>
      </w:r>
    </w:p>
    <w:p w14:paraId="32146ED5" w14:textId="77777777" w:rsidR="00B54D51" w:rsidRPr="00037AD4" w:rsidRDefault="00B54D51" w:rsidP="001E6DA5">
      <w:pPr>
        <w:rPr>
          <w:rFonts w:asciiTheme="minorHAnsi" w:hAnsiTheme="minorHAnsi" w:cstheme="minorHAnsi"/>
        </w:rPr>
      </w:pPr>
    </w:p>
    <w:p w14:paraId="54ECB932" w14:textId="77777777" w:rsidR="00B54D51" w:rsidRPr="00037AD4" w:rsidRDefault="00B54D51" w:rsidP="001E6DA5">
      <w:pPr>
        <w:rPr>
          <w:rFonts w:asciiTheme="minorHAnsi" w:hAnsiTheme="minorHAnsi" w:cstheme="minorHAnsi"/>
          <w:b/>
          <w:bCs/>
          <w:i/>
          <w:iCs/>
        </w:rPr>
      </w:pPr>
      <w:r w:rsidRPr="00037AD4">
        <w:rPr>
          <w:rFonts w:asciiTheme="minorHAnsi" w:hAnsiTheme="minorHAnsi" w:cstheme="minorHAnsi"/>
          <w:b/>
          <w:bCs/>
          <w:i/>
          <w:iCs/>
        </w:rPr>
        <w:t xml:space="preserve">Table 18, Missing EQ-5D data by CDR stage </w:t>
      </w:r>
    </w:p>
    <w:p w14:paraId="18898883" w14:textId="77777777" w:rsidR="00B54D51" w:rsidRPr="00037AD4" w:rsidRDefault="00B54D51" w:rsidP="001E6DA5">
      <w:pPr>
        <w:rPr>
          <w:rFonts w:asciiTheme="minorHAnsi" w:hAnsiTheme="minorHAnsi" w:cstheme="minorHAnsi"/>
        </w:rPr>
      </w:pPr>
    </w:p>
    <w:tbl>
      <w:tblPr>
        <w:tblStyle w:val="TableGrid"/>
        <w:tblW w:w="0" w:type="auto"/>
        <w:tblLook w:val="04A0" w:firstRow="1" w:lastRow="0" w:firstColumn="1" w:lastColumn="0" w:noHBand="0" w:noVBand="1"/>
      </w:tblPr>
      <w:tblGrid>
        <w:gridCol w:w="1532"/>
        <w:gridCol w:w="1099"/>
        <w:gridCol w:w="1496"/>
        <w:gridCol w:w="1147"/>
        <w:gridCol w:w="1099"/>
        <w:gridCol w:w="1496"/>
        <w:gridCol w:w="1147"/>
      </w:tblGrid>
      <w:tr w:rsidR="00B54D51" w:rsidRPr="00037AD4" w14:paraId="2B4C393F" w14:textId="77777777" w:rsidTr="008F00F0">
        <w:tc>
          <w:tcPr>
            <w:tcW w:w="0" w:type="auto"/>
          </w:tcPr>
          <w:p w14:paraId="6F46B8CB"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n (%)</w:t>
            </w:r>
          </w:p>
        </w:tc>
        <w:tc>
          <w:tcPr>
            <w:tcW w:w="0" w:type="auto"/>
            <w:gridSpan w:val="3"/>
          </w:tcPr>
          <w:p w14:paraId="072C2E39" w14:textId="77777777" w:rsidR="00B54D51" w:rsidRPr="00037AD4" w:rsidRDefault="00B54D51" w:rsidP="008F00F0">
            <w:pPr>
              <w:jc w:val="center"/>
              <w:rPr>
                <w:rFonts w:asciiTheme="minorHAnsi" w:hAnsiTheme="minorHAnsi" w:cstheme="minorHAnsi"/>
              </w:rPr>
            </w:pPr>
            <w:r w:rsidRPr="00037AD4">
              <w:rPr>
                <w:rFonts w:asciiTheme="minorHAnsi" w:hAnsiTheme="minorHAnsi" w:cstheme="minorHAnsi"/>
              </w:rPr>
              <w:t>Missing all EQ-5D items</w:t>
            </w:r>
          </w:p>
        </w:tc>
        <w:tc>
          <w:tcPr>
            <w:tcW w:w="0" w:type="auto"/>
            <w:gridSpan w:val="3"/>
          </w:tcPr>
          <w:p w14:paraId="44F5F887" w14:textId="77777777" w:rsidR="00B54D51" w:rsidRPr="00037AD4" w:rsidRDefault="00B54D51" w:rsidP="008F00F0">
            <w:pPr>
              <w:jc w:val="center"/>
              <w:rPr>
                <w:rFonts w:asciiTheme="minorHAnsi" w:hAnsiTheme="minorHAnsi" w:cstheme="minorHAnsi"/>
              </w:rPr>
            </w:pPr>
            <w:r w:rsidRPr="00037AD4">
              <w:rPr>
                <w:rFonts w:asciiTheme="minorHAnsi" w:hAnsiTheme="minorHAnsi" w:cstheme="minorHAnsi"/>
              </w:rPr>
              <w:t>Missing at least one EQ-5D item</w:t>
            </w:r>
          </w:p>
        </w:tc>
      </w:tr>
      <w:tr w:rsidR="00B54D51" w:rsidRPr="00037AD4" w14:paraId="1B498AF1" w14:textId="77777777" w:rsidTr="008F00F0">
        <w:tc>
          <w:tcPr>
            <w:tcW w:w="0" w:type="auto"/>
          </w:tcPr>
          <w:p w14:paraId="263CF670"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CDR stage</w:t>
            </w:r>
          </w:p>
        </w:tc>
        <w:tc>
          <w:tcPr>
            <w:tcW w:w="0" w:type="auto"/>
          </w:tcPr>
          <w:p w14:paraId="0BC6E448"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PwD</w:t>
            </w:r>
          </w:p>
        </w:tc>
        <w:tc>
          <w:tcPr>
            <w:tcW w:w="0" w:type="auto"/>
          </w:tcPr>
          <w:p w14:paraId="68305D78"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Informal proxy </w:t>
            </w:r>
          </w:p>
        </w:tc>
        <w:tc>
          <w:tcPr>
            <w:tcW w:w="0" w:type="auto"/>
          </w:tcPr>
          <w:p w14:paraId="227EB118"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Staff proxy</w:t>
            </w:r>
          </w:p>
        </w:tc>
        <w:tc>
          <w:tcPr>
            <w:tcW w:w="0" w:type="auto"/>
          </w:tcPr>
          <w:p w14:paraId="715C99CB"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PwD </w:t>
            </w:r>
          </w:p>
        </w:tc>
        <w:tc>
          <w:tcPr>
            <w:tcW w:w="0" w:type="auto"/>
          </w:tcPr>
          <w:p w14:paraId="0884E3CE"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Informal proxy</w:t>
            </w:r>
          </w:p>
        </w:tc>
        <w:tc>
          <w:tcPr>
            <w:tcW w:w="0" w:type="auto"/>
          </w:tcPr>
          <w:p w14:paraId="6D240E68"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Staff proxy</w:t>
            </w:r>
          </w:p>
        </w:tc>
      </w:tr>
      <w:tr w:rsidR="00B54D51" w:rsidRPr="00037AD4" w14:paraId="6024BDBF" w14:textId="77777777" w:rsidTr="008F00F0">
        <w:tc>
          <w:tcPr>
            <w:tcW w:w="0" w:type="auto"/>
          </w:tcPr>
          <w:p w14:paraId="6F640D66"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Very mild (0.5)</w:t>
            </w:r>
          </w:p>
        </w:tc>
        <w:tc>
          <w:tcPr>
            <w:tcW w:w="0" w:type="auto"/>
          </w:tcPr>
          <w:p w14:paraId="6C62F7B1"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2 </w:t>
            </w:r>
          </w:p>
          <w:p w14:paraId="2BC52209"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(&lt;1)</w:t>
            </w:r>
          </w:p>
        </w:tc>
        <w:tc>
          <w:tcPr>
            <w:tcW w:w="0" w:type="auto"/>
          </w:tcPr>
          <w:p w14:paraId="44B779ED"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1 </w:t>
            </w:r>
          </w:p>
          <w:p w14:paraId="4DCD5DF3"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(16.7)</w:t>
            </w:r>
          </w:p>
        </w:tc>
        <w:tc>
          <w:tcPr>
            <w:tcW w:w="0" w:type="auto"/>
          </w:tcPr>
          <w:p w14:paraId="5A9A1FD9"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2 </w:t>
            </w:r>
          </w:p>
          <w:p w14:paraId="65C4A93D"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(&lt;1)</w:t>
            </w:r>
          </w:p>
        </w:tc>
        <w:tc>
          <w:tcPr>
            <w:tcW w:w="0" w:type="auto"/>
          </w:tcPr>
          <w:p w14:paraId="449D6818"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6 </w:t>
            </w:r>
          </w:p>
          <w:p w14:paraId="65AF3FE0"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(1.6)</w:t>
            </w:r>
          </w:p>
        </w:tc>
        <w:tc>
          <w:tcPr>
            <w:tcW w:w="0" w:type="auto"/>
          </w:tcPr>
          <w:p w14:paraId="0F326871"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2 </w:t>
            </w:r>
          </w:p>
          <w:p w14:paraId="1BDD7864"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(8.7)</w:t>
            </w:r>
          </w:p>
        </w:tc>
        <w:tc>
          <w:tcPr>
            <w:tcW w:w="0" w:type="auto"/>
          </w:tcPr>
          <w:p w14:paraId="1A6056CB"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6 </w:t>
            </w:r>
          </w:p>
          <w:p w14:paraId="7CEE61A4"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(1.7)</w:t>
            </w:r>
          </w:p>
        </w:tc>
      </w:tr>
      <w:tr w:rsidR="00B54D51" w:rsidRPr="00037AD4" w14:paraId="123E79C5" w14:textId="77777777" w:rsidTr="008F00F0">
        <w:tc>
          <w:tcPr>
            <w:tcW w:w="0" w:type="auto"/>
          </w:tcPr>
          <w:p w14:paraId="7C903B40"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Mild </w:t>
            </w:r>
          </w:p>
          <w:p w14:paraId="443DF18C"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(1)</w:t>
            </w:r>
          </w:p>
        </w:tc>
        <w:tc>
          <w:tcPr>
            <w:tcW w:w="0" w:type="auto"/>
          </w:tcPr>
          <w:p w14:paraId="176865E6"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37 </w:t>
            </w:r>
          </w:p>
          <w:p w14:paraId="1B19DA76"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(11.1)</w:t>
            </w:r>
          </w:p>
        </w:tc>
        <w:tc>
          <w:tcPr>
            <w:tcW w:w="0" w:type="auto"/>
          </w:tcPr>
          <w:p w14:paraId="49DE934B"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5 </w:t>
            </w:r>
          </w:p>
          <w:p w14:paraId="7AC58773"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(83.3)</w:t>
            </w:r>
          </w:p>
        </w:tc>
        <w:tc>
          <w:tcPr>
            <w:tcW w:w="0" w:type="auto"/>
          </w:tcPr>
          <w:p w14:paraId="06EA3381"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33 </w:t>
            </w:r>
          </w:p>
          <w:p w14:paraId="61C67E8E"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(10.1)</w:t>
            </w:r>
          </w:p>
        </w:tc>
        <w:tc>
          <w:tcPr>
            <w:tcW w:w="0" w:type="auto"/>
          </w:tcPr>
          <w:p w14:paraId="16F1EB40"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55 </w:t>
            </w:r>
          </w:p>
          <w:p w14:paraId="59DAABAC"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(14.2)</w:t>
            </w:r>
          </w:p>
        </w:tc>
        <w:tc>
          <w:tcPr>
            <w:tcW w:w="0" w:type="auto"/>
          </w:tcPr>
          <w:p w14:paraId="34F8D2E1"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9 </w:t>
            </w:r>
          </w:p>
          <w:p w14:paraId="48BEE312"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(39.1)</w:t>
            </w:r>
          </w:p>
        </w:tc>
        <w:tc>
          <w:tcPr>
            <w:tcW w:w="0" w:type="auto"/>
          </w:tcPr>
          <w:p w14:paraId="5E1A0181"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40 </w:t>
            </w:r>
          </w:p>
          <w:p w14:paraId="26B89525"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(11.1)</w:t>
            </w:r>
          </w:p>
        </w:tc>
      </w:tr>
      <w:tr w:rsidR="00B54D51" w:rsidRPr="00037AD4" w14:paraId="3011224D" w14:textId="77777777" w:rsidTr="008F00F0">
        <w:tc>
          <w:tcPr>
            <w:tcW w:w="0" w:type="auto"/>
          </w:tcPr>
          <w:p w14:paraId="01D23F6E"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Moderate (2)</w:t>
            </w:r>
          </w:p>
        </w:tc>
        <w:tc>
          <w:tcPr>
            <w:tcW w:w="0" w:type="auto"/>
          </w:tcPr>
          <w:p w14:paraId="79D80FA9"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124 (37.3)</w:t>
            </w:r>
          </w:p>
        </w:tc>
        <w:tc>
          <w:tcPr>
            <w:tcW w:w="0" w:type="auto"/>
          </w:tcPr>
          <w:p w14:paraId="70DDC925"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w:t>
            </w:r>
          </w:p>
        </w:tc>
        <w:tc>
          <w:tcPr>
            <w:tcW w:w="0" w:type="auto"/>
          </w:tcPr>
          <w:p w14:paraId="077A7FDD"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120 (37.0)</w:t>
            </w:r>
          </w:p>
        </w:tc>
        <w:tc>
          <w:tcPr>
            <w:tcW w:w="0" w:type="auto"/>
          </w:tcPr>
          <w:p w14:paraId="0187F8A9"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146 (37.8)</w:t>
            </w:r>
          </w:p>
        </w:tc>
        <w:tc>
          <w:tcPr>
            <w:tcW w:w="0" w:type="auto"/>
          </w:tcPr>
          <w:p w14:paraId="585B27C9"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7 </w:t>
            </w:r>
          </w:p>
          <w:p w14:paraId="3C12334C"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(30.4)</w:t>
            </w:r>
          </w:p>
        </w:tc>
        <w:tc>
          <w:tcPr>
            <w:tcW w:w="0" w:type="auto"/>
          </w:tcPr>
          <w:p w14:paraId="2146B16B"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134 (37.3)</w:t>
            </w:r>
          </w:p>
        </w:tc>
      </w:tr>
      <w:tr w:rsidR="00B54D51" w:rsidRPr="00037AD4" w14:paraId="085AE0A5" w14:textId="77777777" w:rsidTr="008F00F0">
        <w:tc>
          <w:tcPr>
            <w:tcW w:w="0" w:type="auto"/>
          </w:tcPr>
          <w:p w14:paraId="1C5DA1F1"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Severe </w:t>
            </w:r>
          </w:p>
          <w:p w14:paraId="4F1A5658"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(3)</w:t>
            </w:r>
          </w:p>
        </w:tc>
        <w:tc>
          <w:tcPr>
            <w:tcW w:w="0" w:type="auto"/>
          </w:tcPr>
          <w:p w14:paraId="406F45DC"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169 (51.0)</w:t>
            </w:r>
          </w:p>
        </w:tc>
        <w:tc>
          <w:tcPr>
            <w:tcW w:w="0" w:type="auto"/>
          </w:tcPr>
          <w:p w14:paraId="07D7E53D"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w:t>
            </w:r>
          </w:p>
        </w:tc>
        <w:tc>
          <w:tcPr>
            <w:tcW w:w="0" w:type="auto"/>
          </w:tcPr>
          <w:p w14:paraId="00820040"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169 (52.1)</w:t>
            </w:r>
          </w:p>
        </w:tc>
        <w:tc>
          <w:tcPr>
            <w:tcW w:w="0" w:type="auto"/>
          </w:tcPr>
          <w:p w14:paraId="16503560"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179 (46.4)</w:t>
            </w:r>
          </w:p>
        </w:tc>
        <w:tc>
          <w:tcPr>
            <w:tcW w:w="0" w:type="auto"/>
          </w:tcPr>
          <w:p w14:paraId="1E1C581B"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5 </w:t>
            </w:r>
          </w:p>
          <w:p w14:paraId="406CB393"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(21.8)</w:t>
            </w:r>
          </w:p>
        </w:tc>
        <w:tc>
          <w:tcPr>
            <w:tcW w:w="0" w:type="auto"/>
          </w:tcPr>
          <w:p w14:paraId="2531F398"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179 (49.9)</w:t>
            </w:r>
          </w:p>
        </w:tc>
      </w:tr>
    </w:tbl>
    <w:p w14:paraId="2168C5ED" w14:textId="77777777" w:rsidR="00B54D51" w:rsidRPr="00037AD4" w:rsidRDefault="00B54D51" w:rsidP="001E6DA5">
      <w:pPr>
        <w:rPr>
          <w:rFonts w:asciiTheme="minorHAnsi" w:hAnsiTheme="minorHAnsi" w:cstheme="minorHAnsi"/>
          <w:b/>
          <w:bCs/>
          <w:u w:val="single"/>
        </w:rPr>
      </w:pPr>
    </w:p>
    <w:p w14:paraId="4B7DE07A" w14:textId="029DC98D" w:rsidR="00B54D51" w:rsidRPr="00037AD4" w:rsidRDefault="00B54D51" w:rsidP="001E6DA5">
      <w:pPr>
        <w:rPr>
          <w:rFonts w:asciiTheme="minorHAnsi" w:hAnsiTheme="minorHAnsi" w:cstheme="minorHAnsi"/>
        </w:rPr>
      </w:pPr>
      <w:r w:rsidRPr="00037AD4">
        <w:rPr>
          <w:rFonts w:asciiTheme="minorHAnsi" w:hAnsiTheme="minorHAnsi" w:cstheme="minorHAnsi"/>
        </w:rPr>
        <w:t xml:space="preserve">To further assess the impact of dementia severity stage on the missingness of EQ-5D reports, an independent samples </w:t>
      </w:r>
      <w:r w:rsidR="00A974EE">
        <w:rPr>
          <w:rFonts w:asciiTheme="minorHAnsi" w:hAnsiTheme="minorHAnsi" w:cstheme="minorHAnsi"/>
        </w:rPr>
        <w:t>T</w:t>
      </w:r>
      <w:r w:rsidRPr="00037AD4">
        <w:rPr>
          <w:rFonts w:asciiTheme="minorHAnsi" w:hAnsiTheme="minorHAnsi" w:cstheme="minorHAnsi"/>
        </w:rPr>
        <w:t xml:space="preserve">-test was conducted on the merged data from the EPIC and ACTIFCARE datasets (for all three timepoints). This </w:t>
      </w:r>
      <w:r w:rsidR="00A974EE">
        <w:rPr>
          <w:rFonts w:asciiTheme="minorHAnsi" w:hAnsiTheme="minorHAnsi" w:cstheme="minorHAnsi"/>
        </w:rPr>
        <w:t>T</w:t>
      </w:r>
      <w:r w:rsidRPr="00037AD4">
        <w:rPr>
          <w:rFonts w:asciiTheme="minorHAnsi" w:hAnsiTheme="minorHAnsi" w:cstheme="minorHAnsi"/>
        </w:rPr>
        <w:t xml:space="preserve">-test compares the CDR stage for people with dementia missing all EQ-5D dimensions – to those with complete EQ-5D data. It was found that people with dementia with missing EQ-5D have significantly worse dementia severity than people with dementia with complete data (2.42 vs 1.44, p=0.00). Although this difference is statistically significant, it is unconfirmed whether it is considered to be clinically meaningful. </w:t>
      </w:r>
    </w:p>
    <w:p w14:paraId="371977D2" w14:textId="77777777" w:rsidR="00B54D51" w:rsidRPr="00037AD4" w:rsidRDefault="00B54D51" w:rsidP="001E6DA5">
      <w:pPr>
        <w:rPr>
          <w:rFonts w:asciiTheme="minorHAnsi" w:hAnsiTheme="minorHAnsi" w:cstheme="minorHAnsi"/>
        </w:rPr>
      </w:pPr>
    </w:p>
    <w:p w14:paraId="67168269" w14:textId="77777777" w:rsidR="00B54D51" w:rsidRPr="00037AD4" w:rsidRDefault="00B54D51" w:rsidP="001E6DA5">
      <w:pPr>
        <w:rPr>
          <w:rFonts w:asciiTheme="minorHAnsi" w:hAnsiTheme="minorHAnsi" w:cstheme="minorHAnsi"/>
        </w:rPr>
      </w:pPr>
      <w:r w:rsidRPr="00037AD4">
        <w:rPr>
          <w:rFonts w:asciiTheme="minorHAnsi" w:hAnsiTheme="minorHAnsi" w:cstheme="minorHAnsi"/>
        </w:rPr>
        <w:t xml:space="preserve">Using the EPIC dataset, Table 19 presents missing EQ-5D data reported by informal proxies according to the administration method. As informal proxy recruitment was low, and loss of complete EQ-5D instrument was due to loss to follow-up, the table reflects the number of proxy EQ-5D reports that are missing at least one EQ-5D dimension. It can be seen that the majority of cases in which proxies omitted an item response were via postal administration. </w:t>
      </w:r>
    </w:p>
    <w:p w14:paraId="6595EF27" w14:textId="77777777" w:rsidR="00B54D51" w:rsidRPr="00037AD4" w:rsidRDefault="00B54D51" w:rsidP="001E6DA5">
      <w:pPr>
        <w:rPr>
          <w:rFonts w:asciiTheme="minorHAnsi" w:hAnsiTheme="minorHAnsi" w:cstheme="minorHAnsi"/>
        </w:rPr>
      </w:pPr>
    </w:p>
    <w:p w14:paraId="4404926B" w14:textId="77777777" w:rsidR="00B54D51" w:rsidRPr="00037AD4" w:rsidRDefault="00B54D51" w:rsidP="001E6DA5">
      <w:pPr>
        <w:rPr>
          <w:rFonts w:asciiTheme="minorHAnsi" w:hAnsiTheme="minorHAnsi" w:cstheme="minorHAnsi"/>
          <w:b/>
          <w:bCs/>
          <w:i/>
          <w:iCs/>
        </w:rPr>
      </w:pPr>
      <w:r w:rsidRPr="00037AD4">
        <w:rPr>
          <w:rFonts w:asciiTheme="minorHAnsi" w:hAnsiTheme="minorHAnsi" w:cstheme="minorHAnsi"/>
          <w:b/>
          <w:bCs/>
          <w:i/>
          <w:iCs/>
        </w:rPr>
        <w:t xml:space="preserve">Table 19, Missing EQ-5D data by administration method </w:t>
      </w:r>
    </w:p>
    <w:p w14:paraId="7E71F83F" w14:textId="77777777" w:rsidR="00B54D51" w:rsidRPr="00037AD4" w:rsidRDefault="00B54D51" w:rsidP="001E6DA5">
      <w:pPr>
        <w:rPr>
          <w:rFonts w:asciiTheme="minorHAnsi" w:hAnsiTheme="minorHAnsi" w:cstheme="minorHAnsi"/>
        </w:rPr>
      </w:pPr>
    </w:p>
    <w:tbl>
      <w:tblPr>
        <w:tblStyle w:val="TableGrid"/>
        <w:tblW w:w="0" w:type="auto"/>
        <w:tblLook w:val="04A0" w:firstRow="1" w:lastRow="0" w:firstColumn="1" w:lastColumn="0" w:noHBand="0" w:noVBand="1"/>
      </w:tblPr>
      <w:tblGrid>
        <w:gridCol w:w="4141"/>
        <w:gridCol w:w="1950"/>
        <w:gridCol w:w="2835"/>
      </w:tblGrid>
      <w:tr w:rsidR="00B54D51" w:rsidRPr="00037AD4" w14:paraId="301837FB" w14:textId="77777777" w:rsidTr="00025598">
        <w:tc>
          <w:tcPr>
            <w:tcW w:w="4141" w:type="dxa"/>
          </w:tcPr>
          <w:p w14:paraId="754D7FDF" w14:textId="77777777" w:rsidR="00B54D51" w:rsidRPr="00037AD4" w:rsidRDefault="00B54D51" w:rsidP="0081248C">
            <w:pPr>
              <w:rPr>
                <w:rFonts w:asciiTheme="minorHAnsi" w:hAnsiTheme="minorHAnsi" w:cstheme="minorHAnsi"/>
              </w:rPr>
            </w:pPr>
            <w:r w:rsidRPr="00037AD4">
              <w:rPr>
                <w:rFonts w:asciiTheme="minorHAnsi" w:hAnsiTheme="minorHAnsi" w:cstheme="minorHAnsi"/>
              </w:rPr>
              <w:t>Administration method</w:t>
            </w:r>
          </w:p>
        </w:tc>
        <w:tc>
          <w:tcPr>
            <w:tcW w:w="1950" w:type="dxa"/>
          </w:tcPr>
          <w:p w14:paraId="392F78EF" w14:textId="77777777" w:rsidR="00B54D51" w:rsidRPr="00037AD4" w:rsidRDefault="00B54D51" w:rsidP="0081248C">
            <w:pPr>
              <w:jc w:val="center"/>
              <w:rPr>
                <w:rFonts w:asciiTheme="minorHAnsi" w:hAnsiTheme="minorHAnsi" w:cstheme="minorHAnsi"/>
              </w:rPr>
            </w:pPr>
            <w:r w:rsidRPr="00037AD4">
              <w:rPr>
                <w:rFonts w:asciiTheme="minorHAnsi" w:hAnsiTheme="minorHAnsi" w:cstheme="minorHAnsi"/>
              </w:rPr>
              <w:t>Complete EQ-5D reports (n)</w:t>
            </w:r>
          </w:p>
        </w:tc>
        <w:tc>
          <w:tcPr>
            <w:tcW w:w="2835" w:type="dxa"/>
          </w:tcPr>
          <w:p w14:paraId="6D3F4A74" w14:textId="77777777" w:rsidR="00B54D51" w:rsidRPr="00037AD4" w:rsidRDefault="00B54D51" w:rsidP="0081248C">
            <w:pPr>
              <w:jc w:val="center"/>
              <w:rPr>
                <w:rFonts w:asciiTheme="minorHAnsi" w:hAnsiTheme="minorHAnsi" w:cstheme="minorHAnsi"/>
              </w:rPr>
            </w:pPr>
            <w:r w:rsidRPr="00037AD4">
              <w:rPr>
                <w:rFonts w:asciiTheme="minorHAnsi" w:hAnsiTheme="minorHAnsi" w:cstheme="minorHAnsi"/>
              </w:rPr>
              <w:t>Missing at least one EQ-5D item (n)</w:t>
            </w:r>
          </w:p>
        </w:tc>
      </w:tr>
      <w:tr w:rsidR="00B54D51" w:rsidRPr="00037AD4" w14:paraId="5F915310" w14:textId="77777777" w:rsidTr="00025598">
        <w:tc>
          <w:tcPr>
            <w:tcW w:w="4141" w:type="dxa"/>
          </w:tcPr>
          <w:p w14:paraId="2C286B21" w14:textId="77777777" w:rsidR="00B54D51" w:rsidRPr="00037AD4" w:rsidRDefault="00B54D51" w:rsidP="0081248C">
            <w:pPr>
              <w:rPr>
                <w:rFonts w:asciiTheme="minorHAnsi" w:hAnsiTheme="minorHAnsi" w:cstheme="minorHAnsi"/>
              </w:rPr>
            </w:pPr>
            <w:r w:rsidRPr="00037AD4">
              <w:rPr>
                <w:rFonts w:asciiTheme="minorHAnsi" w:hAnsiTheme="minorHAnsi" w:cstheme="minorHAnsi"/>
              </w:rPr>
              <w:t>Face-to-face</w:t>
            </w:r>
          </w:p>
        </w:tc>
        <w:tc>
          <w:tcPr>
            <w:tcW w:w="1950" w:type="dxa"/>
          </w:tcPr>
          <w:p w14:paraId="25A2ADC0" w14:textId="77777777" w:rsidR="00B54D51" w:rsidRPr="00037AD4" w:rsidRDefault="00B54D51" w:rsidP="0081248C">
            <w:pPr>
              <w:rPr>
                <w:rFonts w:asciiTheme="minorHAnsi" w:hAnsiTheme="minorHAnsi" w:cstheme="minorHAnsi"/>
              </w:rPr>
            </w:pPr>
            <w:r w:rsidRPr="00037AD4">
              <w:rPr>
                <w:rFonts w:asciiTheme="minorHAnsi" w:hAnsiTheme="minorHAnsi" w:cstheme="minorHAnsi"/>
              </w:rPr>
              <w:t>122 (35.3)</w:t>
            </w:r>
          </w:p>
        </w:tc>
        <w:tc>
          <w:tcPr>
            <w:tcW w:w="2835" w:type="dxa"/>
          </w:tcPr>
          <w:p w14:paraId="6CF073A4" w14:textId="77777777" w:rsidR="00B54D51" w:rsidRPr="00037AD4" w:rsidRDefault="00B54D51" w:rsidP="0081248C">
            <w:pPr>
              <w:rPr>
                <w:rFonts w:asciiTheme="minorHAnsi" w:hAnsiTheme="minorHAnsi" w:cstheme="minorHAnsi"/>
              </w:rPr>
            </w:pPr>
            <w:r w:rsidRPr="00037AD4">
              <w:rPr>
                <w:rFonts w:asciiTheme="minorHAnsi" w:hAnsiTheme="minorHAnsi" w:cstheme="minorHAnsi"/>
              </w:rPr>
              <w:t>1 (4.2)</w:t>
            </w:r>
          </w:p>
        </w:tc>
      </w:tr>
      <w:tr w:rsidR="00B54D51" w:rsidRPr="00037AD4" w14:paraId="73CF3D0B" w14:textId="77777777" w:rsidTr="00025598">
        <w:tc>
          <w:tcPr>
            <w:tcW w:w="4141" w:type="dxa"/>
          </w:tcPr>
          <w:p w14:paraId="652C69A6" w14:textId="77777777" w:rsidR="00B54D51" w:rsidRPr="00037AD4" w:rsidRDefault="00B54D51" w:rsidP="0081248C">
            <w:pPr>
              <w:rPr>
                <w:rFonts w:asciiTheme="minorHAnsi" w:hAnsiTheme="minorHAnsi" w:cstheme="minorHAnsi"/>
              </w:rPr>
            </w:pPr>
            <w:r w:rsidRPr="00037AD4">
              <w:rPr>
                <w:rFonts w:asciiTheme="minorHAnsi" w:hAnsiTheme="minorHAnsi" w:cstheme="minorHAnsi"/>
              </w:rPr>
              <w:t>Telephone</w:t>
            </w:r>
          </w:p>
        </w:tc>
        <w:tc>
          <w:tcPr>
            <w:tcW w:w="1950" w:type="dxa"/>
          </w:tcPr>
          <w:p w14:paraId="73DDE12A" w14:textId="77777777" w:rsidR="00B54D51" w:rsidRPr="00037AD4" w:rsidRDefault="00B54D51" w:rsidP="0081248C">
            <w:pPr>
              <w:rPr>
                <w:rFonts w:asciiTheme="minorHAnsi" w:hAnsiTheme="minorHAnsi" w:cstheme="minorHAnsi"/>
              </w:rPr>
            </w:pPr>
            <w:r w:rsidRPr="00037AD4">
              <w:rPr>
                <w:rFonts w:asciiTheme="minorHAnsi" w:hAnsiTheme="minorHAnsi" w:cstheme="minorHAnsi"/>
              </w:rPr>
              <w:t>21 (6.0)</w:t>
            </w:r>
          </w:p>
        </w:tc>
        <w:tc>
          <w:tcPr>
            <w:tcW w:w="2835" w:type="dxa"/>
          </w:tcPr>
          <w:p w14:paraId="2213FCA0" w14:textId="77777777" w:rsidR="00B54D51" w:rsidRPr="00037AD4" w:rsidRDefault="00B54D51" w:rsidP="0081248C">
            <w:pPr>
              <w:rPr>
                <w:rFonts w:asciiTheme="minorHAnsi" w:hAnsiTheme="minorHAnsi" w:cstheme="minorHAnsi"/>
              </w:rPr>
            </w:pPr>
            <w:r w:rsidRPr="00037AD4">
              <w:rPr>
                <w:rFonts w:asciiTheme="minorHAnsi" w:hAnsiTheme="minorHAnsi" w:cstheme="minorHAnsi"/>
              </w:rPr>
              <w:t>-</w:t>
            </w:r>
          </w:p>
        </w:tc>
      </w:tr>
      <w:tr w:rsidR="00B54D51" w:rsidRPr="00037AD4" w14:paraId="2DD8DE45" w14:textId="77777777" w:rsidTr="00025598">
        <w:tc>
          <w:tcPr>
            <w:tcW w:w="4141" w:type="dxa"/>
          </w:tcPr>
          <w:p w14:paraId="7065D4AA" w14:textId="77777777" w:rsidR="00B54D51" w:rsidRPr="00037AD4" w:rsidRDefault="00B54D51" w:rsidP="0081248C">
            <w:pPr>
              <w:rPr>
                <w:rFonts w:asciiTheme="minorHAnsi" w:hAnsiTheme="minorHAnsi" w:cstheme="minorHAnsi"/>
              </w:rPr>
            </w:pPr>
            <w:r w:rsidRPr="00037AD4">
              <w:rPr>
                <w:rFonts w:asciiTheme="minorHAnsi" w:hAnsiTheme="minorHAnsi" w:cstheme="minorHAnsi"/>
              </w:rPr>
              <w:t>Postal</w:t>
            </w:r>
          </w:p>
        </w:tc>
        <w:tc>
          <w:tcPr>
            <w:tcW w:w="1950" w:type="dxa"/>
          </w:tcPr>
          <w:p w14:paraId="0D9C7FC3" w14:textId="77777777" w:rsidR="00B54D51" w:rsidRPr="00037AD4" w:rsidRDefault="00B54D51" w:rsidP="0081248C">
            <w:pPr>
              <w:rPr>
                <w:rFonts w:asciiTheme="minorHAnsi" w:hAnsiTheme="minorHAnsi" w:cstheme="minorHAnsi"/>
              </w:rPr>
            </w:pPr>
            <w:r w:rsidRPr="00037AD4">
              <w:rPr>
                <w:rFonts w:asciiTheme="minorHAnsi" w:hAnsiTheme="minorHAnsi" w:cstheme="minorHAnsi"/>
              </w:rPr>
              <w:t>203 (58.7)</w:t>
            </w:r>
          </w:p>
        </w:tc>
        <w:tc>
          <w:tcPr>
            <w:tcW w:w="2835" w:type="dxa"/>
          </w:tcPr>
          <w:p w14:paraId="47DE1503" w14:textId="77777777" w:rsidR="00B54D51" w:rsidRPr="00037AD4" w:rsidRDefault="00B54D51" w:rsidP="0081248C">
            <w:pPr>
              <w:rPr>
                <w:rFonts w:asciiTheme="minorHAnsi" w:hAnsiTheme="minorHAnsi" w:cstheme="minorHAnsi"/>
              </w:rPr>
            </w:pPr>
            <w:r w:rsidRPr="00037AD4">
              <w:rPr>
                <w:rFonts w:asciiTheme="minorHAnsi" w:hAnsiTheme="minorHAnsi" w:cstheme="minorHAnsi"/>
              </w:rPr>
              <w:t>23 (95.8)</w:t>
            </w:r>
          </w:p>
        </w:tc>
      </w:tr>
      <w:tr w:rsidR="00B54D51" w:rsidRPr="00037AD4" w14:paraId="71997BE1" w14:textId="77777777" w:rsidTr="00025598">
        <w:tc>
          <w:tcPr>
            <w:tcW w:w="4141" w:type="dxa"/>
          </w:tcPr>
          <w:p w14:paraId="73D3D029" w14:textId="77777777" w:rsidR="00B54D51" w:rsidRPr="00037AD4" w:rsidRDefault="00B54D51" w:rsidP="0081248C">
            <w:pPr>
              <w:rPr>
                <w:rFonts w:asciiTheme="minorHAnsi" w:hAnsiTheme="minorHAnsi" w:cstheme="minorHAnsi"/>
              </w:rPr>
            </w:pPr>
            <w:r w:rsidRPr="00037AD4">
              <w:rPr>
                <w:rFonts w:asciiTheme="minorHAnsi" w:hAnsiTheme="minorHAnsi" w:cstheme="minorHAnsi"/>
              </w:rPr>
              <w:t>Total</w:t>
            </w:r>
          </w:p>
        </w:tc>
        <w:tc>
          <w:tcPr>
            <w:tcW w:w="1950" w:type="dxa"/>
          </w:tcPr>
          <w:p w14:paraId="1FE59F98" w14:textId="77777777" w:rsidR="00B54D51" w:rsidRPr="00037AD4" w:rsidRDefault="00B54D51" w:rsidP="0081248C">
            <w:pPr>
              <w:rPr>
                <w:rFonts w:asciiTheme="minorHAnsi" w:hAnsiTheme="minorHAnsi" w:cstheme="minorHAnsi"/>
              </w:rPr>
            </w:pPr>
            <w:r w:rsidRPr="00037AD4">
              <w:rPr>
                <w:rFonts w:asciiTheme="minorHAnsi" w:hAnsiTheme="minorHAnsi" w:cstheme="minorHAnsi"/>
              </w:rPr>
              <w:t>346*</w:t>
            </w:r>
          </w:p>
        </w:tc>
        <w:tc>
          <w:tcPr>
            <w:tcW w:w="2835" w:type="dxa"/>
          </w:tcPr>
          <w:p w14:paraId="472856DF" w14:textId="77777777" w:rsidR="00B54D51" w:rsidRPr="00037AD4" w:rsidRDefault="00B54D51" w:rsidP="0081248C">
            <w:pPr>
              <w:rPr>
                <w:rFonts w:asciiTheme="minorHAnsi" w:hAnsiTheme="minorHAnsi" w:cstheme="minorHAnsi"/>
              </w:rPr>
            </w:pPr>
            <w:r w:rsidRPr="00037AD4">
              <w:rPr>
                <w:rFonts w:asciiTheme="minorHAnsi" w:hAnsiTheme="minorHAnsi" w:cstheme="minorHAnsi"/>
              </w:rPr>
              <w:t>24</w:t>
            </w:r>
          </w:p>
        </w:tc>
      </w:tr>
      <w:tr w:rsidR="00B54D51" w:rsidRPr="00037AD4" w14:paraId="3008C448" w14:textId="77777777" w:rsidTr="00025598">
        <w:tc>
          <w:tcPr>
            <w:tcW w:w="8926" w:type="dxa"/>
            <w:gridSpan w:val="3"/>
          </w:tcPr>
          <w:p w14:paraId="283262E5" w14:textId="77777777" w:rsidR="00B54D51" w:rsidRPr="00037AD4" w:rsidRDefault="00B54D51" w:rsidP="0081248C">
            <w:pPr>
              <w:rPr>
                <w:rFonts w:asciiTheme="minorHAnsi" w:hAnsiTheme="minorHAnsi" w:cstheme="minorHAnsi"/>
              </w:rPr>
            </w:pPr>
            <w:r w:rsidRPr="00037AD4">
              <w:rPr>
                <w:rFonts w:asciiTheme="minorHAnsi" w:hAnsiTheme="minorHAnsi" w:cstheme="minorHAnsi"/>
                <w:sz w:val="20"/>
                <w:szCs w:val="20"/>
              </w:rPr>
              <w:t>*administration method missing, n=3</w:t>
            </w:r>
          </w:p>
        </w:tc>
      </w:tr>
    </w:tbl>
    <w:p w14:paraId="5B5ED6DF" w14:textId="77777777" w:rsidR="00B54D51" w:rsidRPr="00037AD4" w:rsidRDefault="00B54D51" w:rsidP="007A43F9">
      <w:pPr>
        <w:pStyle w:val="Heading3"/>
      </w:pPr>
      <w:bookmarkStart w:id="329" w:name="_Toc175742307"/>
      <w:r w:rsidRPr="00037AD4">
        <w:lastRenderedPageBreak/>
        <w:t>4.4.3 Inter-rater comparison of EQ-5D dimension reports</w:t>
      </w:r>
      <w:bookmarkEnd w:id="329"/>
      <w:r w:rsidRPr="00037AD4">
        <w:t xml:space="preserve"> </w:t>
      </w:r>
    </w:p>
    <w:p w14:paraId="6066053F" w14:textId="77777777" w:rsidR="00B54D51" w:rsidRPr="00037AD4" w:rsidRDefault="00B54D51" w:rsidP="007A43F9"/>
    <w:p w14:paraId="44E432BB" w14:textId="77777777" w:rsidR="00B54D51" w:rsidRPr="00037AD4" w:rsidRDefault="00B54D51" w:rsidP="001E6DA5">
      <w:pPr>
        <w:rPr>
          <w:rFonts w:asciiTheme="minorHAnsi" w:hAnsiTheme="minorHAnsi" w:cstheme="minorHAnsi"/>
          <w:color w:val="000000" w:themeColor="text1"/>
        </w:rPr>
      </w:pPr>
      <w:r w:rsidRPr="00037AD4">
        <w:rPr>
          <w:rFonts w:asciiTheme="minorHAnsi" w:hAnsiTheme="minorHAnsi" w:cstheme="minorHAnsi"/>
          <w:color w:val="000000" w:themeColor="text1"/>
        </w:rPr>
        <w:t xml:space="preserve">To compare how the respondent types (PwD and proxies) report EQ-5D dimensions, </w:t>
      </w:r>
      <w:r w:rsidRPr="00037AD4">
        <w:rPr>
          <w:rFonts w:asciiTheme="minorHAnsi" w:hAnsiTheme="minorHAnsi" w:cstheme="minorHAnsi"/>
        </w:rPr>
        <w:t xml:space="preserve">Tables 20a and 20b below enlist the proportion of level responses for the three trials. For this </w:t>
      </w:r>
      <w:r w:rsidRPr="00037AD4">
        <w:rPr>
          <w:rFonts w:asciiTheme="minorHAnsi" w:hAnsiTheme="minorHAnsi" w:cstheme="minorHAnsi"/>
          <w:color w:val="000000" w:themeColor="text1"/>
        </w:rPr>
        <w:t xml:space="preserve">comparison, data from all three time points has been included, and because the REMCARE study used the 3L version, this data has been presented in a distinct table </w:t>
      </w:r>
      <w:r w:rsidRPr="00037AD4">
        <w:rPr>
          <w:rFonts w:asciiTheme="minorHAnsi" w:hAnsiTheme="minorHAnsi" w:cstheme="minorHAnsi"/>
        </w:rPr>
        <w:t xml:space="preserve">(Table 20a). </w:t>
      </w:r>
    </w:p>
    <w:p w14:paraId="017AF88B" w14:textId="77777777" w:rsidR="00B54D51" w:rsidRPr="00037AD4" w:rsidRDefault="00B54D51" w:rsidP="001E6DA5">
      <w:pPr>
        <w:rPr>
          <w:rFonts w:asciiTheme="minorHAnsi" w:hAnsiTheme="minorHAnsi" w:cstheme="minorHAnsi"/>
          <w:color w:val="000000" w:themeColor="text1"/>
        </w:rPr>
      </w:pPr>
    </w:p>
    <w:p w14:paraId="659DA058" w14:textId="77777777" w:rsidR="00B54D51" w:rsidRPr="00037AD4" w:rsidRDefault="00B54D51" w:rsidP="001E6DA5">
      <w:pPr>
        <w:rPr>
          <w:rFonts w:asciiTheme="minorHAnsi" w:hAnsiTheme="minorHAnsi" w:cstheme="minorHAnsi"/>
          <w:color w:val="000000" w:themeColor="text1"/>
        </w:rPr>
      </w:pPr>
      <w:r w:rsidRPr="00037AD4">
        <w:rPr>
          <w:rFonts w:asciiTheme="minorHAnsi" w:hAnsiTheme="minorHAnsi" w:cstheme="minorHAnsi"/>
          <w:color w:val="000000" w:themeColor="text1"/>
        </w:rPr>
        <w:t>In all the three trials, over 55% of people with dementia reported level one (no problems) across all EQ-5D dimensions. People with dementia also consistently reported higher proportions of level one responses compared with proxies across all dimensions.</w:t>
      </w:r>
    </w:p>
    <w:p w14:paraId="6B1D447B" w14:textId="77777777" w:rsidR="00B54D51" w:rsidRPr="00037AD4" w:rsidRDefault="00B54D51" w:rsidP="001E6DA5">
      <w:pPr>
        <w:rPr>
          <w:rFonts w:asciiTheme="minorHAnsi" w:hAnsiTheme="minorHAnsi" w:cstheme="minorHAnsi"/>
          <w:color w:val="000000" w:themeColor="text1"/>
        </w:rPr>
      </w:pPr>
    </w:p>
    <w:p w14:paraId="5CD9194B" w14:textId="77777777" w:rsidR="00B54D51" w:rsidRPr="00037AD4" w:rsidRDefault="00B54D51" w:rsidP="001E6DA5">
      <w:pPr>
        <w:rPr>
          <w:rFonts w:asciiTheme="minorHAnsi" w:hAnsiTheme="minorHAnsi" w:cstheme="minorHAnsi"/>
          <w:color w:val="000000" w:themeColor="text1"/>
        </w:rPr>
      </w:pPr>
      <w:r w:rsidRPr="00037AD4">
        <w:rPr>
          <w:rFonts w:asciiTheme="minorHAnsi" w:hAnsiTheme="minorHAnsi" w:cstheme="minorHAnsi"/>
          <w:color w:val="000000" w:themeColor="text1"/>
        </w:rPr>
        <w:t xml:space="preserve">For the REMCARE trial data, the “usual activities” dimension appears to show the widest inter-rater agreement whereby nearly 70% of people with dementia reported “no problems”, while over 20% of informal proxies reported “extreme problems” with performing usual activities. For all EQ-5D dimensions, over 40% of proxy reports were at level two, potentially indicating central tendency bias </w:t>
      </w:r>
      <w:r>
        <w:rPr>
          <w:rFonts w:asciiTheme="minorHAnsi" w:hAnsiTheme="minorHAnsi" w:cstheme="minorHAnsi"/>
          <w:noProof/>
          <w:color w:val="000000" w:themeColor="text1"/>
        </w:rPr>
        <w:t>(Saal et al., 1980, Douven, 2018)</w:t>
      </w:r>
      <w:r w:rsidRPr="00037AD4">
        <w:rPr>
          <w:rFonts w:asciiTheme="minorHAnsi" w:hAnsiTheme="minorHAnsi" w:cstheme="minorHAnsi"/>
          <w:color w:val="000000" w:themeColor="text1"/>
        </w:rPr>
        <w:t>.</w:t>
      </w:r>
    </w:p>
    <w:p w14:paraId="0FAC40C5" w14:textId="77777777" w:rsidR="00B54D51" w:rsidRPr="00037AD4" w:rsidRDefault="00B54D51" w:rsidP="001E6DA5">
      <w:pPr>
        <w:rPr>
          <w:rFonts w:asciiTheme="minorHAnsi" w:hAnsiTheme="minorHAnsi" w:cstheme="minorHAnsi"/>
          <w:color w:val="FF0000"/>
        </w:rPr>
      </w:pPr>
    </w:p>
    <w:p w14:paraId="5E3D75F8" w14:textId="77777777" w:rsidR="00B54D51" w:rsidRPr="00037AD4" w:rsidRDefault="00B54D51" w:rsidP="001E6DA5">
      <w:pPr>
        <w:rPr>
          <w:rFonts w:asciiTheme="minorHAnsi" w:hAnsiTheme="minorHAnsi" w:cstheme="minorHAnsi"/>
          <w:b/>
          <w:bCs/>
          <w:i/>
          <w:iCs/>
        </w:rPr>
      </w:pPr>
      <w:r w:rsidRPr="00037AD4">
        <w:rPr>
          <w:rFonts w:asciiTheme="minorHAnsi" w:hAnsiTheme="minorHAnsi" w:cstheme="minorHAnsi"/>
          <w:b/>
          <w:bCs/>
          <w:i/>
          <w:iCs/>
        </w:rPr>
        <w:t xml:space="preserve">Table 20a, EQ-5D response level proportions, REMCARE </w:t>
      </w:r>
    </w:p>
    <w:p w14:paraId="76E391F8" w14:textId="77777777" w:rsidR="00B54D51" w:rsidRPr="00037AD4" w:rsidRDefault="00B54D51" w:rsidP="001E6DA5">
      <w:pPr>
        <w:rPr>
          <w:rFonts w:asciiTheme="minorHAnsi" w:hAnsiTheme="minorHAnsi" w:cstheme="minorHAnsi"/>
          <w:color w:val="FF0000"/>
        </w:rPr>
      </w:pPr>
    </w:p>
    <w:tbl>
      <w:tblPr>
        <w:tblStyle w:val="TableGrid"/>
        <w:tblW w:w="0" w:type="auto"/>
        <w:tblLook w:val="04A0" w:firstRow="1" w:lastRow="0" w:firstColumn="1" w:lastColumn="0" w:noHBand="0" w:noVBand="1"/>
      </w:tblPr>
      <w:tblGrid>
        <w:gridCol w:w="2547"/>
        <w:gridCol w:w="3021"/>
        <w:gridCol w:w="1365"/>
        <w:gridCol w:w="1344"/>
      </w:tblGrid>
      <w:tr w:rsidR="00B54D51" w:rsidRPr="00037AD4" w14:paraId="4296C3CE" w14:textId="77777777" w:rsidTr="008F00F0">
        <w:trPr>
          <w:trHeight w:val="161"/>
        </w:trPr>
        <w:tc>
          <w:tcPr>
            <w:tcW w:w="2547" w:type="dxa"/>
            <w:vMerge w:val="restart"/>
          </w:tcPr>
          <w:p w14:paraId="1363BFFF"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EQ-5D-3L Dimension</w:t>
            </w:r>
          </w:p>
        </w:tc>
        <w:tc>
          <w:tcPr>
            <w:tcW w:w="3021" w:type="dxa"/>
            <w:vMerge w:val="restart"/>
          </w:tcPr>
          <w:p w14:paraId="74C95880"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Response level</w:t>
            </w:r>
          </w:p>
        </w:tc>
        <w:tc>
          <w:tcPr>
            <w:tcW w:w="2709" w:type="dxa"/>
            <w:gridSpan w:val="2"/>
          </w:tcPr>
          <w:p w14:paraId="6B550F8C" w14:textId="77777777" w:rsidR="00B54D51" w:rsidRPr="00037AD4" w:rsidRDefault="00B54D51" w:rsidP="008F00F0">
            <w:pPr>
              <w:jc w:val="center"/>
              <w:rPr>
                <w:rFonts w:asciiTheme="minorHAnsi" w:hAnsiTheme="minorHAnsi" w:cstheme="minorHAnsi"/>
              </w:rPr>
            </w:pPr>
            <w:r w:rsidRPr="00037AD4">
              <w:rPr>
                <w:rFonts w:asciiTheme="minorHAnsi" w:hAnsiTheme="minorHAnsi" w:cstheme="minorHAnsi"/>
              </w:rPr>
              <w:t>REMCARE</w:t>
            </w:r>
          </w:p>
          <w:p w14:paraId="3942612D" w14:textId="77777777" w:rsidR="00B54D51" w:rsidRPr="00037AD4" w:rsidRDefault="00B54D51" w:rsidP="008F00F0">
            <w:pPr>
              <w:jc w:val="center"/>
              <w:rPr>
                <w:rFonts w:asciiTheme="minorHAnsi" w:hAnsiTheme="minorHAnsi" w:cstheme="minorHAnsi"/>
              </w:rPr>
            </w:pPr>
            <w:r w:rsidRPr="00037AD4">
              <w:rPr>
                <w:rFonts w:asciiTheme="minorHAnsi" w:hAnsiTheme="minorHAnsi" w:cstheme="minorHAnsi"/>
              </w:rPr>
              <w:t>n (%)</w:t>
            </w:r>
          </w:p>
        </w:tc>
      </w:tr>
      <w:tr w:rsidR="00B54D51" w:rsidRPr="00037AD4" w14:paraId="4181F039" w14:textId="77777777" w:rsidTr="008F00F0">
        <w:trPr>
          <w:trHeight w:val="161"/>
        </w:trPr>
        <w:tc>
          <w:tcPr>
            <w:tcW w:w="2547" w:type="dxa"/>
            <w:vMerge/>
          </w:tcPr>
          <w:p w14:paraId="2CE2821D" w14:textId="77777777" w:rsidR="00B54D51" w:rsidRPr="00037AD4" w:rsidRDefault="00B54D51" w:rsidP="008F00F0">
            <w:pPr>
              <w:rPr>
                <w:rFonts w:asciiTheme="minorHAnsi" w:hAnsiTheme="minorHAnsi" w:cstheme="minorHAnsi"/>
              </w:rPr>
            </w:pPr>
          </w:p>
        </w:tc>
        <w:tc>
          <w:tcPr>
            <w:tcW w:w="3021" w:type="dxa"/>
            <w:vMerge/>
          </w:tcPr>
          <w:p w14:paraId="08A668EE" w14:textId="77777777" w:rsidR="00B54D51" w:rsidRPr="00037AD4" w:rsidRDefault="00B54D51" w:rsidP="008F00F0">
            <w:pPr>
              <w:rPr>
                <w:rFonts w:asciiTheme="minorHAnsi" w:hAnsiTheme="minorHAnsi" w:cstheme="minorHAnsi"/>
              </w:rPr>
            </w:pPr>
          </w:p>
        </w:tc>
        <w:tc>
          <w:tcPr>
            <w:tcW w:w="1365" w:type="dxa"/>
          </w:tcPr>
          <w:p w14:paraId="7314367E"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PwD </w:t>
            </w:r>
          </w:p>
        </w:tc>
        <w:tc>
          <w:tcPr>
            <w:tcW w:w="1344" w:type="dxa"/>
          </w:tcPr>
          <w:p w14:paraId="697B7D47"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RP</w:t>
            </w:r>
          </w:p>
        </w:tc>
      </w:tr>
      <w:tr w:rsidR="00B54D51" w:rsidRPr="00037AD4" w14:paraId="7F3AE514" w14:textId="77777777" w:rsidTr="008F00F0">
        <w:trPr>
          <w:trHeight w:val="324"/>
        </w:trPr>
        <w:tc>
          <w:tcPr>
            <w:tcW w:w="2547" w:type="dxa"/>
            <w:vMerge w:val="restart"/>
          </w:tcPr>
          <w:p w14:paraId="30E995F9"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Mobility</w:t>
            </w:r>
          </w:p>
        </w:tc>
        <w:tc>
          <w:tcPr>
            <w:tcW w:w="3021" w:type="dxa"/>
          </w:tcPr>
          <w:p w14:paraId="0C2B2E14"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No problems (1)</w:t>
            </w:r>
          </w:p>
        </w:tc>
        <w:tc>
          <w:tcPr>
            <w:tcW w:w="1365" w:type="dxa"/>
          </w:tcPr>
          <w:p w14:paraId="6F9366B7"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776 (65.5)</w:t>
            </w:r>
          </w:p>
        </w:tc>
        <w:tc>
          <w:tcPr>
            <w:tcW w:w="1344" w:type="dxa"/>
          </w:tcPr>
          <w:p w14:paraId="04D87631"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605 (49.7)</w:t>
            </w:r>
          </w:p>
        </w:tc>
      </w:tr>
      <w:tr w:rsidR="00B54D51" w:rsidRPr="00037AD4" w14:paraId="2FB20D62" w14:textId="77777777" w:rsidTr="008F00F0">
        <w:trPr>
          <w:trHeight w:val="334"/>
        </w:trPr>
        <w:tc>
          <w:tcPr>
            <w:tcW w:w="2547" w:type="dxa"/>
            <w:vMerge/>
          </w:tcPr>
          <w:p w14:paraId="117321B6" w14:textId="77777777" w:rsidR="00B54D51" w:rsidRPr="00037AD4" w:rsidRDefault="00B54D51" w:rsidP="008F00F0">
            <w:pPr>
              <w:rPr>
                <w:rFonts w:asciiTheme="minorHAnsi" w:hAnsiTheme="minorHAnsi" w:cstheme="minorHAnsi"/>
              </w:rPr>
            </w:pPr>
          </w:p>
        </w:tc>
        <w:tc>
          <w:tcPr>
            <w:tcW w:w="3021" w:type="dxa"/>
          </w:tcPr>
          <w:p w14:paraId="08E0F6E5"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Some problems (2)</w:t>
            </w:r>
          </w:p>
        </w:tc>
        <w:tc>
          <w:tcPr>
            <w:tcW w:w="1365" w:type="dxa"/>
          </w:tcPr>
          <w:p w14:paraId="396C7660"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405 (34.2)</w:t>
            </w:r>
          </w:p>
        </w:tc>
        <w:tc>
          <w:tcPr>
            <w:tcW w:w="1344" w:type="dxa"/>
          </w:tcPr>
          <w:p w14:paraId="110609C9"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608 (50.0)</w:t>
            </w:r>
          </w:p>
        </w:tc>
      </w:tr>
      <w:tr w:rsidR="00B54D51" w:rsidRPr="00037AD4" w14:paraId="57E1B135" w14:textId="77777777" w:rsidTr="008F00F0">
        <w:trPr>
          <w:trHeight w:val="324"/>
        </w:trPr>
        <w:tc>
          <w:tcPr>
            <w:tcW w:w="2547" w:type="dxa"/>
            <w:vMerge/>
          </w:tcPr>
          <w:p w14:paraId="5CB82644" w14:textId="77777777" w:rsidR="00B54D51" w:rsidRPr="00037AD4" w:rsidRDefault="00B54D51" w:rsidP="008F00F0">
            <w:pPr>
              <w:rPr>
                <w:rFonts w:asciiTheme="minorHAnsi" w:hAnsiTheme="minorHAnsi" w:cstheme="minorHAnsi"/>
              </w:rPr>
            </w:pPr>
          </w:p>
        </w:tc>
        <w:tc>
          <w:tcPr>
            <w:tcW w:w="3021" w:type="dxa"/>
          </w:tcPr>
          <w:p w14:paraId="1FA0EB5A"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Extreme problems (3) </w:t>
            </w:r>
          </w:p>
        </w:tc>
        <w:tc>
          <w:tcPr>
            <w:tcW w:w="1365" w:type="dxa"/>
          </w:tcPr>
          <w:p w14:paraId="7B719DB4"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3 (0.3) </w:t>
            </w:r>
          </w:p>
        </w:tc>
        <w:tc>
          <w:tcPr>
            <w:tcW w:w="1344" w:type="dxa"/>
          </w:tcPr>
          <w:p w14:paraId="50BC0391"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4 (0.3)</w:t>
            </w:r>
          </w:p>
        </w:tc>
      </w:tr>
      <w:tr w:rsidR="00B54D51" w:rsidRPr="00037AD4" w14:paraId="09508B1A" w14:textId="77777777" w:rsidTr="008F00F0">
        <w:trPr>
          <w:trHeight w:val="314"/>
        </w:trPr>
        <w:tc>
          <w:tcPr>
            <w:tcW w:w="2547" w:type="dxa"/>
            <w:vMerge w:val="restart"/>
          </w:tcPr>
          <w:p w14:paraId="08582ECD"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Self-care</w:t>
            </w:r>
          </w:p>
        </w:tc>
        <w:tc>
          <w:tcPr>
            <w:tcW w:w="3021" w:type="dxa"/>
          </w:tcPr>
          <w:p w14:paraId="3A081B35"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No problems (1)</w:t>
            </w:r>
          </w:p>
        </w:tc>
        <w:tc>
          <w:tcPr>
            <w:tcW w:w="1365" w:type="dxa"/>
          </w:tcPr>
          <w:p w14:paraId="64088496"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971 (82.1)</w:t>
            </w:r>
          </w:p>
        </w:tc>
        <w:tc>
          <w:tcPr>
            <w:tcW w:w="1344" w:type="dxa"/>
          </w:tcPr>
          <w:p w14:paraId="35D36182"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609 (50.0)</w:t>
            </w:r>
          </w:p>
        </w:tc>
      </w:tr>
      <w:tr w:rsidR="00B54D51" w:rsidRPr="00037AD4" w14:paraId="739F5C97" w14:textId="77777777" w:rsidTr="008F00F0">
        <w:trPr>
          <w:trHeight w:val="334"/>
        </w:trPr>
        <w:tc>
          <w:tcPr>
            <w:tcW w:w="2547" w:type="dxa"/>
            <w:vMerge/>
          </w:tcPr>
          <w:p w14:paraId="71F513DF" w14:textId="77777777" w:rsidR="00B54D51" w:rsidRPr="00037AD4" w:rsidRDefault="00B54D51" w:rsidP="008F00F0">
            <w:pPr>
              <w:rPr>
                <w:rFonts w:asciiTheme="minorHAnsi" w:hAnsiTheme="minorHAnsi" w:cstheme="minorHAnsi"/>
              </w:rPr>
            </w:pPr>
          </w:p>
        </w:tc>
        <w:tc>
          <w:tcPr>
            <w:tcW w:w="3021" w:type="dxa"/>
          </w:tcPr>
          <w:p w14:paraId="62085163"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Some problems (2)</w:t>
            </w:r>
          </w:p>
        </w:tc>
        <w:tc>
          <w:tcPr>
            <w:tcW w:w="1365" w:type="dxa"/>
          </w:tcPr>
          <w:p w14:paraId="74273B12"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187 (15.8)</w:t>
            </w:r>
          </w:p>
        </w:tc>
        <w:tc>
          <w:tcPr>
            <w:tcW w:w="1344" w:type="dxa"/>
          </w:tcPr>
          <w:p w14:paraId="20122843"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533 (43.8)</w:t>
            </w:r>
          </w:p>
        </w:tc>
      </w:tr>
      <w:tr w:rsidR="00B54D51" w:rsidRPr="00037AD4" w14:paraId="642B2774" w14:textId="77777777" w:rsidTr="008F00F0">
        <w:trPr>
          <w:trHeight w:val="334"/>
        </w:trPr>
        <w:tc>
          <w:tcPr>
            <w:tcW w:w="2547" w:type="dxa"/>
            <w:vMerge/>
          </w:tcPr>
          <w:p w14:paraId="43B00D48" w14:textId="77777777" w:rsidR="00B54D51" w:rsidRPr="00037AD4" w:rsidRDefault="00B54D51" w:rsidP="008F00F0">
            <w:pPr>
              <w:rPr>
                <w:rFonts w:asciiTheme="minorHAnsi" w:hAnsiTheme="minorHAnsi" w:cstheme="minorHAnsi"/>
              </w:rPr>
            </w:pPr>
          </w:p>
        </w:tc>
        <w:tc>
          <w:tcPr>
            <w:tcW w:w="3021" w:type="dxa"/>
          </w:tcPr>
          <w:p w14:paraId="53FA69E2"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Extreme problems (3) </w:t>
            </w:r>
          </w:p>
        </w:tc>
        <w:tc>
          <w:tcPr>
            <w:tcW w:w="1365" w:type="dxa"/>
          </w:tcPr>
          <w:p w14:paraId="48BCDE10"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25 (2.1)</w:t>
            </w:r>
          </w:p>
        </w:tc>
        <w:tc>
          <w:tcPr>
            <w:tcW w:w="1344" w:type="dxa"/>
          </w:tcPr>
          <w:p w14:paraId="109FF949"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75 (6.2)</w:t>
            </w:r>
          </w:p>
        </w:tc>
      </w:tr>
      <w:tr w:rsidR="00B54D51" w:rsidRPr="00037AD4" w14:paraId="1107CE07" w14:textId="77777777" w:rsidTr="008F00F0">
        <w:trPr>
          <w:trHeight w:val="324"/>
        </w:trPr>
        <w:tc>
          <w:tcPr>
            <w:tcW w:w="2547" w:type="dxa"/>
            <w:vMerge w:val="restart"/>
          </w:tcPr>
          <w:p w14:paraId="66958759"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Usual activities </w:t>
            </w:r>
          </w:p>
        </w:tc>
        <w:tc>
          <w:tcPr>
            <w:tcW w:w="3021" w:type="dxa"/>
          </w:tcPr>
          <w:p w14:paraId="117644FD"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No problems (1)</w:t>
            </w:r>
          </w:p>
        </w:tc>
        <w:tc>
          <w:tcPr>
            <w:tcW w:w="1365" w:type="dxa"/>
          </w:tcPr>
          <w:p w14:paraId="014167B8"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803 (68.9)</w:t>
            </w:r>
          </w:p>
        </w:tc>
        <w:tc>
          <w:tcPr>
            <w:tcW w:w="1344" w:type="dxa"/>
          </w:tcPr>
          <w:p w14:paraId="4534AE19"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275 (22.7)</w:t>
            </w:r>
          </w:p>
        </w:tc>
      </w:tr>
      <w:tr w:rsidR="00B54D51" w:rsidRPr="00037AD4" w14:paraId="5BD63DD9" w14:textId="77777777" w:rsidTr="008F00F0">
        <w:trPr>
          <w:trHeight w:val="324"/>
        </w:trPr>
        <w:tc>
          <w:tcPr>
            <w:tcW w:w="2547" w:type="dxa"/>
            <w:vMerge/>
          </w:tcPr>
          <w:p w14:paraId="7377926B" w14:textId="77777777" w:rsidR="00B54D51" w:rsidRPr="00037AD4" w:rsidRDefault="00B54D51" w:rsidP="008F00F0">
            <w:pPr>
              <w:rPr>
                <w:rFonts w:asciiTheme="minorHAnsi" w:hAnsiTheme="minorHAnsi" w:cstheme="minorHAnsi"/>
              </w:rPr>
            </w:pPr>
          </w:p>
        </w:tc>
        <w:tc>
          <w:tcPr>
            <w:tcW w:w="3021" w:type="dxa"/>
          </w:tcPr>
          <w:p w14:paraId="4D3915B2"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Some problems (2)</w:t>
            </w:r>
          </w:p>
        </w:tc>
        <w:tc>
          <w:tcPr>
            <w:tcW w:w="1365" w:type="dxa"/>
          </w:tcPr>
          <w:p w14:paraId="22022D33"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314 (27.0)</w:t>
            </w:r>
          </w:p>
        </w:tc>
        <w:tc>
          <w:tcPr>
            <w:tcW w:w="1344" w:type="dxa"/>
          </w:tcPr>
          <w:p w14:paraId="488CC7B5"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682 (56.3)</w:t>
            </w:r>
          </w:p>
        </w:tc>
      </w:tr>
      <w:tr w:rsidR="00B54D51" w:rsidRPr="00037AD4" w14:paraId="0075A724" w14:textId="77777777" w:rsidTr="008F00F0">
        <w:trPr>
          <w:trHeight w:val="334"/>
        </w:trPr>
        <w:tc>
          <w:tcPr>
            <w:tcW w:w="2547" w:type="dxa"/>
            <w:vMerge/>
          </w:tcPr>
          <w:p w14:paraId="450F9888" w14:textId="77777777" w:rsidR="00B54D51" w:rsidRPr="00037AD4" w:rsidRDefault="00B54D51" w:rsidP="008F00F0">
            <w:pPr>
              <w:rPr>
                <w:rFonts w:asciiTheme="minorHAnsi" w:hAnsiTheme="minorHAnsi" w:cstheme="minorHAnsi"/>
              </w:rPr>
            </w:pPr>
          </w:p>
        </w:tc>
        <w:tc>
          <w:tcPr>
            <w:tcW w:w="3021" w:type="dxa"/>
          </w:tcPr>
          <w:p w14:paraId="025B6610"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Extreme problems (3) </w:t>
            </w:r>
          </w:p>
        </w:tc>
        <w:tc>
          <w:tcPr>
            <w:tcW w:w="1365" w:type="dxa"/>
          </w:tcPr>
          <w:p w14:paraId="07672053"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48 (4.1)</w:t>
            </w:r>
          </w:p>
        </w:tc>
        <w:tc>
          <w:tcPr>
            <w:tcW w:w="1344" w:type="dxa"/>
          </w:tcPr>
          <w:p w14:paraId="1A4FBF96"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255 (21.0)</w:t>
            </w:r>
          </w:p>
        </w:tc>
      </w:tr>
      <w:tr w:rsidR="00B54D51" w:rsidRPr="00037AD4" w14:paraId="2E7C376C" w14:textId="77777777" w:rsidTr="008F00F0">
        <w:trPr>
          <w:trHeight w:val="324"/>
        </w:trPr>
        <w:tc>
          <w:tcPr>
            <w:tcW w:w="2547" w:type="dxa"/>
            <w:vMerge w:val="restart"/>
          </w:tcPr>
          <w:p w14:paraId="3C99C983"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Pain/discomfort</w:t>
            </w:r>
          </w:p>
        </w:tc>
        <w:tc>
          <w:tcPr>
            <w:tcW w:w="3021" w:type="dxa"/>
          </w:tcPr>
          <w:p w14:paraId="72D475FA"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No problems (1)</w:t>
            </w:r>
          </w:p>
        </w:tc>
        <w:tc>
          <w:tcPr>
            <w:tcW w:w="1365" w:type="dxa"/>
          </w:tcPr>
          <w:p w14:paraId="5BBEDB2D"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660 (55.8)</w:t>
            </w:r>
          </w:p>
        </w:tc>
        <w:tc>
          <w:tcPr>
            <w:tcW w:w="1344" w:type="dxa"/>
          </w:tcPr>
          <w:p w14:paraId="43EB21CB"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502 (41.3)</w:t>
            </w:r>
          </w:p>
        </w:tc>
      </w:tr>
      <w:tr w:rsidR="00B54D51" w:rsidRPr="00037AD4" w14:paraId="5BBDB0AE" w14:textId="77777777" w:rsidTr="008F00F0">
        <w:trPr>
          <w:trHeight w:val="334"/>
        </w:trPr>
        <w:tc>
          <w:tcPr>
            <w:tcW w:w="2547" w:type="dxa"/>
            <w:vMerge/>
          </w:tcPr>
          <w:p w14:paraId="6E66F96E" w14:textId="77777777" w:rsidR="00B54D51" w:rsidRPr="00037AD4" w:rsidRDefault="00B54D51" w:rsidP="008F00F0">
            <w:pPr>
              <w:rPr>
                <w:rFonts w:asciiTheme="minorHAnsi" w:hAnsiTheme="minorHAnsi" w:cstheme="minorHAnsi"/>
              </w:rPr>
            </w:pPr>
          </w:p>
        </w:tc>
        <w:tc>
          <w:tcPr>
            <w:tcW w:w="3021" w:type="dxa"/>
          </w:tcPr>
          <w:p w14:paraId="7F7BF0EF"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Some problems (2)</w:t>
            </w:r>
          </w:p>
        </w:tc>
        <w:tc>
          <w:tcPr>
            <w:tcW w:w="1365" w:type="dxa"/>
          </w:tcPr>
          <w:p w14:paraId="50D70A51"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473 (40.0)</w:t>
            </w:r>
          </w:p>
        </w:tc>
        <w:tc>
          <w:tcPr>
            <w:tcW w:w="1344" w:type="dxa"/>
          </w:tcPr>
          <w:p w14:paraId="64B3AB40"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632 (52.1)</w:t>
            </w:r>
          </w:p>
        </w:tc>
      </w:tr>
      <w:tr w:rsidR="00B54D51" w:rsidRPr="00037AD4" w14:paraId="4E10EE99" w14:textId="77777777" w:rsidTr="008F00F0">
        <w:trPr>
          <w:trHeight w:val="324"/>
        </w:trPr>
        <w:tc>
          <w:tcPr>
            <w:tcW w:w="2547" w:type="dxa"/>
            <w:vMerge/>
          </w:tcPr>
          <w:p w14:paraId="172FFBC6" w14:textId="77777777" w:rsidR="00B54D51" w:rsidRPr="00037AD4" w:rsidRDefault="00B54D51" w:rsidP="008F00F0">
            <w:pPr>
              <w:rPr>
                <w:rFonts w:asciiTheme="minorHAnsi" w:hAnsiTheme="minorHAnsi" w:cstheme="minorHAnsi"/>
              </w:rPr>
            </w:pPr>
          </w:p>
        </w:tc>
        <w:tc>
          <w:tcPr>
            <w:tcW w:w="3021" w:type="dxa"/>
          </w:tcPr>
          <w:p w14:paraId="26DA985F"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Extreme problems (3) </w:t>
            </w:r>
          </w:p>
        </w:tc>
        <w:tc>
          <w:tcPr>
            <w:tcW w:w="1365" w:type="dxa"/>
          </w:tcPr>
          <w:p w14:paraId="2B144C41"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49 (4.2)</w:t>
            </w:r>
          </w:p>
        </w:tc>
        <w:tc>
          <w:tcPr>
            <w:tcW w:w="1344" w:type="dxa"/>
          </w:tcPr>
          <w:p w14:paraId="44BE27FD"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80 (6.6)</w:t>
            </w:r>
          </w:p>
        </w:tc>
      </w:tr>
      <w:tr w:rsidR="00B54D51" w:rsidRPr="00037AD4" w14:paraId="7657E0D4" w14:textId="77777777" w:rsidTr="008F00F0">
        <w:trPr>
          <w:trHeight w:val="314"/>
        </w:trPr>
        <w:tc>
          <w:tcPr>
            <w:tcW w:w="2547" w:type="dxa"/>
            <w:vMerge w:val="restart"/>
          </w:tcPr>
          <w:p w14:paraId="7A9E4DAD"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Anxiety/depression</w:t>
            </w:r>
          </w:p>
        </w:tc>
        <w:tc>
          <w:tcPr>
            <w:tcW w:w="3021" w:type="dxa"/>
          </w:tcPr>
          <w:p w14:paraId="2616EDD8"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No problems (1)</w:t>
            </w:r>
          </w:p>
        </w:tc>
        <w:tc>
          <w:tcPr>
            <w:tcW w:w="1365" w:type="dxa"/>
          </w:tcPr>
          <w:p w14:paraId="58AF4505"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731 (63.3)</w:t>
            </w:r>
          </w:p>
        </w:tc>
        <w:tc>
          <w:tcPr>
            <w:tcW w:w="1344" w:type="dxa"/>
          </w:tcPr>
          <w:p w14:paraId="56F7AA94"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469 (38.7)</w:t>
            </w:r>
          </w:p>
        </w:tc>
      </w:tr>
      <w:tr w:rsidR="00B54D51" w:rsidRPr="00037AD4" w14:paraId="72DE727F" w14:textId="77777777" w:rsidTr="008F00F0">
        <w:trPr>
          <w:trHeight w:val="334"/>
        </w:trPr>
        <w:tc>
          <w:tcPr>
            <w:tcW w:w="2547" w:type="dxa"/>
            <w:vMerge/>
          </w:tcPr>
          <w:p w14:paraId="245928E4" w14:textId="77777777" w:rsidR="00B54D51" w:rsidRPr="00037AD4" w:rsidRDefault="00B54D51" w:rsidP="008F00F0">
            <w:pPr>
              <w:rPr>
                <w:rFonts w:asciiTheme="minorHAnsi" w:hAnsiTheme="minorHAnsi" w:cstheme="minorHAnsi"/>
              </w:rPr>
            </w:pPr>
          </w:p>
        </w:tc>
        <w:tc>
          <w:tcPr>
            <w:tcW w:w="3021" w:type="dxa"/>
          </w:tcPr>
          <w:p w14:paraId="0B8280AF"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Some problems (2)</w:t>
            </w:r>
          </w:p>
        </w:tc>
        <w:tc>
          <w:tcPr>
            <w:tcW w:w="1365" w:type="dxa"/>
          </w:tcPr>
          <w:p w14:paraId="288F627D"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419 (35.7)</w:t>
            </w:r>
          </w:p>
        </w:tc>
        <w:tc>
          <w:tcPr>
            <w:tcW w:w="1344" w:type="dxa"/>
          </w:tcPr>
          <w:p w14:paraId="1FC20FA2"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677 (55.8)</w:t>
            </w:r>
          </w:p>
        </w:tc>
      </w:tr>
      <w:tr w:rsidR="00B54D51" w:rsidRPr="00037AD4" w14:paraId="37853485" w14:textId="77777777" w:rsidTr="008F00F0">
        <w:trPr>
          <w:trHeight w:val="334"/>
        </w:trPr>
        <w:tc>
          <w:tcPr>
            <w:tcW w:w="2547" w:type="dxa"/>
            <w:vMerge/>
          </w:tcPr>
          <w:p w14:paraId="5ADB5843" w14:textId="77777777" w:rsidR="00B54D51" w:rsidRPr="00037AD4" w:rsidRDefault="00B54D51" w:rsidP="008F00F0">
            <w:pPr>
              <w:rPr>
                <w:rFonts w:asciiTheme="minorHAnsi" w:hAnsiTheme="minorHAnsi" w:cstheme="minorHAnsi"/>
              </w:rPr>
            </w:pPr>
          </w:p>
        </w:tc>
        <w:tc>
          <w:tcPr>
            <w:tcW w:w="3021" w:type="dxa"/>
          </w:tcPr>
          <w:p w14:paraId="2BD5F25C"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Extreme problems (3) </w:t>
            </w:r>
          </w:p>
        </w:tc>
        <w:tc>
          <w:tcPr>
            <w:tcW w:w="1365" w:type="dxa"/>
          </w:tcPr>
          <w:p w14:paraId="49BF7C1A"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23 (2.0)</w:t>
            </w:r>
          </w:p>
        </w:tc>
        <w:tc>
          <w:tcPr>
            <w:tcW w:w="1344" w:type="dxa"/>
          </w:tcPr>
          <w:p w14:paraId="5208D2A0"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67 (5.5)</w:t>
            </w:r>
          </w:p>
        </w:tc>
      </w:tr>
      <w:tr w:rsidR="00B54D51" w:rsidRPr="00037AD4" w14:paraId="0B8BEFE7" w14:textId="77777777" w:rsidTr="008F00F0">
        <w:trPr>
          <w:trHeight w:val="334"/>
        </w:trPr>
        <w:tc>
          <w:tcPr>
            <w:tcW w:w="8277" w:type="dxa"/>
            <w:gridSpan w:val="4"/>
          </w:tcPr>
          <w:p w14:paraId="0C3C977B" w14:textId="77777777" w:rsidR="00B54D51" w:rsidRPr="00037AD4" w:rsidRDefault="00B54D51" w:rsidP="008F00F0">
            <w:pPr>
              <w:rPr>
                <w:rFonts w:asciiTheme="minorHAnsi" w:hAnsiTheme="minorHAnsi" w:cstheme="minorHAnsi"/>
              </w:rPr>
            </w:pPr>
            <w:r w:rsidRPr="00037AD4">
              <w:rPr>
                <w:rFonts w:asciiTheme="minorHAnsi" w:hAnsiTheme="minorHAnsi" w:cstheme="minorHAnsi"/>
                <w:sz w:val="21"/>
                <w:szCs w:val="21"/>
              </w:rPr>
              <w:t xml:space="preserve">PwD, person with dementia; RP, informal/relative proxy </w:t>
            </w:r>
          </w:p>
        </w:tc>
      </w:tr>
    </w:tbl>
    <w:p w14:paraId="127F1676" w14:textId="77777777" w:rsidR="00B54D51" w:rsidRPr="00037AD4" w:rsidRDefault="00B54D51" w:rsidP="001E6DA5">
      <w:pPr>
        <w:rPr>
          <w:rFonts w:asciiTheme="minorHAnsi" w:hAnsiTheme="minorHAnsi" w:cstheme="minorHAnsi"/>
          <w:color w:val="000000" w:themeColor="text1"/>
        </w:rPr>
      </w:pPr>
    </w:p>
    <w:p w14:paraId="308D606B" w14:textId="77777777" w:rsidR="00B54D51" w:rsidRPr="00037AD4" w:rsidRDefault="00B54D51" w:rsidP="001E6DA5">
      <w:pPr>
        <w:rPr>
          <w:rFonts w:asciiTheme="minorHAnsi" w:hAnsiTheme="minorHAnsi" w:cstheme="minorHAnsi"/>
          <w:color w:val="000000" w:themeColor="text1"/>
        </w:rPr>
      </w:pPr>
      <w:r w:rsidRPr="00037AD4">
        <w:rPr>
          <w:rFonts w:asciiTheme="minorHAnsi" w:hAnsiTheme="minorHAnsi" w:cstheme="minorHAnsi"/>
          <w:color w:val="000000" w:themeColor="text1"/>
        </w:rPr>
        <w:t xml:space="preserve">For the ACTIFCARE data, informal proxy responses tend to be distributed across levels one to three. Again, the “usual activities” dimension saw the largest proportion of “extreme problems” proxy ratings (over 9%), while nearly 60% of people with dementia reported “no problems” with usual activities. </w:t>
      </w:r>
    </w:p>
    <w:p w14:paraId="3AB8C183" w14:textId="77777777" w:rsidR="00B54D51" w:rsidRPr="00037AD4" w:rsidRDefault="00B54D51" w:rsidP="001E6DA5">
      <w:pPr>
        <w:rPr>
          <w:rFonts w:asciiTheme="minorHAnsi" w:hAnsiTheme="minorHAnsi" w:cstheme="minorHAnsi"/>
          <w:color w:val="000000" w:themeColor="text1"/>
        </w:rPr>
      </w:pPr>
    </w:p>
    <w:p w14:paraId="5CE493DB" w14:textId="77777777" w:rsidR="00B54D51" w:rsidRPr="00037AD4" w:rsidRDefault="00B54D51" w:rsidP="001E6DA5">
      <w:pPr>
        <w:rPr>
          <w:rFonts w:asciiTheme="minorHAnsi" w:hAnsiTheme="minorHAnsi" w:cstheme="minorHAnsi"/>
          <w:color w:val="000000" w:themeColor="text1"/>
        </w:rPr>
      </w:pPr>
      <w:r w:rsidRPr="00037AD4">
        <w:rPr>
          <w:rFonts w:asciiTheme="minorHAnsi" w:hAnsiTheme="minorHAnsi" w:cstheme="minorHAnsi"/>
          <w:color w:val="000000" w:themeColor="text1"/>
        </w:rPr>
        <w:lastRenderedPageBreak/>
        <w:t xml:space="preserve">The EPIC trial data compares data from three respondent types (PwD, informal and staff proxies), however as previously indicated, informal proxy recruitment was low from the offset. </w:t>
      </w:r>
      <w:r w:rsidRPr="00037AD4">
        <w:rPr>
          <w:rFonts w:asciiTheme="minorHAnsi" w:hAnsiTheme="minorHAnsi" w:cstheme="minorHAnsi"/>
        </w:rPr>
        <w:t xml:space="preserve">Table 20b shows </w:t>
      </w:r>
      <w:r w:rsidRPr="00037AD4">
        <w:rPr>
          <w:rFonts w:asciiTheme="minorHAnsi" w:hAnsiTheme="minorHAnsi" w:cstheme="minorHAnsi"/>
          <w:color w:val="000000" w:themeColor="text1"/>
        </w:rPr>
        <w:t xml:space="preserve">that for the “mobility” and “self-care” dimensions, proxy-reports tend to align more closely with each other than with PwD reports, whereby over 30% of both proxy types reported that the PwD was unable to walk (level five), while nearly 60% of people with dementia reported no problems with walking. For the “usual activities” dimension, there was a notable disparity between proxy reports. Nearly 50% of informal proxies reported that the PwD was unable to perform their usual activities, while only approximately 15% of staff proxies provided this response. In this instance, and for the remaining two dimensions, PwD and staff proxy reports more closely align (when compared with PwD-informal proxy dyad reports). </w:t>
      </w:r>
    </w:p>
    <w:p w14:paraId="48092D86" w14:textId="77777777" w:rsidR="00B54D51" w:rsidRPr="00037AD4" w:rsidRDefault="00B54D51" w:rsidP="001E6DA5">
      <w:pPr>
        <w:rPr>
          <w:rFonts w:asciiTheme="minorHAnsi" w:hAnsiTheme="minorHAnsi" w:cstheme="minorHAnsi"/>
          <w:color w:val="FF0000"/>
        </w:rPr>
      </w:pPr>
    </w:p>
    <w:p w14:paraId="232435EA" w14:textId="77777777" w:rsidR="00B54D51" w:rsidRPr="00037AD4" w:rsidRDefault="00B54D51" w:rsidP="001E6DA5">
      <w:pPr>
        <w:rPr>
          <w:rFonts w:asciiTheme="minorHAnsi" w:hAnsiTheme="minorHAnsi" w:cstheme="minorHAnsi"/>
          <w:b/>
          <w:bCs/>
          <w:i/>
          <w:iCs/>
          <w:color w:val="000000" w:themeColor="text1"/>
        </w:rPr>
      </w:pPr>
      <w:r w:rsidRPr="00037AD4">
        <w:rPr>
          <w:rFonts w:asciiTheme="minorHAnsi" w:hAnsiTheme="minorHAnsi" w:cstheme="minorHAnsi"/>
          <w:b/>
          <w:bCs/>
          <w:i/>
          <w:iCs/>
          <w:color w:val="000000" w:themeColor="text1"/>
        </w:rPr>
        <w:t xml:space="preserve">Table 20b, EQ-5D response level proportions, ACTIFCARE and EPIC </w:t>
      </w:r>
    </w:p>
    <w:p w14:paraId="3F350961" w14:textId="77777777" w:rsidR="00B54D51" w:rsidRPr="00037AD4" w:rsidRDefault="00B54D51" w:rsidP="001E6DA5">
      <w:pPr>
        <w:rPr>
          <w:rFonts w:asciiTheme="minorHAnsi" w:hAnsiTheme="minorHAnsi" w:cstheme="minorHAnsi"/>
          <w:b/>
          <w:bCs/>
          <w:color w:val="FF0000"/>
          <w:u w:val="single"/>
        </w:rPr>
      </w:pPr>
    </w:p>
    <w:tbl>
      <w:tblPr>
        <w:tblStyle w:val="TableGrid"/>
        <w:tblW w:w="0" w:type="auto"/>
        <w:tblLook w:val="04A0" w:firstRow="1" w:lastRow="0" w:firstColumn="1" w:lastColumn="0" w:noHBand="0" w:noVBand="1"/>
      </w:tblPr>
      <w:tblGrid>
        <w:gridCol w:w="2226"/>
        <w:gridCol w:w="1744"/>
        <w:gridCol w:w="955"/>
        <w:gridCol w:w="955"/>
        <w:gridCol w:w="230"/>
        <w:gridCol w:w="955"/>
        <w:gridCol w:w="955"/>
        <w:gridCol w:w="996"/>
      </w:tblGrid>
      <w:tr w:rsidR="00B54D51" w:rsidRPr="00037AD4" w14:paraId="1964A9AB" w14:textId="77777777" w:rsidTr="008F00F0">
        <w:trPr>
          <w:trHeight w:val="200"/>
        </w:trPr>
        <w:tc>
          <w:tcPr>
            <w:tcW w:w="0" w:type="auto"/>
            <w:vMerge w:val="restart"/>
          </w:tcPr>
          <w:p w14:paraId="70B5B0FE"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EQ-5D-5L Dimension</w:t>
            </w:r>
          </w:p>
        </w:tc>
        <w:tc>
          <w:tcPr>
            <w:tcW w:w="0" w:type="auto"/>
            <w:vMerge w:val="restart"/>
          </w:tcPr>
          <w:p w14:paraId="0553E98D"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Response level</w:t>
            </w:r>
          </w:p>
        </w:tc>
        <w:tc>
          <w:tcPr>
            <w:tcW w:w="0" w:type="auto"/>
            <w:gridSpan w:val="2"/>
          </w:tcPr>
          <w:p w14:paraId="7F3381A3"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ACTIFARE, n (%)</w:t>
            </w:r>
          </w:p>
        </w:tc>
        <w:tc>
          <w:tcPr>
            <w:tcW w:w="0" w:type="auto"/>
            <w:vMerge w:val="restart"/>
            <w:shd w:val="clear" w:color="auto" w:fill="E7E6E6" w:themeFill="background2"/>
          </w:tcPr>
          <w:p w14:paraId="76014BFD" w14:textId="77777777" w:rsidR="00B54D51" w:rsidRPr="00037AD4" w:rsidRDefault="00B54D51" w:rsidP="008F00F0">
            <w:pPr>
              <w:rPr>
                <w:rFonts w:asciiTheme="minorHAnsi" w:hAnsiTheme="minorHAnsi" w:cstheme="minorHAnsi"/>
              </w:rPr>
            </w:pPr>
          </w:p>
        </w:tc>
        <w:tc>
          <w:tcPr>
            <w:tcW w:w="0" w:type="auto"/>
            <w:gridSpan w:val="3"/>
          </w:tcPr>
          <w:p w14:paraId="2ACD19D4"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EPIC, n (%)</w:t>
            </w:r>
          </w:p>
        </w:tc>
      </w:tr>
      <w:tr w:rsidR="00B54D51" w:rsidRPr="00037AD4" w14:paraId="2A194569" w14:textId="77777777" w:rsidTr="008F00F0">
        <w:trPr>
          <w:trHeight w:val="187"/>
        </w:trPr>
        <w:tc>
          <w:tcPr>
            <w:tcW w:w="0" w:type="auto"/>
            <w:vMerge/>
          </w:tcPr>
          <w:p w14:paraId="45CDBBD2" w14:textId="77777777" w:rsidR="00B54D51" w:rsidRPr="00037AD4" w:rsidRDefault="00B54D51" w:rsidP="008F00F0">
            <w:pPr>
              <w:rPr>
                <w:rFonts w:asciiTheme="minorHAnsi" w:hAnsiTheme="minorHAnsi" w:cstheme="minorHAnsi"/>
              </w:rPr>
            </w:pPr>
          </w:p>
        </w:tc>
        <w:tc>
          <w:tcPr>
            <w:tcW w:w="0" w:type="auto"/>
            <w:vMerge/>
          </w:tcPr>
          <w:p w14:paraId="00AB31B2" w14:textId="77777777" w:rsidR="00B54D51" w:rsidRPr="00037AD4" w:rsidRDefault="00B54D51" w:rsidP="008F00F0">
            <w:pPr>
              <w:rPr>
                <w:rFonts w:asciiTheme="minorHAnsi" w:hAnsiTheme="minorHAnsi" w:cstheme="minorHAnsi"/>
              </w:rPr>
            </w:pPr>
          </w:p>
        </w:tc>
        <w:tc>
          <w:tcPr>
            <w:tcW w:w="0" w:type="auto"/>
          </w:tcPr>
          <w:p w14:paraId="429E3B4D"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PwD</w:t>
            </w:r>
          </w:p>
        </w:tc>
        <w:tc>
          <w:tcPr>
            <w:tcW w:w="0" w:type="auto"/>
          </w:tcPr>
          <w:p w14:paraId="4B55D74F"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RP</w:t>
            </w:r>
          </w:p>
        </w:tc>
        <w:tc>
          <w:tcPr>
            <w:tcW w:w="0" w:type="auto"/>
            <w:vMerge/>
            <w:shd w:val="clear" w:color="auto" w:fill="E7E6E6" w:themeFill="background2"/>
          </w:tcPr>
          <w:p w14:paraId="3731CAF1" w14:textId="77777777" w:rsidR="00B54D51" w:rsidRPr="00037AD4" w:rsidRDefault="00B54D51" w:rsidP="008F00F0">
            <w:pPr>
              <w:rPr>
                <w:rFonts w:asciiTheme="minorHAnsi" w:hAnsiTheme="minorHAnsi" w:cstheme="minorHAnsi"/>
              </w:rPr>
            </w:pPr>
          </w:p>
        </w:tc>
        <w:tc>
          <w:tcPr>
            <w:tcW w:w="0" w:type="auto"/>
          </w:tcPr>
          <w:p w14:paraId="0C433FD8"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PwD</w:t>
            </w:r>
          </w:p>
        </w:tc>
        <w:tc>
          <w:tcPr>
            <w:tcW w:w="0" w:type="auto"/>
          </w:tcPr>
          <w:p w14:paraId="0AF4EF1B"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RP</w:t>
            </w:r>
          </w:p>
        </w:tc>
        <w:tc>
          <w:tcPr>
            <w:tcW w:w="0" w:type="auto"/>
          </w:tcPr>
          <w:p w14:paraId="718583AC"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SP</w:t>
            </w:r>
          </w:p>
        </w:tc>
      </w:tr>
      <w:tr w:rsidR="00B54D51" w:rsidRPr="00037AD4" w14:paraId="7CDFAF60" w14:textId="77777777" w:rsidTr="008F00F0">
        <w:trPr>
          <w:trHeight w:val="187"/>
        </w:trPr>
        <w:tc>
          <w:tcPr>
            <w:tcW w:w="0" w:type="auto"/>
            <w:vMerge w:val="restart"/>
          </w:tcPr>
          <w:p w14:paraId="2688A496"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Mobility</w:t>
            </w:r>
          </w:p>
        </w:tc>
        <w:tc>
          <w:tcPr>
            <w:tcW w:w="0" w:type="auto"/>
          </w:tcPr>
          <w:p w14:paraId="631EE75B"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No problems (1)</w:t>
            </w:r>
          </w:p>
        </w:tc>
        <w:tc>
          <w:tcPr>
            <w:tcW w:w="0" w:type="auto"/>
          </w:tcPr>
          <w:p w14:paraId="339E783C"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641 (56.3)</w:t>
            </w:r>
          </w:p>
        </w:tc>
        <w:tc>
          <w:tcPr>
            <w:tcW w:w="0" w:type="auto"/>
          </w:tcPr>
          <w:p w14:paraId="61775808"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469 (39.3)</w:t>
            </w:r>
          </w:p>
        </w:tc>
        <w:tc>
          <w:tcPr>
            <w:tcW w:w="0" w:type="auto"/>
            <w:vMerge/>
            <w:shd w:val="clear" w:color="auto" w:fill="E7E6E6" w:themeFill="background2"/>
          </w:tcPr>
          <w:p w14:paraId="3A791AA0" w14:textId="77777777" w:rsidR="00B54D51" w:rsidRPr="00037AD4" w:rsidRDefault="00B54D51" w:rsidP="008F00F0">
            <w:pPr>
              <w:rPr>
                <w:rFonts w:asciiTheme="minorHAnsi" w:hAnsiTheme="minorHAnsi" w:cstheme="minorHAnsi"/>
              </w:rPr>
            </w:pPr>
          </w:p>
        </w:tc>
        <w:tc>
          <w:tcPr>
            <w:tcW w:w="0" w:type="auto"/>
          </w:tcPr>
          <w:p w14:paraId="52FF3F4B"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462 (57.6)</w:t>
            </w:r>
          </w:p>
        </w:tc>
        <w:tc>
          <w:tcPr>
            <w:tcW w:w="0" w:type="auto"/>
          </w:tcPr>
          <w:p w14:paraId="252C11EA"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56 (15.4)</w:t>
            </w:r>
          </w:p>
        </w:tc>
        <w:tc>
          <w:tcPr>
            <w:tcW w:w="0" w:type="auto"/>
          </w:tcPr>
          <w:p w14:paraId="26B8068A"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590 (34.7)</w:t>
            </w:r>
          </w:p>
        </w:tc>
      </w:tr>
      <w:tr w:rsidR="00B54D51" w:rsidRPr="00037AD4" w14:paraId="7B6A1744" w14:textId="77777777" w:rsidTr="008F00F0">
        <w:trPr>
          <w:trHeight w:val="400"/>
        </w:trPr>
        <w:tc>
          <w:tcPr>
            <w:tcW w:w="0" w:type="auto"/>
            <w:vMerge/>
          </w:tcPr>
          <w:p w14:paraId="2C57EE83" w14:textId="77777777" w:rsidR="00B54D51" w:rsidRPr="00037AD4" w:rsidRDefault="00B54D51" w:rsidP="008F00F0">
            <w:pPr>
              <w:rPr>
                <w:rFonts w:asciiTheme="minorHAnsi" w:hAnsiTheme="minorHAnsi" w:cstheme="minorHAnsi"/>
              </w:rPr>
            </w:pPr>
          </w:p>
        </w:tc>
        <w:tc>
          <w:tcPr>
            <w:tcW w:w="0" w:type="auto"/>
          </w:tcPr>
          <w:p w14:paraId="4465DC26"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Slight problems (2)</w:t>
            </w:r>
          </w:p>
        </w:tc>
        <w:tc>
          <w:tcPr>
            <w:tcW w:w="0" w:type="auto"/>
          </w:tcPr>
          <w:p w14:paraId="12BB7F5D"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233 (20.5)</w:t>
            </w:r>
          </w:p>
        </w:tc>
        <w:tc>
          <w:tcPr>
            <w:tcW w:w="0" w:type="auto"/>
          </w:tcPr>
          <w:p w14:paraId="3E11D94B"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288 (24.1)</w:t>
            </w:r>
          </w:p>
        </w:tc>
        <w:tc>
          <w:tcPr>
            <w:tcW w:w="0" w:type="auto"/>
            <w:vMerge/>
            <w:shd w:val="clear" w:color="auto" w:fill="E7E6E6" w:themeFill="background2"/>
          </w:tcPr>
          <w:p w14:paraId="4DC9E92A" w14:textId="77777777" w:rsidR="00B54D51" w:rsidRPr="00037AD4" w:rsidRDefault="00B54D51" w:rsidP="008F00F0">
            <w:pPr>
              <w:rPr>
                <w:rFonts w:asciiTheme="minorHAnsi" w:hAnsiTheme="minorHAnsi" w:cstheme="minorHAnsi"/>
              </w:rPr>
            </w:pPr>
          </w:p>
        </w:tc>
        <w:tc>
          <w:tcPr>
            <w:tcW w:w="0" w:type="auto"/>
          </w:tcPr>
          <w:p w14:paraId="5602BEB5"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149 (18.5)</w:t>
            </w:r>
          </w:p>
        </w:tc>
        <w:tc>
          <w:tcPr>
            <w:tcW w:w="0" w:type="auto"/>
          </w:tcPr>
          <w:p w14:paraId="425B0669"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48 (13.2)</w:t>
            </w:r>
          </w:p>
        </w:tc>
        <w:tc>
          <w:tcPr>
            <w:tcW w:w="0" w:type="auto"/>
          </w:tcPr>
          <w:p w14:paraId="3911D01F"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252 (14.8)</w:t>
            </w:r>
          </w:p>
        </w:tc>
      </w:tr>
      <w:tr w:rsidR="00B54D51" w:rsidRPr="00037AD4" w14:paraId="3D22E11D" w14:textId="77777777" w:rsidTr="008F00F0">
        <w:trPr>
          <w:trHeight w:val="400"/>
        </w:trPr>
        <w:tc>
          <w:tcPr>
            <w:tcW w:w="0" w:type="auto"/>
            <w:vMerge/>
          </w:tcPr>
          <w:p w14:paraId="300B7C06" w14:textId="77777777" w:rsidR="00B54D51" w:rsidRPr="00037AD4" w:rsidRDefault="00B54D51" w:rsidP="008F00F0">
            <w:pPr>
              <w:rPr>
                <w:rFonts w:asciiTheme="minorHAnsi" w:hAnsiTheme="minorHAnsi" w:cstheme="minorHAnsi"/>
              </w:rPr>
            </w:pPr>
          </w:p>
        </w:tc>
        <w:tc>
          <w:tcPr>
            <w:tcW w:w="0" w:type="auto"/>
          </w:tcPr>
          <w:p w14:paraId="43A1B072"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Moderate problems (3)</w:t>
            </w:r>
          </w:p>
        </w:tc>
        <w:tc>
          <w:tcPr>
            <w:tcW w:w="0" w:type="auto"/>
          </w:tcPr>
          <w:p w14:paraId="2CFADD15"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189 (16.6)</w:t>
            </w:r>
          </w:p>
        </w:tc>
        <w:tc>
          <w:tcPr>
            <w:tcW w:w="0" w:type="auto"/>
          </w:tcPr>
          <w:p w14:paraId="2F003609"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267 (22.3)</w:t>
            </w:r>
          </w:p>
        </w:tc>
        <w:tc>
          <w:tcPr>
            <w:tcW w:w="0" w:type="auto"/>
            <w:vMerge/>
            <w:shd w:val="clear" w:color="auto" w:fill="E7E6E6" w:themeFill="background2"/>
          </w:tcPr>
          <w:p w14:paraId="3625D515" w14:textId="77777777" w:rsidR="00B54D51" w:rsidRPr="00037AD4" w:rsidRDefault="00B54D51" w:rsidP="008F00F0">
            <w:pPr>
              <w:rPr>
                <w:rFonts w:asciiTheme="minorHAnsi" w:hAnsiTheme="minorHAnsi" w:cstheme="minorHAnsi"/>
              </w:rPr>
            </w:pPr>
          </w:p>
        </w:tc>
        <w:tc>
          <w:tcPr>
            <w:tcW w:w="0" w:type="auto"/>
          </w:tcPr>
          <w:p w14:paraId="646C49FD"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79 (9.9)</w:t>
            </w:r>
          </w:p>
        </w:tc>
        <w:tc>
          <w:tcPr>
            <w:tcW w:w="0" w:type="auto"/>
          </w:tcPr>
          <w:p w14:paraId="295F5411"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80 (22.0)</w:t>
            </w:r>
          </w:p>
        </w:tc>
        <w:tc>
          <w:tcPr>
            <w:tcW w:w="0" w:type="auto"/>
          </w:tcPr>
          <w:p w14:paraId="4928CBE5"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175 (10.3)</w:t>
            </w:r>
          </w:p>
        </w:tc>
      </w:tr>
      <w:tr w:rsidR="00B54D51" w:rsidRPr="00037AD4" w14:paraId="6A74CE51" w14:textId="77777777" w:rsidTr="008F00F0">
        <w:trPr>
          <w:trHeight w:val="387"/>
        </w:trPr>
        <w:tc>
          <w:tcPr>
            <w:tcW w:w="0" w:type="auto"/>
            <w:vMerge/>
          </w:tcPr>
          <w:p w14:paraId="7E22F5F7" w14:textId="77777777" w:rsidR="00B54D51" w:rsidRPr="00037AD4" w:rsidRDefault="00B54D51" w:rsidP="008F00F0">
            <w:pPr>
              <w:rPr>
                <w:rFonts w:asciiTheme="minorHAnsi" w:hAnsiTheme="minorHAnsi" w:cstheme="minorHAnsi"/>
              </w:rPr>
            </w:pPr>
          </w:p>
        </w:tc>
        <w:tc>
          <w:tcPr>
            <w:tcW w:w="0" w:type="auto"/>
          </w:tcPr>
          <w:p w14:paraId="1E42FC2B"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Severe problems (4)</w:t>
            </w:r>
          </w:p>
        </w:tc>
        <w:tc>
          <w:tcPr>
            <w:tcW w:w="0" w:type="auto"/>
          </w:tcPr>
          <w:p w14:paraId="0AD0C5C8"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68 (6.0)</w:t>
            </w:r>
          </w:p>
        </w:tc>
        <w:tc>
          <w:tcPr>
            <w:tcW w:w="0" w:type="auto"/>
          </w:tcPr>
          <w:p w14:paraId="06403A10"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147 (12.3)</w:t>
            </w:r>
          </w:p>
        </w:tc>
        <w:tc>
          <w:tcPr>
            <w:tcW w:w="0" w:type="auto"/>
            <w:vMerge/>
            <w:shd w:val="clear" w:color="auto" w:fill="E7E6E6" w:themeFill="background2"/>
          </w:tcPr>
          <w:p w14:paraId="69003853" w14:textId="77777777" w:rsidR="00B54D51" w:rsidRPr="00037AD4" w:rsidRDefault="00B54D51" w:rsidP="008F00F0">
            <w:pPr>
              <w:rPr>
                <w:rFonts w:asciiTheme="minorHAnsi" w:hAnsiTheme="minorHAnsi" w:cstheme="minorHAnsi"/>
              </w:rPr>
            </w:pPr>
          </w:p>
        </w:tc>
        <w:tc>
          <w:tcPr>
            <w:tcW w:w="0" w:type="auto"/>
          </w:tcPr>
          <w:p w14:paraId="487DB10D"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40 (5.0)</w:t>
            </w:r>
          </w:p>
        </w:tc>
        <w:tc>
          <w:tcPr>
            <w:tcW w:w="0" w:type="auto"/>
          </w:tcPr>
          <w:p w14:paraId="18FE24F4"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69 (18.9)</w:t>
            </w:r>
          </w:p>
        </w:tc>
        <w:tc>
          <w:tcPr>
            <w:tcW w:w="0" w:type="auto"/>
          </w:tcPr>
          <w:p w14:paraId="68DC6753"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117 (6.9)</w:t>
            </w:r>
          </w:p>
        </w:tc>
      </w:tr>
      <w:tr w:rsidR="00B54D51" w:rsidRPr="00037AD4" w14:paraId="602F7D63" w14:textId="77777777" w:rsidTr="008F00F0">
        <w:trPr>
          <w:trHeight w:val="200"/>
        </w:trPr>
        <w:tc>
          <w:tcPr>
            <w:tcW w:w="0" w:type="auto"/>
            <w:vMerge/>
          </w:tcPr>
          <w:p w14:paraId="1E1BDA3C" w14:textId="77777777" w:rsidR="00B54D51" w:rsidRPr="00037AD4" w:rsidRDefault="00B54D51" w:rsidP="008F00F0">
            <w:pPr>
              <w:rPr>
                <w:rFonts w:asciiTheme="minorHAnsi" w:hAnsiTheme="minorHAnsi" w:cstheme="minorHAnsi"/>
              </w:rPr>
            </w:pPr>
          </w:p>
        </w:tc>
        <w:tc>
          <w:tcPr>
            <w:tcW w:w="0" w:type="auto"/>
          </w:tcPr>
          <w:p w14:paraId="2D8FFD59"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Unable to walk (5)</w:t>
            </w:r>
          </w:p>
        </w:tc>
        <w:tc>
          <w:tcPr>
            <w:tcW w:w="0" w:type="auto"/>
          </w:tcPr>
          <w:p w14:paraId="07F7191A"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8 (0.7)</w:t>
            </w:r>
          </w:p>
        </w:tc>
        <w:tc>
          <w:tcPr>
            <w:tcW w:w="0" w:type="auto"/>
          </w:tcPr>
          <w:p w14:paraId="2D8A9EC9"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24 (2.0)</w:t>
            </w:r>
          </w:p>
        </w:tc>
        <w:tc>
          <w:tcPr>
            <w:tcW w:w="0" w:type="auto"/>
            <w:vMerge/>
            <w:shd w:val="clear" w:color="auto" w:fill="E7E6E6" w:themeFill="background2"/>
          </w:tcPr>
          <w:p w14:paraId="39FA6288" w14:textId="77777777" w:rsidR="00B54D51" w:rsidRPr="00037AD4" w:rsidRDefault="00B54D51" w:rsidP="008F00F0">
            <w:pPr>
              <w:rPr>
                <w:rFonts w:asciiTheme="minorHAnsi" w:hAnsiTheme="minorHAnsi" w:cstheme="minorHAnsi"/>
              </w:rPr>
            </w:pPr>
          </w:p>
        </w:tc>
        <w:tc>
          <w:tcPr>
            <w:tcW w:w="0" w:type="auto"/>
          </w:tcPr>
          <w:p w14:paraId="55A2C941"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72 (9.0)</w:t>
            </w:r>
          </w:p>
        </w:tc>
        <w:tc>
          <w:tcPr>
            <w:tcW w:w="0" w:type="auto"/>
          </w:tcPr>
          <w:p w14:paraId="610FB840"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111 (30.5) </w:t>
            </w:r>
          </w:p>
        </w:tc>
        <w:tc>
          <w:tcPr>
            <w:tcW w:w="0" w:type="auto"/>
          </w:tcPr>
          <w:p w14:paraId="331C4FD5"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565 (33.3)</w:t>
            </w:r>
          </w:p>
        </w:tc>
      </w:tr>
      <w:tr w:rsidR="00B54D51" w:rsidRPr="00037AD4" w14:paraId="4E9FB506" w14:textId="77777777" w:rsidTr="008F00F0">
        <w:trPr>
          <w:trHeight w:val="200"/>
        </w:trPr>
        <w:tc>
          <w:tcPr>
            <w:tcW w:w="0" w:type="auto"/>
            <w:vMerge w:val="restart"/>
          </w:tcPr>
          <w:p w14:paraId="18EA2518"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Self-care</w:t>
            </w:r>
          </w:p>
        </w:tc>
        <w:tc>
          <w:tcPr>
            <w:tcW w:w="0" w:type="auto"/>
          </w:tcPr>
          <w:p w14:paraId="699DD34C"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No problems (1)</w:t>
            </w:r>
          </w:p>
        </w:tc>
        <w:tc>
          <w:tcPr>
            <w:tcW w:w="0" w:type="auto"/>
          </w:tcPr>
          <w:p w14:paraId="66BFF2AF"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853 (75.4)</w:t>
            </w:r>
          </w:p>
        </w:tc>
        <w:tc>
          <w:tcPr>
            <w:tcW w:w="0" w:type="auto"/>
          </w:tcPr>
          <w:p w14:paraId="6CCE08E0"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523 (43.8)</w:t>
            </w:r>
          </w:p>
        </w:tc>
        <w:tc>
          <w:tcPr>
            <w:tcW w:w="0" w:type="auto"/>
            <w:vMerge/>
            <w:shd w:val="clear" w:color="auto" w:fill="E7E6E6" w:themeFill="background2"/>
          </w:tcPr>
          <w:p w14:paraId="37376965" w14:textId="77777777" w:rsidR="00B54D51" w:rsidRPr="00037AD4" w:rsidRDefault="00B54D51" w:rsidP="008F00F0">
            <w:pPr>
              <w:rPr>
                <w:rFonts w:asciiTheme="minorHAnsi" w:hAnsiTheme="minorHAnsi" w:cstheme="minorHAnsi"/>
              </w:rPr>
            </w:pPr>
          </w:p>
        </w:tc>
        <w:tc>
          <w:tcPr>
            <w:tcW w:w="0" w:type="auto"/>
          </w:tcPr>
          <w:p w14:paraId="63D31072"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538 (67.2)</w:t>
            </w:r>
          </w:p>
        </w:tc>
        <w:tc>
          <w:tcPr>
            <w:tcW w:w="0" w:type="auto"/>
          </w:tcPr>
          <w:p w14:paraId="332ACD91"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22 (6.1)</w:t>
            </w:r>
          </w:p>
        </w:tc>
        <w:tc>
          <w:tcPr>
            <w:tcW w:w="0" w:type="auto"/>
          </w:tcPr>
          <w:p w14:paraId="0C1CF996"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228 (13.4)</w:t>
            </w:r>
          </w:p>
        </w:tc>
      </w:tr>
      <w:tr w:rsidR="00B54D51" w:rsidRPr="00037AD4" w14:paraId="0F67A659" w14:textId="77777777" w:rsidTr="008F00F0">
        <w:trPr>
          <w:trHeight w:val="187"/>
        </w:trPr>
        <w:tc>
          <w:tcPr>
            <w:tcW w:w="0" w:type="auto"/>
            <w:vMerge/>
          </w:tcPr>
          <w:p w14:paraId="5FF09699" w14:textId="77777777" w:rsidR="00B54D51" w:rsidRPr="00037AD4" w:rsidRDefault="00B54D51" w:rsidP="008F00F0">
            <w:pPr>
              <w:rPr>
                <w:rFonts w:asciiTheme="minorHAnsi" w:hAnsiTheme="minorHAnsi" w:cstheme="minorHAnsi"/>
              </w:rPr>
            </w:pPr>
          </w:p>
        </w:tc>
        <w:tc>
          <w:tcPr>
            <w:tcW w:w="0" w:type="auto"/>
          </w:tcPr>
          <w:p w14:paraId="2BCE493E"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Slight problems (2)</w:t>
            </w:r>
          </w:p>
        </w:tc>
        <w:tc>
          <w:tcPr>
            <w:tcW w:w="0" w:type="auto"/>
          </w:tcPr>
          <w:p w14:paraId="23DCAB50"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152 (13.4)</w:t>
            </w:r>
          </w:p>
        </w:tc>
        <w:tc>
          <w:tcPr>
            <w:tcW w:w="0" w:type="auto"/>
          </w:tcPr>
          <w:p w14:paraId="63A4E318"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314 (26.3)</w:t>
            </w:r>
          </w:p>
        </w:tc>
        <w:tc>
          <w:tcPr>
            <w:tcW w:w="0" w:type="auto"/>
            <w:vMerge/>
            <w:shd w:val="clear" w:color="auto" w:fill="E7E6E6" w:themeFill="background2"/>
          </w:tcPr>
          <w:p w14:paraId="47A8F10D" w14:textId="77777777" w:rsidR="00B54D51" w:rsidRPr="00037AD4" w:rsidRDefault="00B54D51" w:rsidP="008F00F0">
            <w:pPr>
              <w:rPr>
                <w:rFonts w:asciiTheme="minorHAnsi" w:hAnsiTheme="minorHAnsi" w:cstheme="minorHAnsi"/>
              </w:rPr>
            </w:pPr>
          </w:p>
        </w:tc>
        <w:tc>
          <w:tcPr>
            <w:tcW w:w="0" w:type="auto"/>
          </w:tcPr>
          <w:p w14:paraId="373457B0"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130 (16.2)</w:t>
            </w:r>
          </w:p>
        </w:tc>
        <w:tc>
          <w:tcPr>
            <w:tcW w:w="0" w:type="auto"/>
          </w:tcPr>
          <w:p w14:paraId="6E14DE37"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34 (9.4)</w:t>
            </w:r>
          </w:p>
        </w:tc>
        <w:tc>
          <w:tcPr>
            <w:tcW w:w="0" w:type="auto"/>
          </w:tcPr>
          <w:p w14:paraId="319DD7AC"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214 (12.6)</w:t>
            </w:r>
          </w:p>
        </w:tc>
      </w:tr>
      <w:tr w:rsidR="00B54D51" w:rsidRPr="00037AD4" w14:paraId="18676F2A" w14:textId="77777777" w:rsidTr="008F00F0">
        <w:trPr>
          <w:trHeight w:val="200"/>
        </w:trPr>
        <w:tc>
          <w:tcPr>
            <w:tcW w:w="0" w:type="auto"/>
            <w:vMerge/>
          </w:tcPr>
          <w:p w14:paraId="1665550A" w14:textId="77777777" w:rsidR="00B54D51" w:rsidRPr="00037AD4" w:rsidRDefault="00B54D51" w:rsidP="008F00F0">
            <w:pPr>
              <w:rPr>
                <w:rFonts w:asciiTheme="minorHAnsi" w:hAnsiTheme="minorHAnsi" w:cstheme="minorHAnsi"/>
              </w:rPr>
            </w:pPr>
          </w:p>
        </w:tc>
        <w:tc>
          <w:tcPr>
            <w:tcW w:w="0" w:type="auto"/>
          </w:tcPr>
          <w:p w14:paraId="487C16A8"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Moderate problems (3)</w:t>
            </w:r>
          </w:p>
        </w:tc>
        <w:tc>
          <w:tcPr>
            <w:tcW w:w="0" w:type="auto"/>
          </w:tcPr>
          <w:p w14:paraId="5B7E0372"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78 (6.9)</w:t>
            </w:r>
          </w:p>
        </w:tc>
        <w:tc>
          <w:tcPr>
            <w:tcW w:w="0" w:type="auto"/>
          </w:tcPr>
          <w:p w14:paraId="0C571325"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208 (17.4)</w:t>
            </w:r>
          </w:p>
        </w:tc>
        <w:tc>
          <w:tcPr>
            <w:tcW w:w="0" w:type="auto"/>
            <w:vMerge/>
            <w:shd w:val="clear" w:color="auto" w:fill="E7E6E6" w:themeFill="background2"/>
          </w:tcPr>
          <w:p w14:paraId="0386270C" w14:textId="77777777" w:rsidR="00B54D51" w:rsidRPr="00037AD4" w:rsidRDefault="00B54D51" w:rsidP="008F00F0">
            <w:pPr>
              <w:rPr>
                <w:rFonts w:asciiTheme="minorHAnsi" w:hAnsiTheme="minorHAnsi" w:cstheme="minorHAnsi"/>
              </w:rPr>
            </w:pPr>
          </w:p>
        </w:tc>
        <w:tc>
          <w:tcPr>
            <w:tcW w:w="0" w:type="auto"/>
          </w:tcPr>
          <w:p w14:paraId="4C94981A"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90 (11.3)</w:t>
            </w:r>
          </w:p>
        </w:tc>
        <w:tc>
          <w:tcPr>
            <w:tcW w:w="0" w:type="auto"/>
          </w:tcPr>
          <w:p w14:paraId="7B9C05BE"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64 (17.7)</w:t>
            </w:r>
          </w:p>
        </w:tc>
        <w:tc>
          <w:tcPr>
            <w:tcW w:w="0" w:type="auto"/>
          </w:tcPr>
          <w:p w14:paraId="2B95443C"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219 (12.9)</w:t>
            </w:r>
          </w:p>
        </w:tc>
      </w:tr>
      <w:tr w:rsidR="00B54D51" w:rsidRPr="00037AD4" w14:paraId="653226C1" w14:textId="77777777" w:rsidTr="008F00F0">
        <w:trPr>
          <w:trHeight w:val="187"/>
        </w:trPr>
        <w:tc>
          <w:tcPr>
            <w:tcW w:w="0" w:type="auto"/>
            <w:vMerge/>
          </w:tcPr>
          <w:p w14:paraId="53206F08" w14:textId="77777777" w:rsidR="00B54D51" w:rsidRPr="00037AD4" w:rsidRDefault="00B54D51" w:rsidP="008F00F0">
            <w:pPr>
              <w:rPr>
                <w:rFonts w:asciiTheme="minorHAnsi" w:hAnsiTheme="minorHAnsi" w:cstheme="minorHAnsi"/>
              </w:rPr>
            </w:pPr>
          </w:p>
        </w:tc>
        <w:tc>
          <w:tcPr>
            <w:tcW w:w="0" w:type="auto"/>
          </w:tcPr>
          <w:p w14:paraId="1E505868"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Severe problems (4)</w:t>
            </w:r>
          </w:p>
        </w:tc>
        <w:tc>
          <w:tcPr>
            <w:tcW w:w="0" w:type="auto"/>
          </w:tcPr>
          <w:p w14:paraId="0B5C40BC"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26 (2.3)</w:t>
            </w:r>
          </w:p>
        </w:tc>
        <w:tc>
          <w:tcPr>
            <w:tcW w:w="0" w:type="auto"/>
          </w:tcPr>
          <w:p w14:paraId="6D2C338D"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83 (7.0)</w:t>
            </w:r>
          </w:p>
        </w:tc>
        <w:tc>
          <w:tcPr>
            <w:tcW w:w="0" w:type="auto"/>
            <w:vMerge/>
            <w:shd w:val="clear" w:color="auto" w:fill="E7E6E6" w:themeFill="background2"/>
          </w:tcPr>
          <w:p w14:paraId="53C29E75" w14:textId="77777777" w:rsidR="00B54D51" w:rsidRPr="00037AD4" w:rsidRDefault="00B54D51" w:rsidP="008F00F0">
            <w:pPr>
              <w:rPr>
                <w:rFonts w:asciiTheme="minorHAnsi" w:hAnsiTheme="minorHAnsi" w:cstheme="minorHAnsi"/>
              </w:rPr>
            </w:pPr>
          </w:p>
        </w:tc>
        <w:tc>
          <w:tcPr>
            <w:tcW w:w="0" w:type="auto"/>
          </w:tcPr>
          <w:p w14:paraId="6C45E09E"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23 (2.9)</w:t>
            </w:r>
          </w:p>
        </w:tc>
        <w:tc>
          <w:tcPr>
            <w:tcW w:w="0" w:type="auto"/>
          </w:tcPr>
          <w:p w14:paraId="4FC6FFBD"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33 (9.1)</w:t>
            </w:r>
          </w:p>
        </w:tc>
        <w:tc>
          <w:tcPr>
            <w:tcW w:w="0" w:type="auto"/>
          </w:tcPr>
          <w:p w14:paraId="204DD6B2"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135 (7.9)</w:t>
            </w:r>
          </w:p>
        </w:tc>
      </w:tr>
      <w:tr w:rsidR="00B54D51" w:rsidRPr="00037AD4" w14:paraId="6EBEC1E0" w14:textId="77777777" w:rsidTr="008F00F0">
        <w:trPr>
          <w:trHeight w:val="200"/>
        </w:trPr>
        <w:tc>
          <w:tcPr>
            <w:tcW w:w="0" w:type="auto"/>
            <w:vMerge/>
          </w:tcPr>
          <w:p w14:paraId="5005ADE0" w14:textId="77777777" w:rsidR="00B54D51" w:rsidRPr="00037AD4" w:rsidRDefault="00B54D51" w:rsidP="008F00F0">
            <w:pPr>
              <w:rPr>
                <w:rFonts w:asciiTheme="minorHAnsi" w:hAnsiTheme="minorHAnsi" w:cstheme="minorHAnsi"/>
              </w:rPr>
            </w:pPr>
          </w:p>
        </w:tc>
        <w:tc>
          <w:tcPr>
            <w:tcW w:w="0" w:type="auto"/>
          </w:tcPr>
          <w:p w14:paraId="04EC5C92"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Unable to wash/ dress (5)</w:t>
            </w:r>
          </w:p>
        </w:tc>
        <w:tc>
          <w:tcPr>
            <w:tcW w:w="0" w:type="auto"/>
          </w:tcPr>
          <w:p w14:paraId="7AA7F99E"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23 (2.0)</w:t>
            </w:r>
          </w:p>
        </w:tc>
        <w:tc>
          <w:tcPr>
            <w:tcW w:w="0" w:type="auto"/>
          </w:tcPr>
          <w:p w14:paraId="19202587"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66 (5.5)</w:t>
            </w:r>
          </w:p>
        </w:tc>
        <w:tc>
          <w:tcPr>
            <w:tcW w:w="0" w:type="auto"/>
            <w:vMerge/>
            <w:shd w:val="clear" w:color="auto" w:fill="E7E6E6" w:themeFill="background2"/>
          </w:tcPr>
          <w:p w14:paraId="014C5ABA" w14:textId="77777777" w:rsidR="00B54D51" w:rsidRPr="00037AD4" w:rsidRDefault="00B54D51" w:rsidP="008F00F0">
            <w:pPr>
              <w:rPr>
                <w:rFonts w:asciiTheme="minorHAnsi" w:hAnsiTheme="minorHAnsi" w:cstheme="minorHAnsi"/>
              </w:rPr>
            </w:pPr>
          </w:p>
        </w:tc>
        <w:tc>
          <w:tcPr>
            <w:tcW w:w="0" w:type="auto"/>
          </w:tcPr>
          <w:p w14:paraId="69414B43"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19 (2.4) </w:t>
            </w:r>
          </w:p>
        </w:tc>
        <w:tc>
          <w:tcPr>
            <w:tcW w:w="0" w:type="auto"/>
          </w:tcPr>
          <w:p w14:paraId="08F1444D"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209 (57.7)</w:t>
            </w:r>
          </w:p>
        </w:tc>
        <w:tc>
          <w:tcPr>
            <w:tcW w:w="0" w:type="auto"/>
          </w:tcPr>
          <w:p w14:paraId="2AD5FFB0"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904 (53.2)</w:t>
            </w:r>
          </w:p>
        </w:tc>
      </w:tr>
      <w:tr w:rsidR="00B54D51" w:rsidRPr="00037AD4" w14:paraId="77073817" w14:textId="77777777" w:rsidTr="008F00F0">
        <w:trPr>
          <w:trHeight w:val="200"/>
        </w:trPr>
        <w:tc>
          <w:tcPr>
            <w:tcW w:w="0" w:type="auto"/>
            <w:vMerge w:val="restart"/>
          </w:tcPr>
          <w:p w14:paraId="27209E65"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Usual activities </w:t>
            </w:r>
          </w:p>
        </w:tc>
        <w:tc>
          <w:tcPr>
            <w:tcW w:w="0" w:type="auto"/>
          </w:tcPr>
          <w:p w14:paraId="29695173"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No problems (1)</w:t>
            </w:r>
          </w:p>
        </w:tc>
        <w:tc>
          <w:tcPr>
            <w:tcW w:w="0" w:type="auto"/>
          </w:tcPr>
          <w:p w14:paraId="48666A90"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646 (57.9)</w:t>
            </w:r>
          </w:p>
        </w:tc>
        <w:tc>
          <w:tcPr>
            <w:tcW w:w="0" w:type="auto"/>
          </w:tcPr>
          <w:p w14:paraId="1C130296"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248 (20.8)</w:t>
            </w:r>
          </w:p>
        </w:tc>
        <w:tc>
          <w:tcPr>
            <w:tcW w:w="0" w:type="auto"/>
            <w:vMerge/>
            <w:shd w:val="clear" w:color="auto" w:fill="E7E6E6" w:themeFill="background2"/>
          </w:tcPr>
          <w:p w14:paraId="2056FA07" w14:textId="77777777" w:rsidR="00B54D51" w:rsidRPr="00037AD4" w:rsidRDefault="00B54D51" w:rsidP="008F00F0">
            <w:pPr>
              <w:rPr>
                <w:rFonts w:asciiTheme="minorHAnsi" w:hAnsiTheme="minorHAnsi" w:cstheme="minorHAnsi"/>
              </w:rPr>
            </w:pPr>
          </w:p>
        </w:tc>
        <w:tc>
          <w:tcPr>
            <w:tcW w:w="0" w:type="auto"/>
          </w:tcPr>
          <w:p w14:paraId="43C2A799"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601 (76.5)</w:t>
            </w:r>
          </w:p>
        </w:tc>
        <w:tc>
          <w:tcPr>
            <w:tcW w:w="0" w:type="auto"/>
          </w:tcPr>
          <w:p w14:paraId="1DA4763F"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71 (19.7)</w:t>
            </w:r>
          </w:p>
        </w:tc>
        <w:tc>
          <w:tcPr>
            <w:tcW w:w="0" w:type="auto"/>
          </w:tcPr>
          <w:p w14:paraId="4959044F"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1065 (62.6)</w:t>
            </w:r>
          </w:p>
        </w:tc>
      </w:tr>
      <w:tr w:rsidR="00B54D51" w:rsidRPr="00037AD4" w14:paraId="49A3B984" w14:textId="77777777" w:rsidTr="008F00F0">
        <w:trPr>
          <w:trHeight w:val="187"/>
        </w:trPr>
        <w:tc>
          <w:tcPr>
            <w:tcW w:w="0" w:type="auto"/>
            <w:vMerge/>
          </w:tcPr>
          <w:p w14:paraId="6AFFD20C" w14:textId="77777777" w:rsidR="00B54D51" w:rsidRPr="00037AD4" w:rsidRDefault="00B54D51" w:rsidP="008F00F0">
            <w:pPr>
              <w:rPr>
                <w:rFonts w:asciiTheme="minorHAnsi" w:hAnsiTheme="minorHAnsi" w:cstheme="minorHAnsi"/>
              </w:rPr>
            </w:pPr>
          </w:p>
        </w:tc>
        <w:tc>
          <w:tcPr>
            <w:tcW w:w="0" w:type="auto"/>
          </w:tcPr>
          <w:p w14:paraId="732A14C3"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Slight problems (2)</w:t>
            </w:r>
          </w:p>
        </w:tc>
        <w:tc>
          <w:tcPr>
            <w:tcW w:w="0" w:type="auto"/>
          </w:tcPr>
          <w:p w14:paraId="306B672A"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251 (22.5)</w:t>
            </w:r>
          </w:p>
        </w:tc>
        <w:tc>
          <w:tcPr>
            <w:tcW w:w="0" w:type="auto"/>
          </w:tcPr>
          <w:p w14:paraId="23618682"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288 (24.1)</w:t>
            </w:r>
          </w:p>
        </w:tc>
        <w:tc>
          <w:tcPr>
            <w:tcW w:w="0" w:type="auto"/>
            <w:vMerge/>
            <w:shd w:val="clear" w:color="auto" w:fill="E7E6E6" w:themeFill="background2"/>
          </w:tcPr>
          <w:p w14:paraId="6F71F14E" w14:textId="77777777" w:rsidR="00B54D51" w:rsidRPr="00037AD4" w:rsidRDefault="00B54D51" w:rsidP="008F00F0">
            <w:pPr>
              <w:rPr>
                <w:rFonts w:asciiTheme="minorHAnsi" w:hAnsiTheme="minorHAnsi" w:cstheme="minorHAnsi"/>
              </w:rPr>
            </w:pPr>
          </w:p>
        </w:tc>
        <w:tc>
          <w:tcPr>
            <w:tcW w:w="0" w:type="auto"/>
          </w:tcPr>
          <w:p w14:paraId="01433381"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108 (13.8)</w:t>
            </w:r>
          </w:p>
        </w:tc>
        <w:tc>
          <w:tcPr>
            <w:tcW w:w="0" w:type="auto"/>
          </w:tcPr>
          <w:p w14:paraId="0A1B7A36"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26 (7.2)</w:t>
            </w:r>
          </w:p>
        </w:tc>
        <w:tc>
          <w:tcPr>
            <w:tcW w:w="0" w:type="auto"/>
          </w:tcPr>
          <w:p w14:paraId="5B2C32BF"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134 (7.9)</w:t>
            </w:r>
          </w:p>
        </w:tc>
      </w:tr>
      <w:tr w:rsidR="00B54D51" w:rsidRPr="00037AD4" w14:paraId="23A2AABD" w14:textId="77777777" w:rsidTr="008F00F0">
        <w:trPr>
          <w:trHeight w:val="200"/>
        </w:trPr>
        <w:tc>
          <w:tcPr>
            <w:tcW w:w="0" w:type="auto"/>
            <w:vMerge/>
          </w:tcPr>
          <w:p w14:paraId="2910E34F" w14:textId="77777777" w:rsidR="00B54D51" w:rsidRPr="00037AD4" w:rsidRDefault="00B54D51" w:rsidP="008F00F0">
            <w:pPr>
              <w:rPr>
                <w:rFonts w:asciiTheme="minorHAnsi" w:hAnsiTheme="minorHAnsi" w:cstheme="minorHAnsi"/>
              </w:rPr>
            </w:pPr>
          </w:p>
        </w:tc>
        <w:tc>
          <w:tcPr>
            <w:tcW w:w="0" w:type="auto"/>
          </w:tcPr>
          <w:p w14:paraId="07ED05D3"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Moderate problems (3)</w:t>
            </w:r>
          </w:p>
        </w:tc>
        <w:tc>
          <w:tcPr>
            <w:tcW w:w="0" w:type="auto"/>
          </w:tcPr>
          <w:p w14:paraId="2B052501"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138 (12.4)</w:t>
            </w:r>
          </w:p>
        </w:tc>
        <w:tc>
          <w:tcPr>
            <w:tcW w:w="0" w:type="auto"/>
          </w:tcPr>
          <w:p w14:paraId="7F69576C"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325 (27.3)</w:t>
            </w:r>
          </w:p>
        </w:tc>
        <w:tc>
          <w:tcPr>
            <w:tcW w:w="0" w:type="auto"/>
            <w:vMerge/>
            <w:shd w:val="clear" w:color="auto" w:fill="E7E6E6" w:themeFill="background2"/>
          </w:tcPr>
          <w:p w14:paraId="074BD60E" w14:textId="77777777" w:rsidR="00B54D51" w:rsidRPr="00037AD4" w:rsidRDefault="00B54D51" w:rsidP="008F00F0">
            <w:pPr>
              <w:rPr>
                <w:rFonts w:asciiTheme="minorHAnsi" w:hAnsiTheme="minorHAnsi" w:cstheme="minorHAnsi"/>
              </w:rPr>
            </w:pPr>
          </w:p>
        </w:tc>
        <w:tc>
          <w:tcPr>
            <w:tcW w:w="0" w:type="auto"/>
          </w:tcPr>
          <w:p w14:paraId="035F8878"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46 (5.9)</w:t>
            </w:r>
          </w:p>
        </w:tc>
        <w:tc>
          <w:tcPr>
            <w:tcW w:w="0" w:type="auto"/>
          </w:tcPr>
          <w:p w14:paraId="03030B9C"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46 (12.7)</w:t>
            </w:r>
          </w:p>
        </w:tc>
        <w:tc>
          <w:tcPr>
            <w:tcW w:w="0" w:type="auto"/>
          </w:tcPr>
          <w:p w14:paraId="26E11300"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164 (9.6)</w:t>
            </w:r>
          </w:p>
        </w:tc>
      </w:tr>
      <w:tr w:rsidR="00B54D51" w:rsidRPr="00037AD4" w14:paraId="65B2196B" w14:textId="77777777" w:rsidTr="008F00F0">
        <w:trPr>
          <w:trHeight w:val="200"/>
        </w:trPr>
        <w:tc>
          <w:tcPr>
            <w:tcW w:w="0" w:type="auto"/>
            <w:vMerge/>
          </w:tcPr>
          <w:p w14:paraId="327CE6EF" w14:textId="77777777" w:rsidR="00B54D51" w:rsidRPr="00037AD4" w:rsidRDefault="00B54D51" w:rsidP="008F00F0">
            <w:pPr>
              <w:rPr>
                <w:rFonts w:asciiTheme="minorHAnsi" w:hAnsiTheme="minorHAnsi" w:cstheme="minorHAnsi"/>
              </w:rPr>
            </w:pPr>
          </w:p>
        </w:tc>
        <w:tc>
          <w:tcPr>
            <w:tcW w:w="0" w:type="auto"/>
          </w:tcPr>
          <w:p w14:paraId="7CB4233B"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Severe problems (4)</w:t>
            </w:r>
          </w:p>
        </w:tc>
        <w:tc>
          <w:tcPr>
            <w:tcW w:w="0" w:type="auto"/>
          </w:tcPr>
          <w:p w14:paraId="25B8886B"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59 (5.3)</w:t>
            </w:r>
          </w:p>
        </w:tc>
        <w:tc>
          <w:tcPr>
            <w:tcW w:w="0" w:type="auto"/>
          </w:tcPr>
          <w:p w14:paraId="33563F9F"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219 (18.4)</w:t>
            </w:r>
          </w:p>
        </w:tc>
        <w:tc>
          <w:tcPr>
            <w:tcW w:w="0" w:type="auto"/>
            <w:vMerge/>
            <w:shd w:val="clear" w:color="auto" w:fill="E7E6E6" w:themeFill="background2"/>
          </w:tcPr>
          <w:p w14:paraId="0ED38CEF" w14:textId="77777777" w:rsidR="00B54D51" w:rsidRPr="00037AD4" w:rsidRDefault="00B54D51" w:rsidP="008F00F0">
            <w:pPr>
              <w:rPr>
                <w:rFonts w:asciiTheme="minorHAnsi" w:hAnsiTheme="minorHAnsi" w:cstheme="minorHAnsi"/>
              </w:rPr>
            </w:pPr>
          </w:p>
        </w:tc>
        <w:tc>
          <w:tcPr>
            <w:tcW w:w="0" w:type="auto"/>
          </w:tcPr>
          <w:p w14:paraId="64D25BF4"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11 (1.4)</w:t>
            </w:r>
          </w:p>
        </w:tc>
        <w:tc>
          <w:tcPr>
            <w:tcW w:w="0" w:type="auto"/>
          </w:tcPr>
          <w:p w14:paraId="751E8324"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42 (11.9)</w:t>
            </w:r>
          </w:p>
        </w:tc>
        <w:tc>
          <w:tcPr>
            <w:tcW w:w="0" w:type="auto"/>
          </w:tcPr>
          <w:p w14:paraId="2E9A04AC"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76 (4.5)</w:t>
            </w:r>
          </w:p>
        </w:tc>
      </w:tr>
      <w:tr w:rsidR="00B54D51" w:rsidRPr="00037AD4" w14:paraId="2C6B99B0" w14:textId="77777777" w:rsidTr="008F00F0">
        <w:trPr>
          <w:trHeight w:val="187"/>
        </w:trPr>
        <w:tc>
          <w:tcPr>
            <w:tcW w:w="0" w:type="auto"/>
            <w:vMerge/>
          </w:tcPr>
          <w:p w14:paraId="7C85FD07" w14:textId="77777777" w:rsidR="00B54D51" w:rsidRPr="00037AD4" w:rsidRDefault="00B54D51" w:rsidP="008F00F0">
            <w:pPr>
              <w:rPr>
                <w:rFonts w:asciiTheme="minorHAnsi" w:hAnsiTheme="minorHAnsi" w:cstheme="minorHAnsi"/>
              </w:rPr>
            </w:pPr>
          </w:p>
        </w:tc>
        <w:tc>
          <w:tcPr>
            <w:tcW w:w="0" w:type="auto"/>
          </w:tcPr>
          <w:p w14:paraId="3B48E99C"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Unable to do UA (5)</w:t>
            </w:r>
          </w:p>
        </w:tc>
        <w:tc>
          <w:tcPr>
            <w:tcW w:w="0" w:type="auto"/>
          </w:tcPr>
          <w:p w14:paraId="7736C715"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21 (1.9)</w:t>
            </w:r>
          </w:p>
        </w:tc>
        <w:tc>
          <w:tcPr>
            <w:tcW w:w="0" w:type="auto"/>
          </w:tcPr>
          <w:p w14:paraId="0B80606D"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112 (9.4)</w:t>
            </w:r>
          </w:p>
        </w:tc>
        <w:tc>
          <w:tcPr>
            <w:tcW w:w="0" w:type="auto"/>
            <w:vMerge/>
            <w:shd w:val="clear" w:color="auto" w:fill="E7E6E6" w:themeFill="background2"/>
          </w:tcPr>
          <w:p w14:paraId="56FFE95F" w14:textId="77777777" w:rsidR="00B54D51" w:rsidRPr="00037AD4" w:rsidRDefault="00B54D51" w:rsidP="008F00F0">
            <w:pPr>
              <w:rPr>
                <w:rFonts w:asciiTheme="minorHAnsi" w:hAnsiTheme="minorHAnsi" w:cstheme="minorHAnsi"/>
              </w:rPr>
            </w:pPr>
          </w:p>
        </w:tc>
        <w:tc>
          <w:tcPr>
            <w:tcW w:w="0" w:type="auto"/>
          </w:tcPr>
          <w:p w14:paraId="32A8CF0F"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19 (2.4)</w:t>
            </w:r>
          </w:p>
        </w:tc>
        <w:tc>
          <w:tcPr>
            <w:tcW w:w="0" w:type="auto"/>
          </w:tcPr>
          <w:p w14:paraId="111C3B5C"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175 (48.5)</w:t>
            </w:r>
          </w:p>
        </w:tc>
        <w:tc>
          <w:tcPr>
            <w:tcW w:w="0" w:type="auto"/>
          </w:tcPr>
          <w:p w14:paraId="031DE1C9"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262 (15.4)</w:t>
            </w:r>
          </w:p>
        </w:tc>
      </w:tr>
      <w:tr w:rsidR="00B54D51" w:rsidRPr="00037AD4" w14:paraId="5D1FADAE" w14:textId="77777777" w:rsidTr="008F00F0">
        <w:trPr>
          <w:trHeight w:val="200"/>
        </w:trPr>
        <w:tc>
          <w:tcPr>
            <w:tcW w:w="0" w:type="auto"/>
            <w:vMerge w:val="restart"/>
          </w:tcPr>
          <w:p w14:paraId="36F3BB39"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lastRenderedPageBreak/>
              <w:t>Pain/discomfort</w:t>
            </w:r>
          </w:p>
        </w:tc>
        <w:tc>
          <w:tcPr>
            <w:tcW w:w="0" w:type="auto"/>
          </w:tcPr>
          <w:p w14:paraId="3F6252B9"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No P/D (1)</w:t>
            </w:r>
          </w:p>
        </w:tc>
        <w:tc>
          <w:tcPr>
            <w:tcW w:w="0" w:type="auto"/>
          </w:tcPr>
          <w:p w14:paraId="3A0C54F4"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647 (57.2)</w:t>
            </w:r>
          </w:p>
        </w:tc>
        <w:tc>
          <w:tcPr>
            <w:tcW w:w="0" w:type="auto"/>
          </w:tcPr>
          <w:p w14:paraId="0623F501"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439 (36.9)</w:t>
            </w:r>
          </w:p>
        </w:tc>
        <w:tc>
          <w:tcPr>
            <w:tcW w:w="0" w:type="auto"/>
            <w:vMerge/>
            <w:shd w:val="clear" w:color="auto" w:fill="E7E6E6" w:themeFill="background2"/>
          </w:tcPr>
          <w:p w14:paraId="2C7ACB1B" w14:textId="77777777" w:rsidR="00B54D51" w:rsidRPr="00037AD4" w:rsidRDefault="00B54D51" w:rsidP="008F00F0">
            <w:pPr>
              <w:rPr>
                <w:rFonts w:asciiTheme="minorHAnsi" w:hAnsiTheme="minorHAnsi" w:cstheme="minorHAnsi"/>
              </w:rPr>
            </w:pPr>
          </w:p>
        </w:tc>
        <w:tc>
          <w:tcPr>
            <w:tcW w:w="0" w:type="auto"/>
          </w:tcPr>
          <w:p w14:paraId="7DCE96EF"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579 (71.9)</w:t>
            </w:r>
          </w:p>
        </w:tc>
        <w:tc>
          <w:tcPr>
            <w:tcW w:w="0" w:type="auto"/>
          </w:tcPr>
          <w:p w14:paraId="79813DA4"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159 (43.9)</w:t>
            </w:r>
          </w:p>
        </w:tc>
        <w:tc>
          <w:tcPr>
            <w:tcW w:w="0" w:type="auto"/>
          </w:tcPr>
          <w:p w14:paraId="6E26AF4A"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1263 (74.3)</w:t>
            </w:r>
          </w:p>
        </w:tc>
      </w:tr>
      <w:tr w:rsidR="00B54D51" w:rsidRPr="00037AD4" w14:paraId="0A96AE0A" w14:textId="77777777" w:rsidTr="008F00F0">
        <w:trPr>
          <w:trHeight w:val="187"/>
        </w:trPr>
        <w:tc>
          <w:tcPr>
            <w:tcW w:w="0" w:type="auto"/>
            <w:vMerge/>
          </w:tcPr>
          <w:p w14:paraId="2356D989" w14:textId="77777777" w:rsidR="00B54D51" w:rsidRPr="00037AD4" w:rsidRDefault="00B54D51" w:rsidP="008F00F0">
            <w:pPr>
              <w:rPr>
                <w:rFonts w:asciiTheme="minorHAnsi" w:hAnsiTheme="minorHAnsi" w:cstheme="minorHAnsi"/>
              </w:rPr>
            </w:pPr>
          </w:p>
        </w:tc>
        <w:tc>
          <w:tcPr>
            <w:tcW w:w="0" w:type="auto"/>
          </w:tcPr>
          <w:p w14:paraId="55E410C5"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Slight P/D (2)</w:t>
            </w:r>
          </w:p>
        </w:tc>
        <w:tc>
          <w:tcPr>
            <w:tcW w:w="0" w:type="auto"/>
          </w:tcPr>
          <w:p w14:paraId="296431A8"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262 (23.1)</w:t>
            </w:r>
          </w:p>
        </w:tc>
        <w:tc>
          <w:tcPr>
            <w:tcW w:w="0" w:type="auto"/>
          </w:tcPr>
          <w:p w14:paraId="03D1B694"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380 (31.9)</w:t>
            </w:r>
          </w:p>
        </w:tc>
        <w:tc>
          <w:tcPr>
            <w:tcW w:w="0" w:type="auto"/>
            <w:vMerge/>
            <w:shd w:val="clear" w:color="auto" w:fill="E7E6E6" w:themeFill="background2"/>
          </w:tcPr>
          <w:p w14:paraId="1F55F641" w14:textId="77777777" w:rsidR="00B54D51" w:rsidRPr="00037AD4" w:rsidRDefault="00B54D51" w:rsidP="008F00F0">
            <w:pPr>
              <w:rPr>
                <w:rFonts w:asciiTheme="minorHAnsi" w:hAnsiTheme="minorHAnsi" w:cstheme="minorHAnsi"/>
              </w:rPr>
            </w:pPr>
          </w:p>
        </w:tc>
        <w:tc>
          <w:tcPr>
            <w:tcW w:w="0" w:type="auto"/>
          </w:tcPr>
          <w:p w14:paraId="3FD4CEB7"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139 (17.3)</w:t>
            </w:r>
          </w:p>
        </w:tc>
        <w:tc>
          <w:tcPr>
            <w:tcW w:w="0" w:type="auto"/>
          </w:tcPr>
          <w:p w14:paraId="620B17AC"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118 (32.6)</w:t>
            </w:r>
          </w:p>
        </w:tc>
        <w:tc>
          <w:tcPr>
            <w:tcW w:w="0" w:type="auto"/>
          </w:tcPr>
          <w:p w14:paraId="5E980F7A"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264 (15.5)</w:t>
            </w:r>
          </w:p>
        </w:tc>
      </w:tr>
      <w:tr w:rsidR="00B54D51" w:rsidRPr="00037AD4" w14:paraId="1A0C196D" w14:textId="77777777" w:rsidTr="008F00F0">
        <w:trPr>
          <w:trHeight w:val="200"/>
        </w:trPr>
        <w:tc>
          <w:tcPr>
            <w:tcW w:w="0" w:type="auto"/>
            <w:vMerge/>
          </w:tcPr>
          <w:p w14:paraId="519F6CA1" w14:textId="77777777" w:rsidR="00B54D51" w:rsidRPr="00037AD4" w:rsidRDefault="00B54D51" w:rsidP="008F00F0">
            <w:pPr>
              <w:rPr>
                <w:rFonts w:asciiTheme="minorHAnsi" w:hAnsiTheme="minorHAnsi" w:cstheme="minorHAnsi"/>
              </w:rPr>
            </w:pPr>
          </w:p>
        </w:tc>
        <w:tc>
          <w:tcPr>
            <w:tcW w:w="0" w:type="auto"/>
          </w:tcPr>
          <w:p w14:paraId="6C1742C3"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Moderate P/D (3)</w:t>
            </w:r>
          </w:p>
        </w:tc>
        <w:tc>
          <w:tcPr>
            <w:tcW w:w="0" w:type="auto"/>
          </w:tcPr>
          <w:p w14:paraId="536930B8"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172 (15.2)</w:t>
            </w:r>
          </w:p>
        </w:tc>
        <w:tc>
          <w:tcPr>
            <w:tcW w:w="0" w:type="auto"/>
          </w:tcPr>
          <w:p w14:paraId="057EE2AE"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295 (24.8)</w:t>
            </w:r>
          </w:p>
        </w:tc>
        <w:tc>
          <w:tcPr>
            <w:tcW w:w="0" w:type="auto"/>
            <w:vMerge/>
            <w:shd w:val="clear" w:color="auto" w:fill="E7E6E6" w:themeFill="background2"/>
          </w:tcPr>
          <w:p w14:paraId="6FCAECE6" w14:textId="77777777" w:rsidR="00B54D51" w:rsidRPr="00037AD4" w:rsidRDefault="00B54D51" w:rsidP="008F00F0">
            <w:pPr>
              <w:rPr>
                <w:rFonts w:asciiTheme="minorHAnsi" w:hAnsiTheme="minorHAnsi" w:cstheme="minorHAnsi"/>
              </w:rPr>
            </w:pPr>
          </w:p>
        </w:tc>
        <w:tc>
          <w:tcPr>
            <w:tcW w:w="0" w:type="auto"/>
          </w:tcPr>
          <w:p w14:paraId="56EF1C87"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57 (7.1)</w:t>
            </w:r>
          </w:p>
        </w:tc>
        <w:tc>
          <w:tcPr>
            <w:tcW w:w="0" w:type="auto"/>
          </w:tcPr>
          <w:p w14:paraId="2E265351"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70 (19.3)</w:t>
            </w:r>
          </w:p>
        </w:tc>
        <w:tc>
          <w:tcPr>
            <w:tcW w:w="0" w:type="auto"/>
          </w:tcPr>
          <w:p w14:paraId="0F570FF6"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149 (8.8)</w:t>
            </w:r>
          </w:p>
        </w:tc>
      </w:tr>
      <w:tr w:rsidR="00B54D51" w:rsidRPr="00037AD4" w14:paraId="03D27E11" w14:textId="77777777" w:rsidTr="008F00F0">
        <w:trPr>
          <w:trHeight w:val="200"/>
        </w:trPr>
        <w:tc>
          <w:tcPr>
            <w:tcW w:w="0" w:type="auto"/>
            <w:vMerge/>
          </w:tcPr>
          <w:p w14:paraId="5D3821E5" w14:textId="77777777" w:rsidR="00B54D51" w:rsidRPr="00037AD4" w:rsidRDefault="00B54D51" w:rsidP="008F00F0">
            <w:pPr>
              <w:rPr>
                <w:rFonts w:asciiTheme="minorHAnsi" w:hAnsiTheme="minorHAnsi" w:cstheme="minorHAnsi"/>
              </w:rPr>
            </w:pPr>
          </w:p>
        </w:tc>
        <w:tc>
          <w:tcPr>
            <w:tcW w:w="0" w:type="auto"/>
          </w:tcPr>
          <w:p w14:paraId="4D7929FA"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Severe P/D (4)</w:t>
            </w:r>
          </w:p>
        </w:tc>
        <w:tc>
          <w:tcPr>
            <w:tcW w:w="0" w:type="auto"/>
          </w:tcPr>
          <w:p w14:paraId="3C4C4937"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44 (3.9)</w:t>
            </w:r>
          </w:p>
        </w:tc>
        <w:tc>
          <w:tcPr>
            <w:tcW w:w="0" w:type="auto"/>
          </w:tcPr>
          <w:p w14:paraId="55A1A450"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66 (5.5)</w:t>
            </w:r>
          </w:p>
        </w:tc>
        <w:tc>
          <w:tcPr>
            <w:tcW w:w="0" w:type="auto"/>
            <w:vMerge/>
            <w:shd w:val="clear" w:color="auto" w:fill="E7E6E6" w:themeFill="background2"/>
          </w:tcPr>
          <w:p w14:paraId="35296908" w14:textId="77777777" w:rsidR="00B54D51" w:rsidRPr="00037AD4" w:rsidRDefault="00B54D51" w:rsidP="008F00F0">
            <w:pPr>
              <w:rPr>
                <w:rFonts w:asciiTheme="minorHAnsi" w:hAnsiTheme="minorHAnsi" w:cstheme="minorHAnsi"/>
              </w:rPr>
            </w:pPr>
          </w:p>
        </w:tc>
        <w:tc>
          <w:tcPr>
            <w:tcW w:w="0" w:type="auto"/>
          </w:tcPr>
          <w:p w14:paraId="10AF14D3"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27 (3.3)</w:t>
            </w:r>
          </w:p>
        </w:tc>
        <w:tc>
          <w:tcPr>
            <w:tcW w:w="0" w:type="auto"/>
          </w:tcPr>
          <w:p w14:paraId="27BEAFFB"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9 (2.5)</w:t>
            </w:r>
          </w:p>
        </w:tc>
        <w:tc>
          <w:tcPr>
            <w:tcW w:w="0" w:type="auto"/>
          </w:tcPr>
          <w:p w14:paraId="5971F50B"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20 (1.2)</w:t>
            </w:r>
          </w:p>
        </w:tc>
      </w:tr>
      <w:tr w:rsidR="00B54D51" w:rsidRPr="00037AD4" w14:paraId="2953BFBB" w14:textId="77777777" w:rsidTr="008F00F0">
        <w:trPr>
          <w:trHeight w:val="187"/>
        </w:trPr>
        <w:tc>
          <w:tcPr>
            <w:tcW w:w="0" w:type="auto"/>
            <w:vMerge/>
          </w:tcPr>
          <w:p w14:paraId="3D3B0833" w14:textId="77777777" w:rsidR="00B54D51" w:rsidRPr="00037AD4" w:rsidRDefault="00B54D51" w:rsidP="008F00F0">
            <w:pPr>
              <w:rPr>
                <w:rFonts w:asciiTheme="minorHAnsi" w:hAnsiTheme="minorHAnsi" w:cstheme="minorHAnsi"/>
              </w:rPr>
            </w:pPr>
          </w:p>
        </w:tc>
        <w:tc>
          <w:tcPr>
            <w:tcW w:w="0" w:type="auto"/>
          </w:tcPr>
          <w:p w14:paraId="1CB664F2"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Extreme P/D (5)</w:t>
            </w:r>
          </w:p>
        </w:tc>
        <w:tc>
          <w:tcPr>
            <w:tcW w:w="0" w:type="auto"/>
          </w:tcPr>
          <w:p w14:paraId="1C4B5848"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7 (0.6)</w:t>
            </w:r>
          </w:p>
        </w:tc>
        <w:tc>
          <w:tcPr>
            <w:tcW w:w="0" w:type="auto"/>
          </w:tcPr>
          <w:p w14:paraId="118676C2"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11 (0.9)</w:t>
            </w:r>
          </w:p>
        </w:tc>
        <w:tc>
          <w:tcPr>
            <w:tcW w:w="0" w:type="auto"/>
            <w:vMerge/>
            <w:shd w:val="clear" w:color="auto" w:fill="E7E6E6" w:themeFill="background2"/>
          </w:tcPr>
          <w:p w14:paraId="6E86B795" w14:textId="77777777" w:rsidR="00B54D51" w:rsidRPr="00037AD4" w:rsidRDefault="00B54D51" w:rsidP="008F00F0">
            <w:pPr>
              <w:rPr>
                <w:rFonts w:asciiTheme="minorHAnsi" w:hAnsiTheme="minorHAnsi" w:cstheme="minorHAnsi"/>
              </w:rPr>
            </w:pPr>
          </w:p>
        </w:tc>
        <w:tc>
          <w:tcPr>
            <w:tcW w:w="0" w:type="auto"/>
          </w:tcPr>
          <w:p w14:paraId="413DB76E"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3 (0.4)</w:t>
            </w:r>
          </w:p>
        </w:tc>
        <w:tc>
          <w:tcPr>
            <w:tcW w:w="0" w:type="auto"/>
          </w:tcPr>
          <w:p w14:paraId="77B2CACD"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6 (1.7) </w:t>
            </w:r>
          </w:p>
        </w:tc>
        <w:tc>
          <w:tcPr>
            <w:tcW w:w="0" w:type="auto"/>
          </w:tcPr>
          <w:p w14:paraId="211B247E"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4 (0.2)</w:t>
            </w:r>
          </w:p>
        </w:tc>
      </w:tr>
      <w:tr w:rsidR="00B54D51" w:rsidRPr="00037AD4" w14:paraId="03C9978E" w14:textId="77777777" w:rsidTr="008F00F0">
        <w:trPr>
          <w:trHeight w:val="200"/>
        </w:trPr>
        <w:tc>
          <w:tcPr>
            <w:tcW w:w="0" w:type="auto"/>
            <w:vMerge w:val="restart"/>
          </w:tcPr>
          <w:p w14:paraId="0CEF2721"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Anxiety/depression</w:t>
            </w:r>
          </w:p>
        </w:tc>
        <w:tc>
          <w:tcPr>
            <w:tcW w:w="0" w:type="auto"/>
          </w:tcPr>
          <w:p w14:paraId="4DBCC752"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No A/D (1)</w:t>
            </w:r>
          </w:p>
        </w:tc>
        <w:tc>
          <w:tcPr>
            <w:tcW w:w="0" w:type="auto"/>
          </w:tcPr>
          <w:p w14:paraId="5E3786AE"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673 (59.5)</w:t>
            </w:r>
          </w:p>
        </w:tc>
        <w:tc>
          <w:tcPr>
            <w:tcW w:w="0" w:type="auto"/>
          </w:tcPr>
          <w:p w14:paraId="13369EA6"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457 (38.5)</w:t>
            </w:r>
          </w:p>
        </w:tc>
        <w:tc>
          <w:tcPr>
            <w:tcW w:w="0" w:type="auto"/>
            <w:vMerge/>
            <w:shd w:val="clear" w:color="auto" w:fill="E7E6E6" w:themeFill="background2"/>
          </w:tcPr>
          <w:p w14:paraId="31710D30" w14:textId="77777777" w:rsidR="00B54D51" w:rsidRPr="00037AD4" w:rsidRDefault="00B54D51" w:rsidP="008F00F0">
            <w:pPr>
              <w:rPr>
                <w:rFonts w:asciiTheme="minorHAnsi" w:hAnsiTheme="minorHAnsi" w:cstheme="minorHAnsi"/>
              </w:rPr>
            </w:pPr>
          </w:p>
        </w:tc>
        <w:tc>
          <w:tcPr>
            <w:tcW w:w="0" w:type="auto"/>
          </w:tcPr>
          <w:p w14:paraId="5913BDD5"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614 (77.5)</w:t>
            </w:r>
          </w:p>
        </w:tc>
        <w:tc>
          <w:tcPr>
            <w:tcW w:w="0" w:type="auto"/>
          </w:tcPr>
          <w:p w14:paraId="65667496"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182 (50.0)</w:t>
            </w:r>
          </w:p>
        </w:tc>
        <w:tc>
          <w:tcPr>
            <w:tcW w:w="0" w:type="auto"/>
          </w:tcPr>
          <w:p w14:paraId="26938106"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1286 (75.7)</w:t>
            </w:r>
          </w:p>
        </w:tc>
      </w:tr>
      <w:tr w:rsidR="00B54D51" w:rsidRPr="00037AD4" w14:paraId="6B7AEC51" w14:textId="77777777" w:rsidTr="008F00F0">
        <w:trPr>
          <w:trHeight w:val="187"/>
        </w:trPr>
        <w:tc>
          <w:tcPr>
            <w:tcW w:w="0" w:type="auto"/>
            <w:vMerge/>
          </w:tcPr>
          <w:p w14:paraId="67C7C3ED" w14:textId="77777777" w:rsidR="00B54D51" w:rsidRPr="00037AD4" w:rsidRDefault="00B54D51" w:rsidP="008F00F0">
            <w:pPr>
              <w:rPr>
                <w:rFonts w:asciiTheme="minorHAnsi" w:hAnsiTheme="minorHAnsi" w:cstheme="minorHAnsi"/>
              </w:rPr>
            </w:pPr>
          </w:p>
        </w:tc>
        <w:tc>
          <w:tcPr>
            <w:tcW w:w="0" w:type="auto"/>
          </w:tcPr>
          <w:p w14:paraId="75B454C7"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Slight A/D (2)</w:t>
            </w:r>
          </w:p>
        </w:tc>
        <w:tc>
          <w:tcPr>
            <w:tcW w:w="0" w:type="auto"/>
          </w:tcPr>
          <w:p w14:paraId="222555E6"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299 (26.4)</w:t>
            </w:r>
          </w:p>
        </w:tc>
        <w:tc>
          <w:tcPr>
            <w:tcW w:w="0" w:type="auto"/>
          </w:tcPr>
          <w:p w14:paraId="0D5D18EC"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344 (29.0)</w:t>
            </w:r>
          </w:p>
        </w:tc>
        <w:tc>
          <w:tcPr>
            <w:tcW w:w="0" w:type="auto"/>
            <w:vMerge/>
            <w:shd w:val="clear" w:color="auto" w:fill="E7E6E6" w:themeFill="background2"/>
          </w:tcPr>
          <w:p w14:paraId="4791CA55" w14:textId="77777777" w:rsidR="00B54D51" w:rsidRPr="00037AD4" w:rsidRDefault="00B54D51" w:rsidP="008F00F0">
            <w:pPr>
              <w:rPr>
                <w:rFonts w:asciiTheme="minorHAnsi" w:hAnsiTheme="minorHAnsi" w:cstheme="minorHAnsi"/>
              </w:rPr>
            </w:pPr>
          </w:p>
        </w:tc>
        <w:tc>
          <w:tcPr>
            <w:tcW w:w="0" w:type="auto"/>
          </w:tcPr>
          <w:p w14:paraId="3F0C0C59"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117 (14.8)</w:t>
            </w:r>
          </w:p>
        </w:tc>
        <w:tc>
          <w:tcPr>
            <w:tcW w:w="0" w:type="auto"/>
          </w:tcPr>
          <w:p w14:paraId="4C429AA2"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81 (22.3)</w:t>
            </w:r>
          </w:p>
        </w:tc>
        <w:tc>
          <w:tcPr>
            <w:tcW w:w="0" w:type="auto"/>
          </w:tcPr>
          <w:p w14:paraId="32330CB3"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266 (15.7)</w:t>
            </w:r>
          </w:p>
        </w:tc>
      </w:tr>
      <w:tr w:rsidR="00B54D51" w:rsidRPr="00037AD4" w14:paraId="196FD4DE" w14:textId="77777777" w:rsidTr="008F00F0">
        <w:trPr>
          <w:trHeight w:val="200"/>
        </w:trPr>
        <w:tc>
          <w:tcPr>
            <w:tcW w:w="0" w:type="auto"/>
            <w:vMerge/>
          </w:tcPr>
          <w:p w14:paraId="65C8CF97" w14:textId="77777777" w:rsidR="00B54D51" w:rsidRPr="00037AD4" w:rsidRDefault="00B54D51" w:rsidP="008F00F0">
            <w:pPr>
              <w:rPr>
                <w:rFonts w:asciiTheme="minorHAnsi" w:hAnsiTheme="minorHAnsi" w:cstheme="minorHAnsi"/>
              </w:rPr>
            </w:pPr>
          </w:p>
        </w:tc>
        <w:tc>
          <w:tcPr>
            <w:tcW w:w="0" w:type="auto"/>
          </w:tcPr>
          <w:p w14:paraId="63D0D0E9"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Moderate A/D (3)</w:t>
            </w:r>
          </w:p>
        </w:tc>
        <w:tc>
          <w:tcPr>
            <w:tcW w:w="0" w:type="auto"/>
          </w:tcPr>
          <w:p w14:paraId="5CEB5A8D"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131 (11.6)</w:t>
            </w:r>
          </w:p>
        </w:tc>
        <w:tc>
          <w:tcPr>
            <w:tcW w:w="0" w:type="auto"/>
          </w:tcPr>
          <w:p w14:paraId="4BFDC03E"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301 (25.4)</w:t>
            </w:r>
          </w:p>
        </w:tc>
        <w:tc>
          <w:tcPr>
            <w:tcW w:w="0" w:type="auto"/>
            <w:vMerge/>
            <w:shd w:val="clear" w:color="auto" w:fill="E7E6E6" w:themeFill="background2"/>
          </w:tcPr>
          <w:p w14:paraId="60C4EF60" w14:textId="77777777" w:rsidR="00B54D51" w:rsidRPr="00037AD4" w:rsidRDefault="00B54D51" w:rsidP="008F00F0">
            <w:pPr>
              <w:rPr>
                <w:rFonts w:asciiTheme="minorHAnsi" w:hAnsiTheme="minorHAnsi" w:cstheme="minorHAnsi"/>
              </w:rPr>
            </w:pPr>
          </w:p>
        </w:tc>
        <w:tc>
          <w:tcPr>
            <w:tcW w:w="0" w:type="auto"/>
          </w:tcPr>
          <w:p w14:paraId="7E202271"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45 (5.7)</w:t>
            </w:r>
          </w:p>
        </w:tc>
        <w:tc>
          <w:tcPr>
            <w:tcW w:w="0" w:type="auto"/>
          </w:tcPr>
          <w:p w14:paraId="31D650D2"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79 (21.7)</w:t>
            </w:r>
          </w:p>
        </w:tc>
        <w:tc>
          <w:tcPr>
            <w:tcW w:w="0" w:type="auto"/>
          </w:tcPr>
          <w:p w14:paraId="05E7673A"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114 (6.7)</w:t>
            </w:r>
          </w:p>
        </w:tc>
      </w:tr>
      <w:tr w:rsidR="00B54D51" w:rsidRPr="00037AD4" w14:paraId="2EEB81F1" w14:textId="77777777" w:rsidTr="008F00F0">
        <w:trPr>
          <w:trHeight w:val="200"/>
        </w:trPr>
        <w:tc>
          <w:tcPr>
            <w:tcW w:w="0" w:type="auto"/>
            <w:vMerge/>
          </w:tcPr>
          <w:p w14:paraId="72461659" w14:textId="77777777" w:rsidR="00B54D51" w:rsidRPr="00037AD4" w:rsidRDefault="00B54D51" w:rsidP="008F00F0">
            <w:pPr>
              <w:rPr>
                <w:rFonts w:asciiTheme="minorHAnsi" w:hAnsiTheme="minorHAnsi" w:cstheme="minorHAnsi"/>
              </w:rPr>
            </w:pPr>
          </w:p>
        </w:tc>
        <w:tc>
          <w:tcPr>
            <w:tcW w:w="0" w:type="auto"/>
          </w:tcPr>
          <w:p w14:paraId="05D43C09"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Severe A/D (4)</w:t>
            </w:r>
          </w:p>
        </w:tc>
        <w:tc>
          <w:tcPr>
            <w:tcW w:w="0" w:type="auto"/>
          </w:tcPr>
          <w:p w14:paraId="3A0FE7BB"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25 (2.2)</w:t>
            </w:r>
          </w:p>
        </w:tc>
        <w:tc>
          <w:tcPr>
            <w:tcW w:w="0" w:type="auto"/>
          </w:tcPr>
          <w:p w14:paraId="0F39CF32"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60 (6.7)</w:t>
            </w:r>
          </w:p>
        </w:tc>
        <w:tc>
          <w:tcPr>
            <w:tcW w:w="0" w:type="auto"/>
            <w:vMerge/>
            <w:shd w:val="clear" w:color="auto" w:fill="E7E6E6" w:themeFill="background2"/>
          </w:tcPr>
          <w:p w14:paraId="37CE77F9" w14:textId="77777777" w:rsidR="00B54D51" w:rsidRPr="00037AD4" w:rsidRDefault="00B54D51" w:rsidP="008F00F0">
            <w:pPr>
              <w:rPr>
                <w:rFonts w:asciiTheme="minorHAnsi" w:hAnsiTheme="minorHAnsi" w:cstheme="minorHAnsi"/>
              </w:rPr>
            </w:pPr>
          </w:p>
        </w:tc>
        <w:tc>
          <w:tcPr>
            <w:tcW w:w="0" w:type="auto"/>
          </w:tcPr>
          <w:p w14:paraId="06DD57E3"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11 (1.4)</w:t>
            </w:r>
          </w:p>
        </w:tc>
        <w:tc>
          <w:tcPr>
            <w:tcW w:w="0" w:type="auto"/>
          </w:tcPr>
          <w:p w14:paraId="74815D6D"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14 (3.8)</w:t>
            </w:r>
          </w:p>
        </w:tc>
        <w:tc>
          <w:tcPr>
            <w:tcW w:w="0" w:type="auto"/>
          </w:tcPr>
          <w:p w14:paraId="21EA271F"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27 (1.6)</w:t>
            </w:r>
          </w:p>
        </w:tc>
      </w:tr>
      <w:tr w:rsidR="00B54D51" w:rsidRPr="00037AD4" w14:paraId="1EAC0CBB" w14:textId="77777777" w:rsidTr="008F00F0">
        <w:trPr>
          <w:trHeight w:val="187"/>
        </w:trPr>
        <w:tc>
          <w:tcPr>
            <w:tcW w:w="0" w:type="auto"/>
            <w:vMerge/>
          </w:tcPr>
          <w:p w14:paraId="1BE4BE70" w14:textId="77777777" w:rsidR="00B54D51" w:rsidRPr="00037AD4" w:rsidRDefault="00B54D51" w:rsidP="008F00F0">
            <w:pPr>
              <w:rPr>
                <w:rFonts w:asciiTheme="minorHAnsi" w:hAnsiTheme="minorHAnsi" w:cstheme="minorHAnsi"/>
              </w:rPr>
            </w:pPr>
          </w:p>
        </w:tc>
        <w:tc>
          <w:tcPr>
            <w:tcW w:w="0" w:type="auto"/>
          </w:tcPr>
          <w:p w14:paraId="316A97E5"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Extreme A/D (5)</w:t>
            </w:r>
          </w:p>
        </w:tc>
        <w:tc>
          <w:tcPr>
            <w:tcW w:w="0" w:type="auto"/>
          </w:tcPr>
          <w:p w14:paraId="6151F16C"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3 (0.3) </w:t>
            </w:r>
          </w:p>
        </w:tc>
        <w:tc>
          <w:tcPr>
            <w:tcW w:w="0" w:type="auto"/>
          </w:tcPr>
          <w:p w14:paraId="1FA7B625"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5 (0.4)</w:t>
            </w:r>
          </w:p>
        </w:tc>
        <w:tc>
          <w:tcPr>
            <w:tcW w:w="0" w:type="auto"/>
            <w:vMerge/>
            <w:shd w:val="clear" w:color="auto" w:fill="E7E6E6" w:themeFill="background2"/>
          </w:tcPr>
          <w:p w14:paraId="0003713A" w14:textId="77777777" w:rsidR="00B54D51" w:rsidRPr="00037AD4" w:rsidRDefault="00B54D51" w:rsidP="008F00F0">
            <w:pPr>
              <w:rPr>
                <w:rFonts w:asciiTheme="minorHAnsi" w:hAnsiTheme="minorHAnsi" w:cstheme="minorHAnsi"/>
              </w:rPr>
            </w:pPr>
          </w:p>
        </w:tc>
        <w:tc>
          <w:tcPr>
            <w:tcW w:w="0" w:type="auto"/>
          </w:tcPr>
          <w:p w14:paraId="1F1B71FF"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5 (0.6)</w:t>
            </w:r>
          </w:p>
        </w:tc>
        <w:tc>
          <w:tcPr>
            <w:tcW w:w="0" w:type="auto"/>
          </w:tcPr>
          <w:p w14:paraId="7AF118C1"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8 (2.2)</w:t>
            </w:r>
          </w:p>
        </w:tc>
        <w:tc>
          <w:tcPr>
            <w:tcW w:w="0" w:type="auto"/>
          </w:tcPr>
          <w:p w14:paraId="0E4F98F8"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6 (0.3) </w:t>
            </w:r>
          </w:p>
        </w:tc>
      </w:tr>
      <w:tr w:rsidR="00B54D51" w:rsidRPr="00037AD4" w14:paraId="14577769" w14:textId="77777777" w:rsidTr="008F00F0">
        <w:trPr>
          <w:trHeight w:val="187"/>
        </w:trPr>
        <w:tc>
          <w:tcPr>
            <w:tcW w:w="0" w:type="auto"/>
            <w:gridSpan w:val="8"/>
          </w:tcPr>
          <w:p w14:paraId="497122F9" w14:textId="77777777" w:rsidR="00B54D51" w:rsidRPr="001701FC" w:rsidRDefault="00B54D51" w:rsidP="008F00F0">
            <w:pPr>
              <w:rPr>
                <w:rFonts w:asciiTheme="minorHAnsi" w:hAnsiTheme="minorHAnsi" w:cstheme="minorHAnsi"/>
                <w:sz w:val="22"/>
                <w:szCs w:val="22"/>
              </w:rPr>
            </w:pPr>
            <w:r w:rsidRPr="001701FC">
              <w:rPr>
                <w:rFonts w:asciiTheme="minorHAnsi" w:hAnsiTheme="minorHAnsi" w:cstheme="minorHAnsi"/>
                <w:sz w:val="22"/>
                <w:szCs w:val="22"/>
              </w:rPr>
              <w:t xml:space="preserve">A/D, anxiety/depression; P/D, pain/discomfort; PwD, person with dementia; RP, informal/relative proxy; SP, staff proxy; UA, usual activities </w:t>
            </w:r>
          </w:p>
        </w:tc>
      </w:tr>
    </w:tbl>
    <w:p w14:paraId="7A8CBF86" w14:textId="77777777" w:rsidR="00B54D51" w:rsidRPr="00037AD4" w:rsidRDefault="00B54D51" w:rsidP="00C574C7">
      <w:pPr>
        <w:rPr>
          <w:rFonts w:asciiTheme="minorHAnsi" w:hAnsiTheme="minorHAnsi" w:cstheme="minorHAnsi"/>
          <w:color w:val="000000" w:themeColor="text1"/>
        </w:rPr>
      </w:pPr>
    </w:p>
    <w:p w14:paraId="049C635B" w14:textId="77777777" w:rsidR="00B54D51" w:rsidRPr="00037AD4" w:rsidRDefault="00B54D51" w:rsidP="00C574C7">
      <w:pPr>
        <w:rPr>
          <w:rFonts w:asciiTheme="minorHAnsi" w:hAnsiTheme="minorHAnsi" w:cstheme="minorHAnsi"/>
          <w:color w:val="000000" w:themeColor="text1"/>
        </w:rPr>
      </w:pPr>
      <w:r w:rsidRPr="00037AD4">
        <w:rPr>
          <w:rFonts w:asciiTheme="minorHAnsi" w:hAnsiTheme="minorHAnsi" w:cstheme="minorHAnsi"/>
          <w:color w:val="000000" w:themeColor="text1"/>
        </w:rPr>
        <w:t xml:space="preserve">The proportion of people with dementia and proxies that reported no problems with their HRQoL (a level one for all five EQ-5D dimensions) were as follows for the three trials: REMCARE: PwD, 29.1%, informal proxy, 6.3%; ACTICARE: PwD, 22.2%, informal proxy, 5.1%; EPIC: PwD, 34.2%, informal proxy, 0.6%, staff proxy, 7.8%. These reports potentially indicate similarity between the REMCARE and ACTICARE samples (in terms of perfect health responses); both of these trials explored community dwelling people with dementia with informal proxies, while the EPIC trial was based in institutionalised settings. </w:t>
      </w:r>
    </w:p>
    <w:p w14:paraId="7E9C4E48" w14:textId="77777777" w:rsidR="00B54D51" w:rsidRPr="00037AD4" w:rsidRDefault="00B54D51" w:rsidP="00C574C7">
      <w:pPr>
        <w:rPr>
          <w:rFonts w:asciiTheme="minorHAnsi" w:hAnsiTheme="minorHAnsi" w:cstheme="minorHAnsi"/>
        </w:rPr>
      </w:pPr>
    </w:p>
    <w:p w14:paraId="4D741126" w14:textId="77777777" w:rsidR="00B54D51" w:rsidRPr="00037AD4" w:rsidRDefault="00B54D51" w:rsidP="00C574C7">
      <w:pPr>
        <w:rPr>
          <w:rFonts w:asciiTheme="minorHAnsi" w:hAnsiTheme="minorHAnsi" w:cstheme="minorHAnsi"/>
          <w:color w:val="FF0000"/>
        </w:rPr>
      </w:pPr>
      <w:r w:rsidRPr="00037AD4">
        <w:rPr>
          <w:rFonts w:asciiTheme="minorHAnsi" w:hAnsiTheme="minorHAnsi" w:cstheme="minorHAnsi"/>
        </w:rPr>
        <w:t xml:space="preserve">To further compare how the different respondents provide EQ-5D dimension reports, </w:t>
      </w:r>
      <w:hyperlink w:anchor="A42" w:history="1">
        <w:r w:rsidRPr="00B54D51">
          <w:rPr>
            <w:rStyle w:val="Hyperlink"/>
            <w:rFonts w:asciiTheme="minorHAnsi" w:hAnsiTheme="minorHAnsi" w:cstheme="minorHAnsi"/>
            <w:color w:val="auto"/>
            <w:u w:val="none"/>
          </w:rPr>
          <w:t>Tables A4.2a – A4.2d in Appendix 4.2</w:t>
        </w:r>
      </w:hyperlink>
      <w:r w:rsidRPr="00B54D51">
        <w:rPr>
          <w:rFonts w:asciiTheme="minorHAnsi" w:hAnsiTheme="minorHAnsi" w:cstheme="minorHAnsi"/>
        </w:rPr>
        <w:t xml:space="preserve"> </w:t>
      </w:r>
      <w:r w:rsidRPr="00037AD4">
        <w:rPr>
          <w:rFonts w:asciiTheme="minorHAnsi" w:hAnsiTheme="minorHAnsi" w:cstheme="minorHAnsi"/>
        </w:rPr>
        <w:t xml:space="preserve">focus on cases where the PwD has self-reported “no problems”/level one, presenting the corresponding proportion of proxy responses for each of the EQ-5D levels. Looking at the REMCARE trial data, the greatest correspondence is seen for the “mobility” dimension, whereby nearly 70% of informal proxies provided a matched level one report and there are no level three/ “extreme problems” with walking proxy reports. The least agreement is seen for the “usual activities”. Despite the PwD self-reporting perfect health in this dimension, 15% of informal proxies reported the worst possible score (level three). </w:t>
      </w:r>
    </w:p>
    <w:p w14:paraId="78C2B558" w14:textId="77777777" w:rsidR="00B54D51" w:rsidRPr="00037AD4" w:rsidRDefault="00B54D51" w:rsidP="00C574C7">
      <w:pPr>
        <w:rPr>
          <w:rFonts w:asciiTheme="minorHAnsi" w:hAnsiTheme="minorHAnsi" w:cstheme="minorHAnsi"/>
        </w:rPr>
      </w:pPr>
    </w:p>
    <w:p w14:paraId="60B3E94D" w14:textId="77777777" w:rsidR="00B54D51" w:rsidRPr="00037AD4" w:rsidRDefault="00B54D51" w:rsidP="00C574C7">
      <w:pPr>
        <w:rPr>
          <w:rFonts w:asciiTheme="minorHAnsi" w:hAnsiTheme="minorHAnsi" w:cstheme="minorHAnsi"/>
        </w:rPr>
      </w:pPr>
      <w:r w:rsidRPr="00037AD4">
        <w:rPr>
          <w:rFonts w:asciiTheme="minorHAnsi" w:hAnsiTheme="minorHAnsi" w:cstheme="minorHAnsi"/>
        </w:rPr>
        <w:t xml:space="preserve">For the ACTIFCARE dataset, the greatest correspondence is again seen for the “mobility” dimension (approximately 62% of informal proxies reported a matched level one report, with no level five/ “unable to walk” reports). Similarly, the lowest agreement is seen with “usual activities” reports, as only approximately 30% of informal proxies also provide a level one report. </w:t>
      </w:r>
    </w:p>
    <w:p w14:paraId="710A2462" w14:textId="77777777" w:rsidR="00B54D51" w:rsidRPr="00037AD4" w:rsidRDefault="00B54D51" w:rsidP="00C574C7">
      <w:pPr>
        <w:rPr>
          <w:rFonts w:asciiTheme="minorHAnsi" w:hAnsiTheme="minorHAnsi" w:cstheme="minorHAnsi"/>
          <w:b/>
          <w:bCs/>
          <w:u w:val="single"/>
        </w:rPr>
      </w:pPr>
    </w:p>
    <w:p w14:paraId="2D22B5A5" w14:textId="77777777" w:rsidR="00B54D51" w:rsidRPr="00037AD4" w:rsidRDefault="00B54D51" w:rsidP="00C574C7">
      <w:pPr>
        <w:rPr>
          <w:rFonts w:asciiTheme="minorHAnsi" w:hAnsiTheme="minorHAnsi" w:cstheme="minorHAnsi"/>
        </w:rPr>
      </w:pPr>
      <w:r w:rsidRPr="00037AD4">
        <w:rPr>
          <w:rFonts w:asciiTheme="minorHAnsi" w:hAnsiTheme="minorHAnsi" w:cstheme="minorHAnsi"/>
        </w:rPr>
        <w:lastRenderedPageBreak/>
        <w:t>The EPIC data has been presented over two tables (</w:t>
      </w:r>
      <w:hyperlink w:anchor="A42" w:history="1">
        <w:r w:rsidRPr="00B54D51">
          <w:rPr>
            <w:rStyle w:val="Hyperlink"/>
            <w:rFonts w:asciiTheme="minorHAnsi" w:hAnsiTheme="minorHAnsi" w:cstheme="minorHAnsi"/>
            <w:color w:val="auto"/>
            <w:u w:val="none"/>
          </w:rPr>
          <w:t>Tables A4.2c and A4.2d in Appendix 4.2</w:t>
        </w:r>
      </w:hyperlink>
      <w:r w:rsidRPr="00B54D51">
        <w:rPr>
          <w:rFonts w:asciiTheme="minorHAnsi" w:hAnsiTheme="minorHAnsi" w:cstheme="minorHAnsi"/>
        </w:rPr>
        <w:t xml:space="preserve">) </w:t>
      </w:r>
      <w:r w:rsidRPr="00037AD4">
        <w:rPr>
          <w:rFonts w:asciiTheme="minorHAnsi" w:hAnsiTheme="minorHAnsi" w:cstheme="minorHAnsi"/>
        </w:rPr>
        <w:t>reflecting both PwD-proxy dyad types. For PwD-informal proxies in the EPIC trial the greatest correspondence is seen for the “anxiety/depression” dimension, whereby over 55% of informal proxies also provide a level one report. Notably for the “self-care” and “usual activities” dimensions, nearly 33% of proxies provided level five/ “extreme problems” reports in these instances (where the PwD has reported “no problems”). For the PwD-staff proxy dyad, noticeable correspondence is seen for the “usual activities”, “pain/discomfort” and “anxiety/depression” dimensions alike, whereby over 75% of staff proxies matched the PwD’s “no problems” report. The “self-care” dimension shows the least agreement as 33% of staff proxies report the worst health state (level five) about the PwD, even though the PwD reports “no problems”.</w:t>
      </w:r>
    </w:p>
    <w:p w14:paraId="279F401A" w14:textId="77777777" w:rsidR="00B54D51" w:rsidRPr="00037AD4" w:rsidRDefault="00B54D51" w:rsidP="00C574C7">
      <w:pPr>
        <w:rPr>
          <w:rFonts w:asciiTheme="minorHAnsi" w:hAnsiTheme="minorHAnsi" w:cstheme="minorHAnsi"/>
        </w:rPr>
      </w:pPr>
    </w:p>
    <w:p w14:paraId="236AF206" w14:textId="77777777" w:rsidR="00B54D51" w:rsidRPr="00037AD4" w:rsidRDefault="00B54D51" w:rsidP="007A43F9">
      <w:pPr>
        <w:pStyle w:val="Heading4"/>
      </w:pPr>
      <w:r w:rsidRPr="00037AD4">
        <w:t xml:space="preserve">4.4.3.1 Correlation between PwD and proxy EQ-5D dimension reports </w:t>
      </w:r>
    </w:p>
    <w:p w14:paraId="58D39C15" w14:textId="77777777" w:rsidR="00B54D51" w:rsidRPr="00037AD4" w:rsidRDefault="00B54D51" w:rsidP="007A43F9"/>
    <w:p w14:paraId="4917AB8B" w14:textId="77777777" w:rsidR="00B54D51" w:rsidRPr="00037AD4" w:rsidRDefault="00B54D51" w:rsidP="00226E58">
      <w:pPr>
        <w:rPr>
          <w:rFonts w:asciiTheme="minorHAnsi" w:hAnsiTheme="minorHAnsi" w:cstheme="minorHAnsi"/>
        </w:rPr>
      </w:pPr>
      <w:r w:rsidRPr="00037AD4">
        <w:rPr>
          <w:rFonts w:asciiTheme="minorHAnsi" w:hAnsiTheme="minorHAnsi" w:cstheme="minorHAnsi"/>
        </w:rPr>
        <w:t xml:space="preserve">The correlation between PwD and proxy reported EQ-5D dimensions was assessed through Spearman’s rank correlation coefficient and is presented in Table 21. This assessment used data from all timepoints and reveals that all EQ-5D dimensions are statistically significantly correlated between respondent reports, with the direction of the coefficients in the expected positive direction. The coefficients are largest in magnitude for the “mobility” dimension. For the EPIC study, the correlation between PwD and staff proxy reported “self-care” is notably low (ρ=0.11). </w:t>
      </w:r>
    </w:p>
    <w:p w14:paraId="2C1CCC23" w14:textId="77777777" w:rsidR="00B54D51" w:rsidRPr="00037AD4" w:rsidRDefault="00B54D51" w:rsidP="00226E58">
      <w:pPr>
        <w:rPr>
          <w:rFonts w:asciiTheme="minorHAnsi" w:hAnsiTheme="minorHAnsi" w:cstheme="minorHAnsi"/>
        </w:rPr>
      </w:pPr>
    </w:p>
    <w:p w14:paraId="67D02FFB" w14:textId="77777777" w:rsidR="00B54D51" w:rsidRPr="00037AD4" w:rsidRDefault="00B54D51" w:rsidP="00226E58">
      <w:pPr>
        <w:rPr>
          <w:rFonts w:asciiTheme="minorHAnsi" w:hAnsiTheme="minorHAnsi" w:cstheme="minorHAnsi"/>
          <w:b/>
          <w:bCs/>
          <w:i/>
          <w:iCs/>
          <w:color w:val="000000" w:themeColor="text1"/>
        </w:rPr>
      </w:pPr>
      <w:r w:rsidRPr="00037AD4">
        <w:rPr>
          <w:rFonts w:asciiTheme="minorHAnsi" w:hAnsiTheme="minorHAnsi" w:cstheme="minorHAnsi"/>
          <w:b/>
          <w:bCs/>
          <w:i/>
          <w:iCs/>
          <w:color w:val="000000" w:themeColor="text1"/>
        </w:rPr>
        <w:t xml:space="preserve">Table 21, correlation between EQ-5D dimension reports </w:t>
      </w:r>
    </w:p>
    <w:p w14:paraId="38CDA526" w14:textId="77777777" w:rsidR="00B54D51" w:rsidRPr="00037AD4" w:rsidRDefault="00B54D51" w:rsidP="00226E58">
      <w:pPr>
        <w:rPr>
          <w:rFonts w:asciiTheme="minorHAnsi" w:hAnsiTheme="minorHAnsi" w:cstheme="minorHAnsi"/>
          <w:b/>
          <w:bCs/>
          <w:color w:val="FF0000"/>
          <w:u w:val="single"/>
        </w:rPr>
      </w:pPr>
    </w:p>
    <w:tbl>
      <w:tblPr>
        <w:tblStyle w:val="TableGrid"/>
        <w:tblW w:w="0" w:type="auto"/>
        <w:tblLook w:val="04A0" w:firstRow="1" w:lastRow="0" w:firstColumn="1" w:lastColumn="0" w:noHBand="0" w:noVBand="1"/>
      </w:tblPr>
      <w:tblGrid>
        <w:gridCol w:w="2249"/>
        <w:gridCol w:w="1874"/>
        <w:gridCol w:w="1947"/>
        <w:gridCol w:w="1614"/>
        <w:gridCol w:w="1332"/>
      </w:tblGrid>
      <w:tr w:rsidR="00B54D51" w:rsidRPr="00037AD4" w14:paraId="3AE1071F" w14:textId="77777777" w:rsidTr="008F00F0">
        <w:tc>
          <w:tcPr>
            <w:tcW w:w="2249" w:type="dxa"/>
            <w:vMerge w:val="restart"/>
          </w:tcPr>
          <w:p w14:paraId="44456B09"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EQ-5D dimension </w:t>
            </w:r>
          </w:p>
        </w:tc>
        <w:tc>
          <w:tcPr>
            <w:tcW w:w="6767" w:type="dxa"/>
            <w:gridSpan w:val="4"/>
          </w:tcPr>
          <w:p w14:paraId="36281601" w14:textId="77777777" w:rsidR="00B54D51" w:rsidRPr="00037AD4" w:rsidRDefault="00B54D51" w:rsidP="008F00F0">
            <w:pPr>
              <w:jc w:val="center"/>
              <w:rPr>
                <w:rFonts w:asciiTheme="minorHAnsi" w:hAnsiTheme="minorHAnsi" w:cstheme="minorHAnsi"/>
              </w:rPr>
            </w:pPr>
            <w:r w:rsidRPr="00037AD4">
              <w:rPr>
                <w:rFonts w:asciiTheme="minorHAnsi" w:hAnsiTheme="minorHAnsi" w:cstheme="minorHAnsi"/>
              </w:rPr>
              <w:t xml:space="preserve">Trial name, </w:t>
            </w:r>
            <w:r w:rsidRPr="00037AD4">
              <w:rPr>
                <w:rFonts w:asciiTheme="minorHAnsi" w:hAnsiTheme="minorHAnsi" w:cstheme="minorHAnsi"/>
                <w:color w:val="374151"/>
              </w:rPr>
              <w:t>ρ</w:t>
            </w:r>
          </w:p>
        </w:tc>
      </w:tr>
      <w:tr w:rsidR="00B54D51" w:rsidRPr="00037AD4" w14:paraId="563E93A8" w14:textId="77777777" w:rsidTr="008F00F0">
        <w:tc>
          <w:tcPr>
            <w:tcW w:w="2249" w:type="dxa"/>
            <w:vMerge/>
          </w:tcPr>
          <w:p w14:paraId="65DAF32C" w14:textId="77777777" w:rsidR="00B54D51" w:rsidRPr="00037AD4" w:rsidRDefault="00B54D51" w:rsidP="008F00F0">
            <w:pPr>
              <w:rPr>
                <w:rFonts w:asciiTheme="minorHAnsi" w:hAnsiTheme="minorHAnsi" w:cstheme="minorHAnsi"/>
              </w:rPr>
            </w:pPr>
          </w:p>
        </w:tc>
        <w:tc>
          <w:tcPr>
            <w:tcW w:w="1874" w:type="dxa"/>
          </w:tcPr>
          <w:p w14:paraId="1BAFC0B2"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REMCARE</w:t>
            </w:r>
          </w:p>
          <w:p w14:paraId="40801ABF" w14:textId="77777777" w:rsidR="00B54D51" w:rsidRPr="00037AD4" w:rsidRDefault="00B54D51" w:rsidP="008F00F0">
            <w:pPr>
              <w:rPr>
                <w:rFonts w:asciiTheme="minorHAnsi" w:hAnsiTheme="minorHAnsi" w:cstheme="minorHAnsi"/>
                <w:sz w:val="20"/>
                <w:szCs w:val="20"/>
              </w:rPr>
            </w:pPr>
            <w:r w:rsidRPr="00037AD4">
              <w:rPr>
                <w:rFonts w:asciiTheme="minorHAnsi" w:hAnsiTheme="minorHAnsi" w:cstheme="minorHAnsi"/>
                <w:sz w:val="20"/>
                <w:szCs w:val="20"/>
              </w:rPr>
              <w:t>PwD-RP</w:t>
            </w:r>
          </w:p>
        </w:tc>
        <w:tc>
          <w:tcPr>
            <w:tcW w:w="1947" w:type="dxa"/>
          </w:tcPr>
          <w:p w14:paraId="0D8EE011"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ACTIFCARE</w:t>
            </w:r>
          </w:p>
          <w:p w14:paraId="3D369503" w14:textId="77777777" w:rsidR="00B54D51" w:rsidRPr="00037AD4" w:rsidRDefault="00B54D51" w:rsidP="008F00F0">
            <w:pPr>
              <w:rPr>
                <w:rFonts w:asciiTheme="minorHAnsi" w:hAnsiTheme="minorHAnsi" w:cstheme="minorHAnsi"/>
              </w:rPr>
            </w:pPr>
            <w:r w:rsidRPr="00037AD4">
              <w:rPr>
                <w:rFonts w:asciiTheme="minorHAnsi" w:hAnsiTheme="minorHAnsi" w:cstheme="minorHAnsi"/>
                <w:sz w:val="20"/>
                <w:szCs w:val="20"/>
              </w:rPr>
              <w:t>PwD-RP</w:t>
            </w:r>
          </w:p>
        </w:tc>
        <w:tc>
          <w:tcPr>
            <w:tcW w:w="1614" w:type="dxa"/>
          </w:tcPr>
          <w:p w14:paraId="71FF6DB4"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EPIC</w:t>
            </w:r>
          </w:p>
          <w:p w14:paraId="6F207585" w14:textId="77777777" w:rsidR="00B54D51" w:rsidRPr="00037AD4" w:rsidRDefault="00B54D51" w:rsidP="008F00F0">
            <w:pPr>
              <w:rPr>
                <w:rFonts w:asciiTheme="minorHAnsi" w:hAnsiTheme="minorHAnsi" w:cstheme="minorHAnsi"/>
              </w:rPr>
            </w:pPr>
            <w:r w:rsidRPr="00037AD4">
              <w:rPr>
                <w:rFonts w:asciiTheme="minorHAnsi" w:hAnsiTheme="minorHAnsi" w:cstheme="minorHAnsi"/>
                <w:sz w:val="20"/>
                <w:szCs w:val="20"/>
              </w:rPr>
              <w:t>PwD-RP</w:t>
            </w:r>
          </w:p>
        </w:tc>
        <w:tc>
          <w:tcPr>
            <w:tcW w:w="1332" w:type="dxa"/>
          </w:tcPr>
          <w:p w14:paraId="4B495525"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EPIC</w:t>
            </w:r>
          </w:p>
          <w:p w14:paraId="57544096" w14:textId="77777777" w:rsidR="00B54D51" w:rsidRPr="00037AD4" w:rsidRDefault="00B54D51" w:rsidP="008F00F0">
            <w:pPr>
              <w:rPr>
                <w:rFonts w:asciiTheme="minorHAnsi" w:hAnsiTheme="minorHAnsi" w:cstheme="minorHAnsi"/>
              </w:rPr>
            </w:pPr>
            <w:r w:rsidRPr="00037AD4">
              <w:rPr>
                <w:rFonts w:asciiTheme="minorHAnsi" w:hAnsiTheme="minorHAnsi" w:cstheme="minorHAnsi"/>
                <w:sz w:val="20"/>
                <w:szCs w:val="20"/>
              </w:rPr>
              <w:t>PwD-SP</w:t>
            </w:r>
          </w:p>
        </w:tc>
      </w:tr>
      <w:tr w:rsidR="00B54D51" w:rsidRPr="00037AD4" w14:paraId="68E2D327" w14:textId="77777777" w:rsidTr="008F00F0">
        <w:tc>
          <w:tcPr>
            <w:tcW w:w="2249" w:type="dxa"/>
          </w:tcPr>
          <w:p w14:paraId="39B373B7"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Mobility </w:t>
            </w:r>
          </w:p>
        </w:tc>
        <w:tc>
          <w:tcPr>
            <w:tcW w:w="1874" w:type="dxa"/>
          </w:tcPr>
          <w:p w14:paraId="346B0B99"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0.48*</w:t>
            </w:r>
          </w:p>
        </w:tc>
        <w:tc>
          <w:tcPr>
            <w:tcW w:w="1947" w:type="dxa"/>
          </w:tcPr>
          <w:p w14:paraId="09A8B770"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0.63*</w:t>
            </w:r>
          </w:p>
        </w:tc>
        <w:tc>
          <w:tcPr>
            <w:tcW w:w="1614" w:type="dxa"/>
          </w:tcPr>
          <w:p w14:paraId="289208C6"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0.39*</w:t>
            </w:r>
          </w:p>
        </w:tc>
        <w:tc>
          <w:tcPr>
            <w:tcW w:w="1332" w:type="dxa"/>
          </w:tcPr>
          <w:p w14:paraId="0567598B"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0.34*</w:t>
            </w:r>
          </w:p>
        </w:tc>
      </w:tr>
      <w:tr w:rsidR="00B54D51" w:rsidRPr="00037AD4" w14:paraId="698A0237" w14:textId="77777777" w:rsidTr="008F00F0">
        <w:tc>
          <w:tcPr>
            <w:tcW w:w="2249" w:type="dxa"/>
          </w:tcPr>
          <w:p w14:paraId="60CB7F12"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Self-care </w:t>
            </w:r>
          </w:p>
        </w:tc>
        <w:tc>
          <w:tcPr>
            <w:tcW w:w="1874" w:type="dxa"/>
          </w:tcPr>
          <w:p w14:paraId="79D6B1B3"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0.33*</w:t>
            </w:r>
          </w:p>
        </w:tc>
        <w:tc>
          <w:tcPr>
            <w:tcW w:w="1947" w:type="dxa"/>
          </w:tcPr>
          <w:p w14:paraId="3C6C09E7"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0.47*</w:t>
            </w:r>
          </w:p>
        </w:tc>
        <w:tc>
          <w:tcPr>
            <w:tcW w:w="1614" w:type="dxa"/>
          </w:tcPr>
          <w:p w14:paraId="17C4AFB9"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0.29*</w:t>
            </w:r>
          </w:p>
        </w:tc>
        <w:tc>
          <w:tcPr>
            <w:tcW w:w="1332" w:type="dxa"/>
          </w:tcPr>
          <w:p w14:paraId="6F9606A6"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0.11*</w:t>
            </w:r>
          </w:p>
        </w:tc>
      </w:tr>
      <w:tr w:rsidR="00B54D51" w:rsidRPr="00037AD4" w14:paraId="3D55DCEC" w14:textId="77777777" w:rsidTr="008F00F0">
        <w:tc>
          <w:tcPr>
            <w:tcW w:w="2249" w:type="dxa"/>
          </w:tcPr>
          <w:p w14:paraId="6E83F82E"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Usual activities </w:t>
            </w:r>
          </w:p>
        </w:tc>
        <w:tc>
          <w:tcPr>
            <w:tcW w:w="1874" w:type="dxa"/>
          </w:tcPr>
          <w:p w14:paraId="57D4F4BF"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0.21*</w:t>
            </w:r>
          </w:p>
        </w:tc>
        <w:tc>
          <w:tcPr>
            <w:tcW w:w="1947" w:type="dxa"/>
          </w:tcPr>
          <w:p w14:paraId="1FBE1CEE"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0.35*</w:t>
            </w:r>
          </w:p>
        </w:tc>
        <w:tc>
          <w:tcPr>
            <w:tcW w:w="1614" w:type="dxa"/>
          </w:tcPr>
          <w:p w14:paraId="5B688C42"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0.21*</w:t>
            </w:r>
          </w:p>
        </w:tc>
        <w:tc>
          <w:tcPr>
            <w:tcW w:w="1332" w:type="dxa"/>
          </w:tcPr>
          <w:p w14:paraId="54D9A9D9"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0.18*</w:t>
            </w:r>
          </w:p>
        </w:tc>
      </w:tr>
      <w:tr w:rsidR="00B54D51" w:rsidRPr="00037AD4" w14:paraId="16DBD819" w14:textId="77777777" w:rsidTr="008F00F0">
        <w:tc>
          <w:tcPr>
            <w:tcW w:w="2249" w:type="dxa"/>
          </w:tcPr>
          <w:p w14:paraId="22092393"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Pain/discomfort</w:t>
            </w:r>
          </w:p>
        </w:tc>
        <w:tc>
          <w:tcPr>
            <w:tcW w:w="1874" w:type="dxa"/>
          </w:tcPr>
          <w:p w14:paraId="53A69013"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0.37*</w:t>
            </w:r>
          </w:p>
        </w:tc>
        <w:tc>
          <w:tcPr>
            <w:tcW w:w="1947" w:type="dxa"/>
          </w:tcPr>
          <w:p w14:paraId="37F2024B"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0.22*</w:t>
            </w:r>
          </w:p>
        </w:tc>
        <w:tc>
          <w:tcPr>
            <w:tcW w:w="1614" w:type="dxa"/>
          </w:tcPr>
          <w:p w14:paraId="5A4EC578"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0.23*</w:t>
            </w:r>
          </w:p>
        </w:tc>
        <w:tc>
          <w:tcPr>
            <w:tcW w:w="1332" w:type="dxa"/>
          </w:tcPr>
          <w:p w14:paraId="1AFA7EB6"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0.21*</w:t>
            </w:r>
          </w:p>
        </w:tc>
      </w:tr>
      <w:tr w:rsidR="00B54D51" w:rsidRPr="00037AD4" w14:paraId="546DB099" w14:textId="77777777" w:rsidTr="008F00F0">
        <w:tc>
          <w:tcPr>
            <w:tcW w:w="2249" w:type="dxa"/>
          </w:tcPr>
          <w:p w14:paraId="0AFDF19B"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Anxiety/depression</w:t>
            </w:r>
          </w:p>
        </w:tc>
        <w:tc>
          <w:tcPr>
            <w:tcW w:w="1874" w:type="dxa"/>
          </w:tcPr>
          <w:p w14:paraId="4B2A7577"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0.28*</w:t>
            </w:r>
          </w:p>
        </w:tc>
        <w:tc>
          <w:tcPr>
            <w:tcW w:w="1947" w:type="dxa"/>
          </w:tcPr>
          <w:p w14:paraId="36E92BE0"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0.22*</w:t>
            </w:r>
          </w:p>
        </w:tc>
        <w:tc>
          <w:tcPr>
            <w:tcW w:w="1614" w:type="dxa"/>
          </w:tcPr>
          <w:p w14:paraId="2A44FB74"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0.21*</w:t>
            </w:r>
          </w:p>
        </w:tc>
        <w:tc>
          <w:tcPr>
            <w:tcW w:w="1332" w:type="dxa"/>
          </w:tcPr>
          <w:p w14:paraId="336F6B21"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0.19*</w:t>
            </w:r>
          </w:p>
        </w:tc>
      </w:tr>
      <w:tr w:rsidR="00B54D51" w:rsidRPr="00037AD4" w14:paraId="5A680AE8" w14:textId="77777777" w:rsidTr="008F00F0">
        <w:tc>
          <w:tcPr>
            <w:tcW w:w="9016" w:type="dxa"/>
            <w:gridSpan w:val="5"/>
          </w:tcPr>
          <w:p w14:paraId="0F1CAEBC" w14:textId="77777777" w:rsidR="00B54D51" w:rsidRPr="00037AD4" w:rsidRDefault="00B54D51" w:rsidP="008F00F0">
            <w:pPr>
              <w:rPr>
                <w:rFonts w:asciiTheme="minorHAnsi" w:hAnsiTheme="minorHAnsi" w:cstheme="minorHAnsi"/>
                <w:color w:val="000000" w:themeColor="text1"/>
                <w:sz w:val="20"/>
                <w:szCs w:val="20"/>
              </w:rPr>
            </w:pPr>
            <w:r w:rsidRPr="00037AD4">
              <w:rPr>
                <w:rFonts w:asciiTheme="minorHAnsi" w:hAnsiTheme="minorHAnsi" w:cstheme="minorHAnsi"/>
                <w:color w:val="000000" w:themeColor="text1"/>
                <w:sz w:val="20"/>
                <w:szCs w:val="20"/>
              </w:rPr>
              <w:t xml:space="preserve">*p&lt;0.05; correlation used is spearman’s rank; PwD, person with dementia; RP, relative proxy; SP, staff proxy; EQ-5D-3L for REMCARE; EQ-5D-5L for ACTIFCARE and EPIC </w:t>
            </w:r>
          </w:p>
        </w:tc>
      </w:tr>
    </w:tbl>
    <w:p w14:paraId="6477515A" w14:textId="77777777" w:rsidR="00B54D51" w:rsidRPr="00037AD4" w:rsidRDefault="00B54D51" w:rsidP="00226E58">
      <w:pPr>
        <w:rPr>
          <w:rFonts w:asciiTheme="minorHAnsi" w:hAnsiTheme="minorHAnsi" w:cstheme="minorHAnsi"/>
          <w:b/>
          <w:bCs/>
          <w:color w:val="FF0000"/>
          <w:u w:val="single"/>
        </w:rPr>
      </w:pPr>
    </w:p>
    <w:p w14:paraId="5078D930" w14:textId="77777777" w:rsidR="00B54D51" w:rsidRPr="00037AD4" w:rsidRDefault="00B54D51" w:rsidP="00226E58">
      <w:pPr>
        <w:rPr>
          <w:rFonts w:asciiTheme="minorHAnsi" w:hAnsiTheme="minorHAnsi" w:cstheme="minorHAnsi"/>
        </w:rPr>
      </w:pPr>
      <w:r w:rsidRPr="00037AD4">
        <w:rPr>
          <w:rFonts w:asciiTheme="minorHAnsi" w:hAnsiTheme="minorHAnsi" w:cstheme="minorHAnsi"/>
        </w:rPr>
        <w:t>The association between PwD and proxy EQ-5D dimension reports is assessed by CDR stage and presented in Table 22, using data from the three trials and across time points. It can be observed that the strength of association between EQ-5D dimension reports decreases with increasing dementia severity of the PwD (except for PwD-staff proxy dyad reports of “mobility” and “anxiety/depression”). However, it is important to note that this trend may be influenced by the smaller sample size of people with severe CDR stage dementia.</w:t>
      </w:r>
    </w:p>
    <w:p w14:paraId="4730EB11" w14:textId="77777777" w:rsidR="00B54D51" w:rsidRDefault="00B54D51" w:rsidP="00226E58">
      <w:pPr>
        <w:rPr>
          <w:rFonts w:asciiTheme="minorHAnsi" w:hAnsiTheme="minorHAnsi" w:cstheme="minorHAnsi"/>
          <w:b/>
          <w:bCs/>
          <w:i/>
          <w:iCs/>
          <w:color w:val="FF0000"/>
        </w:rPr>
      </w:pPr>
    </w:p>
    <w:p w14:paraId="3AB6C2D8" w14:textId="77777777" w:rsidR="00B54D51" w:rsidRDefault="00B54D51" w:rsidP="00226E58">
      <w:pPr>
        <w:rPr>
          <w:rFonts w:asciiTheme="minorHAnsi" w:hAnsiTheme="minorHAnsi" w:cstheme="minorHAnsi"/>
          <w:b/>
          <w:bCs/>
          <w:i/>
          <w:iCs/>
          <w:color w:val="FF0000"/>
        </w:rPr>
      </w:pPr>
    </w:p>
    <w:p w14:paraId="105D9FE1" w14:textId="77777777" w:rsidR="00B54D51" w:rsidRDefault="00B54D51" w:rsidP="00226E58">
      <w:pPr>
        <w:rPr>
          <w:rFonts w:asciiTheme="minorHAnsi" w:hAnsiTheme="minorHAnsi" w:cstheme="minorHAnsi"/>
          <w:b/>
          <w:bCs/>
          <w:i/>
          <w:iCs/>
          <w:color w:val="FF0000"/>
        </w:rPr>
      </w:pPr>
    </w:p>
    <w:p w14:paraId="72CB322F" w14:textId="77777777" w:rsidR="00B54D51" w:rsidRDefault="00B54D51" w:rsidP="00226E58">
      <w:pPr>
        <w:rPr>
          <w:rFonts w:asciiTheme="minorHAnsi" w:hAnsiTheme="minorHAnsi" w:cstheme="minorHAnsi"/>
          <w:b/>
          <w:bCs/>
          <w:i/>
          <w:iCs/>
          <w:color w:val="FF0000"/>
        </w:rPr>
      </w:pPr>
    </w:p>
    <w:p w14:paraId="5B175D56" w14:textId="332FB5DD" w:rsidR="00B54D51" w:rsidRDefault="00B54D51" w:rsidP="00226E58">
      <w:pPr>
        <w:rPr>
          <w:rFonts w:asciiTheme="minorHAnsi" w:hAnsiTheme="minorHAnsi" w:cstheme="minorHAnsi"/>
          <w:b/>
          <w:bCs/>
          <w:i/>
          <w:iCs/>
          <w:color w:val="FF0000"/>
        </w:rPr>
      </w:pPr>
    </w:p>
    <w:p w14:paraId="4860BB72" w14:textId="77777777" w:rsidR="00B54D51" w:rsidRPr="00037AD4" w:rsidRDefault="00B54D51" w:rsidP="00226E58">
      <w:pPr>
        <w:rPr>
          <w:rFonts w:asciiTheme="minorHAnsi" w:hAnsiTheme="minorHAnsi" w:cstheme="minorHAnsi"/>
          <w:b/>
          <w:bCs/>
          <w:i/>
          <w:iCs/>
          <w:color w:val="FF0000"/>
        </w:rPr>
      </w:pPr>
    </w:p>
    <w:p w14:paraId="2A64955E" w14:textId="77777777" w:rsidR="00B54D51" w:rsidRPr="00037AD4" w:rsidRDefault="00B54D51" w:rsidP="00226E58">
      <w:pPr>
        <w:rPr>
          <w:rFonts w:asciiTheme="minorHAnsi" w:hAnsiTheme="minorHAnsi" w:cstheme="minorHAnsi"/>
          <w:b/>
          <w:bCs/>
          <w:i/>
          <w:iCs/>
        </w:rPr>
      </w:pPr>
      <w:r w:rsidRPr="00037AD4">
        <w:rPr>
          <w:rFonts w:asciiTheme="minorHAnsi" w:hAnsiTheme="minorHAnsi" w:cstheme="minorHAnsi"/>
          <w:b/>
          <w:bCs/>
          <w:i/>
          <w:iCs/>
          <w:color w:val="000000" w:themeColor="text1"/>
        </w:rPr>
        <w:lastRenderedPageBreak/>
        <w:t xml:space="preserve">Table 22, correlation </w:t>
      </w:r>
      <w:r w:rsidRPr="00037AD4">
        <w:rPr>
          <w:rFonts w:asciiTheme="minorHAnsi" w:hAnsiTheme="minorHAnsi" w:cstheme="minorHAnsi"/>
          <w:b/>
          <w:bCs/>
          <w:i/>
          <w:iCs/>
        </w:rPr>
        <w:t xml:space="preserve">between EQ-5D dimension reports by CDR stage </w:t>
      </w:r>
    </w:p>
    <w:p w14:paraId="6FC30AEA" w14:textId="77777777" w:rsidR="00B54D51" w:rsidRPr="00037AD4" w:rsidRDefault="00B54D51" w:rsidP="00226E58">
      <w:pPr>
        <w:rPr>
          <w:rFonts w:asciiTheme="minorHAnsi" w:hAnsiTheme="minorHAnsi" w:cstheme="minorHAnsi"/>
          <w:b/>
          <w:bCs/>
          <w:color w:val="FF0000"/>
          <w:u w:val="single"/>
        </w:rPr>
      </w:pPr>
    </w:p>
    <w:tbl>
      <w:tblPr>
        <w:tblStyle w:val="TableGrid"/>
        <w:tblW w:w="0" w:type="auto"/>
        <w:tblLook w:val="04A0" w:firstRow="1" w:lastRow="0" w:firstColumn="1" w:lastColumn="0" w:noHBand="0" w:noVBand="1"/>
      </w:tblPr>
      <w:tblGrid>
        <w:gridCol w:w="2249"/>
        <w:gridCol w:w="1874"/>
        <w:gridCol w:w="1947"/>
        <w:gridCol w:w="1614"/>
      </w:tblGrid>
      <w:tr w:rsidR="00B54D51" w:rsidRPr="00037AD4" w14:paraId="3BA6B7FD" w14:textId="77777777" w:rsidTr="008F00F0">
        <w:tc>
          <w:tcPr>
            <w:tcW w:w="2249" w:type="dxa"/>
            <w:vMerge w:val="restart"/>
          </w:tcPr>
          <w:p w14:paraId="2886B60F"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EQ-5D dimension</w:t>
            </w:r>
          </w:p>
        </w:tc>
        <w:tc>
          <w:tcPr>
            <w:tcW w:w="5435" w:type="dxa"/>
            <w:gridSpan w:val="3"/>
            <w:shd w:val="clear" w:color="auto" w:fill="E7E6E6" w:themeFill="background2"/>
          </w:tcPr>
          <w:p w14:paraId="53032B73" w14:textId="77777777" w:rsidR="00B54D51" w:rsidRPr="00037AD4" w:rsidRDefault="00B54D51" w:rsidP="008F00F0">
            <w:pPr>
              <w:jc w:val="center"/>
              <w:rPr>
                <w:rFonts w:asciiTheme="minorHAnsi" w:hAnsiTheme="minorHAnsi" w:cstheme="minorHAnsi"/>
              </w:rPr>
            </w:pPr>
            <w:r w:rsidRPr="00037AD4">
              <w:rPr>
                <w:rFonts w:asciiTheme="minorHAnsi" w:hAnsiTheme="minorHAnsi" w:cstheme="minorHAnsi"/>
              </w:rPr>
              <w:t xml:space="preserve"> PwD-informal proxy</w:t>
            </w:r>
          </w:p>
        </w:tc>
      </w:tr>
      <w:tr w:rsidR="00B54D51" w:rsidRPr="00037AD4" w14:paraId="562AE810" w14:textId="77777777" w:rsidTr="008F00F0">
        <w:tc>
          <w:tcPr>
            <w:tcW w:w="2249" w:type="dxa"/>
            <w:vMerge/>
          </w:tcPr>
          <w:p w14:paraId="05ED3D41" w14:textId="77777777" w:rsidR="00B54D51" w:rsidRPr="00037AD4" w:rsidRDefault="00B54D51" w:rsidP="008F00F0">
            <w:pPr>
              <w:rPr>
                <w:rFonts w:asciiTheme="minorHAnsi" w:hAnsiTheme="minorHAnsi" w:cstheme="minorHAnsi"/>
              </w:rPr>
            </w:pPr>
          </w:p>
        </w:tc>
        <w:tc>
          <w:tcPr>
            <w:tcW w:w="1874" w:type="dxa"/>
          </w:tcPr>
          <w:p w14:paraId="7953A001"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Mild CDR</w:t>
            </w:r>
          </w:p>
          <w:p w14:paraId="182E4BD0"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(n=1219)</w:t>
            </w:r>
          </w:p>
        </w:tc>
        <w:tc>
          <w:tcPr>
            <w:tcW w:w="1947" w:type="dxa"/>
          </w:tcPr>
          <w:p w14:paraId="431F315F"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Moderate CDR</w:t>
            </w:r>
          </w:p>
          <w:p w14:paraId="1EB5D5F1"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(n=507)</w:t>
            </w:r>
          </w:p>
        </w:tc>
        <w:tc>
          <w:tcPr>
            <w:tcW w:w="1614" w:type="dxa"/>
          </w:tcPr>
          <w:p w14:paraId="40DD3C84"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Severe CDR</w:t>
            </w:r>
          </w:p>
          <w:p w14:paraId="0267761D"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(n=33)</w:t>
            </w:r>
          </w:p>
        </w:tc>
      </w:tr>
      <w:tr w:rsidR="00B54D51" w:rsidRPr="00037AD4" w14:paraId="121C3078" w14:textId="77777777" w:rsidTr="008F00F0">
        <w:tc>
          <w:tcPr>
            <w:tcW w:w="2249" w:type="dxa"/>
          </w:tcPr>
          <w:p w14:paraId="47158A20"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Mobility </w:t>
            </w:r>
          </w:p>
        </w:tc>
        <w:tc>
          <w:tcPr>
            <w:tcW w:w="1874" w:type="dxa"/>
          </w:tcPr>
          <w:p w14:paraId="2060D614"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0.60*</w:t>
            </w:r>
          </w:p>
        </w:tc>
        <w:tc>
          <w:tcPr>
            <w:tcW w:w="1947" w:type="dxa"/>
          </w:tcPr>
          <w:p w14:paraId="3E0178AF"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0.53*</w:t>
            </w:r>
          </w:p>
        </w:tc>
        <w:tc>
          <w:tcPr>
            <w:tcW w:w="1614" w:type="dxa"/>
          </w:tcPr>
          <w:p w14:paraId="597FACFC"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0.41*</w:t>
            </w:r>
          </w:p>
        </w:tc>
      </w:tr>
      <w:tr w:rsidR="00B54D51" w:rsidRPr="00037AD4" w14:paraId="4356A8D7" w14:textId="77777777" w:rsidTr="008F00F0">
        <w:tc>
          <w:tcPr>
            <w:tcW w:w="2249" w:type="dxa"/>
          </w:tcPr>
          <w:p w14:paraId="5E7C14CE"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Self-care </w:t>
            </w:r>
          </w:p>
        </w:tc>
        <w:tc>
          <w:tcPr>
            <w:tcW w:w="1874" w:type="dxa"/>
          </w:tcPr>
          <w:p w14:paraId="5936F8ED"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0.43*</w:t>
            </w:r>
          </w:p>
        </w:tc>
        <w:tc>
          <w:tcPr>
            <w:tcW w:w="1947" w:type="dxa"/>
          </w:tcPr>
          <w:p w14:paraId="2CF890FD"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0.34*</w:t>
            </w:r>
          </w:p>
        </w:tc>
        <w:tc>
          <w:tcPr>
            <w:tcW w:w="1614" w:type="dxa"/>
          </w:tcPr>
          <w:p w14:paraId="56DEFB2C"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0.20</w:t>
            </w:r>
          </w:p>
        </w:tc>
      </w:tr>
      <w:tr w:rsidR="00B54D51" w:rsidRPr="00037AD4" w14:paraId="77D1C355" w14:textId="77777777" w:rsidTr="008F00F0">
        <w:tc>
          <w:tcPr>
            <w:tcW w:w="2249" w:type="dxa"/>
          </w:tcPr>
          <w:p w14:paraId="6E98227C"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Usual activities </w:t>
            </w:r>
          </w:p>
        </w:tc>
        <w:tc>
          <w:tcPr>
            <w:tcW w:w="1874" w:type="dxa"/>
          </w:tcPr>
          <w:p w14:paraId="5D6FDBD7"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0.33*</w:t>
            </w:r>
          </w:p>
        </w:tc>
        <w:tc>
          <w:tcPr>
            <w:tcW w:w="1947" w:type="dxa"/>
          </w:tcPr>
          <w:p w14:paraId="2751BD6B"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0.24*</w:t>
            </w:r>
          </w:p>
        </w:tc>
        <w:tc>
          <w:tcPr>
            <w:tcW w:w="1614" w:type="dxa"/>
          </w:tcPr>
          <w:p w14:paraId="05DC8472"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0.04</w:t>
            </w:r>
          </w:p>
        </w:tc>
      </w:tr>
      <w:tr w:rsidR="00B54D51" w:rsidRPr="00037AD4" w14:paraId="6A91BE09" w14:textId="77777777" w:rsidTr="008F00F0">
        <w:trPr>
          <w:trHeight w:val="77"/>
        </w:trPr>
        <w:tc>
          <w:tcPr>
            <w:tcW w:w="2249" w:type="dxa"/>
          </w:tcPr>
          <w:p w14:paraId="453F7D61"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Pain/discomfort</w:t>
            </w:r>
          </w:p>
        </w:tc>
        <w:tc>
          <w:tcPr>
            <w:tcW w:w="1874" w:type="dxa"/>
          </w:tcPr>
          <w:p w14:paraId="2FB9C27D"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0.43*</w:t>
            </w:r>
          </w:p>
        </w:tc>
        <w:tc>
          <w:tcPr>
            <w:tcW w:w="1947" w:type="dxa"/>
          </w:tcPr>
          <w:p w14:paraId="0466FD7F"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0.39*</w:t>
            </w:r>
          </w:p>
        </w:tc>
        <w:tc>
          <w:tcPr>
            <w:tcW w:w="1614" w:type="dxa"/>
          </w:tcPr>
          <w:p w14:paraId="7E179A92"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0.38*</w:t>
            </w:r>
          </w:p>
        </w:tc>
      </w:tr>
      <w:tr w:rsidR="00B54D51" w:rsidRPr="00037AD4" w14:paraId="4322EAA9" w14:textId="77777777" w:rsidTr="008F00F0">
        <w:tc>
          <w:tcPr>
            <w:tcW w:w="2249" w:type="dxa"/>
          </w:tcPr>
          <w:p w14:paraId="743447CB"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Anxiety/depression</w:t>
            </w:r>
          </w:p>
        </w:tc>
        <w:tc>
          <w:tcPr>
            <w:tcW w:w="1874" w:type="dxa"/>
            <w:tcBorders>
              <w:bottom w:val="single" w:sz="4" w:space="0" w:color="auto"/>
            </w:tcBorders>
          </w:tcPr>
          <w:p w14:paraId="14B31F80"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0.32*</w:t>
            </w:r>
          </w:p>
        </w:tc>
        <w:tc>
          <w:tcPr>
            <w:tcW w:w="1947" w:type="dxa"/>
            <w:tcBorders>
              <w:bottom w:val="single" w:sz="4" w:space="0" w:color="auto"/>
            </w:tcBorders>
          </w:tcPr>
          <w:p w14:paraId="36CC2294"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0.26*</w:t>
            </w:r>
          </w:p>
        </w:tc>
        <w:tc>
          <w:tcPr>
            <w:tcW w:w="1614" w:type="dxa"/>
            <w:tcBorders>
              <w:bottom w:val="single" w:sz="4" w:space="0" w:color="auto"/>
            </w:tcBorders>
          </w:tcPr>
          <w:p w14:paraId="505760A1"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0.02</w:t>
            </w:r>
          </w:p>
        </w:tc>
      </w:tr>
      <w:tr w:rsidR="00B54D51" w:rsidRPr="00037AD4" w14:paraId="12A56B72" w14:textId="77777777" w:rsidTr="008F00F0">
        <w:tc>
          <w:tcPr>
            <w:tcW w:w="2249" w:type="dxa"/>
            <w:tcBorders>
              <w:right w:val="nil"/>
            </w:tcBorders>
            <w:shd w:val="clear" w:color="auto" w:fill="E7E6E6" w:themeFill="background2"/>
          </w:tcPr>
          <w:p w14:paraId="2D913DFF" w14:textId="77777777" w:rsidR="00B54D51" w:rsidRPr="00037AD4" w:rsidRDefault="00B54D51" w:rsidP="008F00F0">
            <w:pPr>
              <w:rPr>
                <w:rFonts w:asciiTheme="minorHAnsi" w:hAnsiTheme="minorHAnsi" w:cstheme="minorHAnsi"/>
              </w:rPr>
            </w:pPr>
          </w:p>
        </w:tc>
        <w:tc>
          <w:tcPr>
            <w:tcW w:w="5435" w:type="dxa"/>
            <w:gridSpan w:val="3"/>
            <w:tcBorders>
              <w:left w:val="nil"/>
            </w:tcBorders>
            <w:shd w:val="clear" w:color="auto" w:fill="E7E6E6" w:themeFill="background2"/>
          </w:tcPr>
          <w:p w14:paraId="380428FE" w14:textId="77777777" w:rsidR="00B54D51" w:rsidRPr="00037AD4" w:rsidRDefault="00B54D51" w:rsidP="008F00F0">
            <w:pPr>
              <w:jc w:val="center"/>
              <w:rPr>
                <w:rFonts w:asciiTheme="minorHAnsi" w:hAnsiTheme="minorHAnsi" w:cstheme="minorHAnsi"/>
              </w:rPr>
            </w:pPr>
            <w:r w:rsidRPr="00037AD4">
              <w:rPr>
                <w:rFonts w:asciiTheme="minorHAnsi" w:hAnsiTheme="minorHAnsi" w:cstheme="minorHAnsi"/>
              </w:rPr>
              <w:t>PwD-staff proxy</w:t>
            </w:r>
          </w:p>
        </w:tc>
      </w:tr>
      <w:tr w:rsidR="00B54D51" w:rsidRPr="00037AD4" w14:paraId="7DC9F405" w14:textId="77777777" w:rsidTr="008F00F0">
        <w:tc>
          <w:tcPr>
            <w:tcW w:w="2249" w:type="dxa"/>
          </w:tcPr>
          <w:p w14:paraId="6F17BFB7" w14:textId="77777777" w:rsidR="00B54D51" w:rsidRPr="00037AD4" w:rsidRDefault="00B54D51" w:rsidP="008F00F0">
            <w:pPr>
              <w:rPr>
                <w:rFonts w:asciiTheme="minorHAnsi" w:hAnsiTheme="minorHAnsi" w:cstheme="minorHAnsi"/>
              </w:rPr>
            </w:pPr>
          </w:p>
        </w:tc>
        <w:tc>
          <w:tcPr>
            <w:tcW w:w="1874" w:type="dxa"/>
          </w:tcPr>
          <w:p w14:paraId="7D22BE5F" w14:textId="77777777" w:rsidR="00B54D51" w:rsidRPr="00037AD4" w:rsidRDefault="00B54D51" w:rsidP="008F2578">
            <w:pPr>
              <w:rPr>
                <w:rFonts w:asciiTheme="minorHAnsi" w:hAnsiTheme="minorHAnsi" w:cstheme="minorHAnsi"/>
              </w:rPr>
            </w:pPr>
            <w:r w:rsidRPr="00037AD4">
              <w:rPr>
                <w:rFonts w:asciiTheme="minorHAnsi" w:hAnsiTheme="minorHAnsi" w:cstheme="minorHAnsi"/>
              </w:rPr>
              <w:t>Mild CDR</w:t>
            </w:r>
          </w:p>
          <w:p w14:paraId="38EE3C1F" w14:textId="77777777" w:rsidR="00B54D51" w:rsidRPr="00037AD4" w:rsidRDefault="00B54D51" w:rsidP="008F2578">
            <w:pPr>
              <w:rPr>
                <w:rFonts w:asciiTheme="minorHAnsi" w:hAnsiTheme="minorHAnsi" w:cstheme="minorHAnsi"/>
              </w:rPr>
            </w:pPr>
            <w:r w:rsidRPr="00037AD4">
              <w:rPr>
                <w:rFonts w:asciiTheme="minorHAnsi" w:hAnsiTheme="minorHAnsi" w:cstheme="minorHAnsi"/>
              </w:rPr>
              <w:t>(n=337)</w:t>
            </w:r>
          </w:p>
        </w:tc>
        <w:tc>
          <w:tcPr>
            <w:tcW w:w="1947" w:type="dxa"/>
          </w:tcPr>
          <w:p w14:paraId="2685439C" w14:textId="77777777" w:rsidR="00B54D51" w:rsidRPr="00037AD4" w:rsidRDefault="00B54D51" w:rsidP="008F2578">
            <w:pPr>
              <w:rPr>
                <w:rFonts w:asciiTheme="minorHAnsi" w:hAnsiTheme="minorHAnsi" w:cstheme="minorHAnsi"/>
              </w:rPr>
            </w:pPr>
            <w:r w:rsidRPr="00037AD4">
              <w:rPr>
                <w:rFonts w:asciiTheme="minorHAnsi" w:hAnsiTheme="minorHAnsi" w:cstheme="minorHAnsi"/>
              </w:rPr>
              <w:t>Moderate CDR</w:t>
            </w:r>
          </w:p>
          <w:p w14:paraId="617F830C" w14:textId="77777777" w:rsidR="00B54D51" w:rsidRPr="00037AD4" w:rsidRDefault="00B54D51" w:rsidP="008F2578">
            <w:pPr>
              <w:rPr>
                <w:rFonts w:asciiTheme="minorHAnsi" w:hAnsiTheme="minorHAnsi" w:cstheme="minorHAnsi"/>
              </w:rPr>
            </w:pPr>
            <w:r w:rsidRPr="00037AD4">
              <w:rPr>
                <w:rFonts w:asciiTheme="minorHAnsi" w:hAnsiTheme="minorHAnsi" w:cstheme="minorHAnsi"/>
              </w:rPr>
              <w:t>(n=342)</w:t>
            </w:r>
          </w:p>
        </w:tc>
        <w:tc>
          <w:tcPr>
            <w:tcW w:w="1614" w:type="dxa"/>
          </w:tcPr>
          <w:p w14:paraId="73D35938" w14:textId="77777777" w:rsidR="00B54D51" w:rsidRPr="00037AD4" w:rsidRDefault="00B54D51" w:rsidP="008F2578">
            <w:pPr>
              <w:rPr>
                <w:rFonts w:asciiTheme="minorHAnsi" w:hAnsiTheme="minorHAnsi" w:cstheme="minorHAnsi"/>
              </w:rPr>
            </w:pPr>
            <w:r w:rsidRPr="00037AD4">
              <w:rPr>
                <w:rFonts w:asciiTheme="minorHAnsi" w:hAnsiTheme="minorHAnsi" w:cstheme="minorHAnsi"/>
              </w:rPr>
              <w:t>Severe CDR</w:t>
            </w:r>
          </w:p>
          <w:p w14:paraId="0E12AED6" w14:textId="77777777" w:rsidR="00B54D51" w:rsidRPr="00037AD4" w:rsidRDefault="00B54D51" w:rsidP="008F2578">
            <w:pPr>
              <w:rPr>
                <w:rFonts w:asciiTheme="minorHAnsi" w:hAnsiTheme="minorHAnsi" w:cstheme="minorHAnsi"/>
              </w:rPr>
            </w:pPr>
            <w:r w:rsidRPr="00037AD4">
              <w:rPr>
                <w:rFonts w:asciiTheme="minorHAnsi" w:hAnsiTheme="minorHAnsi" w:cstheme="minorHAnsi"/>
              </w:rPr>
              <w:t>(n=112)</w:t>
            </w:r>
          </w:p>
        </w:tc>
      </w:tr>
      <w:tr w:rsidR="00B54D51" w:rsidRPr="00037AD4" w14:paraId="7E26313B" w14:textId="77777777" w:rsidTr="008F00F0">
        <w:tc>
          <w:tcPr>
            <w:tcW w:w="2249" w:type="dxa"/>
          </w:tcPr>
          <w:p w14:paraId="47A3716E"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Mobility</w:t>
            </w:r>
          </w:p>
        </w:tc>
        <w:tc>
          <w:tcPr>
            <w:tcW w:w="1874" w:type="dxa"/>
          </w:tcPr>
          <w:p w14:paraId="64436E7D"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0.44*</w:t>
            </w:r>
          </w:p>
        </w:tc>
        <w:tc>
          <w:tcPr>
            <w:tcW w:w="1947" w:type="dxa"/>
          </w:tcPr>
          <w:p w14:paraId="09F28FF9"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0.30*</w:t>
            </w:r>
          </w:p>
        </w:tc>
        <w:tc>
          <w:tcPr>
            <w:tcW w:w="1614" w:type="dxa"/>
          </w:tcPr>
          <w:p w14:paraId="3989FFC6"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0.30*</w:t>
            </w:r>
          </w:p>
        </w:tc>
      </w:tr>
      <w:tr w:rsidR="00B54D51" w:rsidRPr="00037AD4" w14:paraId="5FFBF7C1" w14:textId="77777777" w:rsidTr="008F00F0">
        <w:tc>
          <w:tcPr>
            <w:tcW w:w="2249" w:type="dxa"/>
          </w:tcPr>
          <w:p w14:paraId="1A3BB0A1"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Self-care</w:t>
            </w:r>
          </w:p>
        </w:tc>
        <w:tc>
          <w:tcPr>
            <w:tcW w:w="1874" w:type="dxa"/>
          </w:tcPr>
          <w:p w14:paraId="7EF3BE44"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0.16*</w:t>
            </w:r>
          </w:p>
        </w:tc>
        <w:tc>
          <w:tcPr>
            <w:tcW w:w="1947" w:type="dxa"/>
          </w:tcPr>
          <w:p w14:paraId="67D7363B"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0.06</w:t>
            </w:r>
          </w:p>
        </w:tc>
        <w:tc>
          <w:tcPr>
            <w:tcW w:w="1614" w:type="dxa"/>
          </w:tcPr>
          <w:p w14:paraId="46485544"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0.00</w:t>
            </w:r>
          </w:p>
        </w:tc>
      </w:tr>
      <w:tr w:rsidR="00B54D51" w:rsidRPr="00037AD4" w14:paraId="3725B270" w14:textId="77777777" w:rsidTr="008F00F0">
        <w:tc>
          <w:tcPr>
            <w:tcW w:w="2249" w:type="dxa"/>
          </w:tcPr>
          <w:p w14:paraId="605C9016"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Usual activities </w:t>
            </w:r>
          </w:p>
        </w:tc>
        <w:tc>
          <w:tcPr>
            <w:tcW w:w="1874" w:type="dxa"/>
          </w:tcPr>
          <w:p w14:paraId="5A108830"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0.18*</w:t>
            </w:r>
          </w:p>
        </w:tc>
        <w:tc>
          <w:tcPr>
            <w:tcW w:w="1947" w:type="dxa"/>
          </w:tcPr>
          <w:p w14:paraId="47457E5E"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0.24*</w:t>
            </w:r>
          </w:p>
        </w:tc>
        <w:tc>
          <w:tcPr>
            <w:tcW w:w="1614" w:type="dxa"/>
          </w:tcPr>
          <w:p w14:paraId="500DA953"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0.10</w:t>
            </w:r>
          </w:p>
        </w:tc>
      </w:tr>
      <w:tr w:rsidR="00B54D51" w:rsidRPr="00037AD4" w14:paraId="08C583DA" w14:textId="77777777" w:rsidTr="008F00F0">
        <w:tc>
          <w:tcPr>
            <w:tcW w:w="2249" w:type="dxa"/>
          </w:tcPr>
          <w:p w14:paraId="3C3B51FF"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Pain/discomfort </w:t>
            </w:r>
          </w:p>
        </w:tc>
        <w:tc>
          <w:tcPr>
            <w:tcW w:w="1874" w:type="dxa"/>
          </w:tcPr>
          <w:p w14:paraId="4AC57F46"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0.29*</w:t>
            </w:r>
          </w:p>
        </w:tc>
        <w:tc>
          <w:tcPr>
            <w:tcW w:w="1947" w:type="dxa"/>
          </w:tcPr>
          <w:p w14:paraId="15B07FE4"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0.21*</w:t>
            </w:r>
          </w:p>
        </w:tc>
        <w:tc>
          <w:tcPr>
            <w:tcW w:w="1614" w:type="dxa"/>
          </w:tcPr>
          <w:p w14:paraId="2F27110A"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-0.05</w:t>
            </w:r>
          </w:p>
        </w:tc>
      </w:tr>
      <w:tr w:rsidR="00B54D51" w:rsidRPr="00037AD4" w14:paraId="443D294C" w14:textId="77777777" w:rsidTr="008F00F0">
        <w:tc>
          <w:tcPr>
            <w:tcW w:w="2249" w:type="dxa"/>
          </w:tcPr>
          <w:p w14:paraId="1C600628"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Anxiety/depression</w:t>
            </w:r>
          </w:p>
        </w:tc>
        <w:tc>
          <w:tcPr>
            <w:tcW w:w="1874" w:type="dxa"/>
          </w:tcPr>
          <w:p w14:paraId="2AD8FCB5"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0.18*</w:t>
            </w:r>
          </w:p>
        </w:tc>
        <w:tc>
          <w:tcPr>
            <w:tcW w:w="1947" w:type="dxa"/>
          </w:tcPr>
          <w:p w14:paraId="61636CDD"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0.19*</w:t>
            </w:r>
          </w:p>
        </w:tc>
        <w:tc>
          <w:tcPr>
            <w:tcW w:w="1614" w:type="dxa"/>
          </w:tcPr>
          <w:p w14:paraId="3E545492"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0.18*</w:t>
            </w:r>
          </w:p>
        </w:tc>
      </w:tr>
      <w:tr w:rsidR="00B54D51" w:rsidRPr="00037AD4" w14:paraId="60FEE805" w14:textId="77777777" w:rsidTr="008F00F0">
        <w:tc>
          <w:tcPr>
            <w:tcW w:w="7684" w:type="dxa"/>
            <w:gridSpan w:val="4"/>
          </w:tcPr>
          <w:p w14:paraId="796634A7" w14:textId="77777777" w:rsidR="00B54D51" w:rsidRPr="00037AD4" w:rsidRDefault="00B54D51" w:rsidP="008F00F0">
            <w:pPr>
              <w:rPr>
                <w:rFonts w:asciiTheme="minorHAnsi" w:hAnsiTheme="minorHAnsi" w:cstheme="minorHAnsi"/>
              </w:rPr>
            </w:pPr>
            <w:r w:rsidRPr="00037AD4">
              <w:rPr>
                <w:rFonts w:asciiTheme="minorHAnsi" w:hAnsiTheme="minorHAnsi" w:cstheme="minorHAnsi"/>
                <w:color w:val="000000" w:themeColor="text1"/>
                <w:sz w:val="20"/>
                <w:szCs w:val="20"/>
              </w:rPr>
              <w:t xml:space="preserve">*p&lt;0.05; correlation used is spearman’s rank; PwD, person with dementia; CDR, clinical dementia rating </w:t>
            </w:r>
          </w:p>
        </w:tc>
      </w:tr>
    </w:tbl>
    <w:p w14:paraId="2E1803AD" w14:textId="77777777" w:rsidR="00B54D51" w:rsidRPr="00037AD4" w:rsidRDefault="00B54D51" w:rsidP="007A43F9">
      <w:pPr>
        <w:pStyle w:val="Heading3"/>
      </w:pPr>
    </w:p>
    <w:p w14:paraId="6A51C0FD" w14:textId="77777777" w:rsidR="00B54D51" w:rsidRPr="00037AD4" w:rsidRDefault="00B54D51" w:rsidP="007A43F9">
      <w:pPr>
        <w:pStyle w:val="Heading3"/>
      </w:pPr>
      <w:bookmarkStart w:id="330" w:name="_Toc175742308"/>
      <w:r w:rsidRPr="00037AD4">
        <w:t>4.4.4 Utility scores</w:t>
      </w:r>
      <w:bookmarkEnd w:id="330"/>
      <w:r w:rsidRPr="00037AD4">
        <w:t xml:space="preserve"> </w:t>
      </w:r>
    </w:p>
    <w:p w14:paraId="5D658C24" w14:textId="77777777" w:rsidR="00B54D51" w:rsidRPr="00037AD4" w:rsidRDefault="00B54D51" w:rsidP="007A43F9"/>
    <w:p w14:paraId="1BBE1FF1" w14:textId="77777777" w:rsidR="00B54D51" w:rsidRPr="00037AD4" w:rsidRDefault="00B54D51" w:rsidP="000B30D3">
      <w:pPr>
        <w:rPr>
          <w:rFonts w:asciiTheme="minorHAnsi" w:hAnsiTheme="minorHAnsi" w:cstheme="minorHAnsi"/>
          <w:color w:val="000000" w:themeColor="text1"/>
        </w:rPr>
      </w:pPr>
      <w:r w:rsidRPr="00037AD4">
        <w:rPr>
          <w:rFonts w:asciiTheme="minorHAnsi" w:hAnsiTheme="minorHAnsi" w:cstheme="minorHAnsi"/>
          <w:color w:val="000000" w:themeColor="text1"/>
        </w:rPr>
        <w:t xml:space="preserve">The three datasets collected different preference-based measures, for which </w:t>
      </w:r>
      <w:r w:rsidRPr="00037AD4">
        <w:rPr>
          <w:rFonts w:asciiTheme="minorHAnsi" w:hAnsiTheme="minorHAnsi" w:cstheme="minorHAnsi"/>
        </w:rPr>
        <w:t xml:space="preserve">index scores could be estimated according to the value sets as </w:t>
      </w:r>
      <w:r w:rsidRPr="00037AD4">
        <w:rPr>
          <w:rFonts w:asciiTheme="minorHAnsi" w:hAnsiTheme="minorHAnsi" w:cstheme="minorHAnsi"/>
          <w:color w:val="000000" w:themeColor="text1"/>
        </w:rPr>
        <w:t xml:space="preserve">outlined in </w:t>
      </w:r>
      <w:hyperlink w:anchor="_4.3.1_Statistical_analysis" w:history="1">
        <w:r w:rsidRPr="00B54D51">
          <w:rPr>
            <w:rStyle w:val="Hyperlink"/>
            <w:rFonts w:asciiTheme="minorHAnsi" w:hAnsiTheme="minorHAnsi" w:cstheme="minorHAnsi"/>
            <w:color w:val="000000" w:themeColor="text1"/>
            <w:u w:val="none"/>
          </w:rPr>
          <w:t>Section 4.3.1</w:t>
        </w:r>
      </w:hyperlink>
      <w:r w:rsidRPr="00B54D51">
        <w:rPr>
          <w:rFonts w:asciiTheme="minorHAnsi" w:hAnsiTheme="minorHAnsi" w:cstheme="minorHAnsi"/>
          <w:color w:val="000000" w:themeColor="text1"/>
        </w:rPr>
        <w:t>.</w:t>
      </w:r>
      <w:r w:rsidRPr="00037AD4">
        <w:rPr>
          <w:rFonts w:asciiTheme="minorHAnsi" w:hAnsiTheme="minorHAnsi" w:cstheme="minorHAnsi"/>
          <w:color w:val="000000" w:themeColor="text1"/>
        </w:rPr>
        <w:t xml:space="preserve"> </w:t>
      </w:r>
      <w:r w:rsidRPr="00037AD4">
        <w:rPr>
          <w:rFonts w:asciiTheme="minorHAnsi" w:hAnsiTheme="minorHAnsi" w:cstheme="minorHAnsi"/>
        </w:rPr>
        <w:t xml:space="preserve">Table 23 </w:t>
      </w:r>
      <w:r w:rsidRPr="00037AD4">
        <w:rPr>
          <w:rFonts w:asciiTheme="minorHAnsi" w:hAnsiTheme="minorHAnsi" w:cstheme="minorHAnsi"/>
          <w:color w:val="000000" w:themeColor="text1"/>
        </w:rPr>
        <w:t xml:space="preserve">below presents the utility scores for the three trials as estimated using a baseline cross-section of the data. In all three dementia studies, it can be seen that PwD utility scores are higher for all of the preference-based measures when compared with proxy scores. The EPIC trial data houses the highest EQ-5D utility scores for PwD reports when compared to the other two studies, and also saw the largest disparity between PwD and informal proxy scores (mean difference of 0.49 points). The EQ-5D utility scores provided by staff align more closely with the proxy-reported scores observed in REMCARE and ACTIFCARE, than with the informal proxy scores in EPIC. </w:t>
      </w:r>
    </w:p>
    <w:p w14:paraId="67DC1260" w14:textId="77777777" w:rsidR="00B54D51" w:rsidRPr="00037AD4" w:rsidRDefault="00B54D51" w:rsidP="000B30D3">
      <w:pPr>
        <w:rPr>
          <w:rFonts w:asciiTheme="minorHAnsi" w:hAnsiTheme="minorHAnsi" w:cstheme="minorHAnsi"/>
          <w:color w:val="000000" w:themeColor="text1"/>
        </w:rPr>
      </w:pPr>
    </w:p>
    <w:p w14:paraId="00B9E510" w14:textId="77777777" w:rsidR="00B54D51" w:rsidRPr="00037AD4" w:rsidRDefault="00B54D51" w:rsidP="000B30D3">
      <w:pPr>
        <w:rPr>
          <w:rFonts w:asciiTheme="minorHAnsi" w:hAnsiTheme="minorHAnsi" w:cstheme="minorHAnsi"/>
          <w:color w:val="000000" w:themeColor="text1"/>
        </w:rPr>
      </w:pPr>
      <w:r w:rsidRPr="00037AD4">
        <w:rPr>
          <w:rFonts w:asciiTheme="minorHAnsi" w:hAnsiTheme="minorHAnsi" w:cstheme="minorHAnsi"/>
          <w:color w:val="000000" w:themeColor="text1"/>
        </w:rPr>
        <w:t xml:space="preserve">T-tests were performed to compare mean utility scores estimated from PwD and proxy data. For all three studies, the scores are statistically significantly different (REMCARE: p=0.00, 0.77 vs. 0.58 (n=1130); ACTIFCARE p=0.00, 0.77 vs. 0.62 (n=1086); EPIC: p=0.00, 0.75 vs. 0.38 (n=154). </w:t>
      </w:r>
    </w:p>
    <w:p w14:paraId="79A5F14C" w14:textId="77777777" w:rsidR="00B54D51" w:rsidRPr="00037AD4" w:rsidRDefault="00B54D51" w:rsidP="000B30D3">
      <w:pPr>
        <w:rPr>
          <w:rFonts w:asciiTheme="minorHAnsi" w:hAnsiTheme="minorHAnsi" w:cstheme="minorHAnsi"/>
          <w:b/>
          <w:bCs/>
          <w:color w:val="FF0000"/>
          <w:u w:val="single"/>
        </w:rPr>
      </w:pPr>
    </w:p>
    <w:p w14:paraId="6E26F83A" w14:textId="77777777" w:rsidR="00B54D51" w:rsidRPr="00037AD4" w:rsidRDefault="00B54D51" w:rsidP="000B30D3">
      <w:pPr>
        <w:rPr>
          <w:rFonts w:asciiTheme="minorHAnsi" w:hAnsiTheme="minorHAnsi" w:cstheme="minorHAnsi"/>
          <w:b/>
          <w:bCs/>
          <w:i/>
          <w:iCs/>
        </w:rPr>
      </w:pPr>
      <w:r w:rsidRPr="00037AD4">
        <w:rPr>
          <w:rFonts w:asciiTheme="minorHAnsi" w:hAnsiTheme="minorHAnsi" w:cstheme="minorHAnsi"/>
          <w:b/>
          <w:bCs/>
          <w:i/>
          <w:iCs/>
          <w:color w:val="000000" w:themeColor="text1"/>
        </w:rPr>
        <w:t xml:space="preserve">Table 23, </w:t>
      </w:r>
      <w:r w:rsidRPr="00037AD4">
        <w:rPr>
          <w:rFonts w:asciiTheme="minorHAnsi" w:hAnsiTheme="minorHAnsi" w:cstheme="minorHAnsi"/>
          <w:b/>
          <w:bCs/>
          <w:i/>
          <w:iCs/>
        </w:rPr>
        <w:t xml:space="preserve">Utility scores estimated from preference-based measures </w:t>
      </w:r>
    </w:p>
    <w:p w14:paraId="680DC094" w14:textId="77777777" w:rsidR="00B54D51" w:rsidRPr="00037AD4" w:rsidRDefault="00B54D51" w:rsidP="000B30D3">
      <w:pPr>
        <w:rPr>
          <w:rFonts w:asciiTheme="minorHAnsi" w:hAnsiTheme="minorHAnsi" w:cstheme="minorHAnsi"/>
          <w:b/>
          <w:bCs/>
          <w:color w:val="FF0000"/>
          <w:u w:val="single"/>
        </w:rPr>
      </w:pPr>
    </w:p>
    <w:tbl>
      <w:tblPr>
        <w:tblStyle w:val="TableGrid"/>
        <w:tblW w:w="0" w:type="auto"/>
        <w:tblLook w:val="04A0" w:firstRow="1" w:lastRow="0" w:firstColumn="1" w:lastColumn="0" w:noHBand="0" w:noVBand="1"/>
      </w:tblPr>
      <w:tblGrid>
        <w:gridCol w:w="2254"/>
        <w:gridCol w:w="2254"/>
        <w:gridCol w:w="2254"/>
        <w:gridCol w:w="2254"/>
      </w:tblGrid>
      <w:tr w:rsidR="00B54D51" w:rsidRPr="00037AD4" w14:paraId="4014EC7D" w14:textId="77777777" w:rsidTr="008F00F0">
        <w:tc>
          <w:tcPr>
            <w:tcW w:w="2254" w:type="dxa"/>
            <w:vMerge w:val="restart"/>
          </w:tcPr>
          <w:p w14:paraId="72A1E32D"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Preference-based measure </w:t>
            </w:r>
          </w:p>
        </w:tc>
        <w:tc>
          <w:tcPr>
            <w:tcW w:w="6762" w:type="dxa"/>
            <w:gridSpan w:val="3"/>
          </w:tcPr>
          <w:p w14:paraId="47952763" w14:textId="77777777" w:rsidR="00B54D51" w:rsidRPr="00037AD4" w:rsidRDefault="00B54D51" w:rsidP="008F00F0">
            <w:pPr>
              <w:jc w:val="center"/>
              <w:rPr>
                <w:rFonts w:asciiTheme="minorHAnsi" w:hAnsiTheme="minorHAnsi" w:cstheme="minorHAnsi"/>
              </w:rPr>
            </w:pPr>
            <w:r w:rsidRPr="00037AD4">
              <w:rPr>
                <w:rFonts w:asciiTheme="minorHAnsi" w:hAnsiTheme="minorHAnsi" w:cstheme="minorHAnsi"/>
              </w:rPr>
              <w:t>Trial name, mean (SD)</w:t>
            </w:r>
          </w:p>
        </w:tc>
      </w:tr>
      <w:tr w:rsidR="00B54D51" w:rsidRPr="00037AD4" w14:paraId="33ECC579" w14:textId="77777777" w:rsidTr="008F00F0">
        <w:tc>
          <w:tcPr>
            <w:tcW w:w="2254" w:type="dxa"/>
            <w:vMerge/>
          </w:tcPr>
          <w:p w14:paraId="7DC143FC" w14:textId="77777777" w:rsidR="00B54D51" w:rsidRPr="00037AD4" w:rsidRDefault="00B54D51" w:rsidP="008F00F0">
            <w:pPr>
              <w:rPr>
                <w:rFonts w:asciiTheme="minorHAnsi" w:hAnsiTheme="minorHAnsi" w:cstheme="minorHAnsi"/>
              </w:rPr>
            </w:pPr>
          </w:p>
        </w:tc>
        <w:tc>
          <w:tcPr>
            <w:tcW w:w="2254" w:type="dxa"/>
          </w:tcPr>
          <w:p w14:paraId="7A5A0CCF"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REMCARE</w:t>
            </w:r>
          </w:p>
        </w:tc>
        <w:tc>
          <w:tcPr>
            <w:tcW w:w="2254" w:type="dxa"/>
          </w:tcPr>
          <w:p w14:paraId="6BAA618D"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ACTIFCARE</w:t>
            </w:r>
          </w:p>
        </w:tc>
        <w:tc>
          <w:tcPr>
            <w:tcW w:w="2254" w:type="dxa"/>
          </w:tcPr>
          <w:p w14:paraId="026D3DE9"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EPIC</w:t>
            </w:r>
          </w:p>
        </w:tc>
      </w:tr>
      <w:tr w:rsidR="00B54D51" w:rsidRPr="00037AD4" w14:paraId="43977F03" w14:textId="77777777" w:rsidTr="008F00F0">
        <w:tc>
          <w:tcPr>
            <w:tcW w:w="2254" w:type="dxa"/>
          </w:tcPr>
          <w:p w14:paraId="1D6084C9"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EQ-5D</w:t>
            </w:r>
          </w:p>
        </w:tc>
        <w:tc>
          <w:tcPr>
            <w:tcW w:w="2254" w:type="dxa"/>
          </w:tcPr>
          <w:p w14:paraId="1AD2C4A0"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0.75 (0.25)</w:t>
            </w:r>
          </w:p>
        </w:tc>
        <w:tc>
          <w:tcPr>
            <w:tcW w:w="2254" w:type="dxa"/>
          </w:tcPr>
          <w:p w14:paraId="22CDEB0B"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0.77 (0.19)</w:t>
            </w:r>
          </w:p>
        </w:tc>
        <w:tc>
          <w:tcPr>
            <w:tcW w:w="2254" w:type="dxa"/>
          </w:tcPr>
          <w:p w14:paraId="50BED252"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0.82 (0.24)</w:t>
            </w:r>
          </w:p>
        </w:tc>
      </w:tr>
      <w:tr w:rsidR="00B54D51" w:rsidRPr="00037AD4" w14:paraId="2629515A" w14:textId="77777777" w:rsidTr="008F00F0">
        <w:tc>
          <w:tcPr>
            <w:tcW w:w="2254" w:type="dxa"/>
          </w:tcPr>
          <w:p w14:paraId="25F06D29"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EQ-5D proxy </w:t>
            </w:r>
          </w:p>
        </w:tc>
        <w:tc>
          <w:tcPr>
            <w:tcW w:w="2254" w:type="dxa"/>
          </w:tcPr>
          <w:p w14:paraId="139873EC"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0.59 (0.28)</w:t>
            </w:r>
          </w:p>
        </w:tc>
        <w:tc>
          <w:tcPr>
            <w:tcW w:w="2254" w:type="dxa"/>
          </w:tcPr>
          <w:p w14:paraId="5AA3D6C9"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0.62 (0.23)</w:t>
            </w:r>
          </w:p>
        </w:tc>
        <w:tc>
          <w:tcPr>
            <w:tcW w:w="2254" w:type="dxa"/>
          </w:tcPr>
          <w:p w14:paraId="5A73C3BF"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0.33 (0.38)</w:t>
            </w:r>
          </w:p>
        </w:tc>
      </w:tr>
      <w:tr w:rsidR="00B54D51" w:rsidRPr="00037AD4" w14:paraId="07EFBE4D" w14:textId="77777777" w:rsidTr="008F00F0">
        <w:tc>
          <w:tcPr>
            <w:tcW w:w="2254" w:type="dxa"/>
          </w:tcPr>
          <w:p w14:paraId="1A22B0CE"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EQ-5D proxy (staff)</w:t>
            </w:r>
          </w:p>
        </w:tc>
        <w:tc>
          <w:tcPr>
            <w:tcW w:w="2254" w:type="dxa"/>
          </w:tcPr>
          <w:p w14:paraId="3FE590C6"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w:t>
            </w:r>
          </w:p>
        </w:tc>
        <w:tc>
          <w:tcPr>
            <w:tcW w:w="2254" w:type="dxa"/>
          </w:tcPr>
          <w:p w14:paraId="64EFCFC6" w14:textId="77777777" w:rsidR="00B54D51" w:rsidRPr="00037AD4" w:rsidRDefault="00B54D51" w:rsidP="008F00F0">
            <w:pPr>
              <w:rPr>
                <w:rFonts w:asciiTheme="minorHAnsi" w:hAnsiTheme="minorHAnsi" w:cstheme="minorHAnsi"/>
              </w:rPr>
            </w:pPr>
          </w:p>
        </w:tc>
        <w:tc>
          <w:tcPr>
            <w:tcW w:w="2254" w:type="dxa"/>
          </w:tcPr>
          <w:p w14:paraId="5F02C295"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0.52 (0.39)</w:t>
            </w:r>
          </w:p>
        </w:tc>
      </w:tr>
      <w:tr w:rsidR="00806411" w:rsidRPr="00037AD4" w14:paraId="34E14DEA" w14:textId="77777777" w:rsidTr="008F00F0">
        <w:tc>
          <w:tcPr>
            <w:tcW w:w="2254" w:type="dxa"/>
          </w:tcPr>
          <w:p w14:paraId="1ACDA026" w14:textId="33A8E44C" w:rsidR="00806411" w:rsidRPr="00037AD4" w:rsidRDefault="00806411" w:rsidP="00806411">
            <w:pPr>
              <w:rPr>
                <w:rFonts w:asciiTheme="minorHAnsi" w:hAnsiTheme="minorHAnsi" w:cstheme="minorHAnsi"/>
              </w:rPr>
            </w:pPr>
            <w:r w:rsidRPr="00037AD4">
              <w:rPr>
                <w:rFonts w:asciiTheme="minorHAnsi" w:hAnsiTheme="minorHAnsi" w:cstheme="minorHAnsi"/>
              </w:rPr>
              <w:lastRenderedPageBreak/>
              <w:t>Preference-based measure</w:t>
            </w:r>
          </w:p>
        </w:tc>
        <w:tc>
          <w:tcPr>
            <w:tcW w:w="2254" w:type="dxa"/>
          </w:tcPr>
          <w:p w14:paraId="5D858833" w14:textId="2B237604" w:rsidR="00806411" w:rsidRPr="00037AD4" w:rsidRDefault="00806411" w:rsidP="00806411">
            <w:pPr>
              <w:rPr>
                <w:rFonts w:asciiTheme="minorHAnsi" w:hAnsiTheme="minorHAnsi" w:cstheme="minorHAnsi"/>
              </w:rPr>
            </w:pPr>
            <w:r w:rsidRPr="00037AD4">
              <w:rPr>
                <w:rFonts w:asciiTheme="minorHAnsi" w:hAnsiTheme="minorHAnsi" w:cstheme="minorHAnsi"/>
              </w:rPr>
              <w:t>REMCARE</w:t>
            </w:r>
          </w:p>
        </w:tc>
        <w:tc>
          <w:tcPr>
            <w:tcW w:w="2254" w:type="dxa"/>
          </w:tcPr>
          <w:p w14:paraId="66C707C8" w14:textId="0A73319A" w:rsidR="00806411" w:rsidRPr="00037AD4" w:rsidRDefault="00806411" w:rsidP="00806411">
            <w:pPr>
              <w:rPr>
                <w:rFonts w:asciiTheme="minorHAnsi" w:hAnsiTheme="minorHAnsi" w:cstheme="minorHAnsi"/>
              </w:rPr>
            </w:pPr>
            <w:r w:rsidRPr="00037AD4">
              <w:rPr>
                <w:rFonts w:asciiTheme="minorHAnsi" w:hAnsiTheme="minorHAnsi" w:cstheme="minorHAnsi"/>
              </w:rPr>
              <w:t>ACTIFCARE</w:t>
            </w:r>
          </w:p>
        </w:tc>
        <w:tc>
          <w:tcPr>
            <w:tcW w:w="2254" w:type="dxa"/>
          </w:tcPr>
          <w:p w14:paraId="7C827C23" w14:textId="004292A1" w:rsidR="00806411" w:rsidRPr="00037AD4" w:rsidRDefault="00806411" w:rsidP="00806411">
            <w:pPr>
              <w:rPr>
                <w:rFonts w:asciiTheme="minorHAnsi" w:hAnsiTheme="minorHAnsi" w:cstheme="minorHAnsi"/>
              </w:rPr>
            </w:pPr>
            <w:r w:rsidRPr="00037AD4">
              <w:rPr>
                <w:rFonts w:asciiTheme="minorHAnsi" w:hAnsiTheme="minorHAnsi" w:cstheme="minorHAnsi"/>
              </w:rPr>
              <w:t>EPIC</w:t>
            </w:r>
          </w:p>
        </w:tc>
      </w:tr>
      <w:tr w:rsidR="00806411" w:rsidRPr="00037AD4" w14:paraId="1F2E77B8" w14:textId="77777777" w:rsidTr="008F00F0">
        <w:tc>
          <w:tcPr>
            <w:tcW w:w="2254" w:type="dxa"/>
          </w:tcPr>
          <w:p w14:paraId="1364403B" w14:textId="77777777" w:rsidR="00806411" w:rsidRPr="00037AD4" w:rsidRDefault="00806411" w:rsidP="00806411">
            <w:pPr>
              <w:rPr>
                <w:rFonts w:asciiTheme="minorHAnsi" w:hAnsiTheme="minorHAnsi" w:cstheme="minorHAnsi"/>
              </w:rPr>
            </w:pPr>
            <w:r w:rsidRPr="00037AD4">
              <w:rPr>
                <w:rFonts w:asciiTheme="minorHAnsi" w:hAnsiTheme="minorHAnsi" w:cstheme="minorHAnsi"/>
              </w:rPr>
              <w:t>AD-5D*</w:t>
            </w:r>
          </w:p>
        </w:tc>
        <w:tc>
          <w:tcPr>
            <w:tcW w:w="2254" w:type="dxa"/>
          </w:tcPr>
          <w:p w14:paraId="0800CA04" w14:textId="77777777" w:rsidR="00806411" w:rsidRPr="00037AD4" w:rsidRDefault="00806411" w:rsidP="00806411">
            <w:pPr>
              <w:rPr>
                <w:rFonts w:asciiTheme="minorHAnsi" w:hAnsiTheme="minorHAnsi" w:cstheme="minorHAnsi"/>
              </w:rPr>
            </w:pPr>
            <w:r w:rsidRPr="00037AD4">
              <w:rPr>
                <w:rFonts w:asciiTheme="minorHAnsi" w:hAnsiTheme="minorHAnsi" w:cstheme="minorHAnsi"/>
              </w:rPr>
              <w:t>0.67 (0.23)</w:t>
            </w:r>
          </w:p>
        </w:tc>
        <w:tc>
          <w:tcPr>
            <w:tcW w:w="2254" w:type="dxa"/>
          </w:tcPr>
          <w:p w14:paraId="21529FDF" w14:textId="77777777" w:rsidR="00806411" w:rsidRPr="00037AD4" w:rsidRDefault="00806411" w:rsidP="00806411">
            <w:pPr>
              <w:rPr>
                <w:rFonts w:asciiTheme="minorHAnsi" w:hAnsiTheme="minorHAnsi" w:cstheme="minorHAnsi"/>
              </w:rPr>
            </w:pPr>
            <w:r w:rsidRPr="00037AD4">
              <w:rPr>
                <w:rFonts w:asciiTheme="minorHAnsi" w:hAnsiTheme="minorHAnsi" w:cstheme="minorHAnsi"/>
              </w:rPr>
              <w:t>0.62 (0.28)</w:t>
            </w:r>
          </w:p>
        </w:tc>
        <w:tc>
          <w:tcPr>
            <w:tcW w:w="2254" w:type="dxa"/>
          </w:tcPr>
          <w:p w14:paraId="79CBEC20" w14:textId="77777777" w:rsidR="00806411" w:rsidRPr="00037AD4" w:rsidRDefault="00806411" w:rsidP="00806411">
            <w:pPr>
              <w:rPr>
                <w:rFonts w:asciiTheme="minorHAnsi" w:hAnsiTheme="minorHAnsi" w:cstheme="minorHAnsi"/>
              </w:rPr>
            </w:pPr>
            <w:r w:rsidRPr="00037AD4">
              <w:rPr>
                <w:rFonts w:asciiTheme="minorHAnsi" w:hAnsiTheme="minorHAnsi" w:cstheme="minorHAnsi"/>
              </w:rPr>
              <w:t>0.66 (0.25)</w:t>
            </w:r>
          </w:p>
        </w:tc>
      </w:tr>
      <w:tr w:rsidR="00806411" w:rsidRPr="00037AD4" w14:paraId="3F653363" w14:textId="77777777" w:rsidTr="008F00F0">
        <w:tc>
          <w:tcPr>
            <w:tcW w:w="2254" w:type="dxa"/>
          </w:tcPr>
          <w:p w14:paraId="54B39D7E" w14:textId="77777777" w:rsidR="00806411" w:rsidRPr="00037AD4" w:rsidRDefault="00806411" w:rsidP="00806411">
            <w:pPr>
              <w:rPr>
                <w:rFonts w:asciiTheme="minorHAnsi" w:hAnsiTheme="minorHAnsi" w:cstheme="minorHAnsi"/>
              </w:rPr>
            </w:pPr>
            <w:r w:rsidRPr="00037AD4">
              <w:rPr>
                <w:rFonts w:asciiTheme="minorHAnsi" w:hAnsiTheme="minorHAnsi" w:cstheme="minorHAnsi"/>
              </w:rPr>
              <w:t>AD-5D-proxy*</w:t>
            </w:r>
          </w:p>
        </w:tc>
        <w:tc>
          <w:tcPr>
            <w:tcW w:w="2254" w:type="dxa"/>
          </w:tcPr>
          <w:p w14:paraId="09ADC7D7" w14:textId="77777777" w:rsidR="00806411" w:rsidRPr="00037AD4" w:rsidRDefault="00806411" w:rsidP="00806411">
            <w:pPr>
              <w:rPr>
                <w:rFonts w:asciiTheme="minorHAnsi" w:hAnsiTheme="minorHAnsi" w:cstheme="minorHAnsi"/>
              </w:rPr>
            </w:pPr>
            <w:r w:rsidRPr="00037AD4">
              <w:rPr>
                <w:rFonts w:asciiTheme="minorHAnsi" w:hAnsiTheme="minorHAnsi" w:cstheme="minorHAnsi"/>
              </w:rPr>
              <w:t>0.38 (0.32)</w:t>
            </w:r>
          </w:p>
        </w:tc>
        <w:tc>
          <w:tcPr>
            <w:tcW w:w="2254" w:type="dxa"/>
          </w:tcPr>
          <w:p w14:paraId="6AD82725" w14:textId="77777777" w:rsidR="00806411" w:rsidRPr="00037AD4" w:rsidRDefault="00806411" w:rsidP="00806411">
            <w:pPr>
              <w:rPr>
                <w:rFonts w:asciiTheme="minorHAnsi" w:hAnsiTheme="minorHAnsi" w:cstheme="minorHAnsi"/>
              </w:rPr>
            </w:pPr>
            <w:r w:rsidRPr="00037AD4">
              <w:rPr>
                <w:rFonts w:asciiTheme="minorHAnsi" w:hAnsiTheme="minorHAnsi" w:cstheme="minorHAnsi"/>
              </w:rPr>
              <w:t>0.39 (0.33)</w:t>
            </w:r>
          </w:p>
        </w:tc>
        <w:tc>
          <w:tcPr>
            <w:tcW w:w="2254" w:type="dxa"/>
          </w:tcPr>
          <w:p w14:paraId="01629E72" w14:textId="77777777" w:rsidR="00806411" w:rsidRPr="00037AD4" w:rsidRDefault="00806411" w:rsidP="00806411">
            <w:pPr>
              <w:rPr>
                <w:rFonts w:asciiTheme="minorHAnsi" w:hAnsiTheme="minorHAnsi" w:cstheme="minorHAnsi"/>
              </w:rPr>
            </w:pPr>
            <w:r w:rsidRPr="00037AD4">
              <w:rPr>
                <w:rFonts w:asciiTheme="minorHAnsi" w:hAnsiTheme="minorHAnsi" w:cstheme="minorHAnsi"/>
              </w:rPr>
              <w:t>-</w:t>
            </w:r>
          </w:p>
        </w:tc>
      </w:tr>
      <w:tr w:rsidR="00806411" w:rsidRPr="00037AD4" w14:paraId="10036B7F" w14:textId="77777777" w:rsidTr="008F00F0">
        <w:tc>
          <w:tcPr>
            <w:tcW w:w="2254" w:type="dxa"/>
          </w:tcPr>
          <w:p w14:paraId="28712ABE" w14:textId="77777777" w:rsidR="00806411" w:rsidRPr="00037AD4" w:rsidRDefault="00806411" w:rsidP="00806411">
            <w:pPr>
              <w:rPr>
                <w:rFonts w:asciiTheme="minorHAnsi" w:hAnsiTheme="minorHAnsi" w:cstheme="minorHAnsi"/>
              </w:rPr>
            </w:pPr>
            <w:r w:rsidRPr="00037AD4">
              <w:rPr>
                <w:rFonts w:asciiTheme="minorHAnsi" w:hAnsiTheme="minorHAnsi" w:cstheme="minorHAnsi"/>
              </w:rPr>
              <w:t>DEMQoL-U</w:t>
            </w:r>
          </w:p>
        </w:tc>
        <w:tc>
          <w:tcPr>
            <w:tcW w:w="2254" w:type="dxa"/>
          </w:tcPr>
          <w:p w14:paraId="18818ECC" w14:textId="77777777" w:rsidR="00806411" w:rsidRPr="00037AD4" w:rsidRDefault="00806411" w:rsidP="00806411">
            <w:pPr>
              <w:rPr>
                <w:rFonts w:asciiTheme="minorHAnsi" w:hAnsiTheme="minorHAnsi" w:cstheme="minorHAnsi"/>
              </w:rPr>
            </w:pPr>
            <w:r w:rsidRPr="00037AD4">
              <w:rPr>
                <w:rFonts w:asciiTheme="minorHAnsi" w:hAnsiTheme="minorHAnsi" w:cstheme="minorHAnsi"/>
              </w:rPr>
              <w:t>-</w:t>
            </w:r>
          </w:p>
        </w:tc>
        <w:tc>
          <w:tcPr>
            <w:tcW w:w="2254" w:type="dxa"/>
          </w:tcPr>
          <w:p w14:paraId="3D4FDE6F" w14:textId="77777777" w:rsidR="00806411" w:rsidRPr="00037AD4" w:rsidRDefault="00806411" w:rsidP="00806411">
            <w:pPr>
              <w:rPr>
                <w:rFonts w:asciiTheme="minorHAnsi" w:hAnsiTheme="minorHAnsi" w:cstheme="minorHAnsi"/>
              </w:rPr>
            </w:pPr>
            <w:r w:rsidRPr="00037AD4">
              <w:rPr>
                <w:rFonts w:asciiTheme="minorHAnsi" w:hAnsiTheme="minorHAnsi" w:cstheme="minorHAnsi"/>
              </w:rPr>
              <w:t>0.87 (0.10)</w:t>
            </w:r>
          </w:p>
        </w:tc>
        <w:tc>
          <w:tcPr>
            <w:tcW w:w="2254" w:type="dxa"/>
          </w:tcPr>
          <w:p w14:paraId="3C151640" w14:textId="77777777" w:rsidR="00806411" w:rsidRPr="00037AD4" w:rsidRDefault="00806411" w:rsidP="00806411">
            <w:pPr>
              <w:rPr>
                <w:rFonts w:asciiTheme="minorHAnsi" w:hAnsiTheme="minorHAnsi" w:cstheme="minorHAnsi"/>
              </w:rPr>
            </w:pPr>
            <w:r w:rsidRPr="00037AD4">
              <w:rPr>
                <w:rFonts w:asciiTheme="minorHAnsi" w:hAnsiTheme="minorHAnsi" w:cstheme="minorHAnsi"/>
              </w:rPr>
              <w:t>-</w:t>
            </w:r>
          </w:p>
        </w:tc>
      </w:tr>
      <w:tr w:rsidR="00806411" w:rsidRPr="00037AD4" w14:paraId="69DA8FAD" w14:textId="77777777" w:rsidTr="008F00F0">
        <w:tc>
          <w:tcPr>
            <w:tcW w:w="2254" w:type="dxa"/>
          </w:tcPr>
          <w:p w14:paraId="6E3F9D3C" w14:textId="77777777" w:rsidR="00806411" w:rsidRPr="00037AD4" w:rsidRDefault="00806411" w:rsidP="00806411">
            <w:pPr>
              <w:rPr>
                <w:rFonts w:asciiTheme="minorHAnsi" w:hAnsiTheme="minorHAnsi" w:cstheme="minorHAnsi"/>
              </w:rPr>
            </w:pPr>
            <w:r w:rsidRPr="00037AD4">
              <w:rPr>
                <w:rFonts w:asciiTheme="minorHAnsi" w:hAnsiTheme="minorHAnsi" w:cstheme="minorHAnsi"/>
              </w:rPr>
              <w:t>DEMQoL-proxy-U</w:t>
            </w:r>
          </w:p>
        </w:tc>
        <w:tc>
          <w:tcPr>
            <w:tcW w:w="2254" w:type="dxa"/>
          </w:tcPr>
          <w:p w14:paraId="197FE62F" w14:textId="77777777" w:rsidR="00806411" w:rsidRPr="00037AD4" w:rsidRDefault="00806411" w:rsidP="00806411">
            <w:pPr>
              <w:rPr>
                <w:rFonts w:asciiTheme="minorHAnsi" w:hAnsiTheme="minorHAnsi" w:cstheme="minorHAnsi"/>
              </w:rPr>
            </w:pPr>
            <w:r w:rsidRPr="00037AD4">
              <w:rPr>
                <w:rFonts w:asciiTheme="minorHAnsi" w:hAnsiTheme="minorHAnsi" w:cstheme="minorHAnsi"/>
              </w:rPr>
              <w:t>-</w:t>
            </w:r>
          </w:p>
        </w:tc>
        <w:tc>
          <w:tcPr>
            <w:tcW w:w="2254" w:type="dxa"/>
          </w:tcPr>
          <w:p w14:paraId="5AAE5564" w14:textId="77777777" w:rsidR="00806411" w:rsidRPr="00037AD4" w:rsidRDefault="00806411" w:rsidP="00806411">
            <w:pPr>
              <w:rPr>
                <w:rFonts w:asciiTheme="minorHAnsi" w:hAnsiTheme="minorHAnsi" w:cstheme="minorHAnsi"/>
              </w:rPr>
            </w:pPr>
            <w:r w:rsidRPr="00037AD4">
              <w:rPr>
                <w:rFonts w:asciiTheme="minorHAnsi" w:hAnsiTheme="minorHAnsi" w:cstheme="minorHAnsi"/>
              </w:rPr>
              <w:t>0.74 (0.13)</w:t>
            </w:r>
          </w:p>
        </w:tc>
        <w:tc>
          <w:tcPr>
            <w:tcW w:w="2254" w:type="dxa"/>
          </w:tcPr>
          <w:p w14:paraId="6D0EBFA2" w14:textId="77777777" w:rsidR="00806411" w:rsidRPr="00037AD4" w:rsidRDefault="00806411" w:rsidP="00806411">
            <w:pPr>
              <w:rPr>
                <w:rFonts w:asciiTheme="minorHAnsi" w:hAnsiTheme="minorHAnsi" w:cstheme="minorHAnsi"/>
              </w:rPr>
            </w:pPr>
            <w:r w:rsidRPr="00037AD4">
              <w:rPr>
                <w:rFonts w:asciiTheme="minorHAnsi" w:hAnsiTheme="minorHAnsi" w:cstheme="minorHAnsi"/>
              </w:rPr>
              <w:t>0.68 (0.10)</w:t>
            </w:r>
          </w:p>
        </w:tc>
      </w:tr>
      <w:tr w:rsidR="00806411" w:rsidRPr="00037AD4" w14:paraId="10EE508F" w14:textId="77777777" w:rsidTr="008F00F0">
        <w:tc>
          <w:tcPr>
            <w:tcW w:w="2254" w:type="dxa"/>
          </w:tcPr>
          <w:p w14:paraId="00C6DA5C" w14:textId="77777777" w:rsidR="00806411" w:rsidRPr="00037AD4" w:rsidRDefault="00806411" w:rsidP="00806411">
            <w:pPr>
              <w:rPr>
                <w:rFonts w:asciiTheme="minorHAnsi" w:hAnsiTheme="minorHAnsi" w:cstheme="minorHAnsi"/>
              </w:rPr>
            </w:pPr>
            <w:r w:rsidRPr="00037AD4">
              <w:rPr>
                <w:rFonts w:asciiTheme="minorHAnsi" w:hAnsiTheme="minorHAnsi" w:cstheme="minorHAnsi"/>
              </w:rPr>
              <w:t>DEMQoL-proxy-U (staff)</w:t>
            </w:r>
          </w:p>
        </w:tc>
        <w:tc>
          <w:tcPr>
            <w:tcW w:w="2254" w:type="dxa"/>
          </w:tcPr>
          <w:p w14:paraId="67B3AE39" w14:textId="77777777" w:rsidR="00806411" w:rsidRPr="00037AD4" w:rsidRDefault="00806411" w:rsidP="00806411">
            <w:pPr>
              <w:rPr>
                <w:rFonts w:asciiTheme="minorHAnsi" w:hAnsiTheme="minorHAnsi" w:cstheme="minorHAnsi"/>
              </w:rPr>
            </w:pPr>
            <w:r w:rsidRPr="00037AD4">
              <w:rPr>
                <w:rFonts w:asciiTheme="minorHAnsi" w:hAnsiTheme="minorHAnsi" w:cstheme="minorHAnsi"/>
              </w:rPr>
              <w:t>-</w:t>
            </w:r>
          </w:p>
        </w:tc>
        <w:tc>
          <w:tcPr>
            <w:tcW w:w="2254" w:type="dxa"/>
          </w:tcPr>
          <w:p w14:paraId="732FA064" w14:textId="77777777" w:rsidR="00806411" w:rsidRPr="00037AD4" w:rsidRDefault="00806411" w:rsidP="00806411">
            <w:pPr>
              <w:rPr>
                <w:rFonts w:asciiTheme="minorHAnsi" w:hAnsiTheme="minorHAnsi" w:cstheme="minorHAnsi"/>
              </w:rPr>
            </w:pPr>
            <w:r w:rsidRPr="00037AD4">
              <w:rPr>
                <w:rFonts w:asciiTheme="minorHAnsi" w:hAnsiTheme="minorHAnsi" w:cstheme="minorHAnsi"/>
              </w:rPr>
              <w:t>-</w:t>
            </w:r>
          </w:p>
        </w:tc>
        <w:tc>
          <w:tcPr>
            <w:tcW w:w="2254" w:type="dxa"/>
          </w:tcPr>
          <w:p w14:paraId="0528FFE9" w14:textId="77777777" w:rsidR="00806411" w:rsidRPr="00037AD4" w:rsidRDefault="00806411" w:rsidP="00806411">
            <w:pPr>
              <w:rPr>
                <w:rFonts w:asciiTheme="minorHAnsi" w:hAnsiTheme="minorHAnsi" w:cstheme="minorHAnsi"/>
              </w:rPr>
            </w:pPr>
            <w:r w:rsidRPr="00037AD4">
              <w:rPr>
                <w:rFonts w:asciiTheme="minorHAnsi" w:hAnsiTheme="minorHAnsi" w:cstheme="minorHAnsi"/>
              </w:rPr>
              <w:t xml:space="preserve">0.64 (0.10) </w:t>
            </w:r>
          </w:p>
        </w:tc>
      </w:tr>
      <w:tr w:rsidR="00806411" w:rsidRPr="00037AD4" w14:paraId="6622992C" w14:textId="77777777" w:rsidTr="008F00F0">
        <w:tc>
          <w:tcPr>
            <w:tcW w:w="2254" w:type="dxa"/>
          </w:tcPr>
          <w:p w14:paraId="2195394B" w14:textId="77777777" w:rsidR="00806411" w:rsidRPr="00037AD4" w:rsidRDefault="00806411" w:rsidP="00806411">
            <w:pPr>
              <w:rPr>
                <w:rFonts w:asciiTheme="minorHAnsi" w:hAnsiTheme="minorHAnsi" w:cstheme="minorHAnsi"/>
              </w:rPr>
            </w:pPr>
            <w:r w:rsidRPr="00037AD4">
              <w:rPr>
                <w:rFonts w:asciiTheme="minorHAnsi" w:hAnsiTheme="minorHAnsi" w:cstheme="minorHAnsi"/>
              </w:rPr>
              <w:t>ICECAP-O</w:t>
            </w:r>
          </w:p>
        </w:tc>
        <w:tc>
          <w:tcPr>
            <w:tcW w:w="2254" w:type="dxa"/>
          </w:tcPr>
          <w:p w14:paraId="74C3C6B0" w14:textId="77777777" w:rsidR="00806411" w:rsidRPr="00037AD4" w:rsidRDefault="00806411" w:rsidP="00806411">
            <w:pPr>
              <w:rPr>
                <w:rFonts w:asciiTheme="minorHAnsi" w:hAnsiTheme="minorHAnsi" w:cstheme="minorHAnsi"/>
              </w:rPr>
            </w:pPr>
            <w:r w:rsidRPr="00037AD4">
              <w:rPr>
                <w:rFonts w:asciiTheme="minorHAnsi" w:hAnsiTheme="minorHAnsi" w:cstheme="minorHAnsi"/>
              </w:rPr>
              <w:t>-</w:t>
            </w:r>
          </w:p>
        </w:tc>
        <w:tc>
          <w:tcPr>
            <w:tcW w:w="2254" w:type="dxa"/>
          </w:tcPr>
          <w:p w14:paraId="15AA42FA" w14:textId="77777777" w:rsidR="00806411" w:rsidRPr="00037AD4" w:rsidRDefault="00806411" w:rsidP="00806411">
            <w:pPr>
              <w:rPr>
                <w:rFonts w:asciiTheme="minorHAnsi" w:hAnsiTheme="minorHAnsi" w:cstheme="minorHAnsi"/>
              </w:rPr>
            </w:pPr>
            <w:r w:rsidRPr="00037AD4">
              <w:rPr>
                <w:rFonts w:asciiTheme="minorHAnsi" w:hAnsiTheme="minorHAnsi" w:cstheme="minorHAnsi"/>
              </w:rPr>
              <w:t>0.82 (0.15)</w:t>
            </w:r>
          </w:p>
        </w:tc>
        <w:tc>
          <w:tcPr>
            <w:tcW w:w="2254" w:type="dxa"/>
          </w:tcPr>
          <w:p w14:paraId="3FD8402B" w14:textId="77777777" w:rsidR="00806411" w:rsidRPr="00037AD4" w:rsidRDefault="00806411" w:rsidP="00806411">
            <w:pPr>
              <w:rPr>
                <w:rFonts w:asciiTheme="minorHAnsi" w:hAnsiTheme="minorHAnsi" w:cstheme="minorHAnsi"/>
              </w:rPr>
            </w:pPr>
            <w:r w:rsidRPr="00037AD4">
              <w:rPr>
                <w:rFonts w:asciiTheme="minorHAnsi" w:hAnsiTheme="minorHAnsi" w:cstheme="minorHAnsi"/>
              </w:rPr>
              <w:t>-</w:t>
            </w:r>
          </w:p>
        </w:tc>
      </w:tr>
      <w:tr w:rsidR="00806411" w:rsidRPr="00037AD4" w14:paraId="4B0F8D20" w14:textId="77777777" w:rsidTr="008F00F0">
        <w:tc>
          <w:tcPr>
            <w:tcW w:w="2254" w:type="dxa"/>
          </w:tcPr>
          <w:p w14:paraId="585B07DF" w14:textId="77777777" w:rsidR="00806411" w:rsidRPr="00037AD4" w:rsidRDefault="00806411" w:rsidP="00806411">
            <w:pPr>
              <w:rPr>
                <w:rFonts w:asciiTheme="minorHAnsi" w:hAnsiTheme="minorHAnsi" w:cstheme="minorHAnsi"/>
              </w:rPr>
            </w:pPr>
            <w:r w:rsidRPr="00037AD4">
              <w:rPr>
                <w:rFonts w:asciiTheme="minorHAnsi" w:hAnsiTheme="minorHAnsi" w:cstheme="minorHAnsi"/>
              </w:rPr>
              <w:t>ICECAP-O-proxy</w:t>
            </w:r>
          </w:p>
        </w:tc>
        <w:tc>
          <w:tcPr>
            <w:tcW w:w="2254" w:type="dxa"/>
          </w:tcPr>
          <w:p w14:paraId="3749DC84" w14:textId="77777777" w:rsidR="00806411" w:rsidRPr="00037AD4" w:rsidRDefault="00806411" w:rsidP="00806411">
            <w:pPr>
              <w:rPr>
                <w:rFonts w:asciiTheme="minorHAnsi" w:hAnsiTheme="minorHAnsi" w:cstheme="minorHAnsi"/>
              </w:rPr>
            </w:pPr>
            <w:r w:rsidRPr="00037AD4">
              <w:rPr>
                <w:rFonts w:asciiTheme="minorHAnsi" w:hAnsiTheme="minorHAnsi" w:cstheme="minorHAnsi"/>
              </w:rPr>
              <w:t>-</w:t>
            </w:r>
          </w:p>
        </w:tc>
        <w:tc>
          <w:tcPr>
            <w:tcW w:w="2254" w:type="dxa"/>
          </w:tcPr>
          <w:p w14:paraId="279D7A03" w14:textId="77777777" w:rsidR="00806411" w:rsidRPr="00037AD4" w:rsidRDefault="00806411" w:rsidP="00806411">
            <w:pPr>
              <w:rPr>
                <w:rFonts w:asciiTheme="minorHAnsi" w:hAnsiTheme="minorHAnsi" w:cstheme="minorHAnsi"/>
              </w:rPr>
            </w:pPr>
            <w:r w:rsidRPr="00037AD4">
              <w:rPr>
                <w:rFonts w:asciiTheme="minorHAnsi" w:hAnsiTheme="minorHAnsi" w:cstheme="minorHAnsi"/>
              </w:rPr>
              <w:t>0.69 (0.17)</w:t>
            </w:r>
          </w:p>
        </w:tc>
        <w:tc>
          <w:tcPr>
            <w:tcW w:w="2254" w:type="dxa"/>
          </w:tcPr>
          <w:p w14:paraId="5F5E988F" w14:textId="77777777" w:rsidR="00806411" w:rsidRPr="00037AD4" w:rsidRDefault="00806411" w:rsidP="00806411">
            <w:pPr>
              <w:rPr>
                <w:rFonts w:asciiTheme="minorHAnsi" w:hAnsiTheme="minorHAnsi" w:cstheme="minorHAnsi"/>
              </w:rPr>
            </w:pPr>
            <w:r w:rsidRPr="00037AD4">
              <w:rPr>
                <w:rFonts w:asciiTheme="minorHAnsi" w:hAnsiTheme="minorHAnsi" w:cstheme="minorHAnsi"/>
              </w:rPr>
              <w:t>-</w:t>
            </w:r>
          </w:p>
        </w:tc>
      </w:tr>
      <w:tr w:rsidR="00806411" w:rsidRPr="00037AD4" w14:paraId="2D03A504" w14:textId="77777777" w:rsidTr="008F00F0">
        <w:tc>
          <w:tcPr>
            <w:tcW w:w="9016" w:type="dxa"/>
            <w:gridSpan w:val="4"/>
          </w:tcPr>
          <w:p w14:paraId="2EA5E309" w14:textId="77777777" w:rsidR="00806411" w:rsidRPr="00037AD4" w:rsidRDefault="00806411" w:rsidP="00806411">
            <w:pPr>
              <w:rPr>
                <w:rFonts w:asciiTheme="minorHAnsi" w:hAnsiTheme="minorHAnsi" w:cstheme="minorHAnsi"/>
                <w:sz w:val="20"/>
                <w:szCs w:val="20"/>
              </w:rPr>
            </w:pPr>
            <w:r w:rsidRPr="00037AD4">
              <w:rPr>
                <w:rFonts w:asciiTheme="minorHAnsi" w:hAnsiTheme="minorHAnsi" w:cstheme="minorHAnsi"/>
                <w:color w:val="000000" w:themeColor="text1"/>
                <w:sz w:val="20"/>
                <w:szCs w:val="20"/>
              </w:rPr>
              <w:t xml:space="preserve">*AD-5D is estimated using QoL-AD instrument data; EQ-5D-3L for REMCARE; EQ-5D-5L for ACTIFCARE and EPIC; SD, standard deviation </w:t>
            </w:r>
          </w:p>
        </w:tc>
      </w:tr>
    </w:tbl>
    <w:p w14:paraId="7FDE4EA2" w14:textId="77777777" w:rsidR="00B54D51" w:rsidRPr="00037AD4" w:rsidRDefault="00B54D51" w:rsidP="000B30D3">
      <w:pPr>
        <w:rPr>
          <w:rFonts w:asciiTheme="minorHAnsi" w:hAnsiTheme="minorHAnsi" w:cstheme="minorHAnsi"/>
          <w:u w:val="single"/>
        </w:rPr>
      </w:pPr>
    </w:p>
    <w:p w14:paraId="0E7BA84C" w14:textId="77777777" w:rsidR="00B54D51" w:rsidRPr="00037AD4" w:rsidRDefault="00B54D51" w:rsidP="000B30D3">
      <w:pPr>
        <w:rPr>
          <w:rFonts w:asciiTheme="minorHAnsi" w:hAnsiTheme="minorHAnsi" w:cstheme="minorHAnsi"/>
        </w:rPr>
      </w:pPr>
      <w:r w:rsidRPr="00037AD4">
        <w:rPr>
          <w:rFonts w:asciiTheme="minorHAnsi" w:hAnsiTheme="minorHAnsi" w:cstheme="minorHAnsi"/>
        </w:rPr>
        <w:t xml:space="preserve">EQ-5D proxy index scores are reported by relationship to the PwD as shown in Table 24 below using data collected at all three timepoints. Spouse and offspring proxies were the most predominant type of proxy-relationship; when comparing their utility scores in the REMCARE and EPIC studies, spouses provided more optimistic scores. In the ACTIFCARE study, spouse-proxy scores were only slightly lower than those of offspring. </w:t>
      </w:r>
    </w:p>
    <w:p w14:paraId="38F4206F" w14:textId="77777777" w:rsidR="00B54D51" w:rsidRPr="00037AD4" w:rsidRDefault="00B54D51" w:rsidP="000B30D3">
      <w:pPr>
        <w:rPr>
          <w:rFonts w:asciiTheme="minorHAnsi" w:hAnsiTheme="minorHAnsi" w:cstheme="minorHAnsi"/>
        </w:rPr>
      </w:pPr>
    </w:p>
    <w:p w14:paraId="088D1E57" w14:textId="79F050A6" w:rsidR="00B54D51" w:rsidRPr="00037AD4" w:rsidRDefault="00B54D51" w:rsidP="000B30D3">
      <w:pPr>
        <w:rPr>
          <w:rFonts w:asciiTheme="minorHAnsi" w:hAnsiTheme="minorHAnsi" w:cstheme="minorHAnsi"/>
          <w:color w:val="000000" w:themeColor="text1"/>
        </w:rPr>
      </w:pPr>
      <w:r w:rsidRPr="00037AD4">
        <w:rPr>
          <w:rFonts w:asciiTheme="minorHAnsi" w:hAnsiTheme="minorHAnsi" w:cstheme="minorHAnsi"/>
          <w:color w:val="000000" w:themeColor="text1"/>
        </w:rPr>
        <w:t xml:space="preserve">Mean utility scores estimated from spouse and offspring data are compared with scores from PwD using an independent samples </w:t>
      </w:r>
      <w:r w:rsidR="00D64113">
        <w:rPr>
          <w:rFonts w:asciiTheme="minorHAnsi" w:hAnsiTheme="minorHAnsi" w:cstheme="minorHAnsi"/>
          <w:color w:val="000000" w:themeColor="text1"/>
        </w:rPr>
        <w:t>T</w:t>
      </w:r>
      <w:r w:rsidRPr="00037AD4">
        <w:rPr>
          <w:rFonts w:asciiTheme="minorHAnsi" w:hAnsiTheme="minorHAnsi" w:cstheme="minorHAnsi"/>
          <w:color w:val="000000" w:themeColor="text1"/>
        </w:rPr>
        <w:t xml:space="preserve">-test of the REMCARE data, showing that the scores are statistically significantly different (p=0.00, 0.59 vs. 0.49). For the ACTIFCARE and EPIC studies, the scores are not significantly different (ACTIFCARE: p=0.74, 0.59 vs. 0.60; EPIC: p=0.29, 0.28 vs. 0.23).  </w:t>
      </w:r>
    </w:p>
    <w:p w14:paraId="28D1A52E" w14:textId="77777777" w:rsidR="00B54D51" w:rsidRPr="00037AD4" w:rsidRDefault="00B54D51" w:rsidP="000B30D3">
      <w:pPr>
        <w:rPr>
          <w:rFonts w:asciiTheme="minorHAnsi" w:hAnsiTheme="minorHAnsi" w:cstheme="minorHAnsi"/>
          <w:u w:val="single"/>
        </w:rPr>
      </w:pPr>
    </w:p>
    <w:p w14:paraId="0DBAAAAF" w14:textId="77777777" w:rsidR="00B54D51" w:rsidRPr="00037AD4" w:rsidRDefault="00B54D51" w:rsidP="000B30D3">
      <w:pPr>
        <w:rPr>
          <w:rFonts w:asciiTheme="minorHAnsi" w:hAnsiTheme="minorHAnsi" w:cstheme="minorHAnsi"/>
          <w:b/>
          <w:bCs/>
          <w:i/>
          <w:iCs/>
        </w:rPr>
      </w:pPr>
      <w:r w:rsidRPr="00037AD4">
        <w:rPr>
          <w:rFonts w:asciiTheme="minorHAnsi" w:hAnsiTheme="minorHAnsi" w:cstheme="minorHAnsi"/>
          <w:b/>
          <w:bCs/>
          <w:i/>
          <w:iCs/>
          <w:color w:val="000000" w:themeColor="text1"/>
        </w:rPr>
        <w:t>Table 24, informal</w:t>
      </w:r>
      <w:r w:rsidRPr="00037AD4">
        <w:rPr>
          <w:rFonts w:asciiTheme="minorHAnsi" w:hAnsiTheme="minorHAnsi" w:cstheme="minorHAnsi"/>
          <w:b/>
          <w:bCs/>
          <w:i/>
          <w:iCs/>
        </w:rPr>
        <w:t xml:space="preserve">-proxy EQ-5D index score by proxy relationship </w:t>
      </w:r>
    </w:p>
    <w:p w14:paraId="4D32AE4D" w14:textId="77777777" w:rsidR="00B54D51" w:rsidRPr="00037AD4" w:rsidRDefault="00B54D51" w:rsidP="000B30D3">
      <w:pPr>
        <w:rPr>
          <w:rFonts w:asciiTheme="minorHAnsi" w:hAnsiTheme="minorHAnsi" w:cstheme="minorHAnsi"/>
          <w:u w:val="single"/>
        </w:rPr>
      </w:pPr>
    </w:p>
    <w:tbl>
      <w:tblPr>
        <w:tblStyle w:val="TableGrid"/>
        <w:tblW w:w="0" w:type="auto"/>
        <w:tblLook w:val="04A0" w:firstRow="1" w:lastRow="0" w:firstColumn="1" w:lastColumn="0" w:noHBand="0" w:noVBand="1"/>
      </w:tblPr>
      <w:tblGrid>
        <w:gridCol w:w="2254"/>
        <w:gridCol w:w="2254"/>
        <w:gridCol w:w="2254"/>
        <w:gridCol w:w="2254"/>
      </w:tblGrid>
      <w:tr w:rsidR="00B54D51" w:rsidRPr="00037AD4" w14:paraId="33A8ACD4" w14:textId="77777777" w:rsidTr="008F00F0">
        <w:tc>
          <w:tcPr>
            <w:tcW w:w="2254" w:type="dxa"/>
            <w:vMerge w:val="restart"/>
          </w:tcPr>
          <w:p w14:paraId="2C5598B0"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Relationship of proxy to PwD </w:t>
            </w:r>
          </w:p>
        </w:tc>
        <w:tc>
          <w:tcPr>
            <w:tcW w:w="6762" w:type="dxa"/>
            <w:gridSpan w:val="3"/>
          </w:tcPr>
          <w:p w14:paraId="6ACF742C" w14:textId="77777777" w:rsidR="00B54D51" w:rsidRPr="00037AD4" w:rsidRDefault="00B54D51" w:rsidP="008F00F0">
            <w:pPr>
              <w:jc w:val="center"/>
              <w:rPr>
                <w:rFonts w:asciiTheme="minorHAnsi" w:hAnsiTheme="minorHAnsi" w:cstheme="minorHAnsi"/>
              </w:rPr>
            </w:pPr>
            <w:r w:rsidRPr="00037AD4">
              <w:rPr>
                <w:rFonts w:asciiTheme="minorHAnsi" w:hAnsiTheme="minorHAnsi" w:cstheme="minorHAnsi"/>
              </w:rPr>
              <w:t xml:space="preserve">Trial name, mean (SD), </w:t>
            </w:r>
            <w:r w:rsidRPr="00037AD4">
              <w:rPr>
                <w:rFonts w:asciiTheme="minorHAnsi" w:hAnsiTheme="minorHAnsi" w:cstheme="minorHAnsi"/>
                <w:i/>
                <w:iCs/>
              </w:rPr>
              <w:t>n</w:t>
            </w:r>
          </w:p>
        </w:tc>
      </w:tr>
      <w:tr w:rsidR="00B54D51" w:rsidRPr="00037AD4" w14:paraId="46C39F5D" w14:textId="77777777" w:rsidTr="008F00F0">
        <w:tc>
          <w:tcPr>
            <w:tcW w:w="2254" w:type="dxa"/>
            <w:vMerge/>
          </w:tcPr>
          <w:p w14:paraId="68FB09C5" w14:textId="77777777" w:rsidR="00B54D51" w:rsidRPr="00037AD4" w:rsidRDefault="00B54D51" w:rsidP="008F00F0">
            <w:pPr>
              <w:rPr>
                <w:rFonts w:asciiTheme="minorHAnsi" w:hAnsiTheme="minorHAnsi" w:cstheme="minorHAnsi"/>
              </w:rPr>
            </w:pPr>
          </w:p>
        </w:tc>
        <w:tc>
          <w:tcPr>
            <w:tcW w:w="2254" w:type="dxa"/>
          </w:tcPr>
          <w:p w14:paraId="01B2B2B9"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REMCARE</w:t>
            </w:r>
          </w:p>
        </w:tc>
        <w:tc>
          <w:tcPr>
            <w:tcW w:w="2254" w:type="dxa"/>
          </w:tcPr>
          <w:p w14:paraId="3F7F02C1"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ACTIFCARE</w:t>
            </w:r>
          </w:p>
        </w:tc>
        <w:tc>
          <w:tcPr>
            <w:tcW w:w="2254" w:type="dxa"/>
          </w:tcPr>
          <w:p w14:paraId="06996BA7"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EPIC</w:t>
            </w:r>
          </w:p>
        </w:tc>
      </w:tr>
      <w:tr w:rsidR="00B54D51" w:rsidRPr="00037AD4" w14:paraId="7A35997D" w14:textId="77777777" w:rsidTr="008F00F0">
        <w:tc>
          <w:tcPr>
            <w:tcW w:w="2254" w:type="dxa"/>
          </w:tcPr>
          <w:p w14:paraId="59C58761"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Spouse</w:t>
            </w:r>
          </w:p>
        </w:tc>
        <w:tc>
          <w:tcPr>
            <w:tcW w:w="2254" w:type="dxa"/>
          </w:tcPr>
          <w:p w14:paraId="09E770DA" w14:textId="77777777" w:rsidR="00B54D51" w:rsidRPr="00037AD4" w:rsidRDefault="00B54D51" w:rsidP="008F00F0">
            <w:pPr>
              <w:rPr>
                <w:rFonts w:asciiTheme="minorHAnsi" w:hAnsiTheme="minorHAnsi" w:cstheme="minorHAnsi"/>
                <w:i/>
                <w:iCs/>
              </w:rPr>
            </w:pPr>
            <w:r w:rsidRPr="00037AD4">
              <w:rPr>
                <w:rFonts w:asciiTheme="minorHAnsi" w:hAnsiTheme="minorHAnsi" w:cstheme="minorHAnsi"/>
              </w:rPr>
              <w:t xml:space="preserve">0.59 (0.29), </w:t>
            </w:r>
            <w:r w:rsidRPr="00037AD4">
              <w:rPr>
                <w:rFonts w:asciiTheme="minorHAnsi" w:hAnsiTheme="minorHAnsi" w:cstheme="minorHAnsi"/>
                <w:i/>
                <w:iCs/>
              </w:rPr>
              <w:t>850</w:t>
            </w:r>
          </w:p>
        </w:tc>
        <w:tc>
          <w:tcPr>
            <w:tcW w:w="2254" w:type="dxa"/>
          </w:tcPr>
          <w:p w14:paraId="0EE12228"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0.59 (0.26), </w:t>
            </w:r>
            <w:r w:rsidRPr="00037AD4">
              <w:rPr>
                <w:rFonts w:asciiTheme="minorHAnsi" w:hAnsiTheme="minorHAnsi" w:cstheme="minorHAnsi"/>
                <w:i/>
                <w:iCs/>
              </w:rPr>
              <w:t>760</w:t>
            </w:r>
          </w:p>
        </w:tc>
        <w:tc>
          <w:tcPr>
            <w:tcW w:w="2254" w:type="dxa"/>
          </w:tcPr>
          <w:p w14:paraId="6DE80C87"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0.28 (0.37), </w:t>
            </w:r>
            <w:r w:rsidRPr="00037AD4">
              <w:rPr>
                <w:rFonts w:asciiTheme="minorHAnsi" w:hAnsiTheme="minorHAnsi" w:cstheme="minorHAnsi"/>
                <w:i/>
                <w:iCs/>
              </w:rPr>
              <w:t>88</w:t>
            </w:r>
          </w:p>
        </w:tc>
      </w:tr>
      <w:tr w:rsidR="00B54D51" w:rsidRPr="00037AD4" w14:paraId="1C0CA6FD" w14:textId="77777777" w:rsidTr="008F00F0">
        <w:tc>
          <w:tcPr>
            <w:tcW w:w="2254" w:type="dxa"/>
          </w:tcPr>
          <w:p w14:paraId="754E59C0"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Adult child</w:t>
            </w:r>
          </w:p>
        </w:tc>
        <w:tc>
          <w:tcPr>
            <w:tcW w:w="2254" w:type="dxa"/>
          </w:tcPr>
          <w:p w14:paraId="59D61901" w14:textId="77777777" w:rsidR="00B54D51" w:rsidRPr="00037AD4" w:rsidRDefault="00B54D51" w:rsidP="008F00F0">
            <w:pPr>
              <w:rPr>
                <w:rFonts w:asciiTheme="minorHAnsi" w:hAnsiTheme="minorHAnsi" w:cstheme="minorHAnsi"/>
                <w:i/>
                <w:iCs/>
              </w:rPr>
            </w:pPr>
            <w:r w:rsidRPr="00037AD4">
              <w:rPr>
                <w:rFonts w:asciiTheme="minorHAnsi" w:hAnsiTheme="minorHAnsi" w:cstheme="minorHAnsi"/>
              </w:rPr>
              <w:t xml:space="preserve">0.49 (0.27), </w:t>
            </w:r>
            <w:r w:rsidRPr="00037AD4">
              <w:rPr>
                <w:rFonts w:asciiTheme="minorHAnsi" w:hAnsiTheme="minorHAnsi" w:cstheme="minorHAnsi"/>
                <w:i/>
                <w:iCs/>
              </w:rPr>
              <w:t>252</w:t>
            </w:r>
          </w:p>
        </w:tc>
        <w:tc>
          <w:tcPr>
            <w:tcW w:w="2254" w:type="dxa"/>
          </w:tcPr>
          <w:p w14:paraId="058A17C1" w14:textId="77777777" w:rsidR="00B54D51" w:rsidRPr="00037AD4" w:rsidRDefault="00B54D51" w:rsidP="008F00F0">
            <w:pPr>
              <w:rPr>
                <w:rFonts w:asciiTheme="minorHAnsi" w:hAnsiTheme="minorHAnsi" w:cstheme="minorHAnsi"/>
                <w:i/>
                <w:iCs/>
              </w:rPr>
            </w:pPr>
            <w:r w:rsidRPr="00037AD4">
              <w:rPr>
                <w:rFonts w:asciiTheme="minorHAnsi" w:hAnsiTheme="minorHAnsi" w:cstheme="minorHAnsi"/>
              </w:rPr>
              <w:t xml:space="preserve">0.60 (0.25), </w:t>
            </w:r>
            <w:r w:rsidRPr="00037AD4">
              <w:rPr>
                <w:rFonts w:asciiTheme="minorHAnsi" w:hAnsiTheme="minorHAnsi" w:cstheme="minorHAnsi"/>
                <w:i/>
                <w:iCs/>
              </w:rPr>
              <w:t>377</w:t>
            </w:r>
          </w:p>
        </w:tc>
        <w:tc>
          <w:tcPr>
            <w:tcW w:w="2254" w:type="dxa"/>
          </w:tcPr>
          <w:p w14:paraId="1DBDF92B"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0.23 (0.35), </w:t>
            </w:r>
            <w:r w:rsidRPr="00037AD4">
              <w:rPr>
                <w:rFonts w:asciiTheme="minorHAnsi" w:hAnsiTheme="minorHAnsi" w:cstheme="minorHAnsi"/>
                <w:i/>
                <w:iCs/>
              </w:rPr>
              <w:t>207</w:t>
            </w:r>
          </w:p>
        </w:tc>
      </w:tr>
      <w:tr w:rsidR="00B54D51" w:rsidRPr="00037AD4" w14:paraId="50E3EE0E" w14:textId="77777777" w:rsidTr="008F00F0">
        <w:tc>
          <w:tcPr>
            <w:tcW w:w="2254" w:type="dxa"/>
          </w:tcPr>
          <w:p w14:paraId="2C6EEC83"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Other family member</w:t>
            </w:r>
          </w:p>
        </w:tc>
        <w:tc>
          <w:tcPr>
            <w:tcW w:w="2254" w:type="dxa"/>
          </w:tcPr>
          <w:p w14:paraId="367424B3" w14:textId="77777777" w:rsidR="00B54D51" w:rsidRPr="00037AD4" w:rsidRDefault="00B54D51" w:rsidP="008F00F0">
            <w:pPr>
              <w:rPr>
                <w:rFonts w:asciiTheme="minorHAnsi" w:hAnsiTheme="minorHAnsi" w:cstheme="minorHAnsi"/>
                <w:i/>
                <w:iCs/>
              </w:rPr>
            </w:pPr>
            <w:r w:rsidRPr="00037AD4">
              <w:rPr>
                <w:rFonts w:asciiTheme="minorHAnsi" w:hAnsiTheme="minorHAnsi" w:cstheme="minorHAnsi"/>
              </w:rPr>
              <w:t xml:space="preserve">0.68 (0.26), </w:t>
            </w:r>
            <w:r w:rsidRPr="00037AD4">
              <w:rPr>
                <w:rFonts w:asciiTheme="minorHAnsi" w:hAnsiTheme="minorHAnsi" w:cstheme="minorHAnsi"/>
                <w:i/>
                <w:iCs/>
              </w:rPr>
              <w:t>24</w:t>
            </w:r>
          </w:p>
        </w:tc>
        <w:tc>
          <w:tcPr>
            <w:tcW w:w="2254" w:type="dxa"/>
          </w:tcPr>
          <w:p w14:paraId="20B0A8F7" w14:textId="77777777" w:rsidR="00B54D51" w:rsidRPr="00037AD4" w:rsidRDefault="00B54D51" w:rsidP="008F00F0">
            <w:pPr>
              <w:rPr>
                <w:rFonts w:asciiTheme="minorHAnsi" w:hAnsiTheme="minorHAnsi" w:cstheme="minorHAnsi"/>
                <w:i/>
                <w:iCs/>
              </w:rPr>
            </w:pPr>
            <w:r w:rsidRPr="00037AD4">
              <w:rPr>
                <w:rFonts w:asciiTheme="minorHAnsi" w:hAnsiTheme="minorHAnsi" w:cstheme="minorHAnsi"/>
              </w:rPr>
              <w:t xml:space="preserve">0.65 (0.20), </w:t>
            </w:r>
            <w:r w:rsidRPr="00037AD4">
              <w:rPr>
                <w:rFonts w:asciiTheme="minorHAnsi" w:hAnsiTheme="minorHAnsi" w:cstheme="minorHAnsi"/>
                <w:i/>
                <w:iCs/>
              </w:rPr>
              <w:t>33</w:t>
            </w:r>
          </w:p>
        </w:tc>
        <w:tc>
          <w:tcPr>
            <w:tcW w:w="2254" w:type="dxa"/>
          </w:tcPr>
          <w:p w14:paraId="344EDF94"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0.31 (0.43), </w:t>
            </w:r>
            <w:r w:rsidRPr="00037AD4">
              <w:rPr>
                <w:rFonts w:asciiTheme="minorHAnsi" w:hAnsiTheme="minorHAnsi" w:cstheme="minorHAnsi"/>
                <w:i/>
                <w:iCs/>
              </w:rPr>
              <w:t>40</w:t>
            </w:r>
          </w:p>
        </w:tc>
      </w:tr>
      <w:tr w:rsidR="00B54D51" w:rsidRPr="00037AD4" w14:paraId="086C0727" w14:textId="77777777" w:rsidTr="008F00F0">
        <w:tc>
          <w:tcPr>
            <w:tcW w:w="2254" w:type="dxa"/>
          </w:tcPr>
          <w:p w14:paraId="53307F41"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Friend/Neighbour</w:t>
            </w:r>
          </w:p>
        </w:tc>
        <w:tc>
          <w:tcPr>
            <w:tcW w:w="2254" w:type="dxa"/>
          </w:tcPr>
          <w:p w14:paraId="068EB73C" w14:textId="77777777" w:rsidR="00B54D51" w:rsidRPr="00037AD4" w:rsidRDefault="00B54D51" w:rsidP="008F00F0">
            <w:pPr>
              <w:rPr>
                <w:rFonts w:asciiTheme="minorHAnsi" w:hAnsiTheme="minorHAnsi" w:cstheme="minorHAnsi"/>
                <w:i/>
                <w:iCs/>
              </w:rPr>
            </w:pPr>
            <w:r w:rsidRPr="00037AD4">
              <w:rPr>
                <w:rFonts w:asciiTheme="minorHAnsi" w:hAnsiTheme="minorHAnsi" w:cstheme="minorHAnsi"/>
              </w:rPr>
              <w:t xml:space="preserve">0.58 (0.28), </w:t>
            </w:r>
            <w:r w:rsidRPr="00037AD4">
              <w:rPr>
                <w:rFonts w:asciiTheme="minorHAnsi" w:hAnsiTheme="minorHAnsi" w:cstheme="minorHAnsi"/>
                <w:i/>
                <w:iCs/>
              </w:rPr>
              <w:t>40</w:t>
            </w:r>
          </w:p>
        </w:tc>
        <w:tc>
          <w:tcPr>
            <w:tcW w:w="2254" w:type="dxa"/>
          </w:tcPr>
          <w:p w14:paraId="2C182B60"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0.42 (0.26), </w:t>
            </w:r>
            <w:r w:rsidRPr="00037AD4">
              <w:rPr>
                <w:rFonts w:asciiTheme="minorHAnsi" w:hAnsiTheme="minorHAnsi" w:cstheme="minorHAnsi"/>
                <w:i/>
                <w:iCs/>
              </w:rPr>
              <w:t>9</w:t>
            </w:r>
          </w:p>
        </w:tc>
        <w:tc>
          <w:tcPr>
            <w:tcW w:w="2254" w:type="dxa"/>
          </w:tcPr>
          <w:p w14:paraId="3644CCA8"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0.66 (0.29), </w:t>
            </w:r>
            <w:r w:rsidRPr="00037AD4">
              <w:rPr>
                <w:rFonts w:asciiTheme="minorHAnsi" w:hAnsiTheme="minorHAnsi" w:cstheme="minorHAnsi"/>
                <w:i/>
                <w:iCs/>
              </w:rPr>
              <w:t xml:space="preserve">11 </w:t>
            </w:r>
          </w:p>
        </w:tc>
      </w:tr>
      <w:tr w:rsidR="00B54D51" w:rsidRPr="00037AD4" w14:paraId="41D94E12" w14:textId="77777777" w:rsidTr="008F00F0">
        <w:tc>
          <w:tcPr>
            <w:tcW w:w="2254" w:type="dxa"/>
          </w:tcPr>
          <w:p w14:paraId="335B0689"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Other </w:t>
            </w:r>
          </w:p>
        </w:tc>
        <w:tc>
          <w:tcPr>
            <w:tcW w:w="2254" w:type="dxa"/>
          </w:tcPr>
          <w:p w14:paraId="4616856B" w14:textId="77777777" w:rsidR="00B54D51" w:rsidRPr="00037AD4" w:rsidRDefault="00B54D51" w:rsidP="008F00F0">
            <w:pPr>
              <w:rPr>
                <w:rFonts w:asciiTheme="minorHAnsi" w:hAnsiTheme="minorHAnsi" w:cstheme="minorHAnsi"/>
                <w:i/>
                <w:iCs/>
              </w:rPr>
            </w:pPr>
            <w:r w:rsidRPr="00037AD4">
              <w:rPr>
                <w:rFonts w:asciiTheme="minorHAnsi" w:hAnsiTheme="minorHAnsi" w:cstheme="minorHAnsi"/>
              </w:rPr>
              <w:t xml:space="preserve">0.58 (0.24), </w:t>
            </w:r>
            <w:r w:rsidRPr="00037AD4">
              <w:rPr>
                <w:rFonts w:asciiTheme="minorHAnsi" w:hAnsiTheme="minorHAnsi" w:cstheme="minorHAnsi"/>
                <w:i/>
                <w:iCs/>
              </w:rPr>
              <w:t>36</w:t>
            </w:r>
          </w:p>
        </w:tc>
        <w:tc>
          <w:tcPr>
            <w:tcW w:w="2254" w:type="dxa"/>
          </w:tcPr>
          <w:p w14:paraId="690936EE" w14:textId="77777777" w:rsidR="00B54D51" w:rsidRPr="00037AD4" w:rsidRDefault="00B54D51" w:rsidP="008F00F0">
            <w:pPr>
              <w:rPr>
                <w:rFonts w:asciiTheme="minorHAnsi" w:hAnsiTheme="minorHAnsi" w:cstheme="minorHAnsi"/>
                <w:i/>
                <w:iCs/>
              </w:rPr>
            </w:pPr>
            <w:r w:rsidRPr="00037AD4">
              <w:rPr>
                <w:rFonts w:asciiTheme="minorHAnsi" w:hAnsiTheme="minorHAnsi" w:cstheme="minorHAnsi"/>
              </w:rPr>
              <w:t xml:space="preserve">0.83 (0.14), </w:t>
            </w:r>
            <w:r w:rsidRPr="00037AD4">
              <w:rPr>
                <w:rFonts w:asciiTheme="minorHAnsi" w:hAnsiTheme="minorHAnsi" w:cstheme="minorHAnsi"/>
                <w:i/>
                <w:iCs/>
              </w:rPr>
              <w:t>3</w:t>
            </w:r>
          </w:p>
        </w:tc>
        <w:tc>
          <w:tcPr>
            <w:tcW w:w="2254" w:type="dxa"/>
          </w:tcPr>
          <w:p w14:paraId="218D393B"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w:t>
            </w:r>
          </w:p>
        </w:tc>
      </w:tr>
      <w:tr w:rsidR="00B54D51" w:rsidRPr="00037AD4" w14:paraId="6B48A107" w14:textId="77777777" w:rsidTr="008F00F0">
        <w:tc>
          <w:tcPr>
            <w:tcW w:w="2254" w:type="dxa"/>
          </w:tcPr>
          <w:p w14:paraId="4894E6E0"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Staff </w:t>
            </w:r>
          </w:p>
        </w:tc>
        <w:tc>
          <w:tcPr>
            <w:tcW w:w="2254" w:type="dxa"/>
          </w:tcPr>
          <w:p w14:paraId="1369ED27"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 </w:t>
            </w:r>
          </w:p>
        </w:tc>
        <w:tc>
          <w:tcPr>
            <w:tcW w:w="2254" w:type="dxa"/>
          </w:tcPr>
          <w:p w14:paraId="61BBB979"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w:t>
            </w:r>
          </w:p>
        </w:tc>
        <w:tc>
          <w:tcPr>
            <w:tcW w:w="2254" w:type="dxa"/>
          </w:tcPr>
          <w:p w14:paraId="79C73BA8"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0.49 (0.41), </w:t>
            </w:r>
            <w:r w:rsidRPr="00037AD4">
              <w:rPr>
                <w:rFonts w:asciiTheme="minorHAnsi" w:hAnsiTheme="minorHAnsi" w:cstheme="minorHAnsi"/>
                <w:i/>
                <w:iCs/>
              </w:rPr>
              <w:t>1679</w:t>
            </w:r>
          </w:p>
        </w:tc>
      </w:tr>
      <w:tr w:rsidR="00B54D51" w:rsidRPr="00037AD4" w14:paraId="7B90DCEE" w14:textId="77777777" w:rsidTr="008F00F0">
        <w:trPr>
          <w:trHeight w:val="83"/>
        </w:trPr>
        <w:tc>
          <w:tcPr>
            <w:tcW w:w="9016" w:type="dxa"/>
            <w:gridSpan w:val="4"/>
          </w:tcPr>
          <w:p w14:paraId="5C567344" w14:textId="77777777" w:rsidR="00B54D51" w:rsidRPr="00037AD4" w:rsidRDefault="00B54D51" w:rsidP="008F00F0">
            <w:pPr>
              <w:rPr>
                <w:rFonts w:asciiTheme="minorHAnsi" w:hAnsiTheme="minorHAnsi" w:cstheme="minorHAnsi"/>
              </w:rPr>
            </w:pPr>
            <w:r w:rsidRPr="00037AD4">
              <w:rPr>
                <w:rFonts w:asciiTheme="minorHAnsi" w:hAnsiTheme="minorHAnsi" w:cstheme="minorHAnsi"/>
                <w:color w:val="000000" w:themeColor="text1"/>
                <w:sz w:val="20"/>
                <w:szCs w:val="20"/>
              </w:rPr>
              <w:t xml:space="preserve">EQ-5D-3L for REMCARE; EQ-5D-5L for ACTIFCARE and EPIC; SD, standard deviation </w:t>
            </w:r>
          </w:p>
        </w:tc>
      </w:tr>
    </w:tbl>
    <w:p w14:paraId="7F787F82" w14:textId="77777777" w:rsidR="00B54D51" w:rsidRPr="00037AD4" w:rsidRDefault="00B54D51" w:rsidP="000B30D3">
      <w:pPr>
        <w:rPr>
          <w:rFonts w:asciiTheme="minorHAnsi" w:hAnsiTheme="minorHAnsi" w:cstheme="minorHAnsi"/>
          <w:u w:val="single"/>
        </w:rPr>
      </w:pPr>
    </w:p>
    <w:p w14:paraId="4CC0918A" w14:textId="716D3E60" w:rsidR="00B54D51" w:rsidRPr="00037AD4" w:rsidRDefault="00B54D51" w:rsidP="000B30D3">
      <w:pPr>
        <w:rPr>
          <w:rFonts w:asciiTheme="minorHAnsi" w:hAnsiTheme="minorHAnsi" w:cstheme="minorHAnsi"/>
        </w:rPr>
      </w:pPr>
      <w:r w:rsidRPr="00037AD4">
        <w:rPr>
          <w:rFonts w:asciiTheme="minorHAnsi" w:hAnsiTheme="minorHAnsi" w:cstheme="minorHAnsi"/>
        </w:rPr>
        <w:t>Using a baseline cross-section of the data, mean EQ-5D utility</w:t>
      </w:r>
      <w:r>
        <w:rPr>
          <w:rFonts w:asciiTheme="minorHAnsi" w:hAnsiTheme="minorHAnsi" w:cstheme="minorHAnsi"/>
        </w:rPr>
        <w:t xml:space="preserve"> scores</w:t>
      </w:r>
      <w:r w:rsidRPr="00037AD4">
        <w:rPr>
          <w:rFonts w:asciiTheme="minorHAnsi" w:hAnsiTheme="minorHAnsi" w:cstheme="minorHAnsi"/>
        </w:rPr>
        <w:t xml:space="preserve"> have been further subdivided by CDR stage of the PwD and presented </w:t>
      </w:r>
      <w:r w:rsidRPr="00037AD4">
        <w:rPr>
          <w:rFonts w:asciiTheme="minorHAnsi" w:hAnsiTheme="minorHAnsi" w:cstheme="minorHAnsi"/>
          <w:color w:val="000000" w:themeColor="text1"/>
        </w:rPr>
        <w:t xml:space="preserve">in </w:t>
      </w:r>
      <w:r w:rsidRPr="00037AD4">
        <w:rPr>
          <w:rFonts w:asciiTheme="minorHAnsi" w:hAnsiTheme="minorHAnsi" w:cstheme="minorHAnsi"/>
        </w:rPr>
        <w:t>Table 25</w:t>
      </w:r>
      <w:r w:rsidRPr="00037AD4">
        <w:rPr>
          <w:rFonts w:asciiTheme="minorHAnsi" w:hAnsiTheme="minorHAnsi" w:cstheme="minorHAnsi"/>
          <w:color w:val="000000" w:themeColor="text1"/>
        </w:rPr>
        <w:t xml:space="preserve">. Paired </w:t>
      </w:r>
      <w:r w:rsidR="00D64113">
        <w:rPr>
          <w:rFonts w:asciiTheme="minorHAnsi" w:hAnsiTheme="minorHAnsi" w:cstheme="minorHAnsi"/>
          <w:color w:val="000000" w:themeColor="text1"/>
        </w:rPr>
        <w:t>T</w:t>
      </w:r>
      <w:r w:rsidRPr="00037AD4">
        <w:rPr>
          <w:rFonts w:asciiTheme="minorHAnsi" w:hAnsiTheme="minorHAnsi" w:cstheme="minorHAnsi"/>
          <w:color w:val="000000" w:themeColor="text1"/>
        </w:rPr>
        <w:t xml:space="preserve">-tests are used to compare mean values from people with dementia and proxies at each CDR stage. In this </w:t>
      </w:r>
      <w:r w:rsidRPr="00037AD4">
        <w:rPr>
          <w:rFonts w:asciiTheme="minorHAnsi" w:hAnsiTheme="minorHAnsi" w:cstheme="minorHAnsi"/>
        </w:rPr>
        <w:t xml:space="preserve">case, the null hypothesis is that there is no difference between the means of the paired observations. In all instances the scores are statistically significantly different from each other, therefore rejecting the null hypotheses. The t-values/t-statistics are also presented in the table and provide an idea of the magnitude of the difference relative to variability in the data. For REMCARE and ACTIFCARE, the t-values are larger in the mild dementia subgroup (compared to moderate dementia) indicating a greater difference between the sample </w:t>
      </w:r>
      <w:r w:rsidRPr="00037AD4">
        <w:rPr>
          <w:rFonts w:asciiTheme="minorHAnsi" w:hAnsiTheme="minorHAnsi" w:cstheme="minorHAnsi"/>
        </w:rPr>
        <w:lastRenderedPageBreak/>
        <w:t xml:space="preserve">mean and null hypothesis value at this stage. The inverse is true for the EPIC trial data; however, it must be noted that the t-value is impacted by sample size and the values generated for PwD-informal proxy comparisons in EPIC include comparatively low observation numbers. </w:t>
      </w:r>
    </w:p>
    <w:p w14:paraId="129C49F4" w14:textId="77777777" w:rsidR="00B54D51" w:rsidRPr="00037AD4" w:rsidRDefault="00B54D51" w:rsidP="000B30D3">
      <w:pPr>
        <w:rPr>
          <w:rFonts w:asciiTheme="minorHAnsi" w:hAnsiTheme="minorHAnsi" w:cstheme="minorHAnsi"/>
          <w:b/>
          <w:bCs/>
          <w:u w:val="single"/>
        </w:rPr>
      </w:pPr>
    </w:p>
    <w:p w14:paraId="10CDE1EC" w14:textId="77777777" w:rsidR="00B54D51" w:rsidRPr="00037AD4" w:rsidRDefault="00B54D51" w:rsidP="000B30D3">
      <w:pPr>
        <w:rPr>
          <w:rFonts w:asciiTheme="minorHAnsi" w:hAnsiTheme="minorHAnsi" w:cstheme="minorHAnsi"/>
          <w:b/>
          <w:bCs/>
          <w:i/>
          <w:iCs/>
        </w:rPr>
      </w:pPr>
      <w:r w:rsidRPr="00037AD4">
        <w:rPr>
          <w:rFonts w:asciiTheme="minorHAnsi" w:hAnsiTheme="minorHAnsi" w:cstheme="minorHAnsi"/>
          <w:b/>
          <w:bCs/>
          <w:i/>
          <w:iCs/>
        </w:rPr>
        <w:t xml:space="preserve">Table 25, EQ-5D index scores by respondent type and CDR stage </w:t>
      </w:r>
    </w:p>
    <w:p w14:paraId="4560CAC3" w14:textId="77777777" w:rsidR="00B54D51" w:rsidRPr="00037AD4" w:rsidRDefault="00B54D51" w:rsidP="000B30D3">
      <w:pPr>
        <w:rPr>
          <w:rFonts w:asciiTheme="minorHAnsi" w:hAnsiTheme="minorHAnsi" w:cstheme="minorHAnsi"/>
          <w:b/>
          <w:bCs/>
          <w:u w:val="single"/>
        </w:rPr>
      </w:pPr>
    </w:p>
    <w:tbl>
      <w:tblPr>
        <w:tblStyle w:val="TableGrid"/>
        <w:tblW w:w="0" w:type="auto"/>
        <w:tblInd w:w="-5" w:type="dxa"/>
        <w:tblLook w:val="04A0" w:firstRow="1" w:lastRow="0" w:firstColumn="1" w:lastColumn="0" w:noHBand="0" w:noVBand="1"/>
      </w:tblPr>
      <w:tblGrid>
        <w:gridCol w:w="1334"/>
        <w:gridCol w:w="1407"/>
        <w:gridCol w:w="853"/>
        <w:gridCol w:w="1498"/>
        <w:gridCol w:w="853"/>
        <w:gridCol w:w="1405"/>
        <w:gridCol w:w="757"/>
        <w:gridCol w:w="914"/>
      </w:tblGrid>
      <w:tr w:rsidR="00B54D51" w:rsidRPr="00037AD4" w14:paraId="0BBE7F4E" w14:textId="77777777" w:rsidTr="008F00F0">
        <w:tc>
          <w:tcPr>
            <w:tcW w:w="0" w:type="auto"/>
          </w:tcPr>
          <w:p w14:paraId="2D4F853D" w14:textId="77777777" w:rsidR="00B54D51" w:rsidRPr="00037AD4" w:rsidRDefault="00B54D51" w:rsidP="008F00F0">
            <w:pPr>
              <w:rPr>
                <w:rFonts w:asciiTheme="minorHAnsi" w:hAnsiTheme="minorHAnsi" w:cstheme="minorHAnsi"/>
                <w:b/>
                <w:bCs/>
                <w:sz w:val="22"/>
                <w:szCs w:val="22"/>
              </w:rPr>
            </w:pPr>
          </w:p>
        </w:tc>
        <w:tc>
          <w:tcPr>
            <w:tcW w:w="0" w:type="auto"/>
            <w:gridSpan w:val="2"/>
          </w:tcPr>
          <w:p w14:paraId="5EB74C4D" w14:textId="77777777" w:rsidR="00B54D51" w:rsidRPr="00037AD4" w:rsidRDefault="00B54D51" w:rsidP="008F00F0">
            <w:pPr>
              <w:jc w:val="center"/>
              <w:rPr>
                <w:rFonts w:asciiTheme="minorHAnsi" w:hAnsiTheme="minorHAnsi" w:cstheme="minorHAnsi"/>
                <w:sz w:val="22"/>
                <w:szCs w:val="22"/>
              </w:rPr>
            </w:pPr>
            <w:r w:rsidRPr="00037AD4">
              <w:rPr>
                <w:rFonts w:asciiTheme="minorHAnsi" w:hAnsiTheme="minorHAnsi" w:cstheme="minorHAnsi"/>
                <w:sz w:val="22"/>
                <w:szCs w:val="22"/>
              </w:rPr>
              <w:t>REMCARE</w:t>
            </w:r>
          </w:p>
        </w:tc>
        <w:tc>
          <w:tcPr>
            <w:tcW w:w="0" w:type="auto"/>
            <w:gridSpan w:val="2"/>
          </w:tcPr>
          <w:p w14:paraId="38F70954" w14:textId="77777777" w:rsidR="00B54D51" w:rsidRPr="00037AD4" w:rsidRDefault="00B54D51" w:rsidP="008F00F0">
            <w:pPr>
              <w:rPr>
                <w:rFonts w:asciiTheme="minorHAnsi" w:hAnsiTheme="minorHAnsi" w:cstheme="minorHAnsi"/>
                <w:sz w:val="22"/>
                <w:szCs w:val="22"/>
              </w:rPr>
            </w:pPr>
            <w:r w:rsidRPr="00037AD4">
              <w:rPr>
                <w:rFonts w:asciiTheme="minorHAnsi" w:hAnsiTheme="minorHAnsi" w:cstheme="minorHAnsi"/>
                <w:sz w:val="22"/>
                <w:szCs w:val="22"/>
              </w:rPr>
              <w:t>ACTIFCARE</w:t>
            </w:r>
          </w:p>
        </w:tc>
        <w:tc>
          <w:tcPr>
            <w:tcW w:w="0" w:type="auto"/>
            <w:gridSpan w:val="3"/>
          </w:tcPr>
          <w:p w14:paraId="782DAFCF" w14:textId="77777777" w:rsidR="00B54D51" w:rsidRPr="00037AD4" w:rsidRDefault="00B54D51" w:rsidP="008F00F0">
            <w:pPr>
              <w:rPr>
                <w:rFonts w:asciiTheme="minorHAnsi" w:hAnsiTheme="minorHAnsi" w:cstheme="minorHAnsi"/>
                <w:sz w:val="22"/>
                <w:szCs w:val="22"/>
              </w:rPr>
            </w:pPr>
            <w:r w:rsidRPr="00037AD4">
              <w:rPr>
                <w:rFonts w:asciiTheme="minorHAnsi" w:hAnsiTheme="minorHAnsi" w:cstheme="minorHAnsi"/>
                <w:sz w:val="22"/>
                <w:szCs w:val="22"/>
              </w:rPr>
              <w:t>EPIC</w:t>
            </w:r>
          </w:p>
        </w:tc>
      </w:tr>
      <w:tr w:rsidR="00B54D51" w:rsidRPr="00037AD4" w14:paraId="70B853B4" w14:textId="77777777" w:rsidTr="008F00F0">
        <w:tc>
          <w:tcPr>
            <w:tcW w:w="0" w:type="auto"/>
          </w:tcPr>
          <w:p w14:paraId="2626846A" w14:textId="77777777" w:rsidR="00B54D51" w:rsidRPr="00037AD4" w:rsidRDefault="00B54D51" w:rsidP="008F00F0">
            <w:pPr>
              <w:rPr>
                <w:rFonts w:asciiTheme="minorHAnsi" w:hAnsiTheme="minorHAnsi" w:cstheme="minorHAnsi"/>
                <w:b/>
                <w:bCs/>
                <w:sz w:val="22"/>
                <w:szCs w:val="22"/>
              </w:rPr>
            </w:pPr>
            <w:r w:rsidRPr="00037AD4">
              <w:rPr>
                <w:rFonts w:asciiTheme="minorHAnsi" w:hAnsiTheme="minorHAnsi" w:cstheme="minorHAnsi"/>
                <w:b/>
                <w:bCs/>
                <w:sz w:val="22"/>
                <w:szCs w:val="22"/>
              </w:rPr>
              <w:t xml:space="preserve">CDR stage </w:t>
            </w:r>
          </w:p>
        </w:tc>
        <w:tc>
          <w:tcPr>
            <w:tcW w:w="1407" w:type="dxa"/>
          </w:tcPr>
          <w:p w14:paraId="2EB2AF60" w14:textId="77777777" w:rsidR="00B54D51" w:rsidRPr="00037AD4" w:rsidRDefault="00B54D51" w:rsidP="008F00F0">
            <w:pPr>
              <w:rPr>
                <w:rFonts w:asciiTheme="minorHAnsi" w:hAnsiTheme="minorHAnsi" w:cstheme="minorHAnsi"/>
                <w:sz w:val="22"/>
                <w:szCs w:val="22"/>
              </w:rPr>
            </w:pPr>
            <w:r w:rsidRPr="00037AD4">
              <w:rPr>
                <w:rFonts w:asciiTheme="minorHAnsi" w:hAnsiTheme="minorHAnsi" w:cstheme="minorHAnsi"/>
                <w:sz w:val="22"/>
                <w:szCs w:val="22"/>
              </w:rPr>
              <w:t>Utility score</w:t>
            </w:r>
          </w:p>
        </w:tc>
        <w:tc>
          <w:tcPr>
            <w:tcW w:w="853" w:type="dxa"/>
          </w:tcPr>
          <w:p w14:paraId="17FEB9B0" w14:textId="77777777" w:rsidR="00B54D51" w:rsidRPr="00037AD4" w:rsidRDefault="00B54D51" w:rsidP="008F00F0">
            <w:pPr>
              <w:rPr>
                <w:rFonts w:asciiTheme="minorHAnsi" w:hAnsiTheme="minorHAnsi" w:cstheme="minorHAnsi"/>
                <w:sz w:val="22"/>
                <w:szCs w:val="22"/>
              </w:rPr>
            </w:pPr>
            <w:r w:rsidRPr="00037AD4">
              <w:rPr>
                <w:rFonts w:asciiTheme="minorHAnsi" w:hAnsiTheme="minorHAnsi" w:cstheme="minorHAnsi"/>
                <w:i/>
                <w:iCs/>
                <w:sz w:val="22"/>
                <w:szCs w:val="22"/>
              </w:rPr>
              <w:t>t</w:t>
            </w:r>
            <w:r w:rsidRPr="00037AD4">
              <w:rPr>
                <w:rFonts w:asciiTheme="minorHAnsi" w:hAnsiTheme="minorHAnsi" w:cstheme="minorHAnsi"/>
                <w:sz w:val="22"/>
                <w:szCs w:val="22"/>
              </w:rPr>
              <w:t xml:space="preserve"> </w:t>
            </w:r>
          </w:p>
        </w:tc>
        <w:tc>
          <w:tcPr>
            <w:tcW w:w="1498" w:type="dxa"/>
          </w:tcPr>
          <w:p w14:paraId="2226572D" w14:textId="77777777" w:rsidR="00B54D51" w:rsidRPr="00037AD4" w:rsidRDefault="00B54D51" w:rsidP="008F00F0">
            <w:pPr>
              <w:rPr>
                <w:rFonts w:asciiTheme="minorHAnsi" w:hAnsiTheme="minorHAnsi" w:cstheme="minorHAnsi"/>
                <w:sz w:val="22"/>
                <w:szCs w:val="22"/>
              </w:rPr>
            </w:pPr>
            <w:r w:rsidRPr="00037AD4">
              <w:rPr>
                <w:rFonts w:asciiTheme="minorHAnsi" w:hAnsiTheme="minorHAnsi" w:cstheme="minorHAnsi"/>
                <w:sz w:val="22"/>
                <w:szCs w:val="22"/>
              </w:rPr>
              <w:t>Utility score</w:t>
            </w:r>
          </w:p>
        </w:tc>
        <w:tc>
          <w:tcPr>
            <w:tcW w:w="853" w:type="dxa"/>
          </w:tcPr>
          <w:p w14:paraId="33EB22B4" w14:textId="77777777" w:rsidR="00B54D51" w:rsidRPr="00037AD4" w:rsidRDefault="00B54D51" w:rsidP="008F00F0">
            <w:pPr>
              <w:rPr>
                <w:rFonts w:asciiTheme="minorHAnsi" w:hAnsiTheme="minorHAnsi" w:cstheme="minorHAnsi"/>
                <w:sz w:val="22"/>
                <w:szCs w:val="22"/>
              </w:rPr>
            </w:pPr>
            <w:r w:rsidRPr="00037AD4">
              <w:rPr>
                <w:rFonts w:asciiTheme="minorHAnsi" w:hAnsiTheme="minorHAnsi" w:cstheme="minorHAnsi"/>
                <w:i/>
                <w:iCs/>
                <w:sz w:val="22"/>
                <w:szCs w:val="22"/>
              </w:rPr>
              <w:t>t</w:t>
            </w:r>
            <w:r w:rsidRPr="00037AD4">
              <w:rPr>
                <w:rFonts w:asciiTheme="minorHAnsi" w:hAnsiTheme="minorHAnsi" w:cstheme="minorHAnsi"/>
                <w:sz w:val="22"/>
                <w:szCs w:val="22"/>
              </w:rPr>
              <w:t xml:space="preserve"> </w:t>
            </w:r>
          </w:p>
        </w:tc>
        <w:tc>
          <w:tcPr>
            <w:tcW w:w="1405" w:type="dxa"/>
          </w:tcPr>
          <w:p w14:paraId="5E9F268F" w14:textId="77777777" w:rsidR="00B54D51" w:rsidRPr="00037AD4" w:rsidRDefault="00B54D51" w:rsidP="008F00F0">
            <w:pPr>
              <w:rPr>
                <w:rFonts w:asciiTheme="minorHAnsi" w:hAnsiTheme="minorHAnsi" w:cstheme="minorHAnsi"/>
                <w:sz w:val="22"/>
                <w:szCs w:val="22"/>
              </w:rPr>
            </w:pPr>
            <w:r w:rsidRPr="00037AD4">
              <w:rPr>
                <w:rFonts w:asciiTheme="minorHAnsi" w:hAnsiTheme="minorHAnsi" w:cstheme="minorHAnsi"/>
                <w:sz w:val="22"/>
                <w:szCs w:val="22"/>
              </w:rPr>
              <w:t>Utility score</w:t>
            </w:r>
          </w:p>
        </w:tc>
        <w:tc>
          <w:tcPr>
            <w:tcW w:w="570" w:type="dxa"/>
          </w:tcPr>
          <w:p w14:paraId="1A972D9E" w14:textId="77777777" w:rsidR="00B54D51" w:rsidRPr="00037AD4" w:rsidRDefault="00B54D51" w:rsidP="008F00F0">
            <w:pPr>
              <w:rPr>
                <w:rFonts w:asciiTheme="minorHAnsi" w:hAnsiTheme="minorHAnsi" w:cstheme="minorHAnsi"/>
                <w:sz w:val="22"/>
                <w:szCs w:val="22"/>
              </w:rPr>
            </w:pPr>
            <w:r w:rsidRPr="00037AD4">
              <w:rPr>
                <w:rFonts w:asciiTheme="minorHAnsi" w:hAnsiTheme="minorHAnsi" w:cstheme="minorHAnsi"/>
                <w:i/>
                <w:iCs/>
                <w:sz w:val="22"/>
                <w:szCs w:val="22"/>
              </w:rPr>
              <w:t xml:space="preserve">t </w:t>
            </w:r>
            <w:r w:rsidRPr="00037AD4">
              <w:rPr>
                <w:rFonts w:asciiTheme="minorHAnsi" w:hAnsiTheme="minorHAnsi" w:cstheme="minorHAnsi"/>
                <w:sz w:val="22"/>
                <w:szCs w:val="22"/>
              </w:rPr>
              <w:t>(PwD-RP)</w:t>
            </w:r>
            <w:r w:rsidRPr="00037AD4">
              <w:rPr>
                <w:rFonts w:asciiTheme="minorHAnsi" w:hAnsiTheme="minorHAnsi" w:cstheme="minorHAnsi"/>
                <w:i/>
                <w:iCs/>
                <w:sz w:val="22"/>
                <w:szCs w:val="22"/>
              </w:rPr>
              <w:t xml:space="preserve"> </w:t>
            </w:r>
          </w:p>
        </w:tc>
        <w:tc>
          <w:tcPr>
            <w:tcW w:w="0" w:type="auto"/>
          </w:tcPr>
          <w:p w14:paraId="34BDCEEE" w14:textId="77777777" w:rsidR="00B54D51" w:rsidRPr="00037AD4" w:rsidRDefault="00B54D51" w:rsidP="008F00F0">
            <w:pPr>
              <w:rPr>
                <w:rFonts w:asciiTheme="minorHAnsi" w:hAnsiTheme="minorHAnsi" w:cstheme="minorHAnsi"/>
                <w:sz w:val="22"/>
                <w:szCs w:val="22"/>
              </w:rPr>
            </w:pPr>
            <w:r w:rsidRPr="00037AD4">
              <w:rPr>
                <w:rFonts w:asciiTheme="minorHAnsi" w:hAnsiTheme="minorHAnsi" w:cstheme="minorHAnsi"/>
                <w:i/>
                <w:iCs/>
                <w:sz w:val="22"/>
                <w:szCs w:val="22"/>
              </w:rPr>
              <w:t xml:space="preserve">t </w:t>
            </w:r>
            <w:r w:rsidRPr="00037AD4">
              <w:rPr>
                <w:rFonts w:asciiTheme="minorHAnsi" w:hAnsiTheme="minorHAnsi" w:cstheme="minorHAnsi"/>
                <w:sz w:val="22"/>
                <w:szCs w:val="22"/>
              </w:rPr>
              <w:t>(PwD-SP)</w:t>
            </w:r>
          </w:p>
        </w:tc>
      </w:tr>
      <w:tr w:rsidR="00B54D51" w:rsidRPr="00037AD4" w14:paraId="18B6FFDC" w14:textId="77777777" w:rsidTr="008F00F0">
        <w:tc>
          <w:tcPr>
            <w:tcW w:w="0" w:type="auto"/>
          </w:tcPr>
          <w:p w14:paraId="6A701906" w14:textId="77777777" w:rsidR="00B54D51" w:rsidRPr="00037AD4" w:rsidRDefault="00B54D51" w:rsidP="008F00F0">
            <w:pPr>
              <w:rPr>
                <w:rFonts w:asciiTheme="minorHAnsi" w:hAnsiTheme="minorHAnsi" w:cstheme="minorHAnsi"/>
                <w:i/>
                <w:iCs/>
                <w:sz w:val="22"/>
                <w:szCs w:val="22"/>
              </w:rPr>
            </w:pPr>
            <w:r w:rsidRPr="00037AD4">
              <w:rPr>
                <w:rFonts w:asciiTheme="minorHAnsi" w:hAnsiTheme="minorHAnsi" w:cstheme="minorHAnsi"/>
                <w:i/>
                <w:iCs/>
                <w:sz w:val="22"/>
                <w:szCs w:val="22"/>
              </w:rPr>
              <w:t xml:space="preserve">Overall </w:t>
            </w:r>
          </w:p>
          <w:p w14:paraId="697CE61A" w14:textId="77777777" w:rsidR="00B54D51" w:rsidRPr="00037AD4" w:rsidRDefault="00B54D51" w:rsidP="008F00F0">
            <w:pPr>
              <w:rPr>
                <w:rFonts w:asciiTheme="minorHAnsi" w:hAnsiTheme="minorHAnsi" w:cstheme="minorHAnsi"/>
                <w:sz w:val="22"/>
                <w:szCs w:val="22"/>
              </w:rPr>
            </w:pPr>
            <w:r w:rsidRPr="00037AD4">
              <w:rPr>
                <w:rFonts w:asciiTheme="minorHAnsi" w:hAnsiTheme="minorHAnsi" w:cstheme="minorHAnsi"/>
                <w:sz w:val="22"/>
                <w:szCs w:val="22"/>
              </w:rPr>
              <w:t>Self</w:t>
            </w:r>
          </w:p>
          <w:p w14:paraId="77945500" w14:textId="77777777" w:rsidR="00B54D51" w:rsidRPr="00037AD4" w:rsidRDefault="00B54D51" w:rsidP="008F00F0">
            <w:pPr>
              <w:rPr>
                <w:rFonts w:asciiTheme="minorHAnsi" w:hAnsiTheme="minorHAnsi" w:cstheme="minorHAnsi"/>
                <w:sz w:val="22"/>
                <w:szCs w:val="22"/>
              </w:rPr>
            </w:pPr>
            <w:r w:rsidRPr="00037AD4">
              <w:rPr>
                <w:rFonts w:asciiTheme="minorHAnsi" w:hAnsiTheme="minorHAnsi" w:cstheme="minorHAnsi"/>
                <w:sz w:val="22"/>
                <w:szCs w:val="22"/>
              </w:rPr>
              <w:t>Proxy</w:t>
            </w:r>
          </w:p>
          <w:p w14:paraId="108DCDE0" w14:textId="77777777" w:rsidR="00B54D51" w:rsidRPr="00037AD4" w:rsidRDefault="00B54D51" w:rsidP="008F00F0">
            <w:pPr>
              <w:rPr>
                <w:rFonts w:asciiTheme="minorHAnsi" w:hAnsiTheme="minorHAnsi" w:cstheme="minorHAnsi"/>
                <w:i/>
                <w:iCs/>
                <w:sz w:val="22"/>
                <w:szCs w:val="22"/>
              </w:rPr>
            </w:pPr>
            <w:r w:rsidRPr="00037AD4">
              <w:rPr>
                <w:rFonts w:asciiTheme="minorHAnsi" w:hAnsiTheme="minorHAnsi" w:cstheme="minorHAnsi"/>
                <w:i/>
                <w:iCs/>
                <w:sz w:val="22"/>
                <w:szCs w:val="22"/>
              </w:rPr>
              <w:t xml:space="preserve">Staff </w:t>
            </w:r>
          </w:p>
        </w:tc>
        <w:tc>
          <w:tcPr>
            <w:tcW w:w="1407" w:type="dxa"/>
          </w:tcPr>
          <w:p w14:paraId="2B1FBB01" w14:textId="77777777" w:rsidR="00B54D51" w:rsidRPr="00037AD4" w:rsidRDefault="00B54D51" w:rsidP="008F00F0">
            <w:pPr>
              <w:rPr>
                <w:rFonts w:asciiTheme="minorHAnsi" w:hAnsiTheme="minorHAnsi" w:cstheme="minorHAnsi"/>
                <w:sz w:val="22"/>
                <w:szCs w:val="22"/>
              </w:rPr>
            </w:pPr>
          </w:p>
          <w:p w14:paraId="7B55EAC7" w14:textId="77777777" w:rsidR="00B54D51" w:rsidRPr="00037AD4" w:rsidRDefault="00B54D51" w:rsidP="008F00F0">
            <w:pPr>
              <w:rPr>
                <w:rFonts w:asciiTheme="minorHAnsi" w:hAnsiTheme="minorHAnsi" w:cstheme="minorHAnsi"/>
                <w:sz w:val="22"/>
                <w:szCs w:val="22"/>
              </w:rPr>
            </w:pPr>
            <w:r w:rsidRPr="00037AD4">
              <w:rPr>
                <w:rFonts w:asciiTheme="minorHAnsi" w:hAnsiTheme="minorHAnsi" w:cstheme="minorHAnsi"/>
                <w:sz w:val="22"/>
                <w:szCs w:val="22"/>
              </w:rPr>
              <w:t>0.75 (0.25)</w:t>
            </w:r>
          </w:p>
          <w:p w14:paraId="2A1CD732" w14:textId="77777777" w:rsidR="00B54D51" w:rsidRPr="00037AD4" w:rsidRDefault="00B54D51" w:rsidP="008F00F0">
            <w:pPr>
              <w:rPr>
                <w:rFonts w:asciiTheme="minorHAnsi" w:hAnsiTheme="minorHAnsi" w:cstheme="minorHAnsi"/>
                <w:sz w:val="22"/>
                <w:szCs w:val="22"/>
              </w:rPr>
            </w:pPr>
            <w:r w:rsidRPr="00037AD4">
              <w:rPr>
                <w:rFonts w:asciiTheme="minorHAnsi" w:hAnsiTheme="minorHAnsi" w:cstheme="minorHAnsi"/>
                <w:sz w:val="22"/>
                <w:szCs w:val="22"/>
              </w:rPr>
              <w:t>0.59 (0.28)</w:t>
            </w:r>
          </w:p>
        </w:tc>
        <w:tc>
          <w:tcPr>
            <w:tcW w:w="853" w:type="dxa"/>
          </w:tcPr>
          <w:p w14:paraId="2F78593B" w14:textId="77777777" w:rsidR="00B54D51" w:rsidRPr="00037AD4" w:rsidRDefault="00B54D51" w:rsidP="008F00F0">
            <w:pPr>
              <w:rPr>
                <w:rFonts w:asciiTheme="minorHAnsi" w:hAnsiTheme="minorHAnsi" w:cstheme="minorHAnsi"/>
                <w:sz w:val="22"/>
                <w:szCs w:val="22"/>
              </w:rPr>
            </w:pPr>
          </w:p>
          <w:p w14:paraId="3703EB86" w14:textId="77777777" w:rsidR="00B54D51" w:rsidRPr="00037AD4" w:rsidRDefault="00B54D51" w:rsidP="008F00F0">
            <w:pPr>
              <w:rPr>
                <w:rFonts w:asciiTheme="minorHAnsi" w:hAnsiTheme="minorHAnsi" w:cstheme="minorHAnsi"/>
                <w:sz w:val="22"/>
                <w:szCs w:val="22"/>
              </w:rPr>
            </w:pPr>
            <w:r w:rsidRPr="00037AD4">
              <w:rPr>
                <w:rFonts w:asciiTheme="minorHAnsi" w:hAnsiTheme="minorHAnsi" w:cstheme="minorHAnsi"/>
                <w:sz w:val="22"/>
                <w:szCs w:val="22"/>
              </w:rPr>
              <w:t>11.84*</w:t>
            </w:r>
          </w:p>
          <w:p w14:paraId="2C6F4B46" w14:textId="77777777" w:rsidR="00B54D51" w:rsidRPr="00037AD4" w:rsidRDefault="00B54D51" w:rsidP="008F00F0">
            <w:pPr>
              <w:rPr>
                <w:rFonts w:asciiTheme="minorHAnsi" w:hAnsiTheme="minorHAnsi" w:cstheme="minorHAnsi"/>
                <w:i/>
                <w:iCs/>
                <w:sz w:val="22"/>
                <w:szCs w:val="22"/>
              </w:rPr>
            </w:pPr>
            <w:r w:rsidRPr="00037AD4">
              <w:rPr>
                <w:rFonts w:asciiTheme="minorHAnsi" w:hAnsiTheme="minorHAnsi" w:cstheme="minorHAnsi"/>
                <w:i/>
                <w:iCs/>
                <w:sz w:val="22"/>
                <w:szCs w:val="22"/>
              </w:rPr>
              <w:t>n=466</w:t>
            </w:r>
          </w:p>
        </w:tc>
        <w:tc>
          <w:tcPr>
            <w:tcW w:w="1498" w:type="dxa"/>
          </w:tcPr>
          <w:p w14:paraId="44A77CDE" w14:textId="77777777" w:rsidR="00B54D51" w:rsidRPr="00037AD4" w:rsidRDefault="00B54D51" w:rsidP="008F00F0">
            <w:pPr>
              <w:rPr>
                <w:rFonts w:asciiTheme="minorHAnsi" w:hAnsiTheme="minorHAnsi" w:cstheme="minorHAnsi"/>
                <w:sz w:val="22"/>
                <w:szCs w:val="22"/>
              </w:rPr>
            </w:pPr>
          </w:p>
          <w:p w14:paraId="686E3294" w14:textId="77777777" w:rsidR="00B54D51" w:rsidRPr="00037AD4" w:rsidRDefault="00B54D51" w:rsidP="008F00F0">
            <w:pPr>
              <w:rPr>
                <w:rFonts w:asciiTheme="minorHAnsi" w:hAnsiTheme="minorHAnsi" w:cstheme="minorHAnsi"/>
                <w:sz w:val="22"/>
                <w:szCs w:val="22"/>
              </w:rPr>
            </w:pPr>
            <w:r w:rsidRPr="00037AD4">
              <w:rPr>
                <w:rFonts w:asciiTheme="minorHAnsi" w:hAnsiTheme="minorHAnsi" w:cstheme="minorHAnsi"/>
                <w:sz w:val="22"/>
                <w:szCs w:val="22"/>
              </w:rPr>
              <w:t>0.77 (0.19)</w:t>
            </w:r>
          </w:p>
          <w:p w14:paraId="6697411D" w14:textId="77777777" w:rsidR="00B54D51" w:rsidRPr="00037AD4" w:rsidRDefault="00B54D51" w:rsidP="008F00F0">
            <w:pPr>
              <w:rPr>
                <w:rFonts w:asciiTheme="minorHAnsi" w:hAnsiTheme="minorHAnsi" w:cstheme="minorHAnsi"/>
                <w:sz w:val="22"/>
                <w:szCs w:val="22"/>
              </w:rPr>
            </w:pPr>
            <w:r w:rsidRPr="00037AD4">
              <w:rPr>
                <w:rFonts w:asciiTheme="minorHAnsi" w:hAnsiTheme="minorHAnsi" w:cstheme="minorHAnsi"/>
                <w:sz w:val="22"/>
                <w:szCs w:val="22"/>
              </w:rPr>
              <w:t>0.62 (0.23)</w:t>
            </w:r>
          </w:p>
        </w:tc>
        <w:tc>
          <w:tcPr>
            <w:tcW w:w="853" w:type="dxa"/>
          </w:tcPr>
          <w:p w14:paraId="53A9DE36" w14:textId="77777777" w:rsidR="00B54D51" w:rsidRPr="00037AD4" w:rsidRDefault="00B54D51" w:rsidP="008F00F0">
            <w:pPr>
              <w:rPr>
                <w:rFonts w:asciiTheme="minorHAnsi" w:hAnsiTheme="minorHAnsi" w:cstheme="minorHAnsi"/>
                <w:sz w:val="22"/>
                <w:szCs w:val="22"/>
              </w:rPr>
            </w:pPr>
          </w:p>
          <w:p w14:paraId="36BE8DF1" w14:textId="77777777" w:rsidR="00B54D51" w:rsidRPr="00037AD4" w:rsidRDefault="00B54D51" w:rsidP="008F00F0">
            <w:pPr>
              <w:rPr>
                <w:rFonts w:asciiTheme="minorHAnsi" w:hAnsiTheme="minorHAnsi" w:cstheme="minorHAnsi"/>
                <w:sz w:val="22"/>
                <w:szCs w:val="22"/>
              </w:rPr>
            </w:pPr>
            <w:r w:rsidRPr="00037AD4">
              <w:rPr>
                <w:rFonts w:asciiTheme="minorHAnsi" w:hAnsiTheme="minorHAnsi" w:cstheme="minorHAnsi"/>
                <w:sz w:val="22"/>
                <w:szCs w:val="22"/>
              </w:rPr>
              <w:t>13.91*</w:t>
            </w:r>
          </w:p>
          <w:p w14:paraId="4758259A" w14:textId="77777777" w:rsidR="00B54D51" w:rsidRPr="00037AD4" w:rsidRDefault="00B54D51" w:rsidP="008F00F0">
            <w:pPr>
              <w:rPr>
                <w:rFonts w:asciiTheme="minorHAnsi" w:hAnsiTheme="minorHAnsi" w:cstheme="minorHAnsi"/>
                <w:i/>
                <w:iCs/>
                <w:sz w:val="22"/>
                <w:szCs w:val="22"/>
              </w:rPr>
            </w:pPr>
            <w:r w:rsidRPr="00037AD4">
              <w:rPr>
                <w:rFonts w:asciiTheme="minorHAnsi" w:hAnsiTheme="minorHAnsi" w:cstheme="minorHAnsi"/>
                <w:i/>
                <w:iCs/>
                <w:sz w:val="22"/>
                <w:szCs w:val="22"/>
              </w:rPr>
              <w:t>n=431</w:t>
            </w:r>
          </w:p>
        </w:tc>
        <w:tc>
          <w:tcPr>
            <w:tcW w:w="1405" w:type="dxa"/>
          </w:tcPr>
          <w:p w14:paraId="1BA750A0" w14:textId="77777777" w:rsidR="00B54D51" w:rsidRPr="00037AD4" w:rsidRDefault="00B54D51" w:rsidP="008F00F0">
            <w:pPr>
              <w:rPr>
                <w:rFonts w:asciiTheme="minorHAnsi" w:hAnsiTheme="minorHAnsi" w:cstheme="minorHAnsi"/>
                <w:sz w:val="22"/>
                <w:szCs w:val="22"/>
              </w:rPr>
            </w:pPr>
          </w:p>
          <w:p w14:paraId="7CCCCF21" w14:textId="77777777" w:rsidR="00B54D51" w:rsidRPr="00037AD4" w:rsidRDefault="00B54D51" w:rsidP="008F00F0">
            <w:pPr>
              <w:rPr>
                <w:rFonts w:asciiTheme="minorHAnsi" w:hAnsiTheme="minorHAnsi" w:cstheme="minorHAnsi"/>
                <w:sz w:val="22"/>
                <w:szCs w:val="22"/>
              </w:rPr>
            </w:pPr>
            <w:r w:rsidRPr="00037AD4">
              <w:rPr>
                <w:rFonts w:asciiTheme="minorHAnsi" w:hAnsiTheme="minorHAnsi" w:cstheme="minorHAnsi"/>
                <w:sz w:val="22"/>
                <w:szCs w:val="22"/>
              </w:rPr>
              <w:t>0.82 (0.24)</w:t>
            </w:r>
          </w:p>
          <w:p w14:paraId="5833305B" w14:textId="77777777" w:rsidR="00B54D51" w:rsidRPr="00037AD4" w:rsidRDefault="00B54D51" w:rsidP="008F00F0">
            <w:pPr>
              <w:rPr>
                <w:rFonts w:asciiTheme="minorHAnsi" w:hAnsiTheme="minorHAnsi" w:cstheme="minorHAnsi"/>
                <w:sz w:val="22"/>
                <w:szCs w:val="22"/>
              </w:rPr>
            </w:pPr>
            <w:r w:rsidRPr="00037AD4">
              <w:rPr>
                <w:rFonts w:asciiTheme="minorHAnsi" w:hAnsiTheme="minorHAnsi" w:cstheme="minorHAnsi"/>
                <w:sz w:val="22"/>
                <w:szCs w:val="22"/>
              </w:rPr>
              <w:t>0.33 (0.38)</w:t>
            </w:r>
          </w:p>
          <w:p w14:paraId="3ED2E734" w14:textId="77777777" w:rsidR="00B54D51" w:rsidRPr="00037AD4" w:rsidRDefault="00B54D51" w:rsidP="008F00F0">
            <w:pPr>
              <w:rPr>
                <w:rFonts w:asciiTheme="minorHAnsi" w:hAnsiTheme="minorHAnsi" w:cstheme="minorHAnsi"/>
                <w:sz w:val="22"/>
                <w:szCs w:val="22"/>
              </w:rPr>
            </w:pPr>
            <w:r w:rsidRPr="00037AD4">
              <w:rPr>
                <w:rFonts w:asciiTheme="minorHAnsi" w:hAnsiTheme="minorHAnsi" w:cstheme="minorHAnsi"/>
                <w:sz w:val="22"/>
                <w:szCs w:val="22"/>
              </w:rPr>
              <w:t>0.52 (0.39)</w:t>
            </w:r>
          </w:p>
        </w:tc>
        <w:tc>
          <w:tcPr>
            <w:tcW w:w="570" w:type="dxa"/>
          </w:tcPr>
          <w:p w14:paraId="3BFC8F0E" w14:textId="77777777" w:rsidR="00B54D51" w:rsidRPr="00037AD4" w:rsidRDefault="00B54D51" w:rsidP="008F00F0">
            <w:pPr>
              <w:rPr>
                <w:rFonts w:asciiTheme="minorHAnsi" w:hAnsiTheme="minorHAnsi" w:cstheme="minorHAnsi"/>
                <w:sz w:val="22"/>
                <w:szCs w:val="22"/>
              </w:rPr>
            </w:pPr>
          </w:p>
          <w:p w14:paraId="6308EBC4" w14:textId="77777777" w:rsidR="00B54D51" w:rsidRPr="00037AD4" w:rsidRDefault="00B54D51" w:rsidP="008F00F0">
            <w:pPr>
              <w:rPr>
                <w:rFonts w:asciiTheme="minorHAnsi" w:hAnsiTheme="minorHAnsi" w:cstheme="minorHAnsi"/>
                <w:sz w:val="22"/>
                <w:szCs w:val="22"/>
              </w:rPr>
            </w:pPr>
            <w:r w:rsidRPr="00037AD4">
              <w:rPr>
                <w:rFonts w:asciiTheme="minorHAnsi" w:hAnsiTheme="minorHAnsi" w:cstheme="minorHAnsi"/>
                <w:sz w:val="22"/>
                <w:szCs w:val="22"/>
              </w:rPr>
              <w:t>7.83*</w:t>
            </w:r>
          </w:p>
          <w:p w14:paraId="6849BCAE" w14:textId="77777777" w:rsidR="00B54D51" w:rsidRPr="00037AD4" w:rsidRDefault="00B54D51" w:rsidP="008F00F0">
            <w:pPr>
              <w:rPr>
                <w:rFonts w:asciiTheme="minorHAnsi" w:hAnsiTheme="minorHAnsi" w:cstheme="minorHAnsi"/>
                <w:i/>
                <w:iCs/>
                <w:sz w:val="22"/>
                <w:szCs w:val="22"/>
              </w:rPr>
            </w:pPr>
            <w:r w:rsidRPr="00037AD4">
              <w:rPr>
                <w:rFonts w:asciiTheme="minorHAnsi" w:hAnsiTheme="minorHAnsi" w:cstheme="minorHAnsi"/>
                <w:i/>
                <w:iCs/>
                <w:sz w:val="22"/>
                <w:szCs w:val="22"/>
              </w:rPr>
              <w:t>n=74</w:t>
            </w:r>
          </w:p>
        </w:tc>
        <w:tc>
          <w:tcPr>
            <w:tcW w:w="0" w:type="auto"/>
          </w:tcPr>
          <w:p w14:paraId="6FD8506D" w14:textId="77777777" w:rsidR="00B54D51" w:rsidRPr="00037AD4" w:rsidRDefault="00B54D51" w:rsidP="008F00F0">
            <w:pPr>
              <w:rPr>
                <w:rFonts w:asciiTheme="minorHAnsi" w:hAnsiTheme="minorHAnsi" w:cstheme="minorHAnsi"/>
                <w:sz w:val="22"/>
                <w:szCs w:val="22"/>
              </w:rPr>
            </w:pPr>
          </w:p>
          <w:p w14:paraId="5892510B" w14:textId="77777777" w:rsidR="00B54D51" w:rsidRPr="00037AD4" w:rsidRDefault="00B54D51" w:rsidP="008F00F0">
            <w:pPr>
              <w:rPr>
                <w:rFonts w:asciiTheme="minorHAnsi" w:hAnsiTheme="minorHAnsi" w:cstheme="minorHAnsi"/>
                <w:sz w:val="22"/>
                <w:szCs w:val="22"/>
              </w:rPr>
            </w:pPr>
            <w:r w:rsidRPr="00037AD4">
              <w:rPr>
                <w:rFonts w:asciiTheme="minorHAnsi" w:hAnsiTheme="minorHAnsi" w:cstheme="minorHAnsi"/>
                <w:sz w:val="22"/>
                <w:szCs w:val="22"/>
              </w:rPr>
              <w:t>10.42*</w:t>
            </w:r>
          </w:p>
          <w:p w14:paraId="003BFF1F" w14:textId="77777777" w:rsidR="00B54D51" w:rsidRPr="00037AD4" w:rsidRDefault="00B54D51" w:rsidP="008F00F0">
            <w:pPr>
              <w:rPr>
                <w:rFonts w:asciiTheme="minorHAnsi" w:hAnsiTheme="minorHAnsi" w:cstheme="minorHAnsi"/>
                <w:i/>
                <w:iCs/>
                <w:sz w:val="22"/>
                <w:szCs w:val="22"/>
              </w:rPr>
            </w:pPr>
            <w:r w:rsidRPr="00037AD4">
              <w:rPr>
                <w:rFonts w:asciiTheme="minorHAnsi" w:hAnsiTheme="minorHAnsi" w:cstheme="minorHAnsi"/>
                <w:i/>
                <w:iCs/>
                <w:sz w:val="22"/>
                <w:szCs w:val="22"/>
              </w:rPr>
              <w:t>n=359</w:t>
            </w:r>
          </w:p>
        </w:tc>
      </w:tr>
      <w:tr w:rsidR="00B54D51" w:rsidRPr="00037AD4" w14:paraId="075C54DF" w14:textId="77777777" w:rsidTr="008F00F0">
        <w:tc>
          <w:tcPr>
            <w:tcW w:w="0" w:type="auto"/>
          </w:tcPr>
          <w:p w14:paraId="3F826C39" w14:textId="77777777" w:rsidR="00B54D51" w:rsidRPr="00037AD4" w:rsidRDefault="00B54D51" w:rsidP="008F00F0">
            <w:pPr>
              <w:rPr>
                <w:rFonts w:asciiTheme="minorHAnsi" w:hAnsiTheme="minorHAnsi" w:cstheme="minorHAnsi"/>
                <w:i/>
                <w:iCs/>
                <w:sz w:val="22"/>
                <w:szCs w:val="22"/>
              </w:rPr>
            </w:pPr>
            <w:r w:rsidRPr="00037AD4">
              <w:rPr>
                <w:rFonts w:asciiTheme="minorHAnsi" w:hAnsiTheme="minorHAnsi" w:cstheme="minorHAnsi"/>
                <w:i/>
                <w:iCs/>
                <w:sz w:val="22"/>
                <w:szCs w:val="22"/>
                <w:vertAlign w:val="superscript"/>
              </w:rPr>
              <w:t xml:space="preserve">a </w:t>
            </w:r>
            <w:r w:rsidRPr="00037AD4">
              <w:rPr>
                <w:rFonts w:asciiTheme="minorHAnsi" w:hAnsiTheme="minorHAnsi" w:cstheme="minorHAnsi"/>
                <w:i/>
                <w:iCs/>
                <w:sz w:val="22"/>
                <w:szCs w:val="22"/>
              </w:rPr>
              <w:t>Mild dementia</w:t>
            </w:r>
          </w:p>
          <w:p w14:paraId="097E8BA0" w14:textId="77777777" w:rsidR="00B54D51" w:rsidRPr="00037AD4" w:rsidRDefault="00B54D51" w:rsidP="008F00F0">
            <w:pPr>
              <w:rPr>
                <w:rFonts w:asciiTheme="minorHAnsi" w:hAnsiTheme="minorHAnsi" w:cstheme="minorHAnsi"/>
                <w:sz w:val="22"/>
                <w:szCs w:val="22"/>
              </w:rPr>
            </w:pPr>
            <w:r w:rsidRPr="00037AD4">
              <w:rPr>
                <w:rFonts w:asciiTheme="minorHAnsi" w:hAnsiTheme="minorHAnsi" w:cstheme="minorHAnsi"/>
                <w:sz w:val="22"/>
                <w:szCs w:val="22"/>
              </w:rPr>
              <w:t xml:space="preserve">Self </w:t>
            </w:r>
          </w:p>
          <w:p w14:paraId="56BF38AA" w14:textId="77777777" w:rsidR="00B54D51" w:rsidRPr="00037AD4" w:rsidRDefault="00B54D51" w:rsidP="008F00F0">
            <w:pPr>
              <w:rPr>
                <w:rFonts w:asciiTheme="minorHAnsi" w:hAnsiTheme="minorHAnsi" w:cstheme="minorHAnsi"/>
                <w:sz w:val="22"/>
                <w:szCs w:val="22"/>
              </w:rPr>
            </w:pPr>
            <w:r w:rsidRPr="00037AD4">
              <w:rPr>
                <w:rFonts w:asciiTheme="minorHAnsi" w:hAnsiTheme="minorHAnsi" w:cstheme="minorHAnsi"/>
                <w:sz w:val="22"/>
                <w:szCs w:val="22"/>
              </w:rPr>
              <w:t xml:space="preserve">Proxy  </w:t>
            </w:r>
          </w:p>
          <w:p w14:paraId="00EDACCD" w14:textId="77777777" w:rsidR="00B54D51" w:rsidRPr="00037AD4" w:rsidRDefault="00B54D51" w:rsidP="008F00F0">
            <w:pPr>
              <w:rPr>
                <w:rFonts w:asciiTheme="minorHAnsi" w:hAnsiTheme="minorHAnsi" w:cstheme="minorHAnsi"/>
                <w:i/>
                <w:iCs/>
                <w:sz w:val="22"/>
                <w:szCs w:val="22"/>
              </w:rPr>
            </w:pPr>
            <w:r w:rsidRPr="00037AD4">
              <w:rPr>
                <w:rFonts w:asciiTheme="minorHAnsi" w:hAnsiTheme="minorHAnsi" w:cstheme="minorHAnsi"/>
                <w:i/>
                <w:iCs/>
                <w:sz w:val="22"/>
                <w:szCs w:val="22"/>
              </w:rPr>
              <w:t xml:space="preserve">Staff </w:t>
            </w:r>
          </w:p>
        </w:tc>
        <w:tc>
          <w:tcPr>
            <w:tcW w:w="1407" w:type="dxa"/>
          </w:tcPr>
          <w:p w14:paraId="390ADC2F" w14:textId="77777777" w:rsidR="00B54D51" w:rsidRPr="00037AD4" w:rsidRDefault="00B54D51" w:rsidP="008F00F0">
            <w:pPr>
              <w:rPr>
                <w:rFonts w:asciiTheme="minorHAnsi" w:hAnsiTheme="minorHAnsi" w:cstheme="minorHAnsi"/>
                <w:sz w:val="22"/>
                <w:szCs w:val="22"/>
              </w:rPr>
            </w:pPr>
          </w:p>
          <w:p w14:paraId="70ADDB40" w14:textId="77777777" w:rsidR="00B54D51" w:rsidRPr="00037AD4" w:rsidRDefault="00B54D51" w:rsidP="008F00F0">
            <w:pPr>
              <w:rPr>
                <w:rFonts w:asciiTheme="minorHAnsi" w:hAnsiTheme="minorHAnsi" w:cstheme="minorHAnsi"/>
                <w:sz w:val="22"/>
                <w:szCs w:val="22"/>
              </w:rPr>
            </w:pPr>
          </w:p>
          <w:p w14:paraId="58C12C4C" w14:textId="77777777" w:rsidR="00B54D51" w:rsidRPr="00037AD4" w:rsidRDefault="00B54D51" w:rsidP="008F00F0">
            <w:pPr>
              <w:rPr>
                <w:rFonts w:asciiTheme="minorHAnsi" w:hAnsiTheme="minorHAnsi" w:cstheme="minorHAnsi"/>
                <w:sz w:val="22"/>
                <w:szCs w:val="22"/>
              </w:rPr>
            </w:pPr>
            <w:r w:rsidRPr="00037AD4">
              <w:rPr>
                <w:rFonts w:asciiTheme="minorHAnsi" w:hAnsiTheme="minorHAnsi" w:cstheme="minorHAnsi"/>
                <w:sz w:val="22"/>
                <w:szCs w:val="22"/>
              </w:rPr>
              <w:t>0.77 (0.24)</w:t>
            </w:r>
          </w:p>
          <w:p w14:paraId="05CD37CE" w14:textId="77777777" w:rsidR="00B54D51" w:rsidRPr="00037AD4" w:rsidRDefault="00B54D51" w:rsidP="008F00F0">
            <w:pPr>
              <w:rPr>
                <w:rFonts w:asciiTheme="minorHAnsi" w:hAnsiTheme="minorHAnsi" w:cstheme="minorHAnsi"/>
                <w:sz w:val="22"/>
                <w:szCs w:val="22"/>
              </w:rPr>
            </w:pPr>
            <w:r w:rsidRPr="00037AD4">
              <w:rPr>
                <w:rFonts w:asciiTheme="minorHAnsi" w:hAnsiTheme="minorHAnsi" w:cstheme="minorHAnsi"/>
                <w:sz w:val="22"/>
                <w:szCs w:val="22"/>
              </w:rPr>
              <w:t>0.61 (0.28)</w:t>
            </w:r>
          </w:p>
        </w:tc>
        <w:tc>
          <w:tcPr>
            <w:tcW w:w="853" w:type="dxa"/>
          </w:tcPr>
          <w:p w14:paraId="2CE2854C" w14:textId="77777777" w:rsidR="00B54D51" w:rsidRPr="00037AD4" w:rsidRDefault="00B54D51" w:rsidP="008F00F0">
            <w:pPr>
              <w:rPr>
                <w:rFonts w:asciiTheme="minorHAnsi" w:hAnsiTheme="minorHAnsi" w:cstheme="minorHAnsi"/>
                <w:sz w:val="22"/>
                <w:szCs w:val="22"/>
              </w:rPr>
            </w:pPr>
          </w:p>
          <w:p w14:paraId="09207593" w14:textId="77777777" w:rsidR="00B54D51" w:rsidRPr="00037AD4" w:rsidRDefault="00B54D51" w:rsidP="008F00F0">
            <w:pPr>
              <w:rPr>
                <w:rFonts w:asciiTheme="minorHAnsi" w:hAnsiTheme="minorHAnsi" w:cstheme="minorHAnsi"/>
                <w:sz w:val="22"/>
                <w:szCs w:val="22"/>
              </w:rPr>
            </w:pPr>
          </w:p>
          <w:p w14:paraId="3D4B4E63" w14:textId="77777777" w:rsidR="00B54D51" w:rsidRPr="00037AD4" w:rsidRDefault="00B54D51" w:rsidP="008F00F0">
            <w:pPr>
              <w:rPr>
                <w:rFonts w:asciiTheme="minorHAnsi" w:hAnsiTheme="minorHAnsi" w:cstheme="minorHAnsi"/>
                <w:sz w:val="22"/>
                <w:szCs w:val="22"/>
              </w:rPr>
            </w:pPr>
            <w:r w:rsidRPr="00037AD4">
              <w:rPr>
                <w:rFonts w:asciiTheme="minorHAnsi" w:hAnsiTheme="minorHAnsi" w:cstheme="minorHAnsi"/>
                <w:sz w:val="22"/>
                <w:szCs w:val="22"/>
              </w:rPr>
              <w:t>10.08*</w:t>
            </w:r>
          </w:p>
          <w:p w14:paraId="0D0AF878" w14:textId="77777777" w:rsidR="00B54D51" w:rsidRPr="00037AD4" w:rsidRDefault="00B54D51" w:rsidP="008F00F0">
            <w:pPr>
              <w:rPr>
                <w:rFonts w:asciiTheme="minorHAnsi" w:hAnsiTheme="minorHAnsi" w:cstheme="minorHAnsi"/>
                <w:i/>
                <w:iCs/>
                <w:sz w:val="22"/>
                <w:szCs w:val="22"/>
              </w:rPr>
            </w:pPr>
            <w:r w:rsidRPr="00037AD4">
              <w:rPr>
                <w:rFonts w:asciiTheme="minorHAnsi" w:hAnsiTheme="minorHAnsi" w:cstheme="minorHAnsi"/>
                <w:i/>
                <w:iCs/>
                <w:sz w:val="22"/>
                <w:szCs w:val="22"/>
              </w:rPr>
              <w:t xml:space="preserve">n=346 </w:t>
            </w:r>
          </w:p>
        </w:tc>
        <w:tc>
          <w:tcPr>
            <w:tcW w:w="1498" w:type="dxa"/>
          </w:tcPr>
          <w:p w14:paraId="78EAD886" w14:textId="77777777" w:rsidR="00B54D51" w:rsidRPr="00037AD4" w:rsidRDefault="00B54D51" w:rsidP="008F00F0">
            <w:pPr>
              <w:rPr>
                <w:rFonts w:asciiTheme="minorHAnsi" w:hAnsiTheme="minorHAnsi" w:cstheme="minorHAnsi"/>
                <w:sz w:val="22"/>
                <w:szCs w:val="22"/>
              </w:rPr>
            </w:pPr>
          </w:p>
          <w:p w14:paraId="64819113" w14:textId="77777777" w:rsidR="00B54D51" w:rsidRPr="00037AD4" w:rsidRDefault="00B54D51" w:rsidP="008F00F0">
            <w:pPr>
              <w:rPr>
                <w:rFonts w:asciiTheme="minorHAnsi" w:hAnsiTheme="minorHAnsi" w:cstheme="minorHAnsi"/>
                <w:sz w:val="22"/>
                <w:szCs w:val="22"/>
              </w:rPr>
            </w:pPr>
          </w:p>
          <w:p w14:paraId="59A7849B" w14:textId="77777777" w:rsidR="00B54D51" w:rsidRPr="00037AD4" w:rsidRDefault="00B54D51" w:rsidP="008F00F0">
            <w:pPr>
              <w:rPr>
                <w:rFonts w:asciiTheme="minorHAnsi" w:hAnsiTheme="minorHAnsi" w:cstheme="minorHAnsi"/>
                <w:sz w:val="22"/>
                <w:szCs w:val="22"/>
              </w:rPr>
            </w:pPr>
            <w:r w:rsidRPr="00037AD4">
              <w:rPr>
                <w:rFonts w:asciiTheme="minorHAnsi" w:hAnsiTheme="minorHAnsi" w:cstheme="minorHAnsi"/>
                <w:sz w:val="22"/>
                <w:szCs w:val="22"/>
              </w:rPr>
              <w:t>0.78 (0.18)</w:t>
            </w:r>
          </w:p>
          <w:p w14:paraId="0A970E12" w14:textId="77777777" w:rsidR="00B54D51" w:rsidRPr="00037AD4" w:rsidRDefault="00B54D51" w:rsidP="008F00F0">
            <w:pPr>
              <w:rPr>
                <w:rFonts w:asciiTheme="minorHAnsi" w:hAnsiTheme="minorHAnsi" w:cstheme="minorHAnsi"/>
                <w:sz w:val="22"/>
                <w:szCs w:val="22"/>
              </w:rPr>
            </w:pPr>
            <w:r w:rsidRPr="00037AD4">
              <w:rPr>
                <w:rFonts w:asciiTheme="minorHAnsi" w:hAnsiTheme="minorHAnsi" w:cstheme="minorHAnsi"/>
                <w:sz w:val="22"/>
                <w:szCs w:val="22"/>
              </w:rPr>
              <w:t>0.68 (0.21)</w:t>
            </w:r>
          </w:p>
        </w:tc>
        <w:tc>
          <w:tcPr>
            <w:tcW w:w="853" w:type="dxa"/>
          </w:tcPr>
          <w:p w14:paraId="60038142" w14:textId="77777777" w:rsidR="00B54D51" w:rsidRPr="00037AD4" w:rsidRDefault="00B54D51" w:rsidP="008F00F0">
            <w:pPr>
              <w:rPr>
                <w:rFonts w:asciiTheme="minorHAnsi" w:hAnsiTheme="minorHAnsi" w:cstheme="minorHAnsi"/>
                <w:sz w:val="22"/>
                <w:szCs w:val="22"/>
              </w:rPr>
            </w:pPr>
          </w:p>
          <w:p w14:paraId="0182AE14" w14:textId="77777777" w:rsidR="00B54D51" w:rsidRPr="00037AD4" w:rsidRDefault="00B54D51" w:rsidP="008F00F0">
            <w:pPr>
              <w:rPr>
                <w:rFonts w:asciiTheme="minorHAnsi" w:hAnsiTheme="minorHAnsi" w:cstheme="minorHAnsi"/>
                <w:sz w:val="22"/>
                <w:szCs w:val="22"/>
              </w:rPr>
            </w:pPr>
          </w:p>
          <w:p w14:paraId="0D5CD45D" w14:textId="77777777" w:rsidR="00B54D51" w:rsidRPr="00037AD4" w:rsidRDefault="00B54D51" w:rsidP="008F00F0">
            <w:pPr>
              <w:rPr>
                <w:rFonts w:asciiTheme="minorHAnsi" w:hAnsiTheme="minorHAnsi" w:cstheme="minorHAnsi"/>
                <w:sz w:val="22"/>
                <w:szCs w:val="22"/>
              </w:rPr>
            </w:pPr>
            <w:r w:rsidRPr="00037AD4">
              <w:rPr>
                <w:rFonts w:asciiTheme="minorHAnsi" w:hAnsiTheme="minorHAnsi" w:cstheme="minorHAnsi"/>
                <w:sz w:val="22"/>
                <w:szCs w:val="22"/>
              </w:rPr>
              <w:t>11.71*</w:t>
            </w:r>
          </w:p>
          <w:p w14:paraId="3D4BB5E0" w14:textId="77777777" w:rsidR="00B54D51" w:rsidRPr="00037AD4" w:rsidRDefault="00B54D51" w:rsidP="008F00F0">
            <w:pPr>
              <w:rPr>
                <w:rFonts w:asciiTheme="minorHAnsi" w:hAnsiTheme="minorHAnsi" w:cstheme="minorHAnsi"/>
                <w:i/>
                <w:iCs/>
                <w:sz w:val="22"/>
                <w:szCs w:val="22"/>
              </w:rPr>
            </w:pPr>
            <w:r w:rsidRPr="00037AD4">
              <w:rPr>
                <w:rFonts w:asciiTheme="minorHAnsi" w:hAnsiTheme="minorHAnsi" w:cstheme="minorHAnsi"/>
                <w:i/>
                <w:iCs/>
                <w:sz w:val="22"/>
                <w:szCs w:val="22"/>
              </w:rPr>
              <w:t>n=342</w:t>
            </w:r>
          </w:p>
        </w:tc>
        <w:tc>
          <w:tcPr>
            <w:tcW w:w="1405" w:type="dxa"/>
          </w:tcPr>
          <w:p w14:paraId="1C8D194C" w14:textId="77777777" w:rsidR="00B54D51" w:rsidRPr="00037AD4" w:rsidRDefault="00B54D51" w:rsidP="008F00F0">
            <w:pPr>
              <w:rPr>
                <w:rFonts w:asciiTheme="minorHAnsi" w:hAnsiTheme="minorHAnsi" w:cstheme="minorHAnsi"/>
                <w:sz w:val="22"/>
                <w:szCs w:val="22"/>
              </w:rPr>
            </w:pPr>
          </w:p>
          <w:p w14:paraId="6C103C58" w14:textId="77777777" w:rsidR="00B54D51" w:rsidRPr="00037AD4" w:rsidRDefault="00B54D51" w:rsidP="008F00F0">
            <w:pPr>
              <w:rPr>
                <w:rFonts w:asciiTheme="minorHAnsi" w:hAnsiTheme="minorHAnsi" w:cstheme="minorHAnsi"/>
                <w:sz w:val="22"/>
                <w:szCs w:val="22"/>
              </w:rPr>
            </w:pPr>
          </w:p>
          <w:p w14:paraId="45E7DD9A" w14:textId="77777777" w:rsidR="00B54D51" w:rsidRPr="00037AD4" w:rsidRDefault="00B54D51" w:rsidP="008F00F0">
            <w:pPr>
              <w:rPr>
                <w:rFonts w:asciiTheme="minorHAnsi" w:hAnsiTheme="minorHAnsi" w:cstheme="minorHAnsi"/>
                <w:sz w:val="22"/>
                <w:szCs w:val="22"/>
              </w:rPr>
            </w:pPr>
            <w:r w:rsidRPr="00037AD4">
              <w:rPr>
                <w:rFonts w:asciiTheme="minorHAnsi" w:hAnsiTheme="minorHAnsi" w:cstheme="minorHAnsi"/>
                <w:sz w:val="22"/>
                <w:szCs w:val="22"/>
              </w:rPr>
              <w:t>0.80 (0.23)</w:t>
            </w:r>
          </w:p>
          <w:p w14:paraId="6B2D2A7E" w14:textId="77777777" w:rsidR="00B54D51" w:rsidRPr="00037AD4" w:rsidRDefault="00B54D51" w:rsidP="008F00F0">
            <w:pPr>
              <w:rPr>
                <w:rFonts w:asciiTheme="minorHAnsi" w:hAnsiTheme="minorHAnsi" w:cstheme="minorHAnsi"/>
                <w:sz w:val="22"/>
                <w:szCs w:val="22"/>
              </w:rPr>
            </w:pPr>
            <w:r w:rsidRPr="00037AD4">
              <w:rPr>
                <w:rFonts w:asciiTheme="minorHAnsi" w:hAnsiTheme="minorHAnsi" w:cstheme="minorHAnsi"/>
                <w:sz w:val="22"/>
                <w:szCs w:val="22"/>
              </w:rPr>
              <w:t>0.51 (0.31)</w:t>
            </w:r>
          </w:p>
          <w:p w14:paraId="3EC423E7" w14:textId="77777777" w:rsidR="00B54D51" w:rsidRPr="00037AD4" w:rsidRDefault="00B54D51" w:rsidP="008F00F0">
            <w:pPr>
              <w:rPr>
                <w:rFonts w:asciiTheme="minorHAnsi" w:hAnsiTheme="minorHAnsi" w:cstheme="minorHAnsi"/>
                <w:sz w:val="22"/>
                <w:szCs w:val="22"/>
              </w:rPr>
            </w:pPr>
            <w:r w:rsidRPr="00037AD4">
              <w:rPr>
                <w:rFonts w:asciiTheme="minorHAnsi" w:hAnsiTheme="minorHAnsi" w:cstheme="minorHAnsi"/>
                <w:sz w:val="22"/>
                <w:szCs w:val="22"/>
              </w:rPr>
              <w:t>0.69 (0.33)</w:t>
            </w:r>
          </w:p>
        </w:tc>
        <w:tc>
          <w:tcPr>
            <w:tcW w:w="570" w:type="dxa"/>
          </w:tcPr>
          <w:p w14:paraId="05A21FC6" w14:textId="77777777" w:rsidR="00B54D51" w:rsidRPr="00037AD4" w:rsidRDefault="00B54D51" w:rsidP="008F00F0">
            <w:pPr>
              <w:rPr>
                <w:rFonts w:asciiTheme="minorHAnsi" w:hAnsiTheme="minorHAnsi" w:cstheme="minorHAnsi"/>
                <w:sz w:val="22"/>
                <w:szCs w:val="22"/>
              </w:rPr>
            </w:pPr>
          </w:p>
          <w:p w14:paraId="37A9B404" w14:textId="77777777" w:rsidR="00B54D51" w:rsidRPr="00037AD4" w:rsidRDefault="00B54D51" w:rsidP="008F00F0">
            <w:pPr>
              <w:rPr>
                <w:rFonts w:asciiTheme="minorHAnsi" w:hAnsiTheme="minorHAnsi" w:cstheme="minorHAnsi"/>
                <w:sz w:val="22"/>
                <w:szCs w:val="22"/>
              </w:rPr>
            </w:pPr>
          </w:p>
          <w:p w14:paraId="046BC311" w14:textId="77777777" w:rsidR="00B54D51" w:rsidRPr="00037AD4" w:rsidRDefault="00B54D51" w:rsidP="008F00F0">
            <w:pPr>
              <w:rPr>
                <w:rFonts w:asciiTheme="minorHAnsi" w:hAnsiTheme="minorHAnsi" w:cstheme="minorHAnsi"/>
                <w:sz w:val="22"/>
                <w:szCs w:val="22"/>
              </w:rPr>
            </w:pPr>
            <w:r w:rsidRPr="00037AD4">
              <w:rPr>
                <w:rFonts w:asciiTheme="minorHAnsi" w:hAnsiTheme="minorHAnsi" w:cstheme="minorHAnsi"/>
                <w:sz w:val="22"/>
                <w:szCs w:val="22"/>
              </w:rPr>
              <w:t>3.51*</w:t>
            </w:r>
          </w:p>
          <w:p w14:paraId="35270CD6" w14:textId="77777777" w:rsidR="00B54D51" w:rsidRPr="00037AD4" w:rsidRDefault="00B54D51" w:rsidP="008F00F0">
            <w:pPr>
              <w:rPr>
                <w:rFonts w:asciiTheme="minorHAnsi" w:hAnsiTheme="minorHAnsi" w:cstheme="minorHAnsi"/>
                <w:i/>
                <w:iCs/>
                <w:sz w:val="22"/>
                <w:szCs w:val="22"/>
              </w:rPr>
            </w:pPr>
            <w:r w:rsidRPr="00037AD4">
              <w:rPr>
                <w:rFonts w:asciiTheme="minorHAnsi" w:hAnsiTheme="minorHAnsi" w:cstheme="minorHAnsi"/>
                <w:i/>
                <w:iCs/>
                <w:sz w:val="22"/>
                <w:szCs w:val="22"/>
              </w:rPr>
              <w:t>n=37</w:t>
            </w:r>
          </w:p>
        </w:tc>
        <w:tc>
          <w:tcPr>
            <w:tcW w:w="0" w:type="auto"/>
          </w:tcPr>
          <w:p w14:paraId="36244748" w14:textId="77777777" w:rsidR="00B54D51" w:rsidRPr="00037AD4" w:rsidRDefault="00B54D51" w:rsidP="008F00F0">
            <w:pPr>
              <w:rPr>
                <w:rFonts w:asciiTheme="minorHAnsi" w:hAnsiTheme="minorHAnsi" w:cstheme="minorHAnsi"/>
                <w:sz w:val="22"/>
                <w:szCs w:val="22"/>
              </w:rPr>
            </w:pPr>
          </w:p>
          <w:p w14:paraId="28CF7152" w14:textId="77777777" w:rsidR="00B54D51" w:rsidRPr="00037AD4" w:rsidRDefault="00B54D51" w:rsidP="008F00F0">
            <w:pPr>
              <w:rPr>
                <w:rFonts w:asciiTheme="minorHAnsi" w:hAnsiTheme="minorHAnsi" w:cstheme="minorHAnsi"/>
                <w:sz w:val="22"/>
                <w:szCs w:val="22"/>
              </w:rPr>
            </w:pPr>
          </w:p>
          <w:p w14:paraId="393B1A4D" w14:textId="77777777" w:rsidR="00B54D51" w:rsidRPr="00037AD4" w:rsidRDefault="00B54D51" w:rsidP="008F00F0">
            <w:pPr>
              <w:rPr>
                <w:rFonts w:asciiTheme="minorHAnsi" w:hAnsiTheme="minorHAnsi" w:cstheme="minorHAnsi"/>
                <w:sz w:val="22"/>
                <w:szCs w:val="22"/>
              </w:rPr>
            </w:pPr>
            <w:r w:rsidRPr="00037AD4">
              <w:rPr>
                <w:rFonts w:asciiTheme="minorHAnsi" w:hAnsiTheme="minorHAnsi" w:cstheme="minorHAnsi"/>
                <w:sz w:val="22"/>
                <w:szCs w:val="22"/>
              </w:rPr>
              <w:t>4.19*</w:t>
            </w:r>
          </w:p>
          <w:p w14:paraId="2B6CC8B3" w14:textId="77777777" w:rsidR="00B54D51" w:rsidRPr="00037AD4" w:rsidRDefault="00B54D51" w:rsidP="008F00F0">
            <w:pPr>
              <w:rPr>
                <w:rFonts w:asciiTheme="minorHAnsi" w:hAnsiTheme="minorHAnsi" w:cstheme="minorHAnsi"/>
                <w:i/>
                <w:iCs/>
                <w:sz w:val="22"/>
                <w:szCs w:val="22"/>
              </w:rPr>
            </w:pPr>
            <w:r w:rsidRPr="00037AD4">
              <w:rPr>
                <w:rFonts w:asciiTheme="minorHAnsi" w:hAnsiTheme="minorHAnsi" w:cstheme="minorHAnsi"/>
                <w:i/>
                <w:iCs/>
                <w:sz w:val="22"/>
                <w:szCs w:val="22"/>
              </w:rPr>
              <w:t>n=170</w:t>
            </w:r>
          </w:p>
        </w:tc>
      </w:tr>
      <w:tr w:rsidR="00B54D51" w:rsidRPr="00037AD4" w14:paraId="5F5A7CFF" w14:textId="77777777" w:rsidTr="008F00F0">
        <w:tc>
          <w:tcPr>
            <w:tcW w:w="0" w:type="auto"/>
          </w:tcPr>
          <w:p w14:paraId="7C309A51" w14:textId="77777777" w:rsidR="00B54D51" w:rsidRPr="00037AD4" w:rsidRDefault="00B54D51" w:rsidP="008F00F0">
            <w:pPr>
              <w:rPr>
                <w:rFonts w:asciiTheme="minorHAnsi" w:hAnsiTheme="minorHAnsi" w:cstheme="minorHAnsi"/>
                <w:i/>
                <w:iCs/>
                <w:sz w:val="22"/>
                <w:szCs w:val="22"/>
              </w:rPr>
            </w:pPr>
            <w:r w:rsidRPr="00037AD4">
              <w:rPr>
                <w:rFonts w:asciiTheme="minorHAnsi" w:hAnsiTheme="minorHAnsi" w:cstheme="minorHAnsi"/>
                <w:i/>
                <w:iCs/>
                <w:sz w:val="22"/>
                <w:szCs w:val="22"/>
              </w:rPr>
              <w:t>Moderate dementia</w:t>
            </w:r>
          </w:p>
          <w:p w14:paraId="6F9D152D" w14:textId="77777777" w:rsidR="00B54D51" w:rsidRPr="00037AD4" w:rsidRDefault="00B54D51" w:rsidP="008F00F0">
            <w:pPr>
              <w:rPr>
                <w:rFonts w:asciiTheme="minorHAnsi" w:hAnsiTheme="minorHAnsi" w:cstheme="minorHAnsi"/>
                <w:sz w:val="22"/>
                <w:szCs w:val="22"/>
              </w:rPr>
            </w:pPr>
            <w:r w:rsidRPr="00037AD4">
              <w:rPr>
                <w:rFonts w:asciiTheme="minorHAnsi" w:hAnsiTheme="minorHAnsi" w:cstheme="minorHAnsi"/>
                <w:sz w:val="22"/>
                <w:szCs w:val="22"/>
              </w:rPr>
              <w:t>Self</w:t>
            </w:r>
          </w:p>
          <w:p w14:paraId="78425402" w14:textId="77777777" w:rsidR="00B54D51" w:rsidRPr="00037AD4" w:rsidRDefault="00B54D51" w:rsidP="008F00F0">
            <w:pPr>
              <w:rPr>
                <w:rFonts w:asciiTheme="minorHAnsi" w:hAnsiTheme="minorHAnsi" w:cstheme="minorHAnsi"/>
                <w:sz w:val="22"/>
                <w:szCs w:val="22"/>
              </w:rPr>
            </w:pPr>
            <w:r w:rsidRPr="00037AD4">
              <w:rPr>
                <w:rFonts w:asciiTheme="minorHAnsi" w:hAnsiTheme="minorHAnsi" w:cstheme="minorHAnsi"/>
                <w:sz w:val="22"/>
                <w:szCs w:val="22"/>
              </w:rPr>
              <w:t>Proxy</w:t>
            </w:r>
          </w:p>
          <w:p w14:paraId="239DC9E3" w14:textId="77777777" w:rsidR="00B54D51" w:rsidRPr="00037AD4" w:rsidRDefault="00B54D51" w:rsidP="008F00F0">
            <w:pPr>
              <w:rPr>
                <w:rFonts w:asciiTheme="minorHAnsi" w:hAnsiTheme="minorHAnsi" w:cstheme="minorHAnsi"/>
                <w:i/>
                <w:iCs/>
                <w:sz w:val="22"/>
                <w:szCs w:val="22"/>
              </w:rPr>
            </w:pPr>
            <w:r w:rsidRPr="00037AD4">
              <w:rPr>
                <w:rFonts w:asciiTheme="minorHAnsi" w:hAnsiTheme="minorHAnsi" w:cstheme="minorHAnsi"/>
                <w:i/>
                <w:iCs/>
                <w:sz w:val="22"/>
                <w:szCs w:val="22"/>
              </w:rPr>
              <w:t>Staff</w:t>
            </w:r>
          </w:p>
        </w:tc>
        <w:tc>
          <w:tcPr>
            <w:tcW w:w="1407" w:type="dxa"/>
          </w:tcPr>
          <w:p w14:paraId="7756D85C" w14:textId="77777777" w:rsidR="00B54D51" w:rsidRPr="00037AD4" w:rsidRDefault="00B54D51" w:rsidP="008F00F0">
            <w:pPr>
              <w:rPr>
                <w:rFonts w:asciiTheme="minorHAnsi" w:hAnsiTheme="minorHAnsi" w:cstheme="minorHAnsi"/>
                <w:sz w:val="22"/>
                <w:szCs w:val="22"/>
              </w:rPr>
            </w:pPr>
          </w:p>
          <w:p w14:paraId="59B74BE3" w14:textId="77777777" w:rsidR="00B54D51" w:rsidRPr="00037AD4" w:rsidRDefault="00B54D51" w:rsidP="008F00F0">
            <w:pPr>
              <w:rPr>
                <w:rFonts w:asciiTheme="minorHAnsi" w:hAnsiTheme="minorHAnsi" w:cstheme="minorHAnsi"/>
                <w:sz w:val="22"/>
                <w:szCs w:val="22"/>
              </w:rPr>
            </w:pPr>
          </w:p>
          <w:p w14:paraId="67E73714" w14:textId="77777777" w:rsidR="00B54D51" w:rsidRPr="00037AD4" w:rsidRDefault="00B54D51" w:rsidP="008F00F0">
            <w:pPr>
              <w:rPr>
                <w:rFonts w:asciiTheme="minorHAnsi" w:hAnsiTheme="minorHAnsi" w:cstheme="minorHAnsi"/>
                <w:sz w:val="22"/>
                <w:szCs w:val="22"/>
              </w:rPr>
            </w:pPr>
            <w:r w:rsidRPr="00037AD4">
              <w:rPr>
                <w:rFonts w:asciiTheme="minorHAnsi" w:hAnsiTheme="minorHAnsi" w:cstheme="minorHAnsi"/>
                <w:sz w:val="22"/>
                <w:szCs w:val="22"/>
              </w:rPr>
              <w:t>0.70 (0.28)</w:t>
            </w:r>
          </w:p>
          <w:p w14:paraId="2C38DE85" w14:textId="77777777" w:rsidR="00B54D51" w:rsidRPr="00037AD4" w:rsidRDefault="00B54D51" w:rsidP="008F00F0">
            <w:pPr>
              <w:rPr>
                <w:rFonts w:asciiTheme="minorHAnsi" w:hAnsiTheme="minorHAnsi" w:cstheme="minorHAnsi"/>
                <w:sz w:val="22"/>
                <w:szCs w:val="22"/>
              </w:rPr>
            </w:pPr>
            <w:r w:rsidRPr="00037AD4">
              <w:rPr>
                <w:rFonts w:asciiTheme="minorHAnsi" w:hAnsiTheme="minorHAnsi" w:cstheme="minorHAnsi"/>
                <w:sz w:val="22"/>
                <w:szCs w:val="22"/>
              </w:rPr>
              <w:t>0.51 (0.27)</w:t>
            </w:r>
          </w:p>
        </w:tc>
        <w:tc>
          <w:tcPr>
            <w:tcW w:w="853" w:type="dxa"/>
          </w:tcPr>
          <w:p w14:paraId="1CBD6F82" w14:textId="77777777" w:rsidR="00B54D51" w:rsidRPr="00037AD4" w:rsidRDefault="00B54D51" w:rsidP="008F00F0">
            <w:pPr>
              <w:rPr>
                <w:rFonts w:asciiTheme="minorHAnsi" w:hAnsiTheme="minorHAnsi" w:cstheme="minorHAnsi"/>
                <w:sz w:val="22"/>
                <w:szCs w:val="22"/>
              </w:rPr>
            </w:pPr>
          </w:p>
          <w:p w14:paraId="2A6B83E0" w14:textId="77777777" w:rsidR="00B54D51" w:rsidRPr="00037AD4" w:rsidRDefault="00B54D51" w:rsidP="008F00F0">
            <w:pPr>
              <w:rPr>
                <w:rFonts w:asciiTheme="minorHAnsi" w:hAnsiTheme="minorHAnsi" w:cstheme="minorHAnsi"/>
                <w:sz w:val="22"/>
                <w:szCs w:val="22"/>
              </w:rPr>
            </w:pPr>
          </w:p>
          <w:p w14:paraId="79AF044F" w14:textId="77777777" w:rsidR="00B54D51" w:rsidRPr="00037AD4" w:rsidRDefault="00B54D51" w:rsidP="008F00F0">
            <w:pPr>
              <w:rPr>
                <w:rFonts w:asciiTheme="minorHAnsi" w:hAnsiTheme="minorHAnsi" w:cstheme="minorHAnsi"/>
                <w:sz w:val="22"/>
                <w:szCs w:val="22"/>
              </w:rPr>
            </w:pPr>
            <w:r w:rsidRPr="00037AD4">
              <w:rPr>
                <w:rFonts w:asciiTheme="minorHAnsi" w:hAnsiTheme="minorHAnsi" w:cstheme="minorHAnsi"/>
                <w:sz w:val="22"/>
                <w:szCs w:val="22"/>
              </w:rPr>
              <w:t>6.22*</w:t>
            </w:r>
          </w:p>
          <w:p w14:paraId="4A454608" w14:textId="77777777" w:rsidR="00B54D51" w:rsidRPr="00037AD4" w:rsidRDefault="00B54D51" w:rsidP="008F00F0">
            <w:pPr>
              <w:rPr>
                <w:rFonts w:asciiTheme="minorHAnsi" w:hAnsiTheme="minorHAnsi" w:cstheme="minorHAnsi"/>
                <w:sz w:val="22"/>
                <w:szCs w:val="22"/>
              </w:rPr>
            </w:pPr>
            <w:r w:rsidRPr="00037AD4">
              <w:rPr>
                <w:rFonts w:asciiTheme="minorHAnsi" w:hAnsiTheme="minorHAnsi" w:cstheme="minorHAnsi"/>
                <w:i/>
                <w:iCs/>
                <w:sz w:val="22"/>
                <w:szCs w:val="22"/>
              </w:rPr>
              <w:t>n=119</w:t>
            </w:r>
            <w:r w:rsidRPr="00037AD4">
              <w:rPr>
                <w:rFonts w:asciiTheme="minorHAnsi" w:hAnsiTheme="minorHAnsi" w:cstheme="minorHAnsi"/>
                <w:sz w:val="22"/>
                <w:szCs w:val="22"/>
              </w:rPr>
              <w:t xml:space="preserve"> </w:t>
            </w:r>
          </w:p>
        </w:tc>
        <w:tc>
          <w:tcPr>
            <w:tcW w:w="1498" w:type="dxa"/>
          </w:tcPr>
          <w:p w14:paraId="5E9C7A25" w14:textId="77777777" w:rsidR="00B54D51" w:rsidRPr="00037AD4" w:rsidRDefault="00B54D51" w:rsidP="008F00F0">
            <w:pPr>
              <w:rPr>
                <w:rFonts w:asciiTheme="minorHAnsi" w:hAnsiTheme="minorHAnsi" w:cstheme="minorHAnsi"/>
                <w:sz w:val="22"/>
                <w:szCs w:val="22"/>
              </w:rPr>
            </w:pPr>
          </w:p>
          <w:p w14:paraId="3406C418" w14:textId="77777777" w:rsidR="00B54D51" w:rsidRPr="00037AD4" w:rsidRDefault="00B54D51" w:rsidP="008F00F0">
            <w:pPr>
              <w:rPr>
                <w:rFonts w:asciiTheme="minorHAnsi" w:hAnsiTheme="minorHAnsi" w:cstheme="minorHAnsi"/>
                <w:sz w:val="22"/>
                <w:szCs w:val="22"/>
              </w:rPr>
            </w:pPr>
          </w:p>
          <w:p w14:paraId="029DA0B8" w14:textId="77777777" w:rsidR="00B54D51" w:rsidRPr="00037AD4" w:rsidRDefault="00B54D51" w:rsidP="008F00F0">
            <w:pPr>
              <w:rPr>
                <w:rFonts w:asciiTheme="minorHAnsi" w:hAnsiTheme="minorHAnsi" w:cstheme="minorHAnsi"/>
                <w:sz w:val="22"/>
                <w:szCs w:val="22"/>
              </w:rPr>
            </w:pPr>
            <w:r w:rsidRPr="00037AD4">
              <w:rPr>
                <w:rFonts w:asciiTheme="minorHAnsi" w:hAnsiTheme="minorHAnsi" w:cstheme="minorHAnsi"/>
                <w:sz w:val="22"/>
                <w:szCs w:val="22"/>
              </w:rPr>
              <w:t>0.76 (0.22)</w:t>
            </w:r>
          </w:p>
          <w:p w14:paraId="742B57B5" w14:textId="77777777" w:rsidR="00B54D51" w:rsidRPr="00037AD4" w:rsidRDefault="00B54D51" w:rsidP="008F00F0">
            <w:pPr>
              <w:rPr>
                <w:rFonts w:asciiTheme="minorHAnsi" w:hAnsiTheme="minorHAnsi" w:cstheme="minorHAnsi"/>
                <w:sz w:val="22"/>
                <w:szCs w:val="22"/>
              </w:rPr>
            </w:pPr>
            <w:r w:rsidRPr="00037AD4">
              <w:rPr>
                <w:rFonts w:asciiTheme="minorHAnsi" w:hAnsiTheme="minorHAnsi" w:cstheme="minorHAnsi"/>
                <w:sz w:val="22"/>
                <w:szCs w:val="22"/>
              </w:rPr>
              <w:t>0.56 (0.24)</w:t>
            </w:r>
          </w:p>
        </w:tc>
        <w:tc>
          <w:tcPr>
            <w:tcW w:w="853" w:type="dxa"/>
          </w:tcPr>
          <w:p w14:paraId="3DD0A2AF" w14:textId="77777777" w:rsidR="00B54D51" w:rsidRPr="00037AD4" w:rsidRDefault="00B54D51" w:rsidP="008F00F0">
            <w:pPr>
              <w:rPr>
                <w:rFonts w:asciiTheme="minorHAnsi" w:hAnsiTheme="minorHAnsi" w:cstheme="minorHAnsi"/>
                <w:sz w:val="22"/>
                <w:szCs w:val="22"/>
              </w:rPr>
            </w:pPr>
          </w:p>
          <w:p w14:paraId="07FDDB96" w14:textId="77777777" w:rsidR="00B54D51" w:rsidRPr="00037AD4" w:rsidRDefault="00B54D51" w:rsidP="008F00F0">
            <w:pPr>
              <w:rPr>
                <w:rFonts w:asciiTheme="minorHAnsi" w:hAnsiTheme="minorHAnsi" w:cstheme="minorHAnsi"/>
                <w:sz w:val="22"/>
                <w:szCs w:val="22"/>
              </w:rPr>
            </w:pPr>
          </w:p>
          <w:p w14:paraId="30DDABF6" w14:textId="77777777" w:rsidR="00B54D51" w:rsidRPr="00037AD4" w:rsidRDefault="00B54D51" w:rsidP="008F00F0">
            <w:pPr>
              <w:rPr>
                <w:rFonts w:asciiTheme="minorHAnsi" w:hAnsiTheme="minorHAnsi" w:cstheme="minorHAnsi"/>
                <w:sz w:val="22"/>
                <w:szCs w:val="22"/>
              </w:rPr>
            </w:pPr>
            <w:r w:rsidRPr="00037AD4">
              <w:rPr>
                <w:rFonts w:asciiTheme="minorHAnsi" w:hAnsiTheme="minorHAnsi" w:cstheme="minorHAnsi"/>
                <w:sz w:val="22"/>
                <w:szCs w:val="22"/>
              </w:rPr>
              <w:t>7.79*</w:t>
            </w:r>
          </w:p>
          <w:p w14:paraId="431AC51F" w14:textId="77777777" w:rsidR="00B54D51" w:rsidRPr="00037AD4" w:rsidRDefault="00B54D51" w:rsidP="008F00F0">
            <w:pPr>
              <w:rPr>
                <w:rFonts w:asciiTheme="minorHAnsi" w:hAnsiTheme="minorHAnsi" w:cstheme="minorHAnsi"/>
                <w:i/>
                <w:iCs/>
                <w:sz w:val="22"/>
                <w:szCs w:val="22"/>
              </w:rPr>
            </w:pPr>
            <w:r w:rsidRPr="00037AD4">
              <w:rPr>
                <w:rFonts w:asciiTheme="minorHAnsi" w:hAnsiTheme="minorHAnsi" w:cstheme="minorHAnsi"/>
                <w:i/>
                <w:iCs/>
                <w:sz w:val="22"/>
                <w:szCs w:val="22"/>
              </w:rPr>
              <w:t>n=84</w:t>
            </w:r>
          </w:p>
        </w:tc>
        <w:tc>
          <w:tcPr>
            <w:tcW w:w="1405" w:type="dxa"/>
          </w:tcPr>
          <w:p w14:paraId="75091E69" w14:textId="77777777" w:rsidR="00B54D51" w:rsidRPr="00037AD4" w:rsidRDefault="00B54D51" w:rsidP="008F00F0">
            <w:pPr>
              <w:rPr>
                <w:rFonts w:asciiTheme="minorHAnsi" w:hAnsiTheme="minorHAnsi" w:cstheme="minorHAnsi"/>
                <w:sz w:val="22"/>
                <w:szCs w:val="22"/>
              </w:rPr>
            </w:pPr>
          </w:p>
          <w:p w14:paraId="79E08E6A" w14:textId="77777777" w:rsidR="00B54D51" w:rsidRPr="00037AD4" w:rsidRDefault="00B54D51" w:rsidP="008F00F0">
            <w:pPr>
              <w:rPr>
                <w:rFonts w:asciiTheme="minorHAnsi" w:hAnsiTheme="minorHAnsi" w:cstheme="minorHAnsi"/>
                <w:sz w:val="22"/>
                <w:szCs w:val="22"/>
              </w:rPr>
            </w:pPr>
          </w:p>
          <w:p w14:paraId="36C4647B" w14:textId="77777777" w:rsidR="00B54D51" w:rsidRPr="00037AD4" w:rsidRDefault="00B54D51" w:rsidP="008F00F0">
            <w:pPr>
              <w:rPr>
                <w:rFonts w:asciiTheme="minorHAnsi" w:hAnsiTheme="minorHAnsi" w:cstheme="minorHAnsi"/>
                <w:sz w:val="22"/>
                <w:szCs w:val="22"/>
              </w:rPr>
            </w:pPr>
            <w:r w:rsidRPr="00037AD4">
              <w:rPr>
                <w:rFonts w:asciiTheme="minorHAnsi" w:hAnsiTheme="minorHAnsi" w:cstheme="minorHAnsi"/>
                <w:sz w:val="22"/>
                <w:szCs w:val="22"/>
              </w:rPr>
              <w:t>0.81 (0.25)</w:t>
            </w:r>
          </w:p>
          <w:p w14:paraId="274F92C9" w14:textId="77777777" w:rsidR="00B54D51" w:rsidRPr="00037AD4" w:rsidRDefault="00B54D51" w:rsidP="008F00F0">
            <w:pPr>
              <w:rPr>
                <w:rFonts w:asciiTheme="minorHAnsi" w:hAnsiTheme="minorHAnsi" w:cstheme="minorHAnsi"/>
                <w:sz w:val="22"/>
                <w:szCs w:val="22"/>
              </w:rPr>
            </w:pPr>
            <w:r w:rsidRPr="00037AD4">
              <w:rPr>
                <w:rFonts w:asciiTheme="minorHAnsi" w:hAnsiTheme="minorHAnsi" w:cstheme="minorHAnsi"/>
                <w:sz w:val="22"/>
                <w:szCs w:val="22"/>
              </w:rPr>
              <w:t>0.36 (0.36)</w:t>
            </w:r>
          </w:p>
          <w:p w14:paraId="32BEE32A" w14:textId="77777777" w:rsidR="00B54D51" w:rsidRPr="00037AD4" w:rsidRDefault="00B54D51" w:rsidP="008F00F0">
            <w:pPr>
              <w:rPr>
                <w:rFonts w:asciiTheme="minorHAnsi" w:hAnsiTheme="minorHAnsi" w:cstheme="minorHAnsi"/>
                <w:sz w:val="22"/>
                <w:szCs w:val="22"/>
              </w:rPr>
            </w:pPr>
            <w:r w:rsidRPr="00037AD4">
              <w:rPr>
                <w:rFonts w:asciiTheme="minorHAnsi" w:hAnsiTheme="minorHAnsi" w:cstheme="minorHAnsi"/>
                <w:sz w:val="22"/>
                <w:szCs w:val="22"/>
              </w:rPr>
              <w:t>0.59 (0.35)</w:t>
            </w:r>
          </w:p>
        </w:tc>
        <w:tc>
          <w:tcPr>
            <w:tcW w:w="570" w:type="dxa"/>
          </w:tcPr>
          <w:p w14:paraId="601D9A4C" w14:textId="77777777" w:rsidR="00B54D51" w:rsidRPr="00037AD4" w:rsidRDefault="00B54D51" w:rsidP="008F00F0">
            <w:pPr>
              <w:rPr>
                <w:rFonts w:asciiTheme="minorHAnsi" w:hAnsiTheme="minorHAnsi" w:cstheme="minorHAnsi"/>
                <w:sz w:val="22"/>
                <w:szCs w:val="22"/>
              </w:rPr>
            </w:pPr>
          </w:p>
          <w:p w14:paraId="6AB53FDB" w14:textId="77777777" w:rsidR="00B54D51" w:rsidRPr="00037AD4" w:rsidRDefault="00B54D51" w:rsidP="008F00F0">
            <w:pPr>
              <w:rPr>
                <w:rFonts w:asciiTheme="minorHAnsi" w:hAnsiTheme="minorHAnsi" w:cstheme="minorHAnsi"/>
                <w:sz w:val="22"/>
                <w:szCs w:val="22"/>
              </w:rPr>
            </w:pPr>
          </w:p>
          <w:p w14:paraId="465FA420" w14:textId="77777777" w:rsidR="00B54D51" w:rsidRPr="00037AD4" w:rsidRDefault="00B54D51" w:rsidP="008F00F0">
            <w:pPr>
              <w:rPr>
                <w:rFonts w:asciiTheme="minorHAnsi" w:hAnsiTheme="minorHAnsi" w:cstheme="minorHAnsi"/>
                <w:sz w:val="22"/>
                <w:szCs w:val="22"/>
              </w:rPr>
            </w:pPr>
            <w:r w:rsidRPr="00037AD4">
              <w:rPr>
                <w:rFonts w:asciiTheme="minorHAnsi" w:hAnsiTheme="minorHAnsi" w:cstheme="minorHAnsi"/>
                <w:sz w:val="22"/>
                <w:szCs w:val="22"/>
              </w:rPr>
              <w:t>7.37*</w:t>
            </w:r>
          </w:p>
          <w:p w14:paraId="5E284B38" w14:textId="77777777" w:rsidR="00B54D51" w:rsidRPr="00037AD4" w:rsidRDefault="00B54D51" w:rsidP="008F00F0">
            <w:pPr>
              <w:rPr>
                <w:rFonts w:asciiTheme="minorHAnsi" w:hAnsiTheme="minorHAnsi" w:cstheme="minorHAnsi"/>
                <w:i/>
                <w:iCs/>
                <w:sz w:val="22"/>
                <w:szCs w:val="22"/>
              </w:rPr>
            </w:pPr>
            <w:r w:rsidRPr="00037AD4">
              <w:rPr>
                <w:rFonts w:asciiTheme="minorHAnsi" w:hAnsiTheme="minorHAnsi" w:cstheme="minorHAnsi"/>
                <w:i/>
                <w:iCs/>
                <w:sz w:val="22"/>
                <w:szCs w:val="22"/>
              </w:rPr>
              <w:t>n=31</w:t>
            </w:r>
          </w:p>
        </w:tc>
        <w:tc>
          <w:tcPr>
            <w:tcW w:w="0" w:type="auto"/>
          </w:tcPr>
          <w:p w14:paraId="4ADA9D40" w14:textId="77777777" w:rsidR="00B54D51" w:rsidRPr="00037AD4" w:rsidRDefault="00B54D51" w:rsidP="008F00F0">
            <w:pPr>
              <w:rPr>
                <w:rFonts w:asciiTheme="minorHAnsi" w:hAnsiTheme="minorHAnsi" w:cstheme="minorHAnsi"/>
                <w:sz w:val="22"/>
                <w:szCs w:val="22"/>
              </w:rPr>
            </w:pPr>
          </w:p>
          <w:p w14:paraId="3FCF8E65" w14:textId="77777777" w:rsidR="00B54D51" w:rsidRPr="00037AD4" w:rsidRDefault="00B54D51" w:rsidP="008F00F0">
            <w:pPr>
              <w:rPr>
                <w:rFonts w:asciiTheme="minorHAnsi" w:hAnsiTheme="minorHAnsi" w:cstheme="minorHAnsi"/>
                <w:sz w:val="22"/>
                <w:szCs w:val="22"/>
              </w:rPr>
            </w:pPr>
          </w:p>
          <w:p w14:paraId="189692FC" w14:textId="77777777" w:rsidR="00B54D51" w:rsidRPr="00037AD4" w:rsidRDefault="00B54D51" w:rsidP="008F00F0">
            <w:pPr>
              <w:rPr>
                <w:rFonts w:asciiTheme="minorHAnsi" w:hAnsiTheme="minorHAnsi" w:cstheme="minorHAnsi"/>
                <w:sz w:val="22"/>
                <w:szCs w:val="22"/>
              </w:rPr>
            </w:pPr>
            <w:r w:rsidRPr="00037AD4">
              <w:rPr>
                <w:rFonts w:asciiTheme="minorHAnsi" w:hAnsiTheme="minorHAnsi" w:cstheme="minorHAnsi"/>
                <w:sz w:val="22"/>
                <w:szCs w:val="22"/>
              </w:rPr>
              <w:t>7.27*</w:t>
            </w:r>
          </w:p>
          <w:p w14:paraId="63917C4D" w14:textId="77777777" w:rsidR="00B54D51" w:rsidRPr="00037AD4" w:rsidRDefault="00B54D51" w:rsidP="008F00F0">
            <w:pPr>
              <w:rPr>
                <w:rFonts w:asciiTheme="minorHAnsi" w:hAnsiTheme="minorHAnsi" w:cstheme="minorHAnsi"/>
                <w:i/>
                <w:iCs/>
                <w:sz w:val="22"/>
                <w:szCs w:val="22"/>
              </w:rPr>
            </w:pPr>
            <w:r w:rsidRPr="00037AD4">
              <w:rPr>
                <w:rFonts w:asciiTheme="minorHAnsi" w:hAnsiTheme="minorHAnsi" w:cstheme="minorHAnsi"/>
                <w:i/>
                <w:iCs/>
                <w:sz w:val="22"/>
                <w:szCs w:val="22"/>
              </w:rPr>
              <w:t>n=136</w:t>
            </w:r>
          </w:p>
        </w:tc>
      </w:tr>
      <w:tr w:rsidR="00B54D51" w:rsidRPr="00037AD4" w14:paraId="49237FCB" w14:textId="77777777" w:rsidTr="008F00F0">
        <w:tc>
          <w:tcPr>
            <w:tcW w:w="0" w:type="auto"/>
          </w:tcPr>
          <w:p w14:paraId="2D7A3979" w14:textId="77777777" w:rsidR="00B54D51" w:rsidRPr="00037AD4" w:rsidRDefault="00B54D51" w:rsidP="008F00F0">
            <w:pPr>
              <w:rPr>
                <w:rFonts w:asciiTheme="minorHAnsi" w:hAnsiTheme="minorHAnsi" w:cstheme="minorHAnsi"/>
                <w:i/>
                <w:iCs/>
                <w:sz w:val="22"/>
                <w:szCs w:val="22"/>
              </w:rPr>
            </w:pPr>
            <w:r w:rsidRPr="00037AD4">
              <w:rPr>
                <w:rFonts w:asciiTheme="minorHAnsi" w:hAnsiTheme="minorHAnsi" w:cstheme="minorHAnsi"/>
                <w:i/>
                <w:iCs/>
                <w:sz w:val="22"/>
                <w:szCs w:val="22"/>
              </w:rPr>
              <w:t>Severe dementia</w:t>
            </w:r>
          </w:p>
          <w:p w14:paraId="44FBB3F1" w14:textId="77777777" w:rsidR="00B54D51" w:rsidRPr="00037AD4" w:rsidRDefault="00B54D51" w:rsidP="008F00F0">
            <w:pPr>
              <w:rPr>
                <w:rFonts w:asciiTheme="minorHAnsi" w:hAnsiTheme="minorHAnsi" w:cstheme="minorHAnsi"/>
                <w:sz w:val="22"/>
                <w:szCs w:val="22"/>
              </w:rPr>
            </w:pPr>
            <w:r w:rsidRPr="00037AD4">
              <w:rPr>
                <w:rFonts w:asciiTheme="minorHAnsi" w:hAnsiTheme="minorHAnsi" w:cstheme="minorHAnsi"/>
                <w:sz w:val="22"/>
                <w:szCs w:val="22"/>
              </w:rPr>
              <w:t>Self</w:t>
            </w:r>
          </w:p>
          <w:p w14:paraId="07330E5A" w14:textId="77777777" w:rsidR="00B54D51" w:rsidRPr="00037AD4" w:rsidRDefault="00B54D51" w:rsidP="008F00F0">
            <w:pPr>
              <w:rPr>
                <w:rFonts w:asciiTheme="minorHAnsi" w:hAnsiTheme="minorHAnsi" w:cstheme="minorHAnsi"/>
                <w:sz w:val="22"/>
                <w:szCs w:val="22"/>
              </w:rPr>
            </w:pPr>
            <w:r w:rsidRPr="00037AD4">
              <w:rPr>
                <w:rFonts w:asciiTheme="minorHAnsi" w:hAnsiTheme="minorHAnsi" w:cstheme="minorHAnsi"/>
                <w:sz w:val="22"/>
                <w:szCs w:val="22"/>
              </w:rPr>
              <w:t>Proxy</w:t>
            </w:r>
          </w:p>
          <w:p w14:paraId="4CBA5874" w14:textId="77777777" w:rsidR="00B54D51" w:rsidRPr="00037AD4" w:rsidRDefault="00B54D51" w:rsidP="008F00F0">
            <w:pPr>
              <w:rPr>
                <w:rFonts w:asciiTheme="minorHAnsi" w:hAnsiTheme="minorHAnsi" w:cstheme="minorHAnsi"/>
                <w:i/>
                <w:iCs/>
                <w:sz w:val="22"/>
                <w:szCs w:val="22"/>
              </w:rPr>
            </w:pPr>
            <w:r w:rsidRPr="00037AD4">
              <w:rPr>
                <w:rFonts w:asciiTheme="minorHAnsi" w:hAnsiTheme="minorHAnsi" w:cstheme="minorHAnsi"/>
                <w:i/>
                <w:iCs/>
                <w:sz w:val="22"/>
                <w:szCs w:val="22"/>
              </w:rPr>
              <w:t>Staff</w:t>
            </w:r>
          </w:p>
        </w:tc>
        <w:tc>
          <w:tcPr>
            <w:tcW w:w="1407" w:type="dxa"/>
          </w:tcPr>
          <w:p w14:paraId="23E0381A" w14:textId="77777777" w:rsidR="00B54D51" w:rsidRPr="00037AD4" w:rsidRDefault="00B54D51" w:rsidP="008F00F0">
            <w:pPr>
              <w:rPr>
                <w:rFonts w:asciiTheme="minorHAnsi" w:hAnsiTheme="minorHAnsi" w:cstheme="minorHAnsi"/>
                <w:sz w:val="22"/>
                <w:szCs w:val="22"/>
              </w:rPr>
            </w:pPr>
          </w:p>
          <w:p w14:paraId="6BD50EBD" w14:textId="77777777" w:rsidR="00B54D51" w:rsidRPr="00037AD4" w:rsidRDefault="00B54D51" w:rsidP="008F00F0">
            <w:pPr>
              <w:rPr>
                <w:rFonts w:asciiTheme="minorHAnsi" w:hAnsiTheme="minorHAnsi" w:cstheme="minorHAnsi"/>
                <w:sz w:val="22"/>
                <w:szCs w:val="22"/>
              </w:rPr>
            </w:pPr>
          </w:p>
          <w:p w14:paraId="67A36BEF" w14:textId="77777777" w:rsidR="00B54D51" w:rsidRPr="00037AD4" w:rsidRDefault="00B54D51" w:rsidP="008F00F0">
            <w:pPr>
              <w:rPr>
                <w:rFonts w:asciiTheme="minorHAnsi" w:hAnsiTheme="minorHAnsi" w:cstheme="minorHAnsi"/>
                <w:sz w:val="22"/>
                <w:szCs w:val="22"/>
              </w:rPr>
            </w:pPr>
            <w:r w:rsidRPr="00037AD4">
              <w:rPr>
                <w:rFonts w:asciiTheme="minorHAnsi" w:hAnsiTheme="minorHAnsi" w:cstheme="minorHAnsi"/>
                <w:sz w:val="22"/>
                <w:szCs w:val="22"/>
              </w:rPr>
              <w:t>-</w:t>
            </w:r>
          </w:p>
        </w:tc>
        <w:tc>
          <w:tcPr>
            <w:tcW w:w="853" w:type="dxa"/>
          </w:tcPr>
          <w:p w14:paraId="037092A9" w14:textId="77777777" w:rsidR="00B54D51" w:rsidRPr="00037AD4" w:rsidRDefault="00B54D51" w:rsidP="008F00F0">
            <w:pPr>
              <w:rPr>
                <w:rFonts w:asciiTheme="minorHAnsi" w:hAnsiTheme="minorHAnsi" w:cstheme="minorHAnsi"/>
                <w:sz w:val="22"/>
                <w:szCs w:val="22"/>
              </w:rPr>
            </w:pPr>
          </w:p>
          <w:p w14:paraId="10B700EA" w14:textId="77777777" w:rsidR="00B54D51" w:rsidRPr="00037AD4" w:rsidRDefault="00B54D51" w:rsidP="008F00F0">
            <w:pPr>
              <w:rPr>
                <w:rFonts w:asciiTheme="minorHAnsi" w:hAnsiTheme="minorHAnsi" w:cstheme="minorHAnsi"/>
                <w:sz w:val="22"/>
                <w:szCs w:val="22"/>
              </w:rPr>
            </w:pPr>
          </w:p>
          <w:p w14:paraId="57AAC83B" w14:textId="77777777" w:rsidR="00B54D51" w:rsidRPr="00037AD4" w:rsidRDefault="00B54D51" w:rsidP="008F00F0">
            <w:pPr>
              <w:rPr>
                <w:rFonts w:asciiTheme="minorHAnsi" w:hAnsiTheme="minorHAnsi" w:cstheme="minorHAnsi"/>
                <w:sz w:val="22"/>
                <w:szCs w:val="22"/>
              </w:rPr>
            </w:pPr>
            <w:r w:rsidRPr="00037AD4">
              <w:rPr>
                <w:rFonts w:asciiTheme="minorHAnsi" w:hAnsiTheme="minorHAnsi" w:cstheme="minorHAnsi"/>
                <w:sz w:val="22"/>
                <w:szCs w:val="22"/>
              </w:rPr>
              <w:t>-</w:t>
            </w:r>
          </w:p>
        </w:tc>
        <w:tc>
          <w:tcPr>
            <w:tcW w:w="1498" w:type="dxa"/>
          </w:tcPr>
          <w:p w14:paraId="4DD05440" w14:textId="77777777" w:rsidR="00B54D51" w:rsidRPr="00037AD4" w:rsidRDefault="00B54D51" w:rsidP="008F00F0">
            <w:pPr>
              <w:rPr>
                <w:rFonts w:asciiTheme="minorHAnsi" w:hAnsiTheme="minorHAnsi" w:cstheme="minorHAnsi"/>
                <w:sz w:val="22"/>
                <w:szCs w:val="22"/>
              </w:rPr>
            </w:pPr>
          </w:p>
          <w:p w14:paraId="4C3D0CC4" w14:textId="77777777" w:rsidR="00B54D51" w:rsidRPr="00037AD4" w:rsidRDefault="00B54D51" w:rsidP="008F00F0">
            <w:pPr>
              <w:rPr>
                <w:rFonts w:asciiTheme="minorHAnsi" w:hAnsiTheme="minorHAnsi" w:cstheme="minorHAnsi"/>
                <w:sz w:val="22"/>
                <w:szCs w:val="22"/>
              </w:rPr>
            </w:pPr>
          </w:p>
          <w:p w14:paraId="5D1F9C29" w14:textId="77777777" w:rsidR="00B54D51" w:rsidRPr="00037AD4" w:rsidRDefault="00B54D51" w:rsidP="008F00F0">
            <w:pPr>
              <w:rPr>
                <w:rFonts w:asciiTheme="minorHAnsi" w:hAnsiTheme="minorHAnsi" w:cstheme="minorHAnsi"/>
                <w:sz w:val="22"/>
                <w:szCs w:val="22"/>
              </w:rPr>
            </w:pPr>
            <w:r w:rsidRPr="00037AD4">
              <w:rPr>
                <w:rFonts w:asciiTheme="minorHAnsi" w:hAnsiTheme="minorHAnsi" w:cstheme="minorHAnsi"/>
                <w:sz w:val="22"/>
                <w:szCs w:val="22"/>
              </w:rPr>
              <w:t>-</w:t>
            </w:r>
          </w:p>
        </w:tc>
        <w:tc>
          <w:tcPr>
            <w:tcW w:w="853" w:type="dxa"/>
          </w:tcPr>
          <w:p w14:paraId="20B6AC62" w14:textId="77777777" w:rsidR="00B54D51" w:rsidRPr="00037AD4" w:rsidRDefault="00B54D51" w:rsidP="008F00F0">
            <w:pPr>
              <w:rPr>
                <w:rFonts w:asciiTheme="minorHAnsi" w:hAnsiTheme="minorHAnsi" w:cstheme="minorHAnsi"/>
                <w:sz w:val="22"/>
                <w:szCs w:val="22"/>
              </w:rPr>
            </w:pPr>
          </w:p>
          <w:p w14:paraId="1AFFFD20" w14:textId="77777777" w:rsidR="00B54D51" w:rsidRPr="00037AD4" w:rsidRDefault="00B54D51" w:rsidP="008F00F0">
            <w:pPr>
              <w:rPr>
                <w:rFonts w:asciiTheme="minorHAnsi" w:hAnsiTheme="minorHAnsi" w:cstheme="minorHAnsi"/>
                <w:sz w:val="22"/>
                <w:szCs w:val="22"/>
              </w:rPr>
            </w:pPr>
          </w:p>
          <w:p w14:paraId="699E8013" w14:textId="77777777" w:rsidR="00B54D51" w:rsidRPr="00037AD4" w:rsidRDefault="00B54D51" w:rsidP="008F00F0">
            <w:pPr>
              <w:rPr>
                <w:rFonts w:asciiTheme="minorHAnsi" w:hAnsiTheme="minorHAnsi" w:cstheme="minorHAnsi"/>
                <w:sz w:val="22"/>
                <w:szCs w:val="22"/>
              </w:rPr>
            </w:pPr>
            <w:r w:rsidRPr="00037AD4">
              <w:rPr>
                <w:rFonts w:asciiTheme="minorHAnsi" w:hAnsiTheme="minorHAnsi" w:cstheme="minorHAnsi"/>
                <w:sz w:val="22"/>
                <w:szCs w:val="22"/>
              </w:rPr>
              <w:t>-</w:t>
            </w:r>
          </w:p>
        </w:tc>
        <w:tc>
          <w:tcPr>
            <w:tcW w:w="1405" w:type="dxa"/>
          </w:tcPr>
          <w:p w14:paraId="00A455BD" w14:textId="77777777" w:rsidR="00B54D51" w:rsidRPr="00037AD4" w:rsidRDefault="00B54D51" w:rsidP="008F00F0">
            <w:pPr>
              <w:rPr>
                <w:rFonts w:asciiTheme="minorHAnsi" w:hAnsiTheme="minorHAnsi" w:cstheme="minorHAnsi"/>
                <w:sz w:val="22"/>
                <w:szCs w:val="22"/>
              </w:rPr>
            </w:pPr>
          </w:p>
          <w:p w14:paraId="3B79D84D" w14:textId="77777777" w:rsidR="00B54D51" w:rsidRPr="00037AD4" w:rsidRDefault="00B54D51" w:rsidP="008F00F0">
            <w:pPr>
              <w:rPr>
                <w:rFonts w:asciiTheme="minorHAnsi" w:hAnsiTheme="minorHAnsi" w:cstheme="minorHAnsi"/>
                <w:sz w:val="22"/>
                <w:szCs w:val="22"/>
              </w:rPr>
            </w:pPr>
          </w:p>
          <w:p w14:paraId="4C6BD4FE" w14:textId="77777777" w:rsidR="00B54D51" w:rsidRPr="00037AD4" w:rsidRDefault="00B54D51" w:rsidP="008F00F0">
            <w:pPr>
              <w:rPr>
                <w:rFonts w:asciiTheme="minorHAnsi" w:hAnsiTheme="minorHAnsi" w:cstheme="minorHAnsi"/>
                <w:sz w:val="22"/>
                <w:szCs w:val="22"/>
              </w:rPr>
            </w:pPr>
            <w:r w:rsidRPr="00037AD4">
              <w:rPr>
                <w:rFonts w:asciiTheme="minorHAnsi" w:hAnsiTheme="minorHAnsi" w:cstheme="minorHAnsi"/>
                <w:sz w:val="22"/>
                <w:szCs w:val="22"/>
              </w:rPr>
              <w:t>0.87 (0.20)</w:t>
            </w:r>
          </w:p>
          <w:p w14:paraId="5FD70377" w14:textId="77777777" w:rsidR="00B54D51" w:rsidRPr="00037AD4" w:rsidRDefault="00B54D51" w:rsidP="008F00F0">
            <w:pPr>
              <w:rPr>
                <w:rFonts w:asciiTheme="minorHAnsi" w:hAnsiTheme="minorHAnsi" w:cstheme="minorHAnsi"/>
                <w:sz w:val="22"/>
                <w:szCs w:val="22"/>
              </w:rPr>
            </w:pPr>
            <w:r w:rsidRPr="00037AD4">
              <w:rPr>
                <w:rFonts w:asciiTheme="minorHAnsi" w:hAnsiTheme="minorHAnsi" w:cstheme="minorHAnsi"/>
                <w:sz w:val="22"/>
                <w:szCs w:val="22"/>
              </w:rPr>
              <w:t>0.13 (0.33)</w:t>
            </w:r>
          </w:p>
          <w:p w14:paraId="56ACDB59" w14:textId="77777777" w:rsidR="00B54D51" w:rsidRPr="00037AD4" w:rsidRDefault="00B54D51" w:rsidP="008F00F0">
            <w:pPr>
              <w:rPr>
                <w:rFonts w:asciiTheme="minorHAnsi" w:hAnsiTheme="minorHAnsi" w:cstheme="minorHAnsi"/>
                <w:sz w:val="22"/>
                <w:szCs w:val="22"/>
              </w:rPr>
            </w:pPr>
            <w:r w:rsidRPr="00037AD4">
              <w:rPr>
                <w:rFonts w:asciiTheme="minorHAnsi" w:hAnsiTheme="minorHAnsi" w:cstheme="minorHAnsi"/>
                <w:sz w:val="22"/>
                <w:szCs w:val="22"/>
              </w:rPr>
              <w:t>0.28 (0.40)</w:t>
            </w:r>
          </w:p>
        </w:tc>
        <w:tc>
          <w:tcPr>
            <w:tcW w:w="570" w:type="dxa"/>
          </w:tcPr>
          <w:p w14:paraId="4067CD7C" w14:textId="77777777" w:rsidR="00B54D51" w:rsidRPr="00037AD4" w:rsidRDefault="00B54D51" w:rsidP="008F00F0">
            <w:pPr>
              <w:rPr>
                <w:rFonts w:asciiTheme="minorHAnsi" w:hAnsiTheme="minorHAnsi" w:cstheme="minorHAnsi"/>
                <w:sz w:val="22"/>
                <w:szCs w:val="22"/>
              </w:rPr>
            </w:pPr>
          </w:p>
          <w:p w14:paraId="6942D3F4" w14:textId="77777777" w:rsidR="00B54D51" w:rsidRPr="00037AD4" w:rsidRDefault="00B54D51" w:rsidP="008F00F0">
            <w:pPr>
              <w:rPr>
                <w:rFonts w:asciiTheme="minorHAnsi" w:hAnsiTheme="minorHAnsi" w:cstheme="minorHAnsi"/>
                <w:sz w:val="22"/>
                <w:szCs w:val="22"/>
              </w:rPr>
            </w:pPr>
          </w:p>
          <w:p w14:paraId="43CA238A" w14:textId="77777777" w:rsidR="00B54D51" w:rsidRPr="00037AD4" w:rsidRDefault="00B54D51" w:rsidP="008F00F0">
            <w:pPr>
              <w:rPr>
                <w:rFonts w:asciiTheme="minorHAnsi" w:hAnsiTheme="minorHAnsi" w:cstheme="minorHAnsi"/>
                <w:sz w:val="22"/>
                <w:szCs w:val="22"/>
              </w:rPr>
            </w:pPr>
            <w:r w:rsidRPr="00037AD4">
              <w:rPr>
                <w:rFonts w:asciiTheme="minorHAnsi" w:hAnsiTheme="minorHAnsi" w:cstheme="minorHAnsi"/>
                <w:sz w:val="22"/>
                <w:szCs w:val="22"/>
              </w:rPr>
              <w:t>-</w:t>
            </w:r>
          </w:p>
        </w:tc>
        <w:tc>
          <w:tcPr>
            <w:tcW w:w="0" w:type="auto"/>
          </w:tcPr>
          <w:p w14:paraId="3CC22E30" w14:textId="77777777" w:rsidR="00B54D51" w:rsidRPr="00037AD4" w:rsidRDefault="00B54D51" w:rsidP="008F00F0">
            <w:pPr>
              <w:rPr>
                <w:rFonts w:asciiTheme="minorHAnsi" w:hAnsiTheme="minorHAnsi" w:cstheme="minorHAnsi"/>
                <w:sz w:val="22"/>
                <w:szCs w:val="22"/>
              </w:rPr>
            </w:pPr>
          </w:p>
          <w:p w14:paraId="0072C51A" w14:textId="77777777" w:rsidR="00B54D51" w:rsidRPr="00037AD4" w:rsidRDefault="00B54D51" w:rsidP="008F00F0">
            <w:pPr>
              <w:rPr>
                <w:rFonts w:asciiTheme="minorHAnsi" w:hAnsiTheme="minorHAnsi" w:cstheme="minorHAnsi"/>
                <w:sz w:val="22"/>
                <w:szCs w:val="22"/>
              </w:rPr>
            </w:pPr>
          </w:p>
          <w:p w14:paraId="4E002BDE" w14:textId="77777777" w:rsidR="00B54D51" w:rsidRPr="00037AD4" w:rsidRDefault="00B54D51" w:rsidP="008F00F0">
            <w:pPr>
              <w:rPr>
                <w:rFonts w:asciiTheme="minorHAnsi" w:hAnsiTheme="minorHAnsi" w:cstheme="minorHAnsi"/>
                <w:sz w:val="22"/>
                <w:szCs w:val="22"/>
              </w:rPr>
            </w:pPr>
            <w:r w:rsidRPr="00037AD4">
              <w:rPr>
                <w:rFonts w:asciiTheme="minorHAnsi" w:hAnsiTheme="minorHAnsi" w:cstheme="minorHAnsi"/>
                <w:sz w:val="22"/>
                <w:szCs w:val="22"/>
              </w:rPr>
              <w:t>8.99*</w:t>
            </w:r>
          </w:p>
          <w:p w14:paraId="779FD10B" w14:textId="77777777" w:rsidR="00B54D51" w:rsidRPr="00037AD4" w:rsidRDefault="00B54D51" w:rsidP="008F00F0">
            <w:pPr>
              <w:rPr>
                <w:rFonts w:asciiTheme="minorHAnsi" w:hAnsiTheme="minorHAnsi" w:cstheme="minorHAnsi"/>
                <w:i/>
                <w:iCs/>
                <w:sz w:val="22"/>
                <w:szCs w:val="22"/>
              </w:rPr>
            </w:pPr>
            <w:r w:rsidRPr="00037AD4">
              <w:rPr>
                <w:rFonts w:asciiTheme="minorHAnsi" w:hAnsiTheme="minorHAnsi" w:cstheme="minorHAnsi"/>
                <w:i/>
                <w:iCs/>
                <w:sz w:val="22"/>
                <w:szCs w:val="22"/>
              </w:rPr>
              <w:t>n=48</w:t>
            </w:r>
          </w:p>
        </w:tc>
      </w:tr>
      <w:tr w:rsidR="00B54D51" w:rsidRPr="00037AD4" w14:paraId="6FB2CF3A" w14:textId="77777777" w:rsidTr="008F00F0">
        <w:tc>
          <w:tcPr>
            <w:tcW w:w="0" w:type="auto"/>
            <w:gridSpan w:val="8"/>
          </w:tcPr>
          <w:p w14:paraId="71EA5EB1" w14:textId="77777777" w:rsidR="00B54D51" w:rsidRPr="00037AD4" w:rsidRDefault="00B54D51" w:rsidP="008F00F0">
            <w:pPr>
              <w:rPr>
                <w:rFonts w:asciiTheme="minorHAnsi" w:hAnsiTheme="minorHAnsi" w:cstheme="minorHAnsi"/>
                <w:sz w:val="22"/>
                <w:szCs w:val="22"/>
              </w:rPr>
            </w:pPr>
            <w:r w:rsidRPr="00037AD4">
              <w:rPr>
                <w:rFonts w:asciiTheme="minorHAnsi" w:hAnsiTheme="minorHAnsi" w:cstheme="minorHAnsi"/>
                <w:sz w:val="22"/>
                <w:szCs w:val="22"/>
                <w:vertAlign w:val="superscript"/>
              </w:rPr>
              <w:t xml:space="preserve">a </w:t>
            </w:r>
            <w:r w:rsidRPr="00037AD4">
              <w:rPr>
                <w:rFonts w:asciiTheme="minorHAnsi" w:hAnsiTheme="minorHAnsi" w:cstheme="minorHAnsi"/>
                <w:sz w:val="22"/>
                <w:szCs w:val="22"/>
              </w:rPr>
              <w:t>CDR stage 0.5 and 1 have been grouped together to form the mild dementia group</w:t>
            </w:r>
          </w:p>
          <w:p w14:paraId="473FA53C" w14:textId="77777777" w:rsidR="00B54D51" w:rsidRPr="00037AD4" w:rsidRDefault="00B54D51" w:rsidP="008F00F0">
            <w:pPr>
              <w:rPr>
                <w:rFonts w:asciiTheme="minorHAnsi" w:hAnsiTheme="minorHAnsi" w:cstheme="minorHAnsi"/>
                <w:sz w:val="22"/>
                <w:szCs w:val="22"/>
                <w:vertAlign w:val="superscript"/>
              </w:rPr>
            </w:pPr>
            <w:r w:rsidRPr="00037AD4">
              <w:rPr>
                <w:rFonts w:asciiTheme="minorHAnsi" w:hAnsiTheme="minorHAnsi" w:cstheme="minorHAnsi"/>
                <w:sz w:val="22"/>
                <w:szCs w:val="22"/>
              </w:rPr>
              <w:t xml:space="preserve">*p&lt;0.001; </w:t>
            </w:r>
            <w:r w:rsidRPr="00037AD4">
              <w:rPr>
                <w:rFonts w:asciiTheme="minorHAnsi" w:hAnsiTheme="minorHAnsi" w:cstheme="minorHAnsi"/>
                <w:i/>
                <w:iCs/>
                <w:sz w:val="22"/>
                <w:szCs w:val="22"/>
              </w:rPr>
              <w:t>t</w:t>
            </w:r>
            <w:r w:rsidRPr="00037AD4">
              <w:rPr>
                <w:rFonts w:asciiTheme="minorHAnsi" w:hAnsiTheme="minorHAnsi" w:cstheme="minorHAnsi"/>
                <w:sz w:val="22"/>
                <w:szCs w:val="22"/>
              </w:rPr>
              <w:t xml:space="preserve">, t-value/t-statistics; PwD, person with dementia; RP, informal/relative proxy; SP, staff proxy </w:t>
            </w:r>
          </w:p>
        </w:tc>
      </w:tr>
    </w:tbl>
    <w:p w14:paraId="39C4DB82" w14:textId="77777777" w:rsidR="00B54D51" w:rsidRPr="00037AD4" w:rsidRDefault="00B54D51" w:rsidP="000B30D3">
      <w:pPr>
        <w:rPr>
          <w:rFonts w:asciiTheme="minorHAnsi" w:hAnsiTheme="minorHAnsi" w:cstheme="minorHAnsi"/>
        </w:rPr>
      </w:pPr>
    </w:p>
    <w:p w14:paraId="5025D262" w14:textId="77777777" w:rsidR="00B54D51" w:rsidRPr="00037AD4" w:rsidRDefault="00B54D51" w:rsidP="000B30D3">
      <w:pPr>
        <w:rPr>
          <w:rFonts w:asciiTheme="minorHAnsi" w:hAnsiTheme="minorHAnsi" w:cstheme="minorHAnsi"/>
        </w:rPr>
      </w:pPr>
      <w:r w:rsidRPr="00037AD4">
        <w:rPr>
          <w:rFonts w:asciiTheme="minorHAnsi" w:hAnsiTheme="minorHAnsi" w:cstheme="minorHAnsi"/>
        </w:rPr>
        <w:t>The table (Table 26) below shows the mean EQ-5D index scores provided by the proxy in cases where the PwD has self-</w:t>
      </w:r>
      <w:r>
        <w:rPr>
          <w:rFonts w:asciiTheme="minorHAnsi" w:hAnsiTheme="minorHAnsi" w:cstheme="minorHAnsi"/>
        </w:rPr>
        <w:t>reported</w:t>
      </w:r>
      <w:r w:rsidRPr="00037AD4">
        <w:rPr>
          <w:rFonts w:asciiTheme="minorHAnsi" w:hAnsiTheme="minorHAnsi" w:cstheme="minorHAnsi"/>
        </w:rPr>
        <w:t xml:space="preserve"> no problems with their HRQoL (a level one for all five EQ-5D dimensions). The reports are also further subdivided by dementia severity (via CDR) of the PwD. Overall, the proportion of people with dementia that report no problems with their HRQoL is lower in the more severe CDR subgroups, however it can also be seen that the proportion of aligned higher value proxy EQ-5D index scores is larger where the PwD has less severe dementia (comparing mild with moderate dementia, and severe dementia for the EPIC trial data). </w:t>
      </w:r>
    </w:p>
    <w:p w14:paraId="5604D05E" w14:textId="5B34305E" w:rsidR="00B54D51" w:rsidRDefault="00B54D51" w:rsidP="000B30D3">
      <w:pPr>
        <w:rPr>
          <w:rFonts w:asciiTheme="minorHAnsi" w:hAnsiTheme="minorHAnsi" w:cstheme="minorHAnsi"/>
          <w:b/>
          <w:bCs/>
          <w:highlight w:val="yellow"/>
          <w:u w:val="single"/>
        </w:rPr>
      </w:pPr>
    </w:p>
    <w:p w14:paraId="7C306228" w14:textId="67329AD4" w:rsidR="00B77D6A" w:rsidRDefault="00B77D6A" w:rsidP="000B30D3">
      <w:pPr>
        <w:rPr>
          <w:rFonts w:asciiTheme="minorHAnsi" w:hAnsiTheme="minorHAnsi" w:cstheme="minorHAnsi"/>
          <w:b/>
          <w:bCs/>
          <w:highlight w:val="yellow"/>
          <w:u w:val="single"/>
        </w:rPr>
      </w:pPr>
    </w:p>
    <w:p w14:paraId="1B6AB26D" w14:textId="674BB94A" w:rsidR="00B77D6A" w:rsidRDefault="00B77D6A" w:rsidP="000B30D3">
      <w:pPr>
        <w:rPr>
          <w:rFonts w:asciiTheme="minorHAnsi" w:hAnsiTheme="minorHAnsi" w:cstheme="minorHAnsi"/>
          <w:b/>
          <w:bCs/>
          <w:highlight w:val="yellow"/>
          <w:u w:val="single"/>
        </w:rPr>
      </w:pPr>
    </w:p>
    <w:p w14:paraId="190462D5" w14:textId="585041EB" w:rsidR="00B77D6A" w:rsidRDefault="00B77D6A" w:rsidP="000B30D3">
      <w:pPr>
        <w:rPr>
          <w:rFonts w:asciiTheme="minorHAnsi" w:hAnsiTheme="minorHAnsi" w:cstheme="minorHAnsi"/>
          <w:b/>
          <w:bCs/>
          <w:highlight w:val="yellow"/>
          <w:u w:val="single"/>
        </w:rPr>
      </w:pPr>
    </w:p>
    <w:p w14:paraId="19FDCB96" w14:textId="3877EC98" w:rsidR="00B77D6A" w:rsidRDefault="00B77D6A" w:rsidP="000B30D3">
      <w:pPr>
        <w:rPr>
          <w:rFonts w:asciiTheme="minorHAnsi" w:hAnsiTheme="minorHAnsi" w:cstheme="minorHAnsi"/>
          <w:b/>
          <w:bCs/>
          <w:highlight w:val="yellow"/>
          <w:u w:val="single"/>
        </w:rPr>
      </w:pPr>
    </w:p>
    <w:p w14:paraId="6BBC5869" w14:textId="77777777" w:rsidR="00B77D6A" w:rsidRPr="00037AD4" w:rsidRDefault="00B77D6A" w:rsidP="000B30D3">
      <w:pPr>
        <w:rPr>
          <w:rFonts w:asciiTheme="minorHAnsi" w:hAnsiTheme="minorHAnsi" w:cstheme="minorHAnsi"/>
          <w:b/>
          <w:bCs/>
          <w:highlight w:val="yellow"/>
          <w:u w:val="single"/>
        </w:rPr>
      </w:pPr>
    </w:p>
    <w:p w14:paraId="11BA8D07" w14:textId="77777777" w:rsidR="00B54D51" w:rsidRPr="00037AD4" w:rsidRDefault="00B54D51" w:rsidP="000B30D3">
      <w:pPr>
        <w:rPr>
          <w:rFonts w:asciiTheme="minorHAnsi" w:hAnsiTheme="minorHAnsi" w:cstheme="minorHAnsi"/>
          <w:b/>
          <w:bCs/>
          <w:i/>
          <w:iCs/>
        </w:rPr>
      </w:pPr>
      <w:r w:rsidRPr="00037AD4">
        <w:rPr>
          <w:rFonts w:asciiTheme="minorHAnsi" w:hAnsiTheme="minorHAnsi" w:cstheme="minorHAnsi"/>
          <w:b/>
          <w:bCs/>
          <w:i/>
          <w:iCs/>
        </w:rPr>
        <w:lastRenderedPageBreak/>
        <w:t>Table 26, Mean proxy-reported EQ-5D index scores by PwD reports of “no problems” with their HRQoL</w:t>
      </w:r>
    </w:p>
    <w:p w14:paraId="3CC10814" w14:textId="77777777" w:rsidR="00B54D51" w:rsidRPr="00037AD4" w:rsidRDefault="00B54D51" w:rsidP="000B30D3">
      <w:pPr>
        <w:rPr>
          <w:rFonts w:asciiTheme="minorHAnsi" w:hAnsiTheme="minorHAnsi" w:cstheme="minorHAnsi"/>
          <w:u w:val="single"/>
        </w:rPr>
      </w:pPr>
    </w:p>
    <w:tbl>
      <w:tblPr>
        <w:tblStyle w:val="TableGrid"/>
        <w:tblW w:w="10266" w:type="dxa"/>
        <w:tblLayout w:type="fixed"/>
        <w:tblLook w:val="04A0" w:firstRow="1" w:lastRow="0" w:firstColumn="1" w:lastColumn="0" w:noHBand="0" w:noVBand="1"/>
      </w:tblPr>
      <w:tblGrid>
        <w:gridCol w:w="2155"/>
        <w:gridCol w:w="1162"/>
        <w:gridCol w:w="1520"/>
        <w:gridCol w:w="1520"/>
        <w:gridCol w:w="1392"/>
        <w:gridCol w:w="1260"/>
        <w:gridCol w:w="1257"/>
      </w:tblGrid>
      <w:tr w:rsidR="005324B0" w:rsidRPr="00037AD4" w14:paraId="2D79B806" w14:textId="3BBC8657" w:rsidTr="00D204C5">
        <w:trPr>
          <w:trHeight w:val="653"/>
        </w:trPr>
        <w:tc>
          <w:tcPr>
            <w:tcW w:w="2155" w:type="dxa"/>
            <w:vMerge w:val="restart"/>
          </w:tcPr>
          <w:p w14:paraId="545FCC7E" w14:textId="77777777" w:rsidR="005324B0" w:rsidRPr="00037AD4" w:rsidRDefault="005324B0" w:rsidP="008F00F0">
            <w:pPr>
              <w:jc w:val="center"/>
              <w:rPr>
                <w:rFonts w:asciiTheme="minorHAnsi" w:hAnsiTheme="minorHAnsi" w:cstheme="minorHAnsi"/>
              </w:rPr>
            </w:pPr>
            <w:r w:rsidRPr="00037AD4">
              <w:rPr>
                <w:rFonts w:asciiTheme="minorHAnsi" w:hAnsiTheme="minorHAnsi" w:cstheme="minorHAnsi"/>
              </w:rPr>
              <w:t xml:space="preserve">Dementia severity </w:t>
            </w:r>
          </w:p>
        </w:tc>
        <w:tc>
          <w:tcPr>
            <w:tcW w:w="8111" w:type="dxa"/>
            <w:gridSpan w:val="6"/>
          </w:tcPr>
          <w:p w14:paraId="5F1E7770" w14:textId="77777777" w:rsidR="005324B0" w:rsidRPr="00037AD4" w:rsidRDefault="005324B0" w:rsidP="008F00F0">
            <w:pPr>
              <w:jc w:val="center"/>
              <w:rPr>
                <w:rFonts w:asciiTheme="minorHAnsi" w:hAnsiTheme="minorHAnsi" w:cstheme="minorHAnsi"/>
              </w:rPr>
            </w:pPr>
            <w:r w:rsidRPr="00037AD4">
              <w:rPr>
                <w:rFonts w:asciiTheme="minorHAnsi" w:hAnsiTheme="minorHAnsi" w:cstheme="minorHAnsi"/>
              </w:rPr>
              <w:t>Corresponding proxy EQ-5D index scores</w:t>
            </w:r>
          </w:p>
          <w:p w14:paraId="4A7A805C" w14:textId="2ED8DD01" w:rsidR="005324B0" w:rsidRPr="00037AD4" w:rsidRDefault="005324B0" w:rsidP="008F00F0">
            <w:pPr>
              <w:jc w:val="center"/>
              <w:rPr>
                <w:rFonts w:asciiTheme="minorHAnsi" w:hAnsiTheme="minorHAnsi" w:cstheme="minorHAnsi"/>
              </w:rPr>
            </w:pPr>
            <w:r w:rsidRPr="00037AD4">
              <w:rPr>
                <w:rFonts w:asciiTheme="minorHAnsi" w:hAnsiTheme="minorHAnsi" w:cstheme="minorHAnsi"/>
              </w:rPr>
              <w:t xml:space="preserve"> (%)</w:t>
            </w:r>
          </w:p>
        </w:tc>
      </w:tr>
      <w:tr w:rsidR="005324B0" w:rsidRPr="00037AD4" w14:paraId="13491B26" w14:textId="589B3192" w:rsidTr="00D939D4">
        <w:trPr>
          <w:trHeight w:val="325"/>
        </w:trPr>
        <w:tc>
          <w:tcPr>
            <w:tcW w:w="2155" w:type="dxa"/>
            <w:vMerge/>
          </w:tcPr>
          <w:p w14:paraId="319592B3" w14:textId="77777777" w:rsidR="005324B0" w:rsidRPr="00037AD4" w:rsidRDefault="005324B0" w:rsidP="008F00F0">
            <w:pPr>
              <w:rPr>
                <w:rFonts w:asciiTheme="minorHAnsi" w:hAnsiTheme="minorHAnsi" w:cstheme="minorHAnsi"/>
              </w:rPr>
            </w:pPr>
          </w:p>
        </w:tc>
        <w:tc>
          <w:tcPr>
            <w:tcW w:w="1162" w:type="dxa"/>
          </w:tcPr>
          <w:p w14:paraId="5229B2AB" w14:textId="77777777" w:rsidR="005324B0" w:rsidRPr="00037AD4" w:rsidRDefault="005324B0" w:rsidP="008F00F0">
            <w:pPr>
              <w:rPr>
                <w:rFonts w:asciiTheme="minorHAnsi" w:hAnsiTheme="minorHAnsi" w:cstheme="minorHAnsi"/>
                <w:i/>
                <w:iCs/>
                <w:sz w:val="22"/>
                <w:szCs w:val="22"/>
              </w:rPr>
            </w:pPr>
            <w:r w:rsidRPr="00037AD4">
              <w:rPr>
                <w:rFonts w:asciiTheme="minorHAnsi" w:hAnsiTheme="minorHAnsi" w:cstheme="minorHAnsi"/>
                <w:i/>
                <w:iCs/>
                <w:sz w:val="22"/>
                <w:szCs w:val="22"/>
              </w:rPr>
              <w:t xml:space="preserve">&lt;0.01 </w:t>
            </w:r>
          </w:p>
        </w:tc>
        <w:tc>
          <w:tcPr>
            <w:tcW w:w="1520" w:type="dxa"/>
          </w:tcPr>
          <w:p w14:paraId="24B83B91" w14:textId="77777777" w:rsidR="005324B0" w:rsidRPr="00037AD4" w:rsidRDefault="005324B0" w:rsidP="008F00F0">
            <w:pPr>
              <w:rPr>
                <w:rFonts w:asciiTheme="minorHAnsi" w:hAnsiTheme="minorHAnsi" w:cstheme="minorHAnsi"/>
                <w:i/>
                <w:iCs/>
                <w:sz w:val="22"/>
                <w:szCs w:val="22"/>
              </w:rPr>
            </w:pPr>
            <w:r w:rsidRPr="00037AD4">
              <w:rPr>
                <w:rFonts w:asciiTheme="minorHAnsi" w:hAnsiTheme="minorHAnsi" w:cstheme="minorHAnsi"/>
                <w:i/>
                <w:iCs/>
                <w:sz w:val="22"/>
                <w:szCs w:val="22"/>
              </w:rPr>
              <w:t xml:space="preserve">0.01 – 0.3 </w:t>
            </w:r>
          </w:p>
        </w:tc>
        <w:tc>
          <w:tcPr>
            <w:tcW w:w="1520" w:type="dxa"/>
          </w:tcPr>
          <w:p w14:paraId="4AD1DD4D" w14:textId="77777777" w:rsidR="005324B0" w:rsidRPr="00037AD4" w:rsidRDefault="005324B0" w:rsidP="008F00F0">
            <w:pPr>
              <w:rPr>
                <w:rFonts w:asciiTheme="minorHAnsi" w:hAnsiTheme="minorHAnsi" w:cstheme="minorHAnsi"/>
                <w:i/>
                <w:iCs/>
                <w:sz w:val="22"/>
                <w:szCs w:val="22"/>
              </w:rPr>
            </w:pPr>
            <w:r w:rsidRPr="00037AD4">
              <w:rPr>
                <w:rFonts w:asciiTheme="minorHAnsi" w:hAnsiTheme="minorHAnsi" w:cstheme="minorHAnsi"/>
                <w:i/>
                <w:iCs/>
                <w:sz w:val="22"/>
                <w:szCs w:val="22"/>
              </w:rPr>
              <w:t>0.31 – 0.5</w:t>
            </w:r>
          </w:p>
        </w:tc>
        <w:tc>
          <w:tcPr>
            <w:tcW w:w="1392" w:type="dxa"/>
          </w:tcPr>
          <w:p w14:paraId="7023B294" w14:textId="77777777" w:rsidR="005324B0" w:rsidRPr="00037AD4" w:rsidRDefault="005324B0" w:rsidP="008F00F0">
            <w:pPr>
              <w:rPr>
                <w:rFonts w:asciiTheme="minorHAnsi" w:hAnsiTheme="minorHAnsi" w:cstheme="minorHAnsi"/>
                <w:i/>
                <w:iCs/>
                <w:sz w:val="22"/>
                <w:szCs w:val="22"/>
              </w:rPr>
            </w:pPr>
            <w:r w:rsidRPr="00037AD4">
              <w:rPr>
                <w:rFonts w:asciiTheme="minorHAnsi" w:hAnsiTheme="minorHAnsi" w:cstheme="minorHAnsi"/>
                <w:i/>
                <w:iCs/>
                <w:sz w:val="22"/>
                <w:szCs w:val="22"/>
              </w:rPr>
              <w:t>0.51 – 0.7</w:t>
            </w:r>
          </w:p>
        </w:tc>
        <w:tc>
          <w:tcPr>
            <w:tcW w:w="1260" w:type="dxa"/>
          </w:tcPr>
          <w:p w14:paraId="2486CF47" w14:textId="77777777" w:rsidR="005324B0" w:rsidRPr="00037AD4" w:rsidRDefault="005324B0" w:rsidP="008F00F0">
            <w:pPr>
              <w:rPr>
                <w:rFonts w:asciiTheme="minorHAnsi" w:hAnsiTheme="minorHAnsi" w:cstheme="minorHAnsi"/>
                <w:i/>
                <w:iCs/>
                <w:sz w:val="22"/>
                <w:szCs w:val="22"/>
              </w:rPr>
            </w:pPr>
            <w:r w:rsidRPr="00037AD4">
              <w:rPr>
                <w:rFonts w:asciiTheme="minorHAnsi" w:hAnsiTheme="minorHAnsi" w:cstheme="minorHAnsi"/>
                <w:i/>
                <w:iCs/>
                <w:sz w:val="22"/>
                <w:szCs w:val="22"/>
              </w:rPr>
              <w:t xml:space="preserve">0.71 – 1 </w:t>
            </w:r>
          </w:p>
          <w:p w14:paraId="62CAA5D7" w14:textId="77777777" w:rsidR="005324B0" w:rsidRPr="00037AD4" w:rsidRDefault="005324B0" w:rsidP="008F00F0">
            <w:pPr>
              <w:rPr>
                <w:rFonts w:asciiTheme="minorHAnsi" w:hAnsiTheme="minorHAnsi" w:cstheme="minorHAnsi"/>
                <w:i/>
                <w:iCs/>
                <w:sz w:val="22"/>
                <w:szCs w:val="22"/>
              </w:rPr>
            </w:pPr>
          </w:p>
        </w:tc>
        <w:tc>
          <w:tcPr>
            <w:tcW w:w="1257" w:type="dxa"/>
          </w:tcPr>
          <w:p w14:paraId="54C99A4F" w14:textId="6A9C7900" w:rsidR="005324B0" w:rsidRPr="00094A4F" w:rsidRDefault="00094A4F" w:rsidP="008F00F0">
            <w:pPr>
              <w:rPr>
                <w:rFonts w:asciiTheme="minorHAnsi" w:hAnsiTheme="minorHAnsi" w:cstheme="minorHAnsi"/>
                <w:i/>
                <w:iCs/>
                <w:sz w:val="22"/>
                <w:szCs w:val="22"/>
              </w:rPr>
            </w:pPr>
            <w:r>
              <w:rPr>
                <w:rFonts w:asciiTheme="minorHAnsi" w:hAnsiTheme="minorHAnsi" w:cstheme="minorHAnsi"/>
                <w:i/>
                <w:iCs/>
                <w:sz w:val="22"/>
                <w:szCs w:val="22"/>
              </w:rPr>
              <w:t>Full health**</w:t>
            </w:r>
          </w:p>
        </w:tc>
      </w:tr>
      <w:tr w:rsidR="005324B0" w:rsidRPr="00037AD4" w14:paraId="0B397F85" w14:textId="5531B498" w:rsidTr="00D939D4">
        <w:trPr>
          <w:trHeight w:val="756"/>
        </w:trPr>
        <w:tc>
          <w:tcPr>
            <w:tcW w:w="2155" w:type="dxa"/>
          </w:tcPr>
          <w:p w14:paraId="76A345D0" w14:textId="77777777" w:rsidR="005324B0" w:rsidRPr="00037AD4" w:rsidRDefault="005324B0" w:rsidP="008F00F0">
            <w:pPr>
              <w:rPr>
                <w:rFonts w:asciiTheme="minorHAnsi" w:hAnsiTheme="minorHAnsi" w:cstheme="minorHAnsi"/>
              </w:rPr>
            </w:pPr>
            <w:r w:rsidRPr="00037AD4">
              <w:rPr>
                <w:rFonts w:asciiTheme="minorHAnsi" w:hAnsiTheme="minorHAnsi" w:cstheme="minorHAnsi"/>
              </w:rPr>
              <w:t>REMCARE</w:t>
            </w:r>
          </w:p>
          <w:p w14:paraId="70BA2190" w14:textId="77777777" w:rsidR="005324B0" w:rsidRPr="00037AD4" w:rsidRDefault="005324B0" w:rsidP="008F00F0">
            <w:pPr>
              <w:rPr>
                <w:rFonts w:asciiTheme="minorHAnsi" w:hAnsiTheme="minorHAnsi" w:cstheme="minorHAnsi"/>
                <w:sz w:val="20"/>
                <w:szCs w:val="20"/>
              </w:rPr>
            </w:pPr>
            <w:r w:rsidRPr="00037AD4">
              <w:rPr>
                <w:rFonts w:asciiTheme="minorHAnsi" w:hAnsiTheme="minorHAnsi" w:cstheme="minorHAnsi"/>
              </w:rPr>
              <w:t>Full sample,</w:t>
            </w:r>
            <w:r w:rsidRPr="00037AD4">
              <w:rPr>
                <w:rFonts w:asciiTheme="minorHAnsi" w:hAnsiTheme="minorHAnsi" w:cstheme="minorHAnsi"/>
                <w:sz w:val="20"/>
                <w:szCs w:val="20"/>
              </w:rPr>
              <w:t xml:space="preserve"> n=329</w:t>
            </w:r>
          </w:p>
          <w:p w14:paraId="2FA68BD2" w14:textId="3BC036DF" w:rsidR="005324B0" w:rsidRPr="00037AD4" w:rsidRDefault="005324B0" w:rsidP="008F00F0">
            <w:pPr>
              <w:rPr>
                <w:rFonts w:asciiTheme="minorHAnsi" w:hAnsiTheme="minorHAnsi" w:cstheme="minorHAnsi"/>
              </w:rPr>
            </w:pPr>
            <w:r w:rsidRPr="00037AD4">
              <w:rPr>
                <w:rFonts w:asciiTheme="minorHAnsi" w:hAnsiTheme="minorHAnsi" w:cstheme="minorHAnsi"/>
              </w:rPr>
              <w:t>Mild,</w:t>
            </w:r>
            <w:r w:rsidRPr="00037AD4">
              <w:rPr>
                <w:rFonts w:asciiTheme="minorHAnsi" w:hAnsiTheme="minorHAnsi" w:cstheme="minorHAnsi"/>
                <w:sz w:val="20"/>
                <w:szCs w:val="20"/>
              </w:rPr>
              <w:t xml:space="preserve"> n=260</w:t>
            </w:r>
          </w:p>
          <w:p w14:paraId="234ED088" w14:textId="048361A5" w:rsidR="005324B0" w:rsidRPr="00037AD4" w:rsidRDefault="005324B0" w:rsidP="008F00F0">
            <w:pPr>
              <w:rPr>
                <w:rFonts w:asciiTheme="minorHAnsi" w:hAnsiTheme="minorHAnsi" w:cstheme="minorHAnsi"/>
                <w:sz w:val="20"/>
                <w:szCs w:val="20"/>
              </w:rPr>
            </w:pPr>
            <w:r w:rsidRPr="00037AD4">
              <w:rPr>
                <w:rFonts w:asciiTheme="minorHAnsi" w:hAnsiTheme="minorHAnsi" w:cstheme="minorHAnsi"/>
              </w:rPr>
              <w:t>Moderat</w:t>
            </w:r>
            <w:r w:rsidR="00FE1809">
              <w:rPr>
                <w:rFonts w:asciiTheme="minorHAnsi" w:hAnsiTheme="minorHAnsi" w:cstheme="minorHAnsi"/>
              </w:rPr>
              <w:t>e</w:t>
            </w:r>
            <w:r w:rsidRPr="00037AD4">
              <w:rPr>
                <w:rFonts w:asciiTheme="minorHAnsi" w:hAnsiTheme="minorHAnsi" w:cstheme="minorHAnsi"/>
              </w:rPr>
              <w:t xml:space="preserve">, </w:t>
            </w:r>
            <w:r w:rsidRPr="00037AD4">
              <w:rPr>
                <w:rFonts w:asciiTheme="minorHAnsi" w:hAnsiTheme="minorHAnsi" w:cstheme="minorHAnsi"/>
                <w:sz w:val="20"/>
                <w:szCs w:val="20"/>
              </w:rPr>
              <w:t>n=78</w:t>
            </w:r>
          </w:p>
        </w:tc>
        <w:tc>
          <w:tcPr>
            <w:tcW w:w="1162" w:type="dxa"/>
          </w:tcPr>
          <w:p w14:paraId="21A2B1B2" w14:textId="77777777" w:rsidR="005324B0" w:rsidRPr="00037AD4" w:rsidRDefault="005324B0" w:rsidP="008F00F0">
            <w:pPr>
              <w:rPr>
                <w:rFonts w:asciiTheme="minorHAnsi" w:hAnsiTheme="minorHAnsi" w:cstheme="minorHAnsi"/>
              </w:rPr>
            </w:pPr>
          </w:p>
          <w:p w14:paraId="7987CDA8" w14:textId="77777777" w:rsidR="005324B0" w:rsidRPr="00037AD4" w:rsidRDefault="005324B0" w:rsidP="008F00F0">
            <w:pPr>
              <w:rPr>
                <w:rFonts w:asciiTheme="minorHAnsi" w:hAnsiTheme="minorHAnsi" w:cstheme="minorHAnsi"/>
              </w:rPr>
            </w:pPr>
            <w:r w:rsidRPr="00037AD4">
              <w:rPr>
                <w:rFonts w:asciiTheme="minorHAnsi" w:hAnsiTheme="minorHAnsi" w:cstheme="minorHAnsi"/>
              </w:rPr>
              <w:t xml:space="preserve">4 (1.2) </w:t>
            </w:r>
          </w:p>
          <w:p w14:paraId="69E9979F" w14:textId="77777777" w:rsidR="005324B0" w:rsidRPr="00037AD4" w:rsidRDefault="005324B0" w:rsidP="008F00F0">
            <w:pPr>
              <w:rPr>
                <w:rFonts w:asciiTheme="minorHAnsi" w:hAnsiTheme="minorHAnsi" w:cstheme="minorHAnsi"/>
              </w:rPr>
            </w:pPr>
            <w:r w:rsidRPr="00037AD4">
              <w:rPr>
                <w:rFonts w:asciiTheme="minorHAnsi" w:hAnsiTheme="minorHAnsi" w:cstheme="minorHAnsi"/>
              </w:rPr>
              <w:t>1 (0.4)</w:t>
            </w:r>
          </w:p>
          <w:p w14:paraId="416A96B0" w14:textId="77777777" w:rsidR="005324B0" w:rsidRPr="00037AD4" w:rsidRDefault="005324B0" w:rsidP="008F00F0">
            <w:pPr>
              <w:rPr>
                <w:rFonts w:asciiTheme="minorHAnsi" w:hAnsiTheme="minorHAnsi" w:cstheme="minorHAnsi"/>
              </w:rPr>
            </w:pPr>
            <w:r w:rsidRPr="00037AD4">
              <w:rPr>
                <w:rFonts w:asciiTheme="minorHAnsi" w:hAnsiTheme="minorHAnsi" w:cstheme="minorHAnsi"/>
              </w:rPr>
              <w:t>3 (3.9)</w:t>
            </w:r>
          </w:p>
        </w:tc>
        <w:tc>
          <w:tcPr>
            <w:tcW w:w="1520" w:type="dxa"/>
          </w:tcPr>
          <w:p w14:paraId="3123B54E" w14:textId="77777777" w:rsidR="005324B0" w:rsidRPr="00037AD4" w:rsidRDefault="005324B0" w:rsidP="008F00F0">
            <w:pPr>
              <w:rPr>
                <w:rFonts w:asciiTheme="minorHAnsi" w:hAnsiTheme="minorHAnsi" w:cstheme="minorHAnsi"/>
              </w:rPr>
            </w:pPr>
          </w:p>
          <w:p w14:paraId="41EF433C" w14:textId="77777777" w:rsidR="005324B0" w:rsidRPr="00037AD4" w:rsidRDefault="005324B0" w:rsidP="008F00F0">
            <w:pPr>
              <w:rPr>
                <w:rFonts w:asciiTheme="minorHAnsi" w:hAnsiTheme="minorHAnsi" w:cstheme="minorHAnsi"/>
              </w:rPr>
            </w:pPr>
            <w:r w:rsidRPr="00037AD4">
              <w:rPr>
                <w:rFonts w:asciiTheme="minorHAnsi" w:hAnsiTheme="minorHAnsi" w:cstheme="minorHAnsi"/>
              </w:rPr>
              <w:t>24 (10.0)</w:t>
            </w:r>
          </w:p>
          <w:p w14:paraId="12F31CBB" w14:textId="77777777" w:rsidR="005324B0" w:rsidRPr="00037AD4" w:rsidRDefault="005324B0" w:rsidP="008F00F0">
            <w:pPr>
              <w:rPr>
                <w:rFonts w:asciiTheme="minorHAnsi" w:hAnsiTheme="minorHAnsi" w:cstheme="minorHAnsi"/>
              </w:rPr>
            </w:pPr>
            <w:r w:rsidRPr="00037AD4">
              <w:rPr>
                <w:rFonts w:asciiTheme="minorHAnsi" w:hAnsiTheme="minorHAnsi" w:cstheme="minorHAnsi"/>
              </w:rPr>
              <w:t>21 (8.0)</w:t>
            </w:r>
          </w:p>
          <w:p w14:paraId="13A1F3CC" w14:textId="77777777" w:rsidR="005324B0" w:rsidRPr="00037AD4" w:rsidRDefault="005324B0" w:rsidP="008F00F0">
            <w:pPr>
              <w:rPr>
                <w:rFonts w:asciiTheme="minorHAnsi" w:hAnsiTheme="minorHAnsi" w:cstheme="minorHAnsi"/>
              </w:rPr>
            </w:pPr>
            <w:r w:rsidRPr="00037AD4">
              <w:rPr>
                <w:rFonts w:asciiTheme="minorHAnsi" w:hAnsiTheme="minorHAnsi" w:cstheme="minorHAnsi"/>
              </w:rPr>
              <w:t>13 (16.7)</w:t>
            </w:r>
          </w:p>
        </w:tc>
        <w:tc>
          <w:tcPr>
            <w:tcW w:w="1520" w:type="dxa"/>
          </w:tcPr>
          <w:p w14:paraId="4712A5FC" w14:textId="77777777" w:rsidR="005324B0" w:rsidRPr="00037AD4" w:rsidRDefault="005324B0" w:rsidP="008F00F0">
            <w:pPr>
              <w:rPr>
                <w:rFonts w:asciiTheme="minorHAnsi" w:hAnsiTheme="minorHAnsi" w:cstheme="minorHAnsi"/>
              </w:rPr>
            </w:pPr>
          </w:p>
          <w:p w14:paraId="31769C53" w14:textId="77777777" w:rsidR="005324B0" w:rsidRPr="00037AD4" w:rsidRDefault="005324B0" w:rsidP="008F00F0">
            <w:pPr>
              <w:rPr>
                <w:rFonts w:asciiTheme="minorHAnsi" w:hAnsiTheme="minorHAnsi" w:cstheme="minorHAnsi"/>
              </w:rPr>
            </w:pPr>
            <w:r w:rsidRPr="00037AD4">
              <w:rPr>
                <w:rFonts w:asciiTheme="minorHAnsi" w:hAnsiTheme="minorHAnsi" w:cstheme="minorHAnsi"/>
              </w:rPr>
              <w:t>23 (6.8)</w:t>
            </w:r>
          </w:p>
          <w:p w14:paraId="2E57E595" w14:textId="77777777" w:rsidR="005324B0" w:rsidRPr="00037AD4" w:rsidRDefault="005324B0" w:rsidP="008F00F0">
            <w:pPr>
              <w:rPr>
                <w:rFonts w:asciiTheme="minorHAnsi" w:hAnsiTheme="minorHAnsi" w:cstheme="minorHAnsi"/>
              </w:rPr>
            </w:pPr>
            <w:r w:rsidRPr="00037AD4">
              <w:rPr>
                <w:rFonts w:asciiTheme="minorHAnsi" w:hAnsiTheme="minorHAnsi" w:cstheme="minorHAnsi"/>
              </w:rPr>
              <w:t>11 (4.3)</w:t>
            </w:r>
          </w:p>
          <w:p w14:paraId="7D0F5F44" w14:textId="77777777" w:rsidR="005324B0" w:rsidRPr="00037AD4" w:rsidRDefault="005324B0" w:rsidP="008F00F0">
            <w:pPr>
              <w:rPr>
                <w:rFonts w:asciiTheme="minorHAnsi" w:hAnsiTheme="minorHAnsi" w:cstheme="minorHAnsi"/>
              </w:rPr>
            </w:pPr>
            <w:r w:rsidRPr="00037AD4">
              <w:rPr>
                <w:rFonts w:asciiTheme="minorHAnsi" w:hAnsiTheme="minorHAnsi" w:cstheme="minorHAnsi"/>
              </w:rPr>
              <w:t>11 (14.1)</w:t>
            </w:r>
          </w:p>
        </w:tc>
        <w:tc>
          <w:tcPr>
            <w:tcW w:w="1392" w:type="dxa"/>
          </w:tcPr>
          <w:p w14:paraId="51C6A13F" w14:textId="77777777" w:rsidR="005324B0" w:rsidRPr="00037AD4" w:rsidRDefault="005324B0" w:rsidP="008F00F0">
            <w:pPr>
              <w:rPr>
                <w:rFonts w:asciiTheme="minorHAnsi" w:hAnsiTheme="minorHAnsi" w:cstheme="minorHAnsi"/>
              </w:rPr>
            </w:pPr>
          </w:p>
          <w:p w14:paraId="4C24DD4E" w14:textId="77777777" w:rsidR="005324B0" w:rsidRPr="00037AD4" w:rsidRDefault="005324B0" w:rsidP="008F00F0">
            <w:pPr>
              <w:rPr>
                <w:rFonts w:asciiTheme="minorHAnsi" w:hAnsiTheme="minorHAnsi" w:cstheme="minorHAnsi"/>
              </w:rPr>
            </w:pPr>
            <w:r w:rsidRPr="00037AD4">
              <w:rPr>
                <w:rFonts w:asciiTheme="minorHAnsi" w:hAnsiTheme="minorHAnsi" w:cstheme="minorHAnsi"/>
              </w:rPr>
              <w:t>75 (22.1)</w:t>
            </w:r>
          </w:p>
          <w:p w14:paraId="3D4AD6FF" w14:textId="77777777" w:rsidR="005324B0" w:rsidRPr="00037AD4" w:rsidRDefault="005324B0" w:rsidP="008F00F0">
            <w:pPr>
              <w:rPr>
                <w:rFonts w:asciiTheme="minorHAnsi" w:hAnsiTheme="minorHAnsi" w:cstheme="minorHAnsi"/>
              </w:rPr>
            </w:pPr>
            <w:r w:rsidRPr="00037AD4">
              <w:rPr>
                <w:rFonts w:asciiTheme="minorHAnsi" w:hAnsiTheme="minorHAnsi" w:cstheme="minorHAnsi"/>
              </w:rPr>
              <w:t>57 (22.0)</w:t>
            </w:r>
          </w:p>
          <w:p w14:paraId="7B26D06C" w14:textId="77777777" w:rsidR="005324B0" w:rsidRPr="00037AD4" w:rsidRDefault="005324B0" w:rsidP="008F00F0">
            <w:pPr>
              <w:rPr>
                <w:rFonts w:asciiTheme="minorHAnsi" w:hAnsiTheme="minorHAnsi" w:cstheme="minorHAnsi"/>
              </w:rPr>
            </w:pPr>
            <w:r w:rsidRPr="00037AD4">
              <w:rPr>
                <w:rFonts w:asciiTheme="minorHAnsi" w:hAnsiTheme="minorHAnsi" w:cstheme="minorHAnsi"/>
              </w:rPr>
              <w:t>18 (23.0)</w:t>
            </w:r>
          </w:p>
        </w:tc>
        <w:tc>
          <w:tcPr>
            <w:tcW w:w="1260" w:type="dxa"/>
          </w:tcPr>
          <w:p w14:paraId="1B16ACA2" w14:textId="77777777" w:rsidR="005324B0" w:rsidRPr="00037AD4" w:rsidRDefault="005324B0" w:rsidP="008F00F0">
            <w:pPr>
              <w:rPr>
                <w:rFonts w:asciiTheme="minorHAnsi" w:hAnsiTheme="minorHAnsi" w:cstheme="minorHAnsi"/>
              </w:rPr>
            </w:pPr>
          </w:p>
          <w:p w14:paraId="4FE97DD2" w14:textId="77777777" w:rsidR="005324B0" w:rsidRPr="00037AD4" w:rsidRDefault="005324B0" w:rsidP="008F00F0">
            <w:pPr>
              <w:rPr>
                <w:rFonts w:asciiTheme="minorHAnsi" w:hAnsiTheme="minorHAnsi" w:cstheme="minorHAnsi"/>
              </w:rPr>
            </w:pPr>
            <w:r w:rsidRPr="00037AD4">
              <w:rPr>
                <w:rFonts w:asciiTheme="minorHAnsi" w:hAnsiTheme="minorHAnsi" w:cstheme="minorHAnsi"/>
              </w:rPr>
              <w:t>203 (59.9)</w:t>
            </w:r>
          </w:p>
          <w:p w14:paraId="4B8CB941" w14:textId="77777777" w:rsidR="005324B0" w:rsidRPr="00037AD4" w:rsidRDefault="005324B0" w:rsidP="008F00F0">
            <w:pPr>
              <w:rPr>
                <w:rFonts w:asciiTheme="minorHAnsi" w:hAnsiTheme="minorHAnsi" w:cstheme="minorHAnsi"/>
              </w:rPr>
            </w:pPr>
            <w:r w:rsidRPr="00037AD4">
              <w:rPr>
                <w:rFonts w:asciiTheme="minorHAnsi" w:hAnsiTheme="minorHAnsi" w:cstheme="minorHAnsi"/>
              </w:rPr>
              <w:t>170 (65.3)</w:t>
            </w:r>
          </w:p>
          <w:p w14:paraId="70ABD5E4" w14:textId="77777777" w:rsidR="005324B0" w:rsidRPr="00037AD4" w:rsidRDefault="005324B0" w:rsidP="008F00F0">
            <w:pPr>
              <w:rPr>
                <w:rFonts w:asciiTheme="minorHAnsi" w:hAnsiTheme="minorHAnsi" w:cstheme="minorHAnsi"/>
              </w:rPr>
            </w:pPr>
            <w:r w:rsidRPr="00037AD4">
              <w:rPr>
                <w:rFonts w:asciiTheme="minorHAnsi" w:hAnsiTheme="minorHAnsi" w:cstheme="minorHAnsi"/>
              </w:rPr>
              <w:t>33 (42.3)</w:t>
            </w:r>
          </w:p>
        </w:tc>
        <w:tc>
          <w:tcPr>
            <w:tcW w:w="1257" w:type="dxa"/>
          </w:tcPr>
          <w:p w14:paraId="014B1593" w14:textId="77777777" w:rsidR="005324B0" w:rsidRDefault="005324B0" w:rsidP="008F00F0">
            <w:pPr>
              <w:rPr>
                <w:rFonts w:asciiTheme="minorHAnsi" w:hAnsiTheme="minorHAnsi" w:cstheme="minorHAnsi"/>
              </w:rPr>
            </w:pPr>
          </w:p>
          <w:p w14:paraId="5796FFE1" w14:textId="77777777" w:rsidR="00D939D4" w:rsidRDefault="00D939D4" w:rsidP="008F00F0">
            <w:pPr>
              <w:rPr>
                <w:rFonts w:asciiTheme="minorHAnsi" w:hAnsiTheme="minorHAnsi" w:cstheme="minorHAnsi"/>
              </w:rPr>
            </w:pPr>
            <w:r>
              <w:rPr>
                <w:rFonts w:asciiTheme="minorHAnsi" w:hAnsiTheme="minorHAnsi" w:cstheme="minorHAnsi"/>
              </w:rPr>
              <w:t>41 (</w:t>
            </w:r>
            <w:r w:rsidR="003F363B">
              <w:rPr>
                <w:rFonts w:asciiTheme="minorHAnsi" w:hAnsiTheme="minorHAnsi" w:cstheme="minorHAnsi"/>
              </w:rPr>
              <w:t>12.5)</w:t>
            </w:r>
          </w:p>
          <w:p w14:paraId="429D2660" w14:textId="77777777" w:rsidR="003F363B" w:rsidRDefault="003F363B" w:rsidP="008F00F0">
            <w:pPr>
              <w:rPr>
                <w:rFonts w:asciiTheme="minorHAnsi" w:hAnsiTheme="minorHAnsi" w:cstheme="minorHAnsi"/>
              </w:rPr>
            </w:pPr>
            <w:r>
              <w:rPr>
                <w:rFonts w:asciiTheme="minorHAnsi" w:hAnsiTheme="minorHAnsi" w:cstheme="minorHAnsi"/>
              </w:rPr>
              <w:t>37 (14.2)</w:t>
            </w:r>
          </w:p>
          <w:p w14:paraId="6EEA1AA2" w14:textId="62B236BC" w:rsidR="003F363B" w:rsidRPr="00037AD4" w:rsidRDefault="003F363B" w:rsidP="008F00F0">
            <w:pPr>
              <w:rPr>
                <w:rFonts w:asciiTheme="minorHAnsi" w:hAnsiTheme="minorHAnsi" w:cstheme="minorHAnsi"/>
              </w:rPr>
            </w:pPr>
            <w:r>
              <w:rPr>
                <w:rFonts w:asciiTheme="minorHAnsi" w:hAnsiTheme="minorHAnsi" w:cstheme="minorHAnsi"/>
              </w:rPr>
              <w:t>4 (5.1)</w:t>
            </w:r>
          </w:p>
        </w:tc>
      </w:tr>
      <w:tr w:rsidR="005324B0" w:rsidRPr="00037AD4" w14:paraId="0FFF9318" w14:textId="260CBCE1" w:rsidTr="00D939D4">
        <w:trPr>
          <w:trHeight w:val="756"/>
        </w:trPr>
        <w:tc>
          <w:tcPr>
            <w:tcW w:w="2155" w:type="dxa"/>
          </w:tcPr>
          <w:p w14:paraId="37DDD62D" w14:textId="77777777" w:rsidR="005324B0" w:rsidRPr="00037AD4" w:rsidRDefault="005324B0" w:rsidP="008F00F0">
            <w:pPr>
              <w:rPr>
                <w:rFonts w:asciiTheme="minorHAnsi" w:hAnsiTheme="minorHAnsi" w:cstheme="minorHAnsi"/>
              </w:rPr>
            </w:pPr>
            <w:r w:rsidRPr="00037AD4">
              <w:rPr>
                <w:rFonts w:asciiTheme="minorHAnsi" w:hAnsiTheme="minorHAnsi" w:cstheme="minorHAnsi"/>
              </w:rPr>
              <w:t>ACTIFCARE</w:t>
            </w:r>
          </w:p>
          <w:p w14:paraId="546E536A" w14:textId="77777777" w:rsidR="005324B0" w:rsidRPr="00037AD4" w:rsidRDefault="005324B0" w:rsidP="008F00F0">
            <w:pPr>
              <w:rPr>
                <w:rFonts w:asciiTheme="minorHAnsi" w:hAnsiTheme="minorHAnsi" w:cstheme="minorHAnsi"/>
              </w:rPr>
            </w:pPr>
            <w:r w:rsidRPr="00037AD4">
              <w:rPr>
                <w:rFonts w:asciiTheme="minorHAnsi" w:hAnsiTheme="minorHAnsi" w:cstheme="minorHAnsi"/>
              </w:rPr>
              <w:t xml:space="preserve">Full sample, </w:t>
            </w:r>
            <w:r w:rsidRPr="00037AD4">
              <w:rPr>
                <w:rFonts w:asciiTheme="minorHAnsi" w:hAnsiTheme="minorHAnsi" w:cstheme="minorHAnsi"/>
                <w:sz w:val="20"/>
                <w:szCs w:val="20"/>
              </w:rPr>
              <w:t>n=246</w:t>
            </w:r>
          </w:p>
          <w:p w14:paraId="2782E5E5" w14:textId="7BBECF8F" w:rsidR="005324B0" w:rsidRPr="00037AD4" w:rsidRDefault="005324B0" w:rsidP="008F00F0">
            <w:pPr>
              <w:rPr>
                <w:rFonts w:asciiTheme="minorHAnsi" w:hAnsiTheme="minorHAnsi" w:cstheme="minorHAnsi"/>
              </w:rPr>
            </w:pPr>
            <w:r w:rsidRPr="00037AD4">
              <w:rPr>
                <w:rFonts w:asciiTheme="minorHAnsi" w:hAnsiTheme="minorHAnsi" w:cstheme="minorHAnsi"/>
              </w:rPr>
              <w:t>Mild,</w:t>
            </w:r>
            <w:r w:rsidRPr="00037AD4">
              <w:rPr>
                <w:rFonts w:asciiTheme="minorHAnsi" w:hAnsiTheme="minorHAnsi" w:cstheme="minorHAnsi"/>
                <w:sz w:val="20"/>
                <w:szCs w:val="20"/>
              </w:rPr>
              <w:t xml:space="preserve"> n=176</w:t>
            </w:r>
          </w:p>
          <w:p w14:paraId="63BA5A9B" w14:textId="1AB6B7B5" w:rsidR="005324B0" w:rsidRPr="00037AD4" w:rsidRDefault="005324B0" w:rsidP="008F00F0">
            <w:pPr>
              <w:rPr>
                <w:rFonts w:asciiTheme="minorHAnsi" w:hAnsiTheme="minorHAnsi" w:cstheme="minorHAnsi"/>
              </w:rPr>
            </w:pPr>
            <w:r w:rsidRPr="00037AD4">
              <w:rPr>
                <w:rFonts w:asciiTheme="minorHAnsi" w:hAnsiTheme="minorHAnsi" w:cstheme="minorHAnsi"/>
              </w:rPr>
              <w:t xml:space="preserve">Moderate, </w:t>
            </w:r>
            <w:r w:rsidRPr="00037AD4">
              <w:rPr>
                <w:rFonts w:asciiTheme="minorHAnsi" w:hAnsiTheme="minorHAnsi" w:cstheme="minorHAnsi"/>
                <w:sz w:val="20"/>
                <w:szCs w:val="20"/>
              </w:rPr>
              <w:t>n=67</w:t>
            </w:r>
          </w:p>
        </w:tc>
        <w:tc>
          <w:tcPr>
            <w:tcW w:w="1162" w:type="dxa"/>
          </w:tcPr>
          <w:p w14:paraId="7F32D308" w14:textId="77777777" w:rsidR="005324B0" w:rsidRPr="00037AD4" w:rsidRDefault="005324B0" w:rsidP="008F00F0">
            <w:pPr>
              <w:rPr>
                <w:rFonts w:asciiTheme="minorHAnsi" w:hAnsiTheme="minorHAnsi" w:cstheme="minorHAnsi"/>
              </w:rPr>
            </w:pPr>
          </w:p>
          <w:p w14:paraId="5BD6DB3B" w14:textId="77777777" w:rsidR="005324B0" w:rsidRPr="00037AD4" w:rsidRDefault="005324B0" w:rsidP="008F00F0">
            <w:pPr>
              <w:rPr>
                <w:rFonts w:asciiTheme="minorHAnsi" w:hAnsiTheme="minorHAnsi" w:cstheme="minorHAnsi"/>
              </w:rPr>
            </w:pPr>
            <w:r w:rsidRPr="00037AD4">
              <w:rPr>
                <w:rFonts w:asciiTheme="minorHAnsi" w:hAnsiTheme="minorHAnsi" w:cstheme="minorHAnsi"/>
              </w:rPr>
              <w:t>2 (0.8)</w:t>
            </w:r>
          </w:p>
          <w:p w14:paraId="5CA5540D" w14:textId="77777777" w:rsidR="005324B0" w:rsidRPr="00037AD4" w:rsidRDefault="005324B0" w:rsidP="008F00F0">
            <w:pPr>
              <w:rPr>
                <w:rFonts w:asciiTheme="minorHAnsi" w:hAnsiTheme="minorHAnsi" w:cstheme="minorHAnsi"/>
              </w:rPr>
            </w:pPr>
          </w:p>
          <w:p w14:paraId="4D966CF6" w14:textId="77777777" w:rsidR="005324B0" w:rsidRPr="00037AD4" w:rsidRDefault="005324B0" w:rsidP="008F00F0">
            <w:pPr>
              <w:rPr>
                <w:rFonts w:asciiTheme="minorHAnsi" w:hAnsiTheme="minorHAnsi" w:cstheme="minorHAnsi"/>
              </w:rPr>
            </w:pPr>
            <w:r w:rsidRPr="00037AD4">
              <w:rPr>
                <w:rFonts w:asciiTheme="minorHAnsi" w:hAnsiTheme="minorHAnsi" w:cstheme="minorHAnsi"/>
              </w:rPr>
              <w:t xml:space="preserve">2 (3.0) </w:t>
            </w:r>
          </w:p>
        </w:tc>
        <w:tc>
          <w:tcPr>
            <w:tcW w:w="1520" w:type="dxa"/>
          </w:tcPr>
          <w:p w14:paraId="1EDEE4F9" w14:textId="77777777" w:rsidR="005324B0" w:rsidRPr="00037AD4" w:rsidRDefault="005324B0" w:rsidP="008F00F0">
            <w:pPr>
              <w:rPr>
                <w:rFonts w:asciiTheme="minorHAnsi" w:hAnsiTheme="minorHAnsi" w:cstheme="minorHAnsi"/>
              </w:rPr>
            </w:pPr>
          </w:p>
          <w:p w14:paraId="6802E27F" w14:textId="77777777" w:rsidR="005324B0" w:rsidRPr="00037AD4" w:rsidRDefault="005324B0" w:rsidP="008F00F0">
            <w:pPr>
              <w:rPr>
                <w:rFonts w:asciiTheme="minorHAnsi" w:hAnsiTheme="minorHAnsi" w:cstheme="minorHAnsi"/>
              </w:rPr>
            </w:pPr>
            <w:r w:rsidRPr="00037AD4">
              <w:rPr>
                <w:rFonts w:asciiTheme="minorHAnsi" w:hAnsiTheme="minorHAnsi" w:cstheme="minorHAnsi"/>
              </w:rPr>
              <w:t>7 (2.9)</w:t>
            </w:r>
          </w:p>
          <w:p w14:paraId="51B80B43" w14:textId="77777777" w:rsidR="005324B0" w:rsidRPr="00037AD4" w:rsidRDefault="005324B0" w:rsidP="008F00F0">
            <w:pPr>
              <w:rPr>
                <w:rFonts w:asciiTheme="minorHAnsi" w:hAnsiTheme="minorHAnsi" w:cstheme="minorHAnsi"/>
              </w:rPr>
            </w:pPr>
            <w:r w:rsidRPr="00037AD4">
              <w:rPr>
                <w:rFonts w:asciiTheme="minorHAnsi" w:hAnsiTheme="minorHAnsi" w:cstheme="minorHAnsi"/>
              </w:rPr>
              <w:t>3 (1.7)</w:t>
            </w:r>
          </w:p>
          <w:p w14:paraId="1C94DD1D" w14:textId="77777777" w:rsidR="005324B0" w:rsidRPr="00037AD4" w:rsidRDefault="005324B0" w:rsidP="008F00F0">
            <w:pPr>
              <w:rPr>
                <w:rFonts w:asciiTheme="minorHAnsi" w:hAnsiTheme="minorHAnsi" w:cstheme="minorHAnsi"/>
              </w:rPr>
            </w:pPr>
            <w:r w:rsidRPr="00037AD4">
              <w:rPr>
                <w:rFonts w:asciiTheme="minorHAnsi" w:hAnsiTheme="minorHAnsi" w:cstheme="minorHAnsi"/>
              </w:rPr>
              <w:t>4 (6.0)</w:t>
            </w:r>
          </w:p>
        </w:tc>
        <w:tc>
          <w:tcPr>
            <w:tcW w:w="1520" w:type="dxa"/>
          </w:tcPr>
          <w:p w14:paraId="15F357DC" w14:textId="77777777" w:rsidR="005324B0" w:rsidRPr="00037AD4" w:rsidRDefault="005324B0" w:rsidP="008F00F0">
            <w:pPr>
              <w:rPr>
                <w:rFonts w:asciiTheme="minorHAnsi" w:hAnsiTheme="minorHAnsi" w:cstheme="minorHAnsi"/>
              </w:rPr>
            </w:pPr>
          </w:p>
          <w:p w14:paraId="337E60D9" w14:textId="77777777" w:rsidR="005324B0" w:rsidRPr="00037AD4" w:rsidRDefault="005324B0" w:rsidP="008F00F0">
            <w:pPr>
              <w:rPr>
                <w:rFonts w:asciiTheme="minorHAnsi" w:hAnsiTheme="minorHAnsi" w:cstheme="minorHAnsi"/>
              </w:rPr>
            </w:pPr>
            <w:r w:rsidRPr="00037AD4">
              <w:rPr>
                <w:rFonts w:asciiTheme="minorHAnsi" w:hAnsiTheme="minorHAnsi" w:cstheme="minorHAnsi"/>
              </w:rPr>
              <w:t>20 (8.1)</w:t>
            </w:r>
          </w:p>
          <w:p w14:paraId="12563B14" w14:textId="77777777" w:rsidR="005324B0" w:rsidRPr="00037AD4" w:rsidRDefault="005324B0" w:rsidP="008F00F0">
            <w:pPr>
              <w:rPr>
                <w:rFonts w:asciiTheme="minorHAnsi" w:hAnsiTheme="minorHAnsi" w:cstheme="minorHAnsi"/>
              </w:rPr>
            </w:pPr>
            <w:r w:rsidRPr="00037AD4">
              <w:rPr>
                <w:rFonts w:asciiTheme="minorHAnsi" w:hAnsiTheme="minorHAnsi" w:cstheme="minorHAnsi"/>
              </w:rPr>
              <w:t>11 (6.2)</w:t>
            </w:r>
          </w:p>
          <w:p w14:paraId="1125245E" w14:textId="77777777" w:rsidR="005324B0" w:rsidRPr="00037AD4" w:rsidRDefault="005324B0" w:rsidP="008F00F0">
            <w:pPr>
              <w:rPr>
                <w:rFonts w:asciiTheme="minorHAnsi" w:hAnsiTheme="minorHAnsi" w:cstheme="minorHAnsi"/>
              </w:rPr>
            </w:pPr>
            <w:r w:rsidRPr="00037AD4">
              <w:rPr>
                <w:rFonts w:asciiTheme="minorHAnsi" w:hAnsiTheme="minorHAnsi" w:cstheme="minorHAnsi"/>
              </w:rPr>
              <w:t>9 (13.4)</w:t>
            </w:r>
          </w:p>
        </w:tc>
        <w:tc>
          <w:tcPr>
            <w:tcW w:w="1392" w:type="dxa"/>
          </w:tcPr>
          <w:p w14:paraId="58F0E32B" w14:textId="77777777" w:rsidR="005324B0" w:rsidRPr="00037AD4" w:rsidRDefault="005324B0" w:rsidP="008F00F0">
            <w:pPr>
              <w:rPr>
                <w:rFonts w:asciiTheme="minorHAnsi" w:hAnsiTheme="minorHAnsi" w:cstheme="minorHAnsi"/>
              </w:rPr>
            </w:pPr>
          </w:p>
          <w:p w14:paraId="2C47CB3A" w14:textId="77777777" w:rsidR="005324B0" w:rsidRPr="00037AD4" w:rsidRDefault="005324B0" w:rsidP="008F00F0">
            <w:pPr>
              <w:rPr>
                <w:rFonts w:asciiTheme="minorHAnsi" w:hAnsiTheme="minorHAnsi" w:cstheme="minorHAnsi"/>
              </w:rPr>
            </w:pPr>
            <w:r w:rsidRPr="00037AD4">
              <w:rPr>
                <w:rFonts w:asciiTheme="minorHAnsi" w:hAnsiTheme="minorHAnsi" w:cstheme="minorHAnsi"/>
              </w:rPr>
              <w:t>65 (26.4)</w:t>
            </w:r>
          </w:p>
          <w:p w14:paraId="594C4B68" w14:textId="77777777" w:rsidR="005324B0" w:rsidRPr="00037AD4" w:rsidRDefault="005324B0" w:rsidP="008F00F0">
            <w:pPr>
              <w:rPr>
                <w:rFonts w:asciiTheme="minorHAnsi" w:hAnsiTheme="minorHAnsi" w:cstheme="minorHAnsi"/>
              </w:rPr>
            </w:pPr>
            <w:r w:rsidRPr="00037AD4">
              <w:rPr>
                <w:rFonts w:asciiTheme="minorHAnsi" w:hAnsiTheme="minorHAnsi" w:cstheme="minorHAnsi"/>
              </w:rPr>
              <w:t>32 (18.2)</w:t>
            </w:r>
          </w:p>
          <w:p w14:paraId="5EF5BEBA" w14:textId="77777777" w:rsidR="005324B0" w:rsidRPr="00037AD4" w:rsidRDefault="005324B0" w:rsidP="008F00F0">
            <w:pPr>
              <w:rPr>
                <w:rFonts w:asciiTheme="minorHAnsi" w:hAnsiTheme="minorHAnsi" w:cstheme="minorHAnsi"/>
              </w:rPr>
            </w:pPr>
            <w:r w:rsidRPr="00037AD4">
              <w:rPr>
                <w:rFonts w:asciiTheme="minorHAnsi" w:hAnsiTheme="minorHAnsi" w:cstheme="minorHAnsi"/>
              </w:rPr>
              <w:t>32 (47.8)</w:t>
            </w:r>
          </w:p>
        </w:tc>
        <w:tc>
          <w:tcPr>
            <w:tcW w:w="1260" w:type="dxa"/>
          </w:tcPr>
          <w:p w14:paraId="14A2DFA2" w14:textId="77777777" w:rsidR="005324B0" w:rsidRPr="00037AD4" w:rsidRDefault="005324B0" w:rsidP="008F00F0">
            <w:pPr>
              <w:rPr>
                <w:rFonts w:asciiTheme="minorHAnsi" w:hAnsiTheme="minorHAnsi" w:cstheme="minorHAnsi"/>
              </w:rPr>
            </w:pPr>
          </w:p>
          <w:p w14:paraId="4769F935" w14:textId="77777777" w:rsidR="005324B0" w:rsidRPr="00037AD4" w:rsidRDefault="005324B0" w:rsidP="008F00F0">
            <w:pPr>
              <w:rPr>
                <w:rFonts w:asciiTheme="minorHAnsi" w:hAnsiTheme="minorHAnsi" w:cstheme="minorHAnsi"/>
              </w:rPr>
            </w:pPr>
            <w:r w:rsidRPr="00037AD4">
              <w:rPr>
                <w:rFonts w:asciiTheme="minorHAnsi" w:hAnsiTheme="minorHAnsi" w:cstheme="minorHAnsi"/>
              </w:rPr>
              <w:t>152 (61.8)</w:t>
            </w:r>
          </w:p>
          <w:p w14:paraId="478A384D" w14:textId="77777777" w:rsidR="005324B0" w:rsidRPr="00037AD4" w:rsidRDefault="005324B0" w:rsidP="008F00F0">
            <w:pPr>
              <w:rPr>
                <w:rFonts w:asciiTheme="minorHAnsi" w:hAnsiTheme="minorHAnsi" w:cstheme="minorHAnsi"/>
              </w:rPr>
            </w:pPr>
            <w:r w:rsidRPr="00037AD4">
              <w:rPr>
                <w:rFonts w:asciiTheme="minorHAnsi" w:hAnsiTheme="minorHAnsi" w:cstheme="minorHAnsi"/>
              </w:rPr>
              <w:t>130 (73.9)</w:t>
            </w:r>
          </w:p>
          <w:p w14:paraId="1C9EB7D8" w14:textId="77777777" w:rsidR="005324B0" w:rsidRPr="00037AD4" w:rsidRDefault="005324B0" w:rsidP="008F00F0">
            <w:pPr>
              <w:rPr>
                <w:rFonts w:asciiTheme="minorHAnsi" w:hAnsiTheme="minorHAnsi" w:cstheme="minorHAnsi"/>
              </w:rPr>
            </w:pPr>
            <w:r w:rsidRPr="00037AD4">
              <w:rPr>
                <w:rFonts w:asciiTheme="minorHAnsi" w:hAnsiTheme="minorHAnsi" w:cstheme="minorHAnsi"/>
              </w:rPr>
              <w:t>20 (29.8)</w:t>
            </w:r>
          </w:p>
        </w:tc>
        <w:tc>
          <w:tcPr>
            <w:tcW w:w="1257" w:type="dxa"/>
          </w:tcPr>
          <w:p w14:paraId="69597FE6" w14:textId="77777777" w:rsidR="005324B0" w:rsidRDefault="005324B0" w:rsidP="008F00F0">
            <w:pPr>
              <w:rPr>
                <w:rFonts w:asciiTheme="minorHAnsi" w:hAnsiTheme="minorHAnsi" w:cstheme="minorHAnsi"/>
              </w:rPr>
            </w:pPr>
          </w:p>
          <w:p w14:paraId="3C0BE8D6" w14:textId="77777777" w:rsidR="00094A4F" w:rsidRDefault="00094A4F" w:rsidP="008F00F0">
            <w:pPr>
              <w:rPr>
                <w:rFonts w:asciiTheme="minorHAnsi" w:hAnsiTheme="minorHAnsi" w:cstheme="minorHAnsi"/>
              </w:rPr>
            </w:pPr>
            <w:r>
              <w:rPr>
                <w:rFonts w:asciiTheme="minorHAnsi" w:hAnsiTheme="minorHAnsi" w:cstheme="minorHAnsi"/>
              </w:rPr>
              <w:t>41 (16.7)</w:t>
            </w:r>
          </w:p>
          <w:p w14:paraId="5E0E8DA6" w14:textId="1DDAADDF" w:rsidR="00094A4F" w:rsidRDefault="00094A4F" w:rsidP="008F00F0">
            <w:pPr>
              <w:rPr>
                <w:rFonts w:asciiTheme="minorHAnsi" w:hAnsiTheme="minorHAnsi" w:cstheme="minorHAnsi"/>
              </w:rPr>
            </w:pPr>
            <w:r>
              <w:rPr>
                <w:rFonts w:asciiTheme="minorHAnsi" w:hAnsiTheme="minorHAnsi" w:cstheme="minorHAnsi"/>
              </w:rPr>
              <w:t>38 (21.6)</w:t>
            </w:r>
          </w:p>
          <w:p w14:paraId="51B6B950" w14:textId="65696F82" w:rsidR="00094A4F" w:rsidRPr="00037AD4" w:rsidRDefault="00094A4F" w:rsidP="008F00F0">
            <w:pPr>
              <w:rPr>
                <w:rFonts w:asciiTheme="minorHAnsi" w:hAnsiTheme="minorHAnsi" w:cstheme="minorHAnsi"/>
              </w:rPr>
            </w:pPr>
            <w:r>
              <w:rPr>
                <w:rFonts w:asciiTheme="minorHAnsi" w:hAnsiTheme="minorHAnsi" w:cstheme="minorHAnsi"/>
              </w:rPr>
              <w:t>2 (3.0)</w:t>
            </w:r>
          </w:p>
        </w:tc>
      </w:tr>
      <w:tr w:rsidR="005324B0" w:rsidRPr="00037AD4" w14:paraId="77C6FF44" w14:textId="69F00707" w:rsidTr="00D939D4">
        <w:trPr>
          <w:trHeight w:val="756"/>
        </w:trPr>
        <w:tc>
          <w:tcPr>
            <w:tcW w:w="2155" w:type="dxa"/>
          </w:tcPr>
          <w:p w14:paraId="5ABAA6FB" w14:textId="77777777" w:rsidR="005324B0" w:rsidRPr="00037AD4" w:rsidRDefault="005324B0" w:rsidP="008F00F0">
            <w:pPr>
              <w:rPr>
                <w:rFonts w:asciiTheme="minorHAnsi" w:hAnsiTheme="minorHAnsi" w:cstheme="minorHAnsi"/>
              </w:rPr>
            </w:pPr>
            <w:r w:rsidRPr="00037AD4">
              <w:rPr>
                <w:rFonts w:asciiTheme="minorHAnsi" w:hAnsiTheme="minorHAnsi" w:cstheme="minorHAnsi"/>
              </w:rPr>
              <w:t>EPIC*</w:t>
            </w:r>
          </w:p>
          <w:p w14:paraId="45A4CBEA" w14:textId="77777777" w:rsidR="005324B0" w:rsidRPr="00037AD4" w:rsidRDefault="005324B0" w:rsidP="008F00F0">
            <w:pPr>
              <w:rPr>
                <w:rFonts w:asciiTheme="minorHAnsi" w:hAnsiTheme="minorHAnsi" w:cstheme="minorHAnsi"/>
              </w:rPr>
            </w:pPr>
            <w:r w:rsidRPr="00037AD4">
              <w:rPr>
                <w:rFonts w:asciiTheme="minorHAnsi" w:hAnsiTheme="minorHAnsi" w:cstheme="minorHAnsi"/>
              </w:rPr>
              <w:t xml:space="preserve">Full sample, </w:t>
            </w:r>
            <w:r w:rsidRPr="00037AD4">
              <w:rPr>
                <w:rFonts w:asciiTheme="minorHAnsi" w:hAnsiTheme="minorHAnsi" w:cstheme="minorHAnsi"/>
                <w:sz w:val="20"/>
                <w:szCs w:val="20"/>
              </w:rPr>
              <w:t>n=265</w:t>
            </w:r>
          </w:p>
          <w:p w14:paraId="5E2FBCF4" w14:textId="2E1B4BB6" w:rsidR="005324B0" w:rsidRPr="00037AD4" w:rsidRDefault="005324B0" w:rsidP="008F00F0">
            <w:pPr>
              <w:rPr>
                <w:rFonts w:asciiTheme="minorHAnsi" w:hAnsiTheme="minorHAnsi" w:cstheme="minorHAnsi"/>
              </w:rPr>
            </w:pPr>
            <w:r w:rsidRPr="00037AD4">
              <w:rPr>
                <w:rFonts w:asciiTheme="minorHAnsi" w:hAnsiTheme="minorHAnsi" w:cstheme="minorHAnsi"/>
              </w:rPr>
              <w:t xml:space="preserve">Mild, </w:t>
            </w:r>
            <w:r w:rsidRPr="00037AD4">
              <w:rPr>
                <w:rFonts w:asciiTheme="minorHAnsi" w:hAnsiTheme="minorHAnsi" w:cstheme="minorHAnsi"/>
                <w:sz w:val="20"/>
                <w:szCs w:val="20"/>
              </w:rPr>
              <w:t>n=99</w:t>
            </w:r>
          </w:p>
          <w:p w14:paraId="6870BA86" w14:textId="6C42E477" w:rsidR="005324B0" w:rsidRPr="00037AD4" w:rsidRDefault="005324B0" w:rsidP="008F00F0">
            <w:pPr>
              <w:rPr>
                <w:rFonts w:asciiTheme="minorHAnsi" w:hAnsiTheme="minorHAnsi" w:cstheme="minorHAnsi"/>
              </w:rPr>
            </w:pPr>
            <w:r w:rsidRPr="00037AD4">
              <w:rPr>
                <w:rFonts w:asciiTheme="minorHAnsi" w:hAnsiTheme="minorHAnsi" w:cstheme="minorHAnsi"/>
              </w:rPr>
              <w:t xml:space="preserve">Moderate, </w:t>
            </w:r>
            <w:r w:rsidRPr="00037AD4">
              <w:rPr>
                <w:rFonts w:asciiTheme="minorHAnsi" w:hAnsiTheme="minorHAnsi" w:cstheme="minorHAnsi"/>
                <w:sz w:val="20"/>
                <w:szCs w:val="20"/>
              </w:rPr>
              <w:t>n=127</w:t>
            </w:r>
          </w:p>
        </w:tc>
        <w:tc>
          <w:tcPr>
            <w:tcW w:w="1162" w:type="dxa"/>
          </w:tcPr>
          <w:p w14:paraId="47B0975F" w14:textId="77777777" w:rsidR="005324B0" w:rsidRPr="00037AD4" w:rsidRDefault="005324B0" w:rsidP="008F00F0">
            <w:pPr>
              <w:rPr>
                <w:rFonts w:asciiTheme="minorHAnsi" w:hAnsiTheme="minorHAnsi" w:cstheme="minorHAnsi"/>
              </w:rPr>
            </w:pPr>
          </w:p>
          <w:p w14:paraId="5CABF88B" w14:textId="77777777" w:rsidR="005324B0" w:rsidRPr="00037AD4" w:rsidRDefault="005324B0" w:rsidP="008F00F0">
            <w:pPr>
              <w:rPr>
                <w:rFonts w:asciiTheme="minorHAnsi" w:hAnsiTheme="minorHAnsi" w:cstheme="minorHAnsi"/>
              </w:rPr>
            </w:pPr>
            <w:r w:rsidRPr="00037AD4">
              <w:rPr>
                <w:rFonts w:asciiTheme="minorHAnsi" w:hAnsiTheme="minorHAnsi" w:cstheme="minorHAnsi"/>
              </w:rPr>
              <w:t xml:space="preserve">11 (4.2) </w:t>
            </w:r>
          </w:p>
          <w:p w14:paraId="4C6ACEF4" w14:textId="77777777" w:rsidR="005324B0" w:rsidRPr="00037AD4" w:rsidRDefault="005324B0" w:rsidP="008F00F0">
            <w:pPr>
              <w:rPr>
                <w:rFonts w:asciiTheme="minorHAnsi" w:hAnsiTheme="minorHAnsi" w:cstheme="minorHAnsi"/>
              </w:rPr>
            </w:pPr>
          </w:p>
          <w:p w14:paraId="3892340B" w14:textId="77777777" w:rsidR="005324B0" w:rsidRPr="00037AD4" w:rsidRDefault="005324B0" w:rsidP="008F00F0">
            <w:pPr>
              <w:rPr>
                <w:rFonts w:asciiTheme="minorHAnsi" w:hAnsiTheme="minorHAnsi" w:cstheme="minorHAnsi"/>
              </w:rPr>
            </w:pPr>
            <w:r w:rsidRPr="00037AD4">
              <w:rPr>
                <w:rFonts w:asciiTheme="minorHAnsi" w:hAnsiTheme="minorHAnsi" w:cstheme="minorHAnsi"/>
              </w:rPr>
              <w:t>2 (1.6)</w:t>
            </w:r>
          </w:p>
        </w:tc>
        <w:tc>
          <w:tcPr>
            <w:tcW w:w="1520" w:type="dxa"/>
          </w:tcPr>
          <w:p w14:paraId="5BE355D2" w14:textId="77777777" w:rsidR="005324B0" w:rsidRPr="00037AD4" w:rsidRDefault="005324B0" w:rsidP="008F00F0">
            <w:pPr>
              <w:rPr>
                <w:rFonts w:asciiTheme="minorHAnsi" w:hAnsiTheme="minorHAnsi" w:cstheme="minorHAnsi"/>
              </w:rPr>
            </w:pPr>
          </w:p>
          <w:p w14:paraId="3B605299" w14:textId="77777777" w:rsidR="005324B0" w:rsidRPr="00037AD4" w:rsidRDefault="005324B0" w:rsidP="008F00F0">
            <w:pPr>
              <w:rPr>
                <w:rFonts w:asciiTheme="minorHAnsi" w:hAnsiTheme="minorHAnsi" w:cstheme="minorHAnsi"/>
              </w:rPr>
            </w:pPr>
            <w:r w:rsidRPr="00037AD4">
              <w:rPr>
                <w:rFonts w:asciiTheme="minorHAnsi" w:hAnsiTheme="minorHAnsi" w:cstheme="minorHAnsi"/>
              </w:rPr>
              <w:t>37 (14.0)</w:t>
            </w:r>
          </w:p>
          <w:p w14:paraId="794D9457" w14:textId="77777777" w:rsidR="005324B0" w:rsidRPr="00037AD4" w:rsidRDefault="005324B0" w:rsidP="008F00F0">
            <w:pPr>
              <w:rPr>
                <w:rFonts w:asciiTheme="minorHAnsi" w:hAnsiTheme="minorHAnsi" w:cstheme="minorHAnsi"/>
              </w:rPr>
            </w:pPr>
            <w:r w:rsidRPr="00037AD4">
              <w:rPr>
                <w:rFonts w:asciiTheme="minorHAnsi" w:hAnsiTheme="minorHAnsi" w:cstheme="minorHAnsi"/>
              </w:rPr>
              <w:t xml:space="preserve">7 (7.1) </w:t>
            </w:r>
          </w:p>
          <w:p w14:paraId="3040C8DD" w14:textId="77777777" w:rsidR="005324B0" w:rsidRPr="00037AD4" w:rsidRDefault="005324B0" w:rsidP="008F00F0">
            <w:pPr>
              <w:rPr>
                <w:rFonts w:asciiTheme="minorHAnsi" w:hAnsiTheme="minorHAnsi" w:cstheme="minorHAnsi"/>
              </w:rPr>
            </w:pPr>
            <w:r w:rsidRPr="00037AD4">
              <w:rPr>
                <w:rFonts w:asciiTheme="minorHAnsi" w:hAnsiTheme="minorHAnsi" w:cstheme="minorHAnsi"/>
              </w:rPr>
              <w:t>20 (15.8)</w:t>
            </w:r>
          </w:p>
        </w:tc>
        <w:tc>
          <w:tcPr>
            <w:tcW w:w="1520" w:type="dxa"/>
          </w:tcPr>
          <w:p w14:paraId="4066987B" w14:textId="77777777" w:rsidR="005324B0" w:rsidRPr="00037AD4" w:rsidRDefault="005324B0" w:rsidP="008F00F0">
            <w:pPr>
              <w:rPr>
                <w:rFonts w:asciiTheme="minorHAnsi" w:hAnsiTheme="minorHAnsi" w:cstheme="minorHAnsi"/>
              </w:rPr>
            </w:pPr>
          </w:p>
          <w:p w14:paraId="3AF48A7D" w14:textId="77777777" w:rsidR="005324B0" w:rsidRPr="00037AD4" w:rsidRDefault="005324B0" w:rsidP="008F00F0">
            <w:pPr>
              <w:rPr>
                <w:rFonts w:asciiTheme="minorHAnsi" w:hAnsiTheme="minorHAnsi" w:cstheme="minorHAnsi"/>
              </w:rPr>
            </w:pPr>
            <w:r w:rsidRPr="00037AD4">
              <w:rPr>
                <w:rFonts w:asciiTheme="minorHAnsi" w:hAnsiTheme="minorHAnsi" w:cstheme="minorHAnsi"/>
              </w:rPr>
              <w:t>12 (4.5)</w:t>
            </w:r>
          </w:p>
          <w:p w14:paraId="5271B526" w14:textId="77777777" w:rsidR="005324B0" w:rsidRPr="00037AD4" w:rsidRDefault="005324B0" w:rsidP="008F00F0">
            <w:pPr>
              <w:rPr>
                <w:rFonts w:asciiTheme="minorHAnsi" w:hAnsiTheme="minorHAnsi" w:cstheme="minorHAnsi"/>
              </w:rPr>
            </w:pPr>
            <w:r w:rsidRPr="00037AD4">
              <w:rPr>
                <w:rFonts w:asciiTheme="minorHAnsi" w:hAnsiTheme="minorHAnsi" w:cstheme="minorHAnsi"/>
              </w:rPr>
              <w:t>5 (5.0)</w:t>
            </w:r>
          </w:p>
          <w:p w14:paraId="6F3F678A" w14:textId="77777777" w:rsidR="005324B0" w:rsidRPr="00037AD4" w:rsidRDefault="005324B0" w:rsidP="008F00F0">
            <w:pPr>
              <w:rPr>
                <w:rFonts w:asciiTheme="minorHAnsi" w:hAnsiTheme="minorHAnsi" w:cstheme="minorHAnsi"/>
              </w:rPr>
            </w:pPr>
            <w:r w:rsidRPr="00037AD4">
              <w:rPr>
                <w:rFonts w:asciiTheme="minorHAnsi" w:hAnsiTheme="minorHAnsi" w:cstheme="minorHAnsi"/>
              </w:rPr>
              <w:t>6 (4.7)</w:t>
            </w:r>
          </w:p>
        </w:tc>
        <w:tc>
          <w:tcPr>
            <w:tcW w:w="1392" w:type="dxa"/>
          </w:tcPr>
          <w:p w14:paraId="6E74192F" w14:textId="77777777" w:rsidR="005324B0" w:rsidRPr="00037AD4" w:rsidRDefault="005324B0" w:rsidP="008F00F0">
            <w:pPr>
              <w:rPr>
                <w:rFonts w:asciiTheme="minorHAnsi" w:hAnsiTheme="minorHAnsi" w:cstheme="minorHAnsi"/>
              </w:rPr>
            </w:pPr>
          </w:p>
          <w:p w14:paraId="76F70A3F" w14:textId="77777777" w:rsidR="005324B0" w:rsidRPr="00037AD4" w:rsidRDefault="005324B0" w:rsidP="008F00F0">
            <w:pPr>
              <w:rPr>
                <w:rFonts w:asciiTheme="minorHAnsi" w:hAnsiTheme="minorHAnsi" w:cstheme="minorHAnsi"/>
              </w:rPr>
            </w:pPr>
            <w:r w:rsidRPr="00037AD4">
              <w:rPr>
                <w:rFonts w:asciiTheme="minorHAnsi" w:hAnsiTheme="minorHAnsi" w:cstheme="minorHAnsi"/>
              </w:rPr>
              <w:t>30 (11.3)</w:t>
            </w:r>
          </w:p>
          <w:p w14:paraId="7E50FB8F" w14:textId="77777777" w:rsidR="005324B0" w:rsidRPr="00037AD4" w:rsidRDefault="005324B0" w:rsidP="008F00F0">
            <w:pPr>
              <w:rPr>
                <w:rFonts w:asciiTheme="minorHAnsi" w:hAnsiTheme="minorHAnsi" w:cstheme="minorHAnsi"/>
              </w:rPr>
            </w:pPr>
            <w:r w:rsidRPr="00037AD4">
              <w:rPr>
                <w:rFonts w:asciiTheme="minorHAnsi" w:hAnsiTheme="minorHAnsi" w:cstheme="minorHAnsi"/>
              </w:rPr>
              <w:t>6 (6.0)</w:t>
            </w:r>
          </w:p>
          <w:p w14:paraId="03CF93B7" w14:textId="77777777" w:rsidR="005324B0" w:rsidRPr="00037AD4" w:rsidRDefault="005324B0" w:rsidP="008F00F0">
            <w:pPr>
              <w:rPr>
                <w:rFonts w:asciiTheme="minorHAnsi" w:hAnsiTheme="minorHAnsi" w:cstheme="minorHAnsi"/>
              </w:rPr>
            </w:pPr>
            <w:r w:rsidRPr="00037AD4">
              <w:rPr>
                <w:rFonts w:asciiTheme="minorHAnsi" w:hAnsiTheme="minorHAnsi" w:cstheme="minorHAnsi"/>
              </w:rPr>
              <w:t>22 (17.3)</w:t>
            </w:r>
          </w:p>
        </w:tc>
        <w:tc>
          <w:tcPr>
            <w:tcW w:w="1260" w:type="dxa"/>
          </w:tcPr>
          <w:p w14:paraId="4D628336" w14:textId="77777777" w:rsidR="005324B0" w:rsidRPr="00037AD4" w:rsidRDefault="005324B0" w:rsidP="008F00F0">
            <w:pPr>
              <w:rPr>
                <w:rFonts w:asciiTheme="minorHAnsi" w:hAnsiTheme="minorHAnsi" w:cstheme="minorHAnsi"/>
              </w:rPr>
            </w:pPr>
          </w:p>
          <w:p w14:paraId="57507D24" w14:textId="77777777" w:rsidR="005324B0" w:rsidRPr="00037AD4" w:rsidRDefault="005324B0" w:rsidP="008F00F0">
            <w:pPr>
              <w:rPr>
                <w:rFonts w:asciiTheme="minorHAnsi" w:hAnsiTheme="minorHAnsi" w:cstheme="minorHAnsi"/>
              </w:rPr>
            </w:pPr>
            <w:r w:rsidRPr="00037AD4">
              <w:rPr>
                <w:rFonts w:asciiTheme="minorHAnsi" w:hAnsiTheme="minorHAnsi" w:cstheme="minorHAnsi"/>
              </w:rPr>
              <w:t>175 (66.0)</w:t>
            </w:r>
          </w:p>
          <w:p w14:paraId="45DDB5B4" w14:textId="77777777" w:rsidR="005324B0" w:rsidRPr="00037AD4" w:rsidRDefault="005324B0" w:rsidP="008F00F0">
            <w:pPr>
              <w:rPr>
                <w:rFonts w:asciiTheme="minorHAnsi" w:hAnsiTheme="minorHAnsi" w:cstheme="minorHAnsi"/>
              </w:rPr>
            </w:pPr>
            <w:r w:rsidRPr="00037AD4">
              <w:rPr>
                <w:rFonts w:asciiTheme="minorHAnsi" w:hAnsiTheme="minorHAnsi" w:cstheme="minorHAnsi"/>
              </w:rPr>
              <w:t>81 (81.9)</w:t>
            </w:r>
          </w:p>
          <w:p w14:paraId="65909C3F" w14:textId="77777777" w:rsidR="005324B0" w:rsidRPr="00037AD4" w:rsidRDefault="005324B0" w:rsidP="008F00F0">
            <w:pPr>
              <w:rPr>
                <w:rFonts w:asciiTheme="minorHAnsi" w:hAnsiTheme="minorHAnsi" w:cstheme="minorHAnsi"/>
              </w:rPr>
            </w:pPr>
            <w:r w:rsidRPr="00037AD4">
              <w:rPr>
                <w:rFonts w:asciiTheme="minorHAnsi" w:hAnsiTheme="minorHAnsi" w:cstheme="minorHAnsi"/>
              </w:rPr>
              <w:t>77 (60.6)</w:t>
            </w:r>
          </w:p>
        </w:tc>
        <w:tc>
          <w:tcPr>
            <w:tcW w:w="1257" w:type="dxa"/>
          </w:tcPr>
          <w:p w14:paraId="0BF0714A" w14:textId="77777777" w:rsidR="005324B0" w:rsidRDefault="005324B0" w:rsidP="008F00F0">
            <w:pPr>
              <w:rPr>
                <w:rFonts w:asciiTheme="minorHAnsi" w:hAnsiTheme="minorHAnsi" w:cstheme="minorHAnsi"/>
              </w:rPr>
            </w:pPr>
          </w:p>
          <w:p w14:paraId="0F5096DF" w14:textId="0D569C3B" w:rsidR="00094A4F" w:rsidRDefault="00094A4F" w:rsidP="008F00F0">
            <w:pPr>
              <w:rPr>
                <w:rFonts w:asciiTheme="minorHAnsi" w:hAnsiTheme="minorHAnsi" w:cstheme="minorHAnsi"/>
              </w:rPr>
            </w:pPr>
            <w:r>
              <w:rPr>
                <w:rFonts w:asciiTheme="minorHAnsi" w:hAnsiTheme="minorHAnsi" w:cstheme="minorHAnsi"/>
              </w:rPr>
              <w:t>43 (16.2</w:t>
            </w:r>
          </w:p>
          <w:p w14:paraId="37047C91" w14:textId="141D044B" w:rsidR="00094A4F" w:rsidRDefault="00094A4F" w:rsidP="008F00F0">
            <w:pPr>
              <w:rPr>
                <w:rFonts w:asciiTheme="minorHAnsi" w:hAnsiTheme="minorHAnsi" w:cstheme="minorHAnsi"/>
              </w:rPr>
            </w:pPr>
            <w:r>
              <w:rPr>
                <w:rFonts w:asciiTheme="minorHAnsi" w:hAnsiTheme="minorHAnsi" w:cstheme="minorHAnsi"/>
              </w:rPr>
              <w:t>30 (30.3)</w:t>
            </w:r>
          </w:p>
          <w:p w14:paraId="384A96FF" w14:textId="34FC4FAD" w:rsidR="00094A4F" w:rsidRPr="00037AD4" w:rsidRDefault="00094A4F" w:rsidP="008F00F0">
            <w:pPr>
              <w:rPr>
                <w:rFonts w:asciiTheme="minorHAnsi" w:hAnsiTheme="minorHAnsi" w:cstheme="minorHAnsi"/>
              </w:rPr>
            </w:pPr>
            <w:r>
              <w:rPr>
                <w:rFonts w:asciiTheme="minorHAnsi" w:hAnsiTheme="minorHAnsi" w:cstheme="minorHAnsi"/>
              </w:rPr>
              <w:t>15 (11.8)</w:t>
            </w:r>
          </w:p>
        </w:tc>
      </w:tr>
      <w:tr w:rsidR="00D939D4" w:rsidRPr="00037AD4" w14:paraId="1754BE74" w14:textId="208F8D5B" w:rsidTr="00B21265">
        <w:trPr>
          <w:trHeight w:val="624"/>
        </w:trPr>
        <w:tc>
          <w:tcPr>
            <w:tcW w:w="10266" w:type="dxa"/>
            <w:gridSpan w:val="7"/>
          </w:tcPr>
          <w:p w14:paraId="3E2E91EF" w14:textId="257C1FA5" w:rsidR="00D939D4" w:rsidRPr="00037AD4" w:rsidRDefault="00D939D4" w:rsidP="008F00F0">
            <w:pPr>
              <w:rPr>
                <w:rFonts w:asciiTheme="minorHAnsi" w:hAnsiTheme="minorHAnsi" w:cstheme="minorHAnsi"/>
                <w:sz w:val="20"/>
                <w:szCs w:val="20"/>
              </w:rPr>
            </w:pPr>
            <w:r w:rsidRPr="00037AD4">
              <w:rPr>
                <w:rFonts w:asciiTheme="minorHAnsi" w:hAnsiTheme="minorHAnsi" w:cstheme="minorHAnsi"/>
                <w:sz w:val="20"/>
                <w:szCs w:val="20"/>
              </w:rPr>
              <w:t xml:space="preserve">*For EPIC study, proxy used in solely staff proxy due low number of observations for informal proxies; CDR, Clinical Dementia Rating; </w:t>
            </w:r>
            <w:r w:rsidRPr="00037AD4">
              <w:rPr>
                <w:rFonts w:asciiTheme="minorHAnsi" w:hAnsiTheme="minorHAnsi" w:cstheme="minorHAnsi"/>
                <w:color w:val="000000" w:themeColor="text1"/>
                <w:sz w:val="20"/>
                <w:szCs w:val="20"/>
              </w:rPr>
              <w:t>EQ-5D-3L for REMCARE; EQ-5D-5L for ACTIFCARE and EPIC</w:t>
            </w:r>
            <w:r w:rsidR="00094A4F">
              <w:rPr>
                <w:rFonts w:asciiTheme="minorHAnsi" w:hAnsiTheme="minorHAnsi" w:cstheme="minorHAnsi"/>
                <w:color w:val="000000" w:themeColor="text1"/>
                <w:sz w:val="20"/>
                <w:szCs w:val="20"/>
              </w:rPr>
              <w:t>; ** full health reflecting proxy scores of 1 for all five di</w:t>
            </w:r>
          </w:p>
        </w:tc>
      </w:tr>
    </w:tbl>
    <w:p w14:paraId="291B145A" w14:textId="77777777" w:rsidR="00B54D51" w:rsidRPr="00037AD4" w:rsidRDefault="00B54D51" w:rsidP="007A43F9">
      <w:pPr>
        <w:pStyle w:val="Heading4"/>
      </w:pPr>
    </w:p>
    <w:p w14:paraId="0EE87A9E" w14:textId="77777777" w:rsidR="00B54D51" w:rsidRPr="00037AD4" w:rsidRDefault="00B54D51" w:rsidP="007A43F9">
      <w:pPr>
        <w:pStyle w:val="Heading4"/>
      </w:pPr>
      <w:r w:rsidRPr="00037AD4">
        <w:t xml:space="preserve">4.4.4.1 Predictors of EQ-5D index scores </w:t>
      </w:r>
    </w:p>
    <w:p w14:paraId="07B4C28A" w14:textId="77777777" w:rsidR="00B54D51" w:rsidRPr="00037AD4" w:rsidRDefault="00B54D51" w:rsidP="007A43F9"/>
    <w:p w14:paraId="3C97D205" w14:textId="77777777" w:rsidR="00B54D51" w:rsidRPr="00037AD4" w:rsidRDefault="00B54D51" w:rsidP="002147C5">
      <w:pPr>
        <w:rPr>
          <w:rFonts w:asciiTheme="minorHAnsi" w:hAnsiTheme="minorHAnsi" w:cstheme="minorHAnsi"/>
        </w:rPr>
      </w:pPr>
      <w:r w:rsidRPr="00037AD4">
        <w:rPr>
          <w:rFonts w:asciiTheme="minorHAnsi" w:hAnsiTheme="minorHAnsi" w:cstheme="minorHAnsi"/>
        </w:rPr>
        <w:t>To gauge whether there are specific factors (as captured by the outcome measures) that play a role in predicting EQ-5D index scores estimated via PwD and proxy reports alike, multivariate linear regression analys</w:t>
      </w:r>
      <w:r>
        <w:rPr>
          <w:rFonts w:asciiTheme="minorHAnsi" w:hAnsiTheme="minorHAnsi" w:cstheme="minorHAnsi"/>
        </w:rPr>
        <w:t>i</w:t>
      </w:r>
      <w:r w:rsidRPr="00037AD4">
        <w:rPr>
          <w:rFonts w:asciiTheme="minorHAnsi" w:hAnsiTheme="minorHAnsi" w:cstheme="minorHAnsi"/>
        </w:rPr>
        <w:t>s has been performed upon the three datasets distinctly and reported in Tables 27a – 27c below. This evaluation considers data from all data collection timepoints.</w:t>
      </w:r>
    </w:p>
    <w:p w14:paraId="2760D1E6" w14:textId="77777777" w:rsidR="00B54D51" w:rsidRPr="00037AD4" w:rsidRDefault="00B54D51" w:rsidP="002147C5">
      <w:pPr>
        <w:rPr>
          <w:rFonts w:asciiTheme="minorHAnsi" w:hAnsiTheme="minorHAnsi" w:cstheme="minorHAnsi"/>
        </w:rPr>
      </w:pPr>
    </w:p>
    <w:p w14:paraId="4861345A" w14:textId="77777777" w:rsidR="00B54D51" w:rsidRPr="00037AD4" w:rsidRDefault="00B54D51" w:rsidP="002147C5">
      <w:pPr>
        <w:rPr>
          <w:rFonts w:asciiTheme="minorHAnsi" w:hAnsiTheme="minorHAnsi" w:cstheme="minorHAnsi"/>
        </w:rPr>
      </w:pPr>
      <w:r w:rsidRPr="00037AD4">
        <w:rPr>
          <w:rFonts w:asciiTheme="minorHAnsi" w:hAnsiTheme="minorHAnsi" w:cstheme="minorHAnsi"/>
        </w:rPr>
        <w:t>For all three trials, the R-squared is larger for the proxy model, indicating that the independent variables explain a larger proportion of the variance in EQ-5D index scores in the proxy models. This feature is mirrored by the finding that the regression coefficients tend to be larger in the proxy model and that a larger number of the variables appear to be statistically significantly affecting proxy-scores (when compared to PwD data).</w:t>
      </w:r>
    </w:p>
    <w:p w14:paraId="54224BB1" w14:textId="77777777" w:rsidR="00B54D51" w:rsidRPr="00037AD4" w:rsidRDefault="00B54D51" w:rsidP="002147C5">
      <w:pPr>
        <w:rPr>
          <w:rFonts w:asciiTheme="minorHAnsi" w:hAnsiTheme="minorHAnsi" w:cstheme="minorHAnsi"/>
        </w:rPr>
      </w:pPr>
    </w:p>
    <w:p w14:paraId="42BEADD3" w14:textId="77777777" w:rsidR="00B54D51" w:rsidRPr="00037AD4" w:rsidRDefault="00B54D51" w:rsidP="002147C5">
      <w:pPr>
        <w:rPr>
          <w:rFonts w:asciiTheme="minorHAnsi" w:hAnsiTheme="minorHAnsi" w:cstheme="minorHAnsi"/>
        </w:rPr>
      </w:pPr>
      <w:r w:rsidRPr="00037AD4">
        <w:rPr>
          <w:rFonts w:asciiTheme="minorHAnsi" w:hAnsiTheme="minorHAnsi" w:cstheme="minorHAnsi"/>
        </w:rPr>
        <w:t xml:space="preserve">The functional measure captured in all three studies is flagged as a significant variable for predicting proxy EQ-5D index scores. For PwD index scores, function is also a significant predictor in the REMCARE data (via BADLS). Within the ACTIFCARE data, only the PSMS functional measure is a statistically significant predictor of PwD index scores (while both the PSMS and the IADL measures are significant for predicting proxy index scores). </w:t>
      </w:r>
    </w:p>
    <w:p w14:paraId="281F6067" w14:textId="77777777" w:rsidR="00B54D51" w:rsidRPr="00037AD4" w:rsidRDefault="00B54D51" w:rsidP="002147C5">
      <w:pPr>
        <w:rPr>
          <w:rFonts w:asciiTheme="minorHAnsi" w:hAnsiTheme="minorHAnsi" w:cstheme="minorHAnsi"/>
        </w:rPr>
      </w:pPr>
    </w:p>
    <w:p w14:paraId="56C226B5" w14:textId="77777777" w:rsidR="00B54D51" w:rsidRPr="00037AD4" w:rsidRDefault="00B54D51" w:rsidP="002147C5">
      <w:pPr>
        <w:rPr>
          <w:rFonts w:asciiTheme="minorHAnsi" w:hAnsiTheme="minorHAnsi" w:cstheme="minorHAnsi"/>
        </w:rPr>
      </w:pPr>
      <w:r w:rsidRPr="00037AD4">
        <w:rPr>
          <w:rFonts w:asciiTheme="minorHAnsi" w:hAnsiTheme="minorHAnsi" w:cstheme="minorHAnsi"/>
        </w:rPr>
        <w:t xml:space="preserve">The EPIC study did not collect demographic data about the proxy; for the REMCARE and ACTIFCARE studies alike the sex of the proxy is a significant predictor whereby male carers are associated with lower proxy EQ-5D scores in REMCARE, and the inverse is true for the ACTIFCARE data (where EQ-5D proxy scores are higher for males compared to females). </w:t>
      </w:r>
      <w:r w:rsidRPr="00037AD4">
        <w:rPr>
          <w:rFonts w:asciiTheme="minorHAnsi" w:hAnsiTheme="minorHAnsi" w:cstheme="minorHAnsi"/>
        </w:rPr>
        <w:lastRenderedPageBreak/>
        <w:t>Dementia severity stage (via CDR) is a significant variable for predicting proxy EQ-5D index scores in the ACTIFCARE and EPIC datasets (and for both proxy types in EPIC) but is not for PwD self-reported scores.</w:t>
      </w:r>
    </w:p>
    <w:p w14:paraId="7153DF0B" w14:textId="77777777" w:rsidR="00B54D51" w:rsidRPr="00037AD4" w:rsidRDefault="00B54D51" w:rsidP="002147C5">
      <w:pPr>
        <w:rPr>
          <w:rFonts w:asciiTheme="minorHAnsi" w:hAnsiTheme="minorHAnsi" w:cstheme="minorHAnsi"/>
        </w:rPr>
      </w:pPr>
    </w:p>
    <w:p w14:paraId="39A09B6A" w14:textId="77777777" w:rsidR="00B54D51" w:rsidRPr="00037AD4" w:rsidRDefault="00B54D51" w:rsidP="002147C5">
      <w:pPr>
        <w:rPr>
          <w:rFonts w:asciiTheme="minorHAnsi" w:hAnsiTheme="minorHAnsi" w:cstheme="minorHAnsi"/>
        </w:rPr>
      </w:pPr>
      <w:r w:rsidRPr="00037AD4">
        <w:rPr>
          <w:rFonts w:asciiTheme="minorHAnsi" w:hAnsiTheme="minorHAnsi" w:cstheme="minorHAnsi"/>
        </w:rPr>
        <w:t xml:space="preserve">The behaviour/mood measures of CSDD and NPI are significant predictors of proxy index scores in REMCARE and ACTIFCARE (but not of PwD-self reported scores). The REMCARE study also measured the proxies own HRQoL via EQ-5D which is shown to be a significant predictor of proxy EQ-5D index scores. </w:t>
      </w:r>
    </w:p>
    <w:p w14:paraId="1BA149CD" w14:textId="78078B2B" w:rsidR="0063352B" w:rsidRDefault="0063352B" w:rsidP="002147C5">
      <w:pPr>
        <w:rPr>
          <w:rFonts w:asciiTheme="minorHAnsi" w:hAnsiTheme="minorHAnsi" w:cstheme="minorHAnsi"/>
        </w:rPr>
      </w:pPr>
    </w:p>
    <w:p w14:paraId="5472D9E5" w14:textId="77777777" w:rsidR="00B77D6A" w:rsidRPr="00037AD4" w:rsidRDefault="00B77D6A" w:rsidP="002147C5">
      <w:pPr>
        <w:rPr>
          <w:rFonts w:asciiTheme="minorHAnsi" w:hAnsiTheme="minorHAnsi" w:cstheme="minorHAnsi"/>
        </w:rPr>
      </w:pPr>
    </w:p>
    <w:p w14:paraId="2B57D0E8" w14:textId="77777777" w:rsidR="00B54D51" w:rsidRPr="00037AD4" w:rsidRDefault="00B54D51" w:rsidP="002147C5">
      <w:pPr>
        <w:rPr>
          <w:rFonts w:asciiTheme="minorHAnsi" w:hAnsiTheme="minorHAnsi" w:cstheme="minorHAnsi"/>
          <w:b/>
          <w:bCs/>
          <w:i/>
          <w:iCs/>
        </w:rPr>
      </w:pPr>
      <w:r w:rsidRPr="00037AD4">
        <w:rPr>
          <w:rFonts w:asciiTheme="minorHAnsi" w:hAnsiTheme="minorHAnsi" w:cstheme="minorHAnsi"/>
          <w:b/>
          <w:bCs/>
          <w:i/>
          <w:iCs/>
        </w:rPr>
        <w:t>Table 27a, Predictors of EQ-5D index score regression output, REMCARE</w:t>
      </w:r>
    </w:p>
    <w:p w14:paraId="62F6262D" w14:textId="77777777" w:rsidR="00B54D51" w:rsidRPr="00037AD4" w:rsidRDefault="00B54D51" w:rsidP="002147C5">
      <w:pPr>
        <w:rPr>
          <w:rFonts w:asciiTheme="minorHAnsi" w:hAnsiTheme="minorHAnsi" w:cstheme="minorHAnsi"/>
          <w:b/>
          <w:bCs/>
          <w:u w:val="single"/>
        </w:rPr>
      </w:pPr>
    </w:p>
    <w:tbl>
      <w:tblPr>
        <w:tblStyle w:val="PlainTable1"/>
        <w:tblW w:w="0" w:type="auto"/>
        <w:tblLook w:val="04A0" w:firstRow="1" w:lastRow="0" w:firstColumn="1" w:lastColumn="0" w:noHBand="0" w:noVBand="1"/>
      </w:tblPr>
      <w:tblGrid>
        <w:gridCol w:w="1937"/>
        <w:gridCol w:w="1777"/>
        <w:gridCol w:w="1815"/>
        <w:gridCol w:w="1753"/>
        <w:gridCol w:w="1734"/>
      </w:tblGrid>
      <w:tr w:rsidR="00B54D51" w:rsidRPr="00037AD4" w14:paraId="0EDA28E7" w14:textId="77777777" w:rsidTr="008F00F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7" w:type="dxa"/>
            <w:shd w:val="clear" w:color="auto" w:fill="auto"/>
          </w:tcPr>
          <w:p w14:paraId="18237AA5" w14:textId="77777777" w:rsidR="00B54D51" w:rsidRPr="00037AD4" w:rsidRDefault="00B54D51" w:rsidP="008F00F0">
            <w:pPr>
              <w:rPr>
                <w:rFonts w:asciiTheme="minorHAnsi" w:hAnsiTheme="minorHAnsi" w:cstheme="minorHAnsi"/>
                <w:b w:val="0"/>
                <w:bCs w:val="0"/>
              </w:rPr>
            </w:pPr>
            <w:r w:rsidRPr="00037AD4">
              <w:rPr>
                <w:rFonts w:asciiTheme="minorHAnsi" w:hAnsiTheme="minorHAnsi" w:cstheme="minorHAnsi"/>
                <w:b w:val="0"/>
                <w:bCs w:val="0"/>
              </w:rPr>
              <w:t>Measure</w:t>
            </w:r>
          </w:p>
        </w:tc>
        <w:tc>
          <w:tcPr>
            <w:tcW w:w="1777" w:type="dxa"/>
            <w:shd w:val="clear" w:color="auto" w:fill="auto"/>
          </w:tcPr>
          <w:p w14:paraId="2424CDCE" w14:textId="77777777" w:rsidR="00B54D51" w:rsidRPr="00037AD4" w:rsidRDefault="00B54D51" w:rsidP="008F00F0">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rPr>
            </w:pPr>
            <w:r w:rsidRPr="00037AD4">
              <w:rPr>
                <w:rFonts w:asciiTheme="minorHAnsi" w:hAnsiTheme="minorHAnsi" w:cstheme="minorHAnsi"/>
                <w:b w:val="0"/>
                <w:bCs w:val="0"/>
              </w:rPr>
              <w:t>Coefficient</w:t>
            </w:r>
          </w:p>
        </w:tc>
        <w:tc>
          <w:tcPr>
            <w:tcW w:w="1815" w:type="dxa"/>
            <w:shd w:val="clear" w:color="auto" w:fill="auto"/>
          </w:tcPr>
          <w:p w14:paraId="32F824B7" w14:textId="77777777" w:rsidR="00B54D51" w:rsidRPr="00037AD4" w:rsidRDefault="00B54D51" w:rsidP="008F00F0">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rPr>
            </w:pPr>
            <w:r w:rsidRPr="00037AD4">
              <w:rPr>
                <w:rFonts w:asciiTheme="minorHAnsi" w:hAnsiTheme="minorHAnsi" w:cstheme="minorHAnsi"/>
                <w:b w:val="0"/>
                <w:bCs w:val="0"/>
              </w:rPr>
              <w:t>Std. err.</w:t>
            </w:r>
          </w:p>
        </w:tc>
        <w:tc>
          <w:tcPr>
            <w:tcW w:w="1753" w:type="dxa"/>
            <w:shd w:val="clear" w:color="auto" w:fill="auto"/>
          </w:tcPr>
          <w:p w14:paraId="74A541E4" w14:textId="77777777" w:rsidR="00B54D51" w:rsidRPr="00037AD4" w:rsidRDefault="00B54D51" w:rsidP="008F00F0">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i/>
                <w:iCs/>
              </w:rPr>
            </w:pPr>
            <w:r w:rsidRPr="00037AD4">
              <w:rPr>
                <w:rFonts w:asciiTheme="minorHAnsi" w:hAnsiTheme="minorHAnsi" w:cstheme="minorHAnsi"/>
                <w:b w:val="0"/>
                <w:bCs w:val="0"/>
                <w:i/>
                <w:iCs/>
              </w:rPr>
              <w:t>t</w:t>
            </w:r>
          </w:p>
        </w:tc>
        <w:tc>
          <w:tcPr>
            <w:tcW w:w="1734" w:type="dxa"/>
            <w:shd w:val="clear" w:color="auto" w:fill="auto"/>
          </w:tcPr>
          <w:p w14:paraId="02DDB7A0" w14:textId="77777777" w:rsidR="00B54D51" w:rsidRPr="00037AD4" w:rsidRDefault="00B54D51" w:rsidP="008F00F0">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i/>
                <w:iCs/>
              </w:rPr>
            </w:pPr>
            <w:r w:rsidRPr="00037AD4">
              <w:rPr>
                <w:rFonts w:asciiTheme="minorHAnsi" w:hAnsiTheme="minorHAnsi" w:cstheme="minorHAnsi"/>
                <w:b w:val="0"/>
                <w:bCs w:val="0"/>
                <w:i/>
                <w:iCs/>
              </w:rPr>
              <w:t>R</w:t>
            </w:r>
            <w:r w:rsidRPr="00037AD4">
              <w:rPr>
                <w:rFonts w:asciiTheme="minorHAnsi" w:hAnsiTheme="minorHAnsi" w:cstheme="minorHAnsi"/>
                <w:b w:val="0"/>
                <w:bCs w:val="0"/>
                <w:i/>
                <w:iCs/>
                <w:vertAlign w:val="superscript"/>
              </w:rPr>
              <w:t>2</w:t>
            </w:r>
          </w:p>
        </w:tc>
      </w:tr>
      <w:tr w:rsidR="00B54D51" w:rsidRPr="00037AD4" w14:paraId="1517DE5B" w14:textId="77777777" w:rsidTr="008F00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5"/>
            <w:shd w:val="clear" w:color="auto" w:fill="E7E6E6" w:themeFill="background2"/>
          </w:tcPr>
          <w:p w14:paraId="625FED1A" w14:textId="77777777" w:rsidR="00B54D51" w:rsidRPr="00037AD4" w:rsidRDefault="00B54D51" w:rsidP="008F00F0">
            <w:pPr>
              <w:jc w:val="center"/>
              <w:rPr>
                <w:rFonts w:asciiTheme="minorHAnsi" w:hAnsiTheme="minorHAnsi" w:cstheme="minorHAnsi"/>
              </w:rPr>
            </w:pPr>
            <w:r w:rsidRPr="00037AD4">
              <w:rPr>
                <w:rFonts w:asciiTheme="minorHAnsi" w:hAnsiTheme="minorHAnsi" w:cstheme="minorHAnsi"/>
              </w:rPr>
              <w:t>PwD, n=910</w:t>
            </w:r>
          </w:p>
        </w:tc>
      </w:tr>
      <w:tr w:rsidR="00B54D51" w:rsidRPr="00037AD4" w14:paraId="166043E3" w14:textId="77777777" w:rsidTr="008F00F0">
        <w:tc>
          <w:tcPr>
            <w:cnfStyle w:val="001000000000" w:firstRow="0" w:lastRow="0" w:firstColumn="1" w:lastColumn="0" w:oddVBand="0" w:evenVBand="0" w:oddHBand="0" w:evenHBand="0" w:firstRowFirstColumn="0" w:firstRowLastColumn="0" w:lastRowFirstColumn="0" w:lastRowLastColumn="0"/>
            <w:tcW w:w="1937" w:type="dxa"/>
            <w:shd w:val="clear" w:color="auto" w:fill="auto"/>
          </w:tcPr>
          <w:p w14:paraId="4FBA0FB7"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BADLS</w:t>
            </w:r>
          </w:p>
        </w:tc>
        <w:tc>
          <w:tcPr>
            <w:tcW w:w="1777" w:type="dxa"/>
            <w:shd w:val="clear" w:color="auto" w:fill="auto"/>
          </w:tcPr>
          <w:p w14:paraId="2FF9C456"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-0.003*</w:t>
            </w:r>
          </w:p>
        </w:tc>
        <w:tc>
          <w:tcPr>
            <w:tcW w:w="1815" w:type="dxa"/>
            <w:shd w:val="clear" w:color="auto" w:fill="auto"/>
          </w:tcPr>
          <w:p w14:paraId="1BEDDD74"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0.009</w:t>
            </w:r>
          </w:p>
        </w:tc>
        <w:tc>
          <w:tcPr>
            <w:tcW w:w="1753" w:type="dxa"/>
            <w:shd w:val="clear" w:color="auto" w:fill="auto"/>
          </w:tcPr>
          <w:p w14:paraId="0F556630"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-3.64</w:t>
            </w:r>
          </w:p>
        </w:tc>
        <w:tc>
          <w:tcPr>
            <w:tcW w:w="1734" w:type="dxa"/>
            <w:vMerge w:val="restart"/>
            <w:shd w:val="clear" w:color="auto" w:fill="auto"/>
          </w:tcPr>
          <w:p w14:paraId="5A3DF802"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0.07</w:t>
            </w:r>
          </w:p>
        </w:tc>
      </w:tr>
      <w:tr w:rsidR="00B54D51" w:rsidRPr="00037AD4" w14:paraId="3E253F5F" w14:textId="77777777" w:rsidTr="008F00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7" w:type="dxa"/>
            <w:shd w:val="clear" w:color="auto" w:fill="auto"/>
          </w:tcPr>
          <w:p w14:paraId="0619292B"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CDR</w:t>
            </w:r>
          </w:p>
        </w:tc>
        <w:tc>
          <w:tcPr>
            <w:tcW w:w="1777" w:type="dxa"/>
            <w:shd w:val="clear" w:color="auto" w:fill="auto"/>
          </w:tcPr>
          <w:p w14:paraId="0E4D17F6"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0.100</w:t>
            </w:r>
          </w:p>
        </w:tc>
        <w:tc>
          <w:tcPr>
            <w:tcW w:w="1815" w:type="dxa"/>
            <w:shd w:val="clear" w:color="auto" w:fill="auto"/>
          </w:tcPr>
          <w:p w14:paraId="3E9CFAD4"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0.019</w:t>
            </w:r>
          </w:p>
        </w:tc>
        <w:tc>
          <w:tcPr>
            <w:tcW w:w="1753" w:type="dxa"/>
            <w:shd w:val="clear" w:color="auto" w:fill="auto"/>
          </w:tcPr>
          <w:p w14:paraId="274F7547"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0.52</w:t>
            </w:r>
          </w:p>
        </w:tc>
        <w:tc>
          <w:tcPr>
            <w:tcW w:w="1734" w:type="dxa"/>
            <w:vMerge/>
            <w:shd w:val="clear" w:color="auto" w:fill="auto"/>
          </w:tcPr>
          <w:p w14:paraId="2E52EB9A"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r>
      <w:tr w:rsidR="00B54D51" w:rsidRPr="00037AD4" w14:paraId="0CC57C3B" w14:textId="77777777" w:rsidTr="008F00F0">
        <w:tc>
          <w:tcPr>
            <w:cnfStyle w:val="001000000000" w:firstRow="0" w:lastRow="0" w:firstColumn="1" w:lastColumn="0" w:oddVBand="0" w:evenVBand="0" w:oddHBand="0" w:evenHBand="0" w:firstRowFirstColumn="0" w:firstRowLastColumn="0" w:lastRowFirstColumn="0" w:lastRowLastColumn="0"/>
            <w:tcW w:w="1937" w:type="dxa"/>
            <w:shd w:val="clear" w:color="auto" w:fill="auto"/>
          </w:tcPr>
          <w:p w14:paraId="35FD03D7"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CSDD</w:t>
            </w:r>
          </w:p>
        </w:tc>
        <w:tc>
          <w:tcPr>
            <w:tcW w:w="1777" w:type="dxa"/>
            <w:shd w:val="clear" w:color="auto" w:fill="auto"/>
          </w:tcPr>
          <w:p w14:paraId="46893143"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-0.010</w:t>
            </w:r>
          </w:p>
        </w:tc>
        <w:tc>
          <w:tcPr>
            <w:tcW w:w="1815" w:type="dxa"/>
            <w:shd w:val="clear" w:color="auto" w:fill="auto"/>
          </w:tcPr>
          <w:p w14:paraId="1833AF3C"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0.002</w:t>
            </w:r>
          </w:p>
        </w:tc>
        <w:tc>
          <w:tcPr>
            <w:tcW w:w="1753" w:type="dxa"/>
            <w:shd w:val="clear" w:color="auto" w:fill="auto"/>
          </w:tcPr>
          <w:p w14:paraId="11D646C0"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-6.26</w:t>
            </w:r>
          </w:p>
        </w:tc>
        <w:tc>
          <w:tcPr>
            <w:tcW w:w="1734" w:type="dxa"/>
            <w:vMerge/>
            <w:shd w:val="clear" w:color="auto" w:fill="auto"/>
          </w:tcPr>
          <w:p w14:paraId="6464DED5"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r>
      <w:tr w:rsidR="00B54D51" w:rsidRPr="00037AD4" w14:paraId="37FCCDAB" w14:textId="77777777" w:rsidTr="008F00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7" w:type="dxa"/>
            <w:shd w:val="clear" w:color="auto" w:fill="auto"/>
          </w:tcPr>
          <w:p w14:paraId="0F3B97A9"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Carer’s own EQ-5D utility</w:t>
            </w:r>
          </w:p>
        </w:tc>
        <w:tc>
          <w:tcPr>
            <w:tcW w:w="1777" w:type="dxa"/>
            <w:shd w:val="clear" w:color="auto" w:fill="auto"/>
          </w:tcPr>
          <w:p w14:paraId="7C35F905"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-0.014</w:t>
            </w:r>
          </w:p>
        </w:tc>
        <w:tc>
          <w:tcPr>
            <w:tcW w:w="1815" w:type="dxa"/>
            <w:shd w:val="clear" w:color="auto" w:fill="auto"/>
          </w:tcPr>
          <w:p w14:paraId="3D9F31B9"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0.034</w:t>
            </w:r>
          </w:p>
        </w:tc>
        <w:tc>
          <w:tcPr>
            <w:tcW w:w="1753" w:type="dxa"/>
            <w:shd w:val="clear" w:color="auto" w:fill="auto"/>
          </w:tcPr>
          <w:p w14:paraId="1F435841"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-0.41</w:t>
            </w:r>
          </w:p>
        </w:tc>
        <w:tc>
          <w:tcPr>
            <w:tcW w:w="1734" w:type="dxa"/>
            <w:vMerge/>
            <w:shd w:val="clear" w:color="auto" w:fill="auto"/>
          </w:tcPr>
          <w:p w14:paraId="759D8B7A"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r>
      <w:tr w:rsidR="00B54D51" w:rsidRPr="00037AD4" w14:paraId="2B4933FB" w14:textId="77777777" w:rsidTr="008F00F0">
        <w:tc>
          <w:tcPr>
            <w:cnfStyle w:val="001000000000" w:firstRow="0" w:lastRow="0" w:firstColumn="1" w:lastColumn="0" w:oddVBand="0" w:evenVBand="0" w:oddHBand="0" w:evenHBand="0" w:firstRowFirstColumn="0" w:firstRowLastColumn="0" w:lastRowFirstColumn="0" w:lastRowLastColumn="0"/>
            <w:tcW w:w="1937" w:type="dxa"/>
            <w:shd w:val="clear" w:color="auto" w:fill="auto"/>
          </w:tcPr>
          <w:p w14:paraId="786AE6D2"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Age (PwD)</w:t>
            </w:r>
          </w:p>
        </w:tc>
        <w:tc>
          <w:tcPr>
            <w:tcW w:w="1777" w:type="dxa"/>
            <w:shd w:val="clear" w:color="auto" w:fill="auto"/>
          </w:tcPr>
          <w:p w14:paraId="3825EDFE"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0.001</w:t>
            </w:r>
          </w:p>
        </w:tc>
        <w:tc>
          <w:tcPr>
            <w:tcW w:w="1815" w:type="dxa"/>
            <w:shd w:val="clear" w:color="auto" w:fill="auto"/>
          </w:tcPr>
          <w:p w14:paraId="2227EBBD"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0.001</w:t>
            </w:r>
          </w:p>
        </w:tc>
        <w:tc>
          <w:tcPr>
            <w:tcW w:w="1753" w:type="dxa"/>
            <w:shd w:val="clear" w:color="auto" w:fill="auto"/>
          </w:tcPr>
          <w:p w14:paraId="708B698E"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0.81</w:t>
            </w:r>
          </w:p>
        </w:tc>
        <w:tc>
          <w:tcPr>
            <w:tcW w:w="1734" w:type="dxa"/>
            <w:vMerge/>
            <w:shd w:val="clear" w:color="auto" w:fill="auto"/>
          </w:tcPr>
          <w:p w14:paraId="2F5D59C2"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r>
      <w:tr w:rsidR="00B54D51" w:rsidRPr="00037AD4" w14:paraId="51B39DA9" w14:textId="77777777" w:rsidTr="008F00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7" w:type="dxa"/>
            <w:shd w:val="clear" w:color="auto" w:fill="auto"/>
          </w:tcPr>
          <w:p w14:paraId="325BE91E"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Sex of PwD (male)</w:t>
            </w:r>
          </w:p>
        </w:tc>
        <w:tc>
          <w:tcPr>
            <w:tcW w:w="1777" w:type="dxa"/>
            <w:shd w:val="clear" w:color="auto" w:fill="auto"/>
          </w:tcPr>
          <w:p w14:paraId="0B0B01F0"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-0.006*</w:t>
            </w:r>
          </w:p>
        </w:tc>
        <w:tc>
          <w:tcPr>
            <w:tcW w:w="1815" w:type="dxa"/>
            <w:shd w:val="clear" w:color="auto" w:fill="auto"/>
          </w:tcPr>
          <w:p w14:paraId="40560617"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0.016</w:t>
            </w:r>
          </w:p>
        </w:tc>
        <w:tc>
          <w:tcPr>
            <w:tcW w:w="1753" w:type="dxa"/>
            <w:shd w:val="clear" w:color="auto" w:fill="auto"/>
          </w:tcPr>
          <w:p w14:paraId="3F347925"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-0.36</w:t>
            </w:r>
          </w:p>
        </w:tc>
        <w:tc>
          <w:tcPr>
            <w:tcW w:w="1734" w:type="dxa"/>
            <w:vMerge/>
            <w:shd w:val="clear" w:color="auto" w:fill="auto"/>
          </w:tcPr>
          <w:p w14:paraId="5B1863A5"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r>
      <w:tr w:rsidR="00B54D51" w:rsidRPr="00037AD4" w14:paraId="09CA685B" w14:textId="77777777" w:rsidTr="008F00F0">
        <w:tc>
          <w:tcPr>
            <w:cnfStyle w:val="001000000000" w:firstRow="0" w:lastRow="0" w:firstColumn="1" w:lastColumn="0" w:oddVBand="0" w:evenVBand="0" w:oddHBand="0" w:evenHBand="0" w:firstRowFirstColumn="0" w:firstRowLastColumn="0" w:lastRowFirstColumn="0" w:lastRowLastColumn="0"/>
            <w:tcW w:w="9016" w:type="dxa"/>
            <w:gridSpan w:val="5"/>
            <w:shd w:val="clear" w:color="auto" w:fill="E7E6E6" w:themeFill="background2"/>
          </w:tcPr>
          <w:p w14:paraId="72B44BBC" w14:textId="77777777" w:rsidR="00B54D51" w:rsidRPr="00037AD4" w:rsidRDefault="00B54D51" w:rsidP="008F00F0">
            <w:pPr>
              <w:jc w:val="center"/>
              <w:rPr>
                <w:rFonts w:asciiTheme="minorHAnsi" w:hAnsiTheme="minorHAnsi" w:cstheme="minorHAnsi"/>
              </w:rPr>
            </w:pPr>
            <w:r w:rsidRPr="00037AD4">
              <w:rPr>
                <w:rFonts w:asciiTheme="minorHAnsi" w:hAnsiTheme="minorHAnsi" w:cstheme="minorHAnsi"/>
              </w:rPr>
              <w:t>Proxy, n=944</w:t>
            </w:r>
          </w:p>
        </w:tc>
      </w:tr>
      <w:tr w:rsidR="00B54D51" w:rsidRPr="00037AD4" w14:paraId="086E442B" w14:textId="77777777" w:rsidTr="008F00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7" w:type="dxa"/>
            <w:shd w:val="clear" w:color="auto" w:fill="auto"/>
          </w:tcPr>
          <w:p w14:paraId="351224AE"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BADLS</w:t>
            </w:r>
          </w:p>
        </w:tc>
        <w:tc>
          <w:tcPr>
            <w:tcW w:w="1777" w:type="dxa"/>
            <w:shd w:val="clear" w:color="auto" w:fill="auto"/>
          </w:tcPr>
          <w:p w14:paraId="1415F4D7"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-0.013*</w:t>
            </w:r>
          </w:p>
        </w:tc>
        <w:tc>
          <w:tcPr>
            <w:tcW w:w="1815" w:type="dxa"/>
            <w:shd w:val="clear" w:color="auto" w:fill="auto"/>
          </w:tcPr>
          <w:p w14:paraId="295E967A"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0.001</w:t>
            </w:r>
          </w:p>
        </w:tc>
        <w:tc>
          <w:tcPr>
            <w:tcW w:w="1753" w:type="dxa"/>
            <w:shd w:val="clear" w:color="auto" w:fill="auto"/>
          </w:tcPr>
          <w:p w14:paraId="2CBF8CE7"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-18.51</w:t>
            </w:r>
          </w:p>
        </w:tc>
        <w:tc>
          <w:tcPr>
            <w:tcW w:w="1734" w:type="dxa"/>
            <w:vMerge w:val="restart"/>
            <w:shd w:val="clear" w:color="auto" w:fill="auto"/>
          </w:tcPr>
          <w:p w14:paraId="4B8D57CE"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0.45</w:t>
            </w:r>
          </w:p>
        </w:tc>
      </w:tr>
      <w:tr w:rsidR="00B54D51" w:rsidRPr="00037AD4" w14:paraId="71AF642A" w14:textId="77777777" w:rsidTr="008F00F0">
        <w:tc>
          <w:tcPr>
            <w:cnfStyle w:val="001000000000" w:firstRow="0" w:lastRow="0" w:firstColumn="1" w:lastColumn="0" w:oddVBand="0" w:evenVBand="0" w:oddHBand="0" w:evenHBand="0" w:firstRowFirstColumn="0" w:firstRowLastColumn="0" w:lastRowFirstColumn="0" w:lastRowLastColumn="0"/>
            <w:tcW w:w="1937" w:type="dxa"/>
            <w:shd w:val="clear" w:color="auto" w:fill="auto"/>
          </w:tcPr>
          <w:p w14:paraId="0939E04B"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CDR </w:t>
            </w:r>
          </w:p>
        </w:tc>
        <w:tc>
          <w:tcPr>
            <w:tcW w:w="1777" w:type="dxa"/>
            <w:shd w:val="clear" w:color="auto" w:fill="auto"/>
          </w:tcPr>
          <w:p w14:paraId="0C5E5958"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0.020</w:t>
            </w:r>
          </w:p>
        </w:tc>
        <w:tc>
          <w:tcPr>
            <w:tcW w:w="1815" w:type="dxa"/>
            <w:shd w:val="clear" w:color="auto" w:fill="auto"/>
          </w:tcPr>
          <w:p w14:paraId="1A962C02"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0.016</w:t>
            </w:r>
          </w:p>
        </w:tc>
        <w:tc>
          <w:tcPr>
            <w:tcW w:w="1753" w:type="dxa"/>
            <w:shd w:val="clear" w:color="auto" w:fill="auto"/>
          </w:tcPr>
          <w:p w14:paraId="0E23148F"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1.21</w:t>
            </w:r>
          </w:p>
        </w:tc>
        <w:tc>
          <w:tcPr>
            <w:tcW w:w="1734" w:type="dxa"/>
            <w:vMerge/>
            <w:shd w:val="clear" w:color="auto" w:fill="auto"/>
          </w:tcPr>
          <w:p w14:paraId="72D85E87"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r>
      <w:tr w:rsidR="00B54D51" w:rsidRPr="00037AD4" w14:paraId="5994AACE" w14:textId="77777777" w:rsidTr="008F00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7" w:type="dxa"/>
            <w:shd w:val="clear" w:color="auto" w:fill="auto"/>
          </w:tcPr>
          <w:p w14:paraId="70A29AA9"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CSDD </w:t>
            </w:r>
          </w:p>
        </w:tc>
        <w:tc>
          <w:tcPr>
            <w:tcW w:w="1777" w:type="dxa"/>
            <w:shd w:val="clear" w:color="auto" w:fill="auto"/>
          </w:tcPr>
          <w:p w14:paraId="29144BE4"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-0.016*</w:t>
            </w:r>
          </w:p>
        </w:tc>
        <w:tc>
          <w:tcPr>
            <w:tcW w:w="1815" w:type="dxa"/>
            <w:shd w:val="clear" w:color="auto" w:fill="auto"/>
          </w:tcPr>
          <w:p w14:paraId="0AB04578"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0.001</w:t>
            </w:r>
          </w:p>
        </w:tc>
        <w:tc>
          <w:tcPr>
            <w:tcW w:w="1753" w:type="dxa"/>
            <w:shd w:val="clear" w:color="auto" w:fill="auto"/>
          </w:tcPr>
          <w:p w14:paraId="2765C5B1"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-11.74</w:t>
            </w:r>
          </w:p>
        </w:tc>
        <w:tc>
          <w:tcPr>
            <w:tcW w:w="1734" w:type="dxa"/>
            <w:vMerge/>
            <w:shd w:val="clear" w:color="auto" w:fill="auto"/>
          </w:tcPr>
          <w:p w14:paraId="065DDA84"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r>
      <w:tr w:rsidR="00B54D51" w:rsidRPr="00037AD4" w14:paraId="26911295" w14:textId="77777777" w:rsidTr="008F00F0">
        <w:tc>
          <w:tcPr>
            <w:cnfStyle w:val="001000000000" w:firstRow="0" w:lastRow="0" w:firstColumn="1" w:lastColumn="0" w:oddVBand="0" w:evenVBand="0" w:oddHBand="0" w:evenHBand="0" w:firstRowFirstColumn="0" w:firstRowLastColumn="0" w:lastRowFirstColumn="0" w:lastRowLastColumn="0"/>
            <w:tcW w:w="1937" w:type="dxa"/>
            <w:shd w:val="clear" w:color="auto" w:fill="auto"/>
          </w:tcPr>
          <w:p w14:paraId="37698B29"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Carer’s own EQ-5D utility</w:t>
            </w:r>
          </w:p>
        </w:tc>
        <w:tc>
          <w:tcPr>
            <w:tcW w:w="1777" w:type="dxa"/>
            <w:shd w:val="clear" w:color="auto" w:fill="auto"/>
          </w:tcPr>
          <w:p w14:paraId="670C7411"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0.101*</w:t>
            </w:r>
          </w:p>
        </w:tc>
        <w:tc>
          <w:tcPr>
            <w:tcW w:w="1815" w:type="dxa"/>
            <w:shd w:val="clear" w:color="auto" w:fill="auto"/>
          </w:tcPr>
          <w:p w14:paraId="63CD97A6"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0.030</w:t>
            </w:r>
          </w:p>
        </w:tc>
        <w:tc>
          <w:tcPr>
            <w:tcW w:w="1753" w:type="dxa"/>
            <w:shd w:val="clear" w:color="auto" w:fill="auto"/>
          </w:tcPr>
          <w:p w14:paraId="613FB596"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3.41</w:t>
            </w:r>
          </w:p>
        </w:tc>
        <w:tc>
          <w:tcPr>
            <w:tcW w:w="1734" w:type="dxa"/>
            <w:vMerge/>
            <w:shd w:val="clear" w:color="auto" w:fill="auto"/>
          </w:tcPr>
          <w:p w14:paraId="6426261D"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r>
      <w:tr w:rsidR="00B54D51" w:rsidRPr="00037AD4" w14:paraId="3522E132" w14:textId="77777777" w:rsidTr="008F00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7" w:type="dxa"/>
            <w:shd w:val="clear" w:color="auto" w:fill="auto"/>
          </w:tcPr>
          <w:p w14:paraId="2682B51F"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Age (RP)</w:t>
            </w:r>
          </w:p>
        </w:tc>
        <w:tc>
          <w:tcPr>
            <w:tcW w:w="1777" w:type="dxa"/>
            <w:shd w:val="clear" w:color="auto" w:fill="auto"/>
          </w:tcPr>
          <w:p w14:paraId="7F6B3BAD"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0.001*</w:t>
            </w:r>
          </w:p>
        </w:tc>
        <w:tc>
          <w:tcPr>
            <w:tcW w:w="1815" w:type="dxa"/>
            <w:shd w:val="clear" w:color="auto" w:fill="auto"/>
          </w:tcPr>
          <w:p w14:paraId="4FDD5EBF"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0.001</w:t>
            </w:r>
          </w:p>
        </w:tc>
        <w:tc>
          <w:tcPr>
            <w:tcW w:w="1753" w:type="dxa"/>
            <w:shd w:val="clear" w:color="auto" w:fill="auto"/>
          </w:tcPr>
          <w:p w14:paraId="7A88ABCF"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2.37</w:t>
            </w:r>
          </w:p>
        </w:tc>
        <w:tc>
          <w:tcPr>
            <w:tcW w:w="1734" w:type="dxa"/>
            <w:vMerge/>
            <w:shd w:val="clear" w:color="auto" w:fill="auto"/>
          </w:tcPr>
          <w:p w14:paraId="68343003"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r>
      <w:tr w:rsidR="00B54D51" w:rsidRPr="00037AD4" w14:paraId="189A263F" w14:textId="77777777" w:rsidTr="008F00F0">
        <w:tc>
          <w:tcPr>
            <w:cnfStyle w:val="001000000000" w:firstRow="0" w:lastRow="0" w:firstColumn="1" w:lastColumn="0" w:oddVBand="0" w:evenVBand="0" w:oddHBand="0" w:evenHBand="0" w:firstRowFirstColumn="0" w:firstRowLastColumn="0" w:lastRowFirstColumn="0" w:lastRowLastColumn="0"/>
            <w:tcW w:w="1937" w:type="dxa"/>
            <w:shd w:val="clear" w:color="auto" w:fill="auto"/>
          </w:tcPr>
          <w:p w14:paraId="1626098B"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Sex of RP (male) </w:t>
            </w:r>
          </w:p>
        </w:tc>
        <w:tc>
          <w:tcPr>
            <w:tcW w:w="1777" w:type="dxa"/>
            <w:shd w:val="clear" w:color="auto" w:fill="auto"/>
          </w:tcPr>
          <w:p w14:paraId="4C48CCD2"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-0.042*</w:t>
            </w:r>
          </w:p>
        </w:tc>
        <w:tc>
          <w:tcPr>
            <w:tcW w:w="1815" w:type="dxa"/>
            <w:shd w:val="clear" w:color="auto" w:fill="auto"/>
          </w:tcPr>
          <w:p w14:paraId="1FE67E64"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0.566</w:t>
            </w:r>
          </w:p>
        </w:tc>
        <w:tc>
          <w:tcPr>
            <w:tcW w:w="1753" w:type="dxa"/>
            <w:shd w:val="clear" w:color="auto" w:fill="auto"/>
          </w:tcPr>
          <w:p w14:paraId="688B7D98"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13.43</w:t>
            </w:r>
          </w:p>
        </w:tc>
        <w:tc>
          <w:tcPr>
            <w:tcW w:w="1734" w:type="dxa"/>
            <w:vMerge/>
            <w:shd w:val="clear" w:color="auto" w:fill="auto"/>
          </w:tcPr>
          <w:p w14:paraId="4A5E240F"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r>
      <w:tr w:rsidR="00B54D51" w:rsidRPr="00037AD4" w14:paraId="38ACDC41" w14:textId="77777777" w:rsidTr="008F00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5"/>
            <w:shd w:val="clear" w:color="auto" w:fill="auto"/>
          </w:tcPr>
          <w:p w14:paraId="6CBA0DB5" w14:textId="77777777" w:rsidR="00B54D51" w:rsidRPr="00037AD4" w:rsidRDefault="00B54D51" w:rsidP="008F00F0">
            <w:pPr>
              <w:rPr>
                <w:rFonts w:asciiTheme="minorHAnsi" w:hAnsiTheme="minorHAnsi" w:cstheme="minorHAnsi"/>
                <w:b w:val="0"/>
                <w:bCs w:val="0"/>
              </w:rPr>
            </w:pPr>
            <w:r w:rsidRPr="00037AD4">
              <w:rPr>
                <w:rFonts w:asciiTheme="minorHAnsi" w:hAnsiTheme="minorHAnsi" w:cstheme="minorHAnsi"/>
                <w:b w:val="0"/>
                <w:bCs w:val="0"/>
                <w:sz w:val="20"/>
                <w:szCs w:val="20"/>
              </w:rPr>
              <w:t xml:space="preserve">*p&lt;0.05; BADLS, Bristol activities of daily living scale; CDR, clinical dementia rating scale; CSDD, Cornell scale for depression in dementia; RP, informal/relative proxy; uses EQ-5D-3L </w:t>
            </w:r>
          </w:p>
        </w:tc>
      </w:tr>
    </w:tbl>
    <w:p w14:paraId="5CEC92E6" w14:textId="64CFC8AE" w:rsidR="00806411" w:rsidRDefault="00806411" w:rsidP="002147C5">
      <w:pPr>
        <w:rPr>
          <w:rFonts w:asciiTheme="minorHAnsi" w:hAnsiTheme="minorHAnsi" w:cstheme="minorHAnsi"/>
          <w:b/>
          <w:bCs/>
          <w:u w:val="single"/>
        </w:rPr>
      </w:pPr>
    </w:p>
    <w:p w14:paraId="066BF70B" w14:textId="77777777" w:rsidR="00673F38" w:rsidRPr="00037AD4" w:rsidRDefault="00673F38" w:rsidP="002147C5">
      <w:pPr>
        <w:rPr>
          <w:rFonts w:asciiTheme="minorHAnsi" w:hAnsiTheme="minorHAnsi" w:cstheme="minorHAnsi"/>
          <w:b/>
          <w:bCs/>
          <w:u w:val="single"/>
        </w:rPr>
      </w:pPr>
    </w:p>
    <w:p w14:paraId="0D9FD94D" w14:textId="77777777" w:rsidR="00B54D51" w:rsidRPr="00037AD4" w:rsidRDefault="00B54D51" w:rsidP="002147C5">
      <w:pPr>
        <w:rPr>
          <w:rFonts w:asciiTheme="minorHAnsi" w:hAnsiTheme="minorHAnsi" w:cstheme="minorHAnsi"/>
          <w:b/>
          <w:bCs/>
          <w:i/>
          <w:iCs/>
        </w:rPr>
      </w:pPr>
      <w:r w:rsidRPr="00037AD4">
        <w:rPr>
          <w:rFonts w:asciiTheme="minorHAnsi" w:hAnsiTheme="minorHAnsi" w:cstheme="minorHAnsi"/>
          <w:b/>
          <w:bCs/>
          <w:i/>
          <w:iCs/>
        </w:rPr>
        <w:t>Table 27b, Predictors of EQ-5D index score regression output, ACTIFCARE</w:t>
      </w:r>
    </w:p>
    <w:p w14:paraId="48601333" w14:textId="77777777" w:rsidR="00B54D51" w:rsidRPr="00037AD4" w:rsidRDefault="00B54D51" w:rsidP="002147C5">
      <w:pPr>
        <w:rPr>
          <w:rFonts w:asciiTheme="minorHAnsi" w:hAnsiTheme="minorHAnsi" w:cstheme="minorHAnsi"/>
          <w:b/>
          <w:bCs/>
          <w:u w:val="single"/>
        </w:rPr>
      </w:pPr>
    </w:p>
    <w:tbl>
      <w:tblPr>
        <w:tblStyle w:val="PlainTable1"/>
        <w:tblW w:w="0" w:type="auto"/>
        <w:tblLook w:val="04A0" w:firstRow="1" w:lastRow="0" w:firstColumn="1" w:lastColumn="0" w:noHBand="0" w:noVBand="1"/>
      </w:tblPr>
      <w:tblGrid>
        <w:gridCol w:w="1937"/>
        <w:gridCol w:w="1777"/>
        <w:gridCol w:w="1815"/>
        <w:gridCol w:w="1753"/>
        <w:gridCol w:w="1734"/>
      </w:tblGrid>
      <w:tr w:rsidR="00B54D51" w:rsidRPr="00037AD4" w14:paraId="54C0C705" w14:textId="77777777" w:rsidTr="008F00F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7" w:type="dxa"/>
            <w:shd w:val="clear" w:color="auto" w:fill="auto"/>
          </w:tcPr>
          <w:p w14:paraId="28CD5628" w14:textId="77777777" w:rsidR="00B54D51" w:rsidRPr="00037AD4" w:rsidRDefault="00B54D51" w:rsidP="008F00F0">
            <w:pPr>
              <w:rPr>
                <w:rFonts w:asciiTheme="minorHAnsi" w:hAnsiTheme="minorHAnsi" w:cstheme="minorHAnsi"/>
                <w:b w:val="0"/>
                <w:bCs w:val="0"/>
              </w:rPr>
            </w:pPr>
            <w:r w:rsidRPr="00037AD4">
              <w:rPr>
                <w:rFonts w:asciiTheme="minorHAnsi" w:hAnsiTheme="minorHAnsi" w:cstheme="minorHAnsi"/>
                <w:b w:val="0"/>
                <w:bCs w:val="0"/>
              </w:rPr>
              <w:t>Measure</w:t>
            </w:r>
          </w:p>
        </w:tc>
        <w:tc>
          <w:tcPr>
            <w:tcW w:w="1777" w:type="dxa"/>
            <w:shd w:val="clear" w:color="auto" w:fill="auto"/>
          </w:tcPr>
          <w:p w14:paraId="686F1312" w14:textId="77777777" w:rsidR="00B54D51" w:rsidRPr="00037AD4" w:rsidRDefault="00B54D51" w:rsidP="008F00F0">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i/>
                <w:iCs/>
              </w:rPr>
            </w:pPr>
            <w:r w:rsidRPr="00037AD4">
              <w:rPr>
                <w:rFonts w:asciiTheme="minorHAnsi" w:hAnsiTheme="minorHAnsi" w:cstheme="minorHAnsi"/>
                <w:b w:val="0"/>
                <w:bCs w:val="0"/>
              </w:rPr>
              <w:t>Coefficient</w:t>
            </w:r>
          </w:p>
        </w:tc>
        <w:tc>
          <w:tcPr>
            <w:tcW w:w="1815" w:type="dxa"/>
            <w:shd w:val="clear" w:color="auto" w:fill="auto"/>
          </w:tcPr>
          <w:p w14:paraId="083B91E1" w14:textId="77777777" w:rsidR="00B54D51" w:rsidRPr="00037AD4" w:rsidRDefault="00B54D51" w:rsidP="008F00F0">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rPr>
            </w:pPr>
            <w:r w:rsidRPr="00037AD4">
              <w:rPr>
                <w:rFonts w:asciiTheme="minorHAnsi" w:hAnsiTheme="minorHAnsi" w:cstheme="minorHAnsi"/>
                <w:b w:val="0"/>
                <w:bCs w:val="0"/>
              </w:rPr>
              <w:t>Std. err.</w:t>
            </w:r>
          </w:p>
        </w:tc>
        <w:tc>
          <w:tcPr>
            <w:tcW w:w="1753" w:type="dxa"/>
            <w:shd w:val="clear" w:color="auto" w:fill="auto"/>
          </w:tcPr>
          <w:p w14:paraId="70580D46" w14:textId="77777777" w:rsidR="00B54D51" w:rsidRPr="00037AD4" w:rsidRDefault="00B54D51" w:rsidP="008F00F0">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i/>
                <w:iCs/>
              </w:rPr>
            </w:pPr>
            <w:r w:rsidRPr="00037AD4">
              <w:rPr>
                <w:rFonts w:asciiTheme="minorHAnsi" w:hAnsiTheme="minorHAnsi" w:cstheme="minorHAnsi"/>
                <w:b w:val="0"/>
                <w:bCs w:val="0"/>
                <w:i/>
                <w:iCs/>
              </w:rPr>
              <w:t>t</w:t>
            </w:r>
          </w:p>
        </w:tc>
        <w:tc>
          <w:tcPr>
            <w:tcW w:w="1734" w:type="dxa"/>
            <w:shd w:val="clear" w:color="auto" w:fill="auto"/>
          </w:tcPr>
          <w:p w14:paraId="7D021A88" w14:textId="77777777" w:rsidR="00B54D51" w:rsidRPr="00037AD4" w:rsidRDefault="00B54D51" w:rsidP="008F00F0">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i/>
                <w:iCs/>
              </w:rPr>
            </w:pPr>
            <w:r w:rsidRPr="00037AD4">
              <w:rPr>
                <w:rFonts w:asciiTheme="minorHAnsi" w:hAnsiTheme="minorHAnsi" w:cstheme="minorHAnsi"/>
                <w:b w:val="0"/>
                <w:bCs w:val="0"/>
                <w:i/>
                <w:iCs/>
              </w:rPr>
              <w:t>R</w:t>
            </w:r>
            <w:r w:rsidRPr="00037AD4">
              <w:rPr>
                <w:rFonts w:asciiTheme="minorHAnsi" w:hAnsiTheme="minorHAnsi" w:cstheme="minorHAnsi"/>
                <w:b w:val="0"/>
                <w:bCs w:val="0"/>
                <w:i/>
                <w:iCs/>
                <w:vertAlign w:val="superscript"/>
              </w:rPr>
              <w:t>2</w:t>
            </w:r>
          </w:p>
        </w:tc>
      </w:tr>
      <w:tr w:rsidR="00B54D51" w:rsidRPr="00037AD4" w14:paraId="4CA64099" w14:textId="77777777" w:rsidTr="008F00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5"/>
            <w:shd w:val="clear" w:color="auto" w:fill="E7E6E6" w:themeFill="background2"/>
          </w:tcPr>
          <w:p w14:paraId="029FEF26" w14:textId="77777777" w:rsidR="00B54D51" w:rsidRPr="00037AD4" w:rsidRDefault="00B54D51" w:rsidP="008F00F0">
            <w:pPr>
              <w:jc w:val="center"/>
              <w:rPr>
                <w:rFonts w:asciiTheme="minorHAnsi" w:hAnsiTheme="minorHAnsi" w:cstheme="minorHAnsi"/>
              </w:rPr>
            </w:pPr>
            <w:r w:rsidRPr="00037AD4">
              <w:rPr>
                <w:rFonts w:asciiTheme="minorHAnsi" w:hAnsiTheme="minorHAnsi" w:cstheme="minorHAnsi"/>
              </w:rPr>
              <w:t>PwD, n=958</w:t>
            </w:r>
          </w:p>
        </w:tc>
      </w:tr>
      <w:tr w:rsidR="00B54D51" w:rsidRPr="00037AD4" w14:paraId="009F727D" w14:textId="77777777" w:rsidTr="008F00F0">
        <w:tc>
          <w:tcPr>
            <w:cnfStyle w:val="001000000000" w:firstRow="0" w:lastRow="0" w:firstColumn="1" w:lastColumn="0" w:oddVBand="0" w:evenVBand="0" w:oddHBand="0" w:evenHBand="0" w:firstRowFirstColumn="0" w:firstRowLastColumn="0" w:lastRowFirstColumn="0" w:lastRowLastColumn="0"/>
            <w:tcW w:w="1937" w:type="dxa"/>
            <w:shd w:val="clear" w:color="auto" w:fill="auto"/>
          </w:tcPr>
          <w:p w14:paraId="2109057A"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IADL</w:t>
            </w:r>
          </w:p>
        </w:tc>
        <w:tc>
          <w:tcPr>
            <w:tcW w:w="1777" w:type="dxa"/>
            <w:shd w:val="clear" w:color="auto" w:fill="auto"/>
          </w:tcPr>
          <w:p w14:paraId="7223E645"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0.007</w:t>
            </w:r>
          </w:p>
        </w:tc>
        <w:tc>
          <w:tcPr>
            <w:tcW w:w="1815" w:type="dxa"/>
            <w:shd w:val="clear" w:color="auto" w:fill="auto"/>
          </w:tcPr>
          <w:p w14:paraId="6645D3CF"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0.004</w:t>
            </w:r>
          </w:p>
        </w:tc>
        <w:tc>
          <w:tcPr>
            <w:tcW w:w="1753" w:type="dxa"/>
            <w:shd w:val="clear" w:color="auto" w:fill="auto"/>
          </w:tcPr>
          <w:p w14:paraId="1FDB9806"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1.65</w:t>
            </w:r>
          </w:p>
        </w:tc>
        <w:tc>
          <w:tcPr>
            <w:tcW w:w="1734" w:type="dxa"/>
            <w:vMerge w:val="restart"/>
            <w:shd w:val="clear" w:color="auto" w:fill="auto"/>
          </w:tcPr>
          <w:p w14:paraId="4663E044"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0.11</w:t>
            </w:r>
          </w:p>
        </w:tc>
      </w:tr>
      <w:tr w:rsidR="00B54D51" w:rsidRPr="00037AD4" w14:paraId="55F87F9F" w14:textId="77777777" w:rsidTr="008F00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7" w:type="dxa"/>
            <w:shd w:val="clear" w:color="auto" w:fill="auto"/>
          </w:tcPr>
          <w:p w14:paraId="7FF7DA75"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CDR</w:t>
            </w:r>
          </w:p>
        </w:tc>
        <w:tc>
          <w:tcPr>
            <w:tcW w:w="1777" w:type="dxa"/>
            <w:shd w:val="clear" w:color="auto" w:fill="auto"/>
          </w:tcPr>
          <w:p w14:paraId="6284AB6C"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0.008</w:t>
            </w:r>
          </w:p>
        </w:tc>
        <w:tc>
          <w:tcPr>
            <w:tcW w:w="1815" w:type="dxa"/>
            <w:shd w:val="clear" w:color="auto" w:fill="auto"/>
          </w:tcPr>
          <w:p w14:paraId="16B1296D"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0.017</w:t>
            </w:r>
          </w:p>
        </w:tc>
        <w:tc>
          <w:tcPr>
            <w:tcW w:w="1753" w:type="dxa"/>
            <w:shd w:val="clear" w:color="auto" w:fill="auto"/>
          </w:tcPr>
          <w:p w14:paraId="258EF040"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0.48</w:t>
            </w:r>
          </w:p>
        </w:tc>
        <w:tc>
          <w:tcPr>
            <w:tcW w:w="1734" w:type="dxa"/>
            <w:vMerge/>
            <w:shd w:val="clear" w:color="auto" w:fill="auto"/>
          </w:tcPr>
          <w:p w14:paraId="77A37CD2"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r>
      <w:tr w:rsidR="00B54D51" w:rsidRPr="00037AD4" w14:paraId="0ABC1454" w14:textId="77777777" w:rsidTr="008F00F0">
        <w:tc>
          <w:tcPr>
            <w:cnfStyle w:val="001000000000" w:firstRow="0" w:lastRow="0" w:firstColumn="1" w:lastColumn="0" w:oddVBand="0" w:evenVBand="0" w:oddHBand="0" w:evenHBand="0" w:firstRowFirstColumn="0" w:firstRowLastColumn="0" w:lastRowFirstColumn="0" w:lastRowLastColumn="0"/>
            <w:tcW w:w="1937" w:type="dxa"/>
            <w:shd w:val="clear" w:color="auto" w:fill="auto"/>
          </w:tcPr>
          <w:p w14:paraId="3944D001"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PSMS</w:t>
            </w:r>
          </w:p>
        </w:tc>
        <w:tc>
          <w:tcPr>
            <w:tcW w:w="1777" w:type="dxa"/>
            <w:shd w:val="clear" w:color="auto" w:fill="auto"/>
          </w:tcPr>
          <w:p w14:paraId="1FEC76A7"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0.030*</w:t>
            </w:r>
          </w:p>
        </w:tc>
        <w:tc>
          <w:tcPr>
            <w:tcW w:w="1815" w:type="dxa"/>
            <w:shd w:val="clear" w:color="auto" w:fill="auto"/>
          </w:tcPr>
          <w:p w14:paraId="4D90B8A9"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0.005</w:t>
            </w:r>
          </w:p>
        </w:tc>
        <w:tc>
          <w:tcPr>
            <w:tcW w:w="1753" w:type="dxa"/>
            <w:shd w:val="clear" w:color="auto" w:fill="auto"/>
          </w:tcPr>
          <w:p w14:paraId="44091CFC"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6.61</w:t>
            </w:r>
          </w:p>
        </w:tc>
        <w:tc>
          <w:tcPr>
            <w:tcW w:w="1734" w:type="dxa"/>
            <w:vMerge/>
            <w:shd w:val="clear" w:color="auto" w:fill="auto"/>
          </w:tcPr>
          <w:p w14:paraId="2CA9D779"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r>
      <w:tr w:rsidR="00B54D51" w:rsidRPr="00037AD4" w14:paraId="150BFCD1" w14:textId="77777777" w:rsidTr="008F00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7" w:type="dxa"/>
            <w:shd w:val="clear" w:color="auto" w:fill="auto"/>
          </w:tcPr>
          <w:p w14:paraId="6C64860C"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NPI</w:t>
            </w:r>
          </w:p>
        </w:tc>
        <w:tc>
          <w:tcPr>
            <w:tcW w:w="1777" w:type="dxa"/>
            <w:shd w:val="clear" w:color="auto" w:fill="auto"/>
          </w:tcPr>
          <w:p w14:paraId="677768A7"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0.000</w:t>
            </w:r>
          </w:p>
        </w:tc>
        <w:tc>
          <w:tcPr>
            <w:tcW w:w="1815" w:type="dxa"/>
            <w:shd w:val="clear" w:color="auto" w:fill="auto"/>
          </w:tcPr>
          <w:p w14:paraId="6AF6B6E4"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0.000</w:t>
            </w:r>
          </w:p>
        </w:tc>
        <w:tc>
          <w:tcPr>
            <w:tcW w:w="1753" w:type="dxa"/>
            <w:shd w:val="clear" w:color="auto" w:fill="auto"/>
          </w:tcPr>
          <w:p w14:paraId="15D33C12"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0.45</w:t>
            </w:r>
          </w:p>
        </w:tc>
        <w:tc>
          <w:tcPr>
            <w:tcW w:w="1734" w:type="dxa"/>
            <w:vMerge/>
            <w:shd w:val="clear" w:color="auto" w:fill="auto"/>
          </w:tcPr>
          <w:p w14:paraId="63B44019"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r>
      <w:tr w:rsidR="00B54D51" w:rsidRPr="00037AD4" w14:paraId="68AA8146" w14:textId="77777777" w:rsidTr="008F00F0">
        <w:tc>
          <w:tcPr>
            <w:cnfStyle w:val="001000000000" w:firstRow="0" w:lastRow="0" w:firstColumn="1" w:lastColumn="0" w:oddVBand="0" w:evenVBand="0" w:oddHBand="0" w:evenHBand="0" w:firstRowFirstColumn="0" w:firstRowLastColumn="0" w:lastRowFirstColumn="0" w:lastRowLastColumn="0"/>
            <w:tcW w:w="1937" w:type="dxa"/>
            <w:shd w:val="clear" w:color="auto" w:fill="auto"/>
          </w:tcPr>
          <w:p w14:paraId="07EE8976"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MMSE</w:t>
            </w:r>
          </w:p>
        </w:tc>
        <w:tc>
          <w:tcPr>
            <w:tcW w:w="1777" w:type="dxa"/>
            <w:shd w:val="clear" w:color="auto" w:fill="auto"/>
          </w:tcPr>
          <w:p w14:paraId="651C3BCC"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-0.005*</w:t>
            </w:r>
          </w:p>
        </w:tc>
        <w:tc>
          <w:tcPr>
            <w:tcW w:w="1815" w:type="dxa"/>
            <w:shd w:val="clear" w:color="auto" w:fill="auto"/>
          </w:tcPr>
          <w:p w14:paraId="072EE957"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0.001</w:t>
            </w:r>
          </w:p>
        </w:tc>
        <w:tc>
          <w:tcPr>
            <w:tcW w:w="1753" w:type="dxa"/>
            <w:shd w:val="clear" w:color="auto" w:fill="auto"/>
          </w:tcPr>
          <w:p w14:paraId="2DBA551F"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-3.44</w:t>
            </w:r>
          </w:p>
        </w:tc>
        <w:tc>
          <w:tcPr>
            <w:tcW w:w="1734" w:type="dxa"/>
            <w:vMerge/>
            <w:shd w:val="clear" w:color="auto" w:fill="auto"/>
          </w:tcPr>
          <w:p w14:paraId="606047AC"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r>
      <w:tr w:rsidR="00B54D51" w:rsidRPr="00037AD4" w14:paraId="27228104" w14:textId="77777777" w:rsidTr="008F00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7" w:type="dxa"/>
            <w:shd w:val="clear" w:color="auto" w:fill="auto"/>
          </w:tcPr>
          <w:p w14:paraId="702E5AEE"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Age (PwD)</w:t>
            </w:r>
          </w:p>
        </w:tc>
        <w:tc>
          <w:tcPr>
            <w:tcW w:w="1777" w:type="dxa"/>
            <w:shd w:val="clear" w:color="auto" w:fill="auto"/>
          </w:tcPr>
          <w:p w14:paraId="3D634A02"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-0.003*</w:t>
            </w:r>
          </w:p>
        </w:tc>
        <w:tc>
          <w:tcPr>
            <w:tcW w:w="1815" w:type="dxa"/>
            <w:shd w:val="clear" w:color="auto" w:fill="auto"/>
          </w:tcPr>
          <w:p w14:paraId="251AF7C9"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0.001</w:t>
            </w:r>
          </w:p>
        </w:tc>
        <w:tc>
          <w:tcPr>
            <w:tcW w:w="1753" w:type="dxa"/>
            <w:shd w:val="clear" w:color="auto" w:fill="auto"/>
          </w:tcPr>
          <w:p w14:paraId="16A09152"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-2.98</w:t>
            </w:r>
          </w:p>
        </w:tc>
        <w:tc>
          <w:tcPr>
            <w:tcW w:w="1734" w:type="dxa"/>
            <w:vMerge/>
            <w:shd w:val="clear" w:color="auto" w:fill="auto"/>
          </w:tcPr>
          <w:p w14:paraId="28F3AC37"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r>
      <w:tr w:rsidR="00B54D51" w:rsidRPr="00037AD4" w14:paraId="13A85165" w14:textId="77777777" w:rsidTr="008F00F0">
        <w:tc>
          <w:tcPr>
            <w:cnfStyle w:val="001000000000" w:firstRow="0" w:lastRow="0" w:firstColumn="1" w:lastColumn="0" w:oddVBand="0" w:evenVBand="0" w:oddHBand="0" w:evenHBand="0" w:firstRowFirstColumn="0" w:firstRowLastColumn="0" w:lastRowFirstColumn="0" w:lastRowLastColumn="0"/>
            <w:tcW w:w="1937" w:type="dxa"/>
            <w:shd w:val="clear" w:color="auto" w:fill="auto"/>
          </w:tcPr>
          <w:p w14:paraId="71BC316B"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Sex of PwD (female)</w:t>
            </w:r>
          </w:p>
        </w:tc>
        <w:tc>
          <w:tcPr>
            <w:tcW w:w="1777" w:type="dxa"/>
            <w:shd w:val="clear" w:color="auto" w:fill="auto"/>
          </w:tcPr>
          <w:p w14:paraId="5BC0D433"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-0.020</w:t>
            </w:r>
          </w:p>
        </w:tc>
        <w:tc>
          <w:tcPr>
            <w:tcW w:w="1815" w:type="dxa"/>
            <w:shd w:val="clear" w:color="auto" w:fill="auto"/>
          </w:tcPr>
          <w:p w14:paraId="0F998BF6"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0.014</w:t>
            </w:r>
          </w:p>
        </w:tc>
        <w:tc>
          <w:tcPr>
            <w:tcW w:w="1753" w:type="dxa"/>
            <w:shd w:val="clear" w:color="auto" w:fill="auto"/>
          </w:tcPr>
          <w:p w14:paraId="109B1145"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-1.39</w:t>
            </w:r>
          </w:p>
        </w:tc>
        <w:tc>
          <w:tcPr>
            <w:tcW w:w="1734" w:type="dxa"/>
            <w:vMerge/>
            <w:shd w:val="clear" w:color="auto" w:fill="auto"/>
          </w:tcPr>
          <w:p w14:paraId="27F240AF"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r>
      <w:tr w:rsidR="00806411" w:rsidRPr="00037AD4" w14:paraId="10C9DD5E" w14:textId="77777777" w:rsidTr="008F00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7" w:type="dxa"/>
            <w:shd w:val="clear" w:color="auto" w:fill="auto"/>
          </w:tcPr>
          <w:p w14:paraId="663C8459" w14:textId="49A25F98" w:rsidR="00806411" w:rsidRPr="00037AD4" w:rsidRDefault="00806411" w:rsidP="00806411">
            <w:pPr>
              <w:rPr>
                <w:rFonts w:asciiTheme="minorHAnsi" w:hAnsiTheme="minorHAnsi" w:cstheme="minorHAnsi"/>
              </w:rPr>
            </w:pPr>
            <w:r w:rsidRPr="00037AD4">
              <w:rPr>
                <w:rFonts w:asciiTheme="minorHAnsi" w:hAnsiTheme="minorHAnsi" w:cstheme="minorHAnsi"/>
                <w:b w:val="0"/>
                <w:bCs w:val="0"/>
              </w:rPr>
              <w:lastRenderedPageBreak/>
              <w:t>Measure</w:t>
            </w:r>
          </w:p>
        </w:tc>
        <w:tc>
          <w:tcPr>
            <w:tcW w:w="1777" w:type="dxa"/>
            <w:shd w:val="clear" w:color="auto" w:fill="auto"/>
          </w:tcPr>
          <w:p w14:paraId="3AAE4058" w14:textId="753A1AC4" w:rsidR="00806411" w:rsidRPr="00037AD4" w:rsidRDefault="00806411" w:rsidP="00806411">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rPr>
              <w:t>Coefficient</w:t>
            </w:r>
          </w:p>
        </w:tc>
        <w:tc>
          <w:tcPr>
            <w:tcW w:w="1815" w:type="dxa"/>
            <w:shd w:val="clear" w:color="auto" w:fill="auto"/>
          </w:tcPr>
          <w:p w14:paraId="49E74D08" w14:textId="5121B528" w:rsidR="00806411" w:rsidRPr="00037AD4" w:rsidRDefault="00806411" w:rsidP="00806411">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rPr>
              <w:t>Std. err.</w:t>
            </w:r>
          </w:p>
        </w:tc>
        <w:tc>
          <w:tcPr>
            <w:tcW w:w="1753" w:type="dxa"/>
            <w:shd w:val="clear" w:color="auto" w:fill="auto"/>
          </w:tcPr>
          <w:p w14:paraId="4982F64F" w14:textId="152FA55D" w:rsidR="00806411" w:rsidRPr="00037AD4" w:rsidRDefault="00806411" w:rsidP="00806411">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i/>
                <w:iCs/>
              </w:rPr>
              <w:t>t</w:t>
            </w:r>
          </w:p>
        </w:tc>
        <w:tc>
          <w:tcPr>
            <w:tcW w:w="1734" w:type="dxa"/>
            <w:shd w:val="clear" w:color="auto" w:fill="auto"/>
          </w:tcPr>
          <w:p w14:paraId="40301CB3" w14:textId="5FE78E7D" w:rsidR="00806411" w:rsidRPr="00037AD4" w:rsidRDefault="00806411" w:rsidP="00806411">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i/>
                <w:iCs/>
              </w:rPr>
              <w:t>R</w:t>
            </w:r>
            <w:r w:rsidRPr="00037AD4">
              <w:rPr>
                <w:rFonts w:asciiTheme="minorHAnsi" w:hAnsiTheme="minorHAnsi" w:cstheme="minorHAnsi"/>
                <w:i/>
                <w:iCs/>
                <w:vertAlign w:val="superscript"/>
              </w:rPr>
              <w:t>2</w:t>
            </w:r>
          </w:p>
        </w:tc>
      </w:tr>
      <w:tr w:rsidR="00806411" w:rsidRPr="00037AD4" w14:paraId="373C220E" w14:textId="77777777" w:rsidTr="008F00F0">
        <w:tc>
          <w:tcPr>
            <w:cnfStyle w:val="001000000000" w:firstRow="0" w:lastRow="0" w:firstColumn="1" w:lastColumn="0" w:oddVBand="0" w:evenVBand="0" w:oddHBand="0" w:evenHBand="0" w:firstRowFirstColumn="0" w:firstRowLastColumn="0" w:lastRowFirstColumn="0" w:lastRowLastColumn="0"/>
            <w:tcW w:w="9016" w:type="dxa"/>
            <w:gridSpan w:val="5"/>
            <w:shd w:val="clear" w:color="auto" w:fill="E7E6E6" w:themeFill="background2"/>
          </w:tcPr>
          <w:p w14:paraId="3B473EAC" w14:textId="77777777" w:rsidR="00806411" w:rsidRPr="00037AD4" w:rsidRDefault="00806411" w:rsidP="00806411">
            <w:pPr>
              <w:jc w:val="center"/>
              <w:rPr>
                <w:rFonts w:asciiTheme="minorHAnsi" w:hAnsiTheme="minorHAnsi" w:cstheme="minorHAnsi"/>
              </w:rPr>
            </w:pPr>
            <w:r w:rsidRPr="00037AD4">
              <w:rPr>
                <w:rFonts w:asciiTheme="minorHAnsi" w:hAnsiTheme="minorHAnsi" w:cstheme="minorHAnsi"/>
              </w:rPr>
              <w:t>Proxy, n=971</w:t>
            </w:r>
          </w:p>
        </w:tc>
      </w:tr>
      <w:tr w:rsidR="00806411" w:rsidRPr="00037AD4" w14:paraId="15566D8D" w14:textId="77777777" w:rsidTr="008F00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7" w:type="dxa"/>
            <w:shd w:val="clear" w:color="auto" w:fill="auto"/>
          </w:tcPr>
          <w:p w14:paraId="18F33733" w14:textId="77777777" w:rsidR="00806411" w:rsidRPr="00037AD4" w:rsidRDefault="00806411" w:rsidP="00806411">
            <w:pPr>
              <w:rPr>
                <w:rFonts w:asciiTheme="minorHAnsi" w:hAnsiTheme="minorHAnsi" w:cstheme="minorHAnsi"/>
              </w:rPr>
            </w:pPr>
            <w:r w:rsidRPr="00037AD4">
              <w:rPr>
                <w:rFonts w:asciiTheme="minorHAnsi" w:hAnsiTheme="minorHAnsi" w:cstheme="minorHAnsi"/>
              </w:rPr>
              <w:t>IADL</w:t>
            </w:r>
          </w:p>
        </w:tc>
        <w:tc>
          <w:tcPr>
            <w:tcW w:w="1777" w:type="dxa"/>
            <w:shd w:val="clear" w:color="auto" w:fill="auto"/>
          </w:tcPr>
          <w:p w14:paraId="45995746" w14:textId="77777777" w:rsidR="00806411" w:rsidRPr="00037AD4" w:rsidRDefault="00806411" w:rsidP="00806411">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0.024*</w:t>
            </w:r>
          </w:p>
        </w:tc>
        <w:tc>
          <w:tcPr>
            <w:tcW w:w="1815" w:type="dxa"/>
            <w:shd w:val="clear" w:color="auto" w:fill="auto"/>
          </w:tcPr>
          <w:p w14:paraId="26B5F7AA" w14:textId="77777777" w:rsidR="00806411" w:rsidRPr="00037AD4" w:rsidRDefault="00806411" w:rsidP="00806411">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0.004</w:t>
            </w:r>
          </w:p>
        </w:tc>
        <w:tc>
          <w:tcPr>
            <w:tcW w:w="1753" w:type="dxa"/>
            <w:shd w:val="clear" w:color="auto" w:fill="auto"/>
          </w:tcPr>
          <w:p w14:paraId="2DEB096E" w14:textId="77777777" w:rsidR="00806411" w:rsidRPr="00037AD4" w:rsidRDefault="00806411" w:rsidP="00806411">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6.00</w:t>
            </w:r>
          </w:p>
        </w:tc>
        <w:tc>
          <w:tcPr>
            <w:tcW w:w="1734" w:type="dxa"/>
            <w:vMerge w:val="restart"/>
            <w:shd w:val="clear" w:color="auto" w:fill="auto"/>
          </w:tcPr>
          <w:p w14:paraId="2CD57E2E" w14:textId="77777777" w:rsidR="00806411" w:rsidRPr="00037AD4" w:rsidRDefault="00806411" w:rsidP="00806411">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0.36</w:t>
            </w:r>
          </w:p>
        </w:tc>
      </w:tr>
      <w:tr w:rsidR="00806411" w:rsidRPr="00037AD4" w14:paraId="2C571AAC" w14:textId="77777777" w:rsidTr="008F00F0">
        <w:tc>
          <w:tcPr>
            <w:cnfStyle w:val="001000000000" w:firstRow="0" w:lastRow="0" w:firstColumn="1" w:lastColumn="0" w:oddVBand="0" w:evenVBand="0" w:oddHBand="0" w:evenHBand="0" w:firstRowFirstColumn="0" w:firstRowLastColumn="0" w:lastRowFirstColumn="0" w:lastRowLastColumn="0"/>
            <w:tcW w:w="1937" w:type="dxa"/>
            <w:shd w:val="clear" w:color="auto" w:fill="auto"/>
          </w:tcPr>
          <w:p w14:paraId="2FB56E99" w14:textId="77777777" w:rsidR="00806411" w:rsidRPr="00037AD4" w:rsidRDefault="00806411" w:rsidP="00806411">
            <w:pPr>
              <w:rPr>
                <w:rFonts w:asciiTheme="minorHAnsi" w:hAnsiTheme="minorHAnsi" w:cstheme="minorHAnsi"/>
              </w:rPr>
            </w:pPr>
            <w:r w:rsidRPr="00037AD4">
              <w:rPr>
                <w:rFonts w:asciiTheme="minorHAnsi" w:hAnsiTheme="minorHAnsi" w:cstheme="minorHAnsi"/>
              </w:rPr>
              <w:t xml:space="preserve">CDR </w:t>
            </w:r>
          </w:p>
        </w:tc>
        <w:tc>
          <w:tcPr>
            <w:tcW w:w="1777" w:type="dxa"/>
            <w:shd w:val="clear" w:color="auto" w:fill="auto"/>
          </w:tcPr>
          <w:p w14:paraId="5E60BC25" w14:textId="77777777" w:rsidR="00806411" w:rsidRPr="00037AD4" w:rsidRDefault="00806411" w:rsidP="0080641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-0.039*</w:t>
            </w:r>
          </w:p>
        </w:tc>
        <w:tc>
          <w:tcPr>
            <w:tcW w:w="1815" w:type="dxa"/>
            <w:shd w:val="clear" w:color="auto" w:fill="auto"/>
          </w:tcPr>
          <w:p w14:paraId="401ECC1B" w14:textId="77777777" w:rsidR="00806411" w:rsidRPr="00037AD4" w:rsidRDefault="00806411" w:rsidP="0080641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0.016</w:t>
            </w:r>
          </w:p>
        </w:tc>
        <w:tc>
          <w:tcPr>
            <w:tcW w:w="1753" w:type="dxa"/>
            <w:shd w:val="clear" w:color="auto" w:fill="auto"/>
          </w:tcPr>
          <w:p w14:paraId="7888FA87" w14:textId="77777777" w:rsidR="00806411" w:rsidRPr="00037AD4" w:rsidRDefault="00806411" w:rsidP="0080641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-2.44</w:t>
            </w:r>
          </w:p>
        </w:tc>
        <w:tc>
          <w:tcPr>
            <w:tcW w:w="1734" w:type="dxa"/>
            <w:vMerge/>
            <w:shd w:val="clear" w:color="auto" w:fill="auto"/>
          </w:tcPr>
          <w:p w14:paraId="39FFFB43" w14:textId="77777777" w:rsidR="00806411" w:rsidRPr="00037AD4" w:rsidRDefault="00806411" w:rsidP="0080641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r>
      <w:tr w:rsidR="00806411" w:rsidRPr="00037AD4" w14:paraId="72ED370D" w14:textId="77777777" w:rsidTr="008F00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7" w:type="dxa"/>
            <w:shd w:val="clear" w:color="auto" w:fill="auto"/>
          </w:tcPr>
          <w:p w14:paraId="24A71074" w14:textId="77777777" w:rsidR="00806411" w:rsidRPr="00037AD4" w:rsidRDefault="00806411" w:rsidP="00806411">
            <w:pPr>
              <w:rPr>
                <w:rFonts w:asciiTheme="minorHAnsi" w:hAnsiTheme="minorHAnsi" w:cstheme="minorHAnsi"/>
              </w:rPr>
            </w:pPr>
            <w:r w:rsidRPr="00037AD4">
              <w:rPr>
                <w:rFonts w:asciiTheme="minorHAnsi" w:hAnsiTheme="minorHAnsi" w:cstheme="minorHAnsi"/>
              </w:rPr>
              <w:t xml:space="preserve">PSMS </w:t>
            </w:r>
          </w:p>
        </w:tc>
        <w:tc>
          <w:tcPr>
            <w:tcW w:w="1777" w:type="dxa"/>
            <w:shd w:val="clear" w:color="auto" w:fill="auto"/>
          </w:tcPr>
          <w:p w14:paraId="382EEF0F" w14:textId="77777777" w:rsidR="00806411" w:rsidRPr="00037AD4" w:rsidRDefault="00806411" w:rsidP="00806411">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0.010*</w:t>
            </w:r>
          </w:p>
        </w:tc>
        <w:tc>
          <w:tcPr>
            <w:tcW w:w="1815" w:type="dxa"/>
            <w:shd w:val="clear" w:color="auto" w:fill="auto"/>
          </w:tcPr>
          <w:p w14:paraId="7B95DFC6" w14:textId="77777777" w:rsidR="00806411" w:rsidRPr="00037AD4" w:rsidRDefault="00806411" w:rsidP="00806411">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0.004</w:t>
            </w:r>
          </w:p>
        </w:tc>
        <w:tc>
          <w:tcPr>
            <w:tcW w:w="1753" w:type="dxa"/>
            <w:shd w:val="clear" w:color="auto" w:fill="auto"/>
          </w:tcPr>
          <w:p w14:paraId="3FB69A27" w14:textId="77777777" w:rsidR="00806411" w:rsidRPr="00037AD4" w:rsidRDefault="00806411" w:rsidP="00806411">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9.47</w:t>
            </w:r>
          </w:p>
        </w:tc>
        <w:tc>
          <w:tcPr>
            <w:tcW w:w="1734" w:type="dxa"/>
            <w:vMerge/>
            <w:shd w:val="clear" w:color="auto" w:fill="auto"/>
          </w:tcPr>
          <w:p w14:paraId="5B44A14F" w14:textId="77777777" w:rsidR="00806411" w:rsidRPr="00037AD4" w:rsidRDefault="00806411" w:rsidP="00806411">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r>
      <w:tr w:rsidR="00806411" w:rsidRPr="00037AD4" w14:paraId="509AC5DB" w14:textId="77777777" w:rsidTr="008F00F0">
        <w:tc>
          <w:tcPr>
            <w:cnfStyle w:val="001000000000" w:firstRow="0" w:lastRow="0" w:firstColumn="1" w:lastColumn="0" w:oddVBand="0" w:evenVBand="0" w:oddHBand="0" w:evenHBand="0" w:firstRowFirstColumn="0" w:firstRowLastColumn="0" w:lastRowFirstColumn="0" w:lastRowLastColumn="0"/>
            <w:tcW w:w="1937" w:type="dxa"/>
            <w:shd w:val="clear" w:color="auto" w:fill="auto"/>
          </w:tcPr>
          <w:p w14:paraId="1165E862" w14:textId="77777777" w:rsidR="00806411" w:rsidRPr="00037AD4" w:rsidRDefault="00806411" w:rsidP="00806411">
            <w:pPr>
              <w:rPr>
                <w:rFonts w:asciiTheme="minorHAnsi" w:hAnsiTheme="minorHAnsi" w:cstheme="minorHAnsi"/>
              </w:rPr>
            </w:pPr>
            <w:r w:rsidRPr="00037AD4">
              <w:rPr>
                <w:rFonts w:asciiTheme="minorHAnsi" w:hAnsiTheme="minorHAnsi" w:cstheme="minorHAnsi"/>
              </w:rPr>
              <w:t>NPI</w:t>
            </w:r>
          </w:p>
        </w:tc>
        <w:tc>
          <w:tcPr>
            <w:tcW w:w="1777" w:type="dxa"/>
            <w:shd w:val="clear" w:color="auto" w:fill="auto"/>
          </w:tcPr>
          <w:p w14:paraId="0D90B86B" w14:textId="77777777" w:rsidR="00806411" w:rsidRPr="00037AD4" w:rsidRDefault="00806411" w:rsidP="0080641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-0.003*</w:t>
            </w:r>
          </w:p>
        </w:tc>
        <w:tc>
          <w:tcPr>
            <w:tcW w:w="1815" w:type="dxa"/>
            <w:shd w:val="clear" w:color="auto" w:fill="auto"/>
          </w:tcPr>
          <w:p w14:paraId="03FF98EC" w14:textId="77777777" w:rsidR="00806411" w:rsidRPr="00037AD4" w:rsidRDefault="00806411" w:rsidP="0080641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0.000</w:t>
            </w:r>
          </w:p>
        </w:tc>
        <w:tc>
          <w:tcPr>
            <w:tcW w:w="1753" w:type="dxa"/>
            <w:shd w:val="clear" w:color="auto" w:fill="auto"/>
          </w:tcPr>
          <w:p w14:paraId="7F9A441D" w14:textId="77777777" w:rsidR="00806411" w:rsidRPr="00037AD4" w:rsidRDefault="00806411" w:rsidP="0080641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-7.45</w:t>
            </w:r>
          </w:p>
        </w:tc>
        <w:tc>
          <w:tcPr>
            <w:tcW w:w="1734" w:type="dxa"/>
            <w:vMerge/>
            <w:shd w:val="clear" w:color="auto" w:fill="auto"/>
          </w:tcPr>
          <w:p w14:paraId="5C33F715" w14:textId="77777777" w:rsidR="00806411" w:rsidRPr="00037AD4" w:rsidRDefault="00806411" w:rsidP="0080641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r>
      <w:tr w:rsidR="00806411" w:rsidRPr="00037AD4" w14:paraId="571AD571" w14:textId="77777777" w:rsidTr="008F00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7" w:type="dxa"/>
            <w:shd w:val="clear" w:color="auto" w:fill="auto"/>
          </w:tcPr>
          <w:p w14:paraId="5CA54B9B" w14:textId="77777777" w:rsidR="00806411" w:rsidRPr="00037AD4" w:rsidRDefault="00806411" w:rsidP="00806411">
            <w:pPr>
              <w:rPr>
                <w:rFonts w:asciiTheme="minorHAnsi" w:hAnsiTheme="minorHAnsi" w:cstheme="minorHAnsi"/>
              </w:rPr>
            </w:pPr>
            <w:r w:rsidRPr="00037AD4">
              <w:rPr>
                <w:rFonts w:asciiTheme="minorHAnsi" w:hAnsiTheme="minorHAnsi" w:cstheme="minorHAnsi"/>
              </w:rPr>
              <w:t>MMSE</w:t>
            </w:r>
          </w:p>
        </w:tc>
        <w:tc>
          <w:tcPr>
            <w:tcW w:w="1777" w:type="dxa"/>
            <w:shd w:val="clear" w:color="auto" w:fill="auto"/>
          </w:tcPr>
          <w:p w14:paraId="4C526C79" w14:textId="77777777" w:rsidR="00806411" w:rsidRPr="00037AD4" w:rsidRDefault="00806411" w:rsidP="00806411">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-0.005*</w:t>
            </w:r>
          </w:p>
        </w:tc>
        <w:tc>
          <w:tcPr>
            <w:tcW w:w="1815" w:type="dxa"/>
            <w:shd w:val="clear" w:color="auto" w:fill="auto"/>
          </w:tcPr>
          <w:p w14:paraId="11183EC4" w14:textId="77777777" w:rsidR="00806411" w:rsidRPr="00037AD4" w:rsidRDefault="00806411" w:rsidP="00806411">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0.001</w:t>
            </w:r>
          </w:p>
        </w:tc>
        <w:tc>
          <w:tcPr>
            <w:tcW w:w="1753" w:type="dxa"/>
            <w:shd w:val="clear" w:color="auto" w:fill="auto"/>
          </w:tcPr>
          <w:p w14:paraId="6A2CB2C0" w14:textId="77777777" w:rsidR="00806411" w:rsidRPr="00037AD4" w:rsidRDefault="00806411" w:rsidP="00806411">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-4.09</w:t>
            </w:r>
          </w:p>
        </w:tc>
        <w:tc>
          <w:tcPr>
            <w:tcW w:w="1734" w:type="dxa"/>
            <w:vMerge/>
            <w:shd w:val="clear" w:color="auto" w:fill="auto"/>
          </w:tcPr>
          <w:p w14:paraId="4FD26FE0" w14:textId="77777777" w:rsidR="00806411" w:rsidRPr="00037AD4" w:rsidRDefault="00806411" w:rsidP="00806411">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r>
      <w:tr w:rsidR="00806411" w:rsidRPr="00037AD4" w14:paraId="763CCF47" w14:textId="77777777" w:rsidTr="008F00F0">
        <w:tc>
          <w:tcPr>
            <w:cnfStyle w:val="001000000000" w:firstRow="0" w:lastRow="0" w:firstColumn="1" w:lastColumn="0" w:oddVBand="0" w:evenVBand="0" w:oddHBand="0" w:evenHBand="0" w:firstRowFirstColumn="0" w:firstRowLastColumn="0" w:lastRowFirstColumn="0" w:lastRowLastColumn="0"/>
            <w:tcW w:w="1937" w:type="dxa"/>
            <w:shd w:val="clear" w:color="auto" w:fill="auto"/>
          </w:tcPr>
          <w:p w14:paraId="3B7B2D90" w14:textId="77777777" w:rsidR="00806411" w:rsidRPr="00037AD4" w:rsidRDefault="00806411" w:rsidP="00806411">
            <w:pPr>
              <w:rPr>
                <w:rFonts w:asciiTheme="minorHAnsi" w:hAnsiTheme="minorHAnsi" w:cstheme="minorHAnsi"/>
              </w:rPr>
            </w:pPr>
            <w:r w:rsidRPr="00037AD4">
              <w:rPr>
                <w:rFonts w:asciiTheme="minorHAnsi" w:hAnsiTheme="minorHAnsi" w:cstheme="minorHAnsi"/>
              </w:rPr>
              <w:t xml:space="preserve">Age (RP) </w:t>
            </w:r>
          </w:p>
        </w:tc>
        <w:tc>
          <w:tcPr>
            <w:tcW w:w="1777" w:type="dxa"/>
            <w:shd w:val="clear" w:color="auto" w:fill="auto"/>
          </w:tcPr>
          <w:p w14:paraId="7F8FBB29" w14:textId="77777777" w:rsidR="00806411" w:rsidRPr="00037AD4" w:rsidRDefault="00806411" w:rsidP="0080641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0.001</w:t>
            </w:r>
          </w:p>
        </w:tc>
        <w:tc>
          <w:tcPr>
            <w:tcW w:w="1815" w:type="dxa"/>
            <w:shd w:val="clear" w:color="auto" w:fill="auto"/>
          </w:tcPr>
          <w:p w14:paraId="480C0988" w14:textId="77777777" w:rsidR="00806411" w:rsidRPr="00037AD4" w:rsidRDefault="00806411" w:rsidP="0080641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0.000</w:t>
            </w:r>
          </w:p>
        </w:tc>
        <w:tc>
          <w:tcPr>
            <w:tcW w:w="1753" w:type="dxa"/>
            <w:shd w:val="clear" w:color="auto" w:fill="auto"/>
          </w:tcPr>
          <w:p w14:paraId="10D68724" w14:textId="77777777" w:rsidR="00806411" w:rsidRPr="00037AD4" w:rsidRDefault="00806411" w:rsidP="0080641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1.05</w:t>
            </w:r>
          </w:p>
        </w:tc>
        <w:tc>
          <w:tcPr>
            <w:tcW w:w="1734" w:type="dxa"/>
            <w:vMerge/>
            <w:shd w:val="clear" w:color="auto" w:fill="auto"/>
          </w:tcPr>
          <w:p w14:paraId="110B36AA" w14:textId="77777777" w:rsidR="00806411" w:rsidRPr="00037AD4" w:rsidRDefault="00806411" w:rsidP="0080641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r>
      <w:tr w:rsidR="00806411" w:rsidRPr="00037AD4" w14:paraId="79702971" w14:textId="77777777" w:rsidTr="008F00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7" w:type="dxa"/>
            <w:shd w:val="clear" w:color="auto" w:fill="auto"/>
          </w:tcPr>
          <w:p w14:paraId="15E8C77D" w14:textId="77777777" w:rsidR="00806411" w:rsidRPr="00037AD4" w:rsidRDefault="00806411" w:rsidP="00806411">
            <w:pPr>
              <w:rPr>
                <w:rFonts w:asciiTheme="minorHAnsi" w:hAnsiTheme="minorHAnsi" w:cstheme="minorHAnsi"/>
              </w:rPr>
            </w:pPr>
            <w:r w:rsidRPr="00037AD4">
              <w:rPr>
                <w:rFonts w:asciiTheme="minorHAnsi" w:hAnsiTheme="minorHAnsi" w:cstheme="minorHAnsi"/>
              </w:rPr>
              <w:t>Sex of RP (female)</w:t>
            </w:r>
          </w:p>
        </w:tc>
        <w:tc>
          <w:tcPr>
            <w:tcW w:w="1777" w:type="dxa"/>
            <w:shd w:val="clear" w:color="auto" w:fill="auto"/>
          </w:tcPr>
          <w:p w14:paraId="1E39C115" w14:textId="77777777" w:rsidR="00806411" w:rsidRPr="00037AD4" w:rsidRDefault="00806411" w:rsidP="00806411">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0.051*</w:t>
            </w:r>
          </w:p>
        </w:tc>
        <w:tc>
          <w:tcPr>
            <w:tcW w:w="1815" w:type="dxa"/>
            <w:shd w:val="clear" w:color="auto" w:fill="auto"/>
          </w:tcPr>
          <w:p w14:paraId="28B0FEB9" w14:textId="77777777" w:rsidR="00806411" w:rsidRPr="00037AD4" w:rsidRDefault="00806411" w:rsidP="00806411">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0.013</w:t>
            </w:r>
          </w:p>
        </w:tc>
        <w:tc>
          <w:tcPr>
            <w:tcW w:w="1753" w:type="dxa"/>
            <w:shd w:val="clear" w:color="auto" w:fill="auto"/>
          </w:tcPr>
          <w:p w14:paraId="2928CC9C" w14:textId="77777777" w:rsidR="00806411" w:rsidRPr="00037AD4" w:rsidRDefault="00806411" w:rsidP="00806411">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3.82</w:t>
            </w:r>
          </w:p>
        </w:tc>
        <w:tc>
          <w:tcPr>
            <w:tcW w:w="1734" w:type="dxa"/>
            <w:vMerge/>
            <w:shd w:val="clear" w:color="auto" w:fill="auto"/>
          </w:tcPr>
          <w:p w14:paraId="1D3E4880" w14:textId="77777777" w:rsidR="00806411" w:rsidRPr="00037AD4" w:rsidRDefault="00806411" w:rsidP="00806411">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r>
      <w:tr w:rsidR="00806411" w:rsidRPr="00037AD4" w14:paraId="2535AE65" w14:textId="77777777" w:rsidTr="008F00F0">
        <w:tc>
          <w:tcPr>
            <w:cnfStyle w:val="001000000000" w:firstRow="0" w:lastRow="0" w:firstColumn="1" w:lastColumn="0" w:oddVBand="0" w:evenVBand="0" w:oddHBand="0" w:evenHBand="0" w:firstRowFirstColumn="0" w:firstRowLastColumn="0" w:lastRowFirstColumn="0" w:lastRowLastColumn="0"/>
            <w:tcW w:w="9016" w:type="dxa"/>
            <w:gridSpan w:val="5"/>
            <w:shd w:val="clear" w:color="auto" w:fill="auto"/>
          </w:tcPr>
          <w:p w14:paraId="5EF2D72C" w14:textId="77777777" w:rsidR="00806411" w:rsidRPr="00037AD4" w:rsidRDefault="00806411" w:rsidP="00806411">
            <w:pPr>
              <w:rPr>
                <w:rFonts w:asciiTheme="minorHAnsi" w:hAnsiTheme="minorHAnsi" w:cstheme="minorHAnsi"/>
                <w:b w:val="0"/>
                <w:bCs w:val="0"/>
              </w:rPr>
            </w:pPr>
            <w:r w:rsidRPr="00037AD4">
              <w:rPr>
                <w:rFonts w:asciiTheme="minorHAnsi" w:hAnsiTheme="minorHAnsi" w:cstheme="minorHAnsi"/>
                <w:b w:val="0"/>
                <w:bCs w:val="0"/>
                <w:sz w:val="20"/>
                <w:szCs w:val="20"/>
              </w:rPr>
              <w:t>*p&lt;0.05; CDR, clinical dementia rating scale; IADL, Lawton instrumental activities of daily living scale; MMSE, mini-mental state examination; NPI, neuropsychiatric inventory; PSMS, physical self-maintenance scale; RP, informal/relative proxy; uses EQ-5D-5L</w:t>
            </w:r>
          </w:p>
        </w:tc>
      </w:tr>
    </w:tbl>
    <w:p w14:paraId="38E910B5" w14:textId="77777777" w:rsidR="00B77D6A" w:rsidRPr="00037AD4" w:rsidRDefault="00B77D6A" w:rsidP="002147C5">
      <w:pPr>
        <w:rPr>
          <w:rFonts w:asciiTheme="minorHAnsi" w:hAnsiTheme="minorHAnsi" w:cstheme="minorHAnsi"/>
          <w:b/>
          <w:bCs/>
          <w:u w:val="single"/>
        </w:rPr>
      </w:pPr>
    </w:p>
    <w:p w14:paraId="417E348F" w14:textId="77777777" w:rsidR="00B54D51" w:rsidRPr="00037AD4" w:rsidRDefault="00B54D51" w:rsidP="002147C5">
      <w:pPr>
        <w:rPr>
          <w:rFonts w:asciiTheme="minorHAnsi" w:hAnsiTheme="minorHAnsi" w:cstheme="minorHAnsi"/>
          <w:b/>
          <w:bCs/>
          <w:i/>
          <w:iCs/>
        </w:rPr>
      </w:pPr>
      <w:r w:rsidRPr="00037AD4">
        <w:rPr>
          <w:rFonts w:asciiTheme="minorHAnsi" w:hAnsiTheme="minorHAnsi" w:cstheme="minorHAnsi"/>
          <w:b/>
          <w:bCs/>
          <w:i/>
          <w:iCs/>
        </w:rPr>
        <w:t xml:space="preserve">Table 27c, Predictors of EQ-5D index score regression output, EPIC </w:t>
      </w:r>
    </w:p>
    <w:p w14:paraId="21B32E90" w14:textId="77777777" w:rsidR="00B54D51" w:rsidRPr="00037AD4" w:rsidRDefault="00B54D51" w:rsidP="002147C5">
      <w:pPr>
        <w:rPr>
          <w:rFonts w:asciiTheme="minorHAnsi" w:hAnsiTheme="minorHAnsi" w:cstheme="minorHAnsi"/>
          <w:b/>
          <w:bCs/>
          <w:u w:val="single"/>
        </w:rPr>
      </w:pPr>
    </w:p>
    <w:tbl>
      <w:tblPr>
        <w:tblStyle w:val="PlainTable1"/>
        <w:tblW w:w="0" w:type="auto"/>
        <w:tblLook w:val="04A0" w:firstRow="1" w:lastRow="0" w:firstColumn="1" w:lastColumn="0" w:noHBand="0" w:noVBand="1"/>
      </w:tblPr>
      <w:tblGrid>
        <w:gridCol w:w="1937"/>
        <w:gridCol w:w="1777"/>
        <w:gridCol w:w="1815"/>
        <w:gridCol w:w="1753"/>
        <w:gridCol w:w="1734"/>
      </w:tblGrid>
      <w:tr w:rsidR="00B54D51" w:rsidRPr="00037AD4" w14:paraId="1270EC19" w14:textId="77777777" w:rsidTr="008F00F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7" w:type="dxa"/>
            <w:shd w:val="clear" w:color="auto" w:fill="auto"/>
          </w:tcPr>
          <w:p w14:paraId="720E1144" w14:textId="77777777" w:rsidR="00B54D51" w:rsidRPr="00037AD4" w:rsidRDefault="00B54D51" w:rsidP="008F00F0">
            <w:pPr>
              <w:rPr>
                <w:rFonts w:asciiTheme="minorHAnsi" w:hAnsiTheme="minorHAnsi" w:cstheme="minorHAnsi"/>
                <w:b w:val="0"/>
                <w:bCs w:val="0"/>
              </w:rPr>
            </w:pPr>
            <w:r w:rsidRPr="00037AD4">
              <w:rPr>
                <w:rFonts w:asciiTheme="minorHAnsi" w:hAnsiTheme="minorHAnsi" w:cstheme="minorHAnsi"/>
                <w:b w:val="0"/>
                <w:bCs w:val="0"/>
              </w:rPr>
              <w:t>Measure</w:t>
            </w:r>
          </w:p>
        </w:tc>
        <w:tc>
          <w:tcPr>
            <w:tcW w:w="1777" w:type="dxa"/>
            <w:shd w:val="clear" w:color="auto" w:fill="auto"/>
          </w:tcPr>
          <w:p w14:paraId="20B95E6F" w14:textId="77777777" w:rsidR="00B54D51" w:rsidRPr="00037AD4" w:rsidRDefault="00B54D51" w:rsidP="008F00F0">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i/>
                <w:iCs/>
              </w:rPr>
            </w:pPr>
            <w:r w:rsidRPr="00037AD4">
              <w:rPr>
                <w:rFonts w:asciiTheme="minorHAnsi" w:hAnsiTheme="minorHAnsi" w:cstheme="minorHAnsi"/>
                <w:b w:val="0"/>
                <w:bCs w:val="0"/>
              </w:rPr>
              <w:t>Coefficient</w:t>
            </w:r>
          </w:p>
        </w:tc>
        <w:tc>
          <w:tcPr>
            <w:tcW w:w="1815" w:type="dxa"/>
            <w:shd w:val="clear" w:color="auto" w:fill="auto"/>
          </w:tcPr>
          <w:p w14:paraId="02687E34" w14:textId="77777777" w:rsidR="00B54D51" w:rsidRPr="00037AD4" w:rsidRDefault="00B54D51" w:rsidP="008F00F0">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rPr>
            </w:pPr>
            <w:r w:rsidRPr="00037AD4">
              <w:rPr>
                <w:rFonts w:asciiTheme="minorHAnsi" w:hAnsiTheme="minorHAnsi" w:cstheme="minorHAnsi"/>
                <w:b w:val="0"/>
                <w:bCs w:val="0"/>
              </w:rPr>
              <w:t>Std. err.</w:t>
            </w:r>
          </w:p>
        </w:tc>
        <w:tc>
          <w:tcPr>
            <w:tcW w:w="1753" w:type="dxa"/>
            <w:shd w:val="clear" w:color="auto" w:fill="auto"/>
          </w:tcPr>
          <w:p w14:paraId="7DBE3501" w14:textId="77777777" w:rsidR="00B54D51" w:rsidRPr="00037AD4" w:rsidRDefault="00B54D51" w:rsidP="008F00F0">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i/>
                <w:iCs/>
              </w:rPr>
            </w:pPr>
            <w:r w:rsidRPr="00037AD4">
              <w:rPr>
                <w:rFonts w:asciiTheme="minorHAnsi" w:hAnsiTheme="minorHAnsi" w:cstheme="minorHAnsi"/>
                <w:b w:val="0"/>
                <w:bCs w:val="0"/>
                <w:i/>
                <w:iCs/>
              </w:rPr>
              <w:t>t</w:t>
            </w:r>
          </w:p>
        </w:tc>
        <w:tc>
          <w:tcPr>
            <w:tcW w:w="1734" w:type="dxa"/>
            <w:shd w:val="clear" w:color="auto" w:fill="auto"/>
          </w:tcPr>
          <w:p w14:paraId="05045657" w14:textId="77777777" w:rsidR="00B54D51" w:rsidRPr="00037AD4" w:rsidRDefault="00B54D51" w:rsidP="008F00F0">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i/>
                <w:iCs/>
              </w:rPr>
            </w:pPr>
            <w:r w:rsidRPr="00037AD4">
              <w:rPr>
                <w:rFonts w:asciiTheme="minorHAnsi" w:hAnsiTheme="minorHAnsi" w:cstheme="minorHAnsi"/>
                <w:b w:val="0"/>
                <w:bCs w:val="0"/>
                <w:i/>
                <w:iCs/>
              </w:rPr>
              <w:t>R</w:t>
            </w:r>
            <w:r w:rsidRPr="00037AD4">
              <w:rPr>
                <w:rFonts w:asciiTheme="minorHAnsi" w:hAnsiTheme="minorHAnsi" w:cstheme="minorHAnsi"/>
                <w:b w:val="0"/>
                <w:bCs w:val="0"/>
                <w:i/>
                <w:iCs/>
                <w:vertAlign w:val="superscript"/>
              </w:rPr>
              <w:t>2</w:t>
            </w:r>
          </w:p>
        </w:tc>
      </w:tr>
      <w:tr w:rsidR="00B54D51" w:rsidRPr="00037AD4" w14:paraId="5090773B" w14:textId="77777777" w:rsidTr="008F00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5"/>
            <w:shd w:val="clear" w:color="auto" w:fill="E7E6E6" w:themeFill="background2"/>
          </w:tcPr>
          <w:p w14:paraId="111E402B" w14:textId="77777777" w:rsidR="00B54D51" w:rsidRPr="00037AD4" w:rsidRDefault="00B54D51" w:rsidP="008F00F0">
            <w:pPr>
              <w:jc w:val="center"/>
              <w:rPr>
                <w:rFonts w:asciiTheme="minorHAnsi" w:hAnsiTheme="minorHAnsi" w:cstheme="minorHAnsi"/>
              </w:rPr>
            </w:pPr>
            <w:r w:rsidRPr="00037AD4">
              <w:rPr>
                <w:rFonts w:asciiTheme="minorHAnsi" w:hAnsiTheme="minorHAnsi" w:cstheme="minorHAnsi"/>
              </w:rPr>
              <w:t>PwD, n=749</w:t>
            </w:r>
          </w:p>
        </w:tc>
      </w:tr>
      <w:tr w:rsidR="00B54D51" w:rsidRPr="00037AD4" w14:paraId="27ABDD11" w14:textId="77777777" w:rsidTr="008F00F0">
        <w:tc>
          <w:tcPr>
            <w:cnfStyle w:val="001000000000" w:firstRow="0" w:lastRow="0" w:firstColumn="1" w:lastColumn="0" w:oddVBand="0" w:evenVBand="0" w:oddHBand="0" w:evenHBand="0" w:firstRowFirstColumn="0" w:firstRowLastColumn="0" w:lastRowFirstColumn="0" w:lastRowLastColumn="0"/>
            <w:tcW w:w="1937" w:type="dxa"/>
            <w:shd w:val="clear" w:color="auto" w:fill="auto"/>
          </w:tcPr>
          <w:p w14:paraId="513AE275"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CDR</w:t>
            </w:r>
          </w:p>
        </w:tc>
        <w:tc>
          <w:tcPr>
            <w:tcW w:w="1777" w:type="dxa"/>
            <w:shd w:val="clear" w:color="auto" w:fill="auto"/>
          </w:tcPr>
          <w:p w14:paraId="5B0E7C0B"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0.019</w:t>
            </w:r>
          </w:p>
        </w:tc>
        <w:tc>
          <w:tcPr>
            <w:tcW w:w="1815" w:type="dxa"/>
            <w:shd w:val="clear" w:color="auto" w:fill="auto"/>
          </w:tcPr>
          <w:p w14:paraId="55B98E28"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0.013</w:t>
            </w:r>
          </w:p>
        </w:tc>
        <w:tc>
          <w:tcPr>
            <w:tcW w:w="1753" w:type="dxa"/>
            <w:shd w:val="clear" w:color="auto" w:fill="auto"/>
          </w:tcPr>
          <w:p w14:paraId="4A8F7E68"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1.50</w:t>
            </w:r>
          </w:p>
        </w:tc>
        <w:tc>
          <w:tcPr>
            <w:tcW w:w="1734" w:type="dxa"/>
            <w:vMerge w:val="restart"/>
            <w:shd w:val="clear" w:color="auto" w:fill="auto"/>
          </w:tcPr>
          <w:p w14:paraId="7DF12881"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0.02</w:t>
            </w:r>
          </w:p>
        </w:tc>
      </w:tr>
      <w:tr w:rsidR="00B54D51" w:rsidRPr="00037AD4" w14:paraId="5D74B1E3" w14:textId="77777777" w:rsidTr="008F00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7" w:type="dxa"/>
            <w:shd w:val="clear" w:color="auto" w:fill="auto"/>
          </w:tcPr>
          <w:p w14:paraId="074CA6ED"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NPI</w:t>
            </w:r>
          </w:p>
        </w:tc>
        <w:tc>
          <w:tcPr>
            <w:tcW w:w="1777" w:type="dxa"/>
            <w:shd w:val="clear" w:color="auto" w:fill="auto"/>
          </w:tcPr>
          <w:p w14:paraId="22AC8C18"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-0.001</w:t>
            </w:r>
          </w:p>
        </w:tc>
        <w:tc>
          <w:tcPr>
            <w:tcW w:w="1815" w:type="dxa"/>
            <w:shd w:val="clear" w:color="auto" w:fill="auto"/>
          </w:tcPr>
          <w:p w14:paraId="50873ED2"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0.001</w:t>
            </w:r>
          </w:p>
        </w:tc>
        <w:tc>
          <w:tcPr>
            <w:tcW w:w="1753" w:type="dxa"/>
            <w:shd w:val="clear" w:color="auto" w:fill="auto"/>
          </w:tcPr>
          <w:p w14:paraId="6F81F0C7"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-1.88</w:t>
            </w:r>
          </w:p>
        </w:tc>
        <w:tc>
          <w:tcPr>
            <w:tcW w:w="1734" w:type="dxa"/>
            <w:vMerge/>
            <w:shd w:val="clear" w:color="auto" w:fill="auto"/>
          </w:tcPr>
          <w:p w14:paraId="66FEF11C"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r>
      <w:tr w:rsidR="00B54D51" w:rsidRPr="00037AD4" w14:paraId="0A009CD2" w14:textId="77777777" w:rsidTr="008F00F0">
        <w:tc>
          <w:tcPr>
            <w:cnfStyle w:val="001000000000" w:firstRow="0" w:lastRow="0" w:firstColumn="1" w:lastColumn="0" w:oddVBand="0" w:evenVBand="0" w:oddHBand="0" w:evenHBand="0" w:firstRowFirstColumn="0" w:firstRowLastColumn="0" w:lastRowFirstColumn="0" w:lastRowLastColumn="0"/>
            <w:tcW w:w="1937" w:type="dxa"/>
            <w:shd w:val="clear" w:color="auto" w:fill="auto"/>
          </w:tcPr>
          <w:p w14:paraId="60D92ED3"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FAST </w:t>
            </w:r>
          </w:p>
        </w:tc>
        <w:tc>
          <w:tcPr>
            <w:tcW w:w="1777" w:type="dxa"/>
            <w:shd w:val="clear" w:color="auto" w:fill="auto"/>
          </w:tcPr>
          <w:p w14:paraId="06E63AEF"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-0.009</w:t>
            </w:r>
          </w:p>
        </w:tc>
        <w:tc>
          <w:tcPr>
            <w:tcW w:w="1815" w:type="dxa"/>
            <w:shd w:val="clear" w:color="auto" w:fill="auto"/>
          </w:tcPr>
          <w:p w14:paraId="496F93FA"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0.011</w:t>
            </w:r>
          </w:p>
        </w:tc>
        <w:tc>
          <w:tcPr>
            <w:tcW w:w="1753" w:type="dxa"/>
            <w:shd w:val="clear" w:color="auto" w:fill="auto"/>
          </w:tcPr>
          <w:p w14:paraId="588CBDA7"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-0.87</w:t>
            </w:r>
          </w:p>
        </w:tc>
        <w:tc>
          <w:tcPr>
            <w:tcW w:w="1734" w:type="dxa"/>
            <w:vMerge/>
            <w:shd w:val="clear" w:color="auto" w:fill="auto"/>
          </w:tcPr>
          <w:p w14:paraId="2A5495B9"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r>
      <w:tr w:rsidR="00B54D51" w:rsidRPr="00037AD4" w14:paraId="4749AD89" w14:textId="77777777" w:rsidTr="008F00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7" w:type="dxa"/>
            <w:shd w:val="clear" w:color="auto" w:fill="auto"/>
          </w:tcPr>
          <w:p w14:paraId="548CEA1F"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Age (PwD)</w:t>
            </w:r>
          </w:p>
        </w:tc>
        <w:tc>
          <w:tcPr>
            <w:tcW w:w="1777" w:type="dxa"/>
            <w:shd w:val="clear" w:color="auto" w:fill="auto"/>
          </w:tcPr>
          <w:p w14:paraId="3CFE8C31"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0.003*</w:t>
            </w:r>
          </w:p>
        </w:tc>
        <w:tc>
          <w:tcPr>
            <w:tcW w:w="1815" w:type="dxa"/>
            <w:shd w:val="clear" w:color="auto" w:fill="auto"/>
          </w:tcPr>
          <w:p w14:paraId="0C5500FB"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0.001</w:t>
            </w:r>
          </w:p>
        </w:tc>
        <w:tc>
          <w:tcPr>
            <w:tcW w:w="1753" w:type="dxa"/>
            <w:shd w:val="clear" w:color="auto" w:fill="auto"/>
          </w:tcPr>
          <w:p w14:paraId="3413541B"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2.43</w:t>
            </w:r>
          </w:p>
        </w:tc>
        <w:tc>
          <w:tcPr>
            <w:tcW w:w="1734" w:type="dxa"/>
            <w:vMerge/>
            <w:shd w:val="clear" w:color="auto" w:fill="auto"/>
          </w:tcPr>
          <w:p w14:paraId="648E6F1E"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r>
      <w:tr w:rsidR="00B54D51" w:rsidRPr="00037AD4" w14:paraId="5FFDBD1D" w14:textId="77777777" w:rsidTr="008F00F0">
        <w:tc>
          <w:tcPr>
            <w:cnfStyle w:val="001000000000" w:firstRow="0" w:lastRow="0" w:firstColumn="1" w:lastColumn="0" w:oddVBand="0" w:evenVBand="0" w:oddHBand="0" w:evenHBand="0" w:firstRowFirstColumn="0" w:firstRowLastColumn="0" w:lastRowFirstColumn="0" w:lastRowLastColumn="0"/>
            <w:tcW w:w="1937" w:type="dxa"/>
            <w:shd w:val="clear" w:color="auto" w:fill="auto"/>
          </w:tcPr>
          <w:p w14:paraId="7093403A"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Sex of PwD (female)</w:t>
            </w:r>
          </w:p>
        </w:tc>
        <w:tc>
          <w:tcPr>
            <w:tcW w:w="1777" w:type="dxa"/>
            <w:shd w:val="clear" w:color="auto" w:fill="auto"/>
          </w:tcPr>
          <w:p w14:paraId="5C13DAA5"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-0.021</w:t>
            </w:r>
          </w:p>
        </w:tc>
        <w:tc>
          <w:tcPr>
            <w:tcW w:w="1815" w:type="dxa"/>
            <w:shd w:val="clear" w:color="auto" w:fill="auto"/>
          </w:tcPr>
          <w:p w14:paraId="00B7C33D"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0.020</w:t>
            </w:r>
          </w:p>
        </w:tc>
        <w:tc>
          <w:tcPr>
            <w:tcW w:w="1753" w:type="dxa"/>
            <w:shd w:val="clear" w:color="auto" w:fill="auto"/>
          </w:tcPr>
          <w:p w14:paraId="24C99FBA"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-1.08</w:t>
            </w:r>
          </w:p>
        </w:tc>
        <w:tc>
          <w:tcPr>
            <w:tcW w:w="1734" w:type="dxa"/>
            <w:vMerge/>
            <w:shd w:val="clear" w:color="auto" w:fill="auto"/>
          </w:tcPr>
          <w:p w14:paraId="66016E9F"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r>
      <w:tr w:rsidR="00B54D51" w:rsidRPr="00037AD4" w14:paraId="344F1AA0" w14:textId="77777777" w:rsidTr="008F00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5"/>
            <w:shd w:val="clear" w:color="auto" w:fill="E7E6E6" w:themeFill="background2"/>
          </w:tcPr>
          <w:p w14:paraId="244CE08C" w14:textId="77777777" w:rsidR="00B54D51" w:rsidRPr="00037AD4" w:rsidRDefault="00B54D51" w:rsidP="008F00F0">
            <w:pPr>
              <w:jc w:val="center"/>
              <w:rPr>
                <w:rFonts w:asciiTheme="minorHAnsi" w:hAnsiTheme="minorHAnsi" w:cstheme="minorHAnsi"/>
              </w:rPr>
            </w:pPr>
            <w:r w:rsidRPr="00037AD4">
              <w:rPr>
                <w:rFonts w:asciiTheme="minorHAnsi" w:hAnsiTheme="minorHAnsi" w:cstheme="minorHAnsi"/>
              </w:rPr>
              <w:t>Informal proxy, n=334</w:t>
            </w:r>
          </w:p>
        </w:tc>
      </w:tr>
      <w:tr w:rsidR="00B54D51" w:rsidRPr="00037AD4" w14:paraId="572A67F9" w14:textId="77777777" w:rsidTr="008F00F0">
        <w:tc>
          <w:tcPr>
            <w:cnfStyle w:val="001000000000" w:firstRow="0" w:lastRow="0" w:firstColumn="1" w:lastColumn="0" w:oddVBand="0" w:evenVBand="0" w:oddHBand="0" w:evenHBand="0" w:firstRowFirstColumn="0" w:firstRowLastColumn="0" w:lastRowFirstColumn="0" w:lastRowLastColumn="0"/>
            <w:tcW w:w="1937" w:type="dxa"/>
            <w:shd w:val="clear" w:color="auto" w:fill="auto"/>
          </w:tcPr>
          <w:p w14:paraId="59BD35B4"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CDR </w:t>
            </w:r>
          </w:p>
        </w:tc>
        <w:tc>
          <w:tcPr>
            <w:tcW w:w="1777" w:type="dxa"/>
            <w:shd w:val="clear" w:color="auto" w:fill="auto"/>
          </w:tcPr>
          <w:p w14:paraId="4AC22277"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-0.100*</w:t>
            </w:r>
          </w:p>
        </w:tc>
        <w:tc>
          <w:tcPr>
            <w:tcW w:w="1815" w:type="dxa"/>
            <w:shd w:val="clear" w:color="auto" w:fill="auto"/>
          </w:tcPr>
          <w:p w14:paraId="14B11489"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0.028</w:t>
            </w:r>
          </w:p>
        </w:tc>
        <w:tc>
          <w:tcPr>
            <w:tcW w:w="1753" w:type="dxa"/>
            <w:shd w:val="clear" w:color="auto" w:fill="auto"/>
          </w:tcPr>
          <w:p w14:paraId="686D956C"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-3.47</w:t>
            </w:r>
          </w:p>
        </w:tc>
        <w:tc>
          <w:tcPr>
            <w:tcW w:w="1734" w:type="dxa"/>
            <w:vMerge w:val="restart"/>
            <w:shd w:val="clear" w:color="auto" w:fill="auto"/>
          </w:tcPr>
          <w:p w14:paraId="4F0A3F47"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0.22</w:t>
            </w:r>
          </w:p>
        </w:tc>
      </w:tr>
      <w:tr w:rsidR="00B54D51" w:rsidRPr="00037AD4" w14:paraId="0795A735" w14:textId="77777777" w:rsidTr="008F00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7" w:type="dxa"/>
            <w:shd w:val="clear" w:color="auto" w:fill="auto"/>
          </w:tcPr>
          <w:p w14:paraId="10E3ABDA"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NPI </w:t>
            </w:r>
          </w:p>
        </w:tc>
        <w:tc>
          <w:tcPr>
            <w:tcW w:w="1777" w:type="dxa"/>
            <w:shd w:val="clear" w:color="auto" w:fill="auto"/>
          </w:tcPr>
          <w:p w14:paraId="09448F5C"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-0.000</w:t>
            </w:r>
          </w:p>
        </w:tc>
        <w:tc>
          <w:tcPr>
            <w:tcW w:w="1815" w:type="dxa"/>
            <w:shd w:val="clear" w:color="auto" w:fill="auto"/>
          </w:tcPr>
          <w:p w14:paraId="263C62A3"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0.002</w:t>
            </w:r>
          </w:p>
        </w:tc>
        <w:tc>
          <w:tcPr>
            <w:tcW w:w="1753" w:type="dxa"/>
            <w:shd w:val="clear" w:color="auto" w:fill="auto"/>
          </w:tcPr>
          <w:p w14:paraId="75A0D31D"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-0.29</w:t>
            </w:r>
          </w:p>
        </w:tc>
        <w:tc>
          <w:tcPr>
            <w:tcW w:w="1734" w:type="dxa"/>
            <w:vMerge/>
            <w:shd w:val="clear" w:color="auto" w:fill="auto"/>
          </w:tcPr>
          <w:p w14:paraId="35CFFFD0"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r>
      <w:tr w:rsidR="00B54D51" w:rsidRPr="00037AD4" w14:paraId="627B27D5" w14:textId="77777777" w:rsidTr="008F00F0">
        <w:tc>
          <w:tcPr>
            <w:cnfStyle w:val="001000000000" w:firstRow="0" w:lastRow="0" w:firstColumn="1" w:lastColumn="0" w:oddVBand="0" w:evenVBand="0" w:oddHBand="0" w:evenHBand="0" w:firstRowFirstColumn="0" w:firstRowLastColumn="0" w:lastRowFirstColumn="0" w:lastRowLastColumn="0"/>
            <w:tcW w:w="1937" w:type="dxa"/>
            <w:shd w:val="clear" w:color="auto" w:fill="auto"/>
          </w:tcPr>
          <w:p w14:paraId="133C4B29"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FAST</w:t>
            </w:r>
          </w:p>
        </w:tc>
        <w:tc>
          <w:tcPr>
            <w:tcW w:w="1777" w:type="dxa"/>
            <w:shd w:val="clear" w:color="auto" w:fill="auto"/>
          </w:tcPr>
          <w:p w14:paraId="0B1C327F"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-0.114*</w:t>
            </w:r>
          </w:p>
        </w:tc>
        <w:tc>
          <w:tcPr>
            <w:tcW w:w="1815" w:type="dxa"/>
            <w:shd w:val="clear" w:color="auto" w:fill="auto"/>
          </w:tcPr>
          <w:p w14:paraId="53C9FA5E"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0.024</w:t>
            </w:r>
          </w:p>
        </w:tc>
        <w:tc>
          <w:tcPr>
            <w:tcW w:w="1753" w:type="dxa"/>
            <w:shd w:val="clear" w:color="auto" w:fill="auto"/>
          </w:tcPr>
          <w:p w14:paraId="0696C5E3"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-4.83</w:t>
            </w:r>
          </w:p>
        </w:tc>
        <w:tc>
          <w:tcPr>
            <w:tcW w:w="1734" w:type="dxa"/>
            <w:vMerge/>
            <w:shd w:val="clear" w:color="auto" w:fill="auto"/>
          </w:tcPr>
          <w:p w14:paraId="613251DB"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r>
      <w:tr w:rsidR="00B54D51" w:rsidRPr="00037AD4" w14:paraId="29EB9DAE" w14:textId="77777777" w:rsidTr="008F00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7" w:type="dxa"/>
            <w:shd w:val="clear" w:color="auto" w:fill="auto"/>
          </w:tcPr>
          <w:p w14:paraId="29B3F816"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Age (PwD)</w:t>
            </w:r>
          </w:p>
        </w:tc>
        <w:tc>
          <w:tcPr>
            <w:tcW w:w="1777" w:type="dxa"/>
            <w:shd w:val="clear" w:color="auto" w:fill="auto"/>
          </w:tcPr>
          <w:p w14:paraId="7841386F"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-0.002</w:t>
            </w:r>
          </w:p>
        </w:tc>
        <w:tc>
          <w:tcPr>
            <w:tcW w:w="1815" w:type="dxa"/>
            <w:shd w:val="clear" w:color="auto" w:fill="auto"/>
          </w:tcPr>
          <w:p w14:paraId="791EEF5C"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0.002</w:t>
            </w:r>
          </w:p>
        </w:tc>
        <w:tc>
          <w:tcPr>
            <w:tcW w:w="1753" w:type="dxa"/>
            <w:shd w:val="clear" w:color="auto" w:fill="auto"/>
          </w:tcPr>
          <w:p w14:paraId="32D19223"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-0.78</w:t>
            </w:r>
          </w:p>
        </w:tc>
        <w:tc>
          <w:tcPr>
            <w:tcW w:w="1734" w:type="dxa"/>
            <w:vMerge/>
            <w:shd w:val="clear" w:color="auto" w:fill="auto"/>
          </w:tcPr>
          <w:p w14:paraId="2CE009FB"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r>
      <w:tr w:rsidR="00B54D51" w:rsidRPr="00037AD4" w14:paraId="0BE74648" w14:textId="77777777" w:rsidTr="008F00F0">
        <w:tc>
          <w:tcPr>
            <w:cnfStyle w:val="001000000000" w:firstRow="0" w:lastRow="0" w:firstColumn="1" w:lastColumn="0" w:oddVBand="0" w:evenVBand="0" w:oddHBand="0" w:evenHBand="0" w:firstRowFirstColumn="0" w:firstRowLastColumn="0" w:lastRowFirstColumn="0" w:lastRowLastColumn="0"/>
            <w:tcW w:w="1937" w:type="dxa"/>
            <w:shd w:val="clear" w:color="auto" w:fill="auto"/>
          </w:tcPr>
          <w:p w14:paraId="4F0CD83A"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Sex of PwD (female)</w:t>
            </w:r>
          </w:p>
        </w:tc>
        <w:tc>
          <w:tcPr>
            <w:tcW w:w="1777" w:type="dxa"/>
            <w:shd w:val="clear" w:color="auto" w:fill="auto"/>
          </w:tcPr>
          <w:p w14:paraId="3AD015DE"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-0.081*</w:t>
            </w:r>
          </w:p>
        </w:tc>
        <w:tc>
          <w:tcPr>
            <w:tcW w:w="1815" w:type="dxa"/>
            <w:shd w:val="clear" w:color="auto" w:fill="auto"/>
          </w:tcPr>
          <w:p w14:paraId="5BE3B598"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0.041</w:t>
            </w:r>
          </w:p>
        </w:tc>
        <w:tc>
          <w:tcPr>
            <w:tcW w:w="1753" w:type="dxa"/>
            <w:shd w:val="clear" w:color="auto" w:fill="auto"/>
          </w:tcPr>
          <w:p w14:paraId="49BA8127"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-1.96</w:t>
            </w:r>
          </w:p>
        </w:tc>
        <w:tc>
          <w:tcPr>
            <w:tcW w:w="1734" w:type="dxa"/>
            <w:vMerge/>
            <w:shd w:val="clear" w:color="auto" w:fill="auto"/>
          </w:tcPr>
          <w:p w14:paraId="12F99574"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r>
      <w:tr w:rsidR="00B54D51" w:rsidRPr="00037AD4" w14:paraId="3F0F8814" w14:textId="77777777" w:rsidTr="008F00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5"/>
            <w:shd w:val="clear" w:color="auto" w:fill="E7E6E6" w:themeFill="background2"/>
          </w:tcPr>
          <w:p w14:paraId="427FE20B" w14:textId="77777777" w:rsidR="00B54D51" w:rsidRPr="00037AD4" w:rsidRDefault="00B54D51" w:rsidP="008F00F0">
            <w:pPr>
              <w:jc w:val="center"/>
              <w:rPr>
                <w:rFonts w:asciiTheme="minorHAnsi" w:hAnsiTheme="minorHAnsi" w:cstheme="minorHAnsi"/>
              </w:rPr>
            </w:pPr>
            <w:r w:rsidRPr="00037AD4">
              <w:rPr>
                <w:rFonts w:asciiTheme="minorHAnsi" w:hAnsiTheme="minorHAnsi" w:cstheme="minorHAnsi"/>
              </w:rPr>
              <w:t>Staff proxy, n=1627</w:t>
            </w:r>
          </w:p>
        </w:tc>
      </w:tr>
      <w:tr w:rsidR="00B54D51" w:rsidRPr="00037AD4" w14:paraId="034F099E" w14:textId="77777777" w:rsidTr="008F00F0">
        <w:tc>
          <w:tcPr>
            <w:cnfStyle w:val="001000000000" w:firstRow="0" w:lastRow="0" w:firstColumn="1" w:lastColumn="0" w:oddVBand="0" w:evenVBand="0" w:oddHBand="0" w:evenHBand="0" w:firstRowFirstColumn="0" w:firstRowLastColumn="0" w:lastRowFirstColumn="0" w:lastRowLastColumn="0"/>
            <w:tcW w:w="1937" w:type="dxa"/>
            <w:shd w:val="clear" w:color="auto" w:fill="auto"/>
          </w:tcPr>
          <w:p w14:paraId="51E43710"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CDR </w:t>
            </w:r>
          </w:p>
        </w:tc>
        <w:tc>
          <w:tcPr>
            <w:tcW w:w="1777" w:type="dxa"/>
            <w:shd w:val="clear" w:color="auto" w:fill="auto"/>
          </w:tcPr>
          <w:p w14:paraId="3B214BD0"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-0.135*</w:t>
            </w:r>
          </w:p>
        </w:tc>
        <w:tc>
          <w:tcPr>
            <w:tcW w:w="1815" w:type="dxa"/>
            <w:shd w:val="clear" w:color="auto" w:fill="auto"/>
          </w:tcPr>
          <w:p w14:paraId="07662CBA"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0.014</w:t>
            </w:r>
          </w:p>
        </w:tc>
        <w:tc>
          <w:tcPr>
            <w:tcW w:w="1753" w:type="dxa"/>
            <w:shd w:val="clear" w:color="auto" w:fill="auto"/>
          </w:tcPr>
          <w:p w14:paraId="75CE9DF4"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-9.79</w:t>
            </w:r>
          </w:p>
        </w:tc>
        <w:tc>
          <w:tcPr>
            <w:tcW w:w="1734" w:type="dxa"/>
            <w:vMerge w:val="restart"/>
            <w:shd w:val="clear" w:color="auto" w:fill="auto"/>
          </w:tcPr>
          <w:p w14:paraId="128E974C"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0.22</w:t>
            </w:r>
          </w:p>
        </w:tc>
      </w:tr>
      <w:tr w:rsidR="00B54D51" w:rsidRPr="00037AD4" w14:paraId="0C373D1B" w14:textId="77777777" w:rsidTr="008F00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7" w:type="dxa"/>
            <w:shd w:val="clear" w:color="auto" w:fill="auto"/>
          </w:tcPr>
          <w:p w14:paraId="0A309F0F"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NPI</w:t>
            </w:r>
          </w:p>
        </w:tc>
        <w:tc>
          <w:tcPr>
            <w:tcW w:w="1777" w:type="dxa"/>
            <w:shd w:val="clear" w:color="auto" w:fill="auto"/>
          </w:tcPr>
          <w:p w14:paraId="0652BFD2"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-0.000</w:t>
            </w:r>
          </w:p>
        </w:tc>
        <w:tc>
          <w:tcPr>
            <w:tcW w:w="1815" w:type="dxa"/>
            <w:shd w:val="clear" w:color="auto" w:fill="auto"/>
          </w:tcPr>
          <w:p w14:paraId="2F959CB2"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0.001</w:t>
            </w:r>
          </w:p>
        </w:tc>
        <w:tc>
          <w:tcPr>
            <w:tcW w:w="1753" w:type="dxa"/>
            <w:shd w:val="clear" w:color="auto" w:fill="auto"/>
          </w:tcPr>
          <w:p w14:paraId="19A912D7"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-0.04</w:t>
            </w:r>
          </w:p>
        </w:tc>
        <w:tc>
          <w:tcPr>
            <w:tcW w:w="1734" w:type="dxa"/>
            <w:vMerge/>
            <w:shd w:val="clear" w:color="auto" w:fill="auto"/>
          </w:tcPr>
          <w:p w14:paraId="06447B34"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r>
      <w:tr w:rsidR="00B54D51" w:rsidRPr="00037AD4" w14:paraId="22EE76DD" w14:textId="77777777" w:rsidTr="008F00F0">
        <w:tc>
          <w:tcPr>
            <w:cnfStyle w:val="001000000000" w:firstRow="0" w:lastRow="0" w:firstColumn="1" w:lastColumn="0" w:oddVBand="0" w:evenVBand="0" w:oddHBand="0" w:evenHBand="0" w:firstRowFirstColumn="0" w:firstRowLastColumn="0" w:lastRowFirstColumn="0" w:lastRowLastColumn="0"/>
            <w:tcW w:w="1937" w:type="dxa"/>
            <w:shd w:val="clear" w:color="auto" w:fill="auto"/>
          </w:tcPr>
          <w:p w14:paraId="3E2FE5AA"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FAST</w:t>
            </w:r>
          </w:p>
        </w:tc>
        <w:tc>
          <w:tcPr>
            <w:tcW w:w="1777" w:type="dxa"/>
            <w:shd w:val="clear" w:color="auto" w:fill="auto"/>
          </w:tcPr>
          <w:p w14:paraId="4E8A6EB8"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-0.131*</w:t>
            </w:r>
          </w:p>
        </w:tc>
        <w:tc>
          <w:tcPr>
            <w:tcW w:w="1815" w:type="dxa"/>
            <w:shd w:val="clear" w:color="auto" w:fill="auto"/>
          </w:tcPr>
          <w:p w14:paraId="2FC65905"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0.013</w:t>
            </w:r>
          </w:p>
        </w:tc>
        <w:tc>
          <w:tcPr>
            <w:tcW w:w="1753" w:type="dxa"/>
            <w:shd w:val="clear" w:color="auto" w:fill="auto"/>
          </w:tcPr>
          <w:p w14:paraId="6751D5ED"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-10.21</w:t>
            </w:r>
          </w:p>
        </w:tc>
        <w:tc>
          <w:tcPr>
            <w:tcW w:w="1734" w:type="dxa"/>
            <w:vMerge/>
            <w:shd w:val="clear" w:color="auto" w:fill="auto"/>
          </w:tcPr>
          <w:p w14:paraId="4988DF61"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r>
      <w:tr w:rsidR="00B54D51" w:rsidRPr="00037AD4" w14:paraId="729762CB" w14:textId="77777777" w:rsidTr="008F00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7" w:type="dxa"/>
            <w:shd w:val="clear" w:color="auto" w:fill="auto"/>
          </w:tcPr>
          <w:p w14:paraId="3152C1F8"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Age (PwD)</w:t>
            </w:r>
          </w:p>
        </w:tc>
        <w:tc>
          <w:tcPr>
            <w:tcW w:w="1777" w:type="dxa"/>
            <w:shd w:val="clear" w:color="auto" w:fill="auto"/>
          </w:tcPr>
          <w:p w14:paraId="4EE81E16"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-0.001</w:t>
            </w:r>
          </w:p>
        </w:tc>
        <w:tc>
          <w:tcPr>
            <w:tcW w:w="1815" w:type="dxa"/>
            <w:shd w:val="clear" w:color="auto" w:fill="auto"/>
          </w:tcPr>
          <w:p w14:paraId="39D70769"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0.001</w:t>
            </w:r>
          </w:p>
        </w:tc>
        <w:tc>
          <w:tcPr>
            <w:tcW w:w="1753" w:type="dxa"/>
            <w:shd w:val="clear" w:color="auto" w:fill="auto"/>
          </w:tcPr>
          <w:p w14:paraId="094423AF"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-0.59</w:t>
            </w:r>
          </w:p>
        </w:tc>
        <w:tc>
          <w:tcPr>
            <w:tcW w:w="1734" w:type="dxa"/>
            <w:vMerge/>
            <w:shd w:val="clear" w:color="auto" w:fill="auto"/>
          </w:tcPr>
          <w:p w14:paraId="1619B091"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r>
      <w:tr w:rsidR="00B54D51" w:rsidRPr="00037AD4" w14:paraId="266473A2" w14:textId="77777777" w:rsidTr="008F00F0">
        <w:tc>
          <w:tcPr>
            <w:cnfStyle w:val="001000000000" w:firstRow="0" w:lastRow="0" w:firstColumn="1" w:lastColumn="0" w:oddVBand="0" w:evenVBand="0" w:oddHBand="0" w:evenHBand="0" w:firstRowFirstColumn="0" w:firstRowLastColumn="0" w:lastRowFirstColumn="0" w:lastRowLastColumn="0"/>
            <w:tcW w:w="1937" w:type="dxa"/>
            <w:shd w:val="clear" w:color="auto" w:fill="auto"/>
          </w:tcPr>
          <w:p w14:paraId="34B607D3"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Sex of PwD (female)</w:t>
            </w:r>
          </w:p>
        </w:tc>
        <w:tc>
          <w:tcPr>
            <w:tcW w:w="1777" w:type="dxa"/>
            <w:shd w:val="clear" w:color="auto" w:fill="auto"/>
          </w:tcPr>
          <w:p w14:paraId="4656E9B7"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-0.024</w:t>
            </w:r>
          </w:p>
        </w:tc>
        <w:tc>
          <w:tcPr>
            <w:tcW w:w="1815" w:type="dxa"/>
            <w:shd w:val="clear" w:color="auto" w:fill="auto"/>
          </w:tcPr>
          <w:p w14:paraId="0F50F6F0"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0.021</w:t>
            </w:r>
          </w:p>
        </w:tc>
        <w:tc>
          <w:tcPr>
            <w:tcW w:w="1753" w:type="dxa"/>
            <w:shd w:val="clear" w:color="auto" w:fill="auto"/>
          </w:tcPr>
          <w:p w14:paraId="301E066B"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-1.16</w:t>
            </w:r>
          </w:p>
        </w:tc>
        <w:tc>
          <w:tcPr>
            <w:tcW w:w="1734" w:type="dxa"/>
            <w:vMerge/>
            <w:shd w:val="clear" w:color="auto" w:fill="auto"/>
          </w:tcPr>
          <w:p w14:paraId="0AE8F750"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r>
      <w:tr w:rsidR="00B54D51" w:rsidRPr="00037AD4" w14:paraId="11BC8A6C" w14:textId="77777777" w:rsidTr="008F00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5"/>
            <w:shd w:val="clear" w:color="auto" w:fill="auto"/>
          </w:tcPr>
          <w:p w14:paraId="76B4D0D6" w14:textId="77777777" w:rsidR="00B54D51" w:rsidRPr="00037AD4" w:rsidRDefault="00B54D51" w:rsidP="008F00F0">
            <w:pPr>
              <w:rPr>
                <w:rFonts w:asciiTheme="minorHAnsi" w:hAnsiTheme="minorHAnsi" w:cstheme="minorHAnsi"/>
                <w:b w:val="0"/>
                <w:bCs w:val="0"/>
              </w:rPr>
            </w:pPr>
            <w:r w:rsidRPr="00037AD4">
              <w:rPr>
                <w:rFonts w:asciiTheme="minorHAnsi" w:hAnsiTheme="minorHAnsi" w:cstheme="minorHAnsi"/>
                <w:b w:val="0"/>
                <w:bCs w:val="0"/>
                <w:sz w:val="20"/>
                <w:szCs w:val="20"/>
              </w:rPr>
              <w:t xml:space="preserve">*p&lt;0.05; Age and sex relate to PwD only as this information was not collected about the proxies; CDR, clinical dementia rating scale; FAST, functional assessment staging tool for Dementia; NPI, neuropsychiatric inventory; uses EQ-5D-5L </w:t>
            </w:r>
          </w:p>
        </w:tc>
      </w:tr>
    </w:tbl>
    <w:p w14:paraId="0916FB46" w14:textId="77777777" w:rsidR="00B54D51" w:rsidRPr="00037AD4" w:rsidRDefault="00B54D51" w:rsidP="002147C5">
      <w:pPr>
        <w:rPr>
          <w:rFonts w:asciiTheme="minorHAnsi" w:hAnsiTheme="minorHAnsi" w:cstheme="minorHAnsi"/>
          <w:b/>
          <w:bCs/>
          <w:color w:val="FF0000"/>
          <w:u w:val="single"/>
        </w:rPr>
      </w:pPr>
    </w:p>
    <w:p w14:paraId="49C1099B" w14:textId="2BD408A5" w:rsidR="00B54D51" w:rsidRDefault="00B54D51" w:rsidP="002147C5">
      <w:pPr>
        <w:rPr>
          <w:rFonts w:asciiTheme="minorHAnsi" w:hAnsiTheme="minorHAnsi" w:cstheme="minorHAnsi"/>
        </w:rPr>
      </w:pPr>
      <w:r w:rsidRPr="00037AD4">
        <w:rPr>
          <w:rFonts w:asciiTheme="minorHAnsi" w:hAnsiTheme="minorHAnsi" w:cstheme="minorHAnsi"/>
        </w:rPr>
        <w:t xml:space="preserve">Table 28 presents the multivariate regression analysis conducted to explore any potential differences in the predictors of proxy EQ-5D index scores by the two key informal proxy types: spouse and offspring proxies. The key difference is the presence of predictors for spouse proxy scores, that are absent for offspring utility scores. In the REMCARE data these are proxy demographics and for ACTIFCARE, these variables are CDR and MMSE. </w:t>
      </w:r>
    </w:p>
    <w:p w14:paraId="76800B48" w14:textId="77777777" w:rsidR="00B54D51" w:rsidRPr="00037AD4" w:rsidRDefault="00B54D51" w:rsidP="002147C5">
      <w:pPr>
        <w:rPr>
          <w:rFonts w:asciiTheme="minorHAnsi" w:hAnsiTheme="minorHAnsi" w:cstheme="minorHAnsi"/>
          <w:b/>
          <w:bCs/>
          <w:i/>
          <w:iCs/>
        </w:rPr>
      </w:pPr>
      <w:r w:rsidRPr="00037AD4">
        <w:rPr>
          <w:rFonts w:asciiTheme="minorHAnsi" w:hAnsiTheme="minorHAnsi" w:cstheme="minorHAnsi"/>
          <w:b/>
          <w:bCs/>
          <w:i/>
          <w:iCs/>
        </w:rPr>
        <w:lastRenderedPageBreak/>
        <w:t>Table 28, Predictors of EQ-5D index scores regression output by informal proxy type</w:t>
      </w:r>
    </w:p>
    <w:p w14:paraId="293DCA8F" w14:textId="77777777" w:rsidR="00B54D51" w:rsidRPr="00037AD4" w:rsidRDefault="00B54D51" w:rsidP="002147C5">
      <w:pPr>
        <w:rPr>
          <w:rFonts w:asciiTheme="minorHAnsi" w:hAnsiTheme="minorHAnsi" w:cstheme="minorHAnsi"/>
        </w:rPr>
      </w:pPr>
    </w:p>
    <w:tbl>
      <w:tblPr>
        <w:tblStyle w:val="PlainTable1"/>
        <w:tblW w:w="9282" w:type="dxa"/>
        <w:tblLook w:val="04A0" w:firstRow="1" w:lastRow="0" w:firstColumn="1" w:lastColumn="0" w:noHBand="0" w:noVBand="1"/>
      </w:tblPr>
      <w:tblGrid>
        <w:gridCol w:w="1295"/>
        <w:gridCol w:w="1350"/>
        <w:gridCol w:w="816"/>
        <w:gridCol w:w="1033"/>
        <w:gridCol w:w="894"/>
        <w:gridCol w:w="1350"/>
        <w:gridCol w:w="840"/>
        <w:gridCol w:w="1000"/>
        <w:gridCol w:w="704"/>
      </w:tblGrid>
      <w:tr w:rsidR="00B54D51" w:rsidRPr="00037AD4" w14:paraId="56CE9238" w14:textId="77777777" w:rsidTr="008F00F0">
        <w:trPr>
          <w:cnfStyle w:val="100000000000" w:firstRow="1" w:lastRow="0" w:firstColumn="0" w:lastColumn="0" w:oddVBand="0" w:evenVBand="0" w:oddHBand="0"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1295" w:type="dxa"/>
            <w:shd w:val="clear" w:color="auto" w:fill="auto"/>
          </w:tcPr>
          <w:p w14:paraId="42909E19" w14:textId="77777777" w:rsidR="00B54D51" w:rsidRPr="00037AD4" w:rsidRDefault="00B54D51" w:rsidP="008F00F0">
            <w:pPr>
              <w:rPr>
                <w:rFonts w:asciiTheme="minorHAnsi" w:hAnsiTheme="minorHAnsi" w:cstheme="minorHAnsi"/>
              </w:rPr>
            </w:pPr>
          </w:p>
        </w:tc>
        <w:tc>
          <w:tcPr>
            <w:tcW w:w="1350" w:type="dxa"/>
            <w:shd w:val="clear" w:color="auto" w:fill="auto"/>
          </w:tcPr>
          <w:p w14:paraId="410E103B" w14:textId="77777777" w:rsidR="00B54D51" w:rsidRPr="00037AD4" w:rsidRDefault="00B54D51" w:rsidP="008F00F0">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b w:val="0"/>
                <w:bCs w:val="0"/>
                <w:i/>
                <w:iCs/>
              </w:rPr>
              <w:t>Coefficient</w:t>
            </w:r>
          </w:p>
        </w:tc>
        <w:tc>
          <w:tcPr>
            <w:tcW w:w="816" w:type="dxa"/>
            <w:shd w:val="clear" w:color="auto" w:fill="auto"/>
          </w:tcPr>
          <w:p w14:paraId="53917788" w14:textId="77777777" w:rsidR="00B54D51" w:rsidRPr="00037AD4" w:rsidRDefault="00B54D51" w:rsidP="008F00F0">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b w:val="0"/>
                <w:bCs w:val="0"/>
              </w:rPr>
              <w:t>Std. err.</w:t>
            </w:r>
          </w:p>
        </w:tc>
        <w:tc>
          <w:tcPr>
            <w:tcW w:w="1033" w:type="dxa"/>
            <w:shd w:val="clear" w:color="auto" w:fill="auto"/>
          </w:tcPr>
          <w:p w14:paraId="0EA37CEB" w14:textId="77777777" w:rsidR="00B54D51" w:rsidRPr="00037AD4" w:rsidRDefault="00B54D51" w:rsidP="008F00F0">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b w:val="0"/>
                <w:bCs w:val="0"/>
                <w:i/>
                <w:iCs/>
              </w:rPr>
              <w:t>T</w:t>
            </w:r>
          </w:p>
        </w:tc>
        <w:tc>
          <w:tcPr>
            <w:tcW w:w="894" w:type="dxa"/>
            <w:shd w:val="clear" w:color="auto" w:fill="auto"/>
          </w:tcPr>
          <w:p w14:paraId="30FBF50D" w14:textId="77777777" w:rsidR="00B54D51" w:rsidRPr="00037AD4" w:rsidRDefault="00B54D51" w:rsidP="008F00F0">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b w:val="0"/>
                <w:bCs w:val="0"/>
                <w:i/>
                <w:iCs/>
              </w:rPr>
              <w:t>R</w:t>
            </w:r>
            <w:r w:rsidRPr="00037AD4">
              <w:rPr>
                <w:rFonts w:asciiTheme="minorHAnsi" w:hAnsiTheme="minorHAnsi" w:cstheme="minorHAnsi"/>
                <w:b w:val="0"/>
                <w:bCs w:val="0"/>
                <w:i/>
                <w:iCs/>
                <w:vertAlign w:val="superscript"/>
              </w:rPr>
              <w:t>2</w:t>
            </w:r>
          </w:p>
        </w:tc>
        <w:tc>
          <w:tcPr>
            <w:tcW w:w="1350" w:type="dxa"/>
            <w:shd w:val="clear" w:color="auto" w:fill="auto"/>
          </w:tcPr>
          <w:p w14:paraId="4CF4B79B" w14:textId="77777777" w:rsidR="00B54D51" w:rsidRPr="00037AD4" w:rsidRDefault="00B54D51" w:rsidP="008F00F0">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b w:val="0"/>
                <w:bCs w:val="0"/>
                <w:i/>
                <w:iCs/>
              </w:rPr>
              <w:t>Coefficient</w:t>
            </w:r>
          </w:p>
        </w:tc>
        <w:tc>
          <w:tcPr>
            <w:tcW w:w="840" w:type="dxa"/>
            <w:shd w:val="clear" w:color="auto" w:fill="auto"/>
          </w:tcPr>
          <w:p w14:paraId="6334A4E0" w14:textId="77777777" w:rsidR="00B54D51" w:rsidRPr="00037AD4" w:rsidRDefault="00B54D51" w:rsidP="008F00F0">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b w:val="0"/>
                <w:bCs w:val="0"/>
              </w:rPr>
              <w:t xml:space="preserve">Std. err. </w:t>
            </w:r>
          </w:p>
        </w:tc>
        <w:tc>
          <w:tcPr>
            <w:tcW w:w="1000" w:type="dxa"/>
            <w:shd w:val="clear" w:color="auto" w:fill="auto"/>
          </w:tcPr>
          <w:p w14:paraId="75A610F8" w14:textId="77777777" w:rsidR="00B54D51" w:rsidRPr="00037AD4" w:rsidRDefault="00B54D51" w:rsidP="008F00F0">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b w:val="0"/>
                <w:bCs w:val="0"/>
                <w:i/>
                <w:iCs/>
              </w:rPr>
              <w:t>t</w:t>
            </w:r>
          </w:p>
        </w:tc>
        <w:tc>
          <w:tcPr>
            <w:tcW w:w="704" w:type="dxa"/>
            <w:shd w:val="clear" w:color="auto" w:fill="auto"/>
          </w:tcPr>
          <w:p w14:paraId="7EE5F400" w14:textId="77777777" w:rsidR="00B54D51" w:rsidRPr="00037AD4" w:rsidRDefault="00B54D51" w:rsidP="008F00F0">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b w:val="0"/>
                <w:bCs w:val="0"/>
                <w:i/>
                <w:iCs/>
              </w:rPr>
              <w:t>R</w:t>
            </w:r>
            <w:r w:rsidRPr="00037AD4">
              <w:rPr>
                <w:rFonts w:asciiTheme="minorHAnsi" w:hAnsiTheme="minorHAnsi" w:cstheme="minorHAnsi"/>
                <w:b w:val="0"/>
                <w:bCs w:val="0"/>
                <w:i/>
                <w:iCs/>
                <w:vertAlign w:val="superscript"/>
              </w:rPr>
              <w:t>2</w:t>
            </w:r>
          </w:p>
        </w:tc>
      </w:tr>
      <w:tr w:rsidR="00B54D51" w:rsidRPr="00037AD4" w14:paraId="321977D1" w14:textId="77777777" w:rsidTr="008F00F0">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9282" w:type="dxa"/>
            <w:gridSpan w:val="9"/>
            <w:shd w:val="clear" w:color="auto" w:fill="E7E6E6" w:themeFill="background2"/>
          </w:tcPr>
          <w:p w14:paraId="4DCC4FAD" w14:textId="77777777" w:rsidR="00B54D51" w:rsidRPr="00037AD4" w:rsidRDefault="00B54D51" w:rsidP="008F00F0">
            <w:pPr>
              <w:jc w:val="center"/>
              <w:rPr>
                <w:rFonts w:asciiTheme="minorHAnsi" w:hAnsiTheme="minorHAnsi" w:cstheme="minorHAnsi"/>
              </w:rPr>
            </w:pPr>
            <w:r w:rsidRPr="00037AD4">
              <w:rPr>
                <w:rFonts w:asciiTheme="minorHAnsi" w:hAnsiTheme="minorHAnsi" w:cstheme="minorHAnsi"/>
              </w:rPr>
              <w:t>REMCARE</w:t>
            </w:r>
          </w:p>
        </w:tc>
      </w:tr>
      <w:tr w:rsidR="00B54D51" w:rsidRPr="00037AD4" w14:paraId="47F5343A" w14:textId="77777777" w:rsidTr="008F00F0">
        <w:trPr>
          <w:trHeight w:val="253"/>
        </w:trPr>
        <w:tc>
          <w:tcPr>
            <w:cnfStyle w:val="001000000000" w:firstRow="0" w:lastRow="0" w:firstColumn="1" w:lastColumn="0" w:oddVBand="0" w:evenVBand="0" w:oddHBand="0" w:evenHBand="0" w:firstRowFirstColumn="0" w:firstRowLastColumn="0" w:lastRowFirstColumn="0" w:lastRowLastColumn="0"/>
            <w:tcW w:w="4494" w:type="dxa"/>
            <w:gridSpan w:val="4"/>
            <w:shd w:val="clear" w:color="auto" w:fill="auto"/>
          </w:tcPr>
          <w:p w14:paraId="161649D8" w14:textId="77777777" w:rsidR="00B54D51" w:rsidRPr="00037AD4" w:rsidRDefault="00B54D51" w:rsidP="008F00F0">
            <w:pPr>
              <w:jc w:val="center"/>
              <w:rPr>
                <w:rFonts w:asciiTheme="minorHAnsi" w:hAnsiTheme="minorHAnsi" w:cstheme="minorHAnsi"/>
              </w:rPr>
            </w:pPr>
            <w:r w:rsidRPr="00037AD4">
              <w:rPr>
                <w:rFonts w:asciiTheme="minorHAnsi" w:hAnsiTheme="minorHAnsi" w:cstheme="minorHAnsi"/>
              </w:rPr>
              <w:t>Spousal proxy</w:t>
            </w:r>
            <w:r w:rsidRPr="00037AD4">
              <w:rPr>
                <w:rFonts w:asciiTheme="minorHAnsi" w:hAnsiTheme="minorHAnsi" w:cstheme="minorHAnsi"/>
                <w:i/>
                <w:iCs/>
              </w:rPr>
              <w:t xml:space="preserve">, </w:t>
            </w:r>
            <w:r w:rsidRPr="00037AD4">
              <w:rPr>
                <w:rFonts w:asciiTheme="minorHAnsi" w:hAnsiTheme="minorHAnsi" w:cstheme="minorHAnsi"/>
                <w:b w:val="0"/>
                <w:bCs w:val="0"/>
                <w:i/>
                <w:iCs/>
              </w:rPr>
              <w:t>n=676</w:t>
            </w:r>
          </w:p>
        </w:tc>
        <w:tc>
          <w:tcPr>
            <w:tcW w:w="894" w:type="dxa"/>
            <w:vMerge w:val="restart"/>
            <w:shd w:val="clear" w:color="auto" w:fill="auto"/>
          </w:tcPr>
          <w:p w14:paraId="701BB0CB"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0.50</w:t>
            </w:r>
          </w:p>
        </w:tc>
        <w:tc>
          <w:tcPr>
            <w:tcW w:w="3190" w:type="dxa"/>
            <w:gridSpan w:val="3"/>
            <w:shd w:val="clear" w:color="auto" w:fill="auto"/>
          </w:tcPr>
          <w:p w14:paraId="715A46F7" w14:textId="77777777" w:rsidR="00B54D51" w:rsidRPr="00037AD4" w:rsidRDefault="00B54D51" w:rsidP="007166B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rPr>
            </w:pPr>
            <w:r w:rsidRPr="00037AD4">
              <w:rPr>
                <w:rFonts w:asciiTheme="minorHAnsi" w:hAnsiTheme="minorHAnsi" w:cstheme="minorHAnsi"/>
                <w:b/>
                <w:bCs/>
              </w:rPr>
              <w:t>Offspring proxy</w:t>
            </w:r>
            <w:r w:rsidRPr="00037AD4">
              <w:rPr>
                <w:rFonts w:asciiTheme="minorHAnsi" w:hAnsiTheme="minorHAnsi" w:cstheme="minorHAnsi"/>
                <w:i/>
                <w:iCs/>
              </w:rPr>
              <w:t>, n=178</w:t>
            </w:r>
          </w:p>
        </w:tc>
        <w:tc>
          <w:tcPr>
            <w:tcW w:w="704" w:type="dxa"/>
            <w:vMerge w:val="restart"/>
            <w:shd w:val="clear" w:color="auto" w:fill="auto"/>
          </w:tcPr>
          <w:p w14:paraId="2F616F3D"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0.36</w:t>
            </w:r>
          </w:p>
        </w:tc>
      </w:tr>
      <w:tr w:rsidR="00B54D51" w:rsidRPr="00037AD4" w14:paraId="071F017B" w14:textId="77777777" w:rsidTr="008F00F0">
        <w:trPr>
          <w:cnfStyle w:val="000000100000" w:firstRow="0" w:lastRow="0" w:firstColumn="0" w:lastColumn="0" w:oddVBand="0" w:evenVBand="0" w:oddHBand="1"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1295" w:type="dxa"/>
            <w:shd w:val="clear" w:color="auto" w:fill="auto"/>
          </w:tcPr>
          <w:p w14:paraId="24E17056"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BADLS</w:t>
            </w:r>
          </w:p>
        </w:tc>
        <w:tc>
          <w:tcPr>
            <w:tcW w:w="1350" w:type="dxa"/>
            <w:shd w:val="clear" w:color="auto" w:fill="auto"/>
          </w:tcPr>
          <w:p w14:paraId="779F4FDB"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-0.014*</w:t>
            </w:r>
          </w:p>
        </w:tc>
        <w:tc>
          <w:tcPr>
            <w:tcW w:w="816" w:type="dxa"/>
            <w:shd w:val="clear" w:color="auto" w:fill="auto"/>
          </w:tcPr>
          <w:p w14:paraId="35C782BD"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0.001</w:t>
            </w:r>
          </w:p>
        </w:tc>
        <w:tc>
          <w:tcPr>
            <w:tcW w:w="1033" w:type="dxa"/>
            <w:shd w:val="clear" w:color="auto" w:fill="auto"/>
          </w:tcPr>
          <w:p w14:paraId="41EF6201"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-17.06</w:t>
            </w:r>
          </w:p>
        </w:tc>
        <w:tc>
          <w:tcPr>
            <w:tcW w:w="894" w:type="dxa"/>
            <w:vMerge/>
            <w:shd w:val="clear" w:color="auto" w:fill="auto"/>
          </w:tcPr>
          <w:p w14:paraId="178F95EF"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1350" w:type="dxa"/>
            <w:shd w:val="clear" w:color="auto" w:fill="auto"/>
          </w:tcPr>
          <w:p w14:paraId="7A77B5EE"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-0.011*</w:t>
            </w:r>
          </w:p>
        </w:tc>
        <w:tc>
          <w:tcPr>
            <w:tcW w:w="840" w:type="dxa"/>
            <w:shd w:val="clear" w:color="auto" w:fill="auto"/>
          </w:tcPr>
          <w:p w14:paraId="5D8B6FEF"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0.002</w:t>
            </w:r>
          </w:p>
        </w:tc>
        <w:tc>
          <w:tcPr>
            <w:tcW w:w="1000" w:type="dxa"/>
            <w:shd w:val="clear" w:color="auto" w:fill="auto"/>
          </w:tcPr>
          <w:p w14:paraId="4952030F"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-6.04</w:t>
            </w:r>
          </w:p>
        </w:tc>
        <w:tc>
          <w:tcPr>
            <w:tcW w:w="704" w:type="dxa"/>
            <w:vMerge/>
            <w:shd w:val="clear" w:color="auto" w:fill="auto"/>
          </w:tcPr>
          <w:p w14:paraId="6A4C2B1E"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r>
      <w:tr w:rsidR="00B54D51" w:rsidRPr="00037AD4" w14:paraId="48CA8127" w14:textId="77777777" w:rsidTr="008F00F0">
        <w:trPr>
          <w:trHeight w:val="271"/>
        </w:trPr>
        <w:tc>
          <w:tcPr>
            <w:cnfStyle w:val="001000000000" w:firstRow="0" w:lastRow="0" w:firstColumn="1" w:lastColumn="0" w:oddVBand="0" w:evenVBand="0" w:oddHBand="0" w:evenHBand="0" w:firstRowFirstColumn="0" w:firstRowLastColumn="0" w:lastRowFirstColumn="0" w:lastRowLastColumn="0"/>
            <w:tcW w:w="1295" w:type="dxa"/>
            <w:shd w:val="clear" w:color="auto" w:fill="auto"/>
          </w:tcPr>
          <w:p w14:paraId="4B888E85"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CDR </w:t>
            </w:r>
          </w:p>
        </w:tc>
        <w:tc>
          <w:tcPr>
            <w:tcW w:w="1350" w:type="dxa"/>
            <w:shd w:val="clear" w:color="auto" w:fill="auto"/>
          </w:tcPr>
          <w:p w14:paraId="50D05F0E"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0.023</w:t>
            </w:r>
          </w:p>
        </w:tc>
        <w:tc>
          <w:tcPr>
            <w:tcW w:w="816" w:type="dxa"/>
            <w:shd w:val="clear" w:color="auto" w:fill="auto"/>
          </w:tcPr>
          <w:p w14:paraId="64DB74A6"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0.029</w:t>
            </w:r>
          </w:p>
        </w:tc>
        <w:tc>
          <w:tcPr>
            <w:tcW w:w="1033" w:type="dxa"/>
            <w:shd w:val="clear" w:color="auto" w:fill="auto"/>
          </w:tcPr>
          <w:p w14:paraId="5216F8F8"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1.22</w:t>
            </w:r>
          </w:p>
        </w:tc>
        <w:tc>
          <w:tcPr>
            <w:tcW w:w="894" w:type="dxa"/>
            <w:vMerge/>
            <w:shd w:val="clear" w:color="auto" w:fill="auto"/>
          </w:tcPr>
          <w:p w14:paraId="565A14D0"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1350" w:type="dxa"/>
            <w:shd w:val="clear" w:color="auto" w:fill="auto"/>
          </w:tcPr>
          <w:p w14:paraId="58DD5DC8"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0.033</w:t>
            </w:r>
          </w:p>
        </w:tc>
        <w:tc>
          <w:tcPr>
            <w:tcW w:w="840" w:type="dxa"/>
            <w:shd w:val="clear" w:color="auto" w:fill="auto"/>
          </w:tcPr>
          <w:p w14:paraId="3F63A2EA"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0.037</w:t>
            </w:r>
          </w:p>
        </w:tc>
        <w:tc>
          <w:tcPr>
            <w:tcW w:w="1000" w:type="dxa"/>
            <w:shd w:val="clear" w:color="auto" w:fill="auto"/>
          </w:tcPr>
          <w:p w14:paraId="6C6DBC01"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0.91</w:t>
            </w:r>
          </w:p>
        </w:tc>
        <w:tc>
          <w:tcPr>
            <w:tcW w:w="704" w:type="dxa"/>
            <w:vMerge/>
            <w:shd w:val="clear" w:color="auto" w:fill="auto"/>
          </w:tcPr>
          <w:p w14:paraId="48D259C4"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r>
      <w:tr w:rsidR="00B54D51" w:rsidRPr="00037AD4" w14:paraId="59943171" w14:textId="77777777" w:rsidTr="008F00F0">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1295" w:type="dxa"/>
            <w:shd w:val="clear" w:color="auto" w:fill="auto"/>
          </w:tcPr>
          <w:p w14:paraId="1BC9A3EA"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CSDD </w:t>
            </w:r>
          </w:p>
        </w:tc>
        <w:tc>
          <w:tcPr>
            <w:tcW w:w="1350" w:type="dxa"/>
            <w:shd w:val="clear" w:color="auto" w:fill="auto"/>
          </w:tcPr>
          <w:p w14:paraId="21A20D52"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-0.018*</w:t>
            </w:r>
          </w:p>
        </w:tc>
        <w:tc>
          <w:tcPr>
            <w:tcW w:w="816" w:type="dxa"/>
            <w:shd w:val="clear" w:color="auto" w:fill="auto"/>
          </w:tcPr>
          <w:p w14:paraId="60E5B6F0"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0.003</w:t>
            </w:r>
          </w:p>
        </w:tc>
        <w:tc>
          <w:tcPr>
            <w:tcW w:w="1033" w:type="dxa"/>
            <w:shd w:val="clear" w:color="auto" w:fill="auto"/>
          </w:tcPr>
          <w:p w14:paraId="67A7FF35"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-10.58</w:t>
            </w:r>
          </w:p>
        </w:tc>
        <w:tc>
          <w:tcPr>
            <w:tcW w:w="894" w:type="dxa"/>
            <w:vMerge/>
            <w:shd w:val="clear" w:color="auto" w:fill="auto"/>
          </w:tcPr>
          <w:p w14:paraId="32F69548"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1350" w:type="dxa"/>
            <w:shd w:val="clear" w:color="auto" w:fill="auto"/>
          </w:tcPr>
          <w:p w14:paraId="38C9BCC1"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-0.015*</w:t>
            </w:r>
          </w:p>
        </w:tc>
        <w:tc>
          <w:tcPr>
            <w:tcW w:w="840" w:type="dxa"/>
            <w:shd w:val="clear" w:color="auto" w:fill="auto"/>
          </w:tcPr>
          <w:p w14:paraId="2E5B0A89"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0.003</w:t>
            </w:r>
          </w:p>
        </w:tc>
        <w:tc>
          <w:tcPr>
            <w:tcW w:w="1000" w:type="dxa"/>
            <w:shd w:val="clear" w:color="auto" w:fill="auto"/>
          </w:tcPr>
          <w:p w14:paraId="75AFFC1D"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-5.54</w:t>
            </w:r>
          </w:p>
        </w:tc>
        <w:tc>
          <w:tcPr>
            <w:tcW w:w="704" w:type="dxa"/>
            <w:vMerge/>
            <w:shd w:val="clear" w:color="auto" w:fill="auto"/>
          </w:tcPr>
          <w:p w14:paraId="7B67D646"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r>
      <w:tr w:rsidR="00B54D51" w:rsidRPr="00037AD4" w14:paraId="55CF09EC" w14:textId="77777777" w:rsidTr="008F00F0">
        <w:trPr>
          <w:trHeight w:val="815"/>
        </w:trPr>
        <w:tc>
          <w:tcPr>
            <w:cnfStyle w:val="001000000000" w:firstRow="0" w:lastRow="0" w:firstColumn="1" w:lastColumn="0" w:oddVBand="0" w:evenVBand="0" w:oddHBand="0" w:evenHBand="0" w:firstRowFirstColumn="0" w:firstRowLastColumn="0" w:lastRowFirstColumn="0" w:lastRowLastColumn="0"/>
            <w:tcW w:w="1295" w:type="dxa"/>
            <w:shd w:val="clear" w:color="auto" w:fill="auto"/>
          </w:tcPr>
          <w:p w14:paraId="25399930"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Carer’s own EQ-5D utility</w:t>
            </w:r>
          </w:p>
        </w:tc>
        <w:tc>
          <w:tcPr>
            <w:tcW w:w="1350" w:type="dxa"/>
            <w:shd w:val="clear" w:color="auto" w:fill="auto"/>
          </w:tcPr>
          <w:p w14:paraId="2DB697D0"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0.096*</w:t>
            </w:r>
          </w:p>
        </w:tc>
        <w:tc>
          <w:tcPr>
            <w:tcW w:w="816" w:type="dxa"/>
            <w:shd w:val="clear" w:color="auto" w:fill="auto"/>
          </w:tcPr>
          <w:p w14:paraId="50EAC414"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0.051</w:t>
            </w:r>
          </w:p>
        </w:tc>
        <w:tc>
          <w:tcPr>
            <w:tcW w:w="1033" w:type="dxa"/>
            <w:shd w:val="clear" w:color="auto" w:fill="auto"/>
          </w:tcPr>
          <w:p w14:paraId="597111F9"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2.86</w:t>
            </w:r>
          </w:p>
        </w:tc>
        <w:tc>
          <w:tcPr>
            <w:tcW w:w="894" w:type="dxa"/>
            <w:vMerge/>
            <w:shd w:val="clear" w:color="auto" w:fill="auto"/>
          </w:tcPr>
          <w:p w14:paraId="61CB6E13"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1350" w:type="dxa"/>
            <w:shd w:val="clear" w:color="auto" w:fill="auto"/>
          </w:tcPr>
          <w:p w14:paraId="544AA8F7"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0.221*</w:t>
            </w:r>
          </w:p>
        </w:tc>
        <w:tc>
          <w:tcPr>
            <w:tcW w:w="840" w:type="dxa"/>
            <w:shd w:val="clear" w:color="auto" w:fill="auto"/>
          </w:tcPr>
          <w:p w14:paraId="4F40F24F"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0.073</w:t>
            </w:r>
          </w:p>
        </w:tc>
        <w:tc>
          <w:tcPr>
            <w:tcW w:w="1000" w:type="dxa"/>
            <w:shd w:val="clear" w:color="auto" w:fill="auto"/>
          </w:tcPr>
          <w:p w14:paraId="099C8DBB"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3.03</w:t>
            </w:r>
          </w:p>
        </w:tc>
        <w:tc>
          <w:tcPr>
            <w:tcW w:w="704" w:type="dxa"/>
            <w:vMerge/>
            <w:shd w:val="clear" w:color="auto" w:fill="auto"/>
          </w:tcPr>
          <w:p w14:paraId="55F5E7EB"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r>
      <w:tr w:rsidR="00B54D51" w:rsidRPr="00037AD4" w14:paraId="49FD516F" w14:textId="77777777" w:rsidTr="008F00F0">
        <w:trPr>
          <w:cnfStyle w:val="000000100000" w:firstRow="0" w:lastRow="0" w:firstColumn="0" w:lastColumn="0" w:oddVBand="0" w:evenVBand="0" w:oddHBand="1" w:evenHBand="0" w:firstRowFirstColumn="0" w:firstRowLastColumn="0" w:lastRowFirstColumn="0" w:lastRowLastColumn="0"/>
          <w:trHeight w:val="544"/>
        </w:trPr>
        <w:tc>
          <w:tcPr>
            <w:cnfStyle w:val="001000000000" w:firstRow="0" w:lastRow="0" w:firstColumn="1" w:lastColumn="0" w:oddVBand="0" w:evenVBand="0" w:oddHBand="0" w:evenHBand="0" w:firstRowFirstColumn="0" w:firstRowLastColumn="0" w:lastRowFirstColumn="0" w:lastRowLastColumn="0"/>
            <w:tcW w:w="1295" w:type="dxa"/>
            <w:shd w:val="clear" w:color="auto" w:fill="auto"/>
          </w:tcPr>
          <w:p w14:paraId="02BC7DA0"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Age (carer)</w:t>
            </w:r>
          </w:p>
        </w:tc>
        <w:tc>
          <w:tcPr>
            <w:tcW w:w="1350" w:type="dxa"/>
            <w:shd w:val="clear" w:color="auto" w:fill="auto"/>
          </w:tcPr>
          <w:p w14:paraId="142C2344"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-0.003*</w:t>
            </w:r>
          </w:p>
        </w:tc>
        <w:tc>
          <w:tcPr>
            <w:tcW w:w="816" w:type="dxa"/>
            <w:shd w:val="clear" w:color="auto" w:fill="auto"/>
          </w:tcPr>
          <w:p w14:paraId="7C51ADC3"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0.002</w:t>
            </w:r>
          </w:p>
        </w:tc>
        <w:tc>
          <w:tcPr>
            <w:tcW w:w="1033" w:type="dxa"/>
            <w:shd w:val="clear" w:color="auto" w:fill="auto"/>
          </w:tcPr>
          <w:p w14:paraId="6483FC50"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-2.49</w:t>
            </w:r>
          </w:p>
        </w:tc>
        <w:tc>
          <w:tcPr>
            <w:tcW w:w="894" w:type="dxa"/>
            <w:vMerge/>
            <w:shd w:val="clear" w:color="auto" w:fill="auto"/>
          </w:tcPr>
          <w:p w14:paraId="36736740"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1350" w:type="dxa"/>
            <w:shd w:val="clear" w:color="auto" w:fill="auto"/>
          </w:tcPr>
          <w:p w14:paraId="044CC218"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0.002</w:t>
            </w:r>
          </w:p>
        </w:tc>
        <w:tc>
          <w:tcPr>
            <w:tcW w:w="840" w:type="dxa"/>
            <w:shd w:val="clear" w:color="auto" w:fill="auto"/>
          </w:tcPr>
          <w:p w14:paraId="0FBEBCE8"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0.002</w:t>
            </w:r>
          </w:p>
        </w:tc>
        <w:tc>
          <w:tcPr>
            <w:tcW w:w="1000" w:type="dxa"/>
            <w:shd w:val="clear" w:color="auto" w:fill="auto"/>
          </w:tcPr>
          <w:p w14:paraId="2361CDE0"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0.86</w:t>
            </w:r>
          </w:p>
        </w:tc>
        <w:tc>
          <w:tcPr>
            <w:tcW w:w="704" w:type="dxa"/>
            <w:vMerge/>
            <w:shd w:val="clear" w:color="auto" w:fill="auto"/>
          </w:tcPr>
          <w:p w14:paraId="7A23C9B0"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r>
      <w:tr w:rsidR="00B54D51" w:rsidRPr="00037AD4" w14:paraId="46CB2264" w14:textId="77777777" w:rsidTr="008F00F0">
        <w:trPr>
          <w:trHeight w:val="544"/>
        </w:trPr>
        <w:tc>
          <w:tcPr>
            <w:cnfStyle w:val="001000000000" w:firstRow="0" w:lastRow="0" w:firstColumn="1" w:lastColumn="0" w:oddVBand="0" w:evenVBand="0" w:oddHBand="0" w:evenHBand="0" w:firstRowFirstColumn="0" w:firstRowLastColumn="0" w:lastRowFirstColumn="0" w:lastRowLastColumn="0"/>
            <w:tcW w:w="1295" w:type="dxa"/>
            <w:shd w:val="clear" w:color="auto" w:fill="auto"/>
          </w:tcPr>
          <w:p w14:paraId="1629E9C4"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Sex (carer) </w:t>
            </w:r>
          </w:p>
        </w:tc>
        <w:tc>
          <w:tcPr>
            <w:tcW w:w="1350" w:type="dxa"/>
            <w:shd w:val="clear" w:color="auto" w:fill="auto"/>
          </w:tcPr>
          <w:p w14:paraId="60F9C0E5"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-0.012*</w:t>
            </w:r>
          </w:p>
        </w:tc>
        <w:tc>
          <w:tcPr>
            <w:tcW w:w="816" w:type="dxa"/>
            <w:shd w:val="clear" w:color="auto" w:fill="auto"/>
          </w:tcPr>
          <w:p w14:paraId="6869EFF9"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0.026</w:t>
            </w:r>
          </w:p>
        </w:tc>
        <w:tc>
          <w:tcPr>
            <w:tcW w:w="1033" w:type="dxa"/>
            <w:shd w:val="clear" w:color="auto" w:fill="auto"/>
          </w:tcPr>
          <w:p w14:paraId="43281B0B"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-2.35</w:t>
            </w:r>
          </w:p>
        </w:tc>
        <w:tc>
          <w:tcPr>
            <w:tcW w:w="894" w:type="dxa"/>
            <w:vMerge/>
            <w:shd w:val="clear" w:color="auto" w:fill="auto"/>
          </w:tcPr>
          <w:p w14:paraId="74A24AF0"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1350" w:type="dxa"/>
            <w:shd w:val="clear" w:color="auto" w:fill="auto"/>
          </w:tcPr>
          <w:p w14:paraId="1121C024"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0.038</w:t>
            </w:r>
          </w:p>
        </w:tc>
        <w:tc>
          <w:tcPr>
            <w:tcW w:w="840" w:type="dxa"/>
            <w:shd w:val="clear" w:color="auto" w:fill="auto"/>
          </w:tcPr>
          <w:p w14:paraId="56D4EEBB"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0.037</w:t>
            </w:r>
          </w:p>
        </w:tc>
        <w:tc>
          <w:tcPr>
            <w:tcW w:w="1000" w:type="dxa"/>
            <w:shd w:val="clear" w:color="auto" w:fill="auto"/>
          </w:tcPr>
          <w:p w14:paraId="41D76AFA"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1.03</w:t>
            </w:r>
          </w:p>
        </w:tc>
        <w:tc>
          <w:tcPr>
            <w:tcW w:w="704" w:type="dxa"/>
            <w:vMerge/>
            <w:shd w:val="clear" w:color="auto" w:fill="auto"/>
          </w:tcPr>
          <w:p w14:paraId="002FDA02"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r>
      <w:tr w:rsidR="00B54D51" w:rsidRPr="00037AD4" w14:paraId="0432232A" w14:textId="77777777" w:rsidTr="008F00F0">
        <w:trPr>
          <w:cnfStyle w:val="000000100000" w:firstRow="0" w:lastRow="0" w:firstColumn="0" w:lastColumn="0" w:oddVBand="0" w:evenVBand="0" w:oddHBand="1" w:evenHBand="0"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9282" w:type="dxa"/>
            <w:gridSpan w:val="9"/>
            <w:shd w:val="clear" w:color="auto" w:fill="E7E6E6" w:themeFill="background2"/>
          </w:tcPr>
          <w:p w14:paraId="79F341D9" w14:textId="77777777" w:rsidR="00B54D51" w:rsidRPr="00037AD4" w:rsidRDefault="00B54D51" w:rsidP="008F00F0">
            <w:pPr>
              <w:jc w:val="center"/>
              <w:rPr>
                <w:rFonts w:asciiTheme="minorHAnsi" w:hAnsiTheme="minorHAnsi" w:cstheme="minorHAnsi"/>
              </w:rPr>
            </w:pPr>
            <w:r w:rsidRPr="00037AD4">
              <w:rPr>
                <w:rFonts w:asciiTheme="minorHAnsi" w:hAnsiTheme="minorHAnsi" w:cstheme="minorHAnsi"/>
              </w:rPr>
              <w:t>ACTIFCARE</w:t>
            </w:r>
          </w:p>
        </w:tc>
      </w:tr>
      <w:tr w:rsidR="00B54D51" w:rsidRPr="00037AD4" w14:paraId="4721ADAC" w14:textId="77777777" w:rsidTr="00F55153">
        <w:trPr>
          <w:trHeight w:val="313"/>
        </w:trPr>
        <w:tc>
          <w:tcPr>
            <w:cnfStyle w:val="001000000000" w:firstRow="0" w:lastRow="0" w:firstColumn="1" w:lastColumn="0" w:oddVBand="0" w:evenVBand="0" w:oddHBand="0" w:evenHBand="0" w:firstRowFirstColumn="0" w:firstRowLastColumn="0" w:lastRowFirstColumn="0" w:lastRowLastColumn="0"/>
            <w:tcW w:w="4494" w:type="dxa"/>
            <w:gridSpan w:val="4"/>
            <w:shd w:val="clear" w:color="auto" w:fill="auto"/>
          </w:tcPr>
          <w:p w14:paraId="127BA328" w14:textId="77777777" w:rsidR="00B54D51" w:rsidRPr="00037AD4" w:rsidRDefault="00B54D51" w:rsidP="007166B6">
            <w:pPr>
              <w:jc w:val="center"/>
              <w:rPr>
                <w:rFonts w:asciiTheme="minorHAnsi" w:hAnsiTheme="minorHAnsi" w:cstheme="minorHAnsi"/>
              </w:rPr>
            </w:pPr>
            <w:r w:rsidRPr="00037AD4">
              <w:rPr>
                <w:rFonts w:asciiTheme="minorHAnsi" w:hAnsiTheme="minorHAnsi" w:cstheme="minorHAnsi"/>
              </w:rPr>
              <w:t xml:space="preserve">Spousal proxy, </w:t>
            </w:r>
            <w:r w:rsidRPr="00037AD4">
              <w:rPr>
                <w:rFonts w:asciiTheme="minorHAnsi" w:hAnsiTheme="minorHAnsi" w:cstheme="minorHAnsi"/>
                <w:b w:val="0"/>
                <w:bCs w:val="0"/>
                <w:i/>
                <w:iCs/>
              </w:rPr>
              <w:t>n=605</w:t>
            </w:r>
          </w:p>
        </w:tc>
        <w:tc>
          <w:tcPr>
            <w:tcW w:w="894" w:type="dxa"/>
            <w:vMerge w:val="restart"/>
            <w:shd w:val="clear" w:color="auto" w:fill="auto"/>
          </w:tcPr>
          <w:p w14:paraId="2C2EDF0B"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0.42</w:t>
            </w:r>
          </w:p>
        </w:tc>
        <w:tc>
          <w:tcPr>
            <w:tcW w:w="3190" w:type="dxa"/>
            <w:gridSpan w:val="3"/>
            <w:shd w:val="clear" w:color="auto" w:fill="auto"/>
          </w:tcPr>
          <w:p w14:paraId="1D2F749A" w14:textId="77777777" w:rsidR="00B54D51" w:rsidRPr="00037AD4" w:rsidRDefault="00B54D51" w:rsidP="007166B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b/>
                <w:bCs/>
              </w:rPr>
              <w:t xml:space="preserve">Offspring proxy, </w:t>
            </w:r>
            <w:r w:rsidRPr="00037AD4">
              <w:rPr>
                <w:rFonts w:asciiTheme="minorHAnsi" w:hAnsiTheme="minorHAnsi" w:cstheme="minorHAnsi"/>
                <w:i/>
                <w:iCs/>
              </w:rPr>
              <w:t>n=329</w:t>
            </w:r>
          </w:p>
        </w:tc>
        <w:tc>
          <w:tcPr>
            <w:tcW w:w="704" w:type="dxa"/>
            <w:shd w:val="clear" w:color="auto" w:fill="auto"/>
          </w:tcPr>
          <w:p w14:paraId="4098F5FC"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r>
      <w:tr w:rsidR="00B54D51" w:rsidRPr="00037AD4" w14:paraId="459F74A5" w14:textId="77777777" w:rsidTr="008F00F0">
        <w:trPr>
          <w:cnfStyle w:val="000000100000" w:firstRow="0" w:lastRow="0" w:firstColumn="0" w:lastColumn="0" w:oddVBand="0" w:evenVBand="0" w:oddHBand="1" w:evenHBand="0" w:firstRowFirstColumn="0" w:firstRowLastColumn="0" w:lastRowFirstColumn="0" w:lastRowLastColumn="0"/>
          <w:trHeight w:val="544"/>
        </w:trPr>
        <w:tc>
          <w:tcPr>
            <w:cnfStyle w:val="001000000000" w:firstRow="0" w:lastRow="0" w:firstColumn="1" w:lastColumn="0" w:oddVBand="0" w:evenVBand="0" w:oddHBand="0" w:evenHBand="0" w:firstRowFirstColumn="0" w:firstRowLastColumn="0" w:lastRowFirstColumn="0" w:lastRowLastColumn="0"/>
            <w:tcW w:w="1295" w:type="dxa"/>
            <w:shd w:val="clear" w:color="auto" w:fill="auto"/>
          </w:tcPr>
          <w:p w14:paraId="72107340"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IADL</w:t>
            </w:r>
          </w:p>
        </w:tc>
        <w:tc>
          <w:tcPr>
            <w:tcW w:w="1350" w:type="dxa"/>
            <w:shd w:val="clear" w:color="auto" w:fill="auto"/>
          </w:tcPr>
          <w:p w14:paraId="7C22614C"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0.028*</w:t>
            </w:r>
          </w:p>
        </w:tc>
        <w:tc>
          <w:tcPr>
            <w:tcW w:w="816" w:type="dxa"/>
            <w:shd w:val="clear" w:color="auto" w:fill="auto"/>
          </w:tcPr>
          <w:p w14:paraId="4DFB94F9"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0.005</w:t>
            </w:r>
          </w:p>
        </w:tc>
        <w:tc>
          <w:tcPr>
            <w:tcW w:w="1033" w:type="dxa"/>
            <w:shd w:val="clear" w:color="auto" w:fill="auto"/>
          </w:tcPr>
          <w:p w14:paraId="478EF1BE"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5.30</w:t>
            </w:r>
          </w:p>
        </w:tc>
        <w:tc>
          <w:tcPr>
            <w:tcW w:w="894" w:type="dxa"/>
            <w:vMerge/>
            <w:shd w:val="clear" w:color="auto" w:fill="auto"/>
          </w:tcPr>
          <w:p w14:paraId="51DCE555"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1350" w:type="dxa"/>
            <w:shd w:val="clear" w:color="auto" w:fill="auto"/>
          </w:tcPr>
          <w:p w14:paraId="2256C985"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0.024*</w:t>
            </w:r>
          </w:p>
        </w:tc>
        <w:tc>
          <w:tcPr>
            <w:tcW w:w="840" w:type="dxa"/>
            <w:shd w:val="clear" w:color="auto" w:fill="auto"/>
          </w:tcPr>
          <w:p w14:paraId="767DAC69"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0.007</w:t>
            </w:r>
          </w:p>
        </w:tc>
        <w:tc>
          <w:tcPr>
            <w:tcW w:w="1000" w:type="dxa"/>
            <w:shd w:val="clear" w:color="auto" w:fill="auto"/>
          </w:tcPr>
          <w:p w14:paraId="4E4C21B8"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3.65</w:t>
            </w:r>
          </w:p>
        </w:tc>
        <w:tc>
          <w:tcPr>
            <w:tcW w:w="704" w:type="dxa"/>
            <w:vMerge w:val="restart"/>
            <w:shd w:val="clear" w:color="auto" w:fill="auto"/>
          </w:tcPr>
          <w:p w14:paraId="59B66722"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0.32</w:t>
            </w:r>
          </w:p>
        </w:tc>
      </w:tr>
      <w:tr w:rsidR="00B54D51" w:rsidRPr="00037AD4" w14:paraId="756D79E1" w14:textId="77777777" w:rsidTr="008F00F0">
        <w:trPr>
          <w:trHeight w:val="544"/>
        </w:trPr>
        <w:tc>
          <w:tcPr>
            <w:cnfStyle w:val="001000000000" w:firstRow="0" w:lastRow="0" w:firstColumn="1" w:lastColumn="0" w:oddVBand="0" w:evenVBand="0" w:oddHBand="0" w:evenHBand="0" w:firstRowFirstColumn="0" w:firstRowLastColumn="0" w:lastRowFirstColumn="0" w:lastRowLastColumn="0"/>
            <w:tcW w:w="1295" w:type="dxa"/>
            <w:shd w:val="clear" w:color="auto" w:fill="auto"/>
          </w:tcPr>
          <w:p w14:paraId="114AA9FF"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CDR</w:t>
            </w:r>
          </w:p>
        </w:tc>
        <w:tc>
          <w:tcPr>
            <w:tcW w:w="1350" w:type="dxa"/>
            <w:shd w:val="clear" w:color="auto" w:fill="auto"/>
          </w:tcPr>
          <w:p w14:paraId="78685D1F"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-0.040*</w:t>
            </w:r>
          </w:p>
        </w:tc>
        <w:tc>
          <w:tcPr>
            <w:tcW w:w="816" w:type="dxa"/>
            <w:shd w:val="clear" w:color="auto" w:fill="auto"/>
          </w:tcPr>
          <w:p w14:paraId="56C96506"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0.019</w:t>
            </w:r>
          </w:p>
        </w:tc>
        <w:tc>
          <w:tcPr>
            <w:tcW w:w="1033" w:type="dxa"/>
            <w:shd w:val="clear" w:color="auto" w:fill="auto"/>
          </w:tcPr>
          <w:p w14:paraId="07356D47"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-2.10</w:t>
            </w:r>
          </w:p>
        </w:tc>
        <w:tc>
          <w:tcPr>
            <w:tcW w:w="894" w:type="dxa"/>
            <w:vMerge/>
            <w:shd w:val="clear" w:color="auto" w:fill="auto"/>
          </w:tcPr>
          <w:p w14:paraId="27ADE4F5"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1350" w:type="dxa"/>
            <w:shd w:val="clear" w:color="auto" w:fill="auto"/>
          </w:tcPr>
          <w:p w14:paraId="55354C44"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-0.002</w:t>
            </w:r>
          </w:p>
        </w:tc>
        <w:tc>
          <w:tcPr>
            <w:tcW w:w="840" w:type="dxa"/>
            <w:shd w:val="clear" w:color="auto" w:fill="auto"/>
          </w:tcPr>
          <w:p w14:paraId="78BBAE8E"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0.029</w:t>
            </w:r>
          </w:p>
        </w:tc>
        <w:tc>
          <w:tcPr>
            <w:tcW w:w="1000" w:type="dxa"/>
            <w:shd w:val="clear" w:color="auto" w:fill="auto"/>
          </w:tcPr>
          <w:p w14:paraId="53248654"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0.04</w:t>
            </w:r>
          </w:p>
        </w:tc>
        <w:tc>
          <w:tcPr>
            <w:tcW w:w="704" w:type="dxa"/>
            <w:vMerge/>
            <w:shd w:val="clear" w:color="auto" w:fill="auto"/>
          </w:tcPr>
          <w:p w14:paraId="3B423163"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r>
      <w:tr w:rsidR="00B54D51" w:rsidRPr="00037AD4" w14:paraId="6FDD5BE2" w14:textId="77777777" w:rsidTr="008F00F0">
        <w:trPr>
          <w:cnfStyle w:val="000000100000" w:firstRow="0" w:lastRow="0" w:firstColumn="0" w:lastColumn="0" w:oddVBand="0" w:evenVBand="0" w:oddHBand="1" w:evenHBand="0" w:firstRowFirstColumn="0" w:firstRowLastColumn="0" w:lastRowFirstColumn="0" w:lastRowLastColumn="0"/>
          <w:trHeight w:val="544"/>
        </w:trPr>
        <w:tc>
          <w:tcPr>
            <w:cnfStyle w:val="001000000000" w:firstRow="0" w:lastRow="0" w:firstColumn="1" w:lastColumn="0" w:oddVBand="0" w:evenVBand="0" w:oddHBand="0" w:evenHBand="0" w:firstRowFirstColumn="0" w:firstRowLastColumn="0" w:lastRowFirstColumn="0" w:lastRowLastColumn="0"/>
            <w:tcW w:w="1295" w:type="dxa"/>
            <w:shd w:val="clear" w:color="auto" w:fill="auto"/>
          </w:tcPr>
          <w:p w14:paraId="03E9A18E"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PSMS</w:t>
            </w:r>
          </w:p>
        </w:tc>
        <w:tc>
          <w:tcPr>
            <w:tcW w:w="1350" w:type="dxa"/>
            <w:shd w:val="clear" w:color="auto" w:fill="auto"/>
          </w:tcPr>
          <w:p w14:paraId="34E77EF5"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0.048*</w:t>
            </w:r>
          </w:p>
        </w:tc>
        <w:tc>
          <w:tcPr>
            <w:tcW w:w="816" w:type="dxa"/>
            <w:shd w:val="clear" w:color="auto" w:fill="auto"/>
          </w:tcPr>
          <w:p w14:paraId="2FFE4396"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0.005</w:t>
            </w:r>
          </w:p>
        </w:tc>
        <w:tc>
          <w:tcPr>
            <w:tcW w:w="1033" w:type="dxa"/>
            <w:shd w:val="clear" w:color="auto" w:fill="auto"/>
          </w:tcPr>
          <w:p w14:paraId="4873AF61"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8.63</w:t>
            </w:r>
          </w:p>
        </w:tc>
        <w:tc>
          <w:tcPr>
            <w:tcW w:w="894" w:type="dxa"/>
            <w:vMerge/>
            <w:shd w:val="clear" w:color="auto" w:fill="auto"/>
          </w:tcPr>
          <w:p w14:paraId="191BE692"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1350" w:type="dxa"/>
            <w:shd w:val="clear" w:color="auto" w:fill="auto"/>
          </w:tcPr>
          <w:p w14:paraId="5E6929B5"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0.026*</w:t>
            </w:r>
          </w:p>
        </w:tc>
        <w:tc>
          <w:tcPr>
            <w:tcW w:w="840" w:type="dxa"/>
            <w:shd w:val="clear" w:color="auto" w:fill="auto"/>
          </w:tcPr>
          <w:p w14:paraId="0371E737"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0.007</w:t>
            </w:r>
          </w:p>
        </w:tc>
        <w:tc>
          <w:tcPr>
            <w:tcW w:w="1000" w:type="dxa"/>
            <w:shd w:val="clear" w:color="auto" w:fill="auto"/>
          </w:tcPr>
          <w:p w14:paraId="43BFD005"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3.65</w:t>
            </w:r>
          </w:p>
        </w:tc>
        <w:tc>
          <w:tcPr>
            <w:tcW w:w="704" w:type="dxa"/>
            <w:vMerge/>
            <w:shd w:val="clear" w:color="auto" w:fill="auto"/>
          </w:tcPr>
          <w:p w14:paraId="309C1BA5"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r>
      <w:tr w:rsidR="00B54D51" w:rsidRPr="00037AD4" w14:paraId="0DCD2FFF" w14:textId="77777777" w:rsidTr="008F00F0">
        <w:trPr>
          <w:trHeight w:val="544"/>
        </w:trPr>
        <w:tc>
          <w:tcPr>
            <w:cnfStyle w:val="001000000000" w:firstRow="0" w:lastRow="0" w:firstColumn="1" w:lastColumn="0" w:oddVBand="0" w:evenVBand="0" w:oddHBand="0" w:evenHBand="0" w:firstRowFirstColumn="0" w:firstRowLastColumn="0" w:lastRowFirstColumn="0" w:lastRowLastColumn="0"/>
            <w:tcW w:w="1295" w:type="dxa"/>
            <w:shd w:val="clear" w:color="auto" w:fill="auto"/>
          </w:tcPr>
          <w:p w14:paraId="1A1AF03B"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NPI</w:t>
            </w:r>
          </w:p>
        </w:tc>
        <w:tc>
          <w:tcPr>
            <w:tcW w:w="1350" w:type="dxa"/>
            <w:shd w:val="clear" w:color="auto" w:fill="auto"/>
          </w:tcPr>
          <w:p w14:paraId="167EB61E"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-0.003*</w:t>
            </w:r>
          </w:p>
        </w:tc>
        <w:tc>
          <w:tcPr>
            <w:tcW w:w="816" w:type="dxa"/>
            <w:shd w:val="clear" w:color="auto" w:fill="auto"/>
          </w:tcPr>
          <w:p w14:paraId="161D5699"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0.000</w:t>
            </w:r>
          </w:p>
        </w:tc>
        <w:tc>
          <w:tcPr>
            <w:tcW w:w="1033" w:type="dxa"/>
            <w:shd w:val="clear" w:color="auto" w:fill="auto"/>
          </w:tcPr>
          <w:p w14:paraId="7E8FD9CF"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-6.62</w:t>
            </w:r>
          </w:p>
        </w:tc>
        <w:tc>
          <w:tcPr>
            <w:tcW w:w="894" w:type="dxa"/>
            <w:vMerge/>
            <w:shd w:val="clear" w:color="auto" w:fill="auto"/>
          </w:tcPr>
          <w:p w14:paraId="6FA3DD2C"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1350" w:type="dxa"/>
            <w:shd w:val="clear" w:color="auto" w:fill="auto"/>
          </w:tcPr>
          <w:p w14:paraId="7C68CE4D"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-0.003*</w:t>
            </w:r>
          </w:p>
        </w:tc>
        <w:tc>
          <w:tcPr>
            <w:tcW w:w="840" w:type="dxa"/>
            <w:shd w:val="clear" w:color="auto" w:fill="auto"/>
          </w:tcPr>
          <w:p w14:paraId="5BBF60C6"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0.008</w:t>
            </w:r>
          </w:p>
        </w:tc>
        <w:tc>
          <w:tcPr>
            <w:tcW w:w="1000" w:type="dxa"/>
            <w:shd w:val="clear" w:color="auto" w:fill="auto"/>
          </w:tcPr>
          <w:p w14:paraId="57F06F0F"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-4.43</w:t>
            </w:r>
          </w:p>
        </w:tc>
        <w:tc>
          <w:tcPr>
            <w:tcW w:w="704" w:type="dxa"/>
            <w:vMerge/>
            <w:shd w:val="clear" w:color="auto" w:fill="auto"/>
          </w:tcPr>
          <w:p w14:paraId="3DE17834"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r>
      <w:tr w:rsidR="00B54D51" w:rsidRPr="00037AD4" w14:paraId="008F19CE" w14:textId="77777777" w:rsidTr="008F00F0">
        <w:trPr>
          <w:cnfStyle w:val="000000100000" w:firstRow="0" w:lastRow="0" w:firstColumn="0" w:lastColumn="0" w:oddVBand="0" w:evenVBand="0" w:oddHBand="1" w:evenHBand="0" w:firstRowFirstColumn="0" w:firstRowLastColumn="0" w:lastRowFirstColumn="0" w:lastRowLastColumn="0"/>
          <w:trHeight w:val="544"/>
        </w:trPr>
        <w:tc>
          <w:tcPr>
            <w:cnfStyle w:val="001000000000" w:firstRow="0" w:lastRow="0" w:firstColumn="1" w:lastColumn="0" w:oddVBand="0" w:evenVBand="0" w:oddHBand="0" w:evenHBand="0" w:firstRowFirstColumn="0" w:firstRowLastColumn="0" w:lastRowFirstColumn="0" w:lastRowLastColumn="0"/>
            <w:tcW w:w="1295" w:type="dxa"/>
            <w:shd w:val="clear" w:color="auto" w:fill="auto"/>
          </w:tcPr>
          <w:p w14:paraId="13B6F998"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MMSE</w:t>
            </w:r>
          </w:p>
        </w:tc>
        <w:tc>
          <w:tcPr>
            <w:tcW w:w="1350" w:type="dxa"/>
            <w:shd w:val="clear" w:color="auto" w:fill="auto"/>
          </w:tcPr>
          <w:p w14:paraId="6D91F948"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-0.006*</w:t>
            </w:r>
          </w:p>
        </w:tc>
        <w:tc>
          <w:tcPr>
            <w:tcW w:w="816" w:type="dxa"/>
            <w:shd w:val="clear" w:color="auto" w:fill="auto"/>
          </w:tcPr>
          <w:p w14:paraId="141540C9"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0.002</w:t>
            </w:r>
          </w:p>
        </w:tc>
        <w:tc>
          <w:tcPr>
            <w:tcW w:w="1033" w:type="dxa"/>
            <w:shd w:val="clear" w:color="auto" w:fill="auto"/>
          </w:tcPr>
          <w:p w14:paraId="0E631BCA"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-3.90</w:t>
            </w:r>
          </w:p>
        </w:tc>
        <w:tc>
          <w:tcPr>
            <w:tcW w:w="894" w:type="dxa"/>
            <w:vMerge/>
            <w:shd w:val="clear" w:color="auto" w:fill="auto"/>
          </w:tcPr>
          <w:p w14:paraId="0B2DD3C7"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1350" w:type="dxa"/>
            <w:shd w:val="clear" w:color="auto" w:fill="auto"/>
          </w:tcPr>
          <w:p w14:paraId="78222007"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-0.003</w:t>
            </w:r>
          </w:p>
        </w:tc>
        <w:tc>
          <w:tcPr>
            <w:tcW w:w="840" w:type="dxa"/>
            <w:shd w:val="clear" w:color="auto" w:fill="auto"/>
          </w:tcPr>
          <w:p w14:paraId="5033A939"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0.003</w:t>
            </w:r>
          </w:p>
        </w:tc>
        <w:tc>
          <w:tcPr>
            <w:tcW w:w="1000" w:type="dxa"/>
            <w:shd w:val="clear" w:color="auto" w:fill="auto"/>
          </w:tcPr>
          <w:p w14:paraId="68EFD322"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-1.33</w:t>
            </w:r>
          </w:p>
        </w:tc>
        <w:tc>
          <w:tcPr>
            <w:tcW w:w="704" w:type="dxa"/>
            <w:vMerge/>
            <w:shd w:val="clear" w:color="auto" w:fill="auto"/>
          </w:tcPr>
          <w:p w14:paraId="5383C0FA"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r>
      <w:tr w:rsidR="00B54D51" w:rsidRPr="00037AD4" w14:paraId="2C0B470E" w14:textId="77777777" w:rsidTr="008F00F0">
        <w:trPr>
          <w:trHeight w:val="544"/>
        </w:trPr>
        <w:tc>
          <w:tcPr>
            <w:cnfStyle w:val="001000000000" w:firstRow="0" w:lastRow="0" w:firstColumn="1" w:lastColumn="0" w:oddVBand="0" w:evenVBand="0" w:oddHBand="0" w:evenHBand="0" w:firstRowFirstColumn="0" w:firstRowLastColumn="0" w:lastRowFirstColumn="0" w:lastRowLastColumn="0"/>
            <w:tcW w:w="1295" w:type="dxa"/>
            <w:shd w:val="clear" w:color="auto" w:fill="auto"/>
          </w:tcPr>
          <w:p w14:paraId="0CDDA54B"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Age (carer)</w:t>
            </w:r>
          </w:p>
        </w:tc>
        <w:tc>
          <w:tcPr>
            <w:tcW w:w="1350" w:type="dxa"/>
            <w:shd w:val="clear" w:color="auto" w:fill="auto"/>
          </w:tcPr>
          <w:p w14:paraId="2E1ADD3B"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-0.001</w:t>
            </w:r>
          </w:p>
        </w:tc>
        <w:tc>
          <w:tcPr>
            <w:tcW w:w="816" w:type="dxa"/>
            <w:shd w:val="clear" w:color="auto" w:fill="auto"/>
          </w:tcPr>
          <w:p w14:paraId="57A5DB24"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0.001</w:t>
            </w:r>
          </w:p>
        </w:tc>
        <w:tc>
          <w:tcPr>
            <w:tcW w:w="1033" w:type="dxa"/>
            <w:shd w:val="clear" w:color="auto" w:fill="auto"/>
          </w:tcPr>
          <w:p w14:paraId="10D4C6D7"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3.42</w:t>
            </w:r>
          </w:p>
        </w:tc>
        <w:tc>
          <w:tcPr>
            <w:tcW w:w="894" w:type="dxa"/>
            <w:vMerge/>
            <w:shd w:val="clear" w:color="auto" w:fill="auto"/>
          </w:tcPr>
          <w:p w14:paraId="4DDCDE4D"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1350" w:type="dxa"/>
            <w:shd w:val="clear" w:color="auto" w:fill="auto"/>
          </w:tcPr>
          <w:p w14:paraId="2D4912A8"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-0.003*</w:t>
            </w:r>
          </w:p>
        </w:tc>
        <w:tc>
          <w:tcPr>
            <w:tcW w:w="840" w:type="dxa"/>
            <w:shd w:val="clear" w:color="auto" w:fill="auto"/>
          </w:tcPr>
          <w:p w14:paraId="675D72F9"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0.001</w:t>
            </w:r>
          </w:p>
        </w:tc>
        <w:tc>
          <w:tcPr>
            <w:tcW w:w="1000" w:type="dxa"/>
            <w:shd w:val="clear" w:color="auto" w:fill="auto"/>
          </w:tcPr>
          <w:p w14:paraId="0710A04A"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-2.30</w:t>
            </w:r>
          </w:p>
        </w:tc>
        <w:tc>
          <w:tcPr>
            <w:tcW w:w="704" w:type="dxa"/>
            <w:vMerge/>
            <w:shd w:val="clear" w:color="auto" w:fill="auto"/>
          </w:tcPr>
          <w:p w14:paraId="23E1E497"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r>
      <w:tr w:rsidR="00B54D51" w:rsidRPr="00037AD4" w14:paraId="4A9A5420" w14:textId="77777777" w:rsidTr="008F00F0">
        <w:trPr>
          <w:cnfStyle w:val="000000100000" w:firstRow="0" w:lastRow="0" w:firstColumn="0" w:lastColumn="0" w:oddVBand="0" w:evenVBand="0" w:oddHBand="1" w:evenHBand="0" w:firstRowFirstColumn="0" w:firstRowLastColumn="0" w:lastRowFirstColumn="0" w:lastRowLastColumn="0"/>
          <w:trHeight w:val="544"/>
        </w:trPr>
        <w:tc>
          <w:tcPr>
            <w:cnfStyle w:val="001000000000" w:firstRow="0" w:lastRow="0" w:firstColumn="1" w:lastColumn="0" w:oddVBand="0" w:evenVBand="0" w:oddHBand="0" w:evenHBand="0" w:firstRowFirstColumn="0" w:firstRowLastColumn="0" w:lastRowFirstColumn="0" w:lastRowLastColumn="0"/>
            <w:tcW w:w="1295" w:type="dxa"/>
            <w:shd w:val="clear" w:color="auto" w:fill="auto"/>
          </w:tcPr>
          <w:p w14:paraId="47B1A187"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Sex (carer)</w:t>
            </w:r>
          </w:p>
        </w:tc>
        <w:tc>
          <w:tcPr>
            <w:tcW w:w="1350" w:type="dxa"/>
            <w:shd w:val="clear" w:color="auto" w:fill="auto"/>
          </w:tcPr>
          <w:p w14:paraId="048E8FCA"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0.057*</w:t>
            </w:r>
          </w:p>
        </w:tc>
        <w:tc>
          <w:tcPr>
            <w:tcW w:w="816" w:type="dxa"/>
            <w:shd w:val="clear" w:color="auto" w:fill="auto"/>
          </w:tcPr>
          <w:p w14:paraId="6C2EE064"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0.017</w:t>
            </w:r>
          </w:p>
        </w:tc>
        <w:tc>
          <w:tcPr>
            <w:tcW w:w="1033" w:type="dxa"/>
            <w:shd w:val="clear" w:color="auto" w:fill="auto"/>
          </w:tcPr>
          <w:p w14:paraId="5D635C61"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-0.90</w:t>
            </w:r>
          </w:p>
        </w:tc>
        <w:tc>
          <w:tcPr>
            <w:tcW w:w="894" w:type="dxa"/>
            <w:vMerge/>
            <w:shd w:val="clear" w:color="auto" w:fill="auto"/>
          </w:tcPr>
          <w:p w14:paraId="47DBDF69"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1350" w:type="dxa"/>
            <w:shd w:val="clear" w:color="auto" w:fill="auto"/>
          </w:tcPr>
          <w:p w14:paraId="5916A7BE"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0.049*</w:t>
            </w:r>
          </w:p>
        </w:tc>
        <w:tc>
          <w:tcPr>
            <w:tcW w:w="840" w:type="dxa"/>
            <w:shd w:val="clear" w:color="auto" w:fill="auto"/>
          </w:tcPr>
          <w:p w14:paraId="552E13BE"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0.025</w:t>
            </w:r>
          </w:p>
        </w:tc>
        <w:tc>
          <w:tcPr>
            <w:tcW w:w="1000" w:type="dxa"/>
            <w:shd w:val="clear" w:color="auto" w:fill="auto"/>
          </w:tcPr>
          <w:p w14:paraId="63B83331"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2.01</w:t>
            </w:r>
          </w:p>
        </w:tc>
        <w:tc>
          <w:tcPr>
            <w:tcW w:w="704" w:type="dxa"/>
            <w:vMerge/>
            <w:shd w:val="clear" w:color="auto" w:fill="auto"/>
          </w:tcPr>
          <w:p w14:paraId="2C90D078"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r>
      <w:tr w:rsidR="00B54D51" w:rsidRPr="00037AD4" w14:paraId="3D389749" w14:textId="77777777" w:rsidTr="008F00F0">
        <w:trPr>
          <w:trHeight w:val="305"/>
        </w:trPr>
        <w:tc>
          <w:tcPr>
            <w:cnfStyle w:val="001000000000" w:firstRow="0" w:lastRow="0" w:firstColumn="1" w:lastColumn="0" w:oddVBand="0" w:evenVBand="0" w:oddHBand="0" w:evenHBand="0" w:firstRowFirstColumn="0" w:firstRowLastColumn="0" w:lastRowFirstColumn="0" w:lastRowLastColumn="0"/>
            <w:tcW w:w="9282" w:type="dxa"/>
            <w:gridSpan w:val="9"/>
            <w:shd w:val="clear" w:color="auto" w:fill="E7E6E6" w:themeFill="background2"/>
          </w:tcPr>
          <w:p w14:paraId="1D9A22DF" w14:textId="77777777" w:rsidR="00B54D51" w:rsidRPr="00037AD4" w:rsidRDefault="00B54D51" w:rsidP="008F00F0">
            <w:pPr>
              <w:jc w:val="center"/>
              <w:rPr>
                <w:rFonts w:asciiTheme="minorHAnsi" w:hAnsiTheme="minorHAnsi" w:cstheme="minorHAnsi"/>
              </w:rPr>
            </w:pPr>
            <w:r w:rsidRPr="00037AD4">
              <w:rPr>
                <w:rFonts w:asciiTheme="minorHAnsi" w:hAnsiTheme="minorHAnsi" w:cstheme="minorHAnsi"/>
              </w:rPr>
              <w:t>EPIC</w:t>
            </w:r>
          </w:p>
        </w:tc>
      </w:tr>
      <w:tr w:rsidR="00B54D51" w:rsidRPr="00037AD4" w14:paraId="61459725" w14:textId="77777777" w:rsidTr="00F23386">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4494" w:type="dxa"/>
            <w:gridSpan w:val="4"/>
            <w:shd w:val="clear" w:color="auto" w:fill="auto"/>
          </w:tcPr>
          <w:p w14:paraId="3F108FEE" w14:textId="77777777" w:rsidR="00B54D51" w:rsidRPr="00037AD4" w:rsidRDefault="00B54D51" w:rsidP="007166B6">
            <w:pPr>
              <w:jc w:val="center"/>
              <w:rPr>
                <w:rFonts w:asciiTheme="minorHAnsi" w:hAnsiTheme="minorHAnsi" w:cstheme="minorHAnsi"/>
              </w:rPr>
            </w:pPr>
            <w:r w:rsidRPr="00037AD4">
              <w:rPr>
                <w:rFonts w:asciiTheme="minorHAnsi" w:hAnsiTheme="minorHAnsi" w:cstheme="minorHAnsi"/>
              </w:rPr>
              <w:t xml:space="preserve">Spousal proxy, </w:t>
            </w:r>
            <w:r w:rsidRPr="00037AD4">
              <w:rPr>
                <w:rFonts w:asciiTheme="minorHAnsi" w:hAnsiTheme="minorHAnsi" w:cstheme="minorHAnsi"/>
                <w:b w:val="0"/>
                <w:bCs w:val="0"/>
                <w:i/>
                <w:iCs/>
              </w:rPr>
              <w:t>n=88</w:t>
            </w:r>
          </w:p>
        </w:tc>
        <w:tc>
          <w:tcPr>
            <w:tcW w:w="894" w:type="dxa"/>
            <w:vMerge w:val="restart"/>
            <w:shd w:val="clear" w:color="auto" w:fill="auto"/>
          </w:tcPr>
          <w:p w14:paraId="796E7114"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0.31</w:t>
            </w:r>
          </w:p>
        </w:tc>
        <w:tc>
          <w:tcPr>
            <w:tcW w:w="3190" w:type="dxa"/>
            <w:gridSpan w:val="3"/>
            <w:shd w:val="clear" w:color="auto" w:fill="auto"/>
          </w:tcPr>
          <w:p w14:paraId="1CF50162" w14:textId="77777777" w:rsidR="00B54D51" w:rsidRPr="00037AD4" w:rsidRDefault="00B54D51" w:rsidP="007166B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b/>
                <w:bCs/>
              </w:rPr>
              <w:t>Offspring proxy</w:t>
            </w:r>
            <w:r w:rsidRPr="00037AD4">
              <w:rPr>
                <w:rFonts w:asciiTheme="minorHAnsi" w:hAnsiTheme="minorHAnsi" w:cstheme="minorHAnsi"/>
              </w:rPr>
              <w:t xml:space="preserve">, </w:t>
            </w:r>
            <w:r w:rsidRPr="00037AD4">
              <w:rPr>
                <w:rFonts w:asciiTheme="minorHAnsi" w:hAnsiTheme="minorHAnsi" w:cstheme="minorHAnsi"/>
                <w:i/>
                <w:iCs/>
              </w:rPr>
              <w:t>n=201</w:t>
            </w:r>
          </w:p>
        </w:tc>
        <w:tc>
          <w:tcPr>
            <w:tcW w:w="704" w:type="dxa"/>
            <w:shd w:val="clear" w:color="auto" w:fill="auto"/>
          </w:tcPr>
          <w:p w14:paraId="7E42BC7A"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r>
      <w:tr w:rsidR="00B54D51" w:rsidRPr="00037AD4" w14:paraId="720DCC5E" w14:textId="77777777" w:rsidTr="008F00F0">
        <w:trPr>
          <w:trHeight w:val="544"/>
        </w:trPr>
        <w:tc>
          <w:tcPr>
            <w:cnfStyle w:val="001000000000" w:firstRow="0" w:lastRow="0" w:firstColumn="1" w:lastColumn="0" w:oddVBand="0" w:evenVBand="0" w:oddHBand="0" w:evenHBand="0" w:firstRowFirstColumn="0" w:firstRowLastColumn="0" w:lastRowFirstColumn="0" w:lastRowLastColumn="0"/>
            <w:tcW w:w="1295" w:type="dxa"/>
            <w:shd w:val="clear" w:color="auto" w:fill="auto"/>
          </w:tcPr>
          <w:p w14:paraId="45C445FA"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CDR</w:t>
            </w:r>
          </w:p>
        </w:tc>
        <w:tc>
          <w:tcPr>
            <w:tcW w:w="1350" w:type="dxa"/>
            <w:shd w:val="clear" w:color="auto" w:fill="auto"/>
          </w:tcPr>
          <w:p w14:paraId="15BD5201"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-0.126*</w:t>
            </w:r>
          </w:p>
        </w:tc>
        <w:tc>
          <w:tcPr>
            <w:tcW w:w="816" w:type="dxa"/>
            <w:shd w:val="clear" w:color="auto" w:fill="auto"/>
          </w:tcPr>
          <w:p w14:paraId="1AFF9D19"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0.063</w:t>
            </w:r>
          </w:p>
        </w:tc>
        <w:tc>
          <w:tcPr>
            <w:tcW w:w="1033" w:type="dxa"/>
            <w:shd w:val="clear" w:color="auto" w:fill="auto"/>
          </w:tcPr>
          <w:p w14:paraId="5B3A8C6A"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-2.01</w:t>
            </w:r>
          </w:p>
        </w:tc>
        <w:tc>
          <w:tcPr>
            <w:tcW w:w="894" w:type="dxa"/>
            <w:vMerge/>
            <w:shd w:val="clear" w:color="auto" w:fill="auto"/>
          </w:tcPr>
          <w:p w14:paraId="7029B185"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1350" w:type="dxa"/>
            <w:shd w:val="clear" w:color="auto" w:fill="auto"/>
          </w:tcPr>
          <w:p w14:paraId="0A8C348E"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-0.126*</w:t>
            </w:r>
          </w:p>
        </w:tc>
        <w:tc>
          <w:tcPr>
            <w:tcW w:w="840" w:type="dxa"/>
            <w:shd w:val="clear" w:color="auto" w:fill="auto"/>
          </w:tcPr>
          <w:p w14:paraId="3FC8DB2A"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0.033</w:t>
            </w:r>
          </w:p>
        </w:tc>
        <w:tc>
          <w:tcPr>
            <w:tcW w:w="1000" w:type="dxa"/>
            <w:shd w:val="clear" w:color="auto" w:fill="auto"/>
          </w:tcPr>
          <w:p w14:paraId="178CC136"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-3.77</w:t>
            </w:r>
          </w:p>
        </w:tc>
        <w:tc>
          <w:tcPr>
            <w:tcW w:w="704" w:type="dxa"/>
            <w:vMerge w:val="restart"/>
            <w:shd w:val="clear" w:color="auto" w:fill="auto"/>
          </w:tcPr>
          <w:p w14:paraId="0DDCFE20"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0.24</w:t>
            </w:r>
          </w:p>
        </w:tc>
      </w:tr>
      <w:tr w:rsidR="00B54D51" w:rsidRPr="00037AD4" w14:paraId="46A26FE5" w14:textId="77777777" w:rsidTr="008F00F0">
        <w:trPr>
          <w:cnfStyle w:val="000000100000" w:firstRow="0" w:lastRow="0" w:firstColumn="0" w:lastColumn="0" w:oddVBand="0" w:evenVBand="0" w:oddHBand="1" w:evenHBand="0" w:firstRowFirstColumn="0" w:firstRowLastColumn="0" w:lastRowFirstColumn="0" w:lastRowLastColumn="0"/>
          <w:trHeight w:val="544"/>
        </w:trPr>
        <w:tc>
          <w:tcPr>
            <w:cnfStyle w:val="001000000000" w:firstRow="0" w:lastRow="0" w:firstColumn="1" w:lastColumn="0" w:oddVBand="0" w:evenVBand="0" w:oddHBand="0" w:evenHBand="0" w:firstRowFirstColumn="0" w:firstRowLastColumn="0" w:lastRowFirstColumn="0" w:lastRowLastColumn="0"/>
            <w:tcW w:w="1295" w:type="dxa"/>
            <w:shd w:val="clear" w:color="auto" w:fill="auto"/>
          </w:tcPr>
          <w:p w14:paraId="16661B93"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NPI-NH</w:t>
            </w:r>
          </w:p>
        </w:tc>
        <w:tc>
          <w:tcPr>
            <w:tcW w:w="1350" w:type="dxa"/>
            <w:shd w:val="clear" w:color="auto" w:fill="auto"/>
          </w:tcPr>
          <w:p w14:paraId="663C9FC1"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-0.003</w:t>
            </w:r>
          </w:p>
        </w:tc>
        <w:tc>
          <w:tcPr>
            <w:tcW w:w="816" w:type="dxa"/>
            <w:shd w:val="clear" w:color="auto" w:fill="auto"/>
          </w:tcPr>
          <w:p w14:paraId="3EC9A8A6"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0.003</w:t>
            </w:r>
          </w:p>
        </w:tc>
        <w:tc>
          <w:tcPr>
            <w:tcW w:w="1033" w:type="dxa"/>
            <w:shd w:val="clear" w:color="auto" w:fill="auto"/>
          </w:tcPr>
          <w:p w14:paraId="5957B39B"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-0.95</w:t>
            </w:r>
          </w:p>
        </w:tc>
        <w:tc>
          <w:tcPr>
            <w:tcW w:w="894" w:type="dxa"/>
            <w:vMerge/>
            <w:shd w:val="clear" w:color="auto" w:fill="auto"/>
          </w:tcPr>
          <w:p w14:paraId="14923035"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1350" w:type="dxa"/>
            <w:shd w:val="clear" w:color="auto" w:fill="auto"/>
          </w:tcPr>
          <w:p w14:paraId="47500E23"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-0.001</w:t>
            </w:r>
          </w:p>
        </w:tc>
        <w:tc>
          <w:tcPr>
            <w:tcW w:w="840" w:type="dxa"/>
            <w:shd w:val="clear" w:color="auto" w:fill="auto"/>
          </w:tcPr>
          <w:p w14:paraId="653B26FC"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0.002</w:t>
            </w:r>
          </w:p>
        </w:tc>
        <w:tc>
          <w:tcPr>
            <w:tcW w:w="1000" w:type="dxa"/>
            <w:shd w:val="clear" w:color="auto" w:fill="auto"/>
          </w:tcPr>
          <w:p w14:paraId="29537C52"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-0.60</w:t>
            </w:r>
          </w:p>
        </w:tc>
        <w:tc>
          <w:tcPr>
            <w:tcW w:w="704" w:type="dxa"/>
            <w:vMerge/>
            <w:shd w:val="clear" w:color="auto" w:fill="auto"/>
          </w:tcPr>
          <w:p w14:paraId="02D5296A" w14:textId="77777777" w:rsidR="00B54D51" w:rsidRPr="00037AD4" w:rsidRDefault="00B54D51" w:rsidP="008F00F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r>
      <w:tr w:rsidR="00B54D51" w:rsidRPr="00037AD4" w14:paraId="58299508" w14:textId="77777777" w:rsidTr="008F00F0">
        <w:trPr>
          <w:trHeight w:val="544"/>
        </w:trPr>
        <w:tc>
          <w:tcPr>
            <w:cnfStyle w:val="001000000000" w:firstRow="0" w:lastRow="0" w:firstColumn="1" w:lastColumn="0" w:oddVBand="0" w:evenVBand="0" w:oddHBand="0" w:evenHBand="0" w:firstRowFirstColumn="0" w:firstRowLastColumn="0" w:lastRowFirstColumn="0" w:lastRowLastColumn="0"/>
            <w:tcW w:w="1295" w:type="dxa"/>
            <w:shd w:val="clear" w:color="auto" w:fill="auto"/>
          </w:tcPr>
          <w:p w14:paraId="60AB7A5C"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FAST </w:t>
            </w:r>
          </w:p>
        </w:tc>
        <w:tc>
          <w:tcPr>
            <w:tcW w:w="1350" w:type="dxa"/>
            <w:shd w:val="clear" w:color="auto" w:fill="auto"/>
          </w:tcPr>
          <w:p w14:paraId="2D8207EB"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-0.174*</w:t>
            </w:r>
          </w:p>
        </w:tc>
        <w:tc>
          <w:tcPr>
            <w:tcW w:w="816" w:type="dxa"/>
            <w:shd w:val="clear" w:color="auto" w:fill="auto"/>
          </w:tcPr>
          <w:p w14:paraId="70769CCF"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037AD4">
              <w:rPr>
                <w:rFonts w:asciiTheme="minorHAnsi" w:hAnsiTheme="minorHAnsi" w:cstheme="minorHAnsi"/>
                <w:sz w:val="21"/>
                <w:szCs w:val="21"/>
              </w:rPr>
              <w:t>0.060</w:t>
            </w:r>
          </w:p>
        </w:tc>
        <w:tc>
          <w:tcPr>
            <w:tcW w:w="1033" w:type="dxa"/>
            <w:shd w:val="clear" w:color="auto" w:fill="auto"/>
          </w:tcPr>
          <w:p w14:paraId="116A9442"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-2.93</w:t>
            </w:r>
          </w:p>
        </w:tc>
        <w:tc>
          <w:tcPr>
            <w:tcW w:w="894" w:type="dxa"/>
            <w:vMerge/>
            <w:shd w:val="clear" w:color="auto" w:fill="auto"/>
          </w:tcPr>
          <w:p w14:paraId="40C6608C"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1350" w:type="dxa"/>
            <w:shd w:val="clear" w:color="auto" w:fill="auto"/>
          </w:tcPr>
          <w:p w14:paraId="1572BA05"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-0.087*</w:t>
            </w:r>
          </w:p>
        </w:tc>
        <w:tc>
          <w:tcPr>
            <w:tcW w:w="840" w:type="dxa"/>
            <w:shd w:val="clear" w:color="auto" w:fill="auto"/>
          </w:tcPr>
          <w:p w14:paraId="6D571F84"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0.027</w:t>
            </w:r>
          </w:p>
        </w:tc>
        <w:tc>
          <w:tcPr>
            <w:tcW w:w="1000" w:type="dxa"/>
            <w:shd w:val="clear" w:color="auto" w:fill="auto"/>
          </w:tcPr>
          <w:p w14:paraId="4260F2A7"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37AD4">
              <w:rPr>
                <w:rFonts w:asciiTheme="minorHAnsi" w:hAnsiTheme="minorHAnsi" w:cstheme="minorHAnsi"/>
              </w:rPr>
              <w:t>-3.23</w:t>
            </w:r>
          </w:p>
        </w:tc>
        <w:tc>
          <w:tcPr>
            <w:tcW w:w="704" w:type="dxa"/>
            <w:vMerge/>
            <w:shd w:val="clear" w:color="auto" w:fill="auto"/>
          </w:tcPr>
          <w:p w14:paraId="1C49D97F" w14:textId="77777777" w:rsidR="00B54D51" w:rsidRPr="00037AD4" w:rsidRDefault="00B54D51" w:rsidP="008F00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r>
      <w:tr w:rsidR="00B54D51" w:rsidRPr="00037AD4" w14:paraId="1E9868B2" w14:textId="77777777" w:rsidTr="008F00F0">
        <w:trPr>
          <w:cnfStyle w:val="000000100000" w:firstRow="0" w:lastRow="0" w:firstColumn="0" w:lastColumn="0" w:oddVBand="0" w:evenVBand="0" w:oddHBand="1" w:evenHBand="0" w:firstRowFirstColumn="0" w:firstRowLastColumn="0" w:lastRowFirstColumn="0" w:lastRowLastColumn="0"/>
          <w:trHeight w:val="217"/>
        </w:trPr>
        <w:tc>
          <w:tcPr>
            <w:cnfStyle w:val="001000000000" w:firstRow="0" w:lastRow="0" w:firstColumn="1" w:lastColumn="0" w:oddVBand="0" w:evenVBand="0" w:oddHBand="0" w:evenHBand="0" w:firstRowFirstColumn="0" w:firstRowLastColumn="0" w:lastRowFirstColumn="0" w:lastRowLastColumn="0"/>
            <w:tcW w:w="9282" w:type="dxa"/>
            <w:gridSpan w:val="9"/>
            <w:shd w:val="clear" w:color="auto" w:fill="auto"/>
          </w:tcPr>
          <w:p w14:paraId="4E474114" w14:textId="77777777" w:rsidR="00B54D51" w:rsidRPr="00037AD4" w:rsidRDefault="00B54D51" w:rsidP="008F00F0">
            <w:pPr>
              <w:rPr>
                <w:rFonts w:asciiTheme="minorHAnsi" w:hAnsiTheme="minorHAnsi" w:cstheme="minorHAnsi"/>
                <w:b w:val="0"/>
                <w:bCs w:val="0"/>
                <w:sz w:val="20"/>
                <w:szCs w:val="20"/>
              </w:rPr>
            </w:pPr>
            <w:r w:rsidRPr="00037AD4">
              <w:rPr>
                <w:rFonts w:asciiTheme="minorHAnsi" w:hAnsiTheme="minorHAnsi" w:cstheme="minorHAnsi"/>
                <w:b w:val="0"/>
                <w:bCs w:val="0"/>
                <w:sz w:val="20"/>
                <w:szCs w:val="20"/>
              </w:rPr>
              <w:t xml:space="preserve">*p&lt;0.05; BADLS, Bristol activities of daily living scale; CDR, clinical dementia rating scale; CSDD, Cornell scale for depression in dementia; IADL, Lawton’s instrumental activities of daily living scale; FAST, functional assessment staging tool for dementia; MMSE, mini-mental state examination; NPI, neuropsychiatric inventory; PSMS, physical self-maintenance scale; </w:t>
            </w:r>
            <w:r w:rsidRPr="00037AD4">
              <w:rPr>
                <w:rFonts w:asciiTheme="minorHAnsi" w:hAnsiTheme="minorHAnsi" w:cstheme="minorHAnsi"/>
                <w:b w:val="0"/>
                <w:bCs w:val="0"/>
                <w:color w:val="000000" w:themeColor="text1"/>
                <w:sz w:val="20"/>
                <w:szCs w:val="20"/>
              </w:rPr>
              <w:t>EQ-5D-3L for REMCARE; EQ-5D-5L for ACTIFCARE and EPIC</w:t>
            </w:r>
          </w:p>
        </w:tc>
      </w:tr>
    </w:tbl>
    <w:p w14:paraId="59518DD5" w14:textId="61B06CA5" w:rsidR="00B54D51" w:rsidRDefault="00B54D51" w:rsidP="001B5EE2">
      <w:bookmarkStart w:id="331" w:name="_4.4.5_Convergent_validity"/>
      <w:bookmarkEnd w:id="331"/>
    </w:p>
    <w:p w14:paraId="4844E97B" w14:textId="16BDF0F9" w:rsidR="00B77D6A" w:rsidRDefault="00B77D6A" w:rsidP="001B5EE2"/>
    <w:p w14:paraId="0FD23968" w14:textId="77777777" w:rsidR="00B77D6A" w:rsidRPr="001B5EE2" w:rsidRDefault="00B77D6A" w:rsidP="001B5EE2"/>
    <w:p w14:paraId="28BB00C4" w14:textId="77777777" w:rsidR="00B54D51" w:rsidRPr="00037AD4" w:rsidRDefault="00B54D51" w:rsidP="007A43F9">
      <w:pPr>
        <w:pStyle w:val="Heading3"/>
        <w:rPr>
          <w:color w:val="FF0000"/>
        </w:rPr>
      </w:pPr>
      <w:bookmarkStart w:id="332" w:name="_Toc175742309"/>
      <w:r w:rsidRPr="00037AD4">
        <w:lastRenderedPageBreak/>
        <w:t>4.4.5 Convergent validity analyses</w:t>
      </w:r>
      <w:bookmarkEnd w:id="332"/>
      <w:r w:rsidRPr="00037AD4">
        <w:t xml:space="preserve"> </w:t>
      </w:r>
    </w:p>
    <w:p w14:paraId="2919379F" w14:textId="77777777" w:rsidR="00B54D51" w:rsidRPr="00037AD4" w:rsidRDefault="00B54D51" w:rsidP="002147C5">
      <w:pPr>
        <w:rPr>
          <w:rFonts w:asciiTheme="minorHAnsi" w:hAnsiTheme="minorHAnsi" w:cstheme="minorHAnsi"/>
        </w:rPr>
      </w:pPr>
    </w:p>
    <w:p w14:paraId="47778F20" w14:textId="77777777" w:rsidR="00B54D51" w:rsidRPr="00037AD4" w:rsidRDefault="00B54D51" w:rsidP="002147C5">
      <w:pPr>
        <w:rPr>
          <w:rFonts w:asciiTheme="minorHAnsi" w:hAnsiTheme="minorHAnsi" w:cstheme="minorHAnsi"/>
        </w:rPr>
      </w:pPr>
      <w:r w:rsidRPr="00037AD4">
        <w:rPr>
          <w:rFonts w:asciiTheme="minorHAnsi" w:hAnsiTheme="minorHAnsi" w:cstheme="minorHAnsi"/>
        </w:rPr>
        <w:t xml:space="preserve">Pairwise correlation using Pearson’s correlation coefficient has been applied to explore the relationship between EQ-5D index scores and the scores generated from the other preference-based measures (PBMs) included in the studies. This evaluation considers data collected at all time points and is presented in Tables 29a – 29c by study.  </w:t>
      </w:r>
    </w:p>
    <w:p w14:paraId="50BA9996" w14:textId="77777777" w:rsidR="00B54D51" w:rsidRPr="00037AD4" w:rsidRDefault="00B54D51" w:rsidP="002147C5">
      <w:pPr>
        <w:rPr>
          <w:rFonts w:asciiTheme="minorHAnsi" w:hAnsiTheme="minorHAnsi" w:cstheme="minorHAnsi"/>
        </w:rPr>
      </w:pPr>
    </w:p>
    <w:p w14:paraId="21A2FCF7" w14:textId="77777777" w:rsidR="00B54D51" w:rsidRPr="00037AD4" w:rsidRDefault="00B54D51" w:rsidP="002147C5">
      <w:pPr>
        <w:rPr>
          <w:rFonts w:asciiTheme="minorHAnsi" w:hAnsiTheme="minorHAnsi" w:cstheme="minorHAnsi"/>
        </w:rPr>
      </w:pPr>
      <w:r w:rsidRPr="00037AD4">
        <w:rPr>
          <w:rFonts w:asciiTheme="minorHAnsi" w:hAnsiTheme="minorHAnsi" w:cstheme="minorHAnsi"/>
        </w:rPr>
        <w:t xml:space="preserve">For the REMCARE trial data, all of the PBMs are statistically significantly correlated with each other. However, as outlined in the methods section, the magnitude of the correlation is fundamental for meaningful convergent validity interpretations. Moderate correlations are found between the instrument scores when assessed by the same respondent (concurrent validity). This suggests that EQ-5D and AD-5D potentially measure the same construct of utility when completed by the same respondent type. </w:t>
      </w:r>
    </w:p>
    <w:p w14:paraId="04CF51AC" w14:textId="77777777" w:rsidR="00B54D51" w:rsidRPr="00037AD4" w:rsidRDefault="00B54D51" w:rsidP="002147C5">
      <w:pPr>
        <w:rPr>
          <w:rFonts w:asciiTheme="minorHAnsi" w:hAnsiTheme="minorHAnsi" w:cstheme="minorHAnsi"/>
          <w:b/>
          <w:bCs/>
          <w:u w:val="single"/>
        </w:rPr>
      </w:pPr>
    </w:p>
    <w:p w14:paraId="207CE0F8" w14:textId="77777777" w:rsidR="00B54D51" w:rsidRPr="00037AD4" w:rsidRDefault="00B54D51" w:rsidP="002147C5">
      <w:pPr>
        <w:rPr>
          <w:rFonts w:asciiTheme="minorHAnsi" w:hAnsiTheme="minorHAnsi" w:cstheme="minorHAnsi"/>
          <w:b/>
          <w:bCs/>
          <w:i/>
          <w:iCs/>
        </w:rPr>
      </w:pPr>
      <w:r w:rsidRPr="00037AD4">
        <w:rPr>
          <w:rFonts w:asciiTheme="minorHAnsi" w:hAnsiTheme="minorHAnsi" w:cstheme="minorHAnsi"/>
          <w:b/>
          <w:bCs/>
          <w:i/>
          <w:iCs/>
        </w:rPr>
        <w:t xml:space="preserve">Table 29a, Convergent validity of preference-based measures, REMCARE </w:t>
      </w:r>
    </w:p>
    <w:p w14:paraId="71CF4762" w14:textId="77777777" w:rsidR="00B54D51" w:rsidRPr="00037AD4" w:rsidRDefault="00B54D51" w:rsidP="002147C5">
      <w:pPr>
        <w:rPr>
          <w:rFonts w:asciiTheme="minorHAnsi" w:hAnsiTheme="minorHAnsi" w:cstheme="minorHAnsi"/>
          <w:b/>
          <w:bCs/>
          <w:u w:val="single"/>
        </w:rPr>
      </w:pPr>
    </w:p>
    <w:tbl>
      <w:tblPr>
        <w:tblStyle w:val="TableGrid"/>
        <w:tblW w:w="0" w:type="auto"/>
        <w:tblLook w:val="04A0" w:firstRow="1" w:lastRow="0" w:firstColumn="1" w:lastColumn="0" w:noHBand="0" w:noVBand="1"/>
      </w:tblPr>
      <w:tblGrid>
        <w:gridCol w:w="1980"/>
        <w:gridCol w:w="1486"/>
        <w:gridCol w:w="1859"/>
        <w:gridCol w:w="1832"/>
        <w:gridCol w:w="1859"/>
      </w:tblGrid>
      <w:tr w:rsidR="00B54D51" w:rsidRPr="00037AD4" w14:paraId="022FD71C" w14:textId="77777777" w:rsidTr="008F00F0">
        <w:tc>
          <w:tcPr>
            <w:tcW w:w="1980" w:type="dxa"/>
            <w:tcBorders>
              <w:top w:val="nil"/>
              <w:left w:val="nil"/>
            </w:tcBorders>
          </w:tcPr>
          <w:p w14:paraId="37F26AC5" w14:textId="77777777" w:rsidR="00B54D51" w:rsidRPr="00037AD4" w:rsidRDefault="00B54D51" w:rsidP="008F00F0">
            <w:pPr>
              <w:rPr>
                <w:rFonts w:asciiTheme="minorHAnsi" w:hAnsiTheme="minorHAnsi" w:cstheme="minorHAnsi"/>
              </w:rPr>
            </w:pPr>
          </w:p>
        </w:tc>
        <w:tc>
          <w:tcPr>
            <w:tcW w:w="1486" w:type="dxa"/>
          </w:tcPr>
          <w:p w14:paraId="69F6DE42" w14:textId="0C5A77B6"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EQ-5D </w:t>
            </w:r>
            <w:r w:rsidR="00673F38">
              <w:rPr>
                <w:rFonts w:asciiTheme="minorHAnsi" w:hAnsiTheme="minorHAnsi" w:cstheme="minorHAnsi"/>
              </w:rPr>
              <w:t>PwD</w:t>
            </w:r>
          </w:p>
        </w:tc>
        <w:tc>
          <w:tcPr>
            <w:tcW w:w="1859" w:type="dxa"/>
          </w:tcPr>
          <w:p w14:paraId="3EB969E3"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EQ-5D proxy</w:t>
            </w:r>
          </w:p>
        </w:tc>
        <w:tc>
          <w:tcPr>
            <w:tcW w:w="1832" w:type="dxa"/>
          </w:tcPr>
          <w:p w14:paraId="6A1FF01F" w14:textId="4AE6AF60"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AD-5D </w:t>
            </w:r>
            <w:r w:rsidR="00673F38">
              <w:rPr>
                <w:rFonts w:asciiTheme="minorHAnsi" w:hAnsiTheme="minorHAnsi" w:cstheme="minorHAnsi"/>
              </w:rPr>
              <w:t>PwD</w:t>
            </w:r>
          </w:p>
        </w:tc>
        <w:tc>
          <w:tcPr>
            <w:tcW w:w="1859" w:type="dxa"/>
          </w:tcPr>
          <w:p w14:paraId="664BBA1D"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AD-5D proxy</w:t>
            </w:r>
          </w:p>
        </w:tc>
      </w:tr>
      <w:tr w:rsidR="00B54D51" w:rsidRPr="00037AD4" w14:paraId="582F8031" w14:textId="77777777" w:rsidTr="008F00F0">
        <w:tc>
          <w:tcPr>
            <w:tcW w:w="1980" w:type="dxa"/>
          </w:tcPr>
          <w:p w14:paraId="005C0838" w14:textId="306B087B"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EQ-5D </w:t>
            </w:r>
            <w:r w:rsidR="00673F38">
              <w:rPr>
                <w:rFonts w:asciiTheme="minorHAnsi" w:hAnsiTheme="minorHAnsi" w:cstheme="minorHAnsi"/>
              </w:rPr>
              <w:t>PwD</w:t>
            </w:r>
          </w:p>
        </w:tc>
        <w:tc>
          <w:tcPr>
            <w:tcW w:w="1486" w:type="dxa"/>
            <w:shd w:val="clear" w:color="auto" w:fill="A5A5A5" w:themeFill="accent3"/>
          </w:tcPr>
          <w:p w14:paraId="65B404EA"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1</w:t>
            </w:r>
          </w:p>
        </w:tc>
        <w:tc>
          <w:tcPr>
            <w:tcW w:w="1859" w:type="dxa"/>
            <w:shd w:val="clear" w:color="auto" w:fill="E7E6E6" w:themeFill="background2"/>
          </w:tcPr>
          <w:p w14:paraId="462D7B2A" w14:textId="77777777" w:rsidR="00B54D51" w:rsidRPr="00037AD4" w:rsidRDefault="00B54D51" w:rsidP="008F00F0">
            <w:pPr>
              <w:rPr>
                <w:rFonts w:asciiTheme="minorHAnsi" w:hAnsiTheme="minorHAnsi" w:cstheme="minorHAnsi"/>
              </w:rPr>
            </w:pPr>
          </w:p>
        </w:tc>
        <w:tc>
          <w:tcPr>
            <w:tcW w:w="1832" w:type="dxa"/>
            <w:shd w:val="clear" w:color="auto" w:fill="E7E6E6" w:themeFill="background2"/>
          </w:tcPr>
          <w:p w14:paraId="59DAD4FF" w14:textId="77777777" w:rsidR="00B54D51" w:rsidRPr="00037AD4" w:rsidRDefault="00B54D51" w:rsidP="008F00F0">
            <w:pPr>
              <w:rPr>
                <w:rFonts w:asciiTheme="minorHAnsi" w:hAnsiTheme="minorHAnsi" w:cstheme="minorHAnsi"/>
              </w:rPr>
            </w:pPr>
          </w:p>
        </w:tc>
        <w:tc>
          <w:tcPr>
            <w:tcW w:w="1859" w:type="dxa"/>
            <w:shd w:val="clear" w:color="auto" w:fill="E7E6E6" w:themeFill="background2"/>
          </w:tcPr>
          <w:p w14:paraId="3B2A1334" w14:textId="77777777" w:rsidR="00B54D51" w:rsidRPr="00037AD4" w:rsidRDefault="00B54D51" w:rsidP="008F00F0">
            <w:pPr>
              <w:rPr>
                <w:rFonts w:asciiTheme="minorHAnsi" w:hAnsiTheme="minorHAnsi" w:cstheme="minorHAnsi"/>
              </w:rPr>
            </w:pPr>
          </w:p>
        </w:tc>
      </w:tr>
      <w:tr w:rsidR="00B54D51" w:rsidRPr="00037AD4" w14:paraId="7BAB05B8" w14:textId="77777777" w:rsidTr="008F00F0">
        <w:tc>
          <w:tcPr>
            <w:tcW w:w="1980" w:type="dxa"/>
          </w:tcPr>
          <w:p w14:paraId="3155AA86"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EQ-5D proxy</w:t>
            </w:r>
          </w:p>
        </w:tc>
        <w:tc>
          <w:tcPr>
            <w:tcW w:w="1486" w:type="dxa"/>
          </w:tcPr>
          <w:p w14:paraId="3E7B9E89"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0.35*</w:t>
            </w:r>
          </w:p>
        </w:tc>
        <w:tc>
          <w:tcPr>
            <w:tcW w:w="1859" w:type="dxa"/>
            <w:shd w:val="clear" w:color="auto" w:fill="A5A5A5" w:themeFill="accent3"/>
          </w:tcPr>
          <w:p w14:paraId="277DCF07"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1</w:t>
            </w:r>
          </w:p>
        </w:tc>
        <w:tc>
          <w:tcPr>
            <w:tcW w:w="1832" w:type="dxa"/>
            <w:shd w:val="clear" w:color="auto" w:fill="E7E6E6" w:themeFill="background2"/>
          </w:tcPr>
          <w:p w14:paraId="207C108B" w14:textId="77777777" w:rsidR="00B54D51" w:rsidRPr="00037AD4" w:rsidRDefault="00B54D51" w:rsidP="008F00F0">
            <w:pPr>
              <w:rPr>
                <w:rFonts w:asciiTheme="minorHAnsi" w:hAnsiTheme="minorHAnsi" w:cstheme="minorHAnsi"/>
              </w:rPr>
            </w:pPr>
          </w:p>
        </w:tc>
        <w:tc>
          <w:tcPr>
            <w:tcW w:w="1859" w:type="dxa"/>
            <w:shd w:val="clear" w:color="auto" w:fill="E7E6E6" w:themeFill="background2"/>
          </w:tcPr>
          <w:p w14:paraId="52936588" w14:textId="77777777" w:rsidR="00B54D51" w:rsidRPr="00037AD4" w:rsidRDefault="00B54D51" w:rsidP="008F00F0">
            <w:pPr>
              <w:rPr>
                <w:rFonts w:asciiTheme="minorHAnsi" w:hAnsiTheme="minorHAnsi" w:cstheme="minorHAnsi"/>
              </w:rPr>
            </w:pPr>
          </w:p>
        </w:tc>
      </w:tr>
      <w:tr w:rsidR="00B54D51" w:rsidRPr="00037AD4" w14:paraId="184F7DDB" w14:textId="77777777" w:rsidTr="008F00F0">
        <w:tc>
          <w:tcPr>
            <w:tcW w:w="1980" w:type="dxa"/>
          </w:tcPr>
          <w:p w14:paraId="6B075296" w14:textId="17DDBBDC"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AD-5D </w:t>
            </w:r>
            <w:r w:rsidR="00673F38">
              <w:rPr>
                <w:rFonts w:asciiTheme="minorHAnsi" w:hAnsiTheme="minorHAnsi" w:cstheme="minorHAnsi"/>
              </w:rPr>
              <w:t>PwD</w:t>
            </w:r>
          </w:p>
        </w:tc>
        <w:tc>
          <w:tcPr>
            <w:tcW w:w="1486" w:type="dxa"/>
          </w:tcPr>
          <w:p w14:paraId="12F83051"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0.43*</w:t>
            </w:r>
          </w:p>
        </w:tc>
        <w:tc>
          <w:tcPr>
            <w:tcW w:w="1859" w:type="dxa"/>
          </w:tcPr>
          <w:p w14:paraId="56625596"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0.27*</w:t>
            </w:r>
          </w:p>
        </w:tc>
        <w:tc>
          <w:tcPr>
            <w:tcW w:w="1832" w:type="dxa"/>
            <w:shd w:val="clear" w:color="auto" w:fill="A5A5A5" w:themeFill="accent3"/>
          </w:tcPr>
          <w:p w14:paraId="157A443F"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1</w:t>
            </w:r>
          </w:p>
        </w:tc>
        <w:tc>
          <w:tcPr>
            <w:tcW w:w="1859" w:type="dxa"/>
            <w:shd w:val="clear" w:color="auto" w:fill="E7E6E6" w:themeFill="background2"/>
          </w:tcPr>
          <w:p w14:paraId="0E98D5D1" w14:textId="77777777" w:rsidR="00B54D51" w:rsidRPr="00037AD4" w:rsidRDefault="00B54D51" w:rsidP="008F00F0">
            <w:pPr>
              <w:rPr>
                <w:rFonts w:asciiTheme="minorHAnsi" w:hAnsiTheme="minorHAnsi" w:cstheme="minorHAnsi"/>
              </w:rPr>
            </w:pPr>
          </w:p>
        </w:tc>
      </w:tr>
      <w:tr w:rsidR="00B54D51" w:rsidRPr="00037AD4" w14:paraId="52A9A8A6" w14:textId="77777777" w:rsidTr="008F00F0">
        <w:tc>
          <w:tcPr>
            <w:tcW w:w="1980" w:type="dxa"/>
          </w:tcPr>
          <w:p w14:paraId="3C9C069D"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AD-5D proxy</w:t>
            </w:r>
          </w:p>
        </w:tc>
        <w:tc>
          <w:tcPr>
            <w:tcW w:w="1486" w:type="dxa"/>
          </w:tcPr>
          <w:p w14:paraId="48B67686"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0.23*</w:t>
            </w:r>
          </w:p>
        </w:tc>
        <w:tc>
          <w:tcPr>
            <w:tcW w:w="1859" w:type="dxa"/>
          </w:tcPr>
          <w:p w14:paraId="1AEDC315"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0.57*</w:t>
            </w:r>
          </w:p>
        </w:tc>
        <w:tc>
          <w:tcPr>
            <w:tcW w:w="1832" w:type="dxa"/>
          </w:tcPr>
          <w:p w14:paraId="2E61AC49"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0.31*</w:t>
            </w:r>
          </w:p>
        </w:tc>
        <w:tc>
          <w:tcPr>
            <w:tcW w:w="1859" w:type="dxa"/>
            <w:shd w:val="clear" w:color="auto" w:fill="A5A5A5" w:themeFill="accent3"/>
          </w:tcPr>
          <w:p w14:paraId="741B3413"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1</w:t>
            </w:r>
          </w:p>
        </w:tc>
      </w:tr>
      <w:tr w:rsidR="00B54D51" w:rsidRPr="00037AD4" w14:paraId="12CAC9AB" w14:textId="77777777" w:rsidTr="008F00F0">
        <w:tc>
          <w:tcPr>
            <w:tcW w:w="9016" w:type="dxa"/>
            <w:gridSpan w:val="5"/>
          </w:tcPr>
          <w:p w14:paraId="51B7C9EF" w14:textId="77777777" w:rsidR="00B54D51" w:rsidRPr="00037AD4" w:rsidRDefault="00B54D51" w:rsidP="008F00F0">
            <w:pPr>
              <w:rPr>
                <w:rFonts w:asciiTheme="minorHAnsi" w:hAnsiTheme="minorHAnsi" w:cstheme="minorHAnsi"/>
                <w:sz w:val="20"/>
                <w:szCs w:val="20"/>
              </w:rPr>
            </w:pPr>
            <w:r w:rsidRPr="00037AD4">
              <w:rPr>
                <w:rFonts w:asciiTheme="minorHAnsi" w:hAnsiTheme="minorHAnsi" w:cstheme="minorHAnsi"/>
                <w:sz w:val="20"/>
                <w:szCs w:val="20"/>
              </w:rPr>
              <w:t>*p&lt;0.05; AD-5D, Alzheimer’s disease five dimensions; uses EQ-5D-3L</w:t>
            </w:r>
          </w:p>
        </w:tc>
      </w:tr>
    </w:tbl>
    <w:p w14:paraId="08A7518F" w14:textId="77777777" w:rsidR="00B54D51" w:rsidRPr="00037AD4" w:rsidRDefault="00B54D51" w:rsidP="002147C5">
      <w:pPr>
        <w:rPr>
          <w:rFonts w:asciiTheme="minorHAnsi" w:hAnsiTheme="minorHAnsi" w:cstheme="minorHAnsi"/>
          <w:b/>
          <w:bCs/>
          <w:u w:val="single"/>
        </w:rPr>
      </w:pPr>
    </w:p>
    <w:p w14:paraId="15F0836A" w14:textId="77777777" w:rsidR="00B54D51" w:rsidRPr="00037AD4" w:rsidRDefault="00B54D51" w:rsidP="002147C5">
      <w:pPr>
        <w:rPr>
          <w:rFonts w:asciiTheme="minorHAnsi" w:hAnsiTheme="minorHAnsi" w:cstheme="minorHAnsi"/>
        </w:rPr>
      </w:pPr>
      <w:r w:rsidRPr="00037AD4">
        <w:rPr>
          <w:rFonts w:asciiTheme="minorHAnsi" w:hAnsiTheme="minorHAnsi" w:cstheme="minorHAnsi"/>
        </w:rPr>
        <w:t xml:space="preserve">Similarly, with the ACTIFCARE data concurrent validity is shown between measures completed by the same respondent. The correlation between PwD reported EQ-5D utility scores and ICECAP-O index is notably high (r=0.60). In this dataset, the correlation between PwD and proxy reported AD-5D and EQ-5D index scores are also of a moderate strength. DEMQoL-U and DEMQoL-proxy-U exhibit only a slight correlation with each other (r=0.27).  </w:t>
      </w:r>
    </w:p>
    <w:p w14:paraId="46EE3048" w14:textId="551E07F9" w:rsidR="00B54D51" w:rsidRDefault="00B54D51" w:rsidP="002147C5">
      <w:pPr>
        <w:rPr>
          <w:rFonts w:asciiTheme="minorHAnsi" w:hAnsiTheme="minorHAnsi" w:cstheme="minorHAnsi"/>
          <w:b/>
          <w:bCs/>
          <w:u w:val="single"/>
        </w:rPr>
      </w:pPr>
    </w:p>
    <w:p w14:paraId="3ABF0B87" w14:textId="77777777" w:rsidR="00B54D51" w:rsidRPr="00037AD4" w:rsidRDefault="00B54D51" w:rsidP="002147C5">
      <w:pPr>
        <w:rPr>
          <w:rFonts w:asciiTheme="minorHAnsi" w:hAnsiTheme="minorHAnsi" w:cstheme="minorHAnsi"/>
          <w:b/>
          <w:bCs/>
          <w:i/>
          <w:iCs/>
        </w:rPr>
      </w:pPr>
      <w:r w:rsidRPr="00037AD4">
        <w:rPr>
          <w:rFonts w:asciiTheme="minorHAnsi" w:hAnsiTheme="minorHAnsi" w:cstheme="minorHAnsi"/>
          <w:b/>
          <w:bCs/>
          <w:i/>
          <w:iCs/>
        </w:rPr>
        <w:t xml:space="preserve">Table 29b, Convergent validity of preference-based measures, ACTIFCARE </w:t>
      </w:r>
    </w:p>
    <w:p w14:paraId="4E2A1DEC" w14:textId="77777777" w:rsidR="00B54D51" w:rsidRPr="00037AD4" w:rsidRDefault="00B54D51" w:rsidP="002147C5">
      <w:pPr>
        <w:rPr>
          <w:rFonts w:asciiTheme="minorHAnsi" w:hAnsiTheme="minorHAnsi" w:cstheme="minorHAnsi"/>
          <w:u w:val="single"/>
        </w:rPr>
      </w:pPr>
    </w:p>
    <w:tbl>
      <w:tblPr>
        <w:tblStyle w:val="TableGrid"/>
        <w:tblW w:w="9781" w:type="dxa"/>
        <w:tblLayout w:type="fixed"/>
        <w:tblLook w:val="04A0" w:firstRow="1" w:lastRow="0" w:firstColumn="1" w:lastColumn="0" w:noHBand="0" w:noVBand="1"/>
      </w:tblPr>
      <w:tblGrid>
        <w:gridCol w:w="1560"/>
        <w:gridCol w:w="850"/>
        <w:gridCol w:w="851"/>
        <w:gridCol w:w="992"/>
        <w:gridCol w:w="992"/>
        <w:gridCol w:w="1276"/>
        <w:gridCol w:w="1276"/>
        <w:gridCol w:w="992"/>
        <w:gridCol w:w="992"/>
      </w:tblGrid>
      <w:tr w:rsidR="00B54D51" w:rsidRPr="00037AD4" w14:paraId="047460A2" w14:textId="77777777" w:rsidTr="007166B6">
        <w:trPr>
          <w:trHeight w:val="733"/>
        </w:trPr>
        <w:tc>
          <w:tcPr>
            <w:tcW w:w="1560" w:type="dxa"/>
          </w:tcPr>
          <w:p w14:paraId="40CAC572" w14:textId="77777777" w:rsidR="00B54D51" w:rsidRPr="00037AD4" w:rsidRDefault="00B54D51" w:rsidP="008F00F0">
            <w:pPr>
              <w:rPr>
                <w:rFonts w:asciiTheme="minorHAnsi" w:hAnsiTheme="minorHAnsi" w:cstheme="minorHAnsi"/>
              </w:rPr>
            </w:pPr>
          </w:p>
        </w:tc>
        <w:tc>
          <w:tcPr>
            <w:tcW w:w="850" w:type="dxa"/>
          </w:tcPr>
          <w:p w14:paraId="3E0570AB"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EQ-5D PwD</w:t>
            </w:r>
          </w:p>
        </w:tc>
        <w:tc>
          <w:tcPr>
            <w:tcW w:w="851" w:type="dxa"/>
          </w:tcPr>
          <w:p w14:paraId="71C02A2F"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EQ-5D RP</w:t>
            </w:r>
          </w:p>
        </w:tc>
        <w:tc>
          <w:tcPr>
            <w:tcW w:w="992" w:type="dxa"/>
          </w:tcPr>
          <w:p w14:paraId="741F33A6"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AD-5D PwD</w:t>
            </w:r>
          </w:p>
        </w:tc>
        <w:tc>
          <w:tcPr>
            <w:tcW w:w="992" w:type="dxa"/>
          </w:tcPr>
          <w:p w14:paraId="6C0D5AC4"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AD-5D RP</w:t>
            </w:r>
          </w:p>
        </w:tc>
        <w:tc>
          <w:tcPr>
            <w:tcW w:w="1276" w:type="dxa"/>
          </w:tcPr>
          <w:p w14:paraId="57600DF5"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DEMQoL-U PwD</w:t>
            </w:r>
          </w:p>
        </w:tc>
        <w:tc>
          <w:tcPr>
            <w:tcW w:w="1276" w:type="dxa"/>
          </w:tcPr>
          <w:p w14:paraId="1B045A7B"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DEMQoL-proxy-U</w:t>
            </w:r>
          </w:p>
          <w:p w14:paraId="110FD86F" w14:textId="77777777" w:rsidR="00B54D51" w:rsidRPr="00037AD4" w:rsidRDefault="00B54D51" w:rsidP="008F00F0">
            <w:pPr>
              <w:rPr>
                <w:rFonts w:asciiTheme="minorHAnsi" w:hAnsiTheme="minorHAnsi" w:cstheme="minorHAnsi"/>
              </w:rPr>
            </w:pPr>
          </w:p>
        </w:tc>
        <w:tc>
          <w:tcPr>
            <w:tcW w:w="992" w:type="dxa"/>
          </w:tcPr>
          <w:p w14:paraId="27EED332"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ICECAP-O</w:t>
            </w:r>
          </w:p>
          <w:p w14:paraId="1028F9D6"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PwD</w:t>
            </w:r>
          </w:p>
        </w:tc>
        <w:tc>
          <w:tcPr>
            <w:tcW w:w="992" w:type="dxa"/>
          </w:tcPr>
          <w:p w14:paraId="0F0543F6"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ICECAP-O-proxy</w:t>
            </w:r>
          </w:p>
          <w:p w14:paraId="580CF734" w14:textId="77777777" w:rsidR="00B54D51" w:rsidRPr="00037AD4" w:rsidRDefault="00B54D51" w:rsidP="008F00F0">
            <w:pPr>
              <w:rPr>
                <w:rFonts w:asciiTheme="minorHAnsi" w:hAnsiTheme="minorHAnsi" w:cstheme="minorHAnsi"/>
              </w:rPr>
            </w:pPr>
          </w:p>
        </w:tc>
      </w:tr>
      <w:tr w:rsidR="00B54D51" w:rsidRPr="00037AD4" w14:paraId="47D1B713" w14:textId="77777777" w:rsidTr="007166B6">
        <w:trPr>
          <w:trHeight w:val="280"/>
        </w:trPr>
        <w:tc>
          <w:tcPr>
            <w:tcW w:w="1560" w:type="dxa"/>
          </w:tcPr>
          <w:p w14:paraId="7FABD90D"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EQ-5D PwD</w:t>
            </w:r>
          </w:p>
        </w:tc>
        <w:tc>
          <w:tcPr>
            <w:tcW w:w="850" w:type="dxa"/>
            <w:shd w:val="clear" w:color="auto" w:fill="A5A5A5" w:themeFill="accent3"/>
          </w:tcPr>
          <w:p w14:paraId="7EB2BC62" w14:textId="77777777" w:rsidR="00B54D51" w:rsidRPr="00037AD4" w:rsidRDefault="00B54D51" w:rsidP="008F00F0">
            <w:pPr>
              <w:rPr>
                <w:rFonts w:asciiTheme="minorHAnsi" w:hAnsiTheme="minorHAnsi" w:cstheme="minorHAnsi"/>
              </w:rPr>
            </w:pPr>
          </w:p>
        </w:tc>
        <w:tc>
          <w:tcPr>
            <w:tcW w:w="851" w:type="dxa"/>
            <w:shd w:val="clear" w:color="auto" w:fill="E7E6E6" w:themeFill="background2"/>
          </w:tcPr>
          <w:p w14:paraId="29F1F4C3" w14:textId="77777777" w:rsidR="00B54D51" w:rsidRPr="00037AD4" w:rsidRDefault="00B54D51" w:rsidP="008F00F0">
            <w:pPr>
              <w:rPr>
                <w:rFonts w:asciiTheme="minorHAnsi" w:hAnsiTheme="minorHAnsi" w:cstheme="minorHAnsi"/>
              </w:rPr>
            </w:pPr>
          </w:p>
        </w:tc>
        <w:tc>
          <w:tcPr>
            <w:tcW w:w="992" w:type="dxa"/>
            <w:shd w:val="clear" w:color="auto" w:fill="E7E6E6" w:themeFill="background2"/>
          </w:tcPr>
          <w:p w14:paraId="4247ABBD" w14:textId="77777777" w:rsidR="00B54D51" w:rsidRPr="00037AD4" w:rsidRDefault="00B54D51" w:rsidP="008F00F0">
            <w:pPr>
              <w:rPr>
                <w:rFonts w:asciiTheme="minorHAnsi" w:hAnsiTheme="minorHAnsi" w:cstheme="minorHAnsi"/>
              </w:rPr>
            </w:pPr>
          </w:p>
        </w:tc>
        <w:tc>
          <w:tcPr>
            <w:tcW w:w="992" w:type="dxa"/>
            <w:shd w:val="clear" w:color="auto" w:fill="E7E6E6" w:themeFill="background2"/>
          </w:tcPr>
          <w:p w14:paraId="529455C3" w14:textId="77777777" w:rsidR="00B54D51" w:rsidRPr="00037AD4" w:rsidRDefault="00B54D51" w:rsidP="008F00F0">
            <w:pPr>
              <w:rPr>
                <w:rFonts w:asciiTheme="minorHAnsi" w:hAnsiTheme="minorHAnsi" w:cstheme="minorHAnsi"/>
              </w:rPr>
            </w:pPr>
          </w:p>
        </w:tc>
        <w:tc>
          <w:tcPr>
            <w:tcW w:w="1276" w:type="dxa"/>
            <w:shd w:val="clear" w:color="auto" w:fill="E7E6E6" w:themeFill="background2"/>
          </w:tcPr>
          <w:p w14:paraId="1FAB0D75" w14:textId="77777777" w:rsidR="00B54D51" w:rsidRPr="00037AD4" w:rsidRDefault="00B54D51" w:rsidP="008F00F0">
            <w:pPr>
              <w:rPr>
                <w:rFonts w:asciiTheme="minorHAnsi" w:hAnsiTheme="minorHAnsi" w:cstheme="minorHAnsi"/>
              </w:rPr>
            </w:pPr>
          </w:p>
        </w:tc>
        <w:tc>
          <w:tcPr>
            <w:tcW w:w="1276" w:type="dxa"/>
            <w:shd w:val="clear" w:color="auto" w:fill="E7E6E6" w:themeFill="background2"/>
          </w:tcPr>
          <w:p w14:paraId="002FFF66" w14:textId="77777777" w:rsidR="00B54D51" w:rsidRPr="00037AD4" w:rsidRDefault="00B54D51" w:rsidP="008F00F0">
            <w:pPr>
              <w:rPr>
                <w:rFonts w:asciiTheme="minorHAnsi" w:hAnsiTheme="minorHAnsi" w:cstheme="minorHAnsi"/>
              </w:rPr>
            </w:pPr>
          </w:p>
        </w:tc>
        <w:tc>
          <w:tcPr>
            <w:tcW w:w="992" w:type="dxa"/>
            <w:shd w:val="clear" w:color="auto" w:fill="E7E6E6" w:themeFill="background2"/>
          </w:tcPr>
          <w:p w14:paraId="4C65A0E1" w14:textId="77777777" w:rsidR="00B54D51" w:rsidRPr="00037AD4" w:rsidRDefault="00B54D51" w:rsidP="008F00F0">
            <w:pPr>
              <w:rPr>
                <w:rFonts w:asciiTheme="minorHAnsi" w:hAnsiTheme="minorHAnsi" w:cstheme="minorHAnsi"/>
              </w:rPr>
            </w:pPr>
          </w:p>
        </w:tc>
        <w:tc>
          <w:tcPr>
            <w:tcW w:w="992" w:type="dxa"/>
            <w:shd w:val="clear" w:color="auto" w:fill="E7E6E6" w:themeFill="background2"/>
          </w:tcPr>
          <w:p w14:paraId="71D9B3C0" w14:textId="77777777" w:rsidR="00B54D51" w:rsidRPr="00037AD4" w:rsidRDefault="00B54D51" w:rsidP="008F00F0">
            <w:pPr>
              <w:rPr>
                <w:rFonts w:asciiTheme="minorHAnsi" w:hAnsiTheme="minorHAnsi" w:cstheme="minorHAnsi"/>
              </w:rPr>
            </w:pPr>
          </w:p>
        </w:tc>
      </w:tr>
      <w:tr w:rsidR="00B54D51" w:rsidRPr="00037AD4" w14:paraId="6FACA77C" w14:textId="77777777" w:rsidTr="007166B6">
        <w:trPr>
          <w:trHeight w:val="488"/>
        </w:trPr>
        <w:tc>
          <w:tcPr>
            <w:tcW w:w="1560" w:type="dxa"/>
          </w:tcPr>
          <w:p w14:paraId="53692426"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EQ-5D proxy</w:t>
            </w:r>
          </w:p>
        </w:tc>
        <w:tc>
          <w:tcPr>
            <w:tcW w:w="850" w:type="dxa"/>
          </w:tcPr>
          <w:p w14:paraId="039CB441"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0.51*</w:t>
            </w:r>
          </w:p>
        </w:tc>
        <w:tc>
          <w:tcPr>
            <w:tcW w:w="851" w:type="dxa"/>
            <w:shd w:val="clear" w:color="auto" w:fill="A5A5A5" w:themeFill="accent3"/>
          </w:tcPr>
          <w:p w14:paraId="2DBBCB0D" w14:textId="77777777" w:rsidR="00B54D51" w:rsidRPr="00037AD4" w:rsidRDefault="00B54D51" w:rsidP="008F00F0">
            <w:pPr>
              <w:rPr>
                <w:rFonts w:asciiTheme="minorHAnsi" w:hAnsiTheme="minorHAnsi" w:cstheme="minorHAnsi"/>
              </w:rPr>
            </w:pPr>
          </w:p>
        </w:tc>
        <w:tc>
          <w:tcPr>
            <w:tcW w:w="992" w:type="dxa"/>
            <w:shd w:val="clear" w:color="auto" w:fill="E7E6E6" w:themeFill="background2"/>
          </w:tcPr>
          <w:p w14:paraId="1869765C" w14:textId="77777777" w:rsidR="00B54D51" w:rsidRPr="00037AD4" w:rsidRDefault="00B54D51" w:rsidP="008F00F0">
            <w:pPr>
              <w:rPr>
                <w:rFonts w:asciiTheme="minorHAnsi" w:hAnsiTheme="minorHAnsi" w:cstheme="minorHAnsi"/>
              </w:rPr>
            </w:pPr>
          </w:p>
        </w:tc>
        <w:tc>
          <w:tcPr>
            <w:tcW w:w="992" w:type="dxa"/>
            <w:shd w:val="clear" w:color="auto" w:fill="E7E6E6" w:themeFill="background2"/>
          </w:tcPr>
          <w:p w14:paraId="20EE6996" w14:textId="77777777" w:rsidR="00B54D51" w:rsidRPr="00037AD4" w:rsidRDefault="00B54D51" w:rsidP="008F00F0">
            <w:pPr>
              <w:rPr>
                <w:rFonts w:asciiTheme="minorHAnsi" w:hAnsiTheme="minorHAnsi" w:cstheme="minorHAnsi"/>
              </w:rPr>
            </w:pPr>
          </w:p>
        </w:tc>
        <w:tc>
          <w:tcPr>
            <w:tcW w:w="1276" w:type="dxa"/>
            <w:shd w:val="clear" w:color="auto" w:fill="E7E6E6" w:themeFill="background2"/>
          </w:tcPr>
          <w:p w14:paraId="755561E0" w14:textId="77777777" w:rsidR="00B54D51" w:rsidRPr="00037AD4" w:rsidRDefault="00B54D51" w:rsidP="008F00F0">
            <w:pPr>
              <w:rPr>
                <w:rFonts w:asciiTheme="minorHAnsi" w:hAnsiTheme="minorHAnsi" w:cstheme="minorHAnsi"/>
              </w:rPr>
            </w:pPr>
          </w:p>
        </w:tc>
        <w:tc>
          <w:tcPr>
            <w:tcW w:w="1276" w:type="dxa"/>
            <w:shd w:val="clear" w:color="auto" w:fill="E7E6E6" w:themeFill="background2"/>
          </w:tcPr>
          <w:p w14:paraId="6798CC07" w14:textId="77777777" w:rsidR="00B54D51" w:rsidRPr="00037AD4" w:rsidRDefault="00B54D51" w:rsidP="008F00F0">
            <w:pPr>
              <w:rPr>
                <w:rFonts w:asciiTheme="minorHAnsi" w:hAnsiTheme="minorHAnsi" w:cstheme="minorHAnsi"/>
              </w:rPr>
            </w:pPr>
          </w:p>
        </w:tc>
        <w:tc>
          <w:tcPr>
            <w:tcW w:w="992" w:type="dxa"/>
            <w:shd w:val="clear" w:color="auto" w:fill="E7E6E6" w:themeFill="background2"/>
          </w:tcPr>
          <w:p w14:paraId="6BD819E8" w14:textId="77777777" w:rsidR="00B54D51" w:rsidRPr="00037AD4" w:rsidRDefault="00B54D51" w:rsidP="008F00F0">
            <w:pPr>
              <w:rPr>
                <w:rFonts w:asciiTheme="minorHAnsi" w:hAnsiTheme="minorHAnsi" w:cstheme="minorHAnsi"/>
              </w:rPr>
            </w:pPr>
          </w:p>
        </w:tc>
        <w:tc>
          <w:tcPr>
            <w:tcW w:w="992" w:type="dxa"/>
            <w:shd w:val="clear" w:color="auto" w:fill="E7E6E6" w:themeFill="background2"/>
          </w:tcPr>
          <w:p w14:paraId="5C66D2AA" w14:textId="77777777" w:rsidR="00B54D51" w:rsidRPr="00037AD4" w:rsidRDefault="00B54D51" w:rsidP="008F00F0">
            <w:pPr>
              <w:rPr>
                <w:rFonts w:asciiTheme="minorHAnsi" w:hAnsiTheme="minorHAnsi" w:cstheme="minorHAnsi"/>
              </w:rPr>
            </w:pPr>
          </w:p>
        </w:tc>
      </w:tr>
      <w:tr w:rsidR="00B54D51" w:rsidRPr="00037AD4" w14:paraId="5D13D9FF" w14:textId="77777777" w:rsidTr="007166B6">
        <w:trPr>
          <w:trHeight w:val="472"/>
        </w:trPr>
        <w:tc>
          <w:tcPr>
            <w:tcW w:w="1560" w:type="dxa"/>
          </w:tcPr>
          <w:p w14:paraId="4DA2372F"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AD-5D PwD</w:t>
            </w:r>
          </w:p>
        </w:tc>
        <w:tc>
          <w:tcPr>
            <w:tcW w:w="850" w:type="dxa"/>
          </w:tcPr>
          <w:p w14:paraId="632BD8B8"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0.49*</w:t>
            </w:r>
          </w:p>
        </w:tc>
        <w:tc>
          <w:tcPr>
            <w:tcW w:w="851" w:type="dxa"/>
          </w:tcPr>
          <w:p w14:paraId="2425F219"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0.23*</w:t>
            </w:r>
          </w:p>
        </w:tc>
        <w:tc>
          <w:tcPr>
            <w:tcW w:w="992" w:type="dxa"/>
            <w:shd w:val="clear" w:color="auto" w:fill="A5A5A5" w:themeFill="accent3"/>
          </w:tcPr>
          <w:p w14:paraId="5EC56818" w14:textId="77777777" w:rsidR="00B54D51" w:rsidRPr="00037AD4" w:rsidRDefault="00B54D51" w:rsidP="008F00F0">
            <w:pPr>
              <w:rPr>
                <w:rFonts w:asciiTheme="minorHAnsi" w:hAnsiTheme="minorHAnsi" w:cstheme="minorHAnsi"/>
              </w:rPr>
            </w:pPr>
          </w:p>
        </w:tc>
        <w:tc>
          <w:tcPr>
            <w:tcW w:w="992" w:type="dxa"/>
            <w:shd w:val="clear" w:color="auto" w:fill="EDEDED" w:themeFill="accent3" w:themeFillTint="33"/>
          </w:tcPr>
          <w:p w14:paraId="563757B4" w14:textId="77777777" w:rsidR="00B54D51" w:rsidRPr="00037AD4" w:rsidRDefault="00B54D51" w:rsidP="008F00F0">
            <w:pPr>
              <w:rPr>
                <w:rFonts w:asciiTheme="minorHAnsi" w:hAnsiTheme="minorHAnsi" w:cstheme="minorHAnsi"/>
              </w:rPr>
            </w:pPr>
          </w:p>
        </w:tc>
        <w:tc>
          <w:tcPr>
            <w:tcW w:w="1276" w:type="dxa"/>
            <w:shd w:val="clear" w:color="auto" w:fill="E7E6E6" w:themeFill="background2"/>
          </w:tcPr>
          <w:p w14:paraId="242C7F51" w14:textId="77777777" w:rsidR="00B54D51" w:rsidRPr="00037AD4" w:rsidRDefault="00B54D51" w:rsidP="008F00F0">
            <w:pPr>
              <w:rPr>
                <w:rFonts w:asciiTheme="minorHAnsi" w:hAnsiTheme="minorHAnsi" w:cstheme="minorHAnsi"/>
              </w:rPr>
            </w:pPr>
          </w:p>
        </w:tc>
        <w:tc>
          <w:tcPr>
            <w:tcW w:w="1276" w:type="dxa"/>
            <w:shd w:val="clear" w:color="auto" w:fill="E7E6E6" w:themeFill="background2"/>
          </w:tcPr>
          <w:p w14:paraId="5A1D019E" w14:textId="77777777" w:rsidR="00B54D51" w:rsidRPr="00037AD4" w:rsidRDefault="00B54D51" w:rsidP="008F00F0">
            <w:pPr>
              <w:rPr>
                <w:rFonts w:asciiTheme="minorHAnsi" w:hAnsiTheme="minorHAnsi" w:cstheme="minorHAnsi"/>
              </w:rPr>
            </w:pPr>
          </w:p>
        </w:tc>
        <w:tc>
          <w:tcPr>
            <w:tcW w:w="992" w:type="dxa"/>
            <w:shd w:val="clear" w:color="auto" w:fill="E7E6E6" w:themeFill="background2"/>
          </w:tcPr>
          <w:p w14:paraId="25D3F745" w14:textId="77777777" w:rsidR="00B54D51" w:rsidRPr="00037AD4" w:rsidRDefault="00B54D51" w:rsidP="008F00F0">
            <w:pPr>
              <w:rPr>
                <w:rFonts w:asciiTheme="minorHAnsi" w:hAnsiTheme="minorHAnsi" w:cstheme="minorHAnsi"/>
              </w:rPr>
            </w:pPr>
          </w:p>
        </w:tc>
        <w:tc>
          <w:tcPr>
            <w:tcW w:w="992" w:type="dxa"/>
            <w:shd w:val="clear" w:color="auto" w:fill="E7E6E6" w:themeFill="background2"/>
          </w:tcPr>
          <w:p w14:paraId="4FC1E8FC" w14:textId="77777777" w:rsidR="00B54D51" w:rsidRPr="00037AD4" w:rsidRDefault="00B54D51" w:rsidP="008F00F0">
            <w:pPr>
              <w:rPr>
                <w:rFonts w:asciiTheme="minorHAnsi" w:hAnsiTheme="minorHAnsi" w:cstheme="minorHAnsi"/>
              </w:rPr>
            </w:pPr>
          </w:p>
        </w:tc>
      </w:tr>
      <w:tr w:rsidR="00B54D51" w:rsidRPr="00037AD4" w14:paraId="663AC36A" w14:textId="77777777" w:rsidTr="007166B6">
        <w:trPr>
          <w:trHeight w:val="488"/>
        </w:trPr>
        <w:tc>
          <w:tcPr>
            <w:tcW w:w="1560" w:type="dxa"/>
          </w:tcPr>
          <w:p w14:paraId="5D9EEC4B"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AD-5D proxy</w:t>
            </w:r>
          </w:p>
        </w:tc>
        <w:tc>
          <w:tcPr>
            <w:tcW w:w="850" w:type="dxa"/>
          </w:tcPr>
          <w:p w14:paraId="34DBDF39"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0.36*</w:t>
            </w:r>
          </w:p>
        </w:tc>
        <w:tc>
          <w:tcPr>
            <w:tcW w:w="851" w:type="dxa"/>
          </w:tcPr>
          <w:p w14:paraId="720F6FB6"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0.45*</w:t>
            </w:r>
          </w:p>
        </w:tc>
        <w:tc>
          <w:tcPr>
            <w:tcW w:w="992" w:type="dxa"/>
          </w:tcPr>
          <w:p w14:paraId="553D896F"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0.44*</w:t>
            </w:r>
          </w:p>
        </w:tc>
        <w:tc>
          <w:tcPr>
            <w:tcW w:w="992" w:type="dxa"/>
            <w:shd w:val="clear" w:color="auto" w:fill="A5A5A5" w:themeFill="accent3"/>
          </w:tcPr>
          <w:p w14:paraId="34CE4BF4" w14:textId="77777777" w:rsidR="00B54D51" w:rsidRPr="00037AD4" w:rsidRDefault="00B54D51" w:rsidP="008F00F0">
            <w:pPr>
              <w:rPr>
                <w:rFonts w:asciiTheme="minorHAnsi" w:hAnsiTheme="minorHAnsi" w:cstheme="minorHAnsi"/>
              </w:rPr>
            </w:pPr>
          </w:p>
        </w:tc>
        <w:tc>
          <w:tcPr>
            <w:tcW w:w="1276" w:type="dxa"/>
            <w:shd w:val="clear" w:color="auto" w:fill="EDEDED" w:themeFill="accent3" w:themeFillTint="33"/>
          </w:tcPr>
          <w:p w14:paraId="6944A74E" w14:textId="77777777" w:rsidR="00B54D51" w:rsidRPr="00037AD4" w:rsidRDefault="00B54D51" w:rsidP="008F00F0">
            <w:pPr>
              <w:rPr>
                <w:rFonts w:asciiTheme="minorHAnsi" w:hAnsiTheme="minorHAnsi" w:cstheme="minorHAnsi"/>
              </w:rPr>
            </w:pPr>
          </w:p>
        </w:tc>
        <w:tc>
          <w:tcPr>
            <w:tcW w:w="1276" w:type="dxa"/>
            <w:shd w:val="clear" w:color="auto" w:fill="EDEDED" w:themeFill="accent3" w:themeFillTint="33"/>
          </w:tcPr>
          <w:p w14:paraId="09D3491C" w14:textId="77777777" w:rsidR="00B54D51" w:rsidRPr="00037AD4" w:rsidRDefault="00B54D51" w:rsidP="008F00F0">
            <w:pPr>
              <w:rPr>
                <w:rFonts w:asciiTheme="minorHAnsi" w:hAnsiTheme="minorHAnsi" w:cstheme="minorHAnsi"/>
              </w:rPr>
            </w:pPr>
          </w:p>
        </w:tc>
        <w:tc>
          <w:tcPr>
            <w:tcW w:w="992" w:type="dxa"/>
            <w:shd w:val="clear" w:color="auto" w:fill="EDEDED" w:themeFill="accent3" w:themeFillTint="33"/>
          </w:tcPr>
          <w:p w14:paraId="09A86E9F" w14:textId="77777777" w:rsidR="00B54D51" w:rsidRPr="00037AD4" w:rsidRDefault="00B54D51" w:rsidP="008F00F0">
            <w:pPr>
              <w:rPr>
                <w:rFonts w:asciiTheme="minorHAnsi" w:hAnsiTheme="minorHAnsi" w:cstheme="minorHAnsi"/>
              </w:rPr>
            </w:pPr>
          </w:p>
        </w:tc>
        <w:tc>
          <w:tcPr>
            <w:tcW w:w="992" w:type="dxa"/>
            <w:shd w:val="clear" w:color="auto" w:fill="EDEDED" w:themeFill="accent3" w:themeFillTint="33"/>
          </w:tcPr>
          <w:p w14:paraId="1DA88D20" w14:textId="77777777" w:rsidR="00B54D51" w:rsidRPr="00037AD4" w:rsidRDefault="00B54D51" w:rsidP="008F00F0">
            <w:pPr>
              <w:rPr>
                <w:rFonts w:asciiTheme="minorHAnsi" w:hAnsiTheme="minorHAnsi" w:cstheme="minorHAnsi"/>
              </w:rPr>
            </w:pPr>
          </w:p>
        </w:tc>
      </w:tr>
      <w:tr w:rsidR="00B54D51" w:rsidRPr="00037AD4" w14:paraId="0C32FB6E" w14:textId="77777777" w:rsidTr="007166B6">
        <w:trPr>
          <w:trHeight w:val="472"/>
        </w:trPr>
        <w:tc>
          <w:tcPr>
            <w:tcW w:w="1560" w:type="dxa"/>
          </w:tcPr>
          <w:p w14:paraId="77679B96"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DEMQoL-U PwD</w:t>
            </w:r>
          </w:p>
        </w:tc>
        <w:tc>
          <w:tcPr>
            <w:tcW w:w="850" w:type="dxa"/>
          </w:tcPr>
          <w:p w14:paraId="5CC8C0C7"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0.44*</w:t>
            </w:r>
          </w:p>
        </w:tc>
        <w:tc>
          <w:tcPr>
            <w:tcW w:w="851" w:type="dxa"/>
          </w:tcPr>
          <w:p w14:paraId="1C9872BA"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0.16*</w:t>
            </w:r>
          </w:p>
        </w:tc>
        <w:tc>
          <w:tcPr>
            <w:tcW w:w="992" w:type="dxa"/>
          </w:tcPr>
          <w:p w14:paraId="1F761AA5"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0.53*</w:t>
            </w:r>
          </w:p>
        </w:tc>
        <w:tc>
          <w:tcPr>
            <w:tcW w:w="992" w:type="dxa"/>
          </w:tcPr>
          <w:p w14:paraId="10E8F3F3"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0.31*</w:t>
            </w:r>
          </w:p>
        </w:tc>
        <w:tc>
          <w:tcPr>
            <w:tcW w:w="1276" w:type="dxa"/>
            <w:shd w:val="clear" w:color="auto" w:fill="A5A5A5" w:themeFill="accent3"/>
          </w:tcPr>
          <w:p w14:paraId="53E37A1B" w14:textId="77777777" w:rsidR="00B54D51" w:rsidRPr="00037AD4" w:rsidRDefault="00B54D51" w:rsidP="008F00F0">
            <w:pPr>
              <w:rPr>
                <w:rFonts w:asciiTheme="minorHAnsi" w:hAnsiTheme="minorHAnsi" w:cstheme="minorHAnsi"/>
              </w:rPr>
            </w:pPr>
          </w:p>
        </w:tc>
        <w:tc>
          <w:tcPr>
            <w:tcW w:w="1276" w:type="dxa"/>
            <w:shd w:val="clear" w:color="auto" w:fill="EDEDED" w:themeFill="accent3" w:themeFillTint="33"/>
          </w:tcPr>
          <w:p w14:paraId="58D04CED" w14:textId="77777777" w:rsidR="00B54D51" w:rsidRPr="00037AD4" w:rsidRDefault="00B54D51" w:rsidP="008F00F0">
            <w:pPr>
              <w:rPr>
                <w:rFonts w:asciiTheme="minorHAnsi" w:hAnsiTheme="minorHAnsi" w:cstheme="minorHAnsi"/>
              </w:rPr>
            </w:pPr>
          </w:p>
        </w:tc>
        <w:tc>
          <w:tcPr>
            <w:tcW w:w="992" w:type="dxa"/>
            <w:shd w:val="clear" w:color="auto" w:fill="EDEDED" w:themeFill="accent3" w:themeFillTint="33"/>
          </w:tcPr>
          <w:p w14:paraId="4A24083F" w14:textId="77777777" w:rsidR="00B54D51" w:rsidRPr="00037AD4" w:rsidRDefault="00B54D51" w:rsidP="008F00F0">
            <w:pPr>
              <w:rPr>
                <w:rFonts w:asciiTheme="minorHAnsi" w:hAnsiTheme="minorHAnsi" w:cstheme="minorHAnsi"/>
              </w:rPr>
            </w:pPr>
          </w:p>
        </w:tc>
        <w:tc>
          <w:tcPr>
            <w:tcW w:w="992" w:type="dxa"/>
            <w:shd w:val="clear" w:color="auto" w:fill="EDEDED" w:themeFill="accent3" w:themeFillTint="33"/>
          </w:tcPr>
          <w:p w14:paraId="635D4528" w14:textId="77777777" w:rsidR="00B54D51" w:rsidRPr="00037AD4" w:rsidRDefault="00B54D51" w:rsidP="008F00F0">
            <w:pPr>
              <w:rPr>
                <w:rFonts w:asciiTheme="minorHAnsi" w:hAnsiTheme="minorHAnsi" w:cstheme="minorHAnsi"/>
              </w:rPr>
            </w:pPr>
          </w:p>
        </w:tc>
      </w:tr>
      <w:tr w:rsidR="00B54D51" w:rsidRPr="00037AD4" w14:paraId="18619AB1" w14:textId="77777777" w:rsidTr="007166B6">
        <w:trPr>
          <w:trHeight w:val="488"/>
        </w:trPr>
        <w:tc>
          <w:tcPr>
            <w:tcW w:w="1560" w:type="dxa"/>
          </w:tcPr>
          <w:p w14:paraId="1AE47405"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DEMQoL-proxy-U</w:t>
            </w:r>
          </w:p>
        </w:tc>
        <w:tc>
          <w:tcPr>
            <w:tcW w:w="850" w:type="dxa"/>
          </w:tcPr>
          <w:p w14:paraId="49439B1D"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0.28*</w:t>
            </w:r>
          </w:p>
        </w:tc>
        <w:tc>
          <w:tcPr>
            <w:tcW w:w="851" w:type="dxa"/>
          </w:tcPr>
          <w:p w14:paraId="41A28353"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0.33*</w:t>
            </w:r>
          </w:p>
        </w:tc>
        <w:tc>
          <w:tcPr>
            <w:tcW w:w="992" w:type="dxa"/>
          </w:tcPr>
          <w:p w14:paraId="1294CE30"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0.28*</w:t>
            </w:r>
          </w:p>
        </w:tc>
        <w:tc>
          <w:tcPr>
            <w:tcW w:w="992" w:type="dxa"/>
          </w:tcPr>
          <w:p w14:paraId="71B6C267"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0.44*</w:t>
            </w:r>
          </w:p>
        </w:tc>
        <w:tc>
          <w:tcPr>
            <w:tcW w:w="1276" w:type="dxa"/>
            <w:shd w:val="clear" w:color="auto" w:fill="FFFFFF" w:themeFill="background1"/>
          </w:tcPr>
          <w:p w14:paraId="0B4CE7C0"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0.27*</w:t>
            </w:r>
          </w:p>
        </w:tc>
        <w:tc>
          <w:tcPr>
            <w:tcW w:w="1276" w:type="dxa"/>
            <w:shd w:val="clear" w:color="auto" w:fill="A5A5A5" w:themeFill="accent3"/>
          </w:tcPr>
          <w:p w14:paraId="20636DD2" w14:textId="77777777" w:rsidR="00B54D51" w:rsidRPr="00037AD4" w:rsidRDefault="00B54D51" w:rsidP="008F00F0">
            <w:pPr>
              <w:rPr>
                <w:rFonts w:asciiTheme="minorHAnsi" w:hAnsiTheme="minorHAnsi" w:cstheme="minorHAnsi"/>
              </w:rPr>
            </w:pPr>
          </w:p>
        </w:tc>
        <w:tc>
          <w:tcPr>
            <w:tcW w:w="992" w:type="dxa"/>
            <w:shd w:val="clear" w:color="auto" w:fill="auto"/>
          </w:tcPr>
          <w:p w14:paraId="2178C631" w14:textId="77777777" w:rsidR="00B54D51" w:rsidRPr="00037AD4" w:rsidRDefault="00B54D51" w:rsidP="008F00F0">
            <w:pPr>
              <w:rPr>
                <w:rFonts w:asciiTheme="minorHAnsi" w:hAnsiTheme="minorHAnsi" w:cstheme="minorHAnsi"/>
              </w:rPr>
            </w:pPr>
          </w:p>
        </w:tc>
        <w:tc>
          <w:tcPr>
            <w:tcW w:w="992" w:type="dxa"/>
            <w:shd w:val="clear" w:color="auto" w:fill="auto"/>
          </w:tcPr>
          <w:p w14:paraId="3158026B" w14:textId="77777777" w:rsidR="00B54D51" w:rsidRPr="00037AD4" w:rsidRDefault="00B54D51" w:rsidP="008F00F0">
            <w:pPr>
              <w:rPr>
                <w:rFonts w:asciiTheme="minorHAnsi" w:hAnsiTheme="minorHAnsi" w:cstheme="minorHAnsi"/>
              </w:rPr>
            </w:pPr>
          </w:p>
        </w:tc>
      </w:tr>
      <w:tr w:rsidR="00B54D51" w:rsidRPr="00037AD4" w14:paraId="007D93FF" w14:textId="77777777" w:rsidTr="007166B6">
        <w:trPr>
          <w:trHeight w:val="488"/>
        </w:trPr>
        <w:tc>
          <w:tcPr>
            <w:tcW w:w="1560" w:type="dxa"/>
          </w:tcPr>
          <w:p w14:paraId="73782747"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ICECAP-O</w:t>
            </w:r>
          </w:p>
          <w:p w14:paraId="6387CAB9"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lastRenderedPageBreak/>
              <w:t>PwD</w:t>
            </w:r>
          </w:p>
        </w:tc>
        <w:tc>
          <w:tcPr>
            <w:tcW w:w="850" w:type="dxa"/>
          </w:tcPr>
          <w:p w14:paraId="6B7905D4"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lastRenderedPageBreak/>
              <w:t>0.60*</w:t>
            </w:r>
          </w:p>
        </w:tc>
        <w:tc>
          <w:tcPr>
            <w:tcW w:w="851" w:type="dxa"/>
          </w:tcPr>
          <w:p w14:paraId="1CE18211"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0.34*</w:t>
            </w:r>
          </w:p>
        </w:tc>
        <w:tc>
          <w:tcPr>
            <w:tcW w:w="992" w:type="dxa"/>
          </w:tcPr>
          <w:p w14:paraId="124776F5"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0.56*</w:t>
            </w:r>
          </w:p>
        </w:tc>
        <w:tc>
          <w:tcPr>
            <w:tcW w:w="992" w:type="dxa"/>
          </w:tcPr>
          <w:p w14:paraId="5AAB51FF"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0.38*</w:t>
            </w:r>
          </w:p>
        </w:tc>
        <w:tc>
          <w:tcPr>
            <w:tcW w:w="1276" w:type="dxa"/>
            <w:shd w:val="clear" w:color="auto" w:fill="FFFFFF" w:themeFill="background1"/>
          </w:tcPr>
          <w:p w14:paraId="797577EE"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0.54*</w:t>
            </w:r>
          </w:p>
        </w:tc>
        <w:tc>
          <w:tcPr>
            <w:tcW w:w="1276" w:type="dxa"/>
            <w:shd w:val="clear" w:color="auto" w:fill="auto"/>
          </w:tcPr>
          <w:p w14:paraId="2A86CC90"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0.25*</w:t>
            </w:r>
          </w:p>
        </w:tc>
        <w:tc>
          <w:tcPr>
            <w:tcW w:w="992" w:type="dxa"/>
            <w:shd w:val="clear" w:color="auto" w:fill="A5A5A5" w:themeFill="accent3"/>
          </w:tcPr>
          <w:p w14:paraId="106287C2" w14:textId="77777777" w:rsidR="00B54D51" w:rsidRPr="00037AD4" w:rsidRDefault="00B54D51" w:rsidP="008F00F0">
            <w:pPr>
              <w:rPr>
                <w:rFonts w:asciiTheme="minorHAnsi" w:hAnsiTheme="minorHAnsi" w:cstheme="minorHAnsi"/>
              </w:rPr>
            </w:pPr>
          </w:p>
        </w:tc>
        <w:tc>
          <w:tcPr>
            <w:tcW w:w="992" w:type="dxa"/>
            <w:shd w:val="clear" w:color="auto" w:fill="auto"/>
          </w:tcPr>
          <w:p w14:paraId="2EFECFFB" w14:textId="77777777" w:rsidR="00B54D51" w:rsidRPr="00037AD4" w:rsidRDefault="00B54D51" w:rsidP="008F00F0">
            <w:pPr>
              <w:rPr>
                <w:rFonts w:asciiTheme="minorHAnsi" w:hAnsiTheme="minorHAnsi" w:cstheme="minorHAnsi"/>
              </w:rPr>
            </w:pPr>
          </w:p>
        </w:tc>
      </w:tr>
      <w:tr w:rsidR="00B54D51" w:rsidRPr="00037AD4" w14:paraId="03A734A7" w14:textId="77777777" w:rsidTr="007166B6">
        <w:trPr>
          <w:trHeight w:val="488"/>
        </w:trPr>
        <w:tc>
          <w:tcPr>
            <w:tcW w:w="1560" w:type="dxa"/>
          </w:tcPr>
          <w:p w14:paraId="6CA35FDF"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ICECAP-O-proxy</w:t>
            </w:r>
          </w:p>
        </w:tc>
        <w:tc>
          <w:tcPr>
            <w:tcW w:w="850" w:type="dxa"/>
          </w:tcPr>
          <w:p w14:paraId="52A1DDBB"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0.29*</w:t>
            </w:r>
          </w:p>
        </w:tc>
        <w:tc>
          <w:tcPr>
            <w:tcW w:w="851" w:type="dxa"/>
          </w:tcPr>
          <w:p w14:paraId="26C42DB8"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0.52*</w:t>
            </w:r>
          </w:p>
        </w:tc>
        <w:tc>
          <w:tcPr>
            <w:tcW w:w="992" w:type="dxa"/>
          </w:tcPr>
          <w:p w14:paraId="4F1ABD11"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0.26*</w:t>
            </w:r>
          </w:p>
        </w:tc>
        <w:tc>
          <w:tcPr>
            <w:tcW w:w="992" w:type="dxa"/>
          </w:tcPr>
          <w:p w14:paraId="4FD40B1E"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0.51*</w:t>
            </w:r>
          </w:p>
        </w:tc>
        <w:tc>
          <w:tcPr>
            <w:tcW w:w="1276" w:type="dxa"/>
            <w:shd w:val="clear" w:color="auto" w:fill="FFFFFF" w:themeFill="background1"/>
          </w:tcPr>
          <w:p w14:paraId="14BB64DA"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0.24*</w:t>
            </w:r>
          </w:p>
        </w:tc>
        <w:tc>
          <w:tcPr>
            <w:tcW w:w="1276" w:type="dxa"/>
            <w:shd w:val="clear" w:color="auto" w:fill="auto"/>
          </w:tcPr>
          <w:p w14:paraId="7418C8B2"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0.35*</w:t>
            </w:r>
          </w:p>
        </w:tc>
        <w:tc>
          <w:tcPr>
            <w:tcW w:w="992" w:type="dxa"/>
            <w:shd w:val="clear" w:color="auto" w:fill="auto"/>
          </w:tcPr>
          <w:p w14:paraId="75D85C22"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0.38*</w:t>
            </w:r>
          </w:p>
        </w:tc>
        <w:tc>
          <w:tcPr>
            <w:tcW w:w="992" w:type="dxa"/>
            <w:shd w:val="clear" w:color="auto" w:fill="A5A5A5" w:themeFill="accent3"/>
          </w:tcPr>
          <w:p w14:paraId="08536DC8" w14:textId="77777777" w:rsidR="00B54D51" w:rsidRPr="00037AD4" w:rsidRDefault="00B54D51" w:rsidP="008F00F0">
            <w:pPr>
              <w:rPr>
                <w:rFonts w:asciiTheme="minorHAnsi" w:hAnsiTheme="minorHAnsi" w:cstheme="minorHAnsi"/>
              </w:rPr>
            </w:pPr>
          </w:p>
        </w:tc>
      </w:tr>
      <w:tr w:rsidR="00B54D51" w:rsidRPr="00037AD4" w14:paraId="2C0EEEA0" w14:textId="77777777" w:rsidTr="008F00F0">
        <w:trPr>
          <w:trHeight w:val="63"/>
        </w:trPr>
        <w:tc>
          <w:tcPr>
            <w:tcW w:w="9781" w:type="dxa"/>
            <w:gridSpan w:val="9"/>
          </w:tcPr>
          <w:p w14:paraId="409B977A" w14:textId="2FD66962" w:rsidR="00B54D51" w:rsidRPr="00037AD4" w:rsidRDefault="00B54D51" w:rsidP="008F00F0">
            <w:pPr>
              <w:rPr>
                <w:rFonts w:asciiTheme="minorHAnsi" w:hAnsiTheme="minorHAnsi" w:cstheme="minorHAnsi"/>
                <w:sz w:val="20"/>
                <w:szCs w:val="20"/>
              </w:rPr>
            </w:pPr>
            <w:r w:rsidRPr="00037AD4">
              <w:rPr>
                <w:rFonts w:asciiTheme="minorHAnsi" w:hAnsiTheme="minorHAnsi" w:cstheme="minorHAnsi"/>
                <w:sz w:val="20"/>
                <w:szCs w:val="20"/>
              </w:rPr>
              <w:t xml:space="preserve">*p&lt;0.05; AD-5D, Alzheimer’s disease five dimensions; DEMQoL-U, </w:t>
            </w:r>
            <w:r w:rsidRPr="00037AD4">
              <w:rPr>
                <w:rFonts w:asciiTheme="minorHAnsi" w:hAnsiTheme="minorHAnsi" w:cstheme="minorHAnsi"/>
                <w:sz w:val="20"/>
                <w:szCs w:val="20"/>
                <w:shd w:val="clear" w:color="auto" w:fill="FFFFFF"/>
              </w:rPr>
              <w:t>Dementia-Related Quality of Life utility score</w:t>
            </w:r>
            <w:r w:rsidRPr="00037AD4">
              <w:rPr>
                <w:rStyle w:val="apple-converted-space"/>
                <w:rFonts w:asciiTheme="minorHAnsi" w:eastAsiaTheme="majorEastAsia" w:hAnsiTheme="minorHAnsi" w:cstheme="minorHAnsi"/>
                <w:sz w:val="20"/>
                <w:szCs w:val="20"/>
              </w:rPr>
              <w:t>;</w:t>
            </w:r>
            <w:r w:rsidRPr="00037AD4">
              <w:rPr>
                <w:rFonts w:asciiTheme="minorHAnsi" w:hAnsiTheme="minorHAnsi" w:cstheme="minorHAnsi"/>
                <w:sz w:val="20"/>
                <w:szCs w:val="20"/>
              </w:rPr>
              <w:t xml:space="preserve"> ICECAP-O, I</w:t>
            </w:r>
            <w:r w:rsidRPr="00037AD4">
              <w:rPr>
                <w:rFonts w:asciiTheme="minorHAnsi" w:hAnsiTheme="minorHAnsi" w:cstheme="minorHAnsi"/>
                <w:sz w:val="20"/>
                <w:szCs w:val="20"/>
                <w:shd w:val="clear" w:color="auto" w:fill="FFFFFF"/>
              </w:rPr>
              <w:t xml:space="preserve">CEpop CAPability measure for Older people; uses </w:t>
            </w:r>
            <w:r w:rsidRPr="00037AD4">
              <w:rPr>
                <w:rFonts w:asciiTheme="minorHAnsi" w:hAnsiTheme="minorHAnsi" w:cstheme="minorHAnsi"/>
                <w:sz w:val="20"/>
                <w:szCs w:val="20"/>
              </w:rPr>
              <w:t>EQ-5D-5L</w:t>
            </w:r>
            <w:r w:rsidR="00673F38">
              <w:rPr>
                <w:rFonts w:asciiTheme="minorHAnsi" w:hAnsiTheme="minorHAnsi" w:cstheme="minorHAnsi"/>
                <w:sz w:val="20"/>
                <w:szCs w:val="20"/>
              </w:rPr>
              <w:t xml:space="preserve">; RP = relative proxy </w:t>
            </w:r>
          </w:p>
        </w:tc>
      </w:tr>
    </w:tbl>
    <w:p w14:paraId="53E538A8" w14:textId="77777777" w:rsidR="00B54D51" w:rsidRPr="00037AD4" w:rsidRDefault="00B54D51" w:rsidP="002147C5">
      <w:pPr>
        <w:rPr>
          <w:rFonts w:asciiTheme="minorHAnsi" w:hAnsiTheme="minorHAnsi" w:cstheme="minorHAnsi"/>
          <w:u w:val="single"/>
        </w:rPr>
      </w:pPr>
    </w:p>
    <w:p w14:paraId="1BBB5847" w14:textId="77777777" w:rsidR="00B54D51" w:rsidRPr="00037AD4" w:rsidRDefault="00B54D51" w:rsidP="002147C5">
      <w:pPr>
        <w:rPr>
          <w:rFonts w:asciiTheme="minorHAnsi" w:hAnsiTheme="minorHAnsi" w:cstheme="minorHAnsi"/>
        </w:rPr>
      </w:pPr>
      <w:r w:rsidRPr="00037AD4">
        <w:rPr>
          <w:rFonts w:asciiTheme="minorHAnsi" w:hAnsiTheme="minorHAnsi" w:cstheme="minorHAnsi"/>
        </w:rPr>
        <w:t>For the EPIC trial data, the only correlation coefficient that met the moderate association threshold (of r&gt;0.4) was observed between EQ-5D index scores reported by both proxy types. Notably, negative correlations are shown between proxy reported EQ-5D index scores and proxy DEMQoL-U (where positive correlations would be expected); however, these correlations are weak, therefore changes in one variable do not strongly predict change in the other. This weak association indicates that the dementia-specific utility score (via DEMQoL-proxy</w:t>
      </w:r>
      <w:r>
        <w:rPr>
          <w:rFonts w:asciiTheme="minorHAnsi" w:hAnsiTheme="minorHAnsi" w:cstheme="minorHAnsi"/>
        </w:rPr>
        <w:t>-U</w:t>
      </w:r>
      <w:r w:rsidRPr="00037AD4">
        <w:rPr>
          <w:rFonts w:asciiTheme="minorHAnsi" w:hAnsiTheme="minorHAnsi" w:cstheme="minorHAnsi"/>
        </w:rPr>
        <w:t xml:space="preserve">) and EQ-5D proxy index scores do not demonstrate strong convergent validity. However, this particular pattern is not observed with the ACTIFCARE data, suggesting that there may be a specific factor related to the EPIC sample contributing to this finding. A key difference between the trials is the residential setting of the PwD. </w:t>
      </w:r>
    </w:p>
    <w:p w14:paraId="3E5EA405" w14:textId="77777777" w:rsidR="00B77D6A" w:rsidRPr="00037AD4" w:rsidRDefault="00B77D6A" w:rsidP="002147C5">
      <w:pPr>
        <w:rPr>
          <w:rFonts w:asciiTheme="minorHAnsi" w:hAnsiTheme="minorHAnsi" w:cstheme="minorHAnsi"/>
        </w:rPr>
      </w:pPr>
    </w:p>
    <w:p w14:paraId="2C294696" w14:textId="77777777" w:rsidR="00B54D51" w:rsidRPr="00037AD4" w:rsidRDefault="00B54D51" w:rsidP="002147C5">
      <w:pPr>
        <w:rPr>
          <w:rFonts w:asciiTheme="minorHAnsi" w:hAnsiTheme="minorHAnsi" w:cstheme="minorHAnsi"/>
        </w:rPr>
      </w:pPr>
      <w:r w:rsidRPr="00037AD4">
        <w:rPr>
          <w:rFonts w:asciiTheme="minorHAnsi" w:hAnsiTheme="minorHAnsi" w:cstheme="minorHAnsi"/>
          <w:b/>
          <w:bCs/>
          <w:i/>
          <w:iCs/>
        </w:rPr>
        <w:t xml:space="preserve">Table 29c, Convergent validity of preference-based measures, EPIC </w:t>
      </w:r>
    </w:p>
    <w:p w14:paraId="4685BC30" w14:textId="77777777" w:rsidR="00B54D51" w:rsidRPr="00037AD4" w:rsidRDefault="00B54D51" w:rsidP="002147C5">
      <w:pPr>
        <w:rPr>
          <w:rFonts w:asciiTheme="minorHAnsi" w:hAnsiTheme="minorHAnsi" w:cstheme="minorHAnsi"/>
          <w:highlight w:val="yellow"/>
          <w:u w:val="single"/>
        </w:rPr>
      </w:pPr>
    </w:p>
    <w:tbl>
      <w:tblPr>
        <w:tblStyle w:val="TableGrid"/>
        <w:tblW w:w="0" w:type="auto"/>
        <w:tblLook w:val="04A0" w:firstRow="1" w:lastRow="0" w:firstColumn="1" w:lastColumn="0" w:noHBand="0" w:noVBand="1"/>
      </w:tblPr>
      <w:tblGrid>
        <w:gridCol w:w="1419"/>
        <w:gridCol w:w="996"/>
        <w:gridCol w:w="1205"/>
        <w:gridCol w:w="1197"/>
        <w:gridCol w:w="932"/>
        <w:gridCol w:w="1637"/>
        <w:gridCol w:w="1630"/>
      </w:tblGrid>
      <w:tr w:rsidR="00B54D51" w:rsidRPr="00037AD4" w14:paraId="30ED1877" w14:textId="77777777" w:rsidTr="007166B6">
        <w:trPr>
          <w:trHeight w:val="1147"/>
        </w:trPr>
        <w:tc>
          <w:tcPr>
            <w:tcW w:w="0" w:type="auto"/>
          </w:tcPr>
          <w:p w14:paraId="13915329" w14:textId="77777777" w:rsidR="00B54D51" w:rsidRPr="00037AD4" w:rsidRDefault="00B54D51" w:rsidP="008F00F0">
            <w:pPr>
              <w:rPr>
                <w:rFonts w:asciiTheme="minorHAnsi" w:hAnsiTheme="minorHAnsi" w:cstheme="minorHAnsi"/>
              </w:rPr>
            </w:pPr>
          </w:p>
        </w:tc>
        <w:tc>
          <w:tcPr>
            <w:tcW w:w="0" w:type="auto"/>
          </w:tcPr>
          <w:p w14:paraId="492FF794"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EQ-5D PwD</w:t>
            </w:r>
          </w:p>
        </w:tc>
        <w:tc>
          <w:tcPr>
            <w:tcW w:w="0" w:type="auto"/>
          </w:tcPr>
          <w:p w14:paraId="5039BEA2"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EQ-5D proxy (RP)</w:t>
            </w:r>
          </w:p>
        </w:tc>
        <w:tc>
          <w:tcPr>
            <w:tcW w:w="0" w:type="auto"/>
          </w:tcPr>
          <w:p w14:paraId="52532CD5"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EQ-5D proxy (SP)</w:t>
            </w:r>
          </w:p>
        </w:tc>
        <w:tc>
          <w:tcPr>
            <w:tcW w:w="0" w:type="auto"/>
          </w:tcPr>
          <w:p w14:paraId="5BEBDB5E"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AD-5D PwD</w:t>
            </w:r>
          </w:p>
        </w:tc>
        <w:tc>
          <w:tcPr>
            <w:tcW w:w="0" w:type="auto"/>
          </w:tcPr>
          <w:p w14:paraId="024B85E3"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DEMQoL-U-proxy (RP)</w:t>
            </w:r>
          </w:p>
        </w:tc>
        <w:tc>
          <w:tcPr>
            <w:tcW w:w="0" w:type="auto"/>
          </w:tcPr>
          <w:p w14:paraId="265BF5B0"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DEMQoL-U-proxy (SP)</w:t>
            </w:r>
          </w:p>
        </w:tc>
      </w:tr>
      <w:tr w:rsidR="00B54D51" w:rsidRPr="00037AD4" w14:paraId="560F5BDC" w14:textId="77777777" w:rsidTr="008F00F0">
        <w:trPr>
          <w:trHeight w:val="438"/>
        </w:trPr>
        <w:tc>
          <w:tcPr>
            <w:tcW w:w="0" w:type="auto"/>
          </w:tcPr>
          <w:p w14:paraId="12D04834"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EQ-5D SR</w:t>
            </w:r>
          </w:p>
        </w:tc>
        <w:tc>
          <w:tcPr>
            <w:tcW w:w="0" w:type="auto"/>
            <w:shd w:val="clear" w:color="auto" w:fill="A5A5A5" w:themeFill="accent3"/>
          </w:tcPr>
          <w:p w14:paraId="5B6EA47E" w14:textId="77777777" w:rsidR="00B54D51" w:rsidRPr="00037AD4" w:rsidRDefault="00B54D51" w:rsidP="008F00F0">
            <w:pPr>
              <w:rPr>
                <w:rFonts w:asciiTheme="minorHAnsi" w:hAnsiTheme="minorHAnsi" w:cstheme="minorHAnsi"/>
              </w:rPr>
            </w:pPr>
          </w:p>
        </w:tc>
        <w:tc>
          <w:tcPr>
            <w:tcW w:w="0" w:type="auto"/>
            <w:shd w:val="clear" w:color="auto" w:fill="E7E6E6" w:themeFill="background2"/>
          </w:tcPr>
          <w:p w14:paraId="3EA9590E" w14:textId="77777777" w:rsidR="00B54D51" w:rsidRPr="00037AD4" w:rsidRDefault="00B54D51" w:rsidP="008F00F0">
            <w:pPr>
              <w:rPr>
                <w:rFonts w:asciiTheme="minorHAnsi" w:hAnsiTheme="minorHAnsi" w:cstheme="minorHAnsi"/>
              </w:rPr>
            </w:pPr>
          </w:p>
        </w:tc>
        <w:tc>
          <w:tcPr>
            <w:tcW w:w="0" w:type="auto"/>
            <w:shd w:val="clear" w:color="auto" w:fill="E7E6E6" w:themeFill="background2"/>
          </w:tcPr>
          <w:p w14:paraId="01CA3B6B" w14:textId="77777777" w:rsidR="00B54D51" w:rsidRPr="00037AD4" w:rsidRDefault="00B54D51" w:rsidP="008F00F0">
            <w:pPr>
              <w:rPr>
                <w:rFonts w:asciiTheme="minorHAnsi" w:hAnsiTheme="minorHAnsi" w:cstheme="minorHAnsi"/>
              </w:rPr>
            </w:pPr>
          </w:p>
        </w:tc>
        <w:tc>
          <w:tcPr>
            <w:tcW w:w="0" w:type="auto"/>
            <w:shd w:val="clear" w:color="auto" w:fill="E7E6E6" w:themeFill="background2"/>
          </w:tcPr>
          <w:p w14:paraId="4656165E" w14:textId="77777777" w:rsidR="00B54D51" w:rsidRPr="00037AD4" w:rsidRDefault="00B54D51" w:rsidP="008F00F0">
            <w:pPr>
              <w:rPr>
                <w:rFonts w:asciiTheme="minorHAnsi" w:hAnsiTheme="minorHAnsi" w:cstheme="minorHAnsi"/>
              </w:rPr>
            </w:pPr>
          </w:p>
        </w:tc>
        <w:tc>
          <w:tcPr>
            <w:tcW w:w="0" w:type="auto"/>
            <w:shd w:val="clear" w:color="auto" w:fill="E7E6E6" w:themeFill="background2"/>
          </w:tcPr>
          <w:p w14:paraId="6FA4EB37" w14:textId="77777777" w:rsidR="00B54D51" w:rsidRPr="00037AD4" w:rsidRDefault="00B54D51" w:rsidP="008F00F0">
            <w:pPr>
              <w:rPr>
                <w:rFonts w:asciiTheme="minorHAnsi" w:hAnsiTheme="minorHAnsi" w:cstheme="minorHAnsi"/>
              </w:rPr>
            </w:pPr>
          </w:p>
        </w:tc>
        <w:tc>
          <w:tcPr>
            <w:tcW w:w="0" w:type="auto"/>
            <w:shd w:val="clear" w:color="auto" w:fill="E7E6E6" w:themeFill="background2"/>
          </w:tcPr>
          <w:p w14:paraId="24E0905F" w14:textId="77777777" w:rsidR="00B54D51" w:rsidRPr="00037AD4" w:rsidRDefault="00B54D51" w:rsidP="008F00F0">
            <w:pPr>
              <w:rPr>
                <w:rFonts w:asciiTheme="minorHAnsi" w:hAnsiTheme="minorHAnsi" w:cstheme="minorHAnsi"/>
              </w:rPr>
            </w:pPr>
          </w:p>
        </w:tc>
      </w:tr>
      <w:tr w:rsidR="00B54D51" w:rsidRPr="00037AD4" w14:paraId="34926755" w14:textId="77777777" w:rsidTr="008F00F0">
        <w:trPr>
          <w:trHeight w:val="472"/>
        </w:trPr>
        <w:tc>
          <w:tcPr>
            <w:tcW w:w="0" w:type="auto"/>
          </w:tcPr>
          <w:p w14:paraId="2643EE7A"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EQ-5D RP</w:t>
            </w:r>
          </w:p>
        </w:tc>
        <w:tc>
          <w:tcPr>
            <w:tcW w:w="0" w:type="auto"/>
          </w:tcPr>
          <w:p w14:paraId="172072D9"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0.35*</w:t>
            </w:r>
          </w:p>
        </w:tc>
        <w:tc>
          <w:tcPr>
            <w:tcW w:w="0" w:type="auto"/>
            <w:shd w:val="clear" w:color="auto" w:fill="A5A5A5" w:themeFill="accent3"/>
          </w:tcPr>
          <w:p w14:paraId="52E2AEF8" w14:textId="77777777" w:rsidR="00B54D51" w:rsidRPr="00037AD4" w:rsidRDefault="00B54D51" w:rsidP="008F00F0">
            <w:pPr>
              <w:rPr>
                <w:rFonts w:asciiTheme="minorHAnsi" w:hAnsiTheme="minorHAnsi" w:cstheme="minorHAnsi"/>
              </w:rPr>
            </w:pPr>
          </w:p>
        </w:tc>
        <w:tc>
          <w:tcPr>
            <w:tcW w:w="0" w:type="auto"/>
            <w:shd w:val="clear" w:color="auto" w:fill="E7E6E6" w:themeFill="background2"/>
          </w:tcPr>
          <w:p w14:paraId="5D5F4C83" w14:textId="77777777" w:rsidR="00B54D51" w:rsidRPr="00037AD4" w:rsidRDefault="00B54D51" w:rsidP="008F00F0">
            <w:pPr>
              <w:rPr>
                <w:rFonts w:asciiTheme="minorHAnsi" w:hAnsiTheme="minorHAnsi" w:cstheme="minorHAnsi"/>
              </w:rPr>
            </w:pPr>
          </w:p>
        </w:tc>
        <w:tc>
          <w:tcPr>
            <w:tcW w:w="0" w:type="auto"/>
            <w:shd w:val="clear" w:color="auto" w:fill="E7E6E6" w:themeFill="background2"/>
          </w:tcPr>
          <w:p w14:paraId="2C07376D" w14:textId="77777777" w:rsidR="00B54D51" w:rsidRPr="00037AD4" w:rsidRDefault="00B54D51" w:rsidP="008F00F0">
            <w:pPr>
              <w:rPr>
                <w:rFonts w:asciiTheme="minorHAnsi" w:hAnsiTheme="minorHAnsi" w:cstheme="minorHAnsi"/>
              </w:rPr>
            </w:pPr>
          </w:p>
        </w:tc>
        <w:tc>
          <w:tcPr>
            <w:tcW w:w="0" w:type="auto"/>
            <w:shd w:val="clear" w:color="auto" w:fill="E7E6E6" w:themeFill="background2"/>
          </w:tcPr>
          <w:p w14:paraId="2BE6116A" w14:textId="77777777" w:rsidR="00B54D51" w:rsidRPr="00037AD4" w:rsidRDefault="00B54D51" w:rsidP="008F00F0">
            <w:pPr>
              <w:rPr>
                <w:rFonts w:asciiTheme="minorHAnsi" w:hAnsiTheme="minorHAnsi" w:cstheme="minorHAnsi"/>
              </w:rPr>
            </w:pPr>
          </w:p>
        </w:tc>
        <w:tc>
          <w:tcPr>
            <w:tcW w:w="0" w:type="auto"/>
            <w:shd w:val="clear" w:color="auto" w:fill="E7E6E6" w:themeFill="background2"/>
          </w:tcPr>
          <w:p w14:paraId="3436C78E" w14:textId="77777777" w:rsidR="00B54D51" w:rsidRPr="00037AD4" w:rsidRDefault="00B54D51" w:rsidP="008F00F0">
            <w:pPr>
              <w:rPr>
                <w:rFonts w:asciiTheme="minorHAnsi" w:hAnsiTheme="minorHAnsi" w:cstheme="minorHAnsi"/>
              </w:rPr>
            </w:pPr>
          </w:p>
        </w:tc>
      </w:tr>
      <w:tr w:rsidR="00B54D51" w:rsidRPr="00037AD4" w14:paraId="44DBFD00" w14:textId="77777777" w:rsidTr="008F00F0">
        <w:trPr>
          <w:trHeight w:val="422"/>
        </w:trPr>
        <w:tc>
          <w:tcPr>
            <w:tcW w:w="0" w:type="auto"/>
          </w:tcPr>
          <w:p w14:paraId="6F92EC10"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EQ-5D staff</w:t>
            </w:r>
          </w:p>
        </w:tc>
        <w:tc>
          <w:tcPr>
            <w:tcW w:w="0" w:type="auto"/>
          </w:tcPr>
          <w:p w14:paraId="727706E3"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0.32*</w:t>
            </w:r>
          </w:p>
        </w:tc>
        <w:tc>
          <w:tcPr>
            <w:tcW w:w="0" w:type="auto"/>
          </w:tcPr>
          <w:p w14:paraId="5B503404"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0.61*</w:t>
            </w:r>
          </w:p>
        </w:tc>
        <w:tc>
          <w:tcPr>
            <w:tcW w:w="0" w:type="auto"/>
            <w:shd w:val="clear" w:color="auto" w:fill="A5A5A5" w:themeFill="accent3"/>
          </w:tcPr>
          <w:p w14:paraId="2EE8598B" w14:textId="77777777" w:rsidR="00B54D51" w:rsidRPr="00037AD4" w:rsidRDefault="00B54D51" w:rsidP="008F00F0">
            <w:pPr>
              <w:rPr>
                <w:rFonts w:asciiTheme="minorHAnsi" w:hAnsiTheme="minorHAnsi" w:cstheme="minorHAnsi"/>
              </w:rPr>
            </w:pPr>
          </w:p>
        </w:tc>
        <w:tc>
          <w:tcPr>
            <w:tcW w:w="0" w:type="auto"/>
            <w:shd w:val="clear" w:color="auto" w:fill="EDEDED" w:themeFill="accent3" w:themeFillTint="33"/>
          </w:tcPr>
          <w:p w14:paraId="22BFE60A" w14:textId="77777777" w:rsidR="00B54D51" w:rsidRPr="00037AD4" w:rsidRDefault="00B54D51" w:rsidP="008F00F0">
            <w:pPr>
              <w:rPr>
                <w:rFonts w:asciiTheme="minorHAnsi" w:hAnsiTheme="minorHAnsi" w:cstheme="minorHAnsi"/>
              </w:rPr>
            </w:pPr>
          </w:p>
        </w:tc>
        <w:tc>
          <w:tcPr>
            <w:tcW w:w="0" w:type="auto"/>
            <w:shd w:val="clear" w:color="auto" w:fill="E7E6E6" w:themeFill="background2"/>
          </w:tcPr>
          <w:p w14:paraId="36E8DE7B" w14:textId="77777777" w:rsidR="00B54D51" w:rsidRPr="00037AD4" w:rsidRDefault="00B54D51" w:rsidP="008F00F0">
            <w:pPr>
              <w:rPr>
                <w:rFonts w:asciiTheme="minorHAnsi" w:hAnsiTheme="minorHAnsi" w:cstheme="minorHAnsi"/>
              </w:rPr>
            </w:pPr>
          </w:p>
        </w:tc>
        <w:tc>
          <w:tcPr>
            <w:tcW w:w="0" w:type="auto"/>
            <w:shd w:val="clear" w:color="auto" w:fill="E7E6E6" w:themeFill="background2"/>
          </w:tcPr>
          <w:p w14:paraId="1EABEE26" w14:textId="77777777" w:rsidR="00B54D51" w:rsidRPr="00037AD4" w:rsidRDefault="00B54D51" w:rsidP="008F00F0">
            <w:pPr>
              <w:rPr>
                <w:rFonts w:asciiTheme="minorHAnsi" w:hAnsiTheme="minorHAnsi" w:cstheme="minorHAnsi"/>
              </w:rPr>
            </w:pPr>
          </w:p>
        </w:tc>
      </w:tr>
      <w:tr w:rsidR="00B54D51" w:rsidRPr="00037AD4" w14:paraId="04A85DBB" w14:textId="77777777" w:rsidTr="008F00F0">
        <w:trPr>
          <w:trHeight w:val="429"/>
        </w:trPr>
        <w:tc>
          <w:tcPr>
            <w:tcW w:w="0" w:type="auto"/>
          </w:tcPr>
          <w:p w14:paraId="4685B0A2"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AD-5D PwD</w:t>
            </w:r>
          </w:p>
        </w:tc>
        <w:tc>
          <w:tcPr>
            <w:tcW w:w="0" w:type="auto"/>
          </w:tcPr>
          <w:p w14:paraId="11D60335"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0.32*</w:t>
            </w:r>
          </w:p>
        </w:tc>
        <w:tc>
          <w:tcPr>
            <w:tcW w:w="0" w:type="auto"/>
          </w:tcPr>
          <w:p w14:paraId="5A45BF40"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0.14</w:t>
            </w:r>
          </w:p>
        </w:tc>
        <w:tc>
          <w:tcPr>
            <w:tcW w:w="0" w:type="auto"/>
          </w:tcPr>
          <w:p w14:paraId="40C6E087"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0.07</w:t>
            </w:r>
          </w:p>
        </w:tc>
        <w:tc>
          <w:tcPr>
            <w:tcW w:w="0" w:type="auto"/>
            <w:shd w:val="clear" w:color="auto" w:fill="A5A5A5" w:themeFill="accent3"/>
          </w:tcPr>
          <w:p w14:paraId="28A07290" w14:textId="77777777" w:rsidR="00B54D51" w:rsidRPr="00037AD4" w:rsidRDefault="00B54D51" w:rsidP="008F00F0">
            <w:pPr>
              <w:rPr>
                <w:rFonts w:asciiTheme="minorHAnsi" w:hAnsiTheme="minorHAnsi" w:cstheme="minorHAnsi"/>
              </w:rPr>
            </w:pPr>
          </w:p>
        </w:tc>
        <w:tc>
          <w:tcPr>
            <w:tcW w:w="0" w:type="auto"/>
            <w:shd w:val="clear" w:color="auto" w:fill="EDEDED" w:themeFill="accent3" w:themeFillTint="33"/>
          </w:tcPr>
          <w:p w14:paraId="2E57B7C9" w14:textId="77777777" w:rsidR="00B54D51" w:rsidRPr="00037AD4" w:rsidRDefault="00B54D51" w:rsidP="008F00F0">
            <w:pPr>
              <w:rPr>
                <w:rFonts w:asciiTheme="minorHAnsi" w:hAnsiTheme="minorHAnsi" w:cstheme="minorHAnsi"/>
              </w:rPr>
            </w:pPr>
          </w:p>
        </w:tc>
        <w:tc>
          <w:tcPr>
            <w:tcW w:w="0" w:type="auto"/>
            <w:shd w:val="clear" w:color="auto" w:fill="EDEDED" w:themeFill="accent3" w:themeFillTint="33"/>
          </w:tcPr>
          <w:p w14:paraId="763259B5" w14:textId="77777777" w:rsidR="00B54D51" w:rsidRPr="00037AD4" w:rsidRDefault="00B54D51" w:rsidP="008F00F0">
            <w:pPr>
              <w:rPr>
                <w:rFonts w:asciiTheme="minorHAnsi" w:hAnsiTheme="minorHAnsi" w:cstheme="minorHAnsi"/>
              </w:rPr>
            </w:pPr>
          </w:p>
        </w:tc>
      </w:tr>
      <w:tr w:rsidR="00B54D51" w:rsidRPr="00037AD4" w14:paraId="1D69721B" w14:textId="77777777" w:rsidTr="008F00F0">
        <w:trPr>
          <w:trHeight w:val="535"/>
        </w:trPr>
        <w:tc>
          <w:tcPr>
            <w:tcW w:w="0" w:type="auto"/>
          </w:tcPr>
          <w:p w14:paraId="4A2094D7"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DEMQoL-U RP</w:t>
            </w:r>
          </w:p>
        </w:tc>
        <w:tc>
          <w:tcPr>
            <w:tcW w:w="0" w:type="auto"/>
          </w:tcPr>
          <w:p w14:paraId="5EFAE800"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-0.15</w:t>
            </w:r>
          </w:p>
        </w:tc>
        <w:tc>
          <w:tcPr>
            <w:tcW w:w="0" w:type="auto"/>
          </w:tcPr>
          <w:p w14:paraId="5AA3376B"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-0.22*</w:t>
            </w:r>
          </w:p>
        </w:tc>
        <w:tc>
          <w:tcPr>
            <w:tcW w:w="0" w:type="auto"/>
          </w:tcPr>
          <w:p w14:paraId="4291E188"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-0.05</w:t>
            </w:r>
          </w:p>
        </w:tc>
        <w:tc>
          <w:tcPr>
            <w:tcW w:w="0" w:type="auto"/>
          </w:tcPr>
          <w:p w14:paraId="7185FA31"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-0.10</w:t>
            </w:r>
          </w:p>
        </w:tc>
        <w:tc>
          <w:tcPr>
            <w:tcW w:w="0" w:type="auto"/>
            <w:shd w:val="clear" w:color="auto" w:fill="A5A5A5" w:themeFill="accent3"/>
          </w:tcPr>
          <w:p w14:paraId="3BDC1732" w14:textId="77777777" w:rsidR="00B54D51" w:rsidRPr="00037AD4" w:rsidRDefault="00B54D51" w:rsidP="008F00F0">
            <w:pPr>
              <w:rPr>
                <w:rFonts w:asciiTheme="minorHAnsi" w:hAnsiTheme="minorHAnsi" w:cstheme="minorHAnsi"/>
              </w:rPr>
            </w:pPr>
          </w:p>
        </w:tc>
        <w:tc>
          <w:tcPr>
            <w:tcW w:w="0" w:type="auto"/>
            <w:shd w:val="clear" w:color="auto" w:fill="EDEDED" w:themeFill="accent3" w:themeFillTint="33"/>
          </w:tcPr>
          <w:p w14:paraId="0572BA80" w14:textId="77777777" w:rsidR="00B54D51" w:rsidRPr="00037AD4" w:rsidRDefault="00B54D51" w:rsidP="008F00F0">
            <w:pPr>
              <w:rPr>
                <w:rFonts w:asciiTheme="minorHAnsi" w:hAnsiTheme="minorHAnsi" w:cstheme="minorHAnsi"/>
              </w:rPr>
            </w:pPr>
          </w:p>
        </w:tc>
      </w:tr>
      <w:tr w:rsidR="00B54D51" w:rsidRPr="00037AD4" w14:paraId="24B00B13" w14:textId="77777777" w:rsidTr="007166B6">
        <w:trPr>
          <w:trHeight w:val="557"/>
        </w:trPr>
        <w:tc>
          <w:tcPr>
            <w:tcW w:w="0" w:type="auto"/>
          </w:tcPr>
          <w:p w14:paraId="714B32B9"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DEMQoL-U staff </w:t>
            </w:r>
          </w:p>
        </w:tc>
        <w:tc>
          <w:tcPr>
            <w:tcW w:w="0" w:type="auto"/>
          </w:tcPr>
          <w:p w14:paraId="6CE5D6E5"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0.04</w:t>
            </w:r>
          </w:p>
        </w:tc>
        <w:tc>
          <w:tcPr>
            <w:tcW w:w="0" w:type="auto"/>
          </w:tcPr>
          <w:p w14:paraId="4871FA6A"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-0.19*</w:t>
            </w:r>
          </w:p>
        </w:tc>
        <w:tc>
          <w:tcPr>
            <w:tcW w:w="0" w:type="auto"/>
          </w:tcPr>
          <w:p w14:paraId="57A08BA6"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-0.11*</w:t>
            </w:r>
          </w:p>
        </w:tc>
        <w:tc>
          <w:tcPr>
            <w:tcW w:w="0" w:type="auto"/>
          </w:tcPr>
          <w:p w14:paraId="451A42A9"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-0.05</w:t>
            </w:r>
          </w:p>
        </w:tc>
        <w:tc>
          <w:tcPr>
            <w:tcW w:w="0" w:type="auto"/>
            <w:shd w:val="clear" w:color="auto" w:fill="FFFFFF" w:themeFill="background1"/>
          </w:tcPr>
          <w:p w14:paraId="1B7C21B1"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0.26*</w:t>
            </w:r>
          </w:p>
        </w:tc>
        <w:tc>
          <w:tcPr>
            <w:tcW w:w="0" w:type="auto"/>
            <w:shd w:val="clear" w:color="auto" w:fill="A5A5A5" w:themeFill="accent3"/>
          </w:tcPr>
          <w:p w14:paraId="0425440B" w14:textId="77777777" w:rsidR="00B54D51" w:rsidRPr="00037AD4" w:rsidRDefault="00B54D51" w:rsidP="008F00F0">
            <w:pPr>
              <w:rPr>
                <w:rFonts w:asciiTheme="minorHAnsi" w:hAnsiTheme="minorHAnsi" w:cstheme="minorHAnsi"/>
              </w:rPr>
            </w:pPr>
          </w:p>
        </w:tc>
      </w:tr>
      <w:tr w:rsidR="00B54D51" w:rsidRPr="00037AD4" w14:paraId="3F7B3960" w14:textId="77777777" w:rsidTr="007166B6">
        <w:trPr>
          <w:trHeight w:val="326"/>
        </w:trPr>
        <w:tc>
          <w:tcPr>
            <w:tcW w:w="0" w:type="auto"/>
            <w:gridSpan w:val="7"/>
          </w:tcPr>
          <w:p w14:paraId="10A5B0C5" w14:textId="77777777" w:rsidR="00B54D51" w:rsidRPr="00037AD4" w:rsidRDefault="00B54D51" w:rsidP="008F00F0">
            <w:pPr>
              <w:rPr>
                <w:rFonts w:asciiTheme="minorHAnsi" w:hAnsiTheme="minorHAnsi" w:cstheme="minorHAnsi"/>
                <w:sz w:val="20"/>
                <w:szCs w:val="20"/>
              </w:rPr>
            </w:pPr>
            <w:r w:rsidRPr="00037AD4">
              <w:rPr>
                <w:rFonts w:asciiTheme="minorHAnsi" w:hAnsiTheme="minorHAnsi" w:cstheme="minorHAnsi"/>
                <w:sz w:val="20"/>
                <w:szCs w:val="20"/>
              </w:rPr>
              <w:t xml:space="preserve">*p&lt;0.05; RP, informal/relative proxy; SP, staff proxy; AD-5D, Alzheimer’s disease five dimensions; DEMQoL-U, </w:t>
            </w:r>
            <w:r w:rsidRPr="00037AD4">
              <w:rPr>
                <w:rFonts w:asciiTheme="minorHAnsi" w:hAnsiTheme="minorHAnsi" w:cstheme="minorHAnsi"/>
                <w:sz w:val="20"/>
                <w:szCs w:val="20"/>
                <w:shd w:val="clear" w:color="auto" w:fill="FFFFFF"/>
              </w:rPr>
              <w:t>Dementia-Related Quality of Life utility score</w:t>
            </w:r>
            <w:r w:rsidRPr="00037AD4">
              <w:rPr>
                <w:rStyle w:val="apple-converted-space"/>
                <w:rFonts w:asciiTheme="minorHAnsi" w:eastAsiaTheme="majorEastAsia" w:hAnsiTheme="minorHAnsi" w:cstheme="minorHAnsi"/>
                <w:sz w:val="20"/>
                <w:szCs w:val="20"/>
              </w:rPr>
              <w:t>;</w:t>
            </w:r>
            <w:r w:rsidRPr="00037AD4">
              <w:rPr>
                <w:rFonts w:asciiTheme="minorHAnsi" w:hAnsiTheme="minorHAnsi" w:cstheme="minorHAnsi"/>
                <w:sz w:val="20"/>
                <w:szCs w:val="20"/>
              </w:rPr>
              <w:t xml:space="preserve"> uses EQ-5D-5L</w:t>
            </w:r>
          </w:p>
        </w:tc>
      </w:tr>
    </w:tbl>
    <w:p w14:paraId="75550079" w14:textId="77777777" w:rsidR="00B54D51" w:rsidRPr="00037AD4" w:rsidRDefault="00B54D51" w:rsidP="002147C5">
      <w:pPr>
        <w:rPr>
          <w:rFonts w:asciiTheme="minorHAnsi" w:hAnsiTheme="minorHAnsi" w:cstheme="minorHAnsi"/>
          <w:b/>
          <w:bCs/>
          <w:color w:val="FF0000"/>
          <w:u w:val="single"/>
        </w:rPr>
      </w:pPr>
    </w:p>
    <w:p w14:paraId="590011AD" w14:textId="77777777" w:rsidR="00B54D51" w:rsidRPr="00037AD4" w:rsidRDefault="00B54D51" w:rsidP="007A43F9">
      <w:pPr>
        <w:pStyle w:val="Heading4"/>
      </w:pPr>
      <w:bookmarkStart w:id="333" w:name="_4.4.5.1_Convergent_validity"/>
      <w:bookmarkEnd w:id="333"/>
      <w:r w:rsidRPr="00037AD4">
        <w:t xml:space="preserve">4.4.5.1 Convergent validity of EQ-5D dimensions </w:t>
      </w:r>
    </w:p>
    <w:p w14:paraId="72B2ED17" w14:textId="77777777" w:rsidR="00B54D51" w:rsidRPr="00037AD4" w:rsidRDefault="00B54D51" w:rsidP="002147C5">
      <w:pPr>
        <w:rPr>
          <w:rFonts w:asciiTheme="minorHAnsi" w:hAnsiTheme="minorHAnsi" w:cstheme="minorHAnsi"/>
          <w:b/>
          <w:bCs/>
          <w:color w:val="FF0000"/>
          <w:u w:val="single"/>
        </w:rPr>
      </w:pPr>
    </w:p>
    <w:p w14:paraId="553E83FD" w14:textId="77777777" w:rsidR="00B54D51" w:rsidRPr="00037AD4" w:rsidRDefault="00B54D51" w:rsidP="00FE3D6C">
      <w:pPr>
        <w:rPr>
          <w:rFonts w:asciiTheme="minorHAnsi" w:hAnsiTheme="minorHAnsi" w:cstheme="minorHAnsi"/>
        </w:rPr>
      </w:pPr>
      <w:r w:rsidRPr="00037AD4">
        <w:rPr>
          <w:rFonts w:asciiTheme="minorHAnsi" w:hAnsiTheme="minorHAnsi" w:cstheme="minorHAnsi"/>
        </w:rPr>
        <w:t xml:space="preserve">A research deficit was identified during the systematic review (reported in </w:t>
      </w:r>
      <w:hyperlink w:anchor="Ch37" w:history="1">
        <w:r w:rsidRPr="00B54D51">
          <w:rPr>
            <w:rStyle w:val="Hyperlink"/>
            <w:rFonts w:asciiTheme="minorHAnsi" w:hAnsiTheme="minorHAnsi" w:cstheme="minorHAnsi"/>
            <w:color w:val="auto"/>
            <w:u w:val="none"/>
          </w:rPr>
          <w:t>Section 3.7</w:t>
        </w:r>
      </w:hyperlink>
      <w:r w:rsidRPr="00B54D51">
        <w:rPr>
          <w:rFonts w:asciiTheme="minorHAnsi" w:hAnsiTheme="minorHAnsi" w:cstheme="minorHAnsi"/>
        </w:rPr>
        <w:t xml:space="preserve">), </w:t>
      </w:r>
      <w:r w:rsidRPr="00037AD4">
        <w:rPr>
          <w:rFonts w:asciiTheme="minorHAnsi" w:hAnsiTheme="minorHAnsi" w:cstheme="minorHAnsi"/>
        </w:rPr>
        <w:t xml:space="preserve">whereby there is a clear lack of published psychometric evidence that assesses convergent validity at the dimension level of EQ-5D. To bridge this gap, a series of correlation analyses are performed using Spearman’s rank which are reported in Tables 30a – 30c below distinctly for the trials. This analysis uses PwD and proxy EQ-5D reports from all three data collection time points and focuses on relationships between the dimensions and the symptom measures. </w:t>
      </w:r>
    </w:p>
    <w:p w14:paraId="5A5A6BD5" w14:textId="77777777" w:rsidR="00B54D51" w:rsidRPr="00037AD4" w:rsidRDefault="00B54D51" w:rsidP="00FE3D6C">
      <w:pPr>
        <w:rPr>
          <w:rFonts w:asciiTheme="minorHAnsi" w:hAnsiTheme="minorHAnsi" w:cstheme="minorHAnsi"/>
        </w:rPr>
      </w:pPr>
    </w:p>
    <w:p w14:paraId="59E7ABEF" w14:textId="77777777" w:rsidR="00B54D51" w:rsidRPr="00037AD4" w:rsidRDefault="00B54D51" w:rsidP="00FE3D6C">
      <w:pPr>
        <w:rPr>
          <w:rFonts w:asciiTheme="minorHAnsi" w:hAnsiTheme="minorHAnsi" w:cstheme="minorHAnsi"/>
        </w:rPr>
      </w:pPr>
      <w:r w:rsidRPr="00037AD4">
        <w:rPr>
          <w:rFonts w:asciiTheme="minorHAnsi" w:hAnsiTheme="minorHAnsi" w:cstheme="minorHAnsi"/>
        </w:rPr>
        <w:lastRenderedPageBreak/>
        <w:t xml:space="preserve">Across all three dementia trials, it is clear that the strength of the relationship between EQ-5D dimension reports and the related symptom measures is consistently stronger with proxy reports when compared with PwD-reports. </w:t>
      </w:r>
    </w:p>
    <w:p w14:paraId="27BBDCB2" w14:textId="77777777" w:rsidR="00B54D51" w:rsidRPr="00037AD4" w:rsidRDefault="00B54D51" w:rsidP="00FE3D6C">
      <w:pPr>
        <w:rPr>
          <w:rFonts w:asciiTheme="minorHAnsi" w:hAnsiTheme="minorHAnsi" w:cstheme="minorHAnsi"/>
        </w:rPr>
      </w:pPr>
    </w:p>
    <w:p w14:paraId="6D0E6F94" w14:textId="77777777" w:rsidR="00B54D51" w:rsidRPr="00037AD4" w:rsidRDefault="00B54D51" w:rsidP="00FE3D6C">
      <w:pPr>
        <w:rPr>
          <w:rFonts w:asciiTheme="minorHAnsi" w:hAnsiTheme="minorHAnsi" w:cstheme="minorHAnsi"/>
        </w:rPr>
      </w:pPr>
      <w:r w:rsidRPr="00037AD4">
        <w:rPr>
          <w:rFonts w:asciiTheme="minorHAnsi" w:hAnsiTheme="minorHAnsi" w:cstheme="minorHAnsi"/>
        </w:rPr>
        <w:t>For the REMCARE study data, informal proxy reported “self-care” (r=0.71) and “usual activities” (r=0.65) show notably strong positive correlations with BADLS (a measure of function). In addition, proxy reported “anxiety/depression” shows moderate correlation (r=0.47) with CSDD (measure of depression), while PwD reports show only slight association (r=0.22). Here, none of the correlations with PwD reported EQ-5D dimensions meet the moderate strength threshold. As higher EQ-5D index scores indicate better health, negative correlations would be expected and are found between informal proxy scores with BADLS (r=-0.59) and CSDD (r=-0.45) scores - showing moderate association</w:t>
      </w:r>
      <w:r>
        <w:rPr>
          <w:rFonts w:asciiTheme="minorHAnsi" w:hAnsiTheme="minorHAnsi" w:cstheme="minorHAnsi"/>
        </w:rPr>
        <w:t>s</w:t>
      </w:r>
      <w:r w:rsidRPr="00037AD4">
        <w:rPr>
          <w:rFonts w:asciiTheme="minorHAnsi" w:hAnsiTheme="minorHAnsi" w:cstheme="minorHAnsi"/>
        </w:rPr>
        <w:t xml:space="preserve">. </w:t>
      </w:r>
    </w:p>
    <w:p w14:paraId="5DDB7594" w14:textId="77777777" w:rsidR="00B54D51" w:rsidRPr="00037AD4" w:rsidRDefault="00B54D51" w:rsidP="00FE3D6C">
      <w:pPr>
        <w:rPr>
          <w:rFonts w:asciiTheme="minorHAnsi" w:hAnsiTheme="minorHAnsi" w:cstheme="minorHAnsi"/>
        </w:rPr>
      </w:pPr>
    </w:p>
    <w:p w14:paraId="473A8F7F" w14:textId="77777777" w:rsidR="00B54D51" w:rsidRPr="00037AD4" w:rsidRDefault="00B54D51" w:rsidP="00FE3D6C">
      <w:pPr>
        <w:rPr>
          <w:rFonts w:asciiTheme="minorHAnsi" w:hAnsiTheme="minorHAnsi" w:cstheme="minorHAnsi"/>
          <w:b/>
          <w:bCs/>
          <w:i/>
          <w:iCs/>
        </w:rPr>
      </w:pPr>
      <w:r w:rsidRPr="00037AD4">
        <w:rPr>
          <w:rFonts w:asciiTheme="minorHAnsi" w:hAnsiTheme="minorHAnsi" w:cstheme="minorHAnsi"/>
          <w:b/>
          <w:bCs/>
          <w:i/>
          <w:iCs/>
        </w:rPr>
        <w:t xml:space="preserve">Table 30a, Convergent validity of EQ-5D dimension with symptoms measures, REMCARE </w:t>
      </w:r>
    </w:p>
    <w:p w14:paraId="2C9FE815" w14:textId="77777777" w:rsidR="00B54D51" w:rsidRPr="00037AD4" w:rsidRDefault="00B54D51" w:rsidP="00FE3D6C">
      <w:pPr>
        <w:rPr>
          <w:rFonts w:asciiTheme="minorHAnsi" w:hAnsiTheme="minorHAnsi" w:cstheme="minorHAnsi"/>
          <w:color w:val="FF0000"/>
          <w:u w:val="single"/>
        </w:rPr>
      </w:pPr>
    </w:p>
    <w:tbl>
      <w:tblPr>
        <w:tblStyle w:val="TableGrid"/>
        <w:tblW w:w="0" w:type="auto"/>
        <w:tblLook w:val="04A0" w:firstRow="1" w:lastRow="0" w:firstColumn="1" w:lastColumn="0" w:noHBand="0" w:noVBand="1"/>
      </w:tblPr>
      <w:tblGrid>
        <w:gridCol w:w="5165"/>
        <w:gridCol w:w="1347"/>
        <w:gridCol w:w="1252"/>
        <w:gridCol w:w="1252"/>
      </w:tblGrid>
      <w:tr w:rsidR="00B54D51" w:rsidRPr="00037AD4" w14:paraId="56327650" w14:textId="77777777" w:rsidTr="008F00F0">
        <w:trPr>
          <w:trHeight w:val="620"/>
        </w:trPr>
        <w:tc>
          <w:tcPr>
            <w:tcW w:w="0" w:type="auto"/>
          </w:tcPr>
          <w:p w14:paraId="0D974B84" w14:textId="77777777" w:rsidR="00B54D51" w:rsidRPr="00037AD4" w:rsidRDefault="00B54D51" w:rsidP="008F00F0">
            <w:pPr>
              <w:rPr>
                <w:rFonts w:asciiTheme="minorHAnsi" w:hAnsiTheme="minorHAnsi" w:cstheme="minorHAnsi"/>
                <w:b/>
                <w:bCs/>
              </w:rPr>
            </w:pPr>
            <w:r w:rsidRPr="00037AD4">
              <w:rPr>
                <w:rFonts w:asciiTheme="minorHAnsi" w:hAnsiTheme="minorHAnsi" w:cstheme="minorHAnsi"/>
                <w:b/>
                <w:bCs/>
              </w:rPr>
              <w:t>EQ-5D-3L dimension by respondent type</w:t>
            </w:r>
          </w:p>
        </w:tc>
        <w:tc>
          <w:tcPr>
            <w:tcW w:w="0" w:type="auto"/>
          </w:tcPr>
          <w:p w14:paraId="0038D149" w14:textId="77777777" w:rsidR="00B54D51" w:rsidRPr="00037AD4" w:rsidRDefault="00B54D51" w:rsidP="008F00F0">
            <w:pPr>
              <w:rPr>
                <w:rFonts w:asciiTheme="minorHAnsi" w:hAnsiTheme="minorHAnsi" w:cstheme="minorHAnsi"/>
                <w:b/>
                <w:bCs/>
              </w:rPr>
            </w:pPr>
            <w:r w:rsidRPr="00037AD4">
              <w:rPr>
                <w:rFonts w:asciiTheme="minorHAnsi" w:hAnsiTheme="minorHAnsi" w:cstheme="minorHAnsi"/>
                <w:b/>
                <w:bCs/>
              </w:rPr>
              <w:t>BADLS</w:t>
            </w:r>
          </w:p>
          <w:p w14:paraId="1EC19831" w14:textId="77777777" w:rsidR="00B54D51" w:rsidRPr="00037AD4" w:rsidRDefault="00B54D51" w:rsidP="008F00F0">
            <w:pPr>
              <w:rPr>
                <w:rFonts w:asciiTheme="minorHAnsi" w:hAnsiTheme="minorHAnsi" w:cstheme="minorHAnsi"/>
              </w:rPr>
            </w:pPr>
          </w:p>
        </w:tc>
        <w:tc>
          <w:tcPr>
            <w:tcW w:w="0" w:type="auto"/>
          </w:tcPr>
          <w:p w14:paraId="03F84BE6" w14:textId="77777777" w:rsidR="00B54D51" w:rsidRPr="00037AD4" w:rsidRDefault="00B54D51" w:rsidP="008F00F0">
            <w:pPr>
              <w:rPr>
                <w:rFonts w:asciiTheme="minorHAnsi" w:hAnsiTheme="minorHAnsi" w:cstheme="minorHAnsi"/>
                <w:b/>
                <w:bCs/>
              </w:rPr>
            </w:pPr>
            <w:r w:rsidRPr="00037AD4">
              <w:rPr>
                <w:rFonts w:asciiTheme="minorHAnsi" w:hAnsiTheme="minorHAnsi" w:cstheme="minorHAnsi"/>
                <w:b/>
                <w:bCs/>
              </w:rPr>
              <w:t>CDR</w:t>
            </w:r>
          </w:p>
          <w:p w14:paraId="67846BFA" w14:textId="77777777" w:rsidR="00B54D51" w:rsidRPr="00037AD4" w:rsidRDefault="00B54D51" w:rsidP="008F00F0">
            <w:pPr>
              <w:rPr>
                <w:rFonts w:asciiTheme="minorHAnsi" w:hAnsiTheme="minorHAnsi" w:cstheme="minorHAnsi"/>
              </w:rPr>
            </w:pPr>
          </w:p>
        </w:tc>
        <w:tc>
          <w:tcPr>
            <w:tcW w:w="0" w:type="auto"/>
          </w:tcPr>
          <w:p w14:paraId="5E2F4337" w14:textId="77777777" w:rsidR="00B54D51" w:rsidRPr="00037AD4" w:rsidRDefault="00B54D51" w:rsidP="008F00F0">
            <w:pPr>
              <w:rPr>
                <w:rFonts w:asciiTheme="minorHAnsi" w:hAnsiTheme="minorHAnsi" w:cstheme="minorHAnsi"/>
                <w:b/>
                <w:bCs/>
              </w:rPr>
            </w:pPr>
            <w:r w:rsidRPr="00037AD4">
              <w:rPr>
                <w:rFonts w:asciiTheme="minorHAnsi" w:hAnsiTheme="minorHAnsi" w:cstheme="minorHAnsi"/>
                <w:b/>
                <w:bCs/>
              </w:rPr>
              <w:t>CSDD</w:t>
            </w:r>
          </w:p>
        </w:tc>
      </w:tr>
      <w:tr w:rsidR="00B54D51" w:rsidRPr="00037AD4" w14:paraId="0F57CE7E" w14:textId="77777777" w:rsidTr="008F00F0">
        <w:trPr>
          <w:trHeight w:val="620"/>
        </w:trPr>
        <w:tc>
          <w:tcPr>
            <w:tcW w:w="0" w:type="auto"/>
          </w:tcPr>
          <w:p w14:paraId="68F1B307" w14:textId="77777777" w:rsidR="00B54D51" w:rsidRPr="00037AD4" w:rsidRDefault="00B54D51" w:rsidP="008F00F0">
            <w:pPr>
              <w:rPr>
                <w:rFonts w:asciiTheme="minorHAnsi" w:hAnsiTheme="minorHAnsi" w:cstheme="minorHAnsi"/>
                <w:i/>
                <w:iCs/>
                <w:sz w:val="22"/>
                <w:szCs w:val="22"/>
              </w:rPr>
            </w:pPr>
            <w:r w:rsidRPr="00037AD4">
              <w:rPr>
                <w:rFonts w:asciiTheme="minorHAnsi" w:hAnsiTheme="minorHAnsi" w:cstheme="minorHAnsi"/>
                <w:b/>
                <w:bCs/>
              </w:rPr>
              <w:t>Mobility</w:t>
            </w:r>
            <w:r w:rsidRPr="00037AD4">
              <w:rPr>
                <w:rFonts w:asciiTheme="minorHAnsi" w:hAnsiTheme="minorHAnsi" w:cstheme="minorHAnsi"/>
                <w:i/>
                <w:iCs/>
                <w:sz w:val="22"/>
                <w:szCs w:val="22"/>
              </w:rPr>
              <w:t xml:space="preserve"> </w:t>
            </w:r>
          </w:p>
          <w:p w14:paraId="1B6DF6D3" w14:textId="77777777" w:rsidR="00B54D51" w:rsidRPr="00037AD4" w:rsidRDefault="00B54D51" w:rsidP="008F00F0">
            <w:pPr>
              <w:rPr>
                <w:rFonts w:asciiTheme="minorHAnsi" w:hAnsiTheme="minorHAnsi" w:cstheme="minorHAnsi"/>
                <w:i/>
                <w:iCs/>
                <w:sz w:val="22"/>
                <w:szCs w:val="22"/>
              </w:rPr>
            </w:pPr>
            <w:r w:rsidRPr="00037AD4">
              <w:rPr>
                <w:rFonts w:asciiTheme="minorHAnsi" w:hAnsiTheme="minorHAnsi" w:cstheme="minorHAnsi"/>
                <w:i/>
                <w:iCs/>
                <w:sz w:val="22"/>
                <w:szCs w:val="22"/>
              </w:rPr>
              <w:t>PwD</w:t>
            </w:r>
          </w:p>
          <w:p w14:paraId="64A2C9FA" w14:textId="77777777" w:rsidR="00B54D51" w:rsidRPr="00037AD4" w:rsidRDefault="00B54D51" w:rsidP="008F00F0">
            <w:pPr>
              <w:rPr>
                <w:rFonts w:asciiTheme="minorHAnsi" w:hAnsiTheme="minorHAnsi" w:cstheme="minorHAnsi"/>
                <w:i/>
                <w:iCs/>
                <w:sz w:val="22"/>
                <w:szCs w:val="22"/>
              </w:rPr>
            </w:pPr>
            <w:r w:rsidRPr="00037AD4">
              <w:rPr>
                <w:rFonts w:asciiTheme="minorHAnsi" w:hAnsiTheme="minorHAnsi" w:cstheme="minorHAnsi"/>
                <w:i/>
                <w:iCs/>
                <w:sz w:val="22"/>
                <w:szCs w:val="22"/>
              </w:rPr>
              <w:t>Informal proxy</w:t>
            </w:r>
          </w:p>
        </w:tc>
        <w:tc>
          <w:tcPr>
            <w:tcW w:w="0" w:type="auto"/>
          </w:tcPr>
          <w:p w14:paraId="542B670B" w14:textId="77777777" w:rsidR="00B54D51" w:rsidRPr="00037AD4" w:rsidRDefault="00B54D51" w:rsidP="008F00F0">
            <w:pPr>
              <w:rPr>
                <w:rFonts w:asciiTheme="minorHAnsi" w:hAnsiTheme="minorHAnsi" w:cstheme="minorHAnsi"/>
              </w:rPr>
            </w:pPr>
          </w:p>
          <w:p w14:paraId="201CE811"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0.15*</w:t>
            </w:r>
          </w:p>
          <w:p w14:paraId="0FFF8A34"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0.37*</w:t>
            </w:r>
          </w:p>
        </w:tc>
        <w:tc>
          <w:tcPr>
            <w:tcW w:w="0" w:type="auto"/>
          </w:tcPr>
          <w:p w14:paraId="59659EF1" w14:textId="77777777" w:rsidR="00B54D51" w:rsidRPr="00037AD4" w:rsidRDefault="00B54D51" w:rsidP="008F00F0">
            <w:pPr>
              <w:rPr>
                <w:rFonts w:asciiTheme="minorHAnsi" w:hAnsiTheme="minorHAnsi" w:cstheme="minorHAnsi"/>
              </w:rPr>
            </w:pPr>
          </w:p>
          <w:p w14:paraId="2A8F6A47"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0.03</w:t>
            </w:r>
          </w:p>
          <w:p w14:paraId="5AED00C1"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0.11*</w:t>
            </w:r>
          </w:p>
        </w:tc>
        <w:tc>
          <w:tcPr>
            <w:tcW w:w="0" w:type="auto"/>
          </w:tcPr>
          <w:p w14:paraId="5142D995" w14:textId="77777777" w:rsidR="00B54D51" w:rsidRPr="00037AD4" w:rsidRDefault="00B54D51" w:rsidP="008F00F0">
            <w:pPr>
              <w:rPr>
                <w:rFonts w:asciiTheme="minorHAnsi" w:hAnsiTheme="minorHAnsi" w:cstheme="minorHAnsi"/>
              </w:rPr>
            </w:pPr>
          </w:p>
          <w:p w14:paraId="0CA2116F"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0.18*</w:t>
            </w:r>
          </w:p>
          <w:p w14:paraId="40837CCE"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0.25*</w:t>
            </w:r>
          </w:p>
        </w:tc>
      </w:tr>
      <w:tr w:rsidR="00B54D51" w:rsidRPr="00037AD4" w14:paraId="296EF98A" w14:textId="77777777" w:rsidTr="008F00F0">
        <w:trPr>
          <w:trHeight w:val="620"/>
        </w:trPr>
        <w:tc>
          <w:tcPr>
            <w:tcW w:w="0" w:type="auto"/>
          </w:tcPr>
          <w:p w14:paraId="36998194" w14:textId="77777777" w:rsidR="00B54D51" w:rsidRPr="00037AD4" w:rsidRDefault="00B54D51" w:rsidP="008F00F0">
            <w:pPr>
              <w:rPr>
                <w:rFonts w:asciiTheme="minorHAnsi" w:hAnsiTheme="minorHAnsi" w:cstheme="minorHAnsi"/>
                <w:b/>
                <w:bCs/>
              </w:rPr>
            </w:pPr>
            <w:r w:rsidRPr="00037AD4">
              <w:rPr>
                <w:rFonts w:asciiTheme="minorHAnsi" w:hAnsiTheme="minorHAnsi" w:cstheme="minorHAnsi"/>
                <w:b/>
                <w:bCs/>
              </w:rPr>
              <w:t>Self-care</w:t>
            </w:r>
          </w:p>
          <w:p w14:paraId="3A0CE162" w14:textId="77777777" w:rsidR="00B54D51" w:rsidRPr="00037AD4" w:rsidRDefault="00B54D51" w:rsidP="008F00F0">
            <w:pPr>
              <w:rPr>
                <w:rFonts w:asciiTheme="minorHAnsi" w:hAnsiTheme="minorHAnsi" w:cstheme="minorHAnsi"/>
                <w:i/>
                <w:iCs/>
                <w:sz w:val="22"/>
                <w:szCs w:val="22"/>
              </w:rPr>
            </w:pPr>
            <w:r w:rsidRPr="00037AD4">
              <w:rPr>
                <w:rFonts w:asciiTheme="minorHAnsi" w:hAnsiTheme="minorHAnsi" w:cstheme="minorHAnsi"/>
                <w:i/>
                <w:iCs/>
                <w:sz w:val="22"/>
                <w:szCs w:val="22"/>
              </w:rPr>
              <w:t>PwD</w:t>
            </w:r>
          </w:p>
          <w:p w14:paraId="1B2F458B" w14:textId="77777777" w:rsidR="00B54D51" w:rsidRPr="00037AD4" w:rsidRDefault="00B54D51" w:rsidP="008F00F0">
            <w:pPr>
              <w:rPr>
                <w:rFonts w:asciiTheme="minorHAnsi" w:hAnsiTheme="minorHAnsi" w:cstheme="minorHAnsi"/>
                <w:i/>
                <w:iCs/>
                <w:sz w:val="22"/>
                <w:szCs w:val="22"/>
              </w:rPr>
            </w:pPr>
            <w:r w:rsidRPr="00037AD4">
              <w:rPr>
                <w:rFonts w:asciiTheme="minorHAnsi" w:hAnsiTheme="minorHAnsi" w:cstheme="minorHAnsi"/>
                <w:i/>
                <w:iCs/>
                <w:sz w:val="22"/>
                <w:szCs w:val="22"/>
              </w:rPr>
              <w:t>Informal proxy</w:t>
            </w:r>
          </w:p>
        </w:tc>
        <w:tc>
          <w:tcPr>
            <w:tcW w:w="0" w:type="auto"/>
          </w:tcPr>
          <w:p w14:paraId="7F8BB045" w14:textId="77777777" w:rsidR="00B54D51" w:rsidRPr="00037AD4" w:rsidRDefault="00B54D51" w:rsidP="008F00F0">
            <w:pPr>
              <w:rPr>
                <w:rFonts w:asciiTheme="minorHAnsi" w:hAnsiTheme="minorHAnsi" w:cstheme="minorHAnsi"/>
              </w:rPr>
            </w:pPr>
          </w:p>
          <w:p w14:paraId="2CF651E9"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0.33*</w:t>
            </w:r>
          </w:p>
          <w:p w14:paraId="00B12174"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0.71*</w:t>
            </w:r>
          </w:p>
        </w:tc>
        <w:tc>
          <w:tcPr>
            <w:tcW w:w="0" w:type="auto"/>
          </w:tcPr>
          <w:p w14:paraId="265D0F65" w14:textId="77777777" w:rsidR="00B54D51" w:rsidRPr="00037AD4" w:rsidRDefault="00B54D51" w:rsidP="008F00F0">
            <w:pPr>
              <w:rPr>
                <w:rFonts w:asciiTheme="minorHAnsi" w:hAnsiTheme="minorHAnsi" w:cstheme="minorHAnsi"/>
              </w:rPr>
            </w:pPr>
          </w:p>
          <w:p w14:paraId="5B246EA2"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0.22*</w:t>
            </w:r>
          </w:p>
          <w:p w14:paraId="1FB51322"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0.38*</w:t>
            </w:r>
          </w:p>
        </w:tc>
        <w:tc>
          <w:tcPr>
            <w:tcW w:w="0" w:type="auto"/>
          </w:tcPr>
          <w:p w14:paraId="00ABCC15" w14:textId="77777777" w:rsidR="00B54D51" w:rsidRPr="00037AD4" w:rsidRDefault="00B54D51" w:rsidP="008F00F0">
            <w:pPr>
              <w:rPr>
                <w:rFonts w:asciiTheme="minorHAnsi" w:hAnsiTheme="minorHAnsi" w:cstheme="minorHAnsi"/>
              </w:rPr>
            </w:pPr>
          </w:p>
          <w:p w14:paraId="59C0F51A"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0.12*</w:t>
            </w:r>
          </w:p>
          <w:p w14:paraId="5A87DE7B"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0.21*</w:t>
            </w:r>
          </w:p>
        </w:tc>
      </w:tr>
      <w:tr w:rsidR="00B54D51" w:rsidRPr="00037AD4" w14:paraId="5EE136DF" w14:textId="77777777" w:rsidTr="008F00F0">
        <w:trPr>
          <w:trHeight w:val="633"/>
        </w:trPr>
        <w:tc>
          <w:tcPr>
            <w:tcW w:w="0" w:type="auto"/>
          </w:tcPr>
          <w:p w14:paraId="2167E958" w14:textId="77777777" w:rsidR="00B54D51" w:rsidRPr="00037AD4" w:rsidRDefault="00B54D51" w:rsidP="008F00F0">
            <w:pPr>
              <w:rPr>
                <w:rFonts w:asciiTheme="minorHAnsi" w:hAnsiTheme="minorHAnsi" w:cstheme="minorHAnsi"/>
                <w:b/>
                <w:bCs/>
              </w:rPr>
            </w:pPr>
            <w:r w:rsidRPr="00037AD4">
              <w:rPr>
                <w:rFonts w:asciiTheme="minorHAnsi" w:hAnsiTheme="minorHAnsi" w:cstheme="minorHAnsi"/>
                <w:b/>
                <w:bCs/>
              </w:rPr>
              <w:t xml:space="preserve">Usual activities </w:t>
            </w:r>
          </w:p>
          <w:p w14:paraId="2A6F9004" w14:textId="77777777" w:rsidR="00B54D51" w:rsidRPr="00037AD4" w:rsidRDefault="00B54D51" w:rsidP="008F00F0">
            <w:pPr>
              <w:rPr>
                <w:rFonts w:asciiTheme="minorHAnsi" w:hAnsiTheme="minorHAnsi" w:cstheme="minorHAnsi"/>
                <w:i/>
                <w:iCs/>
                <w:sz w:val="22"/>
                <w:szCs w:val="22"/>
              </w:rPr>
            </w:pPr>
            <w:r w:rsidRPr="00037AD4">
              <w:rPr>
                <w:rFonts w:asciiTheme="minorHAnsi" w:hAnsiTheme="minorHAnsi" w:cstheme="minorHAnsi"/>
                <w:i/>
                <w:iCs/>
                <w:sz w:val="22"/>
                <w:szCs w:val="22"/>
              </w:rPr>
              <w:t>PwD</w:t>
            </w:r>
          </w:p>
          <w:p w14:paraId="14F4A207" w14:textId="77777777" w:rsidR="00B54D51" w:rsidRPr="00037AD4" w:rsidRDefault="00B54D51" w:rsidP="008F00F0">
            <w:pPr>
              <w:rPr>
                <w:rFonts w:asciiTheme="minorHAnsi" w:hAnsiTheme="minorHAnsi" w:cstheme="minorHAnsi"/>
                <w:i/>
                <w:iCs/>
                <w:sz w:val="22"/>
                <w:szCs w:val="22"/>
              </w:rPr>
            </w:pPr>
            <w:r w:rsidRPr="00037AD4">
              <w:rPr>
                <w:rFonts w:asciiTheme="minorHAnsi" w:hAnsiTheme="minorHAnsi" w:cstheme="minorHAnsi"/>
                <w:i/>
                <w:iCs/>
                <w:sz w:val="22"/>
                <w:szCs w:val="22"/>
              </w:rPr>
              <w:t>Informal proxy</w:t>
            </w:r>
          </w:p>
        </w:tc>
        <w:tc>
          <w:tcPr>
            <w:tcW w:w="0" w:type="auto"/>
          </w:tcPr>
          <w:p w14:paraId="07F89F58" w14:textId="77777777" w:rsidR="00B54D51" w:rsidRPr="00037AD4" w:rsidRDefault="00B54D51" w:rsidP="008F00F0">
            <w:pPr>
              <w:rPr>
                <w:rFonts w:asciiTheme="minorHAnsi" w:hAnsiTheme="minorHAnsi" w:cstheme="minorHAnsi"/>
              </w:rPr>
            </w:pPr>
          </w:p>
          <w:p w14:paraId="68059A4E"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0.18*</w:t>
            </w:r>
          </w:p>
          <w:p w14:paraId="39FD8A0A"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0.65*</w:t>
            </w:r>
          </w:p>
        </w:tc>
        <w:tc>
          <w:tcPr>
            <w:tcW w:w="0" w:type="auto"/>
          </w:tcPr>
          <w:p w14:paraId="4EA56418" w14:textId="77777777" w:rsidR="00B54D51" w:rsidRPr="00037AD4" w:rsidRDefault="00B54D51" w:rsidP="008F00F0">
            <w:pPr>
              <w:rPr>
                <w:rFonts w:asciiTheme="minorHAnsi" w:hAnsiTheme="minorHAnsi" w:cstheme="minorHAnsi"/>
              </w:rPr>
            </w:pPr>
          </w:p>
          <w:p w14:paraId="39FDCAFB"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0.10*</w:t>
            </w:r>
          </w:p>
          <w:p w14:paraId="5860C5FD"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0.30*</w:t>
            </w:r>
          </w:p>
        </w:tc>
        <w:tc>
          <w:tcPr>
            <w:tcW w:w="0" w:type="auto"/>
          </w:tcPr>
          <w:p w14:paraId="13986DB4" w14:textId="77777777" w:rsidR="00B54D51" w:rsidRPr="00037AD4" w:rsidRDefault="00B54D51" w:rsidP="008F00F0">
            <w:pPr>
              <w:rPr>
                <w:rFonts w:asciiTheme="minorHAnsi" w:hAnsiTheme="minorHAnsi" w:cstheme="minorHAnsi"/>
              </w:rPr>
            </w:pPr>
          </w:p>
          <w:p w14:paraId="59B5505B"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0.16*</w:t>
            </w:r>
          </w:p>
          <w:p w14:paraId="1BD89538"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0.27*</w:t>
            </w:r>
          </w:p>
        </w:tc>
      </w:tr>
      <w:tr w:rsidR="00B54D51" w:rsidRPr="00037AD4" w14:paraId="0BF500DD" w14:textId="77777777" w:rsidTr="008F00F0">
        <w:trPr>
          <w:trHeight w:val="315"/>
        </w:trPr>
        <w:tc>
          <w:tcPr>
            <w:tcW w:w="0" w:type="auto"/>
          </w:tcPr>
          <w:p w14:paraId="0102E554" w14:textId="77777777" w:rsidR="00B54D51" w:rsidRPr="00037AD4" w:rsidRDefault="00B54D51" w:rsidP="008F00F0">
            <w:pPr>
              <w:rPr>
                <w:rFonts w:asciiTheme="minorHAnsi" w:hAnsiTheme="minorHAnsi" w:cstheme="minorHAnsi"/>
                <w:b/>
                <w:bCs/>
              </w:rPr>
            </w:pPr>
            <w:r w:rsidRPr="00037AD4">
              <w:rPr>
                <w:rFonts w:asciiTheme="minorHAnsi" w:hAnsiTheme="minorHAnsi" w:cstheme="minorHAnsi"/>
                <w:b/>
                <w:bCs/>
              </w:rPr>
              <w:t>Pain/discomfort</w:t>
            </w:r>
          </w:p>
          <w:p w14:paraId="67247299" w14:textId="77777777" w:rsidR="00B54D51" w:rsidRPr="00037AD4" w:rsidRDefault="00B54D51" w:rsidP="008F00F0">
            <w:pPr>
              <w:rPr>
                <w:rFonts w:asciiTheme="minorHAnsi" w:hAnsiTheme="minorHAnsi" w:cstheme="minorHAnsi"/>
                <w:i/>
                <w:iCs/>
                <w:sz w:val="22"/>
                <w:szCs w:val="22"/>
              </w:rPr>
            </w:pPr>
            <w:r w:rsidRPr="00037AD4">
              <w:rPr>
                <w:rFonts w:asciiTheme="minorHAnsi" w:hAnsiTheme="minorHAnsi" w:cstheme="minorHAnsi"/>
                <w:i/>
                <w:iCs/>
                <w:sz w:val="22"/>
                <w:szCs w:val="22"/>
              </w:rPr>
              <w:t>PwD</w:t>
            </w:r>
          </w:p>
          <w:p w14:paraId="7C4D426D" w14:textId="77777777" w:rsidR="00B54D51" w:rsidRPr="00037AD4" w:rsidRDefault="00B54D51" w:rsidP="008F00F0">
            <w:pPr>
              <w:rPr>
                <w:rFonts w:asciiTheme="minorHAnsi" w:hAnsiTheme="minorHAnsi" w:cstheme="minorHAnsi"/>
                <w:i/>
                <w:iCs/>
                <w:sz w:val="22"/>
                <w:szCs w:val="22"/>
              </w:rPr>
            </w:pPr>
            <w:r w:rsidRPr="00037AD4">
              <w:rPr>
                <w:rFonts w:asciiTheme="minorHAnsi" w:hAnsiTheme="minorHAnsi" w:cstheme="minorHAnsi"/>
                <w:i/>
                <w:iCs/>
                <w:sz w:val="22"/>
                <w:szCs w:val="22"/>
              </w:rPr>
              <w:t>Informal proxy</w:t>
            </w:r>
          </w:p>
        </w:tc>
        <w:tc>
          <w:tcPr>
            <w:tcW w:w="0" w:type="auto"/>
          </w:tcPr>
          <w:p w14:paraId="3AFA5C04" w14:textId="77777777" w:rsidR="00B54D51" w:rsidRPr="00037AD4" w:rsidRDefault="00B54D51" w:rsidP="008F00F0">
            <w:pPr>
              <w:rPr>
                <w:rFonts w:asciiTheme="minorHAnsi" w:hAnsiTheme="minorHAnsi" w:cstheme="minorHAnsi"/>
              </w:rPr>
            </w:pPr>
          </w:p>
          <w:p w14:paraId="31A8C837"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-0.00</w:t>
            </w:r>
          </w:p>
          <w:p w14:paraId="3315B9C0"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0.11*</w:t>
            </w:r>
          </w:p>
        </w:tc>
        <w:tc>
          <w:tcPr>
            <w:tcW w:w="0" w:type="auto"/>
          </w:tcPr>
          <w:p w14:paraId="6383D76F" w14:textId="77777777" w:rsidR="00B54D51" w:rsidRPr="00037AD4" w:rsidRDefault="00B54D51" w:rsidP="008F00F0">
            <w:pPr>
              <w:rPr>
                <w:rFonts w:asciiTheme="minorHAnsi" w:hAnsiTheme="minorHAnsi" w:cstheme="minorHAnsi"/>
              </w:rPr>
            </w:pPr>
          </w:p>
          <w:p w14:paraId="53ECB19D"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-0.02</w:t>
            </w:r>
          </w:p>
          <w:p w14:paraId="3A66AA47"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-0.03</w:t>
            </w:r>
          </w:p>
        </w:tc>
        <w:tc>
          <w:tcPr>
            <w:tcW w:w="0" w:type="auto"/>
          </w:tcPr>
          <w:p w14:paraId="0F9F4242" w14:textId="77777777" w:rsidR="00B54D51" w:rsidRPr="00037AD4" w:rsidRDefault="00B54D51" w:rsidP="008F00F0">
            <w:pPr>
              <w:rPr>
                <w:rFonts w:asciiTheme="minorHAnsi" w:hAnsiTheme="minorHAnsi" w:cstheme="minorHAnsi"/>
              </w:rPr>
            </w:pPr>
          </w:p>
          <w:p w14:paraId="6BBD96FF"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0.20*</w:t>
            </w:r>
          </w:p>
          <w:p w14:paraId="6356973E"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0.27*</w:t>
            </w:r>
          </w:p>
        </w:tc>
      </w:tr>
      <w:tr w:rsidR="00B54D51" w:rsidRPr="00037AD4" w14:paraId="44F163AE" w14:textId="77777777" w:rsidTr="008F00F0">
        <w:trPr>
          <w:trHeight w:val="658"/>
        </w:trPr>
        <w:tc>
          <w:tcPr>
            <w:tcW w:w="0" w:type="auto"/>
          </w:tcPr>
          <w:p w14:paraId="512EE1DF" w14:textId="77777777" w:rsidR="00B54D51" w:rsidRPr="00037AD4" w:rsidRDefault="00B54D51" w:rsidP="008F00F0">
            <w:pPr>
              <w:rPr>
                <w:rFonts w:asciiTheme="minorHAnsi" w:hAnsiTheme="minorHAnsi" w:cstheme="minorHAnsi"/>
              </w:rPr>
            </w:pPr>
            <w:r w:rsidRPr="00037AD4">
              <w:rPr>
                <w:rFonts w:asciiTheme="minorHAnsi" w:hAnsiTheme="minorHAnsi" w:cstheme="minorHAnsi"/>
                <w:b/>
                <w:bCs/>
              </w:rPr>
              <w:t>Anxiety/depression</w:t>
            </w:r>
          </w:p>
          <w:p w14:paraId="0E9BFBB6" w14:textId="77777777" w:rsidR="00B54D51" w:rsidRPr="00037AD4" w:rsidRDefault="00B54D51" w:rsidP="008F00F0">
            <w:pPr>
              <w:rPr>
                <w:rFonts w:asciiTheme="minorHAnsi" w:hAnsiTheme="minorHAnsi" w:cstheme="minorHAnsi"/>
                <w:i/>
                <w:iCs/>
                <w:sz w:val="22"/>
                <w:szCs w:val="22"/>
              </w:rPr>
            </w:pPr>
            <w:r w:rsidRPr="00037AD4">
              <w:rPr>
                <w:rFonts w:asciiTheme="minorHAnsi" w:hAnsiTheme="minorHAnsi" w:cstheme="minorHAnsi"/>
                <w:i/>
                <w:iCs/>
                <w:sz w:val="22"/>
                <w:szCs w:val="22"/>
              </w:rPr>
              <w:t>PwD</w:t>
            </w:r>
          </w:p>
          <w:p w14:paraId="1114247A" w14:textId="77777777" w:rsidR="00B54D51" w:rsidRPr="00037AD4" w:rsidRDefault="00B54D51" w:rsidP="008F00F0">
            <w:pPr>
              <w:rPr>
                <w:rFonts w:asciiTheme="minorHAnsi" w:hAnsiTheme="minorHAnsi" w:cstheme="minorHAnsi"/>
                <w:i/>
                <w:iCs/>
                <w:sz w:val="22"/>
                <w:szCs w:val="22"/>
              </w:rPr>
            </w:pPr>
            <w:r w:rsidRPr="00037AD4">
              <w:rPr>
                <w:rFonts w:asciiTheme="minorHAnsi" w:hAnsiTheme="minorHAnsi" w:cstheme="minorHAnsi"/>
                <w:i/>
                <w:iCs/>
                <w:sz w:val="22"/>
                <w:szCs w:val="22"/>
              </w:rPr>
              <w:t>Informal proxy</w:t>
            </w:r>
          </w:p>
        </w:tc>
        <w:tc>
          <w:tcPr>
            <w:tcW w:w="0" w:type="auto"/>
          </w:tcPr>
          <w:p w14:paraId="4CC80801" w14:textId="77777777" w:rsidR="00B54D51" w:rsidRPr="00037AD4" w:rsidRDefault="00B54D51" w:rsidP="008F00F0">
            <w:pPr>
              <w:rPr>
                <w:rFonts w:asciiTheme="minorHAnsi" w:hAnsiTheme="minorHAnsi" w:cstheme="minorHAnsi"/>
              </w:rPr>
            </w:pPr>
          </w:p>
          <w:p w14:paraId="30E7E43B"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-0.00</w:t>
            </w:r>
          </w:p>
          <w:p w14:paraId="4B2B8B6B"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0.15*</w:t>
            </w:r>
          </w:p>
        </w:tc>
        <w:tc>
          <w:tcPr>
            <w:tcW w:w="0" w:type="auto"/>
          </w:tcPr>
          <w:p w14:paraId="6090557F" w14:textId="77777777" w:rsidR="00B54D51" w:rsidRPr="00037AD4" w:rsidRDefault="00B54D51" w:rsidP="008F00F0">
            <w:pPr>
              <w:rPr>
                <w:rFonts w:asciiTheme="minorHAnsi" w:hAnsiTheme="minorHAnsi" w:cstheme="minorHAnsi"/>
              </w:rPr>
            </w:pPr>
          </w:p>
          <w:p w14:paraId="1C2CC9DF"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-0.00</w:t>
            </w:r>
          </w:p>
          <w:p w14:paraId="7D493697"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-0.02</w:t>
            </w:r>
          </w:p>
        </w:tc>
        <w:tc>
          <w:tcPr>
            <w:tcW w:w="0" w:type="auto"/>
          </w:tcPr>
          <w:p w14:paraId="7CC0431A" w14:textId="77777777" w:rsidR="00B54D51" w:rsidRPr="00037AD4" w:rsidRDefault="00B54D51" w:rsidP="008F00F0">
            <w:pPr>
              <w:rPr>
                <w:rFonts w:asciiTheme="minorHAnsi" w:hAnsiTheme="minorHAnsi" w:cstheme="minorHAnsi"/>
              </w:rPr>
            </w:pPr>
          </w:p>
          <w:p w14:paraId="76DB2D36"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0.22*</w:t>
            </w:r>
          </w:p>
          <w:p w14:paraId="516258B1"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0.47*</w:t>
            </w:r>
          </w:p>
        </w:tc>
      </w:tr>
      <w:tr w:rsidR="00B54D51" w:rsidRPr="00037AD4" w14:paraId="6A83536B" w14:textId="77777777" w:rsidTr="008F00F0">
        <w:trPr>
          <w:trHeight w:val="735"/>
        </w:trPr>
        <w:tc>
          <w:tcPr>
            <w:tcW w:w="0" w:type="auto"/>
          </w:tcPr>
          <w:p w14:paraId="7B89DAD5" w14:textId="77777777" w:rsidR="00B54D51" w:rsidRPr="00037AD4" w:rsidRDefault="00B54D51" w:rsidP="008F00F0">
            <w:pPr>
              <w:rPr>
                <w:rFonts w:asciiTheme="minorHAnsi" w:hAnsiTheme="minorHAnsi" w:cstheme="minorHAnsi"/>
                <w:b/>
                <w:bCs/>
              </w:rPr>
            </w:pPr>
            <w:r w:rsidRPr="00037AD4">
              <w:rPr>
                <w:rFonts w:asciiTheme="minorHAnsi" w:hAnsiTheme="minorHAnsi" w:cstheme="minorHAnsi"/>
                <w:b/>
                <w:bCs/>
              </w:rPr>
              <w:t>EQ-5D index score</w:t>
            </w:r>
          </w:p>
          <w:p w14:paraId="729D084C" w14:textId="77777777" w:rsidR="00B54D51" w:rsidRPr="00037AD4" w:rsidRDefault="00B54D51" w:rsidP="008F00F0">
            <w:pPr>
              <w:rPr>
                <w:rFonts w:asciiTheme="minorHAnsi" w:hAnsiTheme="minorHAnsi" w:cstheme="minorHAnsi"/>
                <w:i/>
                <w:iCs/>
                <w:sz w:val="22"/>
                <w:szCs w:val="22"/>
              </w:rPr>
            </w:pPr>
            <w:r w:rsidRPr="00037AD4">
              <w:rPr>
                <w:rFonts w:asciiTheme="minorHAnsi" w:hAnsiTheme="minorHAnsi" w:cstheme="minorHAnsi"/>
                <w:i/>
                <w:iCs/>
                <w:sz w:val="22"/>
                <w:szCs w:val="22"/>
              </w:rPr>
              <w:t>PwD</w:t>
            </w:r>
          </w:p>
          <w:p w14:paraId="0D54539C" w14:textId="77777777" w:rsidR="00B54D51" w:rsidRPr="00037AD4" w:rsidRDefault="00B54D51" w:rsidP="008F00F0">
            <w:pPr>
              <w:rPr>
                <w:rFonts w:asciiTheme="minorHAnsi" w:hAnsiTheme="minorHAnsi" w:cstheme="minorHAnsi"/>
                <w:i/>
                <w:iCs/>
                <w:sz w:val="22"/>
                <w:szCs w:val="22"/>
              </w:rPr>
            </w:pPr>
            <w:r w:rsidRPr="00037AD4">
              <w:rPr>
                <w:rFonts w:asciiTheme="minorHAnsi" w:hAnsiTheme="minorHAnsi" w:cstheme="minorHAnsi"/>
                <w:i/>
                <w:iCs/>
                <w:sz w:val="22"/>
                <w:szCs w:val="22"/>
              </w:rPr>
              <w:t>Informal proxy</w:t>
            </w:r>
          </w:p>
        </w:tc>
        <w:tc>
          <w:tcPr>
            <w:tcW w:w="0" w:type="auto"/>
          </w:tcPr>
          <w:p w14:paraId="77182EDB" w14:textId="77777777" w:rsidR="00B54D51" w:rsidRPr="00037AD4" w:rsidRDefault="00B54D51" w:rsidP="008F00F0">
            <w:pPr>
              <w:rPr>
                <w:rFonts w:asciiTheme="minorHAnsi" w:hAnsiTheme="minorHAnsi" w:cstheme="minorHAnsi"/>
              </w:rPr>
            </w:pPr>
          </w:p>
          <w:p w14:paraId="75CA87AF"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-0.17*</w:t>
            </w:r>
          </w:p>
          <w:p w14:paraId="75C435CA"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-0.59*</w:t>
            </w:r>
          </w:p>
        </w:tc>
        <w:tc>
          <w:tcPr>
            <w:tcW w:w="0" w:type="auto"/>
          </w:tcPr>
          <w:p w14:paraId="035071E9" w14:textId="77777777" w:rsidR="00B54D51" w:rsidRPr="00037AD4" w:rsidRDefault="00B54D51" w:rsidP="008F00F0">
            <w:pPr>
              <w:rPr>
                <w:rFonts w:asciiTheme="minorHAnsi" w:hAnsiTheme="minorHAnsi" w:cstheme="minorHAnsi"/>
              </w:rPr>
            </w:pPr>
          </w:p>
          <w:p w14:paraId="402E9DEF"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-0.05</w:t>
            </w:r>
          </w:p>
          <w:p w14:paraId="576DACB2"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-0.22*</w:t>
            </w:r>
          </w:p>
        </w:tc>
        <w:tc>
          <w:tcPr>
            <w:tcW w:w="0" w:type="auto"/>
          </w:tcPr>
          <w:p w14:paraId="25871576" w14:textId="77777777" w:rsidR="00B54D51" w:rsidRPr="00037AD4" w:rsidRDefault="00B54D51" w:rsidP="008F00F0">
            <w:pPr>
              <w:rPr>
                <w:rFonts w:asciiTheme="minorHAnsi" w:hAnsiTheme="minorHAnsi" w:cstheme="minorHAnsi"/>
              </w:rPr>
            </w:pPr>
          </w:p>
          <w:p w14:paraId="4A4F1FD1"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-0.25*</w:t>
            </w:r>
          </w:p>
          <w:p w14:paraId="5884677F"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-0.45*</w:t>
            </w:r>
          </w:p>
        </w:tc>
      </w:tr>
      <w:tr w:rsidR="00B54D51" w:rsidRPr="00037AD4" w14:paraId="42EE21C3" w14:textId="77777777" w:rsidTr="008F00F0">
        <w:trPr>
          <w:trHeight w:val="735"/>
        </w:trPr>
        <w:tc>
          <w:tcPr>
            <w:tcW w:w="0" w:type="auto"/>
            <w:gridSpan w:val="4"/>
          </w:tcPr>
          <w:p w14:paraId="4B24195F" w14:textId="77777777" w:rsidR="00B54D51" w:rsidRPr="00037AD4" w:rsidRDefault="00B54D51" w:rsidP="008F00F0">
            <w:pPr>
              <w:rPr>
                <w:rFonts w:asciiTheme="minorHAnsi" w:hAnsiTheme="minorHAnsi" w:cstheme="minorHAnsi"/>
              </w:rPr>
            </w:pPr>
            <w:r w:rsidRPr="00037AD4">
              <w:rPr>
                <w:rFonts w:asciiTheme="minorHAnsi" w:hAnsiTheme="minorHAnsi" w:cstheme="minorHAnsi"/>
                <w:sz w:val="22"/>
                <w:szCs w:val="22"/>
              </w:rPr>
              <w:t xml:space="preserve">*p&lt;0.05; spearman’s rank correlation for EQ-5D dimensions and Pearson’s correlation for utility; BADLS, Bristol activities of daily living scale; CDR, clinical dementia rating; CSDD, Cornell scale for depression in dementia </w:t>
            </w:r>
          </w:p>
        </w:tc>
      </w:tr>
    </w:tbl>
    <w:p w14:paraId="4491FDEC" w14:textId="77777777" w:rsidR="00B54D51" w:rsidRPr="00037AD4" w:rsidRDefault="00B54D51" w:rsidP="00FE3D6C">
      <w:pPr>
        <w:rPr>
          <w:rFonts w:asciiTheme="minorHAnsi" w:hAnsiTheme="minorHAnsi" w:cstheme="minorHAnsi"/>
          <w:color w:val="FF0000"/>
          <w:u w:val="single"/>
        </w:rPr>
      </w:pPr>
    </w:p>
    <w:p w14:paraId="2FC71689" w14:textId="77777777" w:rsidR="00B54D51" w:rsidRPr="00037AD4" w:rsidRDefault="00B54D51" w:rsidP="00FE3D6C">
      <w:pPr>
        <w:rPr>
          <w:rFonts w:asciiTheme="minorHAnsi" w:hAnsiTheme="minorHAnsi" w:cstheme="minorHAnsi"/>
        </w:rPr>
      </w:pPr>
      <w:r w:rsidRPr="00037AD4">
        <w:rPr>
          <w:rFonts w:asciiTheme="minorHAnsi" w:hAnsiTheme="minorHAnsi" w:cstheme="minorHAnsi"/>
        </w:rPr>
        <w:t xml:space="preserve">In the ACTIFCARE study, it can be seen that there are no notable relationships with the “pain/discomfort” and “anxiety/depression” dimensions reported by either respondent. Proxy reported “self-care” and “usual activities” show moderate and strong associations with CDR (dementia severity scale) (r=0.42 and r=0.39), IADL (r=-0.60 and r=-0.51) and PSMS (r=-0.74 and r=-0.50) (both measures of function). As higher scores indicate better function/more independence for both measures of function, a negative correlation is expected. There are no notable associations between EQ-5D dimension reports and MMSE scores. For EQ-5D index scores, there are moderate correlations between informal proxy </w:t>
      </w:r>
      <w:r w:rsidRPr="00037AD4">
        <w:rPr>
          <w:rFonts w:asciiTheme="minorHAnsi" w:hAnsiTheme="minorHAnsi" w:cstheme="minorHAnsi"/>
        </w:rPr>
        <w:lastRenderedPageBreak/>
        <w:t xml:space="preserve">reports and CDR, IADL and PSMS, and PwD index scores show slight association with IADL and PSMS (all with the expected direction). </w:t>
      </w:r>
    </w:p>
    <w:p w14:paraId="03B84A68" w14:textId="77777777" w:rsidR="00B54D51" w:rsidRPr="00037AD4" w:rsidRDefault="00B54D51" w:rsidP="00FE3D6C">
      <w:pPr>
        <w:rPr>
          <w:rFonts w:asciiTheme="minorHAnsi" w:hAnsiTheme="minorHAnsi" w:cstheme="minorHAnsi"/>
          <w:b/>
          <w:bCs/>
          <w:u w:val="single"/>
        </w:rPr>
      </w:pPr>
    </w:p>
    <w:p w14:paraId="500B39F1" w14:textId="77777777" w:rsidR="00B54D51" w:rsidRPr="00037AD4" w:rsidRDefault="00B54D51" w:rsidP="00FE3D6C">
      <w:pPr>
        <w:rPr>
          <w:rFonts w:asciiTheme="minorHAnsi" w:hAnsiTheme="minorHAnsi" w:cstheme="minorHAnsi"/>
          <w:b/>
          <w:bCs/>
          <w:i/>
          <w:iCs/>
          <w:color w:val="FF0000"/>
        </w:rPr>
      </w:pPr>
      <w:r w:rsidRPr="00037AD4">
        <w:rPr>
          <w:rFonts w:asciiTheme="minorHAnsi" w:hAnsiTheme="minorHAnsi" w:cstheme="minorHAnsi"/>
          <w:b/>
          <w:bCs/>
          <w:i/>
          <w:iCs/>
        </w:rPr>
        <w:t>Table 30b, Convergent validity of EQ-5D dimension with symptoms measures, ACTIFCARE</w:t>
      </w:r>
    </w:p>
    <w:p w14:paraId="59BABB4D" w14:textId="77777777" w:rsidR="00B54D51" w:rsidRPr="00037AD4" w:rsidRDefault="00B54D51" w:rsidP="00FE3D6C">
      <w:pPr>
        <w:rPr>
          <w:rFonts w:asciiTheme="minorHAnsi" w:hAnsiTheme="minorHAnsi" w:cstheme="minorHAnsi"/>
          <w:color w:val="FF0000"/>
          <w:u w:val="single"/>
        </w:rPr>
      </w:pPr>
    </w:p>
    <w:tbl>
      <w:tblPr>
        <w:tblStyle w:val="TableGrid"/>
        <w:tblW w:w="0" w:type="auto"/>
        <w:tblLook w:val="04A0" w:firstRow="1" w:lastRow="0" w:firstColumn="1" w:lastColumn="0" w:noHBand="0" w:noVBand="1"/>
      </w:tblPr>
      <w:tblGrid>
        <w:gridCol w:w="3761"/>
        <w:gridCol w:w="1027"/>
        <w:gridCol w:w="1027"/>
        <w:gridCol w:w="1131"/>
        <w:gridCol w:w="1027"/>
        <w:gridCol w:w="1043"/>
      </w:tblGrid>
      <w:tr w:rsidR="00B54D51" w:rsidRPr="00037AD4" w14:paraId="2BC7D41D" w14:textId="77777777" w:rsidTr="008F00F0">
        <w:trPr>
          <w:trHeight w:val="620"/>
        </w:trPr>
        <w:tc>
          <w:tcPr>
            <w:tcW w:w="0" w:type="auto"/>
          </w:tcPr>
          <w:p w14:paraId="6BB05043" w14:textId="77777777" w:rsidR="00B54D51" w:rsidRPr="00037AD4" w:rsidRDefault="00B54D51" w:rsidP="008F00F0">
            <w:pPr>
              <w:rPr>
                <w:rFonts w:asciiTheme="minorHAnsi" w:hAnsiTheme="minorHAnsi" w:cstheme="minorHAnsi"/>
                <w:b/>
                <w:bCs/>
              </w:rPr>
            </w:pPr>
            <w:r w:rsidRPr="00037AD4">
              <w:rPr>
                <w:rFonts w:asciiTheme="minorHAnsi" w:hAnsiTheme="minorHAnsi" w:cstheme="minorHAnsi"/>
                <w:b/>
                <w:bCs/>
              </w:rPr>
              <w:t>EQ-5D-5L dimension by respondent type</w:t>
            </w:r>
          </w:p>
        </w:tc>
        <w:tc>
          <w:tcPr>
            <w:tcW w:w="0" w:type="auto"/>
          </w:tcPr>
          <w:p w14:paraId="66040BA1" w14:textId="77777777" w:rsidR="00B54D51" w:rsidRPr="00037AD4" w:rsidRDefault="00B54D51" w:rsidP="008F00F0">
            <w:pPr>
              <w:rPr>
                <w:rFonts w:asciiTheme="minorHAnsi" w:hAnsiTheme="minorHAnsi" w:cstheme="minorHAnsi"/>
                <w:b/>
                <w:bCs/>
              </w:rPr>
            </w:pPr>
            <w:r w:rsidRPr="00037AD4">
              <w:rPr>
                <w:rFonts w:asciiTheme="minorHAnsi" w:hAnsiTheme="minorHAnsi" w:cstheme="minorHAnsi"/>
                <w:b/>
                <w:bCs/>
              </w:rPr>
              <w:t>CDR</w:t>
            </w:r>
          </w:p>
          <w:p w14:paraId="443F11E7" w14:textId="77777777" w:rsidR="00B54D51" w:rsidRPr="00037AD4" w:rsidRDefault="00B54D51" w:rsidP="008F00F0">
            <w:pPr>
              <w:rPr>
                <w:rFonts w:asciiTheme="minorHAnsi" w:hAnsiTheme="minorHAnsi" w:cstheme="minorHAnsi"/>
              </w:rPr>
            </w:pPr>
          </w:p>
        </w:tc>
        <w:tc>
          <w:tcPr>
            <w:tcW w:w="0" w:type="auto"/>
          </w:tcPr>
          <w:p w14:paraId="429EB2C5" w14:textId="77777777" w:rsidR="00B54D51" w:rsidRPr="00037AD4" w:rsidRDefault="00B54D51" w:rsidP="008F00F0">
            <w:pPr>
              <w:rPr>
                <w:rFonts w:asciiTheme="minorHAnsi" w:hAnsiTheme="minorHAnsi" w:cstheme="minorHAnsi"/>
                <w:b/>
                <w:bCs/>
              </w:rPr>
            </w:pPr>
            <w:r w:rsidRPr="00037AD4">
              <w:rPr>
                <w:rFonts w:asciiTheme="minorHAnsi" w:hAnsiTheme="minorHAnsi" w:cstheme="minorHAnsi"/>
                <w:b/>
                <w:bCs/>
              </w:rPr>
              <w:t>IADL</w:t>
            </w:r>
          </w:p>
          <w:p w14:paraId="5D3CFFF7" w14:textId="77777777" w:rsidR="00B54D51" w:rsidRPr="00037AD4" w:rsidRDefault="00B54D51" w:rsidP="008F00F0">
            <w:pPr>
              <w:rPr>
                <w:rFonts w:asciiTheme="minorHAnsi" w:hAnsiTheme="minorHAnsi" w:cstheme="minorHAnsi"/>
              </w:rPr>
            </w:pPr>
          </w:p>
        </w:tc>
        <w:tc>
          <w:tcPr>
            <w:tcW w:w="0" w:type="auto"/>
          </w:tcPr>
          <w:p w14:paraId="08347CC0" w14:textId="77777777" w:rsidR="00B54D51" w:rsidRPr="00037AD4" w:rsidRDefault="00B54D51" w:rsidP="008F00F0">
            <w:pPr>
              <w:rPr>
                <w:rFonts w:asciiTheme="minorHAnsi" w:hAnsiTheme="minorHAnsi" w:cstheme="minorHAnsi"/>
                <w:b/>
                <w:bCs/>
              </w:rPr>
            </w:pPr>
            <w:r w:rsidRPr="00037AD4">
              <w:rPr>
                <w:rFonts w:asciiTheme="minorHAnsi" w:hAnsiTheme="minorHAnsi" w:cstheme="minorHAnsi"/>
                <w:b/>
                <w:bCs/>
              </w:rPr>
              <w:t>MMSE</w:t>
            </w:r>
          </w:p>
        </w:tc>
        <w:tc>
          <w:tcPr>
            <w:tcW w:w="0" w:type="auto"/>
          </w:tcPr>
          <w:p w14:paraId="60A2994E" w14:textId="77777777" w:rsidR="00B54D51" w:rsidRPr="00037AD4" w:rsidRDefault="00B54D51" w:rsidP="008F00F0">
            <w:pPr>
              <w:rPr>
                <w:rFonts w:asciiTheme="minorHAnsi" w:hAnsiTheme="minorHAnsi" w:cstheme="minorHAnsi"/>
              </w:rPr>
            </w:pPr>
            <w:r w:rsidRPr="00037AD4">
              <w:rPr>
                <w:rFonts w:asciiTheme="minorHAnsi" w:hAnsiTheme="minorHAnsi" w:cstheme="minorHAnsi"/>
                <w:b/>
                <w:bCs/>
              </w:rPr>
              <w:t>NPI</w:t>
            </w:r>
          </w:p>
        </w:tc>
        <w:tc>
          <w:tcPr>
            <w:tcW w:w="0" w:type="auto"/>
          </w:tcPr>
          <w:p w14:paraId="58E03115" w14:textId="77777777" w:rsidR="00B54D51" w:rsidRPr="00037AD4" w:rsidRDefault="00B54D51" w:rsidP="008F00F0">
            <w:pPr>
              <w:rPr>
                <w:rFonts w:asciiTheme="minorHAnsi" w:hAnsiTheme="minorHAnsi" w:cstheme="minorHAnsi"/>
                <w:b/>
                <w:bCs/>
              </w:rPr>
            </w:pPr>
            <w:r w:rsidRPr="00037AD4">
              <w:rPr>
                <w:rFonts w:asciiTheme="minorHAnsi" w:hAnsiTheme="minorHAnsi" w:cstheme="minorHAnsi"/>
                <w:b/>
                <w:bCs/>
              </w:rPr>
              <w:t>PSMS</w:t>
            </w:r>
          </w:p>
        </w:tc>
      </w:tr>
      <w:tr w:rsidR="00B54D51" w:rsidRPr="00037AD4" w14:paraId="66CE2B50" w14:textId="77777777" w:rsidTr="008F00F0">
        <w:trPr>
          <w:trHeight w:val="620"/>
        </w:trPr>
        <w:tc>
          <w:tcPr>
            <w:tcW w:w="0" w:type="auto"/>
          </w:tcPr>
          <w:p w14:paraId="2C211C13" w14:textId="77777777" w:rsidR="00B54D51" w:rsidRPr="00037AD4" w:rsidRDefault="00B54D51" w:rsidP="008F00F0">
            <w:pPr>
              <w:rPr>
                <w:rFonts w:asciiTheme="minorHAnsi" w:hAnsiTheme="minorHAnsi" w:cstheme="minorHAnsi"/>
                <w:i/>
                <w:iCs/>
                <w:sz w:val="22"/>
                <w:szCs w:val="22"/>
              </w:rPr>
            </w:pPr>
            <w:r w:rsidRPr="00037AD4">
              <w:rPr>
                <w:rFonts w:asciiTheme="minorHAnsi" w:hAnsiTheme="minorHAnsi" w:cstheme="minorHAnsi"/>
                <w:b/>
                <w:bCs/>
              </w:rPr>
              <w:t>Mobility</w:t>
            </w:r>
            <w:r w:rsidRPr="00037AD4">
              <w:rPr>
                <w:rFonts w:asciiTheme="minorHAnsi" w:hAnsiTheme="minorHAnsi" w:cstheme="minorHAnsi"/>
                <w:i/>
                <w:iCs/>
                <w:sz w:val="22"/>
                <w:szCs w:val="22"/>
              </w:rPr>
              <w:t xml:space="preserve"> </w:t>
            </w:r>
          </w:p>
          <w:p w14:paraId="0D3EDFF2" w14:textId="77777777" w:rsidR="00B54D51" w:rsidRPr="00037AD4" w:rsidRDefault="00B54D51" w:rsidP="008F00F0">
            <w:pPr>
              <w:rPr>
                <w:rFonts w:asciiTheme="minorHAnsi" w:hAnsiTheme="minorHAnsi" w:cstheme="minorHAnsi"/>
                <w:i/>
                <w:iCs/>
                <w:sz w:val="22"/>
                <w:szCs w:val="22"/>
              </w:rPr>
            </w:pPr>
            <w:r w:rsidRPr="00037AD4">
              <w:rPr>
                <w:rFonts w:asciiTheme="minorHAnsi" w:hAnsiTheme="minorHAnsi" w:cstheme="minorHAnsi"/>
                <w:i/>
                <w:iCs/>
                <w:sz w:val="22"/>
                <w:szCs w:val="22"/>
              </w:rPr>
              <w:t>PwD</w:t>
            </w:r>
          </w:p>
          <w:p w14:paraId="4021EEA0" w14:textId="77777777" w:rsidR="00B54D51" w:rsidRPr="00037AD4" w:rsidRDefault="00B54D51" w:rsidP="008F00F0">
            <w:pPr>
              <w:rPr>
                <w:rFonts w:asciiTheme="minorHAnsi" w:hAnsiTheme="minorHAnsi" w:cstheme="minorHAnsi"/>
                <w:i/>
                <w:iCs/>
                <w:sz w:val="22"/>
                <w:szCs w:val="22"/>
              </w:rPr>
            </w:pPr>
            <w:r w:rsidRPr="00037AD4">
              <w:rPr>
                <w:rFonts w:asciiTheme="minorHAnsi" w:hAnsiTheme="minorHAnsi" w:cstheme="minorHAnsi"/>
                <w:i/>
                <w:iCs/>
                <w:sz w:val="22"/>
                <w:szCs w:val="22"/>
              </w:rPr>
              <w:t>Informal proxy</w:t>
            </w:r>
          </w:p>
        </w:tc>
        <w:tc>
          <w:tcPr>
            <w:tcW w:w="0" w:type="auto"/>
          </w:tcPr>
          <w:p w14:paraId="70CC544D" w14:textId="77777777" w:rsidR="00B54D51" w:rsidRPr="00037AD4" w:rsidRDefault="00B54D51" w:rsidP="008F00F0">
            <w:pPr>
              <w:rPr>
                <w:rFonts w:asciiTheme="minorHAnsi" w:hAnsiTheme="minorHAnsi" w:cstheme="minorHAnsi"/>
              </w:rPr>
            </w:pPr>
          </w:p>
          <w:p w14:paraId="69CB088E"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0.00</w:t>
            </w:r>
          </w:p>
          <w:p w14:paraId="2D140FB8"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0.14*</w:t>
            </w:r>
          </w:p>
        </w:tc>
        <w:tc>
          <w:tcPr>
            <w:tcW w:w="0" w:type="auto"/>
          </w:tcPr>
          <w:p w14:paraId="75ABE167" w14:textId="77777777" w:rsidR="00B54D51" w:rsidRPr="00037AD4" w:rsidRDefault="00B54D51" w:rsidP="008F00F0">
            <w:pPr>
              <w:rPr>
                <w:rFonts w:asciiTheme="minorHAnsi" w:hAnsiTheme="minorHAnsi" w:cstheme="minorHAnsi"/>
              </w:rPr>
            </w:pPr>
          </w:p>
          <w:p w14:paraId="5DF32B45"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-0.16*</w:t>
            </w:r>
          </w:p>
          <w:p w14:paraId="54CFE3D6"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-0.29*</w:t>
            </w:r>
          </w:p>
        </w:tc>
        <w:tc>
          <w:tcPr>
            <w:tcW w:w="0" w:type="auto"/>
          </w:tcPr>
          <w:p w14:paraId="4664668D" w14:textId="77777777" w:rsidR="00B54D51" w:rsidRPr="00037AD4" w:rsidRDefault="00B54D51" w:rsidP="008F00F0">
            <w:pPr>
              <w:rPr>
                <w:rFonts w:asciiTheme="minorHAnsi" w:hAnsiTheme="minorHAnsi" w:cstheme="minorHAnsi"/>
              </w:rPr>
            </w:pPr>
          </w:p>
          <w:p w14:paraId="14BF18F3"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-0.11*</w:t>
            </w:r>
          </w:p>
          <w:p w14:paraId="022CE112"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0.02</w:t>
            </w:r>
          </w:p>
        </w:tc>
        <w:tc>
          <w:tcPr>
            <w:tcW w:w="0" w:type="auto"/>
          </w:tcPr>
          <w:p w14:paraId="0EC32B43" w14:textId="77777777" w:rsidR="00B54D51" w:rsidRPr="00037AD4" w:rsidRDefault="00B54D51" w:rsidP="008F00F0">
            <w:pPr>
              <w:rPr>
                <w:rFonts w:asciiTheme="minorHAnsi" w:hAnsiTheme="minorHAnsi" w:cstheme="minorHAnsi"/>
              </w:rPr>
            </w:pPr>
          </w:p>
          <w:p w14:paraId="705F53E6"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0.05</w:t>
            </w:r>
          </w:p>
          <w:p w14:paraId="142295FE"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0.10*</w:t>
            </w:r>
          </w:p>
        </w:tc>
        <w:tc>
          <w:tcPr>
            <w:tcW w:w="0" w:type="auto"/>
          </w:tcPr>
          <w:p w14:paraId="0DE0F96F" w14:textId="77777777" w:rsidR="00B54D51" w:rsidRPr="00037AD4" w:rsidRDefault="00B54D51" w:rsidP="008F00F0">
            <w:pPr>
              <w:rPr>
                <w:rFonts w:asciiTheme="minorHAnsi" w:hAnsiTheme="minorHAnsi" w:cstheme="minorHAnsi"/>
              </w:rPr>
            </w:pPr>
          </w:p>
          <w:p w14:paraId="0ACDC7BB"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-0.31*</w:t>
            </w:r>
          </w:p>
          <w:p w14:paraId="13741173"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-0.42*</w:t>
            </w:r>
          </w:p>
        </w:tc>
      </w:tr>
      <w:tr w:rsidR="00B54D51" w:rsidRPr="00037AD4" w14:paraId="572587A1" w14:textId="77777777" w:rsidTr="008F00F0">
        <w:trPr>
          <w:trHeight w:val="620"/>
        </w:trPr>
        <w:tc>
          <w:tcPr>
            <w:tcW w:w="0" w:type="auto"/>
          </w:tcPr>
          <w:p w14:paraId="0E60814B" w14:textId="77777777" w:rsidR="00B54D51" w:rsidRPr="00037AD4" w:rsidRDefault="00B54D51" w:rsidP="008F00F0">
            <w:pPr>
              <w:rPr>
                <w:rFonts w:asciiTheme="minorHAnsi" w:hAnsiTheme="minorHAnsi" w:cstheme="minorHAnsi"/>
                <w:b/>
                <w:bCs/>
              </w:rPr>
            </w:pPr>
            <w:r w:rsidRPr="00037AD4">
              <w:rPr>
                <w:rFonts w:asciiTheme="minorHAnsi" w:hAnsiTheme="minorHAnsi" w:cstheme="minorHAnsi"/>
                <w:b/>
                <w:bCs/>
              </w:rPr>
              <w:t>Self-care</w:t>
            </w:r>
          </w:p>
          <w:p w14:paraId="274CDCEF" w14:textId="77777777" w:rsidR="00B54D51" w:rsidRPr="00037AD4" w:rsidRDefault="00B54D51" w:rsidP="008F00F0">
            <w:pPr>
              <w:rPr>
                <w:rFonts w:asciiTheme="minorHAnsi" w:hAnsiTheme="minorHAnsi" w:cstheme="minorHAnsi"/>
                <w:i/>
                <w:iCs/>
                <w:sz w:val="22"/>
                <w:szCs w:val="22"/>
              </w:rPr>
            </w:pPr>
            <w:r w:rsidRPr="00037AD4">
              <w:rPr>
                <w:rFonts w:asciiTheme="minorHAnsi" w:hAnsiTheme="minorHAnsi" w:cstheme="minorHAnsi"/>
                <w:i/>
                <w:iCs/>
                <w:sz w:val="22"/>
                <w:szCs w:val="22"/>
              </w:rPr>
              <w:t>PwD</w:t>
            </w:r>
          </w:p>
          <w:p w14:paraId="4AC489A0" w14:textId="77777777" w:rsidR="00B54D51" w:rsidRPr="00037AD4" w:rsidRDefault="00B54D51" w:rsidP="008F00F0">
            <w:pPr>
              <w:rPr>
                <w:rFonts w:asciiTheme="minorHAnsi" w:hAnsiTheme="minorHAnsi" w:cstheme="minorHAnsi"/>
                <w:i/>
                <w:iCs/>
                <w:sz w:val="22"/>
                <w:szCs w:val="22"/>
              </w:rPr>
            </w:pPr>
            <w:r w:rsidRPr="00037AD4">
              <w:rPr>
                <w:rFonts w:asciiTheme="minorHAnsi" w:hAnsiTheme="minorHAnsi" w:cstheme="minorHAnsi"/>
                <w:i/>
                <w:iCs/>
                <w:sz w:val="22"/>
                <w:szCs w:val="22"/>
              </w:rPr>
              <w:t>Informal proxy</w:t>
            </w:r>
          </w:p>
        </w:tc>
        <w:tc>
          <w:tcPr>
            <w:tcW w:w="0" w:type="auto"/>
          </w:tcPr>
          <w:p w14:paraId="70E09FEE" w14:textId="77777777" w:rsidR="00B54D51" w:rsidRPr="00037AD4" w:rsidRDefault="00B54D51" w:rsidP="008F00F0">
            <w:pPr>
              <w:rPr>
                <w:rFonts w:asciiTheme="minorHAnsi" w:hAnsiTheme="minorHAnsi" w:cstheme="minorHAnsi"/>
              </w:rPr>
            </w:pPr>
          </w:p>
          <w:p w14:paraId="7464615F"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0.16*</w:t>
            </w:r>
          </w:p>
          <w:p w14:paraId="49F879B7"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0.42*</w:t>
            </w:r>
          </w:p>
        </w:tc>
        <w:tc>
          <w:tcPr>
            <w:tcW w:w="0" w:type="auto"/>
          </w:tcPr>
          <w:p w14:paraId="5C62333A" w14:textId="77777777" w:rsidR="00B54D51" w:rsidRPr="00037AD4" w:rsidRDefault="00B54D51" w:rsidP="008F00F0">
            <w:pPr>
              <w:rPr>
                <w:rFonts w:asciiTheme="minorHAnsi" w:hAnsiTheme="minorHAnsi" w:cstheme="minorHAnsi"/>
              </w:rPr>
            </w:pPr>
          </w:p>
          <w:p w14:paraId="3E54186E"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-0.28*</w:t>
            </w:r>
          </w:p>
          <w:p w14:paraId="3B39FE11"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-0.60*</w:t>
            </w:r>
          </w:p>
        </w:tc>
        <w:tc>
          <w:tcPr>
            <w:tcW w:w="0" w:type="auto"/>
          </w:tcPr>
          <w:p w14:paraId="3AD49E4E" w14:textId="77777777" w:rsidR="00B54D51" w:rsidRPr="00037AD4" w:rsidRDefault="00B54D51" w:rsidP="008F00F0">
            <w:pPr>
              <w:rPr>
                <w:rFonts w:asciiTheme="minorHAnsi" w:hAnsiTheme="minorHAnsi" w:cstheme="minorHAnsi"/>
              </w:rPr>
            </w:pPr>
          </w:p>
          <w:p w14:paraId="09C9DECC"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-0.11*</w:t>
            </w:r>
          </w:p>
          <w:p w14:paraId="2074DE06"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-0.28*</w:t>
            </w:r>
          </w:p>
        </w:tc>
        <w:tc>
          <w:tcPr>
            <w:tcW w:w="0" w:type="auto"/>
          </w:tcPr>
          <w:p w14:paraId="3E766293" w14:textId="77777777" w:rsidR="00B54D51" w:rsidRPr="00037AD4" w:rsidRDefault="00B54D51" w:rsidP="008F00F0">
            <w:pPr>
              <w:rPr>
                <w:rFonts w:asciiTheme="minorHAnsi" w:hAnsiTheme="minorHAnsi" w:cstheme="minorHAnsi"/>
              </w:rPr>
            </w:pPr>
          </w:p>
          <w:p w14:paraId="5EB06570"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0.09*</w:t>
            </w:r>
          </w:p>
          <w:p w14:paraId="303050D5"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0.32*</w:t>
            </w:r>
          </w:p>
        </w:tc>
        <w:tc>
          <w:tcPr>
            <w:tcW w:w="0" w:type="auto"/>
          </w:tcPr>
          <w:p w14:paraId="4899B85F" w14:textId="77777777" w:rsidR="00B54D51" w:rsidRPr="00037AD4" w:rsidRDefault="00B54D51" w:rsidP="008F00F0">
            <w:pPr>
              <w:rPr>
                <w:rFonts w:asciiTheme="minorHAnsi" w:hAnsiTheme="minorHAnsi" w:cstheme="minorHAnsi"/>
              </w:rPr>
            </w:pPr>
          </w:p>
          <w:p w14:paraId="4C42E8CE"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-0.41*</w:t>
            </w:r>
          </w:p>
          <w:p w14:paraId="3DEA0DF0"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-0.74*</w:t>
            </w:r>
          </w:p>
        </w:tc>
      </w:tr>
      <w:tr w:rsidR="00B54D51" w:rsidRPr="00037AD4" w14:paraId="109ADD6E" w14:textId="77777777" w:rsidTr="008F00F0">
        <w:trPr>
          <w:trHeight w:val="633"/>
        </w:trPr>
        <w:tc>
          <w:tcPr>
            <w:tcW w:w="0" w:type="auto"/>
          </w:tcPr>
          <w:p w14:paraId="55D1045A" w14:textId="77777777" w:rsidR="00B54D51" w:rsidRPr="00037AD4" w:rsidRDefault="00B54D51" w:rsidP="008F00F0">
            <w:pPr>
              <w:rPr>
                <w:rFonts w:asciiTheme="minorHAnsi" w:hAnsiTheme="minorHAnsi" w:cstheme="minorHAnsi"/>
                <w:b/>
                <w:bCs/>
              </w:rPr>
            </w:pPr>
            <w:r w:rsidRPr="00037AD4">
              <w:rPr>
                <w:rFonts w:asciiTheme="minorHAnsi" w:hAnsiTheme="minorHAnsi" w:cstheme="minorHAnsi"/>
                <w:b/>
                <w:bCs/>
              </w:rPr>
              <w:t xml:space="preserve">Usual activities </w:t>
            </w:r>
          </w:p>
          <w:p w14:paraId="4EA0DADE" w14:textId="77777777" w:rsidR="00B54D51" w:rsidRPr="00037AD4" w:rsidRDefault="00B54D51" w:rsidP="008F00F0">
            <w:pPr>
              <w:rPr>
                <w:rFonts w:asciiTheme="minorHAnsi" w:hAnsiTheme="minorHAnsi" w:cstheme="minorHAnsi"/>
                <w:i/>
                <w:iCs/>
                <w:sz w:val="22"/>
                <w:szCs w:val="22"/>
              </w:rPr>
            </w:pPr>
            <w:r w:rsidRPr="00037AD4">
              <w:rPr>
                <w:rFonts w:asciiTheme="minorHAnsi" w:hAnsiTheme="minorHAnsi" w:cstheme="minorHAnsi"/>
                <w:i/>
                <w:iCs/>
                <w:sz w:val="22"/>
                <w:szCs w:val="22"/>
              </w:rPr>
              <w:t>PwD</w:t>
            </w:r>
          </w:p>
          <w:p w14:paraId="0BF95F40" w14:textId="77777777" w:rsidR="00B54D51" w:rsidRPr="00037AD4" w:rsidRDefault="00B54D51" w:rsidP="008F00F0">
            <w:pPr>
              <w:rPr>
                <w:rFonts w:asciiTheme="minorHAnsi" w:hAnsiTheme="minorHAnsi" w:cstheme="minorHAnsi"/>
                <w:i/>
                <w:iCs/>
                <w:sz w:val="22"/>
                <w:szCs w:val="22"/>
              </w:rPr>
            </w:pPr>
            <w:r w:rsidRPr="00037AD4">
              <w:rPr>
                <w:rFonts w:asciiTheme="minorHAnsi" w:hAnsiTheme="minorHAnsi" w:cstheme="minorHAnsi"/>
                <w:i/>
                <w:iCs/>
                <w:sz w:val="22"/>
                <w:szCs w:val="22"/>
              </w:rPr>
              <w:t>Informal proxy</w:t>
            </w:r>
          </w:p>
        </w:tc>
        <w:tc>
          <w:tcPr>
            <w:tcW w:w="0" w:type="auto"/>
          </w:tcPr>
          <w:p w14:paraId="78C7E39A" w14:textId="77777777" w:rsidR="00B54D51" w:rsidRPr="00037AD4" w:rsidRDefault="00B54D51" w:rsidP="008F00F0">
            <w:pPr>
              <w:rPr>
                <w:rFonts w:asciiTheme="minorHAnsi" w:hAnsiTheme="minorHAnsi" w:cstheme="minorHAnsi"/>
              </w:rPr>
            </w:pPr>
          </w:p>
          <w:p w14:paraId="2773847B"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0.09*</w:t>
            </w:r>
          </w:p>
          <w:p w14:paraId="15AE2E24"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0.39*</w:t>
            </w:r>
          </w:p>
        </w:tc>
        <w:tc>
          <w:tcPr>
            <w:tcW w:w="0" w:type="auto"/>
          </w:tcPr>
          <w:p w14:paraId="562CCB2E" w14:textId="77777777" w:rsidR="00B54D51" w:rsidRPr="00037AD4" w:rsidRDefault="00B54D51" w:rsidP="008F00F0">
            <w:pPr>
              <w:rPr>
                <w:rFonts w:asciiTheme="minorHAnsi" w:hAnsiTheme="minorHAnsi" w:cstheme="minorHAnsi"/>
              </w:rPr>
            </w:pPr>
          </w:p>
          <w:p w14:paraId="0F7B9515"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-0.22*</w:t>
            </w:r>
          </w:p>
          <w:p w14:paraId="1312F34A"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-0.51*</w:t>
            </w:r>
          </w:p>
        </w:tc>
        <w:tc>
          <w:tcPr>
            <w:tcW w:w="0" w:type="auto"/>
          </w:tcPr>
          <w:p w14:paraId="590C1B3F" w14:textId="77777777" w:rsidR="00B54D51" w:rsidRPr="00037AD4" w:rsidRDefault="00B54D51" w:rsidP="008F00F0">
            <w:pPr>
              <w:rPr>
                <w:rFonts w:asciiTheme="minorHAnsi" w:hAnsiTheme="minorHAnsi" w:cstheme="minorHAnsi"/>
              </w:rPr>
            </w:pPr>
          </w:p>
          <w:p w14:paraId="407E3706"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0.00</w:t>
            </w:r>
          </w:p>
          <w:p w14:paraId="4511B3AD"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-0.22*</w:t>
            </w:r>
          </w:p>
        </w:tc>
        <w:tc>
          <w:tcPr>
            <w:tcW w:w="0" w:type="auto"/>
          </w:tcPr>
          <w:p w14:paraId="5326CD29" w14:textId="77777777" w:rsidR="00B54D51" w:rsidRPr="00037AD4" w:rsidRDefault="00B54D51" w:rsidP="008F00F0">
            <w:pPr>
              <w:rPr>
                <w:rFonts w:asciiTheme="minorHAnsi" w:hAnsiTheme="minorHAnsi" w:cstheme="minorHAnsi"/>
              </w:rPr>
            </w:pPr>
          </w:p>
          <w:p w14:paraId="12998B85"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0.05</w:t>
            </w:r>
          </w:p>
          <w:p w14:paraId="278A16D4"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0.25*</w:t>
            </w:r>
          </w:p>
        </w:tc>
        <w:tc>
          <w:tcPr>
            <w:tcW w:w="0" w:type="auto"/>
          </w:tcPr>
          <w:p w14:paraId="779A8E9D" w14:textId="77777777" w:rsidR="00B54D51" w:rsidRPr="00037AD4" w:rsidRDefault="00B54D51" w:rsidP="008F00F0">
            <w:pPr>
              <w:rPr>
                <w:rFonts w:asciiTheme="minorHAnsi" w:hAnsiTheme="minorHAnsi" w:cstheme="minorHAnsi"/>
              </w:rPr>
            </w:pPr>
          </w:p>
          <w:p w14:paraId="7F5E27CC"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-0.31*</w:t>
            </w:r>
          </w:p>
          <w:p w14:paraId="5A29CC99"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-0.50*</w:t>
            </w:r>
          </w:p>
        </w:tc>
      </w:tr>
      <w:tr w:rsidR="00B54D51" w:rsidRPr="00037AD4" w14:paraId="613E939A" w14:textId="77777777" w:rsidTr="008F00F0">
        <w:trPr>
          <w:trHeight w:val="315"/>
        </w:trPr>
        <w:tc>
          <w:tcPr>
            <w:tcW w:w="0" w:type="auto"/>
          </w:tcPr>
          <w:p w14:paraId="202D8241" w14:textId="77777777" w:rsidR="00B54D51" w:rsidRPr="00037AD4" w:rsidRDefault="00B54D51" w:rsidP="008F00F0">
            <w:pPr>
              <w:rPr>
                <w:rFonts w:asciiTheme="minorHAnsi" w:hAnsiTheme="minorHAnsi" w:cstheme="minorHAnsi"/>
                <w:b/>
                <w:bCs/>
              </w:rPr>
            </w:pPr>
            <w:r w:rsidRPr="00037AD4">
              <w:rPr>
                <w:rFonts w:asciiTheme="minorHAnsi" w:hAnsiTheme="minorHAnsi" w:cstheme="minorHAnsi"/>
                <w:b/>
                <w:bCs/>
              </w:rPr>
              <w:t>Pain/discomfort</w:t>
            </w:r>
          </w:p>
          <w:p w14:paraId="0CEAC16C" w14:textId="77777777" w:rsidR="00B54D51" w:rsidRPr="00037AD4" w:rsidRDefault="00B54D51" w:rsidP="008F00F0">
            <w:pPr>
              <w:rPr>
                <w:rFonts w:asciiTheme="minorHAnsi" w:hAnsiTheme="minorHAnsi" w:cstheme="minorHAnsi"/>
                <w:i/>
                <w:iCs/>
                <w:sz w:val="22"/>
                <w:szCs w:val="22"/>
              </w:rPr>
            </w:pPr>
            <w:r w:rsidRPr="00037AD4">
              <w:rPr>
                <w:rFonts w:asciiTheme="minorHAnsi" w:hAnsiTheme="minorHAnsi" w:cstheme="minorHAnsi"/>
                <w:i/>
                <w:iCs/>
                <w:sz w:val="22"/>
                <w:szCs w:val="22"/>
              </w:rPr>
              <w:t>PwD</w:t>
            </w:r>
          </w:p>
          <w:p w14:paraId="250AFC7D" w14:textId="77777777" w:rsidR="00B54D51" w:rsidRPr="00037AD4" w:rsidRDefault="00B54D51" w:rsidP="008F00F0">
            <w:pPr>
              <w:rPr>
                <w:rFonts w:asciiTheme="minorHAnsi" w:hAnsiTheme="minorHAnsi" w:cstheme="minorHAnsi"/>
                <w:i/>
                <w:iCs/>
                <w:sz w:val="22"/>
                <w:szCs w:val="22"/>
              </w:rPr>
            </w:pPr>
            <w:r w:rsidRPr="00037AD4">
              <w:rPr>
                <w:rFonts w:asciiTheme="minorHAnsi" w:hAnsiTheme="minorHAnsi" w:cstheme="minorHAnsi"/>
                <w:i/>
                <w:iCs/>
                <w:sz w:val="22"/>
                <w:szCs w:val="22"/>
              </w:rPr>
              <w:t>Informal proxy</w:t>
            </w:r>
          </w:p>
        </w:tc>
        <w:tc>
          <w:tcPr>
            <w:tcW w:w="0" w:type="auto"/>
          </w:tcPr>
          <w:p w14:paraId="3185205A" w14:textId="77777777" w:rsidR="00B54D51" w:rsidRPr="00037AD4" w:rsidRDefault="00B54D51" w:rsidP="008F00F0">
            <w:pPr>
              <w:rPr>
                <w:rFonts w:asciiTheme="minorHAnsi" w:hAnsiTheme="minorHAnsi" w:cstheme="minorHAnsi"/>
              </w:rPr>
            </w:pPr>
          </w:p>
          <w:p w14:paraId="5B36E779"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-0.04</w:t>
            </w:r>
          </w:p>
          <w:p w14:paraId="645AF16F"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0.05</w:t>
            </w:r>
          </w:p>
        </w:tc>
        <w:tc>
          <w:tcPr>
            <w:tcW w:w="0" w:type="auto"/>
          </w:tcPr>
          <w:p w14:paraId="0FED1F6C" w14:textId="77777777" w:rsidR="00B54D51" w:rsidRPr="00037AD4" w:rsidRDefault="00B54D51" w:rsidP="008F00F0">
            <w:pPr>
              <w:rPr>
                <w:rFonts w:asciiTheme="minorHAnsi" w:hAnsiTheme="minorHAnsi" w:cstheme="minorHAnsi"/>
              </w:rPr>
            </w:pPr>
          </w:p>
          <w:p w14:paraId="16DB1B86"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0.02</w:t>
            </w:r>
          </w:p>
          <w:p w14:paraId="6EBB9A60"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-0.07*</w:t>
            </w:r>
          </w:p>
        </w:tc>
        <w:tc>
          <w:tcPr>
            <w:tcW w:w="0" w:type="auto"/>
          </w:tcPr>
          <w:p w14:paraId="2E1E45A5" w14:textId="77777777" w:rsidR="00B54D51" w:rsidRPr="00037AD4" w:rsidRDefault="00B54D51" w:rsidP="008F00F0">
            <w:pPr>
              <w:rPr>
                <w:rFonts w:asciiTheme="minorHAnsi" w:hAnsiTheme="minorHAnsi" w:cstheme="minorHAnsi"/>
              </w:rPr>
            </w:pPr>
          </w:p>
          <w:p w14:paraId="5A628CA7"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0.11*</w:t>
            </w:r>
          </w:p>
          <w:p w14:paraId="11BAC7F9"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-0.01</w:t>
            </w:r>
          </w:p>
        </w:tc>
        <w:tc>
          <w:tcPr>
            <w:tcW w:w="0" w:type="auto"/>
          </w:tcPr>
          <w:p w14:paraId="4596651D" w14:textId="77777777" w:rsidR="00B54D51" w:rsidRPr="00037AD4" w:rsidRDefault="00B54D51" w:rsidP="008F00F0">
            <w:pPr>
              <w:rPr>
                <w:rFonts w:asciiTheme="minorHAnsi" w:hAnsiTheme="minorHAnsi" w:cstheme="minorHAnsi"/>
              </w:rPr>
            </w:pPr>
          </w:p>
          <w:p w14:paraId="35B1D237"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0.02</w:t>
            </w:r>
          </w:p>
          <w:p w14:paraId="01DA692B"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0.30*</w:t>
            </w:r>
          </w:p>
        </w:tc>
        <w:tc>
          <w:tcPr>
            <w:tcW w:w="0" w:type="auto"/>
          </w:tcPr>
          <w:p w14:paraId="33013A4A" w14:textId="77777777" w:rsidR="00B54D51" w:rsidRPr="00037AD4" w:rsidRDefault="00B54D51" w:rsidP="008F00F0">
            <w:pPr>
              <w:rPr>
                <w:rFonts w:asciiTheme="minorHAnsi" w:hAnsiTheme="minorHAnsi" w:cstheme="minorHAnsi"/>
              </w:rPr>
            </w:pPr>
          </w:p>
          <w:p w14:paraId="5125EE0B"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-0.03</w:t>
            </w:r>
          </w:p>
          <w:p w14:paraId="3729FF94"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-0.09*</w:t>
            </w:r>
          </w:p>
        </w:tc>
      </w:tr>
      <w:tr w:rsidR="00B54D51" w:rsidRPr="00037AD4" w14:paraId="196D60F0" w14:textId="77777777" w:rsidTr="008F00F0">
        <w:trPr>
          <w:trHeight w:val="658"/>
        </w:trPr>
        <w:tc>
          <w:tcPr>
            <w:tcW w:w="0" w:type="auto"/>
          </w:tcPr>
          <w:p w14:paraId="38B155AF" w14:textId="77777777" w:rsidR="00B54D51" w:rsidRPr="00037AD4" w:rsidRDefault="00B54D51" w:rsidP="008F00F0">
            <w:pPr>
              <w:rPr>
                <w:rFonts w:asciiTheme="minorHAnsi" w:hAnsiTheme="minorHAnsi" w:cstheme="minorHAnsi"/>
              </w:rPr>
            </w:pPr>
            <w:r w:rsidRPr="00037AD4">
              <w:rPr>
                <w:rFonts w:asciiTheme="minorHAnsi" w:hAnsiTheme="minorHAnsi" w:cstheme="minorHAnsi"/>
                <w:b/>
                <w:bCs/>
              </w:rPr>
              <w:t>Anxiety/depression</w:t>
            </w:r>
          </w:p>
          <w:p w14:paraId="0630F325" w14:textId="77777777" w:rsidR="00B54D51" w:rsidRPr="00037AD4" w:rsidRDefault="00B54D51" w:rsidP="008F00F0">
            <w:pPr>
              <w:rPr>
                <w:rFonts w:asciiTheme="minorHAnsi" w:hAnsiTheme="minorHAnsi" w:cstheme="minorHAnsi"/>
                <w:i/>
                <w:iCs/>
                <w:sz w:val="22"/>
                <w:szCs w:val="22"/>
              </w:rPr>
            </w:pPr>
            <w:r w:rsidRPr="00037AD4">
              <w:rPr>
                <w:rFonts w:asciiTheme="minorHAnsi" w:hAnsiTheme="minorHAnsi" w:cstheme="minorHAnsi"/>
                <w:i/>
                <w:iCs/>
                <w:sz w:val="22"/>
                <w:szCs w:val="22"/>
              </w:rPr>
              <w:t>PwD</w:t>
            </w:r>
          </w:p>
          <w:p w14:paraId="1EEC7A61" w14:textId="77777777" w:rsidR="00B54D51" w:rsidRPr="00037AD4" w:rsidRDefault="00B54D51" w:rsidP="008F00F0">
            <w:pPr>
              <w:rPr>
                <w:rFonts w:asciiTheme="minorHAnsi" w:hAnsiTheme="minorHAnsi" w:cstheme="minorHAnsi"/>
                <w:i/>
                <w:iCs/>
                <w:sz w:val="22"/>
                <w:szCs w:val="22"/>
              </w:rPr>
            </w:pPr>
            <w:r w:rsidRPr="00037AD4">
              <w:rPr>
                <w:rFonts w:asciiTheme="minorHAnsi" w:hAnsiTheme="minorHAnsi" w:cstheme="minorHAnsi"/>
                <w:i/>
                <w:iCs/>
                <w:sz w:val="22"/>
                <w:szCs w:val="22"/>
              </w:rPr>
              <w:t>Informal proxy</w:t>
            </w:r>
          </w:p>
        </w:tc>
        <w:tc>
          <w:tcPr>
            <w:tcW w:w="0" w:type="auto"/>
          </w:tcPr>
          <w:p w14:paraId="711FADF5" w14:textId="77777777" w:rsidR="00B54D51" w:rsidRPr="00037AD4" w:rsidRDefault="00B54D51" w:rsidP="008F00F0">
            <w:pPr>
              <w:rPr>
                <w:rFonts w:asciiTheme="minorHAnsi" w:hAnsiTheme="minorHAnsi" w:cstheme="minorHAnsi"/>
              </w:rPr>
            </w:pPr>
          </w:p>
          <w:p w14:paraId="67617E39"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0.00</w:t>
            </w:r>
          </w:p>
          <w:p w14:paraId="2234320B"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0.03</w:t>
            </w:r>
          </w:p>
        </w:tc>
        <w:tc>
          <w:tcPr>
            <w:tcW w:w="0" w:type="auto"/>
          </w:tcPr>
          <w:p w14:paraId="47708199" w14:textId="77777777" w:rsidR="00B54D51" w:rsidRPr="00037AD4" w:rsidRDefault="00B54D51" w:rsidP="008F00F0">
            <w:pPr>
              <w:rPr>
                <w:rFonts w:asciiTheme="minorHAnsi" w:hAnsiTheme="minorHAnsi" w:cstheme="minorHAnsi"/>
              </w:rPr>
            </w:pPr>
          </w:p>
          <w:p w14:paraId="4228ADDD"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-0.00</w:t>
            </w:r>
          </w:p>
          <w:p w14:paraId="2DA2C49D"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-0.09*</w:t>
            </w:r>
          </w:p>
        </w:tc>
        <w:tc>
          <w:tcPr>
            <w:tcW w:w="0" w:type="auto"/>
          </w:tcPr>
          <w:p w14:paraId="585D7FE5" w14:textId="77777777" w:rsidR="00B54D51" w:rsidRPr="00037AD4" w:rsidRDefault="00B54D51" w:rsidP="008F00F0">
            <w:pPr>
              <w:rPr>
                <w:rFonts w:asciiTheme="minorHAnsi" w:hAnsiTheme="minorHAnsi" w:cstheme="minorHAnsi"/>
              </w:rPr>
            </w:pPr>
          </w:p>
          <w:p w14:paraId="16004B43"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-0.00</w:t>
            </w:r>
          </w:p>
          <w:p w14:paraId="2453FF5D"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0.06*</w:t>
            </w:r>
          </w:p>
        </w:tc>
        <w:tc>
          <w:tcPr>
            <w:tcW w:w="0" w:type="auto"/>
          </w:tcPr>
          <w:p w14:paraId="45786B33" w14:textId="77777777" w:rsidR="00B54D51" w:rsidRPr="00037AD4" w:rsidRDefault="00B54D51" w:rsidP="008F00F0">
            <w:pPr>
              <w:rPr>
                <w:rFonts w:asciiTheme="minorHAnsi" w:hAnsiTheme="minorHAnsi" w:cstheme="minorHAnsi"/>
              </w:rPr>
            </w:pPr>
          </w:p>
          <w:p w14:paraId="37B56A41"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0.05</w:t>
            </w:r>
          </w:p>
          <w:p w14:paraId="45BA1A94"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0.20*</w:t>
            </w:r>
          </w:p>
        </w:tc>
        <w:tc>
          <w:tcPr>
            <w:tcW w:w="0" w:type="auto"/>
          </w:tcPr>
          <w:p w14:paraId="0F9A66E0" w14:textId="77777777" w:rsidR="00B54D51" w:rsidRPr="00037AD4" w:rsidRDefault="00B54D51" w:rsidP="008F00F0">
            <w:pPr>
              <w:rPr>
                <w:rFonts w:asciiTheme="minorHAnsi" w:hAnsiTheme="minorHAnsi" w:cstheme="minorHAnsi"/>
              </w:rPr>
            </w:pPr>
          </w:p>
          <w:p w14:paraId="31696150"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-0.04</w:t>
            </w:r>
          </w:p>
          <w:p w14:paraId="32C70DE9"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-0.09*</w:t>
            </w:r>
          </w:p>
        </w:tc>
      </w:tr>
      <w:tr w:rsidR="00B54D51" w:rsidRPr="00037AD4" w14:paraId="7BEC78D4" w14:textId="77777777" w:rsidTr="008F00F0">
        <w:trPr>
          <w:trHeight w:val="735"/>
        </w:trPr>
        <w:tc>
          <w:tcPr>
            <w:tcW w:w="0" w:type="auto"/>
          </w:tcPr>
          <w:p w14:paraId="142CA0FF" w14:textId="77777777" w:rsidR="00B54D51" w:rsidRPr="00037AD4" w:rsidRDefault="00B54D51" w:rsidP="008F00F0">
            <w:pPr>
              <w:rPr>
                <w:rFonts w:asciiTheme="minorHAnsi" w:hAnsiTheme="minorHAnsi" w:cstheme="minorHAnsi"/>
                <w:b/>
                <w:bCs/>
              </w:rPr>
            </w:pPr>
            <w:r w:rsidRPr="00037AD4">
              <w:rPr>
                <w:rFonts w:asciiTheme="minorHAnsi" w:hAnsiTheme="minorHAnsi" w:cstheme="minorHAnsi"/>
                <w:b/>
                <w:bCs/>
              </w:rPr>
              <w:t>EQ-5D index score</w:t>
            </w:r>
          </w:p>
          <w:p w14:paraId="0F2906E5" w14:textId="77777777" w:rsidR="00B54D51" w:rsidRPr="00037AD4" w:rsidRDefault="00B54D51" w:rsidP="008F00F0">
            <w:pPr>
              <w:rPr>
                <w:rFonts w:asciiTheme="minorHAnsi" w:hAnsiTheme="minorHAnsi" w:cstheme="minorHAnsi"/>
                <w:i/>
                <w:iCs/>
                <w:sz w:val="22"/>
                <w:szCs w:val="22"/>
              </w:rPr>
            </w:pPr>
            <w:r w:rsidRPr="00037AD4">
              <w:rPr>
                <w:rFonts w:asciiTheme="minorHAnsi" w:hAnsiTheme="minorHAnsi" w:cstheme="minorHAnsi"/>
                <w:i/>
                <w:iCs/>
                <w:sz w:val="22"/>
                <w:szCs w:val="22"/>
              </w:rPr>
              <w:t>PwD</w:t>
            </w:r>
          </w:p>
          <w:p w14:paraId="33FA31C5" w14:textId="77777777" w:rsidR="00B54D51" w:rsidRPr="00037AD4" w:rsidRDefault="00B54D51" w:rsidP="008F00F0">
            <w:pPr>
              <w:rPr>
                <w:rFonts w:asciiTheme="minorHAnsi" w:hAnsiTheme="minorHAnsi" w:cstheme="minorHAnsi"/>
                <w:i/>
                <w:iCs/>
                <w:sz w:val="22"/>
                <w:szCs w:val="22"/>
              </w:rPr>
            </w:pPr>
            <w:r w:rsidRPr="00037AD4">
              <w:rPr>
                <w:rFonts w:asciiTheme="minorHAnsi" w:hAnsiTheme="minorHAnsi" w:cstheme="minorHAnsi"/>
                <w:i/>
                <w:iCs/>
                <w:sz w:val="22"/>
                <w:szCs w:val="22"/>
              </w:rPr>
              <w:t>Informal proxy</w:t>
            </w:r>
          </w:p>
        </w:tc>
        <w:tc>
          <w:tcPr>
            <w:tcW w:w="0" w:type="auto"/>
          </w:tcPr>
          <w:p w14:paraId="20541D59" w14:textId="77777777" w:rsidR="00B54D51" w:rsidRPr="00037AD4" w:rsidRDefault="00B54D51" w:rsidP="008F00F0">
            <w:pPr>
              <w:rPr>
                <w:rFonts w:asciiTheme="minorHAnsi" w:hAnsiTheme="minorHAnsi" w:cstheme="minorHAnsi"/>
              </w:rPr>
            </w:pPr>
          </w:p>
          <w:p w14:paraId="55F69D72"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-0.09*</w:t>
            </w:r>
          </w:p>
          <w:p w14:paraId="71030E81"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-0.41*</w:t>
            </w:r>
          </w:p>
        </w:tc>
        <w:tc>
          <w:tcPr>
            <w:tcW w:w="0" w:type="auto"/>
          </w:tcPr>
          <w:p w14:paraId="1D5060E1" w14:textId="77777777" w:rsidR="00B54D51" w:rsidRPr="00037AD4" w:rsidRDefault="00B54D51" w:rsidP="008F00F0">
            <w:pPr>
              <w:rPr>
                <w:rFonts w:asciiTheme="minorHAnsi" w:hAnsiTheme="minorHAnsi" w:cstheme="minorHAnsi"/>
              </w:rPr>
            </w:pPr>
          </w:p>
          <w:p w14:paraId="2FA14E83"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0.22*</w:t>
            </w:r>
          </w:p>
          <w:p w14:paraId="5A4DC8F6"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0.54*</w:t>
            </w:r>
          </w:p>
        </w:tc>
        <w:tc>
          <w:tcPr>
            <w:tcW w:w="0" w:type="auto"/>
          </w:tcPr>
          <w:p w14:paraId="7523693E" w14:textId="77777777" w:rsidR="00B54D51" w:rsidRPr="00037AD4" w:rsidRDefault="00B54D51" w:rsidP="008F00F0">
            <w:pPr>
              <w:rPr>
                <w:rFonts w:asciiTheme="minorHAnsi" w:hAnsiTheme="minorHAnsi" w:cstheme="minorHAnsi"/>
              </w:rPr>
            </w:pPr>
          </w:p>
          <w:p w14:paraId="6A897498"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-0.02</w:t>
            </w:r>
          </w:p>
          <w:p w14:paraId="364ADBD6"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0.17*</w:t>
            </w:r>
          </w:p>
        </w:tc>
        <w:tc>
          <w:tcPr>
            <w:tcW w:w="0" w:type="auto"/>
          </w:tcPr>
          <w:p w14:paraId="70E07ACE" w14:textId="77777777" w:rsidR="00B54D51" w:rsidRPr="00037AD4" w:rsidRDefault="00B54D51" w:rsidP="008F00F0">
            <w:pPr>
              <w:rPr>
                <w:rFonts w:asciiTheme="minorHAnsi" w:hAnsiTheme="minorHAnsi" w:cstheme="minorHAnsi"/>
              </w:rPr>
            </w:pPr>
          </w:p>
          <w:p w14:paraId="6ED41769"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-0.06*</w:t>
            </w:r>
          </w:p>
          <w:p w14:paraId="59930A9C"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-0.36*</w:t>
            </w:r>
          </w:p>
        </w:tc>
        <w:tc>
          <w:tcPr>
            <w:tcW w:w="0" w:type="auto"/>
          </w:tcPr>
          <w:p w14:paraId="790AD910" w14:textId="77777777" w:rsidR="00B54D51" w:rsidRPr="00037AD4" w:rsidRDefault="00B54D51" w:rsidP="008F00F0">
            <w:pPr>
              <w:rPr>
                <w:rFonts w:asciiTheme="minorHAnsi" w:hAnsiTheme="minorHAnsi" w:cstheme="minorHAnsi"/>
              </w:rPr>
            </w:pPr>
          </w:p>
          <w:p w14:paraId="30362536"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0.30*</w:t>
            </w:r>
          </w:p>
          <w:p w14:paraId="283E5FC3"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0.56*</w:t>
            </w:r>
          </w:p>
        </w:tc>
      </w:tr>
      <w:tr w:rsidR="00B54D51" w:rsidRPr="00037AD4" w14:paraId="080448AA" w14:textId="77777777" w:rsidTr="008F00F0">
        <w:trPr>
          <w:trHeight w:val="228"/>
        </w:trPr>
        <w:tc>
          <w:tcPr>
            <w:tcW w:w="0" w:type="auto"/>
            <w:gridSpan w:val="6"/>
          </w:tcPr>
          <w:p w14:paraId="39E457AD" w14:textId="77777777" w:rsidR="00B54D51" w:rsidRPr="00037AD4" w:rsidRDefault="00B54D51" w:rsidP="008F00F0">
            <w:pPr>
              <w:rPr>
                <w:rFonts w:asciiTheme="minorHAnsi" w:hAnsiTheme="minorHAnsi" w:cstheme="minorHAnsi"/>
                <w:sz w:val="22"/>
                <w:szCs w:val="22"/>
              </w:rPr>
            </w:pPr>
            <w:r w:rsidRPr="00037AD4">
              <w:rPr>
                <w:rFonts w:asciiTheme="minorHAnsi" w:hAnsiTheme="minorHAnsi" w:cstheme="minorHAnsi"/>
                <w:sz w:val="22"/>
                <w:szCs w:val="22"/>
              </w:rPr>
              <w:t xml:space="preserve">*p&lt;0.05; spearman’s rank correlation for EQ-5D dimensions and Pearson’s correlation for utility; CDR, clinical dementia rating; IADL, Lawton’s instrumental activities of daily living scale; MMSE, mini-mental state examination; NPI, neuropsychiatric inventory; PSMS, physical self-maintenance scale </w:t>
            </w:r>
          </w:p>
        </w:tc>
      </w:tr>
    </w:tbl>
    <w:p w14:paraId="276459CE" w14:textId="77777777" w:rsidR="00B54D51" w:rsidRPr="00037AD4" w:rsidRDefault="00B54D51" w:rsidP="00FE3D6C">
      <w:pPr>
        <w:rPr>
          <w:rFonts w:asciiTheme="minorHAnsi" w:hAnsiTheme="minorHAnsi" w:cstheme="minorHAnsi"/>
          <w:b/>
          <w:bCs/>
          <w:u w:val="single"/>
        </w:rPr>
      </w:pPr>
    </w:p>
    <w:p w14:paraId="4FD60894" w14:textId="77777777" w:rsidR="00B54D51" w:rsidRPr="00037AD4" w:rsidRDefault="00B54D51" w:rsidP="00FE3D6C">
      <w:pPr>
        <w:rPr>
          <w:rFonts w:asciiTheme="minorHAnsi" w:hAnsiTheme="minorHAnsi" w:cstheme="minorHAnsi"/>
        </w:rPr>
      </w:pPr>
      <w:r w:rsidRPr="00037AD4">
        <w:rPr>
          <w:rFonts w:asciiTheme="minorHAnsi" w:hAnsiTheme="minorHAnsi" w:cstheme="minorHAnsi"/>
        </w:rPr>
        <w:t xml:space="preserve">For the EPIC study data, the convergent validity evidence is mixed. PwD self-reported EQ-5D dimensions and index scores show no notable associations with any of the symptom measures. The strength of the correlations observed for the different proxy types varied across the dimensions/measures. For “mobility” and “self-care” reports, staff proxy correlations were slightly stronger with the CDR and FAST measures (FAST is a measure of function); here, informal proxy reports of these dimensions also showed slight and moderate </w:t>
      </w:r>
      <w:r>
        <w:rPr>
          <w:rFonts w:asciiTheme="minorHAnsi" w:hAnsiTheme="minorHAnsi" w:cstheme="minorHAnsi"/>
        </w:rPr>
        <w:t>correlation</w:t>
      </w:r>
      <w:r w:rsidRPr="00037AD4">
        <w:rPr>
          <w:rFonts w:asciiTheme="minorHAnsi" w:hAnsiTheme="minorHAnsi" w:cstheme="minorHAnsi"/>
        </w:rPr>
        <w:t xml:space="preserve"> with NPI (measure of neuropsychiatric disturbances). Informal proxy “usual activities” reports were more strongly correlated with all three dementia symptom measures. There were no notable associations with “pain/discomfort” reports across the respondents. For “anxiety/depression” dimension reports, only staff-proxy scores showed near moderate (r=0.38) correlation with the NPI measure. Both informal and staff proxy EQ-5D index scores were moderately correlated with CDR and FAST scores.  </w:t>
      </w:r>
    </w:p>
    <w:p w14:paraId="61140050" w14:textId="77777777" w:rsidR="00B54D51" w:rsidRDefault="00B54D51" w:rsidP="00FE3D6C">
      <w:pPr>
        <w:rPr>
          <w:rFonts w:asciiTheme="minorHAnsi" w:hAnsiTheme="minorHAnsi" w:cstheme="minorHAnsi"/>
          <w:b/>
          <w:bCs/>
          <w:i/>
          <w:iCs/>
        </w:rPr>
      </w:pPr>
    </w:p>
    <w:p w14:paraId="575CE224" w14:textId="77777777" w:rsidR="00B54D51" w:rsidRDefault="00B54D51" w:rsidP="00FE3D6C">
      <w:pPr>
        <w:rPr>
          <w:rFonts w:asciiTheme="minorHAnsi" w:hAnsiTheme="minorHAnsi" w:cstheme="minorHAnsi"/>
          <w:b/>
          <w:bCs/>
          <w:i/>
          <w:iCs/>
        </w:rPr>
      </w:pPr>
    </w:p>
    <w:p w14:paraId="215C5A31" w14:textId="77777777" w:rsidR="00B54D51" w:rsidRDefault="00B54D51" w:rsidP="00FE3D6C">
      <w:pPr>
        <w:rPr>
          <w:rFonts w:asciiTheme="minorHAnsi" w:hAnsiTheme="minorHAnsi" w:cstheme="minorHAnsi"/>
          <w:b/>
          <w:bCs/>
          <w:i/>
          <w:iCs/>
        </w:rPr>
      </w:pPr>
    </w:p>
    <w:p w14:paraId="6EFCDED8" w14:textId="77777777" w:rsidR="00B54D51" w:rsidRDefault="00B54D51" w:rsidP="00FE3D6C">
      <w:pPr>
        <w:rPr>
          <w:rFonts w:asciiTheme="minorHAnsi" w:hAnsiTheme="minorHAnsi" w:cstheme="minorHAnsi"/>
          <w:b/>
          <w:bCs/>
          <w:i/>
          <w:iCs/>
        </w:rPr>
      </w:pPr>
    </w:p>
    <w:p w14:paraId="75FDE486" w14:textId="77777777" w:rsidR="00B54D51" w:rsidRPr="00037AD4" w:rsidRDefault="00B54D51" w:rsidP="00FE3D6C">
      <w:pPr>
        <w:rPr>
          <w:rFonts w:asciiTheme="minorHAnsi" w:hAnsiTheme="minorHAnsi" w:cstheme="minorHAnsi"/>
          <w:b/>
          <w:bCs/>
          <w:i/>
          <w:iCs/>
        </w:rPr>
      </w:pPr>
    </w:p>
    <w:p w14:paraId="2834E3CA" w14:textId="77777777" w:rsidR="00B54D51" w:rsidRPr="00037AD4" w:rsidRDefault="00B54D51" w:rsidP="00FE3D6C">
      <w:pPr>
        <w:rPr>
          <w:rFonts w:asciiTheme="minorHAnsi" w:hAnsiTheme="minorHAnsi" w:cstheme="minorHAnsi"/>
          <w:b/>
          <w:bCs/>
          <w:i/>
          <w:iCs/>
        </w:rPr>
      </w:pPr>
      <w:r w:rsidRPr="00037AD4">
        <w:rPr>
          <w:rFonts w:asciiTheme="minorHAnsi" w:hAnsiTheme="minorHAnsi" w:cstheme="minorHAnsi"/>
          <w:b/>
          <w:bCs/>
          <w:i/>
          <w:iCs/>
        </w:rPr>
        <w:lastRenderedPageBreak/>
        <w:t>Table 30c, Convergent validity of EQ-5D dimension with symptoms measures, EPIC</w:t>
      </w:r>
    </w:p>
    <w:p w14:paraId="101380A5" w14:textId="77777777" w:rsidR="00B54D51" w:rsidRPr="00037AD4" w:rsidRDefault="00B54D51" w:rsidP="00FE3D6C">
      <w:pPr>
        <w:rPr>
          <w:rFonts w:asciiTheme="minorHAnsi" w:hAnsiTheme="minorHAnsi" w:cstheme="minorHAnsi"/>
          <w:b/>
          <w:bCs/>
          <w:u w:val="single"/>
        </w:rPr>
      </w:pPr>
    </w:p>
    <w:tbl>
      <w:tblPr>
        <w:tblStyle w:val="TableGrid"/>
        <w:tblW w:w="0" w:type="auto"/>
        <w:tblLook w:val="04A0" w:firstRow="1" w:lastRow="0" w:firstColumn="1" w:lastColumn="0" w:noHBand="0" w:noVBand="1"/>
      </w:tblPr>
      <w:tblGrid>
        <w:gridCol w:w="5233"/>
        <w:gridCol w:w="1261"/>
        <w:gridCol w:w="1261"/>
        <w:gridCol w:w="1261"/>
      </w:tblGrid>
      <w:tr w:rsidR="00B54D51" w:rsidRPr="00037AD4" w14:paraId="02C48D3B" w14:textId="77777777" w:rsidTr="008F00F0">
        <w:trPr>
          <w:trHeight w:val="620"/>
        </w:trPr>
        <w:tc>
          <w:tcPr>
            <w:tcW w:w="0" w:type="auto"/>
          </w:tcPr>
          <w:p w14:paraId="573AFFA0" w14:textId="77777777" w:rsidR="00B54D51" w:rsidRPr="00037AD4" w:rsidRDefault="00B54D51" w:rsidP="008F00F0">
            <w:pPr>
              <w:rPr>
                <w:rFonts w:asciiTheme="minorHAnsi" w:hAnsiTheme="minorHAnsi" w:cstheme="minorHAnsi"/>
                <w:b/>
                <w:bCs/>
              </w:rPr>
            </w:pPr>
            <w:r w:rsidRPr="00037AD4">
              <w:rPr>
                <w:rFonts w:asciiTheme="minorHAnsi" w:hAnsiTheme="minorHAnsi" w:cstheme="minorHAnsi"/>
                <w:b/>
                <w:bCs/>
              </w:rPr>
              <w:t>EQ-5D-5L dimension by respondent type</w:t>
            </w:r>
          </w:p>
        </w:tc>
        <w:tc>
          <w:tcPr>
            <w:tcW w:w="0" w:type="auto"/>
          </w:tcPr>
          <w:p w14:paraId="0D6D741F" w14:textId="77777777" w:rsidR="00B54D51" w:rsidRPr="00037AD4" w:rsidRDefault="00B54D51" w:rsidP="008F00F0">
            <w:pPr>
              <w:rPr>
                <w:rFonts w:asciiTheme="minorHAnsi" w:hAnsiTheme="minorHAnsi" w:cstheme="minorHAnsi"/>
                <w:b/>
                <w:bCs/>
              </w:rPr>
            </w:pPr>
            <w:r w:rsidRPr="00037AD4">
              <w:rPr>
                <w:rFonts w:asciiTheme="minorHAnsi" w:hAnsiTheme="minorHAnsi" w:cstheme="minorHAnsi"/>
                <w:b/>
                <w:bCs/>
              </w:rPr>
              <w:t>CDR</w:t>
            </w:r>
          </w:p>
          <w:p w14:paraId="3B0C7851" w14:textId="77777777" w:rsidR="00B54D51" w:rsidRPr="00037AD4" w:rsidRDefault="00B54D51" w:rsidP="008F00F0">
            <w:pPr>
              <w:rPr>
                <w:rFonts w:asciiTheme="minorHAnsi" w:hAnsiTheme="minorHAnsi" w:cstheme="minorHAnsi"/>
              </w:rPr>
            </w:pPr>
          </w:p>
        </w:tc>
        <w:tc>
          <w:tcPr>
            <w:tcW w:w="0" w:type="auto"/>
          </w:tcPr>
          <w:p w14:paraId="687097F6" w14:textId="77777777" w:rsidR="00B54D51" w:rsidRPr="00037AD4" w:rsidRDefault="00B54D51" w:rsidP="008F00F0">
            <w:pPr>
              <w:rPr>
                <w:rFonts w:asciiTheme="minorHAnsi" w:hAnsiTheme="minorHAnsi" w:cstheme="minorHAnsi"/>
                <w:b/>
                <w:bCs/>
              </w:rPr>
            </w:pPr>
            <w:r w:rsidRPr="00037AD4">
              <w:rPr>
                <w:rFonts w:asciiTheme="minorHAnsi" w:hAnsiTheme="minorHAnsi" w:cstheme="minorHAnsi"/>
                <w:b/>
                <w:bCs/>
              </w:rPr>
              <w:t>FAST</w:t>
            </w:r>
          </w:p>
          <w:p w14:paraId="42829EB8" w14:textId="77777777" w:rsidR="00B54D51" w:rsidRPr="00037AD4" w:rsidRDefault="00B54D51" w:rsidP="008F00F0">
            <w:pPr>
              <w:rPr>
                <w:rFonts w:asciiTheme="minorHAnsi" w:hAnsiTheme="minorHAnsi" w:cstheme="minorHAnsi"/>
              </w:rPr>
            </w:pPr>
          </w:p>
        </w:tc>
        <w:tc>
          <w:tcPr>
            <w:tcW w:w="0" w:type="auto"/>
          </w:tcPr>
          <w:p w14:paraId="280FD755" w14:textId="77777777" w:rsidR="00B54D51" w:rsidRPr="00037AD4" w:rsidRDefault="00B54D51" w:rsidP="008F00F0">
            <w:pPr>
              <w:rPr>
                <w:rFonts w:asciiTheme="minorHAnsi" w:hAnsiTheme="minorHAnsi" w:cstheme="minorHAnsi"/>
              </w:rPr>
            </w:pPr>
            <w:r w:rsidRPr="00037AD4">
              <w:rPr>
                <w:rFonts w:asciiTheme="minorHAnsi" w:hAnsiTheme="minorHAnsi" w:cstheme="minorHAnsi"/>
                <w:b/>
                <w:bCs/>
              </w:rPr>
              <w:t>NPI</w:t>
            </w:r>
          </w:p>
        </w:tc>
      </w:tr>
      <w:tr w:rsidR="00B54D51" w:rsidRPr="00037AD4" w14:paraId="61795BA0" w14:textId="77777777" w:rsidTr="008F00F0">
        <w:trPr>
          <w:trHeight w:val="620"/>
        </w:trPr>
        <w:tc>
          <w:tcPr>
            <w:tcW w:w="0" w:type="auto"/>
          </w:tcPr>
          <w:p w14:paraId="496AD07F" w14:textId="77777777" w:rsidR="00B54D51" w:rsidRPr="00037AD4" w:rsidRDefault="00B54D51" w:rsidP="008F00F0">
            <w:pPr>
              <w:rPr>
                <w:rFonts w:asciiTheme="minorHAnsi" w:hAnsiTheme="minorHAnsi" w:cstheme="minorHAnsi"/>
                <w:i/>
                <w:iCs/>
                <w:sz w:val="22"/>
                <w:szCs w:val="22"/>
              </w:rPr>
            </w:pPr>
            <w:r w:rsidRPr="00037AD4">
              <w:rPr>
                <w:rFonts w:asciiTheme="minorHAnsi" w:hAnsiTheme="minorHAnsi" w:cstheme="minorHAnsi"/>
                <w:b/>
                <w:bCs/>
              </w:rPr>
              <w:t>Mobility</w:t>
            </w:r>
            <w:r w:rsidRPr="00037AD4">
              <w:rPr>
                <w:rFonts w:asciiTheme="minorHAnsi" w:hAnsiTheme="minorHAnsi" w:cstheme="minorHAnsi"/>
                <w:i/>
                <w:iCs/>
                <w:sz w:val="22"/>
                <w:szCs w:val="22"/>
              </w:rPr>
              <w:t xml:space="preserve"> </w:t>
            </w:r>
          </w:p>
          <w:p w14:paraId="21CD7D98" w14:textId="77777777" w:rsidR="00B54D51" w:rsidRPr="00037AD4" w:rsidRDefault="00B54D51" w:rsidP="008F00F0">
            <w:pPr>
              <w:rPr>
                <w:rFonts w:asciiTheme="minorHAnsi" w:hAnsiTheme="minorHAnsi" w:cstheme="minorHAnsi"/>
                <w:i/>
                <w:iCs/>
                <w:sz w:val="22"/>
                <w:szCs w:val="22"/>
              </w:rPr>
            </w:pPr>
            <w:r w:rsidRPr="00037AD4">
              <w:rPr>
                <w:rFonts w:asciiTheme="minorHAnsi" w:hAnsiTheme="minorHAnsi" w:cstheme="minorHAnsi"/>
                <w:i/>
                <w:iCs/>
                <w:sz w:val="22"/>
                <w:szCs w:val="22"/>
              </w:rPr>
              <w:t>PwD</w:t>
            </w:r>
          </w:p>
          <w:p w14:paraId="6357F873" w14:textId="77777777" w:rsidR="00B54D51" w:rsidRPr="00037AD4" w:rsidRDefault="00B54D51" w:rsidP="008F00F0">
            <w:pPr>
              <w:rPr>
                <w:rFonts w:asciiTheme="minorHAnsi" w:hAnsiTheme="minorHAnsi" w:cstheme="minorHAnsi"/>
                <w:i/>
                <w:iCs/>
                <w:sz w:val="22"/>
                <w:szCs w:val="22"/>
              </w:rPr>
            </w:pPr>
            <w:r w:rsidRPr="00037AD4">
              <w:rPr>
                <w:rFonts w:asciiTheme="minorHAnsi" w:hAnsiTheme="minorHAnsi" w:cstheme="minorHAnsi"/>
                <w:i/>
                <w:iCs/>
                <w:sz w:val="22"/>
                <w:szCs w:val="22"/>
              </w:rPr>
              <w:t>Informal proxy</w:t>
            </w:r>
          </w:p>
          <w:p w14:paraId="40E33183" w14:textId="77777777" w:rsidR="00B54D51" w:rsidRPr="00037AD4" w:rsidRDefault="00B54D51" w:rsidP="008F00F0">
            <w:pPr>
              <w:rPr>
                <w:rFonts w:asciiTheme="minorHAnsi" w:hAnsiTheme="minorHAnsi" w:cstheme="minorHAnsi"/>
                <w:i/>
                <w:iCs/>
                <w:sz w:val="22"/>
                <w:szCs w:val="22"/>
              </w:rPr>
            </w:pPr>
            <w:r w:rsidRPr="00037AD4">
              <w:rPr>
                <w:rFonts w:asciiTheme="minorHAnsi" w:hAnsiTheme="minorHAnsi" w:cstheme="minorHAnsi"/>
                <w:i/>
                <w:iCs/>
                <w:sz w:val="22"/>
                <w:szCs w:val="22"/>
              </w:rPr>
              <w:t xml:space="preserve">Staff proxy </w:t>
            </w:r>
          </w:p>
        </w:tc>
        <w:tc>
          <w:tcPr>
            <w:tcW w:w="0" w:type="auto"/>
          </w:tcPr>
          <w:p w14:paraId="66EF5158" w14:textId="77777777" w:rsidR="00B54D51" w:rsidRPr="00037AD4" w:rsidRDefault="00B54D51" w:rsidP="008F00F0">
            <w:pPr>
              <w:rPr>
                <w:rFonts w:asciiTheme="minorHAnsi" w:hAnsiTheme="minorHAnsi" w:cstheme="minorHAnsi"/>
              </w:rPr>
            </w:pPr>
          </w:p>
          <w:p w14:paraId="0610863F"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-0.04</w:t>
            </w:r>
          </w:p>
          <w:p w14:paraId="42FADA3B"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0.27*</w:t>
            </w:r>
          </w:p>
          <w:p w14:paraId="2C92DDE1"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0.31*</w:t>
            </w:r>
          </w:p>
        </w:tc>
        <w:tc>
          <w:tcPr>
            <w:tcW w:w="0" w:type="auto"/>
          </w:tcPr>
          <w:p w14:paraId="1956CF6A" w14:textId="77777777" w:rsidR="00B54D51" w:rsidRPr="00037AD4" w:rsidRDefault="00B54D51" w:rsidP="008F00F0">
            <w:pPr>
              <w:rPr>
                <w:rFonts w:asciiTheme="minorHAnsi" w:hAnsiTheme="minorHAnsi" w:cstheme="minorHAnsi"/>
              </w:rPr>
            </w:pPr>
          </w:p>
          <w:p w14:paraId="325FE4B5"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0.05</w:t>
            </w:r>
          </w:p>
          <w:p w14:paraId="23D5CD5F"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0.31*</w:t>
            </w:r>
          </w:p>
          <w:p w14:paraId="5C347247"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0.37*</w:t>
            </w:r>
          </w:p>
        </w:tc>
        <w:tc>
          <w:tcPr>
            <w:tcW w:w="0" w:type="auto"/>
          </w:tcPr>
          <w:p w14:paraId="6310F38B" w14:textId="77777777" w:rsidR="00B54D51" w:rsidRPr="00037AD4" w:rsidRDefault="00B54D51" w:rsidP="008F00F0">
            <w:pPr>
              <w:rPr>
                <w:rFonts w:asciiTheme="minorHAnsi" w:hAnsiTheme="minorHAnsi" w:cstheme="minorHAnsi"/>
              </w:rPr>
            </w:pPr>
          </w:p>
          <w:p w14:paraId="1C5C0EF7"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-0.05</w:t>
            </w:r>
          </w:p>
          <w:p w14:paraId="12B6C9B0"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0.31*</w:t>
            </w:r>
          </w:p>
          <w:p w14:paraId="09642202"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-0.07*</w:t>
            </w:r>
          </w:p>
        </w:tc>
      </w:tr>
      <w:tr w:rsidR="00B54D51" w:rsidRPr="00037AD4" w14:paraId="24F549FD" w14:textId="77777777" w:rsidTr="008F00F0">
        <w:trPr>
          <w:trHeight w:val="620"/>
        </w:trPr>
        <w:tc>
          <w:tcPr>
            <w:tcW w:w="0" w:type="auto"/>
          </w:tcPr>
          <w:p w14:paraId="07BCEC1C" w14:textId="77777777" w:rsidR="00B54D51" w:rsidRPr="00037AD4" w:rsidRDefault="00B54D51" w:rsidP="008F00F0">
            <w:pPr>
              <w:rPr>
                <w:rFonts w:asciiTheme="minorHAnsi" w:hAnsiTheme="minorHAnsi" w:cstheme="minorHAnsi"/>
                <w:b/>
                <w:bCs/>
              </w:rPr>
            </w:pPr>
            <w:r w:rsidRPr="00037AD4">
              <w:rPr>
                <w:rFonts w:asciiTheme="minorHAnsi" w:hAnsiTheme="minorHAnsi" w:cstheme="minorHAnsi"/>
                <w:b/>
                <w:bCs/>
              </w:rPr>
              <w:t>Self-care</w:t>
            </w:r>
          </w:p>
          <w:p w14:paraId="75BA9F9F" w14:textId="77777777" w:rsidR="00B54D51" w:rsidRPr="00037AD4" w:rsidRDefault="00B54D51" w:rsidP="008F00F0">
            <w:pPr>
              <w:rPr>
                <w:rFonts w:asciiTheme="minorHAnsi" w:hAnsiTheme="minorHAnsi" w:cstheme="minorHAnsi"/>
                <w:i/>
                <w:iCs/>
                <w:sz w:val="22"/>
                <w:szCs w:val="22"/>
              </w:rPr>
            </w:pPr>
            <w:r w:rsidRPr="00037AD4">
              <w:rPr>
                <w:rFonts w:asciiTheme="minorHAnsi" w:hAnsiTheme="minorHAnsi" w:cstheme="minorHAnsi"/>
                <w:i/>
                <w:iCs/>
                <w:sz w:val="22"/>
                <w:szCs w:val="22"/>
              </w:rPr>
              <w:t>PwD</w:t>
            </w:r>
          </w:p>
          <w:p w14:paraId="138A9279" w14:textId="77777777" w:rsidR="00B54D51" w:rsidRPr="00037AD4" w:rsidRDefault="00B54D51" w:rsidP="008F00F0">
            <w:pPr>
              <w:rPr>
                <w:rFonts w:asciiTheme="minorHAnsi" w:hAnsiTheme="minorHAnsi" w:cstheme="minorHAnsi"/>
                <w:i/>
                <w:iCs/>
                <w:sz w:val="22"/>
                <w:szCs w:val="22"/>
              </w:rPr>
            </w:pPr>
            <w:r w:rsidRPr="00037AD4">
              <w:rPr>
                <w:rFonts w:asciiTheme="minorHAnsi" w:hAnsiTheme="minorHAnsi" w:cstheme="minorHAnsi"/>
                <w:i/>
                <w:iCs/>
                <w:sz w:val="22"/>
                <w:szCs w:val="22"/>
              </w:rPr>
              <w:t>Informal proxy</w:t>
            </w:r>
          </w:p>
          <w:p w14:paraId="4621DB3D" w14:textId="77777777" w:rsidR="00B54D51" w:rsidRPr="00037AD4" w:rsidRDefault="00B54D51" w:rsidP="008F00F0">
            <w:pPr>
              <w:rPr>
                <w:rFonts w:asciiTheme="minorHAnsi" w:hAnsiTheme="minorHAnsi" w:cstheme="minorHAnsi"/>
                <w:sz w:val="22"/>
                <w:szCs w:val="22"/>
              </w:rPr>
            </w:pPr>
            <w:r w:rsidRPr="00037AD4">
              <w:rPr>
                <w:rFonts w:asciiTheme="minorHAnsi" w:hAnsiTheme="minorHAnsi" w:cstheme="minorHAnsi"/>
                <w:i/>
                <w:iCs/>
                <w:sz w:val="22"/>
                <w:szCs w:val="22"/>
              </w:rPr>
              <w:t>Staff proxy</w:t>
            </w:r>
          </w:p>
        </w:tc>
        <w:tc>
          <w:tcPr>
            <w:tcW w:w="0" w:type="auto"/>
          </w:tcPr>
          <w:p w14:paraId="1BE47E3E" w14:textId="77777777" w:rsidR="00B54D51" w:rsidRPr="00037AD4" w:rsidRDefault="00B54D51" w:rsidP="008F00F0">
            <w:pPr>
              <w:rPr>
                <w:rFonts w:asciiTheme="minorHAnsi" w:hAnsiTheme="minorHAnsi" w:cstheme="minorHAnsi"/>
              </w:rPr>
            </w:pPr>
          </w:p>
          <w:p w14:paraId="27CBC427"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0.05</w:t>
            </w:r>
          </w:p>
          <w:p w14:paraId="4F30C56A"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0.51*</w:t>
            </w:r>
          </w:p>
          <w:p w14:paraId="1D1244A8"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0.55*</w:t>
            </w:r>
          </w:p>
        </w:tc>
        <w:tc>
          <w:tcPr>
            <w:tcW w:w="0" w:type="auto"/>
          </w:tcPr>
          <w:p w14:paraId="60E0B001" w14:textId="77777777" w:rsidR="00B54D51" w:rsidRPr="00037AD4" w:rsidRDefault="00B54D51" w:rsidP="008F00F0">
            <w:pPr>
              <w:rPr>
                <w:rFonts w:asciiTheme="minorHAnsi" w:hAnsiTheme="minorHAnsi" w:cstheme="minorHAnsi"/>
              </w:rPr>
            </w:pPr>
          </w:p>
          <w:p w14:paraId="26CD0170"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0.10*</w:t>
            </w:r>
          </w:p>
          <w:p w14:paraId="21BCEED2"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0.53*</w:t>
            </w:r>
          </w:p>
          <w:p w14:paraId="6822AC8D"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0.54*</w:t>
            </w:r>
          </w:p>
        </w:tc>
        <w:tc>
          <w:tcPr>
            <w:tcW w:w="0" w:type="auto"/>
          </w:tcPr>
          <w:p w14:paraId="15429B41" w14:textId="77777777" w:rsidR="00B54D51" w:rsidRPr="00037AD4" w:rsidRDefault="00B54D51" w:rsidP="008F00F0">
            <w:pPr>
              <w:rPr>
                <w:rFonts w:asciiTheme="minorHAnsi" w:hAnsiTheme="minorHAnsi" w:cstheme="minorHAnsi"/>
              </w:rPr>
            </w:pPr>
          </w:p>
          <w:p w14:paraId="374AD405"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0.03</w:t>
            </w:r>
          </w:p>
          <w:p w14:paraId="4CB4A1A0"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0.53*</w:t>
            </w:r>
          </w:p>
          <w:p w14:paraId="48A960D9"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0.15*</w:t>
            </w:r>
          </w:p>
        </w:tc>
      </w:tr>
      <w:tr w:rsidR="00B54D51" w:rsidRPr="00037AD4" w14:paraId="33939135" w14:textId="77777777" w:rsidTr="008F00F0">
        <w:trPr>
          <w:trHeight w:val="633"/>
        </w:trPr>
        <w:tc>
          <w:tcPr>
            <w:tcW w:w="0" w:type="auto"/>
          </w:tcPr>
          <w:p w14:paraId="71242AA0" w14:textId="77777777" w:rsidR="00B54D51" w:rsidRPr="00037AD4" w:rsidRDefault="00B54D51" w:rsidP="008F00F0">
            <w:pPr>
              <w:rPr>
                <w:rFonts w:asciiTheme="minorHAnsi" w:hAnsiTheme="minorHAnsi" w:cstheme="minorHAnsi"/>
                <w:b/>
                <w:bCs/>
              </w:rPr>
            </w:pPr>
            <w:r w:rsidRPr="00037AD4">
              <w:rPr>
                <w:rFonts w:asciiTheme="minorHAnsi" w:hAnsiTheme="minorHAnsi" w:cstheme="minorHAnsi"/>
                <w:b/>
                <w:bCs/>
              </w:rPr>
              <w:t xml:space="preserve">Usual activities </w:t>
            </w:r>
          </w:p>
          <w:p w14:paraId="1384336A" w14:textId="77777777" w:rsidR="00B54D51" w:rsidRPr="00037AD4" w:rsidRDefault="00B54D51" w:rsidP="008F00F0">
            <w:pPr>
              <w:rPr>
                <w:rFonts w:asciiTheme="minorHAnsi" w:hAnsiTheme="minorHAnsi" w:cstheme="minorHAnsi"/>
                <w:i/>
                <w:iCs/>
                <w:sz w:val="22"/>
                <w:szCs w:val="22"/>
              </w:rPr>
            </w:pPr>
            <w:r w:rsidRPr="00037AD4">
              <w:rPr>
                <w:rFonts w:asciiTheme="minorHAnsi" w:hAnsiTheme="minorHAnsi" w:cstheme="minorHAnsi"/>
                <w:i/>
                <w:iCs/>
                <w:sz w:val="22"/>
                <w:szCs w:val="22"/>
              </w:rPr>
              <w:t>PwD</w:t>
            </w:r>
          </w:p>
          <w:p w14:paraId="51B52394" w14:textId="77777777" w:rsidR="00B54D51" w:rsidRPr="00037AD4" w:rsidRDefault="00B54D51" w:rsidP="008F00F0">
            <w:pPr>
              <w:rPr>
                <w:rFonts w:asciiTheme="minorHAnsi" w:hAnsiTheme="minorHAnsi" w:cstheme="minorHAnsi"/>
                <w:i/>
                <w:iCs/>
                <w:sz w:val="22"/>
                <w:szCs w:val="22"/>
              </w:rPr>
            </w:pPr>
            <w:r w:rsidRPr="00037AD4">
              <w:rPr>
                <w:rFonts w:asciiTheme="minorHAnsi" w:hAnsiTheme="minorHAnsi" w:cstheme="minorHAnsi"/>
                <w:i/>
                <w:iCs/>
                <w:sz w:val="22"/>
                <w:szCs w:val="22"/>
              </w:rPr>
              <w:t>Informal proxy</w:t>
            </w:r>
          </w:p>
          <w:p w14:paraId="2D22B5D7" w14:textId="77777777" w:rsidR="00B54D51" w:rsidRPr="00037AD4" w:rsidRDefault="00B54D51" w:rsidP="008F00F0">
            <w:pPr>
              <w:rPr>
                <w:rFonts w:asciiTheme="minorHAnsi" w:hAnsiTheme="minorHAnsi" w:cstheme="minorHAnsi"/>
                <w:sz w:val="22"/>
                <w:szCs w:val="22"/>
              </w:rPr>
            </w:pPr>
            <w:r w:rsidRPr="00037AD4">
              <w:rPr>
                <w:rFonts w:asciiTheme="minorHAnsi" w:hAnsiTheme="minorHAnsi" w:cstheme="minorHAnsi"/>
                <w:i/>
                <w:iCs/>
                <w:sz w:val="22"/>
                <w:szCs w:val="22"/>
              </w:rPr>
              <w:t>Staff proxy</w:t>
            </w:r>
          </w:p>
        </w:tc>
        <w:tc>
          <w:tcPr>
            <w:tcW w:w="0" w:type="auto"/>
          </w:tcPr>
          <w:p w14:paraId="27A6C11D" w14:textId="77777777" w:rsidR="00B54D51" w:rsidRPr="00037AD4" w:rsidRDefault="00B54D51" w:rsidP="008F00F0">
            <w:pPr>
              <w:rPr>
                <w:rFonts w:asciiTheme="minorHAnsi" w:hAnsiTheme="minorHAnsi" w:cstheme="minorHAnsi"/>
              </w:rPr>
            </w:pPr>
          </w:p>
          <w:p w14:paraId="434B3E5E"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0.02</w:t>
            </w:r>
          </w:p>
          <w:p w14:paraId="38A464E8"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0.36*</w:t>
            </w:r>
          </w:p>
          <w:p w14:paraId="15BFDA12"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0.32*</w:t>
            </w:r>
          </w:p>
        </w:tc>
        <w:tc>
          <w:tcPr>
            <w:tcW w:w="0" w:type="auto"/>
          </w:tcPr>
          <w:p w14:paraId="7C1DAA72" w14:textId="77777777" w:rsidR="00B54D51" w:rsidRPr="00037AD4" w:rsidRDefault="00B54D51" w:rsidP="008F00F0">
            <w:pPr>
              <w:rPr>
                <w:rFonts w:asciiTheme="minorHAnsi" w:hAnsiTheme="minorHAnsi" w:cstheme="minorHAnsi"/>
              </w:rPr>
            </w:pPr>
          </w:p>
          <w:p w14:paraId="1920C350"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0.03</w:t>
            </w:r>
          </w:p>
          <w:p w14:paraId="18F19D1F"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0.36*</w:t>
            </w:r>
          </w:p>
          <w:p w14:paraId="08256590"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0.31*</w:t>
            </w:r>
          </w:p>
        </w:tc>
        <w:tc>
          <w:tcPr>
            <w:tcW w:w="0" w:type="auto"/>
          </w:tcPr>
          <w:p w14:paraId="1DB5FABD" w14:textId="77777777" w:rsidR="00B54D51" w:rsidRPr="00037AD4" w:rsidRDefault="00B54D51" w:rsidP="008F00F0">
            <w:pPr>
              <w:rPr>
                <w:rFonts w:asciiTheme="minorHAnsi" w:hAnsiTheme="minorHAnsi" w:cstheme="minorHAnsi"/>
              </w:rPr>
            </w:pPr>
          </w:p>
          <w:p w14:paraId="6960EBB1"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-0.01</w:t>
            </w:r>
          </w:p>
          <w:p w14:paraId="463EC6A2"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0.36*</w:t>
            </w:r>
          </w:p>
          <w:p w14:paraId="71570CD1"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0.18*</w:t>
            </w:r>
          </w:p>
        </w:tc>
      </w:tr>
      <w:tr w:rsidR="00B54D51" w:rsidRPr="00037AD4" w14:paraId="2024DCD9" w14:textId="77777777" w:rsidTr="008F00F0">
        <w:trPr>
          <w:trHeight w:val="315"/>
        </w:trPr>
        <w:tc>
          <w:tcPr>
            <w:tcW w:w="0" w:type="auto"/>
          </w:tcPr>
          <w:p w14:paraId="3F366BA8" w14:textId="77777777" w:rsidR="00B54D51" w:rsidRPr="00037AD4" w:rsidRDefault="00B54D51" w:rsidP="008F00F0">
            <w:pPr>
              <w:rPr>
                <w:rFonts w:asciiTheme="minorHAnsi" w:hAnsiTheme="minorHAnsi" w:cstheme="minorHAnsi"/>
                <w:b/>
                <w:bCs/>
              </w:rPr>
            </w:pPr>
            <w:r w:rsidRPr="00037AD4">
              <w:rPr>
                <w:rFonts w:asciiTheme="minorHAnsi" w:hAnsiTheme="minorHAnsi" w:cstheme="minorHAnsi"/>
                <w:b/>
                <w:bCs/>
              </w:rPr>
              <w:t>Pain/discomfort</w:t>
            </w:r>
          </w:p>
          <w:p w14:paraId="25CCD7DC" w14:textId="77777777" w:rsidR="00B54D51" w:rsidRPr="00037AD4" w:rsidRDefault="00B54D51" w:rsidP="008F00F0">
            <w:pPr>
              <w:rPr>
                <w:rFonts w:asciiTheme="minorHAnsi" w:hAnsiTheme="minorHAnsi" w:cstheme="minorHAnsi"/>
                <w:i/>
                <w:iCs/>
                <w:sz w:val="22"/>
                <w:szCs w:val="22"/>
              </w:rPr>
            </w:pPr>
            <w:r w:rsidRPr="00037AD4">
              <w:rPr>
                <w:rFonts w:asciiTheme="minorHAnsi" w:hAnsiTheme="minorHAnsi" w:cstheme="minorHAnsi"/>
                <w:i/>
                <w:iCs/>
                <w:sz w:val="22"/>
                <w:szCs w:val="22"/>
              </w:rPr>
              <w:t>PwD</w:t>
            </w:r>
          </w:p>
          <w:p w14:paraId="3E81E5DE" w14:textId="77777777" w:rsidR="00B54D51" w:rsidRPr="00037AD4" w:rsidRDefault="00B54D51" w:rsidP="008F00F0">
            <w:pPr>
              <w:rPr>
                <w:rFonts w:asciiTheme="minorHAnsi" w:hAnsiTheme="minorHAnsi" w:cstheme="minorHAnsi"/>
                <w:i/>
                <w:iCs/>
                <w:sz w:val="22"/>
                <w:szCs w:val="22"/>
              </w:rPr>
            </w:pPr>
            <w:r w:rsidRPr="00037AD4">
              <w:rPr>
                <w:rFonts w:asciiTheme="minorHAnsi" w:hAnsiTheme="minorHAnsi" w:cstheme="minorHAnsi"/>
                <w:i/>
                <w:iCs/>
                <w:sz w:val="22"/>
                <w:szCs w:val="22"/>
              </w:rPr>
              <w:t>Informal proxy</w:t>
            </w:r>
          </w:p>
          <w:p w14:paraId="185C526A" w14:textId="77777777" w:rsidR="00B54D51" w:rsidRPr="00037AD4" w:rsidRDefault="00B54D51" w:rsidP="008F00F0">
            <w:pPr>
              <w:rPr>
                <w:rFonts w:asciiTheme="minorHAnsi" w:hAnsiTheme="minorHAnsi" w:cstheme="minorHAnsi"/>
                <w:sz w:val="22"/>
                <w:szCs w:val="22"/>
              </w:rPr>
            </w:pPr>
            <w:r w:rsidRPr="00037AD4">
              <w:rPr>
                <w:rFonts w:asciiTheme="minorHAnsi" w:hAnsiTheme="minorHAnsi" w:cstheme="minorHAnsi"/>
                <w:i/>
                <w:iCs/>
                <w:sz w:val="22"/>
                <w:szCs w:val="22"/>
              </w:rPr>
              <w:t>Staff proxy</w:t>
            </w:r>
          </w:p>
        </w:tc>
        <w:tc>
          <w:tcPr>
            <w:tcW w:w="0" w:type="auto"/>
          </w:tcPr>
          <w:p w14:paraId="28D25B0A" w14:textId="77777777" w:rsidR="00B54D51" w:rsidRPr="00037AD4" w:rsidRDefault="00B54D51" w:rsidP="008F00F0">
            <w:pPr>
              <w:rPr>
                <w:rFonts w:asciiTheme="minorHAnsi" w:hAnsiTheme="minorHAnsi" w:cstheme="minorHAnsi"/>
              </w:rPr>
            </w:pPr>
          </w:p>
          <w:p w14:paraId="28FB60C2"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-0.02</w:t>
            </w:r>
          </w:p>
          <w:p w14:paraId="4EBBA8F3"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-0.07</w:t>
            </w:r>
          </w:p>
          <w:p w14:paraId="104D4E25"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-0.01</w:t>
            </w:r>
          </w:p>
        </w:tc>
        <w:tc>
          <w:tcPr>
            <w:tcW w:w="0" w:type="auto"/>
          </w:tcPr>
          <w:p w14:paraId="00BB8915" w14:textId="77777777" w:rsidR="00B54D51" w:rsidRPr="00037AD4" w:rsidRDefault="00B54D51" w:rsidP="008F00F0">
            <w:pPr>
              <w:rPr>
                <w:rFonts w:asciiTheme="minorHAnsi" w:hAnsiTheme="minorHAnsi" w:cstheme="minorHAnsi"/>
              </w:rPr>
            </w:pPr>
          </w:p>
          <w:p w14:paraId="3586A17A"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0.03</w:t>
            </w:r>
          </w:p>
          <w:p w14:paraId="08ED9DAA"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-0.09</w:t>
            </w:r>
          </w:p>
          <w:p w14:paraId="1EC6479F"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-0.00</w:t>
            </w:r>
          </w:p>
        </w:tc>
        <w:tc>
          <w:tcPr>
            <w:tcW w:w="0" w:type="auto"/>
          </w:tcPr>
          <w:p w14:paraId="37B64F77" w14:textId="77777777" w:rsidR="00B54D51" w:rsidRPr="00037AD4" w:rsidRDefault="00B54D51" w:rsidP="008F00F0">
            <w:pPr>
              <w:rPr>
                <w:rFonts w:asciiTheme="minorHAnsi" w:hAnsiTheme="minorHAnsi" w:cstheme="minorHAnsi"/>
              </w:rPr>
            </w:pPr>
          </w:p>
          <w:p w14:paraId="6813649D"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0.04</w:t>
            </w:r>
          </w:p>
          <w:p w14:paraId="4B07D9D0"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-0.03</w:t>
            </w:r>
          </w:p>
          <w:p w14:paraId="073BE74B"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0.13*</w:t>
            </w:r>
          </w:p>
        </w:tc>
      </w:tr>
      <w:tr w:rsidR="00B54D51" w:rsidRPr="00037AD4" w14:paraId="748E21F1" w14:textId="77777777" w:rsidTr="008F00F0">
        <w:trPr>
          <w:trHeight w:val="658"/>
        </w:trPr>
        <w:tc>
          <w:tcPr>
            <w:tcW w:w="0" w:type="auto"/>
          </w:tcPr>
          <w:p w14:paraId="413937F0" w14:textId="77777777" w:rsidR="00B54D51" w:rsidRPr="00037AD4" w:rsidRDefault="00B54D51" w:rsidP="008F00F0">
            <w:pPr>
              <w:rPr>
                <w:rFonts w:asciiTheme="minorHAnsi" w:hAnsiTheme="minorHAnsi" w:cstheme="minorHAnsi"/>
              </w:rPr>
            </w:pPr>
            <w:r w:rsidRPr="00037AD4">
              <w:rPr>
                <w:rFonts w:asciiTheme="minorHAnsi" w:hAnsiTheme="minorHAnsi" w:cstheme="minorHAnsi"/>
                <w:b/>
                <w:bCs/>
              </w:rPr>
              <w:t>Anxiety/depression</w:t>
            </w:r>
          </w:p>
          <w:p w14:paraId="4B23DA7D" w14:textId="77777777" w:rsidR="00B54D51" w:rsidRPr="00037AD4" w:rsidRDefault="00B54D51" w:rsidP="008F00F0">
            <w:pPr>
              <w:rPr>
                <w:rFonts w:asciiTheme="minorHAnsi" w:hAnsiTheme="minorHAnsi" w:cstheme="minorHAnsi"/>
                <w:i/>
                <w:iCs/>
                <w:sz w:val="22"/>
                <w:szCs w:val="22"/>
              </w:rPr>
            </w:pPr>
            <w:r w:rsidRPr="00037AD4">
              <w:rPr>
                <w:rFonts w:asciiTheme="minorHAnsi" w:hAnsiTheme="minorHAnsi" w:cstheme="minorHAnsi"/>
                <w:i/>
                <w:iCs/>
                <w:sz w:val="22"/>
                <w:szCs w:val="22"/>
              </w:rPr>
              <w:t>PwD</w:t>
            </w:r>
          </w:p>
          <w:p w14:paraId="3981C141" w14:textId="77777777" w:rsidR="00B54D51" w:rsidRPr="00037AD4" w:rsidRDefault="00B54D51" w:rsidP="008F00F0">
            <w:pPr>
              <w:rPr>
                <w:rFonts w:asciiTheme="minorHAnsi" w:hAnsiTheme="minorHAnsi" w:cstheme="minorHAnsi"/>
                <w:i/>
                <w:iCs/>
                <w:sz w:val="22"/>
                <w:szCs w:val="22"/>
              </w:rPr>
            </w:pPr>
            <w:r w:rsidRPr="00037AD4">
              <w:rPr>
                <w:rFonts w:asciiTheme="minorHAnsi" w:hAnsiTheme="minorHAnsi" w:cstheme="minorHAnsi"/>
                <w:i/>
                <w:iCs/>
                <w:sz w:val="22"/>
                <w:szCs w:val="22"/>
              </w:rPr>
              <w:t>Informal proxy</w:t>
            </w:r>
          </w:p>
          <w:p w14:paraId="41DFBE45" w14:textId="77777777" w:rsidR="00B54D51" w:rsidRPr="00037AD4" w:rsidRDefault="00B54D51" w:rsidP="008F00F0">
            <w:pPr>
              <w:rPr>
                <w:rFonts w:asciiTheme="minorHAnsi" w:hAnsiTheme="minorHAnsi" w:cstheme="minorHAnsi"/>
                <w:sz w:val="22"/>
                <w:szCs w:val="22"/>
              </w:rPr>
            </w:pPr>
            <w:r w:rsidRPr="00037AD4">
              <w:rPr>
                <w:rFonts w:asciiTheme="minorHAnsi" w:hAnsiTheme="minorHAnsi" w:cstheme="minorHAnsi"/>
                <w:i/>
                <w:iCs/>
                <w:sz w:val="22"/>
                <w:szCs w:val="22"/>
              </w:rPr>
              <w:t>Staff proxy</w:t>
            </w:r>
          </w:p>
        </w:tc>
        <w:tc>
          <w:tcPr>
            <w:tcW w:w="0" w:type="auto"/>
          </w:tcPr>
          <w:p w14:paraId="3F9326DF" w14:textId="77777777" w:rsidR="00B54D51" w:rsidRPr="00037AD4" w:rsidRDefault="00B54D51" w:rsidP="008F00F0">
            <w:pPr>
              <w:rPr>
                <w:rFonts w:asciiTheme="minorHAnsi" w:hAnsiTheme="minorHAnsi" w:cstheme="minorHAnsi"/>
              </w:rPr>
            </w:pPr>
          </w:p>
          <w:p w14:paraId="0B470FA2"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-0.06</w:t>
            </w:r>
          </w:p>
          <w:p w14:paraId="402F6C6E"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-0.07</w:t>
            </w:r>
          </w:p>
          <w:p w14:paraId="765F82BD"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0.02</w:t>
            </w:r>
          </w:p>
        </w:tc>
        <w:tc>
          <w:tcPr>
            <w:tcW w:w="0" w:type="auto"/>
          </w:tcPr>
          <w:p w14:paraId="49277124" w14:textId="77777777" w:rsidR="00B54D51" w:rsidRPr="00037AD4" w:rsidRDefault="00B54D51" w:rsidP="008F00F0">
            <w:pPr>
              <w:rPr>
                <w:rFonts w:asciiTheme="minorHAnsi" w:hAnsiTheme="minorHAnsi" w:cstheme="minorHAnsi"/>
              </w:rPr>
            </w:pPr>
          </w:p>
          <w:p w14:paraId="092C3BE3"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-0.05</w:t>
            </w:r>
          </w:p>
          <w:p w14:paraId="010223B9"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-0.08</w:t>
            </w:r>
          </w:p>
          <w:p w14:paraId="4A2122C9"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-0.00</w:t>
            </w:r>
          </w:p>
        </w:tc>
        <w:tc>
          <w:tcPr>
            <w:tcW w:w="0" w:type="auto"/>
          </w:tcPr>
          <w:p w14:paraId="744043CC" w14:textId="77777777" w:rsidR="00B54D51" w:rsidRPr="00037AD4" w:rsidRDefault="00B54D51" w:rsidP="008F00F0">
            <w:pPr>
              <w:rPr>
                <w:rFonts w:asciiTheme="minorHAnsi" w:hAnsiTheme="minorHAnsi" w:cstheme="minorHAnsi"/>
              </w:rPr>
            </w:pPr>
          </w:p>
          <w:p w14:paraId="6075D90D"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0.13*</w:t>
            </w:r>
          </w:p>
          <w:p w14:paraId="2414AFF3"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0.10</w:t>
            </w:r>
          </w:p>
          <w:p w14:paraId="48AECA27"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0.38*</w:t>
            </w:r>
          </w:p>
        </w:tc>
      </w:tr>
      <w:tr w:rsidR="00B54D51" w:rsidRPr="00037AD4" w14:paraId="60128179" w14:textId="77777777" w:rsidTr="008F00F0">
        <w:trPr>
          <w:trHeight w:val="735"/>
        </w:trPr>
        <w:tc>
          <w:tcPr>
            <w:tcW w:w="0" w:type="auto"/>
          </w:tcPr>
          <w:p w14:paraId="0BB90A59" w14:textId="77777777" w:rsidR="00B54D51" w:rsidRPr="00037AD4" w:rsidRDefault="00B54D51" w:rsidP="008F00F0">
            <w:pPr>
              <w:rPr>
                <w:rFonts w:asciiTheme="minorHAnsi" w:hAnsiTheme="minorHAnsi" w:cstheme="minorHAnsi"/>
                <w:b/>
                <w:bCs/>
              </w:rPr>
            </w:pPr>
            <w:r w:rsidRPr="00037AD4">
              <w:rPr>
                <w:rFonts w:asciiTheme="minorHAnsi" w:hAnsiTheme="minorHAnsi" w:cstheme="minorHAnsi"/>
                <w:b/>
                <w:bCs/>
              </w:rPr>
              <w:t>EQ-5D index score</w:t>
            </w:r>
          </w:p>
          <w:p w14:paraId="54CEAC1B" w14:textId="77777777" w:rsidR="00B54D51" w:rsidRPr="00037AD4" w:rsidRDefault="00B54D51" w:rsidP="008F00F0">
            <w:pPr>
              <w:rPr>
                <w:rFonts w:asciiTheme="minorHAnsi" w:hAnsiTheme="minorHAnsi" w:cstheme="minorHAnsi"/>
                <w:i/>
                <w:iCs/>
                <w:sz w:val="22"/>
                <w:szCs w:val="22"/>
              </w:rPr>
            </w:pPr>
            <w:r w:rsidRPr="00037AD4">
              <w:rPr>
                <w:rFonts w:asciiTheme="minorHAnsi" w:hAnsiTheme="minorHAnsi" w:cstheme="minorHAnsi"/>
                <w:i/>
                <w:iCs/>
                <w:sz w:val="22"/>
                <w:szCs w:val="22"/>
              </w:rPr>
              <w:t>PwD</w:t>
            </w:r>
          </w:p>
          <w:p w14:paraId="17AD755B" w14:textId="77777777" w:rsidR="00B54D51" w:rsidRPr="00037AD4" w:rsidRDefault="00B54D51" w:rsidP="008F00F0">
            <w:pPr>
              <w:rPr>
                <w:rFonts w:asciiTheme="minorHAnsi" w:hAnsiTheme="minorHAnsi" w:cstheme="minorHAnsi"/>
                <w:i/>
                <w:iCs/>
                <w:sz w:val="22"/>
                <w:szCs w:val="22"/>
              </w:rPr>
            </w:pPr>
            <w:r w:rsidRPr="00037AD4">
              <w:rPr>
                <w:rFonts w:asciiTheme="minorHAnsi" w:hAnsiTheme="minorHAnsi" w:cstheme="minorHAnsi"/>
                <w:i/>
                <w:iCs/>
                <w:sz w:val="22"/>
                <w:szCs w:val="22"/>
              </w:rPr>
              <w:t>Informal proxy</w:t>
            </w:r>
          </w:p>
          <w:p w14:paraId="747BECF6" w14:textId="77777777" w:rsidR="00B54D51" w:rsidRPr="00037AD4" w:rsidRDefault="00B54D51" w:rsidP="008F00F0">
            <w:pPr>
              <w:rPr>
                <w:rFonts w:asciiTheme="minorHAnsi" w:hAnsiTheme="minorHAnsi" w:cstheme="minorHAnsi"/>
                <w:b/>
                <w:bCs/>
                <w:sz w:val="22"/>
                <w:szCs w:val="22"/>
              </w:rPr>
            </w:pPr>
            <w:r w:rsidRPr="00037AD4">
              <w:rPr>
                <w:rFonts w:asciiTheme="minorHAnsi" w:hAnsiTheme="minorHAnsi" w:cstheme="minorHAnsi"/>
                <w:i/>
                <w:iCs/>
                <w:sz w:val="22"/>
                <w:szCs w:val="22"/>
              </w:rPr>
              <w:t>Staff proxy</w:t>
            </w:r>
          </w:p>
        </w:tc>
        <w:tc>
          <w:tcPr>
            <w:tcW w:w="0" w:type="auto"/>
          </w:tcPr>
          <w:p w14:paraId="513E8F74" w14:textId="77777777" w:rsidR="00B54D51" w:rsidRPr="00037AD4" w:rsidRDefault="00B54D51" w:rsidP="008F00F0">
            <w:pPr>
              <w:rPr>
                <w:rFonts w:asciiTheme="minorHAnsi" w:hAnsiTheme="minorHAnsi" w:cstheme="minorHAnsi"/>
              </w:rPr>
            </w:pPr>
          </w:p>
          <w:p w14:paraId="6812392B"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0.04</w:t>
            </w:r>
          </w:p>
          <w:p w14:paraId="1E281345"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-0.39*</w:t>
            </w:r>
          </w:p>
          <w:p w14:paraId="02780015"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-0.42*</w:t>
            </w:r>
          </w:p>
        </w:tc>
        <w:tc>
          <w:tcPr>
            <w:tcW w:w="0" w:type="auto"/>
          </w:tcPr>
          <w:p w14:paraId="50A7DA14" w14:textId="77777777" w:rsidR="00B54D51" w:rsidRPr="00037AD4" w:rsidRDefault="00B54D51" w:rsidP="008F00F0">
            <w:pPr>
              <w:rPr>
                <w:rFonts w:asciiTheme="minorHAnsi" w:hAnsiTheme="minorHAnsi" w:cstheme="minorHAnsi"/>
              </w:rPr>
            </w:pPr>
          </w:p>
          <w:p w14:paraId="526610CD"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-0.02</w:t>
            </w:r>
          </w:p>
          <w:p w14:paraId="309F69A8"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-0.42*</w:t>
            </w:r>
          </w:p>
          <w:p w14:paraId="6EA51C0F"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-0.42*</w:t>
            </w:r>
          </w:p>
        </w:tc>
        <w:tc>
          <w:tcPr>
            <w:tcW w:w="0" w:type="auto"/>
          </w:tcPr>
          <w:p w14:paraId="4F3256F9" w14:textId="77777777" w:rsidR="00B54D51" w:rsidRPr="00037AD4" w:rsidRDefault="00B54D51" w:rsidP="008F00F0">
            <w:pPr>
              <w:rPr>
                <w:rFonts w:asciiTheme="minorHAnsi" w:hAnsiTheme="minorHAnsi" w:cstheme="minorHAnsi"/>
              </w:rPr>
            </w:pPr>
          </w:p>
          <w:p w14:paraId="593F5B1C"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-0.08*</w:t>
            </w:r>
          </w:p>
          <w:p w14:paraId="6E97140A"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-0.10</w:t>
            </w:r>
          </w:p>
          <w:p w14:paraId="34E8BFCA"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-0.10*</w:t>
            </w:r>
          </w:p>
        </w:tc>
      </w:tr>
      <w:tr w:rsidR="00B54D51" w:rsidRPr="00037AD4" w14:paraId="6547BDB8" w14:textId="77777777" w:rsidTr="008F00F0">
        <w:trPr>
          <w:trHeight w:val="228"/>
        </w:trPr>
        <w:tc>
          <w:tcPr>
            <w:tcW w:w="0" w:type="auto"/>
            <w:gridSpan w:val="4"/>
          </w:tcPr>
          <w:p w14:paraId="40FDD7AC" w14:textId="77777777" w:rsidR="00B54D51" w:rsidRPr="00037AD4" w:rsidRDefault="00B54D51" w:rsidP="008F00F0">
            <w:pPr>
              <w:rPr>
                <w:rFonts w:asciiTheme="minorHAnsi" w:hAnsiTheme="minorHAnsi" w:cstheme="minorHAnsi"/>
                <w:sz w:val="22"/>
                <w:szCs w:val="22"/>
              </w:rPr>
            </w:pPr>
            <w:r w:rsidRPr="00037AD4">
              <w:rPr>
                <w:rFonts w:asciiTheme="minorHAnsi" w:hAnsiTheme="minorHAnsi" w:cstheme="minorHAnsi"/>
                <w:sz w:val="22"/>
                <w:szCs w:val="22"/>
              </w:rPr>
              <w:t>*p&lt;0.05; spearman’s rank correlation for EQ-5D dimensions and Pearson’s correlation for utility; CDR, clinical dementia rating; FAST, functional assessment staging tool for dementia; NPI, neuropsychiatric inventory</w:t>
            </w:r>
          </w:p>
        </w:tc>
      </w:tr>
    </w:tbl>
    <w:p w14:paraId="0C462CB0" w14:textId="77777777" w:rsidR="00B54D51" w:rsidRPr="00037AD4" w:rsidRDefault="00B54D51" w:rsidP="00FE3D6C">
      <w:pPr>
        <w:rPr>
          <w:rFonts w:asciiTheme="minorHAnsi" w:hAnsiTheme="minorHAnsi" w:cstheme="minorHAnsi"/>
          <w:b/>
          <w:bCs/>
          <w:sz w:val="26"/>
          <w:szCs w:val="26"/>
          <w:u w:val="single"/>
        </w:rPr>
      </w:pPr>
    </w:p>
    <w:p w14:paraId="7B2D248A" w14:textId="77777777" w:rsidR="00B54D51" w:rsidRPr="00037AD4" w:rsidRDefault="00B54D51" w:rsidP="007A43F9">
      <w:pPr>
        <w:pStyle w:val="Heading2"/>
      </w:pPr>
      <w:bookmarkStart w:id="334" w:name="_Toc175742310"/>
      <w:r w:rsidRPr="00037AD4">
        <w:t>4.5 Discussion</w:t>
      </w:r>
      <w:bookmarkEnd w:id="334"/>
      <w:r w:rsidRPr="00037AD4">
        <w:t xml:space="preserve"> </w:t>
      </w:r>
    </w:p>
    <w:p w14:paraId="0DDFC2B7" w14:textId="77777777" w:rsidR="00B54D51" w:rsidRPr="00037AD4" w:rsidRDefault="00B54D51" w:rsidP="001F0570">
      <w:pPr>
        <w:rPr>
          <w:rFonts w:asciiTheme="minorHAnsi" w:hAnsiTheme="minorHAnsi" w:cstheme="minorHAnsi"/>
        </w:rPr>
      </w:pPr>
    </w:p>
    <w:p w14:paraId="5C3D8E44" w14:textId="77777777" w:rsidR="00B54D51" w:rsidRPr="00037AD4" w:rsidRDefault="00B54D51" w:rsidP="001F0570">
      <w:pPr>
        <w:rPr>
          <w:rFonts w:asciiTheme="minorHAnsi" w:hAnsiTheme="minorHAnsi" w:cstheme="minorHAnsi"/>
        </w:rPr>
      </w:pPr>
      <w:r w:rsidRPr="00037AD4">
        <w:rPr>
          <w:rFonts w:asciiTheme="minorHAnsi" w:hAnsiTheme="minorHAnsi" w:cstheme="minorHAnsi"/>
        </w:rPr>
        <w:t xml:space="preserve">This chapter presents a detailed description of the datasets acquired from three distinct dementia trials (REMCARE, ACTIFCARE and EPIC). The summary statistics and preliminary analyses provide a report of the data that is tailored to the research interests of this thesis -distinct to the original trial papers, namely exploring dimension level evidence of EQ-5D and distinguishing between PwD and proxy reports. </w:t>
      </w:r>
    </w:p>
    <w:p w14:paraId="4087B1DA" w14:textId="77777777" w:rsidR="00B54D51" w:rsidRPr="00037AD4" w:rsidRDefault="00B54D51" w:rsidP="001F0570">
      <w:pPr>
        <w:rPr>
          <w:rFonts w:asciiTheme="minorHAnsi" w:hAnsiTheme="minorHAnsi" w:cstheme="minorHAnsi"/>
        </w:rPr>
      </w:pPr>
    </w:p>
    <w:p w14:paraId="30BEC84B" w14:textId="77777777" w:rsidR="00B54D51" w:rsidRPr="00037AD4" w:rsidRDefault="00B54D51" w:rsidP="007A43F9">
      <w:pPr>
        <w:pStyle w:val="Heading3"/>
      </w:pPr>
      <w:bookmarkStart w:id="335" w:name="_Toc175742311"/>
      <w:r w:rsidRPr="00037AD4">
        <w:t>4.5.1 Missing data</w:t>
      </w:r>
      <w:bookmarkEnd w:id="335"/>
      <w:r w:rsidRPr="00037AD4">
        <w:t xml:space="preserve"> </w:t>
      </w:r>
    </w:p>
    <w:p w14:paraId="2216C5C2" w14:textId="77777777" w:rsidR="00B54D51" w:rsidRPr="00037AD4" w:rsidRDefault="00B54D51" w:rsidP="001F0570">
      <w:pPr>
        <w:rPr>
          <w:rFonts w:asciiTheme="minorHAnsi" w:hAnsiTheme="minorHAnsi" w:cstheme="minorHAnsi"/>
        </w:rPr>
      </w:pPr>
    </w:p>
    <w:p w14:paraId="5EAD5527" w14:textId="77777777" w:rsidR="00B54D51" w:rsidRPr="00037AD4" w:rsidRDefault="00B54D51" w:rsidP="001F0570">
      <w:pPr>
        <w:rPr>
          <w:rFonts w:asciiTheme="minorHAnsi" w:hAnsiTheme="minorHAnsi" w:cstheme="minorHAnsi"/>
        </w:rPr>
      </w:pPr>
      <w:r w:rsidRPr="00037AD4">
        <w:rPr>
          <w:rFonts w:asciiTheme="minorHAnsi" w:hAnsiTheme="minorHAnsi" w:cstheme="minorHAnsi"/>
        </w:rPr>
        <w:t xml:space="preserve">When reviewing the missing data report, a consistent trend emerges showing that proxies provide a higher number of complete EQ-5D reports compared to the </w:t>
      </w:r>
    </w:p>
    <w:p w14:paraId="3AA8A36B" w14:textId="77777777" w:rsidR="00B54D51" w:rsidRPr="00037AD4" w:rsidRDefault="00B54D51" w:rsidP="001F0570">
      <w:pPr>
        <w:rPr>
          <w:rFonts w:asciiTheme="minorHAnsi" w:hAnsiTheme="minorHAnsi" w:cstheme="minorHAnsi"/>
        </w:rPr>
      </w:pPr>
      <w:r w:rsidRPr="00037AD4">
        <w:rPr>
          <w:rFonts w:asciiTheme="minorHAnsi" w:hAnsiTheme="minorHAnsi" w:cstheme="minorHAnsi"/>
        </w:rPr>
        <w:t xml:space="preserve">PwD. The “usual activities” dimension saw a higher number of missing observations across all three trial datasets. The increased missingness of this dimension could be attributed to </w:t>
      </w:r>
      <w:r w:rsidRPr="00037AD4">
        <w:rPr>
          <w:rFonts w:asciiTheme="minorHAnsi" w:hAnsiTheme="minorHAnsi" w:cstheme="minorHAnsi"/>
        </w:rPr>
        <w:lastRenderedPageBreak/>
        <w:t xml:space="preserve">challenges in interpretation. This challenge was explicitly raised and discussed during the PPIE group session, as reported in </w:t>
      </w:r>
      <w:hyperlink w:anchor="_2.5_Patient_and" w:history="1">
        <w:r w:rsidRPr="00B54D51">
          <w:rPr>
            <w:rStyle w:val="Hyperlink"/>
            <w:rFonts w:asciiTheme="minorHAnsi" w:hAnsiTheme="minorHAnsi" w:cstheme="minorHAnsi"/>
            <w:color w:val="000000" w:themeColor="text1"/>
            <w:u w:val="none"/>
          </w:rPr>
          <w:t>Section 2.5</w:t>
        </w:r>
      </w:hyperlink>
      <w:r w:rsidRPr="00037AD4">
        <w:rPr>
          <w:rFonts w:asciiTheme="minorHAnsi" w:hAnsiTheme="minorHAnsi" w:cstheme="minorHAnsi"/>
          <w:color w:val="000000" w:themeColor="text1"/>
        </w:rPr>
        <w:t>. The discussions highlighted the potential for different interpretations of the "usual activities</w:t>
      </w:r>
      <w:r w:rsidRPr="00037AD4">
        <w:rPr>
          <w:rFonts w:asciiTheme="minorHAnsi" w:hAnsiTheme="minorHAnsi" w:cstheme="minorHAnsi"/>
        </w:rPr>
        <w:t xml:space="preserve">" dimension. For example, people may consider this item in terms of how the PwD's usual activities have been affected since their dementia diagnosis or changes in residential setting. The PPIE group recommended providing clarifications for this dimension, acknowledging the challenges in its interpretation and the potential for respondents to skip items due to these difficulties. The PwD’s “usual activities” may have involved a wider range of pursuits in the past, however if no clear benchmark is proposed for how far back one is to report upon, issues in consistency are inevitable. It is important to be clear that the instrument asks about the person’s health on that particular day, and that response shift is to be expected. </w:t>
      </w:r>
    </w:p>
    <w:p w14:paraId="72920913" w14:textId="77777777" w:rsidR="00B54D51" w:rsidRPr="00037AD4" w:rsidRDefault="00B54D51" w:rsidP="001F0570">
      <w:pPr>
        <w:rPr>
          <w:rFonts w:asciiTheme="minorHAnsi" w:hAnsiTheme="minorHAnsi" w:cstheme="minorHAnsi"/>
        </w:rPr>
      </w:pPr>
    </w:p>
    <w:p w14:paraId="6773097F" w14:textId="77777777" w:rsidR="00B54D51" w:rsidRDefault="00B54D51" w:rsidP="001F0570">
      <w:pPr>
        <w:rPr>
          <w:rFonts w:asciiTheme="minorHAnsi" w:hAnsiTheme="minorHAnsi" w:cstheme="minorHAnsi"/>
        </w:rPr>
      </w:pPr>
      <w:r w:rsidRPr="00037AD4">
        <w:rPr>
          <w:rFonts w:asciiTheme="minorHAnsi" w:hAnsiTheme="minorHAnsi" w:cstheme="minorHAnsi"/>
        </w:rPr>
        <w:t xml:space="preserve">In addition to challenges with interpreting items, missingness of EQ-5D was found to be impacted by dementia severity. Specifically, people with more severe dementia were more likely to have missing EQ-5D responses. These factors may be interlinked, suggesting a potential connection between increased cognitive impairment and difficulties encountered by the PwD in completing PROMs – leading to omitted items. This finding highlights the importance of considering proxy assessments, particularly in the severe stages of dementia. Relying solely on PwD reports becomes increasingly difficult and potentially less reliable as cognitive impairment worsens, a finding that has been reported elsewhere </w:t>
      </w:r>
      <w:r>
        <w:rPr>
          <w:rFonts w:asciiTheme="minorHAnsi" w:hAnsiTheme="minorHAnsi" w:cstheme="minorHAnsi"/>
          <w:noProof/>
        </w:rPr>
        <w:t>(Keetharuth et al., 2022, Orgeta et al., 2015a)</w:t>
      </w:r>
      <w:r w:rsidRPr="00037AD4">
        <w:rPr>
          <w:rFonts w:asciiTheme="minorHAnsi" w:hAnsiTheme="minorHAnsi" w:cstheme="minorHAnsi"/>
        </w:rPr>
        <w:t>.</w:t>
      </w:r>
    </w:p>
    <w:p w14:paraId="50E54332" w14:textId="77777777" w:rsidR="007D5C30" w:rsidRDefault="007D5C30" w:rsidP="001F0570">
      <w:pPr>
        <w:rPr>
          <w:rFonts w:asciiTheme="minorHAnsi" w:hAnsiTheme="minorHAnsi" w:cstheme="minorHAnsi"/>
        </w:rPr>
      </w:pPr>
    </w:p>
    <w:p w14:paraId="395B7226" w14:textId="2B778CC2" w:rsidR="007D5C30" w:rsidRPr="00037AD4" w:rsidRDefault="007D5C30" w:rsidP="001F0570">
      <w:pPr>
        <w:rPr>
          <w:rFonts w:asciiTheme="minorHAnsi" w:hAnsiTheme="minorHAnsi" w:cstheme="minorHAnsi"/>
        </w:rPr>
      </w:pPr>
      <w:r>
        <w:rPr>
          <w:rFonts w:asciiTheme="minorHAnsi" w:hAnsiTheme="minorHAnsi" w:cstheme="minorHAnsi"/>
        </w:rPr>
        <w:t>As previously noted,</w:t>
      </w:r>
      <w:r w:rsidRPr="007D5C30">
        <w:rPr>
          <w:rFonts w:asciiTheme="minorHAnsi" w:hAnsiTheme="minorHAnsi" w:cstheme="minorHAnsi"/>
        </w:rPr>
        <w:t xml:space="preserve"> it was evident from the analysis</w:t>
      </w:r>
      <w:r>
        <w:rPr>
          <w:rFonts w:asciiTheme="minorHAnsi" w:hAnsiTheme="minorHAnsi" w:cstheme="minorHAnsi"/>
        </w:rPr>
        <w:t xml:space="preserve"> </w:t>
      </w:r>
      <w:r w:rsidRPr="007D5C30">
        <w:rPr>
          <w:rFonts w:asciiTheme="minorHAnsi" w:hAnsiTheme="minorHAnsi" w:cstheme="minorHAnsi"/>
        </w:rPr>
        <w:t xml:space="preserve">that the missingness of EQ-5D reports </w:t>
      </w:r>
      <w:r w:rsidR="00466A6E">
        <w:rPr>
          <w:rFonts w:asciiTheme="minorHAnsi" w:hAnsiTheme="minorHAnsi" w:cstheme="minorHAnsi"/>
        </w:rPr>
        <w:t>wa</w:t>
      </w:r>
      <w:r w:rsidRPr="007D5C30">
        <w:rPr>
          <w:rFonts w:asciiTheme="minorHAnsi" w:hAnsiTheme="minorHAnsi" w:cstheme="minorHAnsi"/>
        </w:rPr>
        <w:t xml:space="preserve">s associated with </w:t>
      </w:r>
      <w:r>
        <w:rPr>
          <w:rFonts w:asciiTheme="minorHAnsi" w:hAnsiTheme="minorHAnsi" w:cstheme="minorHAnsi"/>
        </w:rPr>
        <w:t>dementia</w:t>
      </w:r>
      <w:r w:rsidRPr="007D5C30">
        <w:rPr>
          <w:rFonts w:asciiTheme="minorHAnsi" w:hAnsiTheme="minorHAnsi" w:cstheme="minorHAnsi"/>
        </w:rPr>
        <w:t xml:space="preserve"> severit</w:t>
      </w:r>
      <w:r>
        <w:rPr>
          <w:rFonts w:asciiTheme="minorHAnsi" w:hAnsiTheme="minorHAnsi" w:cstheme="minorHAnsi"/>
        </w:rPr>
        <w:t>y</w:t>
      </w:r>
      <w:r w:rsidRPr="007D5C30">
        <w:rPr>
          <w:rFonts w:asciiTheme="minorHAnsi" w:hAnsiTheme="minorHAnsi" w:cstheme="minorHAnsi"/>
        </w:rPr>
        <w:t xml:space="preserve">. The finding that people with dementia who had missing EQ-5D data were significantly more likely to have worse dementia severity suggests that the data is not missing at random (NMAR). Given this NMAR nature, imputation methods such as multiple imputation or pattern mixture models were not </w:t>
      </w:r>
      <w:r>
        <w:rPr>
          <w:rFonts w:asciiTheme="minorHAnsi" w:hAnsiTheme="minorHAnsi" w:cstheme="minorHAnsi"/>
        </w:rPr>
        <w:t>considered to be</w:t>
      </w:r>
      <w:r w:rsidRPr="007D5C30">
        <w:rPr>
          <w:rFonts w:asciiTheme="minorHAnsi" w:hAnsiTheme="minorHAnsi" w:cstheme="minorHAnsi"/>
        </w:rPr>
        <w:t xml:space="preserve"> suitable</w:t>
      </w:r>
      <w:r>
        <w:rPr>
          <w:rFonts w:asciiTheme="minorHAnsi" w:hAnsiTheme="minorHAnsi" w:cstheme="minorHAnsi"/>
        </w:rPr>
        <w:t xml:space="preserve"> as the </w:t>
      </w:r>
      <w:r w:rsidRPr="007D5C30">
        <w:rPr>
          <w:rFonts w:asciiTheme="minorHAnsi" w:hAnsiTheme="minorHAnsi" w:cstheme="minorHAnsi"/>
        </w:rPr>
        <w:t>missing data at more severe dementia stages represents a pragmatic issue rather than a statistical anomaly. Addressing this missing data through imputation could introduce biases, misrepresenting the true condition and progression of dementia in the study population. Therefore, it was decided to maintain the integrity of the observed data patterns without imputation, acknowledging the practical challenges that led to the missing data.</w:t>
      </w:r>
    </w:p>
    <w:p w14:paraId="4340470C" w14:textId="77777777" w:rsidR="00B54D51" w:rsidRPr="00037AD4" w:rsidRDefault="00B54D51" w:rsidP="00FE3D6C">
      <w:pPr>
        <w:rPr>
          <w:rFonts w:asciiTheme="minorHAnsi" w:hAnsiTheme="minorHAnsi" w:cstheme="minorHAnsi"/>
          <w:b/>
          <w:bCs/>
          <w:u w:val="single"/>
        </w:rPr>
      </w:pPr>
    </w:p>
    <w:p w14:paraId="13F25F25" w14:textId="77777777" w:rsidR="00B54D51" w:rsidRPr="00037AD4" w:rsidRDefault="00B54D51" w:rsidP="007A43F9">
      <w:pPr>
        <w:pStyle w:val="Heading3"/>
      </w:pPr>
      <w:bookmarkStart w:id="336" w:name="_Toc175742312"/>
      <w:r w:rsidRPr="00037AD4">
        <w:t>4.5.2 Proxy selection and administration</w:t>
      </w:r>
      <w:bookmarkEnd w:id="336"/>
      <w:r w:rsidRPr="00037AD4">
        <w:t xml:space="preserve"> </w:t>
      </w:r>
    </w:p>
    <w:p w14:paraId="5438C25E" w14:textId="77777777" w:rsidR="00B54D51" w:rsidRPr="00037AD4" w:rsidRDefault="00B54D51" w:rsidP="001F0570">
      <w:pPr>
        <w:rPr>
          <w:rFonts w:asciiTheme="minorHAnsi" w:hAnsiTheme="minorHAnsi" w:cstheme="minorHAnsi"/>
        </w:rPr>
      </w:pPr>
    </w:p>
    <w:p w14:paraId="20856545" w14:textId="77777777" w:rsidR="00B54D51" w:rsidRDefault="00B54D51" w:rsidP="001F0570">
      <w:pPr>
        <w:rPr>
          <w:rFonts w:asciiTheme="minorHAnsi" w:hAnsiTheme="minorHAnsi" w:cstheme="minorHAnsi"/>
        </w:rPr>
      </w:pPr>
      <w:r w:rsidRPr="00037AD4">
        <w:rPr>
          <w:rFonts w:asciiTheme="minorHAnsi" w:hAnsiTheme="minorHAnsi" w:cstheme="minorHAnsi"/>
        </w:rPr>
        <w:t xml:space="preserve">The REMCARE and ACTIFCARE studies were based in community dwelling settings, while the EPIC study took place in residential care settings. This distinction in settings influenced the recruitments of proxies. In the community dwelling studies, spouses/partners were the most predominant relationship of informal proxy, representing over 60% of the samples. For the EPIC study, offspring proxies were more prevalent. It is also important to note that informal proxy recruitment faced challenges in the EPIC study from the outset, with low initial recruitment and less than 40% retained to the final follow-up point (n=66 out of the initial recruitment of n=171). The EPIC study also recruited staff proxies whose data accounted for the highest number of complete EQ-5D cases. This highlights the importance of carefully selecting the type of proxy and recognises that in certain circumstances collecting data from multiple proxies may not be practical or necessary. Instead, there </w:t>
      </w:r>
      <w:r w:rsidRPr="00037AD4">
        <w:rPr>
          <w:rFonts w:asciiTheme="minorHAnsi" w:hAnsiTheme="minorHAnsi" w:cstheme="minorHAnsi"/>
        </w:rPr>
        <w:lastRenderedPageBreak/>
        <w:t>should be a focus on selecting the most appropriate proxy and maximising data quality in that particular context.</w:t>
      </w:r>
    </w:p>
    <w:p w14:paraId="388AC8BB" w14:textId="77777777" w:rsidR="00B54D51" w:rsidRPr="00037AD4" w:rsidRDefault="00B54D51" w:rsidP="001F0570">
      <w:pPr>
        <w:rPr>
          <w:rFonts w:asciiTheme="minorHAnsi" w:hAnsiTheme="minorHAnsi" w:cstheme="minorHAnsi"/>
        </w:rPr>
      </w:pPr>
    </w:p>
    <w:p w14:paraId="3F437E68" w14:textId="77777777" w:rsidR="00B54D51" w:rsidRDefault="00B54D51" w:rsidP="001F0570">
      <w:pPr>
        <w:rPr>
          <w:rFonts w:asciiTheme="minorHAnsi" w:hAnsiTheme="minorHAnsi" w:cstheme="minorHAnsi"/>
        </w:rPr>
      </w:pPr>
      <w:r w:rsidRPr="00037AD4">
        <w:rPr>
          <w:rFonts w:asciiTheme="minorHAnsi" w:hAnsiTheme="minorHAnsi" w:cstheme="minorHAnsi"/>
        </w:rPr>
        <w:t xml:space="preserve">The dataset from the EPIC trial included information on the method of instrument administration. Postal completion emerged as the most popular method, with nearly 70% of offspring proxies opting for this method (compared with approximately 40% of spouse proxies). While providing various methods of instrument administration to fit the proxy’s needs may be motivated by a desire to maximise the amount of data collected, the findings indicate that administration method is an important factor to consider when obtaining proxy-reports; notably the majority of cases with missing EQ-5D data were obtained via postal administration. Ideally, EQ-5D should be administered in-person as the instructions ask the respondent to report about the person in question’s health state on that particular day. Although in-person administration may appear more resource intensive, it does not necessarily imply interviewer administration. However, it does ensure that the instrument is being completed on the same day, which may be critical when comparing PwD and proxy assessments. This factor is of particular importance in dementia as symptom progression can be unpredictable and cognitive decline is complex - not necessarily occurring in a linear fashion </w:t>
      </w:r>
      <w:r>
        <w:rPr>
          <w:rFonts w:asciiTheme="minorHAnsi" w:hAnsiTheme="minorHAnsi" w:cstheme="minorHAnsi"/>
          <w:noProof/>
        </w:rPr>
        <w:t>(Mitnitski et al., 1999)</w:t>
      </w:r>
      <w:r w:rsidRPr="00037AD4">
        <w:rPr>
          <w:rFonts w:asciiTheme="minorHAnsi" w:hAnsiTheme="minorHAnsi" w:cstheme="minorHAnsi"/>
        </w:rPr>
        <w:t>.</w:t>
      </w:r>
      <w:r w:rsidRPr="00037AD4">
        <w:rPr>
          <w:rFonts w:asciiTheme="minorHAnsi" w:hAnsiTheme="minorHAnsi" w:cstheme="minorHAnsi"/>
          <w:color w:val="FF0000"/>
        </w:rPr>
        <w:t xml:space="preserve"> </w:t>
      </w:r>
      <w:r w:rsidRPr="00037AD4">
        <w:rPr>
          <w:rFonts w:asciiTheme="minorHAnsi" w:hAnsiTheme="minorHAnsi" w:cstheme="minorHAnsi"/>
        </w:rPr>
        <w:t xml:space="preserve">In-person completion also enables the respondent to seek clarifications if required, therefore potentially minimising missing data resulting from difficulties with item interpretation. A focus on the quality of the data is key to ensure its useability in later analyses. </w:t>
      </w:r>
    </w:p>
    <w:p w14:paraId="0CD7B7BF" w14:textId="77777777" w:rsidR="00266FE0" w:rsidRDefault="00266FE0" w:rsidP="001F0570">
      <w:pPr>
        <w:rPr>
          <w:rFonts w:asciiTheme="minorHAnsi" w:hAnsiTheme="minorHAnsi" w:cstheme="minorHAnsi"/>
        </w:rPr>
      </w:pPr>
    </w:p>
    <w:p w14:paraId="0C2608B8" w14:textId="0055FB78" w:rsidR="00266FE0" w:rsidRPr="00266FE0" w:rsidRDefault="00266FE0" w:rsidP="00266FE0">
      <w:pPr>
        <w:rPr>
          <w:rFonts w:asciiTheme="minorHAnsi" w:hAnsiTheme="minorHAnsi" w:cstheme="minorHAnsi"/>
        </w:rPr>
      </w:pPr>
      <w:r w:rsidRPr="00266FE0">
        <w:rPr>
          <w:rFonts w:asciiTheme="minorHAnsi" w:hAnsiTheme="minorHAnsi" w:cstheme="minorHAnsi"/>
        </w:rPr>
        <w:t>The responses to different measures can be influenced by both the relationship between the proxy and the PwD</w:t>
      </w:r>
      <w:r>
        <w:rPr>
          <w:rFonts w:asciiTheme="minorHAnsi" w:hAnsiTheme="minorHAnsi" w:cstheme="minorHAnsi"/>
        </w:rPr>
        <w:t>,</w:t>
      </w:r>
      <w:r w:rsidRPr="00266FE0">
        <w:rPr>
          <w:rFonts w:asciiTheme="minorHAnsi" w:hAnsiTheme="minorHAnsi" w:cstheme="minorHAnsi"/>
        </w:rPr>
        <w:t xml:space="preserve"> and by how respondents are assisted in completing the measures in different settings. The role of the proxy in the PwD’s care and dementia management is often linked to their relationship; for instance, spousal proxies may have a more direct and intimate caregiving role compared to offspring proxies who might be visiting caregivers. As a result, a spousal proxy might have a deeper awareness of the PwD’s needs and preferences</w:t>
      </w:r>
      <w:r w:rsidR="00AB49EA">
        <w:rPr>
          <w:rFonts w:asciiTheme="minorHAnsi" w:hAnsiTheme="minorHAnsi" w:cstheme="minorHAnsi"/>
        </w:rPr>
        <w:t>,</w:t>
      </w:r>
      <w:r w:rsidRPr="00266FE0">
        <w:rPr>
          <w:rFonts w:asciiTheme="minorHAnsi" w:hAnsiTheme="minorHAnsi" w:cstheme="minorHAnsi"/>
        </w:rPr>
        <w:t xml:space="preserve"> but could also be limited by their own biases, expectations and the burden of caregiving.</w:t>
      </w:r>
      <w:r>
        <w:rPr>
          <w:rFonts w:asciiTheme="minorHAnsi" w:hAnsiTheme="minorHAnsi" w:cstheme="minorHAnsi"/>
        </w:rPr>
        <w:t xml:space="preserve"> </w:t>
      </w:r>
      <w:r w:rsidRPr="00266FE0">
        <w:rPr>
          <w:rFonts w:asciiTheme="minorHAnsi" w:hAnsiTheme="minorHAnsi" w:cstheme="minorHAnsi"/>
        </w:rPr>
        <w:t xml:space="preserve">The method of administering these measures is crucial and </w:t>
      </w:r>
      <w:r w:rsidR="00AB49EA">
        <w:rPr>
          <w:rFonts w:asciiTheme="minorHAnsi" w:hAnsiTheme="minorHAnsi" w:cstheme="minorHAnsi"/>
        </w:rPr>
        <w:t>may</w:t>
      </w:r>
      <w:r w:rsidRPr="00266FE0">
        <w:rPr>
          <w:rFonts w:asciiTheme="minorHAnsi" w:hAnsiTheme="minorHAnsi" w:cstheme="minorHAnsi"/>
        </w:rPr>
        <w:t xml:space="preserve"> vary depending on the PwD's residential setting. </w:t>
      </w:r>
      <w:r w:rsidR="00466A6E">
        <w:rPr>
          <w:rFonts w:asciiTheme="minorHAnsi" w:hAnsiTheme="minorHAnsi" w:cstheme="minorHAnsi"/>
        </w:rPr>
        <w:t>Face-to-face</w:t>
      </w:r>
      <w:r w:rsidRPr="00266FE0">
        <w:rPr>
          <w:rFonts w:asciiTheme="minorHAnsi" w:hAnsiTheme="minorHAnsi" w:cstheme="minorHAnsi"/>
        </w:rPr>
        <w:t xml:space="preserve"> administration increases the likelihood of same-day responses, providing a more current reflection of the PwD’s condition. However, it is important to ensure that both the PwD and the proxy are comfortable and confident during the assessment process to guarantee accurate and honest reporting. </w:t>
      </w:r>
      <w:r w:rsidR="00AB49EA">
        <w:rPr>
          <w:rFonts w:asciiTheme="minorHAnsi" w:hAnsiTheme="minorHAnsi" w:cstheme="minorHAnsi"/>
        </w:rPr>
        <w:t>With the</w:t>
      </w:r>
      <w:r w:rsidRPr="00266FE0">
        <w:rPr>
          <w:rFonts w:asciiTheme="minorHAnsi" w:hAnsiTheme="minorHAnsi" w:cstheme="minorHAnsi"/>
        </w:rPr>
        <w:t xml:space="preserve"> support of patient and empathetic researchers</w:t>
      </w:r>
      <w:r w:rsidR="00AB49EA">
        <w:rPr>
          <w:rFonts w:asciiTheme="minorHAnsi" w:hAnsiTheme="minorHAnsi" w:cstheme="minorHAnsi"/>
        </w:rPr>
        <w:t xml:space="preserve">, </w:t>
      </w:r>
      <w:r w:rsidRPr="00266FE0">
        <w:rPr>
          <w:rFonts w:asciiTheme="minorHAnsi" w:hAnsiTheme="minorHAnsi" w:cstheme="minorHAnsi"/>
        </w:rPr>
        <w:t>a conducive environment for truthful and precise responses</w:t>
      </w:r>
      <w:r w:rsidR="00AB49EA">
        <w:rPr>
          <w:rFonts w:asciiTheme="minorHAnsi" w:hAnsiTheme="minorHAnsi" w:cstheme="minorHAnsi"/>
        </w:rPr>
        <w:t xml:space="preserve"> can be fostered</w:t>
      </w:r>
      <w:r w:rsidRPr="00266FE0">
        <w:rPr>
          <w:rFonts w:asciiTheme="minorHAnsi" w:hAnsiTheme="minorHAnsi" w:cstheme="minorHAnsi"/>
        </w:rPr>
        <w:t>. Conversely, a rushed or impersonal approach may lead to data that fails to accurately represent the PwD’s true condition.</w:t>
      </w:r>
    </w:p>
    <w:p w14:paraId="1B5538C5" w14:textId="77777777" w:rsidR="00B54D51" w:rsidRPr="00037AD4" w:rsidRDefault="00B54D51" w:rsidP="00FE3D6C">
      <w:pPr>
        <w:rPr>
          <w:rFonts w:asciiTheme="minorHAnsi" w:hAnsiTheme="minorHAnsi" w:cstheme="minorHAnsi"/>
          <w:b/>
          <w:bCs/>
          <w:u w:val="single"/>
        </w:rPr>
      </w:pPr>
    </w:p>
    <w:p w14:paraId="2F6FA101" w14:textId="77777777" w:rsidR="00B54D51" w:rsidRPr="00037AD4" w:rsidRDefault="00B54D51" w:rsidP="007A43F9">
      <w:pPr>
        <w:pStyle w:val="Heading3"/>
      </w:pPr>
      <w:bookmarkStart w:id="337" w:name="_Toc175742313"/>
      <w:r w:rsidRPr="00037AD4">
        <w:t>4.5.3 Comparing PwD and proxy EQ-5D</w:t>
      </w:r>
      <w:bookmarkEnd w:id="337"/>
      <w:r w:rsidRPr="00037AD4">
        <w:t xml:space="preserve"> </w:t>
      </w:r>
    </w:p>
    <w:p w14:paraId="6880691F" w14:textId="77777777" w:rsidR="00B54D51" w:rsidRPr="00037AD4" w:rsidRDefault="00B54D51" w:rsidP="00D3118E">
      <w:pPr>
        <w:rPr>
          <w:rFonts w:asciiTheme="minorHAnsi" w:hAnsiTheme="minorHAnsi" w:cstheme="minorHAnsi"/>
          <w:u w:val="single"/>
        </w:rPr>
      </w:pPr>
    </w:p>
    <w:p w14:paraId="214DA839" w14:textId="77777777" w:rsidR="00B54D51" w:rsidRPr="00037AD4" w:rsidRDefault="00B54D51" w:rsidP="00D3118E">
      <w:pPr>
        <w:rPr>
          <w:rFonts w:asciiTheme="minorHAnsi" w:hAnsiTheme="minorHAnsi" w:cstheme="minorHAnsi"/>
        </w:rPr>
      </w:pPr>
      <w:r w:rsidRPr="00037AD4">
        <w:rPr>
          <w:rFonts w:asciiTheme="minorHAnsi" w:hAnsiTheme="minorHAnsi" w:cstheme="minorHAnsi"/>
        </w:rPr>
        <w:t xml:space="preserve">An overview of the data reveals evidence of ceiling effects in PwD reports. Across all studies, more than 50% of PwD reports for EQ-5D dimensions consistently are at level one/”no problems”. A notable difference between PwD and informal proxy reports is seen for the “self-care” dimension; in the REMCARE, ACTIFCARE and EPIC trials respectively over 82%, 75% and 67% of people with dementia reported “no problems” in this dimension, while proxy reports saw evidence of floor effects (particularly in the EPIC dataset where over 50% of both informal and staff proxy reports were level five). It may be reasonable to assume </w:t>
      </w:r>
      <w:r w:rsidRPr="00037AD4">
        <w:rPr>
          <w:rFonts w:asciiTheme="minorHAnsi" w:hAnsiTheme="minorHAnsi" w:cstheme="minorHAnsi"/>
        </w:rPr>
        <w:lastRenderedPageBreak/>
        <w:t xml:space="preserve">that people with dementia, especially those in the EPIC sample that are institutionalised, could face challenges with “self-care”, however their self-reports do not reflect these difficulties. While it is important to keep the PwD at the centre of the discussion around their own health, it is also necessary to collect accurate and realistic reports of HRQoL. This accuracy is fundamental for effectively measuring the impact of potential interventions that could benefit both the PwD and caregiving proxies.  </w:t>
      </w:r>
    </w:p>
    <w:p w14:paraId="3B3B6401" w14:textId="77777777" w:rsidR="00B54D51" w:rsidRPr="00037AD4" w:rsidRDefault="00B54D51" w:rsidP="00D3118E">
      <w:pPr>
        <w:rPr>
          <w:rFonts w:asciiTheme="minorHAnsi" w:hAnsiTheme="minorHAnsi" w:cstheme="minorHAnsi"/>
        </w:rPr>
      </w:pPr>
    </w:p>
    <w:p w14:paraId="70785746" w14:textId="77777777" w:rsidR="00B54D51" w:rsidRPr="00037AD4" w:rsidRDefault="00B54D51" w:rsidP="001D5DFC">
      <w:pPr>
        <w:rPr>
          <w:rFonts w:asciiTheme="minorHAnsi" w:hAnsiTheme="minorHAnsi" w:cstheme="minorHAnsi"/>
        </w:rPr>
      </w:pPr>
      <w:r w:rsidRPr="00037AD4">
        <w:rPr>
          <w:rFonts w:asciiTheme="minorHAnsi" w:hAnsiTheme="minorHAnsi" w:cstheme="minorHAnsi"/>
        </w:rPr>
        <w:t xml:space="preserve">Another clear discrepancy in reports is seen for the “usual activities” dimension, whereby people with dementia tend to report “no problems” with this dimension, while proxy reports do not typically match. Interestingly, for the EPIC trial where there are both informal and staff proxy reports, this dimension shows a greater alignment between PwD and staff proxy reports. Nearly 77% of people with dementia reported level one and approximately 63% of staff also reported level one. This is in contrast to informal proxy reports, as this dimension saw floor effects with nearly 50% of informal proxies reporting a level five. As previously highlighted, there are various challenges surrounding the “usual activities” dimension rooted around its interpretation and perception. The clear discrepancy within proxy ratings implies that this item is not only perceived differently by people with dementia and proxies, but also varies among different proxy types. This observation may be due to response shift within the context of dementia experience </w:t>
      </w:r>
      <w:r>
        <w:rPr>
          <w:rFonts w:asciiTheme="minorHAnsi" w:hAnsiTheme="minorHAnsi" w:cstheme="minorHAnsi"/>
          <w:noProof/>
        </w:rPr>
        <w:t>(Byrne-Davis et al., 2006)</w:t>
      </w:r>
      <w:r w:rsidRPr="00037AD4">
        <w:rPr>
          <w:rFonts w:asciiTheme="minorHAnsi" w:hAnsiTheme="minorHAnsi" w:cstheme="minorHAnsi"/>
        </w:rPr>
        <w:t xml:space="preserve">, whereby care-home staff may be more primed to changes in expectations and goals of what constitutes “usual activities” than informal proxies. </w:t>
      </w:r>
    </w:p>
    <w:p w14:paraId="53B8FB42" w14:textId="77777777" w:rsidR="00B54D51" w:rsidRPr="00037AD4" w:rsidRDefault="00B54D51" w:rsidP="00D3118E">
      <w:pPr>
        <w:rPr>
          <w:rFonts w:asciiTheme="minorHAnsi" w:hAnsiTheme="minorHAnsi" w:cstheme="minorHAnsi"/>
          <w:b/>
          <w:bCs/>
        </w:rPr>
      </w:pPr>
    </w:p>
    <w:p w14:paraId="7A8C034A" w14:textId="77777777" w:rsidR="00B54D51" w:rsidRPr="00037AD4" w:rsidRDefault="00B54D51" w:rsidP="00D3118E">
      <w:pPr>
        <w:rPr>
          <w:rFonts w:asciiTheme="minorHAnsi" w:hAnsiTheme="minorHAnsi" w:cstheme="minorHAnsi"/>
        </w:rPr>
      </w:pPr>
      <w:r w:rsidRPr="00037AD4">
        <w:rPr>
          <w:rFonts w:asciiTheme="minorHAnsi" w:hAnsiTheme="minorHAnsi" w:cstheme="minorHAnsi"/>
        </w:rPr>
        <w:t xml:space="preserve">The results on scoring proportions for item levels and the correlation analyses highlight that the "mobility" dimension demonstrates the highest level of agreement among respondent reports. This dimension is categorised as "observable", unlike "non-observable" dimensions such as "pain/discomfort" and "anxiety/depression," which are more subjectively experienced and may therefore pose challenges for reliable proxy reporting </w:t>
      </w:r>
      <w:r>
        <w:rPr>
          <w:rFonts w:asciiTheme="minorHAnsi" w:hAnsiTheme="minorHAnsi" w:cstheme="minorHAnsi"/>
          <w:noProof/>
        </w:rPr>
        <w:t>(Bonfiglio et al., 2019, Hounsome et al., 2011)</w:t>
      </w:r>
      <w:r w:rsidRPr="00037AD4">
        <w:rPr>
          <w:rFonts w:asciiTheme="minorHAnsi" w:hAnsiTheme="minorHAnsi" w:cstheme="minorHAnsi"/>
        </w:rPr>
        <w:t>.</w:t>
      </w:r>
      <w:r w:rsidRPr="00037AD4">
        <w:rPr>
          <w:rFonts w:asciiTheme="minorHAnsi" w:hAnsiTheme="minorHAnsi" w:cstheme="minorHAnsi"/>
          <w:color w:val="FF0000"/>
        </w:rPr>
        <w:t xml:space="preserve"> </w:t>
      </w:r>
      <w:r w:rsidRPr="00037AD4">
        <w:rPr>
          <w:rFonts w:asciiTheme="minorHAnsi" w:hAnsiTheme="minorHAnsi" w:cstheme="minorHAnsi"/>
        </w:rPr>
        <w:t>The correlation evidence also indicates that dementia severity may influence inter-rater agreement, with a widening gap between reports seen at the more severe stages. These findings emphasi</w:t>
      </w:r>
      <w:r>
        <w:rPr>
          <w:rFonts w:asciiTheme="minorHAnsi" w:hAnsiTheme="minorHAnsi" w:cstheme="minorHAnsi"/>
        </w:rPr>
        <w:t>s</w:t>
      </w:r>
      <w:r w:rsidRPr="00037AD4">
        <w:rPr>
          <w:rFonts w:asciiTheme="minorHAnsi" w:hAnsiTheme="minorHAnsi" w:cstheme="minorHAnsi"/>
        </w:rPr>
        <w:t>e the importance of considering both the nature of the dimension and the stage of dementia when comparing respondent reports in dementia research.</w:t>
      </w:r>
    </w:p>
    <w:p w14:paraId="686738CC" w14:textId="77777777" w:rsidR="00B54D51" w:rsidRPr="00037AD4" w:rsidRDefault="00B54D51" w:rsidP="00D3118E">
      <w:pPr>
        <w:rPr>
          <w:rFonts w:asciiTheme="minorHAnsi" w:hAnsiTheme="minorHAnsi" w:cstheme="minorHAnsi"/>
        </w:rPr>
      </w:pPr>
    </w:p>
    <w:p w14:paraId="5AFAE152" w14:textId="77777777" w:rsidR="00B54D51" w:rsidRPr="00037AD4" w:rsidRDefault="00B54D51" w:rsidP="00D3118E">
      <w:pPr>
        <w:rPr>
          <w:rFonts w:asciiTheme="minorHAnsi" w:hAnsiTheme="minorHAnsi" w:cstheme="minorHAnsi"/>
        </w:rPr>
      </w:pPr>
      <w:r w:rsidRPr="00037AD4">
        <w:rPr>
          <w:rFonts w:asciiTheme="minorHAnsi" w:hAnsiTheme="minorHAnsi" w:cstheme="minorHAnsi"/>
        </w:rPr>
        <w:t xml:space="preserve">At all stages of dementia severity there are statistically significant differences between utility scores derived from PwD and proxy assessments. A key finding is that proxy index scores exhibit a more pronounced decline with worsened dementia severity when compared to self-reported scores by the PwD. In the EPIC trial data, PwD self-reported scores actually increase as severity worsens, a trend not replicated in proxy reports. The results indicate a stronger alignment at the mild stages compared to moderate dementia. </w:t>
      </w:r>
    </w:p>
    <w:p w14:paraId="65A2E040" w14:textId="77777777" w:rsidR="00B54D51" w:rsidRPr="00037AD4" w:rsidRDefault="00B54D51" w:rsidP="00D3118E">
      <w:pPr>
        <w:rPr>
          <w:rFonts w:asciiTheme="minorHAnsi" w:hAnsiTheme="minorHAnsi" w:cstheme="minorHAnsi"/>
        </w:rPr>
      </w:pPr>
    </w:p>
    <w:p w14:paraId="3481F2CF" w14:textId="77777777" w:rsidR="00B54D51" w:rsidRPr="00037AD4" w:rsidRDefault="00B54D51" w:rsidP="00D3118E">
      <w:pPr>
        <w:rPr>
          <w:rFonts w:asciiTheme="minorHAnsi" w:hAnsiTheme="minorHAnsi" w:cstheme="minorHAnsi"/>
        </w:rPr>
      </w:pPr>
      <w:r w:rsidRPr="00037AD4">
        <w:rPr>
          <w:rFonts w:asciiTheme="minorHAnsi" w:hAnsiTheme="minorHAnsi" w:cstheme="minorHAnsi"/>
        </w:rPr>
        <w:t xml:space="preserve">These findings suggest that, despite the pessimism often observed in proxy assessments relative to PwD reports, dementia severity plays a role in proxy interpretation – a crucial consideration when measuring HRQoL. HRQoL assessments enable the measurement of how health and quality of life are impacted by specific conditions. Despite the generic nature of EQ-5D, the goal remains to detect changes in conditions and sensitivity to severity markers </w:t>
      </w:r>
      <w:r>
        <w:rPr>
          <w:rFonts w:asciiTheme="minorHAnsi" w:hAnsiTheme="minorHAnsi" w:cstheme="minorHAnsi"/>
          <w:noProof/>
        </w:rPr>
        <w:t>(Payakachat et al., 2015a)</w:t>
      </w:r>
      <w:r w:rsidRPr="00037AD4">
        <w:rPr>
          <w:rFonts w:asciiTheme="minorHAnsi" w:hAnsiTheme="minorHAnsi" w:cstheme="minorHAnsi"/>
        </w:rPr>
        <w:t xml:space="preserve">. In addition, preliminary regression analyses reveal that symptom measure scores more frequently serve as predictors of proxy index scores than </w:t>
      </w:r>
      <w:r w:rsidRPr="00037AD4">
        <w:rPr>
          <w:rFonts w:asciiTheme="minorHAnsi" w:hAnsiTheme="minorHAnsi" w:cstheme="minorHAnsi"/>
        </w:rPr>
        <w:lastRenderedPageBreak/>
        <w:t xml:space="preserve">they do for PwD scores, particularly the measures of function. These findings highlight the importance and value of incorporating proxy assessments in dementia research settings. </w:t>
      </w:r>
    </w:p>
    <w:p w14:paraId="784CB6D4" w14:textId="77777777" w:rsidR="00B54D51" w:rsidRPr="00037AD4" w:rsidRDefault="00B54D51" w:rsidP="00FE3D6C">
      <w:pPr>
        <w:rPr>
          <w:rFonts w:asciiTheme="minorHAnsi" w:hAnsiTheme="minorHAnsi" w:cstheme="minorHAnsi"/>
          <w:b/>
          <w:bCs/>
          <w:u w:val="single"/>
        </w:rPr>
      </w:pPr>
    </w:p>
    <w:p w14:paraId="320ED5BB" w14:textId="77777777" w:rsidR="00B54D51" w:rsidRPr="00037AD4" w:rsidRDefault="00B54D51" w:rsidP="007A43F9">
      <w:pPr>
        <w:pStyle w:val="Heading3"/>
      </w:pPr>
      <w:bookmarkStart w:id="338" w:name="_Toc175742314"/>
      <w:r w:rsidRPr="00037AD4">
        <w:t>4.5.4 Convergent validity</w:t>
      </w:r>
      <w:bookmarkEnd w:id="338"/>
      <w:r w:rsidRPr="00037AD4">
        <w:t xml:space="preserve"> </w:t>
      </w:r>
    </w:p>
    <w:p w14:paraId="7E2A445E" w14:textId="77777777" w:rsidR="00B54D51" w:rsidRPr="00037AD4" w:rsidRDefault="00B54D51" w:rsidP="008E2562">
      <w:pPr>
        <w:rPr>
          <w:rFonts w:asciiTheme="minorHAnsi" w:hAnsiTheme="minorHAnsi" w:cstheme="minorHAnsi"/>
        </w:rPr>
      </w:pPr>
    </w:p>
    <w:p w14:paraId="368DB765" w14:textId="77777777" w:rsidR="00B54D51" w:rsidRPr="00037AD4" w:rsidRDefault="00B54D51" w:rsidP="008E2562">
      <w:pPr>
        <w:rPr>
          <w:rFonts w:asciiTheme="minorHAnsi" w:hAnsiTheme="minorHAnsi" w:cstheme="minorHAnsi"/>
        </w:rPr>
      </w:pPr>
      <w:r w:rsidRPr="00037AD4">
        <w:rPr>
          <w:rFonts w:asciiTheme="minorHAnsi" w:hAnsiTheme="minorHAnsi" w:cstheme="minorHAnsi"/>
        </w:rPr>
        <w:t xml:space="preserve">Convergent validity of EQ-5D was assessed both at the index score and dimension level. The </w:t>
      </w:r>
      <w:hyperlink w:anchor="_3.7_Convergent_validity" w:history="1">
        <w:r w:rsidRPr="00AC6DF9">
          <w:rPr>
            <w:rStyle w:val="Hyperlink"/>
            <w:rFonts w:asciiTheme="minorHAnsi" w:hAnsiTheme="minorHAnsi" w:cstheme="minorHAnsi"/>
            <w:color w:val="000000" w:themeColor="text1"/>
            <w:u w:val="none"/>
          </w:rPr>
          <w:t>systematic review reported in Section 3.7</w:t>
        </w:r>
      </w:hyperlink>
      <w:r w:rsidRPr="00037AD4">
        <w:rPr>
          <w:rFonts w:asciiTheme="minorHAnsi" w:hAnsiTheme="minorHAnsi" w:cstheme="minorHAnsi"/>
          <w:color w:val="000000" w:themeColor="text1"/>
        </w:rPr>
        <w:t xml:space="preserve"> identified </w:t>
      </w:r>
      <w:r w:rsidRPr="00037AD4">
        <w:rPr>
          <w:rFonts w:asciiTheme="minorHAnsi" w:hAnsiTheme="minorHAnsi" w:cstheme="minorHAnsi"/>
        </w:rPr>
        <w:t>a gap in the existing evidence regarding the convergent validity of EQ-5D dimensions with dementia symptom measures. This specific type of evidence is crucial for assessing the effectiveness of EQ-5D in capturing the range of dementia symptoms and can shed light on whether a dementia-specific measure may be more preferable in certain instances.</w:t>
      </w:r>
    </w:p>
    <w:p w14:paraId="75C1713C" w14:textId="77777777" w:rsidR="00B54D51" w:rsidRPr="00037AD4" w:rsidRDefault="00B54D51" w:rsidP="002147C5">
      <w:pPr>
        <w:rPr>
          <w:rFonts w:asciiTheme="minorHAnsi" w:hAnsiTheme="minorHAnsi" w:cstheme="minorHAnsi"/>
          <w:b/>
          <w:bCs/>
          <w:color w:val="FF0000"/>
          <w:u w:val="single"/>
        </w:rPr>
      </w:pPr>
    </w:p>
    <w:p w14:paraId="1921F8F2" w14:textId="77777777" w:rsidR="00B54D51" w:rsidRPr="00037AD4" w:rsidRDefault="00B54D51" w:rsidP="007A43F9">
      <w:pPr>
        <w:pStyle w:val="Heading4"/>
      </w:pPr>
      <w:r w:rsidRPr="00037AD4">
        <w:t xml:space="preserve">4.5.4.1 Construct validity of EQ-5D index scores </w:t>
      </w:r>
    </w:p>
    <w:p w14:paraId="47580FFD" w14:textId="77777777" w:rsidR="00B54D51" w:rsidRPr="00037AD4" w:rsidRDefault="00B54D51" w:rsidP="00A30A59">
      <w:pPr>
        <w:rPr>
          <w:rFonts w:asciiTheme="minorHAnsi" w:hAnsiTheme="minorHAnsi" w:cstheme="minorHAnsi"/>
        </w:rPr>
      </w:pPr>
    </w:p>
    <w:p w14:paraId="186A3FF8" w14:textId="49E846B8" w:rsidR="00B54D51" w:rsidRPr="00037AD4" w:rsidRDefault="00B54D51" w:rsidP="00A30A59">
      <w:pPr>
        <w:rPr>
          <w:rFonts w:asciiTheme="minorHAnsi" w:hAnsiTheme="minorHAnsi" w:cstheme="minorHAnsi"/>
        </w:rPr>
      </w:pPr>
      <w:r w:rsidRPr="00037AD4">
        <w:rPr>
          <w:rFonts w:asciiTheme="minorHAnsi" w:hAnsiTheme="minorHAnsi" w:cstheme="minorHAnsi"/>
        </w:rPr>
        <w:t xml:space="preserve">Construct validity evaluates the association between instruments that aim to measure the same underlying construct </w:t>
      </w:r>
      <w:r>
        <w:rPr>
          <w:rFonts w:asciiTheme="minorHAnsi" w:hAnsiTheme="minorHAnsi" w:cstheme="minorHAnsi"/>
          <w:noProof/>
        </w:rPr>
        <w:t>(Krabbe, 2016)</w:t>
      </w:r>
      <w:r w:rsidRPr="00037AD4">
        <w:rPr>
          <w:rFonts w:asciiTheme="minorHAnsi" w:hAnsiTheme="minorHAnsi" w:cstheme="minorHAnsi"/>
        </w:rPr>
        <w:t xml:space="preserve">. These analyses showed poor inter-rater agreement. However, there was evidence of convergent validity between generic (via EQ-5D) and dementia specific utility scores reported by the same respondent. Previous conclusions have supported the suitability of EQ-5D for use in dementia populations, citing its combination of reliability, feasibility, and overall validity </w:t>
      </w:r>
      <w:r>
        <w:rPr>
          <w:rFonts w:asciiTheme="minorHAnsi" w:hAnsiTheme="minorHAnsi" w:cstheme="minorHAnsi"/>
          <w:noProof/>
        </w:rPr>
        <w:t>(Li et al., 2018</w:t>
      </w:r>
      <w:r w:rsidR="002A4B43">
        <w:rPr>
          <w:rFonts w:asciiTheme="minorHAnsi" w:hAnsiTheme="minorHAnsi" w:cstheme="minorHAnsi"/>
          <w:noProof/>
        </w:rPr>
        <w:t xml:space="preserve">, </w:t>
      </w:r>
      <w:r>
        <w:rPr>
          <w:rFonts w:asciiTheme="minorHAnsi" w:hAnsiTheme="minorHAnsi" w:cstheme="minorHAnsi"/>
          <w:noProof/>
        </w:rPr>
        <w:t>Keetharuth et al., 2022)</w:t>
      </w:r>
      <w:r w:rsidRPr="00037AD4">
        <w:rPr>
          <w:rFonts w:asciiTheme="minorHAnsi" w:hAnsiTheme="minorHAnsi" w:cstheme="minorHAnsi"/>
        </w:rPr>
        <w:t xml:space="preserve">. These associations additionally show that EQ-5D, which is designed to assess generic HRQoL, aligns with the dementia-specific utility scores, indicating that the instruments are capturing similar aspects of HRQoL of the PwD. This enhances confidence in using EQ-5D in dementia populations. Additionally, the analyses showed evidence of poor inter-rater agreement across all utility measures (between PwD and proxy reports). This finding is consistent within the wider literature </w:t>
      </w:r>
      <w:r>
        <w:rPr>
          <w:rFonts w:asciiTheme="minorHAnsi" w:hAnsiTheme="minorHAnsi" w:cstheme="minorHAnsi"/>
          <w:noProof/>
        </w:rPr>
        <w:t>(Keetharuth et al., 2022, Hounsome et al., 2011, Ankri et al., 2003, Michalowsky et al., 2020)</w:t>
      </w:r>
      <w:r w:rsidRPr="00037AD4">
        <w:rPr>
          <w:rFonts w:asciiTheme="minorHAnsi" w:hAnsiTheme="minorHAnsi" w:cstheme="minorHAnsi"/>
        </w:rPr>
        <w:t xml:space="preserve">. Because this issue occurs across measures and is not specific to EQ-5D itself, it highlights the need for a comprehensive solution to interpret the discrepancies between reports and address the inter-rater disparity challenge in dementia research. </w:t>
      </w:r>
    </w:p>
    <w:p w14:paraId="3F24C584" w14:textId="77777777" w:rsidR="00B54D51" w:rsidRPr="00037AD4" w:rsidRDefault="00B54D51" w:rsidP="002147C5">
      <w:pPr>
        <w:rPr>
          <w:rFonts w:asciiTheme="minorHAnsi" w:hAnsiTheme="minorHAnsi" w:cstheme="minorHAnsi"/>
          <w:b/>
          <w:bCs/>
          <w:color w:val="FF0000"/>
          <w:u w:val="single"/>
        </w:rPr>
      </w:pPr>
    </w:p>
    <w:p w14:paraId="00BA2A2E" w14:textId="77777777" w:rsidR="00B54D51" w:rsidRPr="00037AD4" w:rsidRDefault="00B54D51" w:rsidP="007A43F9">
      <w:pPr>
        <w:pStyle w:val="Heading4"/>
      </w:pPr>
      <w:r w:rsidRPr="00037AD4">
        <w:t xml:space="preserve">4.5.4.2 Convergent validity at EQ-5D dimension level </w:t>
      </w:r>
    </w:p>
    <w:p w14:paraId="00F0D64B" w14:textId="77777777" w:rsidR="00B54D51" w:rsidRPr="00037AD4" w:rsidRDefault="00B54D51" w:rsidP="002147C5">
      <w:pPr>
        <w:rPr>
          <w:rFonts w:asciiTheme="minorHAnsi" w:hAnsiTheme="minorHAnsi" w:cstheme="minorHAnsi"/>
          <w:b/>
          <w:bCs/>
          <w:color w:val="FF0000"/>
          <w:u w:val="single"/>
        </w:rPr>
      </w:pPr>
    </w:p>
    <w:p w14:paraId="3259BBD6" w14:textId="77777777" w:rsidR="00B54D51" w:rsidRPr="00037AD4" w:rsidRDefault="00B54D51" w:rsidP="00A30A59">
      <w:pPr>
        <w:rPr>
          <w:rFonts w:asciiTheme="minorHAnsi" w:hAnsiTheme="minorHAnsi" w:cstheme="minorHAnsi"/>
        </w:rPr>
      </w:pPr>
      <w:r w:rsidRPr="00037AD4">
        <w:rPr>
          <w:rFonts w:asciiTheme="minorHAnsi" w:hAnsiTheme="minorHAnsi" w:cstheme="minorHAnsi"/>
        </w:rPr>
        <w:t xml:space="preserve">At the dimension level of EQ-5D, it was clear that associations with the related symptom measures were consistently stronger with proxy assessments (when compared with PwD self-reports). The functional measures across the three studies showed notable associations with proxy “mobility” and “self-care” dimension reports (otherwise categorised as “observable” dimensions). The ACTIFCARE study collected two measures of function, the IADL and PSMS. The PSMS measures “basic” activities of daily life, which include essential skills required to manage one’s basic needs, for example, bathing and feeding </w:t>
      </w:r>
      <w:r>
        <w:rPr>
          <w:rFonts w:asciiTheme="minorHAnsi" w:hAnsiTheme="minorHAnsi" w:cstheme="minorHAnsi"/>
          <w:noProof/>
        </w:rPr>
        <w:t>(Lawton and Brody, 1969)</w:t>
      </w:r>
      <w:r w:rsidRPr="00037AD4">
        <w:rPr>
          <w:rFonts w:asciiTheme="minorHAnsi" w:hAnsiTheme="minorHAnsi" w:cstheme="minorHAnsi"/>
        </w:rPr>
        <w:t>.</w:t>
      </w:r>
      <w:r w:rsidRPr="00037AD4">
        <w:rPr>
          <w:rFonts w:asciiTheme="minorHAnsi" w:hAnsiTheme="minorHAnsi" w:cstheme="minorHAnsi"/>
          <w:color w:val="FF0000"/>
        </w:rPr>
        <w:t xml:space="preserve"> </w:t>
      </w:r>
      <w:r w:rsidRPr="00037AD4">
        <w:rPr>
          <w:rFonts w:asciiTheme="minorHAnsi" w:hAnsiTheme="minorHAnsi" w:cstheme="minorHAnsi"/>
        </w:rPr>
        <w:t xml:space="preserve">Whereas the IADL measure captures “instrumental” activities of daily life, which are more complex in terms of planning and thinking, and enable a person to live independently, for example, using a telephone and preparing a meal </w:t>
      </w:r>
      <w:r>
        <w:rPr>
          <w:rFonts w:asciiTheme="minorHAnsi" w:hAnsiTheme="minorHAnsi" w:cstheme="minorHAnsi"/>
          <w:noProof/>
        </w:rPr>
        <w:t>(Graf, 2008)</w:t>
      </w:r>
      <w:r w:rsidRPr="00037AD4">
        <w:rPr>
          <w:rFonts w:asciiTheme="minorHAnsi" w:hAnsiTheme="minorHAnsi" w:cstheme="minorHAnsi"/>
        </w:rPr>
        <w:t xml:space="preserve">. The PSMS showed notably stronger associations with proxy-rated “mobility” and “self-care”, potentially demonstrating construct validity of these dimensions. </w:t>
      </w:r>
    </w:p>
    <w:p w14:paraId="3787D5BF" w14:textId="77777777" w:rsidR="00B54D51" w:rsidRPr="00037AD4" w:rsidRDefault="00B54D51" w:rsidP="00A30A59">
      <w:pPr>
        <w:rPr>
          <w:rFonts w:asciiTheme="minorHAnsi" w:hAnsiTheme="minorHAnsi" w:cstheme="minorHAnsi"/>
        </w:rPr>
      </w:pPr>
    </w:p>
    <w:p w14:paraId="711FD923" w14:textId="77777777" w:rsidR="00B54D51" w:rsidRPr="00037AD4" w:rsidRDefault="00B54D51" w:rsidP="00A30A59">
      <w:pPr>
        <w:rPr>
          <w:rFonts w:asciiTheme="minorHAnsi" w:hAnsiTheme="minorHAnsi" w:cstheme="minorHAnsi"/>
        </w:rPr>
      </w:pPr>
      <w:r w:rsidRPr="00037AD4">
        <w:rPr>
          <w:rFonts w:asciiTheme="minorHAnsi" w:hAnsiTheme="minorHAnsi" w:cstheme="minorHAnsi"/>
        </w:rPr>
        <w:lastRenderedPageBreak/>
        <w:t>Even for the more subjectively experienced dimensions, categorised as "non-observable"</w:t>
      </w:r>
      <w:r>
        <w:rPr>
          <w:rFonts w:asciiTheme="minorHAnsi" w:hAnsiTheme="minorHAnsi" w:cstheme="minorHAnsi"/>
        </w:rPr>
        <w:t>,</w:t>
      </w:r>
      <w:r w:rsidRPr="00037AD4">
        <w:rPr>
          <w:rFonts w:asciiTheme="minorHAnsi" w:hAnsiTheme="minorHAnsi" w:cstheme="minorHAnsi"/>
        </w:rPr>
        <w:t xml:space="preserve"> such as "pain/discomfort" and "anxiety/depression"</w:t>
      </w:r>
      <w:r>
        <w:rPr>
          <w:rFonts w:asciiTheme="minorHAnsi" w:hAnsiTheme="minorHAnsi" w:cstheme="minorHAnsi"/>
        </w:rPr>
        <w:t>,</w:t>
      </w:r>
      <w:r w:rsidRPr="00037AD4">
        <w:rPr>
          <w:rFonts w:asciiTheme="minorHAnsi" w:hAnsiTheme="minorHAnsi" w:cstheme="minorHAnsi"/>
        </w:rPr>
        <w:t xml:space="preserve"> associations with behaviour/mood symptom measures consistently showed greater strength in proxy-reports. Proxy-reported index scores demonstrated moderate associations with CDR, function, and behaviour/mood, with no notable association observed with PwD reported index scores. Although dementia is commonly hallmarked by changes in cognitive status, there are no apparent relationships with MMSE scores for either PwD or proxy index scores or dimension reports. This indication aligns with observations made in </w:t>
      </w:r>
      <w:r>
        <w:rPr>
          <w:rFonts w:asciiTheme="minorHAnsi" w:hAnsiTheme="minorHAnsi" w:cstheme="minorHAnsi"/>
        </w:rPr>
        <w:t xml:space="preserve">the </w:t>
      </w:r>
      <w:r w:rsidRPr="00037AD4">
        <w:rPr>
          <w:rFonts w:asciiTheme="minorHAnsi" w:hAnsiTheme="minorHAnsi" w:cstheme="minorHAnsi"/>
        </w:rPr>
        <w:t xml:space="preserve">wider literature, where it has been discussed that cognitive progression may not necessarily follow a linear path parallel to QoL </w:t>
      </w:r>
      <w:r>
        <w:rPr>
          <w:rFonts w:asciiTheme="minorHAnsi" w:hAnsiTheme="minorHAnsi" w:cstheme="minorHAnsi"/>
          <w:noProof/>
        </w:rPr>
        <w:t>(Banerjee et al., 2006, King et al., 2022)</w:t>
      </w:r>
      <w:r w:rsidRPr="00037AD4">
        <w:rPr>
          <w:rFonts w:asciiTheme="minorHAnsi" w:hAnsiTheme="minorHAnsi" w:cstheme="minorHAnsi"/>
        </w:rPr>
        <w:t>.</w:t>
      </w:r>
    </w:p>
    <w:p w14:paraId="6DDA06A7" w14:textId="77777777" w:rsidR="00B54D51" w:rsidRPr="00037AD4" w:rsidRDefault="00B54D51" w:rsidP="00A30A59">
      <w:pPr>
        <w:rPr>
          <w:rFonts w:asciiTheme="minorHAnsi" w:hAnsiTheme="minorHAnsi" w:cstheme="minorHAnsi"/>
        </w:rPr>
      </w:pPr>
    </w:p>
    <w:p w14:paraId="603E2715" w14:textId="77777777" w:rsidR="00B54D51" w:rsidRPr="00037AD4" w:rsidRDefault="00B54D51" w:rsidP="007A43F9">
      <w:pPr>
        <w:pStyle w:val="Heading3"/>
      </w:pPr>
      <w:bookmarkStart w:id="339" w:name="_Toc175742315"/>
      <w:r w:rsidRPr="00037AD4">
        <w:t>4.5.5 Strengths</w:t>
      </w:r>
      <w:bookmarkEnd w:id="339"/>
      <w:r w:rsidRPr="00037AD4">
        <w:t xml:space="preserve"> </w:t>
      </w:r>
    </w:p>
    <w:p w14:paraId="4B6E388E" w14:textId="77777777" w:rsidR="00B54D51" w:rsidRPr="00037AD4" w:rsidRDefault="00B54D51" w:rsidP="007A43F9"/>
    <w:p w14:paraId="5E7C76F3" w14:textId="77777777" w:rsidR="00B54D51" w:rsidRPr="00037AD4" w:rsidRDefault="00B54D51" w:rsidP="00321A24">
      <w:pPr>
        <w:rPr>
          <w:rFonts w:asciiTheme="minorHAnsi" w:hAnsiTheme="minorHAnsi" w:cstheme="minorHAnsi"/>
        </w:rPr>
      </w:pPr>
      <w:r w:rsidRPr="00037AD4">
        <w:rPr>
          <w:rFonts w:asciiTheme="minorHAnsi" w:hAnsiTheme="minorHAnsi" w:cstheme="minorHAnsi"/>
        </w:rPr>
        <w:t xml:space="preserve">One of the key strengths of this chapter is that it has used individual patient level trial </w:t>
      </w:r>
      <w:r>
        <w:rPr>
          <w:rFonts w:asciiTheme="minorHAnsi" w:hAnsiTheme="minorHAnsi" w:cstheme="minorHAnsi"/>
        </w:rPr>
        <w:t xml:space="preserve">data </w:t>
      </w:r>
      <w:r w:rsidRPr="00037AD4">
        <w:rPr>
          <w:rFonts w:asciiTheme="minorHAnsi" w:hAnsiTheme="minorHAnsi" w:cstheme="minorHAnsi"/>
        </w:rPr>
        <w:t xml:space="preserve">to bridge a previously identified gap in the research by performing convergent validity analyses at the dimension level of EQ-5D. In doing so, it is shown that when considering proxy-assessments, the dimensions do show moderate associations with the corresponding dementia symptom measures. </w:t>
      </w:r>
    </w:p>
    <w:p w14:paraId="67EC4089" w14:textId="77777777" w:rsidR="00B54D51" w:rsidRPr="00037AD4" w:rsidRDefault="00B54D51" w:rsidP="00321A24">
      <w:pPr>
        <w:rPr>
          <w:rFonts w:asciiTheme="minorHAnsi" w:hAnsiTheme="minorHAnsi" w:cstheme="minorHAnsi"/>
        </w:rPr>
      </w:pPr>
    </w:p>
    <w:p w14:paraId="6D74B610" w14:textId="77777777" w:rsidR="00B54D51" w:rsidRPr="00037AD4" w:rsidRDefault="00B54D51" w:rsidP="00321A24">
      <w:pPr>
        <w:rPr>
          <w:rFonts w:asciiTheme="minorHAnsi" w:hAnsiTheme="minorHAnsi" w:cstheme="minorHAnsi"/>
        </w:rPr>
      </w:pPr>
      <w:r w:rsidRPr="00037AD4">
        <w:rPr>
          <w:rFonts w:asciiTheme="minorHAnsi" w:hAnsiTheme="minorHAnsi" w:cstheme="minorHAnsi"/>
        </w:rPr>
        <w:t xml:space="preserve">Presenting the data in this way offers a clear picture of the properties of the data and indicates where further analyses are required to establish which respondent’s data should be used to generate utility scores for use in economic evaluations. The analyses in this chapter demonstrate that there are strengths in proxy reports, providing a basis for endorsing their ongoing use and reliance in dementia research. However, there is a need for further investigation to understand their role and distinguish situations where PwD self-reports are warranted. As emphasised throughout, self-reported HRQoL data is often preferred. Assessment of how respondents provide reports alongside changes in symptom measures (responsiveness) is an extension of this work that may be of value. </w:t>
      </w:r>
    </w:p>
    <w:p w14:paraId="31796C0A" w14:textId="77777777" w:rsidR="00B54D51" w:rsidRPr="00037AD4" w:rsidRDefault="00B54D51" w:rsidP="00321A24">
      <w:pPr>
        <w:rPr>
          <w:rFonts w:asciiTheme="minorHAnsi" w:hAnsiTheme="minorHAnsi" w:cstheme="minorHAnsi"/>
        </w:rPr>
      </w:pPr>
    </w:p>
    <w:p w14:paraId="1A328896" w14:textId="77777777" w:rsidR="00B54D51" w:rsidRPr="00037AD4" w:rsidRDefault="00B54D51" w:rsidP="00321A24">
      <w:pPr>
        <w:rPr>
          <w:rFonts w:asciiTheme="minorHAnsi" w:hAnsiTheme="minorHAnsi" w:cstheme="minorHAnsi"/>
        </w:rPr>
      </w:pPr>
      <w:r w:rsidRPr="00037AD4">
        <w:rPr>
          <w:rFonts w:asciiTheme="minorHAnsi" w:hAnsiTheme="minorHAnsi" w:cstheme="minorHAnsi"/>
        </w:rPr>
        <w:t>I also find that whilst there are clear differences between PwD and proxy reports, other issues become relevant. These include how to determine the optimal proxy to recruit and the most effective method for EQ-5D administration. In addition, the analyses have reinforced the challenges associated with the “usual activities” dimension, echoing the discussions from the previously reported PPIE session.</w:t>
      </w:r>
    </w:p>
    <w:p w14:paraId="1FAEAAE0" w14:textId="77777777" w:rsidR="00B54D51" w:rsidRPr="00037AD4" w:rsidRDefault="00B54D51" w:rsidP="00321A24">
      <w:pPr>
        <w:rPr>
          <w:rFonts w:asciiTheme="minorHAnsi" w:hAnsiTheme="minorHAnsi" w:cstheme="minorHAnsi"/>
        </w:rPr>
      </w:pPr>
    </w:p>
    <w:p w14:paraId="0ADE18B0" w14:textId="77777777" w:rsidR="00B54D51" w:rsidRPr="00037AD4" w:rsidRDefault="00B54D51" w:rsidP="007A43F9">
      <w:pPr>
        <w:pStyle w:val="Heading3"/>
      </w:pPr>
      <w:bookmarkStart w:id="340" w:name="_Toc175742316"/>
      <w:r w:rsidRPr="00037AD4">
        <w:t>4.5.6 Limitations</w:t>
      </w:r>
      <w:bookmarkEnd w:id="340"/>
      <w:r w:rsidRPr="00037AD4">
        <w:t xml:space="preserve"> </w:t>
      </w:r>
    </w:p>
    <w:p w14:paraId="0565CC17" w14:textId="77777777" w:rsidR="00B54D51" w:rsidRPr="00037AD4" w:rsidRDefault="00B54D51" w:rsidP="00321A24">
      <w:pPr>
        <w:rPr>
          <w:rFonts w:asciiTheme="minorHAnsi" w:hAnsiTheme="minorHAnsi" w:cstheme="minorHAnsi"/>
        </w:rPr>
      </w:pPr>
    </w:p>
    <w:p w14:paraId="2D535204" w14:textId="77777777" w:rsidR="00B54D51" w:rsidRPr="00037AD4" w:rsidRDefault="00B54D51" w:rsidP="00321A24">
      <w:pPr>
        <w:rPr>
          <w:rFonts w:asciiTheme="minorHAnsi" w:hAnsiTheme="minorHAnsi" w:cstheme="minorHAnsi"/>
        </w:rPr>
      </w:pPr>
      <w:r w:rsidRPr="00037AD4">
        <w:rPr>
          <w:rFonts w:asciiTheme="minorHAnsi" w:hAnsiTheme="minorHAnsi" w:cstheme="minorHAnsi"/>
        </w:rPr>
        <w:t xml:space="preserve">Some of the key limitations of this chapter are linked with the availability and quality of the data. It would have been preferable to perform analyses on subgroups across the range of dementia severities, thereby making distinctions on this basis. Unfortunately, there were limited numbers of people with severe dementia which precluded this type of analysis. In addition, the low recruitment and retention of informal proxies in the EPIC trial made exploring this dyadic relationship for the institutionalised sample less precise. </w:t>
      </w:r>
    </w:p>
    <w:p w14:paraId="707E3E1D" w14:textId="77777777" w:rsidR="00B54D51" w:rsidRPr="00037AD4" w:rsidRDefault="00B54D51" w:rsidP="00321A24">
      <w:pPr>
        <w:rPr>
          <w:rFonts w:asciiTheme="minorHAnsi" w:hAnsiTheme="minorHAnsi" w:cstheme="minorHAnsi"/>
        </w:rPr>
      </w:pPr>
    </w:p>
    <w:p w14:paraId="3621D67F" w14:textId="77777777" w:rsidR="00B54D51" w:rsidRPr="00037AD4" w:rsidRDefault="00B54D51" w:rsidP="00321A24">
      <w:pPr>
        <w:rPr>
          <w:rFonts w:asciiTheme="minorHAnsi" w:hAnsiTheme="minorHAnsi" w:cstheme="minorHAnsi"/>
        </w:rPr>
      </w:pPr>
      <w:r w:rsidRPr="00037AD4">
        <w:rPr>
          <w:rFonts w:asciiTheme="minorHAnsi" w:hAnsiTheme="minorHAnsi" w:cstheme="minorHAnsi"/>
        </w:rPr>
        <w:t xml:space="preserve">Benefiting from additional information in the trial datasets such as information about proxy instrument administration provided opportunities for analyses that explored practical </w:t>
      </w:r>
      <w:r w:rsidRPr="00037AD4">
        <w:rPr>
          <w:rFonts w:asciiTheme="minorHAnsi" w:hAnsiTheme="minorHAnsi" w:cstheme="minorHAnsi"/>
        </w:rPr>
        <w:lastRenderedPageBreak/>
        <w:t xml:space="preserve">aspects. However, the quality of some of this additional information was poor and largely missing (for example, the visit frequency data in the ACTIFCARE trial). The data transfer agreements were not able to include certain measures that were captured within the trials. Measures related to the informal proxy themselves, like caregiver burden or the resource utilisation in dementia (RUD) instrument </w:t>
      </w:r>
      <w:r>
        <w:rPr>
          <w:rFonts w:asciiTheme="minorHAnsi" w:hAnsiTheme="minorHAnsi" w:cstheme="minorHAnsi"/>
          <w:noProof/>
        </w:rPr>
        <w:t>(Wimo et al., 2013)</w:t>
      </w:r>
      <w:r w:rsidRPr="00037AD4">
        <w:rPr>
          <w:rFonts w:asciiTheme="minorHAnsi" w:hAnsiTheme="minorHAnsi" w:cstheme="minorHAnsi"/>
        </w:rPr>
        <w:t>, could have offered valuable insights into understanding the potential impact of proxy bias. Access to this data could prove key to providing evidence to inform decisions about the types of informal proxies to target and could contribute to recommendations for future research.</w:t>
      </w:r>
    </w:p>
    <w:p w14:paraId="4B2E98A2" w14:textId="77777777" w:rsidR="00B54D51" w:rsidRPr="00037AD4" w:rsidRDefault="00B54D51" w:rsidP="00321A24">
      <w:pPr>
        <w:rPr>
          <w:rFonts w:asciiTheme="minorHAnsi" w:hAnsiTheme="minorHAnsi" w:cstheme="minorHAnsi"/>
        </w:rPr>
      </w:pPr>
    </w:p>
    <w:p w14:paraId="55A2582A" w14:textId="77777777" w:rsidR="00B54D51" w:rsidRPr="00037AD4" w:rsidRDefault="00B54D51" w:rsidP="00321A24">
      <w:pPr>
        <w:rPr>
          <w:rFonts w:asciiTheme="minorHAnsi" w:hAnsiTheme="minorHAnsi" w:cstheme="minorHAnsi"/>
        </w:rPr>
      </w:pPr>
      <w:r w:rsidRPr="00037AD4">
        <w:rPr>
          <w:rFonts w:asciiTheme="minorHAnsi" w:hAnsiTheme="minorHAnsi" w:cstheme="minorHAnsi"/>
        </w:rPr>
        <w:t>The studies collected different version</w:t>
      </w:r>
      <w:r>
        <w:rPr>
          <w:rFonts w:asciiTheme="minorHAnsi" w:hAnsiTheme="minorHAnsi" w:cstheme="minorHAnsi"/>
        </w:rPr>
        <w:t>s</w:t>
      </w:r>
      <w:r w:rsidRPr="00037AD4">
        <w:rPr>
          <w:rFonts w:asciiTheme="minorHAnsi" w:hAnsiTheme="minorHAnsi" w:cstheme="minorHAnsi"/>
        </w:rPr>
        <w:t xml:space="preserve"> of EQ-5D. REMCARE collected the three-level version (EQ-5D-3L), while EPIC and ACTIFCARE both collected EQ-5D-5L. Any potential differences between the instrument’s performance or sensitivity have not been appraised within this chapter, lending itself as a limitation. This highlights a future research area as this type of analysis was not within the remit of this thesis. </w:t>
      </w:r>
    </w:p>
    <w:p w14:paraId="501D30E1" w14:textId="77777777" w:rsidR="00B54D51" w:rsidRPr="00037AD4" w:rsidRDefault="00B54D51" w:rsidP="00321A24">
      <w:pPr>
        <w:rPr>
          <w:rFonts w:asciiTheme="minorHAnsi" w:hAnsiTheme="minorHAnsi" w:cstheme="minorHAnsi"/>
        </w:rPr>
      </w:pPr>
    </w:p>
    <w:p w14:paraId="0AE8F79E" w14:textId="77777777" w:rsidR="00B54D51" w:rsidRPr="00037AD4" w:rsidRDefault="00B54D51" w:rsidP="007A43F9">
      <w:pPr>
        <w:pStyle w:val="Heading2"/>
      </w:pPr>
      <w:bookmarkStart w:id="341" w:name="_Toc175742317"/>
      <w:r w:rsidRPr="00037AD4">
        <w:t>4.6 Conclusion</w:t>
      </w:r>
      <w:bookmarkEnd w:id="341"/>
      <w:r w:rsidRPr="00037AD4">
        <w:t xml:space="preserve"> </w:t>
      </w:r>
    </w:p>
    <w:p w14:paraId="26700DA4" w14:textId="77777777" w:rsidR="00B54D51" w:rsidRPr="00037AD4" w:rsidRDefault="00B54D51" w:rsidP="00321A24">
      <w:pPr>
        <w:rPr>
          <w:rFonts w:asciiTheme="minorHAnsi" w:hAnsiTheme="minorHAnsi" w:cstheme="minorHAnsi"/>
        </w:rPr>
      </w:pPr>
    </w:p>
    <w:p w14:paraId="33C80A9F" w14:textId="77777777" w:rsidR="00B54D51" w:rsidRPr="0063352B" w:rsidRDefault="00B54D51" w:rsidP="00321A24">
      <w:pPr>
        <w:rPr>
          <w:rFonts w:asciiTheme="minorHAnsi" w:hAnsiTheme="minorHAnsi" w:cstheme="minorHAnsi"/>
        </w:rPr>
      </w:pPr>
      <w:r w:rsidRPr="00037AD4">
        <w:rPr>
          <w:rFonts w:asciiTheme="minorHAnsi" w:hAnsiTheme="minorHAnsi" w:cstheme="minorHAnsi"/>
        </w:rPr>
        <w:t xml:space="preserve">This chapter provides detailed descriptive and summary statistics of the data derived from three existing dementia trials. Throughout this exploration, various pragmatic considerations have been assessed, including proxy selection and instrument administration methods. The EPIC trial demonstrated robust staff proxy recruitment, showing minimal missing data in contrast to the challenges in recruiting and retaining informal proxies for this trial. The interpretation of convergent validity analyses reveals associations between EQ-5D dimensions and dementia symptom measures when examining proxy reports. For a complete understanding of the proxy's role and identification of cases where reliance on PwD reports may be appropriate, correlation analyses alone are deemed insufficient. The analyses presented in this chapter provide a foundational framework for further and more detailed investigations to be </w:t>
      </w:r>
      <w:r>
        <w:rPr>
          <w:rFonts w:asciiTheme="minorHAnsi" w:hAnsiTheme="minorHAnsi" w:cstheme="minorHAnsi"/>
        </w:rPr>
        <w:t>undertaken</w:t>
      </w:r>
      <w:r w:rsidRPr="00037AD4">
        <w:rPr>
          <w:rFonts w:asciiTheme="minorHAnsi" w:hAnsiTheme="minorHAnsi" w:cstheme="minorHAnsi"/>
        </w:rPr>
        <w:t xml:space="preserve"> in the subsequent </w:t>
      </w:r>
      <w:r w:rsidRPr="0063352B">
        <w:rPr>
          <w:rFonts w:asciiTheme="minorHAnsi" w:hAnsiTheme="minorHAnsi" w:cstheme="minorHAnsi"/>
        </w:rPr>
        <w:t xml:space="preserve">chapter </w:t>
      </w:r>
      <w:hyperlink w:anchor="_5__Identifying" w:history="1">
        <w:r w:rsidRPr="0063352B">
          <w:rPr>
            <w:rStyle w:val="Hyperlink"/>
            <w:rFonts w:asciiTheme="minorHAnsi" w:hAnsiTheme="minorHAnsi" w:cstheme="minorHAnsi"/>
            <w:color w:val="auto"/>
            <w:u w:val="none"/>
          </w:rPr>
          <w:t>(Chapter Five)</w:t>
        </w:r>
      </w:hyperlink>
      <w:r w:rsidRPr="0063352B">
        <w:rPr>
          <w:rFonts w:asciiTheme="minorHAnsi" w:hAnsiTheme="minorHAnsi" w:cstheme="minorHAnsi"/>
        </w:rPr>
        <w:t>.</w:t>
      </w:r>
    </w:p>
    <w:p w14:paraId="1C4C3886" w14:textId="77777777" w:rsidR="00B54D51" w:rsidRPr="00037AD4" w:rsidRDefault="00B54D51" w:rsidP="00321A24">
      <w:pPr>
        <w:rPr>
          <w:rFonts w:asciiTheme="minorHAnsi" w:hAnsiTheme="minorHAnsi" w:cstheme="minorHAnsi"/>
        </w:rPr>
      </w:pPr>
    </w:p>
    <w:p w14:paraId="33214073" w14:textId="77777777" w:rsidR="00B54D51" w:rsidRPr="00037AD4" w:rsidRDefault="00B54D51" w:rsidP="000E11E4">
      <w:pPr>
        <w:pStyle w:val="EndNoteBibliography"/>
        <w:rPr>
          <w:rFonts w:asciiTheme="minorHAnsi" w:hAnsiTheme="minorHAnsi" w:cstheme="minorHAnsi"/>
          <w:b/>
          <w:bCs/>
          <w:color w:val="000000" w:themeColor="text1"/>
          <w:u w:val="single"/>
          <w:lang w:val="en-GB"/>
        </w:rPr>
      </w:pPr>
    </w:p>
    <w:p w14:paraId="1DB25877" w14:textId="77777777" w:rsidR="00B54D51" w:rsidRPr="00037AD4" w:rsidRDefault="00B54D51" w:rsidP="000E11E4">
      <w:pPr>
        <w:pStyle w:val="EndNoteBibliography"/>
        <w:rPr>
          <w:rFonts w:asciiTheme="minorHAnsi" w:hAnsiTheme="minorHAnsi" w:cstheme="minorHAnsi"/>
          <w:b/>
          <w:bCs/>
          <w:color w:val="000000" w:themeColor="text1"/>
          <w:u w:val="single"/>
          <w:lang w:val="en-GB"/>
        </w:rPr>
      </w:pPr>
    </w:p>
    <w:p w14:paraId="5DF89B28" w14:textId="77777777" w:rsidR="00B54D51" w:rsidRPr="00037AD4" w:rsidRDefault="00B54D51" w:rsidP="000E11E4">
      <w:pPr>
        <w:pStyle w:val="EndNoteBibliography"/>
        <w:rPr>
          <w:rFonts w:asciiTheme="minorHAnsi" w:hAnsiTheme="minorHAnsi" w:cstheme="minorHAnsi"/>
          <w:b/>
          <w:bCs/>
          <w:color w:val="000000" w:themeColor="text1"/>
          <w:u w:val="single"/>
          <w:lang w:val="en-GB"/>
        </w:rPr>
      </w:pPr>
    </w:p>
    <w:p w14:paraId="256523C7" w14:textId="77777777" w:rsidR="00B54D51" w:rsidRPr="00037AD4" w:rsidRDefault="00B54D51" w:rsidP="000E11E4">
      <w:pPr>
        <w:pStyle w:val="EndNoteBibliography"/>
        <w:rPr>
          <w:rFonts w:asciiTheme="minorHAnsi" w:hAnsiTheme="minorHAnsi" w:cstheme="minorHAnsi"/>
          <w:b/>
          <w:bCs/>
          <w:color w:val="000000" w:themeColor="text1"/>
          <w:u w:val="single"/>
          <w:lang w:val="en-GB"/>
        </w:rPr>
      </w:pPr>
    </w:p>
    <w:p w14:paraId="341A3F64" w14:textId="77777777" w:rsidR="00B54D51" w:rsidRPr="00037AD4" w:rsidRDefault="00B54D51" w:rsidP="000E11E4">
      <w:pPr>
        <w:pStyle w:val="EndNoteBibliography"/>
        <w:rPr>
          <w:rFonts w:asciiTheme="minorHAnsi" w:hAnsiTheme="minorHAnsi" w:cstheme="minorHAnsi"/>
          <w:b/>
          <w:bCs/>
          <w:color w:val="000000" w:themeColor="text1"/>
          <w:u w:val="single"/>
          <w:lang w:val="en-GB"/>
        </w:rPr>
      </w:pPr>
    </w:p>
    <w:p w14:paraId="6DFEBEB6" w14:textId="77777777" w:rsidR="00B54D51" w:rsidRDefault="00B54D51" w:rsidP="000E11E4">
      <w:pPr>
        <w:pStyle w:val="EndNoteBibliography"/>
        <w:rPr>
          <w:rFonts w:asciiTheme="minorHAnsi" w:hAnsiTheme="minorHAnsi" w:cstheme="minorHAnsi"/>
          <w:b/>
          <w:bCs/>
          <w:color w:val="000000" w:themeColor="text1"/>
          <w:u w:val="single"/>
          <w:lang w:val="en-GB"/>
        </w:rPr>
      </w:pPr>
    </w:p>
    <w:p w14:paraId="60E72EB9" w14:textId="77777777" w:rsidR="00B54D51" w:rsidRDefault="00B54D51" w:rsidP="000E11E4">
      <w:pPr>
        <w:pStyle w:val="EndNoteBibliography"/>
        <w:rPr>
          <w:rFonts w:asciiTheme="minorHAnsi" w:hAnsiTheme="minorHAnsi" w:cstheme="minorHAnsi"/>
          <w:b/>
          <w:bCs/>
          <w:color w:val="000000" w:themeColor="text1"/>
          <w:u w:val="single"/>
          <w:lang w:val="en-GB"/>
        </w:rPr>
      </w:pPr>
    </w:p>
    <w:p w14:paraId="1FF84A8C" w14:textId="77777777" w:rsidR="00B54D51" w:rsidRDefault="00B54D51" w:rsidP="000E11E4">
      <w:pPr>
        <w:pStyle w:val="EndNoteBibliography"/>
        <w:rPr>
          <w:rFonts w:asciiTheme="minorHAnsi" w:hAnsiTheme="minorHAnsi" w:cstheme="minorHAnsi"/>
          <w:b/>
          <w:bCs/>
          <w:color w:val="000000" w:themeColor="text1"/>
          <w:u w:val="single"/>
          <w:lang w:val="en-GB"/>
        </w:rPr>
      </w:pPr>
    </w:p>
    <w:p w14:paraId="1350A073" w14:textId="77777777" w:rsidR="00B54D51" w:rsidRDefault="00B54D51" w:rsidP="000E11E4">
      <w:pPr>
        <w:pStyle w:val="EndNoteBibliography"/>
        <w:rPr>
          <w:rFonts w:asciiTheme="minorHAnsi" w:hAnsiTheme="minorHAnsi" w:cstheme="minorHAnsi"/>
          <w:b/>
          <w:bCs/>
          <w:color w:val="000000" w:themeColor="text1"/>
          <w:u w:val="single"/>
          <w:lang w:val="en-GB"/>
        </w:rPr>
      </w:pPr>
    </w:p>
    <w:p w14:paraId="1728091D" w14:textId="77777777" w:rsidR="00B54D51" w:rsidRDefault="00B54D51" w:rsidP="000E11E4">
      <w:pPr>
        <w:pStyle w:val="EndNoteBibliography"/>
        <w:rPr>
          <w:rFonts w:asciiTheme="minorHAnsi" w:hAnsiTheme="minorHAnsi" w:cstheme="minorHAnsi"/>
          <w:b/>
          <w:bCs/>
          <w:color w:val="000000" w:themeColor="text1"/>
          <w:u w:val="single"/>
          <w:lang w:val="en-GB"/>
        </w:rPr>
      </w:pPr>
    </w:p>
    <w:p w14:paraId="75F24CE3" w14:textId="77777777" w:rsidR="00B54D51" w:rsidRDefault="00B54D51" w:rsidP="000E11E4">
      <w:pPr>
        <w:pStyle w:val="EndNoteBibliography"/>
        <w:rPr>
          <w:rFonts w:asciiTheme="minorHAnsi" w:hAnsiTheme="minorHAnsi" w:cstheme="minorHAnsi"/>
          <w:b/>
          <w:bCs/>
          <w:color w:val="000000" w:themeColor="text1"/>
          <w:u w:val="single"/>
          <w:lang w:val="en-GB"/>
        </w:rPr>
      </w:pPr>
    </w:p>
    <w:p w14:paraId="6B7C98DF" w14:textId="77777777" w:rsidR="00B54D51" w:rsidRDefault="00B54D51" w:rsidP="000E11E4">
      <w:pPr>
        <w:pStyle w:val="EndNoteBibliography"/>
        <w:rPr>
          <w:rFonts w:asciiTheme="minorHAnsi" w:hAnsiTheme="minorHAnsi" w:cstheme="minorHAnsi"/>
          <w:b/>
          <w:bCs/>
          <w:color w:val="000000" w:themeColor="text1"/>
          <w:u w:val="single"/>
          <w:lang w:val="en-GB"/>
        </w:rPr>
      </w:pPr>
    </w:p>
    <w:p w14:paraId="2400FCB0" w14:textId="77777777" w:rsidR="00B54D51" w:rsidRDefault="00B54D51" w:rsidP="000E11E4">
      <w:pPr>
        <w:pStyle w:val="EndNoteBibliography"/>
        <w:rPr>
          <w:rFonts w:asciiTheme="minorHAnsi" w:hAnsiTheme="minorHAnsi" w:cstheme="minorHAnsi"/>
          <w:b/>
          <w:bCs/>
          <w:color w:val="000000" w:themeColor="text1"/>
          <w:u w:val="single"/>
          <w:lang w:val="en-GB"/>
        </w:rPr>
      </w:pPr>
    </w:p>
    <w:p w14:paraId="396F37F6" w14:textId="77777777" w:rsidR="00673F38" w:rsidRPr="00037AD4" w:rsidRDefault="00673F38" w:rsidP="000E11E4">
      <w:pPr>
        <w:pStyle w:val="EndNoteBibliography"/>
        <w:rPr>
          <w:rFonts w:asciiTheme="minorHAnsi" w:hAnsiTheme="minorHAnsi" w:cstheme="minorHAnsi"/>
          <w:b/>
          <w:bCs/>
          <w:color w:val="000000" w:themeColor="text1"/>
          <w:u w:val="single"/>
          <w:lang w:val="en-GB"/>
        </w:rPr>
      </w:pPr>
    </w:p>
    <w:p w14:paraId="54EA9EAA" w14:textId="77777777" w:rsidR="00B54D51" w:rsidRPr="00037AD4" w:rsidRDefault="00B54D51" w:rsidP="007A43F9">
      <w:pPr>
        <w:pStyle w:val="Heading1"/>
      </w:pPr>
      <w:bookmarkStart w:id="342" w:name="_5__Identifying"/>
      <w:bookmarkStart w:id="343" w:name="_5_Identifying_a"/>
      <w:bookmarkStart w:id="344" w:name="_5_Assessing_the"/>
      <w:bookmarkStart w:id="345" w:name="_Toc175742318"/>
      <w:bookmarkEnd w:id="342"/>
      <w:bookmarkEnd w:id="343"/>
      <w:bookmarkEnd w:id="344"/>
      <w:r w:rsidRPr="00037AD4">
        <w:lastRenderedPageBreak/>
        <w:t>5 Assessing the performance of PwD and proxy EQ-5D responses by dimension</w:t>
      </w:r>
      <w:bookmarkEnd w:id="345"/>
      <w:r w:rsidRPr="00037AD4">
        <w:t xml:space="preserve"> </w:t>
      </w:r>
    </w:p>
    <w:p w14:paraId="47D5B879" w14:textId="77777777" w:rsidR="00B54D51" w:rsidRPr="00037AD4" w:rsidRDefault="00B54D51" w:rsidP="000E11E4">
      <w:pPr>
        <w:pStyle w:val="EndNoteBibliography"/>
        <w:rPr>
          <w:rFonts w:asciiTheme="minorHAnsi" w:hAnsiTheme="minorHAnsi" w:cstheme="minorHAnsi"/>
          <w:b/>
          <w:bCs/>
          <w:color w:val="000000" w:themeColor="text1"/>
          <w:sz w:val="26"/>
          <w:szCs w:val="26"/>
          <w:u w:val="single"/>
          <w:lang w:val="en-GB"/>
        </w:rPr>
      </w:pPr>
    </w:p>
    <w:p w14:paraId="6D12D631" w14:textId="77777777" w:rsidR="00B54D51" w:rsidRPr="00037AD4" w:rsidRDefault="00B54D51" w:rsidP="00891549">
      <w:pPr>
        <w:rPr>
          <w:rFonts w:asciiTheme="minorHAnsi" w:hAnsiTheme="minorHAnsi" w:cstheme="minorHAnsi"/>
        </w:rPr>
      </w:pPr>
      <w:r w:rsidRPr="00037AD4">
        <w:rPr>
          <w:rFonts w:asciiTheme="minorHAnsi" w:hAnsiTheme="minorHAnsi" w:cstheme="minorHAnsi"/>
        </w:rPr>
        <w:t xml:space="preserve">Chapter Four provided detailed descriptive statistics of the three dementia studies from which data was acquired, and the quality and completeness of the data was appraised. Preliminary exploratory analyses were conducted to better understand the sample characteristics of the study datasets. A key knowledge gap was identified in the </w:t>
      </w:r>
      <w:hyperlink w:anchor="Ch37" w:history="1">
        <w:r w:rsidRPr="00B54D51">
          <w:rPr>
            <w:rStyle w:val="Hyperlink"/>
            <w:rFonts w:asciiTheme="minorHAnsi" w:hAnsiTheme="minorHAnsi" w:cstheme="minorHAnsi"/>
            <w:color w:val="auto"/>
            <w:u w:val="none"/>
          </w:rPr>
          <w:t>systematic review of Chapter Three</w:t>
        </w:r>
      </w:hyperlink>
      <w:r w:rsidRPr="00B54D51">
        <w:rPr>
          <w:rFonts w:asciiTheme="minorHAnsi" w:hAnsiTheme="minorHAnsi" w:cstheme="minorHAnsi"/>
        </w:rPr>
        <w:t xml:space="preserve"> </w:t>
      </w:r>
      <w:r w:rsidRPr="00037AD4">
        <w:rPr>
          <w:rFonts w:asciiTheme="minorHAnsi" w:hAnsiTheme="minorHAnsi" w:cstheme="minorHAnsi"/>
        </w:rPr>
        <w:t xml:space="preserve">regarding the lack of evidence related to EQ-5D dimension level convergent validity with dementia symptom measures. Therefore, in Chapter Four, correlation-based analyses were performed to bridge this knowledge gap. It was reported that measures of function showed evidence of association with the “mobility” and “self-care” dimensions, and the measures of behaviour/mood correlated with “anxiety/depression”. In general, these associations were stronger with proxy-reported EQ-5D dimensions than with PwD self-reports. However, these analyses alone do not establish which respondent provides the most accurate reflection of HRQoL in dementia, and due to their cross-sectional nature, they do not provide information about change over time. </w:t>
      </w:r>
    </w:p>
    <w:p w14:paraId="06B006A6" w14:textId="77777777" w:rsidR="00B54D51" w:rsidRPr="00037AD4" w:rsidRDefault="00B54D51" w:rsidP="00891549">
      <w:pPr>
        <w:rPr>
          <w:rFonts w:asciiTheme="minorHAnsi" w:hAnsiTheme="minorHAnsi" w:cstheme="minorHAnsi"/>
        </w:rPr>
      </w:pPr>
    </w:p>
    <w:p w14:paraId="29FBB0B3" w14:textId="77777777" w:rsidR="00B54D51" w:rsidRPr="00037AD4" w:rsidRDefault="00B54D51" w:rsidP="000E11E4">
      <w:pPr>
        <w:pStyle w:val="EndNoteBibliography"/>
        <w:rPr>
          <w:rFonts w:asciiTheme="minorHAnsi" w:hAnsiTheme="minorHAnsi" w:cstheme="minorHAnsi"/>
          <w:b/>
          <w:bCs/>
          <w:color w:val="000000" w:themeColor="text1"/>
          <w:sz w:val="26"/>
          <w:szCs w:val="26"/>
          <w:u w:val="single"/>
          <w:lang w:val="en-GB"/>
        </w:rPr>
      </w:pPr>
      <w:r w:rsidRPr="00037AD4">
        <w:rPr>
          <w:rFonts w:asciiTheme="minorHAnsi" w:hAnsiTheme="minorHAnsi" w:cstheme="minorHAnsi"/>
          <w:lang w:val="en-GB"/>
        </w:rPr>
        <w:t xml:space="preserve">The analyses presented within this chapter build upon Chapter Four by applying psychometric and statistical techniques to the available individual patient level trial data to generate novel evidence that helps assess the performance of PwD and proxy responses, by EQ-5D dimension, in a variety of ways. </w:t>
      </w:r>
    </w:p>
    <w:p w14:paraId="37B684D1" w14:textId="77777777" w:rsidR="00B54D51" w:rsidRPr="00037AD4" w:rsidRDefault="00B54D51" w:rsidP="000E11E4">
      <w:pPr>
        <w:pStyle w:val="EndNoteBibliography"/>
        <w:rPr>
          <w:rFonts w:asciiTheme="minorHAnsi" w:hAnsiTheme="minorHAnsi" w:cstheme="minorHAnsi"/>
          <w:b/>
          <w:bCs/>
          <w:color w:val="000000" w:themeColor="text1"/>
          <w:sz w:val="26"/>
          <w:szCs w:val="26"/>
          <w:u w:val="single"/>
          <w:lang w:val="en-GB"/>
        </w:rPr>
      </w:pPr>
    </w:p>
    <w:p w14:paraId="70120BD5" w14:textId="77777777" w:rsidR="00B54D51" w:rsidRPr="00037AD4" w:rsidRDefault="00B54D51" w:rsidP="007A43F9">
      <w:pPr>
        <w:pStyle w:val="Heading2"/>
      </w:pPr>
      <w:bookmarkStart w:id="346" w:name="_Toc175742319"/>
      <w:r w:rsidRPr="00037AD4">
        <w:t>5.1 Introduction</w:t>
      </w:r>
      <w:bookmarkEnd w:id="346"/>
      <w:r w:rsidRPr="00037AD4">
        <w:t xml:space="preserve">  </w:t>
      </w:r>
    </w:p>
    <w:p w14:paraId="7F5CD646" w14:textId="77777777" w:rsidR="00B54D51" w:rsidRPr="00037AD4" w:rsidRDefault="00B54D51" w:rsidP="00502791">
      <w:pPr>
        <w:rPr>
          <w:rFonts w:asciiTheme="minorHAnsi" w:hAnsiTheme="minorHAnsi" w:cstheme="minorHAnsi"/>
        </w:rPr>
      </w:pPr>
    </w:p>
    <w:p w14:paraId="27952ADA" w14:textId="77777777" w:rsidR="00B54D51" w:rsidRPr="00037AD4" w:rsidRDefault="00B54D51" w:rsidP="00502791">
      <w:pPr>
        <w:rPr>
          <w:rFonts w:asciiTheme="minorHAnsi" w:hAnsiTheme="minorHAnsi" w:cstheme="minorHAnsi"/>
        </w:rPr>
      </w:pPr>
      <w:r w:rsidRPr="00037AD4">
        <w:rPr>
          <w:rFonts w:asciiTheme="minorHAnsi" w:hAnsiTheme="minorHAnsi" w:cstheme="minorHAnsi"/>
        </w:rPr>
        <w:t xml:space="preserve">In most settings, it is the patient that provides the descriptive aspect of their current health status, for example, by self-reported EQ-5D. However, this may not always be feasible or the most accurate assessment in dementia populations, often resulting in the sole use of proxy-reports on behalf of the PwD. Currently, there is no consensus on whether PwD or proxy HRQoL responses should be used in dementia studies, or who should act as the proxy. The recommendations may differ according to the degree of the severity of symptoms. It is possible that some EQ-5D dimensions are more reliably reported by the PwD themselves, while others are better reported by a proxy, and that the degree of dementia severity beyond which responses are not reliably attained from the PwD is not the same for each of the five EQ-5D dimensions. </w:t>
      </w:r>
    </w:p>
    <w:p w14:paraId="2099A492" w14:textId="77777777" w:rsidR="00B54D51" w:rsidRPr="00037AD4" w:rsidRDefault="00B54D51" w:rsidP="00502791">
      <w:pPr>
        <w:rPr>
          <w:rFonts w:asciiTheme="minorHAnsi" w:hAnsiTheme="minorHAnsi" w:cstheme="minorHAnsi"/>
        </w:rPr>
      </w:pPr>
    </w:p>
    <w:p w14:paraId="414B316E" w14:textId="2B270797" w:rsidR="00B54D51" w:rsidRPr="00037AD4" w:rsidRDefault="00B54D51" w:rsidP="00502791">
      <w:pPr>
        <w:rPr>
          <w:rFonts w:asciiTheme="minorHAnsi" w:hAnsiTheme="minorHAnsi" w:cstheme="minorHAnsi"/>
        </w:rPr>
      </w:pPr>
      <w:r w:rsidRPr="00037AD4">
        <w:rPr>
          <w:rFonts w:asciiTheme="minorHAnsi" w:hAnsiTheme="minorHAnsi" w:cstheme="minorHAnsi"/>
        </w:rPr>
        <w:t>Th</w:t>
      </w:r>
      <w:r w:rsidR="00416BFB">
        <w:rPr>
          <w:rFonts w:asciiTheme="minorHAnsi" w:hAnsiTheme="minorHAnsi" w:cstheme="minorHAnsi"/>
        </w:rPr>
        <w:t>e</w:t>
      </w:r>
      <w:r w:rsidRPr="00037AD4">
        <w:rPr>
          <w:rFonts w:asciiTheme="minorHAnsi" w:hAnsiTheme="minorHAnsi" w:cstheme="minorHAnsi"/>
        </w:rPr>
        <w:t xml:space="preserve"> analysis presented within this chapter extends the findings of Chapter Four by using the individual patient level data to determine the most effective respondent type for assessing each EQ-5D dimension. This assessment is based on the alignment of dimension reports with external measures of dementia symptomology, where an association has been previously identified. Particular attention is given to the direction of reporting and observing longitudinal changes over time. This approach will contribute valuable insights to QALY estimations in dementia evaluations, particularly in the decision-making process regarding whether to use EQ-5D reports from the PwD or </w:t>
      </w:r>
      <w:r w:rsidR="00416BFB">
        <w:rPr>
          <w:rFonts w:asciiTheme="minorHAnsi" w:hAnsiTheme="minorHAnsi" w:cstheme="minorHAnsi"/>
        </w:rPr>
        <w:t xml:space="preserve">a </w:t>
      </w:r>
      <w:r w:rsidRPr="00037AD4">
        <w:rPr>
          <w:rFonts w:asciiTheme="minorHAnsi" w:hAnsiTheme="minorHAnsi" w:cstheme="minorHAnsi"/>
        </w:rPr>
        <w:t xml:space="preserve">proxy. As previously discussed, there are differences between HRQoL reports provided by people with dementia and proxies about the PwD. By considering the accounts from both sources and determining which respondent </w:t>
      </w:r>
      <w:r w:rsidRPr="00037AD4">
        <w:rPr>
          <w:rFonts w:asciiTheme="minorHAnsi" w:hAnsiTheme="minorHAnsi" w:cstheme="minorHAnsi"/>
        </w:rPr>
        <w:lastRenderedPageBreak/>
        <w:t>provides the optimal report for each dimension, a true representation of the PwD's HRQoL status can be applied in economic evaluations.</w:t>
      </w:r>
    </w:p>
    <w:p w14:paraId="7CB4323B" w14:textId="77777777" w:rsidR="00B54D51" w:rsidRPr="00037AD4" w:rsidRDefault="00B54D51" w:rsidP="00502791">
      <w:pPr>
        <w:rPr>
          <w:rFonts w:asciiTheme="minorHAnsi" w:hAnsiTheme="minorHAnsi" w:cstheme="minorHAnsi"/>
        </w:rPr>
      </w:pPr>
    </w:p>
    <w:p w14:paraId="27F80981" w14:textId="77777777" w:rsidR="00B54D51" w:rsidRPr="00037AD4" w:rsidRDefault="00B54D51" w:rsidP="00502791">
      <w:pPr>
        <w:rPr>
          <w:rFonts w:asciiTheme="minorHAnsi" w:hAnsiTheme="minorHAnsi" w:cstheme="minorHAnsi"/>
        </w:rPr>
      </w:pPr>
      <w:r w:rsidRPr="00037AD4">
        <w:rPr>
          <w:rFonts w:asciiTheme="minorHAnsi" w:hAnsiTheme="minorHAnsi" w:cstheme="minorHAnsi"/>
        </w:rPr>
        <w:t>The methodologies are applied separately to each EQ-5D dimension and to utility scores, resulting in six sections. The findings of this research will inform recommendations regarding whose reports to use for each EQ-5D dimension and are presented at the end of the chapter.</w:t>
      </w:r>
    </w:p>
    <w:p w14:paraId="71916E4E" w14:textId="77777777" w:rsidR="00B54D51" w:rsidRPr="00037AD4" w:rsidRDefault="00B54D51" w:rsidP="000E11E4">
      <w:pPr>
        <w:pStyle w:val="EndNoteBibliography"/>
        <w:rPr>
          <w:rFonts w:asciiTheme="minorHAnsi" w:hAnsiTheme="minorHAnsi" w:cstheme="minorHAnsi"/>
          <w:b/>
          <w:bCs/>
          <w:color w:val="000000" w:themeColor="text1"/>
          <w:sz w:val="26"/>
          <w:szCs w:val="26"/>
          <w:u w:val="single"/>
          <w:lang w:val="en-GB"/>
        </w:rPr>
      </w:pPr>
    </w:p>
    <w:p w14:paraId="73419B5F" w14:textId="77777777" w:rsidR="00B54D51" w:rsidRPr="00037AD4" w:rsidRDefault="00B54D51" w:rsidP="007A43F9">
      <w:pPr>
        <w:pStyle w:val="Heading2"/>
      </w:pPr>
      <w:bookmarkStart w:id="347" w:name="_Toc175742320"/>
      <w:r w:rsidRPr="00037AD4">
        <w:t>5.2 Aims and objectives</w:t>
      </w:r>
      <w:bookmarkEnd w:id="347"/>
      <w:r w:rsidRPr="00037AD4">
        <w:t xml:space="preserve"> </w:t>
      </w:r>
    </w:p>
    <w:p w14:paraId="36F2813A" w14:textId="77777777" w:rsidR="00B54D51" w:rsidRPr="00037AD4" w:rsidRDefault="00B54D51" w:rsidP="000E11E4">
      <w:pPr>
        <w:pStyle w:val="EndNoteBibliography"/>
        <w:rPr>
          <w:rFonts w:asciiTheme="minorHAnsi" w:hAnsiTheme="minorHAnsi" w:cstheme="minorHAnsi"/>
          <w:b/>
          <w:bCs/>
          <w:color w:val="000000" w:themeColor="text1"/>
          <w:sz w:val="26"/>
          <w:szCs w:val="26"/>
          <w:u w:val="single"/>
          <w:lang w:val="en-GB"/>
        </w:rPr>
      </w:pPr>
    </w:p>
    <w:p w14:paraId="10544F56" w14:textId="77777777" w:rsidR="00B54D51" w:rsidRPr="00037AD4" w:rsidRDefault="00B54D51" w:rsidP="00F356EF">
      <w:pPr>
        <w:rPr>
          <w:rFonts w:asciiTheme="minorHAnsi" w:hAnsiTheme="minorHAnsi" w:cstheme="minorHAnsi"/>
        </w:rPr>
      </w:pPr>
      <w:r w:rsidRPr="00037AD4">
        <w:rPr>
          <w:rFonts w:asciiTheme="minorHAnsi" w:hAnsiTheme="minorHAnsi" w:cstheme="minorHAnsi"/>
        </w:rPr>
        <w:t xml:space="preserve">The overall aim of this chapter is to use statistical and psychometric techniques to make recommendations for a “target” combination of responses to EQ-5D dimensions by respondent-type. This target combination may then be used when estimating HRQoL in dementia populations. </w:t>
      </w:r>
    </w:p>
    <w:p w14:paraId="0D7451BD" w14:textId="77777777" w:rsidR="00B54D51" w:rsidRPr="00037AD4" w:rsidRDefault="00B54D51" w:rsidP="00F356EF">
      <w:pPr>
        <w:ind w:left="360"/>
        <w:rPr>
          <w:rFonts w:asciiTheme="minorHAnsi" w:hAnsiTheme="minorHAnsi" w:cstheme="minorHAnsi"/>
        </w:rPr>
      </w:pPr>
    </w:p>
    <w:p w14:paraId="42707BAE" w14:textId="77777777" w:rsidR="00B54D51" w:rsidRPr="00037AD4" w:rsidRDefault="00B54D51" w:rsidP="00F356EF">
      <w:pPr>
        <w:rPr>
          <w:rFonts w:asciiTheme="minorHAnsi" w:hAnsiTheme="minorHAnsi" w:cstheme="minorHAnsi"/>
        </w:rPr>
      </w:pPr>
      <w:r w:rsidRPr="00037AD4">
        <w:rPr>
          <w:rFonts w:asciiTheme="minorHAnsi" w:hAnsiTheme="minorHAnsi" w:cstheme="minorHAnsi"/>
        </w:rPr>
        <w:t xml:space="preserve">The key objectives of this chapter are to: </w:t>
      </w:r>
    </w:p>
    <w:p w14:paraId="704588A4" w14:textId="77777777" w:rsidR="00B54D51" w:rsidRPr="00037AD4" w:rsidRDefault="00B54D51" w:rsidP="00F356EF">
      <w:pPr>
        <w:rPr>
          <w:rFonts w:asciiTheme="minorHAnsi" w:hAnsiTheme="minorHAnsi" w:cstheme="minorHAnsi"/>
        </w:rPr>
      </w:pPr>
    </w:p>
    <w:p w14:paraId="3697F1E4" w14:textId="77777777" w:rsidR="00B54D51" w:rsidRPr="00037AD4" w:rsidRDefault="00B54D51" w:rsidP="00F356EF">
      <w:pPr>
        <w:pStyle w:val="ListParagraph"/>
        <w:numPr>
          <w:ilvl w:val="0"/>
          <w:numId w:val="9"/>
        </w:numPr>
        <w:rPr>
          <w:rFonts w:cstheme="minorHAnsi"/>
        </w:rPr>
      </w:pPr>
      <w:r w:rsidRPr="00037AD4">
        <w:rPr>
          <w:rFonts w:cstheme="minorHAnsi"/>
        </w:rPr>
        <w:t>Identify whose EQ-5D dimension reports most accurately reflect change in dementia symptom status (undertaken separately for each dimension)</w:t>
      </w:r>
    </w:p>
    <w:p w14:paraId="7E278A78" w14:textId="77777777" w:rsidR="00B54D51" w:rsidRPr="00037AD4" w:rsidRDefault="00B54D51" w:rsidP="00F356EF">
      <w:pPr>
        <w:pStyle w:val="ListParagraph"/>
        <w:numPr>
          <w:ilvl w:val="0"/>
          <w:numId w:val="9"/>
        </w:numPr>
        <w:rPr>
          <w:rFonts w:cstheme="minorHAnsi"/>
        </w:rPr>
      </w:pPr>
      <w:r w:rsidRPr="00037AD4">
        <w:rPr>
          <w:rFonts w:cstheme="minorHAnsi"/>
        </w:rPr>
        <w:t xml:space="preserve">Analyse similarities and/or differences in how the PwD and proxy report EQ-5D at the individual dimension level, and ultimately for utility scores </w:t>
      </w:r>
    </w:p>
    <w:p w14:paraId="4DF82B35" w14:textId="77777777" w:rsidR="00B54D51" w:rsidRPr="00037AD4" w:rsidRDefault="00B54D51" w:rsidP="0026777C">
      <w:pPr>
        <w:pStyle w:val="ListParagraph"/>
        <w:numPr>
          <w:ilvl w:val="0"/>
          <w:numId w:val="9"/>
        </w:numPr>
        <w:rPr>
          <w:rFonts w:cstheme="minorHAnsi"/>
        </w:rPr>
      </w:pPr>
      <w:r w:rsidRPr="00037AD4">
        <w:rPr>
          <w:rFonts w:cstheme="minorHAnsi"/>
        </w:rPr>
        <w:t xml:space="preserve">Provide recommendations regarding which respondent’s EQ-5D dimension reports to use for utility score estimations, based on an interpretation of the presented analyses </w:t>
      </w:r>
    </w:p>
    <w:p w14:paraId="449E75C8" w14:textId="77777777" w:rsidR="00B54D51" w:rsidRPr="00037AD4" w:rsidRDefault="00B54D51" w:rsidP="00F356EF">
      <w:pPr>
        <w:rPr>
          <w:rFonts w:asciiTheme="minorHAnsi" w:hAnsiTheme="minorHAnsi" w:cstheme="minorHAnsi"/>
          <w:sz w:val="26"/>
          <w:szCs w:val="26"/>
        </w:rPr>
      </w:pPr>
    </w:p>
    <w:p w14:paraId="0E195838" w14:textId="77777777" w:rsidR="00B54D51" w:rsidRPr="00037AD4" w:rsidRDefault="00B54D51" w:rsidP="007A43F9">
      <w:pPr>
        <w:pStyle w:val="Heading2"/>
      </w:pPr>
      <w:bookmarkStart w:id="348" w:name="_Toc175742321"/>
      <w:r w:rsidRPr="00037AD4">
        <w:t>5.3 Methods</w:t>
      </w:r>
      <w:bookmarkEnd w:id="348"/>
    </w:p>
    <w:p w14:paraId="7D5A18A8" w14:textId="77777777" w:rsidR="00B54D51" w:rsidRPr="00037AD4" w:rsidRDefault="00B54D51" w:rsidP="00F356EF">
      <w:pPr>
        <w:rPr>
          <w:rFonts w:asciiTheme="minorHAnsi" w:hAnsiTheme="minorHAnsi" w:cstheme="minorHAnsi"/>
        </w:rPr>
      </w:pPr>
    </w:p>
    <w:p w14:paraId="0470EDB4" w14:textId="77777777" w:rsidR="00B54D51" w:rsidRPr="00037AD4" w:rsidRDefault="00B54D51" w:rsidP="00F356EF">
      <w:pPr>
        <w:rPr>
          <w:rFonts w:asciiTheme="minorHAnsi" w:hAnsiTheme="minorHAnsi" w:cstheme="minorHAnsi"/>
        </w:rPr>
      </w:pPr>
      <w:r w:rsidRPr="00037AD4">
        <w:rPr>
          <w:rFonts w:asciiTheme="minorHAnsi" w:hAnsiTheme="minorHAnsi" w:cstheme="minorHAnsi"/>
        </w:rPr>
        <w:t xml:space="preserve">The dementia-symptom measures collected by each of the trials are included within the analyses, as well as demographic information about the PwD and proxy where available. Two of the trials, ACTIFCARE and EPIC used EQ-5D-5L, and EQ-5D-3L was administered in REMCARE. Variables have been generated to indicate residential status and to distinguish which study the observations have originated from. Pooled data from the three trials is used within the analyses where possible to maximise on the observations, for example where mean EQ-5D index scores are assessed. Excluding the REMCARE study data from certain dimension-based analyses was necessary as it collected the three-level version of EQ-5D and merging EQ-5D data with varying levels would confound some of the analyses, particularly when examining direction of movement and discrepancy scores. Therefore, the datasets that have been used for the analyses are indicated in the methods sections below. </w:t>
      </w:r>
    </w:p>
    <w:p w14:paraId="7B5BD1DA" w14:textId="77777777" w:rsidR="00B54D51" w:rsidRPr="00037AD4" w:rsidRDefault="00B54D51" w:rsidP="00F356EF">
      <w:pPr>
        <w:rPr>
          <w:rFonts w:asciiTheme="minorHAnsi" w:hAnsiTheme="minorHAnsi" w:cstheme="minorHAnsi"/>
        </w:rPr>
      </w:pPr>
    </w:p>
    <w:p w14:paraId="0C8E92A2" w14:textId="77777777" w:rsidR="00B54D51" w:rsidRPr="00037AD4" w:rsidRDefault="00B54D51" w:rsidP="007A43F9">
      <w:pPr>
        <w:pStyle w:val="Heading3"/>
      </w:pPr>
      <w:bookmarkStart w:id="349" w:name="_Toc175742322"/>
      <w:r w:rsidRPr="00037AD4">
        <w:t>5.3.1 Methods for objective one</w:t>
      </w:r>
      <w:bookmarkEnd w:id="349"/>
      <w:r w:rsidRPr="00037AD4">
        <w:t xml:space="preserve"> </w:t>
      </w:r>
      <w:bookmarkStart w:id="350" w:name="Sec531"/>
    </w:p>
    <w:bookmarkEnd w:id="350"/>
    <w:p w14:paraId="549BFCD5" w14:textId="77777777" w:rsidR="00B54D51" w:rsidRPr="00037AD4" w:rsidRDefault="00B54D51" w:rsidP="00F356EF">
      <w:pPr>
        <w:rPr>
          <w:rFonts w:asciiTheme="minorHAnsi" w:hAnsiTheme="minorHAnsi" w:cstheme="minorHAnsi"/>
        </w:rPr>
      </w:pPr>
    </w:p>
    <w:p w14:paraId="7F3F691E" w14:textId="77777777" w:rsidR="00B54D51" w:rsidRPr="00037AD4" w:rsidRDefault="00B54D51" w:rsidP="00F356EF">
      <w:pPr>
        <w:rPr>
          <w:rFonts w:asciiTheme="minorHAnsi" w:hAnsiTheme="minorHAnsi" w:cstheme="minorHAnsi"/>
        </w:rPr>
      </w:pPr>
      <w:r w:rsidRPr="00037AD4">
        <w:rPr>
          <w:rFonts w:asciiTheme="minorHAnsi" w:hAnsiTheme="minorHAnsi" w:cstheme="minorHAnsi"/>
        </w:rPr>
        <w:t xml:space="preserve">Analysing change reported by the dyads (PwD and proxy pairs) provides insight into how EQ-5D ratings may or not may not be responding to changes in dementia symptoms as captured by measures (where one might expect change, i.e., where clinical disease has progressed). By examining this objective, a better understanding of which respondent’s HRQoL reports </w:t>
      </w:r>
      <w:r w:rsidRPr="00037AD4">
        <w:rPr>
          <w:rFonts w:asciiTheme="minorHAnsi" w:hAnsiTheme="minorHAnsi" w:cstheme="minorHAnsi"/>
        </w:rPr>
        <w:lastRenderedPageBreak/>
        <w:t xml:space="preserve">(about the PwD) are more accurately reflecting dementia-disease experience is being appraised. </w:t>
      </w:r>
    </w:p>
    <w:p w14:paraId="3EB099C3" w14:textId="77777777" w:rsidR="00B54D51" w:rsidRPr="00037AD4" w:rsidRDefault="00B54D51" w:rsidP="00F356EF">
      <w:pPr>
        <w:rPr>
          <w:rFonts w:asciiTheme="minorHAnsi" w:hAnsiTheme="minorHAnsi" w:cstheme="minorHAnsi"/>
        </w:rPr>
      </w:pPr>
    </w:p>
    <w:p w14:paraId="18079D0B" w14:textId="77777777" w:rsidR="00B54D51" w:rsidRPr="00037AD4" w:rsidRDefault="00B54D51" w:rsidP="00F356EF">
      <w:pPr>
        <w:rPr>
          <w:rFonts w:asciiTheme="minorHAnsi" w:hAnsiTheme="minorHAnsi" w:cstheme="minorHAnsi"/>
        </w:rPr>
      </w:pPr>
      <w:r w:rsidRPr="00037AD4">
        <w:rPr>
          <w:rFonts w:asciiTheme="minorHAnsi" w:hAnsiTheme="minorHAnsi" w:cstheme="minorHAnsi"/>
        </w:rPr>
        <w:t xml:space="preserve">Dyadic change is explored via change scores from baseline (T0) to the final follow-up point (T2) using counts and proportions of PwD-proxy dyad-reports exhibiting change in the following directions: </w:t>
      </w:r>
      <w:r w:rsidRPr="00037AD4">
        <w:rPr>
          <w:rFonts w:asciiTheme="minorHAnsi" w:hAnsiTheme="minorHAnsi" w:cstheme="minorHAnsi"/>
          <w:i/>
          <w:iCs/>
        </w:rPr>
        <w:t xml:space="preserve">no change, improvement, </w:t>
      </w:r>
      <w:r w:rsidRPr="00037AD4">
        <w:rPr>
          <w:rFonts w:asciiTheme="minorHAnsi" w:hAnsiTheme="minorHAnsi" w:cstheme="minorHAnsi"/>
        </w:rPr>
        <w:t>or</w:t>
      </w:r>
      <w:r w:rsidRPr="00037AD4">
        <w:rPr>
          <w:rFonts w:asciiTheme="minorHAnsi" w:hAnsiTheme="minorHAnsi" w:cstheme="minorHAnsi"/>
          <w:i/>
          <w:iCs/>
        </w:rPr>
        <w:t xml:space="preserve"> worsening</w:t>
      </w:r>
      <w:r w:rsidRPr="00037AD4">
        <w:rPr>
          <w:rFonts w:asciiTheme="minorHAnsi" w:hAnsiTheme="minorHAnsi" w:cstheme="minorHAnsi"/>
        </w:rPr>
        <w:t xml:space="preserve">. Observations at the final follow-up point are selected for consideration as it is necessary for sufficient time to have passed (from baseline) to detect any changes in dementia symptoms by the measures. To demonstrate this, the proportion of people with dementia who experienced a progression in their dementia severity stage (measured via CDR) from baseline to the middle data collection point (T1), and baseline to T2, are compared using a two-sample test of proportions. It is found that the proportions are statistically different from each other (p=0.00), whereby a significantly higher proportion of the sample had experienced dementia severity stage progression by the later time point (to T2). Although the final follow-up points varied between the studies (REMCARE: 10 months, EPIC: 16 months and ACTIFCARE: 12 months), this was not considered likely to impact the results as often within trials there is a range in the timeframe for which data is actually collected. As the direction of change recorded by reports is impacted by the number of levels available to a respondent to select from, data from the two trials that collected EQ-5D-5L were solely used for this analysis.    </w:t>
      </w:r>
    </w:p>
    <w:p w14:paraId="7720623E" w14:textId="77777777" w:rsidR="00B54D51" w:rsidRPr="00037AD4" w:rsidRDefault="00B54D51" w:rsidP="00F356EF">
      <w:pPr>
        <w:rPr>
          <w:rFonts w:asciiTheme="minorHAnsi" w:hAnsiTheme="minorHAnsi" w:cstheme="minorHAnsi"/>
        </w:rPr>
      </w:pPr>
    </w:p>
    <w:p w14:paraId="3065EE05" w14:textId="466A6F22" w:rsidR="00B54D51" w:rsidRPr="00037AD4" w:rsidRDefault="00B54D51" w:rsidP="005F2479">
      <w:pPr>
        <w:rPr>
          <w:rFonts w:asciiTheme="minorHAnsi" w:hAnsiTheme="minorHAnsi" w:cstheme="minorHAnsi"/>
        </w:rPr>
      </w:pPr>
      <w:r w:rsidRPr="00037AD4">
        <w:rPr>
          <w:rFonts w:asciiTheme="minorHAnsi" w:hAnsiTheme="minorHAnsi" w:cstheme="minorHAnsi"/>
        </w:rPr>
        <w:t xml:space="preserve">Dyadic change is explored for each of the EQ-5D dimensions and for utility scores. An important factor of these analyses is deciding which dementia symptom measures to compare against the dyadic change in EQ-5D reports. For this, the convergent validity findings that have been undertaken and reported in the previous chapters are drawn upon. </w:t>
      </w:r>
      <w:hyperlink w:anchor="A5" w:history="1">
        <w:r w:rsidRPr="007A5C53">
          <w:rPr>
            <w:rStyle w:val="Hyperlink"/>
            <w:rFonts w:asciiTheme="minorHAnsi" w:hAnsiTheme="minorHAnsi" w:cstheme="minorHAnsi"/>
            <w:color w:val="auto"/>
            <w:u w:val="none"/>
          </w:rPr>
          <w:t>Appendix 5</w:t>
        </w:r>
      </w:hyperlink>
      <w:r w:rsidRPr="007A5C53">
        <w:rPr>
          <w:rFonts w:asciiTheme="minorHAnsi" w:hAnsiTheme="minorHAnsi" w:cstheme="minorHAnsi"/>
        </w:rPr>
        <w:t xml:space="preserve"> provides a condensed summary of the convergent validity findings by EQ-5D dimension that have been identified via the systematic review (</w:t>
      </w:r>
      <w:hyperlink w:anchor="Ch37" w:history="1">
        <w:r w:rsidRPr="007A5C53">
          <w:rPr>
            <w:rStyle w:val="Hyperlink"/>
            <w:rFonts w:asciiTheme="minorHAnsi" w:hAnsiTheme="minorHAnsi" w:cstheme="minorHAnsi"/>
            <w:color w:val="auto"/>
            <w:u w:val="none"/>
          </w:rPr>
          <w:t>in Section 3.7</w:t>
        </w:r>
      </w:hyperlink>
      <w:r w:rsidRPr="007A5C53">
        <w:rPr>
          <w:rFonts w:asciiTheme="minorHAnsi" w:hAnsiTheme="minorHAnsi" w:cstheme="minorHAnsi"/>
        </w:rPr>
        <w:t xml:space="preserve">), and the correlation-analyses of Chapter Four. The outcomes included within </w:t>
      </w:r>
      <w:hyperlink w:anchor="A5" w:history="1">
        <w:r w:rsidRPr="007A5C53">
          <w:rPr>
            <w:rStyle w:val="Hyperlink"/>
            <w:rFonts w:asciiTheme="minorHAnsi" w:hAnsiTheme="minorHAnsi" w:cstheme="minorHAnsi"/>
            <w:color w:val="auto"/>
            <w:u w:val="none"/>
          </w:rPr>
          <w:t>Appendix 5</w:t>
        </w:r>
      </w:hyperlink>
      <w:r w:rsidRPr="007A5C53">
        <w:rPr>
          <w:rFonts w:asciiTheme="minorHAnsi" w:hAnsiTheme="minorHAnsi" w:cstheme="minorHAnsi"/>
        </w:rPr>
        <w:t xml:space="preserve"> are used to guide the selection of dementia symptom measures to use when evaluating change </w:t>
      </w:r>
      <w:r w:rsidRPr="00037AD4">
        <w:rPr>
          <w:rFonts w:asciiTheme="minorHAnsi" w:hAnsiTheme="minorHAnsi" w:cstheme="minorHAnsi"/>
        </w:rPr>
        <w:t>(of EQ-5D dimension reporting).</w:t>
      </w:r>
      <w:r w:rsidR="000628A5">
        <w:rPr>
          <w:rFonts w:asciiTheme="minorHAnsi" w:hAnsiTheme="minorHAnsi" w:cstheme="minorHAnsi"/>
        </w:rPr>
        <w:t xml:space="preserve"> </w:t>
      </w:r>
      <w:r w:rsidR="000628A5" w:rsidRPr="000628A5">
        <w:rPr>
          <w:rFonts w:asciiTheme="minorHAnsi" w:hAnsiTheme="minorHAnsi" w:cstheme="minorHAnsi"/>
        </w:rPr>
        <w:t>In the ACTIFCARE study, two measures of function were collected: the Instrumental Activities of Daily Living (IADL) and the Physical Self-Maintenance Scale (PSMS). These measures assess distinct types of activities of daily living (ADLs). For the purpose of these analyses, the IADL and PSMS scores were combined to generate a single comprehensive score. This approach is standard practice in order to capture the full spectrum of ADL activities, providing a more holistic assessment of functional abilities</w:t>
      </w:r>
      <w:r w:rsidR="000628A5">
        <w:rPr>
          <w:rFonts w:asciiTheme="minorHAnsi" w:hAnsiTheme="minorHAnsi" w:cstheme="minorHAnsi"/>
        </w:rPr>
        <w:t xml:space="preserve"> (Graf, 2008)</w:t>
      </w:r>
      <w:r w:rsidR="000628A5" w:rsidRPr="000628A5">
        <w:rPr>
          <w:rFonts w:asciiTheme="minorHAnsi" w:hAnsiTheme="minorHAnsi" w:cstheme="minorHAnsi"/>
        </w:rPr>
        <w:t>. Combining these measures helps to encompass both the complex tasks required for independent living and the basic self-care tasks, offering a thorough evaluation of a person's capabilities</w:t>
      </w:r>
      <w:r w:rsidR="000628A5">
        <w:rPr>
          <w:rFonts w:asciiTheme="minorHAnsi" w:hAnsiTheme="minorHAnsi" w:cstheme="minorHAnsi"/>
        </w:rPr>
        <w:t xml:space="preserve">. </w:t>
      </w:r>
      <w:r w:rsidRPr="00037AD4">
        <w:rPr>
          <w:rFonts w:asciiTheme="minorHAnsi" w:hAnsiTheme="minorHAnsi" w:cstheme="minorHAnsi"/>
        </w:rPr>
        <w:t>However, it is worth noting that in other studies and trials, this merging of measures may not always occur, as some may choose to collect only one of these measures.</w:t>
      </w:r>
    </w:p>
    <w:p w14:paraId="5168F548" w14:textId="77777777" w:rsidR="00B54D51" w:rsidRPr="00037AD4" w:rsidRDefault="00B54D51" w:rsidP="00F356EF">
      <w:pPr>
        <w:rPr>
          <w:rFonts w:asciiTheme="minorHAnsi" w:hAnsiTheme="minorHAnsi" w:cstheme="minorHAnsi"/>
        </w:rPr>
      </w:pPr>
    </w:p>
    <w:p w14:paraId="42969F3A" w14:textId="77777777" w:rsidR="00B54D51" w:rsidRPr="00037AD4" w:rsidRDefault="00B54D51" w:rsidP="00F356EF">
      <w:pPr>
        <w:rPr>
          <w:rFonts w:asciiTheme="minorHAnsi" w:hAnsiTheme="minorHAnsi" w:cstheme="minorHAnsi"/>
        </w:rPr>
      </w:pPr>
      <w:r w:rsidRPr="00037AD4">
        <w:rPr>
          <w:rFonts w:asciiTheme="minorHAnsi" w:hAnsiTheme="minorHAnsi" w:cstheme="minorHAnsi"/>
        </w:rPr>
        <w:t xml:space="preserve">Responsiveness captures sensitivity to changes and is an important psychometric property when considering longitudinal assessments. To explore responsiveness, effect size calculations are performed using the Cohen’s D equation: </w:t>
      </w:r>
    </w:p>
    <w:p w14:paraId="27674645" w14:textId="77777777" w:rsidR="00B54D51" w:rsidRPr="00037AD4" w:rsidRDefault="00B54D51" w:rsidP="00F356EF">
      <w:pPr>
        <w:rPr>
          <w:rFonts w:asciiTheme="minorHAnsi" w:hAnsiTheme="minorHAnsi" w:cstheme="minorHAnsi"/>
        </w:rPr>
      </w:pPr>
    </w:p>
    <w:p w14:paraId="3FFF8282" w14:textId="103D7FC3" w:rsidR="00B54D51" w:rsidRPr="00037AD4" w:rsidRDefault="00B54D51" w:rsidP="00A9019A">
      <w:pPr>
        <w:rPr>
          <w:rFonts w:asciiTheme="minorHAnsi" w:hAnsiTheme="minorHAnsi" w:cstheme="minorHAnsi"/>
        </w:rPr>
      </w:pPr>
      <m:oMathPara>
        <m:oMath>
          <m:r>
            <w:rPr>
              <w:rFonts w:ascii="Cambria Math" w:hAnsi="Cambria Math" w:cstheme="minorHAnsi"/>
            </w:rPr>
            <m:t>Cohe</m:t>
          </m:r>
          <m:sSup>
            <m:sSupPr>
              <m:ctrlPr>
                <w:rPr>
                  <w:rFonts w:ascii="Cambria Math" w:hAnsi="Cambria Math" w:cstheme="minorHAnsi"/>
                  <w:i/>
                </w:rPr>
              </m:ctrlPr>
            </m:sSupPr>
            <m:e>
              <m:r>
                <w:rPr>
                  <w:rFonts w:ascii="Cambria Math" w:hAnsi="Cambria Math" w:cstheme="minorHAnsi"/>
                </w:rPr>
                <m:t>n</m:t>
              </m:r>
            </m:e>
            <m:sup>
              <m:r>
                <w:rPr>
                  <w:rFonts w:ascii="Cambria Math" w:hAnsi="Cambria Math" w:cstheme="minorHAnsi"/>
                </w:rPr>
                <m:t>'</m:t>
              </m:r>
            </m:sup>
          </m:sSup>
          <m:r>
            <w:rPr>
              <w:rFonts w:ascii="Cambria Math" w:hAnsi="Cambria Math" w:cstheme="minorHAnsi"/>
            </w:rPr>
            <m:t>s D=</m:t>
          </m:r>
          <m:f>
            <m:fPr>
              <m:ctrlPr>
                <w:rPr>
                  <w:rFonts w:ascii="Cambria Math" w:hAnsi="Cambria Math" w:cstheme="minorHAnsi"/>
                  <w:i/>
                </w:rPr>
              </m:ctrlPr>
            </m:fPr>
            <m:num>
              <m:r>
                <w:rPr>
                  <w:rFonts w:ascii="Cambria Math" w:hAnsi="Cambria Math" w:cstheme="minorHAnsi"/>
                </w:rPr>
                <m:t>T2 mean-T0 mean</m:t>
              </m:r>
            </m:num>
            <m:den>
              <m:r>
                <w:rPr>
                  <w:rFonts w:ascii="Cambria Math" w:hAnsi="Cambria Math" w:cstheme="minorHAnsi"/>
                </w:rPr>
                <m:t>pooled standard deviation</m:t>
              </m:r>
            </m:den>
          </m:f>
        </m:oMath>
      </m:oMathPara>
    </w:p>
    <w:p w14:paraId="483E8CF8" w14:textId="77777777" w:rsidR="00B54D51" w:rsidRPr="00037AD4" w:rsidRDefault="00B54D51" w:rsidP="00F356EF">
      <w:pPr>
        <w:rPr>
          <w:rFonts w:asciiTheme="minorHAnsi" w:hAnsiTheme="minorHAnsi" w:cstheme="minorHAnsi"/>
        </w:rPr>
      </w:pPr>
    </w:p>
    <w:p w14:paraId="22B2D479" w14:textId="77777777" w:rsidR="00B54D51" w:rsidRPr="00037AD4" w:rsidRDefault="00B54D51" w:rsidP="002B09E5">
      <w:pPr>
        <w:rPr>
          <w:rFonts w:asciiTheme="minorHAnsi" w:hAnsiTheme="minorHAnsi" w:cstheme="minorHAnsi"/>
        </w:rPr>
      </w:pPr>
      <w:r w:rsidRPr="00037AD4">
        <w:rPr>
          <w:rFonts w:asciiTheme="minorHAnsi" w:hAnsiTheme="minorHAnsi" w:cstheme="minorHAnsi"/>
        </w:rPr>
        <w:lastRenderedPageBreak/>
        <w:t xml:space="preserve">Effect sizes depict both the direction and magnitude of change. The interpretation thresholds outlined by Cohen et al. (1989) are applied, whereby an effect size of 0.2 reflects a small effect; 0.5 a moderate effect and 0.8 a large effect </w:t>
      </w:r>
      <w:r>
        <w:rPr>
          <w:rFonts w:asciiTheme="minorHAnsi" w:hAnsiTheme="minorHAnsi" w:cstheme="minorHAnsi"/>
          <w:noProof/>
        </w:rPr>
        <w:t>(Cohen, 2013)</w:t>
      </w:r>
      <w:r w:rsidRPr="00037AD4">
        <w:rPr>
          <w:rFonts w:asciiTheme="minorHAnsi" w:hAnsiTheme="minorHAnsi" w:cstheme="minorHAnsi"/>
        </w:rPr>
        <w:t xml:space="preserve">. Furthermore, the change between T0 and T2 EQ-5D assessments (index and dimension score) are correlated with the change in dementia symptom measure scores (for the same time points) using Pearson’s correlation. For these calculations, improvements and stability in the dementia-symptom measures are considered the same and are therefore merged and compared with worsening of the symptom. Responsiveness assessments at the dimension-level used EQ-5D-5L data only, therefore including data from the ACTIFCARE and EPIC datasets. Responsiveness analyses of utility scores considered the mean scores from all three trials. </w:t>
      </w:r>
    </w:p>
    <w:p w14:paraId="418DD948" w14:textId="77777777" w:rsidR="00B54D51" w:rsidRPr="00037AD4" w:rsidRDefault="00B54D51" w:rsidP="002B09E5">
      <w:pPr>
        <w:rPr>
          <w:rFonts w:asciiTheme="minorHAnsi" w:hAnsiTheme="minorHAnsi" w:cstheme="minorHAnsi"/>
        </w:rPr>
      </w:pPr>
    </w:p>
    <w:p w14:paraId="79D58940" w14:textId="77777777" w:rsidR="00B54D51" w:rsidRPr="00037AD4" w:rsidRDefault="00B54D51" w:rsidP="007A43F9">
      <w:pPr>
        <w:pStyle w:val="Heading3"/>
      </w:pPr>
      <w:bookmarkStart w:id="351" w:name="Sec532"/>
      <w:bookmarkStart w:id="352" w:name="_Toc175742323"/>
      <w:r w:rsidRPr="00037AD4">
        <w:t>5.3.2 Methods for objective two</w:t>
      </w:r>
      <w:bookmarkEnd w:id="352"/>
      <w:r w:rsidRPr="00037AD4">
        <w:t xml:space="preserve"> </w:t>
      </w:r>
    </w:p>
    <w:bookmarkEnd w:id="351"/>
    <w:p w14:paraId="0FFF6440" w14:textId="77777777" w:rsidR="00B54D51" w:rsidRPr="00037AD4" w:rsidRDefault="00B54D51" w:rsidP="002B09E5">
      <w:pPr>
        <w:rPr>
          <w:rFonts w:asciiTheme="minorHAnsi" w:hAnsiTheme="minorHAnsi" w:cstheme="minorHAnsi"/>
        </w:rPr>
      </w:pPr>
    </w:p>
    <w:p w14:paraId="53B59270" w14:textId="77777777" w:rsidR="00B54D51" w:rsidRPr="00037AD4" w:rsidRDefault="00B54D51" w:rsidP="002B09E5">
      <w:pPr>
        <w:rPr>
          <w:rFonts w:asciiTheme="minorHAnsi" w:hAnsiTheme="minorHAnsi" w:cstheme="minorHAnsi"/>
        </w:rPr>
      </w:pPr>
      <w:r w:rsidRPr="00037AD4">
        <w:rPr>
          <w:rFonts w:asciiTheme="minorHAnsi" w:hAnsiTheme="minorHAnsi" w:cstheme="minorHAnsi"/>
        </w:rPr>
        <w:t xml:space="preserve">Inter-rater agreement between the PwD and the informal and staff proxy is examined to analyse any potential similarities and differences in their reports. Exploring inter-rater agreement at the dimension-level aids in assessing whether there is sufficient </w:t>
      </w:r>
    </w:p>
    <w:p w14:paraId="77BFAC73" w14:textId="77777777" w:rsidR="00B54D51" w:rsidRPr="00037AD4" w:rsidRDefault="00B54D51" w:rsidP="002B09E5">
      <w:pPr>
        <w:rPr>
          <w:rFonts w:asciiTheme="minorHAnsi" w:hAnsiTheme="minorHAnsi" w:cstheme="minorHAnsi"/>
        </w:rPr>
      </w:pPr>
      <w:r w:rsidRPr="00037AD4">
        <w:rPr>
          <w:rFonts w:asciiTheme="minorHAnsi" w:hAnsiTheme="minorHAnsi" w:cstheme="minorHAnsi"/>
        </w:rPr>
        <w:t xml:space="preserve">evidence to deviate from using PwD-self reports of EQ-5D, and for which dimensions a switch to proxy-report may be recommended. </w:t>
      </w:r>
    </w:p>
    <w:p w14:paraId="0F47A8D9" w14:textId="77777777" w:rsidR="00B54D51" w:rsidRPr="00037AD4" w:rsidRDefault="00B54D51" w:rsidP="000E11E4">
      <w:pPr>
        <w:pStyle w:val="EndNoteBibliography"/>
        <w:rPr>
          <w:rFonts w:asciiTheme="minorHAnsi" w:hAnsiTheme="minorHAnsi" w:cstheme="minorHAnsi"/>
          <w:b/>
          <w:bCs/>
          <w:color w:val="000000" w:themeColor="text1"/>
          <w:u w:val="single"/>
          <w:lang w:val="en-GB"/>
        </w:rPr>
      </w:pPr>
    </w:p>
    <w:p w14:paraId="4B25440E" w14:textId="77777777" w:rsidR="00B54D51" w:rsidRPr="00037AD4" w:rsidRDefault="00B54D51" w:rsidP="002B09E5">
      <w:pPr>
        <w:rPr>
          <w:rFonts w:asciiTheme="minorHAnsi" w:hAnsiTheme="minorHAnsi" w:cstheme="minorHAnsi"/>
        </w:rPr>
      </w:pPr>
      <w:r w:rsidRPr="00037AD4">
        <w:rPr>
          <w:rFonts w:asciiTheme="minorHAnsi" w:hAnsiTheme="minorHAnsi" w:cstheme="minorHAnsi"/>
        </w:rPr>
        <w:t xml:space="preserve">Inter-rater agreement is assessed by estimating Kappa coefficients and percentage of exact agreement for each of the EQ-5D dimensions using a cross-section of the baseline appended data from the two trials that administered EQ-5D-5L; and these calculations are completed by dementia severity defined by CDR stage at T0. A baseline cross-section of the data is used within this analysis as this data collection point is consistent across the studies, baseline data has the least missing responses and there are a sufficient number of baseline observations for these analyses. The equation presented below is used to estimate Kappa coefficients. “Observed agreement” is the term for the relative observed agreement among respondents and is estimated by the frequency with which two measurements agree; “chance agreement” defines the hypothetical probability of agreed-observations occurring by chance </w:t>
      </w:r>
      <w:r>
        <w:rPr>
          <w:rFonts w:asciiTheme="minorHAnsi" w:hAnsiTheme="minorHAnsi" w:cstheme="minorHAnsi"/>
          <w:noProof/>
        </w:rPr>
        <w:t>(Kempf-Leonard, 2004)</w:t>
      </w:r>
      <w:r w:rsidRPr="00037AD4">
        <w:rPr>
          <w:rFonts w:asciiTheme="minorHAnsi" w:hAnsiTheme="minorHAnsi" w:cstheme="minorHAnsi"/>
        </w:rPr>
        <w:t xml:space="preserve">. </w:t>
      </w:r>
    </w:p>
    <w:p w14:paraId="6FB0A1E7" w14:textId="77777777" w:rsidR="00B54D51" w:rsidRPr="00037AD4" w:rsidRDefault="00B54D51" w:rsidP="002B09E5">
      <w:pPr>
        <w:rPr>
          <w:rFonts w:asciiTheme="minorHAnsi" w:hAnsiTheme="minorHAnsi" w:cstheme="minorHAnsi"/>
        </w:rPr>
      </w:pPr>
    </w:p>
    <w:p w14:paraId="66400C6F" w14:textId="77777777" w:rsidR="00B54D51" w:rsidRPr="00037AD4" w:rsidRDefault="00B54D51" w:rsidP="00A9019A">
      <w:pPr>
        <w:rPr>
          <w:rFonts w:asciiTheme="minorHAnsi" w:hAnsiTheme="minorHAnsi" w:cstheme="minorHAnsi"/>
        </w:rPr>
      </w:pPr>
      <m:oMathPara>
        <m:oMath>
          <m:r>
            <w:rPr>
              <w:rFonts w:ascii="Cambria Math" w:hAnsi="Cambria Math" w:cstheme="minorHAnsi"/>
            </w:rPr>
            <m:t xml:space="preserve">Kappa= </m:t>
          </m:r>
          <m:f>
            <m:fPr>
              <m:ctrlPr>
                <w:rPr>
                  <w:rFonts w:ascii="Cambria Math" w:hAnsi="Cambria Math" w:cstheme="minorHAnsi"/>
                  <w:i/>
                </w:rPr>
              </m:ctrlPr>
            </m:fPr>
            <m:num>
              <m:r>
                <w:rPr>
                  <w:rFonts w:ascii="Cambria Math" w:hAnsi="Cambria Math" w:cstheme="minorHAnsi"/>
                </w:rPr>
                <m:t>observed agreement-chance agreement</m:t>
              </m:r>
            </m:num>
            <m:den>
              <m:r>
                <w:rPr>
                  <w:rFonts w:ascii="Cambria Math" w:hAnsi="Cambria Math" w:cstheme="minorHAnsi"/>
                </w:rPr>
                <m:t>1-chance agreement</m:t>
              </m:r>
            </m:den>
          </m:f>
        </m:oMath>
      </m:oMathPara>
    </w:p>
    <w:p w14:paraId="4229DF5B" w14:textId="77777777" w:rsidR="00B54D51" w:rsidRPr="00037AD4" w:rsidRDefault="00B54D51" w:rsidP="002B09E5">
      <w:pPr>
        <w:rPr>
          <w:rFonts w:asciiTheme="minorHAnsi" w:hAnsiTheme="minorHAnsi" w:cstheme="minorHAnsi"/>
        </w:rPr>
      </w:pPr>
    </w:p>
    <w:p w14:paraId="5B6A8883" w14:textId="37BB0A7F" w:rsidR="00B54D51" w:rsidRPr="00037AD4" w:rsidRDefault="00B54D51" w:rsidP="002B09E5">
      <w:pPr>
        <w:rPr>
          <w:rFonts w:asciiTheme="minorHAnsi" w:hAnsiTheme="minorHAnsi" w:cstheme="minorHAnsi"/>
        </w:rPr>
      </w:pPr>
      <w:r w:rsidRPr="00037AD4">
        <w:rPr>
          <w:rFonts w:asciiTheme="minorHAnsi" w:hAnsiTheme="minorHAnsi" w:cstheme="minorHAnsi"/>
        </w:rPr>
        <w:t xml:space="preserve">Linear weighted Kappa is used in order to discriminate between small and larger differences in the reports provided, therefore only EQ-5D-5L data has been assessed at the dimension-level for these analyses. Unweighted </w:t>
      </w:r>
      <w:r w:rsidR="007A5C53">
        <w:rPr>
          <w:rFonts w:asciiTheme="minorHAnsi" w:hAnsiTheme="minorHAnsi" w:cstheme="minorHAnsi"/>
        </w:rPr>
        <w:t>K</w:t>
      </w:r>
      <w:r w:rsidRPr="00037AD4">
        <w:rPr>
          <w:rFonts w:asciiTheme="minorHAnsi" w:hAnsiTheme="minorHAnsi" w:cstheme="minorHAnsi"/>
        </w:rPr>
        <w:t xml:space="preserve">appa would assign equal rank to disagreement between different levels of each dimension </w:t>
      </w:r>
      <w:r>
        <w:rPr>
          <w:rFonts w:asciiTheme="minorHAnsi" w:hAnsiTheme="minorHAnsi" w:cstheme="minorHAnsi"/>
          <w:noProof/>
        </w:rPr>
        <w:t>(McHugh, 2012)</w:t>
      </w:r>
      <w:r w:rsidRPr="00037AD4">
        <w:rPr>
          <w:rFonts w:asciiTheme="minorHAnsi" w:hAnsiTheme="minorHAnsi" w:cstheme="minorHAnsi"/>
        </w:rPr>
        <w:t xml:space="preserve">. The standard thresholds outlined by Landis and Koch (1977) </w:t>
      </w:r>
      <w:r>
        <w:rPr>
          <w:rFonts w:asciiTheme="minorHAnsi" w:hAnsiTheme="minorHAnsi" w:cstheme="minorHAnsi"/>
          <w:noProof/>
        </w:rPr>
        <w:t>(Landis and Koch, 1977)</w:t>
      </w:r>
      <w:r w:rsidRPr="00037AD4">
        <w:rPr>
          <w:rFonts w:asciiTheme="minorHAnsi" w:hAnsiTheme="minorHAnsi" w:cstheme="minorHAnsi"/>
        </w:rPr>
        <w:t xml:space="preserve"> have been used for interpretation of the degree of agreement, whereby &lt;0 indicates poor; 0-0.2 indicates slight; 0.21-0.4 indicates fair; 0.41-0.6 indicates moderate and &gt;0.6 indicates strong agreement. For comparing the agreement between EQ-5D index scores, the intra-class correlation coefficients (ICCs) using one-way random-effects analysis of variance (ANOVA) are calculated. The ICC describes how strongly two grouped units resemble each other, operating on data structured as groups as opposed to paired observations. It is commonly used to quantify the extent to which respondents with a specified relationship resemble each other in terms of a quantitative trait </w:t>
      </w:r>
      <w:r>
        <w:rPr>
          <w:rFonts w:asciiTheme="minorHAnsi" w:hAnsiTheme="minorHAnsi" w:cstheme="minorHAnsi"/>
          <w:noProof/>
        </w:rPr>
        <w:t>(Liljequist et al., 2019)</w:t>
      </w:r>
      <w:r w:rsidRPr="00037AD4">
        <w:rPr>
          <w:rFonts w:asciiTheme="minorHAnsi" w:hAnsiTheme="minorHAnsi" w:cstheme="minorHAnsi"/>
        </w:rPr>
        <w:t xml:space="preserve">. When interpreting the ICC, </w:t>
      </w:r>
      <w:r w:rsidRPr="00037AD4">
        <w:rPr>
          <w:rFonts w:asciiTheme="minorHAnsi" w:hAnsiTheme="minorHAnsi" w:cstheme="minorHAnsi"/>
        </w:rPr>
        <w:lastRenderedPageBreak/>
        <w:t xml:space="preserve">a minimum coefficient of 0.7 is recommended for group comparisons of inter-rater agreement </w:t>
      </w:r>
      <w:r>
        <w:rPr>
          <w:rFonts w:asciiTheme="minorHAnsi" w:hAnsiTheme="minorHAnsi" w:cstheme="minorHAnsi"/>
          <w:noProof/>
        </w:rPr>
        <w:t>(Lohr, 2002)</w:t>
      </w:r>
      <w:r w:rsidRPr="00037AD4">
        <w:rPr>
          <w:rFonts w:asciiTheme="minorHAnsi" w:hAnsiTheme="minorHAnsi" w:cstheme="minorHAnsi"/>
        </w:rPr>
        <w:t>.</w:t>
      </w:r>
    </w:p>
    <w:p w14:paraId="2103FD5B" w14:textId="77777777" w:rsidR="00B54D51" w:rsidRPr="00037AD4" w:rsidRDefault="00B54D51" w:rsidP="002B09E5">
      <w:pPr>
        <w:rPr>
          <w:rFonts w:asciiTheme="minorHAnsi" w:hAnsiTheme="minorHAnsi" w:cstheme="minorHAnsi"/>
        </w:rPr>
      </w:pPr>
    </w:p>
    <w:p w14:paraId="311B57E3" w14:textId="77777777" w:rsidR="00B54D51" w:rsidRPr="00037AD4" w:rsidRDefault="00B54D51" w:rsidP="002B09E5">
      <w:pPr>
        <w:rPr>
          <w:rFonts w:asciiTheme="minorHAnsi" w:hAnsiTheme="minorHAnsi" w:cstheme="minorHAnsi"/>
        </w:rPr>
      </w:pPr>
      <w:r w:rsidRPr="00037AD4">
        <w:rPr>
          <w:rFonts w:asciiTheme="minorHAnsi" w:hAnsiTheme="minorHAnsi" w:cstheme="minorHAnsi"/>
        </w:rPr>
        <w:t>To supplement the ICC calculations, Bland-Altman plots have been constructed to show a graphical representation of the relative difference between PwD and proxy reported EQ-5D index scores by the average of the two ratings. These plots used the baseline data from the three trials and have been generated for both informal and staff proxies. A difference of zero would indicate perfect agreement between ratings (as indicated by a black line on the graph). The average difference between PwD and proxy reports is shown by a green line. A shaded box on the plot indicates the limits of agreement (upper limit and lower limit), which are: the mean difference +/- (1.96 x standard deviation of difference). There are no predefined acceptable limits of agreement for EQ-5D index score reports, therefore a range of +/- 0.2 has been applied for interpretation purposes and would be considered a generous range on such scale.</w:t>
      </w:r>
    </w:p>
    <w:p w14:paraId="0107726A" w14:textId="77777777" w:rsidR="00B54D51" w:rsidRPr="00037AD4" w:rsidRDefault="00B54D51" w:rsidP="002B09E5">
      <w:pPr>
        <w:rPr>
          <w:rFonts w:asciiTheme="minorHAnsi" w:hAnsiTheme="minorHAnsi" w:cstheme="minorHAnsi"/>
        </w:rPr>
      </w:pPr>
    </w:p>
    <w:p w14:paraId="15BD02E9" w14:textId="77777777" w:rsidR="00B54D51" w:rsidRPr="00037AD4" w:rsidRDefault="00B54D51" w:rsidP="002B09E5">
      <w:pPr>
        <w:rPr>
          <w:rFonts w:asciiTheme="minorHAnsi" w:hAnsiTheme="minorHAnsi" w:cstheme="minorHAnsi"/>
        </w:rPr>
      </w:pPr>
      <w:r w:rsidRPr="00037AD4">
        <w:rPr>
          <w:rFonts w:asciiTheme="minorHAnsi" w:hAnsiTheme="minorHAnsi" w:cstheme="minorHAnsi"/>
        </w:rPr>
        <w:t>To gauge the magnitude of differences between PwD and proxy reported EQ-5D, absolute discrepancy scores are calculated as the total EQ-5D index score of the PwD minus the proxy score. These calculations use a cross-section of the baseline appended data and are estimated for both informal and staff proxies. Histograms have been used to represent this data by displaying the magnitude and direction of discrepancies visually. Scores above zero indicate that the PwD’s self-report is more optimistic than that by the proxy, whereas scores below zero represent a pessimistic PwD self-report (compared to proxy reports). The same calculations are performed for the EQ-5D dimensions and plotted as bar charts; however, these estimates used EQ-5D-5L data only and the direction of the differences is inversed (as higher dimension scores indicate more problems).</w:t>
      </w:r>
    </w:p>
    <w:p w14:paraId="0F25532E" w14:textId="77777777" w:rsidR="00B54D51" w:rsidRPr="00037AD4" w:rsidRDefault="00B54D51" w:rsidP="000E11E4">
      <w:pPr>
        <w:pStyle w:val="EndNoteBibliography"/>
        <w:rPr>
          <w:rFonts w:asciiTheme="minorHAnsi" w:hAnsiTheme="minorHAnsi" w:cstheme="minorHAnsi"/>
          <w:b/>
          <w:bCs/>
          <w:color w:val="000000" w:themeColor="text1"/>
          <w:u w:val="single"/>
          <w:lang w:val="en-GB"/>
        </w:rPr>
      </w:pPr>
    </w:p>
    <w:p w14:paraId="25F4C2F9" w14:textId="77777777" w:rsidR="00B54D51" w:rsidRPr="00037AD4" w:rsidRDefault="00B54D51" w:rsidP="002B09E5">
      <w:pPr>
        <w:rPr>
          <w:rFonts w:asciiTheme="minorHAnsi" w:hAnsiTheme="minorHAnsi" w:cstheme="minorHAnsi"/>
        </w:rPr>
      </w:pPr>
      <w:r w:rsidRPr="00037AD4">
        <w:rPr>
          <w:rFonts w:asciiTheme="minorHAnsi" w:hAnsiTheme="minorHAnsi" w:cstheme="minorHAnsi"/>
        </w:rPr>
        <w:t xml:space="preserve">Floor and ceiling effects reflect the proportion of respondents that report either the highest (no problems) or the lowest (extreme problems) reports across all EQ-5D dimensions. Assessing this property enables a greater understanding of how the scale options are used by the respondents, and if their use impacts upon inter-rater agreement. To assess this property, a baseline cross-section of data from the two trials that collected EQ-5D-5L is used. As shown within previous studies exploring EQ-5D use in dementia, the thresholds used to define floor and ceiling effects are arbitrary and dependent upon the data </w:t>
      </w:r>
      <w:r>
        <w:rPr>
          <w:rFonts w:asciiTheme="minorHAnsi" w:hAnsiTheme="minorHAnsi" w:cstheme="minorHAnsi"/>
          <w:noProof/>
        </w:rPr>
        <w:t>(Keetharuth et al., 2022, Kunz, 2010, Diaz‐Redondo et al., 2014)</w:t>
      </w:r>
      <w:r w:rsidRPr="00037AD4">
        <w:rPr>
          <w:rFonts w:asciiTheme="minorHAnsi" w:hAnsiTheme="minorHAnsi" w:cstheme="minorHAnsi"/>
        </w:rPr>
        <w:t xml:space="preserve">. For this analysis, the thresholds are based upon those used in existing dementia studies: a proportion of &gt;60% for “no problems” reports, and &gt;15% for “extreme problems” reports </w:t>
      </w:r>
      <w:r>
        <w:rPr>
          <w:rFonts w:asciiTheme="minorHAnsi" w:hAnsiTheme="minorHAnsi" w:cstheme="minorHAnsi"/>
          <w:noProof/>
        </w:rPr>
        <w:t>(Ankri et al., 2003)</w:t>
      </w:r>
      <w:r w:rsidRPr="00037AD4">
        <w:rPr>
          <w:rFonts w:asciiTheme="minorHAnsi" w:hAnsiTheme="minorHAnsi" w:cstheme="minorHAnsi"/>
        </w:rPr>
        <w:t xml:space="preserve">. It is recognised that the thresholds used in the referenced study were derived from EQ-5D-3L data alone, and it is reasonable to anticipate that due to the additional response options available in the EQ-5D-5L instrument, these proportions may potentially be lower. However, in the absence of a suitable and up-to-date alternative, it was decided that this approach serves as a reference point for interpretation and discussion. </w:t>
      </w:r>
    </w:p>
    <w:p w14:paraId="39E88F94" w14:textId="77777777" w:rsidR="00B54D51" w:rsidRPr="00037AD4" w:rsidRDefault="00B54D51" w:rsidP="002B09E5">
      <w:pPr>
        <w:rPr>
          <w:rFonts w:asciiTheme="minorHAnsi" w:hAnsiTheme="minorHAnsi" w:cstheme="minorHAnsi"/>
        </w:rPr>
      </w:pPr>
    </w:p>
    <w:p w14:paraId="29D8FD0B" w14:textId="77777777" w:rsidR="00B54D51" w:rsidRPr="00037AD4" w:rsidRDefault="00B54D51" w:rsidP="007A43F9">
      <w:pPr>
        <w:pStyle w:val="Heading3"/>
      </w:pPr>
      <w:bookmarkStart w:id="353" w:name="_5.3.3_Methods_for"/>
      <w:bookmarkStart w:id="354" w:name="Sec533"/>
      <w:bookmarkStart w:id="355" w:name="_Toc175742324"/>
      <w:bookmarkEnd w:id="353"/>
      <w:r w:rsidRPr="00037AD4">
        <w:t>5.3.3 Methods for objective three</w:t>
      </w:r>
      <w:bookmarkEnd w:id="355"/>
      <w:r w:rsidRPr="00037AD4">
        <w:t xml:space="preserve"> </w:t>
      </w:r>
    </w:p>
    <w:bookmarkEnd w:id="354"/>
    <w:p w14:paraId="047049BE" w14:textId="77777777" w:rsidR="00B54D51" w:rsidRPr="00037AD4" w:rsidRDefault="00B54D51" w:rsidP="002B09E5">
      <w:pPr>
        <w:rPr>
          <w:rFonts w:asciiTheme="minorHAnsi" w:hAnsiTheme="minorHAnsi" w:cstheme="minorHAnsi"/>
        </w:rPr>
      </w:pPr>
    </w:p>
    <w:p w14:paraId="62C9C115" w14:textId="77777777" w:rsidR="00B54D51" w:rsidRPr="00037AD4" w:rsidRDefault="00B54D51" w:rsidP="002B09E5">
      <w:pPr>
        <w:rPr>
          <w:rFonts w:asciiTheme="minorHAnsi" w:hAnsiTheme="minorHAnsi" w:cstheme="minorHAnsi"/>
        </w:rPr>
      </w:pPr>
      <w:r w:rsidRPr="00037AD4">
        <w:rPr>
          <w:rFonts w:asciiTheme="minorHAnsi" w:hAnsiTheme="minorHAnsi" w:cstheme="minorHAnsi"/>
        </w:rPr>
        <w:t xml:space="preserve">The findings of the presented analyses are interpreted and </w:t>
      </w:r>
      <w:r w:rsidRPr="00B90F10">
        <w:rPr>
          <w:rFonts w:asciiTheme="minorHAnsi" w:hAnsiTheme="minorHAnsi" w:cstheme="minorHAnsi"/>
        </w:rPr>
        <w:t xml:space="preserve">summarised in </w:t>
      </w:r>
      <w:hyperlink w:anchor="Sec55" w:history="1">
        <w:r w:rsidRPr="00B90F10">
          <w:rPr>
            <w:rStyle w:val="Hyperlink"/>
            <w:rFonts w:asciiTheme="minorHAnsi" w:hAnsiTheme="minorHAnsi" w:cstheme="minorHAnsi"/>
            <w:color w:val="auto"/>
            <w:u w:val="none"/>
          </w:rPr>
          <w:t>Section 5.5</w:t>
        </w:r>
      </w:hyperlink>
      <w:r w:rsidRPr="00B90F10">
        <w:rPr>
          <w:rFonts w:asciiTheme="minorHAnsi" w:hAnsiTheme="minorHAnsi" w:cstheme="minorHAnsi"/>
        </w:rPr>
        <w:t xml:space="preserve"> to </w:t>
      </w:r>
      <w:r w:rsidRPr="00037AD4">
        <w:rPr>
          <w:rFonts w:asciiTheme="minorHAnsi" w:hAnsiTheme="minorHAnsi" w:cstheme="minorHAnsi"/>
        </w:rPr>
        <w:t xml:space="preserve">provide recommendations for combining PwD and proxy EQ-5D reports by dimension. The ultimate goal is to generate a utility score using the appropriate respondent’s reports of </w:t>
      </w:r>
      <w:r w:rsidRPr="00037AD4">
        <w:rPr>
          <w:rFonts w:asciiTheme="minorHAnsi" w:hAnsiTheme="minorHAnsi" w:cstheme="minorHAnsi"/>
        </w:rPr>
        <w:lastRenderedPageBreak/>
        <w:t xml:space="preserve">each dimension, which, when combined best reflect the dementia-disease experience. This combined utility score is proposed for use within economic evaluations, with the aim of effectively capturing the benefits or limitations of dementia interventions under evaluation. </w:t>
      </w:r>
    </w:p>
    <w:p w14:paraId="71013245" w14:textId="77777777" w:rsidR="00B54D51" w:rsidRPr="00037AD4" w:rsidRDefault="00B54D51" w:rsidP="002B09E5">
      <w:pPr>
        <w:rPr>
          <w:rFonts w:asciiTheme="minorHAnsi" w:hAnsiTheme="minorHAnsi" w:cstheme="minorHAnsi"/>
        </w:rPr>
      </w:pPr>
    </w:p>
    <w:p w14:paraId="55F273A1" w14:textId="1A5BACDB" w:rsidR="00B54D51" w:rsidRPr="00037AD4" w:rsidRDefault="00B54D51" w:rsidP="002B09E5">
      <w:pPr>
        <w:rPr>
          <w:rFonts w:asciiTheme="minorHAnsi" w:hAnsiTheme="minorHAnsi" w:cstheme="minorHAnsi"/>
        </w:rPr>
      </w:pPr>
      <w:r w:rsidRPr="00037AD4">
        <w:rPr>
          <w:rFonts w:asciiTheme="minorHAnsi" w:hAnsiTheme="minorHAnsi" w:cstheme="minorHAnsi"/>
        </w:rPr>
        <w:t xml:space="preserve">All of the methodologies listed are applied to the PwD-informal proxy and PwD-staff proxy dyad (unless otherwise stated), however it must be noted that staff proxy assessments were only collected by one of the studies (the EPIC trial). The studies collected different dementia-symptom measures and therefore these data cannot be pooled. As responsiveness via the correlation between changes in EQ-5D reports and changes in dementia symptom measures assess the </w:t>
      </w:r>
      <w:r w:rsidRPr="00037AD4">
        <w:rPr>
          <w:rFonts w:asciiTheme="minorHAnsi" w:hAnsiTheme="minorHAnsi" w:cstheme="minorHAnsi"/>
          <w:i/>
          <w:iCs/>
        </w:rPr>
        <w:t>magnitude</w:t>
      </w:r>
      <w:r w:rsidRPr="00037AD4">
        <w:rPr>
          <w:rFonts w:asciiTheme="minorHAnsi" w:hAnsiTheme="minorHAnsi" w:cstheme="minorHAnsi"/>
        </w:rPr>
        <w:t xml:space="preserve"> of change scores, these analyses are conducted by study to retain scale score information. For the dyadic change analyses, variables have been generated that combine the dementia-symptom data to reflect the overall </w:t>
      </w:r>
      <w:r w:rsidRPr="00037AD4">
        <w:rPr>
          <w:rFonts w:asciiTheme="minorHAnsi" w:hAnsiTheme="minorHAnsi" w:cstheme="minorHAnsi"/>
          <w:i/>
          <w:iCs/>
        </w:rPr>
        <w:t>direction</w:t>
      </w:r>
      <w:r w:rsidRPr="00037AD4">
        <w:rPr>
          <w:rFonts w:asciiTheme="minorHAnsi" w:hAnsiTheme="minorHAnsi" w:cstheme="minorHAnsi"/>
        </w:rPr>
        <w:t xml:space="preserve"> of change for the outcome (i.e., function and behaviour/mood), and do not consider specific magnitude. This step has been undertaken to maximise the number of observations that are being considered within these analyses by enabling use of the pooled data where possible. </w:t>
      </w:r>
    </w:p>
    <w:p w14:paraId="514ADD5A" w14:textId="77777777" w:rsidR="00B54D51" w:rsidRPr="00037AD4" w:rsidRDefault="00B54D51" w:rsidP="000E11E4">
      <w:pPr>
        <w:pStyle w:val="EndNoteBibliography"/>
        <w:rPr>
          <w:rFonts w:asciiTheme="minorHAnsi" w:hAnsiTheme="minorHAnsi" w:cstheme="minorHAnsi"/>
          <w:b/>
          <w:bCs/>
          <w:color w:val="000000" w:themeColor="text1"/>
          <w:u w:val="single"/>
          <w:lang w:val="en-GB"/>
        </w:rPr>
      </w:pPr>
    </w:p>
    <w:p w14:paraId="401A94D2" w14:textId="77777777" w:rsidR="00B54D51" w:rsidRPr="00037AD4" w:rsidRDefault="00B54D51" w:rsidP="000372E9">
      <w:pPr>
        <w:rPr>
          <w:rFonts w:asciiTheme="minorHAnsi" w:hAnsiTheme="minorHAnsi" w:cstheme="minorHAnsi"/>
        </w:rPr>
      </w:pPr>
      <w:r w:rsidRPr="00037AD4">
        <w:rPr>
          <w:rFonts w:asciiTheme="minorHAnsi" w:hAnsiTheme="minorHAnsi" w:cstheme="minorHAnsi"/>
        </w:rPr>
        <w:t>The results reported in “Section 5.4.1 Mobility” are presented in the format of a guide for interpreting the results of the other dimension sections. Particular focus has been placed on the interpretation of the results graphs and tables. This first section therefore contains more detail than the following sections, as the reporting format for the subsequent dimensions is repeated. All calculations are performed using STATA 17.0 (version for Mac).</w:t>
      </w:r>
    </w:p>
    <w:p w14:paraId="56CC0EEF" w14:textId="77777777" w:rsidR="00B54D51" w:rsidRPr="00037AD4" w:rsidRDefault="00B54D51" w:rsidP="000372E9">
      <w:pPr>
        <w:rPr>
          <w:rFonts w:asciiTheme="minorHAnsi" w:hAnsiTheme="minorHAnsi" w:cstheme="minorHAnsi"/>
          <w:b/>
          <w:bCs/>
          <w:u w:val="single"/>
        </w:rPr>
      </w:pPr>
    </w:p>
    <w:p w14:paraId="6D65CE13" w14:textId="77777777" w:rsidR="00B54D51" w:rsidRPr="00037AD4" w:rsidRDefault="00B54D51" w:rsidP="007A43F9">
      <w:pPr>
        <w:pStyle w:val="Heading2"/>
      </w:pPr>
      <w:bookmarkStart w:id="356" w:name="_Toc175742325"/>
      <w:r w:rsidRPr="00037AD4">
        <w:t>5.4 Results</w:t>
      </w:r>
      <w:bookmarkEnd w:id="356"/>
      <w:r w:rsidRPr="00037AD4">
        <w:t xml:space="preserve"> </w:t>
      </w:r>
    </w:p>
    <w:p w14:paraId="759F9447" w14:textId="77777777" w:rsidR="00B54D51" w:rsidRPr="00037AD4" w:rsidRDefault="00B54D51" w:rsidP="000E11E4">
      <w:pPr>
        <w:pStyle w:val="EndNoteBibliography"/>
        <w:rPr>
          <w:rFonts w:asciiTheme="minorHAnsi" w:hAnsiTheme="minorHAnsi" w:cstheme="minorHAnsi"/>
          <w:b/>
          <w:bCs/>
          <w:color w:val="000000" w:themeColor="text1"/>
          <w:u w:val="single"/>
          <w:lang w:val="en-GB"/>
        </w:rPr>
      </w:pPr>
    </w:p>
    <w:p w14:paraId="06085EDC" w14:textId="74511855" w:rsidR="00B54D51" w:rsidRPr="00037AD4" w:rsidRDefault="00B54D51" w:rsidP="000372E9">
      <w:pPr>
        <w:rPr>
          <w:rFonts w:asciiTheme="minorHAnsi" w:hAnsiTheme="minorHAnsi" w:cstheme="minorHAnsi"/>
          <w:color w:val="000000" w:themeColor="text1"/>
        </w:rPr>
      </w:pPr>
      <w:r w:rsidRPr="00037AD4">
        <w:rPr>
          <w:rFonts w:asciiTheme="minorHAnsi" w:hAnsiTheme="minorHAnsi" w:cstheme="minorHAnsi"/>
          <w:color w:val="000000" w:themeColor="text1"/>
        </w:rPr>
        <w:t xml:space="preserve">The following section presents the results of </w:t>
      </w:r>
      <w:r w:rsidR="00B90F10">
        <w:rPr>
          <w:rFonts w:asciiTheme="minorHAnsi" w:hAnsiTheme="minorHAnsi" w:cstheme="minorHAnsi"/>
          <w:color w:val="000000" w:themeColor="text1"/>
        </w:rPr>
        <w:t>the</w:t>
      </w:r>
      <w:r w:rsidRPr="00037AD4">
        <w:rPr>
          <w:rFonts w:asciiTheme="minorHAnsi" w:hAnsiTheme="minorHAnsi" w:cstheme="minorHAnsi"/>
          <w:color w:val="000000" w:themeColor="text1"/>
        </w:rPr>
        <w:t xml:space="preserve"> analyses applied by EQ-5D dimension. </w:t>
      </w:r>
    </w:p>
    <w:p w14:paraId="0A2BC32A" w14:textId="77777777" w:rsidR="00B54D51" w:rsidRPr="00037AD4" w:rsidRDefault="00B54D51" w:rsidP="000372E9">
      <w:pPr>
        <w:rPr>
          <w:rFonts w:asciiTheme="minorHAnsi" w:hAnsiTheme="minorHAnsi" w:cstheme="minorHAnsi"/>
          <w:color w:val="000000" w:themeColor="text1"/>
        </w:rPr>
      </w:pPr>
    </w:p>
    <w:p w14:paraId="4BEAE04C" w14:textId="77777777" w:rsidR="00B54D51" w:rsidRPr="00037AD4" w:rsidRDefault="00B54D51" w:rsidP="007A43F9">
      <w:pPr>
        <w:pStyle w:val="Heading3"/>
      </w:pPr>
      <w:bookmarkStart w:id="357" w:name="_Toc175742326"/>
      <w:r w:rsidRPr="00037AD4">
        <w:t>5.4.1 Mobility</w:t>
      </w:r>
      <w:bookmarkEnd w:id="357"/>
      <w:r w:rsidRPr="00037AD4">
        <w:t xml:space="preserve"> </w:t>
      </w:r>
    </w:p>
    <w:p w14:paraId="0CABACBD" w14:textId="77777777" w:rsidR="00B54D51" w:rsidRPr="00037AD4" w:rsidRDefault="00B54D51" w:rsidP="000372E9">
      <w:pPr>
        <w:rPr>
          <w:rFonts w:asciiTheme="minorHAnsi" w:hAnsiTheme="minorHAnsi" w:cstheme="minorHAnsi"/>
          <w:b/>
          <w:bCs/>
          <w:u w:val="single"/>
        </w:rPr>
      </w:pPr>
    </w:p>
    <w:p w14:paraId="310E7C11" w14:textId="77777777" w:rsidR="00B54D51" w:rsidRPr="00037AD4" w:rsidRDefault="00B54D51" w:rsidP="000372E9">
      <w:pPr>
        <w:rPr>
          <w:rFonts w:asciiTheme="minorHAnsi" w:hAnsiTheme="minorHAnsi" w:cstheme="minorHAnsi"/>
        </w:rPr>
      </w:pPr>
      <w:r w:rsidRPr="00037AD4">
        <w:rPr>
          <w:rFonts w:asciiTheme="minorHAnsi" w:hAnsiTheme="minorHAnsi" w:cstheme="minorHAnsi"/>
        </w:rPr>
        <w:t xml:space="preserve">Figure 8 shows the direction of change in “mobility” dimension reporting by all three categories of respondent. Responses from the PwD and informal proxy show a closer alignment in direction of change compared to those of staff proxies, whereby a slightly larger proportion of staff proxies reported a worsening in this dimension, approximately 5-12% higher than the other respondents. </w:t>
      </w:r>
    </w:p>
    <w:p w14:paraId="13BA74DD" w14:textId="77777777" w:rsidR="00B54D51" w:rsidRDefault="00B54D51" w:rsidP="000372E9">
      <w:pPr>
        <w:rPr>
          <w:rFonts w:asciiTheme="minorHAnsi" w:hAnsiTheme="minorHAnsi" w:cstheme="minorHAnsi"/>
        </w:rPr>
      </w:pPr>
    </w:p>
    <w:p w14:paraId="272E2076" w14:textId="77777777" w:rsidR="00673F38" w:rsidRDefault="00673F38" w:rsidP="000372E9">
      <w:pPr>
        <w:rPr>
          <w:rFonts w:asciiTheme="minorHAnsi" w:hAnsiTheme="minorHAnsi" w:cstheme="minorHAnsi"/>
        </w:rPr>
      </w:pPr>
    </w:p>
    <w:p w14:paraId="2B977856" w14:textId="77777777" w:rsidR="00673F38" w:rsidRDefault="00673F38" w:rsidP="000372E9">
      <w:pPr>
        <w:rPr>
          <w:rFonts w:asciiTheme="minorHAnsi" w:hAnsiTheme="minorHAnsi" w:cstheme="minorHAnsi"/>
        </w:rPr>
      </w:pPr>
    </w:p>
    <w:p w14:paraId="590B8EAC" w14:textId="77777777" w:rsidR="00673F38" w:rsidRDefault="00673F38" w:rsidP="000372E9">
      <w:pPr>
        <w:rPr>
          <w:rFonts w:asciiTheme="minorHAnsi" w:hAnsiTheme="minorHAnsi" w:cstheme="minorHAnsi"/>
        </w:rPr>
      </w:pPr>
    </w:p>
    <w:p w14:paraId="1B16F9CE" w14:textId="77777777" w:rsidR="00673F38" w:rsidRDefault="00673F38" w:rsidP="000372E9">
      <w:pPr>
        <w:rPr>
          <w:rFonts w:asciiTheme="minorHAnsi" w:hAnsiTheme="minorHAnsi" w:cstheme="minorHAnsi"/>
        </w:rPr>
      </w:pPr>
    </w:p>
    <w:p w14:paraId="75CD3ED5" w14:textId="77777777" w:rsidR="00673F38" w:rsidRDefault="00673F38" w:rsidP="000372E9">
      <w:pPr>
        <w:rPr>
          <w:rFonts w:asciiTheme="minorHAnsi" w:hAnsiTheme="minorHAnsi" w:cstheme="minorHAnsi"/>
        </w:rPr>
      </w:pPr>
    </w:p>
    <w:p w14:paraId="6A370A69" w14:textId="77777777" w:rsidR="00673F38" w:rsidRDefault="00673F38" w:rsidP="000372E9">
      <w:pPr>
        <w:rPr>
          <w:rFonts w:asciiTheme="minorHAnsi" w:hAnsiTheme="minorHAnsi" w:cstheme="minorHAnsi"/>
        </w:rPr>
      </w:pPr>
    </w:p>
    <w:p w14:paraId="34704080" w14:textId="77777777" w:rsidR="00673F38" w:rsidRDefault="00673F38" w:rsidP="000372E9">
      <w:pPr>
        <w:rPr>
          <w:rFonts w:asciiTheme="minorHAnsi" w:hAnsiTheme="minorHAnsi" w:cstheme="minorHAnsi"/>
        </w:rPr>
      </w:pPr>
    </w:p>
    <w:p w14:paraId="7E91CE57" w14:textId="77777777" w:rsidR="00673F38" w:rsidRDefault="00673F38" w:rsidP="000372E9">
      <w:pPr>
        <w:rPr>
          <w:rFonts w:asciiTheme="minorHAnsi" w:hAnsiTheme="minorHAnsi" w:cstheme="minorHAnsi"/>
        </w:rPr>
      </w:pPr>
    </w:p>
    <w:p w14:paraId="072649C8" w14:textId="77777777" w:rsidR="00673F38" w:rsidRDefault="00673F38" w:rsidP="000372E9">
      <w:pPr>
        <w:rPr>
          <w:rFonts w:asciiTheme="minorHAnsi" w:hAnsiTheme="minorHAnsi" w:cstheme="minorHAnsi"/>
        </w:rPr>
      </w:pPr>
    </w:p>
    <w:p w14:paraId="2836C9B4" w14:textId="77777777" w:rsidR="00673F38" w:rsidRDefault="00673F38" w:rsidP="000372E9">
      <w:pPr>
        <w:rPr>
          <w:rFonts w:asciiTheme="minorHAnsi" w:hAnsiTheme="minorHAnsi" w:cstheme="minorHAnsi"/>
        </w:rPr>
      </w:pPr>
    </w:p>
    <w:p w14:paraId="5DD80626" w14:textId="77777777" w:rsidR="00673F38" w:rsidRPr="00037AD4" w:rsidRDefault="00673F38" w:rsidP="000372E9">
      <w:pPr>
        <w:rPr>
          <w:rFonts w:asciiTheme="minorHAnsi" w:hAnsiTheme="minorHAnsi" w:cstheme="minorHAnsi"/>
        </w:rPr>
      </w:pPr>
    </w:p>
    <w:p w14:paraId="73221035" w14:textId="77777777" w:rsidR="00B54D51" w:rsidRPr="00037AD4" w:rsidRDefault="00B54D51" w:rsidP="000372E9">
      <w:pPr>
        <w:rPr>
          <w:rFonts w:asciiTheme="minorHAnsi" w:hAnsiTheme="minorHAnsi" w:cstheme="minorHAnsi"/>
          <w:b/>
          <w:bCs/>
          <w:i/>
          <w:iCs/>
        </w:rPr>
      </w:pPr>
      <w:r w:rsidRPr="00037AD4">
        <w:rPr>
          <w:rFonts w:asciiTheme="minorHAnsi" w:hAnsiTheme="minorHAnsi" w:cstheme="minorHAnsi"/>
          <w:b/>
          <w:bCs/>
          <w:i/>
          <w:iCs/>
        </w:rPr>
        <w:lastRenderedPageBreak/>
        <w:t xml:space="preserve">Figure 8, Direction of mobility change from T0 to T2 </w:t>
      </w:r>
    </w:p>
    <w:p w14:paraId="7CD4BDDB" w14:textId="77777777" w:rsidR="00B54D51" w:rsidRPr="00037AD4" w:rsidRDefault="00B54D51" w:rsidP="000372E9">
      <w:pPr>
        <w:rPr>
          <w:rFonts w:asciiTheme="minorHAnsi" w:hAnsiTheme="minorHAnsi" w:cstheme="minorHAnsi"/>
        </w:rPr>
      </w:pPr>
    </w:p>
    <w:p w14:paraId="08847D76" w14:textId="77777777" w:rsidR="00B54D51" w:rsidRPr="00037AD4" w:rsidRDefault="00B54D51" w:rsidP="000372E9">
      <w:pPr>
        <w:rPr>
          <w:rFonts w:asciiTheme="minorHAnsi" w:hAnsiTheme="minorHAnsi" w:cstheme="minorHAnsi"/>
        </w:rPr>
      </w:pPr>
      <w:r w:rsidRPr="00037AD4">
        <w:rPr>
          <w:rFonts w:asciiTheme="minorHAnsi" w:hAnsiTheme="minorHAnsi" w:cstheme="minorHAnsi"/>
          <w:noProof/>
        </w:rPr>
        <w:drawing>
          <wp:inline distT="0" distB="0" distL="0" distR="0" wp14:anchorId="41D32C6B" wp14:editId="5D5BD258">
            <wp:extent cx="4464000" cy="2448000"/>
            <wp:effectExtent l="0" t="0" r="6985" b="15875"/>
            <wp:docPr id="3" name="Chart 3">
              <a:extLst xmlns:a="http://schemas.openxmlformats.org/drawingml/2006/main">
                <a:ext uri="{FF2B5EF4-FFF2-40B4-BE49-F238E27FC236}">
                  <a16:creationId xmlns:a16="http://schemas.microsoft.com/office/drawing/2014/main" id="{6DF3DA0B-803F-5ED8-F907-359A6A76A87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5DCDD7EE" w14:textId="77777777" w:rsidR="00B54D51" w:rsidRPr="00037AD4" w:rsidRDefault="00B54D51" w:rsidP="000372E9">
      <w:pPr>
        <w:rPr>
          <w:rFonts w:asciiTheme="minorHAnsi" w:hAnsiTheme="minorHAnsi" w:cstheme="minorHAnsi"/>
        </w:rPr>
      </w:pPr>
    </w:p>
    <w:p w14:paraId="3CE1AAEA" w14:textId="661F6EA3" w:rsidR="00B54D51" w:rsidRPr="00B90F10" w:rsidRDefault="00B54D51" w:rsidP="000372E9">
      <w:pPr>
        <w:rPr>
          <w:rFonts w:asciiTheme="minorHAnsi" w:hAnsiTheme="minorHAnsi" w:cstheme="minorHAnsi"/>
        </w:rPr>
      </w:pPr>
      <w:r w:rsidRPr="00037AD4">
        <w:rPr>
          <w:rFonts w:asciiTheme="minorHAnsi" w:hAnsiTheme="minorHAnsi" w:cstheme="minorHAnsi"/>
        </w:rPr>
        <w:t xml:space="preserve">The data described can be found within </w:t>
      </w:r>
      <w:hyperlink w:anchor="A51" w:history="1">
        <w:r w:rsidRPr="00B90F10">
          <w:rPr>
            <w:rStyle w:val="Hyperlink"/>
            <w:rFonts w:asciiTheme="minorHAnsi" w:hAnsiTheme="minorHAnsi" w:cstheme="minorHAnsi"/>
            <w:color w:val="auto"/>
            <w:u w:val="none"/>
          </w:rPr>
          <w:t>Appendix 5.1</w:t>
        </w:r>
      </w:hyperlink>
      <w:r w:rsidRPr="00B90F10">
        <w:rPr>
          <w:rFonts w:asciiTheme="minorHAnsi" w:hAnsiTheme="minorHAnsi" w:cstheme="minorHAnsi"/>
        </w:rPr>
        <w:t xml:space="preserve">. Just over half of the PwD-informal proxy dyads reported a consistent direction of change in the “mobility” dimension (51%). This alignment was mostly attributed to the majority of dyads reporting a matched </w:t>
      </w:r>
      <w:r w:rsidRPr="00B90F10">
        <w:rPr>
          <w:rFonts w:asciiTheme="minorHAnsi" w:hAnsiTheme="minorHAnsi" w:cstheme="minorHAnsi"/>
          <w:i/>
          <w:iCs/>
        </w:rPr>
        <w:t>no change</w:t>
      </w:r>
      <w:r w:rsidRPr="00B90F10">
        <w:rPr>
          <w:rFonts w:asciiTheme="minorHAnsi" w:hAnsiTheme="minorHAnsi" w:cstheme="minorHAnsi"/>
        </w:rPr>
        <w:t xml:space="preserve"> in “mobility” status (75%). For PwD-staff-proxy dyads, over 55% of respondents reported change in opposing directions to one another (from T0 to T2). </w:t>
      </w:r>
    </w:p>
    <w:p w14:paraId="3866AA9A" w14:textId="77777777" w:rsidR="00B54D51" w:rsidRPr="00B90F10" w:rsidRDefault="00B54D51" w:rsidP="000372E9">
      <w:pPr>
        <w:rPr>
          <w:rFonts w:asciiTheme="minorHAnsi" w:hAnsiTheme="minorHAnsi" w:cstheme="minorHAnsi"/>
        </w:rPr>
      </w:pPr>
    </w:p>
    <w:p w14:paraId="55AB9662" w14:textId="77777777" w:rsidR="00B54D51" w:rsidRPr="00B90F10" w:rsidRDefault="00B54D51" w:rsidP="000372E9">
      <w:pPr>
        <w:rPr>
          <w:rFonts w:asciiTheme="minorHAnsi" w:hAnsiTheme="minorHAnsi" w:cstheme="minorHAnsi"/>
        </w:rPr>
      </w:pPr>
      <w:r w:rsidRPr="00B90F10">
        <w:rPr>
          <w:rFonts w:asciiTheme="minorHAnsi" w:hAnsiTheme="minorHAnsi" w:cstheme="minorHAnsi"/>
        </w:rPr>
        <w:t xml:space="preserve">The findings from floor and ceiling effect analyses are presented in </w:t>
      </w:r>
      <w:hyperlink w:anchor="A52" w:history="1">
        <w:r w:rsidRPr="00B90F10">
          <w:rPr>
            <w:rStyle w:val="Hyperlink"/>
            <w:rFonts w:asciiTheme="minorHAnsi" w:hAnsiTheme="minorHAnsi" w:cstheme="minorHAnsi"/>
            <w:color w:val="auto"/>
            <w:u w:val="none"/>
          </w:rPr>
          <w:t>Appendix 5.2</w:t>
        </w:r>
      </w:hyperlink>
      <w:r w:rsidRPr="00B90F10">
        <w:rPr>
          <w:rFonts w:asciiTheme="minorHAnsi" w:hAnsiTheme="minorHAnsi" w:cstheme="minorHAnsi"/>
        </w:rPr>
        <w:t xml:space="preserve">. According to the pre-defined thresholds provided in </w:t>
      </w:r>
      <w:hyperlink w:anchor="Sec532" w:history="1">
        <w:r w:rsidRPr="00B90F10">
          <w:rPr>
            <w:rStyle w:val="Hyperlink"/>
            <w:rFonts w:asciiTheme="minorHAnsi" w:hAnsiTheme="minorHAnsi" w:cstheme="minorHAnsi"/>
            <w:color w:val="auto"/>
            <w:u w:val="none"/>
          </w:rPr>
          <w:t>Section 5.3.2</w:t>
        </w:r>
      </w:hyperlink>
      <w:r w:rsidRPr="00B90F10">
        <w:rPr>
          <w:rFonts w:asciiTheme="minorHAnsi" w:hAnsiTheme="minorHAnsi" w:cstheme="minorHAnsi"/>
        </w:rPr>
        <w:t xml:space="preserve">, ceiling effects were observed for PwD-self reported “mobility” (60% of reports). 35% of both proxy types also reported “no problems” in this dimension and floor effects were seen in staff proxy reports (around 28% of reports). </w:t>
      </w:r>
    </w:p>
    <w:p w14:paraId="32B50F89" w14:textId="77777777" w:rsidR="00B54D51" w:rsidRPr="00037AD4" w:rsidRDefault="00B54D51" w:rsidP="007A43F9">
      <w:pPr>
        <w:rPr>
          <w:rFonts w:asciiTheme="minorHAnsi" w:hAnsiTheme="minorHAnsi" w:cstheme="minorHAnsi"/>
          <w:color w:val="000000" w:themeColor="text1"/>
        </w:rPr>
      </w:pPr>
      <w:r w:rsidRPr="00037AD4">
        <w:rPr>
          <w:rFonts w:asciiTheme="minorHAnsi" w:hAnsiTheme="minorHAnsi" w:cstheme="minorHAnsi"/>
          <w:color w:val="000000" w:themeColor="text1"/>
        </w:rPr>
        <w:t xml:space="preserve"> </w:t>
      </w:r>
    </w:p>
    <w:p w14:paraId="6721BDC1" w14:textId="77777777" w:rsidR="00B54D51" w:rsidRPr="00037AD4" w:rsidRDefault="00B54D51" w:rsidP="007A43F9">
      <w:pPr>
        <w:rPr>
          <w:rFonts w:asciiTheme="majorHAnsi" w:hAnsiTheme="majorHAnsi" w:cstheme="majorHAnsi"/>
          <w:b/>
          <w:bCs/>
          <w:sz w:val="26"/>
          <w:szCs w:val="26"/>
          <w:u w:val="single"/>
        </w:rPr>
      </w:pPr>
      <w:bookmarkStart w:id="358" w:name="Sec5411"/>
      <w:r w:rsidRPr="00037AD4">
        <w:rPr>
          <w:rFonts w:asciiTheme="majorHAnsi" w:hAnsiTheme="majorHAnsi" w:cstheme="majorHAnsi"/>
          <w:b/>
          <w:bCs/>
          <w:sz w:val="26"/>
          <w:szCs w:val="26"/>
          <w:u w:val="single"/>
        </w:rPr>
        <w:t xml:space="preserve">5.4.1.1 Mobility change alongside dementia symptom measures </w:t>
      </w:r>
      <w:bookmarkEnd w:id="358"/>
    </w:p>
    <w:p w14:paraId="14797DCB" w14:textId="77777777" w:rsidR="00B54D51" w:rsidRPr="00037AD4" w:rsidRDefault="00B54D51" w:rsidP="000E11E4">
      <w:pPr>
        <w:pStyle w:val="EndNoteBibliography"/>
        <w:rPr>
          <w:rFonts w:asciiTheme="minorHAnsi" w:hAnsiTheme="minorHAnsi" w:cstheme="minorHAnsi"/>
          <w:b/>
          <w:bCs/>
          <w:color w:val="000000" w:themeColor="text1"/>
          <w:u w:val="single"/>
          <w:lang w:val="en-GB"/>
        </w:rPr>
      </w:pPr>
    </w:p>
    <w:p w14:paraId="13DB7EB5" w14:textId="77777777" w:rsidR="00B54D51" w:rsidRPr="00037AD4" w:rsidRDefault="00B54D51" w:rsidP="0058026A">
      <w:pPr>
        <w:rPr>
          <w:rFonts w:asciiTheme="minorHAnsi" w:hAnsiTheme="minorHAnsi" w:cstheme="minorHAnsi"/>
        </w:rPr>
      </w:pPr>
      <w:r w:rsidRPr="00037AD4">
        <w:rPr>
          <w:rFonts w:asciiTheme="minorHAnsi" w:hAnsiTheme="minorHAnsi" w:cstheme="minorHAnsi"/>
        </w:rPr>
        <w:t xml:space="preserve">The dementia symptom measures that are used to compare changes in EQ-5D dimension scores have been summarised and </w:t>
      </w:r>
      <w:r w:rsidRPr="00B90F10">
        <w:rPr>
          <w:rFonts w:asciiTheme="minorHAnsi" w:hAnsiTheme="minorHAnsi" w:cstheme="minorHAnsi"/>
        </w:rPr>
        <w:t xml:space="preserve">presented in </w:t>
      </w:r>
      <w:hyperlink w:anchor="A5" w:history="1">
        <w:r w:rsidRPr="00B90F10">
          <w:rPr>
            <w:rStyle w:val="Hyperlink"/>
            <w:rFonts w:asciiTheme="minorHAnsi" w:hAnsiTheme="minorHAnsi" w:cstheme="minorHAnsi"/>
            <w:color w:val="auto"/>
            <w:u w:val="none"/>
          </w:rPr>
          <w:t>Appendix 5</w:t>
        </w:r>
      </w:hyperlink>
      <w:r w:rsidRPr="00B90F10">
        <w:rPr>
          <w:rFonts w:asciiTheme="minorHAnsi" w:hAnsiTheme="minorHAnsi" w:cstheme="minorHAnsi"/>
        </w:rPr>
        <w:t xml:space="preserve">. These measures were identified via the </w:t>
      </w:r>
      <w:hyperlink w:anchor="_3.7_Convergent_validity" w:history="1">
        <w:r w:rsidRPr="00B90F10">
          <w:rPr>
            <w:rStyle w:val="Hyperlink"/>
            <w:rFonts w:asciiTheme="minorHAnsi" w:hAnsiTheme="minorHAnsi" w:cstheme="minorHAnsi"/>
            <w:color w:val="auto"/>
            <w:u w:val="none"/>
          </w:rPr>
          <w:t>systematic review reported in Chapter Three</w:t>
        </w:r>
      </w:hyperlink>
      <w:r w:rsidRPr="00B90F10">
        <w:rPr>
          <w:rFonts w:asciiTheme="minorHAnsi" w:hAnsiTheme="minorHAnsi" w:cstheme="minorHAnsi"/>
        </w:rPr>
        <w:t xml:space="preserve"> and the convergent validity findings presented in </w:t>
      </w:r>
      <w:hyperlink w:anchor="_4.4.5_Convergent_validity" w:history="1">
        <w:r w:rsidRPr="00B90F10">
          <w:rPr>
            <w:rStyle w:val="Hyperlink"/>
            <w:rFonts w:asciiTheme="minorHAnsi" w:hAnsiTheme="minorHAnsi" w:cstheme="minorHAnsi"/>
            <w:color w:val="auto"/>
            <w:u w:val="none"/>
          </w:rPr>
          <w:t>Chapter Four</w:t>
        </w:r>
      </w:hyperlink>
      <w:r w:rsidRPr="00B90F10">
        <w:rPr>
          <w:rFonts w:asciiTheme="minorHAnsi" w:hAnsiTheme="minorHAnsi" w:cstheme="minorHAnsi"/>
        </w:rPr>
        <w:t xml:space="preserve">. For the “mobility” dimension, the following outcomes were identified to have an association with this dimension </w:t>
      </w:r>
      <w:r w:rsidRPr="00037AD4">
        <w:rPr>
          <w:rFonts w:asciiTheme="minorHAnsi" w:hAnsiTheme="minorHAnsi" w:cstheme="minorHAnsi"/>
        </w:rPr>
        <w:t xml:space="preserve">and have therefore been assessed in this section: </w:t>
      </w:r>
      <w:r w:rsidRPr="00037AD4">
        <w:rPr>
          <w:rFonts w:asciiTheme="minorHAnsi" w:hAnsiTheme="minorHAnsi" w:cstheme="minorHAnsi"/>
          <w:i/>
          <w:iCs/>
        </w:rPr>
        <w:t xml:space="preserve">function </w:t>
      </w:r>
      <w:r w:rsidRPr="00037AD4">
        <w:rPr>
          <w:rFonts w:asciiTheme="minorHAnsi" w:hAnsiTheme="minorHAnsi" w:cstheme="minorHAnsi"/>
        </w:rPr>
        <w:t xml:space="preserve">and </w:t>
      </w:r>
      <w:r w:rsidRPr="00037AD4">
        <w:rPr>
          <w:rFonts w:asciiTheme="minorHAnsi" w:hAnsiTheme="minorHAnsi" w:cstheme="minorHAnsi"/>
          <w:i/>
          <w:iCs/>
        </w:rPr>
        <w:t>behaviour/mood</w:t>
      </w:r>
      <w:r w:rsidRPr="00037AD4">
        <w:rPr>
          <w:rFonts w:asciiTheme="minorHAnsi" w:hAnsiTheme="minorHAnsi" w:cstheme="minorHAnsi"/>
        </w:rPr>
        <w:t xml:space="preserve">. Where these outcomes have been collected within multiple studies, the direction of the overall outcome’s score change (between T0 and T2) has been merged and used for these analyses. </w:t>
      </w:r>
    </w:p>
    <w:p w14:paraId="6698B4CD" w14:textId="77777777" w:rsidR="00B54D51" w:rsidRPr="00037AD4" w:rsidRDefault="00B54D51" w:rsidP="000E11E4">
      <w:pPr>
        <w:pStyle w:val="EndNoteBibliography"/>
        <w:rPr>
          <w:rFonts w:asciiTheme="minorHAnsi" w:hAnsiTheme="minorHAnsi" w:cstheme="minorHAnsi"/>
          <w:b/>
          <w:bCs/>
          <w:color w:val="000000" w:themeColor="text1"/>
          <w:u w:val="single"/>
          <w:lang w:val="en-GB"/>
        </w:rPr>
      </w:pPr>
    </w:p>
    <w:p w14:paraId="0B5D0E84" w14:textId="77777777" w:rsidR="00B54D51" w:rsidRPr="00037AD4" w:rsidRDefault="00B54D51" w:rsidP="0058026A">
      <w:pPr>
        <w:rPr>
          <w:rFonts w:asciiTheme="minorHAnsi" w:hAnsiTheme="minorHAnsi" w:cstheme="minorHAnsi"/>
        </w:rPr>
      </w:pPr>
      <w:r w:rsidRPr="00037AD4">
        <w:rPr>
          <w:rFonts w:asciiTheme="minorHAnsi" w:hAnsiTheme="minorHAnsi" w:cstheme="minorHAnsi"/>
        </w:rPr>
        <w:t xml:space="preserve">Figure 9a shows the association between the direction of mobility score reporting and changes in functional status. A variable was generated which reflected whether the trial’s specific functional measure score stayed the same, worsened or improved over the assessed time period. This step was undertaken because the measure scores could not be merged due to the trials capturing different function </w:t>
      </w:r>
      <w:r w:rsidRPr="00B90F10">
        <w:rPr>
          <w:rFonts w:asciiTheme="minorHAnsi" w:hAnsiTheme="minorHAnsi" w:cstheme="minorHAnsi"/>
        </w:rPr>
        <w:t xml:space="preserve">instruments </w:t>
      </w:r>
      <w:hyperlink w:anchor="_5.3.3_Methods_for" w:history="1">
        <w:r w:rsidRPr="00B90F10">
          <w:rPr>
            <w:rStyle w:val="Hyperlink"/>
            <w:rFonts w:asciiTheme="minorHAnsi" w:hAnsiTheme="minorHAnsi" w:cstheme="minorHAnsi"/>
            <w:color w:val="auto"/>
            <w:u w:val="none"/>
          </w:rPr>
          <w:t>(see Section 5.3.3)</w:t>
        </w:r>
      </w:hyperlink>
      <w:r w:rsidRPr="00B90F10">
        <w:rPr>
          <w:rFonts w:asciiTheme="minorHAnsi" w:hAnsiTheme="minorHAnsi" w:cstheme="minorHAnsi"/>
        </w:rPr>
        <w:t xml:space="preserve">. The X-axis is divided by respondent type, and further divided by the PwD’s functional status change </w:t>
      </w:r>
      <w:r w:rsidRPr="00037AD4">
        <w:rPr>
          <w:rFonts w:asciiTheme="minorHAnsi" w:hAnsiTheme="minorHAnsi" w:cstheme="minorHAnsi"/>
        </w:rPr>
        <w:t xml:space="preserve">from T0 to T2, i.e., the functional status either remains the same, worsens or improves in this </w:t>
      </w:r>
      <w:r w:rsidRPr="00037AD4">
        <w:rPr>
          <w:rFonts w:asciiTheme="minorHAnsi" w:hAnsiTheme="minorHAnsi" w:cstheme="minorHAnsi"/>
        </w:rPr>
        <w:lastRenderedPageBreak/>
        <w:t xml:space="preserve">time frame. The change in dementia symptom measure score always refers to the condition of the PwD, and the respondent type indicates which respondent the EQ-5D report originates from (on behalf of the PwD). The coloured bars sum to the total proportion of EQ-5D reports for each direction of change, i.e., from the </w:t>
      </w:r>
      <w:r w:rsidRPr="00037AD4">
        <w:rPr>
          <w:rFonts w:asciiTheme="minorHAnsi" w:hAnsiTheme="minorHAnsi" w:cstheme="minorHAnsi"/>
          <w:i/>
          <w:iCs/>
        </w:rPr>
        <w:t>left third</w:t>
      </w:r>
      <w:r w:rsidRPr="00037AD4">
        <w:rPr>
          <w:rFonts w:asciiTheme="minorHAnsi" w:hAnsiTheme="minorHAnsi" w:cstheme="minorHAnsi"/>
        </w:rPr>
        <w:t xml:space="preserve"> of the chart, the blue bars represent reports from the people with dementia that reported no change in their own “mobility” status: 22.9% of which experienced no change in their functional status, 63.8% experienced a worsening in their functional status and for 13.3%, their functional status improved from T0 to T2. The red and grey bars indicate the proportion of the different respondents reporting a worsening and an improvement in “mobility” between timepoints respectively. The middle third shows informal proxy reports, and the right third holds staff proxy reports. </w:t>
      </w:r>
    </w:p>
    <w:p w14:paraId="0C02A2F7" w14:textId="77777777" w:rsidR="00B54D51" w:rsidRPr="00037AD4" w:rsidRDefault="00B54D51" w:rsidP="0058026A">
      <w:pPr>
        <w:rPr>
          <w:rFonts w:asciiTheme="minorHAnsi" w:hAnsiTheme="minorHAnsi" w:cstheme="minorHAnsi"/>
        </w:rPr>
      </w:pPr>
    </w:p>
    <w:p w14:paraId="5C329C5E" w14:textId="77777777" w:rsidR="00B54D51" w:rsidRPr="00037AD4" w:rsidRDefault="00B54D51" w:rsidP="0058026A">
      <w:pPr>
        <w:rPr>
          <w:rFonts w:asciiTheme="minorHAnsi" w:hAnsiTheme="minorHAnsi" w:cstheme="minorHAnsi"/>
        </w:rPr>
      </w:pPr>
      <w:r w:rsidRPr="00037AD4">
        <w:rPr>
          <w:rFonts w:asciiTheme="minorHAnsi" w:hAnsiTheme="minorHAnsi" w:cstheme="minorHAnsi"/>
        </w:rPr>
        <w:t xml:space="preserve">Figure 9a shows that informal proxies (shown in the middle third) were the respondent type for which the greatest proportion of worsened “mobility” reports corresponded with worsened functional status of the PwD (71%, vs. 62% for people with dementia and 43% for staff proxies). 53% of staff proxies reported a worsening in “mobility” where PwD-function remained stable; however, the greatest proportion of stable “mobility” ratings in line with no change in functional status were also reported by staff proxies (60%, vs. 23% for people with dementia and 28% for informal proxies). 57% of people with dementia and 62% of informal proxy reports of an improvement in “mobility” were where PwD functional status had worsened. </w:t>
      </w:r>
    </w:p>
    <w:p w14:paraId="1CA5BCA9" w14:textId="77777777" w:rsidR="00B54D51" w:rsidRPr="00037AD4" w:rsidRDefault="00B54D51" w:rsidP="0058026A">
      <w:pPr>
        <w:rPr>
          <w:rFonts w:asciiTheme="minorHAnsi" w:hAnsiTheme="minorHAnsi" w:cstheme="minorHAnsi"/>
        </w:rPr>
      </w:pPr>
    </w:p>
    <w:p w14:paraId="1D435233" w14:textId="5EE4437F" w:rsidR="00B54D51" w:rsidRPr="00037AD4" w:rsidRDefault="00B54D51" w:rsidP="0058026A">
      <w:pPr>
        <w:rPr>
          <w:rFonts w:asciiTheme="minorHAnsi" w:hAnsiTheme="minorHAnsi" w:cstheme="minorHAnsi"/>
        </w:rPr>
      </w:pPr>
      <w:r w:rsidRPr="00037AD4">
        <w:rPr>
          <w:rFonts w:asciiTheme="minorHAnsi" w:hAnsiTheme="minorHAnsi" w:cstheme="minorHAnsi"/>
        </w:rPr>
        <w:t xml:space="preserve">Figure 9b displays the same type of associations, but between behaviour/mood status and direction of “mobility” reporting. Similarly, the two EQ-5D-5L trials both collected NPI as the measure of behaviour/mood; a variable recording whether the NPI score remained the same, worsened or improved between T0 and T2 was generated for these analyses. Staff proxies were the respondent type that provided the relative greatest proportion of improved “mobility” reports that corresponded with improved behaviour/mood scores (59%, vs. 37% for people with dementia and 43% for informal proxies). Proportional reports reflecting a stable “mobility” score alongside stability in behaviour/mood status were provided by all three respondents (between 9-14%). </w:t>
      </w:r>
    </w:p>
    <w:p w14:paraId="52C687F2" w14:textId="77777777" w:rsidR="00B54D51" w:rsidRDefault="00B54D51" w:rsidP="000E11E4">
      <w:pPr>
        <w:pStyle w:val="EndNoteBibliography"/>
        <w:rPr>
          <w:rFonts w:asciiTheme="minorHAnsi" w:hAnsiTheme="minorHAnsi" w:cstheme="minorHAnsi"/>
          <w:b/>
          <w:bCs/>
          <w:color w:val="000000" w:themeColor="text1"/>
          <w:u w:val="single"/>
          <w:lang w:val="en-GB"/>
        </w:rPr>
      </w:pPr>
    </w:p>
    <w:p w14:paraId="579454D8" w14:textId="77777777" w:rsidR="00673F38" w:rsidRDefault="00673F38" w:rsidP="000E11E4">
      <w:pPr>
        <w:pStyle w:val="EndNoteBibliography"/>
        <w:rPr>
          <w:rFonts w:asciiTheme="minorHAnsi" w:hAnsiTheme="minorHAnsi" w:cstheme="minorHAnsi"/>
          <w:b/>
          <w:bCs/>
          <w:color w:val="000000" w:themeColor="text1"/>
          <w:u w:val="single"/>
          <w:lang w:val="en-GB"/>
        </w:rPr>
      </w:pPr>
    </w:p>
    <w:p w14:paraId="23894647" w14:textId="77777777" w:rsidR="00673F38" w:rsidRDefault="00673F38" w:rsidP="000E11E4">
      <w:pPr>
        <w:pStyle w:val="EndNoteBibliography"/>
        <w:rPr>
          <w:rFonts w:asciiTheme="minorHAnsi" w:hAnsiTheme="minorHAnsi" w:cstheme="minorHAnsi"/>
          <w:b/>
          <w:bCs/>
          <w:color w:val="000000" w:themeColor="text1"/>
          <w:u w:val="single"/>
          <w:lang w:val="en-GB"/>
        </w:rPr>
      </w:pPr>
    </w:p>
    <w:p w14:paraId="648FA71D" w14:textId="77777777" w:rsidR="00673F38" w:rsidRDefault="00673F38" w:rsidP="000E11E4">
      <w:pPr>
        <w:pStyle w:val="EndNoteBibliography"/>
        <w:rPr>
          <w:rFonts w:asciiTheme="minorHAnsi" w:hAnsiTheme="minorHAnsi" w:cstheme="minorHAnsi"/>
          <w:b/>
          <w:bCs/>
          <w:color w:val="000000" w:themeColor="text1"/>
          <w:u w:val="single"/>
          <w:lang w:val="en-GB"/>
        </w:rPr>
      </w:pPr>
    </w:p>
    <w:p w14:paraId="1CD81B26" w14:textId="77777777" w:rsidR="00673F38" w:rsidRDefault="00673F38" w:rsidP="000E11E4">
      <w:pPr>
        <w:pStyle w:val="EndNoteBibliography"/>
        <w:rPr>
          <w:rFonts w:asciiTheme="minorHAnsi" w:hAnsiTheme="minorHAnsi" w:cstheme="minorHAnsi"/>
          <w:b/>
          <w:bCs/>
          <w:color w:val="000000" w:themeColor="text1"/>
          <w:u w:val="single"/>
          <w:lang w:val="en-GB"/>
        </w:rPr>
      </w:pPr>
    </w:p>
    <w:p w14:paraId="04C1E46A" w14:textId="77777777" w:rsidR="00673F38" w:rsidRDefault="00673F38" w:rsidP="000E11E4">
      <w:pPr>
        <w:pStyle w:val="EndNoteBibliography"/>
        <w:rPr>
          <w:rFonts w:asciiTheme="minorHAnsi" w:hAnsiTheme="minorHAnsi" w:cstheme="minorHAnsi"/>
          <w:b/>
          <w:bCs/>
          <w:color w:val="000000" w:themeColor="text1"/>
          <w:u w:val="single"/>
          <w:lang w:val="en-GB"/>
        </w:rPr>
      </w:pPr>
    </w:p>
    <w:p w14:paraId="317EEBFE" w14:textId="77777777" w:rsidR="00673F38" w:rsidRDefault="00673F38" w:rsidP="000E11E4">
      <w:pPr>
        <w:pStyle w:val="EndNoteBibliography"/>
        <w:rPr>
          <w:rFonts w:asciiTheme="minorHAnsi" w:hAnsiTheme="minorHAnsi" w:cstheme="minorHAnsi"/>
          <w:b/>
          <w:bCs/>
          <w:color w:val="000000" w:themeColor="text1"/>
          <w:u w:val="single"/>
          <w:lang w:val="en-GB"/>
        </w:rPr>
      </w:pPr>
    </w:p>
    <w:p w14:paraId="716EA3D3" w14:textId="77777777" w:rsidR="00673F38" w:rsidRDefault="00673F38" w:rsidP="000E11E4">
      <w:pPr>
        <w:pStyle w:val="EndNoteBibliography"/>
        <w:rPr>
          <w:rFonts w:asciiTheme="minorHAnsi" w:hAnsiTheme="minorHAnsi" w:cstheme="minorHAnsi"/>
          <w:b/>
          <w:bCs/>
          <w:color w:val="000000" w:themeColor="text1"/>
          <w:u w:val="single"/>
          <w:lang w:val="en-GB"/>
        </w:rPr>
      </w:pPr>
    </w:p>
    <w:p w14:paraId="7265A2D3" w14:textId="77777777" w:rsidR="00673F38" w:rsidRDefault="00673F38" w:rsidP="000E11E4">
      <w:pPr>
        <w:pStyle w:val="EndNoteBibliography"/>
        <w:rPr>
          <w:rFonts w:asciiTheme="minorHAnsi" w:hAnsiTheme="minorHAnsi" w:cstheme="minorHAnsi"/>
          <w:b/>
          <w:bCs/>
          <w:color w:val="000000" w:themeColor="text1"/>
          <w:u w:val="single"/>
          <w:lang w:val="en-GB"/>
        </w:rPr>
      </w:pPr>
    </w:p>
    <w:p w14:paraId="4F7CFB11" w14:textId="77777777" w:rsidR="00673F38" w:rsidRDefault="00673F38" w:rsidP="000E11E4">
      <w:pPr>
        <w:pStyle w:val="EndNoteBibliography"/>
        <w:rPr>
          <w:rFonts w:asciiTheme="minorHAnsi" w:hAnsiTheme="minorHAnsi" w:cstheme="minorHAnsi"/>
          <w:b/>
          <w:bCs/>
          <w:color w:val="000000" w:themeColor="text1"/>
          <w:u w:val="single"/>
          <w:lang w:val="en-GB"/>
        </w:rPr>
      </w:pPr>
    </w:p>
    <w:p w14:paraId="2A53C1FC" w14:textId="77777777" w:rsidR="00673F38" w:rsidRDefault="00673F38" w:rsidP="000E11E4">
      <w:pPr>
        <w:pStyle w:val="EndNoteBibliography"/>
        <w:rPr>
          <w:rFonts w:asciiTheme="minorHAnsi" w:hAnsiTheme="minorHAnsi" w:cstheme="minorHAnsi"/>
          <w:b/>
          <w:bCs/>
          <w:color w:val="000000" w:themeColor="text1"/>
          <w:u w:val="single"/>
          <w:lang w:val="en-GB"/>
        </w:rPr>
      </w:pPr>
    </w:p>
    <w:p w14:paraId="0B1E526A" w14:textId="77777777" w:rsidR="00673F38" w:rsidRDefault="00673F38" w:rsidP="000E11E4">
      <w:pPr>
        <w:pStyle w:val="EndNoteBibliography"/>
        <w:rPr>
          <w:rFonts w:asciiTheme="minorHAnsi" w:hAnsiTheme="minorHAnsi" w:cstheme="minorHAnsi"/>
          <w:b/>
          <w:bCs/>
          <w:color w:val="000000" w:themeColor="text1"/>
          <w:u w:val="single"/>
          <w:lang w:val="en-GB"/>
        </w:rPr>
      </w:pPr>
    </w:p>
    <w:p w14:paraId="7EE2AE84" w14:textId="77777777" w:rsidR="00673F38" w:rsidRDefault="00673F38" w:rsidP="000E11E4">
      <w:pPr>
        <w:pStyle w:val="EndNoteBibliography"/>
        <w:rPr>
          <w:rFonts w:asciiTheme="minorHAnsi" w:hAnsiTheme="minorHAnsi" w:cstheme="minorHAnsi"/>
          <w:b/>
          <w:bCs/>
          <w:color w:val="000000" w:themeColor="text1"/>
          <w:u w:val="single"/>
          <w:lang w:val="en-GB"/>
        </w:rPr>
      </w:pPr>
    </w:p>
    <w:p w14:paraId="1FB77ABB" w14:textId="77777777" w:rsidR="00673F38" w:rsidRDefault="00673F38" w:rsidP="000E11E4">
      <w:pPr>
        <w:pStyle w:val="EndNoteBibliography"/>
        <w:rPr>
          <w:rFonts w:asciiTheme="minorHAnsi" w:hAnsiTheme="minorHAnsi" w:cstheme="minorHAnsi"/>
          <w:b/>
          <w:bCs/>
          <w:color w:val="000000" w:themeColor="text1"/>
          <w:u w:val="single"/>
          <w:lang w:val="en-GB"/>
        </w:rPr>
      </w:pPr>
    </w:p>
    <w:p w14:paraId="6ACB7B48" w14:textId="77777777" w:rsidR="00673F38" w:rsidRDefault="00673F38" w:rsidP="000E11E4">
      <w:pPr>
        <w:pStyle w:val="EndNoteBibliography"/>
        <w:rPr>
          <w:rFonts w:asciiTheme="minorHAnsi" w:hAnsiTheme="minorHAnsi" w:cstheme="minorHAnsi"/>
          <w:b/>
          <w:bCs/>
          <w:color w:val="000000" w:themeColor="text1"/>
          <w:u w:val="single"/>
          <w:lang w:val="en-GB"/>
        </w:rPr>
      </w:pPr>
    </w:p>
    <w:p w14:paraId="526A7A4F" w14:textId="77777777" w:rsidR="00673F38" w:rsidRPr="00037AD4" w:rsidRDefault="00673F38" w:rsidP="000E11E4">
      <w:pPr>
        <w:pStyle w:val="EndNoteBibliography"/>
        <w:rPr>
          <w:rFonts w:asciiTheme="minorHAnsi" w:hAnsiTheme="minorHAnsi" w:cstheme="minorHAnsi"/>
          <w:b/>
          <w:bCs/>
          <w:color w:val="000000" w:themeColor="text1"/>
          <w:u w:val="single"/>
          <w:lang w:val="en-GB"/>
        </w:rPr>
      </w:pPr>
    </w:p>
    <w:p w14:paraId="255A4022" w14:textId="2ABADFB2" w:rsidR="00B54D51" w:rsidRPr="00037AD4" w:rsidRDefault="00B54D51" w:rsidP="0058026A">
      <w:pPr>
        <w:rPr>
          <w:rFonts w:asciiTheme="minorHAnsi" w:hAnsiTheme="minorHAnsi" w:cstheme="minorHAnsi"/>
          <w:b/>
          <w:bCs/>
          <w:i/>
          <w:iCs/>
        </w:rPr>
      </w:pPr>
      <w:r w:rsidRPr="00037AD4">
        <w:rPr>
          <w:rFonts w:asciiTheme="minorHAnsi" w:hAnsiTheme="minorHAnsi" w:cstheme="minorHAnsi"/>
          <w:b/>
          <w:bCs/>
          <w:i/>
          <w:iCs/>
        </w:rPr>
        <w:lastRenderedPageBreak/>
        <w:t xml:space="preserve">Figure 9a, Direction functional status progression </w:t>
      </w:r>
      <w:r w:rsidR="002A4B43">
        <w:rPr>
          <w:rFonts w:asciiTheme="minorHAnsi" w:hAnsiTheme="minorHAnsi" w:cstheme="minorHAnsi"/>
          <w:b/>
          <w:bCs/>
          <w:i/>
          <w:iCs/>
        </w:rPr>
        <w:t>by mobility change</w:t>
      </w:r>
    </w:p>
    <w:p w14:paraId="125B1D70" w14:textId="77777777" w:rsidR="00B54D51" w:rsidRPr="00037AD4" w:rsidRDefault="00B54D51" w:rsidP="0058026A">
      <w:pPr>
        <w:rPr>
          <w:rFonts w:asciiTheme="minorHAnsi" w:hAnsiTheme="minorHAnsi" w:cstheme="minorHAnsi"/>
        </w:rPr>
      </w:pPr>
    </w:p>
    <w:p w14:paraId="4C85174C" w14:textId="77777777" w:rsidR="00B54D51" w:rsidRPr="00037AD4" w:rsidRDefault="00B54D51" w:rsidP="0058026A">
      <w:pPr>
        <w:rPr>
          <w:rFonts w:asciiTheme="minorHAnsi" w:hAnsiTheme="minorHAnsi" w:cstheme="minorHAnsi"/>
        </w:rPr>
      </w:pPr>
      <w:r w:rsidRPr="00037AD4">
        <w:rPr>
          <w:rFonts w:asciiTheme="minorHAnsi" w:hAnsiTheme="minorHAnsi" w:cstheme="minorHAnsi"/>
          <w:noProof/>
        </w:rPr>
        <w:drawing>
          <wp:inline distT="0" distB="0" distL="0" distR="0" wp14:anchorId="26A17321" wp14:editId="1ACA87D1">
            <wp:extent cx="6120000" cy="3312000"/>
            <wp:effectExtent l="0" t="0" r="14605" b="15875"/>
            <wp:docPr id="42" name="Chart 42">
              <a:extLst xmlns:a="http://schemas.openxmlformats.org/drawingml/2006/main">
                <a:ext uri="{FF2B5EF4-FFF2-40B4-BE49-F238E27FC236}">
                  <a16:creationId xmlns:a16="http://schemas.microsoft.com/office/drawing/2014/main" id="{DFEE3641-B780-72A6-6A5E-4CDD173531A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0D3C8374" w14:textId="77777777" w:rsidR="00B90F10" w:rsidRPr="00037AD4" w:rsidRDefault="00B90F10" w:rsidP="0058026A">
      <w:pPr>
        <w:rPr>
          <w:rFonts w:asciiTheme="minorHAnsi" w:hAnsiTheme="minorHAnsi" w:cstheme="minorHAnsi"/>
        </w:rPr>
      </w:pPr>
    </w:p>
    <w:p w14:paraId="09FBB665" w14:textId="209A04C2" w:rsidR="00B54D51" w:rsidRPr="00037AD4" w:rsidRDefault="00B54D51" w:rsidP="0058026A">
      <w:pPr>
        <w:rPr>
          <w:rFonts w:asciiTheme="minorHAnsi" w:hAnsiTheme="minorHAnsi" w:cstheme="minorHAnsi"/>
          <w:b/>
          <w:bCs/>
          <w:i/>
          <w:iCs/>
        </w:rPr>
      </w:pPr>
      <w:r w:rsidRPr="00037AD4">
        <w:rPr>
          <w:rFonts w:asciiTheme="minorHAnsi" w:hAnsiTheme="minorHAnsi" w:cstheme="minorHAnsi"/>
          <w:b/>
          <w:bCs/>
          <w:i/>
          <w:iCs/>
        </w:rPr>
        <w:t xml:space="preserve">Figure 9b, Direction behaviour/mood status progression </w:t>
      </w:r>
      <w:r w:rsidR="002A4B43">
        <w:rPr>
          <w:rFonts w:asciiTheme="minorHAnsi" w:hAnsiTheme="minorHAnsi" w:cstheme="minorHAnsi"/>
          <w:b/>
          <w:bCs/>
          <w:i/>
          <w:iCs/>
        </w:rPr>
        <w:t>by mobility change</w:t>
      </w:r>
    </w:p>
    <w:p w14:paraId="1890F67E" w14:textId="77777777" w:rsidR="00B54D51" w:rsidRPr="00037AD4" w:rsidRDefault="00B54D51" w:rsidP="0058026A">
      <w:pPr>
        <w:rPr>
          <w:rFonts w:asciiTheme="minorHAnsi" w:hAnsiTheme="minorHAnsi" w:cstheme="minorHAnsi"/>
        </w:rPr>
      </w:pPr>
    </w:p>
    <w:p w14:paraId="0C4D034A" w14:textId="77777777" w:rsidR="00B54D51" w:rsidRPr="00037AD4" w:rsidRDefault="00B54D51" w:rsidP="0058026A">
      <w:pPr>
        <w:rPr>
          <w:rFonts w:asciiTheme="minorHAnsi" w:hAnsiTheme="minorHAnsi" w:cstheme="minorHAnsi"/>
        </w:rPr>
      </w:pPr>
      <w:r w:rsidRPr="00037AD4">
        <w:rPr>
          <w:rFonts w:asciiTheme="minorHAnsi" w:hAnsiTheme="minorHAnsi" w:cstheme="minorHAnsi"/>
          <w:noProof/>
        </w:rPr>
        <w:drawing>
          <wp:inline distT="0" distB="0" distL="0" distR="0" wp14:anchorId="66C913B2" wp14:editId="4B058B66">
            <wp:extent cx="6134100" cy="3312000"/>
            <wp:effectExtent l="0" t="0" r="12700" b="15875"/>
            <wp:docPr id="46" name="Chart 46">
              <a:extLst xmlns:a="http://schemas.openxmlformats.org/drawingml/2006/main">
                <a:ext uri="{FF2B5EF4-FFF2-40B4-BE49-F238E27FC236}">
                  <a16:creationId xmlns:a16="http://schemas.microsoft.com/office/drawing/2014/main" id="{1EDE30E8-7662-8E37-BFFA-D229A039C6F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0183D440" w14:textId="77777777" w:rsidR="00B54D51" w:rsidRPr="00037AD4" w:rsidRDefault="00B54D51" w:rsidP="0058026A">
      <w:pPr>
        <w:rPr>
          <w:rFonts w:asciiTheme="minorHAnsi" w:hAnsiTheme="minorHAnsi" w:cstheme="minorHAnsi"/>
          <w:b/>
          <w:bCs/>
          <w:u w:val="single"/>
        </w:rPr>
      </w:pPr>
      <w:r w:rsidRPr="00037AD4">
        <w:rPr>
          <w:rFonts w:asciiTheme="minorHAnsi" w:hAnsiTheme="minorHAnsi" w:cstheme="minorHAnsi"/>
          <w:b/>
          <w:bCs/>
          <w:noProof/>
          <w:u w:val="single"/>
        </w:rPr>
        <mc:AlternateContent>
          <mc:Choice Requires="wps">
            <w:drawing>
              <wp:anchor distT="0" distB="0" distL="114300" distR="114300" simplePos="0" relativeHeight="251677696" behindDoc="0" locked="0" layoutInCell="1" allowOverlap="1" wp14:anchorId="2EC1ABEF" wp14:editId="56EDCE88">
                <wp:simplePos x="0" y="0"/>
                <wp:positionH relativeFrom="column">
                  <wp:posOffset>4640</wp:posOffset>
                </wp:positionH>
                <wp:positionV relativeFrom="paragraph">
                  <wp:posOffset>76200</wp:posOffset>
                </wp:positionV>
                <wp:extent cx="2317898" cy="287079"/>
                <wp:effectExtent l="0" t="0" r="19050" b="17780"/>
                <wp:wrapNone/>
                <wp:docPr id="39" name="Text Box 39"/>
                <wp:cNvGraphicFramePr/>
                <a:graphic xmlns:a="http://schemas.openxmlformats.org/drawingml/2006/main">
                  <a:graphicData uri="http://schemas.microsoft.com/office/word/2010/wordprocessingShape">
                    <wps:wsp>
                      <wps:cNvSpPr txBox="1"/>
                      <wps:spPr>
                        <a:xfrm>
                          <a:off x="0" y="0"/>
                          <a:ext cx="2317898" cy="287079"/>
                        </a:xfrm>
                        <a:prstGeom prst="rect">
                          <a:avLst/>
                        </a:prstGeom>
                        <a:ln/>
                      </wps:spPr>
                      <wps:style>
                        <a:lnRef idx="2">
                          <a:schemeClr val="accent3"/>
                        </a:lnRef>
                        <a:fillRef idx="1">
                          <a:schemeClr val="lt1"/>
                        </a:fillRef>
                        <a:effectRef idx="0">
                          <a:schemeClr val="accent3"/>
                        </a:effectRef>
                        <a:fontRef idx="minor">
                          <a:schemeClr val="dk1"/>
                        </a:fontRef>
                      </wps:style>
                      <wps:txbx>
                        <w:txbxContent>
                          <w:p w14:paraId="6CD45DA8" w14:textId="77777777" w:rsidR="00B54D51" w:rsidRPr="00381A8E" w:rsidRDefault="00B54D51" w:rsidP="0058026A">
                            <w:pPr>
                              <w:rPr>
                                <w:rFonts w:asciiTheme="minorHAnsi" w:hAnsiTheme="minorHAnsi" w:cstheme="minorHAnsi"/>
                                <w:i/>
                                <w:iCs/>
                              </w:rPr>
                            </w:pPr>
                            <w:r w:rsidRPr="00381A8E">
                              <w:rPr>
                                <w:rFonts w:asciiTheme="minorHAnsi" w:hAnsiTheme="minorHAnsi" w:cstheme="minorHAnsi"/>
                                <w:i/>
                                <w:iCs/>
                              </w:rPr>
                              <w:t>PR, informal proxy; ST, staff proxy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EC1ABEF" id="_x0000_t202" coordsize="21600,21600" o:spt="202" path="m,l,21600r21600,l21600,xe">
                <v:stroke joinstyle="miter"/>
                <v:path gradientshapeok="t" o:connecttype="rect"/>
              </v:shapetype>
              <v:shape id="Text Box 39" o:spid="_x0000_s1038" type="#_x0000_t202" style="position:absolute;margin-left:.35pt;margin-top:6pt;width:182.5pt;height:22.6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" fillcolor="white [3201]" strokecolor="#a5a5a5 [3206]" strokeweight="1pt">
                <v:textbox>
                  <w:txbxContent>
                    <w:p w14:paraId="6CD45DA8" w14:textId="77777777" w:rsidR="00B54D51" w:rsidRPr="00381A8E" w:rsidRDefault="00B54D51" w:rsidP="0058026A">
                      <w:pPr>
                        <w:rPr>
                          <w:rFonts w:asciiTheme="minorHAnsi" w:hAnsiTheme="minorHAnsi" w:cstheme="minorHAnsi"/>
                          <w:i/>
                          <w:iCs/>
                        </w:rPr>
                      </w:pPr>
                      <w:r w:rsidRPr="00381A8E">
                        <w:rPr>
                          <w:rFonts w:asciiTheme="minorHAnsi" w:hAnsiTheme="minorHAnsi" w:cstheme="minorHAnsi"/>
                          <w:i/>
                          <w:iCs/>
                        </w:rPr>
                        <w:t>PR, informal proxy; ST, staff proxy</w:t>
                      </w:r>
                    </w:p>
                  </w:txbxContent>
                </v:textbox>
              </v:shape>
            </w:pict>
          </mc:Fallback>
        </mc:AlternateContent>
      </w:r>
    </w:p>
    <w:p w14:paraId="39724EBA" w14:textId="77777777" w:rsidR="00B54D51" w:rsidRPr="00037AD4" w:rsidRDefault="00B54D51" w:rsidP="0058026A">
      <w:pPr>
        <w:rPr>
          <w:rFonts w:asciiTheme="minorHAnsi" w:hAnsiTheme="minorHAnsi" w:cstheme="minorHAnsi"/>
          <w:b/>
          <w:bCs/>
          <w:color w:val="000000" w:themeColor="text1"/>
          <w:u w:val="single"/>
        </w:rPr>
      </w:pPr>
    </w:p>
    <w:p w14:paraId="10AE7391" w14:textId="77777777" w:rsidR="00B54D51" w:rsidRPr="00037AD4" w:rsidRDefault="00B54D51" w:rsidP="007A43F9">
      <w:pPr>
        <w:rPr>
          <w:rFonts w:asciiTheme="majorHAnsi" w:hAnsiTheme="majorHAnsi" w:cstheme="majorHAnsi"/>
          <w:b/>
          <w:bCs/>
          <w:sz w:val="26"/>
          <w:szCs w:val="26"/>
          <w:u w:val="single"/>
        </w:rPr>
      </w:pPr>
    </w:p>
    <w:p w14:paraId="779FBA60" w14:textId="77777777" w:rsidR="00673F38" w:rsidRDefault="00673F38" w:rsidP="007A43F9">
      <w:pPr>
        <w:rPr>
          <w:rFonts w:asciiTheme="majorHAnsi" w:hAnsiTheme="majorHAnsi" w:cstheme="majorHAnsi"/>
          <w:b/>
          <w:bCs/>
          <w:sz w:val="26"/>
          <w:szCs w:val="26"/>
          <w:u w:val="single"/>
        </w:rPr>
      </w:pPr>
    </w:p>
    <w:p w14:paraId="22C63992" w14:textId="77777777" w:rsidR="00673F38" w:rsidRDefault="00673F38" w:rsidP="007A43F9">
      <w:pPr>
        <w:rPr>
          <w:rFonts w:asciiTheme="majorHAnsi" w:hAnsiTheme="majorHAnsi" w:cstheme="majorHAnsi"/>
          <w:b/>
          <w:bCs/>
          <w:sz w:val="26"/>
          <w:szCs w:val="26"/>
          <w:u w:val="single"/>
        </w:rPr>
      </w:pPr>
    </w:p>
    <w:p w14:paraId="47402907" w14:textId="77777777" w:rsidR="00673F38" w:rsidRDefault="00673F38" w:rsidP="007A43F9">
      <w:pPr>
        <w:rPr>
          <w:rFonts w:asciiTheme="majorHAnsi" w:hAnsiTheme="majorHAnsi" w:cstheme="majorHAnsi"/>
          <w:b/>
          <w:bCs/>
          <w:sz w:val="26"/>
          <w:szCs w:val="26"/>
          <w:u w:val="single"/>
        </w:rPr>
      </w:pPr>
    </w:p>
    <w:p w14:paraId="0F943202" w14:textId="299B5608" w:rsidR="00B54D51" w:rsidRPr="00037AD4" w:rsidRDefault="00B54D51" w:rsidP="007A43F9">
      <w:pPr>
        <w:rPr>
          <w:rFonts w:asciiTheme="majorHAnsi" w:hAnsiTheme="majorHAnsi" w:cstheme="majorHAnsi"/>
          <w:b/>
          <w:bCs/>
          <w:sz w:val="26"/>
          <w:szCs w:val="26"/>
          <w:u w:val="single"/>
        </w:rPr>
      </w:pPr>
      <w:r w:rsidRPr="00037AD4">
        <w:rPr>
          <w:rFonts w:asciiTheme="majorHAnsi" w:hAnsiTheme="majorHAnsi" w:cstheme="majorHAnsi"/>
          <w:b/>
          <w:bCs/>
          <w:sz w:val="26"/>
          <w:szCs w:val="26"/>
          <w:u w:val="single"/>
        </w:rPr>
        <w:lastRenderedPageBreak/>
        <w:t xml:space="preserve">5.4.1.2 Inter-rater agreement – mobility </w:t>
      </w:r>
    </w:p>
    <w:p w14:paraId="434F3046" w14:textId="77777777" w:rsidR="00B54D51" w:rsidRPr="00037AD4" w:rsidRDefault="00B54D51" w:rsidP="0058026A">
      <w:pPr>
        <w:rPr>
          <w:rFonts w:asciiTheme="minorHAnsi" w:hAnsiTheme="minorHAnsi" w:cstheme="minorHAnsi"/>
          <w:b/>
          <w:bCs/>
          <w:color w:val="000000" w:themeColor="text1"/>
          <w:u w:val="single"/>
        </w:rPr>
      </w:pPr>
    </w:p>
    <w:p w14:paraId="4FFBB416" w14:textId="5A70C193" w:rsidR="00B54D51" w:rsidRPr="00037AD4" w:rsidRDefault="00B54D51" w:rsidP="00381A8E">
      <w:pPr>
        <w:rPr>
          <w:rFonts w:asciiTheme="minorHAnsi" w:hAnsiTheme="minorHAnsi" w:cstheme="minorHAnsi"/>
        </w:rPr>
      </w:pPr>
      <w:r w:rsidRPr="00037AD4">
        <w:rPr>
          <w:rFonts w:asciiTheme="minorHAnsi" w:hAnsiTheme="minorHAnsi" w:cstheme="minorHAnsi"/>
        </w:rPr>
        <w:t xml:space="preserve">The results of the inter-rater agreement analyses are summarised in this section and are presented </w:t>
      </w:r>
      <w:r w:rsidRPr="00B90F10">
        <w:rPr>
          <w:rFonts w:asciiTheme="minorHAnsi" w:hAnsiTheme="minorHAnsi" w:cstheme="minorHAnsi"/>
        </w:rPr>
        <w:t xml:space="preserve">in </w:t>
      </w:r>
      <w:hyperlink w:anchor="A51" w:history="1">
        <w:r w:rsidRPr="00B90F10">
          <w:rPr>
            <w:rStyle w:val="Hyperlink"/>
            <w:rFonts w:asciiTheme="minorHAnsi" w:hAnsiTheme="minorHAnsi" w:cstheme="minorHAnsi"/>
            <w:color w:val="auto"/>
            <w:u w:val="none"/>
          </w:rPr>
          <w:t>Appendices 5.1</w:t>
        </w:r>
      </w:hyperlink>
      <w:r w:rsidRPr="00B90F10">
        <w:rPr>
          <w:rFonts w:asciiTheme="minorHAnsi" w:hAnsiTheme="minorHAnsi" w:cstheme="minorHAnsi"/>
        </w:rPr>
        <w:t xml:space="preserve"> </w:t>
      </w:r>
      <w:hyperlink w:anchor="A53" w:history="1">
        <w:r w:rsidRPr="00B90F10">
          <w:rPr>
            <w:rStyle w:val="Hyperlink"/>
            <w:rFonts w:asciiTheme="minorHAnsi" w:hAnsiTheme="minorHAnsi" w:cstheme="minorHAnsi"/>
            <w:color w:val="auto"/>
            <w:u w:val="none"/>
          </w:rPr>
          <w:t>and 5.3</w:t>
        </w:r>
      </w:hyperlink>
      <w:r w:rsidRPr="00B90F10">
        <w:rPr>
          <w:rFonts w:asciiTheme="minorHAnsi" w:hAnsiTheme="minorHAnsi" w:cstheme="minorHAnsi"/>
        </w:rPr>
        <w:t xml:space="preserve">. The </w:t>
      </w:r>
      <w:r w:rsidRPr="00037AD4">
        <w:rPr>
          <w:rFonts w:asciiTheme="minorHAnsi" w:hAnsiTheme="minorHAnsi" w:cstheme="minorHAnsi"/>
        </w:rPr>
        <w:t>“mobility” dimension produced the second largest percentage (approximately 50%) of exact agreement of all five dimensions between PwD and informal proxy reports, and a moderate Kappa</w:t>
      </w:r>
      <w:r w:rsidR="00F54399">
        <w:rPr>
          <w:rFonts w:asciiTheme="minorHAnsi" w:hAnsiTheme="minorHAnsi" w:cstheme="minorHAnsi"/>
        </w:rPr>
        <w:t xml:space="preserve"> </w:t>
      </w:r>
      <w:r w:rsidRPr="00037AD4">
        <w:rPr>
          <w:rFonts w:asciiTheme="minorHAnsi" w:hAnsiTheme="minorHAnsi" w:cstheme="minorHAnsi"/>
        </w:rPr>
        <w:t>coefficient (k=0.55). This was the EQ-5D dimension with the strongest agreement (in terms of Kappa</w:t>
      </w:r>
      <w:r w:rsidR="00F54399">
        <w:rPr>
          <w:rFonts w:asciiTheme="minorHAnsi" w:hAnsiTheme="minorHAnsi" w:cstheme="minorHAnsi"/>
        </w:rPr>
        <w:t xml:space="preserve"> </w:t>
      </w:r>
      <w:r w:rsidRPr="00037AD4">
        <w:rPr>
          <w:rFonts w:asciiTheme="minorHAnsi" w:hAnsiTheme="minorHAnsi" w:cstheme="minorHAnsi"/>
        </w:rPr>
        <w:t xml:space="preserve">coefficients) for PwD-informal proxy dyads. The </w:t>
      </w:r>
      <w:r w:rsidR="00F54399">
        <w:rPr>
          <w:rFonts w:asciiTheme="minorHAnsi" w:hAnsiTheme="minorHAnsi" w:cstheme="minorHAnsi"/>
        </w:rPr>
        <w:t>K</w:t>
      </w:r>
      <w:r w:rsidRPr="00037AD4">
        <w:rPr>
          <w:rFonts w:asciiTheme="minorHAnsi" w:hAnsiTheme="minorHAnsi" w:cstheme="minorHAnsi"/>
        </w:rPr>
        <w:t>appa coefficient was larger for dyads of people with mild dementia (k=0.60 – compared with the PwD in the moderate (k=0.53) and severe (k=0.04) stages). For the PwD-staff proxy dyads, the percentage of exact agreement was slightly lower compared to that of PwD-informal proxy dyads – at 43%. The Kappa</w:t>
      </w:r>
      <w:r w:rsidR="00F54399">
        <w:rPr>
          <w:rFonts w:asciiTheme="minorHAnsi" w:hAnsiTheme="minorHAnsi" w:cstheme="minorHAnsi"/>
        </w:rPr>
        <w:t xml:space="preserve"> </w:t>
      </w:r>
      <w:r w:rsidRPr="00037AD4">
        <w:rPr>
          <w:rFonts w:asciiTheme="minorHAnsi" w:hAnsiTheme="minorHAnsi" w:cstheme="minorHAnsi"/>
        </w:rPr>
        <w:t>coefficient across all severity stages indicates only fair agreement (k=0.31), although this value is larger and moderate</w:t>
      </w:r>
      <w:r w:rsidR="00F54399">
        <w:rPr>
          <w:rFonts w:asciiTheme="minorHAnsi" w:hAnsiTheme="minorHAnsi" w:cstheme="minorHAnsi"/>
        </w:rPr>
        <w:t xml:space="preserve"> strength</w:t>
      </w:r>
      <w:r w:rsidRPr="00037AD4">
        <w:rPr>
          <w:rFonts w:asciiTheme="minorHAnsi" w:hAnsiTheme="minorHAnsi" w:cstheme="minorHAnsi"/>
        </w:rPr>
        <w:t xml:space="preserve"> (k=0.52) in people with mild dementia (k=0.26 for people with moderate dementia and k=0.08 for people with severe dementia). </w:t>
      </w:r>
    </w:p>
    <w:p w14:paraId="063894D9" w14:textId="77777777" w:rsidR="00B54D51" w:rsidRPr="00037AD4" w:rsidRDefault="00B54D51" w:rsidP="0058026A">
      <w:pPr>
        <w:rPr>
          <w:rFonts w:asciiTheme="minorHAnsi" w:hAnsiTheme="minorHAnsi" w:cstheme="minorHAnsi"/>
          <w:b/>
          <w:bCs/>
          <w:u w:val="single"/>
        </w:rPr>
      </w:pPr>
    </w:p>
    <w:p w14:paraId="43B30F0A" w14:textId="77777777" w:rsidR="00B54D51" w:rsidRPr="00037AD4" w:rsidRDefault="00B54D51" w:rsidP="000E11E4">
      <w:pPr>
        <w:pStyle w:val="EndNoteBibliography"/>
        <w:rPr>
          <w:rFonts w:asciiTheme="majorHAnsi" w:hAnsiTheme="majorHAnsi" w:cstheme="majorHAnsi"/>
          <w:b/>
          <w:bCs/>
          <w:color w:val="000000" w:themeColor="text1"/>
          <w:sz w:val="26"/>
          <w:szCs w:val="26"/>
          <w:u w:val="single"/>
          <w:lang w:val="en-GB"/>
        </w:rPr>
      </w:pPr>
      <w:r w:rsidRPr="00037AD4">
        <w:rPr>
          <w:rFonts w:asciiTheme="majorHAnsi" w:hAnsiTheme="majorHAnsi" w:cstheme="majorHAnsi"/>
          <w:b/>
          <w:bCs/>
          <w:color w:val="000000" w:themeColor="text1"/>
          <w:sz w:val="26"/>
          <w:szCs w:val="26"/>
          <w:u w:val="single"/>
          <w:lang w:val="en-GB"/>
        </w:rPr>
        <w:t xml:space="preserve">5.4.1.2.1 Discrepancy scores – mobility </w:t>
      </w:r>
    </w:p>
    <w:p w14:paraId="4754D40A" w14:textId="77777777" w:rsidR="00B54D51" w:rsidRPr="00037AD4" w:rsidRDefault="00B54D51" w:rsidP="000E11E4">
      <w:pPr>
        <w:pStyle w:val="EndNoteBibliography"/>
        <w:rPr>
          <w:rFonts w:asciiTheme="minorHAnsi" w:hAnsiTheme="minorHAnsi" w:cstheme="minorHAnsi"/>
          <w:b/>
          <w:bCs/>
          <w:color w:val="000000" w:themeColor="text1"/>
          <w:u w:val="single"/>
          <w:lang w:val="en-GB"/>
        </w:rPr>
      </w:pPr>
    </w:p>
    <w:p w14:paraId="1C576292" w14:textId="77777777" w:rsidR="00B54D51" w:rsidRPr="00037AD4" w:rsidRDefault="00B54D51" w:rsidP="002115A5">
      <w:pPr>
        <w:rPr>
          <w:rFonts w:asciiTheme="minorHAnsi" w:hAnsiTheme="minorHAnsi" w:cstheme="minorHAnsi"/>
        </w:rPr>
      </w:pPr>
      <w:r w:rsidRPr="00037AD4">
        <w:rPr>
          <w:rFonts w:asciiTheme="minorHAnsi" w:hAnsiTheme="minorHAnsi" w:cstheme="minorHAnsi"/>
        </w:rPr>
        <w:t xml:space="preserve">To further assess inter-rater agreement, and to evaluate the magnitude of differences between “mobility” dimension reports provided by the different respondents, absolute discrepancy scores were calculated and plotted as bar charts for comparisons between responses from the PwD versus responses from both proxy types for baseline data (PwD-informal proxy, Figure 10a; PwD-staff proxy, Figure 10b). </w:t>
      </w:r>
    </w:p>
    <w:p w14:paraId="5F6D33D5" w14:textId="77777777" w:rsidR="00B54D51" w:rsidRPr="00037AD4" w:rsidRDefault="00B54D51" w:rsidP="002115A5">
      <w:pPr>
        <w:rPr>
          <w:rFonts w:asciiTheme="minorHAnsi" w:hAnsiTheme="minorHAnsi" w:cstheme="minorHAnsi"/>
        </w:rPr>
      </w:pPr>
    </w:p>
    <w:p w14:paraId="7B6A6671" w14:textId="77777777" w:rsidR="00B54D51" w:rsidRPr="00037AD4" w:rsidRDefault="00B54D51" w:rsidP="002115A5">
      <w:pPr>
        <w:rPr>
          <w:rFonts w:asciiTheme="minorHAnsi" w:hAnsiTheme="minorHAnsi" w:cstheme="minorHAnsi"/>
        </w:rPr>
      </w:pPr>
      <w:r w:rsidRPr="00037AD4">
        <w:rPr>
          <w:rFonts w:asciiTheme="minorHAnsi" w:hAnsiTheme="minorHAnsi" w:cstheme="minorHAnsi"/>
        </w:rPr>
        <w:t xml:space="preserve">Scores above zero, represented by a negative skew on the charts, indicate that the proxy score of the dimension is higher than that given by the PwD. As shown within the figures below, comparisons with both types of proxies’ result in a large proportion of dyads at zero/exact agreement, with a larger relative proportion for PwD-informal proxy dyads at this point (50%, vs. 43%). Exact agreement indicates that the PwD and proxy have provided the same score for the dimension. Of the 50% of PwD-informal proxy dyads with exact agreement, 33% were where both respondents had provided a perfect health dimension score (score of one) and 2% were where both respondents had provided a worst health dimension score (score of five). For PwD-staff proxies, 67% of dyads with exact agreement both provided a perfect health score for mobility, while 15% of these dyad-respondents both provided a worst health dimension score. </w:t>
      </w:r>
    </w:p>
    <w:p w14:paraId="3BE8E4C1" w14:textId="77777777" w:rsidR="00B54D51" w:rsidRPr="00037AD4" w:rsidRDefault="00B54D51" w:rsidP="002115A5">
      <w:pPr>
        <w:rPr>
          <w:rFonts w:asciiTheme="minorHAnsi" w:hAnsiTheme="minorHAnsi" w:cstheme="minorHAnsi"/>
        </w:rPr>
      </w:pPr>
    </w:p>
    <w:p w14:paraId="709C8292" w14:textId="77777777" w:rsidR="00B54D51" w:rsidRPr="00037AD4" w:rsidRDefault="00B54D51" w:rsidP="002115A5">
      <w:pPr>
        <w:rPr>
          <w:rFonts w:asciiTheme="minorHAnsi" w:hAnsiTheme="minorHAnsi" w:cstheme="minorHAnsi"/>
        </w:rPr>
      </w:pPr>
      <w:r w:rsidRPr="00037AD4">
        <w:rPr>
          <w:rFonts w:asciiTheme="minorHAnsi" w:hAnsiTheme="minorHAnsi" w:cstheme="minorHAnsi"/>
        </w:rPr>
        <w:t xml:space="preserve">Staff proxies have a larger proportion of negative ratings. This indicates that a higher number of staff proxies report lower “mobility” scores compared with PwD-self scores (in contrast to informal proxies). There is also more variability in responses made by staff proxies. </w:t>
      </w:r>
    </w:p>
    <w:p w14:paraId="5FEFCF9F" w14:textId="77777777" w:rsidR="00B54D51" w:rsidRDefault="00B54D51" w:rsidP="002115A5">
      <w:pPr>
        <w:rPr>
          <w:rFonts w:asciiTheme="minorHAnsi" w:hAnsiTheme="minorHAnsi" w:cstheme="minorHAnsi"/>
          <w:b/>
          <w:bCs/>
          <w:i/>
          <w:iCs/>
        </w:rPr>
      </w:pPr>
    </w:p>
    <w:p w14:paraId="11086581" w14:textId="77777777" w:rsidR="00673F38" w:rsidRDefault="00673F38" w:rsidP="002115A5">
      <w:pPr>
        <w:rPr>
          <w:rFonts w:asciiTheme="minorHAnsi" w:hAnsiTheme="minorHAnsi" w:cstheme="minorHAnsi"/>
          <w:b/>
          <w:bCs/>
          <w:i/>
          <w:iCs/>
        </w:rPr>
      </w:pPr>
    </w:p>
    <w:p w14:paraId="23D7430F" w14:textId="77777777" w:rsidR="00673F38" w:rsidRDefault="00673F38" w:rsidP="002115A5">
      <w:pPr>
        <w:rPr>
          <w:rFonts w:asciiTheme="minorHAnsi" w:hAnsiTheme="minorHAnsi" w:cstheme="minorHAnsi"/>
          <w:b/>
          <w:bCs/>
          <w:i/>
          <w:iCs/>
        </w:rPr>
      </w:pPr>
    </w:p>
    <w:p w14:paraId="399B15F1" w14:textId="77777777" w:rsidR="00673F38" w:rsidRDefault="00673F38" w:rsidP="002115A5">
      <w:pPr>
        <w:rPr>
          <w:rFonts w:asciiTheme="minorHAnsi" w:hAnsiTheme="minorHAnsi" w:cstheme="minorHAnsi"/>
          <w:b/>
          <w:bCs/>
          <w:i/>
          <w:iCs/>
        </w:rPr>
      </w:pPr>
    </w:p>
    <w:p w14:paraId="2290D006" w14:textId="77777777" w:rsidR="00673F38" w:rsidRDefault="00673F38" w:rsidP="002115A5">
      <w:pPr>
        <w:rPr>
          <w:rFonts w:asciiTheme="minorHAnsi" w:hAnsiTheme="minorHAnsi" w:cstheme="minorHAnsi"/>
          <w:b/>
          <w:bCs/>
          <w:i/>
          <w:iCs/>
        </w:rPr>
      </w:pPr>
    </w:p>
    <w:p w14:paraId="362B8D87" w14:textId="77777777" w:rsidR="00673F38" w:rsidRDefault="00673F38" w:rsidP="002115A5">
      <w:pPr>
        <w:rPr>
          <w:rFonts w:asciiTheme="minorHAnsi" w:hAnsiTheme="minorHAnsi" w:cstheme="minorHAnsi"/>
          <w:b/>
          <w:bCs/>
          <w:i/>
          <w:iCs/>
        </w:rPr>
      </w:pPr>
    </w:p>
    <w:p w14:paraId="401138CF" w14:textId="77777777" w:rsidR="00673F38" w:rsidRPr="00037AD4" w:rsidRDefault="00673F38" w:rsidP="002115A5">
      <w:pPr>
        <w:rPr>
          <w:rFonts w:asciiTheme="minorHAnsi" w:hAnsiTheme="minorHAnsi" w:cstheme="minorHAnsi"/>
          <w:b/>
          <w:bCs/>
          <w:i/>
          <w:iCs/>
        </w:rPr>
      </w:pPr>
    </w:p>
    <w:p w14:paraId="0DFCE03B" w14:textId="77777777" w:rsidR="00B54D51" w:rsidRPr="00037AD4" w:rsidRDefault="00B54D51" w:rsidP="002115A5">
      <w:pPr>
        <w:rPr>
          <w:rFonts w:asciiTheme="minorHAnsi" w:hAnsiTheme="minorHAnsi" w:cstheme="minorHAnsi"/>
          <w:b/>
          <w:bCs/>
          <w:i/>
          <w:iCs/>
        </w:rPr>
      </w:pPr>
      <w:r w:rsidRPr="00037AD4">
        <w:rPr>
          <w:rFonts w:asciiTheme="minorHAnsi" w:hAnsiTheme="minorHAnsi" w:cstheme="minorHAnsi"/>
          <w:b/>
          <w:bCs/>
          <w:i/>
          <w:iCs/>
        </w:rPr>
        <w:lastRenderedPageBreak/>
        <w:t>Figure 10a, Bar chart for absolute discrepancy scores of mobility dimension, PwD-informal proxies</w:t>
      </w:r>
    </w:p>
    <w:p w14:paraId="3932F1BB" w14:textId="77777777" w:rsidR="00B54D51" w:rsidRPr="00037AD4" w:rsidRDefault="00B54D51" w:rsidP="002115A5">
      <w:pPr>
        <w:rPr>
          <w:rFonts w:asciiTheme="minorHAnsi" w:hAnsiTheme="minorHAnsi" w:cstheme="minorHAnsi"/>
        </w:rPr>
      </w:pPr>
    </w:p>
    <w:p w14:paraId="7270528C" w14:textId="149A865F" w:rsidR="00B54D51" w:rsidRPr="00037AD4" w:rsidRDefault="00B82EB5" w:rsidP="002115A5">
      <w:pPr>
        <w:rPr>
          <w:rFonts w:asciiTheme="minorHAnsi" w:hAnsiTheme="minorHAnsi" w:cstheme="minorHAnsi"/>
        </w:rPr>
      </w:pPr>
      <w:r w:rsidRPr="00037AD4">
        <w:rPr>
          <w:rFonts w:asciiTheme="minorHAnsi" w:hAnsiTheme="minorHAnsi" w:cstheme="minorHAnsi"/>
          <w:noProof/>
          <w:lang w:eastAsia="zh-CN"/>
        </w:rPr>
        <w:drawing>
          <wp:inline distT="0" distB="0" distL="0" distR="0" wp14:anchorId="0721A389" wp14:editId="27845047">
            <wp:extent cx="3960000" cy="2880000"/>
            <wp:effectExtent l="0" t="0" r="2540" b="3175"/>
            <wp:docPr id="48" name="Picture 48" descr="A graph of a number of people&#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Picture 48" descr="A graph of a number of people&#10;&#10;Description automatically generated with medium confidenc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960000" cy="2880000"/>
                    </a:xfrm>
                    <a:prstGeom prst="rect">
                      <a:avLst/>
                    </a:prstGeom>
                  </pic:spPr>
                </pic:pic>
              </a:graphicData>
            </a:graphic>
          </wp:inline>
        </w:drawing>
      </w:r>
    </w:p>
    <w:p w14:paraId="1A2A19CE" w14:textId="77777777" w:rsidR="00F54399" w:rsidRDefault="00F54399" w:rsidP="002115A5">
      <w:pPr>
        <w:rPr>
          <w:rFonts w:asciiTheme="minorHAnsi" w:hAnsiTheme="minorHAnsi" w:cstheme="minorHAnsi"/>
          <w:b/>
          <w:bCs/>
          <w:i/>
          <w:iCs/>
        </w:rPr>
      </w:pPr>
    </w:p>
    <w:p w14:paraId="71DD5C9A" w14:textId="3E9CA31B" w:rsidR="00B54D51" w:rsidRDefault="00B54D51" w:rsidP="002115A5">
      <w:pPr>
        <w:rPr>
          <w:rFonts w:asciiTheme="minorHAnsi" w:hAnsiTheme="minorHAnsi" w:cstheme="minorHAnsi"/>
          <w:b/>
          <w:bCs/>
          <w:i/>
          <w:iCs/>
        </w:rPr>
      </w:pPr>
      <w:r w:rsidRPr="00037AD4">
        <w:rPr>
          <w:rFonts w:asciiTheme="minorHAnsi" w:hAnsiTheme="minorHAnsi" w:cstheme="minorHAnsi"/>
          <w:b/>
          <w:bCs/>
          <w:i/>
          <w:iCs/>
        </w:rPr>
        <w:t>Figure 10b, Bar chart for absolute discrepancy scores of mobility dimension, PwD-staff proxies</w:t>
      </w:r>
    </w:p>
    <w:p w14:paraId="54366480" w14:textId="77777777" w:rsidR="00B54D51" w:rsidRPr="00037AD4" w:rsidRDefault="00B54D51" w:rsidP="002115A5">
      <w:pPr>
        <w:rPr>
          <w:rFonts w:asciiTheme="minorHAnsi" w:hAnsiTheme="minorHAnsi" w:cstheme="minorHAnsi"/>
          <w:b/>
          <w:bCs/>
          <w:i/>
          <w:iCs/>
        </w:rPr>
      </w:pPr>
    </w:p>
    <w:p w14:paraId="45BA5359" w14:textId="5550CFF8" w:rsidR="00B54D51" w:rsidRPr="00037AD4" w:rsidRDefault="00B82EB5" w:rsidP="002115A5">
      <w:pPr>
        <w:rPr>
          <w:rFonts w:asciiTheme="minorHAnsi" w:hAnsiTheme="minorHAnsi" w:cstheme="minorHAnsi"/>
        </w:rPr>
      </w:pPr>
      <w:r>
        <w:rPr>
          <w:rFonts w:asciiTheme="minorHAnsi" w:hAnsiTheme="minorHAnsi" w:cstheme="minorHAnsi"/>
          <w:noProof/>
        </w:rPr>
        <w:drawing>
          <wp:inline distT="0" distB="0" distL="0" distR="0" wp14:anchorId="184751C3" wp14:editId="4A27B688">
            <wp:extent cx="3960000" cy="2880000"/>
            <wp:effectExtent l="0" t="0" r="2540" b="3175"/>
            <wp:docPr id="55" name="Picture 55" descr="A graph with numbers and a bar&#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Picture 55" descr="A graph with numbers and a bar&#10;&#10;Description automatically generated"/>
                    <pic:cNvPicPr/>
                  </pic:nvPicPr>
                  <pic:blipFill>
                    <a:blip r:embed="rId27">
                      <a:extLst>
                        <a:ext uri="{28A0092B-C50C-407E-A947-70E740481C1C}">
                          <a14:useLocalDpi xmlns:a14="http://schemas.microsoft.com/office/drawing/2010/main" val="0"/>
                        </a:ext>
                      </a:extLst>
                    </a:blip>
                    <a:stretch>
                      <a:fillRect/>
                    </a:stretch>
                  </pic:blipFill>
                  <pic:spPr>
                    <a:xfrm>
                      <a:off x="0" y="0"/>
                      <a:ext cx="3960000" cy="2880000"/>
                    </a:xfrm>
                    <a:prstGeom prst="rect">
                      <a:avLst/>
                    </a:prstGeom>
                  </pic:spPr>
                </pic:pic>
              </a:graphicData>
            </a:graphic>
          </wp:inline>
        </w:drawing>
      </w:r>
    </w:p>
    <w:p w14:paraId="181C56CD" w14:textId="77777777" w:rsidR="00B54D51" w:rsidRPr="00037AD4" w:rsidRDefault="00B54D51">
      <w:pPr>
        <w:rPr>
          <w:rFonts w:asciiTheme="minorHAnsi" w:hAnsiTheme="minorHAnsi" w:cstheme="minorHAnsi"/>
          <w:b/>
          <w:bCs/>
          <w:u w:val="single"/>
        </w:rPr>
      </w:pPr>
    </w:p>
    <w:p w14:paraId="123AA54E" w14:textId="77777777" w:rsidR="00B54D51" w:rsidRPr="00037AD4" w:rsidRDefault="00B54D51" w:rsidP="002115A5">
      <w:pPr>
        <w:rPr>
          <w:rFonts w:asciiTheme="minorHAnsi" w:hAnsiTheme="minorHAnsi" w:cstheme="minorHAnsi"/>
        </w:rPr>
      </w:pPr>
      <w:r w:rsidRPr="00037AD4">
        <w:rPr>
          <w:rFonts w:asciiTheme="minorHAnsi" w:hAnsiTheme="minorHAnsi" w:cstheme="minorHAnsi"/>
        </w:rPr>
        <w:t xml:space="preserve">The difference between the amount of change reported by PwD and proxy dimension scores (between the two time points (T0 to T2)) is reflected in Figure 11a and Figure 11b. A possible score range of -8 to +8 is possible. A score of -8 would indicate that the PwD has reported a dimension score of one at baseline (perfect health) and five at follow-up (worst health) (resulting in -4), while the proxy has simultaneously reported the inverse (resulting in +4), therefore the PwD is reporting pessimistically while the proxy is reporting optimistically about the same dimension. A score of +8 would indicate that the PwD has reported a dimension score of five at baseline (worst health) and a one at follow-up (perfect </w:t>
      </w:r>
      <w:r w:rsidRPr="00037AD4">
        <w:rPr>
          <w:rFonts w:asciiTheme="minorHAnsi" w:hAnsiTheme="minorHAnsi" w:cstheme="minorHAnsi"/>
        </w:rPr>
        <w:lastRenderedPageBreak/>
        <w:t xml:space="preserve">health) (resulting in +4), while the proxy has reported the inverse (resulting in -4), therefore the PwD is reporting optimistically while the proxy is reporting pessimistically. As shown in Figure 11a and Figure 11b below, the variability in scores is larger when observing the data from PwD-staff proxy dyads; 35% of staff-proxy scores are positive (compared with 24% of PwD-informal proxy dyads) – which indicates greater pessimistic change scores for this respondent type. </w:t>
      </w:r>
    </w:p>
    <w:p w14:paraId="7256ECBA" w14:textId="77777777" w:rsidR="00F54399" w:rsidRPr="00037AD4" w:rsidRDefault="00F54399">
      <w:pPr>
        <w:rPr>
          <w:rFonts w:asciiTheme="minorHAnsi" w:hAnsiTheme="minorHAnsi" w:cstheme="minorHAnsi"/>
          <w:b/>
          <w:bCs/>
          <w:u w:val="single"/>
        </w:rPr>
      </w:pPr>
    </w:p>
    <w:p w14:paraId="4B9BBE72" w14:textId="77777777" w:rsidR="00B54D51" w:rsidRPr="00037AD4" w:rsidRDefault="00B54D51" w:rsidP="002115A5">
      <w:pPr>
        <w:rPr>
          <w:rFonts w:asciiTheme="minorHAnsi" w:hAnsiTheme="minorHAnsi" w:cstheme="minorHAnsi"/>
          <w:b/>
          <w:bCs/>
          <w:i/>
          <w:iCs/>
        </w:rPr>
      </w:pPr>
      <w:r w:rsidRPr="00037AD4">
        <w:rPr>
          <w:rFonts w:asciiTheme="minorHAnsi" w:hAnsiTheme="minorHAnsi" w:cstheme="minorHAnsi"/>
          <w:b/>
          <w:bCs/>
          <w:i/>
          <w:iCs/>
        </w:rPr>
        <w:t>Figure 11a, bar chart for differen</w:t>
      </w:r>
      <w:r>
        <w:rPr>
          <w:rFonts w:asciiTheme="minorHAnsi" w:hAnsiTheme="minorHAnsi" w:cstheme="minorHAnsi"/>
          <w:b/>
          <w:bCs/>
          <w:i/>
          <w:iCs/>
        </w:rPr>
        <w:t>ce</w:t>
      </w:r>
      <w:r w:rsidRPr="00037AD4">
        <w:rPr>
          <w:rFonts w:asciiTheme="minorHAnsi" w:hAnsiTheme="minorHAnsi" w:cstheme="minorHAnsi"/>
          <w:b/>
          <w:bCs/>
          <w:i/>
          <w:iCs/>
        </w:rPr>
        <w:t xml:space="preserve"> between change score for mobility, PwD-informal proxy dyads </w:t>
      </w:r>
    </w:p>
    <w:p w14:paraId="30E5F8DA" w14:textId="77777777" w:rsidR="00B54D51" w:rsidRPr="00037AD4" w:rsidRDefault="00B54D51" w:rsidP="002115A5">
      <w:pPr>
        <w:rPr>
          <w:rFonts w:asciiTheme="minorHAnsi" w:hAnsiTheme="minorHAnsi" w:cstheme="minorHAnsi"/>
          <w:u w:val="single"/>
        </w:rPr>
      </w:pPr>
    </w:p>
    <w:p w14:paraId="01888A15" w14:textId="383A65C9" w:rsidR="00B54D51" w:rsidRPr="00037AD4" w:rsidRDefault="00B82EB5" w:rsidP="002115A5">
      <w:pPr>
        <w:rPr>
          <w:rFonts w:asciiTheme="minorHAnsi" w:hAnsiTheme="minorHAnsi" w:cstheme="minorHAnsi"/>
          <w:color w:val="FF0000"/>
          <w:u w:val="single"/>
        </w:rPr>
      </w:pPr>
      <w:r w:rsidRPr="00037AD4">
        <w:rPr>
          <w:rFonts w:asciiTheme="minorHAnsi" w:hAnsiTheme="minorHAnsi" w:cstheme="minorHAnsi"/>
          <w:noProof/>
          <w:color w:val="FF0000"/>
          <w:lang w:eastAsia="zh-CN"/>
        </w:rPr>
        <w:drawing>
          <wp:inline distT="0" distB="0" distL="0" distR="0" wp14:anchorId="335FA25E" wp14:editId="442D0F3C">
            <wp:extent cx="3960000" cy="2880000"/>
            <wp:effectExtent l="0" t="0" r="2540" b="3175"/>
            <wp:docPr id="49" name="Picture 49" descr="A graph with numbers and a bar&#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Picture 49" descr="A graph with numbers and a bar&#10;&#10;Description automatically generated"/>
                    <pic:cNvPicPr/>
                  </pic:nvPicPr>
                  <pic:blipFill>
                    <a:blip r:embed="rId28">
                      <a:extLst>
                        <a:ext uri="{28A0092B-C50C-407E-A947-70E740481C1C}">
                          <a14:useLocalDpi xmlns:a14="http://schemas.microsoft.com/office/drawing/2010/main" val="0"/>
                        </a:ext>
                      </a:extLst>
                    </a:blip>
                    <a:stretch>
                      <a:fillRect/>
                    </a:stretch>
                  </pic:blipFill>
                  <pic:spPr>
                    <a:xfrm>
                      <a:off x="0" y="0"/>
                      <a:ext cx="3960000" cy="2880000"/>
                    </a:xfrm>
                    <a:prstGeom prst="rect">
                      <a:avLst/>
                    </a:prstGeom>
                  </pic:spPr>
                </pic:pic>
              </a:graphicData>
            </a:graphic>
          </wp:inline>
        </w:drawing>
      </w:r>
    </w:p>
    <w:p w14:paraId="6E25F4A9" w14:textId="77777777" w:rsidR="00B54D51" w:rsidRPr="00037AD4" w:rsidRDefault="00B54D51" w:rsidP="002115A5">
      <w:pPr>
        <w:rPr>
          <w:rFonts w:asciiTheme="minorHAnsi" w:hAnsiTheme="minorHAnsi" w:cstheme="minorHAnsi"/>
          <w:color w:val="FF0000"/>
          <w:u w:val="single"/>
        </w:rPr>
      </w:pPr>
    </w:p>
    <w:p w14:paraId="4127D79B" w14:textId="77777777" w:rsidR="00B54D51" w:rsidRPr="00037AD4" w:rsidRDefault="00B54D51" w:rsidP="002115A5">
      <w:pPr>
        <w:rPr>
          <w:rFonts w:asciiTheme="minorHAnsi" w:hAnsiTheme="minorHAnsi" w:cstheme="minorHAnsi"/>
          <w:b/>
          <w:bCs/>
          <w:i/>
          <w:iCs/>
        </w:rPr>
      </w:pPr>
      <w:r w:rsidRPr="00037AD4">
        <w:rPr>
          <w:rFonts w:asciiTheme="minorHAnsi" w:hAnsiTheme="minorHAnsi" w:cstheme="minorHAnsi"/>
          <w:b/>
          <w:bCs/>
          <w:i/>
          <w:iCs/>
        </w:rPr>
        <w:t>Figure 11b, bar chart for differen</w:t>
      </w:r>
      <w:r>
        <w:rPr>
          <w:rFonts w:asciiTheme="minorHAnsi" w:hAnsiTheme="minorHAnsi" w:cstheme="minorHAnsi"/>
          <w:b/>
          <w:bCs/>
          <w:i/>
          <w:iCs/>
        </w:rPr>
        <w:t>ce</w:t>
      </w:r>
      <w:r w:rsidRPr="00037AD4">
        <w:rPr>
          <w:rFonts w:asciiTheme="minorHAnsi" w:hAnsiTheme="minorHAnsi" w:cstheme="minorHAnsi"/>
          <w:b/>
          <w:bCs/>
          <w:i/>
          <w:iCs/>
        </w:rPr>
        <w:t xml:space="preserve"> between change score for mobility, PwD-staff proxy dyads </w:t>
      </w:r>
    </w:p>
    <w:p w14:paraId="30871D04" w14:textId="77777777" w:rsidR="00B54D51" w:rsidRPr="00037AD4" w:rsidRDefault="00B54D51" w:rsidP="002115A5">
      <w:pPr>
        <w:rPr>
          <w:rFonts w:asciiTheme="minorHAnsi" w:hAnsiTheme="minorHAnsi" w:cstheme="minorHAnsi"/>
          <w:color w:val="FF0000"/>
        </w:rPr>
      </w:pPr>
    </w:p>
    <w:p w14:paraId="4A70F5C6" w14:textId="2B35EF1D" w:rsidR="00B54D51" w:rsidRPr="00037AD4" w:rsidRDefault="00B82EB5" w:rsidP="002115A5">
      <w:pPr>
        <w:rPr>
          <w:rFonts w:asciiTheme="minorHAnsi" w:hAnsiTheme="minorHAnsi" w:cstheme="minorHAnsi"/>
          <w:color w:val="FF0000"/>
        </w:rPr>
      </w:pPr>
      <w:r>
        <w:rPr>
          <w:rFonts w:asciiTheme="minorHAnsi" w:hAnsiTheme="minorHAnsi" w:cstheme="minorHAnsi"/>
          <w:noProof/>
          <w:color w:val="FF0000"/>
        </w:rPr>
        <w:drawing>
          <wp:inline distT="0" distB="0" distL="0" distR="0" wp14:anchorId="4F22FDE1" wp14:editId="6FCAF62F">
            <wp:extent cx="3960000" cy="2880000"/>
            <wp:effectExtent l="0" t="0" r="2540" b="3175"/>
            <wp:docPr id="56" name="Picture 56" descr="A graph with numbers and a bar&#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Picture 56" descr="A graph with numbers and a bar&#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960000" cy="2880000"/>
                    </a:xfrm>
                    <a:prstGeom prst="rect">
                      <a:avLst/>
                    </a:prstGeom>
                  </pic:spPr>
                </pic:pic>
              </a:graphicData>
            </a:graphic>
          </wp:inline>
        </w:drawing>
      </w:r>
    </w:p>
    <w:p w14:paraId="6BD50645" w14:textId="77777777" w:rsidR="00B54D51" w:rsidRPr="00037AD4" w:rsidRDefault="00B54D51">
      <w:pPr>
        <w:rPr>
          <w:rFonts w:asciiTheme="majorHAnsi" w:hAnsiTheme="majorHAnsi" w:cstheme="majorHAnsi"/>
          <w:b/>
          <w:bCs/>
          <w:sz w:val="26"/>
          <w:szCs w:val="26"/>
          <w:u w:val="single"/>
        </w:rPr>
      </w:pPr>
    </w:p>
    <w:p w14:paraId="4ABB77DF" w14:textId="77777777" w:rsidR="00673F38" w:rsidRDefault="00673F38">
      <w:pPr>
        <w:rPr>
          <w:rFonts w:asciiTheme="majorHAnsi" w:hAnsiTheme="majorHAnsi" w:cstheme="majorHAnsi"/>
          <w:b/>
          <w:bCs/>
          <w:sz w:val="26"/>
          <w:szCs w:val="26"/>
          <w:u w:val="single"/>
        </w:rPr>
      </w:pPr>
    </w:p>
    <w:p w14:paraId="665E7F6C" w14:textId="6FBD42E0" w:rsidR="00B54D51" w:rsidRPr="00037AD4" w:rsidRDefault="00B54D51">
      <w:pPr>
        <w:rPr>
          <w:rFonts w:asciiTheme="majorHAnsi" w:hAnsiTheme="majorHAnsi" w:cstheme="majorHAnsi"/>
          <w:b/>
          <w:bCs/>
          <w:sz w:val="26"/>
          <w:szCs w:val="26"/>
          <w:u w:val="single"/>
        </w:rPr>
      </w:pPr>
      <w:r w:rsidRPr="00037AD4">
        <w:rPr>
          <w:rFonts w:asciiTheme="majorHAnsi" w:hAnsiTheme="majorHAnsi" w:cstheme="majorHAnsi"/>
          <w:b/>
          <w:bCs/>
          <w:sz w:val="26"/>
          <w:szCs w:val="26"/>
          <w:u w:val="single"/>
        </w:rPr>
        <w:lastRenderedPageBreak/>
        <w:t xml:space="preserve">5.4.1.3 Responsiveness evidence – mobility </w:t>
      </w:r>
    </w:p>
    <w:p w14:paraId="524B43E6" w14:textId="77777777" w:rsidR="00B54D51" w:rsidRPr="00037AD4" w:rsidRDefault="00B54D51">
      <w:pPr>
        <w:rPr>
          <w:rFonts w:asciiTheme="minorHAnsi" w:hAnsiTheme="minorHAnsi" w:cstheme="minorHAnsi"/>
          <w:b/>
          <w:bCs/>
          <w:u w:val="single"/>
        </w:rPr>
      </w:pPr>
    </w:p>
    <w:p w14:paraId="2C78BD73" w14:textId="3BAAA50E" w:rsidR="00B54D51" w:rsidRPr="00F54399" w:rsidRDefault="00B54D51" w:rsidP="002115A5">
      <w:pPr>
        <w:rPr>
          <w:rFonts w:asciiTheme="minorHAnsi" w:hAnsiTheme="minorHAnsi" w:cstheme="minorHAnsi"/>
        </w:rPr>
      </w:pPr>
      <w:r w:rsidRPr="00F54399">
        <w:rPr>
          <w:rFonts w:asciiTheme="minorHAnsi" w:hAnsiTheme="minorHAnsi" w:cstheme="minorHAnsi"/>
        </w:rPr>
        <w:t xml:space="preserve">As outlined within </w:t>
      </w:r>
      <w:hyperlink w:anchor="Sec531" w:history="1">
        <w:r w:rsidRPr="00F54399">
          <w:rPr>
            <w:rStyle w:val="Hyperlink"/>
            <w:rFonts w:asciiTheme="minorHAnsi" w:hAnsiTheme="minorHAnsi" w:cstheme="minorHAnsi"/>
            <w:color w:val="auto"/>
            <w:u w:val="none"/>
          </w:rPr>
          <w:t>Section 5.3.1</w:t>
        </w:r>
      </w:hyperlink>
      <w:r w:rsidRPr="00F54399">
        <w:rPr>
          <w:rFonts w:asciiTheme="minorHAnsi" w:hAnsiTheme="minorHAnsi" w:cstheme="minorHAnsi"/>
        </w:rPr>
        <w:t xml:space="preserve">, responsiveness was estimated via effect size calculations using the Cohen’s d formula. The thresholds used for interpretation of the findings are also reported in </w:t>
      </w:r>
      <w:hyperlink w:anchor="Sec531" w:history="1">
        <w:r w:rsidRPr="00F54399">
          <w:rPr>
            <w:rStyle w:val="Hyperlink"/>
            <w:rFonts w:asciiTheme="minorHAnsi" w:hAnsiTheme="minorHAnsi" w:cstheme="minorHAnsi"/>
            <w:color w:val="auto"/>
            <w:u w:val="none"/>
          </w:rPr>
          <w:t>Section 5.3.1</w:t>
        </w:r>
      </w:hyperlink>
      <w:r w:rsidRPr="00F54399">
        <w:rPr>
          <w:rFonts w:asciiTheme="minorHAnsi" w:hAnsiTheme="minorHAnsi" w:cstheme="minorHAnsi"/>
        </w:rPr>
        <w:t xml:space="preserve">. The complete results of the responsiveness analyses are reported in </w:t>
      </w:r>
      <w:hyperlink w:anchor="A54" w:history="1">
        <w:r w:rsidRPr="00F54399">
          <w:rPr>
            <w:rStyle w:val="Hyperlink"/>
            <w:rFonts w:asciiTheme="minorHAnsi" w:hAnsiTheme="minorHAnsi" w:cstheme="minorHAnsi"/>
            <w:color w:val="auto"/>
            <w:u w:val="none"/>
          </w:rPr>
          <w:t>Appendix 5.4</w:t>
        </w:r>
      </w:hyperlink>
      <w:r w:rsidRPr="00F54399">
        <w:rPr>
          <w:rFonts w:asciiTheme="minorHAnsi" w:hAnsiTheme="minorHAnsi" w:cstheme="minorHAnsi"/>
        </w:rPr>
        <w:t xml:space="preserve">. The same dementia symptom measures for comparison that were used in </w:t>
      </w:r>
      <w:hyperlink w:anchor="Sec5411" w:history="1">
        <w:r w:rsidRPr="00F54399">
          <w:rPr>
            <w:rStyle w:val="Hyperlink"/>
            <w:rFonts w:asciiTheme="minorHAnsi" w:hAnsiTheme="minorHAnsi" w:cstheme="minorHAnsi"/>
            <w:color w:val="auto"/>
            <w:u w:val="none"/>
          </w:rPr>
          <w:t>Section 5.4.1.1</w:t>
        </w:r>
      </w:hyperlink>
      <w:r w:rsidRPr="00F54399">
        <w:rPr>
          <w:rFonts w:asciiTheme="minorHAnsi" w:hAnsiTheme="minorHAnsi" w:cstheme="minorHAnsi"/>
        </w:rPr>
        <w:t xml:space="preserve"> and summarised in </w:t>
      </w:r>
      <w:hyperlink w:anchor="A5" w:history="1">
        <w:r w:rsidRPr="00F54399">
          <w:rPr>
            <w:rStyle w:val="Hyperlink"/>
            <w:rFonts w:asciiTheme="minorHAnsi" w:hAnsiTheme="minorHAnsi" w:cstheme="minorHAnsi"/>
            <w:color w:val="auto"/>
            <w:u w:val="none"/>
          </w:rPr>
          <w:t>Appendix 5</w:t>
        </w:r>
      </w:hyperlink>
      <w:r w:rsidR="00F54399">
        <w:rPr>
          <w:rStyle w:val="Hyperlink"/>
          <w:rFonts w:asciiTheme="minorHAnsi" w:hAnsiTheme="minorHAnsi" w:cstheme="minorHAnsi"/>
          <w:color w:val="auto"/>
          <w:u w:val="none"/>
        </w:rPr>
        <w:t>,</w:t>
      </w:r>
      <w:r w:rsidRPr="00F54399">
        <w:rPr>
          <w:rFonts w:asciiTheme="minorHAnsi" w:hAnsiTheme="minorHAnsi" w:cstheme="minorHAnsi"/>
        </w:rPr>
        <w:t xml:space="preserve"> have been used to assess the responsiveness of EQ-5D dimension reports.</w:t>
      </w:r>
    </w:p>
    <w:p w14:paraId="2F08B806" w14:textId="77777777" w:rsidR="00B54D51" w:rsidRPr="00037AD4" w:rsidRDefault="00B54D51" w:rsidP="002115A5">
      <w:pPr>
        <w:rPr>
          <w:rFonts w:asciiTheme="minorHAnsi" w:hAnsiTheme="minorHAnsi" w:cstheme="minorHAnsi"/>
        </w:rPr>
      </w:pPr>
    </w:p>
    <w:p w14:paraId="7C889073" w14:textId="77777777" w:rsidR="00B54D51" w:rsidRPr="00037AD4" w:rsidRDefault="00B54D51" w:rsidP="002115A5">
      <w:pPr>
        <w:rPr>
          <w:rFonts w:asciiTheme="minorHAnsi" w:hAnsiTheme="minorHAnsi" w:cstheme="minorHAnsi"/>
        </w:rPr>
      </w:pPr>
      <w:r w:rsidRPr="00037AD4">
        <w:rPr>
          <w:rFonts w:asciiTheme="minorHAnsi" w:hAnsiTheme="minorHAnsi" w:cstheme="minorHAnsi"/>
        </w:rPr>
        <w:t xml:space="preserve">Staff proxy effect size estimates tended to be of a larger magnitude than PwD and informal proxy reports. For people with dementia whose CDR stage had progressed, there was a moderate effect size of -0.56 associated with staff proxy rated “mobility”. The effect size estimates produced for people with dementia and informal proxies were comparable to one another. Similarly, for those with progressed function, staff proxy reports produced a near moderate effect size of -0.49, which was not observed for the other two respondent types. </w:t>
      </w:r>
    </w:p>
    <w:p w14:paraId="1E1A768D" w14:textId="77777777" w:rsidR="00B54D51" w:rsidRPr="00037AD4" w:rsidRDefault="00B54D51" w:rsidP="002115A5">
      <w:pPr>
        <w:rPr>
          <w:rFonts w:asciiTheme="minorHAnsi" w:hAnsiTheme="minorHAnsi" w:cstheme="minorHAnsi"/>
        </w:rPr>
      </w:pPr>
    </w:p>
    <w:p w14:paraId="7842D2EA" w14:textId="77777777" w:rsidR="00B54D51" w:rsidRPr="00037AD4" w:rsidRDefault="00B54D51" w:rsidP="002115A5">
      <w:pPr>
        <w:rPr>
          <w:rFonts w:asciiTheme="minorHAnsi" w:hAnsiTheme="minorHAnsi" w:cstheme="minorHAnsi"/>
        </w:rPr>
      </w:pPr>
      <w:r w:rsidRPr="00037AD4">
        <w:rPr>
          <w:rFonts w:asciiTheme="minorHAnsi" w:hAnsiTheme="minorHAnsi" w:cstheme="minorHAnsi"/>
        </w:rPr>
        <w:t xml:space="preserve">The findings of correlation between change in EQ-5D dimension scores and change in dementia symptom measure scores used the pre-defined outcomes summarised in </w:t>
      </w:r>
      <w:hyperlink w:anchor="A5" w:history="1">
        <w:r w:rsidRPr="00B77D6A">
          <w:rPr>
            <w:rStyle w:val="Hyperlink"/>
            <w:rFonts w:asciiTheme="minorHAnsi" w:hAnsiTheme="minorHAnsi" w:cstheme="minorHAnsi"/>
            <w:color w:val="auto"/>
            <w:u w:val="none"/>
          </w:rPr>
          <w:t>Appendix 5</w:t>
        </w:r>
      </w:hyperlink>
      <w:r w:rsidRPr="00B77D6A">
        <w:rPr>
          <w:rFonts w:asciiTheme="minorHAnsi" w:hAnsiTheme="minorHAnsi" w:cstheme="minorHAnsi"/>
        </w:rPr>
        <w:t xml:space="preserve">.  </w:t>
      </w:r>
      <w:hyperlink w:anchor="TableA54h" w:history="1">
        <w:r w:rsidRPr="00B77D6A">
          <w:rPr>
            <w:rStyle w:val="Hyperlink"/>
            <w:rFonts w:asciiTheme="minorHAnsi" w:hAnsiTheme="minorHAnsi" w:cstheme="minorHAnsi"/>
            <w:color w:val="auto"/>
            <w:u w:val="none"/>
          </w:rPr>
          <w:t>Table A5.4h</w:t>
        </w:r>
      </w:hyperlink>
      <w:r w:rsidRPr="00B77D6A">
        <w:rPr>
          <w:rFonts w:asciiTheme="minorHAnsi" w:hAnsiTheme="minorHAnsi" w:cstheme="minorHAnsi"/>
        </w:rPr>
        <w:t xml:space="preserve"> </w:t>
      </w:r>
      <w:r w:rsidRPr="00037AD4">
        <w:rPr>
          <w:rFonts w:asciiTheme="minorHAnsi" w:hAnsiTheme="minorHAnsi" w:cstheme="minorHAnsi"/>
        </w:rPr>
        <w:t>within the appendices shows the Pearson correlation coefficients between the changes in “mobility” dimension reports and the dementia symptom measures (baseline/final follow-up). Correlations were generally low and were somewhat higher for proxy reports than for PwD-self reports. The strongest correlations were seen for changes in the functional measures. The sample was further divided by CDR stage to explore any potential differences by dementia severity. It can be seen that within the moderate CDR stages, changes in BADLS scores produce larger correlations with changes in “mobility” reports, particularly for PwD-self report (r=0.40).</w:t>
      </w:r>
    </w:p>
    <w:p w14:paraId="36A25717" w14:textId="77777777" w:rsidR="00B54D51" w:rsidRPr="00037AD4" w:rsidRDefault="00B54D51">
      <w:pPr>
        <w:rPr>
          <w:rFonts w:asciiTheme="minorHAnsi" w:hAnsiTheme="minorHAnsi" w:cstheme="minorHAnsi"/>
          <w:b/>
          <w:bCs/>
          <w:u w:val="single"/>
        </w:rPr>
      </w:pPr>
    </w:p>
    <w:p w14:paraId="0CF3DF68" w14:textId="77777777" w:rsidR="00B54D51" w:rsidRPr="00037AD4" w:rsidRDefault="00B54D51" w:rsidP="007A43F9">
      <w:pPr>
        <w:pStyle w:val="Heading3"/>
      </w:pPr>
      <w:bookmarkStart w:id="359" w:name="_Toc175742327"/>
      <w:r w:rsidRPr="00037AD4">
        <w:t>5.4.2 Self-care</w:t>
      </w:r>
      <w:bookmarkEnd w:id="359"/>
      <w:r w:rsidRPr="00037AD4">
        <w:t xml:space="preserve"> </w:t>
      </w:r>
    </w:p>
    <w:p w14:paraId="02CE484A" w14:textId="77777777" w:rsidR="00B54D51" w:rsidRPr="00037AD4" w:rsidRDefault="00B54D51">
      <w:pPr>
        <w:rPr>
          <w:rFonts w:asciiTheme="minorHAnsi" w:hAnsiTheme="minorHAnsi" w:cstheme="minorHAnsi"/>
          <w:b/>
          <w:bCs/>
          <w:u w:val="single"/>
        </w:rPr>
      </w:pPr>
    </w:p>
    <w:p w14:paraId="3EB7F881" w14:textId="3BAA0537" w:rsidR="00B54D51" w:rsidRPr="00037AD4" w:rsidRDefault="00B54D51" w:rsidP="002F58E1">
      <w:pPr>
        <w:rPr>
          <w:rFonts w:asciiTheme="minorHAnsi" w:hAnsiTheme="minorHAnsi" w:cstheme="minorHAnsi"/>
        </w:rPr>
      </w:pPr>
      <w:r w:rsidRPr="00037AD4">
        <w:rPr>
          <w:rFonts w:asciiTheme="minorHAnsi" w:hAnsiTheme="minorHAnsi" w:cstheme="minorHAnsi"/>
        </w:rPr>
        <w:t xml:space="preserve">Figure 12 shows the direction of change for </w:t>
      </w:r>
      <w:r w:rsidR="00F54399">
        <w:rPr>
          <w:rFonts w:asciiTheme="minorHAnsi" w:hAnsiTheme="minorHAnsi" w:cstheme="minorHAnsi"/>
        </w:rPr>
        <w:t>reports</w:t>
      </w:r>
      <w:r w:rsidRPr="00037AD4">
        <w:rPr>
          <w:rFonts w:asciiTheme="minorHAnsi" w:hAnsiTheme="minorHAnsi" w:cstheme="minorHAnsi"/>
        </w:rPr>
        <w:t xml:space="preserve"> provided for the “self-care” dimension. The majority (nearly 65%) of people with dementia reported no change within this dimension, whereas 40% of both proxy types have reported a worsening. </w:t>
      </w:r>
    </w:p>
    <w:p w14:paraId="68D50052" w14:textId="77777777" w:rsidR="00B54D51" w:rsidRDefault="00B54D51" w:rsidP="002F58E1">
      <w:pPr>
        <w:rPr>
          <w:rFonts w:asciiTheme="minorHAnsi" w:hAnsiTheme="minorHAnsi" w:cstheme="minorHAnsi"/>
          <w:b/>
          <w:bCs/>
          <w:i/>
          <w:iCs/>
        </w:rPr>
      </w:pPr>
    </w:p>
    <w:p w14:paraId="36369ED5" w14:textId="77777777" w:rsidR="00673F38" w:rsidRDefault="00673F38" w:rsidP="002F58E1">
      <w:pPr>
        <w:rPr>
          <w:rFonts w:asciiTheme="minorHAnsi" w:hAnsiTheme="minorHAnsi" w:cstheme="minorHAnsi"/>
          <w:b/>
          <w:bCs/>
          <w:i/>
          <w:iCs/>
        </w:rPr>
      </w:pPr>
    </w:p>
    <w:p w14:paraId="65DC8C7A" w14:textId="77777777" w:rsidR="00673F38" w:rsidRDefault="00673F38" w:rsidP="002F58E1">
      <w:pPr>
        <w:rPr>
          <w:rFonts w:asciiTheme="minorHAnsi" w:hAnsiTheme="minorHAnsi" w:cstheme="minorHAnsi"/>
          <w:b/>
          <w:bCs/>
          <w:i/>
          <w:iCs/>
        </w:rPr>
      </w:pPr>
    </w:p>
    <w:p w14:paraId="5B1E8113" w14:textId="77777777" w:rsidR="00673F38" w:rsidRDefault="00673F38" w:rsidP="002F58E1">
      <w:pPr>
        <w:rPr>
          <w:rFonts w:asciiTheme="minorHAnsi" w:hAnsiTheme="minorHAnsi" w:cstheme="minorHAnsi"/>
          <w:b/>
          <w:bCs/>
          <w:i/>
          <w:iCs/>
        </w:rPr>
      </w:pPr>
    </w:p>
    <w:p w14:paraId="16C657AD" w14:textId="77777777" w:rsidR="00673F38" w:rsidRDefault="00673F38" w:rsidP="002F58E1">
      <w:pPr>
        <w:rPr>
          <w:rFonts w:asciiTheme="minorHAnsi" w:hAnsiTheme="minorHAnsi" w:cstheme="minorHAnsi"/>
          <w:b/>
          <w:bCs/>
          <w:i/>
          <w:iCs/>
        </w:rPr>
      </w:pPr>
    </w:p>
    <w:p w14:paraId="6F2C95EC" w14:textId="77777777" w:rsidR="00673F38" w:rsidRDefault="00673F38" w:rsidP="002F58E1">
      <w:pPr>
        <w:rPr>
          <w:rFonts w:asciiTheme="minorHAnsi" w:hAnsiTheme="minorHAnsi" w:cstheme="minorHAnsi"/>
          <w:b/>
          <w:bCs/>
          <w:i/>
          <w:iCs/>
        </w:rPr>
      </w:pPr>
    </w:p>
    <w:p w14:paraId="0687667A" w14:textId="77777777" w:rsidR="00673F38" w:rsidRDefault="00673F38" w:rsidP="002F58E1">
      <w:pPr>
        <w:rPr>
          <w:rFonts w:asciiTheme="minorHAnsi" w:hAnsiTheme="minorHAnsi" w:cstheme="minorHAnsi"/>
          <w:b/>
          <w:bCs/>
          <w:i/>
          <w:iCs/>
        </w:rPr>
      </w:pPr>
    </w:p>
    <w:p w14:paraId="3DB09B46" w14:textId="77777777" w:rsidR="00673F38" w:rsidRDefault="00673F38" w:rsidP="002F58E1">
      <w:pPr>
        <w:rPr>
          <w:rFonts w:asciiTheme="minorHAnsi" w:hAnsiTheme="minorHAnsi" w:cstheme="minorHAnsi"/>
          <w:b/>
          <w:bCs/>
          <w:i/>
          <w:iCs/>
        </w:rPr>
      </w:pPr>
    </w:p>
    <w:p w14:paraId="6296FF96" w14:textId="77777777" w:rsidR="00673F38" w:rsidRDefault="00673F38" w:rsidP="002F58E1">
      <w:pPr>
        <w:rPr>
          <w:rFonts w:asciiTheme="minorHAnsi" w:hAnsiTheme="minorHAnsi" w:cstheme="minorHAnsi"/>
          <w:b/>
          <w:bCs/>
          <w:i/>
          <w:iCs/>
        </w:rPr>
      </w:pPr>
    </w:p>
    <w:p w14:paraId="5D96773E" w14:textId="77777777" w:rsidR="00673F38" w:rsidRDefault="00673F38" w:rsidP="002F58E1">
      <w:pPr>
        <w:rPr>
          <w:rFonts w:asciiTheme="minorHAnsi" w:hAnsiTheme="minorHAnsi" w:cstheme="minorHAnsi"/>
          <w:b/>
          <w:bCs/>
          <w:i/>
          <w:iCs/>
        </w:rPr>
      </w:pPr>
    </w:p>
    <w:p w14:paraId="16A45724" w14:textId="77777777" w:rsidR="00673F38" w:rsidRDefault="00673F38" w:rsidP="002F58E1">
      <w:pPr>
        <w:rPr>
          <w:rFonts w:asciiTheme="minorHAnsi" w:hAnsiTheme="minorHAnsi" w:cstheme="minorHAnsi"/>
          <w:b/>
          <w:bCs/>
          <w:i/>
          <w:iCs/>
        </w:rPr>
      </w:pPr>
    </w:p>
    <w:p w14:paraId="241AE52D" w14:textId="77777777" w:rsidR="00673F38" w:rsidRDefault="00673F38" w:rsidP="002F58E1">
      <w:pPr>
        <w:rPr>
          <w:rFonts w:asciiTheme="minorHAnsi" w:hAnsiTheme="minorHAnsi" w:cstheme="minorHAnsi"/>
          <w:b/>
          <w:bCs/>
          <w:i/>
          <w:iCs/>
        </w:rPr>
      </w:pPr>
    </w:p>
    <w:p w14:paraId="6398C5AB" w14:textId="77777777" w:rsidR="00673F38" w:rsidRDefault="00673F38" w:rsidP="002F58E1">
      <w:pPr>
        <w:rPr>
          <w:rFonts w:asciiTheme="minorHAnsi" w:hAnsiTheme="minorHAnsi" w:cstheme="minorHAnsi"/>
          <w:b/>
          <w:bCs/>
          <w:i/>
          <w:iCs/>
        </w:rPr>
      </w:pPr>
    </w:p>
    <w:p w14:paraId="26378906" w14:textId="77777777" w:rsidR="00673F38" w:rsidRDefault="00673F38" w:rsidP="002F58E1">
      <w:pPr>
        <w:rPr>
          <w:rFonts w:asciiTheme="minorHAnsi" w:hAnsiTheme="minorHAnsi" w:cstheme="minorHAnsi"/>
          <w:b/>
          <w:bCs/>
          <w:i/>
          <w:iCs/>
        </w:rPr>
      </w:pPr>
    </w:p>
    <w:p w14:paraId="2E6F0EFA" w14:textId="77777777" w:rsidR="00673F38" w:rsidRPr="00037AD4" w:rsidRDefault="00673F38" w:rsidP="002F58E1">
      <w:pPr>
        <w:rPr>
          <w:rFonts w:asciiTheme="minorHAnsi" w:hAnsiTheme="minorHAnsi" w:cstheme="minorHAnsi"/>
          <w:b/>
          <w:bCs/>
          <w:i/>
          <w:iCs/>
        </w:rPr>
      </w:pPr>
    </w:p>
    <w:p w14:paraId="4E7A287F" w14:textId="77777777" w:rsidR="00B54D51" w:rsidRPr="00037AD4" w:rsidRDefault="00B54D51" w:rsidP="002F58E1">
      <w:pPr>
        <w:rPr>
          <w:rFonts w:asciiTheme="minorHAnsi" w:hAnsiTheme="minorHAnsi" w:cstheme="minorHAnsi"/>
          <w:b/>
          <w:bCs/>
          <w:i/>
          <w:iCs/>
        </w:rPr>
      </w:pPr>
      <w:r w:rsidRPr="00037AD4">
        <w:rPr>
          <w:rFonts w:asciiTheme="minorHAnsi" w:hAnsiTheme="minorHAnsi" w:cstheme="minorHAnsi"/>
          <w:b/>
          <w:bCs/>
          <w:i/>
          <w:iCs/>
        </w:rPr>
        <w:lastRenderedPageBreak/>
        <w:t xml:space="preserve">Figure 12, Direction of self-care change from T0 to T2 </w:t>
      </w:r>
    </w:p>
    <w:p w14:paraId="3F7080C1" w14:textId="77777777" w:rsidR="00B54D51" w:rsidRPr="00037AD4" w:rsidRDefault="00B54D51" w:rsidP="002F58E1">
      <w:pPr>
        <w:rPr>
          <w:rFonts w:asciiTheme="minorHAnsi" w:hAnsiTheme="minorHAnsi" w:cstheme="minorHAnsi"/>
        </w:rPr>
      </w:pPr>
    </w:p>
    <w:p w14:paraId="5A08462D" w14:textId="77777777" w:rsidR="00B54D51" w:rsidRPr="00037AD4" w:rsidRDefault="00B54D51" w:rsidP="002F58E1">
      <w:pPr>
        <w:rPr>
          <w:rFonts w:asciiTheme="minorHAnsi" w:hAnsiTheme="minorHAnsi" w:cstheme="minorHAnsi"/>
        </w:rPr>
      </w:pPr>
      <w:r w:rsidRPr="00037AD4">
        <w:rPr>
          <w:rFonts w:asciiTheme="minorHAnsi" w:hAnsiTheme="minorHAnsi" w:cstheme="minorHAnsi"/>
          <w:noProof/>
        </w:rPr>
        <w:drawing>
          <wp:inline distT="0" distB="0" distL="0" distR="0" wp14:anchorId="62027518" wp14:editId="5FAD664C">
            <wp:extent cx="4464000" cy="2451600"/>
            <wp:effectExtent l="0" t="0" r="6985" b="12700"/>
            <wp:docPr id="52" name="Chart 52">
              <a:extLst xmlns:a="http://schemas.openxmlformats.org/drawingml/2006/main">
                <a:ext uri="{FF2B5EF4-FFF2-40B4-BE49-F238E27FC236}">
                  <a16:creationId xmlns:a16="http://schemas.microsoft.com/office/drawing/2014/main" id="{27792A5D-00FF-5894-ECD1-D4C94890230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0A7912EE" w14:textId="77777777" w:rsidR="00B54D51" w:rsidRPr="00037AD4" w:rsidRDefault="00B54D51" w:rsidP="002F58E1">
      <w:pPr>
        <w:rPr>
          <w:rFonts w:asciiTheme="minorHAnsi" w:hAnsiTheme="minorHAnsi" w:cstheme="minorHAnsi"/>
        </w:rPr>
      </w:pPr>
    </w:p>
    <w:p w14:paraId="61D7DB1F" w14:textId="77777777" w:rsidR="00B54D51" w:rsidRPr="00037AD4" w:rsidRDefault="00B54D51" w:rsidP="002F58E1">
      <w:pPr>
        <w:rPr>
          <w:rFonts w:asciiTheme="minorHAnsi" w:hAnsiTheme="minorHAnsi" w:cstheme="minorHAnsi"/>
        </w:rPr>
      </w:pPr>
      <w:r w:rsidRPr="00037AD4">
        <w:rPr>
          <w:rFonts w:asciiTheme="minorHAnsi" w:hAnsiTheme="minorHAnsi" w:cstheme="minorHAnsi"/>
        </w:rPr>
        <w:t xml:space="preserve">Similar to with “mobility”, over half of the PwD-informal proxy dyads reported change in the same direction, which was again because over 75% of these dyads reported a matched no change in “self-care” status from T0 to T2. Of the PwD-informal proxy dyads that reported change in opposing directions, 70% were such that the informal proxy provided a pessimistic rating (the proxy reported a worsening in condition while the PwD either reported no change or an improvement). For staff-proxy dyads, again over 55% reported change in opposing directions. </w:t>
      </w:r>
      <w:hyperlink w:anchor="A51" w:history="1">
        <w:r w:rsidRPr="00F54399">
          <w:rPr>
            <w:rStyle w:val="Hyperlink"/>
            <w:rFonts w:asciiTheme="minorHAnsi" w:hAnsiTheme="minorHAnsi" w:cstheme="minorHAnsi"/>
            <w:color w:val="auto"/>
            <w:u w:val="none"/>
          </w:rPr>
          <w:t>See Appendix 5.1</w:t>
        </w:r>
      </w:hyperlink>
      <w:r w:rsidRPr="00F54399">
        <w:rPr>
          <w:rFonts w:asciiTheme="minorHAnsi" w:hAnsiTheme="minorHAnsi" w:cstheme="minorHAnsi"/>
        </w:rPr>
        <w:t xml:space="preserve"> for these findings.  </w:t>
      </w:r>
    </w:p>
    <w:p w14:paraId="30FE29FA" w14:textId="77777777" w:rsidR="00B54D51" w:rsidRPr="00037AD4" w:rsidRDefault="00B54D51" w:rsidP="002F58E1">
      <w:pPr>
        <w:rPr>
          <w:rFonts w:asciiTheme="minorHAnsi" w:hAnsiTheme="minorHAnsi" w:cstheme="minorHAnsi"/>
        </w:rPr>
      </w:pPr>
    </w:p>
    <w:p w14:paraId="219D1D03" w14:textId="77777777" w:rsidR="00B54D51" w:rsidRPr="00037AD4" w:rsidRDefault="00B54D51" w:rsidP="002F58E1">
      <w:pPr>
        <w:rPr>
          <w:rFonts w:asciiTheme="minorHAnsi" w:hAnsiTheme="minorHAnsi" w:cstheme="minorHAnsi"/>
        </w:rPr>
      </w:pPr>
      <w:r w:rsidRPr="00037AD4">
        <w:rPr>
          <w:rFonts w:asciiTheme="minorHAnsi" w:hAnsiTheme="minorHAnsi" w:cstheme="minorHAnsi"/>
        </w:rPr>
        <w:t xml:space="preserve">The “self-care” dimension exhibited both the highest proportion of ceiling and floor effects of all of the five EQ-5D dimensions. 75% of people with dementia self-reported “no problems” with “self-care”, while 50% of staff proxies reported “extreme problems” with this dimension. There was also evidence of floor effects in informal proxy responses. For this </w:t>
      </w:r>
      <w:r w:rsidRPr="00F54399">
        <w:rPr>
          <w:rFonts w:asciiTheme="minorHAnsi" w:hAnsiTheme="minorHAnsi" w:cstheme="minorHAnsi"/>
        </w:rPr>
        <w:t xml:space="preserve">data, </w:t>
      </w:r>
      <w:hyperlink w:anchor="A52" w:history="1">
        <w:r w:rsidRPr="00F54399">
          <w:rPr>
            <w:rStyle w:val="Hyperlink"/>
            <w:rFonts w:asciiTheme="minorHAnsi" w:hAnsiTheme="minorHAnsi" w:cstheme="minorHAnsi"/>
            <w:color w:val="auto"/>
            <w:u w:val="none"/>
          </w:rPr>
          <w:t>see Appendix 5.2.</w:t>
        </w:r>
      </w:hyperlink>
    </w:p>
    <w:p w14:paraId="236EB09E" w14:textId="77777777" w:rsidR="00B54D51" w:rsidRPr="00037AD4" w:rsidRDefault="00B54D51">
      <w:pPr>
        <w:rPr>
          <w:rFonts w:asciiTheme="minorHAnsi" w:hAnsiTheme="minorHAnsi" w:cstheme="minorHAnsi"/>
          <w:b/>
          <w:bCs/>
          <w:u w:val="single"/>
        </w:rPr>
      </w:pPr>
    </w:p>
    <w:p w14:paraId="687A5D89" w14:textId="77777777" w:rsidR="00B54D51" w:rsidRPr="00037AD4" w:rsidRDefault="00B54D51" w:rsidP="00E63232">
      <w:pPr>
        <w:rPr>
          <w:rFonts w:asciiTheme="majorHAnsi" w:hAnsiTheme="majorHAnsi" w:cstheme="majorHAnsi"/>
          <w:sz w:val="26"/>
          <w:szCs w:val="26"/>
        </w:rPr>
      </w:pPr>
      <w:bookmarkStart w:id="360" w:name="Sec5421"/>
      <w:r w:rsidRPr="00037AD4">
        <w:rPr>
          <w:rFonts w:asciiTheme="majorHAnsi" w:hAnsiTheme="majorHAnsi" w:cstheme="majorHAnsi"/>
          <w:b/>
          <w:bCs/>
          <w:sz w:val="26"/>
          <w:szCs w:val="26"/>
          <w:u w:val="single"/>
        </w:rPr>
        <w:t xml:space="preserve">5.4.2.1 Self-care change alongside dementia symptom measures  </w:t>
      </w:r>
    </w:p>
    <w:bookmarkEnd w:id="360"/>
    <w:p w14:paraId="39633D31" w14:textId="77777777" w:rsidR="00B54D51" w:rsidRPr="00037AD4" w:rsidRDefault="00B54D51" w:rsidP="00E63232">
      <w:pPr>
        <w:rPr>
          <w:rFonts w:asciiTheme="minorHAnsi" w:hAnsiTheme="minorHAnsi" w:cstheme="minorHAnsi"/>
        </w:rPr>
      </w:pPr>
    </w:p>
    <w:p w14:paraId="2F2F5446" w14:textId="77777777" w:rsidR="00B54D51" w:rsidRPr="00F54399" w:rsidRDefault="00B54D51" w:rsidP="00E63232">
      <w:pPr>
        <w:rPr>
          <w:rFonts w:asciiTheme="minorHAnsi" w:hAnsiTheme="minorHAnsi" w:cstheme="minorHAnsi"/>
        </w:rPr>
      </w:pPr>
      <w:r w:rsidRPr="00037AD4">
        <w:rPr>
          <w:rFonts w:asciiTheme="minorHAnsi" w:hAnsiTheme="minorHAnsi" w:cstheme="minorHAnsi"/>
        </w:rPr>
        <w:t xml:space="preserve">Dyadic change in “self-care” was explored alongside change in functional status, behaviour/mood and CDR, according to the metrics </w:t>
      </w:r>
      <w:r w:rsidRPr="00F54399">
        <w:rPr>
          <w:rFonts w:asciiTheme="minorHAnsi" w:hAnsiTheme="minorHAnsi" w:cstheme="minorHAnsi"/>
        </w:rPr>
        <w:t xml:space="preserve">outlined in </w:t>
      </w:r>
      <w:hyperlink w:anchor="A5" w:history="1">
        <w:r w:rsidRPr="00F54399">
          <w:rPr>
            <w:rStyle w:val="Hyperlink"/>
            <w:rFonts w:asciiTheme="minorHAnsi" w:hAnsiTheme="minorHAnsi" w:cstheme="minorHAnsi"/>
            <w:color w:val="auto"/>
            <w:u w:val="none"/>
          </w:rPr>
          <w:t>Appendix 5</w:t>
        </w:r>
      </w:hyperlink>
      <w:r w:rsidRPr="00F54399">
        <w:rPr>
          <w:rFonts w:asciiTheme="minorHAnsi" w:hAnsiTheme="minorHAnsi" w:cstheme="minorHAnsi"/>
        </w:rPr>
        <w:t xml:space="preserve">. </w:t>
      </w:r>
    </w:p>
    <w:p w14:paraId="45C0C23E" w14:textId="77777777" w:rsidR="00B54D51" w:rsidRPr="00037AD4" w:rsidRDefault="00B54D51" w:rsidP="00E63232">
      <w:pPr>
        <w:rPr>
          <w:rFonts w:asciiTheme="minorHAnsi" w:hAnsiTheme="minorHAnsi" w:cstheme="minorHAnsi"/>
        </w:rPr>
      </w:pPr>
    </w:p>
    <w:p w14:paraId="0EE8A2F0" w14:textId="77777777" w:rsidR="00B54D51" w:rsidRPr="00037AD4" w:rsidRDefault="00B54D51" w:rsidP="00E63232">
      <w:pPr>
        <w:rPr>
          <w:rFonts w:asciiTheme="minorHAnsi" w:hAnsiTheme="minorHAnsi" w:cstheme="minorHAnsi"/>
        </w:rPr>
      </w:pPr>
      <w:r w:rsidRPr="00037AD4">
        <w:rPr>
          <w:rFonts w:asciiTheme="minorHAnsi" w:hAnsiTheme="minorHAnsi" w:cstheme="minorHAnsi"/>
        </w:rPr>
        <w:t xml:space="preserve">Figure 13a shows the association between the direction of “self-care” dimension reporting and functional score progression between T0 and T2. As shown, informal proxies produced larger proportions of worsened “self-care” reports corresponding with worsened functional status of the PwD (80% for informal proxies, 50% for staff proxies and 63% of PwD). Where an improvement in “self-care” was reported by informal proxies, 27% of these cases were where the PwD’s functional status had also improved, however 43% of these cases were positive ratings where the PwD’s functional status had actually worsened. The largest proportion of stable “self-care” reports in line with no change in functional status were provided by staff proxies (61% vs. 24% for people with dementia and 34% for informal proxies). </w:t>
      </w:r>
    </w:p>
    <w:p w14:paraId="0DBF7F92" w14:textId="77777777" w:rsidR="00B54D51" w:rsidRPr="00037AD4" w:rsidRDefault="00B54D51">
      <w:pPr>
        <w:rPr>
          <w:rFonts w:asciiTheme="minorHAnsi" w:hAnsiTheme="minorHAnsi" w:cstheme="minorHAnsi"/>
          <w:b/>
          <w:bCs/>
          <w:u w:val="single"/>
        </w:rPr>
      </w:pPr>
    </w:p>
    <w:p w14:paraId="068DC83A" w14:textId="77777777" w:rsidR="00B54D51" w:rsidRPr="00037AD4" w:rsidRDefault="00B54D51" w:rsidP="00E63232">
      <w:pPr>
        <w:rPr>
          <w:rFonts w:asciiTheme="minorHAnsi" w:hAnsiTheme="minorHAnsi" w:cstheme="minorHAnsi"/>
        </w:rPr>
      </w:pPr>
      <w:r w:rsidRPr="00037AD4">
        <w:rPr>
          <w:rFonts w:asciiTheme="minorHAnsi" w:hAnsiTheme="minorHAnsi" w:cstheme="minorHAnsi"/>
        </w:rPr>
        <w:lastRenderedPageBreak/>
        <w:t xml:space="preserve">Figure 13b shows the “self-care” dimension associations with behaviour/mood status and shows similar reporting patterns across the respondent types. Where reports reflect a worsening in “self-care” scores, responses from all three respondent-types align in that around 50% of these cases are where the PwD’s behaviour/mood status has actually worsened. Over 50% of informal and staff proxies reports of improved “self-care” aligned with improved behaviour/mood (compared with only 29% of PwD-reports). Staff proxies reported the most stability in this dimension in line with no clinical changes in behaviour/mood. </w:t>
      </w:r>
    </w:p>
    <w:p w14:paraId="084717CA" w14:textId="77777777" w:rsidR="00B54D51" w:rsidRPr="00037AD4" w:rsidRDefault="00B54D51" w:rsidP="00E63232">
      <w:pPr>
        <w:rPr>
          <w:rFonts w:asciiTheme="minorHAnsi" w:hAnsiTheme="minorHAnsi" w:cstheme="minorHAnsi"/>
        </w:rPr>
      </w:pPr>
    </w:p>
    <w:p w14:paraId="2A685522" w14:textId="77777777" w:rsidR="00B54D51" w:rsidRPr="00037AD4" w:rsidRDefault="00B54D51" w:rsidP="00E63232">
      <w:pPr>
        <w:rPr>
          <w:rFonts w:asciiTheme="minorHAnsi" w:hAnsiTheme="minorHAnsi" w:cstheme="minorHAnsi"/>
        </w:rPr>
      </w:pPr>
      <w:r w:rsidRPr="00037AD4">
        <w:rPr>
          <w:rFonts w:asciiTheme="minorHAnsi" w:hAnsiTheme="minorHAnsi" w:cstheme="minorHAnsi"/>
        </w:rPr>
        <w:t>Figure 13c displays the associations between CDR status and “self-care” dimension reporting and shows that staff proxies were the respondent type that reported the largest proportion of worsened “self-care” ratings in line with a worsening in CDR status (54%, vs. 43% for both people with dementia and staff proxies). Where CDR remained the same over time, the greatest proportion of informal proxies reported stable “self-care” dimension scores compared with the other respondent types (80%, vs. 60% for staff proxies and 71% for people with dementia).</w:t>
      </w:r>
    </w:p>
    <w:p w14:paraId="1F13CEEC" w14:textId="77777777" w:rsidR="00485E41" w:rsidRPr="00037AD4" w:rsidRDefault="00485E41" w:rsidP="00E63232">
      <w:pPr>
        <w:rPr>
          <w:rFonts w:asciiTheme="minorHAnsi" w:hAnsiTheme="minorHAnsi" w:cstheme="minorHAnsi"/>
          <w:b/>
          <w:bCs/>
          <w:i/>
          <w:iCs/>
        </w:rPr>
      </w:pPr>
    </w:p>
    <w:p w14:paraId="5778D8C0" w14:textId="5DAA0A07" w:rsidR="00B54D51" w:rsidRPr="00037AD4" w:rsidRDefault="00B54D51" w:rsidP="00E63232">
      <w:pPr>
        <w:rPr>
          <w:rFonts w:asciiTheme="minorHAnsi" w:hAnsiTheme="minorHAnsi" w:cstheme="minorHAnsi"/>
          <w:b/>
          <w:bCs/>
          <w:i/>
          <w:iCs/>
        </w:rPr>
      </w:pPr>
      <w:r w:rsidRPr="00037AD4">
        <w:rPr>
          <w:rFonts w:asciiTheme="minorHAnsi" w:hAnsiTheme="minorHAnsi" w:cstheme="minorHAnsi"/>
          <w:b/>
          <w:bCs/>
          <w:i/>
          <w:iCs/>
        </w:rPr>
        <w:t xml:space="preserve">Figure 13a, Direction of functional status progression </w:t>
      </w:r>
      <w:r w:rsidR="002A4B43">
        <w:rPr>
          <w:rFonts w:asciiTheme="minorHAnsi" w:hAnsiTheme="minorHAnsi" w:cstheme="minorHAnsi"/>
          <w:b/>
          <w:bCs/>
          <w:i/>
          <w:iCs/>
        </w:rPr>
        <w:t>by self-care change</w:t>
      </w:r>
    </w:p>
    <w:p w14:paraId="5220127E" w14:textId="77777777" w:rsidR="00B54D51" w:rsidRPr="00037AD4" w:rsidRDefault="00B54D51" w:rsidP="00E63232">
      <w:pPr>
        <w:rPr>
          <w:rFonts w:asciiTheme="minorHAnsi" w:hAnsiTheme="minorHAnsi" w:cstheme="minorHAnsi"/>
          <w:color w:val="FF0000"/>
        </w:rPr>
      </w:pPr>
    </w:p>
    <w:p w14:paraId="33725653" w14:textId="77777777" w:rsidR="00B54D51" w:rsidRPr="00037AD4" w:rsidRDefault="00B54D51" w:rsidP="00E63232">
      <w:pPr>
        <w:rPr>
          <w:rFonts w:asciiTheme="minorHAnsi" w:hAnsiTheme="minorHAnsi" w:cstheme="minorHAnsi"/>
        </w:rPr>
      </w:pPr>
      <w:r w:rsidRPr="00037AD4">
        <w:rPr>
          <w:rFonts w:asciiTheme="minorHAnsi" w:hAnsiTheme="minorHAnsi" w:cstheme="minorHAnsi"/>
          <w:noProof/>
        </w:rPr>
        <w:drawing>
          <wp:inline distT="0" distB="0" distL="0" distR="0" wp14:anchorId="74E2B23E" wp14:editId="37DCE0DF">
            <wp:extent cx="6120000" cy="3312000"/>
            <wp:effectExtent l="0" t="0" r="14605" b="15875"/>
            <wp:docPr id="62" name="Chart 62">
              <a:extLst xmlns:a="http://schemas.openxmlformats.org/drawingml/2006/main">
                <a:ext uri="{FF2B5EF4-FFF2-40B4-BE49-F238E27FC236}">
                  <a16:creationId xmlns:a16="http://schemas.microsoft.com/office/drawing/2014/main" id="{73CFD36C-949F-6AB8-8FE5-3B8A52D6EC8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2488679A" w14:textId="77777777" w:rsidR="00B54D51" w:rsidRDefault="00B54D51" w:rsidP="00E63232">
      <w:pPr>
        <w:rPr>
          <w:rFonts w:asciiTheme="minorHAnsi" w:hAnsiTheme="minorHAnsi" w:cstheme="minorHAnsi"/>
        </w:rPr>
      </w:pPr>
    </w:p>
    <w:p w14:paraId="587EF6F2" w14:textId="77777777" w:rsidR="00673F38" w:rsidRDefault="00673F38" w:rsidP="00E63232">
      <w:pPr>
        <w:rPr>
          <w:rFonts w:asciiTheme="minorHAnsi" w:hAnsiTheme="minorHAnsi" w:cstheme="minorHAnsi"/>
        </w:rPr>
      </w:pPr>
    </w:p>
    <w:p w14:paraId="08D2DED2" w14:textId="77777777" w:rsidR="00673F38" w:rsidRDefault="00673F38" w:rsidP="00E63232">
      <w:pPr>
        <w:rPr>
          <w:rFonts w:asciiTheme="minorHAnsi" w:hAnsiTheme="minorHAnsi" w:cstheme="minorHAnsi"/>
        </w:rPr>
      </w:pPr>
    </w:p>
    <w:p w14:paraId="48474445" w14:textId="77777777" w:rsidR="00673F38" w:rsidRDefault="00673F38" w:rsidP="00E63232">
      <w:pPr>
        <w:rPr>
          <w:rFonts w:asciiTheme="minorHAnsi" w:hAnsiTheme="minorHAnsi" w:cstheme="minorHAnsi"/>
        </w:rPr>
      </w:pPr>
    </w:p>
    <w:p w14:paraId="7B467C93" w14:textId="77777777" w:rsidR="00673F38" w:rsidRDefault="00673F38" w:rsidP="00E63232">
      <w:pPr>
        <w:rPr>
          <w:rFonts w:asciiTheme="minorHAnsi" w:hAnsiTheme="minorHAnsi" w:cstheme="minorHAnsi"/>
        </w:rPr>
      </w:pPr>
    </w:p>
    <w:p w14:paraId="7EB196BF" w14:textId="77777777" w:rsidR="00673F38" w:rsidRDefault="00673F38" w:rsidP="00E63232">
      <w:pPr>
        <w:rPr>
          <w:rFonts w:asciiTheme="minorHAnsi" w:hAnsiTheme="minorHAnsi" w:cstheme="minorHAnsi"/>
        </w:rPr>
      </w:pPr>
    </w:p>
    <w:p w14:paraId="24FDA7B5" w14:textId="77777777" w:rsidR="00673F38" w:rsidRDefault="00673F38" w:rsidP="00E63232">
      <w:pPr>
        <w:rPr>
          <w:rFonts w:asciiTheme="minorHAnsi" w:hAnsiTheme="minorHAnsi" w:cstheme="minorHAnsi"/>
        </w:rPr>
      </w:pPr>
    </w:p>
    <w:p w14:paraId="4C4C5858" w14:textId="77777777" w:rsidR="00673F38" w:rsidRDefault="00673F38" w:rsidP="00E63232">
      <w:pPr>
        <w:rPr>
          <w:rFonts w:asciiTheme="minorHAnsi" w:hAnsiTheme="minorHAnsi" w:cstheme="minorHAnsi"/>
        </w:rPr>
      </w:pPr>
    </w:p>
    <w:p w14:paraId="3E58EE71" w14:textId="77777777" w:rsidR="00673F38" w:rsidRDefault="00673F38" w:rsidP="00E63232">
      <w:pPr>
        <w:rPr>
          <w:rFonts w:asciiTheme="minorHAnsi" w:hAnsiTheme="minorHAnsi" w:cstheme="minorHAnsi"/>
        </w:rPr>
      </w:pPr>
    </w:p>
    <w:p w14:paraId="0B37252A" w14:textId="77777777" w:rsidR="00673F38" w:rsidRPr="00037AD4" w:rsidRDefault="00673F38" w:rsidP="00E63232">
      <w:pPr>
        <w:rPr>
          <w:rFonts w:asciiTheme="minorHAnsi" w:hAnsiTheme="minorHAnsi" w:cstheme="minorHAnsi"/>
        </w:rPr>
      </w:pPr>
    </w:p>
    <w:p w14:paraId="1FFB4FCC" w14:textId="25754836" w:rsidR="00B54D51" w:rsidRPr="00037AD4" w:rsidRDefault="00B54D51" w:rsidP="00E63232">
      <w:pPr>
        <w:rPr>
          <w:rFonts w:asciiTheme="minorHAnsi" w:hAnsiTheme="minorHAnsi" w:cstheme="minorHAnsi"/>
          <w:b/>
          <w:bCs/>
          <w:i/>
          <w:iCs/>
        </w:rPr>
      </w:pPr>
      <w:r w:rsidRPr="00037AD4">
        <w:rPr>
          <w:rFonts w:asciiTheme="minorHAnsi" w:hAnsiTheme="minorHAnsi" w:cstheme="minorHAnsi"/>
          <w:b/>
          <w:bCs/>
          <w:i/>
          <w:iCs/>
        </w:rPr>
        <w:lastRenderedPageBreak/>
        <w:t xml:space="preserve">Figure 13b, Direction of behaviour/mood status progression </w:t>
      </w:r>
      <w:r w:rsidR="002A4B43">
        <w:rPr>
          <w:rFonts w:asciiTheme="minorHAnsi" w:hAnsiTheme="minorHAnsi" w:cstheme="minorHAnsi"/>
          <w:b/>
          <w:bCs/>
          <w:i/>
          <w:iCs/>
        </w:rPr>
        <w:t xml:space="preserve">by </w:t>
      </w:r>
      <w:r w:rsidR="002A4B43" w:rsidRPr="00037AD4">
        <w:rPr>
          <w:rFonts w:asciiTheme="minorHAnsi" w:hAnsiTheme="minorHAnsi" w:cstheme="minorHAnsi"/>
          <w:b/>
          <w:bCs/>
          <w:i/>
          <w:iCs/>
        </w:rPr>
        <w:t>self-care change</w:t>
      </w:r>
    </w:p>
    <w:p w14:paraId="0730F837" w14:textId="77777777" w:rsidR="00B54D51" w:rsidRPr="00037AD4" w:rsidRDefault="00B54D51" w:rsidP="00E63232">
      <w:pPr>
        <w:rPr>
          <w:rFonts w:asciiTheme="minorHAnsi" w:hAnsiTheme="minorHAnsi" w:cstheme="minorHAnsi"/>
        </w:rPr>
      </w:pPr>
    </w:p>
    <w:p w14:paraId="7CAF04CF" w14:textId="77777777" w:rsidR="00B54D51" w:rsidRPr="00037AD4" w:rsidRDefault="00B54D51" w:rsidP="00E63232">
      <w:pPr>
        <w:rPr>
          <w:rFonts w:asciiTheme="minorHAnsi" w:hAnsiTheme="minorHAnsi" w:cstheme="minorHAnsi"/>
        </w:rPr>
      </w:pPr>
      <w:r w:rsidRPr="00037AD4">
        <w:rPr>
          <w:rFonts w:asciiTheme="minorHAnsi" w:hAnsiTheme="minorHAnsi" w:cstheme="minorHAnsi"/>
          <w:noProof/>
        </w:rPr>
        <w:drawing>
          <wp:inline distT="0" distB="0" distL="0" distR="0" wp14:anchorId="2FAB97AA" wp14:editId="64E627A0">
            <wp:extent cx="6120000" cy="3312000"/>
            <wp:effectExtent l="0" t="0" r="14605" b="15875"/>
            <wp:docPr id="63" name="Chart 63">
              <a:extLst xmlns:a="http://schemas.openxmlformats.org/drawingml/2006/main">
                <a:ext uri="{FF2B5EF4-FFF2-40B4-BE49-F238E27FC236}">
                  <a16:creationId xmlns:a16="http://schemas.microsoft.com/office/drawing/2014/main" id="{8813B94D-4E0F-258B-F038-B65B148E8A6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207572D3" w14:textId="77777777" w:rsidR="00485E41" w:rsidRDefault="00485E41" w:rsidP="00E63232">
      <w:pPr>
        <w:rPr>
          <w:rFonts w:asciiTheme="minorHAnsi" w:hAnsiTheme="minorHAnsi" w:cstheme="minorHAnsi"/>
          <w:b/>
          <w:bCs/>
          <w:i/>
          <w:iCs/>
        </w:rPr>
      </w:pPr>
    </w:p>
    <w:p w14:paraId="177BB585" w14:textId="72EC907C" w:rsidR="00B54D51" w:rsidRPr="00037AD4" w:rsidRDefault="00B54D51" w:rsidP="00E63232">
      <w:pPr>
        <w:rPr>
          <w:rFonts w:asciiTheme="minorHAnsi" w:hAnsiTheme="minorHAnsi" w:cstheme="minorHAnsi"/>
          <w:b/>
          <w:bCs/>
          <w:i/>
          <w:iCs/>
        </w:rPr>
      </w:pPr>
      <w:r w:rsidRPr="00037AD4">
        <w:rPr>
          <w:rFonts w:asciiTheme="minorHAnsi" w:hAnsiTheme="minorHAnsi" w:cstheme="minorHAnsi"/>
          <w:b/>
          <w:bCs/>
          <w:i/>
          <w:iCs/>
        </w:rPr>
        <w:t xml:space="preserve">Figure 13c, Direction of CDR status progression </w:t>
      </w:r>
      <w:r w:rsidR="002A4B43">
        <w:rPr>
          <w:rFonts w:asciiTheme="minorHAnsi" w:hAnsiTheme="minorHAnsi" w:cstheme="minorHAnsi"/>
          <w:b/>
          <w:bCs/>
          <w:i/>
          <w:iCs/>
        </w:rPr>
        <w:t xml:space="preserve">by </w:t>
      </w:r>
      <w:r w:rsidR="002A4B43" w:rsidRPr="00037AD4">
        <w:rPr>
          <w:rFonts w:asciiTheme="minorHAnsi" w:hAnsiTheme="minorHAnsi" w:cstheme="minorHAnsi"/>
          <w:b/>
          <w:bCs/>
          <w:i/>
          <w:iCs/>
        </w:rPr>
        <w:t>self-care change</w:t>
      </w:r>
    </w:p>
    <w:p w14:paraId="7FEF664F" w14:textId="77777777" w:rsidR="00B54D51" w:rsidRPr="00037AD4" w:rsidRDefault="00B54D51" w:rsidP="00E63232">
      <w:pPr>
        <w:rPr>
          <w:rFonts w:asciiTheme="minorHAnsi" w:hAnsiTheme="minorHAnsi" w:cstheme="minorHAnsi"/>
        </w:rPr>
      </w:pPr>
    </w:p>
    <w:p w14:paraId="1E34F158" w14:textId="77777777" w:rsidR="00B54D51" w:rsidRPr="00037AD4" w:rsidRDefault="00B54D51" w:rsidP="00E63232">
      <w:pPr>
        <w:rPr>
          <w:rFonts w:asciiTheme="minorHAnsi" w:hAnsiTheme="minorHAnsi" w:cstheme="minorHAnsi"/>
        </w:rPr>
      </w:pPr>
      <w:r w:rsidRPr="00037AD4">
        <w:rPr>
          <w:rFonts w:asciiTheme="minorHAnsi" w:hAnsiTheme="minorHAnsi" w:cstheme="minorHAnsi"/>
          <w:noProof/>
        </w:rPr>
        <w:drawing>
          <wp:inline distT="0" distB="0" distL="0" distR="0" wp14:anchorId="6C8B2147" wp14:editId="3088A02C">
            <wp:extent cx="6120000" cy="3312000"/>
            <wp:effectExtent l="0" t="0" r="14605" b="15875"/>
            <wp:docPr id="64" name="Chart 64">
              <a:extLst xmlns:a="http://schemas.openxmlformats.org/drawingml/2006/main">
                <a:ext uri="{FF2B5EF4-FFF2-40B4-BE49-F238E27FC236}">
                  <a16:creationId xmlns:a16="http://schemas.microsoft.com/office/drawing/2014/main" id="{7C69FB43-5D8E-8FAC-3E9D-4305C2DB26E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701B6E32" w14:textId="77777777" w:rsidR="00B54D51" w:rsidRPr="00037AD4" w:rsidRDefault="00B54D51" w:rsidP="00E63232">
      <w:pPr>
        <w:rPr>
          <w:rFonts w:asciiTheme="minorHAnsi" w:hAnsiTheme="minorHAnsi" w:cstheme="minorHAnsi"/>
        </w:rPr>
      </w:pPr>
    </w:p>
    <w:p w14:paraId="675F5AF7" w14:textId="77777777" w:rsidR="00B54D51" w:rsidRPr="00037AD4" w:rsidRDefault="00B54D51" w:rsidP="00E63232">
      <w:pPr>
        <w:rPr>
          <w:rFonts w:asciiTheme="minorHAnsi" w:hAnsiTheme="minorHAnsi" w:cstheme="minorHAnsi"/>
        </w:rPr>
      </w:pPr>
      <w:r w:rsidRPr="00037AD4">
        <w:rPr>
          <w:rFonts w:asciiTheme="minorHAnsi" w:hAnsiTheme="minorHAnsi" w:cstheme="minorHAnsi"/>
          <w:b/>
          <w:bCs/>
          <w:noProof/>
          <w:u w:val="single"/>
        </w:rPr>
        <mc:AlternateContent>
          <mc:Choice Requires="wps">
            <w:drawing>
              <wp:anchor distT="0" distB="0" distL="114300" distR="114300" simplePos="0" relativeHeight="251678720" behindDoc="0" locked="0" layoutInCell="1" allowOverlap="1" wp14:anchorId="047589BC" wp14:editId="2C31AB4B">
                <wp:simplePos x="0" y="0"/>
                <wp:positionH relativeFrom="column">
                  <wp:posOffset>0</wp:posOffset>
                </wp:positionH>
                <wp:positionV relativeFrom="paragraph">
                  <wp:posOffset>-635</wp:posOffset>
                </wp:positionV>
                <wp:extent cx="2317898" cy="287079"/>
                <wp:effectExtent l="0" t="0" r="19050" b="17780"/>
                <wp:wrapNone/>
                <wp:docPr id="97" name="Text Box 97"/>
                <wp:cNvGraphicFramePr/>
                <a:graphic xmlns:a="http://schemas.openxmlformats.org/drawingml/2006/main">
                  <a:graphicData uri="http://schemas.microsoft.com/office/word/2010/wordprocessingShape">
                    <wps:wsp>
                      <wps:cNvSpPr txBox="1"/>
                      <wps:spPr>
                        <a:xfrm>
                          <a:off x="0" y="0"/>
                          <a:ext cx="2317898" cy="287079"/>
                        </a:xfrm>
                        <a:prstGeom prst="rect">
                          <a:avLst/>
                        </a:prstGeom>
                        <a:ln/>
                      </wps:spPr>
                      <wps:style>
                        <a:lnRef idx="2">
                          <a:schemeClr val="accent3"/>
                        </a:lnRef>
                        <a:fillRef idx="1">
                          <a:schemeClr val="lt1"/>
                        </a:fillRef>
                        <a:effectRef idx="0">
                          <a:schemeClr val="accent3"/>
                        </a:effectRef>
                        <a:fontRef idx="minor">
                          <a:schemeClr val="dk1"/>
                        </a:fontRef>
                      </wps:style>
                      <wps:txbx>
                        <w:txbxContent>
                          <w:p w14:paraId="3E8CEA33" w14:textId="77777777" w:rsidR="00B54D51" w:rsidRPr="00E63232" w:rsidRDefault="00B54D51" w:rsidP="00E63232">
                            <w:pPr>
                              <w:rPr>
                                <w:rFonts w:asciiTheme="minorHAnsi" w:hAnsiTheme="minorHAnsi" w:cstheme="minorHAnsi"/>
                                <w:i/>
                                <w:iCs/>
                              </w:rPr>
                            </w:pPr>
                            <w:r w:rsidRPr="00E63232">
                              <w:rPr>
                                <w:rFonts w:asciiTheme="minorHAnsi" w:hAnsiTheme="minorHAnsi" w:cstheme="minorHAnsi"/>
                                <w:i/>
                                <w:iCs/>
                              </w:rPr>
                              <w:t>PR, informal proxy; ST, staff proxy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7589BC" id="Text Box 97" o:spid="_x0000_s1039" type="#_x0000_t202" style="position:absolute;margin-left:0;margin-top:-.05pt;width:182.5pt;height:22.6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" fillcolor="white [3201]" strokecolor="#a5a5a5 [3206]" strokeweight="1pt">
                <v:textbox>
                  <w:txbxContent>
                    <w:p w14:paraId="3E8CEA33" w14:textId="77777777" w:rsidR="00B54D51" w:rsidRPr="00E63232" w:rsidRDefault="00B54D51" w:rsidP="00E63232">
                      <w:pPr>
                        <w:rPr>
                          <w:rFonts w:asciiTheme="minorHAnsi" w:hAnsiTheme="minorHAnsi" w:cstheme="minorHAnsi"/>
                          <w:i/>
                          <w:iCs/>
                        </w:rPr>
                      </w:pPr>
                      <w:r w:rsidRPr="00E63232">
                        <w:rPr>
                          <w:rFonts w:asciiTheme="minorHAnsi" w:hAnsiTheme="minorHAnsi" w:cstheme="minorHAnsi"/>
                          <w:i/>
                          <w:iCs/>
                        </w:rPr>
                        <w:t>PR, informal proxy; ST, staff proxy</w:t>
                      </w:r>
                    </w:p>
                  </w:txbxContent>
                </v:textbox>
              </v:shape>
            </w:pict>
          </mc:Fallback>
        </mc:AlternateContent>
      </w:r>
    </w:p>
    <w:p w14:paraId="503197A9" w14:textId="77777777" w:rsidR="00B54D51" w:rsidRPr="00037AD4" w:rsidRDefault="00B54D51" w:rsidP="00E63232">
      <w:pPr>
        <w:rPr>
          <w:rFonts w:asciiTheme="minorHAnsi" w:hAnsiTheme="minorHAnsi" w:cstheme="minorHAnsi"/>
        </w:rPr>
      </w:pPr>
    </w:p>
    <w:p w14:paraId="30D6EF5A" w14:textId="77777777" w:rsidR="00B54D51" w:rsidRDefault="00B54D51" w:rsidP="00E63232">
      <w:pPr>
        <w:rPr>
          <w:rFonts w:asciiTheme="minorHAnsi" w:hAnsiTheme="minorHAnsi" w:cstheme="minorHAnsi"/>
        </w:rPr>
      </w:pPr>
    </w:p>
    <w:p w14:paraId="611E5F74" w14:textId="77777777" w:rsidR="00673F38" w:rsidRDefault="00673F38" w:rsidP="00E63232">
      <w:pPr>
        <w:rPr>
          <w:rFonts w:asciiTheme="minorHAnsi" w:hAnsiTheme="minorHAnsi" w:cstheme="minorHAnsi"/>
        </w:rPr>
      </w:pPr>
    </w:p>
    <w:p w14:paraId="00083391" w14:textId="77777777" w:rsidR="00673F38" w:rsidRPr="00037AD4" w:rsidRDefault="00673F38" w:rsidP="00E63232">
      <w:pPr>
        <w:rPr>
          <w:rFonts w:asciiTheme="minorHAnsi" w:hAnsiTheme="minorHAnsi" w:cstheme="minorHAnsi"/>
        </w:rPr>
      </w:pPr>
    </w:p>
    <w:p w14:paraId="40A91EBF" w14:textId="77777777" w:rsidR="00B54D51" w:rsidRPr="00037AD4" w:rsidRDefault="00B54D51" w:rsidP="00E63232">
      <w:pPr>
        <w:rPr>
          <w:rFonts w:asciiTheme="majorHAnsi" w:hAnsiTheme="majorHAnsi" w:cstheme="majorHAnsi"/>
          <w:b/>
          <w:bCs/>
          <w:sz w:val="26"/>
          <w:szCs w:val="26"/>
          <w:u w:val="single"/>
        </w:rPr>
      </w:pPr>
      <w:r w:rsidRPr="00037AD4">
        <w:rPr>
          <w:rFonts w:asciiTheme="majorHAnsi" w:hAnsiTheme="majorHAnsi" w:cstheme="majorHAnsi"/>
          <w:b/>
          <w:bCs/>
          <w:sz w:val="26"/>
          <w:szCs w:val="26"/>
          <w:u w:val="single"/>
        </w:rPr>
        <w:lastRenderedPageBreak/>
        <w:t>5.4.2.2 Inter-rater agreement – self-care</w:t>
      </w:r>
    </w:p>
    <w:p w14:paraId="330D5111" w14:textId="77777777" w:rsidR="00B54D51" w:rsidRPr="00037AD4" w:rsidRDefault="00B54D51" w:rsidP="00E63232">
      <w:pPr>
        <w:rPr>
          <w:rFonts w:asciiTheme="minorHAnsi" w:hAnsiTheme="minorHAnsi" w:cstheme="minorHAnsi"/>
        </w:rPr>
      </w:pPr>
    </w:p>
    <w:p w14:paraId="20EBBE30" w14:textId="55F0AF2B" w:rsidR="00B54D51" w:rsidRPr="00485E41" w:rsidRDefault="00B54D51" w:rsidP="00E63232">
      <w:pPr>
        <w:rPr>
          <w:rFonts w:asciiTheme="minorHAnsi" w:hAnsiTheme="minorHAnsi" w:cstheme="minorHAnsi"/>
        </w:rPr>
      </w:pPr>
      <w:r w:rsidRPr="00037AD4">
        <w:rPr>
          <w:rFonts w:asciiTheme="minorHAnsi" w:hAnsiTheme="minorHAnsi" w:cstheme="minorHAnsi"/>
        </w:rPr>
        <w:t xml:space="preserve">“Self-care” produced the second largest proportion of exact agreement (51%) of all dimensions for PwD-informal proxy dyads. The </w:t>
      </w:r>
      <w:r w:rsidR="00485E41">
        <w:rPr>
          <w:rFonts w:asciiTheme="minorHAnsi" w:hAnsiTheme="minorHAnsi" w:cstheme="minorHAnsi"/>
        </w:rPr>
        <w:t>K</w:t>
      </w:r>
      <w:r w:rsidRPr="00037AD4">
        <w:rPr>
          <w:rFonts w:asciiTheme="minorHAnsi" w:hAnsiTheme="minorHAnsi" w:cstheme="minorHAnsi"/>
        </w:rPr>
        <w:t xml:space="preserve">appa coefficient indicates moderate agreement (k=0.42) and is stronger in mild dementia (k=0.45) (compared with the moderate (k=0.28) and severe (k=0.04) dementia stages). For PwD-staff proxy dyads, the percentage of exact agreement on this dimension was low at 20% (and was the lowest of all five dimensions); the </w:t>
      </w:r>
      <w:r w:rsidR="00485E41">
        <w:rPr>
          <w:rFonts w:asciiTheme="minorHAnsi" w:hAnsiTheme="minorHAnsi" w:cstheme="minorHAnsi"/>
        </w:rPr>
        <w:t>K</w:t>
      </w:r>
      <w:r w:rsidRPr="00037AD4">
        <w:rPr>
          <w:rFonts w:asciiTheme="minorHAnsi" w:hAnsiTheme="minorHAnsi" w:cstheme="minorHAnsi"/>
        </w:rPr>
        <w:t>appa</w:t>
      </w:r>
      <w:r w:rsidR="00485E41">
        <w:rPr>
          <w:rFonts w:asciiTheme="minorHAnsi" w:hAnsiTheme="minorHAnsi" w:cstheme="minorHAnsi"/>
        </w:rPr>
        <w:t xml:space="preserve"> </w:t>
      </w:r>
      <w:r w:rsidRPr="00037AD4">
        <w:rPr>
          <w:rFonts w:asciiTheme="minorHAnsi" w:hAnsiTheme="minorHAnsi" w:cstheme="minorHAnsi"/>
        </w:rPr>
        <w:t xml:space="preserve">coefficients also indicate no evidence of agreement for PwD-staff proxies across all stages (k&lt;0.1 for all); Refer to </w:t>
      </w:r>
      <w:hyperlink w:anchor="A53" w:history="1">
        <w:r w:rsidRPr="00485E41">
          <w:rPr>
            <w:rStyle w:val="Hyperlink"/>
            <w:rFonts w:asciiTheme="minorHAnsi" w:hAnsiTheme="minorHAnsi" w:cstheme="minorHAnsi"/>
            <w:color w:val="auto"/>
            <w:u w:val="none"/>
          </w:rPr>
          <w:t>Appendix 5.3</w:t>
        </w:r>
      </w:hyperlink>
      <w:r w:rsidRPr="00485E41">
        <w:rPr>
          <w:rFonts w:asciiTheme="minorHAnsi" w:hAnsiTheme="minorHAnsi" w:cstheme="minorHAnsi"/>
        </w:rPr>
        <w:t xml:space="preserve"> for this information.  </w:t>
      </w:r>
    </w:p>
    <w:p w14:paraId="0EEBF615" w14:textId="77777777" w:rsidR="00B54D51" w:rsidRPr="00037AD4" w:rsidRDefault="00B54D51">
      <w:pPr>
        <w:rPr>
          <w:rFonts w:asciiTheme="minorHAnsi" w:hAnsiTheme="minorHAnsi" w:cstheme="minorHAnsi"/>
          <w:b/>
          <w:bCs/>
          <w:u w:val="single"/>
        </w:rPr>
      </w:pPr>
    </w:p>
    <w:p w14:paraId="0D4C316A" w14:textId="77777777" w:rsidR="00B54D51" w:rsidRPr="00037AD4" w:rsidRDefault="00B54D51" w:rsidP="00513EB7">
      <w:pPr>
        <w:rPr>
          <w:rFonts w:asciiTheme="majorHAnsi" w:hAnsiTheme="majorHAnsi" w:cstheme="majorHAnsi"/>
          <w:b/>
          <w:bCs/>
          <w:sz w:val="26"/>
          <w:szCs w:val="26"/>
          <w:u w:val="single"/>
        </w:rPr>
      </w:pPr>
      <w:r w:rsidRPr="00037AD4">
        <w:rPr>
          <w:rFonts w:asciiTheme="majorHAnsi" w:hAnsiTheme="majorHAnsi" w:cstheme="majorHAnsi"/>
          <w:b/>
          <w:bCs/>
          <w:sz w:val="26"/>
          <w:szCs w:val="26"/>
          <w:u w:val="single"/>
        </w:rPr>
        <w:t>5.4.2.2.1 Discrepancy scores – self-care</w:t>
      </w:r>
    </w:p>
    <w:p w14:paraId="3F10624F" w14:textId="77777777" w:rsidR="00B54D51" w:rsidRPr="00037AD4" w:rsidRDefault="00B54D51" w:rsidP="00513EB7">
      <w:pPr>
        <w:rPr>
          <w:rFonts w:asciiTheme="minorHAnsi" w:hAnsiTheme="minorHAnsi" w:cstheme="minorHAnsi"/>
        </w:rPr>
      </w:pPr>
    </w:p>
    <w:p w14:paraId="72985061" w14:textId="77777777" w:rsidR="00B54D51" w:rsidRPr="00037AD4" w:rsidRDefault="00B54D51" w:rsidP="00513EB7">
      <w:pPr>
        <w:rPr>
          <w:rFonts w:asciiTheme="minorHAnsi" w:hAnsiTheme="minorHAnsi" w:cstheme="minorHAnsi"/>
        </w:rPr>
      </w:pPr>
      <w:r w:rsidRPr="00037AD4">
        <w:rPr>
          <w:rFonts w:asciiTheme="minorHAnsi" w:hAnsiTheme="minorHAnsi" w:cstheme="minorHAnsi"/>
        </w:rPr>
        <w:t xml:space="preserve">As shown within Figures 14a and 14b below, the variability between the responses to the “self-care” dimension provided by the respondents is higher (when compared with “mobility”). For the PwD-informal proxy dyads, similarly to “mobility”, 80% of the discrepancy scores are concentrated around +/- one, and a large proportion of scores are at zero (51% = exact agreement)). Of the PwD-informal proxy dyad scores at zero, around 82% were where both the PwD and proxy had reported the dimension a score of one (compared with approximately 2% with a matching score at the worst possible score of five). Of the PwD-staff proxy dyad scores at zero, 70% were where both the PwD and proxy had provided a perfect health dimension score, and approximately 10% were where both scores were at the worst possible level for the dimension. </w:t>
      </w:r>
    </w:p>
    <w:p w14:paraId="585097B7" w14:textId="77777777" w:rsidR="00B54D51" w:rsidRPr="00037AD4" w:rsidRDefault="00B54D51" w:rsidP="00513EB7">
      <w:pPr>
        <w:rPr>
          <w:rFonts w:asciiTheme="minorHAnsi" w:hAnsiTheme="minorHAnsi" w:cstheme="minorHAnsi"/>
        </w:rPr>
      </w:pPr>
    </w:p>
    <w:p w14:paraId="26D938B3" w14:textId="77777777" w:rsidR="00B54D51" w:rsidRPr="00037AD4" w:rsidRDefault="00B54D51" w:rsidP="00513EB7">
      <w:pPr>
        <w:rPr>
          <w:rFonts w:asciiTheme="minorHAnsi" w:hAnsiTheme="minorHAnsi" w:cstheme="minorHAnsi"/>
        </w:rPr>
      </w:pPr>
      <w:r w:rsidRPr="00037AD4">
        <w:rPr>
          <w:rFonts w:asciiTheme="minorHAnsi" w:hAnsiTheme="minorHAnsi" w:cstheme="minorHAnsi"/>
        </w:rPr>
        <w:t xml:space="preserve">For the PwD-staff proxy data, there is greater variability in responses - with only 20% of discrepancy scores at zero and 24% of scores at the maximum negative score value. Similarly, to “mobility”, this finding indicates that a larger proportion of staff proxies provide a lower dimension score compared with PwD-self scores (than informal proxies). </w:t>
      </w:r>
    </w:p>
    <w:p w14:paraId="7660F01C" w14:textId="77777777" w:rsidR="00B54D51" w:rsidRPr="00037AD4" w:rsidRDefault="00B54D51">
      <w:pPr>
        <w:rPr>
          <w:rFonts w:asciiTheme="minorHAnsi" w:hAnsiTheme="minorHAnsi" w:cstheme="minorHAnsi"/>
          <w:b/>
          <w:bCs/>
          <w:u w:val="single"/>
        </w:rPr>
      </w:pPr>
    </w:p>
    <w:p w14:paraId="7FE84E24" w14:textId="77777777" w:rsidR="00B54D51" w:rsidRPr="00037AD4" w:rsidRDefault="00B54D51" w:rsidP="00513EB7">
      <w:pPr>
        <w:rPr>
          <w:rFonts w:asciiTheme="minorHAnsi" w:hAnsiTheme="minorHAnsi" w:cstheme="minorHAnsi"/>
          <w:b/>
          <w:bCs/>
          <w:i/>
          <w:iCs/>
        </w:rPr>
      </w:pPr>
      <w:r w:rsidRPr="00037AD4">
        <w:rPr>
          <w:rFonts w:asciiTheme="minorHAnsi" w:hAnsiTheme="minorHAnsi" w:cstheme="minorHAnsi"/>
          <w:b/>
          <w:bCs/>
          <w:i/>
          <w:iCs/>
        </w:rPr>
        <w:t>Figure 14a, Bar chart for absolute discrepancy scores of self-care dimension, PwD-informal proxies</w:t>
      </w:r>
    </w:p>
    <w:p w14:paraId="0E0AB18B" w14:textId="77777777" w:rsidR="00B54D51" w:rsidRPr="00037AD4" w:rsidRDefault="00B54D51" w:rsidP="00513EB7">
      <w:pPr>
        <w:rPr>
          <w:rFonts w:asciiTheme="minorHAnsi" w:hAnsiTheme="minorHAnsi" w:cstheme="minorHAnsi"/>
        </w:rPr>
      </w:pPr>
    </w:p>
    <w:p w14:paraId="7E2FADF0" w14:textId="77777777" w:rsidR="00673F38" w:rsidRDefault="00B82EB5" w:rsidP="00513EB7">
      <w:pPr>
        <w:rPr>
          <w:rFonts w:asciiTheme="minorHAnsi" w:hAnsiTheme="minorHAnsi" w:cstheme="minorHAnsi"/>
        </w:rPr>
      </w:pPr>
      <w:r w:rsidRPr="00037AD4">
        <w:rPr>
          <w:rFonts w:asciiTheme="minorHAnsi" w:hAnsiTheme="minorHAnsi" w:cstheme="minorHAnsi"/>
          <w:noProof/>
          <w:lang w:eastAsia="zh-CN"/>
        </w:rPr>
        <w:drawing>
          <wp:inline distT="0" distB="0" distL="0" distR="0" wp14:anchorId="6B01987E" wp14:editId="4ACE217D">
            <wp:extent cx="3960000" cy="2880000"/>
            <wp:effectExtent l="0" t="0" r="2540" b="3175"/>
            <wp:docPr id="88" name="Picture 88" descr="A graph with numbers and a bar&#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 name="Picture 88" descr="A graph with numbers and a bar&#10;&#10;Description automatically generated"/>
                    <pic:cNvPicPr/>
                  </pic:nvPicPr>
                  <pic:blipFill>
                    <a:blip r:embed="rId34">
                      <a:extLst>
                        <a:ext uri="{28A0092B-C50C-407E-A947-70E740481C1C}">
                          <a14:useLocalDpi xmlns:a14="http://schemas.microsoft.com/office/drawing/2010/main" val="0"/>
                        </a:ext>
                      </a:extLst>
                    </a:blip>
                    <a:stretch>
                      <a:fillRect/>
                    </a:stretch>
                  </pic:blipFill>
                  <pic:spPr>
                    <a:xfrm>
                      <a:off x="0" y="0"/>
                      <a:ext cx="3960000" cy="2880000"/>
                    </a:xfrm>
                    <a:prstGeom prst="rect">
                      <a:avLst/>
                    </a:prstGeom>
                  </pic:spPr>
                </pic:pic>
              </a:graphicData>
            </a:graphic>
          </wp:inline>
        </w:drawing>
      </w:r>
    </w:p>
    <w:p w14:paraId="7C90D389" w14:textId="33813088" w:rsidR="00B54D51" w:rsidRPr="00673F38" w:rsidRDefault="00B54D51" w:rsidP="00513EB7">
      <w:pPr>
        <w:rPr>
          <w:rFonts w:asciiTheme="minorHAnsi" w:hAnsiTheme="minorHAnsi" w:cstheme="minorHAnsi"/>
        </w:rPr>
      </w:pPr>
      <w:r w:rsidRPr="00037AD4">
        <w:rPr>
          <w:rFonts w:asciiTheme="minorHAnsi" w:hAnsiTheme="minorHAnsi" w:cstheme="minorHAnsi"/>
          <w:b/>
          <w:bCs/>
          <w:i/>
          <w:iCs/>
        </w:rPr>
        <w:lastRenderedPageBreak/>
        <w:t>Figure 14b, Bar chart for absolute discrepancy scores of self-care dimension, PwD-staff proxies</w:t>
      </w:r>
    </w:p>
    <w:p w14:paraId="0D632488" w14:textId="77777777" w:rsidR="00485E41" w:rsidRPr="00037AD4" w:rsidRDefault="00485E41" w:rsidP="00513EB7">
      <w:pPr>
        <w:rPr>
          <w:rFonts w:asciiTheme="minorHAnsi" w:hAnsiTheme="minorHAnsi" w:cstheme="minorHAnsi"/>
        </w:rPr>
      </w:pPr>
    </w:p>
    <w:p w14:paraId="5B101EC9" w14:textId="2D47656B" w:rsidR="00B54D51" w:rsidRPr="00037AD4" w:rsidRDefault="00B82EB5" w:rsidP="00513EB7">
      <w:pPr>
        <w:rPr>
          <w:rFonts w:asciiTheme="minorHAnsi" w:hAnsiTheme="minorHAnsi" w:cstheme="minorHAnsi"/>
          <w:color w:val="FF0000"/>
        </w:rPr>
      </w:pPr>
      <w:r>
        <w:rPr>
          <w:rFonts w:asciiTheme="minorHAnsi" w:hAnsiTheme="minorHAnsi" w:cstheme="minorHAnsi"/>
          <w:noProof/>
          <w:color w:val="FF0000"/>
        </w:rPr>
        <w:drawing>
          <wp:inline distT="0" distB="0" distL="0" distR="0" wp14:anchorId="270A7AC3" wp14:editId="6E78EEAC">
            <wp:extent cx="3960000" cy="2880000"/>
            <wp:effectExtent l="0" t="0" r="2540" b="3175"/>
            <wp:docPr id="66" name="Picture 66" descr="A graph with numbers and a bar&#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Picture 66" descr="A graph with numbers and a bar&#10;&#10;Description automatically generated"/>
                    <pic:cNvPicPr/>
                  </pic:nvPicPr>
                  <pic:blipFill>
                    <a:blip r:embed="rId35">
                      <a:extLst>
                        <a:ext uri="{28A0092B-C50C-407E-A947-70E740481C1C}">
                          <a14:useLocalDpi xmlns:a14="http://schemas.microsoft.com/office/drawing/2010/main" val="0"/>
                        </a:ext>
                      </a:extLst>
                    </a:blip>
                    <a:stretch>
                      <a:fillRect/>
                    </a:stretch>
                  </pic:blipFill>
                  <pic:spPr>
                    <a:xfrm>
                      <a:off x="0" y="0"/>
                      <a:ext cx="3960000" cy="2880000"/>
                    </a:xfrm>
                    <a:prstGeom prst="rect">
                      <a:avLst/>
                    </a:prstGeom>
                  </pic:spPr>
                </pic:pic>
              </a:graphicData>
            </a:graphic>
          </wp:inline>
        </w:drawing>
      </w:r>
    </w:p>
    <w:p w14:paraId="2597CADE" w14:textId="77777777" w:rsidR="00B54D51" w:rsidRPr="00037AD4" w:rsidRDefault="00B54D51">
      <w:pPr>
        <w:rPr>
          <w:rFonts w:asciiTheme="minorHAnsi" w:hAnsiTheme="minorHAnsi" w:cstheme="minorHAnsi"/>
          <w:b/>
          <w:bCs/>
          <w:u w:val="single"/>
        </w:rPr>
      </w:pPr>
    </w:p>
    <w:p w14:paraId="4B4E6C8E" w14:textId="77777777" w:rsidR="00B54D51" w:rsidRPr="00037AD4" w:rsidRDefault="00B54D51" w:rsidP="00513EB7">
      <w:pPr>
        <w:rPr>
          <w:rFonts w:asciiTheme="minorHAnsi" w:hAnsiTheme="minorHAnsi" w:cstheme="minorHAnsi"/>
        </w:rPr>
      </w:pPr>
      <w:r w:rsidRPr="00037AD4">
        <w:rPr>
          <w:rFonts w:asciiTheme="minorHAnsi" w:hAnsiTheme="minorHAnsi" w:cstheme="minorHAnsi"/>
        </w:rPr>
        <w:t xml:space="preserve">The difference between the amount of change reported for the “self-care” dimension by both respondents is shown in Figure 15a and 15b below. Similarly, to “mobility”, the variability in scores is larger for PwD-staff proxy dyads. For PwD-informal proxy dyads, 48% of scores are at zero compared with 25% for PwD-staff proxy dyads. 36% of PwD-staff proxy scores are positive, which indicates a greater proportion of pessimistic change scores for staff proxies, compared with only 17% of PwD-informal proxy positive scores. </w:t>
      </w:r>
    </w:p>
    <w:p w14:paraId="1AA76F7C" w14:textId="77777777" w:rsidR="00B54D51" w:rsidRPr="00037AD4" w:rsidRDefault="00B54D51" w:rsidP="00513EB7">
      <w:pPr>
        <w:rPr>
          <w:rFonts w:asciiTheme="minorHAnsi" w:hAnsiTheme="minorHAnsi" w:cstheme="minorHAnsi"/>
          <w:u w:val="single"/>
        </w:rPr>
      </w:pPr>
    </w:p>
    <w:p w14:paraId="246CB11B" w14:textId="77777777" w:rsidR="00B54D51" w:rsidRPr="00037AD4" w:rsidRDefault="00B54D51" w:rsidP="00513EB7">
      <w:pPr>
        <w:rPr>
          <w:rFonts w:asciiTheme="minorHAnsi" w:hAnsiTheme="minorHAnsi" w:cstheme="minorHAnsi"/>
          <w:b/>
          <w:bCs/>
          <w:i/>
          <w:iCs/>
        </w:rPr>
      </w:pPr>
      <w:r w:rsidRPr="00037AD4">
        <w:rPr>
          <w:rFonts w:asciiTheme="minorHAnsi" w:hAnsiTheme="minorHAnsi" w:cstheme="minorHAnsi"/>
          <w:b/>
          <w:bCs/>
          <w:i/>
          <w:iCs/>
        </w:rPr>
        <w:t>Figure 15a, bar chart for differen</w:t>
      </w:r>
      <w:r>
        <w:rPr>
          <w:rFonts w:asciiTheme="minorHAnsi" w:hAnsiTheme="minorHAnsi" w:cstheme="minorHAnsi"/>
          <w:b/>
          <w:bCs/>
          <w:i/>
          <w:iCs/>
        </w:rPr>
        <w:t>ce</w:t>
      </w:r>
      <w:r w:rsidRPr="00037AD4">
        <w:rPr>
          <w:rFonts w:asciiTheme="minorHAnsi" w:hAnsiTheme="minorHAnsi" w:cstheme="minorHAnsi"/>
          <w:b/>
          <w:bCs/>
          <w:i/>
          <w:iCs/>
        </w:rPr>
        <w:t xml:space="preserve"> between change score for self-care, PwD-informal proxy dyads</w:t>
      </w:r>
    </w:p>
    <w:p w14:paraId="78D3101A" w14:textId="77777777" w:rsidR="00B54D51" w:rsidRPr="00037AD4" w:rsidRDefault="00B54D51">
      <w:pPr>
        <w:rPr>
          <w:rFonts w:asciiTheme="minorHAnsi" w:hAnsiTheme="minorHAnsi" w:cstheme="minorHAnsi"/>
          <w:b/>
          <w:bCs/>
          <w:u w:val="single"/>
        </w:rPr>
      </w:pPr>
    </w:p>
    <w:p w14:paraId="541DB798" w14:textId="4BAC92C3" w:rsidR="00B54D51" w:rsidRPr="00037AD4" w:rsidRDefault="00B82EB5" w:rsidP="00513EB7">
      <w:pPr>
        <w:rPr>
          <w:rFonts w:asciiTheme="minorHAnsi" w:hAnsiTheme="minorHAnsi" w:cstheme="minorHAnsi"/>
          <w:u w:val="single"/>
        </w:rPr>
      </w:pPr>
      <w:r w:rsidRPr="00037AD4">
        <w:rPr>
          <w:rFonts w:asciiTheme="minorHAnsi" w:hAnsiTheme="minorHAnsi" w:cstheme="minorHAnsi"/>
          <w:noProof/>
          <w:lang w:eastAsia="zh-CN"/>
        </w:rPr>
        <w:drawing>
          <wp:inline distT="0" distB="0" distL="0" distR="0" wp14:anchorId="36872200" wp14:editId="43AA69B0">
            <wp:extent cx="3960000" cy="2880000"/>
            <wp:effectExtent l="0" t="0" r="2540" b="3175"/>
            <wp:docPr id="89" name="Picture 89" descr="A graph with numbers and a bar&#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 name="Picture 89" descr="A graph with numbers and a bar&#10;&#10;Description automatically generated"/>
                    <pic:cNvPicPr/>
                  </pic:nvPicPr>
                  <pic:blipFill>
                    <a:blip r:embed="rId36">
                      <a:extLst>
                        <a:ext uri="{28A0092B-C50C-407E-A947-70E740481C1C}">
                          <a14:useLocalDpi xmlns:a14="http://schemas.microsoft.com/office/drawing/2010/main" val="0"/>
                        </a:ext>
                      </a:extLst>
                    </a:blip>
                    <a:stretch>
                      <a:fillRect/>
                    </a:stretch>
                  </pic:blipFill>
                  <pic:spPr>
                    <a:xfrm>
                      <a:off x="0" y="0"/>
                      <a:ext cx="3960000" cy="2880000"/>
                    </a:xfrm>
                    <a:prstGeom prst="rect">
                      <a:avLst/>
                    </a:prstGeom>
                  </pic:spPr>
                </pic:pic>
              </a:graphicData>
            </a:graphic>
          </wp:inline>
        </w:drawing>
      </w:r>
    </w:p>
    <w:p w14:paraId="13192FB1" w14:textId="77777777" w:rsidR="00B54D51" w:rsidRPr="00037AD4" w:rsidRDefault="00B54D51" w:rsidP="00513EB7">
      <w:pPr>
        <w:rPr>
          <w:rFonts w:asciiTheme="minorHAnsi" w:hAnsiTheme="minorHAnsi" w:cstheme="minorHAnsi"/>
          <w:u w:val="single"/>
        </w:rPr>
      </w:pPr>
    </w:p>
    <w:p w14:paraId="48475B3D" w14:textId="1C3B1FD6" w:rsidR="00B54D51" w:rsidRPr="00037AD4" w:rsidRDefault="00B54D51" w:rsidP="00513EB7">
      <w:pPr>
        <w:rPr>
          <w:rFonts w:asciiTheme="minorHAnsi" w:hAnsiTheme="minorHAnsi" w:cstheme="minorHAnsi"/>
          <w:b/>
          <w:bCs/>
          <w:i/>
          <w:iCs/>
        </w:rPr>
      </w:pPr>
      <w:r w:rsidRPr="00037AD4">
        <w:rPr>
          <w:rFonts w:asciiTheme="minorHAnsi" w:hAnsiTheme="minorHAnsi" w:cstheme="minorHAnsi"/>
          <w:b/>
          <w:bCs/>
          <w:i/>
          <w:iCs/>
        </w:rPr>
        <w:lastRenderedPageBreak/>
        <w:t>Figure 15b, bar chart for differen</w:t>
      </w:r>
      <w:r>
        <w:rPr>
          <w:rFonts w:asciiTheme="minorHAnsi" w:hAnsiTheme="minorHAnsi" w:cstheme="minorHAnsi"/>
          <w:b/>
          <w:bCs/>
          <w:i/>
          <w:iCs/>
        </w:rPr>
        <w:t>ce</w:t>
      </w:r>
      <w:r w:rsidRPr="00037AD4">
        <w:rPr>
          <w:rFonts w:asciiTheme="minorHAnsi" w:hAnsiTheme="minorHAnsi" w:cstheme="minorHAnsi"/>
          <w:b/>
          <w:bCs/>
          <w:i/>
          <w:iCs/>
        </w:rPr>
        <w:t xml:space="preserve"> between change score for </w:t>
      </w:r>
      <w:r w:rsidR="002A4B43">
        <w:rPr>
          <w:rFonts w:asciiTheme="minorHAnsi" w:hAnsiTheme="minorHAnsi" w:cstheme="minorHAnsi"/>
          <w:b/>
          <w:bCs/>
          <w:i/>
          <w:iCs/>
        </w:rPr>
        <w:t>self-care</w:t>
      </w:r>
      <w:r w:rsidRPr="00037AD4">
        <w:rPr>
          <w:rFonts w:asciiTheme="minorHAnsi" w:hAnsiTheme="minorHAnsi" w:cstheme="minorHAnsi"/>
          <w:b/>
          <w:bCs/>
          <w:i/>
          <w:iCs/>
        </w:rPr>
        <w:t xml:space="preserve">, PwD-staff proxy dyads </w:t>
      </w:r>
    </w:p>
    <w:p w14:paraId="74840701" w14:textId="77777777" w:rsidR="00B54D51" w:rsidRPr="00037AD4" w:rsidRDefault="00B54D51" w:rsidP="00513EB7">
      <w:pPr>
        <w:rPr>
          <w:rFonts w:asciiTheme="minorHAnsi" w:hAnsiTheme="minorHAnsi" w:cstheme="minorHAnsi"/>
          <w:color w:val="FF0000"/>
        </w:rPr>
      </w:pPr>
    </w:p>
    <w:p w14:paraId="080D9506" w14:textId="29F3CDEF" w:rsidR="00B54D51" w:rsidRPr="00037AD4" w:rsidRDefault="00B82EB5" w:rsidP="00513EB7">
      <w:pPr>
        <w:rPr>
          <w:rFonts w:asciiTheme="minorHAnsi" w:hAnsiTheme="minorHAnsi" w:cstheme="minorHAnsi"/>
        </w:rPr>
      </w:pPr>
      <w:r>
        <w:rPr>
          <w:rFonts w:asciiTheme="minorHAnsi" w:hAnsiTheme="minorHAnsi" w:cstheme="minorHAnsi"/>
          <w:noProof/>
        </w:rPr>
        <w:drawing>
          <wp:inline distT="0" distB="0" distL="0" distR="0" wp14:anchorId="09301521" wp14:editId="292004CC">
            <wp:extent cx="3960000" cy="2880000"/>
            <wp:effectExtent l="0" t="0" r="2540" b="3175"/>
            <wp:docPr id="67" name="Picture 67" descr="A graph with numbers and lines&#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Picture 67" descr="A graph with numbers and lines&#10;&#10;Description automatically generated"/>
                    <pic:cNvPicPr/>
                  </pic:nvPicPr>
                  <pic:blipFill>
                    <a:blip r:embed="rId37">
                      <a:extLst>
                        <a:ext uri="{28A0092B-C50C-407E-A947-70E740481C1C}">
                          <a14:useLocalDpi xmlns:a14="http://schemas.microsoft.com/office/drawing/2010/main" val="0"/>
                        </a:ext>
                      </a:extLst>
                    </a:blip>
                    <a:stretch>
                      <a:fillRect/>
                    </a:stretch>
                  </pic:blipFill>
                  <pic:spPr>
                    <a:xfrm>
                      <a:off x="0" y="0"/>
                      <a:ext cx="3960000" cy="2880000"/>
                    </a:xfrm>
                    <a:prstGeom prst="rect">
                      <a:avLst/>
                    </a:prstGeom>
                  </pic:spPr>
                </pic:pic>
              </a:graphicData>
            </a:graphic>
          </wp:inline>
        </w:drawing>
      </w:r>
    </w:p>
    <w:p w14:paraId="4758C65B" w14:textId="77777777" w:rsidR="00B77D6A" w:rsidRDefault="00B77D6A" w:rsidP="00513EB7">
      <w:pPr>
        <w:rPr>
          <w:rFonts w:asciiTheme="majorHAnsi" w:hAnsiTheme="majorHAnsi" w:cstheme="majorHAnsi"/>
          <w:b/>
          <w:bCs/>
          <w:sz w:val="26"/>
          <w:szCs w:val="26"/>
          <w:u w:val="single"/>
        </w:rPr>
      </w:pPr>
    </w:p>
    <w:p w14:paraId="76162C1E" w14:textId="7454F1F1" w:rsidR="00B54D51" w:rsidRPr="00037AD4" w:rsidRDefault="00B54D51" w:rsidP="00513EB7">
      <w:pPr>
        <w:rPr>
          <w:rFonts w:asciiTheme="majorHAnsi" w:hAnsiTheme="majorHAnsi" w:cstheme="majorHAnsi"/>
          <w:b/>
          <w:bCs/>
          <w:sz w:val="26"/>
          <w:szCs w:val="26"/>
          <w:highlight w:val="yellow"/>
          <w:u w:val="single"/>
        </w:rPr>
      </w:pPr>
      <w:r w:rsidRPr="00037AD4">
        <w:rPr>
          <w:rFonts w:asciiTheme="majorHAnsi" w:hAnsiTheme="majorHAnsi" w:cstheme="majorHAnsi"/>
          <w:b/>
          <w:bCs/>
          <w:sz w:val="26"/>
          <w:szCs w:val="26"/>
          <w:u w:val="single"/>
        </w:rPr>
        <w:t>5.4.2.3 Responsiveness evidence – self-care</w:t>
      </w:r>
    </w:p>
    <w:p w14:paraId="4BA771F6" w14:textId="77777777" w:rsidR="00B54D51" w:rsidRPr="00037AD4" w:rsidRDefault="00B54D51" w:rsidP="00513EB7">
      <w:pPr>
        <w:rPr>
          <w:rFonts w:asciiTheme="minorHAnsi" w:hAnsiTheme="minorHAnsi" w:cstheme="minorHAnsi"/>
        </w:rPr>
      </w:pPr>
    </w:p>
    <w:p w14:paraId="71CBB5F8" w14:textId="77777777" w:rsidR="00B54D51" w:rsidRPr="00037AD4" w:rsidRDefault="00B54D51" w:rsidP="00513EB7">
      <w:pPr>
        <w:rPr>
          <w:rFonts w:asciiTheme="minorHAnsi" w:hAnsiTheme="minorHAnsi" w:cstheme="minorHAnsi"/>
        </w:rPr>
      </w:pPr>
      <w:r w:rsidRPr="00037AD4">
        <w:rPr>
          <w:rFonts w:asciiTheme="minorHAnsi" w:hAnsiTheme="minorHAnsi" w:cstheme="minorHAnsi"/>
        </w:rPr>
        <w:t xml:space="preserve">As with “mobility”, the effect size estimates produced when exploring “self-care” were of a larger magnitude for staff proxy ratings compared with the other respondents. As shown in </w:t>
      </w:r>
      <w:hyperlink w:anchor="TableA54c" w:history="1">
        <w:r w:rsidRPr="00485E41">
          <w:rPr>
            <w:rStyle w:val="Hyperlink"/>
            <w:rFonts w:asciiTheme="minorHAnsi" w:hAnsiTheme="minorHAnsi" w:cstheme="minorHAnsi"/>
            <w:color w:val="auto"/>
            <w:u w:val="none"/>
          </w:rPr>
          <w:t>Table A5.4c of Appendix 5.4</w:t>
        </w:r>
      </w:hyperlink>
      <w:r w:rsidRPr="00485E41">
        <w:rPr>
          <w:rFonts w:asciiTheme="minorHAnsi" w:hAnsiTheme="minorHAnsi" w:cstheme="minorHAnsi"/>
        </w:rPr>
        <w:t xml:space="preserve">, </w:t>
      </w:r>
      <w:r w:rsidRPr="00037AD4">
        <w:rPr>
          <w:rFonts w:asciiTheme="minorHAnsi" w:hAnsiTheme="minorHAnsi" w:cstheme="minorHAnsi"/>
        </w:rPr>
        <w:t>for people with dementia whose CDR had progressed, moderate-to-large effect sizes were found with informal proxy (-0.66) and staff proxy (-0.72) reports of “self-care”. Where function had progressed, again staff proxy reports of “self-care” produce a larger effect size of -0.61, compared with the other respondents (although the informal proxy effect size estimate is near moderate at -0.49, and the PwD effect size estimate was -0.19). Where NPI score had worsened, only staff proxy reports reached the responsiveness threshold (at -0.55).</w:t>
      </w:r>
    </w:p>
    <w:p w14:paraId="2F10CF80" w14:textId="77777777" w:rsidR="00B54D51" w:rsidRPr="00037AD4" w:rsidRDefault="00B54D51" w:rsidP="00513EB7">
      <w:pPr>
        <w:rPr>
          <w:rFonts w:asciiTheme="minorHAnsi" w:hAnsiTheme="minorHAnsi" w:cstheme="minorHAnsi"/>
        </w:rPr>
      </w:pPr>
    </w:p>
    <w:p w14:paraId="32F52443" w14:textId="77777777" w:rsidR="00B54D51" w:rsidRPr="00037AD4" w:rsidRDefault="00B54D51" w:rsidP="00513EB7">
      <w:pPr>
        <w:rPr>
          <w:rFonts w:asciiTheme="minorHAnsi" w:hAnsiTheme="minorHAnsi" w:cstheme="minorHAnsi"/>
        </w:rPr>
      </w:pPr>
      <w:r w:rsidRPr="00037AD4">
        <w:rPr>
          <w:rFonts w:asciiTheme="minorHAnsi" w:hAnsiTheme="minorHAnsi" w:cstheme="minorHAnsi"/>
        </w:rPr>
        <w:t xml:space="preserve">For the correlation coefficients between the changes in “self-care” dimension reports and the dementia symptom measure scores (shown in </w:t>
      </w:r>
      <w:hyperlink w:anchor="TableA54i" w:history="1">
        <w:r w:rsidRPr="00485E41">
          <w:rPr>
            <w:rStyle w:val="Hyperlink"/>
            <w:rFonts w:asciiTheme="minorHAnsi" w:hAnsiTheme="minorHAnsi" w:cstheme="minorHAnsi"/>
            <w:color w:val="auto"/>
            <w:u w:val="none"/>
          </w:rPr>
          <w:t>Table A5.4i of Appendix 5.4</w:t>
        </w:r>
      </w:hyperlink>
      <w:r w:rsidRPr="00485E41">
        <w:rPr>
          <w:rFonts w:asciiTheme="minorHAnsi" w:hAnsiTheme="minorHAnsi" w:cstheme="minorHAnsi"/>
        </w:rPr>
        <w:t xml:space="preserve">), proxy </w:t>
      </w:r>
      <w:r w:rsidRPr="00037AD4">
        <w:rPr>
          <w:rFonts w:asciiTheme="minorHAnsi" w:hAnsiTheme="minorHAnsi" w:cstheme="minorHAnsi"/>
        </w:rPr>
        <w:t xml:space="preserve">correlations were always larger. The most notable correlations were those between changes in “self-care” and the functional measures of BADLS and IADL-PSMS, where informal proxy correlations of r=0.47 and r=-0.46 were found respectively. It can be seen that within the mild dementia subgroup, changes in these functional measures produced larger correlation coefficients compared with moderate dementia (for associations with proxy ratings: with BADLS, r=0.50 in mild dementia vs. r=0.39 in moderate dementia; with IADL-PSMS, r=-0.39 in mild dementia vs. r=-0.34 in moderate dementia). </w:t>
      </w:r>
    </w:p>
    <w:p w14:paraId="017CF21D" w14:textId="77777777" w:rsidR="00B54D51" w:rsidRPr="00037AD4" w:rsidRDefault="00B54D51" w:rsidP="004755C1">
      <w:pPr>
        <w:rPr>
          <w:rFonts w:asciiTheme="minorHAnsi" w:hAnsiTheme="minorHAnsi" w:cstheme="minorHAnsi"/>
        </w:rPr>
      </w:pPr>
    </w:p>
    <w:p w14:paraId="3160F8DC" w14:textId="77777777" w:rsidR="00B54D51" w:rsidRPr="00037AD4" w:rsidRDefault="00B54D51" w:rsidP="007A43F9">
      <w:pPr>
        <w:pStyle w:val="Heading3"/>
      </w:pPr>
      <w:bookmarkStart w:id="361" w:name="_Toc175742328"/>
      <w:r w:rsidRPr="00037AD4">
        <w:t>5.4.3 Usual activities</w:t>
      </w:r>
      <w:bookmarkEnd w:id="361"/>
      <w:r w:rsidRPr="00037AD4">
        <w:t xml:space="preserve"> </w:t>
      </w:r>
    </w:p>
    <w:p w14:paraId="7037DDD9" w14:textId="77777777" w:rsidR="00B54D51" w:rsidRPr="00037AD4" w:rsidRDefault="00B54D51" w:rsidP="00401029">
      <w:pPr>
        <w:rPr>
          <w:rFonts w:asciiTheme="minorHAnsi" w:hAnsiTheme="minorHAnsi" w:cstheme="minorHAnsi"/>
          <w:b/>
          <w:bCs/>
          <w:u w:val="single"/>
        </w:rPr>
      </w:pPr>
    </w:p>
    <w:p w14:paraId="2A46AF94" w14:textId="77777777" w:rsidR="00B54D51" w:rsidRPr="00037AD4" w:rsidRDefault="00B54D51" w:rsidP="00401029">
      <w:pPr>
        <w:rPr>
          <w:rFonts w:asciiTheme="minorHAnsi" w:hAnsiTheme="minorHAnsi" w:cstheme="minorHAnsi"/>
        </w:rPr>
      </w:pPr>
      <w:r w:rsidRPr="00037AD4">
        <w:rPr>
          <w:rFonts w:asciiTheme="minorHAnsi" w:hAnsiTheme="minorHAnsi" w:cstheme="minorHAnsi"/>
        </w:rPr>
        <w:t xml:space="preserve">Figure 16 shows the direction of change for reports provided for the “usual activities” dimension. It can be seen that reports by both proxy types most closely align with each other, with less than 50% of both types of proxy reporting no change in this dimension and </w:t>
      </w:r>
      <w:r w:rsidRPr="00037AD4">
        <w:rPr>
          <w:rFonts w:asciiTheme="minorHAnsi" w:hAnsiTheme="minorHAnsi" w:cstheme="minorHAnsi"/>
        </w:rPr>
        <w:lastRenderedPageBreak/>
        <w:t xml:space="preserve">over 33% reporting a worsening; compared to people with dementia, where over 50% have reported no change in their condition and fewer than 30% have reported a worsening in this dimension over time. </w:t>
      </w:r>
    </w:p>
    <w:p w14:paraId="74CA859F" w14:textId="77777777" w:rsidR="00B54D51" w:rsidRPr="00037AD4" w:rsidRDefault="00B54D51" w:rsidP="00401029">
      <w:pPr>
        <w:rPr>
          <w:rFonts w:asciiTheme="minorHAnsi" w:hAnsiTheme="minorHAnsi" w:cstheme="minorHAnsi"/>
        </w:rPr>
      </w:pPr>
    </w:p>
    <w:p w14:paraId="18752232" w14:textId="77777777" w:rsidR="00B54D51" w:rsidRPr="00037AD4" w:rsidRDefault="00B54D51" w:rsidP="00401029">
      <w:pPr>
        <w:rPr>
          <w:rFonts w:asciiTheme="minorHAnsi" w:hAnsiTheme="minorHAnsi" w:cstheme="minorHAnsi"/>
          <w:b/>
          <w:bCs/>
          <w:i/>
          <w:iCs/>
        </w:rPr>
      </w:pPr>
      <w:r w:rsidRPr="00037AD4">
        <w:rPr>
          <w:rFonts w:asciiTheme="minorHAnsi" w:hAnsiTheme="minorHAnsi" w:cstheme="minorHAnsi"/>
          <w:b/>
          <w:bCs/>
          <w:i/>
          <w:iCs/>
        </w:rPr>
        <w:t xml:space="preserve">Figure 16, Direction of usual activities change from T0 to T2 </w:t>
      </w:r>
    </w:p>
    <w:p w14:paraId="60AD8E56" w14:textId="77777777" w:rsidR="00B54D51" w:rsidRPr="00037AD4" w:rsidRDefault="00B54D51" w:rsidP="00401029">
      <w:pPr>
        <w:rPr>
          <w:rFonts w:asciiTheme="minorHAnsi" w:hAnsiTheme="minorHAnsi" w:cstheme="minorHAnsi"/>
        </w:rPr>
      </w:pPr>
    </w:p>
    <w:p w14:paraId="7D3A5F97" w14:textId="77777777" w:rsidR="00B54D51" w:rsidRPr="00037AD4" w:rsidRDefault="00B54D51" w:rsidP="00401029">
      <w:pPr>
        <w:rPr>
          <w:rFonts w:asciiTheme="minorHAnsi" w:hAnsiTheme="minorHAnsi" w:cstheme="minorHAnsi"/>
        </w:rPr>
      </w:pPr>
      <w:r w:rsidRPr="00037AD4">
        <w:rPr>
          <w:rFonts w:asciiTheme="minorHAnsi" w:hAnsiTheme="minorHAnsi" w:cstheme="minorHAnsi"/>
          <w:noProof/>
        </w:rPr>
        <w:drawing>
          <wp:inline distT="0" distB="0" distL="0" distR="0" wp14:anchorId="79EA79C4" wp14:editId="334E5442">
            <wp:extent cx="4464000" cy="2448000"/>
            <wp:effectExtent l="0" t="0" r="6985" b="15875"/>
            <wp:docPr id="53" name="Chart 53">
              <a:extLst xmlns:a="http://schemas.openxmlformats.org/drawingml/2006/main">
                <a:ext uri="{FF2B5EF4-FFF2-40B4-BE49-F238E27FC236}">
                  <a16:creationId xmlns:a16="http://schemas.microsoft.com/office/drawing/2014/main" id="{5E3DAFE3-9A8D-C698-BBBE-6848847308F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1B97688E" w14:textId="77777777" w:rsidR="00673F38" w:rsidRDefault="00673F38" w:rsidP="00401029">
      <w:pPr>
        <w:rPr>
          <w:rFonts w:asciiTheme="minorHAnsi" w:hAnsiTheme="minorHAnsi" w:cstheme="minorHAnsi"/>
        </w:rPr>
      </w:pPr>
    </w:p>
    <w:p w14:paraId="0D905D2E" w14:textId="0630DCE8" w:rsidR="00B54D51" w:rsidRPr="00485E41" w:rsidRDefault="00B54D51" w:rsidP="00401029">
      <w:pPr>
        <w:rPr>
          <w:rFonts w:asciiTheme="minorHAnsi" w:hAnsiTheme="minorHAnsi" w:cstheme="minorHAnsi"/>
        </w:rPr>
      </w:pPr>
      <w:r w:rsidRPr="00037AD4">
        <w:rPr>
          <w:rFonts w:asciiTheme="minorHAnsi" w:hAnsiTheme="minorHAnsi" w:cstheme="minorHAnsi"/>
        </w:rPr>
        <w:t xml:space="preserve">The majority of PwD-informal proxy dyads reported change in “usual activities” in opposing directions (over 65%), of which, a large proportion (over 60%) were pessimistic ratings from the proxy. For PwD-staff proxy dyads, the direction of dimension reporting was near </w:t>
      </w:r>
      <w:r w:rsidRPr="00485E41">
        <w:rPr>
          <w:rFonts w:asciiTheme="minorHAnsi" w:hAnsiTheme="minorHAnsi" w:cstheme="minorHAnsi"/>
        </w:rPr>
        <w:t xml:space="preserve">balanced (50% either way); of PwD-staff proxy dyads that reported change in the same direction, the majority reported a matched no change in “usual activities” from T0 to T2. </w:t>
      </w:r>
      <w:hyperlink w:anchor="A51" w:history="1">
        <w:r w:rsidRPr="00485E41">
          <w:rPr>
            <w:rStyle w:val="Hyperlink"/>
            <w:rFonts w:asciiTheme="minorHAnsi" w:hAnsiTheme="minorHAnsi" w:cstheme="minorHAnsi"/>
            <w:color w:val="auto"/>
            <w:u w:val="none"/>
          </w:rPr>
          <w:t>See Appendix 5.1</w:t>
        </w:r>
      </w:hyperlink>
      <w:r w:rsidRPr="00485E41">
        <w:rPr>
          <w:rFonts w:asciiTheme="minorHAnsi" w:hAnsiTheme="minorHAnsi" w:cstheme="minorHAnsi"/>
        </w:rPr>
        <w:t xml:space="preserve"> for this information.  </w:t>
      </w:r>
    </w:p>
    <w:p w14:paraId="765374BD" w14:textId="77777777" w:rsidR="00B54D51" w:rsidRPr="00485E41" w:rsidRDefault="00B54D51" w:rsidP="00401029">
      <w:pPr>
        <w:rPr>
          <w:rFonts w:asciiTheme="minorHAnsi" w:hAnsiTheme="minorHAnsi" w:cstheme="minorHAnsi"/>
        </w:rPr>
      </w:pPr>
    </w:p>
    <w:p w14:paraId="7AB27E5A" w14:textId="77777777" w:rsidR="00B54D51" w:rsidRPr="00485E41" w:rsidRDefault="00B54D51" w:rsidP="00401029">
      <w:pPr>
        <w:rPr>
          <w:rFonts w:asciiTheme="minorHAnsi" w:hAnsiTheme="minorHAnsi" w:cstheme="minorHAnsi"/>
        </w:rPr>
      </w:pPr>
      <w:r w:rsidRPr="00485E41">
        <w:rPr>
          <w:rFonts w:asciiTheme="minorHAnsi" w:hAnsiTheme="minorHAnsi" w:cstheme="minorHAnsi"/>
        </w:rPr>
        <w:t>Ceiling effects were observed for the “usual activities” dimension for both PwD-self ratings, and staff proxy ratings (over 60% for both). This dimension also exhibited evidence of floor effects via informal (16%) and staff (15%) proxy ratings according to the predefined thresholds (</w:t>
      </w:r>
      <w:hyperlink w:anchor="A52" w:history="1">
        <w:r w:rsidRPr="00485E41">
          <w:rPr>
            <w:rStyle w:val="Hyperlink"/>
            <w:rFonts w:asciiTheme="minorHAnsi" w:hAnsiTheme="minorHAnsi" w:cstheme="minorHAnsi"/>
            <w:color w:val="auto"/>
            <w:u w:val="none"/>
          </w:rPr>
          <w:t>see Appendix 5.2</w:t>
        </w:r>
      </w:hyperlink>
      <w:r w:rsidRPr="00485E41">
        <w:rPr>
          <w:rFonts w:asciiTheme="minorHAnsi" w:hAnsiTheme="minorHAnsi" w:cstheme="minorHAnsi"/>
        </w:rPr>
        <w:t xml:space="preserve">). </w:t>
      </w:r>
    </w:p>
    <w:p w14:paraId="2CA6411A" w14:textId="77777777" w:rsidR="00B54D51" w:rsidRPr="00037AD4" w:rsidRDefault="00B54D51" w:rsidP="004755C1">
      <w:pPr>
        <w:rPr>
          <w:rFonts w:asciiTheme="minorHAnsi" w:hAnsiTheme="minorHAnsi" w:cstheme="minorHAnsi"/>
        </w:rPr>
      </w:pPr>
    </w:p>
    <w:p w14:paraId="011C4669" w14:textId="77777777" w:rsidR="00B54D51" w:rsidRPr="00037AD4" w:rsidRDefault="00B54D51" w:rsidP="00401029">
      <w:pPr>
        <w:rPr>
          <w:rFonts w:asciiTheme="majorHAnsi" w:hAnsiTheme="majorHAnsi" w:cstheme="majorHAnsi"/>
          <w:sz w:val="26"/>
          <w:szCs w:val="26"/>
        </w:rPr>
      </w:pPr>
      <w:r w:rsidRPr="00037AD4">
        <w:rPr>
          <w:rFonts w:asciiTheme="majorHAnsi" w:hAnsiTheme="majorHAnsi" w:cstheme="majorHAnsi"/>
          <w:b/>
          <w:bCs/>
          <w:sz w:val="26"/>
          <w:szCs w:val="26"/>
          <w:u w:val="single"/>
        </w:rPr>
        <w:t xml:space="preserve">5.4.3.1 Usual activities change alongside dementia symptom measures  </w:t>
      </w:r>
    </w:p>
    <w:p w14:paraId="34C5D3F5" w14:textId="77777777" w:rsidR="00B54D51" w:rsidRPr="00037AD4" w:rsidRDefault="00B54D51" w:rsidP="00401029">
      <w:pPr>
        <w:rPr>
          <w:rFonts w:asciiTheme="minorHAnsi" w:hAnsiTheme="minorHAnsi" w:cstheme="minorHAnsi"/>
        </w:rPr>
      </w:pPr>
    </w:p>
    <w:p w14:paraId="24611F1F" w14:textId="77777777" w:rsidR="00B54D51" w:rsidRPr="00485E41" w:rsidRDefault="00B54D51" w:rsidP="00401029">
      <w:pPr>
        <w:rPr>
          <w:rFonts w:asciiTheme="minorHAnsi" w:hAnsiTheme="minorHAnsi" w:cstheme="minorHAnsi"/>
        </w:rPr>
      </w:pPr>
      <w:r w:rsidRPr="00037AD4">
        <w:rPr>
          <w:rFonts w:asciiTheme="minorHAnsi" w:hAnsiTheme="minorHAnsi" w:cstheme="minorHAnsi"/>
        </w:rPr>
        <w:t xml:space="preserve">Dyadic change in “usual activities” was explored alongside change in functional status, behaviour/mood and CDR, </w:t>
      </w:r>
      <w:r w:rsidRPr="00485E41">
        <w:rPr>
          <w:rFonts w:asciiTheme="minorHAnsi" w:hAnsiTheme="minorHAnsi" w:cstheme="minorHAnsi"/>
        </w:rPr>
        <w:t xml:space="preserve">refer to </w:t>
      </w:r>
      <w:hyperlink w:anchor="A5" w:history="1">
        <w:r w:rsidRPr="00485E41">
          <w:rPr>
            <w:rStyle w:val="Hyperlink"/>
            <w:rFonts w:asciiTheme="minorHAnsi" w:hAnsiTheme="minorHAnsi" w:cstheme="minorHAnsi"/>
            <w:color w:val="auto"/>
            <w:u w:val="none"/>
          </w:rPr>
          <w:t>Appendix 5</w:t>
        </w:r>
      </w:hyperlink>
      <w:r w:rsidRPr="00485E41">
        <w:rPr>
          <w:rFonts w:asciiTheme="minorHAnsi" w:hAnsiTheme="minorHAnsi" w:cstheme="minorHAnsi"/>
        </w:rPr>
        <w:t xml:space="preserve"> for outcome summaries. </w:t>
      </w:r>
    </w:p>
    <w:p w14:paraId="3CF3A152" w14:textId="77777777" w:rsidR="00B54D51" w:rsidRPr="00037AD4" w:rsidRDefault="00B54D51" w:rsidP="00401029">
      <w:pPr>
        <w:rPr>
          <w:rFonts w:asciiTheme="minorHAnsi" w:hAnsiTheme="minorHAnsi" w:cstheme="minorHAnsi"/>
        </w:rPr>
      </w:pPr>
    </w:p>
    <w:p w14:paraId="698099B2" w14:textId="77777777" w:rsidR="00B54D51" w:rsidRPr="00037AD4" w:rsidRDefault="00B54D51" w:rsidP="00401029">
      <w:pPr>
        <w:rPr>
          <w:rFonts w:asciiTheme="minorHAnsi" w:hAnsiTheme="minorHAnsi" w:cstheme="minorHAnsi"/>
        </w:rPr>
      </w:pPr>
      <w:r w:rsidRPr="00037AD4">
        <w:rPr>
          <w:rFonts w:asciiTheme="minorHAnsi" w:hAnsiTheme="minorHAnsi" w:cstheme="minorHAnsi"/>
        </w:rPr>
        <w:t xml:space="preserve">Figure 17a displays the associations for functional status and shows that informal proxies were the respondent type for which the greatest proportion of worsened “usual activities” reports corresponded with worsened functional status of the PwD (74%, vs. 63% for PwD and 37% for staff proxies). 58% of staff proxies reported a worsening in “usual activities” where the PwD’s function remained stable. However, the greatest proportion of stable “usual activities” ratings in line with no change in functional status was also reported by staff proxies (53%, vs. 28% for people with dementia and 30% for informal proxies). The relative largest proportion of informal proxies provided an improved “usual activities” dimension score in line with improved functional status (17%, vs. 12% of people with </w:t>
      </w:r>
      <w:r w:rsidRPr="00037AD4">
        <w:rPr>
          <w:rFonts w:asciiTheme="minorHAnsi" w:hAnsiTheme="minorHAnsi" w:cstheme="minorHAnsi"/>
        </w:rPr>
        <w:lastRenderedPageBreak/>
        <w:t xml:space="preserve">dementia and less than 2% for staff proxies); 68% of PwD reports of an improved “usual activities” dimension score were where function had worsened for the PwD. 59% of staff proxy reports of an improved “usual activities” dimension score were for people with dementia whose function had remained the same. </w:t>
      </w:r>
    </w:p>
    <w:p w14:paraId="05952E2A" w14:textId="77777777" w:rsidR="00B54D51" w:rsidRPr="00037AD4" w:rsidRDefault="00B54D51" w:rsidP="004755C1">
      <w:pPr>
        <w:rPr>
          <w:rFonts w:asciiTheme="minorHAnsi" w:hAnsiTheme="minorHAnsi" w:cstheme="minorHAnsi"/>
        </w:rPr>
      </w:pPr>
    </w:p>
    <w:p w14:paraId="4718B555" w14:textId="77777777" w:rsidR="00B54D51" w:rsidRPr="00037AD4" w:rsidRDefault="00B54D51" w:rsidP="00401029">
      <w:pPr>
        <w:rPr>
          <w:rFonts w:asciiTheme="minorHAnsi" w:hAnsiTheme="minorHAnsi" w:cstheme="minorHAnsi"/>
        </w:rPr>
      </w:pPr>
      <w:r w:rsidRPr="00037AD4">
        <w:rPr>
          <w:rFonts w:asciiTheme="minorHAnsi" w:hAnsiTheme="minorHAnsi" w:cstheme="minorHAnsi"/>
        </w:rPr>
        <w:t xml:space="preserve">Figure 17b displays the associations between “usual activities” reporting and behaviour/mood status and shows a similar pattern for reporting for all three categories of respondent. Where reports reflect a worsening in “usual activities” scores, 51%/53%/46% of people with dementia, informal and staff proxy’s reports are where the PwD’s behaviour/mood status has worsened; similarly, 42%/40%/47% of people with dementia, informal and staff proxy’s reports of worsened “usual activities” lay where the PwD’s behaviour/mood status has improved. Where respondents have reported an improvement in “usual activities”, over 50% of these ratings were provided by informal and staff proxies where the PwD’s behaviour/mood had improved, vs. 43% for PwD-self ratings. </w:t>
      </w:r>
    </w:p>
    <w:p w14:paraId="19F160F0" w14:textId="77777777" w:rsidR="00B54D51" w:rsidRPr="00037AD4" w:rsidRDefault="00B54D51" w:rsidP="00401029">
      <w:pPr>
        <w:rPr>
          <w:rFonts w:asciiTheme="minorHAnsi" w:hAnsiTheme="minorHAnsi" w:cstheme="minorHAnsi"/>
          <w:color w:val="FF0000"/>
        </w:rPr>
      </w:pPr>
    </w:p>
    <w:p w14:paraId="5C208F9B" w14:textId="77777777" w:rsidR="00B54D51" w:rsidRPr="00037AD4" w:rsidRDefault="00B54D51" w:rsidP="00401029">
      <w:pPr>
        <w:rPr>
          <w:rFonts w:asciiTheme="minorHAnsi" w:hAnsiTheme="minorHAnsi" w:cstheme="minorHAnsi"/>
        </w:rPr>
      </w:pPr>
      <w:r w:rsidRPr="00037AD4">
        <w:rPr>
          <w:rFonts w:asciiTheme="minorHAnsi" w:hAnsiTheme="minorHAnsi" w:cstheme="minorHAnsi"/>
        </w:rPr>
        <w:t>Figure 17c displays the associations for CDR status and shows that staff proxies were the respondent type for which the greatest proportion of worsened “usual activities” reports corresponded with a worsening in CDR status (51%, vs. 35% of people with dementia and 38% for informal proxies). Where an improvement in “usual activities” was reported by respondents, 74% of people with dementia and informal proxies had provided these ratings where CDR had remained stable for the PwD. Of the stable “usual activities” ratings provided by respondents, the greatest proportion of informal proxy responses were where the PwD’s CDR remained the same over time (74%, vs. 64% for people with dementia and 57% for staff proxies).</w:t>
      </w:r>
    </w:p>
    <w:p w14:paraId="683224E4" w14:textId="77777777" w:rsidR="00B54D51" w:rsidRPr="00037AD4" w:rsidRDefault="00B54D51" w:rsidP="004755C1">
      <w:pPr>
        <w:rPr>
          <w:rFonts w:asciiTheme="minorHAnsi" w:hAnsiTheme="minorHAnsi" w:cstheme="minorHAnsi"/>
        </w:rPr>
      </w:pPr>
    </w:p>
    <w:p w14:paraId="66BE3B22" w14:textId="6FE50D43" w:rsidR="00B54D51" w:rsidRPr="00037AD4" w:rsidRDefault="00B54D51" w:rsidP="00401029">
      <w:pPr>
        <w:rPr>
          <w:rFonts w:asciiTheme="minorHAnsi" w:hAnsiTheme="minorHAnsi" w:cstheme="minorHAnsi"/>
          <w:b/>
          <w:bCs/>
          <w:i/>
          <w:iCs/>
        </w:rPr>
      </w:pPr>
      <w:r w:rsidRPr="00037AD4">
        <w:rPr>
          <w:rFonts w:asciiTheme="minorHAnsi" w:hAnsiTheme="minorHAnsi" w:cstheme="minorHAnsi"/>
          <w:b/>
          <w:bCs/>
          <w:i/>
          <w:iCs/>
        </w:rPr>
        <w:t>Figure 17a, Direction of functional status progression</w:t>
      </w:r>
      <w:r w:rsidR="002A4B43">
        <w:rPr>
          <w:rFonts w:asciiTheme="minorHAnsi" w:hAnsiTheme="minorHAnsi" w:cstheme="minorHAnsi"/>
          <w:b/>
          <w:bCs/>
          <w:i/>
          <w:iCs/>
        </w:rPr>
        <w:t xml:space="preserve"> by usual activities change</w:t>
      </w:r>
    </w:p>
    <w:p w14:paraId="2AEF6E4E" w14:textId="77777777" w:rsidR="00B54D51" w:rsidRPr="00037AD4" w:rsidRDefault="00B54D51" w:rsidP="00401029">
      <w:pPr>
        <w:rPr>
          <w:rFonts w:asciiTheme="minorHAnsi" w:hAnsiTheme="minorHAnsi" w:cstheme="minorHAnsi"/>
        </w:rPr>
      </w:pPr>
    </w:p>
    <w:p w14:paraId="3E676FD7" w14:textId="77777777" w:rsidR="00B54D51" w:rsidRPr="00037AD4" w:rsidRDefault="00B54D51" w:rsidP="00401029">
      <w:pPr>
        <w:rPr>
          <w:rFonts w:asciiTheme="minorHAnsi" w:hAnsiTheme="minorHAnsi" w:cstheme="minorHAnsi"/>
        </w:rPr>
      </w:pPr>
      <w:r w:rsidRPr="00037AD4">
        <w:rPr>
          <w:rFonts w:asciiTheme="minorHAnsi" w:hAnsiTheme="minorHAnsi" w:cstheme="minorHAnsi"/>
          <w:noProof/>
        </w:rPr>
        <w:drawing>
          <wp:inline distT="0" distB="0" distL="0" distR="0" wp14:anchorId="5F032BC9" wp14:editId="17B3A69F">
            <wp:extent cx="6120000" cy="3312000"/>
            <wp:effectExtent l="0" t="0" r="14605" b="15875"/>
            <wp:docPr id="83" name="Chart 83">
              <a:extLst xmlns:a="http://schemas.openxmlformats.org/drawingml/2006/main">
                <a:ext uri="{FF2B5EF4-FFF2-40B4-BE49-F238E27FC236}">
                  <a16:creationId xmlns:a16="http://schemas.microsoft.com/office/drawing/2014/main" id="{65A13565-85EB-1FDC-6514-9C0ADED2B62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213A6C37" w14:textId="77777777" w:rsidR="00B54D51" w:rsidRPr="00037AD4" w:rsidRDefault="00B54D51" w:rsidP="00401029">
      <w:pPr>
        <w:rPr>
          <w:rFonts w:asciiTheme="minorHAnsi" w:hAnsiTheme="minorHAnsi" w:cstheme="minorHAnsi"/>
        </w:rPr>
      </w:pPr>
    </w:p>
    <w:p w14:paraId="0DB09333" w14:textId="77777777" w:rsidR="00673F38" w:rsidRDefault="00673F38" w:rsidP="00401029">
      <w:pPr>
        <w:rPr>
          <w:rFonts w:asciiTheme="minorHAnsi" w:hAnsiTheme="minorHAnsi" w:cstheme="minorHAnsi"/>
          <w:b/>
          <w:bCs/>
          <w:i/>
          <w:iCs/>
        </w:rPr>
      </w:pPr>
    </w:p>
    <w:p w14:paraId="59563D0A" w14:textId="1A92D2E0" w:rsidR="00B54D51" w:rsidRPr="00037AD4" w:rsidRDefault="00B54D51" w:rsidP="00401029">
      <w:pPr>
        <w:rPr>
          <w:rFonts w:asciiTheme="minorHAnsi" w:hAnsiTheme="minorHAnsi" w:cstheme="minorHAnsi"/>
          <w:b/>
          <w:bCs/>
          <w:i/>
          <w:iCs/>
        </w:rPr>
      </w:pPr>
      <w:r w:rsidRPr="00037AD4">
        <w:rPr>
          <w:rFonts w:asciiTheme="minorHAnsi" w:hAnsiTheme="minorHAnsi" w:cstheme="minorHAnsi"/>
          <w:b/>
          <w:bCs/>
          <w:i/>
          <w:iCs/>
        </w:rPr>
        <w:lastRenderedPageBreak/>
        <w:t>Figure 17b, Direction of behaviour/mood status progression</w:t>
      </w:r>
      <w:r w:rsidR="002A4B43">
        <w:rPr>
          <w:rFonts w:asciiTheme="minorHAnsi" w:hAnsiTheme="minorHAnsi" w:cstheme="minorHAnsi"/>
          <w:b/>
          <w:bCs/>
          <w:i/>
          <w:iCs/>
        </w:rPr>
        <w:t xml:space="preserve"> by usual activities change </w:t>
      </w:r>
    </w:p>
    <w:p w14:paraId="5C709846" w14:textId="77777777" w:rsidR="00B54D51" w:rsidRPr="00037AD4" w:rsidRDefault="00B54D51" w:rsidP="00401029">
      <w:pPr>
        <w:rPr>
          <w:rFonts w:asciiTheme="minorHAnsi" w:hAnsiTheme="minorHAnsi" w:cstheme="minorHAnsi"/>
        </w:rPr>
      </w:pPr>
    </w:p>
    <w:p w14:paraId="668EA7FE" w14:textId="77777777" w:rsidR="00B54D51" w:rsidRPr="00037AD4" w:rsidRDefault="00B54D51" w:rsidP="00401029">
      <w:pPr>
        <w:rPr>
          <w:rFonts w:asciiTheme="minorHAnsi" w:hAnsiTheme="minorHAnsi" w:cstheme="minorHAnsi"/>
        </w:rPr>
      </w:pPr>
      <w:r w:rsidRPr="00037AD4">
        <w:rPr>
          <w:rFonts w:asciiTheme="minorHAnsi" w:hAnsiTheme="minorHAnsi" w:cstheme="minorHAnsi"/>
          <w:noProof/>
        </w:rPr>
        <w:drawing>
          <wp:inline distT="0" distB="0" distL="0" distR="0" wp14:anchorId="620BEB1D" wp14:editId="7E47B111">
            <wp:extent cx="6120000" cy="3312000"/>
            <wp:effectExtent l="0" t="0" r="14605" b="15875"/>
            <wp:docPr id="84" name="Chart 84">
              <a:extLst xmlns:a="http://schemas.openxmlformats.org/drawingml/2006/main">
                <a:ext uri="{FF2B5EF4-FFF2-40B4-BE49-F238E27FC236}">
                  <a16:creationId xmlns:a16="http://schemas.microsoft.com/office/drawing/2014/main" id="{63ADA562-C7D1-9046-49B0-128A8C673FD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09CFB110" w14:textId="77777777" w:rsidR="00B54D51" w:rsidRPr="00037AD4" w:rsidRDefault="00B54D51" w:rsidP="00401029">
      <w:pPr>
        <w:rPr>
          <w:rFonts w:asciiTheme="minorHAnsi" w:hAnsiTheme="minorHAnsi" w:cstheme="minorHAnsi"/>
          <w:b/>
          <w:bCs/>
          <w:i/>
          <w:iCs/>
        </w:rPr>
      </w:pPr>
    </w:p>
    <w:p w14:paraId="7FC87AF7" w14:textId="5D128D60" w:rsidR="00B54D51" w:rsidRPr="00037AD4" w:rsidRDefault="00B54D51" w:rsidP="00401029">
      <w:pPr>
        <w:rPr>
          <w:rFonts w:asciiTheme="minorHAnsi" w:hAnsiTheme="minorHAnsi" w:cstheme="minorHAnsi"/>
          <w:b/>
          <w:bCs/>
          <w:i/>
          <w:iCs/>
        </w:rPr>
      </w:pPr>
      <w:r w:rsidRPr="00037AD4">
        <w:rPr>
          <w:rFonts w:asciiTheme="minorHAnsi" w:hAnsiTheme="minorHAnsi" w:cstheme="minorHAnsi"/>
          <w:b/>
          <w:bCs/>
          <w:i/>
          <w:iCs/>
        </w:rPr>
        <w:t>Figure 17c, Direction of</w:t>
      </w:r>
      <w:r w:rsidR="002A4B43">
        <w:rPr>
          <w:rFonts w:asciiTheme="minorHAnsi" w:hAnsiTheme="minorHAnsi" w:cstheme="minorHAnsi"/>
          <w:b/>
          <w:bCs/>
          <w:i/>
          <w:iCs/>
        </w:rPr>
        <w:t xml:space="preserve"> </w:t>
      </w:r>
      <w:r w:rsidRPr="00037AD4">
        <w:rPr>
          <w:rFonts w:asciiTheme="minorHAnsi" w:hAnsiTheme="minorHAnsi" w:cstheme="minorHAnsi"/>
          <w:b/>
          <w:bCs/>
          <w:i/>
          <w:iCs/>
        </w:rPr>
        <w:t>CDR status progression</w:t>
      </w:r>
      <w:r w:rsidR="002A4B43">
        <w:rPr>
          <w:rFonts w:asciiTheme="minorHAnsi" w:hAnsiTheme="minorHAnsi" w:cstheme="minorHAnsi"/>
          <w:b/>
          <w:bCs/>
          <w:i/>
          <w:iCs/>
        </w:rPr>
        <w:t xml:space="preserve"> by usual activities change </w:t>
      </w:r>
    </w:p>
    <w:p w14:paraId="492252DC" w14:textId="77777777" w:rsidR="00B54D51" w:rsidRPr="00037AD4" w:rsidRDefault="00B54D51" w:rsidP="00401029">
      <w:pPr>
        <w:rPr>
          <w:rFonts w:asciiTheme="minorHAnsi" w:hAnsiTheme="minorHAnsi" w:cstheme="minorHAnsi"/>
        </w:rPr>
      </w:pPr>
    </w:p>
    <w:p w14:paraId="44D1A8F3" w14:textId="77777777" w:rsidR="00B54D51" w:rsidRPr="00037AD4" w:rsidRDefault="00B54D51" w:rsidP="00401029">
      <w:pPr>
        <w:rPr>
          <w:rFonts w:asciiTheme="minorHAnsi" w:hAnsiTheme="minorHAnsi" w:cstheme="minorHAnsi"/>
        </w:rPr>
      </w:pPr>
      <w:r w:rsidRPr="00037AD4">
        <w:rPr>
          <w:rFonts w:asciiTheme="minorHAnsi" w:hAnsiTheme="minorHAnsi" w:cstheme="minorHAnsi"/>
          <w:noProof/>
        </w:rPr>
        <w:drawing>
          <wp:inline distT="0" distB="0" distL="0" distR="0" wp14:anchorId="1F60CAD8" wp14:editId="5F528913">
            <wp:extent cx="6120000" cy="3312000"/>
            <wp:effectExtent l="0" t="0" r="14605" b="15875"/>
            <wp:docPr id="65" name="Chart 65">
              <a:extLst xmlns:a="http://schemas.openxmlformats.org/drawingml/2006/main">
                <a:ext uri="{FF2B5EF4-FFF2-40B4-BE49-F238E27FC236}">
                  <a16:creationId xmlns:a16="http://schemas.microsoft.com/office/drawing/2014/main" id="{AFBDCF9F-9B20-8DF9-C9E0-0693191F423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3A4B42C0" w14:textId="77777777" w:rsidR="00B54D51" w:rsidRPr="00037AD4" w:rsidRDefault="00B54D51" w:rsidP="00401029">
      <w:pPr>
        <w:rPr>
          <w:rFonts w:asciiTheme="minorHAnsi" w:hAnsiTheme="minorHAnsi" w:cstheme="minorHAnsi"/>
          <w:b/>
          <w:bCs/>
          <w:u w:val="single"/>
        </w:rPr>
      </w:pPr>
    </w:p>
    <w:p w14:paraId="744C9CBC" w14:textId="77777777" w:rsidR="00B54D51" w:rsidRPr="00037AD4" w:rsidRDefault="00B54D51" w:rsidP="00401029">
      <w:pPr>
        <w:rPr>
          <w:rFonts w:asciiTheme="minorHAnsi" w:hAnsiTheme="minorHAnsi" w:cstheme="minorHAnsi"/>
          <w:b/>
          <w:bCs/>
          <w:sz w:val="26"/>
          <w:szCs w:val="26"/>
          <w:u w:val="single"/>
        </w:rPr>
      </w:pPr>
      <w:r w:rsidRPr="00037AD4">
        <w:rPr>
          <w:rFonts w:asciiTheme="minorHAnsi" w:hAnsiTheme="minorHAnsi" w:cstheme="minorHAnsi"/>
          <w:b/>
          <w:bCs/>
          <w:noProof/>
          <w:u w:val="single"/>
        </w:rPr>
        <mc:AlternateContent>
          <mc:Choice Requires="wps">
            <w:drawing>
              <wp:anchor distT="0" distB="0" distL="114300" distR="114300" simplePos="0" relativeHeight="251679744" behindDoc="0" locked="0" layoutInCell="1" allowOverlap="1" wp14:anchorId="7C61781D" wp14:editId="4249E50D">
                <wp:simplePos x="0" y="0"/>
                <wp:positionH relativeFrom="column">
                  <wp:posOffset>0</wp:posOffset>
                </wp:positionH>
                <wp:positionV relativeFrom="paragraph">
                  <wp:posOffset>-635</wp:posOffset>
                </wp:positionV>
                <wp:extent cx="2317898" cy="287079"/>
                <wp:effectExtent l="0" t="0" r="19050" b="17780"/>
                <wp:wrapNone/>
                <wp:docPr id="98" name="Text Box 98"/>
                <wp:cNvGraphicFramePr/>
                <a:graphic xmlns:a="http://schemas.openxmlformats.org/drawingml/2006/main">
                  <a:graphicData uri="http://schemas.microsoft.com/office/word/2010/wordprocessingShape">
                    <wps:wsp>
                      <wps:cNvSpPr txBox="1"/>
                      <wps:spPr>
                        <a:xfrm>
                          <a:off x="0" y="0"/>
                          <a:ext cx="2317898" cy="287079"/>
                        </a:xfrm>
                        <a:prstGeom prst="rect">
                          <a:avLst/>
                        </a:prstGeom>
                        <a:ln/>
                      </wps:spPr>
                      <wps:style>
                        <a:lnRef idx="2">
                          <a:schemeClr val="accent3"/>
                        </a:lnRef>
                        <a:fillRef idx="1">
                          <a:schemeClr val="lt1"/>
                        </a:fillRef>
                        <a:effectRef idx="0">
                          <a:schemeClr val="accent3"/>
                        </a:effectRef>
                        <a:fontRef idx="minor">
                          <a:schemeClr val="dk1"/>
                        </a:fontRef>
                      </wps:style>
                      <wps:txbx>
                        <w:txbxContent>
                          <w:p w14:paraId="382D81BE" w14:textId="77777777" w:rsidR="00B54D51" w:rsidRPr="00401029" w:rsidRDefault="00B54D51" w:rsidP="00401029">
                            <w:pPr>
                              <w:rPr>
                                <w:rFonts w:asciiTheme="minorHAnsi" w:hAnsiTheme="minorHAnsi" w:cstheme="minorHAnsi"/>
                                <w:i/>
                                <w:iCs/>
                              </w:rPr>
                            </w:pPr>
                            <w:r w:rsidRPr="00401029">
                              <w:rPr>
                                <w:rFonts w:asciiTheme="minorHAnsi" w:hAnsiTheme="minorHAnsi" w:cstheme="minorHAnsi"/>
                                <w:i/>
                                <w:iCs/>
                              </w:rPr>
                              <w:t>PR, informal proxy; ST, staff proxy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61781D" id="Text Box 98" o:spid="_x0000_s1040" type="#_x0000_t202" style="position:absolute;margin-left:0;margin-top:-.05pt;width:182.5pt;height:22.6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" fillcolor="white [3201]" strokecolor="#a5a5a5 [3206]" strokeweight="1pt">
                <v:textbox>
                  <w:txbxContent>
                    <w:p w14:paraId="382D81BE" w14:textId="77777777" w:rsidR="00B54D51" w:rsidRPr="00401029" w:rsidRDefault="00B54D51" w:rsidP="00401029">
                      <w:pPr>
                        <w:rPr>
                          <w:rFonts w:asciiTheme="minorHAnsi" w:hAnsiTheme="minorHAnsi" w:cstheme="minorHAnsi"/>
                          <w:i/>
                          <w:iCs/>
                        </w:rPr>
                      </w:pPr>
                      <w:r w:rsidRPr="00401029">
                        <w:rPr>
                          <w:rFonts w:asciiTheme="minorHAnsi" w:hAnsiTheme="minorHAnsi" w:cstheme="minorHAnsi"/>
                          <w:i/>
                          <w:iCs/>
                        </w:rPr>
                        <w:t>PR, informal proxy; ST, staff proxy</w:t>
                      </w:r>
                    </w:p>
                  </w:txbxContent>
                </v:textbox>
              </v:shape>
            </w:pict>
          </mc:Fallback>
        </mc:AlternateContent>
      </w:r>
      <w:bookmarkStart w:id="362" w:name="_Toc79582169"/>
      <w:bookmarkStart w:id="363" w:name="_Toc79839797"/>
      <w:bookmarkStart w:id="364" w:name="_Toc80257871"/>
    </w:p>
    <w:p w14:paraId="216CC97A" w14:textId="002DE996" w:rsidR="00B54D51" w:rsidRDefault="00B54D51" w:rsidP="00401029">
      <w:pPr>
        <w:rPr>
          <w:rFonts w:asciiTheme="minorHAnsi" w:hAnsiTheme="minorHAnsi" w:cstheme="minorHAnsi"/>
          <w:b/>
          <w:bCs/>
          <w:sz w:val="26"/>
          <w:szCs w:val="26"/>
          <w:u w:val="single"/>
        </w:rPr>
      </w:pPr>
    </w:p>
    <w:p w14:paraId="4185A5B2" w14:textId="77777777" w:rsidR="00673F38" w:rsidRDefault="00673F38" w:rsidP="00401029">
      <w:pPr>
        <w:rPr>
          <w:rFonts w:asciiTheme="minorHAnsi" w:hAnsiTheme="minorHAnsi" w:cstheme="minorHAnsi"/>
          <w:b/>
          <w:bCs/>
          <w:sz w:val="26"/>
          <w:szCs w:val="26"/>
          <w:u w:val="single"/>
        </w:rPr>
      </w:pPr>
    </w:p>
    <w:p w14:paraId="0FA37014" w14:textId="77777777" w:rsidR="00673F38" w:rsidRDefault="00673F38" w:rsidP="00401029">
      <w:pPr>
        <w:rPr>
          <w:rFonts w:asciiTheme="minorHAnsi" w:hAnsiTheme="minorHAnsi" w:cstheme="minorHAnsi"/>
          <w:b/>
          <w:bCs/>
          <w:sz w:val="26"/>
          <w:szCs w:val="26"/>
          <w:u w:val="single"/>
        </w:rPr>
      </w:pPr>
    </w:p>
    <w:p w14:paraId="7C66D789" w14:textId="77777777" w:rsidR="007D0518" w:rsidRPr="00037AD4" w:rsidRDefault="007D0518" w:rsidP="00401029">
      <w:pPr>
        <w:rPr>
          <w:rFonts w:asciiTheme="majorHAnsi" w:hAnsiTheme="majorHAnsi" w:cstheme="majorHAnsi"/>
          <w:b/>
          <w:bCs/>
          <w:sz w:val="26"/>
          <w:szCs w:val="26"/>
          <w:u w:val="single"/>
        </w:rPr>
      </w:pPr>
    </w:p>
    <w:p w14:paraId="657A03DE" w14:textId="77777777" w:rsidR="00B54D51" w:rsidRPr="00037AD4" w:rsidRDefault="00B54D51" w:rsidP="00401029">
      <w:pPr>
        <w:rPr>
          <w:rFonts w:asciiTheme="majorHAnsi" w:hAnsiTheme="majorHAnsi" w:cstheme="majorHAnsi"/>
          <w:b/>
          <w:bCs/>
          <w:sz w:val="26"/>
          <w:szCs w:val="26"/>
          <w:u w:val="single"/>
        </w:rPr>
      </w:pPr>
      <w:r w:rsidRPr="00037AD4">
        <w:rPr>
          <w:rFonts w:asciiTheme="majorHAnsi" w:hAnsiTheme="majorHAnsi" w:cstheme="majorHAnsi"/>
          <w:b/>
          <w:bCs/>
          <w:sz w:val="26"/>
          <w:szCs w:val="26"/>
          <w:u w:val="single"/>
        </w:rPr>
        <w:lastRenderedPageBreak/>
        <w:t xml:space="preserve">5.4.3.2 Inter-rater agreement – usual activities </w:t>
      </w:r>
    </w:p>
    <w:p w14:paraId="14F33E7B" w14:textId="77777777" w:rsidR="00B54D51" w:rsidRPr="00037AD4" w:rsidRDefault="00B54D51" w:rsidP="00401029">
      <w:pPr>
        <w:rPr>
          <w:rFonts w:asciiTheme="minorHAnsi" w:hAnsiTheme="minorHAnsi" w:cstheme="minorHAnsi"/>
          <w:b/>
          <w:bCs/>
          <w:u w:val="single"/>
        </w:rPr>
      </w:pPr>
    </w:p>
    <w:p w14:paraId="52B0BE90" w14:textId="77777777" w:rsidR="00B54D51" w:rsidRPr="00037AD4" w:rsidRDefault="00B54D51" w:rsidP="00401029">
      <w:pPr>
        <w:rPr>
          <w:rFonts w:asciiTheme="minorHAnsi" w:hAnsiTheme="minorHAnsi" w:cstheme="minorHAnsi"/>
        </w:rPr>
      </w:pPr>
      <w:r w:rsidRPr="00037AD4">
        <w:rPr>
          <w:rFonts w:asciiTheme="minorHAnsi" w:hAnsiTheme="minorHAnsi" w:cstheme="minorHAnsi"/>
        </w:rPr>
        <w:t xml:space="preserve">“Usual activities” produced the lowest percentage of exact agreement for PwD-informal proxy dyads (36%) of all five EQ-5D dimensions; it also resulted in the lowest kappa-coefficient (k=0.26). For PwD-staff proxy dyads, “usual activities” was the dimension with the relative highest percentage of exact agreement at 59%, however the kappa-coefficient indicates poor agreement (k=0.15). </w:t>
      </w:r>
      <w:r w:rsidRPr="007D0518">
        <w:rPr>
          <w:rFonts w:asciiTheme="minorHAnsi" w:hAnsiTheme="minorHAnsi" w:cstheme="minorHAnsi"/>
        </w:rPr>
        <w:t xml:space="preserve">See </w:t>
      </w:r>
      <w:hyperlink w:anchor="A53" w:history="1">
        <w:r w:rsidRPr="007D0518">
          <w:rPr>
            <w:rStyle w:val="Hyperlink"/>
            <w:rFonts w:asciiTheme="minorHAnsi" w:hAnsiTheme="minorHAnsi" w:cstheme="minorHAnsi"/>
            <w:color w:val="auto"/>
            <w:u w:val="none"/>
          </w:rPr>
          <w:t>Appendix 5.3</w:t>
        </w:r>
      </w:hyperlink>
      <w:r w:rsidRPr="007D0518">
        <w:rPr>
          <w:rFonts w:asciiTheme="minorHAnsi" w:hAnsiTheme="minorHAnsi" w:cstheme="minorHAnsi"/>
        </w:rPr>
        <w:t xml:space="preserve"> for </w:t>
      </w:r>
      <w:r w:rsidRPr="00037AD4">
        <w:rPr>
          <w:rFonts w:asciiTheme="minorHAnsi" w:hAnsiTheme="minorHAnsi" w:cstheme="minorHAnsi"/>
        </w:rPr>
        <w:t xml:space="preserve">this data.  </w:t>
      </w:r>
    </w:p>
    <w:p w14:paraId="618B77E5" w14:textId="77777777" w:rsidR="00B54D51" w:rsidRPr="00037AD4" w:rsidRDefault="00B54D51" w:rsidP="00401029">
      <w:pPr>
        <w:rPr>
          <w:rFonts w:asciiTheme="minorHAnsi" w:hAnsiTheme="minorHAnsi" w:cstheme="minorHAnsi"/>
        </w:rPr>
      </w:pPr>
    </w:p>
    <w:p w14:paraId="3E838760" w14:textId="77777777" w:rsidR="00B54D51" w:rsidRPr="00037AD4" w:rsidRDefault="00B54D51" w:rsidP="00DF6031">
      <w:pPr>
        <w:rPr>
          <w:rFonts w:asciiTheme="majorHAnsi" w:hAnsiTheme="majorHAnsi" w:cstheme="majorHAnsi"/>
          <w:b/>
          <w:bCs/>
          <w:sz w:val="26"/>
          <w:szCs w:val="26"/>
          <w:u w:val="single"/>
        </w:rPr>
      </w:pPr>
      <w:r w:rsidRPr="00037AD4">
        <w:rPr>
          <w:rFonts w:asciiTheme="majorHAnsi" w:hAnsiTheme="majorHAnsi" w:cstheme="majorHAnsi"/>
          <w:b/>
          <w:bCs/>
          <w:sz w:val="26"/>
          <w:szCs w:val="26"/>
          <w:u w:val="single"/>
        </w:rPr>
        <w:t xml:space="preserve">5.4.3.2.1 Discrepancy scores – usual activities </w:t>
      </w:r>
    </w:p>
    <w:p w14:paraId="56ED3907" w14:textId="77777777" w:rsidR="00B54D51" w:rsidRPr="00037AD4" w:rsidRDefault="00B54D51" w:rsidP="00DF6031">
      <w:pPr>
        <w:rPr>
          <w:rFonts w:asciiTheme="minorHAnsi" w:hAnsiTheme="minorHAnsi" w:cstheme="minorHAnsi"/>
        </w:rPr>
      </w:pPr>
    </w:p>
    <w:p w14:paraId="65B1A280" w14:textId="77777777" w:rsidR="00B54D51" w:rsidRPr="00037AD4" w:rsidRDefault="00B54D51" w:rsidP="00DF6031">
      <w:pPr>
        <w:rPr>
          <w:rFonts w:asciiTheme="minorHAnsi" w:hAnsiTheme="minorHAnsi" w:cstheme="minorHAnsi"/>
        </w:rPr>
      </w:pPr>
      <w:r w:rsidRPr="00037AD4">
        <w:rPr>
          <w:rFonts w:asciiTheme="minorHAnsi" w:hAnsiTheme="minorHAnsi" w:cstheme="minorHAnsi"/>
        </w:rPr>
        <w:t xml:space="preserve">Unlike for “mobility” and “self-care”, Figures 18a and 18b below show that for “usual activities” informal proxies are more pessimistic than staff proxies in their reports when compared to PwD self-reports. For staff proxies, nearly 60% of the discrepancy scores are at zero, compared with less than 40% of scores for informal proxies. Of the scores at exact agreement, 53% were where both the PwD and informal proxy reported the dimension at perfect health and 3% were where both respondents provided the worst possible dimension score. For the PwD-staff proxy dyad scores at zero, 95% were where both respondents provided a perfect health dimension score, while 2% were where both respondents provided a worst possible dimension score of five. The observed variability in scoring is reduced with staff proxies. </w:t>
      </w:r>
    </w:p>
    <w:p w14:paraId="6AB3E3FC" w14:textId="10679DE2" w:rsidR="00B54D51" w:rsidRDefault="00B54D51" w:rsidP="00DF6031">
      <w:pPr>
        <w:rPr>
          <w:rFonts w:asciiTheme="minorHAnsi" w:hAnsiTheme="minorHAnsi" w:cstheme="minorHAnsi"/>
          <w:b/>
          <w:bCs/>
          <w:i/>
          <w:iCs/>
        </w:rPr>
      </w:pPr>
    </w:p>
    <w:p w14:paraId="123E326F" w14:textId="77777777" w:rsidR="00B54D51" w:rsidRPr="00037AD4" w:rsidRDefault="00B54D51" w:rsidP="00DF6031">
      <w:pPr>
        <w:rPr>
          <w:rFonts w:asciiTheme="minorHAnsi" w:hAnsiTheme="minorHAnsi" w:cstheme="minorHAnsi"/>
          <w:b/>
          <w:bCs/>
          <w:i/>
          <w:iCs/>
        </w:rPr>
      </w:pPr>
      <w:r w:rsidRPr="00037AD4">
        <w:rPr>
          <w:rFonts w:asciiTheme="minorHAnsi" w:hAnsiTheme="minorHAnsi" w:cstheme="minorHAnsi"/>
          <w:b/>
          <w:bCs/>
          <w:i/>
          <w:iCs/>
        </w:rPr>
        <w:t>Figure 18a, Bar chart for absolute discrepancy scores of usual activities dimension, PwD-informal proxies</w:t>
      </w:r>
    </w:p>
    <w:p w14:paraId="772197C6" w14:textId="77777777" w:rsidR="00B54D51" w:rsidRPr="00037AD4" w:rsidRDefault="00B54D51" w:rsidP="00DF6031">
      <w:pPr>
        <w:rPr>
          <w:rFonts w:asciiTheme="minorHAnsi" w:hAnsiTheme="minorHAnsi" w:cstheme="minorHAnsi"/>
          <w:color w:val="FF0000"/>
        </w:rPr>
      </w:pPr>
    </w:p>
    <w:p w14:paraId="5EC883C2" w14:textId="25F689DE" w:rsidR="00B54D51" w:rsidRPr="00037AD4" w:rsidRDefault="00B82EB5" w:rsidP="00DF6031">
      <w:pPr>
        <w:rPr>
          <w:rFonts w:asciiTheme="minorHAnsi" w:hAnsiTheme="minorHAnsi" w:cstheme="minorHAnsi"/>
        </w:rPr>
      </w:pPr>
      <w:r>
        <w:rPr>
          <w:rFonts w:asciiTheme="minorHAnsi" w:hAnsiTheme="minorHAnsi" w:cstheme="minorHAnsi"/>
          <w:noProof/>
        </w:rPr>
        <w:drawing>
          <wp:inline distT="0" distB="0" distL="0" distR="0" wp14:anchorId="7E13DE64" wp14:editId="5B478CE0">
            <wp:extent cx="3960000" cy="2880000"/>
            <wp:effectExtent l="0" t="0" r="2540" b="3175"/>
            <wp:docPr id="69" name="Picture 69" descr="A graph with numbers and a bar&#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Picture 69" descr="A graph with numbers and a bar&#10;&#10;Description automatically generated"/>
                    <pic:cNvPicPr/>
                  </pic:nvPicPr>
                  <pic:blipFill>
                    <a:blip r:embed="rId42">
                      <a:extLst>
                        <a:ext uri="{28A0092B-C50C-407E-A947-70E740481C1C}">
                          <a14:useLocalDpi xmlns:a14="http://schemas.microsoft.com/office/drawing/2010/main" val="0"/>
                        </a:ext>
                      </a:extLst>
                    </a:blip>
                    <a:stretch>
                      <a:fillRect/>
                    </a:stretch>
                  </pic:blipFill>
                  <pic:spPr>
                    <a:xfrm>
                      <a:off x="0" y="0"/>
                      <a:ext cx="3960000" cy="2880000"/>
                    </a:xfrm>
                    <a:prstGeom prst="rect">
                      <a:avLst/>
                    </a:prstGeom>
                  </pic:spPr>
                </pic:pic>
              </a:graphicData>
            </a:graphic>
          </wp:inline>
        </w:drawing>
      </w:r>
    </w:p>
    <w:p w14:paraId="1604996E" w14:textId="77777777" w:rsidR="00B54D51" w:rsidRPr="00037AD4" w:rsidRDefault="00B54D51" w:rsidP="00DF6031">
      <w:pPr>
        <w:rPr>
          <w:rFonts w:asciiTheme="minorHAnsi" w:hAnsiTheme="minorHAnsi" w:cstheme="minorHAnsi"/>
          <w:highlight w:val="yellow"/>
        </w:rPr>
      </w:pPr>
    </w:p>
    <w:p w14:paraId="4817A47E" w14:textId="77777777" w:rsidR="00673F38" w:rsidRDefault="00673F38" w:rsidP="00DF6031">
      <w:pPr>
        <w:rPr>
          <w:rFonts w:asciiTheme="minorHAnsi" w:hAnsiTheme="minorHAnsi" w:cstheme="minorHAnsi"/>
          <w:b/>
          <w:bCs/>
          <w:i/>
          <w:iCs/>
        </w:rPr>
      </w:pPr>
    </w:p>
    <w:p w14:paraId="17729BCD" w14:textId="77777777" w:rsidR="00673F38" w:rsidRDefault="00673F38" w:rsidP="00DF6031">
      <w:pPr>
        <w:rPr>
          <w:rFonts w:asciiTheme="minorHAnsi" w:hAnsiTheme="minorHAnsi" w:cstheme="minorHAnsi"/>
          <w:b/>
          <w:bCs/>
          <w:i/>
          <w:iCs/>
        </w:rPr>
      </w:pPr>
    </w:p>
    <w:p w14:paraId="1AB8FA9C" w14:textId="77777777" w:rsidR="00673F38" w:rsidRDefault="00673F38" w:rsidP="00DF6031">
      <w:pPr>
        <w:rPr>
          <w:rFonts w:asciiTheme="minorHAnsi" w:hAnsiTheme="minorHAnsi" w:cstheme="minorHAnsi"/>
          <w:b/>
          <w:bCs/>
          <w:i/>
          <w:iCs/>
        </w:rPr>
      </w:pPr>
    </w:p>
    <w:p w14:paraId="65EB1AD8" w14:textId="77777777" w:rsidR="00673F38" w:rsidRDefault="00673F38" w:rsidP="00DF6031">
      <w:pPr>
        <w:rPr>
          <w:rFonts w:asciiTheme="minorHAnsi" w:hAnsiTheme="minorHAnsi" w:cstheme="minorHAnsi"/>
          <w:b/>
          <w:bCs/>
          <w:i/>
          <w:iCs/>
        </w:rPr>
      </w:pPr>
    </w:p>
    <w:p w14:paraId="2FB63DD4" w14:textId="77777777" w:rsidR="00673F38" w:rsidRDefault="00673F38" w:rsidP="00DF6031">
      <w:pPr>
        <w:rPr>
          <w:rFonts w:asciiTheme="minorHAnsi" w:hAnsiTheme="minorHAnsi" w:cstheme="minorHAnsi"/>
          <w:b/>
          <w:bCs/>
          <w:i/>
          <w:iCs/>
        </w:rPr>
      </w:pPr>
    </w:p>
    <w:p w14:paraId="497EDBF7" w14:textId="0771B194" w:rsidR="00B54D51" w:rsidRPr="00037AD4" w:rsidRDefault="00B54D51" w:rsidP="00DF6031">
      <w:pPr>
        <w:rPr>
          <w:rFonts w:asciiTheme="minorHAnsi" w:hAnsiTheme="minorHAnsi" w:cstheme="minorHAnsi"/>
          <w:b/>
          <w:bCs/>
          <w:i/>
          <w:iCs/>
        </w:rPr>
      </w:pPr>
      <w:r w:rsidRPr="00037AD4">
        <w:rPr>
          <w:rFonts w:asciiTheme="minorHAnsi" w:hAnsiTheme="minorHAnsi" w:cstheme="minorHAnsi"/>
          <w:b/>
          <w:bCs/>
          <w:i/>
          <w:iCs/>
        </w:rPr>
        <w:lastRenderedPageBreak/>
        <w:t>Figure 18b, Bar chart for absolute discrepancy scores of usual activities dimension, PwD-staff proxies</w:t>
      </w:r>
    </w:p>
    <w:p w14:paraId="22C965C1" w14:textId="77777777" w:rsidR="00B54D51" w:rsidRPr="00037AD4" w:rsidRDefault="00B54D51" w:rsidP="00DF6031">
      <w:pPr>
        <w:rPr>
          <w:rFonts w:asciiTheme="minorHAnsi" w:hAnsiTheme="minorHAnsi" w:cstheme="minorHAnsi"/>
          <w:color w:val="FF0000"/>
        </w:rPr>
      </w:pPr>
    </w:p>
    <w:p w14:paraId="23515A7B" w14:textId="6AE9A3EE" w:rsidR="00B54D51" w:rsidRPr="00037AD4" w:rsidRDefault="00B82EB5" w:rsidP="00DF6031">
      <w:pPr>
        <w:rPr>
          <w:rFonts w:asciiTheme="minorHAnsi" w:hAnsiTheme="minorHAnsi" w:cstheme="minorHAnsi"/>
          <w:color w:val="FF0000"/>
        </w:rPr>
      </w:pPr>
      <w:r w:rsidRPr="00037AD4">
        <w:rPr>
          <w:rFonts w:asciiTheme="minorHAnsi" w:hAnsiTheme="minorHAnsi" w:cstheme="minorHAnsi"/>
          <w:noProof/>
          <w:color w:val="FF0000"/>
          <w:lang w:eastAsia="zh-CN"/>
        </w:rPr>
        <w:drawing>
          <wp:inline distT="0" distB="0" distL="0" distR="0" wp14:anchorId="2042C6FE" wp14:editId="3CD8CD79">
            <wp:extent cx="3960000" cy="2880000"/>
            <wp:effectExtent l="0" t="0" r="2540" b="3175"/>
            <wp:docPr id="51" name="Picture 51" descr="Chart, bar char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Picture 51" descr="Chart, bar chart&#10;&#10;Description automatically generated"/>
                    <pic:cNvPicPr/>
                  </pic:nvPicPr>
                  <pic:blipFill>
                    <a:blip r:embed="rId43">
                      <a:extLst>
                        <a:ext uri="{28A0092B-C50C-407E-A947-70E740481C1C}">
                          <a14:useLocalDpi xmlns:a14="http://schemas.microsoft.com/office/drawing/2010/main" val="0"/>
                        </a:ext>
                      </a:extLst>
                    </a:blip>
                    <a:stretch>
                      <a:fillRect/>
                    </a:stretch>
                  </pic:blipFill>
                  <pic:spPr>
                    <a:xfrm>
                      <a:off x="0" y="0"/>
                      <a:ext cx="3960000" cy="2880000"/>
                    </a:xfrm>
                    <a:prstGeom prst="rect">
                      <a:avLst/>
                    </a:prstGeom>
                  </pic:spPr>
                </pic:pic>
              </a:graphicData>
            </a:graphic>
          </wp:inline>
        </w:drawing>
      </w:r>
    </w:p>
    <w:p w14:paraId="0308F176" w14:textId="77777777" w:rsidR="00B54D51" w:rsidRPr="00037AD4" w:rsidRDefault="00B54D51" w:rsidP="00DF6031">
      <w:pPr>
        <w:rPr>
          <w:rFonts w:asciiTheme="minorHAnsi" w:hAnsiTheme="minorHAnsi" w:cstheme="minorHAnsi"/>
          <w:color w:val="FF0000"/>
        </w:rPr>
      </w:pPr>
    </w:p>
    <w:p w14:paraId="0923E801" w14:textId="77777777" w:rsidR="00B54D51" w:rsidRPr="00037AD4" w:rsidRDefault="00B54D51" w:rsidP="00DF6031">
      <w:pPr>
        <w:rPr>
          <w:rFonts w:asciiTheme="minorHAnsi" w:hAnsiTheme="minorHAnsi" w:cstheme="minorHAnsi"/>
        </w:rPr>
      </w:pPr>
      <w:r w:rsidRPr="00037AD4">
        <w:rPr>
          <w:rFonts w:asciiTheme="minorHAnsi" w:hAnsiTheme="minorHAnsi" w:cstheme="minorHAnsi"/>
        </w:rPr>
        <w:t xml:space="preserve">Figures 19a and 19b below show the difference between the amount of change reported by PwD and proxy scores for the “usual activities” dimension. As shown in these figures, a greater proportion of PwD-staff proxy dyad change scores are at zero (41% vs. 26% for PwD-informal proxy dyads). 31% and 29% of PwD-staff proxy and PwD-informal proxy dyad scores are positive respectively. Positive scores indicate a more pessimistic change-in-scores reported by the proxy compared with PwD reports. </w:t>
      </w:r>
    </w:p>
    <w:p w14:paraId="41882151" w14:textId="77777777" w:rsidR="00B54D51" w:rsidRPr="00037AD4" w:rsidRDefault="00B54D51" w:rsidP="00DF6031">
      <w:pPr>
        <w:rPr>
          <w:rFonts w:asciiTheme="minorHAnsi" w:hAnsiTheme="minorHAnsi" w:cstheme="minorHAnsi"/>
          <w:color w:val="FF0000"/>
        </w:rPr>
      </w:pPr>
    </w:p>
    <w:p w14:paraId="1E72FEAE" w14:textId="77777777" w:rsidR="00B54D51" w:rsidRPr="00037AD4" w:rsidRDefault="00B54D51" w:rsidP="00DF6031">
      <w:pPr>
        <w:rPr>
          <w:rFonts w:asciiTheme="minorHAnsi" w:hAnsiTheme="minorHAnsi" w:cstheme="minorHAnsi"/>
          <w:b/>
          <w:bCs/>
          <w:i/>
          <w:iCs/>
        </w:rPr>
      </w:pPr>
      <w:r w:rsidRPr="00037AD4">
        <w:rPr>
          <w:rFonts w:asciiTheme="minorHAnsi" w:hAnsiTheme="minorHAnsi" w:cstheme="minorHAnsi"/>
          <w:b/>
          <w:bCs/>
          <w:i/>
          <w:iCs/>
        </w:rPr>
        <w:t>Figure 19a, bar chart for differen</w:t>
      </w:r>
      <w:r>
        <w:rPr>
          <w:rFonts w:asciiTheme="minorHAnsi" w:hAnsiTheme="minorHAnsi" w:cstheme="minorHAnsi"/>
          <w:b/>
          <w:bCs/>
          <w:i/>
          <w:iCs/>
        </w:rPr>
        <w:t>ce</w:t>
      </w:r>
      <w:r w:rsidRPr="00037AD4">
        <w:rPr>
          <w:rFonts w:asciiTheme="minorHAnsi" w:hAnsiTheme="minorHAnsi" w:cstheme="minorHAnsi"/>
          <w:b/>
          <w:bCs/>
          <w:i/>
          <w:iCs/>
        </w:rPr>
        <w:t xml:space="preserve"> between change score for usual activities, PwD-informal proxy dyads </w:t>
      </w:r>
    </w:p>
    <w:p w14:paraId="3CA110BC" w14:textId="77777777" w:rsidR="00B54D51" w:rsidRPr="00037AD4" w:rsidRDefault="00B54D51" w:rsidP="00DF6031">
      <w:pPr>
        <w:rPr>
          <w:rFonts w:asciiTheme="minorHAnsi" w:hAnsiTheme="minorHAnsi" w:cstheme="minorHAnsi"/>
          <w:color w:val="FF0000"/>
        </w:rPr>
      </w:pPr>
    </w:p>
    <w:p w14:paraId="0A0BC6A1" w14:textId="0CB3FFA4" w:rsidR="00B54D51" w:rsidRPr="00037AD4" w:rsidRDefault="00B82EB5" w:rsidP="00DF6031">
      <w:pPr>
        <w:rPr>
          <w:rFonts w:asciiTheme="minorHAnsi" w:hAnsiTheme="minorHAnsi" w:cstheme="minorHAnsi"/>
          <w:color w:val="FF0000"/>
        </w:rPr>
      </w:pPr>
      <w:r>
        <w:rPr>
          <w:rFonts w:asciiTheme="minorHAnsi" w:hAnsiTheme="minorHAnsi" w:cstheme="minorHAnsi"/>
          <w:noProof/>
          <w:color w:val="FF0000"/>
        </w:rPr>
        <w:drawing>
          <wp:inline distT="0" distB="0" distL="0" distR="0" wp14:anchorId="7062DD50" wp14:editId="5C4284AF">
            <wp:extent cx="3960000" cy="2880000"/>
            <wp:effectExtent l="0" t="0" r="2540" b="3175"/>
            <wp:docPr id="76" name="Picture 76" descr="A graph of numbers and a bar&#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 name="Picture 76" descr="A graph of numbers and a bar&#10;&#10;Description automatically generated"/>
                    <pic:cNvPicPr/>
                  </pic:nvPicPr>
                  <pic:blipFill>
                    <a:blip r:embed="rId44">
                      <a:extLst>
                        <a:ext uri="{28A0092B-C50C-407E-A947-70E740481C1C}">
                          <a14:useLocalDpi xmlns:a14="http://schemas.microsoft.com/office/drawing/2010/main" val="0"/>
                        </a:ext>
                      </a:extLst>
                    </a:blip>
                    <a:stretch>
                      <a:fillRect/>
                    </a:stretch>
                  </pic:blipFill>
                  <pic:spPr>
                    <a:xfrm>
                      <a:off x="0" y="0"/>
                      <a:ext cx="3960000" cy="2880000"/>
                    </a:xfrm>
                    <a:prstGeom prst="rect">
                      <a:avLst/>
                    </a:prstGeom>
                  </pic:spPr>
                </pic:pic>
              </a:graphicData>
            </a:graphic>
          </wp:inline>
        </w:drawing>
      </w:r>
    </w:p>
    <w:p w14:paraId="00CFC929" w14:textId="77777777" w:rsidR="00B54D51" w:rsidRPr="00037AD4" w:rsidRDefault="00B54D51" w:rsidP="00DF6031">
      <w:pPr>
        <w:rPr>
          <w:rFonts w:asciiTheme="minorHAnsi" w:hAnsiTheme="minorHAnsi" w:cstheme="minorHAnsi"/>
          <w:color w:val="FF0000"/>
        </w:rPr>
      </w:pPr>
    </w:p>
    <w:p w14:paraId="3E64E5FD" w14:textId="77777777" w:rsidR="00B54D51" w:rsidRPr="00037AD4" w:rsidRDefault="00B54D51" w:rsidP="00DF6031">
      <w:pPr>
        <w:rPr>
          <w:rFonts w:asciiTheme="minorHAnsi" w:hAnsiTheme="minorHAnsi" w:cstheme="minorHAnsi"/>
          <w:b/>
          <w:bCs/>
          <w:i/>
          <w:iCs/>
        </w:rPr>
      </w:pPr>
      <w:r w:rsidRPr="00037AD4">
        <w:rPr>
          <w:rFonts w:asciiTheme="minorHAnsi" w:hAnsiTheme="minorHAnsi" w:cstheme="minorHAnsi"/>
          <w:b/>
          <w:bCs/>
          <w:i/>
          <w:iCs/>
        </w:rPr>
        <w:lastRenderedPageBreak/>
        <w:t>Figure 19b, bar chart for differen</w:t>
      </w:r>
      <w:r>
        <w:rPr>
          <w:rFonts w:asciiTheme="minorHAnsi" w:hAnsiTheme="minorHAnsi" w:cstheme="minorHAnsi"/>
          <w:b/>
          <w:bCs/>
          <w:i/>
          <w:iCs/>
        </w:rPr>
        <w:t>ce</w:t>
      </w:r>
      <w:r w:rsidRPr="00037AD4">
        <w:rPr>
          <w:rFonts w:asciiTheme="minorHAnsi" w:hAnsiTheme="minorHAnsi" w:cstheme="minorHAnsi"/>
          <w:b/>
          <w:bCs/>
          <w:i/>
          <w:iCs/>
        </w:rPr>
        <w:t xml:space="preserve"> between change score for usual activities, PwD-staff proxy dyads </w:t>
      </w:r>
    </w:p>
    <w:p w14:paraId="3FD7E850" w14:textId="77777777" w:rsidR="00B54D51" w:rsidRPr="00037AD4" w:rsidRDefault="00B54D51" w:rsidP="00DF6031">
      <w:pPr>
        <w:rPr>
          <w:rFonts w:asciiTheme="minorHAnsi" w:hAnsiTheme="minorHAnsi" w:cstheme="minorHAnsi"/>
          <w:color w:val="FF0000"/>
        </w:rPr>
      </w:pPr>
    </w:p>
    <w:p w14:paraId="58F81C5A" w14:textId="4D1BDBB0" w:rsidR="00B54D51" w:rsidRPr="00037AD4" w:rsidRDefault="00B82EB5" w:rsidP="00DF6031">
      <w:pPr>
        <w:rPr>
          <w:rFonts w:asciiTheme="minorHAnsi" w:hAnsiTheme="minorHAnsi" w:cstheme="minorHAnsi"/>
          <w:color w:val="FF0000"/>
        </w:rPr>
      </w:pPr>
      <w:r w:rsidRPr="00037AD4">
        <w:rPr>
          <w:rFonts w:asciiTheme="minorHAnsi" w:hAnsiTheme="minorHAnsi" w:cstheme="minorHAnsi"/>
          <w:noProof/>
          <w:color w:val="FF0000"/>
          <w:lang w:eastAsia="zh-CN"/>
        </w:rPr>
        <w:drawing>
          <wp:inline distT="0" distB="0" distL="0" distR="0" wp14:anchorId="40C7CC39" wp14:editId="4BF28604">
            <wp:extent cx="3960000" cy="2880000"/>
            <wp:effectExtent l="0" t="0" r="2540" b="3175"/>
            <wp:docPr id="6" name="Picture 6" descr="A picture containing text, screenshot, plot, lin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Picture 34" descr="A picture containing text, screenshot, plot, line&#10;&#10;Description automatically generated"/>
                    <pic:cNvPicPr/>
                  </pic:nvPicPr>
                  <pic:blipFill>
                    <a:blip r:embed="rId45">
                      <a:extLst>
                        <a:ext uri="{28A0092B-C50C-407E-A947-70E740481C1C}">
                          <a14:useLocalDpi xmlns:a14="http://schemas.microsoft.com/office/drawing/2010/main" val="0"/>
                        </a:ext>
                      </a:extLst>
                    </a:blip>
                    <a:stretch>
                      <a:fillRect/>
                    </a:stretch>
                  </pic:blipFill>
                  <pic:spPr>
                    <a:xfrm>
                      <a:off x="0" y="0"/>
                      <a:ext cx="3960000" cy="2880000"/>
                    </a:xfrm>
                    <a:prstGeom prst="rect">
                      <a:avLst/>
                    </a:prstGeom>
                  </pic:spPr>
                </pic:pic>
              </a:graphicData>
            </a:graphic>
          </wp:inline>
        </w:drawing>
      </w:r>
    </w:p>
    <w:p w14:paraId="416499FD" w14:textId="77777777" w:rsidR="00B54D51" w:rsidRPr="00037AD4" w:rsidRDefault="00B54D51" w:rsidP="00DF6031">
      <w:pPr>
        <w:rPr>
          <w:rFonts w:asciiTheme="minorHAnsi" w:hAnsiTheme="minorHAnsi" w:cstheme="minorHAnsi"/>
          <w:color w:val="FF0000"/>
          <w:sz w:val="26"/>
          <w:szCs w:val="26"/>
        </w:rPr>
      </w:pPr>
    </w:p>
    <w:p w14:paraId="4B744AF6" w14:textId="77777777" w:rsidR="00B54D51" w:rsidRPr="00037AD4" w:rsidRDefault="00B54D51" w:rsidP="00DF6031">
      <w:pPr>
        <w:rPr>
          <w:rFonts w:asciiTheme="majorHAnsi" w:hAnsiTheme="majorHAnsi" w:cstheme="majorHAnsi"/>
          <w:b/>
          <w:bCs/>
          <w:sz w:val="26"/>
          <w:szCs w:val="26"/>
          <w:u w:val="single"/>
        </w:rPr>
      </w:pPr>
      <w:r w:rsidRPr="00037AD4">
        <w:rPr>
          <w:rFonts w:asciiTheme="majorHAnsi" w:hAnsiTheme="majorHAnsi" w:cstheme="majorHAnsi"/>
          <w:b/>
          <w:bCs/>
          <w:sz w:val="26"/>
          <w:szCs w:val="26"/>
          <w:u w:val="single"/>
        </w:rPr>
        <w:t xml:space="preserve">5.4.3.3 Responsiveness evidence – usual activities </w:t>
      </w:r>
    </w:p>
    <w:p w14:paraId="476CA738" w14:textId="77777777" w:rsidR="00B54D51" w:rsidRPr="00037AD4" w:rsidRDefault="00B54D51" w:rsidP="00DF6031">
      <w:pPr>
        <w:rPr>
          <w:rFonts w:asciiTheme="minorHAnsi" w:hAnsiTheme="minorHAnsi" w:cstheme="minorHAnsi"/>
        </w:rPr>
      </w:pPr>
    </w:p>
    <w:p w14:paraId="2E57DFBE" w14:textId="77777777" w:rsidR="00B54D51" w:rsidRPr="007D0518" w:rsidRDefault="00B54D51" w:rsidP="00DF6031">
      <w:pPr>
        <w:rPr>
          <w:rFonts w:asciiTheme="minorHAnsi" w:hAnsiTheme="minorHAnsi" w:cstheme="minorHAnsi"/>
        </w:rPr>
      </w:pPr>
      <w:r w:rsidRPr="007D0518">
        <w:rPr>
          <w:rFonts w:asciiTheme="minorHAnsi" w:hAnsiTheme="minorHAnsi" w:cstheme="minorHAnsi"/>
        </w:rPr>
        <w:t xml:space="preserve">The effect size estimations for the “usual activities” dimension ratings are provided in </w:t>
      </w:r>
      <w:hyperlink w:anchor="TableA54d" w:history="1">
        <w:r w:rsidRPr="007D0518">
          <w:rPr>
            <w:rStyle w:val="Hyperlink"/>
            <w:rFonts w:asciiTheme="minorHAnsi" w:hAnsiTheme="minorHAnsi" w:cstheme="minorHAnsi"/>
            <w:color w:val="auto"/>
            <w:u w:val="none"/>
          </w:rPr>
          <w:t>Table A5.4d in Appendix 5.4</w:t>
        </w:r>
      </w:hyperlink>
      <w:r w:rsidRPr="007D0518">
        <w:rPr>
          <w:rFonts w:asciiTheme="minorHAnsi" w:hAnsiTheme="minorHAnsi" w:cstheme="minorHAnsi"/>
        </w:rPr>
        <w:t xml:space="preserve">. As shown, effect size estimates generated from proxy reports were larger than those from PwD-self reports. The changes in “usual activities” that were associated with worsened CDR stage produced moderate effect size estimates when rated by informal (-0.66) and staff (-0.64) proxies. The effect size estimates associated with change in functional status were equal for both proxy types (at -0.33). </w:t>
      </w:r>
    </w:p>
    <w:p w14:paraId="7C2F520A" w14:textId="77777777" w:rsidR="00B54D51" w:rsidRPr="00037AD4" w:rsidRDefault="00B54D51" w:rsidP="00DF6031">
      <w:pPr>
        <w:rPr>
          <w:rFonts w:asciiTheme="minorHAnsi" w:hAnsiTheme="minorHAnsi" w:cstheme="minorHAnsi"/>
        </w:rPr>
      </w:pPr>
    </w:p>
    <w:p w14:paraId="3E6B378E" w14:textId="77777777" w:rsidR="00B54D51" w:rsidRPr="00037AD4" w:rsidRDefault="00B54D51" w:rsidP="00DF6031">
      <w:pPr>
        <w:rPr>
          <w:rFonts w:asciiTheme="minorHAnsi" w:hAnsiTheme="minorHAnsi" w:cstheme="minorHAnsi"/>
          <w:color w:val="FF0000"/>
        </w:rPr>
      </w:pPr>
      <w:r w:rsidRPr="00037AD4">
        <w:rPr>
          <w:rFonts w:asciiTheme="minorHAnsi" w:hAnsiTheme="minorHAnsi" w:cstheme="minorHAnsi"/>
        </w:rPr>
        <w:t xml:space="preserve">Although the correlation coefficients for changes with this dimension were generally small, they were consistently larger for proxy ratings. The largest correlation was seen for changes in function measured via IADL-PSMS and changes in informal proxy rated “usual activities” (r=-0.31). “Usual activities” changes alongside depression (via CSDD) did not produce any notable correlations. The full summary is provided in </w:t>
      </w:r>
      <w:hyperlink w:anchor="TableA54j" w:history="1">
        <w:r w:rsidRPr="007D0518">
          <w:rPr>
            <w:rStyle w:val="Hyperlink"/>
            <w:rFonts w:asciiTheme="minorHAnsi" w:hAnsiTheme="minorHAnsi" w:cstheme="minorHAnsi"/>
            <w:color w:val="auto"/>
            <w:u w:val="none"/>
          </w:rPr>
          <w:t>Table A5.4j of Appendix 5.4.</w:t>
        </w:r>
        <w:r w:rsidRPr="007D0518">
          <w:rPr>
            <w:rStyle w:val="Hyperlink"/>
            <w:rFonts w:asciiTheme="minorHAnsi" w:hAnsiTheme="minorHAnsi" w:cstheme="minorHAnsi"/>
            <w:color w:val="auto"/>
          </w:rPr>
          <w:t xml:space="preserve"> </w:t>
        </w:r>
      </w:hyperlink>
      <w:r w:rsidRPr="007D0518">
        <w:rPr>
          <w:rFonts w:asciiTheme="minorHAnsi" w:hAnsiTheme="minorHAnsi" w:cstheme="minorHAnsi"/>
        </w:rPr>
        <w:t xml:space="preserve"> </w:t>
      </w:r>
    </w:p>
    <w:p w14:paraId="323F080C" w14:textId="77777777" w:rsidR="00B54D51" w:rsidRPr="00037AD4" w:rsidRDefault="00B54D51" w:rsidP="00DF6031">
      <w:pPr>
        <w:rPr>
          <w:rFonts w:asciiTheme="minorHAnsi" w:hAnsiTheme="minorHAnsi" w:cstheme="minorHAnsi"/>
          <w:color w:val="FF0000"/>
        </w:rPr>
      </w:pPr>
    </w:p>
    <w:p w14:paraId="37247672" w14:textId="77777777" w:rsidR="00B54D51" w:rsidRPr="00037AD4" w:rsidRDefault="00B54D51" w:rsidP="007A43F9">
      <w:pPr>
        <w:pStyle w:val="Heading3"/>
      </w:pPr>
      <w:bookmarkStart w:id="365" w:name="_Toc175742329"/>
      <w:r w:rsidRPr="00037AD4">
        <w:t>5.4.4 Pain/discomfort</w:t>
      </w:r>
      <w:bookmarkEnd w:id="365"/>
      <w:r w:rsidRPr="00037AD4">
        <w:t xml:space="preserve"> </w:t>
      </w:r>
    </w:p>
    <w:p w14:paraId="0CE0D533" w14:textId="77777777" w:rsidR="00B54D51" w:rsidRPr="00037AD4" w:rsidRDefault="00B54D51" w:rsidP="00DF6031">
      <w:pPr>
        <w:rPr>
          <w:rFonts w:asciiTheme="minorHAnsi" w:hAnsiTheme="minorHAnsi" w:cstheme="minorHAnsi"/>
          <w:color w:val="FF0000"/>
        </w:rPr>
      </w:pPr>
    </w:p>
    <w:p w14:paraId="285FBA94" w14:textId="77777777" w:rsidR="00B54D51" w:rsidRPr="00037AD4" w:rsidRDefault="00B54D51" w:rsidP="00ED17B8">
      <w:pPr>
        <w:rPr>
          <w:rFonts w:asciiTheme="minorHAnsi" w:hAnsiTheme="minorHAnsi" w:cstheme="minorHAnsi"/>
        </w:rPr>
      </w:pPr>
      <w:r w:rsidRPr="00037AD4">
        <w:rPr>
          <w:rFonts w:asciiTheme="minorHAnsi" w:hAnsiTheme="minorHAnsi" w:cstheme="minorHAnsi"/>
        </w:rPr>
        <w:t xml:space="preserve">Figure 20 shows the direction of change for reports provided for the “pain/discomfort” dimension. Reports provided by all three respondents present a relatively similar pattern for the direction of change over time, with over 50% of all three respondents reporting no change in this dimension from T0 to T2. A slightly larger proportion of staff proxies reported no change in “pain/discomfort”, alongside fewer reports of worsening change. </w:t>
      </w:r>
    </w:p>
    <w:p w14:paraId="567547BF" w14:textId="77777777" w:rsidR="00B54D51" w:rsidRPr="00037AD4" w:rsidRDefault="00B54D51" w:rsidP="00ED17B8">
      <w:pPr>
        <w:rPr>
          <w:rFonts w:asciiTheme="minorHAnsi" w:hAnsiTheme="minorHAnsi" w:cstheme="minorHAnsi"/>
        </w:rPr>
      </w:pPr>
    </w:p>
    <w:p w14:paraId="1B7AAAD0" w14:textId="77777777" w:rsidR="00673F38" w:rsidRDefault="00673F38" w:rsidP="00ED17B8">
      <w:pPr>
        <w:rPr>
          <w:rFonts w:asciiTheme="minorHAnsi" w:hAnsiTheme="minorHAnsi" w:cstheme="minorHAnsi"/>
          <w:b/>
          <w:bCs/>
          <w:i/>
          <w:iCs/>
        </w:rPr>
      </w:pPr>
    </w:p>
    <w:p w14:paraId="7A1CDDEF" w14:textId="77777777" w:rsidR="00673F38" w:rsidRDefault="00673F38" w:rsidP="00ED17B8">
      <w:pPr>
        <w:rPr>
          <w:rFonts w:asciiTheme="minorHAnsi" w:hAnsiTheme="minorHAnsi" w:cstheme="minorHAnsi"/>
          <w:b/>
          <w:bCs/>
          <w:i/>
          <w:iCs/>
        </w:rPr>
      </w:pPr>
    </w:p>
    <w:p w14:paraId="4C8E5CB4" w14:textId="77777777" w:rsidR="00673F38" w:rsidRDefault="00673F38" w:rsidP="00ED17B8">
      <w:pPr>
        <w:rPr>
          <w:rFonts w:asciiTheme="minorHAnsi" w:hAnsiTheme="minorHAnsi" w:cstheme="minorHAnsi"/>
          <w:b/>
          <w:bCs/>
          <w:i/>
          <w:iCs/>
        </w:rPr>
      </w:pPr>
    </w:p>
    <w:p w14:paraId="3E578C2A" w14:textId="77777777" w:rsidR="00673F38" w:rsidRDefault="00673F38" w:rsidP="00ED17B8">
      <w:pPr>
        <w:rPr>
          <w:rFonts w:asciiTheme="minorHAnsi" w:hAnsiTheme="minorHAnsi" w:cstheme="minorHAnsi"/>
          <w:b/>
          <w:bCs/>
          <w:i/>
          <w:iCs/>
        </w:rPr>
      </w:pPr>
    </w:p>
    <w:p w14:paraId="6C4E4CFD" w14:textId="0C8751BE" w:rsidR="00B54D51" w:rsidRPr="00037AD4" w:rsidRDefault="00B54D51" w:rsidP="00ED17B8">
      <w:pPr>
        <w:rPr>
          <w:rFonts w:asciiTheme="minorHAnsi" w:hAnsiTheme="minorHAnsi" w:cstheme="minorHAnsi"/>
          <w:b/>
          <w:bCs/>
          <w:i/>
          <w:iCs/>
        </w:rPr>
      </w:pPr>
      <w:r w:rsidRPr="00037AD4">
        <w:rPr>
          <w:rFonts w:asciiTheme="minorHAnsi" w:hAnsiTheme="minorHAnsi" w:cstheme="minorHAnsi"/>
          <w:b/>
          <w:bCs/>
          <w:i/>
          <w:iCs/>
        </w:rPr>
        <w:lastRenderedPageBreak/>
        <w:t>Figure 20, Direction of pain/discomfort change from T0 to T2</w:t>
      </w:r>
    </w:p>
    <w:p w14:paraId="12EC879D" w14:textId="77777777" w:rsidR="00B54D51" w:rsidRPr="00037AD4" w:rsidRDefault="00B54D51" w:rsidP="00ED17B8">
      <w:pPr>
        <w:rPr>
          <w:rFonts w:asciiTheme="minorHAnsi" w:hAnsiTheme="minorHAnsi" w:cstheme="minorHAnsi"/>
        </w:rPr>
      </w:pPr>
    </w:p>
    <w:p w14:paraId="171B55B3" w14:textId="77777777" w:rsidR="00B54D51" w:rsidRPr="00037AD4" w:rsidRDefault="00B54D51" w:rsidP="00ED17B8">
      <w:pPr>
        <w:rPr>
          <w:rFonts w:asciiTheme="minorHAnsi" w:hAnsiTheme="minorHAnsi" w:cstheme="minorHAnsi"/>
        </w:rPr>
      </w:pPr>
      <w:r w:rsidRPr="00037AD4">
        <w:rPr>
          <w:rFonts w:asciiTheme="minorHAnsi" w:hAnsiTheme="minorHAnsi" w:cstheme="minorHAnsi"/>
          <w:noProof/>
        </w:rPr>
        <w:drawing>
          <wp:inline distT="0" distB="0" distL="0" distR="0" wp14:anchorId="2C746499" wp14:editId="0843FEE1">
            <wp:extent cx="4464000" cy="2448000"/>
            <wp:effectExtent l="0" t="0" r="6985" b="15875"/>
            <wp:docPr id="59" name="Chart 59">
              <a:extLst xmlns:a="http://schemas.openxmlformats.org/drawingml/2006/main">
                <a:ext uri="{FF2B5EF4-FFF2-40B4-BE49-F238E27FC236}">
                  <a16:creationId xmlns:a16="http://schemas.microsoft.com/office/drawing/2014/main" id="{5575C589-01F7-F720-6E8C-7EB7570D9E3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0EB36855" w14:textId="77777777" w:rsidR="00B54D51" w:rsidRPr="00037AD4" w:rsidRDefault="00B54D51" w:rsidP="00ED17B8">
      <w:pPr>
        <w:rPr>
          <w:rFonts w:asciiTheme="minorHAnsi" w:hAnsiTheme="minorHAnsi" w:cstheme="minorHAnsi"/>
        </w:rPr>
      </w:pPr>
    </w:p>
    <w:p w14:paraId="13B6301E" w14:textId="77777777" w:rsidR="00B54D51" w:rsidRPr="007D0518" w:rsidRDefault="00B54D51" w:rsidP="00ED17B8">
      <w:pPr>
        <w:rPr>
          <w:rFonts w:asciiTheme="minorHAnsi" w:hAnsiTheme="minorHAnsi" w:cstheme="minorHAnsi"/>
        </w:rPr>
      </w:pPr>
      <w:r w:rsidRPr="00037AD4">
        <w:rPr>
          <w:rFonts w:asciiTheme="minorHAnsi" w:hAnsiTheme="minorHAnsi" w:cstheme="minorHAnsi"/>
        </w:rPr>
        <w:t>There was a near balanced split of PwD-informal proxy dyads reporting change in either the same or opposing directions from one another for the “pain/discomfort” dimension from T0 to T2. Of the dyads reporting change in the same direction, the majority (66%) have reported a matched response of no change in “pain/discomfort” status. For PwD-staff proxy dyads, a slightly larger proportion of dyads reported</w:t>
      </w:r>
      <w:r w:rsidRPr="007D0518">
        <w:rPr>
          <w:rFonts w:asciiTheme="minorHAnsi" w:hAnsiTheme="minorHAnsi" w:cstheme="minorHAnsi"/>
        </w:rPr>
        <w:t xml:space="preserve"> change in the same direction, similarly over 77% have reported matched no change in this dimension. See </w:t>
      </w:r>
      <w:hyperlink w:anchor="A51" w:history="1">
        <w:r w:rsidRPr="007D0518">
          <w:rPr>
            <w:rStyle w:val="Hyperlink"/>
            <w:rFonts w:asciiTheme="minorHAnsi" w:hAnsiTheme="minorHAnsi" w:cstheme="minorHAnsi"/>
            <w:color w:val="auto"/>
            <w:u w:val="none"/>
          </w:rPr>
          <w:t>Appendix 5.1</w:t>
        </w:r>
      </w:hyperlink>
      <w:r w:rsidRPr="007D0518">
        <w:rPr>
          <w:rFonts w:asciiTheme="minorHAnsi" w:hAnsiTheme="minorHAnsi" w:cstheme="minorHAnsi"/>
        </w:rPr>
        <w:t xml:space="preserve"> for this information.  </w:t>
      </w:r>
    </w:p>
    <w:p w14:paraId="4F609AF5" w14:textId="77777777" w:rsidR="00B54D51" w:rsidRPr="007D0518" w:rsidRDefault="00B54D51" w:rsidP="00ED17B8">
      <w:pPr>
        <w:rPr>
          <w:rFonts w:asciiTheme="minorHAnsi" w:hAnsiTheme="minorHAnsi" w:cstheme="minorHAnsi"/>
        </w:rPr>
      </w:pPr>
    </w:p>
    <w:p w14:paraId="48257B5A" w14:textId="77777777" w:rsidR="00B54D51" w:rsidRPr="007D0518" w:rsidRDefault="00B54D51" w:rsidP="00ED17B8">
      <w:pPr>
        <w:rPr>
          <w:rFonts w:asciiTheme="minorHAnsi" w:hAnsiTheme="minorHAnsi" w:cstheme="minorHAnsi"/>
        </w:rPr>
      </w:pPr>
      <w:r w:rsidRPr="007D0518">
        <w:rPr>
          <w:rFonts w:asciiTheme="minorHAnsi" w:hAnsiTheme="minorHAnsi" w:cstheme="minorHAnsi"/>
        </w:rPr>
        <w:t xml:space="preserve">Ceiling effects were observed for the “pain/discomfort” dimension, whereby over 60% of people with dementia and over 70% of staff-proxies reported “no problems” in this EQ-5D dimension. A large proportion of informal proxies (over 40%) also reported “no problems” in this dimension, refer to </w:t>
      </w:r>
      <w:hyperlink w:anchor="A52" w:history="1">
        <w:r w:rsidRPr="007D0518">
          <w:rPr>
            <w:rStyle w:val="Hyperlink"/>
            <w:rFonts w:asciiTheme="minorHAnsi" w:hAnsiTheme="minorHAnsi" w:cstheme="minorHAnsi"/>
            <w:color w:val="auto"/>
            <w:u w:val="none"/>
          </w:rPr>
          <w:t>Appendix 5.2.</w:t>
        </w:r>
      </w:hyperlink>
      <w:r w:rsidRPr="007D0518">
        <w:rPr>
          <w:rFonts w:asciiTheme="minorHAnsi" w:hAnsiTheme="minorHAnsi" w:cstheme="minorHAnsi"/>
        </w:rPr>
        <w:t xml:space="preserve"> </w:t>
      </w:r>
    </w:p>
    <w:p w14:paraId="60F9F712" w14:textId="24F78CC5" w:rsidR="00B54D51" w:rsidRPr="007D0518" w:rsidRDefault="00B54D51" w:rsidP="00DF6031">
      <w:pPr>
        <w:rPr>
          <w:rFonts w:asciiTheme="minorHAnsi" w:hAnsiTheme="minorHAnsi" w:cstheme="minorHAnsi"/>
        </w:rPr>
      </w:pPr>
    </w:p>
    <w:p w14:paraId="70886366" w14:textId="77777777" w:rsidR="00B54D51" w:rsidRPr="00037AD4" w:rsidRDefault="00B54D51" w:rsidP="00C15510">
      <w:pPr>
        <w:rPr>
          <w:rFonts w:asciiTheme="majorHAnsi" w:hAnsiTheme="majorHAnsi" w:cstheme="majorHAnsi"/>
          <w:sz w:val="26"/>
          <w:szCs w:val="26"/>
        </w:rPr>
      </w:pPr>
      <w:r w:rsidRPr="00037AD4">
        <w:rPr>
          <w:rFonts w:asciiTheme="majorHAnsi" w:hAnsiTheme="majorHAnsi" w:cstheme="majorHAnsi"/>
          <w:b/>
          <w:bCs/>
          <w:sz w:val="26"/>
          <w:szCs w:val="26"/>
          <w:u w:val="single"/>
        </w:rPr>
        <w:t xml:space="preserve">5.4.4.1 Pain/discomfort change alongside dementia symptom measures  </w:t>
      </w:r>
    </w:p>
    <w:p w14:paraId="3B5A358B" w14:textId="77777777" w:rsidR="00B54D51" w:rsidRPr="00037AD4" w:rsidRDefault="00B54D51" w:rsidP="00C15510">
      <w:pPr>
        <w:rPr>
          <w:rFonts w:asciiTheme="minorHAnsi" w:hAnsiTheme="minorHAnsi" w:cstheme="minorHAnsi"/>
        </w:rPr>
      </w:pPr>
    </w:p>
    <w:p w14:paraId="0EC4E825" w14:textId="33C30F2B" w:rsidR="00B54D51" w:rsidRPr="007D0518" w:rsidRDefault="00B54D51" w:rsidP="00C15510">
      <w:pPr>
        <w:rPr>
          <w:rFonts w:asciiTheme="minorHAnsi" w:hAnsiTheme="minorHAnsi" w:cstheme="minorHAnsi"/>
        </w:rPr>
      </w:pPr>
      <w:r w:rsidRPr="00037AD4">
        <w:rPr>
          <w:rFonts w:asciiTheme="minorHAnsi" w:hAnsiTheme="minorHAnsi" w:cstheme="minorHAnsi"/>
        </w:rPr>
        <w:t xml:space="preserve">Dyadic change in “pain/discomfort” was explored alongside change in functional status and behaviour/mood of the PwD, as per the outcomes presented in </w:t>
      </w:r>
      <w:hyperlink w:anchor="A5" w:history="1">
        <w:r w:rsidRPr="007D0518">
          <w:rPr>
            <w:rStyle w:val="Hyperlink"/>
            <w:rFonts w:asciiTheme="minorHAnsi" w:hAnsiTheme="minorHAnsi" w:cstheme="minorHAnsi"/>
            <w:color w:val="auto"/>
            <w:u w:val="none"/>
          </w:rPr>
          <w:t>Appendix 5.</w:t>
        </w:r>
      </w:hyperlink>
    </w:p>
    <w:p w14:paraId="330A9455" w14:textId="77777777" w:rsidR="00B54D51" w:rsidRPr="00037AD4" w:rsidRDefault="00B54D51" w:rsidP="00C15510">
      <w:pPr>
        <w:rPr>
          <w:rFonts w:asciiTheme="minorHAnsi" w:hAnsiTheme="minorHAnsi" w:cstheme="minorHAnsi"/>
          <w:strike/>
        </w:rPr>
      </w:pPr>
    </w:p>
    <w:p w14:paraId="37E93FE5" w14:textId="77777777" w:rsidR="00B54D51" w:rsidRPr="00037AD4" w:rsidRDefault="00B54D51" w:rsidP="00C15510">
      <w:pPr>
        <w:rPr>
          <w:rFonts w:asciiTheme="minorHAnsi" w:hAnsiTheme="minorHAnsi" w:cstheme="minorHAnsi"/>
        </w:rPr>
      </w:pPr>
      <w:r w:rsidRPr="00037AD4">
        <w:rPr>
          <w:rFonts w:asciiTheme="minorHAnsi" w:hAnsiTheme="minorHAnsi" w:cstheme="minorHAnsi"/>
        </w:rPr>
        <w:t xml:space="preserve">Figure 21a displays the associations with functional status and shows that 65% of people with dementia and informal proxies alike who reported a worsening in “pain/discomfort” were in cases where the PwD’s functional status had worsened (compared with 38% of staff proxies). However, again, 60% of people with dementia and informal proxies who reported no change in “pain/discomfort” were where the PwD’s function had worsened (vs. 38% of staff proxy reports of no change in “pain/discomfort” where the PwD’s functional status had worsened). Where the PwD’s functional status remained stable, around 54% of staff proxy reports of no change in “pain/discomfort” aligned (vs. 27% for people with dementia and 29% for informal proxies). </w:t>
      </w:r>
    </w:p>
    <w:p w14:paraId="0A4504D1" w14:textId="77777777" w:rsidR="00B54D51" w:rsidRPr="00037AD4" w:rsidRDefault="00B54D51" w:rsidP="00C15510">
      <w:pPr>
        <w:rPr>
          <w:rFonts w:asciiTheme="minorHAnsi" w:hAnsiTheme="minorHAnsi" w:cstheme="minorHAnsi"/>
        </w:rPr>
      </w:pPr>
    </w:p>
    <w:p w14:paraId="14D68A7D" w14:textId="77777777" w:rsidR="00B54D51" w:rsidRPr="00037AD4" w:rsidRDefault="00B54D51" w:rsidP="00C15510">
      <w:pPr>
        <w:rPr>
          <w:rFonts w:asciiTheme="minorHAnsi" w:hAnsiTheme="minorHAnsi" w:cstheme="minorHAnsi"/>
        </w:rPr>
      </w:pPr>
      <w:r w:rsidRPr="00037AD4">
        <w:rPr>
          <w:rFonts w:asciiTheme="minorHAnsi" w:hAnsiTheme="minorHAnsi" w:cstheme="minorHAnsi"/>
        </w:rPr>
        <w:t xml:space="preserve">Figure 21b displays the associations between the direction of “pain/discomfort” dimension reports and changes in behaviour/mood status. Where reports reflected a worsening in </w:t>
      </w:r>
      <w:r w:rsidRPr="00037AD4">
        <w:rPr>
          <w:rFonts w:asciiTheme="minorHAnsi" w:hAnsiTheme="minorHAnsi" w:cstheme="minorHAnsi"/>
        </w:rPr>
        <w:lastRenderedPageBreak/>
        <w:t xml:space="preserve">“pain/discomfort” scores, over 50% of people with dementia, informal and staff proxies provided this response where the PwD’s behaviour/mood had also worsened. Similarly, where the respondents reported no change in “pain/discomfort” this corresponded with stable behaviour/mood status for 10% of people with dementia, informal and staff proxies. Staff proxies were the respondents for whom the largest proportion of improved “pain/discomfort” status corresponded with an improvement of behaviour/mood for the PwD (56%, vs. 39% for people with dementia and 45% for informal proxies). </w:t>
      </w:r>
    </w:p>
    <w:p w14:paraId="058B989B" w14:textId="77777777" w:rsidR="00B54D51" w:rsidRPr="00037AD4" w:rsidRDefault="00B54D51" w:rsidP="00C15510">
      <w:pPr>
        <w:rPr>
          <w:rFonts w:asciiTheme="minorHAnsi" w:hAnsiTheme="minorHAnsi" w:cstheme="minorHAnsi"/>
          <w:b/>
          <w:bCs/>
          <w:i/>
          <w:iCs/>
        </w:rPr>
      </w:pPr>
    </w:p>
    <w:p w14:paraId="576A38D1" w14:textId="40A470F9" w:rsidR="00B54D51" w:rsidRPr="00037AD4" w:rsidRDefault="00B54D51" w:rsidP="00C15510">
      <w:pPr>
        <w:rPr>
          <w:rFonts w:asciiTheme="minorHAnsi" w:hAnsiTheme="minorHAnsi" w:cstheme="minorHAnsi"/>
          <w:b/>
          <w:bCs/>
          <w:i/>
          <w:iCs/>
        </w:rPr>
      </w:pPr>
      <w:r w:rsidRPr="00037AD4">
        <w:rPr>
          <w:rFonts w:asciiTheme="minorHAnsi" w:hAnsiTheme="minorHAnsi" w:cstheme="minorHAnsi"/>
          <w:b/>
          <w:bCs/>
          <w:i/>
          <w:iCs/>
        </w:rPr>
        <w:t xml:space="preserve">Figure 21a, Direction </w:t>
      </w:r>
      <w:r w:rsidR="002A4B43">
        <w:rPr>
          <w:rFonts w:asciiTheme="minorHAnsi" w:hAnsiTheme="minorHAnsi" w:cstheme="minorHAnsi"/>
          <w:b/>
          <w:bCs/>
          <w:i/>
          <w:iCs/>
        </w:rPr>
        <w:t>of</w:t>
      </w:r>
      <w:r w:rsidRPr="00037AD4">
        <w:rPr>
          <w:rFonts w:asciiTheme="minorHAnsi" w:hAnsiTheme="minorHAnsi" w:cstheme="minorHAnsi"/>
          <w:b/>
          <w:bCs/>
          <w:i/>
          <w:iCs/>
        </w:rPr>
        <w:t xml:space="preserve"> function status progression</w:t>
      </w:r>
      <w:r w:rsidR="002A4B43">
        <w:rPr>
          <w:rFonts w:asciiTheme="minorHAnsi" w:hAnsiTheme="minorHAnsi" w:cstheme="minorHAnsi"/>
          <w:b/>
          <w:bCs/>
          <w:i/>
          <w:iCs/>
        </w:rPr>
        <w:t xml:space="preserve"> by pain/discomfort change </w:t>
      </w:r>
    </w:p>
    <w:p w14:paraId="211280D8" w14:textId="77777777" w:rsidR="00B54D51" w:rsidRPr="00037AD4" w:rsidRDefault="00B54D51" w:rsidP="00C15510">
      <w:pPr>
        <w:rPr>
          <w:rFonts w:asciiTheme="minorHAnsi" w:hAnsiTheme="minorHAnsi" w:cstheme="minorHAnsi"/>
          <w:color w:val="FF0000"/>
        </w:rPr>
      </w:pPr>
    </w:p>
    <w:p w14:paraId="5DE5ACEB" w14:textId="77777777" w:rsidR="00B54D51" w:rsidRPr="00037AD4" w:rsidRDefault="00B54D51" w:rsidP="00C15510">
      <w:pPr>
        <w:rPr>
          <w:rFonts w:asciiTheme="minorHAnsi" w:hAnsiTheme="minorHAnsi" w:cstheme="minorHAnsi"/>
        </w:rPr>
      </w:pPr>
      <w:r w:rsidRPr="00037AD4">
        <w:rPr>
          <w:rFonts w:asciiTheme="minorHAnsi" w:hAnsiTheme="minorHAnsi" w:cstheme="minorHAnsi"/>
          <w:noProof/>
        </w:rPr>
        <w:drawing>
          <wp:inline distT="0" distB="0" distL="0" distR="0" wp14:anchorId="3395A12E" wp14:editId="0E553855">
            <wp:extent cx="5845810" cy="2966936"/>
            <wp:effectExtent l="0" t="0" r="8890" b="17780"/>
            <wp:docPr id="86" name="Chart 86">
              <a:extLst xmlns:a="http://schemas.openxmlformats.org/drawingml/2006/main">
                <a:ext uri="{FF2B5EF4-FFF2-40B4-BE49-F238E27FC236}">
                  <a16:creationId xmlns:a16="http://schemas.microsoft.com/office/drawing/2014/main" id="{E655BCD1-3638-FCF6-8586-56C6FD7C855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3EDCD127" w14:textId="77777777" w:rsidR="007D0518" w:rsidRDefault="007D0518" w:rsidP="00C15510">
      <w:pPr>
        <w:rPr>
          <w:rFonts w:asciiTheme="minorHAnsi" w:hAnsiTheme="minorHAnsi" w:cstheme="minorHAnsi"/>
          <w:b/>
          <w:bCs/>
          <w:i/>
          <w:iCs/>
        </w:rPr>
      </w:pPr>
    </w:p>
    <w:p w14:paraId="3C66B685" w14:textId="693BAF55" w:rsidR="00B54D51" w:rsidRPr="00037AD4" w:rsidRDefault="00B54D51" w:rsidP="00C15510">
      <w:pPr>
        <w:rPr>
          <w:rFonts w:asciiTheme="minorHAnsi" w:hAnsiTheme="minorHAnsi" w:cstheme="minorHAnsi"/>
          <w:b/>
          <w:bCs/>
          <w:i/>
          <w:iCs/>
        </w:rPr>
      </w:pPr>
      <w:r w:rsidRPr="00037AD4">
        <w:rPr>
          <w:rFonts w:asciiTheme="minorHAnsi" w:hAnsiTheme="minorHAnsi" w:cstheme="minorHAnsi"/>
          <w:b/>
          <w:bCs/>
          <w:i/>
          <w:iCs/>
        </w:rPr>
        <w:t>Figure 21b, Direction of behaviour/mood status progression</w:t>
      </w:r>
      <w:r w:rsidR="002A4B43">
        <w:rPr>
          <w:rFonts w:asciiTheme="minorHAnsi" w:hAnsiTheme="minorHAnsi" w:cstheme="minorHAnsi"/>
          <w:b/>
          <w:bCs/>
          <w:i/>
          <w:iCs/>
        </w:rPr>
        <w:t xml:space="preserve"> by pain/discomfort change </w:t>
      </w:r>
    </w:p>
    <w:p w14:paraId="4B74EE52" w14:textId="77777777" w:rsidR="00B54D51" w:rsidRPr="00037AD4" w:rsidRDefault="00B54D51" w:rsidP="00C15510">
      <w:pPr>
        <w:rPr>
          <w:rFonts w:asciiTheme="minorHAnsi" w:hAnsiTheme="minorHAnsi" w:cstheme="minorHAnsi"/>
        </w:rPr>
      </w:pPr>
    </w:p>
    <w:p w14:paraId="5FE7B01B" w14:textId="77777777" w:rsidR="00B54D51" w:rsidRPr="00037AD4" w:rsidRDefault="00B54D51" w:rsidP="00C15510">
      <w:pPr>
        <w:rPr>
          <w:rFonts w:asciiTheme="minorHAnsi" w:hAnsiTheme="minorHAnsi" w:cstheme="minorHAnsi"/>
        </w:rPr>
      </w:pPr>
      <w:r w:rsidRPr="00037AD4">
        <w:rPr>
          <w:rFonts w:asciiTheme="minorHAnsi" w:hAnsiTheme="minorHAnsi" w:cstheme="minorHAnsi"/>
          <w:noProof/>
        </w:rPr>
        <w:drawing>
          <wp:inline distT="0" distB="0" distL="0" distR="0" wp14:anchorId="765EC774" wp14:editId="2D169E49">
            <wp:extent cx="5846323" cy="3005847"/>
            <wp:effectExtent l="0" t="0" r="8890" b="17145"/>
            <wp:docPr id="85" name="Chart 85">
              <a:extLst xmlns:a="http://schemas.openxmlformats.org/drawingml/2006/main">
                <a:ext uri="{FF2B5EF4-FFF2-40B4-BE49-F238E27FC236}">
                  <a16:creationId xmlns:a16="http://schemas.microsoft.com/office/drawing/2014/main" id="{7382E244-5516-8FB3-A4B2-AD52EFBD046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565BE05C" w14:textId="77777777" w:rsidR="00B54D51" w:rsidRPr="00037AD4" w:rsidRDefault="00B54D51" w:rsidP="00C15510">
      <w:pPr>
        <w:rPr>
          <w:rFonts w:asciiTheme="minorHAnsi" w:hAnsiTheme="minorHAnsi" w:cstheme="minorHAnsi"/>
        </w:rPr>
      </w:pPr>
    </w:p>
    <w:p w14:paraId="373F7702" w14:textId="77777777" w:rsidR="00673F38" w:rsidRDefault="00B54D51" w:rsidP="00C15510">
      <w:pPr>
        <w:rPr>
          <w:rFonts w:asciiTheme="minorHAnsi" w:hAnsiTheme="minorHAnsi" w:cstheme="minorHAnsi"/>
        </w:rPr>
      </w:pPr>
      <w:r w:rsidRPr="00037AD4">
        <w:rPr>
          <w:rFonts w:asciiTheme="minorHAnsi" w:hAnsiTheme="minorHAnsi" w:cstheme="minorHAnsi"/>
          <w:b/>
          <w:bCs/>
          <w:noProof/>
          <w:u w:val="single"/>
        </w:rPr>
        <mc:AlternateContent>
          <mc:Choice Requires="wps">
            <w:drawing>
              <wp:anchor distT="0" distB="0" distL="114300" distR="114300" simplePos="0" relativeHeight="251680768" behindDoc="0" locked="0" layoutInCell="1" allowOverlap="1" wp14:anchorId="57C314C9" wp14:editId="72013AAF">
                <wp:simplePos x="0" y="0"/>
                <wp:positionH relativeFrom="column">
                  <wp:posOffset>0</wp:posOffset>
                </wp:positionH>
                <wp:positionV relativeFrom="paragraph">
                  <wp:posOffset>-635</wp:posOffset>
                </wp:positionV>
                <wp:extent cx="2317898" cy="287079"/>
                <wp:effectExtent l="0" t="0" r="19050" b="17780"/>
                <wp:wrapNone/>
                <wp:docPr id="99" name="Text Box 99"/>
                <wp:cNvGraphicFramePr/>
                <a:graphic xmlns:a="http://schemas.openxmlformats.org/drawingml/2006/main">
                  <a:graphicData uri="http://schemas.microsoft.com/office/word/2010/wordprocessingShape">
                    <wps:wsp>
                      <wps:cNvSpPr txBox="1"/>
                      <wps:spPr>
                        <a:xfrm>
                          <a:off x="0" y="0"/>
                          <a:ext cx="2317898" cy="287079"/>
                        </a:xfrm>
                        <a:prstGeom prst="rect">
                          <a:avLst/>
                        </a:prstGeom>
                        <a:ln/>
                      </wps:spPr>
                      <wps:style>
                        <a:lnRef idx="2">
                          <a:schemeClr val="accent3"/>
                        </a:lnRef>
                        <a:fillRef idx="1">
                          <a:schemeClr val="lt1"/>
                        </a:fillRef>
                        <a:effectRef idx="0">
                          <a:schemeClr val="accent3"/>
                        </a:effectRef>
                        <a:fontRef idx="minor">
                          <a:schemeClr val="dk1"/>
                        </a:fontRef>
                      </wps:style>
                      <wps:txbx>
                        <w:txbxContent>
                          <w:p w14:paraId="0DFAE6F8" w14:textId="77777777" w:rsidR="00B54D51" w:rsidRPr="00C15510" w:rsidRDefault="00B54D51" w:rsidP="00C15510">
                            <w:pPr>
                              <w:rPr>
                                <w:rFonts w:asciiTheme="minorHAnsi" w:hAnsiTheme="minorHAnsi" w:cstheme="minorHAnsi"/>
                                <w:i/>
                                <w:iCs/>
                              </w:rPr>
                            </w:pPr>
                            <w:r w:rsidRPr="00C15510">
                              <w:rPr>
                                <w:rFonts w:asciiTheme="minorHAnsi" w:hAnsiTheme="minorHAnsi" w:cstheme="minorHAnsi"/>
                                <w:i/>
                                <w:iCs/>
                              </w:rPr>
                              <w:t>PR, informal proxy; ST, staff proxy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C314C9" id="Text Box 99" o:spid="_x0000_s1041" type="#_x0000_t202" style="position:absolute;margin-left:0;margin-top:-.05pt;width:182.5pt;height:22.6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" fillcolor="white [3201]" strokecolor="#a5a5a5 [3206]" strokeweight="1pt">
                <v:textbox>
                  <w:txbxContent>
                    <w:p w14:paraId="0DFAE6F8" w14:textId="77777777" w:rsidR="00B54D51" w:rsidRPr="00C15510" w:rsidRDefault="00B54D51" w:rsidP="00C15510">
                      <w:pPr>
                        <w:rPr>
                          <w:rFonts w:asciiTheme="minorHAnsi" w:hAnsiTheme="minorHAnsi" w:cstheme="minorHAnsi"/>
                          <w:i/>
                          <w:iCs/>
                        </w:rPr>
                      </w:pPr>
                      <w:r w:rsidRPr="00C15510">
                        <w:rPr>
                          <w:rFonts w:asciiTheme="minorHAnsi" w:hAnsiTheme="minorHAnsi" w:cstheme="minorHAnsi"/>
                          <w:i/>
                          <w:iCs/>
                        </w:rPr>
                        <w:t>PR, informal proxy; ST, staff proxy</w:t>
                      </w:r>
                    </w:p>
                  </w:txbxContent>
                </v:textbox>
              </v:shape>
            </w:pict>
          </mc:Fallback>
        </mc:AlternateContent>
      </w:r>
    </w:p>
    <w:p w14:paraId="7C54E4D6" w14:textId="4E79F1D6" w:rsidR="00B54D51" w:rsidRPr="00673F38" w:rsidRDefault="00B54D51" w:rsidP="00C15510">
      <w:pPr>
        <w:rPr>
          <w:rFonts w:asciiTheme="minorHAnsi" w:hAnsiTheme="minorHAnsi" w:cstheme="minorHAnsi"/>
        </w:rPr>
      </w:pPr>
      <w:r w:rsidRPr="00037AD4">
        <w:rPr>
          <w:rFonts w:asciiTheme="majorHAnsi" w:hAnsiTheme="majorHAnsi" w:cstheme="majorHAnsi"/>
          <w:b/>
          <w:bCs/>
          <w:sz w:val="26"/>
          <w:szCs w:val="26"/>
          <w:u w:val="single"/>
        </w:rPr>
        <w:lastRenderedPageBreak/>
        <w:t>5.4.4.2 Inter-rater agreement – pain/discomfort</w:t>
      </w:r>
    </w:p>
    <w:p w14:paraId="5FDBD2FC" w14:textId="77777777" w:rsidR="00B54D51" w:rsidRPr="00037AD4" w:rsidRDefault="00B54D51" w:rsidP="00C15510">
      <w:pPr>
        <w:rPr>
          <w:rFonts w:asciiTheme="minorHAnsi" w:hAnsiTheme="minorHAnsi" w:cstheme="minorHAnsi"/>
          <w:b/>
          <w:bCs/>
          <w:u w:val="single"/>
        </w:rPr>
      </w:pPr>
    </w:p>
    <w:p w14:paraId="0F3A0775" w14:textId="3F980F70" w:rsidR="00B54D51" w:rsidRPr="00037AD4" w:rsidRDefault="00B54D51" w:rsidP="00C15510">
      <w:pPr>
        <w:rPr>
          <w:rFonts w:asciiTheme="minorHAnsi" w:hAnsiTheme="minorHAnsi" w:cstheme="minorHAnsi"/>
        </w:rPr>
      </w:pPr>
      <w:r w:rsidRPr="00037AD4">
        <w:rPr>
          <w:rFonts w:asciiTheme="minorHAnsi" w:hAnsiTheme="minorHAnsi" w:cstheme="minorHAnsi"/>
        </w:rPr>
        <w:t xml:space="preserve">The percentage of exact agreement for the “pain/discomfort” dimension was at 51% for PwD-informal proxy dyads and 57% for PwD-staff proxy dyads. However, the </w:t>
      </w:r>
      <w:r w:rsidR="007A7421">
        <w:rPr>
          <w:rFonts w:asciiTheme="minorHAnsi" w:hAnsiTheme="minorHAnsi" w:cstheme="minorHAnsi"/>
        </w:rPr>
        <w:t>K</w:t>
      </w:r>
      <w:r w:rsidRPr="00037AD4">
        <w:rPr>
          <w:rFonts w:asciiTheme="minorHAnsi" w:hAnsiTheme="minorHAnsi" w:cstheme="minorHAnsi"/>
        </w:rPr>
        <w:t>app</w:t>
      </w:r>
      <w:r w:rsidR="007A7421">
        <w:rPr>
          <w:rFonts w:asciiTheme="minorHAnsi" w:hAnsiTheme="minorHAnsi" w:cstheme="minorHAnsi"/>
        </w:rPr>
        <w:t xml:space="preserve">a </w:t>
      </w:r>
      <w:r w:rsidRPr="00037AD4">
        <w:rPr>
          <w:rFonts w:asciiTheme="minorHAnsi" w:hAnsiTheme="minorHAnsi" w:cstheme="minorHAnsi"/>
        </w:rPr>
        <w:t xml:space="preserve">coefficient for PwD-informal proxy dyads was considerably larger (k=0.42) – indicating moderate agreement (compared to k=0.16 for PwD-staff proxies). When observing PwD-informal proxy dyads, this was the only dimension that saw an increase in the </w:t>
      </w:r>
      <w:r w:rsidR="007A7421">
        <w:rPr>
          <w:rFonts w:asciiTheme="minorHAnsi" w:hAnsiTheme="minorHAnsi" w:cstheme="minorHAnsi"/>
        </w:rPr>
        <w:t>K</w:t>
      </w:r>
      <w:r w:rsidRPr="00037AD4">
        <w:rPr>
          <w:rFonts w:asciiTheme="minorHAnsi" w:hAnsiTheme="minorHAnsi" w:cstheme="minorHAnsi"/>
        </w:rPr>
        <w:t>app</w:t>
      </w:r>
      <w:r w:rsidR="007A7421">
        <w:rPr>
          <w:rFonts w:asciiTheme="minorHAnsi" w:hAnsiTheme="minorHAnsi" w:cstheme="minorHAnsi"/>
        </w:rPr>
        <w:t xml:space="preserve">a </w:t>
      </w:r>
      <w:r w:rsidRPr="00037AD4">
        <w:rPr>
          <w:rFonts w:asciiTheme="minorHAnsi" w:hAnsiTheme="minorHAnsi" w:cstheme="minorHAnsi"/>
        </w:rPr>
        <w:t xml:space="preserve">coefficient within people with severe dementia (k=0.61, vs. k=0.43 in mild CDR and k=0.35 in moderate CDR subgroups). See Tables in </w:t>
      </w:r>
      <w:hyperlink w:anchor="A53" w:history="1">
        <w:r w:rsidRPr="007D0518">
          <w:rPr>
            <w:rStyle w:val="Hyperlink"/>
            <w:rFonts w:asciiTheme="minorHAnsi" w:hAnsiTheme="minorHAnsi" w:cstheme="minorHAnsi"/>
            <w:color w:val="auto"/>
            <w:u w:val="none"/>
          </w:rPr>
          <w:t>Appendix 5.3.</w:t>
        </w:r>
        <w:r w:rsidRPr="007D0518">
          <w:rPr>
            <w:rStyle w:val="Hyperlink"/>
            <w:rFonts w:asciiTheme="minorHAnsi" w:hAnsiTheme="minorHAnsi" w:cstheme="minorHAnsi"/>
            <w:color w:val="auto"/>
          </w:rPr>
          <w:t xml:space="preserve"> </w:t>
        </w:r>
      </w:hyperlink>
      <w:r w:rsidRPr="007D0518">
        <w:rPr>
          <w:rFonts w:asciiTheme="minorHAnsi" w:hAnsiTheme="minorHAnsi" w:cstheme="minorHAnsi"/>
        </w:rPr>
        <w:t xml:space="preserve"> </w:t>
      </w:r>
    </w:p>
    <w:p w14:paraId="403CDB49" w14:textId="77777777" w:rsidR="00B54D51" w:rsidRPr="00037AD4" w:rsidRDefault="00B54D51" w:rsidP="00C15510">
      <w:pPr>
        <w:rPr>
          <w:rFonts w:asciiTheme="minorHAnsi" w:hAnsiTheme="minorHAnsi" w:cstheme="minorHAnsi"/>
        </w:rPr>
      </w:pPr>
    </w:p>
    <w:p w14:paraId="79B559CE" w14:textId="77777777" w:rsidR="00B54D51" w:rsidRPr="00037AD4" w:rsidRDefault="00B54D51" w:rsidP="00C15510">
      <w:pPr>
        <w:rPr>
          <w:rFonts w:asciiTheme="majorHAnsi" w:hAnsiTheme="majorHAnsi" w:cstheme="majorHAnsi"/>
          <w:b/>
          <w:bCs/>
          <w:sz w:val="26"/>
          <w:szCs w:val="26"/>
          <w:u w:val="single"/>
        </w:rPr>
      </w:pPr>
      <w:r w:rsidRPr="00037AD4">
        <w:rPr>
          <w:rFonts w:asciiTheme="majorHAnsi" w:hAnsiTheme="majorHAnsi" w:cstheme="majorHAnsi"/>
          <w:b/>
          <w:bCs/>
          <w:sz w:val="26"/>
          <w:szCs w:val="26"/>
          <w:u w:val="single"/>
        </w:rPr>
        <w:t xml:space="preserve">5.4.4.2.1 Discrepancy scores – pain/discomfort </w:t>
      </w:r>
    </w:p>
    <w:p w14:paraId="3D432F51" w14:textId="77777777" w:rsidR="00B54D51" w:rsidRPr="00037AD4" w:rsidRDefault="00B54D51" w:rsidP="00C15510">
      <w:pPr>
        <w:rPr>
          <w:rFonts w:asciiTheme="minorHAnsi" w:hAnsiTheme="minorHAnsi" w:cstheme="minorHAnsi"/>
        </w:rPr>
      </w:pPr>
    </w:p>
    <w:p w14:paraId="557B1D74" w14:textId="77777777" w:rsidR="00B54D51" w:rsidRPr="00037AD4" w:rsidRDefault="00B54D51" w:rsidP="00C15510">
      <w:pPr>
        <w:rPr>
          <w:rFonts w:asciiTheme="minorHAnsi" w:hAnsiTheme="minorHAnsi" w:cstheme="minorHAnsi"/>
        </w:rPr>
      </w:pPr>
      <w:r w:rsidRPr="00037AD4">
        <w:rPr>
          <w:rFonts w:asciiTheme="minorHAnsi" w:hAnsiTheme="minorHAnsi" w:cstheme="minorHAnsi"/>
        </w:rPr>
        <w:t xml:space="preserve">As shown in Figures 22a and 22b below, the pattern of discrepancy scores for the “pain/discomfort” dimension is relatively similar for both proxy types. For PwD-staff proxies and PwD-informal proxies alike, 57% and 51% of scores are at zero respectively, with over 80% of scores within the +/- one score range for both proxy types. Of the PwD proxy dyad scores at exact agreement (zero), 58% were where the PwD and informal proxy both provided a score of one and 91% were where the PwD and staff proxy both provided a score of one. </w:t>
      </w:r>
    </w:p>
    <w:p w14:paraId="18FF45D2" w14:textId="77777777" w:rsidR="007D0518" w:rsidRPr="00037AD4" w:rsidRDefault="007D0518" w:rsidP="00401029">
      <w:pPr>
        <w:rPr>
          <w:rFonts w:asciiTheme="minorHAnsi" w:hAnsiTheme="minorHAnsi" w:cstheme="minorHAnsi"/>
        </w:rPr>
      </w:pPr>
    </w:p>
    <w:p w14:paraId="159B5306" w14:textId="77777777" w:rsidR="00B54D51" w:rsidRPr="00037AD4" w:rsidRDefault="00B54D51" w:rsidP="00C15510">
      <w:pPr>
        <w:rPr>
          <w:rFonts w:asciiTheme="minorHAnsi" w:hAnsiTheme="minorHAnsi" w:cstheme="minorHAnsi"/>
          <w:b/>
          <w:bCs/>
          <w:i/>
          <w:iCs/>
        </w:rPr>
      </w:pPr>
      <w:r w:rsidRPr="00037AD4">
        <w:rPr>
          <w:rFonts w:asciiTheme="minorHAnsi" w:hAnsiTheme="minorHAnsi" w:cstheme="minorHAnsi"/>
          <w:b/>
          <w:bCs/>
          <w:i/>
          <w:iCs/>
        </w:rPr>
        <w:t>Figure 22a, Bar chart for absolute discrepancy scores of pain/discomfort dimension, PwD-informal proxies</w:t>
      </w:r>
    </w:p>
    <w:p w14:paraId="02CCD0B2" w14:textId="77777777" w:rsidR="00B54D51" w:rsidRPr="00037AD4" w:rsidRDefault="00B54D51" w:rsidP="00C15510">
      <w:pPr>
        <w:rPr>
          <w:rFonts w:asciiTheme="minorHAnsi" w:hAnsiTheme="minorHAnsi" w:cstheme="minorHAnsi"/>
          <w:color w:val="FF0000"/>
        </w:rPr>
      </w:pPr>
    </w:p>
    <w:p w14:paraId="066EE308" w14:textId="533D3789" w:rsidR="00B54D51" w:rsidRPr="00037AD4" w:rsidRDefault="00B82EB5" w:rsidP="00C15510">
      <w:pPr>
        <w:rPr>
          <w:rFonts w:asciiTheme="minorHAnsi" w:hAnsiTheme="minorHAnsi" w:cstheme="minorHAnsi"/>
        </w:rPr>
      </w:pPr>
      <w:r>
        <w:rPr>
          <w:rFonts w:asciiTheme="minorHAnsi" w:hAnsiTheme="minorHAnsi" w:cstheme="minorHAnsi"/>
          <w:noProof/>
        </w:rPr>
        <w:drawing>
          <wp:inline distT="0" distB="0" distL="0" distR="0" wp14:anchorId="6E886154" wp14:editId="010AB633">
            <wp:extent cx="3960000" cy="2880000"/>
            <wp:effectExtent l="0" t="0" r="2540" b="3175"/>
            <wp:docPr id="77" name="Picture 77" descr="A graph of a number of people&#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Picture 77" descr="A graph of a number of people&#10;&#10;Description automatically generated with medium confidence"/>
                    <pic:cNvPicPr/>
                  </pic:nvPicPr>
                  <pic:blipFill>
                    <a:blip r:embed="rId49">
                      <a:extLst>
                        <a:ext uri="{28A0092B-C50C-407E-A947-70E740481C1C}">
                          <a14:useLocalDpi xmlns:a14="http://schemas.microsoft.com/office/drawing/2010/main" val="0"/>
                        </a:ext>
                      </a:extLst>
                    </a:blip>
                    <a:stretch>
                      <a:fillRect/>
                    </a:stretch>
                  </pic:blipFill>
                  <pic:spPr>
                    <a:xfrm>
                      <a:off x="0" y="0"/>
                      <a:ext cx="3960000" cy="2880000"/>
                    </a:xfrm>
                    <a:prstGeom prst="rect">
                      <a:avLst/>
                    </a:prstGeom>
                  </pic:spPr>
                </pic:pic>
              </a:graphicData>
            </a:graphic>
          </wp:inline>
        </w:drawing>
      </w:r>
    </w:p>
    <w:p w14:paraId="2DF96244" w14:textId="77777777" w:rsidR="00B54D51" w:rsidRPr="00037AD4" w:rsidRDefault="00B54D51" w:rsidP="00C15510">
      <w:pPr>
        <w:rPr>
          <w:rFonts w:asciiTheme="minorHAnsi" w:hAnsiTheme="minorHAnsi" w:cstheme="minorHAnsi"/>
        </w:rPr>
      </w:pPr>
    </w:p>
    <w:p w14:paraId="67148B28" w14:textId="77777777" w:rsidR="00673F38" w:rsidRDefault="00673F38" w:rsidP="00C15510">
      <w:pPr>
        <w:rPr>
          <w:rFonts w:asciiTheme="minorHAnsi" w:hAnsiTheme="minorHAnsi" w:cstheme="minorHAnsi"/>
          <w:b/>
          <w:bCs/>
          <w:i/>
          <w:iCs/>
        </w:rPr>
      </w:pPr>
    </w:p>
    <w:p w14:paraId="0E980899" w14:textId="77777777" w:rsidR="00673F38" w:rsidRDefault="00673F38" w:rsidP="00C15510">
      <w:pPr>
        <w:rPr>
          <w:rFonts w:asciiTheme="minorHAnsi" w:hAnsiTheme="minorHAnsi" w:cstheme="minorHAnsi"/>
          <w:b/>
          <w:bCs/>
          <w:i/>
          <w:iCs/>
        </w:rPr>
      </w:pPr>
    </w:p>
    <w:p w14:paraId="6BB41B8D" w14:textId="77777777" w:rsidR="00673F38" w:rsidRDefault="00673F38" w:rsidP="00C15510">
      <w:pPr>
        <w:rPr>
          <w:rFonts w:asciiTheme="minorHAnsi" w:hAnsiTheme="minorHAnsi" w:cstheme="minorHAnsi"/>
          <w:b/>
          <w:bCs/>
          <w:i/>
          <w:iCs/>
        </w:rPr>
      </w:pPr>
    </w:p>
    <w:p w14:paraId="31E17874" w14:textId="77777777" w:rsidR="00673F38" w:rsidRDefault="00673F38" w:rsidP="00C15510">
      <w:pPr>
        <w:rPr>
          <w:rFonts w:asciiTheme="minorHAnsi" w:hAnsiTheme="minorHAnsi" w:cstheme="minorHAnsi"/>
          <w:b/>
          <w:bCs/>
          <w:i/>
          <w:iCs/>
        </w:rPr>
      </w:pPr>
    </w:p>
    <w:p w14:paraId="17AC2B96" w14:textId="77777777" w:rsidR="00673F38" w:rsidRDefault="00673F38" w:rsidP="00C15510">
      <w:pPr>
        <w:rPr>
          <w:rFonts w:asciiTheme="minorHAnsi" w:hAnsiTheme="minorHAnsi" w:cstheme="minorHAnsi"/>
          <w:b/>
          <w:bCs/>
          <w:i/>
          <w:iCs/>
        </w:rPr>
      </w:pPr>
    </w:p>
    <w:p w14:paraId="76C7D56F" w14:textId="77777777" w:rsidR="00673F38" w:rsidRDefault="00673F38" w:rsidP="00C15510">
      <w:pPr>
        <w:rPr>
          <w:rFonts w:asciiTheme="minorHAnsi" w:hAnsiTheme="minorHAnsi" w:cstheme="minorHAnsi"/>
          <w:b/>
          <w:bCs/>
          <w:i/>
          <w:iCs/>
        </w:rPr>
      </w:pPr>
    </w:p>
    <w:p w14:paraId="533B8F30" w14:textId="4310CE51" w:rsidR="00B54D51" w:rsidRPr="00037AD4" w:rsidRDefault="00B54D51" w:rsidP="00C15510">
      <w:pPr>
        <w:rPr>
          <w:rFonts w:asciiTheme="minorHAnsi" w:hAnsiTheme="minorHAnsi" w:cstheme="minorHAnsi"/>
          <w:b/>
          <w:bCs/>
          <w:i/>
          <w:iCs/>
        </w:rPr>
      </w:pPr>
      <w:r w:rsidRPr="00037AD4">
        <w:rPr>
          <w:rFonts w:asciiTheme="minorHAnsi" w:hAnsiTheme="minorHAnsi" w:cstheme="minorHAnsi"/>
          <w:b/>
          <w:bCs/>
          <w:i/>
          <w:iCs/>
        </w:rPr>
        <w:lastRenderedPageBreak/>
        <w:t>Figure 22b, Bar chart for absolute discrepancy scores of pain/discomfort dimension, PwD-staff proxies</w:t>
      </w:r>
    </w:p>
    <w:p w14:paraId="2EF0FF07" w14:textId="77777777" w:rsidR="00B54D51" w:rsidRPr="00037AD4" w:rsidRDefault="00B54D51" w:rsidP="00C15510">
      <w:pPr>
        <w:rPr>
          <w:rFonts w:asciiTheme="minorHAnsi" w:hAnsiTheme="minorHAnsi" w:cstheme="minorHAnsi"/>
        </w:rPr>
      </w:pPr>
    </w:p>
    <w:p w14:paraId="6E747A2B" w14:textId="6CD5D9B6" w:rsidR="00B54D51" w:rsidRPr="00037AD4" w:rsidRDefault="00B82EB5" w:rsidP="00C15510">
      <w:pPr>
        <w:rPr>
          <w:rFonts w:asciiTheme="minorHAnsi" w:hAnsiTheme="minorHAnsi" w:cstheme="minorHAnsi"/>
        </w:rPr>
      </w:pPr>
      <w:r w:rsidRPr="00037AD4">
        <w:rPr>
          <w:rFonts w:asciiTheme="minorHAnsi" w:hAnsiTheme="minorHAnsi" w:cstheme="minorHAnsi"/>
          <w:noProof/>
          <w:lang w:eastAsia="zh-CN"/>
        </w:rPr>
        <w:drawing>
          <wp:inline distT="0" distB="0" distL="0" distR="0" wp14:anchorId="630DFAB9" wp14:editId="496914FC">
            <wp:extent cx="3960000" cy="2880000"/>
            <wp:effectExtent l="0" t="0" r="2540" b="3175"/>
            <wp:docPr id="93" name="Picture 93" descr="A graph with numbers and a bar&#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 name="Picture 93" descr="A graph with numbers and a bar&#10;&#10;Description automatically generated"/>
                    <pic:cNvPicPr/>
                  </pic:nvPicPr>
                  <pic:blipFill>
                    <a:blip r:embed="rId50">
                      <a:extLst>
                        <a:ext uri="{28A0092B-C50C-407E-A947-70E740481C1C}">
                          <a14:useLocalDpi xmlns:a14="http://schemas.microsoft.com/office/drawing/2010/main" val="0"/>
                        </a:ext>
                      </a:extLst>
                    </a:blip>
                    <a:stretch>
                      <a:fillRect/>
                    </a:stretch>
                  </pic:blipFill>
                  <pic:spPr>
                    <a:xfrm>
                      <a:off x="0" y="0"/>
                      <a:ext cx="3960000" cy="2880000"/>
                    </a:xfrm>
                    <a:prstGeom prst="rect">
                      <a:avLst/>
                    </a:prstGeom>
                  </pic:spPr>
                </pic:pic>
              </a:graphicData>
            </a:graphic>
          </wp:inline>
        </w:drawing>
      </w:r>
    </w:p>
    <w:p w14:paraId="057FC088" w14:textId="77777777" w:rsidR="00B54D51" w:rsidRPr="00037AD4" w:rsidRDefault="00B54D51" w:rsidP="00401029">
      <w:pPr>
        <w:rPr>
          <w:rFonts w:asciiTheme="minorHAnsi" w:hAnsiTheme="minorHAnsi" w:cstheme="minorHAnsi"/>
        </w:rPr>
      </w:pPr>
    </w:p>
    <w:p w14:paraId="1109CD18" w14:textId="77777777" w:rsidR="00B54D51" w:rsidRPr="00037AD4" w:rsidRDefault="00B54D51" w:rsidP="00C15510">
      <w:pPr>
        <w:rPr>
          <w:rFonts w:asciiTheme="minorHAnsi" w:hAnsiTheme="minorHAnsi" w:cstheme="minorHAnsi"/>
        </w:rPr>
      </w:pPr>
      <w:r w:rsidRPr="00037AD4">
        <w:rPr>
          <w:rFonts w:asciiTheme="minorHAnsi" w:hAnsiTheme="minorHAnsi" w:cstheme="minorHAnsi"/>
        </w:rPr>
        <w:t xml:space="preserve">Figures 23a and 23b below show the difference between the amount of change reported for the “pain/discomfort” dimension by people with dementia and proxies over time. It can be seen that the pattern of scores is relatively similar for both types of dyads. Negative scores indicate that the proxy is reporting an optimistic change in scores when compared with the PwD. 29% of PwD-informal proxy dyads and 24% of PwD-staff proxy dyads had positive difference-between-change scores. There was slightly more variability for PwD-informal proxy dyads, as the scale extended to minus four (compared to minus three for PwD-staff proxies), however the proportion of scores at these end points were minimal. </w:t>
      </w:r>
    </w:p>
    <w:p w14:paraId="400DC139" w14:textId="77777777" w:rsidR="00B54D51" w:rsidRPr="00037AD4" w:rsidRDefault="00B54D51" w:rsidP="00C15510">
      <w:pPr>
        <w:rPr>
          <w:rFonts w:asciiTheme="minorHAnsi" w:hAnsiTheme="minorHAnsi" w:cstheme="minorHAnsi"/>
        </w:rPr>
      </w:pPr>
    </w:p>
    <w:p w14:paraId="6ABA87B0" w14:textId="77777777" w:rsidR="00B54D51" w:rsidRDefault="00B54D51" w:rsidP="00C15510">
      <w:pPr>
        <w:rPr>
          <w:rFonts w:asciiTheme="minorHAnsi" w:hAnsiTheme="minorHAnsi" w:cstheme="minorHAnsi"/>
          <w:b/>
          <w:bCs/>
          <w:i/>
          <w:iCs/>
        </w:rPr>
      </w:pPr>
      <w:r w:rsidRPr="00037AD4">
        <w:rPr>
          <w:rFonts w:asciiTheme="minorHAnsi" w:hAnsiTheme="minorHAnsi" w:cstheme="minorHAnsi"/>
          <w:b/>
          <w:bCs/>
          <w:i/>
          <w:iCs/>
        </w:rPr>
        <w:t>Figure 23a, Bar chart for differen</w:t>
      </w:r>
      <w:r>
        <w:rPr>
          <w:rFonts w:asciiTheme="minorHAnsi" w:hAnsiTheme="minorHAnsi" w:cstheme="minorHAnsi"/>
          <w:b/>
          <w:bCs/>
          <w:i/>
          <w:iCs/>
        </w:rPr>
        <w:t>ce</w:t>
      </w:r>
      <w:r w:rsidRPr="00037AD4">
        <w:rPr>
          <w:rFonts w:asciiTheme="minorHAnsi" w:hAnsiTheme="minorHAnsi" w:cstheme="minorHAnsi"/>
          <w:b/>
          <w:bCs/>
          <w:i/>
          <w:iCs/>
        </w:rPr>
        <w:t xml:space="preserve"> between change score for pain/discomfort, PwD-informal proxy dyads </w:t>
      </w:r>
    </w:p>
    <w:p w14:paraId="10F45EEE" w14:textId="77777777" w:rsidR="00B54D51" w:rsidRPr="00037AD4" w:rsidRDefault="00B54D51" w:rsidP="00C15510">
      <w:pPr>
        <w:rPr>
          <w:rFonts w:asciiTheme="minorHAnsi" w:hAnsiTheme="minorHAnsi" w:cstheme="minorHAnsi"/>
          <w:b/>
          <w:bCs/>
          <w:i/>
          <w:iCs/>
        </w:rPr>
      </w:pPr>
    </w:p>
    <w:p w14:paraId="09EA8AD5" w14:textId="20C41F27" w:rsidR="00B54D51" w:rsidRPr="00037AD4" w:rsidRDefault="00B82EB5" w:rsidP="00C15510">
      <w:pPr>
        <w:rPr>
          <w:rFonts w:asciiTheme="minorHAnsi" w:hAnsiTheme="minorHAnsi" w:cstheme="minorHAnsi"/>
          <w:color w:val="FF0000"/>
        </w:rPr>
      </w:pPr>
      <w:r>
        <w:rPr>
          <w:rFonts w:asciiTheme="minorHAnsi" w:hAnsiTheme="minorHAnsi" w:cstheme="minorHAnsi"/>
          <w:noProof/>
          <w:color w:val="FF0000"/>
        </w:rPr>
        <w:drawing>
          <wp:inline distT="0" distB="0" distL="0" distR="0" wp14:anchorId="1EEBCF05" wp14:editId="0DC277BD">
            <wp:extent cx="3960000" cy="2880000"/>
            <wp:effectExtent l="0" t="0" r="2540" b="3175"/>
            <wp:docPr id="78" name="Picture 78" descr="A graph with numbers and a bar&#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Picture 78" descr="A graph with numbers and a bar&#10;&#10;Description automatically generated"/>
                    <pic:cNvPicPr/>
                  </pic:nvPicPr>
                  <pic:blipFill>
                    <a:blip r:embed="rId51">
                      <a:extLst>
                        <a:ext uri="{28A0092B-C50C-407E-A947-70E740481C1C}">
                          <a14:useLocalDpi xmlns:a14="http://schemas.microsoft.com/office/drawing/2010/main" val="0"/>
                        </a:ext>
                      </a:extLst>
                    </a:blip>
                    <a:stretch>
                      <a:fillRect/>
                    </a:stretch>
                  </pic:blipFill>
                  <pic:spPr>
                    <a:xfrm>
                      <a:off x="0" y="0"/>
                      <a:ext cx="3960000" cy="2880000"/>
                    </a:xfrm>
                    <a:prstGeom prst="rect">
                      <a:avLst/>
                    </a:prstGeom>
                  </pic:spPr>
                </pic:pic>
              </a:graphicData>
            </a:graphic>
          </wp:inline>
        </w:drawing>
      </w:r>
    </w:p>
    <w:p w14:paraId="05DCD3F7" w14:textId="77777777" w:rsidR="00B54D51" w:rsidRPr="00037AD4" w:rsidRDefault="00B54D51" w:rsidP="00C15510">
      <w:pPr>
        <w:rPr>
          <w:rFonts w:asciiTheme="minorHAnsi" w:hAnsiTheme="minorHAnsi" w:cstheme="minorHAnsi"/>
          <w:color w:val="FF0000"/>
        </w:rPr>
      </w:pPr>
    </w:p>
    <w:p w14:paraId="03BC6242" w14:textId="77777777" w:rsidR="00B54D51" w:rsidRPr="00037AD4" w:rsidRDefault="00B54D51" w:rsidP="00C15510">
      <w:pPr>
        <w:rPr>
          <w:rFonts w:asciiTheme="minorHAnsi" w:hAnsiTheme="minorHAnsi" w:cstheme="minorHAnsi"/>
          <w:b/>
          <w:bCs/>
          <w:i/>
          <w:iCs/>
        </w:rPr>
      </w:pPr>
      <w:r w:rsidRPr="00037AD4">
        <w:rPr>
          <w:rFonts w:asciiTheme="minorHAnsi" w:hAnsiTheme="minorHAnsi" w:cstheme="minorHAnsi"/>
          <w:b/>
          <w:bCs/>
          <w:i/>
          <w:iCs/>
        </w:rPr>
        <w:t>Figure 23b, Bar chart for differen</w:t>
      </w:r>
      <w:r>
        <w:rPr>
          <w:rFonts w:asciiTheme="minorHAnsi" w:hAnsiTheme="minorHAnsi" w:cstheme="minorHAnsi"/>
          <w:b/>
          <w:bCs/>
          <w:i/>
          <w:iCs/>
        </w:rPr>
        <w:t>ce</w:t>
      </w:r>
      <w:r w:rsidRPr="00037AD4">
        <w:rPr>
          <w:rFonts w:asciiTheme="minorHAnsi" w:hAnsiTheme="minorHAnsi" w:cstheme="minorHAnsi"/>
          <w:b/>
          <w:bCs/>
          <w:i/>
          <w:iCs/>
        </w:rPr>
        <w:t xml:space="preserve"> between change score for pain/discomfort, PwD-staff proxy dyads </w:t>
      </w:r>
    </w:p>
    <w:p w14:paraId="6D1221F1" w14:textId="77777777" w:rsidR="00B54D51" w:rsidRPr="00037AD4" w:rsidRDefault="00B54D51" w:rsidP="00C15510">
      <w:pPr>
        <w:rPr>
          <w:rFonts w:asciiTheme="minorHAnsi" w:hAnsiTheme="minorHAnsi" w:cstheme="minorHAnsi"/>
          <w:color w:val="FF0000"/>
        </w:rPr>
      </w:pPr>
    </w:p>
    <w:p w14:paraId="6BACFB95" w14:textId="39CEFD39" w:rsidR="00B54D51" w:rsidRPr="00037AD4" w:rsidRDefault="00B82EB5" w:rsidP="00C15510">
      <w:pPr>
        <w:rPr>
          <w:rFonts w:asciiTheme="minorHAnsi" w:hAnsiTheme="minorHAnsi" w:cstheme="minorHAnsi"/>
          <w:color w:val="FF0000"/>
        </w:rPr>
      </w:pPr>
      <w:r w:rsidRPr="00037AD4">
        <w:rPr>
          <w:rFonts w:asciiTheme="minorHAnsi" w:hAnsiTheme="minorHAnsi" w:cstheme="minorHAnsi"/>
          <w:noProof/>
          <w:color w:val="FF0000"/>
          <w:lang w:eastAsia="zh-CN"/>
        </w:rPr>
        <w:drawing>
          <wp:inline distT="0" distB="0" distL="0" distR="0" wp14:anchorId="54D53CC3" wp14:editId="31013E19">
            <wp:extent cx="3960000" cy="2880000"/>
            <wp:effectExtent l="0" t="0" r="2540" b="3175"/>
            <wp:docPr id="36" name="Picture 36" descr="A picture containing text, screenshot, plot, diagram&#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Picture 36" descr="A picture containing text, screenshot, plot, diagram&#10;&#10;Description automatically generated"/>
                    <pic:cNvPicPr/>
                  </pic:nvPicPr>
                  <pic:blipFill>
                    <a:blip r:embed="rId52">
                      <a:extLst>
                        <a:ext uri="{28A0092B-C50C-407E-A947-70E740481C1C}">
                          <a14:useLocalDpi xmlns:a14="http://schemas.microsoft.com/office/drawing/2010/main" val="0"/>
                        </a:ext>
                      </a:extLst>
                    </a:blip>
                    <a:stretch>
                      <a:fillRect/>
                    </a:stretch>
                  </pic:blipFill>
                  <pic:spPr>
                    <a:xfrm>
                      <a:off x="0" y="0"/>
                      <a:ext cx="3960000" cy="2880000"/>
                    </a:xfrm>
                    <a:prstGeom prst="rect">
                      <a:avLst/>
                    </a:prstGeom>
                  </pic:spPr>
                </pic:pic>
              </a:graphicData>
            </a:graphic>
          </wp:inline>
        </w:drawing>
      </w:r>
    </w:p>
    <w:p w14:paraId="663C65A8" w14:textId="77777777" w:rsidR="00B54D51" w:rsidRPr="00037AD4" w:rsidRDefault="00B54D51" w:rsidP="00401029">
      <w:pPr>
        <w:rPr>
          <w:rFonts w:asciiTheme="minorHAnsi" w:hAnsiTheme="minorHAnsi" w:cstheme="minorHAnsi"/>
        </w:rPr>
      </w:pPr>
    </w:p>
    <w:p w14:paraId="3614D8D7" w14:textId="77777777" w:rsidR="00B54D51" w:rsidRPr="00037AD4" w:rsidRDefault="00B54D51" w:rsidP="00C15510">
      <w:pPr>
        <w:rPr>
          <w:rFonts w:asciiTheme="majorHAnsi" w:hAnsiTheme="majorHAnsi" w:cstheme="majorHAnsi"/>
          <w:b/>
          <w:bCs/>
          <w:sz w:val="26"/>
          <w:szCs w:val="26"/>
          <w:u w:val="single"/>
        </w:rPr>
      </w:pPr>
      <w:r w:rsidRPr="00037AD4">
        <w:rPr>
          <w:rFonts w:asciiTheme="majorHAnsi" w:hAnsiTheme="majorHAnsi" w:cstheme="majorHAnsi"/>
          <w:b/>
          <w:bCs/>
          <w:sz w:val="26"/>
          <w:szCs w:val="26"/>
          <w:u w:val="single"/>
        </w:rPr>
        <w:t xml:space="preserve">5.4.4.3 Responsiveness evidence – pain/discomfort </w:t>
      </w:r>
    </w:p>
    <w:p w14:paraId="58CF7EC7" w14:textId="77777777" w:rsidR="00B54D51" w:rsidRPr="00037AD4" w:rsidRDefault="00B54D51" w:rsidP="00C15510">
      <w:pPr>
        <w:rPr>
          <w:rFonts w:asciiTheme="minorHAnsi" w:hAnsiTheme="minorHAnsi" w:cstheme="minorHAnsi"/>
        </w:rPr>
      </w:pPr>
    </w:p>
    <w:p w14:paraId="2B3F8DDB" w14:textId="77777777" w:rsidR="00B54D51" w:rsidRPr="007A7421" w:rsidRDefault="00B54D51" w:rsidP="00C15510">
      <w:pPr>
        <w:rPr>
          <w:rFonts w:asciiTheme="minorHAnsi" w:hAnsiTheme="minorHAnsi" w:cstheme="minorHAnsi"/>
        </w:rPr>
      </w:pPr>
      <w:r w:rsidRPr="00037AD4">
        <w:rPr>
          <w:rFonts w:asciiTheme="minorHAnsi" w:hAnsiTheme="minorHAnsi" w:cstheme="minorHAnsi"/>
        </w:rPr>
        <w:t xml:space="preserve">Unlike the previous EQ-5D dimensions, the effect size estimates for change in “pain/discomfort” responses were low across respondents and did not produce any notable findings. The largest observed effect size was for staff proxy reports of this dimension for people with dementia whose CDR had progressed (at 0.22). However, this effect size is still </w:t>
      </w:r>
      <w:r w:rsidRPr="007A7421">
        <w:rPr>
          <w:rFonts w:asciiTheme="minorHAnsi" w:hAnsiTheme="minorHAnsi" w:cstheme="minorHAnsi"/>
        </w:rPr>
        <w:t xml:space="preserve">considered to be small and does not meet the minimum threshold for consideration. </w:t>
      </w:r>
      <w:hyperlink w:anchor="TableA54e" w:history="1">
        <w:r w:rsidRPr="007A7421">
          <w:rPr>
            <w:rStyle w:val="Hyperlink"/>
            <w:rFonts w:asciiTheme="minorHAnsi" w:hAnsiTheme="minorHAnsi" w:cstheme="minorHAnsi"/>
            <w:color w:val="auto"/>
            <w:u w:val="none"/>
          </w:rPr>
          <w:t>See Table A5.4e within Appendix 5.4.</w:t>
        </w:r>
      </w:hyperlink>
      <w:r w:rsidRPr="007A7421">
        <w:rPr>
          <w:rFonts w:asciiTheme="minorHAnsi" w:hAnsiTheme="minorHAnsi" w:cstheme="minorHAnsi"/>
        </w:rPr>
        <w:t xml:space="preserve"> </w:t>
      </w:r>
    </w:p>
    <w:p w14:paraId="4031E42C" w14:textId="77777777" w:rsidR="00B54D51" w:rsidRPr="007A7421" w:rsidRDefault="00B54D51" w:rsidP="00C15510">
      <w:pPr>
        <w:rPr>
          <w:rFonts w:asciiTheme="minorHAnsi" w:hAnsiTheme="minorHAnsi" w:cstheme="minorHAnsi"/>
        </w:rPr>
      </w:pPr>
    </w:p>
    <w:p w14:paraId="550B4F1D" w14:textId="77777777" w:rsidR="00B54D51" w:rsidRPr="007A7421" w:rsidRDefault="00B54D51" w:rsidP="00C15510">
      <w:pPr>
        <w:rPr>
          <w:rFonts w:asciiTheme="minorHAnsi" w:hAnsiTheme="minorHAnsi" w:cstheme="minorHAnsi"/>
        </w:rPr>
      </w:pPr>
      <w:r w:rsidRPr="007A7421">
        <w:rPr>
          <w:rFonts w:asciiTheme="minorHAnsi" w:hAnsiTheme="minorHAnsi" w:cstheme="minorHAnsi"/>
        </w:rPr>
        <w:t xml:space="preserve">As with the effect size evidence, there were no notable correlation coefficients between changes in “pain/discomfort” responses and changes in the dementia symptom measures for all three respondents; </w:t>
      </w:r>
      <w:hyperlink w:anchor="TableA54k" w:history="1">
        <w:r w:rsidRPr="007A7421">
          <w:rPr>
            <w:rStyle w:val="Hyperlink"/>
            <w:rFonts w:asciiTheme="minorHAnsi" w:hAnsiTheme="minorHAnsi" w:cstheme="minorHAnsi"/>
            <w:color w:val="auto"/>
            <w:u w:val="none"/>
          </w:rPr>
          <w:t>see Table A5.4k in Appendix 5.4 for full information.</w:t>
        </w:r>
      </w:hyperlink>
      <w:r w:rsidRPr="007A7421">
        <w:rPr>
          <w:rFonts w:asciiTheme="minorHAnsi" w:hAnsiTheme="minorHAnsi" w:cstheme="minorHAnsi"/>
        </w:rPr>
        <w:t xml:space="preserve"> </w:t>
      </w:r>
    </w:p>
    <w:p w14:paraId="2DE6F14A" w14:textId="77777777" w:rsidR="00B54D51" w:rsidRPr="00037AD4" w:rsidRDefault="00B54D51" w:rsidP="00C15510">
      <w:pPr>
        <w:rPr>
          <w:rFonts w:asciiTheme="minorHAnsi" w:hAnsiTheme="minorHAnsi" w:cstheme="minorHAnsi"/>
          <w:color w:val="FF0000"/>
        </w:rPr>
      </w:pPr>
    </w:p>
    <w:p w14:paraId="0FC370FD" w14:textId="77777777" w:rsidR="00B54D51" w:rsidRPr="00037AD4" w:rsidRDefault="00B54D51" w:rsidP="007A43F9">
      <w:pPr>
        <w:pStyle w:val="Heading3"/>
      </w:pPr>
      <w:bookmarkStart w:id="366" w:name="_Toc175742330"/>
      <w:r w:rsidRPr="00037AD4">
        <w:t>5.4.5 Anxiety/ depression</w:t>
      </w:r>
      <w:bookmarkEnd w:id="366"/>
    </w:p>
    <w:p w14:paraId="57D249DD" w14:textId="77777777" w:rsidR="00B54D51" w:rsidRPr="00037AD4" w:rsidRDefault="00B54D51" w:rsidP="00C15510">
      <w:pPr>
        <w:rPr>
          <w:rFonts w:asciiTheme="minorHAnsi" w:hAnsiTheme="minorHAnsi" w:cstheme="minorHAnsi"/>
          <w:b/>
          <w:bCs/>
          <w:u w:val="single"/>
        </w:rPr>
      </w:pPr>
    </w:p>
    <w:p w14:paraId="396886B7" w14:textId="77777777" w:rsidR="00B54D51" w:rsidRPr="00037AD4" w:rsidRDefault="00B54D51" w:rsidP="00C15510">
      <w:pPr>
        <w:rPr>
          <w:rFonts w:asciiTheme="minorHAnsi" w:hAnsiTheme="minorHAnsi" w:cstheme="minorHAnsi"/>
        </w:rPr>
      </w:pPr>
      <w:r w:rsidRPr="00037AD4">
        <w:rPr>
          <w:rFonts w:asciiTheme="minorHAnsi" w:hAnsiTheme="minorHAnsi" w:cstheme="minorHAnsi"/>
        </w:rPr>
        <w:t xml:space="preserve">Figure 24 shows the direction of change for responses provided for the “anxiety/depression” EQ-5D dimension. All three respondent types reported comparable proportions of improvements with "anxiety/depression”, while informal proxies reported the most worsening and staff proxies provided the most stable dimension scores.  </w:t>
      </w:r>
    </w:p>
    <w:p w14:paraId="094D9E95" w14:textId="77777777" w:rsidR="00B54D51" w:rsidRPr="00037AD4" w:rsidRDefault="00B54D51" w:rsidP="00C15510">
      <w:pPr>
        <w:rPr>
          <w:rFonts w:asciiTheme="minorHAnsi" w:hAnsiTheme="minorHAnsi" w:cstheme="minorHAnsi"/>
        </w:rPr>
      </w:pPr>
    </w:p>
    <w:p w14:paraId="1168A02C" w14:textId="77777777" w:rsidR="00673F38" w:rsidRDefault="00673F38" w:rsidP="00C15510">
      <w:pPr>
        <w:rPr>
          <w:rFonts w:asciiTheme="minorHAnsi" w:hAnsiTheme="minorHAnsi" w:cstheme="minorHAnsi"/>
          <w:b/>
          <w:bCs/>
          <w:i/>
          <w:iCs/>
        </w:rPr>
      </w:pPr>
    </w:p>
    <w:p w14:paraId="1879D4AE" w14:textId="77777777" w:rsidR="00673F38" w:rsidRDefault="00673F38" w:rsidP="00C15510">
      <w:pPr>
        <w:rPr>
          <w:rFonts w:asciiTheme="minorHAnsi" w:hAnsiTheme="minorHAnsi" w:cstheme="minorHAnsi"/>
          <w:b/>
          <w:bCs/>
          <w:i/>
          <w:iCs/>
        </w:rPr>
      </w:pPr>
    </w:p>
    <w:p w14:paraId="0E9E95AF" w14:textId="77777777" w:rsidR="00673F38" w:rsidRDefault="00673F38" w:rsidP="00C15510">
      <w:pPr>
        <w:rPr>
          <w:rFonts w:asciiTheme="minorHAnsi" w:hAnsiTheme="minorHAnsi" w:cstheme="minorHAnsi"/>
          <w:b/>
          <w:bCs/>
          <w:i/>
          <w:iCs/>
        </w:rPr>
      </w:pPr>
    </w:p>
    <w:p w14:paraId="7735ADCA" w14:textId="77777777" w:rsidR="00673F38" w:rsidRDefault="00673F38" w:rsidP="00C15510">
      <w:pPr>
        <w:rPr>
          <w:rFonts w:asciiTheme="minorHAnsi" w:hAnsiTheme="minorHAnsi" w:cstheme="minorHAnsi"/>
          <w:b/>
          <w:bCs/>
          <w:i/>
          <w:iCs/>
        </w:rPr>
      </w:pPr>
    </w:p>
    <w:p w14:paraId="338CAB84" w14:textId="77777777" w:rsidR="00673F38" w:rsidRDefault="00673F38" w:rsidP="00C15510">
      <w:pPr>
        <w:rPr>
          <w:rFonts w:asciiTheme="minorHAnsi" w:hAnsiTheme="minorHAnsi" w:cstheme="minorHAnsi"/>
          <w:b/>
          <w:bCs/>
          <w:i/>
          <w:iCs/>
        </w:rPr>
      </w:pPr>
    </w:p>
    <w:p w14:paraId="3438B8F7" w14:textId="77777777" w:rsidR="00673F38" w:rsidRDefault="00673F38" w:rsidP="00C15510">
      <w:pPr>
        <w:rPr>
          <w:rFonts w:asciiTheme="minorHAnsi" w:hAnsiTheme="minorHAnsi" w:cstheme="minorHAnsi"/>
          <w:b/>
          <w:bCs/>
          <w:i/>
          <w:iCs/>
        </w:rPr>
      </w:pPr>
    </w:p>
    <w:p w14:paraId="01C96A50" w14:textId="369CB0D5" w:rsidR="00B54D51" w:rsidRPr="00037AD4" w:rsidRDefault="00B54D51" w:rsidP="00C15510">
      <w:pPr>
        <w:rPr>
          <w:rFonts w:asciiTheme="minorHAnsi" w:hAnsiTheme="minorHAnsi" w:cstheme="minorHAnsi"/>
          <w:b/>
          <w:bCs/>
          <w:i/>
          <w:iCs/>
        </w:rPr>
      </w:pPr>
      <w:r w:rsidRPr="00037AD4">
        <w:rPr>
          <w:rFonts w:asciiTheme="minorHAnsi" w:hAnsiTheme="minorHAnsi" w:cstheme="minorHAnsi"/>
          <w:b/>
          <w:bCs/>
          <w:i/>
          <w:iCs/>
        </w:rPr>
        <w:lastRenderedPageBreak/>
        <w:t xml:space="preserve">Figure 24, Direction of anxiety/depression change from T0 to T2 </w:t>
      </w:r>
    </w:p>
    <w:p w14:paraId="27002AAC" w14:textId="77777777" w:rsidR="00B54D51" w:rsidRPr="00037AD4" w:rsidRDefault="00B54D51" w:rsidP="00C15510">
      <w:pPr>
        <w:rPr>
          <w:rFonts w:asciiTheme="minorHAnsi" w:hAnsiTheme="minorHAnsi" w:cstheme="minorHAnsi"/>
        </w:rPr>
      </w:pPr>
    </w:p>
    <w:p w14:paraId="4C71D763" w14:textId="77777777" w:rsidR="00B54D51" w:rsidRPr="00037AD4" w:rsidRDefault="00B54D51" w:rsidP="00C15510">
      <w:pPr>
        <w:rPr>
          <w:rFonts w:asciiTheme="minorHAnsi" w:hAnsiTheme="minorHAnsi" w:cstheme="minorHAnsi"/>
        </w:rPr>
      </w:pPr>
      <w:r w:rsidRPr="00037AD4">
        <w:rPr>
          <w:rFonts w:asciiTheme="minorHAnsi" w:hAnsiTheme="minorHAnsi" w:cstheme="minorHAnsi"/>
          <w:noProof/>
        </w:rPr>
        <w:drawing>
          <wp:inline distT="0" distB="0" distL="0" distR="0" wp14:anchorId="0E792F3D" wp14:editId="5A15E5B0">
            <wp:extent cx="4464000" cy="2448000"/>
            <wp:effectExtent l="0" t="0" r="6985" b="15875"/>
            <wp:docPr id="60" name="Chart 60">
              <a:extLst xmlns:a="http://schemas.openxmlformats.org/drawingml/2006/main">
                <a:ext uri="{FF2B5EF4-FFF2-40B4-BE49-F238E27FC236}">
                  <a16:creationId xmlns:a16="http://schemas.microsoft.com/office/drawing/2014/main" id="{CA9FF98F-1523-5D6E-7DE3-58626ABF5CB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4660C5B5" w14:textId="77777777" w:rsidR="00B54D51" w:rsidRPr="00037AD4" w:rsidRDefault="00B54D51" w:rsidP="00C15510">
      <w:pPr>
        <w:rPr>
          <w:rFonts w:asciiTheme="minorHAnsi" w:hAnsiTheme="minorHAnsi" w:cstheme="minorHAnsi"/>
          <w:b/>
          <w:bCs/>
          <w:u w:val="single"/>
        </w:rPr>
      </w:pPr>
    </w:p>
    <w:p w14:paraId="098D9B4E" w14:textId="77777777" w:rsidR="00B54D51" w:rsidRPr="00FB6EFE" w:rsidRDefault="00B54D51" w:rsidP="00C15510">
      <w:pPr>
        <w:rPr>
          <w:rFonts w:asciiTheme="minorHAnsi" w:hAnsiTheme="minorHAnsi" w:cstheme="minorHAnsi"/>
        </w:rPr>
      </w:pPr>
      <w:r w:rsidRPr="00037AD4">
        <w:rPr>
          <w:rFonts w:asciiTheme="minorHAnsi" w:hAnsiTheme="minorHAnsi" w:cstheme="minorHAnsi"/>
        </w:rPr>
        <w:t>Similar to the “pain/discomfort” dimension, there was a balance of PwD-informal proxy dyads reporting change in either the same or opposing directions to one another. Of the 51% that reported change in the same direction, 70% reported a matched no change in “anxiety/depression” status. Likewise, for staff-proxy dyads, the proportion of dyads reporting change in either direction was near balanced (53% same direction vs. 47% in opposing directions), and of the 53% of dyads that reported change i</w:t>
      </w:r>
      <w:r w:rsidRPr="00FB6EFE">
        <w:rPr>
          <w:rFonts w:asciiTheme="minorHAnsi" w:hAnsiTheme="minorHAnsi" w:cstheme="minorHAnsi"/>
        </w:rPr>
        <w:t>n the same direction –86% reported no change in “anxiety/depression” status for T0 to T2 (</w:t>
      </w:r>
      <w:hyperlink w:anchor="A51" w:history="1">
        <w:r w:rsidRPr="00FB6EFE">
          <w:rPr>
            <w:rStyle w:val="Hyperlink"/>
            <w:rFonts w:asciiTheme="minorHAnsi" w:hAnsiTheme="minorHAnsi" w:cstheme="minorHAnsi"/>
            <w:color w:val="auto"/>
            <w:u w:val="none"/>
          </w:rPr>
          <w:t xml:space="preserve">refer to Appendix 5.1). </w:t>
        </w:r>
      </w:hyperlink>
      <w:r w:rsidRPr="00FB6EFE">
        <w:rPr>
          <w:rFonts w:asciiTheme="minorHAnsi" w:hAnsiTheme="minorHAnsi" w:cstheme="minorHAnsi"/>
        </w:rPr>
        <w:t xml:space="preserve"> </w:t>
      </w:r>
    </w:p>
    <w:p w14:paraId="188BBE0E" w14:textId="77777777" w:rsidR="00B54D51" w:rsidRPr="00FB6EFE" w:rsidRDefault="00B54D51" w:rsidP="00C15510">
      <w:pPr>
        <w:rPr>
          <w:rFonts w:asciiTheme="minorHAnsi" w:hAnsiTheme="minorHAnsi" w:cstheme="minorHAnsi"/>
        </w:rPr>
      </w:pPr>
    </w:p>
    <w:p w14:paraId="4406D3D6" w14:textId="77777777" w:rsidR="00B54D51" w:rsidRPr="00037AD4" w:rsidRDefault="00B54D51" w:rsidP="00C15510">
      <w:pPr>
        <w:rPr>
          <w:rFonts w:asciiTheme="minorHAnsi" w:hAnsiTheme="minorHAnsi" w:cstheme="minorHAnsi"/>
          <w:color w:val="FF0000"/>
        </w:rPr>
      </w:pPr>
      <w:r w:rsidRPr="00FB6EFE">
        <w:rPr>
          <w:rFonts w:asciiTheme="minorHAnsi" w:hAnsiTheme="minorHAnsi" w:cstheme="minorHAnsi"/>
        </w:rPr>
        <w:t xml:space="preserve">According to the predefined thresholds, ceiling effects were observed for the “anxiety/depression” dimension, whereby over 60% of people with dementia and nearly 70% of staff proxies rated “no problems” in this dimension (compared with 39% of informal proxies). No floor effects were observed for any of the respondent’s reports; </w:t>
      </w:r>
      <w:hyperlink w:anchor="A52" w:history="1">
        <w:r w:rsidRPr="00FB6EFE">
          <w:rPr>
            <w:rStyle w:val="Hyperlink"/>
            <w:rFonts w:asciiTheme="minorHAnsi" w:hAnsiTheme="minorHAnsi" w:cstheme="minorHAnsi"/>
            <w:color w:val="auto"/>
            <w:u w:val="none"/>
          </w:rPr>
          <w:t>See Appendix 5.2.</w:t>
        </w:r>
      </w:hyperlink>
      <w:r w:rsidRPr="00037AD4">
        <w:rPr>
          <w:rFonts w:asciiTheme="minorHAnsi" w:hAnsiTheme="minorHAnsi" w:cstheme="minorHAnsi"/>
        </w:rPr>
        <w:t xml:space="preserve"> </w:t>
      </w:r>
    </w:p>
    <w:p w14:paraId="6B4ED17E" w14:textId="77777777" w:rsidR="00FB6EFE" w:rsidRPr="00037AD4" w:rsidRDefault="00FB6EFE" w:rsidP="00401029">
      <w:pPr>
        <w:rPr>
          <w:rFonts w:asciiTheme="minorHAnsi" w:hAnsiTheme="minorHAnsi" w:cstheme="minorHAnsi"/>
        </w:rPr>
      </w:pPr>
    </w:p>
    <w:p w14:paraId="04C13815" w14:textId="77777777" w:rsidR="00B54D51" w:rsidRPr="00037AD4" w:rsidRDefault="00B54D51" w:rsidP="00A9102D">
      <w:pPr>
        <w:rPr>
          <w:rFonts w:asciiTheme="majorHAnsi" w:hAnsiTheme="majorHAnsi" w:cstheme="majorHAnsi"/>
          <w:b/>
          <w:bCs/>
          <w:sz w:val="26"/>
          <w:szCs w:val="26"/>
          <w:u w:val="single"/>
        </w:rPr>
      </w:pPr>
      <w:r w:rsidRPr="00037AD4">
        <w:rPr>
          <w:rFonts w:asciiTheme="majorHAnsi" w:hAnsiTheme="majorHAnsi" w:cstheme="majorHAnsi"/>
          <w:b/>
          <w:bCs/>
          <w:sz w:val="26"/>
          <w:szCs w:val="26"/>
          <w:u w:val="single"/>
        </w:rPr>
        <w:t xml:space="preserve">5.4.5.1 Anxiety/depression change alongside dementia symptom measures  </w:t>
      </w:r>
    </w:p>
    <w:p w14:paraId="03912BDD" w14:textId="77777777" w:rsidR="00B54D51" w:rsidRPr="00037AD4" w:rsidRDefault="00B54D51" w:rsidP="00A9102D">
      <w:pPr>
        <w:rPr>
          <w:rFonts w:asciiTheme="minorHAnsi" w:hAnsiTheme="minorHAnsi" w:cstheme="minorHAnsi"/>
          <w:b/>
          <w:bCs/>
          <w:u w:val="single"/>
        </w:rPr>
      </w:pPr>
    </w:p>
    <w:p w14:paraId="734C7388" w14:textId="0288D787" w:rsidR="00B54D51" w:rsidRPr="00037AD4" w:rsidRDefault="00B54D51" w:rsidP="00A9102D">
      <w:pPr>
        <w:rPr>
          <w:rFonts w:asciiTheme="minorHAnsi" w:hAnsiTheme="minorHAnsi" w:cstheme="minorHAnsi"/>
        </w:rPr>
      </w:pPr>
      <w:r w:rsidRPr="00037AD4">
        <w:rPr>
          <w:rFonts w:asciiTheme="minorHAnsi" w:hAnsiTheme="minorHAnsi" w:cstheme="minorHAnsi"/>
        </w:rPr>
        <w:t xml:space="preserve">Dyadic change in “anxiety/depression” was explored alongside change in behaviour/mood status and cognition using the </w:t>
      </w:r>
      <w:r w:rsidR="00673F38">
        <w:rPr>
          <w:rFonts w:asciiTheme="minorHAnsi" w:hAnsiTheme="minorHAnsi" w:cstheme="minorHAnsi"/>
        </w:rPr>
        <w:t>ACTIFCARE</w:t>
      </w:r>
      <w:r w:rsidRPr="00037AD4">
        <w:rPr>
          <w:rFonts w:asciiTheme="minorHAnsi" w:hAnsiTheme="minorHAnsi" w:cstheme="minorHAnsi"/>
        </w:rPr>
        <w:t xml:space="preserve"> trial </w:t>
      </w:r>
      <w:r w:rsidRPr="00FB6EFE">
        <w:rPr>
          <w:rFonts w:asciiTheme="minorHAnsi" w:hAnsiTheme="minorHAnsi" w:cstheme="minorHAnsi"/>
        </w:rPr>
        <w:t>data (</w:t>
      </w:r>
      <w:hyperlink w:anchor="A5" w:history="1">
        <w:r w:rsidRPr="00FB6EFE">
          <w:rPr>
            <w:rStyle w:val="Hyperlink"/>
            <w:rFonts w:asciiTheme="minorHAnsi" w:hAnsiTheme="minorHAnsi" w:cstheme="minorHAnsi"/>
            <w:color w:val="auto"/>
            <w:u w:val="none"/>
          </w:rPr>
          <w:t>see Appendix 5</w:t>
        </w:r>
      </w:hyperlink>
      <w:r w:rsidRPr="00FB6EFE">
        <w:rPr>
          <w:rFonts w:asciiTheme="minorHAnsi" w:hAnsiTheme="minorHAnsi" w:cstheme="minorHAnsi"/>
        </w:rPr>
        <w:t xml:space="preserve"> for </w:t>
      </w:r>
      <w:r w:rsidRPr="00037AD4">
        <w:rPr>
          <w:rFonts w:asciiTheme="minorHAnsi" w:hAnsiTheme="minorHAnsi" w:cstheme="minorHAnsi"/>
        </w:rPr>
        <w:t>outcome determination). As a result, there are no staff proxy comparisons with cognition</w:t>
      </w:r>
      <w:r w:rsidR="00673F38">
        <w:rPr>
          <w:rFonts w:asciiTheme="minorHAnsi" w:hAnsiTheme="minorHAnsi" w:cstheme="minorHAnsi"/>
        </w:rPr>
        <w:t>.</w:t>
      </w:r>
      <w:r w:rsidRPr="00037AD4">
        <w:rPr>
          <w:rFonts w:asciiTheme="minorHAnsi" w:hAnsiTheme="minorHAnsi" w:cstheme="minorHAnsi"/>
        </w:rPr>
        <w:t xml:space="preserve">  </w:t>
      </w:r>
    </w:p>
    <w:p w14:paraId="56F915BA" w14:textId="77777777" w:rsidR="00B54D51" w:rsidRPr="00037AD4" w:rsidRDefault="00B54D51" w:rsidP="00A9102D">
      <w:pPr>
        <w:rPr>
          <w:rFonts w:asciiTheme="minorHAnsi" w:hAnsiTheme="minorHAnsi" w:cstheme="minorHAnsi"/>
        </w:rPr>
      </w:pPr>
    </w:p>
    <w:p w14:paraId="2CC35B03" w14:textId="649149FF" w:rsidR="00B54D51" w:rsidRPr="00037AD4" w:rsidRDefault="00B54D51" w:rsidP="00A9102D">
      <w:pPr>
        <w:rPr>
          <w:rFonts w:asciiTheme="minorHAnsi" w:hAnsiTheme="minorHAnsi" w:cstheme="minorHAnsi"/>
        </w:rPr>
      </w:pPr>
      <w:r w:rsidRPr="00037AD4">
        <w:rPr>
          <w:rFonts w:asciiTheme="minorHAnsi" w:hAnsiTheme="minorHAnsi" w:cstheme="minorHAnsi"/>
        </w:rPr>
        <w:t xml:space="preserve">Figure 25a displays the associations between “anxiety/depression” reporting over time and behaviour/mood status. It can be seen that where respondents reported a worsening in “anxiety/depression”, 70% of staff proxy responses corresponded with a worsening in behaviour/mood, making them the respondent type with the highest associated proportion (vs. 61% for people with dementia and 58% for informal proxies). Similarly, where the PwD’s behaviour/mood had improved – the greatest proportion of staff proxy responses reflecting an improvement in “anxiety/depression” aligned (65%, vs. 43% for people with dementia and 58% for informal proxies). 48% of people with dementia self-reported a conflicting improvement in their “anxiety/depression” dimension score where their behaviour/mood status had shown a worsening in condition (vs. 39% of informal and 28% of staff proxies). </w:t>
      </w:r>
    </w:p>
    <w:p w14:paraId="5D873EC8" w14:textId="77777777" w:rsidR="00B54D51" w:rsidRPr="00037AD4" w:rsidRDefault="00B54D51" w:rsidP="00A9102D">
      <w:pPr>
        <w:rPr>
          <w:rFonts w:asciiTheme="minorHAnsi" w:hAnsiTheme="minorHAnsi" w:cstheme="minorHAnsi"/>
          <w:b/>
          <w:bCs/>
          <w:u w:val="single"/>
        </w:rPr>
      </w:pPr>
    </w:p>
    <w:p w14:paraId="28805D71" w14:textId="3ADABB11" w:rsidR="00B54D51" w:rsidRPr="00037AD4" w:rsidRDefault="00B54D51" w:rsidP="00401029">
      <w:pPr>
        <w:rPr>
          <w:rFonts w:asciiTheme="minorHAnsi" w:hAnsiTheme="minorHAnsi" w:cstheme="minorHAnsi"/>
        </w:rPr>
      </w:pPr>
      <w:r w:rsidRPr="00037AD4">
        <w:rPr>
          <w:rFonts w:asciiTheme="minorHAnsi" w:hAnsiTheme="minorHAnsi" w:cstheme="minorHAnsi"/>
        </w:rPr>
        <w:t xml:space="preserve">Figure 25b displays the associations for cognition and shows where respondents reported a worsening in “anxiety/depression”, a greater proportion of these reports corresponded with worsened cognition </w:t>
      </w:r>
      <w:r w:rsidR="00DE18C5">
        <w:rPr>
          <w:rFonts w:asciiTheme="minorHAnsi" w:hAnsiTheme="minorHAnsi" w:cstheme="minorHAnsi"/>
        </w:rPr>
        <w:t>over</w:t>
      </w:r>
      <w:r w:rsidRPr="00037AD4">
        <w:rPr>
          <w:rFonts w:asciiTheme="minorHAnsi" w:hAnsiTheme="minorHAnsi" w:cstheme="minorHAnsi"/>
        </w:rPr>
        <w:t xml:space="preserve"> time (65% for people with dementia and 51% for informal proxies). This finding opposes the </w:t>
      </w:r>
      <w:r w:rsidRPr="00FB6EFE">
        <w:rPr>
          <w:rFonts w:asciiTheme="minorHAnsi" w:hAnsiTheme="minorHAnsi" w:cstheme="minorHAnsi"/>
        </w:rPr>
        <w:t xml:space="preserve">results reported in the convergent validity </w:t>
      </w:r>
      <w:hyperlink w:anchor="_3.7_Convergent_validity" w:history="1">
        <w:r w:rsidRPr="00FB6EFE">
          <w:rPr>
            <w:rStyle w:val="Hyperlink"/>
            <w:rFonts w:asciiTheme="minorHAnsi" w:hAnsiTheme="minorHAnsi" w:cstheme="minorHAnsi"/>
            <w:color w:val="auto"/>
            <w:u w:val="none"/>
          </w:rPr>
          <w:t>systematic review of Chapter Three</w:t>
        </w:r>
      </w:hyperlink>
      <w:r w:rsidRPr="00FB6EFE">
        <w:rPr>
          <w:rFonts w:asciiTheme="minorHAnsi" w:hAnsiTheme="minorHAnsi" w:cstheme="minorHAnsi"/>
        </w:rPr>
        <w:t xml:space="preserve">, whereby people with dementia with higher levels of cognitive impairment self-reported fewer problems in “anxiety/depression” </w:t>
      </w:r>
      <w:hyperlink w:anchor="_3.7.4.6_Convergent_validity" w:history="1">
        <w:r w:rsidRPr="00FB6EFE">
          <w:rPr>
            <w:rStyle w:val="Hyperlink"/>
            <w:rFonts w:asciiTheme="minorHAnsi" w:hAnsiTheme="minorHAnsi" w:cstheme="minorHAnsi"/>
            <w:color w:val="auto"/>
            <w:u w:val="none"/>
          </w:rPr>
          <w:t>(see Section 3.7.4.6).</w:t>
        </w:r>
      </w:hyperlink>
    </w:p>
    <w:p w14:paraId="5F8D8945" w14:textId="77777777" w:rsidR="00B54D51" w:rsidRPr="00037AD4" w:rsidRDefault="00B54D51" w:rsidP="00401029">
      <w:pPr>
        <w:rPr>
          <w:rFonts w:asciiTheme="minorHAnsi" w:hAnsiTheme="minorHAnsi" w:cstheme="minorHAnsi"/>
        </w:rPr>
      </w:pPr>
    </w:p>
    <w:p w14:paraId="53D8185F" w14:textId="642E3F60" w:rsidR="00B54D51" w:rsidRPr="00037AD4" w:rsidRDefault="00B54D51" w:rsidP="00A9102D">
      <w:pPr>
        <w:rPr>
          <w:rFonts w:asciiTheme="minorHAnsi" w:hAnsiTheme="minorHAnsi" w:cstheme="minorHAnsi"/>
          <w:b/>
          <w:bCs/>
          <w:i/>
          <w:iCs/>
        </w:rPr>
      </w:pPr>
      <w:r w:rsidRPr="00037AD4">
        <w:rPr>
          <w:rFonts w:asciiTheme="minorHAnsi" w:hAnsiTheme="minorHAnsi" w:cstheme="minorHAnsi"/>
          <w:b/>
          <w:bCs/>
          <w:i/>
          <w:iCs/>
        </w:rPr>
        <w:t>Figure 25a, Direction of behaviour/mood status progression</w:t>
      </w:r>
      <w:r w:rsidR="002A4B43">
        <w:rPr>
          <w:rFonts w:asciiTheme="minorHAnsi" w:hAnsiTheme="minorHAnsi" w:cstheme="minorHAnsi"/>
          <w:b/>
          <w:bCs/>
          <w:i/>
          <w:iCs/>
        </w:rPr>
        <w:t xml:space="preserve"> by </w:t>
      </w:r>
      <w:r w:rsidR="002A4B43" w:rsidRPr="00037AD4">
        <w:rPr>
          <w:rFonts w:asciiTheme="minorHAnsi" w:hAnsiTheme="minorHAnsi" w:cstheme="minorHAnsi"/>
          <w:b/>
          <w:bCs/>
          <w:i/>
          <w:iCs/>
        </w:rPr>
        <w:t>anxiety/depression change</w:t>
      </w:r>
    </w:p>
    <w:p w14:paraId="242BDB77" w14:textId="77777777" w:rsidR="00B54D51" w:rsidRPr="00037AD4" w:rsidRDefault="00B54D51" w:rsidP="00A9102D">
      <w:pPr>
        <w:rPr>
          <w:rFonts w:asciiTheme="minorHAnsi" w:hAnsiTheme="minorHAnsi" w:cstheme="minorHAnsi"/>
        </w:rPr>
      </w:pPr>
    </w:p>
    <w:p w14:paraId="418F2DBC" w14:textId="77777777" w:rsidR="00B54D51" w:rsidRPr="00037AD4" w:rsidRDefault="00B54D51" w:rsidP="00A9102D">
      <w:pPr>
        <w:rPr>
          <w:rFonts w:asciiTheme="minorHAnsi" w:hAnsiTheme="minorHAnsi" w:cstheme="minorHAnsi"/>
          <w:b/>
          <w:bCs/>
          <w:u w:val="single"/>
        </w:rPr>
      </w:pPr>
      <w:r w:rsidRPr="00037AD4">
        <w:rPr>
          <w:rFonts w:asciiTheme="minorHAnsi" w:hAnsiTheme="minorHAnsi" w:cstheme="minorHAnsi"/>
          <w:noProof/>
        </w:rPr>
        <w:drawing>
          <wp:inline distT="0" distB="0" distL="0" distR="0" wp14:anchorId="1519896D" wp14:editId="0FB9D113">
            <wp:extent cx="6120000" cy="3312000"/>
            <wp:effectExtent l="0" t="0" r="14605" b="15875"/>
            <wp:docPr id="87" name="Chart 87">
              <a:extLst xmlns:a="http://schemas.openxmlformats.org/drawingml/2006/main">
                <a:ext uri="{FF2B5EF4-FFF2-40B4-BE49-F238E27FC236}">
                  <a16:creationId xmlns:a16="http://schemas.microsoft.com/office/drawing/2014/main" id="{B18C18F4-9482-B345-02F3-4478BD07C3C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21B2BE1A" w14:textId="77777777" w:rsidR="00673F38" w:rsidRDefault="00673F38" w:rsidP="00A9102D">
      <w:pPr>
        <w:rPr>
          <w:rFonts w:asciiTheme="minorHAnsi" w:hAnsiTheme="minorHAnsi" w:cstheme="minorHAnsi"/>
          <w:b/>
          <w:bCs/>
          <w:i/>
          <w:iCs/>
        </w:rPr>
      </w:pPr>
    </w:p>
    <w:p w14:paraId="43B1665B" w14:textId="77777777" w:rsidR="00673F38" w:rsidRDefault="00673F38" w:rsidP="00A9102D">
      <w:pPr>
        <w:rPr>
          <w:rFonts w:asciiTheme="minorHAnsi" w:hAnsiTheme="minorHAnsi" w:cstheme="minorHAnsi"/>
          <w:b/>
          <w:bCs/>
          <w:i/>
          <w:iCs/>
        </w:rPr>
      </w:pPr>
    </w:p>
    <w:p w14:paraId="1C8AF72F" w14:textId="77777777" w:rsidR="00673F38" w:rsidRDefault="00673F38" w:rsidP="00A9102D">
      <w:pPr>
        <w:rPr>
          <w:rFonts w:asciiTheme="minorHAnsi" w:hAnsiTheme="minorHAnsi" w:cstheme="minorHAnsi"/>
          <w:b/>
          <w:bCs/>
          <w:i/>
          <w:iCs/>
        </w:rPr>
      </w:pPr>
    </w:p>
    <w:p w14:paraId="2BEA3186" w14:textId="77777777" w:rsidR="00673F38" w:rsidRDefault="00673F38" w:rsidP="00A9102D">
      <w:pPr>
        <w:rPr>
          <w:rFonts w:asciiTheme="minorHAnsi" w:hAnsiTheme="minorHAnsi" w:cstheme="minorHAnsi"/>
          <w:b/>
          <w:bCs/>
          <w:i/>
          <w:iCs/>
        </w:rPr>
      </w:pPr>
    </w:p>
    <w:p w14:paraId="460BF66F" w14:textId="77777777" w:rsidR="00673F38" w:rsidRDefault="00673F38" w:rsidP="00A9102D">
      <w:pPr>
        <w:rPr>
          <w:rFonts w:asciiTheme="minorHAnsi" w:hAnsiTheme="minorHAnsi" w:cstheme="minorHAnsi"/>
          <w:b/>
          <w:bCs/>
          <w:i/>
          <w:iCs/>
        </w:rPr>
      </w:pPr>
    </w:p>
    <w:p w14:paraId="31C63F5B" w14:textId="77777777" w:rsidR="00673F38" w:rsidRDefault="00673F38" w:rsidP="00A9102D">
      <w:pPr>
        <w:rPr>
          <w:rFonts w:asciiTheme="minorHAnsi" w:hAnsiTheme="minorHAnsi" w:cstheme="minorHAnsi"/>
          <w:b/>
          <w:bCs/>
          <w:i/>
          <w:iCs/>
        </w:rPr>
      </w:pPr>
    </w:p>
    <w:p w14:paraId="524184AB" w14:textId="77777777" w:rsidR="00673F38" w:rsidRDefault="00673F38" w:rsidP="00A9102D">
      <w:pPr>
        <w:rPr>
          <w:rFonts w:asciiTheme="minorHAnsi" w:hAnsiTheme="minorHAnsi" w:cstheme="minorHAnsi"/>
          <w:b/>
          <w:bCs/>
          <w:i/>
          <w:iCs/>
        </w:rPr>
      </w:pPr>
    </w:p>
    <w:p w14:paraId="1FB294C6" w14:textId="77777777" w:rsidR="00673F38" w:rsidRDefault="00673F38" w:rsidP="00A9102D">
      <w:pPr>
        <w:rPr>
          <w:rFonts w:asciiTheme="minorHAnsi" w:hAnsiTheme="minorHAnsi" w:cstheme="minorHAnsi"/>
          <w:b/>
          <w:bCs/>
          <w:i/>
          <w:iCs/>
        </w:rPr>
      </w:pPr>
    </w:p>
    <w:p w14:paraId="69FB3F9D" w14:textId="77777777" w:rsidR="00673F38" w:rsidRDefault="00673F38" w:rsidP="00A9102D">
      <w:pPr>
        <w:rPr>
          <w:rFonts w:asciiTheme="minorHAnsi" w:hAnsiTheme="minorHAnsi" w:cstheme="minorHAnsi"/>
          <w:b/>
          <w:bCs/>
          <w:i/>
          <w:iCs/>
        </w:rPr>
      </w:pPr>
    </w:p>
    <w:p w14:paraId="17EA5ACF" w14:textId="77777777" w:rsidR="00673F38" w:rsidRDefault="00673F38" w:rsidP="00A9102D">
      <w:pPr>
        <w:rPr>
          <w:rFonts w:asciiTheme="minorHAnsi" w:hAnsiTheme="minorHAnsi" w:cstheme="minorHAnsi"/>
          <w:b/>
          <w:bCs/>
          <w:i/>
          <w:iCs/>
        </w:rPr>
      </w:pPr>
    </w:p>
    <w:p w14:paraId="6B6EC220" w14:textId="77777777" w:rsidR="00673F38" w:rsidRDefault="00673F38" w:rsidP="00A9102D">
      <w:pPr>
        <w:rPr>
          <w:rFonts w:asciiTheme="minorHAnsi" w:hAnsiTheme="minorHAnsi" w:cstheme="minorHAnsi"/>
          <w:b/>
          <w:bCs/>
          <w:i/>
          <w:iCs/>
        </w:rPr>
      </w:pPr>
    </w:p>
    <w:p w14:paraId="707D18A0" w14:textId="77777777" w:rsidR="00673F38" w:rsidRDefault="00673F38" w:rsidP="00A9102D">
      <w:pPr>
        <w:rPr>
          <w:rFonts w:asciiTheme="minorHAnsi" w:hAnsiTheme="minorHAnsi" w:cstheme="minorHAnsi"/>
          <w:b/>
          <w:bCs/>
          <w:i/>
          <w:iCs/>
        </w:rPr>
      </w:pPr>
    </w:p>
    <w:p w14:paraId="09ED2E55" w14:textId="77777777" w:rsidR="00673F38" w:rsidRDefault="00673F38" w:rsidP="00A9102D">
      <w:pPr>
        <w:rPr>
          <w:rFonts w:asciiTheme="minorHAnsi" w:hAnsiTheme="minorHAnsi" w:cstheme="minorHAnsi"/>
          <w:b/>
          <w:bCs/>
          <w:i/>
          <w:iCs/>
        </w:rPr>
      </w:pPr>
    </w:p>
    <w:p w14:paraId="7246E14E" w14:textId="77777777" w:rsidR="00673F38" w:rsidRDefault="00673F38" w:rsidP="00A9102D">
      <w:pPr>
        <w:rPr>
          <w:rFonts w:asciiTheme="minorHAnsi" w:hAnsiTheme="minorHAnsi" w:cstheme="minorHAnsi"/>
          <w:b/>
          <w:bCs/>
          <w:i/>
          <w:iCs/>
        </w:rPr>
      </w:pPr>
    </w:p>
    <w:p w14:paraId="08E3658F" w14:textId="77777777" w:rsidR="00673F38" w:rsidRDefault="00673F38" w:rsidP="00A9102D">
      <w:pPr>
        <w:rPr>
          <w:rFonts w:asciiTheme="minorHAnsi" w:hAnsiTheme="minorHAnsi" w:cstheme="minorHAnsi"/>
          <w:b/>
          <w:bCs/>
          <w:i/>
          <w:iCs/>
        </w:rPr>
      </w:pPr>
    </w:p>
    <w:p w14:paraId="3CC6E551" w14:textId="77777777" w:rsidR="00673F38" w:rsidRDefault="00673F38" w:rsidP="00A9102D">
      <w:pPr>
        <w:rPr>
          <w:rFonts w:asciiTheme="minorHAnsi" w:hAnsiTheme="minorHAnsi" w:cstheme="minorHAnsi"/>
          <w:b/>
          <w:bCs/>
          <w:i/>
          <w:iCs/>
        </w:rPr>
      </w:pPr>
    </w:p>
    <w:p w14:paraId="10DFF04E" w14:textId="77777777" w:rsidR="00673F38" w:rsidRDefault="00673F38" w:rsidP="00A9102D">
      <w:pPr>
        <w:rPr>
          <w:rFonts w:asciiTheme="minorHAnsi" w:hAnsiTheme="minorHAnsi" w:cstheme="minorHAnsi"/>
          <w:b/>
          <w:bCs/>
          <w:i/>
          <w:iCs/>
        </w:rPr>
      </w:pPr>
    </w:p>
    <w:p w14:paraId="34F14D6B" w14:textId="77777777" w:rsidR="00673F38" w:rsidRDefault="00673F38" w:rsidP="00A9102D">
      <w:pPr>
        <w:rPr>
          <w:rFonts w:asciiTheme="minorHAnsi" w:hAnsiTheme="minorHAnsi" w:cstheme="minorHAnsi"/>
          <w:b/>
          <w:bCs/>
          <w:i/>
          <w:iCs/>
        </w:rPr>
      </w:pPr>
    </w:p>
    <w:p w14:paraId="664D4023" w14:textId="77777777" w:rsidR="00673F38" w:rsidRDefault="00673F38" w:rsidP="00A9102D">
      <w:pPr>
        <w:rPr>
          <w:rFonts w:asciiTheme="minorHAnsi" w:hAnsiTheme="minorHAnsi" w:cstheme="minorHAnsi"/>
          <w:b/>
          <w:bCs/>
          <w:i/>
          <w:iCs/>
        </w:rPr>
      </w:pPr>
    </w:p>
    <w:p w14:paraId="385135C0" w14:textId="2833CD07" w:rsidR="00B54D51" w:rsidRPr="00037AD4" w:rsidRDefault="00B54D51" w:rsidP="00A9102D">
      <w:pPr>
        <w:rPr>
          <w:rFonts w:asciiTheme="minorHAnsi" w:hAnsiTheme="minorHAnsi" w:cstheme="minorHAnsi"/>
          <w:b/>
          <w:bCs/>
          <w:i/>
          <w:iCs/>
        </w:rPr>
      </w:pPr>
      <w:r w:rsidRPr="00037AD4">
        <w:rPr>
          <w:rFonts w:asciiTheme="minorHAnsi" w:hAnsiTheme="minorHAnsi" w:cstheme="minorHAnsi"/>
          <w:b/>
          <w:bCs/>
          <w:i/>
          <w:iCs/>
        </w:rPr>
        <w:lastRenderedPageBreak/>
        <w:t>Figure 25b, Direction of cognition status progression</w:t>
      </w:r>
      <w:r w:rsidR="002A4B43">
        <w:rPr>
          <w:rFonts w:asciiTheme="minorHAnsi" w:hAnsiTheme="minorHAnsi" w:cstheme="minorHAnsi"/>
          <w:b/>
          <w:bCs/>
          <w:i/>
          <w:iCs/>
        </w:rPr>
        <w:t xml:space="preserve"> by </w:t>
      </w:r>
      <w:r w:rsidR="002A4B43" w:rsidRPr="00037AD4">
        <w:rPr>
          <w:rFonts w:asciiTheme="minorHAnsi" w:hAnsiTheme="minorHAnsi" w:cstheme="minorHAnsi"/>
          <w:b/>
          <w:bCs/>
          <w:i/>
          <w:iCs/>
        </w:rPr>
        <w:t>anxiety/depression change</w:t>
      </w:r>
    </w:p>
    <w:p w14:paraId="1E87D2F4" w14:textId="77777777" w:rsidR="00B54D51" w:rsidRPr="00037AD4" w:rsidRDefault="00B54D51" w:rsidP="00A9102D">
      <w:pPr>
        <w:rPr>
          <w:rFonts w:asciiTheme="minorHAnsi" w:hAnsiTheme="minorHAnsi" w:cstheme="minorHAnsi"/>
        </w:rPr>
      </w:pPr>
    </w:p>
    <w:p w14:paraId="5BB4AA10" w14:textId="77777777" w:rsidR="00B54D51" w:rsidRPr="00037AD4" w:rsidRDefault="00B54D51" w:rsidP="00A9102D">
      <w:pPr>
        <w:rPr>
          <w:rFonts w:asciiTheme="minorHAnsi" w:hAnsiTheme="minorHAnsi" w:cstheme="minorHAnsi"/>
          <w:b/>
          <w:bCs/>
          <w:u w:val="single"/>
        </w:rPr>
      </w:pPr>
      <w:r w:rsidRPr="00037AD4">
        <w:rPr>
          <w:rFonts w:asciiTheme="minorHAnsi" w:hAnsiTheme="minorHAnsi" w:cstheme="minorHAnsi"/>
          <w:noProof/>
        </w:rPr>
        <w:drawing>
          <wp:inline distT="0" distB="0" distL="0" distR="0" wp14:anchorId="66967B66" wp14:editId="3608EC6B">
            <wp:extent cx="6120000" cy="3312000"/>
            <wp:effectExtent l="0" t="0" r="14605" b="15875"/>
            <wp:docPr id="11" name="Chart 11">
              <a:extLst xmlns:a="http://schemas.openxmlformats.org/drawingml/2006/main">
                <a:ext uri="{FF2B5EF4-FFF2-40B4-BE49-F238E27FC236}">
                  <a16:creationId xmlns:a16="http://schemas.microsoft.com/office/drawing/2014/main" id="{5D21AA93-0E98-EFA4-51B2-08596189FC0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3CED1655" w14:textId="77777777" w:rsidR="00B54D51" w:rsidRPr="00037AD4" w:rsidRDefault="00B54D51" w:rsidP="00A9102D">
      <w:pPr>
        <w:rPr>
          <w:rFonts w:asciiTheme="minorHAnsi" w:hAnsiTheme="minorHAnsi" w:cstheme="minorHAnsi"/>
          <w:b/>
          <w:bCs/>
          <w:u w:val="single"/>
        </w:rPr>
      </w:pPr>
    </w:p>
    <w:p w14:paraId="6E7E91A5" w14:textId="77777777" w:rsidR="00B54D51" w:rsidRPr="00037AD4" w:rsidRDefault="00B54D51" w:rsidP="00A9102D">
      <w:pPr>
        <w:rPr>
          <w:rFonts w:asciiTheme="minorHAnsi" w:hAnsiTheme="minorHAnsi" w:cstheme="minorHAnsi"/>
          <w:b/>
          <w:bCs/>
          <w:u w:val="single"/>
        </w:rPr>
      </w:pPr>
      <w:r w:rsidRPr="00037AD4">
        <w:rPr>
          <w:rFonts w:asciiTheme="minorHAnsi" w:hAnsiTheme="minorHAnsi" w:cstheme="minorHAnsi"/>
          <w:b/>
          <w:bCs/>
          <w:noProof/>
          <w:u w:val="single"/>
        </w:rPr>
        <mc:AlternateContent>
          <mc:Choice Requires="wps">
            <w:drawing>
              <wp:anchor distT="0" distB="0" distL="114300" distR="114300" simplePos="0" relativeHeight="251681792" behindDoc="0" locked="0" layoutInCell="1" allowOverlap="1" wp14:anchorId="0F62A216" wp14:editId="55F0D7F8">
                <wp:simplePos x="0" y="0"/>
                <wp:positionH relativeFrom="column">
                  <wp:posOffset>0</wp:posOffset>
                </wp:positionH>
                <wp:positionV relativeFrom="paragraph">
                  <wp:posOffset>-635</wp:posOffset>
                </wp:positionV>
                <wp:extent cx="2317898" cy="287079"/>
                <wp:effectExtent l="0" t="0" r="19050" b="17780"/>
                <wp:wrapNone/>
                <wp:docPr id="100" name="Text Box 100"/>
                <wp:cNvGraphicFramePr/>
                <a:graphic xmlns:a="http://schemas.openxmlformats.org/drawingml/2006/main">
                  <a:graphicData uri="http://schemas.microsoft.com/office/word/2010/wordprocessingShape">
                    <wps:wsp>
                      <wps:cNvSpPr txBox="1"/>
                      <wps:spPr>
                        <a:xfrm>
                          <a:off x="0" y="0"/>
                          <a:ext cx="2317898" cy="287079"/>
                        </a:xfrm>
                        <a:prstGeom prst="rect">
                          <a:avLst/>
                        </a:prstGeom>
                        <a:ln/>
                      </wps:spPr>
                      <wps:style>
                        <a:lnRef idx="2">
                          <a:schemeClr val="accent3"/>
                        </a:lnRef>
                        <a:fillRef idx="1">
                          <a:schemeClr val="lt1"/>
                        </a:fillRef>
                        <a:effectRef idx="0">
                          <a:schemeClr val="accent3"/>
                        </a:effectRef>
                        <a:fontRef idx="minor">
                          <a:schemeClr val="dk1"/>
                        </a:fontRef>
                      </wps:style>
                      <wps:txbx>
                        <w:txbxContent>
                          <w:p w14:paraId="34AF1CA2" w14:textId="77777777" w:rsidR="00B54D51" w:rsidRPr="00B33A7D" w:rsidRDefault="00B54D51" w:rsidP="00A9102D">
                            <w:pPr>
                              <w:rPr>
                                <w:rFonts w:asciiTheme="minorHAnsi" w:hAnsiTheme="minorHAnsi" w:cstheme="minorHAnsi"/>
                                <w:i/>
                                <w:iCs/>
                              </w:rPr>
                            </w:pPr>
                            <w:r w:rsidRPr="00B33A7D">
                              <w:rPr>
                                <w:rFonts w:asciiTheme="minorHAnsi" w:hAnsiTheme="minorHAnsi" w:cstheme="minorHAnsi"/>
                                <w:i/>
                                <w:iCs/>
                              </w:rPr>
                              <w:t>PR, informal proxy; ST, staff proxy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62A216" id="Text Box 100" o:spid="_x0000_s1042" type="#_x0000_t202" style="position:absolute;margin-left:0;margin-top:-.05pt;width:182.5pt;height:22.6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" fillcolor="white [3201]" strokecolor="#a5a5a5 [3206]" strokeweight="1pt">
                <v:textbox>
                  <w:txbxContent>
                    <w:p w14:paraId="34AF1CA2" w14:textId="77777777" w:rsidR="00B54D51" w:rsidRPr="00B33A7D" w:rsidRDefault="00B54D51" w:rsidP="00A9102D">
                      <w:pPr>
                        <w:rPr>
                          <w:rFonts w:asciiTheme="minorHAnsi" w:hAnsiTheme="minorHAnsi" w:cstheme="minorHAnsi"/>
                          <w:i/>
                          <w:iCs/>
                        </w:rPr>
                      </w:pPr>
                      <w:r w:rsidRPr="00B33A7D">
                        <w:rPr>
                          <w:rFonts w:asciiTheme="minorHAnsi" w:hAnsiTheme="minorHAnsi" w:cstheme="minorHAnsi"/>
                          <w:i/>
                          <w:iCs/>
                        </w:rPr>
                        <w:t>PR, informal proxy; ST, staff proxy</w:t>
                      </w:r>
                    </w:p>
                  </w:txbxContent>
                </v:textbox>
              </v:shape>
            </w:pict>
          </mc:Fallback>
        </mc:AlternateContent>
      </w:r>
    </w:p>
    <w:p w14:paraId="08A64DD2" w14:textId="77777777" w:rsidR="00B54D51" w:rsidRPr="00037AD4" w:rsidRDefault="00B54D51" w:rsidP="00A9102D">
      <w:pPr>
        <w:rPr>
          <w:rFonts w:asciiTheme="minorHAnsi" w:hAnsiTheme="minorHAnsi" w:cstheme="minorHAnsi"/>
          <w:b/>
          <w:bCs/>
          <w:u w:val="single"/>
        </w:rPr>
      </w:pPr>
    </w:p>
    <w:p w14:paraId="6F0433E6" w14:textId="77777777" w:rsidR="00B54D51" w:rsidRPr="00037AD4" w:rsidRDefault="00B54D51" w:rsidP="00A9102D">
      <w:pPr>
        <w:rPr>
          <w:rFonts w:asciiTheme="minorHAnsi" w:hAnsiTheme="minorHAnsi" w:cstheme="minorHAnsi"/>
          <w:b/>
          <w:bCs/>
          <w:u w:val="single"/>
        </w:rPr>
      </w:pPr>
    </w:p>
    <w:p w14:paraId="0F47EAC1" w14:textId="77777777" w:rsidR="00B54D51" w:rsidRPr="00037AD4" w:rsidRDefault="00B54D51" w:rsidP="00B33A7D">
      <w:pPr>
        <w:rPr>
          <w:rFonts w:asciiTheme="majorHAnsi" w:hAnsiTheme="majorHAnsi" w:cstheme="majorHAnsi"/>
          <w:b/>
          <w:bCs/>
          <w:sz w:val="26"/>
          <w:szCs w:val="26"/>
          <w:u w:val="single"/>
        </w:rPr>
      </w:pPr>
      <w:r w:rsidRPr="00037AD4">
        <w:rPr>
          <w:rFonts w:asciiTheme="majorHAnsi" w:hAnsiTheme="majorHAnsi" w:cstheme="majorHAnsi"/>
          <w:b/>
          <w:bCs/>
          <w:sz w:val="26"/>
          <w:szCs w:val="26"/>
          <w:u w:val="single"/>
        </w:rPr>
        <w:t>5.4.5.2 Inter-rater agreement – anxiety/depression</w:t>
      </w:r>
    </w:p>
    <w:p w14:paraId="5505ACAD" w14:textId="77777777" w:rsidR="00B54D51" w:rsidRPr="00037AD4" w:rsidRDefault="00B54D51" w:rsidP="00B33A7D">
      <w:pPr>
        <w:rPr>
          <w:rFonts w:asciiTheme="minorHAnsi" w:hAnsiTheme="minorHAnsi" w:cstheme="minorHAnsi"/>
          <w:b/>
          <w:bCs/>
          <w:u w:val="single"/>
        </w:rPr>
      </w:pPr>
    </w:p>
    <w:p w14:paraId="55BE5C63" w14:textId="4E7889CB" w:rsidR="00B54D51" w:rsidRPr="00FB6EFE" w:rsidRDefault="00B54D51" w:rsidP="00B33A7D">
      <w:pPr>
        <w:rPr>
          <w:rFonts w:asciiTheme="minorHAnsi" w:hAnsiTheme="minorHAnsi" w:cstheme="minorHAnsi"/>
        </w:rPr>
      </w:pPr>
      <w:r w:rsidRPr="00037AD4">
        <w:rPr>
          <w:rFonts w:asciiTheme="minorHAnsi" w:hAnsiTheme="minorHAnsi" w:cstheme="minorHAnsi"/>
        </w:rPr>
        <w:t xml:space="preserve">The percentage of exact agreement for the “anxiety/depression” dimension was relatively high for PwD-informal proxy dyads (43%) but was higher for PwD-staff proxy dyads (57%). The </w:t>
      </w:r>
      <w:r w:rsidR="00DE18C5">
        <w:rPr>
          <w:rFonts w:asciiTheme="minorHAnsi" w:hAnsiTheme="minorHAnsi" w:cstheme="minorHAnsi"/>
        </w:rPr>
        <w:t>K</w:t>
      </w:r>
      <w:r w:rsidRPr="00037AD4">
        <w:rPr>
          <w:rFonts w:asciiTheme="minorHAnsi" w:hAnsiTheme="minorHAnsi" w:cstheme="minorHAnsi"/>
        </w:rPr>
        <w:t>appa</w:t>
      </w:r>
      <w:r w:rsidR="00DE18C5">
        <w:rPr>
          <w:rFonts w:asciiTheme="minorHAnsi" w:hAnsiTheme="minorHAnsi" w:cstheme="minorHAnsi"/>
        </w:rPr>
        <w:t xml:space="preserve"> </w:t>
      </w:r>
      <w:r w:rsidRPr="00037AD4">
        <w:rPr>
          <w:rFonts w:asciiTheme="minorHAnsi" w:hAnsiTheme="minorHAnsi" w:cstheme="minorHAnsi"/>
        </w:rPr>
        <w:t xml:space="preserve">coefficient of PwD responses had a stronger degree of agreement with informal proxies (k=0.30, vs. k=0.20 with staff proxies), however the </w:t>
      </w:r>
      <w:r w:rsidR="00DE18C5">
        <w:rPr>
          <w:rFonts w:asciiTheme="minorHAnsi" w:hAnsiTheme="minorHAnsi" w:cstheme="minorHAnsi"/>
        </w:rPr>
        <w:t>K</w:t>
      </w:r>
      <w:r w:rsidRPr="00037AD4">
        <w:rPr>
          <w:rFonts w:asciiTheme="minorHAnsi" w:hAnsiTheme="minorHAnsi" w:cstheme="minorHAnsi"/>
        </w:rPr>
        <w:t xml:space="preserve">appa coefficient was the same (k=0.30) for agreement with both proxy types for the subgroup of people with mild dementia. See Tables in the </w:t>
      </w:r>
      <w:hyperlink w:anchor="A53" w:history="1">
        <w:r w:rsidRPr="00FB6EFE">
          <w:rPr>
            <w:rStyle w:val="Hyperlink"/>
            <w:rFonts w:asciiTheme="minorHAnsi" w:hAnsiTheme="minorHAnsi" w:cstheme="minorHAnsi"/>
            <w:color w:val="auto"/>
            <w:u w:val="none"/>
          </w:rPr>
          <w:t>Appendix 5.3.</w:t>
        </w:r>
      </w:hyperlink>
      <w:r w:rsidRPr="00FB6EFE">
        <w:rPr>
          <w:rFonts w:asciiTheme="minorHAnsi" w:hAnsiTheme="minorHAnsi" w:cstheme="minorHAnsi"/>
        </w:rPr>
        <w:t xml:space="preserve"> </w:t>
      </w:r>
    </w:p>
    <w:p w14:paraId="02EB1F41" w14:textId="77777777" w:rsidR="00B54D51" w:rsidRPr="00037AD4" w:rsidRDefault="00B54D51" w:rsidP="00B33A7D">
      <w:pPr>
        <w:rPr>
          <w:rFonts w:asciiTheme="minorHAnsi" w:hAnsiTheme="minorHAnsi" w:cstheme="minorHAnsi"/>
        </w:rPr>
      </w:pPr>
    </w:p>
    <w:p w14:paraId="111AB990" w14:textId="77777777" w:rsidR="00B54D51" w:rsidRPr="00037AD4" w:rsidRDefault="00B54D51" w:rsidP="00B33A7D">
      <w:pPr>
        <w:rPr>
          <w:rFonts w:asciiTheme="majorHAnsi" w:hAnsiTheme="majorHAnsi" w:cstheme="majorHAnsi"/>
          <w:b/>
          <w:bCs/>
          <w:sz w:val="26"/>
          <w:szCs w:val="26"/>
          <w:u w:val="single"/>
        </w:rPr>
      </w:pPr>
      <w:r w:rsidRPr="00037AD4">
        <w:rPr>
          <w:rFonts w:asciiTheme="majorHAnsi" w:hAnsiTheme="majorHAnsi" w:cstheme="majorHAnsi"/>
          <w:b/>
          <w:bCs/>
          <w:sz w:val="26"/>
          <w:szCs w:val="26"/>
          <w:u w:val="single"/>
        </w:rPr>
        <w:t xml:space="preserve">5.4.5.2.1 Discrepancy scores – anxiety/depression </w:t>
      </w:r>
    </w:p>
    <w:p w14:paraId="494D7E97" w14:textId="77777777" w:rsidR="00B54D51" w:rsidRPr="00037AD4" w:rsidRDefault="00B54D51" w:rsidP="00B33A7D">
      <w:pPr>
        <w:rPr>
          <w:rFonts w:asciiTheme="minorHAnsi" w:hAnsiTheme="minorHAnsi" w:cstheme="minorHAnsi"/>
        </w:rPr>
      </w:pPr>
    </w:p>
    <w:p w14:paraId="3CFE36F4" w14:textId="77777777" w:rsidR="00B54D51" w:rsidRPr="00037AD4" w:rsidRDefault="00B54D51" w:rsidP="00B33A7D">
      <w:pPr>
        <w:rPr>
          <w:rFonts w:asciiTheme="minorHAnsi" w:hAnsiTheme="minorHAnsi" w:cstheme="minorHAnsi"/>
        </w:rPr>
      </w:pPr>
      <w:r w:rsidRPr="00037AD4">
        <w:rPr>
          <w:rFonts w:asciiTheme="minorHAnsi" w:hAnsiTheme="minorHAnsi" w:cstheme="minorHAnsi"/>
        </w:rPr>
        <w:t xml:space="preserve">For the “anxiety/depression” dimension, there is a greater proportion of staff-proxy dyad discrepancy scores at zero (57%), compared to informal-proxies (43%). As a result, there are more negative discrepancy scores for informal proxies; although the pattern observed for both plots is similar (see Figure 26a and 26b below). Of the scores at zero, 57% of PwD-informal proxy dyads, and 90% of PwD-staff proxy dyads are where both respondents provided a perfect health score. </w:t>
      </w:r>
    </w:p>
    <w:p w14:paraId="7F8F0F25" w14:textId="77777777" w:rsidR="00B54D51" w:rsidRPr="00037AD4" w:rsidRDefault="00B54D51" w:rsidP="00B33A7D">
      <w:pPr>
        <w:rPr>
          <w:rFonts w:asciiTheme="minorHAnsi" w:hAnsiTheme="minorHAnsi" w:cstheme="minorHAnsi"/>
        </w:rPr>
      </w:pPr>
    </w:p>
    <w:p w14:paraId="2E44FCD9" w14:textId="77777777" w:rsidR="00B54D51" w:rsidRPr="00037AD4" w:rsidRDefault="00B54D51" w:rsidP="00B33A7D">
      <w:pPr>
        <w:rPr>
          <w:rFonts w:asciiTheme="minorHAnsi" w:hAnsiTheme="minorHAnsi" w:cstheme="minorHAnsi"/>
        </w:rPr>
      </w:pPr>
    </w:p>
    <w:p w14:paraId="27A4D4CB" w14:textId="77777777" w:rsidR="00B54D51" w:rsidRPr="00037AD4" w:rsidRDefault="00B54D51" w:rsidP="00B33A7D">
      <w:pPr>
        <w:rPr>
          <w:rFonts w:asciiTheme="minorHAnsi" w:hAnsiTheme="minorHAnsi" w:cstheme="minorHAnsi"/>
        </w:rPr>
      </w:pPr>
    </w:p>
    <w:p w14:paraId="6808FC9F" w14:textId="77777777" w:rsidR="00673F38" w:rsidRDefault="00673F38" w:rsidP="00B33A7D">
      <w:pPr>
        <w:rPr>
          <w:rFonts w:asciiTheme="minorHAnsi" w:hAnsiTheme="minorHAnsi" w:cstheme="minorHAnsi"/>
        </w:rPr>
      </w:pPr>
    </w:p>
    <w:p w14:paraId="3B6B4E6A" w14:textId="77777777" w:rsidR="00673F38" w:rsidRPr="00037AD4" w:rsidRDefault="00673F38" w:rsidP="00B33A7D">
      <w:pPr>
        <w:rPr>
          <w:rFonts w:asciiTheme="minorHAnsi" w:hAnsiTheme="minorHAnsi" w:cstheme="minorHAnsi"/>
        </w:rPr>
      </w:pPr>
    </w:p>
    <w:p w14:paraId="2C74B5D4" w14:textId="77777777" w:rsidR="00B54D51" w:rsidRPr="00037AD4" w:rsidRDefault="00B54D51" w:rsidP="00B33A7D">
      <w:pPr>
        <w:rPr>
          <w:rFonts w:asciiTheme="minorHAnsi" w:hAnsiTheme="minorHAnsi" w:cstheme="minorHAnsi"/>
          <w:b/>
          <w:bCs/>
          <w:i/>
          <w:iCs/>
        </w:rPr>
      </w:pPr>
      <w:r w:rsidRPr="00037AD4">
        <w:rPr>
          <w:rFonts w:asciiTheme="minorHAnsi" w:hAnsiTheme="minorHAnsi" w:cstheme="minorHAnsi"/>
          <w:b/>
          <w:bCs/>
          <w:i/>
          <w:iCs/>
        </w:rPr>
        <w:lastRenderedPageBreak/>
        <w:t>Figure 26a, Bar chart for absolute discrepancy scores of anxiety/depression dimension, PwD-informal proxies</w:t>
      </w:r>
    </w:p>
    <w:p w14:paraId="1470513F" w14:textId="77777777" w:rsidR="00B54D51" w:rsidRPr="00037AD4" w:rsidRDefault="00B54D51" w:rsidP="00B33A7D">
      <w:pPr>
        <w:rPr>
          <w:rFonts w:asciiTheme="minorHAnsi" w:hAnsiTheme="minorHAnsi" w:cstheme="minorHAnsi"/>
        </w:rPr>
      </w:pPr>
    </w:p>
    <w:p w14:paraId="33E99F73" w14:textId="738A4DF5" w:rsidR="00B54D51" w:rsidRPr="00037AD4" w:rsidRDefault="00B82EB5" w:rsidP="00B33A7D">
      <w:pPr>
        <w:rPr>
          <w:rFonts w:asciiTheme="minorHAnsi" w:hAnsiTheme="minorHAnsi" w:cstheme="minorHAnsi"/>
        </w:rPr>
      </w:pPr>
      <w:r>
        <w:rPr>
          <w:rFonts w:asciiTheme="minorHAnsi" w:hAnsiTheme="minorHAnsi" w:cstheme="minorHAnsi"/>
          <w:noProof/>
        </w:rPr>
        <w:drawing>
          <wp:inline distT="0" distB="0" distL="0" distR="0" wp14:anchorId="1BDDA113" wp14:editId="20790D20">
            <wp:extent cx="3960000" cy="2880000"/>
            <wp:effectExtent l="0" t="0" r="2540" b="3175"/>
            <wp:docPr id="79" name="Picture 79" descr="A graph of a bar graph&#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Picture 79" descr="A graph of a bar graph&#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960000" cy="2880000"/>
                    </a:xfrm>
                    <a:prstGeom prst="rect">
                      <a:avLst/>
                    </a:prstGeom>
                  </pic:spPr>
                </pic:pic>
              </a:graphicData>
            </a:graphic>
          </wp:inline>
        </w:drawing>
      </w:r>
    </w:p>
    <w:p w14:paraId="2496D625" w14:textId="77777777" w:rsidR="00B54D51" w:rsidRPr="00037AD4" w:rsidRDefault="00B54D51" w:rsidP="00A9102D">
      <w:pPr>
        <w:rPr>
          <w:rFonts w:asciiTheme="minorHAnsi" w:hAnsiTheme="minorHAnsi" w:cstheme="minorHAnsi"/>
          <w:b/>
          <w:bCs/>
          <w:u w:val="single"/>
        </w:rPr>
      </w:pPr>
    </w:p>
    <w:p w14:paraId="49A21B56" w14:textId="77777777" w:rsidR="00B54D51" w:rsidRPr="00037AD4" w:rsidRDefault="00B54D51" w:rsidP="00B33A7D">
      <w:pPr>
        <w:rPr>
          <w:rFonts w:asciiTheme="minorHAnsi" w:hAnsiTheme="minorHAnsi" w:cstheme="minorHAnsi"/>
          <w:b/>
          <w:bCs/>
          <w:i/>
          <w:iCs/>
        </w:rPr>
      </w:pPr>
      <w:r w:rsidRPr="00037AD4">
        <w:rPr>
          <w:rFonts w:asciiTheme="minorHAnsi" w:hAnsiTheme="minorHAnsi" w:cstheme="minorHAnsi"/>
          <w:b/>
          <w:bCs/>
          <w:i/>
          <w:iCs/>
        </w:rPr>
        <w:t>Figure 26b, Bar chart for absolute discrepancy scores of anxiety/depression dimension, PwD-staff proxies</w:t>
      </w:r>
    </w:p>
    <w:p w14:paraId="6AFFA089" w14:textId="77777777" w:rsidR="00B54D51" w:rsidRPr="00037AD4" w:rsidRDefault="00B54D51" w:rsidP="00B33A7D">
      <w:pPr>
        <w:rPr>
          <w:rFonts w:asciiTheme="minorHAnsi" w:hAnsiTheme="minorHAnsi" w:cstheme="minorHAnsi"/>
        </w:rPr>
      </w:pPr>
    </w:p>
    <w:p w14:paraId="6BBE8FFE" w14:textId="05C9091E" w:rsidR="00B54D51" w:rsidRPr="00037AD4" w:rsidRDefault="00B82EB5" w:rsidP="00B33A7D">
      <w:pPr>
        <w:rPr>
          <w:rFonts w:asciiTheme="minorHAnsi" w:hAnsiTheme="minorHAnsi" w:cstheme="minorHAnsi"/>
        </w:rPr>
      </w:pPr>
      <w:r w:rsidRPr="00037AD4">
        <w:rPr>
          <w:rFonts w:asciiTheme="minorHAnsi" w:hAnsiTheme="minorHAnsi" w:cstheme="minorHAnsi"/>
          <w:noProof/>
          <w:lang w:eastAsia="zh-CN"/>
        </w:rPr>
        <w:drawing>
          <wp:inline distT="0" distB="0" distL="0" distR="0" wp14:anchorId="0C6F7B0D" wp14:editId="2BD04936">
            <wp:extent cx="3960000" cy="2880000"/>
            <wp:effectExtent l="0" t="0" r="2540" b="3175"/>
            <wp:docPr id="12" name="Picture 12" descr="Chart, bar char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Picture 55" descr="Chart, bar chart&#10;&#10;Description automatically generated"/>
                    <pic:cNvPicPr/>
                  </pic:nvPicPr>
                  <pic:blipFill>
                    <a:blip r:embed="rId57">
                      <a:extLst>
                        <a:ext uri="{28A0092B-C50C-407E-A947-70E740481C1C}">
                          <a14:useLocalDpi xmlns:a14="http://schemas.microsoft.com/office/drawing/2010/main" val="0"/>
                        </a:ext>
                      </a:extLst>
                    </a:blip>
                    <a:stretch>
                      <a:fillRect/>
                    </a:stretch>
                  </pic:blipFill>
                  <pic:spPr>
                    <a:xfrm>
                      <a:off x="0" y="0"/>
                      <a:ext cx="3960000" cy="2880000"/>
                    </a:xfrm>
                    <a:prstGeom prst="rect">
                      <a:avLst/>
                    </a:prstGeom>
                  </pic:spPr>
                </pic:pic>
              </a:graphicData>
            </a:graphic>
          </wp:inline>
        </w:drawing>
      </w:r>
    </w:p>
    <w:p w14:paraId="08A6F697" w14:textId="77777777" w:rsidR="00B54D51" w:rsidRPr="00037AD4" w:rsidRDefault="00B54D51" w:rsidP="00A9102D">
      <w:pPr>
        <w:rPr>
          <w:rFonts w:asciiTheme="minorHAnsi" w:hAnsiTheme="minorHAnsi" w:cstheme="minorHAnsi"/>
          <w:b/>
          <w:bCs/>
          <w:u w:val="single"/>
        </w:rPr>
      </w:pPr>
    </w:p>
    <w:p w14:paraId="16D73E73" w14:textId="77777777" w:rsidR="00DE18C5" w:rsidRDefault="00B54D51" w:rsidP="00B33A7D">
      <w:pPr>
        <w:rPr>
          <w:rFonts w:asciiTheme="minorHAnsi" w:hAnsiTheme="minorHAnsi" w:cstheme="minorHAnsi"/>
        </w:rPr>
      </w:pPr>
      <w:r w:rsidRPr="00037AD4">
        <w:rPr>
          <w:rFonts w:asciiTheme="minorHAnsi" w:hAnsiTheme="minorHAnsi" w:cstheme="minorHAnsi"/>
        </w:rPr>
        <w:t xml:space="preserve">The difference between the amount of change of PwD and proxy scores for the “anxiety/depression” dimension over time is reflected in Figures 27a and 27b. The variability between scores is wider for PwD-informal proxy dyads, whereby the scale extends to +/- 5, whereas for PwD-staff proxy dyads, the scale is narrower at +4 to -2. Positive scores indicate a more pessimistic change reported by the proxy compared with PwD-self report of change. Approximately 26% and 27% of the scores are positive for PwD-informal </w:t>
      </w:r>
      <w:r w:rsidR="00DE18C5">
        <w:rPr>
          <w:rFonts w:asciiTheme="minorHAnsi" w:hAnsiTheme="minorHAnsi" w:cstheme="minorHAnsi"/>
        </w:rPr>
        <w:t xml:space="preserve">proxy </w:t>
      </w:r>
      <w:r w:rsidRPr="00037AD4">
        <w:rPr>
          <w:rFonts w:asciiTheme="minorHAnsi" w:hAnsiTheme="minorHAnsi" w:cstheme="minorHAnsi"/>
        </w:rPr>
        <w:t xml:space="preserve">dyads and PwD-staff proxy dyads respectively. </w:t>
      </w:r>
    </w:p>
    <w:p w14:paraId="48B623FF" w14:textId="0CB1AA19" w:rsidR="00B54D51" w:rsidRPr="00DE18C5" w:rsidRDefault="00B54D51" w:rsidP="00B33A7D">
      <w:pPr>
        <w:rPr>
          <w:rFonts w:asciiTheme="minorHAnsi" w:hAnsiTheme="minorHAnsi" w:cstheme="minorHAnsi"/>
        </w:rPr>
      </w:pPr>
      <w:r w:rsidRPr="00037AD4">
        <w:rPr>
          <w:rFonts w:asciiTheme="minorHAnsi" w:hAnsiTheme="minorHAnsi" w:cstheme="minorHAnsi"/>
          <w:b/>
          <w:bCs/>
          <w:i/>
          <w:iCs/>
        </w:rPr>
        <w:lastRenderedPageBreak/>
        <w:t>Figure 27a, bar chart for differen</w:t>
      </w:r>
      <w:r>
        <w:rPr>
          <w:rFonts w:asciiTheme="minorHAnsi" w:hAnsiTheme="minorHAnsi" w:cstheme="minorHAnsi"/>
          <w:b/>
          <w:bCs/>
          <w:i/>
          <w:iCs/>
        </w:rPr>
        <w:t>ce</w:t>
      </w:r>
      <w:r w:rsidRPr="00037AD4">
        <w:rPr>
          <w:rFonts w:asciiTheme="minorHAnsi" w:hAnsiTheme="minorHAnsi" w:cstheme="minorHAnsi"/>
          <w:b/>
          <w:bCs/>
          <w:i/>
          <w:iCs/>
        </w:rPr>
        <w:t xml:space="preserve"> between change score for anxiety/depression, PwD-informal proxy dyads </w:t>
      </w:r>
    </w:p>
    <w:p w14:paraId="0E8FD80A" w14:textId="77777777" w:rsidR="00B54D51" w:rsidRPr="00037AD4" w:rsidRDefault="00B54D51" w:rsidP="00401029">
      <w:pPr>
        <w:rPr>
          <w:rFonts w:asciiTheme="minorHAnsi" w:hAnsiTheme="minorHAnsi" w:cstheme="minorHAnsi"/>
        </w:rPr>
      </w:pPr>
    </w:p>
    <w:p w14:paraId="3F5FA869" w14:textId="646C85B8" w:rsidR="00B54D51" w:rsidRPr="00037AD4" w:rsidRDefault="00B82EB5" w:rsidP="00401029">
      <w:pPr>
        <w:rPr>
          <w:rFonts w:asciiTheme="minorHAnsi" w:hAnsiTheme="minorHAnsi" w:cstheme="minorHAnsi"/>
        </w:rPr>
      </w:pPr>
      <w:r>
        <w:rPr>
          <w:rFonts w:asciiTheme="minorHAnsi" w:hAnsiTheme="minorHAnsi" w:cstheme="minorHAnsi"/>
          <w:noProof/>
        </w:rPr>
        <w:drawing>
          <wp:inline distT="0" distB="0" distL="0" distR="0" wp14:anchorId="3252C8EC" wp14:editId="2CF2E0D9">
            <wp:extent cx="3960000" cy="2880000"/>
            <wp:effectExtent l="0" t="0" r="2540" b="3175"/>
            <wp:docPr id="80" name="Picture 80" descr="A graph with numbers and a bar&#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 name="Picture 80" descr="A graph with numbers and a bar&#10;&#10;Description automatically generated"/>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960000" cy="2880000"/>
                    </a:xfrm>
                    <a:prstGeom prst="rect">
                      <a:avLst/>
                    </a:prstGeom>
                  </pic:spPr>
                </pic:pic>
              </a:graphicData>
            </a:graphic>
          </wp:inline>
        </w:drawing>
      </w:r>
    </w:p>
    <w:p w14:paraId="53CCA780" w14:textId="77777777" w:rsidR="00B54D51" w:rsidRPr="00037AD4" w:rsidRDefault="00B54D51" w:rsidP="00401029">
      <w:pPr>
        <w:rPr>
          <w:rFonts w:asciiTheme="minorHAnsi" w:hAnsiTheme="minorHAnsi" w:cstheme="minorHAnsi"/>
          <w:b/>
          <w:bCs/>
          <w:i/>
          <w:iCs/>
        </w:rPr>
      </w:pPr>
    </w:p>
    <w:p w14:paraId="6D42ADCB" w14:textId="77777777" w:rsidR="00B54D51" w:rsidRPr="00037AD4" w:rsidRDefault="00B54D51" w:rsidP="00B33A7D">
      <w:pPr>
        <w:rPr>
          <w:rFonts w:asciiTheme="minorHAnsi" w:hAnsiTheme="minorHAnsi" w:cstheme="minorHAnsi"/>
          <w:b/>
          <w:bCs/>
          <w:i/>
          <w:iCs/>
        </w:rPr>
      </w:pPr>
      <w:r w:rsidRPr="00037AD4">
        <w:rPr>
          <w:rFonts w:asciiTheme="minorHAnsi" w:hAnsiTheme="minorHAnsi" w:cstheme="minorHAnsi"/>
          <w:b/>
          <w:bCs/>
          <w:i/>
          <w:iCs/>
        </w:rPr>
        <w:t>Figure 27b, bar chart for differen</w:t>
      </w:r>
      <w:r>
        <w:rPr>
          <w:rFonts w:asciiTheme="minorHAnsi" w:hAnsiTheme="minorHAnsi" w:cstheme="minorHAnsi"/>
          <w:b/>
          <w:bCs/>
          <w:i/>
          <w:iCs/>
        </w:rPr>
        <w:t>ce</w:t>
      </w:r>
      <w:r w:rsidRPr="00037AD4">
        <w:rPr>
          <w:rFonts w:asciiTheme="minorHAnsi" w:hAnsiTheme="minorHAnsi" w:cstheme="minorHAnsi"/>
          <w:b/>
          <w:bCs/>
          <w:i/>
          <w:iCs/>
        </w:rPr>
        <w:t xml:space="preserve"> between change score for anxiety/depression, PwD-staff proxy dyads </w:t>
      </w:r>
    </w:p>
    <w:p w14:paraId="32122BD9" w14:textId="77777777" w:rsidR="00B54D51" w:rsidRPr="00037AD4" w:rsidRDefault="00B54D51" w:rsidP="00B33A7D">
      <w:pPr>
        <w:rPr>
          <w:rFonts w:asciiTheme="minorHAnsi" w:hAnsiTheme="minorHAnsi" w:cstheme="minorHAnsi"/>
          <w:b/>
          <w:bCs/>
          <w:u w:val="single"/>
        </w:rPr>
      </w:pPr>
    </w:p>
    <w:p w14:paraId="7E28FB45" w14:textId="6F35FE44" w:rsidR="00B54D51" w:rsidRPr="00037AD4" w:rsidRDefault="00B82EB5" w:rsidP="00B33A7D">
      <w:pPr>
        <w:rPr>
          <w:rFonts w:asciiTheme="minorHAnsi" w:hAnsiTheme="minorHAnsi" w:cstheme="minorHAnsi"/>
          <w:b/>
          <w:bCs/>
          <w:u w:val="single"/>
        </w:rPr>
      </w:pPr>
      <w:r w:rsidRPr="00037AD4">
        <w:rPr>
          <w:rFonts w:asciiTheme="minorHAnsi" w:hAnsiTheme="minorHAnsi" w:cstheme="minorHAnsi"/>
          <w:b/>
          <w:bCs/>
          <w:noProof/>
          <w:lang w:eastAsia="zh-CN"/>
        </w:rPr>
        <w:drawing>
          <wp:inline distT="0" distB="0" distL="0" distR="0" wp14:anchorId="05685D6F" wp14:editId="53239E75">
            <wp:extent cx="3960000" cy="2880000"/>
            <wp:effectExtent l="0" t="0" r="2540" b="3175"/>
            <wp:docPr id="38" name="Picture 38" descr="A picture containing text, screenshot, diagram, plo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Picture 38" descr="A picture containing text, screenshot, diagram, plot&#10;&#10;Description automatically generated"/>
                    <pic:cNvPicPr/>
                  </pic:nvPicPr>
                  <pic:blipFill>
                    <a:blip r:embed="rId59">
                      <a:extLst>
                        <a:ext uri="{28A0092B-C50C-407E-A947-70E740481C1C}">
                          <a14:useLocalDpi xmlns:a14="http://schemas.microsoft.com/office/drawing/2010/main" val="0"/>
                        </a:ext>
                      </a:extLst>
                    </a:blip>
                    <a:stretch>
                      <a:fillRect/>
                    </a:stretch>
                  </pic:blipFill>
                  <pic:spPr>
                    <a:xfrm>
                      <a:off x="0" y="0"/>
                      <a:ext cx="3960000" cy="2880000"/>
                    </a:xfrm>
                    <a:prstGeom prst="rect">
                      <a:avLst/>
                    </a:prstGeom>
                  </pic:spPr>
                </pic:pic>
              </a:graphicData>
            </a:graphic>
          </wp:inline>
        </w:drawing>
      </w:r>
    </w:p>
    <w:p w14:paraId="053C854C" w14:textId="77777777" w:rsidR="00B54D51" w:rsidRPr="00037AD4" w:rsidRDefault="00B54D51" w:rsidP="00401029">
      <w:pPr>
        <w:rPr>
          <w:rFonts w:asciiTheme="minorHAnsi" w:hAnsiTheme="minorHAnsi" w:cstheme="minorHAnsi"/>
        </w:rPr>
      </w:pPr>
    </w:p>
    <w:p w14:paraId="7DD27891" w14:textId="77777777" w:rsidR="00B54D51" w:rsidRPr="00037AD4" w:rsidRDefault="00B54D51" w:rsidP="00B33A7D">
      <w:pPr>
        <w:rPr>
          <w:rFonts w:asciiTheme="majorHAnsi" w:hAnsiTheme="majorHAnsi" w:cstheme="majorHAnsi"/>
          <w:b/>
          <w:bCs/>
          <w:sz w:val="26"/>
          <w:szCs w:val="26"/>
          <w:u w:val="single"/>
        </w:rPr>
      </w:pPr>
      <w:r w:rsidRPr="00037AD4">
        <w:rPr>
          <w:rFonts w:asciiTheme="majorHAnsi" w:hAnsiTheme="majorHAnsi" w:cstheme="majorHAnsi"/>
          <w:b/>
          <w:bCs/>
          <w:sz w:val="26"/>
          <w:szCs w:val="26"/>
          <w:u w:val="single"/>
        </w:rPr>
        <w:t xml:space="preserve">5.4.5.3 Responsiveness evidence – anxiety/depression </w:t>
      </w:r>
    </w:p>
    <w:p w14:paraId="0E684937" w14:textId="77777777" w:rsidR="00B54D51" w:rsidRPr="00037AD4" w:rsidRDefault="00B54D51" w:rsidP="00B33A7D">
      <w:pPr>
        <w:rPr>
          <w:rFonts w:asciiTheme="minorHAnsi" w:hAnsiTheme="minorHAnsi" w:cstheme="minorHAnsi"/>
        </w:rPr>
      </w:pPr>
    </w:p>
    <w:p w14:paraId="51CD843E" w14:textId="0499FDB9" w:rsidR="00B54D51" w:rsidRPr="00037AD4" w:rsidRDefault="00B54D51" w:rsidP="00B33A7D">
      <w:pPr>
        <w:rPr>
          <w:rFonts w:asciiTheme="minorHAnsi" w:hAnsiTheme="minorHAnsi" w:cstheme="minorHAnsi"/>
        </w:rPr>
      </w:pPr>
      <w:r w:rsidRPr="00037AD4">
        <w:rPr>
          <w:rFonts w:asciiTheme="minorHAnsi" w:hAnsiTheme="minorHAnsi" w:cstheme="minorHAnsi"/>
        </w:rPr>
        <w:t xml:space="preserve">The effect size estimates generated for the “anxiety/depression” dimension are provided in </w:t>
      </w:r>
      <w:hyperlink w:anchor="TableA54f" w:history="1">
        <w:r w:rsidRPr="00FB6EFE">
          <w:rPr>
            <w:rStyle w:val="Hyperlink"/>
            <w:rFonts w:asciiTheme="minorHAnsi" w:hAnsiTheme="minorHAnsi" w:cstheme="minorHAnsi"/>
            <w:color w:val="auto"/>
            <w:u w:val="none"/>
          </w:rPr>
          <w:t>Table A5.4f of Appendix 5.4.</w:t>
        </w:r>
      </w:hyperlink>
      <w:r w:rsidRPr="00FB6EFE">
        <w:rPr>
          <w:rFonts w:asciiTheme="minorHAnsi" w:hAnsiTheme="minorHAnsi" w:cstheme="minorHAnsi"/>
        </w:rPr>
        <w:t xml:space="preserve"> It </w:t>
      </w:r>
      <w:r w:rsidRPr="00037AD4">
        <w:rPr>
          <w:rFonts w:asciiTheme="minorHAnsi" w:hAnsiTheme="minorHAnsi" w:cstheme="minorHAnsi"/>
        </w:rPr>
        <w:t>can be seen that staff proxy dimension responses produce larger effect size estimates. For changes in depression (measure</w:t>
      </w:r>
      <w:r w:rsidR="00DE18C5">
        <w:rPr>
          <w:rFonts w:asciiTheme="minorHAnsi" w:hAnsiTheme="minorHAnsi" w:cstheme="minorHAnsi"/>
        </w:rPr>
        <w:t>d</w:t>
      </w:r>
      <w:r w:rsidRPr="00037AD4">
        <w:rPr>
          <w:rFonts w:asciiTheme="minorHAnsi" w:hAnsiTheme="minorHAnsi" w:cstheme="minorHAnsi"/>
        </w:rPr>
        <w:t xml:space="preserve"> by CSDD), the effect size estimates were low across respondent types. The largest effect size estimate for the responsiveness of “anxiety/depression” was seen with staff proxy responses of this </w:t>
      </w:r>
      <w:r w:rsidRPr="00037AD4">
        <w:rPr>
          <w:rFonts w:asciiTheme="minorHAnsi" w:hAnsiTheme="minorHAnsi" w:cstheme="minorHAnsi"/>
        </w:rPr>
        <w:lastRenderedPageBreak/>
        <w:t xml:space="preserve">dimension for people with dementia whose behaviour/mood status had improved via measurement on the NPI (0.44).  </w:t>
      </w:r>
    </w:p>
    <w:p w14:paraId="54572061" w14:textId="77777777" w:rsidR="00B54D51" w:rsidRPr="00037AD4" w:rsidRDefault="00B54D51" w:rsidP="00B33A7D">
      <w:pPr>
        <w:rPr>
          <w:rFonts w:asciiTheme="minorHAnsi" w:hAnsiTheme="minorHAnsi" w:cstheme="minorHAnsi"/>
        </w:rPr>
      </w:pPr>
    </w:p>
    <w:p w14:paraId="2D820B9F" w14:textId="77777777" w:rsidR="00B54D51" w:rsidRPr="00037AD4" w:rsidRDefault="00B54D51" w:rsidP="00B33A7D">
      <w:pPr>
        <w:rPr>
          <w:rFonts w:asciiTheme="minorHAnsi" w:hAnsiTheme="minorHAnsi" w:cstheme="minorHAnsi"/>
        </w:rPr>
      </w:pPr>
      <w:r w:rsidRPr="00037AD4">
        <w:rPr>
          <w:rFonts w:asciiTheme="minorHAnsi" w:hAnsiTheme="minorHAnsi" w:cstheme="minorHAnsi"/>
        </w:rPr>
        <w:t xml:space="preserve">The correlations between change in “anxiety/depression” and changes in dementia symptom measures were consistently larger for proxy ratings compared with PwD-self ratings, although the correlations were generally low. The largest coefficients were seen between changes in NPI-NH (r=0.35) and NPI-Q (r=0.28) scores respectively. Overall, the correlation observed with cognition is stronger for people with dementia and is negative (r=-0.20) (compared to informal proxies) – indicating that at better cognitive states, “anxiety/depression” responses are more favourable. For informal proxies of people with moderate dementia, a near moderate positive correlation (r=0.39) is produced between MMSE and “anxiety/depression” – indicating the inverse </w:t>
      </w:r>
      <w:r w:rsidRPr="00FB6EFE">
        <w:rPr>
          <w:rFonts w:asciiTheme="minorHAnsi" w:hAnsiTheme="minorHAnsi" w:cstheme="minorHAnsi"/>
        </w:rPr>
        <w:t xml:space="preserve">relationship </w:t>
      </w:r>
      <w:hyperlink w:anchor="TableA54l" w:history="1">
        <w:r w:rsidRPr="00FB6EFE">
          <w:rPr>
            <w:rStyle w:val="Hyperlink"/>
            <w:rFonts w:asciiTheme="minorHAnsi" w:hAnsiTheme="minorHAnsi" w:cstheme="minorHAnsi"/>
            <w:color w:val="auto"/>
            <w:u w:val="none"/>
          </w:rPr>
          <w:t>(see Table A5.4l in Appendix 5.4),</w:t>
        </w:r>
      </w:hyperlink>
      <w:r w:rsidRPr="00FB6EFE">
        <w:rPr>
          <w:rStyle w:val="Hyperlink"/>
          <w:rFonts w:asciiTheme="minorHAnsi" w:hAnsiTheme="minorHAnsi" w:cstheme="minorHAnsi"/>
          <w:color w:val="auto"/>
          <w:u w:val="none"/>
        </w:rPr>
        <w:t xml:space="preserve"> that at better cognitive states, responses are less favourable.</w:t>
      </w:r>
      <w:r w:rsidRPr="00FB6EFE">
        <w:rPr>
          <w:rStyle w:val="Hyperlink"/>
          <w:rFonts w:asciiTheme="minorHAnsi" w:hAnsiTheme="minorHAnsi" w:cstheme="minorHAnsi"/>
          <w:color w:val="auto"/>
        </w:rPr>
        <w:t xml:space="preserve"> </w:t>
      </w:r>
    </w:p>
    <w:p w14:paraId="71049931" w14:textId="77777777" w:rsidR="00B54D51" w:rsidRPr="00037AD4" w:rsidRDefault="00B54D51" w:rsidP="00401029">
      <w:pPr>
        <w:rPr>
          <w:rFonts w:asciiTheme="minorHAnsi" w:hAnsiTheme="minorHAnsi" w:cstheme="minorHAnsi"/>
        </w:rPr>
      </w:pPr>
    </w:p>
    <w:p w14:paraId="5875E31D" w14:textId="77777777" w:rsidR="00B54D51" w:rsidRPr="00037AD4" w:rsidRDefault="00B54D51" w:rsidP="007A43F9">
      <w:pPr>
        <w:pStyle w:val="Heading3"/>
      </w:pPr>
      <w:bookmarkStart w:id="367" w:name="_Toc175742331"/>
      <w:r w:rsidRPr="00037AD4">
        <w:t>5.4.6 EQ-5D index scores</w:t>
      </w:r>
      <w:bookmarkEnd w:id="367"/>
      <w:r w:rsidRPr="00037AD4">
        <w:t xml:space="preserve"> </w:t>
      </w:r>
    </w:p>
    <w:p w14:paraId="3D96A22E" w14:textId="77777777" w:rsidR="00B54D51" w:rsidRPr="00037AD4" w:rsidRDefault="00B54D51" w:rsidP="00401029">
      <w:pPr>
        <w:rPr>
          <w:rFonts w:asciiTheme="minorHAnsi" w:hAnsiTheme="minorHAnsi" w:cstheme="minorHAnsi"/>
        </w:rPr>
      </w:pPr>
    </w:p>
    <w:p w14:paraId="56D8A5F6" w14:textId="77777777" w:rsidR="00B54D51" w:rsidRPr="00037AD4" w:rsidRDefault="00B54D51" w:rsidP="00D426FE">
      <w:pPr>
        <w:rPr>
          <w:rFonts w:asciiTheme="minorHAnsi" w:hAnsiTheme="minorHAnsi" w:cstheme="minorHAnsi"/>
        </w:rPr>
      </w:pPr>
      <w:r w:rsidRPr="00037AD4">
        <w:rPr>
          <w:rFonts w:asciiTheme="minorHAnsi" w:hAnsiTheme="minorHAnsi" w:cstheme="minorHAnsi"/>
        </w:rPr>
        <w:t>The EQ-5D index scores analysed within the following section have been previously estimated for the individual value sets as outlined in</w:t>
      </w:r>
      <w:r w:rsidRPr="00FB6EFE">
        <w:rPr>
          <w:rFonts w:asciiTheme="minorHAnsi" w:hAnsiTheme="minorHAnsi" w:cstheme="minorHAnsi"/>
        </w:rPr>
        <w:t xml:space="preserve"> </w:t>
      </w:r>
      <w:hyperlink w:anchor="_4.3.1_Statistical_analysis" w:history="1">
        <w:r w:rsidRPr="00FB6EFE">
          <w:rPr>
            <w:rStyle w:val="Hyperlink"/>
            <w:rFonts w:asciiTheme="minorHAnsi" w:hAnsiTheme="minorHAnsi" w:cstheme="minorHAnsi"/>
            <w:color w:val="auto"/>
            <w:u w:val="none"/>
          </w:rPr>
          <w:t>Section 4.3.1 of Chapter Four</w:t>
        </w:r>
      </w:hyperlink>
      <w:r w:rsidRPr="00037AD4">
        <w:rPr>
          <w:rFonts w:asciiTheme="minorHAnsi" w:hAnsiTheme="minorHAnsi" w:cstheme="minorHAnsi"/>
        </w:rPr>
        <w:t xml:space="preserve">. Two of the studies (ACTIFCARE and EPIC) collected the five-level version of EQ-5D, for which the mapping method recommended within the current NICE guidelines was used to estimate the utility scores of these samples (mapping from EQ-5D-5L health states to the EQ-5D-3L value set) </w:t>
      </w:r>
      <w:r>
        <w:rPr>
          <w:rFonts w:asciiTheme="minorHAnsi" w:hAnsiTheme="minorHAnsi" w:cstheme="minorHAnsi"/>
          <w:noProof/>
        </w:rPr>
        <w:t>(Hernández Alava et al., 2023)</w:t>
      </w:r>
      <w:r w:rsidRPr="00037AD4">
        <w:rPr>
          <w:rFonts w:asciiTheme="minorHAnsi" w:hAnsiTheme="minorHAnsi" w:cstheme="minorHAnsi"/>
        </w:rPr>
        <w:t xml:space="preserve">. The REMCARE study collected the three-level version of EQ-5D; for this sample, utility scores were calculated using the value set for England </w:t>
      </w:r>
      <w:r>
        <w:rPr>
          <w:rFonts w:asciiTheme="minorHAnsi" w:hAnsiTheme="minorHAnsi" w:cstheme="minorHAnsi"/>
          <w:noProof/>
        </w:rPr>
        <w:t>(Dolan, 1997)</w:t>
      </w:r>
      <w:r w:rsidRPr="00037AD4">
        <w:rPr>
          <w:rFonts w:asciiTheme="minorHAnsi" w:hAnsiTheme="minorHAnsi" w:cstheme="minorHAnsi"/>
        </w:rPr>
        <w:t xml:space="preserve">. For this section, the EQ-5D index scores have been analysed together, using the mean scores across the three studies (unless otherwise stated). </w:t>
      </w:r>
    </w:p>
    <w:p w14:paraId="5063B3BF" w14:textId="77777777" w:rsidR="00B54D51" w:rsidRPr="00037AD4" w:rsidRDefault="00B54D51" w:rsidP="00D426FE">
      <w:pPr>
        <w:rPr>
          <w:rFonts w:asciiTheme="minorHAnsi" w:hAnsiTheme="minorHAnsi" w:cstheme="minorHAnsi"/>
          <w:highlight w:val="yellow"/>
        </w:rPr>
      </w:pPr>
    </w:p>
    <w:p w14:paraId="1BF37703" w14:textId="77777777" w:rsidR="00B54D51" w:rsidRPr="00037AD4" w:rsidRDefault="00B54D51" w:rsidP="00D426FE">
      <w:pPr>
        <w:rPr>
          <w:rFonts w:asciiTheme="minorHAnsi" w:hAnsiTheme="minorHAnsi" w:cstheme="minorHAnsi"/>
        </w:rPr>
      </w:pPr>
      <w:r w:rsidRPr="00037AD4">
        <w:rPr>
          <w:rFonts w:asciiTheme="minorHAnsi" w:hAnsiTheme="minorHAnsi" w:cstheme="minorHAnsi"/>
        </w:rPr>
        <w:t xml:space="preserve">Figure 28 shows the direction of change for the EQ-5D index scores estimated from PwD and proxy assessments. It can be seen that over 15% fewer PwD scores report a worsening in utility when compared to scores produced via the two proxy types, and a larger proportion of PwD scores remained the same across time. </w:t>
      </w:r>
    </w:p>
    <w:p w14:paraId="662972A6" w14:textId="77777777" w:rsidR="00B54D51" w:rsidRPr="00037AD4" w:rsidRDefault="00B54D51" w:rsidP="00D426FE">
      <w:pPr>
        <w:rPr>
          <w:rFonts w:asciiTheme="minorHAnsi" w:hAnsiTheme="minorHAnsi" w:cstheme="minorHAnsi"/>
        </w:rPr>
      </w:pPr>
    </w:p>
    <w:p w14:paraId="5F202BDC" w14:textId="77777777" w:rsidR="00B54D51" w:rsidRPr="00037AD4" w:rsidRDefault="00B54D51" w:rsidP="00D426FE">
      <w:pPr>
        <w:rPr>
          <w:rFonts w:asciiTheme="minorHAnsi" w:hAnsiTheme="minorHAnsi" w:cstheme="minorHAnsi"/>
          <w:b/>
          <w:bCs/>
          <w:i/>
          <w:iCs/>
        </w:rPr>
      </w:pPr>
      <w:r w:rsidRPr="00037AD4">
        <w:rPr>
          <w:rFonts w:asciiTheme="minorHAnsi" w:hAnsiTheme="minorHAnsi" w:cstheme="minorHAnsi"/>
          <w:b/>
          <w:bCs/>
          <w:i/>
          <w:iCs/>
        </w:rPr>
        <w:t>Figure 28, Direction of EQ-5D index score change from T0 to T2</w:t>
      </w:r>
    </w:p>
    <w:p w14:paraId="703F83CA" w14:textId="77777777" w:rsidR="00B54D51" w:rsidRPr="00037AD4" w:rsidRDefault="00B54D51" w:rsidP="00D426FE">
      <w:pPr>
        <w:rPr>
          <w:rFonts w:asciiTheme="minorHAnsi" w:hAnsiTheme="minorHAnsi" w:cstheme="minorHAnsi"/>
          <w:u w:val="single"/>
        </w:rPr>
      </w:pPr>
      <w:r w:rsidRPr="00037AD4">
        <w:rPr>
          <w:rFonts w:asciiTheme="minorHAnsi" w:hAnsiTheme="minorHAnsi" w:cstheme="minorHAnsi"/>
          <w:u w:val="single"/>
        </w:rPr>
        <w:t xml:space="preserve"> </w:t>
      </w:r>
    </w:p>
    <w:p w14:paraId="4FAFD9AA" w14:textId="77777777" w:rsidR="00B54D51" w:rsidRPr="00037AD4" w:rsidRDefault="00B54D51" w:rsidP="00D426FE">
      <w:pPr>
        <w:rPr>
          <w:rFonts w:asciiTheme="minorHAnsi" w:hAnsiTheme="minorHAnsi" w:cstheme="minorHAnsi"/>
        </w:rPr>
      </w:pPr>
      <w:r w:rsidRPr="00037AD4">
        <w:rPr>
          <w:rFonts w:asciiTheme="minorHAnsi" w:hAnsiTheme="minorHAnsi" w:cstheme="minorHAnsi"/>
          <w:noProof/>
          <w:lang w:eastAsia="zh-CN"/>
        </w:rPr>
        <w:drawing>
          <wp:inline distT="0" distB="0" distL="0" distR="0" wp14:anchorId="711A34A6" wp14:editId="1562C137">
            <wp:extent cx="4464000" cy="2448000"/>
            <wp:effectExtent l="0" t="0" r="6985" b="15875"/>
            <wp:docPr id="16" name="Chart 16">
              <a:extLst xmlns:a="http://schemas.openxmlformats.org/drawingml/2006/main">
                <a:ext uri="{FF2B5EF4-FFF2-40B4-BE49-F238E27FC236}">
                  <a16:creationId xmlns:a16="http://schemas.microsoft.com/office/drawing/2014/main" id="{874E18F1-99E6-B3D2-C54D-2C5F21E7CB3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283E1D36" w14:textId="77777777" w:rsidR="00B54D51" w:rsidRPr="00037AD4" w:rsidRDefault="00B54D51" w:rsidP="00D426FE">
      <w:pPr>
        <w:rPr>
          <w:rFonts w:asciiTheme="minorHAnsi" w:hAnsiTheme="minorHAnsi" w:cstheme="minorHAnsi"/>
        </w:rPr>
      </w:pPr>
    </w:p>
    <w:p w14:paraId="71F35AE9" w14:textId="77777777" w:rsidR="00B54D51" w:rsidRPr="00037AD4" w:rsidRDefault="00B54D51" w:rsidP="00D426FE">
      <w:pPr>
        <w:rPr>
          <w:rFonts w:asciiTheme="minorHAnsi" w:hAnsiTheme="minorHAnsi" w:cstheme="minorHAnsi"/>
        </w:rPr>
      </w:pPr>
      <w:r w:rsidRPr="00037AD4">
        <w:rPr>
          <w:rFonts w:asciiTheme="minorHAnsi" w:hAnsiTheme="minorHAnsi" w:cstheme="minorHAnsi"/>
        </w:rPr>
        <w:t xml:space="preserve">Table 31 below provides the mean EQ-5D index scores for each of the respondent types that reported either an improvement or a worsening over the timepoints (from T0 to T2). The largest magnitudes for both worsening (-0.37) and improvements (+0.24) of scores were seen when reported by staff proxies. In both cases, the mean baseline and follow-up scores reported by staff proxies were the lowest of all respondent types. </w:t>
      </w:r>
    </w:p>
    <w:p w14:paraId="1FF382A0" w14:textId="77777777" w:rsidR="00B54D51" w:rsidRPr="00037AD4" w:rsidRDefault="00B54D51" w:rsidP="00401029">
      <w:pPr>
        <w:rPr>
          <w:rFonts w:asciiTheme="minorHAnsi" w:hAnsiTheme="minorHAnsi" w:cstheme="minorHAnsi"/>
        </w:rPr>
      </w:pPr>
    </w:p>
    <w:p w14:paraId="5BE6EFD7" w14:textId="77777777" w:rsidR="00B54D51" w:rsidRPr="00037AD4" w:rsidRDefault="00B54D51" w:rsidP="00D426FE">
      <w:pPr>
        <w:rPr>
          <w:rFonts w:asciiTheme="minorHAnsi" w:hAnsiTheme="minorHAnsi" w:cstheme="minorHAnsi"/>
          <w:b/>
          <w:bCs/>
          <w:i/>
          <w:iCs/>
        </w:rPr>
      </w:pPr>
      <w:r w:rsidRPr="00037AD4">
        <w:rPr>
          <w:rFonts w:asciiTheme="minorHAnsi" w:hAnsiTheme="minorHAnsi" w:cstheme="minorHAnsi"/>
          <w:b/>
          <w:bCs/>
          <w:i/>
          <w:iCs/>
        </w:rPr>
        <w:t>Table 31, Mean EQ-5D index scores by respondent type</w:t>
      </w:r>
    </w:p>
    <w:p w14:paraId="458C0264" w14:textId="77777777" w:rsidR="00B54D51" w:rsidRPr="00037AD4" w:rsidRDefault="00B54D51" w:rsidP="00D426FE">
      <w:pPr>
        <w:tabs>
          <w:tab w:val="left" w:pos="6574"/>
        </w:tabs>
        <w:rPr>
          <w:rFonts w:asciiTheme="minorHAnsi" w:hAnsiTheme="minorHAnsi" w:cstheme="minorHAnsi"/>
        </w:rPr>
      </w:pPr>
      <w:r w:rsidRPr="00037AD4">
        <w:rPr>
          <w:rFonts w:asciiTheme="minorHAnsi" w:hAnsiTheme="minorHAnsi" w:cstheme="minorHAnsi"/>
        </w:rPr>
        <w:tab/>
      </w:r>
    </w:p>
    <w:tbl>
      <w:tblPr>
        <w:tblStyle w:val="TableGrid"/>
        <w:tblW w:w="0" w:type="auto"/>
        <w:tblLook w:val="04A0" w:firstRow="1" w:lastRow="0" w:firstColumn="1" w:lastColumn="0" w:noHBand="0" w:noVBand="1"/>
      </w:tblPr>
      <w:tblGrid>
        <w:gridCol w:w="2254"/>
        <w:gridCol w:w="2254"/>
        <w:gridCol w:w="2254"/>
        <w:gridCol w:w="2254"/>
      </w:tblGrid>
      <w:tr w:rsidR="00B54D51" w:rsidRPr="00037AD4" w14:paraId="2F795747" w14:textId="77777777" w:rsidTr="008F00F0">
        <w:tc>
          <w:tcPr>
            <w:tcW w:w="2254" w:type="dxa"/>
          </w:tcPr>
          <w:p w14:paraId="274496C3"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Respondent type</w:t>
            </w:r>
          </w:p>
        </w:tc>
        <w:tc>
          <w:tcPr>
            <w:tcW w:w="2254" w:type="dxa"/>
          </w:tcPr>
          <w:p w14:paraId="0D5887EA"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Baseline (T0)</w:t>
            </w:r>
          </w:p>
        </w:tc>
        <w:tc>
          <w:tcPr>
            <w:tcW w:w="2254" w:type="dxa"/>
          </w:tcPr>
          <w:p w14:paraId="1862E404"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Final follow-up (T2)</w:t>
            </w:r>
          </w:p>
        </w:tc>
        <w:tc>
          <w:tcPr>
            <w:tcW w:w="2254" w:type="dxa"/>
          </w:tcPr>
          <w:p w14:paraId="24D23649"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Difference in mean EQ-5D index scores  </w:t>
            </w:r>
          </w:p>
        </w:tc>
      </w:tr>
      <w:tr w:rsidR="00B54D51" w:rsidRPr="00037AD4" w14:paraId="30211A0A" w14:textId="77777777" w:rsidTr="008F00F0">
        <w:tc>
          <w:tcPr>
            <w:tcW w:w="9016" w:type="dxa"/>
            <w:gridSpan w:val="4"/>
          </w:tcPr>
          <w:p w14:paraId="5D160094" w14:textId="77777777" w:rsidR="00B54D51" w:rsidRPr="00037AD4" w:rsidRDefault="00B54D51" w:rsidP="008F00F0">
            <w:pPr>
              <w:jc w:val="center"/>
              <w:rPr>
                <w:rFonts w:asciiTheme="minorHAnsi" w:hAnsiTheme="minorHAnsi" w:cstheme="minorHAnsi"/>
              </w:rPr>
            </w:pPr>
            <w:r w:rsidRPr="00037AD4">
              <w:rPr>
                <w:rFonts w:asciiTheme="minorHAnsi" w:hAnsiTheme="minorHAnsi" w:cstheme="minorHAnsi"/>
              </w:rPr>
              <w:t>EQ-5D improved; mean (SD)</w:t>
            </w:r>
          </w:p>
        </w:tc>
      </w:tr>
      <w:tr w:rsidR="00B54D51" w:rsidRPr="00037AD4" w14:paraId="47DD5AAC" w14:textId="77777777" w:rsidTr="008F00F0">
        <w:tc>
          <w:tcPr>
            <w:tcW w:w="2254" w:type="dxa"/>
          </w:tcPr>
          <w:p w14:paraId="00F0B72C"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PwD, n=289</w:t>
            </w:r>
          </w:p>
        </w:tc>
        <w:tc>
          <w:tcPr>
            <w:tcW w:w="2254" w:type="dxa"/>
          </w:tcPr>
          <w:p w14:paraId="2DAFB5AD"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0.66 (0.23)</w:t>
            </w:r>
          </w:p>
        </w:tc>
        <w:tc>
          <w:tcPr>
            <w:tcW w:w="2254" w:type="dxa"/>
          </w:tcPr>
          <w:p w14:paraId="48D98B82"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0.84 (0.17)</w:t>
            </w:r>
          </w:p>
        </w:tc>
        <w:tc>
          <w:tcPr>
            <w:tcW w:w="2254" w:type="dxa"/>
          </w:tcPr>
          <w:p w14:paraId="5CC9E184"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0.18</w:t>
            </w:r>
          </w:p>
        </w:tc>
      </w:tr>
      <w:tr w:rsidR="00B54D51" w:rsidRPr="00037AD4" w14:paraId="61EB6B15" w14:textId="77777777" w:rsidTr="008F00F0">
        <w:tc>
          <w:tcPr>
            <w:tcW w:w="2254" w:type="dxa"/>
          </w:tcPr>
          <w:p w14:paraId="11EC4A89"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Informal proxy, n=231</w:t>
            </w:r>
          </w:p>
        </w:tc>
        <w:tc>
          <w:tcPr>
            <w:tcW w:w="2254" w:type="dxa"/>
          </w:tcPr>
          <w:p w14:paraId="30F41946"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0.51 (0.28)</w:t>
            </w:r>
          </w:p>
        </w:tc>
        <w:tc>
          <w:tcPr>
            <w:tcW w:w="2254" w:type="dxa"/>
          </w:tcPr>
          <w:p w14:paraId="1F7A726A"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0.67 (0.24)</w:t>
            </w:r>
          </w:p>
        </w:tc>
        <w:tc>
          <w:tcPr>
            <w:tcW w:w="2254" w:type="dxa"/>
          </w:tcPr>
          <w:p w14:paraId="37841A22"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0.16</w:t>
            </w:r>
          </w:p>
        </w:tc>
      </w:tr>
      <w:tr w:rsidR="00B54D51" w:rsidRPr="00037AD4" w14:paraId="70E9BDC2" w14:textId="77777777" w:rsidTr="008F00F0">
        <w:tc>
          <w:tcPr>
            <w:tcW w:w="2254" w:type="dxa"/>
          </w:tcPr>
          <w:p w14:paraId="1F77F194"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Staff proxy, n=147</w:t>
            </w:r>
          </w:p>
        </w:tc>
        <w:tc>
          <w:tcPr>
            <w:tcW w:w="2254" w:type="dxa"/>
          </w:tcPr>
          <w:p w14:paraId="577B7249"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0.42 (0.40)</w:t>
            </w:r>
          </w:p>
        </w:tc>
        <w:tc>
          <w:tcPr>
            <w:tcW w:w="2254" w:type="dxa"/>
          </w:tcPr>
          <w:p w14:paraId="35DC4B36"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0.66 (0.38)</w:t>
            </w:r>
          </w:p>
        </w:tc>
        <w:tc>
          <w:tcPr>
            <w:tcW w:w="2254" w:type="dxa"/>
          </w:tcPr>
          <w:p w14:paraId="5F3E37A6"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0.24</w:t>
            </w:r>
          </w:p>
        </w:tc>
      </w:tr>
      <w:tr w:rsidR="00B54D51" w:rsidRPr="00037AD4" w14:paraId="714CA96C" w14:textId="77777777" w:rsidTr="008F00F0">
        <w:tc>
          <w:tcPr>
            <w:tcW w:w="9016" w:type="dxa"/>
            <w:gridSpan w:val="4"/>
          </w:tcPr>
          <w:p w14:paraId="5221AF3D" w14:textId="77777777" w:rsidR="00B54D51" w:rsidRPr="00037AD4" w:rsidRDefault="00B54D51" w:rsidP="008F00F0">
            <w:pPr>
              <w:jc w:val="center"/>
              <w:rPr>
                <w:rFonts w:asciiTheme="minorHAnsi" w:hAnsiTheme="minorHAnsi" w:cstheme="minorHAnsi"/>
                <w:i/>
                <w:iCs/>
              </w:rPr>
            </w:pPr>
            <w:r w:rsidRPr="00037AD4">
              <w:rPr>
                <w:rFonts w:asciiTheme="minorHAnsi" w:hAnsiTheme="minorHAnsi" w:cstheme="minorHAnsi"/>
                <w:i/>
                <w:iCs/>
              </w:rPr>
              <w:t>EQ-5D worsened</w:t>
            </w:r>
          </w:p>
        </w:tc>
      </w:tr>
      <w:tr w:rsidR="00B54D51" w:rsidRPr="00037AD4" w14:paraId="3BF9253F" w14:textId="77777777" w:rsidTr="008F00F0">
        <w:tc>
          <w:tcPr>
            <w:tcW w:w="2254" w:type="dxa"/>
          </w:tcPr>
          <w:p w14:paraId="250C9483"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PwD, n=298</w:t>
            </w:r>
          </w:p>
        </w:tc>
        <w:tc>
          <w:tcPr>
            <w:tcW w:w="2254" w:type="dxa"/>
          </w:tcPr>
          <w:p w14:paraId="6EAA3E3A"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0.85 (0.16)</w:t>
            </w:r>
          </w:p>
        </w:tc>
        <w:tc>
          <w:tcPr>
            <w:tcW w:w="2254" w:type="dxa"/>
          </w:tcPr>
          <w:p w14:paraId="142232B4"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0.64 (0.24)</w:t>
            </w:r>
          </w:p>
        </w:tc>
        <w:tc>
          <w:tcPr>
            <w:tcW w:w="2254" w:type="dxa"/>
          </w:tcPr>
          <w:p w14:paraId="7EFFF223"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-0.21</w:t>
            </w:r>
          </w:p>
        </w:tc>
      </w:tr>
      <w:tr w:rsidR="00B54D51" w:rsidRPr="00037AD4" w14:paraId="097C4AE4" w14:textId="77777777" w:rsidTr="008F00F0">
        <w:tc>
          <w:tcPr>
            <w:tcW w:w="2254" w:type="dxa"/>
          </w:tcPr>
          <w:p w14:paraId="6016B787"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Informal proxy, n=225</w:t>
            </w:r>
          </w:p>
        </w:tc>
        <w:tc>
          <w:tcPr>
            <w:tcW w:w="2254" w:type="dxa"/>
          </w:tcPr>
          <w:p w14:paraId="628BA77C"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0.66 (0.24)</w:t>
            </w:r>
          </w:p>
        </w:tc>
        <w:tc>
          <w:tcPr>
            <w:tcW w:w="2254" w:type="dxa"/>
          </w:tcPr>
          <w:p w14:paraId="22A51A0A"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0.42 (0.31)</w:t>
            </w:r>
          </w:p>
        </w:tc>
        <w:tc>
          <w:tcPr>
            <w:tcW w:w="2254" w:type="dxa"/>
          </w:tcPr>
          <w:p w14:paraId="32E4AAE1"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-0.24</w:t>
            </w:r>
          </w:p>
        </w:tc>
      </w:tr>
      <w:tr w:rsidR="00B54D51" w:rsidRPr="00037AD4" w14:paraId="093F9B1F" w14:textId="77777777" w:rsidTr="008F00F0">
        <w:tc>
          <w:tcPr>
            <w:tcW w:w="2254" w:type="dxa"/>
          </w:tcPr>
          <w:p w14:paraId="0051B572"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Staff proxy = 413</w:t>
            </w:r>
          </w:p>
        </w:tc>
        <w:tc>
          <w:tcPr>
            <w:tcW w:w="2254" w:type="dxa"/>
          </w:tcPr>
          <w:p w14:paraId="59AA74C2"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0.63 (0.35)</w:t>
            </w:r>
          </w:p>
        </w:tc>
        <w:tc>
          <w:tcPr>
            <w:tcW w:w="2254" w:type="dxa"/>
          </w:tcPr>
          <w:p w14:paraId="7B4E25F8"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0.26 (0.37) </w:t>
            </w:r>
          </w:p>
        </w:tc>
        <w:tc>
          <w:tcPr>
            <w:tcW w:w="2254" w:type="dxa"/>
          </w:tcPr>
          <w:p w14:paraId="00138E1D"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-0.37</w:t>
            </w:r>
          </w:p>
        </w:tc>
      </w:tr>
    </w:tbl>
    <w:p w14:paraId="682EAAA9" w14:textId="77777777" w:rsidR="00B54D51" w:rsidRPr="00037AD4" w:rsidRDefault="00B54D51" w:rsidP="00D426FE">
      <w:pPr>
        <w:rPr>
          <w:rFonts w:asciiTheme="minorHAnsi" w:hAnsiTheme="minorHAnsi" w:cstheme="minorHAnsi"/>
        </w:rPr>
      </w:pPr>
    </w:p>
    <w:p w14:paraId="6155F7F1" w14:textId="77777777" w:rsidR="00B54D51" w:rsidRPr="00037AD4" w:rsidRDefault="00B54D51" w:rsidP="00D426FE">
      <w:pPr>
        <w:rPr>
          <w:rFonts w:asciiTheme="minorHAnsi" w:hAnsiTheme="minorHAnsi" w:cstheme="minorHAnsi"/>
        </w:rPr>
      </w:pPr>
      <w:r w:rsidRPr="00037AD4">
        <w:rPr>
          <w:rFonts w:asciiTheme="minorHAnsi" w:hAnsiTheme="minorHAnsi" w:cstheme="minorHAnsi"/>
        </w:rPr>
        <w:t xml:space="preserve">The proportion of PwD-proxy dyads that have reported in either the same or in opposing directions is visually displayed in Figure 29a and 29b. It can be seen in Figure 29a that approximately 60% of PwD-informal proxy dyads report in opposing directions for EQ-5D index score change, of which around 60% were such that the proxy was the pessimistic respondent (i.e., the proxy reported a worsening in EQ-5D index score over time, while the PwD either reported no change or an improvement). Of the 40% of PwD-informal proxy dyads that report index score changes in the same direction, the majority (over 50%) reported a matched worsening. </w:t>
      </w:r>
    </w:p>
    <w:p w14:paraId="3A15CB6B" w14:textId="77777777" w:rsidR="00B54D51" w:rsidRPr="00037AD4" w:rsidRDefault="00B54D51" w:rsidP="00D426FE">
      <w:pPr>
        <w:rPr>
          <w:rFonts w:asciiTheme="minorHAnsi" w:hAnsiTheme="minorHAnsi" w:cstheme="minorHAnsi"/>
        </w:rPr>
      </w:pPr>
    </w:p>
    <w:p w14:paraId="71298CCD" w14:textId="77777777" w:rsidR="00B54D51" w:rsidRPr="00037AD4" w:rsidRDefault="00B54D51" w:rsidP="00D426FE">
      <w:pPr>
        <w:rPr>
          <w:rFonts w:asciiTheme="minorHAnsi" w:hAnsiTheme="minorHAnsi" w:cstheme="minorHAnsi"/>
        </w:rPr>
      </w:pPr>
      <w:r w:rsidRPr="00037AD4">
        <w:rPr>
          <w:rFonts w:asciiTheme="minorHAnsi" w:hAnsiTheme="minorHAnsi" w:cstheme="minorHAnsi"/>
        </w:rPr>
        <w:t xml:space="preserve">Exploring these associations for PwD-staff proxy dyads shows that approximately 50% of dyads report index score changes in the same direction, of whom, again, the majority (around 70%) report a matched worsening. Unlike the comparison with informal proxy responses, of the proportion of dyads that possess opposing directions for index score changes, the majority (around 60%) of cases are where the PwD is pessimistic. </w:t>
      </w:r>
    </w:p>
    <w:p w14:paraId="620B98DF" w14:textId="77777777" w:rsidR="00B54D51" w:rsidRPr="00037AD4" w:rsidRDefault="00B54D51" w:rsidP="00D426FE">
      <w:pPr>
        <w:rPr>
          <w:rFonts w:asciiTheme="minorHAnsi" w:hAnsiTheme="minorHAnsi" w:cstheme="minorHAnsi"/>
        </w:rPr>
      </w:pPr>
    </w:p>
    <w:p w14:paraId="71F47B59" w14:textId="77777777" w:rsidR="00B54D51" w:rsidRPr="00037AD4" w:rsidRDefault="00B54D51" w:rsidP="00401029">
      <w:pPr>
        <w:rPr>
          <w:rFonts w:asciiTheme="minorHAnsi" w:hAnsiTheme="minorHAnsi" w:cstheme="minorHAnsi"/>
        </w:rPr>
      </w:pPr>
    </w:p>
    <w:p w14:paraId="4B2D0B74" w14:textId="77777777" w:rsidR="00B54D51" w:rsidRPr="00037AD4" w:rsidRDefault="00B54D51" w:rsidP="00401029">
      <w:pPr>
        <w:rPr>
          <w:rFonts w:asciiTheme="minorHAnsi" w:hAnsiTheme="minorHAnsi" w:cstheme="minorHAnsi"/>
        </w:rPr>
      </w:pPr>
    </w:p>
    <w:p w14:paraId="1A1D4061" w14:textId="77777777" w:rsidR="00B54D51" w:rsidRPr="00037AD4" w:rsidRDefault="00B54D51" w:rsidP="00401029">
      <w:pPr>
        <w:rPr>
          <w:rFonts w:asciiTheme="minorHAnsi" w:hAnsiTheme="minorHAnsi" w:cstheme="minorHAnsi"/>
        </w:rPr>
        <w:sectPr w:rsidR="00B54D51" w:rsidRPr="00037AD4" w:rsidSect="0051675A">
          <w:pgSz w:w="11906" w:h="16838"/>
          <w:pgMar w:top="1440" w:right="1440" w:bottom="1440" w:left="1440" w:header="708" w:footer="708" w:gutter="0"/>
          <w:cols w:space="708"/>
          <w:docGrid w:linePitch="360"/>
        </w:sectPr>
      </w:pPr>
    </w:p>
    <w:bookmarkEnd w:id="362"/>
    <w:bookmarkEnd w:id="363"/>
    <w:bookmarkEnd w:id="364"/>
    <w:p w14:paraId="6F3B778B" w14:textId="77777777" w:rsidR="00B54D51" w:rsidRPr="00037AD4" w:rsidRDefault="00B54D51" w:rsidP="00D426FE">
      <w:pPr>
        <w:rPr>
          <w:rFonts w:asciiTheme="minorHAnsi" w:hAnsiTheme="minorHAnsi" w:cstheme="minorHAnsi"/>
          <w:b/>
          <w:bCs/>
          <w:i/>
          <w:iCs/>
        </w:rPr>
      </w:pPr>
      <w:r w:rsidRPr="00037AD4">
        <w:rPr>
          <w:rFonts w:asciiTheme="minorHAnsi" w:hAnsiTheme="minorHAnsi" w:cstheme="minorHAnsi"/>
          <w:b/>
          <w:bCs/>
          <w:i/>
          <w:iCs/>
        </w:rPr>
        <w:lastRenderedPageBreak/>
        <w:t xml:space="preserve">Figure 29a, Proportion of PwD-informal proxy dyads reporting the same/opposing direction for EQ-5D index scores </w:t>
      </w:r>
    </w:p>
    <w:p w14:paraId="5765F313" w14:textId="77777777" w:rsidR="00B54D51" w:rsidRPr="00037AD4" w:rsidRDefault="00B54D51" w:rsidP="00D426FE">
      <w:pPr>
        <w:rPr>
          <w:rFonts w:asciiTheme="minorHAnsi" w:hAnsiTheme="minorHAnsi" w:cstheme="minorHAnsi"/>
          <w:b/>
          <w:bCs/>
          <w:i/>
          <w:iCs/>
        </w:rPr>
      </w:pPr>
    </w:p>
    <w:p w14:paraId="7D2B092C" w14:textId="77777777" w:rsidR="00B54D51" w:rsidRPr="00037AD4" w:rsidRDefault="00B54D51" w:rsidP="00D426FE">
      <w:pPr>
        <w:rPr>
          <w:rFonts w:asciiTheme="minorHAnsi" w:hAnsiTheme="minorHAnsi" w:cstheme="minorHAnsi"/>
          <w:u w:val="single"/>
        </w:rPr>
      </w:pPr>
      <w:r w:rsidRPr="00037AD4">
        <w:rPr>
          <w:rFonts w:asciiTheme="minorHAnsi" w:hAnsiTheme="minorHAnsi" w:cstheme="minorHAnsi"/>
          <w:noProof/>
          <w:lang w:eastAsia="zh-CN"/>
        </w:rPr>
        <w:drawing>
          <wp:inline distT="0" distB="0" distL="0" distR="0" wp14:anchorId="089B06AB" wp14:editId="3E5B7DA0">
            <wp:extent cx="8863330" cy="4984871"/>
            <wp:effectExtent l="0" t="0" r="1270" b="63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61">
                      <a:extLst>
                        <a:ext uri="{28A0092B-C50C-407E-A947-70E740481C1C}">
                          <a14:useLocalDpi xmlns:a14="http://schemas.microsoft.com/office/drawing/2010/main" val="0"/>
                        </a:ext>
                      </a:extLst>
                    </a:blip>
                    <a:stretch>
                      <a:fillRect/>
                    </a:stretch>
                  </pic:blipFill>
                  <pic:spPr>
                    <a:xfrm>
                      <a:off x="0" y="0"/>
                      <a:ext cx="8863330" cy="4984871"/>
                    </a:xfrm>
                    <a:prstGeom prst="rect">
                      <a:avLst/>
                    </a:prstGeom>
                  </pic:spPr>
                </pic:pic>
              </a:graphicData>
            </a:graphic>
          </wp:inline>
        </w:drawing>
      </w:r>
    </w:p>
    <w:p w14:paraId="770BE50D" w14:textId="77777777" w:rsidR="00B54D51" w:rsidRPr="00037AD4" w:rsidRDefault="00B54D51" w:rsidP="00D426FE">
      <w:pPr>
        <w:rPr>
          <w:rFonts w:asciiTheme="minorHAnsi" w:hAnsiTheme="minorHAnsi" w:cstheme="minorHAnsi"/>
          <w:b/>
          <w:bCs/>
          <w:i/>
          <w:iCs/>
        </w:rPr>
      </w:pPr>
    </w:p>
    <w:p w14:paraId="1E5F1E88" w14:textId="77777777" w:rsidR="00B54D51" w:rsidRPr="00037AD4" w:rsidRDefault="00B54D51" w:rsidP="00D426FE">
      <w:pPr>
        <w:rPr>
          <w:rFonts w:asciiTheme="minorHAnsi" w:hAnsiTheme="minorHAnsi" w:cstheme="minorHAnsi"/>
          <w:b/>
          <w:bCs/>
          <w:i/>
          <w:iCs/>
        </w:rPr>
      </w:pPr>
      <w:r w:rsidRPr="00037AD4">
        <w:rPr>
          <w:rFonts w:asciiTheme="minorHAnsi" w:hAnsiTheme="minorHAnsi" w:cstheme="minorHAnsi"/>
          <w:b/>
          <w:bCs/>
          <w:i/>
          <w:iCs/>
        </w:rPr>
        <w:lastRenderedPageBreak/>
        <w:t xml:space="preserve">Figure 29b, Proportion of PwD-staff proxy dyads reporting the same/opposing direction for EQ-5D index scores </w:t>
      </w:r>
    </w:p>
    <w:p w14:paraId="42231628" w14:textId="77777777" w:rsidR="00B54D51" w:rsidRPr="00037AD4" w:rsidRDefault="00B54D51" w:rsidP="00D426FE">
      <w:pPr>
        <w:rPr>
          <w:rFonts w:asciiTheme="minorHAnsi" w:hAnsiTheme="minorHAnsi" w:cstheme="minorHAnsi"/>
        </w:rPr>
      </w:pPr>
    </w:p>
    <w:p w14:paraId="5715D2B3" w14:textId="068786BA" w:rsidR="00B54D51" w:rsidRPr="00037AD4" w:rsidRDefault="00B77D6A" w:rsidP="00D426FE">
      <w:pPr>
        <w:rPr>
          <w:rFonts w:asciiTheme="minorHAnsi" w:hAnsiTheme="minorHAnsi" w:cstheme="minorHAnsi"/>
        </w:rPr>
        <w:sectPr w:rsidR="00B54D51" w:rsidRPr="00037AD4" w:rsidSect="0051675A">
          <w:pgSz w:w="16838" w:h="11906" w:orient="landscape"/>
          <w:pgMar w:top="1440" w:right="1440" w:bottom="1440" w:left="1440" w:header="708" w:footer="708" w:gutter="0"/>
          <w:cols w:space="708"/>
          <w:docGrid w:linePitch="360"/>
        </w:sectPr>
      </w:pPr>
      <w:r w:rsidRPr="00037AD4">
        <w:rPr>
          <w:rFonts w:asciiTheme="minorHAnsi" w:hAnsiTheme="minorHAnsi" w:cstheme="minorHAnsi"/>
          <w:noProof/>
          <w:lang w:eastAsia="zh-CN"/>
        </w:rPr>
        <w:drawing>
          <wp:inline distT="0" distB="0" distL="0" distR="0" wp14:anchorId="1848362F" wp14:editId="6F772521">
            <wp:extent cx="8863330" cy="4984750"/>
            <wp:effectExtent l="0" t="0" r="1270"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62">
                      <a:extLst>
                        <a:ext uri="{28A0092B-C50C-407E-A947-70E740481C1C}">
                          <a14:useLocalDpi xmlns:a14="http://schemas.microsoft.com/office/drawing/2010/main" val="0"/>
                        </a:ext>
                      </a:extLst>
                    </a:blip>
                    <a:stretch>
                      <a:fillRect/>
                    </a:stretch>
                  </pic:blipFill>
                  <pic:spPr>
                    <a:xfrm>
                      <a:off x="0" y="0"/>
                      <a:ext cx="8863330" cy="4984750"/>
                    </a:xfrm>
                    <a:prstGeom prst="rect">
                      <a:avLst/>
                    </a:prstGeom>
                  </pic:spPr>
                </pic:pic>
              </a:graphicData>
            </a:graphic>
          </wp:inline>
        </w:drawing>
      </w:r>
    </w:p>
    <w:p w14:paraId="7B40F284" w14:textId="77777777" w:rsidR="00B54D51" w:rsidRPr="00037AD4" w:rsidRDefault="00B54D51" w:rsidP="00D426FE">
      <w:pPr>
        <w:rPr>
          <w:rFonts w:asciiTheme="minorHAnsi" w:hAnsiTheme="minorHAnsi" w:cstheme="minorHAnsi"/>
        </w:rPr>
      </w:pPr>
      <w:r w:rsidRPr="00037AD4">
        <w:rPr>
          <w:rFonts w:asciiTheme="minorHAnsi" w:hAnsiTheme="minorHAnsi" w:cstheme="minorHAnsi"/>
        </w:rPr>
        <w:lastRenderedPageBreak/>
        <w:t xml:space="preserve">The proportion of each of the respondent types reporting either: no change, an improvement, or a worsening in EQ-5D index scores over time was plotted by whether the PwD’s CDR stage remained stable or progressed (within Figure 30 below). It can be seen that where CDR remained stable, approximately 15% of people with dementia had the same EQ-5D index scores (the highest proportion of stable ratings when compared to informal (around 7%) and staff (around 9%) proxies). Due to the progressive nature of dementia, it would not be expected that a PwD’s CDR stage would reverse or improve over time, however no progression/change in dementia severity stage over time is considered a clinical success. Of the subgroup where the PwD’s CDR remained stable, approximately 42% of people with dementia reported EQ-5D index scores reflected an improvement (however the same proportion of PwD scores also reflected a worsening). Where the PwD’s dementia stage had progressed, approximately 72% of informal and 62% of staff proxies EQ-5D index scores estimate to a worsening. </w:t>
      </w:r>
    </w:p>
    <w:p w14:paraId="05A4BBD3" w14:textId="77777777" w:rsidR="00B54D51" w:rsidRPr="00037AD4" w:rsidRDefault="00B54D51" w:rsidP="00D426FE">
      <w:pPr>
        <w:rPr>
          <w:rFonts w:asciiTheme="minorHAnsi" w:hAnsiTheme="minorHAnsi" w:cstheme="minorHAnsi"/>
        </w:rPr>
      </w:pPr>
    </w:p>
    <w:p w14:paraId="1BC64986" w14:textId="77777777" w:rsidR="00B54D51" w:rsidRPr="00037AD4" w:rsidRDefault="00B54D51" w:rsidP="00D426FE">
      <w:pPr>
        <w:rPr>
          <w:rFonts w:asciiTheme="minorHAnsi" w:hAnsiTheme="minorHAnsi" w:cstheme="minorHAnsi"/>
          <w:b/>
          <w:bCs/>
          <w:i/>
          <w:iCs/>
        </w:rPr>
      </w:pPr>
      <w:r w:rsidRPr="00037AD4">
        <w:rPr>
          <w:rFonts w:asciiTheme="minorHAnsi" w:hAnsiTheme="minorHAnsi" w:cstheme="minorHAnsi"/>
          <w:b/>
          <w:bCs/>
          <w:i/>
          <w:iCs/>
        </w:rPr>
        <w:t xml:space="preserve">Figure 30, Proportions of respondents reporting EQ-5D index score change in different directions by CDR change from T0 to T2  </w:t>
      </w:r>
    </w:p>
    <w:p w14:paraId="20FF522E" w14:textId="77777777" w:rsidR="00B54D51" w:rsidRPr="00037AD4" w:rsidRDefault="00B54D51" w:rsidP="00D426FE">
      <w:pPr>
        <w:rPr>
          <w:rFonts w:asciiTheme="minorHAnsi" w:hAnsiTheme="minorHAnsi" w:cstheme="minorHAnsi"/>
          <w:b/>
          <w:bCs/>
        </w:rPr>
      </w:pPr>
    </w:p>
    <w:p w14:paraId="7E006089" w14:textId="77777777" w:rsidR="00B54D51" w:rsidRPr="00037AD4" w:rsidRDefault="00B54D51" w:rsidP="00D426FE">
      <w:pPr>
        <w:rPr>
          <w:rFonts w:asciiTheme="minorHAnsi" w:hAnsiTheme="minorHAnsi" w:cstheme="minorHAnsi"/>
          <w:b/>
          <w:bCs/>
          <w:u w:val="single"/>
        </w:rPr>
      </w:pPr>
      <w:r w:rsidRPr="00037AD4">
        <w:rPr>
          <w:rFonts w:asciiTheme="minorHAnsi" w:hAnsiTheme="minorHAnsi" w:cstheme="minorHAnsi"/>
          <w:noProof/>
          <w:lang w:eastAsia="zh-CN"/>
        </w:rPr>
        <w:drawing>
          <wp:inline distT="0" distB="0" distL="0" distR="0" wp14:anchorId="5984B0D7" wp14:editId="5281150D">
            <wp:extent cx="5139159" cy="2720050"/>
            <wp:effectExtent l="0" t="0" r="17145" b="10795"/>
            <wp:docPr id="22" name="Chart 22">
              <a:extLst xmlns:a="http://schemas.openxmlformats.org/drawingml/2006/main">
                <a:ext uri="{FF2B5EF4-FFF2-40B4-BE49-F238E27FC236}">
                  <a16:creationId xmlns:a16="http://schemas.microsoft.com/office/drawing/2014/main" id="{EFF6B562-D452-E42B-4970-8F3879D5222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6F845FF4" w14:textId="77777777" w:rsidR="00B54D51" w:rsidRPr="00037AD4" w:rsidRDefault="00B54D51" w:rsidP="00D426FE">
      <w:pPr>
        <w:rPr>
          <w:rFonts w:asciiTheme="minorHAnsi" w:hAnsiTheme="minorHAnsi" w:cstheme="minorHAnsi"/>
        </w:rPr>
      </w:pPr>
    </w:p>
    <w:p w14:paraId="4461FAF8" w14:textId="1F5F7293" w:rsidR="00B54D51" w:rsidRPr="00037AD4" w:rsidRDefault="00B54D51" w:rsidP="00D426FE">
      <w:pPr>
        <w:rPr>
          <w:rFonts w:asciiTheme="minorHAnsi" w:hAnsiTheme="minorHAnsi" w:cstheme="minorHAnsi"/>
        </w:rPr>
      </w:pPr>
      <w:r w:rsidRPr="00037AD4">
        <w:rPr>
          <w:rFonts w:asciiTheme="minorHAnsi" w:hAnsiTheme="minorHAnsi" w:cstheme="minorHAnsi"/>
        </w:rPr>
        <w:t xml:space="preserve">The mean EQ-5D index scores reported by the different respondents by dementia severity stage of the PwD (across timepoints) were estimated using the data pooled from the three trials and are summarised in Table 32 below. As the trials were pooled, the sample size for the PwD sample is proportionally the largest, as all three trials collected data from a PwD (while solely the EPIC trial collected staff proxy responses, and although all three trials collected informal proxy responses, this data was </w:t>
      </w:r>
      <w:r w:rsidR="007117C4">
        <w:rPr>
          <w:rFonts w:asciiTheme="minorHAnsi" w:hAnsiTheme="minorHAnsi" w:cstheme="minorHAnsi"/>
        </w:rPr>
        <w:t>minimal</w:t>
      </w:r>
      <w:r w:rsidRPr="00037AD4">
        <w:rPr>
          <w:rFonts w:asciiTheme="minorHAnsi" w:hAnsiTheme="minorHAnsi" w:cstheme="minorHAnsi"/>
        </w:rPr>
        <w:t xml:space="preserve"> from the EPIC trial). </w:t>
      </w:r>
    </w:p>
    <w:p w14:paraId="7DE5C226" w14:textId="77777777" w:rsidR="00B54D51" w:rsidRPr="00037AD4" w:rsidRDefault="00B54D51" w:rsidP="00D426FE">
      <w:pPr>
        <w:rPr>
          <w:rFonts w:asciiTheme="minorHAnsi" w:hAnsiTheme="minorHAnsi" w:cstheme="minorHAnsi"/>
        </w:rPr>
      </w:pPr>
    </w:p>
    <w:p w14:paraId="5EACA1C8" w14:textId="1FC7665A" w:rsidR="00FB6EFE" w:rsidRPr="00037AD4" w:rsidRDefault="00B54D51" w:rsidP="00D426FE">
      <w:pPr>
        <w:rPr>
          <w:rFonts w:asciiTheme="minorHAnsi" w:hAnsiTheme="minorHAnsi" w:cstheme="minorHAnsi"/>
        </w:rPr>
      </w:pPr>
      <w:r w:rsidRPr="00037AD4">
        <w:rPr>
          <w:rFonts w:asciiTheme="minorHAnsi" w:hAnsiTheme="minorHAnsi" w:cstheme="minorHAnsi"/>
        </w:rPr>
        <w:t>Mean PwD reported utility scores were highest for people with severe dementia (</w:t>
      </w:r>
      <w:r w:rsidRPr="00037AD4">
        <w:rPr>
          <w:rFonts w:asciiTheme="minorHAnsi" w:hAnsiTheme="minorHAnsi" w:cstheme="minorHAnsi"/>
          <w:color w:val="202124"/>
          <w:shd w:val="clear" w:color="auto" w:fill="FFFFFF"/>
        </w:rPr>
        <w:t xml:space="preserve">mean score: </w:t>
      </w:r>
      <w:r w:rsidRPr="00037AD4">
        <w:rPr>
          <w:rFonts w:asciiTheme="minorHAnsi" w:hAnsiTheme="minorHAnsi" w:cstheme="minorHAnsi"/>
        </w:rPr>
        <w:t xml:space="preserve">0.80), compared to the other stages. Utility scores generated by both informal and staff proxy EQ-5D responses were the lowest for people with severe dementia (visually plotted in </w:t>
      </w:r>
      <w:hyperlink w:anchor="A55" w:history="1">
        <w:r w:rsidRPr="00FB6EFE">
          <w:rPr>
            <w:rStyle w:val="Hyperlink"/>
            <w:rFonts w:asciiTheme="minorHAnsi" w:hAnsiTheme="minorHAnsi" w:cstheme="minorHAnsi"/>
            <w:color w:val="auto"/>
            <w:u w:val="none"/>
          </w:rPr>
          <w:t>Appendix 5.5</w:t>
        </w:r>
      </w:hyperlink>
      <w:r w:rsidRPr="00FB6EFE">
        <w:rPr>
          <w:rFonts w:asciiTheme="minorHAnsi" w:hAnsiTheme="minorHAnsi" w:cstheme="minorHAnsi"/>
        </w:rPr>
        <w:t xml:space="preserve">). </w:t>
      </w:r>
      <w:r w:rsidRPr="00037AD4">
        <w:rPr>
          <w:rFonts w:asciiTheme="minorHAnsi" w:hAnsiTheme="minorHAnsi" w:cstheme="minorHAnsi"/>
        </w:rPr>
        <w:t>For PwD, mean index scores were higher for those that were institutionalised (compared with community dwelling people with dementia, mean difference in score of 0.03), the inverse relationship was found for informal proxy reported index scores.</w:t>
      </w:r>
    </w:p>
    <w:p w14:paraId="7C1D2B8D" w14:textId="77777777" w:rsidR="00B54D51" w:rsidRPr="00037AD4" w:rsidRDefault="00B54D51" w:rsidP="00D426FE">
      <w:pPr>
        <w:rPr>
          <w:rFonts w:asciiTheme="minorHAnsi" w:hAnsiTheme="minorHAnsi" w:cstheme="minorHAnsi"/>
          <w:b/>
          <w:bCs/>
          <w:i/>
          <w:iCs/>
        </w:rPr>
      </w:pPr>
      <w:r w:rsidRPr="00037AD4">
        <w:rPr>
          <w:rFonts w:asciiTheme="minorHAnsi" w:hAnsiTheme="minorHAnsi" w:cstheme="minorHAnsi"/>
          <w:b/>
          <w:bCs/>
          <w:i/>
          <w:iCs/>
        </w:rPr>
        <w:lastRenderedPageBreak/>
        <w:t xml:space="preserve">Table 32, Mean utility scores by CDR stage </w:t>
      </w:r>
    </w:p>
    <w:p w14:paraId="061CBA23" w14:textId="77777777" w:rsidR="00B54D51" w:rsidRPr="00037AD4" w:rsidRDefault="00B54D51" w:rsidP="00D426FE">
      <w:pPr>
        <w:rPr>
          <w:rFonts w:asciiTheme="minorHAnsi" w:hAnsiTheme="minorHAnsi" w:cstheme="minorHAnsi"/>
          <w:u w:val="single"/>
        </w:rPr>
      </w:pPr>
    </w:p>
    <w:tbl>
      <w:tblPr>
        <w:tblStyle w:val="TableGrid"/>
        <w:tblW w:w="0" w:type="auto"/>
        <w:tblLook w:val="04A0" w:firstRow="1" w:lastRow="0" w:firstColumn="1" w:lastColumn="0" w:noHBand="0" w:noVBand="1"/>
      </w:tblPr>
      <w:tblGrid>
        <w:gridCol w:w="1865"/>
        <w:gridCol w:w="1833"/>
        <w:gridCol w:w="1911"/>
        <w:gridCol w:w="1809"/>
      </w:tblGrid>
      <w:tr w:rsidR="00B54D51" w:rsidRPr="00037AD4" w14:paraId="5FB33C82" w14:textId="77777777" w:rsidTr="008F00F0">
        <w:tc>
          <w:tcPr>
            <w:tcW w:w="7418" w:type="dxa"/>
            <w:gridSpan w:val="4"/>
            <w:shd w:val="clear" w:color="auto" w:fill="auto"/>
          </w:tcPr>
          <w:p w14:paraId="171D7236" w14:textId="77777777" w:rsidR="00B54D51" w:rsidRPr="00037AD4" w:rsidRDefault="00B54D51" w:rsidP="008F00F0">
            <w:pPr>
              <w:jc w:val="center"/>
              <w:rPr>
                <w:rFonts w:asciiTheme="minorHAnsi" w:hAnsiTheme="minorHAnsi" w:cstheme="minorHAnsi"/>
              </w:rPr>
            </w:pPr>
            <w:r w:rsidRPr="00037AD4">
              <w:rPr>
                <w:rFonts w:asciiTheme="minorHAnsi" w:hAnsiTheme="minorHAnsi" w:cstheme="minorHAnsi"/>
              </w:rPr>
              <w:t>Mean EQ-5D index score by respondent-type</w:t>
            </w:r>
          </w:p>
        </w:tc>
      </w:tr>
      <w:tr w:rsidR="00B54D51" w:rsidRPr="00037AD4" w14:paraId="3F1DB2F7" w14:textId="77777777" w:rsidTr="008F00F0">
        <w:tc>
          <w:tcPr>
            <w:tcW w:w="1865" w:type="dxa"/>
            <w:shd w:val="clear" w:color="auto" w:fill="E7E6E6" w:themeFill="background2"/>
          </w:tcPr>
          <w:p w14:paraId="7A253E96"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N, mean (SD) </w:t>
            </w:r>
          </w:p>
        </w:tc>
        <w:tc>
          <w:tcPr>
            <w:tcW w:w="1833" w:type="dxa"/>
            <w:shd w:val="clear" w:color="auto" w:fill="E7E6E6" w:themeFill="background2"/>
          </w:tcPr>
          <w:p w14:paraId="01DEE7E6"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Mild (0.5/1)</w:t>
            </w:r>
          </w:p>
        </w:tc>
        <w:tc>
          <w:tcPr>
            <w:tcW w:w="1911" w:type="dxa"/>
            <w:shd w:val="clear" w:color="auto" w:fill="E7E6E6" w:themeFill="background2"/>
          </w:tcPr>
          <w:p w14:paraId="5F730924"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Moderate (2)</w:t>
            </w:r>
          </w:p>
        </w:tc>
        <w:tc>
          <w:tcPr>
            <w:tcW w:w="1809" w:type="dxa"/>
            <w:shd w:val="clear" w:color="auto" w:fill="E7E6E6" w:themeFill="background2"/>
          </w:tcPr>
          <w:p w14:paraId="5B3298D3"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Severe (3) </w:t>
            </w:r>
          </w:p>
        </w:tc>
      </w:tr>
      <w:tr w:rsidR="00B54D51" w:rsidRPr="00037AD4" w14:paraId="7F3538E1" w14:textId="77777777" w:rsidTr="008F00F0">
        <w:tc>
          <w:tcPr>
            <w:tcW w:w="1865" w:type="dxa"/>
          </w:tcPr>
          <w:p w14:paraId="71677F2D"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PwD</w:t>
            </w:r>
          </w:p>
        </w:tc>
        <w:tc>
          <w:tcPr>
            <w:tcW w:w="1833" w:type="dxa"/>
          </w:tcPr>
          <w:p w14:paraId="2A86CC32" w14:textId="77777777" w:rsidR="00B54D51" w:rsidRPr="00037AD4" w:rsidRDefault="00B54D51" w:rsidP="008F00F0">
            <w:pPr>
              <w:rPr>
                <w:rFonts w:asciiTheme="minorHAnsi" w:hAnsiTheme="minorHAnsi" w:cstheme="minorHAnsi"/>
                <w:i/>
                <w:iCs/>
                <w:sz w:val="20"/>
                <w:szCs w:val="20"/>
              </w:rPr>
            </w:pPr>
            <w:r w:rsidRPr="00037AD4">
              <w:rPr>
                <w:rFonts w:asciiTheme="minorHAnsi" w:hAnsiTheme="minorHAnsi" w:cstheme="minorHAnsi"/>
                <w:i/>
                <w:iCs/>
                <w:sz w:val="20"/>
                <w:szCs w:val="20"/>
              </w:rPr>
              <w:t xml:space="preserve">n=1466 </w:t>
            </w:r>
          </w:p>
          <w:p w14:paraId="105474E8" w14:textId="77777777" w:rsidR="00B54D51" w:rsidRPr="00037AD4" w:rsidRDefault="00B54D51" w:rsidP="008F00F0">
            <w:pPr>
              <w:rPr>
                <w:rFonts w:asciiTheme="minorHAnsi" w:hAnsiTheme="minorHAnsi" w:cstheme="minorHAnsi"/>
              </w:rPr>
            </w:pPr>
            <w:r w:rsidRPr="00037AD4">
              <w:rPr>
                <w:rFonts w:asciiTheme="minorHAnsi" w:hAnsiTheme="minorHAnsi" w:cstheme="minorHAnsi"/>
                <w:b/>
                <w:bCs/>
              </w:rPr>
              <w:t>0.78</w:t>
            </w:r>
            <w:r w:rsidRPr="00037AD4">
              <w:rPr>
                <w:rFonts w:asciiTheme="minorHAnsi" w:hAnsiTheme="minorHAnsi" w:cstheme="minorHAnsi"/>
              </w:rPr>
              <w:t xml:space="preserve"> (0.22)</w:t>
            </w:r>
          </w:p>
        </w:tc>
        <w:tc>
          <w:tcPr>
            <w:tcW w:w="1911" w:type="dxa"/>
          </w:tcPr>
          <w:p w14:paraId="13159A7C" w14:textId="77777777" w:rsidR="00B54D51" w:rsidRPr="00037AD4" w:rsidRDefault="00B54D51" w:rsidP="008F00F0">
            <w:pPr>
              <w:rPr>
                <w:rFonts w:asciiTheme="minorHAnsi" w:hAnsiTheme="minorHAnsi" w:cstheme="minorHAnsi"/>
                <w:i/>
                <w:iCs/>
                <w:sz w:val="20"/>
                <w:szCs w:val="20"/>
              </w:rPr>
            </w:pPr>
            <w:r w:rsidRPr="00037AD4">
              <w:rPr>
                <w:rFonts w:asciiTheme="minorHAnsi" w:hAnsiTheme="minorHAnsi" w:cstheme="minorHAnsi"/>
                <w:i/>
                <w:iCs/>
                <w:sz w:val="20"/>
                <w:szCs w:val="20"/>
              </w:rPr>
              <w:t xml:space="preserve">n=737 </w:t>
            </w:r>
          </w:p>
          <w:p w14:paraId="3ED45559" w14:textId="77777777" w:rsidR="00B54D51" w:rsidRPr="00037AD4" w:rsidRDefault="00B54D51" w:rsidP="008F00F0">
            <w:pPr>
              <w:rPr>
                <w:rFonts w:asciiTheme="minorHAnsi" w:hAnsiTheme="minorHAnsi" w:cstheme="minorHAnsi"/>
              </w:rPr>
            </w:pPr>
            <w:r w:rsidRPr="00037AD4">
              <w:rPr>
                <w:rFonts w:asciiTheme="minorHAnsi" w:hAnsiTheme="minorHAnsi" w:cstheme="minorHAnsi"/>
                <w:b/>
                <w:bCs/>
              </w:rPr>
              <w:t>0.77</w:t>
            </w:r>
            <w:r w:rsidRPr="00037AD4">
              <w:rPr>
                <w:rFonts w:asciiTheme="minorHAnsi" w:hAnsiTheme="minorHAnsi" w:cstheme="minorHAnsi"/>
              </w:rPr>
              <w:t xml:space="preserve"> (0.25)</w:t>
            </w:r>
          </w:p>
        </w:tc>
        <w:tc>
          <w:tcPr>
            <w:tcW w:w="1809" w:type="dxa"/>
          </w:tcPr>
          <w:p w14:paraId="72DB0A0D" w14:textId="77777777" w:rsidR="00B54D51" w:rsidRPr="00037AD4" w:rsidRDefault="00B54D51" w:rsidP="008F00F0">
            <w:pPr>
              <w:rPr>
                <w:rFonts w:asciiTheme="minorHAnsi" w:hAnsiTheme="minorHAnsi" w:cstheme="minorHAnsi"/>
                <w:i/>
                <w:iCs/>
                <w:sz w:val="20"/>
                <w:szCs w:val="20"/>
              </w:rPr>
            </w:pPr>
            <w:r w:rsidRPr="00037AD4">
              <w:rPr>
                <w:rFonts w:asciiTheme="minorHAnsi" w:hAnsiTheme="minorHAnsi" w:cstheme="minorHAnsi"/>
                <w:i/>
                <w:iCs/>
                <w:sz w:val="20"/>
                <w:szCs w:val="20"/>
              </w:rPr>
              <w:t>n=120</w:t>
            </w:r>
          </w:p>
          <w:p w14:paraId="581D82F1" w14:textId="77777777" w:rsidR="00B54D51" w:rsidRPr="00037AD4" w:rsidRDefault="00B54D51" w:rsidP="008F00F0">
            <w:pPr>
              <w:rPr>
                <w:rFonts w:asciiTheme="minorHAnsi" w:hAnsiTheme="minorHAnsi" w:cstheme="minorHAnsi"/>
              </w:rPr>
            </w:pPr>
            <w:r w:rsidRPr="00037AD4">
              <w:rPr>
                <w:rFonts w:asciiTheme="minorHAnsi" w:hAnsiTheme="minorHAnsi" w:cstheme="minorHAnsi"/>
                <w:b/>
                <w:bCs/>
              </w:rPr>
              <w:t>0.80</w:t>
            </w:r>
            <w:r w:rsidRPr="00037AD4">
              <w:rPr>
                <w:rFonts w:asciiTheme="minorHAnsi" w:hAnsiTheme="minorHAnsi" w:cstheme="minorHAnsi"/>
              </w:rPr>
              <w:t xml:space="preserve"> (0.22) </w:t>
            </w:r>
          </w:p>
        </w:tc>
      </w:tr>
      <w:tr w:rsidR="00B54D51" w:rsidRPr="00037AD4" w14:paraId="12655848" w14:textId="77777777" w:rsidTr="008F00F0">
        <w:tc>
          <w:tcPr>
            <w:tcW w:w="1865" w:type="dxa"/>
          </w:tcPr>
          <w:p w14:paraId="37D40E11"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Informal proxy </w:t>
            </w:r>
          </w:p>
        </w:tc>
        <w:tc>
          <w:tcPr>
            <w:tcW w:w="1833" w:type="dxa"/>
          </w:tcPr>
          <w:p w14:paraId="5D2C859B" w14:textId="77777777" w:rsidR="00B54D51" w:rsidRPr="00037AD4" w:rsidRDefault="00B54D51" w:rsidP="008F00F0">
            <w:pPr>
              <w:rPr>
                <w:rFonts w:asciiTheme="minorHAnsi" w:hAnsiTheme="minorHAnsi" w:cstheme="minorHAnsi"/>
                <w:i/>
                <w:iCs/>
                <w:sz w:val="20"/>
                <w:szCs w:val="20"/>
              </w:rPr>
            </w:pPr>
            <w:r w:rsidRPr="00037AD4">
              <w:rPr>
                <w:rFonts w:asciiTheme="minorHAnsi" w:hAnsiTheme="minorHAnsi" w:cstheme="minorHAnsi"/>
                <w:i/>
                <w:iCs/>
                <w:sz w:val="20"/>
                <w:szCs w:val="20"/>
              </w:rPr>
              <w:t>n=1239</w:t>
            </w:r>
          </w:p>
          <w:p w14:paraId="100E6693" w14:textId="77777777" w:rsidR="00B54D51" w:rsidRPr="00037AD4" w:rsidRDefault="00B54D51" w:rsidP="008F00F0">
            <w:pPr>
              <w:rPr>
                <w:rFonts w:asciiTheme="minorHAnsi" w:hAnsiTheme="minorHAnsi" w:cstheme="minorHAnsi"/>
              </w:rPr>
            </w:pPr>
            <w:r w:rsidRPr="00037AD4">
              <w:rPr>
                <w:rFonts w:asciiTheme="minorHAnsi" w:hAnsiTheme="minorHAnsi" w:cstheme="minorHAnsi"/>
                <w:b/>
                <w:bCs/>
              </w:rPr>
              <w:t>0.64</w:t>
            </w:r>
            <w:r w:rsidRPr="00037AD4">
              <w:rPr>
                <w:rFonts w:asciiTheme="minorHAnsi" w:hAnsiTheme="minorHAnsi" w:cstheme="minorHAnsi"/>
              </w:rPr>
              <w:t xml:space="preserve"> (0.25)</w:t>
            </w:r>
          </w:p>
        </w:tc>
        <w:tc>
          <w:tcPr>
            <w:tcW w:w="1911" w:type="dxa"/>
          </w:tcPr>
          <w:p w14:paraId="1381D206" w14:textId="77777777" w:rsidR="00B54D51" w:rsidRPr="00037AD4" w:rsidRDefault="00B54D51" w:rsidP="008F00F0">
            <w:pPr>
              <w:rPr>
                <w:rFonts w:asciiTheme="minorHAnsi" w:hAnsiTheme="minorHAnsi" w:cstheme="minorHAnsi"/>
                <w:i/>
                <w:iCs/>
                <w:sz w:val="20"/>
                <w:szCs w:val="20"/>
              </w:rPr>
            </w:pPr>
            <w:r w:rsidRPr="00037AD4">
              <w:rPr>
                <w:rFonts w:asciiTheme="minorHAnsi" w:hAnsiTheme="minorHAnsi" w:cstheme="minorHAnsi"/>
                <w:i/>
                <w:iCs/>
                <w:sz w:val="20"/>
                <w:szCs w:val="20"/>
              </w:rPr>
              <w:t xml:space="preserve">n=589 </w:t>
            </w:r>
          </w:p>
          <w:p w14:paraId="7662E1A1" w14:textId="77777777" w:rsidR="00B54D51" w:rsidRPr="00037AD4" w:rsidRDefault="00B54D51" w:rsidP="008F00F0">
            <w:pPr>
              <w:rPr>
                <w:rFonts w:asciiTheme="minorHAnsi" w:hAnsiTheme="minorHAnsi" w:cstheme="minorHAnsi"/>
              </w:rPr>
            </w:pPr>
            <w:r w:rsidRPr="00037AD4">
              <w:rPr>
                <w:rFonts w:asciiTheme="minorHAnsi" w:hAnsiTheme="minorHAnsi" w:cstheme="minorHAnsi"/>
                <w:b/>
                <w:bCs/>
              </w:rPr>
              <w:t>0.45</w:t>
            </w:r>
            <w:r w:rsidRPr="00037AD4">
              <w:rPr>
                <w:rFonts w:asciiTheme="minorHAnsi" w:hAnsiTheme="minorHAnsi" w:cstheme="minorHAnsi"/>
              </w:rPr>
              <w:t xml:space="preserve"> (0.30)</w:t>
            </w:r>
          </w:p>
        </w:tc>
        <w:tc>
          <w:tcPr>
            <w:tcW w:w="1809" w:type="dxa"/>
          </w:tcPr>
          <w:p w14:paraId="4A76D932" w14:textId="77777777" w:rsidR="00B54D51" w:rsidRPr="00037AD4" w:rsidRDefault="00B54D51" w:rsidP="008F00F0">
            <w:pPr>
              <w:rPr>
                <w:rFonts w:asciiTheme="minorHAnsi" w:hAnsiTheme="minorHAnsi" w:cstheme="minorHAnsi"/>
                <w:i/>
                <w:iCs/>
                <w:sz w:val="20"/>
                <w:szCs w:val="20"/>
              </w:rPr>
            </w:pPr>
            <w:r w:rsidRPr="00037AD4">
              <w:rPr>
                <w:rFonts w:asciiTheme="minorHAnsi" w:hAnsiTheme="minorHAnsi" w:cstheme="minorHAnsi"/>
                <w:i/>
                <w:iCs/>
                <w:sz w:val="20"/>
                <w:szCs w:val="20"/>
              </w:rPr>
              <w:t>n=152</w:t>
            </w:r>
          </w:p>
          <w:p w14:paraId="4C7728CF" w14:textId="77777777" w:rsidR="00B54D51" w:rsidRPr="00037AD4" w:rsidRDefault="00B54D51" w:rsidP="008F00F0">
            <w:pPr>
              <w:rPr>
                <w:rFonts w:asciiTheme="minorHAnsi" w:hAnsiTheme="minorHAnsi" w:cstheme="minorHAnsi"/>
              </w:rPr>
            </w:pPr>
            <w:r w:rsidRPr="00037AD4">
              <w:rPr>
                <w:rFonts w:asciiTheme="minorHAnsi" w:hAnsiTheme="minorHAnsi" w:cstheme="minorHAnsi"/>
                <w:b/>
                <w:bCs/>
              </w:rPr>
              <w:t>0.13</w:t>
            </w:r>
            <w:r w:rsidRPr="00037AD4">
              <w:rPr>
                <w:rFonts w:asciiTheme="minorHAnsi" w:hAnsiTheme="minorHAnsi" w:cstheme="minorHAnsi"/>
              </w:rPr>
              <w:t xml:space="preserve"> (0.31)</w:t>
            </w:r>
          </w:p>
        </w:tc>
      </w:tr>
      <w:tr w:rsidR="00B54D51" w:rsidRPr="00037AD4" w14:paraId="57BE2B8A" w14:textId="77777777" w:rsidTr="008F00F0">
        <w:tc>
          <w:tcPr>
            <w:tcW w:w="1865" w:type="dxa"/>
          </w:tcPr>
          <w:p w14:paraId="54F875C8"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Staff </w:t>
            </w:r>
          </w:p>
        </w:tc>
        <w:tc>
          <w:tcPr>
            <w:tcW w:w="1833" w:type="dxa"/>
          </w:tcPr>
          <w:p w14:paraId="5ACB5943" w14:textId="77777777" w:rsidR="00B54D51" w:rsidRPr="00037AD4" w:rsidRDefault="00B54D51" w:rsidP="008F00F0">
            <w:pPr>
              <w:rPr>
                <w:rFonts w:asciiTheme="minorHAnsi" w:hAnsiTheme="minorHAnsi" w:cstheme="minorHAnsi"/>
                <w:i/>
                <w:iCs/>
                <w:sz w:val="20"/>
                <w:szCs w:val="20"/>
              </w:rPr>
            </w:pPr>
            <w:r w:rsidRPr="00037AD4">
              <w:rPr>
                <w:rFonts w:asciiTheme="minorHAnsi" w:hAnsiTheme="minorHAnsi" w:cstheme="minorHAnsi"/>
                <w:i/>
                <w:iCs/>
                <w:sz w:val="20"/>
                <w:szCs w:val="20"/>
              </w:rPr>
              <w:t xml:space="preserve">n=428 </w:t>
            </w:r>
          </w:p>
          <w:p w14:paraId="462C56DA" w14:textId="77777777" w:rsidR="00B54D51" w:rsidRPr="00037AD4" w:rsidRDefault="00B54D51" w:rsidP="008F00F0">
            <w:pPr>
              <w:rPr>
                <w:rFonts w:asciiTheme="minorHAnsi" w:hAnsiTheme="minorHAnsi" w:cstheme="minorHAnsi"/>
              </w:rPr>
            </w:pPr>
            <w:r w:rsidRPr="00037AD4">
              <w:rPr>
                <w:rFonts w:asciiTheme="minorHAnsi" w:hAnsiTheme="minorHAnsi" w:cstheme="minorHAnsi"/>
                <w:b/>
                <w:bCs/>
              </w:rPr>
              <w:t>0.70</w:t>
            </w:r>
            <w:r w:rsidRPr="00037AD4">
              <w:rPr>
                <w:rFonts w:asciiTheme="minorHAnsi" w:hAnsiTheme="minorHAnsi" w:cstheme="minorHAnsi"/>
              </w:rPr>
              <w:t xml:space="preserve"> (0.32)</w:t>
            </w:r>
          </w:p>
        </w:tc>
        <w:tc>
          <w:tcPr>
            <w:tcW w:w="1911" w:type="dxa"/>
          </w:tcPr>
          <w:p w14:paraId="2E0CB82C" w14:textId="77777777" w:rsidR="00B54D51" w:rsidRPr="00037AD4" w:rsidRDefault="00B54D51" w:rsidP="008F00F0">
            <w:pPr>
              <w:rPr>
                <w:rFonts w:asciiTheme="minorHAnsi" w:hAnsiTheme="minorHAnsi" w:cstheme="minorHAnsi"/>
                <w:i/>
                <w:iCs/>
                <w:sz w:val="20"/>
                <w:szCs w:val="20"/>
              </w:rPr>
            </w:pPr>
            <w:r w:rsidRPr="00037AD4">
              <w:rPr>
                <w:rFonts w:asciiTheme="minorHAnsi" w:hAnsiTheme="minorHAnsi" w:cstheme="minorHAnsi"/>
                <w:i/>
                <w:iCs/>
                <w:sz w:val="20"/>
                <w:szCs w:val="20"/>
              </w:rPr>
              <w:t xml:space="preserve">n=661 </w:t>
            </w:r>
          </w:p>
          <w:p w14:paraId="390234B2" w14:textId="77777777" w:rsidR="00B54D51" w:rsidRPr="00037AD4" w:rsidRDefault="00B54D51" w:rsidP="008F00F0">
            <w:pPr>
              <w:rPr>
                <w:rFonts w:asciiTheme="minorHAnsi" w:hAnsiTheme="minorHAnsi" w:cstheme="minorHAnsi"/>
              </w:rPr>
            </w:pPr>
            <w:r w:rsidRPr="00037AD4">
              <w:rPr>
                <w:rFonts w:asciiTheme="minorHAnsi" w:hAnsiTheme="minorHAnsi" w:cstheme="minorHAnsi"/>
                <w:b/>
                <w:bCs/>
              </w:rPr>
              <w:t>0.56</w:t>
            </w:r>
            <w:r w:rsidRPr="00037AD4">
              <w:rPr>
                <w:rFonts w:asciiTheme="minorHAnsi" w:hAnsiTheme="minorHAnsi" w:cstheme="minorHAnsi"/>
              </w:rPr>
              <w:t xml:space="preserve"> (0.37)</w:t>
            </w:r>
          </w:p>
        </w:tc>
        <w:tc>
          <w:tcPr>
            <w:tcW w:w="1809" w:type="dxa"/>
          </w:tcPr>
          <w:p w14:paraId="24AC59CC" w14:textId="77777777" w:rsidR="00B54D51" w:rsidRPr="00037AD4" w:rsidRDefault="00B54D51" w:rsidP="008F00F0">
            <w:pPr>
              <w:rPr>
                <w:rFonts w:asciiTheme="minorHAnsi" w:hAnsiTheme="minorHAnsi" w:cstheme="minorHAnsi"/>
                <w:i/>
                <w:iCs/>
                <w:sz w:val="20"/>
                <w:szCs w:val="20"/>
              </w:rPr>
            </w:pPr>
            <w:r w:rsidRPr="00037AD4">
              <w:rPr>
                <w:rFonts w:asciiTheme="minorHAnsi" w:hAnsiTheme="minorHAnsi" w:cstheme="minorHAnsi"/>
                <w:i/>
                <w:iCs/>
                <w:sz w:val="20"/>
                <w:szCs w:val="20"/>
              </w:rPr>
              <w:t xml:space="preserve">n=575 </w:t>
            </w:r>
          </w:p>
          <w:p w14:paraId="02FDA561" w14:textId="77777777" w:rsidR="00B54D51" w:rsidRPr="00037AD4" w:rsidRDefault="00B54D51" w:rsidP="008F00F0">
            <w:pPr>
              <w:rPr>
                <w:rFonts w:asciiTheme="minorHAnsi" w:hAnsiTheme="minorHAnsi" w:cstheme="minorHAnsi"/>
              </w:rPr>
            </w:pPr>
            <w:r w:rsidRPr="00037AD4">
              <w:rPr>
                <w:rFonts w:asciiTheme="minorHAnsi" w:hAnsiTheme="minorHAnsi" w:cstheme="minorHAnsi"/>
                <w:b/>
                <w:bCs/>
              </w:rPr>
              <w:t>0.26</w:t>
            </w:r>
            <w:r w:rsidRPr="00037AD4">
              <w:rPr>
                <w:rFonts w:asciiTheme="minorHAnsi" w:hAnsiTheme="minorHAnsi" w:cstheme="minorHAnsi"/>
              </w:rPr>
              <w:t xml:space="preserve"> (0.40) </w:t>
            </w:r>
          </w:p>
        </w:tc>
      </w:tr>
      <w:tr w:rsidR="00B54D51" w:rsidRPr="00037AD4" w14:paraId="5275A4BB" w14:textId="77777777" w:rsidTr="008F00F0">
        <w:tc>
          <w:tcPr>
            <w:tcW w:w="7418" w:type="dxa"/>
            <w:gridSpan w:val="4"/>
            <w:shd w:val="clear" w:color="auto" w:fill="auto"/>
          </w:tcPr>
          <w:p w14:paraId="35993AE8" w14:textId="77777777" w:rsidR="00B54D51" w:rsidRPr="00037AD4" w:rsidRDefault="00B54D51" w:rsidP="008F00F0">
            <w:pPr>
              <w:jc w:val="center"/>
              <w:rPr>
                <w:rFonts w:asciiTheme="minorHAnsi" w:hAnsiTheme="minorHAnsi" w:cstheme="minorHAnsi"/>
              </w:rPr>
            </w:pPr>
            <w:r w:rsidRPr="00037AD4">
              <w:rPr>
                <w:rFonts w:asciiTheme="minorHAnsi" w:hAnsiTheme="minorHAnsi" w:cstheme="minorHAnsi"/>
              </w:rPr>
              <w:t xml:space="preserve">Mean EQ-5D index score by residential status of PwD </w:t>
            </w:r>
          </w:p>
        </w:tc>
      </w:tr>
      <w:tr w:rsidR="00B54D51" w:rsidRPr="00037AD4" w14:paraId="783353CB" w14:textId="77777777" w:rsidTr="008F00F0">
        <w:tc>
          <w:tcPr>
            <w:tcW w:w="1865" w:type="dxa"/>
            <w:shd w:val="clear" w:color="auto" w:fill="E7E6E6" w:themeFill="background2"/>
          </w:tcPr>
          <w:p w14:paraId="063D7A98"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N, mean (SD) </w:t>
            </w:r>
          </w:p>
          <w:p w14:paraId="7F94D8D4" w14:textId="77777777" w:rsidR="00B54D51" w:rsidRPr="00037AD4" w:rsidRDefault="00B54D51" w:rsidP="008F00F0">
            <w:pPr>
              <w:rPr>
                <w:rFonts w:asciiTheme="minorHAnsi" w:hAnsiTheme="minorHAnsi" w:cstheme="minorHAnsi"/>
              </w:rPr>
            </w:pPr>
          </w:p>
        </w:tc>
        <w:tc>
          <w:tcPr>
            <w:tcW w:w="1833" w:type="dxa"/>
            <w:shd w:val="clear" w:color="auto" w:fill="E7E6E6" w:themeFill="background2"/>
          </w:tcPr>
          <w:p w14:paraId="0C4F4563"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Community dwelling </w:t>
            </w:r>
          </w:p>
        </w:tc>
        <w:tc>
          <w:tcPr>
            <w:tcW w:w="1911" w:type="dxa"/>
            <w:shd w:val="clear" w:color="auto" w:fill="E7E6E6" w:themeFill="background2"/>
          </w:tcPr>
          <w:p w14:paraId="5825B0EB"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Institutionalised </w:t>
            </w:r>
          </w:p>
        </w:tc>
        <w:tc>
          <w:tcPr>
            <w:tcW w:w="1809" w:type="dxa"/>
            <w:shd w:val="clear" w:color="auto" w:fill="E7E6E6" w:themeFill="background2"/>
          </w:tcPr>
          <w:p w14:paraId="39010BED"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Other </w:t>
            </w:r>
          </w:p>
        </w:tc>
      </w:tr>
      <w:tr w:rsidR="00B54D51" w:rsidRPr="00037AD4" w14:paraId="1FF013E6" w14:textId="77777777" w:rsidTr="008F00F0">
        <w:tc>
          <w:tcPr>
            <w:tcW w:w="1865" w:type="dxa"/>
          </w:tcPr>
          <w:p w14:paraId="642284A3"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PwD</w:t>
            </w:r>
          </w:p>
        </w:tc>
        <w:tc>
          <w:tcPr>
            <w:tcW w:w="1833" w:type="dxa"/>
          </w:tcPr>
          <w:p w14:paraId="1B473EA7" w14:textId="77777777" w:rsidR="00B54D51" w:rsidRPr="00037AD4" w:rsidRDefault="00B54D51" w:rsidP="008F00F0">
            <w:pPr>
              <w:rPr>
                <w:rFonts w:asciiTheme="minorHAnsi" w:hAnsiTheme="minorHAnsi" w:cstheme="minorHAnsi"/>
                <w:i/>
                <w:iCs/>
                <w:sz w:val="20"/>
                <w:szCs w:val="20"/>
              </w:rPr>
            </w:pPr>
            <w:r w:rsidRPr="00037AD4">
              <w:rPr>
                <w:rFonts w:asciiTheme="minorHAnsi" w:hAnsiTheme="minorHAnsi" w:cstheme="minorHAnsi"/>
                <w:i/>
                <w:iCs/>
                <w:sz w:val="20"/>
                <w:szCs w:val="20"/>
              </w:rPr>
              <w:t xml:space="preserve">n=2160 </w:t>
            </w:r>
          </w:p>
          <w:p w14:paraId="173B538E" w14:textId="77777777" w:rsidR="00B54D51" w:rsidRPr="00037AD4" w:rsidRDefault="00B54D51" w:rsidP="008F00F0">
            <w:pPr>
              <w:rPr>
                <w:rFonts w:asciiTheme="minorHAnsi" w:hAnsiTheme="minorHAnsi" w:cstheme="minorHAnsi"/>
              </w:rPr>
            </w:pPr>
            <w:r w:rsidRPr="00037AD4">
              <w:rPr>
                <w:rFonts w:asciiTheme="minorHAnsi" w:hAnsiTheme="minorHAnsi" w:cstheme="minorHAnsi"/>
                <w:b/>
                <w:bCs/>
              </w:rPr>
              <w:t>0.77</w:t>
            </w:r>
            <w:r w:rsidRPr="00037AD4">
              <w:rPr>
                <w:rFonts w:asciiTheme="minorHAnsi" w:hAnsiTheme="minorHAnsi" w:cstheme="minorHAnsi"/>
              </w:rPr>
              <w:t xml:space="preserve"> (0.22)</w:t>
            </w:r>
          </w:p>
        </w:tc>
        <w:tc>
          <w:tcPr>
            <w:tcW w:w="1911" w:type="dxa"/>
          </w:tcPr>
          <w:p w14:paraId="5A011B9E" w14:textId="77777777" w:rsidR="00B54D51" w:rsidRPr="00037AD4" w:rsidRDefault="00B54D51" w:rsidP="008F00F0">
            <w:pPr>
              <w:rPr>
                <w:rFonts w:asciiTheme="minorHAnsi" w:hAnsiTheme="minorHAnsi" w:cstheme="minorHAnsi"/>
                <w:i/>
                <w:iCs/>
                <w:sz w:val="20"/>
                <w:szCs w:val="20"/>
              </w:rPr>
            </w:pPr>
            <w:r w:rsidRPr="00037AD4">
              <w:rPr>
                <w:rFonts w:asciiTheme="minorHAnsi" w:hAnsiTheme="minorHAnsi" w:cstheme="minorHAnsi"/>
                <w:i/>
                <w:iCs/>
                <w:sz w:val="20"/>
                <w:szCs w:val="20"/>
              </w:rPr>
              <w:t>n=807</w:t>
            </w:r>
          </w:p>
          <w:p w14:paraId="778D5C9A" w14:textId="77777777" w:rsidR="00B54D51" w:rsidRPr="00037AD4" w:rsidRDefault="00B54D51" w:rsidP="008F00F0">
            <w:pPr>
              <w:rPr>
                <w:rFonts w:asciiTheme="minorHAnsi" w:hAnsiTheme="minorHAnsi" w:cstheme="minorHAnsi"/>
              </w:rPr>
            </w:pPr>
            <w:r w:rsidRPr="00037AD4">
              <w:rPr>
                <w:rFonts w:asciiTheme="minorHAnsi" w:hAnsiTheme="minorHAnsi" w:cstheme="minorHAnsi"/>
                <w:b/>
                <w:bCs/>
              </w:rPr>
              <w:t>0.80</w:t>
            </w:r>
            <w:r w:rsidRPr="00037AD4">
              <w:rPr>
                <w:rFonts w:asciiTheme="minorHAnsi" w:hAnsiTheme="minorHAnsi" w:cstheme="minorHAnsi"/>
              </w:rPr>
              <w:t xml:space="preserve"> (0.24)</w:t>
            </w:r>
          </w:p>
        </w:tc>
        <w:tc>
          <w:tcPr>
            <w:tcW w:w="1809" w:type="dxa"/>
          </w:tcPr>
          <w:p w14:paraId="052688D8" w14:textId="77777777" w:rsidR="00B54D51" w:rsidRPr="00037AD4" w:rsidRDefault="00B54D51" w:rsidP="008F00F0">
            <w:pPr>
              <w:rPr>
                <w:rFonts w:asciiTheme="minorHAnsi" w:hAnsiTheme="minorHAnsi" w:cstheme="minorHAnsi"/>
                <w:i/>
                <w:iCs/>
                <w:sz w:val="20"/>
                <w:szCs w:val="20"/>
              </w:rPr>
            </w:pPr>
            <w:r w:rsidRPr="00037AD4">
              <w:rPr>
                <w:rFonts w:asciiTheme="minorHAnsi" w:hAnsiTheme="minorHAnsi" w:cstheme="minorHAnsi"/>
                <w:i/>
                <w:iCs/>
                <w:sz w:val="20"/>
                <w:szCs w:val="20"/>
              </w:rPr>
              <w:t xml:space="preserve">n=53 </w:t>
            </w:r>
          </w:p>
          <w:p w14:paraId="325C748D" w14:textId="77777777" w:rsidR="00B54D51" w:rsidRPr="00037AD4" w:rsidRDefault="00B54D51" w:rsidP="008F00F0">
            <w:pPr>
              <w:rPr>
                <w:rFonts w:asciiTheme="minorHAnsi" w:hAnsiTheme="minorHAnsi" w:cstheme="minorHAnsi"/>
              </w:rPr>
            </w:pPr>
            <w:r w:rsidRPr="00037AD4">
              <w:rPr>
                <w:rFonts w:asciiTheme="minorHAnsi" w:hAnsiTheme="minorHAnsi" w:cstheme="minorHAnsi"/>
                <w:b/>
                <w:bCs/>
              </w:rPr>
              <w:t>0.72</w:t>
            </w:r>
            <w:r w:rsidRPr="00037AD4">
              <w:rPr>
                <w:rFonts w:asciiTheme="minorHAnsi" w:hAnsiTheme="minorHAnsi" w:cstheme="minorHAnsi"/>
              </w:rPr>
              <w:t xml:space="preserve"> (0.29)</w:t>
            </w:r>
          </w:p>
        </w:tc>
      </w:tr>
      <w:tr w:rsidR="00B54D51" w:rsidRPr="00037AD4" w14:paraId="36AF352F" w14:textId="77777777" w:rsidTr="008F00F0">
        <w:tc>
          <w:tcPr>
            <w:tcW w:w="1865" w:type="dxa"/>
          </w:tcPr>
          <w:p w14:paraId="58382DC1"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Informal proxy</w:t>
            </w:r>
          </w:p>
        </w:tc>
        <w:tc>
          <w:tcPr>
            <w:tcW w:w="1833" w:type="dxa"/>
          </w:tcPr>
          <w:p w14:paraId="7E401EB9" w14:textId="77777777" w:rsidR="00B54D51" w:rsidRPr="00037AD4" w:rsidRDefault="00B54D51" w:rsidP="008F00F0">
            <w:pPr>
              <w:rPr>
                <w:rFonts w:asciiTheme="minorHAnsi" w:hAnsiTheme="minorHAnsi" w:cstheme="minorHAnsi"/>
                <w:i/>
                <w:iCs/>
                <w:sz w:val="20"/>
                <w:szCs w:val="20"/>
              </w:rPr>
            </w:pPr>
            <w:r w:rsidRPr="00037AD4">
              <w:rPr>
                <w:rFonts w:asciiTheme="minorHAnsi" w:hAnsiTheme="minorHAnsi" w:cstheme="minorHAnsi"/>
                <w:i/>
                <w:iCs/>
                <w:sz w:val="20"/>
                <w:szCs w:val="20"/>
              </w:rPr>
              <w:t>n=2268</w:t>
            </w:r>
          </w:p>
          <w:p w14:paraId="7CE7A8B2" w14:textId="77777777" w:rsidR="00B54D51" w:rsidRPr="00037AD4" w:rsidRDefault="00B54D51" w:rsidP="008F00F0">
            <w:pPr>
              <w:rPr>
                <w:rFonts w:asciiTheme="minorHAnsi" w:hAnsiTheme="minorHAnsi" w:cstheme="minorHAnsi"/>
              </w:rPr>
            </w:pPr>
            <w:r w:rsidRPr="00037AD4">
              <w:rPr>
                <w:rFonts w:asciiTheme="minorHAnsi" w:hAnsiTheme="minorHAnsi" w:cstheme="minorHAnsi"/>
                <w:b/>
                <w:bCs/>
              </w:rPr>
              <w:t>0.59</w:t>
            </w:r>
            <w:r w:rsidRPr="00037AD4">
              <w:rPr>
                <w:rFonts w:asciiTheme="minorHAnsi" w:hAnsiTheme="minorHAnsi" w:cstheme="minorHAnsi"/>
              </w:rPr>
              <w:t xml:space="preserve"> (0.27)</w:t>
            </w:r>
          </w:p>
        </w:tc>
        <w:tc>
          <w:tcPr>
            <w:tcW w:w="1911" w:type="dxa"/>
          </w:tcPr>
          <w:p w14:paraId="5E3FC0DA" w14:textId="77777777" w:rsidR="00B54D51" w:rsidRPr="00037AD4" w:rsidRDefault="00B54D51" w:rsidP="008F00F0">
            <w:pPr>
              <w:rPr>
                <w:rFonts w:asciiTheme="minorHAnsi" w:hAnsiTheme="minorHAnsi" w:cstheme="minorHAnsi"/>
                <w:i/>
                <w:iCs/>
                <w:sz w:val="20"/>
                <w:szCs w:val="20"/>
              </w:rPr>
            </w:pPr>
            <w:r w:rsidRPr="00037AD4">
              <w:rPr>
                <w:rFonts w:asciiTheme="minorHAnsi" w:hAnsiTheme="minorHAnsi" w:cstheme="minorHAnsi"/>
                <w:i/>
                <w:iCs/>
                <w:sz w:val="20"/>
                <w:szCs w:val="20"/>
              </w:rPr>
              <w:t xml:space="preserve">n=414 </w:t>
            </w:r>
          </w:p>
          <w:p w14:paraId="4ED665B4" w14:textId="77777777" w:rsidR="00B54D51" w:rsidRPr="00037AD4" w:rsidRDefault="00B54D51" w:rsidP="008F00F0">
            <w:pPr>
              <w:rPr>
                <w:rFonts w:asciiTheme="minorHAnsi" w:hAnsiTheme="minorHAnsi" w:cstheme="minorHAnsi"/>
              </w:rPr>
            </w:pPr>
            <w:r w:rsidRPr="00037AD4">
              <w:rPr>
                <w:rFonts w:asciiTheme="minorHAnsi" w:hAnsiTheme="minorHAnsi" w:cstheme="minorHAnsi"/>
                <w:b/>
                <w:bCs/>
              </w:rPr>
              <w:t>0.30</w:t>
            </w:r>
            <w:r w:rsidRPr="00037AD4">
              <w:rPr>
                <w:rFonts w:asciiTheme="minorHAnsi" w:hAnsiTheme="minorHAnsi" w:cstheme="minorHAnsi"/>
              </w:rPr>
              <w:t xml:space="preserve"> (0.37)</w:t>
            </w:r>
          </w:p>
        </w:tc>
        <w:tc>
          <w:tcPr>
            <w:tcW w:w="1809" w:type="dxa"/>
          </w:tcPr>
          <w:p w14:paraId="1208838F" w14:textId="77777777" w:rsidR="00B54D51" w:rsidRPr="00037AD4" w:rsidRDefault="00B54D51" w:rsidP="008F00F0">
            <w:pPr>
              <w:rPr>
                <w:rFonts w:asciiTheme="minorHAnsi" w:hAnsiTheme="minorHAnsi" w:cstheme="minorHAnsi"/>
                <w:i/>
                <w:iCs/>
                <w:sz w:val="20"/>
                <w:szCs w:val="20"/>
              </w:rPr>
            </w:pPr>
            <w:r w:rsidRPr="00037AD4">
              <w:rPr>
                <w:rFonts w:asciiTheme="minorHAnsi" w:hAnsiTheme="minorHAnsi" w:cstheme="minorHAnsi"/>
                <w:i/>
                <w:iCs/>
                <w:sz w:val="20"/>
                <w:szCs w:val="20"/>
              </w:rPr>
              <w:t xml:space="preserve">n=53 </w:t>
            </w:r>
          </w:p>
          <w:p w14:paraId="6BABBE44" w14:textId="77777777" w:rsidR="00B54D51" w:rsidRPr="00037AD4" w:rsidRDefault="00B54D51" w:rsidP="008F00F0">
            <w:pPr>
              <w:rPr>
                <w:rFonts w:asciiTheme="minorHAnsi" w:hAnsiTheme="minorHAnsi" w:cstheme="minorHAnsi"/>
              </w:rPr>
            </w:pPr>
            <w:r w:rsidRPr="00037AD4">
              <w:rPr>
                <w:rFonts w:asciiTheme="minorHAnsi" w:hAnsiTheme="minorHAnsi" w:cstheme="minorHAnsi"/>
                <w:b/>
                <w:bCs/>
              </w:rPr>
              <w:t>0.60</w:t>
            </w:r>
            <w:r w:rsidRPr="00037AD4">
              <w:rPr>
                <w:rFonts w:asciiTheme="minorHAnsi" w:hAnsiTheme="minorHAnsi" w:cstheme="minorHAnsi"/>
              </w:rPr>
              <w:t xml:space="preserve"> (0.23)</w:t>
            </w:r>
          </w:p>
        </w:tc>
      </w:tr>
      <w:tr w:rsidR="00B54D51" w:rsidRPr="00037AD4" w14:paraId="3DCF41C1" w14:textId="77777777" w:rsidTr="008F00F0">
        <w:tc>
          <w:tcPr>
            <w:tcW w:w="1865" w:type="dxa"/>
          </w:tcPr>
          <w:p w14:paraId="7A9816ED"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Staff </w:t>
            </w:r>
          </w:p>
        </w:tc>
        <w:tc>
          <w:tcPr>
            <w:tcW w:w="1833" w:type="dxa"/>
          </w:tcPr>
          <w:p w14:paraId="37B46D8C"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n/a</w:t>
            </w:r>
          </w:p>
        </w:tc>
        <w:tc>
          <w:tcPr>
            <w:tcW w:w="1911" w:type="dxa"/>
          </w:tcPr>
          <w:p w14:paraId="1FDB599F" w14:textId="77777777" w:rsidR="00B54D51" w:rsidRPr="00037AD4" w:rsidRDefault="00B54D51" w:rsidP="008F00F0">
            <w:pPr>
              <w:rPr>
                <w:rFonts w:asciiTheme="minorHAnsi" w:hAnsiTheme="minorHAnsi" w:cstheme="minorHAnsi"/>
                <w:i/>
                <w:iCs/>
                <w:sz w:val="20"/>
                <w:szCs w:val="20"/>
              </w:rPr>
            </w:pPr>
            <w:r w:rsidRPr="00037AD4">
              <w:rPr>
                <w:rFonts w:asciiTheme="minorHAnsi" w:hAnsiTheme="minorHAnsi" w:cstheme="minorHAnsi"/>
                <w:i/>
                <w:iCs/>
                <w:sz w:val="20"/>
                <w:szCs w:val="20"/>
              </w:rPr>
              <w:t xml:space="preserve">n=1679 </w:t>
            </w:r>
          </w:p>
          <w:p w14:paraId="3D09E05C" w14:textId="77777777" w:rsidR="00B54D51" w:rsidRPr="00037AD4" w:rsidRDefault="00B54D51" w:rsidP="008F00F0">
            <w:pPr>
              <w:rPr>
                <w:rFonts w:asciiTheme="minorHAnsi" w:hAnsiTheme="minorHAnsi" w:cstheme="minorHAnsi"/>
              </w:rPr>
            </w:pPr>
            <w:r w:rsidRPr="00037AD4">
              <w:rPr>
                <w:rFonts w:asciiTheme="minorHAnsi" w:hAnsiTheme="minorHAnsi" w:cstheme="minorHAnsi"/>
                <w:b/>
                <w:bCs/>
              </w:rPr>
              <w:t>0.49</w:t>
            </w:r>
            <w:r w:rsidRPr="00037AD4">
              <w:rPr>
                <w:rFonts w:asciiTheme="minorHAnsi" w:hAnsiTheme="minorHAnsi" w:cstheme="minorHAnsi"/>
              </w:rPr>
              <w:t xml:space="preserve"> (0.41) </w:t>
            </w:r>
          </w:p>
        </w:tc>
        <w:tc>
          <w:tcPr>
            <w:tcW w:w="1809" w:type="dxa"/>
          </w:tcPr>
          <w:p w14:paraId="3EF0FAB8"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n/a</w:t>
            </w:r>
          </w:p>
        </w:tc>
      </w:tr>
      <w:tr w:rsidR="00B54D51" w:rsidRPr="00037AD4" w14:paraId="37ABECCB" w14:textId="77777777" w:rsidTr="008F00F0">
        <w:tc>
          <w:tcPr>
            <w:tcW w:w="7418" w:type="dxa"/>
            <w:gridSpan w:val="4"/>
            <w:shd w:val="clear" w:color="auto" w:fill="FFFFFF" w:themeFill="background1"/>
          </w:tcPr>
          <w:p w14:paraId="531A6BF1" w14:textId="77777777" w:rsidR="00B54D51" w:rsidRPr="00037AD4" w:rsidRDefault="00B54D51" w:rsidP="008F00F0">
            <w:pPr>
              <w:jc w:val="center"/>
              <w:rPr>
                <w:rFonts w:asciiTheme="minorHAnsi" w:hAnsiTheme="minorHAnsi" w:cstheme="minorHAnsi"/>
              </w:rPr>
            </w:pPr>
            <w:r w:rsidRPr="00037AD4">
              <w:rPr>
                <w:rFonts w:asciiTheme="minorHAnsi" w:hAnsiTheme="minorHAnsi" w:cstheme="minorHAnsi"/>
              </w:rPr>
              <w:t>Mean EQ-5D index score by trial</w:t>
            </w:r>
          </w:p>
        </w:tc>
      </w:tr>
      <w:tr w:rsidR="00B54D51" w:rsidRPr="00037AD4" w14:paraId="444B049C" w14:textId="77777777" w:rsidTr="008F00F0">
        <w:tc>
          <w:tcPr>
            <w:tcW w:w="1865" w:type="dxa"/>
            <w:shd w:val="clear" w:color="auto" w:fill="E7E6E6" w:themeFill="background2"/>
          </w:tcPr>
          <w:p w14:paraId="59A80555"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N, mean (SD) </w:t>
            </w:r>
          </w:p>
        </w:tc>
        <w:tc>
          <w:tcPr>
            <w:tcW w:w="1833" w:type="dxa"/>
            <w:shd w:val="clear" w:color="auto" w:fill="E7E6E6" w:themeFill="background2"/>
          </w:tcPr>
          <w:p w14:paraId="1DE162B3"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REMCARE</w:t>
            </w:r>
          </w:p>
        </w:tc>
        <w:tc>
          <w:tcPr>
            <w:tcW w:w="1911" w:type="dxa"/>
            <w:shd w:val="clear" w:color="auto" w:fill="E7E6E6" w:themeFill="background2"/>
          </w:tcPr>
          <w:p w14:paraId="6A94382E"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EPIC</w:t>
            </w:r>
          </w:p>
        </w:tc>
        <w:tc>
          <w:tcPr>
            <w:tcW w:w="1809" w:type="dxa"/>
            <w:shd w:val="clear" w:color="auto" w:fill="E7E6E6" w:themeFill="background2"/>
          </w:tcPr>
          <w:p w14:paraId="533C1DAB"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ACTIFCARE </w:t>
            </w:r>
          </w:p>
        </w:tc>
      </w:tr>
      <w:tr w:rsidR="00B54D51" w:rsidRPr="00037AD4" w14:paraId="1538F0D7" w14:textId="77777777" w:rsidTr="008F00F0">
        <w:tc>
          <w:tcPr>
            <w:tcW w:w="1865" w:type="dxa"/>
          </w:tcPr>
          <w:p w14:paraId="0CFCA633"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PwD  </w:t>
            </w:r>
          </w:p>
        </w:tc>
        <w:tc>
          <w:tcPr>
            <w:tcW w:w="1833" w:type="dxa"/>
          </w:tcPr>
          <w:p w14:paraId="5380979E" w14:textId="77777777" w:rsidR="00B54D51" w:rsidRPr="00037AD4" w:rsidRDefault="00B54D51" w:rsidP="008F00F0">
            <w:pPr>
              <w:rPr>
                <w:rFonts w:asciiTheme="minorHAnsi" w:hAnsiTheme="minorHAnsi" w:cstheme="minorHAnsi"/>
                <w:i/>
                <w:iCs/>
                <w:sz w:val="20"/>
                <w:szCs w:val="20"/>
              </w:rPr>
            </w:pPr>
            <w:r w:rsidRPr="00037AD4">
              <w:rPr>
                <w:rFonts w:asciiTheme="minorHAnsi" w:hAnsiTheme="minorHAnsi" w:cstheme="minorHAnsi"/>
                <w:i/>
                <w:iCs/>
                <w:sz w:val="20"/>
                <w:szCs w:val="20"/>
              </w:rPr>
              <w:t xml:space="preserve">n=1153 </w:t>
            </w:r>
          </w:p>
          <w:p w14:paraId="07455EDF" w14:textId="77777777" w:rsidR="00B54D51" w:rsidRPr="00037AD4" w:rsidRDefault="00B54D51" w:rsidP="008F00F0">
            <w:pPr>
              <w:rPr>
                <w:rFonts w:asciiTheme="minorHAnsi" w:hAnsiTheme="minorHAnsi" w:cstheme="minorHAnsi"/>
              </w:rPr>
            </w:pPr>
            <w:r w:rsidRPr="00037AD4">
              <w:rPr>
                <w:rFonts w:asciiTheme="minorHAnsi" w:hAnsiTheme="minorHAnsi" w:cstheme="minorHAnsi"/>
                <w:b/>
                <w:bCs/>
              </w:rPr>
              <w:t>0.77</w:t>
            </w:r>
            <w:r w:rsidRPr="00037AD4">
              <w:rPr>
                <w:rFonts w:asciiTheme="minorHAnsi" w:hAnsiTheme="minorHAnsi" w:cstheme="minorHAnsi"/>
              </w:rPr>
              <w:t xml:space="preserve"> (0.24)</w:t>
            </w:r>
          </w:p>
        </w:tc>
        <w:tc>
          <w:tcPr>
            <w:tcW w:w="1911" w:type="dxa"/>
          </w:tcPr>
          <w:p w14:paraId="0B5535A8" w14:textId="77777777" w:rsidR="00B54D51" w:rsidRPr="00037AD4" w:rsidRDefault="00B54D51" w:rsidP="008F00F0">
            <w:pPr>
              <w:rPr>
                <w:rFonts w:asciiTheme="minorHAnsi" w:hAnsiTheme="minorHAnsi" w:cstheme="minorHAnsi"/>
                <w:i/>
                <w:iCs/>
                <w:sz w:val="20"/>
                <w:szCs w:val="20"/>
              </w:rPr>
            </w:pPr>
            <w:r w:rsidRPr="00037AD4">
              <w:rPr>
                <w:rFonts w:asciiTheme="minorHAnsi" w:hAnsiTheme="minorHAnsi" w:cstheme="minorHAnsi"/>
                <w:i/>
                <w:iCs/>
                <w:sz w:val="20"/>
                <w:szCs w:val="20"/>
              </w:rPr>
              <w:t>n=762</w:t>
            </w:r>
          </w:p>
          <w:p w14:paraId="5EF81AB0" w14:textId="77777777" w:rsidR="00B54D51" w:rsidRPr="00037AD4" w:rsidRDefault="00B54D51" w:rsidP="008F00F0">
            <w:pPr>
              <w:rPr>
                <w:rFonts w:asciiTheme="minorHAnsi" w:hAnsiTheme="minorHAnsi" w:cstheme="minorHAnsi"/>
              </w:rPr>
            </w:pPr>
            <w:r w:rsidRPr="00037AD4">
              <w:rPr>
                <w:rFonts w:asciiTheme="minorHAnsi" w:hAnsiTheme="minorHAnsi" w:cstheme="minorHAnsi"/>
                <w:b/>
                <w:bCs/>
              </w:rPr>
              <w:t>0.80</w:t>
            </w:r>
            <w:r w:rsidRPr="00037AD4">
              <w:rPr>
                <w:rFonts w:asciiTheme="minorHAnsi" w:hAnsiTheme="minorHAnsi" w:cstheme="minorHAnsi"/>
              </w:rPr>
              <w:t xml:space="preserve"> (0.23)</w:t>
            </w:r>
          </w:p>
        </w:tc>
        <w:tc>
          <w:tcPr>
            <w:tcW w:w="1809" w:type="dxa"/>
          </w:tcPr>
          <w:p w14:paraId="6F24B5AA" w14:textId="77777777" w:rsidR="00B54D51" w:rsidRPr="00037AD4" w:rsidRDefault="00B54D51" w:rsidP="008F00F0">
            <w:pPr>
              <w:rPr>
                <w:rFonts w:asciiTheme="minorHAnsi" w:hAnsiTheme="minorHAnsi" w:cstheme="minorHAnsi"/>
                <w:i/>
                <w:iCs/>
                <w:sz w:val="20"/>
                <w:szCs w:val="20"/>
              </w:rPr>
            </w:pPr>
            <w:r w:rsidRPr="00037AD4">
              <w:rPr>
                <w:rFonts w:asciiTheme="minorHAnsi" w:hAnsiTheme="minorHAnsi" w:cstheme="minorHAnsi"/>
                <w:i/>
                <w:iCs/>
                <w:sz w:val="20"/>
                <w:szCs w:val="20"/>
              </w:rPr>
              <w:t xml:space="preserve">n=1105 </w:t>
            </w:r>
          </w:p>
          <w:p w14:paraId="6E5A31E4" w14:textId="77777777" w:rsidR="00B54D51" w:rsidRPr="00037AD4" w:rsidRDefault="00B54D51" w:rsidP="008F00F0">
            <w:pPr>
              <w:rPr>
                <w:rFonts w:asciiTheme="minorHAnsi" w:hAnsiTheme="minorHAnsi" w:cstheme="minorHAnsi"/>
              </w:rPr>
            </w:pPr>
            <w:r w:rsidRPr="00037AD4">
              <w:rPr>
                <w:rFonts w:asciiTheme="minorHAnsi" w:hAnsiTheme="minorHAnsi" w:cstheme="minorHAnsi"/>
                <w:b/>
                <w:bCs/>
              </w:rPr>
              <w:t>0.77</w:t>
            </w:r>
            <w:r w:rsidRPr="00037AD4">
              <w:rPr>
                <w:rFonts w:asciiTheme="minorHAnsi" w:hAnsiTheme="minorHAnsi" w:cstheme="minorHAnsi"/>
              </w:rPr>
              <w:t xml:space="preserve"> (0.21)</w:t>
            </w:r>
          </w:p>
        </w:tc>
      </w:tr>
      <w:tr w:rsidR="00B54D51" w:rsidRPr="00037AD4" w14:paraId="332701CA" w14:textId="77777777" w:rsidTr="008F00F0">
        <w:tc>
          <w:tcPr>
            <w:tcW w:w="1865" w:type="dxa"/>
          </w:tcPr>
          <w:p w14:paraId="447C2911"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Informal proxy</w:t>
            </w:r>
          </w:p>
        </w:tc>
        <w:tc>
          <w:tcPr>
            <w:tcW w:w="1833" w:type="dxa"/>
          </w:tcPr>
          <w:p w14:paraId="6A405D85" w14:textId="77777777" w:rsidR="00B54D51" w:rsidRPr="00037AD4" w:rsidRDefault="00B54D51" w:rsidP="008F00F0">
            <w:pPr>
              <w:rPr>
                <w:rFonts w:asciiTheme="minorHAnsi" w:hAnsiTheme="minorHAnsi" w:cstheme="minorHAnsi"/>
                <w:i/>
                <w:iCs/>
                <w:sz w:val="20"/>
                <w:szCs w:val="20"/>
              </w:rPr>
            </w:pPr>
            <w:r w:rsidRPr="00037AD4">
              <w:rPr>
                <w:rFonts w:asciiTheme="minorHAnsi" w:hAnsiTheme="minorHAnsi" w:cstheme="minorHAnsi"/>
                <w:i/>
                <w:iCs/>
                <w:sz w:val="20"/>
                <w:szCs w:val="20"/>
              </w:rPr>
              <w:t xml:space="preserve">n=1206 </w:t>
            </w:r>
          </w:p>
          <w:p w14:paraId="4250AA2F" w14:textId="77777777" w:rsidR="00B54D51" w:rsidRPr="00037AD4" w:rsidRDefault="00B54D51" w:rsidP="008F00F0">
            <w:pPr>
              <w:rPr>
                <w:rFonts w:asciiTheme="minorHAnsi" w:hAnsiTheme="minorHAnsi" w:cstheme="minorHAnsi"/>
              </w:rPr>
            </w:pPr>
            <w:r w:rsidRPr="00037AD4">
              <w:rPr>
                <w:rFonts w:asciiTheme="minorHAnsi" w:hAnsiTheme="minorHAnsi" w:cstheme="minorHAnsi"/>
                <w:b/>
                <w:bCs/>
              </w:rPr>
              <w:t>0.57</w:t>
            </w:r>
            <w:r w:rsidRPr="00037AD4">
              <w:rPr>
                <w:rFonts w:asciiTheme="minorHAnsi" w:hAnsiTheme="minorHAnsi" w:cstheme="minorHAnsi"/>
              </w:rPr>
              <w:t xml:space="preserve"> (0.29)</w:t>
            </w:r>
          </w:p>
        </w:tc>
        <w:tc>
          <w:tcPr>
            <w:tcW w:w="1911" w:type="dxa"/>
          </w:tcPr>
          <w:p w14:paraId="2B9D9203" w14:textId="77777777" w:rsidR="00B54D51" w:rsidRPr="00037AD4" w:rsidRDefault="00B54D51" w:rsidP="008F00F0">
            <w:pPr>
              <w:rPr>
                <w:rFonts w:asciiTheme="minorHAnsi" w:hAnsiTheme="minorHAnsi" w:cstheme="minorHAnsi"/>
                <w:i/>
                <w:iCs/>
                <w:sz w:val="20"/>
                <w:szCs w:val="20"/>
              </w:rPr>
            </w:pPr>
            <w:r w:rsidRPr="00037AD4">
              <w:rPr>
                <w:rFonts w:asciiTheme="minorHAnsi" w:hAnsiTheme="minorHAnsi" w:cstheme="minorHAnsi"/>
                <w:i/>
                <w:iCs/>
                <w:sz w:val="20"/>
                <w:szCs w:val="20"/>
              </w:rPr>
              <w:t xml:space="preserve">n=347 </w:t>
            </w:r>
          </w:p>
          <w:p w14:paraId="56F734C3" w14:textId="77777777" w:rsidR="00B54D51" w:rsidRPr="00037AD4" w:rsidRDefault="00B54D51" w:rsidP="008F00F0">
            <w:pPr>
              <w:rPr>
                <w:rFonts w:asciiTheme="minorHAnsi" w:hAnsiTheme="minorHAnsi" w:cstheme="minorHAnsi"/>
              </w:rPr>
            </w:pPr>
            <w:r w:rsidRPr="00037AD4">
              <w:rPr>
                <w:rFonts w:asciiTheme="minorHAnsi" w:hAnsiTheme="minorHAnsi" w:cstheme="minorHAnsi"/>
                <w:b/>
                <w:bCs/>
              </w:rPr>
              <w:t>0.27</w:t>
            </w:r>
            <w:r w:rsidRPr="00037AD4">
              <w:rPr>
                <w:rFonts w:asciiTheme="minorHAnsi" w:hAnsiTheme="minorHAnsi" w:cstheme="minorHAnsi"/>
              </w:rPr>
              <w:t xml:space="preserve"> (0.37)</w:t>
            </w:r>
          </w:p>
        </w:tc>
        <w:tc>
          <w:tcPr>
            <w:tcW w:w="1809" w:type="dxa"/>
          </w:tcPr>
          <w:p w14:paraId="64AFF51A" w14:textId="77777777" w:rsidR="00B54D51" w:rsidRPr="00037AD4" w:rsidRDefault="00B54D51" w:rsidP="008F00F0">
            <w:pPr>
              <w:rPr>
                <w:rFonts w:asciiTheme="minorHAnsi" w:hAnsiTheme="minorHAnsi" w:cstheme="minorHAnsi"/>
                <w:i/>
                <w:iCs/>
                <w:sz w:val="20"/>
                <w:szCs w:val="20"/>
              </w:rPr>
            </w:pPr>
            <w:r w:rsidRPr="00037AD4">
              <w:rPr>
                <w:rFonts w:asciiTheme="minorHAnsi" w:hAnsiTheme="minorHAnsi" w:cstheme="minorHAnsi"/>
                <w:i/>
                <w:iCs/>
                <w:sz w:val="20"/>
                <w:szCs w:val="20"/>
              </w:rPr>
              <w:t xml:space="preserve">n=1182 </w:t>
            </w:r>
          </w:p>
          <w:p w14:paraId="4D5AE599" w14:textId="77777777" w:rsidR="00B54D51" w:rsidRPr="00037AD4" w:rsidRDefault="00B54D51" w:rsidP="008F00F0">
            <w:pPr>
              <w:rPr>
                <w:rFonts w:asciiTheme="minorHAnsi" w:hAnsiTheme="minorHAnsi" w:cstheme="minorHAnsi"/>
              </w:rPr>
            </w:pPr>
            <w:r w:rsidRPr="00037AD4">
              <w:rPr>
                <w:rFonts w:asciiTheme="minorHAnsi" w:hAnsiTheme="minorHAnsi" w:cstheme="minorHAnsi"/>
                <w:b/>
                <w:bCs/>
              </w:rPr>
              <w:t>0.59</w:t>
            </w:r>
            <w:r w:rsidRPr="00037AD4">
              <w:rPr>
                <w:rFonts w:asciiTheme="minorHAnsi" w:hAnsiTheme="minorHAnsi" w:cstheme="minorHAnsi"/>
              </w:rPr>
              <w:t xml:space="preserve"> (0.26)</w:t>
            </w:r>
          </w:p>
        </w:tc>
      </w:tr>
      <w:tr w:rsidR="00B54D51" w:rsidRPr="00037AD4" w14:paraId="144F7E82" w14:textId="77777777" w:rsidTr="008F00F0">
        <w:tc>
          <w:tcPr>
            <w:tcW w:w="1865" w:type="dxa"/>
          </w:tcPr>
          <w:p w14:paraId="7A7C68BD"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Staff </w:t>
            </w:r>
          </w:p>
        </w:tc>
        <w:tc>
          <w:tcPr>
            <w:tcW w:w="1833" w:type="dxa"/>
          </w:tcPr>
          <w:p w14:paraId="11CB0A02"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n/a</w:t>
            </w:r>
          </w:p>
        </w:tc>
        <w:tc>
          <w:tcPr>
            <w:tcW w:w="1911" w:type="dxa"/>
          </w:tcPr>
          <w:p w14:paraId="354B9F35" w14:textId="77777777" w:rsidR="00B54D51" w:rsidRPr="00037AD4" w:rsidRDefault="00B54D51" w:rsidP="008F00F0">
            <w:pPr>
              <w:rPr>
                <w:rFonts w:asciiTheme="minorHAnsi" w:hAnsiTheme="minorHAnsi" w:cstheme="minorHAnsi"/>
                <w:i/>
                <w:iCs/>
                <w:sz w:val="20"/>
                <w:szCs w:val="20"/>
              </w:rPr>
            </w:pPr>
            <w:r w:rsidRPr="00037AD4">
              <w:rPr>
                <w:rFonts w:asciiTheme="minorHAnsi" w:hAnsiTheme="minorHAnsi" w:cstheme="minorHAnsi"/>
                <w:i/>
                <w:iCs/>
                <w:sz w:val="20"/>
                <w:szCs w:val="20"/>
              </w:rPr>
              <w:t xml:space="preserve">n=1679 </w:t>
            </w:r>
          </w:p>
          <w:p w14:paraId="31277BBD" w14:textId="77777777" w:rsidR="00B54D51" w:rsidRPr="00037AD4" w:rsidRDefault="00B54D51" w:rsidP="008F00F0">
            <w:pPr>
              <w:rPr>
                <w:rFonts w:asciiTheme="minorHAnsi" w:hAnsiTheme="minorHAnsi" w:cstheme="minorHAnsi"/>
              </w:rPr>
            </w:pPr>
            <w:r w:rsidRPr="00037AD4">
              <w:rPr>
                <w:rFonts w:asciiTheme="minorHAnsi" w:hAnsiTheme="minorHAnsi" w:cstheme="minorHAnsi"/>
                <w:b/>
                <w:bCs/>
              </w:rPr>
              <w:t>0.49</w:t>
            </w:r>
            <w:r w:rsidRPr="00037AD4">
              <w:rPr>
                <w:rFonts w:asciiTheme="minorHAnsi" w:hAnsiTheme="minorHAnsi" w:cstheme="minorHAnsi"/>
              </w:rPr>
              <w:t xml:space="preserve"> (0.41)</w:t>
            </w:r>
          </w:p>
        </w:tc>
        <w:tc>
          <w:tcPr>
            <w:tcW w:w="1809" w:type="dxa"/>
          </w:tcPr>
          <w:p w14:paraId="52C2C013"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n/a</w:t>
            </w:r>
          </w:p>
        </w:tc>
      </w:tr>
    </w:tbl>
    <w:p w14:paraId="48B50064" w14:textId="77777777" w:rsidR="00B54D51" w:rsidRPr="00037AD4" w:rsidRDefault="00B54D51" w:rsidP="00163913"/>
    <w:p w14:paraId="62DCDAE3" w14:textId="77777777" w:rsidR="00B54D51" w:rsidRPr="00037AD4" w:rsidRDefault="00B54D51" w:rsidP="00163913">
      <w:pPr>
        <w:rPr>
          <w:rFonts w:asciiTheme="majorHAnsi" w:hAnsiTheme="majorHAnsi" w:cstheme="majorHAnsi"/>
          <w:b/>
          <w:bCs/>
          <w:sz w:val="26"/>
          <w:szCs w:val="26"/>
          <w:u w:val="single"/>
        </w:rPr>
      </w:pPr>
      <w:r w:rsidRPr="00037AD4">
        <w:rPr>
          <w:rFonts w:asciiTheme="majorHAnsi" w:hAnsiTheme="majorHAnsi" w:cstheme="majorHAnsi"/>
          <w:b/>
          <w:bCs/>
          <w:sz w:val="26"/>
          <w:szCs w:val="26"/>
          <w:u w:val="single"/>
        </w:rPr>
        <w:t xml:space="preserve">5.4.6.1 Inter-rater agreement – EQ-5D index scores </w:t>
      </w:r>
    </w:p>
    <w:p w14:paraId="4DC61925" w14:textId="77777777" w:rsidR="00B54D51" w:rsidRPr="00037AD4" w:rsidRDefault="00B54D51" w:rsidP="005570B6">
      <w:pPr>
        <w:rPr>
          <w:rFonts w:asciiTheme="minorHAnsi" w:hAnsiTheme="minorHAnsi" w:cstheme="minorHAnsi"/>
        </w:rPr>
      </w:pPr>
    </w:p>
    <w:p w14:paraId="43BF82BF" w14:textId="77777777" w:rsidR="00B54D51" w:rsidRPr="00FB6EFE" w:rsidRDefault="00B54D51" w:rsidP="005570B6">
      <w:pPr>
        <w:rPr>
          <w:rFonts w:asciiTheme="minorHAnsi" w:hAnsiTheme="minorHAnsi" w:cstheme="minorHAnsi"/>
        </w:rPr>
      </w:pPr>
      <w:r w:rsidRPr="00037AD4">
        <w:rPr>
          <w:rFonts w:asciiTheme="minorHAnsi" w:hAnsiTheme="minorHAnsi" w:cstheme="minorHAnsi"/>
        </w:rPr>
        <w:t xml:space="preserve">The ICC was calculated to explore inter-rater agreement between PwD and proxy EQ-5D index scores. For PwD-informal proxy dyads the ICC indicates poor agreement (r=0.35); the ICC is slightly stronger in dyads of people with mild dementia and has a narrower confidence interval (r=0.36 [0.31-0.41]) </w:t>
      </w:r>
      <w:r w:rsidRPr="00FB6EFE">
        <w:rPr>
          <w:rFonts w:asciiTheme="minorHAnsi" w:hAnsiTheme="minorHAnsi" w:cstheme="minorHAnsi"/>
        </w:rPr>
        <w:t>compared with the moderate and severe stages (</w:t>
      </w:r>
      <w:hyperlink w:anchor="tablea53a" w:history="1">
        <w:r w:rsidRPr="00FB6EFE">
          <w:rPr>
            <w:rStyle w:val="Hyperlink"/>
            <w:rFonts w:asciiTheme="minorHAnsi" w:hAnsiTheme="minorHAnsi" w:cstheme="minorHAnsi"/>
            <w:color w:val="auto"/>
            <w:u w:val="none"/>
          </w:rPr>
          <w:t>see Table A5.3a in Appendix 5.3</w:t>
        </w:r>
      </w:hyperlink>
      <w:r w:rsidRPr="00FB6EFE">
        <w:rPr>
          <w:rFonts w:asciiTheme="minorHAnsi" w:hAnsiTheme="minorHAnsi" w:cstheme="minorHAnsi"/>
        </w:rPr>
        <w:t xml:space="preserve">). For PwD-staff proxy dyads, the ICC also reflects poor agreement (r=0.14). The ICC for this relationship is strongest in dyads of people with moderate dementia (r=0.21 [0.00-0.36]), although the confidence interval is wide and includes zero, indicating that the correlation observed at moderate dementia may not be statistically significantly different to the correlation for the other stages </w:t>
      </w:r>
      <w:hyperlink w:anchor="tablea53b" w:history="1">
        <w:r w:rsidRPr="00FB6EFE">
          <w:rPr>
            <w:rStyle w:val="Hyperlink"/>
            <w:rFonts w:asciiTheme="minorHAnsi" w:hAnsiTheme="minorHAnsi" w:cstheme="minorHAnsi"/>
            <w:color w:val="auto"/>
            <w:u w:val="none"/>
          </w:rPr>
          <w:t>(see Table A5.3.b in Appendix 5.3).</w:t>
        </w:r>
      </w:hyperlink>
      <w:r w:rsidRPr="00FB6EFE">
        <w:rPr>
          <w:rFonts w:asciiTheme="minorHAnsi" w:hAnsiTheme="minorHAnsi" w:cstheme="minorHAnsi"/>
        </w:rPr>
        <w:t xml:space="preserve"> </w:t>
      </w:r>
    </w:p>
    <w:p w14:paraId="2507BF37" w14:textId="77777777" w:rsidR="00B54D51" w:rsidRPr="00037AD4" w:rsidRDefault="00B54D51" w:rsidP="005570B6">
      <w:pPr>
        <w:rPr>
          <w:rFonts w:asciiTheme="minorHAnsi" w:hAnsiTheme="minorHAnsi" w:cstheme="minorHAnsi"/>
          <w:b/>
          <w:bCs/>
          <w:u w:val="single"/>
        </w:rPr>
      </w:pPr>
    </w:p>
    <w:p w14:paraId="353F750D" w14:textId="77777777" w:rsidR="00B54D51" w:rsidRPr="00037AD4" w:rsidRDefault="00B54D51" w:rsidP="005570B6">
      <w:pPr>
        <w:rPr>
          <w:rFonts w:asciiTheme="majorHAnsi" w:hAnsiTheme="majorHAnsi" w:cstheme="majorHAnsi"/>
          <w:b/>
          <w:bCs/>
          <w:sz w:val="26"/>
          <w:szCs w:val="26"/>
          <w:u w:val="single"/>
        </w:rPr>
      </w:pPr>
      <w:r w:rsidRPr="00037AD4">
        <w:rPr>
          <w:rFonts w:asciiTheme="majorHAnsi" w:hAnsiTheme="majorHAnsi" w:cstheme="majorHAnsi"/>
          <w:b/>
          <w:bCs/>
          <w:sz w:val="26"/>
          <w:szCs w:val="26"/>
          <w:u w:val="single"/>
        </w:rPr>
        <w:t xml:space="preserve">5.4.6.1.1 Bland Altman plots for inter-rater agreement </w:t>
      </w:r>
    </w:p>
    <w:p w14:paraId="5E7A45EB" w14:textId="77777777" w:rsidR="00B54D51" w:rsidRPr="00037AD4" w:rsidRDefault="00B54D51" w:rsidP="005570B6">
      <w:pPr>
        <w:rPr>
          <w:rFonts w:asciiTheme="minorHAnsi" w:hAnsiTheme="minorHAnsi" w:cstheme="minorHAnsi"/>
          <w:b/>
          <w:bCs/>
          <w:u w:val="single"/>
        </w:rPr>
      </w:pPr>
    </w:p>
    <w:p w14:paraId="13D92C2E" w14:textId="77777777" w:rsidR="00B54D51" w:rsidRPr="00037AD4" w:rsidRDefault="00B54D51" w:rsidP="00C90102">
      <w:pPr>
        <w:rPr>
          <w:rFonts w:asciiTheme="minorHAnsi" w:hAnsiTheme="minorHAnsi" w:cstheme="minorHAnsi"/>
        </w:rPr>
      </w:pPr>
      <w:r w:rsidRPr="00037AD4">
        <w:rPr>
          <w:rFonts w:asciiTheme="minorHAnsi" w:hAnsiTheme="minorHAnsi" w:cstheme="minorHAnsi"/>
        </w:rPr>
        <w:t xml:space="preserve">Figures 31a and 31b below are the Bland-Altman plots that have been constructed for comparing PwD-informal and PwD-staff proxy EQ-5D index scores. As outlined previously in </w:t>
      </w:r>
      <w:hyperlink w:anchor="Sec532" w:history="1">
        <w:r w:rsidRPr="00FB6EFE">
          <w:rPr>
            <w:rStyle w:val="Hyperlink"/>
            <w:rFonts w:asciiTheme="minorHAnsi" w:hAnsiTheme="minorHAnsi" w:cstheme="minorHAnsi"/>
            <w:color w:val="auto"/>
            <w:u w:val="none"/>
          </w:rPr>
          <w:t>Section 5.3.2,</w:t>
        </w:r>
      </w:hyperlink>
      <w:r w:rsidRPr="00FB6EFE">
        <w:rPr>
          <w:rFonts w:asciiTheme="minorHAnsi" w:hAnsiTheme="minorHAnsi" w:cstheme="minorHAnsi"/>
        </w:rPr>
        <w:t xml:space="preserve"> there are no pre-defined acceptable limits of agreement when comparing PwD-proxy EQ-5D </w:t>
      </w:r>
      <w:r w:rsidRPr="00037AD4">
        <w:rPr>
          <w:rFonts w:asciiTheme="minorHAnsi" w:hAnsiTheme="minorHAnsi" w:cstheme="minorHAnsi"/>
        </w:rPr>
        <w:t xml:space="preserve">index scores. Therefore, a range of +/- 0.2 was applied for the purposes of </w:t>
      </w:r>
      <w:r w:rsidRPr="00037AD4">
        <w:rPr>
          <w:rFonts w:asciiTheme="minorHAnsi" w:hAnsiTheme="minorHAnsi" w:cstheme="minorHAnsi"/>
        </w:rPr>
        <w:lastRenderedPageBreak/>
        <w:t xml:space="preserve">interpretation as is represented by the red lines on the figures. As shown in Figure 31a and 31b, both plot’s limit by far exceed this deviation. </w:t>
      </w:r>
    </w:p>
    <w:p w14:paraId="0D809218" w14:textId="77777777" w:rsidR="00B54D51" w:rsidRPr="00037AD4" w:rsidRDefault="00B54D51" w:rsidP="00C90102">
      <w:pPr>
        <w:rPr>
          <w:rFonts w:asciiTheme="minorHAnsi" w:hAnsiTheme="minorHAnsi" w:cstheme="minorHAnsi"/>
        </w:rPr>
      </w:pPr>
    </w:p>
    <w:p w14:paraId="18714ABC" w14:textId="77777777" w:rsidR="00B54D51" w:rsidRPr="00037AD4" w:rsidRDefault="00B54D51" w:rsidP="00C90102">
      <w:pPr>
        <w:rPr>
          <w:rFonts w:asciiTheme="minorHAnsi" w:hAnsiTheme="minorHAnsi" w:cstheme="minorHAnsi"/>
        </w:rPr>
      </w:pPr>
      <w:r w:rsidRPr="00037AD4">
        <w:rPr>
          <w:rFonts w:asciiTheme="minorHAnsi" w:hAnsiTheme="minorHAnsi" w:cstheme="minorHAnsi"/>
        </w:rPr>
        <w:t xml:space="preserve">Although there are no clear patterns in the differences of paired observations denoted within these plots, for comparisons with both proxy types, agreement is generally poor (with 7% of values falling outside of the 95% limits of agreement). Variability is inconsistent across the plots; the largest disagreement occurs approximately at an index score of 0.5, and the difference between measurements tends to get smaller as the average increases, with a cluster at EQ-5D index score one on the zero/perfect agreement line. </w:t>
      </w:r>
    </w:p>
    <w:p w14:paraId="4D4CC19F" w14:textId="77777777" w:rsidR="00B54D51" w:rsidRPr="00037AD4" w:rsidRDefault="00B54D51" w:rsidP="00C90102">
      <w:pPr>
        <w:rPr>
          <w:rFonts w:asciiTheme="minorHAnsi" w:hAnsiTheme="minorHAnsi" w:cstheme="minorHAnsi"/>
        </w:rPr>
      </w:pPr>
    </w:p>
    <w:p w14:paraId="14ACDADD" w14:textId="77777777" w:rsidR="00B54D51" w:rsidRPr="00037AD4" w:rsidRDefault="00B54D51" w:rsidP="00C90102">
      <w:pPr>
        <w:rPr>
          <w:rFonts w:asciiTheme="minorHAnsi" w:hAnsiTheme="minorHAnsi" w:cstheme="minorHAnsi"/>
        </w:rPr>
      </w:pPr>
      <w:r w:rsidRPr="00037AD4">
        <w:rPr>
          <w:rFonts w:asciiTheme="minorHAnsi" w:hAnsiTheme="minorHAnsi" w:cstheme="minorHAnsi"/>
        </w:rPr>
        <w:t xml:space="preserve">The pattern is similar for both proxy-types, although staff proxies have a slightly larger mean difference (0.21 vs 0.17) and therefore a wider limit of agreement. The plots were also constructed to observe any potential differences by dementia severity stage (for PwD-informal proxy dyads); the mean difference was larger in moderate dementia when compared to in mild dementia and had a wider limit of agreement. These plots did not </w:t>
      </w:r>
      <w:r w:rsidRPr="00FB6EFE">
        <w:rPr>
          <w:rFonts w:asciiTheme="minorHAnsi" w:hAnsiTheme="minorHAnsi" w:cstheme="minorHAnsi"/>
        </w:rPr>
        <w:t xml:space="preserve">indicate any important patterns by severity stage and are provided within </w:t>
      </w:r>
      <w:hyperlink w:anchor="A53" w:history="1">
        <w:r w:rsidRPr="00FB6EFE">
          <w:rPr>
            <w:rStyle w:val="Hyperlink"/>
            <w:rFonts w:asciiTheme="minorHAnsi" w:hAnsiTheme="minorHAnsi" w:cstheme="minorHAnsi"/>
            <w:color w:val="auto"/>
            <w:u w:val="none"/>
          </w:rPr>
          <w:t>Appendix 5.3.</w:t>
        </w:r>
      </w:hyperlink>
      <w:r w:rsidRPr="00037AD4">
        <w:rPr>
          <w:rFonts w:asciiTheme="minorHAnsi" w:hAnsiTheme="minorHAnsi" w:cstheme="minorHAnsi"/>
        </w:rPr>
        <w:t xml:space="preserve"> </w:t>
      </w:r>
    </w:p>
    <w:p w14:paraId="46550B8E" w14:textId="77777777" w:rsidR="00B54D51" w:rsidRPr="00037AD4" w:rsidRDefault="00B54D51" w:rsidP="00C90102">
      <w:pPr>
        <w:rPr>
          <w:rFonts w:asciiTheme="minorHAnsi" w:hAnsiTheme="minorHAnsi" w:cstheme="minorHAnsi"/>
        </w:rPr>
      </w:pPr>
    </w:p>
    <w:p w14:paraId="47A91410" w14:textId="77777777" w:rsidR="00B54D51" w:rsidRPr="00037AD4" w:rsidRDefault="00B54D51" w:rsidP="00C90102">
      <w:pPr>
        <w:rPr>
          <w:rFonts w:asciiTheme="minorHAnsi" w:hAnsiTheme="minorHAnsi" w:cstheme="minorHAnsi"/>
          <w:b/>
          <w:bCs/>
          <w:i/>
          <w:iCs/>
        </w:rPr>
      </w:pPr>
      <w:r w:rsidRPr="00037AD4">
        <w:rPr>
          <w:rFonts w:asciiTheme="minorHAnsi" w:hAnsiTheme="minorHAnsi" w:cstheme="minorHAnsi"/>
          <w:b/>
          <w:bCs/>
          <w:i/>
          <w:iCs/>
        </w:rPr>
        <w:t xml:space="preserve">Figure 31a, Bland-Altman plot for agreement between PwD-informal proxy EQ-5D index scores </w:t>
      </w:r>
    </w:p>
    <w:p w14:paraId="3C737C9C" w14:textId="77777777" w:rsidR="00B54D51" w:rsidRPr="00037AD4" w:rsidRDefault="00B54D51" w:rsidP="00C90102">
      <w:pPr>
        <w:rPr>
          <w:rFonts w:asciiTheme="minorHAnsi" w:hAnsiTheme="minorHAnsi" w:cstheme="minorHAnsi"/>
        </w:rPr>
      </w:pPr>
    </w:p>
    <w:p w14:paraId="35803B7F" w14:textId="6C01ED00" w:rsidR="00B54D51" w:rsidRPr="00037AD4" w:rsidRDefault="00B82EB5" w:rsidP="00C90102">
      <w:pPr>
        <w:rPr>
          <w:rFonts w:asciiTheme="minorHAnsi" w:hAnsiTheme="minorHAnsi" w:cstheme="minorHAnsi"/>
        </w:rPr>
      </w:pPr>
      <w:r w:rsidRPr="00037AD4">
        <w:rPr>
          <w:rFonts w:asciiTheme="minorHAnsi" w:hAnsiTheme="minorHAnsi" w:cstheme="minorHAnsi"/>
          <w:noProof/>
          <w:lang w:eastAsia="zh-CN"/>
        </w:rPr>
        <w:drawing>
          <wp:inline distT="0" distB="0" distL="0" distR="0" wp14:anchorId="20EE10D0" wp14:editId="5AD678BA">
            <wp:extent cx="5040000" cy="3600000"/>
            <wp:effectExtent l="0" t="0" r="1905" b="0"/>
            <wp:docPr id="101" name="Picture 101" descr="A graph of a number of individuals&#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 name="Picture 101" descr="A graph of a number of individuals&#10;&#10;Description automatically generated with medium confidence"/>
                    <pic:cNvPicPr/>
                  </pic:nvPicPr>
                  <pic:blipFill>
                    <a:blip r:embed="rId64">
                      <a:extLst>
                        <a:ext uri="{28A0092B-C50C-407E-A947-70E740481C1C}">
                          <a14:useLocalDpi xmlns:a14="http://schemas.microsoft.com/office/drawing/2010/main" val="0"/>
                        </a:ext>
                      </a:extLst>
                    </a:blip>
                    <a:stretch>
                      <a:fillRect/>
                    </a:stretch>
                  </pic:blipFill>
                  <pic:spPr>
                    <a:xfrm>
                      <a:off x="0" y="0"/>
                      <a:ext cx="5040000" cy="3600000"/>
                    </a:xfrm>
                    <a:prstGeom prst="rect">
                      <a:avLst/>
                    </a:prstGeom>
                  </pic:spPr>
                </pic:pic>
              </a:graphicData>
            </a:graphic>
          </wp:inline>
        </w:drawing>
      </w:r>
    </w:p>
    <w:p w14:paraId="13775447" w14:textId="77777777" w:rsidR="00B54D51" w:rsidRPr="00037AD4" w:rsidRDefault="00B54D51" w:rsidP="00C90102">
      <w:pPr>
        <w:rPr>
          <w:rFonts w:asciiTheme="minorHAnsi" w:hAnsiTheme="minorHAnsi" w:cstheme="minorHAnsi"/>
        </w:rPr>
      </w:pPr>
    </w:p>
    <w:p w14:paraId="63E8D2CD" w14:textId="77777777" w:rsidR="00B54D51" w:rsidRPr="00037AD4" w:rsidRDefault="00B54D51" w:rsidP="00C90102">
      <w:pPr>
        <w:rPr>
          <w:rFonts w:asciiTheme="minorHAnsi" w:hAnsiTheme="minorHAnsi" w:cstheme="minorHAnsi"/>
        </w:rPr>
      </w:pPr>
    </w:p>
    <w:p w14:paraId="75EBE659" w14:textId="77777777" w:rsidR="00B54D51" w:rsidRPr="00037AD4" w:rsidRDefault="00B54D51" w:rsidP="00C90102">
      <w:pPr>
        <w:rPr>
          <w:rFonts w:asciiTheme="minorHAnsi" w:hAnsiTheme="minorHAnsi" w:cstheme="minorHAnsi"/>
        </w:rPr>
      </w:pPr>
    </w:p>
    <w:p w14:paraId="75BAF753" w14:textId="77777777" w:rsidR="00B54D51" w:rsidRPr="00037AD4" w:rsidRDefault="00B54D51" w:rsidP="00C90102">
      <w:pPr>
        <w:rPr>
          <w:rFonts w:asciiTheme="minorHAnsi" w:hAnsiTheme="minorHAnsi" w:cstheme="minorHAnsi"/>
        </w:rPr>
      </w:pPr>
    </w:p>
    <w:p w14:paraId="74AAFEAF" w14:textId="3AD78036" w:rsidR="00B54D51" w:rsidRDefault="00B54D51" w:rsidP="00C90102">
      <w:pPr>
        <w:rPr>
          <w:rFonts w:asciiTheme="minorHAnsi" w:hAnsiTheme="minorHAnsi" w:cstheme="minorHAnsi"/>
        </w:rPr>
      </w:pPr>
    </w:p>
    <w:p w14:paraId="785E5C06" w14:textId="77777777" w:rsidR="00B77D6A" w:rsidRPr="00037AD4" w:rsidRDefault="00B77D6A" w:rsidP="00C90102">
      <w:pPr>
        <w:rPr>
          <w:rFonts w:asciiTheme="minorHAnsi" w:hAnsiTheme="minorHAnsi" w:cstheme="minorHAnsi"/>
        </w:rPr>
      </w:pPr>
    </w:p>
    <w:p w14:paraId="5EF968FF" w14:textId="77777777" w:rsidR="00B54D51" w:rsidRPr="00037AD4" w:rsidRDefault="00B54D51" w:rsidP="00C90102">
      <w:pPr>
        <w:rPr>
          <w:rFonts w:asciiTheme="minorHAnsi" w:hAnsiTheme="minorHAnsi" w:cstheme="minorHAnsi"/>
        </w:rPr>
      </w:pPr>
    </w:p>
    <w:p w14:paraId="213DEE5B" w14:textId="77777777" w:rsidR="00B54D51" w:rsidRPr="00037AD4" w:rsidRDefault="00B54D51" w:rsidP="00C90102">
      <w:pPr>
        <w:rPr>
          <w:rFonts w:asciiTheme="minorHAnsi" w:hAnsiTheme="minorHAnsi" w:cstheme="minorHAnsi"/>
          <w:b/>
          <w:bCs/>
          <w:i/>
          <w:iCs/>
        </w:rPr>
      </w:pPr>
      <w:r w:rsidRPr="00037AD4">
        <w:rPr>
          <w:rFonts w:asciiTheme="minorHAnsi" w:hAnsiTheme="minorHAnsi" w:cstheme="minorHAnsi"/>
          <w:b/>
          <w:bCs/>
          <w:i/>
          <w:iCs/>
        </w:rPr>
        <w:lastRenderedPageBreak/>
        <w:t xml:space="preserve">Figure 31b, Bland-Altman plot for agreement between PwD-staff proxy EQ-5D index scores </w:t>
      </w:r>
    </w:p>
    <w:p w14:paraId="5FEDEC3A" w14:textId="77777777" w:rsidR="00B54D51" w:rsidRPr="00037AD4" w:rsidRDefault="00B54D51" w:rsidP="00C90102">
      <w:pPr>
        <w:rPr>
          <w:rFonts w:asciiTheme="minorHAnsi" w:hAnsiTheme="minorHAnsi" w:cstheme="minorHAnsi"/>
        </w:rPr>
      </w:pPr>
    </w:p>
    <w:p w14:paraId="458C5EBD" w14:textId="5B1B51E1" w:rsidR="00B54D51" w:rsidRPr="00037AD4" w:rsidRDefault="00B82EB5" w:rsidP="00C90102">
      <w:pPr>
        <w:rPr>
          <w:rFonts w:asciiTheme="minorHAnsi" w:hAnsiTheme="minorHAnsi" w:cstheme="minorHAnsi"/>
        </w:rPr>
      </w:pPr>
      <w:r w:rsidRPr="00037AD4">
        <w:rPr>
          <w:rFonts w:asciiTheme="minorHAnsi" w:hAnsiTheme="minorHAnsi" w:cstheme="minorHAnsi"/>
          <w:noProof/>
          <w:lang w:eastAsia="zh-CN"/>
        </w:rPr>
        <w:drawing>
          <wp:inline distT="0" distB="0" distL="0" distR="0" wp14:anchorId="4221052C" wp14:editId="070DFA11">
            <wp:extent cx="5040000" cy="3600000"/>
            <wp:effectExtent l="0" t="0" r="1905" b="0"/>
            <wp:docPr id="102" name="Picture 102" descr="A graph showing the same number of points&#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 name="Picture 102" descr="A graph showing the same number of points&#10;&#10;Description automatically generated with medium confidence"/>
                    <pic:cNvPicPr/>
                  </pic:nvPicPr>
                  <pic:blipFill>
                    <a:blip r:embed="rId65">
                      <a:extLst>
                        <a:ext uri="{28A0092B-C50C-407E-A947-70E740481C1C}">
                          <a14:useLocalDpi xmlns:a14="http://schemas.microsoft.com/office/drawing/2010/main" val="0"/>
                        </a:ext>
                      </a:extLst>
                    </a:blip>
                    <a:stretch>
                      <a:fillRect/>
                    </a:stretch>
                  </pic:blipFill>
                  <pic:spPr>
                    <a:xfrm>
                      <a:off x="0" y="0"/>
                      <a:ext cx="5040000" cy="3600000"/>
                    </a:xfrm>
                    <a:prstGeom prst="rect">
                      <a:avLst/>
                    </a:prstGeom>
                  </pic:spPr>
                </pic:pic>
              </a:graphicData>
            </a:graphic>
          </wp:inline>
        </w:drawing>
      </w:r>
    </w:p>
    <w:p w14:paraId="351B4131" w14:textId="77777777" w:rsidR="00B54D51" w:rsidRPr="00037AD4" w:rsidRDefault="00B54D51" w:rsidP="005570B6">
      <w:pPr>
        <w:rPr>
          <w:rFonts w:asciiTheme="minorHAnsi" w:hAnsiTheme="minorHAnsi" w:cstheme="minorHAnsi"/>
          <w:b/>
          <w:bCs/>
          <w:u w:val="single"/>
        </w:rPr>
      </w:pPr>
    </w:p>
    <w:p w14:paraId="71A0C80B" w14:textId="77777777" w:rsidR="00B54D51" w:rsidRPr="00037AD4" w:rsidRDefault="00B54D51" w:rsidP="005570B6">
      <w:pPr>
        <w:rPr>
          <w:rFonts w:asciiTheme="majorHAnsi" w:hAnsiTheme="majorHAnsi" w:cstheme="majorHAnsi"/>
          <w:b/>
          <w:bCs/>
          <w:sz w:val="26"/>
          <w:szCs w:val="26"/>
          <w:u w:val="single"/>
        </w:rPr>
      </w:pPr>
      <w:r w:rsidRPr="00037AD4">
        <w:rPr>
          <w:rFonts w:asciiTheme="majorHAnsi" w:hAnsiTheme="majorHAnsi" w:cstheme="majorHAnsi"/>
          <w:b/>
          <w:bCs/>
          <w:sz w:val="26"/>
          <w:szCs w:val="26"/>
          <w:u w:val="single"/>
        </w:rPr>
        <w:t xml:space="preserve">5.4.6.1.2 Histograms for inter-rater agreement </w:t>
      </w:r>
    </w:p>
    <w:p w14:paraId="402746A2" w14:textId="77777777" w:rsidR="00B54D51" w:rsidRPr="00037AD4" w:rsidRDefault="00B54D51" w:rsidP="005570B6">
      <w:pPr>
        <w:rPr>
          <w:rFonts w:asciiTheme="minorHAnsi" w:hAnsiTheme="minorHAnsi" w:cstheme="minorHAnsi"/>
          <w:b/>
          <w:bCs/>
          <w:u w:val="single"/>
        </w:rPr>
      </w:pPr>
    </w:p>
    <w:p w14:paraId="3DCD7969" w14:textId="77777777" w:rsidR="00B54D51" w:rsidRPr="00037AD4" w:rsidRDefault="00B54D51" w:rsidP="00C90102">
      <w:pPr>
        <w:rPr>
          <w:rFonts w:asciiTheme="minorHAnsi" w:hAnsiTheme="minorHAnsi" w:cstheme="minorHAnsi"/>
        </w:rPr>
      </w:pPr>
      <w:r w:rsidRPr="00037AD4">
        <w:rPr>
          <w:rFonts w:asciiTheme="minorHAnsi" w:hAnsiTheme="minorHAnsi" w:cstheme="minorHAnsi"/>
        </w:rPr>
        <w:t xml:space="preserve">Figures 32a and 32b below are the histograms generated to represent absolute discrepancy scores between PwD-proxy EQ-5D index scores. Scores above zero (negative skew distribution) indicate that the PwD’s self-report is more optimistic, whereas scores below zero (positive skew distribution) represent a pessimistic PwD self-report (compared to proxy reports). For comparisons with both proxy types, the majority (approximately 70%) of discrepancy scores fall between -0.2 and +0.4, with a cluster of values around the zero mark (indicating no difference (around 9% for PwD-informal proxy and 4% for PwD-staff proxy discrepancy scores)). Of the discrepancy scores, over 70% were positive for comparisons with both proxy types. This indicates that the majority of proxies report negatively in comparison to the PwD (for both proxy types). However, the range of negative discrepancy scores extends further for informal proxies than for staff proxies (the lower limit reaches approximately -0.5 for staff proxies and -0.9 for informal proxies). </w:t>
      </w:r>
    </w:p>
    <w:p w14:paraId="0EB792B4" w14:textId="77777777" w:rsidR="00B54D51" w:rsidRPr="00037AD4" w:rsidRDefault="00B54D51" w:rsidP="00C90102">
      <w:pPr>
        <w:rPr>
          <w:rFonts w:asciiTheme="minorHAnsi" w:hAnsiTheme="minorHAnsi" w:cstheme="minorHAnsi"/>
        </w:rPr>
      </w:pPr>
    </w:p>
    <w:p w14:paraId="3383C9E6" w14:textId="77777777" w:rsidR="00B54D51" w:rsidRPr="00037AD4" w:rsidRDefault="00B54D51" w:rsidP="00C90102">
      <w:pPr>
        <w:rPr>
          <w:rFonts w:asciiTheme="minorHAnsi" w:hAnsiTheme="minorHAnsi" w:cstheme="minorHAnsi"/>
        </w:rPr>
      </w:pPr>
    </w:p>
    <w:p w14:paraId="61E55378" w14:textId="77777777" w:rsidR="00B54D51" w:rsidRPr="00037AD4" w:rsidRDefault="00B54D51" w:rsidP="00C90102">
      <w:pPr>
        <w:rPr>
          <w:rFonts w:asciiTheme="minorHAnsi" w:hAnsiTheme="minorHAnsi" w:cstheme="minorHAnsi"/>
        </w:rPr>
      </w:pPr>
    </w:p>
    <w:p w14:paraId="5BC59BAA" w14:textId="77777777" w:rsidR="00B54D51" w:rsidRPr="00037AD4" w:rsidRDefault="00B54D51" w:rsidP="00C90102">
      <w:pPr>
        <w:rPr>
          <w:rFonts w:asciiTheme="minorHAnsi" w:hAnsiTheme="minorHAnsi" w:cstheme="minorHAnsi"/>
        </w:rPr>
      </w:pPr>
    </w:p>
    <w:p w14:paraId="46F1AAC4" w14:textId="77777777" w:rsidR="00B54D51" w:rsidRPr="00037AD4" w:rsidRDefault="00B54D51" w:rsidP="00C90102">
      <w:pPr>
        <w:rPr>
          <w:rFonts w:asciiTheme="minorHAnsi" w:hAnsiTheme="minorHAnsi" w:cstheme="minorHAnsi"/>
        </w:rPr>
      </w:pPr>
    </w:p>
    <w:p w14:paraId="4030EB28" w14:textId="77777777" w:rsidR="00B54D51" w:rsidRPr="00037AD4" w:rsidRDefault="00B54D51" w:rsidP="00C90102">
      <w:pPr>
        <w:rPr>
          <w:rFonts w:asciiTheme="minorHAnsi" w:hAnsiTheme="minorHAnsi" w:cstheme="minorHAnsi"/>
        </w:rPr>
      </w:pPr>
    </w:p>
    <w:p w14:paraId="2F005574" w14:textId="7CD1C2E9" w:rsidR="00B54D51" w:rsidRDefault="00B54D51" w:rsidP="00C90102">
      <w:pPr>
        <w:rPr>
          <w:rFonts w:asciiTheme="minorHAnsi" w:hAnsiTheme="minorHAnsi" w:cstheme="minorHAnsi"/>
        </w:rPr>
      </w:pPr>
    </w:p>
    <w:p w14:paraId="162F52F1" w14:textId="77777777" w:rsidR="00B77D6A" w:rsidRPr="00037AD4" w:rsidRDefault="00B77D6A" w:rsidP="00C90102">
      <w:pPr>
        <w:rPr>
          <w:rFonts w:asciiTheme="minorHAnsi" w:hAnsiTheme="minorHAnsi" w:cstheme="minorHAnsi"/>
        </w:rPr>
      </w:pPr>
    </w:p>
    <w:p w14:paraId="3ADB0A06" w14:textId="77777777" w:rsidR="00B54D51" w:rsidRPr="00037AD4" w:rsidRDefault="00B54D51" w:rsidP="00C90102">
      <w:pPr>
        <w:rPr>
          <w:rFonts w:asciiTheme="minorHAnsi" w:hAnsiTheme="minorHAnsi" w:cstheme="minorHAnsi"/>
        </w:rPr>
      </w:pPr>
    </w:p>
    <w:p w14:paraId="001C5B94" w14:textId="77777777" w:rsidR="00B54D51" w:rsidRPr="00037AD4" w:rsidRDefault="00B54D51" w:rsidP="00C90102">
      <w:pPr>
        <w:rPr>
          <w:rFonts w:asciiTheme="minorHAnsi" w:hAnsiTheme="minorHAnsi" w:cstheme="minorHAnsi"/>
          <w:b/>
          <w:bCs/>
          <w:i/>
          <w:iCs/>
        </w:rPr>
      </w:pPr>
    </w:p>
    <w:p w14:paraId="5AF1F69C" w14:textId="77777777" w:rsidR="00B54D51" w:rsidRPr="00037AD4" w:rsidRDefault="00B54D51" w:rsidP="00C90102">
      <w:pPr>
        <w:rPr>
          <w:rFonts w:asciiTheme="minorHAnsi" w:hAnsiTheme="minorHAnsi" w:cstheme="minorHAnsi"/>
          <w:b/>
          <w:bCs/>
          <w:i/>
          <w:iCs/>
        </w:rPr>
      </w:pPr>
      <w:r w:rsidRPr="00037AD4">
        <w:rPr>
          <w:rFonts w:asciiTheme="minorHAnsi" w:hAnsiTheme="minorHAnsi" w:cstheme="minorHAnsi"/>
          <w:b/>
          <w:bCs/>
          <w:i/>
          <w:iCs/>
        </w:rPr>
        <w:lastRenderedPageBreak/>
        <w:t xml:space="preserve">Figure 32a, Histogram for absolute discrepancy scores, PwD-informal proxies </w:t>
      </w:r>
    </w:p>
    <w:p w14:paraId="0F8EA135" w14:textId="77777777" w:rsidR="00B54D51" w:rsidRPr="00037AD4" w:rsidRDefault="00B54D51" w:rsidP="00C90102">
      <w:pPr>
        <w:rPr>
          <w:rFonts w:asciiTheme="minorHAnsi" w:hAnsiTheme="minorHAnsi" w:cstheme="minorHAnsi"/>
        </w:rPr>
      </w:pPr>
    </w:p>
    <w:p w14:paraId="6DCB2AA5" w14:textId="12BD9A8D" w:rsidR="00B54D51" w:rsidRPr="00037AD4" w:rsidRDefault="00B82EB5" w:rsidP="00C90102">
      <w:pPr>
        <w:rPr>
          <w:rFonts w:asciiTheme="minorHAnsi" w:hAnsiTheme="minorHAnsi" w:cstheme="minorHAnsi"/>
        </w:rPr>
      </w:pPr>
      <w:r w:rsidRPr="00037AD4">
        <w:rPr>
          <w:rFonts w:asciiTheme="minorHAnsi" w:hAnsiTheme="minorHAnsi" w:cstheme="minorHAnsi"/>
          <w:noProof/>
          <w:lang w:eastAsia="zh-CN"/>
        </w:rPr>
        <w:drawing>
          <wp:inline distT="0" distB="0" distL="0" distR="0" wp14:anchorId="0EDEDDEE" wp14:editId="16F4AA9C">
            <wp:extent cx="3960000" cy="2880000"/>
            <wp:effectExtent l="0" t="0" r="2540" b="3175"/>
            <wp:docPr id="35" name="Picture 35" descr="Chart, histogram&#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Picture 20" descr="Chart, histogram&#10;&#10;Description automatically generated"/>
                    <pic:cNvPicPr/>
                  </pic:nvPicPr>
                  <pic:blipFill>
                    <a:blip r:embed="rId66">
                      <a:extLst>
                        <a:ext uri="{28A0092B-C50C-407E-A947-70E740481C1C}">
                          <a14:useLocalDpi xmlns:a14="http://schemas.microsoft.com/office/drawing/2010/main" val="0"/>
                        </a:ext>
                      </a:extLst>
                    </a:blip>
                    <a:stretch>
                      <a:fillRect/>
                    </a:stretch>
                  </pic:blipFill>
                  <pic:spPr>
                    <a:xfrm>
                      <a:off x="0" y="0"/>
                      <a:ext cx="3960000" cy="2880000"/>
                    </a:xfrm>
                    <a:prstGeom prst="rect">
                      <a:avLst/>
                    </a:prstGeom>
                  </pic:spPr>
                </pic:pic>
              </a:graphicData>
            </a:graphic>
          </wp:inline>
        </w:drawing>
      </w:r>
    </w:p>
    <w:p w14:paraId="262FE538" w14:textId="77777777" w:rsidR="00B54D51" w:rsidRPr="00037AD4" w:rsidRDefault="00B54D51" w:rsidP="00C90102">
      <w:pPr>
        <w:rPr>
          <w:rFonts w:asciiTheme="minorHAnsi" w:hAnsiTheme="minorHAnsi" w:cstheme="minorHAnsi"/>
          <w:u w:val="single"/>
        </w:rPr>
      </w:pPr>
    </w:p>
    <w:p w14:paraId="167950C4" w14:textId="77777777" w:rsidR="00B54D51" w:rsidRPr="00037AD4" w:rsidRDefault="00B54D51" w:rsidP="00C90102">
      <w:pPr>
        <w:rPr>
          <w:rFonts w:asciiTheme="minorHAnsi" w:hAnsiTheme="minorHAnsi" w:cstheme="minorHAnsi"/>
          <w:b/>
          <w:bCs/>
          <w:i/>
          <w:iCs/>
        </w:rPr>
      </w:pPr>
      <w:r w:rsidRPr="00037AD4">
        <w:rPr>
          <w:rFonts w:asciiTheme="minorHAnsi" w:hAnsiTheme="minorHAnsi" w:cstheme="minorHAnsi"/>
          <w:b/>
          <w:bCs/>
          <w:i/>
          <w:iCs/>
        </w:rPr>
        <w:t>Figure 32b, Histogram for absolute discrepancy scores, PwD-staff proxies</w:t>
      </w:r>
    </w:p>
    <w:p w14:paraId="471C2441" w14:textId="77777777" w:rsidR="00B54D51" w:rsidRPr="00037AD4" w:rsidRDefault="00B54D51" w:rsidP="00C90102">
      <w:pPr>
        <w:rPr>
          <w:rFonts w:asciiTheme="minorHAnsi" w:hAnsiTheme="minorHAnsi" w:cstheme="minorHAnsi"/>
          <w:b/>
          <w:bCs/>
          <w:u w:val="single"/>
        </w:rPr>
      </w:pPr>
    </w:p>
    <w:p w14:paraId="1DA79C2B" w14:textId="09BD6CB2" w:rsidR="00B54D51" w:rsidRPr="00037AD4" w:rsidRDefault="00B82EB5" w:rsidP="00C90102">
      <w:pPr>
        <w:rPr>
          <w:rFonts w:asciiTheme="minorHAnsi" w:hAnsiTheme="minorHAnsi" w:cstheme="minorHAnsi"/>
          <w:b/>
          <w:bCs/>
          <w:u w:val="single"/>
        </w:rPr>
      </w:pPr>
      <w:r w:rsidRPr="00F75A24">
        <w:rPr>
          <w:rFonts w:asciiTheme="minorHAnsi" w:hAnsiTheme="minorHAnsi" w:cstheme="minorHAnsi"/>
          <w:b/>
          <w:bCs/>
          <w:noProof/>
        </w:rPr>
        <w:drawing>
          <wp:inline distT="0" distB="0" distL="0" distR="0" wp14:anchorId="42FFADC0" wp14:editId="65B9645B">
            <wp:extent cx="3960000" cy="2880000"/>
            <wp:effectExtent l="0" t="0" r="2540" b="3175"/>
            <wp:docPr id="81" name="Picture 81" descr="A graph of a number of people&#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Picture 81" descr="A graph of a number of people&#10;&#10;Description automatically generated with medium confidence"/>
                    <pic:cNvPicPr/>
                  </pic:nvPicPr>
                  <pic:blipFill>
                    <a:blip r:embed="rId67">
                      <a:extLst>
                        <a:ext uri="{28A0092B-C50C-407E-A947-70E740481C1C}">
                          <a14:useLocalDpi xmlns:a14="http://schemas.microsoft.com/office/drawing/2010/main" val="0"/>
                        </a:ext>
                      </a:extLst>
                    </a:blip>
                    <a:stretch>
                      <a:fillRect/>
                    </a:stretch>
                  </pic:blipFill>
                  <pic:spPr>
                    <a:xfrm>
                      <a:off x="0" y="0"/>
                      <a:ext cx="3960000" cy="2880000"/>
                    </a:xfrm>
                    <a:prstGeom prst="rect">
                      <a:avLst/>
                    </a:prstGeom>
                  </pic:spPr>
                </pic:pic>
              </a:graphicData>
            </a:graphic>
          </wp:inline>
        </w:drawing>
      </w:r>
    </w:p>
    <w:p w14:paraId="421EED32" w14:textId="77777777" w:rsidR="00B54D51" w:rsidRPr="00037AD4" w:rsidRDefault="00B54D51" w:rsidP="005570B6">
      <w:pPr>
        <w:rPr>
          <w:rFonts w:asciiTheme="minorHAnsi" w:hAnsiTheme="minorHAnsi" w:cstheme="minorHAnsi"/>
        </w:rPr>
      </w:pPr>
    </w:p>
    <w:p w14:paraId="377E6D42" w14:textId="77777777" w:rsidR="00B54D51" w:rsidRPr="00037AD4" w:rsidRDefault="00B54D51" w:rsidP="00C90102">
      <w:pPr>
        <w:rPr>
          <w:rFonts w:asciiTheme="majorHAnsi" w:hAnsiTheme="majorHAnsi" w:cstheme="majorHAnsi"/>
          <w:b/>
          <w:bCs/>
          <w:sz w:val="26"/>
          <w:szCs w:val="26"/>
          <w:u w:val="single"/>
        </w:rPr>
      </w:pPr>
      <w:r w:rsidRPr="00037AD4">
        <w:rPr>
          <w:rFonts w:asciiTheme="majorHAnsi" w:hAnsiTheme="majorHAnsi" w:cstheme="majorHAnsi"/>
          <w:b/>
          <w:bCs/>
          <w:sz w:val="26"/>
          <w:szCs w:val="26"/>
          <w:u w:val="single"/>
        </w:rPr>
        <w:t xml:space="preserve">5.4.6.2 Responsiveness evidence – EQ-5D index scores  </w:t>
      </w:r>
    </w:p>
    <w:p w14:paraId="08324B81" w14:textId="77777777" w:rsidR="00B54D51" w:rsidRPr="00037AD4" w:rsidRDefault="00B54D51" w:rsidP="00C90102">
      <w:pPr>
        <w:rPr>
          <w:rFonts w:asciiTheme="minorHAnsi" w:hAnsiTheme="minorHAnsi" w:cstheme="minorHAnsi"/>
          <w:b/>
          <w:bCs/>
          <w:u w:val="single"/>
        </w:rPr>
      </w:pPr>
    </w:p>
    <w:p w14:paraId="0C875521" w14:textId="77777777" w:rsidR="00B54D51" w:rsidRPr="00FB6EFE" w:rsidRDefault="00000000" w:rsidP="00C90102">
      <w:pPr>
        <w:rPr>
          <w:rFonts w:asciiTheme="minorHAnsi" w:hAnsiTheme="minorHAnsi" w:cstheme="minorHAnsi"/>
        </w:rPr>
      </w:pPr>
      <w:hyperlink w:anchor="figa54a" w:history="1">
        <w:r w:rsidR="00B54D51" w:rsidRPr="00FB6EFE">
          <w:rPr>
            <w:rStyle w:val="Hyperlink"/>
            <w:rFonts w:asciiTheme="minorHAnsi" w:hAnsiTheme="minorHAnsi" w:cstheme="minorHAnsi"/>
            <w:color w:val="auto"/>
            <w:u w:val="none"/>
          </w:rPr>
          <w:t>Figures A5.4a</w:t>
        </w:r>
      </w:hyperlink>
      <w:r w:rsidR="00B54D51" w:rsidRPr="00FB6EFE">
        <w:rPr>
          <w:rFonts w:asciiTheme="minorHAnsi" w:hAnsiTheme="minorHAnsi" w:cstheme="minorHAnsi"/>
        </w:rPr>
        <w:t xml:space="preserve"> and </w:t>
      </w:r>
      <w:hyperlink w:anchor="figa54b" w:history="1">
        <w:r w:rsidR="00B54D51" w:rsidRPr="00FB6EFE">
          <w:rPr>
            <w:rStyle w:val="Hyperlink"/>
            <w:rFonts w:asciiTheme="minorHAnsi" w:hAnsiTheme="minorHAnsi" w:cstheme="minorHAnsi"/>
            <w:color w:val="auto"/>
            <w:u w:val="none"/>
          </w:rPr>
          <w:t>A5.4b</w:t>
        </w:r>
      </w:hyperlink>
      <w:r w:rsidR="00B54D51" w:rsidRPr="00FB6EFE">
        <w:rPr>
          <w:rFonts w:asciiTheme="minorHAnsi" w:hAnsiTheme="minorHAnsi" w:cstheme="minorHAnsi"/>
        </w:rPr>
        <w:t xml:space="preserve"> in </w:t>
      </w:r>
      <w:hyperlink w:anchor="A54" w:history="1">
        <w:r w:rsidR="00B54D51" w:rsidRPr="00FB6EFE">
          <w:rPr>
            <w:rStyle w:val="Hyperlink"/>
            <w:rFonts w:asciiTheme="minorHAnsi" w:hAnsiTheme="minorHAnsi" w:cstheme="minorHAnsi"/>
            <w:color w:val="auto"/>
            <w:u w:val="none"/>
          </w:rPr>
          <w:t>Appendix 5.4</w:t>
        </w:r>
      </w:hyperlink>
      <w:r w:rsidR="00B54D51" w:rsidRPr="00FB6EFE">
        <w:rPr>
          <w:rFonts w:asciiTheme="minorHAnsi" w:hAnsiTheme="minorHAnsi" w:cstheme="minorHAnsi"/>
        </w:rPr>
        <w:t xml:space="preserve"> show the effect size estimations for changes in EQ-5D index scores generated by the different respondent types, alongside changes in the dementia symptom measures. As shown, improvements in symptom measure scores do not translate to changes in EQ-5D index scores. For worsening symptom measure scores, informal and staff proxy responses produce above moderate effect sizes in line with worsening of CDR stage (of the PwD) – while PwD-self report does not. Similar effect sizes are produced alongside changes in function and NPI scores, although these do not reach the moderate effect size threshold. </w:t>
      </w:r>
    </w:p>
    <w:p w14:paraId="3ED98E7B" w14:textId="77777777" w:rsidR="00B54D51" w:rsidRPr="00037AD4" w:rsidRDefault="00B54D51" w:rsidP="00C90102">
      <w:pPr>
        <w:rPr>
          <w:rFonts w:asciiTheme="minorHAnsi" w:hAnsiTheme="minorHAnsi" w:cstheme="minorHAnsi"/>
        </w:rPr>
      </w:pPr>
    </w:p>
    <w:p w14:paraId="3B3BE711" w14:textId="77777777" w:rsidR="00B54D51" w:rsidRPr="00037AD4" w:rsidRDefault="00B54D51" w:rsidP="00C90102">
      <w:pPr>
        <w:rPr>
          <w:rFonts w:asciiTheme="minorHAnsi" w:hAnsiTheme="minorHAnsi" w:cstheme="minorHAnsi"/>
        </w:rPr>
      </w:pPr>
      <w:r w:rsidRPr="00037AD4">
        <w:rPr>
          <w:rFonts w:asciiTheme="minorHAnsi" w:hAnsiTheme="minorHAnsi" w:cstheme="minorHAnsi"/>
        </w:rPr>
        <w:t xml:space="preserve">Similar to the correlation of change evidence presented for each of the EQ-5D dimensions, the strength of the correlations for index score changes were generally low. The largest correlation coefficients observed were for those associated with BADLS changes (PwD, r=-0.18; informal proxy, r=-0.42). </w:t>
      </w:r>
      <w:hyperlink w:anchor="tablea54g" w:history="1">
        <w:r w:rsidRPr="00FB6EFE">
          <w:rPr>
            <w:rStyle w:val="Hyperlink"/>
            <w:rFonts w:asciiTheme="minorHAnsi" w:hAnsiTheme="minorHAnsi" w:cstheme="minorHAnsi"/>
            <w:color w:val="auto"/>
            <w:u w:val="none"/>
          </w:rPr>
          <w:t>See Table A5.4g in Appendix 5.4</w:t>
        </w:r>
      </w:hyperlink>
      <w:r w:rsidRPr="00FB6EFE">
        <w:rPr>
          <w:rFonts w:asciiTheme="minorHAnsi" w:hAnsiTheme="minorHAnsi" w:cstheme="minorHAnsi"/>
        </w:rPr>
        <w:t xml:space="preserve"> for the </w:t>
      </w:r>
      <w:r w:rsidRPr="00037AD4">
        <w:rPr>
          <w:rFonts w:asciiTheme="minorHAnsi" w:hAnsiTheme="minorHAnsi" w:cstheme="minorHAnsi"/>
        </w:rPr>
        <w:t xml:space="preserve">full results.  </w:t>
      </w:r>
    </w:p>
    <w:p w14:paraId="041C3D9D" w14:textId="77777777" w:rsidR="00B54D51" w:rsidRPr="00037AD4" w:rsidRDefault="00B54D51" w:rsidP="00C90102">
      <w:pPr>
        <w:rPr>
          <w:rFonts w:asciiTheme="minorHAnsi" w:hAnsiTheme="minorHAnsi" w:cstheme="minorHAnsi"/>
          <w:b/>
          <w:bCs/>
          <w:sz w:val="26"/>
          <w:szCs w:val="26"/>
          <w:u w:val="single"/>
        </w:rPr>
      </w:pPr>
    </w:p>
    <w:p w14:paraId="4A74599F" w14:textId="77777777" w:rsidR="00B54D51" w:rsidRPr="00037AD4" w:rsidRDefault="00B54D51" w:rsidP="007A43F9">
      <w:pPr>
        <w:pStyle w:val="Heading2"/>
      </w:pPr>
      <w:bookmarkStart w:id="368" w:name="Sec55"/>
      <w:bookmarkStart w:id="369" w:name="_Toc175742332"/>
      <w:r w:rsidRPr="00037AD4">
        <w:t>5.5 Discussion</w:t>
      </w:r>
      <w:bookmarkEnd w:id="369"/>
      <w:r w:rsidRPr="00037AD4">
        <w:t xml:space="preserve"> </w:t>
      </w:r>
    </w:p>
    <w:bookmarkEnd w:id="368"/>
    <w:p w14:paraId="6C9EFB55" w14:textId="77777777" w:rsidR="00B54D51" w:rsidRPr="00037AD4" w:rsidRDefault="00B54D51" w:rsidP="005570B6">
      <w:pPr>
        <w:rPr>
          <w:rFonts w:asciiTheme="minorHAnsi" w:hAnsiTheme="minorHAnsi" w:cstheme="minorHAnsi"/>
        </w:rPr>
      </w:pPr>
    </w:p>
    <w:p w14:paraId="2A1CCC2A" w14:textId="77777777" w:rsidR="00B54D51" w:rsidRPr="00037AD4" w:rsidRDefault="00B54D51" w:rsidP="00781965">
      <w:pPr>
        <w:rPr>
          <w:rFonts w:asciiTheme="minorHAnsi" w:hAnsiTheme="minorHAnsi" w:cstheme="minorHAnsi"/>
        </w:rPr>
      </w:pPr>
      <w:r w:rsidRPr="00037AD4">
        <w:rPr>
          <w:rFonts w:asciiTheme="minorHAnsi" w:hAnsiTheme="minorHAnsi" w:cstheme="minorHAnsi"/>
        </w:rPr>
        <w:t xml:space="preserve">This chapter provides evidence to help guide judgements about which respondent is the optimal choice for each of the EQ-5D dimensions when collected during dementia studies; defined as the respondent whose dimension-report is the most responsive to changes in condition measured by dementia symptom measures. To assess this, analyses were conducted on longitudinal data collected from three distinct dementia trials which included people with dementia across mainly mild and moderate stages, and of institutionalised and community dwelling residential settings. </w:t>
      </w:r>
    </w:p>
    <w:p w14:paraId="2DD12A78" w14:textId="77777777" w:rsidR="00B54D51" w:rsidRPr="00037AD4" w:rsidRDefault="00B54D51" w:rsidP="00781965">
      <w:pPr>
        <w:rPr>
          <w:rFonts w:asciiTheme="minorHAnsi" w:hAnsiTheme="minorHAnsi" w:cstheme="minorHAnsi"/>
        </w:rPr>
      </w:pPr>
    </w:p>
    <w:p w14:paraId="4C5714CF" w14:textId="77777777" w:rsidR="00B54D51" w:rsidRPr="00037AD4" w:rsidRDefault="00B54D51" w:rsidP="00781965">
      <w:pPr>
        <w:rPr>
          <w:rFonts w:asciiTheme="minorHAnsi" w:hAnsiTheme="minorHAnsi" w:cstheme="minorHAnsi"/>
        </w:rPr>
      </w:pPr>
      <w:r w:rsidRPr="00037AD4">
        <w:rPr>
          <w:rFonts w:asciiTheme="minorHAnsi" w:hAnsiTheme="minorHAnsi" w:cstheme="minorHAnsi"/>
        </w:rPr>
        <w:t>As previously discussed, there are specific challenges surrounding judgement, recall and comprehension that are associated with collecting HRQoL data from people with cognitive impairment. This has often led to the sole reliance on proxies for such information. Although the assessments made are still based on the PwD’s health state, this assumes that the PwD has no ability to accurately report their own HRQoL at any stage of dementia or on any dimension. This notion was discussed during the PPIE session (</w:t>
      </w:r>
      <w:r w:rsidRPr="00F75A24">
        <w:rPr>
          <w:rFonts w:asciiTheme="minorHAnsi" w:hAnsiTheme="minorHAnsi" w:cstheme="minorHAnsi"/>
        </w:rPr>
        <w:t xml:space="preserve">reported within </w:t>
      </w:r>
      <w:hyperlink w:anchor="_2.5_Patient_and" w:history="1">
        <w:r w:rsidRPr="00FB6EFE">
          <w:rPr>
            <w:rStyle w:val="Hyperlink"/>
            <w:rFonts w:asciiTheme="minorHAnsi" w:hAnsiTheme="minorHAnsi" w:cstheme="minorHAnsi"/>
            <w:color w:val="auto"/>
            <w:u w:val="none"/>
          </w:rPr>
          <w:t>Section 2.5</w:t>
        </w:r>
      </w:hyperlink>
      <w:r w:rsidRPr="00FB6EFE">
        <w:rPr>
          <w:rFonts w:asciiTheme="minorHAnsi" w:hAnsiTheme="minorHAnsi" w:cstheme="minorHAnsi"/>
        </w:rPr>
        <w:t xml:space="preserve">), where it was clear that the group, in particular the members with dementia, felt strongly </w:t>
      </w:r>
      <w:r w:rsidRPr="00037AD4">
        <w:rPr>
          <w:rFonts w:asciiTheme="minorHAnsi" w:hAnsiTheme="minorHAnsi" w:cstheme="minorHAnsi"/>
        </w:rPr>
        <w:t xml:space="preserve">that their responses should be considered when assessing their own HRQoL. Issues surrounding poor PwD-proxy inter-rater agreement have been repeatedly flagged within the literature (for example, </w:t>
      </w:r>
      <w:r>
        <w:rPr>
          <w:rFonts w:asciiTheme="minorHAnsi" w:hAnsiTheme="minorHAnsi" w:cstheme="minorHAnsi"/>
          <w:noProof/>
        </w:rPr>
        <w:t>(Pickard and Knight, 2005, Rand and Caiels, 2015, Keetharuth et al., 2022, Hounsome et al., 2011)</w:t>
      </w:r>
      <w:r w:rsidRPr="00037AD4">
        <w:rPr>
          <w:rFonts w:asciiTheme="minorHAnsi" w:hAnsiTheme="minorHAnsi" w:cstheme="minorHAnsi"/>
        </w:rPr>
        <w:t xml:space="preserve">). It is known that different respondents provide reports differently, however there is no indication regarding which respondent provides optimal reports. Therefore, for the interpretation of the results provided within this section regarding </w:t>
      </w:r>
      <w:r w:rsidRPr="00037AD4">
        <w:rPr>
          <w:rFonts w:asciiTheme="minorHAnsi" w:hAnsiTheme="minorHAnsi" w:cstheme="minorHAnsi"/>
          <w:i/>
          <w:iCs/>
        </w:rPr>
        <w:t>whose</w:t>
      </w:r>
      <w:r w:rsidRPr="00037AD4">
        <w:rPr>
          <w:rFonts w:asciiTheme="minorHAnsi" w:hAnsiTheme="minorHAnsi" w:cstheme="minorHAnsi"/>
        </w:rPr>
        <w:t xml:space="preserve"> reports to use per EQ-5D dimension, unless sufficient findings are presented to deviate from using the PwD’s self-report of their own health status, the PwD is retained as the default choice. </w:t>
      </w:r>
    </w:p>
    <w:p w14:paraId="43C63386" w14:textId="77777777" w:rsidR="00B54D51" w:rsidRPr="00037AD4" w:rsidRDefault="00B54D51" w:rsidP="00781965">
      <w:pPr>
        <w:rPr>
          <w:rFonts w:asciiTheme="minorHAnsi" w:hAnsiTheme="minorHAnsi" w:cstheme="minorHAnsi"/>
        </w:rPr>
      </w:pPr>
    </w:p>
    <w:p w14:paraId="25B36BDB" w14:textId="2E201A1F" w:rsidR="00B54D51" w:rsidRPr="00037AD4" w:rsidRDefault="00B54D51" w:rsidP="00781965">
      <w:pPr>
        <w:rPr>
          <w:rFonts w:asciiTheme="minorHAnsi" w:hAnsiTheme="minorHAnsi" w:cstheme="minorHAnsi"/>
        </w:rPr>
      </w:pPr>
      <w:r w:rsidRPr="00037AD4">
        <w:rPr>
          <w:rFonts w:asciiTheme="minorHAnsi" w:hAnsiTheme="minorHAnsi" w:cstheme="minorHAnsi"/>
        </w:rPr>
        <w:t xml:space="preserve">As highlighted in Chapter Four, there are specific challenges associated with data collection in dementia trials and studies, particularly when collecting longitudinal data from multiple respondents. The merged dataset included PwD-self reports, informal proxy reports and staff-proxy reports; however, acquiring three distinct sets of HRQoL data about one person may limit the feasibility of data collection, and increase resource use and researcher burden. Such challenges were observed within </w:t>
      </w:r>
      <w:r w:rsidR="009A0C82">
        <w:rPr>
          <w:rFonts w:asciiTheme="minorHAnsi" w:hAnsiTheme="minorHAnsi" w:cstheme="minorHAnsi"/>
        </w:rPr>
        <w:t>the</w:t>
      </w:r>
      <w:r w:rsidRPr="00037AD4">
        <w:rPr>
          <w:rFonts w:asciiTheme="minorHAnsi" w:hAnsiTheme="minorHAnsi" w:cstheme="minorHAnsi"/>
        </w:rPr>
        <w:t xml:space="preserve"> EPIC dataset, where it was highlighted that recruitment of informal proxies was considerably low, and the missingness of informal proxy reported EQ-5D data was high – particularly in contrast to that of staff proxies. In light of these pragmatic considerations, it is recommended that assigning respondents for EQ-5D dimension assessments should be based on the PwD’s residential status, whereby a single proxy-type is recruited as opposed to obtaining data from both informal and staff proxies for institutionalised people with dementia. The selected proxy assessor should be someone who knows the PwD, and their condition well and has direct (and if feasible) daily contact with the PwD. </w:t>
      </w:r>
    </w:p>
    <w:p w14:paraId="6F3D71AB" w14:textId="77777777" w:rsidR="00B54D51" w:rsidRPr="00037AD4" w:rsidRDefault="00B54D51" w:rsidP="00781965">
      <w:pPr>
        <w:rPr>
          <w:rFonts w:asciiTheme="minorHAnsi" w:hAnsiTheme="minorHAnsi" w:cstheme="minorHAnsi"/>
        </w:rPr>
      </w:pPr>
    </w:p>
    <w:p w14:paraId="233EA768" w14:textId="77777777" w:rsidR="00B54D51" w:rsidRPr="00037AD4" w:rsidRDefault="00B54D51" w:rsidP="00781965">
      <w:pPr>
        <w:rPr>
          <w:rFonts w:asciiTheme="minorHAnsi" w:hAnsiTheme="minorHAnsi" w:cstheme="minorHAnsi"/>
        </w:rPr>
      </w:pPr>
      <w:r w:rsidRPr="00037AD4">
        <w:rPr>
          <w:rFonts w:asciiTheme="minorHAnsi" w:hAnsiTheme="minorHAnsi" w:cstheme="minorHAnsi"/>
        </w:rPr>
        <w:t xml:space="preserve">Therefore, where the PwD is institutionalised, the recommended proxy is a member of care staff. As stated, the main steering factor is that the proxy should be someone who has close contact with the PwD and has an awareness of their relative condition, perspectives, and general performance. Members of care staff have this type of contact, they are generally on-site for researchers to attain HRQoL instrument data from (alongside the PwD), whereas data from informal proxies tended to be less frequently collected via face-to-face administration. Staff-proxy data also had significantly lower rates of missingness when </w:t>
      </w:r>
      <w:r w:rsidRPr="00FB6EFE">
        <w:rPr>
          <w:rFonts w:asciiTheme="minorHAnsi" w:hAnsiTheme="minorHAnsi" w:cstheme="minorHAnsi"/>
        </w:rPr>
        <w:t xml:space="preserve">compared to informal proxy data (observed via the descriptive analyses from the EPIC study, </w:t>
      </w:r>
      <w:hyperlink w:anchor="sec442" w:history="1">
        <w:r w:rsidRPr="00FB6EFE">
          <w:rPr>
            <w:rStyle w:val="Hyperlink"/>
            <w:rFonts w:asciiTheme="minorHAnsi" w:hAnsiTheme="minorHAnsi" w:cstheme="minorHAnsi"/>
            <w:color w:val="auto"/>
            <w:u w:val="none"/>
          </w:rPr>
          <w:t>see Section 4.4.2).</w:t>
        </w:r>
      </w:hyperlink>
      <w:r w:rsidRPr="00FB6EFE">
        <w:rPr>
          <w:rFonts w:asciiTheme="minorHAnsi" w:hAnsiTheme="minorHAnsi" w:cstheme="minorHAnsi"/>
        </w:rPr>
        <w:t xml:space="preserve"> </w:t>
      </w:r>
      <w:r w:rsidRPr="00037AD4">
        <w:rPr>
          <w:rFonts w:asciiTheme="minorHAnsi" w:hAnsiTheme="minorHAnsi" w:cstheme="minorHAnsi"/>
        </w:rPr>
        <w:t xml:space="preserve">For community-dwelling people with dementia, the proxy-respondent should be an informal proxy (family member or friend) that ideally lives with the PwD or has direct regular contact, as opposed to a health-care professional or visiting professional caregiver with minimal interaction and relative condition awareness. </w:t>
      </w:r>
    </w:p>
    <w:p w14:paraId="35A9050B" w14:textId="77777777" w:rsidR="00B54D51" w:rsidRPr="00037AD4" w:rsidRDefault="00B54D51" w:rsidP="005570B6">
      <w:pPr>
        <w:rPr>
          <w:rFonts w:asciiTheme="minorHAnsi" w:hAnsiTheme="minorHAnsi" w:cstheme="minorHAnsi"/>
        </w:rPr>
      </w:pPr>
    </w:p>
    <w:p w14:paraId="30333CAE" w14:textId="77777777" w:rsidR="00B54D51" w:rsidRPr="00037AD4" w:rsidRDefault="00B54D51" w:rsidP="007A43F9">
      <w:pPr>
        <w:pStyle w:val="Heading3"/>
      </w:pPr>
      <w:bookmarkStart w:id="370" w:name="_Toc175742333"/>
      <w:r w:rsidRPr="00037AD4">
        <w:t>5.5.1 Objective one: interpretation of change analysis</w:t>
      </w:r>
      <w:bookmarkEnd w:id="370"/>
      <w:r w:rsidRPr="00037AD4">
        <w:t xml:space="preserve">   </w:t>
      </w:r>
    </w:p>
    <w:p w14:paraId="38ABB634" w14:textId="77777777" w:rsidR="00B54D51" w:rsidRPr="00037AD4" w:rsidRDefault="00B54D51" w:rsidP="00781965">
      <w:pPr>
        <w:rPr>
          <w:rFonts w:asciiTheme="minorHAnsi" w:hAnsiTheme="minorHAnsi" w:cstheme="minorHAnsi"/>
          <w:b/>
          <w:bCs/>
          <w:u w:val="single"/>
        </w:rPr>
      </w:pPr>
    </w:p>
    <w:p w14:paraId="2E79BE4F" w14:textId="77777777" w:rsidR="00B54D51" w:rsidRPr="00037AD4" w:rsidRDefault="00B54D51" w:rsidP="00781965">
      <w:pPr>
        <w:rPr>
          <w:rFonts w:asciiTheme="minorHAnsi" w:hAnsiTheme="minorHAnsi" w:cstheme="minorHAnsi"/>
        </w:rPr>
      </w:pPr>
      <w:r w:rsidRPr="00037AD4">
        <w:rPr>
          <w:rFonts w:asciiTheme="minorHAnsi" w:hAnsiTheme="minorHAnsi" w:cstheme="minorHAnsi"/>
        </w:rPr>
        <w:t xml:space="preserve">Objective one centred on identifying which respondent’s EQ-5D dimension reports most accurately reflected change in dementia symptom status. Methods of analysing change in dimension-ratings of dyads and responsiveness of reports were applied to explore this objective; and the methods were also applied to EQ-5D index scores. </w:t>
      </w:r>
    </w:p>
    <w:p w14:paraId="0F86B93D" w14:textId="77777777" w:rsidR="00B54D51" w:rsidRPr="00037AD4" w:rsidRDefault="00B54D51" w:rsidP="00781965">
      <w:pPr>
        <w:rPr>
          <w:rFonts w:asciiTheme="minorHAnsi" w:hAnsiTheme="minorHAnsi" w:cstheme="minorHAnsi"/>
        </w:rPr>
      </w:pPr>
    </w:p>
    <w:p w14:paraId="3E7D1926" w14:textId="77777777" w:rsidR="00B54D51" w:rsidRPr="00037AD4" w:rsidRDefault="00B54D51" w:rsidP="00781965">
      <w:pPr>
        <w:rPr>
          <w:rFonts w:asciiTheme="minorHAnsi" w:hAnsiTheme="minorHAnsi" w:cstheme="minorHAnsi"/>
        </w:rPr>
      </w:pPr>
      <w:r w:rsidRPr="00037AD4">
        <w:rPr>
          <w:rFonts w:asciiTheme="minorHAnsi" w:hAnsiTheme="minorHAnsi" w:cstheme="minorHAnsi"/>
        </w:rPr>
        <w:t xml:space="preserve">For the “mobility” dimension, the direction of change evidence reported in </w:t>
      </w:r>
      <w:hyperlink w:anchor="Sec5411" w:history="1">
        <w:r w:rsidRPr="00FB6EFE">
          <w:rPr>
            <w:rStyle w:val="Hyperlink"/>
            <w:rFonts w:asciiTheme="minorHAnsi" w:hAnsiTheme="minorHAnsi" w:cstheme="minorHAnsi"/>
            <w:color w:val="auto"/>
            <w:u w:val="none"/>
          </w:rPr>
          <w:t>Section 5.4.1.1</w:t>
        </w:r>
      </w:hyperlink>
      <w:r w:rsidRPr="00FB6EFE">
        <w:rPr>
          <w:rFonts w:asciiTheme="minorHAnsi" w:hAnsiTheme="minorHAnsi" w:cstheme="minorHAnsi"/>
        </w:rPr>
        <w:t xml:space="preserve"> </w:t>
      </w:r>
      <w:r w:rsidRPr="00037AD4">
        <w:rPr>
          <w:rFonts w:asciiTheme="minorHAnsi" w:hAnsiTheme="minorHAnsi" w:cstheme="minorHAnsi"/>
        </w:rPr>
        <w:t xml:space="preserve">showed that while the largest proportion of informal proxy dimension reports of worsened health status corresponded with worsened functional outcomes, a large proportion (approximately 62%) of informal proxy reports of an improvement in “mobility” were in cases where the PwD’s function had worsened, indicating that informal proxy reports may not be valid. The largest proportion (around 60%) of staff proxy reports of no change in “mobility” corresponded with stable functional status when compared with the other respondents. Informal proxy “mobility” reports were only slightly more responsive than PwD self-reports, with effect size estimates of -0.34 for people with dementia and -0.36 for informal proxies where CDR had worsened, both of which do not meet the minimum threshold value for consideration. Whereas for staff proxy “mobility” reports, the effect size estimates were moderate alongside changes in CDR (-0.56) and function (-0.49).  </w:t>
      </w:r>
    </w:p>
    <w:p w14:paraId="603AA54A" w14:textId="77777777" w:rsidR="00B54D51" w:rsidRPr="00037AD4" w:rsidRDefault="00B54D51" w:rsidP="00781965">
      <w:pPr>
        <w:rPr>
          <w:rFonts w:asciiTheme="minorHAnsi" w:hAnsiTheme="minorHAnsi" w:cstheme="minorHAnsi"/>
        </w:rPr>
      </w:pPr>
    </w:p>
    <w:p w14:paraId="44E3E398" w14:textId="77777777" w:rsidR="00B54D51" w:rsidRPr="00037AD4" w:rsidRDefault="00B54D51" w:rsidP="00781965">
      <w:pPr>
        <w:rPr>
          <w:rFonts w:asciiTheme="minorHAnsi" w:hAnsiTheme="minorHAnsi" w:cstheme="minorHAnsi"/>
        </w:rPr>
      </w:pPr>
      <w:r w:rsidRPr="00037AD4">
        <w:rPr>
          <w:rFonts w:asciiTheme="minorHAnsi" w:hAnsiTheme="minorHAnsi" w:cstheme="minorHAnsi"/>
        </w:rPr>
        <w:t xml:space="preserve">For the “self-care” dimension, the direction of change evidence reported </w:t>
      </w:r>
      <w:r w:rsidRPr="00FB6EFE">
        <w:rPr>
          <w:rFonts w:asciiTheme="minorHAnsi" w:hAnsiTheme="minorHAnsi" w:cstheme="minorHAnsi"/>
        </w:rPr>
        <w:t xml:space="preserve">in </w:t>
      </w:r>
      <w:hyperlink w:anchor="Sec5421" w:history="1">
        <w:r w:rsidRPr="00FB6EFE">
          <w:rPr>
            <w:rStyle w:val="Hyperlink"/>
            <w:rFonts w:asciiTheme="minorHAnsi" w:hAnsiTheme="minorHAnsi" w:cstheme="minorHAnsi"/>
            <w:color w:val="auto"/>
            <w:u w:val="none"/>
          </w:rPr>
          <w:t>Section 5.4.2.1</w:t>
        </w:r>
      </w:hyperlink>
      <w:r w:rsidRPr="00FB6EFE">
        <w:rPr>
          <w:rFonts w:asciiTheme="minorHAnsi" w:hAnsiTheme="minorHAnsi" w:cstheme="minorHAnsi"/>
        </w:rPr>
        <w:t xml:space="preserve"> was </w:t>
      </w:r>
      <w:r w:rsidRPr="00037AD4">
        <w:rPr>
          <w:rFonts w:asciiTheme="minorHAnsi" w:hAnsiTheme="minorHAnsi" w:cstheme="minorHAnsi"/>
        </w:rPr>
        <w:t>stronger for informal and staff proxy reports, when compared with PwD self-reports. Alongside worsening in functional scores, the greatest proportion of informal proxy dimension-reports (respectively) corresponded, and for stability in function, the greatest proportion of staff proxy dimension reports reflected no change. Alongside changes in CDR, worsening in condition saw the greatest proportion of corresponding staff “self-care” dimension reports (and for stability, by informal proxy reports). The patterns were relatively similar for changes alongside behaviour/mood status, although a larger proportion of proxy reports (approximately 50% for informal and 53% for staff proxies, vs. around 29% for people with dementia self-ratings) of an improvement in this dimension corresponded with improved behaviour/mood. The responsiveness evidence shows that where the PwD’s CDR and function had progressed, informal and staff proxy effect size estimates were moderate-</w:t>
      </w:r>
      <w:r w:rsidRPr="00037AD4">
        <w:rPr>
          <w:rFonts w:asciiTheme="minorHAnsi" w:hAnsiTheme="minorHAnsi" w:cstheme="minorHAnsi"/>
        </w:rPr>
        <w:lastRenderedPageBreak/>
        <w:t xml:space="preserve">to-large (informal proxy: CDR, -0.66, function, -0.49; staff proxy: CDR, -0.72, function, -0.61) – in contrast to the weak effect sizes observed for PwD self-reports. </w:t>
      </w:r>
    </w:p>
    <w:p w14:paraId="759F24A5" w14:textId="7BB3CBA2" w:rsidR="00B54D51" w:rsidRPr="00037AD4" w:rsidRDefault="00B54D51" w:rsidP="00781965">
      <w:pPr>
        <w:rPr>
          <w:rFonts w:asciiTheme="minorHAnsi" w:hAnsiTheme="minorHAnsi" w:cstheme="minorHAnsi"/>
        </w:rPr>
      </w:pPr>
      <w:r w:rsidRPr="00037AD4">
        <w:rPr>
          <w:rFonts w:asciiTheme="minorHAnsi" w:hAnsiTheme="minorHAnsi" w:cstheme="minorHAnsi"/>
        </w:rPr>
        <w:t xml:space="preserve">For the “usual activities” dimension, informal and staff proxy reports were more aligned with clinical changes when compared with PwD self-reports. Where a large proportion (approximately 68%) of people with dementia had reported an improvement in this dimension, their functional score had actually worsened. Informal proxies reported the most worsening in line with functional progression (around 74%), while staff proxies reported the most stable dimension-scores where PwD function has remained the same (approximately 53%). Where CDR has progressed, more staff proxy reports of “usual activities” reflect this change (51%). Informal and staff proxy reports were more responsive to changes in CDR stage than PwD self-reports were and produced moderate-to-large effect sizes (informal proxy, -0.66; staff proxy, -0.64; PwD, -0.11). </w:t>
      </w:r>
    </w:p>
    <w:p w14:paraId="754DB364" w14:textId="77777777" w:rsidR="00B54D51" w:rsidRPr="00037AD4" w:rsidRDefault="00B54D51" w:rsidP="00781965">
      <w:pPr>
        <w:rPr>
          <w:rFonts w:asciiTheme="minorHAnsi" w:hAnsiTheme="minorHAnsi" w:cstheme="minorHAnsi"/>
        </w:rPr>
      </w:pPr>
    </w:p>
    <w:p w14:paraId="40E8016F" w14:textId="77777777" w:rsidR="00B54D51" w:rsidRPr="00037AD4" w:rsidRDefault="00B54D51" w:rsidP="00781965">
      <w:pPr>
        <w:rPr>
          <w:rFonts w:asciiTheme="minorHAnsi" w:hAnsiTheme="minorHAnsi" w:cstheme="minorHAnsi"/>
        </w:rPr>
      </w:pPr>
      <w:r w:rsidRPr="00037AD4">
        <w:rPr>
          <w:rFonts w:asciiTheme="minorHAnsi" w:hAnsiTheme="minorHAnsi" w:cstheme="minorHAnsi"/>
        </w:rPr>
        <w:t>For the “pain/discomfort” dimension, the direction of change evidence associated with behaviour/mood status revealed similar patterns of reporting across respondent types. For associations with functional status, the pattern of reporting was similar for people with dementia and informal proxies whereby just over 25% of stable reports were in cases where the PwD’s function has remained the same, and around 65% of worsened reports were where the PwD’s function has worsened. Generally, the findings were mixed between respondent types and difficult to draw strong and definitive conclusions from. The responsiveness evidence for the different respondents was also immaterial, showing weak effect size estimates across respondent types. The correlations between change-in-scores were also low across the respondents.</w:t>
      </w:r>
    </w:p>
    <w:p w14:paraId="1F8BCDC7" w14:textId="77777777" w:rsidR="00B54D51" w:rsidRPr="00037AD4" w:rsidRDefault="00B54D51" w:rsidP="00781965">
      <w:pPr>
        <w:rPr>
          <w:rFonts w:asciiTheme="minorHAnsi" w:hAnsiTheme="minorHAnsi" w:cstheme="minorHAnsi"/>
        </w:rPr>
      </w:pPr>
    </w:p>
    <w:p w14:paraId="51620596" w14:textId="77777777" w:rsidR="00B54D51" w:rsidRPr="00037AD4" w:rsidRDefault="00B54D51" w:rsidP="00781965">
      <w:pPr>
        <w:rPr>
          <w:rFonts w:asciiTheme="minorHAnsi" w:hAnsiTheme="minorHAnsi" w:cstheme="minorHAnsi"/>
        </w:rPr>
      </w:pPr>
      <w:r w:rsidRPr="00037AD4">
        <w:rPr>
          <w:rFonts w:asciiTheme="minorHAnsi" w:hAnsiTheme="minorHAnsi" w:cstheme="minorHAnsi"/>
        </w:rPr>
        <w:t xml:space="preserve">For the “anxiety/depression” dimension, a large proportion of PwD self-reports of an improvement in health status (around 48%) were in cases where their behaviour/mood outcome score had actually worsened. The largest proportion of improved and worsened dimension reports tallied in the same direction with behaviour/mood changes for staff-proxy reports (compared with people with dementia and informal proxies). “Anxiety/depression” was the only dimension to observe convergent validity with cognition, where it was </w:t>
      </w:r>
      <w:r w:rsidRPr="0063352B">
        <w:rPr>
          <w:rFonts w:asciiTheme="minorHAnsi" w:hAnsiTheme="minorHAnsi" w:cstheme="minorHAnsi"/>
        </w:rPr>
        <w:t>initially found (</w:t>
      </w:r>
      <w:hyperlink w:anchor="Ch37" w:history="1">
        <w:r w:rsidRPr="0063352B">
          <w:rPr>
            <w:rStyle w:val="Hyperlink"/>
            <w:rFonts w:asciiTheme="minorHAnsi" w:hAnsiTheme="minorHAnsi" w:cstheme="minorHAnsi"/>
            <w:color w:val="auto"/>
            <w:u w:val="none"/>
          </w:rPr>
          <w:t>via systematic review in Section 3.</w:t>
        </w:r>
      </w:hyperlink>
      <w:r w:rsidRPr="0063352B">
        <w:rPr>
          <w:rFonts w:asciiTheme="minorHAnsi" w:hAnsiTheme="minorHAnsi" w:cstheme="minorHAnsi"/>
        </w:rPr>
        <w:t xml:space="preserve">7) </w:t>
      </w:r>
      <w:r w:rsidRPr="00037AD4">
        <w:rPr>
          <w:rFonts w:asciiTheme="minorHAnsi" w:hAnsiTheme="minorHAnsi" w:cstheme="minorHAnsi"/>
        </w:rPr>
        <w:t xml:space="preserve">that greater cognitive impairment was correlated with improved “anxiety/depression” reports; however, the results were in the inverse direction of this prior relationship. Similar to “pain/discomfort”, the responsiveness evidence was immaterial, with none of the respondent’s effect size estimates reaching the 0.5 minimum threshold for consideration. The correlations between change-in-dimension and symptom measure scores were also low across respondents. </w:t>
      </w:r>
    </w:p>
    <w:p w14:paraId="387D3178" w14:textId="77777777" w:rsidR="00B54D51" w:rsidRPr="00037AD4" w:rsidRDefault="00B54D51" w:rsidP="00781965">
      <w:pPr>
        <w:rPr>
          <w:rFonts w:asciiTheme="minorHAnsi" w:hAnsiTheme="minorHAnsi" w:cstheme="minorHAnsi"/>
        </w:rPr>
      </w:pPr>
    </w:p>
    <w:p w14:paraId="35DFAA9A" w14:textId="54242246" w:rsidR="00B54D51" w:rsidRDefault="00B54D51" w:rsidP="00781965">
      <w:pPr>
        <w:rPr>
          <w:rFonts w:asciiTheme="minorHAnsi" w:hAnsiTheme="minorHAnsi" w:cstheme="minorHAnsi"/>
        </w:rPr>
      </w:pPr>
      <w:r w:rsidRPr="00037AD4">
        <w:rPr>
          <w:rFonts w:asciiTheme="minorHAnsi" w:hAnsiTheme="minorHAnsi" w:cstheme="minorHAnsi"/>
        </w:rPr>
        <w:t xml:space="preserve">When these analyses were applied to EQ-5D index scores, where the PwD’s CDR stage had progressed from baseline to the final follow-up point, a greater proportion of informal (around 72%) and staff (around 62%) proxy index scores had worsened compared with PwD-scores (approximately 58%). Mean utility scores were reported by dementia severity stage, in which both informal and staff proxy EQ-5D scores worsened with progression of CDR, while PwD self-reports did not. The more consistent PwD self-reports could be due to the near equal proportion of people with dementia who reported either an improvement or a worsening in EQ-5D (approximately 40% for both); and that the difference between the mean utility scores of those reporting an improvement or a worsening from baseline to follow-up was only 0.03 points </w:t>
      </w:r>
      <w:r w:rsidR="00574955">
        <w:rPr>
          <w:rFonts w:asciiTheme="minorHAnsi" w:hAnsiTheme="minorHAnsi" w:cstheme="minorHAnsi"/>
        </w:rPr>
        <w:t>(</w:t>
      </w:r>
      <w:r w:rsidRPr="00037AD4">
        <w:rPr>
          <w:rFonts w:asciiTheme="minorHAnsi" w:hAnsiTheme="minorHAnsi" w:cstheme="minorHAnsi"/>
        </w:rPr>
        <w:t xml:space="preserve">difference in means (PwD reports): improved EQ-5D, 0.18; </w:t>
      </w:r>
      <w:r w:rsidRPr="00037AD4">
        <w:rPr>
          <w:rFonts w:asciiTheme="minorHAnsi" w:hAnsiTheme="minorHAnsi" w:cstheme="minorHAnsi"/>
        </w:rPr>
        <w:lastRenderedPageBreak/>
        <w:t>worsened EQ-5D, -0.21). The proportion of worsened EQ-5D index scores over time was greater for both proxy types, and the difference in means of proxy reports of a worsening was of a larger magnitude (than the improved proxy EQ-5D scores). The responsiveness analyses showed that improvements in dementia symptom measures did not translate to improvements in EQ-5D index scores, however informal and staff proxy reports were responsive to a worsening in CDR stage over time.</w:t>
      </w:r>
    </w:p>
    <w:p w14:paraId="60A09FE6" w14:textId="77777777" w:rsidR="00B54D51" w:rsidRPr="00037AD4" w:rsidRDefault="00B54D51" w:rsidP="00781965">
      <w:pPr>
        <w:rPr>
          <w:rFonts w:asciiTheme="minorHAnsi" w:hAnsiTheme="minorHAnsi" w:cstheme="minorHAnsi"/>
          <w:sz w:val="26"/>
          <w:szCs w:val="26"/>
        </w:rPr>
      </w:pPr>
    </w:p>
    <w:p w14:paraId="0D231F1D" w14:textId="77777777" w:rsidR="00B54D51" w:rsidRPr="00037AD4" w:rsidRDefault="00B54D51" w:rsidP="007A43F9">
      <w:pPr>
        <w:pStyle w:val="Heading3"/>
        <w:rPr>
          <w:color w:val="FF0000"/>
        </w:rPr>
      </w:pPr>
      <w:bookmarkStart w:id="371" w:name="_Toc175742334"/>
      <w:r w:rsidRPr="00037AD4">
        <w:t>5.5.2 Objective two: interpretation of inter-rater agreement analysis</w:t>
      </w:r>
      <w:bookmarkEnd w:id="371"/>
    </w:p>
    <w:p w14:paraId="176D45DF" w14:textId="77777777" w:rsidR="00B54D51" w:rsidRPr="00037AD4" w:rsidRDefault="00B54D51" w:rsidP="00071B2A">
      <w:pPr>
        <w:rPr>
          <w:rFonts w:asciiTheme="minorHAnsi" w:hAnsiTheme="minorHAnsi" w:cstheme="minorHAnsi"/>
          <w:b/>
          <w:bCs/>
          <w:u w:val="single"/>
        </w:rPr>
      </w:pPr>
    </w:p>
    <w:p w14:paraId="561E478A" w14:textId="77777777" w:rsidR="00B54D51" w:rsidRPr="00037AD4" w:rsidRDefault="00B54D51" w:rsidP="00071B2A">
      <w:pPr>
        <w:rPr>
          <w:rFonts w:asciiTheme="minorHAnsi" w:hAnsiTheme="minorHAnsi" w:cstheme="minorHAnsi"/>
        </w:rPr>
      </w:pPr>
      <w:r w:rsidRPr="00037AD4">
        <w:rPr>
          <w:rFonts w:asciiTheme="minorHAnsi" w:hAnsiTheme="minorHAnsi" w:cstheme="minorHAnsi"/>
        </w:rPr>
        <w:t xml:space="preserve">Objective two involved analysing similarities and differences in how people with dementia and proxies provide EQ-5D dimension and index score reports via the application of inter-rater agreement methodologies and assessing floor and ceiling effects. </w:t>
      </w:r>
    </w:p>
    <w:p w14:paraId="62AB5691" w14:textId="77777777" w:rsidR="00B54D51" w:rsidRPr="00037AD4" w:rsidRDefault="00B54D51" w:rsidP="00071B2A">
      <w:pPr>
        <w:rPr>
          <w:rFonts w:asciiTheme="minorHAnsi" w:hAnsiTheme="minorHAnsi" w:cstheme="minorHAnsi"/>
          <w:b/>
          <w:bCs/>
          <w:u w:val="single"/>
        </w:rPr>
      </w:pPr>
    </w:p>
    <w:p w14:paraId="6224E5EB" w14:textId="77777777" w:rsidR="00B54D51" w:rsidRPr="00037AD4" w:rsidRDefault="00B54D51" w:rsidP="00071B2A">
      <w:pPr>
        <w:rPr>
          <w:rFonts w:asciiTheme="minorHAnsi" w:hAnsiTheme="minorHAnsi" w:cstheme="minorHAnsi"/>
        </w:rPr>
      </w:pPr>
      <w:r w:rsidRPr="00037AD4">
        <w:rPr>
          <w:rFonts w:asciiTheme="minorHAnsi" w:hAnsiTheme="minorHAnsi" w:cstheme="minorHAnsi"/>
        </w:rPr>
        <w:t xml:space="preserve">The second largest proportion of exact agreement of all dimensions was found for the “mobility” dimension (around 50%), and a moderate kappa coefficient was observed for agreement (k=0.55) between PwD-informal proxy dyads, indicating good inter-rater agreement. The proportion of exact agreement and the kappa coefficient were lower for PwD-staff proxy dyads (43% and k=0.31 respectively). The discrepancy scores for “mobility” highlighted that staff proxies more often provided negative scores in contrast to the PwD, when compared with informal-proxy dyads. However, this dimension saw ceiling effects for PwD self-report (60% at perfect health) and floor effects for staff-proxy report (approximately 28% at worst possible health), thereby explaining the contrast in reports observed via the discrepancy analyses. For the difference between the amount of change reported between timepoints, there were a greater proportion of pessimistic change scores provided by staff proxies (than the PwD of the dyad). These reported changes align with the progression in dementia symptom measures, particularly CDR stage and functional status, as evaluated via the responsiveness analyses earlier. </w:t>
      </w:r>
    </w:p>
    <w:p w14:paraId="3C956221" w14:textId="77777777" w:rsidR="00B54D51" w:rsidRPr="00037AD4" w:rsidRDefault="00B54D51" w:rsidP="00071B2A">
      <w:pPr>
        <w:rPr>
          <w:rFonts w:asciiTheme="minorHAnsi" w:hAnsiTheme="minorHAnsi" w:cstheme="minorHAnsi"/>
        </w:rPr>
      </w:pPr>
    </w:p>
    <w:p w14:paraId="49E26C32" w14:textId="77777777" w:rsidR="00B54D51" w:rsidRPr="00037AD4" w:rsidRDefault="00B54D51" w:rsidP="00071B2A">
      <w:pPr>
        <w:rPr>
          <w:rFonts w:asciiTheme="minorHAnsi" w:hAnsiTheme="minorHAnsi" w:cstheme="minorHAnsi"/>
        </w:rPr>
      </w:pPr>
      <w:r w:rsidRPr="00037AD4">
        <w:rPr>
          <w:rFonts w:asciiTheme="minorHAnsi" w:hAnsiTheme="minorHAnsi" w:cstheme="minorHAnsi"/>
        </w:rPr>
        <w:t>For the “self-care” dimension,</w:t>
      </w:r>
      <w:r w:rsidRPr="00037AD4">
        <w:rPr>
          <w:rFonts w:asciiTheme="minorHAnsi" w:hAnsiTheme="minorHAnsi" w:cstheme="minorHAnsi"/>
          <w:b/>
          <w:bCs/>
        </w:rPr>
        <w:t xml:space="preserve"> </w:t>
      </w:r>
      <w:r w:rsidRPr="00037AD4">
        <w:rPr>
          <w:rFonts w:asciiTheme="minorHAnsi" w:hAnsiTheme="minorHAnsi" w:cstheme="minorHAnsi"/>
        </w:rPr>
        <w:t xml:space="preserve">the largest proportion of exact agreement was observed for PwD-informal proxy dyads and a moderate kappa-coefficient for agreement (k=0.42). For PwD-staff proxy dyads, the lowest proportion of exact agreement was observed (around 20%). The “self-care” dimension saw evidence of ceiling effects when reported by the PwD (approximately 76% of people with dementia reported no problems) and floor effects when staff-proxy reported (nearly 50% reporting “extreme problems”), which explains the lack of agreement and low kappa coefficient (k=0.05). The discrepancy scores for “self-care” highlight that staff-proxy scores had a greater degree of variability (when compared with informal proxy scores), with around 24% of scores at the maximum negative score value of minus four. Similarly to with “mobility”, a larger proportion of PwD-staff dyads reported pessimistic change scores (compared with PwD-informal proxies). Overall, inter-rater agreement was lower between people with dementia and staff proxies than it was with PwD-informal proxy dyads. </w:t>
      </w:r>
    </w:p>
    <w:p w14:paraId="0E5D9CB3" w14:textId="77777777" w:rsidR="00B54D51" w:rsidRPr="00037AD4" w:rsidRDefault="00B54D51" w:rsidP="00071B2A">
      <w:pPr>
        <w:rPr>
          <w:rFonts w:asciiTheme="minorHAnsi" w:hAnsiTheme="minorHAnsi" w:cstheme="minorHAnsi"/>
          <w:b/>
          <w:bCs/>
          <w:u w:val="single"/>
        </w:rPr>
      </w:pPr>
    </w:p>
    <w:p w14:paraId="38512D09" w14:textId="77777777" w:rsidR="00B54D51" w:rsidRPr="00037AD4" w:rsidRDefault="00B54D51" w:rsidP="00071B2A">
      <w:pPr>
        <w:rPr>
          <w:rFonts w:asciiTheme="minorHAnsi" w:hAnsiTheme="minorHAnsi" w:cstheme="minorHAnsi"/>
        </w:rPr>
      </w:pPr>
      <w:r w:rsidRPr="00037AD4">
        <w:rPr>
          <w:rFonts w:asciiTheme="minorHAnsi" w:hAnsiTheme="minorHAnsi" w:cstheme="minorHAnsi"/>
        </w:rPr>
        <w:t xml:space="preserve">For the “usual activities” dimension, the lowest proportion of exact agreement (approximately 36%) and the lowest kappa coefficient (k=0.26) of all five EQ-5D dimensions was observed for PwD-informal proxy dyads. In contrast, the highest proportion of exact agreement of all EQ-5D dimensions was observed for PwD-staff proxy dyads (at nearly 60%) – although the kappa coefficient was low (k=0.15). This dimension saw evidence of ceiling </w:t>
      </w:r>
      <w:r w:rsidRPr="00037AD4">
        <w:rPr>
          <w:rFonts w:asciiTheme="minorHAnsi" w:hAnsiTheme="minorHAnsi" w:cstheme="minorHAnsi"/>
        </w:rPr>
        <w:lastRenderedPageBreak/>
        <w:t>effects for PwD and staff proxy ratings, and floor effects for informal proxy ratings, which explains the observed inter-rater agreement patterns. The discrepancy scores for “usual activities” do not show the same patterns as the previous dimensions. Variability in scoring is narrower for staff-proxy dyad reports, and a larger proportion of informal-proxy dyad scores had negative scores, although they are mainly concentrated at minus one.</w:t>
      </w:r>
    </w:p>
    <w:p w14:paraId="1D3979FA" w14:textId="77777777" w:rsidR="00B54D51" w:rsidRPr="00037AD4" w:rsidRDefault="00B54D51" w:rsidP="00071B2A">
      <w:pPr>
        <w:rPr>
          <w:rFonts w:asciiTheme="minorHAnsi" w:hAnsiTheme="minorHAnsi" w:cstheme="minorHAnsi"/>
          <w:b/>
          <w:bCs/>
          <w:u w:val="single"/>
        </w:rPr>
      </w:pPr>
    </w:p>
    <w:p w14:paraId="41093F24" w14:textId="77777777" w:rsidR="00B54D51" w:rsidRPr="00037AD4" w:rsidRDefault="00B54D51" w:rsidP="00071B2A">
      <w:pPr>
        <w:rPr>
          <w:rFonts w:asciiTheme="minorHAnsi" w:hAnsiTheme="minorHAnsi" w:cstheme="minorHAnsi"/>
        </w:rPr>
      </w:pPr>
      <w:r w:rsidRPr="00037AD4">
        <w:rPr>
          <w:rFonts w:asciiTheme="minorHAnsi" w:hAnsiTheme="minorHAnsi" w:cstheme="minorHAnsi"/>
        </w:rPr>
        <w:t xml:space="preserve">For the “pain/discomfort” dimension, the proportion of exact agreement between PwD-informal proxy dyads was 51%, and between PwD-staff proxy dyads was 57%. The kappa coefficient indicated moderate agreement (k=0.42) for PwD-informal proxy dyads, but weak agreement for PwD-staff proxy dyads (k=0.16). The discrepancy scores indicated very similar patterns for both dyad types, akin to the scores for the amount of difference between time-point reports for the dyads. Here, approximately 29% of PwD-informal proxy dyads and 24% of PwD-staff proxy dyads had positive difference scores which indicate a pessimistic change score provided by the proxy. This dimension also saw evidence of ceiling effects for both PwD and staff proxy respondents (approximately 64% and 72% perfect health reports respectively). Overall, the findings were weak and alike for both types of proxy. </w:t>
      </w:r>
    </w:p>
    <w:p w14:paraId="1AC82152" w14:textId="77777777" w:rsidR="00B54D51" w:rsidRPr="00037AD4" w:rsidRDefault="00B54D51" w:rsidP="00071B2A">
      <w:pPr>
        <w:rPr>
          <w:rFonts w:asciiTheme="minorHAnsi" w:hAnsiTheme="minorHAnsi" w:cstheme="minorHAnsi"/>
        </w:rPr>
      </w:pPr>
    </w:p>
    <w:p w14:paraId="0AB30715" w14:textId="77777777" w:rsidR="00B54D51" w:rsidRPr="00037AD4" w:rsidRDefault="00B54D51" w:rsidP="00071B2A">
      <w:pPr>
        <w:rPr>
          <w:rFonts w:asciiTheme="minorHAnsi" w:hAnsiTheme="minorHAnsi" w:cstheme="minorHAnsi"/>
        </w:rPr>
      </w:pPr>
      <w:r w:rsidRPr="00037AD4">
        <w:rPr>
          <w:rFonts w:asciiTheme="minorHAnsi" w:hAnsiTheme="minorHAnsi" w:cstheme="minorHAnsi"/>
        </w:rPr>
        <w:t xml:space="preserve">For the “anxiety/depression” dimension, the proportion of exact agreement was around 43% of PwD-informal proxy dyads, and 57% for PwD-staff proxy dyads, with kappa coefficients that indicate fair agreement for both (k=0.20; k=0.30 respectively). This dimension saw evidence of significant ceiling effects for staff proxy (69% perfect health reports) and PwD-self report (64% perfect health reports) – but not for informal proxy reports. The discrepancy scores show a larger proportion of negative PwD-informal proxy scores, highlighting that more informal proxies provided pessimistic reports compared to the PwD (than staff proxies did). However, the scores for the difference between the amount of change reported between timepoints for dyads showed similar proportions of PwD-informal proxy and PwD-staff proxy dyads with positive scores (where the proxy provides a more pessimistic dimension change report). </w:t>
      </w:r>
    </w:p>
    <w:p w14:paraId="11235E43" w14:textId="77777777" w:rsidR="00B54D51" w:rsidRPr="00037AD4" w:rsidRDefault="00B54D51" w:rsidP="00071B2A">
      <w:pPr>
        <w:rPr>
          <w:rFonts w:asciiTheme="minorHAnsi" w:hAnsiTheme="minorHAnsi" w:cstheme="minorHAnsi"/>
          <w:b/>
          <w:bCs/>
          <w:u w:val="single"/>
        </w:rPr>
      </w:pPr>
    </w:p>
    <w:p w14:paraId="14E3FB92" w14:textId="77777777" w:rsidR="00B54D51" w:rsidRPr="00037AD4" w:rsidRDefault="00B54D51" w:rsidP="00071B2A">
      <w:pPr>
        <w:rPr>
          <w:rFonts w:asciiTheme="minorHAnsi" w:hAnsiTheme="minorHAnsi" w:cstheme="minorHAnsi"/>
        </w:rPr>
      </w:pPr>
      <w:r w:rsidRPr="00037AD4">
        <w:rPr>
          <w:rFonts w:asciiTheme="minorHAnsi" w:hAnsiTheme="minorHAnsi" w:cstheme="minorHAnsi"/>
        </w:rPr>
        <w:t xml:space="preserve">Inter-rater agreement was also analysed for EQ-5D index scores. According to the intraclass correlation coefficients and the Bland-Altman plots, it was identified that PwD-informal proxy dyads had a greater degree of inter-rater agreement than PwD-staff proxy dyads. Bland-Altman plots are not traditionally applied in HRQoL research but are a method for assessing agreement between measurements by studying mean differences and applying limits of agreement </w:t>
      </w:r>
      <w:r>
        <w:rPr>
          <w:rFonts w:asciiTheme="minorHAnsi" w:hAnsiTheme="minorHAnsi" w:cstheme="minorHAnsi"/>
          <w:noProof/>
        </w:rPr>
        <w:t>(Giavarina, 2015)</w:t>
      </w:r>
      <w:r w:rsidRPr="00037AD4">
        <w:rPr>
          <w:rFonts w:asciiTheme="minorHAnsi" w:hAnsiTheme="minorHAnsi" w:cstheme="minorHAnsi"/>
        </w:rPr>
        <w:t xml:space="preserve">. In doing so, a visual depiction of agreement has been constructed, although the plots give the impression of a (near) perfect correlation between PwD and proxy reports at higher EQ-5D scores, this narrowing in the distribution is due to the x-axis reflecting an average of the respondent-scores which is therefore limited to one i.e., full health. </w:t>
      </w:r>
    </w:p>
    <w:p w14:paraId="0936D19B" w14:textId="77777777" w:rsidR="00B54D51" w:rsidRDefault="00B54D51" w:rsidP="00781965">
      <w:pPr>
        <w:rPr>
          <w:rFonts w:asciiTheme="minorHAnsi" w:hAnsiTheme="minorHAnsi" w:cstheme="minorHAnsi"/>
        </w:rPr>
      </w:pPr>
    </w:p>
    <w:p w14:paraId="7778FFEB" w14:textId="46DD9051" w:rsidR="00265797" w:rsidRPr="00265797" w:rsidRDefault="00265797" w:rsidP="00265797">
      <w:pPr>
        <w:rPr>
          <w:rFonts w:asciiTheme="minorHAnsi" w:hAnsiTheme="minorHAnsi" w:cstheme="minorHAnsi"/>
        </w:rPr>
      </w:pPr>
      <w:r w:rsidRPr="00265797">
        <w:rPr>
          <w:rFonts w:asciiTheme="minorHAnsi" w:hAnsiTheme="minorHAnsi" w:cstheme="minorHAnsi"/>
        </w:rPr>
        <w:t xml:space="preserve">It is important to highlight that the relationship between </w:t>
      </w:r>
      <w:r>
        <w:rPr>
          <w:rFonts w:asciiTheme="minorHAnsi" w:hAnsiTheme="minorHAnsi" w:cstheme="minorHAnsi"/>
        </w:rPr>
        <w:t>PwD</w:t>
      </w:r>
      <w:r w:rsidRPr="00265797">
        <w:rPr>
          <w:rFonts w:asciiTheme="minorHAnsi" w:hAnsiTheme="minorHAnsi" w:cstheme="minorHAnsi"/>
        </w:rPr>
        <w:t xml:space="preserve"> and proxy-reported EQ-5D dimensions and total scores </w:t>
      </w:r>
      <w:r>
        <w:rPr>
          <w:rFonts w:asciiTheme="minorHAnsi" w:hAnsiTheme="minorHAnsi" w:cstheme="minorHAnsi"/>
        </w:rPr>
        <w:t>may</w:t>
      </w:r>
      <w:r w:rsidRPr="00265797">
        <w:rPr>
          <w:rFonts w:asciiTheme="minorHAnsi" w:hAnsiTheme="minorHAnsi" w:cstheme="minorHAnsi"/>
        </w:rPr>
        <w:t xml:space="preserve"> change as dementia progresses. As dementia advances, </w:t>
      </w:r>
      <w:r>
        <w:rPr>
          <w:rFonts w:asciiTheme="minorHAnsi" w:hAnsiTheme="minorHAnsi" w:cstheme="minorHAnsi"/>
        </w:rPr>
        <w:t xml:space="preserve">the role of the </w:t>
      </w:r>
      <w:r w:rsidRPr="00265797">
        <w:rPr>
          <w:rFonts w:asciiTheme="minorHAnsi" w:hAnsiTheme="minorHAnsi" w:cstheme="minorHAnsi"/>
        </w:rPr>
        <w:t>prox</w:t>
      </w:r>
      <w:r>
        <w:rPr>
          <w:rFonts w:asciiTheme="minorHAnsi" w:hAnsiTheme="minorHAnsi" w:cstheme="minorHAnsi"/>
        </w:rPr>
        <w:t>y</w:t>
      </w:r>
      <w:r w:rsidRPr="00265797">
        <w:rPr>
          <w:rFonts w:asciiTheme="minorHAnsi" w:hAnsiTheme="minorHAnsi" w:cstheme="minorHAnsi"/>
        </w:rPr>
        <w:t xml:space="preserve"> become increasingly </w:t>
      </w:r>
      <w:r>
        <w:rPr>
          <w:rFonts w:asciiTheme="minorHAnsi" w:hAnsiTheme="minorHAnsi" w:cstheme="minorHAnsi"/>
        </w:rPr>
        <w:t>important</w:t>
      </w:r>
      <w:r w:rsidRPr="00265797">
        <w:rPr>
          <w:rFonts w:asciiTheme="minorHAnsi" w:hAnsiTheme="minorHAnsi" w:cstheme="minorHAnsi"/>
        </w:rPr>
        <w:t xml:space="preserve">, as the PwD finds it progressively more difficult to reliably and accurately self-report. Chapter Four highlighted that missing data was more common among </w:t>
      </w:r>
      <w:r>
        <w:rPr>
          <w:rFonts w:asciiTheme="minorHAnsi" w:hAnsiTheme="minorHAnsi" w:cstheme="minorHAnsi"/>
        </w:rPr>
        <w:t>people</w:t>
      </w:r>
      <w:r w:rsidRPr="00265797">
        <w:rPr>
          <w:rFonts w:asciiTheme="minorHAnsi" w:hAnsiTheme="minorHAnsi" w:cstheme="minorHAnsi"/>
        </w:rPr>
        <w:t xml:space="preserve"> with severe dementia, underscoring the practical challenges of data collection in </w:t>
      </w:r>
      <w:r>
        <w:rPr>
          <w:rFonts w:asciiTheme="minorHAnsi" w:hAnsiTheme="minorHAnsi" w:cstheme="minorHAnsi"/>
        </w:rPr>
        <w:t>severe dementia</w:t>
      </w:r>
      <w:r w:rsidRPr="00265797">
        <w:rPr>
          <w:rFonts w:asciiTheme="minorHAnsi" w:hAnsiTheme="minorHAnsi" w:cstheme="minorHAnsi"/>
        </w:rPr>
        <w:t xml:space="preserve"> stages</w:t>
      </w:r>
      <w:r>
        <w:rPr>
          <w:rFonts w:asciiTheme="minorHAnsi" w:hAnsiTheme="minorHAnsi" w:cstheme="minorHAnsi"/>
        </w:rPr>
        <w:t>. M</w:t>
      </w:r>
      <w:r w:rsidRPr="00265797">
        <w:rPr>
          <w:rFonts w:asciiTheme="minorHAnsi" w:hAnsiTheme="minorHAnsi" w:cstheme="minorHAnsi"/>
        </w:rPr>
        <w:t xml:space="preserve">ixed-effects regression analysis of panel data could have been </w:t>
      </w:r>
      <w:r>
        <w:rPr>
          <w:rFonts w:asciiTheme="minorHAnsi" w:hAnsiTheme="minorHAnsi" w:cstheme="minorHAnsi"/>
        </w:rPr>
        <w:t>applied</w:t>
      </w:r>
      <w:r w:rsidRPr="00265797">
        <w:rPr>
          <w:rFonts w:asciiTheme="minorHAnsi" w:hAnsiTheme="minorHAnsi" w:cstheme="minorHAnsi"/>
        </w:rPr>
        <w:t xml:space="preserve"> to explore changes in these associations over time,</w:t>
      </w:r>
      <w:r>
        <w:rPr>
          <w:rFonts w:asciiTheme="minorHAnsi" w:hAnsiTheme="minorHAnsi" w:cstheme="minorHAnsi"/>
        </w:rPr>
        <w:t xml:space="preserve"> </w:t>
      </w:r>
      <w:r>
        <w:rPr>
          <w:rFonts w:asciiTheme="minorHAnsi" w:hAnsiTheme="minorHAnsi" w:cstheme="minorHAnsi"/>
        </w:rPr>
        <w:lastRenderedPageBreak/>
        <w:t>however</w:t>
      </w:r>
      <w:r w:rsidRPr="00265797">
        <w:rPr>
          <w:rFonts w:asciiTheme="minorHAnsi" w:hAnsiTheme="minorHAnsi" w:cstheme="minorHAnsi"/>
        </w:rPr>
        <w:t xml:space="preserve"> this method was not </w:t>
      </w:r>
      <w:r>
        <w:rPr>
          <w:rFonts w:asciiTheme="minorHAnsi" w:hAnsiTheme="minorHAnsi" w:cstheme="minorHAnsi"/>
        </w:rPr>
        <w:t>adopted</w:t>
      </w:r>
      <w:r w:rsidRPr="00265797">
        <w:rPr>
          <w:rFonts w:asciiTheme="minorHAnsi" w:hAnsiTheme="minorHAnsi" w:cstheme="minorHAnsi"/>
        </w:rPr>
        <w:t xml:space="preserve"> due to the complexity of the analysis and the limited availability of data for </w:t>
      </w:r>
      <w:r>
        <w:rPr>
          <w:rFonts w:asciiTheme="minorHAnsi" w:hAnsiTheme="minorHAnsi" w:cstheme="minorHAnsi"/>
        </w:rPr>
        <w:t>people</w:t>
      </w:r>
      <w:r w:rsidRPr="00265797">
        <w:rPr>
          <w:rFonts w:asciiTheme="minorHAnsi" w:hAnsiTheme="minorHAnsi" w:cstheme="minorHAnsi"/>
        </w:rPr>
        <w:t xml:space="preserve"> in the severe stages of dementia. Most data from </w:t>
      </w:r>
      <w:r>
        <w:rPr>
          <w:rFonts w:asciiTheme="minorHAnsi" w:hAnsiTheme="minorHAnsi" w:cstheme="minorHAnsi"/>
        </w:rPr>
        <w:t>people</w:t>
      </w:r>
      <w:r w:rsidRPr="00265797">
        <w:rPr>
          <w:rFonts w:asciiTheme="minorHAnsi" w:hAnsiTheme="minorHAnsi" w:cstheme="minorHAnsi"/>
        </w:rPr>
        <w:t xml:space="preserve"> with severe dementia were missing, and only one of the three trials</w:t>
      </w:r>
      <w:r>
        <w:rPr>
          <w:rFonts w:asciiTheme="minorHAnsi" w:hAnsiTheme="minorHAnsi" w:cstheme="minorHAnsi"/>
        </w:rPr>
        <w:t xml:space="preserve"> (EPIC)</w:t>
      </w:r>
      <w:r w:rsidRPr="00265797">
        <w:rPr>
          <w:rFonts w:asciiTheme="minorHAnsi" w:hAnsiTheme="minorHAnsi" w:cstheme="minorHAnsi"/>
        </w:rPr>
        <w:t xml:space="preserve"> </w:t>
      </w:r>
      <w:r>
        <w:rPr>
          <w:rFonts w:asciiTheme="minorHAnsi" w:hAnsiTheme="minorHAnsi" w:cstheme="minorHAnsi"/>
        </w:rPr>
        <w:t>recruited</w:t>
      </w:r>
      <w:r w:rsidRPr="00265797">
        <w:rPr>
          <w:rFonts w:asciiTheme="minorHAnsi" w:hAnsiTheme="minorHAnsi" w:cstheme="minorHAnsi"/>
        </w:rPr>
        <w:t xml:space="preserve"> participants at this stage, further contributing to the data gaps. </w:t>
      </w:r>
      <w:r>
        <w:rPr>
          <w:rFonts w:asciiTheme="minorHAnsi" w:hAnsiTheme="minorHAnsi" w:cstheme="minorHAnsi"/>
        </w:rPr>
        <w:t>Therefore,</w:t>
      </w:r>
      <w:r w:rsidRPr="00265797">
        <w:rPr>
          <w:rFonts w:asciiTheme="minorHAnsi" w:hAnsiTheme="minorHAnsi" w:cstheme="minorHAnsi"/>
        </w:rPr>
        <w:t xml:space="preserve"> the analysis focused on the available data at specific time points and used a cross-sectional approach when appropriate. This approach was chosen to maintain consistency and reliability in the analyses, while acknowledging the evolving role of proxies and avoiding additional complexity.</w:t>
      </w:r>
    </w:p>
    <w:p w14:paraId="5AE6EEA8" w14:textId="77777777" w:rsidR="00265797" w:rsidRPr="00037AD4" w:rsidRDefault="00265797" w:rsidP="00781965">
      <w:pPr>
        <w:rPr>
          <w:rFonts w:asciiTheme="minorHAnsi" w:hAnsiTheme="minorHAnsi" w:cstheme="minorHAnsi"/>
        </w:rPr>
      </w:pPr>
    </w:p>
    <w:p w14:paraId="1713D851" w14:textId="77777777" w:rsidR="00B54D51" w:rsidRPr="00037AD4" w:rsidRDefault="00B54D51" w:rsidP="007A43F9">
      <w:pPr>
        <w:pStyle w:val="Heading3"/>
      </w:pPr>
      <w:bookmarkStart w:id="372" w:name="_Toc175742335"/>
      <w:r w:rsidRPr="00037AD4">
        <w:t>5.5.3 Objective three: recommendations for combining EQ-5D dimensions by respondent-type</w:t>
      </w:r>
      <w:bookmarkEnd w:id="372"/>
      <w:r w:rsidRPr="00037AD4">
        <w:t xml:space="preserve"> </w:t>
      </w:r>
    </w:p>
    <w:p w14:paraId="6F5E46F5" w14:textId="77777777" w:rsidR="00B54D51" w:rsidRPr="00037AD4" w:rsidRDefault="00B54D51" w:rsidP="00C60E15">
      <w:pPr>
        <w:rPr>
          <w:rFonts w:asciiTheme="minorHAnsi" w:hAnsiTheme="minorHAnsi" w:cstheme="minorHAnsi"/>
          <w:b/>
          <w:bCs/>
          <w:u w:val="single"/>
        </w:rPr>
      </w:pPr>
    </w:p>
    <w:p w14:paraId="0ED5134D" w14:textId="77777777" w:rsidR="00B54D51" w:rsidRPr="00037AD4" w:rsidRDefault="00B54D51" w:rsidP="00C60E15">
      <w:pPr>
        <w:rPr>
          <w:rFonts w:asciiTheme="minorHAnsi" w:hAnsiTheme="minorHAnsi" w:cstheme="minorHAnsi"/>
        </w:rPr>
      </w:pPr>
      <w:r w:rsidRPr="00037AD4">
        <w:rPr>
          <w:rFonts w:asciiTheme="minorHAnsi" w:hAnsiTheme="minorHAnsi" w:cstheme="minorHAnsi"/>
        </w:rPr>
        <w:t xml:space="preserve">Objective three involves summarising the interpretation of the findings to provide recommendations for combining PwD and proxy EQ-5D reports by dimension. These recommendations are to be used within the subsequent chapter which applies statistical mapping methods to combine PwD and proxy EQ-5D reports to generate a single combined utility score for use in dementia economic evaluations. </w:t>
      </w:r>
    </w:p>
    <w:p w14:paraId="1F5232D6" w14:textId="77777777" w:rsidR="00B54D51" w:rsidRPr="00037AD4" w:rsidRDefault="00B54D51" w:rsidP="00C60E15">
      <w:pPr>
        <w:rPr>
          <w:rFonts w:asciiTheme="minorHAnsi" w:hAnsiTheme="minorHAnsi" w:cstheme="minorHAnsi"/>
          <w:b/>
          <w:bCs/>
          <w:u w:val="single"/>
        </w:rPr>
      </w:pPr>
    </w:p>
    <w:p w14:paraId="2F75089F" w14:textId="77777777" w:rsidR="00B54D51" w:rsidRPr="00037AD4" w:rsidRDefault="00B54D51" w:rsidP="00C60E15">
      <w:pPr>
        <w:rPr>
          <w:rFonts w:asciiTheme="minorHAnsi" w:hAnsiTheme="minorHAnsi" w:cstheme="minorHAnsi"/>
        </w:rPr>
      </w:pPr>
      <w:r w:rsidRPr="00037AD4">
        <w:rPr>
          <w:rFonts w:asciiTheme="minorHAnsi" w:hAnsiTheme="minorHAnsi" w:cstheme="minorHAnsi"/>
        </w:rPr>
        <w:t xml:space="preserve">Overall, the results showed that there is sufficient evidence to deviate from using PwD self-report for certain dimensions. It is determined that the PwD remains the optimal respondent for the “pain/discomfort” and “anxiety/depression” dimensions. For “pain/discomfort” the responsiveness findings are weak, the patterns for reporting change in dimension health status were inconclusive and the findings do not substantiate using proxy report over PwD self-report. For “anxiety/depression”, inter-rater agreement between the PwD and proxy was generally satisfactory, however the remaining evidence was not substantial, therefore PwD self-report is retained as recommended for use. The conclusion of relying on PwD self-report for these two dimensions is consistent with prior expectations. It has been discussed in the wider literature that these dimensions are considered to be more difficult to reliably proxy-report upon due to their inherent subjectivity </w:t>
      </w:r>
      <w:r>
        <w:rPr>
          <w:rFonts w:asciiTheme="minorHAnsi" w:hAnsiTheme="minorHAnsi" w:cstheme="minorHAnsi"/>
          <w:noProof/>
        </w:rPr>
        <w:t>(Bonfiglio et al., 2019, Hounsome et al., 2011)</w:t>
      </w:r>
      <w:r w:rsidRPr="00037AD4">
        <w:rPr>
          <w:rFonts w:asciiTheme="minorHAnsi" w:hAnsiTheme="minorHAnsi" w:cstheme="minorHAnsi"/>
        </w:rPr>
        <w:t xml:space="preserve">; this concept, in addition to the empirical evidence reported in this chapter affirm the use of PwD-self reports for the “pain/discomfort” and “anxiety/depression” EQ-5D dimensions. </w:t>
      </w:r>
    </w:p>
    <w:p w14:paraId="37D87D2D" w14:textId="77777777" w:rsidR="00B54D51" w:rsidRPr="00037AD4" w:rsidRDefault="00B54D51" w:rsidP="00C60E15">
      <w:pPr>
        <w:rPr>
          <w:rFonts w:asciiTheme="minorHAnsi" w:hAnsiTheme="minorHAnsi" w:cstheme="minorHAnsi"/>
          <w:b/>
          <w:bCs/>
          <w:u w:val="single"/>
        </w:rPr>
      </w:pPr>
    </w:p>
    <w:p w14:paraId="0746F0C8" w14:textId="309BF93A" w:rsidR="00B54D51" w:rsidRPr="00037AD4" w:rsidRDefault="00B54D51" w:rsidP="00C60E15">
      <w:pPr>
        <w:rPr>
          <w:rFonts w:asciiTheme="minorHAnsi" w:hAnsiTheme="minorHAnsi" w:cstheme="minorHAnsi"/>
        </w:rPr>
      </w:pPr>
      <w:r w:rsidRPr="00037AD4">
        <w:rPr>
          <w:rFonts w:asciiTheme="minorHAnsi" w:hAnsiTheme="minorHAnsi" w:cstheme="minorHAnsi"/>
        </w:rPr>
        <w:t xml:space="preserve">For the remaining dimensions, in some cases the findings have been interpreted to recommend using the proxy’s data, and the proxy selected is dependent on the PwD’s residential status. For “mobility”, PwD-self reports were not as responsive to changes in dementia symptoms as staff proxy report. Informal proxies and PwD had evidence of inter-rater agreement and were therefore both considered less valid than staff proxy reports, which showed the greatest degree of responsiveness (and also less agreement with PwD self-reports). There was not sufficient evidence to deviate from PwD self-report for community dwelling </w:t>
      </w:r>
      <w:r w:rsidR="000E3774">
        <w:rPr>
          <w:rFonts w:asciiTheme="minorHAnsi" w:hAnsiTheme="minorHAnsi" w:cstheme="minorHAnsi"/>
        </w:rPr>
        <w:t>dementia populations</w:t>
      </w:r>
      <w:r w:rsidRPr="00037AD4">
        <w:rPr>
          <w:rFonts w:asciiTheme="minorHAnsi" w:hAnsiTheme="minorHAnsi" w:cstheme="minorHAnsi"/>
        </w:rPr>
        <w:t xml:space="preserve">, however for those that are institutionalised, staff proxy reports are considered the most valid. </w:t>
      </w:r>
    </w:p>
    <w:p w14:paraId="478FDC6E" w14:textId="77777777" w:rsidR="00B54D51" w:rsidRPr="00037AD4" w:rsidRDefault="00B54D51" w:rsidP="00C60E15">
      <w:pPr>
        <w:rPr>
          <w:rFonts w:asciiTheme="minorHAnsi" w:hAnsiTheme="minorHAnsi" w:cstheme="minorHAnsi"/>
        </w:rPr>
      </w:pPr>
    </w:p>
    <w:p w14:paraId="75085581" w14:textId="77777777" w:rsidR="00B54D51" w:rsidRPr="00037AD4" w:rsidRDefault="00B54D51" w:rsidP="00C60E15">
      <w:pPr>
        <w:rPr>
          <w:rFonts w:asciiTheme="minorHAnsi" w:hAnsiTheme="minorHAnsi" w:cstheme="minorHAnsi"/>
        </w:rPr>
      </w:pPr>
      <w:r w:rsidRPr="00037AD4">
        <w:rPr>
          <w:rFonts w:asciiTheme="minorHAnsi" w:hAnsiTheme="minorHAnsi" w:cstheme="minorHAnsi"/>
        </w:rPr>
        <w:t xml:space="preserve">For the “self-care” dimension, reports on change in this dimension alongside changes in dementia symptom measures were strongest for both proxy types. The responsiveness evidence from the proxy data was strong, producing moderate-to-large effect size estimates. These findings were not observed with PwD self-reports of “self-care”, in fact this </w:t>
      </w:r>
      <w:r w:rsidRPr="00037AD4">
        <w:rPr>
          <w:rFonts w:asciiTheme="minorHAnsi" w:hAnsiTheme="minorHAnsi" w:cstheme="minorHAnsi"/>
        </w:rPr>
        <w:lastRenderedPageBreak/>
        <w:t xml:space="preserve">dimension saw significant ceiling effects for PwD self-report. It was concluded that in both residential settings, the proxy is the most valid respondent for “self-care”. </w:t>
      </w:r>
    </w:p>
    <w:p w14:paraId="5BC52521" w14:textId="77777777" w:rsidR="00B54D51" w:rsidRPr="00037AD4" w:rsidRDefault="00B54D51" w:rsidP="00C60E15">
      <w:pPr>
        <w:rPr>
          <w:rFonts w:asciiTheme="minorHAnsi" w:hAnsiTheme="minorHAnsi" w:cstheme="minorHAnsi"/>
        </w:rPr>
      </w:pPr>
    </w:p>
    <w:p w14:paraId="352E5927" w14:textId="6AB4E560" w:rsidR="00B54D51" w:rsidRPr="00037AD4" w:rsidRDefault="00B54D51" w:rsidP="00C60E15">
      <w:pPr>
        <w:rPr>
          <w:rFonts w:asciiTheme="minorHAnsi" w:hAnsiTheme="minorHAnsi" w:cstheme="minorHAnsi"/>
        </w:rPr>
      </w:pPr>
      <w:r w:rsidRPr="00037AD4">
        <w:rPr>
          <w:rFonts w:asciiTheme="minorHAnsi" w:hAnsiTheme="minorHAnsi" w:cstheme="minorHAnsi"/>
        </w:rPr>
        <w:t xml:space="preserve">For “usual activities”, in both instances the proxy was seen to be the most valid respondent in contrast to the PwD. Both proxies showed strong proportion-evidence for change in “usual activities” reports and responsiveness alongside dementia symptom measure scores, while PwD-self reports did not. As with the “self-care” dimension, “usual activities” saw ceiling effects for PwD self-report. It has been concluded that there was sufficient empirical evidence to deviate from PwD self-report for this dimension, and that a proxy assessor would be more suitable for “usual activities” reports. </w:t>
      </w:r>
    </w:p>
    <w:p w14:paraId="4E1EF1CD" w14:textId="77777777" w:rsidR="00B54D51" w:rsidRPr="00037AD4" w:rsidRDefault="00B54D51" w:rsidP="00C60E15">
      <w:pPr>
        <w:rPr>
          <w:rFonts w:asciiTheme="minorHAnsi" w:hAnsiTheme="minorHAnsi" w:cstheme="minorHAnsi"/>
        </w:rPr>
      </w:pPr>
    </w:p>
    <w:p w14:paraId="71047862" w14:textId="062B4375" w:rsidR="00B54D51" w:rsidRPr="00037AD4" w:rsidRDefault="00B54D51" w:rsidP="00781965">
      <w:pPr>
        <w:rPr>
          <w:rFonts w:asciiTheme="minorHAnsi" w:hAnsiTheme="minorHAnsi" w:cstheme="minorHAnsi"/>
        </w:rPr>
      </w:pPr>
      <w:r w:rsidRPr="00037AD4">
        <w:rPr>
          <w:rFonts w:asciiTheme="minorHAnsi" w:hAnsiTheme="minorHAnsi" w:cstheme="minorHAnsi"/>
        </w:rPr>
        <w:t xml:space="preserve">Table 33 below provides a summary of the interpreted results regarding which respondent’s reports for each EQ-5D dimension has been concluded to be the most </w:t>
      </w:r>
      <w:r w:rsidR="000E3774">
        <w:rPr>
          <w:rFonts w:asciiTheme="minorHAnsi" w:hAnsiTheme="minorHAnsi" w:cstheme="minorHAnsi"/>
        </w:rPr>
        <w:t>effective</w:t>
      </w:r>
      <w:r w:rsidRPr="00037AD4">
        <w:rPr>
          <w:rFonts w:asciiTheme="minorHAnsi" w:hAnsiTheme="minorHAnsi" w:cstheme="minorHAnsi"/>
        </w:rPr>
        <w:t>. This classification will be used in the mapping analysis presented in the next chapter.</w:t>
      </w:r>
    </w:p>
    <w:p w14:paraId="538B4541" w14:textId="77777777" w:rsidR="00B54D51" w:rsidRPr="00037AD4" w:rsidRDefault="00B54D51" w:rsidP="00781965">
      <w:pPr>
        <w:rPr>
          <w:rFonts w:asciiTheme="minorHAnsi" w:hAnsiTheme="minorHAnsi" w:cstheme="minorHAnsi"/>
        </w:rPr>
      </w:pPr>
    </w:p>
    <w:p w14:paraId="20ECBFFB" w14:textId="77777777" w:rsidR="00B54D51" w:rsidRPr="00037AD4" w:rsidRDefault="00B54D51" w:rsidP="00C60E15">
      <w:pPr>
        <w:rPr>
          <w:rFonts w:asciiTheme="minorHAnsi" w:hAnsiTheme="minorHAnsi" w:cstheme="minorHAnsi"/>
          <w:b/>
          <w:bCs/>
          <w:i/>
          <w:iCs/>
        </w:rPr>
      </w:pPr>
      <w:bookmarkStart w:id="373" w:name="table33"/>
      <w:r w:rsidRPr="00037AD4">
        <w:rPr>
          <w:rFonts w:asciiTheme="minorHAnsi" w:hAnsiTheme="minorHAnsi" w:cstheme="minorHAnsi"/>
          <w:b/>
          <w:bCs/>
          <w:i/>
          <w:iCs/>
        </w:rPr>
        <w:t xml:space="preserve">Table 33, EQ-5D target dimension reports by respondent and residential status of PwD </w:t>
      </w:r>
    </w:p>
    <w:bookmarkEnd w:id="373"/>
    <w:p w14:paraId="358DD335" w14:textId="77777777" w:rsidR="00B54D51" w:rsidRPr="00037AD4" w:rsidRDefault="00B54D51" w:rsidP="00C60E15">
      <w:pPr>
        <w:rPr>
          <w:rFonts w:asciiTheme="minorHAnsi" w:hAnsiTheme="minorHAnsi" w:cstheme="minorHAnsi"/>
        </w:rPr>
      </w:pPr>
      <w:r w:rsidRPr="00037AD4">
        <w:rPr>
          <w:rFonts w:asciiTheme="minorHAnsi" w:hAnsiTheme="minorHAnsi" w:cstheme="minorHAnsi"/>
        </w:rPr>
        <w:t xml:space="preserve">  </w:t>
      </w:r>
    </w:p>
    <w:tbl>
      <w:tblPr>
        <w:tblStyle w:val="TableGrid"/>
        <w:tblW w:w="0" w:type="auto"/>
        <w:tblLook w:val="04A0" w:firstRow="1" w:lastRow="0" w:firstColumn="1" w:lastColumn="0" w:noHBand="0" w:noVBand="1"/>
      </w:tblPr>
      <w:tblGrid>
        <w:gridCol w:w="3005"/>
        <w:gridCol w:w="3005"/>
        <w:gridCol w:w="3006"/>
      </w:tblGrid>
      <w:tr w:rsidR="00B54D51" w:rsidRPr="00037AD4" w14:paraId="0318AB45" w14:textId="77777777" w:rsidTr="008F00F0">
        <w:tc>
          <w:tcPr>
            <w:tcW w:w="3005" w:type="dxa"/>
            <w:tcBorders>
              <w:top w:val="nil"/>
              <w:left w:val="nil"/>
            </w:tcBorders>
          </w:tcPr>
          <w:p w14:paraId="1CEC559F" w14:textId="77777777" w:rsidR="00B54D51" w:rsidRPr="00037AD4" w:rsidRDefault="00B54D51" w:rsidP="008F00F0">
            <w:pPr>
              <w:rPr>
                <w:rFonts w:asciiTheme="minorHAnsi" w:hAnsiTheme="minorHAnsi" w:cstheme="minorHAnsi"/>
              </w:rPr>
            </w:pPr>
          </w:p>
        </w:tc>
        <w:tc>
          <w:tcPr>
            <w:tcW w:w="6011" w:type="dxa"/>
            <w:gridSpan w:val="2"/>
          </w:tcPr>
          <w:p w14:paraId="319D8589" w14:textId="77777777" w:rsidR="00B54D51" w:rsidRPr="00037AD4" w:rsidRDefault="00B54D51" w:rsidP="008F00F0">
            <w:pPr>
              <w:jc w:val="center"/>
              <w:rPr>
                <w:rFonts w:asciiTheme="minorHAnsi" w:hAnsiTheme="minorHAnsi" w:cstheme="minorHAnsi"/>
                <w:b/>
                <w:bCs/>
              </w:rPr>
            </w:pPr>
            <w:r w:rsidRPr="00037AD4">
              <w:rPr>
                <w:rFonts w:asciiTheme="minorHAnsi" w:hAnsiTheme="minorHAnsi" w:cstheme="minorHAnsi"/>
                <w:b/>
                <w:bCs/>
              </w:rPr>
              <w:t>Residential setting of PwD</w:t>
            </w:r>
          </w:p>
        </w:tc>
      </w:tr>
      <w:tr w:rsidR="00B54D51" w:rsidRPr="00037AD4" w14:paraId="52BAEA31" w14:textId="77777777" w:rsidTr="008F00F0">
        <w:tc>
          <w:tcPr>
            <w:tcW w:w="3005" w:type="dxa"/>
          </w:tcPr>
          <w:p w14:paraId="646F2904" w14:textId="77777777" w:rsidR="00B54D51" w:rsidRPr="00037AD4" w:rsidRDefault="00B54D51" w:rsidP="008F00F0">
            <w:pPr>
              <w:rPr>
                <w:rFonts w:asciiTheme="minorHAnsi" w:hAnsiTheme="minorHAnsi" w:cstheme="minorHAnsi"/>
                <w:b/>
                <w:bCs/>
              </w:rPr>
            </w:pPr>
            <w:r w:rsidRPr="00037AD4">
              <w:rPr>
                <w:rFonts w:asciiTheme="minorHAnsi" w:hAnsiTheme="minorHAnsi" w:cstheme="minorHAnsi"/>
                <w:b/>
                <w:bCs/>
              </w:rPr>
              <w:t>EQ-5D dimension</w:t>
            </w:r>
          </w:p>
        </w:tc>
        <w:tc>
          <w:tcPr>
            <w:tcW w:w="3005" w:type="dxa"/>
          </w:tcPr>
          <w:p w14:paraId="17856C14" w14:textId="77777777" w:rsidR="00B54D51" w:rsidRPr="00037AD4" w:rsidRDefault="00B54D51" w:rsidP="008F00F0">
            <w:pPr>
              <w:jc w:val="center"/>
              <w:rPr>
                <w:rFonts w:asciiTheme="minorHAnsi" w:hAnsiTheme="minorHAnsi" w:cstheme="minorHAnsi"/>
                <w:i/>
                <w:iCs/>
              </w:rPr>
            </w:pPr>
            <w:r w:rsidRPr="00037AD4">
              <w:rPr>
                <w:rFonts w:asciiTheme="minorHAnsi" w:hAnsiTheme="minorHAnsi" w:cstheme="minorHAnsi"/>
                <w:i/>
                <w:iCs/>
              </w:rPr>
              <w:t>Community dwelling</w:t>
            </w:r>
          </w:p>
        </w:tc>
        <w:tc>
          <w:tcPr>
            <w:tcW w:w="3006" w:type="dxa"/>
          </w:tcPr>
          <w:p w14:paraId="748FFBC7" w14:textId="77777777" w:rsidR="00B54D51" w:rsidRPr="00037AD4" w:rsidRDefault="00B54D51" w:rsidP="008F00F0">
            <w:pPr>
              <w:jc w:val="center"/>
              <w:rPr>
                <w:rFonts w:asciiTheme="minorHAnsi" w:hAnsiTheme="minorHAnsi" w:cstheme="minorHAnsi"/>
                <w:i/>
                <w:iCs/>
              </w:rPr>
            </w:pPr>
            <w:r w:rsidRPr="00037AD4">
              <w:rPr>
                <w:rFonts w:asciiTheme="minorHAnsi" w:hAnsiTheme="minorHAnsi" w:cstheme="minorHAnsi"/>
                <w:i/>
                <w:iCs/>
              </w:rPr>
              <w:t>Institutionalised</w:t>
            </w:r>
          </w:p>
        </w:tc>
      </w:tr>
      <w:tr w:rsidR="00B54D51" w:rsidRPr="00037AD4" w14:paraId="3294FCB3" w14:textId="77777777" w:rsidTr="008F00F0">
        <w:tc>
          <w:tcPr>
            <w:tcW w:w="3005" w:type="dxa"/>
          </w:tcPr>
          <w:p w14:paraId="67B73F07"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Mobility</w:t>
            </w:r>
          </w:p>
        </w:tc>
        <w:tc>
          <w:tcPr>
            <w:tcW w:w="3005" w:type="dxa"/>
          </w:tcPr>
          <w:p w14:paraId="7BF9D897"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PwD</w:t>
            </w:r>
          </w:p>
        </w:tc>
        <w:tc>
          <w:tcPr>
            <w:tcW w:w="3006" w:type="dxa"/>
          </w:tcPr>
          <w:p w14:paraId="3AF70C05"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Staff proxy </w:t>
            </w:r>
          </w:p>
        </w:tc>
      </w:tr>
      <w:tr w:rsidR="00B54D51" w:rsidRPr="00037AD4" w14:paraId="12D6898B" w14:textId="77777777" w:rsidTr="008F00F0">
        <w:tc>
          <w:tcPr>
            <w:tcW w:w="3005" w:type="dxa"/>
          </w:tcPr>
          <w:p w14:paraId="18AF338D"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Self-care</w:t>
            </w:r>
          </w:p>
        </w:tc>
        <w:tc>
          <w:tcPr>
            <w:tcW w:w="3005" w:type="dxa"/>
          </w:tcPr>
          <w:p w14:paraId="14595781"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Informal proxy</w:t>
            </w:r>
          </w:p>
        </w:tc>
        <w:tc>
          <w:tcPr>
            <w:tcW w:w="3006" w:type="dxa"/>
          </w:tcPr>
          <w:p w14:paraId="427EBAF1"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Staff proxy </w:t>
            </w:r>
          </w:p>
        </w:tc>
      </w:tr>
      <w:tr w:rsidR="00B54D51" w:rsidRPr="00037AD4" w14:paraId="1E836414" w14:textId="77777777" w:rsidTr="008F00F0">
        <w:tc>
          <w:tcPr>
            <w:tcW w:w="3005" w:type="dxa"/>
          </w:tcPr>
          <w:p w14:paraId="4B6752BE"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Usual activities </w:t>
            </w:r>
          </w:p>
        </w:tc>
        <w:tc>
          <w:tcPr>
            <w:tcW w:w="3005" w:type="dxa"/>
          </w:tcPr>
          <w:p w14:paraId="55DE142B"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Informal proxy</w:t>
            </w:r>
          </w:p>
        </w:tc>
        <w:tc>
          <w:tcPr>
            <w:tcW w:w="3006" w:type="dxa"/>
          </w:tcPr>
          <w:p w14:paraId="43B8AAF5"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Staff proxy</w:t>
            </w:r>
          </w:p>
        </w:tc>
      </w:tr>
      <w:tr w:rsidR="00B54D51" w:rsidRPr="00037AD4" w14:paraId="5B6157E9" w14:textId="77777777" w:rsidTr="008F00F0">
        <w:tc>
          <w:tcPr>
            <w:tcW w:w="3005" w:type="dxa"/>
          </w:tcPr>
          <w:p w14:paraId="31A31C66"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Pain/ discomfort</w:t>
            </w:r>
          </w:p>
        </w:tc>
        <w:tc>
          <w:tcPr>
            <w:tcW w:w="3005" w:type="dxa"/>
          </w:tcPr>
          <w:p w14:paraId="59853352"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PwD</w:t>
            </w:r>
          </w:p>
        </w:tc>
        <w:tc>
          <w:tcPr>
            <w:tcW w:w="3006" w:type="dxa"/>
          </w:tcPr>
          <w:p w14:paraId="660EA874"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PwD </w:t>
            </w:r>
          </w:p>
        </w:tc>
      </w:tr>
      <w:tr w:rsidR="00B54D51" w:rsidRPr="00037AD4" w14:paraId="451693C5" w14:textId="77777777" w:rsidTr="008F00F0">
        <w:tc>
          <w:tcPr>
            <w:tcW w:w="3005" w:type="dxa"/>
          </w:tcPr>
          <w:p w14:paraId="40766374"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 xml:space="preserve">Anxiety/ depression </w:t>
            </w:r>
          </w:p>
        </w:tc>
        <w:tc>
          <w:tcPr>
            <w:tcW w:w="3005" w:type="dxa"/>
          </w:tcPr>
          <w:p w14:paraId="18D242DE"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PwD</w:t>
            </w:r>
          </w:p>
        </w:tc>
        <w:tc>
          <w:tcPr>
            <w:tcW w:w="3006" w:type="dxa"/>
          </w:tcPr>
          <w:p w14:paraId="555BFD70" w14:textId="77777777" w:rsidR="00B54D51" w:rsidRPr="00037AD4" w:rsidRDefault="00B54D51" w:rsidP="008F00F0">
            <w:pPr>
              <w:rPr>
                <w:rFonts w:asciiTheme="minorHAnsi" w:hAnsiTheme="minorHAnsi" w:cstheme="minorHAnsi"/>
              </w:rPr>
            </w:pPr>
            <w:r w:rsidRPr="00037AD4">
              <w:rPr>
                <w:rFonts w:asciiTheme="minorHAnsi" w:hAnsiTheme="minorHAnsi" w:cstheme="minorHAnsi"/>
              </w:rPr>
              <w:t>PwD</w:t>
            </w:r>
          </w:p>
        </w:tc>
      </w:tr>
    </w:tbl>
    <w:p w14:paraId="0E2FBD7E" w14:textId="77777777" w:rsidR="00B54D51" w:rsidRPr="00037AD4" w:rsidRDefault="00B54D51" w:rsidP="00781965">
      <w:pPr>
        <w:rPr>
          <w:rFonts w:asciiTheme="minorHAnsi" w:hAnsiTheme="minorHAnsi" w:cstheme="minorHAnsi"/>
        </w:rPr>
      </w:pPr>
    </w:p>
    <w:p w14:paraId="588544D7" w14:textId="77777777" w:rsidR="00B54D51" w:rsidRDefault="00B54D51" w:rsidP="00CE5FA3">
      <w:pPr>
        <w:pStyle w:val="Heading3"/>
      </w:pPr>
      <w:bookmarkStart w:id="374" w:name="_5.5.4_Policy_implication"/>
      <w:bookmarkStart w:id="375" w:name="_Toc162611984"/>
      <w:bookmarkStart w:id="376" w:name="_Toc175742336"/>
      <w:bookmarkEnd w:id="374"/>
      <w:r>
        <w:t>5.5.4 Implication</w:t>
      </w:r>
      <w:bookmarkEnd w:id="375"/>
      <w:r>
        <w:t xml:space="preserve"> for economic evaluations</w:t>
      </w:r>
      <w:bookmarkEnd w:id="376"/>
      <w:r>
        <w:t xml:space="preserve"> </w:t>
      </w:r>
    </w:p>
    <w:p w14:paraId="0BAEE38B" w14:textId="77777777" w:rsidR="00B54D51" w:rsidRDefault="00B54D51" w:rsidP="00CE5FA3"/>
    <w:p w14:paraId="4F5C1380" w14:textId="17406B6A" w:rsidR="00B54D51" w:rsidRPr="00F70756" w:rsidRDefault="00B54D51" w:rsidP="00CE5FA3">
      <w:pPr>
        <w:rPr>
          <w:rFonts w:asciiTheme="minorHAnsi" w:hAnsiTheme="minorHAnsi" w:cstheme="minorHAnsi"/>
        </w:rPr>
      </w:pPr>
      <w:r w:rsidRPr="00CE5FA3">
        <w:rPr>
          <w:rFonts w:asciiTheme="minorHAnsi" w:hAnsiTheme="minorHAnsi" w:cstheme="minorHAnsi"/>
        </w:rPr>
        <w:t xml:space="preserve">In this chapter, it has been </w:t>
      </w:r>
      <w:r>
        <w:rPr>
          <w:rFonts w:asciiTheme="minorHAnsi" w:hAnsiTheme="minorHAnsi" w:cstheme="minorHAnsi"/>
        </w:rPr>
        <w:t>identified</w:t>
      </w:r>
      <w:r w:rsidRPr="00CE5FA3">
        <w:rPr>
          <w:rFonts w:asciiTheme="minorHAnsi" w:hAnsiTheme="minorHAnsi" w:cstheme="minorHAnsi"/>
        </w:rPr>
        <w:t xml:space="preserve"> that proxy reports demonstrate greater efficacy for specific EQ-5D dimensions, especially those categori</w:t>
      </w:r>
      <w:r>
        <w:rPr>
          <w:rFonts w:asciiTheme="minorHAnsi" w:hAnsiTheme="minorHAnsi" w:cstheme="minorHAnsi"/>
        </w:rPr>
        <w:t>s</w:t>
      </w:r>
      <w:r w:rsidRPr="00CE5FA3">
        <w:rPr>
          <w:rFonts w:asciiTheme="minorHAnsi" w:hAnsiTheme="minorHAnsi" w:cstheme="minorHAnsi"/>
        </w:rPr>
        <w:t>ed as "observable</w:t>
      </w:r>
      <w:r>
        <w:rPr>
          <w:rFonts w:asciiTheme="minorHAnsi" w:hAnsiTheme="minorHAnsi" w:cstheme="minorHAnsi"/>
        </w:rPr>
        <w:t>”, while</w:t>
      </w:r>
      <w:r w:rsidRPr="00CE5FA3">
        <w:rPr>
          <w:rFonts w:asciiTheme="minorHAnsi" w:hAnsiTheme="minorHAnsi" w:cstheme="minorHAnsi"/>
        </w:rPr>
        <w:t xml:space="preserve"> for </w:t>
      </w:r>
      <w:r>
        <w:rPr>
          <w:rFonts w:asciiTheme="minorHAnsi" w:hAnsiTheme="minorHAnsi" w:cstheme="minorHAnsi"/>
        </w:rPr>
        <w:t>the</w:t>
      </w:r>
      <w:r w:rsidRPr="00CE5FA3">
        <w:rPr>
          <w:rFonts w:asciiTheme="minorHAnsi" w:hAnsiTheme="minorHAnsi" w:cstheme="minorHAnsi"/>
        </w:rPr>
        <w:t xml:space="preserve"> "non-observable</w:t>
      </w:r>
      <w:r>
        <w:rPr>
          <w:rFonts w:asciiTheme="minorHAnsi" w:hAnsiTheme="minorHAnsi" w:cstheme="minorHAnsi"/>
        </w:rPr>
        <w:t>” dimension</w:t>
      </w:r>
      <w:r w:rsidR="000E3774">
        <w:rPr>
          <w:rFonts w:asciiTheme="minorHAnsi" w:hAnsiTheme="minorHAnsi" w:cstheme="minorHAnsi"/>
        </w:rPr>
        <w:t>s</w:t>
      </w:r>
      <w:r>
        <w:rPr>
          <w:rFonts w:asciiTheme="minorHAnsi" w:hAnsiTheme="minorHAnsi" w:cstheme="minorHAnsi"/>
        </w:rPr>
        <w:t>, PwD self-report</w:t>
      </w:r>
      <w:r w:rsidRPr="00CE5FA3">
        <w:rPr>
          <w:rFonts w:asciiTheme="minorHAnsi" w:hAnsiTheme="minorHAnsi" w:cstheme="minorHAnsi"/>
        </w:rPr>
        <w:t xml:space="preserve"> is preferred. </w:t>
      </w:r>
      <w:r>
        <w:rPr>
          <w:rFonts w:asciiTheme="minorHAnsi" w:hAnsiTheme="minorHAnsi" w:cstheme="minorHAnsi"/>
        </w:rPr>
        <w:t>As a result</w:t>
      </w:r>
      <w:r w:rsidRPr="00CE5FA3">
        <w:rPr>
          <w:rFonts w:asciiTheme="minorHAnsi" w:hAnsiTheme="minorHAnsi" w:cstheme="minorHAnsi"/>
        </w:rPr>
        <w:t xml:space="preserve">, a </w:t>
      </w:r>
      <w:r>
        <w:rPr>
          <w:rFonts w:asciiTheme="minorHAnsi" w:hAnsiTheme="minorHAnsi" w:cstheme="minorHAnsi"/>
        </w:rPr>
        <w:t>combined</w:t>
      </w:r>
      <w:r w:rsidRPr="00CE5FA3">
        <w:rPr>
          <w:rFonts w:asciiTheme="minorHAnsi" w:hAnsiTheme="minorHAnsi" w:cstheme="minorHAnsi"/>
        </w:rPr>
        <w:t xml:space="preserve"> score has been suggested.</w:t>
      </w:r>
      <w:r>
        <w:rPr>
          <w:rFonts w:asciiTheme="minorHAnsi" w:hAnsiTheme="minorHAnsi" w:cstheme="minorHAnsi"/>
        </w:rPr>
        <w:t xml:space="preserve"> In this section, the impact of applying the combined score is investigated. </w:t>
      </w:r>
      <w:r w:rsidRPr="009F604F">
        <w:rPr>
          <w:rFonts w:asciiTheme="minorHAnsi" w:hAnsiTheme="minorHAnsi" w:cstheme="minorHAnsi"/>
        </w:rPr>
        <w:t xml:space="preserve">Table 34 </w:t>
      </w:r>
      <w:r w:rsidRPr="00F70756">
        <w:rPr>
          <w:rFonts w:asciiTheme="minorHAnsi" w:hAnsiTheme="minorHAnsi" w:cstheme="minorHAnsi"/>
        </w:rPr>
        <w:t xml:space="preserve">presents </w:t>
      </w:r>
      <w:r w:rsidRPr="009F604F">
        <w:rPr>
          <w:rFonts w:asciiTheme="minorHAnsi" w:hAnsiTheme="minorHAnsi" w:cstheme="minorHAnsi"/>
        </w:rPr>
        <w:t xml:space="preserve">mean EQ-5D index scores </w:t>
      </w:r>
      <w:r w:rsidRPr="00F70756">
        <w:rPr>
          <w:rFonts w:asciiTheme="minorHAnsi" w:hAnsiTheme="minorHAnsi" w:cstheme="minorHAnsi"/>
        </w:rPr>
        <w:t>from PwD self-report</w:t>
      </w:r>
      <w:r w:rsidRPr="009F604F">
        <w:rPr>
          <w:rFonts w:asciiTheme="minorHAnsi" w:hAnsiTheme="minorHAnsi" w:cstheme="minorHAnsi"/>
        </w:rPr>
        <w:t xml:space="preserve">, from proxies </w:t>
      </w:r>
      <w:r w:rsidRPr="00F70756">
        <w:rPr>
          <w:rFonts w:asciiTheme="minorHAnsi" w:hAnsiTheme="minorHAnsi" w:cstheme="minorHAnsi"/>
        </w:rPr>
        <w:t>and from</w:t>
      </w:r>
      <w:r w:rsidRPr="009F604F">
        <w:rPr>
          <w:rFonts w:asciiTheme="minorHAnsi" w:hAnsiTheme="minorHAnsi" w:cstheme="minorHAnsi"/>
        </w:rPr>
        <w:t xml:space="preserve"> estimating combined scores based on the target dimension reports </w:t>
      </w:r>
      <w:r w:rsidRPr="00F70756">
        <w:rPr>
          <w:rFonts w:asciiTheme="minorHAnsi" w:hAnsiTheme="minorHAnsi" w:cstheme="minorHAnsi"/>
        </w:rPr>
        <w:t>outlined</w:t>
      </w:r>
      <w:r w:rsidRPr="009F604F">
        <w:rPr>
          <w:rFonts w:asciiTheme="minorHAnsi" w:hAnsiTheme="minorHAnsi" w:cstheme="minorHAnsi"/>
        </w:rPr>
        <w:t xml:space="preserve"> in Table 33.</w:t>
      </w:r>
      <w:r w:rsidRPr="00F70756">
        <w:rPr>
          <w:rFonts w:asciiTheme="minorHAnsi" w:hAnsiTheme="minorHAnsi" w:cstheme="minorHAnsi"/>
          <w:color w:val="0D0D0D"/>
          <w:shd w:val="clear" w:color="auto" w:fill="FFFFFF"/>
        </w:rPr>
        <w:t xml:space="preserve"> The scores presented are estimated from </w:t>
      </w:r>
      <w:r>
        <w:rPr>
          <w:rFonts w:asciiTheme="minorHAnsi" w:hAnsiTheme="minorHAnsi" w:cstheme="minorHAnsi"/>
          <w:color w:val="0D0D0D"/>
          <w:shd w:val="clear" w:color="auto" w:fill="FFFFFF"/>
        </w:rPr>
        <w:t>dyads where complete data are available</w:t>
      </w:r>
      <w:r w:rsidRPr="00F70756">
        <w:rPr>
          <w:rFonts w:asciiTheme="minorHAnsi" w:hAnsiTheme="minorHAnsi" w:cstheme="minorHAnsi"/>
          <w:color w:val="0D0D0D"/>
          <w:shd w:val="clear" w:color="auto" w:fill="FFFFFF"/>
        </w:rPr>
        <w:t xml:space="preserve"> and </w:t>
      </w:r>
      <w:r w:rsidRPr="009F604F">
        <w:rPr>
          <w:rFonts w:asciiTheme="minorHAnsi" w:hAnsiTheme="minorHAnsi" w:cstheme="minorHAnsi"/>
        </w:rPr>
        <w:t xml:space="preserve">are </w:t>
      </w:r>
      <w:r w:rsidRPr="00F70756">
        <w:rPr>
          <w:rFonts w:asciiTheme="minorHAnsi" w:hAnsiTheme="minorHAnsi" w:cstheme="minorHAnsi"/>
        </w:rPr>
        <w:t>present</w:t>
      </w:r>
      <w:r>
        <w:rPr>
          <w:rFonts w:asciiTheme="minorHAnsi" w:hAnsiTheme="minorHAnsi" w:cstheme="minorHAnsi"/>
        </w:rPr>
        <w:t>ed</w:t>
      </w:r>
      <w:r w:rsidRPr="009F604F">
        <w:rPr>
          <w:rFonts w:asciiTheme="minorHAnsi" w:hAnsiTheme="minorHAnsi" w:cstheme="minorHAnsi"/>
        </w:rPr>
        <w:t xml:space="preserve"> by CDR stage </w:t>
      </w:r>
      <w:r w:rsidRPr="00F70756">
        <w:rPr>
          <w:rFonts w:asciiTheme="minorHAnsi" w:hAnsiTheme="minorHAnsi" w:cstheme="minorHAnsi"/>
        </w:rPr>
        <w:t xml:space="preserve">for </w:t>
      </w:r>
      <w:r w:rsidRPr="009F604F">
        <w:rPr>
          <w:rFonts w:asciiTheme="minorHAnsi" w:hAnsiTheme="minorHAnsi" w:cstheme="minorHAnsi"/>
        </w:rPr>
        <w:t>the two datasets, ACTIFCARE and EPIC</w:t>
      </w:r>
      <w:r w:rsidRPr="0085385D">
        <w:rPr>
          <w:rFonts w:asciiTheme="minorHAnsi" w:hAnsiTheme="minorHAnsi" w:cstheme="minorHAnsi"/>
        </w:rPr>
        <w:t>.</w:t>
      </w:r>
      <w:r w:rsidR="0085385D">
        <w:rPr>
          <w:rFonts w:asciiTheme="minorHAnsi" w:hAnsiTheme="minorHAnsi" w:cstheme="minorHAnsi"/>
        </w:rPr>
        <w:t xml:space="preserve"> </w:t>
      </w:r>
      <w:r w:rsidR="0085385D" w:rsidRPr="00D64113">
        <w:rPr>
          <w:rFonts w:asciiTheme="minorHAnsi" w:hAnsiTheme="minorHAnsi" w:cstheme="minorHAnsi"/>
        </w:rPr>
        <w:t>Paired samples T-tests</w:t>
      </w:r>
      <w:r w:rsidR="0085385D">
        <w:rPr>
          <w:rFonts w:asciiTheme="minorHAnsi" w:hAnsiTheme="minorHAnsi" w:cstheme="minorHAnsi"/>
        </w:rPr>
        <w:t xml:space="preserve"> are used to </w:t>
      </w:r>
      <w:r w:rsidR="00A974EE">
        <w:rPr>
          <w:rFonts w:asciiTheme="minorHAnsi" w:hAnsiTheme="minorHAnsi" w:cstheme="minorHAnsi"/>
        </w:rPr>
        <w:t>test</w:t>
      </w:r>
      <w:r w:rsidR="0085385D">
        <w:rPr>
          <w:rFonts w:asciiTheme="minorHAnsi" w:hAnsiTheme="minorHAnsi" w:cstheme="minorHAnsi"/>
        </w:rPr>
        <w:t xml:space="preserve"> whether the combined score is statistically significantly different to either PwD or proxy score alone.</w:t>
      </w:r>
      <w:r w:rsidRPr="0085385D">
        <w:rPr>
          <w:rFonts w:asciiTheme="minorHAnsi" w:hAnsiTheme="minorHAnsi" w:cstheme="minorHAnsi"/>
        </w:rPr>
        <w:t xml:space="preserve"> In the ACTIFCARE dataset, the combined scores were higher than proxy assessments and lower than self-report scores. </w:t>
      </w:r>
      <w:r w:rsidR="00A7073A" w:rsidRPr="0085385D">
        <w:rPr>
          <w:rFonts w:asciiTheme="minorHAnsi" w:hAnsiTheme="minorHAnsi" w:cstheme="minorHAnsi"/>
        </w:rPr>
        <w:t xml:space="preserve">For the EPIC dataset, the combined scores are not a midpoint between staff proxy and PwD self-reports. The combined scores is lower than either of the two "pure" </w:t>
      </w:r>
      <w:r w:rsidR="00D64113" w:rsidRPr="0085385D">
        <w:rPr>
          <w:rFonts w:asciiTheme="minorHAnsi" w:hAnsiTheme="minorHAnsi" w:cstheme="minorHAnsi"/>
        </w:rPr>
        <w:t>scores</w:t>
      </w:r>
      <w:r w:rsidR="00D64113">
        <w:rPr>
          <w:rFonts w:asciiTheme="minorHAnsi" w:hAnsiTheme="minorHAnsi" w:cstheme="minorHAnsi"/>
        </w:rPr>
        <w:t xml:space="preserve"> and</w:t>
      </w:r>
      <w:r w:rsidR="0085385D">
        <w:rPr>
          <w:rFonts w:asciiTheme="minorHAnsi" w:hAnsiTheme="minorHAnsi" w:cstheme="minorHAnsi"/>
        </w:rPr>
        <w:t xml:space="preserve"> is only statistically significantly different to PwD-reported scores</w:t>
      </w:r>
      <w:r w:rsidR="00A7073A" w:rsidRPr="0085385D">
        <w:rPr>
          <w:rFonts w:asciiTheme="minorHAnsi" w:hAnsiTheme="minorHAnsi" w:cstheme="minorHAnsi"/>
        </w:rPr>
        <w:t>. This observation highlights the distinct nature of the combined scoring method, suggesting a stronger correlation with staff proxy ratings across all CDR stages.</w:t>
      </w:r>
    </w:p>
    <w:p w14:paraId="1A6504B2" w14:textId="77777777" w:rsidR="00B54D51" w:rsidRPr="009F604F" w:rsidRDefault="00B54D51" w:rsidP="00CE5FA3">
      <w:pPr>
        <w:rPr>
          <w:rFonts w:asciiTheme="minorHAnsi" w:hAnsiTheme="minorHAnsi" w:cstheme="minorHAnsi"/>
        </w:rPr>
      </w:pPr>
    </w:p>
    <w:p w14:paraId="3071E96C" w14:textId="35BDAB9C" w:rsidR="00B54D51" w:rsidRDefault="00B54D51" w:rsidP="00CE5FA3">
      <w:pPr>
        <w:rPr>
          <w:rFonts w:asciiTheme="minorHAnsi" w:hAnsiTheme="minorHAnsi" w:cstheme="minorHAnsi"/>
        </w:rPr>
      </w:pPr>
      <w:r w:rsidRPr="009F604F">
        <w:rPr>
          <w:rFonts w:asciiTheme="minorHAnsi" w:hAnsiTheme="minorHAnsi" w:cstheme="minorHAnsi"/>
        </w:rPr>
        <w:t>ACTIFCARE data reveal</w:t>
      </w:r>
      <w:r>
        <w:rPr>
          <w:rFonts w:asciiTheme="minorHAnsi" w:hAnsiTheme="minorHAnsi" w:cstheme="minorHAnsi"/>
        </w:rPr>
        <w:t>s</w:t>
      </w:r>
      <w:r w:rsidRPr="009F604F">
        <w:rPr>
          <w:rFonts w:asciiTheme="minorHAnsi" w:hAnsiTheme="minorHAnsi" w:cstheme="minorHAnsi"/>
        </w:rPr>
        <w:t xml:space="preserve"> that the change in scores observed when </w:t>
      </w:r>
      <w:r w:rsidRPr="00F70756">
        <w:rPr>
          <w:rFonts w:asciiTheme="minorHAnsi" w:hAnsiTheme="minorHAnsi" w:cstheme="minorHAnsi"/>
        </w:rPr>
        <w:t>using</w:t>
      </w:r>
      <w:r w:rsidRPr="009F604F">
        <w:rPr>
          <w:rFonts w:asciiTheme="minorHAnsi" w:hAnsiTheme="minorHAnsi" w:cstheme="minorHAnsi"/>
        </w:rPr>
        <w:t xml:space="preserve"> the combined utility score </w:t>
      </w:r>
      <w:r>
        <w:rPr>
          <w:rFonts w:asciiTheme="minorHAnsi" w:hAnsiTheme="minorHAnsi" w:cstheme="minorHAnsi"/>
        </w:rPr>
        <w:t>is</w:t>
      </w:r>
      <w:r w:rsidRPr="009F604F">
        <w:rPr>
          <w:rFonts w:asciiTheme="minorHAnsi" w:hAnsiTheme="minorHAnsi" w:cstheme="minorHAnsi"/>
        </w:rPr>
        <w:t xml:space="preserve"> below proxy report</w:t>
      </w:r>
      <w:r>
        <w:rPr>
          <w:rFonts w:asciiTheme="minorHAnsi" w:hAnsiTheme="minorHAnsi" w:cstheme="minorHAnsi"/>
        </w:rPr>
        <w:t>,</w:t>
      </w:r>
      <w:r w:rsidRPr="009F604F">
        <w:rPr>
          <w:rFonts w:asciiTheme="minorHAnsi" w:hAnsiTheme="minorHAnsi" w:cstheme="minorHAnsi"/>
        </w:rPr>
        <w:t xml:space="preserve"> but above self-report by </w:t>
      </w:r>
      <w:r w:rsidRPr="00F70756">
        <w:rPr>
          <w:rFonts w:asciiTheme="minorHAnsi" w:hAnsiTheme="minorHAnsi" w:cstheme="minorHAnsi"/>
        </w:rPr>
        <w:t>people with dementia</w:t>
      </w:r>
      <w:r w:rsidRPr="009F604F">
        <w:rPr>
          <w:rFonts w:asciiTheme="minorHAnsi" w:hAnsiTheme="minorHAnsi" w:cstheme="minorHAnsi"/>
        </w:rPr>
        <w:t xml:space="preserve">. </w:t>
      </w:r>
      <w:r w:rsidRPr="00F70756">
        <w:rPr>
          <w:rFonts w:asciiTheme="minorHAnsi" w:hAnsiTheme="minorHAnsi" w:cstheme="minorHAnsi"/>
        </w:rPr>
        <w:t>I</w:t>
      </w:r>
      <w:r w:rsidRPr="009F604F">
        <w:rPr>
          <w:rFonts w:asciiTheme="minorHAnsi" w:hAnsiTheme="minorHAnsi" w:cstheme="minorHAnsi"/>
        </w:rPr>
        <w:t xml:space="preserve">n the EPIC </w:t>
      </w:r>
      <w:r w:rsidRPr="009F604F">
        <w:rPr>
          <w:rFonts w:asciiTheme="minorHAnsi" w:hAnsiTheme="minorHAnsi" w:cstheme="minorHAnsi"/>
        </w:rPr>
        <w:lastRenderedPageBreak/>
        <w:t xml:space="preserve">dataset, the combined utility score showcases a more pronounced decline in EQ-5D index scores compared to either self-reports or proxy reports alone. This </w:t>
      </w:r>
      <w:r w:rsidRPr="00F70756">
        <w:rPr>
          <w:rFonts w:asciiTheme="minorHAnsi" w:hAnsiTheme="minorHAnsi" w:cstheme="minorHAnsi"/>
        </w:rPr>
        <w:t>trend</w:t>
      </w:r>
      <w:r w:rsidRPr="009F604F">
        <w:rPr>
          <w:rFonts w:asciiTheme="minorHAnsi" w:hAnsiTheme="minorHAnsi" w:cstheme="minorHAnsi"/>
        </w:rPr>
        <w:t xml:space="preserve"> arises from the integration of dimensions most sensitive to change from either respondent, thereby theoretically the </w:t>
      </w:r>
      <w:r w:rsidRPr="00F70756">
        <w:rPr>
          <w:rFonts w:asciiTheme="minorHAnsi" w:hAnsiTheme="minorHAnsi" w:cstheme="minorHAnsi"/>
        </w:rPr>
        <w:t>combined</w:t>
      </w:r>
      <w:r w:rsidRPr="009F604F">
        <w:rPr>
          <w:rFonts w:asciiTheme="minorHAnsi" w:hAnsiTheme="minorHAnsi" w:cstheme="minorHAnsi"/>
        </w:rPr>
        <w:t xml:space="preserve"> utility score </w:t>
      </w:r>
      <w:r w:rsidRPr="00F70756">
        <w:rPr>
          <w:rFonts w:asciiTheme="minorHAnsi" w:hAnsiTheme="minorHAnsi" w:cstheme="minorHAnsi"/>
        </w:rPr>
        <w:t>is more sensitive to changes.</w:t>
      </w:r>
      <w:r w:rsidRPr="009F604F">
        <w:rPr>
          <w:rFonts w:asciiTheme="minorHAnsi" w:hAnsiTheme="minorHAnsi" w:cstheme="minorHAnsi"/>
        </w:rPr>
        <w:t xml:space="preserve"> </w:t>
      </w:r>
      <w:r w:rsidRPr="00F70756">
        <w:rPr>
          <w:rFonts w:asciiTheme="minorHAnsi" w:hAnsiTheme="minorHAnsi" w:cstheme="minorHAnsi"/>
        </w:rPr>
        <w:t>T</w:t>
      </w:r>
      <w:r w:rsidRPr="009F604F">
        <w:rPr>
          <w:rFonts w:asciiTheme="minorHAnsi" w:hAnsiTheme="minorHAnsi" w:cstheme="minorHAnsi"/>
        </w:rPr>
        <w:t xml:space="preserve">he combined score generated for EPIC </w:t>
      </w:r>
      <w:r w:rsidRPr="00F70756">
        <w:rPr>
          <w:rFonts w:asciiTheme="minorHAnsi" w:hAnsiTheme="minorHAnsi" w:cstheme="minorHAnsi"/>
        </w:rPr>
        <w:t>integrates</w:t>
      </w:r>
      <w:r w:rsidRPr="009F604F">
        <w:rPr>
          <w:rFonts w:asciiTheme="minorHAnsi" w:hAnsiTheme="minorHAnsi" w:cstheme="minorHAnsi"/>
        </w:rPr>
        <w:t xml:space="preserve"> three (staff) proxy dimension reports, in contrast to ACTIFCARE, where only two proxy dimension reports </w:t>
      </w:r>
      <w:r w:rsidRPr="00F70756">
        <w:rPr>
          <w:rFonts w:asciiTheme="minorHAnsi" w:hAnsiTheme="minorHAnsi" w:cstheme="minorHAnsi"/>
        </w:rPr>
        <w:t>replace</w:t>
      </w:r>
      <w:r w:rsidRPr="009F604F">
        <w:rPr>
          <w:rFonts w:asciiTheme="minorHAnsi" w:hAnsiTheme="minorHAnsi" w:cstheme="minorHAnsi"/>
        </w:rPr>
        <w:t xml:space="preserve"> self-reports from</w:t>
      </w:r>
      <w:r w:rsidRPr="00F70756">
        <w:rPr>
          <w:rFonts w:asciiTheme="minorHAnsi" w:hAnsiTheme="minorHAnsi" w:cstheme="minorHAnsi"/>
        </w:rPr>
        <w:t xml:space="preserve"> the PwD. </w:t>
      </w:r>
    </w:p>
    <w:p w14:paraId="3301CD77" w14:textId="77777777" w:rsidR="00C2053F" w:rsidRPr="00F70756" w:rsidRDefault="00C2053F" w:rsidP="00CE5FA3">
      <w:pPr>
        <w:rPr>
          <w:rFonts w:asciiTheme="minorHAnsi" w:hAnsiTheme="minorHAnsi" w:cstheme="minorHAnsi"/>
        </w:rPr>
      </w:pPr>
    </w:p>
    <w:p w14:paraId="39CC2A17" w14:textId="6329F4CD" w:rsidR="00B54D51" w:rsidRDefault="00C2053F" w:rsidP="00CE5FA3">
      <w:pPr>
        <w:rPr>
          <w:rFonts w:asciiTheme="minorHAnsi" w:hAnsiTheme="minorHAnsi" w:cstheme="minorHAnsi"/>
        </w:rPr>
      </w:pPr>
      <w:r w:rsidRPr="00C2053F">
        <w:rPr>
          <w:rFonts w:asciiTheme="minorHAnsi" w:hAnsiTheme="minorHAnsi" w:cstheme="minorHAnsi"/>
        </w:rPr>
        <w:t xml:space="preserve">Additionally, the difference in utilities appears to be larger between CDR stable and CDR progressed from </w:t>
      </w:r>
      <w:r>
        <w:rPr>
          <w:rFonts w:asciiTheme="minorHAnsi" w:hAnsiTheme="minorHAnsi" w:cstheme="minorHAnsi"/>
        </w:rPr>
        <w:t>baseline</w:t>
      </w:r>
      <w:r w:rsidRPr="00C2053F">
        <w:rPr>
          <w:rFonts w:asciiTheme="minorHAnsi" w:hAnsiTheme="minorHAnsi" w:cstheme="minorHAnsi"/>
        </w:rPr>
        <w:t xml:space="preserve"> to</w:t>
      </w:r>
      <w:r>
        <w:rPr>
          <w:rFonts w:asciiTheme="minorHAnsi" w:hAnsiTheme="minorHAnsi" w:cstheme="minorHAnsi"/>
        </w:rPr>
        <w:t xml:space="preserve"> final follow-up when</w:t>
      </w:r>
      <w:r w:rsidRPr="00C2053F">
        <w:rPr>
          <w:rFonts w:asciiTheme="minorHAnsi" w:hAnsiTheme="minorHAnsi" w:cstheme="minorHAnsi"/>
        </w:rPr>
        <w:t xml:space="preserve"> using the combined score, suggesting that the difference in utilities may be larger taking this combined approach. It</w:t>
      </w:r>
      <w:r>
        <w:rPr>
          <w:rFonts w:asciiTheme="minorHAnsi" w:hAnsiTheme="minorHAnsi" w:cstheme="minorHAnsi"/>
        </w:rPr>
        <w:t xml:space="preserve"> is</w:t>
      </w:r>
      <w:r w:rsidRPr="00C2053F">
        <w:rPr>
          <w:rFonts w:asciiTheme="minorHAnsi" w:hAnsiTheme="minorHAnsi" w:cstheme="minorHAnsi"/>
        </w:rPr>
        <w:t xml:space="preserve"> important to note that this observation is based on the datasets </w:t>
      </w:r>
      <w:r>
        <w:rPr>
          <w:rFonts w:asciiTheme="minorHAnsi" w:hAnsiTheme="minorHAnsi" w:cstheme="minorHAnsi"/>
        </w:rPr>
        <w:t>analysed with</w:t>
      </w:r>
      <w:r w:rsidRPr="00C2053F">
        <w:rPr>
          <w:rFonts w:asciiTheme="minorHAnsi" w:hAnsiTheme="minorHAnsi" w:cstheme="minorHAnsi"/>
        </w:rPr>
        <w:t xml:space="preserve">in this </w:t>
      </w:r>
      <w:r>
        <w:rPr>
          <w:rFonts w:asciiTheme="minorHAnsi" w:hAnsiTheme="minorHAnsi" w:cstheme="minorHAnsi"/>
        </w:rPr>
        <w:t>thesis and</w:t>
      </w:r>
      <w:r w:rsidRPr="00C2053F">
        <w:rPr>
          <w:rFonts w:asciiTheme="minorHAnsi" w:hAnsiTheme="minorHAnsi" w:cstheme="minorHAnsi"/>
        </w:rPr>
        <w:t xml:space="preserve"> may not be generali</w:t>
      </w:r>
      <w:r>
        <w:rPr>
          <w:rFonts w:asciiTheme="minorHAnsi" w:hAnsiTheme="minorHAnsi" w:cstheme="minorHAnsi"/>
        </w:rPr>
        <w:t>s</w:t>
      </w:r>
      <w:r w:rsidRPr="00C2053F">
        <w:rPr>
          <w:rFonts w:asciiTheme="minorHAnsi" w:hAnsiTheme="minorHAnsi" w:cstheme="minorHAnsi"/>
        </w:rPr>
        <w:t>able to all contexts.</w:t>
      </w:r>
      <w:r>
        <w:rPr>
          <w:rFonts w:asciiTheme="minorHAnsi" w:hAnsiTheme="minorHAnsi" w:cstheme="minorHAnsi"/>
        </w:rPr>
        <w:t xml:space="preserve"> </w:t>
      </w:r>
      <w:r w:rsidR="00B54D51" w:rsidRPr="009F604F">
        <w:rPr>
          <w:rFonts w:asciiTheme="minorHAnsi" w:hAnsiTheme="minorHAnsi" w:cstheme="minorHAnsi"/>
        </w:rPr>
        <w:t xml:space="preserve">These findings </w:t>
      </w:r>
      <w:r w:rsidR="00B54D51" w:rsidRPr="00F70756">
        <w:rPr>
          <w:rFonts w:asciiTheme="minorHAnsi" w:hAnsiTheme="minorHAnsi" w:cstheme="minorHAnsi"/>
        </w:rPr>
        <w:t>highlight</w:t>
      </w:r>
      <w:r w:rsidR="00B54D51" w:rsidRPr="009F604F">
        <w:rPr>
          <w:rFonts w:asciiTheme="minorHAnsi" w:hAnsiTheme="minorHAnsi" w:cstheme="minorHAnsi"/>
        </w:rPr>
        <w:t xml:space="preserve"> the </w:t>
      </w:r>
      <w:r w:rsidR="00B54D51" w:rsidRPr="00F70756">
        <w:rPr>
          <w:rFonts w:asciiTheme="minorHAnsi" w:hAnsiTheme="minorHAnsi" w:cstheme="minorHAnsi"/>
        </w:rPr>
        <w:t>different</w:t>
      </w:r>
      <w:r w:rsidR="00B54D51" w:rsidRPr="009F604F">
        <w:rPr>
          <w:rFonts w:asciiTheme="minorHAnsi" w:hAnsiTheme="minorHAnsi" w:cstheme="minorHAnsi"/>
        </w:rPr>
        <w:t xml:space="preserve"> impact</w:t>
      </w:r>
      <w:r w:rsidR="00B54D51" w:rsidRPr="00F70756">
        <w:rPr>
          <w:rFonts w:asciiTheme="minorHAnsi" w:hAnsiTheme="minorHAnsi" w:cstheme="minorHAnsi"/>
        </w:rPr>
        <w:t xml:space="preserve"> </w:t>
      </w:r>
      <w:r w:rsidR="00B54D51" w:rsidRPr="009F604F">
        <w:rPr>
          <w:rFonts w:asciiTheme="minorHAnsi" w:hAnsiTheme="minorHAnsi" w:cstheme="minorHAnsi"/>
        </w:rPr>
        <w:t xml:space="preserve">of </w:t>
      </w:r>
      <w:r w:rsidR="00B54D51" w:rsidRPr="00F70756">
        <w:rPr>
          <w:rFonts w:asciiTheme="minorHAnsi" w:hAnsiTheme="minorHAnsi" w:cstheme="minorHAnsi"/>
        </w:rPr>
        <w:t>applying</w:t>
      </w:r>
      <w:r w:rsidR="00B54D51" w:rsidRPr="009F604F">
        <w:rPr>
          <w:rFonts w:asciiTheme="minorHAnsi" w:hAnsiTheme="minorHAnsi" w:cstheme="minorHAnsi"/>
        </w:rPr>
        <w:t xml:space="preserve"> a combined score across datasets, </w:t>
      </w:r>
      <w:r w:rsidR="00B54D51" w:rsidRPr="00F70756">
        <w:rPr>
          <w:rFonts w:asciiTheme="minorHAnsi" w:hAnsiTheme="minorHAnsi" w:cstheme="minorHAnsi"/>
        </w:rPr>
        <w:t>suggesting</w:t>
      </w:r>
      <w:r w:rsidR="00B54D51" w:rsidRPr="009F604F">
        <w:rPr>
          <w:rFonts w:asciiTheme="minorHAnsi" w:hAnsiTheme="minorHAnsi" w:cstheme="minorHAnsi"/>
        </w:rPr>
        <w:t xml:space="preserve"> potential dataset-dependent variations. The heightened sensitivity in detecting benefits </w:t>
      </w:r>
      <w:r w:rsidR="00B54D51" w:rsidRPr="00F70756">
        <w:rPr>
          <w:rFonts w:asciiTheme="minorHAnsi" w:hAnsiTheme="minorHAnsi" w:cstheme="minorHAnsi"/>
        </w:rPr>
        <w:t xml:space="preserve">of treatments, </w:t>
      </w:r>
      <w:r w:rsidR="00B54D51" w:rsidRPr="009F604F">
        <w:rPr>
          <w:rFonts w:asciiTheme="minorHAnsi" w:hAnsiTheme="minorHAnsi" w:cstheme="minorHAnsi"/>
        </w:rPr>
        <w:t>or lack thereof</w:t>
      </w:r>
      <w:r w:rsidR="00B54D51" w:rsidRPr="00F70756">
        <w:rPr>
          <w:rFonts w:asciiTheme="minorHAnsi" w:hAnsiTheme="minorHAnsi" w:cstheme="minorHAnsi"/>
        </w:rPr>
        <w:t>,</w:t>
      </w:r>
      <w:r w:rsidR="00B54D51" w:rsidRPr="009F604F">
        <w:rPr>
          <w:rFonts w:asciiTheme="minorHAnsi" w:hAnsiTheme="minorHAnsi" w:cstheme="minorHAnsi"/>
        </w:rPr>
        <w:t xml:space="preserve"> may </w:t>
      </w:r>
      <w:r w:rsidR="00B54D51" w:rsidRPr="00F70756">
        <w:rPr>
          <w:rFonts w:asciiTheme="minorHAnsi" w:hAnsiTheme="minorHAnsi" w:cstheme="minorHAnsi"/>
        </w:rPr>
        <w:t>impact</w:t>
      </w:r>
      <w:r w:rsidR="00B54D51" w:rsidRPr="009F604F">
        <w:rPr>
          <w:rFonts w:asciiTheme="minorHAnsi" w:hAnsiTheme="minorHAnsi" w:cstheme="minorHAnsi"/>
        </w:rPr>
        <w:t xml:space="preserve"> decision-making processes</w:t>
      </w:r>
      <w:r w:rsidR="00B54D51" w:rsidRPr="00F70756">
        <w:rPr>
          <w:rFonts w:asciiTheme="minorHAnsi" w:hAnsiTheme="minorHAnsi" w:cstheme="minorHAnsi"/>
        </w:rPr>
        <w:t xml:space="preserve">. </w:t>
      </w:r>
      <w:r w:rsidR="00B54D51" w:rsidRPr="009F604F">
        <w:rPr>
          <w:rFonts w:asciiTheme="minorHAnsi" w:hAnsiTheme="minorHAnsi" w:cstheme="minorHAnsi"/>
        </w:rPr>
        <w:t xml:space="preserve">A more sensitive EQ-5D change score </w:t>
      </w:r>
      <w:r w:rsidR="00B54D51" w:rsidRPr="00F70756">
        <w:rPr>
          <w:rFonts w:asciiTheme="minorHAnsi" w:hAnsiTheme="minorHAnsi" w:cstheme="minorHAnsi"/>
        </w:rPr>
        <w:t xml:space="preserve">may translate to </w:t>
      </w:r>
      <w:r w:rsidR="00B54D51" w:rsidRPr="009F604F">
        <w:rPr>
          <w:rFonts w:asciiTheme="minorHAnsi" w:hAnsiTheme="minorHAnsi" w:cstheme="minorHAnsi"/>
        </w:rPr>
        <w:t xml:space="preserve">larger incremental QALY gains, thereby influencing ICER estimations and subsequent decisions regarding treatment funding. </w:t>
      </w:r>
    </w:p>
    <w:p w14:paraId="52217AE7" w14:textId="77777777" w:rsidR="00A7073A" w:rsidRDefault="00A7073A" w:rsidP="00806A89"/>
    <w:p w14:paraId="4A8BE8E2" w14:textId="09E82949" w:rsidR="00B54D51" w:rsidRPr="00037AD4" w:rsidRDefault="00B54D51" w:rsidP="00806A89">
      <w:pPr>
        <w:rPr>
          <w:rFonts w:asciiTheme="minorHAnsi" w:hAnsiTheme="minorHAnsi" w:cstheme="minorHAnsi"/>
          <w:b/>
          <w:bCs/>
          <w:i/>
          <w:iCs/>
        </w:rPr>
      </w:pPr>
      <w:r w:rsidRPr="00037AD4">
        <w:rPr>
          <w:rFonts w:asciiTheme="minorHAnsi" w:hAnsiTheme="minorHAnsi" w:cstheme="minorHAnsi"/>
          <w:b/>
          <w:bCs/>
          <w:i/>
          <w:iCs/>
        </w:rPr>
        <w:t xml:space="preserve">Table 34, </w:t>
      </w:r>
      <w:r w:rsidR="00A7073A">
        <w:rPr>
          <w:rFonts w:asciiTheme="minorHAnsi" w:hAnsiTheme="minorHAnsi" w:cstheme="minorHAnsi"/>
          <w:b/>
          <w:bCs/>
          <w:i/>
          <w:iCs/>
        </w:rPr>
        <w:t xml:space="preserve">Mean EQ-5D by respondent type and disease severity stage </w:t>
      </w:r>
      <w:r w:rsidRPr="00037AD4">
        <w:rPr>
          <w:rFonts w:asciiTheme="minorHAnsi" w:hAnsiTheme="minorHAnsi" w:cstheme="minorHAnsi"/>
          <w:b/>
          <w:bCs/>
          <w:i/>
          <w:iCs/>
        </w:rPr>
        <w:t xml:space="preserve"> </w:t>
      </w:r>
    </w:p>
    <w:p w14:paraId="747203C2" w14:textId="77777777" w:rsidR="00B54D51" w:rsidRPr="00037AD4" w:rsidRDefault="00B54D51" w:rsidP="00806A89"/>
    <w:tbl>
      <w:tblPr>
        <w:tblStyle w:val="TableGrid"/>
        <w:tblW w:w="0" w:type="auto"/>
        <w:tblLook w:val="04A0" w:firstRow="1" w:lastRow="0" w:firstColumn="1" w:lastColumn="0" w:noHBand="0" w:noVBand="1"/>
      </w:tblPr>
      <w:tblGrid>
        <w:gridCol w:w="1302"/>
        <w:gridCol w:w="1003"/>
        <w:gridCol w:w="1000"/>
        <w:gridCol w:w="1216"/>
        <w:gridCol w:w="222"/>
        <w:gridCol w:w="1302"/>
        <w:gridCol w:w="868"/>
        <w:gridCol w:w="887"/>
        <w:gridCol w:w="1216"/>
      </w:tblGrid>
      <w:tr w:rsidR="00B54D51" w:rsidRPr="00037AD4" w14:paraId="50273B35" w14:textId="77777777" w:rsidTr="00806A89">
        <w:tc>
          <w:tcPr>
            <w:tcW w:w="1302" w:type="dxa"/>
          </w:tcPr>
          <w:p w14:paraId="55072BA0" w14:textId="77777777" w:rsidR="00B54D51" w:rsidRPr="00037AD4" w:rsidRDefault="00B54D51" w:rsidP="00806A89">
            <w:pPr>
              <w:rPr>
                <w:rFonts w:asciiTheme="minorHAnsi" w:hAnsiTheme="minorHAnsi" w:cstheme="minorHAnsi"/>
              </w:rPr>
            </w:pPr>
            <w:r w:rsidRPr="00037AD4">
              <w:rPr>
                <w:rFonts w:asciiTheme="minorHAnsi" w:hAnsiTheme="minorHAnsi" w:cstheme="minorHAnsi"/>
              </w:rPr>
              <w:t xml:space="preserve">Severity stage, ACTIFCARE </w:t>
            </w:r>
          </w:p>
        </w:tc>
        <w:tc>
          <w:tcPr>
            <w:tcW w:w="1003" w:type="dxa"/>
          </w:tcPr>
          <w:p w14:paraId="0F218699" w14:textId="77777777" w:rsidR="00B54D51" w:rsidRPr="00037AD4" w:rsidRDefault="00B54D51" w:rsidP="00806A89">
            <w:pPr>
              <w:rPr>
                <w:rFonts w:asciiTheme="minorHAnsi" w:hAnsiTheme="minorHAnsi" w:cstheme="minorHAnsi"/>
              </w:rPr>
            </w:pPr>
            <w:r w:rsidRPr="00037AD4">
              <w:rPr>
                <w:rFonts w:asciiTheme="minorHAnsi" w:hAnsiTheme="minorHAnsi" w:cstheme="minorHAnsi"/>
              </w:rPr>
              <w:t xml:space="preserve">PwD </w:t>
            </w:r>
          </w:p>
        </w:tc>
        <w:tc>
          <w:tcPr>
            <w:tcW w:w="1000" w:type="dxa"/>
          </w:tcPr>
          <w:p w14:paraId="14355D86" w14:textId="77777777" w:rsidR="00B54D51" w:rsidRPr="00037AD4" w:rsidRDefault="00B54D51" w:rsidP="00806A89">
            <w:pPr>
              <w:rPr>
                <w:rFonts w:asciiTheme="minorHAnsi" w:hAnsiTheme="minorHAnsi" w:cstheme="minorHAnsi"/>
              </w:rPr>
            </w:pPr>
            <w:r w:rsidRPr="00037AD4">
              <w:rPr>
                <w:rFonts w:asciiTheme="minorHAnsi" w:hAnsiTheme="minorHAnsi" w:cstheme="minorHAnsi"/>
              </w:rPr>
              <w:t>Relative Proxy</w:t>
            </w:r>
          </w:p>
        </w:tc>
        <w:tc>
          <w:tcPr>
            <w:tcW w:w="0" w:type="auto"/>
          </w:tcPr>
          <w:p w14:paraId="5E518B29" w14:textId="77777777" w:rsidR="00B54D51" w:rsidRPr="00037AD4" w:rsidRDefault="00B54D51" w:rsidP="00806A89">
            <w:pPr>
              <w:rPr>
                <w:rFonts w:asciiTheme="minorHAnsi" w:hAnsiTheme="minorHAnsi" w:cstheme="minorHAnsi"/>
              </w:rPr>
            </w:pPr>
            <w:r w:rsidRPr="00037AD4">
              <w:rPr>
                <w:rFonts w:asciiTheme="minorHAnsi" w:hAnsiTheme="minorHAnsi" w:cstheme="minorHAnsi"/>
              </w:rPr>
              <w:t>Combined score</w:t>
            </w:r>
          </w:p>
        </w:tc>
        <w:tc>
          <w:tcPr>
            <w:tcW w:w="0" w:type="auto"/>
            <w:vMerge w:val="restart"/>
            <w:shd w:val="clear" w:color="auto" w:fill="E7E6E6" w:themeFill="background2"/>
          </w:tcPr>
          <w:p w14:paraId="7954878C" w14:textId="77777777" w:rsidR="00B54D51" w:rsidRPr="00037AD4" w:rsidRDefault="00B54D51" w:rsidP="00806A89">
            <w:pPr>
              <w:rPr>
                <w:rFonts w:asciiTheme="minorHAnsi" w:hAnsiTheme="minorHAnsi" w:cstheme="minorHAnsi"/>
              </w:rPr>
            </w:pPr>
          </w:p>
        </w:tc>
        <w:tc>
          <w:tcPr>
            <w:tcW w:w="0" w:type="auto"/>
          </w:tcPr>
          <w:p w14:paraId="3AE0F607" w14:textId="77777777" w:rsidR="00B54D51" w:rsidRPr="00037AD4" w:rsidRDefault="00B54D51" w:rsidP="00806A89">
            <w:pPr>
              <w:rPr>
                <w:rFonts w:asciiTheme="minorHAnsi" w:hAnsiTheme="minorHAnsi" w:cstheme="minorHAnsi"/>
              </w:rPr>
            </w:pPr>
            <w:r w:rsidRPr="00037AD4">
              <w:rPr>
                <w:rFonts w:asciiTheme="minorHAnsi" w:hAnsiTheme="minorHAnsi" w:cstheme="minorHAnsi"/>
              </w:rPr>
              <w:t xml:space="preserve">Severity stage, </w:t>
            </w:r>
          </w:p>
          <w:p w14:paraId="634B413C" w14:textId="77777777" w:rsidR="00B54D51" w:rsidRPr="00037AD4" w:rsidRDefault="00B54D51" w:rsidP="00806A89">
            <w:pPr>
              <w:rPr>
                <w:rFonts w:asciiTheme="minorHAnsi" w:hAnsiTheme="minorHAnsi" w:cstheme="minorHAnsi"/>
              </w:rPr>
            </w:pPr>
            <w:r w:rsidRPr="00037AD4">
              <w:rPr>
                <w:rFonts w:asciiTheme="minorHAnsi" w:hAnsiTheme="minorHAnsi" w:cstheme="minorHAnsi"/>
              </w:rPr>
              <w:t>EPIC</w:t>
            </w:r>
          </w:p>
        </w:tc>
        <w:tc>
          <w:tcPr>
            <w:tcW w:w="868" w:type="dxa"/>
          </w:tcPr>
          <w:p w14:paraId="59127AB4" w14:textId="77777777" w:rsidR="00B54D51" w:rsidRPr="00037AD4" w:rsidRDefault="00B54D51" w:rsidP="00806A89">
            <w:pPr>
              <w:rPr>
                <w:rFonts w:asciiTheme="minorHAnsi" w:hAnsiTheme="minorHAnsi" w:cstheme="minorHAnsi"/>
              </w:rPr>
            </w:pPr>
            <w:r w:rsidRPr="00037AD4">
              <w:rPr>
                <w:rFonts w:asciiTheme="minorHAnsi" w:hAnsiTheme="minorHAnsi" w:cstheme="minorHAnsi"/>
              </w:rPr>
              <w:t xml:space="preserve">PwD </w:t>
            </w:r>
          </w:p>
        </w:tc>
        <w:tc>
          <w:tcPr>
            <w:tcW w:w="887" w:type="dxa"/>
          </w:tcPr>
          <w:p w14:paraId="34FA386A" w14:textId="77777777" w:rsidR="00B54D51" w:rsidRPr="00037AD4" w:rsidRDefault="00B54D51" w:rsidP="00806A89">
            <w:pPr>
              <w:rPr>
                <w:rFonts w:asciiTheme="minorHAnsi" w:hAnsiTheme="minorHAnsi" w:cstheme="minorHAnsi"/>
              </w:rPr>
            </w:pPr>
            <w:r w:rsidRPr="00037AD4">
              <w:rPr>
                <w:rFonts w:asciiTheme="minorHAnsi" w:hAnsiTheme="minorHAnsi" w:cstheme="minorHAnsi"/>
              </w:rPr>
              <w:t>Staff proxy</w:t>
            </w:r>
          </w:p>
        </w:tc>
        <w:tc>
          <w:tcPr>
            <w:tcW w:w="1216" w:type="dxa"/>
          </w:tcPr>
          <w:p w14:paraId="7E52F8FF" w14:textId="77777777" w:rsidR="00B54D51" w:rsidRPr="00037AD4" w:rsidRDefault="00B54D51" w:rsidP="00806A89">
            <w:pPr>
              <w:rPr>
                <w:rFonts w:asciiTheme="minorHAnsi" w:hAnsiTheme="minorHAnsi" w:cstheme="minorHAnsi"/>
              </w:rPr>
            </w:pPr>
            <w:r w:rsidRPr="00037AD4">
              <w:rPr>
                <w:rFonts w:asciiTheme="minorHAnsi" w:hAnsiTheme="minorHAnsi" w:cstheme="minorHAnsi"/>
              </w:rPr>
              <w:t xml:space="preserve">Combined score </w:t>
            </w:r>
          </w:p>
        </w:tc>
      </w:tr>
      <w:tr w:rsidR="00A7073A" w:rsidRPr="00037AD4" w14:paraId="49EE38B6" w14:textId="77777777" w:rsidTr="00806A89">
        <w:tc>
          <w:tcPr>
            <w:tcW w:w="1302" w:type="dxa"/>
          </w:tcPr>
          <w:p w14:paraId="384BB77A" w14:textId="39670A97" w:rsidR="00A7073A" w:rsidRPr="00037AD4" w:rsidRDefault="00A7073A" w:rsidP="00806A89">
            <w:pPr>
              <w:rPr>
                <w:rFonts w:asciiTheme="minorHAnsi" w:hAnsiTheme="minorHAnsi" w:cstheme="minorHAnsi"/>
              </w:rPr>
            </w:pPr>
            <w:r>
              <w:rPr>
                <w:rFonts w:asciiTheme="minorHAnsi" w:hAnsiTheme="minorHAnsi" w:cstheme="minorHAnsi"/>
              </w:rPr>
              <w:t>All stages n=</w:t>
            </w:r>
            <w:r w:rsidR="00870E53">
              <w:rPr>
                <w:rFonts w:asciiTheme="minorHAnsi" w:hAnsiTheme="minorHAnsi" w:cstheme="minorHAnsi"/>
              </w:rPr>
              <w:t>1086</w:t>
            </w:r>
          </w:p>
        </w:tc>
        <w:tc>
          <w:tcPr>
            <w:tcW w:w="1003" w:type="dxa"/>
          </w:tcPr>
          <w:p w14:paraId="4BCA99B6" w14:textId="4D107BAB" w:rsidR="00A7073A" w:rsidRPr="00037AD4" w:rsidRDefault="00870E53" w:rsidP="00806A89">
            <w:pPr>
              <w:rPr>
                <w:rFonts w:asciiTheme="minorHAnsi" w:hAnsiTheme="minorHAnsi" w:cstheme="minorHAnsi"/>
              </w:rPr>
            </w:pPr>
            <w:r>
              <w:rPr>
                <w:rFonts w:asciiTheme="minorHAnsi" w:hAnsiTheme="minorHAnsi" w:cstheme="minorHAnsi"/>
              </w:rPr>
              <w:t>0.77 (0.21)</w:t>
            </w:r>
          </w:p>
        </w:tc>
        <w:tc>
          <w:tcPr>
            <w:tcW w:w="1000" w:type="dxa"/>
          </w:tcPr>
          <w:p w14:paraId="3677C584" w14:textId="7332DA2C" w:rsidR="00A7073A" w:rsidRPr="00037AD4" w:rsidRDefault="00870E53" w:rsidP="00806A89">
            <w:pPr>
              <w:rPr>
                <w:rFonts w:asciiTheme="minorHAnsi" w:hAnsiTheme="minorHAnsi" w:cstheme="minorHAnsi"/>
              </w:rPr>
            </w:pPr>
            <w:r>
              <w:rPr>
                <w:rFonts w:asciiTheme="minorHAnsi" w:hAnsiTheme="minorHAnsi" w:cstheme="minorHAnsi"/>
              </w:rPr>
              <w:t>0.62 (0.24)</w:t>
            </w:r>
          </w:p>
        </w:tc>
        <w:tc>
          <w:tcPr>
            <w:tcW w:w="0" w:type="auto"/>
          </w:tcPr>
          <w:p w14:paraId="7A7136D1" w14:textId="77777777" w:rsidR="00431228" w:rsidRDefault="00870E53" w:rsidP="00806A89">
            <w:pPr>
              <w:rPr>
                <w:rFonts w:asciiTheme="minorHAnsi" w:hAnsiTheme="minorHAnsi" w:cstheme="minorHAnsi"/>
              </w:rPr>
            </w:pPr>
            <w:r>
              <w:rPr>
                <w:rFonts w:asciiTheme="minorHAnsi" w:hAnsiTheme="minorHAnsi" w:cstheme="minorHAnsi"/>
              </w:rPr>
              <w:t>0.68</w:t>
            </w:r>
            <w:r w:rsidR="00431228">
              <w:rPr>
                <w:rFonts w:asciiTheme="minorHAnsi" w:hAnsiTheme="minorHAnsi" w:cstheme="minorHAnsi"/>
              </w:rPr>
              <w:t>*</w:t>
            </w:r>
          </w:p>
          <w:p w14:paraId="2BE13019" w14:textId="0E875FC1" w:rsidR="00A7073A" w:rsidRPr="00037AD4" w:rsidRDefault="00870E53" w:rsidP="00806A89">
            <w:pPr>
              <w:rPr>
                <w:rFonts w:asciiTheme="minorHAnsi" w:hAnsiTheme="minorHAnsi" w:cstheme="minorHAnsi"/>
              </w:rPr>
            </w:pPr>
            <w:r>
              <w:rPr>
                <w:rFonts w:asciiTheme="minorHAnsi" w:hAnsiTheme="minorHAnsi" w:cstheme="minorHAnsi"/>
              </w:rPr>
              <w:t>(0.22)</w:t>
            </w:r>
          </w:p>
        </w:tc>
        <w:tc>
          <w:tcPr>
            <w:tcW w:w="0" w:type="auto"/>
            <w:vMerge/>
            <w:shd w:val="clear" w:color="auto" w:fill="E7E6E6" w:themeFill="background2"/>
          </w:tcPr>
          <w:p w14:paraId="78FEEC12" w14:textId="77777777" w:rsidR="00A7073A" w:rsidRPr="00037AD4" w:rsidRDefault="00A7073A" w:rsidP="00806A89">
            <w:pPr>
              <w:rPr>
                <w:rFonts w:asciiTheme="minorHAnsi" w:hAnsiTheme="minorHAnsi" w:cstheme="minorHAnsi"/>
              </w:rPr>
            </w:pPr>
          </w:p>
        </w:tc>
        <w:tc>
          <w:tcPr>
            <w:tcW w:w="0" w:type="auto"/>
          </w:tcPr>
          <w:p w14:paraId="66B36932" w14:textId="32B3C2FD" w:rsidR="00A7073A" w:rsidRPr="00037AD4" w:rsidRDefault="004B3E31" w:rsidP="00806A89">
            <w:pPr>
              <w:rPr>
                <w:rFonts w:asciiTheme="minorHAnsi" w:hAnsiTheme="minorHAnsi" w:cstheme="minorHAnsi"/>
              </w:rPr>
            </w:pPr>
            <w:r>
              <w:rPr>
                <w:rFonts w:asciiTheme="minorHAnsi" w:hAnsiTheme="minorHAnsi" w:cstheme="minorHAnsi"/>
              </w:rPr>
              <w:t>All stages n=760</w:t>
            </w:r>
          </w:p>
        </w:tc>
        <w:tc>
          <w:tcPr>
            <w:tcW w:w="868" w:type="dxa"/>
          </w:tcPr>
          <w:p w14:paraId="0BD78A58" w14:textId="1065365D" w:rsidR="00A7073A" w:rsidRPr="00037AD4" w:rsidRDefault="008B38F4" w:rsidP="00806A89">
            <w:pPr>
              <w:rPr>
                <w:rFonts w:asciiTheme="minorHAnsi" w:hAnsiTheme="minorHAnsi" w:cstheme="minorHAnsi"/>
              </w:rPr>
            </w:pPr>
            <w:r>
              <w:rPr>
                <w:rFonts w:asciiTheme="minorHAnsi" w:hAnsiTheme="minorHAnsi" w:cstheme="minorHAnsi"/>
              </w:rPr>
              <w:t>0.80 (0.23)</w:t>
            </w:r>
          </w:p>
        </w:tc>
        <w:tc>
          <w:tcPr>
            <w:tcW w:w="887" w:type="dxa"/>
          </w:tcPr>
          <w:p w14:paraId="66E30A03" w14:textId="7676DBED" w:rsidR="00A7073A" w:rsidRPr="00037AD4" w:rsidRDefault="008B38F4" w:rsidP="00806A89">
            <w:pPr>
              <w:rPr>
                <w:rFonts w:asciiTheme="minorHAnsi" w:hAnsiTheme="minorHAnsi" w:cstheme="minorHAnsi"/>
              </w:rPr>
            </w:pPr>
            <w:r>
              <w:rPr>
                <w:rFonts w:asciiTheme="minorHAnsi" w:hAnsiTheme="minorHAnsi" w:cstheme="minorHAnsi"/>
              </w:rPr>
              <w:t>0.62 (0.36)</w:t>
            </w:r>
          </w:p>
        </w:tc>
        <w:tc>
          <w:tcPr>
            <w:tcW w:w="1216" w:type="dxa"/>
          </w:tcPr>
          <w:p w14:paraId="2F041033" w14:textId="6F9F17EE" w:rsidR="00A7073A" w:rsidRPr="00037AD4" w:rsidRDefault="008B38F4" w:rsidP="00806A89">
            <w:pPr>
              <w:rPr>
                <w:rFonts w:asciiTheme="minorHAnsi" w:hAnsiTheme="minorHAnsi" w:cstheme="minorHAnsi"/>
              </w:rPr>
            </w:pPr>
            <w:r>
              <w:rPr>
                <w:rFonts w:asciiTheme="minorHAnsi" w:hAnsiTheme="minorHAnsi" w:cstheme="minorHAnsi"/>
              </w:rPr>
              <w:t>0.61** (0.36)</w:t>
            </w:r>
          </w:p>
        </w:tc>
      </w:tr>
      <w:tr w:rsidR="00B54D51" w:rsidRPr="00037AD4" w14:paraId="6E140A3A" w14:textId="77777777" w:rsidTr="00806A89">
        <w:tc>
          <w:tcPr>
            <w:tcW w:w="1302" w:type="dxa"/>
          </w:tcPr>
          <w:p w14:paraId="0C1741BD" w14:textId="77777777" w:rsidR="00B54D51" w:rsidRPr="00037AD4" w:rsidRDefault="00B54D51" w:rsidP="00806A89">
            <w:pPr>
              <w:rPr>
                <w:rFonts w:asciiTheme="minorHAnsi" w:hAnsiTheme="minorHAnsi" w:cstheme="minorHAnsi"/>
              </w:rPr>
            </w:pPr>
            <w:r w:rsidRPr="00037AD4">
              <w:rPr>
                <w:rFonts w:asciiTheme="minorHAnsi" w:hAnsiTheme="minorHAnsi" w:cstheme="minorHAnsi"/>
              </w:rPr>
              <w:t>CDR 1 n=770</w:t>
            </w:r>
          </w:p>
        </w:tc>
        <w:tc>
          <w:tcPr>
            <w:tcW w:w="1003" w:type="dxa"/>
          </w:tcPr>
          <w:p w14:paraId="7341AF32" w14:textId="77777777" w:rsidR="00B54D51" w:rsidRPr="00037AD4" w:rsidRDefault="00B54D51" w:rsidP="00806A89">
            <w:pPr>
              <w:rPr>
                <w:rFonts w:asciiTheme="minorHAnsi" w:hAnsiTheme="minorHAnsi" w:cstheme="minorHAnsi"/>
              </w:rPr>
            </w:pPr>
            <w:r w:rsidRPr="00037AD4">
              <w:rPr>
                <w:rFonts w:asciiTheme="minorHAnsi" w:hAnsiTheme="minorHAnsi" w:cstheme="minorHAnsi"/>
              </w:rPr>
              <w:t xml:space="preserve">0.78 (0.19) </w:t>
            </w:r>
          </w:p>
        </w:tc>
        <w:tc>
          <w:tcPr>
            <w:tcW w:w="1000" w:type="dxa"/>
          </w:tcPr>
          <w:p w14:paraId="39EB1291" w14:textId="77777777" w:rsidR="00B54D51" w:rsidRPr="00037AD4" w:rsidRDefault="00B54D51" w:rsidP="00806A89">
            <w:pPr>
              <w:rPr>
                <w:rFonts w:asciiTheme="minorHAnsi" w:hAnsiTheme="minorHAnsi" w:cstheme="minorHAnsi"/>
              </w:rPr>
            </w:pPr>
            <w:r w:rsidRPr="00037AD4">
              <w:rPr>
                <w:rFonts w:asciiTheme="minorHAnsi" w:hAnsiTheme="minorHAnsi" w:cstheme="minorHAnsi"/>
              </w:rPr>
              <w:t xml:space="preserve">0.67 (0.21) </w:t>
            </w:r>
          </w:p>
        </w:tc>
        <w:tc>
          <w:tcPr>
            <w:tcW w:w="0" w:type="auto"/>
          </w:tcPr>
          <w:p w14:paraId="1119A29A" w14:textId="77777777" w:rsidR="004B3E31" w:rsidRDefault="00B54D51" w:rsidP="00806A89">
            <w:pPr>
              <w:rPr>
                <w:rFonts w:asciiTheme="minorHAnsi" w:hAnsiTheme="minorHAnsi" w:cstheme="minorHAnsi"/>
              </w:rPr>
            </w:pPr>
            <w:r w:rsidRPr="00037AD4">
              <w:rPr>
                <w:rFonts w:asciiTheme="minorHAnsi" w:hAnsiTheme="minorHAnsi" w:cstheme="minorHAnsi"/>
              </w:rPr>
              <w:t>0.75</w:t>
            </w:r>
            <w:r w:rsidR="004B3E31">
              <w:rPr>
                <w:rFonts w:asciiTheme="minorHAnsi" w:hAnsiTheme="minorHAnsi" w:cstheme="minorHAnsi"/>
              </w:rPr>
              <w:t>*</w:t>
            </w:r>
          </w:p>
          <w:p w14:paraId="0A3412D4" w14:textId="55008C77" w:rsidR="00B54D51" w:rsidRPr="00037AD4" w:rsidRDefault="00B54D51" w:rsidP="00806A89">
            <w:pPr>
              <w:rPr>
                <w:rFonts w:asciiTheme="minorHAnsi" w:hAnsiTheme="minorHAnsi" w:cstheme="minorHAnsi"/>
              </w:rPr>
            </w:pPr>
            <w:r w:rsidRPr="00037AD4">
              <w:rPr>
                <w:rFonts w:asciiTheme="minorHAnsi" w:hAnsiTheme="minorHAnsi" w:cstheme="minorHAnsi"/>
              </w:rPr>
              <w:t xml:space="preserve">(0.20) </w:t>
            </w:r>
          </w:p>
        </w:tc>
        <w:tc>
          <w:tcPr>
            <w:tcW w:w="0" w:type="auto"/>
            <w:vMerge/>
            <w:shd w:val="clear" w:color="auto" w:fill="E7E6E6" w:themeFill="background2"/>
          </w:tcPr>
          <w:p w14:paraId="0AC313CE" w14:textId="77777777" w:rsidR="00B54D51" w:rsidRPr="00037AD4" w:rsidRDefault="00B54D51" w:rsidP="00806A89">
            <w:pPr>
              <w:rPr>
                <w:rFonts w:asciiTheme="minorHAnsi" w:hAnsiTheme="minorHAnsi" w:cstheme="minorHAnsi"/>
              </w:rPr>
            </w:pPr>
          </w:p>
        </w:tc>
        <w:tc>
          <w:tcPr>
            <w:tcW w:w="0" w:type="auto"/>
          </w:tcPr>
          <w:p w14:paraId="78DB6F91" w14:textId="77777777" w:rsidR="00B54D51" w:rsidRPr="00037AD4" w:rsidRDefault="00B54D51" w:rsidP="00806A89">
            <w:pPr>
              <w:rPr>
                <w:rFonts w:asciiTheme="minorHAnsi" w:hAnsiTheme="minorHAnsi" w:cstheme="minorHAnsi"/>
              </w:rPr>
            </w:pPr>
            <w:r w:rsidRPr="00037AD4">
              <w:rPr>
                <w:rFonts w:asciiTheme="minorHAnsi" w:hAnsiTheme="minorHAnsi" w:cstheme="minorHAnsi"/>
              </w:rPr>
              <w:t xml:space="preserve">CDR 1 </w:t>
            </w:r>
          </w:p>
          <w:p w14:paraId="1554148D" w14:textId="77777777" w:rsidR="00B54D51" w:rsidRPr="00037AD4" w:rsidRDefault="00B54D51" w:rsidP="00806A89">
            <w:pPr>
              <w:rPr>
                <w:rFonts w:asciiTheme="minorHAnsi" w:hAnsiTheme="minorHAnsi" w:cstheme="minorHAnsi"/>
              </w:rPr>
            </w:pPr>
            <w:r w:rsidRPr="00037AD4">
              <w:rPr>
                <w:rFonts w:asciiTheme="minorHAnsi" w:hAnsiTheme="minorHAnsi" w:cstheme="minorHAnsi"/>
              </w:rPr>
              <w:t>n=327</w:t>
            </w:r>
          </w:p>
        </w:tc>
        <w:tc>
          <w:tcPr>
            <w:tcW w:w="868" w:type="dxa"/>
          </w:tcPr>
          <w:p w14:paraId="55A516E6" w14:textId="77777777" w:rsidR="00B54D51" w:rsidRPr="00037AD4" w:rsidRDefault="00B54D51" w:rsidP="00806A89">
            <w:pPr>
              <w:rPr>
                <w:rFonts w:asciiTheme="minorHAnsi" w:hAnsiTheme="minorHAnsi" w:cstheme="minorHAnsi"/>
              </w:rPr>
            </w:pPr>
            <w:r w:rsidRPr="00037AD4">
              <w:rPr>
                <w:rFonts w:asciiTheme="minorHAnsi" w:hAnsiTheme="minorHAnsi" w:cstheme="minorHAnsi"/>
              </w:rPr>
              <w:t xml:space="preserve">0.79 (0.24) </w:t>
            </w:r>
          </w:p>
        </w:tc>
        <w:tc>
          <w:tcPr>
            <w:tcW w:w="887" w:type="dxa"/>
          </w:tcPr>
          <w:p w14:paraId="396C5FCE" w14:textId="77777777" w:rsidR="00B54D51" w:rsidRPr="00037AD4" w:rsidRDefault="00B54D51" w:rsidP="00806A89">
            <w:pPr>
              <w:rPr>
                <w:rFonts w:asciiTheme="minorHAnsi" w:hAnsiTheme="minorHAnsi" w:cstheme="minorHAnsi"/>
              </w:rPr>
            </w:pPr>
            <w:r w:rsidRPr="00037AD4">
              <w:rPr>
                <w:rFonts w:asciiTheme="minorHAnsi" w:hAnsiTheme="minorHAnsi" w:cstheme="minorHAnsi"/>
              </w:rPr>
              <w:t xml:space="preserve">0.71 (0.32) </w:t>
            </w:r>
          </w:p>
        </w:tc>
        <w:tc>
          <w:tcPr>
            <w:tcW w:w="1216" w:type="dxa"/>
          </w:tcPr>
          <w:p w14:paraId="0DA42B0B" w14:textId="28BE6C06" w:rsidR="00B54D51" w:rsidRPr="00037AD4" w:rsidRDefault="00B54D51" w:rsidP="00806A89">
            <w:pPr>
              <w:rPr>
                <w:rFonts w:asciiTheme="minorHAnsi" w:hAnsiTheme="minorHAnsi" w:cstheme="minorHAnsi"/>
              </w:rPr>
            </w:pPr>
            <w:r w:rsidRPr="00037AD4">
              <w:rPr>
                <w:rFonts w:asciiTheme="minorHAnsi" w:hAnsiTheme="minorHAnsi" w:cstheme="minorHAnsi"/>
              </w:rPr>
              <w:t>0.70</w:t>
            </w:r>
            <w:r w:rsidR="0085385D">
              <w:rPr>
                <w:rFonts w:asciiTheme="minorHAnsi" w:hAnsiTheme="minorHAnsi" w:cstheme="minorHAnsi"/>
              </w:rPr>
              <w:t>**</w:t>
            </w:r>
            <w:r w:rsidRPr="00037AD4">
              <w:rPr>
                <w:rFonts w:asciiTheme="minorHAnsi" w:hAnsiTheme="minorHAnsi" w:cstheme="minorHAnsi"/>
              </w:rPr>
              <w:t xml:space="preserve"> (0.31) </w:t>
            </w:r>
          </w:p>
        </w:tc>
      </w:tr>
      <w:tr w:rsidR="00B54D51" w:rsidRPr="00037AD4" w14:paraId="29AAE666" w14:textId="77777777" w:rsidTr="00806A89">
        <w:tc>
          <w:tcPr>
            <w:tcW w:w="1302" w:type="dxa"/>
          </w:tcPr>
          <w:p w14:paraId="11D94CFB" w14:textId="77777777" w:rsidR="00B54D51" w:rsidRPr="00037AD4" w:rsidRDefault="00B54D51" w:rsidP="00806A89">
            <w:pPr>
              <w:rPr>
                <w:rFonts w:asciiTheme="minorHAnsi" w:hAnsiTheme="minorHAnsi" w:cstheme="minorHAnsi"/>
              </w:rPr>
            </w:pPr>
            <w:r w:rsidRPr="00037AD4">
              <w:rPr>
                <w:rFonts w:asciiTheme="minorHAnsi" w:hAnsiTheme="minorHAnsi" w:cstheme="minorHAnsi"/>
              </w:rPr>
              <w:t>CDR 2 n=293</w:t>
            </w:r>
          </w:p>
        </w:tc>
        <w:tc>
          <w:tcPr>
            <w:tcW w:w="1003" w:type="dxa"/>
          </w:tcPr>
          <w:p w14:paraId="586B010A" w14:textId="77777777" w:rsidR="00B54D51" w:rsidRPr="00037AD4" w:rsidRDefault="00B54D51" w:rsidP="00806A89">
            <w:pPr>
              <w:rPr>
                <w:rFonts w:asciiTheme="minorHAnsi" w:hAnsiTheme="minorHAnsi" w:cstheme="minorHAnsi"/>
              </w:rPr>
            </w:pPr>
            <w:r w:rsidRPr="00037AD4">
              <w:rPr>
                <w:rFonts w:asciiTheme="minorHAnsi" w:hAnsiTheme="minorHAnsi" w:cstheme="minorHAnsi"/>
              </w:rPr>
              <w:t xml:space="preserve"> 0.75 (0.24) </w:t>
            </w:r>
          </w:p>
        </w:tc>
        <w:tc>
          <w:tcPr>
            <w:tcW w:w="1000" w:type="dxa"/>
          </w:tcPr>
          <w:p w14:paraId="1C13BDE4" w14:textId="77777777" w:rsidR="00B54D51" w:rsidRPr="00037AD4" w:rsidRDefault="00B54D51" w:rsidP="00806A89">
            <w:pPr>
              <w:rPr>
                <w:rFonts w:asciiTheme="minorHAnsi" w:hAnsiTheme="minorHAnsi" w:cstheme="minorHAnsi"/>
              </w:rPr>
            </w:pPr>
            <w:r w:rsidRPr="00037AD4">
              <w:rPr>
                <w:rFonts w:asciiTheme="minorHAnsi" w:hAnsiTheme="minorHAnsi" w:cstheme="minorHAnsi"/>
              </w:rPr>
              <w:t xml:space="preserve">0.50 (0.26) </w:t>
            </w:r>
          </w:p>
        </w:tc>
        <w:tc>
          <w:tcPr>
            <w:tcW w:w="0" w:type="auto"/>
          </w:tcPr>
          <w:p w14:paraId="19AB4069" w14:textId="77777777" w:rsidR="004B3E31" w:rsidRDefault="00B54D51" w:rsidP="00806A89">
            <w:pPr>
              <w:rPr>
                <w:rFonts w:asciiTheme="minorHAnsi" w:hAnsiTheme="minorHAnsi" w:cstheme="minorHAnsi"/>
              </w:rPr>
            </w:pPr>
            <w:r w:rsidRPr="00037AD4">
              <w:rPr>
                <w:rFonts w:asciiTheme="minorHAnsi" w:hAnsiTheme="minorHAnsi" w:cstheme="minorHAnsi"/>
              </w:rPr>
              <w:t>0.61</w:t>
            </w:r>
            <w:r w:rsidR="004B3E31">
              <w:rPr>
                <w:rFonts w:asciiTheme="minorHAnsi" w:hAnsiTheme="minorHAnsi" w:cstheme="minorHAnsi"/>
              </w:rPr>
              <w:t>*</w:t>
            </w:r>
          </w:p>
          <w:p w14:paraId="3C68A4D3" w14:textId="23C3629F" w:rsidR="00B54D51" w:rsidRPr="00037AD4" w:rsidRDefault="00B54D51" w:rsidP="00806A89">
            <w:pPr>
              <w:rPr>
                <w:rFonts w:asciiTheme="minorHAnsi" w:hAnsiTheme="minorHAnsi" w:cstheme="minorHAnsi"/>
              </w:rPr>
            </w:pPr>
            <w:r w:rsidRPr="00037AD4">
              <w:rPr>
                <w:rFonts w:asciiTheme="minorHAnsi" w:hAnsiTheme="minorHAnsi" w:cstheme="minorHAnsi"/>
              </w:rPr>
              <w:t xml:space="preserve">(0.26) </w:t>
            </w:r>
          </w:p>
        </w:tc>
        <w:tc>
          <w:tcPr>
            <w:tcW w:w="0" w:type="auto"/>
            <w:vMerge/>
            <w:shd w:val="clear" w:color="auto" w:fill="E7E6E6" w:themeFill="background2"/>
          </w:tcPr>
          <w:p w14:paraId="15881A0E" w14:textId="77777777" w:rsidR="00B54D51" w:rsidRPr="00037AD4" w:rsidRDefault="00B54D51" w:rsidP="00806A89">
            <w:pPr>
              <w:rPr>
                <w:rFonts w:asciiTheme="minorHAnsi" w:hAnsiTheme="minorHAnsi" w:cstheme="minorHAnsi"/>
              </w:rPr>
            </w:pPr>
          </w:p>
        </w:tc>
        <w:tc>
          <w:tcPr>
            <w:tcW w:w="0" w:type="auto"/>
          </w:tcPr>
          <w:p w14:paraId="215C580A" w14:textId="77777777" w:rsidR="00B54D51" w:rsidRPr="00037AD4" w:rsidRDefault="00B54D51" w:rsidP="00806A89">
            <w:pPr>
              <w:rPr>
                <w:rFonts w:asciiTheme="minorHAnsi" w:hAnsiTheme="minorHAnsi" w:cstheme="minorHAnsi"/>
              </w:rPr>
            </w:pPr>
            <w:r w:rsidRPr="00037AD4">
              <w:rPr>
                <w:rFonts w:asciiTheme="minorHAnsi" w:hAnsiTheme="minorHAnsi" w:cstheme="minorHAnsi"/>
              </w:rPr>
              <w:t xml:space="preserve">CDR 2 </w:t>
            </w:r>
          </w:p>
          <w:p w14:paraId="6EAA4003" w14:textId="77777777" w:rsidR="00B54D51" w:rsidRPr="00037AD4" w:rsidRDefault="00B54D51" w:rsidP="00806A89">
            <w:pPr>
              <w:rPr>
                <w:rFonts w:asciiTheme="minorHAnsi" w:hAnsiTheme="minorHAnsi" w:cstheme="minorHAnsi"/>
              </w:rPr>
            </w:pPr>
            <w:r w:rsidRPr="00037AD4">
              <w:rPr>
                <w:rFonts w:asciiTheme="minorHAnsi" w:hAnsiTheme="minorHAnsi" w:cstheme="minorHAnsi"/>
              </w:rPr>
              <w:t>n=323</w:t>
            </w:r>
          </w:p>
        </w:tc>
        <w:tc>
          <w:tcPr>
            <w:tcW w:w="868" w:type="dxa"/>
          </w:tcPr>
          <w:p w14:paraId="14669EC4" w14:textId="77777777" w:rsidR="00B54D51" w:rsidRPr="00037AD4" w:rsidRDefault="00B54D51" w:rsidP="00806A89">
            <w:pPr>
              <w:rPr>
                <w:rFonts w:asciiTheme="minorHAnsi" w:hAnsiTheme="minorHAnsi" w:cstheme="minorHAnsi"/>
              </w:rPr>
            </w:pPr>
            <w:r w:rsidRPr="00037AD4">
              <w:rPr>
                <w:rFonts w:asciiTheme="minorHAnsi" w:hAnsiTheme="minorHAnsi" w:cstheme="minorHAnsi"/>
              </w:rPr>
              <w:t>0.81 (0.23)</w:t>
            </w:r>
          </w:p>
        </w:tc>
        <w:tc>
          <w:tcPr>
            <w:tcW w:w="887" w:type="dxa"/>
          </w:tcPr>
          <w:p w14:paraId="3FE5796E" w14:textId="77777777" w:rsidR="00B54D51" w:rsidRPr="00037AD4" w:rsidRDefault="00B54D51" w:rsidP="00806A89">
            <w:pPr>
              <w:rPr>
                <w:rFonts w:asciiTheme="minorHAnsi" w:hAnsiTheme="minorHAnsi" w:cstheme="minorHAnsi"/>
              </w:rPr>
            </w:pPr>
            <w:r w:rsidRPr="00037AD4">
              <w:rPr>
                <w:rFonts w:asciiTheme="minorHAnsi" w:hAnsiTheme="minorHAnsi" w:cstheme="minorHAnsi"/>
              </w:rPr>
              <w:t xml:space="preserve">0.60 (0.35) </w:t>
            </w:r>
          </w:p>
        </w:tc>
        <w:tc>
          <w:tcPr>
            <w:tcW w:w="1216" w:type="dxa"/>
          </w:tcPr>
          <w:p w14:paraId="61703B96" w14:textId="2C42F161" w:rsidR="00B54D51" w:rsidRPr="00037AD4" w:rsidRDefault="00B54D51" w:rsidP="00806A89">
            <w:pPr>
              <w:rPr>
                <w:rFonts w:asciiTheme="minorHAnsi" w:hAnsiTheme="minorHAnsi" w:cstheme="minorHAnsi"/>
              </w:rPr>
            </w:pPr>
            <w:r w:rsidRPr="00037AD4">
              <w:rPr>
                <w:rFonts w:asciiTheme="minorHAnsi" w:hAnsiTheme="minorHAnsi" w:cstheme="minorHAnsi"/>
              </w:rPr>
              <w:t>0.61</w:t>
            </w:r>
            <w:r w:rsidR="0085385D">
              <w:rPr>
                <w:rFonts w:asciiTheme="minorHAnsi" w:hAnsiTheme="minorHAnsi" w:cstheme="minorHAnsi"/>
              </w:rPr>
              <w:t>**</w:t>
            </w:r>
            <w:r w:rsidRPr="00037AD4">
              <w:rPr>
                <w:rFonts w:asciiTheme="minorHAnsi" w:hAnsiTheme="minorHAnsi" w:cstheme="minorHAnsi"/>
              </w:rPr>
              <w:t xml:space="preserve"> (0.35) </w:t>
            </w:r>
          </w:p>
        </w:tc>
      </w:tr>
      <w:tr w:rsidR="00B54D51" w:rsidRPr="00037AD4" w14:paraId="30DC3361" w14:textId="77777777" w:rsidTr="00806A89">
        <w:tc>
          <w:tcPr>
            <w:tcW w:w="1302" w:type="dxa"/>
          </w:tcPr>
          <w:p w14:paraId="1C55A907" w14:textId="77777777" w:rsidR="00B54D51" w:rsidRPr="00037AD4" w:rsidRDefault="00B54D51" w:rsidP="00806A89">
            <w:pPr>
              <w:rPr>
                <w:rFonts w:asciiTheme="minorHAnsi" w:hAnsiTheme="minorHAnsi" w:cstheme="minorHAnsi"/>
              </w:rPr>
            </w:pPr>
            <w:r w:rsidRPr="00037AD4">
              <w:rPr>
                <w:rFonts w:asciiTheme="minorHAnsi" w:hAnsiTheme="minorHAnsi" w:cstheme="minorHAnsi"/>
              </w:rPr>
              <w:t xml:space="preserve">CDR 3 </w:t>
            </w:r>
          </w:p>
          <w:p w14:paraId="1D424072" w14:textId="77777777" w:rsidR="00B54D51" w:rsidRPr="00037AD4" w:rsidRDefault="00B54D51" w:rsidP="00806A89">
            <w:pPr>
              <w:rPr>
                <w:rFonts w:asciiTheme="minorHAnsi" w:hAnsiTheme="minorHAnsi" w:cstheme="minorHAnsi"/>
              </w:rPr>
            </w:pPr>
            <w:r w:rsidRPr="00037AD4">
              <w:rPr>
                <w:rFonts w:asciiTheme="minorHAnsi" w:hAnsiTheme="minorHAnsi" w:cstheme="minorHAnsi"/>
              </w:rPr>
              <w:t>n=16</w:t>
            </w:r>
          </w:p>
        </w:tc>
        <w:tc>
          <w:tcPr>
            <w:tcW w:w="1003" w:type="dxa"/>
          </w:tcPr>
          <w:p w14:paraId="11AF1328" w14:textId="77777777" w:rsidR="00B54D51" w:rsidRPr="00037AD4" w:rsidRDefault="00B54D51" w:rsidP="00806A89">
            <w:pPr>
              <w:rPr>
                <w:rFonts w:asciiTheme="minorHAnsi" w:hAnsiTheme="minorHAnsi" w:cstheme="minorHAnsi"/>
              </w:rPr>
            </w:pPr>
            <w:r w:rsidRPr="00037AD4">
              <w:rPr>
                <w:rFonts w:asciiTheme="minorHAnsi" w:hAnsiTheme="minorHAnsi" w:cstheme="minorHAnsi"/>
              </w:rPr>
              <w:t xml:space="preserve">0.66 (0.30) </w:t>
            </w:r>
          </w:p>
        </w:tc>
        <w:tc>
          <w:tcPr>
            <w:tcW w:w="1000" w:type="dxa"/>
          </w:tcPr>
          <w:p w14:paraId="047EB2C9" w14:textId="77777777" w:rsidR="00B54D51" w:rsidRPr="00037AD4" w:rsidRDefault="00B54D51" w:rsidP="00806A89">
            <w:pPr>
              <w:rPr>
                <w:rFonts w:asciiTheme="minorHAnsi" w:hAnsiTheme="minorHAnsi" w:cstheme="minorHAnsi"/>
              </w:rPr>
            </w:pPr>
            <w:r w:rsidRPr="00037AD4">
              <w:rPr>
                <w:rFonts w:asciiTheme="minorHAnsi" w:hAnsiTheme="minorHAnsi" w:cstheme="minorHAnsi"/>
              </w:rPr>
              <w:t xml:space="preserve">0.35 (0.27) </w:t>
            </w:r>
          </w:p>
        </w:tc>
        <w:tc>
          <w:tcPr>
            <w:tcW w:w="0" w:type="auto"/>
          </w:tcPr>
          <w:p w14:paraId="0CBE5256" w14:textId="6F829D9A" w:rsidR="008B38F4" w:rsidRDefault="00B54D51" w:rsidP="00806A89">
            <w:pPr>
              <w:rPr>
                <w:rFonts w:asciiTheme="minorHAnsi" w:hAnsiTheme="minorHAnsi" w:cstheme="minorHAnsi"/>
              </w:rPr>
            </w:pPr>
            <w:r w:rsidRPr="00037AD4">
              <w:rPr>
                <w:rFonts w:asciiTheme="minorHAnsi" w:hAnsiTheme="minorHAnsi" w:cstheme="minorHAnsi"/>
              </w:rPr>
              <w:t>0.49</w:t>
            </w:r>
            <w:r w:rsidR="008B38F4">
              <w:rPr>
                <w:rFonts w:asciiTheme="minorHAnsi" w:hAnsiTheme="minorHAnsi" w:cstheme="minorHAnsi"/>
              </w:rPr>
              <w:t>**</w:t>
            </w:r>
          </w:p>
          <w:p w14:paraId="0B9D86EA" w14:textId="17AE173E" w:rsidR="00B54D51" w:rsidRPr="00037AD4" w:rsidRDefault="00B54D51" w:rsidP="00806A89">
            <w:pPr>
              <w:rPr>
                <w:rFonts w:asciiTheme="minorHAnsi" w:hAnsiTheme="minorHAnsi" w:cstheme="minorHAnsi"/>
              </w:rPr>
            </w:pPr>
            <w:r w:rsidRPr="00037AD4">
              <w:rPr>
                <w:rFonts w:asciiTheme="minorHAnsi" w:hAnsiTheme="minorHAnsi" w:cstheme="minorHAnsi"/>
              </w:rPr>
              <w:t>(0.20)</w:t>
            </w:r>
          </w:p>
        </w:tc>
        <w:tc>
          <w:tcPr>
            <w:tcW w:w="0" w:type="auto"/>
            <w:vMerge/>
            <w:shd w:val="clear" w:color="auto" w:fill="E7E6E6" w:themeFill="background2"/>
          </w:tcPr>
          <w:p w14:paraId="354D73D5" w14:textId="77777777" w:rsidR="00B54D51" w:rsidRPr="00037AD4" w:rsidRDefault="00B54D51" w:rsidP="00806A89">
            <w:pPr>
              <w:rPr>
                <w:rFonts w:asciiTheme="minorHAnsi" w:hAnsiTheme="minorHAnsi" w:cstheme="minorHAnsi"/>
              </w:rPr>
            </w:pPr>
          </w:p>
        </w:tc>
        <w:tc>
          <w:tcPr>
            <w:tcW w:w="0" w:type="auto"/>
          </w:tcPr>
          <w:p w14:paraId="77618E63" w14:textId="77777777" w:rsidR="00B54D51" w:rsidRPr="00037AD4" w:rsidRDefault="00B54D51" w:rsidP="00806A89">
            <w:pPr>
              <w:rPr>
                <w:rFonts w:asciiTheme="minorHAnsi" w:hAnsiTheme="minorHAnsi" w:cstheme="minorHAnsi"/>
              </w:rPr>
            </w:pPr>
            <w:r w:rsidRPr="00037AD4">
              <w:rPr>
                <w:rFonts w:asciiTheme="minorHAnsi" w:hAnsiTheme="minorHAnsi" w:cstheme="minorHAnsi"/>
              </w:rPr>
              <w:t xml:space="preserve">CDR 3 </w:t>
            </w:r>
          </w:p>
          <w:p w14:paraId="74A06E43" w14:textId="77777777" w:rsidR="00B54D51" w:rsidRPr="00037AD4" w:rsidRDefault="00B54D51" w:rsidP="00806A89">
            <w:pPr>
              <w:rPr>
                <w:rFonts w:asciiTheme="minorHAnsi" w:hAnsiTheme="minorHAnsi" w:cstheme="minorHAnsi"/>
              </w:rPr>
            </w:pPr>
            <w:r w:rsidRPr="00037AD4">
              <w:rPr>
                <w:rFonts w:asciiTheme="minorHAnsi" w:hAnsiTheme="minorHAnsi" w:cstheme="minorHAnsi"/>
              </w:rPr>
              <w:t>n=104</w:t>
            </w:r>
          </w:p>
        </w:tc>
        <w:tc>
          <w:tcPr>
            <w:tcW w:w="868" w:type="dxa"/>
          </w:tcPr>
          <w:p w14:paraId="49B2FBBF" w14:textId="77777777" w:rsidR="00B54D51" w:rsidRPr="00037AD4" w:rsidRDefault="00B54D51" w:rsidP="00806A89">
            <w:pPr>
              <w:rPr>
                <w:rFonts w:asciiTheme="minorHAnsi" w:hAnsiTheme="minorHAnsi" w:cstheme="minorHAnsi"/>
              </w:rPr>
            </w:pPr>
            <w:r w:rsidRPr="00037AD4">
              <w:rPr>
                <w:rFonts w:asciiTheme="minorHAnsi" w:hAnsiTheme="minorHAnsi" w:cstheme="minorHAnsi"/>
              </w:rPr>
              <w:t xml:space="preserve">0.82 (0.20) </w:t>
            </w:r>
          </w:p>
        </w:tc>
        <w:tc>
          <w:tcPr>
            <w:tcW w:w="887" w:type="dxa"/>
          </w:tcPr>
          <w:p w14:paraId="7270AE84" w14:textId="77777777" w:rsidR="00B54D51" w:rsidRPr="00037AD4" w:rsidRDefault="00B54D51" w:rsidP="00806A89">
            <w:pPr>
              <w:rPr>
                <w:rFonts w:asciiTheme="minorHAnsi" w:hAnsiTheme="minorHAnsi" w:cstheme="minorHAnsi"/>
              </w:rPr>
            </w:pPr>
            <w:r w:rsidRPr="00037AD4">
              <w:rPr>
                <w:rFonts w:asciiTheme="minorHAnsi" w:hAnsiTheme="minorHAnsi" w:cstheme="minorHAnsi"/>
              </w:rPr>
              <w:t xml:space="preserve">0.38 (0.40)  </w:t>
            </w:r>
          </w:p>
        </w:tc>
        <w:tc>
          <w:tcPr>
            <w:tcW w:w="1216" w:type="dxa"/>
          </w:tcPr>
          <w:p w14:paraId="04529B63" w14:textId="0F459837" w:rsidR="0085385D" w:rsidRDefault="00B54D51" w:rsidP="00806A89">
            <w:pPr>
              <w:rPr>
                <w:rFonts w:asciiTheme="minorHAnsi" w:hAnsiTheme="minorHAnsi" w:cstheme="minorHAnsi"/>
              </w:rPr>
            </w:pPr>
            <w:r w:rsidRPr="00037AD4">
              <w:rPr>
                <w:rFonts w:asciiTheme="minorHAnsi" w:hAnsiTheme="minorHAnsi" w:cstheme="minorHAnsi"/>
              </w:rPr>
              <w:t>0.37</w:t>
            </w:r>
            <w:r w:rsidR="0085385D">
              <w:rPr>
                <w:rFonts w:asciiTheme="minorHAnsi" w:hAnsiTheme="minorHAnsi" w:cstheme="minorHAnsi"/>
              </w:rPr>
              <w:t>**</w:t>
            </w:r>
          </w:p>
          <w:p w14:paraId="67E3FFE0" w14:textId="282A92E8" w:rsidR="00B54D51" w:rsidRPr="00037AD4" w:rsidRDefault="00B54D51" w:rsidP="00806A89">
            <w:pPr>
              <w:rPr>
                <w:rFonts w:asciiTheme="minorHAnsi" w:hAnsiTheme="minorHAnsi" w:cstheme="minorHAnsi"/>
              </w:rPr>
            </w:pPr>
            <w:r w:rsidRPr="00037AD4">
              <w:rPr>
                <w:rFonts w:asciiTheme="minorHAnsi" w:hAnsiTheme="minorHAnsi" w:cstheme="minorHAnsi"/>
              </w:rPr>
              <w:t xml:space="preserve">(0.42) </w:t>
            </w:r>
          </w:p>
        </w:tc>
      </w:tr>
      <w:tr w:rsidR="00B54D51" w:rsidRPr="00037AD4" w14:paraId="7F907AD3" w14:textId="77777777" w:rsidTr="00AC647E">
        <w:tc>
          <w:tcPr>
            <w:tcW w:w="0" w:type="auto"/>
            <w:gridSpan w:val="9"/>
          </w:tcPr>
          <w:p w14:paraId="0AABE583" w14:textId="77777777" w:rsidR="00B54D51" w:rsidRPr="00037AD4" w:rsidRDefault="00B54D51" w:rsidP="00806A89">
            <w:pPr>
              <w:rPr>
                <w:rFonts w:asciiTheme="minorHAnsi" w:hAnsiTheme="minorHAnsi" w:cstheme="minorHAnsi"/>
              </w:rPr>
            </w:pPr>
            <w:r w:rsidRPr="00037AD4">
              <w:rPr>
                <w:rFonts w:asciiTheme="minorHAnsi" w:hAnsiTheme="minorHAnsi" w:cstheme="minorHAnsi"/>
              </w:rPr>
              <w:t xml:space="preserve">Change in EQ-5D index score from T0 to T2 according to CDR stage </w:t>
            </w:r>
          </w:p>
        </w:tc>
      </w:tr>
      <w:tr w:rsidR="00B54D51" w:rsidRPr="00037AD4" w14:paraId="0DCDA8F6" w14:textId="77777777" w:rsidTr="00806A89">
        <w:tc>
          <w:tcPr>
            <w:tcW w:w="1302" w:type="dxa"/>
          </w:tcPr>
          <w:p w14:paraId="64C4DF3F" w14:textId="77777777" w:rsidR="00B54D51" w:rsidRPr="00037AD4" w:rsidRDefault="00B54D51" w:rsidP="00806A89">
            <w:pPr>
              <w:rPr>
                <w:rFonts w:asciiTheme="minorHAnsi" w:hAnsiTheme="minorHAnsi" w:cstheme="minorHAnsi"/>
              </w:rPr>
            </w:pPr>
            <w:r w:rsidRPr="00037AD4">
              <w:rPr>
                <w:rFonts w:asciiTheme="minorHAnsi" w:hAnsiTheme="minorHAnsi" w:cstheme="minorHAnsi"/>
              </w:rPr>
              <w:t>If CDR is stable n=209</w:t>
            </w:r>
          </w:p>
        </w:tc>
        <w:tc>
          <w:tcPr>
            <w:tcW w:w="1003" w:type="dxa"/>
          </w:tcPr>
          <w:p w14:paraId="6FB5519F" w14:textId="77777777" w:rsidR="00B54D51" w:rsidRPr="00037AD4" w:rsidRDefault="00B54D51" w:rsidP="00806A89">
            <w:pPr>
              <w:rPr>
                <w:rFonts w:asciiTheme="minorHAnsi" w:hAnsiTheme="minorHAnsi" w:cstheme="minorHAnsi"/>
              </w:rPr>
            </w:pPr>
            <w:r w:rsidRPr="00037AD4">
              <w:rPr>
                <w:rFonts w:asciiTheme="minorHAnsi" w:hAnsiTheme="minorHAnsi" w:cstheme="minorHAnsi"/>
              </w:rPr>
              <w:t xml:space="preserve">-0.007 (0.19) </w:t>
            </w:r>
          </w:p>
        </w:tc>
        <w:tc>
          <w:tcPr>
            <w:tcW w:w="1000" w:type="dxa"/>
          </w:tcPr>
          <w:p w14:paraId="1A092385" w14:textId="77777777" w:rsidR="00B54D51" w:rsidRPr="00037AD4" w:rsidRDefault="00B54D51" w:rsidP="00806A89">
            <w:pPr>
              <w:rPr>
                <w:rFonts w:asciiTheme="minorHAnsi" w:hAnsiTheme="minorHAnsi" w:cstheme="minorHAnsi"/>
              </w:rPr>
            </w:pPr>
            <w:r w:rsidRPr="00037AD4">
              <w:rPr>
                <w:rFonts w:asciiTheme="minorHAnsi" w:hAnsiTheme="minorHAnsi" w:cstheme="minorHAnsi"/>
              </w:rPr>
              <w:t xml:space="preserve">-0.043 (0.18) </w:t>
            </w:r>
          </w:p>
        </w:tc>
        <w:tc>
          <w:tcPr>
            <w:tcW w:w="0" w:type="auto"/>
          </w:tcPr>
          <w:p w14:paraId="6BA46860" w14:textId="77777777" w:rsidR="00B54D51" w:rsidRPr="00037AD4" w:rsidRDefault="00B54D51" w:rsidP="00806A89">
            <w:pPr>
              <w:rPr>
                <w:rFonts w:asciiTheme="minorHAnsi" w:hAnsiTheme="minorHAnsi" w:cstheme="minorHAnsi"/>
              </w:rPr>
            </w:pPr>
            <w:r w:rsidRPr="00037AD4">
              <w:rPr>
                <w:rFonts w:asciiTheme="minorHAnsi" w:hAnsiTheme="minorHAnsi" w:cstheme="minorHAnsi"/>
              </w:rPr>
              <w:t>-0.035 (0.18)</w:t>
            </w:r>
          </w:p>
        </w:tc>
        <w:tc>
          <w:tcPr>
            <w:tcW w:w="0" w:type="auto"/>
            <w:vMerge w:val="restart"/>
            <w:shd w:val="clear" w:color="auto" w:fill="E7E6E6" w:themeFill="background2"/>
          </w:tcPr>
          <w:p w14:paraId="1D451A85" w14:textId="77777777" w:rsidR="00B54D51" w:rsidRPr="00037AD4" w:rsidRDefault="00B54D51" w:rsidP="00806A89">
            <w:pPr>
              <w:rPr>
                <w:rFonts w:asciiTheme="minorHAnsi" w:hAnsiTheme="minorHAnsi" w:cstheme="minorHAnsi"/>
              </w:rPr>
            </w:pPr>
          </w:p>
        </w:tc>
        <w:tc>
          <w:tcPr>
            <w:tcW w:w="0" w:type="auto"/>
          </w:tcPr>
          <w:p w14:paraId="7F172CAA" w14:textId="77777777" w:rsidR="00B54D51" w:rsidRPr="00037AD4" w:rsidRDefault="00B54D51" w:rsidP="00806A89">
            <w:pPr>
              <w:rPr>
                <w:rFonts w:asciiTheme="minorHAnsi" w:hAnsiTheme="minorHAnsi" w:cstheme="minorHAnsi"/>
              </w:rPr>
            </w:pPr>
            <w:r w:rsidRPr="00037AD4">
              <w:rPr>
                <w:rFonts w:asciiTheme="minorHAnsi" w:hAnsiTheme="minorHAnsi" w:cstheme="minorHAnsi"/>
              </w:rPr>
              <w:t xml:space="preserve">If CDR is stable </w:t>
            </w:r>
          </w:p>
          <w:p w14:paraId="3719797C" w14:textId="77777777" w:rsidR="00B54D51" w:rsidRPr="00037AD4" w:rsidRDefault="00B54D51" w:rsidP="00806A89">
            <w:pPr>
              <w:rPr>
                <w:rFonts w:asciiTheme="minorHAnsi" w:hAnsiTheme="minorHAnsi" w:cstheme="minorHAnsi"/>
              </w:rPr>
            </w:pPr>
            <w:r w:rsidRPr="00037AD4">
              <w:rPr>
                <w:rFonts w:asciiTheme="minorHAnsi" w:hAnsiTheme="minorHAnsi" w:cstheme="minorHAnsi"/>
              </w:rPr>
              <w:t>n=76</w:t>
            </w:r>
          </w:p>
        </w:tc>
        <w:tc>
          <w:tcPr>
            <w:tcW w:w="868" w:type="dxa"/>
          </w:tcPr>
          <w:p w14:paraId="67564A1C" w14:textId="77777777" w:rsidR="00B54D51" w:rsidRPr="00037AD4" w:rsidRDefault="00B54D51" w:rsidP="00806A89">
            <w:pPr>
              <w:rPr>
                <w:rFonts w:asciiTheme="minorHAnsi" w:hAnsiTheme="minorHAnsi" w:cstheme="minorHAnsi"/>
              </w:rPr>
            </w:pPr>
            <w:r w:rsidRPr="00037AD4">
              <w:rPr>
                <w:rFonts w:asciiTheme="minorHAnsi" w:hAnsiTheme="minorHAnsi" w:cstheme="minorHAnsi"/>
              </w:rPr>
              <w:t xml:space="preserve">-0.087 (0.28) </w:t>
            </w:r>
          </w:p>
        </w:tc>
        <w:tc>
          <w:tcPr>
            <w:tcW w:w="887" w:type="dxa"/>
          </w:tcPr>
          <w:p w14:paraId="7465F99F" w14:textId="77777777" w:rsidR="00B54D51" w:rsidRPr="00037AD4" w:rsidRDefault="00B54D51" w:rsidP="00806A89">
            <w:pPr>
              <w:rPr>
                <w:rFonts w:asciiTheme="minorHAnsi" w:hAnsiTheme="minorHAnsi" w:cstheme="minorHAnsi"/>
              </w:rPr>
            </w:pPr>
            <w:r w:rsidRPr="00037AD4">
              <w:rPr>
                <w:rFonts w:asciiTheme="minorHAnsi" w:hAnsiTheme="minorHAnsi" w:cstheme="minorHAnsi"/>
              </w:rPr>
              <w:t>-0.045</w:t>
            </w:r>
          </w:p>
          <w:p w14:paraId="072646B8" w14:textId="77777777" w:rsidR="00B54D51" w:rsidRPr="00037AD4" w:rsidRDefault="00B54D51" w:rsidP="00806A89">
            <w:pPr>
              <w:rPr>
                <w:rFonts w:asciiTheme="minorHAnsi" w:hAnsiTheme="minorHAnsi" w:cstheme="minorHAnsi"/>
              </w:rPr>
            </w:pPr>
            <w:r w:rsidRPr="00037AD4">
              <w:rPr>
                <w:rFonts w:asciiTheme="minorHAnsi" w:hAnsiTheme="minorHAnsi" w:cstheme="minorHAnsi"/>
              </w:rPr>
              <w:t xml:space="preserve">(0.32) </w:t>
            </w:r>
          </w:p>
        </w:tc>
        <w:tc>
          <w:tcPr>
            <w:tcW w:w="1216" w:type="dxa"/>
          </w:tcPr>
          <w:p w14:paraId="6273C15B" w14:textId="77777777" w:rsidR="00B54D51" w:rsidRPr="00037AD4" w:rsidRDefault="00B54D51" w:rsidP="00806A89">
            <w:pPr>
              <w:rPr>
                <w:rFonts w:asciiTheme="minorHAnsi" w:hAnsiTheme="minorHAnsi" w:cstheme="minorHAnsi"/>
              </w:rPr>
            </w:pPr>
            <w:r w:rsidRPr="00037AD4">
              <w:rPr>
                <w:rFonts w:asciiTheme="minorHAnsi" w:hAnsiTheme="minorHAnsi" w:cstheme="minorHAnsi"/>
              </w:rPr>
              <w:t xml:space="preserve">-0.049 (0.32) </w:t>
            </w:r>
          </w:p>
        </w:tc>
      </w:tr>
      <w:tr w:rsidR="00B54D51" w:rsidRPr="00037AD4" w14:paraId="0770DB4F" w14:textId="77777777" w:rsidTr="00806A89">
        <w:tc>
          <w:tcPr>
            <w:tcW w:w="1302" w:type="dxa"/>
          </w:tcPr>
          <w:p w14:paraId="25D7A43C" w14:textId="77777777" w:rsidR="00B54D51" w:rsidRPr="00037AD4" w:rsidRDefault="00B54D51" w:rsidP="00806A89">
            <w:pPr>
              <w:rPr>
                <w:rFonts w:asciiTheme="minorHAnsi" w:hAnsiTheme="minorHAnsi" w:cstheme="minorHAnsi"/>
              </w:rPr>
            </w:pPr>
            <w:r w:rsidRPr="00037AD4">
              <w:rPr>
                <w:rFonts w:asciiTheme="minorHAnsi" w:hAnsiTheme="minorHAnsi" w:cstheme="minorHAnsi"/>
              </w:rPr>
              <w:t>If CDR has progressed n=85</w:t>
            </w:r>
          </w:p>
        </w:tc>
        <w:tc>
          <w:tcPr>
            <w:tcW w:w="1003" w:type="dxa"/>
          </w:tcPr>
          <w:p w14:paraId="5CC4547B" w14:textId="77777777" w:rsidR="00B54D51" w:rsidRPr="00037AD4" w:rsidRDefault="00B54D51" w:rsidP="00806A89">
            <w:pPr>
              <w:rPr>
                <w:rFonts w:asciiTheme="minorHAnsi" w:hAnsiTheme="minorHAnsi" w:cstheme="minorHAnsi"/>
              </w:rPr>
            </w:pPr>
            <w:r w:rsidRPr="00037AD4">
              <w:rPr>
                <w:rFonts w:asciiTheme="minorHAnsi" w:hAnsiTheme="minorHAnsi" w:cstheme="minorHAnsi"/>
              </w:rPr>
              <w:t xml:space="preserve">-0.041 (0.20) </w:t>
            </w:r>
          </w:p>
        </w:tc>
        <w:tc>
          <w:tcPr>
            <w:tcW w:w="1000" w:type="dxa"/>
          </w:tcPr>
          <w:p w14:paraId="72E9E5D8" w14:textId="77777777" w:rsidR="00B54D51" w:rsidRPr="00037AD4" w:rsidRDefault="00B54D51" w:rsidP="00806A89">
            <w:pPr>
              <w:rPr>
                <w:rFonts w:asciiTheme="minorHAnsi" w:hAnsiTheme="minorHAnsi" w:cstheme="minorHAnsi"/>
              </w:rPr>
            </w:pPr>
            <w:r w:rsidRPr="00037AD4">
              <w:rPr>
                <w:rFonts w:asciiTheme="minorHAnsi" w:hAnsiTheme="minorHAnsi" w:cstheme="minorHAnsi"/>
              </w:rPr>
              <w:t xml:space="preserve">-0.131 (0.23) </w:t>
            </w:r>
          </w:p>
        </w:tc>
        <w:tc>
          <w:tcPr>
            <w:tcW w:w="0" w:type="auto"/>
          </w:tcPr>
          <w:p w14:paraId="122396A4" w14:textId="77777777" w:rsidR="00B54D51" w:rsidRPr="00037AD4" w:rsidRDefault="00B54D51" w:rsidP="00806A89">
            <w:pPr>
              <w:rPr>
                <w:rFonts w:asciiTheme="minorHAnsi" w:hAnsiTheme="minorHAnsi" w:cstheme="minorHAnsi"/>
              </w:rPr>
            </w:pPr>
            <w:r w:rsidRPr="00037AD4">
              <w:rPr>
                <w:rFonts w:asciiTheme="minorHAnsi" w:hAnsiTheme="minorHAnsi" w:cstheme="minorHAnsi"/>
              </w:rPr>
              <w:t xml:space="preserve">-0.129 (0.21) </w:t>
            </w:r>
          </w:p>
        </w:tc>
        <w:tc>
          <w:tcPr>
            <w:tcW w:w="0" w:type="auto"/>
            <w:vMerge/>
            <w:shd w:val="clear" w:color="auto" w:fill="E7E6E6" w:themeFill="background2"/>
          </w:tcPr>
          <w:p w14:paraId="7A56DF20" w14:textId="77777777" w:rsidR="00B54D51" w:rsidRPr="00037AD4" w:rsidRDefault="00B54D51" w:rsidP="00806A89">
            <w:pPr>
              <w:rPr>
                <w:rFonts w:asciiTheme="minorHAnsi" w:hAnsiTheme="minorHAnsi" w:cstheme="minorHAnsi"/>
              </w:rPr>
            </w:pPr>
          </w:p>
        </w:tc>
        <w:tc>
          <w:tcPr>
            <w:tcW w:w="0" w:type="auto"/>
          </w:tcPr>
          <w:p w14:paraId="71BACEC0" w14:textId="77777777" w:rsidR="00B54D51" w:rsidRPr="00037AD4" w:rsidRDefault="00B54D51" w:rsidP="00806A89">
            <w:pPr>
              <w:rPr>
                <w:rFonts w:asciiTheme="minorHAnsi" w:hAnsiTheme="minorHAnsi" w:cstheme="minorHAnsi"/>
              </w:rPr>
            </w:pPr>
            <w:r w:rsidRPr="00037AD4">
              <w:rPr>
                <w:rFonts w:asciiTheme="minorHAnsi" w:hAnsiTheme="minorHAnsi" w:cstheme="minorHAnsi"/>
              </w:rPr>
              <w:t>If CDR has progressed n=50</w:t>
            </w:r>
          </w:p>
        </w:tc>
        <w:tc>
          <w:tcPr>
            <w:tcW w:w="868" w:type="dxa"/>
          </w:tcPr>
          <w:p w14:paraId="269A8CF8" w14:textId="77777777" w:rsidR="00B54D51" w:rsidRPr="00037AD4" w:rsidRDefault="00B54D51" w:rsidP="00806A89">
            <w:pPr>
              <w:rPr>
                <w:rFonts w:asciiTheme="minorHAnsi" w:hAnsiTheme="minorHAnsi" w:cstheme="minorHAnsi"/>
              </w:rPr>
            </w:pPr>
            <w:r w:rsidRPr="00037AD4">
              <w:rPr>
                <w:rFonts w:asciiTheme="minorHAnsi" w:hAnsiTheme="minorHAnsi" w:cstheme="minorHAnsi"/>
              </w:rPr>
              <w:t xml:space="preserve">-0.080 (0.24) </w:t>
            </w:r>
          </w:p>
        </w:tc>
        <w:tc>
          <w:tcPr>
            <w:tcW w:w="887" w:type="dxa"/>
          </w:tcPr>
          <w:p w14:paraId="121ECB41" w14:textId="77777777" w:rsidR="00B54D51" w:rsidRPr="00037AD4" w:rsidRDefault="00B54D51" w:rsidP="00806A89">
            <w:pPr>
              <w:rPr>
                <w:rFonts w:asciiTheme="minorHAnsi" w:hAnsiTheme="minorHAnsi" w:cstheme="minorHAnsi"/>
              </w:rPr>
            </w:pPr>
            <w:r w:rsidRPr="00037AD4">
              <w:rPr>
                <w:rFonts w:asciiTheme="minorHAnsi" w:hAnsiTheme="minorHAnsi" w:cstheme="minorHAnsi"/>
              </w:rPr>
              <w:t>-0.179</w:t>
            </w:r>
          </w:p>
          <w:p w14:paraId="42684931" w14:textId="77777777" w:rsidR="00B54D51" w:rsidRPr="00037AD4" w:rsidRDefault="00B54D51" w:rsidP="00806A89">
            <w:pPr>
              <w:rPr>
                <w:rFonts w:asciiTheme="minorHAnsi" w:hAnsiTheme="minorHAnsi" w:cstheme="minorHAnsi"/>
              </w:rPr>
            </w:pPr>
            <w:r w:rsidRPr="00037AD4">
              <w:rPr>
                <w:rFonts w:asciiTheme="minorHAnsi" w:hAnsiTheme="minorHAnsi" w:cstheme="minorHAnsi"/>
              </w:rPr>
              <w:t xml:space="preserve">(0.32)  </w:t>
            </w:r>
          </w:p>
        </w:tc>
        <w:tc>
          <w:tcPr>
            <w:tcW w:w="1216" w:type="dxa"/>
          </w:tcPr>
          <w:p w14:paraId="35CCA8B4" w14:textId="77777777" w:rsidR="00B54D51" w:rsidRPr="00037AD4" w:rsidRDefault="00B54D51" w:rsidP="00806A89">
            <w:pPr>
              <w:rPr>
                <w:rFonts w:asciiTheme="minorHAnsi" w:hAnsiTheme="minorHAnsi" w:cstheme="minorHAnsi"/>
              </w:rPr>
            </w:pPr>
            <w:r w:rsidRPr="00037AD4">
              <w:rPr>
                <w:rFonts w:asciiTheme="minorHAnsi" w:hAnsiTheme="minorHAnsi" w:cstheme="minorHAnsi"/>
              </w:rPr>
              <w:t xml:space="preserve">-0.193 (0.29) </w:t>
            </w:r>
          </w:p>
        </w:tc>
      </w:tr>
      <w:tr w:rsidR="00B54D51" w:rsidRPr="00037AD4" w14:paraId="2596A717" w14:textId="77777777" w:rsidTr="00A527D1">
        <w:tc>
          <w:tcPr>
            <w:tcW w:w="9016" w:type="dxa"/>
            <w:gridSpan w:val="9"/>
          </w:tcPr>
          <w:p w14:paraId="0F1EDEEA" w14:textId="77777777" w:rsidR="00B54D51" w:rsidRDefault="00B54D51" w:rsidP="00806A89">
            <w:pPr>
              <w:rPr>
                <w:rFonts w:asciiTheme="minorHAnsi" w:hAnsiTheme="minorHAnsi" w:cstheme="minorHAnsi"/>
                <w:sz w:val="22"/>
                <w:szCs w:val="22"/>
              </w:rPr>
            </w:pPr>
            <w:r w:rsidRPr="00037AD4">
              <w:rPr>
                <w:rFonts w:asciiTheme="minorHAnsi" w:hAnsiTheme="minorHAnsi" w:cstheme="minorHAnsi"/>
                <w:sz w:val="22"/>
                <w:szCs w:val="22"/>
              </w:rPr>
              <w:t xml:space="preserve">Values presented in this table use matched pair observations </w:t>
            </w:r>
          </w:p>
          <w:p w14:paraId="73C960ED" w14:textId="24C47CE6" w:rsidR="00431228" w:rsidRDefault="00431228" w:rsidP="00806A89">
            <w:pPr>
              <w:rPr>
                <w:rFonts w:asciiTheme="minorHAnsi" w:hAnsiTheme="minorHAnsi" w:cstheme="minorHAnsi"/>
                <w:sz w:val="22"/>
                <w:szCs w:val="22"/>
              </w:rPr>
            </w:pPr>
            <w:r>
              <w:rPr>
                <w:rFonts w:asciiTheme="minorHAnsi" w:hAnsiTheme="minorHAnsi" w:cstheme="minorHAnsi"/>
                <w:sz w:val="22"/>
                <w:szCs w:val="22"/>
              </w:rPr>
              <w:t xml:space="preserve">*Combined score is statistically significantly different to PwD </w:t>
            </w:r>
            <w:r w:rsidR="0085385D">
              <w:rPr>
                <w:rFonts w:asciiTheme="minorHAnsi" w:hAnsiTheme="minorHAnsi" w:cstheme="minorHAnsi"/>
                <w:sz w:val="22"/>
                <w:szCs w:val="22"/>
              </w:rPr>
              <w:t xml:space="preserve">and </w:t>
            </w:r>
            <w:r>
              <w:rPr>
                <w:rFonts w:asciiTheme="minorHAnsi" w:hAnsiTheme="minorHAnsi" w:cstheme="minorHAnsi"/>
                <w:sz w:val="22"/>
                <w:szCs w:val="22"/>
              </w:rPr>
              <w:t>proxy score</w:t>
            </w:r>
            <w:r w:rsidR="0085385D">
              <w:rPr>
                <w:rFonts w:asciiTheme="minorHAnsi" w:hAnsiTheme="minorHAnsi" w:cstheme="minorHAnsi"/>
                <w:sz w:val="22"/>
                <w:szCs w:val="22"/>
              </w:rPr>
              <w:t xml:space="preserve">s </w:t>
            </w:r>
            <w:r w:rsidR="004B3E31">
              <w:rPr>
                <w:rFonts w:asciiTheme="minorHAnsi" w:hAnsiTheme="minorHAnsi" w:cstheme="minorHAnsi"/>
                <w:sz w:val="22"/>
                <w:szCs w:val="22"/>
              </w:rPr>
              <w:t>(p&lt;0.05)</w:t>
            </w:r>
          </w:p>
          <w:p w14:paraId="0F9A17FB" w14:textId="5098737E" w:rsidR="008B38F4" w:rsidRPr="00037AD4" w:rsidRDefault="008B38F4" w:rsidP="00806A89">
            <w:pPr>
              <w:rPr>
                <w:rFonts w:asciiTheme="minorHAnsi" w:hAnsiTheme="minorHAnsi" w:cstheme="minorHAnsi"/>
                <w:sz w:val="22"/>
                <w:szCs w:val="22"/>
              </w:rPr>
            </w:pPr>
            <w:r>
              <w:rPr>
                <w:rFonts w:asciiTheme="minorHAnsi" w:hAnsiTheme="minorHAnsi" w:cstheme="minorHAnsi"/>
                <w:sz w:val="22"/>
                <w:szCs w:val="22"/>
              </w:rPr>
              <w:t>** Combined score is statistically significantly different to PwD score (p&lt;0.05), but not proxy score (p&gt;0.05)</w:t>
            </w:r>
          </w:p>
        </w:tc>
      </w:tr>
    </w:tbl>
    <w:p w14:paraId="1F94EBF5" w14:textId="77777777" w:rsidR="00B54D51" w:rsidRPr="00037AD4" w:rsidRDefault="00B54D51" w:rsidP="00806A89"/>
    <w:p w14:paraId="2F2CDE3C" w14:textId="77777777" w:rsidR="00B54D51" w:rsidRPr="00037AD4" w:rsidRDefault="00B54D51" w:rsidP="007A43F9">
      <w:pPr>
        <w:pStyle w:val="Heading3"/>
      </w:pPr>
      <w:bookmarkStart w:id="377" w:name="_Toc175742337"/>
      <w:r w:rsidRPr="00037AD4">
        <w:t>5.5.5 Strengths</w:t>
      </w:r>
      <w:bookmarkEnd w:id="377"/>
      <w:r w:rsidRPr="00037AD4">
        <w:t xml:space="preserve"> </w:t>
      </w:r>
    </w:p>
    <w:p w14:paraId="67568188" w14:textId="77777777" w:rsidR="00B54D51" w:rsidRPr="00037AD4" w:rsidRDefault="00B54D51" w:rsidP="00781965">
      <w:pPr>
        <w:rPr>
          <w:rFonts w:asciiTheme="minorHAnsi" w:hAnsiTheme="minorHAnsi" w:cstheme="minorHAnsi"/>
          <w:b/>
          <w:bCs/>
          <w:u w:val="single"/>
        </w:rPr>
      </w:pPr>
    </w:p>
    <w:p w14:paraId="7CB42129" w14:textId="77777777" w:rsidR="00B54D51" w:rsidRPr="00037AD4" w:rsidRDefault="00B54D51" w:rsidP="00C60E15">
      <w:pPr>
        <w:rPr>
          <w:rFonts w:asciiTheme="minorHAnsi" w:hAnsiTheme="minorHAnsi" w:cstheme="minorHAnsi"/>
        </w:rPr>
      </w:pPr>
      <w:r w:rsidRPr="00037AD4">
        <w:rPr>
          <w:rFonts w:asciiTheme="minorHAnsi" w:hAnsiTheme="minorHAnsi" w:cstheme="minorHAnsi"/>
        </w:rPr>
        <w:t xml:space="preserve">One of the strengths of this chapter is that it applies various analyses to evaluate the predetermined objectives. The combination of results from the different analyses mitigates </w:t>
      </w:r>
      <w:r w:rsidRPr="00037AD4">
        <w:rPr>
          <w:rFonts w:asciiTheme="minorHAnsi" w:hAnsiTheme="minorHAnsi" w:cstheme="minorHAnsi"/>
        </w:rPr>
        <w:lastRenderedPageBreak/>
        <w:t>the risk of bias associated with relying solely on one type of analysis. Therefore, more robust conclusions can be derived regarding the validity of the respondent’s reports.</w:t>
      </w:r>
    </w:p>
    <w:p w14:paraId="25690B2C" w14:textId="77777777" w:rsidR="00B54D51" w:rsidRPr="00037AD4" w:rsidRDefault="00B54D51" w:rsidP="00C60E15">
      <w:pPr>
        <w:rPr>
          <w:rFonts w:asciiTheme="minorHAnsi" w:hAnsiTheme="minorHAnsi" w:cstheme="minorHAnsi"/>
        </w:rPr>
      </w:pPr>
    </w:p>
    <w:p w14:paraId="49DE5267" w14:textId="77777777" w:rsidR="00B54D51" w:rsidRPr="00037AD4" w:rsidRDefault="00B54D51" w:rsidP="00C60E15">
      <w:pPr>
        <w:rPr>
          <w:rFonts w:asciiTheme="minorHAnsi" w:hAnsiTheme="minorHAnsi" w:cstheme="minorHAnsi"/>
        </w:rPr>
      </w:pPr>
      <w:r w:rsidRPr="00037AD4">
        <w:rPr>
          <w:rFonts w:asciiTheme="minorHAnsi" w:hAnsiTheme="minorHAnsi" w:cstheme="minorHAnsi"/>
        </w:rPr>
        <w:t xml:space="preserve">The analyses used data from distinct dementia trials, which when pooled, enabled a generous sample size to conduct the analyses upon. Using a larger sample size allows for greater precision when estimating effects. In addition, the trial data was longitudinal, which enabled exploring change over time and responsiveness, which would not have been possible with cross-sectional data. </w:t>
      </w:r>
    </w:p>
    <w:p w14:paraId="710C14D4" w14:textId="77777777" w:rsidR="00B54D51" w:rsidRPr="00037AD4" w:rsidRDefault="00B54D51" w:rsidP="00C60E15">
      <w:pPr>
        <w:rPr>
          <w:rFonts w:asciiTheme="minorHAnsi" w:hAnsiTheme="minorHAnsi" w:cstheme="minorHAnsi"/>
        </w:rPr>
      </w:pPr>
    </w:p>
    <w:p w14:paraId="7787F9EE" w14:textId="77777777" w:rsidR="00B54D51" w:rsidRPr="00037AD4" w:rsidRDefault="00B54D51" w:rsidP="00C60E15">
      <w:pPr>
        <w:rPr>
          <w:rFonts w:asciiTheme="minorHAnsi" w:hAnsiTheme="minorHAnsi" w:cstheme="minorHAnsi"/>
        </w:rPr>
      </w:pPr>
      <w:r w:rsidRPr="00037AD4">
        <w:rPr>
          <w:rFonts w:asciiTheme="minorHAnsi" w:hAnsiTheme="minorHAnsi" w:cstheme="minorHAnsi"/>
        </w:rPr>
        <w:t xml:space="preserve">Acquiring data from different trials which evaluated different populations with dementia has allowed interpretation to be based on the residential status of the PwD. The relationship of the proxy is an important consideration when collecting HRQoL data in dementia populations and is greatly influenced by the residential status of the PwD. It is fundamental that the proxy has frequent contact with the PwD. When the PwD is institutionalised, this form of contact is more likely to occur with formal care staff than it is with informal proxies and obtaining survey data from staff proxies is less demanding and likely to result in fewer missing data observations. These principles together have motivated subdividing the validity judgements by the PwD’s residential status. </w:t>
      </w:r>
    </w:p>
    <w:p w14:paraId="13372AB1" w14:textId="77777777" w:rsidR="00FB6EFE" w:rsidRPr="00037AD4" w:rsidRDefault="00FB6EFE" w:rsidP="00C60E15">
      <w:pPr>
        <w:rPr>
          <w:rFonts w:asciiTheme="minorHAnsi" w:hAnsiTheme="minorHAnsi" w:cstheme="minorHAnsi"/>
          <w:b/>
          <w:bCs/>
          <w:u w:val="single"/>
        </w:rPr>
      </w:pPr>
    </w:p>
    <w:p w14:paraId="3720A018" w14:textId="77777777" w:rsidR="00B54D51" w:rsidRPr="00037AD4" w:rsidRDefault="00B54D51" w:rsidP="007A43F9">
      <w:pPr>
        <w:pStyle w:val="Heading3"/>
      </w:pPr>
      <w:bookmarkStart w:id="378" w:name="_Toc175742338"/>
      <w:r w:rsidRPr="00037AD4">
        <w:t>5.5.6 Limitations</w:t>
      </w:r>
      <w:bookmarkEnd w:id="378"/>
      <w:r w:rsidRPr="00037AD4">
        <w:t xml:space="preserve"> </w:t>
      </w:r>
    </w:p>
    <w:p w14:paraId="79AA8A16" w14:textId="77777777" w:rsidR="00B54D51" w:rsidRPr="00037AD4" w:rsidRDefault="00B54D51" w:rsidP="00C60E15">
      <w:pPr>
        <w:rPr>
          <w:rFonts w:asciiTheme="minorHAnsi" w:hAnsiTheme="minorHAnsi" w:cstheme="minorHAnsi"/>
          <w:b/>
          <w:bCs/>
          <w:u w:val="single"/>
        </w:rPr>
      </w:pPr>
    </w:p>
    <w:p w14:paraId="1E80783D" w14:textId="77777777" w:rsidR="00B54D51" w:rsidRDefault="00B54D51" w:rsidP="00C60E15">
      <w:pPr>
        <w:rPr>
          <w:rFonts w:asciiTheme="minorHAnsi" w:hAnsiTheme="minorHAnsi" w:cstheme="minorHAnsi"/>
        </w:rPr>
      </w:pPr>
      <w:r w:rsidRPr="00037AD4">
        <w:rPr>
          <w:rFonts w:asciiTheme="minorHAnsi" w:hAnsiTheme="minorHAnsi" w:cstheme="minorHAnsi"/>
        </w:rPr>
        <w:t xml:space="preserve">One limitation of the analyses is that where staff proxy comparisons have been made, the data used was limited to that of one study and were solely people within residential care. Therefore, the comparability of responses between PwD-informal proxy dyads and PwD-staff proxy dyads may be confounded by the residential status of the PwD which was not controlled for within the analyses. This may also explain why staff-reported “self-care” saw significant floor effects (while informal proxy reports of this dimension did not). People may have become institutionalised due to increased impairments with their ability to self-care and a requirement for round the clock care, which is not necessarily generalisable to the wider dementia population. In addition, the relationship and role that the proxy upholds in the PwD’s care plan are influential in how they provide HRQoL ratings </w:t>
      </w:r>
      <w:r>
        <w:rPr>
          <w:rFonts w:asciiTheme="minorHAnsi" w:hAnsiTheme="minorHAnsi" w:cstheme="minorHAnsi"/>
          <w:noProof/>
        </w:rPr>
        <w:t>(Rand and Caiels, 2015, Pickard and Knight, 2005)</w:t>
      </w:r>
      <w:r w:rsidRPr="00037AD4">
        <w:rPr>
          <w:rFonts w:asciiTheme="minorHAnsi" w:hAnsiTheme="minorHAnsi" w:cstheme="minorHAnsi"/>
        </w:rPr>
        <w:t xml:space="preserve">. If the proxy experiences particular burden associated with the PwD, this is more likely to be reflected in their reports leading to proxy-bias; however, it is also important that the proxy has complete awareness of the PwD’s condition. </w:t>
      </w:r>
    </w:p>
    <w:p w14:paraId="4137D9A0" w14:textId="77777777" w:rsidR="00265797" w:rsidRDefault="00265797" w:rsidP="00C60E15">
      <w:pPr>
        <w:rPr>
          <w:rFonts w:asciiTheme="minorHAnsi" w:hAnsiTheme="minorHAnsi" w:cstheme="minorHAnsi"/>
        </w:rPr>
      </w:pPr>
    </w:p>
    <w:p w14:paraId="56B2D0E3" w14:textId="1F8EDC02" w:rsidR="00063858" w:rsidRDefault="00063858" w:rsidP="00C60E15">
      <w:pPr>
        <w:rPr>
          <w:rFonts w:asciiTheme="minorHAnsi" w:hAnsiTheme="minorHAnsi" w:cstheme="minorHAnsi"/>
        </w:rPr>
      </w:pPr>
      <w:r w:rsidRPr="00063858">
        <w:rPr>
          <w:rFonts w:asciiTheme="minorHAnsi" w:hAnsiTheme="minorHAnsi" w:cstheme="minorHAnsi"/>
        </w:rPr>
        <w:t xml:space="preserve">Another potential bias to consider is the use of staff proxies in trial settings. Their professional perspectives and potential conflicts of interest may influence their reports, </w:t>
      </w:r>
      <w:r>
        <w:rPr>
          <w:rFonts w:asciiTheme="minorHAnsi" w:hAnsiTheme="minorHAnsi" w:cstheme="minorHAnsi"/>
        </w:rPr>
        <w:t xml:space="preserve">potentially </w:t>
      </w:r>
      <w:r w:rsidRPr="00063858">
        <w:rPr>
          <w:rFonts w:asciiTheme="minorHAnsi" w:hAnsiTheme="minorHAnsi" w:cstheme="minorHAnsi"/>
        </w:rPr>
        <w:t>contributing to</w:t>
      </w:r>
      <w:r>
        <w:rPr>
          <w:rFonts w:asciiTheme="minorHAnsi" w:hAnsiTheme="minorHAnsi" w:cstheme="minorHAnsi"/>
        </w:rPr>
        <w:t xml:space="preserve"> the</w:t>
      </w:r>
      <w:r w:rsidRPr="00063858">
        <w:rPr>
          <w:rFonts w:asciiTheme="minorHAnsi" w:hAnsiTheme="minorHAnsi" w:cstheme="minorHAnsi"/>
        </w:rPr>
        <w:t xml:space="preserve"> differences </w:t>
      </w:r>
      <w:r>
        <w:rPr>
          <w:rFonts w:asciiTheme="minorHAnsi" w:hAnsiTheme="minorHAnsi" w:cstheme="minorHAnsi"/>
        </w:rPr>
        <w:t xml:space="preserve">observed </w:t>
      </w:r>
      <w:r w:rsidRPr="00063858">
        <w:rPr>
          <w:rFonts w:asciiTheme="minorHAnsi" w:hAnsiTheme="minorHAnsi" w:cstheme="minorHAnsi"/>
        </w:rPr>
        <w:t xml:space="preserve">compared </w:t>
      </w:r>
      <w:r>
        <w:rPr>
          <w:rFonts w:asciiTheme="minorHAnsi" w:hAnsiTheme="minorHAnsi" w:cstheme="minorHAnsi"/>
        </w:rPr>
        <w:t>with</w:t>
      </w:r>
      <w:r w:rsidRPr="00063858">
        <w:rPr>
          <w:rFonts w:asciiTheme="minorHAnsi" w:hAnsiTheme="minorHAnsi" w:cstheme="minorHAnsi"/>
        </w:rPr>
        <w:t xml:space="preserve"> informal prox</w:t>
      </w:r>
      <w:r>
        <w:rPr>
          <w:rFonts w:asciiTheme="minorHAnsi" w:hAnsiTheme="minorHAnsi" w:cstheme="minorHAnsi"/>
        </w:rPr>
        <w:t>y reports</w:t>
      </w:r>
      <w:r w:rsidRPr="00063858">
        <w:rPr>
          <w:rFonts w:asciiTheme="minorHAnsi" w:hAnsiTheme="minorHAnsi" w:cstheme="minorHAnsi"/>
        </w:rPr>
        <w:t>, especially in dimensions like “usual activities”</w:t>
      </w:r>
      <w:r>
        <w:rPr>
          <w:rFonts w:asciiTheme="minorHAnsi" w:hAnsiTheme="minorHAnsi" w:cstheme="minorHAnsi"/>
        </w:rPr>
        <w:t>.</w:t>
      </w:r>
      <w:r w:rsidRPr="00063858">
        <w:rPr>
          <w:rFonts w:asciiTheme="minorHAnsi" w:hAnsiTheme="minorHAnsi" w:cstheme="minorHAnsi"/>
        </w:rPr>
        <w:t xml:space="preserve"> Staff proxies </w:t>
      </w:r>
      <w:r>
        <w:rPr>
          <w:rFonts w:asciiTheme="minorHAnsi" w:hAnsiTheme="minorHAnsi" w:cstheme="minorHAnsi"/>
        </w:rPr>
        <w:t>may</w:t>
      </w:r>
      <w:r w:rsidRPr="00063858">
        <w:rPr>
          <w:rFonts w:asciiTheme="minorHAnsi" w:hAnsiTheme="minorHAnsi" w:cstheme="minorHAnsi"/>
        </w:rPr>
        <w:t xml:space="preserve"> </w:t>
      </w:r>
      <w:r>
        <w:rPr>
          <w:rFonts w:asciiTheme="minorHAnsi" w:hAnsiTheme="minorHAnsi" w:cstheme="minorHAnsi"/>
        </w:rPr>
        <w:t>believe</w:t>
      </w:r>
      <w:r w:rsidRPr="00063858">
        <w:rPr>
          <w:rFonts w:asciiTheme="minorHAnsi" w:hAnsiTheme="minorHAnsi" w:cstheme="minorHAnsi"/>
        </w:rPr>
        <w:t xml:space="preserve"> that the quality of their care is being indirectly evaluated. These potential biases could be mitigated by standardi</w:t>
      </w:r>
      <w:r>
        <w:rPr>
          <w:rFonts w:asciiTheme="minorHAnsi" w:hAnsiTheme="minorHAnsi" w:cstheme="minorHAnsi"/>
        </w:rPr>
        <w:t>s</w:t>
      </w:r>
      <w:r w:rsidRPr="00063858">
        <w:rPr>
          <w:rFonts w:asciiTheme="minorHAnsi" w:hAnsiTheme="minorHAnsi" w:cstheme="minorHAnsi"/>
        </w:rPr>
        <w:t>ing data collection methods, anonymi</w:t>
      </w:r>
      <w:r>
        <w:rPr>
          <w:rFonts w:asciiTheme="minorHAnsi" w:hAnsiTheme="minorHAnsi" w:cstheme="minorHAnsi"/>
        </w:rPr>
        <w:t>s</w:t>
      </w:r>
      <w:r w:rsidRPr="00063858">
        <w:rPr>
          <w:rFonts w:asciiTheme="minorHAnsi" w:hAnsiTheme="minorHAnsi" w:cstheme="minorHAnsi"/>
        </w:rPr>
        <w:t>ing the sources of responses to ensure confidentiality, and assuring staff proxies that their assessments will not impact their performance evaluations. Additionally, rotating different staff members to provide input at various times can help balance subjective biases.</w:t>
      </w:r>
    </w:p>
    <w:p w14:paraId="1593D706" w14:textId="77777777" w:rsidR="00063858" w:rsidRPr="00037AD4" w:rsidRDefault="00063858" w:rsidP="00C60E15">
      <w:pPr>
        <w:rPr>
          <w:rFonts w:asciiTheme="minorHAnsi" w:hAnsiTheme="minorHAnsi" w:cstheme="minorHAnsi"/>
          <w:b/>
          <w:bCs/>
          <w:u w:val="single"/>
        </w:rPr>
      </w:pPr>
    </w:p>
    <w:p w14:paraId="0432495B" w14:textId="77777777" w:rsidR="00B54D51" w:rsidRPr="00037AD4" w:rsidRDefault="00B54D51" w:rsidP="00C60E15">
      <w:pPr>
        <w:rPr>
          <w:rFonts w:asciiTheme="minorHAnsi" w:hAnsiTheme="minorHAnsi" w:cstheme="minorHAnsi"/>
        </w:rPr>
      </w:pPr>
      <w:r w:rsidRPr="00037AD4">
        <w:rPr>
          <w:rFonts w:asciiTheme="minorHAnsi" w:hAnsiTheme="minorHAnsi" w:cstheme="minorHAnsi"/>
        </w:rPr>
        <w:t xml:space="preserve">Exploring any potential differences in reporting by dementia severity stage was initially intended. However, due to a lack of data from people with more severe dementia, this </w:t>
      </w:r>
      <w:r w:rsidRPr="00037AD4">
        <w:rPr>
          <w:rFonts w:asciiTheme="minorHAnsi" w:hAnsiTheme="minorHAnsi" w:cstheme="minorHAnsi"/>
        </w:rPr>
        <w:lastRenderedPageBreak/>
        <w:t xml:space="preserve">proposal was not able to be executed. There were issues with data quality as the proportion of missing data increased by CDR stage (as indicated in Chapter Four), and final follow-up point observations for people with severe dementia (CDR 3) were largely missing. Although this is unfortunate, it is acknowledged that this is the nature of using patient survey data and that in doing so, the risk of additional challenges such as recall bias are also introduced </w:t>
      </w:r>
      <w:r>
        <w:rPr>
          <w:rFonts w:asciiTheme="minorHAnsi" w:hAnsiTheme="minorHAnsi" w:cstheme="minorHAnsi"/>
          <w:noProof/>
        </w:rPr>
        <w:t>(Blome and Augustin, 2015)</w:t>
      </w:r>
      <w:r w:rsidRPr="00037AD4">
        <w:rPr>
          <w:rFonts w:asciiTheme="minorHAnsi" w:hAnsiTheme="minorHAnsi" w:cstheme="minorHAnsi"/>
        </w:rPr>
        <w:t xml:space="preserve">. Where analyses used a baseline cross-section of the data (i.e., inter-rater agreement analyses), division by dementia severity stage was possible and has been reported within the results but has not been explicitly discussed. The reason for this is because when further dividing the sample by dementia severity stage, the distinct sample sizes dropped considerably. There was not sufficient data to determine any potential differences between mild and moderate dementia with precision. As a result, the validity judgements best reflect people categorised as having mild-to-moderate stage dementia. Although this was not what was initially anticipated for, grouping people with mild and moderate dementia is standard practice within dementia trials and is likely due to limitations with study enrolment </w:t>
      </w:r>
      <w:r>
        <w:rPr>
          <w:rFonts w:asciiTheme="minorHAnsi" w:hAnsiTheme="minorHAnsi" w:cstheme="minorHAnsi"/>
          <w:noProof/>
        </w:rPr>
        <w:t>(Schneider et al., 2014)</w:t>
      </w:r>
      <w:r w:rsidRPr="00037AD4">
        <w:rPr>
          <w:rFonts w:asciiTheme="minorHAnsi" w:hAnsiTheme="minorHAnsi" w:cstheme="minorHAnsi"/>
        </w:rPr>
        <w:t xml:space="preserve">. Challenges with recruitment of people with dementia in clinical trials is a major barrier to advancing clinical dementia and outcome-based research. Recruitment is generally slower and more resource intensive (i.e., takes longer to complete) than for other disease areas. In addition to recruitment, retention is more difficult, and mortality is a particular challenge with longitudinal dementia studies </w:t>
      </w:r>
      <w:r>
        <w:rPr>
          <w:rFonts w:asciiTheme="minorHAnsi" w:hAnsiTheme="minorHAnsi" w:cstheme="minorHAnsi"/>
          <w:noProof/>
        </w:rPr>
        <w:t>(Clement et al., 2019, Langbaum et al., 2023)</w:t>
      </w:r>
      <w:r w:rsidRPr="00037AD4">
        <w:rPr>
          <w:rFonts w:asciiTheme="minorHAnsi" w:hAnsiTheme="minorHAnsi" w:cstheme="minorHAnsi"/>
        </w:rPr>
        <w:t xml:space="preserve">. </w:t>
      </w:r>
    </w:p>
    <w:p w14:paraId="1834D7A4" w14:textId="77777777" w:rsidR="00B54D51" w:rsidRPr="00037AD4" w:rsidRDefault="00B54D51" w:rsidP="00C60E15">
      <w:pPr>
        <w:rPr>
          <w:rFonts w:asciiTheme="minorHAnsi" w:hAnsiTheme="minorHAnsi" w:cstheme="minorHAnsi"/>
        </w:rPr>
      </w:pPr>
    </w:p>
    <w:p w14:paraId="3E416F2B" w14:textId="77777777" w:rsidR="00B54D51" w:rsidRPr="00037AD4" w:rsidRDefault="00B54D51" w:rsidP="00C60E15">
      <w:pPr>
        <w:rPr>
          <w:rFonts w:asciiTheme="minorHAnsi" w:hAnsiTheme="minorHAnsi" w:cstheme="minorHAnsi"/>
        </w:rPr>
      </w:pPr>
      <w:r w:rsidRPr="00037AD4">
        <w:rPr>
          <w:rFonts w:asciiTheme="minorHAnsi" w:hAnsiTheme="minorHAnsi" w:cstheme="minorHAnsi"/>
        </w:rPr>
        <w:t xml:space="preserve">The analyses that used longitudinal data have been conducted for the period between baseline (T0) and the final follow-up point (T2). The T2 timepoint varied slightly between the studies, but this was not considered to be problematic. The motivation for using T2 data was so that sufficient time (from baseline collection) may have occurred in order to detect any changes in the dimension-reports. Therefore, data collected at T1/the middle follow-up point was neglected; its inclusion could have potentially increased the number of observations for consideration. The purpose of this chapter was to determine validity judgements (that are </w:t>
      </w:r>
      <w:hyperlink w:anchor="table33" w:history="1">
        <w:r w:rsidRPr="00FB6EFE">
          <w:rPr>
            <w:rStyle w:val="Hyperlink"/>
            <w:rFonts w:asciiTheme="minorHAnsi" w:hAnsiTheme="minorHAnsi" w:cstheme="minorHAnsi"/>
            <w:color w:val="auto"/>
            <w:u w:val="none"/>
          </w:rPr>
          <w:t>summarised with Table 33</w:t>
        </w:r>
      </w:hyperlink>
      <w:r w:rsidRPr="00FB6EFE">
        <w:rPr>
          <w:rFonts w:asciiTheme="minorHAnsi" w:hAnsiTheme="minorHAnsi" w:cstheme="minorHAnsi"/>
        </w:rPr>
        <w:t xml:space="preserve">), </w:t>
      </w:r>
      <w:r w:rsidRPr="00037AD4">
        <w:rPr>
          <w:rFonts w:asciiTheme="minorHAnsi" w:hAnsiTheme="minorHAnsi" w:cstheme="minorHAnsi"/>
        </w:rPr>
        <w:t>and it is believed that despite this limitation, the data presented are robust and effectively answer the research question.</w:t>
      </w:r>
    </w:p>
    <w:p w14:paraId="6F528E20" w14:textId="77777777" w:rsidR="00B54D51" w:rsidRPr="00037AD4" w:rsidRDefault="00B54D51" w:rsidP="00C60E15">
      <w:pPr>
        <w:rPr>
          <w:rFonts w:asciiTheme="minorHAnsi" w:hAnsiTheme="minorHAnsi" w:cstheme="minorHAnsi"/>
        </w:rPr>
      </w:pPr>
    </w:p>
    <w:p w14:paraId="4D2342BB" w14:textId="2529E52B" w:rsidR="00B54D51" w:rsidRPr="00037AD4" w:rsidRDefault="00B54D51" w:rsidP="00C60E15">
      <w:pPr>
        <w:rPr>
          <w:rFonts w:asciiTheme="minorHAnsi" w:hAnsiTheme="minorHAnsi" w:cstheme="minorHAnsi"/>
        </w:rPr>
      </w:pPr>
      <w:r w:rsidRPr="00037AD4">
        <w:rPr>
          <w:rFonts w:asciiTheme="minorHAnsi" w:hAnsiTheme="minorHAnsi" w:cstheme="minorHAnsi"/>
        </w:rPr>
        <w:t>Of the inter-rater agreement analyses, particularly when exploring PwD-staff proxy dyads, some of the EQ-5D dimensions produced a high proportion of exact agreement but a low kappa coefficient which complicates the interpretation. However, this is not an uncommon occurrence and is as a result of the smaller sample size associated with staff proxies, therefore producing a higher chance agreement (</w:t>
      </w:r>
      <w:r w:rsidRPr="00037AD4">
        <w:rPr>
          <w:rFonts w:asciiTheme="minorHAnsi" w:hAnsiTheme="minorHAnsi" w:cstheme="minorHAnsi"/>
          <w:i/>
          <w:iCs/>
        </w:rPr>
        <w:t>p</w:t>
      </w:r>
      <w:r w:rsidRPr="00037AD4">
        <w:rPr>
          <w:rFonts w:asciiTheme="minorHAnsi" w:hAnsiTheme="minorHAnsi" w:cstheme="minorHAnsi"/>
          <w:i/>
          <w:iCs/>
          <w:vertAlign w:val="subscript"/>
        </w:rPr>
        <w:t>c</w:t>
      </w:r>
      <w:r w:rsidRPr="00037AD4">
        <w:rPr>
          <w:rFonts w:asciiTheme="minorHAnsi" w:hAnsiTheme="minorHAnsi" w:cstheme="minorHAnsi"/>
        </w:rPr>
        <w:t xml:space="preserve">). There are alternative chance-adjusted indexes that make different assumptions than Cohen’s kappa coefficient that may be applied </w:t>
      </w:r>
      <w:r>
        <w:rPr>
          <w:rFonts w:asciiTheme="minorHAnsi" w:hAnsiTheme="minorHAnsi" w:cstheme="minorHAnsi"/>
          <w:noProof/>
        </w:rPr>
        <w:t>(Feinstein and Cicchetti, 1990)</w:t>
      </w:r>
      <w:r w:rsidRPr="00037AD4">
        <w:rPr>
          <w:rFonts w:asciiTheme="minorHAnsi" w:hAnsiTheme="minorHAnsi" w:cstheme="minorHAnsi"/>
        </w:rPr>
        <w:t xml:space="preserve">, however application of these were considered beyond the remit of this chapter’s focus. </w:t>
      </w:r>
    </w:p>
    <w:p w14:paraId="5CC3E95B" w14:textId="77777777" w:rsidR="00B54D51" w:rsidRPr="00037AD4" w:rsidRDefault="00B54D51" w:rsidP="00C60E15">
      <w:pPr>
        <w:rPr>
          <w:rFonts w:asciiTheme="minorHAnsi" w:hAnsiTheme="minorHAnsi" w:cstheme="minorHAnsi"/>
        </w:rPr>
      </w:pPr>
    </w:p>
    <w:p w14:paraId="62DC37B3" w14:textId="231C5525" w:rsidR="00B54D51" w:rsidRPr="00037AD4" w:rsidRDefault="00B54D51" w:rsidP="00C60E15">
      <w:pPr>
        <w:rPr>
          <w:rFonts w:asciiTheme="minorHAnsi" w:hAnsiTheme="minorHAnsi" w:cstheme="minorHAnsi"/>
        </w:rPr>
      </w:pPr>
      <w:r w:rsidRPr="00037AD4">
        <w:rPr>
          <w:rFonts w:asciiTheme="minorHAnsi" w:hAnsiTheme="minorHAnsi" w:cstheme="minorHAnsi"/>
        </w:rPr>
        <w:t xml:space="preserve">As summarised in </w:t>
      </w:r>
      <w:hyperlink w:anchor="table33" w:history="1">
        <w:r w:rsidRPr="00FB6EFE">
          <w:rPr>
            <w:rStyle w:val="Hyperlink"/>
            <w:rFonts w:asciiTheme="minorHAnsi" w:hAnsiTheme="minorHAnsi" w:cstheme="minorHAnsi"/>
            <w:color w:val="auto"/>
            <w:u w:val="none"/>
          </w:rPr>
          <w:t>Table 33</w:t>
        </w:r>
      </w:hyperlink>
      <w:r w:rsidRPr="00FB6EFE">
        <w:rPr>
          <w:rFonts w:asciiTheme="minorHAnsi" w:hAnsiTheme="minorHAnsi" w:cstheme="minorHAnsi"/>
        </w:rPr>
        <w:t>, it was concluded that informal and staff proxies should rate the “usual activities” dimension on behalf of the PwD. Although the empirical evidence supports this validity judgement, there is still an element of uncertainty associated with this particular dimension that has been previously highlighted by the PPIE group discussions (</w:t>
      </w:r>
      <w:hyperlink w:anchor="ppie1" w:history="1">
        <w:r w:rsidRPr="00FB6EFE">
          <w:rPr>
            <w:rStyle w:val="Hyperlink"/>
            <w:rFonts w:asciiTheme="minorHAnsi" w:hAnsiTheme="minorHAnsi" w:cstheme="minorHAnsi"/>
            <w:color w:val="auto"/>
            <w:u w:val="none"/>
          </w:rPr>
          <w:t>reported in Section</w:t>
        </w:r>
      </w:hyperlink>
      <w:r w:rsidRPr="00FB6EFE">
        <w:rPr>
          <w:rStyle w:val="Hyperlink"/>
          <w:rFonts w:asciiTheme="minorHAnsi" w:hAnsiTheme="minorHAnsi" w:cstheme="minorHAnsi"/>
          <w:color w:val="auto"/>
          <w:u w:val="none"/>
        </w:rPr>
        <w:t xml:space="preserve"> 2.5</w:t>
      </w:r>
      <w:r w:rsidRPr="00FB6EFE">
        <w:rPr>
          <w:rFonts w:asciiTheme="minorHAnsi" w:hAnsiTheme="minorHAnsi" w:cstheme="minorHAnsi"/>
        </w:rPr>
        <w:t xml:space="preserve">). Qualitative analyses would enable a better understanding of the content validity and function </w:t>
      </w:r>
      <w:r w:rsidRPr="00037AD4">
        <w:rPr>
          <w:rFonts w:asciiTheme="minorHAnsi" w:hAnsiTheme="minorHAnsi" w:cstheme="minorHAnsi"/>
        </w:rPr>
        <w:t xml:space="preserve">of this dimension to measure the health of </w:t>
      </w:r>
      <w:r w:rsidR="00CF64CA">
        <w:rPr>
          <w:rFonts w:asciiTheme="minorHAnsi" w:hAnsiTheme="minorHAnsi" w:cstheme="minorHAnsi"/>
        </w:rPr>
        <w:t>people with dementia</w:t>
      </w:r>
      <w:r w:rsidRPr="00037AD4">
        <w:rPr>
          <w:rFonts w:asciiTheme="minorHAnsi" w:hAnsiTheme="minorHAnsi" w:cstheme="minorHAnsi"/>
        </w:rPr>
        <w:t>, however conducting such analyses were beyond the scope of this thesis.</w:t>
      </w:r>
    </w:p>
    <w:p w14:paraId="1887EAA3" w14:textId="5C8C6063" w:rsidR="004A7012" w:rsidRPr="00C2053F" w:rsidRDefault="004A7012" w:rsidP="004A7012">
      <w:pPr>
        <w:pStyle w:val="Heading2"/>
        <w:rPr>
          <w:rStyle w:val="Heading2Char"/>
          <w:b/>
        </w:rPr>
      </w:pPr>
      <w:bookmarkStart w:id="379" w:name="_5.7_Patient_and"/>
      <w:bookmarkStart w:id="380" w:name="_Toc175742339"/>
      <w:bookmarkEnd w:id="379"/>
      <w:r w:rsidRPr="00C2053F">
        <w:lastRenderedPageBreak/>
        <w:t>5</w:t>
      </w:r>
      <w:r w:rsidRPr="00C2053F">
        <w:rPr>
          <w:rStyle w:val="Heading2Char"/>
          <w:b/>
        </w:rPr>
        <w:t>.</w:t>
      </w:r>
      <w:r>
        <w:rPr>
          <w:rStyle w:val="Heading2Char"/>
          <w:b/>
        </w:rPr>
        <w:t>6</w:t>
      </w:r>
      <w:r w:rsidRPr="00C2053F">
        <w:rPr>
          <w:rStyle w:val="Heading2Char"/>
          <w:b/>
        </w:rPr>
        <w:t xml:space="preserve"> Patient and public involvement and engagement session two: analysing quality of life in dementia - deciding what matters together</w:t>
      </w:r>
      <w:bookmarkEnd w:id="380"/>
    </w:p>
    <w:p w14:paraId="31412D42" w14:textId="77777777" w:rsidR="004A7012" w:rsidRPr="00037AD4" w:rsidRDefault="004A7012" w:rsidP="004A7012">
      <w:pPr>
        <w:rPr>
          <w:rFonts w:asciiTheme="minorHAnsi" w:hAnsiTheme="minorHAnsi" w:cstheme="minorHAnsi"/>
          <w:b/>
          <w:bCs/>
          <w:u w:val="single"/>
        </w:rPr>
      </w:pPr>
    </w:p>
    <w:p w14:paraId="2C71FFBD" w14:textId="77777777" w:rsidR="004A7012" w:rsidRPr="00037AD4" w:rsidRDefault="004A7012" w:rsidP="004A7012">
      <w:pPr>
        <w:rPr>
          <w:rFonts w:asciiTheme="minorHAnsi" w:hAnsiTheme="minorHAnsi" w:cstheme="minorHAnsi"/>
          <w:color w:val="000000" w:themeColor="text1"/>
        </w:rPr>
      </w:pPr>
      <w:r w:rsidRPr="00037AD4">
        <w:rPr>
          <w:rFonts w:asciiTheme="minorHAnsi" w:hAnsiTheme="minorHAnsi" w:cstheme="minorHAnsi"/>
          <w:color w:val="000000" w:themeColor="text1"/>
        </w:rPr>
        <w:t xml:space="preserve">Good practice for PPIE is to conduct follow-up meetings, if feasible with the same group of people and feedback any considerations integrated as a result of their contributions </w:t>
      </w:r>
      <w:r>
        <w:rPr>
          <w:rFonts w:asciiTheme="minorHAnsi" w:hAnsiTheme="minorHAnsi" w:cstheme="minorHAnsi"/>
          <w:noProof/>
          <w:color w:val="000000" w:themeColor="text1"/>
        </w:rPr>
        <w:t>(NIHR, 2019)</w:t>
      </w:r>
      <w:r w:rsidRPr="00037AD4">
        <w:rPr>
          <w:rFonts w:asciiTheme="minorHAnsi" w:hAnsiTheme="minorHAnsi" w:cstheme="minorHAnsi"/>
          <w:color w:val="000000" w:themeColor="text1"/>
        </w:rPr>
        <w:t xml:space="preserve">. A second PPIE session was conducted with the DRAiSY group in December 2023. </w:t>
      </w:r>
    </w:p>
    <w:p w14:paraId="2C6CC96E" w14:textId="77777777" w:rsidR="004A7012" w:rsidRPr="00037AD4" w:rsidRDefault="004A7012" w:rsidP="004A7012">
      <w:pPr>
        <w:rPr>
          <w:rFonts w:asciiTheme="minorHAnsi" w:hAnsiTheme="minorHAnsi" w:cstheme="minorHAnsi"/>
          <w:color w:val="000000" w:themeColor="text1"/>
        </w:rPr>
      </w:pPr>
    </w:p>
    <w:p w14:paraId="64785DA5" w14:textId="77777777" w:rsidR="004A7012" w:rsidRPr="00037AD4" w:rsidRDefault="004A7012" w:rsidP="004A7012">
      <w:pPr>
        <w:rPr>
          <w:rFonts w:asciiTheme="minorHAnsi" w:hAnsiTheme="minorHAnsi" w:cstheme="minorHAnsi"/>
          <w:color w:val="000000" w:themeColor="text1"/>
        </w:rPr>
      </w:pPr>
      <w:r w:rsidRPr="00037AD4">
        <w:rPr>
          <w:rFonts w:asciiTheme="minorHAnsi" w:hAnsiTheme="minorHAnsi" w:cstheme="minorHAnsi"/>
          <w:color w:val="000000" w:themeColor="text1"/>
        </w:rPr>
        <w:t xml:space="preserve">The principles and overarching purpose of PPIE has been </w:t>
      </w:r>
      <w:r w:rsidRPr="00FB6EFE">
        <w:rPr>
          <w:rFonts w:asciiTheme="minorHAnsi" w:hAnsiTheme="minorHAnsi" w:cstheme="minorHAnsi"/>
        </w:rPr>
        <w:t>outlined in</w:t>
      </w:r>
      <w:r w:rsidRPr="00FB6EFE">
        <w:t xml:space="preserve"> </w:t>
      </w:r>
      <w:hyperlink w:anchor="_2.5_Patient_and" w:history="1">
        <w:r w:rsidRPr="00FB6EFE">
          <w:rPr>
            <w:rStyle w:val="Hyperlink"/>
            <w:rFonts w:asciiTheme="minorHAnsi" w:hAnsiTheme="minorHAnsi" w:cstheme="minorHAnsi"/>
            <w:color w:val="auto"/>
            <w:u w:val="none"/>
          </w:rPr>
          <w:t>Section 2.5</w:t>
        </w:r>
      </w:hyperlink>
      <w:r w:rsidRPr="00FB6EFE">
        <w:rPr>
          <w:rFonts w:asciiTheme="minorHAnsi" w:hAnsiTheme="minorHAnsi" w:cstheme="minorHAnsi"/>
        </w:rPr>
        <w:t xml:space="preserve">, and </w:t>
      </w:r>
      <w:r w:rsidRPr="00037AD4">
        <w:rPr>
          <w:rFonts w:asciiTheme="minorHAnsi" w:hAnsiTheme="minorHAnsi" w:cstheme="minorHAnsi"/>
          <w:color w:val="000000" w:themeColor="text1"/>
        </w:rPr>
        <w:t>the same methods that were described in this section were adopted for the second session too. The second PPIE exercise had the following objectives:</w:t>
      </w:r>
    </w:p>
    <w:p w14:paraId="78AD773A" w14:textId="77777777" w:rsidR="004A7012" w:rsidRPr="00037AD4" w:rsidRDefault="004A7012" w:rsidP="004A7012">
      <w:pPr>
        <w:rPr>
          <w:rFonts w:asciiTheme="minorHAnsi" w:hAnsiTheme="minorHAnsi" w:cstheme="minorHAnsi"/>
          <w:color w:val="000000" w:themeColor="text1"/>
        </w:rPr>
      </w:pPr>
    </w:p>
    <w:p w14:paraId="31C3E8AD" w14:textId="77777777" w:rsidR="004A7012" w:rsidRPr="00037AD4" w:rsidRDefault="004A7012" w:rsidP="004A7012">
      <w:pPr>
        <w:pStyle w:val="ListParagraph"/>
        <w:numPr>
          <w:ilvl w:val="0"/>
          <w:numId w:val="2"/>
        </w:numPr>
        <w:rPr>
          <w:rFonts w:cstheme="minorHAnsi"/>
          <w:color w:val="000000" w:themeColor="text1"/>
        </w:rPr>
      </w:pPr>
      <w:r w:rsidRPr="00037AD4">
        <w:rPr>
          <w:rFonts w:cstheme="minorHAnsi"/>
          <w:color w:val="000000" w:themeColor="text1"/>
        </w:rPr>
        <w:t xml:space="preserve">To present the established target combination of respondents by EQ-5D dimension and engage in discussion regarding whether </w:t>
      </w:r>
      <w:r w:rsidRPr="00037AD4">
        <w:rPr>
          <w:rFonts w:cstheme="minorHAnsi"/>
        </w:rPr>
        <w:t xml:space="preserve">people with dementia </w:t>
      </w:r>
      <w:r w:rsidRPr="00037AD4">
        <w:rPr>
          <w:rFonts w:cstheme="minorHAnsi"/>
          <w:color w:val="000000" w:themeColor="text1"/>
        </w:rPr>
        <w:t>and/or proxies within the group felt comfortable with this arrangement</w:t>
      </w:r>
    </w:p>
    <w:p w14:paraId="43C21162" w14:textId="77777777" w:rsidR="004A7012" w:rsidRPr="00037AD4" w:rsidRDefault="004A7012" w:rsidP="004A7012">
      <w:pPr>
        <w:pStyle w:val="ListParagraph"/>
        <w:numPr>
          <w:ilvl w:val="0"/>
          <w:numId w:val="2"/>
        </w:numPr>
        <w:rPr>
          <w:rFonts w:cstheme="minorHAnsi"/>
          <w:color w:val="000000" w:themeColor="text1"/>
        </w:rPr>
      </w:pPr>
      <w:r w:rsidRPr="00037AD4">
        <w:rPr>
          <w:rFonts w:cstheme="minorHAnsi"/>
          <w:color w:val="000000" w:themeColor="text1"/>
        </w:rPr>
        <w:t>Present to the group the impact of their contribution from the first session on shaping the research thus far and how the feedback from the second session would be utilised in further guiding the research</w:t>
      </w:r>
    </w:p>
    <w:p w14:paraId="0721C2F5" w14:textId="77777777" w:rsidR="004A7012" w:rsidRPr="00037AD4" w:rsidRDefault="004A7012" w:rsidP="004A7012">
      <w:pPr>
        <w:rPr>
          <w:rFonts w:asciiTheme="minorHAnsi" w:hAnsiTheme="minorHAnsi" w:cstheme="minorHAnsi"/>
          <w:b/>
          <w:bCs/>
          <w:u w:val="single"/>
        </w:rPr>
      </w:pPr>
    </w:p>
    <w:p w14:paraId="3540E920" w14:textId="0669ACAF" w:rsidR="004A7012" w:rsidRPr="00037AD4" w:rsidRDefault="004A7012" w:rsidP="004A7012">
      <w:pPr>
        <w:pStyle w:val="Heading3"/>
      </w:pPr>
      <w:bookmarkStart w:id="381" w:name="_Toc175742340"/>
      <w:r w:rsidRPr="00037AD4">
        <w:t>5.</w:t>
      </w:r>
      <w:r>
        <w:t>6</w:t>
      </w:r>
      <w:r w:rsidRPr="00037AD4">
        <w:t xml:space="preserve">.1 Summary of </w:t>
      </w:r>
      <w:r>
        <w:t xml:space="preserve">PPIE </w:t>
      </w:r>
      <w:r w:rsidRPr="00037AD4">
        <w:t>results and discussion</w:t>
      </w:r>
      <w:bookmarkEnd w:id="381"/>
      <w:r w:rsidRPr="00037AD4">
        <w:t xml:space="preserve"> </w:t>
      </w:r>
    </w:p>
    <w:p w14:paraId="163C4C57" w14:textId="77777777" w:rsidR="004A7012" w:rsidRPr="00037AD4" w:rsidRDefault="004A7012" w:rsidP="004A7012">
      <w:pPr>
        <w:rPr>
          <w:rFonts w:asciiTheme="minorHAnsi" w:hAnsiTheme="minorHAnsi" w:cstheme="minorHAnsi"/>
          <w:b/>
          <w:bCs/>
          <w:color w:val="000000" w:themeColor="text1"/>
          <w:sz w:val="26"/>
          <w:szCs w:val="26"/>
          <w:u w:val="single"/>
        </w:rPr>
      </w:pPr>
    </w:p>
    <w:p w14:paraId="224965AC" w14:textId="77777777" w:rsidR="004A7012" w:rsidRPr="00FB6EFE" w:rsidRDefault="004A7012" w:rsidP="004A7012">
      <w:pPr>
        <w:rPr>
          <w:rFonts w:asciiTheme="minorHAnsi" w:hAnsiTheme="minorHAnsi" w:cstheme="minorHAnsi"/>
        </w:rPr>
      </w:pPr>
      <w:r w:rsidRPr="00037AD4">
        <w:rPr>
          <w:rFonts w:asciiTheme="minorHAnsi" w:hAnsiTheme="minorHAnsi" w:cstheme="minorHAnsi"/>
          <w:color w:val="000000" w:themeColor="text1"/>
        </w:rPr>
        <w:t xml:space="preserve">As with the first session, the meeting was conducted in the style of a focus group to encourage open discussion, the key difference is that session two was conducted in-person (as opposed to virtually) at the University of Sheffield. In attendance were Hannah Hussain (researcher), Dr Gray (research administrator) and Dr McKeown (chair for the DRAiSY group). Dr McKeown helped to facilitate the discussion and Dr Gray took meeting notes. The group members included: two people with dementia, one current spousal caregiver, two former </w:t>
      </w:r>
      <w:r w:rsidRPr="00FB6EFE">
        <w:rPr>
          <w:rFonts w:asciiTheme="minorHAnsi" w:hAnsiTheme="minorHAnsi" w:cstheme="minorHAnsi"/>
        </w:rPr>
        <w:t xml:space="preserve">caregivers and one healthcare worker. The full notes and feedback from this meeting are provided in </w:t>
      </w:r>
      <w:hyperlink w:anchor="A57" w:history="1">
        <w:r w:rsidRPr="00FB6EFE">
          <w:rPr>
            <w:rStyle w:val="Hyperlink"/>
            <w:rFonts w:asciiTheme="minorHAnsi" w:hAnsiTheme="minorHAnsi" w:cstheme="minorHAnsi"/>
            <w:color w:val="auto"/>
            <w:u w:val="none"/>
          </w:rPr>
          <w:t>Appendix 5.7.</w:t>
        </w:r>
      </w:hyperlink>
      <w:r w:rsidRPr="00FB6EFE">
        <w:rPr>
          <w:rFonts w:asciiTheme="minorHAnsi" w:hAnsiTheme="minorHAnsi" w:cstheme="minorHAnsi"/>
        </w:rPr>
        <w:t xml:space="preserve"> </w:t>
      </w:r>
    </w:p>
    <w:p w14:paraId="74CE3692" w14:textId="77777777" w:rsidR="004A7012" w:rsidRPr="00FB6EFE" w:rsidRDefault="004A7012" w:rsidP="004A7012">
      <w:pPr>
        <w:rPr>
          <w:rFonts w:asciiTheme="minorHAnsi" w:hAnsiTheme="minorHAnsi" w:cstheme="minorHAnsi"/>
          <w:b/>
          <w:bCs/>
          <w:sz w:val="26"/>
          <w:szCs w:val="26"/>
        </w:rPr>
      </w:pPr>
    </w:p>
    <w:p w14:paraId="26107CFF" w14:textId="77777777" w:rsidR="004A7012" w:rsidRPr="00037AD4" w:rsidRDefault="004A7012" w:rsidP="004A7012">
      <w:pPr>
        <w:rPr>
          <w:rFonts w:asciiTheme="minorHAnsi" w:hAnsiTheme="minorHAnsi" w:cstheme="minorHAnsi"/>
          <w:color w:val="000000" w:themeColor="text1"/>
        </w:rPr>
      </w:pPr>
      <w:r w:rsidRPr="00FB6EFE">
        <w:rPr>
          <w:rFonts w:asciiTheme="minorHAnsi" w:hAnsiTheme="minorHAnsi" w:cstheme="minorHAnsi"/>
        </w:rPr>
        <w:t xml:space="preserve">The group was shown </w:t>
      </w:r>
      <w:hyperlink w:anchor="table33" w:history="1">
        <w:r w:rsidRPr="00FB6EFE">
          <w:rPr>
            <w:rStyle w:val="Hyperlink"/>
            <w:rFonts w:asciiTheme="minorHAnsi" w:hAnsiTheme="minorHAnsi" w:cstheme="minorHAnsi"/>
            <w:color w:val="auto"/>
            <w:u w:val="none"/>
          </w:rPr>
          <w:t>Table 33.</w:t>
        </w:r>
      </w:hyperlink>
      <w:r w:rsidRPr="00037AD4">
        <w:rPr>
          <w:rFonts w:asciiTheme="minorHAnsi" w:hAnsiTheme="minorHAnsi" w:cstheme="minorHAnsi"/>
        </w:rPr>
        <w:t xml:space="preserve"> Overall</w:t>
      </w:r>
      <w:r w:rsidRPr="00037AD4">
        <w:rPr>
          <w:rFonts w:asciiTheme="minorHAnsi" w:hAnsiTheme="minorHAnsi" w:cstheme="minorHAnsi"/>
          <w:color w:val="000000" w:themeColor="text1"/>
        </w:rPr>
        <w:t>, the consensus among the members was that using</w:t>
      </w:r>
      <w:r>
        <w:rPr>
          <w:rFonts w:asciiTheme="minorHAnsi" w:hAnsiTheme="minorHAnsi" w:cstheme="minorHAnsi"/>
          <w:color w:val="000000" w:themeColor="text1"/>
        </w:rPr>
        <w:t xml:space="preserve"> </w:t>
      </w:r>
      <w:r w:rsidRPr="00037AD4">
        <w:rPr>
          <w:rFonts w:asciiTheme="minorHAnsi" w:hAnsiTheme="minorHAnsi" w:cstheme="minorHAnsi"/>
          <w:color w:val="000000" w:themeColor="text1"/>
        </w:rPr>
        <w:t>proxy HRQoL reports makes sense, especially when the proxy is a close relative of the PwD. The idea of combining reports from both respondents was well-received and praised. It was reported that the panel would be supportive of this approach, and the empirical findings further strengthened this proposal.</w:t>
      </w:r>
    </w:p>
    <w:p w14:paraId="61980326" w14:textId="77777777" w:rsidR="004A7012" w:rsidRPr="00037AD4" w:rsidRDefault="004A7012" w:rsidP="004A7012">
      <w:pPr>
        <w:rPr>
          <w:rFonts w:asciiTheme="minorHAnsi" w:hAnsiTheme="minorHAnsi" w:cstheme="minorHAnsi"/>
          <w:color w:val="000000" w:themeColor="text1"/>
          <w:sz w:val="26"/>
          <w:szCs w:val="26"/>
        </w:rPr>
      </w:pPr>
    </w:p>
    <w:p w14:paraId="1FBDB1B5" w14:textId="77777777" w:rsidR="004A7012" w:rsidRPr="00037AD4" w:rsidRDefault="004A7012" w:rsidP="004A7012">
      <w:pPr>
        <w:rPr>
          <w:rFonts w:asciiTheme="minorHAnsi" w:hAnsiTheme="minorHAnsi" w:cstheme="minorHAnsi"/>
          <w:color w:val="000000" w:themeColor="text1"/>
        </w:rPr>
      </w:pPr>
      <w:r w:rsidRPr="00037AD4">
        <w:rPr>
          <w:rFonts w:asciiTheme="minorHAnsi" w:hAnsiTheme="minorHAnsi" w:cstheme="minorHAnsi"/>
          <w:color w:val="000000" w:themeColor="text1"/>
        </w:rPr>
        <w:t>The group engaged in further discussions on additional concepts. Members with dementia highlighted the importance of the timeline, expressing that recalling memories for self-report may introduce additional complexities. They stated a preference for reporting about the current moment, aligning well with EQ-5D's survey of health status on that specific day.</w:t>
      </w:r>
    </w:p>
    <w:p w14:paraId="4B572B9E" w14:textId="77777777" w:rsidR="004A7012" w:rsidRPr="00037AD4" w:rsidRDefault="004A7012" w:rsidP="004A7012">
      <w:pPr>
        <w:rPr>
          <w:rFonts w:asciiTheme="minorHAnsi" w:hAnsiTheme="minorHAnsi" w:cstheme="minorHAnsi"/>
          <w:color w:val="000000" w:themeColor="text1"/>
          <w:sz w:val="26"/>
          <w:szCs w:val="26"/>
        </w:rPr>
      </w:pPr>
    </w:p>
    <w:p w14:paraId="6A313572" w14:textId="77777777" w:rsidR="004A7012" w:rsidRPr="00037AD4" w:rsidRDefault="004A7012" w:rsidP="004A7012">
      <w:pPr>
        <w:rPr>
          <w:rFonts w:asciiTheme="minorHAnsi" w:hAnsiTheme="minorHAnsi" w:cstheme="minorHAnsi"/>
          <w:color w:val="000000" w:themeColor="text1"/>
        </w:rPr>
      </w:pPr>
      <w:r w:rsidRPr="00037AD4">
        <w:rPr>
          <w:rFonts w:asciiTheme="minorHAnsi" w:hAnsiTheme="minorHAnsi" w:cstheme="minorHAnsi"/>
          <w:color w:val="000000" w:themeColor="text1"/>
        </w:rPr>
        <w:t xml:space="preserve">The group explored additional ideas, particularly focusing on the "usual activities" dimension. A member with dementia pointed out that when asked similar questions during clinical appointments, they often realise they have unintentionally reported based on how they used to carry out daily activities or how they would like to. The potential unreliability of self-report was recognised and acknowledged. </w:t>
      </w:r>
    </w:p>
    <w:p w14:paraId="7CDC4993" w14:textId="77777777" w:rsidR="004A7012" w:rsidRPr="00037AD4" w:rsidRDefault="004A7012" w:rsidP="004A7012">
      <w:pPr>
        <w:rPr>
          <w:rFonts w:asciiTheme="minorHAnsi" w:hAnsiTheme="minorHAnsi" w:cstheme="minorHAnsi"/>
          <w:color w:val="000000" w:themeColor="text1"/>
        </w:rPr>
      </w:pPr>
      <w:r w:rsidRPr="00037AD4">
        <w:rPr>
          <w:rFonts w:asciiTheme="minorHAnsi" w:hAnsiTheme="minorHAnsi" w:cstheme="minorHAnsi"/>
          <w:color w:val="000000" w:themeColor="text1"/>
        </w:rPr>
        <w:lastRenderedPageBreak/>
        <w:t xml:space="preserve">Building on group discussions, members were briefed on the impact of their contributions to the research. It was explained that insights from the initial session played a role in validating literature claims and ensuring that reports from both respondent types were acknowledged as vital at each step of the research. Additionally, they were informed that certain ideas, such as the suggestion of visual prompts (even though beyond the scope of this </w:t>
      </w:r>
      <w:r>
        <w:rPr>
          <w:rFonts w:asciiTheme="minorHAnsi" w:hAnsiTheme="minorHAnsi" w:cstheme="minorHAnsi"/>
          <w:color w:val="000000" w:themeColor="text1"/>
        </w:rPr>
        <w:t>thesis</w:t>
      </w:r>
      <w:r w:rsidRPr="00037AD4">
        <w:rPr>
          <w:rFonts w:asciiTheme="minorHAnsi" w:hAnsiTheme="minorHAnsi" w:cstheme="minorHAnsi"/>
          <w:color w:val="000000" w:themeColor="text1"/>
        </w:rPr>
        <w:t>), would be valuable for future research recommendations when considering how best to collect data in dementia trials and studies. Overall, the group expressed satisfaction that a follow-up session had taken place and that their voices had been considered in shaping the research</w:t>
      </w:r>
      <w:r w:rsidRPr="00037AD4">
        <w:rPr>
          <w:rFonts w:asciiTheme="minorHAnsi" w:hAnsiTheme="minorHAnsi" w:cstheme="minorHAnsi"/>
          <w:color w:val="000000" w:themeColor="text1"/>
          <w:sz w:val="26"/>
          <w:szCs w:val="26"/>
        </w:rPr>
        <w:t>.</w:t>
      </w:r>
    </w:p>
    <w:p w14:paraId="3551C098" w14:textId="77777777" w:rsidR="00B54D51" w:rsidRPr="00037AD4" w:rsidRDefault="00B54D51" w:rsidP="00C60E15">
      <w:pPr>
        <w:rPr>
          <w:rFonts w:asciiTheme="minorHAnsi" w:hAnsiTheme="minorHAnsi" w:cstheme="minorHAnsi"/>
        </w:rPr>
      </w:pPr>
    </w:p>
    <w:p w14:paraId="1C5656A5" w14:textId="139D71E9" w:rsidR="00B54D51" w:rsidRPr="00037AD4" w:rsidRDefault="00B54D51" w:rsidP="00AE3755">
      <w:pPr>
        <w:pStyle w:val="Heading2"/>
      </w:pPr>
      <w:bookmarkStart w:id="382" w:name="_Toc175742341"/>
      <w:r w:rsidRPr="00037AD4">
        <w:t>5.</w:t>
      </w:r>
      <w:r w:rsidR="004A7012">
        <w:t>7</w:t>
      </w:r>
      <w:r w:rsidRPr="00037AD4">
        <w:t xml:space="preserve"> Conclusion</w:t>
      </w:r>
      <w:bookmarkEnd w:id="382"/>
      <w:r w:rsidRPr="00037AD4">
        <w:t xml:space="preserve"> </w:t>
      </w:r>
    </w:p>
    <w:p w14:paraId="3746C019" w14:textId="77777777" w:rsidR="00B54D51" w:rsidRPr="00037AD4" w:rsidRDefault="00B54D51" w:rsidP="00781965">
      <w:pPr>
        <w:rPr>
          <w:rFonts w:asciiTheme="minorHAnsi" w:hAnsiTheme="minorHAnsi" w:cstheme="minorHAnsi"/>
          <w:b/>
          <w:bCs/>
          <w:u w:val="single"/>
        </w:rPr>
      </w:pPr>
    </w:p>
    <w:p w14:paraId="304455DA" w14:textId="263477AE" w:rsidR="00B54D51" w:rsidRPr="00037AD4" w:rsidRDefault="00B54D51" w:rsidP="00C60E15">
      <w:pPr>
        <w:rPr>
          <w:rFonts w:asciiTheme="minorHAnsi" w:hAnsiTheme="minorHAnsi" w:cstheme="minorHAnsi"/>
        </w:rPr>
      </w:pPr>
      <w:r w:rsidRPr="00037AD4">
        <w:rPr>
          <w:rFonts w:asciiTheme="minorHAnsi" w:hAnsiTheme="minorHAnsi" w:cstheme="minorHAnsi"/>
        </w:rPr>
        <w:t>This chapter</w:t>
      </w:r>
      <w:r w:rsidR="00CF64CA">
        <w:rPr>
          <w:rFonts w:asciiTheme="minorHAnsi" w:hAnsiTheme="minorHAnsi" w:cstheme="minorHAnsi"/>
        </w:rPr>
        <w:t xml:space="preserve">’s analyses </w:t>
      </w:r>
      <w:r w:rsidRPr="00037AD4">
        <w:rPr>
          <w:rFonts w:asciiTheme="minorHAnsi" w:hAnsiTheme="minorHAnsi" w:cstheme="minorHAnsi"/>
        </w:rPr>
        <w:t>h</w:t>
      </w:r>
      <w:r w:rsidR="00CF64CA">
        <w:rPr>
          <w:rFonts w:asciiTheme="minorHAnsi" w:hAnsiTheme="minorHAnsi" w:cstheme="minorHAnsi"/>
        </w:rPr>
        <w:t>ave</w:t>
      </w:r>
      <w:r w:rsidRPr="00037AD4">
        <w:rPr>
          <w:rFonts w:asciiTheme="minorHAnsi" w:hAnsiTheme="minorHAnsi" w:cstheme="minorHAnsi"/>
        </w:rPr>
        <w:t xml:space="preserve"> outlined a series of applied methodologies aimed at establishing a target-combination of EQ-5D dimension assessments based on the respondent, within the context of the PwD-proxy dynamic. The interpretations of these analyses have yielded a specific target-combination dependent upon residential setting, distinguishing between community-dwelling and institutionalised people with dementia via the trial settings of the available data. The use of a respondent-specific combination of EQ-5D dimensions fosters confidence that an improved reflective account of dementia experience is being captured via better accuracy of HRQoL scores (when compared to relying solely on data from either respondent). Both the PwD and their proxies provide vital information, central to many types of dementia research. Through these analyses, the perspective of both respondent’s is being acknowledged, where their report is deemed to be the most applicable according to clinical metrics. It is crucial to note that these findings are constrained by the available data, and while there is no gold standard for arriving at such value judgements, clinical measures alongside various metrics and thresholds have been employed to assess the performance of dimension reporting.</w:t>
      </w:r>
    </w:p>
    <w:p w14:paraId="489E4CB5" w14:textId="5412D22B" w:rsidR="00B54D51" w:rsidRDefault="00B54D51" w:rsidP="00781965">
      <w:pPr>
        <w:rPr>
          <w:rFonts w:asciiTheme="minorHAnsi" w:hAnsiTheme="minorHAnsi" w:cstheme="minorHAnsi"/>
          <w:b/>
          <w:bCs/>
          <w:u w:val="single"/>
        </w:rPr>
      </w:pPr>
    </w:p>
    <w:p w14:paraId="711593F5" w14:textId="63DA2420" w:rsidR="00FB6EFE" w:rsidRDefault="00FB6EFE" w:rsidP="00781965">
      <w:pPr>
        <w:rPr>
          <w:rFonts w:asciiTheme="minorHAnsi" w:hAnsiTheme="minorHAnsi" w:cstheme="minorHAnsi"/>
          <w:b/>
          <w:bCs/>
          <w:u w:val="single"/>
        </w:rPr>
      </w:pPr>
    </w:p>
    <w:p w14:paraId="42A8BEDC" w14:textId="52E96186" w:rsidR="00FB6EFE" w:rsidRDefault="00FB6EFE" w:rsidP="00781965">
      <w:pPr>
        <w:rPr>
          <w:rFonts w:asciiTheme="minorHAnsi" w:hAnsiTheme="minorHAnsi" w:cstheme="minorHAnsi"/>
          <w:b/>
          <w:bCs/>
          <w:u w:val="single"/>
        </w:rPr>
      </w:pPr>
    </w:p>
    <w:p w14:paraId="5E4F2C6B" w14:textId="49EBBFA1" w:rsidR="00FB6EFE" w:rsidRDefault="00FB6EFE" w:rsidP="00781965">
      <w:pPr>
        <w:rPr>
          <w:rFonts w:asciiTheme="minorHAnsi" w:hAnsiTheme="minorHAnsi" w:cstheme="minorHAnsi"/>
          <w:b/>
          <w:bCs/>
          <w:u w:val="single"/>
        </w:rPr>
      </w:pPr>
    </w:p>
    <w:p w14:paraId="742371B4" w14:textId="191EA523" w:rsidR="00FB6EFE" w:rsidRDefault="00FB6EFE" w:rsidP="00781965">
      <w:pPr>
        <w:rPr>
          <w:rFonts w:asciiTheme="minorHAnsi" w:hAnsiTheme="minorHAnsi" w:cstheme="minorHAnsi"/>
          <w:b/>
          <w:bCs/>
          <w:u w:val="single"/>
        </w:rPr>
      </w:pPr>
    </w:p>
    <w:p w14:paraId="47B1F46D" w14:textId="3A180232" w:rsidR="00FB6EFE" w:rsidRDefault="00FB6EFE" w:rsidP="00781965">
      <w:pPr>
        <w:rPr>
          <w:rFonts w:asciiTheme="minorHAnsi" w:hAnsiTheme="minorHAnsi" w:cstheme="minorHAnsi"/>
          <w:b/>
          <w:bCs/>
          <w:u w:val="single"/>
        </w:rPr>
      </w:pPr>
    </w:p>
    <w:p w14:paraId="10944862" w14:textId="77777777" w:rsidR="00B54D51" w:rsidRPr="00037AD4" w:rsidRDefault="00B54D51" w:rsidP="00781965">
      <w:pPr>
        <w:rPr>
          <w:rFonts w:asciiTheme="minorHAnsi" w:hAnsiTheme="minorHAnsi" w:cstheme="minorHAnsi"/>
          <w:b/>
          <w:bCs/>
          <w:u w:val="single"/>
        </w:rPr>
      </w:pPr>
    </w:p>
    <w:p w14:paraId="23A98D7A" w14:textId="77777777" w:rsidR="00B54D51" w:rsidRPr="00037AD4" w:rsidRDefault="00B54D51" w:rsidP="00781965">
      <w:pPr>
        <w:rPr>
          <w:rFonts w:asciiTheme="minorHAnsi" w:hAnsiTheme="minorHAnsi" w:cstheme="minorHAnsi"/>
          <w:b/>
          <w:bCs/>
          <w:u w:val="single"/>
        </w:rPr>
      </w:pPr>
    </w:p>
    <w:p w14:paraId="3AA54BCD" w14:textId="77777777" w:rsidR="00B54D51" w:rsidRPr="00037AD4" w:rsidRDefault="00B54D51" w:rsidP="00781965">
      <w:pPr>
        <w:rPr>
          <w:rFonts w:asciiTheme="minorHAnsi" w:hAnsiTheme="minorHAnsi" w:cstheme="minorHAnsi"/>
          <w:b/>
          <w:bCs/>
          <w:u w:val="single"/>
        </w:rPr>
      </w:pPr>
    </w:p>
    <w:p w14:paraId="7259C013" w14:textId="77777777" w:rsidR="00B54D51" w:rsidRPr="00037AD4" w:rsidRDefault="00B54D51" w:rsidP="00781965">
      <w:pPr>
        <w:rPr>
          <w:rFonts w:asciiTheme="minorHAnsi" w:hAnsiTheme="minorHAnsi" w:cstheme="minorHAnsi"/>
          <w:b/>
          <w:bCs/>
          <w:u w:val="single"/>
        </w:rPr>
      </w:pPr>
    </w:p>
    <w:p w14:paraId="782A997A" w14:textId="77777777" w:rsidR="00B54D51" w:rsidRPr="00037AD4" w:rsidRDefault="00B54D51" w:rsidP="00781965">
      <w:pPr>
        <w:rPr>
          <w:rFonts w:asciiTheme="minorHAnsi" w:hAnsiTheme="minorHAnsi" w:cstheme="minorHAnsi"/>
          <w:b/>
          <w:bCs/>
          <w:u w:val="single"/>
        </w:rPr>
      </w:pPr>
    </w:p>
    <w:p w14:paraId="154ED1D6" w14:textId="77777777" w:rsidR="00B54D51" w:rsidRPr="00037AD4" w:rsidRDefault="00B54D51" w:rsidP="00781965">
      <w:pPr>
        <w:rPr>
          <w:rFonts w:asciiTheme="minorHAnsi" w:hAnsiTheme="minorHAnsi" w:cstheme="minorHAnsi"/>
          <w:b/>
          <w:bCs/>
          <w:u w:val="single"/>
        </w:rPr>
      </w:pPr>
    </w:p>
    <w:p w14:paraId="0BD4C39B" w14:textId="77777777" w:rsidR="00B54D51" w:rsidRPr="00037AD4" w:rsidRDefault="00B54D51" w:rsidP="00781965">
      <w:pPr>
        <w:rPr>
          <w:rFonts w:asciiTheme="minorHAnsi" w:hAnsiTheme="minorHAnsi" w:cstheme="minorHAnsi"/>
          <w:b/>
          <w:bCs/>
          <w:u w:val="single"/>
        </w:rPr>
      </w:pPr>
    </w:p>
    <w:p w14:paraId="7C60C202" w14:textId="08D1EC26" w:rsidR="00B54D51" w:rsidRDefault="00B54D51" w:rsidP="00781965">
      <w:pPr>
        <w:rPr>
          <w:rFonts w:asciiTheme="minorHAnsi" w:hAnsiTheme="minorHAnsi" w:cstheme="minorHAnsi"/>
          <w:b/>
          <w:bCs/>
          <w:u w:val="single"/>
        </w:rPr>
      </w:pPr>
    </w:p>
    <w:p w14:paraId="25EEE07A" w14:textId="77777777" w:rsidR="00FB6EFE" w:rsidRDefault="00FB6EFE" w:rsidP="00781965">
      <w:pPr>
        <w:rPr>
          <w:rFonts w:asciiTheme="minorHAnsi" w:hAnsiTheme="minorHAnsi" w:cstheme="minorHAnsi"/>
          <w:b/>
          <w:bCs/>
          <w:u w:val="single"/>
        </w:rPr>
      </w:pPr>
    </w:p>
    <w:p w14:paraId="21DEB7AE" w14:textId="77777777" w:rsidR="004A7012" w:rsidRPr="00037AD4" w:rsidRDefault="004A7012" w:rsidP="00781965">
      <w:pPr>
        <w:rPr>
          <w:rFonts w:asciiTheme="minorHAnsi" w:hAnsiTheme="minorHAnsi" w:cstheme="minorHAnsi"/>
          <w:b/>
          <w:bCs/>
          <w:u w:val="single"/>
        </w:rPr>
      </w:pPr>
    </w:p>
    <w:p w14:paraId="26FFC97A" w14:textId="77777777" w:rsidR="00B54D51" w:rsidRPr="00037AD4" w:rsidRDefault="00B54D51" w:rsidP="00781965">
      <w:pPr>
        <w:rPr>
          <w:rFonts w:asciiTheme="minorHAnsi" w:hAnsiTheme="minorHAnsi" w:cstheme="minorHAnsi"/>
          <w:b/>
          <w:bCs/>
          <w:u w:val="single"/>
        </w:rPr>
      </w:pPr>
    </w:p>
    <w:p w14:paraId="3DE125D0" w14:textId="77777777" w:rsidR="00B54D51" w:rsidRPr="00037AD4" w:rsidRDefault="00B54D51" w:rsidP="007A43F9">
      <w:pPr>
        <w:pStyle w:val="Heading1"/>
      </w:pPr>
      <w:bookmarkStart w:id="383" w:name="_6_Mapping_to"/>
      <w:bookmarkStart w:id="384" w:name="_Toc175742342"/>
      <w:bookmarkEnd w:id="383"/>
      <w:r w:rsidRPr="00037AD4">
        <w:lastRenderedPageBreak/>
        <w:t>6 Mapping to the combined-EQ-5D utility score</w:t>
      </w:r>
      <w:bookmarkEnd w:id="384"/>
    </w:p>
    <w:p w14:paraId="017463E6" w14:textId="77777777" w:rsidR="00B54D51" w:rsidRPr="00037AD4" w:rsidRDefault="00B54D51" w:rsidP="008D7F60">
      <w:pPr>
        <w:rPr>
          <w:rFonts w:asciiTheme="minorHAnsi" w:hAnsiTheme="minorHAnsi" w:cstheme="minorHAnsi"/>
        </w:rPr>
      </w:pPr>
    </w:p>
    <w:p w14:paraId="69291F08" w14:textId="77777777" w:rsidR="00B54D51" w:rsidRPr="00357E1D" w:rsidRDefault="00B54D51" w:rsidP="008D7F60">
      <w:pPr>
        <w:rPr>
          <w:rFonts w:asciiTheme="minorHAnsi" w:hAnsiTheme="minorHAnsi" w:cstheme="minorHAnsi"/>
          <w:color w:val="000000" w:themeColor="text1"/>
        </w:rPr>
      </w:pPr>
      <w:r w:rsidRPr="00037AD4">
        <w:rPr>
          <w:rFonts w:asciiTheme="minorHAnsi" w:hAnsiTheme="minorHAnsi" w:cstheme="minorHAnsi"/>
        </w:rPr>
        <w:t xml:space="preserve">The </w:t>
      </w:r>
      <w:r w:rsidRPr="00357E1D">
        <w:rPr>
          <w:rFonts w:asciiTheme="minorHAnsi" w:hAnsiTheme="minorHAnsi" w:cstheme="minorHAnsi"/>
          <w:color w:val="000000" w:themeColor="text1"/>
        </w:rPr>
        <w:t xml:space="preserve">analysis presented in </w:t>
      </w:r>
      <w:hyperlink w:anchor="_4_Descriptive_statistics" w:history="1">
        <w:r w:rsidRPr="00357E1D">
          <w:rPr>
            <w:rStyle w:val="Hyperlink"/>
            <w:rFonts w:asciiTheme="minorHAnsi" w:hAnsiTheme="minorHAnsi" w:cstheme="minorHAnsi"/>
            <w:color w:val="000000" w:themeColor="text1"/>
            <w:u w:val="none"/>
          </w:rPr>
          <w:t>Chapter Four</w:t>
        </w:r>
      </w:hyperlink>
      <w:r w:rsidRPr="00357E1D">
        <w:rPr>
          <w:rFonts w:asciiTheme="minorHAnsi" w:hAnsiTheme="minorHAnsi" w:cstheme="minorHAnsi"/>
          <w:color w:val="000000" w:themeColor="text1"/>
        </w:rPr>
        <w:t xml:space="preserve"> bridged an evidence gap by examining the convergent validity of EQ-5D at the dimension level with measures of dementia symptoms. This was further supplemented with analyses investigating this psychometric property across different respondent types, using individual patient level data from existing trials. This analysis aided in guiding the analyses presented in </w:t>
      </w:r>
      <w:hyperlink w:anchor="_5_Identifying_a" w:history="1">
        <w:r w:rsidRPr="00357E1D">
          <w:rPr>
            <w:rStyle w:val="Hyperlink"/>
            <w:rFonts w:asciiTheme="minorHAnsi" w:hAnsiTheme="minorHAnsi" w:cstheme="minorHAnsi"/>
            <w:color w:val="000000" w:themeColor="text1"/>
            <w:u w:val="none"/>
          </w:rPr>
          <w:t>Chapter Five</w:t>
        </w:r>
      </w:hyperlink>
      <w:r w:rsidRPr="00357E1D">
        <w:rPr>
          <w:rFonts w:asciiTheme="minorHAnsi" w:hAnsiTheme="minorHAnsi" w:cstheme="minorHAnsi"/>
          <w:color w:val="000000" w:themeColor="text1"/>
        </w:rPr>
        <w:t xml:space="preserve">, which used the established relationships between EQ-5D dimensions and dementia outcomes to assess responsiveness and changes in reporting over time. As a result, the work presented in </w:t>
      </w:r>
      <w:hyperlink w:anchor="_5__Identifying" w:history="1">
        <w:r w:rsidRPr="00357E1D">
          <w:rPr>
            <w:rStyle w:val="Hyperlink"/>
            <w:rFonts w:asciiTheme="minorHAnsi" w:hAnsiTheme="minorHAnsi" w:cstheme="minorHAnsi"/>
            <w:color w:val="000000" w:themeColor="text1"/>
            <w:u w:val="none"/>
          </w:rPr>
          <w:t>Chapter Five</w:t>
        </w:r>
      </w:hyperlink>
      <w:r w:rsidRPr="00357E1D">
        <w:rPr>
          <w:rFonts w:asciiTheme="minorHAnsi" w:hAnsiTheme="minorHAnsi" w:cstheme="minorHAnsi"/>
          <w:color w:val="000000" w:themeColor="text1"/>
        </w:rPr>
        <w:t xml:space="preserve"> identified that the most effective report of HRQoL for people with dementia is obtained from the responses to EQ-5D from people with dementia for some dimensions, and from proxies for others, thereby leading to a combination of EQ-5D dimension reports by respondent type. Additionally, </w:t>
      </w:r>
      <w:hyperlink w:anchor="_5__Identifying" w:history="1">
        <w:r w:rsidRPr="00357E1D">
          <w:rPr>
            <w:rStyle w:val="Hyperlink"/>
            <w:rFonts w:asciiTheme="minorHAnsi" w:hAnsiTheme="minorHAnsi" w:cstheme="minorHAnsi"/>
            <w:color w:val="000000" w:themeColor="text1"/>
            <w:u w:val="none"/>
          </w:rPr>
          <w:t>Chapter Five</w:t>
        </w:r>
      </w:hyperlink>
      <w:r w:rsidRPr="00357E1D">
        <w:rPr>
          <w:rFonts w:asciiTheme="minorHAnsi" w:hAnsiTheme="minorHAnsi" w:cstheme="minorHAnsi"/>
          <w:color w:val="000000" w:themeColor="text1"/>
        </w:rPr>
        <w:t xml:space="preserve"> discussed the policy implications of employing a combined utility score.</w:t>
      </w:r>
    </w:p>
    <w:p w14:paraId="699863C0" w14:textId="77777777" w:rsidR="00B54D51" w:rsidRPr="00357E1D" w:rsidRDefault="00B54D51" w:rsidP="008D7F60">
      <w:pPr>
        <w:rPr>
          <w:rFonts w:asciiTheme="minorHAnsi" w:hAnsiTheme="minorHAnsi" w:cstheme="minorHAnsi"/>
          <w:color w:val="000000" w:themeColor="text1"/>
        </w:rPr>
      </w:pPr>
    </w:p>
    <w:p w14:paraId="1637ACFF" w14:textId="77777777" w:rsidR="00B54D51" w:rsidRPr="00037AD4" w:rsidRDefault="00B54D51" w:rsidP="00781965">
      <w:pPr>
        <w:rPr>
          <w:rFonts w:asciiTheme="minorHAnsi" w:hAnsiTheme="minorHAnsi" w:cstheme="minorHAnsi"/>
          <w:shd w:val="clear" w:color="auto" w:fill="FFFFFF"/>
        </w:rPr>
      </w:pPr>
      <w:r w:rsidRPr="00357E1D">
        <w:rPr>
          <w:rFonts w:asciiTheme="minorHAnsi" w:hAnsiTheme="minorHAnsi" w:cstheme="minorHAnsi"/>
          <w:color w:val="000000" w:themeColor="text1"/>
          <w:shd w:val="clear" w:color="auto" w:fill="FFFFFF"/>
        </w:rPr>
        <w:t xml:space="preserve">This chapter builds upon the value judgements established in </w:t>
      </w:r>
      <w:hyperlink w:anchor="_5__Identifying" w:history="1">
        <w:r w:rsidRPr="00357E1D">
          <w:rPr>
            <w:rStyle w:val="Hyperlink"/>
            <w:rFonts w:asciiTheme="minorHAnsi" w:hAnsiTheme="minorHAnsi" w:cstheme="minorHAnsi"/>
            <w:color w:val="000000" w:themeColor="text1"/>
            <w:u w:val="none"/>
            <w:shd w:val="clear" w:color="auto" w:fill="FFFFFF"/>
          </w:rPr>
          <w:t>Chapter Five</w:t>
        </w:r>
      </w:hyperlink>
      <w:r w:rsidRPr="00357E1D">
        <w:rPr>
          <w:rFonts w:asciiTheme="minorHAnsi" w:hAnsiTheme="minorHAnsi" w:cstheme="minorHAnsi"/>
          <w:color w:val="000000" w:themeColor="text1"/>
          <w:shd w:val="clear" w:color="auto" w:fill="FFFFFF"/>
        </w:rPr>
        <w:t xml:space="preserve"> and uses statistical mapping methods to investigate the predictability of the combined utility </w:t>
      </w:r>
      <w:r w:rsidRPr="00037AD4">
        <w:rPr>
          <w:rFonts w:asciiTheme="minorHAnsi" w:hAnsiTheme="minorHAnsi" w:cstheme="minorHAnsi"/>
          <w:shd w:val="clear" w:color="auto" w:fill="FFFFFF"/>
        </w:rPr>
        <w:t>score when data for only one respondent type (either PwD or proxy) is available. Given that future dementia studies are expected to use EQ-5D-5L rather than EQ-5D-3L, the analyses in this chapter focus exclusively on datasets from the ACTIFCARE and EPIC trials, which collected EQ-5D-5L data.</w:t>
      </w:r>
    </w:p>
    <w:p w14:paraId="70F469DB" w14:textId="77777777" w:rsidR="00B54D51" w:rsidRPr="00037AD4" w:rsidRDefault="00B54D51" w:rsidP="00781965">
      <w:pPr>
        <w:rPr>
          <w:rFonts w:asciiTheme="minorHAnsi" w:hAnsiTheme="minorHAnsi" w:cstheme="minorHAnsi"/>
          <w:b/>
          <w:bCs/>
          <w:sz w:val="26"/>
          <w:szCs w:val="26"/>
          <w:u w:val="single"/>
        </w:rPr>
      </w:pPr>
    </w:p>
    <w:p w14:paraId="6B8DF1BD" w14:textId="77777777" w:rsidR="00B54D51" w:rsidRPr="00037AD4" w:rsidRDefault="00B54D51" w:rsidP="007A43F9">
      <w:pPr>
        <w:pStyle w:val="Heading2"/>
      </w:pPr>
      <w:bookmarkStart w:id="385" w:name="_Toc175742343"/>
      <w:r w:rsidRPr="00037AD4">
        <w:t>6.1 Introduction</w:t>
      </w:r>
      <w:bookmarkEnd w:id="385"/>
      <w:r w:rsidRPr="00037AD4">
        <w:t xml:space="preserve"> </w:t>
      </w:r>
    </w:p>
    <w:p w14:paraId="3F7FD12D" w14:textId="77777777" w:rsidR="00B54D51" w:rsidRPr="00037AD4" w:rsidRDefault="00B54D51" w:rsidP="00B201EF">
      <w:pPr>
        <w:rPr>
          <w:rFonts w:asciiTheme="minorHAnsi" w:hAnsiTheme="minorHAnsi" w:cstheme="minorHAnsi"/>
        </w:rPr>
      </w:pPr>
    </w:p>
    <w:p w14:paraId="25888C62" w14:textId="77777777" w:rsidR="00B54D51" w:rsidRPr="00037AD4" w:rsidRDefault="00B54D51" w:rsidP="00B201EF">
      <w:pPr>
        <w:rPr>
          <w:rFonts w:asciiTheme="minorHAnsi" w:hAnsiTheme="minorHAnsi" w:cstheme="minorHAnsi"/>
        </w:rPr>
      </w:pPr>
      <w:r w:rsidRPr="00037AD4">
        <w:rPr>
          <w:rFonts w:asciiTheme="minorHAnsi" w:hAnsiTheme="minorHAnsi" w:cstheme="minorHAnsi"/>
        </w:rPr>
        <w:t xml:space="preserve">A key and recurring theme throughout this thesis has been the focus on the discrepancies observed between PwD and proxy reports. Frequently it is found that people with dementia provide more optimistic self-reports compared to proxy reports. A range of reasons for this occurrence have been debated in the wider literature, including proxy burden, impairments in self-awareness of the PwD and response shift of the PwD to their own dementia condition </w:t>
      </w:r>
      <w:r>
        <w:rPr>
          <w:rFonts w:asciiTheme="minorHAnsi" w:hAnsiTheme="minorHAnsi" w:cstheme="minorHAnsi"/>
          <w:noProof/>
        </w:rPr>
        <w:t>(Hounsome et al., 2011, Burks et al., 2021, Hussain et al., 2022)</w:t>
      </w:r>
      <w:r w:rsidRPr="00037AD4">
        <w:rPr>
          <w:rFonts w:asciiTheme="minorHAnsi" w:hAnsiTheme="minorHAnsi" w:cstheme="minorHAnsi"/>
        </w:rPr>
        <w:t xml:space="preserve">. Specific challenges arise for researchers and investigators in deciding whose data to use in trials when measuring HRQoL, compounded by the lack of guidelines for interpreting these distinct sets of data. </w:t>
      </w:r>
    </w:p>
    <w:p w14:paraId="027E47B3" w14:textId="77777777" w:rsidR="00B54D51" w:rsidRPr="00037AD4" w:rsidRDefault="00B54D51" w:rsidP="00B201EF">
      <w:pPr>
        <w:rPr>
          <w:rFonts w:asciiTheme="minorHAnsi" w:hAnsiTheme="minorHAnsi" w:cstheme="minorHAnsi"/>
        </w:rPr>
      </w:pPr>
    </w:p>
    <w:p w14:paraId="41914511" w14:textId="77777777" w:rsidR="00B54D51" w:rsidRPr="00037AD4" w:rsidRDefault="00B54D51" w:rsidP="00B201EF">
      <w:pPr>
        <w:rPr>
          <w:rFonts w:asciiTheme="minorHAnsi" w:hAnsiTheme="minorHAnsi" w:cstheme="minorHAnsi"/>
        </w:rPr>
      </w:pPr>
      <w:r w:rsidRPr="00037AD4">
        <w:rPr>
          <w:rFonts w:asciiTheme="minorHAnsi" w:hAnsiTheme="minorHAnsi" w:cstheme="minorHAnsi"/>
        </w:rPr>
        <w:t xml:space="preserve">As previously noted, the analysis in Chapter Five highlighted that incorporating EQ-5D dimension reports from both the PwD and proxies could lead to a more accurate depiction of HRQoL for dementia populations, thereby resulting in a combined utility score. However, it is recognised that not all dementia studies have historically collected both PwD and proxy EQ-5D reports, and future studies may face logistical restrictions in doing so. Even on occasions when both PwD and proxy reports have been collected, their use may be limited in allowing an economic model to be parameterised, for example, if the follow-up period is short or if data have not been collected from a sufficient range of respondents across the relevant spectrum of disease severity. Therefore, the analyses in this chapter employ statistical mapping methods to arrive at the recommended target combination of EQ-5D dimensions where EQ-5D reports are available from only one respondent type. </w:t>
      </w:r>
    </w:p>
    <w:p w14:paraId="7D136901" w14:textId="77777777" w:rsidR="00B54D51" w:rsidRPr="00037AD4" w:rsidRDefault="00B54D51" w:rsidP="00B201EF">
      <w:pPr>
        <w:rPr>
          <w:rFonts w:asciiTheme="minorHAnsi" w:hAnsiTheme="minorHAnsi" w:cstheme="minorHAnsi"/>
        </w:rPr>
      </w:pPr>
    </w:p>
    <w:p w14:paraId="6CB0354F" w14:textId="77777777" w:rsidR="00B54D51" w:rsidRPr="00037AD4" w:rsidRDefault="00B54D51" w:rsidP="00B201EF">
      <w:pPr>
        <w:rPr>
          <w:rFonts w:asciiTheme="minorHAnsi" w:hAnsiTheme="minorHAnsi" w:cstheme="minorHAnsi"/>
        </w:rPr>
      </w:pPr>
    </w:p>
    <w:p w14:paraId="3EFA11E8" w14:textId="77777777" w:rsidR="00B54D51" w:rsidRPr="00037AD4" w:rsidRDefault="00B54D51" w:rsidP="00B201EF">
      <w:pPr>
        <w:rPr>
          <w:rFonts w:asciiTheme="minorHAnsi" w:hAnsiTheme="minorHAnsi" w:cstheme="minorHAnsi"/>
        </w:rPr>
      </w:pPr>
      <w:r w:rsidRPr="00037AD4">
        <w:rPr>
          <w:rFonts w:asciiTheme="minorHAnsi" w:hAnsiTheme="minorHAnsi" w:cstheme="minorHAnsi"/>
        </w:rPr>
        <w:lastRenderedPageBreak/>
        <w:t xml:space="preserve">Mapping techniques serve to link outcomes from different measures and have gained increasing popularity and value, particularly in scenarios where studies have not collected health-related utility data. In such cases, where specific preference-based measures, such as EQ-5D, are recommended but not collected, mapping enables the prediction of health-related utility values by using scores derived from alternative measures </w:t>
      </w:r>
      <w:r>
        <w:rPr>
          <w:rFonts w:asciiTheme="minorHAnsi" w:hAnsiTheme="minorHAnsi" w:cstheme="minorHAnsi"/>
          <w:noProof/>
        </w:rPr>
        <w:t>(Longworth and Rowen, 2013)</w:t>
      </w:r>
      <w:r w:rsidRPr="00037AD4">
        <w:rPr>
          <w:rFonts w:asciiTheme="minorHAnsi" w:hAnsiTheme="minorHAnsi" w:cstheme="minorHAnsi"/>
        </w:rPr>
        <w:t xml:space="preserve">. This approach proves particularly valuable in studies that have collected disease-specific measures, aligning with preferences stated by NICE for health-related utility estimates used in QALY calculations to be derived from EQ-5D </w:t>
      </w:r>
      <w:r>
        <w:rPr>
          <w:rFonts w:asciiTheme="minorHAnsi" w:hAnsiTheme="minorHAnsi" w:cstheme="minorHAnsi"/>
          <w:noProof/>
        </w:rPr>
        <w:t>(NICE, 2022)</w:t>
      </w:r>
      <w:r w:rsidRPr="00037AD4">
        <w:rPr>
          <w:rFonts w:asciiTheme="minorHAnsi" w:hAnsiTheme="minorHAnsi" w:cstheme="minorHAnsi"/>
        </w:rPr>
        <w:t xml:space="preserve">. Through mapping models, scores from such measures can be linked, thereby enabling the prediction of EQ-5D scores. For mapping to occur, both the target (the measure being predicted) and the source (the predictive measure) measure must be present within the dataset. From available data, mapping models can be constructed to estimate a statistical relationship between the target and predictive measures, using any other relevant outcomes. There are two key types of statistical mapping: direct mapping, and indirect mapping – also referred to as "response" mapping. Direct mapping estimates the summary utility score directly. Whereas response mapping estimates utility as part of a two-stage process, first a series of models are used to estimate the level on each distinct domain of the descriptive system of the target measures. Stage two then calculates the expected utility score using probabilities assigned to each of the health states in the descriptive system and their associated utilities </w:t>
      </w:r>
      <w:r>
        <w:rPr>
          <w:rFonts w:asciiTheme="minorHAnsi" w:hAnsiTheme="minorHAnsi" w:cstheme="minorHAnsi"/>
          <w:noProof/>
        </w:rPr>
        <w:t>(Wailoo et al., 2017)</w:t>
      </w:r>
      <w:r w:rsidRPr="00037AD4">
        <w:rPr>
          <w:rFonts w:asciiTheme="minorHAnsi" w:hAnsiTheme="minorHAnsi" w:cstheme="minorHAnsi"/>
        </w:rPr>
        <w:t xml:space="preserve">. </w:t>
      </w:r>
    </w:p>
    <w:p w14:paraId="1A8DD503" w14:textId="77777777" w:rsidR="00B54D51" w:rsidRPr="00037AD4" w:rsidRDefault="00B54D51" w:rsidP="00B201EF">
      <w:pPr>
        <w:rPr>
          <w:rFonts w:asciiTheme="minorHAnsi" w:hAnsiTheme="minorHAnsi" w:cstheme="minorHAnsi"/>
        </w:rPr>
      </w:pPr>
    </w:p>
    <w:p w14:paraId="4E31A4DD" w14:textId="473A6FF2" w:rsidR="00B54D51" w:rsidRPr="00037AD4" w:rsidRDefault="00B54D51" w:rsidP="00B201EF">
      <w:pPr>
        <w:rPr>
          <w:rFonts w:asciiTheme="minorHAnsi" w:hAnsiTheme="minorHAnsi" w:cstheme="minorHAnsi"/>
        </w:rPr>
      </w:pPr>
      <w:r w:rsidRPr="00037AD4">
        <w:rPr>
          <w:rFonts w:asciiTheme="minorHAnsi" w:hAnsiTheme="minorHAnsi" w:cstheme="minorHAnsi"/>
        </w:rPr>
        <w:t>By apply</w:t>
      </w:r>
      <w:r w:rsidR="00357E1D">
        <w:rPr>
          <w:rFonts w:asciiTheme="minorHAnsi" w:hAnsiTheme="minorHAnsi" w:cstheme="minorHAnsi"/>
        </w:rPr>
        <w:t>ing</w:t>
      </w:r>
      <w:r w:rsidRPr="00037AD4">
        <w:rPr>
          <w:rFonts w:asciiTheme="minorHAnsi" w:hAnsiTheme="minorHAnsi" w:cstheme="minorHAnsi"/>
        </w:rPr>
        <w:t xml:space="preserve"> statistical mapping methods, studies can still derive the target combination of dimension reports, thereby generating the combined EQ-5D utility score. This combined EQ-5D score may therefore be used in economic evaluations of dementia interventions. The methodologies are first described, and six results sections follow – one for each dimension of EQ-5D and a section where utility scores are estimated. </w:t>
      </w:r>
    </w:p>
    <w:p w14:paraId="618E84C8" w14:textId="77777777" w:rsidR="00B54D51" w:rsidRPr="00037AD4" w:rsidRDefault="00B54D51" w:rsidP="00781965">
      <w:pPr>
        <w:rPr>
          <w:rFonts w:asciiTheme="minorHAnsi" w:hAnsiTheme="minorHAnsi" w:cstheme="minorHAnsi"/>
          <w:b/>
          <w:bCs/>
          <w:sz w:val="26"/>
          <w:szCs w:val="26"/>
          <w:u w:val="single"/>
        </w:rPr>
      </w:pPr>
    </w:p>
    <w:p w14:paraId="3388C5F9" w14:textId="77777777" w:rsidR="00B54D51" w:rsidRPr="00037AD4" w:rsidRDefault="00B54D51" w:rsidP="007A43F9">
      <w:pPr>
        <w:pStyle w:val="Heading2"/>
      </w:pPr>
      <w:bookmarkStart w:id="386" w:name="_Toc175742344"/>
      <w:r w:rsidRPr="00037AD4">
        <w:t>6.2 Aims and objectives</w:t>
      </w:r>
      <w:bookmarkEnd w:id="386"/>
      <w:r w:rsidRPr="00037AD4">
        <w:t xml:space="preserve"> </w:t>
      </w:r>
    </w:p>
    <w:p w14:paraId="211FA8B7" w14:textId="77777777" w:rsidR="00B54D51" w:rsidRPr="00037AD4" w:rsidRDefault="00B54D51" w:rsidP="00B201EF">
      <w:pPr>
        <w:rPr>
          <w:rFonts w:asciiTheme="minorHAnsi" w:hAnsiTheme="minorHAnsi" w:cstheme="minorHAnsi"/>
          <w:u w:val="single"/>
        </w:rPr>
      </w:pPr>
    </w:p>
    <w:p w14:paraId="5698445A" w14:textId="77777777" w:rsidR="00B54D51" w:rsidRPr="00037AD4" w:rsidRDefault="00B54D51" w:rsidP="00B201EF">
      <w:pPr>
        <w:rPr>
          <w:rFonts w:asciiTheme="minorHAnsi" w:hAnsiTheme="minorHAnsi" w:cstheme="minorHAnsi"/>
        </w:rPr>
      </w:pPr>
      <w:r w:rsidRPr="00037AD4">
        <w:rPr>
          <w:rFonts w:asciiTheme="minorHAnsi" w:hAnsiTheme="minorHAnsi" w:cstheme="minorHAnsi"/>
        </w:rPr>
        <w:t xml:space="preserve">The central aim of this chapter is to apply statistical mapping methods to predict the target </w:t>
      </w:r>
      <w:r w:rsidRPr="00357E1D">
        <w:rPr>
          <w:rFonts w:asciiTheme="minorHAnsi" w:hAnsiTheme="minorHAnsi" w:cstheme="minorHAnsi"/>
          <w:color w:val="000000" w:themeColor="text1"/>
        </w:rPr>
        <w:t>combination of responses for each of the EQ-5D-5L dimensions (</w:t>
      </w:r>
      <w:hyperlink w:anchor="table33" w:history="1">
        <w:r w:rsidRPr="00357E1D">
          <w:rPr>
            <w:rStyle w:val="Hyperlink"/>
            <w:rFonts w:asciiTheme="minorHAnsi" w:hAnsiTheme="minorHAnsi" w:cstheme="minorHAnsi"/>
            <w:color w:val="000000" w:themeColor="text1"/>
            <w:u w:val="none"/>
          </w:rPr>
          <w:t>as established in Chapter 5, see Table 33</w:t>
        </w:r>
      </w:hyperlink>
      <w:r w:rsidRPr="00357E1D">
        <w:rPr>
          <w:rFonts w:asciiTheme="minorHAnsi" w:hAnsiTheme="minorHAnsi" w:cstheme="minorHAnsi"/>
          <w:color w:val="000000" w:themeColor="text1"/>
        </w:rPr>
        <w:t xml:space="preserve">). This is achieved by using responses from the other half of the PwD-proxy dyad and any additional </w:t>
      </w:r>
      <w:r w:rsidRPr="00037AD4">
        <w:rPr>
          <w:rFonts w:asciiTheme="minorHAnsi" w:hAnsiTheme="minorHAnsi" w:cstheme="minorHAnsi"/>
        </w:rPr>
        <w:t xml:space="preserve">relevant variables. The key objective is to determine whether the target combination of EQ-5D-5L dimension responses could be achieved (through direct observation for some dimensions and predicted responses for other dimensions, using EQ-5D responses from one respondent) without relying on both members of the dyad. In doing so, existing or future dementia trials may be equipped to apply the target combination, even if they exclusively collect EQ-5D-5L data from either the PwD or the proxy in their study. </w:t>
      </w:r>
    </w:p>
    <w:p w14:paraId="2A8322AA" w14:textId="77777777" w:rsidR="00B54D51" w:rsidRPr="00037AD4" w:rsidRDefault="00B54D51" w:rsidP="00781965">
      <w:pPr>
        <w:rPr>
          <w:rFonts w:asciiTheme="minorHAnsi" w:hAnsiTheme="minorHAnsi" w:cstheme="minorHAnsi"/>
          <w:b/>
          <w:bCs/>
          <w:sz w:val="26"/>
          <w:szCs w:val="26"/>
          <w:u w:val="single"/>
        </w:rPr>
      </w:pPr>
    </w:p>
    <w:p w14:paraId="03D591CD" w14:textId="77777777" w:rsidR="00B54D51" w:rsidRPr="00037AD4" w:rsidRDefault="00B54D51" w:rsidP="007A43F9">
      <w:pPr>
        <w:pStyle w:val="Heading2"/>
      </w:pPr>
      <w:bookmarkStart w:id="387" w:name="_Toc175742345"/>
      <w:r w:rsidRPr="00037AD4">
        <w:t>6.3 Methods</w:t>
      </w:r>
      <w:bookmarkEnd w:id="387"/>
      <w:r w:rsidRPr="00037AD4">
        <w:t xml:space="preserve"> </w:t>
      </w:r>
    </w:p>
    <w:p w14:paraId="3347283C" w14:textId="77777777" w:rsidR="00B54D51" w:rsidRPr="00037AD4" w:rsidRDefault="00B54D51" w:rsidP="00781965">
      <w:pPr>
        <w:rPr>
          <w:rFonts w:asciiTheme="minorHAnsi" w:hAnsiTheme="minorHAnsi" w:cstheme="minorHAnsi"/>
          <w:b/>
          <w:bCs/>
          <w:sz w:val="26"/>
          <w:szCs w:val="26"/>
          <w:u w:val="single"/>
        </w:rPr>
      </w:pPr>
    </w:p>
    <w:p w14:paraId="4BDF5991" w14:textId="77777777" w:rsidR="00B54D51" w:rsidRPr="00037AD4" w:rsidRDefault="00B54D51" w:rsidP="00B201EF">
      <w:pPr>
        <w:rPr>
          <w:rFonts w:asciiTheme="minorHAnsi" w:hAnsiTheme="minorHAnsi" w:cstheme="minorHAnsi"/>
        </w:rPr>
      </w:pPr>
      <w:r w:rsidRPr="00037AD4">
        <w:rPr>
          <w:rFonts w:asciiTheme="minorHAnsi" w:hAnsiTheme="minorHAnsi" w:cstheme="minorHAnsi"/>
        </w:rPr>
        <w:t xml:space="preserve">The ACTIFCARE and EPIC trials both collected EQ-5D-5L data. ACTIFCARE recruited participants from community-dwelling settings, while EPIC collected data from institutionalised people with dementia. This chapter’s analyses draw exclusively from these two studies. Incorporating the data from the REMCARE study, which collected EQ-5D-3L, </w:t>
      </w:r>
      <w:r w:rsidRPr="00037AD4">
        <w:rPr>
          <w:rFonts w:asciiTheme="minorHAnsi" w:hAnsiTheme="minorHAnsi" w:cstheme="minorHAnsi"/>
        </w:rPr>
        <w:lastRenderedPageBreak/>
        <w:t xml:space="preserve">would have added complexity to the analyses due to differences in response level options for the different versions of EQ-5D and in the value sets used to generate utility scores. This is not a limitation as it is also more likely that future studies will collect EQ-5D-5L instead of EQ-5D-3L. </w:t>
      </w:r>
    </w:p>
    <w:p w14:paraId="527BEC5C" w14:textId="77777777" w:rsidR="00B54D51" w:rsidRPr="00037AD4" w:rsidRDefault="00B54D51" w:rsidP="00B201EF">
      <w:pPr>
        <w:rPr>
          <w:rFonts w:asciiTheme="minorHAnsi" w:hAnsiTheme="minorHAnsi" w:cstheme="minorHAnsi"/>
        </w:rPr>
      </w:pPr>
    </w:p>
    <w:p w14:paraId="772779B5" w14:textId="77777777" w:rsidR="00B54D51" w:rsidRPr="00037AD4" w:rsidRDefault="00B54D51" w:rsidP="007A43F9">
      <w:pPr>
        <w:pStyle w:val="Heading3"/>
      </w:pPr>
      <w:bookmarkStart w:id="388" w:name="_Toc175742346"/>
      <w:r w:rsidRPr="00037AD4">
        <w:t>6.3.1 ACTIFCARE and EPIC trial data</w:t>
      </w:r>
      <w:bookmarkEnd w:id="388"/>
    </w:p>
    <w:p w14:paraId="4075115C" w14:textId="77777777" w:rsidR="00B54D51" w:rsidRPr="00037AD4" w:rsidRDefault="00B54D51" w:rsidP="00B201EF">
      <w:pPr>
        <w:rPr>
          <w:rFonts w:asciiTheme="minorHAnsi" w:hAnsiTheme="minorHAnsi" w:cstheme="minorHAnsi"/>
          <w:u w:val="single"/>
        </w:rPr>
      </w:pPr>
    </w:p>
    <w:p w14:paraId="6627D2F5" w14:textId="27E57866" w:rsidR="00B54D51" w:rsidRPr="00037AD4" w:rsidRDefault="00B54D51" w:rsidP="00B201EF">
      <w:pPr>
        <w:rPr>
          <w:rFonts w:asciiTheme="minorHAnsi" w:hAnsiTheme="minorHAnsi" w:cstheme="minorHAnsi"/>
        </w:rPr>
      </w:pPr>
      <w:r w:rsidRPr="00037AD4">
        <w:rPr>
          <w:rFonts w:asciiTheme="minorHAnsi" w:hAnsiTheme="minorHAnsi" w:cstheme="minorHAnsi"/>
        </w:rPr>
        <w:t xml:space="preserve">As established in the previous chapter, the target combination of respondents for these two trials differed for the “mobility” dimension. In the ACTIFCARE study, the PwD was considered the target respondent, while in the EPIC study the target respondent was the staff proxy. This difference in target combinations, alongside the fact that both trials collected different dementia symptom measures, meant that it was deemed most appropriate to conduct the mapping analyses on separate datasets for each trial. The proportion of scoring level responses from the PwD </w:t>
      </w:r>
      <w:r w:rsidRPr="00357E1D">
        <w:rPr>
          <w:rFonts w:asciiTheme="minorHAnsi" w:hAnsiTheme="minorHAnsi" w:cstheme="minorHAnsi"/>
          <w:color w:val="000000" w:themeColor="text1"/>
        </w:rPr>
        <w:t xml:space="preserve">and the proxy for each EQ-5D dimension were then tabulated and are presented within </w:t>
      </w:r>
      <w:hyperlink w:anchor="A6" w:history="1">
        <w:r w:rsidRPr="00357E1D">
          <w:rPr>
            <w:rStyle w:val="Hyperlink"/>
            <w:rFonts w:asciiTheme="minorHAnsi" w:hAnsiTheme="minorHAnsi" w:cstheme="minorHAnsi"/>
            <w:color w:val="000000" w:themeColor="text1"/>
            <w:u w:val="none"/>
          </w:rPr>
          <w:t>Appendix 6</w:t>
        </w:r>
      </w:hyperlink>
      <w:r w:rsidRPr="00357E1D">
        <w:rPr>
          <w:rFonts w:asciiTheme="minorHAnsi" w:hAnsiTheme="minorHAnsi" w:cstheme="minorHAnsi"/>
          <w:color w:val="000000" w:themeColor="text1"/>
        </w:rPr>
        <w:t>. Preliminary correlations were estimated using Spearman’s rank for EQ-5D dimension</w:t>
      </w:r>
      <w:r w:rsidR="00357E1D">
        <w:rPr>
          <w:rFonts w:asciiTheme="minorHAnsi" w:hAnsiTheme="minorHAnsi" w:cstheme="minorHAnsi"/>
          <w:color w:val="000000" w:themeColor="text1"/>
        </w:rPr>
        <w:t>s</w:t>
      </w:r>
      <w:r w:rsidRPr="00357E1D">
        <w:rPr>
          <w:rFonts w:asciiTheme="minorHAnsi" w:hAnsiTheme="minorHAnsi" w:cstheme="minorHAnsi"/>
          <w:color w:val="000000" w:themeColor="text1"/>
        </w:rPr>
        <w:t xml:space="preserve"> and Pearson’s correlation for symptom measures. The aim of the correlation analyses was to assess whether any of the variables had particularly high correlations with each other, so as to avoid model overspecification. The detailed correlation tables for both trials can be found in </w:t>
      </w:r>
      <w:hyperlink w:anchor="A61" w:history="1">
        <w:r w:rsidRPr="00357E1D">
          <w:rPr>
            <w:rStyle w:val="Hyperlink"/>
            <w:rFonts w:asciiTheme="minorHAnsi" w:hAnsiTheme="minorHAnsi" w:cstheme="minorHAnsi"/>
            <w:color w:val="000000" w:themeColor="text1"/>
            <w:u w:val="none"/>
          </w:rPr>
          <w:t>Appendix 6.1.</w:t>
        </w:r>
      </w:hyperlink>
    </w:p>
    <w:p w14:paraId="20D4E75C" w14:textId="77777777" w:rsidR="00B54D51" w:rsidRPr="00037AD4" w:rsidRDefault="00B54D51" w:rsidP="00B201EF">
      <w:pPr>
        <w:rPr>
          <w:rFonts w:asciiTheme="minorHAnsi" w:hAnsiTheme="minorHAnsi" w:cstheme="minorHAnsi"/>
        </w:rPr>
      </w:pPr>
    </w:p>
    <w:p w14:paraId="22BC6C8C" w14:textId="77777777" w:rsidR="00B54D51" w:rsidRPr="00037AD4" w:rsidRDefault="00B54D51" w:rsidP="007A43F9">
      <w:pPr>
        <w:pStyle w:val="Heading3"/>
      </w:pPr>
      <w:bookmarkStart w:id="389" w:name="sec632"/>
      <w:bookmarkStart w:id="390" w:name="_Toc175742347"/>
      <w:r w:rsidRPr="00037AD4">
        <w:t>6.3.2 Ordered probit regression models</w:t>
      </w:r>
      <w:bookmarkEnd w:id="390"/>
      <w:r w:rsidRPr="00037AD4">
        <w:t xml:space="preserve"> </w:t>
      </w:r>
    </w:p>
    <w:bookmarkEnd w:id="389"/>
    <w:p w14:paraId="319CEC36" w14:textId="77777777" w:rsidR="00B54D51" w:rsidRPr="00037AD4" w:rsidRDefault="00B54D51" w:rsidP="00B201EF">
      <w:pPr>
        <w:rPr>
          <w:rFonts w:asciiTheme="minorHAnsi" w:hAnsiTheme="minorHAnsi" w:cstheme="minorHAnsi"/>
        </w:rPr>
      </w:pPr>
    </w:p>
    <w:p w14:paraId="6C1E93AE" w14:textId="77777777" w:rsidR="00B54D51" w:rsidRPr="00037AD4" w:rsidRDefault="00B54D51" w:rsidP="00B201EF">
      <w:pPr>
        <w:rPr>
          <w:rFonts w:asciiTheme="minorHAnsi" w:hAnsiTheme="minorHAnsi" w:cstheme="minorHAnsi"/>
        </w:rPr>
      </w:pPr>
      <w:r w:rsidRPr="00037AD4">
        <w:rPr>
          <w:rFonts w:asciiTheme="minorHAnsi" w:hAnsiTheme="minorHAnsi" w:cstheme="minorHAnsi"/>
        </w:rPr>
        <w:t>The basis of this analysis is rooted in arriving at the target combination of EQ-5D-5L dimensions, as described in Chapter 5. Ideally an optimal model for each EQ-5D-5L dimension (across the trials) would have been aimed for, however the target respondent for the dimensions differed, meaning this was not feasible. The focus is on response mapping because the separation of dimension responses allows analysts to use the dimension responses that they have that are from the “target” respondent directly, with no loss of information from a statistical model. Response mapping methods also have the ability to deal with dimension-level specificity; they are inherently flexible in that different sets of predictors may be used for predicting responses to the distinct dimensions if required. The overall objective is to estimate a combined-utility score, which uses different respondent’s data by EQ-5D</w:t>
      </w:r>
      <w:bookmarkStart w:id="391" w:name="_Hlk160787395"/>
      <w:r w:rsidRPr="00037AD4">
        <w:rPr>
          <w:rFonts w:asciiTheme="minorHAnsi" w:hAnsiTheme="minorHAnsi" w:cstheme="minorHAnsi"/>
        </w:rPr>
        <w:t>-5L</w:t>
      </w:r>
      <w:bookmarkEnd w:id="391"/>
      <w:r w:rsidRPr="00037AD4">
        <w:rPr>
          <w:rFonts w:asciiTheme="minorHAnsi" w:hAnsiTheme="minorHAnsi" w:cstheme="minorHAnsi"/>
        </w:rPr>
        <w:t xml:space="preserve"> dimension. This approach allows the specific dimension models to be applied where needed, ensuring that studies that collected data solely from one respondent type can still generate the combined-utility score by predicting what the other respondent would have reported for their target dimensions – had their data been collected. </w:t>
      </w:r>
    </w:p>
    <w:p w14:paraId="6C145FA9" w14:textId="77777777" w:rsidR="00B54D51" w:rsidRPr="00037AD4" w:rsidRDefault="00B54D51" w:rsidP="00B201EF">
      <w:pPr>
        <w:rPr>
          <w:rFonts w:asciiTheme="minorHAnsi" w:hAnsiTheme="minorHAnsi" w:cstheme="minorHAnsi"/>
        </w:rPr>
      </w:pPr>
    </w:p>
    <w:p w14:paraId="64A6D47F" w14:textId="2EBFDAC2" w:rsidR="00B54D51" w:rsidRPr="00037AD4" w:rsidRDefault="00B54D51" w:rsidP="00B201EF">
      <w:pPr>
        <w:rPr>
          <w:rFonts w:asciiTheme="minorHAnsi" w:hAnsiTheme="minorHAnsi" w:cstheme="minorHAnsi"/>
        </w:rPr>
      </w:pPr>
      <w:r w:rsidRPr="00037AD4">
        <w:rPr>
          <w:rFonts w:asciiTheme="minorHAnsi" w:hAnsiTheme="minorHAnsi" w:cstheme="minorHAnsi"/>
        </w:rPr>
        <w:t xml:space="preserve">Another advantage of response mapping lies in its two stage process, enabling the application of any EQ-5D-5L value set when estimating utility scores. This is particularly relevant in the current research landscape, given the lack of an UK EQ-5D-5L tariff for application. When an appropriate UK EQ-5D-5L tariff becomes available, there may be an opportunity to explore direct mapping methods to predict the combined-utility score as a function of PwD or proxy responses (along with other relevant variables). However, until </w:t>
      </w:r>
      <w:r w:rsidRPr="00210C6D">
        <w:rPr>
          <w:rFonts w:asciiTheme="minorHAnsi" w:hAnsiTheme="minorHAnsi" w:cstheme="minorHAnsi"/>
          <w:color w:val="000000" w:themeColor="text1"/>
        </w:rPr>
        <w:t xml:space="preserve">that point, challenges arise with mapping to the mapped data (further details provided in </w:t>
      </w:r>
      <w:hyperlink w:anchor="_6.3.7_Estimating_utility" w:history="1">
        <w:r w:rsidRPr="00210C6D">
          <w:rPr>
            <w:rStyle w:val="Hyperlink"/>
            <w:rFonts w:asciiTheme="minorHAnsi" w:hAnsiTheme="minorHAnsi" w:cstheme="minorHAnsi"/>
            <w:color w:val="000000" w:themeColor="text1"/>
            <w:u w:val="none"/>
          </w:rPr>
          <w:t>Section 6.3.7</w:t>
        </w:r>
      </w:hyperlink>
      <w:r w:rsidRPr="00210C6D">
        <w:rPr>
          <w:rFonts w:asciiTheme="minorHAnsi" w:hAnsiTheme="minorHAnsi" w:cstheme="minorHAnsi"/>
          <w:color w:val="000000" w:themeColor="text1"/>
        </w:rPr>
        <w:t>).</w:t>
      </w:r>
    </w:p>
    <w:p w14:paraId="6F3300F3" w14:textId="77777777" w:rsidR="00B54D51" w:rsidRPr="00037AD4" w:rsidRDefault="00B54D51" w:rsidP="00B201EF">
      <w:pPr>
        <w:rPr>
          <w:rFonts w:asciiTheme="minorHAnsi" w:hAnsiTheme="minorHAnsi" w:cstheme="minorHAnsi"/>
        </w:rPr>
      </w:pPr>
    </w:p>
    <w:p w14:paraId="12B84AF0" w14:textId="77777777" w:rsidR="00B54D51" w:rsidRPr="00037AD4" w:rsidRDefault="00B54D51" w:rsidP="00B201EF">
      <w:pPr>
        <w:rPr>
          <w:rFonts w:asciiTheme="minorHAnsi" w:hAnsiTheme="minorHAnsi" w:cstheme="minorHAnsi"/>
        </w:rPr>
      </w:pPr>
      <w:r w:rsidRPr="00037AD4">
        <w:rPr>
          <w:rFonts w:asciiTheme="minorHAnsi" w:hAnsiTheme="minorHAnsi" w:cstheme="minorHAnsi"/>
        </w:rPr>
        <w:t xml:space="preserve">Response mapping was conducted by using a series of ordered probit models via the </w:t>
      </w:r>
      <w:r w:rsidRPr="006D168A">
        <w:rPr>
          <w:rFonts w:asciiTheme="minorHAnsi" w:hAnsiTheme="minorHAnsi" w:cstheme="minorHAnsi"/>
          <w:i/>
          <w:iCs/>
        </w:rPr>
        <w:t>“oprobit”</w:t>
      </w:r>
      <w:r w:rsidRPr="00037AD4">
        <w:rPr>
          <w:rFonts w:asciiTheme="minorHAnsi" w:hAnsiTheme="minorHAnsi" w:cstheme="minorHAnsi"/>
        </w:rPr>
        <w:t xml:space="preserve"> command in STATA. Ordered probit models are appropriate for mapping to EQ-5D-5L data due to the ordinal nature of the EQ-5D-5L response levels. Response mapping emphasises the importance of partnering the statistical method used with the ordinal nature and structure of the data that is being modelled and mapped. As the EQ-5D-5L instrument captures severity across five response levels (from "no problems" to "extreme problems"), the use of ordered models ensures that the inherent ordering of the levels is appropriately preserved and considered. Ordered probit models do this by calculating the probability of an observation falling into a particular level or below, acknowledging the ordinal structure of the responses. The models assume that there is a latent continuous variable underlying the observed ordinal responses, and that this latent variable is influenced by predictors in a linear fashion </w:t>
      </w:r>
      <w:r>
        <w:rPr>
          <w:rFonts w:asciiTheme="minorHAnsi" w:hAnsiTheme="minorHAnsi" w:cstheme="minorHAnsi"/>
          <w:noProof/>
        </w:rPr>
        <w:t>(Greene and Hensher, 2010)</w:t>
      </w:r>
      <w:r w:rsidRPr="00037AD4">
        <w:rPr>
          <w:rFonts w:asciiTheme="minorHAnsi" w:hAnsiTheme="minorHAnsi" w:cstheme="minorHAnsi"/>
        </w:rPr>
        <w:t xml:space="preserve">. Therefore, by using ordered probit models for EQ-5D-5L dimensions, it is ensured that predictions remain consistent with the ordinal nature of the EQ-5D-5L, complementing the interpretability of the mapping results </w:t>
      </w:r>
      <w:r>
        <w:rPr>
          <w:rFonts w:asciiTheme="minorHAnsi" w:hAnsiTheme="minorHAnsi" w:cstheme="minorHAnsi"/>
          <w:noProof/>
        </w:rPr>
        <w:t>(Alava et al., 2012)</w:t>
      </w:r>
      <w:r w:rsidRPr="00037AD4">
        <w:rPr>
          <w:rFonts w:asciiTheme="minorHAnsi" w:hAnsiTheme="minorHAnsi" w:cstheme="minorHAnsi"/>
        </w:rPr>
        <w:t>.</w:t>
      </w:r>
    </w:p>
    <w:p w14:paraId="431F98F4" w14:textId="77777777" w:rsidR="00B54D51" w:rsidRPr="00037AD4" w:rsidRDefault="00B54D51" w:rsidP="00B201EF">
      <w:pPr>
        <w:rPr>
          <w:rFonts w:asciiTheme="minorHAnsi" w:hAnsiTheme="minorHAnsi" w:cstheme="minorHAnsi"/>
          <w:u w:val="single"/>
        </w:rPr>
      </w:pPr>
    </w:p>
    <w:p w14:paraId="2E3B9239" w14:textId="77777777" w:rsidR="00B54D51" w:rsidRPr="00037AD4" w:rsidRDefault="00B54D51" w:rsidP="00B201EF">
      <w:pPr>
        <w:rPr>
          <w:rFonts w:asciiTheme="minorHAnsi" w:hAnsiTheme="minorHAnsi" w:cstheme="minorHAnsi"/>
        </w:rPr>
      </w:pPr>
      <w:r w:rsidRPr="00037AD4">
        <w:rPr>
          <w:rFonts w:asciiTheme="minorHAnsi" w:hAnsiTheme="minorHAnsi" w:cstheme="minorHAnsi"/>
        </w:rPr>
        <w:t xml:space="preserve">In the mapping models, the STATA </w:t>
      </w:r>
      <w:r w:rsidRPr="006D168A">
        <w:rPr>
          <w:rFonts w:asciiTheme="minorHAnsi" w:hAnsiTheme="minorHAnsi" w:cstheme="minorHAnsi"/>
          <w:i/>
          <w:iCs/>
        </w:rPr>
        <w:t>“cluster”</w:t>
      </w:r>
      <w:r w:rsidRPr="00037AD4">
        <w:rPr>
          <w:rFonts w:asciiTheme="minorHAnsi" w:hAnsiTheme="minorHAnsi" w:cstheme="minorHAnsi"/>
        </w:rPr>
        <w:t xml:space="preserve"> command was used to control for potential intra-patient correlations in the data. Given that multiple observations are associated with the same PwD-proxy dyad (represented by the patient identifier) there is a chance that these observations are not independent and are correlated within patients. Intra-patient correlations can arise due to a variety of reasons, such as consistent behaviours, patient-specific effects or external environmental factors that could influence measurements over a time period. By using cluster-robust standard errors, the analysis adjusts for this type of correlation and ensures that standard errors are correctly estimated. </w:t>
      </w:r>
    </w:p>
    <w:p w14:paraId="3E65566B" w14:textId="77777777" w:rsidR="00B54D51" w:rsidRPr="00037AD4" w:rsidRDefault="00B54D51" w:rsidP="00B201EF">
      <w:pPr>
        <w:rPr>
          <w:rFonts w:asciiTheme="minorHAnsi" w:hAnsiTheme="minorHAnsi" w:cstheme="minorHAnsi"/>
          <w:u w:val="single"/>
        </w:rPr>
      </w:pPr>
    </w:p>
    <w:p w14:paraId="50B12C2C" w14:textId="718EBAAD" w:rsidR="00B54D51" w:rsidRDefault="00B54D51" w:rsidP="00B201EF">
      <w:pPr>
        <w:rPr>
          <w:rFonts w:asciiTheme="minorHAnsi" w:hAnsiTheme="minorHAnsi" w:cstheme="minorHAnsi"/>
          <w:color w:val="000000" w:themeColor="text1"/>
        </w:rPr>
      </w:pPr>
      <w:r w:rsidRPr="00037AD4">
        <w:rPr>
          <w:rFonts w:asciiTheme="minorHAnsi" w:hAnsiTheme="minorHAnsi" w:cstheme="minorHAnsi"/>
        </w:rPr>
        <w:t xml:space="preserve">The distinct dimension models were first constructed using all theoretically relevant and viable variables from the dataset, taking into account the correlations between variables. Refinements of the models were on the basis of the magnitude, direction and the statistical significance of the variable coefficients (p&lt;0.05). This refinement was coupled with consideration of the marginal effects outputs and model fit statistics as outlined in the sections to follow. A comprehensive approach ensured that these factors were considered simultaneously when determining the inclusion or exclusion of variables, with an additional awareness on aiming for consistency in the predictor variables and/or outcomes included in the dimension models. The guiding criteria adopted are reported in the sections below, and the various model iterations for each of the dimension-models are presented in the results sections </w:t>
      </w:r>
      <w:r w:rsidRPr="00210C6D">
        <w:rPr>
          <w:rFonts w:asciiTheme="minorHAnsi" w:hAnsiTheme="minorHAnsi" w:cstheme="minorHAnsi"/>
          <w:color w:val="000000" w:themeColor="text1"/>
        </w:rPr>
        <w:t xml:space="preserve">and in </w:t>
      </w:r>
      <w:hyperlink w:anchor="A62" w:history="1">
        <w:r w:rsidRPr="00210C6D">
          <w:rPr>
            <w:rStyle w:val="Hyperlink"/>
            <w:rFonts w:asciiTheme="minorHAnsi" w:hAnsiTheme="minorHAnsi" w:cstheme="minorHAnsi"/>
            <w:color w:val="000000" w:themeColor="text1"/>
            <w:u w:val="none"/>
          </w:rPr>
          <w:t>Appendix 6.2</w:t>
        </w:r>
      </w:hyperlink>
      <w:r w:rsidRPr="00210C6D">
        <w:rPr>
          <w:rFonts w:asciiTheme="minorHAnsi" w:hAnsiTheme="minorHAnsi" w:cstheme="minorHAnsi"/>
          <w:color w:val="000000" w:themeColor="text1"/>
        </w:rPr>
        <w:t xml:space="preserve">. For dimension-models from ACTIFCARE, scenario analyses were conducted to assess the performance of the two collected functional measures (IADL and PSMS). This approach aimed to mitigate potential overspecification derived from the inclusion of two function variables that exhibit a strong correlation to one another (r=0.65, p&lt;0.05; as detailed in </w:t>
      </w:r>
      <w:hyperlink w:anchor="tablea61a" w:history="1">
        <w:r w:rsidRPr="00210C6D">
          <w:rPr>
            <w:rStyle w:val="Hyperlink"/>
            <w:rFonts w:asciiTheme="minorHAnsi" w:hAnsiTheme="minorHAnsi" w:cstheme="minorHAnsi"/>
            <w:color w:val="000000" w:themeColor="text1"/>
            <w:u w:val="none"/>
          </w:rPr>
          <w:t>Table A6.1a</w:t>
        </w:r>
      </w:hyperlink>
      <w:r w:rsidRPr="00210C6D">
        <w:rPr>
          <w:rFonts w:asciiTheme="minorHAnsi" w:hAnsiTheme="minorHAnsi" w:cstheme="minorHAnsi"/>
          <w:color w:val="000000" w:themeColor="text1"/>
        </w:rPr>
        <w:t>).</w:t>
      </w:r>
      <w:r w:rsidR="004611ED">
        <w:rPr>
          <w:rFonts w:asciiTheme="minorHAnsi" w:hAnsiTheme="minorHAnsi" w:cstheme="minorHAnsi"/>
          <w:color w:val="000000" w:themeColor="text1"/>
        </w:rPr>
        <w:t xml:space="preserve"> </w:t>
      </w:r>
    </w:p>
    <w:p w14:paraId="09F19EFC" w14:textId="77777777" w:rsidR="004611ED" w:rsidRDefault="004611ED" w:rsidP="00B201EF">
      <w:pPr>
        <w:rPr>
          <w:rFonts w:asciiTheme="minorHAnsi" w:hAnsiTheme="minorHAnsi" w:cstheme="minorHAnsi"/>
          <w:color w:val="000000" w:themeColor="text1"/>
        </w:rPr>
      </w:pPr>
    </w:p>
    <w:p w14:paraId="0A7C76F8" w14:textId="5B993A5C" w:rsidR="004611ED" w:rsidRPr="00210C6D" w:rsidRDefault="004611ED" w:rsidP="00B201EF">
      <w:pPr>
        <w:rPr>
          <w:rFonts w:asciiTheme="minorHAnsi" w:hAnsiTheme="minorHAnsi" w:cstheme="minorHAnsi"/>
          <w:color w:val="000000" w:themeColor="text1"/>
        </w:rPr>
      </w:pPr>
      <w:r w:rsidRPr="004611ED">
        <w:rPr>
          <w:rFonts w:asciiTheme="minorHAnsi" w:hAnsiTheme="minorHAnsi" w:cstheme="minorHAnsi"/>
          <w:color w:val="000000" w:themeColor="text1"/>
        </w:rPr>
        <w:t xml:space="preserve">Due to differences in the outcome measures collected across datasets, it was not feasible to merge them for a combined analysis, therefore the models were re-run focusing exclusively on the most commonly collected pragmatic variables, specifically, demographic data of the PwD and EQ-5D dimension reports from other respondents. The purpose of this step was to evaluate the feasibility of predicting EQ-5D dimension scores using only these pragmatic </w:t>
      </w:r>
      <w:r w:rsidRPr="004611ED">
        <w:rPr>
          <w:rFonts w:asciiTheme="minorHAnsi" w:hAnsiTheme="minorHAnsi" w:cstheme="minorHAnsi"/>
          <w:color w:val="000000" w:themeColor="text1"/>
        </w:rPr>
        <w:lastRenderedPageBreak/>
        <w:t>variables, with the aim of making the models more applicable for future research in dementia trials.</w:t>
      </w:r>
      <w:r>
        <w:rPr>
          <w:rFonts w:asciiTheme="minorHAnsi" w:hAnsiTheme="minorHAnsi" w:cstheme="minorHAnsi"/>
          <w:color w:val="000000" w:themeColor="text1"/>
        </w:rPr>
        <w:t xml:space="preserve"> </w:t>
      </w:r>
    </w:p>
    <w:p w14:paraId="37F88401" w14:textId="77777777" w:rsidR="00B54D51" w:rsidRPr="00037AD4" w:rsidRDefault="00B54D51" w:rsidP="00B201EF">
      <w:pPr>
        <w:rPr>
          <w:rFonts w:asciiTheme="minorHAnsi" w:hAnsiTheme="minorHAnsi" w:cstheme="minorHAnsi"/>
        </w:rPr>
      </w:pPr>
    </w:p>
    <w:p w14:paraId="53ECE30B" w14:textId="77777777" w:rsidR="00B54D51" w:rsidRPr="00037AD4" w:rsidRDefault="00B54D51" w:rsidP="007A43F9">
      <w:pPr>
        <w:pStyle w:val="Heading3"/>
      </w:pPr>
      <w:bookmarkStart w:id="392" w:name="_Toc175742348"/>
      <w:r w:rsidRPr="00037AD4">
        <w:t>6.3.3 Marginal effects for model iterations</w:t>
      </w:r>
      <w:bookmarkEnd w:id="392"/>
      <w:r w:rsidRPr="00037AD4">
        <w:t xml:space="preserve"> </w:t>
      </w:r>
    </w:p>
    <w:p w14:paraId="41CEFE2E" w14:textId="77777777" w:rsidR="00B54D51" w:rsidRPr="00037AD4" w:rsidRDefault="00B54D51" w:rsidP="001723F3">
      <w:pPr>
        <w:rPr>
          <w:rFonts w:asciiTheme="minorHAnsi" w:hAnsiTheme="minorHAnsi" w:cstheme="minorHAnsi"/>
        </w:rPr>
      </w:pPr>
    </w:p>
    <w:p w14:paraId="3CF9F4BE" w14:textId="77777777" w:rsidR="00B54D51" w:rsidRPr="00037AD4" w:rsidRDefault="00B54D51" w:rsidP="001723F3">
      <w:pPr>
        <w:rPr>
          <w:rFonts w:asciiTheme="minorHAnsi" w:hAnsiTheme="minorHAnsi" w:cstheme="minorHAnsi"/>
        </w:rPr>
      </w:pPr>
      <w:r w:rsidRPr="00037AD4">
        <w:rPr>
          <w:rFonts w:asciiTheme="minorHAnsi" w:hAnsiTheme="minorHAnsi" w:cstheme="minorHAnsi"/>
        </w:rPr>
        <w:t>After each model refinement and consideration of the variables to include, the marginal effects outputs were examined, ensuring that the model performed as expected and that its resulting outputs remained both theoretically consistent and statistically robust. There are different types of marginal effects with distinctive estimation methods. The Average Marginal Effects (AME) were calculated using the “</w:t>
      </w:r>
      <w:r w:rsidRPr="00037AD4">
        <w:rPr>
          <w:rFonts w:asciiTheme="minorHAnsi" w:hAnsiTheme="minorHAnsi" w:cstheme="minorHAnsi"/>
          <w:i/>
          <w:iCs/>
        </w:rPr>
        <w:t>margins, dydx(*)”</w:t>
      </w:r>
      <w:r w:rsidRPr="00037AD4">
        <w:rPr>
          <w:rFonts w:asciiTheme="minorHAnsi" w:hAnsiTheme="minorHAnsi" w:cstheme="minorHAnsi"/>
          <w:b/>
          <w:bCs/>
        </w:rPr>
        <w:t xml:space="preserve"> </w:t>
      </w:r>
      <w:r w:rsidRPr="00037AD4">
        <w:rPr>
          <w:rFonts w:asciiTheme="minorHAnsi" w:hAnsiTheme="minorHAnsi" w:cstheme="minorHAnsi"/>
        </w:rPr>
        <w:t xml:space="preserve">command in STATA. AMEs assess the average discrete impact of each predictor (independent variable) in a model on the probability of predicting each level of an ordinal outcome (the dependent variable). The results obtained reflect the average discrete changes in the predicted probability of transitioning to each level of the ordinal dependent variable for a one-unit change in the particular independent variable, with comparisons made against the base level. This calculation is performed while all other variables are held constant at their respective means. </w:t>
      </w:r>
    </w:p>
    <w:p w14:paraId="5C2EE22E" w14:textId="77777777" w:rsidR="00B54D51" w:rsidRPr="00037AD4" w:rsidRDefault="00B54D51" w:rsidP="001723F3">
      <w:pPr>
        <w:rPr>
          <w:rFonts w:asciiTheme="minorHAnsi" w:hAnsiTheme="minorHAnsi" w:cstheme="minorHAnsi"/>
        </w:rPr>
      </w:pPr>
    </w:p>
    <w:p w14:paraId="0DA7F1A8" w14:textId="77777777" w:rsidR="00B54D51" w:rsidRPr="00037AD4" w:rsidRDefault="00B54D51" w:rsidP="001723F3">
      <w:pPr>
        <w:rPr>
          <w:rFonts w:asciiTheme="minorHAnsi" w:hAnsiTheme="minorHAnsi" w:cstheme="minorHAnsi"/>
        </w:rPr>
      </w:pPr>
      <w:r w:rsidRPr="00037AD4">
        <w:rPr>
          <w:rFonts w:asciiTheme="minorHAnsi" w:hAnsiTheme="minorHAnsi" w:cstheme="minorHAnsi"/>
        </w:rPr>
        <w:t xml:space="preserve">AMEs are particularly useful for interpreting the ordered probit models produced in this research as they provide insights into the changes to the probability of transitioning to each severity level of the EQ-5D-5L dimensions. They show the practical impact of predictors beyond the statistical relationships indicated by the coefficients. This verification process was important for ensuring that the predicted impacts on probabilities aligned with the expected EQ-5D-5L dimension severity levels, thereby validating the models’ abilities to capture expected relationships. Examination of the marginal effects outputs considered the direction of the values (sign), magnitude and statistical significance, thereby ensuring that the outcomes retained in the model equations provided results that were statistically sound, theoretically consistent, and empirically credible. AMEs for the final selected dimension-models are </w:t>
      </w:r>
      <w:r w:rsidRPr="00210C6D">
        <w:rPr>
          <w:rFonts w:asciiTheme="minorHAnsi" w:hAnsiTheme="minorHAnsi" w:cstheme="minorHAnsi"/>
          <w:color w:val="000000" w:themeColor="text1"/>
        </w:rPr>
        <w:t xml:space="preserve">presented in </w:t>
      </w:r>
      <w:hyperlink w:anchor="A63" w:history="1">
        <w:r w:rsidRPr="00210C6D">
          <w:rPr>
            <w:rStyle w:val="Hyperlink"/>
            <w:rFonts w:asciiTheme="minorHAnsi" w:hAnsiTheme="minorHAnsi" w:cstheme="minorHAnsi"/>
            <w:color w:val="000000" w:themeColor="text1"/>
            <w:u w:val="none"/>
          </w:rPr>
          <w:t>Appendix 6.3.</w:t>
        </w:r>
      </w:hyperlink>
      <w:r w:rsidRPr="00210C6D">
        <w:rPr>
          <w:rFonts w:asciiTheme="minorHAnsi" w:hAnsiTheme="minorHAnsi" w:cstheme="minorHAnsi"/>
          <w:color w:val="000000" w:themeColor="text1"/>
        </w:rPr>
        <w:t xml:space="preserve"> </w:t>
      </w:r>
    </w:p>
    <w:p w14:paraId="7EEE5F91" w14:textId="77777777" w:rsidR="00B54D51" w:rsidRPr="00037AD4" w:rsidRDefault="00B54D51" w:rsidP="001723F3">
      <w:pPr>
        <w:rPr>
          <w:rFonts w:asciiTheme="minorHAnsi" w:hAnsiTheme="minorHAnsi" w:cstheme="minorHAnsi"/>
        </w:rPr>
      </w:pPr>
    </w:p>
    <w:p w14:paraId="19D53DF5" w14:textId="77777777" w:rsidR="00B54D51" w:rsidRPr="00037AD4" w:rsidRDefault="00B54D51" w:rsidP="001723F3">
      <w:pPr>
        <w:rPr>
          <w:rFonts w:asciiTheme="minorHAnsi" w:hAnsiTheme="minorHAnsi" w:cstheme="minorHAnsi"/>
        </w:rPr>
      </w:pPr>
      <w:r w:rsidRPr="00037AD4">
        <w:rPr>
          <w:rFonts w:asciiTheme="minorHAnsi" w:hAnsiTheme="minorHAnsi" w:cstheme="minorHAnsi"/>
        </w:rPr>
        <w:t xml:space="preserve">Within the main text of the results, the </w:t>
      </w:r>
      <w:r w:rsidRPr="00037AD4">
        <w:rPr>
          <w:rFonts w:asciiTheme="minorHAnsi" w:hAnsiTheme="minorHAnsi" w:cstheme="minorHAnsi"/>
          <w:i/>
          <w:iCs/>
        </w:rPr>
        <w:t>predictive margins</w:t>
      </w:r>
      <w:r w:rsidRPr="00037AD4">
        <w:rPr>
          <w:rFonts w:asciiTheme="minorHAnsi" w:hAnsiTheme="minorHAnsi" w:cstheme="minorHAnsi"/>
        </w:rPr>
        <w:t xml:space="preserve"> for the independent EQ-5D-5L dimension used in the dimension-model equations are reported. These margins have been obtained using the “</w:t>
      </w:r>
      <w:r w:rsidRPr="00037AD4">
        <w:rPr>
          <w:rFonts w:asciiTheme="minorHAnsi" w:hAnsiTheme="minorHAnsi" w:cstheme="minorHAnsi"/>
          <w:i/>
          <w:iCs/>
        </w:rPr>
        <w:t>margins</w:t>
      </w:r>
      <w:r w:rsidRPr="00037AD4">
        <w:rPr>
          <w:rFonts w:asciiTheme="minorHAnsi" w:hAnsiTheme="minorHAnsi" w:cstheme="minorHAnsi"/>
        </w:rPr>
        <w:t xml:space="preserve">” command in STATA and reflect the average predicted probabilities of each level of the dependent variables for the various values of the independent variable. While additional variables such as PwD demographics and clinical outcome scores are included in the model equations, their roles are secondary to that of the EQ-5D-5L dimension, serving to enhance model fit and predictive abilities. The main focus remains on predicting EQ-5D-5L reports from one respondent type as a function of EQ-5D-5L reports from another respondent type. The estimations of predictive margins consider the observed values of the other variables in the model equations, therefore providing insight into how changes in the independent variables are associated with changes in the predicted probabilities across different response levels. </w:t>
      </w:r>
    </w:p>
    <w:p w14:paraId="098F829E" w14:textId="77777777" w:rsidR="00D75792" w:rsidRDefault="00D75792" w:rsidP="007A43F9">
      <w:pPr>
        <w:pStyle w:val="Heading3"/>
      </w:pPr>
      <w:bookmarkStart w:id="393" w:name="_Toc175742349"/>
    </w:p>
    <w:p w14:paraId="715D93F0" w14:textId="77777777" w:rsidR="00D75792" w:rsidRPr="00D75792" w:rsidRDefault="00D75792" w:rsidP="00D75792"/>
    <w:p w14:paraId="02EE5257" w14:textId="77777777" w:rsidR="00D75792" w:rsidRDefault="00D75792" w:rsidP="007A43F9">
      <w:pPr>
        <w:pStyle w:val="Heading3"/>
      </w:pPr>
    </w:p>
    <w:p w14:paraId="0B16A96E" w14:textId="2E014CDC" w:rsidR="00B54D51" w:rsidRPr="00037AD4" w:rsidRDefault="00B54D51" w:rsidP="007A43F9">
      <w:pPr>
        <w:pStyle w:val="Heading3"/>
      </w:pPr>
      <w:r w:rsidRPr="00037AD4">
        <w:t>6.3.4 Model fit statistics</w:t>
      </w:r>
      <w:bookmarkEnd w:id="393"/>
      <w:r w:rsidRPr="00037AD4">
        <w:t xml:space="preserve"> </w:t>
      </w:r>
    </w:p>
    <w:p w14:paraId="7F6E8932" w14:textId="77777777" w:rsidR="00B54D51" w:rsidRPr="00037AD4" w:rsidRDefault="00B54D51" w:rsidP="001723F3">
      <w:pPr>
        <w:rPr>
          <w:rFonts w:asciiTheme="minorHAnsi" w:hAnsiTheme="minorHAnsi" w:cstheme="minorHAnsi"/>
        </w:rPr>
      </w:pPr>
    </w:p>
    <w:p w14:paraId="4E9231C2" w14:textId="77777777" w:rsidR="00B54D51" w:rsidRPr="00037AD4" w:rsidRDefault="00B54D51" w:rsidP="001723F3">
      <w:pPr>
        <w:rPr>
          <w:rFonts w:asciiTheme="minorHAnsi" w:hAnsiTheme="minorHAnsi" w:cstheme="minorHAnsi"/>
        </w:rPr>
      </w:pPr>
      <w:r w:rsidRPr="00037AD4">
        <w:rPr>
          <w:rFonts w:asciiTheme="minorHAnsi" w:hAnsiTheme="minorHAnsi" w:cstheme="minorHAnsi"/>
        </w:rPr>
        <w:t xml:space="preserve">For ordered probit models, Akaike Information Criterion (AIC) and the Bayesian Information Criterion (BIC) are key measures of model fit, and they provide insight into the quality of the model, considering how well the model fits the data and the complexity of the model. AIC and BIC balance the number of parameters within the model and the fit of the model to the data, penalising for </w:t>
      </w:r>
      <w:r w:rsidRPr="00037AD4">
        <w:rPr>
          <w:rFonts w:asciiTheme="minorHAnsi" w:hAnsiTheme="minorHAnsi" w:cstheme="minorHAnsi"/>
          <w:color w:val="000000" w:themeColor="text1"/>
        </w:rPr>
        <w:t xml:space="preserve">overfitting </w:t>
      </w:r>
      <w:r>
        <w:rPr>
          <w:rFonts w:asciiTheme="minorHAnsi" w:hAnsiTheme="minorHAnsi" w:cstheme="minorHAnsi"/>
          <w:noProof/>
          <w:color w:val="000000" w:themeColor="text1"/>
        </w:rPr>
        <w:t>(Vrieze, 2012)</w:t>
      </w:r>
      <w:r w:rsidRPr="00037AD4">
        <w:rPr>
          <w:rFonts w:asciiTheme="minorHAnsi" w:hAnsiTheme="minorHAnsi" w:cstheme="minorHAnsi"/>
          <w:color w:val="000000" w:themeColor="text1"/>
        </w:rPr>
        <w:t xml:space="preserve">. Lower </w:t>
      </w:r>
      <w:r w:rsidRPr="00037AD4">
        <w:rPr>
          <w:rFonts w:asciiTheme="minorHAnsi" w:hAnsiTheme="minorHAnsi" w:cstheme="minorHAnsi"/>
        </w:rPr>
        <w:t xml:space="preserve">values of AIC and BIC are reflective of more favourable model fits. It is important to note that while AIC and BIC are key in model refinement, they are most relevant for comparing iterations of the same model, rather than across models. They are therefore valuable tools for model refinement, where variables are iteratively included or omitted to assess how these changes impact model performance. </w:t>
      </w:r>
    </w:p>
    <w:p w14:paraId="598BBD36" w14:textId="77777777" w:rsidR="00B54D51" w:rsidRPr="00037AD4" w:rsidRDefault="00B54D51" w:rsidP="001723F3">
      <w:pPr>
        <w:rPr>
          <w:rFonts w:asciiTheme="minorHAnsi" w:hAnsiTheme="minorHAnsi" w:cstheme="minorHAnsi"/>
        </w:rPr>
      </w:pPr>
    </w:p>
    <w:p w14:paraId="60E6A35F" w14:textId="77777777" w:rsidR="00B54D51" w:rsidRPr="00037AD4" w:rsidRDefault="00B54D51" w:rsidP="001723F3">
      <w:pPr>
        <w:rPr>
          <w:rFonts w:asciiTheme="minorHAnsi" w:hAnsiTheme="minorHAnsi" w:cstheme="minorHAnsi"/>
        </w:rPr>
      </w:pPr>
      <w:r w:rsidRPr="00037AD4">
        <w:rPr>
          <w:rFonts w:asciiTheme="minorHAnsi" w:hAnsiTheme="minorHAnsi" w:cstheme="minorHAnsi"/>
        </w:rPr>
        <w:t xml:space="preserve">The iterative process of variable selection involved checking for changes to AIC and BIC. If the inclusion of a variable, particularly PwD demographics i.e., age or sex, resulted in a minor deterioration to model fit (a shift of around 10-20 points in AIC and BIC), but its inclusion enabled consistency across models and was supported by underlying theory, the variable was retained. There are published guidelines on how to use AIC and BIC information criteria for comparing models, but there are no specific thresholds </w:t>
      </w:r>
      <w:r>
        <w:rPr>
          <w:rFonts w:asciiTheme="minorHAnsi" w:hAnsiTheme="minorHAnsi" w:cstheme="minorHAnsi"/>
          <w:noProof/>
        </w:rPr>
        <w:t>(Anderson and Burnham, 2004)</w:t>
      </w:r>
      <w:r w:rsidRPr="00037AD4">
        <w:rPr>
          <w:rFonts w:asciiTheme="minorHAnsi" w:hAnsiTheme="minorHAnsi" w:cstheme="minorHAnsi"/>
        </w:rPr>
        <w:t xml:space="preserve">. Despite the potential subjectivity in applying a 10-20 point threshold to be considered a minor deterioration to model fit, this approach represents a balance between empirical model fit and theoretical coherence, ensuring that the final model is both statistically robust and meaningful in the context of the research. </w:t>
      </w:r>
    </w:p>
    <w:p w14:paraId="0B165CCA" w14:textId="77777777" w:rsidR="00B54D51" w:rsidRPr="00037AD4" w:rsidRDefault="00B54D51" w:rsidP="001723F3">
      <w:pPr>
        <w:rPr>
          <w:rFonts w:asciiTheme="minorHAnsi" w:hAnsiTheme="minorHAnsi" w:cstheme="minorHAnsi"/>
        </w:rPr>
      </w:pPr>
    </w:p>
    <w:p w14:paraId="73F26CB9" w14:textId="77777777" w:rsidR="00B54D51" w:rsidRPr="00037AD4" w:rsidRDefault="00B54D51" w:rsidP="007A43F9">
      <w:pPr>
        <w:pStyle w:val="Heading3"/>
      </w:pPr>
      <w:bookmarkStart w:id="394" w:name="_Toc175742350"/>
      <w:r w:rsidRPr="00037AD4">
        <w:t>6.3.5 Trial indicator variable</w:t>
      </w:r>
      <w:bookmarkEnd w:id="394"/>
      <w:r w:rsidRPr="00037AD4">
        <w:t xml:space="preserve"> </w:t>
      </w:r>
    </w:p>
    <w:p w14:paraId="3641F004" w14:textId="77777777" w:rsidR="00B54D51" w:rsidRPr="00037AD4" w:rsidRDefault="00B54D51" w:rsidP="001723F3">
      <w:pPr>
        <w:rPr>
          <w:rFonts w:asciiTheme="minorHAnsi" w:hAnsiTheme="minorHAnsi" w:cstheme="minorHAnsi"/>
        </w:rPr>
      </w:pPr>
    </w:p>
    <w:p w14:paraId="1AA19835" w14:textId="4134F9AB" w:rsidR="00B54D51" w:rsidRPr="00037AD4" w:rsidRDefault="00B54D51" w:rsidP="001723F3">
      <w:pPr>
        <w:rPr>
          <w:rFonts w:asciiTheme="minorHAnsi" w:hAnsiTheme="minorHAnsi" w:cstheme="minorHAnsi"/>
        </w:rPr>
      </w:pPr>
      <w:r w:rsidRPr="00037AD4">
        <w:rPr>
          <w:rFonts w:asciiTheme="minorHAnsi" w:hAnsiTheme="minorHAnsi" w:cstheme="minorHAnsi"/>
        </w:rPr>
        <w:t xml:space="preserve">The dimension-level ordered probit models were re-run on a merged dataset including data from both trials and a trial indicator variable. Because the trials collected different measures, the re-run models could only include variables that were common across both datasets. The objective of this exercise was to assess the significance of the trial indicator variable, highlighting whether there were differences in the performance of the core models (the preferred final models) across the two trials. The trials differed in terms of their residential care settings, they used different proxy-types and the EPIC sample generally recruited people with more severe dementia. While the statistical significance of this trial variable could shed light on the presence of differences in model performance, it cannot provide insight into any potential underlying reasons for such differences. This step was performed to assess whether it is possible to estimate </w:t>
      </w:r>
      <w:r w:rsidR="006D168A">
        <w:rPr>
          <w:rFonts w:asciiTheme="minorHAnsi" w:hAnsiTheme="minorHAnsi" w:cstheme="minorHAnsi"/>
        </w:rPr>
        <w:t xml:space="preserve">a </w:t>
      </w:r>
      <w:r w:rsidRPr="00037AD4">
        <w:rPr>
          <w:rFonts w:asciiTheme="minorHAnsi" w:hAnsiTheme="minorHAnsi" w:cstheme="minorHAnsi"/>
        </w:rPr>
        <w:t>universal model across different trial settings, particularly in the absence of consistent measures across datasets.</w:t>
      </w:r>
    </w:p>
    <w:p w14:paraId="4458D90F" w14:textId="77777777" w:rsidR="00B54D51" w:rsidRPr="00037AD4" w:rsidRDefault="00B54D51" w:rsidP="001723F3">
      <w:pPr>
        <w:rPr>
          <w:rFonts w:asciiTheme="minorHAnsi" w:hAnsiTheme="minorHAnsi" w:cstheme="minorHAnsi"/>
        </w:rPr>
      </w:pPr>
    </w:p>
    <w:p w14:paraId="1F8BE9F2" w14:textId="77777777" w:rsidR="00B54D51" w:rsidRPr="00037AD4" w:rsidRDefault="00B54D51" w:rsidP="007A43F9">
      <w:pPr>
        <w:pStyle w:val="Heading3"/>
      </w:pPr>
      <w:bookmarkStart w:id="395" w:name="sec636"/>
      <w:bookmarkStart w:id="396" w:name="_Toc175742351"/>
      <w:r w:rsidRPr="00037AD4">
        <w:t>6.3.6 Comparing observed and predicted data</w:t>
      </w:r>
      <w:bookmarkEnd w:id="396"/>
      <w:r w:rsidRPr="00037AD4">
        <w:t xml:space="preserve"> </w:t>
      </w:r>
    </w:p>
    <w:bookmarkEnd w:id="395"/>
    <w:p w14:paraId="559AA60E" w14:textId="77777777" w:rsidR="00B54D51" w:rsidRPr="00037AD4" w:rsidRDefault="00B54D51" w:rsidP="001723F3">
      <w:pPr>
        <w:rPr>
          <w:rFonts w:asciiTheme="minorHAnsi" w:hAnsiTheme="minorHAnsi" w:cstheme="minorHAnsi"/>
          <w:u w:val="single"/>
        </w:rPr>
      </w:pPr>
    </w:p>
    <w:p w14:paraId="28E14952" w14:textId="77777777" w:rsidR="00B54D51" w:rsidRPr="00037AD4" w:rsidRDefault="00B54D51" w:rsidP="001723F3">
      <w:pPr>
        <w:rPr>
          <w:rFonts w:asciiTheme="minorHAnsi" w:hAnsiTheme="minorHAnsi" w:cstheme="minorHAnsi"/>
        </w:rPr>
      </w:pPr>
      <w:r w:rsidRPr="00037AD4">
        <w:rPr>
          <w:rFonts w:asciiTheme="minorHAnsi" w:hAnsiTheme="minorHAnsi" w:cstheme="minorHAnsi"/>
        </w:rPr>
        <w:t xml:space="preserve">To assess the performance of the ordered probit models at the dimension level, STATA’s </w:t>
      </w:r>
      <w:r w:rsidRPr="006D168A">
        <w:rPr>
          <w:rFonts w:asciiTheme="minorHAnsi" w:hAnsiTheme="minorHAnsi" w:cstheme="minorHAnsi"/>
          <w:i/>
          <w:iCs/>
        </w:rPr>
        <w:t>“predict</w:t>
      </w:r>
      <w:r w:rsidRPr="00037AD4">
        <w:rPr>
          <w:rFonts w:asciiTheme="minorHAnsi" w:hAnsiTheme="minorHAnsi" w:cstheme="minorHAnsi"/>
        </w:rPr>
        <w:t xml:space="preserve">” command was used to generate the predicted frequencies for the responses to each level. This data is compared to the observed frequencies and presented in tables for each EQ-5D-5L dimension in the results, offering insight into how closely the model predictions align with the observed data and where there are disparities. </w:t>
      </w:r>
    </w:p>
    <w:p w14:paraId="65C68748" w14:textId="77777777" w:rsidR="00B54D51" w:rsidRPr="00037AD4" w:rsidRDefault="00B54D51" w:rsidP="001723F3">
      <w:pPr>
        <w:rPr>
          <w:rFonts w:asciiTheme="minorHAnsi" w:hAnsiTheme="minorHAnsi" w:cstheme="minorHAnsi"/>
          <w:u w:val="single"/>
        </w:rPr>
      </w:pPr>
    </w:p>
    <w:p w14:paraId="0C40D3B7" w14:textId="285AE047" w:rsidR="00B54D51" w:rsidRPr="00037AD4" w:rsidRDefault="00B54D51" w:rsidP="001723F3">
      <w:pPr>
        <w:rPr>
          <w:rFonts w:asciiTheme="minorHAnsi" w:hAnsiTheme="minorHAnsi" w:cstheme="minorHAnsi"/>
        </w:rPr>
      </w:pPr>
      <w:r w:rsidRPr="00037AD4">
        <w:rPr>
          <w:rFonts w:asciiTheme="minorHAnsi" w:hAnsiTheme="minorHAnsi" w:cstheme="minorHAnsi"/>
        </w:rPr>
        <w:t>Given that the EPIC trial did not collect a measure of cognition, the finalised models for ACTIFCARE were re-run without MMSE at this stage to examine whether the omission of MMSE aligned the predicted frequencies more closely with observed data, adversely impacted the predictions, or had no effect. This evaluation serves as an additional measure beyond standard model fit statistics, aiming to confirm the significance of MMSE within the dimension models and to inform data collection recommendations.</w:t>
      </w:r>
    </w:p>
    <w:p w14:paraId="36446411" w14:textId="77777777" w:rsidR="00673F38" w:rsidRDefault="00673F38" w:rsidP="007A43F9">
      <w:pPr>
        <w:pStyle w:val="Heading3"/>
      </w:pPr>
      <w:bookmarkStart w:id="397" w:name="_6.3.7_Estimating_utility"/>
      <w:bookmarkEnd w:id="397"/>
    </w:p>
    <w:p w14:paraId="53D7E483" w14:textId="7A8AB4BB" w:rsidR="00B54D51" w:rsidRPr="00037AD4" w:rsidRDefault="00B54D51" w:rsidP="007A43F9">
      <w:pPr>
        <w:pStyle w:val="Heading3"/>
      </w:pPr>
      <w:bookmarkStart w:id="398" w:name="_Toc175742352"/>
      <w:r w:rsidRPr="00037AD4">
        <w:t>6.3.7 Estimating utility</w:t>
      </w:r>
      <w:bookmarkEnd w:id="398"/>
      <w:r w:rsidRPr="00037AD4">
        <w:t xml:space="preserve"> </w:t>
      </w:r>
    </w:p>
    <w:p w14:paraId="1C6661F0" w14:textId="77777777" w:rsidR="00B54D51" w:rsidRPr="00037AD4" w:rsidRDefault="00B54D51" w:rsidP="001723F3">
      <w:pPr>
        <w:rPr>
          <w:rFonts w:asciiTheme="minorHAnsi" w:hAnsiTheme="minorHAnsi" w:cstheme="minorHAnsi"/>
        </w:rPr>
      </w:pPr>
    </w:p>
    <w:p w14:paraId="76B39E42" w14:textId="7B77F891" w:rsidR="00614D2C" w:rsidRDefault="00B54D51" w:rsidP="00614D2C">
      <w:pPr>
        <w:rPr>
          <w:rFonts w:asciiTheme="minorHAnsi" w:hAnsiTheme="minorHAnsi" w:cstheme="minorHAnsi"/>
        </w:rPr>
      </w:pPr>
      <w:r w:rsidRPr="00037AD4">
        <w:rPr>
          <w:rFonts w:asciiTheme="minorHAnsi" w:hAnsiTheme="minorHAnsi" w:cstheme="minorHAnsi"/>
        </w:rPr>
        <w:t>There are two stages to response mapping</w:t>
      </w:r>
      <w:r w:rsidR="004B1CCA">
        <w:rPr>
          <w:rFonts w:asciiTheme="minorHAnsi" w:hAnsiTheme="minorHAnsi" w:cstheme="minorHAnsi"/>
        </w:rPr>
        <w:t xml:space="preserve">, as illustrated in </w:t>
      </w:r>
      <w:r w:rsidR="00614D2C">
        <w:rPr>
          <w:rFonts w:asciiTheme="minorHAnsi" w:hAnsiTheme="minorHAnsi" w:cstheme="minorHAnsi"/>
        </w:rPr>
        <w:t>the flow diagram below (Figure 33)</w:t>
      </w:r>
      <w:r w:rsidR="004B1CCA">
        <w:rPr>
          <w:rFonts w:asciiTheme="minorHAnsi" w:hAnsiTheme="minorHAnsi" w:cstheme="minorHAnsi"/>
        </w:rPr>
        <w:t>.</w:t>
      </w:r>
    </w:p>
    <w:p w14:paraId="63CB5305" w14:textId="77777777" w:rsidR="00614D2C" w:rsidRDefault="00614D2C" w:rsidP="00614D2C">
      <w:pPr>
        <w:rPr>
          <w:rFonts w:asciiTheme="minorHAnsi" w:hAnsiTheme="minorHAnsi" w:cstheme="minorHAnsi"/>
        </w:rPr>
      </w:pPr>
    </w:p>
    <w:p w14:paraId="0A3CE021" w14:textId="68C5109E" w:rsidR="00614D2C" w:rsidRPr="00614D2C" w:rsidRDefault="00614D2C" w:rsidP="00614D2C">
      <w:pPr>
        <w:rPr>
          <w:rFonts w:asciiTheme="minorHAnsi" w:hAnsiTheme="minorHAnsi" w:cstheme="minorHAnsi"/>
          <w:b/>
          <w:bCs/>
          <w:i/>
          <w:iCs/>
        </w:rPr>
      </w:pPr>
      <w:r w:rsidRPr="00614D2C">
        <w:rPr>
          <w:rFonts w:asciiTheme="minorHAnsi" w:hAnsiTheme="minorHAnsi" w:cstheme="minorHAnsi"/>
          <w:b/>
          <w:bCs/>
          <w:i/>
          <w:iCs/>
        </w:rPr>
        <w:t xml:space="preserve">Figure 33, Flow diagram for two-stage process for deriving utility values </w:t>
      </w:r>
    </w:p>
    <w:p w14:paraId="03759DA8" w14:textId="097333EA" w:rsidR="00614D2C" w:rsidRDefault="00714E58" w:rsidP="00614D2C">
      <w:pPr>
        <w:jc w:val="center"/>
        <w:rPr>
          <w:rFonts w:asciiTheme="minorHAnsi" w:hAnsiTheme="minorHAnsi" w:cstheme="minorHAnsi"/>
        </w:rPr>
      </w:pPr>
      <w:r>
        <w:rPr>
          <w:rFonts w:asciiTheme="minorHAnsi" w:hAnsiTheme="minorHAnsi" w:cstheme="minorHAnsi"/>
          <w:noProof/>
        </w:rPr>
        <w:drawing>
          <wp:inline distT="0" distB="0" distL="0" distR="0" wp14:anchorId="239B4F9B" wp14:editId="69A9F60B">
            <wp:extent cx="5197816" cy="1764754"/>
            <wp:effectExtent l="0" t="0" r="0" b="635"/>
            <wp:docPr id="1626212928" name="Picture 24" descr="A diagram of a model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212928" name="Picture 24" descr="A diagram of a model application&#10;&#10;Description automatically generated"/>
                    <pic:cNvPicPr/>
                  </pic:nvPicPr>
                  <pic:blipFill rotWithShape="1">
                    <a:blip r:embed="rId68" cstate="print">
                      <a:extLst>
                        <a:ext uri="{28A0092B-C50C-407E-A947-70E740481C1C}">
                          <a14:useLocalDpi xmlns:a14="http://schemas.microsoft.com/office/drawing/2010/main" val="0"/>
                        </a:ext>
                      </a:extLst>
                    </a:blip>
                    <a:srcRect l="2042" t="10340" r="7236" b="18153"/>
                    <a:stretch/>
                  </pic:blipFill>
                  <pic:spPr bwMode="auto">
                    <a:xfrm>
                      <a:off x="0" y="0"/>
                      <a:ext cx="5199800" cy="1765428"/>
                    </a:xfrm>
                    <a:prstGeom prst="rect">
                      <a:avLst/>
                    </a:prstGeom>
                    <a:ln>
                      <a:noFill/>
                    </a:ln>
                    <a:extLst>
                      <a:ext uri="{53640926-AAD7-44D8-BBD7-CCE9431645EC}">
                        <a14:shadowObscured xmlns:a14="http://schemas.microsoft.com/office/drawing/2010/main"/>
                      </a:ext>
                    </a:extLst>
                  </pic:spPr>
                </pic:pic>
              </a:graphicData>
            </a:graphic>
          </wp:inline>
        </w:drawing>
      </w:r>
    </w:p>
    <w:p w14:paraId="4F520869" w14:textId="77777777" w:rsidR="00614D2C" w:rsidRDefault="00614D2C" w:rsidP="00614D2C">
      <w:pPr>
        <w:jc w:val="center"/>
        <w:rPr>
          <w:rFonts w:asciiTheme="minorHAnsi" w:hAnsiTheme="minorHAnsi" w:cstheme="minorHAnsi"/>
        </w:rPr>
      </w:pPr>
    </w:p>
    <w:p w14:paraId="6CD8502D" w14:textId="4A78CE4F" w:rsidR="004B1CCA" w:rsidRDefault="00614D2C" w:rsidP="001723F3">
      <w:pPr>
        <w:rPr>
          <w:rFonts w:asciiTheme="minorHAnsi" w:hAnsiTheme="minorHAnsi" w:cstheme="minorHAnsi"/>
        </w:rPr>
      </w:pPr>
      <w:r>
        <w:rPr>
          <w:rFonts w:asciiTheme="minorHAnsi" w:hAnsiTheme="minorHAnsi" w:cstheme="minorHAnsi"/>
        </w:rPr>
        <w:t>The first stage</w:t>
      </w:r>
      <w:r w:rsidR="004B1CCA">
        <w:rPr>
          <w:rFonts w:asciiTheme="minorHAnsi" w:hAnsiTheme="minorHAnsi" w:cstheme="minorHAnsi"/>
        </w:rPr>
        <w:t xml:space="preserve"> begins with</w:t>
      </w:r>
      <w:r>
        <w:rPr>
          <w:rFonts w:asciiTheme="minorHAnsi" w:hAnsiTheme="minorHAnsi" w:cstheme="minorHAnsi"/>
        </w:rPr>
        <w:t xml:space="preserve"> collecting or acquiring EQ-5D-5L data from either the PwD or the proxy. The </w:t>
      </w:r>
      <w:r w:rsidR="004B1CCA">
        <w:rPr>
          <w:rFonts w:asciiTheme="minorHAnsi" w:hAnsiTheme="minorHAnsi" w:cstheme="minorHAnsi"/>
        </w:rPr>
        <w:t xml:space="preserve">choice of </w:t>
      </w:r>
      <w:r>
        <w:rPr>
          <w:rFonts w:asciiTheme="minorHAnsi" w:hAnsiTheme="minorHAnsi" w:cstheme="minorHAnsi"/>
        </w:rPr>
        <w:t>proxy depend</w:t>
      </w:r>
      <w:r w:rsidR="004B1CCA">
        <w:rPr>
          <w:rFonts w:asciiTheme="minorHAnsi" w:hAnsiTheme="minorHAnsi" w:cstheme="minorHAnsi"/>
        </w:rPr>
        <w:t xml:space="preserve">s </w:t>
      </w:r>
      <w:r>
        <w:rPr>
          <w:rFonts w:asciiTheme="minorHAnsi" w:hAnsiTheme="minorHAnsi" w:cstheme="minorHAnsi"/>
        </w:rPr>
        <w:t>upon the residential setting of the PwD</w:t>
      </w:r>
      <w:r w:rsidR="004B1CCA">
        <w:rPr>
          <w:rFonts w:asciiTheme="minorHAnsi" w:hAnsiTheme="minorHAnsi" w:cstheme="minorHAnsi"/>
        </w:rPr>
        <w:t xml:space="preserve">: </w:t>
      </w:r>
      <w:r>
        <w:rPr>
          <w:rFonts w:asciiTheme="minorHAnsi" w:hAnsiTheme="minorHAnsi" w:cstheme="minorHAnsi"/>
        </w:rPr>
        <w:t>for</w:t>
      </w:r>
      <w:r w:rsidR="004B1CCA">
        <w:rPr>
          <w:rFonts w:asciiTheme="minorHAnsi" w:hAnsiTheme="minorHAnsi" w:cstheme="minorHAnsi"/>
        </w:rPr>
        <w:t xml:space="preserve"> those living in the</w:t>
      </w:r>
      <w:r>
        <w:rPr>
          <w:rFonts w:asciiTheme="minorHAnsi" w:hAnsiTheme="minorHAnsi" w:cstheme="minorHAnsi"/>
        </w:rPr>
        <w:t xml:space="preserve"> community</w:t>
      </w:r>
      <w:r w:rsidR="004B1CCA">
        <w:rPr>
          <w:rFonts w:asciiTheme="minorHAnsi" w:hAnsiTheme="minorHAnsi" w:cstheme="minorHAnsi"/>
        </w:rPr>
        <w:t xml:space="preserve">, an </w:t>
      </w:r>
      <w:r>
        <w:rPr>
          <w:rFonts w:asciiTheme="minorHAnsi" w:hAnsiTheme="minorHAnsi" w:cstheme="minorHAnsi"/>
        </w:rPr>
        <w:t xml:space="preserve">informal </w:t>
      </w:r>
      <w:r w:rsidR="004B1CCA">
        <w:rPr>
          <w:rFonts w:asciiTheme="minorHAnsi" w:hAnsiTheme="minorHAnsi" w:cstheme="minorHAnsi"/>
        </w:rPr>
        <w:t>caregiver such as a</w:t>
      </w:r>
      <w:r>
        <w:rPr>
          <w:rFonts w:asciiTheme="minorHAnsi" w:hAnsiTheme="minorHAnsi" w:cstheme="minorHAnsi"/>
        </w:rPr>
        <w:t xml:space="preserve"> family member or friend</w:t>
      </w:r>
      <w:r w:rsidR="004B1CCA">
        <w:rPr>
          <w:rFonts w:asciiTheme="minorHAnsi" w:hAnsiTheme="minorHAnsi" w:cstheme="minorHAnsi"/>
        </w:rPr>
        <w:t xml:space="preserve"> should serve as the proxy. For those that are</w:t>
      </w:r>
      <w:r>
        <w:rPr>
          <w:rFonts w:asciiTheme="minorHAnsi" w:hAnsiTheme="minorHAnsi" w:cstheme="minorHAnsi"/>
        </w:rPr>
        <w:t xml:space="preserve"> institutionalised, </w:t>
      </w:r>
      <w:r w:rsidR="004B1CCA">
        <w:rPr>
          <w:rFonts w:asciiTheme="minorHAnsi" w:hAnsiTheme="minorHAnsi" w:cstheme="minorHAnsi"/>
        </w:rPr>
        <w:t xml:space="preserve">the proxy should be a staff member. </w:t>
      </w:r>
      <w:r>
        <w:rPr>
          <w:rFonts w:asciiTheme="minorHAnsi" w:hAnsiTheme="minorHAnsi" w:cstheme="minorHAnsi"/>
        </w:rPr>
        <w:t>This data</w:t>
      </w:r>
      <w:r w:rsidR="001660FC">
        <w:rPr>
          <w:rFonts w:asciiTheme="minorHAnsi" w:hAnsiTheme="minorHAnsi" w:cstheme="minorHAnsi"/>
        </w:rPr>
        <w:t xml:space="preserve">, </w:t>
      </w:r>
      <w:r w:rsidR="004B1CCA">
        <w:rPr>
          <w:rFonts w:asciiTheme="minorHAnsi" w:hAnsiTheme="minorHAnsi" w:cstheme="minorHAnsi"/>
        </w:rPr>
        <w:t xml:space="preserve">along with </w:t>
      </w:r>
      <w:r w:rsidR="001660FC">
        <w:rPr>
          <w:rFonts w:asciiTheme="minorHAnsi" w:hAnsiTheme="minorHAnsi" w:cstheme="minorHAnsi"/>
        </w:rPr>
        <w:t>demographic</w:t>
      </w:r>
      <w:r w:rsidR="004B1CCA">
        <w:rPr>
          <w:rFonts w:asciiTheme="minorHAnsi" w:hAnsiTheme="minorHAnsi" w:cstheme="minorHAnsi"/>
        </w:rPr>
        <w:t xml:space="preserve"> information</w:t>
      </w:r>
      <w:r w:rsidR="001660FC">
        <w:rPr>
          <w:rFonts w:asciiTheme="minorHAnsi" w:hAnsiTheme="minorHAnsi" w:cstheme="minorHAnsi"/>
        </w:rPr>
        <w:t xml:space="preserve"> and other measures of dementia symptoms,</w:t>
      </w:r>
      <w:r>
        <w:rPr>
          <w:rFonts w:asciiTheme="minorHAnsi" w:hAnsiTheme="minorHAnsi" w:cstheme="minorHAnsi"/>
        </w:rPr>
        <w:t xml:space="preserve"> serve as the basis for modelling and predicting responses for each EQ-5D dimension. Since the </w:t>
      </w:r>
      <w:r w:rsidR="004B1CCA">
        <w:rPr>
          <w:rFonts w:asciiTheme="minorHAnsi" w:hAnsiTheme="minorHAnsi" w:cstheme="minorHAnsi"/>
        </w:rPr>
        <w:t>final</w:t>
      </w:r>
      <w:r>
        <w:rPr>
          <w:rFonts w:asciiTheme="minorHAnsi" w:hAnsiTheme="minorHAnsi" w:cstheme="minorHAnsi"/>
        </w:rPr>
        <w:t xml:space="preserve"> utility score is a </w:t>
      </w:r>
      <w:r w:rsidR="004B1CCA">
        <w:rPr>
          <w:rFonts w:asciiTheme="minorHAnsi" w:hAnsiTheme="minorHAnsi" w:cstheme="minorHAnsi"/>
        </w:rPr>
        <w:t>combination</w:t>
      </w:r>
      <w:r>
        <w:rPr>
          <w:rFonts w:asciiTheme="minorHAnsi" w:hAnsiTheme="minorHAnsi" w:cstheme="minorHAnsi"/>
        </w:rPr>
        <w:t xml:space="preserve"> of responses from both respondents, observed data </w:t>
      </w:r>
      <w:r w:rsidR="004B1CCA">
        <w:rPr>
          <w:rFonts w:asciiTheme="minorHAnsi" w:hAnsiTheme="minorHAnsi" w:cstheme="minorHAnsi"/>
        </w:rPr>
        <w:t xml:space="preserve">collected at this stage </w:t>
      </w:r>
      <w:r>
        <w:rPr>
          <w:rFonts w:asciiTheme="minorHAnsi" w:hAnsiTheme="minorHAnsi" w:cstheme="minorHAnsi"/>
        </w:rPr>
        <w:t xml:space="preserve">can be used for </w:t>
      </w:r>
      <w:r w:rsidR="001660FC">
        <w:rPr>
          <w:rFonts w:asciiTheme="minorHAnsi" w:hAnsiTheme="minorHAnsi" w:cstheme="minorHAnsi"/>
        </w:rPr>
        <w:t>certain</w:t>
      </w:r>
      <w:r>
        <w:rPr>
          <w:rFonts w:asciiTheme="minorHAnsi" w:hAnsiTheme="minorHAnsi" w:cstheme="minorHAnsi"/>
        </w:rPr>
        <w:t xml:space="preserve"> dimensions, </w:t>
      </w:r>
      <w:r w:rsidR="004B1CCA">
        <w:rPr>
          <w:rFonts w:asciiTheme="minorHAnsi" w:hAnsiTheme="minorHAnsi" w:cstheme="minorHAnsi"/>
        </w:rPr>
        <w:t>and predicted are made for dimension where the other respondent is the optimal reported. This approach</w:t>
      </w:r>
      <w:r w:rsidR="00254ACD">
        <w:rPr>
          <w:rFonts w:asciiTheme="minorHAnsi" w:hAnsiTheme="minorHAnsi" w:cstheme="minorHAnsi"/>
        </w:rPr>
        <w:t xml:space="preserve"> is</w:t>
      </w:r>
      <w:r w:rsidR="004B1CCA">
        <w:rPr>
          <w:rFonts w:asciiTheme="minorHAnsi" w:hAnsiTheme="minorHAnsi" w:cstheme="minorHAnsi"/>
        </w:rPr>
        <w:t xml:space="preserve"> detailed in Chapter Five and summarised in </w:t>
      </w:r>
      <w:r w:rsidR="00254ACD">
        <w:rPr>
          <w:rFonts w:asciiTheme="minorHAnsi" w:hAnsiTheme="minorHAnsi" w:cstheme="minorHAnsi"/>
        </w:rPr>
        <w:t>Table 33.</w:t>
      </w:r>
    </w:p>
    <w:p w14:paraId="7AF20DBB" w14:textId="77777777" w:rsidR="00254ACD" w:rsidRDefault="00254ACD" w:rsidP="001723F3">
      <w:pPr>
        <w:rPr>
          <w:rFonts w:asciiTheme="minorHAnsi" w:hAnsiTheme="minorHAnsi" w:cstheme="minorHAnsi"/>
        </w:rPr>
      </w:pPr>
    </w:p>
    <w:p w14:paraId="3F12959E" w14:textId="514CF05E" w:rsidR="00254ACD" w:rsidRDefault="00254ACD" w:rsidP="001723F3">
      <w:pPr>
        <w:rPr>
          <w:rFonts w:asciiTheme="minorHAnsi" w:hAnsiTheme="minorHAnsi" w:cstheme="minorHAnsi"/>
        </w:rPr>
      </w:pPr>
      <w:r>
        <w:rPr>
          <w:rFonts w:asciiTheme="minorHAnsi" w:hAnsiTheme="minorHAnsi" w:cstheme="minorHAnsi"/>
        </w:rPr>
        <w:t xml:space="preserve">The next step involves applying </w:t>
      </w:r>
      <w:r w:rsidRPr="00254ACD">
        <w:rPr>
          <w:rFonts w:asciiTheme="minorHAnsi" w:hAnsiTheme="minorHAnsi" w:cstheme="minorHAnsi"/>
        </w:rPr>
        <w:t xml:space="preserve">predefined statistical models, </w:t>
      </w:r>
      <w:r>
        <w:rPr>
          <w:rFonts w:asciiTheme="minorHAnsi" w:hAnsiTheme="minorHAnsi" w:cstheme="minorHAnsi"/>
        </w:rPr>
        <w:t xml:space="preserve">developed and </w:t>
      </w:r>
      <w:r w:rsidRPr="00254ACD">
        <w:rPr>
          <w:rFonts w:asciiTheme="minorHAnsi" w:hAnsiTheme="minorHAnsi" w:cstheme="minorHAnsi"/>
        </w:rPr>
        <w:t>chosen based on theoretical considerations and previous research, to predict responses for each of the five EQ-5D-5L dimensions. The development and selection of these models are discussed in the results section of this chapter. These models, which already include specified parameters, are used to ensure consistency and reliability in predictions. The final step of Stage 1 is to use these fitted models to predict the probabilities of different response levels for each EQ-5D-5L dimension. At this point, frequency tables may be generated to compare the likeness of observed and predicted data when both are available. These predictions will then be used in Stage 2 to allocate utility scores, representing the predicted health state distributions.</w:t>
      </w:r>
    </w:p>
    <w:p w14:paraId="13643EA9" w14:textId="77777777" w:rsidR="00254ACD" w:rsidRDefault="00254ACD" w:rsidP="001723F3">
      <w:pPr>
        <w:rPr>
          <w:rFonts w:asciiTheme="minorHAnsi" w:hAnsiTheme="minorHAnsi" w:cstheme="minorHAnsi"/>
        </w:rPr>
      </w:pPr>
    </w:p>
    <w:p w14:paraId="4738A854" w14:textId="4C9D046B" w:rsidR="00614D2C" w:rsidRDefault="00614D2C" w:rsidP="001723F3">
      <w:pPr>
        <w:rPr>
          <w:rFonts w:asciiTheme="minorHAnsi" w:hAnsiTheme="minorHAnsi" w:cstheme="minorHAnsi"/>
        </w:rPr>
      </w:pPr>
      <w:r w:rsidRPr="00037AD4">
        <w:rPr>
          <w:rFonts w:asciiTheme="minorHAnsi" w:hAnsiTheme="minorHAnsi" w:cstheme="minorHAnsi"/>
        </w:rPr>
        <w:lastRenderedPageBreak/>
        <w:t xml:space="preserve">The second stage does not involve modelling, but rather </w:t>
      </w:r>
      <w:r w:rsidR="00714E58">
        <w:rPr>
          <w:rFonts w:asciiTheme="minorHAnsi" w:hAnsiTheme="minorHAnsi" w:cstheme="minorHAnsi"/>
        </w:rPr>
        <w:t>assigning</w:t>
      </w:r>
      <w:r w:rsidRPr="00037AD4">
        <w:rPr>
          <w:rFonts w:asciiTheme="minorHAnsi" w:hAnsiTheme="minorHAnsi" w:cstheme="minorHAnsi"/>
        </w:rPr>
        <w:t xml:space="preserve"> the relevant utility scores to the predictions.</w:t>
      </w:r>
      <w:r w:rsidR="001660FC">
        <w:rPr>
          <w:rFonts w:asciiTheme="minorHAnsi" w:hAnsiTheme="minorHAnsi" w:cstheme="minorHAnsi"/>
        </w:rPr>
        <w:t xml:space="preserve"> For each set of predicted responses, the corresponding dimension level score/decrement </w:t>
      </w:r>
      <w:r w:rsidR="00714E58">
        <w:rPr>
          <w:rFonts w:asciiTheme="minorHAnsi" w:hAnsiTheme="minorHAnsi" w:cstheme="minorHAnsi"/>
        </w:rPr>
        <w:t>is applied</w:t>
      </w:r>
      <w:r w:rsidR="00254ACD">
        <w:rPr>
          <w:rFonts w:asciiTheme="minorHAnsi" w:hAnsiTheme="minorHAnsi" w:cstheme="minorHAnsi"/>
        </w:rPr>
        <w:t xml:space="preserve"> </w:t>
      </w:r>
      <w:r w:rsidR="001660FC">
        <w:rPr>
          <w:rFonts w:asciiTheme="minorHAnsi" w:hAnsiTheme="minorHAnsi" w:cstheme="minorHAnsi"/>
        </w:rPr>
        <w:t xml:space="preserve">according to the desired value set. Lastly, </w:t>
      </w:r>
      <w:r w:rsidR="00254ACD">
        <w:rPr>
          <w:rFonts w:asciiTheme="minorHAnsi" w:hAnsiTheme="minorHAnsi" w:cstheme="minorHAnsi"/>
        </w:rPr>
        <w:t xml:space="preserve">the overall </w:t>
      </w:r>
      <w:r w:rsidR="001660FC">
        <w:rPr>
          <w:rFonts w:asciiTheme="minorHAnsi" w:hAnsiTheme="minorHAnsi" w:cstheme="minorHAnsi"/>
        </w:rPr>
        <w:t xml:space="preserve">utility </w:t>
      </w:r>
      <w:r w:rsidR="00254ACD">
        <w:rPr>
          <w:rFonts w:asciiTheme="minorHAnsi" w:hAnsiTheme="minorHAnsi" w:cstheme="minorHAnsi"/>
        </w:rPr>
        <w:t xml:space="preserve">score </w:t>
      </w:r>
      <w:r w:rsidR="001660FC">
        <w:rPr>
          <w:rFonts w:asciiTheme="minorHAnsi" w:hAnsiTheme="minorHAnsi" w:cstheme="minorHAnsi"/>
        </w:rPr>
        <w:t xml:space="preserve">may be estimated by combining the dimension level scores/decrements </w:t>
      </w:r>
      <w:r w:rsidR="00254ACD">
        <w:rPr>
          <w:rFonts w:asciiTheme="minorHAnsi" w:hAnsiTheme="minorHAnsi" w:cstheme="minorHAnsi"/>
        </w:rPr>
        <w:t>for</w:t>
      </w:r>
      <w:r w:rsidR="001660FC">
        <w:rPr>
          <w:rFonts w:asciiTheme="minorHAnsi" w:hAnsiTheme="minorHAnsi" w:cstheme="minorHAnsi"/>
        </w:rPr>
        <w:t xml:space="preserve"> each dimension </w:t>
      </w:r>
      <w:r w:rsidR="005E0F3C">
        <w:rPr>
          <w:rFonts w:asciiTheme="minorHAnsi" w:hAnsiTheme="minorHAnsi" w:cstheme="minorHAnsi"/>
        </w:rPr>
        <w:t>according to</w:t>
      </w:r>
      <w:r w:rsidR="001660FC">
        <w:rPr>
          <w:rFonts w:asciiTheme="minorHAnsi" w:hAnsiTheme="minorHAnsi" w:cstheme="minorHAnsi"/>
        </w:rPr>
        <w:t xml:space="preserve"> the established value set. The overall utility score provides a single measure of HRQoL, derived from the combined scores of individual </w:t>
      </w:r>
      <w:r w:rsidR="005E0F3C">
        <w:rPr>
          <w:rFonts w:asciiTheme="minorHAnsi" w:hAnsiTheme="minorHAnsi" w:cstheme="minorHAnsi"/>
        </w:rPr>
        <w:t>dimensions</w:t>
      </w:r>
      <w:r w:rsidR="001660FC">
        <w:rPr>
          <w:rFonts w:asciiTheme="minorHAnsi" w:hAnsiTheme="minorHAnsi" w:cstheme="minorHAnsi"/>
        </w:rPr>
        <w:t xml:space="preserve"> (from both observed and predicted data). </w:t>
      </w:r>
    </w:p>
    <w:p w14:paraId="51B58A25" w14:textId="77777777" w:rsidR="00614D2C" w:rsidRDefault="00614D2C" w:rsidP="001723F3">
      <w:pPr>
        <w:rPr>
          <w:rFonts w:asciiTheme="minorHAnsi" w:hAnsiTheme="minorHAnsi" w:cstheme="minorHAnsi"/>
        </w:rPr>
      </w:pPr>
    </w:p>
    <w:p w14:paraId="1EC800B1" w14:textId="41B10DFD" w:rsidR="00B54D51" w:rsidRPr="00037AD4" w:rsidRDefault="00254ACD" w:rsidP="001723F3">
      <w:pPr>
        <w:rPr>
          <w:rFonts w:asciiTheme="minorHAnsi" w:hAnsiTheme="minorHAnsi" w:cstheme="minorHAnsi"/>
        </w:rPr>
      </w:pPr>
      <w:r>
        <w:rPr>
          <w:rFonts w:asciiTheme="minorHAnsi" w:hAnsiTheme="minorHAnsi" w:cstheme="minorHAnsi"/>
        </w:rPr>
        <w:t>As noted, u</w:t>
      </w:r>
      <w:r w:rsidR="00B54D51" w:rsidRPr="00037AD4">
        <w:rPr>
          <w:rFonts w:asciiTheme="minorHAnsi" w:hAnsiTheme="minorHAnsi" w:cstheme="minorHAnsi"/>
        </w:rPr>
        <w:t xml:space="preserve">tility calculations were performed using the target combination of respondents for the EQ-5D dimensions for the observed data and the predictions. These calculations followed current NICE recommendations of mapping EQ-5D-5L responses onto the well-established EQ-5D-3L value set </w:t>
      </w:r>
      <w:r w:rsidR="00B54D51">
        <w:rPr>
          <w:rFonts w:asciiTheme="minorHAnsi" w:hAnsiTheme="minorHAnsi" w:cstheme="minorHAnsi"/>
          <w:noProof/>
        </w:rPr>
        <w:t>(Hernández Alava et al., 2023, NICE, 2019b)</w:t>
      </w:r>
      <w:r w:rsidR="00B54D51" w:rsidRPr="00037AD4">
        <w:rPr>
          <w:rFonts w:asciiTheme="minorHAnsi" w:hAnsiTheme="minorHAnsi" w:cstheme="minorHAnsi"/>
        </w:rPr>
        <w:t>, and have been presented within the main text</w:t>
      </w:r>
      <w:r w:rsidR="00B54D51" w:rsidRPr="00037AD4">
        <w:rPr>
          <w:rFonts w:asciiTheme="minorHAnsi" w:hAnsiTheme="minorHAnsi" w:cstheme="minorHAnsi"/>
          <w:color w:val="000000" w:themeColor="text1"/>
        </w:rPr>
        <w:t>. A</w:t>
      </w:r>
      <w:r w:rsidR="00B54D51" w:rsidRPr="00037AD4">
        <w:rPr>
          <w:rFonts w:asciiTheme="minorHAnsi" w:hAnsiTheme="minorHAnsi" w:cstheme="minorHAnsi"/>
        </w:rPr>
        <w:t xml:space="preserve"> 2018 EQ-5D-5L value set for England was available </w:t>
      </w:r>
      <w:r w:rsidR="00B54D51">
        <w:rPr>
          <w:rFonts w:asciiTheme="minorHAnsi" w:hAnsiTheme="minorHAnsi" w:cstheme="minorHAnsi"/>
          <w:noProof/>
        </w:rPr>
        <w:t>(Devlin et al., 2018)</w:t>
      </w:r>
      <w:r w:rsidR="00B54D51" w:rsidRPr="00037AD4">
        <w:rPr>
          <w:rFonts w:asciiTheme="minorHAnsi" w:hAnsiTheme="minorHAnsi" w:cstheme="minorHAnsi"/>
        </w:rPr>
        <w:t xml:space="preserve">. However, it has since been discredited, as emphasised by NICE's position statement, there have been concerns raised by an independent quality assessment regarding the data quality and modelling of the value set </w:t>
      </w:r>
      <w:r w:rsidR="00B54D51">
        <w:rPr>
          <w:rFonts w:asciiTheme="minorHAnsi" w:hAnsiTheme="minorHAnsi" w:cstheme="minorHAnsi"/>
          <w:noProof/>
        </w:rPr>
        <w:t>(NICE, 2019b)</w:t>
      </w:r>
      <w:r w:rsidR="00B54D51" w:rsidRPr="00037AD4">
        <w:rPr>
          <w:rFonts w:asciiTheme="minorHAnsi" w:hAnsiTheme="minorHAnsi" w:cstheme="minorHAnsi"/>
        </w:rPr>
        <w:t xml:space="preserve"> </w:t>
      </w:r>
      <w:r w:rsidR="00B54D51">
        <w:rPr>
          <w:rFonts w:asciiTheme="minorHAnsi" w:hAnsiTheme="minorHAnsi" w:cstheme="minorHAnsi"/>
          <w:noProof/>
        </w:rPr>
        <w:t>(Hernández-Alava et al., 2018)</w:t>
      </w:r>
      <w:r w:rsidR="00B54D51" w:rsidRPr="00037AD4">
        <w:rPr>
          <w:rFonts w:asciiTheme="minorHAnsi" w:hAnsiTheme="minorHAnsi" w:cstheme="minorHAnsi"/>
        </w:rPr>
        <w:t>,</w:t>
      </w:r>
      <w:r w:rsidR="00B54D51" w:rsidRPr="00037AD4">
        <w:rPr>
          <w:rFonts w:asciiTheme="minorHAnsi" w:hAnsiTheme="minorHAnsi" w:cstheme="minorHAnsi"/>
          <w:color w:val="FF0000"/>
        </w:rPr>
        <w:t xml:space="preserve"> </w:t>
      </w:r>
      <w:r w:rsidR="00B54D51" w:rsidRPr="00037AD4">
        <w:rPr>
          <w:rFonts w:asciiTheme="minorHAnsi" w:hAnsiTheme="minorHAnsi" w:cstheme="minorHAnsi"/>
        </w:rPr>
        <w:t xml:space="preserve">and it is therefore not currently recommended for use. As an example of </w:t>
      </w:r>
      <w:r w:rsidR="006D168A">
        <w:rPr>
          <w:rFonts w:asciiTheme="minorHAnsi" w:hAnsiTheme="minorHAnsi" w:cstheme="minorHAnsi"/>
        </w:rPr>
        <w:t xml:space="preserve">a </w:t>
      </w:r>
      <w:r w:rsidR="00B54D51" w:rsidRPr="00037AD4">
        <w:rPr>
          <w:rFonts w:asciiTheme="minorHAnsi" w:hAnsiTheme="minorHAnsi" w:cstheme="minorHAnsi"/>
        </w:rPr>
        <w:t xml:space="preserve">future application </w:t>
      </w:r>
      <w:r w:rsidR="006D168A">
        <w:rPr>
          <w:rFonts w:asciiTheme="minorHAnsi" w:hAnsiTheme="minorHAnsi" w:cstheme="minorHAnsi"/>
        </w:rPr>
        <w:t xml:space="preserve">for </w:t>
      </w:r>
      <w:r w:rsidR="00B54D51" w:rsidRPr="00037AD4">
        <w:rPr>
          <w:rFonts w:asciiTheme="minorHAnsi" w:hAnsiTheme="minorHAnsi" w:cstheme="minorHAnsi"/>
        </w:rPr>
        <w:t xml:space="preserve">when an approved EQ-5D-5L value set becomes available, utility calculations have been conducted using the Devlin 2018 EQ-5D-5L value set for England and are presented within </w:t>
      </w:r>
      <w:hyperlink w:anchor="_Appendix_6.5_Utility" w:history="1">
        <w:r w:rsidR="00B54D51" w:rsidRPr="006D168A">
          <w:rPr>
            <w:rStyle w:val="Hyperlink"/>
            <w:rFonts w:asciiTheme="minorHAnsi" w:hAnsiTheme="minorHAnsi" w:cstheme="minorHAnsi"/>
            <w:color w:val="000000" w:themeColor="text1"/>
            <w:u w:val="none"/>
          </w:rPr>
          <w:t>Appendix 6.5.</w:t>
        </w:r>
        <w:r w:rsidR="00B54D51" w:rsidRPr="006D168A">
          <w:rPr>
            <w:rStyle w:val="Hyperlink"/>
            <w:rFonts w:asciiTheme="minorHAnsi" w:hAnsiTheme="minorHAnsi" w:cstheme="minorHAnsi"/>
            <w:color w:val="000000" w:themeColor="text1"/>
          </w:rPr>
          <w:t xml:space="preserve"> </w:t>
        </w:r>
      </w:hyperlink>
      <w:r w:rsidR="00B54D51" w:rsidRPr="006D168A">
        <w:rPr>
          <w:rFonts w:asciiTheme="minorHAnsi" w:hAnsiTheme="minorHAnsi" w:cstheme="minorHAnsi"/>
          <w:color w:val="000000" w:themeColor="text1"/>
        </w:rPr>
        <w:t xml:space="preserve"> </w:t>
      </w:r>
    </w:p>
    <w:p w14:paraId="79CF4B3B" w14:textId="77777777" w:rsidR="00B54D51" w:rsidRPr="00037AD4" w:rsidRDefault="00B54D51" w:rsidP="001723F3">
      <w:pPr>
        <w:rPr>
          <w:rFonts w:asciiTheme="minorHAnsi" w:hAnsiTheme="minorHAnsi" w:cstheme="minorHAnsi"/>
          <w:color w:val="000000" w:themeColor="text1"/>
        </w:rPr>
      </w:pPr>
    </w:p>
    <w:p w14:paraId="20861AD6" w14:textId="7D51CCD7" w:rsidR="00B54D51" w:rsidRPr="00037AD4" w:rsidRDefault="00B54D51" w:rsidP="006B704F">
      <w:pPr>
        <w:rPr>
          <w:rFonts w:asciiTheme="minorHAnsi" w:hAnsiTheme="minorHAnsi" w:cstheme="minorHAnsi"/>
          <w:color w:val="000000" w:themeColor="text1"/>
        </w:rPr>
      </w:pPr>
      <w:r w:rsidRPr="00037AD4">
        <w:rPr>
          <w:rFonts w:asciiTheme="minorHAnsi" w:hAnsiTheme="minorHAnsi" w:cstheme="minorHAnsi"/>
          <w:color w:val="000000" w:themeColor="text1"/>
        </w:rPr>
        <w:t xml:space="preserve">When using </w:t>
      </w:r>
      <w:r w:rsidRPr="00037AD4">
        <w:rPr>
          <w:rFonts w:asciiTheme="minorHAnsi" w:hAnsiTheme="minorHAnsi" w:cstheme="minorHAnsi"/>
          <w:i/>
          <w:iCs/>
          <w:color w:val="000000" w:themeColor="text1"/>
        </w:rPr>
        <w:t>direct</w:t>
      </w:r>
      <w:r w:rsidRPr="00037AD4">
        <w:rPr>
          <w:rFonts w:asciiTheme="minorHAnsi" w:hAnsiTheme="minorHAnsi" w:cstheme="minorHAnsi"/>
          <w:color w:val="000000" w:themeColor="text1"/>
        </w:rPr>
        <w:t xml:space="preserve"> mapping methods, a caveat to note is that the outputs from any prediction models do not represent raw data but are instead </w:t>
      </w:r>
      <w:r w:rsidRPr="00037AD4">
        <w:rPr>
          <w:rFonts w:asciiTheme="minorHAnsi" w:hAnsiTheme="minorHAnsi" w:cstheme="minorHAnsi"/>
          <w:i/>
          <w:iCs/>
          <w:color w:val="000000" w:themeColor="text1"/>
        </w:rPr>
        <w:t>predictions</w:t>
      </w:r>
      <w:r w:rsidRPr="00037AD4">
        <w:rPr>
          <w:rFonts w:asciiTheme="minorHAnsi" w:hAnsiTheme="minorHAnsi" w:cstheme="minorHAnsi"/>
          <w:color w:val="000000" w:themeColor="text1"/>
        </w:rPr>
        <w:t xml:space="preserve">. This presents challenges when applying mapping techniques to “data” that has already been mapped </w:t>
      </w:r>
      <w:r>
        <w:rPr>
          <w:rFonts w:asciiTheme="minorHAnsi" w:hAnsiTheme="minorHAnsi" w:cstheme="minorHAnsi"/>
          <w:noProof/>
          <w:color w:val="000000" w:themeColor="text1"/>
        </w:rPr>
        <w:t>(Wailoo et al., 2017)</w:t>
      </w:r>
      <w:r w:rsidRPr="00037AD4">
        <w:rPr>
          <w:rFonts w:asciiTheme="minorHAnsi" w:hAnsiTheme="minorHAnsi" w:cstheme="minorHAnsi"/>
          <w:color w:val="000000" w:themeColor="text1"/>
        </w:rPr>
        <w:t xml:space="preserve"> regarding the loss of information such as multimodality, which may have been smoothed via the initial mapping process and reduced variance, which distorts the distribution (this scenario arises when direct mapping methods are applied, and the </w:t>
      </w:r>
      <w:r w:rsidR="00C555A5">
        <w:rPr>
          <w:rFonts w:asciiTheme="minorHAnsi" w:hAnsiTheme="minorHAnsi" w:cstheme="minorHAnsi"/>
          <w:color w:val="000000" w:themeColor="text1"/>
        </w:rPr>
        <w:t>model</w:t>
      </w:r>
      <w:r w:rsidRPr="00037AD4">
        <w:rPr>
          <w:rFonts w:asciiTheme="minorHAnsi" w:hAnsiTheme="minorHAnsi" w:cstheme="minorHAnsi"/>
          <w:color w:val="000000" w:themeColor="text1"/>
        </w:rPr>
        <w:t xml:space="preserve"> is used to estimate utility scores by mapping EQ-5D-5L responses to the EQ-5D-3L value set). However, response mapping operates differently in that instead of attempting to directly predict utility scores for specific health states, response mapping predicts the probability of different response level options, therefore the entire distribution of utility scores is not attempted to be reproduced. In this approach, the challenges related to the distribution of the data becomes less relevant, further justifying the use of response mapping in the absence of an approved EQ-5D-5L value set. </w:t>
      </w:r>
    </w:p>
    <w:p w14:paraId="53C035B8" w14:textId="77777777" w:rsidR="00B54D51" w:rsidRPr="00037AD4" w:rsidRDefault="00B54D51" w:rsidP="001723F3">
      <w:pPr>
        <w:rPr>
          <w:rFonts w:asciiTheme="minorHAnsi" w:hAnsiTheme="minorHAnsi" w:cstheme="minorHAnsi"/>
        </w:rPr>
      </w:pPr>
    </w:p>
    <w:p w14:paraId="0FD9B39B" w14:textId="77777777" w:rsidR="00B54D51" w:rsidRPr="00037AD4" w:rsidRDefault="00B54D51" w:rsidP="001723F3">
      <w:pPr>
        <w:rPr>
          <w:rFonts w:asciiTheme="minorHAnsi" w:hAnsiTheme="minorHAnsi" w:cstheme="minorHAnsi"/>
        </w:rPr>
      </w:pPr>
      <w:r w:rsidRPr="00037AD4">
        <w:rPr>
          <w:rFonts w:asciiTheme="minorHAnsi" w:hAnsiTheme="minorHAnsi" w:cstheme="minorHAnsi"/>
        </w:rPr>
        <w:t>To assess the overall performance of the dimension models combined for utility score generation, the mean observed and mean predicted utility scores were plotted across the distributions of dementia symptom measure scores. For the ACTIFCARE study, these plots were based on MMSE scores. In the absence of a cognitive measure in the EPIC trial, FAST scores (function measure) were used instead. To maintain a degree of comparability, the utility plots were also conducted across the distribution of PSMS scores (another measure of function) for the ACTIFCARE trial.</w:t>
      </w:r>
    </w:p>
    <w:p w14:paraId="2DCBFA08" w14:textId="4615E7EE" w:rsidR="00B54D51" w:rsidRDefault="00B54D51" w:rsidP="001723F3">
      <w:pPr>
        <w:rPr>
          <w:rFonts w:asciiTheme="minorHAnsi" w:hAnsiTheme="minorHAnsi" w:cstheme="minorHAnsi"/>
          <w:b/>
          <w:bCs/>
          <w:sz w:val="26"/>
          <w:szCs w:val="26"/>
          <w:u w:val="single"/>
        </w:rPr>
      </w:pPr>
    </w:p>
    <w:p w14:paraId="2AF272E8" w14:textId="77777777" w:rsidR="00E90D97" w:rsidRDefault="00E90D97" w:rsidP="001723F3">
      <w:pPr>
        <w:rPr>
          <w:rFonts w:asciiTheme="minorHAnsi" w:hAnsiTheme="minorHAnsi" w:cstheme="minorHAnsi"/>
          <w:b/>
          <w:bCs/>
          <w:sz w:val="26"/>
          <w:szCs w:val="26"/>
          <w:u w:val="single"/>
        </w:rPr>
      </w:pPr>
    </w:p>
    <w:p w14:paraId="34E34E00" w14:textId="77777777" w:rsidR="00D75792" w:rsidRPr="00037AD4" w:rsidRDefault="00D75792" w:rsidP="001723F3">
      <w:pPr>
        <w:rPr>
          <w:rFonts w:asciiTheme="minorHAnsi" w:hAnsiTheme="minorHAnsi" w:cstheme="minorHAnsi"/>
          <w:b/>
          <w:bCs/>
          <w:sz w:val="26"/>
          <w:szCs w:val="26"/>
          <w:u w:val="single"/>
        </w:rPr>
      </w:pPr>
    </w:p>
    <w:p w14:paraId="0543CBA4" w14:textId="77777777" w:rsidR="00B54D51" w:rsidRPr="00037AD4" w:rsidRDefault="00B54D51" w:rsidP="007A43F9">
      <w:pPr>
        <w:pStyle w:val="Heading2"/>
      </w:pPr>
      <w:bookmarkStart w:id="399" w:name="_Toc175742353"/>
      <w:r w:rsidRPr="00037AD4">
        <w:lastRenderedPageBreak/>
        <w:t>6.4 Results</w:t>
      </w:r>
      <w:bookmarkEnd w:id="399"/>
      <w:r w:rsidRPr="00037AD4">
        <w:t xml:space="preserve"> </w:t>
      </w:r>
    </w:p>
    <w:p w14:paraId="14E8180A" w14:textId="77777777" w:rsidR="00B54D51" w:rsidRPr="00037AD4" w:rsidRDefault="00B54D51" w:rsidP="001723F3">
      <w:pPr>
        <w:rPr>
          <w:rFonts w:asciiTheme="minorHAnsi" w:hAnsiTheme="minorHAnsi" w:cstheme="minorHAnsi"/>
        </w:rPr>
      </w:pPr>
    </w:p>
    <w:p w14:paraId="26EEF9B9" w14:textId="5F742196" w:rsidR="00B54D51" w:rsidRPr="00037AD4" w:rsidRDefault="00B54D51" w:rsidP="00512D4E">
      <w:pPr>
        <w:rPr>
          <w:rFonts w:asciiTheme="minorHAnsi" w:hAnsiTheme="minorHAnsi" w:cstheme="minorHAnsi"/>
          <w:color w:val="000000" w:themeColor="text1"/>
        </w:rPr>
      </w:pPr>
      <w:r w:rsidRPr="00037AD4">
        <w:rPr>
          <w:rFonts w:asciiTheme="minorHAnsi" w:hAnsiTheme="minorHAnsi" w:cstheme="minorHAnsi"/>
          <w:color w:val="000000" w:themeColor="text1"/>
        </w:rPr>
        <w:t>The following section presents the results of</w:t>
      </w:r>
      <w:r w:rsidR="00E90D97">
        <w:rPr>
          <w:rFonts w:asciiTheme="minorHAnsi" w:hAnsiTheme="minorHAnsi" w:cstheme="minorHAnsi"/>
          <w:color w:val="000000" w:themeColor="text1"/>
        </w:rPr>
        <w:t xml:space="preserve"> the</w:t>
      </w:r>
      <w:r w:rsidRPr="00037AD4">
        <w:rPr>
          <w:rFonts w:asciiTheme="minorHAnsi" w:hAnsiTheme="minorHAnsi" w:cstheme="minorHAnsi"/>
          <w:color w:val="000000" w:themeColor="text1"/>
        </w:rPr>
        <w:t xml:space="preserve"> mapping analyses applied by EQ-5D dimension. </w:t>
      </w:r>
    </w:p>
    <w:p w14:paraId="38EEE9A0" w14:textId="77777777" w:rsidR="00B54D51" w:rsidRPr="00037AD4" w:rsidRDefault="00B54D51" w:rsidP="00512D4E">
      <w:pPr>
        <w:rPr>
          <w:rFonts w:asciiTheme="minorHAnsi" w:hAnsiTheme="minorHAnsi" w:cstheme="minorHAnsi"/>
          <w:color w:val="000000" w:themeColor="text1"/>
        </w:rPr>
      </w:pPr>
    </w:p>
    <w:p w14:paraId="40857A8A" w14:textId="77777777" w:rsidR="00B54D51" w:rsidRPr="00037AD4" w:rsidRDefault="00B54D51" w:rsidP="007A43F9">
      <w:pPr>
        <w:pStyle w:val="Heading3"/>
      </w:pPr>
      <w:bookmarkStart w:id="400" w:name="_Toc175742354"/>
      <w:r w:rsidRPr="00037AD4">
        <w:t>6.4.1 Mapping to the “mobility” dimension</w:t>
      </w:r>
      <w:bookmarkEnd w:id="400"/>
      <w:r w:rsidRPr="00037AD4">
        <w:t xml:space="preserve">  </w:t>
      </w:r>
    </w:p>
    <w:p w14:paraId="5BBACAAF" w14:textId="77777777" w:rsidR="00B54D51" w:rsidRPr="00037AD4" w:rsidRDefault="00B54D51" w:rsidP="00B201EF">
      <w:pPr>
        <w:rPr>
          <w:rFonts w:asciiTheme="minorHAnsi" w:hAnsiTheme="minorHAnsi" w:cstheme="minorHAnsi"/>
          <w:b/>
          <w:bCs/>
          <w:sz w:val="26"/>
          <w:szCs w:val="26"/>
          <w:u w:val="single"/>
        </w:rPr>
      </w:pPr>
    </w:p>
    <w:p w14:paraId="27FE9183" w14:textId="77777777" w:rsidR="00B54D51" w:rsidRPr="00037AD4" w:rsidRDefault="00B54D51" w:rsidP="00A978C8">
      <w:pPr>
        <w:rPr>
          <w:rFonts w:asciiTheme="minorHAnsi" w:hAnsiTheme="minorHAnsi" w:cstheme="minorHAnsi"/>
          <w:b/>
          <w:bCs/>
          <w:color w:val="000000" w:themeColor="text1"/>
          <w:u w:val="single"/>
        </w:rPr>
      </w:pPr>
      <w:r w:rsidRPr="00037AD4">
        <w:rPr>
          <w:rFonts w:asciiTheme="minorHAnsi" w:hAnsiTheme="minorHAnsi" w:cstheme="minorHAnsi"/>
        </w:rPr>
        <w:t xml:space="preserve">The following section presents the results for mapping to the “mobility” dimension of EQ-5D. As established in Chapter 5, the target respondent for “mobility” differed between the trials, with the target being the PwD for ACTIFCARE and the staff proxy for EPIC. According to the methodologies previously outlined, various model iterations were conducted to arrive with the finalised models. The regression outputs for these model iterations are provided in </w:t>
      </w:r>
      <w:hyperlink w:anchor="A62mob" w:history="1">
        <w:r w:rsidRPr="00E90D97">
          <w:rPr>
            <w:rStyle w:val="Hyperlink"/>
            <w:rFonts w:asciiTheme="minorHAnsi" w:hAnsiTheme="minorHAnsi" w:cstheme="minorHAnsi"/>
            <w:color w:val="000000" w:themeColor="text1"/>
            <w:u w:val="none"/>
          </w:rPr>
          <w:t>Appendix 6.2</w:t>
        </w:r>
      </w:hyperlink>
      <w:r w:rsidRPr="00E90D97">
        <w:rPr>
          <w:rFonts w:asciiTheme="minorHAnsi" w:hAnsiTheme="minorHAnsi" w:cstheme="minorHAnsi"/>
          <w:color w:val="000000" w:themeColor="text1"/>
        </w:rPr>
        <w:t xml:space="preserve">, </w:t>
      </w:r>
      <w:r w:rsidRPr="00037AD4">
        <w:rPr>
          <w:rFonts w:asciiTheme="minorHAnsi" w:hAnsiTheme="minorHAnsi" w:cstheme="minorHAnsi"/>
        </w:rPr>
        <w:t xml:space="preserve">as </w:t>
      </w:r>
      <w:r w:rsidRPr="00037AD4">
        <w:rPr>
          <w:rFonts w:asciiTheme="minorHAnsi" w:hAnsiTheme="minorHAnsi" w:cstheme="minorHAnsi"/>
          <w:color w:val="000000" w:themeColor="text1"/>
        </w:rPr>
        <w:t xml:space="preserve">well as a summary table of the coefficients of the final selected models for both datasets. </w:t>
      </w:r>
    </w:p>
    <w:p w14:paraId="6C2124AE" w14:textId="77777777" w:rsidR="00B54D51" w:rsidRPr="00037AD4" w:rsidRDefault="00B54D51" w:rsidP="00781965">
      <w:pPr>
        <w:rPr>
          <w:rFonts w:asciiTheme="minorHAnsi" w:hAnsiTheme="minorHAnsi" w:cstheme="minorHAnsi"/>
          <w:b/>
          <w:bCs/>
          <w:sz w:val="26"/>
          <w:szCs w:val="26"/>
          <w:u w:val="single"/>
        </w:rPr>
      </w:pPr>
    </w:p>
    <w:p w14:paraId="4E891C19" w14:textId="77777777" w:rsidR="00B54D51" w:rsidRPr="00037AD4" w:rsidRDefault="00B54D51" w:rsidP="00A978C8">
      <w:pPr>
        <w:rPr>
          <w:rFonts w:asciiTheme="minorHAnsi" w:hAnsiTheme="minorHAnsi" w:cstheme="minorHAnsi"/>
          <w:b/>
          <w:bCs/>
          <w:color w:val="000000" w:themeColor="text1"/>
          <w:sz w:val="26"/>
          <w:szCs w:val="26"/>
          <w:u w:val="single"/>
        </w:rPr>
      </w:pPr>
      <w:r w:rsidRPr="00037AD4">
        <w:rPr>
          <w:rFonts w:asciiTheme="minorHAnsi" w:hAnsiTheme="minorHAnsi" w:cstheme="minorHAnsi"/>
          <w:b/>
          <w:bCs/>
          <w:color w:val="000000" w:themeColor="text1"/>
          <w:sz w:val="26"/>
          <w:szCs w:val="26"/>
          <w:u w:val="single"/>
        </w:rPr>
        <w:t xml:space="preserve">6.4.1.1 Marginal effects of the final selected models: EQ-5D Mobility </w:t>
      </w:r>
    </w:p>
    <w:p w14:paraId="7D07D2B4" w14:textId="77777777" w:rsidR="00B54D51" w:rsidRPr="00037AD4" w:rsidRDefault="00B54D51" w:rsidP="00A978C8">
      <w:pPr>
        <w:rPr>
          <w:rFonts w:asciiTheme="minorHAnsi" w:hAnsiTheme="minorHAnsi" w:cstheme="minorHAnsi"/>
          <w:color w:val="000000" w:themeColor="text1"/>
        </w:rPr>
      </w:pPr>
    </w:p>
    <w:p w14:paraId="302B4B9D" w14:textId="77777777" w:rsidR="00B54D51" w:rsidRPr="00E90D97" w:rsidRDefault="00B54D51" w:rsidP="00A978C8">
      <w:pPr>
        <w:rPr>
          <w:rFonts w:asciiTheme="minorHAnsi" w:hAnsiTheme="minorHAnsi" w:cstheme="minorHAnsi"/>
          <w:color w:val="000000" w:themeColor="text1"/>
        </w:rPr>
      </w:pPr>
      <w:r w:rsidRPr="00037AD4">
        <w:rPr>
          <w:rFonts w:asciiTheme="minorHAnsi" w:hAnsiTheme="minorHAnsi" w:cstheme="minorHAnsi"/>
          <w:color w:val="000000" w:themeColor="text1"/>
        </w:rPr>
        <w:t xml:space="preserve">As highlighted in the methods section, AMEs played a key role in the model iteration and variable selection process, tables for </w:t>
      </w:r>
      <w:r w:rsidRPr="00E90D97">
        <w:rPr>
          <w:rFonts w:asciiTheme="minorHAnsi" w:hAnsiTheme="minorHAnsi" w:cstheme="minorHAnsi"/>
          <w:color w:val="000000" w:themeColor="text1"/>
        </w:rPr>
        <w:t xml:space="preserve">which can be found in </w:t>
      </w:r>
      <w:hyperlink w:anchor="A63mob" w:history="1">
        <w:r w:rsidRPr="00E90D97">
          <w:rPr>
            <w:rStyle w:val="Hyperlink"/>
            <w:rFonts w:asciiTheme="minorHAnsi" w:hAnsiTheme="minorHAnsi" w:cstheme="minorHAnsi"/>
            <w:color w:val="000000" w:themeColor="text1"/>
            <w:u w:val="none"/>
          </w:rPr>
          <w:t>Appendix 6.3</w:t>
        </w:r>
      </w:hyperlink>
      <w:r w:rsidRPr="00E90D97">
        <w:rPr>
          <w:rFonts w:asciiTheme="minorHAnsi" w:hAnsiTheme="minorHAnsi" w:cstheme="minorHAnsi"/>
          <w:color w:val="000000" w:themeColor="text1"/>
        </w:rPr>
        <w:t xml:space="preserve">. The main independent variable of interest is the “mobility” dimension report that is used to predict the corresponding “mobility” report of the other target respondent. Therefore, due to their intuitive and focused nature, predictive margins of the variable of interest are reported and examined from the final selected model; these have been graphically presented – however full tables are also provided in </w:t>
      </w:r>
      <w:hyperlink w:anchor="A63mob" w:history="1">
        <w:r w:rsidRPr="00E90D97">
          <w:rPr>
            <w:rStyle w:val="Hyperlink"/>
            <w:rFonts w:asciiTheme="minorHAnsi" w:hAnsiTheme="minorHAnsi" w:cstheme="minorHAnsi"/>
            <w:color w:val="000000" w:themeColor="text1"/>
            <w:u w:val="none"/>
          </w:rPr>
          <w:t>Appendix 6.3.</w:t>
        </w:r>
      </w:hyperlink>
      <w:r w:rsidRPr="00E90D97">
        <w:rPr>
          <w:rFonts w:asciiTheme="minorHAnsi" w:hAnsiTheme="minorHAnsi" w:cstheme="minorHAnsi"/>
          <w:color w:val="000000" w:themeColor="text1"/>
        </w:rPr>
        <w:t xml:space="preserve"> </w:t>
      </w:r>
    </w:p>
    <w:p w14:paraId="08008235" w14:textId="77777777" w:rsidR="00B54D51" w:rsidRPr="00E90D97" w:rsidRDefault="00B54D51" w:rsidP="00A978C8">
      <w:pPr>
        <w:rPr>
          <w:rFonts w:asciiTheme="minorHAnsi" w:hAnsiTheme="minorHAnsi" w:cstheme="minorHAnsi"/>
          <w:color w:val="000000" w:themeColor="text1"/>
        </w:rPr>
      </w:pPr>
    </w:p>
    <w:p w14:paraId="168FD943" w14:textId="77777777" w:rsidR="00B54D51" w:rsidRPr="00E90D97" w:rsidRDefault="00B54D51" w:rsidP="00A978C8">
      <w:pPr>
        <w:rPr>
          <w:rFonts w:asciiTheme="minorHAnsi" w:hAnsiTheme="minorHAnsi" w:cstheme="minorHAnsi"/>
          <w:color w:val="000000" w:themeColor="text1"/>
        </w:rPr>
      </w:pPr>
      <w:r w:rsidRPr="00E90D97">
        <w:rPr>
          <w:rFonts w:asciiTheme="minorHAnsi" w:hAnsiTheme="minorHAnsi" w:cstheme="minorHAnsi"/>
          <w:color w:val="000000" w:themeColor="text1"/>
        </w:rPr>
        <w:t xml:space="preserve">As the target “mobility” response was different for the two trials, the model’s predictive margins cannot be directly compared. However, it can be seen that for the two datasets, the probability of predicting a level one target response is greatest for level one and two predictor responses, whereby the 95% confidence intervals do not overlap with the probabilities of predicting any other levels. </w:t>
      </w:r>
    </w:p>
    <w:p w14:paraId="278EA70C" w14:textId="77777777" w:rsidR="00B54D51" w:rsidRPr="00E90D97" w:rsidRDefault="00B54D51" w:rsidP="00A978C8">
      <w:pPr>
        <w:rPr>
          <w:rFonts w:asciiTheme="minorHAnsi" w:hAnsiTheme="minorHAnsi" w:cstheme="minorHAnsi"/>
          <w:color w:val="000000" w:themeColor="text1"/>
        </w:rPr>
      </w:pPr>
    </w:p>
    <w:p w14:paraId="26AB4AAE" w14:textId="77777777" w:rsidR="00B54D51" w:rsidRPr="00037AD4" w:rsidRDefault="00B54D51" w:rsidP="00A978C8">
      <w:pPr>
        <w:rPr>
          <w:rFonts w:asciiTheme="minorHAnsi" w:hAnsiTheme="minorHAnsi" w:cstheme="minorHAnsi"/>
        </w:rPr>
      </w:pPr>
      <w:r w:rsidRPr="00E90D97">
        <w:rPr>
          <w:rFonts w:asciiTheme="minorHAnsi" w:hAnsiTheme="minorHAnsi" w:cstheme="minorHAnsi"/>
          <w:color w:val="000000" w:themeColor="text1"/>
        </w:rPr>
        <w:t>In ACTIFCARE, level five informal proxy responses correspond with the greatest probability of a level four PwD prediction, however the confidence intervals for the probabilities overlap indicating that they are not statistically significantly different (see Figure 33a). It is important to note that in the ACTIFCARE study, less than 1% of PwD self-rated at level five for this dimension (</w:t>
      </w:r>
      <w:hyperlink w:anchor="TableA6A" w:history="1">
        <w:r w:rsidRPr="00E90D97">
          <w:rPr>
            <w:rStyle w:val="Hyperlink"/>
            <w:rFonts w:asciiTheme="minorHAnsi" w:hAnsiTheme="minorHAnsi" w:cstheme="minorHAnsi"/>
            <w:color w:val="000000" w:themeColor="text1"/>
            <w:u w:val="none"/>
          </w:rPr>
          <w:t>see table A6a</w:t>
        </w:r>
      </w:hyperlink>
      <w:r w:rsidRPr="00E90D97">
        <w:rPr>
          <w:rFonts w:asciiTheme="minorHAnsi" w:hAnsiTheme="minorHAnsi" w:cstheme="minorHAnsi"/>
          <w:color w:val="000000" w:themeColor="text1"/>
        </w:rPr>
        <w:t xml:space="preserve">). This characteristic of the </w:t>
      </w:r>
      <w:r w:rsidRPr="00037AD4">
        <w:rPr>
          <w:rFonts w:asciiTheme="minorHAnsi" w:hAnsiTheme="minorHAnsi" w:cstheme="minorHAnsi"/>
        </w:rPr>
        <w:t>data is therefore mirrored by the probabilities, indicating a reduced likelihood of predicting a level five PwD “mobility” response.</w:t>
      </w:r>
    </w:p>
    <w:p w14:paraId="145CCE74" w14:textId="77777777" w:rsidR="00B54D51" w:rsidRPr="00037AD4" w:rsidRDefault="00B54D51" w:rsidP="00A978C8">
      <w:pPr>
        <w:rPr>
          <w:rFonts w:asciiTheme="minorHAnsi" w:hAnsiTheme="minorHAnsi" w:cstheme="minorHAnsi"/>
        </w:rPr>
      </w:pPr>
    </w:p>
    <w:p w14:paraId="5AF00C54" w14:textId="23CEB573" w:rsidR="00E90D97" w:rsidRPr="00E90D97" w:rsidRDefault="00B54D51" w:rsidP="00781965">
      <w:pPr>
        <w:rPr>
          <w:rFonts w:asciiTheme="minorHAnsi" w:hAnsiTheme="minorHAnsi" w:cstheme="minorHAnsi"/>
        </w:rPr>
      </w:pPr>
      <w:r w:rsidRPr="00037AD4">
        <w:rPr>
          <w:rFonts w:asciiTheme="minorHAnsi" w:hAnsiTheme="minorHAnsi" w:cstheme="minorHAnsi"/>
          <w:color w:val="000000" w:themeColor="text1"/>
        </w:rPr>
        <w:t xml:space="preserve">For the EPIC data, where staff proxy responses are predicted as a function of PwD “mobility” scores, the probability of predicting level five responses is greatest at both level four and five PwD responses. The confidence intervals also do not overlap with those of any of the other probabilities – indicating the distinct significance of these probabilities. </w:t>
      </w:r>
      <w:r w:rsidRPr="00037AD4">
        <w:rPr>
          <w:rFonts w:asciiTheme="minorHAnsi" w:hAnsiTheme="minorHAnsi" w:cstheme="minorHAnsi"/>
        </w:rPr>
        <w:t xml:space="preserve">A third of staff proxies provided a level five rating for this dimension, and the predictive margins displayed in Figure 33b are reflective of this higher likelihood of an “extreme problems” response for proxy-reports (when compared with the ACTIFCARE data). </w:t>
      </w:r>
    </w:p>
    <w:p w14:paraId="6713ED3B" w14:textId="77777777" w:rsidR="00B54D51" w:rsidRPr="00037AD4" w:rsidRDefault="00B54D51" w:rsidP="00A978C8">
      <w:pPr>
        <w:rPr>
          <w:rFonts w:asciiTheme="minorHAnsi" w:hAnsiTheme="minorHAnsi" w:cstheme="minorHAnsi"/>
          <w:b/>
          <w:bCs/>
          <w:i/>
          <w:iCs/>
          <w:color w:val="000000" w:themeColor="text1"/>
        </w:rPr>
      </w:pPr>
      <w:r w:rsidRPr="00037AD4">
        <w:rPr>
          <w:rFonts w:asciiTheme="minorHAnsi" w:hAnsiTheme="minorHAnsi" w:cstheme="minorHAnsi"/>
          <w:b/>
          <w:bCs/>
          <w:i/>
          <w:iCs/>
          <w:color w:val="000000" w:themeColor="text1"/>
        </w:rPr>
        <w:lastRenderedPageBreak/>
        <w:t xml:space="preserve">Figure 33a, “Mobility” predictive margins for ACTIFCARE data </w:t>
      </w:r>
    </w:p>
    <w:p w14:paraId="0280D85D" w14:textId="77777777" w:rsidR="00B54D51" w:rsidRPr="00037AD4" w:rsidRDefault="00B54D51" w:rsidP="00A978C8">
      <w:pPr>
        <w:rPr>
          <w:rFonts w:asciiTheme="minorHAnsi" w:hAnsiTheme="minorHAnsi" w:cstheme="minorHAnsi"/>
          <w:color w:val="000000" w:themeColor="text1"/>
        </w:rPr>
      </w:pPr>
    </w:p>
    <w:p w14:paraId="23F918CA" w14:textId="55E3D81D" w:rsidR="00B54D51" w:rsidRPr="00037AD4" w:rsidRDefault="00830480" w:rsidP="00A978C8">
      <w:pPr>
        <w:rPr>
          <w:rFonts w:asciiTheme="minorHAnsi" w:hAnsiTheme="minorHAnsi" w:cstheme="minorHAnsi"/>
          <w:color w:val="000000" w:themeColor="text1"/>
        </w:rPr>
      </w:pPr>
      <w:r w:rsidRPr="00037AD4">
        <w:rPr>
          <w:rFonts w:asciiTheme="minorHAnsi" w:hAnsiTheme="minorHAnsi" w:cstheme="minorHAnsi"/>
          <w:noProof/>
          <w:color w:val="000000" w:themeColor="text1"/>
          <w:lang w:eastAsia="zh-CN"/>
        </w:rPr>
        <w:drawing>
          <wp:inline distT="0" distB="0" distL="0" distR="0" wp14:anchorId="20E6B9A9" wp14:editId="53386D24">
            <wp:extent cx="3960000" cy="2880000"/>
            <wp:effectExtent l="0" t="0" r="2540" b="3175"/>
            <wp:docPr id="40" name="Picture 40" descr="A graph of a number of individuals with numbers and lines&#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Picture 8" descr="A graph of a number of individuals with numbers and lines&#10;&#10;Description automatically generated with medium confidenc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960000" cy="2880000"/>
                    </a:xfrm>
                    <a:prstGeom prst="rect">
                      <a:avLst/>
                    </a:prstGeom>
                  </pic:spPr>
                </pic:pic>
              </a:graphicData>
            </a:graphic>
          </wp:inline>
        </w:drawing>
      </w:r>
    </w:p>
    <w:p w14:paraId="2638CF49" w14:textId="77777777" w:rsidR="00B54D51" w:rsidRPr="00037AD4" w:rsidRDefault="00B54D51" w:rsidP="00A978C8">
      <w:pPr>
        <w:rPr>
          <w:rFonts w:asciiTheme="minorHAnsi" w:hAnsiTheme="minorHAnsi" w:cstheme="minorHAnsi"/>
          <w:color w:val="000000" w:themeColor="text1"/>
        </w:rPr>
      </w:pPr>
    </w:p>
    <w:p w14:paraId="6C74DC17" w14:textId="77777777" w:rsidR="00B54D51" w:rsidRPr="00037AD4" w:rsidRDefault="00B54D51" w:rsidP="00A978C8">
      <w:pPr>
        <w:rPr>
          <w:rFonts w:asciiTheme="minorHAnsi" w:hAnsiTheme="minorHAnsi" w:cstheme="minorHAnsi"/>
          <w:b/>
          <w:bCs/>
          <w:i/>
          <w:iCs/>
          <w:color w:val="000000" w:themeColor="text1"/>
        </w:rPr>
      </w:pPr>
      <w:r w:rsidRPr="00037AD4">
        <w:rPr>
          <w:rFonts w:asciiTheme="minorHAnsi" w:hAnsiTheme="minorHAnsi" w:cstheme="minorHAnsi"/>
          <w:b/>
          <w:bCs/>
          <w:i/>
          <w:iCs/>
          <w:color w:val="000000" w:themeColor="text1"/>
        </w:rPr>
        <w:t xml:space="preserve">Figure 33b, “Mobility” predictive margins for EPIC data </w:t>
      </w:r>
    </w:p>
    <w:p w14:paraId="5A2C3D83" w14:textId="77777777" w:rsidR="00B54D51" w:rsidRPr="00037AD4" w:rsidRDefault="00B54D51" w:rsidP="00A978C8">
      <w:pPr>
        <w:rPr>
          <w:rFonts w:asciiTheme="minorHAnsi" w:hAnsiTheme="minorHAnsi" w:cstheme="minorHAnsi"/>
          <w:color w:val="000000" w:themeColor="text1"/>
        </w:rPr>
      </w:pPr>
    </w:p>
    <w:p w14:paraId="6E40BECD" w14:textId="355E602A" w:rsidR="00B54D51" w:rsidRPr="00037AD4" w:rsidRDefault="00830480" w:rsidP="00A978C8">
      <w:pPr>
        <w:rPr>
          <w:rFonts w:asciiTheme="minorHAnsi" w:hAnsiTheme="minorHAnsi" w:cstheme="minorHAnsi"/>
          <w:color w:val="FF0000"/>
        </w:rPr>
      </w:pPr>
      <w:r w:rsidRPr="00037AD4">
        <w:rPr>
          <w:rFonts w:asciiTheme="minorHAnsi" w:hAnsiTheme="minorHAnsi" w:cstheme="minorHAnsi"/>
          <w:noProof/>
          <w:color w:val="FF0000"/>
          <w:lang w:eastAsia="zh-CN"/>
        </w:rPr>
        <w:drawing>
          <wp:inline distT="0" distB="0" distL="0" distR="0" wp14:anchorId="009C05B3" wp14:editId="34E01D11">
            <wp:extent cx="3960000" cy="2880000"/>
            <wp:effectExtent l="0" t="0" r="2540" b="3175"/>
            <wp:docPr id="43" name="Picture 43" descr="A graph of a number of individuals with numbers and lines&#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Picture 42" descr="A graph of a number of individuals with numbers and lines&#10;&#10;Description automatically generated with medium confidence"/>
                    <pic:cNvPicPr/>
                  </pic:nvPicPr>
                  <pic:blipFill>
                    <a:blip r:embed="rId70">
                      <a:extLst>
                        <a:ext uri="{28A0092B-C50C-407E-A947-70E740481C1C}">
                          <a14:useLocalDpi xmlns:a14="http://schemas.microsoft.com/office/drawing/2010/main" val="0"/>
                        </a:ext>
                      </a:extLst>
                    </a:blip>
                    <a:stretch>
                      <a:fillRect/>
                    </a:stretch>
                  </pic:blipFill>
                  <pic:spPr>
                    <a:xfrm>
                      <a:off x="0" y="0"/>
                      <a:ext cx="3960000" cy="2880000"/>
                    </a:xfrm>
                    <a:prstGeom prst="rect">
                      <a:avLst/>
                    </a:prstGeom>
                  </pic:spPr>
                </pic:pic>
              </a:graphicData>
            </a:graphic>
          </wp:inline>
        </w:drawing>
      </w:r>
    </w:p>
    <w:p w14:paraId="44E4B41C" w14:textId="77777777" w:rsidR="00B54D51" w:rsidRPr="00037AD4" w:rsidRDefault="00B54D51" w:rsidP="00781965">
      <w:pPr>
        <w:rPr>
          <w:rFonts w:asciiTheme="minorHAnsi" w:hAnsiTheme="minorHAnsi" w:cstheme="minorHAnsi"/>
          <w:b/>
          <w:bCs/>
          <w:sz w:val="26"/>
          <w:szCs w:val="26"/>
          <w:u w:val="single"/>
        </w:rPr>
      </w:pPr>
    </w:p>
    <w:p w14:paraId="14DE76E8" w14:textId="77777777" w:rsidR="00B54D51" w:rsidRPr="00037AD4" w:rsidRDefault="00B54D51" w:rsidP="00A978C8">
      <w:pPr>
        <w:rPr>
          <w:rFonts w:asciiTheme="minorHAnsi" w:hAnsiTheme="minorHAnsi" w:cstheme="minorHAnsi"/>
          <w:b/>
          <w:bCs/>
          <w:sz w:val="26"/>
          <w:szCs w:val="26"/>
          <w:u w:val="single"/>
        </w:rPr>
      </w:pPr>
      <w:r w:rsidRPr="00037AD4">
        <w:rPr>
          <w:rFonts w:asciiTheme="minorHAnsi" w:hAnsiTheme="minorHAnsi" w:cstheme="minorHAnsi"/>
          <w:b/>
          <w:bCs/>
          <w:sz w:val="26"/>
          <w:szCs w:val="26"/>
          <w:u w:val="single"/>
        </w:rPr>
        <w:t xml:space="preserve">6.4.1.2 Marginal effects of the additional model variables: EQ-5D-5L Mobility </w:t>
      </w:r>
    </w:p>
    <w:p w14:paraId="358468DD" w14:textId="77777777" w:rsidR="00B54D51" w:rsidRPr="00037AD4" w:rsidRDefault="00B54D51" w:rsidP="00A978C8">
      <w:pPr>
        <w:rPr>
          <w:rFonts w:asciiTheme="minorHAnsi" w:hAnsiTheme="minorHAnsi" w:cstheme="minorHAnsi"/>
        </w:rPr>
      </w:pPr>
    </w:p>
    <w:p w14:paraId="33B7C42C" w14:textId="77777777" w:rsidR="00B54D51" w:rsidRPr="00037AD4" w:rsidRDefault="00B54D51" w:rsidP="00A978C8">
      <w:pPr>
        <w:rPr>
          <w:rFonts w:asciiTheme="minorHAnsi" w:hAnsiTheme="minorHAnsi" w:cstheme="minorHAnsi"/>
        </w:rPr>
      </w:pPr>
      <w:r w:rsidRPr="00037AD4">
        <w:rPr>
          <w:rFonts w:asciiTheme="minorHAnsi" w:hAnsiTheme="minorHAnsi" w:cstheme="minorHAnsi"/>
        </w:rPr>
        <w:t xml:space="preserve">The following section refers to the AME outputs for the final selected “mobility” dimension models for both trials, aiming to highlight any similarities and differences observed between </w:t>
      </w:r>
      <w:r w:rsidRPr="00E90D97">
        <w:rPr>
          <w:rFonts w:asciiTheme="minorHAnsi" w:hAnsiTheme="minorHAnsi" w:cstheme="minorHAnsi"/>
          <w:color w:val="000000" w:themeColor="text1"/>
        </w:rPr>
        <w:t xml:space="preserve">them </w:t>
      </w:r>
      <w:hyperlink w:anchor="A63mob" w:history="1">
        <w:r w:rsidRPr="00E90D97">
          <w:rPr>
            <w:rStyle w:val="Hyperlink"/>
            <w:rFonts w:asciiTheme="minorHAnsi" w:hAnsiTheme="minorHAnsi" w:cstheme="minorHAnsi"/>
            <w:color w:val="000000" w:themeColor="text1"/>
            <w:u w:val="none"/>
          </w:rPr>
          <w:t>(see Tables A6.3a - A6.3d in Appendix 6.3).</w:t>
        </w:r>
      </w:hyperlink>
      <w:r w:rsidRPr="00E90D97">
        <w:rPr>
          <w:rFonts w:asciiTheme="minorHAnsi" w:hAnsiTheme="minorHAnsi" w:cstheme="minorHAnsi"/>
          <w:color w:val="000000" w:themeColor="text1"/>
        </w:rPr>
        <w:t xml:space="preserve"> </w:t>
      </w:r>
    </w:p>
    <w:p w14:paraId="2BED9651" w14:textId="77777777" w:rsidR="00B54D51" w:rsidRPr="00037AD4" w:rsidRDefault="00B54D51" w:rsidP="00A978C8">
      <w:pPr>
        <w:rPr>
          <w:rFonts w:asciiTheme="minorHAnsi" w:hAnsiTheme="minorHAnsi" w:cstheme="minorHAnsi"/>
        </w:rPr>
      </w:pPr>
    </w:p>
    <w:p w14:paraId="54AC5C18" w14:textId="77777777" w:rsidR="00B54D51" w:rsidRPr="00E90D97" w:rsidRDefault="00B54D51" w:rsidP="00A978C8">
      <w:pPr>
        <w:rPr>
          <w:rFonts w:asciiTheme="minorHAnsi" w:hAnsiTheme="minorHAnsi" w:cstheme="minorHAnsi"/>
        </w:rPr>
      </w:pPr>
      <w:r w:rsidRPr="00037AD4">
        <w:rPr>
          <w:rFonts w:asciiTheme="minorHAnsi" w:hAnsiTheme="minorHAnsi" w:cstheme="minorHAnsi"/>
        </w:rPr>
        <w:t xml:space="preserve">The functional measures collected by the two studies were different, however the AMEs for the function variables are mainly statistically significant for both models, whereby the changes in probabilities increase and decrease across the “mobility” levels for the EPIC and ACTIFCARE datasets respectively (according to the function measure’s scoring mechanism). </w:t>
      </w:r>
      <w:r w:rsidRPr="00037AD4">
        <w:rPr>
          <w:rFonts w:asciiTheme="minorHAnsi" w:hAnsiTheme="minorHAnsi" w:cstheme="minorHAnsi"/>
        </w:rPr>
        <w:lastRenderedPageBreak/>
        <w:t xml:space="preserve">The AMEs for MMSE observed with the ACTIFCARE data are statistically significant across the prediction levels, but do not show a clear pattern in terms of their magnitude, whereby </w:t>
      </w:r>
      <w:r w:rsidRPr="00E90D97">
        <w:rPr>
          <w:rFonts w:asciiTheme="minorHAnsi" w:hAnsiTheme="minorHAnsi" w:cstheme="minorHAnsi"/>
        </w:rPr>
        <w:t xml:space="preserve">the </w:t>
      </w:r>
      <w:r w:rsidRPr="00E90D97">
        <w:rPr>
          <w:rFonts w:asciiTheme="minorHAnsi" w:hAnsiTheme="minorHAnsi" w:cstheme="minorHAnsi"/>
          <w:color w:val="000000" w:themeColor="text1"/>
        </w:rPr>
        <w:t>largest impact is associated with level 3 PwD predictions. The model coefficients for PwD age are statistically significant for both trials (</w:t>
      </w:r>
      <w:hyperlink w:anchor="TABLEA62C" w:history="1">
        <w:r w:rsidRPr="00E90D97">
          <w:rPr>
            <w:rStyle w:val="Hyperlink"/>
            <w:rFonts w:asciiTheme="minorHAnsi" w:hAnsiTheme="minorHAnsi" w:cstheme="minorHAnsi"/>
            <w:color w:val="000000" w:themeColor="text1"/>
            <w:u w:val="none"/>
          </w:rPr>
          <w:t>see summary Table A6.2c, in Appendix 6.2</w:t>
        </w:r>
      </w:hyperlink>
      <w:r w:rsidRPr="00E90D97">
        <w:rPr>
          <w:rFonts w:asciiTheme="minorHAnsi" w:hAnsiTheme="minorHAnsi" w:cstheme="minorHAnsi"/>
          <w:color w:val="000000" w:themeColor="text1"/>
        </w:rPr>
        <w:t xml:space="preserve">), however the AMEs associated with PwD age are negligible. The same is true for PwD sex, however both of these demographic variables have been retained because they provide the models with context regarding the PwD, they impact model fit statistics positively and they enable consistency across the models in terms of the measures included – therefore allowing for more direct comparisons and potential for pooled analyses. </w:t>
      </w:r>
    </w:p>
    <w:p w14:paraId="7355E72C" w14:textId="77777777" w:rsidR="00B54D51" w:rsidRPr="00037AD4" w:rsidRDefault="00B54D51" w:rsidP="00A978C8">
      <w:pPr>
        <w:rPr>
          <w:rFonts w:asciiTheme="minorHAnsi" w:hAnsiTheme="minorHAnsi" w:cstheme="minorHAnsi"/>
        </w:rPr>
      </w:pPr>
    </w:p>
    <w:p w14:paraId="419276C0" w14:textId="77777777" w:rsidR="00B54D51" w:rsidRPr="00037AD4" w:rsidRDefault="00B54D51" w:rsidP="00A978C8">
      <w:pPr>
        <w:rPr>
          <w:rFonts w:asciiTheme="minorHAnsi" w:hAnsiTheme="minorHAnsi" w:cstheme="minorHAnsi"/>
          <w:b/>
          <w:bCs/>
          <w:sz w:val="26"/>
          <w:szCs w:val="26"/>
          <w:u w:val="single"/>
        </w:rPr>
      </w:pPr>
      <w:r w:rsidRPr="00037AD4">
        <w:rPr>
          <w:rFonts w:asciiTheme="minorHAnsi" w:hAnsiTheme="minorHAnsi" w:cstheme="minorHAnsi"/>
          <w:b/>
          <w:bCs/>
          <w:sz w:val="26"/>
          <w:szCs w:val="26"/>
          <w:u w:val="single"/>
        </w:rPr>
        <w:t xml:space="preserve">6.4.1.3 Observed vs. predicted data: EQ-5D-5L Mobility models </w:t>
      </w:r>
    </w:p>
    <w:p w14:paraId="2AE26FA7" w14:textId="77777777" w:rsidR="00B54D51" w:rsidRPr="00037AD4" w:rsidRDefault="00B54D51" w:rsidP="00A978C8">
      <w:pPr>
        <w:rPr>
          <w:rFonts w:asciiTheme="minorHAnsi" w:hAnsiTheme="minorHAnsi" w:cstheme="minorHAnsi"/>
          <w:b/>
          <w:bCs/>
          <w:u w:val="single"/>
        </w:rPr>
      </w:pPr>
    </w:p>
    <w:p w14:paraId="4BE23395" w14:textId="77777777" w:rsidR="00B54D51" w:rsidRPr="00037AD4" w:rsidRDefault="00B54D51" w:rsidP="00A978C8">
      <w:pPr>
        <w:rPr>
          <w:rFonts w:asciiTheme="minorHAnsi" w:hAnsiTheme="minorHAnsi" w:cstheme="minorHAnsi"/>
        </w:rPr>
      </w:pPr>
      <w:r w:rsidRPr="00037AD4">
        <w:rPr>
          <w:rFonts w:asciiTheme="minorHAnsi" w:hAnsiTheme="minorHAnsi" w:cstheme="minorHAnsi"/>
        </w:rPr>
        <w:t xml:space="preserve">The tables below display the response frequencies for each level of the "mobility" dimension (as provided by the target respondent). They also contain the predicted response frequencies for each level, as derived from the mapping model for each respective trial. As noted in the </w:t>
      </w:r>
      <w:r w:rsidRPr="00E90D97">
        <w:rPr>
          <w:rFonts w:asciiTheme="minorHAnsi" w:hAnsiTheme="minorHAnsi" w:cstheme="minorHAnsi"/>
          <w:color w:val="000000" w:themeColor="text1"/>
        </w:rPr>
        <w:t>methods (</w:t>
      </w:r>
      <w:hyperlink w:anchor="sec636" w:history="1">
        <w:r w:rsidRPr="00E90D97">
          <w:rPr>
            <w:rStyle w:val="Hyperlink"/>
            <w:rFonts w:asciiTheme="minorHAnsi" w:hAnsiTheme="minorHAnsi" w:cstheme="minorHAnsi"/>
            <w:color w:val="000000" w:themeColor="text1"/>
            <w:u w:val="none"/>
          </w:rPr>
          <w:t>see section 6.3.6</w:t>
        </w:r>
      </w:hyperlink>
      <w:r w:rsidRPr="00E90D97">
        <w:rPr>
          <w:rFonts w:asciiTheme="minorHAnsi" w:hAnsiTheme="minorHAnsi" w:cstheme="minorHAnsi"/>
          <w:color w:val="000000" w:themeColor="text1"/>
        </w:rPr>
        <w:t xml:space="preserve">), the </w:t>
      </w:r>
      <w:r w:rsidRPr="00037AD4">
        <w:rPr>
          <w:rFonts w:asciiTheme="minorHAnsi" w:hAnsiTheme="minorHAnsi" w:cstheme="minorHAnsi"/>
        </w:rPr>
        <w:t>ACTIFCARE models were re-run without MMSE to evaluate any impacts upon predictions. As shown in Table 35a below, after removing the MMSE variable, the predictions for levels four and five became more accurate, while the predictions for levels one to three were slightly less precise. Therefore, the impact of removing MMSE from the model is inconclusive.</w:t>
      </w:r>
    </w:p>
    <w:p w14:paraId="3FE1B3C5" w14:textId="77777777" w:rsidR="00B54D51" w:rsidRPr="00037AD4" w:rsidRDefault="00B54D51" w:rsidP="00A978C8">
      <w:pPr>
        <w:rPr>
          <w:rFonts w:asciiTheme="minorHAnsi" w:hAnsiTheme="minorHAnsi" w:cstheme="minorHAnsi"/>
        </w:rPr>
      </w:pPr>
    </w:p>
    <w:p w14:paraId="50BA61D6" w14:textId="77777777" w:rsidR="00B54D51" w:rsidRPr="00037AD4" w:rsidRDefault="00B54D51" w:rsidP="00A978C8">
      <w:pPr>
        <w:rPr>
          <w:rFonts w:asciiTheme="minorHAnsi" w:hAnsiTheme="minorHAnsi" w:cstheme="minorHAnsi"/>
          <w:b/>
          <w:bCs/>
          <w:i/>
          <w:iCs/>
        </w:rPr>
      </w:pPr>
      <w:r w:rsidRPr="00037AD4">
        <w:rPr>
          <w:rFonts w:asciiTheme="minorHAnsi" w:hAnsiTheme="minorHAnsi" w:cstheme="minorHAnsi"/>
          <w:b/>
          <w:bCs/>
          <w:i/>
          <w:iCs/>
        </w:rPr>
        <w:t>Table 35a, Observed vs. predicted data for the “mobility” dimension from the ACTIFCARE study</w:t>
      </w:r>
    </w:p>
    <w:p w14:paraId="19481D58" w14:textId="77777777" w:rsidR="00B54D51" w:rsidRPr="00037AD4" w:rsidRDefault="00B54D51" w:rsidP="00A978C8">
      <w:pPr>
        <w:rPr>
          <w:rFonts w:asciiTheme="minorHAnsi" w:hAnsiTheme="minorHAnsi" w:cstheme="minorHAnsi"/>
          <w:b/>
          <w:bCs/>
          <w:u w:val="single"/>
        </w:rPr>
      </w:pPr>
    </w:p>
    <w:tbl>
      <w:tblPr>
        <w:tblStyle w:val="TableGrid"/>
        <w:tblW w:w="0" w:type="auto"/>
        <w:tblLook w:val="04A0" w:firstRow="1" w:lastRow="0" w:firstColumn="1" w:lastColumn="0" w:noHBand="0" w:noVBand="1"/>
      </w:tblPr>
      <w:tblGrid>
        <w:gridCol w:w="1901"/>
        <w:gridCol w:w="1867"/>
        <w:gridCol w:w="1867"/>
        <w:gridCol w:w="2157"/>
      </w:tblGrid>
      <w:tr w:rsidR="00B54D51" w:rsidRPr="00037AD4" w14:paraId="16794ED8" w14:textId="77777777" w:rsidTr="000202CF">
        <w:tc>
          <w:tcPr>
            <w:tcW w:w="1901" w:type="dxa"/>
          </w:tcPr>
          <w:p w14:paraId="7E9A813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Response options   </w:t>
            </w:r>
          </w:p>
        </w:tc>
        <w:tc>
          <w:tcPr>
            <w:tcW w:w="1867" w:type="dxa"/>
          </w:tcPr>
          <w:p w14:paraId="085B5F44" w14:textId="77777777" w:rsidR="00B54D51" w:rsidRDefault="00B54D51" w:rsidP="00401C67">
            <w:pPr>
              <w:rPr>
                <w:rFonts w:asciiTheme="minorHAnsi" w:hAnsiTheme="minorHAnsi" w:cstheme="minorHAnsi"/>
              </w:rPr>
            </w:pPr>
            <w:r w:rsidRPr="00037AD4">
              <w:rPr>
                <w:rFonts w:asciiTheme="minorHAnsi" w:hAnsiTheme="minorHAnsi" w:cstheme="minorHAnsi"/>
              </w:rPr>
              <w:t>Observed frequency (%)</w:t>
            </w:r>
          </w:p>
          <w:p w14:paraId="3462702C" w14:textId="77777777" w:rsidR="00B54D51" w:rsidRPr="00A94DD6" w:rsidRDefault="00B54D51" w:rsidP="00401C67">
            <w:pPr>
              <w:rPr>
                <w:rFonts w:asciiTheme="minorHAnsi" w:hAnsiTheme="minorHAnsi" w:cstheme="minorHAnsi"/>
                <w:i/>
                <w:iCs/>
                <w:sz w:val="22"/>
                <w:szCs w:val="22"/>
              </w:rPr>
            </w:pPr>
            <w:r w:rsidRPr="00A94DD6">
              <w:rPr>
                <w:rFonts w:asciiTheme="minorHAnsi" w:hAnsiTheme="minorHAnsi" w:cstheme="minorHAnsi"/>
                <w:i/>
                <w:iCs/>
                <w:sz w:val="22"/>
                <w:szCs w:val="22"/>
              </w:rPr>
              <w:t>n=1139</w:t>
            </w:r>
          </w:p>
        </w:tc>
        <w:tc>
          <w:tcPr>
            <w:tcW w:w="1867" w:type="dxa"/>
          </w:tcPr>
          <w:p w14:paraId="3F7611D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Predicted frequency (%)</w:t>
            </w:r>
          </w:p>
          <w:p w14:paraId="2F9828DF" w14:textId="77777777" w:rsidR="00B54D51" w:rsidRDefault="00B54D51" w:rsidP="00401C67">
            <w:pPr>
              <w:rPr>
                <w:rFonts w:asciiTheme="minorHAnsi" w:hAnsiTheme="minorHAnsi" w:cstheme="minorHAnsi"/>
              </w:rPr>
            </w:pPr>
            <w:r w:rsidRPr="00037AD4">
              <w:rPr>
                <w:rFonts w:asciiTheme="minorHAnsi" w:hAnsiTheme="minorHAnsi" w:cstheme="minorHAnsi"/>
              </w:rPr>
              <w:t>(With MMSE)</w:t>
            </w:r>
          </w:p>
          <w:p w14:paraId="7B64C7D4" w14:textId="77777777" w:rsidR="00B54D51" w:rsidRPr="00A94DD6" w:rsidRDefault="00B54D51" w:rsidP="00401C67">
            <w:pPr>
              <w:rPr>
                <w:rFonts w:asciiTheme="minorHAnsi" w:hAnsiTheme="minorHAnsi" w:cstheme="minorHAnsi"/>
                <w:i/>
                <w:iCs/>
                <w:sz w:val="22"/>
                <w:szCs w:val="22"/>
              </w:rPr>
            </w:pPr>
          </w:p>
        </w:tc>
        <w:tc>
          <w:tcPr>
            <w:tcW w:w="2157" w:type="dxa"/>
          </w:tcPr>
          <w:p w14:paraId="6453018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Predicted frequency (%) </w:t>
            </w:r>
          </w:p>
          <w:p w14:paraId="5F6E9F70" w14:textId="77777777" w:rsidR="00B54D51" w:rsidRDefault="00B54D51" w:rsidP="00401C67">
            <w:pPr>
              <w:rPr>
                <w:rFonts w:asciiTheme="minorHAnsi" w:hAnsiTheme="minorHAnsi" w:cstheme="minorHAnsi"/>
              </w:rPr>
            </w:pPr>
            <w:r w:rsidRPr="00037AD4">
              <w:rPr>
                <w:rFonts w:asciiTheme="minorHAnsi" w:hAnsiTheme="minorHAnsi" w:cstheme="minorHAnsi"/>
              </w:rPr>
              <w:t>(Without MMSE)</w:t>
            </w:r>
          </w:p>
          <w:p w14:paraId="31E76E25" w14:textId="77777777" w:rsidR="00B54D51" w:rsidRPr="00A94DD6" w:rsidRDefault="00B54D51" w:rsidP="00401C67">
            <w:pPr>
              <w:rPr>
                <w:rFonts w:asciiTheme="minorHAnsi" w:hAnsiTheme="minorHAnsi" w:cstheme="minorHAnsi"/>
                <w:i/>
                <w:iCs/>
                <w:sz w:val="22"/>
                <w:szCs w:val="22"/>
              </w:rPr>
            </w:pPr>
          </w:p>
        </w:tc>
      </w:tr>
      <w:tr w:rsidR="00B54D51" w:rsidRPr="00037AD4" w14:paraId="2B5EF431" w14:textId="77777777" w:rsidTr="000202CF">
        <w:tc>
          <w:tcPr>
            <w:tcW w:w="1901" w:type="dxa"/>
          </w:tcPr>
          <w:p w14:paraId="46D2804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No problems</w:t>
            </w:r>
          </w:p>
        </w:tc>
        <w:tc>
          <w:tcPr>
            <w:tcW w:w="1867" w:type="dxa"/>
          </w:tcPr>
          <w:p w14:paraId="1490B68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56.28</w:t>
            </w:r>
          </w:p>
        </w:tc>
        <w:tc>
          <w:tcPr>
            <w:tcW w:w="1867" w:type="dxa"/>
          </w:tcPr>
          <w:p w14:paraId="0EB8425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56.81 </w:t>
            </w:r>
          </w:p>
        </w:tc>
        <w:tc>
          <w:tcPr>
            <w:tcW w:w="2157" w:type="dxa"/>
          </w:tcPr>
          <w:p w14:paraId="4DD6253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55.47</w:t>
            </w:r>
          </w:p>
        </w:tc>
      </w:tr>
      <w:tr w:rsidR="00B54D51" w:rsidRPr="00037AD4" w14:paraId="62103021" w14:textId="77777777" w:rsidTr="000202CF">
        <w:tc>
          <w:tcPr>
            <w:tcW w:w="1901" w:type="dxa"/>
          </w:tcPr>
          <w:p w14:paraId="74CAD8A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Slight problems</w:t>
            </w:r>
          </w:p>
        </w:tc>
        <w:tc>
          <w:tcPr>
            <w:tcW w:w="1867" w:type="dxa"/>
          </w:tcPr>
          <w:p w14:paraId="24E5C11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20.46</w:t>
            </w:r>
          </w:p>
        </w:tc>
        <w:tc>
          <w:tcPr>
            <w:tcW w:w="1867" w:type="dxa"/>
          </w:tcPr>
          <w:p w14:paraId="1D2CEA6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20.40</w:t>
            </w:r>
          </w:p>
        </w:tc>
        <w:tc>
          <w:tcPr>
            <w:tcW w:w="2157" w:type="dxa"/>
          </w:tcPr>
          <w:p w14:paraId="5F29CFA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20.23</w:t>
            </w:r>
          </w:p>
        </w:tc>
      </w:tr>
      <w:tr w:rsidR="00B54D51" w:rsidRPr="00037AD4" w14:paraId="4185529E" w14:textId="77777777" w:rsidTr="000202CF">
        <w:tc>
          <w:tcPr>
            <w:tcW w:w="1901" w:type="dxa"/>
          </w:tcPr>
          <w:p w14:paraId="2213428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Moderate problems</w:t>
            </w:r>
          </w:p>
        </w:tc>
        <w:tc>
          <w:tcPr>
            <w:tcW w:w="1867" w:type="dxa"/>
          </w:tcPr>
          <w:p w14:paraId="57EADA2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16.59</w:t>
            </w:r>
          </w:p>
        </w:tc>
        <w:tc>
          <w:tcPr>
            <w:tcW w:w="1867" w:type="dxa"/>
          </w:tcPr>
          <w:p w14:paraId="67C0DA9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17.05</w:t>
            </w:r>
          </w:p>
        </w:tc>
        <w:tc>
          <w:tcPr>
            <w:tcW w:w="2157" w:type="dxa"/>
          </w:tcPr>
          <w:p w14:paraId="6C8EE8C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16.91</w:t>
            </w:r>
          </w:p>
        </w:tc>
      </w:tr>
      <w:tr w:rsidR="00B54D51" w:rsidRPr="00037AD4" w14:paraId="5991615F" w14:textId="77777777" w:rsidTr="000202CF">
        <w:tc>
          <w:tcPr>
            <w:tcW w:w="1901" w:type="dxa"/>
          </w:tcPr>
          <w:p w14:paraId="32BF4AF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Severe problems</w:t>
            </w:r>
          </w:p>
        </w:tc>
        <w:tc>
          <w:tcPr>
            <w:tcW w:w="1867" w:type="dxa"/>
          </w:tcPr>
          <w:p w14:paraId="6FAAEDB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5.97</w:t>
            </w:r>
          </w:p>
        </w:tc>
        <w:tc>
          <w:tcPr>
            <w:tcW w:w="1867" w:type="dxa"/>
          </w:tcPr>
          <w:p w14:paraId="0B6D9FF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5.22</w:t>
            </w:r>
          </w:p>
        </w:tc>
        <w:tc>
          <w:tcPr>
            <w:tcW w:w="2157" w:type="dxa"/>
          </w:tcPr>
          <w:p w14:paraId="079E28D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6.62</w:t>
            </w:r>
          </w:p>
        </w:tc>
      </w:tr>
      <w:tr w:rsidR="00B54D51" w:rsidRPr="00037AD4" w14:paraId="4519DFAE" w14:textId="77777777" w:rsidTr="000202CF">
        <w:tc>
          <w:tcPr>
            <w:tcW w:w="1901" w:type="dxa"/>
          </w:tcPr>
          <w:p w14:paraId="39516C3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Unable to walk </w:t>
            </w:r>
          </w:p>
        </w:tc>
        <w:tc>
          <w:tcPr>
            <w:tcW w:w="1867" w:type="dxa"/>
          </w:tcPr>
          <w:p w14:paraId="03B1CA6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0.70</w:t>
            </w:r>
          </w:p>
        </w:tc>
        <w:tc>
          <w:tcPr>
            <w:tcW w:w="1867" w:type="dxa"/>
          </w:tcPr>
          <w:p w14:paraId="56AFC43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0.52</w:t>
            </w:r>
          </w:p>
        </w:tc>
        <w:tc>
          <w:tcPr>
            <w:tcW w:w="2157" w:type="dxa"/>
          </w:tcPr>
          <w:p w14:paraId="30082FA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0.77</w:t>
            </w:r>
          </w:p>
        </w:tc>
      </w:tr>
    </w:tbl>
    <w:p w14:paraId="0CA6FC44" w14:textId="77777777" w:rsidR="00B54D51" w:rsidRPr="00037AD4" w:rsidRDefault="00B54D51" w:rsidP="00A978C8">
      <w:pPr>
        <w:rPr>
          <w:rFonts w:asciiTheme="minorHAnsi" w:hAnsiTheme="minorHAnsi" w:cstheme="minorHAnsi"/>
          <w:highlight w:val="yellow"/>
        </w:rPr>
      </w:pPr>
    </w:p>
    <w:p w14:paraId="7D287F50" w14:textId="4C13CDA0" w:rsidR="00B54D51" w:rsidRDefault="00B54D51" w:rsidP="00A978C8">
      <w:pPr>
        <w:rPr>
          <w:rFonts w:asciiTheme="minorHAnsi" w:hAnsiTheme="minorHAnsi" w:cstheme="minorHAnsi"/>
        </w:rPr>
      </w:pPr>
      <w:r w:rsidRPr="00037AD4">
        <w:rPr>
          <w:rFonts w:asciiTheme="minorHAnsi" w:hAnsiTheme="minorHAnsi" w:cstheme="minorHAnsi"/>
        </w:rPr>
        <w:t xml:space="preserve">Table 35b of the EPIC trial data shows that there were differences between the observed and predicted frequencies. The predictions tended to overestimate frequencies at levels one to three, while underestimating at level five. </w:t>
      </w:r>
    </w:p>
    <w:p w14:paraId="2EC44C97" w14:textId="3BBB120D" w:rsidR="00E90D97" w:rsidRDefault="00E90D97" w:rsidP="00A978C8">
      <w:pPr>
        <w:rPr>
          <w:rFonts w:asciiTheme="minorHAnsi" w:hAnsiTheme="minorHAnsi" w:cstheme="minorHAnsi"/>
        </w:rPr>
      </w:pPr>
    </w:p>
    <w:p w14:paraId="12B0445B" w14:textId="0F3B236A" w:rsidR="00E90D97" w:rsidRDefault="00E90D97" w:rsidP="00A978C8">
      <w:pPr>
        <w:rPr>
          <w:rFonts w:asciiTheme="minorHAnsi" w:hAnsiTheme="minorHAnsi" w:cstheme="minorHAnsi"/>
        </w:rPr>
      </w:pPr>
    </w:p>
    <w:p w14:paraId="17C7608A" w14:textId="56CF4CFF" w:rsidR="00E90D97" w:rsidRDefault="00E90D97" w:rsidP="00A978C8">
      <w:pPr>
        <w:rPr>
          <w:rFonts w:asciiTheme="minorHAnsi" w:hAnsiTheme="minorHAnsi" w:cstheme="minorHAnsi"/>
        </w:rPr>
      </w:pPr>
    </w:p>
    <w:p w14:paraId="69C9BBAF" w14:textId="7B321BBC" w:rsidR="00E90D97" w:rsidRDefault="00E90D97" w:rsidP="00A978C8">
      <w:pPr>
        <w:rPr>
          <w:rFonts w:asciiTheme="minorHAnsi" w:hAnsiTheme="minorHAnsi" w:cstheme="minorHAnsi"/>
        </w:rPr>
      </w:pPr>
    </w:p>
    <w:p w14:paraId="4C5F0278" w14:textId="73EE8324" w:rsidR="00E90D97" w:rsidRDefault="00E90D97" w:rsidP="00A978C8">
      <w:pPr>
        <w:rPr>
          <w:rFonts w:asciiTheme="minorHAnsi" w:hAnsiTheme="minorHAnsi" w:cstheme="minorHAnsi"/>
        </w:rPr>
      </w:pPr>
    </w:p>
    <w:p w14:paraId="2029FC35" w14:textId="05BD481C" w:rsidR="00E90D97" w:rsidRDefault="00E90D97" w:rsidP="00A978C8">
      <w:pPr>
        <w:rPr>
          <w:rFonts w:asciiTheme="minorHAnsi" w:hAnsiTheme="minorHAnsi" w:cstheme="minorHAnsi"/>
        </w:rPr>
      </w:pPr>
    </w:p>
    <w:p w14:paraId="49841F41" w14:textId="6CAFEC95" w:rsidR="00E90D97" w:rsidRDefault="00E90D97" w:rsidP="00A978C8">
      <w:pPr>
        <w:rPr>
          <w:rFonts w:asciiTheme="minorHAnsi" w:hAnsiTheme="minorHAnsi" w:cstheme="minorHAnsi"/>
        </w:rPr>
      </w:pPr>
    </w:p>
    <w:p w14:paraId="34140684" w14:textId="77777777" w:rsidR="00E90D97" w:rsidRPr="00037AD4" w:rsidRDefault="00E90D97" w:rsidP="00A978C8">
      <w:pPr>
        <w:rPr>
          <w:rFonts w:asciiTheme="minorHAnsi" w:hAnsiTheme="minorHAnsi" w:cstheme="minorHAnsi"/>
          <w:i/>
          <w:iCs/>
          <w:color w:val="FF0000"/>
        </w:rPr>
      </w:pPr>
    </w:p>
    <w:p w14:paraId="15A90C43" w14:textId="77777777" w:rsidR="00B54D51" w:rsidRPr="00037AD4" w:rsidRDefault="00B54D51" w:rsidP="00A978C8">
      <w:pPr>
        <w:rPr>
          <w:rFonts w:asciiTheme="minorHAnsi" w:hAnsiTheme="minorHAnsi" w:cstheme="minorHAnsi"/>
          <w:b/>
          <w:bCs/>
          <w:i/>
          <w:iCs/>
        </w:rPr>
      </w:pPr>
    </w:p>
    <w:p w14:paraId="114824E8" w14:textId="77777777" w:rsidR="00B54D51" w:rsidRPr="00037AD4" w:rsidRDefault="00B54D51" w:rsidP="00A978C8">
      <w:pPr>
        <w:rPr>
          <w:rFonts w:asciiTheme="minorHAnsi" w:hAnsiTheme="minorHAnsi" w:cstheme="minorHAnsi"/>
          <w:b/>
          <w:bCs/>
          <w:i/>
          <w:iCs/>
        </w:rPr>
      </w:pPr>
      <w:r w:rsidRPr="00037AD4">
        <w:rPr>
          <w:rFonts w:asciiTheme="minorHAnsi" w:hAnsiTheme="minorHAnsi" w:cstheme="minorHAnsi"/>
          <w:b/>
          <w:bCs/>
          <w:i/>
          <w:iCs/>
        </w:rPr>
        <w:lastRenderedPageBreak/>
        <w:t>Table 35b, Observed vs. predicted data for “mobility” dimension from the EPIC study</w:t>
      </w:r>
    </w:p>
    <w:p w14:paraId="17BCA576" w14:textId="77777777" w:rsidR="00B54D51" w:rsidRPr="00037AD4" w:rsidRDefault="00B54D51" w:rsidP="00A978C8">
      <w:pPr>
        <w:rPr>
          <w:rFonts w:asciiTheme="minorHAnsi" w:hAnsiTheme="minorHAnsi" w:cstheme="minorHAnsi"/>
        </w:rPr>
      </w:pPr>
    </w:p>
    <w:tbl>
      <w:tblPr>
        <w:tblStyle w:val="TableGrid"/>
        <w:tblW w:w="0" w:type="auto"/>
        <w:tblLook w:val="04A0" w:firstRow="1" w:lastRow="0" w:firstColumn="1" w:lastColumn="0" w:noHBand="0" w:noVBand="1"/>
      </w:tblPr>
      <w:tblGrid>
        <w:gridCol w:w="2254"/>
        <w:gridCol w:w="2254"/>
        <w:gridCol w:w="2254"/>
      </w:tblGrid>
      <w:tr w:rsidR="00B54D51" w:rsidRPr="00037AD4" w14:paraId="39A82D10" w14:textId="77777777" w:rsidTr="00401C67">
        <w:trPr>
          <w:trHeight w:val="703"/>
        </w:trPr>
        <w:tc>
          <w:tcPr>
            <w:tcW w:w="2254" w:type="dxa"/>
          </w:tcPr>
          <w:p w14:paraId="3B2456C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Response options</w:t>
            </w:r>
          </w:p>
        </w:tc>
        <w:tc>
          <w:tcPr>
            <w:tcW w:w="2254" w:type="dxa"/>
          </w:tcPr>
          <w:p w14:paraId="7C2262B0" w14:textId="77777777" w:rsidR="00B54D51" w:rsidRDefault="00B54D51" w:rsidP="00401C67">
            <w:pPr>
              <w:rPr>
                <w:rFonts w:asciiTheme="minorHAnsi" w:hAnsiTheme="minorHAnsi" w:cstheme="minorHAnsi"/>
              </w:rPr>
            </w:pPr>
            <w:r w:rsidRPr="00037AD4">
              <w:rPr>
                <w:rFonts w:asciiTheme="minorHAnsi" w:hAnsiTheme="minorHAnsi" w:cstheme="minorHAnsi"/>
              </w:rPr>
              <w:t>Observed frequency (%)</w:t>
            </w:r>
          </w:p>
          <w:p w14:paraId="4E30FBF0" w14:textId="77777777" w:rsidR="00B54D51" w:rsidRPr="00FD5268" w:rsidRDefault="00B54D51" w:rsidP="00401C67">
            <w:pPr>
              <w:rPr>
                <w:rFonts w:asciiTheme="minorHAnsi" w:hAnsiTheme="minorHAnsi" w:cstheme="minorHAnsi"/>
                <w:i/>
                <w:iCs/>
                <w:sz w:val="22"/>
                <w:szCs w:val="22"/>
              </w:rPr>
            </w:pPr>
            <w:r w:rsidRPr="00FD5268">
              <w:rPr>
                <w:rFonts w:asciiTheme="minorHAnsi" w:hAnsiTheme="minorHAnsi" w:cstheme="minorHAnsi"/>
                <w:i/>
                <w:iCs/>
                <w:sz w:val="22"/>
                <w:szCs w:val="22"/>
              </w:rPr>
              <w:t>n=1699</w:t>
            </w:r>
          </w:p>
        </w:tc>
        <w:tc>
          <w:tcPr>
            <w:tcW w:w="2254" w:type="dxa"/>
          </w:tcPr>
          <w:p w14:paraId="483E05B9" w14:textId="77777777" w:rsidR="00B54D51" w:rsidRDefault="00B54D51" w:rsidP="00401C67">
            <w:pPr>
              <w:rPr>
                <w:rFonts w:asciiTheme="minorHAnsi" w:hAnsiTheme="minorHAnsi" w:cstheme="minorHAnsi"/>
              </w:rPr>
            </w:pPr>
            <w:r w:rsidRPr="00037AD4">
              <w:rPr>
                <w:rFonts w:asciiTheme="minorHAnsi" w:hAnsiTheme="minorHAnsi" w:cstheme="minorHAnsi"/>
              </w:rPr>
              <w:t xml:space="preserve">Predicted frequency (%) </w:t>
            </w:r>
          </w:p>
          <w:p w14:paraId="0E6E5464" w14:textId="77777777" w:rsidR="00B54D51" w:rsidRPr="00FD5268" w:rsidRDefault="00B54D51" w:rsidP="00401C67">
            <w:pPr>
              <w:rPr>
                <w:rFonts w:asciiTheme="minorHAnsi" w:hAnsiTheme="minorHAnsi" w:cstheme="minorHAnsi"/>
                <w:i/>
                <w:iCs/>
                <w:sz w:val="22"/>
                <w:szCs w:val="22"/>
              </w:rPr>
            </w:pPr>
          </w:p>
        </w:tc>
      </w:tr>
      <w:tr w:rsidR="00B54D51" w:rsidRPr="00037AD4" w14:paraId="3BB2C4AB" w14:textId="77777777" w:rsidTr="00401C67">
        <w:tc>
          <w:tcPr>
            <w:tcW w:w="2254" w:type="dxa"/>
          </w:tcPr>
          <w:p w14:paraId="03D5832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No problems</w:t>
            </w:r>
          </w:p>
        </w:tc>
        <w:tc>
          <w:tcPr>
            <w:tcW w:w="2254" w:type="dxa"/>
          </w:tcPr>
          <w:p w14:paraId="3115157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34.73</w:t>
            </w:r>
          </w:p>
        </w:tc>
        <w:tc>
          <w:tcPr>
            <w:tcW w:w="2254" w:type="dxa"/>
          </w:tcPr>
          <w:p w14:paraId="10E4FC6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41.10</w:t>
            </w:r>
          </w:p>
        </w:tc>
      </w:tr>
      <w:tr w:rsidR="00B54D51" w:rsidRPr="00037AD4" w14:paraId="007E5F2E" w14:textId="77777777" w:rsidTr="00401C67">
        <w:tc>
          <w:tcPr>
            <w:tcW w:w="2254" w:type="dxa"/>
          </w:tcPr>
          <w:p w14:paraId="542FAD2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Slight problems</w:t>
            </w:r>
          </w:p>
        </w:tc>
        <w:tc>
          <w:tcPr>
            <w:tcW w:w="2254" w:type="dxa"/>
          </w:tcPr>
          <w:p w14:paraId="4411E97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14.83</w:t>
            </w:r>
          </w:p>
        </w:tc>
        <w:tc>
          <w:tcPr>
            <w:tcW w:w="2254" w:type="dxa"/>
          </w:tcPr>
          <w:p w14:paraId="7E36343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18.43</w:t>
            </w:r>
          </w:p>
        </w:tc>
      </w:tr>
      <w:tr w:rsidR="00B54D51" w:rsidRPr="00037AD4" w14:paraId="24E17AD2" w14:textId="77777777" w:rsidTr="00401C67">
        <w:tc>
          <w:tcPr>
            <w:tcW w:w="2254" w:type="dxa"/>
          </w:tcPr>
          <w:p w14:paraId="0B160D8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Moderate problems</w:t>
            </w:r>
          </w:p>
        </w:tc>
        <w:tc>
          <w:tcPr>
            <w:tcW w:w="2254" w:type="dxa"/>
          </w:tcPr>
          <w:p w14:paraId="6812A9A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10.30</w:t>
            </w:r>
          </w:p>
        </w:tc>
        <w:tc>
          <w:tcPr>
            <w:tcW w:w="2254" w:type="dxa"/>
          </w:tcPr>
          <w:p w14:paraId="2F0318F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11.36</w:t>
            </w:r>
          </w:p>
        </w:tc>
      </w:tr>
      <w:tr w:rsidR="00B54D51" w:rsidRPr="00037AD4" w14:paraId="6CA0D229" w14:textId="77777777" w:rsidTr="00401C67">
        <w:tc>
          <w:tcPr>
            <w:tcW w:w="2254" w:type="dxa"/>
          </w:tcPr>
          <w:p w14:paraId="7931A1E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Severe problems</w:t>
            </w:r>
          </w:p>
        </w:tc>
        <w:tc>
          <w:tcPr>
            <w:tcW w:w="2254" w:type="dxa"/>
          </w:tcPr>
          <w:p w14:paraId="001C1B8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6.89</w:t>
            </w:r>
          </w:p>
        </w:tc>
        <w:tc>
          <w:tcPr>
            <w:tcW w:w="2254" w:type="dxa"/>
          </w:tcPr>
          <w:p w14:paraId="51595F1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6.19</w:t>
            </w:r>
          </w:p>
        </w:tc>
      </w:tr>
      <w:tr w:rsidR="00B54D51" w:rsidRPr="00037AD4" w14:paraId="11D80031" w14:textId="77777777" w:rsidTr="00401C67">
        <w:tc>
          <w:tcPr>
            <w:tcW w:w="2254" w:type="dxa"/>
          </w:tcPr>
          <w:p w14:paraId="70AB65F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Unable to walk </w:t>
            </w:r>
          </w:p>
        </w:tc>
        <w:tc>
          <w:tcPr>
            <w:tcW w:w="2254" w:type="dxa"/>
          </w:tcPr>
          <w:p w14:paraId="7A73339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33.25</w:t>
            </w:r>
          </w:p>
        </w:tc>
        <w:tc>
          <w:tcPr>
            <w:tcW w:w="2254" w:type="dxa"/>
          </w:tcPr>
          <w:p w14:paraId="308FA5C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22.92</w:t>
            </w:r>
          </w:p>
        </w:tc>
      </w:tr>
    </w:tbl>
    <w:p w14:paraId="268C080E" w14:textId="77777777" w:rsidR="00B54D51" w:rsidRDefault="00B54D51" w:rsidP="00A978C8">
      <w:pPr>
        <w:rPr>
          <w:rFonts w:asciiTheme="minorHAnsi" w:hAnsiTheme="minorHAnsi" w:cstheme="minorHAnsi"/>
          <w:b/>
          <w:bCs/>
          <w:sz w:val="26"/>
          <w:szCs w:val="26"/>
          <w:u w:val="single"/>
        </w:rPr>
      </w:pPr>
    </w:p>
    <w:p w14:paraId="651DDA06" w14:textId="77777777" w:rsidR="00B54D51" w:rsidRPr="00037AD4" w:rsidRDefault="00B54D51" w:rsidP="00A978C8">
      <w:pPr>
        <w:rPr>
          <w:rFonts w:asciiTheme="minorHAnsi" w:hAnsiTheme="minorHAnsi" w:cstheme="minorHAnsi"/>
          <w:b/>
          <w:bCs/>
          <w:sz w:val="26"/>
          <w:szCs w:val="26"/>
          <w:u w:val="single"/>
        </w:rPr>
      </w:pPr>
      <w:r w:rsidRPr="00037AD4">
        <w:rPr>
          <w:rFonts w:asciiTheme="minorHAnsi" w:hAnsiTheme="minorHAnsi" w:cstheme="minorHAnsi"/>
          <w:b/>
          <w:bCs/>
          <w:sz w:val="26"/>
          <w:szCs w:val="26"/>
          <w:u w:val="single"/>
        </w:rPr>
        <w:t xml:space="preserve">6.4.1.4 Including a trial indicator for the “mobility” dimension </w:t>
      </w:r>
    </w:p>
    <w:p w14:paraId="45420952" w14:textId="77777777" w:rsidR="00B54D51" w:rsidRPr="00037AD4" w:rsidRDefault="00B54D51" w:rsidP="00A978C8">
      <w:pPr>
        <w:rPr>
          <w:rFonts w:asciiTheme="minorHAnsi" w:hAnsiTheme="minorHAnsi" w:cstheme="minorHAnsi"/>
          <w:b/>
          <w:bCs/>
          <w:u w:val="single"/>
        </w:rPr>
      </w:pPr>
    </w:p>
    <w:p w14:paraId="116C7345" w14:textId="77777777" w:rsidR="00B54D51" w:rsidRPr="00E90D97" w:rsidRDefault="00B54D51" w:rsidP="00A978C8">
      <w:pPr>
        <w:rPr>
          <w:rFonts w:asciiTheme="minorHAnsi" w:hAnsiTheme="minorHAnsi" w:cstheme="minorHAnsi"/>
          <w:color w:val="000000" w:themeColor="text1"/>
        </w:rPr>
      </w:pPr>
      <w:r w:rsidRPr="00037AD4">
        <w:rPr>
          <w:rFonts w:asciiTheme="minorHAnsi" w:hAnsiTheme="minorHAnsi" w:cstheme="minorHAnsi"/>
        </w:rPr>
        <w:t xml:space="preserve">Using the variables that are commonly available within the two datasets, the two “mobility” models were re-run in a merged dataset (of the two trials) including a </w:t>
      </w:r>
      <w:r w:rsidRPr="00E90D97">
        <w:rPr>
          <w:rFonts w:asciiTheme="minorHAnsi" w:hAnsiTheme="minorHAnsi" w:cstheme="minorHAnsi"/>
          <w:color w:val="000000" w:themeColor="text1"/>
        </w:rPr>
        <w:t xml:space="preserve">trial indicator variable. Full tables of these outputs including model coefficients are provided </w:t>
      </w:r>
      <w:hyperlink w:anchor="A64" w:history="1">
        <w:r w:rsidRPr="00E90D97">
          <w:rPr>
            <w:rStyle w:val="Hyperlink"/>
            <w:rFonts w:asciiTheme="minorHAnsi" w:hAnsiTheme="minorHAnsi" w:cstheme="minorHAnsi"/>
            <w:color w:val="000000" w:themeColor="text1"/>
            <w:u w:val="none"/>
          </w:rPr>
          <w:t>in Appendix 6.4.</w:t>
        </w:r>
      </w:hyperlink>
      <w:r w:rsidRPr="00E90D97">
        <w:rPr>
          <w:rFonts w:asciiTheme="minorHAnsi" w:hAnsiTheme="minorHAnsi" w:cstheme="minorHAnsi"/>
          <w:color w:val="000000" w:themeColor="text1"/>
        </w:rPr>
        <w:t xml:space="preserve"> </w:t>
      </w:r>
    </w:p>
    <w:p w14:paraId="088EE7CD" w14:textId="77777777" w:rsidR="00B54D51" w:rsidRPr="00037AD4" w:rsidRDefault="00B54D51" w:rsidP="00A978C8">
      <w:pPr>
        <w:rPr>
          <w:rFonts w:asciiTheme="minorHAnsi" w:hAnsiTheme="minorHAnsi" w:cstheme="minorHAnsi"/>
          <w:color w:val="FF0000"/>
        </w:rPr>
      </w:pPr>
    </w:p>
    <w:p w14:paraId="6D5F4CC1" w14:textId="77777777" w:rsidR="00B54D51" w:rsidRPr="00037AD4" w:rsidRDefault="00B54D51" w:rsidP="00A978C8">
      <w:pPr>
        <w:rPr>
          <w:rFonts w:asciiTheme="minorHAnsi" w:hAnsiTheme="minorHAnsi" w:cstheme="minorHAnsi"/>
        </w:rPr>
      </w:pPr>
      <w:r w:rsidRPr="00037AD4">
        <w:rPr>
          <w:rFonts w:asciiTheme="minorHAnsi" w:hAnsiTheme="minorHAnsi" w:cstheme="minorHAnsi"/>
        </w:rPr>
        <w:t xml:space="preserve">For the ACTIFCARE-model, which uses proxy “mobility” reports to predict PwD dimension-data, the trial indicator coefficient is non-significant (p=0.928), showing that there are no trial effects upon this basic model structure. The second model structure that uses PwD data to predict proxy “mobility” reports (originating from the EPIC study data) also generated a non-significant coefficient for the trial indicator variable (p=0.288). </w:t>
      </w:r>
    </w:p>
    <w:p w14:paraId="7C108B89" w14:textId="77777777" w:rsidR="00B54D51" w:rsidRPr="00037AD4" w:rsidRDefault="00B54D51" w:rsidP="00A978C8">
      <w:pPr>
        <w:rPr>
          <w:rFonts w:asciiTheme="minorHAnsi" w:hAnsiTheme="minorHAnsi" w:cstheme="minorHAnsi"/>
        </w:rPr>
      </w:pPr>
    </w:p>
    <w:p w14:paraId="21C5F7B0" w14:textId="77777777" w:rsidR="00B54D51" w:rsidRPr="00037AD4" w:rsidRDefault="00B54D51" w:rsidP="00A978C8">
      <w:pPr>
        <w:rPr>
          <w:rFonts w:asciiTheme="minorHAnsi" w:hAnsiTheme="minorHAnsi" w:cstheme="minorHAnsi"/>
        </w:rPr>
      </w:pPr>
      <w:r w:rsidRPr="00037AD4">
        <w:rPr>
          <w:rFonts w:asciiTheme="minorHAnsi" w:hAnsiTheme="minorHAnsi" w:cstheme="minorHAnsi"/>
        </w:rPr>
        <w:t xml:space="preserve">An absence of trial effects when predicting “mobility” dimension reports indicates no average difference between the trials in terms of the output of these core models. This suggests that there is no statistically significant average difference in predicting the dependent variable of the two trials, after accounting for the effects of other variables in the model (i.e., the two trials do not differ significantly in terms of the predicted outcome, conditional on the covariates). This does not equate to there being no differences between the data from the trials. It rather implies that after adjusting for the other predictors in the model, the trial’s own characteristics do not provide additional information about the dependent variable. As this was the case for both “mobility” models, it could suggest that the model structures may be universally applicable across the different settings despite the target respondent differing.  </w:t>
      </w:r>
    </w:p>
    <w:p w14:paraId="42BBEA96" w14:textId="77777777" w:rsidR="00B54D51" w:rsidRPr="00037AD4" w:rsidRDefault="00B54D51" w:rsidP="00A978C8">
      <w:pPr>
        <w:rPr>
          <w:rFonts w:asciiTheme="minorHAnsi" w:hAnsiTheme="minorHAnsi" w:cstheme="minorHAnsi"/>
        </w:rPr>
      </w:pPr>
    </w:p>
    <w:p w14:paraId="3E23598E" w14:textId="77777777" w:rsidR="00B54D51" w:rsidRPr="00037AD4" w:rsidRDefault="00B54D51" w:rsidP="007A43F9">
      <w:pPr>
        <w:pStyle w:val="Heading3"/>
      </w:pPr>
      <w:bookmarkStart w:id="401" w:name="_Toc175742355"/>
      <w:r w:rsidRPr="00037AD4">
        <w:t>6.4.2 Mapping to the “self-care” dimension</w:t>
      </w:r>
      <w:bookmarkEnd w:id="401"/>
      <w:r w:rsidRPr="00037AD4">
        <w:t xml:space="preserve"> </w:t>
      </w:r>
    </w:p>
    <w:p w14:paraId="6D2F66FD" w14:textId="77777777" w:rsidR="00B54D51" w:rsidRPr="00037AD4" w:rsidRDefault="00B54D51" w:rsidP="00CE02E0">
      <w:pPr>
        <w:rPr>
          <w:rFonts w:asciiTheme="minorHAnsi" w:hAnsiTheme="minorHAnsi" w:cstheme="minorHAnsi"/>
          <w:b/>
          <w:bCs/>
          <w:u w:val="single"/>
        </w:rPr>
      </w:pPr>
    </w:p>
    <w:p w14:paraId="4E8EDFE9" w14:textId="77777777" w:rsidR="00B54D51" w:rsidRPr="00037AD4" w:rsidRDefault="00B54D51" w:rsidP="00CE02E0">
      <w:pPr>
        <w:rPr>
          <w:rFonts w:asciiTheme="minorHAnsi" w:hAnsiTheme="minorHAnsi" w:cstheme="minorHAnsi"/>
          <w:color w:val="FF0000"/>
        </w:rPr>
      </w:pPr>
      <w:r w:rsidRPr="00037AD4">
        <w:rPr>
          <w:rFonts w:asciiTheme="minorHAnsi" w:hAnsiTheme="minorHAnsi" w:cstheme="minorHAnsi"/>
        </w:rPr>
        <w:t xml:space="preserve">This section presents the results for mapping to the “self-care” dimension of EQ-5D-5L. The target respondent for “self-care” was the proxy in both trials. The outputs containing the full results (including coefficients) for the various model iterations and summary table of the selected dimension-models are </w:t>
      </w:r>
      <w:r w:rsidRPr="00E90D97">
        <w:rPr>
          <w:rFonts w:asciiTheme="minorHAnsi" w:hAnsiTheme="minorHAnsi" w:cstheme="minorHAnsi"/>
          <w:color w:val="000000" w:themeColor="text1"/>
        </w:rPr>
        <w:t xml:space="preserve">provided in </w:t>
      </w:r>
      <w:hyperlink w:anchor="A62self" w:history="1">
        <w:r w:rsidRPr="00E90D97">
          <w:rPr>
            <w:rStyle w:val="Hyperlink"/>
            <w:rFonts w:asciiTheme="minorHAnsi" w:hAnsiTheme="minorHAnsi" w:cstheme="minorHAnsi"/>
            <w:color w:val="000000" w:themeColor="text1"/>
            <w:u w:val="none"/>
          </w:rPr>
          <w:t>Appendix 6.2.</w:t>
        </w:r>
      </w:hyperlink>
      <w:r w:rsidRPr="00E90D97">
        <w:rPr>
          <w:rFonts w:asciiTheme="minorHAnsi" w:hAnsiTheme="minorHAnsi" w:cstheme="minorHAnsi"/>
          <w:color w:val="000000" w:themeColor="text1"/>
        </w:rPr>
        <w:t xml:space="preserve"> </w:t>
      </w:r>
    </w:p>
    <w:p w14:paraId="5A30CBFA" w14:textId="4955EAD9" w:rsidR="00B54D51" w:rsidRDefault="00B54D51" w:rsidP="00CE02E0">
      <w:pPr>
        <w:rPr>
          <w:rFonts w:asciiTheme="minorHAnsi" w:hAnsiTheme="minorHAnsi" w:cstheme="minorHAnsi"/>
          <w:b/>
          <w:bCs/>
          <w:color w:val="FF0000"/>
        </w:rPr>
      </w:pPr>
    </w:p>
    <w:p w14:paraId="001F6193" w14:textId="4EEEF69B" w:rsidR="00E90D97" w:rsidRDefault="00E90D97" w:rsidP="00CE02E0">
      <w:pPr>
        <w:rPr>
          <w:rFonts w:asciiTheme="minorHAnsi" w:hAnsiTheme="minorHAnsi" w:cstheme="minorHAnsi"/>
          <w:b/>
          <w:bCs/>
          <w:color w:val="FF0000"/>
        </w:rPr>
      </w:pPr>
    </w:p>
    <w:p w14:paraId="4077669C" w14:textId="3FA84FC7" w:rsidR="00E90D97" w:rsidRDefault="00E90D97" w:rsidP="00CE02E0">
      <w:pPr>
        <w:rPr>
          <w:rFonts w:asciiTheme="minorHAnsi" w:hAnsiTheme="minorHAnsi" w:cstheme="minorHAnsi"/>
          <w:b/>
          <w:bCs/>
          <w:color w:val="FF0000"/>
        </w:rPr>
      </w:pPr>
    </w:p>
    <w:p w14:paraId="37096EB8" w14:textId="77777777" w:rsidR="00E90D97" w:rsidRPr="00037AD4" w:rsidRDefault="00E90D97" w:rsidP="00CE02E0">
      <w:pPr>
        <w:rPr>
          <w:rFonts w:asciiTheme="minorHAnsi" w:hAnsiTheme="minorHAnsi" w:cstheme="minorHAnsi"/>
          <w:b/>
          <w:bCs/>
          <w:color w:val="FF0000"/>
        </w:rPr>
      </w:pPr>
    </w:p>
    <w:p w14:paraId="1D0E29F6" w14:textId="77777777" w:rsidR="00B54D51" w:rsidRPr="00037AD4" w:rsidRDefault="00B54D51" w:rsidP="00CE02E0">
      <w:pPr>
        <w:rPr>
          <w:rFonts w:asciiTheme="minorHAnsi" w:hAnsiTheme="minorHAnsi" w:cstheme="minorHAnsi"/>
          <w:b/>
          <w:bCs/>
          <w:color w:val="000000" w:themeColor="text1"/>
          <w:sz w:val="26"/>
          <w:szCs w:val="26"/>
          <w:u w:val="single"/>
        </w:rPr>
      </w:pPr>
      <w:r w:rsidRPr="00037AD4">
        <w:rPr>
          <w:rFonts w:asciiTheme="minorHAnsi" w:hAnsiTheme="minorHAnsi" w:cstheme="minorHAnsi"/>
          <w:b/>
          <w:bCs/>
          <w:color w:val="000000" w:themeColor="text1"/>
          <w:sz w:val="26"/>
          <w:szCs w:val="26"/>
          <w:u w:val="single"/>
        </w:rPr>
        <w:lastRenderedPageBreak/>
        <w:t xml:space="preserve">6.4.2.1 Marginal effects of the final selected models: EQ-5D-5L Self-care </w:t>
      </w:r>
    </w:p>
    <w:p w14:paraId="436C8AAC" w14:textId="77777777" w:rsidR="00B54D51" w:rsidRPr="00037AD4" w:rsidRDefault="00B54D51" w:rsidP="00CE02E0">
      <w:pPr>
        <w:rPr>
          <w:rFonts w:asciiTheme="minorHAnsi" w:hAnsiTheme="minorHAnsi" w:cstheme="minorHAnsi"/>
          <w:color w:val="000000" w:themeColor="text1"/>
        </w:rPr>
      </w:pPr>
    </w:p>
    <w:p w14:paraId="3610CD30" w14:textId="77777777" w:rsidR="00B54D51" w:rsidRPr="00037AD4" w:rsidRDefault="00B54D51" w:rsidP="00CE02E0">
      <w:pPr>
        <w:rPr>
          <w:rFonts w:asciiTheme="minorHAnsi" w:hAnsiTheme="minorHAnsi" w:cstheme="minorHAnsi"/>
          <w:color w:val="000000" w:themeColor="text1"/>
        </w:rPr>
      </w:pPr>
      <w:r w:rsidRPr="00037AD4">
        <w:rPr>
          <w:rFonts w:asciiTheme="minorHAnsi" w:hAnsiTheme="minorHAnsi" w:cstheme="minorHAnsi"/>
          <w:color w:val="000000" w:themeColor="text1"/>
        </w:rPr>
        <w:t xml:space="preserve">The following section graphically presents the predictive margins of PwD-reported “self-care”, the full tables for which are </w:t>
      </w:r>
      <w:r w:rsidRPr="00E90D97">
        <w:rPr>
          <w:rFonts w:asciiTheme="minorHAnsi" w:hAnsiTheme="minorHAnsi" w:cstheme="minorHAnsi"/>
          <w:color w:val="000000" w:themeColor="text1"/>
        </w:rPr>
        <w:t xml:space="preserve">provided in </w:t>
      </w:r>
      <w:hyperlink w:anchor="A63self" w:history="1">
        <w:r w:rsidRPr="00E90D97">
          <w:rPr>
            <w:rStyle w:val="Hyperlink"/>
            <w:rFonts w:asciiTheme="minorHAnsi" w:hAnsiTheme="minorHAnsi" w:cstheme="minorHAnsi"/>
            <w:color w:val="000000" w:themeColor="text1"/>
            <w:u w:val="none"/>
          </w:rPr>
          <w:t>Appendix 6.3</w:t>
        </w:r>
      </w:hyperlink>
      <w:r w:rsidRPr="00E90D97">
        <w:rPr>
          <w:rFonts w:asciiTheme="minorHAnsi" w:hAnsiTheme="minorHAnsi" w:cstheme="minorHAnsi"/>
          <w:color w:val="000000" w:themeColor="text1"/>
        </w:rPr>
        <w:t xml:space="preserve">. There </w:t>
      </w:r>
      <w:r w:rsidRPr="00037AD4">
        <w:rPr>
          <w:rFonts w:asciiTheme="minorHAnsi" w:hAnsiTheme="minorHAnsi" w:cstheme="minorHAnsi"/>
          <w:color w:val="000000" w:themeColor="text1"/>
        </w:rPr>
        <w:t xml:space="preserve">are clear differences between the predictive margins produced by the trials. For the ACTIFCARE data, the probabilities for predicting level one proxy “self-care” responses were the largest for PwD reports at levels one, two and three, whereby the 95% confidence intervals do not overlap with the probabilities of any other levels. For the EPIC data, the probability of predicting a level one proxy response remains low across all PwD level-responses. </w:t>
      </w:r>
      <w:r w:rsidRPr="00037AD4">
        <w:rPr>
          <w:rFonts w:asciiTheme="minorHAnsi" w:hAnsiTheme="minorHAnsi" w:cstheme="minorHAnsi"/>
        </w:rPr>
        <w:t>The “self-care” dimension displayed both ceiling and floor effects in PwD and staff-proxy responses respectively (in the EPIC data), therefore when using PwD data to predict proxy responses, the likelihood of a level one rating is consistently low, mirroring the data’s tendencies.</w:t>
      </w:r>
    </w:p>
    <w:p w14:paraId="3D9C8913" w14:textId="77777777" w:rsidR="00B54D51" w:rsidRPr="00037AD4" w:rsidRDefault="00B54D51" w:rsidP="00CE02E0">
      <w:pPr>
        <w:rPr>
          <w:rFonts w:asciiTheme="minorHAnsi" w:hAnsiTheme="minorHAnsi" w:cstheme="minorHAnsi"/>
        </w:rPr>
      </w:pPr>
    </w:p>
    <w:p w14:paraId="39436130" w14:textId="77777777" w:rsidR="00B54D51" w:rsidRPr="00037AD4" w:rsidRDefault="00B54D51" w:rsidP="00CE02E0">
      <w:pPr>
        <w:rPr>
          <w:rFonts w:asciiTheme="minorHAnsi" w:hAnsiTheme="minorHAnsi" w:cstheme="minorHAnsi"/>
        </w:rPr>
      </w:pPr>
      <w:r w:rsidRPr="00037AD4">
        <w:rPr>
          <w:rFonts w:asciiTheme="minorHAnsi" w:hAnsiTheme="minorHAnsi" w:cstheme="minorHAnsi"/>
        </w:rPr>
        <w:t xml:space="preserve">For both datasets, the probability of a level five proxy predicted score increases in line with PwD reported levels. This pattern is clear for the EPIC data, whereby at PwD level five responses, proxy level five predictions produce the largest probabilities, and despite the wide confidence interval, it does not overlap with those of any other levels. Unlike in the ACTIFCARE data, where the confidence intervals for multiple predicted levels overlap at this point. The proportion of level five reports for “self-care” were low for both respondent types in ACTIFCARE (2% of PwD reports; 6% of proxy reports), therefore potentially hindering the model’s ability to predict these responses using this data. </w:t>
      </w:r>
    </w:p>
    <w:p w14:paraId="68F44C9F" w14:textId="77777777" w:rsidR="00B54D51" w:rsidRPr="00037AD4" w:rsidRDefault="00B54D51" w:rsidP="00CE02E0">
      <w:pPr>
        <w:rPr>
          <w:rFonts w:asciiTheme="minorHAnsi" w:hAnsiTheme="minorHAnsi" w:cstheme="minorHAnsi"/>
        </w:rPr>
      </w:pPr>
    </w:p>
    <w:p w14:paraId="7F2C55F6" w14:textId="77777777" w:rsidR="00B54D51" w:rsidRPr="00037AD4" w:rsidRDefault="00B54D51" w:rsidP="00CE02E0">
      <w:pPr>
        <w:rPr>
          <w:rFonts w:asciiTheme="minorHAnsi" w:hAnsiTheme="minorHAnsi" w:cstheme="minorHAnsi"/>
          <w:b/>
          <w:bCs/>
          <w:i/>
          <w:iCs/>
        </w:rPr>
      </w:pPr>
      <w:r w:rsidRPr="00037AD4">
        <w:rPr>
          <w:rFonts w:asciiTheme="minorHAnsi" w:hAnsiTheme="minorHAnsi" w:cstheme="minorHAnsi"/>
          <w:b/>
          <w:bCs/>
          <w:i/>
          <w:iCs/>
        </w:rPr>
        <w:t xml:space="preserve">Figure 34a, “Self-care” predictive margins for ACTIFCARE data </w:t>
      </w:r>
    </w:p>
    <w:p w14:paraId="62EAB547" w14:textId="77777777" w:rsidR="00B54D51" w:rsidRPr="00037AD4" w:rsidRDefault="00B54D51" w:rsidP="00CE02E0">
      <w:pPr>
        <w:rPr>
          <w:rFonts w:asciiTheme="minorHAnsi" w:hAnsiTheme="minorHAnsi" w:cstheme="minorHAnsi"/>
          <w:color w:val="000000" w:themeColor="text1"/>
        </w:rPr>
      </w:pPr>
    </w:p>
    <w:p w14:paraId="613948D2" w14:textId="71B92EA1" w:rsidR="00B54D51" w:rsidRPr="00037AD4" w:rsidRDefault="00830480" w:rsidP="00CE02E0">
      <w:pPr>
        <w:rPr>
          <w:rFonts w:asciiTheme="minorHAnsi" w:hAnsiTheme="minorHAnsi" w:cstheme="minorHAnsi"/>
          <w:b/>
          <w:bCs/>
          <w:color w:val="FF0000"/>
        </w:rPr>
      </w:pPr>
      <w:r w:rsidRPr="00037AD4">
        <w:rPr>
          <w:rFonts w:asciiTheme="minorHAnsi" w:hAnsiTheme="minorHAnsi" w:cstheme="minorHAnsi"/>
          <w:b/>
          <w:bCs/>
          <w:noProof/>
          <w:color w:val="FF0000"/>
          <w:lang w:eastAsia="zh-CN"/>
        </w:rPr>
        <w:drawing>
          <wp:inline distT="0" distB="0" distL="0" distR="0" wp14:anchorId="683EBFD6" wp14:editId="78BF50A7">
            <wp:extent cx="3960000" cy="2880000"/>
            <wp:effectExtent l="0" t="0" r="2540" b="3175"/>
            <wp:docPr id="44" name="Picture 44" descr="A graph of numbers and lines&#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Picture 39" descr="A graph of numbers and lines&#10;&#10;Description automatically generated with medium confidence"/>
                    <pic:cNvPicPr/>
                  </pic:nvPicPr>
                  <pic:blipFill>
                    <a:blip r:embed="rId71">
                      <a:extLst>
                        <a:ext uri="{28A0092B-C50C-407E-A947-70E740481C1C}">
                          <a14:useLocalDpi xmlns:a14="http://schemas.microsoft.com/office/drawing/2010/main" val="0"/>
                        </a:ext>
                      </a:extLst>
                    </a:blip>
                    <a:stretch>
                      <a:fillRect/>
                    </a:stretch>
                  </pic:blipFill>
                  <pic:spPr>
                    <a:xfrm>
                      <a:off x="0" y="0"/>
                      <a:ext cx="3960000" cy="2880000"/>
                    </a:xfrm>
                    <a:prstGeom prst="rect">
                      <a:avLst/>
                    </a:prstGeom>
                  </pic:spPr>
                </pic:pic>
              </a:graphicData>
            </a:graphic>
          </wp:inline>
        </w:drawing>
      </w:r>
    </w:p>
    <w:p w14:paraId="6DAB8CEF" w14:textId="7FE9521F" w:rsidR="00B54D51" w:rsidRDefault="00B54D51" w:rsidP="00CE02E0">
      <w:pPr>
        <w:rPr>
          <w:rFonts w:asciiTheme="minorHAnsi" w:hAnsiTheme="minorHAnsi" w:cstheme="minorHAnsi"/>
          <w:b/>
          <w:bCs/>
          <w:color w:val="FF0000"/>
        </w:rPr>
      </w:pPr>
    </w:p>
    <w:p w14:paraId="350061D4" w14:textId="6AB5D183" w:rsidR="00E90D97" w:rsidRDefault="00E90D97" w:rsidP="00CE02E0">
      <w:pPr>
        <w:rPr>
          <w:rFonts w:asciiTheme="minorHAnsi" w:hAnsiTheme="minorHAnsi" w:cstheme="minorHAnsi"/>
          <w:b/>
          <w:bCs/>
          <w:color w:val="FF0000"/>
        </w:rPr>
      </w:pPr>
    </w:p>
    <w:p w14:paraId="5C338413" w14:textId="3F5EC5E9" w:rsidR="00E90D97" w:rsidRDefault="00E90D97" w:rsidP="00CE02E0">
      <w:pPr>
        <w:rPr>
          <w:rFonts w:asciiTheme="minorHAnsi" w:hAnsiTheme="minorHAnsi" w:cstheme="minorHAnsi"/>
          <w:b/>
          <w:bCs/>
          <w:color w:val="FF0000"/>
        </w:rPr>
      </w:pPr>
    </w:p>
    <w:p w14:paraId="31DB62E6" w14:textId="486DD092" w:rsidR="00E90D97" w:rsidRDefault="00E90D97" w:rsidP="00CE02E0">
      <w:pPr>
        <w:rPr>
          <w:rFonts w:asciiTheme="minorHAnsi" w:hAnsiTheme="minorHAnsi" w:cstheme="minorHAnsi"/>
          <w:b/>
          <w:bCs/>
          <w:color w:val="FF0000"/>
        </w:rPr>
      </w:pPr>
    </w:p>
    <w:p w14:paraId="37E741AA" w14:textId="3DCEDB51" w:rsidR="00E90D97" w:rsidRDefault="00E90D97" w:rsidP="00CE02E0">
      <w:pPr>
        <w:rPr>
          <w:rFonts w:asciiTheme="minorHAnsi" w:hAnsiTheme="minorHAnsi" w:cstheme="minorHAnsi"/>
          <w:b/>
          <w:bCs/>
          <w:color w:val="FF0000"/>
        </w:rPr>
      </w:pPr>
    </w:p>
    <w:p w14:paraId="43C093FC" w14:textId="4DF9F10E" w:rsidR="00E90D97" w:rsidRDefault="00E90D97" w:rsidP="00CE02E0">
      <w:pPr>
        <w:rPr>
          <w:rFonts w:asciiTheme="minorHAnsi" w:hAnsiTheme="minorHAnsi" w:cstheme="minorHAnsi"/>
          <w:b/>
          <w:bCs/>
          <w:color w:val="FF0000"/>
        </w:rPr>
      </w:pPr>
    </w:p>
    <w:p w14:paraId="1E2CD539" w14:textId="77777777" w:rsidR="00E90D97" w:rsidRPr="00037AD4" w:rsidRDefault="00E90D97" w:rsidP="00CE02E0">
      <w:pPr>
        <w:rPr>
          <w:rFonts w:asciiTheme="minorHAnsi" w:hAnsiTheme="minorHAnsi" w:cstheme="minorHAnsi"/>
          <w:b/>
          <w:bCs/>
          <w:color w:val="FF0000"/>
        </w:rPr>
      </w:pPr>
    </w:p>
    <w:p w14:paraId="694A9532" w14:textId="77777777" w:rsidR="00B54D51" w:rsidRPr="00037AD4" w:rsidRDefault="00B54D51" w:rsidP="00CE02E0">
      <w:pPr>
        <w:rPr>
          <w:rFonts w:asciiTheme="minorHAnsi" w:hAnsiTheme="minorHAnsi" w:cstheme="minorHAnsi"/>
          <w:b/>
          <w:bCs/>
          <w:color w:val="FF0000"/>
        </w:rPr>
      </w:pPr>
      <w:r w:rsidRPr="00037AD4">
        <w:rPr>
          <w:rFonts w:asciiTheme="minorHAnsi" w:hAnsiTheme="minorHAnsi" w:cstheme="minorHAnsi"/>
          <w:b/>
          <w:bCs/>
          <w:i/>
          <w:iCs/>
        </w:rPr>
        <w:lastRenderedPageBreak/>
        <w:t xml:space="preserve">Figure 34b, “Self-care” predictive margins for EPIC data </w:t>
      </w:r>
    </w:p>
    <w:p w14:paraId="6D4AA06A" w14:textId="77777777" w:rsidR="00B54D51" w:rsidRPr="00037AD4" w:rsidRDefault="00B54D51" w:rsidP="00CE02E0">
      <w:pPr>
        <w:rPr>
          <w:rFonts w:asciiTheme="minorHAnsi" w:hAnsiTheme="minorHAnsi" w:cstheme="minorHAnsi"/>
          <w:b/>
          <w:bCs/>
          <w:u w:val="single"/>
        </w:rPr>
      </w:pPr>
    </w:p>
    <w:p w14:paraId="62F8E902" w14:textId="5D8C0238" w:rsidR="00B54D51" w:rsidRPr="00037AD4" w:rsidRDefault="00830480" w:rsidP="00CE02E0">
      <w:pPr>
        <w:rPr>
          <w:rFonts w:asciiTheme="minorHAnsi" w:hAnsiTheme="minorHAnsi" w:cstheme="minorHAnsi"/>
          <w:b/>
          <w:bCs/>
          <w:u w:val="single"/>
        </w:rPr>
      </w:pPr>
      <w:r w:rsidRPr="00037AD4">
        <w:rPr>
          <w:rFonts w:asciiTheme="minorHAnsi" w:hAnsiTheme="minorHAnsi" w:cstheme="minorHAnsi"/>
          <w:b/>
          <w:bCs/>
          <w:noProof/>
          <w:lang w:eastAsia="zh-CN"/>
        </w:rPr>
        <w:drawing>
          <wp:inline distT="0" distB="0" distL="0" distR="0" wp14:anchorId="5F3E18DA" wp14:editId="080E96E2">
            <wp:extent cx="3960000" cy="2880000"/>
            <wp:effectExtent l="0" t="0" r="2540" b="3175"/>
            <wp:docPr id="45" name="Picture 45" descr="A graph of a number of individuals&#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Picture 43" descr="A graph of a number of individuals&#10;&#10;Description automatically generated"/>
                    <pic:cNvPicPr/>
                  </pic:nvPicPr>
                  <pic:blipFill>
                    <a:blip r:embed="rId72">
                      <a:extLst>
                        <a:ext uri="{28A0092B-C50C-407E-A947-70E740481C1C}">
                          <a14:useLocalDpi xmlns:a14="http://schemas.microsoft.com/office/drawing/2010/main" val="0"/>
                        </a:ext>
                      </a:extLst>
                    </a:blip>
                    <a:stretch>
                      <a:fillRect/>
                    </a:stretch>
                  </pic:blipFill>
                  <pic:spPr>
                    <a:xfrm>
                      <a:off x="0" y="0"/>
                      <a:ext cx="3960000" cy="2880000"/>
                    </a:xfrm>
                    <a:prstGeom prst="rect">
                      <a:avLst/>
                    </a:prstGeom>
                  </pic:spPr>
                </pic:pic>
              </a:graphicData>
            </a:graphic>
          </wp:inline>
        </w:drawing>
      </w:r>
    </w:p>
    <w:p w14:paraId="020FDE27" w14:textId="77777777" w:rsidR="00B54D51" w:rsidRPr="00037AD4" w:rsidRDefault="00B54D51" w:rsidP="00A978C8">
      <w:pPr>
        <w:rPr>
          <w:rFonts w:asciiTheme="minorHAnsi" w:hAnsiTheme="minorHAnsi" w:cstheme="minorHAnsi"/>
        </w:rPr>
      </w:pPr>
    </w:p>
    <w:p w14:paraId="35CA2B47" w14:textId="77777777" w:rsidR="00B54D51" w:rsidRPr="00037AD4" w:rsidRDefault="00B54D51" w:rsidP="00C3362B">
      <w:pPr>
        <w:rPr>
          <w:rFonts w:asciiTheme="minorHAnsi" w:hAnsiTheme="minorHAnsi" w:cstheme="minorHAnsi"/>
          <w:b/>
          <w:bCs/>
          <w:sz w:val="26"/>
          <w:szCs w:val="26"/>
          <w:u w:val="single"/>
        </w:rPr>
      </w:pPr>
      <w:r w:rsidRPr="00037AD4">
        <w:rPr>
          <w:rFonts w:asciiTheme="minorHAnsi" w:hAnsiTheme="minorHAnsi" w:cstheme="minorHAnsi"/>
          <w:b/>
          <w:bCs/>
          <w:sz w:val="26"/>
          <w:szCs w:val="26"/>
          <w:u w:val="single"/>
        </w:rPr>
        <w:t xml:space="preserve">6.4.2.2 Marginal effects of the additional model variables: EQ-5D Self-care </w:t>
      </w:r>
    </w:p>
    <w:p w14:paraId="27EB039C" w14:textId="77777777" w:rsidR="00B54D51" w:rsidRPr="00037AD4" w:rsidRDefault="00B54D51" w:rsidP="00C3362B">
      <w:pPr>
        <w:rPr>
          <w:rFonts w:asciiTheme="minorHAnsi" w:hAnsiTheme="minorHAnsi" w:cstheme="minorHAnsi"/>
          <w:b/>
          <w:bCs/>
          <w:highlight w:val="yellow"/>
          <w:u w:val="single"/>
        </w:rPr>
      </w:pPr>
    </w:p>
    <w:p w14:paraId="7DF646B8" w14:textId="77777777" w:rsidR="00B54D51" w:rsidRPr="00E90D97" w:rsidRDefault="00B54D51" w:rsidP="00C3362B">
      <w:pPr>
        <w:rPr>
          <w:rFonts w:asciiTheme="minorHAnsi" w:hAnsiTheme="minorHAnsi" w:cstheme="minorHAnsi"/>
          <w:color w:val="000000" w:themeColor="text1"/>
        </w:rPr>
      </w:pPr>
      <w:r w:rsidRPr="00037AD4">
        <w:rPr>
          <w:rFonts w:asciiTheme="minorHAnsi" w:hAnsiTheme="minorHAnsi" w:cstheme="minorHAnsi"/>
        </w:rPr>
        <w:t>The following section uses the AME outputs for the selected “self-care” dimension models for both trials – reported in</w:t>
      </w:r>
      <w:r w:rsidRPr="00037AD4">
        <w:rPr>
          <w:rFonts w:asciiTheme="minorHAnsi" w:hAnsiTheme="minorHAnsi" w:cstheme="minorHAnsi"/>
          <w:color w:val="FF0000"/>
        </w:rPr>
        <w:t xml:space="preserve"> </w:t>
      </w:r>
      <w:hyperlink w:anchor="A63self" w:history="1">
        <w:r w:rsidRPr="00E90D97">
          <w:rPr>
            <w:rStyle w:val="Hyperlink"/>
            <w:rFonts w:asciiTheme="minorHAnsi" w:hAnsiTheme="minorHAnsi" w:cstheme="minorHAnsi"/>
            <w:color w:val="000000" w:themeColor="text1"/>
            <w:u w:val="none"/>
          </w:rPr>
          <w:t>Tables A6.3e - A6.3h in Appendix 6.3.</w:t>
        </w:r>
      </w:hyperlink>
    </w:p>
    <w:p w14:paraId="6C03F2E2" w14:textId="77777777" w:rsidR="00B54D51" w:rsidRPr="00037AD4" w:rsidRDefault="00B54D51" w:rsidP="00C3362B">
      <w:pPr>
        <w:rPr>
          <w:rFonts w:asciiTheme="minorHAnsi" w:hAnsiTheme="minorHAnsi" w:cstheme="minorHAnsi"/>
        </w:rPr>
      </w:pPr>
    </w:p>
    <w:p w14:paraId="6E89B39F" w14:textId="77777777" w:rsidR="00B54D51" w:rsidRPr="00037AD4" w:rsidRDefault="00B54D51" w:rsidP="00C3362B">
      <w:pPr>
        <w:rPr>
          <w:rFonts w:asciiTheme="minorHAnsi" w:hAnsiTheme="minorHAnsi" w:cstheme="minorHAnsi"/>
        </w:rPr>
      </w:pPr>
      <w:r w:rsidRPr="00037AD4">
        <w:rPr>
          <w:rFonts w:asciiTheme="minorHAnsi" w:hAnsiTheme="minorHAnsi" w:cstheme="minorHAnsi"/>
        </w:rPr>
        <w:t xml:space="preserve">The AMEs for the functional measures are statistically significant for both trials’ models, as seen with “mobility”, they </w:t>
      </w:r>
      <w:r w:rsidRPr="00037AD4">
        <w:rPr>
          <w:rFonts w:asciiTheme="minorHAnsi" w:hAnsiTheme="minorHAnsi" w:cstheme="minorHAnsi"/>
          <w:color w:val="000000" w:themeColor="text1"/>
        </w:rPr>
        <w:t xml:space="preserve">increase and decrease across the prediction levels in line with the measures scoring mechanism. The AMEs for MMSE observed within ACTIFCARE are not statistically significant. </w:t>
      </w:r>
      <w:r w:rsidRPr="00037AD4">
        <w:rPr>
          <w:rFonts w:asciiTheme="minorHAnsi" w:hAnsiTheme="minorHAnsi" w:cstheme="minorHAnsi"/>
        </w:rPr>
        <w:t>PwD age produced small and insignificant AME impacts. As previously explained, PwD demographic factors were retained across the models for theoretical and consistency reasons. For PwD sex, the AMEs are non-significant across both datasets but do increase across the levels. While these impacts are small for the EPIC trial, the ACTIFCARE output shows that the effect of being a female (PwD) results in a reduced likelihood of predicting a level one proxy-rated “self-care” response when compared to male people with dementia. However, this change is not statistically significant (p-value = 0.178).</w:t>
      </w:r>
    </w:p>
    <w:p w14:paraId="33BCCDC7" w14:textId="77777777" w:rsidR="00B54D51" w:rsidRPr="00037AD4" w:rsidRDefault="00B54D51" w:rsidP="00C3362B">
      <w:pPr>
        <w:rPr>
          <w:rFonts w:asciiTheme="minorHAnsi" w:hAnsiTheme="minorHAnsi" w:cstheme="minorHAnsi"/>
          <w:b/>
          <w:bCs/>
          <w:u w:val="single"/>
        </w:rPr>
      </w:pPr>
    </w:p>
    <w:p w14:paraId="6D2F1E3C" w14:textId="77777777" w:rsidR="00B54D51" w:rsidRPr="00037AD4" w:rsidRDefault="00B54D51" w:rsidP="00C3362B">
      <w:pPr>
        <w:rPr>
          <w:rFonts w:asciiTheme="minorHAnsi" w:hAnsiTheme="minorHAnsi" w:cstheme="minorHAnsi"/>
          <w:b/>
          <w:bCs/>
          <w:sz w:val="26"/>
          <w:szCs w:val="26"/>
          <w:u w:val="single"/>
        </w:rPr>
      </w:pPr>
      <w:r w:rsidRPr="00037AD4">
        <w:rPr>
          <w:rFonts w:asciiTheme="minorHAnsi" w:hAnsiTheme="minorHAnsi" w:cstheme="minorHAnsi"/>
          <w:b/>
          <w:bCs/>
          <w:sz w:val="26"/>
          <w:szCs w:val="26"/>
          <w:u w:val="single"/>
        </w:rPr>
        <w:t>6.4.2.3 Actual data vs. predicted data for “self-care” dimension</w:t>
      </w:r>
    </w:p>
    <w:p w14:paraId="43A7E6EC" w14:textId="77777777" w:rsidR="00B54D51" w:rsidRPr="00037AD4" w:rsidRDefault="00B54D51" w:rsidP="00C3362B">
      <w:pPr>
        <w:rPr>
          <w:rFonts w:asciiTheme="minorHAnsi" w:hAnsiTheme="minorHAnsi" w:cstheme="minorHAnsi"/>
          <w:b/>
          <w:bCs/>
          <w:u w:val="single"/>
        </w:rPr>
      </w:pPr>
    </w:p>
    <w:p w14:paraId="1B52C0C8" w14:textId="1857BCCA" w:rsidR="00B54D51" w:rsidRPr="00037AD4" w:rsidRDefault="00B54D51" w:rsidP="00C3362B">
      <w:pPr>
        <w:rPr>
          <w:rFonts w:asciiTheme="minorHAnsi" w:hAnsiTheme="minorHAnsi" w:cstheme="minorHAnsi"/>
        </w:rPr>
      </w:pPr>
      <w:r w:rsidRPr="00037AD4">
        <w:rPr>
          <w:rFonts w:asciiTheme="minorHAnsi" w:hAnsiTheme="minorHAnsi" w:cstheme="minorHAnsi"/>
        </w:rPr>
        <w:t>The tables below show the frequencies for the levels of the “self-care” dimension as rated by the proxy, and the predicted frequencies derived from the mapping models for both datasets. The findings from removing the MMSE variable from the ACTIFCARE model (as show</w:t>
      </w:r>
      <w:r w:rsidR="001C171E">
        <w:rPr>
          <w:rFonts w:asciiTheme="minorHAnsi" w:hAnsiTheme="minorHAnsi" w:cstheme="minorHAnsi"/>
        </w:rPr>
        <w:t>n</w:t>
      </w:r>
      <w:r w:rsidRPr="00037AD4">
        <w:rPr>
          <w:rFonts w:asciiTheme="minorHAnsi" w:hAnsiTheme="minorHAnsi" w:cstheme="minorHAnsi"/>
        </w:rPr>
        <w:t xml:space="preserve"> in Table 36a) were similar to those seen within the “mobility” section. The predictions for levels three to five became slightly closer to the actual frequencies. However, the prediction for level one moved slightly away from its observed frequency. Given these mixed results, it is inconclusive whether the removal of MMSE would be beneficial to the model's accuracy.</w:t>
      </w:r>
    </w:p>
    <w:p w14:paraId="50BA725A" w14:textId="77777777" w:rsidR="00B54D51" w:rsidRPr="00037AD4" w:rsidRDefault="00B54D51" w:rsidP="00C3362B">
      <w:pPr>
        <w:rPr>
          <w:rFonts w:asciiTheme="minorHAnsi" w:hAnsiTheme="minorHAnsi" w:cstheme="minorHAnsi"/>
          <w:b/>
          <w:bCs/>
          <w:u w:val="single"/>
        </w:rPr>
      </w:pPr>
    </w:p>
    <w:p w14:paraId="1BC1BB4B" w14:textId="77777777" w:rsidR="00B54D51" w:rsidRPr="00037AD4" w:rsidRDefault="00B54D51" w:rsidP="00C3362B">
      <w:pPr>
        <w:rPr>
          <w:rFonts w:asciiTheme="minorHAnsi" w:hAnsiTheme="minorHAnsi" w:cstheme="minorHAnsi"/>
          <w:b/>
          <w:bCs/>
          <w:i/>
          <w:iCs/>
        </w:rPr>
      </w:pPr>
      <w:r w:rsidRPr="00037AD4">
        <w:rPr>
          <w:rFonts w:asciiTheme="minorHAnsi" w:hAnsiTheme="minorHAnsi" w:cstheme="minorHAnsi"/>
          <w:b/>
          <w:bCs/>
          <w:i/>
          <w:iCs/>
        </w:rPr>
        <w:lastRenderedPageBreak/>
        <w:t>Table 36a, Observed vs. predicted data for “self-care” dimension from the ACTIFCARE study</w:t>
      </w:r>
    </w:p>
    <w:p w14:paraId="723AE27E" w14:textId="77777777" w:rsidR="00B54D51" w:rsidRPr="00037AD4" w:rsidRDefault="00B54D51" w:rsidP="00C3362B">
      <w:pPr>
        <w:rPr>
          <w:rFonts w:asciiTheme="minorHAnsi" w:hAnsiTheme="minorHAnsi" w:cstheme="minorHAnsi"/>
          <w:b/>
          <w:bCs/>
          <w:u w:val="single"/>
        </w:rPr>
      </w:pPr>
    </w:p>
    <w:tbl>
      <w:tblPr>
        <w:tblStyle w:val="TableGrid"/>
        <w:tblW w:w="0" w:type="auto"/>
        <w:tblLook w:val="04A0" w:firstRow="1" w:lastRow="0" w:firstColumn="1" w:lastColumn="0" w:noHBand="0" w:noVBand="1"/>
      </w:tblPr>
      <w:tblGrid>
        <w:gridCol w:w="2830"/>
        <w:gridCol w:w="1701"/>
        <w:gridCol w:w="1701"/>
        <w:gridCol w:w="2015"/>
      </w:tblGrid>
      <w:tr w:rsidR="00B54D51" w:rsidRPr="00037AD4" w14:paraId="66EFEC0C" w14:textId="77777777" w:rsidTr="002B6B17">
        <w:tc>
          <w:tcPr>
            <w:tcW w:w="2830" w:type="dxa"/>
          </w:tcPr>
          <w:p w14:paraId="580FE91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Response options</w:t>
            </w:r>
          </w:p>
        </w:tc>
        <w:tc>
          <w:tcPr>
            <w:tcW w:w="1701" w:type="dxa"/>
          </w:tcPr>
          <w:p w14:paraId="756E1827" w14:textId="77777777" w:rsidR="00B54D51" w:rsidRDefault="00B54D51" w:rsidP="00401C67">
            <w:pPr>
              <w:rPr>
                <w:rFonts w:asciiTheme="minorHAnsi" w:hAnsiTheme="minorHAnsi" w:cstheme="minorHAnsi"/>
              </w:rPr>
            </w:pPr>
            <w:r w:rsidRPr="00037AD4">
              <w:rPr>
                <w:rFonts w:asciiTheme="minorHAnsi" w:hAnsiTheme="minorHAnsi" w:cstheme="minorHAnsi"/>
              </w:rPr>
              <w:t>Observed frequency (%)</w:t>
            </w:r>
          </w:p>
          <w:p w14:paraId="1BA19997" w14:textId="77777777" w:rsidR="00B54D51" w:rsidRPr="00A94DD6" w:rsidRDefault="00B54D51" w:rsidP="00401C67">
            <w:pPr>
              <w:rPr>
                <w:rFonts w:asciiTheme="minorHAnsi" w:hAnsiTheme="minorHAnsi" w:cstheme="minorHAnsi"/>
                <w:i/>
                <w:iCs/>
                <w:sz w:val="22"/>
                <w:szCs w:val="22"/>
              </w:rPr>
            </w:pPr>
            <w:r w:rsidRPr="00A94DD6">
              <w:rPr>
                <w:rFonts w:asciiTheme="minorHAnsi" w:hAnsiTheme="minorHAnsi" w:cstheme="minorHAnsi"/>
                <w:i/>
                <w:iCs/>
                <w:sz w:val="22"/>
                <w:szCs w:val="22"/>
              </w:rPr>
              <w:t>n=1194</w:t>
            </w:r>
          </w:p>
        </w:tc>
        <w:tc>
          <w:tcPr>
            <w:tcW w:w="1701" w:type="dxa"/>
          </w:tcPr>
          <w:p w14:paraId="218DEE6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Predicted frequency (%)</w:t>
            </w:r>
          </w:p>
          <w:p w14:paraId="5D00AAC1" w14:textId="77777777" w:rsidR="00B54D51" w:rsidRDefault="00B54D51" w:rsidP="00401C67">
            <w:pPr>
              <w:rPr>
                <w:rFonts w:asciiTheme="minorHAnsi" w:hAnsiTheme="minorHAnsi" w:cstheme="minorHAnsi"/>
              </w:rPr>
            </w:pPr>
            <w:r w:rsidRPr="00037AD4">
              <w:rPr>
                <w:rFonts w:asciiTheme="minorHAnsi" w:hAnsiTheme="minorHAnsi" w:cstheme="minorHAnsi"/>
              </w:rPr>
              <w:t>(With MMSE)</w:t>
            </w:r>
          </w:p>
          <w:p w14:paraId="7DA3A22C" w14:textId="77777777" w:rsidR="00B54D51" w:rsidRPr="00A94DD6" w:rsidRDefault="00B54D51" w:rsidP="00401C67">
            <w:pPr>
              <w:rPr>
                <w:rFonts w:asciiTheme="minorHAnsi" w:hAnsiTheme="minorHAnsi" w:cstheme="minorHAnsi"/>
                <w:i/>
                <w:iCs/>
                <w:sz w:val="22"/>
                <w:szCs w:val="22"/>
              </w:rPr>
            </w:pPr>
          </w:p>
        </w:tc>
        <w:tc>
          <w:tcPr>
            <w:tcW w:w="2015" w:type="dxa"/>
          </w:tcPr>
          <w:p w14:paraId="0991800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Predicted frequency (%) </w:t>
            </w:r>
          </w:p>
          <w:p w14:paraId="2DEA352F" w14:textId="77777777" w:rsidR="00B54D51" w:rsidRDefault="00B54D51" w:rsidP="00401C67">
            <w:pPr>
              <w:rPr>
                <w:rFonts w:asciiTheme="minorHAnsi" w:hAnsiTheme="minorHAnsi" w:cstheme="minorHAnsi"/>
              </w:rPr>
            </w:pPr>
            <w:r w:rsidRPr="00037AD4">
              <w:rPr>
                <w:rFonts w:asciiTheme="minorHAnsi" w:hAnsiTheme="minorHAnsi" w:cstheme="minorHAnsi"/>
              </w:rPr>
              <w:t>(Without MMSE)</w:t>
            </w:r>
          </w:p>
          <w:p w14:paraId="0D072A56" w14:textId="77777777" w:rsidR="00B54D51" w:rsidRPr="00A94DD6" w:rsidRDefault="00B54D51" w:rsidP="00401C67">
            <w:pPr>
              <w:rPr>
                <w:rFonts w:asciiTheme="minorHAnsi" w:hAnsiTheme="minorHAnsi" w:cstheme="minorHAnsi"/>
                <w:i/>
                <w:iCs/>
                <w:sz w:val="22"/>
                <w:szCs w:val="22"/>
              </w:rPr>
            </w:pPr>
          </w:p>
        </w:tc>
      </w:tr>
      <w:tr w:rsidR="00B54D51" w:rsidRPr="00037AD4" w14:paraId="48AE2536" w14:textId="77777777" w:rsidTr="002B6B17">
        <w:tc>
          <w:tcPr>
            <w:tcW w:w="2830" w:type="dxa"/>
          </w:tcPr>
          <w:p w14:paraId="1D3F7B2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No problems</w:t>
            </w:r>
          </w:p>
        </w:tc>
        <w:tc>
          <w:tcPr>
            <w:tcW w:w="1701" w:type="dxa"/>
          </w:tcPr>
          <w:p w14:paraId="2764452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43.80</w:t>
            </w:r>
          </w:p>
        </w:tc>
        <w:tc>
          <w:tcPr>
            <w:tcW w:w="1701" w:type="dxa"/>
          </w:tcPr>
          <w:p w14:paraId="4CBD0B8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47.97</w:t>
            </w:r>
          </w:p>
        </w:tc>
        <w:tc>
          <w:tcPr>
            <w:tcW w:w="2015" w:type="dxa"/>
          </w:tcPr>
          <w:p w14:paraId="0B6F521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46.67</w:t>
            </w:r>
          </w:p>
        </w:tc>
      </w:tr>
      <w:tr w:rsidR="00B54D51" w:rsidRPr="00037AD4" w14:paraId="76B989E3" w14:textId="77777777" w:rsidTr="002B6B17">
        <w:tc>
          <w:tcPr>
            <w:tcW w:w="2830" w:type="dxa"/>
          </w:tcPr>
          <w:p w14:paraId="5BD65A1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Slight problems</w:t>
            </w:r>
          </w:p>
        </w:tc>
        <w:tc>
          <w:tcPr>
            <w:tcW w:w="1701" w:type="dxa"/>
          </w:tcPr>
          <w:p w14:paraId="494A02A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26.30</w:t>
            </w:r>
          </w:p>
        </w:tc>
        <w:tc>
          <w:tcPr>
            <w:tcW w:w="1701" w:type="dxa"/>
          </w:tcPr>
          <w:p w14:paraId="3754E7F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26.78</w:t>
            </w:r>
          </w:p>
        </w:tc>
        <w:tc>
          <w:tcPr>
            <w:tcW w:w="2015" w:type="dxa"/>
          </w:tcPr>
          <w:p w14:paraId="4F54792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26.67</w:t>
            </w:r>
          </w:p>
        </w:tc>
      </w:tr>
      <w:tr w:rsidR="00B54D51" w:rsidRPr="00037AD4" w14:paraId="46780AF7" w14:textId="77777777" w:rsidTr="002B6B17">
        <w:tc>
          <w:tcPr>
            <w:tcW w:w="2830" w:type="dxa"/>
          </w:tcPr>
          <w:p w14:paraId="46EBC1C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Moderate problems</w:t>
            </w:r>
          </w:p>
        </w:tc>
        <w:tc>
          <w:tcPr>
            <w:tcW w:w="1701" w:type="dxa"/>
          </w:tcPr>
          <w:p w14:paraId="5D76A48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17.42</w:t>
            </w:r>
          </w:p>
        </w:tc>
        <w:tc>
          <w:tcPr>
            <w:tcW w:w="1701" w:type="dxa"/>
          </w:tcPr>
          <w:p w14:paraId="2B92745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15.81</w:t>
            </w:r>
          </w:p>
        </w:tc>
        <w:tc>
          <w:tcPr>
            <w:tcW w:w="2015" w:type="dxa"/>
          </w:tcPr>
          <w:p w14:paraId="2C86B26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16.30</w:t>
            </w:r>
          </w:p>
        </w:tc>
      </w:tr>
      <w:tr w:rsidR="00B54D51" w:rsidRPr="00037AD4" w14:paraId="482942D9" w14:textId="77777777" w:rsidTr="002B6B17">
        <w:tc>
          <w:tcPr>
            <w:tcW w:w="2830" w:type="dxa"/>
          </w:tcPr>
          <w:p w14:paraId="064979E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Severe problems</w:t>
            </w:r>
          </w:p>
        </w:tc>
        <w:tc>
          <w:tcPr>
            <w:tcW w:w="1701" w:type="dxa"/>
          </w:tcPr>
          <w:p w14:paraId="4BD55F8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6.95</w:t>
            </w:r>
          </w:p>
        </w:tc>
        <w:tc>
          <w:tcPr>
            <w:tcW w:w="1701" w:type="dxa"/>
          </w:tcPr>
          <w:p w14:paraId="53BF10D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5.63</w:t>
            </w:r>
          </w:p>
        </w:tc>
        <w:tc>
          <w:tcPr>
            <w:tcW w:w="2015" w:type="dxa"/>
          </w:tcPr>
          <w:p w14:paraId="63F4FA0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6.26</w:t>
            </w:r>
          </w:p>
        </w:tc>
      </w:tr>
      <w:tr w:rsidR="00B54D51" w:rsidRPr="00037AD4" w14:paraId="578C04B9" w14:textId="77777777" w:rsidTr="002B6B17">
        <w:tc>
          <w:tcPr>
            <w:tcW w:w="2830" w:type="dxa"/>
          </w:tcPr>
          <w:p w14:paraId="71F66A4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Unable to wash or dress </w:t>
            </w:r>
          </w:p>
        </w:tc>
        <w:tc>
          <w:tcPr>
            <w:tcW w:w="1701" w:type="dxa"/>
          </w:tcPr>
          <w:p w14:paraId="155811C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5.53</w:t>
            </w:r>
          </w:p>
        </w:tc>
        <w:tc>
          <w:tcPr>
            <w:tcW w:w="1701" w:type="dxa"/>
          </w:tcPr>
          <w:p w14:paraId="6EAE5C4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3.81</w:t>
            </w:r>
          </w:p>
        </w:tc>
        <w:tc>
          <w:tcPr>
            <w:tcW w:w="2015" w:type="dxa"/>
          </w:tcPr>
          <w:p w14:paraId="3217D67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4.10</w:t>
            </w:r>
          </w:p>
        </w:tc>
      </w:tr>
    </w:tbl>
    <w:p w14:paraId="319E1775" w14:textId="77777777" w:rsidR="00B54D51" w:rsidRPr="00037AD4" w:rsidRDefault="00B54D51" w:rsidP="00C3362B">
      <w:pPr>
        <w:rPr>
          <w:rFonts w:asciiTheme="minorHAnsi" w:hAnsiTheme="minorHAnsi" w:cstheme="minorHAnsi"/>
        </w:rPr>
      </w:pPr>
    </w:p>
    <w:p w14:paraId="18F6ACB6" w14:textId="77777777" w:rsidR="00B54D51" w:rsidRPr="00037AD4" w:rsidRDefault="00B54D51" w:rsidP="00C3362B">
      <w:pPr>
        <w:rPr>
          <w:rFonts w:asciiTheme="minorHAnsi" w:hAnsiTheme="minorHAnsi" w:cstheme="minorHAnsi"/>
        </w:rPr>
      </w:pPr>
      <w:r w:rsidRPr="00037AD4">
        <w:rPr>
          <w:rFonts w:asciiTheme="minorHAnsi" w:hAnsiTheme="minorHAnsi" w:cstheme="minorHAnsi"/>
        </w:rPr>
        <w:t xml:space="preserve">For the EPIC data, as shown in Table 36b, the predictions overestimate the frequency for levels one to four, and substantially underestimate at level five. While this is a noticeable discrepancy particularly in the most severe level, the predictions provide a general direction. It is fundamental </w:t>
      </w:r>
      <w:r w:rsidRPr="001C171E">
        <w:rPr>
          <w:rFonts w:asciiTheme="minorHAnsi" w:hAnsiTheme="minorHAnsi" w:cstheme="minorHAnsi"/>
          <w:color w:val="000000" w:themeColor="text1"/>
        </w:rPr>
        <w:t xml:space="preserve">to note that these models are limited by the available data. The “self-care” dimension exhibited ceiling effects for PwD responses (67% of PwD self-rated level one, </w:t>
      </w:r>
      <w:hyperlink w:anchor="TableA6B" w:history="1">
        <w:r w:rsidRPr="001C171E">
          <w:rPr>
            <w:rStyle w:val="Hyperlink"/>
            <w:rFonts w:asciiTheme="minorHAnsi" w:hAnsiTheme="minorHAnsi" w:cstheme="minorHAnsi"/>
            <w:color w:val="000000" w:themeColor="text1"/>
            <w:u w:val="none"/>
          </w:rPr>
          <w:t>see Table A6b</w:t>
        </w:r>
      </w:hyperlink>
      <w:r w:rsidRPr="001C171E">
        <w:rPr>
          <w:rFonts w:asciiTheme="minorHAnsi" w:hAnsiTheme="minorHAnsi" w:cstheme="minorHAnsi"/>
          <w:color w:val="000000" w:themeColor="text1"/>
        </w:rPr>
        <w:t xml:space="preserve">), which were used for predicting staff proxy responses, thereby potentially hindering the predictions by underrepresenting </w:t>
      </w:r>
      <w:r w:rsidRPr="00037AD4">
        <w:rPr>
          <w:rFonts w:asciiTheme="minorHAnsi" w:hAnsiTheme="minorHAnsi" w:cstheme="minorHAnsi"/>
        </w:rPr>
        <w:t xml:space="preserve">the extreme values. </w:t>
      </w:r>
    </w:p>
    <w:p w14:paraId="4A4C875A" w14:textId="77777777" w:rsidR="00B54D51" w:rsidRPr="00037AD4" w:rsidRDefault="00B54D51" w:rsidP="00C3362B">
      <w:pPr>
        <w:rPr>
          <w:rFonts w:asciiTheme="minorHAnsi" w:hAnsiTheme="minorHAnsi" w:cstheme="minorHAnsi"/>
          <w:b/>
          <w:bCs/>
          <w:u w:val="single"/>
        </w:rPr>
      </w:pPr>
    </w:p>
    <w:p w14:paraId="74F15B3D" w14:textId="77777777" w:rsidR="00B54D51" w:rsidRPr="00037AD4" w:rsidRDefault="00B54D51" w:rsidP="00C3362B">
      <w:pPr>
        <w:rPr>
          <w:rFonts w:asciiTheme="minorHAnsi" w:hAnsiTheme="minorHAnsi" w:cstheme="minorHAnsi"/>
          <w:b/>
          <w:bCs/>
          <w:i/>
          <w:iCs/>
        </w:rPr>
      </w:pPr>
      <w:r w:rsidRPr="00037AD4">
        <w:rPr>
          <w:rFonts w:asciiTheme="minorHAnsi" w:hAnsiTheme="minorHAnsi" w:cstheme="minorHAnsi"/>
          <w:b/>
          <w:bCs/>
          <w:i/>
          <w:iCs/>
        </w:rPr>
        <w:t>Table 36b, Observed vs. predicted data for “self-care” dimension from the EPIC study</w:t>
      </w:r>
    </w:p>
    <w:p w14:paraId="6A46214D" w14:textId="77777777" w:rsidR="00B54D51" w:rsidRPr="00037AD4" w:rsidRDefault="00B54D51" w:rsidP="00C3362B">
      <w:pPr>
        <w:rPr>
          <w:rFonts w:asciiTheme="minorHAnsi" w:hAnsiTheme="minorHAnsi" w:cstheme="minorHAnsi"/>
          <w:b/>
          <w:bCs/>
          <w:u w:val="single"/>
        </w:rPr>
      </w:pPr>
    </w:p>
    <w:tbl>
      <w:tblPr>
        <w:tblStyle w:val="TableGrid"/>
        <w:tblW w:w="0" w:type="auto"/>
        <w:tblLook w:val="04A0" w:firstRow="1" w:lastRow="0" w:firstColumn="1" w:lastColumn="0" w:noHBand="0" w:noVBand="1"/>
      </w:tblPr>
      <w:tblGrid>
        <w:gridCol w:w="2689"/>
        <w:gridCol w:w="2693"/>
        <w:gridCol w:w="2694"/>
      </w:tblGrid>
      <w:tr w:rsidR="00B54D51" w:rsidRPr="00037AD4" w14:paraId="0244A6D0" w14:textId="77777777" w:rsidTr="002B6B17">
        <w:tc>
          <w:tcPr>
            <w:tcW w:w="2689" w:type="dxa"/>
          </w:tcPr>
          <w:p w14:paraId="1F7887C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Response options </w:t>
            </w:r>
          </w:p>
        </w:tc>
        <w:tc>
          <w:tcPr>
            <w:tcW w:w="2693" w:type="dxa"/>
          </w:tcPr>
          <w:p w14:paraId="6DFD99FB" w14:textId="77777777" w:rsidR="00B54D51" w:rsidRDefault="00B54D51" w:rsidP="00401C67">
            <w:pPr>
              <w:rPr>
                <w:rFonts w:asciiTheme="minorHAnsi" w:hAnsiTheme="minorHAnsi" w:cstheme="minorHAnsi"/>
              </w:rPr>
            </w:pPr>
            <w:r w:rsidRPr="00037AD4">
              <w:rPr>
                <w:rFonts w:asciiTheme="minorHAnsi" w:hAnsiTheme="minorHAnsi" w:cstheme="minorHAnsi"/>
              </w:rPr>
              <w:t>Observed frequency (%)</w:t>
            </w:r>
          </w:p>
          <w:p w14:paraId="35093755" w14:textId="77777777" w:rsidR="00B54D51" w:rsidRPr="00FD5268" w:rsidRDefault="00B54D51" w:rsidP="00401C67">
            <w:pPr>
              <w:rPr>
                <w:rFonts w:asciiTheme="minorHAnsi" w:hAnsiTheme="minorHAnsi" w:cstheme="minorHAnsi"/>
                <w:i/>
                <w:iCs/>
                <w:sz w:val="22"/>
                <w:szCs w:val="22"/>
              </w:rPr>
            </w:pPr>
            <w:r w:rsidRPr="00FD5268">
              <w:rPr>
                <w:rFonts w:asciiTheme="minorHAnsi" w:hAnsiTheme="minorHAnsi" w:cstheme="minorHAnsi"/>
                <w:i/>
                <w:iCs/>
                <w:sz w:val="22"/>
                <w:szCs w:val="22"/>
              </w:rPr>
              <w:t>n=1700</w:t>
            </w:r>
          </w:p>
        </w:tc>
        <w:tc>
          <w:tcPr>
            <w:tcW w:w="2694" w:type="dxa"/>
          </w:tcPr>
          <w:p w14:paraId="3D9C892D" w14:textId="77777777" w:rsidR="00B54D51" w:rsidRDefault="00B54D51" w:rsidP="00401C67">
            <w:pPr>
              <w:rPr>
                <w:rFonts w:asciiTheme="minorHAnsi" w:hAnsiTheme="minorHAnsi" w:cstheme="minorHAnsi"/>
              </w:rPr>
            </w:pPr>
            <w:r w:rsidRPr="00037AD4">
              <w:rPr>
                <w:rFonts w:asciiTheme="minorHAnsi" w:hAnsiTheme="minorHAnsi" w:cstheme="minorHAnsi"/>
              </w:rPr>
              <w:t>Predicted frequency (%)</w:t>
            </w:r>
          </w:p>
          <w:p w14:paraId="39476042" w14:textId="77777777" w:rsidR="00B54D51" w:rsidRPr="00FD5268" w:rsidRDefault="00B54D51" w:rsidP="00401C67">
            <w:pPr>
              <w:rPr>
                <w:rFonts w:asciiTheme="minorHAnsi" w:hAnsiTheme="minorHAnsi" w:cstheme="minorHAnsi"/>
                <w:i/>
                <w:iCs/>
                <w:sz w:val="22"/>
                <w:szCs w:val="22"/>
              </w:rPr>
            </w:pPr>
          </w:p>
        </w:tc>
      </w:tr>
      <w:tr w:rsidR="00B54D51" w:rsidRPr="00037AD4" w14:paraId="6F4FA9E7" w14:textId="77777777" w:rsidTr="002B6B17">
        <w:tc>
          <w:tcPr>
            <w:tcW w:w="2689" w:type="dxa"/>
          </w:tcPr>
          <w:p w14:paraId="1EC01D1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No problems</w:t>
            </w:r>
          </w:p>
        </w:tc>
        <w:tc>
          <w:tcPr>
            <w:tcW w:w="2693" w:type="dxa"/>
          </w:tcPr>
          <w:p w14:paraId="4B2865D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13.41</w:t>
            </w:r>
          </w:p>
        </w:tc>
        <w:tc>
          <w:tcPr>
            <w:tcW w:w="2694" w:type="dxa"/>
          </w:tcPr>
          <w:p w14:paraId="67D8480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20.01</w:t>
            </w:r>
          </w:p>
        </w:tc>
      </w:tr>
      <w:tr w:rsidR="00B54D51" w:rsidRPr="00037AD4" w14:paraId="1977BAC7" w14:textId="77777777" w:rsidTr="002B6B17">
        <w:tc>
          <w:tcPr>
            <w:tcW w:w="2689" w:type="dxa"/>
          </w:tcPr>
          <w:p w14:paraId="5E35E4B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Slight problems</w:t>
            </w:r>
          </w:p>
        </w:tc>
        <w:tc>
          <w:tcPr>
            <w:tcW w:w="2693" w:type="dxa"/>
          </w:tcPr>
          <w:p w14:paraId="5493828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12.59</w:t>
            </w:r>
          </w:p>
        </w:tc>
        <w:tc>
          <w:tcPr>
            <w:tcW w:w="2694" w:type="dxa"/>
          </w:tcPr>
          <w:p w14:paraId="3A02D37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19.25</w:t>
            </w:r>
          </w:p>
        </w:tc>
      </w:tr>
      <w:tr w:rsidR="00B54D51" w:rsidRPr="00037AD4" w14:paraId="360D8153" w14:textId="77777777" w:rsidTr="002B6B17">
        <w:tc>
          <w:tcPr>
            <w:tcW w:w="2689" w:type="dxa"/>
          </w:tcPr>
          <w:p w14:paraId="2145146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Moderate problems</w:t>
            </w:r>
          </w:p>
        </w:tc>
        <w:tc>
          <w:tcPr>
            <w:tcW w:w="2693" w:type="dxa"/>
          </w:tcPr>
          <w:p w14:paraId="722C580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12.88</w:t>
            </w:r>
          </w:p>
        </w:tc>
        <w:tc>
          <w:tcPr>
            <w:tcW w:w="2694" w:type="dxa"/>
          </w:tcPr>
          <w:p w14:paraId="2A3B0A7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17.13</w:t>
            </w:r>
          </w:p>
        </w:tc>
      </w:tr>
      <w:tr w:rsidR="00B54D51" w:rsidRPr="00037AD4" w14:paraId="24AF8607" w14:textId="77777777" w:rsidTr="002B6B17">
        <w:tc>
          <w:tcPr>
            <w:tcW w:w="2689" w:type="dxa"/>
          </w:tcPr>
          <w:p w14:paraId="3F271DE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Severe problems</w:t>
            </w:r>
          </w:p>
        </w:tc>
        <w:tc>
          <w:tcPr>
            <w:tcW w:w="2693" w:type="dxa"/>
          </w:tcPr>
          <w:p w14:paraId="5AB3DF9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7.94</w:t>
            </w:r>
          </w:p>
        </w:tc>
        <w:tc>
          <w:tcPr>
            <w:tcW w:w="2694" w:type="dxa"/>
          </w:tcPr>
          <w:p w14:paraId="4195A38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9.84</w:t>
            </w:r>
          </w:p>
        </w:tc>
      </w:tr>
      <w:tr w:rsidR="00B54D51" w:rsidRPr="00037AD4" w14:paraId="4FC8E66B" w14:textId="77777777" w:rsidTr="002B6B17">
        <w:tc>
          <w:tcPr>
            <w:tcW w:w="2689" w:type="dxa"/>
          </w:tcPr>
          <w:p w14:paraId="7CB58A6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Unable to wash or dress </w:t>
            </w:r>
          </w:p>
        </w:tc>
        <w:tc>
          <w:tcPr>
            <w:tcW w:w="2693" w:type="dxa"/>
          </w:tcPr>
          <w:p w14:paraId="5B8BF67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53.18</w:t>
            </w:r>
          </w:p>
        </w:tc>
        <w:tc>
          <w:tcPr>
            <w:tcW w:w="2694" w:type="dxa"/>
          </w:tcPr>
          <w:p w14:paraId="237B647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33.77</w:t>
            </w:r>
          </w:p>
        </w:tc>
      </w:tr>
    </w:tbl>
    <w:p w14:paraId="693C6685" w14:textId="77777777" w:rsidR="00B54D51" w:rsidRPr="00037AD4" w:rsidRDefault="00B54D51" w:rsidP="00C3362B">
      <w:pPr>
        <w:rPr>
          <w:rFonts w:asciiTheme="minorHAnsi" w:hAnsiTheme="minorHAnsi" w:cstheme="minorHAnsi"/>
          <w:b/>
          <w:bCs/>
          <w:u w:val="single"/>
        </w:rPr>
      </w:pPr>
    </w:p>
    <w:p w14:paraId="4D35D960" w14:textId="77777777" w:rsidR="00B54D51" w:rsidRPr="00037AD4" w:rsidRDefault="00B54D51" w:rsidP="00C3362B">
      <w:pPr>
        <w:rPr>
          <w:rFonts w:asciiTheme="minorHAnsi" w:hAnsiTheme="minorHAnsi" w:cstheme="minorHAnsi"/>
          <w:b/>
          <w:bCs/>
          <w:sz w:val="26"/>
          <w:szCs w:val="26"/>
          <w:u w:val="single"/>
        </w:rPr>
      </w:pPr>
      <w:r w:rsidRPr="00037AD4">
        <w:rPr>
          <w:rFonts w:asciiTheme="minorHAnsi" w:hAnsiTheme="minorHAnsi" w:cstheme="minorHAnsi"/>
          <w:b/>
          <w:bCs/>
          <w:sz w:val="26"/>
          <w:szCs w:val="26"/>
          <w:u w:val="single"/>
        </w:rPr>
        <w:t xml:space="preserve">6.4.2.4 Including a trial indicator for the “self-care” dimension  </w:t>
      </w:r>
    </w:p>
    <w:p w14:paraId="25E128A5" w14:textId="77777777" w:rsidR="00B54D51" w:rsidRPr="00037AD4" w:rsidRDefault="00B54D51" w:rsidP="00C3362B">
      <w:pPr>
        <w:rPr>
          <w:rFonts w:asciiTheme="minorHAnsi" w:hAnsiTheme="minorHAnsi" w:cstheme="minorHAnsi"/>
          <w:b/>
          <w:bCs/>
          <w:u w:val="single"/>
        </w:rPr>
      </w:pPr>
    </w:p>
    <w:p w14:paraId="49E10394" w14:textId="77777777" w:rsidR="00B54D51" w:rsidRPr="00037AD4" w:rsidRDefault="00B54D51" w:rsidP="00C3362B">
      <w:pPr>
        <w:rPr>
          <w:rFonts w:asciiTheme="minorHAnsi" w:hAnsiTheme="minorHAnsi" w:cstheme="minorHAnsi"/>
        </w:rPr>
      </w:pPr>
      <w:r w:rsidRPr="00037AD4">
        <w:rPr>
          <w:rFonts w:asciiTheme="minorHAnsi" w:hAnsiTheme="minorHAnsi" w:cstheme="minorHAnsi"/>
        </w:rPr>
        <w:t>Using the available variables within the datasets, the “self-care” model was re-run on a merged dataset that included a trial indicator variable</w:t>
      </w:r>
      <w:r w:rsidRPr="00037AD4">
        <w:rPr>
          <w:rFonts w:asciiTheme="minorHAnsi" w:hAnsiTheme="minorHAnsi" w:cstheme="minorHAnsi"/>
          <w:color w:val="000000" w:themeColor="text1"/>
        </w:rPr>
        <w:t xml:space="preserve">. The coefficients table for this is available </w:t>
      </w:r>
      <w:r w:rsidRPr="001C171E">
        <w:rPr>
          <w:rFonts w:asciiTheme="minorHAnsi" w:hAnsiTheme="minorHAnsi" w:cstheme="minorHAnsi"/>
          <w:color w:val="000000" w:themeColor="text1"/>
        </w:rPr>
        <w:t xml:space="preserve">in </w:t>
      </w:r>
      <w:hyperlink w:anchor="A64" w:history="1">
        <w:r w:rsidRPr="001C171E">
          <w:rPr>
            <w:rStyle w:val="Hyperlink"/>
            <w:rFonts w:asciiTheme="minorHAnsi" w:hAnsiTheme="minorHAnsi" w:cstheme="minorHAnsi"/>
            <w:color w:val="000000" w:themeColor="text1"/>
            <w:u w:val="none"/>
          </w:rPr>
          <w:t>Appendix 6.4</w:t>
        </w:r>
      </w:hyperlink>
      <w:r w:rsidRPr="001C171E">
        <w:rPr>
          <w:rFonts w:asciiTheme="minorHAnsi" w:hAnsiTheme="minorHAnsi" w:cstheme="minorHAnsi"/>
          <w:color w:val="000000" w:themeColor="text1"/>
        </w:rPr>
        <w:t xml:space="preserve">. The coefficient </w:t>
      </w:r>
      <w:r w:rsidRPr="00037AD4">
        <w:rPr>
          <w:rFonts w:asciiTheme="minorHAnsi" w:hAnsiTheme="minorHAnsi" w:cstheme="minorHAnsi"/>
        </w:rPr>
        <w:t>of the trial indicator is statistically significant (r=0.833, p=0.000), whereby the EPIC sample are associated with worse predictive proxy “self-care” reports. This observation is consistent with characteristics of the EPIC trial data, which showed floor effects for staff proxy reports of this dimension. This result highlights the differences in how the core model operates across the two distinct trials and residential settings.</w:t>
      </w:r>
    </w:p>
    <w:p w14:paraId="58532319" w14:textId="78F25291" w:rsidR="00B54D51" w:rsidRDefault="00B54D51" w:rsidP="00C3362B">
      <w:pPr>
        <w:rPr>
          <w:rFonts w:asciiTheme="minorHAnsi" w:hAnsiTheme="minorHAnsi" w:cstheme="minorHAnsi"/>
          <w:b/>
          <w:bCs/>
          <w:sz w:val="26"/>
          <w:szCs w:val="26"/>
          <w:u w:val="single"/>
        </w:rPr>
      </w:pPr>
    </w:p>
    <w:p w14:paraId="035685EE" w14:textId="295CBBAD" w:rsidR="001C171E" w:rsidRDefault="001C171E" w:rsidP="00C3362B">
      <w:pPr>
        <w:rPr>
          <w:rFonts w:asciiTheme="minorHAnsi" w:hAnsiTheme="minorHAnsi" w:cstheme="minorHAnsi"/>
          <w:b/>
          <w:bCs/>
          <w:sz w:val="26"/>
          <w:szCs w:val="26"/>
          <w:u w:val="single"/>
        </w:rPr>
      </w:pPr>
    </w:p>
    <w:p w14:paraId="6598A8DF" w14:textId="6C30B55D" w:rsidR="001C171E" w:rsidRDefault="001C171E" w:rsidP="00C3362B">
      <w:pPr>
        <w:rPr>
          <w:rFonts w:asciiTheme="minorHAnsi" w:hAnsiTheme="minorHAnsi" w:cstheme="minorHAnsi"/>
          <w:b/>
          <w:bCs/>
          <w:sz w:val="26"/>
          <w:szCs w:val="26"/>
          <w:u w:val="single"/>
        </w:rPr>
      </w:pPr>
    </w:p>
    <w:p w14:paraId="23AA974A" w14:textId="02BEC477" w:rsidR="001C171E" w:rsidRPr="00037AD4" w:rsidRDefault="00FC5A90" w:rsidP="00C3362B">
      <w:pPr>
        <w:rPr>
          <w:rFonts w:asciiTheme="minorHAnsi" w:hAnsiTheme="minorHAnsi" w:cstheme="minorHAnsi"/>
          <w:b/>
          <w:bCs/>
          <w:sz w:val="26"/>
          <w:szCs w:val="26"/>
          <w:u w:val="single"/>
        </w:rPr>
      </w:pPr>
      <w:r>
        <w:rPr>
          <w:rFonts w:asciiTheme="minorHAnsi" w:hAnsiTheme="minorHAnsi" w:cstheme="minorHAnsi"/>
          <w:b/>
          <w:bCs/>
          <w:sz w:val="26"/>
          <w:szCs w:val="26"/>
          <w:u w:val="single"/>
        </w:rPr>
        <w:t xml:space="preserve">  </w:t>
      </w:r>
    </w:p>
    <w:p w14:paraId="08766A39" w14:textId="77777777" w:rsidR="00B54D51" w:rsidRPr="00037AD4" w:rsidRDefault="00B54D51" w:rsidP="007A43F9">
      <w:pPr>
        <w:pStyle w:val="Heading3"/>
      </w:pPr>
      <w:bookmarkStart w:id="402" w:name="_Toc175742356"/>
      <w:r w:rsidRPr="00037AD4">
        <w:lastRenderedPageBreak/>
        <w:t>6.4.3 Mapping to the “usual activities” dimension</w:t>
      </w:r>
      <w:bookmarkEnd w:id="402"/>
      <w:r w:rsidRPr="00037AD4">
        <w:t xml:space="preserve"> </w:t>
      </w:r>
    </w:p>
    <w:p w14:paraId="41D5D503" w14:textId="77777777" w:rsidR="00B54D51" w:rsidRPr="00037AD4" w:rsidRDefault="00B54D51" w:rsidP="00C3362B">
      <w:pPr>
        <w:rPr>
          <w:rFonts w:asciiTheme="minorHAnsi" w:hAnsiTheme="minorHAnsi" w:cstheme="minorHAnsi"/>
          <w:b/>
          <w:bCs/>
          <w:u w:val="single"/>
        </w:rPr>
      </w:pPr>
    </w:p>
    <w:p w14:paraId="4359B8CB" w14:textId="77777777" w:rsidR="00B54D51" w:rsidRPr="00037AD4" w:rsidRDefault="00B54D51" w:rsidP="00C3362B">
      <w:pPr>
        <w:rPr>
          <w:rFonts w:asciiTheme="minorHAnsi" w:hAnsiTheme="minorHAnsi" w:cstheme="minorHAnsi"/>
          <w:color w:val="FF0000"/>
        </w:rPr>
      </w:pPr>
      <w:r w:rsidRPr="00037AD4">
        <w:rPr>
          <w:rFonts w:asciiTheme="minorHAnsi" w:hAnsiTheme="minorHAnsi" w:cstheme="minorHAnsi"/>
        </w:rPr>
        <w:t xml:space="preserve">This section presents the results for mapping to the “usual activities” dimension of EQ-5D-5L. As with “self-care”, the target response for “usual activities” was from the proxy in both cases. The coefficient outputs for the prior model iterations </w:t>
      </w:r>
      <w:r w:rsidRPr="001C171E">
        <w:rPr>
          <w:rFonts w:asciiTheme="minorHAnsi" w:hAnsiTheme="minorHAnsi" w:cstheme="minorHAnsi"/>
          <w:color w:val="000000" w:themeColor="text1"/>
        </w:rPr>
        <w:t xml:space="preserve">are provided in </w:t>
      </w:r>
      <w:hyperlink w:anchor="A62" w:history="1">
        <w:r w:rsidRPr="001C171E">
          <w:rPr>
            <w:rStyle w:val="Hyperlink"/>
            <w:rFonts w:asciiTheme="minorHAnsi" w:hAnsiTheme="minorHAnsi" w:cstheme="minorHAnsi"/>
            <w:color w:val="000000" w:themeColor="text1"/>
            <w:u w:val="none"/>
          </w:rPr>
          <w:t>Appendix 6.2,</w:t>
        </w:r>
      </w:hyperlink>
      <w:r w:rsidRPr="001C171E">
        <w:rPr>
          <w:rFonts w:asciiTheme="minorHAnsi" w:hAnsiTheme="minorHAnsi" w:cstheme="minorHAnsi"/>
          <w:color w:val="000000" w:themeColor="text1"/>
        </w:rPr>
        <w:t xml:space="preserve"> alongside a summary table </w:t>
      </w:r>
      <w:hyperlink w:anchor="Tablea62i" w:history="1">
        <w:r w:rsidRPr="001C171E">
          <w:rPr>
            <w:rStyle w:val="Hyperlink"/>
            <w:rFonts w:asciiTheme="minorHAnsi" w:hAnsiTheme="minorHAnsi" w:cstheme="minorHAnsi"/>
            <w:color w:val="000000" w:themeColor="text1"/>
            <w:u w:val="none"/>
          </w:rPr>
          <w:t>(Table A6.2i</w:t>
        </w:r>
      </w:hyperlink>
      <w:r w:rsidRPr="001C171E">
        <w:rPr>
          <w:rFonts w:asciiTheme="minorHAnsi" w:hAnsiTheme="minorHAnsi" w:cstheme="minorHAnsi"/>
          <w:color w:val="000000" w:themeColor="text1"/>
        </w:rPr>
        <w:t xml:space="preserve">) of the coefficients of the final selected models. </w:t>
      </w:r>
    </w:p>
    <w:p w14:paraId="64132261" w14:textId="77777777" w:rsidR="00B54D51" w:rsidRPr="00037AD4" w:rsidRDefault="00B54D51" w:rsidP="00C3362B">
      <w:pPr>
        <w:rPr>
          <w:rFonts w:asciiTheme="minorHAnsi" w:hAnsiTheme="minorHAnsi" w:cstheme="minorHAnsi"/>
          <w:b/>
          <w:bCs/>
          <w:color w:val="FF0000"/>
          <w:sz w:val="26"/>
          <w:szCs w:val="26"/>
        </w:rPr>
      </w:pPr>
    </w:p>
    <w:p w14:paraId="4D1ACCE3" w14:textId="77777777" w:rsidR="00B54D51" w:rsidRPr="00037AD4" w:rsidRDefault="00B54D51" w:rsidP="00C3362B">
      <w:pPr>
        <w:rPr>
          <w:rFonts w:asciiTheme="minorHAnsi" w:hAnsiTheme="minorHAnsi" w:cstheme="minorHAnsi"/>
          <w:b/>
          <w:bCs/>
          <w:color w:val="000000" w:themeColor="text1"/>
          <w:sz w:val="26"/>
          <w:szCs w:val="26"/>
          <w:u w:val="single"/>
        </w:rPr>
      </w:pPr>
      <w:r w:rsidRPr="00037AD4">
        <w:rPr>
          <w:rFonts w:asciiTheme="minorHAnsi" w:hAnsiTheme="minorHAnsi" w:cstheme="minorHAnsi"/>
          <w:b/>
          <w:bCs/>
          <w:color w:val="000000" w:themeColor="text1"/>
          <w:sz w:val="26"/>
          <w:szCs w:val="26"/>
          <w:u w:val="single"/>
        </w:rPr>
        <w:t xml:space="preserve">6.4.3.1 Marginal effects of the final selected models: EQ-5D-5L Usual activities </w:t>
      </w:r>
    </w:p>
    <w:p w14:paraId="1832FEA7" w14:textId="77777777" w:rsidR="00B54D51" w:rsidRPr="00037AD4" w:rsidRDefault="00B54D51" w:rsidP="00C3362B">
      <w:pPr>
        <w:rPr>
          <w:rFonts w:asciiTheme="minorHAnsi" w:hAnsiTheme="minorHAnsi" w:cstheme="minorHAnsi"/>
        </w:rPr>
      </w:pPr>
    </w:p>
    <w:p w14:paraId="77600C81" w14:textId="77777777" w:rsidR="00B54D51" w:rsidRPr="001C171E" w:rsidRDefault="00B54D51" w:rsidP="00C3362B">
      <w:pPr>
        <w:rPr>
          <w:rFonts w:asciiTheme="minorHAnsi" w:hAnsiTheme="minorHAnsi" w:cstheme="minorHAnsi"/>
          <w:color w:val="000000" w:themeColor="text1"/>
        </w:rPr>
      </w:pPr>
      <w:r w:rsidRPr="001C171E">
        <w:rPr>
          <w:rFonts w:asciiTheme="minorHAnsi" w:hAnsiTheme="minorHAnsi" w:cstheme="minorHAnsi"/>
          <w:color w:val="000000" w:themeColor="text1"/>
        </w:rPr>
        <w:t xml:space="preserve">AME outputs for the variables included in the final selected models are reported in </w:t>
      </w:r>
      <w:hyperlink w:anchor="A63UA" w:history="1">
        <w:r w:rsidRPr="001C171E">
          <w:rPr>
            <w:rStyle w:val="Hyperlink"/>
            <w:rFonts w:asciiTheme="minorHAnsi" w:hAnsiTheme="minorHAnsi" w:cstheme="minorHAnsi"/>
            <w:color w:val="000000" w:themeColor="text1"/>
            <w:u w:val="none"/>
          </w:rPr>
          <w:t>Appendix 6.3.</w:t>
        </w:r>
      </w:hyperlink>
      <w:r w:rsidRPr="001C171E">
        <w:rPr>
          <w:rFonts w:asciiTheme="minorHAnsi" w:hAnsiTheme="minorHAnsi" w:cstheme="minorHAnsi"/>
          <w:color w:val="000000" w:themeColor="text1"/>
        </w:rPr>
        <w:t xml:space="preserve"> The following section presents the predictive margins of PwD-reported “usual activities”, the tables reporting the full predictive margins are also provided in </w:t>
      </w:r>
      <w:hyperlink w:anchor="A63UA" w:history="1">
        <w:r w:rsidRPr="001C171E">
          <w:rPr>
            <w:rStyle w:val="Hyperlink"/>
            <w:rFonts w:asciiTheme="minorHAnsi" w:hAnsiTheme="minorHAnsi" w:cstheme="minorHAnsi"/>
            <w:color w:val="000000" w:themeColor="text1"/>
            <w:u w:val="none"/>
          </w:rPr>
          <w:t>Appendix 6.3.</w:t>
        </w:r>
      </w:hyperlink>
      <w:r w:rsidRPr="001C171E">
        <w:rPr>
          <w:rFonts w:asciiTheme="minorHAnsi" w:hAnsiTheme="minorHAnsi" w:cstheme="minorHAnsi"/>
          <w:color w:val="000000" w:themeColor="text1"/>
        </w:rPr>
        <w:t xml:space="preserve"> </w:t>
      </w:r>
    </w:p>
    <w:p w14:paraId="3ACCA7C6" w14:textId="77777777" w:rsidR="00B54D51" w:rsidRPr="001C171E" w:rsidRDefault="00B54D51" w:rsidP="00C3362B">
      <w:pPr>
        <w:rPr>
          <w:rFonts w:asciiTheme="minorHAnsi" w:hAnsiTheme="minorHAnsi" w:cstheme="minorHAnsi"/>
          <w:color w:val="000000" w:themeColor="text1"/>
        </w:rPr>
      </w:pPr>
    </w:p>
    <w:p w14:paraId="584D3AF5" w14:textId="77777777" w:rsidR="00B54D51" w:rsidRPr="001C171E" w:rsidRDefault="00B54D51" w:rsidP="00C3362B">
      <w:pPr>
        <w:rPr>
          <w:rFonts w:asciiTheme="minorHAnsi" w:hAnsiTheme="minorHAnsi" w:cstheme="minorHAnsi"/>
          <w:color w:val="000000" w:themeColor="text1"/>
        </w:rPr>
      </w:pPr>
      <w:r w:rsidRPr="001C171E">
        <w:rPr>
          <w:rFonts w:asciiTheme="minorHAnsi" w:hAnsiTheme="minorHAnsi" w:cstheme="minorHAnsi"/>
          <w:color w:val="000000" w:themeColor="text1"/>
        </w:rPr>
        <w:t>From the ACTIFCARE data (see Figure 35a below), at PwD level one the probabilities for predicting proxy levels of four and five are comparatively lower and with non-overlapping confidence intervals. Level three predictions produce the highest probabilities across PwD levels. Although the probability of predicting a level five response is largest at PwD level five than it is at all other levels, it does not surpass the consistently heightened probabilities for predicting levels three and four. While the majority (approximately 58%) of people with dementia in this study self-reported perfect health for this dimension, informal proxy reports were more balanced across levels one to four (</w:t>
      </w:r>
      <w:hyperlink w:anchor="TableA6A" w:history="1">
        <w:r w:rsidRPr="001C171E">
          <w:rPr>
            <w:rStyle w:val="Hyperlink"/>
            <w:rFonts w:asciiTheme="minorHAnsi" w:hAnsiTheme="minorHAnsi" w:cstheme="minorHAnsi"/>
            <w:color w:val="000000" w:themeColor="text1"/>
            <w:u w:val="none"/>
          </w:rPr>
          <w:t>see Table A6a</w:t>
        </w:r>
      </w:hyperlink>
      <w:r w:rsidRPr="001C171E">
        <w:rPr>
          <w:rFonts w:asciiTheme="minorHAnsi" w:hAnsiTheme="minorHAnsi" w:cstheme="minorHAnsi"/>
          <w:color w:val="000000" w:themeColor="text1"/>
        </w:rPr>
        <w:t xml:space="preserve">), with the largest proportion of reports at level three (27%). Therefore, the model’s bias to predicting a level three proxy response is contingent to the data’s characteristics. </w:t>
      </w:r>
    </w:p>
    <w:p w14:paraId="25DBB5A7" w14:textId="77777777" w:rsidR="00B54D51" w:rsidRPr="001C171E" w:rsidRDefault="00B54D51" w:rsidP="00C3362B">
      <w:pPr>
        <w:rPr>
          <w:rFonts w:asciiTheme="minorHAnsi" w:hAnsiTheme="minorHAnsi" w:cstheme="minorHAnsi"/>
          <w:color w:val="000000" w:themeColor="text1"/>
        </w:rPr>
      </w:pPr>
    </w:p>
    <w:p w14:paraId="78D489AD" w14:textId="77777777" w:rsidR="00B54D51" w:rsidRPr="001C171E" w:rsidRDefault="00B54D51" w:rsidP="00C3362B">
      <w:pPr>
        <w:rPr>
          <w:rFonts w:asciiTheme="minorHAnsi" w:hAnsiTheme="minorHAnsi" w:cstheme="minorHAnsi"/>
          <w:color w:val="000000" w:themeColor="text1"/>
        </w:rPr>
      </w:pPr>
      <w:r w:rsidRPr="001C171E">
        <w:rPr>
          <w:rFonts w:asciiTheme="minorHAnsi" w:hAnsiTheme="minorHAnsi" w:cstheme="minorHAnsi"/>
          <w:color w:val="000000" w:themeColor="text1"/>
        </w:rPr>
        <w:t xml:space="preserve">The predictive margins produce a distinct pattern for the EPIC data (displayed in Figure 35b) when compared to the ACTIFCARE data. The probability of predicting a level one staff proxy “usual activities” score is the highest across all levels, whereby the confidence intervals do not overlap with any other levels at PwD levels one, two and three. For level five proxy predictions, the probabilities increase at PwD levels four and five (however the confidence intervals overlap) and at PwD level four, the probability of predicting a level one (p=0.303) and level five proxy (p=0.305) response is near equal. </w:t>
      </w:r>
    </w:p>
    <w:p w14:paraId="0CB2B307" w14:textId="77777777" w:rsidR="00B54D51" w:rsidRPr="001C171E" w:rsidRDefault="00B54D51" w:rsidP="00C3362B">
      <w:pPr>
        <w:rPr>
          <w:rFonts w:asciiTheme="minorHAnsi" w:hAnsiTheme="minorHAnsi" w:cstheme="minorHAnsi"/>
          <w:color w:val="000000" w:themeColor="text1"/>
        </w:rPr>
      </w:pPr>
    </w:p>
    <w:p w14:paraId="3E8ACCB7" w14:textId="5D583264" w:rsidR="00B54D51" w:rsidRPr="001C171E" w:rsidRDefault="00B54D51" w:rsidP="00C3362B">
      <w:pPr>
        <w:rPr>
          <w:rFonts w:asciiTheme="minorHAnsi" w:hAnsiTheme="minorHAnsi" w:cstheme="minorHAnsi"/>
          <w:color w:val="000000" w:themeColor="text1"/>
        </w:rPr>
      </w:pPr>
      <w:r w:rsidRPr="001C171E">
        <w:rPr>
          <w:rFonts w:asciiTheme="minorHAnsi" w:hAnsiTheme="minorHAnsi" w:cstheme="minorHAnsi"/>
          <w:color w:val="000000" w:themeColor="text1"/>
        </w:rPr>
        <w:t xml:space="preserve">As shown in </w:t>
      </w:r>
      <w:hyperlink w:anchor="TableA6B" w:history="1">
        <w:r w:rsidRPr="001C171E">
          <w:rPr>
            <w:rStyle w:val="Hyperlink"/>
            <w:rFonts w:asciiTheme="minorHAnsi" w:hAnsiTheme="minorHAnsi" w:cstheme="minorHAnsi"/>
            <w:color w:val="000000" w:themeColor="text1"/>
            <w:u w:val="none"/>
          </w:rPr>
          <w:t>Table A6b of Appendix 6,</w:t>
        </w:r>
      </w:hyperlink>
      <w:r w:rsidRPr="001C171E">
        <w:rPr>
          <w:rFonts w:asciiTheme="minorHAnsi" w:hAnsiTheme="minorHAnsi" w:cstheme="minorHAnsi"/>
          <w:color w:val="000000" w:themeColor="text1"/>
        </w:rPr>
        <w:t xml:space="preserve"> staff proxy reports of this dimension resembled reports from the PwD (when compared with the informal proxy-PwD dyad reports of ACTIFCARE). Challenges related </w:t>
      </w:r>
      <w:r w:rsidR="001C171E">
        <w:rPr>
          <w:rFonts w:asciiTheme="minorHAnsi" w:hAnsiTheme="minorHAnsi" w:cstheme="minorHAnsi"/>
          <w:color w:val="000000" w:themeColor="text1"/>
        </w:rPr>
        <w:t xml:space="preserve">to </w:t>
      </w:r>
      <w:r w:rsidRPr="001C171E">
        <w:rPr>
          <w:rFonts w:asciiTheme="minorHAnsi" w:hAnsiTheme="minorHAnsi" w:cstheme="minorHAnsi"/>
          <w:color w:val="000000" w:themeColor="text1"/>
        </w:rPr>
        <w:t xml:space="preserve">the interpretation of the “usual activities” item have been previously acknowledged, as highlighted during the PPIE session reported in </w:t>
      </w:r>
      <w:hyperlink w:anchor="_2.5_Patient_and" w:history="1">
        <w:r w:rsidRPr="001C171E">
          <w:rPr>
            <w:rStyle w:val="Hyperlink"/>
            <w:rFonts w:asciiTheme="minorHAnsi" w:hAnsiTheme="minorHAnsi" w:cstheme="minorHAnsi"/>
            <w:color w:val="000000" w:themeColor="text1"/>
            <w:u w:val="none"/>
          </w:rPr>
          <w:t>Section 2.5</w:t>
        </w:r>
      </w:hyperlink>
      <w:r w:rsidRPr="001C171E">
        <w:rPr>
          <w:rFonts w:asciiTheme="minorHAnsi" w:hAnsiTheme="minorHAnsi" w:cstheme="minorHAnsi"/>
          <w:color w:val="000000" w:themeColor="text1"/>
        </w:rPr>
        <w:t xml:space="preserve">, whereby inter-proxy interpretation may vary or may be influenced by personal biases and experiences, daily routines, and expectations regarding what constitutes the PwD’s “usual activities” particularly in relation to their residential setting. </w:t>
      </w:r>
    </w:p>
    <w:p w14:paraId="6DDC52A8" w14:textId="1B91FB4D" w:rsidR="00B54D51" w:rsidRDefault="00B54D51" w:rsidP="00C3362B">
      <w:pPr>
        <w:rPr>
          <w:rFonts w:asciiTheme="minorHAnsi" w:hAnsiTheme="minorHAnsi" w:cstheme="minorHAnsi"/>
          <w:b/>
          <w:bCs/>
          <w:color w:val="FF0000"/>
        </w:rPr>
      </w:pPr>
    </w:p>
    <w:p w14:paraId="4A626BB3" w14:textId="3CCA8ABE" w:rsidR="001C171E" w:rsidRDefault="001C171E" w:rsidP="00C3362B">
      <w:pPr>
        <w:rPr>
          <w:rFonts w:asciiTheme="minorHAnsi" w:hAnsiTheme="minorHAnsi" w:cstheme="minorHAnsi"/>
          <w:b/>
          <w:bCs/>
          <w:color w:val="FF0000"/>
        </w:rPr>
      </w:pPr>
    </w:p>
    <w:p w14:paraId="41397743" w14:textId="54A10FD1" w:rsidR="001C171E" w:rsidRDefault="001C171E" w:rsidP="00C3362B">
      <w:pPr>
        <w:rPr>
          <w:rFonts w:asciiTheme="minorHAnsi" w:hAnsiTheme="minorHAnsi" w:cstheme="minorHAnsi"/>
          <w:b/>
          <w:bCs/>
          <w:color w:val="FF0000"/>
        </w:rPr>
      </w:pPr>
    </w:p>
    <w:p w14:paraId="41E8B3E5" w14:textId="174A3268" w:rsidR="001C171E" w:rsidRDefault="001C171E" w:rsidP="00C3362B">
      <w:pPr>
        <w:rPr>
          <w:rFonts w:asciiTheme="minorHAnsi" w:hAnsiTheme="minorHAnsi" w:cstheme="minorHAnsi"/>
          <w:b/>
          <w:bCs/>
          <w:color w:val="FF0000"/>
        </w:rPr>
      </w:pPr>
    </w:p>
    <w:p w14:paraId="147C8DEF" w14:textId="095DCE9D" w:rsidR="001C171E" w:rsidRDefault="001C171E" w:rsidP="00C3362B">
      <w:pPr>
        <w:rPr>
          <w:rFonts w:asciiTheme="minorHAnsi" w:hAnsiTheme="minorHAnsi" w:cstheme="minorHAnsi"/>
          <w:b/>
          <w:bCs/>
          <w:color w:val="FF0000"/>
        </w:rPr>
      </w:pPr>
    </w:p>
    <w:p w14:paraId="6ECC06C5" w14:textId="242C9413" w:rsidR="001C171E" w:rsidRDefault="001C171E" w:rsidP="00C3362B">
      <w:pPr>
        <w:rPr>
          <w:rFonts w:asciiTheme="minorHAnsi" w:hAnsiTheme="minorHAnsi" w:cstheme="minorHAnsi"/>
          <w:b/>
          <w:bCs/>
          <w:color w:val="FF0000"/>
        </w:rPr>
      </w:pPr>
    </w:p>
    <w:p w14:paraId="5D3974F1" w14:textId="00482BCE" w:rsidR="001C171E" w:rsidRDefault="001C171E" w:rsidP="00C3362B">
      <w:pPr>
        <w:rPr>
          <w:rFonts w:asciiTheme="minorHAnsi" w:hAnsiTheme="minorHAnsi" w:cstheme="minorHAnsi"/>
          <w:b/>
          <w:bCs/>
          <w:color w:val="FF0000"/>
        </w:rPr>
      </w:pPr>
    </w:p>
    <w:p w14:paraId="6BC520AD" w14:textId="77777777" w:rsidR="001C171E" w:rsidRPr="00037AD4" w:rsidRDefault="001C171E" w:rsidP="00C3362B">
      <w:pPr>
        <w:rPr>
          <w:rFonts w:asciiTheme="minorHAnsi" w:hAnsiTheme="minorHAnsi" w:cstheme="minorHAnsi"/>
          <w:b/>
          <w:bCs/>
          <w:color w:val="FF0000"/>
        </w:rPr>
      </w:pPr>
    </w:p>
    <w:p w14:paraId="385BF07E" w14:textId="77777777" w:rsidR="00B54D51" w:rsidRPr="00037AD4" w:rsidRDefault="00B54D51" w:rsidP="00C3362B">
      <w:pPr>
        <w:rPr>
          <w:rFonts w:asciiTheme="minorHAnsi" w:hAnsiTheme="minorHAnsi" w:cstheme="minorHAnsi"/>
          <w:b/>
          <w:bCs/>
          <w:i/>
          <w:iCs/>
        </w:rPr>
      </w:pPr>
      <w:r w:rsidRPr="00037AD4">
        <w:rPr>
          <w:rFonts w:asciiTheme="minorHAnsi" w:hAnsiTheme="minorHAnsi" w:cstheme="minorHAnsi"/>
          <w:b/>
          <w:bCs/>
          <w:i/>
          <w:iCs/>
        </w:rPr>
        <w:lastRenderedPageBreak/>
        <w:t xml:space="preserve">Figure 35a, “Usual activities” predictive margins for ACTIFCARE data </w:t>
      </w:r>
    </w:p>
    <w:p w14:paraId="3A25D62F" w14:textId="77777777" w:rsidR="00B54D51" w:rsidRPr="00037AD4" w:rsidRDefault="00B54D51" w:rsidP="00C3362B">
      <w:pPr>
        <w:rPr>
          <w:rFonts w:asciiTheme="minorHAnsi" w:hAnsiTheme="minorHAnsi" w:cstheme="minorHAnsi"/>
          <w:color w:val="000000" w:themeColor="text1"/>
        </w:rPr>
      </w:pPr>
    </w:p>
    <w:p w14:paraId="58969CB1" w14:textId="6F609C0D" w:rsidR="00B54D51" w:rsidRPr="00037AD4" w:rsidRDefault="00830480" w:rsidP="00C3362B">
      <w:pPr>
        <w:rPr>
          <w:rFonts w:asciiTheme="minorHAnsi" w:hAnsiTheme="minorHAnsi" w:cstheme="minorHAnsi"/>
          <w:color w:val="000000" w:themeColor="text1"/>
        </w:rPr>
      </w:pPr>
      <w:r w:rsidRPr="00037AD4">
        <w:rPr>
          <w:rFonts w:asciiTheme="minorHAnsi" w:hAnsiTheme="minorHAnsi" w:cstheme="minorHAnsi"/>
          <w:noProof/>
          <w:color w:val="000000" w:themeColor="text1"/>
          <w:lang w:eastAsia="zh-CN"/>
        </w:rPr>
        <w:drawing>
          <wp:inline distT="0" distB="0" distL="0" distR="0" wp14:anchorId="684F9016" wp14:editId="5175B58C">
            <wp:extent cx="3960000" cy="2880000"/>
            <wp:effectExtent l="0" t="0" r="2540" b="3175"/>
            <wp:docPr id="108" name="Picture 108" descr="A graph of different colored lines&#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Picture 40" descr="A graph of different colored lines&#10;&#10;Description automatically generated"/>
                    <pic:cNvPicPr/>
                  </pic:nvPicPr>
                  <pic:blipFill>
                    <a:blip r:embed="rId73">
                      <a:extLst>
                        <a:ext uri="{28A0092B-C50C-407E-A947-70E740481C1C}">
                          <a14:useLocalDpi xmlns:a14="http://schemas.microsoft.com/office/drawing/2010/main" val="0"/>
                        </a:ext>
                      </a:extLst>
                    </a:blip>
                    <a:stretch>
                      <a:fillRect/>
                    </a:stretch>
                  </pic:blipFill>
                  <pic:spPr>
                    <a:xfrm>
                      <a:off x="0" y="0"/>
                      <a:ext cx="3960000" cy="2880000"/>
                    </a:xfrm>
                    <a:prstGeom prst="rect">
                      <a:avLst/>
                    </a:prstGeom>
                  </pic:spPr>
                </pic:pic>
              </a:graphicData>
            </a:graphic>
          </wp:inline>
        </w:drawing>
      </w:r>
    </w:p>
    <w:p w14:paraId="2506276A" w14:textId="77777777" w:rsidR="00B54D51" w:rsidRPr="00037AD4" w:rsidRDefault="00B54D51" w:rsidP="00C3362B">
      <w:pPr>
        <w:rPr>
          <w:rFonts w:asciiTheme="minorHAnsi" w:hAnsiTheme="minorHAnsi" w:cstheme="minorHAnsi"/>
          <w:color w:val="000000" w:themeColor="text1"/>
        </w:rPr>
      </w:pPr>
    </w:p>
    <w:p w14:paraId="7822E3AC" w14:textId="77777777" w:rsidR="00B54D51" w:rsidRPr="00037AD4" w:rsidRDefault="00B54D51" w:rsidP="00C3362B">
      <w:pPr>
        <w:rPr>
          <w:rFonts w:asciiTheme="minorHAnsi" w:hAnsiTheme="minorHAnsi" w:cstheme="minorHAnsi"/>
          <w:b/>
          <w:bCs/>
          <w:i/>
          <w:iCs/>
        </w:rPr>
      </w:pPr>
      <w:r w:rsidRPr="00037AD4">
        <w:rPr>
          <w:rFonts w:asciiTheme="minorHAnsi" w:hAnsiTheme="minorHAnsi" w:cstheme="minorHAnsi"/>
          <w:b/>
          <w:bCs/>
          <w:i/>
          <w:iCs/>
        </w:rPr>
        <w:t xml:space="preserve">Figure 35b, “Usual activities” predictive margins for EPIC data </w:t>
      </w:r>
    </w:p>
    <w:p w14:paraId="6D853957" w14:textId="77777777" w:rsidR="00B54D51" w:rsidRPr="00037AD4" w:rsidRDefault="00B54D51" w:rsidP="00C3362B">
      <w:pPr>
        <w:rPr>
          <w:rFonts w:asciiTheme="minorHAnsi" w:hAnsiTheme="minorHAnsi" w:cstheme="minorHAnsi"/>
          <w:color w:val="000000" w:themeColor="text1"/>
        </w:rPr>
      </w:pPr>
    </w:p>
    <w:p w14:paraId="2AF5A230" w14:textId="0DDB995E" w:rsidR="00B54D51" w:rsidRPr="00037AD4" w:rsidRDefault="00830480" w:rsidP="00C3362B">
      <w:pPr>
        <w:rPr>
          <w:rFonts w:asciiTheme="minorHAnsi" w:hAnsiTheme="minorHAnsi" w:cstheme="minorHAnsi"/>
          <w:b/>
          <w:bCs/>
          <w:color w:val="FF0000"/>
        </w:rPr>
      </w:pPr>
      <w:r w:rsidRPr="00037AD4">
        <w:rPr>
          <w:rFonts w:asciiTheme="minorHAnsi" w:hAnsiTheme="minorHAnsi" w:cstheme="minorHAnsi"/>
          <w:b/>
          <w:bCs/>
          <w:noProof/>
          <w:color w:val="FF0000"/>
          <w:lang w:eastAsia="zh-CN"/>
        </w:rPr>
        <w:drawing>
          <wp:inline distT="0" distB="0" distL="0" distR="0" wp14:anchorId="3C9753AF" wp14:editId="692593EE">
            <wp:extent cx="3960000" cy="2880000"/>
            <wp:effectExtent l="0" t="0" r="2540" b="3175"/>
            <wp:docPr id="109" name="Picture 109" descr="A graph of a number of activities&#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Picture 44" descr="A graph of a number of activities&#10;&#10;Description automatically generated"/>
                    <pic:cNvPicPr/>
                  </pic:nvPicPr>
                  <pic:blipFill>
                    <a:blip r:embed="rId74">
                      <a:extLst>
                        <a:ext uri="{28A0092B-C50C-407E-A947-70E740481C1C}">
                          <a14:useLocalDpi xmlns:a14="http://schemas.microsoft.com/office/drawing/2010/main" val="0"/>
                        </a:ext>
                      </a:extLst>
                    </a:blip>
                    <a:stretch>
                      <a:fillRect/>
                    </a:stretch>
                  </pic:blipFill>
                  <pic:spPr>
                    <a:xfrm>
                      <a:off x="0" y="0"/>
                      <a:ext cx="3960000" cy="2880000"/>
                    </a:xfrm>
                    <a:prstGeom prst="rect">
                      <a:avLst/>
                    </a:prstGeom>
                  </pic:spPr>
                </pic:pic>
              </a:graphicData>
            </a:graphic>
          </wp:inline>
        </w:drawing>
      </w:r>
    </w:p>
    <w:p w14:paraId="2C5BCE5A" w14:textId="77777777" w:rsidR="00B54D51" w:rsidRPr="00037AD4" w:rsidRDefault="00B54D51" w:rsidP="00C3362B">
      <w:pPr>
        <w:rPr>
          <w:rFonts w:asciiTheme="minorHAnsi" w:hAnsiTheme="minorHAnsi" w:cstheme="minorHAnsi"/>
          <w:b/>
          <w:bCs/>
          <w:color w:val="FF0000"/>
        </w:rPr>
      </w:pPr>
    </w:p>
    <w:p w14:paraId="59080E0A" w14:textId="77777777" w:rsidR="00B54D51" w:rsidRPr="00037AD4" w:rsidRDefault="00B54D51" w:rsidP="00C3362B">
      <w:pPr>
        <w:rPr>
          <w:rFonts w:asciiTheme="minorHAnsi" w:hAnsiTheme="minorHAnsi" w:cstheme="minorHAnsi"/>
          <w:b/>
          <w:bCs/>
          <w:sz w:val="26"/>
          <w:szCs w:val="26"/>
          <w:u w:val="single"/>
        </w:rPr>
      </w:pPr>
      <w:r w:rsidRPr="00037AD4">
        <w:rPr>
          <w:rFonts w:asciiTheme="minorHAnsi" w:hAnsiTheme="minorHAnsi" w:cstheme="minorHAnsi"/>
          <w:b/>
          <w:bCs/>
          <w:sz w:val="26"/>
          <w:szCs w:val="26"/>
          <w:u w:val="single"/>
        </w:rPr>
        <w:t xml:space="preserve">6.4.3.2 Marginal effects of the additional model variables: EQ-5D-5L Usual activities  </w:t>
      </w:r>
    </w:p>
    <w:p w14:paraId="250F6A14" w14:textId="77777777" w:rsidR="00B54D51" w:rsidRPr="00037AD4" w:rsidRDefault="00B54D51" w:rsidP="00C3362B">
      <w:pPr>
        <w:rPr>
          <w:rFonts w:asciiTheme="minorHAnsi" w:hAnsiTheme="minorHAnsi" w:cstheme="minorHAnsi"/>
          <w:b/>
          <w:bCs/>
          <w:highlight w:val="yellow"/>
          <w:u w:val="single"/>
        </w:rPr>
      </w:pPr>
    </w:p>
    <w:p w14:paraId="5B654FF0" w14:textId="77777777" w:rsidR="00B54D51" w:rsidRPr="00037AD4" w:rsidRDefault="00B54D51" w:rsidP="004724B1">
      <w:pPr>
        <w:rPr>
          <w:rFonts w:asciiTheme="minorHAnsi" w:hAnsiTheme="minorHAnsi" w:cstheme="minorHAnsi"/>
        </w:rPr>
      </w:pPr>
      <w:r w:rsidRPr="00037AD4">
        <w:rPr>
          <w:rFonts w:asciiTheme="minorHAnsi" w:hAnsiTheme="minorHAnsi" w:cstheme="minorHAnsi"/>
        </w:rPr>
        <w:t>The following sections reports upon the AME outputs for the final selected “usual activities” dimension models, full tables for which are provided in</w:t>
      </w:r>
      <w:r w:rsidRPr="001C171E">
        <w:rPr>
          <w:rFonts w:asciiTheme="minorHAnsi" w:hAnsiTheme="minorHAnsi" w:cstheme="minorHAnsi"/>
          <w:color w:val="000000" w:themeColor="text1"/>
        </w:rPr>
        <w:t xml:space="preserve"> </w:t>
      </w:r>
      <w:hyperlink w:anchor="A63UA" w:history="1">
        <w:r w:rsidRPr="001C171E">
          <w:rPr>
            <w:rStyle w:val="Hyperlink"/>
            <w:rFonts w:asciiTheme="minorHAnsi" w:hAnsiTheme="minorHAnsi" w:cstheme="minorHAnsi"/>
            <w:color w:val="000000" w:themeColor="text1"/>
            <w:u w:val="none"/>
          </w:rPr>
          <w:t>Tables A6.3i - A6.3l in Appendix 6.3.</w:t>
        </w:r>
      </w:hyperlink>
    </w:p>
    <w:p w14:paraId="58B89FC0" w14:textId="77777777" w:rsidR="00B54D51" w:rsidRPr="00037AD4" w:rsidRDefault="00B54D51" w:rsidP="00C3362B">
      <w:pPr>
        <w:rPr>
          <w:rFonts w:asciiTheme="minorHAnsi" w:hAnsiTheme="minorHAnsi" w:cstheme="minorHAnsi"/>
        </w:rPr>
      </w:pPr>
    </w:p>
    <w:p w14:paraId="3DD5625D" w14:textId="77777777" w:rsidR="00B54D51" w:rsidRPr="00037AD4" w:rsidRDefault="00B54D51" w:rsidP="00C3362B">
      <w:pPr>
        <w:rPr>
          <w:rFonts w:asciiTheme="minorHAnsi" w:hAnsiTheme="minorHAnsi" w:cstheme="minorHAnsi"/>
        </w:rPr>
      </w:pPr>
      <w:r w:rsidRPr="00037AD4">
        <w:rPr>
          <w:rFonts w:asciiTheme="minorHAnsi" w:hAnsiTheme="minorHAnsi" w:cstheme="minorHAnsi"/>
        </w:rPr>
        <w:t xml:space="preserve">The AMEs for NPI are small but statistically significant, and generally increase in line with the scoring levels indicating an increased likelihood of worse predicted scoring levels as symptoms worsen. For MMSE from ACTIFCARE, the AMEs are negligible and non-significant. The functional measure included within this model for ACTIFCARE (where there was a choice between IADL and PSMS) was different to that used within the “mobility” and “self-care” </w:t>
      </w:r>
      <w:r w:rsidRPr="00037AD4">
        <w:rPr>
          <w:rFonts w:asciiTheme="minorHAnsi" w:hAnsiTheme="minorHAnsi" w:cstheme="minorHAnsi"/>
        </w:rPr>
        <w:lastRenderedPageBreak/>
        <w:t xml:space="preserve">dimension models. Here the IADL measure was chosen via the scenario analyses as it produced a more favourable model fit. The AMEs associated with the functional measures from both trials are statistically significant and correspond with the expected direction. PwD age produced small and non-significant AMEs for both datasets. For the PwD sex variable, the AMEs are not statistically significant within EPIC. They are significant for ACTIFCARE, whereby being a female (PwD) has a reduced likelihood of level one and two predictions, while increasing the likelihood of the remaining worse response options. </w:t>
      </w:r>
    </w:p>
    <w:p w14:paraId="3E2B6CEA" w14:textId="77777777" w:rsidR="00B54D51" w:rsidRPr="00037AD4" w:rsidRDefault="00B54D51" w:rsidP="00C3362B">
      <w:pPr>
        <w:rPr>
          <w:rFonts w:asciiTheme="minorHAnsi" w:hAnsiTheme="minorHAnsi" w:cstheme="minorHAnsi"/>
        </w:rPr>
      </w:pPr>
    </w:p>
    <w:p w14:paraId="22FE32C3" w14:textId="77777777" w:rsidR="00B54D51" w:rsidRPr="00037AD4" w:rsidRDefault="00B54D51" w:rsidP="00C3362B">
      <w:pPr>
        <w:rPr>
          <w:rFonts w:asciiTheme="minorHAnsi" w:hAnsiTheme="minorHAnsi" w:cstheme="minorHAnsi"/>
          <w:b/>
          <w:bCs/>
          <w:sz w:val="26"/>
          <w:szCs w:val="26"/>
          <w:u w:val="single"/>
        </w:rPr>
      </w:pPr>
      <w:r w:rsidRPr="00037AD4">
        <w:rPr>
          <w:rFonts w:asciiTheme="minorHAnsi" w:hAnsiTheme="minorHAnsi" w:cstheme="minorHAnsi"/>
          <w:b/>
          <w:bCs/>
          <w:sz w:val="26"/>
          <w:szCs w:val="26"/>
          <w:u w:val="single"/>
        </w:rPr>
        <w:t xml:space="preserve">6.4.3.3 Observed vs. predicted data: EQ-5D Usual activities models </w:t>
      </w:r>
    </w:p>
    <w:p w14:paraId="0CEE2FF2" w14:textId="77777777" w:rsidR="00B54D51" w:rsidRPr="00037AD4" w:rsidRDefault="00B54D51" w:rsidP="00C3362B">
      <w:pPr>
        <w:rPr>
          <w:rFonts w:asciiTheme="minorHAnsi" w:hAnsiTheme="minorHAnsi" w:cstheme="minorHAnsi"/>
        </w:rPr>
      </w:pPr>
    </w:p>
    <w:p w14:paraId="28B206DF" w14:textId="77777777" w:rsidR="00B54D51" w:rsidRPr="00037AD4" w:rsidRDefault="00B54D51" w:rsidP="00C3362B">
      <w:pPr>
        <w:rPr>
          <w:rFonts w:asciiTheme="minorHAnsi" w:hAnsiTheme="minorHAnsi" w:cstheme="minorHAnsi"/>
        </w:rPr>
      </w:pPr>
      <w:r w:rsidRPr="00037AD4">
        <w:rPr>
          <w:rFonts w:asciiTheme="minorHAnsi" w:hAnsiTheme="minorHAnsi" w:cstheme="minorHAnsi"/>
        </w:rPr>
        <w:t xml:space="preserve">Within the tables below, the frequencies for “usual activities” responses are reported. As with the previous dimensions, the MMSE variable was removed to assess any impacts upon the predictions. It can be seen that there are changes to the predicted frequencies; for level one and two, predictions frequencies become slightly closer to the observed data. Level three experienced a negligible increase and the predictions for level four and five also edged closer to their observed values (but remained below the actual rates). The removal of the MMSE variable may subtly improve the model's predictive accuracy. </w:t>
      </w:r>
    </w:p>
    <w:p w14:paraId="50BE5614" w14:textId="77777777" w:rsidR="00B54D51" w:rsidRPr="00037AD4" w:rsidRDefault="00B54D51" w:rsidP="00C3362B">
      <w:pPr>
        <w:rPr>
          <w:rFonts w:asciiTheme="minorHAnsi" w:hAnsiTheme="minorHAnsi" w:cstheme="minorHAnsi"/>
        </w:rPr>
      </w:pPr>
    </w:p>
    <w:p w14:paraId="30F91888" w14:textId="77777777" w:rsidR="00B54D51" w:rsidRPr="00037AD4" w:rsidRDefault="00B54D51" w:rsidP="00C3362B">
      <w:pPr>
        <w:rPr>
          <w:rFonts w:asciiTheme="minorHAnsi" w:hAnsiTheme="minorHAnsi" w:cstheme="minorHAnsi"/>
          <w:b/>
          <w:bCs/>
          <w:i/>
          <w:iCs/>
        </w:rPr>
      </w:pPr>
      <w:r w:rsidRPr="00037AD4">
        <w:rPr>
          <w:rFonts w:asciiTheme="minorHAnsi" w:hAnsiTheme="minorHAnsi" w:cstheme="minorHAnsi"/>
          <w:b/>
          <w:bCs/>
          <w:i/>
          <w:iCs/>
        </w:rPr>
        <w:t>Table 37a, Observed vs. predicted data for the “usual activities” dimension from the ACTIFCARE study</w:t>
      </w:r>
    </w:p>
    <w:p w14:paraId="5F2ED606" w14:textId="77777777" w:rsidR="00B54D51" w:rsidRPr="00037AD4" w:rsidRDefault="00B54D51" w:rsidP="00C3362B">
      <w:pPr>
        <w:rPr>
          <w:rFonts w:asciiTheme="minorHAnsi" w:hAnsiTheme="minorHAnsi" w:cstheme="minorHAnsi"/>
          <w:u w:val="single"/>
        </w:rPr>
      </w:pPr>
    </w:p>
    <w:tbl>
      <w:tblPr>
        <w:tblStyle w:val="TableGrid"/>
        <w:tblW w:w="0" w:type="auto"/>
        <w:tblLook w:val="04A0" w:firstRow="1" w:lastRow="0" w:firstColumn="1" w:lastColumn="0" w:noHBand="0" w:noVBand="1"/>
      </w:tblPr>
      <w:tblGrid>
        <w:gridCol w:w="3114"/>
        <w:gridCol w:w="1701"/>
        <w:gridCol w:w="1701"/>
        <w:gridCol w:w="2126"/>
      </w:tblGrid>
      <w:tr w:rsidR="00B54D51" w:rsidRPr="00037AD4" w14:paraId="2F6E14CB" w14:textId="77777777" w:rsidTr="002B6B17">
        <w:tc>
          <w:tcPr>
            <w:tcW w:w="3114" w:type="dxa"/>
          </w:tcPr>
          <w:p w14:paraId="22D57BF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Response options </w:t>
            </w:r>
          </w:p>
        </w:tc>
        <w:tc>
          <w:tcPr>
            <w:tcW w:w="1701" w:type="dxa"/>
          </w:tcPr>
          <w:p w14:paraId="7302BAFA" w14:textId="77777777" w:rsidR="00B54D51" w:rsidRDefault="00B54D51" w:rsidP="00401C67">
            <w:pPr>
              <w:rPr>
                <w:rFonts w:asciiTheme="minorHAnsi" w:hAnsiTheme="minorHAnsi" w:cstheme="minorHAnsi"/>
              </w:rPr>
            </w:pPr>
            <w:r w:rsidRPr="00037AD4">
              <w:rPr>
                <w:rFonts w:asciiTheme="minorHAnsi" w:hAnsiTheme="minorHAnsi" w:cstheme="minorHAnsi"/>
              </w:rPr>
              <w:t>Observed frequency (%)</w:t>
            </w:r>
          </w:p>
          <w:p w14:paraId="4ACC04C0" w14:textId="77777777" w:rsidR="00B54D51" w:rsidRPr="00A94DD6" w:rsidRDefault="00B54D51" w:rsidP="00401C67">
            <w:pPr>
              <w:rPr>
                <w:rFonts w:asciiTheme="minorHAnsi" w:hAnsiTheme="minorHAnsi" w:cstheme="minorHAnsi"/>
                <w:i/>
                <w:iCs/>
                <w:sz w:val="22"/>
                <w:szCs w:val="22"/>
              </w:rPr>
            </w:pPr>
            <w:r w:rsidRPr="00A94DD6">
              <w:rPr>
                <w:rFonts w:asciiTheme="minorHAnsi" w:hAnsiTheme="minorHAnsi" w:cstheme="minorHAnsi"/>
                <w:i/>
                <w:iCs/>
                <w:sz w:val="22"/>
                <w:szCs w:val="22"/>
              </w:rPr>
              <w:t>n=1192</w:t>
            </w:r>
          </w:p>
        </w:tc>
        <w:tc>
          <w:tcPr>
            <w:tcW w:w="1701" w:type="dxa"/>
          </w:tcPr>
          <w:p w14:paraId="0FDF246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Predicted frequency (%)</w:t>
            </w:r>
          </w:p>
          <w:p w14:paraId="7E833C8E" w14:textId="77777777" w:rsidR="00B54D51" w:rsidRDefault="00B54D51" w:rsidP="00401C67">
            <w:pPr>
              <w:rPr>
                <w:rFonts w:asciiTheme="minorHAnsi" w:hAnsiTheme="minorHAnsi" w:cstheme="minorHAnsi"/>
              </w:rPr>
            </w:pPr>
            <w:r w:rsidRPr="00037AD4">
              <w:rPr>
                <w:rFonts w:asciiTheme="minorHAnsi" w:hAnsiTheme="minorHAnsi" w:cstheme="minorHAnsi"/>
              </w:rPr>
              <w:t>(With MMSE)</w:t>
            </w:r>
          </w:p>
          <w:p w14:paraId="0BB710F2" w14:textId="77777777" w:rsidR="00B54D51" w:rsidRPr="00A94DD6" w:rsidRDefault="00B54D51" w:rsidP="00401C67">
            <w:pPr>
              <w:rPr>
                <w:rFonts w:asciiTheme="minorHAnsi" w:hAnsiTheme="minorHAnsi" w:cstheme="minorHAnsi"/>
                <w:i/>
                <w:iCs/>
                <w:sz w:val="22"/>
                <w:szCs w:val="22"/>
              </w:rPr>
            </w:pPr>
          </w:p>
        </w:tc>
        <w:tc>
          <w:tcPr>
            <w:tcW w:w="2126" w:type="dxa"/>
          </w:tcPr>
          <w:p w14:paraId="0911C30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Predicted frequency (%) </w:t>
            </w:r>
          </w:p>
          <w:p w14:paraId="09746081" w14:textId="77777777" w:rsidR="00B54D51" w:rsidRDefault="00B54D51" w:rsidP="00401C67">
            <w:pPr>
              <w:rPr>
                <w:rFonts w:asciiTheme="minorHAnsi" w:hAnsiTheme="minorHAnsi" w:cstheme="minorHAnsi"/>
              </w:rPr>
            </w:pPr>
            <w:r w:rsidRPr="00037AD4">
              <w:rPr>
                <w:rFonts w:asciiTheme="minorHAnsi" w:hAnsiTheme="minorHAnsi" w:cstheme="minorHAnsi"/>
              </w:rPr>
              <w:t>(Without MMSE)</w:t>
            </w:r>
          </w:p>
          <w:p w14:paraId="50A6F0BB" w14:textId="77777777" w:rsidR="00B54D51" w:rsidRPr="00A94DD6" w:rsidRDefault="00B54D51" w:rsidP="00401C67">
            <w:pPr>
              <w:rPr>
                <w:rFonts w:asciiTheme="minorHAnsi" w:hAnsiTheme="minorHAnsi" w:cstheme="minorHAnsi"/>
                <w:i/>
                <w:iCs/>
                <w:sz w:val="22"/>
                <w:szCs w:val="22"/>
              </w:rPr>
            </w:pPr>
          </w:p>
        </w:tc>
      </w:tr>
      <w:tr w:rsidR="00B54D51" w:rsidRPr="00037AD4" w14:paraId="0B2D7A0B" w14:textId="77777777" w:rsidTr="002B6B17">
        <w:tc>
          <w:tcPr>
            <w:tcW w:w="3114" w:type="dxa"/>
          </w:tcPr>
          <w:p w14:paraId="2D2087F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No problems</w:t>
            </w:r>
          </w:p>
        </w:tc>
        <w:tc>
          <w:tcPr>
            <w:tcW w:w="1701" w:type="dxa"/>
          </w:tcPr>
          <w:p w14:paraId="540BD40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20.81</w:t>
            </w:r>
          </w:p>
        </w:tc>
        <w:tc>
          <w:tcPr>
            <w:tcW w:w="1701" w:type="dxa"/>
          </w:tcPr>
          <w:p w14:paraId="64D1380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23.05</w:t>
            </w:r>
          </w:p>
        </w:tc>
        <w:tc>
          <w:tcPr>
            <w:tcW w:w="2126" w:type="dxa"/>
          </w:tcPr>
          <w:p w14:paraId="4960371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22.39</w:t>
            </w:r>
          </w:p>
        </w:tc>
      </w:tr>
      <w:tr w:rsidR="00B54D51" w:rsidRPr="00037AD4" w14:paraId="73C6C046" w14:textId="77777777" w:rsidTr="002B6B17">
        <w:tc>
          <w:tcPr>
            <w:tcW w:w="3114" w:type="dxa"/>
          </w:tcPr>
          <w:p w14:paraId="6AAFBCE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Slight problems</w:t>
            </w:r>
          </w:p>
        </w:tc>
        <w:tc>
          <w:tcPr>
            <w:tcW w:w="1701" w:type="dxa"/>
          </w:tcPr>
          <w:p w14:paraId="72EFD47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24.16</w:t>
            </w:r>
          </w:p>
        </w:tc>
        <w:tc>
          <w:tcPr>
            <w:tcW w:w="1701" w:type="dxa"/>
          </w:tcPr>
          <w:p w14:paraId="75B7E46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24.64</w:t>
            </w:r>
          </w:p>
        </w:tc>
        <w:tc>
          <w:tcPr>
            <w:tcW w:w="2126" w:type="dxa"/>
          </w:tcPr>
          <w:p w14:paraId="2AC21C5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24.27</w:t>
            </w:r>
          </w:p>
        </w:tc>
      </w:tr>
      <w:tr w:rsidR="00B54D51" w:rsidRPr="00037AD4" w14:paraId="65DD6526" w14:textId="77777777" w:rsidTr="002B6B17">
        <w:tc>
          <w:tcPr>
            <w:tcW w:w="3114" w:type="dxa"/>
          </w:tcPr>
          <w:p w14:paraId="2ACB28E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Moderate problems</w:t>
            </w:r>
          </w:p>
        </w:tc>
        <w:tc>
          <w:tcPr>
            <w:tcW w:w="1701" w:type="dxa"/>
          </w:tcPr>
          <w:p w14:paraId="4EEC057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27.27</w:t>
            </w:r>
          </w:p>
        </w:tc>
        <w:tc>
          <w:tcPr>
            <w:tcW w:w="1701" w:type="dxa"/>
          </w:tcPr>
          <w:p w14:paraId="4F9BB71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28.37</w:t>
            </w:r>
          </w:p>
        </w:tc>
        <w:tc>
          <w:tcPr>
            <w:tcW w:w="2126" w:type="dxa"/>
          </w:tcPr>
          <w:p w14:paraId="23CC0B6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28.41</w:t>
            </w:r>
          </w:p>
        </w:tc>
      </w:tr>
      <w:tr w:rsidR="00B54D51" w:rsidRPr="00037AD4" w14:paraId="71DEDC55" w14:textId="77777777" w:rsidTr="002B6B17">
        <w:tc>
          <w:tcPr>
            <w:tcW w:w="3114" w:type="dxa"/>
          </w:tcPr>
          <w:p w14:paraId="797E45A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Severe problems</w:t>
            </w:r>
          </w:p>
        </w:tc>
        <w:tc>
          <w:tcPr>
            <w:tcW w:w="1701" w:type="dxa"/>
          </w:tcPr>
          <w:p w14:paraId="7C42481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18.37</w:t>
            </w:r>
          </w:p>
        </w:tc>
        <w:tc>
          <w:tcPr>
            <w:tcW w:w="1701" w:type="dxa"/>
          </w:tcPr>
          <w:p w14:paraId="15D49E7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17.20</w:t>
            </w:r>
          </w:p>
        </w:tc>
        <w:tc>
          <w:tcPr>
            <w:tcW w:w="2126" w:type="dxa"/>
          </w:tcPr>
          <w:p w14:paraId="18CFAAF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17.66</w:t>
            </w:r>
          </w:p>
        </w:tc>
      </w:tr>
      <w:tr w:rsidR="00B54D51" w:rsidRPr="00037AD4" w14:paraId="2C232C7F" w14:textId="77777777" w:rsidTr="002B6B17">
        <w:tc>
          <w:tcPr>
            <w:tcW w:w="3114" w:type="dxa"/>
          </w:tcPr>
          <w:p w14:paraId="0DB7ACD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Unable to do usual activities </w:t>
            </w:r>
          </w:p>
        </w:tc>
        <w:tc>
          <w:tcPr>
            <w:tcW w:w="1701" w:type="dxa"/>
          </w:tcPr>
          <w:p w14:paraId="5A6E15E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9.40</w:t>
            </w:r>
          </w:p>
        </w:tc>
        <w:tc>
          <w:tcPr>
            <w:tcW w:w="1701" w:type="dxa"/>
          </w:tcPr>
          <w:p w14:paraId="4C4B5DC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6.73</w:t>
            </w:r>
          </w:p>
        </w:tc>
        <w:tc>
          <w:tcPr>
            <w:tcW w:w="2126" w:type="dxa"/>
          </w:tcPr>
          <w:p w14:paraId="0259050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7.27</w:t>
            </w:r>
          </w:p>
        </w:tc>
      </w:tr>
    </w:tbl>
    <w:p w14:paraId="5C6ED223" w14:textId="77777777" w:rsidR="00B54D51" w:rsidRPr="00037AD4" w:rsidRDefault="00B54D51" w:rsidP="00C3362B">
      <w:pPr>
        <w:rPr>
          <w:rFonts w:asciiTheme="minorHAnsi" w:hAnsiTheme="minorHAnsi" w:cstheme="minorHAnsi"/>
          <w:u w:val="single"/>
        </w:rPr>
      </w:pPr>
    </w:p>
    <w:p w14:paraId="22807CEE" w14:textId="77777777" w:rsidR="00B54D51" w:rsidRPr="00037AD4" w:rsidRDefault="00B54D51" w:rsidP="00C3362B">
      <w:pPr>
        <w:rPr>
          <w:rFonts w:asciiTheme="minorHAnsi" w:hAnsiTheme="minorHAnsi" w:cstheme="minorHAnsi"/>
        </w:rPr>
      </w:pPr>
      <w:r w:rsidRPr="00037AD4">
        <w:rPr>
          <w:rFonts w:asciiTheme="minorHAnsi" w:hAnsiTheme="minorHAnsi" w:cstheme="minorHAnsi"/>
        </w:rPr>
        <w:t>Table 37b from the EPIC data shows that the model overestimates level one and two responses. The prediction for level three is relatively close to the observed data, showing only a slight underestimation. However, the model underestimates the responses for both levels four and five. While the model provides a general alignment, it tends to underestimate severity and overpredict the absence of problems. The data shows ceiling effects for PwD responses (with 76.6% reporting "No problems</w:t>
      </w:r>
      <w:r w:rsidRPr="001C171E">
        <w:rPr>
          <w:rFonts w:asciiTheme="minorHAnsi" w:hAnsiTheme="minorHAnsi" w:cstheme="minorHAnsi"/>
          <w:color w:val="000000" w:themeColor="text1"/>
        </w:rPr>
        <w:t xml:space="preserve">", </w:t>
      </w:r>
      <w:hyperlink w:anchor="TableA6B" w:history="1">
        <w:r w:rsidRPr="001C171E">
          <w:rPr>
            <w:rStyle w:val="Hyperlink"/>
            <w:rFonts w:asciiTheme="minorHAnsi" w:hAnsiTheme="minorHAnsi" w:cstheme="minorHAnsi"/>
            <w:color w:val="000000" w:themeColor="text1"/>
            <w:u w:val="none"/>
          </w:rPr>
          <w:t>see Table A6b</w:t>
        </w:r>
      </w:hyperlink>
      <w:r w:rsidRPr="001C171E">
        <w:rPr>
          <w:rFonts w:asciiTheme="minorHAnsi" w:hAnsiTheme="minorHAnsi" w:cstheme="minorHAnsi"/>
          <w:color w:val="000000" w:themeColor="text1"/>
        </w:rPr>
        <w:t xml:space="preserve">). Staff proxies, who may have heightened sensitivity to the challenges faced by those within </w:t>
      </w:r>
      <w:r w:rsidRPr="00037AD4">
        <w:rPr>
          <w:rFonts w:asciiTheme="minorHAnsi" w:hAnsiTheme="minorHAnsi" w:cstheme="minorHAnsi"/>
        </w:rPr>
        <w:t>their care, reported a larger proportion (15.4%) of worst health ratings compared to just 2.4% in PwD data. This discrepancy between PwD and proxy perspectives could be a key factor behind the differences seen in the model's predictions.</w:t>
      </w:r>
    </w:p>
    <w:p w14:paraId="364585BC" w14:textId="04837873" w:rsidR="00B54D51" w:rsidRDefault="00B54D51" w:rsidP="00C3362B">
      <w:pPr>
        <w:rPr>
          <w:rFonts w:asciiTheme="minorHAnsi" w:hAnsiTheme="minorHAnsi" w:cstheme="minorHAnsi"/>
        </w:rPr>
      </w:pPr>
    </w:p>
    <w:p w14:paraId="202E54D2" w14:textId="77777777" w:rsidR="00806411" w:rsidRDefault="00806411" w:rsidP="00C3362B">
      <w:pPr>
        <w:rPr>
          <w:rFonts w:asciiTheme="minorHAnsi" w:hAnsiTheme="minorHAnsi" w:cstheme="minorHAnsi"/>
        </w:rPr>
      </w:pPr>
    </w:p>
    <w:p w14:paraId="23278AD6" w14:textId="77777777" w:rsidR="00254ACD" w:rsidRDefault="00254ACD" w:rsidP="00C3362B">
      <w:pPr>
        <w:rPr>
          <w:rFonts w:asciiTheme="minorHAnsi" w:hAnsiTheme="minorHAnsi" w:cstheme="minorHAnsi"/>
        </w:rPr>
      </w:pPr>
    </w:p>
    <w:p w14:paraId="3A7D681A" w14:textId="780F7DC4" w:rsidR="001C171E" w:rsidRDefault="001C171E" w:rsidP="00C3362B">
      <w:pPr>
        <w:rPr>
          <w:rFonts w:asciiTheme="minorHAnsi" w:hAnsiTheme="minorHAnsi" w:cstheme="minorHAnsi"/>
        </w:rPr>
      </w:pPr>
    </w:p>
    <w:p w14:paraId="0558BD9F" w14:textId="77777777" w:rsidR="001C171E" w:rsidRPr="00037AD4" w:rsidRDefault="001C171E" w:rsidP="00C3362B">
      <w:pPr>
        <w:rPr>
          <w:rFonts w:asciiTheme="minorHAnsi" w:hAnsiTheme="minorHAnsi" w:cstheme="minorHAnsi"/>
        </w:rPr>
      </w:pPr>
    </w:p>
    <w:p w14:paraId="24285DE2" w14:textId="77777777" w:rsidR="00B54D51" w:rsidRPr="00037AD4" w:rsidRDefault="00B54D51" w:rsidP="00C3362B">
      <w:pPr>
        <w:rPr>
          <w:rFonts w:asciiTheme="minorHAnsi" w:hAnsiTheme="minorHAnsi" w:cstheme="minorHAnsi"/>
          <w:b/>
          <w:bCs/>
          <w:i/>
          <w:iCs/>
        </w:rPr>
      </w:pPr>
      <w:r w:rsidRPr="00037AD4">
        <w:rPr>
          <w:rFonts w:asciiTheme="minorHAnsi" w:hAnsiTheme="minorHAnsi" w:cstheme="minorHAnsi"/>
          <w:b/>
          <w:bCs/>
          <w:i/>
          <w:iCs/>
        </w:rPr>
        <w:lastRenderedPageBreak/>
        <w:t>Table 37b, Observed vs. predicted data for the “usual activities” dimension from the EPIC study</w:t>
      </w:r>
    </w:p>
    <w:p w14:paraId="3BA65FBF" w14:textId="77777777" w:rsidR="00B54D51" w:rsidRPr="00037AD4" w:rsidRDefault="00B54D51" w:rsidP="00C3362B">
      <w:pPr>
        <w:rPr>
          <w:rFonts w:asciiTheme="minorHAnsi" w:hAnsiTheme="minorHAnsi" w:cstheme="minorHAnsi"/>
          <w:u w:val="single"/>
        </w:rPr>
      </w:pPr>
    </w:p>
    <w:tbl>
      <w:tblPr>
        <w:tblStyle w:val="TableGrid"/>
        <w:tblW w:w="0" w:type="auto"/>
        <w:tblLook w:val="04A0" w:firstRow="1" w:lastRow="0" w:firstColumn="1" w:lastColumn="0" w:noHBand="0" w:noVBand="1"/>
      </w:tblPr>
      <w:tblGrid>
        <w:gridCol w:w="2972"/>
        <w:gridCol w:w="1701"/>
        <w:gridCol w:w="2089"/>
      </w:tblGrid>
      <w:tr w:rsidR="00B54D51" w:rsidRPr="00037AD4" w14:paraId="45975C7F" w14:textId="77777777" w:rsidTr="002B6B17">
        <w:tc>
          <w:tcPr>
            <w:tcW w:w="2972" w:type="dxa"/>
          </w:tcPr>
          <w:p w14:paraId="78B4088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Response options</w:t>
            </w:r>
          </w:p>
        </w:tc>
        <w:tc>
          <w:tcPr>
            <w:tcW w:w="1701" w:type="dxa"/>
          </w:tcPr>
          <w:p w14:paraId="2DB77989" w14:textId="77777777" w:rsidR="00B54D51" w:rsidRDefault="00B54D51" w:rsidP="00401C67">
            <w:pPr>
              <w:rPr>
                <w:rFonts w:asciiTheme="minorHAnsi" w:hAnsiTheme="minorHAnsi" w:cstheme="minorHAnsi"/>
              </w:rPr>
            </w:pPr>
            <w:r w:rsidRPr="00037AD4">
              <w:rPr>
                <w:rFonts w:asciiTheme="minorHAnsi" w:hAnsiTheme="minorHAnsi" w:cstheme="minorHAnsi"/>
              </w:rPr>
              <w:t>Observed frequency (%)</w:t>
            </w:r>
          </w:p>
          <w:p w14:paraId="72BE3EA1" w14:textId="77777777" w:rsidR="00B54D51" w:rsidRPr="00FD5268" w:rsidRDefault="00B54D51" w:rsidP="00401C67">
            <w:pPr>
              <w:rPr>
                <w:rFonts w:asciiTheme="minorHAnsi" w:hAnsiTheme="minorHAnsi" w:cstheme="minorHAnsi"/>
                <w:i/>
                <w:iCs/>
                <w:sz w:val="22"/>
                <w:szCs w:val="22"/>
              </w:rPr>
            </w:pPr>
            <w:r w:rsidRPr="00FD5268">
              <w:rPr>
                <w:rFonts w:asciiTheme="minorHAnsi" w:hAnsiTheme="minorHAnsi" w:cstheme="minorHAnsi"/>
                <w:i/>
                <w:iCs/>
                <w:sz w:val="22"/>
                <w:szCs w:val="22"/>
              </w:rPr>
              <w:t>n=1701</w:t>
            </w:r>
          </w:p>
        </w:tc>
        <w:tc>
          <w:tcPr>
            <w:tcW w:w="2089" w:type="dxa"/>
          </w:tcPr>
          <w:p w14:paraId="077599BB" w14:textId="77777777" w:rsidR="00B54D51" w:rsidRPr="00FD5268" w:rsidRDefault="00B54D51" w:rsidP="00401C67">
            <w:pPr>
              <w:rPr>
                <w:rFonts w:asciiTheme="minorHAnsi" w:hAnsiTheme="minorHAnsi" w:cstheme="minorHAnsi"/>
              </w:rPr>
            </w:pPr>
            <w:r w:rsidRPr="00037AD4">
              <w:rPr>
                <w:rFonts w:asciiTheme="minorHAnsi" w:hAnsiTheme="minorHAnsi" w:cstheme="minorHAnsi"/>
              </w:rPr>
              <w:t>Predicted frequency (%)</w:t>
            </w:r>
          </w:p>
        </w:tc>
      </w:tr>
      <w:tr w:rsidR="00B54D51" w:rsidRPr="00037AD4" w14:paraId="0925BACC" w14:textId="77777777" w:rsidTr="002B6B17">
        <w:tc>
          <w:tcPr>
            <w:tcW w:w="2972" w:type="dxa"/>
          </w:tcPr>
          <w:p w14:paraId="5AC44B8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No problems</w:t>
            </w:r>
          </w:p>
        </w:tc>
        <w:tc>
          <w:tcPr>
            <w:tcW w:w="1701" w:type="dxa"/>
          </w:tcPr>
          <w:p w14:paraId="379165C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62.21</w:t>
            </w:r>
          </w:p>
        </w:tc>
        <w:tc>
          <w:tcPr>
            <w:tcW w:w="2089" w:type="dxa"/>
          </w:tcPr>
          <w:p w14:paraId="5FF9B1C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70.90</w:t>
            </w:r>
          </w:p>
        </w:tc>
      </w:tr>
      <w:tr w:rsidR="00B54D51" w:rsidRPr="00037AD4" w14:paraId="3A156E74" w14:textId="77777777" w:rsidTr="002B6B17">
        <w:tc>
          <w:tcPr>
            <w:tcW w:w="2972" w:type="dxa"/>
          </w:tcPr>
          <w:p w14:paraId="077BCAA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Slight problems</w:t>
            </w:r>
          </w:p>
        </w:tc>
        <w:tc>
          <w:tcPr>
            <w:tcW w:w="1701" w:type="dxa"/>
          </w:tcPr>
          <w:p w14:paraId="33191D8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7.88</w:t>
            </w:r>
          </w:p>
        </w:tc>
        <w:tc>
          <w:tcPr>
            <w:tcW w:w="2089" w:type="dxa"/>
          </w:tcPr>
          <w:p w14:paraId="658F009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11.23</w:t>
            </w:r>
          </w:p>
        </w:tc>
      </w:tr>
      <w:tr w:rsidR="00B54D51" w:rsidRPr="00037AD4" w14:paraId="46084B03" w14:textId="77777777" w:rsidTr="002B6B17">
        <w:tc>
          <w:tcPr>
            <w:tcW w:w="2972" w:type="dxa"/>
          </w:tcPr>
          <w:p w14:paraId="633B1F5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Moderate problems</w:t>
            </w:r>
          </w:p>
        </w:tc>
        <w:tc>
          <w:tcPr>
            <w:tcW w:w="1701" w:type="dxa"/>
          </w:tcPr>
          <w:p w14:paraId="6E2D7C0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9.64</w:t>
            </w:r>
          </w:p>
        </w:tc>
        <w:tc>
          <w:tcPr>
            <w:tcW w:w="2089" w:type="dxa"/>
          </w:tcPr>
          <w:p w14:paraId="61FD1B2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8.50</w:t>
            </w:r>
          </w:p>
        </w:tc>
      </w:tr>
      <w:tr w:rsidR="00B54D51" w:rsidRPr="00037AD4" w14:paraId="70788A24" w14:textId="77777777" w:rsidTr="002B6B17">
        <w:tc>
          <w:tcPr>
            <w:tcW w:w="2972" w:type="dxa"/>
          </w:tcPr>
          <w:p w14:paraId="47329EB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Severe problems</w:t>
            </w:r>
          </w:p>
        </w:tc>
        <w:tc>
          <w:tcPr>
            <w:tcW w:w="1701" w:type="dxa"/>
          </w:tcPr>
          <w:p w14:paraId="7C007AA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4.47</w:t>
            </w:r>
          </w:p>
        </w:tc>
        <w:tc>
          <w:tcPr>
            <w:tcW w:w="2089" w:type="dxa"/>
          </w:tcPr>
          <w:p w14:paraId="396EF34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3.13</w:t>
            </w:r>
          </w:p>
        </w:tc>
      </w:tr>
      <w:tr w:rsidR="00B54D51" w:rsidRPr="00037AD4" w14:paraId="542F798F" w14:textId="77777777" w:rsidTr="002B6B17">
        <w:tc>
          <w:tcPr>
            <w:tcW w:w="2972" w:type="dxa"/>
          </w:tcPr>
          <w:p w14:paraId="5B58779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Unable to do usual activities </w:t>
            </w:r>
          </w:p>
        </w:tc>
        <w:tc>
          <w:tcPr>
            <w:tcW w:w="1701" w:type="dxa"/>
          </w:tcPr>
          <w:p w14:paraId="6BF1E20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15.40</w:t>
            </w:r>
          </w:p>
        </w:tc>
        <w:tc>
          <w:tcPr>
            <w:tcW w:w="2089" w:type="dxa"/>
          </w:tcPr>
          <w:p w14:paraId="3978390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6.24</w:t>
            </w:r>
          </w:p>
        </w:tc>
      </w:tr>
    </w:tbl>
    <w:p w14:paraId="3C574482" w14:textId="77777777" w:rsidR="00B54D51" w:rsidRPr="00037AD4" w:rsidRDefault="00B54D51" w:rsidP="00C3362B">
      <w:pPr>
        <w:rPr>
          <w:rFonts w:asciiTheme="minorHAnsi" w:hAnsiTheme="minorHAnsi" w:cstheme="minorHAnsi"/>
          <w:u w:val="single"/>
        </w:rPr>
      </w:pPr>
    </w:p>
    <w:p w14:paraId="7AEBF5BB" w14:textId="77777777" w:rsidR="00B54D51" w:rsidRPr="00037AD4" w:rsidRDefault="00B54D51" w:rsidP="00C3362B">
      <w:pPr>
        <w:rPr>
          <w:rFonts w:asciiTheme="minorHAnsi" w:hAnsiTheme="minorHAnsi" w:cstheme="minorHAnsi"/>
          <w:b/>
          <w:bCs/>
          <w:sz w:val="26"/>
          <w:szCs w:val="26"/>
          <w:u w:val="single"/>
        </w:rPr>
      </w:pPr>
      <w:r w:rsidRPr="00037AD4">
        <w:rPr>
          <w:rFonts w:asciiTheme="minorHAnsi" w:hAnsiTheme="minorHAnsi" w:cstheme="minorHAnsi"/>
          <w:b/>
          <w:bCs/>
          <w:sz w:val="26"/>
          <w:szCs w:val="26"/>
          <w:u w:val="single"/>
        </w:rPr>
        <w:t xml:space="preserve">6.4.3.4 Including a trial indicator for the “usual activities” dimension  </w:t>
      </w:r>
    </w:p>
    <w:p w14:paraId="493F0437" w14:textId="77777777" w:rsidR="00B54D51" w:rsidRPr="00037AD4" w:rsidRDefault="00B54D51" w:rsidP="00C3362B">
      <w:pPr>
        <w:rPr>
          <w:rFonts w:asciiTheme="minorHAnsi" w:hAnsiTheme="minorHAnsi" w:cstheme="minorHAnsi"/>
          <w:b/>
          <w:bCs/>
          <w:u w:val="single"/>
        </w:rPr>
      </w:pPr>
    </w:p>
    <w:p w14:paraId="1191806F" w14:textId="0044EEAD" w:rsidR="00B54D51" w:rsidRPr="001C171E" w:rsidRDefault="00B54D51" w:rsidP="00C3362B">
      <w:pPr>
        <w:rPr>
          <w:rFonts w:asciiTheme="minorHAnsi" w:hAnsiTheme="minorHAnsi" w:cstheme="minorHAnsi"/>
          <w:color w:val="000000" w:themeColor="text1"/>
        </w:rPr>
      </w:pPr>
      <w:r w:rsidRPr="00037AD4">
        <w:rPr>
          <w:rFonts w:asciiTheme="minorHAnsi" w:hAnsiTheme="minorHAnsi" w:cstheme="minorHAnsi"/>
        </w:rPr>
        <w:t>Using the variables available in both datasets, the “usual activities” model was re-run in a dataset of the merged trial data and a trial indicator variable was included</w:t>
      </w:r>
      <w:r w:rsidRPr="00037AD4">
        <w:rPr>
          <w:rFonts w:asciiTheme="minorHAnsi" w:hAnsiTheme="minorHAnsi" w:cstheme="minorHAnsi"/>
          <w:color w:val="000000" w:themeColor="text1"/>
        </w:rPr>
        <w:t xml:space="preserve">. Coefficient tables of this output </w:t>
      </w:r>
      <w:r w:rsidR="001C171E">
        <w:rPr>
          <w:rFonts w:asciiTheme="minorHAnsi" w:hAnsiTheme="minorHAnsi" w:cstheme="minorHAnsi"/>
          <w:color w:val="000000" w:themeColor="text1"/>
        </w:rPr>
        <w:t>are</w:t>
      </w:r>
      <w:r w:rsidRPr="00037AD4">
        <w:rPr>
          <w:rFonts w:asciiTheme="minorHAnsi" w:hAnsiTheme="minorHAnsi" w:cstheme="minorHAnsi"/>
          <w:color w:val="000000" w:themeColor="text1"/>
        </w:rPr>
        <w:t xml:space="preserve"> </w:t>
      </w:r>
      <w:r w:rsidRPr="001C171E">
        <w:rPr>
          <w:rFonts w:asciiTheme="minorHAnsi" w:hAnsiTheme="minorHAnsi" w:cstheme="minorHAnsi"/>
          <w:color w:val="000000" w:themeColor="text1"/>
        </w:rPr>
        <w:t xml:space="preserve">provided </w:t>
      </w:r>
      <w:hyperlink w:anchor="A64" w:history="1">
        <w:r w:rsidRPr="001C171E">
          <w:rPr>
            <w:rStyle w:val="Hyperlink"/>
            <w:rFonts w:asciiTheme="minorHAnsi" w:hAnsiTheme="minorHAnsi" w:cstheme="minorHAnsi"/>
            <w:color w:val="000000" w:themeColor="text1"/>
            <w:u w:val="none"/>
          </w:rPr>
          <w:t>in Appendix 6.4.</w:t>
        </w:r>
      </w:hyperlink>
      <w:r w:rsidRPr="001C171E">
        <w:rPr>
          <w:rFonts w:asciiTheme="minorHAnsi" w:hAnsiTheme="minorHAnsi" w:cstheme="minorHAnsi"/>
          <w:color w:val="000000" w:themeColor="text1"/>
        </w:rPr>
        <w:t xml:space="preserve"> </w:t>
      </w:r>
    </w:p>
    <w:p w14:paraId="15F8DC9F" w14:textId="77777777" w:rsidR="00B54D51" w:rsidRPr="001C171E" w:rsidRDefault="00B54D51" w:rsidP="00C3362B">
      <w:pPr>
        <w:rPr>
          <w:rFonts w:asciiTheme="minorHAnsi" w:hAnsiTheme="minorHAnsi" w:cstheme="minorHAnsi"/>
          <w:color w:val="000000" w:themeColor="text1"/>
        </w:rPr>
      </w:pPr>
    </w:p>
    <w:p w14:paraId="07347F61" w14:textId="77777777" w:rsidR="00B54D51" w:rsidRPr="00037AD4" w:rsidRDefault="00B54D51" w:rsidP="00C3362B">
      <w:pPr>
        <w:rPr>
          <w:rFonts w:asciiTheme="minorHAnsi" w:hAnsiTheme="minorHAnsi" w:cstheme="minorHAnsi"/>
        </w:rPr>
      </w:pPr>
      <w:r w:rsidRPr="001C171E">
        <w:rPr>
          <w:rFonts w:asciiTheme="minorHAnsi" w:hAnsiTheme="minorHAnsi" w:cstheme="minorHAnsi"/>
          <w:color w:val="000000" w:themeColor="text1"/>
        </w:rPr>
        <w:t>A trial effect is indicated as the variable’s coefficient is statistically significant (r=-0.929, p=0.000). This effect shows that participants from the EPIC cohort are associated with better predictive proxy “usual activities” reports. As previously noted, informal proxy responses from ACTIFCARE were near-evenly distributed across levels one to four (</w:t>
      </w:r>
      <w:hyperlink w:anchor="TableA6A" w:history="1">
        <w:r w:rsidRPr="001C171E">
          <w:rPr>
            <w:rStyle w:val="Hyperlink"/>
            <w:rFonts w:asciiTheme="minorHAnsi" w:hAnsiTheme="minorHAnsi" w:cstheme="minorHAnsi"/>
            <w:color w:val="000000" w:themeColor="text1"/>
            <w:u w:val="none"/>
          </w:rPr>
          <w:t>see Table A6a</w:t>
        </w:r>
      </w:hyperlink>
      <w:r w:rsidRPr="001C171E">
        <w:rPr>
          <w:rFonts w:asciiTheme="minorHAnsi" w:hAnsiTheme="minorHAnsi" w:cstheme="minorHAnsi"/>
          <w:color w:val="000000" w:themeColor="text1"/>
        </w:rPr>
        <w:t xml:space="preserve">). In </w:t>
      </w:r>
      <w:r w:rsidRPr="00037AD4">
        <w:rPr>
          <w:rFonts w:asciiTheme="minorHAnsi" w:hAnsiTheme="minorHAnsi" w:cstheme="minorHAnsi"/>
        </w:rPr>
        <w:t xml:space="preserve">contrast, the EPIC proxy responses are concentrated at level one, aligning more closely with PwD reports. The residential status of the PwD may play a key role regarding this dimension in terms of the expectations of people with dementia of community dwelling settings, whereby what are considered "usual activities" may shift based on environment. Proxy biases further complicate this, as staff proxies may have different expectations for people with dementia compared to relative proxies, where personal experiences and connections could influence perceptions. These observations suggest that the core model behaves differently across the two trials/residential settings. </w:t>
      </w:r>
    </w:p>
    <w:p w14:paraId="040767E3" w14:textId="77777777" w:rsidR="00B54D51" w:rsidRPr="00037AD4" w:rsidRDefault="00B54D51" w:rsidP="00C3362B">
      <w:pPr>
        <w:rPr>
          <w:rFonts w:asciiTheme="minorHAnsi" w:hAnsiTheme="minorHAnsi" w:cstheme="minorHAnsi"/>
        </w:rPr>
      </w:pPr>
    </w:p>
    <w:p w14:paraId="2B29130F" w14:textId="77777777" w:rsidR="00B54D51" w:rsidRPr="00037AD4" w:rsidRDefault="00B54D51" w:rsidP="007A43F9">
      <w:pPr>
        <w:pStyle w:val="Heading3"/>
      </w:pPr>
      <w:bookmarkStart w:id="403" w:name="_Toc175742357"/>
      <w:r w:rsidRPr="00037AD4">
        <w:t>6.4.4 Mapping to the “pain/discomfort” dimension</w:t>
      </w:r>
      <w:bookmarkEnd w:id="403"/>
      <w:r w:rsidRPr="00037AD4">
        <w:t xml:space="preserve"> </w:t>
      </w:r>
    </w:p>
    <w:p w14:paraId="61CCE4A3" w14:textId="77777777" w:rsidR="00B54D51" w:rsidRPr="00037AD4" w:rsidRDefault="00B54D51" w:rsidP="00C3362B">
      <w:pPr>
        <w:rPr>
          <w:rFonts w:asciiTheme="minorHAnsi" w:hAnsiTheme="minorHAnsi" w:cstheme="minorHAnsi"/>
          <w:b/>
          <w:bCs/>
          <w:u w:val="single"/>
        </w:rPr>
      </w:pPr>
    </w:p>
    <w:p w14:paraId="0C6C3848" w14:textId="77777777" w:rsidR="00B54D51" w:rsidRPr="00037AD4" w:rsidRDefault="00B54D51" w:rsidP="00C3362B">
      <w:pPr>
        <w:rPr>
          <w:rFonts w:asciiTheme="minorHAnsi" w:hAnsiTheme="minorHAnsi" w:cstheme="minorHAnsi"/>
          <w:b/>
          <w:bCs/>
        </w:rPr>
      </w:pPr>
      <w:r w:rsidRPr="00037AD4">
        <w:rPr>
          <w:rFonts w:asciiTheme="minorHAnsi" w:hAnsiTheme="minorHAnsi" w:cstheme="minorHAnsi"/>
        </w:rPr>
        <w:t xml:space="preserve">The results for mapping to the “pain/discomfort” dimension of EQ-5D-5L are presented in this section. The target respondent for “pain/discomfort” was the PwD in both trials. The coefficient output for the various model iterations is </w:t>
      </w:r>
      <w:r w:rsidRPr="009B08E3">
        <w:rPr>
          <w:rFonts w:asciiTheme="minorHAnsi" w:hAnsiTheme="minorHAnsi" w:cstheme="minorHAnsi"/>
          <w:color w:val="000000" w:themeColor="text1"/>
        </w:rPr>
        <w:t xml:space="preserve">provided in </w:t>
      </w:r>
      <w:hyperlink w:anchor="A62pd" w:history="1">
        <w:r w:rsidRPr="009B08E3">
          <w:rPr>
            <w:rStyle w:val="Hyperlink"/>
            <w:rFonts w:asciiTheme="minorHAnsi" w:hAnsiTheme="minorHAnsi" w:cstheme="minorHAnsi"/>
            <w:color w:val="000000" w:themeColor="text1"/>
            <w:u w:val="none"/>
          </w:rPr>
          <w:t>Appendix 6.2</w:t>
        </w:r>
      </w:hyperlink>
      <w:r w:rsidRPr="009B08E3">
        <w:rPr>
          <w:rFonts w:asciiTheme="minorHAnsi" w:hAnsiTheme="minorHAnsi" w:cstheme="minorHAnsi"/>
          <w:color w:val="000000" w:themeColor="text1"/>
        </w:rPr>
        <w:t xml:space="preserve">. </w:t>
      </w:r>
      <w:r w:rsidRPr="00037AD4">
        <w:rPr>
          <w:rFonts w:asciiTheme="minorHAnsi" w:hAnsiTheme="minorHAnsi" w:cstheme="minorHAnsi"/>
        </w:rPr>
        <w:t xml:space="preserve">Unlike the previous dimension, there is a notable difference between the final models for this dimension between the trials. For the ACTIFCARE trial, relative proxy reported “anxiety/depression” presented as a more effective predictor of PwD “pain/discomfort”. For the EPIC trial data, staff proxy reports of "pain/discomfort" remained the chosen variable for the final model, however in this case proxy-responses from levels four and five were merged for predicting PwD reports. </w:t>
      </w:r>
    </w:p>
    <w:p w14:paraId="2EB7C752" w14:textId="127B681E" w:rsidR="00B54D51" w:rsidRDefault="00B54D51" w:rsidP="00C3362B">
      <w:pPr>
        <w:rPr>
          <w:rFonts w:asciiTheme="minorHAnsi" w:hAnsiTheme="minorHAnsi" w:cstheme="minorHAnsi"/>
          <w:b/>
          <w:bCs/>
          <w:color w:val="FF0000"/>
          <w:sz w:val="26"/>
          <w:szCs w:val="26"/>
        </w:rPr>
      </w:pPr>
    </w:p>
    <w:p w14:paraId="23560AC9" w14:textId="36E88A3A" w:rsidR="009B08E3" w:rsidRDefault="009B08E3" w:rsidP="00C3362B">
      <w:pPr>
        <w:rPr>
          <w:rFonts w:asciiTheme="minorHAnsi" w:hAnsiTheme="minorHAnsi" w:cstheme="minorHAnsi"/>
          <w:b/>
          <w:bCs/>
          <w:color w:val="FF0000"/>
          <w:sz w:val="26"/>
          <w:szCs w:val="26"/>
        </w:rPr>
      </w:pPr>
    </w:p>
    <w:p w14:paraId="120B984F" w14:textId="61DEBBE1" w:rsidR="009B08E3" w:rsidRDefault="009B08E3" w:rsidP="00C3362B">
      <w:pPr>
        <w:rPr>
          <w:rFonts w:asciiTheme="minorHAnsi" w:hAnsiTheme="minorHAnsi" w:cstheme="minorHAnsi"/>
          <w:b/>
          <w:bCs/>
          <w:color w:val="FF0000"/>
          <w:sz w:val="26"/>
          <w:szCs w:val="26"/>
        </w:rPr>
      </w:pPr>
    </w:p>
    <w:p w14:paraId="38DA94E2" w14:textId="77777777" w:rsidR="009B08E3" w:rsidRPr="00037AD4" w:rsidRDefault="009B08E3" w:rsidP="00C3362B">
      <w:pPr>
        <w:rPr>
          <w:rFonts w:asciiTheme="minorHAnsi" w:hAnsiTheme="minorHAnsi" w:cstheme="minorHAnsi"/>
          <w:b/>
          <w:bCs/>
          <w:color w:val="FF0000"/>
          <w:sz w:val="26"/>
          <w:szCs w:val="26"/>
        </w:rPr>
      </w:pPr>
    </w:p>
    <w:p w14:paraId="5B667239" w14:textId="77777777" w:rsidR="00B54D51" w:rsidRPr="00037AD4" w:rsidRDefault="00B54D51" w:rsidP="00C3362B">
      <w:pPr>
        <w:rPr>
          <w:rFonts w:asciiTheme="minorHAnsi" w:hAnsiTheme="minorHAnsi" w:cstheme="minorHAnsi"/>
          <w:b/>
          <w:bCs/>
          <w:color w:val="000000" w:themeColor="text1"/>
          <w:sz w:val="26"/>
          <w:szCs w:val="26"/>
          <w:u w:val="single"/>
        </w:rPr>
      </w:pPr>
      <w:r w:rsidRPr="00037AD4">
        <w:rPr>
          <w:rFonts w:asciiTheme="minorHAnsi" w:hAnsiTheme="minorHAnsi" w:cstheme="minorHAnsi"/>
          <w:b/>
          <w:bCs/>
          <w:sz w:val="26"/>
          <w:szCs w:val="26"/>
          <w:u w:val="single"/>
        </w:rPr>
        <w:lastRenderedPageBreak/>
        <w:t>6.4.4.1</w:t>
      </w:r>
      <w:r w:rsidRPr="00037AD4">
        <w:rPr>
          <w:rFonts w:asciiTheme="minorHAnsi" w:hAnsiTheme="minorHAnsi" w:cstheme="minorHAnsi"/>
          <w:b/>
          <w:bCs/>
          <w:color w:val="000000" w:themeColor="text1"/>
          <w:sz w:val="26"/>
          <w:szCs w:val="26"/>
          <w:u w:val="single"/>
        </w:rPr>
        <w:t xml:space="preserve"> Marginal effects of the final selected models: EQ-5D-5L Pain/discomfort</w:t>
      </w:r>
    </w:p>
    <w:p w14:paraId="0438E1F5" w14:textId="77777777" w:rsidR="00B54D51" w:rsidRPr="00037AD4" w:rsidRDefault="00B54D51" w:rsidP="00C3362B">
      <w:pPr>
        <w:rPr>
          <w:rFonts w:asciiTheme="minorHAnsi" w:hAnsiTheme="minorHAnsi" w:cstheme="minorHAnsi"/>
          <w:color w:val="000000" w:themeColor="text1"/>
        </w:rPr>
      </w:pPr>
    </w:p>
    <w:p w14:paraId="1541210A" w14:textId="77777777" w:rsidR="00B54D51" w:rsidRPr="009B08E3" w:rsidRDefault="00B54D51" w:rsidP="00C3362B">
      <w:pPr>
        <w:rPr>
          <w:rFonts w:asciiTheme="minorHAnsi" w:hAnsiTheme="minorHAnsi" w:cstheme="minorHAnsi"/>
          <w:color w:val="000000" w:themeColor="text1"/>
        </w:rPr>
      </w:pPr>
      <w:r w:rsidRPr="00037AD4">
        <w:rPr>
          <w:rFonts w:asciiTheme="minorHAnsi" w:hAnsiTheme="minorHAnsi" w:cstheme="minorHAnsi"/>
          <w:color w:val="000000" w:themeColor="text1"/>
        </w:rPr>
        <w:t xml:space="preserve">The following section presents the predictive margins of proxy-reported “pain/discomfort”, </w:t>
      </w:r>
      <w:r w:rsidRPr="009B08E3">
        <w:rPr>
          <w:rFonts w:asciiTheme="minorHAnsi" w:hAnsiTheme="minorHAnsi" w:cstheme="minorHAnsi"/>
          <w:color w:val="000000" w:themeColor="text1"/>
        </w:rPr>
        <w:t xml:space="preserve">tables for which are provided in </w:t>
      </w:r>
      <w:hyperlink w:anchor="A63PD" w:history="1">
        <w:r w:rsidRPr="009B08E3">
          <w:rPr>
            <w:rStyle w:val="Hyperlink"/>
            <w:rFonts w:asciiTheme="minorHAnsi" w:hAnsiTheme="minorHAnsi" w:cstheme="minorHAnsi"/>
            <w:color w:val="000000" w:themeColor="text1"/>
            <w:u w:val="none"/>
          </w:rPr>
          <w:t>Appendix 6.3</w:t>
        </w:r>
      </w:hyperlink>
      <w:r w:rsidRPr="009B08E3">
        <w:rPr>
          <w:rFonts w:asciiTheme="minorHAnsi" w:hAnsiTheme="minorHAnsi" w:cstheme="minorHAnsi"/>
          <w:color w:val="000000" w:themeColor="text1"/>
        </w:rPr>
        <w:t xml:space="preserve">. AME outputs for the final selected models are also reported in </w:t>
      </w:r>
      <w:hyperlink w:anchor="A63PD" w:history="1">
        <w:r w:rsidRPr="009B08E3">
          <w:rPr>
            <w:rStyle w:val="Hyperlink"/>
            <w:rFonts w:asciiTheme="minorHAnsi" w:hAnsiTheme="minorHAnsi" w:cstheme="minorHAnsi"/>
            <w:color w:val="000000" w:themeColor="text1"/>
            <w:u w:val="none"/>
          </w:rPr>
          <w:t>Appendix 6.3.</w:t>
        </w:r>
      </w:hyperlink>
    </w:p>
    <w:p w14:paraId="7E9D3679" w14:textId="77777777" w:rsidR="00B54D51" w:rsidRPr="009B08E3" w:rsidRDefault="00B54D51" w:rsidP="00C3362B">
      <w:pPr>
        <w:rPr>
          <w:rFonts w:asciiTheme="minorHAnsi" w:hAnsiTheme="minorHAnsi" w:cstheme="minorHAnsi"/>
          <w:color w:val="000000" w:themeColor="text1"/>
        </w:rPr>
      </w:pPr>
    </w:p>
    <w:p w14:paraId="703FC8D9" w14:textId="77777777" w:rsidR="00B54D51" w:rsidRPr="009B08E3" w:rsidRDefault="00B54D51" w:rsidP="00C3362B">
      <w:pPr>
        <w:rPr>
          <w:rFonts w:asciiTheme="minorHAnsi" w:hAnsiTheme="minorHAnsi" w:cstheme="minorHAnsi"/>
          <w:color w:val="000000" w:themeColor="text1"/>
        </w:rPr>
      </w:pPr>
      <w:r w:rsidRPr="009B08E3">
        <w:rPr>
          <w:rFonts w:asciiTheme="minorHAnsi" w:hAnsiTheme="minorHAnsi" w:cstheme="minorHAnsi"/>
          <w:color w:val="000000" w:themeColor="text1"/>
        </w:rPr>
        <w:t xml:space="preserve">The ACTIFCARE dataset uses the "anxiety/depression" dimension to predict PwD reported "pain/discomfort” and omits the direct use of proxy-reported "pain/discomfort" altogether. The probability of predicting a level one PwD “pain/discomfort” response reduces in a linear-like fashion across proxy levels. At proxy levels one and two, the probability of a level one PwD prediction is noticeably higher than that of the other levels, with no overlapping confidence intervals. Less than one percent of PwD reported a level five response to this dimension </w:t>
      </w:r>
      <w:hyperlink w:anchor="TableA6A" w:history="1">
        <w:r w:rsidRPr="009B08E3">
          <w:rPr>
            <w:rStyle w:val="Hyperlink"/>
            <w:rFonts w:asciiTheme="minorHAnsi" w:hAnsiTheme="minorHAnsi" w:cstheme="minorHAnsi"/>
            <w:color w:val="000000" w:themeColor="text1"/>
            <w:u w:val="none"/>
          </w:rPr>
          <w:t>(see Table A6a of Appendix 6),</w:t>
        </w:r>
      </w:hyperlink>
      <w:r w:rsidRPr="009B08E3">
        <w:rPr>
          <w:rFonts w:asciiTheme="minorHAnsi" w:hAnsiTheme="minorHAnsi" w:cstheme="minorHAnsi"/>
          <w:color w:val="000000" w:themeColor="text1"/>
        </w:rPr>
        <w:t xml:space="preserve"> which may explain why at proxy level five, the confidence intervals of multiple prediction scores overlap, with levels three and four indicating the largest probabilities here. </w:t>
      </w:r>
    </w:p>
    <w:p w14:paraId="5A0927A3" w14:textId="77777777" w:rsidR="00B54D51" w:rsidRPr="009B08E3" w:rsidRDefault="00B54D51" w:rsidP="00C3362B">
      <w:pPr>
        <w:rPr>
          <w:rFonts w:asciiTheme="minorHAnsi" w:hAnsiTheme="minorHAnsi" w:cstheme="minorHAnsi"/>
          <w:color w:val="000000" w:themeColor="text1"/>
        </w:rPr>
      </w:pPr>
    </w:p>
    <w:p w14:paraId="2C428D54" w14:textId="77777777" w:rsidR="00B54D51" w:rsidRPr="009B08E3" w:rsidRDefault="00B54D51" w:rsidP="00C3362B">
      <w:pPr>
        <w:rPr>
          <w:rFonts w:asciiTheme="minorHAnsi" w:hAnsiTheme="minorHAnsi" w:cstheme="minorHAnsi"/>
          <w:b/>
          <w:bCs/>
          <w:color w:val="000000" w:themeColor="text1"/>
        </w:rPr>
      </w:pPr>
      <w:r w:rsidRPr="009B08E3">
        <w:rPr>
          <w:rFonts w:asciiTheme="minorHAnsi" w:hAnsiTheme="minorHAnsi" w:cstheme="minorHAnsi"/>
          <w:color w:val="000000" w:themeColor="text1"/>
        </w:rPr>
        <w:t xml:space="preserve">In the EPIC trial 0.2% (n=4) of staff proxies provided level five reports </w:t>
      </w:r>
      <w:hyperlink w:anchor="TableA6B" w:history="1">
        <w:r w:rsidRPr="009B08E3">
          <w:rPr>
            <w:rStyle w:val="Hyperlink"/>
            <w:rFonts w:asciiTheme="minorHAnsi" w:hAnsiTheme="minorHAnsi" w:cstheme="minorHAnsi"/>
            <w:color w:val="000000" w:themeColor="text1"/>
            <w:u w:val="none"/>
          </w:rPr>
          <w:t>(see Table A6b in Appendix 6),</w:t>
        </w:r>
      </w:hyperlink>
      <w:r w:rsidRPr="009B08E3">
        <w:rPr>
          <w:rFonts w:asciiTheme="minorHAnsi" w:hAnsiTheme="minorHAnsi" w:cstheme="minorHAnsi"/>
          <w:color w:val="000000" w:themeColor="text1"/>
        </w:rPr>
        <w:t xml:space="preserve"> therefore, for analytical purposes combining "pain/discomfort" staff-proxy responses from levels four and five was deemed most appropriate for predicting PwD reports. This dimension saw evidence of ceiling effects from both respondents (approximately 72% of people with dementia and 74% of staff proxies reported “perfect health” for “pain/discomfort”). Therefore, although the probabilities for predicting PwD-levels increase in line with proxy responses, the probabilities for level one consistently remain the highest across all proxy levels. The probabilities for PwD level five predictions are non-significant at all levels and are negligible </w:t>
      </w:r>
      <w:hyperlink w:anchor="Tablea63o" w:history="1">
        <w:r w:rsidRPr="009B08E3">
          <w:rPr>
            <w:rStyle w:val="Hyperlink"/>
            <w:rFonts w:asciiTheme="minorHAnsi" w:hAnsiTheme="minorHAnsi" w:cstheme="minorHAnsi"/>
            <w:color w:val="000000" w:themeColor="text1"/>
            <w:u w:val="none"/>
          </w:rPr>
          <w:t>(see Table A6.3o within Appendix 6.3),</w:t>
        </w:r>
      </w:hyperlink>
      <w:r w:rsidRPr="009B08E3">
        <w:rPr>
          <w:rFonts w:asciiTheme="minorHAnsi" w:hAnsiTheme="minorHAnsi" w:cstheme="minorHAnsi"/>
          <w:color w:val="000000" w:themeColor="text1"/>
        </w:rPr>
        <w:t xml:space="preserve"> again likely an artifact of the data due to a low proportion of responses. </w:t>
      </w:r>
    </w:p>
    <w:p w14:paraId="76A06FAD" w14:textId="77777777" w:rsidR="00B54D51" w:rsidRPr="00037AD4" w:rsidRDefault="00B54D51" w:rsidP="00C3362B">
      <w:pPr>
        <w:rPr>
          <w:rFonts w:asciiTheme="minorHAnsi" w:hAnsiTheme="minorHAnsi" w:cstheme="minorHAnsi"/>
        </w:rPr>
      </w:pPr>
    </w:p>
    <w:p w14:paraId="03E94872" w14:textId="77777777" w:rsidR="00B54D51" w:rsidRPr="00037AD4" w:rsidRDefault="00B54D51" w:rsidP="00C3362B">
      <w:pPr>
        <w:rPr>
          <w:rFonts w:asciiTheme="minorHAnsi" w:hAnsiTheme="minorHAnsi" w:cstheme="minorHAnsi"/>
          <w:b/>
          <w:bCs/>
          <w:i/>
          <w:iCs/>
          <w:color w:val="000000" w:themeColor="text1"/>
        </w:rPr>
      </w:pPr>
      <w:r w:rsidRPr="00037AD4">
        <w:rPr>
          <w:rFonts w:asciiTheme="minorHAnsi" w:hAnsiTheme="minorHAnsi" w:cstheme="minorHAnsi"/>
          <w:b/>
          <w:bCs/>
          <w:i/>
          <w:iCs/>
          <w:color w:val="000000" w:themeColor="text1"/>
        </w:rPr>
        <w:t xml:space="preserve">Figure 36a, “Pain/discomfort” predictive margins for ACTIFCARE data </w:t>
      </w:r>
    </w:p>
    <w:p w14:paraId="278CF5FD" w14:textId="77777777" w:rsidR="00B54D51" w:rsidRPr="00037AD4" w:rsidRDefault="00B54D51" w:rsidP="00C3362B">
      <w:pPr>
        <w:rPr>
          <w:rFonts w:asciiTheme="minorHAnsi" w:hAnsiTheme="minorHAnsi" w:cstheme="minorHAnsi"/>
          <w:color w:val="000000" w:themeColor="text1"/>
        </w:rPr>
      </w:pPr>
    </w:p>
    <w:p w14:paraId="65C5A3B4" w14:textId="528B7105" w:rsidR="00B54D51" w:rsidRPr="00037AD4" w:rsidRDefault="00830480" w:rsidP="00C3362B">
      <w:pPr>
        <w:rPr>
          <w:rFonts w:asciiTheme="minorHAnsi" w:hAnsiTheme="minorHAnsi" w:cstheme="minorHAnsi"/>
          <w:b/>
          <w:bCs/>
          <w:color w:val="FF0000"/>
        </w:rPr>
      </w:pPr>
      <w:r w:rsidRPr="00037AD4">
        <w:rPr>
          <w:rFonts w:asciiTheme="minorHAnsi" w:hAnsiTheme="minorHAnsi" w:cstheme="minorHAnsi"/>
          <w:b/>
          <w:bCs/>
          <w:noProof/>
          <w:color w:val="FF0000"/>
          <w:lang w:eastAsia="zh-CN"/>
        </w:rPr>
        <w:drawing>
          <wp:inline distT="0" distB="0" distL="0" distR="0" wp14:anchorId="4A7BB112" wp14:editId="3A41FD1F">
            <wp:extent cx="3960000" cy="2880000"/>
            <wp:effectExtent l="0" t="0" r="2540" b="3175"/>
            <wp:docPr id="110" name="Picture 110" descr="A graph of a number of pain&#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Picture 38" descr="A graph of a number of pain&#10;&#10;Description automatically generated with medium confidenc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960000" cy="2880000"/>
                    </a:xfrm>
                    <a:prstGeom prst="rect">
                      <a:avLst/>
                    </a:prstGeom>
                  </pic:spPr>
                </pic:pic>
              </a:graphicData>
            </a:graphic>
          </wp:inline>
        </w:drawing>
      </w:r>
    </w:p>
    <w:p w14:paraId="3536D086" w14:textId="77777777" w:rsidR="009B08E3" w:rsidRDefault="009B08E3" w:rsidP="00C3362B">
      <w:pPr>
        <w:rPr>
          <w:rFonts w:asciiTheme="minorHAnsi" w:hAnsiTheme="minorHAnsi" w:cstheme="minorHAnsi"/>
          <w:b/>
          <w:bCs/>
          <w:i/>
          <w:iCs/>
        </w:rPr>
      </w:pPr>
    </w:p>
    <w:p w14:paraId="611F5A08" w14:textId="77777777" w:rsidR="00254ACD" w:rsidRDefault="00254ACD" w:rsidP="00C3362B">
      <w:pPr>
        <w:rPr>
          <w:rFonts w:asciiTheme="minorHAnsi" w:hAnsiTheme="minorHAnsi" w:cstheme="minorHAnsi"/>
          <w:b/>
          <w:bCs/>
          <w:i/>
          <w:iCs/>
        </w:rPr>
      </w:pPr>
    </w:p>
    <w:p w14:paraId="54515DD7" w14:textId="3F05EB44" w:rsidR="00B54D51" w:rsidRPr="00037AD4" w:rsidRDefault="00B54D51" w:rsidP="00C3362B">
      <w:pPr>
        <w:rPr>
          <w:rFonts w:asciiTheme="minorHAnsi" w:hAnsiTheme="minorHAnsi" w:cstheme="minorHAnsi"/>
          <w:b/>
          <w:bCs/>
          <w:i/>
          <w:iCs/>
        </w:rPr>
      </w:pPr>
      <w:r w:rsidRPr="00037AD4">
        <w:rPr>
          <w:rFonts w:asciiTheme="minorHAnsi" w:hAnsiTheme="minorHAnsi" w:cstheme="minorHAnsi"/>
          <w:b/>
          <w:bCs/>
          <w:i/>
          <w:iCs/>
        </w:rPr>
        <w:lastRenderedPageBreak/>
        <w:t xml:space="preserve">Figure 36b, “Pain/discomfort” predictive margins for EPIC data </w:t>
      </w:r>
    </w:p>
    <w:p w14:paraId="5089E9EE" w14:textId="77777777" w:rsidR="00B54D51" w:rsidRPr="00037AD4" w:rsidRDefault="00B54D51" w:rsidP="00C3362B">
      <w:pPr>
        <w:rPr>
          <w:rFonts w:asciiTheme="minorHAnsi" w:hAnsiTheme="minorHAnsi" w:cstheme="minorHAnsi"/>
          <w:b/>
          <w:bCs/>
          <w:u w:val="single"/>
        </w:rPr>
      </w:pPr>
    </w:p>
    <w:p w14:paraId="55E02DB8" w14:textId="282E193C" w:rsidR="00B54D51" w:rsidRPr="00037AD4" w:rsidRDefault="00830480" w:rsidP="00C3362B">
      <w:pPr>
        <w:rPr>
          <w:rFonts w:asciiTheme="minorHAnsi" w:hAnsiTheme="minorHAnsi" w:cstheme="minorHAnsi"/>
          <w:b/>
          <w:bCs/>
          <w:u w:val="single"/>
        </w:rPr>
      </w:pPr>
      <w:r w:rsidRPr="00037AD4">
        <w:rPr>
          <w:rFonts w:asciiTheme="minorHAnsi" w:hAnsiTheme="minorHAnsi" w:cstheme="minorHAnsi"/>
          <w:b/>
          <w:bCs/>
          <w:noProof/>
          <w:lang w:eastAsia="zh-CN"/>
        </w:rPr>
        <w:drawing>
          <wp:inline distT="0" distB="0" distL="0" distR="0" wp14:anchorId="0B8ADCC1" wp14:editId="4256BCEB">
            <wp:extent cx="3960000" cy="2880000"/>
            <wp:effectExtent l="0" t="0" r="2540" b="3175"/>
            <wp:docPr id="111" name="Picture 111" descr="A graph of a number of individuals&#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Picture 45" descr="A graph of a number of individuals&#10;&#10;Description automatically generated with medium confidenc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960000" cy="2880000"/>
                    </a:xfrm>
                    <a:prstGeom prst="rect">
                      <a:avLst/>
                    </a:prstGeom>
                  </pic:spPr>
                </pic:pic>
              </a:graphicData>
            </a:graphic>
          </wp:inline>
        </w:drawing>
      </w:r>
    </w:p>
    <w:p w14:paraId="1446D904" w14:textId="77777777" w:rsidR="00B54D51" w:rsidRPr="00037AD4" w:rsidRDefault="00B54D51" w:rsidP="00C3362B">
      <w:pPr>
        <w:rPr>
          <w:rFonts w:asciiTheme="minorHAnsi" w:hAnsiTheme="minorHAnsi" w:cstheme="minorHAnsi"/>
          <w:b/>
          <w:bCs/>
          <w:u w:val="single"/>
        </w:rPr>
      </w:pPr>
    </w:p>
    <w:p w14:paraId="7D003AE0" w14:textId="77777777" w:rsidR="00B54D51" w:rsidRPr="00037AD4" w:rsidRDefault="00B54D51" w:rsidP="00C3362B">
      <w:pPr>
        <w:rPr>
          <w:rFonts w:asciiTheme="minorHAnsi" w:hAnsiTheme="minorHAnsi" w:cstheme="minorHAnsi"/>
          <w:b/>
          <w:bCs/>
          <w:sz w:val="26"/>
          <w:szCs w:val="26"/>
          <w:u w:val="single"/>
        </w:rPr>
      </w:pPr>
      <w:r w:rsidRPr="00037AD4">
        <w:rPr>
          <w:rFonts w:asciiTheme="minorHAnsi" w:hAnsiTheme="minorHAnsi" w:cstheme="minorHAnsi"/>
          <w:b/>
          <w:bCs/>
          <w:sz w:val="26"/>
          <w:szCs w:val="26"/>
          <w:u w:val="single"/>
        </w:rPr>
        <w:t>6.4.4.2 Marginal effects of the additional model variables: EQ-5D-5L Pain/discomfort</w:t>
      </w:r>
    </w:p>
    <w:p w14:paraId="0CDFAE12" w14:textId="77777777" w:rsidR="00B54D51" w:rsidRPr="00037AD4" w:rsidRDefault="00B54D51" w:rsidP="00C3362B">
      <w:pPr>
        <w:rPr>
          <w:rFonts w:asciiTheme="minorHAnsi" w:hAnsiTheme="minorHAnsi" w:cstheme="minorHAnsi"/>
          <w:b/>
          <w:bCs/>
          <w:highlight w:val="yellow"/>
          <w:u w:val="single"/>
        </w:rPr>
      </w:pPr>
    </w:p>
    <w:p w14:paraId="7C25A467" w14:textId="77777777" w:rsidR="00B54D51" w:rsidRPr="00037AD4" w:rsidRDefault="00B54D51" w:rsidP="00C3362B">
      <w:pPr>
        <w:rPr>
          <w:rFonts w:asciiTheme="minorHAnsi" w:hAnsiTheme="minorHAnsi" w:cstheme="minorHAnsi"/>
        </w:rPr>
      </w:pPr>
      <w:r w:rsidRPr="00037AD4">
        <w:rPr>
          <w:rFonts w:asciiTheme="minorHAnsi" w:hAnsiTheme="minorHAnsi" w:cstheme="minorHAnsi"/>
        </w:rPr>
        <w:t xml:space="preserve">To scrutinise the variables beyond the EQ-5D-5L dimension included within the final model, the AME output </w:t>
      </w:r>
      <w:hyperlink w:anchor="A63PD" w:history="1">
        <w:r w:rsidRPr="009B08E3">
          <w:rPr>
            <w:rStyle w:val="Hyperlink"/>
            <w:rFonts w:asciiTheme="minorHAnsi" w:hAnsiTheme="minorHAnsi" w:cstheme="minorHAnsi"/>
            <w:color w:val="000000" w:themeColor="text1"/>
            <w:u w:val="none"/>
          </w:rPr>
          <w:t>reported in Tables A6.3m - A6.3p in Appendix 6.3</w:t>
        </w:r>
      </w:hyperlink>
      <w:r w:rsidRPr="009B08E3">
        <w:rPr>
          <w:rFonts w:asciiTheme="minorHAnsi" w:hAnsiTheme="minorHAnsi" w:cstheme="minorHAnsi"/>
          <w:color w:val="000000" w:themeColor="text1"/>
        </w:rPr>
        <w:t xml:space="preserve"> are referred to in this section. The “pain/discomfort” model presents as the first dimension model </w:t>
      </w:r>
      <w:r w:rsidRPr="00037AD4">
        <w:rPr>
          <w:rFonts w:asciiTheme="minorHAnsi" w:hAnsiTheme="minorHAnsi" w:cstheme="minorHAnsi"/>
        </w:rPr>
        <w:t xml:space="preserve">to not include the function variable. </w:t>
      </w:r>
    </w:p>
    <w:p w14:paraId="4B2108A4" w14:textId="77777777" w:rsidR="00B54D51" w:rsidRPr="00037AD4" w:rsidRDefault="00B54D51" w:rsidP="00C3362B">
      <w:pPr>
        <w:rPr>
          <w:rFonts w:asciiTheme="minorHAnsi" w:hAnsiTheme="minorHAnsi" w:cstheme="minorHAnsi"/>
        </w:rPr>
      </w:pPr>
    </w:p>
    <w:p w14:paraId="4D5553EB" w14:textId="77777777" w:rsidR="00B54D51" w:rsidRPr="00037AD4" w:rsidRDefault="00B54D51" w:rsidP="00C3362B">
      <w:pPr>
        <w:rPr>
          <w:rFonts w:asciiTheme="minorHAnsi" w:hAnsiTheme="minorHAnsi" w:cstheme="minorHAnsi"/>
        </w:rPr>
      </w:pPr>
      <w:r w:rsidRPr="00037AD4">
        <w:rPr>
          <w:rFonts w:asciiTheme="minorHAnsi" w:hAnsiTheme="minorHAnsi" w:cstheme="minorHAnsi"/>
        </w:rPr>
        <w:t>In the ACTIFCARE dataset, the AMEs for MMSE are statistically significant, however their magnitude is small, and they follow no clear pattern (similar to as observed with “mobility”). for PwD sex, the AMEs are statistically non-significant for both datasets, showing similarity in terms of the increasing magnitude down the scoring levels. For the EPIC dataset, the AME associated with a level one report is positive (compared to the base outcome which is male PwD), and of a larger magnitude, implying that female people with dementia have a higher likelihood of level one predicted “pain/discomfort” reports compared with male people with dementia. This feature in AMEs underscores the sex-related variations in the prediction of "pain/discomfort" within the EPIC dataset.</w:t>
      </w:r>
    </w:p>
    <w:p w14:paraId="5D813E21" w14:textId="77777777" w:rsidR="00B54D51" w:rsidRPr="00037AD4" w:rsidRDefault="00B54D51" w:rsidP="00C3362B">
      <w:pPr>
        <w:rPr>
          <w:rFonts w:asciiTheme="minorHAnsi" w:hAnsiTheme="minorHAnsi" w:cstheme="minorHAnsi"/>
          <w:b/>
          <w:bCs/>
          <w:u w:val="single"/>
        </w:rPr>
      </w:pPr>
    </w:p>
    <w:p w14:paraId="42395713" w14:textId="77777777" w:rsidR="00B54D51" w:rsidRPr="00037AD4" w:rsidRDefault="00B54D51" w:rsidP="00C3362B">
      <w:pPr>
        <w:rPr>
          <w:rFonts w:asciiTheme="minorHAnsi" w:hAnsiTheme="minorHAnsi" w:cstheme="minorHAnsi"/>
          <w:b/>
          <w:bCs/>
          <w:sz w:val="26"/>
          <w:szCs w:val="26"/>
          <w:u w:val="single"/>
        </w:rPr>
      </w:pPr>
      <w:r w:rsidRPr="00037AD4">
        <w:rPr>
          <w:rFonts w:asciiTheme="minorHAnsi" w:hAnsiTheme="minorHAnsi" w:cstheme="minorHAnsi"/>
          <w:b/>
          <w:bCs/>
          <w:sz w:val="26"/>
          <w:szCs w:val="26"/>
          <w:u w:val="single"/>
        </w:rPr>
        <w:t>6.4.4.3 Observed vs. predicted data: EQ-5D-5L: Pain/discomfort models</w:t>
      </w:r>
    </w:p>
    <w:p w14:paraId="2CCE3AA3" w14:textId="77777777" w:rsidR="00B54D51" w:rsidRPr="00037AD4" w:rsidRDefault="00B54D51" w:rsidP="00C3362B">
      <w:pPr>
        <w:rPr>
          <w:rFonts w:asciiTheme="minorHAnsi" w:hAnsiTheme="minorHAnsi" w:cstheme="minorHAnsi"/>
          <w:u w:val="single"/>
        </w:rPr>
      </w:pPr>
    </w:p>
    <w:p w14:paraId="7EAC44AB" w14:textId="77777777" w:rsidR="00B54D51" w:rsidRPr="00037AD4" w:rsidRDefault="00B54D51" w:rsidP="00C3362B">
      <w:pPr>
        <w:rPr>
          <w:rFonts w:asciiTheme="minorHAnsi" w:hAnsiTheme="minorHAnsi" w:cstheme="minorHAnsi"/>
        </w:rPr>
      </w:pPr>
      <w:r w:rsidRPr="00037AD4">
        <w:rPr>
          <w:rFonts w:asciiTheme="minorHAnsi" w:hAnsiTheme="minorHAnsi" w:cstheme="minorHAnsi"/>
        </w:rPr>
        <w:t xml:space="preserve">The ACTIFCARE dimension-model was re-run without the MMSE variable to assess any potential impacts upon the predictions. Table 38a below shows that for levels one and two, the prediction frequencies remained consistent with or without the MMSE variable, suggesting its limited role within the model. Some deviations were observed in the level three and four predictions, with a slight reduction and increase respectively via MMSE’s exclusion. Level five responses saw a slight decrease in prediction without MMSE. While the MMSE variable does influence the model to some extent, its removal results in predictions </w:t>
      </w:r>
      <w:r w:rsidRPr="00037AD4">
        <w:rPr>
          <w:rFonts w:asciiTheme="minorHAnsi" w:hAnsiTheme="minorHAnsi" w:cstheme="minorHAnsi"/>
        </w:rPr>
        <w:lastRenderedPageBreak/>
        <w:t>that still closely mirror the original data, highlighting the reliability of the other incorporated variables.</w:t>
      </w:r>
    </w:p>
    <w:p w14:paraId="31D362F0" w14:textId="77777777" w:rsidR="00B54D51" w:rsidRPr="00037AD4" w:rsidRDefault="00B54D51" w:rsidP="00C3362B">
      <w:pPr>
        <w:rPr>
          <w:rFonts w:asciiTheme="minorHAnsi" w:hAnsiTheme="minorHAnsi" w:cstheme="minorHAnsi"/>
          <w:u w:val="single"/>
        </w:rPr>
      </w:pPr>
    </w:p>
    <w:p w14:paraId="15874CC2" w14:textId="77777777" w:rsidR="00B54D51" w:rsidRPr="00037AD4" w:rsidRDefault="00B54D51" w:rsidP="00C3362B">
      <w:pPr>
        <w:rPr>
          <w:rFonts w:asciiTheme="minorHAnsi" w:hAnsiTheme="minorHAnsi" w:cstheme="minorHAnsi"/>
          <w:b/>
          <w:bCs/>
          <w:i/>
          <w:iCs/>
        </w:rPr>
      </w:pPr>
      <w:r w:rsidRPr="00037AD4">
        <w:rPr>
          <w:rFonts w:asciiTheme="minorHAnsi" w:hAnsiTheme="minorHAnsi" w:cstheme="minorHAnsi"/>
          <w:b/>
          <w:bCs/>
          <w:i/>
          <w:iCs/>
        </w:rPr>
        <w:t>Table 38a, Observed vs. predicted data for “pain/discomfort” dimension from the ACTIFCARE study</w:t>
      </w:r>
    </w:p>
    <w:p w14:paraId="02987177" w14:textId="77777777" w:rsidR="00B54D51" w:rsidRPr="00037AD4" w:rsidRDefault="00B54D51" w:rsidP="00C3362B">
      <w:pPr>
        <w:rPr>
          <w:rFonts w:asciiTheme="minorHAnsi" w:hAnsiTheme="minorHAnsi" w:cstheme="minorHAnsi"/>
          <w:u w:val="single"/>
        </w:rPr>
      </w:pPr>
    </w:p>
    <w:tbl>
      <w:tblPr>
        <w:tblStyle w:val="TableGrid"/>
        <w:tblW w:w="5107" w:type="pct"/>
        <w:tblLook w:val="04A0" w:firstRow="1" w:lastRow="0" w:firstColumn="1" w:lastColumn="0" w:noHBand="0" w:noVBand="1"/>
      </w:tblPr>
      <w:tblGrid>
        <w:gridCol w:w="2831"/>
        <w:gridCol w:w="1702"/>
        <w:gridCol w:w="2269"/>
        <w:gridCol w:w="2407"/>
      </w:tblGrid>
      <w:tr w:rsidR="00B54D51" w:rsidRPr="00037AD4" w14:paraId="421D2B2D" w14:textId="77777777" w:rsidTr="00D8139B">
        <w:tc>
          <w:tcPr>
            <w:tcW w:w="1537" w:type="pct"/>
          </w:tcPr>
          <w:p w14:paraId="2D45A48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Response options</w:t>
            </w:r>
          </w:p>
        </w:tc>
        <w:tc>
          <w:tcPr>
            <w:tcW w:w="924" w:type="pct"/>
          </w:tcPr>
          <w:p w14:paraId="63C638D2" w14:textId="77777777" w:rsidR="00B54D51" w:rsidRDefault="00B54D51" w:rsidP="00401C67">
            <w:pPr>
              <w:rPr>
                <w:rFonts w:asciiTheme="minorHAnsi" w:hAnsiTheme="minorHAnsi" w:cstheme="minorHAnsi"/>
              </w:rPr>
            </w:pPr>
            <w:r w:rsidRPr="00037AD4">
              <w:rPr>
                <w:rFonts w:asciiTheme="minorHAnsi" w:hAnsiTheme="minorHAnsi" w:cstheme="minorHAnsi"/>
              </w:rPr>
              <w:t>Observed frequency (%)</w:t>
            </w:r>
          </w:p>
          <w:p w14:paraId="467EB657" w14:textId="77777777" w:rsidR="00B54D51" w:rsidRPr="00A94DD6" w:rsidRDefault="00B54D51" w:rsidP="00401C67">
            <w:pPr>
              <w:rPr>
                <w:rFonts w:asciiTheme="minorHAnsi" w:hAnsiTheme="minorHAnsi" w:cstheme="minorHAnsi"/>
                <w:i/>
                <w:iCs/>
                <w:sz w:val="22"/>
                <w:szCs w:val="22"/>
              </w:rPr>
            </w:pPr>
            <w:r w:rsidRPr="00A94DD6">
              <w:rPr>
                <w:rFonts w:asciiTheme="minorHAnsi" w:hAnsiTheme="minorHAnsi" w:cstheme="minorHAnsi"/>
                <w:i/>
                <w:iCs/>
                <w:sz w:val="22"/>
                <w:szCs w:val="22"/>
              </w:rPr>
              <w:t>n=1132</w:t>
            </w:r>
          </w:p>
        </w:tc>
        <w:tc>
          <w:tcPr>
            <w:tcW w:w="1232" w:type="pct"/>
          </w:tcPr>
          <w:p w14:paraId="06261095" w14:textId="77777777" w:rsidR="00B54D51" w:rsidRDefault="00B54D51" w:rsidP="00401C67">
            <w:pPr>
              <w:rPr>
                <w:rFonts w:asciiTheme="minorHAnsi" w:hAnsiTheme="minorHAnsi" w:cstheme="minorHAnsi"/>
              </w:rPr>
            </w:pPr>
            <w:r w:rsidRPr="00037AD4">
              <w:rPr>
                <w:rFonts w:asciiTheme="minorHAnsi" w:hAnsiTheme="minorHAnsi" w:cstheme="minorHAnsi"/>
              </w:rPr>
              <w:t>Predicted frequency (%) (With MMSE)</w:t>
            </w:r>
          </w:p>
          <w:p w14:paraId="7D56E9F5" w14:textId="77777777" w:rsidR="00B54D51" w:rsidRPr="00A94DD6" w:rsidRDefault="00B54D51" w:rsidP="00401C67">
            <w:pPr>
              <w:rPr>
                <w:rFonts w:asciiTheme="minorHAnsi" w:hAnsiTheme="minorHAnsi" w:cstheme="minorHAnsi"/>
                <w:i/>
                <w:iCs/>
                <w:sz w:val="22"/>
                <w:szCs w:val="22"/>
              </w:rPr>
            </w:pPr>
          </w:p>
        </w:tc>
        <w:tc>
          <w:tcPr>
            <w:tcW w:w="1308" w:type="pct"/>
          </w:tcPr>
          <w:p w14:paraId="0A5A674D" w14:textId="77777777" w:rsidR="00B54D51" w:rsidRDefault="00B54D51" w:rsidP="00401C67">
            <w:pPr>
              <w:rPr>
                <w:rFonts w:asciiTheme="minorHAnsi" w:hAnsiTheme="minorHAnsi" w:cstheme="minorHAnsi"/>
              </w:rPr>
            </w:pPr>
            <w:r w:rsidRPr="00037AD4">
              <w:rPr>
                <w:rFonts w:asciiTheme="minorHAnsi" w:hAnsiTheme="minorHAnsi" w:cstheme="minorHAnsi"/>
              </w:rPr>
              <w:t>Predicted frequency (%) (Without MMSE)</w:t>
            </w:r>
          </w:p>
          <w:p w14:paraId="49399BDC" w14:textId="77777777" w:rsidR="00B54D51" w:rsidRPr="00556533" w:rsidRDefault="00B54D51" w:rsidP="00401C67">
            <w:pPr>
              <w:rPr>
                <w:rFonts w:asciiTheme="minorHAnsi" w:hAnsiTheme="minorHAnsi" w:cstheme="minorHAnsi"/>
                <w:i/>
                <w:iCs/>
                <w:sz w:val="22"/>
                <w:szCs w:val="22"/>
              </w:rPr>
            </w:pPr>
          </w:p>
        </w:tc>
      </w:tr>
      <w:tr w:rsidR="00B54D51" w:rsidRPr="00037AD4" w14:paraId="0D72D188" w14:textId="77777777" w:rsidTr="00D8139B">
        <w:tc>
          <w:tcPr>
            <w:tcW w:w="1537" w:type="pct"/>
          </w:tcPr>
          <w:p w14:paraId="740E388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No pain/discomfort  </w:t>
            </w:r>
          </w:p>
        </w:tc>
        <w:tc>
          <w:tcPr>
            <w:tcW w:w="924" w:type="pct"/>
          </w:tcPr>
          <w:p w14:paraId="609BBBC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57.16</w:t>
            </w:r>
          </w:p>
        </w:tc>
        <w:tc>
          <w:tcPr>
            <w:tcW w:w="1232" w:type="pct"/>
          </w:tcPr>
          <w:p w14:paraId="517FC39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57.26</w:t>
            </w:r>
          </w:p>
        </w:tc>
        <w:tc>
          <w:tcPr>
            <w:tcW w:w="1308" w:type="pct"/>
          </w:tcPr>
          <w:p w14:paraId="2D7F733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57.04</w:t>
            </w:r>
          </w:p>
        </w:tc>
      </w:tr>
      <w:tr w:rsidR="00B54D51" w:rsidRPr="00037AD4" w14:paraId="425827AC" w14:textId="77777777" w:rsidTr="00D8139B">
        <w:tc>
          <w:tcPr>
            <w:tcW w:w="1537" w:type="pct"/>
          </w:tcPr>
          <w:p w14:paraId="08DD00C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Slight pain/discomfort  </w:t>
            </w:r>
          </w:p>
        </w:tc>
        <w:tc>
          <w:tcPr>
            <w:tcW w:w="924" w:type="pct"/>
          </w:tcPr>
          <w:p w14:paraId="2172EEB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23.14</w:t>
            </w:r>
          </w:p>
        </w:tc>
        <w:tc>
          <w:tcPr>
            <w:tcW w:w="1232" w:type="pct"/>
          </w:tcPr>
          <w:p w14:paraId="513CACF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23.06</w:t>
            </w:r>
          </w:p>
        </w:tc>
        <w:tc>
          <w:tcPr>
            <w:tcW w:w="1308" w:type="pct"/>
          </w:tcPr>
          <w:p w14:paraId="1FC421F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23.37</w:t>
            </w:r>
          </w:p>
        </w:tc>
      </w:tr>
      <w:tr w:rsidR="00B54D51" w:rsidRPr="00037AD4" w14:paraId="717E54C4" w14:textId="77777777" w:rsidTr="00D8139B">
        <w:tc>
          <w:tcPr>
            <w:tcW w:w="1537" w:type="pct"/>
          </w:tcPr>
          <w:p w14:paraId="4AF6BFA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Moderate pain/discomfort  </w:t>
            </w:r>
          </w:p>
        </w:tc>
        <w:tc>
          <w:tcPr>
            <w:tcW w:w="924" w:type="pct"/>
          </w:tcPr>
          <w:p w14:paraId="772294F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15.19</w:t>
            </w:r>
          </w:p>
        </w:tc>
        <w:tc>
          <w:tcPr>
            <w:tcW w:w="1232" w:type="pct"/>
          </w:tcPr>
          <w:p w14:paraId="04BAF11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15.24</w:t>
            </w:r>
          </w:p>
        </w:tc>
        <w:tc>
          <w:tcPr>
            <w:tcW w:w="1308" w:type="pct"/>
          </w:tcPr>
          <w:p w14:paraId="12C02CA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14.93</w:t>
            </w:r>
          </w:p>
        </w:tc>
      </w:tr>
      <w:tr w:rsidR="00B54D51" w:rsidRPr="00037AD4" w14:paraId="2B9A5A66" w14:textId="77777777" w:rsidTr="00D8139B">
        <w:tc>
          <w:tcPr>
            <w:tcW w:w="1537" w:type="pct"/>
          </w:tcPr>
          <w:p w14:paraId="1686C95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Severe pain/discomfort  </w:t>
            </w:r>
          </w:p>
        </w:tc>
        <w:tc>
          <w:tcPr>
            <w:tcW w:w="924" w:type="pct"/>
          </w:tcPr>
          <w:p w14:paraId="4BE68B8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3.89</w:t>
            </w:r>
          </w:p>
        </w:tc>
        <w:tc>
          <w:tcPr>
            <w:tcW w:w="1232" w:type="pct"/>
          </w:tcPr>
          <w:p w14:paraId="6683CF7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3.86</w:t>
            </w:r>
          </w:p>
        </w:tc>
        <w:tc>
          <w:tcPr>
            <w:tcW w:w="1308" w:type="pct"/>
          </w:tcPr>
          <w:p w14:paraId="69BA4FF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4.13</w:t>
            </w:r>
          </w:p>
        </w:tc>
      </w:tr>
      <w:tr w:rsidR="00B54D51" w:rsidRPr="00037AD4" w14:paraId="1A0EEEAF" w14:textId="77777777" w:rsidTr="00D8139B">
        <w:tc>
          <w:tcPr>
            <w:tcW w:w="1537" w:type="pct"/>
          </w:tcPr>
          <w:p w14:paraId="5B8AC03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Extreme pain/discomfort  </w:t>
            </w:r>
          </w:p>
        </w:tc>
        <w:tc>
          <w:tcPr>
            <w:tcW w:w="924" w:type="pct"/>
          </w:tcPr>
          <w:p w14:paraId="74FCCA8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0.62</w:t>
            </w:r>
          </w:p>
        </w:tc>
        <w:tc>
          <w:tcPr>
            <w:tcW w:w="1232" w:type="pct"/>
          </w:tcPr>
          <w:p w14:paraId="20F39BD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0.58</w:t>
            </w:r>
          </w:p>
        </w:tc>
        <w:tc>
          <w:tcPr>
            <w:tcW w:w="1308" w:type="pct"/>
          </w:tcPr>
          <w:p w14:paraId="3CAED42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0.52</w:t>
            </w:r>
          </w:p>
        </w:tc>
      </w:tr>
    </w:tbl>
    <w:p w14:paraId="49E780B9" w14:textId="77777777" w:rsidR="00B54D51" w:rsidRPr="00037AD4" w:rsidRDefault="00B54D51" w:rsidP="00C3362B">
      <w:pPr>
        <w:rPr>
          <w:rFonts w:asciiTheme="minorHAnsi" w:hAnsiTheme="minorHAnsi" w:cstheme="minorHAnsi"/>
          <w:u w:val="single"/>
        </w:rPr>
      </w:pPr>
    </w:p>
    <w:p w14:paraId="5142082E" w14:textId="77777777" w:rsidR="00B54D51" w:rsidRPr="00037AD4" w:rsidRDefault="00B54D51" w:rsidP="00C3362B">
      <w:pPr>
        <w:rPr>
          <w:rFonts w:asciiTheme="minorHAnsi" w:hAnsiTheme="minorHAnsi" w:cstheme="minorHAnsi"/>
        </w:rPr>
      </w:pPr>
      <w:r w:rsidRPr="00037AD4">
        <w:rPr>
          <w:rFonts w:asciiTheme="minorHAnsi" w:hAnsiTheme="minorHAnsi" w:cstheme="minorHAnsi"/>
        </w:rPr>
        <w:t>For the EPIC data model, the predictions show a strong alignment with the observed frequencies. Specifically, for categories one to three, the predicted values are virtually identical to the observed frequencies. For level four and five responses, the deviations were small, highlighting the precision of the model and the robustness of its incorporated variables in predicting the “pain/discomfort” dimension.</w:t>
      </w:r>
    </w:p>
    <w:p w14:paraId="6D40B7C8" w14:textId="77777777" w:rsidR="00B54D51" w:rsidRPr="00037AD4" w:rsidRDefault="00B54D51" w:rsidP="00C3362B">
      <w:pPr>
        <w:rPr>
          <w:rFonts w:asciiTheme="minorHAnsi" w:hAnsiTheme="minorHAnsi" w:cstheme="minorHAnsi"/>
        </w:rPr>
      </w:pPr>
    </w:p>
    <w:p w14:paraId="66D76326" w14:textId="77777777" w:rsidR="00B54D51" w:rsidRPr="00037AD4" w:rsidRDefault="00B54D51" w:rsidP="00C3362B">
      <w:pPr>
        <w:rPr>
          <w:rFonts w:asciiTheme="minorHAnsi" w:hAnsiTheme="minorHAnsi" w:cstheme="minorHAnsi"/>
          <w:b/>
          <w:bCs/>
          <w:i/>
          <w:iCs/>
        </w:rPr>
      </w:pPr>
      <w:r w:rsidRPr="00037AD4">
        <w:rPr>
          <w:rFonts w:asciiTheme="minorHAnsi" w:hAnsiTheme="minorHAnsi" w:cstheme="minorHAnsi"/>
          <w:b/>
          <w:bCs/>
          <w:i/>
          <w:iCs/>
        </w:rPr>
        <w:t>Table 38b, Observed vs. predicted data for “pain/discomfort” dimension from the EPIC study</w:t>
      </w:r>
    </w:p>
    <w:p w14:paraId="70038D6E" w14:textId="77777777" w:rsidR="00B54D51" w:rsidRPr="00037AD4" w:rsidRDefault="00B54D51" w:rsidP="00C3362B">
      <w:pPr>
        <w:rPr>
          <w:rFonts w:asciiTheme="minorHAnsi" w:hAnsiTheme="minorHAnsi" w:cstheme="minorHAnsi"/>
          <w:u w:val="single"/>
        </w:rPr>
      </w:pPr>
    </w:p>
    <w:tbl>
      <w:tblPr>
        <w:tblStyle w:val="TableGrid"/>
        <w:tblW w:w="0" w:type="auto"/>
        <w:tblLook w:val="04A0" w:firstRow="1" w:lastRow="0" w:firstColumn="1" w:lastColumn="0" w:noHBand="0" w:noVBand="1"/>
      </w:tblPr>
      <w:tblGrid>
        <w:gridCol w:w="2830"/>
        <w:gridCol w:w="1678"/>
        <w:gridCol w:w="2254"/>
      </w:tblGrid>
      <w:tr w:rsidR="00B54D51" w:rsidRPr="00037AD4" w14:paraId="1AF79F57" w14:textId="77777777" w:rsidTr="00401C67">
        <w:tc>
          <w:tcPr>
            <w:tcW w:w="2830" w:type="dxa"/>
          </w:tcPr>
          <w:p w14:paraId="5355B2F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Response options</w:t>
            </w:r>
          </w:p>
        </w:tc>
        <w:tc>
          <w:tcPr>
            <w:tcW w:w="1678" w:type="dxa"/>
          </w:tcPr>
          <w:p w14:paraId="19C081D5" w14:textId="77777777" w:rsidR="00B54D51" w:rsidRDefault="00B54D51" w:rsidP="00401C67">
            <w:pPr>
              <w:rPr>
                <w:rFonts w:asciiTheme="minorHAnsi" w:hAnsiTheme="minorHAnsi" w:cstheme="minorHAnsi"/>
              </w:rPr>
            </w:pPr>
            <w:r w:rsidRPr="00037AD4">
              <w:rPr>
                <w:rFonts w:asciiTheme="minorHAnsi" w:hAnsiTheme="minorHAnsi" w:cstheme="minorHAnsi"/>
              </w:rPr>
              <w:t>Observed frequency (%)</w:t>
            </w:r>
          </w:p>
          <w:p w14:paraId="09418DC4" w14:textId="77777777" w:rsidR="00B54D51" w:rsidRPr="00FD5268" w:rsidRDefault="00B54D51" w:rsidP="00401C67">
            <w:pPr>
              <w:rPr>
                <w:rFonts w:asciiTheme="minorHAnsi" w:hAnsiTheme="minorHAnsi" w:cstheme="minorHAnsi"/>
                <w:i/>
                <w:iCs/>
                <w:sz w:val="22"/>
                <w:szCs w:val="22"/>
              </w:rPr>
            </w:pPr>
            <w:r w:rsidRPr="00FD5268">
              <w:rPr>
                <w:rFonts w:asciiTheme="minorHAnsi" w:hAnsiTheme="minorHAnsi" w:cstheme="minorHAnsi"/>
                <w:i/>
                <w:iCs/>
                <w:sz w:val="22"/>
                <w:szCs w:val="22"/>
              </w:rPr>
              <w:t>n=</w:t>
            </w:r>
            <w:r>
              <w:rPr>
                <w:rFonts w:asciiTheme="minorHAnsi" w:hAnsiTheme="minorHAnsi" w:cstheme="minorHAnsi"/>
                <w:i/>
                <w:iCs/>
                <w:sz w:val="22"/>
                <w:szCs w:val="22"/>
              </w:rPr>
              <w:t>805</w:t>
            </w:r>
          </w:p>
        </w:tc>
        <w:tc>
          <w:tcPr>
            <w:tcW w:w="2254" w:type="dxa"/>
          </w:tcPr>
          <w:p w14:paraId="32E85353" w14:textId="77777777" w:rsidR="00B54D51" w:rsidRDefault="00B54D51" w:rsidP="00401C67">
            <w:pPr>
              <w:rPr>
                <w:rFonts w:asciiTheme="minorHAnsi" w:hAnsiTheme="minorHAnsi" w:cstheme="minorHAnsi"/>
              </w:rPr>
            </w:pPr>
            <w:r w:rsidRPr="00037AD4">
              <w:rPr>
                <w:rFonts w:asciiTheme="minorHAnsi" w:hAnsiTheme="minorHAnsi" w:cstheme="minorHAnsi"/>
              </w:rPr>
              <w:t>Predicted frequency (%)</w:t>
            </w:r>
          </w:p>
          <w:p w14:paraId="15D156B2" w14:textId="77777777" w:rsidR="00B54D51" w:rsidRPr="00FD5268" w:rsidRDefault="00B54D51" w:rsidP="00401C67">
            <w:pPr>
              <w:rPr>
                <w:rFonts w:asciiTheme="minorHAnsi" w:hAnsiTheme="minorHAnsi" w:cstheme="minorHAnsi"/>
                <w:i/>
                <w:iCs/>
                <w:sz w:val="22"/>
                <w:szCs w:val="22"/>
              </w:rPr>
            </w:pPr>
          </w:p>
        </w:tc>
      </w:tr>
      <w:tr w:rsidR="00B54D51" w:rsidRPr="00037AD4" w14:paraId="65AA5BFE" w14:textId="77777777" w:rsidTr="00401C67">
        <w:tc>
          <w:tcPr>
            <w:tcW w:w="2830" w:type="dxa"/>
          </w:tcPr>
          <w:p w14:paraId="28A89AA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No pain/discomfort  </w:t>
            </w:r>
          </w:p>
        </w:tc>
        <w:tc>
          <w:tcPr>
            <w:tcW w:w="1678" w:type="dxa"/>
          </w:tcPr>
          <w:p w14:paraId="6742E96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71.93</w:t>
            </w:r>
          </w:p>
        </w:tc>
        <w:tc>
          <w:tcPr>
            <w:tcW w:w="2254" w:type="dxa"/>
          </w:tcPr>
          <w:p w14:paraId="0D00758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71.92</w:t>
            </w:r>
          </w:p>
        </w:tc>
      </w:tr>
      <w:tr w:rsidR="00B54D51" w:rsidRPr="00037AD4" w14:paraId="2D85F5D5" w14:textId="77777777" w:rsidTr="00401C67">
        <w:tc>
          <w:tcPr>
            <w:tcW w:w="2830" w:type="dxa"/>
          </w:tcPr>
          <w:p w14:paraId="5397FAD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Slight pain/discomfort  </w:t>
            </w:r>
          </w:p>
        </w:tc>
        <w:tc>
          <w:tcPr>
            <w:tcW w:w="1678" w:type="dxa"/>
          </w:tcPr>
          <w:p w14:paraId="087EBC3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17.27</w:t>
            </w:r>
          </w:p>
        </w:tc>
        <w:tc>
          <w:tcPr>
            <w:tcW w:w="2254" w:type="dxa"/>
          </w:tcPr>
          <w:p w14:paraId="0108112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17.31</w:t>
            </w:r>
          </w:p>
        </w:tc>
      </w:tr>
      <w:tr w:rsidR="00B54D51" w:rsidRPr="00037AD4" w14:paraId="2C68973C" w14:textId="77777777" w:rsidTr="00401C67">
        <w:tc>
          <w:tcPr>
            <w:tcW w:w="2830" w:type="dxa"/>
          </w:tcPr>
          <w:p w14:paraId="0734B3D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Moderate pain/discomfort  </w:t>
            </w:r>
          </w:p>
        </w:tc>
        <w:tc>
          <w:tcPr>
            <w:tcW w:w="1678" w:type="dxa"/>
          </w:tcPr>
          <w:p w14:paraId="0BE4EF3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7.08</w:t>
            </w:r>
          </w:p>
        </w:tc>
        <w:tc>
          <w:tcPr>
            <w:tcW w:w="2254" w:type="dxa"/>
          </w:tcPr>
          <w:p w14:paraId="68B96BC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7.08</w:t>
            </w:r>
          </w:p>
        </w:tc>
      </w:tr>
      <w:tr w:rsidR="00B54D51" w:rsidRPr="00037AD4" w14:paraId="070699A7" w14:textId="77777777" w:rsidTr="00401C67">
        <w:tc>
          <w:tcPr>
            <w:tcW w:w="2830" w:type="dxa"/>
          </w:tcPr>
          <w:p w14:paraId="437EA42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Severe pain/discomfort  </w:t>
            </w:r>
          </w:p>
        </w:tc>
        <w:tc>
          <w:tcPr>
            <w:tcW w:w="1678" w:type="dxa"/>
          </w:tcPr>
          <w:p w14:paraId="6C6D21D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3.35</w:t>
            </w:r>
          </w:p>
        </w:tc>
        <w:tc>
          <w:tcPr>
            <w:tcW w:w="2254" w:type="dxa"/>
          </w:tcPr>
          <w:p w14:paraId="31B850F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3.31</w:t>
            </w:r>
          </w:p>
        </w:tc>
      </w:tr>
      <w:tr w:rsidR="00B54D51" w:rsidRPr="00037AD4" w14:paraId="5223C39E" w14:textId="77777777" w:rsidTr="00401C67">
        <w:trPr>
          <w:trHeight w:val="132"/>
        </w:trPr>
        <w:tc>
          <w:tcPr>
            <w:tcW w:w="2830" w:type="dxa"/>
          </w:tcPr>
          <w:p w14:paraId="23415C8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Extreme pain/discomfort  </w:t>
            </w:r>
          </w:p>
        </w:tc>
        <w:tc>
          <w:tcPr>
            <w:tcW w:w="1678" w:type="dxa"/>
          </w:tcPr>
          <w:p w14:paraId="1D8898F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0.37</w:t>
            </w:r>
          </w:p>
        </w:tc>
        <w:tc>
          <w:tcPr>
            <w:tcW w:w="2254" w:type="dxa"/>
          </w:tcPr>
          <w:p w14:paraId="1C610C5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0.38</w:t>
            </w:r>
          </w:p>
        </w:tc>
      </w:tr>
    </w:tbl>
    <w:p w14:paraId="411465F5" w14:textId="77777777" w:rsidR="00B54D51" w:rsidRDefault="00B54D51" w:rsidP="00C3362B">
      <w:pPr>
        <w:rPr>
          <w:rFonts w:asciiTheme="minorHAnsi" w:hAnsiTheme="minorHAnsi" w:cstheme="minorHAnsi"/>
          <w:b/>
          <w:bCs/>
          <w:sz w:val="26"/>
          <w:szCs w:val="26"/>
          <w:u w:val="single"/>
        </w:rPr>
      </w:pPr>
    </w:p>
    <w:p w14:paraId="46982E83" w14:textId="77777777" w:rsidR="00B54D51" w:rsidRPr="00037AD4" w:rsidRDefault="00B54D51" w:rsidP="00C3362B">
      <w:pPr>
        <w:rPr>
          <w:rFonts w:asciiTheme="minorHAnsi" w:hAnsiTheme="minorHAnsi" w:cstheme="minorHAnsi"/>
          <w:b/>
          <w:bCs/>
          <w:sz w:val="26"/>
          <w:szCs w:val="26"/>
          <w:u w:val="single"/>
        </w:rPr>
      </w:pPr>
      <w:r w:rsidRPr="00037AD4">
        <w:rPr>
          <w:rFonts w:asciiTheme="minorHAnsi" w:hAnsiTheme="minorHAnsi" w:cstheme="minorHAnsi"/>
          <w:b/>
          <w:bCs/>
          <w:sz w:val="26"/>
          <w:szCs w:val="26"/>
          <w:u w:val="single"/>
        </w:rPr>
        <w:t>6.4.4.4 Including a trial indicator for the “pain/discomfort” dimension</w:t>
      </w:r>
    </w:p>
    <w:p w14:paraId="573D2E81" w14:textId="77777777" w:rsidR="00B54D51" w:rsidRPr="00037AD4" w:rsidRDefault="00B54D51" w:rsidP="00C3362B">
      <w:pPr>
        <w:rPr>
          <w:rFonts w:asciiTheme="minorHAnsi" w:hAnsiTheme="minorHAnsi" w:cstheme="minorHAnsi"/>
          <w:b/>
          <w:bCs/>
          <w:u w:val="single"/>
        </w:rPr>
      </w:pPr>
    </w:p>
    <w:p w14:paraId="612DFFAD" w14:textId="75BDC4B6" w:rsidR="00B54D51" w:rsidRPr="00037AD4" w:rsidRDefault="00B54D51" w:rsidP="00C3362B">
      <w:pPr>
        <w:rPr>
          <w:rFonts w:asciiTheme="minorHAnsi" w:hAnsiTheme="minorHAnsi" w:cstheme="minorHAnsi"/>
        </w:rPr>
      </w:pPr>
      <w:r w:rsidRPr="00037AD4">
        <w:rPr>
          <w:rFonts w:asciiTheme="minorHAnsi" w:hAnsiTheme="minorHAnsi" w:cstheme="minorHAnsi"/>
        </w:rPr>
        <w:t xml:space="preserve">The objective of re-running the core model in the merged dataset with the trial indicator was to assess the potential for an optimal model across the two trials/residential settings, and to highlight whether there are any significant trial differences. The chosen predictors of PwD “pain/discomfort” were relative proxy reported “anxiety/depression” and staff proxy reports of "pain/discomfort" in the final models for </w:t>
      </w:r>
      <w:r w:rsidR="009B08E3">
        <w:rPr>
          <w:rFonts w:asciiTheme="minorHAnsi" w:hAnsiTheme="minorHAnsi" w:cstheme="minorHAnsi"/>
        </w:rPr>
        <w:t xml:space="preserve">the </w:t>
      </w:r>
      <w:r w:rsidRPr="00037AD4">
        <w:rPr>
          <w:rFonts w:asciiTheme="minorHAnsi" w:hAnsiTheme="minorHAnsi" w:cstheme="minorHAnsi"/>
        </w:rPr>
        <w:t xml:space="preserve">ACTIFCARE and EPIC trial respectively. Therefore, given the different predictor variables in the two trial models, performing this additional step was considered inappropriate. </w:t>
      </w:r>
    </w:p>
    <w:p w14:paraId="3CB67081" w14:textId="0C3071C8" w:rsidR="00B54D51" w:rsidRDefault="00B54D51" w:rsidP="00C3362B">
      <w:pPr>
        <w:rPr>
          <w:rFonts w:asciiTheme="minorHAnsi" w:hAnsiTheme="minorHAnsi" w:cstheme="minorHAnsi"/>
          <w:b/>
          <w:bCs/>
          <w:u w:val="single"/>
        </w:rPr>
      </w:pPr>
    </w:p>
    <w:p w14:paraId="3989BC48" w14:textId="7408D997" w:rsidR="009B08E3" w:rsidRDefault="009B08E3" w:rsidP="00C3362B">
      <w:pPr>
        <w:rPr>
          <w:rFonts w:asciiTheme="minorHAnsi" w:hAnsiTheme="minorHAnsi" w:cstheme="minorHAnsi"/>
          <w:b/>
          <w:bCs/>
          <w:u w:val="single"/>
        </w:rPr>
      </w:pPr>
    </w:p>
    <w:p w14:paraId="129061FB" w14:textId="0BFAB572" w:rsidR="009B08E3" w:rsidRDefault="009B08E3" w:rsidP="00C3362B">
      <w:pPr>
        <w:rPr>
          <w:rFonts w:asciiTheme="minorHAnsi" w:hAnsiTheme="minorHAnsi" w:cstheme="minorHAnsi"/>
          <w:b/>
          <w:bCs/>
          <w:u w:val="single"/>
        </w:rPr>
      </w:pPr>
    </w:p>
    <w:p w14:paraId="07106880" w14:textId="1A72B264" w:rsidR="009B08E3" w:rsidRDefault="009B08E3" w:rsidP="00C3362B">
      <w:pPr>
        <w:rPr>
          <w:rFonts w:asciiTheme="minorHAnsi" w:hAnsiTheme="minorHAnsi" w:cstheme="minorHAnsi"/>
          <w:b/>
          <w:bCs/>
          <w:u w:val="single"/>
        </w:rPr>
      </w:pPr>
    </w:p>
    <w:p w14:paraId="3E06EAD7" w14:textId="77777777" w:rsidR="00B54D51" w:rsidRPr="00037AD4" w:rsidRDefault="00B54D51" w:rsidP="007A43F9">
      <w:pPr>
        <w:pStyle w:val="Heading3"/>
      </w:pPr>
      <w:bookmarkStart w:id="404" w:name="_Toc175742358"/>
      <w:r w:rsidRPr="00037AD4">
        <w:lastRenderedPageBreak/>
        <w:t>6.4.5 Mapping to the “anxiety/depression” dimension</w:t>
      </w:r>
      <w:bookmarkEnd w:id="404"/>
    </w:p>
    <w:p w14:paraId="2A6C1C1D" w14:textId="77777777" w:rsidR="00B54D51" w:rsidRPr="00037AD4" w:rsidRDefault="00B54D51" w:rsidP="00C3362B">
      <w:pPr>
        <w:rPr>
          <w:rFonts w:asciiTheme="minorHAnsi" w:hAnsiTheme="minorHAnsi" w:cstheme="minorHAnsi"/>
          <w:b/>
          <w:bCs/>
          <w:u w:val="single"/>
        </w:rPr>
      </w:pPr>
    </w:p>
    <w:p w14:paraId="107F4E7E" w14:textId="77777777" w:rsidR="00B54D51" w:rsidRPr="00037AD4" w:rsidRDefault="00B54D51" w:rsidP="00C3362B">
      <w:pPr>
        <w:rPr>
          <w:rFonts w:asciiTheme="minorHAnsi" w:hAnsiTheme="minorHAnsi" w:cstheme="minorHAnsi"/>
          <w:b/>
          <w:bCs/>
          <w:u w:val="single"/>
        </w:rPr>
      </w:pPr>
      <w:r w:rsidRPr="00037AD4">
        <w:rPr>
          <w:rFonts w:asciiTheme="minorHAnsi" w:hAnsiTheme="minorHAnsi" w:cstheme="minorHAnsi"/>
        </w:rPr>
        <w:t xml:space="preserve">The results for mapping to the “anxiety/depression” dimension of EQ-5D-5L are presented in this section. The PwD was the target respondent for “anxiety/depression” in both trials. The coefficient tables for the model iterations are provided </w:t>
      </w:r>
      <w:r w:rsidRPr="009B08E3">
        <w:rPr>
          <w:rFonts w:asciiTheme="minorHAnsi" w:hAnsiTheme="minorHAnsi" w:cstheme="minorHAnsi"/>
          <w:color w:val="000000" w:themeColor="text1"/>
        </w:rPr>
        <w:t xml:space="preserve">in </w:t>
      </w:r>
      <w:hyperlink w:anchor="A62AD" w:history="1">
        <w:r w:rsidRPr="009B08E3">
          <w:rPr>
            <w:rStyle w:val="Hyperlink"/>
            <w:rFonts w:asciiTheme="minorHAnsi" w:hAnsiTheme="minorHAnsi" w:cstheme="minorHAnsi"/>
            <w:color w:val="000000" w:themeColor="text1"/>
            <w:u w:val="none"/>
          </w:rPr>
          <w:t>Appendix 6.2.</w:t>
        </w:r>
      </w:hyperlink>
      <w:r w:rsidRPr="009B08E3">
        <w:rPr>
          <w:rFonts w:asciiTheme="minorHAnsi" w:hAnsiTheme="minorHAnsi" w:cstheme="minorHAnsi"/>
          <w:color w:val="000000" w:themeColor="text1"/>
        </w:rPr>
        <w:t xml:space="preserve"> </w:t>
      </w:r>
    </w:p>
    <w:p w14:paraId="7EF2F5F6" w14:textId="77777777" w:rsidR="00B54D51" w:rsidRPr="00037AD4" w:rsidRDefault="00B54D51" w:rsidP="00C3362B">
      <w:pPr>
        <w:rPr>
          <w:rFonts w:asciiTheme="minorHAnsi" w:hAnsiTheme="minorHAnsi" w:cstheme="minorHAnsi"/>
          <w:b/>
          <w:bCs/>
          <w:color w:val="FF0000"/>
        </w:rPr>
      </w:pPr>
    </w:p>
    <w:p w14:paraId="49D2D56E" w14:textId="77777777" w:rsidR="00B54D51" w:rsidRPr="00037AD4" w:rsidRDefault="00B54D51" w:rsidP="00C3362B">
      <w:pPr>
        <w:rPr>
          <w:rFonts w:asciiTheme="minorHAnsi" w:hAnsiTheme="minorHAnsi" w:cstheme="minorHAnsi"/>
          <w:b/>
          <w:bCs/>
          <w:color w:val="000000" w:themeColor="text1"/>
          <w:sz w:val="26"/>
          <w:szCs w:val="26"/>
          <w:u w:val="single"/>
        </w:rPr>
      </w:pPr>
      <w:r w:rsidRPr="00037AD4">
        <w:rPr>
          <w:rFonts w:asciiTheme="minorHAnsi" w:hAnsiTheme="minorHAnsi" w:cstheme="minorHAnsi"/>
          <w:b/>
          <w:bCs/>
          <w:sz w:val="26"/>
          <w:szCs w:val="26"/>
          <w:u w:val="single"/>
        </w:rPr>
        <w:t xml:space="preserve">6.4.5.1 </w:t>
      </w:r>
      <w:r w:rsidRPr="00037AD4">
        <w:rPr>
          <w:rFonts w:asciiTheme="minorHAnsi" w:hAnsiTheme="minorHAnsi" w:cstheme="minorHAnsi"/>
          <w:b/>
          <w:bCs/>
          <w:color w:val="000000" w:themeColor="text1"/>
          <w:sz w:val="26"/>
          <w:szCs w:val="26"/>
          <w:u w:val="single"/>
        </w:rPr>
        <w:t>Marginal effects of the final selected models: EQ-5D-5L Anxiety/depression</w:t>
      </w:r>
    </w:p>
    <w:p w14:paraId="3852A890" w14:textId="77777777" w:rsidR="00B54D51" w:rsidRPr="00037AD4" w:rsidRDefault="00B54D51" w:rsidP="00C3362B">
      <w:pPr>
        <w:rPr>
          <w:rFonts w:asciiTheme="minorHAnsi" w:hAnsiTheme="minorHAnsi" w:cstheme="minorHAnsi"/>
          <w:color w:val="000000" w:themeColor="text1"/>
        </w:rPr>
      </w:pPr>
    </w:p>
    <w:p w14:paraId="561980B7" w14:textId="77777777" w:rsidR="00B54D51" w:rsidRPr="009B08E3" w:rsidRDefault="00B54D51" w:rsidP="00C3362B">
      <w:pPr>
        <w:rPr>
          <w:rFonts w:asciiTheme="minorHAnsi" w:hAnsiTheme="minorHAnsi" w:cstheme="minorHAnsi"/>
          <w:color w:val="000000" w:themeColor="text1"/>
        </w:rPr>
      </w:pPr>
      <w:r w:rsidRPr="00037AD4">
        <w:rPr>
          <w:rFonts w:asciiTheme="minorHAnsi" w:hAnsiTheme="minorHAnsi" w:cstheme="minorHAnsi"/>
          <w:color w:val="000000" w:themeColor="text1"/>
        </w:rPr>
        <w:t xml:space="preserve">The following section presents the predictive margins of proxy-reported “anxiety/depression”, tables for which are </w:t>
      </w:r>
      <w:r w:rsidRPr="009B08E3">
        <w:rPr>
          <w:rFonts w:asciiTheme="minorHAnsi" w:hAnsiTheme="minorHAnsi" w:cstheme="minorHAnsi"/>
          <w:color w:val="000000" w:themeColor="text1"/>
        </w:rPr>
        <w:t xml:space="preserve">provided in </w:t>
      </w:r>
      <w:hyperlink w:anchor="A63AD" w:history="1">
        <w:r w:rsidRPr="009B08E3">
          <w:rPr>
            <w:rStyle w:val="Hyperlink"/>
            <w:rFonts w:asciiTheme="minorHAnsi" w:hAnsiTheme="minorHAnsi" w:cstheme="minorHAnsi"/>
            <w:color w:val="000000" w:themeColor="text1"/>
            <w:u w:val="none"/>
          </w:rPr>
          <w:t>Appendix 6.3.</w:t>
        </w:r>
      </w:hyperlink>
      <w:r w:rsidRPr="009B08E3">
        <w:rPr>
          <w:rFonts w:asciiTheme="minorHAnsi" w:hAnsiTheme="minorHAnsi" w:cstheme="minorHAnsi"/>
          <w:color w:val="000000" w:themeColor="text1"/>
        </w:rPr>
        <w:t xml:space="preserve"> AME outputs for the final selected models are also reported in </w:t>
      </w:r>
      <w:hyperlink w:anchor="A63AD" w:history="1">
        <w:r w:rsidRPr="009B08E3">
          <w:rPr>
            <w:rStyle w:val="Hyperlink"/>
            <w:rFonts w:asciiTheme="minorHAnsi" w:hAnsiTheme="minorHAnsi" w:cstheme="minorHAnsi"/>
            <w:color w:val="000000" w:themeColor="text1"/>
            <w:u w:val="none"/>
          </w:rPr>
          <w:t>Appendix 6.3</w:t>
        </w:r>
      </w:hyperlink>
      <w:r w:rsidRPr="009B08E3">
        <w:rPr>
          <w:rFonts w:asciiTheme="minorHAnsi" w:hAnsiTheme="minorHAnsi" w:cstheme="minorHAnsi"/>
          <w:color w:val="000000" w:themeColor="text1"/>
        </w:rPr>
        <w:t>. The probabilities associated with predicting level one PwD responses are consistently the highest across proxy levels one to four, with non-overlapping confidence intervals. The same is true for level two predictions, producing the second highest probabilities. Nearly 90% of PwD reports were of scores one and two, therefore the model’s bias in predicting these two scores corresponds with the data. Across both respondent types (for both trials), level four and five reports were particularly low (</w:t>
      </w:r>
      <w:hyperlink w:anchor="TableA6A" w:history="1">
        <w:r w:rsidRPr="009B08E3">
          <w:rPr>
            <w:rStyle w:val="Hyperlink"/>
            <w:rFonts w:asciiTheme="minorHAnsi" w:hAnsiTheme="minorHAnsi" w:cstheme="minorHAnsi"/>
            <w:color w:val="000000" w:themeColor="text1"/>
            <w:u w:val="none"/>
          </w:rPr>
          <w:t>see Tables A6a and A6b</w:t>
        </w:r>
      </w:hyperlink>
      <w:r w:rsidRPr="009B08E3">
        <w:rPr>
          <w:rFonts w:asciiTheme="minorHAnsi" w:hAnsiTheme="minorHAnsi" w:cstheme="minorHAnsi"/>
          <w:color w:val="000000" w:themeColor="text1"/>
        </w:rPr>
        <w:t xml:space="preserve">), and the predictive margins reflect this detail. </w:t>
      </w:r>
    </w:p>
    <w:p w14:paraId="2B6BD59B" w14:textId="77777777" w:rsidR="00B54D51" w:rsidRPr="00037AD4" w:rsidRDefault="00B54D51" w:rsidP="00C3362B">
      <w:pPr>
        <w:rPr>
          <w:rFonts w:asciiTheme="minorHAnsi" w:hAnsiTheme="minorHAnsi" w:cstheme="minorHAnsi"/>
          <w:color w:val="000000" w:themeColor="text1"/>
        </w:rPr>
      </w:pPr>
    </w:p>
    <w:p w14:paraId="62EE6F14" w14:textId="77777777" w:rsidR="00B54D51" w:rsidRPr="00037AD4" w:rsidRDefault="00B54D51" w:rsidP="00C3362B">
      <w:pPr>
        <w:rPr>
          <w:rFonts w:asciiTheme="minorHAnsi" w:hAnsiTheme="minorHAnsi" w:cstheme="minorHAnsi"/>
          <w:color w:val="000000" w:themeColor="text1"/>
        </w:rPr>
      </w:pPr>
      <w:r w:rsidRPr="00037AD4">
        <w:rPr>
          <w:rFonts w:asciiTheme="minorHAnsi" w:hAnsiTheme="minorHAnsi" w:cstheme="minorHAnsi"/>
          <w:color w:val="000000" w:themeColor="text1"/>
        </w:rPr>
        <w:t xml:space="preserve">For the EPIC data, there is a gradual reduction in level one PwD predictions across proxy responses, at level five, the confidence intervals for which are very wide, and the probability is no longer statistically significant. The predictive margins for the remaining levels show a gradual increase in line with proxy responses, however for level five predictions the probabilities remain negligible and non-significant. As with ACTIFCARE, the proportion of level five responses were particularly low, therefore potentially hindering both the model’s ability to use level five scores as predictors and to predict level five responses. </w:t>
      </w:r>
    </w:p>
    <w:p w14:paraId="70282EF3" w14:textId="77777777" w:rsidR="00B54D51" w:rsidRPr="00037AD4" w:rsidRDefault="00B54D51" w:rsidP="00C3362B">
      <w:pPr>
        <w:rPr>
          <w:rFonts w:asciiTheme="minorHAnsi" w:hAnsiTheme="minorHAnsi" w:cstheme="minorHAnsi"/>
          <w:b/>
          <w:bCs/>
          <w:i/>
          <w:iCs/>
          <w:color w:val="FF0000"/>
        </w:rPr>
      </w:pPr>
    </w:p>
    <w:p w14:paraId="509E1491" w14:textId="77777777" w:rsidR="00B54D51" w:rsidRPr="00037AD4" w:rsidRDefault="00B54D51" w:rsidP="00C3362B">
      <w:pPr>
        <w:rPr>
          <w:rFonts w:asciiTheme="minorHAnsi" w:hAnsiTheme="minorHAnsi" w:cstheme="minorHAnsi"/>
          <w:b/>
          <w:bCs/>
          <w:i/>
          <w:iCs/>
          <w:color w:val="000000" w:themeColor="text1"/>
        </w:rPr>
      </w:pPr>
      <w:r w:rsidRPr="00037AD4">
        <w:rPr>
          <w:rFonts w:asciiTheme="minorHAnsi" w:hAnsiTheme="minorHAnsi" w:cstheme="minorHAnsi"/>
          <w:b/>
          <w:bCs/>
          <w:i/>
          <w:iCs/>
          <w:color w:val="000000" w:themeColor="text1"/>
        </w:rPr>
        <w:t xml:space="preserve">Figure 37a, “Anxiety/depression” predictive margins for ACTIFCARE data </w:t>
      </w:r>
    </w:p>
    <w:p w14:paraId="5B87D4EB" w14:textId="77777777" w:rsidR="00B54D51" w:rsidRPr="00037AD4" w:rsidRDefault="00B54D51" w:rsidP="00C3362B">
      <w:pPr>
        <w:rPr>
          <w:rFonts w:asciiTheme="minorHAnsi" w:hAnsiTheme="minorHAnsi" w:cstheme="minorHAnsi"/>
          <w:color w:val="000000" w:themeColor="text1"/>
        </w:rPr>
      </w:pPr>
    </w:p>
    <w:p w14:paraId="050017D6" w14:textId="7E2D85F4" w:rsidR="00B54D51" w:rsidRPr="00037AD4" w:rsidRDefault="00830480" w:rsidP="00C3362B">
      <w:pPr>
        <w:rPr>
          <w:rFonts w:asciiTheme="minorHAnsi" w:hAnsiTheme="minorHAnsi" w:cstheme="minorHAnsi"/>
          <w:color w:val="000000" w:themeColor="text1"/>
        </w:rPr>
      </w:pPr>
      <w:r w:rsidRPr="00037AD4">
        <w:rPr>
          <w:rFonts w:asciiTheme="minorHAnsi" w:hAnsiTheme="minorHAnsi" w:cstheme="minorHAnsi"/>
          <w:noProof/>
          <w:color w:val="000000" w:themeColor="text1"/>
          <w:lang w:eastAsia="zh-CN"/>
        </w:rPr>
        <w:drawing>
          <wp:inline distT="0" distB="0" distL="0" distR="0" wp14:anchorId="3378E404" wp14:editId="75968122">
            <wp:extent cx="3960000" cy="2880000"/>
            <wp:effectExtent l="0" t="0" r="2540" b="3175"/>
            <wp:docPr id="112" name="Picture 112" descr="A graph of a number of negative indicators&#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Picture 41" descr="A graph of a number of negative indicators&#10;&#10;Description automatically generated with medium confidence"/>
                    <pic:cNvPicPr/>
                  </pic:nvPicPr>
                  <pic:blipFill>
                    <a:blip r:embed="rId77">
                      <a:extLst>
                        <a:ext uri="{28A0092B-C50C-407E-A947-70E740481C1C}">
                          <a14:useLocalDpi xmlns:a14="http://schemas.microsoft.com/office/drawing/2010/main" val="0"/>
                        </a:ext>
                      </a:extLst>
                    </a:blip>
                    <a:stretch>
                      <a:fillRect/>
                    </a:stretch>
                  </pic:blipFill>
                  <pic:spPr>
                    <a:xfrm>
                      <a:off x="0" y="0"/>
                      <a:ext cx="3960000" cy="2880000"/>
                    </a:xfrm>
                    <a:prstGeom prst="rect">
                      <a:avLst/>
                    </a:prstGeom>
                  </pic:spPr>
                </pic:pic>
              </a:graphicData>
            </a:graphic>
          </wp:inline>
        </w:drawing>
      </w:r>
    </w:p>
    <w:p w14:paraId="6F9F25C3" w14:textId="5AA8C0EC" w:rsidR="00B54D51" w:rsidRDefault="00B54D51" w:rsidP="00C3362B">
      <w:pPr>
        <w:rPr>
          <w:rFonts w:asciiTheme="minorHAnsi" w:hAnsiTheme="minorHAnsi" w:cstheme="minorHAnsi"/>
          <w:b/>
          <w:bCs/>
          <w:i/>
          <w:iCs/>
        </w:rPr>
      </w:pPr>
    </w:p>
    <w:p w14:paraId="16FE15C6" w14:textId="2C95FFF5" w:rsidR="00806411" w:rsidRDefault="00806411" w:rsidP="00C3362B">
      <w:pPr>
        <w:rPr>
          <w:rFonts w:asciiTheme="minorHAnsi" w:hAnsiTheme="minorHAnsi" w:cstheme="minorHAnsi"/>
          <w:b/>
          <w:bCs/>
          <w:i/>
          <w:iCs/>
        </w:rPr>
      </w:pPr>
    </w:p>
    <w:p w14:paraId="1375418E" w14:textId="77777777" w:rsidR="009B08E3" w:rsidRDefault="009B08E3" w:rsidP="00C3362B">
      <w:pPr>
        <w:rPr>
          <w:rFonts w:asciiTheme="minorHAnsi" w:hAnsiTheme="minorHAnsi" w:cstheme="minorHAnsi"/>
          <w:b/>
          <w:bCs/>
          <w:i/>
          <w:iCs/>
          <w:color w:val="000000" w:themeColor="text1"/>
        </w:rPr>
      </w:pPr>
    </w:p>
    <w:p w14:paraId="47788C72" w14:textId="4F448A2A" w:rsidR="00B54D51" w:rsidRPr="00037AD4" w:rsidRDefault="00B54D51" w:rsidP="00C3362B">
      <w:pPr>
        <w:rPr>
          <w:rFonts w:asciiTheme="minorHAnsi" w:hAnsiTheme="minorHAnsi" w:cstheme="minorHAnsi"/>
          <w:b/>
          <w:bCs/>
          <w:i/>
          <w:iCs/>
          <w:color w:val="000000" w:themeColor="text1"/>
        </w:rPr>
      </w:pPr>
      <w:r w:rsidRPr="00037AD4">
        <w:rPr>
          <w:rFonts w:asciiTheme="minorHAnsi" w:hAnsiTheme="minorHAnsi" w:cstheme="minorHAnsi"/>
          <w:b/>
          <w:bCs/>
          <w:i/>
          <w:iCs/>
          <w:color w:val="000000" w:themeColor="text1"/>
        </w:rPr>
        <w:lastRenderedPageBreak/>
        <w:t xml:space="preserve">Figure 37b, “Anxiety/depression” predictive margins for EPIC data </w:t>
      </w:r>
    </w:p>
    <w:p w14:paraId="76B0CCC0" w14:textId="77777777" w:rsidR="00B54D51" w:rsidRPr="00037AD4" w:rsidRDefault="00B54D51" w:rsidP="00C3362B">
      <w:pPr>
        <w:rPr>
          <w:rFonts w:asciiTheme="minorHAnsi" w:hAnsiTheme="minorHAnsi" w:cstheme="minorHAnsi"/>
          <w:u w:val="single"/>
        </w:rPr>
      </w:pPr>
    </w:p>
    <w:p w14:paraId="77ABCBB2" w14:textId="3D948176" w:rsidR="00B54D51" w:rsidRPr="00037AD4" w:rsidRDefault="00830480" w:rsidP="00C3362B">
      <w:pPr>
        <w:rPr>
          <w:rFonts w:asciiTheme="minorHAnsi" w:hAnsiTheme="minorHAnsi" w:cstheme="minorHAnsi"/>
          <w:u w:val="single"/>
        </w:rPr>
      </w:pPr>
      <w:r w:rsidRPr="00037AD4">
        <w:rPr>
          <w:rFonts w:asciiTheme="minorHAnsi" w:hAnsiTheme="minorHAnsi" w:cstheme="minorHAnsi"/>
          <w:noProof/>
          <w:lang w:eastAsia="zh-CN"/>
        </w:rPr>
        <w:drawing>
          <wp:inline distT="0" distB="0" distL="0" distR="0" wp14:anchorId="05377299" wp14:editId="1344506E">
            <wp:extent cx="3960000" cy="2880000"/>
            <wp:effectExtent l="0" t="0" r="2540" b="3175"/>
            <wp:docPr id="113" name="Picture 113" descr="A graph of a number of negative indicators&#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Picture 46" descr="A graph of a number of negative indicators&#10;&#10;Description automatically generated with medium confidence"/>
                    <pic:cNvPicPr/>
                  </pic:nvPicPr>
                  <pic:blipFill>
                    <a:blip r:embed="rId78">
                      <a:extLst>
                        <a:ext uri="{28A0092B-C50C-407E-A947-70E740481C1C}">
                          <a14:useLocalDpi xmlns:a14="http://schemas.microsoft.com/office/drawing/2010/main" val="0"/>
                        </a:ext>
                      </a:extLst>
                    </a:blip>
                    <a:stretch>
                      <a:fillRect/>
                    </a:stretch>
                  </pic:blipFill>
                  <pic:spPr>
                    <a:xfrm>
                      <a:off x="0" y="0"/>
                      <a:ext cx="3960000" cy="2880000"/>
                    </a:xfrm>
                    <a:prstGeom prst="rect">
                      <a:avLst/>
                    </a:prstGeom>
                  </pic:spPr>
                </pic:pic>
              </a:graphicData>
            </a:graphic>
          </wp:inline>
        </w:drawing>
      </w:r>
    </w:p>
    <w:p w14:paraId="14B265E0" w14:textId="77777777" w:rsidR="00B54D51" w:rsidRPr="00037AD4" w:rsidRDefault="00B54D51" w:rsidP="00C3362B">
      <w:pPr>
        <w:rPr>
          <w:rFonts w:asciiTheme="minorHAnsi" w:hAnsiTheme="minorHAnsi" w:cstheme="minorHAnsi"/>
          <w:b/>
          <w:bCs/>
          <w:sz w:val="26"/>
          <w:szCs w:val="26"/>
          <w:u w:val="single"/>
        </w:rPr>
      </w:pPr>
    </w:p>
    <w:p w14:paraId="1AFAFFBE" w14:textId="77777777" w:rsidR="00B54D51" w:rsidRPr="00037AD4" w:rsidRDefault="00B54D51" w:rsidP="00C3362B">
      <w:pPr>
        <w:rPr>
          <w:rFonts w:asciiTheme="minorHAnsi" w:hAnsiTheme="minorHAnsi" w:cstheme="minorHAnsi"/>
          <w:b/>
          <w:bCs/>
          <w:sz w:val="26"/>
          <w:szCs w:val="26"/>
          <w:u w:val="single"/>
        </w:rPr>
      </w:pPr>
      <w:r w:rsidRPr="00037AD4">
        <w:rPr>
          <w:rFonts w:asciiTheme="minorHAnsi" w:hAnsiTheme="minorHAnsi" w:cstheme="minorHAnsi"/>
          <w:b/>
          <w:bCs/>
          <w:sz w:val="26"/>
          <w:szCs w:val="26"/>
          <w:u w:val="single"/>
        </w:rPr>
        <w:t xml:space="preserve">6.4.5.2 Marginal effects of the additional model variables: EQ-5D-5L Anxiety/depression </w:t>
      </w:r>
    </w:p>
    <w:p w14:paraId="2A31ECCC" w14:textId="77777777" w:rsidR="00B54D51" w:rsidRPr="00037AD4" w:rsidRDefault="00B54D51" w:rsidP="00C3362B">
      <w:pPr>
        <w:rPr>
          <w:rFonts w:asciiTheme="minorHAnsi" w:hAnsiTheme="minorHAnsi" w:cstheme="minorHAnsi"/>
          <w:u w:val="single"/>
        </w:rPr>
      </w:pPr>
    </w:p>
    <w:p w14:paraId="5856209B" w14:textId="77777777" w:rsidR="00B54D51" w:rsidRPr="00037AD4" w:rsidRDefault="00B54D51" w:rsidP="00C3362B">
      <w:pPr>
        <w:rPr>
          <w:rFonts w:asciiTheme="minorHAnsi" w:hAnsiTheme="minorHAnsi" w:cstheme="minorHAnsi"/>
        </w:rPr>
      </w:pPr>
      <w:r w:rsidRPr="00037AD4">
        <w:rPr>
          <w:rFonts w:asciiTheme="minorHAnsi" w:hAnsiTheme="minorHAnsi" w:cstheme="minorHAnsi"/>
        </w:rPr>
        <w:t xml:space="preserve">The following section uses the AME outputs for the final selected “anxiety/depression” </w:t>
      </w:r>
      <w:r w:rsidRPr="009B08E3">
        <w:rPr>
          <w:rFonts w:asciiTheme="minorHAnsi" w:hAnsiTheme="minorHAnsi" w:cstheme="minorHAnsi"/>
          <w:color w:val="000000" w:themeColor="text1"/>
        </w:rPr>
        <w:t xml:space="preserve">dimension models, aiming to highlight any similarities and differences observed between them </w:t>
      </w:r>
      <w:hyperlink w:anchor="A63AD" w:history="1">
        <w:r w:rsidRPr="009B08E3">
          <w:rPr>
            <w:rStyle w:val="Hyperlink"/>
            <w:rFonts w:asciiTheme="minorHAnsi" w:hAnsiTheme="minorHAnsi" w:cstheme="minorHAnsi"/>
            <w:color w:val="000000" w:themeColor="text1"/>
            <w:u w:val="none"/>
          </w:rPr>
          <w:t>(see Tables A6.3q - A6.3t in Appendix 6.3).</w:t>
        </w:r>
      </w:hyperlink>
      <w:r w:rsidRPr="009B08E3">
        <w:rPr>
          <w:rFonts w:asciiTheme="minorHAnsi" w:hAnsiTheme="minorHAnsi" w:cstheme="minorHAnsi"/>
          <w:color w:val="000000" w:themeColor="text1"/>
        </w:rPr>
        <w:t xml:space="preserve"> </w:t>
      </w:r>
    </w:p>
    <w:p w14:paraId="7B2DB39F" w14:textId="77777777" w:rsidR="00B54D51" w:rsidRPr="00037AD4" w:rsidRDefault="00B54D51" w:rsidP="00C3362B">
      <w:pPr>
        <w:rPr>
          <w:rFonts w:asciiTheme="minorHAnsi" w:hAnsiTheme="minorHAnsi" w:cstheme="minorHAnsi"/>
          <w:u w:val="single"/>
        </w:rPr>
      </w:pPr>
    </w:p>
    <w:p w14:paraId="2350C862" w14:textId="77777777" w:rsidR="00B54D51" w:rsidRPr="00037AD4" w:rsidRDefault="00B54D51" w:rsidP="00C3362B">
      <w:pPr>
        <w:rPr>
          <w:rFonts w:asciiTheme="minorHAnsi" w:hAnsiTheme="minorHAnsi" w:cstheme="minorHAnsi"/>
        </w:rPr>
      </w:pPr>
      <w:r w:rsidRPr="00037AD4">
        <w:rPr>
          <w:rFonts w:asciiTheme="minorHAnsi" w:hAnsiTheme="minorHAnsi" w:cstheme="minorHAnsi"/>
        </w:rPr>
        <w:t>For the MMSE variable in ACTIFCARE, the associated AMEs are negligible and not statistically significant, paralleling trends observed in previous dimension models. For the NPI measure, though the AMEs remain small across both trials, they are statistically significant within the EPIC model. The PwD demographic variables present AMEs of small magnitudes that are not statistically significant for both trials. In the EPIC analysis these AMEs exhibit a slightly greater magnitude yet remain non-significant. Specifically, there is a negative change at level one predictions indicating that female PwD are less likely to achieve a predicted “anxiety/depression” dimension score of level one compared to male PwD, with the latter serving as the base outcome.</w:t>
      </w:r>
    </w:p>
    <w:p w14:paraId="6D24278C" w14:textId="77777777" w:rsidR="00B54D51" w:rsidRPr="00037AD4" w:rsidRDefault="00B54D51" w:rsidP="00C3362B">
      <w:pPr>
        <w:rPr>
          <w:rFonts w:asciiTheme="minorHAnsi" w:hAnsiTheme="minorHAnsi" w:cstheme="minorHAnsi"/>
        </w:rPr>
      </w:pPr>
    </w:p>
    <w:p w14:paraId="1F0E1ECC" w14:textId="77777777" w:rsidR="00B54D51" w:rsidRPr="00037AD4" w:rsidRDefault="00B54D51" w:rsidP="00C3362B">
      <w:pPr>
        <w:rPr>
          <w:rFonts w:asciiTheme="minorHAnsi" w:hAnsiTheme="minorHAnsi" w:cstheme="minorHAnsi"/>
          <w:b/>
          <w:bCs/>
          <w:sz w:val="26"/>
          <w:szCs w:val="26"/>
          <w:u w:val="single"/>
        </w:rPr>
      </w:pPr>
      <w:r w:rsidRPr="00037AD4">
        <w:rPr>
          <w:rFonts w:asciiTheme="minorHAnsi" w:hAnsiTheme="minorHAnsi" w:cstheme="minorHAnsi"/>
          <w:b/>
          <w:bCs/>
          <w:sz w:val="26"/>
          <w:szCs w:val="26"/>
          <w:u w:val="single"/>
        </w:rPr>
        <w:t>6.4.5.3 Observed vs. predicted data:  EQ-5D Anxiety/depression models</w:t>
      </w:r>
    </w:p>
    <w:p w14:paraId="7BC0322D" w14:textId="77777777" w:rsidR="00B54D51" w:rsidRPr="00037AD4" w:rsidRDefault="00B54D51" w:rsidP="00C3362B">
      <w:pPr>
        <w:rPr>
          <w:rFonts w:asciiTheme="minorHAnsi" w:hAnsiTheme="minorHAnsi" w:cstheme="minorHAnsi"/>
          <w:u w:val="single"/>
        </w:rPr>
      </w:pPr>
    </w:p>
    <w:p w14:paraId="1751DFC9" w14:textId="77777777" w:rsidR="00B54D51" w:rsidRPr="00037AD4" w:rsidRDefault="00B54D51" w:rsidP="00C3362B">
      <w:pPr>
        <w:rPr>
          <w:rFonts w:asciiTheme="minorHAnsi" w:hAnsiTheme="minorHAnsi" w:cstheme="minorHAnsi"/>
        </w:rPr>
      </w:pPr>
      <w:r w:rsidRPr="00037AD4">
        <w:rPr>
          <w:rFonts w:asciiTheme="minorHAnsi" w:hAnsiTheme="minorHAnsi" w:cstheme="minorHAnsi"/>
        </w:rPr>
        <w:t>The ACTIFCARE-model exhibited a notable alignment between the observed and predicted frequencies, as shown in Table 39a. For level one and two predictions, the frequencies were very close to the observed data, with and without the MMSE variable, suggesting a marginal influence of MMSE in predicting PwD responses of this dimension. For level three predictions, there was a slight overestimation in the model incorporating MMSE, whereby the exclusion of MMSE brought the prediction closer to the actual value. The level four and five predictions saw only slight deviations in their predictions. Therefore, the precision of the model's predictions across the scoring levels highlights its robustness, with the MMSE variable playing a seemingly inconsequential role in this specific dimension.</w:t>
      </w:r>
    </w:p>
    <w:p w14:paraId="3B02EA2D" w14:textId="77777777" w:rsidR="00B54D51" w:rsidRPr="00037AD4" w:rsidRDefault="00B54D51" w:rsidP="00C3362B">
      <w:pPr>
        <w:rPr>
          <w:rFonts w:asciiTheme="minorHAnsi" w:hAnsiTheme="minorHAnsi" w:cstheme="minorHAnsi"/>
        </w:rPr>
      </w:pPr>
    </w:p>
    <w:p w14:paraId="79DE971D" w14:textId="77777777" w:rsidR="00B54D51" w:rsidRPr="00037AD4" w:rsidRDefault="00B54D51" w:rsidP="00C3362B">
      <w:pPr>
        <w:rPr>
          <w:rFonts w:asciiTheme="minorHAnsi" w:hAnsiTheme="minorHAnsi" w:cstheme="minorHAnsi"/>
          <w:b/>
          <w:bCs/>
          <w:i/>
          <w:iCs/>
        </w:rPr>
      </w:pPr>
      <w:r w:rsidRPr="00037AD4">
        <w:rPr>
          <w:rFonts w:asciiTheme="minorHAnsi" w:hAnsiTheme="minorHAnsi" w:cstheme="minorHAnsi"/>
          <w:b/>
          <w:bCs/>
          <w:i/>
          <w:iCs/>
        </w:rPr>
        <w:t>Table 39a, Observed vs. predicted data for “anxiety/depression” dimension from the ACTIFCARE study</w:t>
      </w:r>
    </w:p>
    <w:p w14:paraId="6B581A69" w14:textId="77777777" w:rsidR="00B54D51" w:rsidRPr="00037AD4" w:rsidRDefault="00B54D51" w:rsidP="00C3362B">
      <w:pPr>
        <w:rPr>
          <w:rFonts w:asciiTheme="minorHAnsi" w:hAnsiTheme="minorHAnsi" w:cstheme="minorHAnsi"/>
          <w:u w:val="single"/>
        </w:rPr>
      </w:pPr>
    </w:p>
    <w:tbl>
      <w:tblPr>
        <w:tblStyle w:val="TableGrid"/>
        <w:tblW w:w="0" w:type="auto"/>
        <w:tblLayout w:type="fixed"/>
        <w:tblLook w:val="04A0" w:firstRow="1" w:lastRow="0" w:firstColumn="1" w:lastColumn="0" w:noHBand="0" w:noVBand="1"/>
      </w:tblPr>
      <w:tblGrid>
        <w:gridCol w:w="3114"/>
        <w:gridCol w:w="1417"/>
        <w:gridCol w:w="1843"/>
        <w:gridCol w:w="2410"/>
      </w:tblGrid>
      <w:tr w:rsidR="00B54D51" w:rsidRPr="00037AD4" w14:paraId="48EF85CB" w14:textId="77777777" w:rsidTr="00B2312B">
        <w:tc>
          <w:tcPr>
            <w:tcW w:w="3114" w:type="dxa"/>
          </w:tcPr>
          <w:p w14:paraId="2DFA171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Response options </w:t>
            </w:r>
          </w:p>
        </w:tc>
        <w:tc>
          <w:tcPr>
            <w:tcW w:w="1417" w:type="dxa"/>
          </w:tcPr>
          <w:p w14:paraId="6E55C62B" w14:textId="77777777" w:rsidR="00B54D51" w:rsidRDefault="00B54D51" w:rsidP="00401C67">
            <w:pPr>
              <w:rPr>
                <w:rFonts w:asciiTheme="minorHAnsi" w:hAnsiTheme="minorHAnsi" w:cstheme="minorHAnsi"/>
              </w:rPr>
            </w:pPr>
            <w:r w:rsidRPr="00037AD4">
              <w:rPr>
                <w:rFonts w:asciiTheme="minorHAnsi" w:hAnsiTheme="minorHAnsi" w:cstheme="minorHAnsi"/>
              </w:rPr>
              <w:t>Observed frequency (%)</w:t>
            </w:r>
          </w:p>
          <w:p w14:paraId="6BA04B84" w14:textId="77777777" w:rsidR="00B54D51" w:rsidRPr="00556533" w:rsidRDefault="00B54D51" w:rsidP="00401C67">
            <w:pPr>
              <w:rPr>
                <w:rFonts w:asciiTheme="minorHAnsi" w:hAnsiTheme="minorHAnsi" w:cstheme="minorHAnsi"/>
                <w:i/>
                <w:iCs/>
                <w:sz w:val="22"/>
                <w:szCs w:val="22"/>
              </w:rPr>
            </w:pPr>
            <w:r w:rsidRPr="00556533">
              <w:rPr>
                <w:rFonts w:asciiTheme="minorHAnsi" w:hAnsiTheme="minorHAnsi" w:cstheme="minorHAnsi"/>
                <w:i/>
                <w:iCs/>
                <w:sz w:val="22"/>
                <w:szCs w:val="22"/>
              </w:rPr>
              <w:t>n=1131</w:t>
            </w:r>
          </w:p>
        </w:tc>
        <w:tc>
          <w:tcPr>
            <w:tcW w:w="1843" w:type="dxa"/>
          </w:tcPr>
          <w:p w14:paraId="7F7DF65E" w14:textId="77777777" w:rsidR="00B54D51" w:rsidRDefault="00B54D51" w:rsidP="00401C67">
            <w:pPr>
              <w:rPr>
                <w:rFonts w:asciiTheme="minorHAnsi" w:hAnsiTheme="minorHAnsi" w:cstheme="minorHAnsi"/>
              </w:rPr>
            </w:pPr>
            <w:r w:rsidRPr="00037AD4">
              <w:rPr>
                <w:rFonts w:asciiTheme="minorHAnsi" w:hAnsiTheme="minorHAnsi" w:cstheme="minorHAnsi"/>
              </w:rPr>
              <w:t>Predicted frequency (%) (With MMSE)</w:t>
            </w:r>
          </w:p>
          <w:p w14:paraId="1E617840" w14:textId="77777777" w:rsidR="00B54D51" w:rsidRPr="00556533" w:rsidRDefault="00B54D51" w:rsidP="00401C67">
            <w:pPr>
              <w:rPr>
                <w:rFonts w:asciiTheme="minorHAnsi" w:hAnsiTheme="minorHAnsi" w:cstheme="minorHAnsi"/>
                <w:i/>
                <w:iCs/>
                <w:sz w:val="22"/>
                <w:szCs w:val="22"/>
              </w:rPr>
            </w:pPr>
          </w:p>
        </w:tc>
        <w:tc>
          <w:tcPr>
            <w:tcW w:w="2410" w:type="dxa"/>
          </w:tcPr>
          <w:p w14:paraId="1C4EEBB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Predicted frequency (%) </w:t>
            </w:r>
          </w:p>
          <w:p w14:paraId="1AB5BBBA" w14:textId="77777777" w:rsidR="00B54D51" w:rsidRPr="00FD5268" w:rsidRDefault="00B54D51" w:rsidP="00401C67">
            <w:pPr>
              <w:rPr>
                <w:rFonts w:asciiTheme="minorHAnsi" w:hAnsiTheme="minorHAnsi" w:cstheme="minorHAnsi"/>
              </w:rPr>
            </w:pPr>
            <w:r w:rsidRPr="00037AD4">
              <w:rPr>
                <w:rFonts w:asciiTheme="minorHAnsi" w:hAnsiTheme="minorHAnsi" w:cstheme="minorHAnsi"/>
              </w:rPr>
              <w:t>(Without MMSE)</w:t>
            </w:r>
          </w:p>
        </w:tc>
      </w:tr>
      <w:tr w:rsidR="00B54D51" w:rsidRPr="00037AD4" w14:paraId="5AB93B6F" w14:textId="77777777" w:rsidTr="00B2312B">
        <w:tc>
          <w:tcPr>
            <w:tcW w:w="3114" w:type="dxa"/>
          </w:tcPr>
          <w:p w14:paraId="27EC919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No anxiety/depression</w:t>
            </w:r>
          </w:p>
        </w:tc>
        <w:tc>
          <w:tcPr>
            <w:tcW w:w="1417" w:type="dxa"/>
          </w:tcPr>
          <w:p w14:paraId="399932D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59.50</w:t>
            </w:r>
          </w:p>
        </w:tc>
        <w:tc>
          <w:tcPr>
            <w:tcW w:w="1843" w:type="dxa"/>
          </w:tcPr>
          <w:p w14:paraId="453FCFF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59.35</w:t>
            </w:r>
          </w:p>
        </w:tc>
        <w:tc>
          <w:tcPr>
            <w:tcW w:w="2410" w:type="dxa"/>
          </w:tcPr>
          <w:p w14:paraId="3C1A5EF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59.71</w:t>
            </w:r>
          </w:p>
        </w:tc>
      </w:tr>
      <w:tr w:rsidR="00B54D51" w:rsidRPr="00037AD4" w14:paraId="12786812" w14:textId="77777777" w:rsidTr="00B2312B">
        <w:tc>
          <w:tcPr>
            <w:tcW w:w="3114" w:type="dxa"/>
          </w:tcPr>
          <w:p w14:paraId="0F2A032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Slight anxiety/depression</w:t>
            </w:r>
          </w:p>
        </w:tc>
        <w:tc>
          <w:tcPr>
            <w:tcW w:w="1417" w:type="dxa"/>
          </w:tcPr>
          <w:p w14:paraId="59C7528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26.44</w:t>
            </w:r>
          </w:p>
        </w:tc>
        <w:tc>
          <w:tcPr>
            <w:tcW w:w="1843" w:type="dxa"/>
          </w:tcPr>
          <w:p w14:paraId="4EB68FD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26.14</w:t>
            </w:r>
          </w:p>
        </w:tc>
        <w:tc>
          <w:tcPr>
            <w:tcW w:w="2410" w:type="dxa"/>
          </w:tcPr>
          <w:p w14:paraId="4CB9E44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26.14</w:t>
            </w:r>
          </w:p>
        </w:tc>
      </w:tr>
      <w:tr w:rsidR="00B54D51" w:rsidRPr="00037AD4" w14:paraId="2044B051" w14:textId="77777777" w:rsidTr="00B2312B">
        <w:tc>
          <w:tcPr>
            <w:tcW w:w="3114" w:type="dxa"/>
          </w:tcPr>
          <w:p w14:paraId="303D24F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Moderate anxiety/depression</w:t>
            </w:r>
          </w:p>
        </w:tc>
        <w:tc>
          <w:tcPr>
            <w:tcW w:w="1417" w:type="dxa"/>
          </w:tcPr>
          <w:p w14:paraId="34BF50C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11.58</w:t>
            </w:r>
          </w:p>
        </w:tc>
        <w:tc>
          <w:tcPr>
            <w:tcW w:w="1843" w:type="dxa"/>
          </w:tcPr>
          <w:p w14:paraId="2A8A953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12.05</w:t>
            </w:r>
          </w:p>
        </w:tc>
        <w:tc>
          <w:tcPr>
            <w:tcW w:w="2410" w:type="dxa"/>
          </w:tcPr>
          <w:p w14:paraId="218C592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11.70</w:t>
            </w:r>
          </w:p>
        </w:tc>
      </w:tr>
      <w:tr w:rsidR="00B54D51" w:rsidRPr="00037AD4" w14:paraId="7D989E1B" w14:textId="77777777" w:rsidTr="00B2312B">
        <w:tc>
          <w:tcPr>
            <w:tcW w:w="3114" w:type="dxa"/>
          </w:tcPr>
          <w:p w14:paraId="062CDF0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Severe anxiety/depression</w:t>
            </w:r>
          </w:p>
        </w:tc>
        <w:tc>
          <w:tcPr>
            <w:tcW w:w="1417" w:type="dxa"/>
          </w:tcPr>
          <w:p w14:paraId="0274F3F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2.21</w:t>
            </w:r>
          </w:p>
        </w:tc>
        <w:tc>
          <w:tcPr>
            <w:tcW w:w="1843" w:type="dxa"/>
          </w:tcPr>
          <w:p w14:paraId="5BBF740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2.16</w:t>
            </w:r>
          </w:p>
        </w:tc>
        <w:tc>
          <w:tcPr>
            <w:tcW w:w="2410" w:type="dxa"/>
          </w:tcPr>
          <w:p w14:paraId="5AD3776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2.18</w:t>
            </w:r>
          </w:p>
        </w:tc>
      </w:tr>
      <w:tr w:rsidR="00B54D51" w:rsidRPr="00037AD4" w14:paraId="60A7591B" w14:textId="77777777" w:rsidTr="00B2312B">
        <w:tc>
          <w:tcPr>
            <w:tcW w:w="3114" w:type="dxa"/>
          </w:tcPr>
          <w:p w14:paraId="62F65D0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Extreme anxiety/depression</w:t>
            </w:r>
          </w:p>
        </w:tc>
        <w:tc>
          <w:tcPr>
            <w:tcW w:w="1417" w:type="dxa"/>
          </w:tcPr>
          <w:p w14:paraId="205BD30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0.27</w:t>
            </w:r>
          </w:p>
        </w:tc>
        <w:tc>
          <w:tcPr>
            <w:tcW w:w="1843" w:type="dxa"/>
          </w:tcPr>
          <w:p w14:paraId="7DBC56B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0.30</w:t>
            </w:r>
          </w:p>
        </w:tc>
        <w:tc>
          <w:tcPr>
            <w:tcW w:w="2410" w:type="dxa"/>
          </w:tcPr>
          <w:p w14:paraId="3D577EC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0.27</w:t>
            </w:r>
          </w:p>
        </w:tc>
      </w:tr>
    </w:tbl>
    <w:p w14:paraId="0F123F39" w14:textId="77777777" w:rsidR="00B54D51" w:rsidRPr="00037AD4" w:rsidRDefault="00B54D51" w:rsidP="00C3362B">
      <w:pPr>
        <w:rPr>
          <w:rFonts w:asciiTheme="minorHAnsi" w:hAnsiTheme="minorHAnsi" w:cstheme="minorHAnsi"/>
          <w:u w:val="single"/>
        </w:rPr>
      </w:pPr>
    </w:p>
    <w:p w14:paraId="4A101C16" w14:textId="77777777" w:rsidR="00B54D51" w:rsidRPr="00037AD4" w:rsidRDefault="00B54D51" w:rsidP="00C3362B">
      <w:pPr>
        <w:rPr>
          <w:rFonts w:asciiTheme="minorHAnsi" w:hAnsiTheme="minorHAnsi" w:cstheme="minorHAnsi"/>
        </w:rPr>
      </w:pPr>
      <w:r w:rsidRPr="00037AD4">
        <w:rPr>
          <w:rFonts w:asciiTheme="minorHAnsi" w:hAnsiTheme="minorHAnsi" w:cstheme="minorHAnsi"/>
        </w:rPr>
        <w:t>For the EPIC-model, there is a noticeable alignment between the observed frequencies and predicted values. The level one predicted value closely mirrors the observed percentage, highlighting the model’s precision for the dominant response category. Similarly, the level two and three predictions exhibit only marginal deviations from their respective observed frequencies. Predictions for level four slightly overestimate compared to the observed data, though the difference is minor. The level five response shows a slight underestimation in the model’s prediction. Overall, the model demonstrates accuracy in capturing the distribution of responses within the “anxiety/depression” dimension.</w:t>
      </w:r>
    </w:p>
    <w:p w14:paraId="6712628A" w14:textId="77777777" w:rsidR="00B54D51" w:rsidRPr="00037AD4" w:rsidRDefault="00B54D51" w:rsidP="00C3362B">
      <w:pPr>
        <w:rPr>
          <w:rFonts w:asciiTheme="minorHAnsi" w:hAnsiTheme="minorHAnsi" w:cstheme="minorHAnsi"/>
        </w:rPr>
      </w:pPr>
    </w:p>
    <w:p w14:paraId="475B2D36" w14:textId="77777777" w:rsidR="00B54D51" w:rsidRPr="00037AD4" w:rsidRDefault="00B54D51" w:rsidP="00C3362B">
      <w:pPr>
        <w:rPr>
          <w:rFonts w:asciiTheme="minorHAnsi" w:hAnsiTheme="minorHAnsi" w:cstheme="minorHAnsi"/>
          <w:b/>
          <w:bCs/>
          <w:i/>
          <w:iCs/>
        </w:rPr>
      </w:pPr>
      <w:r w:rsidRPr="00037AD4">
        <w:rPr>
          <w:rFonts w:asciiTheme="minorHAnsi" w:hAnsiTheme="minorHAnsi" w:cstheme="minorHAnsi"/>
          <w:b/>
          <w:bCs/>
          <w:i/>
          <w:iCs/>
        </w:rPr>
        <w:t>Table 39b, Observed vs. predicted data for “anxiety/depression” dimension from the EPIC study</w:t>
      </w:r>
    </w:p>
    <w:p w14:paraId="0FE24BBC" w14:textId="77777777" w:rsidR="00B54D51" w:rsidRPr="00037AD4" w:rsidRDefault="00B54D51" w:rsidP="00C3362B">
      <w:pPr>
        <w:rPr>
          <w:rFonts w:asciiTheme="minorHAnsi" w:hAnsiTheme="minorHAnsi" w:cstheme="minorHAnsi"/>
        </w:rPr>
      </w:pPr>
    </w:p>
    <w:tbl>
      <w:tblPr>
        <w:tblStyle w:val="TableGrid"/>
        <w:tblW w:w="0" w:type="auto"/>
        <w:tblLook w:val="04A0" w:firstRow="1" w:lastRow="0" w:firstColumn="1" w:lastColumn="0" w:noHBand="0" w:noVBand="1"/>
      </w:tblPr>
      <w:tblGrid>
        <w:gridCol w:w="2972"/>
        <w:gridCol w:w="1843"/>
        <w:gridCol w:w="1947"/>
      </w:tblGrid>
      <w:tr w:rsidR="00B54D51" w:rsidRPr="00037AD4" w14:paraId="3C661484" w14:textId="77777777" w:rsidTr="00B2312B">
        <w:tc>
          <w:tcPr>
            <w:tcW w:w="2972" w:type="dxa"/>
          </w:tcPr>
          <w:p w14:paraId="778019F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Response options </w:t>
            </w:r>
          </w:p>
        </w:tc>
        <w:tc>
          <w:tcPr>
            <w:tcW w:w="1843" w:type="dxa"/>
          </w:tcPr>
          <w:p w14:paraId="08716BE2" w14:textId="77777777" w:rsidR="00B54D51" w:rsidRDefault="00B54D51" w:rsidP="00401C67">
            <w:pPr>
              <w:rPr>
                <w:rFonts w:asciiTheme="minorHAnsi" w:hAnsiTheme="minorHAnsi" w:cstheme="minorHAnsi"/>
              </w:rPr>
            </w:pPr>
            <w:r w:rsidRPr="00037AD4">
              <w:rPr>
                <w:rFonts w:asciiTheme="minorHAnsi" w:hAnsiTheme="minorHAnsi" w:cstheme="minorHAnsi"/>
              </w:rPr>
              <w:t>Observed frequency (%)</w:t>
            </w:r>
          </w:p>
          <w:p w14:paraId="02446B7C" w14:textId="77777777" w:rsidR="00B54D51" w:rsidRPr="00FD5268" w:rsidRDefault="00B54D51" w:rsidP="00401C67">
            <w:pPr>
              <w:rPr>
                <w:rFonts w:asciiTheme="minorHAnsi" w:hAnsiTheme="minorHAnsi" w:cstheme="minorHAnsi"/>
                <w:i/>
                <w:iCs/>
                <w:sz w:val="22"/>
                <w:szCs w:val="22"/>
              </w:rPr>
            </w:pPr>
            <w:r w:rsidRPr="00FD5268">
              <w:rPr>
                <w:rFonts w:asciiTheme="minorHAnsi" w:hAnsiTheme="minorHAnsi" w:cstheme="minorHAnsi"/>
                <w:i/>
                <w:iCs/>
                <w:sz w:val="22"/>
                <w:szCs w:val="22"/>
              </w:rPr>
              <w:t>n=792</w:t>
            </w:r>
          </w:p>
        </w:tc>
        <w:tc>
          <w:tcPr>
            <w:tcW w:w="1947" w:type="dxa"/>
          </w:tcPr>
          <w:p w14:paraId="15DC383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Predicted frequency (%)</w:t>
            </w:r>
          </w:p>
        </w:tc>
      </w:tr>
      <w:tr w:rsidR="00B54D51" w:rsidRPr="00037AD4" w14:paraId="2FDF6A73" w14:textId="77777777" w:rsidTr="00B2312B">
        <w:tc>
          <w:tcPr>
            <w:tcW w:w="2972" w:type="dxa"/>
          </w:tcPr>
          <w:p w14:paraId="332DD7B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No anxiety/depression</w:t>
            </w:r>
          </w:p>
        </w:tc>
        <w:tc>
          <w:tcPr>
            <w:tcW w:w="1843" w:type="dxa"/>
          </w:tcPr>
          <w:p w14:paraId="00B906B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77.53</w:t>
            </w:r>
          </w:p>
        </w:tc>
        <w:tc>
          <w:tcPr>
            <w:tcW w:w="1947" w:type="dxa"/>
          </w:tcPr>
          <w:p w14:paraId="554414D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77.10</w:t>
            </w:r>
          </w:p>
        </w:tc>
      </w:tr>
      <w:tr w:rsidR="00B54D51" w:rsidRPr="00037AD4" w14:paraId="78369D89" w14:textId="77777777" w:rsidTr="00B2312B">
        <w:tc>
          <w:tcPr>
            <w:tcW w:w="2972" w:type="dxa"/>
          </w:tcPr>
          <w:p w14:paraId="2903788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Slight anxiety/depression</w:t>
            </w:r>
          </w:p>
        </w:tc>
        <w:tc>
          <w:tcPr>
            <w:tcW w:w="1843" w:type="dxa"/>
          </w:tcPr>
          <w:p w14:paraId="05336FB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14.77</w:t>
            </w:r>
          </w:p>
        </w:tc>
        <w:tc>
          <w:tcPr>
            <w:tcW w:w="1947" w:type="dxa"/>
          </w:tcPr>
          <w:p w14:paraId="2152954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14.92</w:t>
            </w:r>
          </w:p>
        </w:tc>
      </w:tr>
      <w:tr w:rsidR="00B54D51" w:rsidRPr="00037AD4" w14:paraId="419C0C47" w14:textId="77777777" w:rsidTr="00B2312B">
        <w:tc>
          <w:tcPr>
            <w:tcW w:w="2972" w:type="dxa"/>
          </w:tcPr>
          <w:p w14:paraId="6246868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Moderate anxiety/depression</w:t>
            </w:r>
          </w:p>
        </w:tc>
        <w:tc>
          <w:tcPr>
            <w:tcW w:w="1843" w:type="dxa"/>
          </w:tcPr>
          <w:p w14:paraId="46A4E41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5.68</w:t>
            </w:r>
          </w:p>
        </w:tc>
        <w:tc>
          <w:tcPr>
            <w:tcW w:w="1947" w:type="dxa"/>
          </w:tcPr>
          <w:p w14:paraId="3ECFB69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5.94</w:t>
            </w:r>
          </w:p>
        </w:tc>
      </w:tr>
      <w:tr w:rsidR="00B54D51" w:rsidRPr="00037AD4" w14:paraId="4C740485" w14:textId="77777777" w:rsidTr="00B2312B">
        <w:tc>
          <w:tcPr>
            <w:tcW w:w="2972" w:type="dxa"/>
          </w:tcPr>
          <w:p w14:paraId="1A8FE8B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Severe anxiety/depression</w:t>
            </w:r>
          </w:p>
        </w:tc>
        <w:tc>
          <w:tcPr>
            <w:tcW w:w="1843" w:type="dxa"/>
          </w:tcPr>
          <w:p w14:paraId="1DDEB38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1.39</w:t>
            </w:r>
          </w:p>
        </w:tc>
        <w:tc>
          <w:tcPr>
            <w:tcW w:w="1947" w:type="dxa"/>
          </w:tcPr>
          <w:p w14:paraId="039A2B1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1.51</w:t>
            </w:r>
          </w:p>
        </w:tc>
      </w:tr>
      <w:tr w:rsidR="00B54D51" w:rsidRPr="00037AD4" w14:paraId="1E34CB64" w14:textId="77777777" w:rsidTr="00B2312B">
        <w:tc>
          <w:tcPr>
            <w:tcW w:w="2972" w:type="dxa"/>
          </w:tcPr>
          <w:p w14:paraId="19DE432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Extreme anxiety/depression </w:t>
            </w:r>
          </w:p>
        </w:tc>
        <w:tc>
          <w:tcPr>
            <w:tcW w:w="1843" w:type="dxa"/>
          </w:tcPr>
          <w:p w14:paraId="7EC1F02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0.63</w:t>
            </w:r>
          </w:p>
        </w:tc>
        <w:tc>
          <w:tcPr>
            <w:tcW w:w="1947" w:type="dxa"/>
          </w:tcPr>
          <w:p w14:paraId="7127C81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0.53</w:t>
            </w:r>
          </w:p>
        </w:tc>
      </w:tr>
    </w:tbl>
    <w:p w14:paraId="6A6B807C" w14:textId="77777777" w:rsidR="00B54D51" w:rsidRPr="00037AD4" w:rsidRDefault="00B54D51" w:rsidP="00C3362B">
      <w:pPr>
        <w:rPr>
          <w:rFonts w:asciiTheme="minorHAnsi" w:hAnsiTheme="minorHAnsi" w:cstheme="minorHAnsi"/>
          <w:b/>
          <w:bCs/>
          <w:u w:val="single"/>
        </w:rPr>
      </w:pPr>
    </w:p>
    <w:p w14:paraId="392D07FD" w14:textId="77777777" w:rsidR="00B54D51" w:rsidRPr="00037AD4" w:rsidRDefault="00B54D51" w:rsidP="00C3362B">
      <w:pPr>
        <w:rPr>
          <w:rFonts w:asciiTheme="minorHAnsi" w:hAnsiTheme="minorHAnsi" w:cstheme="minorHAnsi"/>
          <w:b/>
          <w:bCs/>
          <w:sz w:val="26"/>
          <w:szCs w:val="26"/>
          <w:u w:val="single"/>
        </w:rPr>
      </w:pPr>
      <w:r w:rsidRPr="00037AD4">
        <w:rPr>
          <w:rFonts w:asciiTheme="minorHAnsi" w:hAnsiTheme="minorHAnsi" w:cstheme="minorHAnsi"/>
          <w:b/>
          <w:bCs/>
          <w:sz w:val="26"/>
          <w:szCs w:val="26"/>
          <w:u w:val="single"/>
        </w:rPr>
        <w:t xml:space="preserve">6.4.5.4 Including a trial indicator for the “anxiety/depression” dimension  </w:t>
      </w:r>
    </w:p>
    <w:p w14:paraId="0F9840D1" w14:textId="77777777" w:rsidR="00B54D51" w:rsidRPr="00037AD4" w:rsidRDefault="00B54D51" w:rsidP="00C3362B">
      <w:pPr>
        <w:rPr>
          <w:rFonts w:asciiTheme="minorHAnsi" w:hAnsiTheme="minorHAnsi" w:cstheme="minorHAnsi"/>
          <w:u w:val="single"/>
        </w:rPr>
      </w:pPr>
    </w:p>
    <w:p w14:paraId="5EFB457A" w14:textId="77777777" w:rsidR="00B54D51" w:rsidRPr="00037AD4" w:rsidRDefault="00B54D51" w:rsidP="00C3362B">
      <w:pPr>
        <w:rPr>
          <w:rFonts w:asciiTheme="minorHAnsi" w:hAnsiTheme="minorHAnsi" w:cstheme="minorHAnsi"/>
        </w:rPr>
      </w:pPr>
      <w:r w:rsidRPr="00037AD4">
        <w:rPr>
          <w:rFonts w:asciiTheme="minorHAnsi" w:hAnsiTheme="minorHAnsi" w:cstheme="minorHAnsi"/>
        </w:rPr>
        <w:t>As with the previous three dimensions, the common core model was re-run in the merged trial dataset with a trial indicator variable</w:t>
      </w:r>
      <w:r w:rsidRPr="00037AD4">
        <w:rPr>
          <w:rFonts w:asciiTheme="minorHAnsi" w:hAnsiTheme="minorHAnsi" w:cstheme="minorHAnsi"/>
          <w:color w:val="000000" w:themeColor="text1"/>
        </w:rPr>
        <w:t xml:space="preserve">, the coefficient tables of this output are provided </w:t>
      </w:r>
      <w:r w:rsidRPr="005D3C45">
        <w:rPr>
          <w:rFonts w:asciiTheme="minorHAnsi" w:hAnsiTheme="minorHAnsi" w:cstheme="minorHAnsi"/>
          <w:color w:val="000000" w:themeColor="text1"/>
        </w:rPr>
        <w:t xml:space="preserve">in </w:t>
      </w:r>
      <w:hyperlink w:anchor="A64" w:history="1">
        <w:r w:rsidRPr="005D3C45">
          <w:rPr>
            <w:rStyle w:val="Hyperlink"/>
            <w:rFonts w:asciiTheme="minorHAnsi" w:hAnsiTheme="minorHAnsi" w:cstheme="minorHAnsi"/>
            <w:color w:val="000000" w:themeColor="text1"/>
            <w:u w:val="none"/>
          </w:rPr>
          <w:t>Appendix 6.4.</w:t>
        </w:r>
      </w:hyperlink>
      <w:r w:rsidRPr="005D3C45">
        <w:rPr>
          <w:rFonts w:asciiTheme="minorHAnsi" w:hAnsiTheme="minorHAnsi" w:cstheme="minorHAnsi"/>
          <w:color w:val="000000" w:themeColor="text1"/>
        </w:rPr>
        <w:t xml:space="preserve"> </w:t>
      </w:r>
    </w:p>
    <w:p w14:paraId="68A531F5" w14:textId="77777777" w:rsidR="00B54D51" w:rsidRPr="00037AD4" w:rsidRDefault="00B54D51" w:rsidP="00C3362B">
      <w:pPr>
        <w:rPr>
          <w:rFonts w:asciiTheme="minorHAnsi" w:hAnsiTheme="minorHAnsi" w:cstheme="minorHAnsi"/>
        </w:rPr>
      </w:pPr>
    </w:p>
    <w:p w14:paraId="6756FED9" w14:textId="0F7BB815" w:rsidR="00152EB4" w:rsidRPr="00152EB4" w:rsidRDefault="00B54D51" w:rsidP="00C3362B">
      <w:pPr>
        <w:rPr>
          <w:rFonts w:asciiTheme="minorHAnsi" w:hAnsiTheme="minorHAnsi" w:cstheme="minorHAnsi"/>
        </w:rPr>
      </w:pPr>
      <w:r w:rsidRPr="00037AD4">
        <w:rPr>
          <w:rFonts w:asciiTheme="minorHAnsi" w:hAnsiTheme="minorHAnsi" w:cstheme="minorHAnsi"/>
        </w:rPr>
        <w:t xml:space="preserve">The coefficient for the trial indicator variable is statistically significant (r=-0.241, p=0.001), whereby the EPIC cohort is associated with better/lower predictive PwD “anxiety/depression” reports. As previously noted, PwD and staff proxy reports of this </w:t>
      </w:r>
      <w:r w:rsidRPr="00037AD4">
        <w:rPr>
          <w:rFonts w:asciiTheme="minorHAnsi" w:hAnsiTheme="minorHAnsi" w:cstheme="minorHAnsi"/>
        </w:rPr>
        <w:lastRenderedPageBreak/>
        <w:t xml:space="preserve">dimension were more closely aligned and showed evidence of ceiling effects in the EPIC trial whereby 77.5% of people with dementia and 75.7% of staff proxies provided a level one response for this </w:t>
      </w:r>
      <w:r w:rsidRPr="005D3C45">
        <w:rPr>
          <w:rFonts w:asciiTheme="minorHAnsi" w:hAnsiTheme="minorHAnsi" w:cstheme="minorHAnsi"/>
          <w:color w:val="000000" w:themeColor="text1"/>
        </w:rPr>
        <w:t>dimension (</w:t>
      </w:r>
      <w:hyperlink w:anchor="TableA6B" w:history="1">
        <w:r w:rsidRPr="005D3C45">
          <w:rPr>
            <w:rStyle w:val="Hyperlink"/>
            <w:rFonts w:asciiTheme="minorHAnsi" w:hAnsiTheme="minorHAnsi" w:cstheme="minorHAnsi"/>
            <w:color w:val="000000" w:themeColor="text1"/>
            <w:u w:val="none"/>
          </w:rPr>
          <w:t>see Table A6b</w:t>
        </w:r>
      </w:hyperlink>
      <w:r w:rsidRPr="005D3C45">
        <w:rPr>
          <w:rFonts w:asciiTheme="minorHAnsi" w:hAnsiTheme="minorHAnsi" w:cstheme="minorHAnsi"/>
          <w:color w:val="000000" w:themeColor="text1"/>
        </w:rPr>
        <w:t xml:space="preserve">). The </w:t>
      </w:r>
      <w:r w:rsidRPr="00037AD4">
        <w:rPr>
          <w:rFonts w:asciiTheme="minorHAnsi" w:hAnsiTheme="minorHAnsi" w:cstheme="minorHAnsi"/>
        </w:rPr>
        <w:t xml:space="preserve">observed trial effect could potentially be attributed to this similarity in reporting, whereby the model performed better due to the underlying data as opposed to any external or residential setting based differences. </w:t>
      </w:r>
    </w:p>
    <w:p w14:paraId="0A7F5ED1" w14:textId="77777777" w:rsidR="00B54D51" w:rsidRDefault="00B54D51" w:rsidP="00C3362B">
      <w:pPr>
        <w:rPr>
          <w:rFonts w:asciiTheme="minorHAnsi" w:hAnsiTheme="minorHAnsi" w:cstheme="minorHAnsi"/>
          <w:b/>
          <w:bCs/>
          <w:u w:val="single"/>
        </w:rPr>
      </w:pPr>
    </w:p>
    <w:p w14:paraId="100CF59B" w14:textId="47FD1E79" w:rsidR="00152EB4" w:rsidRDefault="00152EB4" w:rsidP="00152EB4">
      <w:pPr>
        <w:pStyle w:val="Heading3"/>
      </w:pPr>
      <w:bookmarkStart w:id="405" w:name="_Toc175742359"/>
      <w:r>
        <w:t>6.4.6 Summary of dimension models</w:t>
      </w:r>
      <w:bookmarkEnd w:id="405"/>
      <w:r>
        <w:t xml:space="preserve"> </w:t>
      </w:r>
    </w:p>
    <w:p w14:paraId="692BCCC6" w14:textId="77777777" w:rsidR="00152EB4" w:rsidRDefault="00152EB4" w:rsidP="00152EB4"/>
    <w:p w14:paraId="7B5F1F9D" w14:textId="73CBF602" w:rsidR="00152EB4" w:rsidRDefault="00152EB4" w:rsidP="00152EB4">
      <w:pPr>
        <w:rPr>
          <w:rFonts w:asciiTheme="minorHAnsi" w:hAnsiTheme="minorHAnsi" w:cstheme="minorHAnsi"/>
        </w:rPr>
      </w:pPr>
      <w:r w:rsidRPr="00152EB4">
        <w:rPr>
          <w:rFonts w:asciiTheme="minorHAnsi" w:hAnsiTheme="minorHAnsi" w:cstheme="minorHAnsi"/>
        </w:rPr>
        <w:t>The final preferred model</w:t>
      </w:r>
      <w:r>
        <w:rPr>
          <w:rFonts w:asciiTheme="minorHAnsi" w:hAnsiTheme="minorHAnsi" w:cstheme="minorHAnsi"/>
        </w:rPr>
        <w:t xml:space="preserve">s </w:t>
      </w:r>
      <w:r w:rsidRPr="00152EB4">
        <w:rPr>
          <w:rFonts w:asciiTheme="minorHAnsi" w:hAnsiTheme="minorHAnsi" w:cstheme="minorHAnsi"/>
        </w:rPr>
        <w:t xml:space="preserve">for each EQ-5D-5L dimension were </w:t>
      </w:r>
      <w:r>
        <w:rPr>
          <w:rFonts w:asciiTheme="minorHAnsi" w:hAnsiTheme="minorHAnsi" w:cstheme="minorHAnsi"/>
        </w:rPr>
        <w:t>developed and</w:t>
      </w:r>
      <w:r w:rsidRPr="00152EB4">
        <w:rPr>
          <w:rFonts w:asciiTheme="minorHAnsi" w:hAnsiTheme="minorHAnsi" w:cstheme="minorHAnsi"/>
        </w:rPr>
        <w:t xml:space="preserve"> are summari</w:t>
      </w:r>
      <w:r>
        <w:rPr>
          <w:rFonts w:asciiTheme="minorHAnsi" w:hAnsiTheme="minorHAnsi" w:cstheme="minorHAnsi"/>
        </w:rPr>
        <w:t>s</w:t>
      </w:r>
      <w:r w:rsidRPr="00152EB4">
        <w:rPr>
          <w:rFonts w:asciiTheme="minorHAnsi" w:hAnsiTheme="minorHAnsi" w:cstheme="minorHAnsi"/>
        </w:rPr>
        <w:t>ed in the table below. These models were selected based on their ability to reliably predict responses using routinely collected data, ensuring both practicality and accuracy</w:t>
      </w:r>
      <w:r>
        <w:rPr>
          <w:rFonts w:asciiTheme="minorHAnsi" w:hAnsiTheme="minorHAnsi" w:cstheme="minorHAnsi"/>
        </w:rPr>
        <w:t xml:space="preserve">. </w:t>
      </w:r>
      <w:r w:rsidRPr="00152EB4">
        <w:rPr>
          <w:rFonts w:asciiTheme="minorHAnsi" w:hAnsiTheme="minorHAnsi" w:cstheme="minorHAnsi"/>
        </w:rPr>
        <w:t>The following table provides a detailed overview of the specific models used for each EQ-5D-5L dimension across the ACTIFCARE and EPIC studies:</w:t>
      </w:r>
    </w:p>
    <w:p w14:paraId="5314D9AA" w14:textId="77777777" w:rsidR="00152EB4" w:rsidRDefault="00152EB4" w:rsidP="00152EB4">
      <w:pPr>
        <w:rPr>
          <w:rFonts w:asciiTheme="minorHAnsi" w:hAnsiTheme="minorHAnsi" w:cstheme="minorHAnsi"/>
        </w:rPr>
      </w:pPr>
    </w:p>
    <w:p w14:paraId="028B58A4" w14:textId="373F9FF2" w:rsidR="00152EB4" w:rsidRPr="00152EB4" w:rsidRDefault="00152EB4" w:rsidP="00152EB4">
      <w:pPr>
        <w:rPr>
          <w:rFonts w:asciiTheme="minorHAnsi" w:hAnsiTheme="minorHAnsi" w:cstheme="minorHAnsi"/>
          <w:b/>
          <w:bCs/>
          <w:i/>
          <w:iCs/>
        </w:rPr>
      </w:pPr>
      <w:r w:rsidRPr="00152EB4">
        <w:rPr>
          <w:rFonts w:asciiTheme="minorHAnsi" w:hAnsiTheme="minorHAnsi" w:cstheme="minorHAnsi"/>
          <w:b/>
          <w:bCs/>
          <w:i/>
          <w:iCs/>
        </w:rPr>
        <w:t>Table 40, Final preferred EQ-5D-5L dimension models</w:t>
      </w:r>
    </w:p>
    <w:p w14:paraId="6BF44190" w14:textId="77777777" w:rsidR="00152EB4" w:rsidRPr="00152EB4" w:rsidRDefault="00152EB4" w:rsidP="00152EB4"/>
    <w:tbl>
      <w:tblPr>
        <w:tblStyle w:val="TableGrid"/>
        <w:tblW w:w="0" w:type="auto"/>
        <w:tblLook w:val="04A0" w:firstRow="1" w:lastRow="0" w:firstColumn="1" w:lastColumn="0" w:noHBand="0" w:noVBand="1"/>
      </w:tblPr>
      <w:tblGrid>
        <w:gridCol w:w="2337"/>
        <w:gridCol w:w="3376"/>
        <w:gridCol w:w="3303"/>
      </w:tblGrid>
      <w:tr w:rsidR="00152EB4" w:rsidRPr="00037AD4" w14:paraId="1126DC1F" w14:textId="77777777" w:rsidTr="00440C65">
        <w:trPr>
          <w:trHeight w:val="272"/>
        </w:trPr>
        <w:tc>
          <w:tcPr>
            <w:tcW w:w="0" w:type="auto"/>
          </w:tcPr>
          <w:p w14:paraId="5571494C" w14:textId="77777777" w:rsidR="00152EB4" w:rsidRPr="00037AD4" w:rsidRDefault="00152EB4" w:rsidP="00440C65">
            <w:pPr>
              <w:rPr>
                <w:rFonts w:asciiTheme="minorHAnsi" w:hAnsiTheme="minorHAnsi" w:cstheme="minorHAnsi"/>
                <w:b/>
                <w:bCs/>
                <w:sz w:val="26"/>
                <w:szCs w:val="26"/>
              </w:rPr>
            </w:pPr>
            <w:r w:rsidRPr="00037AD4">
              <w:rPr>
                <w:rFonts w:asciiTheme="minorHAnsi" w:hAnsiTheme="minorHAnsi" w:cstheme="minorHAnsi"/>
                <w:b/>
                <w:bCs/>
                <w:sz w:val="26"/>
                <w:szCs w:val="26"/>
              </w:rPr>
              <w:t>EQ-5D dimension</w:t>
            </w:r>
          </w:p>
        </w:tc>
        <w:tc>
          <w:tcPr>
            <w:tcW w:w="0" w:type="auto"/>
          </w:tcPr>
          <w:p w14:paraId="7615D062" w14:textId="77777777" w:rsidR="00152EB4" w:rsidRPr="00037AD4" w:rsidRDefault="00152EB4" w:rsidP="00440C65">
            <w:pPr>
              <w:rPr>
                <w:rFonts w:asciiTheme="minorHAnsi" w:hAnsiTheme="minorHAnsi" w:cstheme="minorHAnsi"/>
                <w:b/>
                <w:bCs/>
                <w:sz w:val="26"/>
                <w:szCs w:val="26"/>
              </w:rPr>
            </w:pPr>
            <w:r w:rsidRPr="00037AD4">
              <w:rPr>
                <w:rFonts w:asciiTheme="minorHAnsi" w:hAnsiTheme="minorHAnsi" w:cstheme="minorHAnsi"/>
                <w:b/>
                <w:bCs/>
                <w:sz w:val="26"/>
                <w:szCs w:val="26"/>
              </w:rPr>
              <w:t>ACTIFCARE</w:t>
            </w:r>
          </w:p>
        </w:tc>
        <w:tc>
          <w:tcPr>
            <w:tcW w:w="0" w:type="auto"/>
          </w:tcPr>
          <w:p w14:paraId="3DE83ADC" w14:textId="77777777" w:rsidR="00152EB4" w:rsidRPr="00037AD4" w:rsidRDefault="00152EB4" w:rsidP="00440C65">
            <w:pPr>
              <w:rPr>
                <w:rFonts w:asciiTheme="minorHAnsi" w:hAnsiTheme="minorHAnsi" w:cstheme="minorHAnsi"/>
                <w:b/>
                <w:bCs/>
                <w:sz w:val="26"/>
                <w:szCs w:val="26"/>
              </w:rPr>
            </w:pPr>
            <w:r w:rsidRPr="00037AD4">
              <w:rPr>
                <w:rFonts w:asciiTheme="minorHAnsi" w:hAnsiTheme="minorHAnsi" w:cstheme="minorHAnsi"/>
                <w:b/>
                <w:bCs/>
                <w:sz w:val="26"/>
                <w:szCs w:val="26"/>
              </w:rPr>
              <w:t xml:space="preserve">EPIC </w:t>
            </w:r>
          </w:p>
        </w:tc>
      </w:tr>
      <w:tr w:rsidR="00152EB4" w:rsidRPr="00037AD4" w14:paraId="4481E642" w14:textId="77777777" w:rsidTr="00440C65">
        <w:trPr>
          <w:trHeight w:val="1143"/>
        </w:trPr>
        <w:tc>
          <w:tcPr>
            <w:tcW w:w="0" w:type="auto"/>
          </w:tcPr>
          <w:p w14:paraId="1AD74EB5" w14:textId="77777777" w:rsidR="00152EB4" w:rsidRPr="00037AD4" w:rsidRDefault="00152EB4" w:rsidP="00440C65">
            <w:pPr>
              <w:rPr>
                <w:rFonts w:asciiTheme="minorHAnsi" w:hAnsiTheme="minorHAnsi" w:cstheme="minorHAnsi"/>
                <w:b/>
                <w:bCs/>
                <w:sz w:val="26"/>
                <w:szCs w:val="26"/>
              </w:rPr>
            </w:pPr>
            <w:r w:rsidRPr="00037AD4">
              <w:rPr>
                <w:rFonts w:asciiTheme="minorHAnsi" w:hAnsiTheme="minorHAnsi" w:cstheme="minorHAnsi"/>
                <w:b/>
                <w:bCs/>
                <w:sz w:val="26"/>
                <w:szCs w:val="26"/>
              </w:rPr>
              <w:t>Mobility</w:t>
            </w:r>
          </w:p>
        </w:tc>
        <w:tc>
          <w:tcPr>
            <w:tcW w:w="0" w:type="auto"/>
          </w:tcPr>
          <w:p w14:paraId="50F32722" w14:textId="77777777" w:rsidR="00152EB4" w:rsidRPr="00037AD4" w:rsidRDefault="00152EB4" w:rsidP="00440C65">
            <w:pPr>
              <w:rPr>
                <w:rFonts w:asciiTheme="minorHAnsi" w:hAnsiTheme="minorHAnsi" w:cstheme="minorHAnsi"/>
                <w:sz w:val="26"/>
                <w:szCs w:val="26"/>
              </w:rPr>
            </w:pPr>
            <w:r w:rsidRPr="00037AD4">
              <w:rPr>
                <w:rFonts w:asciiTheme="minorHAnsi" w:hAnsiTheme="minorHAnsi" w:cstheme="minorHAnsi"/>
                <w:sz w:val="26"/>
                <w:szCs w:val="26"/>
              </w:rPr>
              <w:t xml:space="preserve">oprobit eq1SR_ i.eq1RP_ MMSE_Total_ PSMS_ PwD_age_ i.PwDs_sex, vce(cluster PatNo) </w:t>
            </w:r>
          </w:p>
        </w:tc>
        <w:tc>
          <w:tcPr>
            <w:tcW w:w="0" w:type="auto"/>
          </w:tcPr>
          <w:p w14:paraId="1B3111BB" w14:textId="77777777" w:rsidR="00152EB4" w:rsidRPr="00037AD4" w:rsidRDefault="00152EB4" w:rsidP="00440C65">
            <w:pPr>
              <w:rPr>
                <w:rFonts w:asciiTheme="minorHAnsi" w:hAnsiTheme="minorHAnsi" w:cstheme="minorHAnsi"/>
                <w:sz w:val="26"/>
                <w:szCs w:val="26"/>
              </w:rPr>
            </w:pPr>
            <w:r w:rsidRPr="00037AD4">
              <w:rPr>
                <w:rFonts w:asciiTheme="minorHAnsi" w:hAnsiTheme="minorHAnsi" w:cstheme="minorHAnsi"/>
                <w:sz w:val="26"/>
                <w:szCs w:val="26"/>
              </w:rPr>
              <w:t>oprobit eq1staff_ i.eq1SR_ numeric_FAST_ age_ i.sex_, vce(cluster PatNo)</w:t>
            </w:r>
          </w:p>
        </w:tc>
      </w:tr>
      <w:tr w:rsidR="00152EB4" w:rsidRPr="00037AD4" w14:paraId="1E73FAAF" w14:textId="77777777" w:rsidTr="00440C65">
        <w:trPr>
          <w:trHeight w:val="1143"/>
        </w:trPr>
        <w:tc>
          <w:tcPr>
            <w:tcW w:w="0" w:type="auto"/>
          </w:tcPr>
          <w:p w14:paraId="466B5C13" w14:textId="77777777" w:rsidR="00152EB4" w:rsidRPr="00037AD4" w:rsidRDefault="00152EB4" w:rsidP="00440C65">
            <w:pPr>
              <w:rPr>
                <w:rFonts w:asciiTheme="minorHAnsi" w:hAnsiTheme="minorHAnsi" w:cstheme="minorHAnsi"/>
                <w:b/>
                <w:bCs/>
                <w:sz w:val="26"/>
                <w:szCs w:val="26"/>
              </w:rPr>
            </w:pPr>
            <w:r w:rsidRPr="00037AD4">
              <w:rPr>
                <w:rFonts w:asciiTheme="minorHAnsi" w:hAnsiTheme="minorHAnsi" w:cstheme="minorHAnsi"/>
                <w:b/>
                <w:bCs/>
                <w:sz w:val="26"/>
                <w:szCs w:val="26"/>
              </w:rPr>
              <w:t>Self-care</w:t>
            </w:r>
          </w:p>
        </w:tc>
        <w:tc>
          <w:tcPr>
            <w:tcW w:w="0" w:type="auto"/>
          </w:tcPr>
          <w:p w14:paraId="1FB82689" w14:textId="77777777" w:rsidR="00152EB4" w:rsidRPr="00037AD4" w:rsidRDefault="00152EB4" w:rsidP="00440C65">
            <w:pPr>
              <w:rPr>
                <w:rFonts w:asciiTheme="minorHAnsi" w:hAnsiTheme="minorHAnsi" w:cstheme="minorHAnsi"/>
                <w:sz w:val="26"/>
                <w:szCs w:val="26"/>
              </w:rPr>
            </w:pPr>
            <w:r w:rsidRPr="00037AD4">
              <w:rPr>
                <w:rFonts w:asciiTheme="minorHAnsi" w:hAnsiTheme="minorHAnsi" w:cstheme="minorHAnsi"/>
                <w:sz w:val="26"/>
                <w:szCs w:val="26"/>
              </w:rPr>
              <w:t>oprobit eq2RP_ i.eq2SR_ MMSE_Total_ PSMS_ PwD_age_ i.PwDs_sex_, vce(cluster PatNo)</w:t>
            </w:r>
          </w:p>
        </w:tc>
        <w:tc>
          <w:tcPr>
            <w:tcW w:w="0" w:type="auto"/>
          </w:tcPr>
          <w:p w14:paraId="76AB233E" w14:textId="77777777" w:rsidR="00152EB4" w:rsidRPr="00037AD4" w:rsidRDefault="00152EB4" w:rsidP="00440C65">
            <w:pPr>
              <w:rPr>
                <w:rFonts w:asciiTheme="minorHAnsi" w:hAnsiTheme="minorHAnsi" w:cstheme="minorHAnsi"/>
                <w:sz w:val="26"/>
                <w:szCs w:val="26"/>
              </w:rPr>
            </w:pPr>
            <w:r w:rsidRPr="00037AD4">
              <w:rPr>
                <w:rFonts w:asciiTheme="minorHAnsi" w:hAnsiTheme="minorHAnsi" w:cstheme="minorHAnsi"/>
                <w:sz w:val="26"/>
                <w:szCs w:val="26"/>
              </w:rPr>
              <w:t>oprobit eq2staff_ i.eq2SR_ numeric_FAST_ age_ i.sex_, vce(cluster PatNo)</w:t>
            </w:r>
          </w:p>
        </w:tc>
      </w:tr>
      <w:tr w:rsidR="00152EB4" w:rsidRPr="00037AD4" w14:paraId="4238C911" w14:textId="77777777" w:rsidTr="00440C65">
        <w:trPr>
          <w:trHeight w:val="1143"/>
        </w:trPr>
        <w:tc>
          <w:tcPr>
            <w:tcW w:w="0" w:type="auto"/>
          </w:tcPr>
          <w:p w14:paraId="6264DA79" w14:textId="77777777" w:rsidR="00152EB4" w:rsidRPr="00037AD4" w:rsidRDefault="00152EB4" w:rsidP="00440C65">
            <w:pPr>
              <w:rPr>
                <w:rFonts w:asciiTheme="minorHAnsi" w:hAnsiTheme="minorHAnsi" w:cstheme="minorHAnsi"/>
                <w:b/>
                <w:bCs/>
                <w:sz w:val="26"/>
                <w:szCs w:val="26"/>
              </w:rPr>
            </w:pPr>
            <w:r w:rsidRPr="00037AD4">
              <w:rPr>
                <w:rFonts w:asciiTheme="minorHAnsi" w:hAnsiTheme="minorHAnsi" w:cstheme="minorHAnsi"/>
                <w:b/>
                <w:bCs/>
                <w:sz w:val="26"/>
                <w:szCs w:val="26"/>
              </w:rPr>
              <w:t xml:space="preserve">Usual activities </w:t>
            </w:r>
          </w:p>
        </w:tc>
        <w:tc>
          <w:tcPr>
            <w:tcW w:w="0" w:type="auto"/>
          </w:tcPr>
          <w:p w14:paraId="521E380F" w14:textId="77777777" w:rsidR="00152EB4" w:rsidRPr="00037AD4" w:rsidRDefault="00152EB4" w:rsidP="00440C65">
            <w:pPr>
              <w:rPr>
                <w:rFonts w:asciiTheme="minorHAnsi" w:hAnsiTheme="minorHAnsi" w:cstheme="minorHAnsi"/>
                <w:sz w:val="26"/>
                <w:szCs w:val="26"/>
              </w:rPr>
            </w:pPr>
            <w:r w:rsidRPr="00037AD4">
              <w:rPr>
                <w:rFonts w:asciiTheme="minorHAnsi" w:hAnsiTheme="minorHAnsi" w:cstheme="minorHAnsi"/>
                <w:sz w:val="26"/>
                <w:szCs w:val="26"/>
              </w:rPr>
              <w:t>oprobit eq3RP_ i.eq3SR_ MMSE_Total_ NPI_ IADL_ PwD_age_ i.PwDs_sex_, vce(cluster PatNo)</w:t>
            </w:r>
          </w:p>
        </w:tc>
        <w:tc>
          <w:tcPr>
            <w:tcW w:w="0" w:type="auto"/>
          </w:tcPr>
          <w:p w14:paraId="6C598B10" w14:textId="77777777" w:rsidR="00152EB4" w:rsidRPr="00037AD4" w:rsidRDefault="00152EB4" w:rsidP="00440C65">
            <w:pPr>
              <w:rPr>
                <w:rFonts w:asciiTheme="minorHAnsi" w:hAnsiTheme="minorHAnsi" w:cstheme="minorHAnsi"/>
                <w:sz w:val="26"/>
                <w:szCs w:val="26"/>
              </w:rPr>
            </w:pPr>
            <w:r w:rsidRPr="00037AD4">
              <w:rPr>
                <w:rFonts w:asciiTheme="minorHAnsi" w:hAnsiTheme="minorHAnsi" w:cstheme="minorHAnsi"/>
                <w:sz w:val="26"/>
                <w:szCs w:val="26"/>
              </w:rPr>
              <w:t>oprobit eq3staff_ i.eq3SR_ NPItotal_ numeric_FAST_ age_ i.sex_, vce(cluster PatNo)</w:t>
            </w:r>
          </w:p>
        </w:tc>
      </w:tr>
      <w:tr w:rsidR="00152EB4" w:rsidRPr="00037AD4" w14:paraId="75AAB6BB" w14:textId="77777777" w:rsidTr="00440C65">
        <w:trPr>
          <w:trHeight w:val="1143"/>
        </w:trPr>
        <w:tc>
          <w:tcPr>
            <w:tcW w:w="0" w:type="auto"/>
          </w:tcPr>
          <w:p w14:paraId="17866C84" w14:textId="77777777" w:rsidR="00152EB4" w:rsidRPr="00037AD4" w:rsidRDefault="00152EB4" w:rsidP="00440C65">
            <w:pPr>
              <w:rPr>
                <w:rFonts w:asciiTheme="minorHAnsi" w:hAnsiTheme="minorHAnsi" w:cstheme="minorHAnsi"/>
                <w:b/>
                <w:bCs/>
                <w:sz w:val="26"/>
                <w:szCs w:val="26"/>
              </w:rPr>
            </w:pPr>
            <w:r w:rsidRPr="00037AD4">
              <w:rPr>
                <w:rFonts w:asciiTheme="minorHAnsi" w:hAnsiTheme="minorHAnsi" w:cstheme="minorHAnsi"/>
                <w:b/>
                <w:bCs/>
                <w:sz w:val="26"/>
                <w:szCs w:val="26"/>
              </w:rPr>
              <w:t>Pain/discomfort</w:t>
            </w:r>
          </w:p>
        </w:tc>
        <w:tc>
          <w:tcPr>
            <w:tcW w:w="0" w:type="auto"/>
          </w:tcPr>
          <w:p w14:paraId="1AFDC78B" w14:textId="77777777" w:rsidR="00152EB4" w:rsidRPr="00037AD4" w:rsidRDefault="00152EB4" w:rsidP="00440C65">
            <w:pPr>
              <w:rPr>
                <w:rFonts w:asciiTheme="minorHAnsi" w:hAnsiTheme="minorHAnsi" w:cstheme="minorHAnsi"/>
                <w:sz w:val="26"/>
                <w:szCs w:val="26"/>
              </w:rPr>
            </w:pPr>
            <w:r w:rsidRPr="00037AD4">
              <w:rPr>
                <w:rFonts w:asciiTheme="minorHAnsi" w:hAnsiTheme="minorHAnsi" w:cstheme="minorHAnsi"/>
                <w:sz w:val="26"/>
                <w:szCs w:val="26"/>
              </w:rPr>
              <w:t>oprobit eq4SR_ i.eq5RP_ MMSE_Total_ PwD_age_ i.PwDs_sex_, vce(cluster PatNo)</w:t>
            </w:r>
          </w:p>
        </w:tc>
        <w:tc>
          <w:tcPr>
            <w:tcW w:w="0" w:type="auto"/>
          </w:tcPr>
          <w:p w14:paraId="14DCCCD5" w14:textId="77777777" w:rsidR="00152EB4" w:rsidRPr="00037AD4" w:rsidRDefault="00152EB4" w:rsidP="00440C65">
            <w:pPr>
              <w:rPr>
                <w:rFonts w:asciiTheme="minorHAnsi" w:hAnsiTheme="minorHAnsi" w:cstheme="minorHAnsi"/>
                <w:sz w:val="26"/>
                <w:szCs w:val="26"/>
              </w:rPr>
            </w:pPr>
            <w:r w:rsidRPr="00037AD4">
              <w:rPr>
                <w:rFonts w:asciiTheme="minorHAnsi" w:hAnsiTheme="minorHAnsi" w:cstheme="minorHAnsi"/>
                <w:sz w:val="26"/>
                <w:szCs w:val="26"/>
              </w:rPr>
              <w:t>oprobit eq4SR_ i.merg_eq4staff i.sex_ age_, vce(cluster PatNo)</w:t>
            </w:r>
          </w:p>
        </w:tc>
      </w:tr>
      <w:tr w:rsidR="00152EB4" w:rsidRPr="00037AD4" w14:paraId="347D1D16" w14:textId="77777777" w:rsidTr="00440C65">
        <w:trPr>
          <w:trHeight w:val="1143"/>
        </w:trPr>
        <w:tc>
          <w:tcPr>
            <w:tcW w:w="0" w:type="auto"/>
          </w:tcPr>
          <w:p w14:paraId="31311C58" w14:textId="77777777" w:rsidR="00152EB4" w:rsidRPr="00037AD4" w:rsidRDefault="00152EB4" w:rsidP="00440C65">
            <w:pPr>
              <w:rPr>
                <w:rFonts w:asciiTheme="minorHAnsi" w:hAnsiTheme="minorHAnsi" w:cstheme="minorHAnsi"/>
                <w:b/>
                <w:bCs/>
                <w:sz w:val="26"/>
                <w:szCs w:val="26"/>
              </w:rPr>
            </w:pPr>
            <w:r w:rsidRPr="00037AD4">
              <w:rPr>
                <w:rFonts w:asciiTheme="minorHAnsi" w:hAnsiTheme="minorHAnsi" w:cstheme="minorHAnsi"/>
                <w:b/>
                <w:bCs/>
                <w:sz w:val="26"/>
                <w:szCs w:val="26"/>
              </w:rPr>
              <w:t xml:space="preserve">Anxiety/depression </w:t>
            </w:r>
          </w:p>
        </w:tc>
        <w:tc>
          <w:tcPr>
            <w:tcW w:w="0" w:type="auto"/>
          </w:tcPr>
          <w:p w14:paraId="441931E9" w14:textId="77777777" w:rsidR="00152EB4" w:rsidRPr="00037AD4" w:rsidRDefault="00152EB4" w:rsidP="00440C65">
            <w:pPr>
              <w:rPr>
                <w:rFonts w:asciiTheme="minorHAnsi" w:hAnsiTheme="minorHAnsi" w:cstheme="minorHAnsi"/>
                <w:sz w:val="26"/>
                <w:szCs w:val="26"/>
              </w:rPr>
            </w:pPr>
            <w:r w:rsidRPr="00037AD4">
              <w:rPr>
                <w:rFonts w:asciiTheme="minorHAnsi" w:hAnsiTheme="minorHAnsi" w:cstheme="minorHAnsi"/>
                <w:sz w:val="26"/>
                <w:szCs w:val="26"/>
              </w:rPr>
              <w:t>oprobit eq5SR_ i.eq5RP MMSE_Total_ NPI_ PwD_age_ i.PwDs_sex_, vce(cluster PatNo)</w:t>
            </w:r>
          </w:p>
        </w:tc>
        <w:tc>
          <w:tcPr>
            <w:tcW w:w="0" w:type="auto"/>
          </w:tcPr>
          <w:p w14:paraId="159C9E99" w14:textId="77777777" w:rsidR="00152EB4" w:rsidRPr="00037AD4" w:rsidRDefault="00152EB4" w:rsidP="00440C65">
            <w:pPr>
              <w:rPr>
                <w:rFonts w:asciiTheme="minorHAnsi" w:hAnsiTheme="minorHAnsi" w:cstheme="minorHAnsi"/>
                <w:sz w:val="26"/>
                <w:szCs w:val="26"/>
              </w:rPr>
            </w:pPr>
            <w:r w:rsidRPr="00037AD4">
              <w:rPr>
                <w:rFonts w:asciiTheme="minorHAnsi" w:hAnsiTheme="minorHAnsi" w:cstheme="minorHAnsi"/>
                <w:sz w:val="26"/>
                <w:szCs w:val="26"/>
              </w:rPr>
              <w:t>oprobit eq5SR_ i.eq5staff_ NPItotal_ i.sex_ age_, vce(cluster PatNo)</w:t>
            </w:r>
          </w:p>
        </w:tc>
      </w:tr>
    </w:tbl>
    <w:p w14:paraId="049002AE" w14:textId="77777777" w:rsidR="00152EB4" w:rsidRPr="00037AD4" w:rsidRDefault="00152EB4" w:rsidP="00C3362B">
      <w:pPr>
        <w:rPr>
          <w:rFonts w:asciiTheme="minorHAnsi" w:hAnsiTheme="minorHAnsi" w:cstheme="minorHAnsi"/>
          <w:b/>
          <w:bCs/>
          <w:u w:val="single"/>
        </w:rPr>
      </w:pPr>
    </w:p>
    <w:p w14:paraId="5927CF58" w14:textId="63DB3206" w:rsidR="00BC7E42" w:rsidRDefault="00BC7E42" w:rsidP="007A43F9">
      <w:pPr>
        <w:pStyle w:val="Heading3"/>
      </w:pPr>
      <w:bookmarkStart w:id="406" w:name="_Toc175742360"/>
      <w:r>
        <w:t>6.4.6.1 Pragmatic models</w:t>
      </w:r>
      <w:bookmarkEnd w:id="406"/>
      <w:r>
        <w:t xml:space="preserve"> </w:t>
      </w:r>
    </w:p>
    <w:p w14:paraId="07DD5673" w14:textId="77777777" w:rsidR="00BC7E42" w:rsidRDefault="00BC7E42" w:rsidP="00BC7E42"/>
    <w:p w14:paraId="10401724" w14:textId="6BECA455" w:rsidR="00BC7E42" w:rsidRPr="00BC7E42" w:rsidRDefault="00BC7E42" w:rsidP="00BC7E42">
      <w:pPr>
        <w:rPr>
          <w:rFonts w:asciiTheme="minorHAnsi" w:hAnsiTheme="minorHAnsi" w:cstheme="minorHAnsi"/>
        </w:rPr>
      </w:pPr>
      <w:r w:rsidRPr="00BC7E42">
        <w:rPr>
          <w:rFonts w:asciiTheme="minorHAnsi" w:hAnsiTheme="minorHAnsi" w:cstheme="minorHAnsi"/>
        </w:rPr>
        <w:t xml:space="preserve">The </w:t>
      </w:r>
      <w:r>
        <w:rPr>
          <w:rFonts w:asciiTheme="minorHAnsi" w:hAnsiTheme="minorHAnsi" w:cstheme="minorHAnsi"/>
        </w:rPr>
        <w:t xml:space="preserve">output of the pragmatic models is presented in Appendix 6.5a. The </w:t>
      </w:r>
      <w:r w:rsidRPr="00BC7E42">
        <w:rPr>
          <w:rFonts w:asciiTheme="minorHAnsi" w:hAnsiTheme="minorHAnsi" w:cstheme="minorHAnsi"/>
        </w:rPr>
        <w:t>pragmatic models revealed that it is possible to predict EQ-5D dimension scores using only the selected pragmatic</w:t>
      </w:r>
      <w:r>
        <w:rPr>
          <w:rFonts w:asciiTheme="minorHAnsi" w:hAnsiTheme="minorHAnsi" w:cstheme="minorHAnsi"/>
        </w:rPr>
        <w:t>/routinely collected</w:t>
      </w:r>
      <w:r w:rsidRPr="00BC7E42">
        <w:rPr>
          <w:rFonts w:asciiTheme="minorHAnsi" w:hAnsiTheme="minorHAnsi" w:cstheme="minorHAnsi"/>
        </w:rPr>
        <w:t xml:space="preserve"> variables, indicating that these simplified models do have some utility. However, when compared to more extensive models that include additional symptom variable scores, the performance of the pragmatic models was noticeably lower. </w:t>
      </w:r>
      <w:r w:rsidRPr="00BC7E42">
        <w:rPr>
          <w:rFonts w:asciiTheme="minorHAnsi" w:hAnsiTheme="minorHAnsi" w:cstheme="minorHAnsi"/>
        </w:rPr>
        <w:lastRenderedPageBreak/>
        <w:t>Specifically, the predicted utility score distributions from the pragmatic models showed greater error, highlighting the trade-off between model simplicity and predictive accuracy</w:t>
      </w:r>
      <w:r>
        <w:rPr>
          <w:rFonts w:asciiTheme="minorHAnsi" w:hAnsiTheme="minorHAnsi" w:cstheme="minorHAnsi"/>
        </w:rPr>
        <w:t>.</w:t>
      </w:r>
    </w:p>
    <w:p w14:paraId="25F1C409" w14:textId="77777777" w:rsidR="00BC7E42" w:rsidRPr="00BC7E42" w:rsidRDefault="00BC7E42" w:rsidP="00BC7E42"/>
    <w:p w14:paraId="53654028" w14:textId="0B806ED0" w:rsidR="00B54D51" w:rsidRPr="00037AD4" w:rsidRDefault="00B54D51" w:rsidP="007A43F9">
      <w:pPr>
        <w:pStyle w:val="Heading3"/>
      </w:pPr>
      <w:bookmarkStart w:id="407" w:name="_Toc175742361"/>
      <w:r w:rsidRPr="00037AD4">
        <w:t>6.4.</w:t>
      </w:r>
      <w:r w:rsidR="00152EB4">
        <w:t>7</w:t>
      </w:r>
      <w:r w:rsidRPr="00037AD4">
        <w:t xml:space="preserve"> Estimating utility scores</w:t>
      </w:r>
      <w:bookmarkEnd w:id="407"/>
      <w:r w:rsidRPr="00037AD4">
        <w:t xml:space="preserve"> </w:t>
      </w:r>
    </w:p>
    <w:p w14:paraId="6E5B1C44" w14:textId="77777777" w:rsidR="00B54D51" w:rsidRPr="00037AD4" w:rsidRDefault="00B54D51" w:rsidP="00C3362B">
      <w:pPr>
        <w:rPr>
          <w:rFonts w:asciiTheme="minorHAnsi" w:hAnsiTheme="minorHAnsi" w:cstheme="minorHAnsi"/>
          <w:b/>
          <w:bCs/>
          <w:u w:val="single"/>
        </w:rPr>
      </w:pPr>
    </w:p>
    <w:p w14:paraId="38583F76" w14:textId="78B1A9F4" w:rsidR="00B54D51" w:rsidRPr="00037AD4" w:rsidRDefault="00B54D51" w:rsidP="00C3362B">
      <w:pPr>
        <w:rPr>
          <w:rFonts w:asciiTheme="minorHAnsi" w:hAnsiTheme="minorHAnsi" w:cstheme="minorHAnsi"/>
        </w:rPr>
      </w:pPr>
      <w:r w:rsidRPr="00037AD4">
        <w:rPr>
          <w:rFonts w:asciiTheme="minorHAnsi" w:hAnsiTheme="minorHAnsi" w:cstheme="minorHAnsi"/>
        </w:rPr>
        <w:t>As outlined in the methods sectio</w:t>
      </w:r>
      <w:r w:rsidRPr="00322CFC">
        <w:rPr>
          <w:rFonts w:asciiTheme="minorHAnsi" w:hAnsiTheme="minorHAnsi" w:cstheme="minorHAnsi"/>
        </w:rPr>
        <w:t xml:space="preserve">n </w:t>
      </w:r>
      <w:hyperlink w:anchor="sec632" w:history="1">
        <w:r w:rsidRPr="00322CFC">
          <w:rPr>
            <w:rStyle w:val="Hyperlink"/>
            <w:rFonts w:asciiTheme="minorHAnsi" w:hAnsiTheme="minorHAnsi" w:cstheme="minorHAnsi"/>
            <w:color w:val="auto"/>
            <w:u w:val="none"/>
          </w:rPr>
          <w:t>(section 6.3.2),</w:t>
        </w:r>
      </w:hyperlink>
      <w:r w:rsidRPr="00322CFC">
        <w:rPr>
          <w:rFonts w:asciiTheme="minorHAnsi" w:hAnsiTheme="minorHAnsi" w:cstheme="minorHAnsi"/>
        </w:rPr>
        <w:t xml:space="preserve"> there </w:t>
      </w:r>
      <w:r w:rsidRPr="00037AD4">
        <w:rPr>
          <w:rFonts w:asciiTheme="minorHAnsi" w:hAnsiTheme="minorHAnsi" w:cstheme="minorHAnsi"/>
        </w:rPr>
        <w:t xml:space="preserve">are two stages to response mapping. The first stage involves predicting responses for each item/dimension of the instrument, for which the process has been summarised in the previous sections. The second stage involves assigning utility scores to the predictions. In line with current NICE guidelines, the recommended method of mapping EQ-5D-5L health states to the established EQ-5D-3L value set is applied to generate utility scores and is presented within this section </w:t>
      </w:r>
      <w:r>
        <w:rPr>
          <w:rFonts w:asciiTheme="minorHAnsi" w:hAnsiTheme="minorHAnsi" w:cstheme="minorHAnsi"/>
          <w:noProof/>
        </w:rPr>
        <w:t>(Hernández Alava et al., 2023)</w:t>
      </w:r>
      <w:r w:rsidRPr="00037AD4">
        <w:rPr>
          <w:rFonts w:asciiTheme="minorHAnsi" w:hAnsiTheme="minorHAnsi" w:cstheme="minorHAnsi"/>
        </w:rPr>
        <w:t xml:space="preserve">. As an application for when a validated EQ-5D-5L value set becomes available, all utility calculations have also been estimated using the 2018 EQ-5D-5L value set for England </w:t>
      </w:r>
      <w:r>
        <w:rPr>
          <w:rFonts w:asciiTheme="minorHAnsi" w:hAnsiTheme="minorHAnsi" w:cstheme="minorHAnsi"/>
          <w:noProof/>
        </w:rPr>
        <w:t>(Devlin et al., 2018</w:t>
      </w:r>
      <w:r w:rsidR="00D75792">
        <w:rPr>
          <w:rFonts w:asciiTheme="minorHAnsi" w:hAnsiTheme="minorHAnsi" w:cstheme="minorHAnsi"/>
          <w:noProof/>
        </w:rPr>
        <w:t>)</w:t>
      </w:r>
      <w:r w:rsidR="00D75792" w:rsidRPr="00037AD4">
        <w:rPr>
          <w:rFonts w:asciiTheme="minorHAnsi" w:hAnsiTheme="minorHAnsi" w:cstheme="minorHAnsi"/>
        </w:rPr>
        <w:t xml:space="preserve"> and</w:t>
      </w:r>
      <w:r w:rsidRPr="00037AD4">
        <w:rPr>
          <w:rFonts w:asciiTheme="minorHAnsi" w:hAnsiTheme="minorHAnsi" w:cstheme="minorHAnsi"/>
        </w:rPr>
        <w:t xml:space="preserve"> have been presented </w:t>
      </w:r>
      <w:r w:rsidRPr="005D3C45">
        <w:rPr>
          <w:rFonts w:asciiTheme="minorHAnsi" w:hAnsiTheme="minorHAnsi" w:cstheme="minorHAnsi"/>
          <w:color w:val="000000" w:themeColor="text1"/>
        </w:rPr>
        <w:t xml:space="preserve">within </w:t>
      </w:r>
      <w:hyperlink w:anchor="_Appendix_6.5_Utility" w:history="1">
        <w:r w:rsidRPr="005D3C45">
          <w:rPr>
            <w:rStyle w:val="Hyperlink"/>
            <w:rFonts w:asciiTheme="minorHAnsi" w:hAnsiTheme="minorHAnsi" w:cstheme="minorHAnsi"/>
            <w:color w:val="000000" w:themeColor="text1"/>
            <w:u w:val="none"/>
          </w:rPr>
          <w:t>Appendix 6.5</w:t>
        </w:r>
      </w:hyperlink>
      <w:r w:rsidRPr="005D3C45">
        <w:rPr>
          <w:rFonts w:asciiTheme="minorHAnsi" w:hAnsiTheme="minorHAnsi" w:cstheme="minorHAnsi"/>
          <w:color w:val="000000" w:themeColor="text1"/>
        </w:rPr>
        <w:t xml:space="preserve"> for </w:t>
      </w:r>
      <w:r w:rsidRPr="00037AD4">
        <w:rPr>
          <w:rFonts w:asciiTheme="minorHAnsi" w:hAnsiTheme="minorHAnsi" w:cstheme="minorHAnsi"/>
        </w:rPr>
        <w:t xml:space="preserve">reference. </w:t>
      </w:r>
    </w:p>
    <w:p w14:paraId="2C8754EE" w14:textId="77777777" w:rsidR="00B54D51" w:rsidRPr="00037AD4" w:rsidRDefault="00B54D51" w:rsidP="00C3362B">
      <w:pPr>
        <w:rPr>
          <w:rFonts w:asciiTheme="minorHAnsi" w:hAnsiTheme="minorHAnsi" w:cstheme="minorHAnsi"/>
          <w:b/>
          <w:bCs/>
          <w:u w:val="single"/>
        </w:rPr>
      </w:pPr>
    </w:p>
    <w:p w14:paraId="5ED1F7BD" w14:textId="718CA22B" w:rsidR="00B54D51" w:rsidRPr="00037AD4" w:rsidRDefault="00B54D51" w:rsidP="007A43F9">
      <w:pPr>
        <w:pStyle w:val="Heading4"/>
      </w:pPr>
      <w:r w:rsidRPr="00037AD4">
        <w:t>6.4.</w:t>
      </w:r>
      <w:r w:rsidR="00152EB4">
        <w:t>7</w:t>
      </w:r>
      <w:r w:rsidRPr="00037AD4">
        <w:t xml:space="preserve">.1 Utility distributions: ACTIFCARE </w:t>
      </w:r>
    </w:p>
    <w:p w14:paraId="381A003A" w14:textId="77777777" w:rsidR="00B54D51" w:rsidRPr="00037AD4" w:rsidRDefault="00B54D51" w:rsidP="00C3362B">
      <w:pPr>
        <w:rPr>
          <w:rFonts w:asciiTheme="minorHAnsi" w:hAnsiTheme="minorHAnsi" w:cstheme="minorHAnsi"/>
        </w:rPr>
      </w:pPr>
      <w:r w:rsidRPr="00037AD4">
        <w:rPr>
          <w:rFonts w:asciiTheme="minorHAnsi" w:hAnsiTheme="minorHAnsi" w:cstheme="minorHAnsi"/>
        </w:rPr>
        <w:t xml:space="preserve"> </w:t>
      </w:r>
    </w:p>
    <w:p w14:paraId="5887807E" w14:textId="346693F6" w:rsidR="00B54D51" w:rsidRPr="00037AD4" w:rsidRDefault="00B54D51" w:rsidP="00C3362B">
      <w:pPr>
        <w:rPr>
          <w:rFonts w:asciiTheme="minorHAnsi" w:hAnsiTheme="minorHAnsi" w:cstheme="minorHAnsi"/>
        </w:rPr>
      </w:pPr>
      <w:r w:rsidRPr="00037AD4">
        <w:rPr>
          <w:rFonts w:asciiTheme="minorHAnsi" w:hAnsiTheme="minorHAnsi" w:cstheme="minorHAnsi"/>
        </w:rPr>
        <w:t>Table 4</w:t>
      </w:r>
      <w:r w:rsidR="00152EB4">
        <w:rPr>
          <w:rFonts w:asciiTheme="minorHAnsi" w:hAnsiTheme="minorHAnsi" w:cstheme="minorHAnsi"/>
        </w:rPr>
        <w:t>1</w:t>
      </w:r>
      <w:r w:rsidRPr="00037AD4">
        <w:rPr>
          <w:rFonts w:asciiTheme="minorHAnsi" w:hAnsiTheme="minorHAnsi" w:cstheme="minorHAnsi"/>
        </w:rPr>
        <w:t xml:space="preserve"> presents the utility estimations from the ACTIFCARE trial for the target combination of EQ-5D-5L dimensions by respondent type. It is observed that the mean predicted utility scores match the observed data. </w:t>
      </w:r>
    </w:p>
    <w:p w14:paraId="002B85A2" w14:textId="77777777" w:rsidR="00B54D51" w:rsidRPr="00037AD4" w:rsidRDefault="00B54D51" w:rsidP="00C3362B">
      <w:pPr>
        <w:rPr>
          <w:rFonts w:asciiTheme="minorHAnsi" w:hAnsiTheme="minorHAnsi" w:cstheme="minorHAnsi"/>
        </w:rPr>
      </w:pPr>
    </w:p>
    <w:p w14:paraId="20B256B8" w14:textId="423B6B8D" w:rsidR="00B54D51" w:rsidRPr="00037AD4" w:rsidRDefault="00B54D51" w:rsidP="00C3362B">
      <w:pPr>
        <w:rPr>
          <w:rFonts w:asciiTheme="minorHAnsi" w:hAnsiTheme="minorHAnsi" w:cstheme="minorHAnsi"/>
          <w:b/>
          <w:bCs/>
          <w:i/>
          <w:iCs/>
        </w:rPr>
      </w:pPr>
      <w:r w:rsidRPr="00037AD4">
        <w:rPr>
          <w:rFonts w:asciiTheme="minorHAnsi" w:hAnsiTheme="minorHAnsi" w:cstheme="minorHAnsi"/>
          <w:b/>
          <w:bCs/>
          <w:i/>
          <w:iCs/>
        </w:rPr>
        <w:t>Table 4</w:t>
      </w:r>
      <w:r w:rsidR="00152EB4">
        <w:rPr>
          <w:rFonts w:asciiTheme="minorHAnsi" w:hAnsiTheme="minorHAnsi" w:cstheme="minorHAnsi"/>
          <w:b/>
          <w:bCs/>
          <w:i/>
          <w:iCs/>
        </w:rPr>
        <w:t>1</w:t>
      </w:r>
      <w:r w:rsidRPr="00037AD4">
        <w:rPr>
          <w:rFonts w:asciiTheme="minorHAnsi" w:hAnsiTheme="minorHAnsi" w:cstheme="minorHAnsi"/>
          <w:b/>
          <w:bCs/>
          <w:i/>
          <w:iCs/>
        </w:rPr>
        <w:t>, ACTIFCARE utility estimations</w:t>
      </w:r>
    </w:p>
    <w:p w14:paraId="74B59387" w14:textId="77777777" w:rsidR="00B54D51" w:rsidRPr="00037AD4" w:rsidRDefault="00B54D51" w:rsidP="00C3362B">
      <w:pPr>
        <w:rPr>
          <w:rFonts w:asciiTheme="minorHAnsi" w:hAnsiTheme="minorHAnsi" w:cstheme="minorHAnsi"/>
        </w:rPr>
      </w:pPr>
    </w:p>
    <w:tbl>
      <w:tblPr>
        <w:tblStyle w:val="TableGrid"/>
        <w:tblW w:w="5000" w:type="pct"/>
        <w:tblLook w:val="04A0" w:firstRow="1" w:lastRow="0" w:firstColumn="1" w:lastColumn="0" w:noHBand="0" w:noVBand="1"/>
      </w:tblPr>
      <w:tblGrid>
        <w:gridCol w:w="3123"/>
        <w:gridCol w:w="1015"/>
        <w:gridCol w:w="1365"/>
        <w:gridCol w:w="1122"/>
        <w:gridCol w:w="2391"/>
      </w:tblGrid>
      <w:tr w:rsidR="00B54D51" w:rsidRPr="00037AD4" w14:paraId="13BD494B" w14:textId="77777777" w:rsidTr="00742C83">
        <w:trPr>
          <w:trHeight w:val="276"/>
        </w:trPr>
        <w:tc>
          <w:tcPr>
            <w:tcW w:w="1732" w:type="pct"/>
            <w:shd w:val="clear" w:color="auto" w:fill="E7E6E6" w:themeFill="background2"/>
          </w:tcPr>
          <w:p w14:paraId="74E9A39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Target response</w:t>
            </w:r>
          </w:p>
        </w:tc>
        <w:tc>
          <w:tcPr>
            <w:tcW w:w="563" w:type="pct"/>
            <w:shd w:val="clear" w:color="auto" w:fill="E7E6E6" w:themeFill="background2"/>
          </w:tcPr>
          <w:p w14:paraId="4235DA4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N</w:t>
            </w:r>
          </w:p>
        </w:tc>
        <w:tc>
          <w:tcPr>
            <w:tcW w:w="757" w:type="pct"/>
            <w:shd w:val="clear" w:color="auto" w:fill="E7E6E6" w:themeFill="background2"/>
          </w:tcPr>
          <w:p w14:paraId="2704C55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Mean </w:t>
            </w:r>
          </w:p>
        </w:tc>
        <w:tc>
          <w:tcPr>
            <w:tcW w:w="622" w:type="pct"/>
            <w:shd w:val="clear" w:color="auto" w:fill="E7E6E6" w:themeFill="background2"/>
          </w:tcPr>
          <w:p w14:paraId="7D128C3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SD</w:t>
            </w:r>
          </w:p>
        </w:tc>
        <w:tc>
          <w:tcPr>
            <w:tcW w:w="1326" w:type="pct"/>
            <w:shd w:val="clear" w:color="auto" w:fill="E7E6E6" w:themeFill="background2"/>
          </w:tcPr>
          <w:p w14:paraId="4B9AFBD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Min – Max </w:t>
            </w:r>
          </w:p>
        </w:tc>
      </w:tr>
      <w:tr w:rsidR="00B54D51" w:rsidRPr="00037AD4" w14:paraId="39878324" w14:textId="77777777" w:rsidTr="00742C83">
        <w:trPr>
          <w:trHeight w:val="295"/>
        </w:trPr>
        <w:tc>
          <w:tcPr>
            <w:tcW w:w="5000" w:type="pct"/>
            <w:gridSpan w:val="5"/>
            <w:shd w:val="clear" w:color="auto" w:fill="auto"/>
          </w:tcPr>
          <w:p w14:paraId="5FB18D5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Mapped from 5L to 3L value set </w:t>
            </w:r>
          </w:p>
        </w:tc>
      </w:tr>
      <w:tr w:rsidR="00B54D51" w:rsidRPr="00037AD4" w14:paraId="509CB35C" w14:textId="77777777" w:rsidTr="00742C83">
        <w:trPr>
          <w:trHeight w:val="295"/>
        </w:trPr>
        <w:tc>
          <w:tcPr>
            <w:tcW w:w="1732" w:type="pct"/>
          </w:tcPr>
          <w:p w14:paraId="1EBEDBB0" w14:textId="77777777" w:rsidR="00B54D51" w:rsidRPr="00037AD4" w:rsidRDefault="00B54D51" w:rsidP="00401C67">
            <w:pPr>
              <w:rPr>
                <w:rFonts w:asciiTheme="minorHAnsi" w:hAnsiTheme="minorHAnsi" w:cstheme="minorHAnsi"/>
                <w:highlight w:val="yellow"/>
              </w:rPr>
            </w:pPr>
            <w:r w:rsidRPr="00037AD4">
              <w:rPr>
                <w:rFonts w:asciiTheme="minorHAnsi" w:hAnsiTheme="minorHAnsi" w:cstheme="minorHAnsi"/>
              </w:rPr>
              <w:t>Observed data</w:t>
            </w:r>
          </w:p>
        </w:tc>
        <w:tc>
          <w:tcPr>
            <w:tcW w:w="563" w:type="pct"/>
          </w:tcPr>
          <w:p w14:paraId="1AFEC01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962</w:t>
            </w:r>
          </w:p>
        </w:tc>
        <w:tc>
          <w:tcPr>
            <w:tcW w:w="757" w:type="pct"/>
          </w:tcPr>
          <w:p w14:paraId="3A1BDAF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0.69</w:t>
            </w:r>
          </w:p>
        </w:tc>
        <w:tc>
          <w:tcPr>
            <w:tcW w:w="622" w:type="pct"/>
          </w:tcPr>
          <w:p w14:paraId="59AC20C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0.21</w:t>
            </w:r>
          </w:p>
        </w:tc>
        <w:tc>
          <w:tcPr>
            <w:tcW w:w="1326" w:type="pct"/>
          </w:tcPr>
          <w:p w14:paraId="3B7347F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-0.28 – 0.99 </w:t>
            </w:r>
          </w:p>
        </w:tc>
      </w:tr>
      <w:tr w:rsidR="00B54D51" w:rsidRPr="00037AD4" w14:paraId="7B9F149D" w14:textId="77777777" w:rsidTr="00742C83">
        <w:trPr>
          <w:trHeight w:val="276"/>
        </w:trPr>
        <w:tc>
          <w:tcPr>
            <w:tcW w:w="1732" w:type="pct"/>
          </w:tcPr>
          <w:p w14:paraId="2699A81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Predicted data</w:t>
            </w:r>
          </w:p>
        </w:tc>
        <w:tc>
          <w:tcPr>
            <w:tcW w:w="563" w:type="pct"/>
          </w:tcPr>
          <w:p w14:paraId="6FD241C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962</w:t>
            </w:r>
          </w:p>
        </w:tc>
        <w:tc>
          <w:tcPr>
            <w:tcW w:w="757" w:type="pct"/>
          </w:tcPr>
          <w:p w14:paraId="7031B3A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0.69</w:t>
            </w:r>
          </w:p>
        </w:tc>
        <w:tc>
          <w:tcPr>
            <w:tcW w:w="622" w:type="pct"/>
          </w:tcPr>
          <w:p w14:paraId="3DC5D10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0.12</w:t>
            </w:r>
          </w:p>
        </w:tc>
        <w:tc>
          <w:tcPr>
            <w:tcW w:w="1326" w:type="pct"/>
          </w:tcPr>
          <w:p w14:paraId="68F0DEC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0.22 – 0.89 </w:t>
            </w:r>
          </w:p>
        </w:tc>
      </w:tr>
    </w:tbl>
    <w:p w14:paraId="20E6BE34" w14:textId="77777777" w:rsidR="00B54D51" w:rsidRPr="00037AD4" w:rsidRDefault="00B54D51" w:rsidP="00C3362B">
      <w:pPr>
        <w:rPr>
          <w:rFonts w:asciiTheme="minorHAnsi" w:hAnsiTheme="minorHAnsi" w:cstheme="minorHAnsi"/>
        </w:rPr>
      </w:pPr>
    </w:p>
    <w:p w14:paraId="4F1B8B69" w14:textId="77777777" w:rsidR="00B54D51" w:rsidRPr="00037AD4" w:rsidRDefault="00B54D51" w:rsidP="00C3362B">
      <w:pPr>
        <w:rPr>
          <w:rFonts w:asciiTheme="minorHAnsi" w:hAnsiTheme="minorHAnsi" w:cstheme="minorHAnsi"/>
        </w:rPr>
      </w:pPr>
      <w:r w:rsidRPr="00037AD4">
        <w:rPr>
          <w:rFonts w:asciiTheme="minorHAnsi" w:hAnsiTheme="minorHAnsi" w:cstheme="minorHAnsi"/>
        </w:rPr>
        <w:t xml:space="preserve">Figures 38a and 38b illustrate the distribution of utility scores estimated for the target combination of respondents, comparing observed data with predicted data mapped to EQ-5D-3L health states </w:t>
      </w:r>
      <w:r>
        <w:rPr>
          <w:rFonts w:asciiTheme="minorHAnsi" w:hAnsiTheme="minorHAnsi" w:cstheme="minorHAnsi"/>
          <w:noProof/>
        </w:rPr>
        <w:t>(Hernández Alava et al., 2023)</w:t>
      </w:r>
      <w:r w:rsidRPr="00037AD4">
        <w:rPr>
          <w:rFonts w:asciiTheme="minorHAnsi" w:hAnsiTheme="minorHAnsi" w:cstheme="minorHAnsi"/>
        </w:rPr>
        <w:t xml:space="preserve">. Utility values derived from the prediction models exhibit a noticeably more condensed spread as is inevitably the case when using data derived from mapping models. Utility scores from both origins do not reach full health at utility value one. This outcome is a result of mapping to the EQ-5D-3L value set for utility estimations. In these instances, both the observed and predicted data essentially consist of mapped predictions. </w:t>
      </w:r>
      <w:r w:rsidRPr="00037AD4">
        <w:rPr>
          <w:rFonts w:asciiTheme="minorHAnsi" w:hAnsiTheme="minorHAnsi" w:cstheme="minorHAnsi"/>
          <w:color w:val="000000" w:themeColor="text1"/>
        </w:rPr>
        <w:t xml:space="preserve">The scatterplot reported </w:t>
      </w:r>
      <w:r w:rsidRPr="005D3C45">
        <w:rPr>
          <w:rFonts w:asciiTheme="minorHAnsi" w:hAnsiTheme="minorHAnsi" w:cstheme="minorHAnsi"/>
          <w:color w:val="000000" w:themeColor="text1"/>
        </w:rPr>
        <w:t xml:space="preserve">in </w:t>
      </w:r>
      <w:hyperlink w:anchor="A65" w:history="1">
        <w:r w:rsidRPr="005D3C45">
          <w:rPr>
            <w:rStyle w:val="Hyperlink"/>
            <w:rFonts w:asciiTheme="minorHAnsi" w:hAnsiTheme="minorHAnsi" w:cstheme="minorHAnsi"/>
            <w:color w:val="000000" w:themeColor="text1"/>
            <w:u w:val="none"/>
          </w:rPr>
          <w:t>Appendix</w:t>
        </w:r>
      </w:hyperlink>
      <w:r w:rsidRPr="005D3C45">
        <w:rPr>
          <w:rStyle w:val="Hyperlink"/>
          <w:rFonts w:asciiTheme="minorHAnsi" w:hAnsiTheme="minorHAnsi" w:cstheme="minorHAnsi"/>
          <w:color w:val="000000" w:themeColor="text1"/>
          <w:u w:val="none"/>
        </w:rPr>
        <w:t xml:space="preserve"> 6.6</w:t>
      </w:r>
      <w:r w:rsidRPr="005D3C45">
        <w:rPr>
          <w:rFonts w:asciiTheme="minorHAnsi" w:hAnsiTheme="minorHAnsi" w:cstheme="minorHAnsi"/>
          <w:color w:val="000000" w:themeColor="text1"/>
        </w:rPr>
        <w:t xml:space="preserve"> (</w:t>
      </w:r>
      <w:hyperlink w:anchor="FIGUREA66b" w:history="1">
        <w:r w:rsidRPr="005D3C45">
          <w:rPr>
            <w:rStyle w:val="Hyperlink"/>
            <w:rFonts w:asciiTheme="minorHAnsi" w:hAnsiTheme="minorHAnsi" w:cstheme="minorHAnsi"/>
            <w:color w:val="000000" w:themeColor="text1"/>
            <w:u w:val="none"/>
          </w:rPr>
          <w:t>Figure A6.6b)</w:t>
        </w:r>
      </w:hyperlink>
      <w:r w:rsidRPr="005D3C45">
        <w:rPr>
          <w:rFonts w:asciiTheme="minorHAnsi" w:hAnsiTheme="minorHAnsi" w:cstheme="minorHAnsi"/>
          <w:color w:val="000000" w:themeColor="text1"/>
        </w:rPr>
        <w:t xml:space="preserve"> displays </w:t>
      </w:r>
      <w:r w:rsidRPr="00037AD4">
        <w:rPr>
          <w:rFonts w:asciiTheme="minorHAnsi" w:hAnsiTheme="minorHAnsi" w:cstheme="minorHAnsi"/>
        </w:rPr>
        <w:t>both predicted and observed EQ-5D-5L utility scores,</w:t>
      </w:r>
      <w:r w:rsidRPr="00037AD4">
        <w:rPr>
          <w:rFonts w:asciiTheme="minorHAnsi" w:hAnsiTheme="minorHAnsi" w:cstheme="minorHAnsi"/>
          <w:color w:val="000000" w:themeColor="text1"/>
        </w:rPr>
        <w:t xml:space="preserve"> indicating a slight positive correlation between the two sets of scores, and an overestimation is observed at the lower range of utility scores. </w:t>
      </w:r>
    </w:p>
    <w:p w14:paraId="6EC00FA9" w14:textId="77777777" w:rsidR="00B54D51" w:rsidRPr="00037AD4" w:rsidRDefault="00B54D51" w:rsidP="00C3362B">
      <w:pPr>
        <w:rPr>
          <w:rFonts w:asciiTheme="minorHAnsi" w:hAnsiTheme="minorHAnsi" w:cstheme="minorHAnsi"/>
          <w:u w:val="single"/>
        </w:rPr>
      </w:pPr>
    </w:p>
    <w:p w14:paraId="5925C266" w14:textId="69FD16A4" w:rsidR="00B54D51" w:rsidRPr="00037AD4" w:rsidRDefault="00E34C64" w:rsidP="00C3362B">
      <w:pPr>
        <w:rPr>
          <w:rFonts w:asciiTheme="minorHAnsi" w:hAnsiTheme="minorHAnsi" w:cstheme="minorHAnsi"/>
          <w:u w:val="single"/>
        </w:rPr>
      </w:pPr>
      <w:r>
        <w:rPr>
          <w:noProof/>
        </w:rPr>
        <w:lastRenderedPageBreak/>
        <w:drawing>
          <wp:inline distT="0" distB="0" distL="0" distR="0" wp14:anchorId="20F93FC1" wp14:editId="55F06E4B">
            <wp:extent cx="2700000" cy="1980000"/>
            <wp:effectExtent l="0" t="0" r="5715" b="1270"/>
            <wp:docPr id="57" name="Picture 57" descr="A graph of a number of people&#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Picture 3" descr="A graph of a number of people&#10;&#10;Description automatically generated with medium confidenc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700000" cy="1980000"/>
                    </a:xfrm>
                    <a:prstGeom prst="rect">
                      <a:avLst/>
                    </a:prstGeom>
                  </pic:spPr>
                </pic:pic>
              </a:graphicData>
            </a:graphic>
          </wp:inline>
        </w:drawing>
      </w:r>
      <w:r w:rsidR="00B54D51" w:rsidRPr="00037AD4">
        <w:rPr>
          <w:rFonts w:asciiTheme="minorHAnsi" w:hAnsiTheme="minorHAnsi" w:cstheme="minorHAnsi"/>
          <w:u w:val="single"/>
        </w:rPr>
        <w:t xml:space="preserve">   </w:t>
      </w:r>
      <w:r>
        <w:rPr>
          <w:noProof/>
        </w:rPr>
        <w:drawing>
          <wp:inline distT="0" distB="0" distL="0" distR="0" wp14:anchorId="2D5A9215" wp14:editId="3E6C25BC">
            <wp:extent cx="2700000" cy="1980000"/>
            <wp:effectExtent l="0" t="0" r="5715" b="1270"/>
            <wp:docPr id="4" name="Picture 4" descr="A graph showing a number of numbers&#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4" descr="A graph showing a number of numbers&#10;&#10;Description automatically generated with medium confidenc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700000" cy="1980000"/>
                    </a:xfrm>
                    <a:prstGeom prst="rect">
                      <a:avLst/>
                    </a:prstGeom>
                  </pic:spPr>
                </pic:pic>
              </a:graphicData>
            </a:graphic>
          </wp:inline>
        </w:drawing>
      </w:r>
    </w:p>
    <w:p w14:paraId="189FB493" w14:textId="77777777" w:rsidR="00B54D51" w:rsidRPr="00037AD4" w:rsidRDefault="00B54D51" w:rsidP="00144AAD">
      <w:pPr>
        <w:rPr>
          <w:rFonts w:asciiTheme="minorHAnsi" w:hAnsiTheme="minorHAnsi" w:cstheme="minorHAnsi"/>
        </w:rPr>
      </w:pPr>
      <w:r w:rsidRPr="00037AD4">
        <w:rPr>
          <w:rFonts w:asciiTheme="minorHAnsi" w:hAnsiTheme="minorHAnsi" w:cstheme="minorHAnsi"/>
        </w:rPr>
        <w:tab/>
      </w:r>
      <w:r w:rsidRPr="00037AD4">
        <w:rPr>
          <w:rFonts w:asciiTheme="minorHAnsi" w:hAnsiTheme="minorHAnsi" w:cstheme="minorHAnsi"/>
        </w:rPr>
        <w:tab/>
        <w:t xml:space="preserve">         38A</w:t>
      </w:r>
      <w:r w:rsidRPr="00037AD4">
        <w:rPr>
          <w:rFonts w:asciiTheme="minorHAnsi" w:hAnsiTheme="minorHAnsi" w:cstheme="minorHAnsi"/>
        </w:rPr>
        <w:tab/>
      </w:r>
      <w:r w:rsidRPr="00037AD4">
        <w:rPr>
          <w:rFonts w:asciiTheme="minorHAnsi" w:hAnsiTheme="minorHAnsi" w:cstheme="minorHAnsi"/>
        </w:rPr>
        <w:tab/>
      </w:r>
      <w:r w:rsidRPr="00037AD4">
        <w:rPr>
          <w:rFonts w:asciiTheme="minorHAnsi" w:hAnsiTheme="minorHAnsi" w:cstheme="minorHAnsi"/>
        </w:rPr>
        <w:tab/>
      </w:r>
      <w:r w:rsidRPr="00037AD4">
        <w:rPr>
          <w:rFonts w:asciiTheme="minorHAnsi" w:hAnsiTheme="minorHAnsi" w:cstheme="minorHAnsi"/>
        </w:rPr>
        <w:tab/>
      </w:r>
      <w:r w:rsidRPr="00037AD4">
        <w:rPr>
          <w:rFonts w:asciiTheme="minorHAnsi" w:hAnsiTheme="minorHAnsi" w:cstheme="minorHAnsi"/>
        </w:rPr>
        <w:tab/>
      </w:r>
      <w:r w:rsidRPr="00037AD4">
        <w:rPr>
          <w:rFonts w:asciiTheme="minorHAnsi" w:hAnsiTheme="minorHAnsi" w:cstheme="minorHAnsi"/>
        </w:rPr>
        <w:tab/>
        <w:t>38B</w:t>
      </w:r>
    </w:p>
    <w:p w14:paraId="41DF25FF" w14:textId="77777777" w:rsidR="00B54D51" w:rsidRPr="00037AD4" w:rsidRDefault="00B54D51" w:rsidP="00144AAD">
      <w:pPr>
        <w:rPr>
          <w:rFonts w:asciiTheme="minorHAnsi" w:hAnsiTheme="minorHAnsi" w:cstheme="minorHAnsi"/>
          <w:b/>
          <w:bCs/>
          <w:i/>
          <w:iCs/>
        </w:rPr>
      </w:pPr>
    </w:p>
    <w:p w14:paraId="28C18320" w14:textId="77777777" w:rsidR="00B54D51" w:rsidRPr="00037AD4" w:rsidRDefault="00B54D51" w:rsidP="00144AAD">
      <w:pPr>
        <w:rPr>
          <w:rFonts w:asciiTheme="minorHAnsi" w:hAnsiTheme="minorHAnsi" w:cstheme="minorHAnsi"/>
          <w:b/>
          <w:bCs/>
          <w:i/>
          <w:iCs/>
        </w:rPr>
      </w:pPr>
      <w:r w:rsidRPr="00037AD4">
        <w:rPr>
          <w:rFonts w:asciiTheme="minorHAnsi" w:hAnsiTheme="minorHAnsi" w:cstheme="minorHAnsi"/>
          <w:b/>
          <w:bCs/>
          <w:i/>
          <w:iCs/>
        </w:rPr>
        <w:t>Figure 38a, EQ-5D-5L index score distribution: actual data via target respondents</w:t>
      </w:r>
    </w:p>
    <w:p w14:paraId="22D03426" w14:textId="77777777" w:rsidR="00B54D51" w:rsidRPr="00037AD4" w:rsidRDefault="00B54D51" w:rsidP="00C3362B">
      <w:pPr>
        <w:rPr>
          <w:rFonts w:asciiTheme="minorHAnsi" w:hAnsiTheme="minorHAnsi" w:cstheme="minorHAnsi"/>
          <w:b/>
          <w:bCs/>
          <w:i/>
          <w:iCs/>
        </w:rPr>
      </w:pPr>
      <w:r w:rsidRPr="00037AD4">
        <w:rPr>
          <w:rFonts w:asciiTheme="minorHAnsi" w:hAnsiTheme="minorHAnsi" w:cstheme="minorHAnsi"/>
          <w:b/>
          <w:bCs/>
          <w:i/>
          <w:iCs/>
        </w:rPr>
        <w:t xml:space="preserve">Figure 38b, EQ-5D-5L index score distribution: prediction model data  </w:t>
      </w:r>
    </w:p>
    <w:p w14:paraId="286D6142" w14:textId="77777777" w:rsidR="00B54D51" w:rsidRPr="00037AD4" w:rsidRDefault="00B54D51" w:rsidP="00C3362B">
      <w:pPr>
        <w:rPr>
          <w:rFonts w:asciiTheme="minorHAnsi" w:hAnsiTheme="minorHAnsi" w:cstheme="minorHAnsi"/>
        </w:rPr>
      </w:pPr>
    </w:p>
    <w:p w14:paraId="0738F773" w14:textId="77777777" w:rsidR="00B54D51" w:rsidRPr="005D3C45" w:rsidRDefault="00B54D51" w:rsidP="00C3362B">
      <w:pPr>
        <w:rPr>
          <w:rFonts w:asciiTheme="minorHAnsi" w:hAnsiTheme="minorHAnsi" w:cstheme="minorHAnsi"/>
          <w:color w:val="000000" w:themeColor="text1"/>
        </w:rPr>
      </w:pPr>
      <w:r w:rsidRPr="00037AD4">
        <w:rPr>
          <w:rFonts w:asciiTheme="minorHAnsi" w:hAnsiTheme="minorHAnsi" w:cstheme="minorHAnsi"/>
        </w:rPr>
        <w:t xml:space="preserve">Figures 39a and 39b below show the mean observed versus mean predicted EQ-5D-5L utility scores </w:t>
      </w:r>
      <w:r w:rsidRPr="005D3C45">
        <w:rPr>
          <w:rFonts w:asciiTheme="minorHAnsi" w:hAnsiTheme="minorHAnsi" w:cstheme="minorHAnsi"/>
          <w:color w:val="000000" w:themeColor="text1"/>
        </w:rPr>
        <w:t xml:space="preserve">over the distribution of MMSE values, with Figure 39b also showing the error in the mean predictions via the absolute difference. The graphs trends show similarities to those derived using the 2018 5L value set for utility score estimation </w:t>
      </w:r>
      <w:hyperlink w:anchor="FIGUREA65C" w:history="1">
        <w:r w:rsidRPr="005D3C45">
          <w:rPr>
            <w:rStyle w:val="Hyperlink"/>
            <w:rFonts w:asciiTheme="minorHAnsi" w:hAnsiTheme="minorHAnsi" w:cstheme="minorHAnsi"/>
            <w:color w:val="000000" w:themeColor="text1"/>
            <w:u w:val="none"/>
          </w:rPr>
          <w:t>(see Figure A6.5c in Appendix 6.5</w:t>
        </w:r>
      </w:hyperlink>
      <w:r w:rsidRPr="005D3C45">
        <w:rPr>
          <w:rFonts w:asciiTheme="minorHAnsi" w:hAnsiTheme="minorHAnsi" w:cstheme="minorHAnsi"/>
          <w:color w:val="000000" w:themeColor="text1"/>
        </w:rPr>
        <w:t xml:space="preserve">). Notably, the mean predicted utility scores are overestimated at the extremes of MMSE scores, and prediction error is more apparent for scores associated with people with dementia of an MMSE score below ten (severe cognitive impairment). Overall, a similar distribution pattern is shown for both the observed and predicted data, and the absolute difference/error is minimal for people with dementia of MMSE scores between ten to twenty, suggesting that the model functions best for people with mild-to-moderate stage dementia. </w:t>
      </w:r>
    </w:p>
    <w:p w14:paraId="2F799B6B" w14:textId="77777777" w:rsidR="00B54D51" w:rsidRPr="005D3C45" w:rsidRDefault="00B54D51" w:rsidP="00C3362B">
      <w:pPr>
        <w:rPr>
          <w:rFonts w:asciiTheme="minorHAnsi" w:hAnsiTheme="minorHAnsi" w:cstheme="minorHAnsi"/>
          <w:color w:val="000000" w:themeColor="text1"/>
        </w:rPr>
      </w:pPr>
    </w:p>
    <w:p w14:paraId="674C2AE4" w14:textId="77777777" w:rsidR="00B54D51" w:rsidRPr="005D3C45" w:rsidRDefault="00B54D51" w:rsidP="00C3362B">
      <w:pPr>
        <w:rPr>
          <w:rFonts w:asciiTheme="minorHAnsi" w:hAnsiTheme="minorHAnsi" w:cstheme="minorHAnsi"/>
          <w:color w:val="000000" w:themeColor="text1"/>
        </w:rPr>
      </w:pPr>
      <w:r w:rsidRPr="005D3C45">
        <w:rPr>
          <w:rFonts w:asciiTheme="minorHAnsi" w:hAnsiTheme="minorHAnsi" w:cstheme="minorHAnsi"/>
          <w:color w:val="000000" w:themeColor="text1"/>
        </w:rPr>
        <w:t xml:space="preserve">To further explore this relationship and model fit, figures with the same information but by MMSE groupings are provided and reported in </w:t>
      </w:r>
      <w:hyperlink w:anchor="_Appendix_6.7a_MMSE" w:history="1">
        <w:r w:rsidRPr="005D3C45">
          <w:rPr>
            <w:rStyle w:val="Hyperlink"/>
            <w:rFonts w:asciiTheme="minorHAnsi" w:hAnsiTheme="minorHAnsi" w:cstheme="minorHAnsi"/>
            <w:color w:val="000000" w:themeColor="text1"/>
            <w:u w:val="none"/>
          </w:rPr>
          <w:t>Appendix 6.7</w:t>
        </w:r>
      </w:hyperlink>
      <w:r w:rsidRPr="005D3C45">
        <w:rPr>
          <w:rFonts w:asciiTheme="minorHAnsi" w:hAnsiTheme="minorHAnsi" w:cstheme="minorHAnsi"/>
          <w:color w:val="000000" w:themeColor="text1"/>
        </w:rPr>
        <w:t xml:space="preserve">. These figures show that for MMSE groupings, the alignment of the observed data and the model predictions improves. The jumps seen in the data in Figure 39a below, for example at an MMSE score of four, could be explained by the lack of observations with this scale score (n=1). It is acknowledged that drawing comparisons between utility scores at MMSE values with a limited number of observations (particularly those with MMSE scores below eight) may not be statistically fair or robust due to the inherent constraint of a low observation count in this dataset, as reported in </w:t>
      </w:r>
      <w:hyperlink w:anchor="_Appendix_6.7b_Number" w:history="1">
        <w:r w:rsidRPr="005D3C45">
          <w:rPr>
            <w:rStyle w:val="Hyperlink"/>
            <w:rFonts w:asciiTheme="minorHAnsi" w:hAnsiTheme="minorHAnsi" w:cstheme="minorHAnsi"/>
            <w:color w:val="000000" w:themeColor="text1"/>
            <w:u w:val="none"/>
          </w:rPr>
          <w:t>Appendix 6.7b.</w:t>
        </w:r>
      </w:hyperlink>
      <w:r w:rsidRPr="005D3C45">
        <w:rPr>
          <w:rFonts w:asciiTheme="minorHAnsi" w:hAnsiTheme="minorHAnsi" w:cstheme="minorHAnsi"/>
          <w:color w:val="000000" w:themeColor="text1"/>
        </w:rPr>
        <w:t xml:space="preserve"> </w:t>
      </w:r>
    </w:p>
    <w:p w14:paraId="4C2339CD" w14:textId="77777777" w:rsidR="005D3C45" w:rsidRDefault="005D3C45" w:rsidP="00C3362B">
      <w:pPr>
        <w:rPr>
          <w:rFonts w:asciiTheme="minorHAnsi" w:hAnsiTheme="minorHAnsi" w:cstheme="minorHAnsi"/>
          <w:b/>
          <w:bCs/>
          <w:i/>
          <w:iCs/>
        </w:rPr>
      </w:pPr>
    </w:p>
    <w:p w14:paraId="1DAC9642" w14:textId="77777777" w:rsidR="00BC7E42" w:rsidRDefault="00BC7E42" w:rsidP="00C3362B">
      <w:pPr>
        <w:rPr>
          <w:rFonts w:asciiTheme="minorHAnsi" w:hAnsiTheme="minorHAnsi" w:cstheme="minorHAnsi"/>
          <w:b/>
          <w:bCs/>
          <w:i/>
          <w:iCs/>
        </w:rPr>
      </w:pPr>
    </w:p>
    <w:p w14:paraId="6DEE7575" w14:textId="77777777" w:rsidR="00BC7E42" w:rsidRDefault="00BC7E42" w:rsidP="00C3362B">
      <w:pPr>
        <w:rPr>
          <w:rFonts w:asciiTheme="minorHAnsi" w:hAnsiTheme="minorHAnsi" w:cstheme="minorHAnsi"/>
          <w:b/>
          <w:bCs/>
          <w:i/>
          <w:iCs/>
        </w:rPr>
      </w:pPr>
    </w:p>
    <w:p w14:paraId="224FC165" w14:textId="77777777" w:rsidR="00BC7E42" w:rsidRDefault="00BC7E42" w:rsidP="00C3362B">
      <w:pPr>
        <w:rPr>
          <w:rFonts w:asciiTheme="minorHAnsi" w:hAnsiTheme="minorHAnsi" w:cstheme="minorHAnsi"/>
          <w:b/>
          <w:bCs/>
          <w:i/>
          <w:iCs/>
        </w:rPr>
      </w:pPr>
    </w:p>
    <w:p w14:paraId="677145E5" w14:textId="77777777" w:rsidR="00BC7E42" w:rsidRDefault="00BC7E42" w:rsidP="00C3362B">
      <w:pPr>
        <w:rPr>
          <w:rFonts w:asciiTheme="minorHAnsi" w:hAnsiTheme="minorHAnsi" w:cstheme="minorHAnsi"/>
          <w:b/>
          <w:bCs/>
          <w:i/>
          <w:iCs/>
        </w:rPr>
      </w:pPr>
    </w:p>
    <w:p w14:paraId="50613A55" w14:textId="77777777" w:rsidR="00BC7E42" w:rsidRDefault="00BC7E42" w:rsidP="00C3362B">
      <w:pPr>
        <w:rPr>
          <w:rFonts w:asciiTheme="minorHAnsi" w:hAnsiTheme="minorHAnsi" w:cstheme="minorHAnsi"/>
          <w:b/>
          <w:bCs/>
          <w:i/>
          <w:iCs/>
        </w:rPr>
      </w:pPr>
    </w:p>
    <w:p w14:paraId="6CD74A5F" w14:textId="77777777" w:rsidR="00BC7E42" w:rsidRDefault="00BC7E42" w:rsidP="00C3362B">
      <w:pPr>
        <w:rPr>
          <w:rFonts w:asciiTheme="minorHAnsi" w:hAnsiTheme="minorHAnsi" w:cstheme="minorHAnsi"/>
          <w:b/>
          <w:bCs/>
          <w:i/>
          <w:iCs/>
        </w:rPr>
      </w:pPr>
    </w:p>
    <w:p w14:paraId="197DFCCD" w14:textId="77777777" w:rsidR="00BC7E42" w:rsidRDefault="00BC7E42" w:rsidP="00C3362B">
      <w:pPr>
        <w:rPr>
          <w:rFonts w:asciiTheme="minorHAnsi" w:hAnsiTheme="minorHAnsi" w:cstheme="minorHAnsi"/>
          <w:b/>
          <w:bCs/>
          <w:i/>
          <w:iCs/>
        </w:rPr>
      </w:pPr>
    </w:p>
    <w:p w14:paraId="7A25B089" w14:textId="77777777" w:rsidR="00BC7E42" w:rsidRDefault="00BC7E42" w:rsidP="00C3362B">
      <w:pPr>
        <w:rPr>
          <w:rFonts w:asciiTheme="minorHAnsi" w:hAnsiTheme="minorHAnsi" w:cstheme="minorHAnsi"/>
          <w:b/>
          <w:bCs/>
          <w:i/>
          <w:iCs/>
        </w:rPr>
      </w:pPr>
    </w:p>
    <w:p w14:paraId="7B6CF7B7" w14:textId="77777777" w:rsidR="00BC7E42" w:rsidRPr="00037AD4" w:rsidRDefault="00BC7E42" w:rsidP="00C3362B">
      <w:pPr>
        <w:rPr>
          <w:rFonts w:asciiTheme="minorHAnsi" w:hAnsiTheme="minorHAnsi" w:cstheme="minorHAnsi"/>
          <w:b/>
          <w:bCs/>
          <w:i/>
          <w:iCs/>
        </w:rPr>
      </w:pPr>
    </w:p>
    <w:p w14:paraId="231D4EB9" w14:textId="77777777" w:rsidR="00B54D51" w:rsidRPr="00037AD4" w:rsidRDefault="00B54D51" w:rsidP="00C3362B">
      <w:pPr>
        <w:rPr>
          <w:rFonts w:asciiTheme="minorHAnsi" w:hAnsiTheme="minorHAnsi" w:cstheme="minorHAnsi"/>
          <w:b/>
          <w:bCs/>
          <w:i/>
          <w:iCs/>
        </w:rPr>
      </w:pPr>
      <w:r w:rsidRPr="00037AD4">
        <w:rPr>
          <w:rFonts w:asciiTheme="minorHAnsi" w:hAnsiTheme="minorHAnsi" w:cstheme="minorHAnsi"/>
          <w:b/>
          <w:bCs/>
          <w:i/>
          <w:iCs/>
        </w:rPr>
        <w:lastRenderedPageBreak/>
        <w:t xml:space="preserve">Figure 39a, mean predicted vs. mean observed EQ-5D-5L utility over MMSE </w:t>
      </w:r>
    </w:p>
    <w:p w14:paraId="3661E1DB" w14:textId="77777777" w:rsidR="00B54D51" w:rsidRPr="00037AD4" w:rsidRDefault="00B54D51" w:rsidP="00C3362B">
      <w:pPr>
        <w:rPr>
          <w:rFonts w:asciiTheme="minorHAnsi" w:hAnsiTheme="minorHAnsi" w:cstheme="minorHAnsi"/>
          <w:u w:val="single"/>
        </w:rPr>
      </w:pPr>
    </w:p>
    <w:p w14:paraId="038284AC" w14:textId="7C9CDC41" w:rsidR="00673F38" w:rsidRPr="00BC7E42" w:rsidRDefault="007D14CB" w:rsidP="00C3362B">
      <w:pPr>
        <w:rPr>
          <w:rFonts w:asciiTheme="minorHAnsi" w:hAnsiTheme="minorHAnsi" w:cstheme="minorHAnsi"/>
          <w:u w:val="single"/>
        </w:rPr>
      </w:pPr>
      <w:r w:rsidRPr="00C86EBE">
        <w:rPr>
          <w:rFonts w:cstheme="minorHAnsi"/>
          <w:noProof/>
        </w:rPr>
        <w:drawing>
          <wp:inline distT="0" distB="0" distL="0" distR="0" wp14:anchorId="6AF3DB48" wp14:editId="4139F663">
            <wp:extent cx="3921023" cy="2806995"/>
            <wp:effectExtent l="0" t="0" r="3810" b="0"/>
            <wp:docPr id="2003486405" name="Picture 2003486405" descr="A graph with lines and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graph with lines and dots&#10;&#10;Description automatically generated"/>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962792" cy="2836897"/>
                    </a:xfrm>
                    <a:prstGeom prst="rect">
                      <a:avLst/>
                    </a:prstGeom>
                  </pic:spPr>
                </pic:pic>
              </a:graphicData>
            </a:graphic>
          </wp:inline>
        </w:drawing>
      </w:r>
    </w:p>
    <w:p w14:paraId="48F7F20E" w14:textId="77777777" w:rsidR="00673F38" w:rsidRDefault="00673F38" w:rsidP="00C3362B">
      <w:pPr>
        <w:rPr>
          <w:rFonts w:asciiTheme="minorHAnsi" w:hAnsiTheme="minorHAnsi" w:cstheme="minorHAnsi"/>
          <w:b/>
          <w:bCs/>
          <w:i/>
          <w:iCs/>
        </w:rPr>
      </w:pPr>
    </w:p>
    <w:p w14:paraId="1B3D681E" w14:textId="77777777" w:rsidR="00BC7E42" w:rsidRDefault="00BC7E42" w:rsidP="00C3362B">
      <w:pPr>
        <w:rPr>
          <w:rFonts w:asciiTheme="minorHAnsi" w:hAnsiTheme="minorHAnsi" w:cstheme="minorHAnsi"/>
          <w:b/>
          <w:bCs/>
          <w:i/>
          <w:iCs/>
        </w:rPr>
      </w:pPr>
    </w:p>
    <w:p w14:paraId="4C6E155E" w14:textId="1E681D6C" w:rsidR="00B54D51" w:rsidRPr="00037AD4" w:rsidRDefault="00B54D51" w:rsidP="00C3362B">
      <w:pPr>
        <w:rPr>
          <w:rFonts w:asciiTheme="minorHAnsi" w:hAnsiTheme="minorHAnsi" w:cstheme="minorHAnsi"/>
          <w:b/>
          <w:bCs/>
          <w:i/>
          <w:iCs/>
        </w:rPr>
      </w:pPr>
      <w:r w:rsidRPr="00037AD4">
        <w:rPr>
          <w:rFonts w:asciiTheme="minorHAnsi" w:hAnsiTheme="minorHAnsi" w:cstheme="minorHAnsi"/>
          <w:b/>
          <w:bCs/>
          <w:i/>
          <w:iCs/>
        </w:rPr>
        <w:t>Figure 39b, mean predicted vs. mean observed EQ-5D-5L utility, with error/ absolute difference over MMSE</w:t>
      </w:r>
    </w:p>
    <w:p w14:paraId="3636A212" w14:textId="77777777" w:rsidR="00B54D51" w:rsidRPr="00037AD4" w:rsidRDefault="00B54D51" w:rsidP="00C3362B">
      <w:pPr>
        <w:rPr>
          <w:rFonts w:asciiTheme="minorHAnsi" w:hAnsiTheme="minorHAnsi" w:cstheme="minorHAnsi"/>
        </w:rPr>
      </w:pPr>
    </w:p>
    <w:p w14:paraId="68F46E18" w14:textId="1407ABA2" w:rsidR="00B54D51" w:rsidRPr="00037AD4" w:rsidRDefault="007D14CB" w:rsidP="00C3362B">
      <w:pPr>
        <w:rPr>
          <w:rFonts w:asciiTheme="minorHAnsi" w:hAnsiTheme="minorHAnsi" w:cstheme="minorHAnsi"/>
        </w:rPr>
      </w:pPr>
      <w:r w:rsidRPr="00C86EBE">
        <w:rPr>
          <w:rFonts w:cstheme="minorHAnsi"/>
          <w:noProof/>
        </w:rPr>
        <w:drawing>
          <wp:inline distT="0" distB="0" distL="0" distR="0" wp14:anchorId="05502BFD" wp14:editId="391B0C78">
            <wp:extent cx="3920490" cy="2830489"/>
            <wp:effectExtent l="0" t="0" r="3810" b="1905"/>
            <wp:docPr id="2101741352" name="Picture 2101741352" descr="A graph of a number of utility scor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 graph of a number of utility scores&#10;&#10;Description automatically generated with medium confidenc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960685" cy="2859509"/>
                    </a:xfrm>
                    <a:prstGeom prst="rect">
                      <a:avLst/>
                    </a:prstGeom>
                  </pic:spPr>
                </pic:pic>
              </a:graphicData>
            </a:graphic>
          </wp:inline>
        </w:drawing>
      </w:r>
    </w:p>
    <w:p w14:paraId="04307B98" w14:textId="77777777" w:rsidR="00B54D51" w:rsidRPr="00037AD4" w:rsidRDefault="00B54D51" w:rsidP="00C3362B">
      <w:pPr>
        <w:rPr>
          <w:rFonts w:asciiTheme="minorHAnsi" w:hAnsiTheme="minorHAnsi" w:cstheme="minorHAnsi"/>
        </w:rPr>
      </w:pPr>
    </w:p>
    <w:p w14:paraId="4F29A205" w14:textId="77777777" w:rsidR="00BC7E42" w:rsidRDefault="00BC7E42" w:rsidP="00C3362B">
      <w:pPr>
        <w:rPr>
          <w:rFonts w:asciiTheme="minorHAnsi" w:hAnsiTheme="minorHAnsi" w:cstheme="minorHAnsi"/>
        </w:rPr>
      </w:pPr>
    </w:p>
    <w:p w14:paraId="530226C5" w14:textId="1DCFFD00" w:rsidR="00B54D51" w:rsidRPr="005D3C45" w:rsidRDefault="00B54D51" w:rsidP="00C3362B">
      <w:pPr>
        <w:rPr>
          <w:rFonts w:asciiTheme="minorHAnsi" w:hAnsiTheme="minorHAnsi" w:cstheme="minorHAnsi"/>
          <w:color w:val="000000" w:themeColor="text1"/>
        </w:rPr>
      </w:pPr>
      <w:r w:rsidRPr="00037AD4">
        <w:rPr>
          <w:rFonts w:asciiTheme="minorHAnsi" w:hAnsiTheme="minorHAnsi" w:cstheme="minorHAnsi"/>
        </w:rPr>
        <w:t xml:space="preserve">Because the EPIC trial did not collect a measure of cognition, the mean observed versus the mean predicted EQ-5D utility scores were plotted over the scale scores for the measure of function (PSMS) (see Figures 40a and 40b below). As observed across MMSE scores, the utility distribution patterns show </w:t>
      </w:r>
      <w:r w:rsidR="005D3C45">
        <w:rPr>
          <w:rFonts w:asciiTheme="minorHAnsi" w:hAnsiTheme="minorHAnsi" w:cstheme="minorHAnsi"/>
        </w:rPr>
        <w:t>similarities</w:t>
      </w:r>
      <w:r w:rsidRPr="00037AD4">
        <w:rPr>
          <w:rFonts w:asciiTheme="minorHAnsi" w:hAnsiTheme="minorHAnsi" w:cstheme="minorHAnsi"/>
        </w:rPr>
        <w:t xml:space="preserve"> for both estimations. At lower/worse function scores, the prediction error </w:t>
      </w:r>
      <w:r w:rsidRPr="005D3C45">
        <w:rPr>
          <w:rFonts w:asciiTheme="minorHAnsi" w:hAnsiTheme="minorHAnsi" w:cstheme="minorHAnsi"/>
          <w:color w:val="000000" w:themeColor="text1"/>
        </w:rPr>
        <w:t>slightly widens compared with better functional/health states.  At the lower spectrum of PSMS scores, both the mean observed and mean predicted utility values are lower than those derived using the 2018 5L value set (</w:t>
      </w:r>
      <w:hyperlink w:anchor="FIGUREA65E" w:history="1">
        <w:r w:rsidRPr="005D3C45">
          <w:rPr>
            <w:rStyle w:val="Hyperlink"/>
            <w:rFonts w:asciiTheme="minorHAnsi" w:hAnsiTheme="minorHAnsi" w:cstheme="minorHAnsi"/>
            <w:color w:val="000000" w:themeColor="text1"/>
            <w:u w:val="none"/>
          </w:rPr>
          <w:t>see Figure A6.5e in</w:t>
        </w:r>
      </w:hyperlink>
      <w:r w:rsidRPr="005D3C45">
        <w:rPr>
          <w:rFonts w:asciiTheme="minorHAnsi" w:hAnsiTheme="minorHAnsi" w:cstheme="minorHAnsi"/>
          <w:color w:val="000000" w:themeColor="text1"/>
        </w:rPr>
        <w:t xml:space="preserve"> </w:t>
      </w:r>
      <w:hyperlink w:anchor="_Appendix_6.5_Utility" w:history="1">
        <w:r w:rsidRPr="005D3C45">
          <w:rPr>
            <w:rStyle w:val="Hyperlink"/>
            <w:rFonts w:asciiTheme="minorHAnsi" w:hAnsiTheme="minorHAnsi" w:cstheme="minorHAnsi"/>
            <w:color w:val="000000" w:themeColor="text1"/>
            <w:u w:val="none"/>
          </w:rPr>
          <w:t>Appendix 6.5</w:t>
        </w:r>
      </w:hyperlink>
      <w:r w:rsidRPr="005D3C45">
        <w:rPr>
          <w:rFonts w:asciiTheme="minorHAnsi" w:hAnsiTheme="minorHAnsi" w:cstheme="minorHAnsi"/>
          <w:color w:val="000000" w:themeColor="text1"/>
        </w:rPr>
        <w:t xml:space="preserve">). In addition, there is a marginally larger error in the predictions at this lower end. </w:t>
      </w:r>
    </w:p>
    <w:p w14:paraId="14964862" w14:textId="77777777" w:rsidR="00B54D51" w:rsidRPr="00037AD4" w:rsidRDefault="00B54D51" w:rsidP="00C3362B">
      <w:pPr>
        <w:rPr>
          <w:rFonts w:asciiTheme="minorHAnsi" w:hAnsiTheme="minorHAnsi" w:cstheme="minorHAnsi"/>
        </w:rPr>
      </w:pPr>
    </w:p>
    <w:p w14:paraId="646391E5" w14:textId="77777777" w:rsidR="00B54D51" w:rsidRPr="00037AD4" w:rsidRDefault="00B54D51" w:rsidP="00C3362B">
      <w:pPr>
        <w:rPr>
          <w:rFonts w:asciiTheme="minorHAnsi" w:hAnsiTheme="minorHAnsi" w:cstheme="minorHAnsi"/>
        </w:rPr>
      </w:pPr>
      <w:r w:rsidRPr="00037AD4">
        <w:rPr>
          <w:rFonts w:asciiTheme="minorHAnsi" w:hAnsiTheme="minorHAnsi" w:cstheme="minorHAnsi"/>
        </w:rPr>
        <w:t xml:space="preserve">Although both trials collected a measure of function, the instrument used was different. Therefore, there is no common measure to use to directly compare utility score distributions from the two trials. Therefore, the utility distributions for CDR scale stages are provided </w:t>
      </w:r>
      <w:r w:rsidRPr="005D3C45">
        <w:rPr>
          <w:rFonts w:asciiTheme="minorHAnsi" w:hAnsiTheme="minorHAnsi" w:cstheme="minorHAnsi"/>
          <w:color w:val="000000" w:themeColor="text1"/>
        </w:rPr>
        <w:t xml:space="preserve">in </w:t>
      </w:r>
      <w:hyperlink w:anchor="_Appendix_6.8_CDR" w:history="1">
        <w:r w:rsidRPr="005D3C45">
          <w:rPr>
            <w:rStyle w:val="Hyperlink"/>
            <w:rFonts w:asciiTheme="minorHAnsi" w:hAnsiTheme="minorHAnsi" w:cstheme="minorHAnsi"/>
            <w:color w:val="000000" w:themeColor="text1"/>
            <w:u w:val="none"/>
          </w:rPr>
          <w:t>Appendix 6.8</w:t>
        </w:r>
      </w:hyperlink>
      <w:r w:rsidRPr="005D3C45">
        <w:rPr>
          <w:rFonts w:asciiTheme="minorHAnsi" w:hAnsiTheme="minorHAnsi" w:cstheme="minorHAnsi"/>
          <w:color w:val="000000" w:themeColor="text1"/>
        </w:rPr>
        <w:t xml:space="preserve"> and show that model prediction error is greatest at CDR stage three, compared to the other stages </w:t>
      </w:r>
      <w:r w:rsidRPr="00037AD4">
        <w:rPr>
          <w:rFonts w:asciiTheme="minorHAnsi" w:hAnsiTheme="minorHAnsi" w:cstheme="minorHAnsi"/>
        </w:rPr>
        <w:t xml:space="preserve">– where the absolute difference is near zero. </w:t>
      </w:r>
    </w:p>
    <w:p w14:paraId="3A5E59ED" w14:textId="77777777" w:rsidR="00777D27" w:rsidRPr="00037AD4" w:rsidRDefault="00777D27" w:rsidP="00C3362B">
      <w:pPr>
        <w:rPr>
          <w:rFonts w:asciiTheme="minorHAnsi" w:hAnsiTheme="minorHAnsi" w:cstheme="minorHAnsi"/>
        </w:rPr>
      </w:pPr>
    </w:p>
    <w:p w14:paraId="009E27A2" w14:textId="77777777" w:rsidR="00B54D51" w:rsidRPr="00037AD4" w:rsidRDefault="00B54D51" w:rsidP="00C3362B">
      <w:pPr>
        <w:rPr>
          <w:rFonts w:asciiTheme="minorHAnsi" w:hAnsiTheme="minorHAnsi" w:cstheme="minorHAnsi"/>
          <w:b/>
          <w:bCs/>
          <w:i/>
          <w:iCs/>
        </w:rPr>
      </w:pPr>
      <w:r w:rsidRPr="00037AD4">
        <w:rPr>
          <w:rFonts w:asciiTheme="minorHAnsi" w:hAnsiTheme="minorHAnsi" w:cstheme="minorHAnsi"/>
          <w:b/>
          <w:bCs/>
          <w:i/>
          <w:iCs/>
        </w:rPr>
        <w:t>Figure 40a, mean predicted vs. mean observed EQ-5D-5L utility over PSMS</w:t>
      </w:r>
    </w:p>
    <w:p w14:paraId="4E631571" w14:textId="77777777" w:rsidR="00B54D51" w:rsidRPr="00037AD4" w:rsidRDefault="00B54D51" w:rsidP="00C3362B">
      <w:pPr>
        <w:rPr>
          <w:rFonts w:asciiTheme="minorHAnsi" w:hAnsiTheme="minorHAnsi" w:cstheme="minorHAnsi"/>
          <w:u w:val="single"/>
        </w:rPr>
      </w:pPr>
    </w:p>
    <w:p w14:paraId="4A3A749B" w14:textId="324338AD" w:rsidR="00B54D51" w:rsidRPr="00037AD4" w:rsidRDefault="007D14CB" w:rsidP="00C3362B">
      <w:pPr>
        <w:rPr>
          <w:rFonts w:asciiTheme="minorHAnsi" w:hAnsiTheme="minorHAnsi" w:cstheme="minorHAnsi"/>
        </w:rPr>
      </w:pPr>
      <w:r w:rsidRPr="00C86EBE">
        <w:rPr>
          <w:rFonts w:cstheme="minorHAnsi"/>
          <w:noProof/>
        </w:rPr>
        <w:drawing>
          <wp:inline distT="0" distB="0" distL="0" distR="0" wp14:anchorId="57E20D01" wp14:editId="39E3DBCC">
            <wp:extent cx="3959860" cy="2850034"/>
            <wp:effectExtent l="0" t="0" r="2540" b="0"/>
            <wp:docPr id="1818017721" name="Picture 1818017721" descr="A graph with a line and a red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graph with a line and a red line&#10;&#10;Description automatically generated"/>
                    <pic:cNvPicPr/>
                  </pic:nvPicPr>
                  <pic:blipFill>
                    <a:blip r:embed="rId83">
                      <a:extLst>
                        <a:ext uri="{28A0092B-C50C-407E-A947-70E740481C1C}">
                          <a14:useLocalDpi xmlns:a14="http://schemas.microsoft.com/office/drawing/2010/main" val="0"/>
                        </a:ext>
                      </a:extLst>
                    </a:blip>
                    <a:stretch>
                      <a:fillRect/>
                    </a:stretch>
                  </pic:blipFill>
                  <pic:spPr>
                    <a:xfrm>
                      <a:off x="0" y="0"/>
                      <a:ext cx="4002302" cy="2880581"/>
                    </a:xfrm>
                    <a:prstGeom prst="rect">
                      <a:avLst/>
                    </a:prstGeom>
                  </pic:spPr>
                </pic:pic>
              </a:graphicData>
            </a:graphic>
          </wp:inline>
        </w:drawing>
      </w:r>
    </w:p>
    <w:p w14:paraId="3F983A79" w14:textId="77777777" w:rsidR="00B54D51" w:rsidRPr="00037AD4" w:rsidRDefault="00B54D51" w:rsidP="00C3362B">
      <w:pPr>
        <w:rPr>
          <w:rFonts w:asciiTheme="minorHAnsi" w:hAnsiTheme="minorHAnsi" w:cstheme="minorHAnsi"/>
        </w:rPr>
      </w:pPr>
    </w:p>
    <w:p w14:paraId="4E07F778" w14:textId="77777777" w:rsidR="00B54D51" w:rsidRPr="00037AD4" w:rsidRDefault="00B54D51" w:rsidP="00C3362B">
      <w:pPr>
        <w:rPr>
          <w:rFonts w:asciiTheme="minorHAnsi" w:hAnsiTheme="minorHAnsi" w:cstheme="minorHAnsi"/>
          <w:b/>
          <w:bCs/>
          <w:i/>
          <w:iCs/>
        </w:rPr>
      </w:pPr>
      <w:r w:rsidRPr="00037AD4">
        <w:rPr>
          <w:rFonts w:asciiTheme="minorHAnsi" w:hAnsiTheme="minorHAnsi" w:cstheme="minorHAnsi"/>
          <w:b/>
          <w:bCs/>
          <w:i/>
          <w:iCs/>
        </w:rPr>
        <w:t>Figure 40b, mean predicted vs. mean observed EQ-5D-5L utility, with error/ absolute difference over PSMS</w:t>
      </w:r>
    </w:p>
    <w:p w14:paraId="22AD8353" w14:textId="77777777" w:rsidR="00B54D51" w:rsidRPr="00037AD4" w:rsidRDefault="00B54D51" w:rsidP="00C3362B">
      <w:pPr>
        <w:rPr>
          <w:rFonts w:asciiTheme="minorHAnsi" w:hAnsiTheme="minorHAnsi" w:cstheme="minorHAnsi"/>
        </w:rPr>
      </w:pPr>
    </w:p>
    <w:p w14:paraId="7593BAA0" w14:textId="5568ED30" w:rsidR="00B54D51" w:rsidRPr="00037AD4" w:rsidRDefault="007D14CB" w:rsidP="00C3362B">
      <w:pPr>
        <w:rPr>
          <w:rFonts w:asciiTheme="minorHAnsi" w:hAnsiTheme="minorHAnsi" w:cstheme="minorHAnsi"/>
        </w:rPr>
      </w:pPr>
      <w:r w:rsidRPr="00C86EBE">
        <w:rPr>
          <w:rFonts w:cstheme="minorHAnsi"/>
          <w:noProof/>
        </w:rPr>
        <w:drawing>
          <wp:inline distT="0" distB="0" distL="0" distR="0" wp14:anchorId="35603609" wp14:editId="387B7BF3">
            <wp:extent cx="3959860" cy="2837309"/>
            <wp:effectExtent l="0" t="0" r="2540" b="0"/>
            <wp:docPr id="1318845003" name="Picture 1318845003" descr="A graph of a person with a line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graph of a person with a line graph&#10;&#10;Description automatically generated with medium confidence"/>
                    <pic:cNvPicPr/>
                  </pic:nvPicPr>
                  <pic:blipFill>
                    <a:blip r:embed="rId84">
                      <a:extLst>
                        <a:ext uri="{28A0092B-C50C-407E-A947-70E740481C1C}">
                          <a14:useLocalDpi xmlns:a14="http://schemas.microsoft.com/office/drawing/2010/main" val="0"/>
                        </a:ext>
                      </a:extLst>
                    </a:blip>
                    <a:stretch>
                      <a:fillRect/>
                    </a:stretch>
                  </pic:blipFill>
                  <pic:spPr>
                    <a:xfrm>
                      <a:off x="0" y="0"/>
                      <a:ext cx="3986907" cy="2856689"/>
                    </a:xfrm>
                    <a:prstGeom prst="rect">
                      <a:avLst/>
                    </a:prstGeom>
                  </pic:spPr>
                </pic:pic>
              </a:graphicData>
            </a:graphic>
          </wp:inline>
        </w:drawing>
      </w:r>
    </w:p>
    <w:p w14:paraId="142D936F" w14:textId="77777777" w:rsidR="007D14CB" w:rsidRPr="00E27E15" w:rsidRDefault="007D14CB" w:rsidP="00E27E15"/>
    <w:p w14:paraId="1AB9F270" w14:textId="28D49FC5" w:rsidR="00B54D51" w:rsidRPr="00037AD4" w:rsidRDefault="00B54D51" w:rsidP="007A43F9">
      <w:pPr>
        <w:pStyle w:val="Heading4"/>
      </w:pPr>
      <w:r w:rsidRPr="00037AD4">
        <w:lastRenderedPageBreak/>
        <w:t>6.4.</w:t>
      </w:r>
      <w:r w:rsidR="00152EB4">
        <w:t>7</w:t>
      </w:r>
      <w:r w:rsidRPr="00037AD4">
        <w:t>.2 Utility distributions: EPIC</w:t>
      </w:r>
    </w:p>
    <w:p w14:paraId="6A96687C" w14:textId="77777777" w:rsidR="00B54D51" w:rsidRPr="00037AD4" w:rsidRDefault="00B54D51" w:rsidP="00C3362B">
      <w:pPr>
        <w:rPr>
          <w:rFonts w:asciiTheme="minorHAnsi" w:hAnsiTheme="minorHAnsi" w:cstheme="minorHAnsi"/>
          <w:b/>
          <w:bCs/>
          <w:u w:val="single"/>
        </w:rPr>
      </w:pPr>
    </w:p>
    <w:p w14:paraId="273346EC" w14:textId="67987D5B" w:rsidR="00B54D51" w:rsidRPr="00037AD4" w:rsidRDefault="00B54D51" w:rsidP="00C3362B">
      <w:pPr>
        <w:rPr>
          <w:rFonts w:asciiTheme="minorHAnsi" w:hAnsiTheme="minorHAnsi" w:cstheme="minorHAnsi"/>
          <w:color w:val="0D0D0D"/>
          <w:shd w:val="clear" w:color="auto" w:fill="FFFFFF"/>
        </w:rPr>
      </w:pPr>
      <w:r w:rsidRPr="00037AD4">
        <w:rPr>
          <w:rFonts w:asciiTheme="minorHAnsi" w:hAnsiTheme="minorHAnsi" w:cstheme="minorHAnsi"/>
          <w:color w:val="0D0D0D"/>
          <w:shd w:val="clear" w:color="auto" w:fill="FFFFFF"/>
        </w:rPr>
        <w:t>The following section details the EQ-5D-5L utility estimations derived from the EPIC trial data, comparing the observed data from the trial against the predicted utility scores generated through the ordered probit dimension models for the target combined utility score. As shown in Table 4</w:t>
      </w:r>
      <w:r w:rsidR="00152EB4">
        <w:rPr>
          <w:rFonts w:asciiTheme="minorHAnsi" w:hAnsiTheme="minorHAnsi" w:cstheme="minorHAnsi"/>
          <w:color w:val="0D0D0D"/>
          <w:shd w:val="clear" w:color="auto" w:fill="FFFFFF"/>
        </w:rPr>
        <w:t>2</w:t>
      </w:r>
      <w:r w:rsidRPr="00037AD4">
        <w:rPr>
          <w:rFonts w:asciiTheme="minorHAnsi" w:hAnsiTheme="minorHAnsi" w:cstheme="minorHAnsi"/>
          <w:color w:val="0D0D0D"/>
          <w:shd w:val="clear" w:color="auto" w:fill="FFFFFF"/>
        </w:rPr>
        <w:t>, there is a discrepancy between the mean observed and predicted scores, indicating a slight over-prediction when using the prediction models to generate utility scores.</w:t>
      </w:r>
    </w:p>
    <w:p w14:paraId="75349875" w14:textId="77777777" w:rsidR="00B54D51" w:rsidRPr="00037AD4" w:rsidRDefault="00B54D51" w:rsidP="00C3362B">
      <w:pPr>
        <w:rPr>
          <w:rFonts w:asciiTheme="minorHAnsi" w:hAnsiTheme="minorHAnsi" w:cstheme="minorHAnsi"/>
          <w:color w:val="FF0000"/>
        </w:rPr>
      </w:pPr>
    </w:p>
    <w:p w14:paraId="7DC9C0B4" w14:textId="15BFBA9A" w:rsidR="00B54D51" w:rsidRPr="00037AD4" w:rsidRDefault="00B54D51" w:rsidP="00C3362B">
      <w:pPr>
        <w:rPr>
          <w:rFonts w:asciiTheme="minorHAnsi" w:hAnsiTheme="minorHAnsi" w:cstheme="minorHAnsi"/>
          <w:b/>
          <w:bCs/>
          <w:i/>
          <w:iCs/>
        </w:rPr>
      </w:pPr>
      <w:r w:rsidRPr="00037AD4">
        <w:rPr>
          <w:rFonts w:asciiTheme="minorHAnsi" w:hAnsiTheme="minorHAnsi" w:cstheme="minorHAnsi"/>
          <w:b/>
          <w:bCs/>
          <w:i/>
          <w:iCs/>
        </w:rPr>
        <w:t>Table 4</w:t>
      </w:r>
      <w:r w:rsidR="00152EB4">
        <w:rPr>
          <w:rFonts w:asciiTheme="minorHAnsi" w:hAnsiTheme="minorHAnsi" w:cstheme="minorHAnsi"/>
          <w:b/>
          <w:bCs/>
          <w:i/>
          <w:iCs/>
        </w:rPr>
        <w:t>2</w:t>
      </w:r>
      <w:r w:rsidRPr="00037AD4">
        <w:rPr>
          <w:rFonts w:asciiTheme="minorHAnsi" w:hAnsiTheme="minorHAnsi" w:cstheme="minorHAnsi"/>
          <w:b/>
          <w:bCs/>
          <w:i/>
          <w:iCs/>
        </w:rPr>
        <w:t>, EPIC utility estimations</w:t>
      </w:r>
    </w:p>
    <w:p w14:paraId="3FF2B180" w14:textId="77777777" w:rsidR="00B54D51" w:rsidRPr="00037AD4" w:rsidRDefault="00B54D51" w:rsidP="00C3362B">
      <w:pPr>
        <w:rPr>
          <w:rFonts w:asciiTheme="minorHAnsi" w:hAnsiTheme="minorHAnsi" w:cstheme="minorHAnsi"/>
        </w:rPr>
      </w:pPr>
    </w:p>
    <w:tbl>
      <w:tblPr>
        <w:tblStyle w:val="TableGrid"/>
        <w:tblW w:w="0" w:type="auto"/>
        <w:tblLook w:val="04A0" w:firstRow="1" w:lastRow="0" w:firstColumn="1" w:lastColumn="0" w:noHBand="0" w:noVBand="1"/>
      </w:tblPr>
      <w:tblGrid>
        <w:gridCol w:w="1763"/>
        <w:gridCol w:w="1606"/>
        <w:gridCol w:w="1627"/>
        <w:gridCol w:w="1591"/>
        <w:gridCol w:w="1481"/>
      </w:tblGrid>
      <w:tr w:rsidR="00B54D51" w:rsidRPr="00037AD4" w14:paraId="08EFDA65" w14:textId="77777777" w:rsidTr="00F471F5">
        <w:trPr>
          <w:trHeight w:val="598"/>
        </w:trPr>
        <w:tc>
          <w:tcPr>
            <w:tcW w:w="1763" w:type="dxa"/>
            <w:shd w:val="clear" w:color="auto" w:fill="E7E6E6" w:themeFill="background2"/>
          </w:tcPr>
          <w:p w14:paraId="5C905BE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Target response</w:t>
            </w:r>
          </w:p>
        </w:tc>
        <w:tc>
          <w:tcPr>
            <w:tcW w:w="1606" w:type="dxa"/>
            <w:shd w:val="clear" w:color="auto" w:fill="E7E6E6" w:themeFill="background2"/>
          </w:tcPr>
          <w:p w14:paraId="2923B0E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N</w:t>
            </w:r>
          </w:p>
        </w:tc>
        <w:tc>
          <w:tcPr>
            <w:tcW w:w="1627" w:type="dxa"/>
            <w:shd w:val="clear" w:color="auto" w:fill="E7E6E6" w:themeFill="background2"/>
          </w:tcPr>
          <w:p w14:paraId="59462F8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Mean </w:t>
            </w:r>
          </w:p>
        </w:tc>
        <w:tc>
          <w:tcPr>
            <w:tcW w:w="1591" w:type="dxa"/>
            <w:shd w:val="clear" w:color="auto" w:fill="E7E6E6" w:themeFill="background2"/>
          </w:tcPr>
          <w:p w14:paraId="749B702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SD</w:t>
            </w:r>
          </w:p>
        </w:tc>
        <w:tc>
          <w:tcPr>
            <w:tcW w:w="1481" w:type="dxa"/>
            <w:shd w:val="clear" w:color="auto" w:fill="E7E6E6" w:themeFill="background2"/>
          </w:tcPr>
          <w:p w14:paraId="0A2A043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Min – Max </w:t>
            </w:r>
          </w:p>
        </w:tc>
      </w:tr>
      <w:tr w:rsidR="00B54D51" w:rsidRPr="00037AD4" w14:paraId="5246E1AA" w14:textId="77777777" w:rsidTr="00F471F5">
        <w:trPr>
          <w:trHeight w:val="401"/>
        </w:trPr>
        <w:tc>
          <w:tcPr>
            <w:tcW w:w="8068" w:type="dxa"/>
            <w:gridSpan w:val="5"/>
            <w:shd w:val="clear" w:color="auto" w:fill="auto"/>
          </w:tcPr>
          <w:p w14:paraId="7499FB3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Mapped from 5L to 3L value set </w:t>
            </w:r>
          </w:p>
        </w:tc>
      </w:tr>
      <w:tr w:rsidR="00B54D51" w:rsidRPr="00037AD4" w14:paraId="68ACEF2E" w14:textId="77777777" w:rsidTr="0082277A">
        <w:trPr>
          <w:trHeight w:val="411"/>
        </w:trPr>
        <w:tc>
          <w:tcPr>
            <w:tcW w:w="1763" w:type="dxa"/>
          </w:tcPr>
          <w:p w14:paraId="044C26A1" w14:textId="77777777" w:rsidR="00B54D51" w:rsidRPr="00037AD4" w:rsidRDefault="00B54D51" w:rsidP="00401C67">
            <w:pPr>
              <w:rPr>
                <w:rFonts w:asciiTheme="minorHAnsi" w:hAnsiTheme="minorHAnsi" w:cstheme="minorHAnsi"/>
                <w:highlight w:val="yellow"/>
              </w:rPr>
            </w:pPr>
            <w:r w:rsidRPr="00037AD4">
              <w:rPr>
                <w:rFonts w:asciiTheme="minorHAnsi" w:hAnsiTheme="minorHAnsi" w:cstheme="minorHAnsi"/>
              </w:rPr>
              <w:t>Observed data</w:t>
            </w:r>
          </w:p>
        </w:tc>
        <w:tc>
          <w:tcPr>
            <w:tcW w:w="1606" w:type="dxa"/>
          </w:tcPr>
          <w:p w14:paraId="7872A93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758</w:t>
            </w:r>
          </w:p>
        </w:tc>
        <w:tc>
          <w:tcPr>
            <w:tcW w:w="1627" w:type="dxa"/>
          </w:tcPr>
          <w:p w14:paraId="61D325D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0.62</w:t>
            </w:r>
          </w:p>
        </w:tc>
        <w:tc>
          <w:tcPr>
            <w:tcW w:w="1591" w:type="dxa"/>
          </w:tcPr>
          <w:p w14:paraId="7C60324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0.36</w:t>
            </w:r>
          </w:p>
        </w:tc>
        <w:tc>
          <w:tcPr>
            <w:tcW w:w="1481" w:type="dxa"/>
          </w:tcPr>
          <w:p w14:paraId="1175A0F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-0.34 – 0.99 </w:t>
            </w:r>
          </w:p>
        </w:tc>
      </w:tr>
      <w:tr w:rsidR="00B54D51" w:rsidRPr="00037AD4" w14:paraId="38084DD9" w14:textId="77777777" w:rsidTr="0082277A">
        <w:trPr>
          <w:trHeight w:val="375"/>
        </w:trPr>
        <w:tc>
          <w:tcPr>
            <w:tcW w:w="1763" w:type="dxa"/>
          </w:tcPr>
          <w:p w14:paraId="4D60B48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Predicted data</w:t>
            </w:r>
          </w:p>
        </w:tc>
        <w:tc>
          <w:tcPr>
            <w:tcW w:w="1606" w:type="dxa"/>
          </w:tcPr>
          <w:p w14:paraId="11FB038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758</w:t>
            </w:r>
          </w:p>
        </w:tc>
        <w:tc>
          <w:tcPr>
            <w:tcW w:w="1627" w:type="dxa"/>
          </w:tcPr>
          <w:p w14:paraId="65C2188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0.65</w:t>
            </w:r>
          </w:p>
        </w:tc>
        <w:tc>
          <w:tcPr>
            <w:tcW w:w="1591" w:type="dxa"/>
          </w:tcPr>
          <w:p w14:paraId="62338A0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0.15</w:t>
            </w:r>
          </w:p>
        </w:tc>
        <w:tc>
          <w:tcPr>
            <w:tcW w:w="1481" w:type="dxa"/>
          </w:tcPr>
          <w:p w14:paraId="6E43BF2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0.07 – 0.91 </w:t>
            </w:r>
          </w:p>
        </w:tc>
      </w:tr>
    </w:tbl>
    <w:p w14:paraId="319F5739" w14:textId="77777777" w:rsidR="00B54D51" w:rsidRPr="00037AD4" w:rsidRDefault="00B54D51" w:rsidP="00C3362B">
      <w:pPr>
        <w:rPr>
          <w:rFonts w:asciiTheme="minorHAnsi" w:hAnsiTheme="minorHAnsi" w:cstheme="minorHAnsi"/>
          <w:b/>
          <w:bCs/>
          <w:u w:val="single"/>
        </w:rPr>
      </w:pPr>
    </w:p>
    <w:p w14:paraId="48E1F3EF" w14:textId="77777777" w:rsidR="00B54D51" w:rsidRPr="00037AD4" w:rsidRDefault="00B54D51" w:rsidP="00C3362B">
      <w:pPr>
        <w:rPr>
          <w:rFonts w:asciiTheme="minorHAnsi" w:hAnsiTheme="minorHAnsi" w:cstheme="minorHAnsi"/>
        </w:rPr>
      </w:pPr>
      <w:r w:rsidRPr="00037AD4">
        <w:rPr>
          <w:rFonts w:asciiTheme="minorHAnsi" w:hAnsiTheme="minorHAnsi" w:cstheme="minorHAnsi"/>
        </w:rPr>
        <w:t xml:space="preserve">Figures 41a and 41b show the distribution of EQ-5D utility scores for the target combination of responses estimated via mapping to the EQ-5D-3L value set, for the observed and predicted EPIC data. The predicted data show a different distribution in comparison to the observed data. Mirroring the pattern observed with the ACTIFCARE data, utility scores from both origins do not reach full health at one. </w:t>
      </w:r>
    </w:p>
    <w:p w14:paraId="1F57E394" w14:textId="77777777" w:rsidR="00B54D51" w:rsidRPr="00037AD4" w:rsidRDefault="00B54D51" w:rsidP="00C3362B">
      <w:pPr>
        <w:rPr>
          <w:rFonts w:asciiTheme="minorHAnsi" w:hAnsiTheme="minorHAnsi" w:cstheme="minorHAnsi"/>
          <w:color w:val="FF0000"/>
          <w:u w:val="single"/>
        </w:rPr>
      </w:pPr>
    </w:p>
    <w:p w14:paraId="6B8CC65D" w14:textId="12A2C809" w:rsidR="00E27E15" w:rsidRDefault="00000000" w:rsidP="00C3362B">
      <w:pPr>
        <w:rPr>
          <w:rFonts w:asciiTheme="minorHAnsi" w:hAnsiTheme="minorHAnsi" w:cstheme="minorHAnsi"/>
        </w:rPr>
      </w:pPr>
      <w:hyperlink w:anchor="FIGA66D" w:history="1">
        <w:r w:rsidR="00B54D51" w:rsidRPr="005D3C45">
          <w:rPr>
            <w:rStyle w:val="Hyperlink"/>
            <w:rFonts w:asciiTheme="minorHAnsi" w:hAnsiTheme="minorHAnsi" w:cstheme="minorHAnsi"/>
            <w:color w:val="000000" w:themeColor="text1"/>
            <w:u w:val="none"/>
          </w:rPr>
          <w:t>Figure A6.6d</w:t>
        </w:r>
      </w:hyperlink>
      <w:r w:rsidR="00B54D51" w:rsidRPr="005D3C45">
        <w:rPr>
          <w:rFonts w:asciiTheme="minorHAnsi" w:hAnsiTheme="minorHAnsi" w:cstheme="minorHAnsi"/>
          <w:color w:val="000000" w:themeColor="text1"/>
        </w:rPr>
        <w:t xml:space="preserve"> in </w:t>
      </w:r>
      <w:hyperlink w:anchor="_Appendix_6.6_Scatterplots" w:history="1">
        <w:r w:rsidR="00B54D51" w:rsidRPr="005D3C45">
          <w:rPr>
            <w:rStyle w:val="Hyperlink"/>
            <w:rFonts w:asciiTheme="minorHAnsi" w:hAnsiTheme="minorHAnsi" w:cstheme="minorHAnsi"/>
            <w:color w:val="000000" w:themeColor="text1"/>
            <w:u w:val="none"/>
          </w:rPr>
          <w:t>Appendix 6.6</w:t>
        </w:r>
      </w:hyperlink>
      <w:r w:rsidR="00B54D51" w:rsidRPr="005D3C45">
        <w:rPr>
          <w:rFonts w:asciiTheme="minorHAnsi" w:hAnsiTheme="minorHAnsi" w:cstheme="minorHAnsi"/>
          <w:color w:val="000000" w:themeColor="text1"/>
        </w:rPr>
        <w:t xml:space="preserve"> presents a scatterplot of utility scores for the observed data and predictions, whereby a dispersion </w:t>
      </w:r>
      <w:r w:rsidR="00B54D51" w:rsidRPr="00037AD4">
        <w:rPr>
          <w:rFonts w:asciiTheme="minorHAnsi" w:hAnsiTheme="minorHAnsi" w:cstheme="minorHAnsi"/>
        </w:rPr>
        <w:t>is observed, suggesting a lack of a direct linear relationship. The spread observed indicates a higher degree of variability in how the predicted scores correspond with the observed data points. This variability could stem from several factors, including impacts of any unaccounted variables or potentially limitations of the mapping models. It is important to bear in mind that comparing real-life data with predictions is not a straightforward assessment. In addition, the interpretative scope of scatterplots in this context is somewhat limited.</w:t>
      </w:r>
    </w:p>
    <w:p w14:paraId="453E768A" w14:textId="77777777" w:rsidR="00E27E15" w:rsidRPr="00806411" w:rsidRDefault="00E27E15" w:rsidP="00C3362B">
      <w:pPr>
        <w:rPr>
          <w:rFonts w:asciiTheme="minorHAnsi" w:hAnsiTheme="minorHAnsi" w:cstheme="minorHAnsi"/>
        </w:rPr>
      </w:pPr>
    </w:p>
    <w:p w14:paraId="62C4DDCC" w14:textId="00B5B9D6" w:rsidR="00B54D51" w:rsidRPr="00037AD4" w:rsidRDefault="00830480" w:rsidP="00C3362B">
      <w:pPr>
        <w:rPr>
          <w:rFonts w:asciiTheme="minorHAnsi" w:hAnsiTheme="minorHAnsi" w:cstheme="minorHAnsi"/>
        </w:rPr>
      </w:pPr>
      <w:r w:rsidRPr="00037AD4">
        <w:rPr>
          <w:rFonts w:asciiTheme="minorHAnsi" w:hAnsiTheme="minorHAnsi" w:cstheme="minorHAnsi"/>
          <w:noProof/>
          <w:lang w:eastAsia="zh-CN"/>
        </w:rPr>
        <w:drawing>
          <wp:inline distT="0" distB="0" distL="0" distR="0" wp14:anchorId="2EDFBEB7" wp14:editId="58A4414E">
            <wp:extent cx="2714400" cy="1947600"/>
            <wp:effectExtent l="0" t="0" r="3810" b="0"/>
            <wp:docPr id="50" name="Picture 50" descr="A graph showing a number of numbers&#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Picture 50" descr="A graph showing a number of numbers&#10;&#10;Description automatically generated"/>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714400" cy="1947600"/>
                    </a:xfrm>
                    <a:prstGeom prst="rect">
                      <a:avLst/>
                    </a:prstGeom>
                  </pic:spPr>
                </pic:pic>
              </a:graphicData>
            </a:graphic>
          </wp:inline>
        </w:drawing>
      </w:r>
      <w:r w:rsidR="00B54D51" w:rsidRPr="00037AD4">
        <w:rPr>
          <w:rFonts w:asciiTheme="minorHAnsi" w:hAnsiTheme="minorHAnsi" w:cstheme="minorHAnsi"/>
        </w:rPr>
        <w:t xml:space="preserve">   </w:t>
      </w:r>
      <w:r>
        <w:rPr>
          <w:rFonts w:asciiTheme="minorHAnsi" w:hAnsiTheme="minorHAnsi" w:cstheme="minorHAnsi"/>
          <w:noProof/>
        </w:rPr>
        <w:drawing>
          <wp:inline distT="0" distB="0" distL="0" distR="0" wp14:anchorId="56A6F160" wp14:editId="5D86D747">
            <wp:extent cx="2714400" cy="1947600"/>
            <wp:effectExtent l="0" t="0" r="3810" b="0"/>
            <wp:docPr id="5" name="Picture 5" descr="A graph of a graph&#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Picture 5" descr="A graph of a graph&#10;&#10;Description automatically generated"/>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714400" cy="1947600"/>
                    </a:xfrm>
                    <a:prstGeom prst="rect">
                      <a:avLst/>
                    </a:prstGeom>
                  </pic:spPr>
                </pic:pic>
              </a:graphicData>
            </a:graphic>
          </wp:inline>
        </w:drawing>
      </w:r>
    </w:p>
    <w:p w14:paraId="7495DE82" w14:textId="0BFE9F8A" w:rsidR="00E27E15" w:rsidRDefault="00B54D51" w:rsidP="002B5972">
      <w:pPr>
        <w:rPr>
          <w:rFonts w:asciiTheme="minorHAnsi" w:hAnsiTheme="minorHAnsi" w:cstheme="minorHAnsi"/>
        </w:rPr>
      </w:pPr>
      <w:r w:rsidRPr="00037AD4">
        <w:rPr>
          <w:rFonts w:asciiTheme="minorHAnsi" w:hAnsiTheme="minorHAnsi" w:cstheme="minorHAnsi"/>
        </w:rPr>
        <w:tab/>
      </w:r>
      <w:r w:rsidRPr="00037AD4">
        <w:rPr>
          <w:rFonts w:asciiTheme="minorHAnsi" w:hAnsiTheme="minorHAnsi" w:cstheme="minorHAnsi"/>
        </w:rPr>
        <w:tab/>
      </w:r>
      <w:r w:rsidRPr="00037AD4">
        <w:rPr>
          <w:rFonts w:asciiTheme="minorHAnsi" w:hAnsiTheme="minorHAnsi" w:cstheme="minorHAnsi"/>
        </w:rPr>
        <w:tab/>
        <w:t>41A</w:t>
      </w:r>
      <w:r w:rsidRPr="00037AD4">
        <w:rPr>
          <w:rFonts w:asciiTheme="minorHAnsi" w:hAnsiTheme="minorHAnsi" w:cstheme="minorHAnsi"/>
        </w:rPr>
        <w:tab/>
      </w:r>
      <w:r w:rsidRPr="00037AD4">
        <w:rPr>
          <w:rFonts w:asciiTheme="minorHAnsi" w:hAnsiTheme="minorHAnsi" w:cstheme="minorHAnsi"/>
        </w:rPr>
        <w:tab/>
      </w:r>
      <w:r w:rsidRPr="00037AD4">
        <w:rPr>
          <w:rFonts w:asciiTheme="minorHAnsi" w:hAnsiTheme="minorHAnsi" w:cstheme="minorHAnsi"/>
        </w:rPr>
        <w:tab/>
      </w:r>
      <w:r w:rsidRPr="00037AD4">
        <w:rPr>
          <w:rFonts w:asciiTheme="minorHAnsi" w:hAnsiTheme="minorHAnsi" w:cstheme="minorHAnsi"/>
        </w:rPr>
        <w:tab/>
      </w:r>
      <w:r w:rsidRPr="00037AD4">
        <w:rPr>
          <w:rFonts w:asciiTheme="minorHAnsi" w:hAnsiTheme="minorHAnsi" w:cstheme="minorHAnsi"/>
        </w:rPr>
        <w:tab/>
      </w:r>
      <w:r w:rsidRPr="00037AD4">
        <w:rPr>
          <w:rFonts w:asciiTheme="minorHAnsi" w:hAnsiTheme="minorHAnsi" w:cstheme="minorHAnsi"/>
        </w:rPr>
        <w:tab/>
        <w:t xml:space="preserve">  41B</w:t>
      </w:r>
    </w:p>
    <w:p w14:paraId="70A5159A" w14:textId="77777777" w:rsidR="00E27E15" w:rsidRDefault="00E27E15" w:rsidP="002B5972">
      <w:pPr>
        <w:rPr>
          <w:rFonts w:asciiTheme="minorHAnsi" w:hAnsiTheme="minorHAnsi" w:cstheme="minorHAnsi"/>
        </w:rPr>
      </w:pPr>
    </w:p>
    <w:p w14:paraId="59EB6725" w14:textId="77777777" w:rsidR="00D75792" w:rsidRPr="00E27E15" w:rsidRDefault="00D75792" w:rsidP="002B5972">
      <w:pPr>
        <w:rPr>
          <w:rFonts w:asciiTheme="minorHAnsi" w:hAnsiTheme="minorHAnsi" w:cstheme="minorHAnsi"/>
        </w:rPr>
      </w:pPr>
    </w:p>
    <w:p w14:paraId="51D8A4CF" w14:textId="08565F62" w:rsidR="00B54D51" w:rsidRPr="00037AD4" w:rsidRDefault="00B54D51" w:rsidP="002B5972">
      <w:pPr>
        <w:rPr>
          <w:rFonts w:asciiTheme="minorHAnsi" w:hAnsiTheme="minorHAnsi" w:cstheme="minorHAnsi"/>
          <w:b/>
          <w:bCs/>
          <w:i/>
          <w:iCs/>
          <w:color w:val="000000" w:themeColor="text1"/>
        </w:rPr>
      </w:pPr>
      <w:r w:rsidRPr="00037AD4">
        <w:rPr>
          <w:rFonts w:asciiTheme="minorHAnsi" w:hAnsiTheme="minorHAnsi" w:cstheme="minorHAnsi"/>
          <w:b/>
          <w:bCs/>
          <w:i/>
          <w:iCs/>
          <w:color w:val="000000" w:themeColor="text1"/>
        </w:rPr>
        <w:lastRenderedPageBreak/>
        <w:t xml:space="preserve">Figure 41a, EQ-5D-5L index score distribution: actual data via target respondents   </w:t>
      </w:r>
    </w:p>
    <w:p w14:paraId="7F3778CE" w14:textId="77777777" w:rsidR="00B54D51" w:rsidRPr="00037AD4" w:rsidRDefault="00B54D51" w:rsidP="00C3362B">
      <w:pPr>
        <w:rPr>
          <w:rFonts w:asciiTheme="minorHAnsi" w:hAnsiTheme="minorHAnsi" w:cstheme="minorHAnsi"/>
          <w:b/>
          <w:bCs/>
          <w:i/>
          <w:iCs/>
        </w:rPr>
      </w:pPr>
      <w:r w:rsidRPr="00037AD4">
        <w:rPr>
          <w:rFonts w:asciiTheme="minorHAnsi" w:hAnsiTheme="minorHAnsi" w:cstheme="minorHAnsi"/>
          <w:b/>
          <w:bCs/>
          <w:i/>
          <w:iCs/>
        </w:rPr>
        <w:t xml:space="preserve">Figure 41b, EQ-5D-5L index score distribution: predicted data </w:t>
      </w:r>
    </w:p>
    <w:p w14:paraId="0E226E5A" w14:textId="77777777" w:rsidR="00B54D51" w:rsidRPr="00037AD4" w:rsidRDefault="00B54D51" w:rsidP="00C3362B">
      <w:pPr>
        <w:rPr>
          <w:rFonts w:asciiTheme="minorHAnsi" w:hAnsiTheme="minorHAnsi" w:cstheme="minorHAnsi"/>
        </w:rPr>
      </w:pPr>
    </w:p>
    <w:p w14:paraId="59F01B61" w14:textId="77777777" w:rsidR="00B54D51" w:rsidRPr="005D3C45" w:rsidRDefault="00B54D51" w:rsidP="00C3362B">
      <w:pPr>
        <w:rPr>
          <w:rFonts w:asciiTheme="minorHAnsi" w:hAnsiTheme="minorHAnsi" w:cstheme="minorHAnsi"/>
          <w:color w:val="000000" w:themeColor="text1"/>
        </w:rPr>
      </w:pPr>
      <w:r w:rsidRPr="005D3C45">
        <w:rPr>
          <w:rFonts w:asciiTheme="minorHAnsi" w:hAnsiTheme="minorHAnsi" w:cstheme="minorHAnsi"/>
          <w:color w:val="000000" w:themeColor="text1"/>
        </w:rPr>
        <w:t>Figures 42a and 42b show the mean observed and mean predicted EQ-5D utility scores across the distribution of FAST scale scores (the measure of function collected in the EPIC trial). In contrast to the distribution plots derived using the 2018 EQ-5D-5L value set (</w:t>
      </w:r>
      <w:hyperlink w:anchor="FIGUREA65i" w:history="1">
        <w:r w:rsidRPr="005D3C45">
          <w:rPr>
            <w:rStyle w:val="Hyperlink"/>
            <w:rFonts w:asciiTheme="minorHAnsi" w:hAnsiTheme="minorHAnsi" w:cstheme="minorHAnsi"/>
            <w:color w:val="000000" w:themeColor="text1"/>
            <w:u w:val="none"/>
          </w:rPr>
          <w:t>see Figure A6.5i</w:t>
        </w:r>
      </w:hyperlink>
      <w:r w:rsidRPr="005D3C45">
        <w:rPr>
          <w:rFonts w:asciiTheme="minorHAnsi" w:hAnsiTheme="minorHAnsi" w:cstheme="minorHAnsi"/>
          <w:color w:val="000000" w:themeColor="text1"/>
        </w:rPr>
        <w:t xml:space="preserve"> in </w:t>
      </w:r>
      <w:hyperlink w:anchor="_Appendix_6.5_Utility" w:history="1">
        <w:r w:rsidRPr="005D3C45">
          <w:rPr>
            <w:rStyle w:val="Hyperlink"/>
            <w:rFonts w:asciiTheme="minorHAnsi" w:hAnsiTheme="minorHAnsi" w:cstheme="minorHAnsi"/>
            <w:color w:val="000000" w:themeColor="text1"/>
            <w:u w:val="none"/>
          </w:rPr>
          <w:t>Appendix 6.5</w:t>
        </w:r>
      </w:hyperlink>
      <w:r w:rsidRPr="005D3C45">
        <w:rPr>
          <w:rFonts w:asciiTheme="minorHAnsi" w:hAnsiTheme="minorHAnsi" w:cstheme="minorHAnsi"/>
          <w:color w:val="000000" w:themeColor="text1"/>
        </w:rPr>
        <w:t xml:space="preserve">), these figures reveal a different pattern in that the mean predicted utility scores are overestimated at both extremes of the FAST scale. However, consistently the predicted utility values smooth out the variability observed in the data, and similarly the greatest convergence between mean observed and predicted utilities occurs at the FAST scale scores corresponding to mild stage dementia (i.e., stages three to five) </w:t>
      </w:r>
      <w:r w:rsidRPr="005D3C45">
        <w:rPr>
          <w:rFonts w:asciiTheme="minorHAnsi" w:hAnsiTheme="minorHAnsi" w:cstheme="minorHAnsi"/>
          <w:noProof/>
          <w:color w:val="000000" w:themeColor="text1"/>
        </w:rPr>
        <w:t>(Reisberg, 1988)</w:t>
      </w:r>
      <w:r w:rsidRPr="005D3C45">
        <w:rPr>
          <w:rFonts w:asciiTheme="minorHAnsi" w:hAnsiTheme="minorHAnsi" w:cstheme="minorHAnsi"/>
          <w:color w:val="000000" w:themeColor="text1"/>
        </w:rPr>
        <w:t xml:space="preserve">). As evidenced in the ACTIFCARE section, the prediction model's error was at its lowest between MMSE stages 10-20, potentially suggesting that the models may show optimal performance when applied in populations with mild-to-moderate stage dementia. The number of utility score estimations were highest for FAST scale scores of four and six (four, n=114; six, n=510). For FAST scores one and two, the number of observations were very low (n=2). These data have however been retained in the graphs to maintain transparency in reporting, but it is important to highlight the potential limitations associated with the statistical robustness of utility comparisons in cases with a minimal number of observations. </w:t>
      </w:r>
    </w:p>
    <w:p w14:paraId="6B574A47" w14:textId="77777777" w:rsidR="00B54D51" w:rsidRPr="005D3C45" w:rsidRDefault="00B54D51" w:rsidP="00C3362B">
      <w:pPr>
        <w:rPr>
          <w:rFonts w:asciiTheme="minorHAnsi" w:hAnsiTheme="minorHAnsi" w:cstheme="minorHAnsi"/>
          <w:color w:val="000000" w:themeColor="text1"/>
        </w:rPr>
      </w:pPr>
    </w:p>
    <w:p w14:paraId="0EC9712B" w14:textId="77777777" w:rsidR="00B54D51" w:rsidRPr="00037AD4" w:rsidRDefault="00B54D51" w:rsidP="00C3362B">
      <w:pPr>
        <w:rPr>
          <w:rFonts w:asciiTheme="minorHAnsi" w:hAnsiTheme="minorHAnsi" w:cstheme="minorHAnsi"/>
        </w:rPr>
      </w:pPr>
      <w:r w:rsidRPr="005D3C45">
        <w:rPr>
          <w:rFonts w:asciiTheme="minorHAnsi" w:hAnsiTheme="minorHAnsi" w:cstheme="minorHAnsi"/>
          <w:color w:val="000000" w:themeColor="text1"/>
        </w:rPr>
        <w:t xml:space="preserve">The mean utility scores for the CDR stages (presented in </w:t>
      </w:r>
      <w:hyperlink w:anchor="_Appendix_6.8_CDR" w:history="1">
        <w:r w:rsidRPr="005D3C45">
          <w:rPr>
            <w:rStyle w:val="Hyperlink"/>
            <w:rFonts w:asciiTheme="minorHAnsi" w:hAnsiTheme="minorHAnsi" w:cstheme="minorHAnsi"/>
            <w:color w:val="000000" w:themeColor="text1"/>
            <w:u w:val="none"/>
          </w:rPr>
          <w:t>Appendix 6.8</w:t>
        </w:r>
      </w:hyperlink>
      <w:r w:rsidRPr="005D3C45">
        <w:rPr>
          <w:rFonts w:asciiTheme="minorHAnsi" w:hAnsiTheme="minorHAnsi" w:cstheme="minorHAnsi"/>
          <w:color w:val="000000" w:themeColor="text1"/>
        </w:rPr>
        <w:t xml:space="preserve"> (</w:t>
      </w:r>
      <w:hyperlink w:anchor="FIGUREA68D" w:history="1">
        <w:r w:rsidRPr="005D3C45">
          <w:rPr>
            <w:rStyle w:val="Hyperlink"/>
            <w:rFonts w:asciiTheme="minorHAnsi" w:hAnsiTheme="minorHAnsi" w:cstheme="minorHAnsi"/>
            <w:color w:val="000000" w:themeColor="text1"/>
            <w:u w:val="none"/>
          </w:rPr>
          <w:t>Figure A6.8d))</w:t>
        </w:r>
      </w:hyperlink>
      <w:r w:rsidRPr="005D3C45">
        <w:rPr>
          <w:rFonts w:asciiTheme="minorHAnsi" w:hAnsiTheme="minorHAnsi" w:cstheme="minorHAnsi"/>
          <w:color w:val="000000" w:themeColor="text1"/>
        </w:rPr>
        <w:t xml:space="preserve"> </w:t>
      </w:r>
      <w:r w:rsidRPr="00037AD4">
        <w:rPr>
          <w:rFonts w:asciiTheme="minorHAnsi" w:hAnsiTheme="minorHAnsi" w:cstheme="minorHAnsi"/>
        </w:rPr>
        <w:t>showed that mean scores mainly diverged at CDR stage three.</w:t>
      </w:r>
      <w:r w:rsidRPr="00037AD4">
        <w:rPr>
          <w:rFonts w:asciiTheme="minorHAnsi" w:hAnsiTheme="minorHAnsi" w:cstheme="minorHAnsi"/>
          <w:b/>
          <w:bCs/>
          <w:color w:val="FF0000"/>
        </w:rPr>
        <w:t xml:space="preserve"> </w:t>
      </w:r>
      <w:r w:rsidRPr="00037AD4">
        <w:rPr>
          <w:rFonts w:asciiTheme="minorHAnsi" w:hAnsiTheme="minorHAnsi" w:cstheme="minorHAnsi"/>
        </w:rPr>
        <w:t>This graph therefore closely resembles the ACTIFCARE data.</w:t>
      </w:r>
    </w:p>
    <w:p w14:paraId="65D68C98" w14:textId="77777777" w:rsidR="00E27E15" w:rsidRPr="00037AD4" w:rsidRDefault="00E27E15" w:rsidP="00C3362B">
      <w:pPr>
        <w:rPr>
          <w:rFonts w:asciiTheme="minorHAnsi" w:hAnsiTheme="minorHAnsi" w:cstheme="minorHAnsi"/>
          <w:b/>
          <w:bCs/>
          <w:color w:val="FF0000"/>
        </w:rPr>
      </w:pPr>
    </w:p>
    <w:p w14:paraId="174D2A4B" w14:textId="77777777" w:rsidR="00B54D51" w:rsidRPr="00037AD4" w:rsidRDefault="00B54D51" w:rsidP="00C3362B">
      <w:pPr>
        <w:rPr>
          <w:rFonts w:asciiTheme="minorHAnsi" w:hAnsiTheme="minorHAnsi" w:cstheme="minorHAnsi"/>
          <w:b/>
          <w:bCs/>
          <w:i/>
          <w:iCs/>
          <w:color w:val="FF0000"/>
        </w:rPr>
      </w:pPr>
      <w:r w:rsidRPr="00037AD4">
        <w:rPr>
          <w:rFonts w:asciiTheme="minorHAnsi" w:hAnsiTheme="minorHAnsi" w:cstheme="minorHAnsi"/>
          <w:b/>
          <w:bCs/>
          <w:i/>
          <w:iCs/>
          <w:color w:val="000000" w:themeColor="text1"/>
        </w:rPr>
        <w:t xml:space="preserve">Figure 42a, mean predicted vs. mean observed EQ-5D-5L utility over FAST </w:t>
      </w:r>
    </w:p>
    <w:p w14:paraId="065C46BB" w14:textId="77777777" w:rsidR="00B54D51" w:rsidRPr="00037AD4" w:rsidRDefault="00B54D51" w:rsidP="00C3362B">
      <w:pPr>
        <w:rPr>
          <w:rFonts w:asciiTheme="minorHAnsi" w:hAnsiTheme="minorHAnsi" w:cstheme="minorHAnsi"/>
          <w:u w:val="single"/>
        </w:rPr>
      </w:pPr>
    </w:p>
    <w:p w14:paraId="1D12325A" w14:textId="0A7BF525" w:rsidR="00B54D51" w:rsidRPr="00037AD4" w:rsidRDefault="007D14CB" w:rsidP="00C3362B">
      <w:pPr>
        <w:rPr>
          <w:rFonts w:asciiTheme="minorHAnsi" w:hAnsiTheme="minorHAnsi" w:cstheme="minorHAnsi"/>
          <w:u w:val="single"/>
        </w:rPr>
      </w:pPr>
      <w:r>
        <w:rPr>
          <w:noProof/>
        </w:rPr>
        <w:drawing>
          <wp:inline distT="0" distB="0" distL="0" distR="0" wp14:anchorId="50783594" wp14:editId="52E88F14">
            <wp:extent cx="4019107" cy="2803935"/>
            <wp:effectExtent l="0" t="0" r="0" b="3175"/>
            <wp:docPr id="901513423" name="Picture 2" descr="A graph with red and blue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513423" name="Picture 2" descr="A graph with red and blue lines&#10;&#10;Description automatically generated"/>
                    <pic:cNvPicPr/>
                  </pic:nvPicPr>
                  <pic:blipFill>
                    <a:blip r:embed="rId87" cstate="print">
                      <a:extLst>
                        <a:ext uri="{28A0092B-C50C-407E-A947-70E740481C1C}">
                          <a14:useLocalDpi xmlns:a14="http://schemas.microsoft.com/office/drawing/2010/main" val="0"/>
                        </a:ext>
                      </a:extLst>
                    </a:blip>
                    <a:stretch>
                      <a:fillRect/>
                    </a:stretch>
                  </pic:blipFill>
                  <pic:spPr>
                    <a:xfrm>
                      <a:off x="0" y="0"/>
                      <a:ext cx="4040357" cy="2818760"/>
                    </a:xfrm>
                    <a:prstGeom prst="rect">
                      <a:avLst/>
                    </a:prstGeom>
                  </pic:spPr>
                </pic:pic>
              </a:graphicData>
            </a:graphic>
          </wp:inline>
        </w:drawing>
      </w:r>
    </w:p>
    <w:p w14:paraId="1B98A2A7" w14:textId="77777777" w:rsidR="00E27E15" w:rsidRDefault="00E27E15" w:rsidP="00C3362B">
      <w:pPr>
        <w:rPr>
          <w:rFonts w:asciiTheme="minorHAnsi" w:hAnsiTheme="minorHAnsi" w:cstheme="minorHAnsi"/>
          <w:b/>
          <w:bCs/>
          <w:i/>
          <w:iCs/>
          <w:color w:val="000000" w:themeColor="text1"/>
        </w:rPr>
      </w:pPr>
    </w:p>
    <w:p w14:paraId="0E19DEB0" w14:textId="77777777" w:rsidR="00777D27" w:rsidRDefault="00777D27" w:rsidP="00C3362B">
      <w:pPr>
        <w:rPr>
          <w:rFonts w:asciiTheme="minorHAnsi" w:hAnsiTheme="minorHAnsi" w:cstheme="minorHAnsi"/>
          <w:b/>
          <w:bCs/>
          <w:i/>
          <w:iCs/>
          <w:color w:val="000000" w:themeColor="text1"/>
        </w:rPr>
      </w:pPr>
    </w:p>
    <w:p w14:paraId="3380546C" w14:textId="77777777" w:rsidR="00777D27" w:rsidRDefault="00777D27" w:rsidP="00C3362B">
      <w:pPr>
        <w:rPr>
          <w:rFonts w:asciiTheme="minorHAnsi" w:hAnsiTheme="minorHAnsi" w:cstheme="minorHAnsi"/>
          <w:b/>
          <w:bCs/>
          <w:i/>
          <w:iCs/>
          <w:color w:val="000000" w:themeColor="text1"/>
        </w:rPr>
      </w:pPr>
    </w:p>
    <w:p w14:paraId="3189D4F8" w14:textId="77777777" w:rsidR="00A7396A" w:rsidRDefault="00A7396A" w:rsidP="00C3362B">
      <w:pPr>
        <w:rPr>
          <w:rFonts w:asciiTheme="minorHAnsi" w:hAnsiTheme="minorHAnsi" w:cstheme="minorHAnsi"/>
          <w:b/>
          <w:bCs/>
          <w:i/>
          <w:iCs/>
          <w:color w:val="000000" w:themeColor="text1"/>
        </w:rPr>
      </w:pPr>
    </w:p>
    <w:p w14:paraId="1A8D480C" w14:textId="77777777" w:rsidR="00777D27" w:rsidRDefault="00777D27" w:rsidP="00C3362B">
      <w:pPr>
        <w:rPr>
          <w:rFonts w:asciiTheme="minorHAnsi" w:hAnsiTheme="minorHAnsi" w:cstheme="minorHAnsi"/>
          <w:b/>
          <w:bCs/>
          <w:i/>
          <w:iCs/>
          <w:color w:val="000000" w:themeColor="text1"/>
        </w:rPr>
      </w:pPr>
    </w:p>
    <w:p w14:paraId="68AD675A" w14:textId="5D3377F1" w:rsidR="00B54D51" w:rsidRPr="00037AD4" w:rsidRDefault="00B54D51" w:rsidP="00C3362B">
      <w:pPr>
        <w:rPr>
          <w:rFonts w:asciiTheme="minorHAnsi" w:hAnsiTheme="minorHAnsi" w:cstheme="minorHAnsi"/>
          <w:b/>
          <w:bCs/>
          <w:i/>
          <w:iCs/>
          <w:color w:val="000000" w:themeColor="text1"/>
        </w:rPr>
      </w:pPr>
      <w:r w:rsidRPr="00037AD4">
        <w:rPr>
          <w:rFonts w:asciiTheme="minorHAnsi" w:hAnsiTheme="minorHAnsi" w:cstheme="minorHAnsi"/>
          <w:b/>
          <w:bCs/>
          <w:i/>
          <w:iCs/>
          <w:color w:val="000000" w:themeColor="text1"/>
        </w:rPr>
        <w:lastRenderedPageBreak/>
        <w:t xml:space="preserve">Figure 42b, mean predicted vs. mean observed EQ-5D-5L utility, with error/ absolute difference over FAST </w:t>
      </w:r>
    </w:p>
    <w:p w14:paraId="5F62C641" w14:textId="77777777" w:rsidR="00B54D51" w:rsidRPr="00037AD4" w:rsidRDefault="00B54D51" w:rsidP="00C3362B">
      <w:pPr>
        <w:rPr>
          <w:rFonts w:asciiTheme="minorHAnsi" w:hAnsiTheme="minorHAnsi" w:cstheme="minorHAnsi"/>
          <w:u w:val="single"/>
        </w:rPr>
      </w:pPr>
    </w:p>
    <w:p w14:paraId="6B5C8E4B" w14:textId="05966578" w:rsidR="00B54D51" w:rsidRPr="00037AD4" w:rsidRDefault="007D14CB" w:rsidP="00C3362B">
      <w:pPr>
        <w:rPr>
          <w:rFonts w:asciiTheme="minorHAnsi" w:hAnsiTheme="minorHAnsi" w:cstheme="minorHAnsi"/>
        </w:rPr>
      </w:pPr>
      <w:r w:rsidRPr="00C86EBE">
        <w:rPr>
          <w:rFonts w:cstheme="minorHAnsi"/>
          <w:noProof/>
        </w:rPr>
        <w:drawing>
          <wp:inline distT="0" distB="0" distL="0" distR="0" wp14:anchorId="75BF5F2B" wp14:editId="10FD05B1">
            <wp:extent cx="3954780" cy="2857706"/>
            <wp:effectExtent l="0" t="0" r="0" b="0"/>
            <wp:docPr id="754685453" name="Picture 754685453" descr="A graph of two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A graph of two people&#10;&#10;Description automatically generated with medium confidence"/>
                    <pic:cNvPicPr/>
                  </pic:nvPicPr>
                  <pic:blipFill>
                    <a:blip r:embed="rId88">
                      <a:extLst>
                        <a:ext uri="{28A0092B-C50C-407E-A947-70E740481C1C}">
                          <a14:useLocalDpi xmlns:a14="http://schemas.microsoft.com/office/drawing/2010/main" val="0"/>
                        </a:ext>
                      </a:extLst>
                    </a:blip>
                    <a:stretch>
                      <a:fillRect/>
                    </a:stretch>
                  </pic:blipFill>
                  <pic:spPr>
                    <a:xfrm>
                      <a:off x="0" y="0"/>
                      <a:ext cx="3991134" cy="2883975"/>
                    </a:xfrm>
                    <a:prstGeom prst="rect">
                      <a:avLst/>
                    </a:prstGeom>
                  </pic:spPr>
                </pic:pic>
              </a:graphicData>
            </a:graphic>
          </wp:inline>
        </w:drawing>
      </w:r>
    </w:p>
    <w:p w14:paraId="72CE2A23" w14:textId="77777777" w:rsidR="00B54D51" w:rsidRPr="00037AD4" w:rsidRDefault="00B54D51" w:rsidP="00781965">
      <w:pPr>
        <w:rPr>
          <w:rFonts w:asciiTheme="minorHAnsi" w:hAnsiTheme="minorHAnsi" w:cstheme="minorHAnsi"/>
          <w:b/>
          <w:bCs/>
          <w:sz w:val="26"/>
          <w:szCs w:val="26"/>
          <w:u w:val="single"/>
        </w:rPr>
      </w:pPr>
    </w:p>
    <w:p w14:paraId="37F156E2" w14:textId="77777777" w:rsidR="00A7396A" w:rsidRDefault="00A7396A" w:rsidP="007A43F9">
      <w:pPr>
        <w:pStyle w:val="Heading2"/>
      </w:pPr>
    </w:p>
    <w:p w14:paraId="29A4DA62" w14:textId="77777777" w:rsidR="00A7396A" w:rsidRDefault="00A7396A" w:rsidP="007A43F9">
      <w:pPr>
        <w:pStyle w:val="Heading2"/>
      </w:pPr>
    </w:p>
    <w:p w14:paraId="519B53BB" w14:textId="77777777" w:rsidR="00A7396A" w:rsidRDefault="00A7396A" w:rsidP="007A43F9">
      <w:pPr>
        <w:pStyle w:val="Heading2"/>
      </w:pPr>
    </w:p>
    <w:p w14:paraId="5288F80C" w14:textId="77777777" w:rsidR="00A7396A" w:rsidRDefault="00A7396A" w:rsidP="00A7396A"/>
    <w:p w14:paraId="13DAF79A" w14:textId="77777777" w:rsidR="00A7396A" w:rsidRDefault="00A7396A" w:rsidP="00A7396A"/>
    <w:p w14:paraId="525153D9" w14:textId="77777777" w:rsidR="00A7396A" w:rsidRDefault="00A7396A" w:rsidP="00A7396A"/>
    <w:p w14:paraId="52DBC4F2" w14:textId="77777777" w:rsidR="00A7396A" w:rsidRDefault="00A7396A" w:rsidP="00A7396A"/>
    <w:p w14:paraId="500BF0BC" w14:textId="77777777" w:rsidR="00A7396A" w:rsidRDefault="00A7396A" w:rsidP="00A7396A"/>
    <w:p w14:paraId="4905330B" w14:textId="77777777" w:rsidR="00A7396A" w:rsidRDefault="00A7396A" w:rsidP="00A7396A"/>
    <w:p w14:paraId="4E381ABA" w14:textId="77777777" w:rsidR="00A7396A" w:rsidRDefault="00A7396A" w:rsidP="00A7396A"/>
    <w:p w14:paraId="3E03FF2E" w14:textId="77777777" w:rsidR="00A7396A" w:rsidRDefault="00A7396A" w:rsidP="00A7396A"/>
    <w:p w14:paraId="464C9FDC" w14:textId="77777777" w:rsidR="00A7396A" w:rsidRDefault="00A7396A" w:rsidP="00A7396A"/>
    <w:p w14:paraId="2A782480" w14:textId="77777777" w:rsidR="00A7396A" w:rsidRDefault="00A7396A" w:rsidP="00A7396A"/>
    <w:p w14:paraId="198538F1" w14:textId="77777777" w:rsidR="00A7396A" w:rsidRDefault="00A7396A" w:rsidP="00A7396A"/>
    <w:p w14:paraId="681F736F" w14:textId="77777777" w:rsidR="00A7396A" w:rsidRDefault="00A7396A" w:rsidP="00A7396A"/>
    <w:p w14:paraId="1FDCB97A" w14:textId="77777777" w:rsidR="00A7396A" w:rsidRDefault="00A7396A" w:rsidP="00A7396A"/>
    <w:p w14:paraId="110EF713" w14:textId="77777777" w:rsidR="00A7396A" w:rsidRDefault="00A7396A" w:rsidP="00A7396A"/>
    <w:p w14:paraId="79731C98" w14:textId="77777777" w:rsidR="00A7396A" w:rsidRDefault="00A7396A" w:rsidP="00A7396A"/>
    <w:p w14:paraId="0328F72C" w14:textId="77777777" w:rsidR="00A7396A" w:rsidRDefault="00A7396A" w:rsidP="00A7396A"/>
    <w:p w14:paraId="51F580F6" w14:textId="77777777" w:rsidR="00A7396A" w:rsidRDefault="00A7396A" w:rsidP="00A7396A"/>
    <w:p w14:paraId="7855E97D" w14:textId="77777777" w:rsidR="00A7396A" w:rsidRDefault="00A7396A" w:rsidP="00A7396A"/>
    <w:p w14:paraId="6AFD37BF" w14:textId="77777777" w:rsidR="00A7396A" w:rsidRDefault="00A7396A" w:rsidP="00A7396A"/>
    <w:p w14:paraId="1E50B255" w14:textId="77777777" w:rsidR="00A7396A" w:rsidRPr="00A7396A" w:rsidRDefault="00A7396A" w:rsidP="00A7396A"/>
    <w:p w14:paraId="732BB10E" w14:textId="77777777" w:rsidR="00A7396A" w:rsidRDefault="00A7396A" w:rsidP="007A43F9">
      <w:pPr>
        <w:pStyle w:val="Heading2"/>
      </w:pPr>
    </w:p>
    <w:p w14:paraId="015FB46E" w14:textId="77777777" w:rsidR="00A7396A" w:rsidRDefault="00A7396A" w:rsidP="007A43F9">
      <w:pPr>
        <w:pStyle w:val="Heading2"/>
      </w:pPr>
    </w:p>
    <w:p w14:paraId="5E63638F" w14:textId="77777777" w:rsidR="00A7396A" w:rsidRPr="00A7396A" w:rsidRDefault="00A7396A" w:rsidP="00A7396A"/>
    <w:p w14:paraId="6A33748D" w14:textId="6D521796" w:rsidR="00B54D51" w:rsidRPr="00037AD4" w:rsidRDefault="00B54D51" w:rsidP="007A43F9">
      <w:pPr>
        <w:pStyle w:val="Heading2"/>
      </w:pPr>
      <w:bookmarkStart w:id="408" w:name="_Toc175742362"/>
      <w:r w:rsidRPr="00037AD4">
        <w:lastRenderedPageBreak/>
        <w:t>6.5 Discussion</w:t>
      </w:r>
      <w:bookmarkEnd w:id="408"/>
      <w:r w:rsidRPr="00037AD4">
        <w:t xml:space="preserve"> </w:t>
      </w:r>
    </w:p>
    <w:p w14:paraId="530B3E88" w14:textId="77777777" w:rsidR="00B54D51" w:rsidRPr="00037AD4" w:rsidRDefault="00B54D51" w:rsidP="00781965">
      <w:pPr>
        <w:rPr>
          <w:rFonts w:asciiTheme="minorHAnsi" w:hAnsiTheme="minorHAnsi" w:cstheme="minorHAnsi"/>
          <w:b/>
          <w:bCs/>
          <w:sz w:val="26"/>
          <w:szCs w:val="26"/>
          <w:u w:val="single"/>
        </w:rPr>
      </w:pPr>
    </w:p>
    <w:p w14:paraId="656A0368" w14:textId="2D4A8CDB" w:rsidR="005D3C45" w:rsidRPr="005D3C45" w:rsidRDefault="00B54D51" w:rsidP="00C85A10">
      <w:pPr>
        <w:rPr>
          <w:rFonts w:asciiTheme="minorHAnsi" w:hAnsiTheme="minorHAnsi" w:cstheme="minorHAnsi"/>
          <w:color w:val="000000" w:themeColor="text1"/>
        </w:rPr>
      </w:pPr>
      <w:r w:rsidRPr="005D3C45">
        <w:rPr>
          <w:rFonts w:asciiTheme="minorHAnsi" w:hAnsiTheme="minorHAnsi" w:cstheme="minorHAnsi"/>
          <w:color w:val="000000" w:themeColor="text1"/>
        </w:rPr>
        <w:t>In this chapter, a series of ordered probit mapping models have been developed and applied to derive EQ-5D-5L utility estimates for the target combination of responses by dimension (</w:t>
      </w:r>
      <w:hyperlink w:anchor="table33" w:history="1">
        <w:r w:rsidRPr="005D3C45">
          <w:rPr>
            <w:rStyle w:val="Hyperlink"/>
            <w:rFonts w:asciiTheme="minorHAnsi" w:hAnsiTheme="minorHAnsi" w:cstheme="minorHAnsi"/>
            <w:color w:val="000000" w:themeColor="text1"/>
            <w:u w:val="none"/>
          </w:rPr>
          <w:t>as presented in Chapter 5</w:t>
        </w:r>
      </w:hyperlink>
      <w:r w:rsidRPr="005D3C45">
        <w:rPr>
          <w:rFonts w:asciiTheme="minorHAnsi" w:hAnsiTheme="minorHAnsi" w:cstheme="minorHAnsi"/>
          <w:color w:val="000000" w:themeColor="text1"/>
        </w:rPr>
        <w:t>) – using data from the ACTIFCARE and EPIC trials. The overall goal was that in the absence of either member of the PwD-proxy dyad, the target combination of EQ-5D-5L dimensions may still be achieved by analysts. The results provide insights into combining EQ-5D-5L responses from people with dementia and proxies, which may have implications for future research and economic evaluations for dementia interventions. A table is provided below (Table 4</w:t>
      </w:r>
      <w:r w:rsidR="00152EB4">
        <w:rPr>
          <w:rFonts w:asciiTheme="minorHAnsi" w:hAnsiTheme="minorHAnsi" w:cstheme="minorHAnsi"/>
          <w:color w:val="000000" w:themeColor="text1"/>
        </w:rPr>
        <w:t>3</w:t>
      </w:r>
      <w:r w:rsidRPr="005D3C45">
        <w:rPr>
          <w:rFonts w:asciiTheme="minorHAnsi" w:hAnsiTheme="minorHAnsi" w:cstheme="minorHAnsi"/>
          <w:color w:val="000000" w:themeColor="text1"/>
        </w:rPr>
        <w:t xml:space="preserve">) summarising the empirical findings of this chapter, as well as a general summary Table in </w:t>
      </w:r>
      <w:hyperlink w:anchor="A68" w:history="1">
        <w:r w:rsidRPr="005D3C45">
          <w:rPr>
            <w:rStyle w:val="Hyperlink"/>
            <w:rFonts w:asciiTheme="minorHAnsi" w:hAnsiTheme="minorHAnsi" w:cstheme="minorHAnsi"/>
            <w:color w:val="000000" w:themeColor="text1"/>
            <w:u w:val="none"/>
          </w:rPr>
          <w:t>Appendix 6.9.</w:t>
        </w:r>
      </w:hyperlink>
      <w:r w:rsidRPr="005D3C45">
        <w:rPr>
          <w:rFonts w:asciiTheme="minorHAnsi" w:hAnsiTheme="minorHAnsi" w:cstheme="minorHAnsi"/>
          <w:color w:val="000000" w:themeColor="text1"/>
        </w:rPr>
        <w:t xml:space="preserve"> </w:t>
      </w:r>
    </w:p>
    <w:p w14:paraId="36A9D390" w14:textId="77777777" w:rsidR="005D3C45" w:rsidRPr="00037AD4" w:rsidRDefault="005D3C45" w:rsidP="00C85A10">
      <w:pPr>
        <w:rPr>
          <w:rFonts w:asciiTheme="minorHAnsi" w:hAnsiTheme="minorHAnsi" w:cstheme="minorHAnsi"/>
        </w:rPr>
      </w:pPr>
    </w:p>
    <w:p w14:paraId="2FCC519C" w14:textId="4BEB48E7" w:rsidR="00B54D51" w:rsidRDefault="00B54D51" w:rsidP="00C85A10">
      <w:pPr>
        <w:rPr>
          <w:rFonts w:asciiTheme="minorHAnsi" w:hAnsiTheme="minorHAnsi" w:cstheme="minorHAnsi"/>
          <w:b/>
          <w:bCs/>
          <w:i/>
          <w:iCs/>
        </w:rPr>
      </w:pPr>
      <w:r w:rsidRPr="00037AD4">
        <w:rPr>
          <w:rFonts w:asciiTheme="minorHAnsi" w:hAnsiTheme="minorHAnsi" w:cstheme="minorHAnsi"/>
          <w:b/>
          <w:bCs/>
          <w:i/>
          <w:iCs/>
        </w:rPr>
        <w:t>Table 4</w:t>
      </w:r>
      <w:r w:rsidR="00152EB4">
        <w:rPr>
          <w:rFonts w:asciiTheme="minorHAnsi" w:hAnsiTheme="minorHAnsi" w:cstheme="minorHAnsi"/>
          <w:b/>
          <w:bCs/>
          <w:i/>
          <w:iCs/>
        </w:rPr>
        <w:t>3</w:t>
      </w:r>
      <w:r w:rsidRPr="00037AD4">
        <w:rPr>
          <w:rFonts w:asciiTheme="minorHAnsi" w:hAnsiTheme="minorHAnsi" w:cstheme="minorHAnsi"/>
          <w:b/>
          <w:bCs/>
          <w:i/>
          <w:iCs/>
        </w:rPr>
        <w:t xml:space="preserve">, Summary of mapping analyses </w:t>
      </w:r>
    </w:p>
    <w:p w14:paraId="6BE71F08" w14:textId="77777777" w:rsidR="00830480" w:rsidRPr="00037AD4" w:rsidRDefault="00830480" w:rsidP="00C85A10">
      <w:pPr>
        <w:rPr>
          <w:rFonts w:asciiTheme="minorHAnsi" w:hAnsiTheme="minorHAnsi" w:cstheme="minorHAnsi"/>
          <w:b/>
          <w:bCs/>
          <w:i/>
          <w:iCs/>
        </w:rPr>
      </w:pPr>
    </w:p>
    <w:tbl>
      <w:tblPr>
        <w:tblStyle w:val="TableGrid"/>
        <w:tblW w:w="0" w:type="auto"/>
        <w:tblLook w:val="04A0" w:firstRow="1" w:lastRow="0" w:firstColumn="1" w:lastColumn="0" w:noHBand="0" w:noVBand="1"/>
      </w:tblPr>
      <w:tblGrid>
        <w:gridCol w:w="3005"/>
        <w:gridCol w:w="3005"/>
        <w:gridCol w:w="3006"/>
      </w:tblGrid>
      <w:tr w:rsidR="00B54D51" w:rsidRPr="00037AD4" w14:paraId="079E137C" w14:textId="77777777" w:rsidTr="000D4FB0">
        <w:tc>
          <w:tcPr>
            <w:tcW w:w="3005" w:type="dxa"/>
            <w:tcBorders>
              <w:top w:val="nil"/>
              <w:left w:val="nil"/>
            </w:tcBorders>
          </w:tcPr>
          <w:p w14:paraId="4C63A56A" w14:textId="77777777" w:rsidR="00B54D51" w:rsidRPr="00037AD4" w:rsidRDefault="00B54D51" w:rsidP="000D4FB0">
            <w:pPr>
              <w:rPr>
                <w:rFonts w:asciiTheme="minorHAnsi" w:hAnsiTheme="minorHAnsi" w:cstheme="minorHAnsi"/>
                <w:sz w:val="23"/>
                <w:szCs w:val="23"/>
              </w:rPr>
            </w:pPr>
          </w:p>
        </w:tc>
        <w:tc>
          <w:tcPr>
            <w:tcW w:w="3005" w:type="dxa"/>
          </w:tcPr>
          <w:p w14:paraId="25CDA1E2" w14:textId="77777777" w:rsidR="00B54D51" w:rsidRPr="00037AD4" w:rsidRDefault="00B54D51" w:rsidP="000D4FB0">
            <w:pPr>
              <w:jc w:val="center"/>
              <w:rPr>
                <w:rFonts w:asciiTheme="minorHAnsi" w:hAnsiTheme="minorHAnsi" w:cstheme="minorHAnsi"/>
                <w:b/>
                <w:bCs/>
                <w:sz w:val="23"/>
                <w:szCs w:val="23"/>
              </w:rPr>
            </w:pPr>
            <w:r w:rsidRPr="00037AD4">
              <w:rPr>
                <w:rFonts w:asciiTheme="minorHAnsi" w:hAnsiTheme="minorHAnsi" w:cstheme="minorHAnsi"/>
                <w:b/>
                <w:bCs/>
                <w:sz w:val="23"/>
                <w:szCs w:val="23"/>
              </w:rPr>
              <w:t>ACTIFCARE</w:t>
            </w:r>
          </w:p>
        </w:tc>
        <w:tc>
          <w:tcPr>
            <w:tcW w:w="3006" w:type="dxa"/>
          </w:tcPr>
          <w:p w14:paraId="5CC834CA" w14:textId="77777777" w:rsidR="00B54D51" w:rsidRPr="00037AD4" w:rsidRDefault="00B54D51" w:rsidP="000D4FB0">
            <w:pPr>
              <w:jc w:val="center"/>
              <w:rPr>
                <w:rFonts w:asciiTheme="minorHAnsi" w:hAnsiTheme="minorHAnsi" w:cstheme="minorHAnsi"/>
                <w:b/>
                <w:bCs/>
                <w:sz w:val="23"/>
                <w:szCs w:val="23"/>
              </w:rPr>
            </w:pPr>
            <w:r w:rsidRPr="00037AD4">
              <w:rPr>
                <w:rFonts w:asciiTheme="minorHAnsi" w:hAnsiTheme="minorHAnsi" w:cstheme="minorHAnsi"/>
                <w:b/>
                <w:bCs/>
                <w:sz w:val="23"/>
                <w:szCs w:val="23"/>
              </w:rPr>
              <w:t>EPIC</w:t>
            </w:r>
          </w:p>
        </w:tc>
      </w:tr>
      <w:tr w:rsidR="00B54D51" w:rsidRPr="00037AD4" w14:paraId="777CEBE6" w14:textId="77777777" w:rsidTr="000D4FB0">
        <w:tc>
          <w:tcPr>
            <w:tcW w:w="9016" w:type="dxa"/>
            <w:gridSpan w:val="3"/>
            <w:shd w:val="clear" w:color="auto" w:fill="E7E6E6" w:themeFill="background2"/>
          </w:tcPr>
          <w:p w14:paraId="565E3750" w14:textId="77777777" w:rsidR="00B54D51" w:rsidRPr="00037AD4" w:rsidRDefault="00B54D51" w:rsidP="000D4FB0">
            <w:pPr>
              <w:jc w:val="center"/>
              <w:rPr>
                <w:rFonts w:asciiTheme="minorHAnsi" w:hAnsiTheme="minorHAnsi" w:cstheme="minorHAnsi"/>
                <w:b/>
                <w:bCs/>
                <w:sz w:val="23"/>
                <w:szCs w:val="23"/>
                <w:u w:val="single"/>
              </w:rPr>
            </w:pPr>
            <w:r w:rsidRPr="00037AD4">
              <w:rPr>
                <w:rFonts w:asciiTheme="minorHAnsi" w:hAnsiTheme="minorHAnsi" w:cstheme="minorHAnsi"/>
                <w:b/>
                <w:bCs/>
                <w:sz w:val="23"/>
                <w:szCs w:val="23"/>
                <w:u w:val="single"/>
              </w:rPr>
              <w:t>Mobility dimension</w:t>
            </w:r>
          </w:p>
        </w:tc>
      </w:tr>
      <w:tr w:rsidR="00B54D51" w:rsidRPr="00037AD4" w14:paraId="2859F439" w14:textId="77777777" w:rsidTr="000D4FB0">
        <w:tc>
          <w:tcPr>
            <w:tcW w:w="3005" w:type="dxa"/>
          </w:tcPr>
          <w:p w14:paraId="0E72CFB8" w14:textId="77777777" w:rsidR="00B54D51" w:rsidRPr="00037AD4" w:rsidRDefault="00B54D51" w:rsidP="000D4FB0">
            <w:pPr>
              <w:rPr>
                <w:rFonts w:asciiTheme="minorHAnsi" w:hAnsiTheme="minorHAnsi" w:cstheme="minorHAnsi"/>
                <w:sz w:val="23"/>
                <w:szCs w:val="23"/>
              </w:rPr>
            </w:pPr>
            <w:r w:rsidRPr="00037AD4">
              <w:rPr>
                <w:rFonts w:asciiTheme="minorHAnsi" w:hAnsiTheme="minorHAnsi" w:cstheme="minorHAnsi"/>
                <w:sz w:val="23"/>
                <w:szCs w:val="23"/>
              </w:rPr>
              <w:t>Target</w:t>
            </w:r>
          </w:p>
        </w:tc>
        <w:tc>
          <w:tcPr>
            <w:tcW w:w="3005" w:type="dxa"/>
          </w:tcPr>
          <w:p w14:paraId="65976E61" w14:textId="77777777" w:rsidR="00B54D51" w:rsidRPr="00037AD4" w:rsidRDefault="00B54D51" w:rsidP="000D4FB0">
            <w:pPr>
              <w:jc w:val="center"/>
              <w:rPr>
                <w:rFonts w:asciiTheme="minorHAnsi" w:hAnsiTheme="minorHAnsi" w:cstheme="minorHAnsi"/>
                <w:i/>
                <w:iCs/>
                <w:sz w:val="23"/>
                <w:szCs w:val="23"/>
              </w:rPr>
            </w:pPr>
            <w:r w:rsidRPr="00037AD4">
              <w:rPr>
                <w:rFonts w:asciiTheme="minorHAnsi" w:hAnsiTheme="minorHAnsi" w:cstheme="minorHAnsi"/>
                <w:i/>
                <w:iCs/>
                <w:sz w:val="23"/>
                <w:szCs w:val="23"/>
              </w:rPr>
              <w:t>PwD</w:t>
            </w:r>
          </w:p>
        </w:tc>
        <w:tc>
          <w:tcPr>
            <w:tcW w:w="3006" w:type="dxa"/>
          </w:tcPr>
          <w:p w14:paraId="7D726357" w14:textId="77777777" w:rsidR="00B54D51" w:rsidRPr="00037AD4" w:rsidRDefault="00B54D51" w:rsidP="000D4FB0">
            <w:pPr>
              <w:jc w:val="center"/>
              <w:rPr>
                <w:rFonts w:asciiTheme="minorHAnsi" w:hAnsiTheme="minorHAnsi" w:cstheme="minorHAnsi"/>
                <w:i/>
                <w:iCs/>
                <w:sz w:val="23"/>
                <w:szCs w:val="23"/>
              </w:rPr>
            </w:pPr>
            <w:r w:rsidRPr="00037AD4">
              <w:rPr>
                <w:rFonts w:asciiTheme="minorHAnsi" w:hAnsiTheme="minorHAnsi" w:cstheme="minorHAnsi"/>
                <w:i/>
                <w:iCs/>
                <w:sz w:val="23"/>
                <w:szCs w:val="23"/>
              </w:rPr>
              <w:t>Staff proxy</w:t>
            </w:r>
          </w:p>
        </w:tc>
      </w:tr>
      <w:tr w:rsidR="00B54D51" w:rsidRPr="00037AD4" w14:paraId="5B413AE7" w14:textId="77777777" w:rsidTr="000D4FB0">
        <w:tc>
          <w:tcPr>
            <w:tcW w:w="3005" w:type="dxa"/>
          </w:tcPr>
          <w:p w14:paraId="1DFAECAD" w14:textId="77777777" w:rsidR="00B54D51" w:rsidRPr="00037AD4" w:rsidRDefault="00B54D51" w:rsidP="000D4FB0">
            <w:pPr>
              <w:rPr>
                <w:rFonts w:asciiTheme="minorHAnsi" w:hAnsiTheme="minorHAnsi" w:cstheme="minorHAnsi"/>
                <w:sz w:val="23"/>
                <w:szCs w:val="23"/>
              </w:rPr>
            </w:pPr>
            <w:r w:rsidRPr="00037AD4">
              <w:rPr>
                <w:rFonts w:asciiTheme="minorHAnsi" w:hAnsiTheme="minorHAnsi" w:cstheme="minorHAnsi"/>
                <w:sz w:val="23"/>
                <w:szCs w:val="23"/>
              </w:rPr>
              <w:t xml:space="preserve">Marginal effects </w:t>
            </w:r>
          </w:p>
        </w:tc>
        <w:tc>
          <w:tcPr>
            <w:tcW w:w="3005" w:type="dxa"/>
          </w:tcPr>
          <w:p w14:paraId="3E5664A4" w14:textId="77777777" w:rsidR="00B54D51" w:rsidRPr="00037AD4" w:rsidRDefault="00B54D51" w:rsidP="000D4FB0">
            <w:pPr>
              <w:rPr>
                <w:rFonts w:asciiTheme="minorHAnsi" w:hAnsiTheme="minorHAnsi" w:cstheme="minorHAnsi"/>
                <w:sz w:val="23"/>
                <w:szCs w:val="23"/>
              </w:rPr>
            </w:pPr>
            <w:r w:rsidRPr="00037AD4">
              <w:rPr>
                <w:rFonts w:asciiTheme="minorHAnsi" w:hAnsiTheme="minorHAnsi" w:cstheme="minorHAnsi"/>
                <w:sz w:val="23"/>
                <w:szCs w:val="23"/>
              </w:rPr>
              <w:t>Level five proxy responses correspond with the greatest probability of a level four PwD prediction; not statistically significantly different</w:t>
            </w:r>
          </w:p>
        </w:tc>
        <w:tc>
          <w:tcPr>
            <w:tcW w:w="3006" w:type="dxa"/>
          </w:tcPr>
          <w:p w14:paraId="135FBF79" w14:textId="77777777" w:rsidR="00B54D51" w:rsidRPr="00037AD4" w:rsidRDefault="00B54D51" w:rsidP="000D4FB0">
            <w:pPr>
              <w:rPr>
                <w:rFonts w:asciiTheme="minorHAnsi" w:hAnsiTheme="minorHAnsi" w:cstheme="minorHAnsi"/>
                <w:sz w:val="23"/>
                <w:szCs w:val="23"/>
              </w:rPr>
            </w:pPr>
            <w:r w:rsidRPr="00037AD4">
              <w:rPr>
                <w:rFonts w:asciiTheme="minorHAnsi" w:hAnsiTheme="minorHAnsi" w:cstheme="minorHAnsi"/>
                <w:sz w:val="23"/>
                <w:szCs w:val="23"/>
              </w:rPr>
              <w:t>Probability of predicting level five responses is greatest at both level four and five PwD responses. The confidence intervals do not overlap with those of any of the other probabilities – statistical significance</w:t>
            </w:r>
          </w:p>
        </w:tc>
      </w:tr>
      <w:tr w:rsidR="00B54D51" w:rsidRPr="00037AD4" w14:paraId="36DD649C" w14:textId="77777777" w:rsidTr="000D4FB0">
        <w:tc>
          <w:tcPr>
            <w:tcW w:w="3005" w:type="dxa"/>
          </w:tcPr>
          <w:p w14:paraId="707DA7BA" w14:textId="77777777" w:rsidR="00B54D51" w:rsidRPr="00037AD4" w:rsidRDefault="00B54D51" w:rsidP="000D4FB0">
            <w:pPr>
              <w:rPr>
                <w:rFonts w:asciiTheme="minorHAnsi" w:hAnsiTheme="minorHAnsi" w:cstheme="minorHAnsi"/>
                <w:sz w:val="23"/>
                <w:szCs w:val="23"/>
              </w:rPr>
            </w:pPr>
            <w:r w:rsidRPr="00037AD4">
              <w:rPr>
                <w:rFonts w:asciiTheme="minorHAnsi" w:hAnsiTheme="minorHAnsi" w:cstheme="minorHAnsi"/>
                <w:sz w:val="23"/>
                <w:szCs w:val="23"/>
              </w:rPr>
              <w:t xml:space="preserve">Marginal effects of key additional model measures </w:t>
            </w:r>
          </w:p>
        </w:tc>
        <w:tc>
          <w:tcPr>
            <w:tcW w:w="6011" w:type="dxa"/>
            <w:gridSpan w:val="2"/>
          </w:tcPr>
          <w:p w14:paraId="1F98756C" w14:textId="293F194B" w:rsidR="00B54D51" w:rsidRPr="00037AD4" w:rsidRDefault="00B54D51" w:rsidP="000D4FB0">
            <w:pPr>
              <w:rPr>
                <w:rFonts w:asciiTheme="minorHAnsi" w:hAnsiTheme="minorHAnsi" w:cstheme="minorHAnsi"/>
                <w:sz w:val="23"/>
                <w:szCs w:val="23"/>
              </w:rPr>
            </w:pPr>
            <w:r w:rsidRPr="00037AD4">
              <w:rPr>
                <w:rFonts w:asciiTheme="minorHAnsi" w:hAnsiTheme="minorHAnsi" w:cstheme="minorHAnsi"/>
                <w:sz w:val="23"/>
                <w:szCs w:val="23"/>
              </w:rPr>
              <w:t>AMEs for the function</w:t>
            </w:r>
            <w:r w:rsidR="00777D27">
              <w:rPr>
                <w:rFonts w:asciiTheme="minorHAnsi" w:hAnsiTheme="minorHAnsi" w:cstheme="minorHAnsi"/>
                <w:sz w:val="23"/>
                <w:szCs w:val="23"/>
              </w:rPr>
              <w:t xml:space="preserve"> measure</w:t>
            </w:r>
            <w:r w:rsidRPr="00037AD4">
              <w:rPr>
                <w:rFonts w:asciiTheme="minorHAnsi" w:hAnsiTheme="minorHAnsi" w:cstheme="minorHAnsi"/>
                <w:sz w:val="23"/>
                <w:szCs w:val="23"/>
              </w:rPr>
              <w:t xml:space="preserve"> are mainly statistically significant - whereby the changes in probabilities increase and decrease across the “mobility” levels as expected</w:t>
            </w:r>
          </w:p>
        </w:tc>
      </w:tr>
      <w:tr w:rsidR="00B54D51" w:rsidRPr="00037AD4" w14:paraId="2F7B08B7" w14:textId="77777777" w:rsidTr="000D4FB0">
        <w:tc>
          <w:tcPr>
            <w:tcW w:w="3005" w:type="dxa"/>
          </w:tcPr>
          <w:p w14:paraId="66698D3C" w14:textId="77777777" w:rsidR="00B54D51" w:rsidRPr="00037AD4" w:rsidRDefault="00B54D51" w:rsidP="000D4FB0">
            <w:pPr>
              <w:rPr>
                <w:rFonts w:asciiTheme="minorHAnsi" w:hAnsiTheme="minorHAnsi" w:cstheme="minorHAnsi"/>
                <w:sz w:val="23"/>
                <w:szCs w:val="23"/>
              </w:rPr>
            </w:pPr>
            <w:r w:rsidRPr="00037AD4">
              <w:rPr>
                <w:rFonts w:asciiTheme="minorHAnsi" w:hAnsiTheme="minorHAnsi" w:cstheme="minorHAnsi"/>
                <w:sz w:val="23"/>
                <w:szCs w:val="23"/>
              </w:rPr>
              <w:t xml:space="preserve">Observed versus predicted frequencies </w:t>
            </w:r>
          </w:p>
        </w:tc>
        <w:tc>
          <w:tcPr>
            <w:tcW w:w="3005" w:type="dxa"/>
          </w:tcPr>
          <w:p w14:paraId="7A5C2B75" w14:textId="77777777" w:rsidR="00B54D51" w:rsidRPr="00037AD4" w:rsidRDefault="00B54D51" w:rsidP="000D4FB0">
            <w:pPr>
              <w:rPr>
                <w:rFonts w:asciiTheme="minorHAnsi" w:hAnsiTheme="minorHAnsi" w:cstheme="minorHAnsi"/>
                <w:sz w:val="23"/>
                <w:szCs w:val="23"/>
              </w:rPr>
            </w:pPr>
            <w:r w:rsidRPr="00037AD4">
              <w:rPr>
                <w:rFonts w:asciiTheme="minorHAnsi" w:hAnsiTheme="minorHAnsi" w:cstheme="minorHAnsi"/>
                <w:sz w:val="23"/>
                <w:szCs w:val="23"/>
              </w:rPr>
              <w:t>After removing MMSE, predictions for levels four and five became more accurate; predictions for levels one to three were slightly less precise. Impact of removing MMSE from the model is inconclusive</w:t>
            </w:r>
          </w:p>
        </w:tc>
        <w:tc>
          <w:tcPr>
            <w:tcW w:w="3006" w:type="dxa"/>
          </w:tcPr>
          <w:p w14:paraId="3CFC2097" w14:textId="77777777" w:rsidR="00B54D51" w:rsidRPr="00037AD4" w:rsidRDefault="00B54D51" w:rsidP="000D4FB0">
            <w:pPr>
              <w:rPr>
                <w:rFonts w:asciiTheme="minorHAnsi" w:hAnsiTheme="minorHAnsi" w:cstheme="minorHAnsi"/>
                <w:sz w:val="23"/>
                <w:szCs w:val="23"/>
              </w:rPr>
            </w:pPr>
            <w:r w:rsidRPr="00037AD4">
              <w:rPr>
                <w:rFonts w:asciiTheme="minorHAnsi" w:hAnsiTheme="minorHAnsi" w:cstheme="minorHAnsi"/>
                <w:sz w:val="23"/>
                <w:szCs w:val="23"/>
              </w:rPr>
              <w:t>Predictions tended to overestimate frequencies at levels one to three, while underestimating at level five</w:t>
            </w:r>
          </w:p>
        </w:tc>
      </w:tr>
      <w:tr w:rsidR="00B54D51" w:rsidRPr="00037AD4" w14:paraId="319AA06A" w14:textId="77777777" w:rsidTr="000D4FB0">
        <w:tc>
          <w:tcPr>
            <w:tcW w:w="3005" w:type="dxa"/>
          </w:tcPr>
          <w:p w14:paraId="1E0A0F60" w14:textId="77777777" w:rsidR="00B54D51" w:rsidRPr="00037AD4" w:rsidRDefault="00B54D51" w:rsidP="000D4FB0">
            <w:pPr>
              <w:rPr>
                <w:rFonts w:asciiTheme="minorHAnsi" w:hAnsiTheme="minorHAnsi" w:cstheme="minorHAnsi"/>
                <w:sz w:val="23"/>
                <w:szCs w:val="23"/>
              </w:rPr>
            </w:pPr>
            <w:r w:rsidRPr="00037AD4">
              <w:rPr>
                <w:rFonts w:asciiTheme="minorHAnsi" w:hAnsiTheme="minorHAnsi" w:cstheme="minorHAnsi"/>
                <w:sz w:val="23"/>
                <w:szCs w:val="23"/>
              </w:rPr>
              <w:t xml:space="preserve">Trial indicator variable </w:t>
            </w:r>
          </w:p>
        </w:tc>
        <w:tc>
          <w:tcPr>
            <w:tcW w:w="6011" w:type="dxa"/>
            <w:gridSpan w:val="2"/>
          </w:tcPr>
          <w:p w14:paraId="02FCA6E0" w14:textId="77777777" w:rsidR="00B54D51" w:rsidRPr="00037AD4" w:rsidRDefault="00B54D51" w:rsidP="000D4FB0">
            <w:pPr>
              <w:jc w:val="center"/>
              <w:rPr>
                <w:rFonts w:asciiTheme="minorHAnsi" w:hAnsiTheme="minorHAnsi" w:cstheme="minorHAnsi"/>
                <w:sz w:val="23"/>
                <w:szCs w:val="23"/>
              </w:rPr>
            </w:pPr>
            <w:r w:rsidRPr="00037AD4">
              <w:rPr>
                <w:rFonts w:asciiTheme="minorHAnsi" w:hAnsiTheme="minorHAnsi" w:cstheme="minorHAnsi"/>
                <w:sz w:val="23"/>
                <w:szCs w:val="23"/>
              </w:rPr>
              <w:t>Not significant</w:t>
            </w:r>
          </w:p>
        </w:tc>
      </w:tr>
      <w:tr w:rsidR="00B54D51" w:rsidRPr="00037AD4" w14:paraId="310BC141" w14:textId="77777777" w:rsidTr="000D4FB0">
        <w:tc>
          <w:tcPr>
            <w:tcW w:w="9016" w:type="dxa"/>
            <w:gridSpan w:val="3"/>
            <w:shd w:val="clear" w:color="auto" w:fill="E7E6E6" w:themeFill="background2"/>
          </w:tcPr>
          <w:p w14:paraId="1408CF77" w14:textId="77777777" w:rsidR="00B54D51" w:rsidRPr="00037AD4" w:rsidRDefault="00B54D51" w:rsidP="000D4FB0">
            <w:pPr>
              <w:jc w:val="center"/>
              <w:rPr>
                <w:rFonts w:asciiTheme="minorHAnsi" w:hAnsiTheme="minorHAnsi" w:cstheme="minorHAnsi"/>
                <w:b/>
                <w:bCs/>
                <w:sz w:val="23"/>
                <w:szCs w:val="23"/>
                <w:u w:val="single"/>
              </w:rPr>
            </w:pPr>
            <w:r w:rsidRPr="00037AD4">
              <w:rPr>
                <w:rFonts w:asciiTheme="minorHAnsi" w:hAnsiTheme="minorHAnsi" w:cstheme="minorHAnsi"/>
                <w:b/>
                <w:bCs/>
                <w:sz w:val="23"/>
                <w:szCs w:val="23"/>
                <w:u w:val="single"/>
              </w:rPr>
              <w:t>Self-care dimension</w:t>
            </w:r>
          </w:p>
        </w:tc>
      </w:tr>
      <w:tr w:rsidR="00B54D51" w:rsidRPr="00037AD4" w14:paraId="170CA1ED" w14:textId="77777777" w:rsidTr="000D4FB0">
        <w:tc>
          <w:tcPr>
            <w:tcW w:w="3005" w:type="dxa"/>
          </w:tcPr>
          <w:p w14:paraId="2B0196DB" w14:textId="77777777" w:rsidR="00B54D51" w:rsidRPr="00037AD4" w:rsidRDefault="00B54D51" w:rsidP="000D4FB0">
            <w:pPr>
              <w:rPr>
                <w:rFonts w:asciiTheme="minorHAnsi" w:hAnsiTheme="minorHAnsi" w:cstheme="minorHAnsi"/>
                <w:sz w:val="23"/>
                <w:szCs w:val="23"/>
              </w:rPr>
            </w:pPr>
            <w:r w:rsidRPr="00037AD4">
              <w:rPr>
                <w:rFonts w:asciiTheme="minorHAnsi" w:hAnsiTheme="minorHAnsi" w:cstheme="minorHAnsi"/>
                <w:sz w:val="23"/>
                <w:szCs w:val="23"/>
              </w:rPr>
              <w:t>Target</w:t>
            </w:r>
          </w:p>
        </w:tc>
        <w:tc>
          <w:tcPr>
            <w:tcW w:w="3005" w:type="dxa"/>
          </w:tcPr>
          <w:p w14:paraId="77052AE5" w14:textId="77777777" w:rsidR="00B54D51" w:rsidRPr="00037AD4" w:rsidRDefault="00B54D51" w:rsidP="000D4FB0">
            <w:pPr>
              <w:jc w:val="center"/>
              <w:rPr>
                <w:rFonts w:asciiTheme="minorHAnsi" w:hAnsiTheme="minorHAnsi" w:cstheme="minorHAnsi"/>
                <w:i/>
                <w:iCs/>
                <w:sz w:val="23"/>
                <w:szCs w:val="23"/>
              </w:rPr>
            </w:pPr>
            <w:r w:rsidRPr="00037AD4">
              <w:rPr>
                <w:rFonts w:asciiTheme="minorHAnsi" w:hAnsiTheme="minorHAnsi" w:cstheme="minorHAnsi"/>
                <w:i/>
                <w:iCs/>
                <w:sz w:val="23"/>
                <w:szCs w:val="23"/>
              </w:rPr>
              <w:t>Proxy</w:t>
            </w:r>
          </w:p>
        </w:tc>
        <w:tc>
          <w:tcPr>
            <w:tcW w:w="3006" w:type="dxa"/>
          </w:tcPr>
          <w:p w14:paraId="1C4B7D24" w14:textId="77777777" w:rsidR="00B54D51" w:rsidRPr="00037AD4" w:rsidRDefault="00B54D51" w:rsidP="000D4FB0">
            <w:pPr>
              <w:jc w:val="center"/>
              <w:rPr>
                <w:rFonts w:asciiTheme="minorHAnsi" w:hAnsiTheme="minorHAnsi" w:cstheme="minorHAnsi"/>
                <w:i/>
                <w:iCs/>
                <w:sz w:val="23"/>
                <w:szCs w:val="23"/>
              </w:rPr>
            </w:pPr>
            <w:r w:rsidRPr="00037AD4">
              <w:rPr>
                <w:rFonts w:asciiTheme="minorHAnsi" w:hAnsiTheme="minorHAnsi" w:cstheme="minorHAnsi"/>
                <w:i/>
                <w:iCs/>
                <w:sz w:val="23"/>
                <w:szCs w:val="23"/>
              </w:rPr>
              <w:t>Proxy</w:t>
            </w:r>
          </w:p>
        </w:tc>
      </w:tr>
      <w:tr w:rsidR="00B54D51" w:rsidRPr="00037AD4" w14:paraId="71D5A508" w14:textId="77777777" w:rsidTr="000D4FB0">
        <w:tc>
          <w:tcPr>
            <w:tcW w:w="3005" w:type="dxa"/>
          </w:tcPr>
          <w:p w14:paraId="5AACBE63" w14:textId="77777777" w:rsidR="00B54D51" w:rsidRPr="00037AD4" w:rsidRDefault="00B54D51" w:rsidP="000D4FB0">
            <w:pPr>
              <w:rPr>
                <w:rFonts w:asciiTheme="minorHAnsi" w:hAnsiTheme="minorHAnsi" w:cstheme="minorHAnsi"/>
                <w:sz w:val="23"/>
                <w:szCs w:val="23"/>
              </w:rPr>
            </w:pPr>
            <w:r w:rsidRPr="00037AD4">
              <w:rPr>
                <w:rFonts w:asciiTheme="minorHAnsi" w:hAnsiTheme="minorHAnsi" w:cstheme="minorHAnsi"/>
                <w:sz w:val="23"/>
                <w:szCs w:val="23"/>
              </w:rPr>
              <w:t xml:space="preserve">Marginal effects </w:t>
            </w:r>
          </w:p>
        </w:tc>
        <w:tc>
          <w:tcPr>
            <w:tcW w:w="3005" w:type="dxa"/>
          </w:tcPr>
          <w:p w14:paraId="3010CC22" w14:textId="77777777" w:rsidR="00B54D51" w:rsidRPr="00037AD4" w:rsidRDefault="00B54D51" w:rsidP="000D4FB0">
            <w:pPr>
              <w:rPr>
                <w:rFonts w:asciiTheme="minorHAnsi" w:hAnsiTheme="minorHAnsi" w:cstheme="minorHAnsi"/>
                <w:sz w:val="23"/>
                <w:szCs w:val="23"/>
              </w:rPr>
            </w:pPr>
            <w:r w:rsidRPr="00037AD4">
              <w:rPr>
                <w:rFonts w:asciiTheme="minorHAnsi" w:hAnsiTheme="minorHAnsi" w:cstheme="minorHAnsi"/>
                <w:color w:val="000000" w:themeColor="text1"/>
                <w:sz w:val="23"/>
                <w:szCs w:val="23"/>
              </w:rPr>
              <w:t xml:space="preserve">Probabilities for predicting level one proxy “self-care” responses were the largest for PwD reports at levels one, two and three - 95% confidence intervals do not overlap with any other probabilities </w:t>
            </w:r>
          </w:p>
        </w:tc>
        <w:tc>
          <w:tcPr>
            <w:tcW w:w="3006" w:type="dxa"/>
          </w:tcPr>
          <w:p w14:paraId="0F740AF9" w14:textId="77777777" w:rsidR="00B54D51" w:rsidRPr="00037AD4" w:rsidRDefault="00B54D51" w:rsidP="000D4FB0">
            <w:pPr>
              <w:rPr>
                <w:rFonts w:asciiTheme="minorHAnsi" w:hAnsiTheme="minorHAnsi" w:cstheme="minorHAnsi"/>
                <w:sz w:val="23"/>
                <w:szCs w:val="23"/>
              </w:rPr>
            </w:pPr>
            <w:r w:rsidRPr="00037AD4">
              <w:rPr>
                <w:rFonts w:asciiTheme="minorHAnsi" w:hAnsiTheme="minorHAnsi" w:cstheme="minorHAnsi"/>
                <w:color w:val="000000" w:themeColor="text1"/>
                <w:sz w:val="23"/>
                <w:szCs w:val="23"/>
              </w:rPr>
              <w:t xml:space="preserve">Probability of a predicting a level one proxy response remains low across all PwD level-responses and is greatest for level five responses – likely attributable to floor/ceiling effects </w:t>
            </w:r>
          </w:p>
        </w:tc>
      </w:tr>
      <w:tr w:rsidR="00B54D51" w:rsidRPr="00037AD4" w14:paraId="496B2E93" w14:textId="77777777" w:rsidTr="000D4FB0">
        <w:tc>
          <w:tcPr>
            <w:tcW w:w="3005" w:type="dxa"/>
          </w:tcPr>
          <w:p w14:paraId="2C29150D" w14:textId="77777777" w:rsidR="00B54D51" w:rsidRPr="00037AD4" w:rsidRDefault="00B54D51" w:rsidP="000D4FB0">
            <w:pPr>
              <w:rPr>
                <w:rFonts w:asciiTheme="minorHAnsi" w:hAnsiTheme="minorHAnsi" w:cstheme="minorHAnsi"/>
                <w:sz w:val="23"/>
                <w:szCs w:val="23"/>
              </w:rPr>
            </w:pPr>
            <w:r w:rsidRPr="00037AD4">
              <w:rPr>
                <w:rFonts w:asciiTheme="minorHAnsi" w:hAnsiTheme="minorHAnsi" w:cstheme="minorHAnsi"/>
                <w:sz w:val="23"/>
                <w:szCs w:val="23"/>
              </w:rPr>
              <w:lastRenderedPageBreak/>
              <w:t xml:space="preserve">Marginal effects of key additional model measures </w:t>
            </w:r>
          </w:p>
        </w:tc>
        <w:tc>
          <w:tcPr>
            <w:tcW w:w="6011" w:type="dxa"/>
            <w:gridSpan w:val="2"/>
          </w:tcPr>
          <w:p w14:paraId="3F1951FD" w14:textId="49363AFF" w:rsidR="00B54D51" w:rsidRPr="00037AD4" w:rsidRDefault="00B54D51" w:rsidP="000D4FB0">
            <w:pPr>
              <w:rPr>
                <w:rFonts w:asciiTheme="minorHAnsi" w:hAnsiTheme="minorHAnsi" w:cstheme="minorHAnsi"/>
                <w:sz w:val="23"/>
                <w:szCs w:val="23"/>
              </w:rPr>
            </w:pPr>
            <w:r w:rsidRPr="00037AD4">
              <w:rPr>
                <w:rFonts w:asciiTheme="minorHAnsi" w:hAnsiTheme="minorHAnsi" w:cstheme="minorHAnsi"/>
                <w:sz w:val="23"/>
                <w:szCs w:val="23"/>
              </w:rPr>
              <w:t>AMEs for the function</w:t>
            </w:r>
            <w:r w:rsidR="00777D27">
              <w:rPr>
                <w:rFonts w:asciiTheme="minorHAnsi" w:hAnsiTheme="minorHAnsi" w:cstheme="minorHAnsi"/>
                <w:sz w:val="23"/>
                <w:szCs w:val="23"/>
              </w:rPr>
              <w:t xml:space="preserve"> measure</w:t>
            </w:r>
            <w:r w:rsidRPr="00037AD4">
              <w:rPr>
                <w:rFonts w:asciiTheme="minorHAnsi" w:hAnsiTheme="minorHAnsi" w:cstheme="minorHAnsi"/>
                <w:sz w:val="23"/>
                <w:szCs w:val="23"/>
              </w:rPr>
              <w:t xml:space="preserve"> are mainly statistically significant - whereby the changes in probabilities increase and decrease across the “</w:t>
            </w:r>
            <w:r w:rsidR="00777D27">
              <w:rPr>
                <w:rFonts w:asciiTheme="minorHAnsi" w:hAnsiTheme="minorHAnsi" w:cstheme="minorHAnsi"/>
                <w:sz w:val="23"/>
                <w:szCs w:val="23"/>
              </w:rPr>
              <w:t>self-care</w:t>
            </w:r>
            <w:r w:rsidRPr="00037AD4">
              <w:rPr>
                <w:rFonts w:asciiTheme="minorHAnsi" w:hAnsiTheme="minorHAnsi" w:cstheme="minorHAnsi"/>
                <w:sz w:val="23"/>
                <w:szCs w:val="23"/>
              </w:rPr>
              <w:t>” levels as expected</w:t>
            </w:r>
          </w:p>
        </w:tc>
      </w:tr>
      <w:tr w:rsidR="00B54D51" w:rsidRPr="00037AD4" w14:paraId="693BF5BF" w14:textId="77777777" w:rsidTr="000D4FB0">
        <w:tc>
          <w:tcPr>
            <w:tcW w:w="3005" w:type="dxa"/>
          </w:tcPr>
          <w:p w14:paraId="2FE6AB2C" w14:textId="77777777" w:rsidR="00B54D51" w:rsidRPr="00037AD4" w:rsidRDefault="00B54D51" w:rsidP="000D4FB0">
            <w:pPr>
              <w:rPr>
                <w:rFonts w:asciiTheme="minorHAnsi" w:hAnsiTheme="minorHAnsi" w:cstheme="minorHAnsi"/>
                <w:sz w:val="23"/>
                <w:szCs w:val="23"/>
              </w:rPr>
            </w:pPr>
            <w:r w:rsidRPr="00037AD4">
              <w:rPr>
                <w:rFonts w:asciiTheme="minorHAnsi" w:hAnsiTheme="minorHAnsi" w:cstheme="minorHAnsi"/>
                <w:sz w:val="23"/>
                <w:szCs w:val="23"/>
              </w:rPr>
              <w:t xml:space="preserve">Observed versus predicted frequencies </w:t>
            </w:r>
          </w:p>
        </w:tc>
        <w:tc>
          <w:tcPr>
            <w:tcW w:w="3005" w:type="dxa"/>
          </w:tcPr>
          <w:p w14:paraId="3F4194CC" w14:textId="77777777" w:rsidR="00B54D51" w:rsidRPr="00037AD4" w:rsidRDefault="00B54D51" w:rsidP="000D4FB0">
            <w:pPr>
              <w:rPr>
                <w:rFonts w:asciiTheme="minorHAnsi" w:hAnsiTheme="minorHAnsi" w:cstheme="minorHAnsi"/>
                <w:sz w:val="23"/>
                <w:szCs w:val="23"/>
              </w:rPr>
            </w:pPr>
            <w:r w:rsidRPr="00037AD4">
              <w:rPr>
                <w:rFonts w:asciiTheme="minorHAnsi" w:hAnsiTheme="minorHAnsi" w:cstheme="minorHAnsi"/>
                <w:sz w:val="23"/>
                <w:szCs w:val="23"/>
              </w:rPr>
              <w:t xml:space="preserve">After removing MMSE, predictions for levels three to five became more accurate; prediction for level one was slightly less precise. Inconclusive Impact of removing MMSE from the model </w:t>
            </w:r>
          </w:p>
        </w:tc>
        <w:tc>
          <w:tcPr>
            <w:tcW w:w="3006" w:type="dxa"/>
          </w:tcPr>
          <w:p w14:paraId="51F61978" w14:textId="77777777" w:rsidR="00B54D51" w:rsidRPr="00037AD4" w:rsidRDefault="00B54D51" w:rsidP="000D4FB0">
            <w:pPr>
              <w:rPr>
                <w:rFonts w:asciiTheme="minorHAnsi" w:hAnsiTheme="minorHAnsi" w:cstheme="minorHAnsi"/>
                <w:sz w:val="23"/>
                <w:szCs w:val="23"/>
              </w:rPr>
            </w:pPr>
            <w:r w:rsidRPr="00037AD4">
              <w:rPr>
                <w:rFonts w:asciiTheme="minorHAnsi" w:hAnsiTheme="minorHAnsi" w:cstheme="minorHAnsi"/>
                <w:sz w:val="23"/>
                <w:szCs w:val="23"/>
              </w:rPr>
              <w:t>The predictions overestimate the frequency for levels one to four, and underestimate at level five</w:t>
            </w:r>
          </w:p>
        </w:tc>
      </w:tr>
      <w:tr w:rsidR="00B54D51" w:rsidRPr="00037AD4" w14:paraId="12FFD664" w14:textId="77777777" w:rsidTr="000D4FB0">
        <w:tc>
          <w:tcPr>
            <w:tcW w:w="3005" w:type="dxa"/>
          </w:tcPr>
          <w:p w14:paraId="3C4F8278" w14:textId="77777777" w:rsidR="00B54D51" w:rsidRPr="00037AD4" w:rsidRDefault="00B54D51" w:rsidP="000D4FB0">
            <w:pPr>
              <w:rPr>
                <w:rFonts w:asciiTheme="minorHAnsi" w:hAnsiTheme="minorHAnsi" w:cstheme="minorHAnsi"/>
                <w:sz w:val="23"/>
                <w:szCs w:val="23"/>
              </w:rPr>
            </w:pPr>
            <w:r w:rsidRPr="00037AD4">
              <w:rPr>
                <w:rFonts w:asciiTheme="minorHAnsi" w:hAnsiTheme="minorHAnsi" w:cstheme="minorHAnsi"/>
                <w:sz w:val="23"/>
                <w:szCs w:val="23"/>
              </w:rPr>
              <w:t>Trial indicator variable</w:t>
            </w:r>
          </w:p>
        </w:tc>
        <w:tc>
          <w:tcPr>
            <w:tcW w:w="6011" w:type="dxa"/>
            <w:gridSpan w:val="2"/>
          </w:tcPr>
          <w:p w14:paraId="514D0684" w14:textId="77777777" w:rsidR="00B54D51" w:rsidRPr="00037AD4" w:rsidRDefault="00B54D51" w:rsidP="000D4FB0">
            <w:pPr>
              <w:jc w:val="center"/>
              <w:rPr>
                <w:rFonts w:asciiTheme="minorHAnsi" w:hAnsiTheme="minorHAnsi" w:cstheme="minorHAnsi"/>
                <w:sz w:val="23"/>
                <w:szCs w:val="23"/>
              </w:rPr>
            </w:pPr>
            <w:r w:rsidRPr="00037AD4">
              <w:rPr>
                <w:rFonts w:asciiTheme="minorHAnsi" w:hAnsiTheme="minorHAnsi" w:cstheme="minorHAnsi"/>
                <w:sz w:val="23"/>
                <w:szCs w:val="23"/>
              </w:rPr>
              <w:t>Significant</w:t>
            </w:r>
          </w:p>
        </w:tc>
      </w:tr>
      <w:tr w:rsidR="00B54D51" w:rsidRPr="00037AD4" w14:paraId="04C0F8A5" w14:textId="77777777" w:rsidTr="000D4FB0">
        <w:tc>
          <w:tcPr>
            <w:tcW w:w="9016" w:type="dxa"/>
            <w:gridSpan w:val="3"/>
            <w:shd w:val="clear" w:color="auto" w:fill="E7E6E6" w:themeFill="background2"/>
          </w:tcPr>
          <w:p w14:paraId="7BD06509" w14:textId="77777777" w:rsidR="00B54D51" w:rsidRPr="00037AD4" w:rsidRDefault="00B54D51" w:rsidP="000D4FB0">
            <w:pPr>
              <w:jc w:val="center"/>
              <w:rPr>
                <w:rFonts w:asciiTheme="minorHAnsi" w:hAnsiTheme="minorHAnsi" w:cstheme="minorHAnsi"/>
                <w:b/>
                <w:bCs/>
                <w:sz w:val="23"/>
                <w:szCs w:val="23"/>
                <w:u w:val="single"/>
              </w:rPr>
            </w:pPr>
            <w:r w:rsidRPr="00037AD4">
              <w:rPr>
                <w:rFonts w:asciiTheme="minorHAnsi" w:hAnsiTheme="minorHAnsi" w:cstheme="minorHAnsi"/>
                <w:b/>
                <w:bCs/>
                <w:sz w:val="23"/>
                <w:szCs w:val="23"/>
                <w:u w:val="single"/>
              </w:rPr>
              <w:t>Usual activities dimension</w:t>
            </w:r>
          </w:p>
        </w:tc>
      </w:tr>
      <w:tr w:rsidR="00B54D51" w:rsidRPr="00037AD4" w14:paraId="6A88A0DD" w14:textId="77777777" w:rsidTr="000D4FB0">
        <w:tc>
          <w:tcPr>
            <w:tcW w:w="3005" w:type="dxa"/>
          </w:tcPr>
          <w:p w14:paraId="7A0F747B" w14:textId="77777777" w:rsidR="00B54D51" w:rsidRPr="00037AD4" w:rsidRDefault="00B54D51" w:rsidP="000D4FB0">
            <w:pPr>
              <w:rPr>
                <w:rFonts w:asciiTheme="minorHAnsi" w:hAnsiTheme="minorHAnsi" w:cstheme="minorHAnsi"/>
                <w:sz w:val="23"/>
                <w:szCs w:val="23"/>
              </w:rPr>
            </w:pPr>
            <w:r w:rsidRPr="00037AD4">
              <w:rPr>
                <w:rFonts w:asciiTheme="minorHAnsi" w:hAnsiTheme="minorHAnsi" w:cstheme="minorHAnsi"/>
                <w:sz w:val="23"/>
                <w:szCs w:val="23"/>
              </w:rPr>
              <w:t>Target</w:t>
            </w:r>
          </w:p>
        </w:tc>
        <w:tc>
          <w:tcPr>
            <w:tcW w:w="3005" w:type="dxa"/>
          </w:tcPr>
          <w:p w14:paraId="3DF488C5" w14:textId="77777777" w:rsidR="00B54D51" w:rsidRPr="00037AD4" w:rsidRDefault="00B54D51" w:rsidP="000D4FB0">
            <w:pPr>
              <w:jc w:val="center"/>
              <w:rPr>
                <w:rFonts w:asciiTheme="minorHAnsi" w:hAnsiTheme="minorHAnsi" w:cstheme="minorHAnsi"/>
                <w:i/>
                <w:iCs/>
                <w:sz w:val="23"/>
                <w:szCs w:val="23"/>
              </w:rPr>
            </w:pPr>
            <w:r w:rsidRPr="00037AD4">
              <w:rPr>
                <w:rFonts w:asciiTheme="minorHAnsi" w:hAnsiTheme="minorHAnsi" w:cstheme="minorHAnsi"/>
                <w:i/>
                <w:iCs/>
                <w:sz w:val="23"/>
                <w:szCs w:val="23"/>
              </w:rPr>
              <w:t>Proxy</w:t>
            </w:r>
          </w:p>
        </w:tc>
        <w:tc>
          <w:tcPr>
            <w:tcW w:w="3006" w:type="dxa"/>
          </w:tcPr>
          <w:p w14:paraId="692FD198" w14:textId="77777777" w:rsidR="00B54D51" w:rsidRPr="00037AD4" w:rsidRDefault="00B54D51" w:rsidP="000D4FB0">
            <w:pPr>
              <w:jc w:val="center"/>
              <w:rPr>
                <w:rFonts w:asciiTheme="minorHAnsi" w:hAnsiTheme="minorHAnsi" w:cstheme="minorHAnsi"/>
                <w:i/>
                <w:iCs/>
                <w:sz w:val="23"/>
                <w:szCs w:val="23"/>
              </w:rPr>
            </w:pPr>
            <w:r w:rsidRPr="00037AD4">
              <w:rPr>
                <w:rFonts w:asciiTheme="minorHAnsi" w:hAnsiTheme="minorHAnsi" w:cstheme="minorHAnsi"/>
                <w:i/>
                <w:iCs/>
                <w:sz w:val="23"/>
                <w:szCs w:val="23"/>
              </w:rPr>
              <w:t>Proxy</w:t>
            </w:r>
          </w:p>
        </w:tc>
      </w:tr>
      <w:tr w:rsidR="00B54D51" w:rsidRPr="00037AD4" w14:paraId="3C0B7B90" w14:textId="77777777" w:rsidTr="000D4FB0">
        <w:tc>
          <w:tcPr>
            <w:tcW w:w="3005" w:type="dxa"/>
          </w:tcPr>
          <w:p w14:paraId="169026AA" w14:textId="77777777" w:rsidR="00B54D51" w:rsidRPr="00037AD4" w:rsidRDefault="00B54D51" w:rsidP="000D4FB0">
            <w:pPr>
              <w:rPr>
                <w:rFonts w:asciiTheme="minorHAnsi" w:hAnsiTheme="minorHAnsi" w:cstheme="minorHAnsi"/>
                <w:sz w:val="23"/>
                <w:szCs w:val="23"/>
              </w:rPr>
            </w:pPr>
            <w:r w:rsidRPr="00037AD4">
              <w:rPr>
                <w:rFonts w:asciiTheme="minorHAnsi" w:hAnsiTheme="minorHAnsi" w:cstheme="minorHAnsi"/>
                <w:sz w:val="23"/>
                <w:szCs w:val="23"/>
              </w:rPr>
              <w:t xml:space="preserve">Marginal effects </w:t>
            </w:r>
          </w:p>
        </w:tc>
        <w:tc>
          <w:tcPr>
            <w:tcW w:w="3005" w:type="dxa"/>
          </w:tcPr>
          <w:p w14:paraId="3327FC35" w14:textId="77777777" w:rsidR="00B54D51" w:rsidRPr="00037AD4" w:rsidRDefault="00B54D51" w:rsidP="000D4FB0">
            <w:pPr>
              <w:rPr>
                <w:rFonts w:asciiTheme="minorHAnsi" w:hAnsiTheme="minorHAnsi" w:cstheme="minorHAnsi"/>
                <w:sz w:val="23"/>
                <w:szCs w:val="23"/>
              </w:rPr>
            </w:pPr>
            <w:r w:rsidRPr="00037AD4">
              <w:rPr>
                <w:rFonts w:asciiTheme="minorHAnsi" w:hAnsiTheme="minorHAnsi" w:cstheme="minorHAnsi"/>
                <w:sz w:val="23"/>
                <w:szCs w:val="23"/>
              </w:rPr>
              <w:t>At PwD level one, probabilities for predicting proxy levels four and five are lower with non-overlapping confidence intervals. Level three predictions consistently yield the highest probabilities across levels. While predicting a level five response has the highest probability at PwD level five, it doesn't exceed the consistently elevated probabilities for predicting levels three and four</w:t>
            </w:r>
          </w:p>
        </w:tc>
        <w:tc>
          <w:tcPr>
            <w:tcW w:w="3006" w:type="dxa"/>
          </w:tcPr>
          <w:p w14:paraId="20035CCA" w14:textId="77777777" w:rsidR="00B54D51" w:rsidRPr="00037AD4" w:rsidRDefault="00B54D51" w:rsidP="000D4FB0">
            <w:pPr>
              <w:rPr>
                <w:rFonts w:asciiTheme="minorHAnsi" w:hAnsiTheme="minorHAnsi" w:cstheme="minorHAnsi"/>
                <w:sz w:val="23"/>
                <w:szCs w:val="23"/>
              </w:rPr>
            </w:pPr>
            <w:r w:rsidRPr="00037AD4">
              <w:rPr>
                <w:rFonts w:asciiTheme="minorHAnsi" w:hAnsiTheme="minorHAnsi" w:cstheme="minorHAnsi"/>
                <w:sz w:val="23"/>
                <w:szCs w:val="23"/>
              </w:rPr>
              <w:t>Probability of predicting a level one staff proxy report is highest across all levels, with non-overlapping confidence intervals at PwD levels one to three. For level five proxy predictions, probabilities increase at PwD levels four and five, although the confidence intervals overlap. At PwD level four, the likelihood of predicting a level one and level five proxy response is nearly equal</w:t>
            </w:r>
          </w:p>
        </w:tc>
      </w:tr>
      <w:tr w:rsidR="00B54D51" w:rsidRPr="00037AD4" w14:paraId="3D151330" w14:textId="77777777" w:rsidTr="000D4FB0">
        <w:tc>
          <w:tcPr>
            <w:tcW w:w="3005" w:type="dxa"/>
          </w:tcPr>
          <w:p w14:paraId="1F901669" w14:textId="77777777" w:rsidR="00B54D51" w:rsidRPr="00037AD4" w:rsidRDefault="00B54D51" w:rsidP="000D4FB0">
            <w:pPr>
              <w:rPr>
                <w:rFonts w:asciiTheme="minorHAnsi" w:hAnsiTheme="minorHAnsi" w:cstheme="minorHAnsi"/>
                <w:sz w:val="23"/>
                <w:szCs w:val="23"/>
              </w:rPr>
            </w:pPr>
            <w:r w:rsidRPr="00037AD4">
              <w:rPr>
                <w:rFonts w:asciiTheme="minorHAnsi" w:hAnsiTheme="minorHAnsi" w:cstheme="minorHAnsi"/>
                <w:sz w:val="23"/>
                <w:szCs w:val="23"/>
              </w:rPr>
              <w:t xml:space="preserve">Marginal effects of key additional model measures </w:t>
            </w:r>
          </w:p>
        </w:tc>
        <w:tc>
          <w:tcPr>
            <w:tcW w:w="6011" w:type="dxa"/>
            <w:gridSpan w:val="2"/>
          </w:tcPr>
          <w:p w14:paraId="75B87E7A" w14:textId="77777777" w:rsidR="00B54D51" w:rsidRPr="00037AD4" w:rsidRDefault="00B54D51" w:rsidP="000D4FB0">
            <w:pPr>
              <w:rPr>
                <w:rFonts w:asciiTheme="minorHAnsi" w:hAnsiTheme="minorHAnsi" w:cstheme="minorHAnsi"/>
                <w:sz w:val="23"/>
                <w:szCs w:val="23"/>
              </w:rPr>
            </w:pPr>
            <w:r w:rsidRPr="00037AD4">
              <w:rPr>
                <w:rFonts w:asciiTheme="minorHAnsi" w:hAnsiTheme="minorHAnsi" w:cstheme="minorHAnsi"/>
                <w:sz w:val="23"/>
                <w:szCs w:val="23"/>
              </w:rPr>
              <w:t>AMEs for NPI generally increase in line with the scoring levels indicating an increased likelihood of worse predicted scoring levels as symptoms worsen</w:t>
            </w:r>
          </w:p>
          <w:p w14:paraId="41D90156" w14:textId="77777777" w:rsidR="00B54D51" w:rsidRPr="00037AD4" w:rsidRDefault="00B54D51" w:rsidP="000D4FB0">
            <w:pPr>
              <w:rPr>
                <w:rFonts w:asciiTheme="minorHAnsi" w:hAnsiTheme="minorHAnsi" w:cstheme="minorHAnsi"/>
                <w:sz w:val="23"/>
                <w:szCs w:val="23"/>
              </w:rPr>
            </w:pPr>
            <w:r w:rsidRPr="00037AD4">
              <w:rPr>
                <w:rFonts w:asciiTheme="minorHAnsi" w:hAnsiTheme="minorHAnsi" w:cstheme="minorHAnsi"/>
                <w:sz w:val="23"/>
                <w:szCs w:val="23"/>
              </w:rPr>
              <w:t>AMEs for the included functional measures are statistically significant and correspond in the expected direction</w:t>
            </w:r>
          </w:p>
        </w:tc>
      </w:tr>
      <w:tr w:rsidR="00B54D51" w:rsidRPr="00037AD4" w14:paraId="5F6286C4" w14:textId="77777777" w:rsidTr="000D4FB0">
        <w:tc>
          <w:tcPr>
            <w:tcW w:w="3005" w:type="dxa"/>
          </w:tcPr>
          <w:p w14:paraId="6C8DF532" w14:textId="77777777" w:rsidR="00B54D51" w:rsidRPr="00037AD4" w:rsidRDefault="00B54D51" w:rsidP="000D4FB0">
            <w:pPr>
              <w:rPr>
                <w:rFonts w:asciiTheme="minorHAnsi" w:hAnsiTheme="minorHAnsi" w:cstheme="minorHAnsi"/>
                <w:sz w:val="23"/>
                <w:szCs w:val="23"/>
              </w:rPr>
            </w:pPr>
            <w:r w:rsidRPr="00037AD4">
              <w:rPr>
                <w:rFonts w:asciiTheme="minorHAnsi" w:hAnsiTheme="minorHAnsi" w:cstheme="minorHAnsi"/>
                <w:sz w:val="23"/>
                <w:szCs w:val="23"/>
              </w:rPr>
              <w:t xml:space="preserve">Observed versus predicted frequencies </w:t>
            </w:r>
          </w:p>
        </w:tc>
        <w:tc>
          <w:tcPr>
            <w:tcW w:w="3005" w:type="dxa"/>
          </w:tcPr>
          <w:p w14:paraId="1D047A6C" w14:textId="77777777" w:rsidR="00B54D51" w:rsidRPr="00037AD4" w:rsidRDefault="00B54D51" w:rsidP="000D4FB0">
            <w:pPr>
              <w:rPr>
                <w:rFonts w:asciiTheme="minorHAnsi" w:hAnsiTheme="minorHAnsi" w:cstheme="minorHAnsi"/>
                <w:sz w:val="23"/>
                <w:szCs w:val="23"/>
              </w:rPr>
            </w:pPr>
            <w:r w:rsidRPr="00037AD4">
              <w:rPr>
                <w:rFonts w:asciiTheme="minorHAnsi" w:hAnsiTheme="minorHAnsi" w:cstheme="minorHAnsi"/>
                <w:sz w:val="23"/>
                <w:szCs w:val="23"/>
              </w:rPr>
              <w:t>After removing MMSE, predictions generally became more precise. Removal of MMSE variable may subtly improve predictive abilities of the model</w:t>
            </w:r>
          </w:p>
        </w:tc>
        <w:tc>
          <w:tcPr>
            <w:tcW w:w="3006" w:type="dxa"/>
          </w:tcPr>
          <w:p w14:paraId="4FD9536E" w14:textId="77777777" w:rsidR="00B54D51" w:rsidRPr="00037AD4" w:rsidRDefault="00B54D51" w:rsidP="000D4FB0">
            <w:pPr>
              <w:rPr>
                <w:rFonts w:asciiTheme="minorHAnsi" w:hAnsiTheme="minorHAnsi" w:cstheme="minorHAnsi"/>
                <w:sz w:val="23"/>
                <w:szCs w:val="23"/>
              </w:rPr>
            </w:pPr>
            <w:r w:rsidRPr="00037AD4">
              <w:rPr>
                <w:rFonts w:asciiTheme="minorHAnsi" w:hAnsiTheme="minorHAnsi" w:cstheme="minorHAnsi"/>
                <w:sz w:val="23"/>
                <w:szCs w:val="23"/>
              </w:rPr>
              <w:t xml:space="preserve">The predictions overestimate the frequency for levels one and two, and underestimate at levels three to five </w:t>
            </w:r>
          </w:p>
        </w:tc>
      </w:tr>
      <w:tr w:rsidR="00B54D51" w:rsidRPr="00037AD4" w14:paraId="54367E92" w14:textId="77777777" w:rsidTr="000D4FB0">
        <w:tc>
          <w:tcPr>
            <w:tcW w:w="3005" w:type="dxa"/>
          </w:tcPr>
          <w:p w14:paraId="61D8E4F1" w14:textId="77777777" w:rsidR="00B54D51" w:rsidRPr="00037AD4" w:rsidRDefault="00B54D51" w:rsidP="000D4FB0">
            <w:pPr>
              <w:rPr>
                <w:rFonts w:asciiTheme="minorHAnsi" w:hAnsiTheme="minorHAnsi" w:cstheme="minorHAnsi"/>
                <w:sz w:val="23"/>
                <w:szCs w:val="23"/>
              </w:rPr>
            </w:pPr>
            <w:r w:rsidRPr="00037AD4">
              <w:rPr>
                <w:rFonts w:asciiTheme="minorHAnsi" w:hAnsiTheme="minorHAnsi" w:cstheme="minorHAnsi"/>
                <w:sz w:val="23"/>
                <w:szCs w:val="23"/>
              </w:rPr>
              <w:t xml:space="preserve">Trial indicator variable </w:t>
            </w:r>
          </w:p>
        </w:tc>
        <w:tc>
          <w:tcPr>
            <w:tcW w:w="6011" w:type="dxa"/>
            <w:gridSpan w:val="2"/>
          </w:tcPr>
          <w:p w14:paraId="58D3E64A" w14:textId="77777777" w:rsidR="00B54D51" w:rsidRPr="00037AD4" w:rsidRDefault="00B54D51" w:rsidP="000D4FB0">
            <w:pPr>
              <w:jc w:val="center"/>
              <w:rPr>
                <w:rFonts w:asciiTheme="minorHAnsi" w:hAnsiTheme="minorHAnsi" w:cstheme="minorHAnsi"/>
                <w:sz w:val="23"/>
                <w:szCs w:val="23"/>
              </w:rPr>
            </w:pPr>
            <w:r w:rsidRPr="00037AD4">
              <w:rPr>
                <w:rFonts w:asciiTheme="minorHAnsi" w:hAnsiTheme="minorHAnsi" w:cstheme="minorHAnsi"/>
                <w:sz w:val="23"/>
                <w:szCs w:val="23"/>
              </w:rPr>
              <w:t>Significant</w:t>
            </w:r>
          </w:p>
        </w:tc>
      </w:tr>
      <w:tr w:rsidR="00B54D51" w:rsidRPr="00037AD4" w14:paraId="7CA6CD58" w14:textId="77777777" w:rsidTr="000D4FB0">
        <w:tc>
          <w:tcPr>
            <w:tcW w:w="9016" w:type="dxa"/>
            <w:gridSpan w:val="3"/>
            <w:shd w:val="clear" w:color="auto" w:fill="E7E6E6" w:themeFill="background2"/>
          </w:tcPr>
          <w:p w14:paraId="49A29123" w14:textId="77777777" w:rsidR="00B54D51" w:rsidRPr="00037AD4" w:rsidRDefault="00B54D51" w:rsidP="000D4FB0">
            <w:pPr>
              <w:jc w:val="center"/>
              <w:rPr>
                <w:rFonts w:asciiTheme="minorHAnsi" w:hAnsiTheme="minorHAnsi" w:cstheme="minorHAnsi"/>
                <w:b/>
                <w:bCs/>
                <w:sz w:val="23"/>
                <w:szCs w:val="23"/>
                <w:u w:val="single"/>
              </w:rPr>
            </w:pPr>
            <w:r w:rsidRPr="00037AD4">
              <w:rPr>
                <w:rFonts w:asciiTheme="minorHAnsi" w:hAnsiTheme="minorHAnsi" w:cstheme="minorHAnsi"/>
                <w:b/>
                <w:bCs/>
                <w:sz w:val="23"/>
                <w:szCs w:val="23"/>
                <w:u w:val="single"/>
              </w:rPr>
              <w:t>Pain/discomfort dimension</w:t>
            </w:r>
          </w:p>
        </w:tc>
      </w:tr>
      <w:tr w:rsidR="00B54D51" w:rsidRPr="00037AD4" w14:paraId="549C0BC9" w14:textId="77777777" w:rsidTr="000D4FB0">
        <w:tc>
          <w:tcPr>
            <w:tcW w:w="3005" w:type="dxa"/>
          </w:tcPr>
          <w:p w14:paraId="26209CCF" w14:textId="77777777" w:rsidR="00B54D51" w:rsidRPr="00037AD4" w:rsidRDefault="00B54D51" w:rsidP="000D4FB0">
            <w:pPr>
              <w:rPr>
                <w:rFonts w:asciiTheme="minorHAnsi" w:hAnsiTheme="minorHAnsi" w:cstheme="minorHAnsi"/>
                <w:sz w:val="23"/>
                <w:szCs w:val="23"/>
              </w:rPr>
            </w:pPr>
            <w:r w:rsidRPr="00037AD4">
              <w:rPr>
                <w:rFonts w:asciiTheme="minorHAnsi" w:hAnsiTheme="minorHAnsi" w:cstheme="minorHAnsi"/>
                <w:sz w:val="23"/>
                <w:szCs w:val="23"/>
              </w:rPr>
              <w:t>Target</w:t>
            </w:r>
          </w:p>
        </w:tc>
        <w:tc>
          <w:tcPr>
            <w:tcW w:w="3005" w:type="dxa"/>
          </w:tcPr>
          <w:p w14:paraId="4C2C8425" w14:textId="77777777" w:rsidR="00B54D51" w:rsidRPr="00037AD4" w:rsidRDefault="00B54D51" w:rsidP="000D4FB0">
            <w:pPr>
              <w:jc w:val="center"/>
              <w:rPr>
                <w:rFonts w:asciiTheme="minorHAnsi" w:hAnsiTheme="minorHAnsi" w:cstheme="minorHAnsi"/>
                <w:i/>
                <w:iCs/>
                <w:sz w:val="23"/>
                <w:szCs w:val="23"/>
              </w:rPr>
            </w:pPr>
            <w:r w:rsidRPr="00037AD4">
              <w:rPr>
                <w:rFonts w:asciiTheme="minorHAnsi" w:hAnsiTheme="minorHAnsi" w:cstheme="minorHAnsi"/>
                <w:i/>
                <w:iCs/>
                <w:sz w:val="23"/>
                <w:szCs w:val="23"/>
              </w:rPr>
              <w:t>PwD</w:t>
            </w:r>
          </w:p>
        </w:tc>
        <w:tc>
          <w:tcPr>
            <w:tcW w:w="3006" w:type="dxa"/>
          </w:tcPr>
          <w:p w14:paraId="62D65C33" w14:textId="77777777" w:rsidR="00B54D51" w:rsidRPr="00037AD4" w:rsidRDefault="00B54D51" w:rsidP="000D4FB0">
            <w:pPr>
              <w:jc w:val="center"/>
              <w:rPr>
                <w:rFonts w:asciiTheme="minorHAnsi" w:hAnsiTheme="minorHAnsi" w:cstheme="minorHAnsi"/>
                <w:i/>
                <w:iCs/>
                <w:sz w:val="23"/>
                <w:szCs w:val="23"/>
              </w:rPr>
            </w:pPr>
            <w:r w:rsidRPr="00037AD4">
              <w:rPr>
                <w:rFonts w:asciiTheme="minorHAnsi" w:hAnsiTheme="minorHAnsi" w:cstheme="minorHAnsi"/>
                <w:i/>
                <w:iCs/>
                <w:sz w:val="23"/>
                <w:szCs w:val="23"/>
              </w:rPr>
              <w:t>PwD</w:t>
            </w:r>
          </w:p>
        </w:tc>
      </w:tr>
      <w:tr w:rsidR="00B54D51" w:rsidRPr="00037AD4" w14:paraId="45E1B983" w14:textId="77777777" w:rsidTr="000D4FB0">
        <w:tc>
          <w:tcPr>
            <w:tcW w:w="3005" w:type="dxa"/>
          </w:tcPr>
          <w:p w14:paraId="017CF025" w14:textId="77777777" w:rsidR="00B54D51" w:rsidRPr="00037AD4" w:rsidRDefault="00B54D51" w:rsidP="000D4FB0">
            <w:pPr>
              <w:rPr>
                <w:rFonts w:asciiTheme="minorHAnsi" w:hAnsiTheme="minorHAnsi" w:cstheme="minorHAnsi"/>
                <w:sz w:val="23"/>
                <w:szCs w:val="23"/>
              </w:rPr>
            </w:pPr>
            <w:r w:rsidRPr="00037AD4">
              <w:rPr>
                <w:rFonts w:asciiTheme="minorHAnsi" w:hAnsiTheme="minorHAnsi" w:cstheme="minorHAnsi"/>
                <w:sz w:val="23"/>
                <w:szCs w:val="23"/>
              </w:rPr>
              <w:t xml:space="preserve">Marginal effects </w:t>
            </w:r>
          </w:p>
        </w:tc>
        <w:tc>
          <w:tcPr>
            <w:tcW w:w="3005" w:type="dxa"/>
          </w:tcPr>
          <w:p w14:paraId="311571EA" w14:textId="77777777" w:rsidR="00B54D51" w:rsidRPr="00037AD4" w:rsidRDefault="00B54D51" w:rsidP="000D4FB0">
            <w:pPr>
              <w:rPr>
                <w:rFonts w:asciiTheme="minorHAnsi" w:hAnsiTheme="minorHAnsi" w:cstheme="minorHAnsi"/>
                <w:sz w:val="23"/>
                <w:szCs w:val="23"/>
              </w:rPr>
            </w:pPr>
            <w:r w:rsidRPr="00037AD4">
              <w:rPr>
                <w:rFonts w:asciiTheme="minorHAnsi" w:hAnsiTheme="minorHAnsi" w:cstheme="minorHAnsi"/>
                <w:color w:val="000000" w:themeColor="text1"/>
                <w:sz w:val="23"/>
                <w:szCs w:val="23"/>
              </w:rPr>
              <w:t xml:space="preserve">Probability of predicting a level one PwD response reduces in linear-like fashion across proxy levels. At proxy levels one and two, the </w:t>
            </w:r>
            <w:r w:rsidRPr="00037AD4">
              <w:rPr>
                <w:rFonts w:asciiTheme="minorHAnsi" w:hAnsiTheme="minorHAnsi" w:cstheme="minorHAnsi"/>
                <w:color w:val="000000" w:themeColor="text1"/>
                <w:sz w:val="23"/>
                <w:szCs w:val="23"/>
              </w:rPr>
              <w:lastRenderedPageBreak/>
              <w:t xml:space="preserve">probability of a level one PwD prediction is noticeably higher than that of the other levels, with no overlapping confidence intervals – significant </w:t>
            </w:r>
          </w:p>
        </w:tc>
        <w:tc>
          <w:tcPr>
            <w:tcW w:w="3006" w:type="dxa"/>
          </w:tcPr>
          <w:p w14:paraId="1EBFF9E0" w14:textId="77777777" w:rsidR="00B54D51" w:rsidRPr="00037AD4" w:rsidRDefault="00B54D51" w:rsidP="000D4FB0">
            <w:pPr>
              <w:rPr>
                <w:rFonts w:asciiTheme="minorHAnsi" w:hAnsiTheme="minorHAnsi" w:cstheme="minorHAnsi"/>
                <w:sz w:val="23"/>
                <w:szCs w:val="23"/>
              </w:rPr>
            </w:pPr>
            <w:r w:rsidRPr="00037AD4">
              <w:rPr>
                <w:rFonts w:asciiTheme="minorHAnsi" w:hAnsiTheme="minorHAnsi" w:cstheme="minorHAnsi"/>
                <w:sz w:val="23"/>
                <w:szCs w:val="23"/>
              </w:rPr>
              <w:lastRenderedPageBreak/>
              <w:t xml:space="preserve">Probabilities for predicting all PwD-levels increase in line with proxy responses. Probabilities for level one remains the highest across all </w:t>
            </w:r>
            <w:r w:rsidRPr="00037AD4">
              <w:rPr>
                <w:rFonts w:asciiTheme="minorHAnsi" w:hAnsiTheme="minorHAnsi" w:cstheme="minorHAnsi"/>
                <w:sz w:val="23"/>
                <w:szCs w:val="23"/>
              </w:rPr>
              <w:lastRenderedPageBreak/>
              <w:t xml:space="preserve">proxy levels. Probabilities for PwD level five predictions are non-significant at all levels and are negligible </w:t>
            </w:r>
            <w:r w:rsidRPr="00037AD4">
              <w:rPr>
                <w:rFonts w:asciiTheme="minorHAnsi" w:hAnsiTheme="minorHAnsi" w:cstheme="minorHAnsi"/>
                <w:color w:val="000000" w:themeColor="text1"/>
                <w:sz w:val="23"/>
                <w:szCs w:val="23"/>
              </w:rPr>
              <w:t>– likely attributable to ceiling effects</w:t>
            </w:r>
          </w:p>
        </w:tc>
      </w:tr>
      <w:tr w:rsidR="00B54D51" w:rsidRPr="00037AD4" w14:paraId="249D5403" w14:textId="77777777" w:rsidTr="000D4FB0">
        <w:tc>
          <w:tcPr>
            <w:tcW w:w="3005" w:type="dxa"/>
          </w:tcPr>
          <w:p w14:paraId="7F96C272" w14:textId="77777777" w:rsidR="00B54D51" w:rsidRPr="00037AD4" w:rsidRDefault="00B54D51" w:rsidP="000D4FB0">
            <w:pPr>
              <w:rPr>
                <w:rFonts w:asciiTheme="minorHAnsi" w:hAnsiTheme="minorHAnsi" w:cstheme="minorHAnsi"/>
                <w:sz w:val="23"/>
                <w:szCs w:val="23"/>
              </w:rPr>
            </w:pPr>
            <w:r w:rsidRPr="00037AD4">
              <w:rPr>
                <w:rFonts w:asciiTheme="minorHAnsi" w:hAnsiTheme="minorHAnsi" w:cstheme="minorHAnsi"/>
                <w:sz w:val="23"/>
                <w:szCs w:val="23"/>
              </w:rPr>
              <w:lastRenderedPageBreak/>
              <w:t xml:space="preserve">Marginal effects of key additional model measures </w:t>
            </w:r>
          </w:p>
        </w:tc>
        <w:tc>
          <w:tcPr>
            <w:tcW w:w="6011" w:type="dxa"/>
            <w:gridSpan w:val="2"/>
          </w:tcPr>
          <w:p w14:paraId="55AE8E7E" w14:textId="77777777" w:rsidR="00B54D51" w:rsidRPr="00037AD4" w:rsidRDefault="00B54D51" w:rsidP="000D4FB0">
            <w:pPr>
              <w:jc w:val="center"/>
              <w:rPr>
                <w:rFonts w:asciiTheme="minorHAnsi" w:hAnsiTheme="minorHAnsi" w:cstheme="minorHAnsi"/>
                <w:sz w:val="23"/>
                <w:szCs w:val="23"/>
              </w:rPr>
            </w:pPr>
            <w:r w:rsidRPr="00037AD4">
              <w:rPr>
                <w:rFonts w:asciiTheme="minorHAnsi" w:hAnsiTheme="minorHAnsi" w:cstheme="minorHAnsi"/>
                <w:sz w:val="23"/>
                <w:szCs w:val="23"/>
              </w:rPr>
              <w:t xml:space="preserve">N/A (no additional symptom measures were included in the preferred models) </w:t>
            </w:r>
          </w:p>
        </w:tc>
      </w:tr>
      <w:tr w:rsidR="00B54D51" w:rsidRPr="00037AD4" w14:paraId="5ED506AE" w14:textId="77777777" w:rsidTr="000D4FB0">
        <w:tc>
          <w:tcPr>
            <w:tcW w:w="3005" w:type="dxa"/>
          </w:tcPr>
          <w:p w14:paraId="42ACC192" w14:textId="77777777" w:rsidR="00B54D51" w:rsidRPr="00037AD4" w:rsidRDefault="00B54D51" w:rsidP="000D4FB0">
            <w:pPr>
              <w:rPr>
                <w:rFonts w:asciiTheme="minorHAnsi" w:hAnsiTheme="minorHAnsi" w:cstheme="minorHAnsi"/>
                <w:sz w:val="23"/>
                <w:szCs w:val="23"/>
              </w:rPr>
            </w:pPr>
            <w:r w:rsidRPr="00037AD4">
              <w:rPr>
                <w:rFonts w:asciiTheme="minorHAnsi" w:hAnsiTheme="minorHAnsi" w:cstheme="minorHAnsi"/>
                <w:sz w:val="23"/>
                <w:szCs w:val="23"/>
              </w:rPr>
              <w:t xml:space="preserve">Observed versus predicted frequencies </w:t>
            </w:r>
          </w:p>
        </w:tc>
        <w:tc>
          <w:tcPr>
            <w:tcW w:w="3005" w:type="dxa"/>
          </w:tcPr>
          <w:p w14:paraId="788AC6A4" w14:textId="77777777" w:rsidR="00B54D51" w:rsidRPr="00037AD4" w:rsidRDefault="00B54D51" w:rsidP="000D4FB0">
            <w:pPr>
              <w:rPr>
                <w:rFonts w:asciiTheme="minorHAnsi" w:hAnsiTheme="minorHAnsi" w:cstheme="minorHAnsi"/>
                <w:sz w:val="23"/>
                <w:szCs w:val="23"/>
              </w:rPr>
            </w:pPr>
            <w:r w:rsidRPr="00037AD4">
              <w:rPr>
                <w:rFonts w:asciiTheme="minorHAnsi" w:hAnsiTheme="minorHAnsi" w:cstheme="minorHAnsi"/>
                <w:sz w:val="23"/>
                <w:szCs w:val="23"/>
              </w:rPr>
              <w:t>Removal of MMSE had minimal impact on level one and two prediction frequencies. Deviations were observed for level three and four predictions. Inconclusive Impact of removing MMSE from the model</w:t>
            </w:r>
          </w:p>
        </w:tc>
        <w:tc>
          <w:tcPr>
            <w:tcW w:w="3006" w:type="dxa"/>
          </w:tcPr>
          <w:p w14:paraId="7EF38227" w14:textId="77777777" w:rsidR="00B54D51" w:rsidRPr="00037AD4" w:rsidRDefault="00B54D51" w:rsidP="000D4FB0">
            <w:pPr>
              <w:rPr>
                <w:rFonts w:asciiTheme="minorHAnsi" w:hAnsiTheme="minorHAnsi" w:cstheme="minorHAnsi"/>
                <w:sz w:val="23"/>
                <w:szCs w:val="23"/>
              </w:rPr>
            </w:pPr>
            <w:r w:rsidRPr="00037AD4">
              <w:rPr>
                <w:rFonts w:asciiTheme="minorHAnsi" w:hAnsiTheme="minorHAnsi" w:cstheme="minorHAnsi"/>
                <w:sz w:val="23"/>
                <w:szCs w:val="23"/>
              </w:rPr>
              <w:t>Predictions are strong and show alignment with the observed frequencies, specifically for categories one to three</w:t>
            </w:r>
          </w:p>
        </w:tc>
      </w:tr>
      <w:tr w:rsidR="00B54D51" w:rsidRPr="00037AD4" w14:paraId="2AC359B7" w14:textId="77777777" w:rsidTr="000D4FB0">
        <w:tc>
          <w:tcPr>
            <w:tcW w:w="3005" w:type="dxa"/>
          </w:tcPr>
          <w:p w14:paraId="2D6E2C6F" w14:textId="77777777" w:rsidR="00B54D51" w:rsidRPr="00037AD4" w:rsidRDefault="00B54D51" w:rsidP="000D4FB0">
            <w:pPr>
              <w:rPr>
                <w:rFonts w:asciiTheme="minorHAnsi" w:hAnsiTheme="minorHAnsi" w:cstheme="minorHAnsi"/>
                <w:sz w:val="23"/>
                <w:szCs w:val="23"/>
              </w:rPr>
            </w:pPr>
            <w:r w:rsidRPr="00037AD4">
              <w:rPr>
                <w:rFonts w:asciiTheme="minorHAnsi" w:hAnsiTheme="minorHAnsi" w:cstheme="minorHAnsi"/>
                <w:sz w:val="23"/>
                <w:szCs w:val="23"/>
              </w:rPr>
              <w:t xml:space="preserve">Trial indicator variable </w:t>
            </w:r>
          </w:p>
        </w:tc>
        <w:tc>
          <w:tcPr>
            <w:tcW w:w="6011" w:type="dxa"/>
            <w:gridSpan w:val="2"/>
          </w:tcPr>
          <w:p w14:paraId="76AB7563" w14:textId="77777777" w:rsidR="00B54D51" w:rsidRPr="00037AD4" w:rsidRDefault="00B54D51" w:rsidP="000D4FB0">
            <w:pPr>
              <w:jc w:val="center"/>
              <w:rPr>
                <w:rFonts w:asciiTheme="minorHAnsi" w:hAnsiTheme="minorHAnsi" w:cstheme="minorHAnsi"/>
                <w:sz w:val="23"/>
                <w:szCs w:val="23"/>
              </w:rPr>
            </w:pPr>
            <w:r w:rsidRPr="00037AD4">
              <w:rPr>
                <w:rFonts w:asciiTheme="minorHAnsi" w:hAnsiTheme="minorHAnsi" w:cstheme="minorHAnsi"/>
                <w:sz w:val="23"/>
                <w:szCs w:val="23"/>
              </w:rPr>
              <w:t>N/A (was not applied due to differences in the core models)</w:t>
            </w:r>
          </w:p>
        </w:tc>
      </w:tr>
      <w:tr w:rsidR="00B54D51" w:rsidRPr="00037AD4" w14:paraId="2600ACCA" w14:textId="77777777" w:rsidTr="000D4FB0">
        <w:tc>
          <w:tcPr>
            <w:tcW w:w="9016" w:type="dxa"/>
            <w:gridSpan w:val="3"/>
            <w:shd w:val="clear" w:color="auto" w:fill="E7E6E6" w:themeFill="background2"/>
          </w:tcPr>
          <w:p w14:paraId="235599F9" w14:textId="77777777" w:rsidR="00B54D51" w:rsidRPr="00037AD4" w:rsidRDefault="00B54D51" w:rsidP="000D4FB0">
            <w:pPr>
              <w:jc w:val="center"/>
              <w:rPr>
                <w:rFonts w:asciiTheme="minorHAnsi" w:hAnsiTheme="minorHAnsi" w:cstheme="minorHAnsi"/>
                <w:b/>
                <w:bCs/>
                <w:sz w:val="23"/>
                <w:szCs w:val="23"/>
                <w:u w:val="single"/>
              </w:rPr>
            </w:pPr>
            <w:r w:rsidRPr="00037AD4">
              <w:rPr>
                <w:rFonts w:asciiTheme="minorHAnsi" w:hAnsiTheme="minorHAnsi" w:cstheme="minorHAnsi"/>
                <w:b/>
                <w:bCs/>
                <w:sz w:val="23"/>
                <w:szCs w:val="23"/>
                <w:u w:val="single"/>
              </w:rPr>
              <w:t>Anxiety/depression dimension</w:t>
            </w:r>
          </w:p>
        </w:tc>
      </w:tr>
      <w:tr w:rsidR="00B54D51" w:rsidRPr="00037AD4" w14:paraId="3E385A99" w14:textId="77777777" w:rsidTr="000D4FB0">
        <w:tc>
          <w:tcPr>
            <w:tcW w:w="3005" w:type="dxa"/>
          </w:tcPr>
          <w:p w14:paraId="02F1983B" w14:textId="77777777" w:rsidR="00B54D51" w:rsidRPr="00037AD4" w:rsidRDefault="00B54D51" w:rsidP="000D4FB0">
            <w:pPr>
              <w:rPr>
                <w:rFonts w:asciiTheme="minorHAnsi" w:hAnsiTheme="minorHAnsi" w:cstheme="minorHAnsi"/>
                <w:sz w:val="23"/>
                <w:szCs w:val="23"/>
              </w:rPr>
            </w:pPr>
            <w:r w:rsidRPr="00037AD4">
              <w:rPr>
                <w:rFonts w:asciiTheme="minorHAnsi" w:hAnsiTheme="minorHAnsi" w:cstheme="minorHAnsi"/>
                <w:sz w:val="23"/>
                <w:szCs w:val="23"/>
              </w:rPr>
              <w:t>Target</w:t>
            </w:r>
          </w:p>
        </w:tc>
        <w:tc>
          <w:tcPr>
            <w:tcW w:w="3005" w:type="dxa"/>
          </w:tcPr>
          <w:p w14:paraId="0969B08E" w14:textId="77777777" w:rsidR="00B54D51" w:rsidRPr="00037AD4" w:rsidRDefault="00B54D51" w:rsidP="000D4FB0">
            <w:pPr>
              <w:jc w:val="center"/>
              <w:rPr>
                <w:rFonts w:asciiTheme="minorHAnsi" w:hAnsiTheme="minorHAnsi" w:cstheme="minorHAnsi"/>
                <w:i/>
                <w:iCs/>
                <w:sz w:val="23"/>
                <w:szCs w:val="23"/>
              </w:rPr>
            </w:pPr>
            <w:r w:rsidRPr="00037AD4">
              <w:rPr>
                <w:rFonts w:asciiTheme="minorHAnsi" w:hAnsiTheme="minorHAnsi" w:cstheme="minorHAnsi"/>
                <w:i/>
                <w:iCs/>
                <w:sz w:val="23"/>
                <w:szCs w:val="23"/>
              </w:rPr>
              <w:t>PwD</w:t>
            </w:r>
          </w:p>
        </w:tc>
        <w:tc>
          <w:tcPr>
            <w:tcW w:w="3006" w:type="dxa"/>
          </w:tcPr>
          <w:p w14:paraId="36A6F601" w14:textId="77777777" w:rsidR="00B54D51" w:rsidRPr="00037AD4" w:rsidRDefault="00B54D51" w:rsidP="000D4FB0">
            <w:pPr>
              <w:jc w:val="center"/>
              <w:rPr>
                <w:rFonts w:asciiTheme="minorHAnsi" w:hAnsiTheme="minorHAnsi" w:cstheme="minorHAnsi"/>
                <w:i/>
                <w:iCs/>
                <w:sz w:val="23"/>
                <w:szCs w:val="23"/>
              </w:rPr>
            </w:pPr>
            <w:r w:rsidRPr="00037AD4">
              <w:rPr>
                <w:rFonts w:asciiTheme="minorHAnsi" w:hAnsiTheme="minorHAnsi" w:cstheme="minorHAnsi"/>
                <w:i/>
                <w:iCs/>
                <w:sz w:val="23"/>
                <w:szCs w:val="23"/>
              </w:rPr>
              <w:t>PwD</w:t>
            </w:r>
          </w:p>
        </w:tc>
      </w:tr>
      <w:tr w:rsidR="00B54D51" w:rsidRPr="00037AD4" w14:paraId="4A870871" w14:textId="77777777" w:rsidTr="000D4FB0">
        <w:tc>
          <w:tcPr>
            <w:tcW w:w="3005" w:type="dxa"/>
          </w:tcPr>
          <w:p w14:paraId="12F86CC3" w14:textId="77777777" w:rsidR="00B54D51" w:rsidRPr="00037AD4" w:rsidRDefault="00B54D51" w:rsidP="000D4FB0">
            <w:pPr>
              <w:rPr>
                <w:rFonts w:asciiTheme="minorHAnsi" w:hAnsiTheme="minorHAnsi" w:cstheme="minorHAnsi"/>
                <w:sz w:val="23"/>
                <w:szCs w:val="23"/>
              </w:rPr>
            </w:pPr>
            <w:r w:rsidRPr="00037AD4">
              <w:rPr>
                <w:rFonts w:asciiTheme="minorHAnsi" w:hAnsiTheme="minorHAnsi" w:cstheme="minorHAnsi"/>
                <w:sz w:val="23"/>
                <w:szCs w:val="23"/>
              </w:rPr>
              <w:t xml:space="preserve">Marginal effects </w:t>
            </w:r>
          </w:p>
        </w:tc>
        <w:tc>
          <w:tcPr>
            <w:tcW w:w="3005" w:type="dxa"/>
          </w:tcPr>
          <w:p w14:paraId="5F712BC3" w14:textId="77777777" w:rsidR="00B54D51" w:rsidRPr="00037AD4" w:rsidRDefault="00B54D51" w:rsidP="000D4FB0">
            <w:pPr>
              <w:rPr>
                <w:rFonts w:asciiTheme="minorHAnsi" w:hAnsiTheme="minorHAnsi" w:cstheme="minorHAnsi"/>
                <w:sz w:val="23"/>
                <w:szCs w:val="23"/>
              </w:rPr>
            </w:pPr>
            <w:r w:rsidRPr="00037AD4">
              <w:rPr>
                <w:rFonts w:asciiTheme="minorHAnsi" w:hAnsiTheme="minorHAnsi" w:cstheme="minorHAnsi"/>
                <w:color w:val="000000" w:themeColor="text1"/>
                <w:sz w:val="23"/>
                <w:szCs w:val="23"/>
              </w:rPr>
              <w:t xml:space="preserve">Probabilities associated with predicting level one PwD responses are the highest across proxy levels one to four, with non-overlapping confidence intervals – significant </w:t>
            </w:r>
          </w:p>
        </w:tc>
        <w:tc>
          <w:tcPr>
            <w:tcW w:w="3006" w:type="dxa"/>
          </w:tcPr>
          <w:p w14:paraId="13A8B727" w14:textId="77777777" w:rsidR="00B54D51" w:rsidRPr="00037AD4" w:rsidRDefault="00B54D51" w:rsidP="000D4FB0">
            <w:pPr>
              <w:rPr>
                <w:rFonts w:asciiTheme="minorHAnsi" w:hAnsiTheme="minorHAnsi" w:cstheme="minorHAnsi"/>
                <w:sz w:val="23"/>
                <w:szCs w:val="23"/>
              </w:rPr>
            </w:pPr>
            <w:r w:rsidRPr="00037AD4">
              <w:rPr>
                <w:rFonts w:asciiTheme="minorHAnsi" w:hAnsiTheme="minorHAnsi" w:cstheme="minorHAnsi"/>
                <w:color w:val="000000" w:themeColor="text1"/>
                <w:sz w:val="23"/>
                <w:szCs w:val="23"/>
              </w:rPr>
              <w:t>A gradual decrease in level one PwD predictions across proxy responses is observed, with wide CIs at level five - no longer statistically significant. Predictive margins for the other levels show gradual increase in line with proxy responses, however for level five predictions the probabilities are negligible and non-significant – likely attributable to ceiling effects</w:t>
            </w:r>
          </w:p>
        </w:tc>
      </w:tr>
      <w:tr w:rsidR="00B54D51" w:rsidRPr="00037AD4" w14:paraId="4D27C9B0" w14:textId="77777777" w:rsidTr="000D4FB0">
        <w:tc>
          <w:tcPr>
            <w:tcW w:w="3005" w:type="dxa"/>
          </w:tcPr>
          <w:p w14:paraId="395BB683" w14:textId="77777777" w:rsidR="00B54D51" w:rsidRPr="00037AD4" w:rsidRDefault="00B54D51" w:rsidP="000D4FB0">
            <w:pPr>
              <w:rPr>
                <w:rFonts w:asciiTheme="minorHAnsi" w:hAnsiTheme="minorHAnsi" w:cstheme="minorHAnsi"/>
                <w:sz w:val="23"/>
                <w:szCs w:val="23"/>
              </w:rPr>
            </w:pPr>
            <w:r w:rsidRPr="00037AD4">
              <w:rPr>
                <w:rFonts w:asciiTheme="minorHAnsi" w:hAnsiTheme="minorHAnsi" w:cstheme="minorHAnsi"/>
                <w:sz w:val="23"/>
                <w:szCs w:val="23"/>
              </w:rPr>
              <w:t xml:space="preserve">Marginal effects of key additional model measures </w:t>
            </w:r>
          </w:p>
        </w:tc>
        <w:tc>
          <w:tcPr>
            <w:tcW w:w="6011" w:type="dxa"/>
            <w:gridSpan w:val="2"/>
          </w:tcPr>
          <w:p w14:paraId="0E7582CE" w14:textId="77777777" w:rsidR="00B54D51" w:rsidRPr="00037AD4" w:rsidRDefault="00B54D51" w:rsidP="000D4FB0">
            <w:pPr>
              <w:rPr>
                <w:rFonts w:asciiTheme="minorHAnsi" w:hAnsiTheme="minorHAnsi" w:cstheme="minorHAnsi"/>
                <w:sz w:val="23"/>
                <w:szCs w:val="23"/>
              </w:rPr>
            </w:pPr>
            <w:r w:rsidRPr="00037AD4">
              <w:rPr>
                <w:rFonts w:asciiTheme="minorHAnsi" w:hAnsiTheme="minorHAnsi" w:cstheme="minorHAnsi"/>
                <w:sz w:val="23"/>
                <w:szCs w:val="23"/>
              </w:rPr>
              <w:t>AMEs for NPI are small across both trials, but statistically significant within the EPIC model</w:t>
            </w:r>
          </w:p>
        </w:tc>
      </w:tr>
      <w:tr w:rsidR="00B54D51" w:rsidRPr="00037AD4" w14:paraId="6B08DA18" w14:textId="77777777" w:rsidTr="000D4FB0">
        <w:tc>
          <w:tcPr>
            <w:tcW w:w="3005" w:type="dxa"/>
          </w:tcPr>
          <w:p w14:paraId="0A714F44" w14:textId="77777777" w:rsidR="00B54D51" w:rsidRPr="00037AD4" w:rsidRDefault="00B54D51" w:rsidP="000D4FB0">
            <w:pPr>
              <w:rPr>
                <w:rFonts w:asciiTheme="minorHAnsi" w:hAnsiTheme="minorHAnsi" w:cstheme="minorHAnsi"/>
                <w:sz w:val="23"/>
                <w:szCs w:val="23"/>
              </w:rPr>
            </w:pPr>
            <w:r w:rsidRPr="00037AD4">
              <w:rPr>
                <w:rFonts w:asciiTheme="minorHAnsi" w:hAnsiTheme="minorHAnsi" w:cstheme="minorHAnsi"/>
                <w:sz w:val="23"/>
                <w:szCs w:val="23"/>
              </w:rPr>
              <w:t xml:space="preserve">Observed versus predicted frequencies </w:t>
            </w:r>
          </w:p>
        </w:tc>
        <w:tc>
          <w:tcPr>
            <w:tcW w:w="3005" w:type="dxa"/>
          </w:tcPr>
          <w:p w14:paraId="37FA8D84" w14:textId="77777777" w:rsidR="00B54D51" w:rsidRPr="00037AD4" w:rsidRDefault="00B54D51" w:rsidP="000D4FB0">
            <w:pPr>
              <w:rPr>
                <w:rFonts w:asciiTheme="minorHAnsi" w:hAnsiTheme="minorHAnsi" w:cstheme="minorHAnsi"/>
                <w:sz w:val="23"/>
                <w:szCs w:val="23"/>
              </w:rPr>
            </w:pPr>
            <w:r w:rsidRPr="00037AD4">
              <w:rPr>
                <w:rFonts w:asciiTheme="minorHAnsi" w:hAnsiTheme="minorHAnsi" w:cstheme="minorHAnsi"/>
                <w:sz w:val="23"/>
                <w:szCs w:val="23"/>
              </w:rPr>
              <w:t xml:space="preserve">Strong alignment between the observed and predicted frequencies with minimal impact upon removal of MMSE variable </w:t>
            </w:r>
          </w:p>
        </w:tc>
        <w:tc>
          <w:tcPr>
            <w:tcW w:w="3006" w:type="dxa"/>
          </w:tcPr>
          <w:p w14:paraId="2213C211" w14:textId="77777777" w:rsidR="00B54D51" w:rsidRPr="00037AD4" w:rsidRDefault="00B54D51" w:rsidP="000D4FB0">
            <w:pPr>
              <w:rPr>
                <w:rFonts w:asciiTheme="minorHAnsi" w:hAnsiTheme="minorHAnsi" w:cstheme="minorHAnsi"/>
                <w:sz w:val="23"/>
                <w:szCs w:val="23"/>
              </w:rPr>
            </w:pPr>
            <w:r w:rsidRPr="00037AD4">
              <w:rPr>
                <w:rFonts w:asciiTheme="minorHAnsi" w:hAnsiTheme="minorHAnsi" w:cstheme="minorHAnsi"/>
                <w:sz w:val="23"/>
                <w:szCs w:val="23"/>
              </w:rPr>
              <w:t xml:space="preserve">Noticeable alignment between observed and predicted frequencies – slight overestimation at level four and underestimation at level five   </w:t>
            </w:r>
          </w:p>
        </w:tc>
      </w:tr>
      <w:tr w:rsidR="00B54D51" w:rsidRPr="00037AD4" w14:paraId="2B1EDB88" w14:textId="77777777" w:rsidTr="000D4FB0">
        <w:tc>
          <w:tcPr>
            <w:tcW w:w="3005" w:type="dxa"/>
          </w:tcPr>
          <w:p w14:paraId="4DA3B557" w14:textId="77777777" w:rsidR="00B54D51" w:rsidRPr="00037AD4" w:rsidRDefault="00B54D51" w:rsidP="000D4FB0">
            <w:pPr>
              <w:rPr>
                <w:rFonts w:asciiTheme="minorHAnsi" w:hAnsiTheme="minorHAnsi" w:cstheme="minorHAnsi"/>
                <w:sz w:val="23"/>
                <w:szCs w:val="23"/>
              </w:rPr>
            </w:pPr>
            <w:r w:rsidRPr="00037AD4">
              <w:rPr>
                <w:rFonts w:asciiTheme="minorHAnsi" w:hAnsiTheme="minorHAnsi" w:cstheme="minorHAnsi"/>
                <w:sz w:val="23"/>
                <w:szCs w:val="23"/>
              </w:rPr>
              <w:t xml:space="preserve">Trial indicator variable </w:t>
            </w:r>
          </w:p>
        </w:tc>
        <w:tc>
          <w:tcPr>
            <w:tcW w:w="6011" w:type="dxa"/>
            <w:gridSpan w:val="2"/>
          </w:tcPr>
          <w:p w14:paraId="1C70B6BB" w14:textId="77777777" w:rsidR="00B54D51" w:rsidRPr="00037AD4" w:rsidRDefault="00B54D51" w:rsidP="000D4FB0">
            <w:pPr>
              <w:jc w:val="center"/>
              <w:rPr>
                <w:rFonts w:asciiTheme="minorHAnsi" w:hAnsiTheme="minorHAnsi" w:cstheme="minorHAnsi"/>
                <w:sz w:val="23"/>
                <w:szCs w:val="23"/>
              </w:rPr>
            </w:pPr>
            <w:r w:rsidRPr="00037AD4">
              <w:rPr>
                <w:rFonts w:asciiTheme="minorHAnsi" w:hAnsiTheme="minorHAnsi" w:cstheme="minorHAnsi"/>
                <w:sz w:val="23"/>
                <w:szCs w:val="23"/>
              </w:rPr>
              <w:t xml:space="preserve">Significant </w:t>
            </w:r>
          </w:p>
        </w:tc>
      </w:tr>
      <w:tr w:rsidR="00B54D51" w:rsidRPr="00037AD4" w14:paraId="6B8BF34D" w14:textId="77777777" w:rsidTr="00C85A10">
        <w:trPr>
          <w:trHeight w:val="175"/>
        </w:trPr>
        <w:tc>
          <w:tcPr>
            <w:tcW w:w="9016" w:type="dxa"/>
            <w:gridSpan w:val="3"/>
          </w:tcPr>
          <w:p w14:paraId="59D8C1B4" w14:textId="77777777" w:rsidR="00B54D51" w:rsidRPr="00037AD4" w:rsidRDefault="00B54D51" w:rsidP="00C85A10">
            <w:pPr>
              <w:rPr>
                <w:rFonts w:asciiTheme="minorHAnsi" w:hAnsiTheme="minorHAnsi" w:cstheme="minorHAnsi"/>
                <w:sz w:val="23"/>
                <w:szCs w:val="23"/>
              </w:rPr>
            </w:pPr>
            <w:r w:rsidRPr="00037AD4">
              <w:rPr>
                <w:rFonts w:asciiTheme="minorHAnsi" w:hAnsiTheme="minorHAnsi" w:cstheme="minorHAnsi"/>
                <w:sz w:val="23"/>
                <w:szCs w:val="23"/>
              </w:rPr>
              <w:t>AME, average marginal effect; CI, confidence interval; MMSE, mini-mental state examination; N/A, not applicable; NPI, neuropsychiatric inventory; PwD, person with dementia</w:t>
            </w:r>
          </w:p>
        </w:tc>
      </w:tr>
    </w:tbl>
    <w:p w14:paraId="6626F3C1" w14:textId="77777777" w:rsidR="00B54D51" w:rsidRPr="00037AD4" w:rsidRDefault="00B54D51" w:rsidP="00D56F9C">
      <w:pPr>
        <w:rPr>
          <w:rFonts w:asciiTheme="minorHAnsi" w:hAnsiTheme="minorHAnsi" w:cstheme="minorHAnsi"/>
        </w:rPr>
      </w:pPr>
    </w:p>
    <w:p w14:paraId="7F6220E1" w14:textId="77777777" w:rsidR="00B54D51" w:rsidRPr="00037AD4" w:rsidRDefault="00B54D51" w:rsidP="007A43F9">
      <w:pPr>
        <w:pStyle w:val="Heading3"/>
      </w:pPr>
      <w:bookmarkStart w:id="409" w:name="_Toc175742363"/>
      <w:r w:rsidRPr="00037AD4">
        <w:t>6.5.1 Response mapping models</w:t>
      </w:r>
      <w:bookmarkEnd w:id="409"/>
      <w:r w:rsidRPr="00037AD4">
        <w:t xml:space="preserve"> </w:t>
      </w:r>
    </w:p>
    <w:p w14:paraId="72945BE9" w14:textId="77777777" w:rsidR="00B54D51" w:rsidRPr="00037AD4" w:rsidRDefault="00B54D51" w:rsidP="00D56F9C">
      <w:pPr>
        <w:rPr>
          <w:rFonts w:asciiTheme="minorHAnsi" w:hAnsiTheme="minorHAnsi" w:cstheme="minorHAnsi"/>
        </w:rPr>
      </w:pPr>
    </w:p>
    <w:p w14:paraId="4096E35E" w14:textId="77777777" w:rsidR="00B54D51" w:rsidRPr="00037AD4" w:rsidRDefault="00B54D51" w:rsidP="00D56F9C">
      <w:pPr>
        <w:rPr>
          <w:rFonts w:asciiTheme="minorHAnsi" w:hAnsiTheme="minorHAnsi" w:cstheme="minorHAnsi"/>
        </w:rPr>
      </w:pPr>
      <w:r w:rsidRPr="00037AD4">
        <w:rPr>
          <w:rFonts w:asciiTheme="minorHAnsi" w:hAnsiTheme="minorHAnsi" w:cstheme="minorHAnsi"/>
        </w:rPr>
        <w:t xml:space="preserve">The analysis reveals that the utility distributions derived from the ordered probit models were narrower compared to those of the observed data, a characteristic observed in </w:t>
      </w:r>
      <w:r w:rsidRPr="00037AD4">
        <w:rPr>
          <w:rFonts w:asciiTheme="minorHAnsi" w:hAnsiTheme="minorHAnsi" w:cstheme="minorHAnsi"/>
        </w:rPr>
        <w:lastRenderedPageBreak/>
        <w:t xml:space="preserve">mapping analyses </w:t>
      </w:r>
      <w:r>
        <w:rPr>
          <w:rFonts w:asciiTheme="minorHAnsi" w:hAnsiTheme="minorHAnsi" w:cstheme="minorHAnsi"/>
          <w:noProof/>
        </w:rPr>
        <w:t>(Wailoo et al., 2017)</w:t>
      </w:r>
      <w:r w:rsidRPr="00037AD4">
        <w:rPr>
          <w:rFonts w:asciiTheme="minorHAnsi" w:hAnsiTheme="minorHAnsi" w:cstheme="minorHAnsi"/>
        </w:rPr>
        <w:t xml:space="preserve">. Predictions generated by these models represent the conditional mean based on the predictors, offering an average estimation of EQ-5D. By nature, these predictions smooth out the unpredictable variations inherent in patient-level data. Therefore even with strong model fit, the distributions will not closely resemble each other. Therefore, a comparison of the conditional means is more meaningful. It has been demonstrated that together the dimension mapping models produce mean utility score estimates that closely correspond to observed mean scores, particularly for the ACTIFCARE trial data. </w:t>
      </w:r>
    </w:p>
    <w:p w14:paraId="779D7260" w14:textId="77777777" w:rsidR="00B54D51" w:rsidRPr="00037AD4" w:rsidRDefault="00B54D51" w:rsidP="00D56F9C">
      <w:pPr>
        <w:rPr>
          <w:rFonts w:asciiTheme="minorHAnsi" w:hAnsiTheme="minorHAnsi" w:cstheme="minorHAnsi"/>
        </w:rPr>
      </w:pPr>
    </w:p>
    <w:p w14:paraId="1AB667CA" w14:textId="4FA9D58E" w:rsidR="00F86C39" w:rsidRDefault="00B54D51" w:rsidP="00D56F9C">
      <w:pPr>
        <w:rPr>
          <w:rFonts w:asciiTheme="minorHAnsi" w:hAnsiTheme="minorHAnsi" w:cstheme="minorHAnsi"/>
        </w:rPr>
      </w:pPr>
      <w:r w:rsidRPr="00037AD4">
        <w:rPr>
          <w:rFonts w:asciiTheme="minorHAnsi" w:hAnsiTheme="minorHAnsi" w:cstheme="minorHAnsi"/>
        </w:rPr>
        <w:t xml:space="preserve">Model performance varied by dementia severity. For the ACTIFCARE trial data, the error in predictions was minimised when MMSE scores were within the 10 to 20 score range, suggesting that the ordered probit models worked better for patients with mild-to-moderate stage dementia. The models were less effective in capturing HRQoL at the extremes of the MMSE scale, potentially due to the specific challenges presented by severe dementia or due to limitations with the data as there were fewer respondents with severely progressed dementia (MMSE scores below ten). </w:t>
      </w:r>
      <w:r w:rsidR="007A7877" w:rsidRPr="007A7877">
        <w:rPr>
          <w:rFonts w:asciiTheme="minorHAnsi" w:hAnsiTheme="minorHAnsi" w:cstheme="minorHAnsi"/>
        </w:rPr>
        <w:t>This reduced effectiveness is likely due to the low number of observations in these severe response categories. With fewer respondents in the severely progressed dementia group, the models had less data to accurately estimate the relationship between dementia severity and utility scores, leading to less reliable predictions.</w:t>
      </w:r>
      <w:r w:rsidR="007A7877">
        <w:rPr>
          <w:rFonts w:asciiTheme="minorHAnsi" w:hAnsiTheme="minorHAnsi" w:cstheme="minorHAnsi"/>
        </w:rPr>
        <w:t xml:space="preserve"> </w:t>
      </w:r>
      <w:r w:rsidRPr="00037AD4">
        <w:rPr>
          <w:rFonts w:asciiTheme="minorHAnsi" w:hAnsiTheme="minorHAnsi" w:cstheme="minorHAnsi"/>
        </w:rPr>
        <w:t xml:space="preserve">A similar finding was identified in the EPIC dataset as the mean observed and predicted utility scores converged when FAST scores reflected mild and moderate dementia. However, the EPIC distributions also showed that models tended to overestimate utility values. This occurrence has been discussed in the wider literature, potentially attributable to the distribution of EQ-5D data which is characterised by its left skew with fewer severe health states </w:t>
      </w:r>
      <w:r>
        <w:rPr>
          <w:rFonts w:asciiTheme="minorHAnsi" w:hAnsiTheme="minorHAnsi" w:cstheme="minorHAnsi"/>
          <w:noProof/>
        </w:rPr>
        <w:t>(Chuang and Whitehead, 2012)</w:t>
      </w:r>
      <w:r w:rsidRPr="00037AD4">
        <w:rPr>
          <w:rFonts w:asciiTheme="minorHAnsi" w:hAnsiTheme="minorHAnsi" w:cstheme="minorHAnsi"/>
        </w:rPr>
        <w:t>.</w:t>
      </w:r>
      <w:r w:rsidR="007A7877">
        <w:rPr>
          <w:rFonts w:asciiTheme="minorHAnsi" w:hAnsiTheme="minorHAnsi" w:cstheme="minorHAnsi"/>
        </w:rPr>
        <w:t xml:space="preserve"> </w:t>
      </w:r>
      <w:r w:rsidR="007A7877" w:rsidRPr="007A7877">
        <w:rPr>
          <w:rFonts w:asciiTheme="minorHAnsi" w:hAnsiTheme="minorHAnsi" w:cstheme="minorHAnsi"/>
        </w:rPr>
        <w:t>The low number of observations in these severe response categories impacts the reliability of estimates because the models cannot adequately learn from a sparse dataset, leading to increased uncertainty and potential bias in the predictions. Therefore, the effectiveness of mapping models must be interpreted in the context of the data, with particular attention to the population characteristics of the participants, including the severity stage of dementia. It highlights the need for more comprehensive data collection across all severity stages to improve model reliability and accuracy.</w:t>
      </w:r>
    </w:p>
    <w:p w14:paraId="0FEAF6FD" w14:textId="77777777" w:rsidR="007A7877" w:rsidRDefault="007A7877" w:rsidP="00D56F9C">
      <w:pPr>
        <w:rPr>
          <w:rFonts w:asciiTheme="minorHAnsi" w:hAnsiTheme="minorHAnsi" w:cstheme="minorHAnsi"/>
        </w:rPr>
      </w:pPr>
    </w:p>
    <w:p w14:paraId="3D3412DA" w14:textId="6E798202" w:rsidR="002517AA" w:rsidRDefault="00F86C39" w:rsidP="00D56F9C">
      <w:pPr>
        <w:rPr>
          <w:rFonts w:asciiTheme="minorHAnsi" w:hAnsiTheme="minorHAnsi" w:cstheme="minorHAnsi"/>
        </w:rPr>
      </w:pPr>
      <w:r w:rsidRPr="00F86C39">
        <w:rPr>
          <w:rFonts w:asciiTheme="minorHAnsi" w:hAnsiTheme="minorHAnsi" w:cstheme="minorHAnsi"/>
        </w:rPr>
        <w:t>Validation is a crucial step to ensure the robustness and generalisability of the mapping models. Ideally, this involves both in-sample (using a portion of the current data) and out-of-sample (using an independent dataset) approaches to verify the models’ predictive performance. However, due to the limitation of having only two datasets that routinely collect EQ-5D-5L data, out-of-sample validation was not feasible at this stage. Instead,</w:t>
      </w:r>
      <w:r>
        <w:rPr>
          <w:rFonts w:asciiTheme="minorHAnsi" w:hAnsiTheme="minorHAnsi" w:cstheme="minorHAnsi"/>
        </w:rPr>
        <w:t xml:space="preserve"> a </w:t>
      </w:r>
      <w:r w:rsidRPr="00F86C39">
        <w:rPr>
          <w:rFonts w:asciiTheme="minorHAnsi" w:hAnsiTheme="minorHAnsi" w:cstheme="minorHAnsi"/>
        </w:rPr>
        <w:t>rigorous</w:t>
      </w:r>
      <w:r>
        <w:rPr>
          <w:rFonts w:asciiTheme="minorHAnsi" w:hAnsiTheme="minorHAnsi" w:cstheme="minorHAnsi"/>
        </w:rPr>
        <w:t xml:space="preserve"> development process was undertaken,</w:t>
      </w:r>
      <w:r w:rsidRPr="00F86C39">
        <w:rPr>
          <w:rFonts w:asciiTheme="minorHAnsi" w:hAnsiTheme="minorHAnsi" w:cstheme="minorHAnsi"/>
        </w:rPr>
        <w:t xml:space="preserve"> leveraging the theoretical foundations established earlier in this thesis.</w:t>
      </w:r>
      <w:r>
        <w:rPr>
          <w:rFonts w:asciiTheme="minorHAnsi" w:hAnsiTheme="minorHAnsi" w:cstheme="minorHAnsi"/>
        </w:rPr>
        <w:t xml:space="preserve"> M</w:t>
      </w:r>
      <w:r w:rsidRPr="00F86C39">
        <w:rPr>
          <w:rFonts w:asciiTheme="minorHAnsi" w:hAnsiTheme="minorHAnsi" w:cstheme="minorHAnsi"/>
        </w:rPr>
        <w:t xml:space="preserve">odel fit statistics </w:t>
      </w:r>
      <w:r>
        <w:rPr>
          <w:rFonts w:asciiTheme="minorHAnsi" w:hAnsiTheme="minorHAnsi" w:cstheme="minorHAnsi"/>
        </w:rPr>
        <w:t xml:space="preserve">were </w:t>
      </w:r>
      <w:r w:rsidRPr="00F86C39">
        <w:rPr>
          <w:rFonts w:asciiTheme="minorHAnsi" w:hAnsiTheme="minorHAnsi" w:cstheme="minorHAnsi"/>
        </w:rPr>
        <w:t>employed to refine variable selection and enhance model accuracy, thereby providing</w:t>
      </w:r>
      <w:r>
        <w:rPr>
          <w:rFonts w:asciiTheme="minorHAnsi" w:hAnsiTheme="minorHAnsi" w:cstheme="minorHAnsi"/>
        </w:rPr>
        <w:t xml:space="preserve"> </w:t>
      </w:r>
      <w:r w:rsidRPr="00F86C39">
        <w:rPr>
          <w:rFonts w:asciiTheme="minorHAnsi" w:hAnsiTheme="minorHAnsi" w:cstheme="minorHAnsi"/>
        </w:rPr>
        <w:t>confidence in the model predictions.</w:t>
      </w:r>
      <w:r>
        <w:rPr>
          <w:rFonts w:asciiTheme="minorHAnsi" w:hAnsiTheme="minorHAnsi" w:cstheme="minorHAnsi"/>
        </w:rPr>
        <w:t xml:space="preserve"> </w:t>
      </w:r>
      <w:r w:rsidR="009C46CB">
        <w:rPr>
          <w:rFonts w:asciiTheme="minorHAnsi" w:hAnsiTheme="minorHAnsi" w:cstheme="minorHAnsi"/>
        </w:rPr>
        <w:t xml:space="preserve">This approach is supported by the good practice guidelines outlined for mapping work within the field (Wailoo et al., 2017). </w:t>
      </w:r>
    </w:p>
    <w:p w14:paraId="790DD79A" w14:textId="77777777" w:rsidR="00F86C39" w:rsidRDefault="00F86C39" w:rsidP="00D56F9C">
      <w:pPr>
        <w:rPr>
          <w:rFonts w:asciiTheme="minorHAnsi" w:hAnsiTheme="minorHAnsi" w:cstheme="minorHAnsi"/>
        </w:rPr>
      </w:pPr>
    </w:p>
    <w:p w14:paraId="1E68FAA5" w14:textId="371471D3" w:rsidR="00F86C39" w:rsidRDefault="00F86C39" w:rsidP="00D56F9C">
      <w:pPr>
        <w:rPr>
          <w:rFonts w:asciiTheme="minorHAnsi" w:hAnsiTheme="minorHAnsi" w:cstheme="minorHAnsi"/>
        </w:rPr>
      </w:pPr>
      <w:r w:rsidRPr="00F86C39">
        <w:rPr>
          <w:rFonts w:asciiTheme="minorHAnsi" w:hAnsiTheme="minorHAnsi" w:cstheme="minorHAnsi"/>
        </w:rPr>
        <w:t xml:space="preserve">In addition to the ordered probit models used in this study, there are several other mapping models that could be employed to derive utility values. Two-part models, for instance, are particularly useful when dealing with data that includes a substantial proportion of zero </w:t>
      </w:r>
      <w:r w:rsidRPr="00F86C39">
        <w:rPr>
          <w:rFonts w:asciiTheme="minorHAnsi" w:hAnsiTheme="minorHAnsi" w:cstheme="minorHAnsi"/>
        </w:rPr>
        <w:lastRenderedPageBreak/>
        <w:t>values or when the outcome variable is highly skewed. These models first use a logistic regression to model the probability of a non-zero outcome and then apply a secondary model, such as linear regression, to predict the non-zero values. This approach can improve the accuracy of predictions by addressing the distributional characteristics of the data. Other potential models include mixture models, which account for heterogeneity in the population by assuming that the data is generated from a mixture of several distributions, and generalized linear models (GLMs), which offer flexibility by allowing for different link functions and error distributions. Each of these alternative models has unique strengths and can be selected based on the specific characteristics of the data and the research objectives.</w:t>
      </w:r>
    </w:p>
    <w:p w14:paraId="6A1E428C" w14:textId="77777777" w:rsidR="007A7877" w:rsidRPr="00037AD4" w:rsidRDefault="007A7877" w:rsidP="00D56F9C">
      <w:pPr>
        <w:rPr>
          <w:rFonts w:asciiTheme="minorHAnsi" w:hAnsiTheme="minorHAnsi" w:cstheme="minorHAnsi"/>
        </w:rPr>
      </w:pPr>
    </w:p>
    <w:p w14:paraId="5892452D" w14:textId="77777777" w:rsidR="00B54D51" w:rsidRPr="00037AD4" w:rsidRDefault="00B54D51" w:rsidP="007A43F9">
      <w:pPr>
        <w:pStyle w:val="Heading3"/>
      </w:pPr>
      <w:bookmarkStart w:id="410" w:name="_Toc175742364"/>
      <w:r w:rsidRPr="00037AD4">
        <w:t>6.5.2 Dimension level differences</w:t>
      </w:r>
      <w:bookmarkEnd w:id="410"/>
    </w:p>
    <w:p w14:paraId="7E74C1FC" w14:textId="77777777" w:rsidR="00B54D51" w:rsidRPr="00037AD4" w:rsidRDefault="00B54D51" w:rsidP="00D56F9C">
      <w:pPr>
        <w:rPr>
          <w:rFonts w:asciiTheme="minorHAnsi" w:hAnsiTheme="minorHAnsi" w:cstheme="minorHAnsi"/>
        </w:rPr>
      </w:pPr>
    </w:p>
    <w:p w14:paraId="6042DD4D" w14:textId="77777777" w:rsidR="00B54D51" w:rsidRPr="00037AD4" w:rsidRDefault="00B54D51" w:rsidP="00D56F9C">
      <w:pPr>
        <w:rPr>
          <w:rFonts w:asciiTheme="minorHAnsi" w:hAnsiTheme="minorHAnsi" w:cstheme="minorHAnsi"/>
        </w:rPr>
      </w:pPr>
      <w:r w:rsidRPr="00037AD4">
        <w:rPr>
          <w:rFonts w:asciiTheme="minorHAnsi" w:hAnsiTheme="minorHAnsi" w:cstheme="minorHAnsi"/>
        </w:rPr>
        <w:t xml:space="preserve">The results have revealed differences in the mapping models’ performances at the dimension-level. The predicted response frequencies for the “anxiety/depression” and “pain/discomfort” dimensions exhibited particularly strong alignment with the observed data. PwD-proxy dyad responses for these dimensions were already alike in the EPIC trial </w:t>
      </w:r>
      <w:r w:rsidRPr="002517AA">
        <w:rPr>
          <w:rFonts w:asciiTheme="minorHAnsi" w:hAnsiTheme="minorHAnsi" w:cstheme="minorHAnsi"/>
          <w:color w:val="000000" w:themeColor="text1"/>
        </w:rPr>
        <w:t>data (</w:t>
      </w:r>
      <w:hyperlink w:anchor="TableA6B" w:history="1">
        <w:r w:rsidRPr="002517AA">
          <w:rPr>
            <w:rStyle w:val="Hyperlink"/>
            <w:rFonts w:asciiTheme="minorHAnsi" w:hAnsiTheme="minorHAnsi" w:cstheme="minorHAnsi"/>
            <w:color w:val="000000" w:themeColor="text1"/>
            <w:u w:val="none"/>
          </w:rPr>
          <w:t>see Table A6b</w:t>
        </w:r>
      </w:hyperlink>
      <w:r w:rsidRPr="002517AA">
        <w:rPr>
          <w:rFonts w:asciiTheme="minorHAnsi" w:hAnsiTheme="minorHAnsi" w:cstheme="minorHAnsi"/>
          <w:color w:val="000000" w:themeColor="text1"/>
        </w:rPr>
        <w:t>). However</w:t>
      </w:r>
      <w:r w:rsidRPr="00037AD4">
        <w:rPr>
          <w:rFonts w:asciiTheme="minorHAnsi" w:hAnsiTheme="minorHAnsi" w:cstheme="minorHAnsi"/>
        </w:rPr>
        <w:t xml:space="preserve">, the predictions for the “mobility” dimension in the ACTIFCARE trial also demonstrated strong alignment. Commonly for these dimension models, proxy data was being used to predict PwD reports. The observed strength of proxy data in predicting PwD responses suggests a potential preference for the collection of proxy EQ-5D-5L data. For EQ-5D-5L dimensions where proxy responses were not considered the target, PwD responses may still be reliably predicted using proxy data.  </w:t>
      </w:r>
    </w:p>
    <w:p w14:paraId="0030BD73" w14:textId="77777777" w:rsidR="00B54D51" w:rsidRPr="00037AD4" w:rsidRDefault="00B54D51" w:rsidP="00D56F9C">
      <w:pPr>
        <w:rPr>
          <w:rFonts w:asciiTheme="minorHAnsi" w:hAnsiTheme="minorHAnsi" w:cstheme="minorHAnsi"/>
        </w:rPr>
      </w:pPr>
    </w:p>
    <w:p w14:paraId="68E09C86" w14:textId="77777777" w:rsidR="00B54D51" w:rsidRPr="00037AD4" w:rsidRDefault="00B54D51" w:rsidP="00D56F9C">
      <w:pPr>
        <w:rPr>
          <w:rFonts w:asciiTheme="minorHAnsi" w:hAnsiTheme="minorHAnsi" w:cstheme="minorHAnsi"/>
        </w:rPr>
      </w:pPr>
      <w:r w:rsidRPr="00037AD4">
        <w:rPr>
          <w:rFonts w:asciiTheme="minorHAnsi" w:hAnsiTheme="minorHAnsi" w:cstheme="minorHAnsi"/>
        </w:rPr>
        <w:t xml:space="preserve">For the other dimensions, the “self-care” and “usual activities” models saw variations in the alignments achieved using the ACTIFCARE and EPIC datasets. In the ACTIFCARE data, the alignment of responses was notably stronger when compared with the EPIC data, where alignment was relatively poor. In these cases, PwD data was being used to predict proxy reports, and it is essential to acknowledge the presence of both ceiling effects for PwD reports and floor effects by staff proxy reports of these dimensions. The limitations of these models (when applied to the EPIC data) are to some extent inherent to the characteristics of the data. The "self-care" and “usual activities” model's performances were comparatively superior in the ACTIFCARE dataset, therefore indicating that the effectiveness of these models may not be completely undermined, but rather accepted as a reflection of the features present in the data. </w:t>
      </w:r>
    </w:p>
    <w:p w14:paraId="0BE19FEB" w14:textId="77777777" w:rsidR="00B54D51" w:rsidRPr="00037AD4" w:rsidRDefault="00B54D51" w:rsidP="00D56F9C">
      <w:pPr>
        <w:rPr>
          <w:rFonts w:asciiTheme="minorHAnsi" w:hAnsiTheme="minorHAnsi" w:cstheme="minorHAnsi"/>
        </w:rPr>
      </w:pPr>
    </w:p>
    <w:p w14:paraId="69C0B710" w14:textId="3A09F3AD" w:rsidR="00B54D51" w:rsidRPr="00037AD4" w:rsidRDefault="00B54D51" w:rsidP="00D56F9C">
      <w:pPr>
        <w:rPr>
          <w:rFonts w:asciiTheme="minorHAnsi" w:hAnsiTheme="minorHAnsi" w:cstheme="minorHAnsi"/>
        </w:rPr>
      </w:pPr>
      <w:r w:rsidRPr="00037AD4">
        <w:rPr>
          <w:rFonts w:asciiTheme="minorHAnsi" w:hAnsiTheme="minorHAnsi" w:cstheme="minorHAnsi"/>
        </w:rPr>
        <w:t xml:space="preserve">Differences at the dimension level have implications for utility scores, as these scores are derived from the responses to the EQ-5D-5L dimensions. As discussed in the wider literature related to response mapping, when inaccurate predictions are made when using this approach, they can have relatively large impacts depending on the related utility decrement of the applied EQ-5D value set. As a result, when predictions deviate from observed responses, there is an increased chance of higher errors occurring in the overall utility score </w:t>
      </w:r>
      <w:r>
        <w:rPr>
          <w:rFonts w:asciiTheme="minorHAnsi" w:hAnsiTheme="minorHAnsi" w:cstheme="minorHAnsi"/>
          <w:noProof/>
        </w:rPr>
        <w:t>(Gray et al., 2006)</w:t>
      </w:r>
      <w:r w:rsidRPr="00037AD4">
        <w:rPr>
          <w:rFonts w:asciiTheme="minorHAnsi" w:hAnsiTheme="minorHAnsi" w:cstheme="minorHAnsi"/>
        </w:rPr>
        <w:t xml:space="preserve">. As the dimension </w:t>
      </w:r>
      <w:r w:rsidR="002517AA" w:rsidRPr="00037AD4">
        <w:rPr>
          <w:rFonts w:asciiTheme="minorHAnsi" w:hAnsiTheme="minorHAnsi" w:cstheme="minorHAnsi"/>
        </w:rPr>
        <w:t>models</w:t>
      </w:r>
      <w:r w:rsidRPr="00037AD4">
        <w:rPr>
          <w:rFonts w:asciiTheme="minorHAnsi" w:hAnsiTheme="minorHAnsi" w:cstheme="minorHAnsi"/>
        </w:rPr>
        <w:t xml:space="preserve"> more accurate</w:t>
      </w:r>
      <w:r w:rsidR="002517AA">
        <w:rPr>
          <w:rFonts w:asciiTheme="minorHAnsi" w:hAnsiTheme="minorHAnsi" w:cstheme="minorHAnsi"/>
        </w:rPr>
        <w:t>ly</w:t>
      </w:r>
      <w:r w:rsidRPr="00037AD4">
        <w:rPr>
          <w:rFonts w:asciiTheme="minorHAnsi" w:hAnsiTheme="minorHAnsi" w:cstheme="minorHAnsi"/>
        </w:rPr>
        <w:t xml:space="preserve"> predicted observed frequencies in the ACTIFCARE trial data, this explains why the mean predicted utility was also closer for this dataset. These dimension-level differences highlight the importance of considering the specific context and characteristics of the trial data for modelling to generate utility.</w:t>
      </w:r>
    </w:p>
    <w:p w14:paraId="213BBF99" w14:textId="77777777" w:rsidR="00B54D51" w:rsidRPr="00037AD4" w:rsidRDefault="00B54D51" w:rsidP="00D56F9C">
      <w:pPr>
        <w:rPr>
          <w:rFonts w:asciiTheme="minorHAnsi" w:hAnsiTheme="minorHAnsi" w:cstheme="minorHAnsi"/>
        </w:rPr>
      </w:pPr>
    </w:p>
    <w:p w14:paraId="0C3221CF" w14:textId="77777777" w:rsidR="00B54D51" w:rsidRPr="00037AD4" w:rsidRDefault="00B54D51" w:rsidP="007A43F9">
      <w:pPr>
        <w:pStyle w:val="Heading3"/>
      </w:pPr>
      <w:bookmarkStart w:id="411" w:name="_Toc175742365"/>
      <w:r w:rsidRPr="00037AD4">
        <w:lastRenderedPageBreak/>
        <w:t>6.5.3 Impact of EQ-5D-5L Value Set</w:t>
      </w:r>
      <w:bookmarkEnd w:id="411"/>
    </w:p>
    <w:p w14:paraId="7A47B1C7" w14:textId="77777777" w:rsidR="00B54D51" w:rsidRPr="00037AD4" w:rsidRDefault="00B54D51" w:rsidP="00D56F9C">
      <w:pPr>
        <w:rPr>
          <w:rFonts w:asciiTheme="minorHAnsi" w:hAnsiTheme="minorHAnsi" w:cstheme="minorHAnsi"/>
        </w:rPr>
      </w:pPr>
    </w:p>
    <w:p w14:paraId="2B7C063F" w14:textId="77777777" w:rsidR="00B54D51" w:rsidRPr="00037AD4" w:rsidRDefault="00B54D51" w:rsidP="00D56F9C">
      <w:pPr>
        <w:rPr>
          <w:rFonts w:asciiTheme="minorHAnsi" w:hAnsiTheme="minorHAnsi" w:cstheme="minorHAnsi"/>
        </w:rPr>
      </w:pPr>
      <w:r w:rsidRPr="00037AD4">
        <w:rPr>
          <w:rFonts w:asciiTheme="minorHAnsi" w:hAnsiTheme="minorHAnsi" w:cstheme="minorHAnsi"/>
        </w:rPr>
        <w:t xml:space="preserve">The choice of value set impacted the results. When using the 2018 EQ-5D-5L value set for England, higher mean utility values were observed, while mapping to the 3L value set generated lower mean utility values. The valuation methods of the EQ-5D-5L value set have been criticised, therefore this value set is not recommended for use in NICE HTA submissions </w:t>
      </w:r>
      <w:r>
        <w:rPr>
          <w:rFonts w:asciiTheme="minorHAnsi" w:hAnsiTheme="minorHAnsi" w:cstheme="minorHAnsi"/>
          <w:noProof/>
        </w:rPr>
        <w:t>(NICE, 2019a)</w:t>
      </w:r>
      <w:r w:rsidRPr="00037AD4">
        <w:rPr>
          <w:rFonts w:asciiTheme="minorHAnsi" w:hAnsiTheme="minorHAnsi" w:cstheme="minorHAnsi"/>
        </w:rPr>
        <w:t>, however it was applied within this chapter as an application for when a validated value set does become available. It is important for researchers to carefully consider the choice of EQ-5D-5L value set when estimating HRQoL. A complete understanding of the implications of these choices is necessary to ensure the comparability of results across different studies and settings.</w:t>
      </w:r>
      <w:r w:rsidRPr="00037AD4">
        <w:rPr>
          <w:rFonts w:asciiTheme="minorHAnsi" w:hAnsiTheme="minorHAnsi" w:cstheme="minorHAnsi"/>
          <w:color w:val="374151"/>
          <w:shd w:val="clear" w:color="auto" w:fill="F7F7F8"/>
        </w:rPr>
        <w:t xml:space="preserve"> </w:t>
      </w:r>
      <w:r w:rsidRPr="00037AD4">
        <w:rPr>
          <w:rFonts w:asciiTheme="minorHAnsi" w:hAnsiTheme="minorHAnsi" w:cstheme="minorHAnsi"/>
        </w:rPr>
        <w:t xml:space="preserve">This choice can have a direct impact on decision-making and health policy, and the discrepancy in mean utility values highlights the need for further discussion and research into the best approach to apply when using predicted/mapped EQ-5D-5L data. </w:t>
      </w:r>
    </w:p>
    <w:p w14:paraId="5008688A" w14:textId="77777777" w:rsidR="00B54D51" w:rsidRPr="00037AD4" w:rsidRDefault="00B54D51" w:rsidP="00D56F9C">
      <w:pPr>
        <w:rPr>
          <w:rFonts w:asciiTheme="minorHAnsi" w:hAnsiTheme="minorHAnsi" w:cstheme="minorHAnsi"/>
          <w:u w:val="single"/>
        </w:rPr>
      </w:pPr>
    </w:p>
    <w:p w14:paraId="6D9F652D" w14:textId="77777777" w:rsidR="00B54D51" w:rsidRPr="00037AD4" w:rsidRDefault="00B54D51" w:rsidP="007A43F9">
      <w:pPr>
        <w:pStyle w:val="Heading3"/>
      </w:pPr>
      <w:bookmarkStart w:id="412" w:name="_Toc175742366"/>
      <w:r w:rsidRPr="00037AD4">
        <w:t>6.5.4 Research and policy implications</w:t>
      </w:r>
      <w:bookmarkEnd w:id="412"/>
      <w:r w:rsidRPr="00037AD4">
        <w:t xml:space="preserve"> </w:t>
      </w:r>
    </w:p>
    <w:p w14:paraId="16F95088" w14:textId="77777777" w:rsidR="00B54D51" w:rsidRPr="00037AD4" w:rsidRDefault="00B54D51" w:rsidP="00D56F9C">
      <w:pPr>
        <w:rPr>
          <w:rFonts w:asciiTheme="minorHAnsi" w:hAnsiTheme="minorHAnsi" w:cstheme="minorHAnsi"/>
          <w:u w:val="single"/>
        </w:rPr>
      </w:pPr>
    </w:p>
    <w:p w14:paraId="75933B82" w14:textId="77777777" w:rsidR="00B54D51" w:rsidRPr="00037AD4" w:rsidRDefault="00B54D51" w:rsidP="00D56F9C">
      <w:pPr>
        <w:rPr>
          <w:rFonts w:asciiTheme="minorHAnsi" w:hAnsiTheme="minorHAnsi" w:cstheme="minorHAnsi"/>
        </w:rPr>
      </w:pPr>
      <w:r w:rsidRPr="00037AD4">
        <w:rPr>
          <w:rFonts w:asciiTheme="minorHAnsi" w:hAnsiTheme="minorHAnsi" w:cstheme="minorHAnsi"/>
        </w:rPr>
        <w:t>As discussed throughout this thesis, the utility estimates derived from HRQoL assessments have a central role in the economic evaluation of dementia interventions, and ultimately on decision-making and resource allocation. The analyses of this chapter have been aimed at drawing together the concepts discussed throughout the thesis by finding a solution to the PwD-proxy gap. Due to variability in the measures collected by the trials, it was not possible to attempt an optimal model across the datasets for each EQ-5D dimension, hence the merged data could not be analysed in this way. As a result, two sets of dimension mapping models have been generated, which have been defined by the difference in residential settings of the trials: community dwelling (ACTIFCARE) and residential care (EPIC).</w:t>
      </w:r>
    </w:p>
    <w:p w14:paraId="2C5EDCB8" w14:textId="77777777" w:rsidR="00B54D51" w:rsidRPr="00037AD4" w:rsidRDefault="00B54D51" w:rsidP="00D56F9C">
      <w:pPr>
        <w:rPr>
          <w:rFonts w:asciiTheme="minorHAnsi" w:hAnsiTheme="minorHAnsi" w:cstheme="minorHAnsi"/>
        </w:rPr>
      </w:pPr>
    </w:p>
    <w:p w14:paraId="4E46474D" w14:textId="77777777" w:rsidR="00B54D51" w:rsidRPr="00037AD4" w:rsidRDefault="00B54D51" w:rsidP="00D56F9C">
      <w:pPr>
        <w:rPr>
          <w:rFonts w:asciiTheme="minorHAnsi" w:hAnsiTheme="minorHAnsi" w:cstheme="minorHAnsi"/>
        </w:rPr>
      </w:pPr>
      <w:r w:rsidRPr="00037AD4">
        <w:rPr>
          <w:rFonts w:asciiTheme="minorHAnsi" w:hAnsiTheme="minorHAnsi" w:cstheme="minorHAnsi"/>
        </w:rPr>
        <w:t xml:space="preserve">The models based upon and using the ACTIFCARE data exhibited stronger overall performance. This difference in performance may not necessarily imply a downside, </w:t>
      </w:r>
      <w:r w:rsidRPr="002517AA">
        <w:rPr>
          <w:rFonts w:asciiTheme="minorHAnsi" w:hAnsiTheme="minorHAnsi" w:cstheme="minorHAnsi"/>
          <w:color w:val="000000" w:themeColor="text1"/>
        </w:rPr>
        <w:t>particularly when considering the strengths of data collected from staff proxies in the EPIC trial (</w:t>
      </w:r>
      <w:hyperlink w:anchor="_4_Descriptive_statistics" w:history="1">
        <w:r w:rsidRPr="002517AA">
          <w:rPr>
            <w:rStyle w:val="Hyperlink"/>
            <w:rFonts w:asciiTheme="minorHAnsi" w:hAnsiTheme="minorHAnsi" w:cstheme="minorHAnsi"/>
            <w:color w:val="000000" w:themeColor="text1"/>
            <w:u w:val="none"/>
          </w:rPr>
          <w:t>as reported in Chapter 4</w:t>
        </w:r>
      </w:hyperlink>
      <w:r w:rsidRPr="002517AA">
        <w:rPr>
          <w:rFonts w:asciiTheme="minorHAnsi" w:hAnsiTheme="minorHAnsi" w:cstheme="minorHAnsi"/>
          <w:color w:val="000000" w:themeColor="text1"/>
        </w:rPr>
        <w:t xml:space="preserve">) in </w:t>
      </w:r>
      <w:r w:rsidRPr="00037AD4">
        <w:rPr>
          <w:rFonts w:asciiTheme="minorHAnsi" w:hAnsiTheme="minorHAnsi" w:cstheme="minorHAnsi"/>
        </w:rPr>
        <w:t>terms of low levels of missing data. It is possible that the approach of adopting dimension-level mapping models could have greater relevance and usefulness for community dwelling populations, potentially streamlining data collection procedures by enabling a focus on either the PwD or the proxy. This approach would ultimately reduce researcher burden. However, in order for these models to be relevant to wider research, it is vital to highlight the need for standardisation in the measurement instruments collected in dementia trials. Achieving uniformity in the collected instruments would support the comparability of results and strengthen the applicability of any models developed for use across trials.</w:t>
      </w:r>
    </w:p>
    <w:p w14:paraId="792A213F" w14:textId="77777777" w:rsidR="00B54D51" w:rsidRPr="00037AD4" w:rsidRDefault="00B54D51" w:rsidP="00D56F9C">
      <w:pPr>
        <w:rPr>
          <w:rFonts w:asciiTheme="minorHAnsi" w:hAnsiTheme="minorHAnsi" w:cstheme="minorHAnsi"/>
        </w:rPr>
      </w:pPr>
    </w:p>
    <w:p w14:paraId="604A6AA4" w14:textId="77777777" w:rsidR="00B54D51" w:rsidRDefault="00B54D51" w:rsidP="00D56F9C">
      <w:pPr>
        <w:rPr>
          <w:rFonts w:asciiTheme="minorHAnsi" w:hAnsiTheme="minorHAnsi" w:cstheme="minorHAnsi"/>
        </w:rPr>
      </w:pPr>
      <w:r w:rsidRPr="00037AD4">
        <w:rPr>
          <w:rFonts w:asciiTheme="minorHAnsi" w:hAnsiTheme="minorHAnsi" w:cstheme="minorHAnsi"/>
        </w:rPr>
        <w:t xml:space="preserve">Population differences might also highlight the relevance of such models in future research. As noted, the models tended to exhibit superior performance via reduced error in the context of mild-to-moderate dementia stages. Given that the predicted utility estimations from the ACTIFCARE trial were generally more precise, this may be attributed to the trial's recruitment of people in milder stages of dementia (compared with EPIC). Therefore, the relevance of using such models in the more severe dementia stages remains unconfirmed by </w:t>
      </w:r>
      <w:r w:rsidRPr="00037AD4">
        <w:rPr>
          <w:rFonts w:asciiTheme="minorHAnsi" w:hAnsiTheme="minorHAnsi" w:cstheme="minorHAnsi"/>
        </w:rPr>
        <w:lastRenderedPageBreak/>
        <w:t>these analyses, despite the possibility that they may be most required and useful as people with dementia become progressively unable to self-report.</w:t>
      </w:r>
    </w:p>
    <w:p w14:paraId="6B4D833E" w14:textId="77777777" w:rsidR="00A7396A" w:rsidRDefault="00A7396A" w:rsidP="00D56F9C">
      <w:pPr>
        <w:rPr>
          <w:rFonts w:asciiTheme="minorHAnsi" w:hAnsiTheme="minorHAnsi" w:cstheme="minorHAnsi"/>
        </w:rPr>
      </w:pPr>
    </w:p>
    <w:p w14:paraId="21EA000E" w14:textId="6E222D55" w:rsidR="00B54D51" w:rsidRDefault="00A7396A" w:rsidP="00D56F9C">
      <w:pPr>
        <w:rPr>
          <w:rFonts w:asciiTheme="minorHAnsi" w:hAnsiTheme="minorHAnsi" w:cstheme="minorHAnsi"/>
        </w:rPr>
      </w:pPr>
      <w:r w:rsidRPr="00A7396A">
        <w:rPr>
          <w:rFonts w:asciiTheme="minorHAnsi" w:hAnsiTheme="minorHAnsi" w:cstheme="minorHAnsi"/>
        </w:rPr>
        <w:t>The pragmatic models used a reduced set of variables and demonstrated that it is possible to predict EQ-5D dimension scores with simplified models. However, these models showed reduced accuracy compared to the more detailed models that included additional symptom variables. In particular, each trial included a "pragmatic" model that did not incorporate clinical measures, designed for instances where only sex and age were available. However, the absence of clinical measures led to larger prediction errors. Consequently, predictions from the pragmatic model need to be interpreted with caution. While the use of the pragmati</w:t>
      </w:r>
      <w:r>
        <w:rPr>
          <w:rFonts w:asciiTheme="minorHAnsi" w:hAnsiTheme="minorHAnsi" w:cstheme="minorHAnsi"/>
        </w:rPr>
        <w:t>c</w:t>
      </w:r>
      <w:r w:rsidRPr="00A7396A">
        <w:rPr>
          <w:rFonts w:asciiTheme="minorHAnsi" w:hAnsiTheme="minorHAnsi" w:cstheme="minorHAnsi"/>
        </w:rPr>
        <w:t xml:space="preserve"> model is limited, the purpose of this thesis has been achieved as it still provides an exploration of the possibility of using a combined score for more precise estimates of benefits in economic evaluation. This trade-off between simplicity and predictive accuracy suggests that while pragmatic models may be useful in certain settings, they should be applied with caution. Moreover, this adds further justification to what has already been indicated in Chapter 5: that future dementia trials should focus on collecting unified clinical measures to enhance the reliability of this type of analysis.</w:t>
      </w:r>
    </w:p>
    <w:p w14:paraId="582F1C61" w14:textId="77777777" w:rsidR="00A7396A" w:rsidRPr="00037AD4" w:rsidRDefault="00A7396A" w:rsidP="00D56F9C">
      <w:pPr>
        <w:rPr>
          <w:rFonts w:asciiTheme="minorHAnsi" w:hAnsiTheme="minorHAnsi" w:cstheme="minorHAnsi"/>
        </w:rPr>
      </w:pPr>
    </w:p>
    <w:p w14:paraId="2910D0D6" w14:textId="77777777" w:rsidR="00B54D51" w:rsidRPr="00037AD4" w:rsidRDefault="00B54D51" w:rsidP="00D56F9C">
      <w:pPr>
        <w:rPr>
          <w:rFonts w:asciiTheme="minorHAnsi" w:hAnsiTheme="minorHAnsi" w:cstheme="minorHAnsi"/>
        </w:rPr>
      </w:pPr>
      <w:r w:rsidRPr="00037AD4">
        <w:rPr>
          <w:rFonts w:asciiTheme="minorHAnsi" w:hAnsiTheme="minorHAnsi" w:cstheme="minorHAnsi"/>
        </w:rPr>
        <w:t xml:space="preserve">When looking at the differences in mean utility scores for both trials, it is evident that applying the target combination of dimensions by respondent, either through predictions or observed data, alters utility scores when compared to PwD or proxy reports alone (as </w:t>
      </w:r>
      <w:r w:rsidRPr="002517AA">
        <w:rPr>
          <w:rFonts w:asciiTheme="minorHAnsi" w:hAnsiTheme="minorHAnsi" w:cstheme="minorHAnsi"/>
          <w:color w:val="000000" w:themeColor="text1"/>
        </w:rPr>
        <w:t xml:space="preserve">discussed in </w:t>
      </w:r>
      <w:hyperlink w:anchor="_5.5.4_Policy_implication" w:history="1">
        <w:r w:rsidRPr="002517AA">
          <w:rPr>
            <w:rStyle w:val="Hyperlink"/>
            <w:rFonts w:asciiTheme="minorHAnsi" w:hAnsiTheme="minorHAnsi" w:cstheme="minorHAnsi"/>
            <w:color w:val="000000" w:themeColor="text1"/>
            <w:u w:val="none"/>
          </w:rPr>
          <w:t>Section 5.5.4</w:t>
        </w:r>
      </w:hyperlink>
      <w:r w:rsidRPr="002517AA">
        <w:rPr>
          <w:rFonts w:asciiTheme="minorHAnsi" w:hAnsiTheme="minorHAnsi" w:cstheme="minorHAnsi"/>
          <w:color w:val="000000" w:themeColor="text1"/>
        </w:rPr>
        <w:t xml:space="preserve">). In doing so, the utility scores may more accurately represent the PwD’s HRQoL than when using responses </w:t>
      </w:r>
      <w:r w:rsidRPr="00037AD4">
        <w:rPr>
          <w:rFonts w:asciiTheme="minorHAnsi" w:hAnsiTheme="minorHAnsi" w:cstheme="minorHAnsi"/>
        </w:rPr>
        <w:t>from either respondent alone; thereby enhancing the function of dementia economic evaluations and eventual QALY estimations. This approach has the potential to better illustrate the benefit, or indeed absence of benefit, of dementia interventions via changes in EQ-5D utility scores which may otherwise have gone undetected by using either PwD or proxy reported data alone. The perspectives of both parties are considered in a statistically fair and robust manner which bypasses the inherent abstract nature that is commonly associated with HRQoL research, resulting in improved clarity of the experiences of individuals living with dementia.</w:t>
      </w:r>
    </w:p>
    <w:p w14:paraId="05285A9E" w14:textId="77777777" w:rsidR="00B54D51" w:rsidRPr="00037AD4" w:rsidRDefault="00B54D51" w:rsidP="00D56F9C">
      <w:pPr>
        <w:rPr>
          <w:rFonts w:asciiTheme="minorHAnsi" w:hAnsiTheme="minorHAnsi" w:cstheme="minorHAnsi"/>
        </w:rPr>
      </w:pPr>
    </w:p>
    <w:p w14:paraId="78290DB3" w14:textId="77777777" w:rsidR="00B54D51" w:rsidRPr="00037AD4" w:rsidRDefault="00B54D51" w:rsidP="007A43F9">
      <w:pPr>
        <w:pStyle w:val="Heading3"/>
      </w:pPr>
      <w:bookmarkStart w:id="413" w:name="_Toc175742367"/>
      <w:r w:rsidRPr="00037AD4">
        <w:t>6.5.5 Strengths</w:t>
      </w:r>
      <w:bookmarkEnd w:id="413"/>
      <w:r w:rsidRPr="00037AD4">
        <w:t xml:space="preserve"> </w:t>
      </w:r>
    </w:p>
    <w:p w14:paraId="59FF95F8" w14:textId="77777777" w:rsidR="00B54D51" w:rsidRPr="00037AD4" w:rsidRDefault="00B54D51" w:rsidP="00D56F9C">
      <w:pPr>
        <w:rPr>
          <w:rFonts w:asciiTheme="minorHAnsi" w:hAnsiTheme="minorHAnsi" w:cstheme="minorHAnsi"/>
          <w:u w:val="single"/>
        </w:rPr>
      </w:pPr>
    </w:p>
    <w:p w14:paraId="3D29345E" w14:textId="77777777" w:rsidR="00B54D51" w:rsidRPr="00037AD4" w:rsidRDefault="00B54D51" w:rsidP="00D56F9C">
      <w:pPr>
        <w:rPr>
          <w:rFonts w:asciiTheme="minorHAnsi" w:hAnsiTheme="minorHAnsi" w:cstheme="minorHAnsi"/>
        </w:rPr>
      </w:pPr>
      <w:r w:rsidRPr="00037AD4">
        <w:rPr>
          <w:rFonts w:asciiTheme="minorHAnsi" w:hAnsiTheme="minorHAnsi" w:cstheme="minorHAnsi"/>
        </w:rPr>
        <w:t xml:space="preserve">The analyses showed that the mean predicted utility scores generated by the mapping models closely reflected those of the mean observed data, particularly for the ACTIFCARE trial data. This alignment highlights the efficacy of this approach in achieving the intended goal, emphasising a major strength of the analysis. </w:t>
      </w:r>
    </w:p>
    <w:p w14:paraId="70CADBDA" w14:textId="77777777" w:rsidR="00B54D51" w:rsidRPr="00037AD4" w:rsidRDefault="00B54D51" w:rsidP="00D56F9C">
      <w:pPr>
        <w:rPr>
          <w:rFonts w:asciiTheme="minorHAnsi" w:hAnsiTheme="minorHAnsi" w:cstheme="minorHAnsi"/>
        </w:rPr>
      </w:pPr>
    </w:p>
    <w:p w14:paraId="31613501" w14:textId="77777777" w:rsidR="00B54D51" w:rsidRPr="00037AD4" w:rsidRDefault="00B54D51" w:rsidP="00D56F9C">
      <w:pPr>
        <w:rPr>
          <w:rFonts w:asciiTheme="minorHAnsi" w:hAnsiTheme="minorHAnsi" w:cstheme="minorHAnsi"/>
        </w:rPr>
      </w:pPr>
      <w:r w:rsidRPr="00037AD4">
        <w:rPr>
          <w:rFonts w:asciiTheme="minorHAnsi" w:hAnsiTheme="minorHAnsi" w:cstheme="minorHAnsi"/>
        </w:rPr>
        <w:t xml:space="preserve">The methods applied in this analysis are robust and have been transparently detailed in the methods section. The process of model generation was iterative and involved numerous attempts and considerations before arriving at the final selected models. Extensive efforts were made to ensure that the models could perform as best possible, whereby the marginal effects outputs were examined, model fit statistics were considered and going beyond standard model fit statistics - trial indicator variables were applied to merged trial data. </w:t>
      </w:r>
    </w:p>
    <w:p w14:paraId="793B361C" w14:textId="77777777" w:rsidR="00B54D51" w:rsidRPr="00037AD4" w:rsidRDefault="00B54D51" w:rsidP="00D56F9C">
      <w:pPr>
        <w:rPr>
          <w:rFonts w:asciiTheme="minorHAnsi" w:hAnsiTheme="minorHAnsi" w:cstheme="minorHAnsi"/>
        </w:rPr>
      </w:pPr>
    </w:p>
    <w:p w14:paraId="6F97CCB3" w14:textId="77777777" w:rsidR="00B54D51" w:rsidRPr="00037AD4" w:rsidRDefault="00B54D51" w:rsidP="00D56F9C">
      <w:pPr>
        <w:rPr>
          <w:rFonts w:asciiTheme="minorHAnsi" w:hAnsiTheme="minorHAnsi" w:cstheme="minorHAnsi"/>
        </w:rPr>
      </w:pPr>
      <w:r w:rsidRPr="00037AD4">
        <w:rPr>
          <w:rFonts w:asciiTheme="minorHAnsi" w:hAnsiTheme="minorHAnsi" w:cstheme="minorHAnsi"/>
        </w:rPr>
        <w:t xml:space="preserve">The resulting set of dimension-level mapping models display strength via consistency of the included variables across the trials, enhancing their potential applicability in trials that have </w:t>
      </w:r>
      <w:r w:rsidRPr="00037AD4">
        <w:rPr>
          <w:rFonts w:asciiTheme="minorHAnsi" w:hAnsiTheme="minorHAnsi" w:cstheme="minorHAnsi"/>
        </w:rPr>
        <w:lastRenderedPageBreak/>
        <w:t xml:space="preserve">collected similar instruments. It is not possible to state whether the models would function using different outcome instruments or in different populations, but the relative consistency of the dimension-models across the two datasets strengthens their potential applicability for use in different trial data. Additionally, the predictor variables included in the models are consistent with the theory outlined in the previous chapters, as demonstrated by the scenario analyses of the different function measures collected in the ACTIFCARE study. None of the included independent variables contradicted the previously established findings. </w:t>
      </w:r>
    </w:p>
    <w:p w14:paraId="2D94EB09" w14:textId="77777777" w:rsidR="00B54D51" w:rsidRPr="00037AD4" w:rsidRDefault="00B54D51" w:rsidP="00D56F9C">
      <w:pPr>
        <w:rPr>
          <w:rFonts w:asciiTheme="minorHAnsi" w:hAnsiTheme="minorHAnsi" w:cstheme="minorHAnsi"/>
        </w:rPr>
      </w:pPr>
    </w:p>
    <w:p w14:paraId="4509836C" w14:textId="77777777" w:rsidR="00B54D51" w:rsidRPr="00037AD4" w:rsidRDefault="00B54D51" w:rsidP="00D56F9C">
      <w:pPr>
        <w:rPr>
          <w:rFonts w:asciiTheme="minorHAnsi" w:hAnsiTheme="minorHAnsi" w:cstheme="minorHAnsi"/>
        </w:rPr>
      </w:pPr>
      <w:r w:rsidRPr="00037AD4">
        <w:rPr>
          <w:rFonts w:asciiTheme="minorHAnsi" w:hAnsiTheme="minorHAnsi" w:cstheme="minorHAnsi"/>
        </w:rPr>
        <w:t>Another strength of this analysis is rooted in its innovative use of existing data from two established and published dementia trials. By attempting to resolve the long-standing challenge of poor-inter rater agreement between PwD and proxies, this analysis provides a unique and valuable contribution to the field. This reflects a purposeful reutilisation of data that has been gathered by many researchers and study participants, highlighting the sustained importance and usefulness of these datasets long after their initial collection.</w:t>
      </w:r>
    </w:p>
    <w:p w14:paraId="1903A732" w14:textId="77777777" w:rsidR="00B54D51" w:rsidRPr="00037AD4" w:rsidRDefault="00B54D51" w:rsidP="00D56F9C">
      <w:pPr>
        <w:rPr>
          <w:rFonts w:asciiTheme="minorHAnsi" w:hAnsiTheme="minorHAnsi" w:cstheme="minorHAnsi"/>
          <w:b/>
          <w:bCs/>
          <w:sz w:val="26"/>
          <w:szCs w:val="26"/>
          <w:u w:val="single"/>
        </w:rPr>
      </w:pPr>
    </w:p>
    <w:p w14:paraId="3C31DE4A" w14:textId="77777777" w:rsidR="00B54D51" w:rsidRPr="00037AD4" w:rsidRDefault="00B54D51" w:rsidP="007A43F9">
      <w:pPr>
        <w:pStyle w:val="Heading3"/>
      </w:pPr>
      <w:bookmarkStart w:id="414" w:name="_Toc175742368"/>
      <w:r w:rsidRPr="00037AD4">
        <w:t>6.5.6 Limitations</w:t>
      </w:r>
      <w:bookmarkEnd w:id="414"/>
      <w:r w:rsidRPr="00037AD4">
        <w:t xml:space="preserve"> </w:t>
      </w:r>
    </w:p>
    <w:p w14:paraId="60298E67" w14:textId="77777777" w:rsidR="00B54D51" w:rsidRPr="00037AD4" w:rsidRDefault="00B54D51" w:rsidP="00D56F9C">
      <w:pPr>
        <w:rPr>
          <w:rFonts w:asciiTheme="minorHAnsi" w:hAnsiTheme="minorHAnsi" w:cstheme="minorHAnsi"/>
          <w:u w:val="single"/>
        </w:rPr>
      </w:pPr>
    </w:p>
    <w:p w14:paraId="3548F73C" w14:textId="77777777" w:rsidR="00B54D51" w:rsidRPr="00037AD4" w:rsidRDefault="00B54D51" w:rsidP="00D56F9C">
      <w:pPr>
        <w:rPr>
          <w:rFonts w:asciiTheme="minorHAnsi" w:hAnsiTheme="minorHAnsi" w:cstheme="minorHAnsi"/>
        </w:rPr>
      </w:pPr>
      <w:r w:rsidRPr="00037AD4">
        <w:rPr>
          <w:rFonts w:asciiTheme="minorHAnsi" w:hAnsiTheme="minorHAnsi" w:cstheme="minorHAnsi"/>
        </w:rPr>
        <w:t xml:space="preserve">Despite the strengths of the analyses, there were some noted limitations. Only one mapping technique (response mapping) has been applied within this analysis, which is not typical to statistical mapping studies. It is common practice to perform various mapping techniques and to compare their performance and applicability through the results. Although this traditional comparison did not take place in this chapter, the rationale for conducting only response mapping has been reported </w:t>
      </w:r>
      <w:r w:rsidRPr="001D4724">
        <w:rPr>
          <w:rFonts w:asciiTheme="minorHAnsi" w:hAnsiTheme="minorHAnsi" w:cstheme="minorHAnsi"/>
          <w:color w:val="000000" w:themeColor="text1"/>
        </w:rPr>
        <w:t xml:space="preserve">in </w:t>
      </w:r>
      <w:hyperlink w:anchor="sec632" w:history="1">
        <w:r w:rsidRPr="001D4724">
          <w:rPr>
            <w:rStyle w:val="Hyperlink"/>
            <w:rFonts w:asciiTheme="minorHAnsi" w:hAnsiTheme="minorHAnsi" w:cstheme="minorHAnsi"/>
            <w:color w:val="000000" w:themeColor="text1"/>
            <w:u w:val="none"/>
          </w:rPr>
          <w:t>Section 6.3.2,</w:t>
        </w:r>
      </w:hyperlink>
      <w:r w:rsidRPr="00037AD4">
        <w:rPr>
          <w:rFonts w:asciiTheme="minorHAnsi" w:hAnsiTheme="minorHAnsi" w:cstheme="minorHAnsi"/>
        </w:rPr>
        <w:t xml:space="preserve"> centring around the flexibility that response mapping offers and the specific requirement for dimension-level responses (as opposed to predicting an overall utility score). </w:t>
      </w:r>
    </w:p>
    <w:p w14:paraId="4B418F44" w14:textId="77777777" w:rsidR="00B54D51" w:rsidRPr="00037AD4" w:rsidRDefault="00B54D51" w:rsidP="00D56F9C">
      <w:pPr>
        <w:rPr>
          <w:rFonts w:asciiTheme="minorHAnsi" w:hAnsiTheme="minorHAnsi" w:cstheme="minorHAnsi"/>
        </w:rPr>
      </w:pPr>
    </w:p>
    <w:p w14:paraId="2D21EEB5" w14:textId="571E25F3" w:rsidR="00B54D51" w:rsidRPr="00037AD4" w:rsidRDefault="00B54D51" w:rsidP="00D56F9C">
      <w:pPr>
        <w:rPr>
          <w:rFonts w:asciiTheme="minorHAnsi" w:hAnsiTheme="minorHAnsi" w:cstheme="minorHAnsi"/>
        </w:rPr>
      </w:pPr>
      <w:r w:rsidRPr="00037AD4">
        <w:rPr>
          <w:rFonts w:asciiTheme="minorHAnsi" w:hAnsiTheme="minorHAnsi" w:cstheme="minorHAnsi"/>
        </w:rPr>
        <w:t xml:space="preserve">Furthermore, it has not been possible to establish an optimal model for each dimension across the trials/residential settings, although this would have been an ideal outcome. It therefore leaves unresolved the query regarding the appropriate approach when faced with a dataset containing a mix of community dwelling and institutionalised people with dementia. The scope of the analyses has been limited to the data that it has been possible to acquire. The trials included different outcome measures. Despite the merging of datasets and application of a trial effect variable, it is not possible to discern whether any impacts detected by this variable (via statistical significance) can be solely denoted to the different residential settings in the trials. Differences may potentially be as a result of other external factors, such as the different proxy types, the overall dementia severity within the sample, or other unidentified sources. It is also important to note that even when this step was executed, it was only possible to run the core models, thus still reflecting an incomplete indication of trial effects upon the models. </w:t>
      </w:r>
      <w:r w:rsidR="00714E58">
        <w:rPr>
          <w:rFonts w:asciiTheme="minorHAnsi" w:hAnsiTheme="minorHAnsi" w:cstheme="minorHAnsi"/>
        </w:rPr>
        <w:t xml:space="preserve">In the absence of consistent outcomes measures across the datasets, </w:t>
      </w:r>
      <w:r w:rsidR="00B8180D">
        <w:rPr>
          <w:rFonts w:asciiTheme="minorHAnsi" w:hAnsiTheme="minorHAnsi" w:cstheme="minorHAnsi"/>
        </w:rPr>
        <w:t xml:space="preserve">exploring a single model for both datasets was not feasible. In addition, an optimal model for each dimension is not recommended, as the development necessitated a tailored and flexible approach to accommodate the variability in the data. </w:t>
      </w:r>
    </w:p>
    <w:p w14:paraId="09CF68C7" w14:textId="77777777" w:rsidR="00B54D51" w:rsidRPr="00037AD4" w:rsidRDefault="00B54D51" w:rsidP="00D56F9C">
      <w:pPr>
        <w:rPr>
          <w:rFonts w:asciiTheme="minorHAnsi" w:hAnsiTheme="minorHAnsi" w:cstheme="minorHAnsi"/>
        </w:rPr>
      </w:pPr>
    </w:p>
    <w:p w14:paraId="74F357A8" w14:textId="77777777" w:rsidR="00B54D51" w:rsidRPr="00037AD4" w:rsidRDefault="00B54D51" w:rsidP="00D56F9C">
      <w:pPr>
        <w:rPr>
          <w:rFonts w:asciiTheme="minorHAnsi" w:hAnsiTheme="minorHAnsi" w:cstheme="minorHAnsi"/>
        </w:rPr>
      </w:pPr>
      <w:r w:rsidRPr="00037AD4">
        <w:rPr>
          <w:rFonts w:asciiTheme="minorHAnsi" w:hAnsiTheme="minorHAnsi" w:cstheme="minorHAnsi"/>
        </w:rPr>
        <w:t xml:space="preserve">In addition, both of the trials lacked an ideal measure for graphing mean observed and predicted utility scores. In the ACTIFCARE study, distribution plots were conducted using the MMSE measure. However, the relationship between cognition and HRQoL is not clearly linear, especially with PwD self-reports </w:t>
      </w:r>
      <w:r>
        <w:rPr>
          <w:rFonts w:asciiTheme="minorHAnsi" w:hAnsiTheme="minorHAnsi" w:cstheme="minorHAnsi"/>
          <w:noProof/>
        </w:rPr>
        <w:t>(Hussain et al., 2022)</w:t>
      </w:r>
      <w:r w:rsidRPr="00037AD4">
        <w:rPr>
          <w:rFonts w:asciiTheme="minorHAnsi" w:hAnsiTheme="minorHAnsi" w:cstheme="minorHAnsi"/>
        </w:rPr>
        <w:t xml:space="preserve"> – as previous findings conclude </w:t>
      </w:r>
      <w:r w:rsidRPr="00037AD4">
        <w:rPr>
          <w:rFonts w:asciiTheme="minorHAnsi" w:hAnsiTheme="minorHAnsi" w:cstheme="minorHAnsi"/>
        </w:rPr>
        <w:lastRenderedPageBreak/>
        <w:t xml:space="preserve">that cognitive deterioration is not a sole driver of declining HRQoL scores over time </w:t>
      </w:r>
      <w:r>
        <w:rPr>
          <w:rFonts w:asciiTheme="minorHAnsi" w:hAnsiTheme="minorHAnsi" w:cstheme="minorHAnsi"/>
          <w:noProof/>
        </w:rPr>
        <w:t>(King et al., 2022)</w:t>
      </w:r>
      <w:r w:rsidRPr="00037AD4">
        <w:rPr>
          <w:rFonts w:asciiTheme="minorHAnsi" w:hAnsiTheme="minorHAnsi" w:cstheme="minorHAnsi"/>
        </w:rPr>
        <w:t>. Therefore, the choice to assess changes in HRQoL alongside changes in cognition may not have been ideal. Function was also used with both trial’s data for consistency. Function proved to be a better measure, as it showed a linear relationship that could be reflected alongside EQ-5D. However, in both cases, whether using MMSE or the distinct measures of function, these measures were all discrete. While this is a limitation, in the absence of a suitable continuous measure within the datasets, they were considered the most viable options.</w:t>
      </w:r>
    </w:p>
    <w:p w14:paraId="3676BF2B" w14:textId="77777777" w:rsidR="00B54D51" w:rsidRPr="00037AD4" w:rsidRDefault="00B54D51" w:rsidP="00D56F9C">
      <w:pPr>
        <w:rPr>
          <w:rFonts w:asciiTheme="minorHAnsi" w:hAnsiTheme="minorHAnsi" w:cstheme="minorHAnsi"/>
        </w:rPr>
      </w:pPr>
    </w:p>
    <w:p w14:paraId="0490A745" w14:textId="77777777" w:rsidR="00B54D51" w:rsidRPr="00037AD4" w:rsidRDefault="00B54D51" w:rsidP="00D56F9C">
      <w:pPr>
        <w:rPr>
          <w:rFonts w:asciiTheme="minorHAnsi" w:hAnsiTheme="minorHAnsi" w:cstheme="minorHAnsi"/>
        </w:rPr>
      </w:pPr>
      <w:r w:rsidRPr="00037AD4">
        <w:rPr>
          <w:rFonts w:asciiTheme="minorHAnsi" w:hAnsiTheme="minorHAnsi" w:cstheme="minorHAnsi"/>
        </w:rPr>
        <w:t>As previously noted, it is evident that the mean predicted utility values demonstrated a greater degree of alignment with the observed values in the ACTIFCARE data when compared with the EPIC data. In fact, as shown by the frequency tables, specific dimension models (mainly “mobility”, “self-care” and “usual activities”) within the EPIC dataset exhibited comparatively poor performance. It is essential to acknowledge that the quality and availability of the data inevitably impose limits on the extent to which precise alignments can be achieved. Attempts to maximise the use of the available data have been undertaken.</w:t>
      </w:r>
    </w:p>
    <w:p w14:paraId="3C6DC2F4" w14:textId="77777777" w:rsidR="00B54D51" w:rsidRDefault="00B54D51" w:rsidP="00D56F9C">
      <w:pPr>
        <w:rPr>
          <w:rFonts w:asciiTheme="minorHAnsi" w:hAnsiTheme="minorHAnsi" w:cstheme="minorHAnsi"/>
          <w:u w:val="single"/>
        </w:rPr>
      </w:pPr>
    </w:p>
    <w:p w14:paraId="632DBDD2" w14:textId="39E1BA8F" w:rsidR="007A7877" w:rsidRPr="007A7877" w:rsidRDefault="007A7877" w:rsidP="00D56F9C">
      <w:pPr>
        <w:rPr>
          <w:rFonts w:asciiTheme="minorHAnsi" w:hAnsiTheme="minorHAnsi" w:cstheme="minorHAnsi"/>
        </w:rPr>
      </w:pPr>
      <w:r w:rsidRPr="007A7877">
        <w:rPr>
          <w:rFonts w:asciiTheme="minorHAnsi" w:hAnsiTheme="minorHAnsi" w:cstheme="minorHAnsi"/>
        </w:rPr>
        <w:t xml:space="preserve">The </w:t>
      </w:r>
      <w:r>
        <w:rPr>
          <w:rFonts w:asciiTheme="minorHAnsi" w:hAnsiTheme="minorHAnsi" w:cstheme="minorHAnsi"/>
        </w:rPr>
        <w:t>residential</w:t>
      </w:r>
      <w:r w:rsidRPr="007A7877">
        <w:rPr>
          <w:rFonts w:asciiTheme="minorHAnsi" w:hAnsiTheme="minorHAnsi" w:cstheme="minorHAnsi"/>
        </w:rPr>
        <w:t xml:space="preserve"> status of </w:t>
      </w:r>
      <w:r>
        <w:rPr>
          <w:rFonts w:asciiTheme="minorHAnsi" w:hAnsiTheme="minorHAnsi" w:cstheme="minorHAnsi"/>
        </w:rPr>
        <w:t>people</w:t>
      </w:r>
      <w:r w:rsidRPr="007A7877">
        <w:rPr>
          <w:rFonts w:asciiTheme="minorHAnsi" w:hAnsiTheme="minorHAnsi" w:cstheme="minorHAnsi"/>
        </w:rPr>
        <w:t xml:space="preserve"> with dementia (</w:t>
      </w:r>
      <w:r>
        <w:rPr>
          <w:rFonts w:asciiTheme="minorHAnsi" w:hAnsiTheme="minorHAnsi" w:cstheme="minorHAnsi"/>
        </w:rPr>
        <w:t>community dwelling</w:t>
      </w:r>
      <w:r w:rsidRPr="007A7877">
        <w:rPr>
          <w:rFonts w:asciiTheme="minorHAnsi" w:hAnsiTheme="minorHAnsi" w:cstheme="minorHAnsi"/>
        </w:rPr>
        <w:t xml:space="preserve"> vs. </w:t>
      </w:r>
      <w:r>
        <w:rPr>
          <w:rFonts w:asciiTheme="minorHAnsi" w:hAnsiTheme="minorHAnsi" w:cstheme="minorHAnsi"/>
        </w:rPr>
        <w:t>institutionalised</w:t>
      </w:r>
      <w:r w:rsidRPr="007A7877">
        <w:rPr>
          <w:rFonts w:asciiTheme="minorHAnsi" w:hAnsiTheme="minorHAnsi" w:cstheme="minorHAnsi"/>
        </w:rPr>
        <w:t xml:space="preserve">) often serves as a surrogate for the severity </w:t>
      </w:r>
      <w:r w:rsidR="009C0A88">
        <w:rPr>
          <w:rFonts w:asciiTheme="minorHAnsi" w:hAnsiTheme="minorHAnsi" w:cstheme="minorHAnsi"/>
        </w:rPr>
        <w:t>of dementia</w:t>
      </w:r>
      <w:r w:rsidRPr="007A7877">
        <w:rPr>
          <w:rFonts w:asciiTheme="minorHAnsi" w:hAnsiTheme="minorHAnsi" w:cstheme="minorHAnsi"/>
        </w:rPr>
        <w:t xml:space="preserve">, with those in residential care typically more severely affected. However, this distinction can be problematic, particularly when considering the role of proxies. In community settings, where proxies are </w:t>
      </w:r>
      <w:r w:rsidR="009C0A88">
        <w:rPr>
          <w:rFonts w:asciiTheme="minorHAnsi" w:hAnsiTheme="minorHAnsi" w:cstheme="minorHAnsi"/>
        </w:rPr>
        <w:t xml:space="preserve">indicated </w:t>
      </w:r>
      <w:r w:rsidRPr="007A7877">
        <w:rPr>
          <w:rFonts w:asciiTheme="minorHAnsi" w:hAnsiTheme="minorHAnsi" w:cstheme="minorHAnsi"/>
        </w:rPr>
        <w:t xml:space="preserve">to be informal caregivers like family members or friends, there are instances where formal/staff proxies </w:t>
      </w:r>
      <w:r w:rsidR="009C0A88">
        <w:rPr>
          <w:rFonts w:asciiTheme="minorHAnsi" w:hAnsiTheme="minorHAnsi" w:cstheme="minorHAnsi"/>
        </w:rPr>
        <w:t xml:space="preserve">also </w:t>
      </w:r>
      <w:r w:rsidRPr="007A7877">
        <w:rPr>
          <w:rFonts w:asciiTheme="minorHAnsi" w:hAnsiTheme="minorHAnsi" w:cstheme="minorHAnsi"/>
        </w:rPr>
        <w:t>provide care. This can introduce variability in reporting, as formal proxies might report differently than informal caregivers. Additionally, individuals with severe dementia living at home may struggle to accurately report on</w:t>
      </w:r>
      <w:r w:rsidR="009C0A88">
        <w:rPr>
          <w:rFonts w:asciiTheme="minorHAnsi" w:hAnsiTheme="minorHAnsi" w:cstheme="minorHAnsi"/>
        </w:rPr>
        <w:t xml:space="preserve"> aspects such as</w:t>
      </w:r>
      <w:r w:rsidRPr="007A7877">
        <w:rPr>
          <w:rFonts w:asciiTheme="minorHAnsi" w:hAnsiTheme="minorHAnsi" w:cstheme="minorHAnsi"/>
        </w:rPr>
        <w:t xml:space="preserve"> anxiety/depression and pain/discomfort</w:t>
      </w:r>
      <w:r w:rsidR="009C0A88">
        <w:rPr>
          <w:rFonts w:asciiTheme="minorHAnsi" w:hAnsiTheme="minorHAnsi" w:cstheme="minorHAnsi"/>
        </w:rPr>
        <w:t xml:space="preserve">, thereby </w:t>
      </w:r>
      <w:r w:rsidRPr="007A7877">
        <w:rPr>
          <w:rFonts w:asciiTheme="minorHAnsi" w:hAnsiTheme="minorHAnsi" w:cstheme="minorHAnsi"/>
        </w:rPr>
        <w:t xml:space="preserve">leading to inconsistencies in the data. These challenges highlight the complexities of using living status as an indicator of disease severity and </w:t>
      </w:r>
      <w:r w:rsidR="009C0A88">
        <w:rPr>
          <w:rFonts w:asciiTheme="minorHAnsi" w:hAnsiTheme="minorHAnsi" w:cstheme="minorHAnsi"/>
        </w:rPr>
        <w:t>underscore</w:t>
      </w:r>
      <w:r w:rsidRPr="007A7877">
        <w:rPr>
          <w:rFonts w:asciiTheme="minorHAnsi" w:hAnsiTheme="minorHAnsi" w:cstheme="minorHAnsi"/>
        </w:rPr>
        <w:t xml:space="preserve"> the need for careful consideration </w:t>
      </w:r>
      <w:r w:rsidR="009C0A88">
        <w:rPr>
          <w:rFonts w:asciiTheme="minorHAnsi" w:hAnsiTheme="minorHAnsi" w:cstheme="minorHAnsi"/>
        </w:rPr>
        <w:t>of</w:t>
      </w:r>
      <w:r w:rsidRPr="007A7877">
        <w:rPr>
          <w:rFonts w:asciiTheme="minorHAnsi" w:hAnsiTheme="minorHAnsi" w:cstheme="minorHAnsi"/>
        </w:rPr>
        <w:t xml:space="preserve"> these factors</w:t>
      </w:r>
      <w:r w:rsidR="009C0A88">
        <w:rPr>
          <w:rFonts w:asciiTheme="minorHAnsi" w:hAnsiTheme="minorHAnsi" w:cstheme="minorHAnsi"/>
        </w:rPr>
        <w:t xml:space="preserve">. It is not always clear-cut who provides the care and the role of the proxy, </w:t>
      </w:r>
      <w:r w:rsidR="009C0A88" w:rsidRPr="009C0A88">
        <w:rPr>
          <w:rFonts w:asciiTheme="minorHAnsi" w:hAnsiTheme="minorHAnsi" w:cstheme="minorHAnsi"/>
        </w:rPr>
        <w:t>indicating that this approach may need further thought when considering such populations or mixed populations.</w:t>
      </w:r>
    </w:p>
    <w:p w14:paraId="39365FA9" w14:textId="77777777" w:rsidR="007A7877" w:rsidRPr="00037AD4" w:rsidRDefault="007A7877" w:rsidP="00D56F9C">
      <w:pPr>
        <w:rPr>
          <w:rFonts w:asciiTheme="minorHAnsi" w:hAnsiTheme="minorHAnsi" w:cstheme="minorHAnsi"/>
          <w:u w:val="single"/>
        </w:rPr>
      </w:pPr>
    </w:p>
    <w:p w14:paraId="59DCF004" w14:textId="77777777" w:rsidR="00B54D51" w:rsidRPr="00037AD4" w:rsidRDefault="00B54D51" w:rsidP="0039194D">
      <w:pPr>
        <w:pStyle w:val="Heading2"/>
      </w:pPr>
      <w:bookmarkStart w:id="415" w:name="_Toc175742369"/>
      <w:r w:rsidRPr="00037AD4">
        <w:t>6.6 Conclusion</w:t>
      </w:r>
      <w:bookmarkEnd w:id="415"/>
      <w:r w:rsidRPr="00037AD4">
        <w:t xml:space="preserve"> </w:t>
      </w:r>
    </w:p>
    <w:p w14:paraId="5AC40E77" w14:textId="37EDFD71" w:rsidR="00B54D51" w:rsidRPr="00830480" w:rsidRDefault="00B54D51">
      <w:pPr>
        <w:rPr>
          <w:rFonts w:asciiTheme="minorHAnsi" w:hAnsiTheme="minorHAnsi" w:cstheme="minorHAnsi"/>
          <w:color w:val="000000" w:themeColor="text1"/>
        </w:rPr>
      </w:pPr>
      <w:r w:rsidRPr="00037AD4">
        <w:rPr>
          <w:rFonts w:asciiTheme="minorHAnsi" w:hAnsiTheme="minorHAnsi" w:cstheme="minorHAnsi"/>
          <w:u w:val="single"/>
        </w:rPr>
        <w:br/>
      </w:r>
      <w:r w:rsidRPr="00037AD4">
        <w:rPr>
          <w:rFonts w:asciiTheme="minorHAnsi" w:hAnsiTheme="minorHAnsi" w:cstheme="minorHAnsi"/>
        </w:rPr>
        <w:t xml:space="preserve">The analyses have shown that it is possible to reliably predict EQ-5D dimension scores for people with dementia and/or their respective proxies when only data from the opposite respondent is available. These dimension models have exhibited better performance within the ACTIFCARE dataset, potentially attributed to the relatively less progressed dementia severity among the study's participants in comparison to the EPIC trial, or due to other contributing factors such as residential status or proxy type. For both trial’s data, the dimension models that used proxy data to predict PwD responses were more closely aligned with the observed data (when compared with dimensions where the proxy was the target respondent). The combined utility score has the potential to offer a more complete reflection of dementia related HRQoL. The application of these mapping models enables the estimation of the combined utility score, even when data is available from only one party. The combined utility score may therefore be used in economic evaluations of dementia interventions, serving as a valuable tool in capturing the multifaceted perspectives of HRQoL </w:t>
      </w:r>
      <w:r w:rsidRPr="00037AD4">
        <w:rPr>
          <w:rFonts w:asciiTheme="minorHAnsi" w:hAnsiTheme="minorHAnsi" w:cstheme="minorHAnsi"/>
        </w:rPr>
        <w:lastRenderedPageBreak/>
        <w:t xml:space="preserve">within this population. The definitive selection of preferred models for each EQ-5D dimension in both dataset applications is provided </w:t>
      </w:r>
      <w:r w:rsidRPr="001D4724">
        <w:rPr>
          <w:rFonts w:asciiTheme="minorHAnsi" w:hAnsiTheme="minorHAnsi" w:cstheme="minorHAnsi"/>
          <w:color w:val="000000" w:themeColor="text1"/>
        </w:rPr>
        <w:t xml:space="preserve">in </w:t>
      </w:r>
      <w:hyperlink w:anchor="_Appendix_6.10_Final" w:history="1">
        <w:r w:rsidR="00B9641F">
          <w:rPr>
            <w:rStyle w:val="Hyperlink"/>
            <w:rFonts w:asciiTheme="minorHAnsi" w:hAnsiTheme="minorHAnsi" w:cstheme="minorHAnsi"/>
            <w:color w:val="000000" w:themeColor="text1"/>
            <w:u w:val="none"/>
          </w:rPr>
          <w:t>Section</w:t>
        </w:r>
      </w:hyperlink>
      <w:r w:rsidR="00B9641F">
        <w:rPr>
          <w:rStyle w:val="Hyperlink"/>
          <w:rFonts w:asciiTheme="minorHAnsi" w:hAnsiTheme="minorHAnsi" w:cstheme="minorHAnsi"/>
          <w:color w:val="000000" w:themeColor="text1"/>
          <w:u w:val="none"/>
        </w:rPr>
        <w:t xml:space="preserve"> 6.4.6. </w:t>
      </w:r>
      <w:r w:rsidRPr="00037AD4">
        <w:br w:type="page"/>
      </w:r>
    </w:p>
    <w:p w14:paraId="2E6BE00C" w14:textId="77777777" w:rsidR="00B54D51" w:rsidRPr="00037AD4" w:rsidRDefault="00B54D51" w:rsidP="007A43F9">
      <w:pPr>
        <w:pStyle w:val="Heading1"/>
      </w:pPr>
      <w:bookmarkStart w:id="416" w:name="_Toc175742370"/>
      <w:r w:rsidRPr="00037AD4">
        <w:lastRenderedPageBreak/>
        <w:t>7 Discussion</w:t>
      </w:r>
      <w:bookmarkEnd w:id="416"/>
    </w:p>
    <w:p w14:paraId="7B7EE6A6" w14:textId="77777777" w:rsidR="00B54D51" w:rsidRPr="00037AD4" w:rsidRDefault="00B54D51" w:rsidP="004C71C1">
      <w:pPr>
        <w:rPr>
          <w:rFonts w:asciiTheme="minorHAnsi" w:hAnsiTheme="minorHAnsi" w:cstheme="minorHAnsi"/>
          <w:b/>
          <w:bCs/>
          <w:u w:val="single"/>
        </w:rPr>
      </w:pPr>
    </w:p>
    <w:p w14:paraId="4E637AA5" w14:textId="77777777" w:rsidR="00B54D51" w:rsidRPr="00037AD4" w:rsidRDefault="00B54D51" w:rsidP="004C71C1">
      <w:pPr>
        <w:rPr>
          <w:rFonts w:asciiTheme="minorHAnsi" w:hAnsiTheme="minorHAnsi" w:cstheme="minorHAnsi"/>
        </w:rPr>
      </w:pPr>
      <w:r w:rsidRPr="00037AD4">
        <w:rPr>
          <w:rFonts w:asciiTheme="minorHAnsi" w:hAnsiTheme="minorHAnsi" w:cstheme="minorHAnsi"/>
        </w:rPr>
        <w:t xml:space="preserve">The following chapter begins by summarising the main findings from the reviews and empirical studies presented in this PhD thesis. It outlines the strengths and limitations, contributions to the evidence base and suggestions for future research. </w:t>
      </w:r>
    </w:p>
    <w:p w14:paraId="5964EE05" w14:textId="77777777" w:rsidR="00B54D51" w:rsidRPr="00037AD4" w:rsidRDefault="00B54D51" w:rsidP="004C71C1">
      <w:pPr>
        <w:rPr>
          <w:rFonts w:asciiTheme="minorHAnsi" w:hAnsiTheme="minorHAnsi" w:cstheme="minorHAnsi"/>
        </w:rPr>
      </w:pPr>
    </w:p>
    <w:p w14:paraId="100C2D1B" w14:textId="77777777" w:rsidR="00B54D51" w:rsidRPr="00037AD4" w:rsidRDefault="00B54D51" w:rsidP="007A43F9">
      <w:pPr>
        <w:pStyle w:val="Heading2"/>
      </w:pPr>
      <w:bookmarkStart w:id="417" w:name="_Toc175742371"/>
      <w:r w:rsidRPr="00037AD4">
        <w:t>7.1 Main findings</w:t>
      </w:r>
      <w:bookmarkEnd w:id="417"/>
      <w:r w:rsidRPr="00037AD4">
        <w:t xml:space="preserve"> </w:t>
      </w:r>
    </w:p>
    <w:p w14:paraId="3E2B1EE1" w14:textId="77777777" w:rsidR="00B54D51" w:rsidRPr="00037AD4" w:rsidRDefault="00B54D51" w:rsidP="004C71C1">
      <w:pPr>
        <w:rPr>
          <w:rFonts w:asciiTheme="minorHAnsi" w:hAnsiTheme="minorHAnsi" w:cstheme="minorHAnsi"/>
        </w:rPr>
      </w:pPr>
    </w:p>
    <w:p w14:paraId="174C6ED0" w14:textId="77777777" w:rsidR="00B54D51" w:rsidRPr="00037AD4" w:rsidRDefault="00B54D51" w:rsidP="002F527F">
      <w:pPr>
        <w:rPr>
          <w:rFonts w:asciiTheme="minorHAnsi" w:hAnsiTheme="minorHAnsi" w:cstheme="minorHAnsi"/>
        </w:rPr>
      </w:pPr>
      <w:r w:rsidRPr="00037AD4">
        <w:rPr>
          <w:rFonts w:asciiTheme="minorHAnsi" w:hAnsiTheme="minorHAnsi" w:cstheme="minorHAnsi"/>
        </w:rPr>
        <w:t>This thesis has generated an empirical evidence base aimed at advancing the understanding of how assessments of HRQoL can be effectively applied in dementia economic evaluations. Specifically, it focused on the use and application of HRQoL reports from both the PwD themselves and from proxies, reporting on the same individual (the PwD). The suitability of EQ-5D for economic evaluations within dementia populations was appraised through previously published studies. Additionally, empirical investigations were conducted to determine whether specific EQ-5D dimensions are best reported by the PwD themselves, while others are better captured through proxy reports. This analysis resulted in the identification of a combination of EQ-5D dimension reports based on the respondent. Mapping methods were then employed to enable analysts to predict these target dimension reports in scenarios where reports from either respondent type are unavailable, which may be relevant in both existing and future studies.</w:t>
      </w:r>
    </w:p>
    <w:p w14:paraId="6A43E991" w14:textId="77777777" w:rsidR="00B54D51" w:rsidRPr="00037AD4" w:rsidRDefault="00B54D51" w:rsidP="004C71C1">
      <w:pPr>
        <w:rPr>
          <w:rFonts w:asciiTheme="minorHAnsi" w:hAnsiTheme="minorHAnsi" w:cstheme="minorHAnsi"/>
        </w:rPr>
      </w:pPr>
    </w:p>
    <w:p w14:paraId="4A644EDE" w14:textId="77777777" w:rsidR="00B54D51" w:rsidRPr="001D4724" w:rsidRDefault="00B54D51" w:rsidP="004C71C1">
      <w:pPr>
        <w:rPr>
          <w:rFonts w:asciiTheme="minorHAnsi" w:hAnsiTheme="minorHAnsi" w:cstheme="minorHAnsi"/>
          <w:color w:val="000000" w:themeColor="text1"/>
        </w:rPr>
      </w:pPr>
      <w:r w:rsidRPr="00037AD4">
        <w:rPr>
          <w:rFonts w:asciiTheme="minorHAnsi" w:hAnsiTheme="minorHAnsi" w:cstheme="minorHAnsi"/>
        </w:rPr>
        <w:t xml:space="preserve">This thesis finds that both versions of the EQ-5D instrument (three or five levels) are suitable measures for assessing HRQoL in dementia populations. The instrument exhibits robust psychometric properties, particularly in terms of known group validity and responsiveness. Its acceptability and feasibility are strong, addressing concerns related to survey burden management in dementia populations. These conclusions are drawn from the findings </w:t>
      </w:r>
      <w:r w:rsidRPr="001D4724">
        <w:rPr>
          <w:rFonts w:asciiTheme="minorHAnsi" w:hAnsiTheme="minorHAnsi" w:cstheme="minorHAnsi"/>
          <w:color w:val="000000" w:themeColor="text1"/>
        </w:rPr>
        <w:t>in Chapter Two (</w:t>
      </w:r>
      <w:hyperlink w:anchor="_2.2_Summary_of" w:history="1">
        <w:r w:rsidRPr="001D4724">
          <w:rPr>
            <w:rStyle w:val="Hyperlink"/>
            <w:rFonts w:asciiTheme="minorHAnsi" w:hAnsiTheme="minorHAnsi" w:cstheme="minorHAnsi"/>
            <w:color w:val="000000" w:themeColor="text1"/>
            <w:u w:val="none"/>
          </w:rPr>
          <w:t>Section 2.2</w:t>
        </w:r>
      </w:hyperlink>
      <w:r w:rsidRPr="001D4724">
        <w:rPr>
          <w:rFonts w:asciiTheme="minorHAnsi" w:hAnsiTheme="minorHAnsi" w:cstheme="minorHAnsi"/>
          <w:color w:val="000000" w:themeColor="text1"/>
        </w:rPr>
        <w:t xml:space="preserve"> and </w:t>
      </w:r>
      <w:hyperlink w:anchor="_2.3_Assessing_the" w:history="1">
        <w:r w:rsidRPr="001D4724">
          <w:rPr>
            <w:rStyle w:val="Hyperlink"/>
            <w:rFonts w:asciiTheme="minorHAnsi" w:hAnsiTheme="minorHAnsi" w:cstheme="minorHAnsi"/>
            <w:color w:val="000000" w:themeColor="text1"/>
            <w:u w:val="none"/>
          </w:rPr>
          <w:t>Section 2.3</w:t>
        </w:r>
      </w:hyperlink>
      <w:r w:rsidRPr="001D4724">
        <w:rPr>
          <w:rFonts w:asciiTheme="minorHAnsi" w:hAnsiTheme="minorHAnsi" w:cstheme="minorHAnsi"/>
          <w:color w:val="000000" w:themeColor="text1"/>
        </w:rPr>
        <w:t>) and Chapter Three (</w:t>
      </w:r>
      <w:hyperlink w:anchor="_3.7_Convergent_validity" w:history="1">
        <w:r w:rsidRPr="001D4724">
          <w:rPr>
            <w:rStyle w:val="Hyperlink"/>
            <w:rFonts w:asciiTheme="minorHAnsi" w:hAnsiTheme="minorHAnsi" w:cstheme="minorHAnsi"/>
            <w:color w:val="000000" w:themeColor="text1"/>
            <w:u w:val="none"/>
          </w:rPr>
          <w:t>Section 3.7</w:t>
        </w:r>
      </w:hyperlink>
      <w:r w:rsidRPr="001D4724">
        <w:rPr>
          <w:rFonts w:asciiTheme="minorHAnsi" w:hAnsiTheme="minorHAnsi" w:cstheme="minorHAnsi"/>
          <w:color w:val="000000" w:themeColor="text1"/>
        </w:rPr>
        <w:t>). Challenges in inter-rater reliability were identified; however, these issues are not isolated to EQ-5D and rather attributed to poor agreement between the PwD and proxy (PwD-proxy gap), as revealed through literature reviews (</w:t>
      </w:r>
      <w:hyperlink w:anchor="_2.4_The_key" w:history="1">
        <w:r w:rsidRPr="001D4724">
          <w:rPr>
            <w:rStyle w:val="Hyperlink"/>
            <w:rFonts w:asciiTheme="minorHAnsi" w:hAnsiTheme="minorHAnsi" w:cstheme="minorHAnsi"/>
            <w:color w:val="000000" w:themeColor="text1"/>
            <w:u w:val="none"/>
          </w:rPr>
          <w:t>see Section 2.4</w:t>
        </w:r>
      </w:hyperlink>
      <w:r w:rsidRPr="001D4724">
        <w:rPr>
          <w:rFonts w:asciiTheme="minorHAnsi" w:hAnsiTheme="minorHAnsi" w:cstheme="minorHAnsi"/>
          <w:color w:val="000000" w:themeColor="text1"/>
        </w:rPr>
        <w:t xml:space="preserve">) and data analysis (as </w:t>
      </w:r>
      <w:hyperlink w:anchor="_4.4.5_Convergent_validity" w:history="1">
        <w:r w:rsidRPr="001D4724">
          <w:rPr>
            <w:rStyle w:val="Hyperlink"/>
            <w:rFonts w:asciiTheme="minorHAnsi" w:hAnsiTheme="minorHAnsi" w:cstheme="minorHAnsi"/>
            <w:color w:val="000000" w:themeColor="text1"/>
            <w:u w:val="none"/>
          </w:rPr>
          <w:t>in Section 4.4.5</w:t>
        </w:r>
      </w:hyperlink>
      <w:r w:rsidRPr="001D4724">
        <w:rPr>
          <w:rFonts w:asciiTheme="minorHAnsi" w:hAnsiTheme="minorHAnsi" w:cstheme="minorHAnsi"/>
          <w:color w:val="000000" w:themeColor="text1"/>
        </w:rPr>
        <w:t xml:space="preserve">). A detailed exploration of EQ-5D at the dimension level indicates its convergent validity with core outcomes measuring dementia symptoms, particularly function and behaviour/mood, suggesting its ability to capture the primary impacts of dementia (as detailed in </w:t>
      </w:r>
      <w:hyperlink w:anchor="_3.7_Convergent_validity" w:history="1">
        <w:r w:rsidRPr="001D4724">
          <w:rPr>
            <w:rStyle w:val="Hyperlink"/>
            <w:rFonts w:asciiTheme="minorHAnsi" w:hAnsiTheme="minorHAnsi" w:cstheme="minorHAnsi"/>
            <w:color w:val="000000" w:themeColor="text1"/>
            <w:u w:val="none"/>
          </w:rPr>
          <w:t>Section 3.7</w:t>
        </w:r>
      </w:hyperlink>
      <w:r w:rsidRPr="001D4724">
        <w:rPr>
          <w:rFonts w:asciiTheme="minorHAnsi" w:hAnsiTheme="minorHAnsi" w:cstheme="minorHAnsi"/>
          <w:color w:val="000000" w:themeColor="text1"/>
        </w:rPr>
        <w:t xml:space="preserve"> and </w:t>
      </w:r>
      <w:hyperlink w:anchor="_4.4.5.1_Convergent_validity" w:history="1">
        <w:r w:rsidRPr="001D4724">
          <w:rPr>
            <w:rStyle w:val="Hyperlink"/>
            <w:rFonts w:asciiTheme="minorHAnsi" w:hAnsiTheme="minorHAnsi" w:cstheme="minorHAnsi"/>
            <w:color w:val="000000" w:themeColor="text1"/>
            <w:u w:val="none"/>
          </w:rPr>
          <w:t>Section 4.4.5.1</w:t>
        </w:r>
      </w:hyperlink>
      <w:r w:rsidRPr="001D4724">
        <w:rPr>
          <w:rFonts w:asciiTheme="minorHAnsi" w:hAnsiTheme="minorHAnsi" w:cstheme="minorHAnsi"/>
          <w:color w:val="000000" w:themeColor="text1"/>
        </w:rPr>
        <w:t>). However, none of the EQ-5D dimensions comprehensively capture cognitive changes.</w:t>
      </w:r>
    </w:p>
    <w:p w14:paraId="053289C5" w14:textId="77777777" w:rsidR="00B54D51" w:rsidRPr="001D4724" w:rsidRDefault="00B54D51" w:rsidP="004C71C1">
      <w:pPr>
        <w:rPr>
          <w:rFonts w:asciiTheme="minorHAnsi" w:hAnsiTheme="minorHAnsi" w:cstheme="minorHAnsi"/>
          <w:color w:val="000000" w:themeColor="text1"/>
        </w:rPr>
      </w:pPr>
    </w:p>
    <w:p w14:paraId="7EDC0C5A" w14:textId="77777777" w:rsidR="00B54D51" w:rsidRPr="00037AD4" w:rsidRDefault="00B54D51" w:rsidP="004C71C1">
      <w:pPr>
        <w:rPr>
          <w:rFonts w:asciiTheme="minorHAnsi" w:hAnsiTheme="minorHAnsi" w:cstheme="minorHAnsi"/>
        </w:rPr>
      </w:pPr>
      <w:r w:rsidRPr="001D4724">
        <w:rPr>
          <w:rFonts w:asciiTheme="minorHAnsi" w:hAnsiTheme="minorHAnsi" w:cstheme="minorHAnsi"/>
          <w:color w:val="000000" w:themeColor="text1"/>
        </w:rPr>
        <w:t xml:space="preserve">Initial observations highlight the strengths of proxy reports over PwD self-reports, particularly for "observable" dimensions such as "mobility" and "self-care" that exhibited stronger alignment with symptom measure scores, as detailed in </w:t>
      </w:r>
      <w:hyperlink w:anchor="_4_Descriptive_statistics" w:history="1">
        <w:r w:rsidRPr="001D4724">
          <w:rPr>
            <w:rStyle w:val="Hyperlink"/>
            <w:rFonts w:asciiTheme="minorHAnsi" w:hAnsiTheme="minorHAnsi" w:cstheme="minorHAnsi"/>
            <w:color w:val="000000" w:themeColor="text1"/>
            <w:u w:val="none"/>
          </w:rPr>
          <w:t>Chapter Four</w:t>
        </w:r>
      </w:hyperlink>
      <w:r w:rsidRPr="001D4724">
        <w:rPr>
          <w:rFonts w:asciiTheme="minorHAnsi" w:hAnsiTheme="minorHAnsi" w:cstheme="minorHAnsi"/>
          <w:color w:val="000000" w:themeColor="text1"/>
        </w:rPr>
        <w:t>. Subsequent psychometric analyses confirm this observation (</w:t>
      </w:r>
      <w:hyperlink w:anchor="_5_Assessing_the" w:history="1">
        <w:r w:rsidRPr="001D4724">
          <w:rPr>
            <w:rStyle w:val="Hyperlink"/>
            <w:rFonts w:asciiTheme="minorHAnsi" w:hAnsiTheme="minorHAnsi" w:cstheme="minorHAnsi"/>
            <w:color w:val="000000" w:themeColor="text1"/>
            <w:u w:val="none"/>
          </w:rPr>
          <w:t>shown in Chapter Five</w:t>
        </w:r>
      </w:hyperlink>
      <w:r w:rsidRPr="001D4724">
        <w:rPr>
          <w:rFonts w:asciiTheme="minorHAnsi" w:hAnsiTheme="minorHAnsi" w:cstheme="minorHAnsi"/>
          <w:color w:val="000000" w:themeColor="text1"/>
        </w:rPr>
        <w:t>), revealing that PwD reports are more suitable for "non-observable" dimensions like "pain/discomfort" and "anxiety/depression", as reinforced by PPIE group discussions (</w:t>
      </w:r>
      <w:hyperlink w:anchor="_5.7_Patient_and" w:history="1">
        <w:r w:rsidRPr="001D4724">
          <w:rPr>
            <w:rStyle w:val="Hyperlink"/>
            <w:rFonts w:asciiTheme="minorHAnsi" w:hAnsiTheme="minorHAnsi" w:cstheme="minorHAnsi"/>
            <w:color w:val="000000" w:themeColor="text1"/>
            <w:u w:val="none"/>
          </w:rPr>
          <w:t>see Section 5.7</w:t>
        </w:r>
      </w:hyperlink>
      <w:r w:rsidRPr="001D4724">
        <w:rPr>
          <w:rFonts w:asciiTheme="minorHAnsi" w:hAnsiTheme="minorHAnsi" w:cstheme="minorHAnsi"/>
          <w:color w:val="000000" w:themeColor="text1"/>
        </w:rPr>
        <w:t xml:space="preserve">). The outcome is an empirically supported combination of PwD and proxy reported EQ-5D </w:t>
      </w:r>
      <w:r w:rsidRPr="00037AD4">
        <w:rPr>
          <w:rFonts w:asciiTheme="minorHAnsi" w:hAnsiTheme="minorHAnsi" w:cstheme="minorHAnsi"/>
        </w:rPr>
        <w:t xml:space="preserve">dimension responses (with PwD responses used for some dimensions and proxy responses used for remaining dimensions), that can be integrated to generate a combined utility score. This score considers the intrinsic value of both respondent perspectives and acknowledges </w:t>
      </w:r>
      <w:r w:rsidRPr="00037AD4">
        <w:rPr>
          <w:rFonts w:asciiTheme="minorHAnsi" w:hAnsiTheme="minorHAnsi" w:cstheme="minorHAnsi"/>
        </w:rPr>
        <w:lastRenderedPageBreak/>
        <w:t>the invaluable insights offered by both people with dementia and proxies. In doing so, it is emphasised that neglecting either respondent’s data compromises the accuracy of estimating a truly reflective utility score, particularly in the context of economic evaluations. Response mapping analyses demonstrate the viability of generating the combined-utility score from responses provided by only one respondent type (either PwD or proxy), along with other variables commonly collected in dementia trials and studies.</w:t>
      </w:r>
    </w:p>
    <w:p w14:paraId="5AD2C4F7" w14:textId="77777777" w:rsidR="00B54D51" w:rsidRPr="00037AD4" w:rsidRDefault="00B54D51" w:rsidP="004C71C1">
      <w:pPr>
        <w:rPr>
          <w:rFonts w:asciiTheme="minorHAnsi" w:hAnsiTheme="minorHAnsi" w:cstheme="minorHAnsi"/>
        </w:rPr>
      </w:pPr>
    </w:p>
    <w:p w14:paraId="62DB23B3" w14:textId="77777777" w:rsidR="00B54D51" w:rsidRPr="00037AD4" w:rsidRDefault="00B54D51" w:rsidP="007A43F9">
      <w:pPr>
        <w:pStyle w:val="Heading3"/>
      </w:pPr>
      <w:bookmarkStart w:id="418" w:name="_Toc175742372"/>
      <w:r w:rsidRPr="00037AD4">
        <w:t>7.1.1 Interpretation</w:t>
      </w:r>
      <w:bookmarkEnd w:id="418"/>
      <w:r w:rsidRPr="00037AD4">
        <w:t xml:space="preserve"> </w:t>
      </w:r>
    </w:p>
    <w:p w14:paraId="0BF5806B" w14:textId="77777777" w:rsidR="00B54D51" w:rsidRPr="00037AD4" w:rsidRDefault="00B54D51" w:rsidP="004C71C1">
      <w:pPr>
        <w:rPr>
          <w:rFonts w:asciiTheme="minorHAnsi" w:hAnsiTheme="minorHAnsi" w:cstheme="minorHAnsi"/>
        </w:rPr>
      </w:pPr>
    </w:p>
    <w:p w14:paraId="644C3C0C" w14:textId="77777777" w:rsidR="00B54D51" w:rsidRPr="00037AD4" w:rsidRDefault="00B54D51" w:rsidP="004C71C1">
      <w:pPr>
        <w:rPr>
          <w:rFonts w:asciiTheme="minorHAnsi" w:hAnsiTheme="minorHAnsi" w:cstheme="minorHAnsi"/>
        </w:rPr>
      </w:pPr>
      <w:r w:rsidRPr="00037AD4">
        <w:rPr>
          <w:rFonts w:asciiTheme="minorHAnsi" w:hAnsiTheme="minorHAnsi" w:cstheme="minorHAnsi"/>
        </w:rPr>
        <w:t>The analyses propose that using the combined-utility score derived from EQ-5D dimension reports provided by both PwD and proxy respondents potentially results in a utility score that more accurately mirrors reality. This approach aligns more closely with symptom measure scores, enhancing its suitability for use in economic evaluations. This approach is thought to offer a more comprehensive representation of the HRQoL of the PwD. By integrating dimension-level data from the respondent who exhibits greater psychometric robustness, it acknowledges the intrinsic value that both respondent types—PwD and proxy—bring to HRQoL reporting about the PwD. The PwD-proxy gap is complex and influenced by various factors which impact how both respondents provide their reports. The response mapping analysis demonstrates the feasibility of deriving the combined-utility score from reports of either respondent type. This finding suggests the potential for streamlining data collection methods, as only one set of data may be required to effectively capture the essential information.</w:t>
      </w:r>
    </w:p>
    <w:p w14:paraId="5BA87485" w14:textId="77777777" w:rsidR="00B54D51" w:rsidRPr="00037AD4" w:rsidRDefault="00B54D51" w:rsidP="004C71C1">
      <w:pPr>
        <w:rPr>
          <w:rFonts w:asciiTheme="minorHAnsi" w:hAnsiTheme="minorHAnsi" w:cstheme="minorHAnsi"/>
        </w:rPr>
      </w:pPr>
    </w:p>
    <w:p w14:paraId="688AFC30" w14:textId="77777777" w:rsidR="00B54D51" w:rsidRPr="00037AD4" w:rsidRDefault="00B54D51" w:rsidP="007A43F9">
      <w:pPr>
        <w:pStyle w:val="Heading3"/>
      </w:pPr>
      <w:bookmarkStart w:id="419" w:name="_Toc175742373"/>
      <w:r w:rsidRPr="00037AD4">
        <w:t>7.1.2 Contribution to evidence base</w:t>
      </w:r>
      <w:bookmarkEnd w:id="419"/>
      <w:r w:rsidRPr="00037AD4">
        <w:t xml:space="preserve"> </w:t>
      </w:r>
    </w:p>
    <w:p w14:paraId="36F9B087" w14:textId="77777777" w:rsidR="00B54D51" w:rsidRPr="00037AD4" w:rsidRDefault="00B54D51" w:rsidP="004C71C1">
      <w:pPr>
        <w:rPr>
          <w:rFonts w:asciiTheme="minorHAnsi" w:hAnsiTheme="minorHAnsi" w:cstheme="minorHAnsi"/>
        </w:rPr>
      </w:pPr>
    </w:p>
    <w:p w14:paraId="23F604E2" w14:textId="77777777" w:rsidR="00B54D51" w:rsidRPr="00037AD4" w:rsidRDefault="00B54D51" w:rsidP="004C71C1">
      <w:pPr>
        <w:rPr>
          <w:rFonts w:asciiTheme="minorHAnsi" w:hAnsiTheme="minorHAnsi" w:cstheme="minorHAnsi"/>
        </w:rPr>
      </w:pPr>
      <w:r w:rsidRPr="00037AD4">
        <w:rPr>
          <w:rFonts w:asciiTheme="minorHAnsi" w:hAnsiTheme="minorHAnsi" w:cstheme="minorHAnsi"/>
        </w:rPr>
        <w:t xml:space="preserve">The findings of this thesis provide important contributions to the existing knowledge and literature regarding the psychometric performance of EQ-5D in dementia populations, the PwD-proxy gap and integrating HRQoL dimension reports from different respondents. The contributions of the studies are summarised below. </w:t>
      </w:r>
    </w:p>
    <w:p w14:paraId="302623C6" w14:textId="77777777" w:rsidR="00B54D51" w:rsidRPr="00037AD4" w:rsidRDefault="00B54D51" w:rsidP="004C71C1">
      <w:pPr>
        <w:rPr>
          <w:rFonts w:asciiTheme="minorHAnsi" w:hAnsiTheme="minorHAnsi" w:cstheme="minorHAnsi"/>
        </w:rPr>
      </w:pPr>
    </w:p>
    <w:p w14:paraId="42373C52" w14:textId="77777777" w:rsidR="00B54D51" w:rsidRPr="00037AD4" w:rsidRDefault="00B54D51" w:rsidP="007A43F9">
      <w:pPr>
        <w:pStyle w:val="Heading4"/>
      </w:pPr>
      <w:r w:rsidRPr="00037AD4">
        <w:t xml:space="preserve">7.1.2.1 Literature and systematic reviews </w:t>
      </w:r>
    </w:p>
    <w:p w14:paraId="5C11E403" w14:textId="77777777" w:rsidR="00B54D51" w:rsidRPr="00037AD4" w:rsidRDefault="00B54D51" w:rsidP="004C71C1">
      <w:pPr>
        <w:rPr>
          <w:rFonts w:asciiTheme="minorHAnsi" w:hAnsiTheme="minorHAnsi" w:cstheme="minorHAnsi"/>
        </w:rPr>
      </w:pPr>
    </w:p>
    <w:p w14:paraId="35653935" w14:textId="77777777" w:rsidR="00B54D51" w:rsidRPr="00037AD4" w:rsidRDefault="00000000" w:rsidP="004C71C1">
      <w:pPr>
        <w:rPr>
          <w:rFonts w:asciiTheme="minorHAnsi" w:hAnsiTheme="minorHAnsi" w:cstheme="minorHAnsi"/>
        </w:rPr>
      </w:pPr>
      <w:hyperlink w:anchor="_2_Measuring_health-related" w:history="1">
        <w:r w:rsidR="00B54D51" w:rsidRPr="00DD7469">
          <w:rPr>
            <w:rStyle w:val="Hyperlink"/>
            <w:rFonts w:asciiTheme="minorHAnsi" w:hAnsiTheme="minorHAnsi" w:cstheme="minorHAnsi"/>
            <w:color w:val="000000" w:themeColor="text1"/>
            <w:u w:val="none"/>
          </w:rPr>
          <w:t>Chapter Two</w:t>
        </w:r>
      </w:hyperlink>
      <w:r w:rsidR="00B54D51" w:rsidRPr="00DD7469">
        <w:rPr>
          <w:rFonts w:asciiTheme="minorHAnsi" w:hAnsiTheme="minorHAnsi" w:cstheme="minorHAnsi"/>
          <w:color w:val="000000" w:themeColor="text1"/>
        </w:rPr>
        <w:t xml:space="preserve"> of this thesis addresses a previously identified evidence gap by conducting a systematic review. A previous review of utility-based instruments for dementia populations concluded that EQ-5D exhibits the strongest psychometric performance, based on evidence derived from studies of the three-level version </w:t>
      </w:r>
      <w:r w:rsidR="00B54D51" w:rsidRPr="00DD7469">
        <w:rPr>
          <w:rFonts w:asciiTheme="minorHAnsi" w:hAnsiTheme="minorHAnsi" w:cstheme="minorHAnsi"/>
          <w:noProof/>
          <w:color w:val="000000" w:themeColor="text1"/>
        </w:rPr>
        <w:t>(Li et al., 2018)</w:t>
      </w:r>
      <w:r w:rsidR="00B54D51" w:rsidRPr="00DD7469">
        <w:rPr>
          <w:rFonts w:asciiTheme="minorHAnsi" w:hAnsiTheme="minorHAnsi" w:cstheme="minorHAnsi"/>
          <w:color w:val="000000" w:themeColor="text1"/>
        </w:rPr>
        <w:t xml:space="preserve">. To bridge this gap, the systematic review in </w:t>
      </w:r>
      <w:hyperlink w:anchor="_2_Measuring_health-related" w:history="1">
        <w:r w:rsidR="00B54D51" w:rsidRPr="00DD7469">
          <w:rPr>
            <w:rStyle w:val="Hyperlink"/>
            <w:rFonts w:asciiTheme="minorHAnsi" w:hAnsiTheme="minorHAnsi" w:cstheme="minorHAnsi"/>
            <w:color w:val="000000" w:themeColor="text1"/>
            <w:u w:val="none"/>
          </w:rPr>
          <w:t>Chapter Two</w:t>
        </w:r>
      </w:hyperlink>
      <w:r w:rsidR="00B54D51" w:rsidRPr="00DD7469">
        <w:rPr>
          <w:rFonts w:asciiTheme="minorHAnsi" w:hAnsiTheme="minorHAnsi" w:cstheme="minorHAnsi"/>
          <w:color w:val="000000" w:themeColor="text1"/>
        </w:rPr>
        <w:t xml:space="preserve"> identified studies with the five-level version (EQ-5D-5L) to assess its psychometric properties within </w:t>
      </w:r>
      <w:r w:rsidR="00B54D51" w:rsidRPr="00037AD4">
        <w:rPr>
          <w:rFonts w:asciiTheme="minorHAnsi" w:hAnsiTheme="minorHAnsi" w:cstheme="minorHAnsi"/>
        </w:rPr>
        <w:t xml:space="preserve">the same population. By doing so, this review contributes to the existing knowledge by addressing an evidence gap, enabling a comprehensive assessment of the suitability of the EQ-5D instrument (in either version) for application in dementia populations. </w:t>
      </w:r>
    </w:p>
    <w:p w14:paraId="0750723C" w14:textId="77777777" w:rsidR="00B54D51" w:rsidRPr="00037AD4" w:rsidRDefault="00B54D51" w:rsidP="004C71C1">
      <w:pPr>
        <w:rPr>
          <w:rFonts w:asciiTheme="minorHAnsi" w:hAnsiTheme="minorHAnsi" w:cstheme="minorHAnsi"/>
        </w:rPr>
      </w:pPr>
    </w:p>
    <w:p w14:paraId="343B2251" w14:textId="77777777" w:rsidR="00B54D51" w:rsidRPr="00037AD4" w:rsidRDefault="00B54D51" w:rsidP="004C71C1">
      <w:pPr>
        <w:rPr>
          <w:rFonts w:asciiTheme="minorHAnsi" w:hAnsiTheme="minorHAnsi" w:cstheme="minorHAnsi"/>
        </w:rPr>
      </w:pPr>
      <w:r w:rsidRPr="00037AD4">
        <w:rPr>
          <w:rFonts w:asciiTheme="minorHAnsi" w:hAnsiTheme="minorHAnsi" w:cstheme="minorHAnsi"/>
        </w:rPr>
        <w:t xml:space="preserve">The findings of this review provide important insights into the psychometric performance of EQ-5D-5L in dementia trials and studies. Strong evidence demonstrating known group validity and responsiveness suggests the measure's sensitivity in distinguishing between severities and detecting changes in health status. Convergent validity evidence with other </w:t>
      </w:r>
      <w:r w:rsidRPr="00037AD4">
        <w:rPr>
          <w:rFonts w:asciiTheme="minorHAnsi" w:hAnsiTheme="minorHAnsi" w:cstheme="minorHAnsi"/>
        </w:rPr>
        <w:lastRenderedPageBreak/>
        <w:t xml:space="preserve">HRQoL measures was identified, although some correlations were of lower strengths - below established thresholds for determining convergent validity associations, despite their reported statistical significance. Overall, the acceptability and feasibility of EQ-5D-5L was deemed satisfactory. However, there was clear evidence of poor inter-rater agreement in the identified studies. This study also highlights a notable gap in the literature, as there were relatively few publications (n=20) to extract psychometric evidence from. The review’s findings emphasise that EQ-5D-5L demonstrates favourable psychometric performance in dementia populations. This extends the conclusions drawn by Li et al. (2018) that were based upon EQ-5D-3L </w:t>
      </w:r>
      <w:r>
        <w:rPr>
          <w:rFonts w:asciiTheme="minorHAnsi" w:hAnsiTheme="minorHAnsi" w:cstheme="minorHAnsi"/>
          <w:noProof/>
        </w:rPr>
        <w:t>(Li et al., 2018)</w:t>
      </w:r>
      <w:r w:rsidRPr="00037AD4">
        <w:rPr>
          <w:rFonts w:asciiTheme="minorHAnsi" w:hAnsiTheme="minorHAnsi" w:cstheme="minorHAnsi"/>
        </w:rPr>
        <w:t>, now including EQ-5D-5L as a strong utility measure for use in dementia populations.</w:t>
      </w:r>
    </w:p>
    <w:p w14:paraId="5BA051F2" w14:textId="77777777" w:rsidR="00B54D51" w:rsidRPr="00DD7469" w:rsidRDefault="00B54D51" w:rsidP="004C71C1">
      <w:pPr>
        <w:rPr>
          <w:rFonts w:asciiTheme="minorHAnsi" w:hAnsiTheme="minorHAnsi" w:cstheme="minorHAnsi"/>
          <w:color w:val="000000" w:themeColor="text1"/>
        </w:rPr>
      </w:pPr>
    </w:p>
    <w:p w14:paraId="3074868F" w14:textId="2A7836A6" w:rsidR="00B54D51" w:rsidRPr="00DD7469" w:rsidRDefault="00B54D51" w:rsidP="004C71C1">
      <w:pPr>
        <w:rPr>
          <w:rFonts w:asciiTheme="minorHAnsi" w:hAnsiTheme="minorHAnsi" w:cstheme="minorHAnsi"/>
          <w:color w:val="000000" w:themeColor="text1"/>
        </w:rPr>
      </w:pPr>
      <w:r w:rsidRPr="00DD7469">
        <w:rPr>
          <w:rFonts w:asciiTheme="minorHAnsi" w:hAnsiTheme="minorHAnsi" w:cstheme="minorHAnsi"/>
          <w:color w:val="000000" w:themeColor="text1"/>
        </w:rPr>
        <w:t xml:space="preserve">In </w:t>
      </w:r>
      <w:hyperlink w:anchor="_3_Wider_outcomes" w:history="1">
        <w:r w:rsidRPr="00DD7469">
          <w:rPr>
            <w:rStyle w:val="Hyperlink"/>
            <w:rFonts w:asciiTheme="minorHAnsi" w:hAnsiTheme="minorHAnsi" w:cstheme="minorHAnsi"/>
            <w:color w:val="000000" w:themeColor="text1"/>
            <w:u w:val="none"/>
          </w:rPr>
          <w:t>Chapter Three</w:t>
        </w:r>
      </w:hyperlink>
      <w:r w:rsidRPr="00DD7469">
        <w:rPr>
          <w:rFonts w:asciiTheme="minorHAnsi" w:hAnsiTheme="minorHAnsi" w:cstheme="minorHAnsi"/>
          <w:color w:val="000000" w:themeColor="text1"/>
        </w:rPr>
        <w:t>, the informal literature search for dementia outcomes identified core outcome sets categorised by intervention type. Combining these sets with the dementia trial search conducted in the ISCTRN database yielded a refined compilation of core outcomes applicable to a broad spectrum of dementia trials, studies and interventions. These outcomes were related to cognition, activities of daily living, HRQoL (both dementia specific and generic) and behaviour/mood. This contributes to the evidence base by offering an extensive list of specific measures for dementia outcomes. This resource could prove valuable for researchers in the early stages of trial planning when deciding which measures to incorporate to measure the range of symptom areas impacted by dementia. In light of the substantial variability observed across dementia trials and studies regarding included measures, this step was undertaken in the absence of a singular, unifying core outcome set. Encouraging movement towards heterogeneity in the included measures could facilitate additional secondary analyses from existing trial datasets, such as pooling outcome scores for meta-analyses. These types of analyses allow for continued and meaningful studies well after the conclusion of a trial, fostering ongoing research and innovation.</w:t>
      </w:r>
    </w:p>
    <w:p w14:paraId="015AE708" w14:textId="77777777" w:rsidR="00B54D51" w:rsidRPr="00DD7469" w:rsidRDefault="00B54D51" w:rsidP="004C71C1">
      <w:pPr>
        <w:rPr>
          <w:rFonts w:asciiTheme="minorHAnsi" w:hAnsiTheme="minorHAnsi" w:cstheme="minorHAnsi"/>
          <w:color w:val="000000" w:themeColor="text1"/>
        </w:rPr>
      </w:pPr>
    </w:p>
    <w:p w14:paraId="175DD189" w14:textId="77777777" w:rsidR="00B54D51" w:rsidRPr="00037AD4" w:rsidRDefault="00000000" w:rsidP="004C71C1">
      <w:pPr>
        <w:rPr>
          <w:rFonts w:asciiTheme="minorHAnsi" w:hAnsiTheme="minorHAnsi" w:cstheme="minorHAnsi"/>
        </w:rPr>
      </w:pPr>
      <w:hyperlink w:anchor="_3_Wider_outcomes" w:history="1">
        <w:r w:rsidR="00B54D51" w:rsidRPr="00DD7469">
          <w:rPr>
            <w:rStyle w:val="Hyperlink"/>
            <w:rFonts w:asciiTheme="minorHAnsi" w:hAnsiTheme="minorHAnsi" w:cstheme="minorHAnsi"/>
            <w:color w:val="000000" w:themeColor="text1"/>
            <w:u w:val="none"/>
          </w:rPr>
          <w:t>Chapter Three</w:t>
        </w:r>
      </w:hyperlink>
      <w:r w:rsidR="00B54D51" w:rsidRPr="00DD7469">
        <w:rPr>
          <w:rFonts w:asciiTheme="minorHAnsi" w:hAnsiTheme="minorHAnsi" w:cstheme="minorHAnsi"/>
          <w:color w:val="000000" w:themeColor="text1"/>
        </w:rPr>
        <w:t xml:space="preserve"> also included a systematic review which further examines EQ-5D in dementia populations by investigating </w:t>
      </w:r>
      <w:r w:rsidR="00B54D51" w:rsidRPr="00037AD4">
        <w:rPr>
          <w:rFonts w:asciiTheme="minorHAnsi" w:hAnsiTheme="minorHAnsi" w:cstheme="minorHAnsi"/>
        </w:rPr>
        <w:t>convergent validity with core dementia symptom measures. Additional layers of this review involved assessing the impact of respondent type (PwD or proxy) and extracting and appraising EQ-5D dimension-level convergent validity where identified. This review contributes to the evidence base by presenting a detailed synthesis of this specific psychometric property and extends the exploration of EQ-5D's ability to indirectly measure symptom areas impacted by dementia. This study is distinct from other systematic reviews that may have briefly touched upon convergent validity.</w:t>
      </w:r>
    </w:p>
    <w:p w14:paraId="053C2E05" w14:textId="77777777" w:rsidR="00B54D51" w:rsidRPr="00037AD4" w:rsidRDefault="00B54D51" w:rsidP="004C71C1">
      <w:pPr>
        <w:rPr>
          <w:rFonts w:asciiTheme="minorHAnsi" w:hAnsiTheme="minorHAnsi" w:cstheme="minorHAnsi"/>
        </w:rPr>
      </w:pPr>
    </w:p>
    <w:p w14:paraId="70BE2C19" w14:textId="77777777" w:rsidR="00B54D51" w:rsidRPr="00037AD4" w:rsidRDefault="00B54D51" w:rsidP="004C71C1">
      <w:pPr>
        <w:rPr>
          <w:rFonts w:asciiTheme="minorHAnsi" w:hAnsiTheme="minorHAnsi" w:cstheme="minorHAnsi"/>
        </w:rPr>
      </w:pPr>
      <w:r w:rsidRPr="00037AD4">
        <w:rPr>
          <w:rFonts w:asciiTheme="minorHAnsi" w:hAnsiTheme="minorHAnsi" w:cstheme="minorHAnsi"/>
        </w:rPr>
        <w:t xml:space="preserve">The review's findings highlight the significant role of EQ-5D in dementia research, reinforcing its effectiveness despite its generic nature. EQ-5D's convergent validity with dementia symptom measures related to cognition, function, and behaviour/mood aligned with expected directions. The strength of association was consistently stronger when derived from proxy reports compared to PwD self-reports in all instances (where reported). At the dimension level, expected associations emerged between the "observable" dimensions (“mobility”, “self-care”, and “usual activities”) and the core measures of function. Additionally, "anxiety/depression" correlated with measures of cognition and behaviour/mood. At the dimension level, stronger inter-rater agreement was seen for the observable dimension of "mobility", whereas for "pain/discomfort" and "anxiety/depression", agreement was low. However, there were a notably low number of </w:t>
      </w:r>
      <w:r w:rsidRPr="00037AD4">
        <w:rPr>
          <w:rFonts w:asciiTheme="minorHAnsi" w:hAnsiTheme="minorHAnsi" w:cstheme="minorHAnsi"/>
        </w:rPr>
        <w:lastRenderedPageBreak/>
        <w:t>papers (n=7) from which to extract dimension-level evidence, revealing a research gap in examining the specific psychometric performance of EQ-5D's dimensions and potential differences between respondent types. This identified gap in the literature was subsequently addressed through secondary analyses on acquired dementia trial datasets.</w:t>
      </w:r>
    </w:p>
    <w:p w14:paraId="4AAEBF11" w14:textId="77777777" w:rsidR="00B54D51" w:rsidRPr="00037AD4" w:rsidRDefault="00B54D51" w:rsidP="004C71C1">
      <w:pPr>
        <w:rPr>
          <w:rFonts w:asciiTheme="minorHAnsi" w:hAnsiTheme="minorHAnsi" w:cstheme="minorHAnsi"/>
        </w:rPr>
      </w:pPr>
    </w:p>
    <w:p w14:paraId="2CE4DAB3" w14:textId="77777777" w:rsidR="00B54D51" w:rsidRPr="00037AD4" w:rsidRDefault="00B54D51" w:rsidP="007A43F9">
      <w:pPr>
        <w:pStyle w:val="Heading4"/>
      </w:pPr>
      <w:r w:rsidRPr="00037AD4">
        <w:t xml:space="preserve">7.1.2.2 Data analysis </w:t>
      </w:r>
    </w:p>
    <w:p w14:paraId="62A6D19A" w14:textId="77777777" w:rsidR="00B54D51" w:rsidRPr="00037AD4" w:rsidRDefault="00B54D51" w:rsidP="004C71C1">
      <w:pPr>
        <w:rPr>
          <w:rFonts w:asciiTheme="minorHAnsi" w:hAnsiTheme="minorHAnsi" w:cstheme="minorHAnsi"/>
          <w:b/>
          <w:bCs/>
          <w:u w:val="single"/>
        </w:rPr>
      </w:pPr>
    </w:p>
    <w:p w14:paraId="34C3F336" w14:textId="6FFFFF03" w:rsidR="00B54D51" w:rsidRPr="00037AD4" w:rsidRDefault="00B54D51" w:rsidP="004C71C1">
      <w:pPr>
        <w:rPr>
          <w:rFonts w:asciiTheme="minorHAnsi" w:hAnsiTheme="minorHAnsi" w:cstheme="minorHAnsi"/>
        </w:rPr>
      </w:pPr>
      <w:r w:rsidRPr="00037AD4">
        <w:rPr>
          <w:rFonts w:asciiTheme="minorHAnsi" w:hAnsiTheme="minorHAnsi" w:cstheme="minorHAnsi"/>
        </w:rPr>
        <w:t xml:space="preserve">There are three key empirical chapters (Chapters Four, Five and Six) focused on data analysis presented in this thesis. Chapter Four provides an in-depth description of the acquired dementia trial datasets, beyond the analyses conducted and reported in the original trial papers. Chapter Four contributes crucial empirical information to the evidence base regarding PwD and proxy EQ-5D reports from dementia trials. </w:t>
      </w:r>
      <w:r w:rsidRPr="00037AD4">
        <w:rPr>
          <w:rFonts w:asciiTheme="minorHAnsi" w:hAnsiTheme="minorHAnsi" w:cstheme="minorHAnsi"/>
          <w:color w:val="000000" w:themeColor="text1"/>
        </w:rPr>
        <w:t>It also discusses practical considerations related to HRQoL data collection, providing valuable insights for researchers regarding methods of data collection.</w:t>
      </w:r>
      <w:r w:rsidR="00DD7469">
        <w:rPr>
          <w:rFonts w:asciiTheme="minorHAnsi" w:hAnsiTheme="minorHAnsi" w:cstheme="minorHAnsi"/>
          <w:color w:val="000000" w:themeColor="text1"/>
        </w:rPr>
        <w:t xml:space="preserve"> </w:t>
      </w:r>
    </w:p>
    <w:p w14:paraId="5C563888" w14:textId="77777777" w:rsidR="00B54D51" w:rsidRPr="00037AD4" w:rsidRDefault="00B54D51" w:rsidP="004C71C1">
      <w:pPr>
        <w:rPr>
          <w:rFonts w:asciiTheme="minorHAnsi" w:hAnsiTheme="minorHAnsi" w:cstheme="minorHAnsi"/>
        </w:rPr>
      </w:pPr>
    </w:p>
    <w:p w14:paraId="72C3920B" w14:textId="77777777" w:rsidR="00B54D51" w:rsidRPr="00037AD4" w:rsidRDefault="00B54D51" w:rsidP="004C71C1">
      <w:pPr>
        <w:rPr>
          <w:rFonts w:asciiTheme="minorHAnsi" w:hAnsiTheme="minorHAnsi" w:cstheme="minorHAnsi"/>
        </w:rPr>
      </w:pPr>
      <w:r w:rsidRPr="00037AD4">
        <w:rPr>
          <w:rFonts w:asciiTheme="minorHAnsi" w:hAnsiTheme="minorHAnsi" w:cstheme="minorHAnsi"/>
        </w:rPr>
        <w:t xml:space="preserve">The convergent validity systematic review highlights the lack of evidence examining the psychometric performance of EQ-5D's dimensions. Dimension-level evidence provides valuable insights into the specific functioning of instrument dimensions that may be overlooked when focusing solely on overall instrument scores. This thesis uses item-level convergent validity analysis to achieve an interpretable and nuanced understanding of how each EQ-5D dimension contributes to the overall measurement of HRQoL. In the context of conditions like dementia, where ongoing debate regarding whose data should be used for HRQoL assessments, this type of granular information proves valuable for researchers in revealing differences in relationships between individual items and other measures that capture similar constructs, particularly when considering respondent types. The analyses reveal that symptom measures are consistently more strongly associated with proxy assessments, when compared to PwD self-reports. </w:t>
      </w:r>
    </w:p>
    <w:p w14:paraId="53C6ABA0" w14:textId="77777777" w:rsidR="00B54D51" w:rsidRPr="00037AD4" w:rsidRDefault="00B54D51" w:rsidP="004C71C1">
      <w:pPr>
        <w:rPr>
          <w:rFonts w:asciiTheme="minorHAnsi" w:hAnsiTheme="minorHAnsi" w:cstheme="minorHAnsi"/>
        </w:rPr>
      </w:pPr>
    </w:p>
    <w:p w14:paraId="07B30E3E" w14:textId="77777777" w:rsidR="00B54D51" w:rsidRPr="00037AD4" w:rsidRDefault="00B54D51" w:rsidP="004C71C1">
      <w:pPr>
        <w:rPr>
          <w:rFonts w:asciiTheme="minorHAnsi" w:hAnsiTheme="minorHAnsi" w:cstheme="minorHAnsi"/>
        </w:rPr>
      </w:pPr>
      <w:r w:rsidRPr="00037AD4">
        <w:rPr>
          <w:rFonts w:asciiTheme="minorHAnsi" w:hAnsiTheme="minorHAnsi" w:cstheme="minorHAnsi"/>
        </w:rPr>
        <w:t xml:space="preserve">This chapter also explores pragmatic aspects of HRQoL data collection, including instrument administration method and proxy type. Findings indicate that postal administration of EQ-5D, although popular, results in the most missing data. The study emphasises the trade-off between providing various administration methods to maximise volume of data and compromising data quality due to missing items. Additionally, the choice of proxy may vary by residential setting, with staff proxies demonstrating fewer missing observations compared to informal proxies. For the "usual activities" dimension, alignment between PwD and staff proxy reports is closer than with informal proxies. The results suggest that staff proxies may be more appropriate for understanding the "usual activities" of institutionalised dementia populations, particularly where interpretability issues (raised via PPIE) and increased missingness have been identified. The selection of staff proxies is also supported by previous findings in the literature indicating that staff caregivers with closer proximity and frequent interaction with the PwD provide assessments more closely aligned with self-reported QoL when compared to family proxies who have less frequent interaction </w:t>
      </w:r>
      <w:r>
        <w:rPr>
          <w:rFonts w:asciiTheme="minorHAnsi" w:hAnsiTheme="minorHAnsi" w:cstheme="minorHAnsi"/>
          <w:noProof/>
        </w:rPr>
        <w:t>(Makai et al., 2012)</w:t>
      </w:r>
      <w:r w:rsidRPr="00037AD4">
        <w:rPr>
          <w:rFonts w:asciiTheme="minorHAnsi" w:hAnsiTheme="minorHAnsi" w:cstheme="minorHAnsi"/>
        </w:rPr>
        <w:t>. As a result, the rationale for selecting staff proxies is further supported.</w:t>
      </w:r>
    </w:p>
    <w:p w14:paraId="7B361053" w14:textId="77777777" w:rsidR="00B54D51" w:rsidRPr="00037AD4" w:rsidRDefault="00B54D51" w:rsidP="004C71C1">
      <w:pPr>
        <w:rPr>
          <w:rFonts w:asciiTheme="minorHAnsi" w:hAnsiTheme="minorHAnsi" w:cstheme="minorHAnsi"/>
        </w:rPr>
      </w:pPr>
    </w:p>
    <w:p w14:paraId="641D3C02" w14:textId="77777777" w:rsidR="00B54D51" w:rsidRPr="00037AD4" w:rsidRDefault="00000000" w:rsidP="004C71C1">
      <w:pPr>
        <w:rPr>
          <w:rFonts w:asciiTheme="minorHAnsi" w:hAnsiTheme="minorHAnsi" w:cstheme="minorHAnsi"/>
        </w:rPr>
      </w:pPr>
      <w:hyperlink w:anchor="_5__Identifying" w:history="1">
        <w:r w:rsidR="00B54D51" w:rsidRPr="00DD7469">
          <w:rPr>
            <w:rStyle w:val="Hyperlink"/>
            <w:rFonts w:asciiTheme="minorHAnsi" w:hAnsiTheme="minorHAnsi" w:cstheme="minorHAnsi"/>
            <w:color w:val="000000" w:themeColor="text1"/>
            <w:u w:val="none"/>
          </w:rPr>
          <w:t>Chapter Five</w:t>
        </w:r>
      </w:hyperlink>
      <w:r w:rsidR="00B54D51" w:rsidRPr="00DD7469">
        <w:rPr>
          <w:rFonts w:asciiTheme="minorHAnsi" w:hAnsiTheme="minorHAnsi" w:cstheme="minorHAnsi"/>
          <w:color w:val="000000" w:themeColor="text1"/>
        </w:rPr>
        <w:t xml:space="preserve"> builds upon the foundation reported in </w:t>
      </w:r>
      <w:hyperlink w:anchor="_4_Descriptive_statistics" w:history="1">
        <w:r w:rsidR="00B54D51" w:rsidRPr="00DD7469">
          <w:rPr>
            <w:rStyle w:val="Hyperlink"/>
            <w:rFonts w:asciiTheme="minorHAnsi" w:hAnsiTheme="minorHAnsi" w:cstheme="minorHAnsi"/>
            <w:color w:val="000000" w:themeColor="text1"/>
            <w:u w:val="none"/>
          </w:rPr>
          <w:t>Chapter Four</w:t>
        </w:r>
      </w:hyperlink>
      <w:r w:rsidR="00B54D51" w:rsidRPr="00DD7469">
        <w:rPr>
          <w:rFonts w:asciiTheme="minorHAnsi" w:hAnsiTheme="minorHAnsi" w:cstheme="minorHAnsi"/>
          <w:color w:val="000000" w:themeColor="text1"/>
        </w:rPr>
        <w:t xml:space="preserve">, expanding </w:t>
      </w:r>
      <w:r w:rsidR="00B54D51" w:rsidRPr="00037AD4">
        <w:rPr>
          <w:rFonts w:asciiTheme="minorHAnsi" w:hAnsiTheme="minorHAnsi" w:cstheme="minorHAnsi"/>
        </w:rPr>
        <w:t xml:space="preserve">the scope of analysis beyond correlation-based methods to incorporate more advanced statistical and psychometric techniques. This chapter makes key contributions to the field by addressing </w:t>
      </w:r>
      <w:r w:rsidR="00B54D51" w:rsidRPr="00037AD4">
        <w:rPr>
          <w:rFonts w:asciiTheme="minorHAnsi" w:hAnsiTheme="minorHAnsi" w:cstheme="minorHAnsi"/>
        </w:rPr>
        <w:lastRenderedPageBreak/>
        <w:t>the challenge of the gap between PwD-proxy reports, seeking to determine which respondent's data provides the most effective and accurate EQ-5D dimension reports for integration in utility score estimations.</w:t>
      </w:r>
    </w:p>
    <w:p w14:paraId="5093FC4E" w14:textId="77777777" w:rsidR="00B54D51" w:rsidRPr="00037AD4" w:rsidRDefault="00B54D51" w:rsidP="004C71C1">
      <w:pPr>
        <w:rPr>
          <w:rFonts w:asciiTheme="minorHAnsi" w:hAnsiTheme="minorHAnsi" w:cstheme="minorHAnsi"/>
        </w:rPr>
      </w:pPr>
    </w:p>
    <w:p w14:paraId="58432589" w14:textId="77777777" w:rsidR="00B54D51" w:rsidRPr="00037AD4" w:rsidRDefault="00B54D51" w:rsidP="004C71C1">
      <w:pPr>
        <w:rPr>
          <w:rFonts w:asciiTheme="minorHAnsi" w:hAnsiTheme="minorHAnsi" w:cstheme="minorHAnsi"/>
        </w:rPr>
      </w:pPr>
      <w:r w:rsidRPr="00037AD4">
        <w:rPr>
          <w:rFonts w:asciiTheme="minorHAnsi" w:hAnsiTheme="minorHAnsi" w:cstheme="minorHAnsi"/>
        </w:rPr>
        <w:t>This chapter exploits the longitudinal data in an innovative way to investigate how respondents' EQ-5D responses align with changes in related dementia symptoms by drawing upon the convergent validity evidence reported in the systematic review and analyses of Chapter Four. Multiple robust approaches are applied to ensure the reliability of findings before presenting a concept of target responses for forming a combined utility score. This study represents the first attempt, to my knowledge, to conceptualise the integration of respondent reports in this manner, offering a methodological alternative to simplistic averaging or adjusted scoring methods. Throughout the analyses, emphasis is placed on retaining the focus on the PwD, with proxy reports considered only if compelling evidence suggests deviation from using PwD self-reports.</w:t>
      </w:r>
    </w:p>
    <w:p w14:paraId="2303D383" w14:textId="77777777" w:rsidR="00B54D51" w:rsidRPr="00037AD4" w:rsidRDefault="00B54D51" w:rsidP="004C71C1">
      <w:pPr>
        <w:rPr>
          <w:rFonts w:asciiTheme="minorHAnsi" w:hAnsiTheme="minorHAnsi" w:cstheme="minorHAnsi"/>
        </w:rPr>
      </w:pPr>
    </w:p>
    <w:p w14:paraId="64D5FACA" w14:textId="77777777" w:rsidR="00B54D51" w:rsidRPr="00037AD4" w:rsidRDefault="00B54D51" w:rsidP="004C71C1">
      <w:pPr>
        <w:rPr>
          <w:rFonts w:asciiTheme="minorHAnsi" w:hAnsiTheme="minorHAnsi" w:cstheme="minorHAnsi"/>
          <w:color w:val="000000" w:themeColor="text1"/>
        </w:rPr>
      </w:pPr>
      <w:r w:rsidRPr="00037AD4">
        <w:rPr>
          <w:rFonts w:asciiTheme="minorHAnsi" w:hAnsiTheme="minorHAnsi" w:cstheme="minorHAnsi"/>
        </w:rPr>
        <w:t>The only difference observed between the datasets, defined by the residential setting of the PwD, was for the “mobility” dimension – where PwD self-reports were preferred for community dwelling populations, while care-home staff proxy reports were selected for institutionalised populations. For the more personally experienced and “non-observable” dimensions of "pain/discomfort" and "anxiety/depression", PwD reports are deemed most appropriate, consistent with prior literature but now empirically validated. However, the optimal reporting source for the "usual activities" dimension remains less clear, with proxies considered most suitable from these analyses, though the dimension's interpretational ambiguity warrants further attention, particularly regarding the timelines for assessment</w:t>
      </w:r>
      <w:r w:rsidRPr="00037AD4">
        <w:rPr>
          <w:rFonts w:asciiTheme="minorHAnsi" w:hAnsiTheme="minorHAnsi" w:cstheme="minorHAnsi"/>
          <w:color w:val="000000" w:themeColor="text1"/>
        </w:rPr>
        <w:t>. In the second PPIE session, the idea of allowing a proxy to report on the PwD’s behalf about their “usual activities” was discussed and was well received.</w:t>
      </w:r>
    </w:p>
    <w:p w14:paraId="00030C0D" w14:textId="77777777" w:rsidR="00B54D51" w:rsidRPr="00037AD4" w:rsidRDefault="00B54D51" w:rsidP="004C71C1">
      <w:pPr>
        <w:rPr>
          <w:rFonts w:asciiTheme="minorHAnsi" w:hAnsiTheme="minorHAnsi" w:cstheme="minorHAnsi"/>
          <w:color w:val="000000" w:themeColor="text1"/>
        </w:rPr>
      </w:pPr>
    </w:p>
    <w:p w14:paraId="0FF1FB15" w14:textId="77777777" w:rsidR="00B54D51" w:rsidRPr="00037AD4" w:rsidRDefault="00B54D51" w:rsidP="00446B7A">
      <w:pPr>
        <w:pStyle w:val="Heading4"/>
      </w:pPr>
      <w:r w:rsidRPr="00037AD4">
        <w:t xml:space="preserve">7.1.2.3 Contribution of PPIE </w:t>
      </w:r>
    </w:p>
    <w:p w14:paraId="513A1C7C" w14:textId="77777777" w:rsidR="00B54D51" w:rsidRPr="00037AD4" w:rsidRDefault="00B54D51" w:rsidP="00446B7A">
      <w:pPr>
        <w:rPr>
          <w:rFonts w:asciiTheme="minorHAnsi" w:hAnsiTheme="minorHAnsi" w:cstheme="minorHAnsi"/>
          <w:b/>
          <w:bCs/>
          <w:u w:val="single"/>
        </w:rPr>
      </w:pPr>
    </w:p>
    <w:p w14:paraId="3D63B021" w14:textId="77777777" w:rsidR="00B54D51" w:rsidRPr="00037AD4" w:rsidRDefault="00B54D51" w:rsidP="004D4950">
      <w:pPr>
        <w:rPr>
          <w:rFonts w:asciiTheme="minorHAnsi" w:hAnsiTheme="minorHAnsi" w:cstheme="minorHAnsi"/>
        </w:rPr>
      </w:pPr>
      <w:r w:rsidRPr="00037AD4">
        <w:rPr>
          <w:rFonts w:asciiTheme="minorHAnsi" w:hAnsiTheme="minorHAnsi" w:cstheme="minorHAnsi"/>
        </w:rPr>
        <w:t>As part of this thesis, PPIE exercises were conducted, facilitating discussions with people with dementia, caregivers of people with dementia and other stakeholders. The first session was early in the research process and aimed to explore concepts related to the research questions and context. The initial session was focused on discussing groupings for EQ-5D dimensions and fostering dialogue on differences observed between PwD and proxy HRQoL reports. The session was marked by active engagement, reinforcing the importance of prioritising the perspectives and autonomy of people with dementia. Discussions highlighted inter-rater disparities, particularly evident for specific dimensions, echoing existing literature findings. Discussions highlighted the significance of differing perspectives on the "usual activities" dimension, which informed subsequent data analysis. This connection between real conversations and academic analysis enriched the thesis, emphasising its relevance to real-world experiences.</w:t>
      </w:r>
    </w:p>
    <w:p w14:paraId="3468B383" w14:textId="77777777" w:rsidR="00B54D51" w:rsidRPr="00037AD4" w:rsidRDefault="00B54D51" w:rsidP="004D4950">
      <w:pPr>
        <w:rPr>
          <w:rFonts w:asciiTheme="minorHAnsi" w:hAnsiTheme="minorHAnsi" w:cstheme="minorHAnsi"/>
        </w:rPr>
      </w:pPr>
    </w:p>
    <w:p w14:paraId="2FBB740B" w14:textId="75C61EB9" w:rsidR="00B54D51" w:rsidRDefault="00B54D51" w:rsidP="004D4950">
      <w:pPr>
        <w:rPr>
          <w:rFonts w:asciiTheme="minorHAnsi" w:hAnsiTheme="minorHAnsi" w:cstheme="minorHAnsi"/>
        </w:rPr>
      </w:pPr>
      <w:r w:rsidRPr="00037AD4">
        <w:rPr>
          <w:rFonts w:asciiTheme="minorHAnsi" w:hAnsiTheme="minorHAnsi" w:cstheme="minorHAnsi"/>
        </w:rPr>
        <w:t xml:space="preserve">Recognising the value of ongoing engagement, a follow-up PPIE session was conducted later in the research process. During this session, the empirical findings regarding the combination of EQ-5D dimension reports by respondent type was shared and received positively. The proposal to integrate reports from both respondents was praised, further validating the significance and applicability of the research findings. These engagements </w:t>
      </w:r>
      <w:r w:rsidRPr="00037AD4">
        <w:rPr>
          <w:rFonts w:asciiTheme="minorHAnsi" w:hAnsiTheme="minorHAnsi" w:cstheme="minorHAnsi"/>
        </w:rPr>
        <w:lastRenderedPageBreak/>
        <w:t>highlighted the importance of integrating patient and public perspectives in health research, ensuring that the voices and experiences of those affected by the research are acknowledged. In the context of this thesis, PPIE played a role in shaping the research by reinforcing literature findings and directing attention to key areas for analysis.</w:t>
      </w:r>
    </w:p>
    <w:p w14:paraId="4C959E96" w14:textId="77777777" w:rsidR="00C55E57" w:rsidRPr="00037AD4" w:rsidRDefault="00C55E57" w:rsidP="004D4950">
      <w:pPr>
        <w:rPr>
          <w:rFonts w:asciiTheme="minorHAnsi" w:hAnsiTheme="minorHAnsi" w:cstheme="minorHAnsi"/>
        </w:rPr>
      </w:pPr>
    </w:p>
    <w:p w14:paraId="455FA077" w14:textId="77777777" w:rsidR="00B54D51" w:rsidRPr="00037AD4" w:rsidRDefault="00B54D51" w:rsidP="007A43F9">
      <w:pPr>
        <w:pStyle w:val="Heading4"/>
      </w:pPr>
      <w:r w:rsidRPr="00037AD4">
        <w:t xml:space="preserve">7.1.2.4 Mapping </w:t>
      </w:r>
    </w:p>
    <w:p w14:paraId="009BC03D" w14:textId="77777777" w:rsidR="00B54D51" w:rsidRPr="00037AD4" w:rsidRDefault="00B54D51" w:rsidP="004C71C1">
      <w:pPr>
        <w:rPr>
          <w:rFonts w:asciiTheme="minorHAnsi" w:hAnsiTheme="minorHAnsi" w:cstheme="minorHAnsi"/>
          <w:b/>
          <w:bCs/>
          <w:u w:val="single"/>
        </w:rPr>
      </w:pPr>
    </w:p>
    <w:p w14:paraId="722A90D1" w14:textId="77777777" w:rsidR="00B54D51" w:rsidRPr="00037AD4" w:rsidRDefault="00000000" w:rsidP="00A94BE6">
      <w:pPr>
        <w:rPr>
          <w:rFonts w:asciiTheme="minorHAnsi" w:hAnsiTheme="minorHAnsi" w:cstheme="minorHAnsi"/>
        </w:rPr>
      </w:pPr>
      <w:hyperlink w:anchor="_6_Mapping_to" w:history="1">
        <w:r w:rsidR="00B54D51" w:rsidRPr="00C55E57">
          <w:rPr>
            <w:rStyle w:val="Hyperlink"/>
            <w:rFonts w:asciiTheme="minorHAnsi" w:hAnsiTheme="minorHAnsi" w:cstheme="minorHAnsi"/>
            <w:color w:val="000000" w:themeColor="text1"/>
            <w:u w:val="none"/>
          </w:rPr>
          <w:t>Chapter Six</w:t>
        </w:r>
      </w:hyperlink>
      <w:r w:rsidR="00B54D51" w:rsidRPr="00C55E57">
        <w:rPr>
          <w:rFonts w:asciiTheme="minorHAnsi" w:hAnsiTheme="minorHAnsi" w:cstheme="minorHAnsi"/>
          <w:color w:val="000000" w:themeColor="text1"/>
        </w:rPr>
        <w:t xml:space="preserve"> presents the final analytical chapter of this thesis. This chapter holds both methodological and empirical value as it contributes knowledge to the evidence base regarding the prediction of EQ-5D dimension reports from different respondents within dementia research. It investigates whether a target combined utility score can be estimated when data is available solely from one respondent type (i.e., either the PwD or proxy) by applying the target combination of respondents for each EQ-5D dimension established in </w:t>
      </w:r>
      <w:hyperlink w:anchor="_5__Identifying" w:history="1">
        <w:r w:rsidR="00B54D51" w:rsidRPr="00C55E57">
          <w:rPr>
            <w:rStyle w:val="Hyperlink"/>
            <w:rFonts w:asciiTheme="minorHAnsi" w:hAnsiTheme="minorHAnsi" w:cstheme="minorHAnsi"/>
            <w:color w:val="000000" w:themeColor="text1"/>
            <w:u w:val="none"/>
          </w:rPr>
          <w:t>Chapter Five</w:t>
        </w:r>
      </w:hyperlink>
      <w:r w:rsidR="00B54D51" w:rsidRPr="00C55E57">
        <w:rPr>
          <w:rFonts w:asciiTheme="minorHAnsi" w:hAnsiTheme="minorHAnsi" w:cstheme="minorHAnsi"/>
          <w:color w:val="000000" w:themeColor="text1"/>
        </w:rPr>
        <w:t>. Distinct prediction models are developed for each dimension using response mapping methods</w:t>
      </w:r>
      <w:r w:rsidR="00B54D51" w:rsidRPr="00037AD4">
        <w:rPr>
          <w:rFonts w:asciiTheme="minorHAnsi" w:hAnsiTheme="minorHAnsi" w:cstheme="minorHAnsi"/>
        </w:rPr>
        <w:t xml:space="preserve">, with careful consideration of which independent variables to include based on marginal effects and model fit statistics. </w:t>
      </w:r>
    </w:p>
    <w:p w14:paraId="660285A8" w14:textId="77777777" w:rsidR="00B54D51" w:rsidRPr="00037AD4" w:rsidRDefault="00B54D51" w:rsidP="00A94BE6">
      <w:pPr>
        <w:rPr>
          <w:rFonts w:asciiTheme="minorHAnsi" w:hAnsiTheme="minorHAnsi" w:cstheme="minorHAnsi"/>
        </w:rPr>
      </w:pPr>
    </w:p>
    <w:p w14:paraId="09CE5A6C" w14:textId="77777777" w:rsidR="00B54D51" w:rsidRPr="00037AD4" w:rsidRDefault="00B54D51" w:rsidP="004C71C1">
      <w:pPr>
        <w:rPr>
          <w:rFonts w:asciiTheme="minorHAnsi" w:hAnsiTheme="minorHAnsi" w:cstheme="minorHAnsi"/>
        </w:rPr>
      </w:pPr>
      <w:r w:rsidRPr="00037AD4">
        <w:rPr>
          <w:rFonts w:asciiTheme="minorHAnsi" w:hAnsiTheme="minorHAnsi" w:cstheme="minorHAnsi"/>
        </w:rPr>
        <w:t xml:space="preserve">Results indicate that when the dimension mapping models are combined to generate a combined utility score, they produce predicted mean score estimations closely aligned with observed mean combined utility scores across functional score distributions for both datasets and cognitive scores (via MMSE) for ACTIFCARE. This was shown across the distribution of functional scores for both datasets and cognition (via MMSE) scores for ACTIFCARE. Enhanced predictive abilities observed at the mild-to-moderate dementia severity range suggests greater applicability at this disease stage, potentially limited via less access to data of people in severe stages. At the dimension-level, predictive response frequencies for the “non-observable” dimensions of “pain/discomfort” and “anxiety/depression” were particularly aligned across both datasets. The target respondent for these dimensions were the PwD. This could potentially suggest in cases where data collection methods must be streamlined, collecting proxy data alone is optimal as the dimensions where it was concluded previously that the PwD’s perspective should be used for the combined score – can still be reliably predicted using proxy reports. Challenges were encountered regarding quality of the data, floor/ceiling effects and which EQ-5D value set to apply. These challenges were addressed with transparency and the potential impacts have been reported within the Chapter’s discussion section. </w:t>
      </w:r>
    </w:p>
    <w:p w14:paraId="4C6F9349" w14:textId="77777777" w:rsidR="00B54D51" w:rsidRPr="00037AD4" w:rsidRDefault="00B54D51" w:rsidP="004C71C1">
      <w:pPr>
        <w:rPr>
          <w:rFonts w:asciiTheme="minorHAnsi" w:hAnsiTheme="minorHAnsi" w:cstheme="minorHAnsi"/>
        </w:rPr>
      </w:pPr>
    </w:p>
    <w:p w14:paraId="6F723E3E" w14:textId="77777777" w:rsidR="00B54D51" w:rsidRPr="00037AD4" w:rsidRDefault="00B54D51" w:rsidP="004C71C1">
      <w:pPr>
        <w:rPr>
          <w:rFonts w:asciiTheme="minorHAnsi" w:hAnsiTheme="minorHAnsi" w:cstheme="minorHAnsi"/>
        </w:rPr>
      </w:pPr>
      <w:r w:rsidRPr="00037AD4">
        <w:rPr>
          <w:rFonts w:asciiTheme="minorHAnsi" w:hAnsiTheme="minorHAnsi" w:cstheme="minorHAnsi"/>
        </w:rPr>
        <w:t xml:space="preserve">This mapping chapter demonstrates the feasibility of predicting EQ-5D dimension reports for people with dementia and/or their proxies using selected independent predictor variables commonly collected in dementia trials. The resulting combined utility score offers the potential for a more accurate reflection of HRQoL in dementia, integrating perspectives from both people with dementia and proxies, acknowledging the inherent value in both data sources. This combined utility score may be applied in economic evaluations of dementia interventions, where impacts upon function, ability to “self-care” and conduct “usual activities” may be more sensitively detected and represented in QALYs, particularly as using PwD self-reports for these dimensions may be limited by ceiling effects. </w:t>
      </w:r>
    </w:p>
    <w:p w14:paraId="0CCAD1DA" w14:textId="77777777" w:rsidR="00B54D51" w:rsidRPr="00037AD4" w:rsidRDefault="00B54D51" w:rsidP="004C71C1">
      <w:pPr>
        <w:rPr>
          <w:rFonts w:asciiTheme="minorHAnsi" w:hAnsiTheme="minorHAnsi" w:cstheme="minorHAnsi"/>
        </w:rPr>
      </w:pPr>
    </w:p>
    <w:p w14:paraId="5BE15F73" w14:textId="77777777" w:rsidR="00B54D51" w:rsidRPr="00037AD4" w:rsidRDefault="00B54D51" w:rsidP="007A43F9">
      <w:pPr>
        <w:pStyle w:val="Heading2"/>
      </w:pPr>
      <w:bookmarkStart w:id="420" w:name="_Toc175742374"/>
      <w:r w:rsidRPr="00037AD4">
        <w:lastRenderedPageBreak/>
        <w:t>7.2 Recommendations for data collection methods in dementia studies</w:t>
      </w:r>
      <w:bookmarkEnd w:id="420"/>
    </w:p>
    <w:p w14:paraId="7017B503" w14:textId="77777777" w:rsidR="00B54D51" w:rsidRPr="00037AD4" w:rsidRDefault="00B54D51" w:rsidP="004C71C1">
      <w:pPr>
        <w:rPr>
          <w:rFonts w:asciiTheme="minorHAnsi" w:hAnsiTheme="minorHAnsi" w:cstheme="minorHAnsi"/>
          <w:b/>
          <w:bCs/>
          <w:u w:val="single"/>
        </w:rPr>
      </w:pPr>
    </w:p>
    <w:p w14:paraId="5888260E" w14:textId="77777777" w:rsidR="00B54D51" w:rsidRPr="00037AD4" w:rsidRDefault="00B54D51" w:rsidP="004C71C1">
      <w:pPr>
        <w:rPr>
          <w:rFonts w:asciiTheme="minorHAnsi" w:hAnsiTheme="minorHAnsi" w:cstheme="minorHAnsi"/>
        </w:rPr>
      </w:pPr>
      <w:r w:rsidRPr="00037AD4">
        <w:rPr>
          <w:rFonts w:asciiTheme="minorHAnsi" w:hAnsiTheme="minorHAnsi" w:cstheme="minorHAnsi"/>
        </w:rPr>
        <w:t>A key underlying theme that emerged from this thesis is methods for data collection, motivated by their heterogeneity documented within the literature. Recommendations for a unified approach for collecting HRQoL data in particular in dementia trials and studies could serve to improve the comparability between studies and the useability of trial data for secondary analyses. This section outlines recommendations to fill the existing research gap in this area.</w:t>
      </w:r>
    </w:p>
    <w:p w14:paraId="7A28CB90" w14:textId="77777777" w:rsidR="00B54D51" w:rsidRPr="00037AD4" w:rsidRDefault="00B54D51" w:rsidP="004C71C1">
      <w:pPr>
        <w:rPr>
          <w:rFonts w:asciiTheme="minorHAnsi" w:hAnsiTheme="minorHAnsi" w:cstheme="minorHAnsi"/>
        </w:rPr>
      </w:pPr>
    </w:p>
    <w:p w14:paraId="0A164369" w14:textId="77777777" w:rsidR="00B54D51" w:rsidRPr="00037AD4" w:rsidRDefault="00B54D51" w:rsidP="004C71C1">
      <w:pPr>
        <w:rPr>
          <w:rFonts w:asciiTheme="minorHAnsi" w:hAnsiTheme="minorHAnsi" w:cstheme="minorHAnsi"/>
        </w:rPr>
      </w:pPr>
      <w:r w:rsidRPr="00037AD4">
        <w:rPr>
          <w:rFonts w:asciiTheme="minorHAnsi" w:hAnsiTheme="minorHAnsi" w:cstheme="minorHAnsi"/>
        </w:rPr>
        <w:t>In-person administration is recommended as the preferred method due to several advantages, including lower levels of missing data, clarification opportunities for respondents and ensuring data collection on the same day – a crucial factor when considering the variable nature of dementia. Administering in-person also maximises the likelihood that both respondents have engaged with each other on that day – and therefore the proxy has an updated awareness of the PwD’s condition. Clear instructions are emphasised to mitigate challenges in recall and judgment among people with dementia. Additionally, the proximity of the PwD and the proxy during assessment is identified as impactful upon the likelihood of respondents to disclose certain information to avoid upsetting the other respondent, necessitating consideration of geographical proximity during HRQoL assessments.</w:t>
      </w:r>
    </w:p>
    <w:p w14:paraId="1324BC6F" w14:textId="77777777" w:rsidR="00B54D51" w:rsidRPr="00037AD4" w:rsidRDefault="00B54D51" w:rsidP="004C71C1">
      <w:pPr>
        <w:rPr>
          <w:rFonts w:asciiTheme="minorHAnsi" w:hAnsiTheme="minorHAnsi" w:cstheme="minorHAnsi"/>
        </w:rPr>
      </w:pPr>
    </w:p>
    <w:p w14:paraId="035DA507" w14:textId="22F1B23E" w:rsidR="00B54D51" w:rsidRPr="00037AD4" w:rsidRDefault="00B54D51" w:rsidP="004C71C1">
      <w:pPr>
        <w:rPr>
          <w:rFonts w:asciiTheme="minorHAnsi" w:hAnsiTheme="minorHAnsi" w:cstheme="minorHAnsi"/>
        </w:rPr>
      </w:pPr>
      <w:r w:rsidRPr="00037AD4">
        <w:rPr>
          <w:rFonts w:asciiTheme="minorHAnsi" w:hAnsiTheme="minorHAnsi" w:cstheme="minorHAnsi"/>
        </w:rPr>
        <w:t xml:space="preserve">Selecting the optimal proxy is an important consideration. The EPIC dataset collected three sets of EQ-5D data about the PwD from: the PwD, an informal proxy and a staff proxy. This approach may be burdensome for researchers – particularly when observing challenges with informal proxy recruitment and higher levels of missing data in the EPIC dataset. The frequency of contact between the PwD and proxy is an important factor, as highlighted by Pickard and Knight (2005) </w:t>
      </w:r>
      <w:r>
        <w:rPr>
          <w:rFonts w:asciiTheme="minorHAnsi" w:hAnsiTheme="minorHAnsi" w:cstheme="minorHAnsi"/>
          <w:noProof/>
        </w:rPr>
        <w:t>(Pickard and Knight, 2005)</w:t>
      </w:r>
      <w:r w:rsidRPr="00037AD4">
        <w:rPr>
          <w:rFonts w:asciiTheme="minorHAnsi" w:hAnsiTheme="minorHAnsi" w:cstheme="minorHAnsi"/>
        </w:rPr>
        <w:t>. Considering such factors, it was concluded that staff proxies are the preferrable proxy for institutionalised people with dementia; while for community dwelling populations – an informal proxy serves as the better choice. Mapping analyses demonstrates the ability to reliably predict the PwD’s EQ-5D dimension reports using proxy data. If streamlining of data collection procedures becomes necessary, particularly in severe stages of dementia in which obtaining reliable reports directly from people with dementia may be burdensome or less feasible, prioritising proxy EQ-5D data would be recommended over PwD self-report. It is important to emphasise that while optimising data collection methods, the focus remains on integrating the perspectives of people with dementia. This approach is not intended to substitute PwD reports altogether, but rather to enhance efficiency, recognising that their perspectives still contribute to a combined-utility score via predictions.</w:t>
      </w:r>
    </w:p>
    <w:p w14:paraId="3A90A196" w14:textId="77777777" w:rsidR="00B54D51" w:rsidRPr="00037AD4" w:rsidRDefault="00B54D51" w:rsidP="004C71C1">
      <w:pPr>
        <w:rPr>
          <w:rFonts w:asciiTheme="minorHAnsi" w:hAnsiTheme="minorHAnsi" w:cstheme="minorHAnsi"/>
        </w:rPr>
      </w:pPr>
    </w:p>
    <w:p w14:paraId="5993B921" w14:textId="77777777" w:rsidR="00B54D51" w:rsidRPr="00037AD4" w:rsidRDefault="00B54D51" w:rsidP="004C71C1">
      <w:pPr>
        <w:rPr>
          <w:rFonts w:asciiTheme="minorHAnsi" w:hAnsiTheme="minorHAnsi" w:cstheme="minorHAnsi"/>
        </w:rPr>
      </w:pPr>
      <w:r w:rsidRPr="00037AD4">
        <w:rPr>
          <w:rFonts w:asciiTheme="minorHAnsi" w:hAnsiTheme="minorHAnsi" w:cstheme="minorHAnsi"/>
        </w:rPr>
        <w:t xml:space="preserve">Finally, the list of core dementia outcomes to consider for inclusion and the specific measures </w:t>
      </w:r>
      <w:r w:rsidRPr="00C55E57">
        <w:rPr>
          <w:rFonts w:asciiTheme="minorHAnsi" w:hAnsiTheme="minorHAnsi" w:cstheme="minorHAnsi"/>
          <w:color w:val="000000" w:themeColor="text1"/>
        </w:rPr>
        <w:t>identified (</w:t>
      </w:r>
      <w:hyperlink w:anchor="table33" w:history="1">
        <w:r w:rsidRPr="00C55E57">
          <w:rPr>
            <w:rStyle w:val="Hyperlink"/>
            <w:rFonts w:asciiTheme="minorHAnsi" w:hAnsiTheme="minorHAnsi" w:cstheme="minorHAnsi"/>
            <w:color w:val="000000" w:themeColor="text1"/>
            <w:u w:val="none"/>
          </w:rPr>
          <w:t>reported in Table 33</w:t>
        </w:r>
      </w:hyperlink>
      <w:r w:rsidRPr="00C55E57">
        <w:rPr>
          <w:rFonts w:asciiTheme="minorHAnsi" w:hAnsiTheme="minorHAnsi" w:cstheme="minorHAnsi"/>
          <w:color w:val="000000" w:themeColor="text1"/>
        </w:rPr>
        <w:t xml:space="preserve">) may </w:t>
      </w:r>
      <w:r w:rsidRPr="00037AD4">
        <w:rPr>
          <w:rFonts w:asciiTheme="minorHAnsi" w:hAnsiTheme="minorHAnsi" w:cstheme="minorHAnsi"/>
        </w:rPr>
        <w:t xml:space="preserve">be consulted and recommended in an attempt to reduce heterogeneity between studies and improve uniformity. In doing so, improvements may be observed via more accurate assessments of dementia symptom progression, enhanced comparability of research findings across studies, and ultimately better decision-making regarding treatment strategies and care interventions that serve dementia populations. </w:t>
      </w:r>
    </w:p>
    <w:p w14:paraId="13320553" w14:textId="77777777" w:rsidR="00B54D51" w:rsidRPr="00037AD4" w:rsidRDefault="00B54D51" w:rsidP="004C71C1">
      <w:pPr>
        <w:rPr>
          <w:rFonts w:asciiTheme="minorHAnsi" w:hAnsiTheme="minorHAnsi" w:cstheme="minorHAnsi"/>
        </w:rPr>
      </w:pPr>
    </w:p>
    <w:p w14:paraId="01030EEF" w14:textId="77777777" w:rsidR="00B54D51" w:rsidRPr="00037AD4" w:rsidRDefault="00B54D51" w:rsidP="007A43F9">
      <w:pPr>
        <w:pStyle w:val="Heading2"/>
      </w:pPr>
      <w:bookmarkStart w:id="421" w:name="_Toc175742375"/>
      <w:r w:rsidRPr="00037AD4">
        <w:lastRenderedPageBreak/>
        <w:t>7.3 Limitations</w:t>
      </w:r>
      <w:bookmarkEnd w:id="421"/>
      <w:r w:rsidRPr="00037AD4">
        <w:t xml:space="preserve"> </w:t>
      </w:r>
    </w:p>
    <w:p w14:paraId="6D6088C4" w14:textId="77777777" w:rsidR="00B54D51" w:rsidRPr="00037AD4" w:rsidRDefault="00B54D51" w:rsidP="004C71C1">
      <w:pPr>
        <w:rPr>
          <w:rFonts w:asciiTheme="minorHAnsi" w:hAnsiTheme="minorHAnsi" w:cstheme="minorHAnsi"/>
        </w:rPr>
      </w:pPr>
    </w:p>
    <w:p w14:paraId="2B6BABE9" w14:textId="77777777" w:rsidR="00B54D51" w:rsidRPr="00037AD4" w:rsidRDefault="00B54D51" w:rsidP="004C71C1">
      <w:pPr>
        <w:rPr>
          <w:rFonts w:asciiTheme="minorHAnsi" w:hAnsiTheme="minorHAnsi" w:cstheme="minorHAnsi"/>
        </w:rPr>
      </w:pPr>
      <w:r w:rsidRPr="00037AD4">
        <w:rPr>
          <w:rFonts w:asciiTheme="minorHAnsi" w:hAnsiTheme="minorHAnsi" w:cstheme="minorHAnsi"/>
        </w:rPr>
        <w:t xml:space="preserve">It is important to highlight the limitations of the research presented within this thesis. </w:t>
      </w:r>
    </w:p>
    <w:p w14:paraId="5CAECD74" w14:textId="77777777" w:rsidR="00B54D51" w:rsidRPr="00037AD4" w:rsidRDefault="00B54D51" w:rsidP="004C71C1">
      <w:pPr>
        <w:rPr>
          <w:rFonts w:asciiTheme="minorHAnsi" w:hAnsiTheme="minorHAnsi" w:cstheme="minorHAnsi"/>
        </w:rPr>
      </w:pPr>
    </w:p>
    <w:p w14:paraId="390CC3BE" w14:textId="77777777" w:rsidR="00B54D51" w:rsidRPr="00037AD4" w:rsidRDefault="00B54D51" w:rsidP="004C71C1">
      <w:pPr>
        <w:rPr>
          <w:rFonts w:asciiTheme="minorHAnsi" w:hAnsiTheme="minorHAnsi" w:cstheme="minorHAnsi"/>
        </w:rPr>
      </w:pPr>
      <w:r w:rsidRPr="00037AD4">
        <w:rPr>
          <w:rFonts w:asciiTheme="minorHAnsi" w:hAnsiTheme="minorHAnsi" w:cstheme="minorHAnsi"/>
        </w:rPr>
        <w:t xml:space="preserve">Firstly, it was not feasible within the remit of this thesis to apply a combined-utility score to an economic model to explore its impacts on QALYs and ICERs. The policy implications of  the combined-utility score have been </w:t>
      </w:r>
      <w:r w:rsidRPr="00C55E57">
        <w:rPr>
          <w:rFonts w:asciiTheme="minorHAnsi" w:hAnsiTheme="minorHAnsi" w:cstheme="minorHAnsi"/>
          <w:color w:val="000000" w:themeColor="text1"/>
        </w:rPr>
        <w:t xml:space="preserve">discussed in </w:t>
      </w:r>
      <w:hyperlink w:anchor="_5.5.4_Policy_implication" w:history="1">
        <w:r w:rsidRPr="00C55E57">
          <w:rPr>
            <w:rStyle w:val="Hyperlink"/>
            <w:rFonts w:asciiTheme="minorHAnsi" w:hAnsiTheme="minorHAnsi" w:cstheme="minorHAnsi"/>
            <w:color w:val="000000" w:themeColor="text1"/>
            <w:u w:val="none"/>
          </w:rPr>
          <w:t>Section 5.5.4</w:t>
        </w:r>
      </w:hyperlink>
      <w:r w:rsidRPr="00C55E57">
        <w:rPr>
          <w:rFonts w:asciiTheme="minorHAnsi" w:hAnsiTheme="minorHAnsi" w:cstheme="minorHAnsi"/>
          <w:color w:val="000000" w:themeColor="text1"/>
        </w:rPr>
        <w:t xml:space="preserve">, whereby </w:t>
      </w:r>
      <w:r w:rsidRPr="00037AD4">
        <w:rPr>
          <w:rFonts w:asciiTheme="minorHAnsi" w:hAnsiTheme="minorHAnsi" w:cstheme="minorHAnsi"/>
        </w:rPr>
        <w:t>it was proposed that the impact of a more sensitive change score may translate to larger incremental QALY gains, thereby influencing ICER estimations. However this thesis did not examine the application by analysing cost-effectiveness decisions. This analysis could be pursued by using an existing dementia economic model and re-running it using a newly generated combined-utility score, yet this was not feasible within the timeframe of the thesis.</w:t>
      </w:r>
    </w:p>
    <w:p w14:paraId="39BE1961" w14:textId="77777777" w:rsidR="00B54D51" w:rsidRPr="00037AD4" w:rsidRDefault="00B54D51" w:rsidP="004C71C1">
      <w:pPr>
        <w:rPr>
          <w:rFonts w:asciiTheme="minorHAnsi" w:hAnsiTheme="minorHAnsi" w:cstheme="minorHAnsi"/>
        </w:rPr>
      </w:pPr>
    </w:p>
    <w:p w14:paraId="4CE07169" w14:textId="77777777" w:rsidR="00B54D51" w:rsidRDefault="00B54D51" w:rsidP="004C71C1">
      <w:pPr>
        <w:rPr>
          <w:rFonts w:asciiTheme="minorHAnsi" w:hAnsiTheme="minorHAnsi" w:cstheme="minorHAnsi"/>
        </w:rPr>
      </w:pPr>
      <w:r w:rsidRPr="00037AD4">
        <w:rPr>
          <w:rFonts w:asciiTheme="minorHAnsi" w:hAnsiTheme="minorHAnsi" w:cstheme="minorHAnsi"/>
        </w:rPr>
        <w:t>Another limitation concerns the mapping analyses. Traditionally, mapping work and publications involve employing multiple techniques and comparing their effectiveness and predictive abilities. However, this study solely focused on response mapping methods, deeming them the most appropriate. Future research exploring combined utility scores, either in dementia or broader clinical contexts, may involve assessing direct mapping methods to determine their optimality. The application of direct mapping methods may be more feasible once a UK EQ-5D-5L value set is confirmed and validated for use and could prove beneficial and less complicated than distinct dimension models. Moreover, variability in the independent variables included for each dimension model limits their usability for future research. A single set of predictor variables across EQ-5D dimensions would be preferable. In addition, the "pain/discomfort" model for the EPIC trial dataset involved merged proxy responses for levels four and five to predict PwD reports. This approach may lack methodological appropriateness when applied to broader datasets.</w:t>
      </w:r>
    </w:p>
    <w:p w14:paraId="49309D86" w14:textId="77777777" w:rsidR="00E53643" w:rsidRDefault="00E53643" w:rsidP="004C71C1">
      <w:pPr>
        <w:rPr>
          <w:rFonts w:asciiTheme="minorHAnsi" w:hAnsiTheme="minorHAnsi" w:cstheme="minorHAnsi"/>
        </w:rPr>
      </w:pPr>
    </w:p>
    <w:p w14:paraId="58E9AAB1" w14:textId="1A85C4EE" w:rsidR="00E53643" w:rsidRPr="00E53643" w:rsidRDefault="00E53643" w:rsidP="004C71C1">
      <w:pPr>
        <w:rPr>
          <w:rFonts w:asciiTheme="minorHAnsi" w:hAnsiTheme="minorHAnsi" w:cstheme="minorHAnsi"/>
          <w:color w:val="000000" w:themeColor="text1"/>
        </w:rPr>
      </w:pPr>
      <w:r w:rsidRPr="00E53643">
        <w:rPr>
          <w:rFonts w:asciiTheme="minorHAnsi" w:hAnsiTheme="minorHAnsi" w:cstheme="minorHAnsi"/>
          <w:color w:val="000000" w:themeColor="text1"/>
        </w:rPr>
        <w:t>Another limitation concerns the methods applied within the thesis. Although PPIE was incorporated and yielded interesting findings and suggestions for future research, conducting a formal qualitative work package was not feasible within the time constraints of this PhD program</w:t>
      </w:r>
      <w:r>
        <w:rPr>
          <w:rFonts w:asciiTheme="minorHAnsi" w:hAnsiTheme="minorHAnsi" w:cstheme="minorHAnsi"/>
          <w:color w:val="000000" w:themeColor="text1"/>
        </w:rPr>
        <w:t>me</w:t>
      </w:r>
      <w:r w:rsidRPr="00E53643">
        <w:rPr>
          <w:rFonts w:asciiTheme="minorHAnsi" w:hAnsiTheme="minorHAnsi" w:cstheme="minorHAnsi"/>
          <w:color w:val="000000" w:themeColor="text1"/>
        </w:rPr>
        <w:t xml:space="preserve">. Qualitative analysis could have provided valuable insights into how and why individuals with dementia and their proxies report differently on the same health dimensions. This understanding would have been especially useful for the "usual activities" dimension, where notable discrepancies are observed even among proxies. </w:t>
      </w:r>
      <w:r>
        <w:rPr>
          <w:rFonts w:asciiTheme="minorHAnsi" w:hAnsiTheme="minorHAnsi" w:cstheme="minorHAnsi"/>
          <w:color w:val="000000" w:themeColor="text1"/>
        </w:rPr>
        <w:t>A mixed-methods</w:t>
      </w:r>
      <w:r w:rsidRPr="00E53643">
        <w:rPr>
          <w:rFonts w:asciiTheme="minorHAnsi" w:hAnsiTheme="minorHAnsi" w:cstheme="minorHAnsi"/>
          <w:color w:val="000000" w:themeColor="text1"/>
        </w:rPr>
        <w:t xml:space="preserve"> </w:t>
      </w:r>
      <w:r>
        <w:rPr>
          <w:rFonts w:asciiTheme="minorHAnsi" w:hAnsiTheme="minorHAnsi" w:cstheme="minorHAnsi"/>
          <w:color w:val="000000" w:themeColor="text1"/>
        </w:rPr>
        <w:t>approach</w:t>
      </w:r>
      <w:r w:rsidRPr="00E53643">
        <w:rPr>
          <w:rFonts w:asciiTheme="minorHAnsi" w:hAnsiTheme="minorHAnsi" w:cstheme="minorHAnsi"/>
          <w:color w:val="000000" w:themeColor="text1"/>
        </w:rPr>
        <w:t xml:space="preserve"> </w:t>
      </w:r>
      <w:r>
        <w:rPr>
          <w:rFonts w:asciiTheme="minorHAnsi" w:hAnsiTheme="minorHAnsi" w:cstheme="minorHAnsi"/>
          <w:color w:val="000000" w:themeColor="text1"/>
        </w:rPr>
        <w:t>c</w:t>
      </w:r>
      <w:r w:rsidRPr="00E53643">
        <w:rPr>
          <w:rFonts w:asciiTheme="minorHAnsi" w:hAnsiTheme="minorHAnsi" w:cstheme="minorHAnsi"/>
          <w:color w:val="000000" w:themeColor="text1"/>
        </w:rPr>
        <w:t>ould have helped to further elucidate the factors influencing these assessments.</w:t>
      </w:r>
    </w:p>
    <w:p w14:paraId="596B9472" w14:textId="77777777" w:rsidR="00B54D51" w:rsidRPr="00037AD4" w:rsidRDefault="00B54D51" w:rsidP="004C71C1">
      <w:pPr>
        <w:rPr>
          <w:rFonts w:asciiTheme="minorHAnsi" w:hAnsiTheme="minorHAnsi" w:cstheme="minorHAnsi"/>
        </w:rPr>
      </w:pPr>
    </w:p>
    <w:p w14:paraId="0F2AC850" w14:textId="6B9DA7CC" w:rsidR="00B54D51" w:rsidRPr="00037AD4" w:rsidRDefault="00B54D51" w:rsidP="004C71C1">
      <w:pPr>
        <w:rPr>
          <w:rFonts w:asciiTheme="minorHAnsi" w:hAnsiTheme="minorHAnsi" w:cstheme="minorHAnsi"/>
        </w:rPr>
      </w:pPr>
      <w:r w:rsidRPr="00037AD4">
        <w:rPr>
          <w:rFonts w:asciiTheme="minorHAnsi" w:hAnsiTheme="minorHAnsi" w:cstheme="minorHAnsi"/>
        </w:rPr>
        <w:t xml:space="preserve">Some of the limitations of the empirical research </w:t>
      </w:r>
      <w:r w:rsidR="00C55E57">
        <w:rPr>
          <w:rFonts w:asciiTheme="minorHAnsi" w:hAnsiTheme="minorHAnsi" w:cstheme="minorHAnsi"/>
        </w:rPr>
        <w:t>are</w:t>
      </w:r>
      <w:r w:rsidRPr="00037AD4">
        <w:rPr>
          <w:rFonts w:asciiTheme="minorHAnsi" w:hAnsiTheme="minorHAnsi" w:cstheme="minorHAnsi"/>
        </w:rPr>
        <w:t xml:space="preserve"> related to the dementia trial datasets. Particularly poor quality data was observed in the EPIC trial dataset, limiting the usability of observations from people with severe dementia. This restriction limited the appraisal of any differences that may occur in severe stage dementia within the thesis, thereby constraining its applicability to mild and moderate stages only. In addition, not all of the variables collected in the datasets were made available in the data sharing agreements, limiting the range of exploratory and descriptive analyses that could be performed. Heterogeneity between outcomes and measures collected in the studies prevented data pooling, resulting in separate analyses on the datasets for the mapping work. This meant that a single </w:t>
      </w:r>
      <w:r w:rsidRPr="00037AD4">
        <w:rPr>
          <w:rFonts w:asciiTheme="minorHAnsi" w:hAnsiTheme="minorHAnsi" w:cstheme="minorHAnsi"/>
        </w:rPr>
        <w:lastRenderedPageBreak/>
        <w:t xml:space="preserve">dimension model across the datasets/residential settings could not be established – particularly as EPIC did not collect a cognitive measure, while ACTIFCARE did. </w:t>
      </w:r>
    </w:p>
    <w:p w14:paraId="775351F1" w14:textId="77777777" w:rsidR="00B54D51" w:rsidRPr="00037AD4" w:rsidRDefault="00B54D51" w:rsidP="004C71C1">
      <w:pPr>
        <w:rPr>
          <w:rFonts w:asciiTheme="minorHAnsi" w:hAnsiTheme="minorHAnsi" w:cstheme="minorHAnsi"/>
        </w:rPr>
      </w:pPr>
    </w:p>
    <w:p w14:paraId="527B832F" w14:textId="77777777" w:rsidR="00B54D51" w:rsidRPr="00037AD4" w:rsidRDefault="00B54D51" w:rsidP="004C71C1">
      <w:pPr>
        <w:rPr>
          <w:rFonts w:asciiTheme="minorHAnsi" w:hAnsiTheme="minorHAnsi" w:cstheme="minorHAnsi"/>
        </w:rPr>
      </w:pPr>
      <w:r w:rsidRPr="00037AD4">
        <w:rPr>
          <w:rFonts w:asciiTheme="minorHAnsi" w:hAnsiTheme="minorHAnsi" w:cstheme="minorHAnsi"/>
        </w:rPr>
        <w:t>Neglecting subsets of data also emerged as a limitation. For instance, the REMCARE dataset was excluded from the mapping analyses, focusing solely on EQ-5D-5L datasets. Additionally</w:t>
      </w:r>
      <w:r w:rsidRPr="00024B27">
        <w:rPr>
          <w:rFonts w:asciiTheme="minorHAnsi" w:hAnsiTheme="minorHAnsi" w:cstheme="minorHAnsi"/>
          <w:color w:val="000000" w:themeColor="text1"/>
        </w:rPr>
        <w:t xml:space="preserve">, the analyses conducted to establish the target respondent per EQ-5D dimension (reported in </w:t>
      </w:r>
      <w:hyperlink w:anchor="_5__Identifying" w:history="1">
        <w:r w:rsidRPr="00024B27">
          <w:rPr>
            <w:rStyle w:val="Hyperlink"/>
            <w:rFonts w:asciiTheme="minorHAnsi" w:hAnsiTheme="minorHAnsi" w:cstheme="minorHAnsi"/>
            <w:color w:val="000000" w:themeColor="text1"/>
            <w:u w:val="none"/>
          </w:rPr>
          <w:t>Chapter 5</w:t>
        </w:r>
      </w:hyperlink>
      <w:r w:rsidRPr="00024B27">
        <w:rPr>
          <w:rFonts w:asciiTheme="minorHAnsi" w:hAnsiTheme="minorHAnsi" w:cstheme="minorHAnsi"/>
          <w:color w:val="000000" w:themeColor="text1"/>
        </w:rPr>
        <w:t xml:space="preserve">) overlooked observations from the first follow-up point, potentially limiting the exhaustiveness of </w:t>
      </w:r>
      <w:r w:rsidRPr="00037AD4">
        <w:rPr>
          <w:rFonts w:asciiTheme="minorHAnsi" w:hAnsiTheme="minorHAnsi" w:cstheme="minorHAnsi"/>
        </w:rPr>
        <w:t>the findings.</w:t>
      </w:r>
    </w:p>
    <w:p w14:paraId="67648CFF" w14:textId="77777777" w:rsidR="00B54D51" w:rsidRPr="00037AD4" w:rsidRDefault="00B54D51" w:rsidP="004C71C1">
      <w:pPr>
        <w:rPr>
          <w:rFonts w:asciiTheme="minorHAnsi" w:hAnsiTheme="minorHAnsi" w:cstheme="minorHAnsi"/>
        </w:rPr>
      </w:pPr>
    </w:p>
    <w:p w14:paraId="1781F432" w14:textId="77777777" w:rsidR="00B54D51" w:rsidRDefault="00B54D51" w:rsidP="004C71C1">
      <w:pPr>
        <w:rPr>
          <w:rFonts w:asciiTheme="minorHAnsi" w:hAnsiTheme="minorHAnsi" w:cstheme="minorHAnsi"/>
          <w:color w:val="000000" w:themeColor="text1"/>
        </w:rPr>
      </w:pPr>
      <w:r w:rsidRPr="00037AD4">
        <w:rPr>
          <w:rFonts w:asciiTheme="minorHAnsi" w:hAnsiTheme="minorHAnsi" w:cstheme="minorHAnsi"/>
          <w:color w:val="000000" w:themeColor="text1"/>
        </w:rPr>
        <w:t>Both systematic reviews were limited to English-language studies exclusively, potentially resulting in the omission of key records from other languages. In addition, the literature reviews conducted to identify the list of dementia core outcomes lacked formal and systematic methodologies. This represents a significant limitation of this study, as the absence of rigorous methodologies may restrict the depth of the identified outcomes. With the implementation of proper methodologies, it is possible that different results may be yielded, potentially resulting in a more extensive list of dementia core outcomes and measures. This list was also used for developing the search strategy for the subsequent systematic review on convergent validity, which may further limit the scope of that work.</w:t>
      </w:r>
    </w:p>
    <w:p w14:paraId="5EA90F07" w14:textId="77777777" w:rsidR="00E53643" w:rsidRPr="00037AD4" w:rsidRDefault="00E53643" w:rsidP="004C71C1">
      <w:pPr>
        <w:rPr>
          <w:rFonts w:asciiTheme="minorHAnsi" w:hAnsiTheme="minorHAnsi" w:cstheme="minorHAnsi"/>
        </w:rPr>
      </w:pPr>
    </w:p>
    <w:p w14:paraId="65C7E566" w14:textId="77777777" w:rsidR="00B54D51" w:rsidRPr="00037AD4" w:rsidRDefault="00B54D51" w:rsidP="007A43F9">
      <w:pPr>
        <w:pStyle w:val="Heading2"/>
      </w:pPr>
      <w:bookmarkStart w:id="422" w:name="_Toc175742376"/>
      <w:r w:rsidRPr="00037AD4">
        <w:t>7.4 Suggestions for future research</w:t>
      </w:r>
      <w:bookmarkEnd w:id="422"/>
      <w:r w:rsidRPr="00037AD4">
        <w:t xml:space="preserve"> </w:t>
      </w:r>
    </w:p>
    <w:p w14:paraId="40B86EDE" w14:textId="77777777" w:rsidR="00B54D51" w:rsidRPr="00037AD4" w:rsidRDefault="00B54D51" w:rsidP="004C71C1">
      <w:pPr>
        <w:rPr>
          <w:rFonts w:asciiTheme="minorHAnsi" w:hAnsiTheme="minorHAnsi" w:cstheme="minorHAnsi"/>
        </w:rPr>
      </w:pPr>
    </w:p>
    <w:p w14:paraId="7E821B4D" w14:textId="77777777" w:rsidR="00B54D51" w:rsidRPr="00037AD4" w:rsidRDefault="00B54D51" w:rsidP="004C71C1">
      <w:pPr>
        <w:rPr>
          <w:rFonts w:asciiTheme="minorHAnsi" w:hAnsiTheme="minorHAnsi" w:cstheme="minorHAnsi"/>
        </w:rPr>
      </w:pPr>
      <w:r w:rsidRPr="00037AD4">
        <w:rPr>
          <w:rFonts w:asciiTheme="minorHAnsi" w:hAnsiTheme="minorHAnsi" w:cstheme="minorHAnsi"/>
        </w:rPr>
        <w:t xml:space="preserve">The limitations of this thesis and its key findings provide the basis for suggestions for future research. </w:t>
      </w:r>
    </w:p>
    <w:p w14:paraId="605E6550" w14:textId="77777777" w:rsidR="00B54D51" w:rsidRPr="00037AD4" w:rsidRDefault="00B54D51" w:rsidP="004C71C1">
      <w:pPr>
        <w:rPr>
          <w:rFonts w:asciiTheme="minorHAnsi" w:hAnsiTheme="minorHAnsi" w:cstheme="minorHAnsi"/>
        </w:rPr>
      </w:pPr>
    </w:p>
    <w:p w14:paraId="20619025" w14:textId="77777777" w:rsidR="00B54D51" w:rsidRPr="00037AD4" w:rsidRDefault="00B54D51" w:rsidP="004C71C1">
      <w:pPr>
        <w:rPr>
          <w:rFonts w:asciiTheme="minorHAnsi" w:hAnsiTheme="minorHAnsi" w:cstheme="minorHAnsi"/>
        </w:rPr>
      </w:pPr>
      <w:r w:rsidRPr="00037AD4">
        <w:rPr>
          <w:rFonts w:asciiTheme="minorHAnsi" w:hAnsiTheme="minorHAnsi" w:cstheme="minorHAnsi"/>
        </w:rPr>
        <w:t>As previously discussed, a key limitation of the mapping analysis lies in its sole application of response mapping methodologies. Future research could explore the efficacy of employing direct mapping methods tailored to the data’s requirements. Adopting direct mapping approaches could offer advantages by streamlining the process, eliminating the two-step process inherent in indirect/response mapping to utility scores. This approach may prove to be particularly advantageous when a UK EQ-5D-5L value set recommended for use by NICE becomes available, given the current absence thereof. In the interim, direct mapping techniques could still be tested using either the previous value set or even EQ-5D-3L data. Following this, an examination of various mapping methodologies can be presented.</w:t>
      </w:r>
    </w:p>
    <w:p w14:paraId="59E3AC5D" w14:textId="77777777" w:rsidR="00B54D51" w:rsidRPr="00037AD4" w:rsidRDefault="00B54D51" w:rsidP="004C71C1">
      <w:pPr>
        <w:rPr>
          <w:rFonts w:asciiTheme="minorHAnsi" w:hAnsiTheme="minorHAnsi" w:cstheme="minorHAnsi"/>
        </w:rPr>
      </w:pPr>
    </w:p>
    <w:p w14:paraId="0E584C39" w14:textId="77777777" w:rsidR="00B54D51" w:rsidRPr="00037AD4" w:rsidRDefault="00B54D51" w:rsidP="004C71C1">
      <w:pPr>
        <w:rPr>
          <w:rFonts w:asciiTheme="minorHAnsi" w:hAnsiTheme="minorHAnsi" w:cstheme="minorHAnsi"/>
        </w:rPr>
      </w:pPr>
      <w:r w:rsidRPr="00037AD4">
        <w:rPr>
          <w:rFonts w:asciiTheme="minorHAnsi" w:hAnsiTheme="minorHAnsi" w:cstheme="minorHAnsi"/>
        </w:rPr>
        <w:t>An important priority in this area of research is the collection of high quality EQ-5D data, from people with dementia and proxies, spanning the full spectrum of dementia severity as this factor represents a limitation encountered in the analyses conducted for this thesis. The data should ideally be collected longitudinally to allow for the assessment of responsiveness and score changes, and it would be advantageous for it to be collected alongside core dementia outcome measures. This approach would facilitate the examination of the persistence of the gap between the PwD and proxy assessments. Moreover, it would provide empirical support for determining whether, at the severe dementia stages, relying solely on proxy assessments would be more preferable for economic evaluations. However, challenges related to the recruitment, retention and mortality of people with all types of dementia in clinical trials pose significant barriers to longitudinal data collection, especially for those with severe dementia, where these challenges are further compounded. Thus, collecting such data would require significant expertise and investment.</w:t>
      </w:r>
    </w:p>
    <w:p w14:paraId="6C70D16A" w14:textId="77777777" w:rsidR="00B54D51" w:rsidRPr="00037AD4" w:rsidRDefault="00B54D51" w:rsidP="004C71C1">
      <w:pPr>
        <w:rPr>
          <w:rFonts w:asciiTheme="minorHAnsi" w:hAnsiTheme="minorHAnsi" w:cstheme="minorHAnsi"/>
        </w:rPr>
      </w:pPr>
    </w:p>
    <w:p w14:paraId="3F1EBDE1" w14:textId="3FCD56CB" w:rsidR="00B54D51" w:rsidRPr="00037AD4" w:rsidRDefault="00B54D51" w:rsidP="004C71C1">
      <w:pPr>
        <w:rPr>
          <w:rFonts w:asciiTheme="minorHAnsi" w:hAnsiTheme="minorHAnsi" w:cstheme="minorHAnsi"/>
        </w:rPr>
      </w:pPr>
      <w:r w:rsidRPr="00037AD4">
        <w:rPr>
          <w:rFonts w:asciiTheme="minorHAnsi" w:hAnsiTheme="minorHAnsi" w:cstheme="minorHAnsi"/>
        </w:rPr>
        <w:t xml:space="preserve">To further investigate the pragmatic challenges associated with collecting dementia HRQoL data, recording such details within standardised clinical trial case report forms could be considered for future trials and research. The EPIC trial collected data related to instrument administration method, allowing some analysis on its influence on the resultant data. Other important variables to incorporate for this type of research could </w:t>
      </w:r>
      <w:r w:rsidR="00777D27">
        <w:rPr>
          <w:rFonts w:asciiTheme="minorHAnsi" w:hAnsiTheme="minorHAnsi" w:cstheme="minorHAnsi"/>
        </w:rPr>
        <w:t xml:space="preserve">include </w:t>
      </w:r>
      <w:r w:rsidRPr="00037AD4">
        <w:rPr>
          <w:rFonts w:asciiTheme="minorHAnsi" w:hAnsiTheme="minorHAnsi" w:cstheme="minorHAnsi"/>
        </w:rPr>
        <w:t xml:space="preserve">visit frequency of the proxy and variables related to the proxy’s own health status and well-being. These variables could aid in evaluating the specific characteristics of proxies that influence the PwD-proxy gap, beyond that of relationship type alone. </w:t>
      </w:r>
    </w:p>
    <w:p w14:paraId="196729A5" w14:textId="77777777" w:rsidR="00B54D51" w:rsidRPr="00037AD4" w:rsidRDefault="00B54D51" w:rsidP="004C71C1">
      <w:pPr>
        <w:rPr>
          <w:rFonts w:asciiTheme="minorHAnsi" w:hAnsiTheme="minorHAnsi" w:cstheme="minorHAnsi"/>
        </w:rPr>
      </w:pPr>
    </w:p>
    <w:p w14:paraId="25B56EAB" w14:textId="77777777" w:rsidR="00B54D51" w:rsidRPr="00037AD4" w:rsidRDefault="00B54D51" w:rsidP="004C71C1">
      <w:pPr>
        <w:rPr>
          <w:rFonts w:asciiTheme="minorHAnsi" w:hAnsiTheme="minorHAnsi" w:cstheme="minorHAnsi"/>
        </w:rPr>
      </w:pPr>
      <w:r w:rsidRPr="00037AD4">
        <w:rPr>
          <w:rFonts w:asciiTheme="minorHAnsi" w:hAnsiTheme="minorHAnsi" w:cstheme="minorHAnsi"/>
        </w:rPr>
        <w:t xml:space="preserve">This thesis has focused specifically on EQ-5D in the context of dementia research. However, the challenges related to inter-rater agreement are not exclusive to this context and are observed in other clinical areas, such as between child and parent proxy reports in paediatric care, aphasia and other conditions associated with cognitive impairment including traumatic brain injury and developmental disabilities. Therefore the methodology within this thesis has potential application in other populations. Furthermore, they extend to other utility measures, beyond EQ-5D. Future research could expand this scope by considering other clinical conditions, to assess whether similar patterns of agreement persist across different domains. It may be empirically demonstrated that in other conditions where a proxy is also necessary, self-reports remain preferable for aspects that are not directly observable, or for alternative utility measures. </w:t>
      </w:r>
    </w:p>
    <w:p w14:paraId="3C6353CA" w14:textId="77777777" w:rsidR="00B54D51" w:rsidRPr="00037AD4" w:rsidRDefault="00B54D51" w:rsidP="004C71C1">
      <w:pPr>
        <w:rPr>
          <w:rFonts w:asciiTheme="minorHAnsi" w:hAnsiTheme="minorHAnsi" w:cstheme="minorHAnsi"/>
        </w:rPr>
      </w:pPr>
    </w:p>
    <w:p w14:paraId="499232AA" w14:textId="71A5A659" w:rsidR="00B54D51" w:rsidRDefault="00B54D51" w:rsidP="004C71C1">
      <w:pPr>
        <w:rPr>
          <w:rFonts w:asciiTheme="minorHAnsi" w:hAnsiTheme="minorHAnsi" w:cstheme="minorHAnsi"/>
        </w:rPr>
      </w:pPr>
      <w:r w:rsidRPr="00037AD4">
        <w:rPr>
          <w:rFonts w:asciiTheme="minorHAnsi" w:hAnsiTheme="minorHAnsi" w:cstheme="minorHAnsi"/>
        </w:rPr>
        <w:t xml:space="preserve">Some of the issues discussed with the PPIE group also serve as opportunities for future research. Throughout the thesis it </w:t>
      </w:r>
      <w:r w:rsidR="00024B27">
        <w:rPr>
          <w:rFonts w:asciiTheme="minorHAnsi" w:hAnsiTheme="minorHAnsi" w:cstheme="minorHAnsi"/>
        </w:rPr>
        <w:t>h</w:t>
      </w:r>
      <w:r w:rsidRPr="00037AD4">
        <w:rPr>
          <w:rFonts w:asciiTheme="minorHAnsi" w:hAnsiTheme="minorHAnsi" w:cstheme="minorHAnsi"/>
        </w:rPr>
        <w:t xml:space="preserve">as been highlighted that the “usual activities” dimension presents some ambiguity in terms of respondent interpretation and timelines for making assessments. Within the EPIC dataset, this dimension exhibited significant ceiling effects from PwD self-report and floor effects from informal-proxy reports. However, floor effects were not observed from staff-proxy reports, indicating a difference in perception between proxy types. Qualitative analyses could offer deeper insights into the intricacies of the particular dimension, aiming to understand what respondents take into consideration when providing their reports. This may motivate the development of additional instructions to enhance consistency in reporting and reduce instances of missing observations, which were notably higher for this dimension. In addition, the group emphasised the importance of advocating for people with non-verbal dementia, a condition </w:t>
      </w:r>
      <w:r w:rsidR="00024B27">
        <w:rPr>
          <w:rFonts w:asciiTheme="minorHAnsi" w:hAnsiTheme="minorHAnsi" w:cstheme="minorHAnsi"/>
        </w:rPr>
        <w:t>which</w:t>
      </w:r>
      <w:r w:rsidRPr="00037AD4">
        <w:rPr>
          <w:rFonts w:asciiTheme="minorHAnsi" w:hAnsiTheme="minorHAnsi" w:cstheme="minorHAnsi"/>
        </w:rPr>
        <w:t xml:space="preserve"> often arises in the later, more severe stages of dementia in which communicating verbally becomes increasingly difficult. The group suggested exploring the potential use of visual prompts for all EQ-5D dimensions as these aids may facilitate the inclusion of people with severe dementia. Traditional survey methods tend to exclude them from participation, but with the assistance of additional tools, they could still engage effectively.</w:t>
      </w:r>
    </w:p>
    <w:p w14:paraId="6A5DCF3F" w14:textId="77777777" w:rsidR="007B27ED" w:rsidRDefault="007B27ED" w:rsidP="004C71C1">
      <w:pPr>
        <w:rPr>
          <w:rFonts w:asciiTheme="minorHAnsi" w:hAnsiTheme="minorHAnsi" w:cstheme="minorHAnsi"/>
        </w:rPr>
      </w:pPr>
    </w:p>
    <w:p w14:paraId="7B9D8D5D" w14:textId="0A316DFB" w:rsidR="007B27ED" w:rsidRDefault="007B27ED" w:rsidP="004C71C1">
      <w:pPr>
        <w:rPr>
          <w:rFonts w:asciiTheme="minorHAnsi" w:hAnsiTheme="minorHAnsi" w:cstheme="minorHAnsi"/>
        </w:rPr>
      </w:pPr>
      <w:r w:rsidRPr="007B27ED">
        <w:rPr>
          <w:rFonts w:asciiTheme="minorHAnsi" w:hAnsiTheme="minorHAnsi" w:cstheme="minorHAnsi"/>
        </w:rPr>
        <w:t xml:space="preserve">If I were to approach this research from scratch with a team of </w:t>
      </w:r>
      <w:r>
        <w:rPr>
          <w:rFonts w:asciiTheme="minorHAnsi" w:hAnsiTheme="minorHAnsi" w:cstheme="minorHAnsi"/>
        </w:rPr>
        <w:t>researchers</w:t>
      </w:r>
      <w:r w:rsidRPr="007B27ED">
        <w:rPr>
          <w:rFonts w:asciiTheme="minorHAnsi" w:hAnsiTheme="minorHAnsi" w:cstheme="minorHAnsi"/>
        </w:rPr>
        <w:t xml:space="preserve"> possessing different skills, several aspects might be done differently. Firstly, I would incorporate a</w:t>
      </w:r>
      <w:r>
        <w:rPr>
          <w:rFonts w:asciiTheme="minorHAnsi" w:hAnsiTheme="minorHAnsi" w:cstheme="minorHAnsi"/>
        </w:rPr>
        <w:t>n</w:t>
      </w:r>
      <w:r w:rsidRPr="007B27ED">
        <w:rPr>
          <w:rFonts w:asciiTheme="minorHAnsi" w:hAnsiTheme="minorHAnsi" w:cstheme="minorHAnsi"/>
        </w:rPr>
        <w:t xml:space="preserve"> extensive and structured qualitative research component from the outset. This would involve interviews and focus groups with people with dementia, their caregivers, and healthcare professionals to gain deeper insights into the nuances of HRQoL reporting and the PwD-proxy gap. If I were collecting primary data, I would ensure detailed information </w:t>
      </w:r>
      <w:r w:rsidR="00091CD5">
        <w:rPr>
          <w:rFonts w:asciiTheme="minorHAnsi" w:hAnsiTheme="minorHAnsi" w:cstheme="minorHAnsi"/>
        </w:rPr>
        <w:t xml:space="preserve">are gathered </w:t>
      </w:r>
      <w:r w:rsidRPr="007B27ED">
        <w:rPr>
          <w:rFonts w:asciiTheme="minorHAnsi" w:hAnsiTheme="minorHAnsi" w:cstheme="minorHAnsi"/>
        </w:rPr>
        <w:t xml:space="preserve">on variables related to proxy characteristics, to better explore and control for </w:t>
      </w:r>
      <w:r w:rsidRPr="007B27ED">
        <w:rPr>
          <w:rFonts w:asciiTheme="minorHAnsi" w:hAnsiTheme="minorHAnsi" w:cstheme="minorHAnsi"/>
        </w:rPr>
        <w:lastRenderedPageBreak/>
        <w:t xml:space="preserve">their influence on HRQoL reports. It would also be crucial to collect data from mixed populations, including those with severe dementia, to ensure that the full range of dementia severity is assessed. Additionally, I would apply a variety of mapping models, such as two-part models or mixture models, to compare their predictive abilities and identify the most effective approach. Consistency in variables across community and care home settings would be maintained to generate optimal pragmatic models, ensuring comprehensive and comparable data across different </w:t>
      </w:r>
      <w:r>
        <w:rPr>
          <w:rFonts w:asciiTheme="minorHAnsi" w:hAnsiTheme="minorHAnsi" w:cstheme="minorHAnsi"/>
        </w:rPr>
        <w:t>residential</w:t>
      </w:r>
      <w:r w:rsidRPr="007B27ED">
        <w:rPr>
          <w:rFonts w:asciiTheme="minorHAnsi" w:hAnsiTheme="minorHAnsi" w:cstheme="minorHAnsi"/>
        </w:rPr>
        <w:t xml:space="preserve"> situations.</w:t>
      </w:r>
    </w:p>
    <w:p w14:paraId="5C9F0E5D" w14:textId="77777777" w:rsidR="007B27ED" w:rsidRDefault="007B27ED" w:rsidP="004C71C1">
      <w:pPr>
        <w:rPr>
          <w:rFonts w:asciiTheme="minorHAnsi" w:hAnsiTheme="minorHAnsi" w:cstheme="minorHAnsi"/>
        </w:rPr>
      </w:pPr>
    </w:p>
    <w:p w14:paraId="059D526C" w14:textId="42AC65F2" w:rsidR="007B27ED" w:rsidRPr="00037AD4" w:rsidRDefault="007B27ED" w:rsidP="004C71C1">
      <w:pPr>
        <w:rPr>
          <w:rFonts w:asciiTheme="minorHAnsi" w:hAnsiTheme="minorHAnsi" w:cstheme="minorHAnsi"/>
        </w:rPr>
      </w:pPr>
      <w:r w:rsidRPr="007B27ED">
        <w:rPr>
          <w:rFonts w:asciiTheme="minorHAnsi" w:hAnsiTheme="minorHAnsi" w:cstheme="minorHAnsi"/>
        </w:rPr>
        <w:t xml:space="preserve">While several aspects of the approach would be reconsidered if starting from scratch, many elements would remain the same due to their proven effectiveness. The use of detailed quantitative and psychometric methods would still be integral, as they provide robust and reliable data on HRQoL in dementia populations. Incorporating PPIE sessions would remain a key component to ensure that the perspectives of people with dementia and their caregivers are reflected in the research. Additionally, future research could explore adding </w:t>
      </w:r>
      <w:r>
        <w:rPr>
          <w:rFonts w:asciiTheme="minorHAnsi" w:hAnsiTheme="minorHAnsi" w:cstheme="minorHAnsi"/>
        </w:rPr>
        <w:t>the</w:t>
      </w:r>
      <w:r w:rsidRPr="007B27ED">
        <w:rPr>
          <w:rFonts w:asciiTheme="minorHAnsi" w:hAnsiTheme="minorHAnsi" w:cstheme="minorHAnsi"/>
        </w:rPr>
        <w:t xml:space="preserve"> cognitive bolt-on to the EQ-5D</w:t>
      </w:r>
      <w:r w:rsidR="00091CD5">
        <w:rPr>
          <w:rFonts w:asciiTheme="minorHAnsi" w:hAnsiTheme="minorHAnsi" w:cstheme="minorHAnsi"/>
        </w:rPr>
        <w:t>-5L</w:t>
      </w:r>
      <w:r w:rsidRPr="007B27ED">
        <w:rPr>
          <w:rFonts w:asciiTheme="minorHAnsi" w:hAnsiTheme="minorHAnsi" w:cstheme="minorHAnsi"/>
        </w:rPr>
        <w:t xml:space="preserve"> instrument to better capture the cognitive changes associated with dementia. Another consideration for future work would be to use weighting estimates to account for different respondent types and adjust for potential biases in proxy reports. These methodological approaches, though not implemented in this thesis, </w:t>
      </w:r>
      <w:r w:rsidR="007606E9">
        <w:rPr>
          <w:rFonts w:asciiTheme="minorHAnsi" w:hAnsiTheme="minorHAnsi" w:cstheme="minorHAnsi"/>
        </w:rPr>
        <w:t>c</w:t>
      </w:r>
      <w:r w:rsidRPr="007B27ED">
        <w:rPr>
          <w:rFonts w:asciiTheme="minorHAnsi" w:hAnsiTheme="minorHAnsi" w:cstheme="minorHAnsi"/>
        </w:rPr>
        <w:t xml:space="preserve">ould enhance the robustness and accuracy of utility scores and </w:t>
      </w:r>
      <w:r w:rsidR="007606E9">
        <w:rPr>
          <w:rFonts w:asciiTheme="minorHAnsi" w:hAnsiTheme="minorHAnsi" w:cstheme="minorHAnsi"/>
        </w:rPr>
        <w:t>may</w:t>
      </w:r>
      <w:r w:rsidRPr="007B27ED">
        <w:rPr>
          <w:rFonts w:asciiTheme="minorHAnsi" w:hAnsiTheme="minorHAnsi" w:cstheme="minorHAnsi"/>
        </w:rPr>
        <w:t xml:space="preserve"> be considered in future research.</w:t>
      </w:r>
    </w:p>
    <w:p w14:paraId="08AE8C23" w14:textId="77777777" w:rsidR="00B54D51" w:rsidRPr="00037AD4" w:rsidRDefault="00B54D51" w:rsidP="004C71C1">
      <w:pPr>
        <w:rPr>
          <w:rFonts w:asciiTheme="minorHAnsi" w:hAnsiTheme="minorHAnsi" w:cstheme="minorHAnsi"/>
        </w:rPr>
      </w:pPr>
    </w:p>
    <w:p w14:paraId="2B42CF2B" w14:textId="77777777" w:rsidR="00B54D51" w:rsidRPr="00037AD4" w:rsidRDefault="00B54D51" w:rsidP="007A43F9">
      <w:pPr>
        <w:pStyle w:val="Heading2"/>
      </w:pPr>
      <w:bookmarkStart w:id="423" w:name="_Toc175742377"/>
      <w:r w:rsidRPr="00037AD4">
        <w:t>7.5 Conclusion</w:t>
      </w:r>
      <w:bookmarkEnd w:id="423"/>
      <w:r w:rsidRPr="00037AD4">
        <w:t xml:space="preserve"> </w:t>
      </w:r>
    </w:p>
    <w:p w14:paraId="3D125DCB" w14:textId="77777777" w:rsidR="00B54D51" w:rsidRPr="00037AD4" w:rsidRDefault="00B54D51" w:rsidP="004C71C1">
      <w:pPr>
        <w:rPr>
          <w:rFonts w:asciiTheme="minorHAnsi" w:hAnsiTheme="minorHAnsi" w:cstheme="minorHAnsi"/>
        </w:rPr>
      </w:pPr>
    </w:p>
    <w:p w14:paraId="04A4FEEE" w14:textId="77777777" w:rsidR="00B54D51" w:rsidRPr="00037AD4" w:rsidRDefault="00B54D51" w:rsidP="004C71C1">
      <w:pPr>
        <w:rPr>
          <w:rFonts w:asciiTheme="minorHAnsi" w:hAnsiTheme="minorHAnsi" w:cstheme="minorHAnsi"/>
        </w:rPr>
      </w:pPr>
      <w:r w:rsidRPr="00037AD4">
        <w:rPr>
          <w:rFonts w:asciiTheme="minorHAnsi" w:hAnsiTheme="minorHAnsi" w:cstheme="minorHAnsi"/>
        </w:rPr>
        <w:t xml:space="preserve">The literature indicates a notable gap in the inter-rater agreement of HRQoL assessments made by people with dementia and proxies about the PwD’s health status. While both sources offer valuable insights and unique perspectives on the PwD's health, there are no guidelines on how to interpret or integrate these different reports when estimating utilities for economic evaluations. </w:t>
      </w:r>
    </w:p>
    <w:p w14:paraId="48D49D31" w14:textId="77777777" w:rsidR="00B54D51" w:rsidRPr="00037AD4" w:rsidRDefault="00B54D51" w:rsidP="004C71C1">
      <w:pPr>
        <w:rPr>
          <w:rFonts w:asciiTheme="minorHAnsi" w:hAnsiTheme="minorHAnsi" w:cstheme="minorHAnsi"/>
        </w:rPr>
      </w:pPr>
    </w:p>
    <w:p w14:paraId="7C244C2A" w14:textId="4F58AEA3" w:rsidR="00024B27" w:rsidRPr="00024B27" w:rsidRDefault="00B54D51" w:rsidP="00781965">
      <w:pPr>
        <w:rPr>
          <w:rFonts w:asciiTheme="minorHAnsi" w:hAnsiTheme="minorHAnsi" w:cstheme="minorHAnsi"/>
        </w:rPr>
      </w:pPr>
      <w:r w:rsidRPr="00037AD4">
        <w:rPr>
          <w:rFonts w:asciiTheme="minorHAnsi" w:hAnsiTheme="minorHAnsi" w:cstheme="minorHAnsi"/>
        </w:rPr>
        <w:t>The findings of this thesis revealed that proxy reports are preferable for certain EQ-5D dimensions that are more "observable", whereas PwD self-reports are more suitable for dimensions that are considered "non-observable"</w:t>
      </w:r>
      <w:r w:rsidR="00024B27">
        <w:rPr>
          <w:rFonts w:asciiTheme="minorHAnsi" w:hAnsiTheme="minorHAnsi" w:cstheme="minorHAnsi"/>
        </w:rPr>
        <w:t>.</w:t>
      </w:r>
      <w:r w:rsidRPr="00037AD4">
        <w:rPr>
          <w:rFonts w:asciiTheme="minorHAnsi" w:hAnsiTheme="minorHAnsi" w:cstheme="minorHAnsi"/>
        </w:rPr>
        <w:t xml:space="preserve"> By combining EQ-5D dimension reports in this manner, there is potential to portray the benefits of dementia interventions more accurately through changes in EQ-5D utility scores. Mapping methods have been proposed to enable the estimation of combined utility scores even in scenarios where reports are obtained solely from one respondent type. In doing so, the perspectives of both parties are statistically accounted for in a robust manner.</w:t>
      </w:r>
    </w:p>
    <w:p w14:paraId="151CA2C4" w14:textId="77777777" w:rsidR="009C0A88" w:rsidRDefault="009C0A88" w:rsidP="007A43F9">
      <w:pPr>
        <w:pStyle w:val="Heading1"/>
      </w:pPr>
    </w:p>
    <w:p w14:paraId="6A543DF0" w14:textId="77777777" w:rsidR="009C0A88" w:rsidRDefault="009C0A88" w:rsidP="009C0A88"/>
    <w:p w14:paraId="41541D37" w14:textId="77777777" w:rsidR="00777D27" w:rsidRDefault="00777D27" w:rsidP="009C0A88"/>
    <w:p w14:paraId="6B7B2A86" w14:textId="77777777" w:rsidR="009C0A88" w:rsidRDefault="009C0A88" w:rsidP="009C0A88"/>
    <w:p w14:paraId="02A25EBD" w14:textId="77777777" w:rsidR="009C0A88" w:rsidRDefault="009C0A88" w:rsidP="009C0A88"/>
    <w:p w14:paraId="21775B22" w14:textId="77777777" w:rsidR="009C0A88" w:rsidRPr="009C0A88" w:rsidRDefault="009C0A88" w:rsidP="009C0A88"/>
    <w:p w14:paraId="7675E503" w14:textId="20AA840B" w:rsidR="00B54D51" w:rsidRPr="00037AD4" w:rsidRDefault="00B54D51" w:rsidP="007A43F9">
      <w:pPr>
        <w:pStyle w:val="Heading1"/>
      </w:pPr>
      <w:bookmarkStart w:id="424" w:name="_Toc175742378"/>
      <w:r w:rsidRPr="00037AD4">
        <w:lastRenderedPageBreak/>
        <w:t>Appendices</w:t>
      </w:r>
      <w:bookmarkEnd w:id="424"/>
      <w:r w:rsidRPr="00037AD4">
        <w:t xml:space="preserve"> </w:t>
      </w:r>
    </w:p>
    <w:p w14:paraId="23DF948F" w14:textId="77777777" w:rsidR="00B54D51" w:rsidRPr="00037AD4" w:rsidRDefault="00B54D51" w:rsidP="001D7ACE">
      <w:pPr>
        <w:rPr>
          <w:rFonts w:asciiTheme="minorHAnsi" w:hAnsiTheme="minorHAnsi" w:cstheme="minorHAnsi"/>
          <w:b/>
          <w:bCs/>
          <w:sz w:val="32"/>
          <w:szCs w:val="32"/>
          <w:u w:val="single"/>
        </w:rPr>
      </w:pPr>
    </w:p>
    <w:p w14:paraId="5352FE27" w14:textId="77777777" w:rsidR="00B54D51" w:rsidRPr="00037AD4" w:rsidRDefault="00B54D51" w:rsidP="007A43F9">
      <w:pPr>
        <w:pStyle w:val="Heading2"/>
      </w:pPr>
      <w:bookmarkStart w:id="425" w:name="A1"/>
      <w:bookmarkStart w:id="426" w:name="_Toc175742379"/>
      <w:r w:rsidRPr="00037AD4">
        <w:t>Appendix 1 EQ-5D-5L instrument</w:t>
      </w:r>
      <w:bookmarkEnd w:id="426"/>
      <w:r w:rsidRPr="00037AD4">
        <w:t xml:space="preserve"> </w:t>
      </w:r>
    </w:p>
    <w:bookmarkEnd w:id="425"/>
    <w:p w14:paraId="31ECED98" w14:textId="1A1D4D72" w:rsidR="00B54D51" w:rsidRDefault="00B54D51" w:rsidP="00FA7B66">
      <w:pPr>
        <w:pStyle w:val="NormalWeb"/>
        <w:rPr>
          <w:rFonts w:asciiTheme="minorHAnsi" w:hAnsiTheme="minorHAnsi" w:cstheme="minorHAnsi"/>
          <w:color w:val="000000"/>
        </w:rPr>
      </w:pPr>
      <w:r w:rsidRPr="00037AD4">
        <w:rPr>
          <w:rFonts w:asciiTheme="minorHAnsi" w:hAnsiTheme="minorHAnsi" w:cstheme="minorHAnsi"/>
          <w:color w:val="000000"/>
        </w:rPr>
        <w:t xml:space="preserve">EQ-5D instrument sample sourced from: EuroQoL group </w:t>
      </w:r>
      <w:r w:rsidRPr="00037AD4">
        <w:rPr>
          <w:rFonts w:asciiTheme="minorHAnsi" w:hAnsiTheme="minorHAnsi" w:cstheme="minorHAnsi"/>
          <w:i/>
          <w:iCs/>
          <w:color w:val="000000"/>
        </w:rPr>
        <w:t>EQ-5D Samples/ Demonstration versions.</w:t>
      </w:r>
      <w:r w:rsidRPr="00037AD4">
        <w:rPr>
          <w:rFonts w:asciiTheme="minorHAnsi" w:hAnsiTheme="minorHAnsi" w:cstheme="minorHAnsi"/>
          <w:color w:val="000000"/>
        </w:rPr>
        <w:t xml:space="preserve"> Available at: </w:t>
      </w:r>
      <w:hyperlink r:id="rId89" w:history="1">
        <w:r w:rsidRPr="00037AD4">
          <w:rPr>
            <w:rStyle w:val="Hyperlink"/>
            <w:rFonts w:asciiTheme="minorHAnsi" w:hAnsiTheme="minorHAnsi" w:cstheme="minorHAnsi"/>
          </w:rPr>
          <w:t>https://euroqol.org.eq-5d-instruments/samples-demo/</w:t>
        </w:r>
      </w:hyperlink>
      <w:r w:rsidRPr="00037AD4">
        <w:rPr>
          <w:rFonts w:asciiTheme="minorHAnsi" w:hAnsiTheme="minorHAnsi" w:cstheme="minorHAnsi"/>
          <w:color w:val="000000"/>
        </w:rPr>
        <w:t xml:space="preserve"> (Last accessed: January 2023)</w:t>
      </w:r>
    </w:p>
    <w:p w14:paraId="71903033" w14:textId="7130D585" w:rsidR="00830480" w:rsidRPr="00037AD4" w:rsidRDefault="00830480" w:rsidP="00FA7B66">
      <w:pPr>
        <w:pStyle w:val="NormalWeb"/>
        <w:rPr>
          <w:rFonts w:asciiTheme="minorHAnsi" w:hAnsiTheme="minorHAnsi" w:cstheme="minorHAnsi"/>
        </w:rPr>
      </w:pPr>
      <w:r w:rsidRPr="00037AD4">
        <w:rPr>
          <w:rFonts w:asciiTheme="minorHAnsi" w:hAnsiTheme="minorHAnsi" w:cstheme="minorHAnsi"/>
          <w:noProof/>
          <w:lang w:eastAsia="zh-CN"/>
        </w:rPr>
        <w:drawing>
          <wp:anchor distT="0" distB="0" distL="114300" distR="114300" simplePos="0" relativeHeight="251685888" behindDoc="0" locked="0" layoutInCell="1" allowOverlap="1" wp14:anchorId="114C79B1" wp14:editId="02C92111">
            <wp:simplePos x="0" y="0"/>
            <wp:positionH relativeFrom="column">
              <wp:posOffset>0</wp:posOffset>
            </wp:positionH>
            <wp:positionV relativeFrom="paragraph">
              <wp:posOffset>355600</wp:posOffset>
            </wp:positionV>
            <wp:extent cx="6358597" cy="6757361"/>
            <wp:effectExtent l="0" t="0" r="4445" b="0"/>
            <wp:wrapSquare wrapText="bothSides"/>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rotWithShape="1">
                    <a:blip r:embed="rId90">
                      <a:extLst>
                        <a:ext uri="{28A0092B-C50C-407E-A947-70E740481C1C}">
                          <a14:useLocalDpi xmlns:a14="http://schemas.microsoft.com/office/drawing/2010/main" val="0"/>
                        </a:ext>
                      </a:extLst>
                    </a:blip>
                    <a:srcRect r="10619" b="5692"/>
                    <a:stretch/>
                  </pic:blipFill>
                  <pic:spPr bwMode="auto">
                    <a:xfrm>
                      <a:off x="0" y="0"/>
                      <a:ext cx="6358597" cy="675736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963A85F" w14:textId="2EB22F96" w:rsidR="00B54D51" w:rsidRPr="00037AD4" w:rsidRDefault="00830480" w:rsidP="001D7ACE">
      <w:pPr>
        <w:rPr>
          <w:rFonts w:asciiTheme="minorHAnsi" w:hAnsiTheme="minorHAnsi" w:cstheme="minorHAnsi"/>
        </w:rPr>
      </w:pPr>
      <w:r w:rsidRPr="00037AD4">
        <w:rPr>
          <w:rFonts w:asciiTheme="minorHAnsi" w:hAnsiTheme="minorHAnsi" w:cstheme="minorHAnsi"/>
          <w:noProof/>
          <w:lang w:eastAsia="zh-CN"/>
        </w:rPr>
        <w:lastRenderedPageBreak/>
        <w:drawing>
          <wp:anchor distT="0" distB="0" distL="114300" distR="114300" simplePos="0" relativeHeight="251687936" behindDoc="0" locked="0" layoutInCell="1" allowOverlap="1" wp14:anchorId="04D85B32" wp14:editId="7B2F4E80">
            <wp:simplePos x="0" y="0"/>
            <wp:positionH relativeFrom="column">
              <wp:posOffset>0</wp:posOffset>
            </wp:positionH>
            <wp:positionV relativeFrom="paragraph">
              <wp:posOffset>177165</wp:posOffset>
            </wp:positionV>
            <wp:extent cx="6490164" cy="7146388"/>
            <wp:effectExtent l="0" t="0" r="0" b="0"/>
            <wp:wrapSquare wrapText="bothSides"/>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rotWithShape="1">
                    <a:blip r:embed="rId91">
                      <a:extLst>
                        <a:ext uri="{28A0092B-C50C-407E-A947-70E740481C1C}">
                          <a14:useLocalDpi xmlns:a14="http://schemas.microsoft.com/office/drawing/2010/main" val="0"/>
                        </a:ext>
                      </a:extLst>
                    </a:blip>
                    <a:srcRect t="22190"/>
                    <a:stretch/>
                  </pic:blipFill>
                  <pic:spPr bwMode="auto">
                    <a:xfrm>
                      <a:off x="0" y="0"/>
                      <a:ext cx="6490164" cy="714638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54D51" w:rsidRPr="00037AD4">
        <w:rPr>
          <w:rFonts w:asciiTheme="minorHAnsi" w:hAnsiTheme="minorHAnsi" w:cstheme="minorHAnsi"/>
        </w:rPr>
        <w:tab/>
      </w:r>
      <w:r w:rsidR="00B54D51" w:rsidRPr="00037AD4">
        <w:rPr>
          <w:rFonts w:asciiTheme="minorHAnsi" w:hAnsiTheme="minorHAnsi" w:cstheme="minorHAnsi"/>
        </w:rPr>
        <w:tab/>
      </w:r>
    </w:p>
    <w:p w14:paraId="2F3F41A5" w14:textId="77777777" w:rsidR="00B54D51" w:rsidRPr="00037AD4" w:rsidRDefault="00B54D51" w:rsidP="001D7ACE">
      <w:pPr>
        <w:rPr>
          <w:rFonts w:asciiTheme="minorHAnsi" w:hAnsiTheme="minorHAnsi" w:cstheme="minorHAnsi"/>
        </w:rPr>
        <w:sectPr w:rsidR="00B54D51" w:rsidRPr="00037AD4" w:rsidSect="0051675A">
          <w:pgSz w:w="11906" w:h="16838"/>
          <w:pgMar w:top="1440" w:right="1440" w:bottom="1440" w:left="1440" w:header="708" w:footer="708" w:gutter="0"/>
          <w:cols w:space="708"/>
          <w:docGrid w:linePitch="360"/>
        </w:sectPr>
      </w:pPr>
    </w:p>
    <w:p w14:paraId="61E3BBE7" w14:textId="3AA25D22" w:rsidR="002B5521" w:rsidRPr="0002494A" w:rsidRDefault="00B54D51" w:rsidP="0002494A">
      <w:pPr>
        <w:pStyle w:val="Heading2"/>
      </w:pPr>
      <w:bookmarkStart w:id="427" w:name="_Appendix_2a_Systematic"/>
      <w:bookmarkStart w:id="428" w:name="A2"/>
      <w:bookmarkStart w:id="429" w:name="_Toc175742380"/>
      <w:bookmarkEnd w:id="427"/>
      <w:r w:rsidRPr="0002494A">
        <w:lastRenderedPageBreak/>
        <w:t>Appendix 2</w:t>
      </w:r>
      <w:r w:rsidR="002B5521" w:rsidRPr="0002494A">
        <w:t>a Systematic review search strategy</w:t>
      </w:r>
      <w:bookmarkEnd w:id="429"/>
    </w:p>
    <w:p w14:paraId="7D9F3E7A" w14:textId="77777777" w:rsidR="0002494A" w:rsidRPr="0002494A" w:rsidRDefault="0002494A" w:rsidP="0002494A">
      <w:pPr>
        <w:rPr>
          <w:sz w:val="26"/>
          <w:szCs w:val="26"/>
        </w:rPr>
      </w:pPr>
    </w:p>
    <w:p w14:paraId="242232E1" w14:textId="014553A4" w:rsidR="0002494A" w:rsidRDefault="0002494A" w:rsidP="0002494A">
      <w:pPr>
        <w:pStyle w:val="table"/>
        <w:rPr>
          <w:rFonts w:ascii="Calibri" w:hAnsi="Calibri" w:cs="Calibri"/>
          <w:sz w:val="24"/>
          <w:szCs w:val="24"/>
          <w:u w:val="single"/>
        </w:rPr>
      </w:pPr>
      <w:bookmarkStart w:id="430" w:name="_Toc95335534"/>
      <w:r w:rsidRPr="0002494A">
        <w:rPr>
          <w:rFonts w:ascii="Calibri" w:hAnsi="Calibri" w:cs="Calibri"/>
          <w:sz w:val="24"/>
          <w:szCs w:val="24"/>
          <w:u w:val="single"/>
        </w:rPr>
        <w:t xml:space="preserve">Final MEDLINE </w:t>
      </w:r>
      <w:r>
        <w:rPr>
          <w:rFonts w:ascii="Calibri" w:hAnsi="Calibri" w:cs="Calibri"/>
          <w:sz w:val="24"/>
          <w:szCs w:val="24"/>
          <w:u w:val="single"/>
        </w:rPr>
        <w:t xml:space="preserve">search </w:t>
      </w:r>
      <w:r w:rsidRPr="0002494A">
        <w:rPr>
          <w:rFonts w:ascii="Calibri" w:hAnsi="Calibri" w:cs="Calibri"/>
          <w:sz w:val="24"/>
          <w:szCs w:val="24"/>
          <w:u w:val="single"/>
        </w:rPr>
        <w:t>strategy</w:t>
      </w:r>
      <w:bookmarkEnd w:id="430"/>
    </w:p>
    <w:p w14:paraId="4CC23ADC" w14:textId="77777777" w:rsidR="0002494A" w:rsidRPr="0002494A" w:rsidRDefault="0002494A" w:rsidP="0002494A">
      <w:pPr>
        <w:pStyle w:val="table"/>
        <w:rPr>
          <w:rFonts w:ascii="Calibri" w:hAnsi="Calibri" w:cs="Calibri"/>
          <w:sz w:val="24"/>
          <w:szCs w:val="24"/>
          <w:u w:val="single"/>
        </w:rPr>
      </w:pPr>
    </w:p>
    <w:tbl>
      <w:tblPr>
        <w:tblW w:w="0" w:type="auto"/>
        <w:shd w:val="clear" w:color="auto" w:fill="FFFFFF"/>
        <w:tblCellMar>
          <w:left w:w="0" w:type="dxa"/>
          <w:right w:w="0" w:type="dxa"/>
        </w:tblCellMar>
        <w:tblLook w:val="04A0" w:firstRow="1" w:lastRow="0" w:firstColumn="1" w:lastColumn="0" w:noHBand="0" w:noVBand="1"/>
      </w:tblPr>
      <w:tblGrid>
        <w:gridCol w:w="846"/>
        <w:gridCol w:w="6652"/>
      </w:tblGrid>
      <w:tr w:rsidR="0002494A" w:rsidRPr="0002494A" w14:paraId="297269C9" w14:textId="77777777" w:rsidTr="009B168A">
        <w:trPr>
          <w:trHeight w:val="288"/>
        </w:trPr>
        <w:tc>
          <w:tcPr>
            <w:tcW w:w="846" w:type="dxa"/>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20D237ED" w14:textId="77777777" w:rsidR="0002494A" w:rsidRPr="0002494A" w:rsidRDefault="0002494A" w:rsidP="009B168A">
            <w:pPr>
              <w:rPr>
                <w:rFonts w:ascii="Calibri" w:hAnsi="Calibri" w:cs="Calibri"/>
                <w:color w:val="222222"/>
              </w:rPr>
            </w:pPr>
            <w:r w:rsidRPr="0002494A">
              <w:rPr>
                <w:rFonts w:ascii="Calibri" w:hAnsi="Calibri" w:cs="Calibri"/>
                <w:b/>
                <w:bCs/>
                <w:color w:val="222222"/>
              </w:rPr>
              <w:t>#</w:t>
            </w:r>
          </w:p>
        </w:tc>
        <w:tc>
          <w:tcPr>
            <w:tcW w:w="6652"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hideMark/>
          </w:tcPr>
          <w:p w14:paraId="3BB853C4" w14:textId="77777777" w:rsidR="0002494A" w:rsidRPr="0002494A" w:rsidRDefault="0002494A" w:rsidP="009B168A">
            <w:pPr>
              <w:rPr>
                <w:rFonts w:ascii="Calibri" w:hAnsi="Calibri" w:cs="Calibri"/>
                <w:color w:val="222222"/>
              </w:rPr>
            </w:pPr>
            <w:r w:rsidRPr="0002494A">
              <w:rPr>
                <w:rFonts w:ascii="Calibri" w:hAnsi="Calibri" w:cs="Calibri"/>
                <w:b/>
                <w:bCs/>
                <w:color w:val="222222"/>
              </w:rPr>
              <w:t>Searches</w:t>
            </w:r>
          </w:p>
        </w:tc>
      </w:tr>
      <w:tr w:rsidR="0002494A" w:rsidRPr="0002494A" w14:paraId="5A436E2C" w14:textId="77777777" w:rsidTr="009B168A">
        <w:trPr>
          <w:trHeight w:val="288"/>
        </w:trPr>
        <w:tc>
          <w:tcPr>
            <w:tcW w:w="846" w:type="dxa"/>
            <w:tcBorders>
              <w:top w:val="nil"/>
              <w:left w:val="single" w:sz="8" w:space="0" w:color="auto"/>
              <w:bottom w:val="single" w:sz="8" w:space="0" w:color="auto"/>
              <w:right w:val="single" w:sz="8" w:space="0" w:color="auto"/>
            </w:tcBorders>
            <w:shd w:val="clear" w:color="auto" w:fill="FFFFFF"/>
            <w:noWrap/>
            <w:tcMar>
              <w:top w:w="0" w:type="dxa"/>
              <w:left w:w="108" w:type="dxa"/>
              <w:bottom w:w="0" w:type="dxa"/>
              <w:right w:w="108" w:type="dxa"/>
            </w:tcMar>
            <w:hideMark/>
          </w:tcPr>
          <w:p w14:paraId="255106DC" w14:textId="77777777" w:rsidR="0002494A" w:rsidRPr="0002494A" w:rsidRDefault="0002494A" w:rsidP="009B168A">
            <w:pPr>
              <w:rPr>
                <w:rFonts w:ascii="Calibri" w:hAnsi="Calibri" w:cs="Calibri"/>
                <w:color w:val="222222"/>
              </w:rPr>
            </w:pPr>
            <w:r w:rsidRPr="0002494A">
              <w:rPr>
                <w:rFonts w:ascii="Calibri" w:hAnsi="Calibri" w:cs="Calibri"/>
                <w:color w:val="222222"/>
              </w:rPr>
              <w:t>1</w:t>
            </w:r>
          </w:p>
        </w:tc>
        <w:tc>
          <w:tcPr>
            <w:tcW w:w="665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3080DA4C" w14:textId="77777777" w:rsidR="0002494A" w:rsidRPr="0002494A" w:rsidRDefault="0002494A" w:rsidP="009B168A">
            <w:pPr>
              <w:rPr>
                <w:rFonts w:ascii="Calibri" w:hAnsi="Calibri" w:cs="Calibri"/>
                <w:color w:val="222222"/>
              </w:rPr>
            </w:pPr>
            <w:r w:rsidRPr="0002494A">
              <w:rPr>
                <w:rFonts w:ascii="Calibri" w:hAnsi="Calibri" w:cs="Calibri"/>
                <w:color w:val="222222"/>
              </w:rPr>
              <w:t>(dementia or Alzheimer*).mp.</w:t>
            </w:r>
          </w:p>
        </w:tc>
      </w:tr>
      <w:tr w:rsidR="0002494A" w:rsidRPr="0002494A" w14:paraId="5047ED66" w14:textId="77777777" w:rsidTr="009B168A">
        <w:trPr>
          <w:trHeight w:val="576"/>
        </w:trPr>
        <w:tc>
          <w:tcPr>
            <w:tcW w:w="846" w:type="dxa"/>
            <w:tcBorders>
              <w:top w:val="nil"/>
              <w:left w:val="single" w:sz="8" w:space="0" w:color="auto"/>
              <w:bottom w:val="single" w:sz="8" w:space="0" w:color="auto"/>
              <w:right w:val="single" w:sz="8" w:space="0" w:color="auto"/>
            </w:tcBorders>
            <w:shd w:val="clear" w:color="auto" w:fill="FFFFFF"/>
            <w:noWrap/>
            <w:tcMar>
              <w:top w:w="0" w:type="dxa"/>
              <w:left w:w="108" w:type="dxa"/>
              <w:bottom w:w="0" w:type="dxa"/>
              <w:right w:w="108" w:type="dxa"/>
            </w:tcMar>
            <w:hideMark/>
          </w:tcPr>
          <w:p w14:paraId="67E682A5" w14:textId="77777777" w:rsidR="0002494A" w:rsidRPr="0002494A" w:rsidRDefault="0002494A" w:rsidP="009B168A">
            <w:pPr>
              <w:rPr>
                <w:rFonts w:ascii="Calibri" w:hAnsi="Calibri" w:cs="Calibri"/>
                <w:color w:val="222222"/>
              </w:rPr>
            </w:pPr>
            <w:r w:rsidRPr="0002494A">
              <w:rPr>
                <w:rFonts w:ascii="Calibri" w:hAnsi="Calibri" w:cs="Calibri"/>
                <w:color w:val="222222"/>
              </w:rPr>
              <w:t>2</w:t>
            </w:r>
          </w:p>
        </w:tc>
        <w:tc>
          <w:tcPr>
            <w:tcW w:w="665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112EED07" w14:textId="77777777" w:rsidR="0002494A" w:rsidRPr="0002494A" w:rsidRDefault="0002494A" w:rsidP="009B168A">
            <w:pPr>
              <w:rPr>
                <w:rFonts w:ascii="Calibri" w:hAnsi="Calibri" w:cs="Calibri"/>
                <w:color w:val="222222"/>
              </w:rPr>
            </w:pPr>
            <w:r w:rsidRPr="0002494A">
              <w:rPr>
                <w:rFonts w:ascii="Calibri" w:hAnsi="Calibri" w:cs="Calibri"/>
                <w:color w:val="222222"/>
              </w:rPr>
              <w:t>(euro qual or euro qual5d* or euro qol5d* or eq-5d* or eq5-d* or eq5d* or euroqual or euroqol or euroqual5d* or euroqol5d*).ti,ab,kf.</w:t>
            </w:r>
          </w:p>
        </w:tc>
      </w:tr>
      <w:tr w:rsidR="0002494A" w:rsidRPr="0002494A" w14:paraId="255497ED" w14:textId="77777777" w:rsidTr="009B168A">
        <w:trPr>
          <w:trHeight w:val="288"/>
        </w:trPr>
        <w:tc>
          <w:tcPr>
            <w:tcW w:w="846" w:type="dxa"/>
            <w:tcBorders>
              <w:top w:val="nil"/>
              <w:left w:val="single" w:sz="8" w:space="0" w:color="auto"/>
              <w:bottom w:val="single" w:sz="8" w:space="0" w:color="auto"/>
              <w:right w:val="single" w:sz="8" w:space="0" w:color="auto"/>
            </w:tcBorders>
            <w:shd w:val="clear" w:color="auto" w:fill="FFFFFF"/>
            <w:noWrap/>
            <w:tcMar>
              <w:top w:w="0" w:type="dxa"/>
              <w:left w:w="108" w:type="dxa"/>
              <w:bottom w:w="0" w:type="dxa"/>
              <w:right w:w="108" w:type="dxa"/>
            </w:tcMar>
            <w:hideMark/>
          </w:tcPr>
          <w:p w14:paraId="726B434F" w14:textId="77777777" w:rsidR="0002494A" w:rsidRPr="0002494A" w:rsidRDefault="0002494A" w:rsidP="009B168A">
            <w:pPr>
              <w:rPr>
                <w:rFonts w:ascii="Calibri" w:hAnsi="Calibri" w:cs="Calibri"/>
                <w:color w:val="222222"/>
              </w:rPr>
            </w:pPr>
            <w:r w:rsidRPr="0002494A">
              <w:rPr>
                <w:rFonts w:ascii="Calibri" w:hAnsi="Calibri" w:cs="Calibri"/>
                <w:color w:val="222222"/>
              </w:rPr>
              <w:t>3</w:t>
            </w:r>
          </w:p>
        </w:tc>
        <w:tc>
          <w:tcPr>
            <w:tcW w:w="665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18022510" w14:textId="77777777" w:rsidR="0002494A" w:rsidRPr="0002494A" w:rsidRDefault="0002494A" w:rsidP="009B168A">
            <w:pPr>
              <w:rPr>
                <w:rFonts w:ascii="Calibri" w:hAnsi="Calibri" w:cs="Calibri"/>
                <w:color w:val="222222"/>
              </w:rPr>
            </w:pPr>
            <w:r w:rsidRPr="0002494A">
              <w:rPr>
                <w:rFonts w:ascii="Calibri" w:hAnsi="Calibri" w:cs="Calibri"/>
                <w:color w:val="222222"/>
              </w:rPr>
              <w:t>1 and 2</w:t>
            </w:r>
          </w:p>
        </w:tc>
      </w:tr>
      <w:tr w:rsidR="0002494A" w:rsidRPr="0002494A" w14:paraId="681CC3F2" w14:textId="77777777" w:rsidTr="009B168A">
        <w:trPr>
          <w:trHeight w:val="288"/>
        </w:trPr>
        <w:tc>
          <w:tcPr>
            <w:tcW w:w="846" w:type="dxa"/>
            <w:tcBorders>
              <w:top w:val="nil"/>
              <w:left w:val="single" w:sz="8" w:space="0" w:color="auto"/>
              <w:bottom w:val="single" w:sz="8" w:space="0" w:color="auto"/>
              <w:right w:val="single" w:sz="8" w:space="0" w:color="auto"/>
            </w:tcBorders>
            <w:shd w:val="clear" w:color="auto" w:fill="FFFFFF"/>
            <w:noWrap/>
            <w:tcMar>
              <w:top w:w="0" w:type="dxa"/>
              <w:left w:w="108" w:type="dxa"/>
              <w:bottom w:w="0" w:type="dxa"/>
              <w:right w:w="108" w:type="dxa"/>
            </w:tcMar>
            <w:hideMark/>
          </w:tcPr>
          <w:p w14:paraId="39553305" w14:textId="77777777" w:rsidR="0002494A" w:rsidRPr="0002494A" w:rsidRDefault="0002494A" w:rsidP="009B168A">
            <w:pPr>
              <w:rPr>
                <w:rFonts w:ascii="Calibri" w:hAnsi="Calibri" w:cs="Calibri"/>
                <w:color w:val="222222"/>
              </w:rPr>
            </w:pPr>
            <w:r w:rsidRPr="0002494A">
              <w:rPr>
                <w:rFonts w:ascii="Calibri" w:hAnsi="Calibri" w:cs="Calibri"/>
                <w:color w:val="222222"/>
              </w:rPr>
              <w:t>4</w:t>
            </w:r>
          </w:p>
        </w:tc>
        <w:tc>
          <w:tcPr>
            <w:tcW w:w="665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14930B14" w14:textId="200C4E50" w:rsidR="0002494A" w:rsidRPr="0002494A" w:rsidRDefault="0002494A" w:rsidP="009B168A">
            <w:pPr>
              <w:rPr>
                <w:rFonts w:ascii="Calibri" w:hAnsi="Calibri" w:cs="Calibri"/>
                <w:color w:val="222222"/>
              </w:rPr>
            </w:pPr>
            <w:r w:rsidRPr="0002494A">
              <w:rPr>
                <w:rFonts w:ascii="Calibri" w:hAnsi="Calibri" w:cs="Calibri"/>
                <w:color w:val="222222"/>
              </w:rPr>
              <w:t>limit 3 to (English language and yr.="2009 -Current")</w:t>
            </w:r>
          </w:p>
        </w:tc>
      </w:tr>
    </w:tbl>
    <w:p w14:paraId="0C78696A" w14:textId="77777777" w:rsidR="002B5521" w:rsidRDefault="002B5521" w:rsidP="007A43F9">
      <w:pPr>
        <w:pStyle w:val="Heading2"/>
      </w:pPr>
    </w:p>
    <w:p w14:paraId="28C61775" w14:textId="24CCEB32" w:rsidR="00B54D51" w:rsidRPr="00037AD4" w:rsidRDefault="002B5521" w:rsidP="007A43F9">
      <w:pPr>
        <w:pStyle w:val="Heading2"/>
      </w:pPr>
      <w:bookmarkStart w:id="431" w:name="_Appendix_2b_Quality"/>
      <w:bookmarkStart w:id="432" w:name="_Toc175742381"/>
      <w:bookmarkEnd w:id="431"/>
      <w:r>
        <w:t xml:space="preserve">Appendix 2b </w:t>
      </w:r>
      <w:r w:rsidR="00B54D51" w:rsidRPr="00037AD4">
        <w:t>Quality assessment of included papers adapted from the GRADE assessment tool</w:t>
      </w:r>
      <w:bookmarkEnd w:id="432"/>
    </w:p>
    <w:bookmarkEnd w:id="428"/>
    <w:p w14:paraId="527EA60A" w14:textId="77777777" w:rsidR="00B54D51" w:rsidRPr="00037AD4" w:rsidRDefault="00B54D51" w:rsidP="001D7ACE">
      <w:pPr>
        <w:rPr>
          <w:rFonts w:asciiTheme="minorHAnsi" w:hAnsiTheme="minorHAnsi" w:cstheme="minorHAnsi"/>
        </w:rPr>
      </w:pPr>
    </w:p>
    <w:tbl>
      <w:tblPr>
        <w:tblW w:w="134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70"/>
        <w:gridCol w:w="860"/>
        <w:gridCol w:w="1276"/>
        <w:gridCol w:w="709"/>
        <w:gridCol w:w="708"/>
        <w:gridCol w:w="709"/>
        <w:gridCol w:w="993"/>
        <w:gridCol w:w="567"/>
        <w:gridCol w:w="708"/>
        <w:gridCol w:w="709"/>
        <w:gridCol w:w="851"/>
        <w:gridCol w:w="1560"/>
        <w:gridCol w:w="1843"/>
      </w:tblGrid>
      <w:tr w:rsidR="00B54D51" w:rsidRPr="00037AD4" w14:paraId="4B44EA10" w14:textId="77777777" w:rsidTr="00401C67">
        <w:trPr>
          <w:trHeight w:val="252"/>
        </w:trPr>
        <w:tc>
          <w:tcPr>
            <w:tcW w:w="1970" w:type="dxa"/>
            <w:vMerge w:val="restart"/>
            <w:shd w:val="clear" w:color="auto" w:fill="auto"/>
            <w:vAlign w:val="bottom"/>
            <w:hideMark/>
          </w:tcPr>
          <w:p w14:paraId="5FB4B2DC" w14:textId="77777777" w:rsidR="00B54D51" w:rsidRPr="00037AD4" w:rsidRDefault="00B54D51" w:rsidP="00401C67">
            <w:pPr>
              <w:rPr>
                <w:rFonts w:asciiTheme="minorHAnsi" w:hAnsiTheme="minorHAnsi" w:cstheme="minorHAnsi"/>
              </w:rPr>
            </w:pPr>
          </w:p>
        </w:tc>
        <w:tc>
          <w:tcPr>
            <w:tcW w:w="860" w:type="dxa"/>
            <w:shd w:val="clear" w:color="auto" w:fill="auto"/>
            <w:vAlign w:val="bottom"/>
            <w:hideMark/>
          </w:tcPr>
          <w:p w14:paraId="323E8AF9" w14:textId="77777777" w:rsidR="00B54D51" w:rsidRPr="00037AD4" w:rsidRDefault="00B54D51" w:rsidP="00401C67">
            <w:pPr>
              <w:jc w:val="center"/>
              <w:rPr>
                <w:rFonts w:asciiTheme="minorHAnsi" w:hAnsiTheme="minorHAnsi" w:cstheme="minorHAnsi"/>
                <w:b/>
                <w:bCs/>
                <w:i/>
                <w:iCs/>
                <w:color w:val="000000"/>
              </w:rPr>
            </w:pPr>
            <w:r w:rsidRPr="00037AD4">
              <w:rPr>
                <w:rFonts w:asciiTheme="minorHAnsi" w:hAnsiTheme="minorHAnsi" w:cstheme="minorHAnsi"/>
                <w:b/>
                <w:bCs/>
                <w:i/>
                <w:iCs/>
                <w:color w:val="000000"/>
              </w:rPr>
              <w:t>Population</w:t>
            </w:r>
          </w:p>
        </w:tc>
        <w:tc>
          <w:tcPr>
            <w:tcW w:w="2693" w:type="dxa"/>
            <w:gridSpan w:val="3"/>
            <w:shd w:val="clear" w:color="auto" w:fill="auto"/>
            <w:vAlign w:val="bottom"/>
            <w:hideMark/>
          </w:tcPr>
          <w:p w14:paraId="24663F43" w14:textId="77777777" w:rsidR="00B54D51" w:rsidRPr="00037AD4" w:rsidRDefault="00B54D51" w:rsidP="00401C67">
            <w:pPr>
              <w:jc w:val="center"/>
              <w:rPr>
                <w:rFonts w:asciiTheme="minorHAnsi" w:hAnsiTheme="minorHAnsi" w:cstheme="minorHAnsi"/>
                <w:b/>
                <w:bCs/>
                <w:i/>
                <w:iCs/>
                <w:sz w:val="20"/>
                <w:szCs w:val="20"/>
              </w:rPr>
            </w:pPr>
            <w:r w:rsidRPr="00037AD4">
              <w:rPr>
                <w:rFonts w:asciiTheme="minorHAnsi" w:hAnsiTheme="minorHAnsi" w:cstheme="minorHAnsi"/>
                <w:b/>
                <w:bCs/>
                <w:i/>
                <w:iCs/>
                <w:color w:val="000000"/>
              </w:rPr>
              <w:t>Sample</w:t>
            </w:r>
          </w:p>
        </w:tc>
        <w:tc>
          <w:tcPr>
            <w:tcW w:w="1702" w:type="dxa"/>
            <w:gridSpan w:val="2"/>
            <w:shd w:val="clear" w:color="auto" w:fill="auto"/>
            <w:vAlign w:val="bottom"/>
            <w:hideMark/>
          </w:tcPr>
          <w:p w14:paraId="0195A7CA" w14:textId="77777777" w:rsidR="00B54D51" w:rsidRPr="00037AD4" w:rsidRDefault="00B54D51" w:rsidP="00401C67">
            <w:pPr>
              <w:jc w:val="center"/>
              <w:rPr>
                <w:rFonts w:asciiTheme="minorHAnsi" w:hAnsiTheme="minorHAnsi" w:cstheme="minorHAnsi"/>
                <w:b/>
                <w:bCs/>
                <w:i/>
                <w:iCs/>
                <w:color w:val="000000"/>
              </w:rPr>
            </w:pPr>
            <w:r w:rsidRPr="00037AD4">
              <w:rPr>
                <w:rFonts w:asciiTheme="minorHAnsi" w:hAnsiTheme="minorHAnsi" w:cstheme="minorHAnsi"/>
                <w:b/>
                <w:bCs/>
                <w:i/>
                <w:iCs/>
                <w:color w:val="000000"/>
              </w:rPr>
              <w:t>Outcome assessment</w:t>
            </w:r>
          </w:p>
        </w:tc>
        <w:tc>
          <w:tcPr>
            <w:tcW w:w="1275" w:type="dxa"/>
            <w:gridSpan w:val="2"/>
            <w:shd w:val="clear" w:color="auto" w:fill="auto"/>
            <w:vAlign w:val="bottom"/>
            <w:hideMark/>
          </w:tcPr>
          <w:p w14:paraId="65529792" w14:textId="77777777" w:rsidR="00B54D51" w:rsidRPr="00037AD4" w:rsidRDefault="00B54D51" w:rsidP="00401C67">
            <w:pPr>
              <w:jc w:val="center"/>
              <w:rPr>
                <w:rFonts w:asciiTheme="minorHAnsi" w:hAnsiTheme="minorHAnsi" w:cstheme="minorHAnsi"/>
                <w:b/>
                <w:bCs/>
                <w:i/>
                <w:iCs/>
                <w:color w:val="000000"/>
              </w:rPr>
            </w:pPr>
            <w:r w:rsidRPr="00037AD4">
              <w:rPr>
                <w:rFonts w:asciiTheme="minorHAnsi" w:hAnsiTheme="minorHAnsi" w:cstheme="minorHAnsi"/>
                <w:b/>
                <w:bCs/>
                <w:i/>
                <w:iCs/>
                <w:color w:val="000000"/>
              </w:rPr>
              <w:t>Analysis</w:t>
            </w:r>
          </w:p>
        </w:tc>
        <w:tc>
          <w:tcPr>
            <w:tcW w:w="1560" w:type="dxa"/>
            <w:gridSpan w:val="2"/>
            <w:shd w:val="clear" w:color="auto" w:fill="auto"/>
            <w:vAlign w:val="bottom"/>
            <w:hideMark/>
          </w:tcPr>
          <w:p w14:paraId="2C8D95CE" w14:textId="77777777" w:rsidR="00B54D51" w:rsidRPr="00037AD4" w:rsidRDefault="00B54D51" w:rsidP="00401C67">
            <w:pPr>
              <w:jc w:val="center"/>
              <w:rPr>
                <w:rFonts w:asciiTheme="minorHAnsi" w:hAnsiTheme="minorHAnsi" w:cstheme="minorHAnsi"/>
                <w:b/>
                <w:bCs/>
                <w:i/>
                <w:iCs/>
                <w:color w:val="000000"/>
              </w:rPr>
            </w:pPr>
            <w:r w:rsidRPr="00037AD4">
              <w:rPr>
                <w:rFonts w:asciiTheme="minorHAnsi" w:hAnsiTheme="minorHAnsi" w:cstheme="minorHAnsi"/>
                <w:b/>
                <w:bCs/>
                <w:i/>
                <w:iCs/>
                <w:color w:val="000000"/>
              </w:rPr>
              <w:t>Data</w:t>
            </w:r>
          </w:p>
        </w:tc>
        <w:tc>
          <w:tcPr>
            <w:tcW w:w="1560" w:type="dxa"/>
            <w:shd w:val="clear" w:color="auto" w:fill="auto"/>
            <w:vAlign w:val="bottom"/>
            <w:hideMark/>
          </w:tcPr>
          <w:p w14:paraId="4EB8D601" w14:textId="77777777" w:rsidR="00B54D51" w:rsidRPr="00037AD4" w:rsidRDefault="00B54D51" w:rsidP="00401C67">
            <w:pPr>
              <w:jc w:val="center"/>
              <w:rPr>
                <w:rFonts w:asciiTheme="minorHAnsi" w:hAnsiTheme="minorHAnsi" w:cstheme="minorHAnsi"/>
                <w:b/>
                <w:bCs/>
                <w:i/>
                <w:iCs/>
                <w:color w:val="000000"/>
              </w:rPr>
            </w:pPr>
            <w:r w:rsidRPr="00037AD4">
              <w:rPr>
                <w:rFonts w:asciiTheme="minorHAnsi" w:hAnsiTheme="minorHAnsi" w:cstheme="minorHAnsi"/>
                <w:b/>
                <w:bCs/>
                <w:i/>
                <w:iCs/>
                <w:color w:val="000000"/>
              </w:rPr>
              <w:t>Limitations</w:t>
            </w:r>
          </w:p>
        </w:tc>
        <w:tc>
          <w:tcPr>
            <w:tcW w:w="1843" w:type="dxa"/>
            <w:shd w:val="clear" w:color="auto" w:fill="auto"/>
            <w:vAlign w:val="bottom"/>
            <w:hideMark/>
          </w:tcPr>
          <w:p w14:paraId="23F6B9DC"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b/>
                <w:bCs/>
                <w:color w:val="000000"/>
              </w:rPr>
              <w:t>Quality score</w:t>
            </w:r>
          </w:p>
        </w:tc>
      </w:tr>
      <w:tr w:rsidR="00B54D51" w:rsidRPr="00037AD4" w14:paraId="392A19C8" w14:textId="77777777" w:rsidTr="00401C67">
        <w:trPr>
          <w:trHeight w:val="364"/>
        </w:trPr>
        <w:tc>
          <w:tcPr>
            <w:tcW w:w="1970" w:type="dxa"/>
            <w:vMerge/>
            <w:shd w:val="clear" w:color="auto" w:fill="auto"/>
            <w:vAlign w:val="bottom"/>
            <w:hideMark/>
          </w:tcPr>
          <w:p w14:paraId="2DD44A0C" w14:textId="77777777" w:rsidR="00B54D51" w:rsidRPr="00037AD4" w:rsidRDefault="00B54D51" w:rsidP="00401C67">
            <w:pPr>
              <w:rPr>
                <w:rFonts w:asciiTheme="minorHAnsi" w:hAnsiTheme="minorHAnsi" w:cstheme="minorHAnsi"/>
                <w:b/>
                <w:bCs/>
                <w:sz w:val="20"/>
                <w:szCs w:val="20"/>
              </w:rPr>
            </w:pPr>
          </w:p>
        </w:tc>
        <w:tc>
          <w:tcPr>
            <w:tcW w:w="860" w:type="dxa"/>
            <w:shd w:val="clear" w:color="auto" w:fill="auto"/>
            <w:vAlign w:val="bottom"/>
            <w:hideMark/>
          </w:tcPr>
          <w:p w14:paraId="442966DB" w14:textId="77777777" w:rsidR="00B54D51" w:rsidRPr="00037AD4" w:rsidRDefault="00B54D51" w:rsidP="00401C67">
            <w:pPr>
              <w:rPr>
                <w:rFonts w:asciiTheme="minorHAnsi" w:hAnsiTheme="minorHAnsi" w:cstheme="minorHAnsi"/>
                <w:b/>
                <w:bCs/>
                <w:color w:val="000000"/>
              </w:rPr>
            </w:pPr>
            <w:r w:rsidRPr="00037AD4">
              <w:rPr>
                <w:rFonts w:asciiTheme="minorHAnsi" w:hAnsiTheme="minorHAnsi" w:cstheme="minorHAnsi"/>
                <w:b/>
                <w:bCs/>
                <w:color w:val="000000"/>
              </w:rPr>
              <w:t xml:space="preserve">1. </w:t>
            </w:r>
          </w:p>
        </w:tc>
        <w:tc>
          <w:tcPr>
            <w:tcW w:w="1276" w:type="dxa"/>
            <w:shd w:val="clear" w:color="auto" w:fill="auto"/>
            <w:vAlign w:val="bottom"/>
            <w:hideMark/>
          </w:tcPr>
          <w:p w14:paraId="035BB7C1" w14:textId="77777777" w:rsidR="00B54D51" w:rsidRPr="00037AD4" w:rsidRDefault="00B54D51" w:rsidP="00401C67">
            <w:pPr>
              <w:rPr>
                <w:rFonts w:asciiTheme="minorHAnsi" w:hAnsiTheme="minorHAnsi" w:cstheme="minorHAnsi"/>
                <w:b/>
                <w:bCs/>
                <w:color w:val="000000"/>
              </w:rPr>
            </w:pPr>
            <w:r w:rsidRPr="00037AD4">
              <w:rPr>
                <w:rFonts w:asciiTheme="minorHAnsi" w:hAnsiTheme="minorHAnsi" w:cstheme="minorHAnsi"/>
                <w:b/>
                <w:bCs/>
                <w:color w:val="000000"/>
              </w:rPr>
              <w:t>2.</w:t>
            </w:r>
          </w:p>
        </w:tc>
        <w:tc>
          <w:tcPr>
            <w:tcW w:w="709" w:type="dxa"/>
            <w:shd w:val="clear" w:color="auto" w:fill="auto"/>
            <w:vAlign w:val="bottom"/>
            <w:hideMark/>
          </w:tcPr>
          <w:p w14:paraId="70A51292" w14:textId="77777777" w:rsidR="00B54D51" w:rsidRPr="00037AD4" w:rsidRDefault="00B54D51" w:rsidP="00401C67">
            <w:pPr>
              <w:rPr>
                <w:rFonts w:asciiTheme="minorHAnsi" w:hAnsiTheme="minorHAnsi" w:cstheme="minorHAnsi"/>
                <w:b/>
                <w:bCs/>
                <w:color w:val="000000"/>
              </w:rPr>
            </w:pPr>
            <w:r w:rsidRPr="00037AD4">
              <w:rPr>
                <w:rFonts w:asciiTheme="minorHAnsi" w:hAnsiTheme="minorHAnsi" w:cstheme="minorHAnsi"/>
                <w:b/>
                <w:bCs/>
                <w:color w:val="000000"/>
              </w:rPr>
              <w:t xml:space="preserve">3. </w:t>
            </w:r>
          </w:p>
        </w:tc>
        <w:tc>
          <w:tcPr>
            <w:tcW w:w="708" w:type="dxa"/>
            <w:shd w:val="clear" w:color="auto" w:fill="auto"/>
            <w:vAlign w:val="bottom"/>
            <w:hideMark/>
          </w:tcPr>
          <w:p w14:paraId="07C6525E" w14:textId="77777777" w:rsidR="00B54D51" w:rsidRPr="00037AD4" w:rsidRDefault="00B54D51" w:rsidP="00401C67">
            <w:pPr>
              <w:rPr>
                <w:rFonts w:asciiTheme="minorHAnsi" w:hAnsiTheme="minorHAnsi" w:cstheme="minorHAnsi"/>
                <w:b/>
                <w:bCs/>
                <w:color w:val="000000"/>
              </w:rPr>
            </w:pPr>
            <w:r w:rsidRPr="00037AD4">
              <w:rPr>
                <w:rFonts w:asciiTheme="minorHAnsi" w:hAnsiTheme="minorHAnsi" w:cstheme="minorHAnsi"/>
                <w:b/>
                <w:bCs/>
                <w:color w:val="000000"/>
              </w:rPr>
              <w:t xml:space="preserve">4. </w:t>
            </w:r>
          </w:p>
        </w:tc>
        <w:tc>
          <w:tcPr>
            <w:tcW w:w="709" w:type="dxa"/>
            <w:shd w:val="clear" w:color="auto" w:fill="auto"/>
            <w:vAlign w:val="bottom"/>
            <w:hideMark/>
          </w:tcPr>
          <w:p w14:paraId="5E52A634" w14:textId="77777777" w:rsidR="00B54D51" w:rsidRPr="00037AD4" w:rsidRDefault="00B54D51" w:rsidP="00401C67">
            <w:pPr>
              <w:rPr>
                <w:rFonts w:asciiTheme="minorHAnsi" w:hAnsiTheme="minorHAnsi" w:cstheme="minorHAnsi"/>
                <w:b/>
                <w:bCs/>
                <w:color w:val="000000"/>
              </w:rPr>
            </w:pPr>
            <w:r w:rsidRPr="00037AD4">
              <w:rPr>
                <w:rFonts w:asciiTheme="minorHAnsi" w:hAnsiTheme="minorHAnsi" w:cstheme="minorHAnsi"/>
                <w:b/>
                <w:bCs/>
                <w:color w:val="000000"/>
              </w:rPr>
              <w:t xml:space="preserve">5. </w:t>
            </w:r>
          </w:p>
        </w:tc>
        <w:tc>
          <w:tcPr>
            <w:tcW w:w="993" w:type="dxa"/>
            <w:shd w:val="clear" w:color="auto" w:fill="auto"/>
            <w:vAlign w:val="bottom"/>
            <w:hideMark/>
          </w:tcPr>
          <w:p w14:paraId="23BF12BA" w14:textId="77777777" w:rsidR="00B54D51" w:rsidRPr="00037AD4" w:rsidRDefault="00B54D51" w:rsidP="00401C67">
            <w:pPr>
              <w:rPr>
                <w:rFonts w:asciiTheme="minorHAnsi" w:hAnsiTheme="minorHAnsi" w:cstheme="minorHAnsi"/>
                <w:b/>
                <w:bCs/>
                <w:color w:val="000000"/>
              </w:rPr>
            </w:pPr>
            <w:r w:rsidRPr="00037AD4">
              <w:rPr>
                <w:rFonts w:asciiTheme="minorHAnsi" w:hAnsiTheme="minorHAnsi" w:cstheme="minorHAnsi"/>
                <w:b/>
                <w:bCs/>
                <w:color w:val="000000"/>
              </w:rPr>
              <w:t xml:space="preserve">6. </w:t>
            </w:r>
          </w:p>
        </w:tc>
        <w:tc>
          <w:tcPr>
            <w:tcW w:w="567" w:type="dxa"/>
            <w:shd w:val="clear" w:color="auto" w:fill="auto"/>
            <w:vAlign w:val="bottom"/>
            <w:hideMark/>
          </w:tcPr>
          <w:p w14:paraId="743E2A61" w14:textId="77777777" w:rsidR="00B54D51" w:rsidRPr="00037AD4" w:rsidRDefault="00B54D51" w:rsidP="00401C67">
            <w:pPr>
              <w:rPr>
                <w:rFonts w:asciiTheme="minorHAnsi" w:hAnsiTheme="minorHAnsi" w:cstheme="minorHAnsi"/>
                <w:b/>
                <w:bCs/>
                <w:color w:val="000000"/>
              </w:rPr>
            </w:pPr>
            <w:r w:rsidRPr="00037AD4">
              <w:rPr>
                <w:rFonts w:asciiTheme="minorHAnsi" w:hAnsiTheme="minorHAnsi" w:cstheme="minorHAnsi"/>
                <w:b/>
                <w:bCs/>
                <w:color w:val="000000"/>
              </w:rPr>
              <w:t xml:space="preserve">7. </w:t>
            </w:r>
          </w:p>
        </w:tc>
        <w:tc>
          <w:tcPr>
            <w:tcW w:w="708" w:type="dxa"/>
            <w:shd w:val="clear" w:color="auto" w:fill="auto"/>
            <w:vAlign w:val="bottom"/>
            <w:hideMark/>
          </w:tcPr>
          <w:p w14:paraId="0FECD004" w14:textId="77777777" w:rsidR="00B54D51" w:rsidRPr="00037AD4" w:rsidRDefault="00B54D51" w:rsidP="00401C67">
            <w:pPr>
              <w:rPr>
                <w:rFonts w:asciiTheme="minorHAnsi" w:hAnsiTheme="minorHAnsi" w:cstheme="minorHAnsi"/>
                <w:b/>
                <w:bCs/>
                <w:color w:val="000000"/>
              </w:rPr>
            </w:pPr>
            <w:r w:rsidRPr="00037AD4">
              <w:rPr>
                <w:rFonts w:asciiTheme="minorHAnsi" w:hAnsiTheme="minorHAnsi" w:cstheme="minorHAnsi"/>
                <w:b/>
                <w:bCs/>
                <w:color w:val="000000"/>
              </w:rPr>
              <w:t xml:space="preserve">8. </w:t>
            </w:r>
          </w:p>
        </w:tc>
        <w:tc>
          <w:tcPr>
            <w:tcW w:w="709" w:type="dxa"/>
            <w:shd w:val="clear" w:color="auto" w:fill="auto"/>
            <w:vAlign w:val="bottom"/>
            <w:hideMark/>
          </w:tcPr>
          <w:p w14:paraId="0AF4D7D6" w14:textId="77777777" w:rsidR="00B54D51" w:rsidRPr="00037AD4" w:rsidRDefault="00B54D51" w:rsidP="00401C67">
            <w:pPr>
              <w:rPr>
                <w:rFonts w:asciiTheme="minorHAnsi" w:hAnsiTheme="minorHAnsi" w:cstheme="minorHAnsi"/>
                <w:b/>
                <w:bCs/>
                <w:color w:val="000000"/>
              </w:rPr>
            </w:pPr>
            <w:r w:rsidRPr="00037AD4">
              <w:rPr>
                <w:rFonts w:asciiTheme="minorHAnsi" w:hAnsiTheme="minorHAnsi" w:cstheme="minorHAnsi"/>
                <w:b/>
                <w:bCs/>
                <w:color w:val="000000"/>
              </w:rPr>
              <w:t xml:space="preserve">9. </w:t>
            </w:r>
          </w:p>
        </w:tc>
        <w:tc>
          <w:tcPr>
            <w:tcW w:w="851" w:type="dxa"/>
            <w:shd w:val="clear" w:color="auto" w:fill="auto"/>
            <w:vAlign w:val="bottom"/>
            <w:hideMark/>
          </w:tcPr>
          <w:p w14:paraId="6E08F0ED" w14:textId="77777777" w:rsidR="00B54D51" w:rsidRPr="00037AD4" w:rsidRDefault="00B54D51" w:rsidP="00401C67">
            <w:pPr>
              <w:rPr>
                <w:rFonts w:asciiTheme="minorHAnsi" w:hAnsiTheme="minorHAnsi" w:cstheme="minorHAnsi"/>
                <w:b/>
                <w:bCs/>
                <w:color w:val="000000"/>
              </w:rPr>
            </w:pPr>
            <w:r w:rsidRPr="00037AD4">
              <w:rPr>
                <w:rFonts w:asciiTheme="minorHAnsi" w:hAnsiTheme="minorHAnsi" w:cstheme="minorHAnsi"/>
                <w:b/>
                <w:bCs/>
                <w:color w:val="000000"/>
              </w:rPr>
              <w:t xml:space="preserve">10. </w:t>
            </w:r>
          </w:p>
        </w:tc>
        <w:tc>
          <w:tcPr>
            <w:tcW w:w="1560" w:type="dxa"/>
            <w:shd w:val="clear" w:color="auto" w:fill="auto"/>
            <w:vAlign w:val="bottom"/>
            <w:hideMark/>
          </w:tcPr>
          <w:p w14:paraId="680F992C" w14:textId="77777777" w:rsidR="00B54D51" w:rsidRPr="00037AD4" w:rsidRDefault="00B54D51" w:rsidP="00401C67">
            <w:pPr>
              <w:rPr>
                <w:rFonts w:asciiTheme="minorHAnsi" w:hAnsiTheme="minorHAnsi" w:cstheme="minorHAnsi"/>
                <w:b/>
                <w:bCs/>
                <w:color w:val="000000"/>
              </w:rPr>
            </w:pPr>
            <w:r w:rsidRPr="00037AD4">
              <w:rPr>
                <w:rFonts w:asciiTheme="minorHAnsi" w:hAnsiTheme="minorHAnsi" w:cstheme="minorHAnsi"/>
                <w:b/>
                <w:bCs/>
                <w:color w:val="000000"/>
              </w:rPr>
              <w:t xml:space="preserve">11. </w:t>
            </w:r>
          </w:p>
        </w:tc>
        <w:tc>
          <w:tcPr>
            <w:tcW w:w="1843" w:type="dxa"/>
            <w:shd w:val="clear" w:color="auto" w:fill="auto"/>
            <w:vAlign w:val="bottom"/>
            <w:hideMark/>
          </w:tcPr>
          <w:p w14:paraId="39742E89" w14:textId="77777777" w:rsidR="00B54D51" w:rsidRPr="00037AD4" w:rsidRDefault="00B54D51" w:rsidP="00401C67">
            <w:pPr>
              <w:rPr>
                <w:rFonts w:asciiTheme="minorHAnsi" w:hAnsiTheme="minorHAnsi" w:cstheme="minorHAnsi"/>
                <w:b/>
                <w:bCs/>
                <w:color w:val="000000"/>
              </w:rPr>
            </w:pPr>
          </w:p>
        </w:tc>
      </w:tr>
      <w:tr w:rsidR="00B54D51" w:rsidRPr="00037AD4" w14:paraId="570B5A17" w14:textId="77777777" w:rsidTr="00401C67">
        <w:trPr>
          <w:trHeight w:val="315"/>
        </w:trPr>
        <w:tc>
          <w:tcPr>
            <w:tcW w:w="1970" w:type="dxa"/>
            <w:shd w:val="clear" w:color="auto" w:fill="auto"/>
            <w:vAlign w:val="bottom"/>
            <w:hideMark/>
          </w:tcPr>
          <w:p w14:paraId="1F2BE998" w14:textId="77777777" w:rsidR="00B54D51" w:rsidRPr="00037AD4" w:rsidRDefault="00B54D51" w:rsidP="00401C67">
            <w:pPr>
              <w:rPr>
                <w:rFonts w:asciiTheme="minorHAnsi" w:hAnsiTheme="minorHAnsi" w:cstheme="minorHAnsi"/>
                <w:b/>
                <w:bCs/>
                <w:color w:val="000000"/>
              </w:rPr>
            </w:pPr>
            <w:r w:rsidRPr="00037AD4">
              <w:rPr>
                <w:rFonts w:asciiTheme="minorHAnsi" w:hAnsiTheme="minorHAnsi" w:cstheme="minorHAnsi"/>
                <w:b/>
                <w:bCs/>
                <w:color w:val="000000"/>
              </w:rPr>
              <w:t>Easton 2018</w:t>
            </w:r>
          </w:p>
        </w:tc>
        <w:tc>
          <w:tcPr>
            <w:tcW w:w="860" w:type="dxa"/>
            <w:shd w:val="clear" w:color="auto" w:fill="auto"/>
            <w:vAlign w:val="bottom"/>
            <w:hideMark/>
          </w:tcPr>
          <w:p w14:paraId="72AD412F"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1276" w:type="dxa"/>
            <w:shd w:val="clear" w:color="auto" w:fill="auto"/>
            <w:vAlign w:val="bottom"/>
            <w:hideMark/>
          </w:tcPr>
          <w:p w14:paraId="7BAAA786"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 xml:space="preserve">High </w:t>
            </w:r>
          </w:p>
        </w:tc>
        <w:tc>
          <w:tcPr>
            <w:tcW w:w="709" w:type="dxa"/>
            <w:shd w:val="clear" w:color="auto" w:fill="auto"/>
            <w:vAlign w:val="bottom"/>
            <w:hideMark/>
          </w:tcPr>
          <w:p w14:paraId="5CE9BED5"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708" w:type="dxa"/>
            <w:shd w:val="clear" w:color="auto" w:fill="auto"/>
            <w:vAlign w:val="bottom"/>
            <w:hideMark/>
          </w:tcPr>
          <w:p w14:paraId="0E4AD4AA"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709" w:type="dxa"/>
            <w:shd w:val="clear" w:color="auto" w:fill="auto"/>
            <w:vAlign w:val="bottom"/>
            <w:hideMark/>
          </w:tcPr>
          <w:p w14:paraId="67CD24B8"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U</w:t>
            </w:r>
          </w:p>
        </w:tc>
        <w:tc>
          <w:tcPr>
            <w:tcW w:w="993" w:type="dxa"/>
            <w:shd w:val="clear" w:color="auto" w:fill="auto"/>
            <w:vAlign w:val="bottom"/>
            <w:hideMark/>
          </w:tcPr>
          <w:p w14:paraId="44069211"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567" w:type="dxa"/>
            <w:shd w:val="clear" w:color="auto" w:fill="auto"/>
            <w:vAlign w:val="bottom"/>
            <w:hideMark/>
          </w:tcPr>
          <w:p w14:paraId="4B1E6D3E"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708" w:type="dxa"/>
            <w:shd w:val="clear" w:color="auto" w:fill="auto"/>
            <w:vAlign w:val="bottom"/>
            <w:hideMark/>
          </w:tcPr>
          <w:p w14:paraId="6951BFE8"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709" w:type="dxa"/>
            <w:shd w:val="clear" w:color="auto" w:fill="auto"/>
            <w:vAlign w:val="bottom"/>
            <w:hideMark/>
          </w:tcPr>
          <w:p w14:paraId="003C2610"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N</w:t>
            </w:r>
          </w:p>
        </w:tc>
        <w:tc>
          <w:tcPr>
            <w:tcW w:w="851" w:type="dxa"/>
            <w:shd w:val="clear" w:color="auto" w:fill="auto"/>
            <w:vAlign w:val="bottom"/>
            <w:hideMark/>
          </w:tcPr>
          <w:p w14:paraId="1E8CF42E"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U</w:t>
            </w:r>
          </w:p>
        </w:tc>
        <w:tc>
          <w:tcPr>
            <w:tcW w:w="1560" w:type="dxa"/>
            <w:shd w:val="clear" w:color="auto" w:fill="auto"/>
            <w:vAlign w:val="bottom"/>
            <w:hideMark/>
          </w:tcPr>
          <w:p w14:paraId="20803D50"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N</w:t>
            </w:r>
          </w:p>
        </w:tc>
        <w:tc>
          <w:tcPr>
            <w:tcW w:w="1843" w:type="dxa"/>
            <w:shd w:val="clear" w:color="auto" w:fill="auto"/>
            <w:vAlign w:val="bottom"/>
            <w:hideMark/>
          </w:tcPr>
          <w:p w14:paraId="72BCFB8E"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Medium</w:t>
            </w:r>
          </w:p>
        </w:tc>
      </w:tr>
      <w:tr w:rsidR="00B54D51" w:rsidRPr="00037AD4" w14:paraId="1D430A2D" w14:textId="77777777" w:rsidTr="00401C67">
        <w:trPr>
          <w:trHeight w:val="315"/>
        </w:trPr>
        <w:tc>
          <w:tcPr>
            <w:tcW w:w="1970" w:type="dxa"/>
            <w:shd w:val="clear" w:color="auto" w:fill="auto"/>
            <w:vAlign w:val="bottom"/>
            <w:hideMark/>
          </w:tcPr>
          <w:p w14:paraId="698C0696" w14:textId="77777777" w:rsidR="00B54D51" w:rsidRPr="00037AD4" w:rsidRDefault="00B54D51" w:rsidP="00401C67">
            <w:pPr>
              <w:rPr>
                <w:rFonts w:asciiTheme="minorHAnsi" w:hAnsiTheme="minorHAnsi" w:cstheme="minorHAnsi"/>
                <w:b/>
                <w:bCs/>
                <w:color w:val="000000"/>
              </w:rPr>
            </w:pPr>
            <w:r w:rsidRPr="00037AD4">
              <w:rPr>
                <w:rFonts w:asciiTheme="minorHAnsi" w:hAnsiTheme="minorHAnsi" w:cstheme="minorHAnsi"/>
                <w:b/>
                <w:bCs/>
                <w:color w:val="000000"/>
              </w:rPr>
              <w:t>Engel 2020</w:t>
            </w:r>
          </w:p>
        </w:tc>
        <w:tc>
          <w:tcPr>
            <w:tcW w:w="860" w:type="dxa"/>
            <w:shd w:val="clear" w:color="auto" w:fill="auto"/>
            <w:vAlign w:val="bottom"/>
            <w:hideMark/>
          </w:tcPr>
          <w:p w14:paraId="3BE5875A"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1276" w:type="dxa"/>
            <w:shd w:val="clear" w:color="auto" w:fill="auto"/>
            <w:vAlign w:val="bottom"/>
            <w:hideMark/>
          </w:tcPr>
          <w:p w14:paraId="6F865FE2"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Low</w:t>
            </w:r>
          </w:p>
        </w:tc>
        <w:tc>
          <w:tcPr>
            <w:tcW w:w="709" w:type="dxa"/>
            <w:shd w:val="clear" w:color="auto" w:fill="auto"/>
            <w:vAlign w:val="bottom"/>
            <w:hideMark/>
          </w:tcPr>
          <w:p w14:paraId="1119594A"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708" w:type="dxa"/>
            <w:shd w:val="clear" w:color="auto" w:fill="auto"/>
            <w:vAlign w:val="bottom"/>
            <w:hideMark/>
          </w:tcPr>
          <w:p w14:paraId="14832CD9"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709" w:type="dxa"/>
            <w:shd w:val="clear" w:color="auto" w:fill="auto"/>
            <w:vAlign w:val="bottom"/>
            <w:hideMark/>
          </w:tcPr>
          <w:p w14:paraId="075C46D2"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N/A</w:t>
            </w:r>
          </w:p>
        </w:tc>
        <w:tc>
          <w:tcPr>
            <w:tcW w:w="993" w:type="dxa"/>
            <w:shd w:val="clear" w:color="auto" w:fill="auto"/>
            <w:vAlign w:val="bottom"/>
            <w:hideMark/>
          </w:tcPr>
          <w:p w14:paraId="7A158C6D"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567" w:type="dxa"/>
            <w:shd w:val="clear" w:color="auto" w:fill="auto"/>
            <w:vAlign w:val="bottom"/>
            <w:hideMark/>
          </w:tcPr>
          <w:p w14:paraId="27B91CE6"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708" w:type="dxa"/>
            <w:shd w:val="clear" w:color="auto" w:fill="auto"/>
            <w:vAlign w:val="bottom"/>
            <w:hideMark/>
          </w:tcPr>
          <w:p w14:paraId="03965B3B"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N/A</w:t>
            </w:r>
          </w:p>
        </w:tc>
        <w:tc>
          <w:tcPr>
            <w:tcW w:w="709" w:type="dxa"/>
            <w:shd w:val="clear" w:color="auto" w:fill="auto"/>
            <w:vAlign w:val="bottom"/>
            <w:hideMark/>
          </w:tcPr>
          <w:p w14:paraId="3A369856"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N/A</w:t>
            </w:r>
          </w:p>
        </w:tc>
        <w:tc>
          <w:tcPr>
            <w:tcW w:w="851" w:type="dxa"/>
            <w:shd w:val="clear" w:color="auto" w:fill="auto"/>
            <w:vAlign w:val="bottom"/>
            <w:hideMark/>
          </w:tcPr>
          <w:p w14:paraId="5B7EF408"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N/A</w:t>
            </w:r>
          </w:p>
        </w:tc>
        <w:tc>
          <w:tcPr>
            <w:tcW w:w="1560" w:type="dxa"/>
            <w:shd w:val="clear" w:color="auto" w:fill="auto"/>
            <w:vAlign w:val="bottom"/>
            <w:hideMark/>
          </w:tcPr>
          <w:p w14:paraId="3064BA1D"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N/A</w:t>
            </w:r>
          </w:p>
        </w:tc>
        <w:tc>
          <w:tcPr>
            <w:tcW w:w="1843" w:type="dxa"/>
            <w:shd w:val="clear" w:color="auto" w:fill="auto"/>
            <w:vAlign w:val="bottom"/>
            <w:hideMark/>
          </w:tcPr>
          <w:p w14:paraId="2344B0E5"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 xml:space="preserve">Undetermined </w:t>
            </w:r>
          </w:p>
        </w:tc>
      </w:tr>
      <w:tr w:rsidR="00B54D51" w:rsidRPr="00037AD4" w14:paraId="239CE842" w14:textId="77777777" w:rsidTr="00401C67">
        <w:trPr>
          <w:trHeight w:val="315"/>
        </w:trPr>
        <w:tc>
          <w:tcPr>
            <w:tcW w:w="1970" w:type="dxa"/>
            <w:shd w:val="clear" w:color="auto" w:fill="auto"/>
            <w:vAlign w:val="bottom"/>
            <w:hideMark/>
          </w:tcPr>
          <w:p w14:paraId="2FEA10AD" w14:textId="77777777" w:rsidR="00B54D51" w:rsidRPr="00037AD4" w:rsidRDefault="00B54D51" w:rsidP="00401C67">
            <w:pPr>
              <w:rPr>
                <w:rFonts w:asciiTheme="minorHAnsi" w:hAnsiTheme="minorHAnsi" w:cstheme="minorHAnsi"/>
                <w:b/>
                <w:bCs/>
                <w:color w:val="000000"/>
              </w:rPr>
            </w:pPr>
            <w:r w:rsidRPr="00037AD4">
              <w:rPr>
                <w:rFonts w:asciiTheme="minorHAnsi" w:hAnsiTheme="minorHAnsi" w:cstheme="minorHAnsi"/>
                <w:b/>
                <w:bCs/>
                <w:color w:val="000000"/>
              </w:rPr>
              <w:t>Griffiths 2020</w:t>
            </w:r>
          </w:p>
        </w:tc>
        <w:tc>
          <w:tcPr>
            <w:tcW w:w="860" w:type="dxa"/>
            <w:shd w:val="clear" w:color="auto" w:fill="auto"/>
            <w:vAlign w:val="bottom"/>
            <w:hideMark/>
          </w:tcPr>
          <w:p w14:paraId="418E9CC2"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1276" w:type="dxa"/>
            <w:shd w:val="clear" w:color="auto" w:fill="auto"/>
            <w:vAlign w:val="bottom"/>
            <w:hideMark/>
          </w:tcPr>
          <w:p w14:paraId="17208523"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High</w:t>
            </w:r>
          </w:p>
        </w:tc>
        <w:tc>
          <w:tcPr>
            <w:tcW w:w="709" w:type="dxa"/>
            <w:shd w:val="clear" w:color="auto" w:fill="auto"/>
            <w:vAlign w:val="bottom"/>
            <w:hideMark/>
          </w:tcPr>
          <w:p w14:paraId="55A04E34"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708" w:type="dxa"/>
            <w:shd w:val="clear" w:color="auto" w:fill="auto"/>
            <w:vAlign w:val="bottom"/>
            <w:hideMark/>
          </w:tcPr>
          <w:p w14:paraId="01E50D77"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709" w:type="dxa"/>
            <w:shd w:val="clear" w:color="auto" w:fill="auto"/>
            <w:vAlign w:val="bottom"/>
            <w:hideMark/>
          </w:tcPr>
          <w:p w14:paraId="4B424946"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U</w:t>
            </w:r>
          </w:p>
        </w:tc>
        <w:tc>
          <w:tcPr>
            <w:tcW w:w="993" w:type="dxa"/>
            <w:shd w:val="clear" w:color="auto" w:fill="auto"/>
            <w:vAlign w:val="bottom"/>
            <w:hideMark/>
          </w:tcPr>
          <w:p w14:paraId="4901E15E"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567" w:type="dxa"/>
            <w:shd w:val="clear" w:color="auto" w:fill="auto"/>
            <w:vAlign w:val="bottom"/>
            <w:hideMark/>
          </w:tcPr>
          <w:p w14:paraId="682FA2F2"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708" w:type="dxa"/>
            <w:shd w:val="clear" w:color="auto" w:fill="auto"/>
            <w:vAlign w:val="bottom"/>
            <w:hideMark/>
          </w:tcPr>
          <w:p w14:paraId="068B08EA"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709" w:type="dxa"/>
            <w:shd w:val="clear" w:color="auto" w:fill="auto"/>
            <w:vAlign w:val="bottom"/>
            <w:hideMark/>
          </w:tcPr>
          <w:p w14:paraId="1EE1BB2C"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N</w:t>
            </w:r>
          </w:p>
        </w:tc>
        <w:tc>
          <w:tcPr>
            <w:tcW w:w="851" w:type="dxa"/>
            <w:shd w:val="clear" w:color="auto" w:fill="auto"/>
            <w:vAlign w:val="bottom"/>
            <w:hideMark/>
          </w:tcPr>
          <w:p w14:paraId="54D6495F"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1560" w:type="dxa"/>
            <w:shd w:val="clear" w:color="auto" w:fill="auto"/>
            <w:vAlign w:val="bottom"/>
            <w:hideMark/>
          </w:tcPr>
          <w:p w14:paraId="3BC998CE"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N</w:t>
            </w:r>
          </w:p>
        </w:tc>
        <w:tc>
          <w:tcPr>
            <w:tcW w:w="1843" w:type="dxa"/>
            <w:shd w:val="clear" w:color="auto" w:fill="auto"/>
            <w:vAlign w:val="bottom"/>
            <w:hideMark/>
          </w:tcPr>
          <w:p w14:paraId="3FF7E1C4"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High</w:t>
            </w:r>
          </w:p>
        </w:tc>
      </w:tr>
      <w:tr w:rsidR="00B54D51" w:rsidRPr="00037AD4" w14:paraId="4CE5E84F" w14:textId="77777777" w:rsidTr="00401C67">
        <w:trPr>
          <w:trHeight w:val="315"/>
        </w:trPr>
        <w:tc>
          <w:tcPr>
            <w:tcW w:w="1970" w:type="dxa"/>
            <w:shd w:val="clear" w:color="auto" w:fill="auto"/>
            <w:vAlign w:val="bottom"/>
            <w:hideMark/>
          </w:tcPr>
          <w:p w14:paraId="5586ED77" w14:textId="77777777" w:rsidR="00B54D51" w:rsidRPr="00037AD4" w:rsidRDefault="00B54D51" w:rsidP="00401C67">
            <w:pPr>
              <w:rPr>
                <w:rFonts w:asciiTheme="minorHAnsi" w:hAnsiTheme="minorHAnsi" w:cstheme="minorHAnsi"/>
                <w:b/>
                <w:bCs/>
                <w:color w:val="000000"/>
              </w:rPr>
            </w:pPr>
            <w:r w:rsidRPr="00037AD4">
              <w:rPr>
                <w:rFonts w:asciiTheme="minorHAnsi" w:hAnsiTheme="minorHAnsi" w:cstheme="minorHAnsi"/>
                <w:b/>
                <w:bCs/>
                <w:color w:val="000000"/>
              </w:rPr>
              <w:t xml:space="preserve">Handels 2018 </w:t>
            </w:r>
          </w:p>
        </w:tc>
        <w:tc>
          <w:tcPr>
            <w:tcW w:w="860" w:type="dxa"/>
            <w:shd w:val="clear" w:color="auto" w:fill="auto"/>
            <w:vAlign w:val="bottom"/>
            <w:hideMark/>
          </w:tcPr>
          <w:p w14:paraId="3450BEA1"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1276" w:type="dxa"/>
            <w:shd w:val="clear" w:color="auto" w:fill="auto"/>
            <w:vAlign w:val="bottom"/>
            <w:hideMark/>
          </w:tcPr>
          <w:p w14:paraId="18ADFC82"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High</w:t>
            </w:r>
          </w:p>
        </w:tc>
        <w:tc>
          <w:tcPr>
            <w:tcW w:w="709" w:type="dxa"/>
            <w:shd w:val="clear" w:color="auto" w:fill="auto"/>
            <w:vAlign w:val="bottom"/>
            <w:hideMark/>
          </w:tcPr>
          <w:p w14:paraId="65BCCEC8"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708" w:type="dxa"/>
            <w:shd w:val="clear" w:color="auto" w:fill="auto"/>
            <w:vAlign w:val="bottom"/>
            <w:hideMark/>
          </w:tcPr>
          <w:p w14:paraId="1755BA68"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U</w:t>
            </w:r>
          </w:p>
        </w:tc>
        <w:tc>
          <w:tcPr>
            <w:tcW w:w="709" w:type="dxa"/>
            <w:shd w:val="clear" w:color="auto" w:fill="auto"/>
            <w:vAlign w:val="bottom"/>
            <w:hideMark/>
          </w:tcPr>
          <w:p w14:paraId="4EDCE2E6"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N/A</w:t>
            </w:r>
          </w:p>
        </w:tc>
        <w:tc>
          <w:tcPr>
            <w:tcW w:w="993" w:type="dxa"/>
            <w:shd w:val="clear" w:color="auto" w:fill="auto"/>
            <w:vAlign w:val="bottom"/>
            <w:hideMark/>
          </w:tcPr>
          <w:p w14:paraId="0AF97776"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567" w:type="dxa"/>
            <w:shd w:val="clear" w:color="auto" w:fill="auto"/>
            <w:vAlign w:val="bottom"/>
            <w:hideMark/>
          </w:tcPr>
          <w:p w14:paraId="1F689E8B"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708" w:type="dxa"/>
            <w:shd w:val="clear" w:color="auto" w:fill="auto"/>
            <w:vAlign w:val="bottom"/>
            <w:hideMark/>
          </w:tcPr>
          <w:p w14:paraId="0B970893"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709" w:type="dxa"/>
            <w:shd w:val="clear" w:color="auto" w:fill="auto"/>
            <w:vAlign w:val="bottom"/>
            <w:hideMark/>
          </w:tcPr>
          <w:p w14:paraId="3C30AD38"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N</w:t>
            </w:r>
          </w:p>
        </w:tc>
        <w:tc>
          <w:tcPr>
            <w:tcW w:w="851" w:type="dxa"/>
            <w:shd w:val="clear" w:color="auto" w:fill="auto"/>
            <w:vAlign w:val="bottom"/>
            <w:hideMark/>
          </w:tcPr>
          <w:p w14:paraId="32721190"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1560" w:type="dxa"/>
            <w:shd w:val="clear" w:color="auto" w:fill="auto"/>
            <w:vAlign w:val="bottom"/>
            <w:hideMark/>
          </w:tcPr>
          <w:p w14:paraId="5D18A172"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1843" w:type="dxa"/>
            <w:shd w:val="clear" w:color="auto" w:fill="auto"/>
            <w:vAlign w:val="bottom"/>
            <w:hideMark/>
          </w:tcPr>
          <w:p w14:paraId="14F66DFB"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High</w:t>
            </w:r>
          </w:p>
        </w:tc>
      </w:tr>
      <w:tr w:rsidR="00B54D51" w:rsidRPr="00037AD4" w14:paraId="127908F4" w14:textId="77777777" w:rsidTr="00401C67">
        <w:trPr>
          <w:trHeight w:val="315"/>
        </w:trPr>
        <w:tc>
          <w:tcPr>
            <w:tcW w:w="1970" w:type="dxa"/>
            <w:shd w:val="clear" w:color="auto" w:fill="auto"/>
            <w:vAlign w:val="bottom"/>
            <w:hideMark/>
          </w:tcPr>
          <w:p w14:paraId="2B0E0C65" w14:textId="77777777" w:rsidR="00B54D51" w:rsidRPr="00037AD4" w:rsidRDefault="00B54D51" w:rsidP="00401C67">
            <w:pPr>
              <w:rPr>
                <w:rFonts w:asciiTheme="minorHAnsi" w:hAnsiTheme="minorHAnsi" w:cstheme="minorHAnsi"/>
                <w:b/>
                <w:bCs/>
                <w:color w:val="000000"/>
              </w:rPr>
            </w:pPr>
            <w:r w:rsidRPr="00037AD4">
              <w:rPr>
                <w:rFonts w:asciiTheme="minorHAnsi" w:hAnsiTheme="minorHAnsi" w:cstheme="minorHAnsi"/>
                <w:b/>
                <w:bCs/>
                <w:color w:val="000000"/>
              </w:rPr>
              <w:t>Harrison 2018</w:t>
            </w:r>
          </w:p>
        </w:tc>
        <w:tc>
          <w:tcPr>
            <w:tcW w:w="860" w:type="dxa"/>
            <w:shd w:val="clear" w:color="auto" w:fill="auto"/>
            <w:vAlign w:val="bottom"/>
            <w:hideMark/>
          </w:tcPr>
          <w:p w14:paraId="54FE5588"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1276" w:type="dxa"/>
            <w:shd w:val="clear" w:color="auto" w:fill="auto"/>
            <w:vAlign w:val="bottom"/>
            <w:hideMark/>
          </w:tcPr>
          <w:p w14:paraId="3C243040"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High</w:t>
            </w:r>
          </w:p>
        </w:tc>
        <w:tc>
          <w:tcPr>
            <w:tcW w:w="709" w:type="dxa"/>
            <w:shd w:val="clear" w:color="auto" w:fill="auto"/>
            <w:vAlign w:val="bottom"/>
            <w:hideMark/>
          </w:tcPr>
          <w:p w14:paraId="535BEC07"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708" w:type="dxa"/>
            <w:shd w:val="clear" w:color="auto" w:fill="auto"/>
            <w:vAlign w:val="bottom"/>
            <w:hideMark/>
          </w:tcPr>
          <w:p w14:paraId="087AAE26"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N</w:t>
            </w:r>
          </w:p>
        </w:tc>
        <w:tc>
          <w:tcPr>
            <w:tcW w:w="709" w:type="dxa"/>
            <w:shd w:val="clear" w:color="auto" w:fill="auto"/>
            <w:vAlign w:val="bottom"/>
            <w:hideMark/>
          </w:tcPr>
          <w:p w14:paraId="6577A6F8"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U</w:t>
            </w:r>
          </w:p>
        </w:tc>
        <w:tc>
          <w:tcPr>
            <w:tcW w:w="993" w:type="dxa"/>
            <w:shd w:val="clear" w:color="auto" w:fill="auto"/>
            <w:vAlign w:val="bottom"/>
            <w:hideMark/>
          </w:tcPr>
          <w:p w14:paraId="3A4D56A7"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N</w:t>
            </w:r>
          </w:p>
        </w:tc>
        <w:tc>
          <w:tcPr>
            <w:tcW w:w="567" w:type="dxa"/>
            <w:shd w:val="clear" w:color="auto" w:fill="auto"/>
            <w:vAlign w:val="bottom"/>
            <w:hideMark/>
          </w:tcPr>
          <w:p w14:paraId="44022759"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708" w:type="dxa"/>
            <w:shd w:val="clear" w:color="auto" w:fill="auto"/>
            <w:vAlign w:val="bottom"/>
            <w:hideMark/>
          </w:tcPr>
          <w:p w14:paraId="21AC63A4"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709" w:type="dxa"/>
            <w:shd w:val="clear" w:color="auto" w:fill="auto"/>
            <w:vAlign w:val="bottom"/>
            <w:hideMark/>
          </w:tcPr>
          <w:p w14:paraId="6D774A0A"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N</w:t>
            </w:r>
          </w:p>
        </w:tc>
        <w:tc>
          <w:tcPr>
            <w:tcW w:w="851" w:type="dxa"/>
            <w:shd w:val="clear" w:color="auto" w:fill="auto"/>
            <w:vAlign w:val="bottom"/>
            <w:hideMark/>
          </w:tcPr>
          <w:p w14:paraId="14605C12"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N</w:t>
            </w:r>
          </w:p>
        </w:tc>
        <w:tc>
          <w:tcPr>
            <w:tcW w:w="1560" w:type="dxa"/>
            <w:shd w:val="clear" w:color="auto" w:fill="auto"/>
            <w:vAlign w:val="bottom"/>
            <w:hideMark/>
          </w:tcPr>
          <w:p w14:paraId="4FB8CA85"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N</w:t>
            </w:r>
          </w:p>
        </w:tc>
        <w:tc>
          <w:tcPr>
            <w:tcW w:w="1843" w:type="dxa"/>
            <w:shd w:val="clear" w:color="auto" w:fill="auto"/>
            <w:vAlign w:val="bottom"/>
            <w:hideMark/>
          </w:tcPr>
          <w:p w14:paraId="7F3E420E"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Medium</w:t>
            </w:r>
          </w:p>
        </w:tc>
      </w:tr>
      <w:tr w:rsidR="00B54D51" w:rsidRPr="00037AD4" w14:paraId="67191D43" w14:textId="77777777" w:rsidTr="00401C67">
        <w:trPr>
          <w:trHeight w:val="315"/>
        </w:trPr>
        <w:tc>
          <w:tcPr>
            <w:tcW w:w="1970" w:type="dxa"/>
            <w:shd w:val="clear" w:color="auto" w:fill="auto"/>
            <w:vAlign w:val="bottom"/>
            <w:hideMark/>
          </w:tcPr>
          <w:p w14:paraId="4859217A" w14:textId="77777777" w:rsidR="00B54D51" w:rsidRPr="00037AD4" w:rsidRDefault="00B54D51" w:rsidP="00401C67">
            <w:pPr>
              <w:rPr>
                <w:rFonts w:asciiTheme="minorHAnsi" w:hAnsiTheme="minorHAnsi" w:cstheme="minorHAnsi"/>
                <w:b/>
                <w:bCs/>
                <w:color w:val="000000"/>
              </w:rPr>
            </w:pPr>
            <w:r w:rsidRPr="00037AD4">
              <w:rPr>
                <w:rFonts w:asciiTheme="minorHAnsi" w:hAnsiTheme="minorHAnsi" w:cstheme="minorHAnsi"/>
                <w:b/>
                <w:bCs/>
                <w:color w:val="000000"/>
              </w:rPr>
              <w:t>Hurley 2020</w:t>
            </w:r>
          </w:p>
        </w:tc>
        <w:tc>
          <w:tcPr>
            <w:tcW w:w="860" w:type="dxa"/>
            <w:shd w:val="clear" w:color="auto" w:fill="auto"/>
            <w:vAlign w:val="bottom"/>
            <w:hideMark/>
          </w:tcPr>
          <w:p w14:paraId="1E661EF0"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1276" w:type="dxa"/>
            <w:shd w:val="clear" w:color="auto" w:fill="auto"/>
            <w:vAlign w:val="bottom"/>
            <w:hideMark/>
          </w:tcPr>
          <w:p w14:paraId="4EBD99F4"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Low</w:t>
            </w:r>
          </w:p>
        </w:tc>
        <w:tc>
          <w:tcPr>
            <w:tcW w:w="709" w:type="dxa"/>
            <w:shd w:val="clear" w:color="auto" w:fill="auto"/>
            <w:vAlign w:val="bottom"/>
            <w:hideMark/>
          </w:tcPr>
          <w:p w14:paraId="5AC80B64"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N</w:t>
            </w:r>
          </w:p>
        </w:tc>
        <w:tc>
          <w:tcPr>
            <w:tcW w:w="708" w:type="dxa"/>
            <w:shd w:val="clear" w:color="auto" w:fill="auto"/>
            <w:vAlign w:val="bottom"/>
            <w:hideMark/>
          </w:tcPr>
          <w:p w14:paraId="4769EECB"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U</w:t>
            </w:r>
          </w:p>
        </w:tc>
        <w:tc>
          <w:tcPr>
            <w:tcW w:w="709" w:type="dxa"/>
            <w:shd w:val="clear" w:color="auto" w:fill="auto"/>
            <w:vAlign w:val="bottom"/>
            <w:hideMark/>
          </w:tcPr>
          <w:p w14:paraId="45FAB810"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N/A</w:t>
            </w:r>
          </w:p>
        </w:tc>
        <w:tc>
          <w:tcPr>
            <w:tcW w:w="993" w:type="dxa"/>
            <w:shd w:val="clear" w:color="auto" w:fill="auto"/>
            <w:vAlign w:val="bottom"/>
            <w:hideMark/>
          </w:tcPr>
          <w:p w14:paraId="3E74213E"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567" w:type="dxa"/>
            <w:shd w:val="clear" w:color="auto" w:fill="auto"/>
            <w:vAlign w:val="bottom"/>
            <w:hideMark/>
          </w:tcPr>
          <w:p w14:paraId="082C22CA"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708" w:type="dxa"/>
            <w:shd w:val="clear" w:color="auto" w:fill="auto"/>
            <w:vAlign w:val="bottom"/>
            <w:hideMark/>
          </w:tcPr>
          <w:p w14:paraId="203F5C01"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709" w:type="dxa"/>
            <w:shd w:val="clear" w:color="auto" w:fill="auto"/>
            <w:vAlign w:val="bottom"/>
            <w:hideMark/>
          </w:tcPr>
          <w:p w14:paraId="39B943D1"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U</w:t>
            </w:r>
          </w:p>
        </w:tc>
        <w:tc>
          <w:tcPr>
            <w:tcW w:w="851" w:type="dxa"/>
            <w:shd w:val="clear" w:color="auto" w:fill="auto"/>
            <w:vAlign w:val="bottom"/>
            <w:hideMark/>
          </w:tcPr>
          <w:p w14:paraId="136B7E46"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N/A</w:t>
            </w:r>
          </w:p>
        </w:tc>
        <w:tc>
          <w:tcPr>
            <w:tcW w:w="1560" w:type="dxa"/>
            <w:shd w:val="clear" w:color="auto" w:fill="auto"/>
            <w:vAlign w:val="bottom"/>
            <w:hideMark/>
          </w:tcPr>
          <w:p w14:paraId="1DD7F2A3"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N</w:t>
            </w:r>
          </w:p>
        </w:tc>
        <w:tc>
          <w:tcPr>
            <w:tcW w:w="1843" w:type="dxa"/>
            <w:shd w:val="clear" w:color="auto" w:fill="auto"/>
            <w:vAlign w:val="bottom"/>
            <w:hideMark/>
          </w:tcPr>
          <w:p w14:paraId="00841B54"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Low</w:t>
            </w:r>
          </w:p>
        </w:tc>
      </w:tr>
      <w:tr w:rsidR="00B54D51" w:rsidRPr="00037AD4" w14:paraId="534FD2D1" w14:textId="77777777" w:rsidTr="00401C67">
        <w:trPr>
          <w:trHeight w:val="315"/>
        </w:trPr>
        <w:tc>
          <w:tcPr>
            <w:tcW w:w="1970" w:type="dxa"/>
            <w:shd w:val="clear" w:color="auto" w:fill="auto"/>
            <w:vAlign w:val="bottom"/>
            <w:hideMark/>
          </w:tcPr>
          <w:p w14:paraId="49847293" w14:textId="77777777" w:rsidR="00B54D51" w:rsidRPr="00037AD4" w:rsidRDefault="00B54D51" w:rsidP="00401C67">
            <w:pPr>
              <w:rPr>
                <w:rFonts w:asciiTheme="minorHAnsi" w:hAnsiTheme="minorHAnsi" w:cstheme="minorHAnsi"/>
                <w:b/>
                <w:bCs/>
                <w:color w:val="000000"/>
              </w:rPr>
            </w:pPr>
            <w:r w:rsidRPr="00037AD4">
              <w:rPr>
                <w:rFonts w:asciiTheme="minorHAnsi" w:hAnsiTheme="minorHAnsi" w:cstheme="minorHAnsi"/>
                <w:b/>
                <w:bCs/>
                <w:color w:val="000000"/>
              </w:rPr>
              <w:t xml:space="preserve">Janssen 2018 </w:t>
            </w:r>
          </w:p>
        </w:tc>
        <w:tc>
          <w:tcPr>
            <w:tcW w:w="860" w:type="dxa"/>
            <w:shd w:val="clear" w:color="auto" w:fill="auto"/>
            <w:vAlign w:val="bottom"/>
            <w:hideMark/>
          </w:tcPr>
          <w:p w14:paraId="792C5188"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1276" w:type="dxa"/>
            <w:shd w:val="clear" w:color="auto" w:fill="auto"/>
            <w:vAlign w:val="bottom"/>
            <w:hideMark/>
          </w:tcPr>
          <w:p w14:paraId="3440D055"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High</w:t>
            </w:r>
          </w:p>
        </w:tc>
        <w:tc>
          <w:tcPr>
            <w:tcW w:w="709" w:type="dxa"/>
            <w:shd w:val="clear" w:color="auto" w:fill="auto"/>
            <w:vAlign w:val="bottom"/>
            <w:hideMark/>
          </w:tcPr>
          <w:p w14:paraId="35852585"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708" w:type="dxa"/>
            <w:shd w:val="clear" w:color="auto" w:fill="auto"/>
            <w:vAlign w:val="bottom"/>
            <w:hideMark/>
          </w:tcPr>
          <w:p w14:paraId="4FFD3496"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709" w:type="dxa"/>
            <w:shd w:val="clear" w:color="auto" w:fill="auto"/>
            <w:vAlign w:val="bottom"/>
            <w:hideMark/>
          </w:tcPr>
          <w:p w14:paraId="3FD72D18"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N/A</w:t>
            </w:r>
          </w:p>
        </w:tc>
        <w:tc>
          <w:tcPr>
            <w:tcW w:w="993" w:type="dxa"/>
            <w:shd w:val="clear" w:color="auto" w:fill="auto"/>
            <w:vAlign w:val="bottom"/>
            <w:hideMark/>
          </w:tcPr>
          <w:p w14:paraId="3CE9B9F3"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567" w:type="dxa"/>
            <w:shd w:val="clear" w:color="auto" w:fill="auto"/>
            <w:vAlign w:val="bottom"/>
            <w:hideMark/>
          </w:tcPr>
          <w:p w14:paraId="6D8F7D03"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708" w:type="dxa"/>
            <w:shd w:val="clear" w:color="auto" w:fill="auto"/>
            <w:vAlign w:val="bottom"/>
            <w:hideMark/>
          </w:tcPr>
          <w:p w14:paraId="34BBBED9"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709" w:type="dxa"/>
            <w:shd w:val="clear" w:color="auto" w:fill="auto"/>
            <w:vAlign w:val="bottom"/>
            <w:hideMark/>
          </w:tcPr>
          <w:p w14:paraId="21954DE5"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N</w:t>
            </w:r>
          </w:p>
        </w:tc>
        <w:tc>
          <w:tcPr>
            <w:tcW w:w="851" w:type="dxa"/>
            <w:shd w:val="clear" w:color="auto" w:fill="auto"/>
            <w:vAlign w:val="bottom"/>
            <w:hideMark/>
          </w:tcPr>
          <w:p w14:paraId="77DA1378"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N</w:t>
            </w:r>
          </w:p>
        </w:tc>
        <w:tc>
          <w:tcPr>
            <w:tcW w:w="1560" w:type="dxa"/>
            <w:shd w:val="clear" w:color="auto" w:fill="auto"/>
            <w:vAlign w:val="bottom"/>
            <w:hideMark/>
          </w:tcPr>
          <w:p w14:paraId="0429D52A"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1843" w:type="dxa"/>
            <w:shd w:val="clear" w:color="auto" w:fill="auto"/>
            <w:vAlign w:val="bottom"/>
            <w:hideMark/>
          </w:tcPr>
          <w:p w14:paraId="53E35564"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High</w:t>
            </w:r>
          </w:p>
        </w:tc>
      </w:tr>
      <w:tr w:rsidR="00B54D51" w:rsidRPr="00037AD4" w14:paraId="426711F3" w14:textId="77777777" w:rsidTr="00401C67">
        <w:trPr>
          <w:trHeight w:val="315"/>
        </w:trPr>
        <w:tc>
          <w:tcPr>
            <w:tcW w:w="1970" w:type="dxa"/>
            <w:shd w:val="clear" w:color="auto" w:fill="auto"/>
            <w:vAlign w:val="bottom"/>
            <w:hideMark/>
          </w:tcPr>
          <w:p w14:paraId="38576E93" w14:textId="77777777" w:rsidR="00B54D51" w:rsidRPr="00037AD4" w:rsidRDefault="00B54D51" w:rsidP="00401C67">
            <w:pPr>
              <w:rPr>
                <w:rFonts w:asciiTheme="minorHAnsi" w:hAnsiTheme="minorHAnsi" w:cstheme="minorHAnsi"/>
                <w:b/>
                <w:bCs/>
                <w:color w:val="000000"/>
              </w:rPr>
            </w:pPr>
            <w:r w:rsidRPr="00037AD4">
              <w:rPr>
                <w:rFonts w:asciiTheme="minorHAnsi" w:hAnsiTheme="minorHAnsi" w:cstheme="minorHAnsi"/>
                <w:b/>
                <w:bCs/>
                <w:color w:val="000000"/>
              </w:rPr>
              <w:t xml:space="preserve">Jurkeviciute 2019 </w:t>
            </w:r>
          </w:p>
        </w:tc>
        <w:tc>
          <w:tcPr>
            <w:tcW w:w="860" w:type="dxa"/>
            <w:shd w:val="clear" w:color="auto" w:fill="auto"/>
            <w:vAlign w:val="bottom"/>
            <w:hideMark/>
          </w:tcPr>
          <w:p w14:paraId="0D39BE4B"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1276" w:type="dxa"/>
            <w:shd w:val="clear" w:color="auto" w:fill="auto"/>
            <w:vAlign w:val="bottom"/>
            <w:hideMark/>
          </w:tcPr>
          <w:p w14:paraId="7B460242"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Low</w:t>
            </w:r>
          </w:p>
        </w:tc>
        <w:tc>
          <w:tcPr>
            <w:tcW w:w="709" w:type="dxa"/>
            <w:shd w:val="clear" w:color="auto" w:fill="auto"/>
            <w:vAlign w:val="bottom"/>
            <w:hideMark/>
          </w:tcPr>
          <w:p w14:paraId="47D194F6"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708" w:type="dxa"/>
            <w:shd w:val="clear" w:color="auto" w:fill="auto"/>
            <w:vAlign w:val="bottom"/>
            <w:hideMark/>
          </w:tcPr>
          <w:p w14:paraId="4E4C8C4A"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U</w:t>
            </w:r>
          </w:p>
        </w:tc>
        <w:tc>
          <w:tcPr>
            <w:tcW w:w="709" w:type="dxa"/>
            <w:shd w:val="clear" w:color="auto" w:fill="auto"/>
            <w:vAlign w:val="bottom"/>
            <w:hideMark/>
          </w:tcPr>
          <w:p w14:paraId="69AED470"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N</w:t>
            </w:r>
          </w:p>
        </w:tc>
        <w:tc>
          <w:tcPr>
            <w:tcW w:w="993" w:type="dxa"/>
            <w:shd w:val="clear" w:color="auto" w:fill="auto"/>
            <w:vAlign w:val="bottom"/>
            <w:hideMark/>
          </w:tcPr>
          <w:p w14:paraId="7318B98E"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567" w:type="dxa"/>
            <w:shd w:val="clear" w:color="auto" w:fill="auto"/>
            <w:vAlign w:val="bottom"/>
            <w:hideMark/>
          </w:tcPr>
          <w:p w14:paraId="169379DE"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708" w:type="dxa"/>
            <w:shd w:val="clear" w:color="auto" w:fill="auto"/>
            <w:vAlign w:val="bottom"/>
            <w:hideMark/>
          </w:tcPr>
          <w:p w14:paraId="32B70819"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709" w:type="dxa"/>
            <w:shd w:val="clear" w:color="auto" w:fill="auto"/>
            <w:vAlign w:val="bottom"/>
            <w:hideMark/>
          </w:tcPr>
          <w:p w14:paraId="32BE87BE"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N</w:t>
            </w:r>
          </w:p>
        </w:tc>
        <w:tc>
          <w:tcPr>
            <w:tcW w:w="851" w:type="dxa"/>
            <w:shd w:val="clear" w:color="auto" w:fill="auto"/>
            <w:vAlign w:val="bottom"/>
            <w:hideMark/>
          </w:tcPr>
          <w:p w14:paraId="526A43A3"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N/A</w:t>
            </w:r>
          </w:p>
        </w:tc>
        <w:tc>
          <w:tcPr>
            <w:tcW w:w="1560" w:type="dxa"/>
            <w:shd w:val="clear" w:color="auto" w:fill="auto"/>
            <w:vAlign w:val="bottom"/>
            <w:hideMark/>
          </w:tcPr>
          <w:p w14:paraId="51B1A638"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N</w:t>
            </w:r>
          </w:p>
        </w:tc>
        <w:tc>
          <w:tcPr>
            <w:tcW w:w="1843" w:type="dxa"/>
            <w:shd w:val="clear" w:color="auto" w:fill="auto"/>
            <w:vAlign w:val="bottom"/>
            <w:hideMark/>
          </w:tcPr>
          <w:p w14:paraId="2742A2AA"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Low</w:t>
            </w:r>
          </w:p>
        </w:tc>
      </w:tr>
      <w:tr w:rsidR="00B54D51" w:rsidRPr="00037AD4" w14:paraId="59E7EBF8" w14:textId="77777777" w:rsidTr="00401C67">
        <w:trPr>
          <w:trHeight w:val="315"/>
        </w:trPr>
        <w:tc>
          <w:tcPr>
            <w:tcW w:w="1970" w:type="dxa"/>
            <w:shd w:val="clear" w:color="auto" w:fill="auto"/>
            <w:vAlign w:val="bottom"/>
            <w:hideMark/>
          </w:tcPr>
          <w:p w14:paraId="072867FB" w14:textId="77777777" w:rsidR="00B54D51" w:rsidRPr="00037AD4" w:rsidRDefault="00B54D51" w:rsidP="00401C67">
            <w:pPr>
              <w:rPr>
                <w:rFonts w:asciiTheme="minorHAnsi" w:hAnsiTheme="minorHAnsi" w:cstheme="minorHAnsi"/>
                <w:b/>
                <w:bCs/>
                <w:color w:val="000000"/>
              </w:rPr>
            </w:pPr>
            <w:r w:rsidRPr="00037AD4">
              <w:rPr>
                <w:rFonts w:asciiTheme="minorHAnsi" w:hAnsiTheme="minorHAnsi" w:cstheme="minorHAnsi"/>
                <w:b/>
                <w:bCs/>
                <w:color w:val="000000"/>
              </w:rPr>
              <w:t>Maidment 2020</w:t>
            </w:r>
          </w:p>
        </w:tc>
        <w:tc>
          <w:tcPr>
            <w:tcW w:w="860" w:type="dxa"/>
            <w:shd w:val="clear" w:color="auto" w:fill="auto"/>
            <w:vAlign w:val="bottom"/>
            <w:hideMark/>
          </w:tcPr>
          <w:p w14:paraId="3429AD59"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1276" w:type="dxa"/>
            <w:shd w:val="clear" w:color="auto" w:fill="auto"/>
            <w:vAlign w:val="bottom"/>
            <w:hideMark/>
          </w:tcPr>
          <w:p w14:paraId="3DEC0CC5"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Low</w:t>
            </w:r>
          </w:p>
        </w:tc>
        <w:tc>
          <w:tcPr>
            <w:tcW w:w="709" w:type="dxa"/>
            <w:shd w:val="clear" w:color="auto" w:fill="auto"/>
            <w:vAlign w:val="bottom"/>
            <w:hideMark/>
          </w:tcPr>
          <w:p w14:paraId="23B2A873"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708" w:type="dxa"/>
            <w:shd w:val="clear" w:color="auto" w:fill="auto"/>
            <w:vAlign w:val="bottom"/>
            <w:hideMark/>
          </w:tcPr>
          <w:p w14:paraId="17F5172D"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709" w:type="dxa"/>
            <w:shd w:val="clear" w:color="auto" w:fill="auto"/>
            <w:vAlign w:val="bottom"/>
            <w:hideMark/>
          </w:tcPr>
          <w:p w14:paraId="3086D332"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N</w:t>
            </w:r>
          </w:p>
        </w:tc>
        <w:tc>
          <w:tcPr>
            <w:tcW w:w="993" w:type="dxa"/>
            <w:shd w:val="clear" w:color="auto" w:fill="auto"/>
            <w:vAlign w:val="bottom"/>
            <w:hideMark/>
          </w:tcPr>
          <w:p w14:paraId="3F60E155"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567" w:type="dxa"/>
            <w:shd w:val="clear" w:color="auto" w:fill="auto"/>
            <w:vAlign w:val="bottom"/>
            <w:hideMark/>
          </w:tcPr>
          <w:p w14:paraId="02B14E41"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N</w:t>
            </w:r>
          </w:p>
        </w:tc>
        <w:tc>
          <w:tcPr>
            <w:tcW w:w="708" w:type="dxa"/>
            <w:shd w:val="clear" w:color="auto" w:fill="auto"/>
            <w:vAlign w:val="bottom"/>
            <w:hideMark/>
          </w:tcPr>
          <w:p w14:paraId="6713B4F4"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709" w:type="dxa"/>
            <w:shd w:val="clear" w:color="auto" w:fill="auto"/>
            <w:vAlign w:val="bottom"/>
            <w:hideMark/>
          </w:tcPr>
          <w:p w14:paraId="7A11EE53"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851" w:type="dxa"/>
            <w:shd w:val="clear" w:color="auto" w:fill="auto"/>
            <w:vAlign w:val="bottom"/>
            <w:hideMark/>
          </w:tcPr>
          <w:p w14:paraId="1CF0D666"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N/A</w:t>
            </w:r>
          </w:p>
        </w:tc>
        <w:tc>
          <w:tcPr>
            <w:tcW w:w="1560" w:type="dxa"/>
            <w:shd w:val="clear" w:color="auto" w:fill="auto"/>
            <w:vAlign w:val="bottom"/>
            <w:hideMark/>
          </w:tcPr>
          <w:p w14:paraId="5E5DBE6D"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1843" w:type="dxa"/>
            <w:shd w:val="clear" w:color="auto" w:fill="auto"/>
            <w:vAlign w:val="bottom"/>
            <w:hideMark/>
          </w:tcPr>
          <w:p w14:paraId="4D5F3E5A"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Medium</w:t>
            </w:r>
          </w:p>
        </w:tc>
      </w:tr>
      <w:tr w:rsidR="00B54D51" w:rsidRPr="00037AD4" w14:paraId="26D7DC16" w14:textId="77777777" w:rsidTr="00401C67">
        <w:trPr>
          <w:trHeight w:val="315"/>
        </w:trPr>
        <w:tc>
          <w:tcPr>
            <w:tcW w:w="1970" w:type="dxa"/>
            <w:shd w:val="clear" w:color="auto" w:fill="auto"/>
            <w:vAlign w:val="bottom"/>
            <w:hideMark/>
          </w:tcPr>
          <w:p w14:paraId="31546ACD" w14:textId="77777777" w:rsidR="00B54D51" w:rsidRPr="00037AD4" w:rsidRDefault="00B54D51" w:rsidP="00401C67">
            <w:pPr>
              <w:rPr>
                <w:rFonts w:asciiTheme="minorHAnsi" w:hAnsiTheme="minorHAnsi" w:cstheme="minorHAnsi"/>
                <w:b/>
                <w:bCs/>
                <w:color w:val="000000"/>
              </w:rPr>
            </w:pPr>
            <w:r w:rsidRPr="00037AD4">
              <w:rPr>
                <w:rFonts w:asciiTheme="minorHAnsi" w:hAnsiTheme="minorHAnsi" w:cstheme="minorHAnsi"/>
                <w:b/>
                <w:bCs/>
                <w:color w:val="000000"/>
              </w:rPr>
              <w:t xml:space="preserve">Martin 2019 </w:t>
            </w:r>
          </w:p>
        </w:tc>
        <w:tc>
          <w:tcPr>
            <w:tcW w:w="860" w:type="dxa"/>
            <w:shd w:val="clear" w:color="auto" w:fill="auto"/>
            <w:vAlign w:val="bottom"/>
            <w:hideMark/>
          </w:tcPr>
          <w:p w14:paraId="0E920EEC"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1276" w:type="dxa"/>
            <w:shd w:val="clear" w:color="auto" w:fill="auto"/>
            <w:vAlign w:val="bottom"/>
            <w:hideMark/>
          </w:tcPr>
          <w:p w14:paraId="14531C0C"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High</w:t>
            </w:r>
          </w:p>
        </w:tc>
        <w:tc>
          <w:tcPr>
            <w:tcW w:w="709" w:type="dxa"/>
            <w:shd w:val="clear" w:color="auto" w:fill="auto"/>
            <w:vAlign w:val="bottom"/>
            <w:hideMark/>
          </w:tcPr>
          <w:p w14:paraId="5367C78F"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708" w:type="dxa"/>
            <w:shd w:val="clear" w:color="auto" w:fill="auto"/>
            <w:vAlign w:val="bottom"/>
            <w:hideMark/>
          </w:tcPr>
          <w:p w14:paraId="4F5F9290"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N</w:t>
            </w:r>
          </w:p>
        </w:tc>
        <w:tc>
          <w:tcPr>
            <w:tcW w:w="709" w:type="dxa"/>
            <w:shd w:val="clear" w:color="auto" w:fill="auto"/>
            <w:vAlign w:val="bottom"/>
            <w:hideMark/>
          </w:tcPr>
          <w:p w14:paraId="20868172"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U</w:t>
            </w:r>
          </w:p>
        </w:tc>
        <w:tc>
          <w:tcPr>
            <w:tcW w:w="993" w:type="dxa"/>
            <w:shd w:val="clear" w:color="auto" w:fill="auto"/>
            <w:vAlign w:val="bottom"/>
            <w:hideMark/>
          </w:tcPr>
          <w:p w14:paraId="6320B1CD"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567" w:type="dxa"/>
            <w:shd w:val="clear" w:color="auto" w:fill="auto"/>
            <w:vAlign w:val="bottom"/>
            <w:hideMark/>
          </w:tcPr>
          <w:p w14:paraId="7851F8EF"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708" w:type="dxa"/>
            <w:shd w:val="clear" w:color="auto" w:fill="auto"/>
            <w:vAlign w:val="bottom"/>
            <w:hideMark/>
          </w:tcPr>
          <w:p w14:paraId="7BC7E580"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709" w:type="dxa"/>
            <w:shd w:val="clear" w:color="auto" w:fill="auto"/>
            <w:vAlign w:val="bottom"/>
            <w:hideMark/>
          </w:tcPr>
          <w:p w14:paraId="3EBC694B"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N</w:t>
            </w:r>
          </w:p>
        </w:tc>
        <w:tc>
          <w:tcPr>
            <w:tcW w:w="851" w:type="dxa"/>
            <w:shd w:val="clear" w:color="auto" w:fill="auto"/>
            <w:vAlign w:val="bottom"/>
            <w:hideMark/>
          </w:tcPr>
          <w:p w14:paraId="5D203D95"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1560" w:type="dxa"/>
            <w:shd w:val="clear" w:color="auto" w:fill="auto"/>
            <w:vAlign w:val="bottom"/>
            <w:hideMark/>
          </w:tcPr>
          <w:p w14:paraId="38E76714"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1843" w:type="dxa"/>
            <w:shd w:val="clear" w:color="auto" w:fill="auto"/>
            <w:vAlign w:val="bottom"/>
            <w:hideMark/>
          </w:tcPr>
          <w:p w14:paraId="206A3DF6"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High</w:t>
            </w:r>
          </w:p>
        </w:tc>
      </w:tr>
      <w:tr w:rsidR="00B54D51" w:rsidRPr="00037AD4" w14:paraId="166A9FF2" w14:textId="77777777" w:rsidTr="00401C67">
        <w:trPr>
          <w:trHeight w:val="315"/>
        </w:trPr>
        <w:tc>
          <w:tcPr>
            <w:tcW w:w="1970" w:type="dxa"/>
            <w:shd w:val="clear" w:color="auto" w:fill="auto"/>
            <w:vAlign w:val="bottom"/>
            <w:hideMark/>
          </w:tcPr>
          <w:p w14:paraId="42230A0A" w14:textId="77777777" w:rsidR="00B54D51" w:rsidRPr="00037AD4" w:rsidRDefault="00B54D51" w:rsidP="00401C67">
            <w:pPr>
              <w:rPr>
                <w:rFonts w:asciiTheme="minorHAnsi" w:hAnsiTheme="minorHAnsi" w:cstheme="minorHAnsi"/>
                <w:b/>
                <w:bCs/>
                <w:color w:val="000000"/>
              </w:rPr>
            </w:pPr>
            <w:r w:rsidRPr="00037AD4">
              <w:rPr>
                <w:rFonts w:asciiTheme="minorHAnsi" w:hAnsiTheme="minorHAnsi" w:cstheme="minorHAnsi"/>
                <w:b/>
                <w:bCs/>
                <w:color w:val="000000"/>
              </w:rPr>
              <w:lastRenderedPageBreak/>
              <w:t>Meads 2020</w:t>
            </w:r>
          </w:p>
        </w:tc>
        <w:tc>
          <w:tcPr>
            <w:tcW w:w="860" w:type="dxa"/>
            <w:shd w:val="clear" w:color="auto" w:fill="auto"/>
            <w:vAlign w:val="bottom"/>
            <w:hideMark/>
          </w:tcPr>
          <w:p w14:paraId="5544F780"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1276" w:type="dxa"/>
            <w:shd w:val="clear" w:color="auto" w:fill="auto"/>
            <w:vAlign w:val="bottom"/>
            <w:hideMark/>
          </w:tcPr>
          <w:p w14:paraId="51D7C97B"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High</w:t>
            </w:r>
          </w:p>
        </w:tc>
        <w:tc>
          <w:tcPr>
            <w:tcW w:w="709" w:type="dxa"/>
            <w:shd w:val="clear" w:color="auto" w:fill="auto"/>
            <w:vAlign w:val="bottom"/>
            <w:hideMark/>
          </w:tcPr>
          <w:p w14:paraId="5E5967AC"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708" w:type="dxa"/>
            <w:shd w:val="clear" w:color="auto" w:fill="auto"/>
            <w:vAlign w:val="bottom"/>
            <w:hideMark/>
          </w:tcPr>
          <w:p w14:paraId="26EB1238"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N</w:t>
            </w:r>
          </w:p>
        </w:tc>
        <w:tc>
          <w:tcPr>
            <w:tcW w:w="709" w:type="dxa"/>
            <w:shd w:val="clear" w:color="auto" w:fill="auto"/>
            <w:vAlign w:val="bottom"/>
            <w:hideMark/>
          </w:tcPr>
          <w:p w14:paraId="2326B4EE"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U</w:t>
            </w:r>
          </w:p>
        </w:tc>
        <w:tc>
          <w:tcPr>
            <w:tcW w:w="993" w:type="dxa"/>
            <w:shd w:val="clear" w:color="auto" w:fill="auto"/>
            <w:vAlign w:val="bottom"/>
            <w:hideMark/>
          </w:tcPr>
          <w:p w14:paraId="1EF7C5FC"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N</w:t>
            </w:r>
          </w:p>
        </w:tc>
        <w:tc>
          <w:tcPr>
            <w:tcW w:w="567" w:type="dxa"/>
            <w:shd w:val="clear" w:color="auto" w:fill="auto"/>
            <w:vAlign w:val="bottom"/>
            <w:hideMark/>
          </w:tcPr>
          <w:p w14:paraId="22731EE1"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708" w:type="dxa"/>
            <w:shd w:val="clear" w:color="auto" w:fill="auto"/>
            <w:vAlign w:val="bottom"/>
            <w:hideMark/>
          </w:tcPr>
          <w:p w14:paraId="35745868"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709" w:type="dxa"/>
            <w:shd w:val="clear" w:color="auto" w:fill="auto"/>
            <w:vAlign w:val="bottom"/>
            <w:hideMark/>
          </w:tcPr>
          <w:p w14:paraId="4B70703D"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N</w:t>
            </w:r>
          </w:p>
        </w:tc>
        <w:tc>
          <w:tcPr>
            <w:tcW w:w="851" w:type="dxa"/>
            <w:shd w:val="clear" w:color="auto" w:fill="auto"/>
            <w:vAlign w:val="bottom"/>
            <w:hideMark/>
          </w:tcPr>
          <w:p w14:paraId="338EA190"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1560" w:type="dxa"/>
            <w:shd w:val="clear" w:color="auto" w:fill="auto"/>
            <w:vAlign w:val="bottom"/>
            <w:hideMark/>
          </w:tcPr>
          <w:p w14:paraId="01D8DD25"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N</w:t>
            </w:r>
          </w:p>
        </w:tc>
        <w:tc>
          <w:tcPr>
            <w:tcW w:w="1843" w:type="dxa"/>
            <w:shd w:val="clear" w:color="auto" w:fill="auto"/>
            <w:vAlign w:val="bottom"/>
            <w:hideMark/>
          </w:tcPr>
          <w:p w14:paraId="77A88105"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Medium</w:t>
            </w:r>
          </w:p>
        </w:tc>
      </w:tr>
      <w:tr w:rsidR="00B54D51" w:rsidRPr="00037AD4" w14:paraId="53E34C6C" w14:textId="77777777" w:rsidTr="00401C67">
        <w:trPr>
          <w:trHeight w:val="315"/>
        </w:trPr>
        <w:tc>
          <w:tcPr>
            <w:tcW w:w="1970" w:type="dxa"/>
            <w:shd w:val="clear" w:color="auto" w:fill="auto"/>
            <w:vAlign w:val="bottom"/>
            <w:hideMark/>
          </w:tcPr>
          <w:p w14:paraId="1386CC87" w14:textId="77777777" w:rsidR="00B54D51" w:rsidRPr="00037AD4" w:rsidRDefault="00B54D51" w:rsidP="00401C67">
            <w:pPr>
              <w:rPr>
                <w:rFonts w:asciiTheme="minorHAnsi" w:hAnsiTheme="minorHAnsi" w:cstheme="minorHAnsi"/>
                <w:b/>
                <w:bCs/>
                <w:color w:val="000000"/>
              </w:rPr>
            </w:pPr>
            <w:r w:rsidRPr="00037AD4">
              <w:rPr>
                <w:rFonts w:asciiTheme="minorHAnsi" w:hAnsiTheme="minorHAnsi" w:cstheme="minorHAnsi"/>
                <w:b/>
                <w:bCs/>
                <w:color w:val="000000"/>
              </w:rPr>
              <w:t>Perry-Duxbury 2020</w:t>
            </w:r>
          </w:p>
        </w:tc>
        <w:tc>
          <w:tcPr>
            <w:tcW w:w="860" w:type="dxa"/>
            <w:shd w:val="clear" w:color="auto" w:fill="auto"/>
            <w:vAlign w:val="bottom"/>
            <w:hideMark/>
          </w:tcPr>
          <w:p w14:paraId="356100B4"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1276" w:type="dxa"/>
            <w:shd w:val="clear" w:color="auto" w:fill="auto"/>
            <w:vAlign w:val="bottom"/>
            <w:hideMark/>
          </w:tcPr>
          <w:p w14:paraId="6564D2EE"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High</w:t>
            </w:r>
          </w:p>
        </w:tc>
        <w:tc>
          <w:tcPr>
            <w:tcW w:w="709" w:type="dxa"/>
            <w:shd w:val="clear" w:color="auto" w:fill="auto"/>
            <w:vAlign w:val="bottom"/>
            <w:hideMark/>
          </w:tcPr>
          <w:p w14:paraId="67FCD09F"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708" w:type="dxa"/>
            <w:shd w:val="clear" w:color="auto" w:fill="auto"/>
            <w:vAlign w:val="bottom"/>
            <w:hideMark/>
          </w:tcPr>
          <w:p w14:paraId="68DC4DA2"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U</w:t>
            </w:r>
          </w:p>
        </w:tc>
        <w:tc>
          <w:tcPr>
            <w:tcW w:w="709" w:type="dxa"/>
            <w:shd w:val="clear" w:color="auto" w:fill="auto"/>
            <w:vAlign w:val="bottom"/>
            <w:hideMark/>
          </w:tcPr>
          <w:p w14:paraId="669B32F0"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N/A</w:t>
            </w:r>
          </w:p>
        </w:tc>
        <w:tc>
          <w:tcPr>
            <w:tcW w:w="993" w:type="dxa"/>
            <w:shd w:val="clear" w:color="auto" w:fill="auto"/>
            <w:vAlign w:val="bottom"/>
            <w:hideMark/>
          </w:tcPr>
          <w:p w14:paraId="6AFE2163"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567" w:type="dxa"/>
            <w:shd w:val="clear" w:color="auto" w:fill="auto"/>
            <w:vAlign w:val="bottom"/>
            <w:hideMark/>
          </w:tcPr>
          <w:p w14:paraId="3253CB00"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708" w:type="dxa"/>
            <w:shd w:val="clear" w:color="auto" w:fill="auto"/>
            <w:vAlign w:val="bottom"/>
            <w:hideMark/>
          </w:tcPr>
          <w:p w14:paraId="539F988A"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709" w:type="dxa"/>
            <w:shd w:val="clear" w:color="auto" w:fill="auto"/>
            <w:vAlign w:val="bottom"/>
            <w:hideMark/>
          </w:tcPr>
          <w:p w14:paraId="2CABC24C"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N</w:t>
            </w:r>
          </w:p>
        </w:tc>
        <w:tc>
          <w:tcPr>
            <w:tcW w:w="851" w:type="dxa"/>
            <w:shd w:val="clear" w:color="auto" w:fill="auto"/>
            <w:vAlign w:val="bottom"/>
            <w:hideMark/>
          </w:tcPr>
          <w:p w14:paraId="5449A11E"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N</w:t>
            </w:r>
          </w:p>
        </w:tc>
        <w:tc>
          <w:tcPr>
            <w:tcW w:w="1560" w:type="dxa"/>
            <w:shd w:val="clear" w:color="auto" w:fill="auto"/>
            <w:vAlign w:val="bottom"/>
            <w:hideMark/>
          </w:tcPr>
          <w:p w14:paraId="27B6EEFD"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1843" w:type="dxa"/>
            <w:shd w:val="clear" w:color="auto" w:fill="auto"/>
            <w:vAlign w:val="bottom"/>
            <w:hideMark/>
          </w:tcPr>
          <w:p w14:paraId="2FFB39C0"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Medium</w:t>
            </w:r>
          </w:p>
        </w:tc>
      </w:tr>
      <w:tr w:rsidR="00B54D51" w:rsidRPr="00037AD4" w14:paraId="7333D7A8" w14:textId="77777777" w:rsidTr="00401C67">
        <w:trPr>
          <w:trHeight w:val="315"/>
        </w:trPr>
        <w:tc>
          <w:tcPr>
            <w:tcW w:w="1970" w:type="dxa"/>
            <w:shd w:val="clear" w:color="auto" w:fill="auto"/>
            <w:vAlign w:val="bottom"/>
            <w:hideMark/>
          </w:tcPr>
          <w:p w14:paraId="51F7A4A0" w14:textId="77777777" w:rsidR="00B54D51" w:rsidRPr="00037AD4" w:rsidRDefault="00B54D51" w:rsidP="00401C67">
            <w:pPr>
              <w:rPr>
                <w:rFonts w:asciiTheme="minorHAnsi" w:hAnsiTheme="minorHAnsi" w:cstheme="minorHAnsi"/>
                <w:b/>
                <w:bCs/>
                <w:color w:val="000000"/>
              </w:rPr>
            </w:pPr>
            <w:r w:rsidRPr="00037AD4">
              <w:rPr>
                <w:rFonts w:asciiTheme="minorHAnsi" w:hAnsiTheme="minorHAnsi" w:cstheme="minorHAnsi"/>
                <w:b/>
                <w:bCs/>
                <w:color w:val="000000"/>
              </w:rPr>
              <w:t>Ratcliffe 2017</w:t>
            </w:r>
          </w:p>
        </w:tc>
        <w:tc>
          <w:tcPr>
            <w:tcW w:w="860" w:type="dxa"/>
            <w:shd w:val="clear" w:color="auto" w:fill="auto"/>
            <w:vAlign w:val="bottom"/>
            <w:hideMark/>
          </w:tcPr>
          <w:p w14:paraId="24735C5A"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1276" w:type="dxa"/>
            <w:shd w:val="clear" w:color="auto" w:fill="auto"/>
            <w:vAlign w:val="bottom"/>
            <w:hideMark/>
          </w:tcPr>
          <w:p w14:paraId="78AAB472"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Medium</w:t>
            </w:r>
          </w:p>
        </w:tc>
        <w:tc>
          <w:tcPr>
            <w:tcW w:w="709" w:type="dxa"/>
            <w:shd w:val="clear" w:color="auto" w:fill="auto"/>
            <w:vAlign w:val="bottom"/>
            <w:hideMark/>
          </w:tcPr>
          <w:p w14:paraId="47D96BC1"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708" w:type="dxa"/>
            <w:shd w:val="clear" w:color="auto" w:fill="auto"/>
            <w:vAlign w:val="bottom"/>
            <w:hideMark/>
          </w:tcPr>
          <w:p w14:paraId="7B07AC24"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709" w:type="dxa"/>
            <w:shd w:val="clear" w:color="auto" w:fill="auto"/>
            <w:vAlign w:val="bottom"/>
            <w:hideMark/>
          </w:tcPr>
          <w:p w14:paraId="7063E9E5"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N</w:t>
            </w:r>
          </w:p>
        </w:tc>
        <w:tc>
          <w:tcPr>
            <w:tcW w:w="993" w:type="dxa"/>
            <w:shd w:val="clear" w:color="auto" w:fill="auto"/>
            <w:vAlign w:val="bottom"/>
            <w:hideMark/>
          </w:tcPr>
          <w:p w14:paraId="4410EA1B"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567" w:type="dxa"/>
            <w:shd w:val="clear" w:color="auto" w:fill="auto"/>
            <w:vAlign w:val="bottom"/>
            <w:hideMark/>
          </w:tcPr>
          <w:p w14:paraId="57F1E7A5"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708" w:type="dxa"/>
            <w:shd w:val="clear" w:color="auto" w:fill="auto"/>
            <w:vAlign w:val="bottom"/>
            <w:hideMark/>
          </w:tcPr>
          <w:p w14:paraId="76509CF9"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709" w:type="dxa"/>
            <w:shd w:val="clear" w:color="auto" w:fill="auto"/>
            <w:vAlign w:val="bottom"/>
            <w:hideMark/>
          </w:tcPr>
          <w:p w14:paraId="0DA2FC37"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N</w:t>
            </w:r>
          </w:p>
        </w:tc>
        <w:tc>
          <w:tcPr>
            <w:tcW w:w="851" w:type="dxa"/>
            <w:shd w:val="clear" w:color="auto" w:fill="auto"/>
            <w:vAlign w:val="bottom"/>
            <w:hideMark/>
          </w:tcPr>
          <w:p w14:paraId="40B271EB"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N</w:t>
            </w:r>
          </w:p>
        </w:tc>
        <w:tc>
          <w:tcPr>
            <w:tcW w:w="1560" w:type="dxa"/>
            <w:shd w:val="clear" w:color="auto" w:fill="auto"/>
            <w:vAlign w:val="bottom"/>
            <w:hideMark/>
          </w:tcPr>
          <w:p w14:paraId="18C91718"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N</w:t>
            </w:r>
          </w:p>
        </w:tc>
        <w:tc>
          <w:tcPr>
            <w:tcW w:w="1843" w:type="dxa"/>
            <w:shd w:val="clear" w:color="auto" w:fill="auto"/>
            <w:vAlign w:val="bottom"/>
            <w:hideMark/>
          </w:tcPr>
          <w:p w14:paraId="7587BB92"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Medium</w:t>
            </w:r>
          </w:p>
        </w:tc>
      </w:tr>
      <w:tr w:rsidR="00B54D51" w:rsidRPr="00037AD4" w14:paraId="6440D5AC" w14:textId="77777777" w:rsidTr="00401C67">
        <w:trPr>
          <w:trHeight w:val="315"/>
        </w:trPr>
        <w:tc>
          <w:tcPr>
            <w:tcW w:w="1970" w:type="dxa"/>
            <w:shd w:val="clear" w:color="auto" w:fill="auto"/>
            <w:vAlign w:val="bottom"/>
            <w:hideMark/>
          </w:tcPr>
          <w:p w14:paraId="26E53F8B" w14:textId="77777777" w:rsidR="00B54D51" w:rsidRPr="00037AD4" w:rsidRDefault="00B54D51" w:rsidP="00401C67">
            <w:pPr>
              <w:rPr>
                <w:rFonts w:asciiTheme="minorHAnsi" w:hAnsiTheme="minorHAnsi" w:cstheme="minorHAnsi"/>
                <w:b/>
                <w:bCs/>
                <w:color w:val="000000"/>
              </w:rPr>
            </w:pPr>
            <w:r w:rsidRPr="00037AD4">
              <w:rPr>
                <w:rFonts w:asciiTheme="minorHAnsi" w:hAnsiTheme="minorHAnsi" w:cstheme="minorHAnsi"/>
                <w:b/>
                <w:bCs/>
                <w:color w:val="000000"/>
              </w:rPr>
              <w:t>Rombach 2020</w:t>
            </w:r>
          </w:p>
        </w:tc>
        <w:tc>
          <w:tcPr>
            <w:tcW w:w="860" w:type="dxa"/>
            <w:shd w:val="clear" w:color="auto" w:fill="auto"/>
            <w:vAlign w:val="bottom"/>
            <w:hideMark/>
          </w:tcPr>
          <w:p w14:paraId="43C3868C"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1276" w:type="dxa"/>
            <w:shd w:val="clear" w:color="auto" w:fill="auto"/>
            <w:vAlign w:val="bottom"/>
            <w:hideMark/>
          </w:tcPr>
          <w:p w14:paraId="3F0D748A"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High</w:t>
            </w:r>
          </w:p>
        </w:tc>
        <w:tc>
          <w:tcPr>
            <w:tcW w:w="709" w:type="dxa"/>
            <w:shd w:val="clear" w:color="auto" w:fill="auto"/>
            <w:vAlign w:val="bottom"/>
            <w:hideMark/>
          </w:tcPr>
          <w:p w14:paraId="023C9725"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N/A</w:t>
            </w:r>
          </w:p>
        </w:tc>
        <w:tc>
          <w:tcPr>
            <w:tcW w:w="708" w:type="dxa"/>
            <w:shd w:val="clear" w:color="auto" w:fill="auto"/>
            <w:vAlign w:val="bottom"/>
            <w:hideMark/>
          </w:tcPr>
          <w:p w14:paraId="697F2514"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U</w:t>
            </w:r>
          </w:p>
        </w:tc>
        <w:tc>
          <w:tcPr>
            <w:tcW w:w="709" w:type="dxa"/>
            <w:shd w:val="clear" w:color="auto" w:fill="auto"/>
            <w:vAlign w:val="bottom"/>
            <w:hideMark/>
          </w:tcPr>
          <w:p w14:paraId="4DBE6AC6"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N/A</w:t>
            </w:r>
          </w:p>
        </w:tc>
        <w:tc>
          <w:tcPr>
            <w:tcW w:w="993" w:type="dxa"/>
            <w:shd w:val="clear" w:color="auto" w:fill="auto"/>
            <w:vAlign w:val="bottom"/>
            <w:hideMark/>
          </w:tcPr>
          <w:p w14:paraId="1D131E1A"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567" w:type="dxa"/>
            <w:shd w:val="clear" w:color="auto" w:fill="auto"/>
            <w:vAlign w:val="bottom"/>
            <w:hideMark/>
          </w:tcPr>
          <w:p w14:paraId="01767BB4"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708" w:type="dxa"/>
            <w:shd w:val="clear" w:color="auto" w:fill="auto"/>
            <w:vAlign w:val="bottom"/>
            <w:hideMark/>
          </w:tcPr>
          <w:p w14:paraId="39745AF8"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709" w:type="dxa"/>
            <w:shd w:val="clear" w:color="auto" w:fill="auto"/>
            <w:vAlign w:val="bottom"/>
            <w:hideMark/>
          </w:tcPr>
          <w:p w14:paraId="3FD2A6E0"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N</w:t>
            </w:r>
          </w:p>
        </w:tc>
        <w:tc>
          <w:tcPr>
            <w:tcW w:w="851" w:type="dxa"/>
            <w:shd w:val="clear" w:color="auto" w:fill="auto"/>
            <w:vAlign w:val="bottom"/>
            <w:hideMark/>
          </w:tcPr>
          <w:p w14:paraId="0F58A8F5"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N</w:t>
            </w:r>
          </w:p>
        </w:tc>
        <w:tc>
          <w:tcPr>
            <w:tcW w:w="1560" w:type="dxa"/>
            <w:shd w:val="clear" w:color="auto" w:fill="auto"/>
            <w:vAlign w:val="bottom"/>
            <w:hideMark/>
          </w:tcPr>
          <w:p w14:paraId="575680B7"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N</w:t>
            </w:r>
          </w:p>
        </w:tc>
        <w:tc>
          <w:tcPr>
            <w:tcW w:w="1843" w:type="dxa"/>
            <w:shd w:val="clear" w:color="auto" w:fill="auto"/>
            <w:vAlign w:val="bottom"/>
            <w:hideMark/>
          </w:tcPr>
          <w:p w14:paraId="2C94D1C9"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Medium</w:t>
            </w:r>
          </w:p>
        </w:tc>
      </w:tr>
      <w:tr w:rsidR="00B54D51" w:rsidRPr="00037AD4" w14:paraId="703E22A1" w14:textId="77777777" w:rsidTr="00401C67">
        <w:trPr>
          <w:trHeight w:val="315"/>
        </w:trPr>
        <w:tc>
          <w:tcPr>
            <w:tcW w:w="1970" w:type="dxa"/>
            <w:shd w:val="clear" w:color="auto" w:fill="auto"/>
            <w:vAlign w:val="bottom"/>
            <w:hideMark/>
          </w:tcPr>
          <w:p w14:paraId="26521688" w14:textId="77777777" w:rsidR="00B54D51" w:rsidRPr="00037AD4" w:rsidRDefault="00B54D51" w:rsidP="00401C67">
            <w:pPr>
              <w:rPr>
                <w:rFonts w:asciiTheme="minorHAnsi" w:hAnsiTheme="minorHAnsi" w:cstheme="minorHAnsi"/>
                <w:b/>
                <w:bCs/>
                <w:color w:val="000000"/>
              </w:rPr>
            </w:pPr>
            <w:r w:rsidRPr="00037AD4">
              <w:rPr>
                <w:rFonts w:asciiTheme="minorHAnsi" w:hAnsiTheme="minorHAnsi" w:cstheme="minorHAnsi"/>
                <w:b/>
                <w:bCs/>
                <w:color w:val="000000"/>
              </w:rPr>
              <w:t>Sopina 2019</w:t>
            </w:r>
          </w:p>
        </w:tc>
        <w:tc>
          <w:tcPr>
            <w:tcW w:w="860" w:type="dxa"/>
            <w:shd w:val="clear" w:color="auto" w:fill="auto"/>
            <w:vAlign w:val="bottom"/>
            <w:hideMark/>
          </w:tcPr>
          <w:p w14:paraId="36371A3A"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1276" w:type="dxa"/>
            <w:shd w:val="clear" w:color="auto" w:fill="auto"/>
            <w:vAlign w:val="bottom"/>
            <w:hideMark/>
          </w:tcPr>
          <w:p w14:paraId="7AF5ED19"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Medium</w:t>
            </w:r>
          </w:p>
        </w:tc>
        <w:tc>
          <w:tcPr>
            <w:tcW w:w="709" w:type="dxa"/>
            <w:shd w:val="clear" w:color="auto" w:fill="auto"/>
            <w:vAlign w:val="bottom"/>
            <w:hideMark/>
          </w:tcPr>
          <w:p w14:paraId="4795C39B"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708" w:type="dxa"/>
            <w:shd w:val="clear" w:color="auto" w:fill="auto"/>
            <w:vAlign w:val="bottom"/>
            <w:hideMark/>
          </w:tcPr>
          <w:p w14:paraId="577DDDF6"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N</w:t>
            </w:r>
          </w:p>
        </w:tc>
        <w:tc>
          <w:tcPr>
            <w:tcW w:w="709" w:type="dxa"/>
            <w:shd w:val="clear" w:color="auto" w:fill="auto"/>
            <w:vAlign w:val="bottom"/>
            <w:hideMark/>
          </w:tcPr>
          <w:p w14:paraId="12B8F93E"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993" w:type="dxa"/>
            <w:shd w:val="clear" w:color="auto" w:fill="auto"/>
            <w:vAlign w:val="bottom"/>
            <w:hideMark/>
          </w:tcPr>
          <w:p w14:paraId="5D3E6EF4"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567" w:type="dxa"/>
            <w:shd w:val="clear" w:color="auto" w:fill="auto"/>
            <w:vAlign w:val="bottom"/>
            <w:hideMark/>
          </w:tcPr>
          <w:p w14:paraId="3F335FA8"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708" w:type="dxa"/>
            <w:shd w:val="clear" w:color="auto" w:fill="auto"/>
            <w:vAlign w:val="bottom"/>
            <w:hideMark/>
          </w:tcPr>
          <w:p w14:paraId="30E981C7"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709" w:type="dxa"/>
            <w:shd w:val="clear" w:color="auto" w:fill="auto"/>
            <w:vAlign w:val="bottom"/>
            <w:hideMark/>
          </w:tcPr>
          <w:p w14:paraId="09248FA8"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U</w:t>
            </w:r>
          </w:p>
        </w:tc>
        <w:tc>
          <w:tcPr>
            <w:tcW w:w="851" w:type="dxa"/>
            <w:shd w:val="clear" w:color="auto" w:fill="auto"/>
            <w:vAlign w:val="bottom"/>
            <w:hideMark/>
          </w:tcPr>
          <w:p w14:paraId="5AA7C3C5"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N/A</w:t>
            </w:r>
          </w:p>
        </w:tc>
        <w:tc>
          <w:tcPr>
            <w:tcW w:w="1560" w:type="dxa"/>
            <w:shd w:val="clear" w:color="auto" w:fill="auto"/>
            <w:vAlign w:val="bottom"/>
            <w:hideMark/>
          </w:tcPr>
          <w:p w14:paraId="710E4F0E"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1843" w:type="dxa"/>
            <w:shd w:val="clear" w:color="auto" w:fill="auto"/>
            <w:vAlign w:val="bottom"/>
            <w:hideMark/>
          </w:tcPr>
          <w:p w14:paraId="4CFBBAE8"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Medium</w:t>
            </w:r>
          </w:p>
        </w:tc>
      </w:tr>
      <w:tr w:rsidR="00B54D51" w:rsidRPr="00037AD4" w14:paraId="65E14F74" w14:textId="77777777" w:rsidTr="00401C67">
        <w:trPr>
          <w:trHeight w:val="315"/>
        </w:trPr>
        <w:tc>
          <w:tcPr>
            <w:tcW w:w="1970" w:type="dxa"/>
            <w:shd w:val="clear" w:color="auto" w:fill="auto"/>
            <w:vAlign w:val="bottom"/>
            <w:hideMark/>
          </w:tcPr>
          <w:p w14:paraId="1AC37E37" w14:textId="77777777" w:rsidR="00B54D51" w:rsidRPr="00037AD4" w:rsidRDefault="00B54D51" w:rsidP="00401C67">
            <w:pPr>
              <w:rPr>
                <w:rFonts w:asciiTheme="minorHAnsi" w:hAnsiTheme="minorHAnsi" w:cstheme="minorHAnsi"/>
                <w:b/>
                <w:bCs/>
                <w:color w:val="000000"/>
              </w:rPr>
            </w:pPr>
            <w:r w:rsidRPr="00037AD4">
              <w:rPr>
                <w:rFonts w:asciiTheme="minorHAnsi" w:hAnsiTheme="minorHAnsi" w:cstheme="minorHAnsi"/>
                <w:b/>
                <w:bCs/>
                <w:color w:val="000000"/>
              </w:rPr>
              <w:t>Sopina 2017</w:t>
            </w:r>
          </w:p>
        </w:tc>
        <w:tc>
          <w:tcPr>
            <w:tcW w:w="860" w:type="dxa"/>
            <w:shd w:val="clear" w:color="auto" w:fill="auto"/>
            <w:vAlign w:val="bottom"/>
            <w:hideMark/>
          </w:tcPr>
          <w:p w14:paraId="58CDC40B"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1276" w:type="dxa"/>
            <w:shd w:val="clear" w:color="auto" w:fill="auto"/>
            <w:vAlign w:val="bottom"/>
            <w:hideMark/>
          </w:tcPr>
          <w:p w14:paraId="68E6BF72"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Medium</w:t>
            </w:r>
          </w:p>
        </w:tc>
        <w:tc>
          <w:tcPr>
            <w:tcW w:w="709" w:type="dxa"/>
            <w:shd w:val="clear" w:color="auto" w:fill="auto"/>
            <w:vAlign w:val="bottom"/>
            <w:hideMark/>
          </w:tcPr>
          <w:p w14:paraId="774B765E"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708" w:type="dxa"/>
            <w:shd w:val="clear" w:color="auto" w:fill="auto"/>
            <w:vAlign w:val="bottom"/>
            <w:hideMark/>
          </w:tcPr>
          <w:p w14:paraId="2508DAF4"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709" w:type="dxa"/>
            <w:shd w:val="clear" w:color="auto" w:fill="auto"/>
            <w:vAlign w:val="bottom"/>
            <w:hideMark/>
          </w:tcPr>
          <w:p w14:paraId="5FC47E35"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U</w:t>
            </w:r>
          </w:p>
        </w:tc>
        <w:tc>
          <w:tcPr>
            <w:tcW w:w="993" w:type="dxa"/>
            <w:shd w:val="clear" w:color="auto" w:fill="auto"/>
            <w:vAlign w:val="bottom"/>
            <w:hideMark/>
          </w:tcPr>
          <w:p w14:paraId="102AA09B"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N</w:t>
            </w:r>
          </w:p>
        </w:tc>
        <w:tc>
          <w:tcPr>
            <w:tcW w:w="567" w:type="dxa"/>
            <w:shd w:val="clear" w:color="auto" w:fill="auto"/>
            <w:vAlign w:val="bottom"/>
            <w:hideMark/>
          </w:tcPr>
          <w:p w14:paraId="4E601C9F"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708" w:type="dxa"/>
            <w:shd w:val="clear" w:color="auto" w:fill="auto"/>
            <w:vAlign w:val="bottom"/>
            <w:hideMark/>
          </w:tcPr>
          <w:p w14:paraId="5836D015"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709" w:type="dxa"/>
            <w:shd w:val="clear" w:color="auto" w:fill="auto"/>
            <w:vAlign w:val="bottom"/>
            <w:hideMark/>
          </w:tcPr>
          <w:p w14:paraId="49D9AB0B"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N</w:t>
            </w:r>
          </w:p>
        </w:tc>
        <w:tc>
          <w:tcPr>
            <w:tcW w:w="851" w:type="dxa"/>
            <w:shd w:val="clear" w:color="auto" w:fill="auto"/>
            <w:vAlign w:val="bottom"/>
            <w:hideMark/>
          </w:tcPr>
          <w:p w14:paraId="3E8390AD"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1560" w:type="dxa"/>
            <w:shd w:val="clear" w:color="auto" w:fill="auto"/>
            <w:vAlign w:val="bottom"/>
            <w:hideMark/>
          </w:tcPr>
          <w:p w14:paraId="585201DB"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N</w:t>
            </w:r>
          </w:p>
        </w:tc>
        <w:tc>
          <w:tcPr>
            <w:tcW w:w="1843" w:type="dxa"/>
            <w:shd w:val="clear" w:color="auto" w:fill="auto"/>
            <w:vAlign w:val="bottom"/>
            <w:hideMark/>
          </w:tcPr>
          <w:p w14:paraId="5D1E138F"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Medium</w:t>
            </w:r>
          </w:p>
        </w:tc>
      </w:tr>
      <w:tr w:rsidR="00B54D51" w:rsidRPr="00037AD4" w14:paraId="5C97FD22" w14:textId="77777777" w:rsidTr="00401C67">
        <w:trPr>
          <w:trHeight w:val="315"/>
        </w:trPr>
        <w:tc>
          <w:tcPr>
            <w:tcW w:w="1970" w:type="dxa"/>
            <w:shd w:val="clear" w:color="auto" w:fill="auto"/>
            <w:vAlign w:val="bottom"/>
            <w:hideMark/>
          </w:tcPr>
          <w:p w14:paraId="0FB214AC" w14:textId="77777777" w:rsidR="00B54D51" w:rsidRPr="00037AD4" w:rsidRDefault="00B54D51" w:rsidP="00401C67">
            <w:pPr>
              <w:rPr>
                <w:rFonts w:asciiTheme="minorHAnsi" w:hAnsiTheme="minorHAnsi" w:cstheme="minorHAnsi"/>
                <w:b/>
                <w:bCs/>
                <w:color w:val="000000"/>
              </w:rPr>
            </w:pPr>
            <w:r w:rsidRPr="00037AD4">
              <w:rPr>
                <w:rFonts w:asciiTheme="minorHAnsi" w:hAnsiTheme="minorHAnsi" w:cstheme="minorHAnsi"/>
                <w:b/>
                <w:bCs/>
                <w:color w:val="000000"/>
              </w:rPr>
              <w:t>Toh 2020</w:t>
            </w:r>
          </w:p>
        </w:tc>
        <w:tc>
          <w:tcPr>
            <w:tcW w:w="860" w:type="dxa"/>
            <w:shd w:val="clear" w:color="auto" w:fill="auto"/>
            <w:vAlign w:val="bottom"/>
            <w:hideMark/>
          </w:tcPr>
          <w:p w14:paraId="3DCFC3CE"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1276" w:type="dxa"/>
            <w:shd w:val="clear" w:color="auto" w:fill="auto"/>
            <w:vAlign w:val="bottom"/>
            <w:hideMark/>
          </w:tcPr>
          <w:p w14:paraId="66978DF3"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 xml:space="preserve">Medium </w:t>
            </w:r>
          </w:p>
        </w:tc>
        <w:tc>
          <w:tcPr>
            <w:tcW w:w="709" w:type="dxa"/>
            <w:shd w:val="clear" w:color="auto" w:fill="auto"/>
            <w:vAlign w:val="bottom"/>
            <w:hideMark/>
          </w:tcPr>
          <w:p w14:paraId="5F2D947E"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708" w:type="dxa"/>
            <w:shd w:val="clear" w:color="auto" w:fill="auto"/>
            <w:vAlign w:val="bottom"/>
            <w:hideMark/>
          </w:tcPr>
          <w:p w14:paraId="72A69138"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709" w:type="dxa"/>
            <w:shd w:val="clear" w:color="auto" w:fill="auto"/>
            <w:vAlign w:val="bottom"/>
            <w:hideMark/>
          </w:tcPr>
          <w:p w14:paraId="7B1DFD50"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N/A</w:t>
            </w:r>
          </w:p>
        </w:tc>
        <w:tc>
          <w:tcPr>
            <w:tcW w:w="993" w:type="dxa"/>
            <w:shd w:val="clear" w:color="auto" w:fill="auto"/>
            <w:vAlign w:val="bottom"/>
            <w:hideMark/>
          </w:tcPr>
          <w:p w14:paraId="488BDC86"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567" w:type="dxa"/>
            <w:shd w:val="clear" w:color="auto" w:fill="auto"/>
            <w:vAlign w:val="bottom"/>
            <w:hideMark/>
          </w:tcPr>
          <w:p w14:paraId="3897E143"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708" w:type="dxa"/>
            <w:shd w:val="clear" w:color="auto" w:fill="auto"/>
            <w:vAlign w:val="bottom"/>
            <w:hideMark/>
          </w:tcPr>
          <w:p w14:paraId="35A9A65A"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709" w:type="dxa"/>
            <w:shd w:val="clear" w:color="auto" w:fill="auto"/>
            <w:vAlign w:val="bottom"/>
            <w:hideMark/>
          </w:tcPr>
          <w:p w14:paraId="485F8A76"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N</w:t>
            </w:r>
          </w:p>
        </w:tc>
        <w:tc>
          <w:tcPr>
            <w:tcW w:w="851" w:type="dxa"/>
            <w:shd w:val="clear" w:color="auto" w:fill="auto"/>
            <w:vAlign w:val="bottom"/>
            <w:hideMark/>
          </w:tcPr>
          <w:p w14:paraId="144F9A73"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1560" w:type="dxa"/>
            <w:shd w:val="clear" w:color="auto" w:fill="auto"/>
            <w:vAlign w:val="bottom"/>
            <w:hideMark/>
          </w:tcPr>
          <w:p w14:paraId="4CE4EF7D"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N</w:t>
            </w:r>
          </w:p>
        </w:tc>
        <w:tc>
          <w:tcPr>
            <w:tcW w:w="1843" w:type="dxa"/>
            <w:shd w:val="clear" w:color="auto" w:fill="auto"/>
            <w:vAlign w:val="bottom"/>
            <w:hideMark/>
          </w:tcPr>
          <w:p w14:paraId="05C473B8"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 xml:space="preserve">Medium </w:t>
            </w:r>
          </w:p>
        </w:tc>
      </w:tr>
      <w:tr w:rsidR="00B54D51" w:rsidRPr="00037AD4" w14:paraId="4C2B5833" w14:textId="77777777" w:rsidTr="00401C67">
        <w:trPr>
          <w:trHeight w:val="315"/>
        </w:trPr>
        <w:tc>
          <w:tcPr>
            <w:tcW w:w="1970" w:type="dxa"/>
            <w:shd w:val="clear" w:color="auto" w:fill="auto"/>
            <w:vAlign w:val="bottom"/>
            <w:hideMark/>
          </w:tcPr>
          <w:p w14:paraId="4DD6F065" w14:textId="77777777" w:rsidR="00B54D51" w:rsidRPr="00037AD4" w:rsidRDefault="00B54D51" w:rsidP="00401C67">
            <w:pPr>
              <w:rPr>
                <w:rFonts w:asciiTheme="minorHAnsi" w:hAnsiTheme="minorHAnsi" w:cstheme="minorHAnsi"/>
                <w:b/>
                <w:bCs/>
                <w:color w:val="000000"/>
              </w:rPr>
            </w:pPr>
            <w:r w:rsidRPr="00037AD4">
              <w:rPr>
                <w:rFonts w:asciiTheme="minorHAnsi" w:hAnsiTheme="minorHAnsi" w:cstheme="minorHAnsi"/>
                <w:b/>
                <w:bCs/>
                <w:color w:val="000000"/>
              </w:rPr>
              <w:t>Umegaki 2020</w:t>
            </w:r>
          </w:p>
        </w:tc>
        <w:tc>
          <w:tcPr>
            <w:tcW w:w="860" w:type="dxa"/>
            <w:shd w:val="clear" w:color="auto" w:fill="auto"/>
            <w:vAlign w:val="bottom"/>
            <w:hideMark/>
          </w:tcPr>
          <w:p w14:paraId="49D133E0"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1276" w:type="dxa"/>
            <w:shd w:val="clear" w:color="auto" w:fill="auto"/>
            <w:vAlign w:val="bottom"/>
            <w:hideMark/>
          </w:tcPr>
          <w:p w14:paraId="79BFE267"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Low</w:t>
            </w:r>
          </w:p>
        </w:tc>
        <w:tc>
          <w:tcPr>
            <w:tcW w:w="709" w:type="dxa"/>
            <w:shd w:val="clear" w:color="auto" w:fill="auto"/>
            <w:vAlign w:val="bottom"/>
            <w:hideMark/>
          </w:tcPr>
          <w:p w14:paraId="515D74F0"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N</w:t>
            </w:r>
          </w:p>
        </w:tc>
        <w:tc>
          <w:tcPr>
            <w:tcW w:w="708" w:type="dxa"/>
            <w:shd w:val="clear" w:color="auto" w:fill="auto"/>
            <w:vAlign w:val="bottom"/>
            <w:hideMark/>
          </w:tcPr>
          <w:p w14:paraId="095C0E35"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709" w:type="dxa"/>
            <w:shd w:val="clear" w:color="auto" w:fill="auto"/>
            <w:vAlign w:val="bottom"/>
            <w:hideMark/>
          </w:tcPr>
          <w:p w14:paraId="2B99B3C3"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N/A</w:t>
            </w:r>
          </w:p>
        </w:tc>
        <w:tc>
          <w:tcPr>
            <w:tcW w:w="993" w:type="dxa"/>
            <w:shd w:val="clear" w:color="auto" w:fill="auto"/>
            <w:vAlign w:val="bottom"/>
            <w:hideMark/>
          </w:tcPr>
          <w:p w14:paraId="429215A2"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N</w:t>
            </w:r>
          </w:p>
        </w:tc>
        <w:tc>
          <w:tcPr>
            <w:tcW w:w="567" w:type="dxa"/>
            <w:shd w:val="clear" w:color="auto" w:fill="auto"/>
            <w:vAlign w:val="bottom"/>
            <w:hideMark/>
          </w:tcPr>
          <w:p w14:paraId="7954C0DD"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708" w:type="dxa"/>
            <w:shd w:val="clear" w:color="auto" w:fill="auto"/>
            <w:vAlign w:val="bottom"/>
            <w:hideMark/>
          </w:tcPr>
          <w:p w14:paraId="4377D665"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709" w:type="dxa"/>
            <w:shd w:val="clear" w:color="auto" w:fill="auto"/>
            <w:vAlign w:val="bottom"/>
            <w:hideMark/>
          </w:tcPr>
          <w:p w14:paraId="6768C11F"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U</w:t>
            </w:r>
          </w:p>
        </w:tc>
        <w:tc>
          <w:tcPr>
            <w:tcW w:w="851" w:type="dxa"/>
            <w:shd w:val="clear" w:color="auto" w:fill="auto"/>
            <w:vAlign w:val="bottom"/>
            <w:hideMark/>
          </w:tcPr>
          <w:p w14:paraId="38C5B9B3"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N</w:t>
            </w:r>
          </w:p>
        </w:tc>
        <w:tc>
          <w:tcPr>
            <w:tcW w:w="1560" w:type="dxa"/>
            <w:shd w:val="clear" w:color="auto" w:fill="auto"/>
            <w:vAlign w:val="bottom"/>
            <w:hideMark/>
          </w:tcPr>
          <w:p w14:paraId="1471D009"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N</w:t>
            </w:r>
          </w:p>
        </w:tc>
        <w:tc>
          <w:tcPr>
            <w:tcW w:w="1843" w:type="dxa"/>
            <w:shd w:val="clear" w:color="auto" w:fill="auto"/>
            <w:vAlign w:val="bottom"/>
            <w:hideMark/>
          </w:tcPr>
          <w:p w14:paraId="6D46B219"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Low</w:t>
            </w:r>
          </w:p>
        </w:tc>
      </w:tr>
      <w:tr w:rsidR="00B54D51" w:rsidRPr="00037AD4" w14:paraId="4AF96E7C" w14:textId="77777777" w:rsidTr="00401C67">
        <w:trPr>
          <w:trHeight w:val="315"/>
        </w:trPr>
        <w:tc>
          <w:tcPr>
            <w:tcW w:w="1970" w:type="dxa"/>
            <w:shd w:val="clear" w:color="auto" w:fill="auto"/>
            <w:vAlign w:val="bottom"/>
            <w:hideMark/>
          </w:tcPr>
          <w:p w14:paraId="35E384C1" w14:textId="77777777" w:rsidR="00B54D51" w:rsidRPr="00037AD4" w:rsidRDefault="00B54D51" w:rsidP="00401C67">
            <w:pPr>
              <w:rPr>
                <w:rFonts w:asciiTheme="minorHAnsi" w:hAnsiTheme="minorHAnsi" w:cstheme="minorHAnsi"/>
                <w:b/>
                <w:bCs/>
                <w:color w:val="000000"/>
              </w:rPr>
            </w:pPr>
            <w:r w:rsidRPr="00037AD4">
              <w:rPr>
                <w:rFonts w:asciiTheme="minorHAnsi" w:hAnsiTheme="minorHAnsi" w:cstheme="minorHAnsi"/>
                <w:b/>
                <w:bCs/>
                <w:color w:val="000000"/>
              </w:rPr>
              <w:t xml:space="preserve">Usman 2019 </w:t>
            </w:r>
          </w:p>
        </w:tc>
        <w:tc>
          <w:tcPr>
            <w:tcW w:w="860" w:type="dxa"/>
            <w:shd w:val="clear" w:color="auto" w:fill="auto"/>
            <w:vAlign w:val="bottom"/>
            <w:hideMark/>
          </w:tcPr>
          <w:p w14:paraId="7468ACFD"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1276" w:type="dxa"/>
            <w:shd w:val="clear" w:color="auto" w:fill="auto"/>
            <w:vAlign w:val="bottom"/>
            <w:hideMark/>
          </w:tcPr>
          <w:p w14:paraId="6EC14DAF"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Medium</w:t>
            </w:r>
          </w:p>
        </w:tc>
        <w:tc>
          <w:tcPr>
            <w:tcW w:w="709" w:type="dxa"/>
            <w:shd w:val="clear" w:color="auto" w:fill="auto"/>
            <w:vAlign w:val="bottom"/>
            <w:hideMark/>
          </w:tcPr>
          <w:p w14:paraId="08CE2272"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N</w:t>
            </w:r>
          </w:p>
        </w:tc>
        <w:tc>
          <w:tcPr>
            <w:tcW w:w="708" w:type="dxa"/>
            <w:shd w:val="clear" w:color="auto" w:fill="auto"/>
            <w:vAlign w:val="bottom"/>
            <w:hideMark/>
          </w:tcPr>
          <w:p w14:paraId="670C2A3B"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U</w:t>
            </w:r>
          </w:p>
        </w:tc>
        <w:tc>
          <w:tcPr>
            <w:tcW w:w="709" w:type="dxa"/>
            <w:shd w:val="clear" w:color="auto" w:fill="auto"/>
            <w:vAlign w:val="bottom"/>
            <w:hideMark/>
          </w:tcPr>
          <w:p w14:paraId="58BD09D3"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U</w:t>
            </w:r>
          </w:p>
        </w:tc>
        <w:tc>
          <w:tcPr>
            <w:tcW w:w="993" w:type="dxa"/>
            <w:shd w:val="clear" w:color="auto" w:fill="auto"/>
            <w:vAlign w:val="bottom"/>
            <w:hideMark/>
          </w:tcPr>
          <w:p w14:paraId="672ECF2C"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567" w:type="dxa"/>
            <w:shd w:val="clear" w:color="auto" w:fill="auto"/>
            <w:vAlign w:val="bottom"/>
            <w:hideMark/>
          </w:tcPr>
          <w:p w14:paraId="09CEBDEE"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708" w:type="dxa"/>
            <w:shd w:val="clear" w:color="auto" w:fill="auto"/>
            <w:vAlign w:val="bottom"/>
            <w:hideMark/>
          </w:tcPr>
          <w:p w14:paraId="5B58F900"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709" w:type="dxa"/>
            <w:shd w:val="clear" w:color="auto" w:fill="auto"/>
            <w:vAlign w:val="bottom"/>
            <w:hideMark/>
          </w:tcPr>
          <w:p w14:paraId="7F554EE9"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U</w:t>
            </w:r>
          </w:p>
        </w:tc>
        <w:tc>
          <w:tcPr>
            <w:tcW w:w="851" w:type="dxa"/>
            <w:shd w:val="clear" w:color="auto" w:fill="auto"/>
            <w:vAlign w:val="bottom"/>
            <w:hideMark/>
          </w:tcPr>
          <w:p w14:paraId="06C13FA7"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N</w:t>
            </w:r>
          </w:p>
        </w:tc>
        <w:tc>
          <w:tcPr>
            <w:tcW w:w="1560" w:type="dxa"/>
            <w:shd w:val="clear" w:color="auto" w:fill="auto"/>
            <w:vAlign w:val="bottom"/>
            <w:hideMark/>
          </w:tcPr>
          <w:p w14:paraId="3EB398A6"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N</w:t>
            </w:r>
          </w:p>
        </w:tc>
        <w:tc>
          <w:tcPr>
            <w:tcW w:w="1843" w:type="dxa"/>
            <w:shd w:val="clear" w:color="auto" w:fill="auto"/>
            <w:vAlign w:val="bottom"/>
            <w:hideMark/>
          </w:tcPr>
          <w:p w14:paraId="0AF3EDE0"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Medium</w:t>
            </w:r>
          </w:p>
        </w:tc>
      </w:tr>
      <w:tr w:rsidR="00B54D51" w:rsidRPr="00037AD4" w14:paraId="726E4970" w14:textId="77777777" w:rsidTr="00401C67">
        <w:trPr>
          <w:trHeight w:val="315"/>
        </w:trPr>
        <w:tc>
          <w:tcPr>
            <w:tcW w:w="1970" w:type="dxa"/>
            <w:shd w:val="clear" w:color="auto" w:fill="auto"/>
            <w:vAlign w:val="bottom"/>
            <w:hideMark/>
          </w:tcPr>
          <w:p w14:paraId="5E106928" w14:textId="77777777" w:rsidR="00B54D51" w:rsidRPr="00037AD4" w:rsidRDefault="00B54D51" w:rsidP="00401C67">
            <w:pPr>
              <w:rPr>
                <w:rFonts w:asciiTheme="minorHAnsi" w:hAnsiTheme="minorHAnsi" w:cstheme="minorHAnsi"/>
                <w:b/>
                <w:bCs/>
                <w:color w:val="000000"/>
              </w:rPr>
            </w:pPr>
            <w:r w:rsidRPr="00037AD4">
              <w:rPr>
                <w:rFonts w:asciiTheme="minorHAnsi" w:hAnsiTheme="minorHAnsi" w:cstheme="minorHAnsi"/>
                <w:b/>
                <w:bCs/>
                <w:color w:val="000000"/>
              </w:rPr>
              <w:t>van de Rijt 2020</w:t>
            </w:r>
          </w:p>
        </w:tc>
        <w:tc>
          <w:tcPr>
            <w:tcW w:w="860" w:type="dxa"/>
            <w:shd w:val="clear" w:color="auto" w:fill="auto"/>
            <w:vAlign w:val="bottom"/>
            <w:hideMark/>
          </w:tcPr>
          <w:p w14:paraId="369F02C4"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1276" w:type="dxa"/>
            <w:shd w:val="clear" w:color="auto" w:fill="auto"/>
            <w:vAlign w:val="bottom"/>
            <w:hideMark/>
          </w:tcPr>
          <w:p w14:paraId="0D39EDE0"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Low</w:t>
            </w:r>
          </w:p>
        </w:tc>
        <w:tc>
          <w:tcPr>
            <w:tcW w:w="709" w:type="dxa"/>
            <w:shd w:val="clear" w:color="auto" w:fill="auto"/>
            <w:vAlign w:val="bottom"/>
            <w:hideMark/>
          </w:tcPr>
          <w:p w14:paraId="02676798"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708" w:type="dxa"/>
            <w:shd w:val="clear" w:color="auto" w:fill="auto"/>
            <w:vAlign w:val="bottom"/>
            <w:hideMark/>
          </w:tcPr>
          <w:p w14:paraId="53FDF50E"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709" w:type="dxa"/>
            <w:shd w:val="clear" w:color="auto" w:fill="auto"/>
            <w:vAlign w:val="bottom"/>
            <w:hideMark/>
          </w:tcPr>
          <w:p w14:paraId="50AEF4D3"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N/A</w:t>
            </w:r>
          </w:p>
        </w:tc>
        <w:tc>
          <w:tcPr>
            <w:tcW w:w="993" w:type="dxa"/>
            <w:shd w:val="clear" w:color="auto" w:fill="auto"/>
            <w:vAlign w:val="bottom"/>
            <w:hideMark/>
          </w:tcPr>
          <w:p w14:paraId="62F33238"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N</w:t>
            </w:r>
          </w:p>
        </w:tc>
        <w:tc>
          <w:tcPr>
            <w:tcW w:w="567" w:type="dxa"/>
            <w:shd w:val="clear" w:color="auto" w:fill="auto"/>
            <w:vAlign w:val="bottom"/>
            <w:hideMark/>
          </w:tcPr>
          <w:p w14:paraId="26DA79F1"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708" w:type="dxa"/>
            <w:shd w:val="clear" w:color="auto" w:fill="auto"/>
            <w:vAlign w:val="bottom"/>
            <w:hideMark/>
          </w:tcPr>
          <w:p w14:paraId="2684E619"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Y</w:t>
            </w:r>
          </w:p>
        </w:tc>
        <w:tc>
          <w:tcPr>
            <w:tcW w:w="709" w:type="dxa"/>
            <w:shd w:val="clear" w:color="auto" w:fill="auto"/>
            <w:vAlign w:val="bottom"/>
            <w:hideMark/>
          </w:tcPr>
          <w:p w14:paraId="537C14DD"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U</w:t>
            </w:r>
          </w:p>
        </w:tc>
        <w:tc>
          <w:tcPr>
            <w:tcW w:w="851" w:type="dxa"/>
            <w:shd w:val="clear" w:color="auto" w:fill="auto"/>
            <w:vAlign w:val="bottom"/>
            <w:hideMark/>
          </w:tcPr>
          <w:p w14:paraId="5A393C93"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N/A</w:t>
            </w:r>
          </w:p>
        </w:tc>
        <w:tc>
          <w:tcPr>
            <w:tcW w:w="1560" w:type="dxa"/>
            <w:shd w:val="clear" w:color="auto" w:fill="auto"/>
            <w:vAlign w:val="bottom"/>
            <w:hideMark/>
          </w:tcPr>
          <w:p w14:paraId="60D5A885"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N</w:t>
            </w:r>
          </w:p>
        </w:tc>
        <w:tc>
          <w:tcPr>
            <w:tcW w:w="1843" w:type="dxa"/>
            <w:shd w:val="clear" w:color="auto" w:fill="auto"/>
            <w:vAlign w:val="bottom"/>
            <w:hideMark/>
          </w:tcPr>
          <w:p w14:paraId="7FAEDD57" w14:textId="77777777" w:rsidR="00B54D51" w:rsidRPr="00037AD4" w:rsidRDefault="00B54D51" w:rsidP="00401C67">
            <w:pPr>
              <w:rPr>
                <w:rFonts w:asciiTheme="minorHAnsi" w:hAnsiTheme="minorHAnsi" w:cstheme="minorHAnsi"/>
                <w:color w:val="000000"/>
              </w:rPr>
            </w:pPr>
            <w:r w:rsidRPr="00037AD4">
              <w:rPr>
                <w:rFonts w:asciiTheme="minorHAnsi" w:hAnsiTheme="minorHAnsi" w:cstheme="minorHAnsi"/>
                <w:color w:val="000000"/>
              </w:rPr>
              <w:t>Medium</w:t>
            </w:r>
          </w:p>
        </w:tc>
      </w:tr>
      <w:tr w:rsidR="00B54D51" w:rsidRPr="00037AD4" w14:paraId="516D13DD" w14:textId="77777777" w:rsidTr="00401C67">
        <w:trPr>
          <w:trHeight w:val="315"/>
        </w:trPr>
        <w:tc>
          <w:tcPr>
            <w:tcW w:w="13463" w:type="dxa"/>
            <w:gridSpan w:val="13"/>
            <w:shd w:val="clear" w:color="auto" w:fill="auto"/>
            <w:vAlign w:val="bottom"/>
          </w:tcPr>
          <w:p w14:paraId="0C045131" w14:textId="77777777" w:rsidR="00B54D51" w:rsidRPr="00037AD4" w:rsidRDefault="00B54D51" w:rsidP="00401C67">
            <w:pPr>
              <w:rPr>
                <w:rFonts w:asciiTheme="minorHAnsi" w:hAnsiTheme="minorHAnsi" w:cstheme="minorHAnsi"/>
              </w:rPr>
            </w:pPr>
            <w:r w:rsidRPr="00037AD4">
              <w:rPr>
                <w:rFonts w:asciiTheme="minorHAnsi" w:hAnsiTheme="minorHAnsi" w:cstheme="minorHAnsi"/>
                <w:vertAlign w:val="superscript"/>
              </w:rPr>
              <w:t xml:space="preserve">a </w:t>
            </w:r>
            <w:r w:rsidRPr="00037AD4">
              <w:rPr>
                <w:rFonts w:asciiTheme="minorHAnsi" w:hAnsiTheme="minorHAnsi" w:cstheme="minorHAnsi"/>
              </w:rPr>
              <w:t xml:space="preserve">U – Undetermined Questions: 1. </w:t>
            </w:r>
            <w:r w:rsidRPr="00037AD4">
              <w:rPr>
                <w:rFonts w:asciiTheme="minorHAnsi" w:hAnsiTheme="minorHAnsi" w:cstheme="minorHAnsi"/>
                <w:color w:val="000000"/>
              </w:rPr>
              <w:t>Is the study population clearly defined? 2. What is the magnitude of the sample size? High &gt;300 = 2, intermediate 100-300 = 1, low &gt;100 = 0 3.  Are sample groups clearly defined? 4. Are &gt;80% of participants enrolled in the study included in the analysis? 5. Was there blinding of outcome assessments? 6. Are administration details clearly indicated? 7. Are details of analyses 8. Are relationships measured via statistical methods i.e., correlation, p value, 95% CI provided? 9. Is the data complete? 10. Have the authors provided thresholds for missing data? 11. Was selection bias discussed?</w:t>
            </w:r>
          </w:p>
          <w:p w14:paraId="1CAB6FE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Each question was scored 1 if Y, 0 if no or undetermined for all questions except question 2 where sample &gt;300; 100- 300; &lt;100 score 2, 1 and 0 respectively. The score was then calculated for the 11 questions = 12 points, Can define &gt;9 = high, 5-8 = medium, &lt;5 = low?</w:t>
            </w:r>
          </w:p>
          <w:p w14:paraId="77F01BF2" w14:textId="77777777" w:rsidR="00B54D51" w:rsidRPr="00037AD4" w:rsidRDefault="00B54D51" w:rsidP="00401C67">
            <w:pPr>
              <w:rPr>
                <w:rFonts w:asciiTheme="minorHAnsi" w:hAnsiTheme="minorHAnsi" w:cstheme="minorHAnsi"/>
                <w:color w:val="000000"/>
              </w:rPr>
            </w:pPr>
          </w:p>
        </w:tc>
      </w:tr>
    </w:tbl>
    <w:p w14:paraId="609FF65A" w14:textId="77777777" w:rsidR="00B54D51" w:rsidRDefault="00B54D51" w:rsidP="001D7ACE">
      <w:pPr>
        <w:rPr>
          <w:rFonts w:asciiTheme="minorHAnsi" w:hAnsiTheme="minorHAnsi" w:cstheme="minorHAnsi"/>
          <w:b/>
          <w:bCs/>
          <w:u w:val="single"/>
        </w:rPr>
      </w:pPr>
    </w:p>
    <w:p w14:paraId="1E5BBAEE" w14:textId="77777777" w:rsidR="00777D27" w:rsidRDefault="00777D27" w:rsidP="001D7ACE">
      <w:pPr>
        <w:rPr>
          <w:rFonts w:asciiTheme="minorHAnsi" w:hAnsiTheme="minorHAnsi" w:cstheme="minorHAnsi"/>
          <w:b/>
          <w:bCs/>
          <w:u w:val="single"/>
        </w:rPr>
      </w:pPr>
    </w:p>
    <w:p w14:paraId="204B0338" w14:textId="77777777" w:rsidR="00777D27" w:rsidRDefault="00777D27" w:rsidP="001D7ACE">
      <w:pPr>
        <w:rPr>
          <w:rFonts w:asciiTheme="minorHAnsi" w:hAnsiTheme="minorHAnsi" w:cstheme="minorHAnsi"/>
          <w:b/>
          <w:bCs/>
          <w:u w:val="single"/>
        </w:rPr>
      </w:pPr>
    </w:p>
    <w:p w14:paraId="1FD7E79F" w14:textId="77777777" w:rsidR="00777D27" w:rsidRDefault="00777D27" w:rsidP="001D7ACE">
      <w:pPr>
        <w:rPr>
          <w:rFonts w:asciiTheme="minorHAnsi" w:hAnsiTheme="minorHAnsi" w:cstheme="minorHAnsi"/>
          <w:b/>
          <w:bCs/>
          <w:u w:val="single"/>
        </w:rPr>
      </w:pPr>
    </w:p>
    <w:p w14:paraId="2D84F1B2" w14:textId="77777777" w:rsidR="00777D27" w:rsidRDefault="00777D27" w:rsidP="001D7ACE">
      <w:pPr>
        <w:rPr>
          <w:rFonts w:asciiTheme="minorHAnsi" w:hAnsiTheme="minorHAnsi" w:cstheme="minorHAnsi"/>
          <w:b/>
          <w:bCs/>
          <w:u w:val="single"/>
        </w:rPr>
      </w:pPr>
    </w:p>
    <w:p w14:paraId="284A86BB" w14:textId="77777777" w:rsidR="00777D27" w:rsidRDefault="00777D27" w:rsidP="001D7ACE">
      <w:pPr>
        <w:rPr>
          <w:rFonts w:asciiTheme="minorHAnsi" w:hAnsiTheme="minorHAnsi" w:cstheme="minorHAnsi"/>
          <w:b/>
          <w:bCs/>
          <w:u w:val="single"/>
        </w:rPr>
      </w:pPr>
    </w:p>
    <w:p w14:paraId="016554A7" w14:textId="77777777" w:rsidR="00777D27" w:rsidRDefault="00777D27" w:rsidP="001D7ACE">
      <w:pPr>
        <w:rPr>
          <w:rFonts w:asciiTheme="minorHAnsi" w:hAnsiTheme="minorHAnsi" w:cstheme="minorHAnsi"/>
          <w:b/>
          <w:bCs/>
          <w:u w:val="single"/>
        </w:rPr>
      </w:pPr>
    </w:p>
    <w:p w14:paraId="2B5AFDF3" w14:textId="77777777" w:rsidR="00777D27" w:rsidRDefault="00777D27" w:rsidP="001D7ACE">
      <w:pPr>
        <w:rPr>
          <w:rFonts w:asciiTheme="minorHAnsi" w:hAnsiTheme="minorHAnsi" w:cstheme="minorHAnsi"/>
          <w:b/>
          <w:bCs/>
          <w:u w:val="single"/>
        </w:rPr>
      </w:pPr>
    </w:p>
    <w:p w14:paraId="2AD3F522" w14:textId="77777777" w:rsidR="00777D27" w:rsidRPr="00037AD4" w:rsidRDefault="00777D27" w:rsidP="001D7ACE">
      <w:pPr>
        <w:rPr>
          <w:rFonts w:asciiTheme="minorHAnsi" w:hAnsiTheme="minorHAnsi" w:cstheme="minorHAnsi"/>
          <w:b/>
          <w:bCs/>
          <w:u w:val="single"/>
        </w:rPr>
      </w:pPr>
    </w:p>
    <w:p w14:paraId="73BAB834" w14:textId="77777777" w:rsidR="00B54D51" w:rsidRPr="00037AD4" w:rsidRDefault="00B54D51" w:rsidP="00AE3755">
      <w:pPr>
        <w:pStyle w:val="Heading2"/>
      </w:pPr>
      <w:bookmarkStart w:id="433" w:name="A21"/>
      <w:bookmarkStart w:id="434" w:name="_Toc175742382"/>
      <w:r w:rsidRPr="00037AD4">
        <w:lastRenderedPageBreak/>
        <w:t>Appendix 2.1 Summary characteristics of included studies</w:t>
      </w:r>
      <w:bookmarkEnd w:id="434"/>
    </w:p>
    <w:bookmarkEnd w:id="433"/>
    <w:p w14:paraId="5D39971A" w14:textId="77777777" w:rsidR="00B54D51" w:rsidRPr="00037AD4" w:rsidRDefault="00B54D51" w:rsidP="001D7ACE">
      <w:pPr>
        <w:rPr>
          <w:rFonts w:asciiTheme="minorHAnsi" w:hAnsiTheme="minorHAnsi" w:cstheme="minorHAnsi"/>
          <w:b/>
          <w:bCs/>
          <w:u w:val="single"/>
        </w:rPr>
      </w:pPr>
    </w:p>
    <w:tbl>
      <w:tblPr>
        <w:tblW w:w="14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1276"/>
        <w:gridCol w:w="1417"/>
        <w:gridCol w:w="1276"/>
        <w:gridCol w:w="1985"/>
        <w:gridCol w:w="2409"/>
        <w:gridCol w:w="1276"/>
        <w:gridCol w:w="992"/>
        <w:gridCol w:w="851"/>
        <w:gridCol w:w="992"/>
        <w:gridCol w:w="709"/>
      </w:tblGrid>
      <w:tr w:rsidR="00B54D51" w:rsidRPr="00037AD4" w14:paraId="44EBE53B" w14:textId="77777777" w:rsidTr="00401C67">
        <w:trPr>
          <w:trHeight w:val="300"/>
        </w:trPr>
        <w:tc>
          <w:tcPr>
            <w:tcW w:w="1271" w:type="dxa"/>
            <w:shd w:val="clear" w:color="auto" w:fill="auto"/>
            <w:noWrap/>
            <w:hideMark/>
          </w:tcPr>
          <w:p w14:paraId="0566B62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Study reference</w:t>
            </w:r>
          </w:p>
        </w:tc>
        <w:tc>
          <w:tcPr>
            <w:tcW w:w="1276" w:type="dxa"/>
            <w:shd w:val="clear" w:color="auto" w:fill="auto"/>
            <w:noWrap/>
            <w:hideMark/>
          </w:tcPr>
          <w:p w14:paraId="5067041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Country</w:t>
            </w:r>
          </w:p>
        </w:tc>
        <w:tc>
          <w:tcPr>
            <w:tcW w:w="1417" w:type="dxa"/>
            <w:shd w:val="clear" w:color="auto" w:fill="auto"/>
            <w:noWrap/>
            <w:hideMark/>
          </w:tcPr>
          <w:p w14:paraId="1B14748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Index or dimensions or both </w:t>
            </w:r>
          </w:p>
        </w:tc>
        <w:tc>
          <w:tcPr>
            <w:tcW w:w="1276" w:type="dxa"/>
            <w:shd w:val="clear" w:color="auto" w:fill="auto"/>
            <w:noWrap/>
            <w:hideMark/>
          </w:tcPr>
          <w:p w14:paraId="7AC6D27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Preference weights</w:t>
            </w:r>
          </w:p>
        </w:tc>
        <w:tc>
          <w:tcPr>
            <w:tcW w:w="1985" w:type="dxa"/>
            <w:shd w:val="clear" w:color="auto" w:fill="auto"/>
            <w:noWrap/>
            <w:hideMark/>
          </w:tcPr>
          <w:p w14:paraId="3884989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Setting</w:t>
            </w:r>
          </w:p>
        </w:tc>
        <w:tc>
          <w:tcPr>
            <w:tcW w:w="2409" w:type="dxa"/>
            <w:shd w:val="clear" w:color="auto" w:fill="auto"/>
            <w:noWrap/>
            <w:hideMark/>
          </w:tcPr>
          <w:p w14:paraId="51DD9FD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Health Condition as reported by author</w:t>
            </w:r>
          </w:p>
        </w:tc>
        <w:tc>
          <w:tcPr>
            <w:tcW w:w="1276" w:type="dxa"/>
            <w:shd w:val="clear" w:color="auto" w:fill="auto"/>
            <w:noWrap/>
            <w:hideMark/>
          </w:tcPr>
          <w:p w14:paraId="3E4A82B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Self-report </w:t>
            </w:r>
          </w:p>
        </w:tc>
        <w:tc>
          <w:tcPr>
            <w:tcW w:w="992" w:type="dxa"/>
            <w:shd w:val="clear" w:color="auto" w:fill="auto"/>
            <w:noWrap/>
            <w:hideMark/>
          </w:tcPr>
          <w:p w14:paraId="4B850DA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Proxy report, details</w:t>
            </w:r>
          </w:p>
        </w:tc>
        <w:tc>
          <w:tcPr>
            <w:tcW w:w="851" w:type="dxa"/>
            <w:shd w:val="clear" w:color="auto" w:fill="auto"/>
            <w:noWrap/>
            <w:hideMark/>
          </w:tcPr>
          <w:p w14:paraId="4A6AA15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Mean age (SD)</w:t>
            </w:r>
          </w:p>
        </w:tc>
        <w:tc>
          <w:tcPr>
            <w:tcW w:w="992" w:type="dxa"/>
            <w:shd w:val="clear" w:color="auto" w:fill="auto"/>
            <w:noWrap/>
            <w:hideMark/>
          </w:tcPr>
          <w:p w14:paraId="77BBFA8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female</w:t>
            </w:r>
          </w:p>
        </w:tc>
        <w:tc>
          <w:tcPr>
            <w:tcW w:w="709" w:type="dxa"/>
            <w:shd w:val="clear" w:color="auto" w:fill="auto"/>
            <w:noWrap/>
            <w:hideMark/>
          </w:tcPr>
          <w:p w14:paraId="018776F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N</w:t>
            </w:r>
          </w:p>
        </w:tc>
      </w:tr>
      <w:tr w:rsidR="00B54D51" w:rsidRPr="00037AD4" w14:paraId="40417FA0" w14:textId="77777777" w:rsidTr="00401C67">
        <w:trPr>
          <w:trHeight w:val="300"/>
        </w:trPr>
        <w:tc>
          <w:tcPr>
            <w:tcW w:w="1271" w:type="dxa"/>
            <w:shd w:val="clear" w:color="auto" w:fill="auto"/>
            <w:noWrap/>
            <w:hideMark/>
          </w:tcPr>
          <w:p w14:paraId="28C5D9C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Easton, 2018 </w:t>
            </w:r>
          </w:p>
        </w:tc>
        <w:tc>
          <w:tcPr>
            <w:tcW w:w="1276" w:type="dxa"/>
            <w:shd w:val="clear" w:color="auto" w:fill="auto"/>
            <w:noWrap/>
            <w:hideMark/>
          </w:tcPr>
          <w:p w14:paraId="4941A32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Australia</w:t>
            </w:r>
          </w:p>
        </w:tc>
        <w:tc>
          <w:tcPr>
            <w:tcW w:w="1417" w:type="dxa"/>
            <w:shd w:val="clear" w:color="auto" w:fill="auto"/>
            <w:noWrap/>
            <w:hideMark/>
          </w:tcPr>
          <w:p w14:paraId="761DF26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Both</w:t>
            </w:r>
          </w:p>
        </w:tc>
        <w:tc>
          <w:tcPr>
            <w:tcW w:w="1276" w:type="dxa"/>
            <w:shd w:val="clear" w:color="auto" w:fill="auto"/>
            <w:noWrap/>
            <w:hideMark/>
          </w:tcPr>
          <w:p w14:paraId="75E9395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England (Devlin et al,2016) </w:t>
            </w:r>
          </w:p>
        </w:tc>
        <w:tc>
          <w:tcPr>
            <w:tcW w:w="1985" w:type="dxa"/>
            <w:shd w:val="clear" w:color="auto" w:fill="auto"/>
            <w:noWrap/>
            <w:hideMark/>
          </w:tcPr>
          <w:p w14:paraId="0F49122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Residential care homes (n=17) across 4 states</w:t>
            </w:r>
          </w:p>
        </w:tc>
        <w:tc>
          <w:tcPr>
            <w:tcW w:w="2409" w:type="dxa"/>
            <w:shd w:val="clear" w:color="auto" w:fill="auto"/>
            <w:noWrap/>
            <w:hideMark/>
          </w:tcPr>
          <w:p w14:paraId="014B06E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Cognitive impairment, dementia and disability</w:t>
            </w:r>
          </w:p>
        </w:tc>
        <w:tc>
          <w:tcPr>
            <w:tcW w:w="1276" w:type="dxa"/>
            <w:shd w:val="clear" w:color="auto" w:fill="auto"/>
            <w:noWrap/>
            <w:hideMark/>
          </w:tcPr>
          <w:p w14:paraId="36550C2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Yes</w:t>
            </w:r>
          </w:p>
        </w:tc>
        <w:tc>
          <w:tcPr>
            <w:tcW w:w="992" w:type="dxa"/>
            <w:shd w:val="clear" w:color="auto" w:fill="auto"/>
            <w:noWrap/>
            <w:hideMark/>
          </w:tcPr>
          <w:p w14:paraId="77C1445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Yes</w:t>
            </w:r>
          </w:p>
        </w:tc>
        <w:tc>
          <w:tcPr>
            <w:tcW w:w="851" w:type="dxa"/>
            <w:shd w:val="clear" w:color="auto" w:fill="auto"/>
            <w:noWrap/>
            <w:hideMark/>
          </w:tcPr>
          <w:p w14:paraId="4C68683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85.5 (8.5)</w:t>
            </w:r>
          </w:p>
        </w:tc>
        <w:tc>
          <w:tcPr>
            <w:tcW w:w="992" w:type="dxa"/>
            <w:shd w:val="clear" w:color="auto" w:fill="auto"/>
            <w:noWrap/>
            <w:hideMark/>
          </w:tcPr>
          <w:p w14:paraId="5C7219D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74.5</w:t>
            </w:r>
          </w:p>
        </w:tc>
        <w:tc>
          <w:tcPr>
            <w:tcW w:w="709" w:type="dxa"/>
            <w:shd w:val="clear" w:color="auto" w:fill="auto"/>
            <w:noWrap/>
            <w:hideMark/>
          </w:tcPr>
          <w:p w14:paraId="2056E2A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541</w:t>
            </w:r>
          </w:p>
        </w:tc>
      </w:tr>
      <w:tr w:rsidR="00B54D51" w:rsidRPr="00037AD4" w14:paraId="0F98D4B2" w14:textId="77777777" w:rsidTr="00401C67">
        <w:trPr>
          <w:trHeight w:val="300"/>
        </w:trPr>
        <w:tc>
          <w:tcPr>
            <w:tcW w:w="1271" w:type="dxa"/>
            <w:shd w:val="clear" w:color="auto" w:fill="auto"/>
            <w:noWrap/>
            <w:hideMark/>
          </w:tcPr>
          <w:p w14:paraId="2BC9F2F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Engel, 2020 </w:t>
            </w:r>
          </w:p>
        </w:tc>
        <w:tc>
          <w:tcPr>
            <w:tcW w:w="1276" w:type="dxa"/>
            <w:shd w:val="clear" w:color="auto" w:fill="auto"/>
            <w:noWrap/>
            <w:hideMark/>
          </w:tcPr>
          <w:p w14:paraId="7D7BDA4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Australia</w:t>
            </w:r>
          </w:p>
        </w:tc>
        <w:tc>
          <w:tcPr>
            <w:tcW w:w="1417" w:type="dxa"/>
            <w:shd w:val="clear" w:color="auto" w:fill="auto"/>
            <w:noWrap/>
            <w:hideMark/>
          </w:tcPr>
          <w:p w14:paraId="1370E39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Dimensions</w:t>
            </w:r>
          </w:p>
        </w:tc>
        <w:tc>
          <w:tcPr>
            <w:tcW w:w="1276" w:type="dxa"/>
            <w:shd w:val="clear" w:color="auto" w:fill="auto"/>
            <w:noWrap/>
            <w:hideMark/>
          </w:tcPr>
          <w:p w14:paraId="6CD86BA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Not applicable</w:t>
            </w:r>
          </w:p>
        </w:tc>
        <w:tc>
          <w:tcPr>
            <w:tcW w:w="1985" w:type="dxa"/>
            <w:shd w:val="clear" w:color="auto" w:fill="auto"/>
            <w:noWrap/>
            <w:hideMark/>
          </w:tcPr>
          <w:p w14:paraId="45A7B8C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Community dwelling</w:t>
            </w:r>
          </w:p>
        </w:tc>
        <w:tc>
          <w:tcPr>
            <w:tcW w:w="2409" w:type="dxa"/>
            <w:shd w:val="clear" w:color="auto" w:fill="auto"/>
            <w:noWrap/>
            <w:hideMark/>
          </w:tcPr>
          <w:p w14:paraId="4E6921C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Mild dementia and carers of people with dementia</w:t>
            </w:r>
          </w:p>
        </w:tc>
        <w:tc>
          <w:tcPr>
            <w:tcW w:w="1276" w:type="dxa"/>
            <w:shd w:val="clear" w:color="auto" w:fill="auto"/>
            <w:noWrap/>
            <w:hideMark/>
          </w:tcPr>
          <w:p w14:paraId="3241CDE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N/A </w:t>
            </w:r>
          </w:p>
        </w:tc>
        <w:tc>
          <w:tcPr>
            <w:tcW w:w="992" w:type="dxa"/>
            <w:shd w:val="clear" w:color="auto" w:fill="auto"/>
            <w:noWrap/>
            <w:hideMark/>
          </w:tcPr>
          <w:p w14:paraId="2185AF8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N/A</w:t>
            </w:r>
          </w:p>
        </w:tc>
        <w:tc>
          <w:tcPr>
            <w:tcW w:w="851" w:type="dxa"/>
            <w:shd w:val="clear" w:color="auto" w:fill="auto"/>
            <w:noWrap/>
            <w:hideMark/>
          </w:tcPr>
          <w:p w14:paraId="20AB8AE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74.9</w:t>
            </w:r>
          </w:p>
        </w:tc>
        <w:tc>
          <w:tcPr>
            <w:tcW w:w="992" w:type="dxa"/>
            <w:shd w:val="clear" w:color="auto" w:fill="auto"/>
            <w:noWrap/>
            <w:hideMark/>
          </w:tcPr>
          <w:p w14:paraId="6FFBECD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44.0</w:t>
            </w:r>
          </w:p>
        </w:tc>
        <w:tc>
          <w:tcPr>
            <w:tcW w:w="709" w:type="dxa"/>
            <w:shd w:val="clear" w:color="auto" w:fill="auto"/>
            <w:noWrap/>
            <w:hideMark/>
          </w:tcPr>
          <w:p w14:paraId="2EB923A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26</w:t>
            </w:r>
          </w:p>
        </w:tc>
      </w:tr>
      <w:tr w:rsidR="00B54D51" w:rsidRPr="00037AD4" w14:paraId="52E414BD" w14:textId="77777777" w:rsidTr="00401C67">
        <w:trPr>
          <w:trHeight w:val="285"/>
        </w:trPr>
        <w:tc>
          <w:tcPr>
            <w:tcW w:w="1271" w:type="dxa"/>
            <w:shd w:val="clear" w:color="auto" w:fill="auto"/>
            <w:noWrap/>
            <w:hideMark/>
          </w:tcPr>
          <w:p w14:paraId="7524782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Griffiths, 2020 </w:t>
            </w:r>
          </w:p>
        </w:tc>
        <w:tc>
          <w:tcPr>
            <w:tcW w:w="1276" w:type="dxa"/>
            <w:shd w:val="clear" w:color="auto" w:fill="auto"/>
            <w:noWrap/>
            <w:hideMark/>
          </w:tcPr>
          <w:p w14:paraId="1322083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UK </w:t>
            </w:r>
          </w:p>
        </w:tc>
        <w:tc>
          <w:tcPr>
            <w:tcW w:w="1417" w:type="dxa"/>
            <w:shd w:val="clear" w:color="auto" w:fill="auto"/>
            <w:noWrap/>
            <w:hideMark/>
          </w:tcPr>
          <w:p w14:paraId="1BA2320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Both</w:t>
            </w:r>
          </w:p>
        </w:tc>
        <w:tc>
          <w:tcPr>
            <w:tcW w:w="1276" w:type="dxa"/>
            <w:shd w:val="clear" w:color="auto" w:fill="auto"/>
            <w:noWrap/>
            <w:hideMark/>
          </w:tcPr>
          <w:p w14:paraId="3865D65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England (Devlin et al,2016)</w:t>
            </w:r>
          </w:p>
        </w:tc>
        <w:tc>
          <w:tcPr>
            <w:tcW w:w="1985" w:type="dxa"/>
            <w:shd w:val="clear" w:color="auto" w:fill="auto"/>
            <w:noWrap/>
            <w:hideMark/>
          </w:tcPr>
          <w:p w14:paraId="35DB958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Residential care homes (n=50)</w:t>
            </w:r>
          </w:p>
        </w:tc>
        <w:tc>
          <w:tcPr>
            <w:tcW w:w="2409" w:type="dxa"/>
            <w:shd w:val="clear" w:color="auto" w:fill="auto"/>
            <w:noWrap/>
            <w:hideMark/>
          </w:tcPr>
          <w:p w14:paraId="4403328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Formal diagnosis of dementia (or &gt;4 on the FAST)</w:t>
            </w:r>
          </w:p>
        </w:tc>
        <w:tc>
          <w:tcPr>
            <w:tcW w:w="1276" w:type="dxa"/>
            <w:shd w:val="clear" w:color="auto" w:fill="auto"/>
            <w:noWrap/>
            <w:hideMark/>
          </w:tcPr>
          <w:p w14:paraId="49B7505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Yes </w:t>
            </w:r>
          </w:p>
        </w:tc>
        <w:tc>
          <w:tcPr>
            <w:tcW w:w="992" w:type="dxa"/>
            <w:shd w:val="clear" w:color="auto" w:fill="auto"/>
            <w:noWrap/>
            <w:hideMark/>
          </w:tcPr>
          <w:p w14:paraId="18931DB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Yes</w:t>
            </w:r>
          </w:p>
        </w:tc>
        <w:tc>
          <w:tcPr>
            <w:tcW w:w="851" w:type="dxa"/>
            <w:shd w:val="clear" w:color="auto" w:fill="auto"/>
            <w:noWrap/>
            <w:hideMark/>
          </w:tcPr>
          <w:p w14:paraId="5EE88B3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85.6 (7.6)</w:t>
            </w:r>
          </w:p>
        </w:tc>
        <w:tc>
          <w:tcPr>
            <w:tcW w:w="992" w:type="dxa"/>
            <w:shd w:val="clear" w:color="auto" w:fill="auto"/>
            <w:noWrap/>
            <w:hideMark/>
          </w:tcPr>
          <w:p w14:paraId="1A328A1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73.8</w:t>
            </w:r>
          </w:p>
        </w:tc>
        <w:tc>
          <w:tcPr>
            <w:tcW w:w="709" w:type="dxa"/>
            <w:shd w:val="clear" w:color="auto" w:fill="auto"/>
            <w:noWrap/>
            <w:hideMark/>
          </w:tcPr>
          <w:p w14:paraId="1FE9440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726</w:t>
            </w:r>
          </w:p>
        </w:tc>
      </w:tr>
      <w:tr w:rsidR="00B54D51" w:rsidRPr="00037AD4" w14:paraId="78AB8DA3" w14:textId="77777777" w:rsidTr="00401C67">
        <w:trPr>
          <w:trHeight w:val="330"/>
        </w:trPr>
        <w:tc>
          <w:tcPr>
            <w:tcW w:w="1271" w:type="dxa"/>
            <w:shd w:val="clear" w:color="auto" w:fill="auto"/>
            <w:noWrap/>
            <w:hideMark/>
          </w:tcPr>
          <w:p w14:paraId="12FC801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Handels, 2018 </w:t>
            </w:r>
          </w:p>
        </w:tc>
        <w:tc>
          <w:tcPr>
            <w:tcW w:w="1276" w:type="dxa"/>
            <w:shd w:val="clear" w:color="auto" w:fill="auto"/>
            <w:noWrap/>
            <w:hideMark/>
          </w:tcPr>
          <w:p w14:paraId="7BCA954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8 European countries </w:t>
            </w:r>
          </w:p>
        </w:tc>
        <w:tc>
          <w:tcPr>
            <w:tcW w:w="1417" w:type="dxa"/>
            <w:shd w:val="clear" w:color="auto" w:fill="auto"/>
            <w:noWrap/>
            <w:hideMark/>
          </w:tcPr>
          <w:p w14:paraId="25CD6AA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Index</w:t>
            </w:r>
          </w:p>
        </w:tc>
        <w:tc>
          <w:tcPr>
            <w:tcW w:w="1276" w:type="dxa"/>
            <w:shd w:val="clear" w:color="auto" w:fill="auto"/>
            <w:noWrap/>
            <w:hideMark/>
          </w:tcPr>
          <w:p w14:paraId="5480985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van Hout crosswalk UK (2012)</w:t>
            </w:r>
          </w:p>
        </w:tc>
        <w:tc>
          <w:tcPr>
            <w:tcW w:w="1985" w:type="dxa"/>
            <w:shd w:val="clear" w:color="auto" w:fill="auto"/>
            <w:noWrap/>
            <w:hideMark/>
          </w:tcPr>
          <w:p w14:paraId="646183D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Community dwelling</w:t>
            </w:r>
          </w:p>
        </w:tc>
        <w:tc>
          <w:tcPr>
            <w:tcW w:w="2409" w:type="dxa"/>
            <w:shd w:val="clear" w:color="auto" w:fill="auto"/>
            <w:noWrap/>
            <w:hideMark/>
          </w:tcPr>
          <w:p w14:paraId="0C0AE1F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Mild to moderate dementia</w:t>
            </w:r>
          </w:p>
        </w:tc>
        <w:tc>
          <w:tcPr>
            <w:tcW w:w="1276" w:type="dxa"/>
            <w:shd w:val="clear" w:color="auto" w:fill="auto"/>
            <w:noWrap/>
            <w:hideMark/>
          </w:tcPr>
          <w:p w14:paraId="188A751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Yes</w:t>
            </w:r>
          </w:p>
        </w:tc>
        <w:tc>
          <w:tcPr>
            <w:tcW w:w="992" w:type="dxa"/>
            <w:shd w:val="clear" w:color="auto" w:fill="auto"/>
            <w:noWrap/>
            <w:hideMark/>
          </w:tcPr>
          <w:p w14:paraId="12BA3F4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Yes</w:t>
            </w:r>
          </w:p>
        </w:tc>
        <w:tc>
          <w:tcPr>
            <w:tcW w:w="851" w:type="dxa"/>
            <w:shd w:val="clear" w:color="auto" w:fill="auto"/>
            <w:noWrap/>
            <w:hideMark/>
          </w:tcPr>
          <w:p w14:paraId="0E1A7DC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78.0 (8.0)</w:t>
            </w:r>
          </w:p>
        </w:tc>
        <w:tc>
          <w:tcPr>
            <w:tcW w:w="992" w:type="dxa"/>
            <w:shd w:val="clear" w:color="auto" w:fill="auto"/>
            <w:noWrap/>
            <w:hideMark/>
          </w:tcPr>
          <w:p w14:paraId="2958263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55.0</w:t>
            </w:r>
          </w:p>
        </w:tc>
        <w:tc>
          <w:tcPr>
            <w:tcW w:w="709" w:type="dxa"/>
            <w:shd w:val="clear" w:color="auto" w:fill="auto"/>
            <w:noWrap/>
            <w:hideMark/>
          </w:tcPr>
          <w:p w14:paraId="35BEED8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451 dyads</w:t>
            </w:r>
          </w:p>
        </w:tc>
      </w:tr>
      <w:tr w:rsidR="00B54D51" w:rsidRPr="00037AD4" w14:paraId="7D104EA4" w14:textId="77777777" w:rsidTr="00401C67">
        <w:trPr>
          <w:trHeight w:val="300"/>
        </w:trPr>
        <w:tc>
          <w:tcPr>
            <w:tcW w:w="1271" w:type="dxa"/>
            <w:shd w:val="clear" w:color="auto" w:fill="auto"/>
            <w:noWrap/>
            <w:hideMark/>
          </w:tcPr>
          <w:p w14:paraId="6865A37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Harrison, 2018 </w:t>
            </w:r>
          </w:p>
        </w:tc>
        <w:tc>
          <w:tcPr>
            <w:tcW w:w="1276" w:type="dxa"/>
            <w:shd w:val="clear" w:color="auto" w:fill="auto"/>
            <w:noWrap/>
            <w:hideMark/>
          </w:tcPr>
          <w:p w14:paraId="1E3E0D9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Australia</w:t>
            </w:r>
          </w:p>
        </w:tc>
        <w:tc>
          <w:tcPr>
            <w:tcW w:w="1417" w:type="dxa"/>
            <w:shd w:val="clear" w:color="auto" w:fill="auto"/>
            <w:noWrap/>
            <w:hideMark/>
          </w:tcPr>
          <w:p w14:paraId="4D9C142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Index</w:t>
            </w:r>
          </w:p>
        </w:tc>
        <w:tc>
          <w:tcPr>
            <w:tcW w:w="1276" w:type="dxa"/>
            <w:shd w:val="clear" w:color="auto" w:fill="auto"/>
            <w:noWrap/>
            <w:hideMark/>
          </w:tcPr>
          <w:p w14:paraId="77BDDBC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England (Devlin et al,2016)</w:t>
            </w:r>
          </w:p>
        </w:tc>
        <w:tc>
          <w:tcPr>
            <w:tcW w:w="1985" w:type="dxa"/>
            <w:shd w:val="clear" w:color="auto" w:fill="auto"/>
            <w:noWrap/>
            <w:hideMark/>
          </w:tcPr>
          <w:p w14:paraId="49A569A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Residential care homes (n=17) across 4 states</w:t>
            </w:r>
          </w:p>
        </w:tc>
        <w:tc>
          <w:tcPr>
            <w:tcW w:w="2409" w:type="dxa"/>
            <w:shd w:val="clear" w:color="auto" w:fill="auto"/>
            <w:noWrap/>
            <w:hideMark/>
          </w:tcPr>
          <w:p w14:paraId="69D368B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Older adults 64.3% of whom had a dementia diagnosis </w:t>
            </w:r>
          </w:p>
        </w:tc>
        <w:tc>
          <w:tcPr>
            <w:tcW w:w="1276" w:type="dxa"/>
            <w:shd w:val="clear" w:color="auto" w:fill="auto"/>
            <w:noWrap/>
            <w:hideMark/>
          </w:tcPr>
          <w:p w14:paraId="6E64F2A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Yes</w:t>
            </w:r>
          </w:p>
        </w:tc>
        <w:tc>
          <w:tcPr>
            <w:tcW w:w="992" w:type="dxa"/>
            <w:shd w:val="clear" w:color="auto" w:fill="auto"/>
            <w:noWrap/>
            <w:hideMark/>
          </w:tcPr>
          <w:p w14:paraId="31BE812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Yes</w:t>
            </w:r>
          </w:p>
        </w:tc>
        <w:tc>
          <w:tcPr>
            <w:tcW w:w="851" w:type="dxa"/>
            <w:shd w:val="clear" w:color="auto" w:fill="auto"/>
            <w:noWrap/>
            <w:hideMark/>
          </w:tcPr>
          <w:p w14:paraId="746EB3A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85.5 (8.5)</w:t>
            </w:r>
          </w:p>
        </w:tc>
        <w:tc>
          <w:tcPr>
            <w:tcW w:w="992" w:type="dxa"/>
            <w:shd w:val="clear" w:color="auto" w:fill="auto"/>
            <w:noWrap/>
            <w:hideMark/>
          </w:tcPr>
          <w:p w14:paraId="55EFD84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74.5</w:t>
            </w:r>
          </w:p>
        </w:tc>
        <w:tc>
          <w:tcPr>
            <w:tcW w:w="709" w:type="dxa"/>
            <w:shd w:val="clear" w:color="auto" w:fill="auto"/>
            <w:noWrap/>
            <w:hideMark/>
          </w:tcPr>
          <w:p w14:paraId="6D47F85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541</w:t>
            </w:r>
          </w:p>
        </w:tc>
      </w:tr>
      <w:tr w:rsidR="00B54D51" w:rsidRPr="00037AD4" w14:paraId="154DB53B" w14:textId="77777777" w:rsidTr="00401C67">
        <w:trPr>
          <w:trHeight w:val="300"/>
        </w:trPr>
        <w:tc>
          <w:tcPr>
            <w:tcW w:w="1271" w:type="dxa"/>
            <w:shd w:val="clear" w:color="auto" w:fill="auto"/>
            <w:noWrap/>
            <w:hideMark/>
          </w:tcPr>
          <w:p w14:paraId="75A5ECC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Hurley, 2020 </w:t>
            </w:r>
          </w:p>
        </w:tc>
        <w:tc>
          <w:tcPr>
            <w:tcW w:w="1276" w:type="dxa"/>
            <w:shd w:val="clear" w:color="auto" w:fill="auto"/>
            <w:noWrap/>
            <w:hideMark/>
          </w:tcPr>
          <w:p w14:paraId="79796A3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UK</w:t>
            </w:r>
          </w:p>
        </w:tc>
        <w:tc>
          <w:tcPr>
            <w:tcW w:w="1417" w:type="dxa"/>
            <w:shd w:val="clear" w:color="auto" w:fill="auto"/>
            <w:noWrap/>
            <w:hideMark/>
          </w:tcPr>
          <w:p w14:paraId="41ED2E7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Neither</w:t>
            </w:r>
          </w:p>
        </w:tc>
        <w:tc>
          <w:tcPr>
            <w:tcW w:w="1276" w:type="dxa"/>
            <w:shd w:val="clear" w:color="auto" w:fill="auto"/>
            <w:noWrap/>
            <w:hideMark/>
          </w:tcPr>
          <w:p w14:paraId="431CDE7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Not applicable</w:t>
            </w:r>
          </w:p>
        </w:tc>
        <w:tc>
          <w:tcPr>
            <w:tcW w:w="1985" w:type="dxa"/>
            <w:shd w:val="clear" w:color="auto" w:fill="auto"/>
            <w:noWrap/>
            <w:hideMark/>
          </w:tcPr>
          <w:p w14:paraId="458EE3B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Residential care homes (n = 3) </w:t>
            </w:r>
          </w:p>
        </w:tc>
        <w:tc>
          <w:tcPr>
            <w:tcW w:w="2409" w:type="dxa"/>
            <w:shd w:val="clear" w:color="auto" w:fill="auto"/>
            <w:noWrap/>
            <w:hideMark/>
          </w:tcPr>
          <w:p w14:paraId="15C248E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Care home residents (majority with mild dementia)</w:t>
            </w:r>
          </w:p>
        </w:tc>
        <w:tc>
          <w:tcPr>
            <w:tcW w:w="1276" w:type="dxa"/>
            <w:shd w:val="clear" w:color="auto" w:fill="auto"/>
            <w:noWrap/>
            <w:hideMark/>
          </w:tcPr>
          <w:p w14:paraId="5972CD6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Yes</w:t>
            </w:r>
          </w:p>
        </w:tc>
        <w:tc>
          <w:tcPr>
            <w:tcW w:w="992" w:type="dxa"/>
            <w:shd w:val="clear" w:color="auto" w:fill="auto"/>
            <w:noWrap/>
            <w:hideMark/>
          </w:tcPr>
          <w:p w14:paraId="243FF22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No </w:t>
            </w:r>
          </w:p>
        </w:tc>
        <w:tc>
          <w:tcPr>
            <w:tcW w:w="851" w:type="dxa"/>
            <w:shd w:val="clear" w:color="auto" w:fill="auto"/>
            <w:noWrap/>
            <w:hideMark/>
          </w:tcPr>
          <w:p w14:paraId="443A231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89.0 </w:t>
            </w:r>
          </w:p>
        </w:tc>
        <w:tc>
          <w:tcPr>
            <w:tcW w:w="992" w:type="dxa"/>
            <w:shd w:val="clear" w:color="auto" w:fill="auto"/>
            <w:noWrap/>
            <w:hideMark/>
          </w:tcPr>
          <w:p w14:paraId="0561813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82.9</w:t>
            </w:r>
          </w:p>
        </w:tc>
        <w:tc>
          <w:tcPr>
            <w:tcW w:w="709" w:type="dxa"/>
            <w:shd w:val="clear" w:color="auto" w:fill="auto"/>
            <w:noWrap/>
            <w:hideMark/>
          </w:tcPr>
          <w:p w14:paraId="08A74D5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35</w:t>
            </w:r>
          </w:p>
        </w:tc>
      </w:tr>
      <w:tr w:rsidR="00B54D51" w:rsidRPr="00037AD4" w14:paraId="017A904D" w14:textId="77777777" w:rsidTr="00401C67">
        <w:trPr>
          <w:trHeight w:val="300"/>
        </w:trPr>
        <w:tc>
          <w:tcPr>
            <w:tcW w:w="1271" w:type="dxa"/>
            <w:shd w:val="clear" w:color="auto" w:fill="auto"/>
            <w:noWrap/>
            <w:hideMark/>
          </w:tcPr>
          <w:p w14:paraId="612E50A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Janssen, 2018 </w:t>
            </w:r>
          </w:p>
        </w:tc>
        <w:tc>
          <w:tcPr>
            <w:tcW w:w="1276" w:type="dxa"/>
            <w:shd w:val="clear" w:color="auto" w:fill="auto"/>
            <w:noWrap/>
            <w:hideMark/>
          </w:tcPr>
          <w:p w14:paraId="48D8132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8 European countries </w:t>
            </w:r>
          </w:p>
        </w:tc>
        <w:tc>
          <w:tcPr>
            <w:tcW w:w="1417" w:type="dxa"/>
            <w:shd w:val="clear" w:color="auto" w:fill="auto"/>
            <w:noWrap/>
            <w:hideMark/>
          </w:tcPr>
          <w:p w14:paraId="24643AE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Both</w:t>
            </w:r>
          </w:p>
        </w:tc>
        <w:tc>
          <w:tcPr>
            <w:tcW w:w="1276" w:type="dxa"/>
            <w:shd w:val="clear" w:color="auto" w:fill="auto"/>
            <w:noWrap/>
            <w:hideMark/>
          </w:tcPr>
          <w:p w14:paraId="34357BE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England (Devlin et al,2016)</w:t>
            </w:r>
          </w:p>
        </w:tc>
        <w:tc>
          <w:tcPr>
            <w:tcW w:w="1985" w:type="dxa"/>
            <w:shd w:val="clear" w:color="auto" w:fill="auto"/>
            <w:noWrap/>
            <w:hideMark/>
          </w:tcPr>
          <w:p w14:paraId="02E0072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Community dwelling </w:t>
            </w:r>
          </w:p>
        </w:tc>
        <w:tc>
          <w:tcPr>
            <w:tcW w:w="2409" w:type="dxa"/>
            <w:shd w:val="clear" w:color="auto" w:fill="auto"/>
            <w:noWrap/>
            <w:hideMark/>
          </w:tcPr>
          <w:p w14:paraId="677FCED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Mild to moderate dementia</w:t>
            </w:r>
          </w:p>
        </w:tc>
        <w:tc>
          <w:tcPr>
            <w:tcW w:w="1276" w:type="dxa"/>
            <w:shd w:val="clear" w:color="auto" w:fill="auto"/>
            <w:noWrap/>
            <w:hideMark/>
          </w:tcPr>
          <w:p w14:paraId="2D2E0BB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No</w:t>
            </w:r>
          </w:p>
        </w:tc>
        <w:tc>
          <w:tcPr>
            <w:tcW w:w="992" w:type="dxa"/>
            <w:shd w:val="clear" w:color="auto" w:fill="auto"/>
            <w:noWrap/>
            <w:hideMark/>
          </w:tcPr>
          <w:p w14:paraId="5A84F3A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Yes</w:t>
            </w:r>
          </w:p>
        </w:tc>
        <w:tc>
          <w:tcPr>
            <w:tcW w:w="851" w:type="dxa"/>
            <w:shd w:val="clear" w:color="auto" w:fill="auto"/>
            <w:noWrap/>
            <w:hideMark/>
          </w:tcPr>
          <w:p w14:paraId="39851F8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77.4 (7.8)</w:t>
            </w:r>
          </w:p>
        </w:tc>
        <w:tc>
          <w:tcPr>
            <w:tcW w:w="992" w:type="dxa"/>
            <w:shd w:val="clear" w:color="auto" w:fill="auto"/>
            <w:noWrap/>
            <w:hideMark/>
          </w:tcPr>
          <w:p w14:paraId="43170BD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53.0</w:t>
            </w:r>
          </w:p>
        </w:tc>
        <w:tc>
          <w:tcPr>
            <w:tcW w:w="709" w:type="dxa"/>
            <w:shd w:val="clear" w:color="auto" w:fill="auto"/>
            <w:noWrap/>
            <w:hideMark/>
          </w:tcPr>
          <w:p w14:paraId="662DAE0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390 dyads </w:t>
            </w:r>
          </w:p>
        </w:tc>
      </w:tr>
      <w:tr w:rsidR="00B54D51" w:rsidRPr="00037AD4" w14:paraId="61E7D10E" w14:textId="77777777" w:rsidTr="00401C67">
        <w:trPr>
          <w:trHeight w:val="300"/>
        </w:trPr>
        <w:tc>
          <w:tcPr>
            <w:tcW w:w="1271" w:type="dxa"/>
            <w:shd w:val="clear" w:color="auto" w:fill="auto"/>
            <w:noWrap/>
            <w:hideMark/>
          </w:tcPr>
          <w:p w14:paraId="55FE853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Jurkeviciute, 2019 </w:t>
            </w:r>
          </w:p>
          <w:p w14:paraId="204914AE" w14:textId="77777777" w:rsidR="00B54D51" w:rsidRPr="00037AD4" w:rsidRDefault="00B54D51" w:rsidP="00401C67">
            <w:pPr>
              <w:rPr>
                <w:rFonts w:asciiTheme="minorHAnsi" w:hAnsiTheme="minorHAnsi" w:cstheme="minorHAnsi"/>
              </w:rPr>
            </w:pPr>
          </w:p>
          <w:p w14:paraId="2EAB0EA9" w14:textId="77777777" w:rsidR="00B54D51" w:rsidRPr="00037AD4" w:rsidRDefault="00B54D51" w:rsidP="00401C67">
            <w:pPr>
              <w:rPr>
                <w:rFonts w:asciiTheme="minorHAnsi" w:hAnsiTheme="minorHAnsi" w:cstheme="minorHAnsi"/>
              </w:rPr>
            </w:pPr>
          </w:p>
        </w:tc>
        <w:tc>
          <w:tcPr>
            <w:tcW w:w="1276" w:type="dxa"/>
            <w:shd w:val="clear" w:color="auto" w:fill="auto"/>
            <w:noWrap/>
            <w:hideMark/>
          </w:tcPr>
          <w:p w14:paraId="735E2CC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Italy</w:t>
            </w:r>
          </w:p>
        </w:tc>
        <w:tc>
          <w:tcPr>
            <w:tcW w:w="1417" w:type="dxa"/>
            <w:shd w:val="clear" w:color="auto" w:fill="auto"/>
            <w:noWrap/>
            <w:hideMark/>
          </w:tcPr>
          <w:p w14:paraId="7EE7CD4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Both</w:t>
            </w:r>
          </w:p>
        </w:tc>
        <w:tc>
          <w:tcPr>
            <w:tcW w:w="1276" w:type="dxa"/>
            <w:shd w:val="clear" w:color="auto" w:fill="auto"/>
            <w:noWrap/>
            <w:hideMark/>
          </w:tcPr>
          <w:p w14:paraId="1DBA8BF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Spain (no reference provided)</w:t>
            </w:r>
          </w:p>
        </w:tc>
        <w:tc>
          <w:tcPr>
            <w:tcW w:w="1985" w:type="dxa"/>
            <w:shd w:val="clear" w:color="auto" w:fill="auto"/>
            <w:noWrap/>
            <w:hideMark/>
          </w:tcPr>
          <w:p w14:paraId="18972EC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Community dwelling</w:t>
            </w:r>
          </w:p>
          <w:p w14:paraId="7AE9A7A2" w14:textId="77777777" w:rsidR="00B54D51" w:rsidRPr="00037AD4" w:rsidRDefault="00B54D51" w:rsidP="00401C67">
            <w:pPr>
              <w:rPr>
                <w:rFonts w:asciiTheme="minorHAnsi" w:hAnsiTheme="minorHAnsi" w:cstheme="minorHAnsi"/>
              </w:rPr>
            </w:pPr>
          </w:p>
          <w:p w14:paraId="70D0E5EA" w14:textId="77777777" w:rsidR="00B54D51" w:rsidRPr="00037AD4" w:rsidRDefault="00B54D51" w:rsidP="00401C67">
            <w:pPr>
              <w:rPr>
                <w:rFonts w:asciiTheme="minorHAnsi" w:hAnsiTheme="minorHAnsi" w:cstheme="minorHAnsi"/>
              </w:rPr>
            </w:pPr>
          </w:p>
          <w:p w14:paraId="191129C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lastRenderedPageBreak/>
              <w:t xml:space="preserve"> </w:t>
            </w:r>
          </w:p>
        </w:tc>
        <w:tc>
          <w:tcPr>
            <w:tcW w:w="2409" w:type="dxa"/>
            <w:shd w:val="clear" w:color="auto" w:fill="auto"/>
            <w:noWrap/>
            <w:hideMark/>
          </w:tcPr>
          <w:p w14:paraId="427CCD8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lastRenderedPageBreak/>
              <w:t>Elderly with Mild Cognitive Impairment and Mild Dementia</w:t>
            </w:r>
          </w:p>
        </w:tc>
        <w:tc>
          <w:tcPr>
            <w:tcW w:w="1276" w:type="dxa"/>
            <w:shd w:val="clear" w:color="auto" w:fill="auto"/>
            <w:noWrap/>
            <w:hideMark/>
          </w:tcPr>
          <w:p w14:paraId="48E56EC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Not reported</w:t>
            </w:r>
          </w:p>
        </w:tc>
        <w:tc>
          <w:tcPr>
            <w:tcW w:w="992" w:type="dxa"/>
            <w:shd w:val="clear" w:color="auto" w:fill="auto"/>
            <w:noWrap/>
            <w:hideMark/>
          </w:tcPr>
          <w:p w14:paraId="24D7FE7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Not reported</w:t>
            </w:r>
          </w:p>
        </w:tc>
        <w:tc>
          <w:tcPr>
            <w:tcW w:w="851" w:type="dxa"/>
            <w:shd w:val="clear" w:color="auto" w:fill="auto"/>
            <w:noWrap/>
            <w:hideMark/>
          </w:tcPr>
          <w:p w14:paraId="0D4924B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79.0 (6.0)</w:t>
            </w:r>
          </w:p>
        </w:tc>
        <w:tc>
          <w:tcPr>
            <w:tcW w:w="992" w:type="dxa"/>
            <w:shd w:val="clear" w:color="auto" w:fill="auto"/>
            <w:noWrap/>
            <w:hideMark/>
          </w:tcPr>
          <w:p w14:paraId="4A118CD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57.4</w:t>
            </w:r>
          </w:p>
        </w:tc>
        <w:tc>
          <w:tcPr>
            <w:tcW w:w="709" w:type="dxa"/>
            <w:shd w:val="clear" w:color="auto" w:fill="auto"/>
            <w:noWrap/>
            <w:hideMark/>
          </w:tcPr>
          <w:p w14:paraId="1E55F01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107</w:t>
            </w:r>
          </w:p>
        </w:tc>
      </w:tr>
      <w:tr w:rsidR="00B54D51" w:rsidRPr="00037AD4" w14:paraId="244DEF04" w14:textId="77777777" w:rsidTr="00401C67">
        <w:trPr>
          <w:trHeight w:val="241"/>
        </w:trPr>
        <w:tc>
          <w:tcPr>
            <w:tcW w:w="1271" w:type="dxa"/>
            <w:shd w:val="clear" w:color="auto" w:fill="auto"/>
            <w:noWrap/>
            <w:hideMark/>
          </w:tcPr>
          <w:p w14:paraId="154C033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Maidment, 2020 </w:t>
            </w:r>
          </w:p>
        </w:tc>
        <w:tc>
          <w:tcPr>
            <w:tcW w:w="1276" w:type="dxa"/>
            <w:shd w:val="clear" w:color="auto" w:fill="auto"/>
            <w:noWrap/>
            <w:hideMark/>
          </w:tcPr>
          <w:p w14:paraId="20243BD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UK</w:t>
            </w:r>
          </w:p>
          <w:p w14:paraId="29192976" w14:textId="77777777" w:rsidR="00B54D51" w:rsidRPr="00037AD4" w:rsidRDefault="00B54D51" w:rsidP="00401C67">
            <w:pPr>
              <w:rPr>
                <w:rFonts w:asciiTheme="minorHAnsi" w:hAnsiTheme="minorHAnsi" w:cstheme="minorHAnsi"/>
              </w:rPr>
            </w:pPr>
          </w:p>
        </w:tc>
        <w:tc>
          <w:tcPr>
            <w:tcW w:w="1417" w:type="dxa"/>
            <w:shd w:val="clear" w:color="auto" w:fill="auto"/>
            <w:noWrap/>
            <w:hideMark/>
          </w:tcPr>
          <w:p w14:paraId="455852B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Index</w:t>
            </w:r>
          </w:p>
          <w:p w14:paraId="686AB8FB" w14:textId="77777777" w:rsidR="00B54D51" w:rsidRPr="00037AD4" w:rsidRDefault="00B54D51" w:rsidP="00401C67">
            <w:pPr>
              <w:rPr>
                <w:rFonts w:asciiTheme="minorHAnsi" w:hAnsiTheme="minorHAnsi" w:cstheme="minorHAnsi"/>
              </w:rPr>
            </w:pPr>
          </w:p>
        </w:tc>
        <w:tc>
          <w:tcPr>
            <w:tcW w:w="1276" w:type="dxa"/>
            <w:shd w:val="clear" w:color="auto" w:fill="auto"/>
            <w:noWrap/>
            <w:hideMark/>
          </w:tcPr>
          <w:p w14:paraId="6147685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van Hout crosswalk UK (2012)</w:t>
            </w:r>
          </w:p>
        </w:tc>
        <w:tc>
          <w:tcPr>
            <w:tcW w:w="1985" w:type="dxa"/>
            <w:shd w:val="clear" w:color="auto" w:fill="auto"/>
            <w:noWrap/>
            <w:hideMark/>
          </w:tcPr>
          <w:p w14:paraId="0B7AFF2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Residential care homes (n = 5) </w:t>
            </w:r>
          </w:p>
        </w:tc>
        <w:tc>
          <w:tcPr>
            <w:tcW w:w="2409" w:type="dxa"/>
            <w:shd w:val="clear" w:color="auto" w:fill="auto"/>
            <w:noWrap/>
            <w:hideMark/>
          </w:tcPr>
          <w:p w14:paraId="089AD5A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Moderate to severe dementia</w:t>
            </w:r>
          </w:p>
        </w:tc>
        <w:tc>
          <w:tcPr>
            <w:tcW w:w="1276" w:type="dxa"/>
            <w:shd w:val="clear" w:color="auto" w:fill="auto"/>
            <w:noWrap/>
            <w:hideMark/>
          </w:tcPr>
          <w:p w14:paraId="37025B4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No</w:t>
            </w:r>
          </w:p>
        </w:tc>
        <w:tc>
          <w:tcPr>
            <w:tcW w:w="992" w:type="dxa"/>
            <w:shd w:val="clear" w:color="auto" w:fill="auto"/>
            <w:noWrap/>
            <w:hideMark/>
          </w:tcPr>
          <w:p w14:paraId="7073975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Yes</w:t>
            </w:r>
          </w:p>
        </w:tc>
        <w:tc>
          <w:tcPr>
            <w:tcW w:w="851" w:type="dxa"/>
            <w:shd w:val="clear" w:color="auto" w:fill="auto"/>
            <w:noWrap/>
            <w:hideMark/>
          </w:tcPr>
          <w:p w14:paraId="1D80DBF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83.6 (9.3)</w:t>
            </w:r>
          </w:p>
        </w:tc>
        <w:tc>
          <w:tcPr>
            <w:tcW w:w="992" w:type="dxa"/>
            <w:shd w:val="clear" w:color="auto" w:fill="auto"/>
            <w:noWrap/>
            <w:hideMark/>
          </w:tcPr>
          <w:p w14:paraId="7382540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62.1</w:t>
            </w:r>
          </w:p>
        </w:tc>
        <w:tc>
          <w:tcPr>
            <w:tcW w:w="709" w:type="dxa"/>
            <w:shd w:val="clear" w:color="auto" w:fill="auto"/>
            <w:noWrap/>
            <w:hideMark/>
          </w:tcPr>
          <w:p w14:paraId="69DED2E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29</w:t>
            </w:r>
          </w:p>
        </w:tc>
      </w:tr>
      <w:tr w:rsidR="00B54D51" w:rsidRPr="00037AD4" w14:paraId="60B90E60" w14:textId="77777777" w:rsidTr="00401C67">
        <w:trPr>
          <w:trHeight w:val="300"/>
        </w:trPr>
        <w:tc>
          <w:tcPr>
            <w:tcW w:w="1271" w:type="dxa"/>
            <w:shd w:val="clear" w:color="auto" w:fill="auto"/>
            <w:noWrap/>
            <w:hideMark/>
          </w:tcPr>
          <w:p w14:paraId="5CD7330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Martin, 2019 </w:t>
            </w:r>
          </w:p>
          <w:p w14:paraId="46CDBE28" w14:textId="77777777" w:rsidR="00B54D51" w:rsidRPr="00037AD4" w:rsidRDefault="00B54D51" w:rsidP="00401C67">
            <w:pPr>
              <w:rPr>
                <w:rFonts w:asciiTheme="minorHAnsi" w:hAnsiTheme="minorHAnsi" w:cstheme="minorHAnsi"/>
              </w:rPr>
            </w:pPr>
          </w:p>
        </w:tc>
        <w:tc>
          <w:tcPr>
            <w:tcW w:w="1276" w:type="dxa"/>
            <w:shd w:val="clear" w:color="auto" w:fill="auto"/>
            <w:noWrap/>
            <w:hideMark/>
          </w:tcPr>
          <w:p w14:paraId="5E04CED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UK </w:t>
            </w:r>
          </w:p>
        </w:tc>
        <w:tc>
          <w:tcPr>
            <w:tcW w:w="1417" w:type="dxa"/>
            <w:shd w:val="clear" w:color="auto" w:fill="auto"/>
            <w:noWrap/>
            <w:hideMark/>
          </w:tcPr>
          <w:p w14:paraId="7980AEF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Index</w:t>
            </w:r>
          </w:p>
        </w:tc>
        <w:tc>
          <w:tcPr>
            <w:tcW w:w="1276" w:type="dxa"/>
            <w:shd w:val="clear" w:color="auto" w:fill="auto"/>
            <w:noWrap/>
            <w:hideMark/>
          </w:tcPr>
          <w:p w14:paraId="58C4A91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England (Devlin et al,2016)</w:t>
            </w:r>
          </w:p>
        </w:tc>
        <w:tc>
          <w:tcPr>
            <w:tcW w:w="1985" w:type="dxa"/>
            <w:shd w:val="clear" w:color="auto" w:fill="auto"/>
            <w:noWrap/>
            <w:hideMark/>
          </w:tcPr>
          <w:p w14:paraId="0B97F1A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Residential care homes (n=50)</w:t>
            </w:r>
          </w:p>
        </w:tc>
        <w:tc>
          <w:tcPr>
            <w:tcW w:w="2409" w:type="dxa"/>
            <w:shd w:val="clear" w:color="auto" w:fill="auto"/>
            <w:noWrap/>
            <w:hideMark/>
          </w:tcPr>
          <w:p w14:paraId="5F1DAD9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Dementia</w:t>
            </w:r>
          </w:p>
        </w:tc>
        <w:tc>
          <w:tcPr>
            <w:tcW w:w="1276" w:type="dxa"/>
            <w:shd w:val="clear" w:color="auto" w:fill="auto"/>
            <w:noWrap/>
            <w:hideMark/>
          </w:tcPr>
          <w:p w14:paraId="109A511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Yes</w:t>
            </w:r>
          </w:p>
        </w:tc>
        <w:tc>
          <w:tcPr>
            <w:tcW w:w="992" w:type="dxa"/>
            <w:shd w:val="clear" w:color="auto" w:fill="auto"/>
            <w:noWrap/>
            <w:hideMark/>
          </w:tcPr>
          <w:p w14:paraId="0B262FF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Yes</w:t>
            </w:r>
          </w:p>
        </w:tc>
        <w:tc>
          <w:tcPr>
            <w:tcW w:w="851" w:type="dxa"/>
            <w:shd w:val="clear" w:color="auto" w:fill="auto"/>
            <w:noWrap/>
            <w:hideMark/>
          </w:tcPr>
          <w:p w14:paraId="530A97D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85.5 </w:t>
            </w:r>
          </w:p>
        </w:tc>
        <w:tc>
          <w:tcPr>
            <w:tcW w:w="992" w:type="dxa"/>
            <w:shd w:val="clear" w:color="auto" w:fill="auto"/>
            <w:noWrap/>
            <w:hideMark/>
          </w:tcPr>
          <w:p w14:paraId="58707BD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73.2</w:t>
            </w:r>
          </w:p>
        </w:tc>
        <w:tc>
          <w:tcPr>
            <w:tcW w:w="709" w:type="dxa"/>
            <w:shd w:val="clear" w:color="auto" w:fill="auto"/>
            <w:noWrap/>
            <w:hideMark/>
          </w:tcPr>
          <w:p w14:paraId="6E4B7AF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1004</w:t>
            </w:r>
          </w:p>
        </w:tc>
      </w:tr>
      <w:tr w:rsidR="00B54D51" w:rsidRPr="00037AD4" w14:paraId="0C5E3398" w14:textId="77777777" w:rsidTr="00401C67">
        <w:trPr>
          <w:trHeight w:val="525"/>
        </w:trPr>
        <w:tc>
          <w:tcPr>
            <w:tcW w:w="1271" w:type="dxa"/>
            <w:shd w:val="clear" w:color="auto" w:fill="auto"/>
            <w:noWrap/>
            <w:hideMark/>
          </w:tcPr>
          <w:p w14:paraId="36695F0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Meads, 2020 </w:t>
            </w:r>
          </w:p>
        </w:tc>
        <w:tc>
          <w:tcPr>
            <w:tcW w:w="1276" w:type="dxa"/>
            <w:shd w:val="clear" w:color="auto" w:fill="auto"/>
            <w:noWrap/>
            <w:hideMark/>
          </w:tcPr>
          <w:p w14:paraId="036E72F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UK </w:t>
            </w:r>
          </w:p>
          <w:p w14:paraId="3F3C6FA0" w14:textId="77777777" w:rsidR="00B54D51" w:rsidRPr="00037AD4" w:rsidRDefault="00B54D51" w:rsidP="00401C67">
            <w:pPr>
              <w:rPr>
                <w:rFonts w:asciiTheme="minorHAnsi" w:hAnsiTheme="minorHAnsi" w:cstheme="minorHAnsi"/>
              </w:rPr>
            </w:pPr>
          </w:p>
        </w:tc>
        <w:tc>
          <w:tcPr>
            <w:tcW w:w="1417" w:type="dxa"/>
            <w:shd w:val="clear" w:color="auto" w:fill="auto"/>
            <w:noWrap/>
            <w:hideMark/>
          </w:tcPr>
          <w:p w14:paraId="0C93326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Index</w:t>
            </w:r>
          </w:p>
          <w:p w14:paraId="06026F9F" w14:textId="77777777" w:rsidR="00B54D51" w:rsidRPr="00037AD4" w:rsidRDefault="00B54D51" w:rsidP="00401C67">
            <w:pPr>
              <w:rPr>
                <w:rFonts w:asciiTheme="minorHAnsi" w:hAnsiTheme="minorHAnsi" w:cstheme="minorHAnsi"/>
              </w:rPr>
            </w:pPr>
          </w:p>
        </w:tc>
        <w:tc>
          <w:tcPr>
            <w:tcW w:w="1276" w:type="dxa"/>
            <w:shd w:val="clear" w:color="auto" w:fill="auto"/>
            <w:hideMark/>
          </w:tcPr>
          <w:p w14:paraId="2680C91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England (Devlin et al,2016)</w:t>
            </w:r>
            <w:r w:rsidRPr="00037AD4">
              <w:rPr>
                <w:rFonts w:asciiTheme="minorHAnsi" w:hAnsiTheme="minorHAnsi" w:cstheme="minorHAnsi"/>
              </w:rPr>
              <w:br/>
              <w:t>van Hout crosswalk UK (2012)</w:t>
            </w:r>
          </w:p>
        </w:tc>
        <w:tc>
          <w:tcPr>
            <w:tcW w:w="1985" w:type="dxa"/>
            <w:shd w:val="clear" w:color="auto" w:fill="auto"/>
            <w:noWrap/>
            <w:hideMark/>
          </w:tcPr>
          <w:p w14:paraId="35AEE57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Residential care homes (n=50)</w:t>
            </w:r>
          </w:p>
        </w:tc>
        <w:tc>
          <w:tcPr>
            <w:tcW w:w="2409" w:type="dxa"/>
            <w:shd w:val="clear" w:color="auto" w:fill="auto"/>
            <w:noWrap/>
            <w:hideMark/>
          </w:tcPr>
          <w:p w14:paraId="11A536C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Dementia</w:t>
            </w:r>
          </w:p>
          <w:p w14:paraId="0A34685D" w14:textId="77777777" w:rsidR="00B54D51" w:rsidRPr="00037AD4" w:rsidRDefault="00B54D51" w:rsidP="00401C67">
            <w:pPr>
              <w:rPr>
                <w:rFonts w:asciiTheme="minorHAnsi" w:hAnsiTheme="minorHAnsi" w:cstheme="minorHAnsi"/>
              </w:rPr>
            </w:pPr>
          </w:p>
        </w:tc>
        <w:tc>
          <w:tcPr>
            <w:tcW w:w="1276" w:type="dxa"/>
            <w:shd w:val="clear" w:color="auto" w:fill="auto"/>
            <w:noWrap/>
            <w:hideMark/>
          </w:tcPr>
          <w:p w14:paraId="17945E0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Yes</w:t>
            </w:r>
          </w:p>
        </w:tc>
        <w:tc>
          <w:tcPr>
            <w:tcW w:w="992" w:type="dxa"/>
            <w:shd w:val="clear" w:color="auto" w:fill="auto"/>
            <w:noWrap/>
            <w:hideMark/>
          </w:tcPr>
          <w:p w14:paraId="31E6F1E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Yes</w:t>
            </w:r>
          </w:p>
        </w:tc>
        <w:tc>
          <w:tcPr>
            <w:tcW w:w="851" w:type="dxa"/>
            <w:shd w:val="clear" w:color="auto" w:fill="auto"/>
            <w:noWrap/>
            <w:hideMark/>
          </w:tcPr>
          <w:p w14:paraId="03DB04D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85.6 (7.6)</w:t>
            </w:r>
          </w:p>
        </w:tc>
        <w:tc>
          <w:tcPr>
            <w:tcW w:w="992" w:type="dxa"/>
            <w:shd w:val="clear" w:color="auto" w:fill="auto"/>
            <w:noWrap/>
            <w:hideMark/>
          </w:tcPr>
          <w:p w14:paraId="0455380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74.0</w:t>
            </w:r>
          </w:p>
        </w:tc>
        <w:tc>
          <w:tcPr>
            <w:tcW w:w="709" w:type="dxa"/>
            <w:shd w:val="clear" w:color="auto" w:fill="auto"/>
            <w:noWrap/>
            <w:hideMark/>
          </w:tcPr>
          <w:p w14:paraId="5452ED1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726</w:t>
            </w:r>
          </w:p>
        </w:tc>
      </w:tr>
      <w:tr w:rsidR="00B54D51" w:rsidRPr="00037AD4" w14:paraId="68B4B53C" w14:textId="77777777" w:rsidTr="00401C67">
        <w:trPr>
          <w:trHeight w:val="300"/>
        </w:trPr>
        <w:tc>
          <w:tcPr>
            <w:tcW w:w="1271" w:type="dxa"/>
            <w:shd w:val="clear" w:color="auto" w:fill="auto"/>
            <w:noWrap/>
            <w:hideMark/>
          </w:tcPr>
          <w:p w14:paraId="14EE167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Perry-Duxbury, 2020 </w:t>
            </w:r>
          </w:p>
        </w:tc>
        <w:tc>
          <w:tcPr>
            <w:tcW w:w="1276" w:type="dxa"/>
            <w:shd w:val="clear" w:color="auto" w:fill="auto"/>
            <w:noWrap/>
            <w:hideMark/>
          </w:tcPr>
          <w:p w14:paraId="0CE0178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8 European countries </w:t>
            </w:r>
          </w:p>
        </w:tc>
        <w:tc>
          <w:tcPr>
            <w:tcW w:w="1417" w:type="dxa"/>
            <w:shd w:val="clear" w:color="auto" w:fill="auto"/>
            <w:noWrap/>
            <w:hideMark/>
          </w:tcPr>
          <w:p w14:paraId="0BF2DF5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Index</w:t>
            </w:r>
          </w:p>
        </w:tc>
        <w:tc>
          <w:tcPr>
            <w:tcW w:w="1276" w:type="dxa"/>
            <w:shd w:val="clear" w:color="auto" w:fill="auto"/>
            <w:noWrap/>
            <w:hideMark/>
          </w:tcPr>
          <w:p w14:paraId="7F6F1C3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England (Devlin et al,2016)</w:t>
            </w:r>
          </w:p>
        </w:tc>
        <w:tc>
          <w:tcPr>
            <w:tcW w:w="1985" w:type="dxa"/>
            <w:shd w:val="clear" w:color="auto" w:fill="auto"/>
            <w:noWrap/>
            <w:hideMark/>
          </w:tcPr>
          <w:p w14:paraId="649B583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Community dwelling</w:t>
            </w:r>
          </w:p>
        </w:tc>
        <w:tc>
          <w:tcPr>
            <w:tcW w:w="2409" w:type="dxa"/>
            <w:shd w:val="clear" w:color="auto" w:fill="auto"/>
            <w:noWrap/>
            <w:hideMark/>
          </w:tcPr>
          <w:p w14:paraId="3694A3E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Mild to moderate dementia</w:t>
            </w:r>
          </w:p>
        </w:tc>
        <w:tc>
          <w:tcPr>
            <w:tcW w:w="1276" w:type="dxa"/>
            <w:shd w:val="clear" w:color="auto" w:fill="auto"/>
            <w:noWrap/>
            <w:hideMark/>
          </w:tcPr>
          <w:p w14:paraId="7F5FBD6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No</w:t>
            </w:r>
          </w:p>
        </w:tc>
        <w:tc>
          <w:tcPr>
            <w:tcW w:w="992" w:type="dxa"/>
            <w:shd w:val="clear" w:color="auto" w:fill="auto"/>
            <w:noWrap/>
            <w:hideMark/>
          </w:tcPr>
          <w:p w14:paraId="16F25AB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Yes</w:t>
            </w:r>
          </w:p>
        </w:tc>
        <w:tc>
          <w:tcPr>
            <w:tcW w:w="851" w:type="dxa"/>
            <w:shd w:val="clear" w:color="auto" w:fill="auto"/>
            <w:noWrap/>
            <w:hideMark/>
          </w:tcPr>
          <w:p w14:paraId="6A8EAB7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77.7 </w:t>
            </w:r>
          </w:p>
        </w:tc>
        <w:tc>
          <w:tcPr>
            <w:tcW w:w="992" w:type="dxa"/>
            <w:shd w:val="clear" w:color="auto" w:fill="auto"/>
            <w:noWrap/>
            <w:hideMark/>
          </w:tcPr>
          <w:p w14:paraId="7E53F82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54.5</w:t>
            </w:r>
          </w:p>
        </w:tc>
        <w:tc>
          <w:tcPr>
            <w:tcW w:w="709" w:type="dxa"/>
            <w:shd w:val="clear" w:color="auto" w:fill="auto"/>
            <w:noWrap/>
            <w:hideMark/>
          </w:tcPr>
          <w:p w14:paraId="7663AB6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451</w:t>
            </w:r>
          </w:p>
        </w:tc>
      </w:tr>
      <w:tr w:rsidR="00B54D51" w:rsidRPr="00037AD4" w14:paraId="2BA8074E" w14:textId="77777777" w:rsidTr="00401C67">
        <w:trPr>
          <w:trHeight w:val="300"/>
        </w:trPr>
        <w:tc>
          <w:tcPr>
            <w:tcW w:w="1271" w:type="dxa"/>
            <w:shd w:val="clear" w:color="auto" w:fill="auto"/>
            <w:noWrap/>
            <w:hideMark/>
          </w:tcPr>
          <w:p w14:paraId="7799BEF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Ratcliffe, 2017 </w:t>
            </w:r>
          </w:p>
        </w:tc>
        <w:tc>
          <w:tcPr>
            <w:tcW w:w="1276" w:type="dxa"/>
            <w:shd w:val="clear" w:color="auto" w:fill="auto"/>
            <w:noWrap/>
            <w:hideMark/>
          </w:tcPr>
          <w:p w14:paraId="604134A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Australia</w:t>
            </w:r>
          </w:p>
        </w:tc>
        <w:tc>
          <w:tcPr>
            <w:tcW w:w="1417" w:type="dxa"/>
            <w:shd w:val="clear" w:color="auto" w:fill="auto"/>
            <w:noWrap/>
            <w:hideMark/>
          </w:tcPr>
          <w:p w14:paraId="408E840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Index</w:t>
            </w:r>
          </w:p>
        </w:tc>
        <w:tc>
          <w:tcPr>
            <w:tcW w:w="1276" w:type="dxa"/>
            <w:shd w:val="clear" w:color="auto" w:fill="auto"/>
            <w:noWrap/>
            <w:hideMark/>
          </w:tcPr>
          <w:p w14:paraId="366BB65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England (Devlin et al,2016)</w:t>
            </w:r>
          </w:p>
        </w:tc>
        <w:tc>
          <w:tcPr>
            <w:tcW w:w="1985" w:type="dxa"/>
            <w:shd w:val="clear" w:color="auto" w:fill="auto"/>
            <w:noWrap/>
            <w:hideMark/>
          </w:tcPr>
          <w:p w14:paraId="5D3F117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Nursing Care Facilities (n =3)</w:t>
            </w:r>
          </w:p>
        </w:tc>
        <w:tc>
          <w:tcPr>
            <w:tcW w:w="2409" w:type="dxa"/>
            <w:shd w:val="clear" w:color="auto" w:fill="auto"/>
            <w:noWrap/>
            <w:hideMark/>
          </w:tcPr>
          <w:p w14:paraId="578E686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Frail older adults, 92.5% of whom had moderate to severe dementia</w:t>
            </w:r>
          </w:p>
        </w:tc>
        <w:tc>
          <w:tcPr>
            <w:tcW w:w="1276" w:type="dxa"/>
            <w:shd w:val="clear" w:color="auto" w:fill="auto"/>
            <w:noWrap/>
            <w:hideMark/>
          </w:tcPr>
          <w:p w14:paraId="0D485DF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Yes</w:t>
            </w:r>
          </w:p>
        </w:tc>
        <w:tc>
          <w:tcPr>
            <w:tcW w:w="992" w:type="dxa"/>
            <w:shd w:val="clear" w:color="auto" w:fill="auto"/>
            <w:noWrap/>
            <w:hideMark/>
          </w:tcPr>
          <w:p w14:paraId="2C4A5E3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Yes</w:t>
            </w:r>
          </w:p>
        </w:tc>
        <w:tc>
          <w:tcPr>
            <w:tcW w:w="851" w:type="dxa"/>
            <w:shd w:val="clear" w:color="auto" w:fill="auto"/>
            <w:noWrap/>
            <w:hideMark/>
          </w:tcPr>
          <w:p w14:paraId="3C0D63B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88.6 (5.6)</w:t>
            </w:r>
          </w:p>
        </w:tc>
        <w:tc>
          <w:tcPr>
            <w:tcW w:w="992" w:type="dxa"/>
            <w:shd w:val="clear" w:color="auto" w:fill="auto"/>
            <w:noWrap/>
            <w:hideMark/>
          </w:tcPr>
          <w:p w14:paraId="68B7F18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74.2</w:t>
            </w:r>
          </w:p>
        </w:tc>
        <w:tc>
          <w:tcPr>
            <w:tcW w:w="709" w:type="dxa"/>
            <w:shd w:val="clear" w:color="auto" w:fill="auto"/>
            <w:noWrap/>
            <w:hideMark/>
          </w:tcPr>
          <w:p w14:paraId="73B96D6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240</w:t>
            </w:r>
          </w:p>
        </w:tc>
      </w:tr>
      <w:tr w:rsidR="00B54D51" w:rsidRPr="00037AD4" w14:paraId="6548CBAF" w14:textId="77777777" w:rsidTr="00401C67">
        <w:trPr>
          <w:trHeight w:val="255"/>
        </w:trPr>
        <w:tc>
          <w:tcPr>
            <w:tcW w:w="1271" w:type="dxa"/>
            <w:shd w:val="clear" w:color="auto" w:fill="auto"/>
            <w:noWrap/>
            <w:hideMark/>
          </w:tcPr>
          <w:p w14:paraId="682CF60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Rombach, 2020 </w:t>
            </w:r>
          </w:p>
        </w:tc>
        <w:tc>
          <w:tcPr>
            <w:tcW w:w="1276" w:type="dxa"/>
            <w:shd w:val="clear" w:color="auto" w:fill="auto"/>
            <w:noWrap/>
            <w:hideMark/>
          </w:tcPr>
          <w:p w14:paraId="1FE666D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8 European countries </w:t>
            </w:r>
          </w:p>
        </w:tc>
        <w:tc>
          <w:tcPr>
            <w:tcW w:w="1417" w:type="dxa"/>
            <w:shd w:val="clear" w:color="auto" w:fill="auto"/>
            <w:noWrap/>
            <w:hideMark/>
          </w:tcPr>
          <w:p w14:paraId="650353B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Index</w:t>
            </w:r>
          </w:p>
        </w:tc>
        <w:tc>
          <w:tcPr>
            <w:tcW w:w="1276" w:type="dxa"/>
            <w:shd w:val="clear" w:color="auto" w:fill="auto"/>
            <w:noWrap/>
            <w:hideMark/>
          </w:tcPr>
          <w:p w14:paraId="4BAE792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van Hout crosswalk UK (2012)</w:t>
            </w:r>
          </w:p>
        </w:tc>
        <w:tc>
          <w:tcPr>
            <w:tcW w:w="1985" w:type="dxa"/>
            <w:shd w:val="clear" w:color="auto" w:fill="auto"/>
            <w:noWrap/>
            <w:hideMark/>
          </w:tcPr>
          <w:p w14:paraId="7F69B9E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Memory clinics, general practices, community mental health teams</w:t>
            </w:r>
          </w:p>
        </w:tc>
        <w:tc>
          <w:tcPr>
            <w:tcW w:w="2409" w:type="dxa"/>
            <w:shd w:val="clear" w:color="auto" w:fill="auto"/>
            <w:noWrap/>
            <w:hideMark/>
          </w:tcPr>
          <w:p w14:paraId="160EE29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Dementia</w:t>
            </w:r>
          </w:p>
        </w:tc>
        <w:tc>
          <w:tcPr>
            <w:tcW w:w="1276" w:type="dxa"/>
            <w:shd w:val="clear" w:color="auto" w:fill="auto"/>
            <w:noWrap/>
            <w:hideMark/>
          </w:tcPr>
          <w:p w14:paraId="5417698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Yes</w:t>
            </w:r>
          </w:p>
        </w:tc>
        <w:tc>
          <w:tcPr>
            <w:tcW w:w="992" w:type="dxa"/>
            <w:shd w:val="clear" w:color="auto" w:fill="auto"/>
            <w:noWrap/>
            <w:hideMark/>
          </w:tcPr>
          <w:p w14:paraId="21388CD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Yes</w:t>
            </w:r>
          </w:p>
        </w:tc>
        <w:tc>
          <w:tcPr>
            <w:tcW w:w="851" w:type="dxa"/>
            <w:shd w:val="clear" w:color="auto" w:fill="auto"/>
            <w:noWrap/>
            <w:hideMark/>
          </w:tcPr>
          <w:p w14:paraId="117F759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78.0 (8.0)</w:t>
            </w:r>
          </w:p>
        </w:tc>
        <w:tc>
          <w:tcPr>
            <w:tcW w:w="992" w:type="dxa"/>
            <w:shd w:val="clear" w:color="auto" w:fill="auto"/>
            <w:noWrap/>
            <w:hideMark/>
          </w:tcPr>
          <w:p w14:paraId="61CFBE4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55.0</w:t>
            </w:r>
          </w:p>
        </w:tc>
        <w:tc>
          <w:tcPr>
            <w:tcW w:w="709" w:type="dxa"/>
            <w:shd w:val="clear" w:color="auto" w:fill="auto"/>
            <w:noWrap/>
            <w:hideMark/>
          </w:tcPr>
          <w:p w14:paraId="79C3BD7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451</w:t>
            </w:r>
          </w:p>
        </w:tc>
      </w:tr>
      <w:tr w:rsidR="00B54D51" w:rsidRPr="00037AD4" w14:paraId="269DB9C8" w14:textId="77777777" w:rsidTr="00401C67">
        <w:trPr>
          <w:trHeight w:val="300"/>
        </w:trPr>
        <w:tc>
          <w:tcPr>
            <w:tcW w:w="1271" w:type="dxa"/>
            <w:shd w:val="clear" w:color="auto" w:fill="auto"/>
            <w:noWrap/>
            <w:hideMark/>
          </w:tcPr>
          <w:p w14:paraId="34BAD4D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Sopina, 2019 </w:t>
            </w:r>
          </w:p>
        </w:tc>
        <w:tc>
          <w:tcPr>
            <w:tcW w:w="1276" w:type="dxa"/>
            <w:shd w:val="clear" w:color="auto" w:fill="auto"/>
            <w:noWrap/>
            <w:hideMark/>
          </w:tcPr>
          <w:p w14:paraId="7E82FA0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Australia</w:t>
            </w:r>
          </w:p>
        </w:tc>
        <w:tc>
          <w:tcPr>
            <w:tcW w:w="1417" w:type="dxa"/>
            <w:shd w:val="clear" w:color="auto" w:fill="auto"/>
            <w:noWrap/>
            <w:hideMark/>
          </w:tcPr>
          <w:p w14:paraId="01BF409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Both</w:t>
            </w:r>
          </w:p>
        </w:tc>
        <w:tc>
          <w:tcPr>
            <w:tcW w:w="1276" w:type="dxa"/>
            <w:shd w:val="clear" w:color="auto" w:fill="auto"/>
            <w:noWrap/>
            <w:hideMark/>
          </w:tcPr>
          <w:p w14:paraId="211E2E3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Australia (Viney et al, 2011)</w:t>
            </w:r>
          </w:p>
        </w:tc>
        <w:tc>
          <w:tcPr>
            <w:tcW w:w="1985" w:type="dxa"/>
            <w:shd w:val="clear" w:color="auto" w:fill="auto"/>
            <w:noWrap/>
            <w:hideMark/>
          </w:tcPr>
          <w:p w14:paraId="1DE088E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Nursing homes (n=20)</w:t>
            </w:r>
          </w:p>
        </w:tc>
        <w:tc>
          <w:tcPr>
            <w:tcW w:w="2409" w:type="dxa"/>
            <w:shd w:val="clear" w:color="auto" w:fill="auto"/>
            <w:noWrap/>
            <w:hideMark/>
          </w:tcPr>
          <w:p w14:paraId="49F1770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Advanced dementia (palliative stages of care)</w:t>
            </w:r>
          </w:p>
        </w:tc>
        <w:tc>
          <w:tcPr>
            <w:tcW w:w="1276" w:type="dxa"/>
            <w:shd w:val="clear" w:color="auto" w:fill="auto"/>
            <w:noWrap/>
            <w:hideMark/>
          </w:tcPr>
          <w:p w14:paraId="4F70820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No</w:t>
            </w:r>
          </w:p>
        </w:tc>
        <w:tc>
          <w:tcPr>
            <w:tcW w:w="992" w:type="dxa"/>
            <w:shd w:val="clear" w:color="auto" w:fill="auto"/>
            <w:noWrap/>
            <w:hideMark/>
          </w:tcPr>
          <w:p w14:paraId="2A39977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Yes</w:t>
            </w:r>
          </w:p>
        </w:tc>
        <w:tc>
          <w:tcPr>
            <w:tcW w:w="851" w:type="dxa"/>
            <w:shd w:val="clear" w:color="auto" w:fill="auto"/>
            <w:noWrap/>
            <w:hideMark/>
          </w:tcPr>
          <w:p w14:paraId="7E73B3C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85.0 (8.0)</w:t>
            </w:r>
          </w:p>
        </w:tc>
        <w:tc>
          <w:tcPr>
            <w:tcW w:w="992" w:type="dxa"/>
            <w:shd w:val="clear" w:color="auto" w:fill="auto"/>
            <w:noWrap/>
            <w:hideMark/>
          </w:tcPr>
          <w:p w14:paraId="37C4981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63.0</w:t>
            </w:r>
          </w:p>
        </w:tc>
        <w:tc>
          <w:tcPr>
            <w:tcW w:w="709" w:type="dxa"/>
            <w:shd w:val="clear" w:color="auto" w:fill="auto"/>
            <w:noWrap/>
            <w:hideMark/>
          </w:tcPr>
          <w:p w14:paraId="0C0B3FD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284</w:t>
            </w:r>
          </w:p>
        </w:tc>
      </w:tr>
      <w:tr w:rsidR="00B54D51" w:rsidRPr="00037AD4" w14:paraId="5BAF8921" w14:textId="77777777" w:rsidTr="00401C67">
        <w:trPr>
          <w:trHeight w:val="300"/>
        </w:trPr>
        <w:tc>
          <w:tcPr>
            <w:tcW w:w="1271" w:type="dxa"/>
            <w:shd w:val="clear" w:color="auto" w:fill="auto"/>
            <w:noWrap/>
            <w:hideMark/>
          </w:tcPr>
          <w:p w14:paraId="0BED05D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Sopina, 2017 </w:t>
            </w:r>
          </w:p>
        </w:tc>
        <w:tc>
          <w:tcPr>
            <w:tcW w:w="1276" w:type="dxa"/>
            <w:shd w:val="clear" w:color="auto" w:fill="auto"/>
            <w:noWrap/>
            <w:hideMark/>
          </w:tcPr>
          <w:p w14:paraId="1F0627A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Denmark</w:t>
            </w:r>
          </w:p>
        </w:tc>
        <w:tc>
          <w:tcPr>
            <w:tcW w:w="1417" w:type="dxa"/>
            <w:shd w:val="clear" w:color="auto" w:fill="auto"/>
            <w:noWrap/>
            <w:hideMark/>
          </w:tcPr>
          <w:p w14:paraId="4A2C18F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Index</w:t>
            </w:r>
          </w:p>
        </w:tc>
        <w:tc>
          <w:tcPr>
            <w:tcW w:w="1276" w:type="dxa"/>
            <w:shd w:val="clear" w:color="auto" w:fill="auto"/>
            <w:noWrap/>
            <w:hideMark/>
          </w:tcPr>
          <w:p w14:paraId="18C7B49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Wittrup-Jensen KU </w:t>
            </w:r>
            <w:r w:rsidRPr="00037AD4">
              <w:rPr>
                <w:rFonts w:asciiTheme="minorHAnsi" w:hAnsiTheme="minorHAnsi" w:cstheme="minorHAnsi"/>
              </w:rPr>
              <w:lastRenderedPageBreak/>
              <w:t>et al 2009 Danish TTO</w:t>
            </w:r>
          </w:p>
        </w:tc>
        <w:tc>
          <w:tcPr>
            <w:tcW w:w="1985" w:type="dxa"/>
            <w:shd w:val="clear" w:color="auto" w:fill="auto"/>
            <w:noWrap/>
            <w:hideMark/>
          </w:tcPr>
          <w:p w14:paraId="4069044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lastRenderedPageBreak/>
              <w:t xml:space="preserve">Memory clinics </w:t>
            </w:r>
          </w:p>
        </w:tc>
        <w:tc>
          <w:tcPr>
            <w:tcW w:w="2409" w:type="dxa"/>
            <w:shd w:val="clear" w:color="auto" w:fill="auto"/>
            <w:noWrap/>
            <w:hideMark/>
          </w:tcPr>
          <w:p w14:paraId="17D569A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Mild Alzheimer's disease</w:t>
            </w:r>
          </w:p>
        </w:tc>
        <w:tc>
          <w:tcPr>
            <w:tcW w:w="1276" w:type="dxa"/>
            <w:shd w:val="clear" w:color="auto" w:fill="auto"/>
            <w:noWrap/>
            <w:hideMark/>
          </w:tcPr>
          <w:p w14:paraId="7142703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Yes</w:t>
            </w:r>
          </w:p>
        </w:tc>
        <w:tc>
          <w:tcPr>
            <w:tcW w:w="992" w:type="dxa"/>
            <w:shd w:val="clear" w:color="auto" w:fill="auto"/>
            <w:noWrap/>
            <w:hideMark/>
          </w:tcPr>
          <w:p w14:paraId="1CD91F8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Yes</w:t>
            </w:r>
          </w:p>
        </w:tc>
        <w:tc>
          <w:tcPr>
            <w:tcW w:w="851" w:type="dxa"/>
            <w:shd w:val="clear" w:color="auto" w:fill="auto"/>
            <w:noWrap/>
            <w:hideMark/>
          </w:tcPr>
          <w:p w14:paraId="509AE3E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70.0 (7.4)</w:t>
            </w:r>
          </w:p>
        </w:tc>
        <w:tc>
          <w:tcPr>
            <w:tcW w:w="992" w:type="dxa"/>
            <w:shd w:val="clear" w:color="auto" w:fill="auto"/>
            <w:noWrap/>
            <w:hideMark/>
          </w:tcPr>
          <w:p w14:paraId="612592F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43.0</w:t>
            </w:r>
          </w:p>
        </w:tc>
        <w:tc>
          <w:tcPr>
            <w:tcW w:w="709" w:type="dxa"/>
            <w:shd w:val="clear" w:color="auto" w:fill="auto"/>
            <w:noWrap/>
            <w:hideMark/>
          </w:tcPr>
          <w:p w14:paraId="7984189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200</w:t>
            </w:r>
          </w:p>
        </w:tc>
      </w:tr>
      <w:tr w:rsidR="00B54D51" w:rsidRPr="00037AD4" w14:paraId="42CC1D9B" w14:textId="77777777" w:rsidTr="00401C67">
        <w:trPr>
          <w:trHeight w:val="300"/>
        </w:trPr>
        <w:tc>
          <w:tcPr>
            <w:tcW w:w="1271" w:type="dxa"/>
            <w:shd w:val="clear" w:color="auto" w:fill="auto"/>
            <w:noWrap/>
            <w:hideMark/>
          </w:tcPr>
          <w:p w14:paraId="782CACF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Toh, 2020 </w:t>
            </w:r>
          </w:p>
        </w:tc>
        <w:tc>
          <w:tcPr>
            <w:tcW w:w="1276" w:type="dxa"/>
            <w:shd w:val="clear" w:color="auto" w:fill="auto"/>
            <w:noWrap/>
            <w:hideMark/>
          </w:tcPr>
          <w:p w14:paraId="64F5B60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Singapore </w:t>
            </w:r>
          </w:p>
        </w:tc>
        <w:tc>
          <w:tcPr>
            <w:tcW w:w="1417" w:type="dxa"/>
            <w:shd w:val="clear" w:color="auto" w:fill="auto"/>
            <w:noWrap/>
            <w:hideMark/>
          </w:tcPr>
          <w:p w14:paraId="41564E5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Both</w:t>
            </w:r>
          </w:p>
        </w:tc>
        <w:tc>
          <w:tcPr>
            <w:tcW w:w="1276" w:type="dxa"/>
            <w:shd w:val="clear" w:color="auto" w:fill="auto"/>
            <w:noWrap/>
            <w:hideMark/>
          </w:tcPr>
          <w:p w14:paraId="27093BB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van Hout crosswalk (2012) Singapore </w:t>
            </w:r>
          </w:p>
        </w:tc>
        <w:tc>
          <w:tcPr>
            <w:tcW w:w="1985" w:type="dxa"/>
            <w:shd w:val="clear" w:color="auto" w:fill="auto"/>
            <w:noWrap/>
            <w:hideMark/>
          </w:tcPr>
          <w:p w14:paraId="2844FE4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Nursing homes (n=3)</w:t>
            </w:r>
          </w:p>
        </w:tc>
        <w:tc>
          <w:tcPr>
            <w:tcW w:w="2409" w:type="dxa"/>
            <w:shd w:val="clear" w:color="auto" w:fill="auto"/>
            <w:noWrap/>
            <w:hideMark/>
          </w:tcPr>
          <w:p w14:paraId="79DC9E7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Nursing home residents (% with dementia not reported)</w:t>
            </w:r>
          </w:p>
        </w:tc>
        <w:tc>
          <w:tcPr>
            <w:tcW w:w="1276" w:type="dxa"/>
            <w:shd w:val="clear" w:color="auto" w:fill="auto"/>
            <w:noWrap/>
            <w:hideMark/>
          </w:tcPr>
          <w:p w14:paraId="1FB955C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No</w:t>
            </w:r>
          </w:p>
        </w:tc>
        <w:tc>
          <w:tcPr>
            <w:tcW w:w="992" w:type="dxa"/>
            <w:shd w:val="clear" w:color="auto" w:fill="auto"/>
            <w:noWrap/>
            <w:hideMark/>
          </w:tcPr>
          <w:p w14:paraId="241BFBC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Yes</w:t>
            </w:r>
          </w:p>
        </w:tc>
        <w:tc>
          <w:tcPr>
            <w:tcW w:w="851" w:type="dxa"/>
            <w:shd w:val="clear" w:color="auto" w:fill="auto"/>
            <w:noWrap/>
            <w:hideMark/>
          </w:tcPr>
          <w:p w14:paraId="60969DE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73.4 (13.5)</w:t>
            </w:r>
          </w:p>
        </w:tc>
        <w:tc>
          <w:tcPr>
            <w:tcW w:w="992" w:type="dxa"/>
            <w:shd w:val="clear" w:color="auto" w:fill="auto"/>
            <w:noWrap/>
            <w:hideMark/>
          </w:tcPr>
          <w:p w14:paraId="0D3502B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51.3</w:t>
            </w:r>
          </w:p>
        </w:tc>
        <w:tc>
          <w:tcPr>
            <w:tcW w:w="709" w:type="dxa"/>
            <w:shd w:val="clear" w:color="auto" w:fill="auto"/>
            <w:noWrap/>
            <w:hideMark/>
          </w:tcPr>
          <w:p w14:paraId="45B4C3E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229</w:t>
            </w:r>
          </w:p>
        </w:tc>
      </w:tr>
      <w:tr w:rsidR="00B54D51" w:rsidRPr="00037AD4" w14:paraId="68B399A4" w14:textId="77777777" w:rsidTr="00401C67">
        <w:trPr>
          <w:trHeight w:val="300"/>
        </w:trPr>
        <w:tc>
          <w:tcPr>
            <w:tcW w:w="1271" w:type="dxa"/>
            <w:shd w:val="clear" w:color="auto" w:fill="auto"/>
            <w:noWrap/>
            <w:hideMark/>
          </w:tcPr>
          <w:p w14:paraId="2B988EF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Umegaki, 2020 </w:t>
            </w:r>
          </w:p>
        </w:tc>
        <w:tc>
          <w:tcPr>
            <w:tcW w:w="1276" w:type="dxa"/>
            <w:shd w:val="clear" w:color="auto" w:fill="auto"/>
            <w:noWrap/>
            <w:hideMark/>
          </w:tcPr>
          <w:p w14:paraId="16B244E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Japan</w:t>
            </w:r>
          </w:p>
        </w:tc>
        <w:tc>
          <w:tcPr>
            <w:tcW w:w="1417" w:type="dxa"/>
            <w:shd w:val="clear" w:color="auto" w:fill="auto"/>
            <w:noWrap/>
            <w:hideMark/>
          </w:tcPr>
          <w:p w14:paraId="500AD06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Both</w:t>
            </w:r>
          </w:p>
        </w:tc>
        <w:tc>
          <w:tcPr>
            <w:tcW w:w="1276" w:type="dxa"/>
            <w:shd w:val="clear" w:color="auto" w:fill="auto"/>
            <w:noWrap/>
            <w:hideMark/>
          </w:tcPr>
          <w:p w14:paraId="49E8C70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Not reported</w:t>
            </w:r>
          </w:p>
        </w:tc>
        <w:tc>
          <w:tcPr>
            <w:tcW w:w="1985" w:type="dxa"/>
            <w:shd w:val="clear" w:color="auto" w:fill="auto"/>
            <w:noWrap/>
            <w:hideMark/>
          </w:tcPr>
          <w:p w14:paraId="0227E3F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Memory Clinic (n = 1) </w:t>
            </w:r>
          </w:p>
        </w:tc>
        <w:tc>
          <w:tcPr>
            <w:tcW w:w="2409" w:type="dxa"/>
            <w:shd w:val="clear" w:color="auto" w:fill="auto"/>
            <w:noWrap/>
            <w:hideMark/>
          </w:tcPr>
          <w:p w14:paraId="4F61F3D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Mild to moderate dementia</w:t>
            </w:r>
          </w:p>
        </w:tc>
        <w:tc>
          <w:tcPr>
            <w:tcW w:w="1276" w:type="dxa"/>
            <w:shd w:val="clear" w:color="auto" w:fill="auto"/>
            <w:noWrap/>
            <w:hideMark/>
          </w:tcPr>
          <w:p w14:paraId="7BD563C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Yes</w:t>
            </w:r>
          </w:p>
        </w:tc>
        <w:tc>
          <w:tcPr>
            <w:tcW w:w="992" w:type="dxa"/>
            <w:shd w:val="clear" w:color="auto" w:fill="auto"/>
            <w:noWrap/>
            <w:hideMark/>
          </w:tcPr>
          <w:p w14:paraId="4461380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Yes</w:t>
            </w:r>
          </w:p>
        </w:tc>
        <w:tc>
          <w:tcPr>
            <w:tcW w:w="851" w:type="dxa"/>
            <w:shd w:val="clear" w:color="auto" w:fill="auto"/>
            <w:noWrap/>
            <w:hideMark/>
          </w:tcPr>
          <w:p w14:paraId="60B079F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80.1 (5.4)</w:t>
            </w:r>
          </w:p>
        </w:tc>
        <w:tc>
          <w:tcPr>
            <w:tcW w:w="992" w:type="dxa"/>
            <w:shd w:val="clear" w:color="auto" w:fill="auto"/>
            <w:noWrap/>
            <w:hideMark/>
          </w:tcPr>
          <w:p w14:paraId="6D44668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54.1</w:t>
            </w:r>
          </w:p>
        </w:tc>
        <w:tc>
          <w:tcPr>
            <w:tcW w:w="709" w:type="dxa"/>
            <w:shd w:val="clear" w:color="auto" w:fill="auto"/>
            <w:noWrap/>
            <w:hideMark/>
          </w:tcPr>
          <w:p w14:paraId="741F1D4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74</w:t>
            </w:r>
          </w:p>
        </w:tc>
      </w:tr>
      <w:tr w:rsidR="00B54D51" w:rsidRPr="00037AD4" w14:paraId="0D7624E7" w14:textId="77777777" w:rsidTr="00401C67">
        <w:trPr>
          <w:trHeight w:val="300"/>
        </w:trPr>
        <w:tc>
          <w:tcPr>
            <w:tcW w:w="1271" w:type="dxa"/>
            <w:shd w:val="clear" w:color="auto" w:fill="auto"/>
            <w:noWrap/>
            <w:hideMark/>
          </w:tcPr>
          <w:p w14:paraId="4D1A08D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Usman, 2019 </w:t>
            </w:r>
          </w:p>
        </w:tc>
        <w:tc>
          <w:tcPr>
            <w:tcW w:w="1276" w:type="dxa"/>
            <w:shd w:val="clear" w:color="auto" w:fill="auto"/>
            <w:noWrap/>
            <w:hideMark/>
          </w:tcPr>
          <w:p w14:paraId="7AD2C96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UK </w:t>
            </w:r>
          </w:p>
        </w:tc>
        <w:tc>
          <w:tcPr>
            <w:tcW w:w="1417" w:type="dxa"/>
            <w:shd w:val="clear" w:color="auto" w:fill="auto"/>
            <w:noWrap/>
            <w:hideMark/>
          </w:tcPr>
          <w:p w14:paraId="0386047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Both</w:t>
            </w:r>
          </w:p>
        </w:tc>
        <w:tc>
          <w:tcPr>
            <w:tcW w:w="1276" w:type="dxa"/>
            <w:shd w:val="clear" w:color="auto" w:fill="auto"/>
            <w:noWrap/>
            <w:hideMark/>
          </w:tcPr>
          <w:p w14:paraId="4766D13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van Hout crosswalk UK (2012)</w:t>
            </w:r>
          </w:p>
        </w:tc>
        <w:tc>
          <w:tcPr>
            <w:tcW w:w="1985" w:type="dxa"/>
            <w:shd w:val="clear" w:color="auto" w:fill="auto"/>
            <w:noWrap/>
            <w:hideMark/>
          </w:tcPr>
          <w:p w14:paraId="4E748EA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Residential care homes (n =24) </w:t>
            </w:r>
          </w:p>
        </w:tc>
        <w:tc>
          <w:tcPr>
            <w:tcW w:w="2409" w:type="dxa"/>
            <w:shd w:val="clear" w:color="auto" w:fill="auto"/>
            <w:noWrap/>
            <w:hideMark/>
          </w:tcPr>
          <w:p w14:paraId="6891A9E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Dementia and cognitive impairment</w:t>
            </w:r>
          </w:p>
        </w:tc>
        <w:tc>
          <w:tcPr>
            <w:tcW w:w="1276" w:type="dxa"/>
            <w:shd w:val="clear" w:color="auto" w:fill="auto"/>
            <w:noWrap/>
            <w:hideMark/>
          </w:tcPr>
          <w:p w14:paraId="3730122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Yes</w:t>
            </w:r>
          </w:p>
        </w:tc>
        <w:tc>
          <w:tcPr>
            <w:tcW w:w="992" w:type="dxa"/>
            <w:shd w:val="clear" w:color="auto" w:fill="auto"/>
            <w:noWrap/>
            <w:hideMark/>
          </w:tcPr>
          <w:p w14:paraId="4A3653F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Yes</w:t>
            </w:r>
          </w:p>
        </w:tc>
        <w:tc>
          <w:tcPr>
            <w:tcW w:w="851" w:type="dxa"/>
            <w:shd w:val="clear" w:color="auto" w:fill="auto"/>
            <w:noWrap/>
            <w:hideMark/>
          </w:tcPr>
          <w:p w14:paraId="213F073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86.8 (7.6)</w:t>
            </w:r>
          </w:p>
        </w:tc>
        <w:tc>
          <w:tcPr>
            <w:tcW w:w="992" w:type="dxa"/>
            <w:shd w:val="clear" w:color="auto" w:fill="auto"/>
            <w:noWrap/>
            <w:hideMark/>
          </w:tcPr>
          <w:p w14:paraId="0A057BF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68.0</w:t>
            </w:r>
          </w:p>
        </w:tc>
        <w:tc>
          <w:tcPr>
            <w:tcW w:w="709" w:type="dxa"/>
            <w:shd w:val="clear" w:color="auto" w:fill="auto"/>
            <w:noWrap/>
            <w:hideMark/>
          </w:tcPr>
          <w:p w14:paraId="0F716D2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117</w:t>
            </w:r>
          </w:p>
        </w:tc>
      </w:tr>
      <w:tr w:rsidR="00B54D51" w:rsidRPr="00037AD4" w14:paraId="4D1CEC90" w14:textId="77777777" w:rsidTr="00401C67">
        <w:trPr>
          <w:trHeight w:val="300"/>
        </w:trPr>
        <w:tc>
          <w:tcPr>
            <w:tcW w:w="1271" w:type="dxa"/>
            <w:shd w:val="clear" w:color="auto" w:fill="auto"/>
            <w:noWrap/>
            <w:hideMark/>
          </w:tcPr>
          <w:p w14:paraId="0872655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van de Rijt, 2020 </w:t>
            </w:r>
          </w:p>
        </w:tc>
        <w:tc>
          <w:tcPr>
            <w:tcW w:w="1276" w:type="dxa"/>
            <w:shd w:val="clear" w:color="auto" w:fill="auto"/>
            <w:noWrap/>
            <w:hideMark/>
          </w:tcPr>
          <w:p w14:paraId="27A5C57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UK </w:t>
            </w:r>
          </w:p>
        </w:tc>
        <w:tc>
          <w:tcPr>
            <w:tcW w:w="1417" w:type="dxa"/>
            <w:shd w:val="clear" w:color="auto" w:fill="auto"/>
            <w:noWrap/>
            <w:hideMark/>
          </w:tcPr>
          <w:p w14:paraId="1D96504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Index</w:t>
            </w:r>
          </w:p>
        </w:tc>
        <w:tc>
          <w:tcPr>
            <w:tcW w:w="1276" w:type="dxa"/>
            <w:shd w:val="clear" w:color="auto" w:fill="auto"/>
            <w:noWrap/>
            <w:hideMark/>
          </w:tcPr>
          <w:p w14:paraId="2A92CE5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Not reported</w:t>
            </w:r>
          </w:p>
        </w:tc>
        <w:tc>
          <w:tcPr>
            <w:tcW w:w="1985" w:type="dxa"/>
            <w:shd w:val="clear" w:color="auto" w:fill="auto"/>
            <w:noWrap/>
            <w:hideMark/>
          </w:tcPr>
          <w:p w14:paraId="5D03E1C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Nursing homes (n=4)</w:t>
            </w:r>
          </w:p>
        </w:tc>
        <w:tc>
          <w:tcPr>
            <w:tcW w:w="2409" w:type="dxa"/>
            <w:shd w:val="clear" w:color="auto" w:fill="auto"/>
            <w:noWrap/>
            <w:hideMark/>
          </w:tcPr>
          <w:p w14:paraId="78F9BC9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Dementia (63.1% were categorised as "severe")</w:t>
            </w:r>
          </w:p>
        </w:tc>
        <w:tc>
          <w:tcPr>
            <w:tcW w:w="1276" w:type="dxa"/>
            <w:shd w:val="clear" w:color="auto" w:fill="auto"/>
            <w:noWrap/>
            <w:hideMark/>
          </w:tcPr>
          <w:p w14:paraId="1FC53EF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Yes</w:t>
            </w:r>
          </w:p>
        </w:tc>
        <w:tc>
          <w:tcPr>
            <w:tcW w:w="992" w:type="dxa"/>
            <w:shd w:val="clear" w:color="auto" w:fill="auto"/>
            <w:noWrap/>
            <w:hideMark/>
          </w:tcPr>
          <w:p w14:paraId="6D0CFCC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No</w:t>
            </w:r>
          </w:p>
        </w:tc>
        <w:tc>
          <w:tcPr>
            <w:tcW w:w="851" w:type="dxa"/>
            <w:shd w:val="clear" w:color="auto" w:fill="auto"/>
            <w:noWrap/>
            <w:hideMark/>
          </w:tcPr>
          <w:p w14:paraId="2649DB2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83.9 (8.0)</w:t>
            </w:r>
          </w:p>
        </w:tc>
        <w:tc>
          <w:tcPr>
            <w:tcW w:w="992" w:type="dxa"/>
            <w:shd w:val="clear" w:color="auto" w:fill="auto"/>
            <w:noWrap/>
            <w:hideMark/>
          </w:tcPr>
          <w:p w14:paraId="7A6902A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62.2</w:t>
            </w:r>
          </w:p>
        </w:tc>
        <w:tc>
          <w:tcPr>
            <w:tcW w:w="709" w:type="dxa"/>
            <w:shd w:val="clear" w:color="auto" w:fill="auto"/>
            <w:noWrap/>
            <w:hideMark/>
          </w:tcPr>
          <w:p w14:paraId="2998270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111</w:t>
            </w:r>
          </w:p>
        </w:tc>
      </w:tr>
    </w:tbl>
    <w:p w14:paraId="507CA65C" w14:textId="77777777" w:rsidR="00B54D51" w:rsidRPr="00037AD4" w:rsidRDefault="00B54D51" w:rsidP="001D7ACE">
      <w:pPr>
        <w:rPr>
          <w:rFonts w:asciiTheme="minorHAnsi" w:hAnsiTheme="minorHAnsi" w:cstheme="minorHAnsi"/>
          <w:b/>
          <w:bCs/>
          <w:u w:val="single"/>
        </w:rPr>
      </w:pPr>
    </w:p>
    <w:p w14:paraId="5906FF32" w14:textId="77777777" w:rsidR="00B54D51" w:rsidRPr="00037AD4" w:rsidRDefault="00B54D51" w:rsidP="00AE3755">
      <w:pPr>
        <w:pStyle w:val="Heading2"/>
      </w:pPr>
      <w:bookmarkStart w:id="435" w:name="A22"/>
      <w:bookmarkStart w:id="436" w:name="_Toc175742383"/>
      <w:r w:rsidRPr="00037AD4">
        <w:lastRenderedPageBreak/>
        <w:t>Appendix 2.2 Known-group validity</w:t>
      </w:r>
      <w:bookmarkEnd w:id="436"/>
      <w:r w:rsidRPr="00037AD4">
        <w:t xml:space="preserve"> </w:t>
      </w:r>
    </w:p>
    <w:bookmarkEnd w:id="435"/>
    <w:p w14:paraId="7C7910F4" w14:textId="77777777" w:rsidR="00B54D51" w:rsidRPr="00037AD4" w:rsidRDefault="00B54D51" w:rsidP="00AE3755">
      <w:pPr>
        <w:pStyle w:val="Heading3"/>
      </w:pPr>
      <w:r w:rsidRPr="00037AD4">
        <w:t xml:space="preserve"> </w:t>
      </w:r>
    </w:p>
    <w:tbl>
      <w:tblPr>
        <w:tblW w:w="0" w:type="auto"/>
        <w:tblLook w:val="04A0" w:firstRow="1" w:lastRow="0" w:firstColumn="1" w:lastColumn="0" w:noHBand="0" w:noVBand="1"/>
      </w:tblPr>
      <w:tblGrid>
        <w:gridCol w:w="1306"/>
        <w:gridCol w:w="1521"/>
        <w:gridCol w:w="3637"/>
        <w:gridCol w:w="1851"/>
        <w:gridCol w:w="1670"/>
        <w:gridCol w:w="3963"/>
      </w:tblGrid>
      <w:tr w:rsidR="00B54D51" w:rsidRPr="00037AD4" w14:paraId="2E6FAAC1" w14:textId="77777777" w:rsidTr="00401C67">
        <w:trPr>
          <w:trHeight w:val="845"/>
          <w:tblHead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B8C6124"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Study reference (author, year)</w:t>
            </w:r>
          </w:p>
        </w:tc>
        <w:tc>
          <w:tcPr>
            <w:tcW w:w="0" w:type="auto"/>
            <w:tcBorders>
              <w:top w:val="single" w:sz="4" w:space="0" w:color="auto"/>
              <w:left w:val="nil"/>
              <w:bottom w:val="single" w:sz="4" w:space="0" w:color="auto"/>
              <w:right w:val="single" w:sz="4" w:space="0" w:color="auto"/>
            </w:tcBorders>
            <w:shd w:val="clear" w:color="auto" w:fill="auto"/>
            <w:hideMark/>
          </w:tcPr>
          <w:p w14:paraId="63778FB2"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Index or dimensions or both assessed</w:t>
            </w:r>
          </w:p>
        </w:tc>
        <w:tc>
          <w:tcPr>
            <w:tcW w:w="0" w:type="auto"/>
            <w:tcBorders>
              <w:top w:val="single" w:sz="4" w:space="0" w:color="auto"/>
              <w:left w:val="nil"/>
              <w:bottom w:val="single" w:sz="4" w:space="0" w:color="auto"/>
              <w:right w:val="single" w:sz="4" w:space="0" w:color="auto"/>
            </w:tcBorders>
            <w:shd w:val="clear" w:color="auto" w:fill="auto"/>
            <w:hideMark/>
          </w:tcPr>
          <w:p w14:paraId="7CD095E6"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Groups defined as</w:t>
            </w:r>
          </w:p>
        </w:tc>
        <w:tc>
          <w:tcPr>
            <w:tcW w:w="0" w:type="auto"/>
            <w:tcBorders>
              <w:top w:val="single" w:sz="4" w:space="0" w:color="auto"/>
              <w:left w:val="nil"/>
              <w:bottom w:val="single" w:sz="4" w:space="0" w:color="auto"/>
              <w:right w:val="single" w:sz="4" w:space="0" w:color="auto"/>
            </w:tcBorders>
            <w:shd w:val="clear" w:color="auto" w:fill="auto"/>
            <w:hideMark/>
          </w:tcPr>
          <w:p w14:paraId="69138A85"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 xml:space="preserve">Mean differences across groups in direction consistent with clinical expectation </w:t>
            </w:r>
          </w:p>
        </w:tc>
        <w:tc>
          <w:tcPr>
            <w:tcW w:w="0" w:type="auto"/>
            <w:tcBorders>
              <w:top w:val="single" w:sz="4" w:space="0" w:color="auto"/>
              <w:left w:val="nil"/>
              <w:bottom w:val="single" w:sz="4" w:space="0" w:color="auto"/>
              <w:right w:val="nil"/>
            </w:tcBorders>
            <w:shd w:val="clear" w:color="auto" w:fill="auto"/>
            <w:hideMark/>
          </w:tcPr>
          <w:p w14:paraId="2DB5F4CC"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 xml:space="preserve">Difference between groups statistically significant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87CFFD7"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Details if applicable</w:t>
            </w:r>
          </w:p>
        </w:tc>
      </w:tr>
      <w:tr w:rsidR="00B54D51" w:rsidRPr="00037AD4" w14:paraId="5CA44101" w14:textId="77777777" w:rsidTr="00401C67">
        <w:trPr>
          <w:trHeight w:val="2210"/>
        </w:trPr>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0CF68B2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Easton, 2018</w:t>
            </w:r>
          </w:p>
          <w:p w14:paraId="694607C0" w14:textId="77777777" w:rsidR="00B54D51" w:rsidRPr="00037AD4" w:rsidRDefault="00B54D51" w:rsidP="00401C67">
            <w:pPr>
              <w:rPr>
                <w:rFonts w:asciiTheme="minorHAnsi" w:hAnsiTheme="minorHAnsi" w:cstheme="minorHAnsi"/>
              </w:rPr>
            </w:pPr>
          </w:p>
          <w:p w14:paraId="3EA438C0" w14:textId="77777777" w:rsidR="00B54D51" w:rsidRPr="00037AD4" w:rsidRDefault="00B54D51" w:rsidP="00401C67">
            <w:pPr>
              <w:rPr>
                <w:rFonts w:asciiTheme="minorHAnsi" w:hAnsiTheme="minorHAnsi" w:cstheme="minorHAnsi"/>
              </w:rPr>
            </w:pPr>
          </w:p>
          <w:p w14:paraId="3D21FC16" w14:textId="77777777" w:rsidR="00B54D51" w:rsidRPr="00037AD4" w:rsidRDefault="00B54D51" w:rsidP="00401C67">
            <w:pPr>
              <w:rPr>
                <w:rFonts w:asciiTheme="minorHAnsi" w:hAnsiTheme="minorHAnsi" w:cstheme="minorHAnsi"/>
              </w:rPr>
            </w:pPr>
          </w:p>
          <w:p w14:paraId="5BD0A5C4" w14:textId="77777777" w:rsidR="00B54D51" w:rsidRPr="00037AD4" w:rsidRDefault="00B54D51" w:rsidP="00401C67">
            <w:pPr>
              <w:rPr>
                <w:rFonts w:asciiTheme="minorHAnsi" w:hAnsiTheme="minorHAnsi" w:cstheme="minorHAnsi"/>
              </w:rPr>
            </w:pPr>
          </w:p>
          <w:p w14:paraId="6E743EDF" w14:textId="77777777" w:rsidR="00B54D51" w:rsidRPr="00037AD4" w:rsidRDefault="00B54D51" w:rsidP="00401C67">
            <w:pPr>
              <w:rPr>
                <w:rFonts w:asciiTheme="minorHAnsi" w:hAnsiTheme="minorHAnsi" w:cstheme="minorHAnsi"/>
              </w:rPr>
            </w:pPr>
          </w:p>
          <w:p w14:paraId="7C9CD5B6" w14:textId="77777777" w:rsidR="00B54D51" w:rsidRPr="00037AD4" w:rsidRDefault="00B54D51" w:rsidP="00401C67">
            <w:pPr>
              <w:rPr>
                <w:rFonts w:asciiTheme="minorHAnsi" w:hAnsiTheme="minorHAnsi" w:cstheme="minorHAnsi"/>
              </w:rPr>
            </w:pPr>
          </w:p>
          <w:p w14:paraId="27BFAC1E" w14:textId="77777777" w:rsidR="00B54D51" w:rsidRPr="00037AD4" w:rsidRDefault="00B54D51" w:rsidP="00401C67">
            <w:pPr>
              <w:rPr>
                <w:rFonts w:asciiTheme="minorHAnsi" w:hAnsiTheme="minorHAnsi" w:cstheme="minorHAnsi"/>
              </w:rPr>
            </w:pPr>
          </w:p>
          <w:p w14:paraId="7F3ABE41" w14:textId="77777777" w:rsidR="00B54D51" w:rsidRPr="00037AD4" w:rsidRDefault="00B54D51" w:rsidP="00401C67">
            <w:pPr>
              <w:rPr>
                <w:rFonts w:asciiTheme="minorHAnsi" w:hAnsiTheme="minorHAnsi" w:cstheme="minorHAnsi"/>
              </w:rPr>
            </w:pPr>
          </w:p>
          <w:p w14:paraId="0BA1CF22" w14:textId="77777777" w:rsidR="00B54D51" w:rsidRPr="00037AD4" w:rsidRDefault="00B54D51" w:rsidP="00401C67">
            <w:pPr>
              <w:rPr>
                <w:rFonts w:asciiTheme="minorHAnsi" w:hAnsiTheme="minorHAnsi" w:cstheme="minorHAnsi"/>
              </w:rPr>
            </w:pPr>
          </w:p>
          <w:p w14:paraId="59940738" w14:textId="77777777" w:rsidR="00B54D51" w:rsidRPr="00037AD4" w:rsidRDefault="00B54D51" w:rsidP="00401C67">
            <w:pPr>
              <w:rPr>
                <w:rFonts w:asciiTheme="minorHAnsi" w:hAnsiTheme="minorHAnsi" w:cstheme="minorHAnsi"/>
              </w:rPr>
            </w:pPr>
          </w:p>
        </w:tc>
        <w:tc>
          <w:tcPr>
            <w:tcW w:w="0" w:type="auto"/>
            <w:tcBorders>
              <w:top w:val="single" w:sz="4" w:space="0" w:color="000000"/>
              <w:left w:val="nil"/>
              <w:bottom w:val="single" w:sz="4" w:space="0" w:color="000000"/>
              <w:right w:val="single" w:sz="4" w:space="0" w:color="auto"/>
            </w:tcBorders>
            <w:shd w:val="clear" w:color="auto" w:fill="auto"/>
          </w:tcPr>
          <w:p w14:paraId="1EE5CE3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Both </w:t>
            </w:r>
          </w:p>
          <w:p w14:paraId="71247914" w14:textId="77777777" w:rsidR="00B54D51" w:rsidRPr="00037AD4" w:rsidRDefault="00B54D51" w:rsidP="00401C67">
            <w:pPr>
              <w:rPr>
                <w:rFonts w:asciiTheme="minorHAnsi" w:hAnsiTheme="minorHAnsi" w:cstheme="minorHAnsi"/>
              </w:rPr>
            </w:pPr>
          </w:p>
          <w:p w14:paraId="1F45EC74" w14:textId="77777777" w:rsidR="00B54D51" w:rsidRPr="00037AD4" w:rsidRDefault="00B54D51" w:rsidP="00401C67">
            <w:pPr>
              <w:rPr>
                <w:rFonts w:asciiTheme="minorHAnsi" w:hAnsiTheme="minorHAnsi" w:cstheme="minorHAnsi"/>
              </w:rPr>
            </w:pPr>
          </w:p>
          <w:p w14:paraId="588CDF1A" w14:textId="77777777" w:rsidR="00B54D51" w:rsidRPr="00037AD4" w:rsidRDefault="00B54D51" w:rsidP="00401C67">
            <w:pPr>
              <w:rPr>
                <w:rFonts w:asciiTheme="minorHAnsi" w:hAnsiTheme="minorHAnsi" w:cstheme="minorHAnsi"/>
              </w:rPr>
            </w:pPr>
          </w:p>
          <w:p w14:paraId="2F57D4CB" w14:textId="77777777" w:rsidR="00B54D51" w:rsidRPr="00037AD4" w:rsidRDefault="00B54D51" w:rsidP="00401C67">
            <w:pPr>
              <w:rPr>
                <w:rFonts w:asciiTheme="minorHAnsi" w:hAnsiTheme="minorHAnsi" w:cstheme="minorHAnsi"/>
              </w:rPr>
            </w:pPr>
          </w:p>
          <w:p w14:paraId="578B3C3F" w14:textId="77777777" w:rsidR="00B54D51" w:rsidRPr="00037AD4" w:rsidRDefault="00B54D51" w:rsidP="00401C67">
            <w:pPr>
              <w:rPr>
                <w:rFonts w:asciiTheme="minorHAnsi" w:hAnsiTheme="minorHAnsi" w:cstheme="minorHAnsi"/>
              </w:rPr>
            </w:pPr>
          </w:p>
          <w:p w14:paraId="13932830" w14:textId="77777777" w:rsidR="00B54D51" w:rsidRPr="00037AD4" w:rsidRDefault="00B54D51" w:rsidP="00401C67">
            <w:pPr>
              <w:rPr>
                <w:rFonts w:asciiTheme="minorHAnsi" w:hAnsiTheme="minorHAnsi" w:cstheme="minorHAnsi"/>
              </w:rPr>
            </w:pPr>
          </w:p>
          <w:p w14:paraId="0F79711D" w14:textId="77777777" w:rsidR="00B54D51" w:rsidRPr="00037AD4" w:rsidRDefault="00B54D51" w:rsidP="00401C67">
            <w:pPr>
              <w:rPr>
                <w:rFonts w:asciiTheme="minorHAnsi" w:hAnsiTheme="minorHAnsi" w:cstheme="minorHAnsi"/>
              </w:rPr>
            </w:pPr>
          </w:p>
          <w:p w14:paraId="40F51770" w14:textId="77777777" w:rsidR="00B54D51" w:rsidRPr="00037AD4" w:rsidRDefault="00B54D51" w:rsidP="00401C67">
            <w:pPr>
              <w:rPr>
                <w:rFonts w:asciiTheme="minorHAnsi" w:hAnsiTheme="minorHAnsi" w:cstheme="minorHAnsi"/>
              </w:rPr>
            </w:pPr>
          </w:p>
          <w:p w14:paraId="1590FC7B" w14:textId="77777777" w:rsidR="00B54D51" w:rsidRPr="00037AD4" w:rsidRDefault="00B54D51" w:rsidP="00401C67">
            <w:pPr>
              <w:rPr>
                <w:rFonts w:asciiTheme="minorHAnsi" w:hAnsiTheme="minorHAnsi" w:cstheme="minorHAnsi"/>
              </w:rPr>
            </w:pPr>
          </w:p>
          <w:p w14:paraId="7632B786" w14:textId="77777777" w:rsidR="00B54D51" w:rsidRPr="00037AD4" w:rsidRDefault="00B54D51" w:rsidP="00401C67">
            <w:pPr>
              <w:rPr>
                <w:rFonts w:asciiTheme="minorHAnsi" w:hAnsiTheme="minorHAnsi" w:cstheme="minorHAnsi"/>
              </w:rPr>
            </w:pP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12B77C6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By cognition impairment via PAS-Cog score: Mild (0-9), moderate (10-15) and severe (16-21) </w:t>
            </w:r>
          </w:p>
          <w:p w14:paraId="242C447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By functional impairment in terms of dependence via MBI: no (&gt;100), slight (91-99), moderate (61-90), severe (21-60), total dependence (0-20). </w:t>
            </w:r>
          </w:p>
          <w:p w14:paraId="514BB39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By dementia status: with a diagnosis vs. without a diagnosis.</w:t>
            </w:r>
          </w:p>
          <w:p w14:paraId="6036902F" w14:textId="77777777" w:rsidR="00B54D51" w:rsidRPr="00037AD4" w:rsidRDefault="00B54D51" w:rsidP="00401C67">
            <w:pPr>
              <w:rPr>
                <w:rFonts w:asciiTheme="minorHAnsi" w:hAnsiTheme="minorHAnsi" w:cstheme="minorHAnsi"/>
              </w:rPr>
            </w:pPr>
          </w:p>
          <w:p w14:paraId="28464879" w14:textId="77777777" w:rsidR="00B54D51" w:rsidRPr="00037AD4" w:rsidRDefault="00B54D51" w:rsidP="00401C67">
            <w:pPr>
              <w:rPr>
                <w:rFonts w:asciiTheme="minorHAnsi" w:hAnsiTheme="minorHAnsi" w:cstheme="minorHAnsi"/>
              </w:rPr>
            </w:pPr>
          </w:p>
        </w:tc>
        <w:tc>
          <w:tcPr>
            <w:tcW w:w="0" w:type="auto"/>
            <w:tcBorders>
              <w:top w:val="single" w:sz="4" w:space="0" w:color="000000"/>
              <w:left w:val="single" w:sz="4" w:space="0" w:color="auto"/>
              <w:bottom w:val="single" w:sz="4" w:space="0" w:color="000000"/>
              <w:right w:val="single" w:sz="4" w:space="0" w:color="000000"/>
            </w:tcBorders>
            <w:shd w:val="clear" w:color="auto" w:fill="auto"/>
          </w:tcPr>
          <w:p w14:paraId="2B5704E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Dimensions: Yes </w:t>
            </w:r>
          </w:p>
          <w:p w14:paraId="4464D01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Index: </w:t>
            </w:r>
            <w:proofErr w:type="gramStart"/>
            <w:r w:rsidRPr="00037AD4">
              <w:rPr>
                <w:rFonts w:asciiTheme="minorHAnsi" w:hAnsiTheme="minorHAnsi" w:cstheme="minorHAnsi"/>
              </w:rPr>
              <w:t>Yes</w:t>
            </w:r>
            <w:proofErr w:type="gramEnd"/>
            <w:r w:rsidRPr="00037AD4">
              <w:rPr>
                <w:rFonts w:asciiTheme="minorHAnsi" w:hAnsiTheme="minorHAnsi" w:cstheme="minorHAnsi"/>
              </w:rPr>
              <w:t xml:space="preserve"> for cognitive and functional  impairment and No  for dementia diagnosis </w:t>
            </w:r>
          </w:p>
          <w:p w14:paraId="6A8ED917" w14:textId="77777777" w:rsidR="00B54D51" w:rsidRPr="00037AD4" w:rsidRDefault="00B54D51" w:rsidP="00401C67">
            <w:pPr>
              <w:rPr>
                <w:rFonts w:asciiTheme="minorHAnsi" w:hAnsiTheme="minorHAnsi" w:cstheme="minorHAnsi"/>
              </w:rPr>
            </w:pPr>
          </w:p>
          <w:p w14:paraId="052B3B0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 </w:t>
            </w:r>
          </w:p>
          <w:p w14:paraId="66850037" w14:textId="77777777" w:rsidR="00B54D51" w:rsidRPr="00037AD4" w:rsidRDefault="00B54D51" w:rsidP="00401C67">
            <w:pPr>
              <w:rPr>
                <w:rFonts w:asciiTheme="minorHAnsi" w:hAnsiTheme="minorHAnsi" w:cstheme="minorHAnsi"/>
              </w:rPr>
            </w:pPr>
          </w:p>
          <w:p w14:paraId="17663B6A" w14:textId="77777777" w:rsidR="00B54D51" w:rsidRPr="00037AD4" w:rsidRDefault="00B54D51" w:rsidP="00401C67">
            <w:pPr>
              <w:rPr>
                <w:rFonts w:asciiTheme="minorHAnsi" w:hAnsiTheme="minorHAnsi" w:cstheme="minorHAnsi"/>
              </w:rPr>
            </w:pPr>
          </w:p>
        </w:tc>
        <w:tc>
          <w:tcPr>
            <w:tcW w:w="0" w:type="auto"/>
            <w:tcBorders>
              <w:top w:val="single" w:sz="4" w:space="0" w:color="000000"/>
              <w:left w:val="nil"/>
              <w:bottom w:val="single" w:sz="4" w:space="0" w:color="000000"/>
              <w:right w:val="nil"/>
            </w:tcBorders>
            <w:shd w:val="clear" w:color="auto" w:fill="auto"/>
          </w:tcPr>
          <w:p w14:paraId="4802078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Yes</w:t>
            </w:r>
          </w:p>
          <w:p w14:paraId="10E7C4D3" w14:textId="77777777" w:rsidR="00B54D51" w:rsidRPr="00037AD4" w:rsidRDefault="00B54D51" w:rsidP="00401C67">
            <w:pPr>
              <w:rPr>
                <w:rFonts w:asciiTheme="minorHAnsi" w:hAnsiTheme="minorHAnsi" w:cstheme="minorHAnsi"/>
              </w:rPr>
            </w:pPr>
          </w:p>
          <w:p w14:paraId="26769305" w14:textId="77777777" w:rsidR="00B54D51" w:rsidRPr="00037AD4" w:rsidRDefault="00B54D51" w:rsidP="00401C67">
            <w:pPr>
              <w:rPr>
                <w:rFonts w:asciiTheme="minorHAnsi" w:hAnsiTheme="minorHAnsi" w:cstheme="minorHAnsi"/>
              </w:rPr>
            </w:pPr>
          </w:p>
          <w:p w14:paraId="2DF2DB6B" w14:textId="77777777" w:rsidR="00B54D51" w:rsidRPr="00037AD4" w:rsidRDefault="00B54D51" w:rsidP="00401C67">
            <w:pPr>
              <w:rPr>
                <w:rFonts w:asciiTheme="minorHAnsi" w:hAnsiTheme="minorHAnsi" w:cstheme="minorHAnsi"/>
              </w:rPr>
            </w:pPr>
          </w:p>
          <w:p w14:paraId="58D85EFA" w14:textId="77777777" w:rsidR="00B54D51" w:rsidRPr="00037AD4" w:rsidRDefault="00B54D51" w:rsidP="00401C67">
            <w:pPr>
              <w:rPr>
                <w:rFonts w:asciiTheme="minorHAnsi" w:hAnsiTheme="minorHAnsi" w:cstheme="minorHAnsi"/>
              </w:rPr>
            </w:pPr>
          </w:p>
          <w:p w14:paraId="7FC0851E" w14:textId="77777777" w:rsidR="00B54D51" w:rsidRPr="00037AD4" w:rsidRDefault="00B54D51" w:rsidP="00401C67">
            <w:pPr>
              <w:rPr>
                <w:rFonts w:asciiTheme="minorHAnsi" w:hAnsiTheme="minorHAnsi" w:cstheme="minorHAnsi"/>
              </w:rPr>
            </w:pPr>
          </w:p>
          <w:p w14:paraId="17BFCA1C" w14:textId="77777777" w:rsidR="00B54D51" w:rsidRPr="00037AD4" w:rsidRDefault="00B54D51" w:rsidP="00401C67">
            <w:pPr>
              <w:rPr>
                <w:rFonts w:asciiTheme="minorHAnsi" w:hAnsiTheme="minorHAnsi" w:cstheme="minorHAnsi"/>
              </w:rPr>
            </w:pPr>
          </w:p>
          <w:p w14:paraId="33B9518A" w14:textId="77777777" w:rsidR="00B54D51" w:rsidRPr="00037AD4" w:rsidRDefault="00B54D51" w:rsidP="00401C67">
            <w:pPr>
              <w:rPr>
                <w:rFonts w:asciiTheme="minorHAnsi" w:hAnsiTheme="minorHAnsi" w:cstheme="minorHAnsi"/>
              </w:rPr>
            </w:pPr>
          </w:p>
          <w:p w14:paraId="6779EBE7" w14:textId="77777777" w:rsidR="00B54D51" w:rsidRPr="00037AD4" w:rsidRDefault="00B54D51" w:rsidP="00401C67">
            <w:pPr>
              <w:rPr>
                <w:rFonts w:asciiTheme="minorHAnsi" w:hAnsiTheme="minorHAnsi" w:cstheme="minorHAnsi"/>
              </w:rPr>
            </w:pPr>
          </w:p>
          <w:p w14:paraId="4B5BF5C7" w14:textId="77777777" w:rsidR="00B54D51" w:rsidRPr="00037AD4" w:rsidRDefault="00B54D51" w:rsidP="00401C67">
            <w:pPr>
              <w:rPr>
                <w:rFonts w:asciiTheme="minorHAnsi" w:hAnsiTheme="minorHAnsi" w:cstheme="minorHAnsi"/>
              </w:rPr>
            </w:pPr>
          </w:p>
          <w:p w14:paraId="21F0AC9C" w14:textId="77777777" w:rsidR="00B54D51" w:rsidRPr="00037AD4" w:rsidRDefault="00B54D51" w:rsidP="00401C67">
            <w:pPr>
              <w:rPr>
                <w:rFonts w:asciiTheme="minorHAnsi" w:hAnsiTheme="minorHAnsi" w:cstheme="minorHAnsi"/>
              </w:rPr>
            </w:pPr>
          </w:p>
        </w:tc>
        <w:tc>
          <w:tcPr>
            <w:tcW w:w="0" w:type="auto"/>
            <w:tcBorders>
              <w:top w:val="nil"/>
              <w:left w:val="single" w:sz="4" w:space="0" w:color="auto"/>
              <w:bottom w:val="single" w:sz="4" w:space="0" w:color="auto"/>
              <w:right w:val="single" w:sz="4" w:space="0" w:color="auto"/>
            </w:tcBorders>
            <w:shd w:val="clear" w:color="auto" w:fill="auto"/>
          </w:tcPr>
          <w:p w14:paraId="291AA3E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Dimensions: differences as expected - Yes- for physical function severity groups (from both self-report and proxy). No - for cognitive impairment defined groups (no strong relationship for proxy report and inverse relationship for self-report). </w:t>
            </w:r>
          </w:p>
          <w:p w14:paraId="7E0FB15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Mean EQ-5D-5L scores were higher for residents with a diagnosis of dementia compared to those without.</w:t>
            </w:r>
          </w:p>
          <w:p w14:paraId="3B12FBD8" w14:textId="77777777" w:rsidR="00B54D51" w:rsidRPr="00037AD4" w:rsidRDefault="00B54D51" w:rsidP="00401C67">
            <w:pPr>
              <w:rPr>
                <w:rFonts w:asciiTheme="minorHAnsi" w:hAnsiTheme="minorHAnsi" w:cstheme="minorHAnsi"/>
              </w:rPr>
            </w:pPr>
          </w:p>
          <w:p w14:paraId="625471F2" w14:textId="77777777" w:rsidR="00B54D51" w:rsidRPr="00037AD4" w:rsidRDefault="00B54D51" w:rsidP="00401C67">
            <w:pPr>
              <w:rPr>
                <w:rFonts w:asciiTheme="minorHAnsi" w:hAnsiTheme="minorHAnsi" w:cstheme="minorHAnsi"/>
              </w:rPr>
            </w:pPr>
          </w:p>
        </w:tc>
      </w:tr>
      <w:tr w:rsidR="00B54D51" w:rsidRPr="00037AD4" w14:paraId="7B48DC65" w14:textId="77777777" w:rsidTr="00401C67">
        <w:trPr>
          <w:trHeight w:val="932"/>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45EB96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Handels, 2018 </w:t>
            </w:r>
          </w:p>
        </w:tc>
        <w:tc>
          <w:tcPr>
            <w:tcW w:w="0" w:type="auto"/>
            <w:tcBorders>
              <w:top w:val="single" w:sz="4" w:space="0" w:color="auto"/>
              <w:left w:val="nil"/>
              <w:bottom w:val="single" w:sz="4" w:space="0" w:color="auto"/>
              <w:right w:val="single" w:sz="4" w:space="0" w:color="auto"/>
            </w:tcBorders>
            <w:shd w:val="clear" w:color="auto" w:fill="auto"/>
            <w:hideMark/>
          </w:tcPr>
          <w:p w14:paraId="60FA74E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Index </w:t>
            </w:r>
          </w:p>
        </w:tc>
        <w:tc>
          <w:tcPr>
            <w:tcW w:w="0" w:type="auto"/>
            <w:tcBorders>
              <w:top w:val="single" w:sz="4" w:space="0" w:color="auto"/>
              <w:left w:val="nil"/>
              <w:bottom w:val="single" w:sz="4" w:space="0" w:color="auto"/>
              <w:right w:val="single" w:sz="4" w:space="0" w:color="auto"/>
            </w:tcBorders>
            <w:shd w:val="clear" w:color="auto" w:fill="auto"/>
            <w:hideMark/>
          </w:tcPr>
          <w:p w14:paraId="0364E59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Unmet need: no unmet need, 1 or 2 unmet needs, and 3 or more unmet needs</w:t>
            </w:r>
          </w:p>
        </w:tc>
        <w:tc>
          <w:tcPr>
            <w:tcW w:w="0" w:type="auto"/>
            <w:tcBorders>
              <w:top w:val="single" w:sz="4" w:space="0" w:color="auto"/>
              <w:left w:val="nil"/>
              <w:bottom w:val="single" w:sz="4" w:space="0" w:color="auto"/>
              <w:right w:val="single" w:sz="4" w:space="0" w:color="auto"/>
            </w:tcBorders>
            <w:shd w:val="clear" w:color="auto" w:fill="auto"/>
            <w:hideMark/>
          </w:tcPr>
          <w:p w14:paraId="50C8B9D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Yes </w:t>
            </w:r>
          </w:p>
        </w:tc>
        <w:tc>
          <w:tcPr>
            <w:tcW w:w="0" w:type="auto"/>
            <w:tcBorders>
              <w:top w:val="single" w:sz="4" w:space="0" w:color="auto"/>
              <w:left w:val="nil"/>
              <w:bottom w:val="single" w:sz="4" w:space="0" w:color="auto"/>
              <w:right w:val="nil"/>
            </w:tcBorders>
            <w:shd w:val="clear" w:color="auto" w:fill="auto"/>
            <w:hideMark/>
          </w:tcPr>
          <w:p w14:paraId="3F8EE4E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Yes. Fewer were significant for proxy compared with self-report. </w:t>
            </w:r>
          </w:p>
        </w:tc>
        <w:tc>
          <w:tcPr>
            <w:tcW w:w="0" w:type="auto"/>
            <w:tcBorders>
              <w:top w:val="nil"/>
              <w:left w:val="single" w:sz="4" w:space="0" w:color="auto"/>
              <w:bottom w:val="single" w:sz="4" w:space="0" w:color="auto"/>
              <w:right w:val="single" w:sz="4" w:space="0" w:color="auto"/>
            </w:tcBorders>
            <w:shd w:val="clear" w:color="auto" w:fill="auto"/>
            <w:hideMark/>
          </w:tcPr>
          <w:p w14:paraId="67EFF2F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Albeit significant, the differences for self-report were small. Similar pattern for the proxy ratings (and the carer self-report) with fewer of the differences being significant</w:t>
            </w:r>
          </w:p>
        </w:tc>
      </w:tr>
      <w:tr w:rsidR="00B54D51" w:rsidRPr="00037AD4" w14:paraId="4A9C8321" w14:textId="77777777" w:rsidTr="00401C67">
        <w:trPr>
          <w:trHeight w:val="841"/>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53C19C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lastRenderedPageBreak/>
              <w:t xml:space="preserve">Ratcliffe, 2017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DB5061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Index</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4B849D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Self-reported and proxy EQ-5D-5L scores according to:  a. cognitive impairment measured by MMSE score:  Mild ( &gt;20), Moderate (10–20), Severe (&lt;10); b. Depression measured by CSDD score: Non-case (&lt;11), Probable (11–17), Definite ( &gt;17); c. Self-care measured by MBI dependence score: Independence (100), Slight  (MBI score 91–99), Moderate (61–90), Severe (21–60), Total dependence (0–20); d. Pain measured by PainAd score: No pain (0), Mild (1–3), Moderate (4–6), Severe (7–10)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CF4DB7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Mixed but overall yes</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894972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Mixed but overall yes</w:t>
            </w:r>
          </w:p>
          <w:p w14:paraId="0777D07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A84630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All effect sizes were below 0.3 indicating small to moderate overall effect. Differences were significant at baseline for self-reported EQ-5D-5L across all known-groups; significant for all known groups except cognitive impairment.</w:t>
            </w:r>
          </w:p>
          <w:p w14:paraId="63D7030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Differences were non- significant at 4 weeks for self-reported EQ-5D-5L across all known-groups; significant across depression and self-care for proxy completed and non-significant for cognitive impairment and pain</w:t>
            </w:r>
          </w:p>
        </w:tc>
      </w:tr>
      <w:tr w:rsidR="00B54D51" w:rsidRPr="00037AD4" w14:paraId="0CB25023" w14:textId="77777777" w:rsidTr="00401C67">
        <w:trPr>
          <w:trHeight w:val="912"/>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15F636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Sopina, 2019 </w:t>
            </w:r>
          </w:p>
          <w:p w14:paraId="73762FA6" w14:textId="77777777" w:rsidR="00B54D51" w:rsidRPr="00037AD4" w:rsidRDefault="00B54D51" w:rsidP="00401C67">
            <w:pPr>
              <w:rPr>
                <w:rFonts w:asciiTheme="minorHAnsi" w:hAnsiTheme="minorHAnsi" w:cstheme="minorHAnsi"/>
              </w:rPr>
            </w:pPr>
          </w:p>
          <w:p w14:paraId="180EF89B" w14:textId="77777777" w:rsidR="00B54D51" w:rsidRPr="00037AD4" w:rsidRDefault="00B54D51" w:rsidP="00401C67">
            <w:pPr>
              <w:rPr>
                <w:rFonts w:asciiTheme="minorHAnsi" w:hAnsiTheme="minorHAnsi" w:cstheme="minorHAnsi"/>
              </w:rPr>
            </w:pP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1640B2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Both</w:t>
            </w:r>
          </w:p>
          <w:p w14:paraId="460DB861" w14:textId="77777777" w:rsidR="00B54D51" w:rsidRPr="00037AD4" w:rsidRDefault="00B54D51" w:rsidP="00401C67">
            <w:pPr>
              <w:rPr>
                <w:rFonts w:asciiTheme="minorHAnsi" w:hAnsiTheme="minorHAnsi" w:cstheme="minorHAnsi"/>
              </w:rPr>
            </w:pPr>
          </w:p>
          <w:p w14:paraId="176744D2" w14:textId="77777777" w:rsidR="00B54D51" w:rsidRPr="00037AD4" w:rsidRDefault="00B54D51" w:rsidP="00401C67">
            <w:pPr>
              <w:rPr>
                <w:rFonts w:asciiTheme="minorHAnsi" w:hAnsiTheme="minorHAnsi" w:cstheme="minorHAnsi"/>
              </w:rPr>
            </w:pP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FC7EF1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Facilitated family case conferencing (similar to care planning) versus with usual care </w:t>
            </w:r>
          </w:p>
          <w:p w14:paraId="642D795C" w14:textId="77777777" w:rsidR="00B54D51" w:rsidRPr="00037AD4" w:rsidRDefault="00B54D51" w:rsidP="00401C67">
            <w:pPr>
              <w:rPr>
                <w:rFonts w:asciiTheme="minorHAnsi" w:hAnsiTheme="minorHAnsi" w:cstheme="minorHAnsi"/>
              </w:rPr>
            </w:pP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F95BD6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Yes</w:t>
            </w:r>
          </w:p>
          <w:p w14:paraId="6E90D3DD" w14:textId="77777777" w:rsidR="00B54D51" w:rsidRPr="00037AD4" w:rsidRDefault="00B54D51" w:rsidP="00401C67">
            <w:pPr>
              <w:rPr>
                <w:rFonts w:asciiTheme="minorHAnsi" w:hAnsiTheme="minorHAnsi" w:cstheme="minorHAnsi"/>
              </w:rPr>
            </w:pPr>
          </w:p>
          <w:p w14:paraId="451CBA40" w14:textId="77777777" w:rsidR="00B54D51" w:rsidRPr="00037AD4" w:rsidRDefault="00B54D51" w:rsidP="00401C67">
            <w:pPr>
              <w:rPr>
                <w:rFonts w:asciiTheme="minorHAnsi" w:hAnsiTheme="minorHAnsi" w:cstheme="minorHAnsi"/>
              </w:rPr>
            </w:pP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A21F18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No</w:t>
            </w:r>
          </w:p>
          <w:p w14:paraId="033CB94B" w14:textId="77777777" w:rsidR="00B54D51" w:rsidRPr="00037AD4" w:rsidRDefault="00B54D51" w:rsidP="00401C67">
            <w:pPr>
              <w:rPr>
                <w:rFonts w:asciiTheme="minorHAnsi" w:hAnsiTheme="minorHAnsi" w:cstheme="minorHAnsi"/>
              </w:rPr>
            </w:pPr>
          </w:p>
          <w:p w14:paraId="4B9D2A84" w14:textId="77777777" w:rsidR="00B54D51" w:rsidRPr="00037AD4" w:rsidRDefault="00B54D51" w:rsidP="00401C67">
            <w:pPr>
              <w:rPr>
                <w:rFonts w:asciiTheme="minorHAnsi" w:hAnsiTheme="minorHAnsi" w:cstheme="minorHAnsi"/>
              </w:rPr>
            </w:pP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774F39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w:t>
            </w:r>
          </w:p>
        </w:tc>
      </w:tr>
      <w:tr w:rsidR="00B54D51" w:rsidRPr="00037AD4" w14:paraId="7E301F35" w14:textId="77777777" w:rsidTr="00401C67">
        <w:trPr>
          <w:trHeight w:val="912"/>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FB9057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Toh, 2020</w:t>
            </w:r>
          </w:p>
          <w:p w14:paraId="68145DC8" w14:textId="77777777" w:rsidR="00B54D51" w:rsidRPr="00037AD4" w:rsidRDefault="00B54D51" w:rsidP="00401C67">
            <w:pPr>
              <w:rPr>
                <w:rFonts w:asciiTheme="minorHAnsi" w:hAnsiTheme="minorHAnsi" w:cstheme="minorHAnsi"/>
              </w:rPr>
            </w:pPr>
          </w:p>
          <w:p w14:paraId="705EA588" w14:textId="77777777" w:rsidR="00B54D51" w:rsidRPr="00037AD4" w:rsidRDefault="00B54D51" w:rsidP="00401C67">
            <w:pPr>
              <w:rPr>
                <w:rFonts w:asciiTheme="minorHAnsi" w:hAnsiTheme="minorHAnsi" w:cstheme="minorHAnsi"/>
              </w:rPr>
            </w:pPr>
          </w:p>
          <w:p w14:paraId="7A01577A" w14:textId="77777777" w:rsidR="00B54D51" w:rsidRPr="00037AD4" w:rsidRDefault="00B54D51" w:rsidP="00401C67">
            <w:pPr>
              <w:rPr>
                <w:rFonts w:asciiTheme="minorHAnsi" w:hAnsiTheme="minorHAnsi" w:cstheme="minorHAnsi"/>
              </w:rPr>
            </w:pPr>
          </w:p>
          <w:p w14:paraId="2085D3F1" w14:textId="77777777" w:rsidR="00B54D51" w:rsidRPr="00037AD4" w:rsidRDefault="00B54D51" w:rsidP="00401C67">
            <w:pPr>
              <w:rPr>
                <w:rFonts w:asciiTheme="minorHAnsi" w:hAnsiTheme="minorHAnsi" w:cstheme="minorHAnsi"/>
              </w:rPr>
            </w:pPr>
          </w:p>
          <w:p w14:paraId="49207853" w14:textId="77777777" w:rsidR="00B54D51" w:rsidRPr="00037AD4" w:rsidRDefault="00B54D51" w:rsidP="00401C67">
            <w:pPr>
              <w:rPr>
                <w:rFonts w:asciiTheme="minorHAnsi" w:hAnsiTheme="minorHAnsi" w:cstheme="minorHAnsi"/>
              </w:rPr>
            </w:pPr>
          </w:p>
          <w:p w14:paraId="7DB4F5B2" w14:textId="77777777" w:rsidR="00B54D51" w:rsidRPr="00037AD4" w:rsidRDefault="00B54D51" w:rsidP="00401C67">
            <w:pPr>
              <w:rPr>
                <w:rFonts w:asciiTheme="minorHAnsi" w:hAnsiTheme="minorHAnsi" w:cstheme="minorHAnsi"/>
              </w:rPr>
            </w:pPr>
          </w:p>
          <w:p w14:paraId="22429CEF" w14:textId="77777777" w:rsidR="00B54D51" w:rsidRPr="00037AD4" w:rsidRDefault="00B54D51" w:rsidP="00401C67">
            <w:pPr>
              <w:rPr>
                <w:rFonts w:asciiTheme="minorHAnsi" w:hAnsiTheme="minorHAnsi" w:cstheme="minorHAnsi"/>
              </w:rPr>
            </w:pPr>
          </w:p>
          <w:p w14:paraId="708B4C9F" w14:textId="77777777" w:rsidR="00B54D51" w:rsidRPr="00037AD4" w:rsidRDefault="00B54D51" w:rsidP="00401C67">
            <w:pPr>
              <w:rPr>
                <w:rFonts w:asciiTheme="minorHAnsi" w:hAnsiTheme="minorHAnsi" w:cstheme="minorHAnsi"/>
              </w:rPr>
            </w:pPr>
          </w:p>
          <w:p w14:paraId="2B075AC3" w14:textId="77777777" w:rsidR="00B54D51" w:rsidRPr="00037AD4" w:rsidRDefault="00B54D51" w:rsidP="00401C67">
            <w:pPr>
              <w:rPr>
                <w:rFonts w:asciiTheme="minorHAnsi" w:hAnsiTheme="minorHAnsi" w:cstheme="minorHAnsi"/>
              </w:rPr>
            </w:pPr>
          </w:p>
          <w:p w14:paraId="5431AD00" w14:textId="77777777" w:rsidR="00B54D51" w:rsidRPr="00037AD4" w:rsidRDefault="00B54D51" w:rsidP="00401C67">
            <w:pPr>
              <w:rPr>
                <w:rFonts w:asciiTheme="minorHAnsi" w:hAnsiTheme="minorHAnsi" w:cstheme="minorHAnsi"/>
              </w:rPr>
            </w:pPr>
          </w:p>
          <w:p w14:paraId="10C6C1C1" w14:textId="77777777" w:rsidR="00B54D51" w:rsidRPr="00037AD4" w:rsidRDefault="00B54D51" w:rsidP="00401C67">
            <w:pPr>
              <w:rPr>
                <w:rFonts w:asciiTheme="minorHAnsi" w:hAnsiTheme="minorHAnsi" w:cstheme="minorHAnsi"/>
              </w:rPr>
            </w:pPr>
          </w:p>
          <w:p w14:paraId="3403BA0B" w14:textId="77777777" w:rsidR="00B54D51" w:rsidRPr="00037AD4" w:rsidRDefault="00B54D51" w:rsidP="00401C67">
            <w:pPr>
              <w:rPr>
                <w:rFonts w:asciiTheme="minorHAnsi" w:hAnsiTheme="minorHAnsi" w:cstheme="minorHAnsi"/>
              </w:rPr>
            </w:pPr>
          </w:p>
          <w:p w14:paraId="0E0502EE" w14:textId="77777777" w:rsidR="00B54D51" w:rsidRPr="00037AD4" w:rsidRDefault="00B54D51" w:rsidP="00401C67">
            <w:pPr>
              <w:rPr>
                <w:rFonts w:asciiTheme="minorHAnsi" w:hAnsiTheme="minorHAnsi" w:cstheme="minorHAnsi"/>
              </w:rPr>
            </w:pPr>
          </w:p>
          <w:p w14:paraId="714E0A26" w14:textId="77777777" w:rsidR="00B54D51" w:rsidRPr="00037AD4" w:rsidRDefault="00B54D51" w:rsidP="00401C67">
            <w:pPr>
              <w:rPr>
                <w:rFonts w:asciiTheme="minorHAnsi" w:hAnsiTheme="minorHAnsi" w:cstheme="minorHAnsi"/>
              </w:rPr>
            </w:pPr>
          </w:p>
          <w:p w14:paraId="59E83BA7" w14:textId="77777777" w:rsidR="00B54D51" w:rsidRPr="00037AD4" w:rsidRDefault="00B54D51" w:rsidP="00401C67">
            <w:pPr>
              <w:rPr>
                <w:rFonts w:asciiTheme="minorHAnsi" w:hAnsiTheme="minorHAnsi" w:cstheme="minorHAnsi"/>
              </w:rPr>
            </w:pPr>
          </w:p>
          <w:p w14:paraId="3D456C94" w14:textId="77777777" w:rsidR="00B54D51" w:rsidRPr="00037AD4" w:rsidRDefault="00B54D51" w:rsidP="00401C67">
            <w:pPr>
              <w:rPr>
                <w:rFonts w:asciiTheme="minorHAnsi" w:hAnsiTheme="minorHAnsi" w:cstheme="minorHAnsi"/>
              </w:rPr>
            </w:pP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B634DB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lastRenderedPageBreak/>
              <w:t xml:space="preserve">Both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BA9718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Differing health status based on levels of physical function and communication ability. RAF - Resident Assessment Form </w:t>
            </w:r>
            <w:r w:rsidRPr="00037AD4">
              <w:rPr>
                <w:rFonts w:asciiTheme="minorHAnsi" w:hAnsiTheme="minorHAnsi" w:cstheme="minorHAnsi"/>
              </w:rPr>
              <w:lastRenderedPageBreak/>
              <w:t>Categories - 1) cognitively and physically independent, Category 2) semi-ambulant, Category 3) wheelchair or bedbound, Category 4) highly dependent.</w:t>
            </w:r>
          </w:p>
          <w:p w14:paraId="4E74E7D0" w14:textId="77777777" w:rsidR="00B54D51" w:rsidRPr="00037AD4" w:rsidRDefault="00B54D51" w:rsidP="00401C67">
            <w:pPr>
              <w:rPr>
                <w:rFonts w:asciiTheme="minorHAnsi" w:hAnsiTheme="minorHAnsi" w:cstheme="minorHAnsi"/>
              </w:rPr>
            </w:pPr>
          </w:p>
          <w:p w14:paraId="75EDF0FF" w14:textId="77777777" w:rsidR="00B54D51" w:rsidRPr="00037AD4" w:rsidRDefault="00B54D51" w:rsidP="00401C67">
            <w:pPr>
              <w:rPr>
                <w:rFonts w:asciiTheme="minorHAnsi" w:hAnsiTheme="minorHAnsi" w:cstheme="minorHAnsi"/>
              </w:rPr>
            </w:pPr>
          </w:p>
          <w:p w14:paraId="4443700E" w14:textId="77777777" w:rsidR="00B54D51" w:rsidRPr="00037AD4" w:rsidRDefault="00B54D51" w:rsidP="00401C67">
            <w:pPr>
              <w:rPr>
                <w:rFonts w:asciiTheme="minorHAnsi" w:hAnsiTheme="minorHAnsi" w:cstheme="minorHAnsi"/>
              </w:rPr>
            </w:pPr>
          </w:p>
          <w:p w14:paraId="6A2EA805" w14:textId="77777777" w:rsidR="00B54D51" w:rsidRPr="00037AD4" w:rsidRDefault="00B54D51" w:rsidP="00401C67">
            <w:pPr>
              <w:rPr>
                <w:rFonts w:asciiTheme="minorHAnsi" w:hAnsiTheme="minorHAnsi" w:cstheme="minorHAnsi"/>
              </w:rPr>
            </w:pPr>
          </w:p>
          <w:p w14:paraId="1AF0A6FA" w14:textId="77777777" w:rsidR="00B54D51" w:rsidRPr="00037AD4" w:rsidRDefault="00B54D51" w:rsidP="00401C67">
            <w:pPr>
              <w:rPr>
                <w:rFonts w:asciiTheme="minorHAnsi" w:hAnsiTheme="minorHAnsi" w:cstheme="minorHAnsi"/>
              </w:rPr>
            </w:pPr>
          </w:p>
          <w:p w14:paraId="1D429286" w14:textId="77777777" w:rsidR="00B54D51" w:rsidRPr="00037AD4" w:rsidRDefault="00B54D51" w:rsidP="00401C67">
            <w:pPr>
              <w:rPr>
                <w:rFonts w:asciiTheme="minorHAnsi" w:hAnsiTheme="minorHAnsi" w:cstheme="minorHAnsi"/>
              </w:rPr>
            </w:pPr>
          </w:p>
          <w:p w14:paraId="1DFBE005" w14:textId="77777777" w:rsidR="00B54D51" w:rsidRPr="00037AD4" w:rsidRDefault="00B54D51" w:rsidP="00401C67">
            <w:pPr>
              <w:rPr>
                <w:rFonts w:asciiTheme="minorHAnsi" w:hAnsiTheme="minorHAnsi" w:cstheme="minorHAnsi"/>
              </w:rPr>
            </w:pPr>
          </w:p>
          <w:p w14:paraId="62CDE247" w14:textId="77777777" w:rsidR="00B54D51" w:rsidRPr="00037AD4" w:rsidRDefault="00B54D51" w:rsidP="00401C67">
            <w:pPr>
              <w:rPr>
                <w:rFonts w:asciiTheme="minorHAnsi" w:hAnsiTheme="minorHAnsi" w:cstheme="minorHAnsi"/>
              </w:rPr>
            </w:pPr>
          </w:p>
          <w:p w14:paraId="0F6E9C0E" w14:textId="77777777" w:rsidR="00B54D51" w:rsidRPr="00037AD4" w:rsidRDefault="00B54D51" w:rsidP="00401C67">
            <w:pPr>
              <w:rPr>
                <w:rFonts w:asciiTheme="minorHAnsi" w:hAnsiTheme="minorHAnsi" w:cstheme="minorHAnsi"/>
              </w:rPr>
            </w:pPr>
          </w:p>
          <w:p w14:paraId="21658BE5" w14:textId="77777777" w:rsidR="00B54D51" w:rsidRPr="00037AD4" w:rsidRDefault="00B54D51" w:rsidP="00401C67">
            <w:pPr>
              <w:rPr>
                <w:rFonts w:asciiTheme="minorHAnsi" w:hAnsiTheme="minorHAnsi" w:cstheme="minorHAnsi"/>
              </w:rPr>
            </w:pP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FB49C9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lastRenderedPageBreak/>
              <w:t>Yes</w:t>
            </w:r>
          </w:p>
          <w:p w14:paraId="5EE93DBA" w14:textId="77777777" w:rsidR="00B54D51" w:rsidRPr="00037AD4" w:rsidRDefault="00B54D51" w:rsidP="00401C67">
            <w:pPr>
              <w:rPr>
                <w:rFonts w:asciiTheme="minorHAnsi" w:hAnsiTheme="minorHAnsi" w:cstheme="minorHAnsi"/>
              </w:rPr>
            </w:pPr>
          </w:p>
          <w:p w14:paraId="34F1EABA" w14:textId="77777777" w:rsidR="00B54D51" w:rsidRPr="00037AD4" w:rsidRDefault="00B54D51" w:rsidP="00401C67">
            <w:pPr>
              <w:rPr>
                <w:rFonts w:asciiTheme="minorHAnsi" w:hAnsiTheme="minorHAnsi" w:cstheme="minorHAnsi"/>
              </w:rPr>
            </w:pPr>
          </w:p>
          <w:p w14:paraId="3FC6B976" w14:textId="77777777" w:rsidR="00B54D51" w:rsidRPr="00037AD4" w:rsidRDefault="00B54D51" w:rsidP="00401C67">
            <w:pPr>
              <w:rPr>
                <w:rFonts w:asciiTheme="minorHAnsi" w:hAnsiTheme="minorHAnsi" w:cstheme="minorHAnsi"/>
              </w:rPr>
            </w:pPr>
          </w:p>
          <w:p w14:paraId="45C5C02E" w14:textId="77777777" w:rsidR="00B54D51" w:rsidRPr="00037AD4" w:rsidRDefault="00B54D51" w:rsidP="00401C67">
            <w:pPr>
              <w:rPr>
                <w:rFonts w:asciiTheme="minorHAnsi" w:hAnsiTheme="minorHAnsi" w:cstheme="minorHAnsi"/>
              </w:rPr>
            </w:pPr>
          </w:p>
          <w:p w14:paraId="4E6A7628" w14:textId="77777777" w:rsidR="00B54D51" w:rsidRPr="00037AD4" w:rsidRDefault="00B54D51" w:rsidP="00401C67">
            <w:pPr>
              <w:rPr>
                <w:rFonts w:asciiTheme="minorHAnsi" w:hAnsiTheme="minorHAnsi" w:cstheme="minorHAnsi"/>
              </w:rPr>
            </w:pPr>
          </w:p>
          <w:p w14:paraId="6543C761" w14:textId="77777777" w:rsidR="00B54D51" w:rsidRPr="00037AD4" w:rsidRDefault="00B54D51" w:rsidP="00401C67">
            <w:pPr>
              <w:rPr>
                <w:rFonts w:asciiTheme="minorHAnsi" w:hAnsiTheme="minorHAnsi" w:cstheme="minorHAnsi"/>
              </w:rPr>
            </w:pPr>
          </w:p>
          <w:p w14:paraId="7444AED3" w14:textId="77777777" w:rsidR="00B54D51" w:rsidRPr="00037AD4" w:rsidRDefault="00B54D51" w:rsidP="00401C67">
            <w:pPr>
              <w:rPr>
                <w:rFonts w:asciiTheme="minorHAnsi" w:hAnsiTheme="minorHAnsi" w:cstheme="minorHAnsi"/>
              </w:rPr>
            </w:pPr>
          </w:p>
          <w:p w14:paraId="09F3C5A6" w14:textId="77777777" w:rsidR="00B54D51" w:rsidRPr="00037AD4" w:rsidRDefault="00B54D51" w:rsidP="00401C67">
            <w:pPr>
              <w:rPr>
                <w:rFonts w:asciiTheme="minorHAnsi" w:hAnsiTheme="minorHAnsi" w:cstheme="minorHAnsi"/>
              </w:rPr>
            </w:pPr>
          </w:p>
          <w:p w14:paraId="67F2217B" w14:textId="77777777" w:rsidR="00B54D51" w:rsidRPr="00037AD4" w:rsidRDefault="00B54D51" w:rsidP="00401C67">
            <w:pPr>
              <w:rPr>
                <w:rFonts w:asciiTheme="minorHAnsi" w:hAnsiTheme="minorHAnsi" w:cstheme="minorHAnsi"/>
              </w:rPr>
            </w:pPr>
          </w:p>
          <w:p w14:paraId="4EFB6405" w14:textId="77777777" w:rsidR="00B54D51" w:rsidRPr="00037AD4" w:rsidRDefault="00B54D51" w:rsidP="00401C67">
            <w:pPr>
              <w:rPr>
                <w:rFonts w:asciiTheme="minorHAnsi" w:hAnsiTheme="minorHAnsi" w:cstheme="minorHAnsi"/>
              </w:rPr>
            </w:pPr>
          </w:p>
          <w:p w14:paraId="1D38E2B8" w14:textId="77777777" w:rsidR="00B54D51" w:rsidRPr="00037AD4" w:rsidRDefault="00B54D51" w:rsidP="00401C67">
            <w:pPr>
              <w:rPr>
                <w:rFonts w:asciiTheme="minorHAnsi" w:hAnsiTheme="minorHAnsi" w:cstheme="minorHAnsi"/>
              </w:rPr>
            </w:pPr>
          </w:p>
          <w:p w14:paraId="2A5E6A96" w14:textId="77777777" w:rsidR="00B54D51" w:rsidRPr="00037AD4" w:rsidRDefault="00B54D51" w:rsidP="00401C67">
            <w:pPr>
              <w:rPr>
                <w:rFonts w:asciiTheme="minorHAnsi" w:hAnsiTheme="minorHAnsi" w:cstheme="minorHAnsi"/>
              </w:rPr>
            </w:pPr>
          </w:p>
          <w:p w14:paraId="032BC9BF" w14:textId="77777777" w:rsidR="00B54D51" w:rsidRPr="00037AD4" w:rsidRDefault="00B54D51" w:rsidP="00401C67">
            <w:pPr>
              <w:rPr>
                <w:rFonts w:asciiTheme="minorHAnsi" w:hAnsiTheme="minorHAnsi" w:cstheme="minorHAnsi"/>
              </w:rPr>
            </w:pPr>
          </w:p>
          <w:p w14:paraId="41E76247" w14:textId="77777777" w:rsidR="00B54D51" w:rsidRPr="00037AD4" w:rsidRDefault="00B54D51" w:rsidP="00401C67">
            <w:pPr>
              <w:rPr>
                <w:rFonts w:asciiTheme="minorHAnsi" w:hAnsiTheme="minorHAnsi" w:cstheme="minorHAnsi"/>
              </w:rPr>
            </w:pPr>
          </w:p>
          <w:p w14:paraId="64B218FB" w14:textId="77777777" w:rsidR="00B54D51" w:rsidRPr="00037AD4" w:rsidRDefault="00B54D51" w:rsidP="00401C67">
            <w:pPr>
              <w:rPr>
                <w:rFonts w:asciiTheme="minorHAnsi" w:hAnsiTheme="minorHAnsi" w:cstheme="minorHAnsi"/>
              </w:rPr>
            </w:pPr>
          </w:p>
          <w:p w14:paraId="1F754833" w14:textId="77777777" w:rsidR="00B54D51" w:rsidRPr="00037AD4" w:rsidRDefault="00B54D51" w:rsidP="00401C67">
            <w:pPr>
              <w:rPr>
                <w:rFonts w:asciiTheme="minorHAnsi" w:hAnsiTheme="minorHAnsi" w:cstheme="minorHAnsi"/>
              </w:rPr>
            </w:pP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15F9F6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lastRenderedPageBreak/>
              <w:t xml:space="preserve">Yes </w:t>
            </w:r>
          </w:p>
          <w:p w14:paraId="7C72E1D8" w14:textId="77777777" w:rsidR="00B54D51" w:rsidRPr="00037AD4" w:rsidRDefault="00B54D51" w:rsidP="00401C67">
            <w:pPr>
              <w:rPr>
                <w:rFonts w:asciiTheme="minorHAnsi" w:hAnsiTheme="minorHAnsi" w:cstheme="minorHAnsi"/>
              </w:rPr>
            </w:pPr>
          </w:p>
          <w:p w14:paraId="5E4F1AEC" w14:textId="77777777" w:rsidR="00B54D51" w:rsidRPr="00037AD4" w:rsidRDefault="00B54D51" w:rsidP="00401C67">
            <w:pPr>
              <w:rPr>
                <w:rFonts w:asciiTheme="minorHAnsi" w:hAnsiTheme="minorHAnsi" w:cstheme="minorHAnsi"/>
              </w:rPr>
            </w:pPr>
          </w:p>
          <w:p w14:paraId="1BC8A887" w14:textId="77777777" w:rsidR="00B54D51" w:rsidRPr="00037AD4" w:rsidRDefault="00B54D51" w:rsidP="00401C67">
            <w:pPr>
              <w:rPr>
                <w:rFonts w:asciiTheme="minorHAnsi" w:hAnsiTheme="minorHAnsi" w:cstheme="minorHAnsi"/>
              </w:rPr>
            </w:pPr>
          </w:p>
          <w:p w14:paraId="7BF5FFE2" w14:textId="77777777" w:rsidR="00B54D51" w:rsidRPr="00037AD4" w:rsidRDefault="00B54D51" w:rsidP="00401C67">
            <w:pPr>
              <w:rPr>
                <w:rFonts w:asciiTheme="minorHAnsi" w:hAnsiTheme="minorHAnsi" w:cstheme="minorHAnsi"/>
              </w:rPr>
            </w:pPr>
          </w:p>
          <w:p w14:paraId="27666DD3" w14:textId="77777777" w:rsidR="00B54D51" w:rsidRPr="00037AD4" w:rsidRDefault="00B54D51" w:rsidP="00401C67">
            <w:pPr>
              <w:rPr>
                <w:rFonts w:asciiTheme="minorHAnsi" w:hAnsiTheme="minorHAnsi" w:cstheme="minorHAnsi"/>
              </w:rPr>
            </w:pPr>
          </w:p>
          <w:p w14:paraId="1F9000B6" w14:textId="77777777" w:rsidR="00B54D51" w:rsidRPr="00037AD4" w:rsidRDefault="00B54D51" w:rsidP="00401C67">
            <w:pPr>
              <w:rPr>
                <w:rFonts w:asciiTheme="minorHAnsi" w:hAnsiTheme="minorHAnsi" w:cstheme="minorHAnsi"/>
              </w:rPr>
            </w:pPr>
          </w:p>
          <w:p w14:paraId="7277FD69" w14:textId="77777777" w:rsidR="00B54D51" w:rsidRPr="00037AD4" w:rsidRDefault="00B54D51" w:rsidP="00401C67">
            <w:pPr>
              <w:rPr>
                <w:rFonts w:asciiTheme="minorHAnsi" w:hAnsiTheme="minorHAnsi" w:cstheme="minorHAnsi"/>
              </w:rPr>
            </w:pPr>
          </w:p>
          <w:p w14:paraId="0041A74D" w14:textId="77777777" w:rsidR="00B54D51" w:rsidRPr="00037AD4" w:rsidRDefault="00B54D51" w:rsidP="00401C67">
            <w:pPr>
              <w:rPr>
                <w:rFonts w:asciiTheme="minorHAnsi" w:hAnsiTheme="minorHAnsi" w:cstheme="minorHAnsi"/>
              </w:rPr>
            </w:pPr>
          </w:p>
          <w:p w14:paraId="71BBD5B7" w14:textId="77777777" w:rsidR="00B54D51" w:rsidRPr="00037AD4" w:rsidRDefault="00B54D51" w:rsidP="00401C67">
            <w:pPr>
              <w:rPr>
                <w:rFonts w:asciiTheme="minorHAnsi" w:hAnsiTheme="minorHAnsi" w:cstheme="minorHAnsi"/>
              </w:rPr>
            </w:pPr>
          </w:p>
          <w:p w14:paraId="4E02B5C8" w14:textId="77777777" w:rsidR="00B54D51" w:rsidRPr="00037AD4" w:rsidRDefault="00B54D51" w:rsidP="00401C67">
            <w:pPr>
              <w:rPr>
                <w:rFonts w:asciiTheme="minorHAnsi" w:hAnsiTheme="minorHAnsi" w:cstheme="minorHAnsi"/>
              </w:rPr>
            </w:pPr>
          </w:p>
          <w:p w14:paraId="59049BE3" w14:textId="77777777" w:rsidR="00B54D51" w:rsidRPr="00037AD4" w:rsidRDefault="00B54D51" w:rsidP="00401C67">
            <w:pPr>
              <w:rPr>
                <w:rFonts w:asciiTheme="minorHAnsi" w:hAnsiTheme="minorHAnsi" w:cstheme="minorHAnsi"/>
              </w:rPr>
            </w:pPr>
          </w:p>
          <w:p w14:paraId="20DD3254" w14:textId="77777777" w:rsidR="00B54D51" w:rsidRPr="00037AD4" w:rsidRDefault="00B54D51" w:rsidP="00401C67">
            <w:pPr>
              <w:rPr>
                <w:rFonts w:asciiTheme="minorHAnsi" w:hAnsiTheme="minorHAnsi" w:cstheme="minorHAnsi"/>
              </w:rPr>
            </w:pPr>
          </w:p>
          <w:p w14:paraId="60E07257" w14:textId="77777777" w:rsidR="00B54D51" w:rsidRPr="00037AD4" w:rsidRDefault="00B54D51" w:rsidP="00401C67">
            <w:pPr>
              <w:rPr>
                <w:rFonts w:asciiTheme="minorHAnsi" w:hAnsiTheme="minorHAnsi" w:cstheme="minorHAnsi"/>
              </w:rPr>
            </w:pPr>
          </w:p>
          <w:p w14:paraId="1D8F6BCB" w14:textId="77777777" w:rsidR="00B54D51" w:rsidRPr="00037AD4" w:rsidRDefault="00B54D51" w:rsidP="00401C67">
            <w:pPr>
              <w:rPr>
                <w:rFonts w:asciiTheme="minorHAnsi" w:hAnsiTheme="minorHAnsi" w:cstheme="minorHAnsi"/>
              </w:rPr>
            </w:pPr>
          </w:p>
          <w:p w14:paraId="22270BB6" w14:textId="77777777" w:rsidR="00B54D51" w:rsidRPr="00037AD4" w:rsidRDefault="00B54D51" w:rsidP="00401C67">
            <w:pPr>
              <w:rPr>
                <w:rFonts w:asciiTheme="minorHAnsi" w:hAnsiTheme="minorHAnsi" w:cstheme="minorHAnsi"/>
              </w:rPr>
            </w:pPr>
          </w:p>
          <w:p w14:paraId="4EF90B1A" w14:textId="77777777" w:rsidR="00B54D51" w:rsidRPr="00037AD4" w:rsidRDefault="00B54D51" w:rsidP="00401C67">
            <w:pPr>
              <w:rPr>
                <w:rFonts w:asciiTheme="minorHAnsi" w:hAnsiTheme="minorHAnsi" w:cstheme="minorHAnsi"/>
              </w:rPr>
            </w:pP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32BB0F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lastRenderedPageBreak/>
              <w:t xml:space="preserve">Residents with the ability to communicate effectively (P &lt; 0.01) and residents who belonged to RAF categories of 2 and 3 (P &lt; 0.01) had </w:t>
            </w:r>
            <w:r w:rsidRPr="00037AD4">
              <w:rPr>
                <w:rFonts w:asciiTheme="minorHAnsi" w:hAnsiTheme="minorHAnsi" w:cstheme="minorHAnsi"/>
              </w:rPr>
              <w:lastRenderedPageBreak/>
              <w:t>higher EQ-5D-5L index scores than those who were unable to communicate effectively and those of RAF category 4 respectively. All EQ-5D-5L domain scores were better in residents with the ability to communicate and better physical function. The median severity of health problems in the mobility domain was 3 (moderate problems) and 4 (severe problems) for residents with and without communication ability, respectively (p &lt; 0.01); the median pain/discomfort level was 1 (no pain/discomfort) and 2 (slight pain/discomfort) for residents in RAF category 2/3 and 4, respectively (p &lt; 0.01).</w:t>
            </w:r>
          </w:p>
        </w:tc>
      </w:tr>
      <w:tr w:rsidR="00B54D51" w:rsidRPr="00037AD4" w14:paraId="6B4A833A" w14:textId="77777777" w:rsidTr="00401C67">
        <w:trPr>
          <w:trHeight w:val="2339"/>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72A38A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lastRenderedPageBreak/>
              <w:t xml:space="preserve">Umegaki, 2020 </w:t>
            </w:r>
          </w:p>
        </w:tc>
        <w:tc>
          <w:tcPr>
            <w:tcW w:w="0" w:type="auto"/>
            <w:tcBorders>
              <w:top w:val="single" w:sz="4" w:space="0" w:color="auto"/>
              <w:left w:val="nil"/>
              <w:bottom w:val="single" w:sz="4" w:space="0" w:color="auto"/>
              <w:right w:val="single" w:sz="4" w:space="0" w:color="auto"/>
            </w:tcBorders>
            <w:shd w:val="clear" w:color="auto" w:fill="auto"/>
            <w:hideMark/>
          </w:tcPr>
          <w:p w14:paraId="49CC370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Both</w:t>
            </w:r>
          </w:p>
        </w:tc>
        <w:tc>
          <w:tcPr>
            <w:tcW w:w="0" w:type="auto"/>
            <w:tcBorders>
              <w:top w:val="single" w:sz="4" w:space="0" w:color="auto"/>
              <w:left w:val="nil"/>
              <w:bottom w:val="single" w:sz="4" w:space="0" w:color="auto"/>
              <w:right w:val="single" w:sz="4" w:space="0" w:color="auto"/>
            </w:tcBorders>
            <w:shd w:val="clear" w:color="auto" w:fill="auto"/>
            <w:hideMark/>
          </w:tcPr>
          <w:p w14:paraId="3A67277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People with and without sarcopenia</w:t>
            </w:r>
          </w:p>
        </w:tc>
        <w:tc>
          <w:tcPr>
            <w:tcW w:w="0" w:type="auto"/>
            <w:tcBorders>
              <w:top w:val="single" w:sz="4" w:space="0" w:color="auto"/>
              <w:left w:val="nil"/>
              <w:bottom w:val="single" w:sz="4" w:space="0" w:color="auto"/>
              <w:right w:val="single" w:sz="4" w:space="0" w:color="auto"/>
            </w:tcBorders>
            <w:shd w:val="clear" w:color="auto" w:fill="auto"/>
            <w:hideMark/>
          </w:tcPr>
          <w:p w14:paraId="22629F2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Yes</w:t>
            </w:r>
          </w:p>
        </w:tc>
        <w:tc>
          <w:tcPr>
            <w:tcW w:w="0" w:type="auto"/>
            <w:tcBorders>
              <w:top w:val="single" w:sz="4" w:space="0" w:color="auto"/>
              <w:left w:val="nil"/>
              <w:bottom w:val="single" w:sz="4" w:space="0" w:color="auto"/>
              <w:right w:val="nil"/>
            </w:tcBorders>
            <w:shd w:val="clear" w:color="auto" w:fill="auto"/>
            <w:hideMark/>
          </w:tcPr>
          <w:p w14:paraId="3C7FA21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Yes</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779EB7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Proxy-rated utility values were significantly lower in sarcopenia participants;  proxy-rated mobility and pain/discomfort domains and both self and proxy-rated anxiety/depression domains were significantly lower in those with sarcopenia; A significant negative association in those with sarcopenia with both self- (p=0.036) and proxy-rated (p=0.002) EQ-5D-5L utility values independent of potential confounding factors.</w:t>
            </w:r>
          </w:p>
        </w:tc>
      </w:tr>
      <w:tr w:rsidR="00B54D51" w:rsidRPr="00037AD4" w14:paraId="5C09D831" w14:textId="77777777" w:rsidTr="00401C67">
        <w:trPr>
          <w:trHeight w:val="870"/>
        </w:trPr>
        <w:tc>
          <w:tcPr>
            <w:tcW w:w="0" w:type="auto"/>
            <w:tcBorders>
              <w:top w:val="nil"/>
              <w:left w:val="single" w:sz="4" w:space="0" w:color="auto"/>
              <w:bottom w:val="single" w:sz="4" w:space="0" w:color="auto"/>
              <w:right w:val="single" w:sz="4" w:space="0" w:color="auto"/>
            </w:tcBorders>
            <w:shd w:val="clear" w:color="auto" w:fill="auto"/>
            <w:hideMark/>
          </w:tcPr>
          <w:p w14:paraId="249929D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van de Rijt, 2020 </w:t>
            </w:r>
          </w:p>
          <w:p w14:paraId="22E76BAF" w14:textId="77777777" w:rsidR="00B54D51" w:rsidRPr="00037AD4" w:rsidRDefault="00B54D51" w:rsidP="00401C67">
            <w:pPr>
              <w:rPr>
                <w:rFonts w:asciiTheme="minorHAnsi" w:hAnsiTheme="minorHAnsi" w:cstheme="minorHAnsi"/>
              </w:rPr>
            </w:pPr>
          </w:p>
          <w:p w14:paraId="231AEA19" w14:textId="77777777" w:rsidR="00B54D51" w:rsidRPr="00037AD4" w:rsidRDefault="00B54D51" w:rsidP="00401C67">
            <w:pPr>
              <w:rPr>
                <w:rFonts w:asciiTheme="minorHAnsi" w:hAnsiTheme="minorHAnsi" w:cstheme="minorHAnsi"/>
              </w:rPr>
            </w:pPr>
          </w:p>
        </w:tc>
        <w:tc>
          <w:tcPr>
            <w:tcW w:w="0" w:type="auto"/>
            <w:tcBorders>
              <w:top w:val="nil"/>
              <w:left w:val="nil"/>
              <w:bottom w:val="single" w:sz="4" w:space="0" w:color="auto"/>
              <w:right w:val="single" w:sz="4" w:space="0" w:color="auto"/>
            </w:tcBorders>
            <w:shd w:val="clear" w:color="auto" w:fill="auto"/>
            <w:hideMark/>
          </w:tcPr>
          <w:p w14:paraId="5A938C8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Index</w:t>
            </w:r>
          </w:p>
          <w:p w14:paraId="69833A3C" w14:textId="77777777" w:rsidR="00B54D51" w:rsidRPr="00037AD4" w:rsidRDefault="00B54D51" w:rsidP="00401C67">
            <w:pPr>
              <w:rPr>
                <w:rFonts w:asciiTheme="minorHAnsi" w:hAnsiTheme="minorHAnsi" w:cstheme="minorHAnsi"/>
              </w:rPr>
            </w:pPr>
          </w:p>
          <w:p w14:paraId="6A5E0129" w14:textId="77777777" w:rsidR="00B54D51" w:rsidRPr="00037AD4" w:rsidRDefault="00B54D51" w:rsidP="00401C67">
            <w:pPr>
              <w:rPr>
                <w:rFonts w:asciiTheme="minorHAnsi" w:hAnsiTheme="minorHAnsi" w:cstheme="minorHAnsi"/>
              </w:rPr>
            </w:pPr>
          </w:p>
        </w:tc>
        <w:tc>
          <w:tcPr>
            <w:tcW w:w="0" w:type="auto"/>
            <w:tcBorders>
              <w:top w:val="nil"/>
              <w:left w:val="nil"/>
              <w:bottom w:val="single" w:sz="4" w:space="0" w:color="auto"/>
              <w:right w:val="single" w:sz="4" w:space="0" w:color="auto"/>
            </w:tcBorders>
            <w:shd w:val="clear" w:color="auto" w:fill="auto"/>
            <w:hideMark/>
          </w:tcPr>
          <w:p w14:paraId="335F7B4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People with and without dementia</w:t>
            </w:r>
          </w:p>
          <w:p w14:paraId="71093685" w14:textId="77777777" w:rsidR="00B54D51" w:rsidRPr="00037AD4" w:rsidRDefault="00B54D51" w:rsidP="00401C67">
            <w:pPr>
              <w:rPr>
                <w:rFonts w:asciiTheme="minorHAnsi" w:hAnsiTheme="minorHAnsi" w:cstheme="minorHAnsi"/>
              </w:rPr>
            </w:pPr>
          </w:p>
          <w:p w14:paraId="097D8375" w14:textId="77777777" w:rsidR="00B54D51" w:rsidRPr="00037AD4" w:rsidRDefault="00B54D51" w:rsidP="00401C67">
            <w:pPr>
              <w:rPr>
                <w:rFonts w:asciiTheme="minorHAnsi" w:hAnsiTheme="minorHAnsi" w:cstheme="minorHAnsi"/>
              </w:rPr>
            </w:pPr>
          </w:p>
        </w:tc>
        <w:tc>
          <w:tcPr>
            <w:tcW w:w="0" w:type="auto"/>
            <w:tcBorders>
              <w:top w:val="nil"/>
              <w:left w:val="nil"/>
              <w:bottom w:val="single" w:sz="4" w:space="0" w:color="auto"/>
              <w:right w:val="single" w:sz="4" w:space="0" w:color="auto"/>
            </w:tcBorders>
            <w:shd w:val="clear" w:color="auto" w:fill="auto"/>
            <w:hideMark/>
          </w:tcPr>
          <w:p w14:paraId="2F28CBC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Yes</w:t>
            </w:r>
          </w:p>
          <w:p w14:paraId="4B1EC545" w14:textId="77777777" w:rsidR="00B54D51" w:rsidRPr="00037AD4" w:rsidRDefault="00B54D51" w:rsidP="00401C67">
            <w:pPr>
              <w:rPr>
                <w:rFonts w:asciiTheme="minorHAnsi" w:hAnsiTheme="minorHAnsi" w:cstheme="minorHAnsi"/>
              </w:rPr>
            </w:pPr>
          </w:p>
          <w:p w14:paraId="7682CD71" w14:textId="77777777" w:rsidR="00B54D51" w:rsidRPr="00037AD4" w:rsidRDefault="00B54D51" w:rsidP="00401C67">
            <w:pPr>
              <w:rPr>
                <w:rFonts w:asciiTheme="minorHAnsi" w:hAnsiTheme="minorHAnsi" w:cstheme="minorHAnsi"/>
              </w:rPr>
            </w:pPr>
          </w:p>
        </w:tc>
        <w:tc>
          <w:tcPr>
            <w:tcW w:w="0" w:type="auto"/>
            <w:tcBorders>
              <w:top w:val="nil"/>
              <w:left w:val="nil"/>
              <w:bottom w:val="single" w:sz="4" w:space="0" w:color="auto"/>
              <w:right w:val="nil"/>
            </w:tcBorders>
            <w:shd w:val="clear" w:color="auto" w:fill="auto"/>
            <w:hideMark/>
          </w:tcPr>
          <w:p w14:paraId="13105F0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No</w:t>
            </w:r>
          </w:p>
          <w:p w14:paraId="761AC730" w14:textId="77777777" w:rsidR="00B54D51" w:rsidRPr="00037AD4" w:rsidRDefault="00B54D51" w:rsidP="00401C67">
            <w:pPr>
              <w:rPr>
                <w:rFonts w:asciiTheme="minorHAnsi" w:hAnsiTheme="minorHAnsi" w:cstheme="minorHAnsi"/>
              </w:rPr>
            </w:pPr>
          </w:p>
          <w:p w14:paraId="7C58845B" w14:textId="77777777" w:rsidR="00B54D51" w:rsidRPr="00037AD4" w:rsidRDefault="00B54D51" w:rsidP="00401C67">
            <w:pPr>
              <w:rPr>
                <w:rFonts w:asciiTheme="minorHAnsi" w:hAnsiTheme="minorHAnsi" w:cstheme="minorHAnsi"/>
              </w:rPr>
            </w:pPr>
          </w:p>
        </w:tc>
        <w:tc>
          <w:tcPr>
            <w:tcW w:w="0" w:type="auto"/>
            <w:tcBorders>
              <w:top w:val="nil"/>
              <w:left w:val="single" w:sz="4" w:space="0" w:color="auto"/>
              <w:bottom w:val="single" w:sz="4" w:space="0" w:color="auto"/>
              <w:right w:val="single" w:sz="4" w:space="0" w:color="auto"/>
            </w:tcBorders>
            <w:shd w:val="clear" w:color="auto" w:fill="auto"/>
            <w:hideMark/>
          </w:tcPr>
          <w:p w14:paraId="6ADA841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EQ-5D index score in dementia group: 0.075 (0.279) and non-dementia group: 0.199 (0.344), p = 0.060</w:t>
            </w:r>
          </w:p>
        </w:tc>
      </w:tr>
    </w:tbl>
    <w:p w14:paraId="00B7C36B" w14:textId="77777777" w:rsidR="00B54D51" w:rsidRPr="00037AD4" w:rsidRDefault="00B54D51" w:rsidP="001D7ACE">
      <w:pPr>
        <w:rPr>
          <w:rFonts w:asciiTheme="minorHAnsi" w:hAnsiTheme="minorHAnsi" w:cstheme="minorHAnsi"/>
        </w:rPr>
      </w:pPr>
      <w:r w:rsidRPr="00037AD4">
        <w:rPr>
          <w:rFonts w:asciiTheme="minorHAnsi" w:hAnsiTheme="minorHAnsi" w:cstheme="minorHAnsi"/>
        </w:rPr>
        <w:t>Notes: CSDD- The Cornell Scale for Depression in Dementia, MBI – Modified Barthel Index, MMSE - Mini-Mental State Examination, PainAd - Pain Assessment in Advanced Dementia Scale, PAS-Cog – Cognitive Impairment Scale of the Psychogeriatric Assessment Scale, RAF – Resident Assessment Form.</w:t>
      </w:r>
    </w:p>
    <w:p w14:paraId="059BECE8" w14:textId="77777777" w:rsidR="00777D27" w:rsidRDefault="00777D27" w:rsidP="001D7ACE">
      <w:pPr>
        <w:rPr>
          <w:rFonts w:asciiTheme="minorHAnsi" w:hAnsiTheme="minorHAnsi" w:cstheme="minorHAnsi"/>
          <w:b/>
          <w:bCs/>
          <w:u w:val="single"/>
        </w:rPr>
      </w:pPr>
    </w:p>
    <w:p w14:paraId="3B72430A" w14:textId="77777777" w:rsidR="00777D27" w:rsidRPr="00037AD4" w:rsidRDefault="00777D27" w:rsidP="001D7ACE">
      <w:pPr>
        <w:rPr>
          <w:rFonts w:asciiTheme="minorHAnsi" w:hAnsiTheme="minorHAnsi" w:cstheme="minorHAnsi"/>
          <w:b/>
          <w:bCs/>
          <w:u w:val="single"/>
        </w:rPr>
      </w:pPr>
    </w:p>
    <w:p w14:paraId="6BE16CB5" w14:textId="77777777" w:rsidR="00B54D51" w:rsidRPr="00037AD4" w:rsidRDefault="00B54D51" w:rsidP="007A43F9">
      <w:pPr>
        <w:pStyle w:val="Heading2"/>
      </w:pPr>
      <w:bookmarkStart w:id="437" w:name="A23"/>
      <w:bookmarkStart w:id="438" w:name="_Toc175742384"/>
      <w:r w:rsidRPr="00037AD4">
        <w:t>Appendix 2.3 Convergent validity</w:t>
      </w:r>
      <w:bookmarkEnd w:id="438"/>
      <w:r w:rsidRPr="00037AD4">
        <w:t xml:space="preserve"> </w:t>
      </w:r>
    </w:p>
    <w:bookmarkEnd w:id="437"/>
    <w:p w14:paraId="421447CD" w14:textId="77777777" w:rsidR="00B54D51" w:rsidRPr="00037AD4" w:rsidRDefault="00B54D51" w:rsidP="001D7ACE">
      <w:pPr>
        <w:rPr>
          <w:rFonts w:asciiTheme="minorHAnsi" w:hAnsiTheme="minorHAnsi" w:cstheme="minorHAnsi"/>
          <w:b/>
          <w:bCs/>
          <w:u w:val="single"/>
        </w:rPr>
      </w:pPr>
    </w:p>
    <w:tbl>
      <w:tblPr>
        <w:tblW w:w="0" w:type="auto"/>
        <w:tblLook w:val="04A0" w:firstRow="1" w:lastRow="0" w:firstColumn="1" w:lastColumn="0" w:noHBand="0" w:noVBand="1"/>
      </w:tblPr>
      <w:tblGrid>
        <w:gridCol w:w="1337"/>
        <w:gridCol w:w="2436"/>
        <w:gridCol w:w="3534"/>
        <w:gridCol w:w="1726"/>
        <w:gridCol w:w="2899"/>
        <w:gridCol w:w="2016"/>
      </w:tblGrid>
      <w:tr w:rsidR="00B54D51" w:rsidRPr="00037AD4" w14:paraId="5C2D1F7F" w14:textId="77777777" w:rsidTr="00401C67">
        <w:trPr>
          <w:trHeight w:val="703"/>
          <w:tblHead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F135A9E"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lastRenderedPageBreak/>
              <w:t>Study reference (author, year)</w:t>
            </w:r>
          </w:p>
        </w:tc>
        <w:tc>
          <w:tcPr>
            <w:tcW w:w="0" w:type="auto"/>
            <w:tcBorders>
              <w:top w:val="single" w:sz="4" w:space="0" w:color="auto"/>
              <w:left w:val="nil"/>
              <w:bottom w:val="single" w:sz="4" w:space="0" w:color="auto"/>
              <w:right w:val="single" w:sz="4" w:space="0" w:color="auto"/>
            </w:tcBorders>
            <w:shd w:val="clear" w:color="auto" w:fill="auto"/>
            <w:hideMark/>
          </w:tcPr>
          <w:p w14:paraId="44881C64"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Other HRQoL measures examined for correlation</w:t>
            </w:r>
          </w:p>
        </w:tc>
        <w:tc>
          <w:tcPr>
            <w:tcW w:w="0" w:type="auto"/>
            <w:tcBorders>
              <w:top w:val="single" w:sz="4" w:space="0" w:color="auto"/>
              <w:left w:val="nil"/>
              <w:bottom w:val="single" w:sz="4" w:space="0" w:color="auto"/>
              <w:right w:val="single" w:sz="4" w:space="0" w:color="auto"/>
            </w:tcBorders>
            <w:shd w:val="clear" w:color="auto" w:fill="auto"/>
            <w:hideMark/>
          </w:tcPr>
          <w:p w14:paraId="34B5FCA0"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 xml:space="preserve">Significant correlations </w:t>
            </w:r>
          </w:p>
        </w:tc>
        <w:tc>
          <w:tcPr>
            <w:tcW w:w="0" w:type="auto"/>
            <w:tcBorders>
              <w:top w:val="single" w:sz="4" w:space="0" w:color="auto"/>
              <w:left w:val="nil"/>
              <w:bottom w:val="single" w:sz="4" w:space="0" w:color="auto"/>
              <w:right w:val="single" w:sz="4" w:space="0" w:color="auto"/>
            </w:tcBorders>
            <w:shd w:val="clear" w:color="auto" w:fill="auto"/>
            <w:hideMark/>
          </w:tcPr>
          <w:p w14:paraId="44A946DD"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 xml:space="preserve">Regression analysis undertaken  </w:t>
            </w:r>
          </w:p>
        </w:tc>
        <w:tc>
          <w:tcPr>
            <w:tcW w:w="0" w:type="auto"/>
            <w:tcBorders>
              <w:top w:val="single" w:sz="4" w:space="0" w:color="auto"/>
              <w:left w:val="nil"/>
              <w:bottom w:val="single" w:sz="4" w:space="0" w:color="auto"/>
              <w:right w:val="single" w:sz="4" w:space="0" w:color="auto"/>
            </w:tcBorders>
            <w:shd w:val="clear" w:color="auto" w:fill="auto"/>
            <w:hideMark/>
          </w:tcPr>
          <w:p w14:paraId="2D1063BA"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Details of analysis</w:t>
            </w:r>
          </w:p>
        </w:tc>
        <w:tc>
          <w:tcPr>
            <w:tcW w:w="0" w:type="auto"/>
            <w:tcBorders>
              <w:top w:val="single" w:sz="4" w:space="0" w:color="auto"/>
              <w:left w:val="nil"/>
              <w:bottom w:val="single" w:sz="4" w:space="0" w:color="auto"/>
              <w:right w:val="single" w:sz="4" w:space="0" w:color="auto"/>
            </w:tcBorders>
            <w:shd w:val="clear" w:color="auto" w:fill="auto"/>
            <w:hideMark/>
          </w:tcPr>
          <w:p w14:paraId="68CEAF6F"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Regression analysis shows significant relationship  yes/no</w:t>
            </w:r>
          </w:p>
        </w:tc>
      </w:tr>
      <w:tr w:rsidR="00B54D51" w:rsidRPr="00037AD4" w14:paraId="5A9F8B90" w14:textId="77777777" w:rsidTr="00401C67">
        <w:trPr>
          <w:trHeight w:val="600"/>
        </w:trPr>
        <w:tc>
          <w:tcPr>
            <w:tcW w:w="0" w:type="auto"/>
            <w:tcBorders>
              <w:top w:val="single" w:sz="4" w:space="0" w:color="000000"/>
              <w:left w:val="single" w:sz="4" w:space="0" w:color="000000"/>
              <w:bottom w:val="single" w:sz="4" w:space="0" w:color="000000"/>
              <w:right w:val="single" w:sz="4" w:space="0" w:color="000000"/>
            </w:tcBorders>
            <w:shd w:val="clear" w:color="auto" w:fill="auto"/>
            <w:hideMark/>
          </w:tcPr>
          <w:p w14:paraId="4A1E33B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Easton, 2018 </w:t>
            </w:r>
          </w:p>
          <w:p w14:paraId="03B3A305" w14:textId="77777777" w:rsidR="00B54D51" w:rsidRPr="00037AD4" w:rsidRDefault="00B54D51" w:rsidP="00401C67">
            <w:pPr>
              <w:rPr>
                <w:rFonts w:asciiTheme="minorHAnsi" w:hAnsiTheme="minorHAnsi" w:cstheme="minorHAnsi"/>
              </w:rPr>
            </w:pPr>
          </w:p>
          <w:p w14:paraId="1D81A3A0" w14:textId="77777777" w:rsidR="00B54D51" w:rsidRPr="00037AD4" w:rsidRDefault="00B54D51" w:rsidP="00401C67">
            <w:pPr>
              <w:rPr>
                <w:rFonts w:asciiTheme="minorHAnsi" w:hAnsiTheme="minorHAnsi" w:cstheme="minorHAnsi"/>
              </w:rPr>
            </w:pPr>
          </w:p>
        </w:tc>
        <w:tc>
          <w:tcPr>
            <w:tcW w:w="0" w:type="auto"/>
            <w:tcBorders>
              <w:top w:val="single" w:sz="4" w:space="0" w:color="000000"/>
              <w:left w:val="nil"/>
              <w:bottom w:val="single" w:sz="4" w:space="0" w:color="000000"/>
              <w:right w:val="single" w:sz="4" w:space="0" w:color="000000"/>
            </w:tcBorders>
            <w:shd w:val="clear" w:color="auto" w:fill="auto"/>
            <w:hideMark/>
          </w:tcPr>
          <w:p w14:paraId="116EFC6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DEMQoL-U and DEMQoL-proxy-U.</w:t>
            </w:r>
          </w:p>
        </w:tc>
        <w:tc>
          <w:tcPr>
            <w:tcW w:w="0" w:type="auto"/>
            <w:tcBorders>
              <w:top w:val="single" w:sz="4" w:space="0" w:color="000000"/>
              <w:left w:val="nil"/>
              <w:bottom w:val="single" w:sz="4" w:space="0" w:color="000000"/>
              <w:right w:val="single" w:sz="4" w:space="0" w:color="000000"/>
            </w:tcBorders>
            <w:shd w:val="clear" w:color="auto" w:fill="auto"/>
            <w:hideMark/>
          </w:tcPr>
          <w:p w14:paraId="69D6D07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Yes - EQ-5D-5L and DEMQOL-U; EQ-5D-5L utilities and DEMQOL-U. </w:t>
            </w:r>
          </w:p>
        </w:tc>
        <w:tc>
          <w:tcPr>
            <w:tcW w:w="0" w:type="auto"/>
            <w:tcBorders>
              <w:top w:val="single" w:sz="4" w:space="0" w:color="000000"/>
              <w:left w:val="nil"/>
              <w:bottom w:val="single" w:sz="4" w:space="0" w:color="000000"/>
              <w:right w:val="single" w:sz="4" w:space="0" w:color="000000"/>
            </w:tcBorders>
            <w:shd w:val="clear" w:color="auto" w:fill="auto"/>
            <w:hideMark/>
          </w:tcPr>
          <w:p w14:paraId="7109450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No</w:t>
            </w:r>
          </w:p>
        </w:tc>
        <w:tc>
          <w:tcPr>
            <w:tcW w:w="0" w:type="auto"/>
            <w:tcBorders>
              <w:top w:val="single" w:sz="4" w:space="0" w:color="000000"/>
              <w:left w:val="nil"/>
              <w:bottom w:val="single" w:sz="4" w:space="0" w:color="000000"/>
              <w:right w:val="single" w:sz="4" w:space="0" w:color="000000"/>
            </w:tcBorders>
            <w:shd w:val="clear" w:color="auto" w:fill="auto"/>
            <w:hideMark/>
          </w:tcPr>
          <w:p w14:paraId="0BA9A31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w:t>
            </w:r>
          </w:p>
        </w:tc>
        <w:tc>
          <w:tcPr>
            <w:tcW w:w="0" w:type="auto"/>
            <w:tcBorders>
              <w:top w:val="single" w:sz="4" w:space="0" w:color="000000"/>
              <w:left w:val="nil"/>
              <w:bottom w:val="single" w:sz="4" w:space="0" w:color="000000"/>
              <w:right w:val="single" w:sz="4" w:space="0" w:color="000000"/>
            </w:tcBorders>
            <w:shd w:val="clear" w:color="auto" w:fill="auto"/>
            <w:hideMark/>
          </w:tcPr>
          <w:p w14:paraId="05E26DE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w:t>
            </w:r>
          </w:p>
        </w:tc>
      </w:tr>
      <w:tr w:rsidR="00B54D51" w:rsidRPr="00037AD4" w14:paraId="63848849" w14:textId="77777777" w:rsidTr="00401C67">
        <w:trPr>
          <w:trHeight w:val="273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5BA002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Griffiths, 2020 </w:t>
            </w:r>
          </w:p>
        </w:tc>
        <w:tc>
          <w:tcPr>
            <w:tcW w:w="0" w:type="auto"/>
            <w:tcBorders>
              <w:top w:val="single" w:sz="4" w:space="0" w:color="auto"/>
              <w:left w:val="nil"/>
              <w:bottom w:val="single" w:sz="4" w:space="0" w:color="auto"/>
              <w:right w:val="single" w:sz="4" w:space="0" w:color="auto"/>
            </w:tcBorders>
            <w:shd w:val="clear" w:color="auto" w:fill="auto"/>
            <w:hideMark/>
          </w:tcPr>
          <w:p w14:paraId="3BA5E1F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QUALID, DEMQoL-proxy, QoL-AD nursing home</w:t>
            </w:r>
          </w:p>
        </w:tc>
        <w:tc>
          <w:tcPr>
            <w:tcW w:w="0" w:type="auto"/>
            <w:tcBorders>
              <w:top w:val="single" w:sz="4" w:space="0" w:color="auto"/>
              <w:left w:val="nil"/>
              <w:bottom w:val="single" w:sz="4" w:space="0" w:color="auto"/>
              <w:right w:val="single" w:sz="4" w:space="0" w:color="auto"/>
            </w:tcBorders>
            <w:shd w:val="clear" w:color="auto" w:fill="auto"/>
            <w:hideMark/>
          </w:tcPr>
          <w:p w14:paraId="65DB9BB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Yes - EQ-5D-5L self-report significantly correlated with QUALID staff proxy, QUALID relative proxy, QoL-AD self- report , DEMQoL  and DEMQoL relative proxy (0.39 &lt;0.01). EQ-5D-5L staff proxy significantly correlated with QUALID staff proxy, QUALID relative proxy, DEMQoL staff proxy. EQ-5D-5L relative proxy significantly correlated with QUALID, QUALID relative proxy, QoL-AD  and DEMQoL relative proxy. </w:t>
            </w:r>
          </w:p>
        </w:tc>
        <w:tc>
          <w:tcPr>
            <w:tcW w:w="0" w:type="auto"/>
            <w:tcBorders>
              <w:top w:val="single" w:sz="4" w:space="0" w:color="auto"/>
              <w:left w:val="nil"/>
              <w:bottom w:val="single" w:sz="4" w:space="0" w:color="auto"/>
              <w:right w:val="single" w:sz="4" w:space="0" w:color="auto"/>
            </w:tcBorders>
            <w:shd w:val="clear" w:color="auto" w:fill="auto"/>
            <w:hideMark/>
          </w:tcPr>
          <w:p w14:paraId="34F1E8D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No</w:t>
            </w:r>
          </w:p>
        </w:tc>
        <w:tc>
          <w:tcPr>
            <w:tcW w:w="0" w:type="auto"/>
            <w:tcBorders>
              <w:top w:val="single" w:sz="4" w:space="0" w:color="auto"/>
              <w:left w:val="nil"/>
              <w:bottom w:val="single" w:sz="4" w:space="0" w:color="auto"/>
              <w:right w:val="single" w:sz="4" w:space="0" w:color="auto"/>
            </w:tcBorders>
            <w:shd w:val="clear" w:color="auto" w:fill="auto"/>
            <w:hideMark/>
          </w:tcPr>
          <w:p w14:paraId="3F7F4C4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w:t>
            </w:r>
          </w:p>
        </w:tc>
        <w:tc>
          <w:tcPr>
            <w:tcW w:w="0" w:type="auto"/>
            <w:tcBorders>
              <w:top w:val="single" w:sz="4" w:space="0" w:color="auto"/>
              <w:left w:val="nil"/>
              <w:bottom w:val="single" w:sz="4" w:space="0" w:color="auto"/>
              <w:right w:val="single" w:sz="4" w:space="0" w:color="auto"/>
            </w:tcBorders>
            <w:shd w:val="clear" w:color="auto" w:fill="auto"/>
            <w:hideMark/>
          </w:tcPr>
          <w:p w14:paraId="119D885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w:t>
            </w:r>
          </w:p>
        </w:tc>
      </w:tr>
      <w:tr w:rsidR="00B54D51" w:rsidRPr="00037AD4" w14:paraId="3ABA9045" w14:textId="77777777" w:rsidTr="00401C67">
        <w:trPr>
          <w:trHeight w:val="885"/>
        </w:trPr>
        <w:tc>
          <w:tcPr>
            <w:tcW w:w="0" w:type="auto"/>
            <w:tcBorders>
              <w:top w:val="nil"/>
              <w:left w:val="single" w:sz="4" w:space="0" w:color="auto"/>
              <w:bottom w:val="single" w:sz="4" w:space="0" w:color="auto"/>
              <w:right w:val="single" w:sz="4" w:space="0" w:color="auto"/>
            </w:tcBorders>
            <w:shd w:val="clear" w:color="auto" w:fill="auto"/>
            <w:hideMark/>
          </w:tcPr>
          <w:p w14:paraId="6E6D3D1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Janssen, 2018 </w:t>
            </w:r>
          </w:p>
          <w:p w14:paraId="6FCCD299" w14:textId="77777777" w:rsidR="00B54D51" w:rsidRPr="00037AD4" w:rsidRDefault="00B54D51" w:rsidP="00401C67">
            <w:pPr>
              <w:rPr>
                <w:rFonts w:asciiTheme="minorHAnsi" w:hAnsiTheme="minorHAnsi" w:cstheme="minorHAnsi"/>
              </w:rPr>
            </w:pPr>
          </w:p>
          <w:p w14:paraId="1FB8298D" w14:textId="77777777" w:rsidR="00B54D51" w:rsidRPr="00037AD4" w:rsidRDefault="00B54D51" w:rsidP="00401C67">
            <w:pPr>
              <w:rPr>
                <w:rFonts w:asciiTheme="minorHAnsi" w:hAnsiTheme="minorHAnsi" w:cstheme="minorHAnsi"/>
              </w:rPr>
            </w:pPr>
          </w:p>
        </w:tc>
        <w:tc>
          <w:tcPr>
            <w:tcW w:w="0" w:type="auto"/>
            <w:tcBorders>
              <w:top w:val="nil"/>
              <w:left w:val="nil"/>
              <w:bottom w:val="single" w:sz="4" w:space="0" w:color="auto"/>
              <w:right w:val="single" w:sz="4" w:space="0" w:color="auto"/>
            </w:tcBorders>
            <w:shd w:val="clear" w:color="auto" w:fill="auto"/>
            <w:hideMark/>
          </w:tcPr>
          <w:p w14:paraId="771EC45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ICECAP-O</w:t>
            </w:r>
          </w:p>
          <w:p w14:paraId="725F0755" w14:textId="77777777" w:rsidR="00B54D51" w:rsidRPr="00037AD4" w:rsidRDefault="00B54D51" w:rsidP="00401C67">
            <w:pPr>
              <w:rPr>
                <w:rFonts w:asciiTheme="minorHAnsi" w:hAnsiTheme="minorHAnsi" w:cstheme="minorHAnsi"/>
              </w:rPr>
            </w:pPr>
          </w:p>
          <w:p w14:paraId="42A93DE4" w14:textId="77777777" w:rsidR="00B54D51" w:rsidRPr="00037AD4" w:rsidRDefault="00B54D51" w:rsidP="00401C67">
            <w:pPr>
              <w:rPr>
                <w:rFonts w:asciiTheme="minorHAnsi" w:hAnsiTheme="minorHAnsi" w:cstheme="minorHAnsi"/>
              </w:rPr>
            </w:pPr>
          </w:p>
        </w:tc>
        <w:tc>
          <w:tcPr>
            <w:tcW w:w="0" w:type="auto"/>
            <w:tcBorders>
              <w:top w:val="nil"/>
              <w:left w:val="nil"/>
              <w:bottom w:val="single" w:sz="4" w:space="0" w:color="auto"/>
              <w:right w:val="single" w:sz="4" w:space="0" w:color="auto"/>
            </w:tcBorders>
            <w:shd w:val="clear" w:color="auto" w:fill="auto"/>
            <w:hideMark/>
          </w:tcPr>
          <w:p w14:paraId="71B830F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Yes - positive significant correlation between ICECAP-O and EQ-5D- 5L utilities at baseline</w:t>
            </w:r>
          </w:p>
          <w:p w14:paraId="423B451A" w14:textId="77777777" w:rsidR="00B54D51" w:rsidRPr="00037AD4" w:rsidRDefault="00B54D51" w:rsidP="00401C67">
            <w:pPr>
              <w:rPr>
                <w:rFonts w:asciiTheme="minorHAnsi" w:hAnsiTheme="minorHAnsi" w:cstheme="minorHAnsi"/>
              </w:rPr>
            </w:pPr>
          </w:p>
        </w:tc>
        <w:tc>
          <w:tcPr>
            <w:tcW w:w="0" w:type="auto"/>
            <w:tcBorders>
              <w:top w:val="nil"/>
              <w:left w:val="nil"/>
              <w:bottom w:val="single" w:sz="4" w:space="0" w:color="auto"/>
              <w:right w:val="single" w:sz="4" w:space="0" w:color="auto"/>
            </w:tcBorders>
            <w:shd w:val="clear" w:color="auto" w:fill="auto"/>
            <w:hideMark/>
          </w:tcPr>
          <w:p w14:paraId="76D6DA7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No (not for EQ-5D-5L)</w:t>
            </w:r>
          </w:p>
          <w:p w14:paraId="2B88409B" w14:textId="77777777" w:rsidR="00B54D51" w:rsidRPr="00037AD4" w:rsidRDefault="00B54D51" w:rsidP="00401C67">
            <w:pPr>
              <w:rPr>
                <w:rFonts w:asciiTheme="minorHAnsi" w:hAnsiTheme="minorHAnsi" w:cstheme="minorHAnsi"/>
              </w:rPr>
            </w:pPr>
          </w:p>
          <w:p w14:paraId="25233C79" w14:textId="77777777" w:rsidR="00B54D51" w:rsidRPr="00037AD4" w:rsidRDefault="00B54D51" w:rsidP="00401C67">
            <w:pPr>
              <w:rPr>
                <w:rFonts w:asciiTheme="minorHAnsi" w:hAnsiTheme="minorHAnsi" w:cstheme="minorHAnsi"/>
              </w:rPr>
            </w:pPr>
          </w:p>
        </w:tc>
        <w:tc>
          <w:tcPr>
            <w:tcW w:w="0" w:type="auto"/>
            <w:tcBorders>
              <w:top w:val="nil"/>
              <w:left w:val="nil"/>
              <w:bottom w:val="single" w:sz="4" w:space="0" w:color="auto"/>
              <w:right w:val="single" w:sz="4" w:space="0" w:color="auto"/>
            </w:tcBorders>
            <w:shd w:val="clear" w:color="auto" w:fill="auto"/>
            <w:hideMark/>
          </w:tcPr>
          <w:p w14:paraId="53D3B05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w:t>
            </w:r>
          </w:p>
        </w:tc>
        <w:tc>
          <w:tcPr>
            <w:tcW w:w="0" w:type="auto"/>
            <w:tcBorders>
              <w:top w:val="nil"/>
              <w:left w:val="nil"/>
              <w:bottom w:val="single" w:sz="4" w:space="0" w:color="auto"/>
              <w:right w:val="single" w:sz="4" w:space="0" w:color="auto"/>
            </w:tcBorders>
            <w:shd w:val="clear" w:color="auto" w:fill="auto"/>
            <w:hideMark/>
          </w:tcPr>
          <w:p w14:paraId="7B20F74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w:t>
            </w:r>
          </w:p>
        </w:tc>
      </w:tr>
      <w:tr w:rsidR="00B54D51" w:rsidRPr="00037AD4" w14:paraId="4C7F0E96" w14:textId="77777777" w:rsidTr="00401C67">
        <w:trPr>
          <w:trHeight w:val="1275"/>
        </w:trPr>
        <w:tc>
          <w:tcPr>
            <w:tcW w:w="0" w:type="auto"/>
            <w:tcBorders>
              <w:top w:val="nil"/>
              <w:left w:val="single" w:sz="4" w:space="0" w:color="auto"/>
              <w:bottom w:val="single" w:sz="4" w:space="0" w:color="auto"/>
              <w:right w:val="single" w:sz="4" w:space="0" w:color="auto"/>
            </w:tcBorders>
            <w:shd w:val="clear" w:color="auto" w:fill="auto"/>
            <w:hideMark/>
          </w:tcPr>
          <w:p w14:paraId="223D731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Martin 2019 </w:t>
            </w:r>
          </w:p>
        </w:tc>
        <w:tc>
          <w:tcPr>
            <w:tcW w:w="0" w:type="auto"/>
            <w:tcBorders>
              <w:top w:val="nil"/>
              <w:left w:val="nil"/>
              <w:bottom w:val="single" w:sz="4" w:space="0" w:color="auto"/>
              <w:right w:val="single" w:sz="4" w:space="0" w:color="auto"/>
            </w:tcBorders>
            <w:shd w:val="clear" w:color="auto" w:fill="auto"/>
            <w:hideMark/>
          </w:tcPr>
          <w:p w14:paraId="2A762DC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DEMQoL-Proxy-U, QOL-AD-NH, QUALID</w:t>
            </w:r>
          </w:p>
        </w:tc>
        <w:tc>
          <w:tcPr>
            <w:tcW w:w="0" w:type="auto"/>
            <w:tcBorders>
              <w:top w:val="nil"/>
              <w:left w:val="nil"/>
              <w:bottom w:val="single" w:sz="4" w:space="0" w:color="auto"/>
              <w:right w:val="single" w:sz="4" w:space="0" w:color="auto"/>
            </w:tcBorders>
            <w:shd w:val="clear" w:color="auto" w:fill="auto"/>
            <w:hideMark/>
          </w:tcPr>
          <w:p w14:paraId="12C5EF2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Yes - resident-reported EQ-5D-5L and formal- carer–completed QUALID. </w:t>
            </w:r>
          </w:p>
          <w:p w14:paraId="4E745AD2" w14:textId="77777777" w:rsidR="00B54D51" w:rsidRPr="00037AD4" w:rsidRDefault="00B54D51" w:rsidP="00401C67">
            <w:pPr>
              <w:rPr>
                <w:rFonts w:asciiTheme="minorHAnsi" w:hAnsiTheme="minorHAnsi" w:cstheme="minorHAnsi"/>
              </w:rPr>
            </w:pPr>
          </w:p>
        </w:tc>
        <w:tc>
          <w:tcPr>
            <w:tcW w:w="0" w:type="auto"/>
            <w:tcBorders>
              <w:top w:val="nil"/>
              <w:left w:val="nil"/>
              <w:bottom w:val="single" w:sz="4" w:space="0" w:color="auto"/>
              <w:right w:val="single" w:sz="4" w:space="0" w:color="auto"/>
            </w:tcBorders>
            <w:shd w:val="clear" w:color="auto" w:fill="auto"/>
            <w:hideMark/>
          </w:tcPr>
          <w:p w14:paraId="60CD183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Yes - Spearman's rank (Bonferroni adjusted) </w:t>
            </w:r>
            <w:r w:rsidRPr="00037AD4">
              <w:rPr>
                <w:rFonts w:asciiTheme="minorHAnsi" w:hAnsiTheme="minorHAnsi" w:cstheme="minorHAnsi"/>
              </w:rPr>
              <w:lastRenderedPageBreak/>
              <w:t xml:space="preserve">regression analysis </w:t>
            </w:r>
          </w:p>
        </w:tc>
        <w:tc>
          <w:tcPr>
            <w:tcW w:w="0" w:type="auto"/>
            <w:tcBorders>
              <w:top w:val="nil"/>
              <w:left w:val="nil"/>
              <w:bottom w:val="single" w:sz="4" w:space="0" w:color="auto"/>
              <w:right w:val="single" w:sz="4" w:space="0" w:color="auto"/>
            </w:tcBorders>
            <w:shd w:val="clear" w:color="auto" w:fill="auto"/>
            <w:hideMark/>
          </w:tcPr>
          <w:p w14:paraId="3726950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lastRenderedPageBreak/>
              <w:t xml:space="preserve">Panel data regression models with random effects to measure association between </w:t>
            </w:r>
            <w:r w:rsidRPr="00037AD4">
              <w:rPr>
                <w:rFonts w:asciiTheme="minorHAnsi" w:hAnsiTheme="minorHAnsi" w:cstheme="minorHAnsi"/>
              </w:rPr>
              <w:lastRenderedPageBreak/>
              <w:t xml:space="preserve">HRQoL measures (QUALID and QOL-AD-NH) </w:t>
            </w:r>
          </w:p>
        </w:tc>
        <w:tc>
          <w:tcPr>
            <w:tcW w:w="0" w:type="auto"/>
            <w:tcBorders>
              <w:top w:val="nil"/>
              <w:left w:val="nil"/>
              <w:bottom w:val="single" w:sz="4" w:space="0" w:color="auto"/>
              <w:right w:val="single" w:sz="4" w:space="0" w:color="auto"/>
            </w:tcBorders>
            <w:shd w:val="clear" w:color="auto" w:fill="auto"/>
            <w:hideMark/>
          </w:tcPr>
          <w:p w14:paraId="5E2F027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lastRenderedPageBreak/>
              <w:t xml:space="preserve">Significant relationship between both EQ-5D-5L-proxy utility scores and </w:t>
            </w:r>
            <w:r w:rsidRPr="00037AD4">
              <w:rPr>
                <w:rFonts w:asciiTheme="minorHAnsi" w:hAnsiTheme="minorHAnsi" w:cstheme="minorHAnsi"/>
              </w:rPr>
              <w:lastRenderedPageBreak/>
              <w:t>the FAST and CDR measures.</w:t>
            </w:r>
          </w:p>
        </w:tc>
      </w:tr>
      <w:tr w:rsidR="00B54D51" w:rsidRPr="00037AD4" w14:paraId="268C05DE" w14:textId="77777777" w:rsidTr="00401C67">
        <w:trPr>
          <w:trHeight w:val="84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15F6B8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lastRenderedPageBreak/>
              <w:t xml:space="preserve">Perry-Duxbury, 2020 </w:t>
            </w:r>
          </w:p>
          <w:p w14:paraId="04AD0E7C" w14:textId="77777777" w:rsidR="00B54D51" w:rsidRPr="00037AD4" w:rsidRDefault="00B54D51" w:rsidP="00401C67">
            <w:pPr>
              <w:rPr>
                <w:rFonts w:asciiTheme="minorHAnsi" w:hAnsiTheme="minorHAnsi" w:cstheme="minorHAnsi"/>
              </w:rPr>
            </w:pP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E1168D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ICECAP-O in the informal caregiver</w:t>
            </w:r>
          </w:p>
          <w:p w14:paraId="7CF0BA80" w14:textId="77777777" w:rsidR="00B54D51" w:rsidRPr="00037AD4" w:rsidRDefault="00B54D51" w:rsidP="00401C67">
            <w:pPr>
              <w:rPr>
                <w:rFonts w:asciiTheme="minorHAnsi" w:hAnsiTheme="minorHAnsi" w:cstheme="minorHAnsi"/>
              </w:rPr>
            </w:pP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A2FC6F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Yes - ICECAP-O tariff significantly associated with EQ-5D-5L utility tariff score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5F2004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Yes</w:t>
            </w:r>
          </w:p>
          <w:p w14:paraId="40015CE3" w14:textId="77777777" w:rsidR="00B54D51" w:rsidRPr="00037AD4" w:rsidRDefault="00B54D51" w:rsidP="00401C67">
            <w:pPr>
              <w:rPr>
                <w:rFonts w:asciiTheme="minorHAnsi" w:hAnsiTheme="minorHAnsi" w:cstheme="minorHAnsi"/>
              </w:rPr>
            </w:pPr>
          </w:p>
          <w:p w14:paraId="0F555A0B" w14:textId="77777777" w:rsidR="00B54D51" w:rsidRPr="00037AD4" w:rsidRDefault="00B54D51" w:rsidP="00401C67">
            <w:pPr>
              <w:rPr>
                <w:rFonts w:asciiTheme="minorHAnsi" w:hAnsiTheme="minorHAnsi" w:cstheme="minorHAnsi"/>
              </w:rPr>
            </w:pP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86C08D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39C572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Yes - Significant association between  EQ-5D-5L and  ICECAP-O</w:t>
            </w:r>
          </w:p>
          <w:p w14:paraId="5FC869B4" w14:textId="77777777" w:rsidR="00B54D51" w:rsidRPr="00037AD4" w:rsidRDefault="00B54D51" w:rsidP="00401C67">
            <w:pPr>
              <w:rPr>
                <w:rFonts w:asciiTheme="minorHAnsi" w:hAnsiTheme="minorHAnsi" w:cstheme="minorHAnsi"/>
              </w:rPr>
            </w:pPr>
          </w:p>
        </w:tc>
      </w:tr>
      <w:tr w:rsidR="00B54D51" w:rsidRPr="00037AD4" w14:paraId="09121FBE" w14:textId="77777777" w:rsidTr="00401C67">
        <w:trPr>
          <w:trHeight w:val="699"/>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4C9E99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Ratcliffe, 2017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1124A4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DEMQOL-Proxy U </w:t>
            </w:r>
            <w:r w:rsidRPr="00037AD4">
              <w:rPr>
                <w:rFonts w:asciiTheme="minorHAnsi" w:hAnsiTheme="minorHAnsi" w:cstheme="minorHAnsi"/>
              </w:rPr>
              <w:tab/>
            </w:r>
          </w:p>
          <w:p w14:paraId="25B931A8" w14:textId="77777777" w:rsidR="00B54D51" w:rsidRPr="00037AD4" w:rsidRDefault="00B54D51" w:rsidP="00401C67">
            <w:pPr>
              <w:rPr>
                <w:rFonts w:asciiTheme="minorHAnsi" w:hAnsiTheme="minorHAnsi" w:cstheme="minorHAnsi"/>
              </w:rPr>
            </w:pP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CB2D10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Yes - Proxy completed EQ-5D-5L and DEMQOL-Proxy U; Yes - EQ-5D-5L and MMSE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309A89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No</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495D21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2AAAF4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w:t>
            </w:r>
          </w:p>
        </w:tc>
      </w:tr>
      <w:tr w:rsidR="00B54D51" w:rsidRPr="00037AD4" w14:paraId="13C5DD12" w14:textId="77777777" w:rsidTr="00401C67">
        <w:trPr>
          <w:trHeight w:val="102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758684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Rombach, 2020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5A65F9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QoL-AD scores and EQ-5D-5L utilities. In supplementary materials also reported for QOL-AD items and EQ-5D-5L dimensions.</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AADE2D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Yes - between similar dimensions in QOL</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BE555A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Yes</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81312C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EC4177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w:t>
            </w:r>
          </w:p>
        </w:tc>
      </w:tr>
      <w:tr w:rsidR="00B54D51" w:rsidRPr="00037AD4" w14:paraId="5EA97615" w14:textId="77777777" w:rsidTr="00401C67">
        <w:trPr>
          <w:trHeight w:val="180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8BEBA0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Sopina, 2019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7F38B1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QUALID</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52CB8F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Yes - significant correlations between QUALID and EQ-5D-5L.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FBFD47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Yes</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D47783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Linear regressions to investigate the relationship between changes in EQ-5D-5L and QUALID over 3-month intervals, and controlled for age, gender, </w:t>
            </w:r>
            <w:r w:rsidRPr="00037AD4">
              <w:rPr>
                <w:rFonts w:asciiTheme="minorHAnsi" w:hAnsiTheme="minorHAnsi" w:cstheme="minorHAnsi"/>
              </w:rPr>
              <w:lastRenderedPageBreak/>
              <w:t>as well as the EQ-5D-5L and QUALID scores at the start of each interval being assessed</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9DB571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lastRenderedPageBreak/>
              <w:t xml:space="preserve">Yes </w:t>
            </w:r>
          </w:p>
        </w:tc>
      </w:tr>
      <w:tr w:rsidR="00B54D51" w:rsidRPr="00037AD4" w14:paraId="7DEB96BC" w14:textId="77777777" w:rsidTr="00401C67">
        <w:trPr>
          <w:trHeight w:val="525"/>
        </w:trPr>
        <w:tc>
          <w:tcPr>
            <w:tcW w:w="0" w:type="auto"/>
            <w:tcBorders>
              <w:top w:val="nil"/>
              <w:left w:val="single" w:sz="4" w:space="0" w:color="auto"/>
              <w:bottom w:val="single" w:sz="4" w:space="0" w:color="auto"/>
              <w:right w:val="single" w:sz="4" w:space="0" w:color="auto"/>
            </w:tcBorders>
            <w:shd w:val="clear" w:color="auto" w:fill="auto"/>
            <w:hideMark/>
          </w:tcPr>
          <w:p w14:paraId="2623E43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Toh, 2020 </w:t>
            </w:r>
          </w:p>
        </w:tc>
        <w:tc>
          <w:tcPr>
            <w:tcW w:w="0" w:type="auto"/>
            <w:tcBorders>
              <w:top w:val="nil"/>
              <w:left w:val="nil"/>
              <w:bottom w:val="single" w:sz="4" w:space="0" w:color="auto"/>
              <w:right w:val="single" w:sz="4" w:space="0" w:color="auto"/>
            </w:tcBorders>
            <w:shd w:val="clear" w:color="auto" w:fill="auto"/>
            <w:hideMark/>
          </w:tcPr>
          <w:p w14:paraId="49F6CAA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Domains of EQ-5D-5L and DCM WIB </w:t>
            </w:r>
          </w:p>
        </w:tc>
        <w:tc>
          <w:tcPr>
            <w:tcW w:w="0" w:type="auto"/>
            <w:tcBorders>
              <w:top w:val="nil"/>
              <w:left w:val="nil"/>
              <w:bottom w:val="single" w:sz="4" w:space="0" w:color="auto"/>
              <w:right w:val="single" w:sz="4" w:space="0" w:color="auto"/>
            </w:tcBorders>
            <w:shd w:val="clear" w:color="auto" w:fill="auto"/>
            <w:hideMark/>
          </w:tcPr>
          <w:p w14:paraId="1BC8424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Yes - significant correlation between EQ-5D-5L index and the DCM Well/Ill being value </w:t>
            </w:r>
          </w:p>
        </w:tc>
        <w:tc>
          <w:tcPr>
            <w:tcW w:w="0" w:type="auto"/>
            <w:tcBorders>
              <w:top w:val="nil"/>
              <w:left w:val="nil"/>
              <w:bottom w:val="single" w:sz="4" w:space="0" w:color="auto"/>
              <w:right w:val="single" w:sz="4" w:space="0" w:color="auto"/>
            </w:tcBorders>
            <w:shd w:val="clear" w:color="auto" w:fill="auto"/>
            <w:hideMark/>
          </w:tcPr>
          <w:p w14:paraId="6CA2813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No</w:t>
            </w:r>
          </w:p>
        </w:tc>
        <w:tc>
          <w:tcPr>
            <w:tcW w:w="0" w:type="auto"/>
            <w:tcBorders>
              <w:top w:val="nil"/>
              <w:left w:val="nil"/>
              <w:bottom w:val="single" w:sz="4" w:space="0" w:color="auto"/>
              <w:right w:val="single" w:sz="4" w:space="0" w:color="auto"/>
            </w:tcBorders>
            <w:shd w:val="clear" w:color="auto" w:fill="auto"/>
            <w:hideMark/>
          </w:tcPr>
          <w:p w14:paraId="31431CE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w:t>
            </w:r>
          </w:p>
        </w:tc>
        <w:tc>
          <w:tcPr>
            <w:tcW w:w="0" w:type="auto"/>
            <w:tcBorders>
              <w:top w:val="nil"/>
              <w:left w:val="nil"/>
              <w:bottom w:val="single" w:sz="4" w:space="0" w:color="auto"/>
              <w:right w:val="single" w:sz="4" w:space="0" w:color="auto"/>
            </w:tcBorders>
            <w:shd w:val="clear" w:color="auto" w:fill="auto"/>
            <w:hideMark/>
          </w:tcPr>
          <w:p w14:paraId="76B7A2C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w:t>
            </w:r>
          </w:p>
        </w:tc>
      </w:tr>
    </w:tbl>
    <w:p w14:paraId="52029538" w14:textId="77777777" w:rsidR="00B54D51" w:rsidRPr="00037AD4" w:rsidRDefault="00B54D51" w:rsidP="001D7ACE">
      <w:pPr>
        <w:rPr>
          <w:rFonts w:asciiTheme="minorHAnsi" w:hAnsiTheme="minorHAnsi" w:cstheme="minorHAnsi"/>
        </w:rPr>
      </w:pPr>
    </w:p>
    <w:p w14:paraId="482366FA" w14:textId="77777777" w:rsidR="00B54D51" w:rsidRPr="00037AD4" w:rsidRDefault="00B54D51" w:rsidP="001D7ACE">
      <w:pPr>
        <w:rPr>
          <w:rFonts w:asciiTheme="minorHAnsi" w:hAnsiTheme="minorHAnsi" w:cstheme="minorHAnsi"/>
        </w:rPr>
      </w:pPr>
      <w:r w:rsidRPr="00037AD4">
        <w:rPr>
          <w:rFonts w:asciiTheme="minorHAnsi" w:hAnsiTheme="minorHAnsi" w:cstheme="minorHAnsi"/>
        </w:rPr>
        <w:t>Notes: CDR: Clinical Dementia Rating, DCM WIB - Dementia care Mapping Well/Ill being (score), CDR - DEMQOL-  Dementia Quality of Life, DEMQOL-U  Dementia Quality of Life Utility measure, FAST – Functional Assessment Screening Tool, ICECAP-O - ICEpop CAPability measure for Older people, QoL-AD - Quality of Life – Alzheimer Disease, ), QoL- AD NH - Quality of Life – Alzheimer Disease Nursing Home version, QUALID - Quality of Life in late-stage dementia</w:t>
      </w:r>
    </w:p>
    <w:p w14:paraId="1132524D" w14:textId="77777777" w:rsidR="00B54D51" w:rsidRPr="00037AD4" w:rsidRDefault="00B54D51" w:rsidP="001D7ACE">
      <w:pPr>
        <w:rPr>
          <w:rFonts w:asciiTheme="minorHAnsi" w:hAnsiTheme="minorHAnsi" w:cstheme="minorHAnsi"/>
          <w:b/>
          <w:bCs/>
          <w:u w:val="single"/>
        </w:rPr>
      </w:pPr>
    </w:p>
    <w:p w14:paraId="528C0068" w14:textId="77777777" w:rsidR="00B54D51" w:rsidRPr="00037AD4" w:rsidRDefault="00B54D51" w:rsidP="001D7ACE">
      <w:pPr>
        <w:rPr>
          <w:rFonts w:asciiTheme="minorHAnsi" w:hAnsiTheme="minorHAnsi" w:cstheme="minorHAnsi"/>
          <w:b/>
          <w:bCs/>
          <w:u w:val="single"/>
        </w:rPr>
      </w:pPr>
    </w:p>
    <w:p w14:paraId="5FF8649B" w14:textId="77777777" w:rsidR="00B54D51" w:rsidRPr="00037AD4" w:rsidRDefault="00B54D51" w:rsidP="001D7ACE">
      <w:pPr>
        <w:rPr>
          <w:rFonts w:asciiTheme="minorHAnsi" w:hAnsiTheme="minorHAnsi" w:cstheme="minorHAnsi"/>
          <w:b/>
          <w:bCs/>
          <w:u w:val="single"/>
        </w:rPr>
      </w:pPr>
    </w:p>
    <w:p w14:paraId="57386B72" w14:textId="77777777" w:rsidR="00B54D51" w:rsidRPr="00037AD4" w:rsidRDefault="00B54D51" w:rsidP="001D7ACE">
      <w:pPr>
        <w:rPr>
          <w:rFonts w:asciiTheme="minorHAnsi" w:hAnsiTheme="minorHAnsi" w:cstheme="minorHAnsi"/>
          <w:b/>
          <w:bCs/>
          <w:u w:val="single"/>
        </w:rPr>
      </w:pPr>
    </w:p>
    <w:p w14:paraId="2A7EC5CA" w14:textId="77777777" w:rsidR="00B54D51" w:rsidRPr="00037AD4" w:rsidRDefault="00B54D51" w:rsidP="001D7ACE">
      <w:pPr>
        <w:rPr>
          <w:rFonts w:asciiTheme="minorHAnsi" w:hAnsiTheme="minorHAnsi" w:cstheme="minorHAnsi"/>
          <w:b/>
          <w:bCs/>
          <w:u w:val="single"/>
        </w:rPr>
      </w:pPr>
    </w:p>
    <w:p w14:paraId="5C7693E6" w14:textId="77777777" w:rsidR="00B54D51" w:rsidRPr="00037AD4" w:rsidRDefault="00B54D51" w:rsidP="001D7ACE">
      <w:pPr>
        <w:rPr>
          <w:rFonts w:asciiTheme="minorHAnsi" w:hAnsiTheme="minorHAnsi" w:cstheme="minorHAnsi"/>
          <w:b/>
          <w:bCs/>
          <w:u w:val="single"/>
        </w:rPr>
      </w:pPr>
    </w:p>
    <w:p w14:paraId="4C14BD43" w14:textId="77777777" w:rsidR="00B54D51" w:rsidRPr="00037AD4" w:rsidRDefault="00B54D51" w:rsidP="001D7ACE">
      <w:pPr>
        <w:rPr>
          <w:rFonts w:asciiTheme="minorHAnsi" w:hAnsiTheme="minorHAnsi" w:cstheme="minorHAnsi"/>
          <w:b/>
          <w:bCs/>
          <w:u w:val="single"/>
        </w:rPr>
      </w:pPr>
    </w:p>
    <w:p w14:paraId="52ADA3F5" w14:textId="77777777" w:rsidR="00B54D51" w:rsidRPr="00037AD4" w:rsidRDefault="00B54D51" w:rsidP="007A43F9">
      <w:pPr>
        <w:pStyle w:val="Heading2"/>
      </w:pPr>
      <w:bookmarkStart w:id="439" w:name="A24"/>
      <w:bookmarkStart w:id="440" w:name="_Toc175742385"/>
      <w:r w:rsidRPr="00037AD4">
        <w:t>Appendix 2.4 Responsiveness</w:t>
      </w:r>
      <w:bookmarkEnd w:id="440"/>
      <w:r w:rsidRPr="00037AD4">
        <w:t xml:space="preserve"> </w:t>
      </w:r>
    </w:p>
    <w:bookmarkEnd w:id="439"/>
    <w:p w14:paraId="6A77C811" w14:textId="77777777" w:rsidR="00B54D51" w:rsidRPr="00037AD4" w:rsidRDefault="00B54D51" w:rsidP="001D7ACE">
      <w:pPr>
        <w:rPr>
          <w:rFonts w:asciiTheme="minorHAnsi" w:hAnsiTheme="minorHAnsi" w:cstheme="minorHAnsi"/>
          <w:b/>
          <w:bCs/>
          <w:u w:val="single"/>
        </w:rPr>
      </w:pPr>
    </w:p>
    <w:tbl>
      <w:tblPr>
        <w:tblW w:w="0" w:type="auto"/>
        <w:tblLook w:val="04A0" w:firstRow="1" w:lastRow="0" w:firstColumn="1" w:lastColumn="0" w:noHBand="0" w:noVBand="1"/>
      </w:tblPr>
      <w:tblGrid>
        <w:gridCol w:w="1903"/>
        <w:gridCol w:w="2031"/>
        <w:gridCol w:w="3181"/>
        <w:gridCol w:w="3284"/>
        <w:gridCol w:w="3549"/>
      </w:tblGrid>
      <w:tr w:rsidR="00B54D51" w:rsidRPr="00037AD4" w14:paraId="36A1B6D8" w14:textId="77777777" w:rsidTr="00401C67">
        <w:trPr>
          <w:trHeight w:val="1065"/>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0431AC1" w14:textId="77777777" w:rsidR="00B54D51" w:rsidRPr="00037AD4" w:rsidRDefault="00B54D51" w:rsidP="00401C67">
            <w:pPr>
              <w:rPr>
                <w:rFonts w:asciiTheme="minorHAnsi" w:hAnsiTheme="minorHAnsi" w:cstheme="minorHAnsi"/>
                <w:b/>
                <w:bCs/>
                <w:color w:val="000000"/>
                <w:lang w:eastAsia="zh-CN"/>
              </w:rPr>
            </w:pPr>
            <w:r w:rsidRPr="00037AD4">
              <w:rPr>
                <w:rFonts w:asciiTheme="minorHAnsi" w:hAnsiTheme="minorHAnsi" w:cstheme="minorHAnsi"/>
                <w:b/>
                <w:bCs/>
                <w:color w:val="000000"/>
                <w:lang w:eastAsia="zh-CN"/>
              </w:rPr>
              <w:lastRenderedPageBreak/>
              <w:t>Study reference (author, year)</w:t>
            </w:r>
          </w:p>
        </w:tc>
        <w:tc>
          <w:tcPr>
            <w:tcW w:w="0" w:type="auto"/>
            <w:tcBorders>
              <w:top w:val="single" w:sz="4" w:space="0" w:color="auto"/>
              <w:left w:val="nil"/>
              <w:bottom w:val="single" w:sz="4" w:space="0" w:color="auto"/>
              <w:right w:val="single" w:sz="4" w:space="0" w:color="auto"/>
            </w:tcBorders>
            <w:shd w:val="clear" w:color="auto" w:fill="auto"/>
            <w:hideMark/>
          </w:tcPr>
          <w:p w14:paraId="79662B23" w14:textId="77777777" w:rsidR="00B54D51" w:rsidRPr="00037AD4" w:rsidRDefault="00B54D51" w:rsidP="00401C67">
            <w:pPr>
              <w:rPr>
                <w:rFonts w:asciiTheme="minorHAnsi" w:hAnsiTheme="minorHAnsi" w:cstheme="minorHAnsi"/>
                <w:b/>
                <w:bCs/>
                <w:color w:val="000000"/>
                <w:lang w:eastAsia="zh-CN"/>
              </w:rPr>
            </w:pPr>
            <w:r w:rsidRPr="00037AD4">
              <w:rPr>
                <w:rFonts w:asciiTheme="minorHAnsi" w:hAnsiTheme="minorHAnsi" w:cstheme="minorHAnsi"/>
                <w:b/>
                <w:bCs/>
                <w:color w:val="000000"/>
                <w:lang w:eastAsia="zh-CN"/>
              </w:rPr>
              <w:t>Index or dimensions or both assessed</w:t>
            </w:r>
          </w:p>
        </w:tc>
        <w:tc>
          <w:tcPr>
            <w:tcW w:w="0" w:type="auto"/>
            <w:tcBorders>
              <w:top w:val="single" w:sz="4" w:space="0" w:color="auto"/>
              <w:left w:val="nil"/>
              <w:bottom w:val="single" w:sz="4" w:space="0" w:color="auto"/>
              <w:right w:val="single" w:sz="4" w:space="0" w:color="auto"/>
            </w:tcBorders>
            <w:shd w:val="clear" w:color="auto" w:fill="auto"/>
            <w:hideMark/>
          </w:tcPr>
          <w:p w14:paraId="5F91D36D" w14:textId="77777777" w:rsidR="00B54D51" w:rsidRPr="00037AD4" w:rsidRDefault="00B54D51" w:rsidP="00401C67">
            <w:pPr>
              <w:rPr>
                <w:rFonts w:asciiTheme="minorHAnsi" w:hAnsiTheme="minorHAnsi" w:cstheme="minorHAnsi"/>
                <w:b/>
                <w:bCs/>
                <w:color w:val="000000"/>
                <w:lang w:eastAsia="zh-CN"/>
              </w:rPr>
            </w:pPr>
            <w:r w:rsidRPr="00037AD4">
              <w:rPr>
                <w:rFonts w:asciiTheme="minorHAnsi" w:hAnsiTheme="minorHAnsi" w:cstheme="minorHAnsi"/>
                <w:b/>
                <w:bCs/>
                <w:color w:val="000000"/>
                <w:lang w:eastAsia="zh-CN"/>
              </w:rPr>
              <w:t>Comparison e.g. change over time</w:t>
            </w:r>
          </w:p>
        </w:tc>
        <w:tc>
          <w:tcPr>
            <w:tcW w:w="0" w:type="auto"/>
            <w:tcBorders>
              <w:top w:val="single" w:sz="4" w:space="0" w:color="auto"/>
              <w:left w:val="nil"/>
              <w:bottom w:val="single" w:sz="4" w:space="0" w:color="auto"/>
              <w:right w:val="single" w:sz="4" w:space="0" w:color="auto"/>
            </w:tcBorders>
            <w:shd w:val="clear" w:color="auto" w:fill="auto"/>
            <w:hideMark/>
          </w:tcPr>
          <w:p w14:paraId="7868E438" w14:textId="77777777" w:rsidR="00B54D51" w:rsidRPr="00037AD4" w:rsidRDefault="00B54D51" w:rsidP="00401C67">
            <w:pPr>
              <w:rPr>
                <w:rFonts w:asciiTheme="minorHAnsi" w:hAnsiTheme="minorHAnsi" w:cstheme="minorHAnsi"/>
                <w:b/>
                <w:bCs/>
                <w:color w:val="000000"/>
                <w:lang w:eastAsia="zh-CN"/>
              </w:rPr>
            </w:pPr>
            <w:r w:rsidRPr="00037AD4">
              <w:rPr>
                <w:rFonts w:asciiTheme="minorHAnsi" w:hAnsiTheme="minorHAnsi" w:cstheme="minorHAnsi"/>
                <w:b/>
                <w:bCs/>
                <w:color w:val="000000"/>
                <w:lang w:eastAsia="zh-CN"/>
              </w:rPr>
              <w:t>Comparison in direction consistent with clinical/expected expectation</w:t>
            </w:r>
          </w:p>
        </w:tc>
        <w:tc>
          <w:tcPr>
            <w:tcW w:w="0" w:type="auto"/>
            <w:tcBorders>
              <w:top w:val="single" w:sz="4" w:space="0" w:color="auto"/>
              <w:left w:val="nil"/>
              <w:bottom w:val="single" w:sz="4" w:space="0" w:color="auto"/>
              <w:right w:val="single" w:sz="4" w:space="0" w:color="auto"/>
            </w:tcBorders>
            <w:shd w:val="clear" w:color="auto" w:fill="auto"/>
            <w:hideMark/>
          </w:tcPr>
          <w:p w14:paraId="6B084090" w14:textId="77777777" w:rsidR="00B54D51" w:rsidRPr="00037AD4" w:rsidRDefault="00B54D51" w:rsidP="00401C67">
            <w:pPr>
              <w:rPr>
                <w:rFonts w:asciiTheme="minorHAnsi" w:hAnsiTheme="minorHAnsi" w:cstheme="minorHAnsi"/>
                <w:b/>
                <w:bCs/>
                <w:color w:val="000000"/>
                <w:lang w:eastAsia="zh-CN"/>
              </w:rPr>
            </w:pPr>
            <w:r w:rsidRPr="00037AD4">
              <w:rPr>
                <w:rFonts w:asciiTheme="minorHAnsi" w:hAnsiTheme="minorHAnsi" w:cstheme="minorHAnsi"/>
                <w:b/>
                <w:bCs/>
                <w:color w:val="000000"/>
                <w:lang w:eastAsia="zh-CN"/>
              </w:rPr>
              <w:t>Responsiveness of measure is statistically significant</w:t>
            </w:r>
          </w:p>
        </w:tc>
      </w:tr>
      <w:tr w:rsidR="00B54D51" w:rsidRPr="00037AD4" w14:paraId="01C5C64A" w14:textId="77777777" w:rsidTr="00401C67">
        <w:trPr>
          <w:trHeight w:val="585"/>
        </w:trPr>
        <w:tc>
          <w:tcPr>
            <w:tcW w:w="0" w:type="auto"/>
            <w:tcBorders>
              <w:top w:val="nil"/>
              <w:left w:val="single" w:sz="4" w:space="0" w:color="auto"/>
              <w:bottom w:val="single" w:sz="4" w:space="0" w:color="auto"/>
              <w:right w:val="single" w:sz="4" w:space="0" w:color="auto"/>
            </w:tcBorders>
            <w:shd w:val="clear" w:color="auto" w:fill="auto"/>
            <w:hideMark/>
          </w:tcPr>
          <w:p w14:paraId="74F050E9" w14:textId="77777777" w:rsidR="00B54D51" w:rsidRPr="00037AD4" w:rsidRDefault="00B54D51" w:rsidP="00401C67">
            <w:pPr>
              <w:rPr>
                <w:rFonts w:asciiTheme="minorHAnsi" w:hAnsiTheme="minorHAnsi" w:cstheme="minorHAnsi"/>
                <w:color w:val="000000"/>
                <w:lang w:eastAsia="zh-CN"/>
              </w:rPr>
            </w:pPr>
            <w:r w:rsidRPr="00037AD4">
              <w:rPr>
                <w:rFonts w:asciiTheme="minorHAnsi" w:hAnsiTheme="minorHAnsi" w:cstheme="minorHAnsi"/>
                <w:color w:val="000000"/>
                <w:lang w:eastAsia="zh-CN"/>
              </w:rPr>
              <w:t xml:space="preserve">Jurkeviciute, 2019 </w:t>
            </w:r>
          </w:p>
        </w:tc>
        <w:tc>
          <w:tcPr>
            <w:tcW w:w="0" w:type="auto"/>
            <w:tcBorders>
              <w:top w:val="nil"/>
              <w:left w:val="nil"/>
              <w:bottom w:val="single" w:sz="4" w:space="0" w:color="auto"/>
              <w:right w:val="single" w:sz="4" w:space="0" w:color="auto"/>
            </w:tcBorders>
            <w:shd w:val="clear" w:color="auto" w:fill="auto"/>
            <w:hideMark/>
          </w:tcPr>
          <w:p w14:paraId="425CEFAF" w14:textId="77777777" w:rsidR="00B54D51" w:rsidRPr="00037AD4" w:rsidRDefault="00B54D51" w:rsidP="00401C67">
            <w:pPr>
              <w:rPr>
                <w:rFonts w:asciiTheme="minorHAnsi" w:hAnsiTheme="minorHAnsi" w:cstheme="minorHAnsi"/>
                <w:color w:val="000000"/>
                <w:lang w:eastAsia="zh-CN"/>
              </w:rPr>
            </w:pPr>
            <w:r w:rsidRPr="00037AD4">
              <w:rPr>
                <w:rFonts w:asciiTheme="minorHAnsi" w:hAnsiTheme="minorHAnsi" w:cstheme="minorHAnsi"/>
                <w:color w:val="000000"/>
                <w:lang w:eastAsia="zh-CN"/>
              </w:rPr>
              <w:t>Both</w:t>
            </w:r>
          </w:p>
        </w:tc>
        <w:tc>
          <w:tcPr>
            <w:tcW w:w="0" w:type="auto"/>
            <w:tcBorders>
              <w:top w:val="nil"/>
              <w:left w:val="nil"/>
              <w:bottom w:val="single" w:sz="4" w:space="0" w:color="auto"/>
              <w:right w:val="single" w:sz="4" w:space="0" w:color="auto"/>
            </w:tcBorders>
            <w:shd w:val="clear" w:color="auto" w:fill="auto"/>
            <w:hideMark/>
          </w:tcPr>
          <w:p w14:paraId="0263DBED" w14:textId="77777777" w:rsidR="00B54D51" w:rsidRPr="00037AD4" w:rsidRDefault="00B54D51" w:rsidP="00401C67">
            <w:pPr>
              <w:rPr>
                <w:rFonts w:asciiTheme="minorHAnsi" w:hAnsiTheme="minorHAnsi" w:cstheme="minorHAnsi"/>
                <w:color w:val="000000"/>
                <w:lang w:eastAsia="zh-CN"/>
              </w:rPr>
            </w:pPr>
            <w:r w:rsidRPr="00037AD4">
              <w:rPr>
                <w:rFonts w:asciiTheme="minorHAnsi" w:hAnsiTheme="minorHAnsi" w:cstheme="minorHAnsi"/>
                <w:color w:val="000000"/>
                <w:lang w:eastAsia="zh-CN"/>
              </w:rPr>
              <w:t xml:space="preserve">Change over time from baseline to 6 months follow-up </w:t>
            </w:r>
          </w:p>
        </w:tc>
        <w:tc>
          <w:tcPr>
            <w:tcW w:w="0" w:type="auto"/>
            <w:tcBorders>
              <w:top w:val="nil"/>
              <w:left w:val="nil"/>
              <w:bottom w:val="single" w:sz="4" w:space="0" w:color="auto"/>
              <w:right w:val="single" w:sz="4" w:space="0" w:color="auto"/>
            </w:tcBorders>
            <w:shd w:val="clear" w:color="auto" w:fill="auto"/>
            <w:hideMark/>
          </w:tcPr>
          <w:p w14:paraId="4BF8D449" w14:textId="77777777" w:rsidR="00B54D51" w:rsidRPr="00037AD4" w:rsidRDefault="00B54D51" w:rsidP="00401C67">
            <w:pPr>
              <w:rPr>
                <w:rFonts w:asciiTheme="minorHAnsi" w:hAnsiTheme="minorHAnsi" w:cstheme="minorHAnsi"/>
                <w:color w:val="000000"/>
                <w:lang w:eastAsia="zh-CN"/>
              </w:rPr>
            </w:pPr>
            <w:r w:rsidRPr="00037AD4">
              <w:rPr>
                <w:rFonts w:asciiTheme="minorHAnsi" w:hAnsiTheme="minorHAnsi" w:cstheme="minorHAnsi"/>
                <w:color w:val="000000"/>
                <w:lang w:eastAsia="zh-CN"/>
              </w:rPr>
              <w:t>No</w:t>
            </w:r>
          </w:p>
        </w:tc>
        <w:tc>
          <w:tcPr>
            <w:tcW w:w="0" w:type="auto"/>
            <w:tcBorders>
              <w:top w:val="nil"/>
              <w:left w:val="nil"/>
              <w:bottom w:val="single" w:sz="4" w:space="0" w:color="auto"/>
              <w:right w:val="single" w:sz="4" w:space="0" w:color="auto"/>
            </w:tcBorders>
            <w:shd w:val="clear" w:color="auto" w:fill="auto"/>
            <w:hideMark/>
          </w:tcPr>
          <w:p w14:paraId="23F4CF69" w14:textId="77777777" w:rsidR="00B54D51" w:rsidRPr="00037AD4" w:rsidRDefault="00B54D51" w:rsidP="00401C67">
            <w:pPr>
              <w:rPr>
                <w:rFonts w:asciiTheme="minorHAnsi" w:hAnsiTheme="minorHAnsi" w:cstheme="minorHAnsi"/>
                <w:color w:val="000000"/>
                <w:lang w:eastAsia="zh-CN"/>
              </w:rPr>
            </w:pPr>
            <w:r w:rsidRPr="00037AD4">
              <w:rPr>
                <w:rFonts w:asciiTheme="minorHAnsi" w:hAnsiTheme="minorHAnsi" w:cstheme="minorHAnsi"/>
                <w:color w:val="000000"/>
                <w:lang w:eastAsia="zh-CN"/>
              </w:rPr>
              <w:t>No</w:t>
            </w:r>
          </w:p>
        </w:tc>
      </w:tr>
      <w:tr w:rsidR="00B54D51" w:rsidRPr="00037AD4" w14:paraId="6BF5919E" w14:textId="77777777" w:rsidTr="00401C67">
        <w:trPr>
          <w:trHeight w:val="1110"/>
        </w:trPr>
        <w:tc>
          <w:tcPr>
            <w:tcW w:w="0" w:type="auto"/>
            <w:tcBorders>
              <w:top w:val="nil"/>
              <w:left w:val="single" w:sz="4" w:space="0" w:color="auto"/>
              <w:bottom w:val="single" w:sz="4" w:space="0" w:color="auto"/>
              <w:right w:val="single" w:sz="4" w:space="0" w:color="auto"/>
            </w:tcBorders>
            <w:shd w:val="clear" w:color="auto" w:fill="auto"/>
            <w:hideMark/>
          </w:tcPr>
          <w:p w14:paraId="1B54C1E1" w14:textId="77777777" w:rsidR="00B54D51" w:rsidRPr="00037AD4" w:rsidRDefault="00B54D51" w:rsidP="00401C67">
            <w:pPr>
              <w:rPr>
                <w:rFonts w:asciiTheme="minorHAnsi" w:hAnsiTheme="minorHAnsi" w:cstheme="minorHAnsi"/>
                <w:color w:val="000000"/>
                <w:lang w:eastAsia="zh-CN"/>
              </w:rPr>
            </w:pPr>
            <w:r w:rsidRPr="00037AD4">
              <w:rPr>
                <w:rFonts w:asciiTheme="minorHAnsi" w:hAnsiTheme="minorHAnsi" w:cstheme="minorHAnsi"/>
                <w:color w:val="000000"/>
                <w:lang w:eastAsia="zh-CN"/>
              </w:rPr>
              <w:t xml:space="preserve">Martin 2019 </w:t>
            </w:r>
          </w:p>
        </w:tc>
        <w:tc>
          <w:tcPr>
            <w:tcW w:w="0" w:type="auto"/>
            <w:tcBorders>
              <w:top w:val="nil"/>
              <w:left w:val="nil"/>
              <w:bottom w:val="single" w:sz="4" w:space="0" w:color="auto"/>
              <w:right w:val="single" w:sz="4" w:space="0" w:color="auto"/>
            </w:tcBorders>
            <w:shd w:val="clear" w:color="auto" w:fill="auto"/>
            <w:hideMark/>
          </w:tcPr>
          <w:p w14:paraId="1D9E82AD" w14:textId="77777777" w:rsidR="00B54D51" w:rsidRPr="00037AD4" w:rsidRDefault="00B54D51" w:rsidP="00401C67">
            <w:pPr>
              <w:rPr>
                <w:rFonts w:asciiTheme="minorHAnsi" w:hAnsiTheme="minorHAnsi" w:cstheme="minorHAnsi"/>
                <w:color w:val="000000"/>
                <w:lang w:eastAsia="zh-CN"/>
              </w:rPr>
            </w:pPr>
            <w:r w:rsidRPr="00037AD4">
              <w:rPr>
                <w:rFonts w:asciiTheme="minorHAnsi" w:hAnsiTheme="minorHAnsi" w:cstheme="minorHAnsi"/>
                <w:color w:val="000000"/>
                <w:lang w:eastAsia="zh-CN"/>
              </w:rPr>
              <w:t>Index</w:t>
            </w:r>
          </w:p>
        </w:tc>
        <w:tc>
          <w:tcPr>
            <w:tcW w:w="0" w:type="auto"/>
            <w:tcBorders>
              <w:top w:val="nil"/>
              <w:left w:val="nil"/>
              <w:bottom w:val="single" w:sz="4" w:space="0" w:color="auto"/>
              <w:right w:val="single" w:sz="4" w:space="0" w:color="auto"/>
            </w:tcBorders>
            <w:shd w:val="clear" w:color="auto" w:fill="auto"/>
            <w:hideMark/>
          </w:tcPr>
          <w:p w14:paraId="6507D839" w14:textId="77777777" w:rsidR="00B54D51" w:rsidRPr="00037AD4" w:rsidRDefault="00B54D51" w:rsidP="00401C67">
            <w:pPr>
              <w:rPr>
                <w:rFonts w:asciiTheme="minorHAnsi" w:hAnsiTheme="minorHAnsi" w:cstheme="minorHAnsi"/>
                <w:color w:val="000000"/>
                <w:lang w:eastAsia="zh-CN"/>
              </w:rPr>
            </w:pPr>
            <w:r w:rsidRPr="00037AD4">
              <w:rPr>
                <w:rFonts w:asciiTheme="minorHAnsi" w:hAnsiTheme="minorHAnsi" w:cstheme="minorHAnsi"/>
                <w:color w:val="000000"/>
                <w:lang w:eastAsia="zh-CN"/>
              </w:rPr>
              <w:t>Change over time from baseline to 2 follow-up points (exact timings not specified)</w:t>
            </w:r>
          </w:p>
        </w:tc>
        <w:tc>
          <w:tcPr>
            <w:tcW w:w="0" w:type="auto"/>
            <w:tcBorders>
              <w:top w:val="nil"/>
              <w:left w:val="nil"/>
              <w:bottom w:val="single" w:sz="4" w:space="0" w:color="auto"/>
              <w:right w:val="single" w:sz="4" w:space="0" w:color="auto"/>
            </w:tcBorders>
            <w:shd w:val="clear" w:color="auto" w:fill="auto"/>
            <w:hideMark/>
          </w:tcPr>
          <w:p w14:paraId="78FEF771" w14:textId="77777777" w:rsidR="00B54D51" w:rsidRPr="00037AD4" w:rsidRDefault="00B54D51" w:rsidP="00401C67">
            <w:pPr>
              <w:rPr>
                <w:rFonts w:asciiTheme="minorHAnsi" w:hAnsiTheme="minorHAnsi" w:cstheme="minorHAnsi"/>
                <w:color w:val="000000"/>
                <w:lang w:eastAsia="zh-CN"/>
              </w:rPr>
            </w:pPr>
            <w:r w:rsidRPr="00037AD4">
              <w:rPr>
                <w:rFonts w:asciiTheme="minorHAnsi" w:hAnsiTheme="minorHAnsi" w:cstheme="minorHAnsi"/>
                <w:color w:val="000000"/>
                <w:lang w:eastAsia="zh-CN"/>
              </w:rPr>
              <w:t>Yes</w:t>
            </w:r>
          </w:p>
        </w:tc>
        <w:tc>
          <w:tcPr>
            <w:tcW w:w="0" w:type="auto"/>
            <w:tcBorders>
              <w:top w:val="nil"/>
              <w:left w:val="nil"/>
              <w:bottom w:val="single" w:sz="4" w:space="0" w:color="auto"/>
              <w:right w:val="single" w:sz="4" w:space="0" w:color="auto"/>
            </w:tcBorders>
            <w:shd w:val="clear" w:color="auto" w:fill="auto"/>
            <w:hideMark/>
          </w:tcPr>
          <w:p w14:paraId="6867AA1A" w14:textId="77777777" w:rsidR="00B54D51" w:rsidRPr="00037AD4" w:rsidRDefault="00B54D51" w:rsidP="00401C67">
            <w:pPr>
              <w:rPr>
                <w:rFonts w:asciiTheme="minorHAnsi" w:hAnsiTheme="minorHAnsi" w:cstheme="minorHAnsi"/>
                <w:color w:val="000000"/>
                <w:lang w:eastAsia="zh-CN"/>
              </w:rPr>
            </w:pPr>
            <w:r w:rsidRPr="00037AD4">
              <w:rPr>
                <w:rFonts w:asciiTheme="minorHAnsi" w:hAnsiTheme="minorHAnsi" w:cstheme="minorHAnsi"/>
                <w:color w:val="000000"/>
                <w:lang w:eastAsia="zh-CN"/>
              </w:rPr>
              <w:t xml:space="preserve">No for self-report and Yes for EQ-5D-5L-proxy and the informal-carer EQ-5D-5L-proxy. </w:t>
            </w:r>
          </w:p>
        </w:tc>
      </w:tr>
      <w:tr w:rsidR="00B54D51" w:rsidRPr="00037AD4" w14:paraId="38D290A2" w14:textId="77777777" w:rsidTr="00401C67">
        <w:trPr>
          <w:trHeight w:val="525"/>
        </w:trPr>
        <w:tc>
          <w:tcPr>
            <w:tcW w:w="0" w:type="auto"/>
            <w:tcBorders>
              <w:top w:val="nil"/>
              <w:left w:val="single" w:sz="4" w:space="0" w:color="auto"/>
              <w:bottom w:val="single" w:sz="4" w:space="0" w:color="auto"/>
              <w:right w:val="single" w:sz="4" w:space="0" w:color="auto"/>
            </w:tcBorders>
            <w:shd w:val="clear" w:color="auto" w:fill="auto"/>
            <w:hideMark/>
          </w:tcPr>
          <w:p w14:paraId="46E04300" w14:textId="77777777" w:rsidR="00B54D51" w:rsidRPr="00037AD4" w:rsidRDefault="00B54D51" w:rsidP="00401C67">
            <w:pPr>
              <w:rPr>
                <w:rFonts w:asciiTheme="minorHAnsi" w:hAnsiTheme="minorHAnsi" w:cstheme="minorHAnsi"/>
                <w:color w:val="000000"/>
                <w:lang w:eastAsia="zh-CN"/>
              </w:rPr>
            </w:pPr>
            <w:r w:rsidRPr="00037AD4">
              <w:rPr>
                <w:rFonts w:asciiTheme="minorHAnsi" w:hAnsiTheme="minorHAnsi" w:cstheme="minorHAnsi"/>
                <w:color w:val="000000"/>
                <w:lang w:eastAsia="zh-CN"/>
              </w:rPr>
              <w:t xml:space="preserve">Meads, 2020 </w:t>
            </w:r>
          </w:p>
        </w:tc>
        <w:tc>
          <w:tcPr>
            <w:tcW w:w="0" w:type="auto"/>
            <w:tcBorders>
              <w:top w:val="nil"/>
              <w:left w:val="nil"/>
              <w:bottom w:val="single" w:sz="4" w:space="0" w:color="auto"/>
              <w:right w:val="single" w:sz="4" w:space="0" w:color="auto"/>
            </w:tcBorders>
            <w:shd w:val="clear" w:color="auto" w:fill="auto"/>
            <w:hideMark/>
          </w:tcPr>
          <w:p w14:paraId="2477205B" w14:textId="77777777" w:rsidR="00B54D51" w:rsidRPr="00037AD4" w:rsidRDefault="00B54D51" w:rsidP="00401C67">
            <w:pPr>
              <w:rPr>
                <w:rFonts w:asciiTheme="minorHAnsi" w:hAnsiTheme="minorHAnsi" w:cstheme="minorHAnsi"/>
                <w:color w:val="000000"/>
                <w:lang w:eastAsia="zh-CN"/>
              </w:rPr>
            </w:pPr>
            <w:r w:rsidRPr="00037AD4">
              <w:rPr>
                <w:rFonts w:asciiTheme="minorHAnsi" w:hAnsiTheme="minorHAnsi" w:cstheme="minorHAnsi"/>
                <w:color w:val="000000"/>
                <w:lang w:eastAsia="zh-CN"/>
              </w:rPr>
              <w:t>Index</w:t>
            </w:r>
          </w:p>
        </w:tc>
        <w:tc>
          <w:tcPr>
            <w:tcW w:w="0" w:type="auto"/>
            <w:tcBorders>
              <w:top w:val="nil"/>
              <w:left w:val="nil"/>
              <w:bottom w:val="single" w:sz="4" w:space="0" w:color="auto"/>
              <w:right w:val="single" w:sz="4" w:space="0" w:color="auto"/>
            </w:tcBorders>
            <w:shd w:val="clear" w:color="auto" w:fill="auto"/>
            <w:hideMark/>
          </w:tcPr>
          <w:p w14:paraId="0921163C" w14:textId="77777777" w:rsidR="00B54D51" w:rsidRPr="00037AD4" w:rsidRDefault="00B54D51" w:rsidP="00401C67">
            <w:pPr>
              <w:rPr>
                <w:rFonts w:asciiTheme="minorHAnsi" w:hAnsiTheme="minorHAnsi" w:cstheme="minorHAnsi"/>
                <w:color w:val="000000"/>
                <w:lang w:eastAsia="zh-CN"/>
              </w:rPr>
            </w:pPr>
            <w:r w:rsidRPr="00037AD4">
              <w:rPr>
                <w:rFonts w:asciiTheme="minorHAnsi" w:hAnsiTheme="minorHAnsi" w:cstheme="minorHAnsi"/>
                <w:color w:val="000000"/>
                <w:lang w:eastAsia="zh-CN"/>
              </w:rPr>
              <w:t>Change over time from baseline to 6 and 16 months follow-up</w:t>
            </w:r>
          </w:p>
        </w:tc>
        <w:tc>
          <w:tcPr>
            <w:tcW w:w="0" w:type="auto"/>
            <w:tcBorders>
              <w:top w:val="nil"/>
              <w:left w:val="nil"/>
              <w:bottom w:val="single" w:sz="4" w:space="0" w:color="auto"/>
              <w:right w:val="single" w:sz="4" w:space="0" w:color="auto"/>
            </w:tcBorders>
            <w:shd w:val="clear" w:color="auto" w:fill="auto"/>
            <w:hideMark/>
          </w:tcPr>
          <w:p w14:paraId="555EA0BC" w14:textId="77777777" w:rsidR="00B54D51" w:rsidRPr="00037AD4" w:rsidRDefault="00B54D51" w:rsidP="00401C67">
            <w:pPr>
              <w:rPr>
                <w:rFonts w:asciiTheme="minorHAnsi" w:hAnsiTheme="minorHAnsi" w:cstheme="minorHAnsi"/>
                <w:color w:val="000000"/>
                <w:lang w:eastAsia="zh-CN"/>
              </w:rPr>
            </w:pPr>
            <w:r w:rsidRPr="00037AD4">
              <w:rPr>
                <w:rFonts w:asciiTheme="minorHAnsi" w:hAnsiTheme="minorHAnsi" w:cstheme="minorHAnsi"/>
                <w:color w:val="000000"/>
                <w:lang w:eastAsia="zh-CN"/>
              </w:rPr>
              <w:t>Yes</w:t>
            </w:r>
          </w:p>
          <w:p w14:paraId="2A493B31" w14:textId="77777777" w:rsidR="00B54D51" w:rsidRPr="00037AD4" w:rsidRDefault="00B54D51" w:rsidP="00401C67">
            <w:pPr>
              <w:rPr>
                <w:rFonts w:asciiTheme="minorHAnsi" w:hAnsiTheme="minorHAnsi" w:cstheme="minorHAnsi"/>
                <w:color w:val="000000"/>
                <w:lang w:eastAsia="zh-CN"/>
              </w:rPr>
            </w:pPr>
          </w:p>
        </w:tc>
        <w:tc>
          <w:tcPr>
            <w:tcW w:w="0" w:type="auto"/>
            <w:tcBorders>
              <w:top w:val="nil"/>
              <w:left w:val="nil"/>
              <w:bottom w:val="single" w:sz="4" w:space="0" w:color="auto"/>
              <w:right w:val="single" w:sz="4" w:space="0" w:color="auto"/>
            </w:tcBorders>
            <w:shd w:val="clear" w:color="auto" w:fill="auto"/>
            <w:hideMark/>
          </w:tcPr>
          <w:p w14:paraId="56709A0C" w14:textId="77777777" w:rsidR="00B54D51" w:rsidRPr="00037AD4" w:rsidRDefault="00B54D51" w:rsidP="00401C67">
            <w:pPr>
              <w:rPr>
                <w:rFonts w:asciiTheme="minorHAnsi" w:hAnsiTheme="minorHAnsi" w:cstheme="minorHAnsi"/>
                <w:color w:val="000000"/>
                <w:lang w:eastAsia="zh-CN"/>
              </w:rPr>
            </w:pPr>
            <w:r w:rsidRPr="00037AD4">
              <w:rPr>
                <w:rFonts w:asciiTheme="minorHAnsi" w:hAnsiTheme="minorHAnsi" w:cstheme="minorHAnsi"/>
                <w:color w:val="000000"/>
                <w:lang w:eastAsia="zh-CN"/>
              </w:rPr>
              <w:t>Not reported</w:t>
            </w:r>
          </w:p>
        </w:tc>
      </w:tr>
      <w:tr w:rsidR="00B54D51" w:rsidRPr="00037AD4" w14:paraId="3FFEB9AC" w14:textId="77777777" w:rsidTr="00401C67">
        <w:trPr>
          <w:trHeight w:val="525"/>
        </w:trPr>
        <w:tc>
          <w:tcPr>
            <w:tcW w:w="0" w:type="auto"/>
            <w:tcBorders>
              <w:top w:val="nil"/>
              <w:left w:val="single" w:sz="4" w:space="0" w:color="auto"/>
              <w:bottom w:val="single" w:sz="4" w:space="0" w:color="auto"/>
              <w:right w:val="single" w:sz="4" w:space="0" w:color="auto"/>
            </w:tcBorders>
            <w:shd w:val="clear" w:color="auto" w:fill="auto"/>
          </w:tcPr>
          <w:p w14:paraId="01035B44" w14:textId="77777777" w:rsidR="00B54D51" w:rsidRPr="00037AD4" w:rsidRDefault="00B54D51" w:rsidP="00401C67">
            <w:pPr>
              <w:rPr>
                <w:rFonts w:asciiTheme="minorHAnsi" w:hAnsiTheme="minorHAnsi" w:cstheme="minorHAnsi"/>
                <w:color w:val="000000"/>
                <w:lang w:eastAsia="zh-CN"/>
              </w:rPr>
            </w:pPr>
            <w:r w:rsidRPr="00037AD4">
              <w:rPr>
                <w:rFonts w:asciiTheme="minorHAnsi" w:hAnsiTheme="minorHAnsi" w:cstheme="minorHAnsi"/>
                <w:color w:val="000000"/>
                <w:lang w:eastAsia="zh-CN"/>
              </w:rPr>
              <w:t xml:space="preserve">Ratcliffe, 2017 </w:t>
            </w:r>
          </w:p>
        </w:tc>
        <w:tc>
          <w:tcPr>
            <w:tcW w:w="0" w:type="auto"/>
            <w:tcBorders>
              <w:top w:val="nil"/>
              <w:left w:val="nil"/>
              <w:bottom w:val="single" w:sz="4" w:space="0" w:color="auto"/>
              <w:right w:val="single" w:sz="4" w:space="0" w:color="auto"/>
            </w:tcBorders>
            <w:shd w:val="clear" w:color="auto" w:fill="auto"/>
          </w:tcPr>
          <w:p w14:paraId="78D0ECF5" w14:textId="77777777" w:rsidR="00B54D51" w:rsidRPr="00037AD4" w:rsidRDefault="00B54D51" w:rsidP="00401C67">
            <w:pPr>
              <w:rPr>
                <w:rFonts w:asciiTheme="minorHAnsi" w:hAnsiTheme="minorHAnsi" w:cstheme="minorHAnsi"/>
                <w:color w:val="000000"/>
                <w:lang w:eastAsia="zh-CN"/>
              </w:rPr>
            </w:pPr>
            <w:r w:rsidRPr="00037AD4">
              <w:rPr>
                <w:rFonts w:asciiTheme="minorHAnsi" w:hAnsiTheme="minorHAnsi" w:cstheme="minorHAnsi"/>
                <w:color w:val="000000"/>
                <w:lang w:eastAsia="zh-CN"/>
              </w:rPr>
              <w:t xml:space="preserve">Index </w:t>
            </w:r>
          </w:p>
        </w:tc>
        <w:tc>
          <w:tcPr>
            <w:tcW w:w="0" w:type="auto"/>
            <w:tcBorders>
              <w:top w:val="nil"/>
              <w:left w:val="nil"/>
              <w:bottom w:val="single" w:sz="4" w:space="0" w:color="auto"/>
              <w:right w:val="single" w:sz="4" w:space="0" w:color="auto"/>
            </w:tcBorders>
            <w:shd w:val="clear" w:color="auto" w:fill="auto"/>
          </w:tcPr>
          <w:p w14:paraId="021F681F" w14:textId="77777777" w:rsidR="00B54D51" w:rsidRPr="00037AD4" w:rsidRDefault="00B54D51" w:rsidP="00401C67">
            <w:pPr>
              <w:rPr>
                <w:rFonts w:asciiTheme="minorHAnsi" w:hAnsiTheme="minorHAnsi" w:cstheme="minorHAnsi"/>
                <w:color w:val="000000"/>
                <w:lang w:eastAsia="zh-CN"/>
              </w:rPr>
            </w:pPr>
            <w:r w:rsidRPr="00037AD4">
              <w:rPr>
                <w:rFonts w:asciiTheme="minorHAnsi" w:hAnsiTheme="minorHAnsi" w:cstheme="minorHAnsi"/>
                <w:color w:val="000000"/>
                <w:lang w:eastAsia="zh-CN"/>
              </w:rPr>
              <w:t xml:space="preserve">Change over time from baseline to 4 weeks follow-up </w:t>
            </w:r>
          </w:p>
        </w:tc>
        <w:tc>
          <w:tcPr>
            <w:tcW w:w="0" w:type="auto"/>
            <w:tcBorders>
              <w:top w:val="nil"/>
              <w:left w:val="nil"/>
              <w:bottom w:val="single" w:sz="4" w:space="0" w:color="auto"/>
              <w:right w:val="single" w:sz="4" w:space="0" w:color="auto"/>
            </w:tcBorders>
            <w:shd w:val="clear" w:color="auto" w:fill="auto"/>
          </w:tcPr>
          <w:p w14:paraId="09EA28AF" w14:textId="77777777" w:rsidR="00B54D51" w:rsidRPr="00037AD4" w:rsidRDefault="00B54D51" w:rsidP="00401C67">
            <w:pPr>
              <w:rPr>
                <w:rFonts w:asciiTheme="minorHAnsi" w:hAnsiTheme="minorHAnsi" w:cstheme="minorHAnsi"/>
                <w:color w:val="000000"/>
                <w:lang w:eastAsia="zh-CN"/>
              </w:rPr>
            </w:pPr>
            <w:r w:rsidRPr="00037AD4">
              <w:rPr>
                <w:rFonts w:asciiTheme="minorHAnsi" w:hAnsiTheme="minorHAnsi" w:cstheme="minorHAnsi"/>
                <w:color w:val="000000"/>
                <w:lang w:eastAsia="zh-CN"/>
              </w:rPr>
              <w:t>Yes</w:t>
            </w:r>
          </w:p>
        </w:tc>
        <w:tc>
          <w:tcPr>
            <w:tcW w:w="0" w:type="auto"/>
            <w:tcBorders>
              <w:top w:val="nil"/>
              <w:left w:val="nil"/>
              <w:bottom w:val="single" w:sz="4" w:space="0" w:color="auto"/>
              <w:right w:val="single" w:sz="4" w:space="0" w:color="auto"/>
            </w:tcBorders>
            <w:shd w:val="clear" w:color="auto" w:fill="auto"/>
          </w:tcPr>
          <w:p w14:paraId="7727769F" w14:textId="77777777" w:rsidR="00B54D51" w:rsidRPr="00037AD4" w:rsidRDefault="00B54D51" w:rsidP="00401C67">
            <w:pPr>
              <w:rPr>
                <w:rFonts w:asciiTheme="minorHAnsi" w:hAnsiTheme="minorHAnsi" w:cstheme="minorHAnsi"/>
                <w:color w:val="000000"/>
                <w:lang w:eastAsia="zh-CN"/>
              </w:rPr>
            </w:pPr>
            <w:r w:rsidRPr="00037AD4">
              <w:rPr>
                <w:rFonts w:asciiTheme="minorHAnsi" w:hAnsiTheme="minorHAnsi" w:cstheme="minorHAnsi"/>
                <w:color w:val="000000"/>
                <w:lang w:eastAsia="zh-CN"/>
              </w:rPr>
              <w:t xml:space="preserve">Yes </w:t>
            </w:r>
          </w:p>
        </w:tc>
      </w:tr>
      <w:tr w:rsidR="00B54D51" w:rsidRPr="00037AD4" w14:paraId="7F2E5561" w14:textId="77777777" w:rsidTr="00401C67">
        <w:trPr>
          <w:trHeight w:val="615"/>
        </w:trPr>
        <w:tc>
          <w:tcPr>
            <w:tcW w:w="0" w:type="auto"/>
            <w:tcBorders>
              <w:top w:val="nil"/>
              <w:left w:val="single" w:sz="4" w:space="0" w:color="auto"/>
              <w:bottom w:val="single" w:sz="4" w:space="0" w:color="auto"/>
              <w:right w:val="single" w:sz="4" w:space="0" w:color="auto"/>
            </w:tcBorders>
            <w:shd w:val="clear" w:color="auto" w:fill="auto"/>
            <w:hideMark/>
          </w:tcPr>
          <w:p w14:paraId="2A25D939" w14:textId="77777777" w:rsidR="00B54D51" w:rsidRPr="00037AD4" w:rsidRDefault="00B54D51" w:rsidP="00401C67">
            <w:pPr>
              <w:rPr>
                <w:rFonts w:asciiTheme="minorHAnsi" w:hAnsiTheme="minorHAnsi" w:cstheme="minorHAnsi"/>
                <w:color w:val="000000"/>
                <w:lang w:eastAsia="zh-CN"/>
              </w:rPr>
            </w:pPr>
            <w:r w:rsidRPr="00037AD4">
              <w:rPr>
                <w:rFonts w:asciiTheme="minorHAnsi" w:hAnsiTheme="minorHAnsi" w:cstheme="minorHAnsi"/>
                <w:color w:val="000000"/>
                <w:lang w:eastAsia="zh-CN"/>
              </w:rPr>
              <w:t xml:space="preserve">Sopina, 2019 </w:t>
            </w:r>
          </w:p>
        </w:tc>
        <w:tc>
          <w:tcPr>
            <w:tcW w:w="0" w:type="auto"/>
            <w:tcBorders>
              <w:top w:val="nil"/>
              <w:left w:val="nil"/>
              <w:bottom w:val="single" w:sz="4" w:space="0" w:color="auto"/>
              <w:right w:val="single" w:sz="4" w:space="0" w:color="auto"/>
            </w:tcBorders>
            <w:shd w:val="clear" w:color="auto" w:fill="auto"/>
            <w:hideMark/>
          </w:tcPr>
          <w:p w14:paraId="090B1C1A" w14:textId="77777777" w:rsidR="00B54D51" w:rsidRPr="00037AD4" w:rsidRDefault="00B54D51" w:rsidP="00401C67">
            <w:pPr>
              <w:rPr>
                <w:rFonts w:asciiTheme="minorHAnsi" w:hAnsiTheme="minorHAnsi" w:cstheme="minorHAnsi"/>
                <w:color w:val="000000"/>
                <w:lang w:eastAsia="zh-CN"/>
              </w:rPr>
            </w:pPr>
            <w:r w:rsidRPr="00037AD4">
              <w:rPr>
                <w:rFonts w:asciiTheme="minorHAnsi" w:hAnsiTheme="minorHAnsi" w:cstheme="minorHAnsi"/>
                <w:color w:val="000000"/>
                <w:lang w:eastAsia="zh-CN"/>
              </w:rPr>
              <w:t>Index</w:t>
            </w:r>
          </w:p>
        </w:tc>
        <w:tc>
          <w:tcPr>
            <w:tcW w:w="0" w:type="auto"/>
            <w:tcBorders>
              <w:top w:val="nil"/>
              <w:left w:val="nil"/>
              <w:bottom w:val="single" w:sz="4" w:space="0" w:color="auto"/>
              <w:right w:val="single" w:sz="4" w:space="0" w:color="auto"/>
            </w:tcBorders>
            <w:shd w:val="clear" w:color="auto" w:fill="auto"/>
            <w:hideMark/>
          </w:tcPr>
          <w:p w14:paraId="0A41D45C" w14:textId="77777777" w:rsidR="00B54D51" w:rsidRPr="00037AD4" w:rsidRDefault="00B54D51" w:rsidP="00401C67">
            <w:pPr>
              <w:rPr>
                <w:rFonts w:asciiTheme="minorHAnsi" w:hAnsiTheme="minorHAnsi" w:cstheme="minorHAnsi"/>
                <w:color w:val="000000"/>
                <w:lang w:eastAsia="zh-CN"/>
              </w:rPr>
            </w:pPr>
            <w:r w:rsidRPr="00037AD4">
              <w:rPr>
                <w:rFonts w:asciiTheme="minorHAnsi" w:hAnsiTheme="minorHAnsi" w:cstheme="minorHAnsi"/>
                <w:color w:val="000000"/>
                <w:lang w:eastAsia="zh-CN"/>
              </w:rPr>
              <w:t xml:space="preserve">Change over time from baseline to 6, 9 and 12 months follow-up </w:t>
            </w:r>
          </w:p>
        </w:tc>
        <w:tc>
          <w:tcPr>
            <w:tcW w:w="0" w:type="auto"/>
            <w:tcBorders>
              <w:top w:val="nil"/>
              <w:left w:val="nil"/>
              <w:bottom w:val="single" w:sz="4" w:space="0" w:color="auto"/>
              <w:right w:val="single" w:sz="4" w:space="0" w:color="auto"/>
            </w:tcBorders>
            <w:shd w:val="clear" w:color="auto" w:fill="auto"/>
            <w:hideMark/>
          </w:tcPr>
          <w:p w14:paraId="1A7C88C5" w14:textId="77777777" w:rsidR="00B54D51" w:rsidRPr="00037AD4" w:rsidRDefault="00B54D51" w:rsidP="00401C67">
            <w:pPr>
              <w:rPr>
                <w:rFonts w:asciiTheme="minorHAnsi" w:hAnsiTheme="minorHAnsi" w:cstheme="minorHAnsi"/>
                <w:color w:val="000000"/>
                <w:lang w:eastAsia="zh-CN"/>
              </w:rPr>
            </w:pPr>
            <w:r w:rsidRPr="00037AD4">
              <w:rPr>
                <w:rFonts w:asciiTheme="minorHAnsi" w:hAnsiTheme="minorHAnsi" w:cstheme="minorHAnsi"/>
                <w:color w:val="000000"/>
                <w:lang w:eastAsia="zh-CN"/>
              </w:rPr>
              <w:t>Yes</w:t>
            </w:r>
          </w:p>
          <w:p w14:paraId="36979BA6" w14:textId="77777777" w:rsidR="00B54D51" w:rsidRPr="00037AD4" w:rsidRDefault="00B54D51" w:rsidP="00401C67">
            <w:pPr>
              <w:rPr>
                <w:rFonts w:asciiTheme="minorHAnsi" w:hAnsiTheme="minorHAnsi" w:cstheme="minorHAnsi"/>
                <w:color w:val="000000"/>
                <w:lang w:eastAsia="zh-CN"/>
              </w:rPr>
            </w:pPr>
          </w:p>
        </w:tc>
        <w:tc>
          <w:tcPr>
            <w:tcW w:w="0" w:type="auto"/>
            <w:tcBorders>
              <w:top w:val="nil"/>
              <w:left w:val="nil"/>
              <w:bottom w:val="single" w:sz="4" w:space="0" w:color="auto"/>
              <w:right w:val="single" w:sz="4" w:space="0" w:color="auto"/>
            </w:tcBorders>
            <w:shd w:val="clear" w:color="auto" w:fill="auto"/>
            <w:hideMark/>
          </w:tcPr>
          <w:p w14:paraId="713AFDFA" w14:textId="77777777" w:rsidR="00B54D51" w:rsidRPr="00037AD4" w:rsidRDefault="00B54D51" w:rsidP="00401C67">
            <w:pPr>
              <w:rPr>
                <w:rFonts w:asciiTheme="minorHAnsi" w:hAnsiTheme="minorHAnsi" w:cstheme="minorHAnsi"/>
                <w:color w:val="000000"/>
                <w:lang w:eastAsia="zh-CN"/>
              </w:rPr>
            </w:pPr>
            <w:r w:rsidRPr="00037AD4">
              <w:rPr>
                <w:rFonts w:asciiTheme="minorHAnsi" w:hAnsiTheme="minorHAnsi" w:cstheme="minorHAnsi"/>
                <w:color w:val="000000"/>
                <w:lang w:eastAsia="zh-CN"/>
              </w:rPr>
              <w:t>No</w:t>
            </w:r>
          </w:p>
        </w:tc>
      </w:tr>
      <w:tr w:rsidR="00B54D51" w:rsidRPr="00037AD4" w14:paraId="7A01CD52" w14:textId="77777777" w:rsidTr="00401C67">
        <w:trPr>
          <w:trHeight w:val="510"/>
        </w:trPr>
        <w:tc>
          <w:tcPr>
            <w:tcW w:w="0" w:type="auto"/>
            <w:tcBorders>
              <w:top w:val="nil"/>
              <w:left w:val="single" w:sz="4" w:space="0" w:color="auto"/>
              <w:bottom w:val="single" w:sz="4" w:space="0" w:color="auto"/>
              <w:right w:val="single" w:sz="4" w:space="0" w:color="auto"/>
            </w:tcBorders>
            <w:shd w:val="clear" w:color="auto" w:fill="auto"/>
            <w:hideMark/>
          </w:tcPr>
          <w:p w14:paraId="2F8E6A4B" w14:textId="77777777" w:rsidR="00B54D51" w:rsidRPr="00037AD4" w:rsidRDefault="00B54D51" w:rsidP="00401C67">
            <w:pPr>
              <w:rPr>
                <w:rFonts w:asciiTheme="minorHAnsi" w:hAnsiTheme="minorHAnsi" w:cstheme="minorHAnsi"/>
                <w:color w:val="000000"/>
                <w:lang w:eastAsia="zh-CN"/>
              </w:rPr>
            </w:pPr>
            <w:r w:rsidRPr="00037AD4">
              <w:rPr>
                <w:rFonts w:asciiTheme="minorHAnsi" w:hAnsiTheme="minorHAnsi" w:cstheme="minorHAnsi"/>
                <w:color w:val="000000"/>
                <w:lang w:eastAsia="zh-CN"/>
              </w:rPr>
              <w:t xml:space="preserve">Sopina, 2017 </w:t>
            </w:r>
          </w:p>
        </w:tc>
        <w:tc>
          <w:tcPr>
            <w:tcW w:w="0" w:type="auto"/>
            <w:tcBorders>
              <w:top w:val="nil"/>
              <w:left w:val="nil"/>
              <w:bottom w:val="single" w:sz="4" w:space="0" w:color="auto"/>
              <w:right w:val="single" w:sz="4" w:space="0" w:color="auto"/>
            </w:tcBorders>
            <w:shd w:val="clear" w:color="auto" w:fill="auto"/>
            <w:hideMark/>
          </w:tcPr>
          <w:p w14:paraId="0590830F" w14:textId="77777777" w:rsidR="00B54D51" w:rsidRPr="00037AD4" w:rsidRDefault="00B54D51" w:rsidP="00401C67">
            <w:pPr>
              <w:rPr>
                <w:rFonts w:asciiTheme="minorHAnsi" w:hAnsiTheme="minorHAnsi" w:cstheme="minorHAnsi"/>
                <w:color w:val="000000"/>
                <w:lang w:eastAsia="zh-CN"/>
              </w:rPr>
            </w:pPr>
            <w:r w:rsidRPr="00037AD4">
              <w:rPr>
                <w:rFonts w:asciiTheme="minorHAnsi" w:hAnsiTheme="minorHAnsi" w:cstheme="minorHAnsi"/>
                <w:color w:val="000000"/>
                <w:lang w:eastAsia="zh-CN"/>
              </w:rPr>
              <w:t>Index</w:t>
            </w:r>
          </w:p>
        </w:tc>
        <w:tc>
          <w:tcPr>
            <w:tcW w:w="0" w:type="auto"/>
            <w:tcBorders>
              <w:top w:val="nil"/>
              <w:left w:val="nil"/>
              <w:bottom w:val="single" w:sz="4" w:space="0" w:color="auto"/>
              <w:right w:val="single" w:sz="4" w:space="0" w:color="auto"/>
            </w:tcBorders>
            <w:shd w:val="clear" w:color="auto" w:fill="auto"/>
            <w:hideMark/>
          </w:tcPr>
          <w:p w14:paraId="140098B0" w14:textId="77777777" w:rsidR="00B54D51" w:rsidRPr="00037AD4" w:rsidRDefault="00B54D51" w:rsidP="00401C67">
            <w:pPr>
              <w:rPr>
                <w:rFonts w:asciiTheme="minorHAnsi" w:hAnsiTheme="minorHAnsi" w:cstheme="minorHAnsi"/>
                <w:color w:val="000000"/>
                <w:lang w:eastAsia="zh-CN"/>
              </w:rPr>
            </w:pPr>
            <w:r w:rsidRPr="00037AD4">
              <w:rPr>
                <w:rFonts w:asciiTheme="minorHAnsi" w:hAnsiTheme="minorHAnsi" w:cstheme="minorHAnsi"/>
                <w:color w:val="000000"/>
                <w:lang w:eastAsia="zh-CN"/>
              </w:rPr>
              <w:t>Change from baseline to 16 weeks follow-up</w:t>
            </w:r>
          </w:p>
        </w:tc>
        <w:tc>
          <w:tcPr>
            <w:tcW w:w="0" w:type="auto"/>
            <w:tcBorders>
              <w:top w:val="nil"/>
              <w:left w:val="nil"/>
              <w:bottom w:val="single" w:sz="4" w:space="0" w:color="auto"/>
              <w:right w:val="single" w:sz="4" w:space="0" w:color="auto"/>
            </w:tcBorders>
            <w:shd w:val="clear" w:color="auto" w:fill="auto"/>
            <w:hideMark/>
          </w:tcPr>
          <w:p w14:paraId="75EE614A" w14:textId="77777777" w:rsidR="00B54D51" w:rsidRPr="00037AD4" w:rsidRDefault="00B54D51" w:rsidP="00401C67">
            <w:pPr>
              <w:rPr>
                <w:rFonts w:asciiTheme="minorHAnsi" w:hAnsiTheme="minorHAnsi" w:cstheme="minorHAnsi"/>
                <w:color w:val="000000"/>
                <w:lang w:eastAsia="zh-CN"/>
              </w:rPr>
            </w:pPr>
            <w:r w:rsidRPr="00037AD4">
              <w:rPr>
                <w:rFonts w:asciiTheme="minorHAnsi" w:hAnsiTheme="minorHAnsi" w:cstheme="minorHAnsi"/>
                <w:color w:val="000000"/>
                <w:lang w:eastAsia="zh-CN"/>
              </w:rPr>
              <w:t>Yes</w:t>
            </w:r>
          </w:p>
        </w:tc>
        <w:tc>
          <w:tcPr>
            <w:tcW w:w="0" w:type="auto"/>
            <w:tcBorders>
              <w:top w:val="nil"/>
              <w:left w:val="nil"/>
              <w:bottom w:val="single" w:sz="4" w:space="0" w:color="auto"/>
              <w:right w:val="single" w:sz="4" w:space="0" w:color="auto"/>
            </w:tcBorders>
            <w:shd w:val="clear" w:color="auto" w:fill="auto"/>
            <w:hideMark/>
          </w:tcPr>
          <w:p w14:paraId="55174D6A" w14:textId="77777777" w:rsidR="00B54D51" w:rsidRPr="00037AD4" w:rsidRDefault="00B54D51" w:rsidP="00401C67">
            <w:pPr>
              <w:rPr>
                <w:rFonts w:asciiTheme="minorHAnsi" w:hAnsiTheme="minorHAnsi" w:cstheme="minorHAnsi"/>
                <w:color w:val="000000"/>
                <w:lang w:eastAsia="zh-CN"/>
              </w:rPr>
            </w:pPr>
            <w:r w:rsidRPr="00037AD4">
              <w:rPr>
                <w:rFonts w:asciiTheme="minorHAnsi" w:hAnsiTheme="minorHAnsi" w:cstheme="minorHAnsi"/>
                <w:color w:val="000000"/>
                <w:lang w:eastAsia="zh-CN"/>
              </w:rPr>
              <w:t>No</w:t>
            </w:r>
          </w:p>
        </w:tc>
      </w:tr>
    </w:tbl>
    <w:p w14:paraId="322EBF9F" w14:textId="77777777" w:rsidR="00B54D51" w:rsidRPr="00037AD4" w:rsidRDefault="00B54D51" w:rsidP="001D7ACE">
      <w:pPr>
        <w:rPr>
          <w:rFonts w:asciiTheme="minorHAnsi" w:hAnsiTheme="minorHAnsi" w:cstheme="minorHAnsi"/>
          <w:b/>
          <w:bCs/>
          <w:u w:val="single"/>
        </w:rPr>
      </w:pPr>
    </w:p>
    <w:p w14:paraId="467A01EA" w14:textId="77777777" w:rsidR="00B54D51" w:rsidRPr="00037AD4" w:rsidRDefault="00B54D51" w:rsidP="001D7ACE">
      <w:pPr>
        <w:rPr>
          <w:rFonts w:asciiTheme="minorHAnsi" w:hAnsiTheme="minorHAnsi" w:cstheme="minorHAnsi"/>
          <w:b/>
          <w:bCs/>
          <w:u w:val="single"/>
        </w:rPr>
      </w:pPr>
    </w:p>
    <w:p w14:paraId="51A84EF7" w14:textId="77777777" w:rsidR="00B54D51" w:rsidRPr="00037AD4" w:rsidRDefault="00B54D51" w:rsidP="001D7ACE">
      <w:pPr>
        <w:rPr>
          <w:rFonts w:asciiTheme="minorHAnsi" w:hAnsiTheme="minorHAnsi" w:cstheme="minorHAnsi"/>
          <w:b/>
          <w:bCs/>
          <w:u w:val="single"/>
        </w:rPr>
      </w:pPr>
    </w:p>
    <w:p w14:paraId="40EA3538" w14:textId="77777777" w:rsidR="00B54D51" w:rsidRPr="00037AD4" w:rsidRDefault="00B54D51" w:rsidP="001D7ACE">
      <w:pPr>
        <w:rPr>
          <w:rFonts w:asciiTheme="minorHAnsi" w:hAnsiTheme="minorHAnsi" w:cstheme="minorHAnsi"/>
          <w:b/>
          <w:bCs/>
          <w:u w:val="single"/>
        </w:rPr>
      </w:pPr>
    </w:p>
    <w:p w14:paraId="740876DD" w14:textId="77777777" w:rsidR="00B54D51" w:rsidRPr="00037AD4" w:rsidRDefault="00B54D51" w:rsidP="001D7ACE">
      <w:pPr>
        <w:rPr>
          <w:rFonts w:asciiTheme="minorHAnsi" w:hAnsiTheme="minorHAnsi" w:cstheme="minorHAnsi"/>
          <w:b/>
          <w:bCs/>
          <w:u w:val="single"/>
        </w:rPr>
      </w:pPr>
    </w:p>
    <w:p w14:paraId="03C4EE1B" w14:textId="77777777" w:rsidR="00B54D51" w:rsidRPr="00037AD4" w:rsidRDefault="00B54D51" w:rsidP="001D7ACE">
      <w:pPr>
        <w:rPr>
          <w:rFonts w:asciiTheme="minorHAnsi" w:hAnsiTheme="minorHAnsi" w:cstheme="minorHAnsi"/>
          <w:b/>
          <w:bCs/>
          <w:u w:val="single"/>
        </w:rPr>
      </w:pPr>
    </w:p>
    <w:p w14:paraId="34EF31FD" w14:textId="77777777" w:rsidR="00B54D51" w:rsidRPr="00037AD4" w:rsidRDefault="00B54D51" w:rsidP="001D7ACE">
      <w:pPr>
        <w:rPr>
          <w:rFonts w:asciiTheme="minorHAnsi" w:hAnsiTheme="minorHAnsi" w:cstheme="minorHAnsi"/>
          <w:b/>
          <w:bCs/>
          <w:u w:val="single"/>
        </w:rPr>
      </w:pPr>
    </w:p>
    <w:p w14:paraId="575D88E1" w14:textId="77777777" w:rsidR="00B54D51" w:rsidRPr="00037AD4" w:rsidRDefault="00B54D51" w:rsidP="007A43F9">
      <w:pPr>
        <w:pStyle w:val="Heading2"/>
      </w:pPr>
      <w:bookmarkStart w:id="441" w:name="A25"/>
      <w:bookmarkStart w:id="442" w:name="_Toc175742386"/>
      <w:r w:rsidRPr="00037AD4">
        <w:t>Appendix 2.5 Inter-rater reliability</w:t>
      </w:r>
      <w:bookmarkEnd w:id="442"/>
      <w:r w:rsidRPr="00037AD4">
        <w:t xml:space="preserve"> </w:t>
      </w:r>
    </w:p>
    <w:bookmarkEnd w:id="441"/>
    <w:p w14:paraId="3A591500" w14:textId="77777777" w:rsidR="00B54D51" w:rsidRPr="00037AD4" w:rsidRDefault="00B54D51" w:rsidP="001D7ACE">
      <w:pPr>
        <w:rPr>
          <w:rFonts w:asciiTheme="minorHAnsi" w:hAnsiTheme="minorHAnsi" w:cstheme="minorHAnsi"/>
          <w:b/>
          <w:bCs/>
          <w:u w:val="single"/>
        </w:rPr>
      </w:pPr>
    </w:p>
    <w:tbl>
      <w:tblPr>
        <w:tblW w:w="0" w:type="auto"/>
        <w:tblLook w:val="04A0" w:firstRow="1" w:lastRow="0" w:firstColumn="1" w:lastColumn="0" w:noHBand="0" w:noVBand="1"/>
      </w:tblPr>
      <w:tblGrid>
        <w:gridCol w:w="1739"/>
        <w:gridCol w:w="2068"/>
        <w:gridCol w:w="8458"/>
        <w:gridCol w:w="1683"/>
      </w:tblGrid>
      <w:tr w:rsidR="00B54D51" w:rsidRPr="00037AD4" w14:paraId="71CF5AC6" w14:textId="77777777" w:rsidTr="00401C67">
        <w:trPr>
          <w:trHeight w:val="840"/>
          <w:tblHead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687851C"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lastRenderedPageBreak/>
              <w:t>Study reference (author, year)</w:t>
            </w:r>
          </w:p>
        </w:tc>
        <w:tc>
          <w:tcPr>
            <w:tcW w:w="0" w:type="auto"/>
            <w:tcBorders>
              <w:top w:val="single" w:sz="4" w:space="0" w:color="auto"/>
              <w:left w:val="nil"/>
              <w:bottom w:val="single" w:sz="4" w:space="0" w:color="auto"/>
              <w:right w:val="single" w:sz="4" w:space="0" w:color="auto"/>
            </w:tcBorders>
            <w:shd w:val="clear" w:color="auto" w:fill="auto"/>
            <w:hideMark/>
          </w:tcPr>
          <w:p w14:paraId="180A2A10"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Index or dimensions or both assessed</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8FC65B4"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Analysis</w:t>
            </w:r>
          </w:p>
        </w:tc>
        <w:tc>
          <w:tcPr>
            <w:tcW w:w="0" w:type="auto"/>
            <w:tcBorders>
              <w:top w:val="single" w:sz="4" w:space="0" w:color="auto"/>
              <w:left w:val="nil"/>
              <w:bottom w:val="single" w:sz="4" w:space="0" w:color="auto"/>
              <w:right w:val="single" w:sz="4" w:space="0" w:color="auto"/>
            </w:tcBorders>
            <w:shd w:val="clear" w:color="auto" w:fill="auto"/>
            <w:hideMark/>
          </w:tcPr>
          <w:p w14:paraId="65D68594"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 xml:space="preserve">Reliability observed yes/no </w:t>
            </w:r>
          </w:p>
        </w:tc>
      </w:tr>
      <w:tr w:rsidR="00B54D51" w:rsidRPr="00037AD4" w14:paraId="4A9EB4FD" w14:textId="77777777" w:rsidTr="00401C67">
        <w:trPr>
          <w:trHeight w:val="617"/>
        </w:trPr>
        <w:tc>
          <w:tcPr>
            <w:tcW w:w="0" w:type="auto"/>
            <w:tcBorders>
              <w:top w:val="nil"/>
              <w:left w:val="single" w:sz="4" w:space="0" w:color="auto"/>
              <w:bottom w:val="single" w:sz="4" w:space="0" w:color="auto"/>
              <w:right w:val="single" w:sz="4" w:space="0" w:color="auto"/>
            </w:tcBorders>
            <w:shd w:val="clear" w:color="auto" w:fill="auto"/>
            <w:hideMark/>
          </w:tcPr>
          <w:p w14:paraId="3ADA603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Griffiths, 2020 </w:t>
            </w:r>
          </w:p>
        </w:tc>
        <w:tc>
          <w:tcPr>
            <w:tcW w:w="0" w:type="auto"/>
            <w:tcBorders>
              <w:top w:val="nil"/>
              <w:left w:val="nil"/>
              <w:bottom w:val="single" w:sz="4" w:space="0" w:color="auto"/>
              <w:right w:val="single" w:sz="4" w:space="0" w:color="auto"/>
            </w:tcBorders>
            <w:shd w:val="clear" w:color="auto" w:fill="auto"/>
            <w:hideMark/>
          </w:tcPr>
          <w:p w14:paraId="66AA8C7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Both</w:t>
            </w:r>
          </w:p>
        </w:tc>
        <w:tc>
          <w:tcPr>
            <w:tcW w:w="0" w:type="auto"/>
            <w:tcBorders>
              <w:top w:val="nil"/>
              <w:left w:val="single" w:sz="4" w:space="0" w:color="auto"/>
              <w:bottom w:val="single" w:sz="4" w:space="0" w:color="auto"/>
              <w:right w:val="single" w:sz="4" w:space="0" w:color="auto"/>
            </w:tcBorders>
            <w:shd w:val="clear" w:color="auto" w:fill="auto"/>
            <w:hideMark/>
          </w:tcPr>
          <w:p w14:paraId="37DC046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Inter-rater reliability by self, proxy (relatives or friends or care staff); weighted Cohen’s Kappa statistic</w:t>
            </w:r>
          </w:p>
        </w:tc>
        <w:tc>
          <w:tcPr>
            <w:tcW w:w="0" w:type="auto"/>
            <w:tcBorders>
              <w:top w:val="nil"/>
              <w:left w:val="nil"/>
              <w:bottom w:val="single" w:sz="4" w:space="0" w:color="auto"/>
              <w:right w:val="single" w:sz="4" w:space="0" w:color="auto"/>
            </w:tcBorders>
            <w:shd w:val="clear" w:color="auto" w:fill="auto"/>
            <w:hideMark/>
          </w:tcPr>
          <w:p w14:paraId="0EA0D1D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No</w:t>
            </w:r>
          </w:p>
        </w:tc>
      </w:tr>
      <w:tr w:rsidR="00B54D51" w:rsidRPr="00037AD4" w14:paraId="4DFFBE63" w14:textId="77777777" w:rsidTr="00401C67">
        <w:trPr>
          <w:trHeight w:val="375"/>
        </w:trPr>
        <w:tc>
          <w:tcPr>
            <w:tcW w:w="0" w:type="auto"/>
            <w:tcBorders>
              <w:top w:val="nil"/>
              <w:left w:val="single" w:sz="4" w:space="0" w:color="auto"/>
              <w:bottom w:val="single" w:sz="4" w:space="0" w:color="auto"/>
              <w:right w:val="single" w:sz="4" w:space="0" w:color="auto"/>
            </w:tcBorders>
            <w:shd w:val="clear" w:color="auto" w:fill="auto"/>
            <w:hideMark/>
          </w:tcPr>
          <w:p w14:paraId="45923B3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Handels, 2018 </w:t>
            </w:r>
          </w:p>
        </w:tc>
        <w:tc>
          <w:tcPr>
            <w:tcW w:w="0" w:type="auto"/>
            <w:tcBorders>
              <w:top w:val="nil"/>
              <w:left w:val="nil"/>
              <w:bottom w:val="single" w:sz="4" w:space="0" w:color="auto"/>
              <w:right w:val="single" w:sz="4" w:space="0" w:color="auto"/>
            </w:tcBorders>
            <w:shd w:val="clear" w:color="auto" w:fill="auto"/>
            <w:hideMark/>
          </w:tcPr>
          <w:p w14:paraId="15F720C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Index</w:t>
            </w:r>
          </w:p>
        </w:tc>
        <w:tc>
          <w:tcPr>
            <w:tcW w:w="0" w:type="auto"/>
            <w:tcBorders>
              <w:top w:val="nil"/>
              <w:left w:val="single" w:sz="4" w:space="0" w:color="auto"/>
              <w:bottom w:val="single" w:sz="4" w:space="0" w:color="auto"/>
              <w:right w:val="single" w:sz="4" w:space="0" w:color="auto"/>
            </w:tcBorders>
            <w:shd w:val="clear" w:color="auto" w:fill="auto"/>
            <w:hideMark/>
          </w:tcPr>
          <w:p w14:paraId="44B20E3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Inter-rater reliability by self and proxy (informal caregiver); paired t-tests</w:t>
            </w:r>
          </w:p>
        </w:tc>
        <w:tc>
          <w:tcPr>
            <w:tcW w:w="0" w:type="auto"/>
            <w:tcBorders>
              <w:top w:val="nil"/>
              <w:left w:val="nil"/>
              <w:bottom w:val="single" w:sz="4" w:space="0" w:color="auto"/>
              <w:right w:val="single" w:sz="4" w:space="0" w:color="auto"/>
            </w:tcBorders>
            <w:shd w:val="clear" w:color="auto" w:fill="auto"/>
            <w:hideMark/>
          </w:tcPr>
          <w:p w14:paraId="7DD7771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No</w:t>
            </w:r>
          </w:p>
        </w:tc>
      </w:tr>
      <w:tr w:rsidR="00B54D51" w:rsidRPr="00037AD4" w14:paraId="25324067" w14:textId="77777777" w:rsidTr="00401C67">
        <w:trPr>
          <w:trHeight w:val="660"/>
        </w:trPr>
        <w:tc>
          <w:tcPr>
            <w:tcW w:w="0" w:type="auto"/>
            <w:tcBorders>
              <w:top w:val="nil"/>
              <w:left w:val="single" w:sz="4" w:space="0" w:color="auto"/>
              <w:bottom w:val="single" w:sz="4" w:space="0" w:color="auto"/>
              <w:right w:val="single" w:sz="4" w:space="0" w:color="auto"/>
            </w:tcBorders>
            <w:shd w:val="clear" w:color="auto" w:fill="auto"/>
            <w:hideMark/>
          </w:tcPr>
          <w:p w14:paraId="6737B58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Martin 2019 </w:t>
            </w:r>
          </w:p>
        </w:tc>
        <w:tc>
          <w:tcPr>
            <w:tcW w:w="0" w:type="auto"/>
            <w:tcBorders>
              <w:top w:val="nil"/>
              <w:left w:val="nil"/>
              <w:bottom w:val="single" w:sz="4" w:space="0" w:color="auto"/>
              <w:right w:val="single" w:sz="4" w:space="0" w:color="auto"/>
            </w:tcBorders>
            <w:shd w:val="clear" w:color="auto" w:fill="auto"/>
            <w:hideMark/>
          </w:tcPr>
          <w:p w14:paraId="5F3AF20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Index</w:t>
            </w:r>
          </w:p>
        </w:tc>
        <w:tc>
          <w:tcPr>
            <w:tcW w:w="0" w:type="auto"/>
            <w:tcBorders>
              <w:top w:val="nil"/>
              <w:left w:val="single" w:sz="4" w:space="0" w:color="auto"/>
              <w:bottom w:val="single" w:sz="4" w:space="0" w:color="auto"/>
              <w:right w:val="single" w:sz="4" w:space="0" w:color="auto"/>
            </w:tcBorders>
            <w:shd w:val="clear" w:color="auto" w:fill="auto"/>
            <w:hideMark/>
          </w:tcPr>
          <w:p w14:paraId="7363BA0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Inter-rater reliability by self, proxy (formal and informal carers) assessed by spearman rank-order correlation and Bland Altman plots </w:t>
            </w:r>
          </w:p>
        </w:tc>
        <w:tc>
          <w:tcPr>
            <w:tcW w:w="0" w:type="auto"/>
            <w:tcBorders>
              <w:top w:val="nil"/>
              <w:left w:val="nil"/>
              <w:bottom w:val="single" w:sz="4" w:space="0" w:color="auto"/>
              <w:right w:val="single" w:sz="4" w:space="0" w:color="auto"/>
            </w:tcBorders>
            <w:shd w:val="clear" w:color="auto" w:fill="auto"/>
            <w:hideMark/>
          </w:tcPr>
          <w:p w14:paraId="53E577D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Overall No </w:t>
            </w:r>
          </w:p>
        </w:tc>
      </w:tr>
      <w:tr w:rsidR="00B54D51" w:rsidRPr="00037AD4" w14:paraId="6A41B28E" w14:textId="77777777" w:rsidTr="00401C67">
        <w:trPr>
          <w:trHeight w:val="78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13DD811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Sopina, 2019 </w:t>
            </w:r>
          </w:p>
          <w:p w14:paraId="33AE28BF" w14:textId="77777777" w:rsidR="00B54D51" w:rsidRPr="00037AD4" w:rsidRDefault="00B54D51" w:rsidP="00401C67">
            <w:pPr>
              <w:rPr>
                <w:rFonts w:asciiTheme="minorHAnsi" w:hAnsiTheme="minorHAnsi" w:cstheme="minorHAnsi"/>
              </w:rPr>
            </w:pPr>
          </w:p>
          <w:p w14:paraId="3B5DF59D" w14:textId="77777777" w:rsidR="00B54D51" w:rsidRPr="00037AD4" w:rsidRDefault="00B54D51" w:rsidP="00401C67">
            <w:pPr>
              <w:rPr>
                <w:rFonts w:asciiTheme="minorHAnsi" w:hAnsiTheme="minorHAnsi" w:cstheme="minorHAnsi"/>
              </w:rPr>
            </w:pPr>
          </w:p>
          <w:p w14:paraId="1EA453CA" w14:textId="77777777" w:rsidR="00B54D51" w:rsidRPr="00037AD4" w:rsidRDefault="00B54D51" w:rsidP="00401C67">
            <w:pPr>
              <w:rPr>
                <w:rFonts w:asciiTheme="minorHAnsi" w:hAnsiTheme="minorHAnsi" w:cstheme="minorHAnsi"/>
              </w:rPr>
            </w:pPr>
          </w:p>
        </w:tc>
        <w:tc>
          <w:tcPr>
            <w:tcW w:w="0" w:type="auto"/>
            <w:tcBorders>
              <w:top w:val="nil"/>
              <w:left w:val="nil"/>
              <w:bottom w:val="single" w:sz="4" w:space="0" w:color="auto"/>
              <w:right w:val="single" w:sz="4" w:space="0" w:color="auto"/>
            </w:tcBorders>
            <w:shd w:val="clear" w:color="auto" w:fill="auto"/>
            <w:vAlign w:val="bottom"/>
            <w:hideMark/>
          </w:tcPr>
          <w:p w14:paraId="212F385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Both</w:t>
            </w:r>
          </w:p>
          <w:p w14:paraId="2B92024E" w14:textId="77777777" w:rsidR="00B54D51" w:rsidRPr="00037AD4" w:rsidRDefault="00B54D51" w:rsidP="00401C67">
            <w:pPr>
              <w:rPr>
                <w:rFonts w:asciiTheme="minorHAnsi" w:hAnsiTheme="minorHAnsi" w:cstheme="minorHAnsi"/>
              </w:rPr>
            </w:pPr>
          </w:p>
          <w:p w14:paraId="1B6F3EDC" w14:textId="77777777" w:rsidR="00B54D51" w:rsidRPr="00037AD4" w:rsidRDefault="00B54D51" w:rsidP="00401C67">
            <w:pPr>
              <w:rPr>
                <w:rFonts w:asciiTheme="minorHAnsi" w:hAnsiTheme="minorHAnsi" w:cstheme="minorHAnsi"/>
              </w:rPr>
            </w:pPr>
          </w:p>
          <w:p w14:paraId="15CB2D34" w14:textId="77777777" w:rsidR="00B54D51" w:rsidRPr="00037AD4" w:rsidRDefault="00B54D51" w:rsidP="00401C67">
            <w:pPr>
              <w:rPr>
                <w:rFonts w:asciiTheme="minorHAnsi" w:hAnsiTheme="minorHAnsi" w:cstheme="minorHAnsi"/>
              </w:rPr>
            </w:pPr>
          </w:p>
        </w:tc>
        <w:tc>
          <w:tcPr>
            <w:tcW w:w="0" w:type="auto"/>
            <w:tcBorders>
              <w:top w:val="nil"/>
              <w:left w:val="single" w:sz="4" w:space="0" w:color="auto"/>
              <w:bottom w:val="single" w:sz="4" w:space="0" w:color="auto"/>
              <w:right w:val="single" w:sz="4" w:space="0" w:color="auto"/>
            </w:tcBorders>
            <w:shd w:val="clear" w:color="auto" w:fill="auto"/>
            <w:vAlign w:val="bottom"/>
            <w:hideMark/>
          </w:tcPr>
          <w:p w14:paraId="2E91EEF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Inter-rater reliability; self and proxy (nurse).  Intra- class correlation coefficients for residential facilities and two-way mixed effects model regression.</w:t>
            </w:r>
          </w:p>
        </w:tc>
        <w:tc>
          <w:tcPr>
            <w:tcW w:w="0" w:type="auto"/>
            <w:tcBorders>
              <w:top w:val="nil"/>
              <w:left w:val="nil"/>
              <w:bottom w:val="single" w:sz="4" w:space="0" w:color="auto"/>
              <w:right w:val="single" w:sz="4" w:space="0" w:color="auto"/>
            </w:tcBorders>
            <w:shd w:val="clear" w:color="auto" w:fill="auto"/>
            <w:vAlign w:val="bottom"/>
            <w:hideMark/>
          </w:tcPr>
          <w:p w14:paraId="2F897A1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No</w:t>
            </w:r>
          </w:p>
          <w:p w14:paraId="481D573D" w14:textId="77777777" w:rsidR="00B54D51" w:rsidRPr="00037AD4" w:rsidRDefault="00B54D51" w:rsidP="00401C67">
            <w:pPr>
              <w:rPr>
                <w:rFonts w:asciiTheme="minorHAnsi" w:hAnsiTheme="minorHAnsi" w:cstheme="minorHAnsi"/>
              </w:rPr>
            </w:pPr>
          </w:p>
          <w:p w14:paraId="28A8904F" w14:textId="77777777" w:rsidR="00B54D51" w:rsidRPr="00037AD4" w:rsidRDefault="00B54D51" w:rsidP="00401C67">
            <w:pPr>
              <w:rPr>
                <w:rFonts w:asciiTheme="minorHAnsi" w:hAnsiTheme="minorHAnsi" w:cstheme="minorHAnsi"/>
              </w:rPr>
            </w:pPr>
          </w:p>
          <w:p w14:paraId="65B4F5A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 </w:t>
            </w:r>
          </w:p>
        </w:tc>
      </w:tr>
      <w:tr w:rsidR="00B54D51" w:rsidRPr="00037AD4" w14:paraId="2227C938" w14:textId="77777777" w:rsidTr="00401C67">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56BE11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Sopina, 2017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6A6A0E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Index</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17748F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Inter-rater reliability; self and proxy (main caregiver); Probability of being cost-effective - sensitivity analysis</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835C73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No</w:t>
            </w:r>
          </w:p>
        </w:tc>
      </w:tr>
      <w:tr w:rsidR="00B54D51" w:rsidRPr="00037AD4" w14:paraId="554A9AAC" w14:textId="77777777" w:rsidTr="00401C67">
        <w:trPr>
          <w:trHeight w:val="493"/>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B5F388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Umegaki, 2020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F09061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Both</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83C434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Correlation analysis between self and proxy (main caregiver)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AEEC6B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No </w:t>
            </w:r>
          </w:p>
        </w:tc>
      </w:tr>
      <w:tr w:rsidR="00B54D51" w:rsidRPr="00037AD4" w14:paraId="04DF9F1F" w14:textId="77777777" w:rsidTr="00401C67">
        <w:trPr>
          <w:trHeight w:val="493"/>
        </w:trPr>
        <w:tc>
          <w:tcPr>
            <w:tcW w:w="0" w:type="auto"/>
            <w:tcBorders>
              <w:top w:val="single" w:sz="4" w:space="0" w:color="auto"/>
              <w:left w:val="single" w:sz="4" w:space="0" w:color="auto"/>
              <w:bottom w:val="single" w:sz="4" w:space="0" w:color="auto"/>
              <w:right w:val="single" w:sz="4" w:space="0" w:color="auto"/>
            </w:tcBorders>
            <w:shd w:val="clear" w:color="auto" w:fill="auto"/>
          </w:tcPr>
          <w:p w14:paraId="2A1C8EC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Usman, 2019</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249F31E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Both </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0A4A462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Inter-rater reliability staff proxy and self-complete at three time points. Weighted kappa statistics and intra-class correlation coefficients (ICCs) adjusted for clustering at the care home level were used to measure agreement between resident and staff proxies for each time point</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5E7335B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No</w:t>
            </w:r>
          </w:p>
        </w:tc>
      </w:tr>
    </w:tbl>
    <w:p w14:paraId="11E8173F" w14:textId="77777777" w:rsidR="00B54D51" w:rsidRPr="00037AD4" w:rsidRDefault="00B54D51" w:rsidP="001D7ACE">
      <w:pPr>
        <w:rPr>
          <w:rFonts w:asciiTheme="minorHAnsi" w:hAnsiTheme="minorHAnsi" w:cstheme="minorHAnsi"/>
          <w:b/>
          <w:bCs/>
          <w:u w:val="single"/>
        </w:rPr>
      </w:pPr>
    </w:p>
    <w:p w14:paraId="0FD07B18" w14:textId="77777777" w:rsidR="00B54D51" w:rsidRPr="00037AD4" w:rsidRDefault="00B54D51" w:rsidP="001D7ACE">
      <w:pPr>
        <w:rPr>
          <w:rFonts w:asciiTheme="minorHAnsi" w:hAnsiTheme="minorHAnsi" w:cstheme="minorHAnsi"/>
          <w:b/>
          <w:bCs/>
          <w:u w:val="single"/>
        </w:rPr>
      </w:pPr>
    </w:p>
    <w:p w14:paraId="4C0F0BD4" w14:textId="77777777" w:rsidR="00B54D51" w:rsidRPr="00037AD4" w:rsidRDefault="00B54D51" w:rsidP="001D7ACE">
      <w:pPr>
        <w:rPr>
          <w:rFonts w:asciiTheme="minorHAnsi" w:hAnsiTheme="minorHAnsi" w:cstheme="minorHAnsi"/>
          <w:b/>
          <w:bCs/>
          <w:u w:val="single"/>
        </w:rPr>
      </w:pPr>
    </w:p>
    <w:p w14:paraId="7845A21F" w14:textId="77777777" w:rsidR="00B54D51" w:rsidRPr="00037AD4" w:rsidRDefault="00B54D51" w:rsidP="001D7ACE">
      <w:pPr>
        <w:rPr>
          <w:rFonts w:asciiTheme="minorHAnsi" w:hAnsiTheme="minorHAnsi" w:cstheme="minorHAnsi"/>
          <w:b/>
          <w:bCs/>
          <w:u w:val="single"/>
        </w:rPr>
      </w:pPr>
    </w:p>
    <w:p w14:paraId="226984DC" w14:textId="77777777" w:rsidR="00B54D51" w:rsidRPr="00037AD4" w:rsidRDefault="00B54D51" w:rsidP="001D7ACE">
      <w:pPr>
        <w:rPr>
          <w:rFonts w:asciiTheme="minorHAnsi" w:hAnsiTheme="minorHAnsi" w:cstheme="minorHAnsi"/>
          <w:b/>
          <w:bCs/>
          <w:u w:val="single"/>
        </w:rPr>
      </w:pPr>
    </w:p>
    <w:p w14:paraId="451AC0AA" w14:textId="77777777" w:rsidR="00B54D51" w:rsidRPr="00037AD4" w:rsidRDefault="00B54D51" w:rsidP="001D7ACE">
      <w:pPr>
        <w:rPr>
          <w:rFonts w:asciiTheme="minorHAnsi" w:hAnsiTheme="minorHAnsi" w:cstheme="minorHAnsi"/>
          <w:b/>
          <w:bCs/>
          <w:u w:val="single"/>
        </w:rPr>
      </w:pPr>
    </w:p>
    <w:p w14:paraId="2E5E244F" w14:textId="77777777" w:rsidR="00B54D51" w:rsidRPr="00037AD4" w:rsidRDefault="00B54D51" w:rsidP="001D7ACE">
      <w:pPr>
        <w:rPr>
          <w:rFonts w:asciiTheme="minorHAnsi" w:hAnsiTheme="minorHAnsi" w:cstheme="minorHAnsi"/>
          <w:b/>
          <w:bCs/>
          <w:u w:val="single"/>
        </w:rPr>
      </w:pPr>
    </w:p>
    <w:p w14:paraId="6CA3A969" w14:textId="77777777" w:rsidR="00B54D51" w:rsidRPr="00037AD4" w:rsidRDefault="00B54D51" w:rsidP="007A43F9">
      <w:pPr>
        <w:pStyle w:val="Heading2"/>
      </w:pPr>
      <w:bookmarkStart w:id="443" w:name="A26"/>
      <w:bookmarkStart w:id="444" w:name="_Toc175742387"/>
      <w:r w:rsidRPr="00037AD4">
        <w:t>Appendix 2.6 Acceptability and Feasibility</w:t>
      </w:r>
      <w:bookmarkEnd w:id="444"/>
      <w:r w:rsidRPr="00037AD4">
        <w:t xml:space="preserve"> </w:t>
      </w:r>
    </w:p>
    <w:bookmarkEnd w:id="443"/>
    <w:p w14:paraId="5DA7229E" w14:textId="77777777" w:rsidR="00B54D51" w:rsidRPr="00037AD4" w:rsidRDefault="00B54D51" w:rsidP="001D7ACE">
      <w:pPr>
        <w:rPr>
          <w:rFonts w:asciiTheme="minorHAnsi" w:hAnsiTheme="minorHAnsi" w:cstheme="minorHAnsi"/>
        </w:rPr>
      </w:pPr>
    </w:p>
    <w:tbl>
      <w:tblPr>
        <w:tblW w:w="0" w:type="auto"/>
        <w:tblLook w:val="04A0" w:firstRow="1" w:lastRow="0" w:firstColumn="1" w:lastColumn="0" w:noHBand="0" w:noVBand="1"/>
      </w:tblPr>
      <w:tblGrid>
        <w:gridCol w:w="2740"/>
        <w:gridCol w:w="7838"/>
        <w:gridCol w:w="3370"/>
      </w:tblGrid>
      <w:tr w:rsidR="00B54D51" w:rsidRPr="00037AD4" w14:paraId="7485645F" w14:textId="77777777" w:rsidTr="00401C67">
        <w:trPr>
          <w:trHeight w:val="561"/>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FE802CD"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lastRenderedPageBreak/>
              <w:t>Study reference (author, year)</w:t>
            </w:r>
          </w:p>
        </w:tc>
        <w:tc>
          <w:tcPr>
            <w:tcW w:w="0" w:type="auto"/>
            <w:tcBorders>
              <w:top w:val="single" w:sz="4" w:space="0" w:color="auto"/>
              <w:left w:val="nil"/>
              <w:bottom w:val="single" w:sz="4" w:space="0" w:color="auto"/>
              <w:right w:val="single" w:sz="4" w:space="0" w:color="auto"/>
            </w:tcBorders>
            <w:shd w:val="clear" w:color="auto" w:fill="auto"/>
            <w:hideMark/>
          </w:tcPr>
          <w:p w14:paraId="32C078E5"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Analysis</w:t>
            </w:r>
          </w:p>
        </w:tc>
        <w:tc>
          <w:tcPr>
            <w:tcW w:w="0" w:type="auto"/>
            <w:tcBorders>
              <w:top w:val="single" w:sz="4" w:space="0" w:color="auto"/>
              <w:left w:val="nil"/>
              <w:bottom w:val="single" w:sz="4" w:space="0" w:color="auto"/>
              <w:right w:val="single" w:sz="4" w:space="0" w:color="auto"/>
            </w:tcBorders>
            <w:shd w:val="clear" w:color="auto" w:fill="auto"/>
            <w:hideMark/>
          </w:tcPr>
          <w:p w14:paraId="1CEABDF0"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 xml:space="preserve">Acceptability and feasibility observed </w:t>
            </w:r>
          </w:p>
        </w:tc>
      </w:tr>
      <w:tr w:rsidR="00B54D51" w:rsidRPr="00037AD4" w14:paraId="547907AA" w14:textId="77777777" w:rsidTr="00401C67">
        <w:trPr>
          <w:trHeight w:val="271"/>
        </w:trPr>
        <w:tc>
          <w:tcPr>
            <w:tcW w:w="0" w:type="auto"/>
            <w:tcBorders>
              <w:top w:val="single" w:sz="4" w:space="0" w:color="000000"/>
              <w:left w:val="single" w:sz="4" w:space="0" w:color="000000"/>
              <w:bottom w:val="single" w:sz="4" w:space="0" w:color="000000"/>
              <w:right w:val="single" w:sz="4" w:space="0" w:color="000000"/>
            </w:tcBorders>
            <w:shd w:val="clear" w:color="auto" w:fill="auto"/>
            <w:hideMark/>
          </w:tcPr>
          <w:p w14:paraId="3C68759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Easton, 2018 </w:t>
            </w:r>
          </w:p>
        </w:tc>
        <w:tc>
          <w:tcPr>
            <w:tcW w:w="0" w:type="auto"/>
            <w:tcBorders>
              <w:top w:val="nil"/>
              <w:left w:val="nil"/>
              <w:bottom w:val="single" w:sz="4" w:space="0" w:color="auto"/>
              <w:right w:val="single" w:sz="4" w:space="0" w:color="auto"/>
            </w:tcBorders>
            <w:shd w:val="clear" w:color="auto" w:fill="auto"/>
            <w:hideMark/>
          </w:tcPr>
          <w:p w14:paraId="0E73FD0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Not reported </w:t>
            </w:r>
          </w:p>
        </w:tc>
        <w:tc>
          <w:tcPr>
            <w:tcW w:w="0" w:type="auto"/>
            <w:tcBorders>
              <w:top w:val="nil"/>
              <w:left w:val="nil"/>
              <w:bottom w:val="single" w:sz="4" w:space="0" w:color="auto"/>
              <w:right w:val="single" w:sz="4" w:space="0" w:color="auto"/>
            </w:tcBorders>
            <w:shd w:val="clear" w:color="auto" w:fill="auto"/>
            <w:hideMark/>
          </w:tcPr>
          <w:p w14:paraId="12BF6B0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Yes partly </w:t>
            </w:r>
          </w:p>
        </w:tc>
      </w:tr>
      <w:tr w:rsidR="00B54D51" w:rsidRPr="00037AD4" w14:paraId="1496BF69" w14:textId="77777777" w:rsidTr="00401C67">
        <w:trPr>
          <w:trHeight w:val="262"/>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227D9B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Engel, 2020 </w:t>
            </w:r>
          </w:p>
        </w:tc>
        <w:tc>
          <w:tcPr>
            <w:tcW w:w="0" w:type="auto"/>
            <w:tcBorders>
              <w:top w:val="nil"/>
              <w:left w:val="nil"/>
              <w:bottom w:val="single" w:sz="4" w:space="0" w:color="auto"/>
              <w:right w:val="single" w:sz="4" w:space="0" w:color="auto"/>
            </w:tcBorders>
            <w:shd w:val="clear" w:color="auto" w:fill="auto"/>
            <w:hideMark/>
          </w:tcPr>
          <w:p w14:paraId="0DD88DA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Interviews </w:t>
            </w:r>
          </w:p>
        </w:tc>
        <w:tc>
          <w:tcPr>
            <w:tcW w:w="0" w:type="auto"/>
            <w:tcBorders>
              <w:top w:val="nil"/>
              <w:left w:val="nil"/>
              <w:bottom w:val="single" w:sz="4" w:space="0" w:color="auto"/>
              <w:right w:val="single" w:sz="4" w:space="0" w:color="auto"/>
            </w:tcBorders>
            <w:shd w:val="clear" w:color="auto" w:fill="auto"/>
            <w:hideMark/>
          </w:tcPr>
          <w:p w14:paraId="47BF651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Yes </w:t>
            </w:r>
          </w:p>
        </w:tc>
      </w:tr>
      <w:tr w:rsidR="00B54D51" w:rsidRPr="00037AD4" w14:paraId="536E9ED3" w14:textId="77777777" w:rsidTr="00401C67">
        <w:trPr>
          <w:trHeight w:val="311"/>
        </w:trPr>
        <w:tc>
          <w:tcPr>
            <w:tcW w:w="0" w:type="auto"/>
            <w:tcBorders>
              <w:top w:val="nil"/>
              <w:left w:val="single" w:sz="4" w:space="0" w:color="auto"/>
              <w:bottom w:val="single" w:sz="4" w:space="0" w:color="auto"/>
              <w:right w:val="single" w:sz="4" w:space="0" w:color="auto"/>
            </w:tcBorders>
            <w:shd w:val="clear" w:color="auto" w:fill="auto"/>
            <w:hideMark/>
          </w:tcPr>
          <w:p w14:paraId="7639E99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Griffiths, 2020 </w:t>
            </w:r>
          </w:p>
        </w:tc>
        <w:tc>
          <w:tcPr>
            <w:tcW w:w="0" w:type="auto"/>
            <w:tcBorders>
              <w:top w:val="nil"/>
              <w:left w:val="nil"/>
              <w:bottom w:val="single" w:sz="4" w:space="0" w:color="auto"/>
              <w:right w:val="single" w:sz="4" w:space="0" w:color="auto"/>
            </w:tcBorders>
            <w:shd w:val="clear" w:color="auto" w:fill="auto"/>
            <w:hideMark/>
          </w:tcPr>
          <w:p w14:paraId="26C467B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Missing data </w:t>
            </w:r>
          </w:p>
        </w:tc>
        <w:tc>
          <w:tcPr>
            <w:tcW w:w="0" w:type="auto"/>
            <w:tcBorders>
              <w:top w:val="nil"/>
              <w:left w:val="nil"/>
              <w:bottom w:val="single" w:sz="4" w:space="0" w:color="auto"/>
              <w:right w:val="single" w:sz="4" w:space="0" w:color="auto"/>
            </w:tcBorders>
            <w:shd w:val="clear" w:color="auto" w:fill="auto"/>
            <w:hideMark/>
          </w:tcPr>
          <w:p w14:paraId="57CC4B3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Yes</w:t>
            </w:r>
          </w:p>
        </w:tc>
      </w:tr>
      <w:tr w:rsidR="00B54D51" w:rsidRPr="00037AD4" w14:paraId="776027BF" w14:textId="77777777" w:rsidTr="00401C67">
        <w:trPr>
          <w:trHeight w:val="287"/>
        </w:trPr>
        <w:tc>
          <w:tcPr>
            <w:tcW w:w="0" w:type="auto"/>
            <w:tcBorders>
              <w:top w:val="nil"/>
              <w:left w:val="single" w:sz="4" w:space="0" w:color="auto"/>
              <w:bottom w:val="single" w:sz="4" w:space="0" w:color="auto"/>
              <w:right w:val="single" w:sz="4" w:space="0" w:color="auto"/>
            </w:tcBorders>
            <w:shd w:val="clear" w:color="auto" w:fill="auto"/>
            <w:hideMark/>
          </w:tcPr>
          <w:p w14:paraId="55CFEBA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Handels, 2018 </w:t>
            </w:r>
          </w:p>
        </w:tc>
        <w:tc>
          <w:tcPr>
            <w:tcW w:w="0" w:type="auto"/>
            <w:tcBorders>
              <w:top w:val="nil"/>
              <w:left w:val="nil"/>
              <w:bottom w:val="single" w:sz="4" w:space="0" w:color="auto"/>
              <w:right w:val="single" w:sz="4" w:space="0" w:color="auto"/>
            </w:tcBorders>
            <w:shd w:val="clear" w:color="auto" w:fill="auto"/>
            <w:hideMark/>
          </w:tcPr>
          <w:p w14:paraId="249142B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Missing data </w:t>
            </w:r>
          </w:p>
        </w:tc>
        <w:tc>
          <w:tcPr>
            <w:tcW w:w="0" w:type="auto"/>
            <w:tcBorders>
              <w:top w:val="nil"/>
              <w:left w:val="nil"/>
              <w:bottom w:val="single" w:sz="4" w:space="0" w:color="auto"/>
              <w:right w:val="single" w:sz="4" w:space="0" w:color="auto"/>
            </w:tcBorders>
            <w:shd w:val="clear" w:color="auto" w:fill="auto"/>
            <w:hideMark/>
          </w:tcPr>
          <w:p w14:paraId="73B8108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Yes</w:t>
            </w:r>
          </w:p>
        </w:tc>
      </w:tr>
      <w:tr w:rsidR="00B54D51" w:rsidRPr="00037AD4" w14:paraId="7FB39C3F" w14:textId="77777777" w:rsidTr="00401C67">
        <w:trPr>
          <w:trHeight w:val="405"/>
        </w:trPr>
        <w:tc>
          <w:tcPr>
            <w:tcW w:w="0" w:type="auto"/>
            <w:tcBorders>
              <w:top w:val="nil"/>
              <w:left w:val="single" w:sz="4" w:space="0" w:color="auto"/>
              <w:bottom w:val="single" w:sz="4" w:space="0" w:color="auto"/>
              <w:right w:val="single" w:sz="4" w:space="0" w:color="auto"/>
            </w:tcBorders>
            <w:shd w:val="clear" w:color="auto" w:fill="auto"/>
            <w:hideMark/>
          </w:tcPr>
          <w:p w14:paraId="3EE1B68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Harrison, 2018 </w:t>
            </w:r>
          </w:p>
        </w:tc>
        <w:tc>
          <w:tcPr>
            <w:tcW w:w="0" w:type="auto"/>
            <w:tcBorders>
              <w:top w:val="nil"/>
              <w:left w:val="nil"/>
              <w:bottom w:val="single" w:sz="4" w:space="0" w:color="auto"/>
              <w:right w:val="single" w:sz="4" w:space="0" w:color="auto"/>
            </w:tcBorders>
            <w:shd w:val="clear" w:color="auto" w:fill="auto"/>
            <w:hideMark/>
          </w:tcPr>
          <w:p w14:paraId="7423774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Proportion of people in the study not able to self-complete assessments therefore proxy was used</w:t>
            </w:r>
          </w:p>
        </w:tc>
        <w:tc>
          <w:tcPr>
            <w:tcW w:w="0" w:type="auto"/>
            <w:tcBorders>
              <w:top w:val="nil"/>
              <w:left w:val="nil"/>
              <w:bottom w:val="single" w:sz="4" w:space="0" w:color="auto"/>
              <w:right w:val="single" w:sz="4" w:space="0" w:color="auto"/>
            </w:tcBorders>
            <w:shd w:val="clear" w:color="auto" w:fill="auto"/>
            <w:hideMark/>
          </w:tcPr>
          <w:p w14:paraId="0FA31D9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No </w:t>
            </w:r>
          </w:p>
        </w:tc>
      </w:tr>
      <w:tr w:rsidR="00B54D51" w:rsidRPr="00037AD4" w14:paraId="7AF4A012" w14:textId="77777777" w:rsidTr="00401C67">
        <w:trPr>
          <w:trHeight w:val="360"/>
        </w:trPr>
        <w:tc>
          <w:tcPr>
            <w:tcW w:w="0" w:type="auto"/>
            <w:tcBorders>
              <w:top w:val="nil"/>
              <w:left w:val="single" w:sz="4" w:space="0" w:color="auto"/>
              <w:bottom w:val="single" w:sz="4" w:space="0" w:color="auto"/>
              <w:right w:val="single" w:sz="4" w:space="0" w:color="auto"/>
            </w:tcBorders>
            <w:shd w:val="clear" w:color="auto" w:fill="auto"/>
            <w:hideMark/>
          </w:tcPr>
          <w:p w14:paraId="287E0E0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Hurley, 2020 </w:t>
            </w:r>
          </w:p>
        </w:tc>
        <w:tc>
          <w:tcPr>
            <w:tcW w:w="0" w:type="auto"/>
            <w:tcBorders>
              <w:top w:val="nil"/>
              <w:left w:val="nil"/>
              <w:bottom w:val="single" w:sz="4" w:space="0" w:color="auto"/>
              <w:right w:val="single" w:sz="4" w:space="0" w:color="auto"/>
            </w:tcBorders>
            <w:shd w:val="clear" w:color="auto" w:fill="auto"/>
            <w:hideMark/>
          </w:tcPr>
          <w:p w14:paraId="06ED072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Ability to complete</w:t>
            </w:r>
          </w:p>
        </w:tc>
        <w:tc>
          <w:tcPr>
            <w:tcW w:w="0" w:type="auto"/>
            <w:tcBorders>
              <w:top w:val="nil"/>
              <w:left w:val="nil"/>
              <w:bottom w:val="single" w:sz="4" w:space="0" w:color="auto"/>
              <w:right w:val="single" w:sz="4" w:space="0" w:color="auto"/>
            </w:tcBorders>
            <w:shd w:val="clear" w:color="auto" w:fill="auto"/>
            <w:hideMark/>
          </w:tcPr>
          <w:p w14:paraId="4E38FAA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No for self-complete; </w:t>
            </w:r>
            <w:proofErr w:type="gramStart"/>
            <w:r w:rsidRPr="00037AD4">
              <w:rPr>
                <w:rFonts w:asciiTheme="minorHAnsi" w:hAnsiTheme="minorHAnsi" w:cstheme="minorHAnsi"/>
              </w:rPr>
              <w:t>Yes</w:t>
            </w:r>
            <w:proofErr w:type="gramEnd"/>
            <w:r w:rsidRPr="00037AD4">
              <w:rPr>
                <w:rFonts w:asciiTheme="minorHAnsi" w:hAnsiTheme="minorHAnsi" w:cstheme="minorHAnsi"/>
              </w:rPr>
              <w:t xml:space="preserve"> for proxy</w:t>
            </w:r>
          </w:p>
        </w:tc>
      </w:tr>
      <w:tr w:rsidR="00B54D51" w:rsidRPr="00037AD4" w14:paraId="589D640E" w14:textId="77777777" w:rsidTr="00401C67">
        <w:trPr>
          <w:trHeight w:val="300"/>
        </w:trPr>
        <w:tc>
          <w:tcPr>
            <w:tcW w:w="0" w:type="auto"/>
            <w:tcBorders>
              <w:top w:val="nil"/>
              <w:left w:val="single" w:sz="4" w:space="0" w:color="auto"/>
              <w:bottom w:val="single" w:sz="4" w:space="0" w:color="auto"/>
              <w:right w:val="single" w:sz="4" w:space="0" w:color="auto"/>
            </w:tcBorders>
            <w:shd w:val="clear" w:color="auto" w:fill="auto"/>
            <w:hideMark/>
          </w:tcPr>
          <w:p w14:paraId="15ADD6B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Janssen, 2018 </w:t>
            </w:r>
          </w:p>
        </w:tc>
        <w:tc>
          <w:tcPr>
            <w:tcW w:w="0" w:type="auto"/>
            <w:tcBorders>
              <w:top w:val="nil"/>
              <w:left w:val="nil"/>
              <w:bottom w:val="single" w:sz="4" w:space="0" w:color="auto"/>
              <w:right w:val="single" w:sz="4" w:space="0" w:color="auto"/>
            </w:tcBorders>
            <w:shd w:val="clear" w:color="auto" w:fill="auto"/>
            <w:hideMark/>
          </w:tcPr>
          <w:p w14:paraId="4912EDD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Missing data </w:t>
            </w:r>
          </w:p>
        </w:tc>
        <w:tc>
          <w:tcPr>
            <w:tcW w:w="0" w:type="auto"/>
            <w:tcBorders>
              <w:top w:val="nil"/>
              <w:left w:val="nil"/>
              <w:bottom w:val="single" w:sz="4" w:space="0" w:color="auto"/>
              <w:right w:val="single" w:sz="4" w:space="0" w:color="auto"/>
            </w:tcBorders>
            <w:shd w:val="clear" w:color="auto" w:fill="auto"/>
            <w:hideMark/>
          </w:tcPr>
          <w:p w14:paraId="763B364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Yes</w:t>
            </w:r>
          </w:p>
        </w:tc>
      </w:tr>
      <w:tr w:rsidR="00B54D51" w:rsidRPr="00037AD4" w14:paraId="12170893" w14:textId="77777777" w:rsidTr="00401C67">
        <w:trPr>
          <w:trHeight w:val="305"/>
        </w:trPr>
        <w:tc>
          <w:tcPr>
            <w:tcW w:w="0" w:type="auto"/>
            <w:tcBorders>
              <w:top w:val="nil"/>
              <w:left w:val="single" w:sz="4" w:space="0" w:color="auto"/>
              <w:bottom w:val="single" w:sz="4" w:space="0" w:color="auto"/>
              <w:right w:val="single" w:sz="4" w:space="0" w:color="auto"/>
            </w:tcBorders>
            <w:shd w:val="clear" w:color="auto" w:fill="auto"/>
            <w:hideMark/>
          </w:tcPr>
          <w:p w14:paraId="2914647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Martin 2019 </w:t>
            </w:r>
          </w:p>
        </w:tc>
        <w:tc>
          <w:tcPr>
            <w:tcW w:w="0" w:type="auto"/>
            <w:tcBorders>
              <w:top w:val="nil"/>
              <w:left w:val="nil"/>
              <w:bottom w:val="single" w:sz="4" w:space="0" w:color="auto"/>
              <w:right w:val="single" w:sz="4" w:space="0" w:color="auto"/>
            </w:tcBorders>
            <w:shd w:val="clear" w:color="auto" w:fill="auto"/>
            <w:hideMark/>
          </w:tcPr>
          <w:p w14:paraId="0E5E50D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Missing data </w:t>
            </w:r>
          </w:p>
          <w:p w14:paraId="534F2EE0" w14:textId="77777777" w:rsidR="00B54D51" w:rsidRPr="00037AD4" w:rsidRDefault="00B54D51" w:rsidP="00401C67">
            <w:pPr>
              <w:rPr>
                <w:rFonts w:asciiTheme="minorHAnsi" w:hAnsiTheme="minorHAnsi" w:cstheme="minorHAnsi"/>
              </w:rPr>
            </w:pPr>
          </w:p>
        </w:tc>
        <w:tc>
          <w:tcPr>
            <w:tcW w:w="0" w:type="auto"/>
            <w:tcBorders>
              <w:top w:val="nil"/>
              <w:left w:val="nil"/>
              <w:bottom w:val="single" w:sz="4" w:space="0" w:color="auto"/>
              <w:right w:val="single" w:sz="4" w:space="0" w:color="auto"/>
            </w:tcBorders>
            <w:shd w:val="clear" w:color="auto" w:fill="auto"/>
            <w:hideMark/>
          </w:tcPr>
          <w:p w14:paraId="1FC6361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No</w:t>
            </w:r>
          </w:p>
        </w:tc>
      </w:tr>
      <w:tr w:rsidR="00B54D51" w:rsidRPr="00037AD4" w14:paraId="3A0203D2" w14:textId="77777777" w:rsidTr="00401C67">
        <w:trPr>
          <w:trHeight w:val="269"/>
        </w:trPr>
        <w:tc>
          <w:tcPr>
            <w:tcW w:w="0" w:type="auto"/>
            <w:tcBorders>
              <w:top w:val="nil"/>
              <w:left w:val="single" w:sz="4" w:space="0" w:color="auto"/>
              <w:bottom w:val="single" w:sz="4" w:space="0" w:color="auto"/>
              <w:right w:val="single" w:sz="4" w:space="0" w:color="auto"/>
            </w:tcBorders>
            <w:shd w:val="clear" w:color="auto" w:fill="auto"/>
            <w:hideMark/>
          </w:tcPr>
          <w:p w14:paraId="18B0A38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Meads, 2020 </w:t>
            </w:r>
          </w:p>
        </w:tc>
        <w:tc>
          <w:tcPr>
            <w:tcW w:w="0" w:type="auto"/>
            <w:tcBorders>
              <w:top w:val="nil"/>
              <w:left w:val="nil"/>
              <w:bottom w:val="single" w:sz="4" w:space="0" w:color="auto"/>
              <w:right w:val="single" w:sz="4" w:space="0" w:color="auto"/>
            </w:tcBorders>
            <w:shd w:val="clear" w:color="auto" w:fill="auto"/>
            <w:hideMark/>
          </w:tcPr>
          <w:p w14:paraId="4B7F423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Missing data</w:t>
            </w:r>
          </w:p>
        </w:tc>
        <w:tc>
          <w:tcPr>
            <w:tcW w:w="0" w:type="auto"/>
            <w:tcBorders>
              <w:top w:val="nil"/>
              <w:left w:val="nil"/>
              <w:bottom w:val="single" w:sz="4" w:space="0" w:color="auto"/>
              <w:right w:val="single" w:sz="4" w:space="0" w:color="auto"/>
            </w:tcBorders>
            <w:shd w:val="clear" w:color="auto" w:fill="auto"/>
            <w:hideMark/>
          </w:tcPr>
          <w:p w14:paraId="6C1D458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No</w:t>
            </w:r>
          </w:p>
        </w:tc>
      </w:tr>
      <w:tr w:rsidR="00B54D51" w:rsidRPr="00037AD4" w14:paraId="699EE7B9" w14:textId="77777777" w:rsidTr="00401C67">
        <w:trPr>
          <w:trHeight w:val="500"/>
        </w:trPr>
        <w:tc>
          <w:tcPr>
            <w:tcW w:w="0" w:type="auto"/>
            <w:tcBorders>
              <w:top w:val="nil"/>
              <w:left w:val="single" w:sz="4" w:space="0" w:color="auto"/>
              <w:bottom w:val="single" w:sz="4" w:space="0" w:color="auto"/>
              <w:right w:val="single" w:sz="4" w:space="0" w:color="auto"/>
            </w:tcBorders>
            <w:shd w:val="clear" w:color="auto" w:fill="auto"/>
            <w:hideMark/>
          </w:tcPr>
          <w:p w14:paraId="7A5961C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Toh, 2020 </w:t>
            </w:r>
          </w:p>
        </w:tc>
        <w:tc>
          <w:tcPr>
            <w:tcW w:w="0" w:type="auto"/>
            <w:tcBorders>
              <w:top w:val="nil"/>
              <w:left w:val="nil"/>
              <w:bottom w:val="single" w:sz="4" w:space="0" w:color="auto"/>
              <w:right w:val="single" w:sz="4" w:space="0" w:color="auto"/>
            </w:tcBorders>
            <w:shd w:val="clear" w:color="auto" w:fill="auto"/>
            <w:hideMark/>
          </w:tcPr>
          <w:p w14:paraId="5209355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The feasibility criteria for missing data and ceiling/floor effects were ≤ 5% and ≤ 15% respectively.</w:t>
            </w:r>
          </w:p>
        </w:tc>
        <w:tc>
          <w:tcPr>
            <w:tcW w:w="0" w:type="auto"/>
            <w:tcBorders>
              <w:top w:val="nil"/>
              <w:left w:val="nil"/>
              <w:bottom w:val="single" w:sz="4" w:space="0" w:color="auto"/>
              <w:right w:val="single" w:sz="4" w:space="0" w:color="auto"/>
            </w:tcBorders>
            <w:shd w:val="clear" w:color="auto" w:fill="auto"/>
            <w:hideMark/>
          </w:tcPr>
          <w:p w14:paraId="464FEB8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Yes</w:t>
            </w:r>
          </w:p>
          <w:p w14:paraId="030A5D61" w14:textId="77777777" w:rsidR="00B54D51" w:rsidRPr="00037AD4" w:rsidRDefault="00B54D51" w:rsidP="00401C67">
            <w:pPr>
              <w:rPr>
                <w:rFonts w:asciiTheme="minorHAnsi" w:hAnsiTheme="minorHAnsi" w:cstheme="minorHAnsi"/>
              </w:rPr>
            </w:pPr>
          </w:p>
          <w:p w14:paraId="3FACF77A" w14:textId="77777777" w:rsidR="00B54D51" w:rsidRPr="00037AD4" w:rsidRDefault="00B54D51" w:rsidP="00401C67">
            <w:pPr>
              <w:rPr>
                <w:rFonts w:asciiTheme="minorHAnsi" w:hAnsiTheme="minorHAnsi" w:cstheme="minorHAnsi"/>
              </w:rPr>
            </w:pPr>
          </w:p>
        </w:tc>
      </w:tr>
    </w:tbl>
    <w:p w14:paraId="102CA456" w14:textId="77777777" w:rsidR="00B54D51" w:rsidRPr="00037AD4" w:rsidRDefault="00B54D51" w:rsidP="001D7ACE">
      <w:pPr>
        <w:rPr>
          <w:rFonts w:asciiTheme="minorHAnsi" w:hAnsiTheme="minorHAnsi" w:cstheme="minorHAnsi"/>
        </w:rPr>
        <w:sectPr w:rsidR="00B54D51" w:rsidRPr="00037AD4" w:rsidSect="0051675A">
          <w:pgSz w:w="16838" w:h="11906" w:orient="landscape"/>
          <w:pgMar w:top="1440" w:right="1440" w:bottom="1440" w:left="1440" w:header="708" w:footer="708" w:gutter="0"/>
          <w:cols w:space="708"/>
          <w:docGrid w:linePitch="360"/>
        </w:sectPr>
      </w:pPr>
    </w:p>
    <w:p w14:paraId="1BA941F3" w14:textId="77777777" w:rsidR="00B54D51" w:rsidRPr="00037AD4" w:rsidRDefault="00B54D51" w:rsidP="007A43F9">
      <w:pPr>
        <w:pStyle w:val="Heading2"/>
      </w:pPr>
      <w:bookmarkStart w:id="445" w:name="A27"/>
      <w:bookmarkStart w:id="446" w:name="_Toc175742388"/>
      <w:r w:rsidRPr="00037AD4">
        <w:lastRenderedPageBreak/>
        <w:t>Appendix 2.7 Reference list of papers included in psychometric properties of EQ-5D-5L systematic review</w:t>
      </w:r>
      <w:bookmarkEnd w:id="446"/>
      <w:r w:rsidRPr="00037AD4">
        <w:t xml:space="preserve"> </w:t>
      </w:r>
    </w:p>
    <w:bookmarkEnd w:id="445"/>
    <w:p w14:paraId="4753BE6D" w14:textId="77777777" w:rsidR="00B54D51" w:rsidRPr="00037AD4" w:rsidRDefault="00B54D51" w:rsidP="001D7ACE">
      <w:pPr>
        <w:rPr>
          <w:rFonts w:asciiTheme="minorHAnsi" w:hAnsiTheme="minorHAnsi" w:cstheme="minorHAnsi"/>
          <w:sz w:val="22"/>
          <w:szCs w:val="22"/>
        </w:rPr>
      </w:pPr>
    </w:p>
    <w:p w14:paraId="72BD2972" w14:textId="77777777" w:rsidR="00B54D51" w:rsidRPr="00037AD4" w:rsidRDefault="00B54D51" w:rsidP="001D7ACE">
      <w:pPr>
        <w:ind w:left="360"/>
        <w:rPr>
          <w:rFonts w:asciiTheme="minorHAnsi" w:hAnsiTheme="minorHAnsi" w:cstheme="minorHAnsi"/>
          <w:sz w:val="22"/>
          <w:szCs w:val="22"/>
          <w:u w:val="single"/>
        </w:rPr>
      </w:pPr>
      <w:r w:rsidRPr="00037AD4">
        <w:rPr>
          <w:rFonts w:asciiTheme="minorHAnsi" w:hAnsiTheme="minorHAnsi" w:cstheme="minorHAnsi"/>
          <w:sz w:val="22"/>
          <w:szCs w:val="22"/>
          <w:shd w:val="clear" w:color="auto" w:fill="FFFFFF"/>
        </w:rPr>
        <w:t>Easton, T., Milte, R., Crotty, M. and Ratcliffe, J., 2018. An empirical comparison of the measurement properties of the EQ-5D-5L, DEMQOL-U and DEMQOL-Proxy-U for older people in residential care.</w:t>
      </w:r>
      <w:r w:rsidRPr="00037AD4">
        <w:rPr>
          <w:rStyle w:val="apple-converted-space"/>
          <w:rFonts w:asciiTheme="minorHAnsi" w:eastAsiaTheme="majorEastAsia" w:hAnsiTheme="minorHAnsi" w:cstheme="minorHAnsi"/>
          <w:sz w:val="22"/>
          <w:szCs w:val="22"/>
          <w:shd w:val="clear" w:color="auto" w:fill="FFFFFF"/>
        </w:rPr>
        <w:t> </w:t>
      </w:r>
      <w:r w:rsidRPr="00037AD4">
        <w:rPr>
          <w:rFonts w:asciiTheme="minorHAnsi" w:hAnsiTheme="minorHAnsi" w:cstheme="minorHAnsi"/>
          <w:i/>
          <w:iCs/>
          <w:sz w:val="22"/>
          <w:szCs w:val="22"/>
        </w:rPr>
        <w:t>Quality of Life Research</w:t>
      </w:r>
      <w:r w:rsidRPr="00037AD4">
        <w:rPr>
          <w:rFonts w:asciiTheme="minorHAnsi" w:hAnsiTheme="minorHAnsi" w:cstheme="minorHAnsi"/>
          <w:sz w:val="22"/>
          <w:szCs w:val="22"/>
          <w:shd w:val="clear" w:color="auto" w:fill="FFFFFF"/>
        </w:rPr>
        <w:t>,</w:t>
      </w:r>
      <w:r w:rsidRPr="00037AD4">
        <w:rPr>
          <w:rStyle w:val="apple-converted-space"/>
          <w:rFonts w:asciiTheme="minorHAnsi" w:eastAsiaTheme="majorEastAsia" w:hAnsiTheme="minorHAnsi" w:cstheme="minorHAnsi"/>
          <w:sz w:val="22"/>
          <w:szCs w:val="22"/>
          <w:shd w:val="clear" w:color="auto" w:fill="FFFFFF"/>
        </w:rPr>
        <w:t> </w:t>
      </w:r>
      <w:r w:rsidRPr="00037AD4">
        <w:rPr>
          <w:rFonts w:asciiTheme="minorHAnsi" w:hAnsiTheme="minorHAnsi" w:cstheme="minorHAnsi"/>
          <w:i/>
          <w:iCs/>
          <w:sz w:val="22"/>
          <w:szCs w:val="22"/>
        </w:rPr>
        <w:t>27</w:t>
      </w:r>
      <w:r w:rsidRPr="00037AD4">
        <w:rPr>
          <w:rFonts w:asciiTheme="minorHAnsi" w:hAnsiTheme="minorHAnsi" w:cstheme="minorHAnsi"/>
          <w:sz w:val="22"/>
          <w:szCs w:val="22"/>
          <w:shd w:val="clear" w:color="auto" w:fill="FFFFFF"/>
        </w:rPr>
        <w:t>, pp.1283-1294.</w:t>
      </w:r>
    </w:p>
    <w:p w14:paraId="5DEBF00D" w14:textId="77777777" w:rsidR="00B54D51" w:rsidRPr="00037AD4" w:rsidRDefault="00B54D51" w:rsidP="001D7ACE">
      <w:pPr>
        <w:pStyle w:val="ListParagraph"/>
        <w:rPr>
          <w:rFonts w:cstheme="minorHAnsi"/>
          <w:sz w:val="22"/>
          <w:szCs w:val="22"/>
          <w:u w:val="single"/>
        </w:rPr>
      </w:pPr>
    </w:p>
    <w:p w14:paraId="3F650375" w14:textId="77777777" w:rsidR="00B54D51" w:rsidRPr="00037AD4" w:rsidRDefault="00B54D51" w:rsidP="001D7ACE">
      <w:pPr>
        <w:ind w:left="360"/>
        <w:rPr>
          <w:rFonts w:asciiTheme="minorHAnsi" w:hAnsiTheme="minorHAnsi" w:cstheme="minorHAnsi"/>
          <w:sz w:val="22"/>
          <w:szCs w:val="22"/>
          <w:u w:val="single"/>
        </w:rPr>
      </w:pPr>
      <w:r w:rsidRPr="00037AD4">
        <w:rPr>
          <w:rFonts w:asciiTheme="minorHAnsi" w:hAnsiTheme="minorHAnsi" w:cstheme="minorHAnsi"/>
          <w:sz w:val="22"/>
          <w:szCs w:val="22"/>
          <w:shd w:val="clear" w:color="auto" w:fill="FFFFFF"/>
        </w:rPr>
        <w:t>Engel, L., Bucholc, J., Mihalopoulos, C., Mulhern, B., Ratcliffe, J., Yates, M. and Hanna, L., 2020. A qualitative exploration of the content and face validity of preference-based measures within the context of dementia.</w:t>
      </w:r>
      <w:r w:rsidRPr="00037AD4">
        <w:rPr>
          <w:rStyle w:val="apple-converted-space"/>
          <w:rFonts w:asciiTheme="minorHAnsi" w:eastAsiaTheme="majorEastAsia" w:hAnsiTheme="minorHAnsi" w:cstheme="minorHAnsi"/>
          <w:sz w:val="22"/>
          <w:szCs w:val="22"/>
          <w:shd w:val="clear" w:color="auto" w:fill="FFFFFF"/>
        </w:rPr>
        <w:t> </w:t>
      </w:r>
      <w:r w:rsidRPr="00037AD4">
        <w:rPr>
          <w:rFonts w:asciiTheme="minorHAnsi" w:hAnsiTheme="minorHAnsi" w:cstheme="minorHAnsi"/>
          <w:i/>
          <w:iCs/>
          <w:sz w:val="22"/>
          <w:szCs w:val="22"/>
        </w:rPr>
        <w:t>Health and Quality of Life Outcomes</w:t>
      </w:r>
      <w:r w:rsidRPr="00037AD4">
        <w:rPr>
          <w:rFonts w:asciiTheme="minorHAnsi" w:hAnsiTheme="minorHAnsi" w:cstheme="minorHAnsi"/>
          <w:sz w:val="22"/>
          <w:szCs w:val="22"/>
          <w:shd w:val="clear" w:color="auto" w:fill="FFFFFF"/>
        </w:rPr>
        <w:t>,</w:t>
      </w:r>
      <w:r w:rsidRPr="00037AD4">
        <w:rPr>
          <w:rStyle w:val="apple-converted-space"/>
          <w:rFonts w:asciiTheme="minorHAnsi" w:eastAsiaTheme="majorEastAsia" w:hAnsiTheme="minorHAnsi" w:cstheme="minorHAnsi"/>
          <w:sz w:val="22"/>
          <w:szCs w:val="22"/>
          <w:shd w:val="clear" w:color="auto" w:fill="FFFFFF"/>
        </w:rPr>
        <w:t> </w:t>
      </w:r>
      <w:r w:rsidRPr="00037AD4">
        <w:rPr>
          <w:rFonts w:asciiTheme="minorHAnsi" w:hAnsiTheme="minorHAnsi" w:cstheme="minorHAnsi"/>
          <w:i/>
          <w:iCs/>
          <w:sz w:val="22"/>
          <w:szCs w:val="22"/>
        </w:rPr>
        <w:t>18</w:t>
      </w:r>
      <w:r w:rsidRPr="00037AD4">
        <w:rPr>
          <w:rFonts w:asciiTheme="minorHAnsi" w:hAnsiTheme="minorHAnsi" w:cstheme="minorHAnsi"/>
          <w:sz w:val="22"/>
          <w:szCs w:val="22"/>
          <w:shd w:val="clear" w:color="auto" w:fill="FFFFFF"/>
        </w:rPr>
        <w:t>(1), pp.1-19.</w:t>
      </w:r>
    </w:p>
    <w:p w14:paraId="21426617" w14:textId="77777777" w:rsidR="00B54D51" w:rsidRPr="00037AD4" w:rsidRDefault="00B54D51" w:rsidP="001D7ACE">
      <w:pPr>
        <w:pStyle w:val="ListParagraph"/>
        <w:rPr>
          <w:rFonts w:cstheme="minorHAnsi"/>
          <w:sz w:val="22"/>
          <w:szCs w:val="22"/>
          <w:u w:val="single"/>
        </w:rPr>
      </w:pPr>
    </w:p>
    <w:p w14:paraId="0B5337E2" w14:textId="77777777" w:rsidR="00B54D51" w:rsidRPr="00037AD4" w:rsidRDefault="00B54D51" w:rsidP="001D7ACE">
      <w:pPr>
        <w:ind w:left="360"/>
        <w:rPr>
          <w:rFonts w:asciiTheme="minorHAnsi" w:hAnsiTheme="minorHAnsi" w:cstheme="minorHAnsi"/>
          <w:sz w:val="22"/>
          <w:szCs w:val="22"/>
          <w:u w:val="single"/>
        </w:rPr>
      </w:pPr>
      <w:r w:rsidRPr="00037AD4">
        <w:rPr>
          <w:rFonts w:asciiTheme="minorHAnsi" w:hAnsiTheme="minorHAnsi" w:cstheme="minorHAnsi"/>
          <w:sz w:val="22"/>
          <w:szCs w:val="22"/>
          <w:shd w:val="clear" w:color="auto" w:fill="FFFFFF"/>
        </w:rPr>
        <w:t>Griffiths, A.W., Smith, S.J., Martin, A., Meads, D., Kelley, R. and Surr, C.A., 2020. Exploring self-report and proxy-report quality-of-life measures for people living with dementia in care homes.</w:t>
      </w:r>
      <w:r w:rsidRPr="00037AD4">
        <w:rPr>
          <w:rStyle w:val="apple-converted-space"/>
          <w:rFonts w:asciiTheme="minorHAnsi" w:eastAsiaTheme="majorEastAsia" w:hAnsiTheme="minorHAnsi" w:cstheme="minorHAnsi"/>
          <w:sz w:val="22"/>
          <w:szCs w:val="22"/>
          <w:shd w:val="clear" w:color="auto" w:fill="FFFFFF"/>
        </w:rPr>
        <w:t> </w:t>
      </w:r>
      <w:r w:rsidRPr="00037AD4">
        <w:rPr>
          <w:rFonts w:asciiTheme="minorHAnsi" w:hAnsiTheme="minorHAnsi" w:cstheme="minorHAnsi"/>
          <w:i/>
          <w:iCs/>
          <w:sz w:val="22"/>
          <w:szCs w:val="22"/>
        </w:rPr>
        <w:t>Quality of Life Research</w:t>
      </w:r>
      <w:r w:rsidRPr="00037AD4">
        <w:rPr>
          <w:rFonts w:asciiTheme="minorHAnsi" w:hAnsiTheme="minorHAnsi" w:cstheme="minorHAnsi"/>
          <w:sz w:val="22"/>
          <w:szCs w:val="22"/>
          <w:shd w:val="clear" w:color="auto" w:fill="FFFFFF"/>
        </w:rPr>
        <w:t>,</w:t>
      </w:r>
      <w:r w:rsidRPr="00037AD4">
        <w:rPr>
          <w:rStyle w:val="apple-converted-space"/>
          <w:rFonts w:asciiTheme="minorHAnsi" w:eastAsiaTheme="majorEastAsia" w:hAnsiTheme="minorHAnsi" w:cstheme="minorHAnsi"/>
          <w:sz w:val="22"/>
          <w:szCs w:val="22"/>
          <w:shd w:val="clear" w:color="auto" w:fill="FFFFFF"/>
        </w:rPr>
        <w:t> </w:t>
      </w:r>
      <w:r w:rsidRPr="00037AD4">
        <w:rPr>
          <w:rFonts w:asciiTheme="minorHAnsi" w:hAnsiTheme="minorHAnsi" w:cstheme="minorHAnsi"/>
          <w:i/>
          <w:iCs/>
          <w:sz w:val="22"/>
          <w:szCs w:val="22"/>
        </w:rPr>
        <w:t>29</w:t>
      </w:r>
      <w:r w:rsidRPr="00037AD4">
        <w:rPr>
          <w:rFonts w:asciiTheme="minorHAnsi" w:hAnsiTheme="minorHAnsi" w:cstheme="minorHAnsi"/>
          <w:sz w:val="22"/>
          <w:szCs w:val="22"/>
          <w:shd w:val="clear" w:color="auto" w:fill="FFFFFF"/>
        </w:rPr>
        <w:t>, pp.463-472.</w:t>
      </w:r>
    </w:p>
    <w:p w14:paraId="12937D12" w14:textId="77777777" w:rsidR="00B54D51" w:rsidRPr="00037AD4" w:rsidRDefault="00B54D51" w:rsidP="001D7ACE">
      <w:pPr>
        <w:rPr>
          <w:rFonts w:asciiTheme="minorHAnsi" w:hAnsiTheme="minorHAnsi" w:cstheme="minorHAnsi"/>
          <w:sz w:val="22"/>
          <w:szCs w:val="22"/>
          <w:u w:val="single"/>
        </w:rPr>
      </w:pPr>
    </w:p>
    <w:p w14:paraId="3F31D635" w14:textId="77777777" w:rsidR="00B54D51" w:rsidRPr="00037AD4" w:rsidRDefault="00B54D51" w:rsidP="001D7ACE">
      <w:pPr>
        <w:ind w:left="360"/>
        <w:rPr>
          <w:rFonts w:asciiTheme="minorHAnsi" w:hAnsiTheme="minorHAnsi" w:cstheme="minorHAnsi"/>
          <w:sz w:val="22"/>
          <w:szCs w:val="22"/>
          <w:u w:val="single"/>
        </w:rPr>
      </w:pPr>
      <w:r w:rsidRPr="00037AD4">
        <w:rPr>
          <w:rFonts w:asciiTheme="minorHAnsi" w:hAnsiTheme="minorHAnsi" w:cstheme="minorHAnsi"/>
          <w:sz w:val="22"/>
          <w:szCs w:val="22"/>
          <w:shd w:val="clear" w:color="auto" w:fill="FFFFFF"/>
        </w:rPr>
        <w:t>Handels, R.L., Sköldunger, A., Bieber, A., Edwards, R.T., Gonçalves-Pereira, M., Hopper, L., Irving, K., Jelley, H., Kerpershoek, L., Marques, M.J. and Meyer, G., 2018. Quality of life, care resource use, and costs of dementia in 8 European countries in a cross-sectional cohort of the actifcare study.</w:t>
      </w:r>
      <w:r w:rsidRPr="00037AD4">
        <w:rPr>
          <w:rStyle w:val="apple-converted-space"/>
          <w:rFonts w:asciiTheme="minorHAnsi" w:eastAsiaTheme="majorEastAsia" w:hAnsiTheme="minorHAnsi" w:cstheme="minorHAnsi"/>
          <w:sz w:val="22"/>
          <w:szCs w:val="22"/>
          <w:shd w:val="clear" w:color="auto" w:fill="FFFFFF"/>
        </w:rPr>
        <w:t> </w:t>
      </w:r>
      <w:r w:rsidRPr="00037AD4">
        <w:rPr>
          <w:rFonts w:asciiTheme="minorHAnsi" w:hAnsiTheme="minorHAnsi" w:cstheme="minorHAnsi"/>
          <w:i/>
          <w:iCs/>
          <w:sz w:val="22"/>
          <w:szCs w:val="22"/>
        </w:rPr>
        <w:t>Journal of Alzheimer's Disease</w:t>
      </w:r>
      <w:r w:rsidRPr="00037AD4">
        <w:rPr>
          <w:rFonts w:asciiTheme="minorHAnsi" w:hAnsiTheme="minorHAnsi" w:cstheme="minorHAnsi"/>
          <w:sz w:val="22"/>
          <w:szCs w:val="22"/>
          <w:shd w:val="clear" w:color="auto" w:fill="FFFFFF"/>
        </w:rPr>
        <w:t>,</w:t>
      </w:r>
      <w:r w:rsidRPr="00037AD4">
        <w:rPr>
          <w:rStyle w:val="apple-converted-space"/>
          <w:rFonts w:asciiTheme="minorHAnsi" w:eastAsiaTheme="majorEastAsia" w:hAnsiTheme="minorHAnsi" w:cstheme="minorHAnsi"/>
          <w:sz w:val="22"/>
          <w:szCs w:val="22"/>
          <w:shd w:val="clear" w:color="auto" w:fill="FFFFFF"/>
        </w:rPr>
        <w:t> </w:t>
      </w:r>
      <w:r w:rsidRPr="00037AD4">
        <w:rPr>
          <w:rFonts w:asciiTheme="minorHAnsi" w:hAnsiTheme="minorHAnsi" w:cstheme="minorHAnsi"/>
          <w:i/>
          <w:iCs/>
          <w:sz w:val="22"/>
          <w:szCs w:val="22"/>
        </w:rPr>
        <w:t>66</w:t>
      </w:r>
      <w:r w:rsidRPr="00037AD4">
        <w:rPr>
          <w:rFonts w:asciiTheme="minorHAnsi" w:hAnsiTheme="minorHAnsi" w:cstheme="minorHAnsi"/>
          <w:sz w:val="22"/>
          <w:szCs w:val="22"/>
          <w:shd w:val="clear" w:color="auto" w:fill="FFFFFF"/>
        </w:rPr>
        <w:t>(3), pp.1027-1040.</w:t>
      </w:r>
    </w:p>
    <w:p w14:paraId="75F391B5" w14:textId="77777777" w:rsidR="00B54D51" w:rsidRPr="00037AD4" w:rsidRDefault="00B54D51" w:rsidP="001D7ACE">
      <w:pPr>
        <w:rPr>
          <w:rFonts w:asciiTheme="minorHAnsi" w:hAnsiTheme="minorHAnsi" w:cstheme="minorHAnsi"/>
          <w:sz w:val="22"/>
          <w:szCs w:val="22"/>
          <w:u w:val="single"/>
        </w:rPr>
      </w:pPr>
    </w:p>
    <w:p w14:paraId="1C29C085" w14:textId="77777777" w:rsidR="00B54D51" w:rsidRPr="00037AD4" w:rsidRDefault="00B54D51" w:rsidP="001D7ACE">
      <w:pPr>
        <w:ind w:left="360"/>
        <w:rPr>
          <w:rFonts w:asciiTheme="minorHAnsi" w:hAnsiTheme="minorHAnsi" w:cstheme="minorHAnsi"/>
          <w:sz w:val="22"/>
          <w:szCs w:val="22"/>
          <w:u w:val="single"/>
        </w:rPr>
      </w:pPr>
      <w:r w:rsidRPr="00037AD4">
        <w:rPr>
          <w:rFonts w:asciiTheme="minorHAnsi" w:hAnsiTheme="minorHAnsi" w:cstheme="minorHAnsi"/>
          <w:sz w:val="22"/>
          <w:szCs w:val="22"/>
          <w:shd w:val="clear" w:color="auto" w:fill="FFFFFF"/>
        </w:rPr>
        <w:t>Harrison, S.L., Kouladjian O’Donnell, L., Bradley, C.E., Milte, R., Dyer, S.M., Gnanamanickam, E.S., Liu, E., Hilmer, S.N. and Crotty, M., 2018. Associations between the drug burden index, potentially inappropriate medications and quality of life in residential aged care.</w:t>
      </w:r>
      <w:r w:rsidRPr="00037AD4">
        <w:rPr>
          <w:rStyle w:val="apple-converted-space"/>
          <w:rFonts w:asciiTheme="minorHAnsi" w:eastAsiaTheme="majorEastAsia" w:hAnsiTheme="minorHAnsi" w:cstheme="minorHAnsi"/>
          <w:sz w:val="22"/>
          <w:szCs w:val="22"/>
          <w:shd w:val="clear" w:color="auto" w:fill="FFFFFF"/>
        </w:rPr>
        <w:t> </w:t>
      </w:r>
      <w:r w:rsidRPr="00037AD4">
        <w:rPr>
          <w:rFonts w:asciiTheme="minorHAnsi" w:hAnsiTheme="minorHAnsi" w:cstheme="minorHAnsi"/>
          <w:i/>
          <w:iCs/>
          <w:sz w:val="22"/>
          <w:szCs w:val="22"/>
        </w:rPr>
        <w:t>Drugs &amp; aging</w:t>
      </w:r>
      <w:r w:rsidRPr="00037AD4">
        <w:rPr>
          <w:rFonts w:asciiTheme="minorHAnsi" w:hAnsiTheme="minorHAnsi" w:cstheme="minorHAnsi"/>
          <w:sz w:val="22"/>
          <w:szCs w:val="22"/>
          <w:shd w:val="clear" w:color="auto" w:fill="FFFFFF"/>
        </w:rPr>
        <w:t>,</w:t>
      </w:r>
      <w:r w:rsidRPr="00037AD4">
        <w:rPr>
          <w:rStyle w:val="apple-converted-space"/>
          <w:rFonts w:asciiTheme="minorHAnsi" w:eastAsiaTheme="majorEastAsia" w:hAnsiTheme="minorHAnsi" w:cstheme="minorHAnsi"/>
          <w:sz w:val="22"/>
          <w:szCs w:val="22"/>
          <w:shd w:val="clear" w:color="auto" w:fill="FFFFFF"/>
        </w:rPr>
        <w:t> </w:t>
      </w:r>
      <w:r w:rsidRPr="00037AD4">
        <w:rPr>
          <w:rFonts w:asciiTheme="minorHAnsi" w:hAnsiTheme="minorHAnsi" w:cstheme="minorHAnsi"/>
          <w:i/>
          <w:iCs/>
          <w:sz w:val="22"/>
          <w:szCs w:val="22"/>
        </w:rPr>
        <w:t>35</w:t>
      </w:r>
      <w:r w:rsidRPr="00037AD4">
        <w:rPr>
          <w:rFonts w:asciiTheme="minorHAnsi" w:hAnsiTheme="minorHAnsi" w:cstheme="minorHAnsi"/>
          <w:sz w:val="22"/>
          <w:szCs w:val="22"/>
          <w:shd w:val="clear" w:color="auto" w:fill="FFFFFF"/>
        </w:rPr>
        <w:t>, pp.83-91.</w:t>
      </w:r>
    </w:p>
    <w:p w14:paraId="08CB7A39" w14:textId="77777777" w:rsidR="00B54D51" w:rsidRPr="00037AD4" w:rsidRDefault="00B54D51" w:rsidP="001D7ACE">
      <w:pPr>
        <w:rPr>
          <w:rFonts w:asciiTheme="minorHAnsi" w:hAnsiTheme="minorHAnsi" w:cstheme="minorHAnsi"/>
          <w:sz w:val="22"/>
          <w:szCs w:val="22"/>
          <w:u w:val="single"/>
        </w:rPr>
      </w:pPr>
    </w:p>
    <w:p w14:paraId="011C9043" w14:textId="77777777" w:rsidR="00B54D51" w:rsidRPr="00037AD4" w:rsidRDefault="00B54D51" w:rsidP="001D7ACE">
      <w:pPr>
        <w:ind w:left="360"/>
        <w:rPr>
          <w:rFonts w:asciiTheme="minorHAnsi" w:hAnsiTheme="minorHAnsi" w:cstheme="minorHAnsi"/>
          <w:sz w:val="22"/>
          <w:szCs w:val="22"/>
          <w:u w:val="single"/>
        </w:rPr>
      </w:pPr>
      <w:r w:rsidRPr="00037AD4">
        <w:rPr>
          <w:rFonts w:asciiTheme="minorHAnsi" w:hAnsiTheme="minorHAnsi" w:cstheme="minorHAnsi"/>
          <w:sz w:val="22"/>
          <w:szCs w:val="22"/>
          <w:shd w:val="clear" w:color="auto" w:fill="FFFFFF"/>
        </w:rPr>
        <w:t>Hurley, M.V., Wood, J., Smith, R., Grant, R., Jordan, J., Gage, H., Anderson, L.W., Kennedy, B. and Jones, F., 2020. The feasibility of increasing physical activity in care home residents: Active Residents in Care Homes (ARCH) programme.</w:t>
      </w:r>
      <w:r w:rsidRPr="00037AD4">
        <w:rPr>
          <w:rStyle w:val="apple-converted-space"/>
          <w:rFonts w:asciiTheme="minorHAnsi" w:eastAsiaTheme="majorEastAsia" w:hAnsiTheme="minorHAnsi" w:cstheme="minorHAnsi"/>
          <w:sz w:val="22"/>
          <w:szCs w:val="22"/>
          <w:shd w:val="clear" w:color="auto" w:fill="FFFFFF"/>
        </w:rPr>
        <w:t> </w:t>
      </w:r>
      <w:r w:rsidRPr="00037AD4">
        <w:rPr>
          <w:rFonts w:asciiTheme="minorHAnsi" w:hAnsiTheme="minorHAnsi" w:cstheme="minorHAnsi"/>
          <w:i/>
          <w:iCs/>
          <w:sz w:val="22"/>
          <w:szCs w:val="22"/>
        </w:rPr>
        <w:t>Physiotherapy</w:t>
      </w:r>
      <w:r w:rsidRPr="00037AD4">
        <w:rPr>
          <w:rFonts w:asciiTheme="minorHAnsi" w:hAnsiTheme="minorHAnsi" w:cstheme="minorHAnsi"/>
          <w:sz w:val="22"/>
          <w:szCs w:val="22"/>
          <w:shd w:val="clear" w:color="auto" w:fill="FFFFFF"/>
        </w:rPr>
        <w:t>,</w:t>
      </w:r>
      <w:r w:rsidRPr="00037AD4">
        <w:rPr>
          <w:rStyle w:val="apple-converted-space"/>
          <w:rFonts w:asciiTheme="minorHAnsi" w:eastAsiaTheme="majorEastAsia" w:hAnsiTheme="minorHAnsi" w:cstheme="minorHAnsi"/>
          <w:sz w:val="22"/>
          <w:szCs w:val="22"/>
          <w:shd w:val="clear" w:color="auto" w:fill="FFFFFF"/>
        </w:rPr>
        <w:t> </w:t>
      </w:r>
      <w:r w:rsidRPr="00037AD4">
        <w:rPr>
          <w:rFonts w:asciiTheme="minorHAnsi" w:hAnsiTheme="minorHAnsi" w:cstheme="minorHAnsi"/>
          <w:i/>
          <w:iCs/>
          <w:sz w:val="22"/>
          <w:szCs w:val="22"/>
        </w:rPr>
        <w:t>107</w:t>
      </w:r>
      <w:r w:rsidRPr="00037AD4">
        <w:rPr>
          <w:rFonts w:asciiTheme="minorHAnsi" w:hAnsiTheme="minorHAnsi" w:cstheme="minorHAnsi"/>
          <w:sz w:val="22"/>
          <w:szCs w:val="22"/>
          <w:shd w:val="clear" w:color="auto" w:fill="FFFFFF"/>
        </w:rPr>
        <w:t>, pp.50-57.</w:t>
      </w:r>
    </w:p>
    <w:p w14:paraId="3FD70C9E" w14:textId="77777777" w:rsidR="00B54D51" w:rsidRPr="00037AD4" w:rsidRDefault="00B54D51" w:rsidP="001D7ACE">
      <w:pPr>
        <w:rPr>
          <w:rFonts w:asciiTheme="minorHAnsi" w:hAnsiTheme="minorHAnsi" w:cstheme="minorHAnsi"/>
          <w:sz w:val="22"/>
          <w:szCs w:val="22"/>
          <w:u w:val="single"/>
        </w:rPr>
      </w:pPr>
    </w:p>
    <w:p w14:paraId="380BDEAB" w14:textId="77777777" w:rsidR="00B54D51" w:rsidRPr="00037AD4" w:rsidRDefault="00B54D51" w:rsidP="001D7ACE">
      <w:pPr>
        <w:ind w:left="360"/>
        <w:rPr>
          <w:rFonts w:asciiTheme="minorHAnsi" w:hAnsiTheme="minorHAnsi" w:cstheme="minorHAnsi"/>
          <w:sz w:val="22"/>
          <w:szCs w:val="22"/>
          <w:u w:val="single"/>
        </w:rPr>
      </w:pPr>
      <w:r w:rsidRPr="00037AD4">
        <w:rPr>
          <w:rFonts w:asciiTheme="minorHAnsi" w:hAnsiTheme="minorHAnsi" w:cstheme="minorHAnsi"/>
          <w:sz w:val="22"/>
          <w:szCs w:val="22"/>
          <w:shd w:val="clear" w:color="auto" w:fill="FFFFFF"/>
        </w:rPr>
        <w:t>Janssen, N., Handels, R.L., Sköldunger, A., Woods, B., Jelley, H., Edwards, R.T., Orrell, M., Selbæk, G., Røsvik, J., Goncalves-Pereira, M. and Marques, M.J., 2018. Impact of untimely access to formal care on costs and quality of life in community dwelling people with dementia.</w:t>
      </w:r>
      <w:r w:rsidRPr="00037AD4">
        <w:rPr>
          <w:rStyle w:val="apple-converted-space"/>
          <w:rFonts w:asciiTheme="minorHAnsi" w:eastAsiaTheme="majorEastAsia" w:hAnsiTheme="minorHAnsi" w:cstheme="minorHAnsi"/>
          <w:sz w:val="22"/>
          <w:szCs w:val="22"/>
          <w:shd w:val="clear" w:color="auto" w:fill="FFFFFF"/>
        </w:rPr>
        <w:t> </w:t>
      </w:r>
      <w:r w:rsidRPr="00037AD4">
        <w:rPr>
          <w:rFonts w:asciiTheme="minorHAnsi" w:hAnsiTheme="minorHAnsi" w:cstheme="minorHAnsi"/>
          <w:i/>
          <w:iCs/>
          <w:sz w:val="22"/>
          <w:szCs w:val="22"/>
        </w:rPr>
        <w:t>Journal of Alzheimer's Disease</w:t>
      </w:r>
      <w:r w:rsidRPr="00037AD4">
        <w:rPr>
          <w:rFonts w:asciiTheme="minorHAnsi" w:hAnsiTheme="minorHAnsi" w:cstheme="minorHAnsi"/>
          <w:sz w:val="22"/>
          <w:szCs w:val="22"/>
          <w:shd w:val="clear" w:color="auto" w:fill="FFFFFF"/>
        </w:rPr>
        <w:t>,</w:t>
      </w:r>
      <w:r w:rsidRPr="00037AD4">
        <w:rPr>
          <w:rStyle w:val="apple-converted-space"/>
          <w:rFonts w:asciiTheme="minorHAnsi" w:eastAsiaTheme="majorEastAsia" w:hAnsiTheme="minorHAnsi" w:cstheme="minorHAnsi"/>
          <w:sz w:val="22"/>
          <w:szCs w:val="22"/>
          <w:shd w:val="clear" w:color="auto" w:fill="FFFFFF"/>
        </w:rPr>
        <w:t> </w:t>
      </w:r>
      <w:r w:rsidRPr="00037AD4">
        <w:rPr>
          <w:rFonts w:asciiTheme="minorHAnsi" w:hAnsiTheme="minorHAnsi" w:cstheme="minorHAnsi"/>
          <w:i/>
          <w:iCs/>
          <w:sz w:val="22"/>
          <w:szCs w:val="22"/>
        </w:rPr>
        <w:t>66</w:t>
      </w:r>
      <w:r w:rsidRPr="00037AD4">
        <w:rPr>
          <w:rFonts w:asciiTheme="minorHAnsi" w:hAnsiTheme="minorHAnsi" w:cstheme="minorHAnsi"/>
          <w:sz w:val="22"/>
          <w:szCs w:val="22"/>
          <w:shd w:val="clear" w:color="auto" w:fill="FFFFFF"/>
        </w:rPr>
        <w:t>(3), pp.1165-1174.</w:t>
      </w:r>
    </w:p>
    <w:p w14:paraId="3A6A2030" w14:textId="77777777" w:rsidR="00B54D51" w:rsidRPr="00037AD4" w:rsidRDefault="00B54D51" w:rsidP="001D7ACE">
      <w:pPr>
        <w:rPr>
          <w:rFonts w:asciiTheme="minorHAnsi" w:hAnsiTheme="minorHAnsi" w:cstheme="minorHAnsi"/>
          <w:sz w:val="22"/>
          <w:szCs w:val="22"/>
          <w:u w:val="single"/>
        </w:rPr>
      </w:pPr>
    </w:p>
    <w:p w14:paraId="146191A7" w14:textId="77777777" w:rsidR="00B54D51" w:rsidRPr="00037AD4" w:rsidRDefault="00B54D51" w:rsidP="001D7ACE">
      <w:pPr>
        <w:ind w:left="360"/>
        <w:rPr>
          <w:rFonts w:asciiTheme="minorHAnsi" w:hAnsiTheme="minorHAnsi" w:cstheme="minorHAnsi"/>
          <w:sz w:val="22"/>
          <w:szCs w:val="22"/>
          <w:u w:val="single"/>
        </w:rPr>
      </w:pPr>
      <w:r w:rsidRPr="00037AD4">
        <w:rPr>
          <w:rFonts w:asciiTheme="minorHAnsi" w:hAnsiTheme="minorHAnsi" w:cstheme="minorHAnsi"/>
          <w:sz w:val="22"/>
          <w:szCs w:val="22"/>
          <w:shd w:val="clear" w:color="auto" w:fill="FFFFFF"/>
        </w:rPr>
        <w:t>Jurkeviciute, M., Van Velsen, L. and Trimarchi, P., 2019. An Italian business case for an eHealth platform to provide remote monitoring and coaching services for elderly with mild cognitive.</w:t>
      </w:r>
    </w:p>
    <w:p w14:paraId="7E1D80B1" w14:textId="77777777" w:rsidR="00B54D51" w:rsidRPr="00037AD4" w:rsidRDefault="00B54D51" w:rsidP="001D7ACE">
      <w:pPr>
        <w:rPr>
          <w:rFonts w:asciiTheme="minorHAnsi" w:hAnsiTheme="minorHAnsi" w:cstheme="minorHAnsi"/>
          <w:sz w:val="22"/>
          <w:szCs w:val="22"/>
          <w:u w:val="single"/>
        </w:rPr>
      </w:pPr>
    </w:p>
    <w:p w14:paraId="4CDEFC03" w14:textId="77777777" w:rsidR="00B54D51" w:rsidRPr="00037AD4" w:rsidRDefault="00B54D51" w:rsidP="001D7ACE">
      <w:pPr>
        <w:ind w:left="360"/>
        <w:rPr>
          <w:rFonts w:asciiTheme="minorHAnsi" w:hAnsiTheme="minorHAnsi" w:cstheme="minorHAnsi"/>
          <w:sz w:val="22"/>
          <w:szCs w:val="22"/>
          <w:u w:val="single"/>
        </w:rPr>
      </w:pPr>
      <w:r w:rsidRPr="00037AD4">
        <w:rPr>
          <w:rFonts w:asciiTheme="minorHAnsi" w:hAnsiTheme="minorHAnsi" w:cstheme="minorHAnsi"/>
          <w:sz w:val="22"/>
          <w:szCs w:val="22"/>
          <w:shd w:val="clear" w:color="auto" w:fill="FFFFFF"/>
        </w:rPr>
        <w:t>Maidment, I.D., Barton, G., Campbell, N., Shaw, R., Seare, N., Fox, C., Iliffe, S., Randle, E., Hilton, A., Brown, G. and Barnes, N., 2020. MEDREV (pharmacy-health psychology intervention in people living with dementia with behaviour that challenges): the feasibility of measuring clinical outcomes and costs of the intervention.</w:t>
      </w:r>
      <w:r w:rsidRPr="00037AD4">
        <w:rPr>
          <w:rStyle w:val="apple-converted-space"/>
          <w:rFonts w:asciiTheme="minorHAnsi" w:eastAsiaTheme="majorEastAsia" w:hAnsiTheme="minorHAnsi" w:cstheme="minorHAnsi"/>
          <w:sz w:val="22"/>
          <w:szCs w:val="22"/>
          <w:shd w:val="clear" w:color="auto" w:fill="FFFFFF"/>
        </w:rPr>
        <w:t> </w:t>
      </w:r>
      <w:r w:rsidRPr="00037AD4">
        <w:rPr>
          <w:rFonts w:asciiTheme="minorHAnsi" w:hAnsiTheme="minorHAnsi" w:cstheme="minorHAnsi"/>
          <w:i/>
          <w:iCs/>
          <w:sz w:val="22"/>
          <w:szCs w:val="22"/>
        </w:rPr>
        <w:t>BMC Health Services Research</w:t>
      </w:r>
      <w:r w:rsidRPr="00037AD4">
        <w:rPr>
          <w:rFonts w:asciiTheme="minorHAnsi" w:hAnsiTheme="minorHAnsi" w:cstheme="minorHAnsi"/>
          <w:sz w:val="22"/>
          <w:szCs w:val="22"/>
          <w:shd w:val="clear" w:color="auto" w:fill="FFFFFF"/>
        </w:rPr>
        <w:t>,</w:t>
      </w:r>
      <w:r w:rsidRPr="00037AD4">
        <w:rPr>
          <w:rStyle w:val="apple-converted-space"/>
          <w:rFonts w:asciiTheme="minorHAnsi" w:eastAsiaTheme="majorEastAsia" w:hAnsiTheme="minorHAnsi" w:cstheme="minorHAnsi"/>
          <w:sz w:val="22"/>
          <w:szCs w:val="22"/>
          <w:shd w:val="clear" w:color="auto" w:fill="FFFFFF"/>
        </w:rPr>
        <w:t> </w:t>
      </w:r>
      <w:r w:rsidRPr="00037AD4">
        <w:rPr>
          <w:rFonts w:asciiTheme="minorHAnsi" w:hAnsiTheme="minorHAnsi" w:cstheme="minorHAnsi"/>
          <w:i/>
          <w:iCs/>
          <w:sz w:val="22"/>
          <w:szCs w:val="22"/>
        </w:rPr>
        <w:t>20</w:t>
      </w:r>
      <w:r w:rsidRPr="00037AD4">
        <w:rPr>
          <w:rFonts w:asciiTheme="minorHAnsi" w:hAnsiTheme="minorHAnsi" w:cstheme="minorHAnsi"/>
          <w:sz w:val="22"/>
          <w:szCs w:val="22"/>
          <w:shd w:val="clear" w:color="auto" w:fill="FFFFFF"/>
        </w:rPr>
        <w:t>(1), pp.1-9.</w:t>
      </w:r>
    </w:p>
    <w:p w14:paraId="2176E6B8" w14:textId="77777777" w:rsidR="00B54D51" w:rsidRPr="00037AD4" w:rsidRDefault="00B54D51" w:rsidP="001D7ACE">
      <w:pPr>
        <w:rPr>
          <w:rFonts w:asciiTheme="minorHAnsi" w:hAnsiTheme="minorHAnsi" w:cstheme="minorHAnsi"/>
          <w:sz w:val="22"/>
          <w:szCs w:val="22"/>
          <w:u w:val="single"/>
        </w:rPr>
      </w:pPr>
    </w:p>
    <w:p w14:paraId="697DDC56" w14:textId="77777777" w:rsidR="00B54D51" w:rsidRPr="00037AD4" w:rsidRDefault="00B54D51" w:rsidP="001D7ACE">
      <w:pPr>
        <w:ind w:left="360"/>
        <w:rPr>
          <w:rFonts w:asciiTheme="minorHAnsi" w:hAnsiTheme="minorHAnsi" w:cstheme="minorHAnsi"/>
          <w:sz w:val="22"/>
          <w:szCs w:val="22"/>
          <w:shd w:val="clear" w:color="auto" w:fill="FFFFFF"/>
        </w:rPr>
      </w:pPr>
      <w:r w:rsidRPr="00037AD4">
        <w:rPr>
          <w:rFonts w:asciiTheme="minorHAnsi" w:hAnsiTheme="minorHAnsi" w:cstheme="minorHAnsi"/>
          <w:sz w:val="22"/>
          <w:szCs w:val="22"/>
          <w:shd w:val="clear" w:color="auto" w:fill="FFFFFF"/>
        </w:rPr>
        <w:t>Martin, A., Meads, D., Griffiths, A.W. and Surr, C.A., 2019. How should we capture health state utility in dementia? Comparisons of DEMQOL-proxy-U and of self-and proxy-completed EQ-5D-5L.</w:t>
      </w:r>
      <w:r w:rsidRPr="00037AD4">
        <w:rPr>
          <w:rStyle w:val="apple-converted-space"/>
          <w:rFonts w:asciiTheme="minorHAnsi" w:eastAsiaTheme="majorEastAsia" w:hAnsiTheme="minorHAnsi" w:cstheme="minorHAnsi"/>
          <w:sz w:val="22"/>
          <w:szCs w:val="22"/>
          <w:shd w:val="clear" w:color="auto" w:fill="FFFFFF"/>
        </w:rPr>
        <w:t> </w:t>
      </w:r>
      <w:r w:rsidRPr="00037AD4">
        <w:rPr>
          <w:rFonts w:asciiTheme="minorHAnsi" w:hAnsiTheme="minorHAnsi" w:cstheme="minorHAnsi"/>
          <w:i/>
          <w:iCs/>
          <w:sz w:val="22"/>
          <w:szCs w:val="22"/>
        </w:rPr>
        <w:t>Value in Health</w:t>
      </w:r>
      <w:r w:rsidRPr="00037AD4">
        <w:rPr>
          <w:rFonts w:asciiTheme="minorHAnsi" w:hAnsiTheme="minorHAnsi" w:cstheme="minorHAnsi"/>
          <w:sz w:val="22"/>
          <w:szCs w:val="22"/>
          <w:shd w:val="clear" w:color="auto" w:fill="FFFFFF"/>
        </w:rPr>
        <w:t>,</w:t>
      </w:r>
      <w:r w:rsidRPr="00037AD4">
        <w:rPr>
          <w:rStyle w:val="apple-converted-space"/>
          <w:rFonts w:asciiTheme="minorHAnsi" w:eastAsiaTheme="majorEastAsia" w:hAnsiTheme="minorHAnsi" w:cstheme="minorHAnsi"/>
          <w:sz w:val="22"/>
          <w:szCs w:val="22"/>
          <w:shd w:val="clear" w:color="auto" w:fill="FFFFFF"/>
        </w:rPr>
        <w:t> </w:t>
      </w:r>
      <w:r w:rsidRPr="00037AD4">
        <w:rPr>
          <w:rFonts w:asciiTheme="minorHAnsi" w:hAnsiTheme="minorHAnsi" w:cstheme="minorHAnsi"/>
          <w:i/>
          <w:iCs/>
          <w:sz w:val="22"/>
          <w:szCs w:val="22"/>
        </w:rPr>
        <w:t>22</w:t>
      </w:r>
      <w:r w:rsidRPr="00037AD4">
        <w:rPr>
          <w:rFonts w:asciiTheme="minorHAnsi" w:hAnsiTheme="minorHAnsi" w:cstheme="minorHAnsi"/>
          <w:sz w:val="22"/>
          <w:szCs w:val="22"/>
          <w:shd w:val="clear" w:color="auto" w:fill="FFFFFF"/>
        </w:rPr>
        <w:t>(12), pp.1417-1426.</w:t>
      </w:r>
    </w:p>
    <w:p w14:paraId="1C7AB1A0" w14:textId="77777777" w:rsidR="00B54D51" w:rsidRPr="00037AD4" w:rsidRDefault="00B54D51" w:rsidP="001D7ACE">
      <w:pPr>
        <w:rPr>
          <w:rFonts w:asciiTheme="minorHAnsi" w:hAnsiTheme="minorHAnsi" w:cstheme="minorHAnsi"/>
          <w:sz w:val="22"/>
          <w:szCs w:val="22"/>
          <w:shd w:val="clear" w:color="auto" w:fill="FFFFFF"/>
        </w:rPr>
      </w:pPr>
    </w:p>
    <w:p w14:paraId="29FD0D8F" w14:textId="77777777" w:rsidR="00B54D51" w:rsidRPr="00037AD4" w:rsidRDefault="00B54D51" w:rsidP="001D7ACE">
      <w:pPr>
        <w:ind w:left="360"/>
        <w:rPr>
          <w:rFonts w:asciiTheme="minorHAnsi" w:hAnsiTheme="minorHAnsi" w:cstheme="minorHAnsi"/>
          <w:sz w:val="22"/>
          <w:szCs w:val="22"/>
          <w:shd w:val="clear" w:color="auto" w:fill="FFFFFF"/>
        </w:rPr>
      </w:pPr>
      <w:r w:rsidRPr="00037AD4">
        <w:rPr>
          <w:rFonts w:asciiTheme="minorHAnsi" w:hAnsiTheme="minorHAnsi" w:cstheme="minorHAnsi"/>
          <w:sz w:val="22"/>
          <w:szCs w:val="22"/>
          <w:shd w:val="clear" w:color="auto" w:fill="FFFFFF"/>
        </w:rPr>
        <w:t>Meads, D.M., Martin, A., Griffiths, A., Kelley, R., Creese, B., Robinson, L., McDermid, J., Walwyn, R., Ballard, C. and Surr, C.A., 2020. Cost-effectiveness of dementia care mapping in care-home settings: evaluation of a randomised controlled trial.</w:t>
      </w:r>
      <w:r w:rsidRPr="00037AD4">
        <w:rPr>
          <w:rStyle w:val="apple-converted-space"/>
          <w:rFonts w:asciiTheme="minorHAnsi" w:eastAsiaTheme="majorEastAsia" w:hAnsiTheme="minorHAnsi" w:cstheme="minorHAnsi"/>
          <w:sz w:val="22"/>
          <w:szCs w:val="22"/>
          <w:shd w:val="clear" w:color="auto" w:fill="FFFFFF"/>
        </w:rPr>
        <w:t> </w:t>
      </w:r>
      <w:r w:rsidRPr="00037AD4">
        <w:rPr>
          <w:rFonts w:asciiTheme="minorHAnsi" w:hAnsiTheme="minorHAnsi" w:cstheme="minorHAnsi"/>
          <w:i/>
          <w:iCs/>
          <w:sz w:val="22"/>
          <w:szCs w:val="22"/>
        </w:rPr>
        <w:t>Applied health economics and health policy</w:t>
      </w:r>
      <w:r w:rsidRPr="00037AD4">
        <w:rPr>
          <w:rFonts w:asciiTheme="minorHAnsi" w:hAnsiTheme="minorHAnsi" w:cstheme="minorHAnsi"/>
          <w:sz w:val="22"/>
          <w:szCs w:val="22"/>
          <w:shd w:val="clear" w:color="auto" w:fill="FFFFFF"/>
        </w:rPr>
        <w:t>,</w:t>
      </w:r>
      <w:r w:rsidRPr="00037AD4">
        <w:rPr>
          <w:rStyle w:val="apple-converted-space"/>
          <w:rFonts w:asciiTheme="minorHAnsi" w:eastAsiaTheme="majorEastAsia" w:hAnsiTheme="minorHAnsi" w:cstheme="minorHAnsi"/>
          <w:sz w:val="22"/>
          <w:szCs w:val="22"/>
          <w:shd w:val="clear" w:color="auto" w:fill="FFFFFF"/>
        </w:rPr>
        <w:t> </w:t>
      </w:r>
      <w:r w:rsidRPr="00037AD4">
        <w:rPr>
          <w:rFonts w:asciiTheme="minorHAnsi" w:hAnsiTheme="minorHAnsi" w:cstheme="minorHAnsi"/>
          <w:i/>
          <w:iCs/>
          <w:sz w:val="22"/>
          <w:szCs w:val="22"/>
        </w:rPr>
        <w:t>18</w:t>
      </w:r>
      <w:r w:rsidRPr="00037AD4">
        <w:rPr>
          <w:rFonts w:asciiTheme="minorHAnsi" w:hAnsiTheme="minorHAnsi" w:cstheme="minorHAnsi"/>
          <w:sz w:val="22"/>
          <w:szCs w:val="22"/>
          <w:shd w:val="clear" w:color="auto" w:fill="FFFFFF"/>
        </w:rPr>
        <w:t>, pp.237-247.</w:t>
      </w:r>
    </w:p>
    <w:p w14:paraId="6BFDF6E5" w14:textId="77777777" w:rsidR="00B54D51" w:rsidRPr="00037AD4" w:rsidRDefault="00B54D51" w:rsidP="001D7ACE">
      <w:pPr>
        <w:ind w:left="360"/>
        <w:rPr>
          <w:rFonts w:asciiTheme="minorHAnsi" w:hAnsiTheme="minorHAnsi" w:cstheme="minorHAnsi"/>
          <w:sz w:val="22"/>
          <w:szCs w:val="22"/>
        </w:rPr>
      </w:pPr>
    </w:p>
    <w:p w14:paraId="08F5A821" w14:textId="77777777" w:rsidR="00B54D51" w:rsidRPr="00037AD4" w:rsidRDefault="00B54D51" w:rsidP="001D7ACE">
      <w:pPr>
        <w:ind w:left="360"/>
        <w:rPr>
          <w:rFonts w:asciiTheme="minorHAnsi" w:hAnsiTheme="minorHAnsi" w:cstheme="minorHAnsi"/>
          <w:sz w:val="22"/>
          <w:szCs w:val="22"/>
        </w:rPr>
      </w:pPr>
      <w:r w:rsidRPr="00037AD4">
        <w:rPr>
          <w:rFonts w:asciiTheme="minorHAnsi" w:hAnsiTheme="minorHAnsi" w:cstheme="minorHAnsi"/>
          <w:sz w:val="22"/>
          <w:szCs w:val="22"/>
          <w:shd w:val="clear" w:color="auto" w:fill="FFFFFF"/>
        </w:rPr>
        <w:lastRenderedPageBreak/>
        <w:t>Perry-Duxbury, M., van Exel, J., Brouwer, W., Sköldunger, A., Gonçalves-Pereira, M., Irving, K., Meyer, G., Selbæk, G., Woods, B., Zanetti, O. and Verhey, F., 2020. A validation study of the ICECAP-O in informal carers of people with dementia from eight European Countries.</w:t>
      </w:r>
      <w:r w:rsidRPr="00037AD4">
        <w:rPr>
          <w:rStyle w:val="apple-converted-space"/>
          <w:rFonts w:asciiTheme="minorHAnsi" w:eastAsiaTheme="majorEastAsia" w:hAnsiTheme="minorHAnsi" w:cstheme="minorHAnsi"/>
          <w:sz w:val="22"/>
          <w:szCs w:val="22"/>
          <w:shd w:val="clear" w:color="auto" w:fill="FFFFFF"/>
        </w:rPr>
        <w:t> </w:t>
      </w:r>
      <w:r w:rsidRPr="00037AD4">
        <w:rPr>
          <w:rFonts w:asciiTheme="minorHAnsi" w:hAnsiTheme="minorHAnsi" w:cstheme="minorHAnsi"/>
          <w:i/>
          <w:iCs/>
          <w:sz w:val="22"/>
          <w:szCs w:val="22"/>
        </w:rPr>
        <w:t>Quality of Life Research</w:t>
      </w:r>
      <w:r w:rsidRPr="00037AD4">
        <w:rPr>
          <w:rFonts w:asciiTheme="minorHAnsi" w:hAnsiTheme="minorHAnsi" w:cstheme="minorHAnsi"/>
          <w:sz w:val="22"/>
          <w:szCs w:val="22"/>
          <w:shd w:val="clear" w:color="auto" w:fill="FFFFFF"/>
        </w:rPr>
        <w:t>,</w:t>
      </w:r>
      <w:r w:rsidRPr="00037AD4">
        <w:rPr>
          <w:rStyle w:val="apple-converted-space"/>
          <w:rFonts w:asciiTheme="minorHAnsi" w:eastAsiaTheme="majorEastAsia" w:hAnsiTheme="minorHAnsi" w:cstheme="minorHAnsi"/>
          <w:sz w:val="22"/>
          <w:szCs w:val="22"/>
          <w:shd w:val="clear" w:color="auto" w:fill="FFFFFF"/>
        </w:rPr>
        <w:t> </w:t>
      </w:r>
      <w:r w:rsidRPr="00037AD4">
        <w:rPr>
          <w:rFonts w:asciiTheme="minorHAnsi" w:hAnsiTheme="minorHAnsi" w:cstheme="minorHAnsi"/>
          <w:i/>
          <w:iCs/>
          <w:sz w:val="22"/>
          <w:szCs w:val="22"/>
        </w:rPr>
        <w:t>29</w:t>
      </w:r>
      <w:r w:rsidRPr="00037AD4">
        <w:rPr>
          <w:rFonts w:asciiTheme="minorHAnsi" w:hAnsiTheme="minorHAnsi" w:cstheme="minorHAnsi"/>
          <w:sz w:val="22"/>
          <w:szCs w:val="22"/>
          <w:shd w:val="clear" w:color="auto" w:fill="FFFFFF"/>
        </w:rPr>
        <w:t>, pp.237-251.</w:t>
      </w:r>
    </w:p>
    <w:p w14:paraId="533FB40F" w14:textId="77777777" w:rsidR="00B54D51" w:rsidRPr="00037AD4" w:rsidRDefault="00B54D51" w:rsidP="001D7ACE">
      <w:pPr>
        <w:pStyle w:val="ListParagraph"/>
        <w:rPr>
          <w:rFonts w:cstheme="minorHAnsi"/>
          <w:sz w:val="22"/>
          <w:szCs w:val="22"/>
        </w:rPr>
      </w:pPr>
    </w:p>
    <w:p w14:paraId="4DEB7485" w14:textId="77777777" w:rsidR="00B54D51" w:rsidRPr="00037AD4" w:rsidRDefault="00B54D51" w:rsidP="001D7ACE">
      <w:pPr>
        <w:ind w:left="360"/>
        <w:rPr>
          <w:rFonts w:asciiTheme="minorHAnsi" w:hAnsiTheme="minorHAnsi" w:cstheme="minorHAnsi"/>
          <w:sz w:val="22"/>
          <w:szCs w:val="22"/>
        </w:rPr>
      </w:pPr>
      <w:r w:rsidRPr="00037AD4">
        <w:rPr>
          <w:rFonts w:asciiTheme="minorHAnsi" w:hAnsiTheme="minorHAnsi" w:cstheme="minorHAnsi"/>
          <w:sz w:val="22"/>
          <w:szCs w:val="22"/>
          <w:shd w:val="clear" w:color="auto" w:fill="FFFFFF"/>
        </w:rPr>
        <w:t>Ratcliffe, J., Flint, T., Easton, T., Killington, M., Cameron, I., Davies, O., Whitehead, C., Kurrle, S., Miller, M., Liu, E. and Crotty, M., 2017. An empirical comparison of the EQ-5D-5L, DEMQOL-U and DEMQOL-Proxy-U in a post-hospitalisation population of frail older people living in residential aged care.</w:t>
      </w:r>
      <w:r w:rsidRPr="00037AD4">
        <w:rPr>
          <w:rStyle w:val="apple-converted-space"/>
          <w:rFonts w:asciiTheme="minorHAnsi" w:eastAsiaTheme="majorEastAsia" w:hAnsiTheme="minorHAnsi" w:cstheme="minorHAnsi"/>
          <w:sz w:val="22"/>
          <w:szCs w:val="22"/>
          <w:shd w:val="clear" w:color="auto" w:fill="FFFFFF"/>
        </w:rPr>
        <w:t> </w:t>
      </w:r>
      <w:r w:rsidRPr="00037AD4">
        <w:rPr>
          <w:rFonts w:asciiTheme="minorHAnsi" w:hAnsiTheme="minorHAnsi" w:cstheme="minorHAnsi"/>
          <w:i/>
          <w:iCs/>
          <w:sz w:val="22"/>
          <w:szCs w:val="22"/>
        </w:rPr>
        <w:t>Applied health economics and health policy</w:t>
      </w:r>
      <w:r w:rsidRPr="00037AD4">
        <w:rPr>
          <w:rFonts w:asciiTheme="minorHAnsi" w:hAnsiTheme="minorHAnsi" w:cstheme="minorHAnsi"/>
          <w:sz w:val="22"/>
          <w:szCs w:val="22"/>
          <w:shd w:val="clear" w:color="auto" w:fill="FFFFFF"/>
        </w:rPr>
        <w:t>,</w:t>
      </w:r>
      <w:r w:rsidRPr="00037AD4">
        <w:rPr>
          <w:rStyle w:val="apple-converted-space"/>
          <w:rFonts w:asciiTheme="minorHAnsi" w:eastAsiaTheme="majorEastAsia" w:hAnsiTheme="minorHAnsi" w:cstheme="minorHAnsi"/>
          <w:sz w:val="22"/>
          <w:szCs w:val="22"/>
          <w:shd w:val="clear" w:color="auto" w:fill="FFFFFF"/>
        </w:rPr>
        <w:t> </w:t>
      </w:r>
      <w:r w:rsidRPr="00037AD4">
        <w:rPr>
          <w:rFonts w:asciiTheme="minorHAnsi" w:hAnsiTheme="minorHAnsi" w:cstheme="minorHAnsi"/>
          <w:i/>
          <w:iCs/>
          <w:sz w:val="22"/>
          <w:szCs w:val="22"/>
        </w:rPr>
        <w:t>15</w:t>
      </w:r>
      <w:r w:rsidRPr="00037AD4">
        <w:rPr>
          <w:rFonts w:asciiTheme="minorHAnsi" w:hAnsiTheme="minorHAnsi" w:cstheme="minorHAnsi"/>
          <w:sz w:val="22"/>
          <w:szCs w:val="22"/>
          <w:shd w:val="clear" w:color="auto" w:fill="FFFFFF"/>
        </w:rPr>
        <w:t>, pp.399-412.</w:t>
      </w:r>
    </w:p>
    <w:p w14:paraId="5CE200AF" w14:textId="77777777" w:rsidR="00B54D51" w:rsidRPr="00037AD4" w:rsidRDefault="00B54D51" w:rsidP="001D7ACE">
      <w:pPr>
        <w:rPr>
          <w:rFonts w:asciiTheme="minorHAnsi" w:hAnsiTheme="minorHAnsi" w:cstheme="minorHAnsi"/>
          <w:sz w:val="22"/>
          <w:szCs w:val="22"/>
        </w:rPr>
      </w:pPr>
    </w:p>
    <w:p w14:paraId="654128C4" w14:textId="77777777" w:rsidR="00B54D51" w:rsidRPr="00037AD4" w:rsidRDefault="00B54D51" w:rsidP="001D7ACE">
      <w:pPr>
        <w:ind w:left="360"/>
        <w:rPr>
          <w:rFonts w:asciiTheme="minorHAnsi" w:hAnsiTheme="minorHAnsi" w:cstheme="minorHAnsi"/>
          <w:sz w:val="22"/>
          <w:szCs w:val="22"/>
        </w:rPr>
      </w:pPr>
      <w:r w:rsidRPr="00037AD4">
        <w:rPr>
          <w:rFonts w:asciiTheme="minorHAnsi" w:hAnsiTheme="minorHAnsi" w:cstheme="minorHAnsi"/>
          <w:sz w:val="22"/>
          <w:szCs w:val="22"/>
          <w:shd w:val="clear" w:color="auto" w:fill="FFFFFF"/>
        </w:rPr>
        <w:t>Rombach, I., Iftikhar, M., Jhuti, G.S., Gustavsson, A., Lecomte, P., Belger, M., Handels, R., Castro Sanchez, A.Y., Kors, J., Hopper, L. and Olde Rikkert, M., 2021. Obtaining EQ-5D-5L utilities from the disease specific quality of life Alzheimer’s disease scale: development and results from a mapping study.</w:t>
      </w:r>
      <w:r w:rsidRPr="00037AD4">
        <w:rPr>
          <w:rStyle w:val="apple-converted-space"/>
          <w:rFonts w:asciiTheme="minorHAnsi" w:eastAsiaTheme="majorEastAsia" w:hAnsiTheme="minorHAnsi" w:cstheme="minorHAnsi"/>
          <w:sz w:val="22"/>
          <w:szCs w:val="22"/>
          <w:shd w:val="clear" w:color="auto" w:fill="FFFFFF"/>
        </w:rPr>
        <w:t> </w:t>
      </w:r>
      <w:r w:rsidRPr="00037AD4">
        <w:rPr>
          <w:rFonts w:asciiTheme="minorHAnsi" w:hAnsiTheme="minorHAnsi" w:cstheme="minorHAnsi"/>
          <w:i/>
          <w:iCs/>
          <w:sz w:val="22"/>
          <w:szCs w:val="22"/>
        </w:rPr>
        <w:t>Quality of Life Research</w:t>
      </w:r>
      <w:r w:rsidRPr="00037AD4">
        <w:rPr>
          <w:rFonts w:asciiTheme="minorHAnsi" w:hAnsiTheme="minorHAnsi" w:cstheme="minorHAnsi"/>
          <w:sz w:val="22"/>
          <w:szCs w:val="22"/>
          <w:shd w:val="clear" w:color="auto" w:fill="FFFFFF"/>
        </w:rPr>
        <w:t>,</w:t>
      </w:r>
      <w:r w:rsidRPr="00037AD4">
        <w:rPr>
          <w:rStyle w:val="apple-converted-space"/>
          <w:rFonts w:asciiTheme="minorHAnsi" w:eastAsiaTheme="majorEastAsia" w:hAnsiTheme="minorHAnsi" w:cstheme="minorHAnsi"/>
          <w:sz w:val="22"/>
          <w:szCs w:val="22"/>
          <w:shd w:val="clear" w:color="auto" w:fill="FFFFFF"/>
        </w:rPr>
        <w:t> </w:t>
      </w:r>
      <w:r w:rsidRPr="00037AD4">
        <w:rPr>
          <w:rFonts w:asciiTheme="minorHAnsi" w:hAnsiTheme="minorHAnsi" w:cstheme="minorHAnsi"/>
          <w:i/>
          <w:iCs/>
          <w:sz w:val="22"/>
          <w:szCs w:val="22"/>
        </w:rPr>
        <w:t>30</w:t>
      </w:r>
      <w:r w:rsidRPr="00037AD4">
        <w:rPr>
          <w:rFonts w:asciiTheme="minorHAnsi" w:hAnsiTheme="minorHAnsi" w:cstheme="minorHAnsi"/>
          <w:sz w:val="22"/>
          <w:szCs w:val="22"/>
          <w:shd w:val="clear" w:color="auto" w:fill="FFFFFF"/>
        </w:rPr>
        <w:t>, pp.867-879.</w:t>
      </w:r>
    </w:p>
    <w:p w14:paraId="0FC5D653" w14:textId="77777777" w:rsidR="00B54D51" w:rsidRPr="00037AD4" w:rsidRDefault="00B54D51" w:rsidP="001D7ACE">
      <w:pPr>
        <w:rPr>
          <w:rFonts w:asciiTheme="minorHAnsi" w:hAnsiTheme="minorHAnsi" w:cstheme="minorHAnsi"/>
          <w:sz w:val="22"/>
          <w:szCs w:val="22"/>
        </w:rPr>
      </w:pPr>
    </w:p>
    <w:p w14:paraId="33BBEFF1" w14:textId="77777777" w:rsidR="00B54D51" w:rsidRPr="00037AD4" w:rsidRDefault="00B54D51" w:rsidP="001D7ACE">
      <w:pPr>
        <w:ind w:left="360"/>
        <w:rPr>
          <w:rFonts w:asciiTheme="minorHAnsi" w:hAnsiTheme="minorHAnsi" w:cstheme="minorHAnsi"/>
          <w:sz w:val="22"/>
          <w:szCs w:val="22"/>
        </w:rPr>
      </w:pPr>
      <w:r w:rsidRPr="00037AD4">
        <w:rPr>
          <w:rFonts w:asciiTheme="minorHAnsi" w:hAnsiTheme="minorHAnsi" w:cstheme="minorHAnsi"/>
          <w:sz w:val="22"/>
          <w:szCs w:val="22"/>
          <w:shd w:val="clear" w:color="auto" w:fill="FFFFFF"/>
        </w:rPr>
        <w:t>Sopina, E., Chenoweth, L., Luckett, T., Agar, M., Luscombe, G.M., Davidson, P.M., Pond, C.D., Phillips, J. and Goodall, S., 2019. Health-related quality of life in people with advanced dementia: a comparison of EQ-5D-5L and QUALID instruments.</w:t>
      </w:r>
      <w:r w:rsidRPr="00037AD4">
        <w:rPr>
          <w:rStyle w:val="apple-converted-space"/>
          <w:rFonts w:asciiTheme="minorHAnsi" w:eastAsiaTheme="majorEastAsia" w:hAnsiTheme="minorHAnsi" w:cstheme="minorHAnsi"/>
          <w:sz w:val="22"/>
          <w:szCs w:val="22"/>
          <w:shd w:val="clear" w:color="auto" w:fill="FFFFFF"/>
        </w:rPr>
        <w:t> </w:t>
      </w:r>
      <w:r w:rsidRPr="00037AD4">
        <w:rPr>
          <w:rFonts w:asciiTheme="minorHAnsi" w:hAnsiTheme="minorHAnsi" w:cstheme="minorHAnsi"/>
          <w:i/>
          <w:iCs/>
          <w:sz w:val="22"/>
          <w:szCs w:val="22"/>
        </w:rPr>
        <w:t>Quality of Life Research</w:t>
      </w:r>
      <w:r w:rsidRPr="00037AD4">
        <w:rPr>
          <w:rFonts w:asciiTheme="minorHAnsi" w:hAnsiTheme="minorHAnsi" w:cstheme="minorHAnsi"/>
          <w:sz w:val="22"/>
          <w:szCs w:val="22"/>
          <w:shd w:val="clear" w:color="auto" w:fill="FFFFFF"/>
        </w:rPr>
        <w:t>,</w:t>
      </w:r>
      <w:r w:rsidRPr="00037AD4">
        <w:rPr>
          <w:rStyle w:val="apple-converted-space"/>
          <w:rFonts w:asciiTheme="minorHAnsi" w:eastAsiaTheme="majorEastAsia" w:hAnsiTheme="minorHAnsi" w:cstheme="minorHAnsi"/>
          <w:sz w:val="22"/>
          <w:szCs w:val="22"/>
          <w:shd w:val="clear" w:color="auto" w:fill="FFFFFF"/>
        </w:rPr>
        <w:t> </w:t>
      </w:r>
      <w:r w:rsidRPr="00037AD4">
        <w:rPr>
          <w:rFonts w:asciiTheme="minorHAnsi" w:hAnsiTheme="minorHAnsi" w:cstheme="minorHAnsi"/>
          <w:i/>
          <w:iCs/>
          <w:sz w:val="22"/>
          <w:szCs w:val="22"/>
        </w:rPr>
        <w:t>28</w:t>
      </w:r>
      <w:r w:rsidRPr="00037AD4">
        <w:rPr>
          <w:rFonts w:asciiTheme="minorHAnsi" w:hAnsiTheme="minorHAnsi" w:cstheme="minorHAnsi"/>
          <w:sz w:val="22"/>
          <w:szCs w:val="22"/>
          <w:shd w:val="clear" w:color="auto" w:fill="FFFFFF"/>
        </w:rPr>
        <w:t>, pp.121-129.</w:t>
      </w:r>
    </w:p>
    <w:p w14:paraId="4BF0B675" w14:textId="77777777" w:rsidR="00B54D51" w:rsidRPr="00037AD4" w:rsidRDefault="00B54D51" w:rsidP="001D7ACE">
      <w:pPr>
        <w:rPr>
          <w:rFonts w:asciiTheme="minorHAnsi" w:hAnsiTheme="minorHAnsi" w:cstheme="minorHAnsi"/>
          <w:sz w:val="22"/>
          <w:szCs w:val="22"/>
        </w:rPr>
      </w:pPr>
    </w:p>
    <w:p w14:paraId="6C949266" w14:textId="77777777" w:rsidR="00B54D51" w:rsidRPr="00037AD4" w:rsidRDefault="00B54D51" w:rsidP="001D7ACE">
      <w:pPr>
        <w:ind w:left="360"/>
        <w:rPr>
          <w:rFonts w:asciiTheme="minorHAnsi" w:hAnsiTheme="minorHAnsi" w:cstheme="minorHAnsi"/>
          <w:sz w:val="22"/>
          <w:szCs w:val="22"/>
        </w:rPr>
      </w:pPr>
      <w:r w:rsidRPr="00037AD4">
        <w:rPr>
          <w:rFonts w:asciiTheme="minorHAnsi" w:hAnsiTheme="minorHAnsi" w:cstheme="minorHAnsi"/>
          <w:sz w:val="22"/>
          <w:szCs w:val="22"/>
          <w:shd w:val="clear" w:color="auto" w:fill="FFFFFF"/>
        </w:rPr>
        <w:t>Sopina, E., Sørensen, J., Beyer, N., Hasselbalch, S.G. and Waldemar, G., 2017. Cost-effectiveness of a randomised trial of physical activity in Alzheimer’s disease: a secondary analysis exploring patient and proxy-reported health-related quality of life measures in Denmark.</w:t>
      </w:r>
      <w:r w:rsidRPr="00037AD4">
        <w:rPr>
          <w:rStyle w:val="apple-converted-space"/>
          <w:rFonts w:asciiTheme="minorHAnsi" w:eastAsiaTheme="majorEastAsia" w:hAnsiTheme="minorHAnsi" w:cstheme="minorHAnsi"/>
          <w:sz w:val="22"/>
          <w:szCs w:val="22"/>
          <w:shd w:val="clear" w:color="auto" w:fill="FFFFFF"/>
        </w:rPr>
        <w:t> </w:t>
      </w:r>
      <w:r w:rsidRPr="00037AD4">
        <w:rPr>
          <w:rFonts w:asciiTheme="minorHAnsi" w:hAnsiTheme="minorHAnsi" w:cstheme="minorHAnsi"/>
          <w:i/>
          <w:iCs/>
          <w:sz w:val="22"/>
          <w:szCs w:val="22"/>
        </w:rPr>
        <w:t>BMJ open</w:t>
      </w:r>
      <w:r w:rsidRPr="00037AD4">
        <w:rPr>
          <w:rFonts w:asciiTheme="minorHAnsi" w:hAnsiTheme="minorHAnsi" w:cstheme="minorHAnsi"/>
          <w:sz w:val="22"/>
          <w:szCs w:val="22"/>
          <w:shd w:val="clear" w:color="auto" w:fill="FFFFFF"/>
        </w:rPr>
        <w:t>,</w:t>
      </w:r>
      <w:r w:rsidRPr="00037AD4">
        <w:rPr>
          <w:rStyle w:val="apple-converted-space"/>
          <w:rFonts w:asciiTheme="minorHAnsi" w:eastAsiaTheme="majorEastAsia" w:hAnsiTheme="minorHAnsi" w:cstheme="minorHAnsi"/>
          <w:sz w:val="22"/>
          <w:szCs w:val="22"/>
          <w:shd w:val="clear" w:color="auto" w:fill="FFFFFF"/>
        </w:rPr>
        <w:t> </w:t>
      </w:r>
      <w:r w:rsidRPr="00037AD4">
        <w:rPr>
          <w:rFonts w:asciiTheme="minorHAnsi" w:hAnsiTheme="minorHAnsi" w:cstheme="minorHAnsi"/>
          <w:i/>
          <w:iCs/>
          <w:sz w:val="22"/>
          <w:szCs w:val="22"/>
        </w:rPr>
        <w:t>7</w:t>
      </w:r>
      <w:r w:rsidRPr="00037AD4">
        <w:rPr>
          <w:rFonts w:asciiTheme="minorHAnsi" w:hAnsiTheme="minorHAnsi" w:cstheme="minorHAnsi"/>
          <w:sz w:val="22"/>
          <w:szCs w:val="22"/>
          <w:shd w:val="clear" w:color="auto" w:fill="FFFFFF"/>
        </w:rPr>
        <w:t>(6).</w:t>
      </w:r>
    </w:p>
    <w:p w14:paraId="1AC1427A" w14:textId="77777777" w:rsidR="00B54D51" w:rsidRPr="00037AD4" w:rsidRDefault="00B54D51" w:rsidP="001D7ACE">
      <w:pPr>
        <w:rPr>
          <w:rFonts w:asciiTheme="minorHAnsi" w:hAnsiTheme="minorHAnsi" w:cstheme="minorHAnsi"/>
          <w:sz w:val="22"/>
          <w:szCs w:val="22"/>
        </w:rPr>
      </w:pPr>
    </w:p>
    <w:p w14:paraId="031FF9B2" w14:textId="77777777" w:rsidR="00B54D51" w:rsidRPr="00037AD4" w:rsidRDefault="00B54D51" w:rsidP="001D7ACE">
      <w:pPr>
        <w:ind w:left="360"/>
        <w:rPr>
          <w:rFonts w:asciiTheme="minorHAnsi" w:hAnsiTheme="minorHAnsi" w:cstheme="minorHAnsi"/>
          <w:sz w:val="22"/>
          <w:szCs w:val="22"/>
        </w:rPr>
      </w:pPr>
      <w:r w:rsidRPr="00037AD4">
        <w:rPr>
          <w:rFonts w:asciiTheme="minorHAnsi" w:hAnsiTheme="minorHAnsi" w:cstheme="minorHAnsi"/>
          <w:sz w:val="22"/>
          <w:szCs w:val="22"/>
          <w:shd w:val="clear" w:color="auto" w:fill="FFFFFF"/>
        </w:rPr>
        <w:t>Toh, H.J., Yap, P., Wee, S.L., Koh, G. and Luo, N., 2021. Feasibility and validity of EQ-5D-5L proxy by nurses in measuring health-related quality of life of nursing home residents.</w:t>
      </w:r>
      <w:r w:rsidRPr="00037AD4">
        <w:rPr>
          <w:rStyle w:val="apple-converted-space"/>
          <w:rFonts w:asciiTheme="minorHAnsi" w:eastAsiaTheme="majorEastAsia" w:hAnsiTheme="minorHAnsi" w:cstheme="minorHAnsi"/>
          <w:sz w:val="22"/>
          <w:szCs w:val="22"/>
          <w:shd w:val="clear" w:color="auto" w:fill="FFFFFF"/>
        </w:rPr>
        <w:t> </w:t>
      </w:r>
      <w:r w:rsidRPr="00037AD4">
        <w:rPr>
          <w:rFonts w:asciiTheme="minorHAnsi" w:hAnsiTheme="minorHAnsi" w:cstheme="minorHAnsi"/>
          <w:i/>
          <w:iCs/>
          <w:sz w:val="22"/>
          <w:szCs w:val="22"/>
        </w:rPr>
        <w:t>Quality of Life Research</w:t>
      </w:r>
      <w:r w:rsidRPr="00037AD4">
        <w:rPr>
          <w:rFonts w:asciiTheme="minorHAnsi" w:hAnsiTheme="minorHAnsi" w:cstheme="minorHAnsi"/>
          <w:sz w:val="22"/>
          <w:szCs w:val="22"/>
          <w:shd w:val="clear" w:color="auto" w:fill="FFFFFF"/>
        </w:rPr>
        <w:t>,</w:t>
      </w:r>
      <w:r w:rsidRPr="00037AD4">
        <w:rPr>
          <w:rStyle w:val="apple-converted-space"/>
          <w:rFonts w:asciiTheme="minorHAnsi" w:eastAsiaTheme="majorEastAsia" w:hAnsiTheme="minorHAnsi" w:cstheme="minorHAnsi"/>
          <w:sz w:val="22"/>
          <w:szCs w:val="22"/>
          <w:shd w:val="clear" w:color="auto" w:fill="FFFFFF"/>
        </w:rPr>
        <w:t> </w:t>
      </w:r>
      <w:r w:rsidRPr="00037AD4">
        <w:rPr>
          <w:rFonts w:asciiTheme="minorHAnsi" w:hAnsiTheme="minorHAnsi" w:cstheme="minorHAnsi"/>
          <w:i/>
          <w:iCs/>
          <w:sz w:val="22"/>
          <w:szCs w:val="22"/>
        </w:rPr>
        <w:t>30</w:t>
      </w:r>
      <w:r w:rsidRPr="00037AD4">
        <w:rPr>
          <w:rFonts w:asciiTheme="minorHAnsi" w:hAnsiTheme="minorHAnsi" w:cstheme="minorHAnsi"/>
          <w:sz w:val="22"/>
          <w:szCs w:val="22"/>
          <w:shd w:val="clear" w:color="auto" w:fill="FFFFFF"/>
        </w:rPr>
        <w:t>, pp.713-720.</w:t>
      </w:r>
    </w:p>
    <w:p w14:paraId="7CBADE0E" w14:textId="77777777" w:rsidR="00B54D51" w:rsidRPr="00037AD4" w:rsidRDefault="00B54D51" w:rsidP="001D7ACE">
      <w:pPr>
        <w:rPr>
          <w:rFonts w:asciiTheme="minorHAnsi" w:hAnsiTheme="minorHAnsi" w:cstheme="minorHAnsi"/>
          <w:sz w:val="22"/>
          <w:szCs w:val="22"/>
        </w:rPr>
      </w:pPr>
    </w:p>
    <w:p w14:paraId="27E5A85D" w14:textId="77777777" w:rsidR="00B54D51" w:rsidRPr="00037AD4" w:rsidRDefault="00B54D51" w:rsidP="001D7ACE">
      <w:pPr>
        <w:ind w:left="360"/>
        <w:rPr>
          <w:rFonts w:asciiTheme="minorHAnsi" w:hAnsiTheme="minorHAnsi" w:cstheme="minorHAnsi"/>
          <w:sz w:val="22"/>
          <w:szCs w:val="22"/>
        </w:rPr>
      </w:pPr>
      <w:r w:rsidRPr="00037AD4">
        <w:rPr>
          <w:rFonts w:asciiTheme="minorHAnsi" w:hAnsiTheme="minorHAnsi" w:cstheme="minorHAnsi"/>
          <w:sz w:val="22"/>
          <w:szCs w:val="22"/>
          <w:shd w:val="clear" w:color="auto" w:fill="FFFFFF"/>
        </w:rPr>
        <w:t>Umegaki, H., Bonfiglio, V., Komiya, H., Watanabe, K. and Kuzuya, M., 2020. Association between sarcopenia and quality of life in patients with early dementia and mild cognitive impairment.</w:t>
      </w:r>
      <w:r w:rsidRPr="00037AD4">
        <w:rPr>
          <w:rStyle w:val="apple-converted-space"/>
          <w:rFonts w:asciiTheme="minorHAnsi" w:eastAsiaTheme="majorEastAsia" w:hAnsiTheme="minorHAnsi" w:cstheme="minorHAnsi"/>
          <w:sz w:val="22"/>
          <w:szCs w:val="22"/>
          <w:shd w:val="clear" w:color="auto" w:fill="FFFFFF"/>
        </w:rPr>
        <w:t> </w:t>
      </w:r>
      <w:r w:rsidRPr="00037AD4">
        <w:rPr>
          <w:rFonts w:asciiTheme="minorHAnsi" w:hAnsiTheme="minorHAnsi" w:cstheme="minorHAnsi"/>
          <w:i/>
          <w:iCs/>
          <w:sz w:val="22"/>
          <w:szCs w:val="22"/>
        </w:rPr>
        <w:t>Journal of Alzheimer's Disease</w:t>
      </w:r>
      <w:r w:rsidRPr="00037AD4">
        <w:rPr>
          <w:rFonts w:asciiTheme="minorHAnsi" w:hAnsiTheme="minorHAnsi" w:cstheme="minorHAnsi"/>
          <w:sz w:val="22"/>
          <w:szCs w:val="22"/>
          <w:shd w:val="clear" w:color="auto" w:fill="FFFFFF"/>
        </w:rPr>
        <w:t>,</w:t>
      </w:r>
      <w:r w:rsidRPr="00037AD4">
        <w:rPr>
          <w:rStyle w:val="apple-converted-space"/>
          <w:rFonts w:asciiTheme="minorHAnsi" w:eastAsiaTheme="majorEastAsia" w:hAnsiTheme="minorHAnsi" w:cstheme="minorHAnsi"/>
          <w:sz w:val="22"/>
          <w:szCs w:val="22"/>
          <w:shd w:val="clear" w:color="auto" w:fill="FFFFFF"/>
        </w:rPr>
        <w:t> </w:t>
      </w:r>
      <w:r w:rsidRPr="00037AD4">
        <w:rPr>
          <w:rFonts w:asciiTheme="minorHAnsi" w:hAnsiTheme="minorHAnsi" w:cstheme="minorHAnsi"/>
          <w:i/>
          <w:iCs/>
          <w:sz w:val="22"/>
          <w:szCs w:val="22"/>
        </w:rPr>
        <w:t>76</w:t>
      </w:r>
      <w:r w:rsidRPr="00037AD4">
        <w:rPr>
          <w:rFonts w:asciiTheme="minorHAnsi" w:hAnsiTheme="minorHAnsi" w:cstheme="minorHAnsi"/>
          <w:sz w:val="22"/>
          <w:szCs w:val="22"/>
          <w:shd w:val="clear" w:color="auto" w:fill="FFFFFF"/>
        </w:rPr>
        <w:t>(1), pp.435-442.</w:t>
      </w:r>
    </w:p>
    <w:p w14:paraId="3078CA22" w14:textId="77777777" w:rsidR="00B54D51" w:rsidRPr="00037AD4" w:rsidRDefault="00B54D51" w:rsidP="001D7ACE">
      <w:pPr>
        <w:rPr>
          <w:rFonts w:asciiTheme="minorHAnsi" w:hAnsiTheme="minorHAnsi" w:cstheme="minorHAnsi"/>
          <w:sz w:val="22"/>
          <w:szCs w:val="22"/>
        </w:rPr>
      </w:pPr>
    </w:p>
    <w:p w14:paraId="24EF45BB" w14:textId="77777777" w:rsidR="00B54D51" w:rsidRPr="00037AD4" w:rsidRDefault="00B54D51" w:rsidP="001D7ACE">
      <w:pPr>
        <w:ind w:left="360"/>
        <w:rPr>
          <w:rFonts w:asciiTheme="minorHAnsi" w:hAnsiTheme="minorHAnsi" w:cstheme="minorHAnsi"/>
          <w:sz w:val="22"/>
          <w:szCs w:val="22"/>
        </w:rPr>
      </w:pPr>
      <w:r w:rsidRPr="00037AD4">
        <w:rPr>
          <w:rFonts w:asciiTheme="minorHAnsi" w:hAnsiTheme="minorHAnsi" w:cstheme="minorHAnsi"/>
          <w:sz w:val="22"/>
          <w:szCs w:val="22"/>
          <w:shd w:val="clear" w:color="auto" w:fill="FFFFFF"/>
        </w:rPr>
        <w:t>Usman, Adeela, et al. "Measuring health-related quality of life of care home residents: comparison of self-report with staff proxy responses."</w:t>
      </w:r>
      <w:r w:rsidRPr="00037AD4">
        <w:rPr>
          <w:rStyle w:val="apple-converted-space"/>
          <w:rFonts w:asciiTheme="minorHAnsi" w:eastAsiaTheme="majorEastAsia" w:hAnsiTheme="minorHAnsi" w:cstheme="minorHAnsi"/>
          <w:sz w:val="22"/>
          <w:szCs w:val="22"/>
          <w:shd w:val="clear" w:color="auto" w:fill="FFFFFF"/>
        </w:rPr>
        <w:t> </w:t>
      </w:r>
      <w:r w:rsidRPr="00037AD4">
        <w:rPr>
          <w:rFonts w:asciiTheme="minorHAnsi" w:hAnsiTheme="minorHAnsi" w:cstheme="minorHAnsi"/>
          <w:i/>
          <w:iCs/>
          <w:sz w:val="22"/>
          <w:szCs w:val="22"/>
        </w:rPr>
        <w:t>Age and Ageing</w:t>
      </w:r>
      <w:r w:rsidRPr="00037AD4">
        <w:rPr>
          <w:rStyle w:val="apple-converted-space"/>
          <w:rFonts w:asciiTheme="minorHAnsi" w:eastAsiaTheme="majorEastAsia" w:hAnsiTheme="minorHAnsi" w:cstheme="minorHAnsi"/>
          <w:sz w:val="22"/>
          <w:szCs w:val="22"/>
          <w:shd w:val="clear" w:color="auto" w:fill="FFFFFF"/>
        </w:rPr>
        <w:t> </w:t>
      </w:r>
      <w:r w:rsidRPr="00037AD4">
        <w:rPr>
          <w:rFonts w:asciiTheme="minorHAnsi" w:hAnsiTheme="minorHAnsi" w:cstheme="minorHAnsi"/>
          <w:sz w:val="22"/>
          <w:szCs w:val="22"/>
          <w:shd w:val="clear" w:color="auto" w:fill="FFFFFF"/>
        </w:rPr>
        <w:t>48.3 (2019): 407-413.</w:t>
      </w:r>
    </w:p>
    <w:p w14:paraId="0A52E670" w14:textId="77777777" w:rsidR="00B54D51" w:rsidRPr="00037AD4" w:rsidRDefault="00B54D51" w:rsidP="001D7ACE">
      <w:pPr>
        <w:rPr>
          <w:rFonts w:asciiTheme="minorHAnsi" w:hAnsiTheme="minorHAnsi" w:cstheme="minorHAnsi"/>
          <w:sz w:val="22"/>
          <w:szCs w:val="22"/>
        </w:rPr>
      </w:pPr>
    </w:p>
    <w:p w14:paraId="295EFF73" w14:textId="77777777" w:rsidR="00B54D51" w:rsidRPr="00037AD4" w:rsidRDefault="00B54D51" w:rsidP="001D7ACE">
      <w:pPr>
        <w:ind w:left="360"/>
        <w:rPr>
          <w:rFonts w:asciiTheme="minorHAnsi" w:hAnsiTheme="minorHAnsi" w:cstheme="minorHAnsi"/>
          <w:sz w:val="22"/>
          <w:szCs w:val="22"/>
        </w:rPr>
      </w:pPr>
      <w:r w:rsidRPr="00037AD4">
        <w:rPr>
          <w:rFonts w:asciiTheme="minorHAnsi" w:hAnsiTheme="minorHAnsi" w:cstheme="minorHAnsi"/>
          <w:sz w:val="22"/>
          <w:szCs w:val="22"/>
          <w:shd w:val="clear" w:color="auto" w:fill="FFFFFF"/>
        </w:rPr>
        <w:t xml:space="preserve">van de Rijt, L.J., Feast, A.R., </w:t>
      </w:r>
      <w:proofErr w:type="spellStart"/>
      <w:r w:rsidRPr="00037AD4">
        <w:rPr>
          <w:rFonts w:asciiTheme="minorHAnsi" w:hAnsiTheme="minorHAnsi" w:cstheme="minorHAnsi"/>
          <w:sz w:val="22"/>
          <w:szCs w:val="22"/>
          <w:shd w:val="clear" w:color="auto" w:fill="FFFFFF"/>
        </w:rPr>
        <w:t>Vickerstaff</w:t>
      </w:r>
      <w:proofErr w:type="spellEnd"/>
      <w:r w:rsidRPr="00037AD4">
        <w:rPr>
          <w:rFonts w:asciiTheme="minorHAnsi" w:hAnsiTheme="minorHAnsi" w:cstheme="minorHAnsi"/>
          <w:sz w:val="22"/>
          <w:szCs w:val="22"/>
          <w:shd w:val="clear" w:color="auto" w:fill="FFFFFF"/>
        </w:rPr>
        <w:t>, V., Lobbezoo, F. and Sampson, E.L., 2020. Prevalence and associations of orofacial pain and oral health factors in nursing home residents with and without dementia.</w:t>
      </w:r>
      <w:r w:rsidRPr="00037AD4">
        <w:rPr>
          <w:rStyle w:val="apple-converted-space"/>
          <w:rFonts w:asciiTheme="minorHAnsi" w:eastAsiaTheme="majorEastAsia" w:hAnsiTheme="minorHAnsi" w:cstheme="minorHAnsi"/>
          <w:sz w:val="22"/>
          <w:szCs w:val="22"/>
          <w:shd w:val="clear" w:color="auto" w:fill="FFFFFF"/>
        </w:rPr>
        <w:t> </w:t>
      </w:r>
      <w:r w:rsidRPr="00037AD4">
        <w:rPr>
          <w:rFonts w:asciiTheme="minorHAnsi" w:hAnsiTheme="minorHAnsi" w:cstheme="minorHAnsi"/>
          <w:i/>
          <w:iCs/>
          <w:sz w:val="22"/>
          <w:szCs w:val="22"/>
        </w:rPr>
        <w:t>Age and Ageing</w:t>
      </w:r>
      <w:r w:rsidRPr="00037AD4">
        <w:rPr>
          <w:rFonts w:asciiTheme="minorHAnsi" w:hAnsiTheme="minorHAnsi" w:cstheme="minorHAnsi"/>
          <w:sz w:val="22"/>
          <w:szCs w:val="22"/>
          <w:shd w:val="clear" w:color="auto" w:fill="FFFFFF"/>
        </w:rPr>
        <w:t>,</w:t>
      </w:r>
      <w:r w:rsidRPr="00037AD4">
        <w:rPr>
          <w:rStyle w:val="apple-converted-space"/>
          <w:rFonts w:asciiTheme="minorHAnsi" w:eastAsiaTheme="majorEastAsia" w:hAnsiTheme="minorHAnsi" w:cstheme="minorHAnsi"/>
          <w:sz w:val="22"/>
          <w:szCs w:val="22"/>
          <w:shd w:val="clear" w:color="auto" w:fill="FFFFFF"/>
        </w:rPr>
        <w:t> </w:t>
      </w:r>
      <w:r w:rsidRPr="00037AD4">
        <w:rPr>
          <w:rFonts w:asciiTheme="minorHAnsi" w:hAnsiTheme="minorHAnsi" w:cstheme="minorHAnsi"/>
          <w:i/>
          <w:iCs/>
          <w:sz w:val="22"/>
          <w:szCs w:val="22"/>
        </w:rPr>
        <w:t>49</w:t>
      </w:r>
      <w:r w:rsidRPr="00037AD4">
        <w:rPr>
          <w:rFonts w:asciiTheme="minorHAnsi" w:hAnsiTheme="minorHAnsi" w:cstheme="minorHAnsi"/>
          <w:sz w:val="22"/>
          <w:szCs w:val="22"/>
          <w:shd w:val="clear" w:color="auto" w:fill="FFFFFF"/>
        </w:rPr>
        <w:t>(3), pp.418-424.</w:t>
      </w:r>
    </w:p>
    <w:p w14:paraId="3C7AB16C" w14:textId="77777777" w:rsidR="00B54D51" w:rsidRPr="00037AD4" w:rsidRDefault="00B54D51" w:rsidP="001D7ACE">
      <w:pPr>
        <w:ind w:left="360"/>
        <w:rPr>
          <w:rFonts w:asciiTheme="minorHAnsi" w:hAnsiTheme="minorHAnsi" w:cstheme="minorHAnsi"/>
          <w:sz w:val="22"/>
          <w:szCs w:val="22"/>
        </w:rPr>
        <w:sectPr w:rsidR="00B54D51" w:rsidRPr="00037AD4" w:rsidSect="0051675A">
          <w:pgSz w:w="11906" w:h="16838"/>
          <w:pgMar w:top="1440" w:right="1440" w:bottom="1440" w:left="1440" w:header="709" w:footer="709" w:gutter="0"/>
          <w:cols w:space="708"/>
          <w:docGrid w:linePitch="360"/>
        </w:sectPr>
      </w:pPr>
    </w:p>
    <w:p w14:paraId="49F5637C" w14:textId="77777777" w:rsidR="00B54D51" w:rsidRPr="00037AD4" w:rsidRDefault="00B54D51" w:rsidP="007A43F9">
      <w:pPr>
        <w:pStyle w:val="Heading2"/>
      </w:pPr>
      <w:bookmarkStart w:id="447" w:name="A28"/>
      <w:bookmarkStart w:id="448" w:name="_Toc175742389"/>
      <w:r w:rsidRPr="00037AD4">
        <w:lastRenderedPageBreak/>
        <w:t>Appendix 2.8 Summary of research project provided to PPIE group</w:t>
      </w:r>
      <w:bookmarkEnd w:id="448"/>
      <w:r w:rsidRPr="00037AD4">
        <w:t xml:space="preserve"> </w:t>
      </w:r>
    </w:p>
    <w:bookmarkEnd w:id="447"/>
    <w:p w14:paraId="65F6716C" w14:textId="77777777" w:rsidR="00B54D51" w:rsidRPr="00037AD4" w:rsidRDefault="00B54D51" w:rsidP="001D7ACE">
      <w:pPr>
        <w:rPr>
          <w:rFonts w:asciiTheme="minorHAnsi" w:hAnsiTheme="minorHAnsi" w:cstheme="minorHAnsi"/>
        </w:rPr>
      </w:pPr>
    </w:p>
    <w:p w14:paraId="3A6A3339" w14:textId="77777777" w:rsidR="00B54D51" w:rsidRPr="00037AD4" w:rsidRDefault="00B54D51" w:rsidP="001D7ACE">
      <w:pPr>
        <w:rPr>
          <w:rFonts w:asciiTheme="minorHAnsi" w:hAnsiTheme="minorHAnsi" w:cstheme="minorHAnsi"/>
        </w:rPr>
      </w:pPr>
      <w:r w:rsidRPr="00037AD4">
        <w:rPr>
          <w:rFonts w:asciiTheme="minorHAnsi" w:hAnsiTheme="minorHAnsi" w:cstheme="minorHAnsi"/>
        </w:rPr>
        <w:t xml:space="preserve">Questionnaires are used to measure quality of life and produce quality of life scores in dementia studies. Sometimes these questionnaires can be specific to dementia, but to allow comparisons between different medical conditions, generic measures of quality of life are used. </w:t>
      </w:r>
    </w:p>
    <w:p w14:paraId="173BD645" w14:textId="77777777" w:rsidR="00B54D51" w:rsidRPr="00037AD4" w:rsidRDefault="00B54D51" w:rsidP="001D7ACE">
      <w:pPr>
        <w:rPr>
          <w:rFonts w:asciiTheme="minorHAnsi" w:hAnsiTheme="minorHAnsi" w:cstheme="minorHAnsi"/>
        </w:rPr>
      </w:pPr>
    </w:p>
    <w:p w14:paraId="6D97D042" w14:textId="77777777" w:rsidR="00B54D51" w:rsidRPr="00037AD4" w:rsidRDefault="00B54D51" w:rsidP="001D7ACE">
      <w:pPr>
        <w:rPr>
          <w:rFonts w:asciiTheme="minorHAnsi" w:hAnsiTheme="minorHAnsi" w:cstheme="minorHAnsi"/>
        </w:rPr>
      </w:pPr>
      <w:r w:rsidRPr="00037AD4">
        <w:rPr>
          <w:rFonts w:asciiTheme="minorHAnsi" w:hAnsiTheme="minorHAnsi" w:cstheme="minorHAnsi"/>
        </w:rPr>
        <w:t xml:space="preserve">The EQ-5D is commonly used in the UK, and it has the following 5 dimensions: mobility, self-care, usual activities, pain/discomfort and anxiety/depression. Often in study settings, either the person with dementia OR their caregiver (proxy) will be asked to complete the EQ-5D questionnaire. </w:t>
      </w:r>
    </w:p>
    <w:p w14:paraId="741D60D8" w14:textId="77777777" w:rsidR="00B54D51" w:rsidRPr="00037AD4" w:rsidRDefault="00B54D51" w:rsidP="001D7ACE">
      <w:pPr>
        <w:rPr>
          <w:rFonts w:asciiTheme="minorHAnsi" w:hAnsiTheme="minorHAnsi" w:cstheme="minorHAnsi"/>
        </w:rPr>
      </w:pPr>
    </w:p>
    <w:p w14:paraId="26193BD3" w14:textId="77777777" w:rsidR="00B54D51" w:rsidRPr="00037AD4" w:rsidRDefault="00B54D51" w:rsidP="001D7ACE">
      <w:pPr>
        <w:rPr>
          <w:rFonts w:asciiTheme="minorHAnsi" w:hAnsiTheme="minorHAnsi" w:cstheme="minorHAnsi"/>
        </w:rPr>
      </w:pPr>
      <w:r w:rsidRPr="00037AD4">
        <w:rPr>
          <w:rFonts w:asciiTheme="minorHAnsi" w:hAnsiTheme="minorHAnsi" w:cstheme="minorHAnsi"/>
        </w:rPr>
        <w:t xml:space="preserve">We understand that both the person with dementia AND their caregiver provide value insight and perspective into the condition, therefore we want to investigate whether we can use information provided by both respondents to produce quality of life scores. </w:t>
      </w:r>
    </w:p>
    <w:p w14:paraId="3118E326" w14:textId="77777777" w:rsidR="00B54D51" w:rsidRPr="00037AD4" w:rsidRDefault="00B54D51" w:rsidP="001D7ACE">
      <w:pPr>
        <w:rPr>
          <w:rFonts w:asciiTheme="minorHAnsi" w:hAnsiTheme="minorHAnsi" w:cstheme="minorHAnsi"/>
        </w:rPr>
      </w:pPr>
    </w:p>
    <w:p w14:paraId="22CEE5F3" w14:textId="77777777" w:rsidR="00B54D51" w:rsidRPr="00037AD4" w:rsidRDefault="00B54D51" w:rsidP="001D7ACE">
      <w:pPr>
        <w:rPr>
          <w:rFonts w:asciiTheme="minorHAnsi" w:hAnsiTheme="minorHAnsi" w:cstheme="minorHAnsi"/>
        </w:rPr>
      </w:pPr>
      <w:r w:rsidRPr="00037AD4">
        <w:rPr>
          <w:rFonts w:asciiTheme="minorHAnsi" w:hAnsiTheme="minorHAnsi" w:cstheme="minorHAnsi"/>
        </w:rPr>
        <w:t xml:space="preserve">To do this, we need feedback on how people with dementia and caregivers interpret the different EQ-5D dimensions and how they reflect other symptoms of dementia and how best to group these dimensions in future research. </w:t>
      </w:r>
    </w:p>
    <w:p w14:paraId="76585724" w14:textId="77777777" w:rsidR="00B54D51" w:rsidRPr="00037AD4" w:rsidRDefault="00B54D51" w:rsidP="001D7ACE">
      <w:pPr>
        <w:rPr>
          <w:rFonts w:asciiTheme="minorHAnsi" w:hAnsiTheme="minorHAnsi" w:cstheme="minorHAnsi"/>
          <w:b/>
          <w:bCs/>
          <w:u w:val="single"/>
        </w:rPr>
      </w:pPr>
    </w:p>
    <w:p w14:paraId="3614054D" w14:textId="77777777" w:rsidR="00B54D51" w:rsidRPr="00037AD4" w:rsidRDefault="00B54D51" w:rsidP="007A43F9">
      <w:pPr>
        <w:pStyle w:val="Heading2"/>
      </w:pPr>
      <w:bookmarkStart w:id="449" w:name="A29"/>
      <w:bookmarkStart w:id="450" w:name="_Toc175742390"/>
      <w:r w:rsidRPr="00037AD4">
        <w:t>Appendix 2.9 PPIE session tasks and feedback tables</w:t>
      </w:r>
      <w:bookmarkEnd w:id="450"/>
      <w:r w:rsidRPr="00037AD4">
        <w:t xml:space="preserve"> </w:t>
      </w:r>
    </w:p>
    <w:bookmarkEnd w:id="449"/>
    <w:p w14:paraId="391C3350" w14:textId="77777777" w:rsidR="00B54D51" w:rsidRPr="00037AD4" w:rsidRDefault="00B54D51" w:rsidP="001D7ACE">
      <w:pPr>
        <w:rPr>
          <w:rFonts w:asciiTheme="minorHAnsi" w:hAnsiTheme="minorHAnsi" w:cstheme="minorHAnsi"/>
          <w:b/>
          <w:bCs/>
          <w:u w:val="single"/>
        </w:rPr>
      </w:pPr>
    </w:p>
    <w:p w14:paraId="09E963D3" w14:textId="77777777" w:rsidR="00B54D51" w:rsidRPr="00037AD4" w:rsidRDefault="00B54D51" w:rsidP="0026777C">
      <w:pPr>
        <w:numPr>
          <w:ilvl w:val="0"/>
          <w:numId w:val="3"/>
        </w:numPr>
        <w:rPr>
          <w:rFonts w:asciiTheme="minorHAnsi" w:hAnsiTheme="minorHAnsi" w:cstheme="minorHAnsi"/>
        </w:rPr>
      </w:pPr>
      <w:r w:rsidRPr="00037AD4">
        <w:rPr>
          <w:rFonts w:asciiTheme="minorHAnsi" w:hAnsiTheme="minorHAnsi" w:cstheme="minorHAnsi"/>
        </w:rPr>
        <w:t xml:space="preserve">Section one started with a brief introduction of the EQ-5D dimensions and scoring mechanism. Then, directed focus at the </w:t>
      </w:r>
      <w:r w:rsidRPr="00037AD4">
        <w:rPr>
          <w:rFonts w:asciiTheme="minorHAnsi" w:hAnsiTheme="minorHAnsi" w:cstheme="minorHAnsi"/>
          <w:i/>
          <w:iCs/>
        </w:rPr>
        <w:t>usual activities</w:t>
      </w:r>
      <w:r w:rsidRPr="00037AD4">
        <w:rPr>
          <w:rFonts w:asciiTheme="minorHAnsi" w:hAnsiTheme="minorHAnsi" w:cstheme="minorHAnsi"/>
        </w:rPr>
        <w:t xml:space="preserve"> dimension alone and asked attendees to provide a rating for themselves (if PwD) or their care partner. We asked the group how they found this task, and if they believe that the ratings that they have provided would correspond? </w:t>
      </w:r>
    </w:p>
    <w:p w14:paraId="59A74E5F" w14:textId="77777777" w:rsidR="00B54D51" w:rsidRPr="00037AD4" w:rsidRDefault="00B54D51" w:rsidP="001D7ACE">
      <w:pPr>
        <w:rPr>
          <w:rFonts w:asciiTheme="minorHAnsi" w:hAnsiTheme="minorHAnsi" w:cstheme="minorHAnsi"/>
        </w:rPr>
      </w:pPr>
    </w:p>
    <w:p w14:paraId="02767F9D" w14:textId="6700DB56" w:rsidR="00B54D51" w:rsidRPr="00037AD4" w:rsidRDefault="00830480" w:rsidP="001D7ACE">
      <w:pPr>
        <w:jc w:val="center"/>
        <w:rPr>
          <w:rFonts w:asciiTheme="minorHAnsi" w:hAnsiTheme="minorHAnsi" w:cstheme="minorHAnsi"/>
          <w:u w:val="single"/>
        </w:rPr>
      </w:pPr>
      <w:r w:rsidRPr="00037AD4">
        <w:rPr>
          <w:rFonts w:asciiTheme="minorHAnsi" w:hAnsiTheme="minorHAnsi" w:cstheme="minorHAnsi"/>
          <w:noProof/>
          <w:lang w:eastAsia="zh-CN"/>
        </w:rPr>
        <w:drawing>
          <wp:inline distT="0" distB="0" distL="0" distR="0" wp14:anchorId="26EB572C" wp14:editId="2D7C0029">
            <wp:extent cx="5525311" cy="2421344"/>
            <wp:effectExtent l="0" t="0" r="0" b="4445"/>
            <wp:docPr id="178" name="Picture 178"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10;&#10;Description automatically generated with medium confidence"/>
                    <pic:cNvPicPr/>
                  </pic:nvPicPr>
                  <pic:blipFill rotWithShape="1">
                    <a:blip r:embed="rId92">
                      <a:extLst>
                        <a:ext uri="{28A0092B-C50C-407E-A947-70E740481C1C}">
                          <a14:useLocalDpi xmlns:a14="http://schemas.microsoft.com/office/drawing/2010/main" val="0"/>
                        </a:ext>
                      </a:extLst>
                    </a:blip>
                    <a:srcRect b="8882"/>
                    <a:stretch/>
                  </pic:blipFill>
                  <pic:spPr bwMode="auto">
                    <a:xfrm>
                      <a:off x="0" y="0"/>
                      <a:ext cx="5549420" cy="2431909"/>
                    </a:xfrm>
                    <a:prstGeom prst="rect">
                      <a:avLst/>
                    </a:prstGeom>
                    <a:ln>
                      <a:noFill/>
                    </a:ln>
                    <a:extLst>
                      <a:ext uri="{53640926-AAD7-44D8-BBD7-CCE9431645EC}">
                        <a14:shadowObscured xmlns:a14="http://schemas.microsoft.com/office/drawing/2010/main"/>
                      </a:ext>
                    </a:extLst>
                  </pic:spPr>
                </pic:pic>
              </a:graphicData>
            </a:graphic>
          </wp:inline>
        </w:drawing>
      </w:r>
    </w:p>
    <w:p w14:paraId="170A4922" w14:textId="77777777" w:rsidR="00B54D51" w:rsidRPr="00037AD4" w:rsidRDefault="00B54D51" w:rsidP="001D7ACE">
      <w:pPr>
        <w:rPr>
          <w:rFonts w:asciiTheme="minorHAnsi" w:hAnsiTheme="minorHAnsi" w:cstheme="minorHAnsi"/>
          <w:u w:val="single"/>
        </w:rPr>
      </w:pPr>
    </w:p>
    <w:p w14:paraId="00A45F72" w14:textId="77777777" w:rsidR="00B54D51" w:rsidRPr="00037AD4" w:rsidRDefault="00B54D51" w:rsidP="001D7ACE">
      <w:pPr>
        <w:rPr>
          <w:rFonts w:asciiTheme="minorHAnsi" w:hAnsiTheme="minorHAnsi" w:cstheme="minorHAnsi"/>
          <w:u w:val="single"/>
        </w:rPr>
      </w:pPr>
    </w:p>
    <w:p w14:paraId="3CEE4479" w14:textId="77777777" w:rsidR="00B54D51" w:rsidRPr="00037AD4" w:rsidRDefault="00B54D51" w:rsidP="001D7ACE">
      <w:pPr>
        <w:rPr>
          <w:rFonts w:asciiTheme="minorHAnsi" w:hAnsiTheme="minorHAnsi" w:cstheme="minorHAnsi"/>
          <w:u w:val="single"/>
        </w:rPr>
      </w:pPr>
    </w:p>
    <w:p w14:paraId="1BC5A84F" w14:textId="77777777" w:rsidR="00B54D51" w:rsidRPr="00037AD4" w:rsidRDefault="00B54D51" w:rsidP="001D7ACE">
      <w:pPr>
        <w:rPr>
          <w:rFonts w:asciiTheme="minorHAnsi" w:hAnsiTheme="minorHAnsi" w:cstheme="minorHAnsi"/>
          <w:u w:val="single"/>
        </w:rPr>
      </w:pPr>
    </w:p>
    <w:p w14:paraId="08D68F2E" w14:textId="77777777" w:rsidR="00B54D51" w:rsidRPr="00037AD4" w:rsidRDefault="00B54D51" w:rsidP="001D7ACE">
      <w:pPr>
        <w:rPr>
          <w:rFonts w:asciiTheme="minorHAnsi" w:hAnsiTheme="minorHAnsi" w:cstheme="minorHAnsi"/>
          <w:u w:val="single"/>
        </w:rPr>
      </w:pPr>
    </w:p>
    <w:p w14:paraId="2A3F9F32" w14:textId="77777777" w:rsidR="00B54D51" w:rsidRPr="00037AD4" w:rsidRDefault="00B54D51" w:rsidP="001D7ACE">
      <w:pPr>
        <w:rPr>
          <w:rFonts w:asciiTheme="minorHAnsi" w:hAnsiTheme="minorHAnsi" w:cstheme="minorHAnsi"/>
          <w:u w:val="single"/>
        </w:rPr>
      </w:pPr>
    </w:p>
    <w:p w14:paraId="65CAFF94" w14:textId="77777777" w:rsidR="00B54D51" w:rsidRPr="00037AD4" w:rsidRDefault="00B54D51" w:rsidP="0026777C">
      <w:pPr>
        <w:pStyle w:val="ListParagraph"/>
        <w:numPr>
          <w:ilvl w:val="0"/>
          <w:numId w:val="5"/>
        </w:numPr>
        <w:rPr>
          <w:rFonts w:cstheme="minorHAnsi"/>
          <w:u w:val="single"/>
        </w:rPr>
      </w:pPr>
      <w:r w:rsidRPr="00037AD4">
        <w:rPr>
          <w:rFonts w:cstheme="minorHAnsi"/>
          <w:u w:val="single"/>
        </w:rPr>
        <w:t>Feedback</w:t>
      </w:r>
    </w:p>
    <w:p w14:paraId="37BBB65F" w14:textId="77777777" w:rsidR="00B54D51" w:rsidRPr="00037AD4" w:rsidRDefault="00B54D51" w:rsidP="001D7ACE">
      <w:pPr>
        <w:rPr>
          <w:rFonts w:asciiTheme="minorHAnsi" w:hAnsiTheme="minorHAnsi" w:cstheme="minorHAnsi"/>
          <w:u w:val="single"/>
        </w:rPr>
      </w:pPr>
    </w:p>
    <w:tbl>
      <w:tblPr>
        <w:tblStyle w:val="TableGrid"/>
        <w:tblW w:w="0" w:type="auto"/>
        <w:tblLook w:val="04A0" w:firstRow="1" w:lastRow="0" w:firstColumn="1" w:lastColumn="0" w:noHBand="0" w:noVBand="1"/>
      </w:tblPr>
      <w:tblGrid>
        <w:gridCol w:w="4508"/>
        <w:gridCol w:w="4508"/>
      </w:tblGrid>
      <w:tr w:rsidR="00B54D51" w:rsidRPr="00037AD4" w14:paraId="71AED876" w14:textId="77777777" w:rsidTr="00401C67">
        <w:tc>
          <w:tcPr>
            <w:tcW w:w="4508" w:type="dxa"/>
          </w:tcPr>
          <w:p w14:paraId="375019AD" w14:textId="77777777" w:rsidR="00B54D51" w:rsidRPr="00037AD4" w:rsidRDefault="00B54D51" w:rsidP="00401C67">
            <w:pPr>
              <w:rPr>
                <w:rFonts w:asciiTheme="minorHAnsi" w:hAnsiTheme="minorHAnsi" w:cstheme="minorHAnsi"/>
                <w:u w:val="single"/>
              </w:rPr>
            </w:pPr>
            <w:r w:rsidRPr="00037AD4">
              <w:rPr>
                <w:rFonts w:asciiTheme="minorHAnsi" w:hAnsiTheme="minorHAnsi" w:cstheme="minorHAnsi"/>
                <w:u w:val="single"/>
              </w:rPr>
              <w:t>PwD</w:t>
            </w:r>
          </w:p>
        </w:tc>
        <w:tc>
          <w:tcPr>
            <w:tcW w:w="4508" w:type="dxa"/>
          </w:tcPr>
          <w:p w14:paraId="16F5E069" w14:textId="77777777" w:rsidR="00B54D51" w:rsidRPr="00037AD4" w:rsidRDefault="00B54D51" w:rsidP="00401C67">
            <w:pPr>
              <w:rPr>
                <w:rFonts w:asciiTheme="minorHAnsi" w:hAnsiTheme="minorHAnsi" w:cstheme="minorHAnsi"/>
                <w:u w:val="single"/>
              </w:rPr>
            </w:pPr>
            <w:r w:rsidRPr="00037AD4">
              <w:rPr>
                <w:rFonts w:asciiTheme="minorHAnsi" w:hAnsiTheme="minorHAnsi" w:cstheme="minorHAnsi"/>
                <w:u w:val="single"/>
              </w:rPr>
              <w:t>Informal caregiver</w:t>
            </w:r>
          </w:p>
        </w:tc>
      </w:tr>
      <w:tr w:rsidR="00B54D51" w:rsidRPr="00037AD4" w14:paraId="3A0579A2" w14:textId="77777777" w:rsidTr="00401C67">
        <w:tc>
          <w:tcPr>
            <w:tcW w:w="4508" w:type="dxa"/>
          </w:tcPr>
          <w:p w14:paraId="5BB3092C" w14:textId="77777777" w:rsidR="00B54D51" w:rsidRPr="00037AD4" w:rsidRDefault="00B54D51" w:rsidP="00401C67">
            <w:pPr>
              <w:rPr>
                <w:rFonts w:asciiTheme="minorHAnsi" w:hAnsiTheme="minorHAnsi" w:cstheme="minorHAnsi"/>
                <w:u w:val="single"/>
              </w:rPr>
            </w:pPr>
            <w:r w:rsidRPr="00037AD4">
              <w:rPr>
                <w:rFonts w:asciiTheme="minorHAnsi" w:hAnsiTheme="minorHAnsi" w:cstheme="minorHAnsi"/>
              </w:rPr>
              <w:t>But what are usual activities? Would provide different answers for different activities? – so the response would depend on which activity he was thinking about. Hard to give just one rating for the entire “activity” dimension</w:t>
            </w:r>
          </w:p>
        </w:tc>
        <w:tc>
          <w:tcPr>
            <w:tcW w:w="4508" w:type="dxa"/>
          </w:tcPr>
          <w:p w14:paraId="7E73C2C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The person she cares for in a care home, and so it would be easy for her to rate that his ability to perform activities would be severe. He is unable to do most things, so this is easy to answer</w:t>
            </w:r>
          </w:p>
        </w:tc>
      </w:tr>
      <w:tr w:rsidR="00B54D51" w:rsidRPr="00037AD4" w14:paraId="784EE4ED" w14:textId="77777777" w:rsidTr="00401C67">
        <w:tc>
          <w:tcPr>
            <w:tcW w:w="4508" w:type="dxa"/>
          </w:tcPr>
          <w:p w14:paraId="7F180E3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Would need a larger font and cream/ yellow paper for some people to be able to read it clearly </w:t>
            </w:r>
          </w:p>
        </w:tc>
        <w:tc>
          <w:tcPr>
            <w:tcW w:w="4508" w:type="dxa"/>
          </w:tcPr>
          <w:p w14:paraId="58E585E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As her husband progressed through the stage of dementia, UA became worse. She felt she would have been quite capable of rating on behalf of her husband. She says their answers may have differed or that if her husband had been asked, he may have avoided answering or said he could not say</w:t>
            </w:r>
          </w:p>
        </w:tc>
      </w:tr>
      <w:tr w:rsidR="00B54D51" w:rsidRPr="00037AD4" w14:paraId="2490435F" w14:textId="77777777" w:rsidTr="00401C67">
        <w:tc>
          <w:tcPr>
            <w:tcW w:w="4508" w:type="dxa"/>
          </w:tcPr>
          <w:p w14:paraId="05B15B8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Some people with dementia are non-verbal. Visual prompts might help to help people think about ‘what are my usual activities’ and then point – would include a wider range of people.</w:t>
            </w:r>
          </w:p>
        </w:tc>
        <w:tc>
          <w:tcPr>
            <w:tcW w:w="4508" w:type="dxa"/>
          </w:tcPr>
          <w:p w14:paraId="0010EE3D" w14:textId="77777777" w:rsidR="00B54D51" w:rsidRPr="00037AD4" w:rsidRDefault="00B54D51" w:rsidP="00401C67">
            <w:pPr>
              <w:rPr>
                <w:rFonts w:asciiTheme="minorHAnsi" w:hAnsiTheme="minorHAnsi" w:cstheme="minorHAnsi"/>
                <w:u w:val="single"/>
              </w:rPr>
            </w:pPr>
            <w:r w:rsidRPr="00037AD4">
              <w:rPr>
                <w:rFonts w:asciiTheme="minorHAnsi" w:hAnsiTheme="minorHAnsi" w:cstheme="minorHAnsi"/>
              </w:rPr>
              <w:t>Thought he could have represented his wife.  As her dementia deteriorated so did her ability to perform activities.  If she had been asked, she would have looked to him to answer</w:t>
            </w:r>
          </w:p>
        </w:tc>
      </w:tr>
      <w:tr w:rsidR="00B54D51" w:rsidRPr="00037AD4" w14:paraId="29335478" w14:textId="77777777" w:rsidTr="00401C67">
        <w:tc>
          <w:tcPr>
            <w:tcW w:w="4508" w:type="dxa"/>
          </w:tcPr>
          <w:p w14:paraId="4D75699B" w14:textId="77777777" w:rsidR="00B54D51" w:rsidRPr="00037AD4" w:rsidRDefault="00B54D51" w:rsidP="00401C67">
            <w:pPr>
              <w:rPr>
                <w:rFonts w:asciiTheme="minorHAnsi" w:hAnsiTheme="minorHAnsi" w:cstheme="minorHAnsi"/>
                <w:u w:val="single"/>
              </w:rPr>
            </w:pPr>
            <w:r w:rsidRPr="00037AD4">
              <w:rPr>
                <w:rFonts w:asciiTheme="minorHAnsi" w:hAnsiTheme="minorHAnsi" w:cstheme="minorHAnsi"/>
              </w:rPr>
              <w:t>The question is vague and difficult to understand</w:t>
            </w:r>
          </w:p>
        </w:tc>
        <w:tc>
          <w:tcPr>
            <w:tcW w:w="4508" w:type="dxa"/>
          </w:tcPr>
          <w:p w14:paraId="2C613B79" w14:textId="77777777" w:rsidR="00B54D51" w:rsidRPr="00037AD4" w:rsidRDefault="00B54D51" w:rsidP="00401C67">
            <w:pPr>
              <w:rPr>
                <w:rFonts w:asciiTheme="minorHAnsi" w:hAnsiTheme="minorHAnsi" w:cstheme="minorHAnsi"/>
                <w:u w:val="single"/>
              </w:rPr>
            </w:pPr>
          </w:p>
        </w:tc>
      </w:tr>
      <w:tr w:rsidR="00B54D51" w:rsidRPr="00037AD4" w14:paraId="0EEC552A" w14:textId="77777777" w:rsidTr="00401C67">
        <w:tc>
          <w:tcPr>
            <w:tcW w:w="4508" w:type="dxa"/>
          </w:tcPr>
          <w:p w14:paraId="313C4C52" w14:textId="77777777" w:rsidR="00B54D51" w:rsidRPr="00037AD4" w:rsidRDefault="00B54D51" w:rsidP="00401C67">
            <w:pPr>
              <w:rPr>
                <w:rFonts w:asciiTheme="minorHAnsi" w:hAnsiTheme="minorHAnsi" w:cstheme="minorHAnsi"/>
                <w:u w:val="single"/>
              </w:rPr>
            </w:pPr>
            <w:r w:rsidRPr="00037AD4">
              <w:rPr>
                <w:rFonts w:asciiTheme="minorHAnsi" w:hAnsiTheme="minorHAnsi" w:cstheme="minorHAnsi"/>
              </w:rPr>
              <w:t>It might be helpful to have examples of the range of activities the question refers to – or ask people to try and rate based on an ‘overall’ basis rather than individual activities</w:t>
            </w:r>
          </w:p>
        </w:tc>
        <w:tc>
          <w:tcPr>
            <w:tcW w:w="4508" w:type="dxa"/>
          </w:tcPr>
          <w:p w14:paraId="7148BFA0" w14:textId="77777777" w:rsidR="00B54D51" w:rsidRPr="00037AD4" w:rsidRDefault="00B54D51" w:rsidP="00401C67">
            <w:pPr>
              <w:rPr>
                <w:rFonts w:asciiTheme="minorHAnsi" w:hAnsiTheme="minorHAnsi" w:cstheme="minorHAnsi"/>
                <w:u w:val="single"/>
              </w:rPr>
            </w:pPr>
          </w:p>
        </w:tc>
      </w:tr>
    </w:tbl>
    <w:p w14:paraId="1B8BDF70" w14:textId="77777777" w:rsidR="00B54D51" w:rsidRPr="00037AD4" w:rsidRDefault="00B54D51" w:rsidP="001D7ACE">
      <w:pPr>
        <w:rPr>
          <w:rFonts w:asciiTheme="minorHAnsi" w:hAnsiTheme="minorHAnsi" w:cstheme="minorHAnsi"/>
          <w:u w:val="single"/>
        </w:rPr>
      </w:pPr>
    </w:p>
    <w:p w14:paraId="6007817C" w14:textId="77777777" w:rsidR="00B54D51" w:rsidRPr="00037AD4" w:rsidRDefault="00B54D51" w:rsidP="0026777C">
      <w:pPr>
        <w:numPr>
          <w:ilvl w:val="0"/>
          <w:numId w:val="3"/>
        </w:numPr>
        <w:rPr>
          <w:rFonts w:asciiTheme="minorHAnsi" w:hAnsiTheme="minorHAnsi" w:cstheme="minorHAnsi"/>
        </w:rPr>
      </w:pPr>
      <w:r w:rsidRPr="00037AD4">
        <w:rPr>
          <w:rFonts w:asciiTheme="minorHAnsi" w:hAnsiTheme="minorHAnsi" w:cstheme="minorHAnsi"/>
        </w:rPr>
        <w:t>The group was then asked to turn their focus to the other dimensions, and to discuss which of these would be easier or harder to self/proxy rate; and whether they believe any dimensions should be either self or proxy rated?</w:t>
      </w:r>
    </w:p>
    <w:p w14:paraId="1AFF5BEC" w14:textId="77777777" w:rsidR="00B54D51" w:rsidRPr="00037AD4" w:rsidRDefault="00B54D51" w:rsidP="001D7ACE">
      <w:pPr>
        <w:rPr>
          <w:rFonts w:asciiTheme="minorHAnsi" w:hAnsiTheme="minorHAnsi" w:cstheme="minorHAnsi"/>
        </w:rPr>
      </w:pPr>
    </w:p>
    <w:p w14:paraId="3F873DB5" w14:textId="6C85D113" w:rsidR="00B54D51" w:rsidRPr="00037AD4" w:rsidRDefault="00830480" w:rsidP="00830480">
      <w:pPr>
        <w:jc w:val="center"/>
        <w:rPr>
          <w:rFonts w:asciiTheme="minorHAnsi" w:hAnsiTheme="minorHAnsi" w:cstheme="minorHAnsi"/>
          <w:u w:val="single"/>
        </w:rPr>
      </w:pPr>
      <w:r w:rsidRPr="00037AD4">
        <w:rPr>
          <w:rFonts w:asciiTheme="minorHAnsi" w:hAnsiTheme="minorHAnsi" w:cstheme="minorHAnsi"/>
          <w:noProof/>
          <w:lang w:eastAsia="zh-CN"/>
        </w:rPr>
        <w:drawing>
          <wp:inline distT="0" distB="0" distL="0" distR="0" wp14:anchorId="1395F530" wp14:editId="7AEBFF50">
            <wp:extent cx="3097899" cy="2395960"/>
            <wp:effectExtent l="0" t="0" r="1270" b="4445"/>
            <wp:docPr id="179" name="Picture 17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hart&#10;&#10;Description automatically generated"/>
                    <pic:cNvPicPr/>
                  </pic:nvPicPr>
                  <pic:blipFill>
                    <a:blip r:embed="rId93">
                      <a:extLst>
                        <a:ext uri="{28A0092B-C50C-407E-A947-70E740481C1C}">
                          <a14:useLocalDpi xmlns:a14="http://schemas.microsoft.com/office/drawing/2010/main" val="0"/>
                        </a:ext>
                      </a:extLst>
                    </a:blip>
                    <a:stretch>
                      <a:fillRect/>
                    </a:stretch>
                  </pic:blipFill>
                  <pic:spPr>
                    <a:xfrm>
                      <a:off x="0" y="0"/>
                      <a:ext cx="3143622" cy="2431323"/>
                    </a:xfrm>
                    <a:prstGeom prst="rect">
                      <a:avLst/>
                    </a:prstGeom>
                  </pic:spPr>
                </pic:pic>
              </a:graphicData>
            </a:graphic>
          </wp:inline>
        </w:drawing>
      </w:r>
    </w:p>
    <w:p w14:paraId="42571A6D" w14:textId="77777777" w:rsidR="00B54D51" w:rsidRPr="00037AD4" w:rsidRDefault="00B54D51" w:rsidP="0026777C">
      <w:pPr>
        <w:pStyle w:val="ListParagraph"/>
        <w:numPr>
          <w:ilvl w:val="0"/>
          <w:numId w:val="5"/>
        </w:numPr>
        <w:rPr>
          <w:rFonts w:cstheme="minorHAnsi"/>
          <w:u w:val="single"/>
        </w:rPr>
      </w:pPr>
      <w:r w:rsidRPr="00037AD4">
        <w:rPr>
          <w:rFonts w:cstheme="minorHAnsi"/>
          <w:u w:val="single"/>
        </w:rPr>
        <w:lastRenderedPageBreak/>
        <w:t>Feedback</w:t>
      </w:r>
    </w:p>
    <w:p w14:paraId="229DA0FD" w14:textId="77777777" w:rsidR="00B54D51" w:rsidRPr="00037AD4" w:rsidRDefault="00B54D51" w:rsidP="001D7ACE">
      <w:pPr>
        <w:rPr>
          <w:rFonts w:asciiTheme="minorHAnsi" w:hAnsiTheme="minorHAnsi" w:cstheme="minorHAnsi"/>
          <w:u w:val="single"/>
        </w:rPr>
      </w:pPr>
    </w:p>
    <w:tbl>
      <w:tblPr>
        <w:tblStyle w:val="TableGrid"/>
        <w:tblW w:w="0" w:type="auto"/>
        <w:tblLook w:val="04A0" w:firstRow="1" w:lastRow="0" w:firstColumn="1" w:lastColumn="0" w:noHBand="0" w:noVBand="1"/>
      </w:tblPr>
      <w:tblGrid>
        <w:gridCol w:w="4508"/>
        <w:gridCol w:w="4508"/>
      </w:tblGrid>
      <w:tr w:rsidR="00B54D51" w:rsidRPr="00037AD4" w14:paraId="64E70192" w14:textId="77777777" w:rsidTr="00401C67">
        <w:tc>
          <w:tcPr>
            <w:tcW w:w="4508" w:type="dxa"/>
          </w:tcPr>
          <w:p w14:paraId="1435D823" w14:textId="77777777" w:rsidR="00B54D51" w:rsidRPr="00037AD4" w:rsidRDefault="00B54D51" w:rsidP="00401C67">
            <w:pPr>
              <w:rPr>
                <w:rFonts w:asciiTheme="minorHAnsi" w:hAnsiTheme="minorHAnsi" w:cstheme="minorHAnsi"/>
                <w:u w:val="single"/>
              </w:rPr>
            </w:pPr>
            <w:r w:rsidRPr="00037AD4">
              <w:rPr>
                <w:rFonts w:asciiTheme="minorHAnsi" w:hAnsiTheme="minorHAnsi" w:cstheme="minorHAnsi"/>
                <w:u w:val="single"/>
              </w:rPr>
              <w:t>PwD</w:t>
            </w:r>
          </w:p>
        </w:tc>
        <w:tc>
          <w:tcPr>
            <w:tcW w:w="4508" w:type="dxa"/>
          </w:tcPr>
          <w:p w14:paraId="70B18277" w14:textId="77777777" w:rsidR="00B54D51" w:rsidRPr="00037AD4" w:rsidRDefault="00B54D51" w:rsidP="00401C67">
            <w:pPr>
              <w:rPr>
                <w:rFonts w:asciiTheme="minorHAnsi" w:hAnsiTheme="minorHAnsi" w:cstheme="minorHAnsi"/>
                <w:u w:val="single"/>
              </w:rPr>
            </w:pPr>
            <w:r w:rsidRPr="00037AD4">
              <w:rPr>
                <w:rFonts w:asciiTheme="minorHAnsi" w:hAnsiTheme="minorHAnsi" w:cstheme="minorHAnsi"/>
                <w:u w:val="single"/>
              </w:rPr>
              <w:t>Informal caregiver</w:t>
            </w:r>
          </w:p>
        </w:tc>
      </w:tr>
      <w:tr w:rsidR="00B54D51" w:rsidRPr="00037AD4" w14:paraId="39A31F0A" w14:textId="77777777" w:rsidTr="00401C67">
        <w:tc>
          <w:tcPr>
            <w:tcW w:w="4508" w:type="dxa"/>
          </w:tcPr>
          <w:p w14:paraId="0D341F13" w14:textId="77777777" w:rsidR="00B54D51" w:rsidRPr="00037AD4" w:rsidRDefault="00B54D51" w:rsidP="00401C67">
            <w:pPr>
              <w:rPr>
                <w:rFonts w:asciiTheme="minorHAnsi" w:hAnsiTheme="minorHAnsi" w:cstheme="minorHAnsi"/>
                <w:u w:val="single"/>
              </w:rPr>
            </w:pPr>
            <w:r w:rsidRPr="00037AD4">
              <w:rPr>
                <w:rFonts w:asciiTheme="minorHAnsi" w:hAnsiTheme="minorHAnsi" w:cstheme="minorHAnsi"/>
              </w:rPr>
              <w:t>Anxiety / Depression was more difficult as it can get mixed up with feeling frustrated about having dementia</w:t>
            </w:r>
          </w:p>
        </w:tc>
        <w:tc>
          <w:tcPr>
            <w:tcW w:w="4508" w:type="dxa"/>
          </w:tcPr>
          <w:p w14:paraId="2398D7FF" w14:textId="77777777" w:rsidR="00B54D51" w:rsidRPr="00037AD4" w:rsidRDefault="00B54D51" w:rsidP="00401C67">
            <w:pPr>
              <w:rPr>
                <w:rFonts w:asciiTheme="minorHAnsi" w:hAnsiTheme="minorHAnsi" w:cstheme="minorHAnsi"/>
                <w:u w:val="single"/>
              </w:rPr>
            </w:pPr>
            <w:r w:rsidRPr="00037AD4">
              <w:rPr>
                <w:rFonts w:asciiTheme="minorHAnsi" w:hAnsiTheme="minorHAnsi" w:cstheme="minorHAnsi"/>
              </w:rPr>
              <w:t>Mobility was probably an easier one to rate as it’s more visible.  Certainly, carers felt they could see how mobile the person they cared for was and record accordingly</w:t>
            </w:r>
          </w:p>
        </w:tc>
      </w:tr>
      <w:tr w:rsidR="00B54D51" w:rsidRPr="00037AD4" w14:paraId="5A666353" w14:textId="77777777" w:rsidTr="00401C67">
        <w:tc>
          <w:tcPr>
            <w:tcW w:w="4508" w:type="dxa"/>
          </w:tcPr>
          <w:p w14:paraId="41EA8E76" w14:textId="77777777" w:rsidR="00B54D51" w:rsidRPr="00037AD4" w:rsidRDefault="00B54D51" w:rsidP="00401C67">
            <w:pPr>
              <w:rPr>
                <w:rFonts w:asciiTheme="minorHAnsi" w:hAnsiTheme="minorHAnsi" w:cstheme="minorHAnsi"/>
                <w:u w:val="single"/>
              </w:rPr>
            </w:pPr>
            <w:r w:rsidRPr="00037AD4">
              <w:rPr>
                <w:rFonts w:asciiTheme="minorHAnsi" w:hAnsiTheme="minorHAnsi" w:cstheme="minorHAnsi"/>
              </w:rPr>
              <w:t>A/D: Might not answer accurately as might want to present as if feeling OK when I’m not</w:t>
            </w:r>
          </w:p>
        </w:tc>
        <w:tc>
          <w:tcPr>
            <w:tcW w:w="4508" w:type="dxa"/>
          </w:tcPr>
          <w:p w14:paraId="5E6817D0" w14:textId="77777777" w:rsidR="00B54D51" w:rsidRPr="00037AD4" w:rsidRDefault="00B54D51" w:rsidP="00401C67">
            <w:pPr>
              <w:rPr>
                <w:rFonts w:asciiTheme="minorHAnsi" w:hAnsiTheme="minorHAnsi" w:cstheme="minorHAnsi"/>
                <w:u w:val="single"/>
              </w:rPr>
            </w:pPr>
            <w:r w:rsidRPr="00037AD4">
              <w:rPr>
                <w:rFonts w:asciiTheme="minorHAnsi" w:hAnsiTheme="minorHAnsi" w:cstheme="minorHAnsi"/>
              </w:rPr>
              <w:t>Perhaps people with dementia might answer more optimistically and a carer might see things more as they really are</w:t>
            </w:r>
          </w:p>
        </w:tc>
      </w:tr>
      <w:tr w:rsidR="00B54D51" w:rsidRPr="00037AD4" w14:paraId="5F02CD85" w14:textId="77777777" w:rsidTr="00401C67">
        <w:tc>
          <w:tcPr>
            <w:tcW w:w="4508" w:type="dxa"/>
          </w:tcPr>
          <w:p w14:paraId="24FD3C0C" w14:textId="77777777" w:rsidR="00B54D51" w:rsidRPr="00037AD4" w:rsidRDefault="00B54D51" w:rsidP="00401C67">
            <w:pPr>
              <w:rPr>
                <w:rFonts w:asciiTheme="minorHAnsi" w:hAnsiTheme="minorHAnsi" w:cstheme="minorHAnsi"/>
                <w:u w:val="single"/>
              </w:rPr>
            </w:pPr>
            <w:r w:rsidRPr="00037AD4">
              <w:rPr>
                <w:rFonts w:asciiTheme="minorHAnsi" w:hAnsiTheme="minorHAnsi" w:cstheme="minorHAnsi"/>
              </w:rPr>
              <w:t>Should always be the PwD providing the answer. He said his wife would answer differently, if they were in separate rooms – they would likely provide different answers</w:t>
            </w:r>
          </w:p>
        </w:tc>
        <w:tc>
          <w:tcPr>
            <w:tcW w:w="4508" w:type="dxa"/>
          </w:tcPr>
          <w:p w14:paraId="21F56A7C" w14:textId="77777777" w:rsidR="00B54D51" w:rsidRPr="00037AD4" w:rsidRDefault="00B54D51" w:rsidP="00401C67">
            <w:pPr>
              <w:rPr>
                <w:rFonts w:asciiTheme="minorHAnsi" w:hAnsiTheme="minorHAnsi" w:cstheme="minorHAnsi"/>
                <w:u w:val="single"/>
              </w:rPr>
            </w:pPr>
            <w:r w:rsidRPr="00037AD4">
              <w:rPr>
                <w:rFonts w:asciiTheme="minorHAnsi" w:hAnsiTheme="minorHAnsi" w:cstheme="minorHAnsi"/>
              </w:rPr>
              <w:t>carers should be asked for their opinions, even if the person with dementia has answered as the carer may have a different viewpoint</w:t>
            </w:r>
          </w:p>
        </w:tc>
      </w:tr>
      <w:tr w:rsidR="00B54D51" w:rsidRPr="00037AD4" w14:paraId="17D26855" w14:textId="77777777" w:rsidTr="00401C67">
        <w:tc>
          <w:tcPr>
            <w:tcW w:w="4508" w:type="dxa"/>
          </w:tcPr>
          <w:p w14:paraId="0993432F" w14:textId="77777777" w:rsidR="00B54D51" w:rsidRPr="00037AD4" w:rsidRDefault="00B54D51" w:rsidP="00401C67">
            <w:pPr>
              <w:rPr>
                <w:rFonts w:asciiTheme="minorHAnsi" w:hAnsiTheme="minorHAnsi" w:cstheme="minorHAnsi"/>
                <w:u w:val="single"/>
              </w:rPr>
            </w:pPr>
            <w:r w:rsidRPr="00037AD4">
              <w:rPr>
                <w:rFonts w:asciiTheme="minorHAnsi" w:hAnsiTheme="minorHAnsi" w:cstheme="minorHAnsi"/>
              </w:rPr>
              <w:t xml:space="preserve">People with dementia need to answer for themselves and ways to make it more visual so people have a better chance of understanding what is being asked and pointing to respond. He said that the research is about PwD, therefore it should be PwD providing the answers   </w:t>
            </w:r>
          </w:p>
        </w:tc>
        <w:tc>
          <w:tcPr>
            <w:tcW w:w="4508" w:type="dxa"/>
          </w:tcPr>
          <w:p w14:paraId="718509B5" w14:textId="77777777" w:rsidR="00B54D51" w:rsidRPr="00037AD4" w:rsidRDefault="00B54D51" w:rsidP="00401C67">
            <w:pPr>
              <w:rPr>
                <w:rFonts w:asciiTheme="minorHAnsi" w:hAnsiTheme="minorHAnsi" w:cstheme="minorHAnsi"/>
                <w:u w:val="single"/>
              </w:rPr>
            </w:pPr>
          </w:p>
        </w:tc>
      </w:tr>
      <w:tr w:rsidR="00B54D51" w:rsidRPr="00037AD4" w14:paraId="7281B5A8" w14:textId="77777777" w:rsidTr="00401C67">
        <w:tc>
          <w:tcPr>
            <w:tcW w:w="4508" w:type="dxa"/>
          </w:tcPr>
          <w:p w14:paraId="7DF936DA" w14:textId="77777777" w:rsidR="00B54D51" w:rsidRPr="00037AD4" w:rsidRDefault="00B54D51" w:rsidP="00401C67">
            <w:pPr>
              <w:rPr>
                <w:rFonts w:asciiTheme="minorHAnsi" w:hAnsiTheme="minorHAnsi" w:cstheme="minorHAnsi"/>
                <w:u w:val="single"/>
              </w:rPr>
            </w:pPr>
            <w:r w:rsidRPr="00037AD4">
              <w:rPr>
                <w:rFonts w:asciiTheme="minorHAnsi" w:hAnsiTheme="minorHAnsi" w:cstheme="minorHAnsi"/>
              </w:rPr>
              <w:t>People with dementia may answer differently when asked in front of their carers – they might want to not upset carer.  For example, people with dementia may talk openly with one another about sensitive topics such as dying – but would not want to talk as openly in front of their carer.</w:t>
            </w:r>
          </w:p>
        </w:tc>
        <w:tc>
          <w:tcPr>
            <w:tcW w:w="4508" w:type="dxa"/>
          </w:tcPr>
          <w:p w14:paraId="5CBA4F51" w14:textId="77777777" w:rsidR="00B54D51" w:rsidRPr="00037AD4" w:rsidRDefault="00B54D51" w:rsidP="00401C67">
            <w:pPr>
              <w:rPr>
                <w:rFonts w:asciiTheme="minorHAnsi" w:hAnsiTheme="minorHAnsi" w:cstheme="minorHAnsi"/>
                <w:u w:val="single"/>
              </w:rPr>
            </w:pPr>
          </w:p>
        </w:tc>
      </w:tr>
      <w:tr w:rsidR="00B54D51" w:rsidRPr="00037AD4" w14:paraId="49F31B58" w14:textId="77777777" w:rsidTr="00401C67">
        <w:tc>
          <w:tcPr>
            <w:tcW w:w="4508" w:type="dxa"/>
          </w:tcPr>
          <w:p w14:paraId="7522E910" w14:textId="77777777" w:rsidR="00B54D51" w:rsidRPr="00037AD4" w:rsidRDefault="00B54D51" w:rsidP="00401C67">
            <w:pPr>
              <w:rPr>
                <w:rFonts w:asciiTheme="minorHAnsi" w:hAnsiTheme="minorHAnsi" w:cstheme="minorHAnsi"/>
                <w:u w:val="single"/>
              </w:rPr>
            </w:pPr>
            <w:r w:rsidRPr="00037AD4">
              <w:rPr>
                <w:rFonts w:asciiTheme="minorHAnsi" w:hAnsiTheme="minorHAnsi" w:cstheme="minorHAnsi"/>
              </w:rPr>
              <w:t>Really complex, as again, I am not going to say the same thing as my wife. Some of the questions around mental health people may struggle with</w:t>
            </w:r>
          </w:p>
        </w:tc>
        <w:tc>
          <w:tcPr>
            <w:tcW w:w="4508" w:type="dxa"/>
          </w:tcPr>
          <w:p w14:paraId="5753EE8A" w14:textId="77777777" w:rsidR="00B54D51" w:rsidRPr="00037AD4" w:rsidRDefault="00B54D51" w:rsidP="00401C67">
            <w:pPr>
              <w:rPr>
                <w:rFonts w:asciiTheme="minorHAnsi" w:hAnsiTheme="minorHAnsi" w:cstheme="minorHAnsi"/>
                <w:u w:val="single"/>
              </w:rPr>
            </w:pPr>
          </w:p>
        </w:tc>
      </w:tr>
      <w:tr w:rsidR="00B54D51" w:rsidRPr="00037AD4" w14:paraId="2B6C88F3" w14:textId="77777777" w:rsidTr="00401C67">
        <w:tc>
          <w:tcPr>
            <w:tcW w:w="4508" w:type="dxa"/>
          </w:tcPr>
          <w:p w14:paraId="0E6CD87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Mobility has a confounder. I have lost my sense of direction, but I can get up and move. Does this mean what can you do safely? It’s all in the mindset</w:t>
            </w:r>
          </w:p>
        </w:tc>
        <w:tc>
          <w:tcPr>
            <w:tcW w:w="4508" w:type="dxa"/>
          </w:tcPr>
          <w:p w14:paraId="00B7EF86" w14:textId="77777777" w:rsidR="00B54D51" w:rsidRPr="00037AD4" w:rsidRDefault="00B54D51" w:rsidP="00401C67">
            <w:pPr>
              <w:rPr>
                <w:rFonts w:asciiTheme="minorHAnsi" w:hAnsiTheme="minorHAnsi" w:cstheme="minorHAnsi"/>
                <w:u w:val="single"/>
              </w:rPr>
            </w:pPr>
          </w:p>
        </w:tc>
      </w:tr>
    </w:tbl>
    <w:p w14:paraId="7DCE9EA1" w14:textId="77777777" w:rsidR="00B54D51" w:rsidRPr="00037AD4" w:rsidRDefault="00B54D51" w:rsidP="001D7ACE">
      <w:pPr>
        <w:rPr>
          <w:rFonts w:asciiTheme="minorHAnsi" w:hAnsiTheme="minorHAnsi" w:cstheme="minorHAnsi"/>
        </w:rPr>
      </w:pPr>
    </w:p>
    <w:p w14:paraId="7AA86F59" w14:textId="77777777" w:rsidR="00B54D51" w:rsidRPr="00037AD4" w:rsidRDefault="00B54D51" w:rsidP="0026777C">
      <w:pPr>
        <w:numPr>
          <w:ilvl w:val="0"/>
          <w:numId w:val="5"/>
        </w:numPr>
        <w:rPr>
          <w:rFonts w:asciiTheme="minorHAnsi" w:hAnsiTheme="minorHAnsi" w:cstheme="minorHAnsi"/>
        </w:rPr>
      </w:pPr>
      <w:r w:rsidRPr="00037AD4">
        <w:rPr>
          <w:rFonts w:asciiTheme="minorHAnsi" w:hAnsiTheme="minorHAnsi" w:cstheme="minorHAnsi"/>
        </w:rPr>
        <w:t>The group was them shown the hypothetical grouping of EQ-5D dimensions as subjective vs objective, and observable vs non-observable; and were asked for their opinion on what terminology for this proposed grouping would resonate most</w:t>
      </w:r>
    </w:p>
    <w:p w14:paraId="2AC49E4C" w14:textId="4CFBE27C" w:rsidR="00B54D51" w:rsidRDefault="00B54D51" w:rsidP="001D7ACE">
      <w:pPr>
        <w:rPr>
          <w:rFonts w:asciiTheme="minorHAnsi" w:hAnsiTheme="minorHAnsi" w:cstheme="minorHAnsi"/>
          <w:u w:val="single"/>
        </w:rPr>
      </w:pPr>
    </w:p>
    <w:p w14:paraId="762C9E2A" w14:textId="0FC4F95D" w:rsidR="00830480" w:rsidRDefault="00830480" w:rsidP="001D7ACE">
      <w:pPr>
        <w:rPr>
          <w:rFonts w:asciiTheme="minorHAnsi" w:hAnsiTheme="minorHAnsi" w:cstheme="minorHAnsi"/>
          <w:u w:val="single"/>
        </w:rPr>
      </w:pPr>
    </w:p>
    <w:p w14:paraId="129F259A" w14:textId="7E723CFD" w:rsidR="00830480" w:rsidRDefault="00830480" w:rsidP="001D7ACE">
      <w:pPr>
        <w:rPr>
          <w:rFonts w:asciiTheme="minorHAnsi" w:hAnsiTheme="minorHAnsi" w:cstheme="minorHAnsi"/>
          <w:u w:val="single"/>
        </w:rPr>
      </w:pPr>
    </w:p>
    <w:p w14:paraId="7F9AB104" w14:textId="64B2B206" w:rsidR="00830480" w:rsidRDefault="00830480" w:rsidP="001D7ACE">
      <w:pPr>
        <w:rPr>
          <w:rFonts w:asciiTheme="minorHAnsi" w:hAnsiTheme="minorHAnsi" w:cstheme="minorHAnsi"/>
          <w:u w:val="single"/>
        </w:rPr>
      </w:pPr>
    </w:p>
    <w:p w14:paraId="36646E37" w14:textId="77777777" w:rsidR="00830480" w:rsidRPr="00037AD4" w:rsidRDefault="00830480" w:rsidP="001D7ACE">
      <w:pPr>
        <w:rPr>
          <w:rFonts w:asciiTheme="minorHAnsi" w:hAnsiTheme="minorHAnsi" w:cstheme="minorHAnsi"/>
          <w:u w:val="single"/>
        </w:rPr>
      </w:pPr>
    </w:p>
    <w:p w14:paraId="53F991EA" w14:textId="77777777" w:rsidR="00B54D51" w:rsidRPr="00037AD4" w:rsidRDefault="00B54D51" w:rsidP="0026777C">
      <w:pPr>
        <w:pStyle w:val="ListParagraph"/>
        <w:numPr>
          <w:ilvl w:val="0"/>
          <w:numId w:val="3"/>
        </w:numPr>
        <w:rPr>
          <w:rFonts w:cstheme="minorHAnsi"/>
          <w:u w:val="single"/>
        </w:rPr>
      </w:pPr>
      <w:r w:rsidRPr="00037AD4">
        <w:rPr>
          <w:rFonts w:cstheme="minorHAnsi"/>
          <w:u w:val="single"/>
        </w:rPr>
        <w:lastRenderedPageBreak/>
        <w:t xml:space="preserve">Feedback </w:t>
      </w:r>
    </w:p>
    <w:p w14:paraId="285FA2B7" w14:textId="77777777" w:rsidR="00B54D51" w:rsidRPr="00037AD4" w:rsidRDefault="00B54D51" w:rsidP="001D7ACE">
      <w:pPr>
        <w:rPr>
          <w:rFonts w:asciiTheme="minorHAnsi" w:hAnsiTheme="minorHAnsi" w:cstheme="minorHAnsi"/>
          <w:u w:val="single"/>
        </w:rPr>
      </w:pPr>
    </w:p>
    <w:p w14:paraId="77F1FEC0" w14:textId="77777777" w:rsidR="00B54D51" w:rsidRPr="00037AD4" w:rsidRDefault="00B54D51" w:rsidP="0026777C">
      <w:pPr>
        <w:numPr>
          <w:ilvl w:val="0"/>
          <w:numId w:val="4"/>
        </w:numPr>
        <w:rPr>
          <w:rFonts w:asciiTheme="minorHAnsi" w:hAnsiTheme="minorHAnsi" w:cstheme="minorHAnsi"/>
        </w:rPr>
      </w:pPr>
      <w:r w:rsidRPr="00037AD4">
        <w:rPr>
          <w:rFonts w:asciiTheme="minorHAnsi" w:hAnsiTheme="minorHAnsi" w:cstheme="minorHAnsi"/>
        </w:rPr>
        <w:t>Feelings vs. visual – PwD</w:t>
      </w:r>
    </w:p>
    <w:p w14:paraId="19C6F567" w14:textId="77777777" w:rsidR="00B54D51" w:rsidRPr="00037AD4" w:rsidRDefault="00B54D51" w:rsidP="0026777C">
      <w:pPr>
        <w:numPr>
          <w:ilvl w:val="0"/>
          <w:numId w:val="4"/>
        </w:numPr>
        <w:rPr>
          <w:rFonts w:asciiTheme="minorHAnsi" w:hAnsiTheme="minorHAnsi" w:cstheme="minorHAnsi"/>
        </w:rPr>
      </w:pPr>
      <w:r w:rsidRPr="00037AD4">
        <w:rPr>
          <w:rFonts w:asciiTheme="minorHAnsi" w:hAnsiTheme="minorHAnsi" w:cstheme="minorHAnsi"/>
        </w:rPr>
        <w:t>Emotions vs. physical – PwD</w:t>
      </w:r>
    </w:p>
    <w:p w14:paraId="00C12865" w14:textId="77777777" w:rsidR="00B54D51" w:rsidRPr="00037AD4" w:rsidRDefault="00B54D51" w:rsidP="00C167AD">
      <w:pPr>
        <w:ind w:left="720"/>
        <w:rPr>
          <w:rFonts w:asciiTheme="minorHAnsi" w:hAnsiTheme="minorHAnsi" w:cstheme="minorHAnsi"/>
        </w:rPr>
      </w:pPr>
    </w:p>
    <w:p w14:paraId="0D37521B" w14:textId="77777777" w:rsidR="00B54D51" w:rsidRPr="00037AD4" w:rsidRDefault="00B54D51" w:rsidP="001D7ACE">
      <w:pPr>
        <w:rPr>
          <w:rFonts w:asciiTheme="minorHAnsi" w:hAnsiTheme="minorHAnsi" w:cstheme="minorHAnsi"/>
        </w:rPr>
      </w:pPr>
      <w:r w:rsidRPr="00037AD4">
        <w:rPr>
          <w:rFonts w:asciiTheme="minorHAnsi" w:hAnsiTheme="minorHAnsi" w:cstheme="minorHAnsi"/>
          <w:u w:val="single"/>
        </w:rPr>
        <w:t xml:space="preserve">Feedback from Dr Jane McKeown </w:t>
      </w:r>
    </w:p>
    <w:p w14:paraId="1E559E1E" w14:textId="77777777" w:rsidR="00B54D51" w:rsidRPr="00037AD4" w:rsidRDefault="00B54D51" w:rsidP="001D7ACE">
      <w:pPr>
        <w:rPr>
          <w:rFonts w:asciiTheme="minorHAnsi" w:hAnsiTheme="minorHAnsi" w:cstheme="minorHAnsi"/>
          <w:u w:val="single"/>
        </w:rPr>
      </w:pPr>
    </w:p>
    <w:p w14:paraId="559FAEBD" w14:textId="77777777" w:rsidR="00B54D51" w:rsidRPr="00037AD4" w:rsidRDefault="00B54D51" w:rsidP="001D7ACE">
      <w:pPr>
        <w:rPr>
          <w:rFonts w:asciiTheme="minorHAnsi" w:hAnsiTheme="minorHAnsi" w:cstheme="minorHAnsi"/>
        </w:rPr>
      </w:pPr>
      <w:r w:rsidRPr="00037AD4">
        <w:rPr>
          <w:rFonts w:asciiTheme="minorHAnsi" w:hAnsiTheme="minorHAnsi" w:cstheme="minorHAnsi"/>
        </w:rPr>
        <w:t xml:space="preserve">People struggled with the discussion regarding terminology and perhaps this was a bit too conceptual to ask in a short space of time and online. People spoke of terms like – strengths; feelings; visual, physical, emotional.  </w:t>
      </w:r>
    </w:p>
    <w:p w14:paraId="69FF75F1" w14:textId="77777777" w:rsidR="00B54D51" w:rsidRPr="00037AD4" w:rsidRDefault="00B54D51" w:rsidP="001D7ACE">
      <w:pPr>
        <w:rPr>
          <w:rFonts w:asciiTheme="minorHAnsi" w:hAnsiTheme="minorHAnsi" w:cstheme="minorHAnsi"/>
        </w:rPr>
      </w:pPr>
    </w:p>
    <w:p w14:paraId="085C88A7" w14:textId="77777777" w:rsidR="00B54D51" w:rsidRPr="00037AD4" w:rsidRDefault="00B54D51" w:rsidP="001D7ACE">
      <w:pPr>
        <w:rPr>
          <w:rFonts w:asciiTheme="minorHAnsi" w:hAnsiTheme="minorHAnsi" w:cstheme="minorHAnsi"/>
        </w:rPr>
      </w:pPr>
      <w:r w:rsidRPr="00037AD4">
        <w:rPr>
          <w:rFonts w:asciiTheme="minorHAnsi" w:hAnsiTheme="minorHAnsi" w:cstheme="minorHAnsi"/>
        </w:rPr>
        <w:t>Overall, the consensus was that it did not seem possible to be able to compare responses from people living with dementia from responses from family carers as both groups were rating their experiences from their personal perspectives.</w:t>
      </w:r>
    </w:p>
    <w:p w14:paraId="60F329EF" w14:textId="77777777" w:rsidR="00B54D51" w:rsidRPr="00037AD4" w:rsidRDefault="00B54D51" w:rsidP="001D7ACE">
      <w:pPr>
        <w:rPr>
          <w:rFonts w:asciiTheme="minorHAnsi" w:hAnsiTheme="minorHAnsi" w:cstheme="minorHAnsi"/>
        </w:rPr>
      </w:pPr>
    </w:p>
    <w:p w14:paraId="6B9CA9A9" w14:textId="77777777" w:rsidR="00B54D51" w:rsidRPr="00037AD4" w:rsidRDefault="00B54D51" w:rsidP="001D7ACE">
      <w:pPr>
        <w:rPr>
          <w:rFonts w:asciiTheme="minorHAnsi" w:hAnsiTheme="minorHAnsi" w:cstheme="minorHAnsi"/>
        </w:rPr>
      </w:pPr>
      <w:r w:rsidRPr="00037AD4">
        <w:rPr>
          <w:rFonts w:asciiTheme="minorHAnsi" w:hAnsiTheme="minorHAnsi" w:cstheme="minorHAnsi"/>
        </w:rPr>
        <w:t xml:space="preserve">Where possible people living with dementia should be given every opportunity to answer for themselves.  Where this is not possible carers should be asked to rate the experience but these rating should be dealt with separately. </w:t>
      </w:r>
    </w:p>
    <w:p w14:paraId="7425B18D" w14:textId="77777777" w:rsidR="00B54D51" w:rsidRPr="00037AD4" w:rsidRDefault="00B54D51" w:rsidP="001D7ACE">
      <w:pPr>
        <w:rPr>
          <w:rFonts w:asciiTheme="minorHAnsi" w:hAnsiTheme="minorHAnsi" w:cstheme="minorHAnsi"/>
          <w:u w:val="single"/>
        </w:rPr>
      </w:pPr>
    </w:p>
    <w:p w14:paraId="6519637C" w14:textId="77777777" w:rsidR="00B54D51" w:rsidRPr="00037AD4" w:rsidRDefault="00B54D51" w:rsidP="001D7ACE">
      <w:pPr>
        <w:rPr>
          <w:rFonts w:asciiTheme="minorHAnsi" w:hAnsiTheme="minorHAnsi" w:cstheme="minorHAnsi"/>
        </w:rPr>
      </w:pPr>
    </w:p>
    <w:p w14:paraId="1A0A703B" w14:textId="77777777" w:rsidR="00B54D51" w:rsidRPr="00037AD4" w:rsidRDefault="00B54D51" w:rsidP="001D7ACE">
      <w:pPr>
        <w:rPr>
          <w:rFonts w:asciiTheme="minorHAnsi" w:hAnsiTheme="minorHAnsi" w:cstheme="minorHAnsi"/>
        </w:rPr>
      </w:pPr>
    </w:p>
    <w:p w14:paraId="1D80354B" w14:textId="77777777" w:rsidR="00B54D51" w:rsidRPr="00037AD4" w:rsidRDefault="00B54D51" w:rsidP="001D7ACE">
      <w:pPr>
        <w:rPr>
          <w:rFonts w:asciiTheme="minorHAnsi" w:hAnsiTheme="minorHAnsi" w:cstheme="minorHAnsi"/>
        </w:rPr>
      </w:pPr>
    </w:p>
    <w:p w14:paraId="5A893804" w14:textId="77777777" w:rsidR="00B54D51" w:rsidRPr="00037AD4" w:rsidRDefault="00B54D51" w:rsidP="001D7ACE">
      <w:pPr>
        <w:rPr>
          <w:rFonts w:asciiTheme="minorHAnsi" w:hAnsiTheme="minorHAnsi" w:cstheme="minorHAnsi"/>
        </w:rPr>
      </w:pPr>
    </w:p>
    <w:p w14:paraId="5D36CD04" w14:textId="77777777" w:rsidR="00B54D51" w:rsidRPr="00037AD4" w:rsidRDefault="00B54D51" w:rsidP="001D7ACE">
      <w:pPr>
        <w:rPr>
          <w:rFonts w:asciiTheme="minorHAnsi" w:hAnsiTheme="minorHAnsi" w:cstheme="minorHAnsi"/>
        </w:rPr>
      </w:pPr>
    </w:p>
    <w:p w14:paraId="1A63EAF2" w14:textId="77777777" w:rsidR="00B54D51" w:rsidRPr="00037AD4" w:rsidRDefault="00B54D51" w:rsidP="001D7ACE">
      <w:pPr>
        <w:rPr>
          <w:rFonts w:asciiTheme="minorHAnsi" w:hAnsiTheme="minorHAnsi" w:cstheme="minorHAnsi"/>
        </w:rPr>
      </w:pPr>
    </w:p>
    <w:p w14:paraId="06390D40" w14:textId="77777777" w:rsidR="00B54D51" w:rsidRPr="00037AD4" w:rsidRDefault="00B54D51" w:rsidP="001D7ACE">
      <w:pPr>
        <w:rPr>
          <w:rFonts w:asciiTheme="minorHAnsi" w:hAnsiTheme="minorHAnsi" w:cstheme="minorHAnsi"/>
        </w:rPr>
      </w:pPr>
    </w:p>
    <w:p w14:paraId="55BE00BA" w14:textId="77777777" w:rsidR="00B54D51" w:rsidRPr="00037AD4" w:rsidRDefault="00B54D51" w:rsidP="001D7ACE">
      <w:pPr>
        <w:rPr>
          <w:rFonts w:asciiTheme="minorHAnsi" w:hAnsiTheme="minorHAnsi" w:cstheme="minorHAnsi"/>
        </w:rPr>
      </w:pPr>
    </w:p>
    <w:p w14:paraId="752ECD6A" w14:textId="77777777" w:rsidR="00B54D51" w:rsidRPr="00037AD4" w:rsidRDefault="00B54D51" w:rsidP="001D7ACE">
      <w:pPr>
        <w:rPr>
          <w:rFonts w:asciiTheme="minorHAnsi" w:hAnsiTheme="minorHAnsi" w:cstheme="minorHAnsi"/>
        </w:rPr>
      </w:pPr>
    </w:p>
    <w:p w14:paraId="1F8B404A" w14:textId="77777777" w:rsidR="00B54D51" w:rsidRPr="00037AD4" w:rsidRDefault="00B54D51" w:rsidP="001D7ACE">
      <w:pPr>
        <w:rPr>
          <w:rFonts w:asciiTheme="minorHAnsi" w:hAnsiTheme="minorHAnsi" w:cstheme="minorHAnsi"/>
        </w:rPr>
      </w:pPr>
    </w:p>
    <w:p w14:paraId="3C2E1633" w14:textId="77777777" w:rsidR="00B54D51" w:rsidRPr="00037AD4" w:rsidRDefault="00B54D51" w:rsidP="001D7ACE">
      <w:pPr>
        <w:rPr>
          <w:rFonts w:asciiTheme="minorHAnsi" w:hAnsiTheme="minorHAnsi" w:cstheme="minorHAnsi"/>
        </w:rPr>
      </w:pPr>
    </w:p>
    <w:p w14:paraId="4F1668A9" w14:textId="77777777" w:rsidR="00B54D51" w:rsidRPr="00037AD4" w:rsidRDefault="00B54D51" w:rsidP="001D7ACE">
      <w:pPr>
        <w:rPr>
          <w:rFonts w:asciiTheme="minorHAnsi" w:hAnsiTheme="minorHAnsi" w:cstheme="minorHAnsi"/>
        </w:rPr>
      </w:pPr>
    </w:p>
    <w:p w14:paraId="29B9F5D6" w14:textId="77777777" w:rsidR="00B54D51" w:rsidRPr="00037AD4" w:rsidRDefault="00B54D51" w:rsidP="001D7ACE">
      <w:pPr>
        <w:rPr>
          <w:rFonts w:asciiTheme="minorHAnsi" w:hAnsiTheme="minorHAnsi" w:cstheme="minorHAnsi"/>
        </w:rPr>
      </w:pPr>
    </w:p>
    <w:p w14:paraId="5E18CF6F" w14:textId="77777777" w:rsidR="00B54D51" w:rsidRPr="00037AD4" w:rsidRDefault="00B54D51" w:rsidP="001D7ACE">
      <w:pPr>
        <w:rPr>
          <w:rFonts w:asciiTheme="minorHAnsi" w:hAnsiTheme="minorHAnsi" w:cstheme="minorHAnsi"/>
        </w:rPr>
      </w:pPr>
    </w:p>
    <w:p w14:paraId="78DAB41B" w14:textId="77777777" w:rsidR="00B54D51" w:rsidRPr="00037AD4" w:rsidRDefault="00B54D51" w:rsidP="001D7ACE">
      <w:pPr>
        <w:rPr>
          <w:rFonts w:asciiTheme="minorHAnsi" w:hAnsiTheme="minorHAnsi" w:cstheme="minorHAnsi"/>
        </w:rPr>
      </w:pPr>
    </w:p>
    <w:p w14:paraId="793C6764" w14:textId="77777777" w:rsidR="00B54D51" w:rsidRPr="00037AD4" w:rsidRDefault="00B54D51" w:rsidP="001D7ACE">
      <w:pPr>
        <w:rPr>
          <w:rFonts w:asciiTheme="minorHAnsi" w:hAnsiTheme="minorHAnsi" w:cstheme="minorHAnsi"/>
        </w:rPr>
      </w:pPr>
    </w:p>
    <w:p w14:paraId="1D5763A3" w14:textId="77777777" w:rsidR="00B54D51" w:rsidRPr="00037AD4" w:rsidRDefault="00B54D51" w:rsidP="001D7ACE">
      <w:pPr>
        <w:rPr>
          <w:rFonts w:asciiTheme="minorHAnsi" w:hAnsiTheme="minorHAnsi" w:cstheme="minorHAnsi"/>
        </w:rPr>
      </w:pPr>
    </w:p>
    <w:p w14:paraId="3C9624E1" w14:textId="77777777" w:rsidR="00B54D51" w:rsidRPr="00037AD4" w:rsidRDefault="00B54D51" w:rsidP="001D7ACE">
      <w:pPr>
        <w:rPr>
          <w:rFonts w:asciiTheme="minorHAnsi" w:hAnsiTheme="minorHAnsi" w:cstheme="minorHAnsi"/>
        </w:rPr>
      </w:pPr>
    </w:p>
    <w:p w14:paraId="67119C36" w14:textId="77777777" w:rsidR="00B54D51" w:rsidRPr="00037AD4" w:rsidRDefault="00B54D51" w:rsidP="001D7ACE">
      <w:pPr>
        <w:rPr>
          <w:rFonts w:asciiTheme="minorHAnsi" w:hAnsiTheme="minorHAnsi" w:cstheme="minorHAnsi"/>
        </w:rPr>
        <w:sectPr w:rsidR="00B54D51" w:rsidRPr="00037AD4" w:rsidSect="0051675A">
          <w:pgSz w:w="11906" w:h="16838"/>
          <w:pgMar w:top="1440" w:right="1440" w:bottom="1440" w:left="1440" w:header="708" w:footer="708" w:gutter="0"/>
          <w:cols w:space="708"/>
          <w:docGrid w:linePitch="360"/>
        </w:sectPr>
      </w:pPr>
    </w:p>
    <w:p w14:paraId="29A2A09B" w14:textId="77777777" w:rsidR="00B54D51" w:rsidRPr="00037AD4" w:rsidRDefault="00B54D51" w:rsidP="007A43F9">
      <w:pPr>
        <w:pStyle w:val="Heading2"/>
      </w:pPr>
      <w:bookmarkStart w:id="451" w:name="A3"/>
      <w:bookmarkStart w:id="452" w:name="_Toc175742391"/>
      <w:r w:rsidRPr="00037AD4">
        <w:lastRenderedPageBreak/>
        <w:t>Appendix 3 Extended summary of identified dementia trial features</w:t>
      </w:r>
      <w:bookmarkEnd w:id="452"/>
      <w:r w:rsidRPr="00037AD4">
        <w:t xml:space="preserve">   </w:t>
      </w:r>
    </w:p>
    <w:bookmarkEnd w:id="451"/>
    <w:tbl>
      <w:tblPr>
        <w:tblStyle w:val="TableGrid"/>
        <w:tblW w:w="14747" w:type="dxa"/>
        <w:tblInd w:w="-5" w:type="dxa"/>
        <w:tblLayout w:type="fixed"/>
        <w:tblLook w:val="04A0" w:firstRow="1" w:lastRow="0" w:firstColumn="1" w:lastColumn="0" w:noHBand="0" w:noVBand="1"/>
      </w:tblPr>
      <w:tblGrid>
        <w:gridCol w:w="1180"/>
        <w:gridCol w:w="1519"/>
        <w:gridCol w:w="1417"/>
        <w:gridCol w:w="1276"/>
        <w:gridCol w:w="1701"/>
        <w:gridCol w:w="1417"/>
        <w:gridCol w:w="1276"/>
        <w:gridCol w:w="2126"/>
        <w:gridCol w:w="1276"/>
        <w:gridCol w:w="1559"/>
      </w:tblGrid>
      <w:tr w:rsidR="00B54D51" w:rsidRPr="00037AD4" w14:paraId="6F99EE24" w14:textId="77777777" w:rsidTr="00401C67">
        <w:tc>
          <w:tcPr>
            <w:tcW w:w="14747" w:type="dxa"/>
            <w:gridSpan w:val="10"/>
            <w:tcBorders>
              <w:top w:val="nil"/>
              <w:left w:val="nil"/>
              <w:right w:val="nil"/>
            </w:tcBorders>
          </w:tcPr>
          <w:p w14:paraId="5EF81DBE" w14:textId="77777777" w:rsidR="00B54D51" w:rsidRPr="00037AD4" w:rsidRDefault="00B54D51" w:rsidP="00401C67">
            <w:pPr>
              <w:rPr>
                <w:rFonts w:asciiTheme="minorHAnsi" w:hAnsiTheme="minorHAnsi" w:cstheme="minorHAnsi"/>
              </w:rPr>
            </w:pPr>
          </w:p>
        </w:tc>
      </w:tr>
      <w:tr w:rsidR="00B54D51" w:rsidRPr="00037AD4" w14:paraId="1C9B63AD" w14:textId="77777777" w:rsidTr="00401C67">
        <w:tc>
          <w:tcPr>
            <w:tcW w:w="1180" w:type="dxa"/>
          </w:tcPr>
          <w:p w14:paraId="7F51DF66" w14:textId="77777777" w:rsidR="00B54D51" w:rsidRPr="00037AD4" w:rsidRDefault="00B54D51" w:rsidP="00401C67">
            <w:pPr>
              <w:rPr>
                <w:rFonts w:asciiTheme="minorHAnsi" w:hAnsiTheme="minorHAnsi" w:cstheme="minorHAnsi"/>
                <w:b/>
                <w:bCs/>
                <w:color w:val="000000" w:themeColor="text1"/>
                <w:sz w:val="22"/>
                <w:szCs w:val="22"/>
              </w:rPr>
            </w:pPr>
            <w:r w:rsidRPr="00037AD4">
              <w:rPr>
                <w:rFonts w:asciiTheme="minorHAnsi" w:hAnsiTheme="minorHAnsi" w:cstheme="minorHAnsi"/>
                <w:b/>
                <w:bCs/>
                <w:color w:val="000000" w:themeColor="text1"/>
                <w:sz w:val="22"/>
                <w:szCs w:val="22"/>
              </w:rPr>
              <w:t>Study name</w:t>
            </w:r>
          </w:p>
        </w:tc>
        <w:tc>
          <w:tcPr>
            <w:tcW w:w="1519" w:type="dxa"/>
          </w:tcPr>
          <w:p w14:paraId="02F443DE" w14:textId="77777777" w:rsidR="00B54D51" w:rsidRPr="00037AD4" w:rsidRDefault="00B54D51" w:rsidP="00401C67">
            <w:pPr>
              <w:rPr>
                <w:rFonts w:asciiTheme="minorHAnsi" w:hAnsiTheme="minorHAnsi" w:cstheme="minorHAnsi"/>
                <w:b/>
                <w:bCs/>
                <w:color w:val="000000" w:themeColor="text1"/>
                <w:sz w:val="22"/>
                <w:szCs w:val="22"/>
              </w:rPr>
            </w:pPr>
            <w:r w:rsidRPr="00037AD4">
              <w:rPr>
                <w:rFonts w:asciiTheme="minorHAnsi" w:hAnsiTheme="minorHAnsi" w:cstheme="minorHAnsi"/>
                <w:b/>
                <w:bCs/>
                <w:color w:val="000000" w:themeColor="text1"/>
                <w:sz w:val="22"/>
                <w:szCs w:val="22"/>
              </w:rPr>
              <w:t xml:space="preserve">Primary investigator </w:t>
            </w:r>
          </w:p>
        </w:tc>
        <w:tc>
          <w:tcPr>
            <w:tcW w:w="1417" w:type="dxa"/>
          </w:tcPr>
          <w:p w14:paraId="6FDC6035" w14:textId="77777777" w:rsidR="00B54D51" w:rsidRPr="00037AD4" w:rsidRDefault="00B54D51" w:rsidP="00401C67">
            <w:pPr>
              <w:rPr>
                <w:rFonts w:asciiTheme="minorHAnsi" w:hAnsiTheme="minorHAnsi" w:cstheme="minorHAnsi"/>
                <w:b/>
                <w:bCs/>
                <w:color w:val="000000" w:themeColor="text1"/>
                <w:sz w:val="22"/>
                <w:szCs w:val="22"/>
              </w:rPr>
            </w:pPr>
            <w:r w:rsidRPr="00037AD4">
              <w:rPr>
                <w:rFonts w:asciiTheme="minorHAnsi" w:hAnsiTheme="minorHAnsi" w:cstheme="minorHAnsi"/>
                <w:b/>
                <w:bCs/>
                <w:color w:val="000000" w:themeColor="text1"/>
                <w:sz w:val="22"/>
                <w:szCs w:val="22"/>
              </w:rPr>
              <w:t>Country</w:t>
            </w:r>
          </w:p>
        </w:tc>
        <w:tc>
          <w:tcPr>
            <w:tcW w:w="1276" w:type="dxa"/>
          </w:tcPr>
          <w:p w14:paraId="7463B2CF" w14:textId="77777777" w:rsidR="00B54D51" w:rsidRPr="00037AD4" w:rsidRDefault="00B54D51" w:rsidP="00401C67">
            <w:pPr>
              <w:rPr>
                <w:rFonts w:asciiTheme="minorHAnsi" w:hAnsiTheme="minorHAnsi" w:cstheme="minorHAnsi"/>
                <w:b/>
                <w:bCs/>
                <w:color w:val="000000" w:themeColor="text1"/>
                <w:sz w:val="22"/>
                <w:szCs w:val="22"/>
              </w:rPr>
            </w:pPr>
            <w:r w:rsidRPr="00037AD4">
              <w:rPr>
                <w:rFonts w:asciiTheme="minorHAnsi" w:hAnsiTheme="minorHAnsi" w:cstheme="minorHAnsi"/>
                <w:b/>
                <w:bCs/>
                <w:color w:val="000000" w:themeColor="text1"/>
                <w:sz w:val="22"/>
                <w:szCs w:val="22"/>
              </w:rPr>
              <w:t>Trial Setting</w:t>
            </w:r>
          </w:p>
        </w:tc>
        <w:tc>
          <w:tcPr>
            <w:tcW w:w="1701" w:type="dxa"/>
          </w:tcPr>
          <w:p w14:paraId="2FCFB326" w14:textId="77777777" w:rsidR="00B54D51" w:rsidRPr="00037AD4" w:rsidRDefault="00B54D51" w:rsidP="00401C67">
            <w:pPr>
              <w:rPr>
                <w:rFonts w:asciiTheme="minorHAnsi" w:hAnsiTheme="minorHAnsi" w:cstheme="minorHAnsi"/>
                <w:b/>
                <w:bCs/>
                <w:color w:val="000000" w:themeColor="text1"/>
                <w:sz w:val="22"/>
                <w:szCs w:val="22"/>
              </w:rPr>
            </w:pPr>
            <w:r w:rsidRPr="00037AD4">
              <w:rPr>
                <w:rFonts w:asciiTheme="minorHAnsi" w:hAnsiTheme="minorHAnsi" w:cstheme="minorHAnsi"/>
                <w:b/>
                <w:bCs/>
                <w:color w:val="000000" w:themeColor="text1"/>
                <w:sz w:val="22"/>
                <w:szCs w:val="22"/>
              </w:rPr>
              <w:t>Intervention type</w:t>
            </w:r>
          </w:p>
        </w:tc>
        <w:tc>
          <w:tcPr>
            <w:tcW w:w="1417" w:type="dxa"/>
          </w:tcPr>
          <w:p w14:paraId="4E188DB3" w14:textId="77777777" w:rsidR="00B54D51" w:rsidRPr="00037AD4" w:rsidRDefault="00B54D51" w:rsidP="00401C67">
            <w:pPr>
              <w:rPr>
                <w:rFonts w:asciiTheme="minorHAnsi" w:hAnsiTheme="minorHAnsi" w:cstheme="minorHAnsi"/>
                <w:b/>
                <w:bCs/>
                <w:color w:val="000000" w:themeColor="text1"/>
                <w:sz w:val="22"/>
                <w:szCs w:val="22"/>
              </w:rPr>
            </w:pPr>
            <w:r w:rsidRPr="00037AD4">
              <w:rPr>
                <w:rFonts w:asciiTheme="minorHAnsi" w:hAnsiTheme="minorHAnsi" w:cstheme="minorHAnsi"/>
                <w:b/>
                <w:bCs/>
                <w:color w:val="000000" w:themeColor="text1"/>
                <w:sz w:val="22"/>
                <w:szCs w:val="22"/>
              </w:rPr>
              <w:t>Type of dementia</w:t>
            </w:r>
          </w:p>
        </w:tc>
        <w:tc>
          <w:tcPr>
            <w:tcW w:w="1276" w:type="dxa"/>
          </w:tcPr>
          <w:p w14:paraId="1F00DE27" w14:textId="77777777" w:rsidR="00B54D51" w:rsidRPr="00037AD4" w:rsidRDefault="00B54D51" w:rsidP="00401C67">
            <w:pPr>
              <w:rPr>
                <w:rFonts w:asciiTheme="minorHAnsi" w:hAnsiTheme="minorHAnsi" w:cstheme="minorHAnsi"/>
                <w:b/>
                <w:bCs/>
                <w:color w:val="000000" w:themeColor="text1"/>
                <w:sz w:val="22"/>
                <w:szCs w:val="22"/>
              </w:rPr>
            </w:pPr>
            <w:r w:rsidRPr="00037AD4">
              <w:rPr>
                <w:rFonts w:asciiTheme="minorHAnsi" w:hAnsiTheme="minorHAnsi" w:cstheme="minorHAnsi"/>
                <w:b/>
                <w:bCs/>
                <w:color w:val="000000" w:themeColor="text1"/>
                <w:sz w:val="22"/>
                <w:szCs w:val="22"/>
              </w:rPr>
              <w:t>Primary outcome</w:t>
            </w:r>
          </w:p>
        </w:tc>
        <w:tc>
          <w:tcPr>
            <w:tcW w:w="2126" w:type="dxa"/>
          </w:tcPr>
          <w:p w14:paraId="7F5734A3" w14:textId="77777777" w:rsidR="00B54D51" w:rsidRPr="00037AD4" w:rsidRDefault="00B54D51" w:rsidP="00401C67">
            <w:pPr>
              <w:rPr>
                <w:rFonts w:asciiTheme="minorHAnsi" w:hAnsiTheme="minorHAnsi" w:cstheme="minorHAnsi"/>
                <w:b/>
                <w:bCs/>
                <w:color w:val="000000" w:themeColor="text1"/>
                <w:sz w:val="22"/>
                <w:szCs w:val="22"/>
              </w:rPr>
            </w:pPr>
            <w:r w:rsidRPr="00037AD4">
              <w:rPr>
                <w:rFonts w:asciiTheme="minorHAnsi" w:hAnsiTheme="minorHAnsi" w:cstheme="minorHAnsi"/>
                <w:b/>
                <w:bCs/>
                <w:color w:val="000000" w:themeColor="text1"/>
                <w:sz w:val="22"/>
                <w:szCs w:val="22"/>
              </w:rPr>
              <w:t>Secondary outcomes</w:t>
            </w:r>
          </w:p>
        </w:tc>
        <w:tc>
          <w:tcPr>
            <w:tcW w:w="1276" w:type="dxa"/>
          </w:tcPr>
          <w:p w14:paraId="4F8B5371" w14:textId="77777777" w:rsidR="00B54D51" w:rsidRPr="00037AD4" w:rsidRDefault="00B54D51" w:rsidP="00401C67">
            <w:pPr>
              <w:rPr>
                <w:rFonts w:asciiTheme="minorHAnsi" w:hAnsiTheme="minorHAnsi" w:cstheme="minorHAnsi"/>
                <w:b/>
                <w:bCs/>
                <w:color w:val="000000" w:themeColor="text1"/>
                <w:sz w:val="22"/>
                <w:szCs w:val="22"/>
              </w:rPr>
            </w:pPr>
            <w:r w:rsidRPr="00037AD4">
              <w:rPr>
                <w:rFonts w:asciiTheme="minorHAnsi" w:hAnsiTheme="minorHAnsi" w:cstheme="minorHAnsi"/>
                <w:b/>
                <w:bCs/>
                <w:color w:val="000000" w:themeColor="text1"/>
                <w:sz w:val="22"/>
                <w:szCs w:val="22"/>
              </w:rPr>
              <w:t>Self vs. proxy QoL?</w:t>
            </w:r>
          </w:p>
        </w:tc>
        <w:tc>
          <w:tcPr>
            <w:tcW w:w="1559" w:type="dxa"/>
          </w:tcPr>
          <w:p w14:paraId="2F0CE434" w14:textId="77777777" w:rsidR="00B54D51" w:rsidRPr="00037AD4" w:rsidRDefault="00B54D51" w:rsidP="00401C67">
            <w:pPr>
              <w:rPr>
                <w:rFonts w:asciiTheme="minorHAnsi" w:hAnsiTheme="minorHAnsi" w:cstheme="minorHAnsi"/>
                <w:b/>
                <w:bCs/>
                <w:color w:val="000000" w:themeColor="text1"/>
                <w:sz w:val="22"/>
                <w:szCs w:val="22"/>
              </w:rPr>
            </w:pPr>
            <w:r w:rsidRPr="00037AD4">
              <w:rPr>
                <w:rFonts w:asciiTheme="minorHAnsi" w:hAnsiTheme="minorHAnsi" w:cstheme="minorHAnsi"/>
                <w:b/>
                <w:bCs/>
                <w:color w:val="000000" w:themeColor="text1"/>
                <w:sz w:val="22"/>
                <w:szCs w:val="22"/>
              </w:rPr>
              <w:t>Funding</w:t>
            </w:r>
          </w:p>
        </w:tc>
      </w:tr>
      <w:tr w:rsidR="00B54D51" w:rsidRPr="00037AD4" w14:paraId="61E789E9" w14:textId="77777777" w:rsidTr="00401C67">
        <w:tc>
          <w:tcPr>
            <w:tcW w:w="1180" w:type="dxa"/>
          </w:tcPr>
          <w:p w14:paraId="104BB3F3"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SENSE-Cog, 2022</w:t>
            </w:r>
          </w:p>
        </w:tc>
        <w:tc>
          <w:tcPr>
            <w:tcW w:w="1519" w:type="dxa"/>
          </w:tcPr>
          <w:p w14:paraId="43432B6C"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Iracema Leori</w:t>
            </w:r>
          </w:p>
        </w:tc>
        <w:tc>
          <w:tcPr>
            <w:tcW w:w="1417" w:type="dxa"/>
          </w:tcPr>
          <w:p w14:paraId="02E5A647"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5 EU countries</w:t>
            </w:r>
          </w:p>
        </w:tc>
        <w:tc>
          <w:tcPr>
            <w:tcW w:w="1276" w:type="dxa"/>
          </w:tcPr>
          <w:p w14:paraId="3F28B5AE"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 xml:space="preserve">Community </w:t>
            </w:r>
          </w:p>
        </w:tc>
        <w:tc>
          <w:tcPr>
            <w:tcW w:w="1701" w:type="dxa"/>
          </w:tcPr>
          <w:p w14:paraId="17CE9D6C"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 xml:space="preserve">Non-pharmacological (behavioural) </w:t>
            </w:r>
          </w:p>
        </w:tc>
        <w:tc>
          <w:tcPr>
            <w:tcW w:w="1417" w:type="dxa"/>
          </w:tcPr>
          <w:p w14:paraId="6C79EE1B"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AD, VD or mixed</w:t>
            </w:r>
          </w:p>
        </w:tc>
        <w:tc>
          <w:tcPr>
            <w:tcW w:w="1276" w:type="dxa"/>
          </w:tcPr>
          <w:p w14:paraId="1CB072A7"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DEMQoL</w:t>
            </w:r>
          </w:p>
        </w:tc>
        <w:tc>
          <w:tcPr>
            <w:tcW w:w="2126" w:type="dxa"/>
          </w:tcPr>
          <w:p w14:paraId="382B396D"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-DEMQoL</w:t>
            </w:r>
          </w:p>
          <w:p w14:paraId="6D46CC62"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 xml:space="preserve">-DEMQoL-proxy </w:t>
            </w:r>
          </w:p>
          <w:p w14:paraId="501BB7DF"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-BADLS</w:t>
            </w:r>
          </w:p>
          <w:p w14:paraId="5269D1FC"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-MoCA</w:t>
            </w:r>
          </w:p>
          <w:p w14:paraId="40A98092"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 NPI</w:t>
            </w:r>
          </w:p>
          <w:p w14:paraId="41B63A94"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-RSS</w:t>
            </w:r>
          </w:p>
          <w:p w14:paraId="06F21BEE"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 Clinical measures of: hearing &amp; vision (related to Tx)</w:t>
            </w:r>
          </w:p>
        </w:tc>
        <w:tc>
          <w:tcPr>
            <w:tcW w:w="1276" w:type="dxa"/>
          </w:tcPr>
          <w:p w14:paraId="11263CF9"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 xml:space="preserve">Both </w:t>
            </w:r>
          </w:p>
        </w:tc>
        <w:tc>
          <w:tcPr>
            <w:tcW w:w="1559" w:type="dxa"/>
          </w:tcPr>
          <w:p w14:paraId="02FDE930"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 xml:space="preserve">EU Horizon 2020 </w:t>
            </w:r>
          </w:p>
        </w:tc>
      </w:tr>
      <w:tr w:rsidR="00B54D51" w:rsidRPr="00037AD4" w14:paraId="265A6D23" w14:textId="77777777" w:rsidTr="00401C67">
        <w:tc>
          <w:tcPr>
            <w:tcW w:w="1180" w:type="dxa"/>
          </w:tcPr>
          <w:p w14:paraId="0AA2A7B0"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DCM EPIC, 2018</w:t>
            </w:r>
          </w:p>
        </w:tc>
        <w:tc>
          <w:tcPr>
            <w:tcW w:w="1519" w:type="dxa"/>
          </w:tcPr>
          <w:p w14:paraId="1D07AE9B"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Claire Surr</w:t>
            </w:r>
          </w:p>
        </w:tc>
        <w:tc>
          <w:tcPr>
            <w:tcW w:w="1417" w:type="dxa"/>
          </w:tcPr>
          <w:p w14:paraId="4AC23578"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UK</w:t>
            </w:r>
          </w:p>
        </w:tc>
        <w:tc>
          <w:tcPr>
            <w:tcW w:w="1276" w:type="dxa"/>
          </w:tcPr>
          <w:p w14:paraId="178A092C"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Care home</w:t>
            </w:r>
          </w:p>
        </w:tc>
        <w:tc>
          <w:tcPr>
            <w:tcW w:w="1701" w:type="dxa"/>
          </w:tcPr>
          <w:p w14:paraId="258EA8E4"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 xml:space="preserve">Service delivery </w:t>
            </w:r>
          </w:p>
        </w:tc>
        <w:tc>
          <w:tcPr>
            <w:tcW w:w="1417" w:type="dxa"/>
          </w:tcPr>
          <w:p w14:paraId="6CF1E660"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AD</w:t>
            </w:r>
          </w:p>
        </w:tc>
        <w:tc>
          <w:tcPr>
            <w:tcW w:w="1276" w:type="dxa"/>
          </w:tcPr>
          <w:p w14:paraId="171FEFE2"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 xml:space="preserve">CMAI </w:t>
            </w:r>
          </w:p>
        </w:tc>
        <w:tc>
          <w:tcPr>
            <w:tcW w:w="2126" w:type="dxa"/>
          </w:tcPr>
          <w:p w14:paraId="3F426015"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-DEMQoL-Proxy</w:t>
            </w:r>
          </w:p>
          <w:p w14:paraId="706CDB32"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-EQ-5D</w:t>
            </w:r>
          </w:p>
          <w:p w14:paraId="1B21F7A4"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-NPI</w:t>
            </w:r>
          </w:p>
          <w:p w14:paraId="01260667"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-PAS</w:t>
            </w:r>
          </w:p>
        </w:tc>
        <w:tc>
          <w:tcPr>
            <w:tcW w:w="1276" w:type="dxa"/>
          </w:tcPr>
          <w:p w14:paraId="2AD05D42"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 xml:space="preserve">Both </w:t>
            </w:r>
          </w:p>
        </w:tc>
        <w:tc>
          <w:tcPr>
            <w:tcW w:w="1559" w:type="dxa"/>
          </w:tcPr>
          <w:p w14:paraId="16967D87"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Health Technology Assessment Programme, HTA</w:t>
            </w:r>
          </w:p>
        </w:tc>
      </w:tr>
      <w:tr w:rsidR="00B54D51" w:rsidRPr="00037AD4" w14:paraId="77560BE0" w14:textId="77777777" w:rsidTr="00401C67">
        <w:tc>
          <w:tcPr>
            <w:tcW w:w="1180" w:type="dxa"/>
          </w:tcPr>
          <w:p w14:paraId="7619A5AD"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AD2000, 2009</w:t>
            </w:r>
          </w:p>
        </w:tc>
        <w:tc>
          <w:tcPr>
            <w:tcW w:w="1519" w:type="dxa"/>
          </w:tcPr>
          <w:p w14:paraId="50F5CAC1"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Richard Gray</w:t>
            </w:r>
          </w:p>
        </w:tc>
        <w:tc>
          <w:tcPr>
            <w:tcW w:w="1417" w:type="dxa"/>
          </w:tcPr>
          <w:p w14:paraId="00703BBD"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UK</w:t>
            </w:r>
          </w:p>
        </w:tc>
        <w:tc>
          <w:tcPr>
            <w:tcW w:w="1276" w:type="dxa"/>
          </w:tcPr>
          <w:p w14:paraId="6CB06B2B"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 xml:space="preserve">Hospital </w:t>
            </w:r>
          </w:p>
        </w:tc>
        <w:tc>
          <w:tcPr>
            <w:tcW w:w="1701" w:type="dxa"/>
          </w:tcPr>
          <w:p w14:paraId="470C4297"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Pharmacological: donepezil &amp; aspirin</w:t>
            </w:r>
          </w:p>
        </w:tc>
        <w:tc>
          <w:tcPr>
            <w:tcW w:w="1417" w:type="dxa"/>
          </w:tcPr>
          <w:p w14:paraId="3C636483"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AD</w:t>
            </w:r>
          </w:p>
        </w:tc>
        <w:tc>
          <w:tcPr>
            <w:tcW w:w="1276" w:type="dxa"/>
          </w:tcPr>
          <w:p w14:paraId="4C13BE45"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MMSE,</w:t>
            </w:r>
          </w:p>
          <w:p w14:paraId="2C773E40"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BADLS</w:t>
            </w:r>
          </w:p>
          <w:p w14:paraId="759BE747" w14:textId="77777777" w:rsidR="00B54D51" w:rsidRPr="00037AD4" w:rsidRDefault="00B54D51" w:rsidP="00401C67">
            <w:pPr>
              <w:rPr>
                <w:rFonts w:asciiTheme="minorHAnsi" w:hAnsiTheme="minorHAnsi" w:cstheme="minorHAnsi"/>
                <w:color w:val="000000" w:themeColor="text1"/>
                <w:sz w:val="22"/>
                <w:szCs w:val="22"/>
              </w:rPr>
            </w:pPr>
          </w:p>
        </w:tc>
        <w:tc>
          <w:tcPr>
            <w:tcW w:w="2126" w:type="dxa"/>
          </w:tcPr>
          <w:p w14:paraId="79047A50"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-Time to institutional care</w:t>
            </w:r>
          </w:p>
          <w:p w14:paraId="3BD54214"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 xml:space="preserve">-Progress of disability (number of ADL impairments) </w:t>
            </w:r>
          </w:p>
          <w:p w14:paraId="7F54CC35"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-NPI</w:t>
            </w:r>
          </w:p>
          <w:p w14:paraId="732B1060"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-carer wellbeing: (GHQ-30)</w:t>
            </w:r>
          </w:p>
          <w:p w14:paraId="56202E48"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-deaths</w:t>
            </w:r>
          </w:p>
          <w:p w14:paraId="2B9C604A"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 xml:space="preserve">-compliance </w:t>
            </w:r>
          </w:p>
        </w:tc>
        <w:tc>
          <w:tcPr>
            <w:tcW w:w="1276" w:type="dxa"/>
          </w:tcPr>
          <w:p w14:paraId="2926D272"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n/a</w:t>
            </w:r>
          </w:p>
        </w:tc>
        <w:tc>
          <w:tcPr>
            <w:tcW w:w="1559" w:type="dxa"/>
          </w:tcPr>
          <w:p w14:paraId="516437E7"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West Midlands NHS Research &amp; Development Executive (UK)</w:t>
            </w:r>
          </w:p>
          <w:p w14:paraId="0CC1869E" w14:textId="77777777" w:rsidR="00B54D51" w:rsidRPr="00037AD4" w:rsidRDefault="00B54D51" w:rsidP="00401C67">
            <w:pPr>
              <w:rPr>
                <w:rFonts w:asciiTheme="minorHAnsi" w:hAnsiTheme="minorHAnsi" w:cstheme="minorHAnsi"/>
                <w:color w:val="000000" w:themeColor="text1"/>
                <w:sz w:val="22"/>
                <w:szCs w:val="22"/>
              </w:rPr>
            </w:pPr>
          </w:p>
        </w:tc>
      </w:tr>
      <w:tr w:rsidR="00B54D51" w:rsidRPr="00037AD4" w14:paraId="719AB86F" w14:textId="77777777" w:rsidTr="00401C67">
        <w:tc>
          <w:tcPr>
            <w:tcW w:w="1180" w:type="dxa"/>
          </w:tcPr>
          <w:p w14:paraId="3B127E38"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DOMINO-AD, 2017</w:t>
            </w:r>
          </w:p>
        </w:tc>
        <w:tc>
          <w:tcPr>
            <w:tcW w:w="1519" w:type="dxa"/>
          </w:tcPr>
          <w:p w14:paraId="4F810F46"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Robert Howard</w:t>
            </w:r>
          </w:p>
        </w:tc>
        <w:tc>
          <w:tcPr>
            <w:tcW w:w="1417" w:type="dxa"/>
          </w:tcPr>
          <w:p w14:paraId="2533BD9C"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UK</w:t>
            </w:r>
          </w:p>
        </w:tc>
        <w:tc>
          <w:tcPr>
            <w:tcW w:w="1276" w:type="dxa"/>
          </w:tcPr>
          <w:p w14:paraId="4CFDC098"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Not specified</w:t>
            </w:r>
          </w:p>
        </w:tc>
        <w:tc>
          <w:tcPr>
            <w:tcW w:w="1701" w:type="dxa"/>
          </w:tcPr>
          <w:p w14:paraId="3DD26687"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 xml:space="preserve">Pharmacological: donepezil &amp; memantine </w:t>
            </w:r>
          </w:p>
        </w:tc>
        <w:tc>
          <w:tcPr>
            <w:tcW w:w="1417" w:type="dxa"/>
          </w:tcPr>
          <w:p w14:paraId="4BB424AE"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AD</w:t>
            </w:r>
          </w:p>
        </w:tc>
        <w:tc>
          <w:tcPr>
            <w:tcW w:w="1276" w:type="dxa"/>
          </w:tcPr>
          <w:p w14:paraId="58F006AB"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sMMSE,</w:t>
            </w:r>
          </w:p>
          <w:p w14:paraId="0B3CB7B3"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BADLS</w:t>
            </w:r>
          </w:p>
        </w:tc>
        <w:tc>
          <w:tcPr>
            <w:tcW w:w="2126" w:type="dxa"/>
          </w:tcPr>
          <w:p w14:paraId="335FFEE2"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-NPI</w:t>
            </w:r>
          </w:p>
          <w:p w14:paraId="04C1E811"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-EQ-5D</w:t>
            </w:r>
          </w:p>
          <w:p w14:paraId="1DF07DFD"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-DEMQoL-proxy</w:t>
            </w:r>
          </w:p>
          <w:p w14:paraId="2E1E1406"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lastRenderedPageBreak/>
              <w:t>-carer burden: (GHQ-12)</w:t>
            </w:r>
          </w:p>
        </w:tc>
        <w:tc>
          <w:tcPr>
            <w:tcW w:w="1276" w:type="dxa"/>
          </w:tcPr>
          <w:p w14:paraId="52F2FE19"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lastRenderedPageBreak/>
              <w:t>Proxy</w:t>
            </w:r>
          </w:p>
        </w:tc>
        <w:tc>
          <w:tcPr>
            <w:tcW w:w="1559" w:type="dxa"/>
          </w:tcPr>
          <w:p w14:paraId="4F0AEFB4"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MRC</w:t>
            </w:r>
          </w:p>
        </w:tc>
      </w:tr>
      <w:tr w:rsidR="00B54D51" w:rsidRPr="00037AD4" w14:paraId="0A40B158" w14:textId="77777777" w:rsidTr="00401C67">
        <w:tc>
          <w:tcPr>
            <w:tcW w:w="1180" w:type="dxa"/>
          </w:tcPr>
          <w:p w14:paraId="57A277AE"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b/>
                <w:bCs/>
                <w:color w:val="000000" w:themeColor="text1"/>
                <w:sz w:val="22"/>
                <w:szCs w:val="22"/>
              </w:rPr>
              <w:t>Study name, year</w:t>
            </w:r>
          </w:p>
        </w:tc>
        <w:tc>
          <w:tcPr>
            <w:tcW w:w="1519" w:type="dxa"/>
          </w:tcPr>
          <w:p w14:paraId="0ED623B5"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b/>
                <w:bCs/>
                <w:color w:val="000000" w:themeColor="text1"/>
                <w:sz w:val="22"/>
                <w:szCs w:val="22"/>
              </w:rPr>
              <w:t xml:space="preserve">Primary investigator </w:t>
            </w:r>
          </w:p>
        </w:tc>
        <w:tc>
          <w:tcPr>
            <w:tcW w:w="1417" w:type="dxa"/>
          </w:tcPr>
          <w:p w14:paraId="482493E5"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b/>
                <w:bCs/>
                <w:color w:val="000000" w:themeColor="text1"/>
                <w:sz w:val="22"/>
                <w:szCs w:val="22"/>
              </w:rPr>
              <w:t>Country</w:t>
            </w:r>
          </w:p>
        </w:tc>
        <w:tc>
          <w:tcPr>
            <w:tcW w:w="1276" w:type="dxa"/>
          </w:tcPr>
          <w:p w14:paraId="3E4A9A6C"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b/>
                <w:bCs/>
                <w:color w:val="000000" w:themeColor="text1"/>
                <w:sz w:val="22"/>
                <w:szCs w:val="22"/>
              </w:rPr>
              <w:t>Trial Setting</w:t>
            </w:r>
          </w:p>
        </w:tc>
        <w:tc>
          <w:tcPr>
            <w:tcW w:w="1701" w:type="dxa"/>
          </w:tcPr>
          <w:p w14:paraId="4F130018"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b/>
                <w:bCs/>
                <w:color w:val="000000" w:themeColor="text1"/>
                <w:sz w:val="22"/>
                <w:szCs w:val="22"/>
              </w:rPr>
              <w:t>Intervention type</w:t>
            </w:r>
          </w:p>
        </w:tc>
        <w:tc>
          <w:tcPr>
            <w:tcW w:w="1417" w:type="dxa"/>
          </w:tcPr>
          <w:p w14:paraId="26F770E9"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b/>
                <w:bCs/>
                <w:color w:val="000000" w:themeColor="text1"/>
                <w:sz w:val="22"/>
                <w:szCs w:val="22"/>
              </w:rPr>
              <w:t>Type of dementia</w:t>
            </w:r>
          </w:p>
        </w:tc>
        <w:tc>
          <w:tcPr>
            <w:tcW w:w="1276" w:type="dxa"/>
          </w:tcPr>
          <w:p w14:paraId="7DB36C76"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b/>
                <w:bCs/>
                <w:color w:val="000000" w:themeColor="text1"/>
                <w:sz w:val="22"/>
                <w:szCs w:val="22"/>
              </w:rPr>
              <w:t>Primary outcome</w:t>
            </w:r>
          </w:p>
        </w:tc>
        <w:tc>
          <w:tcPr>
            <w:tcW w:w="2126" w:type="dxa"/>
          </w:tcPr>
          <w:p w14:paraId="6754F88E"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b/>
                <w:bCs/>
                <w:color w:val="000000" w:themeColor="text1"/>
                <w:sz w:val="22"/>
                <w:szCs w:val="22"/>
              </w:rPr>
              <w:t>Secondary outcomes</w:t>
            </w:r>
          </w:p>
        </w:tc>
        <w:tc>
          <w:tcPr>
            <w:tcW w:w="1276" w:type="dxa"/>
          </w:tcPr>
          <w:p w14:paraId="41D04C02"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b/>
                <w:bCs/>
                <w:color w:val="000000" w:themeColor="text1"/>
                <w:sz w:val="22"/>
                <w:szCs w:val="22"/>
              </w:rPr>
              <w:t>Self vs. proxy QoL?</w:t>
            </w:r>
          </w:p>
        </w:tc>
        <w:tc>
          <w:tcPr>
            <w:tcW w:w="1559" w:type="dxa"/>
          </w:tcPr>
          <w:p w14:paraId="6F00BC32"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b/>
                <w:bCs/>
                <w:color w:val="000000" w:themeColor="text1"/>
                <w:sz w:val="22"/>
                <w:szCs w:val="22"/>
              </w:rPr>
              <w:t>Funding</w:t>
            </w:r>
          </w:p>
        </w:tc>
      </w:tr>
      <w:tr w:rsidR="00B54D51" w:rsidRPr="00037AD4" w14:paraId="223B9867" w14:textId="77777777" w:rsidTr="00401C67">
        <w:tc>
          <w:tcPr>
            <w:tcW w:w="1180" w:type="dxa"/>
          </w:tcPr>
          <w:p w14:paraId="6EE03516"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iCST, 2022</w:t>
            </w:r>
          </w:p>
        </w:tc>
        <w:tc>
          <w:tcPr>
            <w:tcW w:w="1519" w:type="dxa"/>
          </w:tcPr>
          <w:p w14:paraId="2A618F12"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Afia Ali</w:t>
            </w:r>
          </w:p>
        </w:tc>
        <w:tc>
          <w:tcPr>
            <w:tcW w:w="1417" w:type="dxa"/>
          </w:tcPr>
          <w:p w14:paraId="7BBA6599"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UK</w:t>
            </w:r>
          </w:p>
        </w:tc>
        <w:tc>
          <w:tcPr>
            <w:tcW w:w="1276" w:type="dxa"/>
          </w:tcPr>
          <w:p w14:paraId="38D8AA66"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 xml:space="preserve">Community learning </w:t>
            </w:r>
          </w:p>
        </w:tc>
        <w:tc>
          <w:tcPr>
            <w:tcW w:w="1701" w:type="dxa"/>
          </w:tcPr>
          <w:p w14:paraId="6B0DE2CB"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 xml:space="preserve">Non-pharmacological (behavioural) </w:t>
            </w:r>
          </w:p>
        </w:tc>
        <w:tc>
          <w:tcPr>
            <w:tcW w:w="1417" w:type="dxa"/>
          </w:tcPr>
          <w:p w14:paraId="0EC27A7D"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Dementia &amp; down syndrome</w:t>
            </w:r>
          </w:p>
        </w:tc>
        <w:tc>
          <w:tcPr>
            <w:tcW w:w="1276" w:type="dxa"/>
          </w:tcPr>
          <w:p w14:paraId="55E1C0E3"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 xml:space="preserve">CAMCOG-DS </w:t>
            </w:r>
          </w:p>
        </w:tc>
        <w:tc>
          <w:tcPr>
            <w:tcW w:w="2126" w:type="dxa"/>
          </w:tcPr>
          <w:p w14:paraId="50B19623"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-Modified memory for objects test</w:t>
            </w:r>
          </w:p>
          <w:p w14:paraId="47D9961B"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-Cognitive scale for down syndrome</w:t>
            </w:r>
          </w:p>
          <w:p w14:paraId="0160580A"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w:t>
            </w:r>
            <w:r w:rsidRPr="00037AD4">
              <w:rPr>
                <w:rFonts w:asciiTheme="minorHAnsi" w:hAnsiTheme="minorHAnsi" w:cstheme="minorHAnsi"/>
                <w:color w:val="000000" w:themeColor="text1"/>
                <w:sz w:val="22"/>
                <w:szCs w:val="22"/>
                <w:shd w:val="clear" w:color="auto" w:fill="FFFFFF"/>
              </w:rPr>
              <w:t>ADCS-ADL</w:t>
            </w:r>
          </w:p>
          <w:p w14:paraId="681E1D05"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-QoL-AD proxy</w:t>
            </w:r>
          </w:p>
          <w:p w14:paraId="664C3B28"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-Carer Burden: -Caregiver Burden Scale</w:t>
            </w:r>
          </w:p>
          <w:p w14:paraId="158659E1"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-SCIDS</w:t>
            </w:r>
          </w:p>
          <w:p w14:paraId="5E32D93D"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-Carer Anxiety &amp; Depression: HADS</w:t>
            </w:r>
          </w:p>
        </w:tc>
        <w:tc>
          <w:tcPr>
            <w:tcW w:w="1276" w:type="dxa"/>
          </w:tcPr>
          <w:p w14:paraId="5FC4E475"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Proxy</w:t>
            </w:r>
          </w:p>
        </w:tc>
        <w:tc>
          <w:tcPr>
            <w:tcW w:w="1559" w:type="dxa"/>
          </w:tcPr>
          <w:p w14:paraId="1F7D3A8B"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 xml:space="preserve">Baily Thomas Charitable Fund UK </w:t>
            </w:r>
          </w:p>
        </w:tc>
      </w:tr>
      <w:tr w:rsidR="00B54D51" w:rsidRPr="00037AD4" w14:paraId="5C6F2F32" w14:textId="77777777" w:rsidTr="00401C67">
        <w:tc>
          <w:tcPr>
            <w:tcW w:w="1180" w:type="dxa"/>
          </w:tcPr>
          <w:p w14:paraId="635259D8"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GREAT, 2019</w:t>
            </w:r>
          </w:p>
        </w:tc>
        <w:tc>
          <w:tcPr>
            <w:tcW w:w="1519" w:type="dxa"/>
          </w:tcPr>
          <w:p w14:paraId="694D96AC"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Linda Clare</w:t>
            </w:r>
          </w:p>
        </w:tc>
        <w:tc>
          <w:tcPr>
            <w:tcW w:w="1417" w:type="dxa"/>
          </w:tcPr>
          <w:p w14:paraId="609A3134"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UK</w:t>
            </w:r>
          </w:p>
        </w:tc>
        <w:tc>
          <w:tcPr>
            <w:tcW w:w="1276" w:type="dxa"/>
          </w:tcPr>
          <w:p w14:paraId="165E873D"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 xml:space="preserve">Hospitals </w:t>
            </w:r>
          </w:p>
        </w:tc>
        <w:tc>
          <w:tcPr>
            <w:tcW w:w="1701" w:type="dxa"/>
          </w:tcPr>
          <w:p w14:paraId="4376DF7D"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Non-pharmacological (behavioural)</w:t>
            </w:r>
          </w:p>
        </w:tc>
        <w:tc>
          <w:tcPr>
            <w:tcW w:w="1417" w:type="dxa"/>
          </w:tcPr>
          <w:p w14:paraId="42689E52"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AD, vascular or mixed</w:t>
            </w:r>
          </w:p>
        </w:tc>
        <w:tc>
          <w:tcPr>
            <w:tcW w:w="1276" w:type="dxa"/>
          </w:tcPr>
          <w:p w14:paraId="428E7672"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Bangor Goal-Setting interview</w:t>
            </w:r>
          </w:p>
        </w:tc>
        <w:tc>
          <w:tcPr>
            <w:tcW w:w="2126" w:type="dxa"/>
          </w:tcPr>
          <w:p w14:paraId="6E62D844"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-DEMQoL</w:t>
            </w:r>
          </w:p>
          <w:p w14:paraId="610F9546"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-GSE</w:t>
            </w:r>
          </w:p>
          <w:p w14:paraId="2DDE7FEA"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 HADS</w:t>
            </w:r>
          </w:p>
          <w:p w14:paraId="4BDDF38C"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-RBMT</w:t>
            </w:r>
          </w:p>
          <w:p w14:paraId="1CD51CE6"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 Test of Everyday Attention</w:t>
            </w:r>
          </w:p>
          <w:p w14:paraId="36C271A1"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 D-KEFS</w:t>
            </w:r>
          </w:p>
          <w:p w14:paraId="5C8E11AA"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 CSRI</w:t>
            </w:r>
          </w:p>
          <w:p w14:paraId="5148A157"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-Carer Outcomes: Relatives’ Stress Scale, EQ-5D, WHOQoL-BREF</w:t>
            </w:r>
          </w:p>
        </w:tc>
        <w:tc>
          <w:tcPr>
            <w:tcW w:w="1276" w:type="dxa"/>
          </w:tcPr>
          <w:p w14:paraId="6A6266BC"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Self</w:t>
            </w:r>
          </w:p>
        </w:tc>
        <w:tc>
          <w:tcPr>
            <w:tcW w:w="1559" w:type="dxa"/>
          </w:tcPr>
          <w:p w14:paraId="5C0C3C39"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 xml:space="preserve">NIHR Health Technology Assessment Programme </w:t>
            </w:r>
          </w:p>
        </w:tc>
      </w:tr>
      <w:tr w:rsidR="00B54D51" w:rsidRPr="00037AD4" w14:paraId="45559A84" w14:textId="77777777" w:rsidTr="00401C67">
        <w:tc>
          <w:tcPr>
            <w:tcW w:w="1180" w:type="dxa"/>
          </w:tcPr>
          <w:p w14:paraId="30727EDC"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DPACT, 2020</w:t>
            </w:r>
          </w:p>
        </w:tc>
        <w:tc>
          <w:tcPr>
            <w:tcW w:w="1519" w:type="dxa"/>
          </w:tcPr>
          <w:p w14:paraId="337994C4"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Richard Byng</w:t>
            </w:r>
          </w:p>
        </w:tc>
        <w:tc>
          <w:tcPr>
            <w:tcW w:w="1417" w:type="dxa"/>
          </w:tcPr>
          <w:p w14:paraId="5A4CEAAF"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UK</w:t>
            </w:r>
          </w:p>
        </w:tc>
        <w:tc>
          <w:tcPr>
            <w:tcW w:w="1276" w:type="dxa"/>
          </w:tcPr>
          <w:p w14:paraId="53D4205A"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GP practices</w:t>
            </w:r>
          </w:p>
        </w:tc>
        <w:tc>
          <w:tcPr>
            <w:tcW w:w="1701" w:type="dxa"/>
          </w:tcPr>
          <w:p w14:paraId="0BEA024D"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Service delivery (support workers)</w:t>
            </w:r>
          </w:p>
        </w:tc>
        <w:tc>
          <w:tcPr>
            <w:tcW w:w="1417" w:type="dxa"/>
          </w:tcPr>
          <w:p w14:paraId="2B670324"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 xml:space="preserve">All </w:t>
            </w:r>
          </w:p>
        </w:tc>
        <w:tc>
          <w:tcPr>
            <w:tcW w:w="1276" w:type="dxa"/>
          </w:tcPr>
          <w:p w14:paraId="29F03447"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 xml:space="preserve">DEMQoL, BADLS, NPI </w:t>
            </w:r>
          </w:p>
        </w:tc>
        <w:tc>
          <w:tcPr>
            <w:tcW w:w="2126" w:type="dxa"/>
          </w:tcPr>
          <w:p w14:paraId="7F12441B"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-MMSE</w:t>
            </w:r>
          </w:p>
          <w:p w14:paraId="7ACBC879"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-Carer wellbeing and support scale</w:t>
            </w:r>
          </w:p>
        </w:tc>
        <w:tc>
          <w:tcPr>
            <w:tcW w:w="1276" w:type="dxa"/>
          </w:tcPr>
          <w:p w14:paraId="76D6D625"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Both</w:t>
            </w:r>
          </w:p>
        </w:tc>
        <w:tc>
          <w:tcPr>
            <w:tcW w:w="1559" w:type="dxa"/>
          </w:tcPr>
          <w:p w14:paraId="2AE243F3"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 xml:space="preserve">NIHR Programme Grant for </w:t>
            </w:r>
            <w:r w:rsidRPr="00037AD4">
              <w:rPr>
                <w:rFonts w:asciiTheme="minorHAnsi" w:hAnsiTheme="minorHAnsi" w:cstheme="minorHAnsi"/>
                <w:color w:val="000000" w:themeColor="text1"/>
                <w:sz w:val="22"/>
                <w:szCs w:val="22"/>
              </w:rPr>
              <w:lastRenderedPageBreak/>
              <w:t>Applied Research</w:t>
            </w:r>
          </w:p>
        </w:tc>
      </w:tr>
      <w:tr w:rsidR="00B54D51" w:rsidRPr="00037AD4" w14:paraId="4ABFFE27" w14:textId="77777777" w:rsidTr="00401C67">
        <w:tc>
          <w:tcPr>
            <w:tcW w:w="1180" w:type="dxa"/>
          </w:tcPr>
          <w:p w14:paraId="0015A09C"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b/>
                <w:bCs/>
                <w:color w:val="000000" w:themeColor="text1"/>
                <w:sz w:val="22"/>
                <w:szCs w:val="22"/>
              </w:rPr>
              <w:lastRenderedPageBreak/>
              <w:t>Study name, year</w:t>
            </w:r>
          </w:p>
        </w:tc>
        <w:tc>
          <w:tcPr>
            <w:tcW w:w="1519" w:type="dxa"/>
          </w:tcPr>
          <w:p w14:paraId="58BF2E4D" w14:textId="77777777" w:rsidR="00B54D51" w:rsidRPr="00037AD4" w:rsidRDefault="00B54D51" w:rsidP="00401C67">
            <w:pPr>
              <w:pStyle w:val="NormalWeb"/>
              <w:rPr>
                <w:rFonts w:asciiTheme="minorHAnsi" w:hAnsiTheme="minorHAnsi" w:cstheme="minorHAnsi"/>
                <w:color w:val="000000" w:themeColor="text1"/>
                <w:sz w:val="22"/>
                <w:szCs w:val="22"/>
              </w:rPr>
            </w:pPr>
            <w:r w:rsidRPr="00037AD4">
              <w:rPr>
                <w:rFonts w:asciiTheme="minorHAnsi" w:hAnsiTheme="minorHAnsi" w:cstheme="minorHAnsi"/>
                <w:b/>
                <w:bCs/>
                <w:color w:val="000000" w:themeColor="text1"/>
                <w:sz w:val="22"/>
                <w:szCs w:val="22"/>
              </w:rPr>
              <w:t xml:space="preserve">Primary investigator </w:t>
            </w:r>
          </w:p>
        </w:tc>
        <w:tc>
          <w:tcPr>
            <w:tcW w:w="1417" w:type="dxa"/>
          </w:tcPr>
          <w:p w14:paraId="39603191"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b/>
                <w:bCs/>
                <w:color w:val="000000" w:themeColor="text1"/>
                <w:sz w:val="22"/>
                <w:szCs w:val="22"/>
              </w:rPr>
              <w:t>Country</w:t>
            </w:r>
          </w:p>
        </w:tc>
        <w:tc>
          <w:tcPr>
            <w:tcW w:w="1276" w:type="dxa"/>
          </w:tcPr>
          <w:p w14:paraId="3A5A56E0"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b/>
                <w:bCs/>
                <w:color w:val="000000" w:themeColor="text1"/>
                <w:sz w:val="22"/>
                <w:szCs w:val="22"/>
              </w:rPr>
              <w:t>Trial Setting</w:t>
            </w:r>
          </w:p>
        </w:tc>
        <w:tc>
          <w:tcPr>
            <w:tcW w:w="1701" w:type="dxa"/>
          </w:tcPr>
          <w:p w14:paraId="36C3A8FD"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b/>
                <w:bCs/>
                <w:color w:val="000000" w:themeColor="text1"/>
                <w:sz w:val="22"/>
                <w:szCs w:val="22"/>
              </w:rPr>
              <w:t>Intervention type</w:t>
            </w:r>
          </w:p>
        </w:tc>
        <w:tc>
          <w:tcPr>
            <w:tcW w:w="1417" w:type="dxa"/>
          </w:tcPr>
          <w:p w14:paraId="0B36D50B"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b/>
                <w:bCs/>
                <w:color w:val="000000" w:themeColor="text1"/>
                <w:sz w:val="22"/>
                <w:szCs w:val="22"/>
              </w:rPr>
              <w:t>Type of dementia</w:t>
            </w:r>
          </w:p>
        </w:tc>
        <w:tc>
          <w:tcPr>
            <w:tcW w:w="1276" w:type="dxa"/>
          </w:tcPr>
          <w:p w14:paraId="5197C662"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b/>
                <w:bCs/>
                <w:color w:val="000000" w:themeColor="text1"/>
                <w:sz w:val="22"/>
                <w:szCs w:val="22"/>
              </w:rPr>
              <w:t>Primary outcome</w:t>
            </w:r>
          </w:p>
        </w:tc>
        <w:tc>
          <w:tcPr>
            <w:tcW w:w="2126" w:type="dxa"/>
          </w:tcPr>
          <w:p w14:paraId="46A29111"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b/>
                <w:bCs/>
                <w:color w:val="000000" w:themeColor="text1"/>
                <w:sz w:val="22"/>
                <w:szCs w:val="22"/>
              </w:rPr>
              <w:t>Secondary outcomes</w:t>
            </w:r>
          </w:p>
        </w:tc>
        <w:tc>
          <w:tcPr>
            <w:tcW w:w="1276" w:type="dxa"/>
          </w:tcPr>
          <w:p w14:paraId="65A40F7E"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b/>
                <w:bCs/>
                <w:color w:val="000000" w:themeColor="text1"/>
                <w:sz w:val="22"/>
                <w:szCs w:val="22"/>
              </w:rPr>
              <w:t>Self vs. proxy QoL?</w:t>
            </w:r>
          </w:p>
        </w:tc>
        <w:tc>
          <w:tcPr>
            <w:tcW w:w="1559" w:type="dxa"/>
          </w:tcPr>
          <w:p w14:paraId="61F33834"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b/>
                <w:bCs/>
                <w:color w:val="000000" w:themeColor="text1"/>
                <w:sz w:val="22"/>
                <w:szCs w:val="22"/>
              </w:rPr>
              <w:t>Funding</w:t>
            </w:r>
          </w:p>
        </w:tc>
      </w:tr>
      <w:tr w:rsidR="00B54D51" w:rsidRPr="00037AD4" w14:paraId="378A1D3B" w14:textId="77777777" w:rsidTr="00401C67">
        <w:tc>
          <w:tcPr>
            <w:tcW w:w="1180" w:type="dxa"/>
          </w:tcPr>
          <w:p w14:paraId="42860126"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ADEX, 2013</w:t>
            </w:r>
          </w:p>
        </w:tc>
        <w:tc>
          <w:tcPr>
            <w:tcW w:w="1519" w:type="dxa"/>
          </w:tcPr>
          <w:p w14:paraId="29E6E69F" w14:textId="77777777" w:rsidR="00B54D51" w:rsidRPr="00037AD4" w:rsidRDefault="00B54D51" w:rsidP="00401C67">
            <w:pPr>
              <w:pStyle w:val="NormalWeb"/>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Gunhild Waldemar</w:t>
            </w:r>
          </w:p>
        </w:tc>
        <w:tc>
          <w:tcPr>
            <w:tcW w:w="1417" w:type="dxa"/>
          </w:tcPr>
          <w:p w14:paraId="1A2A371C"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Denmark</w:t>
            </w:r>
          </w:p>
        </w:tc>
        <w:tc>
          <w:tcPr>
            <w:tcW w:w="1276" w:type="dxa"/>
          </w:tcPr>
          <w:p w14:paraId="6090DC60"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Memory clinics</w:t>
            </w:r>
          </w:p>
        </w:tc>
        <w:tc>
          <w:tcPr>
            <w:tcW w:w="1701" w:type="dxa"/>
          </w:tcPr>
          <w:p w14:paraId="30633959"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Non-pharmacological (exercise)</w:t>
            </w:r>
          </w:p>
        </w:tc>
        <w:tc>
          <w:tcPr>
            <w:tcW w:w="1417" w:type="dxa"/>
          </w:tcPr>
          <w:p w14:paraId="699BE971"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AD</w:t>
            </w:r>
          </w:p>
        </w:tc>
        <w:tc>
          <w:tcPr>
            <w:tcW w:w="1276" w:type="dxa"/>
          </w:tcPr>
          <w:p w14:paraId="1D577349"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shd w:val="clear" w:color="auto" w:fill="FFFFFF"/>
              </w:rPr>
              <w:t>Symbol Digit Modalities Test</w:t>
            </w:r>
          </w:p>
          <w:p w14:paraId="3EEE8C30"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(cognition)</w:t>
            </w:r>
          </w:p>
          <w:p w14:paraId="6084F104" w14:textId="77777777" w:rsidR="00B54D51" w:rsidRPr="00037AD4" w:rsidRDefault="00B54D51" w:rsidP="00401C67">
            <w:pPr>
              <w:rPr>
                <w:rFonts w:asciiTheme="minorHAnsi" w:hAnsiTheme="minorHAnsi" w:cstheme="minorHAnsi"/>
                <w:color w:val="000000" w:themeColor="text1"/>
                <w:sz w:val="22"/>
                <w:szCs w:val="22"/>
                <w:shd w:val="clear" w:color="auto" w:fill="FFFFFF"/>
              </w:rPr>
            </w:pPr>
          </w:p>
        </w:tc>
        <w:tc>
          <w:tcPr>
            <w:tcW w:w="2126" w:type="dxa"/>
          </w:tcPr>
          <w:p w14:paraId="671F0FA6"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-ADAS-Cog</w:t>
            </w:r>
          </w:p>
          <w:p w14:paraId="2DA85468"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-verbal fluency, Stroop colour and world test</w:t>
            </w:r>
          </w:p>
          <w:p w14:paraId="2DBAF259"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-MMSE</w:t>
            </w:r>
          </w:p>
          <w:p w14:paraId="77F00EA1"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-EQ-5D</w:t>
            </w:r>
          </w:p>
          <w:p w14:paraId="4F6E2F92"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-EQ-VAS</w:t>
            </w:r>
          </w:p>
          <w:p w14:paraId="5123E242"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-ADCS-ADL</w:t>
            </w:r>
          </w:p>
          <w:p w14:paraId="68ABDF3B"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-HDR-17</w:t>
            </w:r>
          </w:p>
          <w:p w14:paraId="249FD1CC"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 PASE</w:t>
            </w:r>
          </w:p>
        </w:tc>
        <w:tc>
          <w:tcPr>
            <w:tcW w:w="1276" w:type="dxa"/>
          </w:tcPr>
          <w:p w14:paraId="22404026"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Both</w:t>
            </w:r>
          </w:p>
        </w:tc>
        <w:tc>
          <w:tcPr>
            <w:tcW w:w="1559" w:type="dxa"/>
          </w:tcPr>
          <w:p w14:paraId="15E9BEC2" w14:textId="77777777" w:rsidR="00B54D51" w:rsidRPr="00037AD4" w:rsidRDefault="00B54D51" w:rsidP="00401C67">
            <w:pPr>
              <w:pStyle w:val="NormalWeb"/>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 xml:space="preserve">Danish Council for Strategic Research </w:t>
            </w:r>
          </w:p>
          <w:p w14:paraId="4347E0DB" w14:textId="77777777" w:rsidR="00B54D51" w:rsidRPr="00037AD4" w:rsidRDefault="00B54D51" w:rsidP="00401C67">
            <w:pPr>
              <w:pStyle w:val="NormalWeb"/>
              <w:rPr>
                <w:rFonts w:asciiTheme="minorHAnsi" w:hAnsiTheme="minorHAnsi" w:cstheme="minorHAnsi"/>
                <w:color w:val="000000" w:themeColor="text1"/>
                <w:sz w:val="22"/>
                <w:szCs w:val="22"/>
              </w:rPr>
            </w:pPr>
          </w:p>
        </w:tc>
      </w:tr>
      <w:tr w:rsidR="00B54D51" w:rsidRPr="00037AD4" w14:paraId="6576CCCF" w14:textId="77777777" w:rsidTr="00401C67">
        <w:tc>
          <w:tcPr>
            <w:tcW w:w="1180" w:type="dxa"/>
          </w:tcPr>
          <w:p w14:paraId="48903AF2"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mCST SHEILD, 2018</w:t>
            </w:r>
          </w:p>
        </w:tc>
        <w:tc>
          <w:tcPr>
            <w:tcW w:w="1519" w:type="dxa"/>
          </w:tcPr>
          <w:p w14:paraId="60323FF0" w14:textId="77777777" w:rsidR="00B54D51" w:rsidRPr="00037AD4" w:rsidRDefault="00B54D51" w:rsidP="00401C67">
            <w:pPr>
              <w:pStyle w:val="NormalWeb"/>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Martin Orrell</w:t>
            </w:r>
          </w:p>
        </w:tc>
        <w:tc>
          <w:tcPr>
            <w:tcW w:w="1417" w:type="dxa"/>
          </w:tcPr>
          <w:p w14:paraId="02CBB4DB"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UK</w:t>
            </w:r>
          </w:p>
        </w:tc>
        <w:tc>
          <w:tcPr>
            <w:tcW w:w="1276" w:type="dxa"/>
          </w:tcPr>
          <w:p w14:paraId="5BE5E0CA"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 xml:space="preserve">Dementia care and NHS Trusts </w:t>
            </w:r>
          </w:p>
        </w:tc>
        <w:tc>
          <w:tcPr>
            <w:tcW w:w="1701" w:type="dxa"/>
          </w:tcPr>
          <w:p w14:paraId="1CED9E2C"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Non-pharmacological (behavioural)</w:t>
            </w:r>
          </w:p>
        </w:tc>
        <w:tc>
          <w:tcPr>
            <w:tcW w:w="1417" w:type="dxa"/>
          </w:tcPr>
          <w:p w14:paraId="62D9C0F8"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Any</w:t>
            </w:r>
          </w:p>
        </w:tc>
        <w:tc>
          <w:tcPr>
            <w:tcW w:w="1276" w:type="dxa"/>
          </w:tcPr>
          <w:p w14:paraId="56CCD2C4"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ADAS-Cog</w:t>
            </w:r>
          </w:p>
          <w:p w14:paraId="0ABE9FE5"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QoL-AD</w:t>
            </w:r>
          </w:p>
          <w:p w14:paraId="4E08BCE0"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EQ-5D</w:t>
            </w:r>
          </w:p>
          <w:p w14:paraId="4042CF6B"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DEMQoL</w:t>
            </w:r>
          </w:p>
        </w:tc>
        <w:tc>
          <w:tcPr>
            <w:tcW w:w="2126" w:type="dxa"/>
          </w:tcPr>
          <w:p w14:paraId="5E1C00E1"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-HCS</w:t>
            </w:r>
          </w:p>
          <w:p w14:paraId="735A9CBD"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-CDR</w:t>
            </w:r>
          </w:p>
          <w:p w14:paraId="763BF92A"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-CSDD</w:t>
            </w:r>
          </w:p>
          <w:p w14:paraId="75D2BFDC"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-RAID</w:t>
            </w:r>
          </w:p>
          <w:p w14:paraId="311741A6"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-NPI</w:t>
            </w:r>
          </w:p>
          <w:p w14:paraId="643E5857"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-ADCS-ADL</w:t>
            </w:r>
          </w:p>
          <w:p w14:paraId="46CFF60B"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-SF-12</w:t>
            </w:r>
          </w:p>
        </w:tc>
        <w:tc>
          <w:tcPr>
            <w:tcW w:w="1276" w:type="dxa"/>
          </w:tcPr>
          <w:p w14:paraId="331EE82D"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Both</w:t>
            </w:r>
          </w:p>
        </w:tc>
        <w:tc>
          <w:tcPr>
            <w:tcW w:w="1559" w:type="dxa"/>
          </w:tcPr>
          <w:p w14:paraId="43BDDA91" w14:textId="77777777" w:rsidR="00B54D51" w:rsidRPr="00037AD4" w:rsidRDefault="00B54D51" w:rsidP="00401C67">
            <w:pPr>
              <w:pStyle w:val="NormalWeb"/>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NIHR</w:t>
            </w:r>
          </w:p>
        </w:tc>
      </w:tr>
      <w:tr w:rsidR="00B54D51" w:rsidRPr="00037AD4" w14:paraId="2B90B71E" w14:textId="77777777" w:rsidTr="00401C67">
        <w:tc>
          <w:tcPr>
            <w:tcW w:w="1180" w:type="dxa"/>
          </w:tcPr>
          <w:p w14:paraId="199BFCC4"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EVIDEM-E, 2018</w:t>
            </w:r>
          </w:p>
          <w:p w14:paraId="103C9D55" w14:textId="77777777" w:rsidR="00B54D51" w:rsidRPr="00037AD4" w:rsidRDefault="00B54D51" w:rsidP="00401C67">
            <w:pPr>
              <w:rPr>
                <w:rFonts w:asciiTheme="minorHAnsi" w:hAnsiTheme="minorHAnsi" w:cstheme="minorHAnsi"/>
                <w:color w:val="000000" w:themeColor="text1"/>
                <w:sz w:val="22"/>
                <w:szCs w:val="22"/>
              </w:rPr>
            </w:pPr>
          </w:p>
          <w:p w14:paraId="006C8D37" w14:textId="77777777" w:rsidR="00B54D51" w:rsidRPr="00037AD4" w:rsidRDefault="00B54D51" w:rsidP="00401C67">
            <w:pPr>
              <w:rPr>
                <w:rFonts w:asciiTheme="minorHAnsi" w:hAnsiTheme="minorHAnsi" w:cstheme="minorHAnsi"/>
                <w:color w:val="000000" w:themeColor="text1"/>
                <w:sz w:val="22"/>
                <w:szCs w:val="22"/>
              </w:rPr>
            </w:pPr>
          </w:p>
          <w:p w14:paraId="5F722775" w14:textId="77777777" w:rsidR="00B54D51" w:rsidRPr="00037AD4" w:rsidRDefault="00B54D51" w:rsidP="00401C67">
            <w:pPr>
              <w:rPr>
                <w:rFonts w:asciiTheme="minorHAnsi" w:hAnsiTheme="minorHAnsi" w:cstheme="minorHAnsi"/>
                <w:color w:val="000000" w:themeColor="text1"/>
                <w:sz w:val="22"/>
                <w:szCs w:val="22"/>
              </w:rPr>
            </w:pPr>
          </w:p>
          <w:p w14:paraId="3960A15A" w14:textId="77777777" w:rsidR="00B54D51" w:rsidRPr="00037AD4" w:rsidRDefault="00B54D51" w:rsidP="00401C67">
            <w:pPr>
              <w:rPr>
                <w:rFonts w:asciiTheme="minorHAnsi" w:hAnsiTheme="minorHAnsi" w:cstheme="minorHAnsi"/>
                <w:color w:val="000000" w:themeColor="text1"/>
                <w:sz w:val="22"/>
                <w:szCs w:val="22"/>
              </w:rPr>
            </w:pPr>
          </w:p>
          <w:p w14:paraId="4B1AC393" w14:textId="77777777" w:rsidR="00B54D51" w:rsidRPr="00037AD4" w:rsidRDefault="00B54D51" w:rsidP="00401C67">
            <w:pPr>
              <w:rPr>
                <w:rFonts w:asciiTheme="minorHAnsi" w:hAnsiTheme="minorHAnsi" w:cstheme="minorHAnsi"/>
                <w:color w:val="000000" w:themeColor="text1"/>
                <w:sz w:val="22"/>
                <w:szCs w:val="22"/>
              </w:rPr>
            </w:pPr>
          </w:p>
          <w:p w14:paraId="5CCDBBFD" w14:textId="77777777" w:rsidR="00B54D51" w:rsidRPr="00037AD4" w:rsidRDefault="00B54D51" w:rsidP="00401C67">
            <w:pPr>
              <w:rPr>
                <w:rFonts w:asciiTheme="minorHAnsi" w:hAnsiTheme="minorHAnsi" w:cstheme="minorHAnsi"/>
                <w:color w:val="000000" w:themeColor="text1"/>
                <w:sz w:val="22"/>
                <w:szCs w:val="22"/>
              </w:rPr>
            </w:pPr>
          </w:p>
          <w:p w14:paraId="5BB1ADBA" w14:textId="77777777" w:rsidR="00B54D51" w:rsidRPr="00037AD4" w:rsidRDefault="00B54D51" w:rsidP="00401C67">
            <w:pPr>
              <w:rPr>
                <w:rFonts w:asciiTheme="minorHAnsi" w:hAnsiTheme="minorHAnsi" w:cstheme="minorHAnsi"/>
                <w:color w:val="000000" w:themeColor="text1"/>
                <w:sz w:val="22"/>
                <w:szCs w:val="22"/>
              </w:rPr>
            </w:pPr>
          </w:p>
          <w:p w14:paraId="4A62AA16" w14:textId="77777777" w:rsidR="00B54D51" w:rsidRPr="00037AD4" w:rsidRDefault="00B54D51" w:rsidP="00401C67">
            <w:pPr>
              <w:rPr>
                <w:rFonts w:asciiTheme="minorHAnsi" w:hAnsiTheme="minorHAnsi" w:cstheme="minorHAnsi"/>
                <w:color w:val="000000" w:themeColor="text1"/>
                <w:sz w:val="22"/>
                <w:szCs w:val="22"/>
              </w:rPr>
            </w:pPr>
          </w:p>
          <w:p w14:paraId="4623EEF3" w14:textId="77777777" w:rsidR="00B54D51" w:rsidRPr="00037AD4" w:rsidRDefault="00B54D51" w:rsidP="00401C67">
            <w:pPr>
              <w:rPr>
                <w:rFonts w:asciiTheme="minorHAnsi" w:hAnsiTheme="minorHAnsi" w:cstheme="minorHAnsi"/>
                <w:color w:val="000000" w:themeColor="text1"/>
                <w:sz w:val="22"/>
                <w:szCs w:val="22"/>
              </w:rPr>
            </w:pPr>
          </w:p>
        </w:tc>
        <w:tc>
          <w:tcPr>
            <w:tcW w:w="1519" w:type="dxa"/>
          </w:tcPr>
          <w:p w14:paraId="6B92BBC3" w14:textId="77777777" w:rsidR="00B54D51" w:rsidRPr="00037AD4" w:rsidRDefault="00B54D51" w:rsidP="00401C67">
            <w:pPr>
              <w:pStyle w:val="NormalWeb"/>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David Lowery</w:t>
            </w:r>
          </w:p>
        </w:tc>
        <w:tc>
          <w:tcPr>
            <w:tcW w:w="1417" w:type="dxa"/>
          </w:tcPr>
          <w:p w14:paraId="773A1FB9"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UK</w:t>
            </w:r>
          </w:p>
        </w:tc>
        <w:tc>
          <w:tcPr>
            <w:tcW w:w="1276" w:type="dxa"/>
          </w:tcPr>
          <w:p w14:paraId="0BDFEE07"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Other</w:t>
            </w:r>
          </w:p>
        </w:tc>
        <w:tc>
          <w:tcPr>
            <w:tcW w:w="1701" w:type="dxa"/>
          </w:tcPr>
          <w:p w14:paraId="28BB32B9"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Non-pharmacological (exercise)</w:t>
            </w:r>
          </w:p>
        </w:tc>
        <w:tc>
          <w:tcPr>
            <w:tcW w:w="1417" w:type="dxa"/>
          </w:tcPr>
          <w:p w14:paraId="3095B52E"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Any</w:t>
            </w:r>
          </w:p>
        </w:tc>
        <w:tc>
          <w:tcPr>
            <w:tcW w:w="1276" w:type="dxa"/>
          </w:tcPr>
          <w:p w14:paraId="7A54749B"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NPI</w:t>
            </w:r>
          </w:p>
        </w:tc>
        <w:tc>
          <w:tcPr>
            <w:tcW w:w="2126" w:type="dxa"/>
          </w:tcPr>
          <w:p w14:paraId="150A68C7"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-GHQ</w:t>
            </w:r>
          </w:p>
          <w:p w14:paraId="4B62678B"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-DEMQoL-proxy</w:t>
            </w:r>
          </w:p>
          <w:p w14:paraId="192B23C1"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-ZBI</w:t>
            </w:r>
          </w:p>
          <w:p w14:paraId="270757F1"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-Physical activity and compliance</w:t>
            </w:r>
          </w:p>
          <w:p w14:paraId="5FC56E33"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-Interviews</w:t>
            </w:r>
          </w:p>
          <w:p w14:paraId="34217677"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-Mortality</w:t>
            </w:r>
          </w:p>
        </w:tc>
        <w:tc>
          <w:tcPr>
            <w:tcW w:w="1276" w:type="dxa"/>
          </w:tcPr>
          <w:p w14:paraId="02CA8834"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Proxy</w:t>
            </w:r>
          </w:p>
        </w:tc>
        <w:tc>
          <w:tcPr>
            <w:tcW w:w="1559" w:type="dxa"/>
          </w:tcPr>
          <w:p w14:paraId="2ED7E59E" w14:textId="77777777" w:rsidR="00B54D51" w:rsidRPr="00037AD4" w:rsidRDefault="00B54D51" w:rsidP="00401C67">
            <w:pPr>
              <w:pStyle w:val="NormalWeb"/>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NIHR PGfAR</w:t>
            </w:r>
          </w:p>
        </w:tc>
      </w:tr>
      <w:tr w:rsidR="00B54D51" w:rsidRPr="00037AD4" w14:paraId="4D7EF0C6" w14:textId="77777777" w:rsidTr="00401C67">
        <w:tc>
          <w:tcPr>
            <w:tcW w:w="1180" w:type="dxa"/>
          </w:tcPr>
          <w:p w14:paraId="69CDC6C6"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b/>
                <w:bCs/>
                <w:color w:val="000000" w:themeColor="text1"/>
                <w:sz w:val="22"/>
                <w:szCs w:val="22"/>
              </w:rPr>
              <w:lastRenderedPageBreak/>
              <w:t>Study name, year</w:t>
            </w:r>
          </w:p>
        </w:tc>
        <w:tc>
          <w:tcPr>
            <w:tcW w:w="1519" w:type="dxa"/>
          </w:tcPr>
          <w:p w14:paraId="164F81B5" w14:textId="77777777" w:rsidR="00B54D51" w:rsidRPr="00037AD4" w:rsidRDefault="00B54D51" w:rsidP="00401C67">
            <w:pPr>
              <w:pStyle w:val="NormalWeb"/>
              <w:rPr>
                <w:rFonts w:asciiTheme="minorHAnsi" w:hAnsiTheme="minorHAnsi" w:cstheme="minorHAnsi"/>
                <w:color w:val="000000" w:themeColor="text1"/>
                <w:sz w:val="22"/>
                <w:szCs w:val="22"/>
              </w:rPr>
            </w:pPr>
            <w:r w:rsidRPr="00037AD4">
              <w:rPr>
                <w:rFonts w:asciiTheme="minorHAnsi" w:hAnsiTheme="minorHAnsi" w:cstheme="minorHAnsi"/>
                <w:b/>
                <w:bCs/>
                <w:color w:val="000000" w:themeColor="text1"/>
                <w:sz w:val="22"/>
                <w:szCs w:val="22"/>
              </w:rPr>
              <w:t xml:space="preserve">Primary investigator </w:t>
            </w:r>
          </w:p>
        </w:tc>
        <w:tc>
          <w:tcPr>
            <w:tcW w:w="1417" w:type="dxa"/>
          </w:tcPr>
          <w:p w14:paraId="032FC630"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b/>
                <w:bCs/>
                <w:color w:val="000000" w:themeColor="text1"/>
                <w:sz w:val="22"/>
                <w:szCs w:val="22"/>
              </w:rPr>
              <w:t>Country</w:t>
            </w:r>
          </w:p>
        </w:tc>
        <w:tc>
          <w:tcPr>
            <w:tcW w:w="1276" w:type="dxa"/>
          </w:tcPr>
          <w:p w14:paraId="5AD2D336"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b/>
                <w:bCs/>
                <w:color w:val="000000" w:themeColor="text1"/>
                <w:sz w:val="22"/>
                <w:szCs w:val="22"/>
              </w:rPr>
              <w:t>Trial Setting</w:t>
            </w:r>
          </w:p>
        </w:tc>
        <w:tc>
          <w:tcPr>
            <w:tcW w:w="1701" w:type="dxa"/>
          </w:tcPr>
          <w:p w14:paraId="64FDAC2A"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b/>
                <w:bCs/>
                <w:color w:val="000000" w:themeColor="text1"/>
                <w:sz w:val="22"/>
                <w:szCs w:val="22"/>
              </w:rPr>
              <w:t>Intervention type</w:t>
            </w:r>
          </w:p>
        </w:tc>
        <w:tc>
          <w:tcPr>
            <w:tcW w:w="1417" w:type="dxa"/>
          </w:tcPr>
          <w:p w14:paraId="72C2A72A"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b/>
                <w:bCs/>
                <w:color w:val="000000" w:themeColor="text1"/>
                <w:sz w:val="22"/>
                <w:szCs w:val="22"/>
              </w:rPr>
              <w:t>Type of dementia</w:t>
            </w:r>
          </w:p>
        </w:tc>
        <w:tc>
          <w:tcPr>
            <w:tcW w:w="1276" w:type="dxa"/>
          </w:tcPr>
          <w:p w14:paraId="3093E348"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b/>
                <w:bCs/>
                <w:color w:val="000000" w:themeColor="text1"/>
                <w:sz w:val="22"/>
                <w:szCs w:val="22"/>
              </w:rPr>
              <w:t>Primary outcome</w:t>
            </w:r>
          </w:p>
        </w:tc>
        <w:tc>
          <w:tcPr>
            <w:tcW w:w="2126" w:type="dxa"/>
          </w:tcPr>
          <w:p w14:paraId="3482FFB9"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b/>
                <w:bCs/>
                <w:color w:val="000000" w:themeColor="text1"/>
                <w:sz w:val="22"/>
                <w:szCs w:val="22"/>
              </w:rPr>
              <w:t>Secondary outcomes</w:t>
            </w:r>
          </w:p>
        </w:tc>
        <w:tc>
          <w:tcPr>
            <w:tcW w:w="1276" w:type="dxa"/>
          </w:tcPr>
          <w:p w14:paraId="20992963"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b/>
                <w:bCs/>
                <w:color w:val="000000" w:themeColor="text1"/>
                <w:sz w:val="22"/>
                <w:szCs w:val="22"/>
              </w:rPr>
              <w:t>Self vs. proxy QoL?</w:t>
            </w:r>
          </w:p>
        </w:tc>
        <w:tc>
          <w:tcPr>
            <w:tcW w:w="1559" w:type="dxa"/>
          </w:tcPr>
          <w:p w14:paraId="2ED571E3" w14:textId="77777777" w:rsidR="00B54D51" w:rsidRPr="00037AD4" w:rsidRDefault="00B54D51" w:rsidP="00401C67">
            <w:pPr>
              <w:pStyle w:val="NormalWeb"/>
              <w:rPr>
                <w:rFonts w:asciiTheme="minorHAnsi" w:hAnsiTheme="minorHAnsi" w:cstheme="minorHAnsi"/>
                <w:color w:val="000000" w:themeColor="text1"/>
                <w:sz w:val="22"/>
                <w:szCs w:val="22"/>
              </w:rPr>
            </w:pPr>
            <w:r w:rsidRPr="00037AD4">
              <w:rPr>
                <w:rFonts w:asciiTheme="minorHAnsi" w:hAnsiTheme="minorHAnsi" w:cstheme="minorHAnsi"/>
                <w:b/>
                <w:bCs/>
                <w:color w:val="000000" w:themeColor="text1"/>
                <w:sz w:val="22"/>
                <w:szCs w:val="22"/>
              </w:rPr>
              <w:t>Funding</w:t>
            </w:r>
          </w:p>
        </w:tc>
      </w:tr>
      <w:tr w:rsidR="00B54D51" w:rsidRPr="00037AD4" w14:paraId="48888D6A" w14:textId="77777777" w:rsidTr="00401C67">
        <w:tc>
          <w:tcPr>
            <w:tcW w:w="1180" w:type="dxa"/>
          </w:tcPr>
          <w:p w14:paraId="19E7B792"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EVIDEM-ED, 2013</w:t>
            </w:r>
          </w:p>
        </w:tc>
        <w:tc>
          <w:tcPr>
            <w:tcW w:w="1519" w:type="dxa"/>
          </w:tcPr>
          <w:p w14:paraId="697A1522" w14:textId="77777777" w:rsidR="00B54D51" w:rsidRPr="00037AD4" w:rsidRDefault="00B54D51" w:rsidP="00401C67">
            <w:pPr>
              <w:pStyle w:val="NormalWeb"/>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Steve Iliffe</w:t>
            </w:r>
          </w:p>
        </w:tc>
        <w:tc>
          <w:tcPr>
            <w:tcW w:w="1417" w:type="dxa"/>
          </w:tcPr>
          <w:p w14:paraId="0B89A2EE"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UK</w:t>
            </w:r>
          </w:p>
        </w:tc>
        <w:tc>
          <w:tcPr>
            <w:tcW w:w="1276" w:type="dxa"/>
          </w:tcPr>
          <w:p w14:paraId="3A3C3551"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GP practices</w:t>
            </w:r>
          </w:p>
        </w:tc>
        <w:tc>
          <w:tcPr>
            <w:tcW w:w="1701" w:type="dxa"/>
          </w:tcPr>
          <w:p w14:paraId="32D62863"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 xml:space="preserve">Educational </w:t>
            </w:r>
          </w:p>
        </w:tc>
        <w:tc>
          <w:tcPr>
            <w:tcW w:w="1417" w:type="dxa"/>
          </w:tcPr>
          <w:p w14:paraId="5CD82E23"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Any</w:t>
            </w:r>
          </w:p>
        </w:tc>
        <w:tc>
          <w:tcPr>
            <w:tcW w:w="1276" w:type="dxa"/>
          </w:tcPr>
          <w:p w14:paraId="6C6EDC30"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Proportion of dementia reviews</w:t>
            </w:r>
          </w:p>
        </w:tc>
        <w:tc>
          <w:tcPr>
            <w:tcW w:w="2126" w:type="dxa"/>
          </w:tcPr>
          <w:p w14:paraId="740217B8"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-Concordance with treatment</w:t>
            </w:r>
          </w:p>
          <w:p w14:paraId="0F54D878"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-Depression</w:t>
            </w:r>
          </w:p>
          <w:p w14:paraId="4501395A"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-Social Service Referral</w:t>
            </w:r>
          </w:p>
          <w:p w14:paraId="5B020FA7"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-Signposting</w:t>
            </w:r>
          </w:p>
          <w:p w14:paraId="791F7153"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-Drug Information</w:t>
            </w:r>
          </w:p>
          <w:p w14:paraId="464B806D"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-DEMQoL</w:t>
            </w:r>
          </w:p>
          <w:p w14:paraId="598AB86D"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-Carer Strain Index</w:t>
            </w:r>
          </w:p>
          <w:p w14:paraId="39D21DD7"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-Interviews</w:t>
            </w:r>
          </w:p>
        </w:tc>
        <w:tc>
          <w:tcPr>
            <w:tcW w:w="1276" w:type="dxa"/>
          </w:tcPr>
          <w:p w14:paraId="4CCF9EB1"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Self</w:t>
            </w:r>
          </w:p>
        </w:tc>
        <w:tc>
          <w:tcPr>
            <w:tcW w:w="1559" w:type="dxa"/>
          </w:tcPr>
          <w:p w14:paraId="5407C11E" w14:textId="77777777" w:rsidR="00B54D51" w:rsidRPr="00037AD4" w:rsidRDefault="00B54D51" w:rsidP="00401C67">
            <w:pPr>
              <w:pStyle w:val="NormalWeb"/>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NIHR-PGfAR</w:t>
            </w:r>
          </w:p>
        </w:tc>
      </w:tr>
      <w:tr w:rsidR="00B54D51" w:rsidRPr="00037AD4" w14:paraId="719FC21F" w14:textId="77777777" w:rsidTr="00401C67">
        <w:tc>
          <w:tcPr>
            <w:tcW w:w="1180" w:type="dxa"/>
          </w:tcPr>
          <w:p w14:paraId="39A5FC77"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ATTILA, 2021</w:t>
            </w:r>
          </w:p>
        </w:tc>
        <w:tc>
          <w:tcPr>
            <w:tcW w:w="1519" w:type="dxa"/>
          </w:tcPr>
          <w:p w14:paraId="2FD33CB8" w14:textId="77777777" w:rsidR="00B54D51" w:rsidRPr="00037AD4" w:rsidRDefault="00B54D51" w:rsidP="00401C67">
            <w:pPr>
              <w:pStyle w:val="NormalWeb"/>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Robert Howard</w:t>
            </w:r>
          </w:p>
        </w:tc>
        <w:tc>
          <w:tcPr>
            <w:tcW w:w="1417" w:type="dxa"/>
          </w:tcPr>
          <w:p w14:paraId="55CD305D"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UK</w:t>
            </w:r>
          </w:p>
        </w:tc>
        <w:tc>
          <w:tcPr>
            <w:tcW w:w="1276" w:type="dxa"/>
          </w:tcPr>
          <w:p w14:paraId="3BC5519A"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Other</w:t>
            </w:r>
          </w:p>
        </w:tc>
        <w:tc>
          <w:tcPr>
            <w:tcW w:w="1701" w:type="dxa"/>
          </w:tcPr>
          <w:p w14:paraId="1BD8576A"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Non-pharmacological (telecare)</w:t>
            </w:r>
          </w:p>
        </w:tc>
        <w:tc>
          <w:tcPr>
            <w:tcW w:w="1417" w:type="dxa"/>
          </w:tcPr>
          <w:p w14:paraId="559E4883"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Any</w:t>
            </w:r>
          </w:p>
        </w:tc>
        <w:tc>
          <w:tcPr>
            <w:tcW w:w="1276" w:type="dxa"/>
          </w:tcPr>
          <w:p w14:paraId="34509C9D"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Time to institutionalisation</w:t>
            </w:r>
          </w:p>
          <w:p w14:paraId="1394F068"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QALYs (EQ-5D, DEMQoL)</w:t>
            </w:r>
          </w:p>
        </w:tc>
        <w:tc>
          <w:tcPr>
            <w:tcW w:w="2126" w:type="dxa"/>
          </w:tcPr>
          <w:p w14:paraId="53D77031"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-ZBI</w:t>
            </w:r>
          </w:p>
          <w:p w14:paraId="0AF7DA4D"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-DEMQoL</w:t>
            </w:r>
          </w:p>
          <w:p w14:paraId="617E6EEC"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-DEMQoL-proxy</w:t>
            </w:r>
          </w:p>
          <w:p w14:paraId="4A72415B"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-Serious Adverse Events</w:t>
            </w:r>
          </w:p>
          <w:p w14:paraId="1C420FEF"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 xml:space="preserve">-Acceptability </w:t>
            </w:r>
          </w:p>
        </w:tc>
        <w:tc>
          <w:tcPr>
            <w:tcW w:w="1276" w:type="dxa"/>
          </w:tcPr>
          <w:p w14:paraId="2D6A0F6E"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Both</w:t>
            </w:r>
          </w:p>
        </w:tc>
        <w:tc>
          <w:tcPr>
            <w:tcW w:w="1559" w:type="dxa"/>
          </w:tcPr>
          <w:p w14:paraId="58DEAD00" w14:textId="77777777" w:rsidR="00B54D51" w:rsidRPr="00037AD4" w:rsidRDefault="00B54D51" w:rsidP="00401C67">
            <w:pPr>
              <w:pStyle w:val="NormalWeb"/>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NIHR-HTA</w:t>
            </w:r>
          </w:p>
        </w:tc>
      </w:tr>
      <w:tr w:rsidR="00B54D51" w:rsidRPr="00037AD4" w14:paraId="2FF5C47A" w14:textId="77777777" w:rsidTr="00401C67">
        <w:tc>
          <w:tcPr>
            <w:tcW w:w="1180" w:type="dxa"/>
          </w:tcPr>
          <w:p w14:paraId="18E71966"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CALM-AD, 2009</w:t>
            </w:r>
          </w:p>
        </w:tc>
        <w:tc>
          <w:tcPr>
            <w:tcW w:w="1519" w:type="dxa"/>
          </w:tcPr>
          <w:p w14:paraId="74C61486" w14:textId="77777777" w:rsidR="00B54D51" w:rsidRPr="00037AD4" w:rsidRDefault="00B54D51" w:rsidP="00401C67">
            <w:pPr>
              <w:pStyle w:val="NormalWeb"/>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Robert Howard</w:t>
            </w:r>
          </w:p>
        </w:tc>
        <w:tc>
          <w:tcPr>
            <w:tcW w:w="1417" w:type="dxa"/>
          </w:tcPr>
          <w:p w14:paraId="6E0E5AE7"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UK</w:t>
            </w:r>
          </w:p>
        </w:tc>
        <w:tc>
          <w:tcPr>
            <w:tcW w:w="1276" w:type="dxa"/>
          </w:tcPr>
          <w:p w14:paraId="37C2446F"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Not specified</w:t>
            </w:r>
          </w:p>
        </w:tc>
        <w:tc>
          <w:tcPr>
            <w:tcW w:w="1701" w:type="dxa"/>
          </w:tcPr>
          <w:p w14:paraId="32C81B2F"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Pharmacological: donepezil</w:t>
            </w:r>
          </w:p>
        </w:tc>
        <w:tc>
          <w:tcPr>
            <w:tcW w:w="1417" w:type="dxa"/>
          </w:tcPr>
          <w:p w14:paraId="41C7B124"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AD</w:t>
            </w:r>
          </w:p>
        </w:tc>
        <w:tc>
          <w:tcPr>
            <w:tcW w:w="1276" w:type="dxa"/>
          </w:tcPr>
          <w:p w14:paraId="24E38E77"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CMAI</w:t>
            </w:r>
          </w:p>
        </w:tc>
        <w:tc>
          <w:tcPr>
            <w:tcW w:w="2126" w:type="dxa"/>
          </w:tcPr>
          <w:p w14:paraId="48DD43A5"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-NPI</w:t>
            </w:r>
          </w:p>
          <w:p w14:paraId="6B78F7AA"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-MMSE</w:t>
            </w:r>
          </w:p>
          <w:p w14:paraId="1AC23616"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-SIB</w:t>
            </w:r>
          </w:p>
          <w:p w14:paraId="27A1B140"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-Clinical Global impression of severity/ change</w:t>
            </w:r>
          </w:p>
        </w:tc>
        <w:tc>
          <w:tcPr>
            <w:tcW w:w="1276" w:type="dxa"/>
          </w:tcPr>
          <w:p w14:paraId="0119B421"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n/a</w:t>
            </w:r>
          </w:p>
        </w:tc>
        <w:tc>
          <w:tcPr>
            <w:tcW w:w="1559" w:type="dxa"/>
          </w:tcPr>
          <w:p w14:paraId="521FFB3A" w14:textId="77777777" w:rsidR="00B54D51" w:rsidRPr="00037AD4" w:rsidRDefault="00B54D51" w:rsidP="00401C67">
            <w:pPr>
              <w:pStyle w:val="NormalWeb"/>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 xml:space="preserve">MRC UK </w:t>
            </w:r>
          </w:p>
        </w:tc>
      </w:tr>
      <w:tr w:rsidR="00B54D51" w:rsidRPr="00037AD4" w14:paraId="6BD9BB53" w14:textId="77777777" w:rsidTr="00401C67">
        <w:tc>
          <w:tcPr>
            <w:tcW w:w="1180" w:type="dxa"/>
          </w:tcPr>
          <w:p w14:paraId="027F4A8D"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WHELD, 2019</w:t>
            </w:r>
          </w:p>
        </w:tc>
        <w:tc>
          <w:tcPr>
            <w:tcW w:w="1519" w:type="dxa"/>
          </w:tcPr>
          <w:p w14:paraId="685BA89C" w14:textId="77777777" w:rsidR="00B54D51" w:rsidRPr="00037AD4" w:rsidRDefault="00B54D51" w:rsidP="00401C67">
            <w:pPr>
              <w:pStyle w:val="NormalWeb"/>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Clive Ballard</w:t>
            </w:r>
          </w:p>
        </w:tc>
        <w:tc>
          <w:tcPr>
            <w:tcW w:w="1417" w:type="dxa"/>
          </w:tcPr>
          <w:p w14:paraId="1F605B04"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UK</w:t>
            </w:r>
          </w:p>
        </w:tc>
        <w:tc>
          <w:tcPr>
            <w:tcW w:w="1276" w:type="dxa"/>
          </w:tcPr>
          <w:p w14:paraId="4E9079F9"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 xml:space="preserve">Hospitals </w:t>
            </w:r>
          </w:p>
        </w:tc>
        <w:tc>
          <w:tcPr>
            <w:tcW w:w="1701" w:type="dxa"/>
          </w:tcPr>
          <w:p w14:paraId="17A43747"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Non-pharmacological (complex)</w:t>
            </w:r>
          </w:p>
        </w:tc>
        <w:tc>
          <w:tcPr>
            <w:tcW w:w="1417" w:type="dxa"/>
          </w:tcPr>
          <w:p w14:paraId="11E94EE6"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Any</w:t>
            </w:r>
          </w:p>
        </w:tc>
        <w:tc>
          <w:tcPr>
            <w:tcW w:w="1276" w:type="dxa"/>
          </w:tcPr>
          <w:p w14:paraId="3E84988F"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Antipsychotic use, CMAI</w:t>
            </w:r>
          </w:p>
        </w:tc>
        <w:tc>
          <w:tcPr>
            <w:tcW w:w="2126" w:type="dxa"/>
          </w:tcPr>
          <w:p w14:paraId="7FDD78F7"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-NPI-NH</w:t>
            </w:r>
          </w:p>
          <w:p w14:paraId="6E76A5D2"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-CSDD</w:t>
            </w:r>
          </w:p>
          <w:p w14:paraId="58C46080"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w:t>
            </w:r>
            <w:r w:rsidRPr="00037AD4">
              <w:rPr>
                <w:rFonts w:asciiTheme="minorHAnsi" w:hAnsiTheme="minorHAnsi" w:cstheme="minorHAnsi"/>
                <w:color w:val="000000" w:themeColor="text1"/>
                <w:sz w:val="22"/>
                <w:szCs w:val="22"/>
                <w:shd w:val="clear" w:color="auto" w:fill="FFFFFF"/>
              </w:rPr>
              <w:t xml:space="preserve"> CANE</w:t>
            </w:r>
          </w:p>
          <w:p w14:paraId="00B6E80B"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-QoL-AD</w:t>
            </w:r>
          </w:p>
          <w:p w14:paraId="03F0A3CC"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-DEMQoL</w:t>
            </w:r>
          </w:p>
          <w:p w14:paraId="41C88C9F"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-QUIS</w:t>
            </w:r>
          </w:p>
          <w:p w14:paraId="45C787FC"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-Falls</w:t>
            </w:r>
          </w:p>
        </w:tc>
        <w:tc>
          <w:tcPr>
            <w:tcW w:w="1276" w:type="dxa"/>
          </w:tcPr>
          <w:p w14:paraId="12B8AF6F"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Self</w:t>
            </w:r>
          </w:p>
        </w:tc>
        <w:tc>
          <w:tcPr>
            <w:tcW w:w="1559" w:type="dxa"/>
          </w:tcPr>
          <w:p w14:paraId="522EE37B" w14:textId="77777777" w:rsidR="00B54D51" w:rsidRPr="00037AD4" w:rsidRDefault="00B54D51" w:rsidP="00401C67">
            <w:pPr>
              <w:pStyle w:val="NormalWeb"/>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NIHR</w:t>
            </w:r>
          </w:p>
        </w:tc>
      </w:tr>
      <w:tr w:rsidR="00B54D51" w:rsidRPr="00037AD4" w14:paraId="1EFAE77D" w14:textId="77777777" w:rsidTr="00401C67">
        <w:tc>
          <w:tcPr>
            <w:tcW w:w="1180" w:type="dxa"/>
          </w:tcPr>
          <w:p w14:paraId="1AF45099"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b/>
                <w:bCs/>
                <w:color w:val="000000" w:themeColor="text1"/>
                <w:sz w:val="22"/>
                <w:szCs w:val="22"/>
              </w:rPr>
              <w:lastRenderedPageBreak/>
              <w:t>Study name, year</w:t>
            </w:r>
          </w:p>
        </w:tc>
        <w:tc>
          <w:tcPr>
            <w:tcW w:w="1519" w:type="dxa"/>
          </w:tcPr>
          <w:p w14:paraId="29C4B15C" w14:textId="77777777" w:rsidR="00B54D51" w:rsidRPr="00037AD4" w:rsidRDefault="00B54D51" w:rsidP="00401C67">
            <w:pPr>
              <w:pStyle w:val="NormalWeb"/>
              <w:rPr>
                <w:rFonts w:asciiTheme="minorHAnsi" w:hAnsiTheme="minorHAnsi" w:cstheme="minorHAnsi"/>
                <w:color w:val="000000" w:themeColor="text1"/>
                <w:sz w:val="22"/>
                <w:szCs w:val="22"/>
              </w:rPr>
            </w:pPr>
            <w:r w:rsidRPr="00037AD4">
              <w:rPr>
                <w:rFonts w:asciiTheme="minorHAnsi" w:hAnsiTheme="minorHAnsi" w:cstheme="minorHAnsi"/>
                <w:b/>
                <w:bCs/>
                <w:color w:val="000000" w:themeColor="text1"/>
                <w:sz w:val="22"/>
                <w:szCs w:val="22"/>
              </w:rPr>
              <w:t xml:space="preserve">Primary investigator </w:t>
            </w:r>
          </w:p>
        </w:tc>
        <w:tc>
          <w:tcPr>
            <w:tcW w:w="1417" w:type="dxa"/>
          </w:tcPr>
          <w:p w14:paraId="79D4DD9A"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b/>
                <w:bCs/>
                <w:color w:val="000000" w:themeColor="text1"/>
                <w:sz w:val="22"/>
                <w:szCs w:val="22"/>
              </w:rPr>
              <w:t>Country</w:t>
            </w:r>
          </w:p>
        </w:tc>
        <w:tc>
          <w:tcPr>
            <w:tcW w:w="1276" w:type="dxa"/>
          </w:tcPr>
          <w:p w14:paraId="76464C36"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b/>
                <w:bCs/>
                <w:color w:val="000000" w:themeColor="text1"/>
                <w:sz w:val="22"/>
                <w:szCs w:val="22"/>
              </w:rPr>
              <w:t>Trial Setting</w:t>
            </w:r>
          </w:p>
        </w:tc>
        <w:tc>
          <w:tcPr>
            <w:tcW w:w="1701" w:type="dxa"/>
          </w:tcPr>
          <w:p w14:paraId="01E6A9C9"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b/>
                <w:bCs/>
                <w:color w:val="000000" w:themeColor="text1"/>
                <w:sz w:val="22"/>
                <w:szCs w:val="22"/>
              </w:rPr>
              <w:t>Intervention type</w:t>
            </w:r>
          </w:p>
        </w:tc>
        <w:tc>
          <w:tcPr>
            <w:tcW w:w="1417" w:type="dxa"/>
          </w:tcPr>
          <w:p w14:paraId="090C225F"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b/>
                <w:bCs/>
                <w:color w:val="000000" w:themeColor="text1"/>
                <w:sz w:val="22"/>
                <w:szCs w:val="22"/>
              </w:rPr>
              <w:t>Type of dementia</w:t>
            </w:r>
          </w:p>
        </w:tc>
        <w:tc>
          <w:tcPr>
            <w:tcW w:w="1276" w:type="dxa"/>
          </w:tcPr>
          <w:p w14:paraId="318F3948"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b/>
                <w:bCs/>
                <w:color w:val="000000" w:themeColor="text1"/>
                <w:sz w:val="22"/>
                <w:szCs w:val="22"/>
              </w:rPr>
              <w:t>Primary outcome</w:t>
            </w:r>
          </w:p>
        </w:tc>
        <w:tc>
          <w:tcPr>
            <w:tcW w:w="2126" w:type="dxa"/>
          </w:tcPr>
          <w:p w14:paraId="5E95546A"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b/>
                <w:bCs/>
                <w:color w:val="000000" w:themeColor="text1"/>
                <w:sz w:val="22"/>
                <w:szCs w:val="22"/>
              </w:rPr>
              <w:t>Secondary outcomes</w:t>
            </w:r>
          </w:p>
        </w:tc>
        <w:tc>
          <w:tcPr>
            <w:tcW w:w="1276" w:type="dxa"/>
          </w:tcPr>
          <w:p w14:paraId="21D44C3A"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b/>
                <w:bCs/>
                <w:color w:val="000000" w:themeColor="text1"/>
                <w:sz w:val="22"/>
                <w:szCs w:val="22"/>
              </w:rPr>
              <w:t>Self vs. proxy QoL?</w:t>
            </w:r>
          </w:p>
        </w:tc>
        <w:tc>
          <w:tcPr>
            <w:tcW w:w="1559" w:type="dxa"/>
          </w:tcPr>
          <w:p w14:paraId="687D0377" w14:textId="77777777" w:rsidR="00B54D51" w:rsidRPr="00037AD4" w:rsidRDefault="00B54D51" w:rsidP="00401C67">
            <w:pPr>
              <w:pStyle w:val="NormalWeb"/>
              <w:rPr>
                <w:rFonts w:asciiTheme="minorHAnsi" w:hAnsiTheme="minorHAnsi" w:cstheme="minorHAnsi"/>
                <w:color w:val="000000" w:themeColor="text1"/>
                <w:sz w:val="22"/>
                <w:szCs w:val="22"/>
              </w:rPr>
            </w:pPr>
            <w:r w:rsidRPr="00037AD4">
              <w:rPr>
                <w:rFonts w:asciiTheme="minorHAnsi" w:hAnsiTheme="minorHAnsi" w:cstheme="minorHAnsi"/>
                <w:b/>
                <w:bCs/>
                <w:color w:val="000000" w:themeColor="text1"/>
                <w:sz w:val="22"/>
                <w:szCs w:val="22"/>
              </w:rPr>
              <w:t>Funding</w:t>
            </w:r>
          </w:p>
        </w:tc>
      </w:tr>
      <w:tr w:rsidR="00B54D51" w:rsidRPr="00037AD4" w14:paraId="5D0A4253" w14:textId="77777777" w:rsidTr="00401C67">
        <w:tc>
          <w:tcPr>
            <w:tcW w:w="1180" w:type="dxa"/>
          </w:tcPr>
          <w:p w14:paraId="1A8F7889"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HTA-SADD, 2013</w:t>
            </w:r>
          </w:p>
        </w:tc>
        <w:tc>
          <w:tcPr>
            <w:tcW w:w="1519" w:type="dxa"/>
          </w:tcPr>
          <w:p w14:paraId="0D0FD63F" w14:textId="77777777" w:rsidR="00B54D51" w:rsidRPr="00037AD4" w:rsidRDefault="00B54D51" w:rsidP="00401C67">
            <w:pPr>
              <w:pStyle w:val="NormalWeb"/>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Sube Banerjee</w:t>
            </w:r>
          </w:p>
        </w:tc>
        <w:tc>
          <w:tcPr>
            <w:tcW w:w="1417" w:type="dxa"/>
          </w:tcPr>
          <w:p w14:paraId="339AE463"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UK</w:t>
            </w:r>
          </w:p>
        </w:tc>
        <w:tc>
          <w:tcPr>
            <w:tcW w:w="1276" w:type="dxa"/>
          </w:tcPr>
          <w:p w14:paraId="583877F7"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Not specified</w:t>
            </w:r>
          </w:p>
        </w:tc>
        <w:tc>
          <w:tcPr>
            <w:tcW w:w="1701" w:type="dxa"/>
          </w:tcPr>
          <w:p w14:paraId="095F1BF2"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Pharmacological (anti-depressants: mirtazapine, sertraline)</w:t>
            </w:r>
          </w:p>
        </w:tc>
        <w:tc>
          <w:tcPr>
            <w:tcW w:w="1417" w:type="dxa"/>
          </w:tcPr>
          <w:p w14:paraId="20BFC4E5"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AD</w:t>
            </w:r>
          </w:p>
        </w:tc>
        <w:tc>
          <w:tcPr>
            <w:tcW w:w="1276" w:type="dxa"/>
          </w:tcPr>
          <w:p w14:paraId="77F13E95"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CSDD, CSRI</w:t>
            </w:r>
          </w:p>
        </w:tc>
        <w:tc>
          <w:tcPr>
            <w:tcW w:w="2126" w:type="dxa"/>
          </w:tcPr>
          <w:p w14:paraId="7CFADF93"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-DEMQoL</w:t>
            </w:r>
          </w:p>
          <w:p w14:paraId="3F5FF793"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-DEMQoL-proxy</w:t>
            </w:r>
          </w:p>
          <w:p w14:paraId="5FA98EE7"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-EQ-5D-proxy</w:t>
            </w:r>
          </w:p>
          <w:p w14:paraId="06DC1F38"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-MMSE</w:t>
            </w:r>
          </w:p>
          <w:p w14:paraId="45A65F04"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 xml:space="preserve">-Adherence </w:t>
            </w:r>
          </w:p>
          <w:p w14:paraId="1A97F4B9"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-Serious Adverse Events</w:t>
            </w:r>
          </w:p>
          <w:p w14:paraId="52940FA2"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-SF-12</w:t>
            </w:r>
          </w:p>
          <w:p w14:paraId="15289D0F"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-ZBI</w:t>
            </w:r>
          </w:p>
          <w:p w14:paraId="521E0ECE"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-Withdrawal from treatment</w:t>
            </w:r>
          </w:p>
        </w:tc>
        <w:tc>
          <w:tcPr>
            <w:tcW w:w="1276" w:type="dxa"/>
          </w:tcPr>
          <w:p w14:paraId="662AE42D"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Both</w:t>
            </w:r>
          </w:p>
        </w:tc>
        <w:tc>
          <w:tcPr>
            <w:tcW w:w="1559" w:type="dxa"/>
          </w:tcPr>
          <w:p w14:paraId="16808F68" w14:textId="77777777" w:rsidR="00B54D51" w:rsidRPr="00037AD4" w:rsidRDefault="00B54D51" w:rsidP="00401C67">
            <w:pPr>
              <w:pStyle w:val="NormalWeb"/>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NIHR HTA</w:t>
            </w:r>
          </w:p>
        </w:tc>
      </w:tr>
      <w:tr w:rsidR="00B54D51" w:rsidRPr="00037AD4" w14:paraId="6B3A72E3" w14:textId="77777777" w:rsidTr="00401C67">
        <w:tc>
          <w:tcPr>
            <w:tcW w:w="1180" w:type="dxa"/>
          </w:tcPr>
          <w:p w14:paraId="6D9F572C"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DREAM-START, ongoing</w:t>
            </w:r>
          </w:p>
        </w:tc>
        <w:tc>
          <w:tcPr>
            <w:tcW w:w="1519" w:type="dxa"/>
          </w:tcPr>
          <w:p w14:paraId="14E017D7" w14:textId="77777777" w:rsidR="00B54D51" w:rsidRPr="00037AD4" w:rsidRDefault="00B54D51" w:rsidP="00401C67">
            <w:pPr>
              <w:pStyle w:val="NormalWeb"/>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Penny Rapaport</w:t>
            </w:r>
          </w:p>
        </w:tc>
        <w:tc>
          <w:tcPr>
            <w:tcW w:w="1417" w:type="dxa"/>
          </w:tcPr>
          <w:p w14:paraId="73FF5976"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UK</w:t>
            </w:r>
          </w:p>
        </w:tc>
        <w:tc>
          <w:tcPr>
            <w:tcW w:w="1276" w:type="dxa"/>
          </w:tcPr>
          <w:p w14:paraId="2617F336"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Community dwelling</w:t>
            </w:r>
          </w:p>
        </w:tc>
        <w:tc>
          <w:tcPr>
            <w:tcW w:w="1701" w:type="dxa"/>
          </w:tcPr>
          <w:p w14:paraId="7FDA3575"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Non-pharmacological (behavioural)</w:t>
            </w:r>
          </w:p>
        </w:tc>
        <w:tc>
          <w:tcPr>
            <w:tcW w:w="1417" w:type="dxa"/>
          </w:tcPr>
          <w:p w14:paraId="7141B759"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Any</w:t>
            </w:r>
          </w:p>
        </w:tc>
        <w:tc>
          <w:tcPr>
            <w:tcW w:w="1276" w:type="dxa"/>
          </w:tcPr>
          <w:p w14:paraId="0123B644"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Sleep (SDI)</w:t>
            </w:r>
          </w:p>
        </w:tc>
        <w:tc>
          <w:tcPr>
            <w:tcW w:w="2126" w:type="dxa"/>
          </w:tcPr>
          <w:p w14:paraId="5213F597"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-NPI</w:t>
            </w:r>
          </w:p>
          <w:p w14:paraId="62C1861C"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-ESS</w:t>
            </w:r>
          </w:p>
          <w:p w14:paraId="3542C6D3"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-DEMQoL-proxy</w:t>
            </w:r>
          </w:p>
          <w:p w14:paraId="5DD260A5"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-DEMQoL-proxy-U</w:t>
            </w:r>
          </w:p>
          <w:p w14:paraId="6AD28B88"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-CSRI</w:t>
            </w:r>
          </w:p>
          <w:p w14:paraId="2A3FC855"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-EQ-5D-5L-proxy</w:t>
            </w:r>
          </w:p>
          <w:p w14:paraId="6BF53C51"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-Medication use</w:t>
            </w:r>
          </w:p>
          <w:p w14:paraId="3A17EEA8"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-Side effects</w:t>
            </w:r>
          </w:p>
        </w:tc>
        <w:tc>
          <w:tcPr>
            <w:tcW w:w="1276" w:type="dxa"/>
          </w:tcPr>
          <w:p w14:paraId="432B66FE"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Proxy</w:t>
            </w:r>
          </w:p>
        </w:tc>
        <w:tc>
          <w:tcPr>
            <w:tcW w:w="1559" w:type="dxa"/>
          </w:tcPr>
          <w:p w14:paraId="731AEE72" w14:textId="77777777" w:rsidR="00B54D51" w:rsidRPr="00037AD4" w:rsidRDefault="00B54D51" w:rsidP="00401C67">
            <w:pPr>
              <w:pStyle w:val="NormalWeb"/>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NIHR HTA</w:t>
            </w:r>
          </w:p>
        </w:tc>
      </w:tr>
      <w:tr w:rsidR="00B54D51" w:rsidRPr="00037AD4" w14:paraId="6E78C7F5" w14:textId="77777777" w:rsidTr="00401C67">
        <w:tc>
          <w:tcPr>
            <w:tcW w:w="1180" w:type="dxa"/>
          </w:tcPr>
          <w:p w14:paraId="3C5668D3"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PRESIDE, 2021</w:t>
            </w:r>
          </w:p>
        </w:tc>
        <w:tc>
          <w:tcPr>
            <w:tcW w:w="1519" w:type="dxa"/>
          </w:tcPr>
          <w:p w14:paraId="5A0031F4" w14:textId="77777777" w:rsidR="00B54D51" w:rsidRPr="00037AD4" w:rsidRDefault="00B54D51" w:rsidP="00401C67">
            <w:pPr>
              <w:pStyle w:val="NormalWeb"/>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Justine Schneider</w:t>
            </w:r>
          </w:p>
        </w:tc>
        <w:tc>
          <w:tcPr>
            <w:tcW w:w="1417" w:type="dxa"/>
          </w:tcPr>
          <w:p w14:paraId="54894C89"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UK</w:t>
            </w:r>
          </w:p>
        </w:tc>
        <w:tc>
          <w:tcPr>
            <w:tcW w:w="1276" w:type="dxa"/>
          </w:tcPr>
          <w:p w14:paraId="3249F704"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Community</w:t>
            </w:r>
          </w:p>
        </w:tc>
        <w:tc>
          <w:tcPr>
            <w:tcW w:w="1701" w:type="dxa"/>
          </w:tcPr>
          <w:p w14:paraId="5A9626B9"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Non-pharmacological (singing therapy)</w:t>
            </w:r>
          </w:p>
        </w:tc>
        <w:tc>
          <w:tcPr>
            <w:tcW w:w="1417" w:type="dxa"/>
          </w:tcPr>
          <w:p w14:paraId="4D5871FB"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Any</w:t>
            </w:r>
          </w:p>
        </w:tc>
        <w:tc>
          <w:tcPr>
            <w:tcW w:w="1276" w:type="dxa"/>
          </w:tcPr>
          <w:p w14:paraId="55197DCD"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Recruitment, retention and acceptability</w:t>
            </w:r>
          </w:p>
        </w:tc>
        <w:tc>
          <w:tcPr>
            <w:tcW w:w="2126" w:type="dxa"/>
          </w:tcPr>
          <w:p w14:paraId="4DFC1696"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-QoL-AD</w:t>
            </w:r>
          </w:p>
          <w:p w14:paraId="5AFB4EA9"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-EQ-5D-5L</w:t>
            </w:r>
          </w:p>
          <w:p w14:paraId="76057EE2"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-DEMQoL</w:t>
            </w:r>
          </w:p>
          <w:p w14:paraId="4BE1ADF8"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-CDR</w:t>
            </w:r>
          </w:p>
          <w:p w14:paraId="2BDBE554"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-GDS</w:t>
            </w:r>
          </w:p>
          <w:p w14:paraId="2DF98003"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-ADAS-Cog</w:t>
            </w:r>
          </w:p>
          <w:p w14:paraId="57B0CB48"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-CSDD</w:t>
            </w:r>
          </w:p>
          <w:p w14:paraId="34735AFB"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-Music engagement questionnaire</w:t>
            </w:r>
          </w:p>
          <w:p w14:paraId="48761025"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-BADLS</w:t>
            </w:r>
          </w:p>
          <w:p w14:paraId="745647C9"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-CSRI</w:t>
            </w:r>
          </w:p>
        </w:tc>
        <w:tc>
          <w:tcPr>
            <w:tcW w:w="1276" w:type="dxa"/>
          </w:tcPr>
          <w:p w14:paraId="2D0CDCE3"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 xml:space="preserve">Both </w:t>
            </w:r>
          </w:p>
        </w:tc>
        <w:tc>
          <w:tcPr>
            <w:tcW w:w="1559" w:type="dxa"/>
          </w:tcPr>
          <w:p w14:paraId="6182B579" w14:textId="77777777" w:rsidR="00B54D51" w:rsidRPr="00037AD4" w:rsidRDefault="00B54D51" w:rsidP="00401C67">
            <w:pPr>
              <w:pStyle w:val="NormalWeb"/>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 xml:space="preserve">Alzheimer’s Society &amp; NIHR </w:t>
            </w:r>
          </w:p>
        </w:tc>
      </w:tr>
      <w:tr w:rsidR="00B54D51" w:rsidRPr="00037AD4" w14:paraId="3D3306D4" w14:textId="77777777" w:rsidTr="00401C67">
        <w:tc>
          <w:tcPr>
            <w:tcW w:w="14747" w:type="dxa"/>
            <w:gridSpan w:val="10"/>
          </w:tcPr>
          <w:p w14:paraId="2A9BFC83" w14:textId="77777777" w:rsidR="00B54D51" w:rsidRPr="00037AD4" w:rsidRDefault="00B54D51" w:rsidP="00401C67">
            <w:pPr>
              <w:pStyle w:val="NormalWeb"/>
              <w:rPr>
                <w:rFonts w:asciiTheme="minorHAnsi" w:hAnsiTheme="minorHAnsi" w:cstheme="minorHAnsi"/>
                <w:color w:val="000000" w:themeColor="text1"/>
                <w:sz w:val="22"/>
                <w:szCs w:val="22"/>
              </w:rPr>
            </w:pPr>
            <w:r w:rsidRPr="00037AD4">
              <w:rPr>
                <w:rFonts w:asciiTheme="minorHAnsi" w:hAnsiTheme="minorHAnsi" w:cstheme="minorHAnsi"/>
                <w:b/>
                <w:bCs/>
                <w:color w:val="000000" w:themeColor="text1"/>
                <w:u w:val="single"/>
              </w:rPr>
              <w:lastRenderedPageBreak/>
              <w:t>Dementia observational studies:</w:t>
            </w:r>
          </w:p>
        </w:tc>
      </w:tr>
      <w:tr w:rsidR="00B54D51" w:rsidRPr="00037AD4" w14:paraId="0880A5B7" w14:textId="77777777" w:rsidTr="00401C67">
        <w:tc>
          <w:tcPr>
            <w:tcW w:w="1180" w:type="dxa"/>
          </w:tcPr>
          <w:p w14:paraId="6999D9AA"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Study name, year of results</w:t>
            </w:r>
          </w:p>
        </w:tc>
        <w:tc>
          <w:tcPr>
            <w:tcW w:w="1519" w:type="dxa"/>
          </w:tcPr>
          <w:p w14:paraId="4E40491D" w14:textId="77777777" w:rsidR="00B54D51" w:rsidRPr="00037AD4" w:rsidRDefault="00B54D51" w:rsidP="00401C67">
            <w:pPr>
              <w:pStyle w:val="NormalWeb"/>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PI</w:t>
            </w:r>
          </w:p>
        </w:tc>
        <w:tc>
          <w:tcPr>
            <w:tcW w:w="1417" w:type="dxa"/>
          </w:tcPr>
          <w:p w14:paraId="1341CF21"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Country</w:t>
            </w:r>
          </w:p>
        </w:tc>
        <w:tc>
          <w:tcPr>
            <w:tcW w:w="1276" w:type="dxa"/>
          </w:tcPr>
          <w:p w14:paraId="5EB3E68D"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Setting</w:t>
            </w:r>
          </w:p>
        </w:tc>
        <w:tc>
          <w:tcPr>
            <w:tcW w:w="1701" w:type="dxa"/>
          </w:tcPr>
          <w:p w14:paraId="36A08697"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Study type &amp; focus</w:t>
            </w:r>
          </w:p>
        </w:tc>
        <w:tc>
          <w:tcPr>
            <w:tcW w:w="1417" w:type="dxa"/>
          </w:tcPr>
          <w:p w14:paraId="475820C1"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Type of dementia</w:t>
            </w:r>
          </w:p>
        </w:tc>
        <w:tc>
          <w:tcPr>
            <w:tcW w:w="1276" w:type="dxa"/>
          </w:tcPr>
          <w:p w14:paraId="1AED540C"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Primary outcome</w:t>
            </w:r>
          </w:p>
        </w:tc>
        <w:tc>
          <w:tcPr>
            <w:tcW w:w="2126" w:type="dxa"/>
          </w:tcPr>
          <w:p w14:paraId="1DBE1239"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Secondary outcome</w:t>
            </w:r>
          </w:p>
        </w:tc>
        <w:tc>
          <w:tcPr>
            <w:tcW w:w="1276" w:type="dxa"/>
          </w:tcPr>
          <w:p w14:paraId="1FCDE196"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Self vs. proxy QoL?</w:t>
            </w:r>
          </w:p>
        </w:tc>
        <w:tc>
          <w:tcPr>
            <w:tcW w:w="1559" w:type="dxa"/>
          </w:tcPr>
          <w:p w14:paraId="3853F8E8" w14:textId="77777777" w:rsidR="00B54D51" w:rsidRPr="00037AD4" w:rsidRDefault="00B54D51" w:rsidP="00401C67">
            <w:pPr>
              <w:pStyle w:val="NormalWeb"/>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Funding</w:t>
            </w:r>
          </w:p>
        </w:tc>
      </w:tr>
      <w:tr w:rsidR="00B54D51" w:rsidRPr="00037AD4" w14:paraId="0D1C0094" w14:textId="77777777" w:rsidTr="00401C67">
        <w:tc>
          <w:tcPr>
            <w:tcW w:w="1180" w:type="dxa"/>
          </w:tcPr>
          <w:p w14:paraId="4A621141"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DADE, 2015</w:t>
            </w:r>
          </w:p>
        </w:tc>
        <w:tc>
          <w:tcPr>
            <w:tcW w:w="1519" w:type="dxa"/>
          </w:tcPr>
          <w:p w14:paraId="2F3CD829" w14:textId="77777777" w:rsidR="00B54D51" w:rsidRPr="00037AD4" w:rsidRDefault="00B54D51" w:rsidP="00401C67">
            <w:pPr>
              <w:pStyle w:val="NormalWeb"/>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Roy Jones</w:t>
            </w:r>
          </w:p>
        </w:tc>
        <w:tc>
          <w:tcPr>
            <w:tcW w:w="1417" w:type="dxa"/>
          </w:tcPr>
          <w:p w14:paraId="4C3D65CD"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UK</w:t>
            </w:r>
          </w:p>
        </w:tc>
        <w:tc>
          <w:tcPr>
            <w:tcW w:w="1276" w:type="dxa"/>
          </w:tcPr>
          <w:p w14:paraId="6A773932"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Not specified</w:t>
            </w:r>
          </w:p>
        </w:tc>
        <w:tc>
          <w:tcPr>
            <w:tcW w:w="1701" w:type="dxa"/>
          </w:tcPr>
          <w:p w14:paraId="7ADA1731"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Cross-sectional observational; dependence in dementia</w:t>
            </w:r>
          </w:p>
        </w:tc>
        <w:tc>
          <w:tcPr>
            <w:tcW w:w="1417" w:type="dxa"/>
          </w:tcPr>
          <w:p w14:paraId="1BB89F73"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AD</w:t>
            </w:r>
          </w:p>
        </w:tc>
        <w:tc>
          <w:tcPr>
            <w:tcW w:w="1276" w:type="dxa"/>
          </w:tcPr>
          <w:p w14:paraId="14C9C0F1"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DS</w:t>
            </w:r>
          </w:p>
        </w:tc>
        <w:tc>
          <w:tcPr>
            <w:tcW w:w="2126" w:type="dxa"/>
          </w:tcPr>
          <w:p w14:paraId="1AFB9FF1"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-MMSE</w:t>
            </w:r>
          </w:p>
          <w:p w14:paraId="4233917B"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 xml:space="preserve">-DAD </w:t>
            </w:r>
          </w:p>
          <w:p w14:paraId="4F60E69C"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-NPI</w:t>
            </w:r>
          </w:p>
          <w:p w14:paraId="537BE116"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-CDR-SOB</w:t>
            </w:r>
          </w:p>
          <w:p w14:paraId="5276F0D8"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-EQ-5D</w:t>
            </w:r>
          </w:p>
          <w:p w14:paraId="38025EDE"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-EQ-5D-proxy</w:t>
            </w:r>
          </w:p>
          <w:p w14:paraId="4DFE40AA"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-DEMQoL</w:t>
            </w:r>
          </w:p>
          <w:p w14:paraId="2E03A7AE"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-DEMQoL-proxy(-U)</w:t>
            </w:r>
          </w:p>
          <w:p w14:paraId="5D448398"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 xml:space="preserve">-BASQID </w:t>
            </w:r>
          </w:p>
          <w:p w14:paraId="28793FB4"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-ZBI</w:t>
            </w:r>
          </w:p>
        </w:tc>
        <w:tc>
          <w:tcPr>
            <w:tcW w:w="1276" w:type="dxa"/>
          </w:tcPr>
          <w:p w14:paraId="4E8D9BEE"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Both</w:t>
            </w:r>
          </w:p>
        </w:tc>
        <w:tc>
          <w:tcPr>
            <w:tcW w:w="1559" w:type="dxa"/>
          </w:tcPr>
          <w:p w14:paraId="29A3D480" w14:textId="77777777" w:rsidR="00B54D51" w:rsidRPr="00037AD4" w:rsidRDefault="00B54D51" w:rsidP="00401C67">
            <w:pPr>
              <w:pStyle w:val="NormalWeb"/>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Pfizer Inc and Janssen Alzheimer Immunotherapy Research &amp; development</w:t>
            </w:r>
          </w:p>
        </w:tc>
      </w:tr>
      <w:tr w:rsidR="00B54D51" w:rsidRPr="00037AD4" w14:paraId="4BAFC505" w14:textId="77777777" w:rsidTr="00401C67">
        <w:tc>
          <w:tcPr>
            <w:tcW w:w="1180" w:type="dxa"/>
          </w:tcPr>
          <w:p w14:paraId="064EEB96"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IDEAL, ongoing</w:t>
            </w:r>
          </w:p>
        </w:tc>
        <w:tc>
          <w:tcPr>
            <w:tcW w:w="1519" w:type="dxa"/>
          </w:tcPr>
          <w:p w14:paraId="1CB0875A" w14:textId="77777777" w:rsidR="00B54D51" w:rsidRPr="00037AD4" w:rsidRDefault="00B54D51" w:rsidP="00401C67">
            <w:pPr>
              <w:pStyle w:val="NormalWeb"/>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Linda Clare</w:t>
            </w:r>
          </w:p>
        </w:tc>
        <w:tc>
          <w:tcPr>
            <w:tcW w:w="1417" w:type="dxa"/>
          </w:tcPr>
          <w:p w14:paraId="3B454177"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UK</w:t>
            </w:r>
          </w:p>
        </w:tc>
        <w:tc>
          <w:tcPr>
            <w:tcW w:w="1276" w:type="dxa"/>
          </w:tcPr>
          <w:p w14:paraId="6AED4DCA"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 xml:space="preserve">Not specified  </w:t>
            </w:r>
          </w:p>
        </w:tc>
        <w:tc>
          <w:tcPr>
            <w:tcW w:w="1701" w:type="dxa"/>
          </w:tcPr>
          <w:p w14:paraId="2CCE3D3D"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Longitudinal cohort study</w:t>
            </w:r>
          </w:p>
        </w:tc>
        <w:tc>
          <w:tcPr>
            <w:tcW w:w="1417" w:type="dxa"/>
          </w:tcPr>
          <w:p w14:paraId="7F101490"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Any</w:t>
            </w:r>
          </w:p>
        </w:tc>
        <w:tc>
          <w:tcPr>
            <w:tcW w:w="1276" w:type="dxa"/>
          </w:tcPr>
          <w:p w14:paraId="26F1DC7D"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QoL-AD, WHO-5 Wellbeing index</w:t>
            </w:r>
          </w:p>
        </w:tc>
        <w:tc>
          <w:tcPr>
            <w:tcW w:w="2126" w:type="dxa"/>
          </w:tcPr>
          <w:p w14:paraId="27A46AC6"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N/A</w:t>
            </w:r>
          </w:p>
        </w:tc>
        <w:tc>
          <w:tcPr>
            <w:tcW w:w="1276" w:type="dxa"/>
          </w:tcPr>
          <w:p w14:paraId="69A0ECB8"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Not clear</w:t>
            </w:r>
          </w:p>
        </w:tc>
        <w:tc>
          <w:tcPr>
            <w:tcW w:w="1559" w:type="dxa"/>
          </w:tcPr>
          <w:p w14:paraId="5DA630EC" w14:textId="77777777" w:rsidR="00B54D51" w:rsidRPr="00037AD4" w:rsidRDefault="00B54D51" w:rsidP="00401C67">
            <w:pPr>
              <w:pStyle w:val="NormalWeb"/>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ESRC &amp; NIHR</w:t>
            </w:r>
          </w:p>
        </w:tc>
      </w:tr>
      <w:tr w:rsidR="00B54D51" w:rsidRPr="00037AD4" w14:paraId="13555F78" w14:textId="77777777" w:rsidTr="00401C67">
        <w:tc>
          <w:tcPr>
            <w:tcW w:w="1180" w:type="dxa"/>
          </w:tcPr>
          <w:p w14:paraId="31263140"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ACTIFCARE, 2016</w:t>
            </w:r>
          </w:p>
        </w:tc>
        <w:tc>
          <w:tcPr>
            <w:tcW w:w="1519" w:type="dxa"/>
          </w:tcPr>
          <w:p w14:paraId="213C3553" w14:textId="77777777" w:rsidR="00B54D51" w:rsidRPr="00037AD4" w:rsidRDefault="00B54D51" w:rsidP="00401C67">
            <w:pPr>
              <w:pStyle w:val="NormalWeb"/>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Liselot Kerpershoek</w:t>
            </w:r>
          </w:p>
        </w:tc>
        <w:tc>
          <w:tcPr>
            <w:tcW w:w="1417" w:type="dxa"/>
          </w:tcPr>
          <w:p w14:paraId="1DD67929"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8 EU countries</w:t>
            </w:r>
          </w:p>
        </w:tc>
        <w:tc>
          <w:tcPr>
            <w:tcW w:w="1276" w:type="dxa"/>
          </w:tcPr>
          <w:p w14:paraId="47F2E2BA"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Community dwelling</w:t>
            </w:r>
          </w:p>
        </w:tc>
        <w:tc>
          <w:tcPr>
            <w:tcW w:w="1701" w:type="dxa"/>
          </w:tcPr>
          <w:p w14:paraId="4BF0C253"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Longitudinal cohort study</w:t>
            </w:r>
          </w:p>
        </w:tc>
        <w:tc>
          <w:tcPr>
            <w:tcW w:w="1417" w:type="dxa"/>
          </w:tcPr>
          <w:p w14:paraId="6E5BD24D"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Any</w:t>
            </w:r>
          </w:p>
        </w:tc>
        <w:tc>
          <w:tcPr>
            <w:tcW w:w="1276" w:type="dxa"/>
          </w:tcPr>
          <w:p w14:paraId="539FC03E"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CANE, RUD</w:t>
            </w:r>
          </w:p>
        </w:tc>
        <w:tc>
          <w:tcPr>
            <w:tcW w:w="2126" w:type="dxa"/>
          </w:tcPr>
          <w:p w14:paraId="329EF67F"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-QoL-AD</w:t>
            </w:r>
          </w:p>
          <w:p w14:paraId="1763362A"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-QoL-AD proxy</w:t>
            </w:r>
          </w:p>
          <w:p w14:paraId="54219C6F"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-MMSE</w:t>
            </w:r>
          </w:p>
          <w:p w14:paraId="287B2A7D"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-DEMQoL</w:t>
            </w:r>
          </w:p>
          <w:p w14:paraId="1819C0EC"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-DEMQoL-proxy</w:t>
            </w:r>
          </w:p>
          <w:p w14:paraId="2F0AEA76"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-ICECAP-O</w:t>
            </w:r>
          </w:p>
          <w:p w14:paraId="50D18AB5"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-PAI</w:t>
            </w:r>
          </w:p>
        </w:tc>
        <w:tc>
          <w:tcPr>
            <w:tcW w:w="1276" w:type="dxa"/>
          </w:tcPr>
          <w:p w14:paraId="11C3136E"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Both</w:t>
            </w:r>
          </w:p>
        </w:tc>
        <w:tc>
          <w:tcPr>
            <w:tcW w:w="1559" w:type="dxa"/>
          </w:tcPr>
          <w:p w14:paraId="03CD15FE" w14:textId="77777777" w:rsidR="00B54D51" w:rsidRPr="00037AD4" w:rsidRDefault="00B54D51" w:rsidP="00401C67">
            <w:pPr>
              <w:pStyle w:val="NormalWeb"/>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 xml:space="preserve">EU Joint Programme - Neurodegenerative Disease Research (JPND) </w:t>
            </w:r>
          </w:p>
          <w:p w14:paraId="6DD15922" w14:textId="77777777" w:rsidR="00B54D51" w:rsidRPr="00037AD4" w:rsidRDefault="00B54D51" w:rsidP="00401C67">
            <w:pPr>
              <w:pStyle w:val="NormalWeb"/>
              <w:rPr>
                <w:rFonts w:asciiTheme="minorHAnsi" w:hAnsiTheme="minorHAnsi" w:cstheme="minorHAnsi"/>
                <w:color w:val="000000" w:themeColor="text1"/>
                <w:sz w:val="22"/>
                <w:szCs w:val="22"/>
              </w:rPr>
            </w:pPr>
          </w:p>
        </w:tc>
      </w:tr>
      <w:tr w:rsidR="00B54D51" w:rsidRPr="00037AD4" w14:paraId="1D0883CB" w14:textId="77777777" w:rsidTr="00401C67">
        <w:tc>
          <w:tcPr>
            <w:tcW w:w="14747" w:type="dxa"/>
            <w:gridSpan w:val="10"/>
          </w:tcPr>
          <w:p w14:paraId="4D3C4AA5" w14:textId="77777777" w:rsidR="00B54D51" w:rsidRPr="00037AD4" w:rsidRDefault="00B54D51" w:rsidP="00401C67">
            <w:pPr>
              <w:rPr>
                <w:rFonts w:asciiTheme="minorHAnsi" w:hAnsiTheme="minorHAnsi" w:cstheme="minorHAnsi"/>
                <w:i/>
                <w:iCs/>
                <w:sz w:val="20"/>
                <w:szCs w:val="20"/>
                <w:shd w:val="clear" w:color="auto" w:fill="FFFFFF"/>
              </w:rPr>
            </w:pPr>
            <w:r w:rsidRPr="00037AD4">
              <w:rPr>
                <w:rFonts w:asciiTheme="minorHAnsi" w:hAnsiTheme="minorHAnsi" w:cstheme="minorHAnsi"/>
                <w:i/>
                <w:iCs/>
                <w:sz w:val="20"/>
                <w:szCs w:val="20"/>
              </w:rPr>
              <w:t xml:space="preserve">AD, Alzheimer’s Disease; ADAS-Cog, Alzheimer’s disease assessment scale – cognitive subscale; </w:t>
            </w:r>
            <w:r w:rsidRPr="00037AD4">
              <w:rPr>
                <w:rFonts w:asciiTheme="minorHAnsi" w:hAnsiTheme="minorHAnsi" w:cstheme="minorHAnsi"/>
                <w:i/>
                <w:iCs/>
                <w:sz w:val="20"/>
                <w:szCs w:val="20"/>
                <w:shd w:val="clear" w:color="auto" w:fill="FFFFFF"/>
              </w:rPr>
              <w:t xml:space="preserve">ADL, activities of daily living; ADCS-ADL, Alzheimer's Disease Cooperative Study - Activities of Daily Living; </w:t>
            </w:r>
            <w:r w:rsidRPr="00037AD4">
              <w:rPr>
                <w:rFonts w:asciiTheme="minorHAnsi" w:hAnsiTheme="minorHAnsi" w:cstheme="minorHAnsi"/>
                <w:i/>
                <w:iCs/>
                <w:sz w:val="20"/>
                <w:szCs w:val="20"/>
              </w:rPr>
              <w:t>BADLS, Bristol activities of daily living; BASQID,</w:t>
            </w:r>
            <w:r w:rsidRPr="00037AD4">
              <w:rPr>
                <w:rFonts w:asciiTheme="minorHAnsi" w:hAnsiTheme="minorHAnsi" w:cstheme="minorHAnsi"/>
                <w:i/>
                <w:iCs/>
                <w:sz w:val="20"/>
                <w:szCs w:val="20"/>
                <w:shd w:val="clear" w:color="auto" w:fill="FFFFFF"/>
              </w:rPr>
              <w:t xml:space="preserve"> Bath Assessment of Subjective Quality of Life in</w:t>
            </w:r>
            <w:r w:rsidRPr="00037AD4">
              <w:rPr>
                <w:rStyle w:val="apple-converted-space"/>
                <w:rFonts w:asciiTheme="minorHAnsi" w:eastAsiaTheme="majorEastAsia" w:hAnsiTheme="minorHAnsi" w:cstheme="minorHAnsi"/>
                <w:i/>
                <w:iCs/>
                <w:sz w:val="20"/>
                <w:szCs w:val="20"/>
                <w:shd w:val="clear" w:color="auto" w:fill="FFFFFF"/>
              </w:rPr>
              <w:t> </w:t>
            </w:r>
            <w:r w:rsidRPr="00037AD4">
              <w:rPr>
                <w:rStyle w:val="Emphasis"/>
                <w:rFonts w:asciiTheme="minorHAnsi" w:hAnsiTheme="minorHAnsi" w:cstheme="minorHAnsi"/>
              </w:rPr>
              <w:t>Dementia</w:t>
            </w:r>
            <w:r w:rsidRPr="00037AD4">
              <w:rPr>
                <w:rFonts w:asciiTheme="minorHAnsi" w:hAnsiTheme="minorHAnsi" w:cstheme="minorHAnsi"/>
                <w:i/>
                <w:iCs/>
                <w:sz w:val="20"/>
                <w:szCs w:val="20"/>
              </w:rPr>
              <w:t xml:space="preserve">; CAMCOG-DS, Cambridge cognitive examination for older adults with down’s syndrome; CANE, Camberwell Assessment of Needs for the Elderly; CMAI, Cohen Mansfield agitation inventory; CSRI, Client Services Receipt Inventory; CSDD, Cornell Scale for depression in dementia; CDR (SOB), clinical dementia rating (sum of boxes); D-KEFS, Delis-Kaplan Executive Function System; Disability assessment for dementia, DAD; </w:t>
            </w:r>
            <w:r w:rsidRPr="00037AD4">
              <w:rPr>
                <w:rFonts w:asciiTheme="minorHAnsi" w:hAnsiTheme="minorHAnsi" w:cstheme="minorHAnsi"/>
                <w:i/>
                <w:iCs/>
                <w:sz w:val="20"/>
                <w:szCs w:val="20"/>
                <w:shd w:val="clear" w:color="auto" w:fill="FFFFFF"/>
              </w:rPr>
              <w:t xml:space="preserve">DEMQoL, Dementia Quality of life scale; </w:t>
            </w:r>
            <w:r w:rsidRPr="00037AD4">
              <w:rPr>
                <w:rFonts w:asciiTheme="minorHAnsi" w:hAnsiTheme="minorHAnsi" w:cstheme="minorHAnsi"/>
                <w:i/>
                <w:iCs/>
                <w:sz w:val="20"/>
                <w:szCs w:val="20"/>
              </w:rPr>
              <w:t>Dependence scale DS; ESS, Epworth Sleepiness Scale; EU, European Union; GDS, Geriatric Depression Scale;</w:t>
            </w:r>
            <w:r w:rsidRPr="00037AD4">
              <w:rPr>
                <w:rFonts w:asciiTheme="minorHAnsi" w:hAnsiTheme="minorHAnsi" w:cstheme="minorHAnsi"/>
                <w:i/>
                <w:iCs/>
                <w:sz w:val="20"/>
                <w:szCs w:val="20"/>
                <w:shd w:val="clear" w:color="auto" w:fill="FFFFFF"/>
              </w:rPr>
              <w:t xml:space="preserve"> GHQ, general health questionnaire</w:t>
            </w:r>
            <w:r w:rsidRPr="00037AD4">
              <w:rPr>
                <w:rFonts w:asciiTheme="minorHAnsi" w:hAnsiTheme="minorHAnsi" w:cstheme="minorHAnsi"/>
                <w:i/>
                <w:iCs/>
                <w:sz w:val="20"/>
                <w:szCs w:val="20"/>
              </w:rPr>
              <w:t xml:space="preserve">; GP, general practitioner; GSE, Generalised Self-Efficacy Scale; HDRS, Hamilton Depression Rating Scale; HADS, Hospital Anxiety and Depression </w:t>
            </w:r>
            <w:r w:rsidRPr="00037AD4">
              <w:rPr>
                <w:rFonts w:asciiTheme="minorHAnsi" w:hAnsiTheme="minorHAnsi" w:cstheme="minorHAnsi"/>
                <w:i/>
                <w:iCs/>
                <w:sz w:val="20"/>
                <w:szCs w:val="20"/>
              </w:rPr>
              <w:lastRenderedPageBreak/>
              <w:t xml:space="preserve">Scale; HCS, Holdens communication scale; </w:t>
            </w:r>
            <w:r w:rsidRPr="00037AD4">
              <w:rPr>
                <w:rFonts w:asciiTheme="minorHAnsi" w:hAnsiTheme="minorHAnsi" w:cstheme="minorHAnsi"/>
                <w:i/>
                <w:iCs/>
                <w:sz w:val="20"/>
                <w:szCs w:val="20"/>
                <w:shd w:val="clear" w:color="auto" w:fill="FFFFFF"/>
              </w:rPr>
              <w:t xml:space="preserve">HTA, health technology assessment; </w:t>
            </w:r>
            <w:r w:rsidRPr="00037AD4">
              <w:rPr>
                <w:rFonts w:asciiTheme="minorHAnsi" w:hAnsiTheme="minorHAnsi" w:cstheme="minorHAnsi"/>
                <w:i/>
                <w:iCs/>
                <w:sz w:val="20"/>
                <w:szCs w:val="20"/>
              </w:rPr>
              <w:t xml:space="preserve">ICECAP-O, </w:t>
            </w:r>
            <w:r w:rsidRPr="00037AD4">
              <w:rPr>
                <w:rFonts w:asciiTheme="minorHAnsi" w:hAnsiTheme="minorHAnsi" w:cstheme="minorHAnsi"/>
                <w:i/>
                <w:iCs/>
                <w:sz w:val="20"/>
                <w:szCs w:val="20"/>
                <w:shd w:val="clear" w:color="auto" w:fill="FFFFFF"/>
              </w:rPr>
              <w:t>The ICEpop CAPability measure for Older people</w:t>
            </w:r>
            <w:r w:rsidRPr="00037AD4">
              <w:rPr>
                <w:rFonts w:asciiTheme="minorHAnsi" w:hAnsiTheme="minorHAnsi" w:cstheme="minorHAnsi"/>
                <w:i/>
                <w:iCs/>
                <w:sz w:val="20"/>
                <w:szCs w:val="20"/>
              </w:rPr>
              <w:t xml:space="preserve">; </w:t>
            </w:r>
            <w:r w:rsidRPr="00037AD4">
              <w:rPr>
                <w:rFonts w:asciiTheme="minorHAnsi" w:hAnsiTheme="minorHAnsi" w:cstheme="minorHAnsi"/>
                <w:i/>
                <w:iCs/>
                <w:sz w:val="20"/>
                <w:szCs w:val="20"/>
                <w:shd w:val="clear" w:color="auto" w:fill="FFFFFF"/>
              </w:rPr>
              <w:t xml:space="preserve">NPI(-NH), neuropsychiatric inventory (nursing home); </w:t>
            </w:r>
            <w:r w:rsidRPr="00037AD4">
              <w:rPr>
                <w:rFonts w:asciiTheme="minorHAnsi" w:hAnsiTheme="minorHAnsi" w:cstheme="minorHAnsi"/>
                <w:i/>
                <w:iCs/>
                <w:sz w:val="20"/>
                <w:szCs w:val="20"/>
              </w:rPr>
              <w:t xml:space="preserve">(s)MMSE, (standardised) mini-mental state examination; </w:t>
            </w:r>
            <w:r w:rsidRPr="00037AD4">
              <w:rPr>
                <w:rFonts w:asciiTheme="minorHAnsi" w:hAnsiTheme="minorHAnsi" w:cstheme="minorHAnsi"/>
                <w:i/>
                <w:iCs/>
                <w:sz w:val="20"/>
                <w:szCs w:val="20"/>
                <w:shd w:val="clear" w:color="auto" w:fill="FFFFFF"/>
              </w:rPr>
              <w:t xml:space="preserve">MRC, medical research council; PAS, </w:t>
            </w:r>
            <w:r w:rsidRPr="00037AD4">
              <w:rPr>
                <w:rFonts w:asciiTheme="minorHAnsi" w:hAnsiTheme="minorHAnsi" w:cstheme="minorHAnsi"/>
                <w:i/>
                <w:iCs/>
                <w:sz w:val="20"/>
                <w:szCs w:val="20"/>
              </w:rPr>
              <w:t xml:space="preserve">MoCA, </w:t>
            </w:r>
            <w:r w:rsidRPr="00037AD4">
              <w:rPr>
                <w:rFonts w:asciiTheme="minorHAnsi" w:hAnsiTheme="minorHAnsi" w:cstheme="minorHAnsi"/>
                <w:i/>
                <w:iCs/>
                <w:sz w:val="20"/>
                <w:szCs w:val="20"/>
                <w:shd w:val="clear" w:color="auto" w:fill="FFFFFF"/>
              </w:rPr>
              <w:t xml:space="preserve">Montreal Cognitive Assessment; </w:t>
            </w:r>
            <w:r w:rsidRPr="00037AD4">
              <w:rPr>
                <w:rFonts w:asciiTheme="minorHAnsi" w:hAnsiTheme="minorHAnsi" w:cstheme="minorHAnsi"/>
                <w:i/>
                <w:iCs/>
                <w:sz w:val="20"/>
                <w:szCs w:val="20"/>
              </w:rPr>
              <w:t>NIHR, national institute for health research; PAI, Positive Affect Index;</w:t>
            </w:r>
            <w:r w:rsidRPr="00037AD4">
              <w:rPr>
                <w:rFonts w:asciiTheme="minorHAnsi" w:hAnsiTheme="minorHAnsi" w:cstheme="minorHAnsi"/>
                <w:i/>
                <w:iCs/>
                <w:sz w:val="20"/>
                <w:szCs w:val="20"/>
                <w:shd w:val="clear" w:color="auto" w:fill="FFFFFF"/>
              </w:rPr>
              <w:t xml:space="preserve"> </w:t>
            </w:r>
            <w:r w:rsidRPr="00037AD4">
              <w:rPr>
                <w:rFonts w:asciiTheme="minorHAnsi" w:hAnsiTheme="minorHAnsi" w:cstheme="minorHAnsi"/>
                <w:i/>
                <w:iCs/>
                <w:sz w:val="20"/>
                <w:szCs w:val="20"/>
              </w:rPr>
              <w:t xml:space="preserve">PGfAR, programme grants for applied research; Pittsburgh Agitation Scale; PASE, Physical Activity Scale for the Elderly; QALYs, quality adjusted life years; QoL-AD, quality of life in Alzheimer’s disease scale; QUIS, Quality of interactions schedule; RAID, Rating Anxiety in Dementia; RBMT, Rivermead Behavioural Memory Test; </w:t>
            </w:r>
            <w:r w:rsidRPr="00037AD4">
              <w:rPr>
                <w:rFonts w:asciiTheme="minorHAnsi" w:hAnsiTheme="minorHAnsi" w:cstheme="minorHAnsi"/>
                <w:i/>
                <w:iCs/>
                <w:sz w:val="20"/>
                <w:szCs w:val="20"/>
                <w:shd w:val="clear" w:color="auto" w:fill="FFFFFF"/>
              </w:rPr>
              <w:t>RSS, relationship satisfaction survey</w:t>
            </w:r>
            <w:r w:rsidRPr="00037AD4">
              <w:rPr>
                <w:rFonts w:asciiTheme="minorHAnsi" w:hAnsiTheme="minorHAnsi" w:cstheme="minorHAnsi"/>
                <w:i/>
                <w:iCs/>
                <w:sz w:val="20"/>
                <w:szCs w:val="20"/>
              </w:rPr>
              <w:t xml:space="preserve">; RUD, resource utilisation in dementia; SCIDS, Sense of competence in Dementia Care Staff scale; SF-12, short form health survey 12 items; SIB, Severe Impairment Battery; TX, treatment; </w:t>
            </w:r>
            <w:r w:rsidRPr="00037AD4">
              <w:rPr>
                <w:rFonts w:asciiTheme="minorHAnsi" w:hAnsiTheme="minorHAnsi" w:cstheme="minorHAnsi"/>
                <w:i/>
                <w:iCs/>
                <w:sz w:val="20"/>
                <w:szCs w:val="20"/>
                <w:shd w:val="clear" w:color="auto" w:fill="FFFFFF"/>
              </w:rPr>
              <w:t xml:space="preserve">UK, united kingdom; </w:t>
            </w:r>
            <w:r w:rsidRPr="00037AD4">
              <w:rPr>
                <w:rFonts w:asciiTheme="minorHAnsi" w:hAnsiTheme="minorHAnsi" w:cstheme="minorHAnsi"/>
                <w:i/>
                <w:iCs/>
                <w:sz w:val="20"/>
                <w:szCs w:val="20"/>
              </w:rPr>
              <w:t>VD, Vascular dementia; WHOQoL-BREF, world health organisation quality of life brief version; ZBI, Zarit burden interview</w:t>
            </w:r>
          </w:p>
        </w:tc>
      </w:tr>
    </w:tbl>
    <w:p w14:paraId="6AB4D324" w14:textId="77777777" w:rsidR="00B54D51" w:rsidRPr="00037AD4" w:rsidRDefault="00B54D51" w:rsidP="001D7ACE">
      <w:pPr>
        <w:rPr>
          <w:rFonts w:asciiTheme="minorHAnsi" w:hAnsiTheme="minorHAnsi" w:cstheme="minorHAnsi"/>
          <w:b/>
          <w:bCs/>
          <w:u w:val="single"/>
        </w:rPr>
      </w:pPr>
    </w:p>
    <w:p w14:paraId="36150876" w14:textId="77777777" w:rsidR="00B54D51" w:rsidRPr="00037AD4" w:rsidRDefault="00B54D51" w:rsidP="001D7ACE">
      <w:pPr>
        <w:rPr>
          <w:rFonts w:asciiTheme="minorHAnsi" w:hAnsiTheme="minorHAnsi" w:cstheme="minorHAnsi"/>
          <w:b/>
          <w:bCs/>
          <w:u w:val="single"/>
        </w:rPr>
        <w:sectPr w:rsidR="00B54D51" w:rsidRPr="00037AD4" w:rsidSect="0051675A">
          <w:pgSz w:w="16838" w:h="11906" w:orient="landscape"/>
          <w:pgMar w:top="1440" w:right="1440" w:bottom="1440" w:left="1440" w:header="708" w:footer="708" w:gutter="0"/>
          <w:cols w:space="708"/>
          <w:docGrid w:linePitch="360"/>
        </w:sectPr>
      </w:pPr>
    </w:p>
    <w:p w14:paraId="5FF25E6C" w14:textId="77777777" w:rsidR="00B54D51" w:rsidRPr="00037AD4" w:rsidRDefault="00B54D51" w:rsidP="007A43F9">
      <w:pPr>
        <w:pStyle w:val="Heading2"/>
      </w:pPr>
      <w:bookmarkStart w:id="453" w:name="A31a"/>
      <w:bookmarkStart w:id="454" w:name="_Toc175742392"/>
      <w:r w:rsidRPr="00037AD4">
        <w:lastRenderedPageBreak/>
        <w:t>Appendix 3.1a</w:t>
      </w:r>
      <w:bookmarkStart w:id="455" w:name="_Toc79839799"/>
      <w:bookmarkStart w:id="456" w:name="_Toc80257873"/>
      <w:bookmarkStart w:id="457" w:name="_Toc80969309"/>
      <w:bookmarkStart w:id="458" w:name="_Toc80969390"/>
      <w:bookmarkStart w:id="459" w:name="_Toc80969470"/>
      <w:bookmarkStart w:id="460" w:name="_Toc82180078"/>
      <w:r w:rsidRPr="00037AD4">
        <w:t xml:space="preserve"> DEMQoL suite conceptual framework</w:t>
      </w:r>
      <w:bookmarkEnd w:id="454"/>
      <w:bookmarkEnd w:id="455"/>
      <w:bookmarkEnd w:id="456"/>
      <w:bookmarkEnd w:id="457"/>
      <w:bookmarkEnd w:id="458"/>
      <w:bookmarkEnd w:id="459"/>
      <w:bookmarkEnd w:id="460"/>
      <w:r w:rsidRPr="00037AD4">
        <w:rPr>
          <w:i/>
          <w:iCs/>
        </w:rPr>
        <w:t xml:space="preserve"> </w:t>
      </w:r>
    </w:p>
    <w:bookmarkEnd w:id="453"/>
    <w:p w14:paraId="701D40FB" w14:textId="77777777" w:rsidR="00B54D51" w:rsidRPr="00037AD4" w:rsidRDefault="00B54D51" w:rsidP="001D7ACE">
      <w:pPr>
        <w:pStyle w:val="Heading3"/>
        <w:rPr>
          <w:rFonts w:asciiTheme="minorHAnsi" w:hAnsiTheme="minorHAnsi" w:cstheme="minorHAnsi"/>
          <w:szCs w:val="26"/>
        </w:rPr>
      </w:pPr>
      <w:r w:rsidRPr="00037AD4">
        <w:rPr>
          <w:rFonts w:asciiTheme="minorHAnsi" w:hAnsiTheme="minorHAnsi" w:cstheme="minorHAnsi"/>
          <w:szCs w:val="26"/>
        </w:rPr>
        <w:t xml:space="preserve"> </w:t>
      </w:r>
    </w:p>
    <w:p w14:paraId="2D52BEAB" w14:textId="77777777" w:rsidR="00B54D51" w:rsidRPr="00037AD4" w:rsidRDefault="00B54D51" w:rsidP="001D7ACE">
      <w:pPr>
        <w:pStyle w:val="EndNoteBibliography"/>
        <w:rPr>
          <w:rFonts w:asciiTheme="minorHAnsi" w:hAnsiTheme="minorHAnsi" w:cstheme="minorHAnsi"/>
          <w:i/>
          <w:iCs/>
          <w:lang w:val="en-GB"/>
        </w:rPr>
      </w:pPr>
      <w:r w:rsidRPr="00037AD4">
        <w:rPr>
          <w:rFonts w:asciiTheme="minorHAnsi" w:hAnsiTheme="minorHAnsi" w:cstheme="minorHAnsi"/>
          <w:lang w:val="en-GB"/>
        </w:rPr>
        <w:t xml:space="preserve">The DEMQoL suite was developed for use in mild/moderate and severe dementia populations in the UK. The framework for the suite was developed via mixed methods including literature reviewing, interviews with PwD and caregivers and expert consensus discussions. Through these rigorous processes, the final conceptual framework included 5 overarching domains: </w:t>
      </w:r>
      <w:r w:rsidRPr="00037AD4">
        <w:rPr>
          <w:rFonts w:asciiTheme="minorHAnsi" w:hAnsiTheme="minorHAnsi" w:cstheme="minorHAnsi"/>
          <w:i/>
          <w:iCs/>
          <w:lang w:val="en-GB"/>
        </w:rPr>
        <w:t xml:space="preserve">daily activities and looking after yourself, health and well-being, cognitive functioning, social relationship, </w:t>
      </w:r>
      <w:r w:rsidRPr="00037AD4">
        <w:rPr>
          <w:rFonts w:asciiTheme="minorHAnsi" w:hAnsiTheme="minorHAnsi" w:cstheme="minorHAnsi"/>
          <w:lang w:val="en-GB"/>
        </w:rPr>
        <w:t>and</w:t>
      </w:r>
      <w:r w:rsidRPr="00037AD4">
        <w:rPr>
          <w:rFonts w:asciiTheme="minorHAnsi" w:hAnsiTheme="minorHAnsi" w:cstheme="minorHAnsi"/>
          <w:i/>
          <w:iCs/>
          <w:lang w:val="en-GB"/>
        </w:rPr>
        <w:t xml:space="preserve"> self-concept </w:t>
      </w:r>
      <w:r>
        <w:rPr>
          <w:rFonts w:asciiTheme="minorHAnsi" w:hAnsiTheme="minorHAnsi" w:cstheme="minorHAnsi"/>
          <w:i/>
          <w:iCs/>
          <w:noProof/>
          <w:lang w:val="en-GB"/>
        </w:rPr>
        <w:t>(Smith et al., 2005a)</w:t>
      </w:r>
      <w:r w:rsidRPr="00037AD4">
        <w:rPr>
          <w:rFonts w:asciiTheme="minorHAnsi" w:hAnsiTheme="minorHAnsi" w:cstheme="minorHAnsi"/>
          <w:i/>
          <w:iCs/>
          <w:lang w:val="en-GB"/>
        </w:rPr>
        <w:t xml:space="preserve">. </w:t>
      </w:r>
    </w:p>
    <w:p w14:paraId="5A6965BC" w14:textId="77777777" w:rsidR="00B54D51" w:rsidRPr="00037AD4" w:rsidRDefault="00B54D51" w:rsidP="001D7ACE">
      <w:pPr>
        <w:pStyle w:val="EndNoteBibliography"/>
        <w:rPr>
          <w:rFonts w:asciiTheme="minorHAnsi" w:hAnsiTheme="minorHAnsi" w:cstheme="minorHAnsi"/>
          <w:i/>
          <w:iCs/>
          <w:lang w:val="en-GB"/>
        </w:rPr>
      </w:pPr>
    </w:p>
    <w:p w14:paraId="1870BF4E" w14:textId="77777777" w:rsidR="00B54D51" w:rsidRPr="00037AD4" w:rsidRDefault="00B54D51" w:rsidP="001D7ACE">
      <w:pPr>
        <w:pStyle w:val="EndNoteBibliography"/>
        <w:rPr>
          <w:rFonts w:asciiTheme="minorHAnsi" w:hAnsiTheme="minorHAnsi" w:cstheme="minorHAnsi"/>
          <w:lang w:val="en-GB"/>
        </w:rPr>
      </w:pPr>
      <w:r w:rsidRPr="00037AD4">
        <w:rPr>
          <w:rFonts w:asciiTheme="minorHAnsi" w:hAnsiTheme="minorHAnsi" w:cstheme="minorHAnsi"/>
          <w:lang w:val="en-GB"/>
        </w:rPr>
        <w:t xml:space="preserve">Two distinct instruments are housed within the DEMQoL suite: DEMQoL (29 items) and DEMQoL-proxy (32 items). The DEMQoL-proxy is intended for proxy completion by caregivers, it asks proxies to adopt a proxy-patient perspective where possible and can be self-administered. The DEMQoL self-report is intended for interviewer administration. The instruments possess different item components to each other under the same 5 domain constructs. Items on both instruments are scored on a 4-point scale, ranging from “a lot” to “not at all”. Since its development, preference-based indices (DEMQOL-U and DEMQOL-Proxy-U) have been published for DEMQoL and DEMQoL-proxy which enable the generation of health-state utility values for use in economic evaluations </w:t>
      </w:r>
      <w:r>
        <w:rPr>
          <w:rFonts w:asciiTheme="minorHAnsi" w:hAnsiTheme="minorHAnsi" w:cstheme="minorHAnsi"/>
          <w:noProof/>
          <w:lang w:val="en-GB"/>
        </w:rPr>
        <w:t>(Mulhern et al., 2013)</w:t>
      </w:r>
      <w:r w:rsidRPr="00037AD4">
        <w:rPr>
          <w:rFonts w:asciiTheme="minorHAnsi" w:hAnsiTheme="minorHAnsi" w:cstheme="minorHAnsi"/>
          <w:lang w:val="en-GB"/>
        </w:rPr>
        <w:t xml:space="preserve">. </w:t>
      </w:r>
    </w:p>
    <w:p w14:paraId="3867DD4A" w14:textId="77777777" w:rsidR="00B54D51" w:rsidRPr="00037AD4" w:rsidRDefault="00B54D51" w:rsidP="001D7ACE">
      <w:pPr>
        <w:pStyle w:val="EndNoteBibliography"/>
        <w:rPr>
          <w:rFonts w:asciiTheme="minorHAnsi" w:hAnsiTheme="minorHAnsi" w:cstheme="minorHAnsi"/>
          <w:lang w:val="en-GB"/>
        </w:rPr>
      </w:pPr>
    </w:p>
    <w:p w14:paraId="03A14471" w14:textId="77777777" w:rsidR="00B54D51" w:rsidRPr="00037AD4" w:rsidRDefault="00B54D51" w:rsidP="001D7ACE">
      <w:pPr>
        <w:pStyle w:val="EndNoteBibliography"/>
        <w:rPr>
          <w:rFonts w:asciiTheme="minorHAnsi" w:hAnsiTheme="minorHAnsi" w:cstheme="minorHAnsi"/>
          <w:u w:val="single"/>
          <w:lang w:val="en-GB"/>
        </w:rPr>
      </w:pPr>
      <w:r w:rsidRPr="00037AD4">
        <w:rPr>
          <w:rFonts w:asciiTheme="minorHAnsi" w:hAnsiTheme="minorHAnsi" w:cstheme="minorHAnsi"/>
          <w:u w:val="single"/>
          <w:lang w:val="en-GB"/>
        </w:rPr>
        <w:t xml:space="preserve">DEMQoL items and domains </w:t>
      </w:r>
    </w:p>
    <w:p w14:paraId="5CCB4D62" w14:textId="77777777" w:rsidR="00B54D51" w:rsidRPr="00037AD4" w:rsidRDefault="00B54D51" w:rsidP="001D7ACE">
      <w:pPr>
        <w:pStyle w:val="EndNoteBibliography"/>
        <w:rPr>
          <w:rFonts w:asciiTheme="minorHAnsi" w:hAnsiTheme="minorHAnsi" w:cstheme="minorHAnsi"/>
          <w:u w:val="single"/>
          <w:lang w:val="en-GB"/>
        </w:rPr>
      </w:pPr>
    </w:p>
    <w:tbl>
      <w:tblPr>
        <w:tblStyle w:val="TableGrid"/>
        <w:tblW w:w="0" w:type="auto"/>
        <w:tblInd w:w="-5" w:type="dxa"/>
        <w:tblLook w:val="04A0" w:firstRow="1" w:lastRow="0" w:firstColumn="1" w:lastColumn="0" w:noHBand="0" w:noVBand="1"/>
      </w:tblPr>
      <w:tblGrid>
        <w:gridCol w:w="4508"/>
        <w:gridCol w:w="4508"/>
      </w:tblGrid>
      <w:tr w:rsidR="00B54D51" w:rsidRPr="00037AD4" w14:paraId="14A62B94" w14:textId="77777777" w:rsidTr="00401C67">
        <w:tc>
          <w:tcPr>
            <w:tcW w:w="4508" w:type="dxa"/>
          </w:tcPr>
          <w:p w14:paraId="7E649A7D"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 xml:space="preserve">Item component </w:t>
            </w:r>
          </w:p>
        </w:tc>
        <w:tc>
          <w:tcPr>
            <w:tcW w:w="4508" w:type="dxa"/>
          </w:tcPr>
          <w:p w14:paraId="7487B135"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 xml:space="preserve">Domain </w:t>
            </w:r>
          </w:p>
        </w:tc>
      </w:tr>
      <w:tr w:rsidR="00B54D51" w:rsidRPr="00037AD4" w14:paraId="43CE52AE" w14:textId="77777777" w:rsidTr="00401C67">
        <w:tc>
          <w:tcPr>
            <w:tcW w:w="4508" w:type="dxa"/>
          </w:tcPr>
          <w:p w14:paraId="45E280D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Cheerful </w:t>
            </w:r>
          </w:p>
        </w:tc>
        <w:tc>
          <w:tcPr>
            <w:tcW w:w="4508" w:type="dxa"/>
          </w:tcPr>
          <w:p w14:paraId="1D759B2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Health and wellbeing </w:t>
            </w:r>
          </w:p>
        </w:tc>
      </w:tr>
      <w:tr w:rsidR="00B54D51" w:rsidRPr="00037AD4" w14:paraId="11904DA8" w14:textId="77777777" w:rsidTr="00401C67">
        <w:tc>
          <w:tcPr>
            <w:tcW w:w="4508" w:type="dxa"/>
          </w:tcPr>
          <w:p w14:paraId="5D46AE6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Worried/ anxious </w:t>
            </w:r>
          </w:p>
        </w:tc>
        <w:tc>
          <w:tcPr>
            <w:tcW w:w="4508" w:type="dxa"/>
          </w:tcPr>
          <w:p w14:paraId="7B9EAE4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Health and wellbeing</w:t>
            </w:r>
          </w:p>
        </w:tc>
      </w:tr>
      <w:tr w:rsidR="00B54D51" w:rsidRPr="00037AD4" w14:paraId="34B3BD95" w14:textId="77777777" w:rsidTr="00401C67">
        <w:tc>
          <w:tcPr>
            <w:tcW w:w="4508" w:type="dxa"/>
          </w:tcPr>
          <w:p w14:paraId="67FFEFA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Enjoying life </w:t>
            </w:r>
          </w:p>
        </w:tc>
        <w:tc>
          <w:tcPr>
            <w:tcW w:w="4508" w:type="dxa"/>
          </w:tcPr>
          <w:p w14:paraId="609AFB9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Health and wellbeing</w:t>
            </w:r>
          </w:p>
        </w:tc>
      </w:tr>
      <w:tr w:rsidR="00B54D51" w:rsidRPr="00037AD4" w14:paraId="178D26BE" w14:textId="77777777" w:rsidTr="00401C67">
        <w:tc>
          <w:tcPr>
            <w:tcW w:w="4508" w:type="dxa"/>
          </w:tcPr>
          <w:p w14:paraId="6E7CC72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Frustrated </w:t>
            </w:r>
          </w:p>
        </w:tc>
        <w:tc>
          <w:tcPr>
            <w:tcW w:w="4508" w:type="dxa"/>
          </w:tcPr>
          <w:p w14:paraId="43F1350E" w14:textId="77777777" w:rsidR="00B54D51" w:rsidRPr="00037AD4" w:rsidRDefault="00B54D51" w:rsidP="00401C67">
            <w:pPr>
              <w:tabs>
                <w:tab w:val="left" w:pos="3047"/>
              </w:tabs>
              <w:rPr>
                <w:rFonts w:asciiTheme="minorHAnsi" w:hAnsiTheme="minorHAnsi" w:cstheme="minorHAnsi"/>
              </w:rPr>
            </w:pPr>
            <w:r w:rsidRPr="00037AD4">
              <w:rPr>
                <w:rFonts w:asciiTheme="minorHAnsi" w:hAnsiTheme="minorHAnsi" w:cstheme="minorHAnsi"/>
              </w:rPr>
              <w:t>Health and wellbeing</w:t>
            </w:r>
          </w:p>
        </w:tc>
      </w:tr>
      <w:tr w:rsidR="00B54D51" w:rsidRPr="00037AD4" w14:paraId="4060438B" w14:textId="77777777" w:rsidTr="00401C67">
        <w:tc>
          <w:tcPr>
            <w:tcW w:w="4508" w:type="dxa"/>
          </w:tcPr>
          <w:p w14:paraId="1D13F38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Confident </w:t>
            </w:r>
          </w:p>
        </w:tc>
        <w:tc>
          <w:tcPr>
            <w:tcW w:w="4508" w:type="dxa"/>
          </w:tcPr>
          <w:p w14:paraId="21727E3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Health and wellbeing</w:t>
            </w:r>
          </w:p>
        </w:tc>
      </w:tr>
      <w:tr w:rsidR="00B54D51" w:rsidRPr="00037AD4" w14:paraId="6AAA8F34" w14:textId="77777777" w:rsidTr="00401C67">
        <w:tc>
          <w:tcPr>
            <w:tcW w:w="4508" w:type="dxa"/>
          </w:tcPr>
          <w:p w14:paraId="480BFD3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Full of energy</w:t>
            </w:r>
          </w:p>
        </w:tc>
        <w:tc>
          <w:tcPr>
            <w:tcW w:w="4508" w:type="dxa"/>
          </w:tcPr>
          <w:p w14:paraId="0EFF13E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Health and wellbeing</w:t>
            </w:r>
          </w:p>
        </w:tc>
      </w:tr>
      <w:tr w:rsidR="00B54D51" w:rsidRPr="00037AD4" w14:paraId="4FB7D3BA" w14:textId="77777777" w:rsidTr="00401C67">
        <w:tc>
          <w:tcPr>
            <w:tcW w:w="4508" w:type="dxa"/>
          </w:tcPr>
          <w:p w14:paraId="2C44B06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Sad </w:t>
            </w:r>
          </w:p>
        </w:tc>
        <w:tc>
          <w:tcPr>
            <w:tcW w:w="4508" w:type="dxa"/>
          </w:tcPr>
          <w:p w14:paraId="622F680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Health and wellbeing</w:t>
            </w:r>
          </w:p>
        </w:tc>
      </w:tr>
      <w:tr w:rsidR="00B54D51" w:rsidRPr="00037AD4" w14:paraId="5FCFBD58" w14:textId="77777777" w:rsidTr="00401C67">
        <w:tc>
          <w:tcPr>
            <w:tcW w:w="4508" w:type="dxa"/>
          </w:tcPr>
          <w:p w14:paraId="5A425CF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Lonely </w:t>
            </w:r>
          </w:p>
        </w:tc>
        <w:tc>
          <w:tcPr>
            <w:tcW w:w="4508" w:type="dxa"/>
          </w:tcPr>
          <w:p w14:paraId="3EF533C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Health and wellbeing</w:t>
            </w:r>
          </w:p>
        </w:tc>
      </w:tr>
      <w:tr w:rsidR="00B54D51" w:rsidRPr="00037AD4" w14:paraId="599A4C84" w14:textId="77777777" w:rsidTr="00401C67">
        <w:tc>
          <w:tcPr>
            <w:tcW w:w="4508" w:type="dxa"/>
          </w:tcPr>
          <w:p w14:paraId="3F9FBC5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Distressed </w:t>
            </w:r>
          </w:p>
        </w:tc>
        <w:tc>
          <w:tcPr>
            <w:tcW w:w="4508" w:type="dxa"/>
          </w:tcPr>
          <w:p w14:paraId="6E08907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Health and wellbeing</w:t>
            </w:r>
          </w:p>
        </w:tc>
      </w:tr>
      <w:tr w:rsidR="00B54D51" w:rsidRPr="00037AD4" w14:paraId="0DF1B3C3" w14:textId="77777777" w:rsidTr="00401C67">
        <w:tc>
          <w:tcPr>
            <w:tcW w:w="4508" w:type="dxa"/>
          </w:tcPr>
          <w:p w14:paraId="0F763B6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Lively </w:t>
            </w:r>
          </w:p>
        </w:tc>
        <w:tc>
          <w:tcPr>
            <w:tcW w:w="4508" w:type="dxa"/>
          </w:tcPr>
          <w:p w14:paraId="45D16A8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Health and wellbeing</w:t>
            </w:r>
          </w:p>
        </w:tc>
      </w:tr>
      <w:tr w:rsidR="00B54D51" w:rsidRPr="00037AD4" w14:paraId="0165E0F0" w14:textId="77777777" w:rsidTr="00401C67">
        <w:tc>
          <w:tcPr>
            <w:tcW w:w="4508" w:type="dxa"/>
          </w:tcPr>
          <w:p w14:paraId="0C8A021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Irritable </w:t>
            </w:r>
          </w:p>
        </w:tc>
        <w:tc>
          <w:tcPr>
            <w:tcW w:w="4508" w:type="dxa"/>
          </w:tcPr>
          <w:p w14:paraId="257E829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Health and wellbeing</w:t>
            </w:r>
          </w:p>
        </w:tc>
      </w:tr>
      <w:tr w:rsidR="00B54D51" w:rsidRPr="00037AD4" w14:paraId="70813B06" w14:textId="77777777" w:rsidTr="00401C67">
        <w:tc>
          <w:tcPr>
            <w:tcW w:w="4508" w:type="dxa"/>
          </w:tcPr>
          <w:p w14:paraId="3C72FC2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Fed-up </w:t>
            </w:r>
          </w:p>
        </w:tc>
        <w:tc>
          <w:tcPr>
            <w:tcW w:w="4508" w:type="dxa"/>
          </w:tcPr>
          <w:p w14:paraId="223F468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Health and wellbeing</w:t>
            </w:r>
          </w:p>
        </w:tc>
      </w:tr>
      <w:tr w:rsidR="00B54D51" w:rsidRPr="00037AD4" w14:paraId="545DC76E" w14:textId="77777777" w:rsidTr="00401C67">
        <w:tc>
          <w:tcPr>
            <w:tcW w:w="4508" w:type="dxa"/>
          </w:tcPr>
          <w:p w14:paraId="28C245C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Things wanted to do but couldn’t </w:t>
            </w:r>
          </w:p>
        </w:tc>
        <w:tc>
          <w:tcPr>
            <w:tcW w:w="4508" w:type="dxa"/>
          </w:tcPr>
          <w:p w14:paraId="3FFC7D4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Daily activities and looking after yourself</w:t>
            </w:r>
          </w:p>
        </w:tc>
      </w:tr>
      <w:tr w:rsidR="00B54D51" w:rsidRPr="00037AD4" w14:paraId="6E1F738F" w14:textId="77777777" w:rsidTr="00401C67">
        <w:tc>
          <w:tcPr>
            <w:tcW w:w="4508" w:type="dxa"/>
          </w:tcPr>
          <w:p w14:paraId="2CB8B63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Forgetting things that happened recently</w:t>
            </w:r>
          </w:p>
        </w:tc>
        <w:tc>
          <w:tcPr>
            <w:tcW w:w="4508" w:type="dxa"/>
          </w:tcPr>
          <w:p w14:paraId="4533C52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Cognitive functioning </w:t>
            </w:r>
          </w:p>
        </w:tc>
      </w:tr>
      <w:tr w:rsidR="00B54D51" w:rsidRPr="00037AD4" w14:paraId="14F9DDC7" w14:textId="77777777" w:rsidTr="00401C67">
        <w:tc>
          <w:tcPr>
            <w:tcW w:w="4508" w:type="dxa"/>
          </w:tcPr>
          <w:p w14:paraId="47A1219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Forgetting who people are</w:t>
            </w:r>
          </w:p>
        </w:tc>
        <w:tc>
          <w:tcPr>
            <w:tcW w:w="4508" w:type="dxa"/>
          </w:tcPr>
          <w:p w14:paraId="0B92ACB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Cognitive functioning </w:t>
            </w:r>
          </w:p>
        </w:tc>
      </w:tr>
      <w:tr w:rsidR="00B54D51" w:rsidRPr="00037AD4" w14:paraId="55244644" w14:textId="77777777" w:rsidTr="00401C67">
        <w:tc>
          <w:tcPr>
            <w:tcW w:w="4508" w:type="dxa"/>
          </w:tcPr>
          <w:p w14:paraId="50BDCC3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Forgetting what day it is </w:t>
            </w:r>
          </w:p>
        </w:tc>
        <w:tc>
          <w:tcPr>
            <w:tcW w:w="4508" w:type="dxa"/>
          </w:tcPr>
          <w:p w14:paraId="1C5071A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Cognitive functioning </w:t>
            </w:r>
          </w:p>
        </w:tc>
      </w:tr>
      <w:tr w:rsidR="00B54D51" w:rsidRPr="00037AD4" w14:paraId="723E2AA3" w14:textId="77777777" w:rsidTr="00401C67">
        <w:tc>
          <w:tcPr>
            <w:tcW w:w="4508" w:type="dxa"/>
          </w:tcPr>
          <w:p w14:paraId="6BA8868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Muddled thoughts </w:t>
            </w:r>
          </w:p>
        </w:tc>
        <w:tc>
          <w:tcPr>
            <w:tcW w:w="4508" w:type="dxa"/>
          </w:tcPr>
          <w:p w14:paraId="3B3EC5F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Cognitive functioning </w:t>
            </w:r>
          </w:p>
        </w:tc>
      </w:tr>
      <w:tr w:rsidR="00B54D51" w:rsidRPr="00037AD4" w14:paraId="6052D165" w14:textId="77777777" w:rsidTr="00401C67">
        <w:tc>
          <w:tcPr>
            <w:tcW w:w="4508" w:type="dxa"/>
          </w:tcPr>
          <w:p w14:paraId="55F6A41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Difficult making decisions </w:t>
            </w:r>
          </w:p>
        </w:tc>
        <w:tc>
          <w:tcPr>
            <w:tcW w:w="4508" w:type="dxa"/>
          </w:tcPr>
          <w:p w14:paraId="7202611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Cognitive functioning </w:t>
            </w:r>
          </w:p>
        </w:tc>
      </w:tr>
      <w:tr w:rsidR="00B54D51" w:rsidRPr="00037AD4" w14:paraId="29844BF9" w14:textId="77777777" w:rsidTr="00401C67">
        <w:tc>
          <w:tcPr>
            <w:tcW w:w="4508" w:type="dxa"/>
          </w:tcPr>
          <w:p w14:paraId="6437F23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Poor concentration </w:t>
            </w:r>
          </w:p>
        </w:tc>
        <w:tc>
          <w:tcPr>
            <w:tcW w:w="4508" w:type="dxa"/>
          </w:tcPr>
          <w:p w14:paraId="5154491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Cognitive functioning </w:t>
            </w:r>
          </w:p>
        </w:tc>
      </w:tr>
      <w:tr w:rsidR="00B54D51" w:rsidRPr="00037AD4" w14:paraId="4565590F" w14:textId="77777777" w:rsidTr="00401C67">
        <w:tc>
          <w:tcPr>
            <w:tcW w:w="4508" w:type="dxa"/>
          </w:tcPr>
          <w:p w14:paraId="536362C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Not having enough company </w:t>
            </w:r>
          </w:p>
        </w:tc>
        <w:tc>
          <w:tcPr>
            <w:tcW w:w="4508" w:type="dxa"/>
          </w:tcPr>
          <w:p w14:paraId="26D1458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Social relationships </w:t>
            </w:r>
          </w:p>
        </w:tc>
      </w:tr>
      <w:tr w:rsidR="00B54D51" w:rsidRPr="00037AD4" w14:paraId="549F8381" w14:textId="77777777" w:rsidTr="00401C67">
        <w:tc>
          <w:tcPr>
            <w:tcW w:w="4508" w:type="dxa"/>
          </w:tcPr>
          <w:p w14:paraId="5C16687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How you get on with people close to you </w:t>
            </w:r>
          </w:p>
        </w:tc>
        <w:tc>
          <w:tcPr>
            <w:tcW w:w="4508" w:type="dxa"/>
          </w:tcPr>
          <w:p w14:paraId="62B1A8A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Social relationships</w:t>
            </w:r>
          </w:p>
        </w:tc>
      </w:tr>
      <w:tr w:rsidR="00B54D51" w:rsidRPr="00037AD4" w14:paraId="484204CF" w14:textId="77777777" w:rsidTr="00401C67">
        <w:tc>
          <w:tcPr>
            <w:tcW w:w="4508" w:type="dxa"/>
          </w:tcPr>
          <w:p w14:paraId="0684C33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Getting the affection you want </w:t>
            </w:r>
          </w:p>
        </w:tc>
        <w:tc>
          <w:tcPr>
            <w:tcW w:w="4508" w:type="dxa"/>
          </w:tcPr>
          <w:p w14:paraId="2E42805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Social relationships</w:t>
            </w:r>
          </w:p>
        </w:tc>
      </w:tr>
      <w:tr w:rsidR="00B54D51" w:rsidRPr="00037AD4" w14:paraId="26A08CBC" w14:textId="77777777" w:rsidTr="00401C67">
        <w:tc>
          <w:tcPr>
            <w:tcW w:w="4508" w:type="dxa"/>
          </w:tcPr>
          <w:p w14:paraId="27BF616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People not listening </w:t>
            </w:r>
          </w:p>
        </w:tc>
        <w:tc>
          <w:tcPr>
            <w:tcW w:w="4508" w:type="dxa"/>
          </w:tcPr>
          <w:p w14:paraId="74095F7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Social relationships</w:t>
            </w:r>
          </w:p>
        </w:tc>
      </w:tr>
      <w:tr w:rsidR="00B54D51" w:rsidRPr="00037AD4" w14:paraId="603BC530" w14:textId="77777777" w:rsidTr="00401C67">
        <w:tc>
          <w:tcPr>
            <w:tcW w:w="4508" w:type="dxa"/>
          </w:tcPr>
          <w:p w14:paraId="7843D1C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lastRenderedPageBreak/>
              <w:t xml:space="preserve">Making </w:t>
            </w:r>
            <w:proofErr w:type="spellStart"/>
            <w:r w:rsidRPr="00037AD4">
              <w:rPr>
                <w:rFonts w:asciiTheme="minorHAnsi" w:hAnsiTheme="minorHAnsi" w:cstheme="minorHAnsi"/>
              </w:rPr>
              <w:t>self understood</w:t>
            </w:r>
            <w:proofErr w:type="spellEnd"/>
            <w:r w:rsidRPr="00037AD4">
              <w:rPr>
                <w:rFonts w:asciiTheme="minorHAnsi" w:hAnsiTheme="minorHAnsi" w:cstheme="minorHAnsi"/>
              </w:rPr>
              <w:t xml:space="preserve"> </w:t>
            </w:r>
          </w:p>
        </w:tc>
        <w:tc>
          <w:tcPr>
            <w:tcW w:w="4508" w:type="dxa"/>
          </w:tcPr>
          <w:p w14:paraId="5CD4869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Cognitive functioning</w:t>
            </w:r>
          </w:p>
        </w:tc>
      </w:tr>
      <w:tr w:rsidR="00B54D51" w:rsidRPr="00037AD4" w14:paraId="7DFB09E0" w14:textId="77777777" w:rsidTr="00401C67">
        <w:tc>
          <w:tcPr>
            <w:tcW w:w="4508" w:type="dxa"/>
          </w:tcPr>
          <w:p w14:paraId="7008B21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Getting help when you need it </w:t>
            </w:r>
          </w:p>
        </w:tc>
        <w:tc>
          <w:tcPr>
            <w:tcW w:w="4508" w:type="dxa"/>
          </w:tcPr>
          <w:p w14:paraId="18A49BD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Social relationships</w:t>
            </w:r>
          </w:p>
        </w:tc>
      </w:tr>
      <w:tr w:rsidR="00B54D51" w:rsidRPr="00037AD4" w14:paraId="76E524B6" w14:textId="77777777" w:rsidTr="00401C67">
        <w:tc>
          <w:tcPr>
            <w:tcW w:w="4508" w:type="dxa"/>
          </w:tcPr>
          <w:p w14:paraId="22B6CBD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Getting to the toilet in time </w:t>
            </w:r>
          </w:p>
        </w:tc>
        <w:tc>
          <w:tcPr>
            <w:tcW w:w="4508" w:type="dxa"/>
          </w:tcPr>
          <w:p w14:paraId="59B7AFE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Daily activities and looking after yourself</w:t>
            </w:r>
          </w:p>
        </w:tc>
      </w:tr>
      <w:tr w:rsidR="00B54D51" w:rsidRPr="00037AD4" w14:paraId="41B0CC45" w14:textId="77777777" w:rsidTr="00401C67">
        <w:tc>
          <w:tcPr>
            <w:tcW w:w="4508" w:type="dxa"/>
          </w:tcPr>
          <w:p w14:paraId="4FBE3F7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How you feel in yourself </w:t>
            </w:r>
          </w:p>
        </w:tc>
        <w:tc>
          <w:tcPr>
            <w:tcW w:w="4508" w:type="dxa"/>
          </w:tcPr>
          <w:p w14:paraId="5096BBD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Self-concept </w:t>
            </w:r>
          </w:p>
        </w:tc>
      </w:tr>
      <w:tr w:rsidR="00B54D51" w:rsidRPr="00037AD4" w14:paraId="784511C7" w14:textId="77777777" w:rsidTr="00401C67">
        <w:tc>
          <w:tcPr>
            <w:tcW w:w="4508" w:type="dxa"/>
          </w:tcPr>
          <w:p w14:paraId="3699508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Health overall </w:t>
            </w:r>
          </w:p>
        </w:tc>
        <w:tc>
          <w:tcPr>
            <w:tcW w:w="4508" w:type="dxa"/>
          </w:tcPr>
          <w:p w14:paraId="32B22BB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Health and wellbeing</w:t>
            </w:r>
          </w:p>
        </w:tc>
      </w:tr>
    </w:tbl>
    <w:p w14:paraId="0CC805DE" w14:textId="77777777" w:rsidR="00B54D51" w:rsidRPr="00037AD4" w:rsidRDefault="00B54D51" w:rsidP="001D7ACE">
      <w:pPr>
        <w:pStyle w:val="EndNoteBibliography"/>
        <w:rPr>
          <w:rFonts w:asciiTheme="minorHAnsi" w:hAnsiTheme="minorHAnsi" w:cstheme="minorHAnsi"/>
          <w:lang w:val="en-GB"/>
        </w:rPr>
      </w:pPr>
      <w:r w:rsidRPr="00037AD4">
        <w:rPr>
          <w:rFonts w:asciiTheme="minorHAnsi" w:hAnsiTheme="minorHAnsi" w:cstheme="minorHAnsi"/>
          <w:lang w:val="en-GB"/>
        </w:rPr>
        <w:t xml:space="preserve"> </w:t>
      </w:r>
    </w:p>
    <w:p w14:paraId="7095D1D0" w14:textId="77777777" w:rsidR="00B54D51" w:rsidRPr="00037AD4" w:rsidRDefault="00B54D51" w:rsidP="001D7ACE">
      <w:pPr>
        <w:pStyle w:val="EndNoteBibliography"/>
        <w:rPr>
          <w:rFonts w:asciiTheme="minorHAnsi" w:hAnsiTheme="minorHAnsi" w:cstheme="minorHAnsi"/>
          <w:u w:val="single"/>
          <w:lang w:val="en-GB"/>
        </w:rPr>
      </w:pPr>
      <w:r w:rsidRPr="00037AD4">
        <w:rPr>
          <w:rFonts w:asciiTheme="minorHAnsi" w:hAnsiTheme="minorHAnsi" w:cstheme="minorHAnsi"/>
          <w:u w:val="single"/>
          <w:lang w:val="en-GB"/>
        </w:rPr>
        <w:t xml:space="preserve">DEMQoL-proxy items and domains </w:t>
      </w:r>
    </w:p>
    <w:p w14:paraId="3E9F134C" w14:textId="77777777" w:rsidR="00B54D51" w:rsidRPr="00037AD4" w:rsidRDefault="00B54D51" w:rsidP="001D7ACE">
      <w:pPr>
        <w:pStyle w:val="EndNoteBibliography"/>
        <w:rPr>
          <w:rFonts w:asciiTheme="minorHAnsi" w:hAnsiTheme="minorHAnsi" w:cstheme="minorHAnsi"/>
          <w:lang w:val="en-GB"/>
        </w:rPr>
      </w:pPr>
    </w:p>
    <w:tbl>
      <w:tblPr>
        <w:tblStyle w:val="TableGrid"/>
        <w:tblW w:w="0" w:type="auto"/>
        <w:tblInd w:w="-5" w:type="dxa"/>
        <w:tblLook w:val="04A0" w:firstRow="1" w:lastRow="0" w:firstColumn="1" w:lastColumn="0" w:noHBand="0" w:noVBand="1"/>
      </w:tblPr>
      <w:tblGrid>
        <w:gridCol w:w="4508"/>
        <w:gridCol w:w="4508"/>
      </w:tblGrid>
      <w:tr w:rsidR="00B54D51" w:rsidRPr="00037AD4" w14:paraId="5FF7CC8E" w14:textId="77777777" w:rsidTr="00401C67">
        <w:tc>
          <w:tcPr>
            <w:tcW w:w="4508" w:type="dxa"/>
          </w:tcPr>
          <w:p w14:paraId="77B41276"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 xml:space="preserve">Item component </w:t>
            </w:r>
          </w:p>
        </w:tc>
        <w:tc>
          <w:tcPr>
            <w:tcW w:w="4508" w:type="dxa"/>
          </w:tcPr>
          <w:p w14:paraId="5235407D"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 xml:space="preserve">Domain </w:t>
            </w:r>
          </w:p>
        </w:tc>
      </w:tr>
      <w:tr w:rsidR="00B54D51" w:rsidRPr="00037AD4" w14:paraId="19CA0E55" w14:textId="77777777" w:rsidTr="00401C67">
        <w:tc>
          <w:tcPr>
            <w:tcW w:w="4508" w:type="dxa"/>
          </w:tcPr>
          <w:p w14:paraId="406F58E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Cheerful </w:t>
            </w:r>
          </w:p>
        </w:tc>
        <w:tc>
          <w:tcPr>
            <w:tcW w:w="4508" w:type="dxa"/>
          </w:tcPr>
          <w:p w14:paraId="0AB340C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Health and wellbeing</w:t>
            </w:r>
          </w:p>
        </w:tc>
      </w:tr>
      <w:tr w:rsidR="00B54D51" w:rsidRPr="00037AD4" w14:paraId="6D23C9BA" w14:textId="77777777" w:rsidTr="00401C67">
        <w:tc>
          <w:tcPr>
            <w:tcW w:w="4508" w:type="dxa"/>
          </w:tcPr>
          <w:p w14:paraId="7794912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Worried/ anxious </w:t>
            </w:r>
          </w:p>
        </w:tc>
        <w:tc>
          <w:tcPr>
            <w:tcW w:w="4508" w:type="dxa"/>
          </w:tcPr>
          <w:p w14:paraId="1991101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Health and wellbeing</w:t>
            </w:r>
          </w:p>
        </w:tc>
      </w:tr>
      <w:tr w:rsidR="00B54D51" w:rsidRPr="00037AD4" w14:paraId="51852DED" w14:textId="77777777" w:rsidTr="00401C67">
        <w:tc>
          <w:tcPr>
            <w:tcW w:w="4508" w:type="dxa"/>
          </w:tcPr>
          <w:p w14:paraId="10FED05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Frustrated </w:t>
            </w:r>
          </w:p>
        </w:tc>
        <w:tc>
          <w:tcPr>
            <w:tcW w:w="4508" w:type="dxa"/>
          </w:tcPr>
          <w:p w14:paraId="1A8A950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Health and wellbeing</w:t>
            </w:r>
          </w:p>
        </w:tc>
      </w:tr>
      <w:tr w:rsidR="00B54D51" w:rsidRPr="00037AD4" w14:paraId="661F7D96" w14:textId="77777777" w:rsidTr="00401C67">
        <w:tc>
          <w:tcPr>
            <w:tcW w:w="4508" w:type="dxa"/>
          </w:tcPr>
          <w:p w14:paraId="7D3FAFE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Full of energy  </w:t>
            </w:r>
          </w:p>
        </w:tc>
        <w:tc>
          <w:tcPr>
            <w:tcW w:w="4508" w:type="dxa"/>
          </w:tcPr>
          <w:p w14:paraId="0F4BB30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Health and wellbeing</w:t>
            </w:r>
          </w:p>
        </w:tc>
      </w:tr>
      <w:tr w:rsidR="00B54D51" w:rsidRPr="00037AD4" w14:paraId="4D43FFFC" w14:textId="77777777" w:rsidTr="00401C67">
        <w:tc>
          <w:tcPr>
            <w:tcW w:w="4508" w:type="dxa"/>
          </w:tcPr>
          <w:p w14:paraId="6121DB3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Sad</w:t>
            </w:r>
          </w:p>
        </w:tc>
        <w:tc>
          <w:tcPr>
            <w:tcW w:w="4508" w:type="dxa"/>
          </w:tcPr>
          <w:p w14:paraId="6AE423F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Health and wellbeing</w:t>
            </w:r>
          </w:p>
        </w:tc>
      </w:tr>
      <w:tr w:rsidR="00B54D51" w:rsidRPr="00037AD4" w14:paraId="2CCAF05E" w14:textId="77777777" w:rsidTr="00401C67">
        <w:tc>
          <w:tcPr>
            <w:tcW w:w="4508" w:type="dxa"/>
          </w:tcPr>
          <w:p w14:paraId="44C0572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Content  </w:t>
            </w:r>
          </w:p>
        </w:tc>
        <w:tc>
          <w:tcPr>
            <w:tcW w:w="4508" w:type="dxa"/>
          </w:tcPr>
          <w:p w14:paraId="21DCC05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Health and wellbeing</w:t>
            </w:r>
          </w:p>
        </w:tc>
      </w:tr>
      <w:tr w:rsidR="00B54D51" w:rsidRPr="00037AD4" w14:paraId="1259B838" w14:textId="77777777" w:rsidTr="00401C67">
        <w:tc>
          <w:tcPr>
            <w:tcW w:w="4508" w:type="dxa"/>
          </w:tcPr>
          <w:p w14:paraId="0074132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Distressed</w:t>
            </w:r>
          </w:p>
        </w:tc>
        <w:tc>
          <w:tcPr>
            <w:tcW w:w="4508" w:type="dxa"/>
          </w:tcPr>
          <w:p w14:paraId="001074B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Health and wellbeing</w:t>
            </w:r>
          </w:p>
        </w:tc>
      </w:tr>
      <w:tr w:rsidR="00B54D51" w:rsidRPr="00037AD4" w14:paraId="4B1B576D" w14:textId="77777777" w:rsidTr="00401C67">
        <w:tc>
          <w:tcPr>
            <w:tcW w:w="4508" w:type="dxa"/>
          </w:tcPr>
          <w:p w14:paraId="16FCFC5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Lively</w:t>
            </w:r>
          </w:p>
        </w:tc>
        <w:tc>
          <w:tcPr>
            <w:tcW w:w="4508" w:type="dxa"/>
          </w:tcPr>
          <w:p w14:paraId="026A827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Health and wellbeing</w:t>
            </w:r>
          </w:p>
        </w:tc>
      </w:tr>
      <w:tr w:rsidR="00B54D51" w:rsidRPr="00037AD4" w14:paraId="2668A34E" w14:textId="77777777" w:rsidTr="00401C67">
        <w:tc>
          <w:tcPr>
            <w:tcW w:w="4508" w:type="dxa"/>
          </w:tcPr>
          <w:p w14:paraId="72F5DC9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Irritable</w:t>
            </w:r>
          </w:p>
        </w:tc>
        <w:tc>
          <w:tcPr>
            <w:tcW w:w="4508" w:type="dxa"/>
          </w:tcPr>
          <w:p w14:paraId="5D1C6C0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Health and wellbeing</w:t>
            </w:r>
          </w:p>
        </w:tc>
      </w:tr>
      <w:tr w:rsidR="00B54D51" w:rsidRPr="00037AD4" w14:paraId="4E4A1F9F" w14:textId="77777777" w:rsidTr="00401C67">
        <w:tc>
          <w:tcPr>
            <w:tcW w:w="4508" w:type="dxa"/>
          </w:tcPr>
          <w:p w14:paraId="174DB69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Fed-up</w:t>
            </w:r>
          </w:p>
        </w:tc>
        <w:tc>
          <w:tcPr>
            <w:tcW w:w="4508" w:type="dxa"/>
          </w:tcPr>
          <w:p w14:paraId="1B635F4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Health and wellbeing</w:t>
            </w:r>
          </w:p>
        </w:tc>
      </w:tr>
      <w:tr w:rsidR="00B54D51" w:rsidRPr="00037AD4" w14:paraId="6377FDDB" w14:textId="77777777" w:rsidTr="00401C67">
        <w:tc>
          <w:tcPr>
            <w:tcW w:w="4508" w:type="dxa"/>
          </w:tcPr>
          <w:p w14:paraId="0CABFCE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Having things to look forward to</w:t>
            </w:r>
          </w:p>
        </w:tc>
        <w:tc>
          <w:tcPr>
            <w:tcW w:w="4508" w:type="dxa"/>
          </w:tcPr>
          <w:p w14:paraId="3D11806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Self-concept </w:t>
            </w:r>
          </w:p>
        </w:tc>
      </w:tr>
      <w:tr w:rsidR="00B54D51" w:rsidRPr="00037AD4" w14:paraId="6169A83B" w14:textId="77777777" w:rsidTr="00401C67">
        <w:tc>
          <w:tcPr>
            <w:tcW w:w="4508" w:type="dxa"/>
          </w:tcPr>
          <w:p w14:paraId="0D529FD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Memory in general </w:t>
            </w:r>
          </w:p>
        </w:tc>
        <w:tc>
          <w:tcPr>
            <w:tcW w:w="4508" w:type="dxa"/>
          </w:tcPr>
          <w:p w14:paraId="35CBAAF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Cognitive functioning </w:t>
            </w:r>
          </w:p>
        </w:tc>
      </w:tr>
      <w:tr w:rsidR="00B54D51" w:rsidRPr="00037AD4" w14:paraId="603C3C1E" w14:textId="77777777" w:rsidTr="00401C67">
        <w:tc>
          <w:tcPr>
            <w:tcW w:w="4508" w:type="dxa"/>
          </w:tcPr>
          <w:p w14:paraId="2D67C09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Forgetting things that happened long ago</w:t>
            </w:r>
          </w:p>
        </w:tc>
        <w:tc>
          <w:tcPr>
            <w:tcW w:w="4508" w:type="dxa"/>
          </w:tcPr>
          <w:p w14:paraId="0055376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Cognitive functioning</w:t>
            </w:r>
          </w:p>
        </w:tc>
      </w:tr>
      <w:tr w:rsidR="00B54D51" w:rsidRPr="00037AD4" w14:paraId="7F5366CF" w14:textId="77777777" w:rsidTr="00401C67">
        <w:tc>
          <w:tcPr>
            <w:tcW w:w="4508" w:type="dxa"/>
          </w:tcPr>
          <w:p w14:paraId="01DB3DD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Forgetting things that happened recently</w:t>
            </w:r>
          </w:p>
        </w:tc>
        <w:tc>
          <w:tcPr>
            <w:tcW w:w="4508" w:type="dxa"/>
          </w:tcPr>
          <w:p w14:paraId="52E03B6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Cognitive functioning</w:t>
            </w:r>
          </w:p>
        </w:tc>
      </w:tr>
      <w:tr w:rsidR="00B54D51" w:rsidRPr="00037AD4" w14:paraId="6E9794A8" w14:textId="77777777" w:rsidTr="00401C67">
        <w:tc>
          <w:tcPr>
            <w:tcW w:w="4508" w:type="dxa"/>
          </w:tcPr>
          <w:p w14:paraId="3D9C113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Forgetting people’s names</w:t>
            </w:r>
          </w:p>
        </w:tc>
        <w:tc>
          <w:tcPr>
            <w:tcW w:w="4508" w:type="dxa"/>
          </w:tcPr>
          <w:p w14:paraId="274DCBF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Cognitive functioning</w:t>
            </w:r>
          </w:p>
        </w:tc>
      </w:tr>
      <w:tr w:rsidR="00B54D51" w:rsidRPr="00037AD4" w14:paraId="35CA89AF" w14:textId="77777777" w:rsidTr="00401C67">
        <w:tc>
          <w:tcPr>
            <w:tcW w:w="4508" w:type="dxa"/>
          </w:tcPr>
          <w:p w14:paraId="482ED28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Forgetting where he/she is </w:t>
            </w:r>
          </w:p>
        </w:tc>
        <w:tc>
          <w:tcPr>
            <w:tcW w:w="4508" w:type="dxa"/>
          </w:tcPr>
          <w:p w14:paraId="474ED19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Cognitive functioning</w:t>
            </w:r>
          </w:p>
        </w:tc>
      </w:tr>
      <w:tr w:rsidR="00B54D51" w:rsidRPr="00037AD4" w14:paraId="6F9B0947" w14:textId="77777777" w:rsidTr="00401C67">
        <w:tc>
          <w:tcPr>
            <w:tcW w:w="4508" w:type="dxa"/>
          </w:tcPr>
          <w:p w14:paraId="3610C88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Forgetting what day it is  </w:t>
            </w:r>
          </w:p>
        </w:tc>
        <w:tc>
          <w:tcPr>
            <w:tcW w:w="4508" w:type="dxa"/>
          </w:tcPr>
          <w:p w14:paraId="3CE9C79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Cognitive functioning</w:t>
            </w:r>
          </w:p>
        </w:tc>
      </w:tr>
      <w:tr w:rsidR="00B54D51" w:rsidRPr="00037AD4" w14:paraId="573EBEF9" w14:textId="77777777" w:rsidTr="00401C67">
        <w:tc>
          <w:tcPr>
            <w:tcW w:w="4508" w:type="dxa"/>
          </w:tcPr>
          <w:p w14:paraId="29BFDAB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Thoughts being muddled </w:t>
            </w:r>
          </w:p>
        </w:tc>
        <w:tc>
          <w:tcPr>
            <w:tcW w:w="4508" w:type="dxa"/>
          </w:tcPr>
          <w:p w14:paraId="4035490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Cognitive functioning</w:t>
            </w:r>
          </w:p>
        </w:tc>
      </w:tr>
      <w:tr w:rsidR="00B54D51" w:rsidRPr="00037AD4" w14:paraId="0B2801F4" w14:textId="77777777" w:rsidTr="00401C67">
        <w:tc>
          <w:tcPr>
            <w:tcW w:w="4508" w:type="dxa"/>
          </w:tcPr>
          <w:p w14:paraId="1D3129D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Difficult making decisions</w:t>
            </w:r>
          </w:p>
        </w:tc>
        <w:tc>
          <w:tcPr>
            <w:tcW w:w="4508" w:type="dxa"/>
          </w:tcPr>
          <w:p w14:paraId="021F706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Cognitive functioning</w:t>
            </w:r>
          </w:p>
        </w:tc>
      </w:tr>
      <w:tr w:rsidR="00B54D51" w:rsidRPr="00037AD4" w14:paraId="541D1DBB" w14:textId="77777777" w:rsidTr="00401C67">
        <w:tc>
          <w:tcPr>
            <w:tcW w:w="4508" w:type="dxa"/>
          </w:tcPr>
          <w:p w14:paraId="18DF9BA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Making </w:t>
            </w:r>
            <w:proofErr w:type="spellStart"/>
            <w:r w:rsidRPr="00037AD4">
              <w:rPr>
                <w:rFonts w:asciiTheme="minorHAnsi" w:hAnsiTheme="minorHAnsi" w:cstheme="minorHAnsi"/>
              </w:rPr>
              <w:t>self understood</w:t>
            </w:r>
            <w:proofErr w:type="spellEnd"/>
          </w:p>
        </w:tc>
        <w:tc>
          <w:tcPr>
            <w:tcW w:w="4508" w:type="dxa"/>
          </w:tcPr>
          <w:p w14:paraId="55630E0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Cognitive functioning</w:t>
            </w:r>
          </w:p>
        </w:tc>
      </w:tr>
      <w:tr w:rsidR="00B54D51" w:rsidRPr="00037AD4" w14:paraId="45459220" w14:textId="77777777" w:rsidTr="00401C67">
        <w:tc>
          <w:tcPr>
            <w:tcW w:w="4508" w:type="dxa"/>
          </w:tcPr>
          <w:p w14:paraId="7C0A7D8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Keeping </w:t>
            </w:r>
            <w:proofErr w:type="spellStart"/>
            <w:r w:rsidRPr="00037AD4">
              <w:rPr>
                <w:rFonts w:asciiTheme="minorHAnsi" w:hAnsiTheme="minorHAnsi" w:cstheme="minorHAnsi"/>
              </w:rPr>
              <w:t>self clean</w:t>
            </w:r>
            <w:proofErr w:type="spellEnd"/>
            <w:r w:rsidRPr="00037AD4">
              <w:rPr>
                <w:rFonts w:asciiTheme="minorHAnsi" w:hAnsiTheme="minorHAnsi" w:cstheme="minorHAnsi"/>
              </w:rPr>
              <w:t xml:space="preserve"> </w:t>
            </w:r>
          </w:p>
        </w:tc>
        <w:tc>
          <w:tcPr>
            <w:tcW w:w="4508" w:type="dxa"/>
          </w:tcPr>
          <w:p w14:paraId="397E81C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Daily activities and looking after yourself</w:t>
            </w:r>
          </w:p>
        </w:tc>
      </w:tr>
      <w:tr w:rsidR="00B54D51" w:rsidRPr="00037AD4" w14:paraId="2E771199" w14:textId="77777777" w:rsidTr="00401C67">
        <w:tc>
          <w:tcPr>
            <w:tcW w:w="4508" w:type="dxa"/>
          </w:tcPr>
          <w:p w14:paraId="19039F8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Keep </w:t>
            </w:r>
            <w:proofErr w:type="spellStart"/>
            <w:r w:rsidRPr="00037AD4">
              <w:rPr>
                <w:rFonts w:asciiTheme="minorHAnsi" w:hAnsiTheme="minorHAnsi" w:cstheme="minorHAnsi"/>
              </w:rPr>
              <w:t>self looking</w:t>
            </w:r>
            <w:proofErr w:type="spellEnd"/>
            <w:r w:rsidRPr="00037AD4">
              <w:rPr>
                <w:rFonts w:asciiTheme="minorHAnsi" w:hAnsiTheme="minorHAnsi" w:cstheme="minorHAnsi"/>
              </w:rPr>
              <w:t xml:space="preserve"> nice </w:t>
            </w:r>
          </w:p>
        </w:tc>
        <w:tc>
          <w:tcPr>
            <w:tcW w:w="4508" w:type="dxa"/>
          </w:tcPr>
          <w:p w14:paraId="3B0AF57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Daily activities and looking after yourself</w:t>
            </w:r>
          </w:p>
        </w:tc>
      </w:tr>
      <w:tr w:rsidR="00B54D51" w:rsidRPr="00037AD4" w14:paraId="776D1F19" w14:textId="77777777" w:rsidTr="00401C67">
        <w:tc>
          <w:tcPr>
            <w:tcW w:w="4508" w:type="dxa"/>
          </w:tcPr>
          <w:p w14:paraId="28EAE5B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Getting what want from shops </w:t>
            </w:r>
          </w:p>
        </w:tc>
        <w:tc>
          <w:tcPr>
            <w:tcW w:w="4508" w:type="dxa"/>
          </w:tcPr>
          <w:p w14:paraId="567C3E4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Daily activities and looking after yourself</w:t>
            </w:r>
          </w:p>
        </w:tc>
      </w:tr>
      <w:tr w:rsidR="00B54D51" w:rsidRPr="00037AD4" w14:paraId="697C5353" w14:textId="77777777" w:rsidTr="00401C67">
        <w:tc>
          <w:tcPr>
            <w:tcW w:w="4508" w:type="dxa"/>
          </w:tcPr>
          <w:p w14:paraId="304EF9F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Using money to pay for things </w:t>
            </w:r>
          </w:p>
        </w:tc>
        <w:tc>
          <w:tcPr>
            <w:tcW w:w="4508" w:type="dxa"/>
          </w:tcPr>
          <w:p w14:paraId="60D86A8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Daily activities and looking after yourself</w:t>
            </w:r>
          </w:p>
        </w:tc>
      </w:tr>
      <w:tr w:rsidR="00B54D51" w:rsidRPr="00037AD4" w14:paraId="4E75ABF9" w14:textId="77777777" w:rsidTr="00401C67">
        <w:tc>
          <w:tcPr>
            <w:tcW w:w="4508" w:type="dxa"/>
          </w:tcPr>
          <w:p w14:paraId="6195888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Looking after finances </w:t>
            </w:r>
          </w:p>
        </w:tc>
        <w:tc>
          <w:tcPr>
            <w:tcW w:w="4508" w:type="dxa"/>
          </w:tcPr>
          <w:p w14:paraId="40A3295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Daily activities and looking after yourself</w:t>
            </w:r>
          </w:p>
        </w:tc>
      </w:tr>
      <w:tr w:rsidR="00B54D51" w:rsidRPr="00037AD4" w14:paraId="0BC228C7" w14:textId="77777777" w:rsidTr="00401C67">
        <w:tc>
          <w:tcPr>
            <w:tcW w:w="4508" w:type="dxa"/>
          </w:tcPr>
          <w:p w14:paraId="1353403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Things taking longer than they used to  </w:t>
            </w:r>
          </w:p>
        </w:tc>
        <w:tc>
          <w:tcPr>
            <w:tcW w:w="4508" w:type="dxa"/>
          </w:tcPr>
          <w:p w14:paraId="7BD3E9E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Health and wellbeing</w:t>
            </w:r>
          </w:p>
        </w:tc>
      </w:tr>
      <w:tr w:rsidR="00B54D51" w:rsidRPr="00037AD4" w14:paraId="509D00AF" w14:textId="77777777" w:rsidTr="00401C67">
        <w:tc>
          <w:tcPr>
            <w:tcW w:w="4508" w:type="dxa"/>
          </w:tcPr>
          <w:p w14:paraId="32A3218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Getting in touch with people</w:t>
            </w:r>
          </w:p>
        </w:tc>
        <w:tc>
          <w:tcPr>
            <w:tcW w:w="4508" w:type="dxa"/>
          </w:tcPr>
          <w:p w14:paraId="374AEE1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Daily activities and looking after yourself</w:t>
            </w:r>
          </w:p>
        </w:tc>
      </w:tr>
      <w:tr w:rsidR="00B54D51" w:rsidRPr="00037AD4" w14:paraId="06C75FB0" w14:textId="77777777" w:rsidTr="00401C67">
        <w:tc>
          <w:tcPr>
            <w:tcW w:w="4508" w:type="dxa"/>
          </w:tcPr>
          <w:p w14:paraId="32301DF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Not having enough company </w:t>
            </w:r>
          </w:p>
        </w:tc>
        <w:tc>
          <w:tcPr>
            <w:tcW w:w="4508" w:type="dxa"/>
          </w:tcPr>
          <w:p w14:paraId="7AFAE8F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Social relationships </w:t>
            </w:r>
          </w:p>
        </w:tc>
      </w:tr>
      <w:tr w:rsidR="00B54D51" w:rsidRPr="00037AD4" w14:paraId="7B0B73B9" w14:textId="77777777" w:rsidTr="00401C67">
        <w:tc>
          <w:tcPr>
            <w:tcW w:w="4508" w:type="dxa"/>
          </w:tcPr>
          <w:p w14:paraId="29AE996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Not being able to help other people  </w:t>
            </w:r>
          </w:p>
        </w:tc>
        <w:tc>
          <w:tcPr>
            <w:tcW w:w="4508" w:type="dxa"/>
          </w:tcPr>
          <w:p w14:paraId="2A402D0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Social relationships</w:t>
            </w:r>
          </w:p>
        </w:tc>
      </w:tr>
      <w:tr w:rsidR="00B54D51" w:rsidRPr="00037AD4" w14:paraId="20798166" w14:textId="77777777" w:rsidTr="00401C67">
        <w:trPr>
          <w:trHeight w:val="77"/>
        </w:trPr>
        <w:tc>
          <w:tcPr>
            <w:tcW w:w="4508" w:type="dxa"/>
          </w:tcPr>
          <w:p w14:paraId="016383C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Not playing a useful part in things </w:t>
            </w:r>
          </w:p>
        </w:tc>
        <w:tc>
          <w:tcPr>
            <w:tcW w:w="4508" w:type="dxa"/>
          </w:tcPr>
          <w:p w14:paraId="61C367F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Self-concept </w:t>
            </w:r>
          </w:p>
        </w:tc>
      </w:tr>
      <w:tr w:rsidR="00B54D51" w:rsidRPr="00037AD4" w14:paraId="4B33FE59" w14:textId="77777777" w:rsidTr="00401C67">
        <w:tc>
          <w:tcPr>
            <w:tcW w:w="4508" w:type="dxa"/>
          </w:tcPr>
          <w:p w14:paraId="7065EA3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Physical health </w:t>
            </w:r>
          </w:p>
        </w:tc>
        <w:tc>
          <w:tcPr>
            <w:tcW w:w="4508" w:type="dxa"/>
          </w:tcPr>
          <w:p w14:paraId="10D80B3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Health and wellbeing</w:t>
            </w:r>
          </w:p>
        </w:tc>
      </w:tr>
    </w:tbl>
    <w:p w14:paraId="24B17859" w14:textId="45E50C3F" w:rsidR="00B54D51" w:rsidRDefault="00B54D51" w:rsidP="001D7ACE">
      <w:pPr>
        <w:pStyle w:val="EndNoteBibliography"/>
        <w:rPr>
          <w:rFonts w:asciiTheme="minorHAnsi" w:hAnsiTheme="minorHAnsi" w:cstheme="minorHAnsi"/>
          <w:lang w:val="en-GB"/>
        </w:rPr>
      </w:pPr>
    </w:p>
    <w:p w14:paraId="7F13A5AC" w14:textId="2FC7C10E" w:rsidR="00830480" w:rsidRDefault="00830480" w:rsidP="001D7ACE">
      <w:pPr>
        <w:pStyle w:val="EndNoteBibliography"/>
        <w:rPr>
          <w:rFonts w:asciiTheme="minorHAnsi" w:hAnsiTheme="minorHAnsi" w:cstheme="minorHAnsi"/>
          <w:lang w:val="en-GB"/>
        </w:rPr>
      </w:pPr>
    </w:p>
    <w:p w14:paraId="1D45FC72" w14:textId="07D23E83" w:rsidR="00830480" w:rsidRDefault="00830480" w:rsidP="001D7ACE">
      <w:pPr>
        <w:pStyle w:val="EndNoteBibliography"/>
        <w:rPr>
          <w:rFonts w:asciiTheme="minorHAnsi" w:hAnsiTheme="minorHAnsi" w:cstheme="minorHAnsi"/>
          <w:lang w:val="en-GB"/>
        </w:rPr>
      </w:pPr>
    </w:p>
    <w:p w14:paraId="27B4EE40" w14:textId="77777777" w:rsidR="00830480" w:rsidRPr="00037AD4" w:rsidRDefault="00830480" w:rsidP="001D7ACE">
      <w:pPr>
        <w:pStyle w:val="EndNoteBibliography"/>
        <w:rPr>
          <w:rFonts w:asciiTheme="minorHAnsi" w:hAnsiTheme="minorHAnsi" w:cstheme="minorHAnsi"/>
          <w:lang w:val="en-GB"/>
        </w:rPr>
      </w:pPr>
    </w:p>
    <w:p w14:paraId="4762A3E8" w14:textId="77777777" w:rsidR="00B54D51" w:rsidRPr="00037AD4" w:rsidRDefault="00B54D51" w:rsidP="007A43F9">
      <w:pPr>
        <w:pStyle w:val="Heading2"/>
      </w:pPr>
      <w:bookmarkStart w:id="461" w:name="A31b"/>
      <w:bookmarkStart w:id="462" w:name="_Toc175742393"/>
      <w:r w:rsidRPr="00037AD4">
        <w:lastRenderedPageBreak/>
        <w:t>Appendix 3.1b QoL-AD conceptual framework</w:t>
      </w:r>
      <w:bookmarkEnd w:id="462"/>
      <w:r w:rsidRPr="00037AD4">
        <w:t xml:space="preserve">  </w:t>
      </w:r>
    </w:p>
    <w:bookmarkEnd w:id="461"/>
    <w:p w14:paraId="2E36D040" w14:textId="77777777" w:rsidR="00B54D51" w:rsidRPr="00037AD4" w:rsidRDefault="00B54D51" w:rsidP="001D7ACE">
      <w:pPr>
        <w:pStyle w:val="EndNoteBibliography"/>
        <w:rPr>
          <w:rFonts w:asciiTheme="minorHAnsi" w:hAnsiTheme="minorHAnsi" w:cstheme="minorHAnsi"/>
          <w:b/>
          <w:bCs/>
          <w:u w:val="single"/>
          <w:lang w:val="en-GB"/>
        </w:rPr>
      </w:pPr>
    </w:p>
    <w:p w14:paraId="07E00058" w14:textId="77777777" w:rsidR="00B54D51" w:rsidRPr="00037AD4" w:rsidRDefault="00B54D51" w:rsidP="001D7ACE">
      <w:pPr>
        <w:pStyle w:val="EndNoteBibliography"/>
        <w:rPr>
          <w:rFonts w:asciiTheme="minorHAnsi" w:hAnsiTheme="minorHAnsi" w:cstheme="minorHAnsi"/>
          <w:i/>
          <w:iCs/>
          <w:lang w:val="en-GB"/>
        </w:rPr>
      </w:pPr>
      <w:r w:rsidRPr="00037AD4">
        <w:rPr>
          <w:rFonts w:asciiTheme="minorHAnsi" w:hAnsiTheme="minorHAnsi" w:cstheme="minorHAnsi"/>
          <w:lang w:val="en-GB"/>
        </w:rPr>
        <w:t xml:space="preserve">QoL-AD is a dementia specific QoL PROM developed for use in people with Alzheimer’s disease and their caregivers. The framework for its development was based on Lawton’s domains of quality of life, an existing established framework which includes 4 domains that are considered to reflect QoL in older adults </w:t>
      </w:r>
      <w:r>
        <w:rPr>
          <w:rFonts w:asciiTheme="minorHAnsi" w:hAnsiTheme="minorHAnsi" w:cstheme="minorHAnsi"/>
          <w:noProof/>
          <w:lang w:val="en-GB"/>
        </w:rPr>
        <w:t>(Logsdon et al., 1999)</w:t>
      </w:r>
      <w:r w:rsidRPr="00037AD4">
        <w:rPr>
          <w:rFonts w:asciiTheme="minorHAnsi" w:hAnsiTheme="minorHAnsi" w:cstheme="minorHAnsi"/>
          <w:lang w:val="en-GB"/>
        </w:rPr>
        <w:t xml:space="preserve">. These are: </w:t>
      </w:r>
      <w:r w:rsidRPr="00037AD4">
        <w:rPr>
          <w:rFonts w:asciiTheme="minorHAnsi" w:hAnsiTheme="minorHAnsi" w:cstheme="minorHAnsi"/>
          <w:i/>
          <w:iCs/>
          <w:lang w:val="en-GB"/>
        </w:rPr>
        <w:t xml:space="preserve">behavioural competence, the objective environment, psychological well-being </w:t>
      </w:r>
      <w:r w:rsidRPr="00037AD4">
        <w:rPr>
          <w:rFonts w:asciiTheme="minorHAnsi" w:hAnsiTheme="minorHAnsi" w:cstheme="minorHAnsi"/>
          <w:lang w:val="en-GB"/>
        </w:rPr>
        <w:t xml:space="preserve">and </w:t>
      </w:r>
      <w:r w:rsidRPr="00037AD4">
        <w:rPr>
          <w:rFonts w:asciiTheme="minorHAnsi" w:hAnsiTheme="minorHAnsi" w:cstheme="minorHAnsi"/>
          <w:i/>
          <w:iCs/>
          <w:lang w:val="en-GB"/>
        </w:rPr>
        <w:t xml:space="preserve">perceived QoL </w:t>
      </w:r>
      <w:r>
        <w:rPr>
          <w:rFonts w:asciiTheme="minorHAnsi" w:hAnsiTheme="minorHAnsi" w:cstheme="minorHAnsi"/>
          <w:i/>
          <w:iCs/>
          <w:noProof/>
          <w:lang w:val="en-GB"/>
        </w:rPr>
        <w:t>(Logsdon et al., 2002, Jonker et al., 2004)</w:t>
      </w:r>
      <w:r w:rsidRPr="00037AD4">
        <w:rPr>
          <w:rFonts w:asciiTheme="minorHAnsi" w:hAnsiTheme="minorHAnsi" w:cstheme="minorHAnsi"/>
          <w:i/>
          <w:iCs/>
          <w:lang w:val="en-GB"/>
        </w:rPr>
        <w:t xml:space="preserve">, </w:t>
      </w:r>
      <w:r w:rsidRPr="00037AD4">
        <w:rPr>
          <w:rFonts w:asciiTheme="minorHAnsi" w:hAnsiTheme="minorHAnsi" w:cstheme="minorHAnsi"/>
          <w:lang w:val="en-GB"/>
        </w:rPr>
        <w:t>and each item component of the QoL-AD corresponds to one of these domains.</w:t>
      </w:r>
      <w:r w:rsidRPr="00037AD4">
        <w:rPr>
          <w:rFonts w:asciiTheme="minorHAnsi" w:hAnsiTheme="minorHAnsi" w:cstheme="minorHAnsi"/>
          <w:i/>
          <w:iCs/>
          <w:lang w:val="en-GB"/>
        </w:rPr>
        <w:t xml:space="preserve"> </w:t>
      </w:r>
    </w:p>
    <w:p w14:paraId="3779E252" w14:textId="77777777" w:rsidR="00B54D51" w:rsidRPr="00037AD4" w:rsidRDefault="00B54D51" w:rsidP="001D7ACE">
      <w:pPr>
        <w:pStyle w:val="EndNoteBibliography"/>
        <w:rPr>
          <w:rFonts w:asciiTheme="minorHAnsi" w:hAnsiTheme="minorHAnsi" w:cstheme="minorHAnsi"/>
          <w:i/>
          <w:iCs/>
          <w:lang w:val="en-GB"/>
        </w:rPr>
      </w:pPr>
    </w:p>
    <w:p w14:paraId="59EC4006" w14:textId="2A91D024" w:rsidR="00B54D51" w:rsidRPr="00037AD4" w:rsidRDefault="00B54D51" w:rsidP="001D7ACE">
      <w:pPr>
        <w:pStyle w:val="EndNoteBibliography"/>
        <w:rPr>
          <w:rFonts w:asciiTheme="minorHAnsi" w:hAnsiTheme="minorHAnsi" w:cstheme="minorHAnsi"/>
          <w:lang w:val="en-GB"/>
        </w:rPr>
      </w:pPr>
      <w:r w:rsidRPr="00037AD4">
        <w:rPr>
          <w:rFonts w:asciiTheme="minorHAnsi" w:hAnsiTheme="minorHAnsi" w:cstheme="minorHAnsi"/>
          <w:lang w:val="en-GB"/>
        </w:rPr>
        <w:t xml:space="preserve">There are a total of 13 items which are scored on a 4-point scale ranging from poor to excellent. The instrument is intended for interviewer administration for self-completion and can be self-administered by proxies. Proxies can be formal or </w:t>
      </w:r>
      <w:r w:rsidR="00C555A5" w:rsidRPr="00037AD4">
        <w:rPr>
          <w:rFonts w:asciiTheme="minorHAnsi" w:hAnsiTheme="minorHAnsi" w:cstheme="minorHAnsi"/>
          <w:lang w:val="en-GB"/>
        </w:rPr>
        <w:t>informal and</w:t>
      </w:r>
      <w:r w:rsidRPr="00037AD4">
        <w:rPr>
          <w:rFonts w:asciiTheme="minorHAnsi" w:hAnsiTheme="minorHAnsi" w:cstheme="minorHAnsi"/>
          <w:lang w:val="en-GB"/>
        </w:rPr>
        <w:t xml:space="preserve"> are asked to adopt a proxy-proxy perspective where possible </w:t>
      </w:r>
      <w:r>
        <w:rPr>
          <w:rFonts w:asciiTheme="minorHAnsi" w:hAnsiTheme="minorHAnsi" w:cstheme="minorHAnsi"/>
          <w:noProof/>
          <w:lang w:val="en-GB"/>
        </w:rPr>
        <w:t>(Logsdon et al., 1999)</w:t>
      </w:r>
      <w:r w:rsidRPr="00037AD4">
        <w:rPr>
          <w:rFonts w:asciiTheme="minorHAnsi" w:hAnsiTheme="minorHAnsi" w:cstheme="minorHAnsi"/>
          <w:lang w:val="en-GB"/>
        </w:rPr>
        <w:t xml:space="preserve">. A PBM, the Alzheimer’s Disease Five Dimensions (AD-5D), has since been derived from the QoL-AD to enable utility estimation for use in economic evaluation </w:t>
      </w:r>
      <w:r>
        <w:rPr>
          <w:rFonts w:asciiTheme="minorHAnsi" w:hAnsiTheme="minorHAnsi" w:cstheme="minorHAnsi"/>
          <w:noProof/>
          <w:lang w:val="en-GB"/>
        </w:rPr>
        <w:t>(Logsdon et al., 1999)</w:t>
      </w:r>
      <w:r w:rsidRPr="00037AD4">
        <w:rPr>
          <w:rFonts w:asciiTheme="minorHAnsi" w:hAnsiTheme="minorHAnsi" w:cstheme="minorHAnsi"/>
          <w:lang w:val="en-GB"/>
        </w:rPr>
        <w:t xml:space="preserve">. </w:t>
      </w:r>
    </w:p>
    <w:p w14:paraId="57611705" w14:textId="77777777" w:rsidR="00B54D51" w:rsidRPr="00037AD4" w:rsidRDefault="00B54D51" w:rsidP="001D7ACE">
      <w:pPr>
        <w:pStyle w:val="EndNoteBibliography"/>
        <w:rPr>
          <w:rFonts w:asciiTheme="minorHAnsi" w:hAnsiTheme="minorHAnsi" w:cstheme="minorHAnsi"/>
          <w:lang w:val="en-GB"/>
        </w:rPr>
      </w:pPr>
    </w:p>
    <w:p w14:paraId="42BD09C9" w14:textId="77777777" w:rsidR="00B54D51" w:rsidRPr="00037AD4" w:rsidRDefault="00B54D51" w:rsidP="001D7ACE">
      <w:pPr>
        <w:pStyle w:val="EndNoteBibliography"/>
        <w:rPr>
          <w:rFonts w:asciiTheme="minorHAnsi" w:hAnsiTheme="minorHAnsi" w:cstheme="minorHAnsi"/>
          <w:u w:val="single"/>
          <w:lang w:val="en-GB"/>
        </w:rPr>
      </w:pPr>
      <w:r w:rsidRPr="00037AD4">
        <w:rPr>
          <w:rFonts w:asciiTheme="minorHAnsi" w:hAnsiTheme="minorHAnsi" w:cstheme="minorHAnsi"/>
          <w:u w:val="single"/>
          <w:lang w:val="en-GB"/>
        </w:rPr>
        <w:t xml:space="preserve">QoL-AD items and domains </w:t>
      </w:r>
    </w:p>
    <w:p w14:paraId="692D3E3B" w14:textId="77777777" w:rsidR="00B54D51" w:rsidRPr="00037AD4" w:rsidRDefault="00B54D51" w:rsidP="001D7ACE">
      <w:pPr>
        <w:pStyle w:val="EndNoteBibliography"/>
        <w:rPr>
          <w:rFonts w:asciiTheme="minorHAnsi" w:hAnsiTheme="minorHAnsi" w:cstheme="minorHAnsi"/>
          <w:lang w:val="en-GB"/>
        </w:rPr>
      </w:pPr>
    </w:p>
    <w:tbl>
      <w:tblPr>
        <w:tblStyle w:val="TableGrid"/>
        <w:tblW w:w="0" w:type="auto"/>
        <w:tblInd w:w="-5" w:type="dxa"/>
        <w:tblLook w:val="04A0" w:firstRow="1" w:lastRow="0" w:firstColumn="1" w:lastColumn="0" w:noHBand="0" w:noVBand="1"/>
      </w:tblPr>
      <w:tblGrid>
        <w:gridCol w:w="4508"/>
        <w:gridCol w:w="4508"/>
      </w:tblGrid>
      <w:tr w:rsidR="00B54D51" w:rsidRPr="00037AD4" w14:paraId="1934E1EA" w14:textId="77777777" w:rsidTr="00401C67">
        <w:tc>
          <w:tcPr>
            <w:tcW w:w="4508" w:type="dxa"/>
          </w:tcPr>
          <w:p w14:paraId="07B951F3"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Item component</w:t>
            </w:r>
          </w:p>
        </w:tc>
        <w:tc>
          <w:tcPr>
            <w:tcW w:w="4508" w:type="dxa"/>
          </w:tcPr>
          <w:p w14:paraId="6B899C0F"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 xml:space="preserve">Domain </w:t>
            </w:r>
          </w:p>
        </w:tc>
      </w:tr>
      <w:tr w:rsidR="00B54D51" w:rsidRPr="00037AD4" w14:paraId="7C7AFD64" w14:textId="77777777" w:rsidTr="00401C67">
        <w:tc>
          <w:tcPr>
            <w:tcW w:w="4508" w:type="dxa"/>
          </w:tcPr>
          <w:p w14:paraId="1CCB883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Physical health</w:t>
            </w:r>
          </w:p>
        </w:tc>
        <w:tc>
          <w:tcPr>
            <w:tcW w:w="4508" w:type="dxa"/>
          </w:tcPr>
          <w:p w14:paraId="4735F81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Behavioural competence</w:t>
            </w:r>
          </w:p>
        </w:tc>
      </w:tr>
      <w:tr w:rsidR="00B54D51" w:rsidRPr="00037AD4" w14:paraId="6B1B2A1F" w14:textId="77777777" w:rsidTr="00401C67">
        <w:tc>
          <w:tcPr>
            <w:tcW w:w="4508" w:type="dxa"/>
          </w:tcPr>
          <w:p w14:paraId="1557D54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Energy</w:t>
            </w:r>
          </w:p>
        </w:tc>
        <w:tc>
          <w:tcPr>
            <w:tcW w:w="4508" w:type="dxa"/>
          </w:tcPr>
          <w:p w14:paraId="659DA04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Psychological well-being</w:t>
            </w:r>
          </w:p>
        </w:tc>
      </w:tr>
      <w:tr w:rsidR="00B54D51" w:rsidRPr="00037AD4" w14:paraId="65512BD2" w14:textId="77777777" w:rsidTr="00401C67">
        <w:tc>
          <w:tcPr>
            <w:tcW w:w="4508" w:type="dxa"/>
          </w:tcPr>
          <w:p w14:paraId="0C2BCF0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Mood </w:t>
            </w:r>
          </w:p>
        </w:tc>
        <w:tc>
          <w:tcPr>
            <w:tcW w:w="4508" w:type="dxa"/>
          </w:tcPr>
          <w:p w14:paraId="07B27C2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Psychological well-being</w:t>
            </w:r>
          </w:p>
        </w:tc>
      </w:tr>
      <w:tr w:rsidR="00B54D51" w:rsidRPr="00037AD4" w14:paraId="3E464631" w14:textId="77777777" w:rsidTr="00401C67">
        <w:tc>
          <w:tcPr>
            <w:tcW w:w="4508" w:type="dxa"/>
          </w:tcPr>
          <w:p w14:paraId="760B00B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Living situation</w:t>
            </w:r>
          </w:p>
        </w:tc>
        <w:tc>
          <w:tcPr>
            <w:tcW w:w="4508" w:type="dxa"/>
          </w:tcPr>
          <w:p w14:paraId="1F2735C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Objective environment </w:t>
            </w:r>
          </w:p>
        </w:tc>
      </w:tr>
      <w:tr w:rsidR="00B54D51" w:rsidRPr="00037AD4" w14:paraId="4DAE6980" w14:textId="77777777" w:rsidTr="00401C67">
        <w:tc>
          <w:tcPr>
            <w:tcW w:w="4508" w:type="dxa"/>
          </w:tcPr>
          <w:p w14:paraId="28FFA32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Memory</w:t>
            </w:r>
          </w:p>
        </w:tc>
        <w:tc>
          <w:tcPr>
            <w:tcW w:w="4508" w:type="dxa"/>
          </w:tcPr>
          <w:p w14:paraId="7223422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Behavioural competence </w:t>
            </w:r>
          </w:p>
        </w:tc>
      </w:tr>
      <w:tr w:rsidR="00B54D51" w:rsidRPr="00037AD4" w14:paraId="7B7D786F" w14:textId="77777777" w:rsidTr="00401C67">
        <w:tc>
          <w:tcPr>
            <w:tcW w:w="4508" w:type="dxa"/>
          </w:tcPr>
          <w:p w14:paraId="3712335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Family  </w:t>
            </w:r>
          </w:p>
        </w:tc>
        <w:tc>
          <w:tcPr>
            <w:tcW w:w="4508" w:type="dxa"/>
          </w:tcPr>
          <w:p w14:paraId="504829E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Behavioural competence</w:t>
            </w:r>
          </w:p>
        </w:tc>
      </w:tr>
      <w:tr w:rsidR="00B54D51" w:rsidRPr="00037AD4" w14:paraId="3A92BB10" w14:textId="77777777" w:rsidTr="00401C67">
        <w:tc>
          <w:tcPr>
            <w:tcW w:w="4508" w:type="dxa"/>
          </w:tcPr>
          <w:p w14:paraId="1782268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Marriage </w:t>
            </w:r>
          </w:p>
        </w:tc>
        <w:tc>
          <w:tcPr>
            <w:tcW w:w="4508" w:type="dxa"/>
          </w:tcPr>
          <w:p w14:paraId="770CA13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Behavioural competence</w:t>
            </w:r>
          </w:p>
        </w:tc>
      </w:tr>
      <w:tr w:rsidR="00B54D51" w:rsidRPr="00037AD4" w14:paraId="2C8E53C0" w14:textId="77777777" w:rsidTr="00401C67">
        <w:tc>
          <w:tcPr>
            <w:tcW w:w="4508" w:type="dxa"/>
          </w:tcPr>
          <w:p w14:paraId="2A1F324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Friends </w:t>
            </w:r>
          </w:p>
        </w:tc>
        <w:tc>
          <w:tcPr>
            <w:tcW w:w="4508" w:type="dxa"/>
          </w:tcPr>
          <w:p w14:paraId="09D7882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Behavioural competence</w:t>
            </w:r>
          </w:p>
        </w:tc>
      </w:tr>
      <w:tr w:rsidR="00B54D51" w:rsidRPr="00037AD4" w14:paraId="722B5531" w14:textId="77777777" w:rsidTr="00401C67">
        <w:tc>
          <w:tcPr>
            <w:tcW w:w="4508" w:type="dxa"/>
          </w:tcPr>
          <w:p w14:paraId="6B2FA69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Self as a whole</w:t>
            </w:r>
          </w:p>
        </w:tc>
        <w:tc>
          <w:tcPr>
            <w:tcW w:w="4508" w:type="dxa"/>
          </w:tcPr>
          <w:p w14:paraId="1E16F7C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Perceived QoL</w:t>
            </w:r>
          </w:p>
        </w:tc>
      </w:tr>
      <w:tr w:rsidR="00B54D51" w:rsidRPr="00037AD4" w14:paraId="40D029B1" w14:textId="77777777" w:rsidTr="00401C67">
        <w:tc>
          <w:tcPr>
            <w:tcW w:w="4508" w:type="dxa"/>
          </w:tcPr>
          <w:p w14:paraId="03702DD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Ability to do chores around the house </w:t>
            </w:r>
          </w:p>
        </w:tc>
        <w:tc>
          <w:tcPr>
            <w:tcW w:w="4508" w:type="dxa"/>
          </w:tcPr>
          <w:p w14:paraId="019B607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Objective environment </w:t>
            </w:r>
          </w:p>
        </w:tc>
      </w:tr>
      <w:tr w:rsidR="00B54D51" w:rsidRPr="00037AD4" w14:paraId="614000D2" w14:textId="77777777" w:rsidTr="00401C67">
        <w:tc>
          <w:tcPr>
            <w:tcW w:w="4508" w:type="dxa"/>
          </w:tcPr>
          <w:p w14:paraId="0CDC463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Ability to do things for fun</w:t>
            </w:r>
          </w:p>
        </w:tc>
        <w:tc>
          <w:tcPr>
            <w:tcW w:w="4508" w:type="dxa"/>
          </w:tcPr>
          <w:p w14:paraId="797D916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Perceived QoL</w:t>
            </w:r>
          </w:p>
        </w:tc>
      </w:tr>
      <w:tr w:rsidR="00B54D51" w:rsidRPr="00037AD4" w14:paraId="163EC7A2" w14:textId="77777777" w:rsidTr="00401C67">
        <w:tc>
          <w:tcPr>
            <w:tcW w:w="4508" w:type="dxa"/>
          </w:tcPr>
          <w:p w14:paraId="6F6C616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Money</w:t>
            </w:r>
          </w:p>
        </w:tc>
        <w:tc>
          <w:tcPr>
            <w:tcW w:w="4508" w:type="dxa"/>
          </w:tcPr>
          <w:p w14:paraId="2BE1F34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Objective environment</w:t>
            </w:r>
          </w:p>
        </w:tc>
      </w:tr>
      <w:tr w:rsidR="00B54D51" w:rsidRPr="00037AD4" w14:paraId="7C782ADF" w14:textId="77777777" w:rsidTr="00401C67">
        <w:tc>
          <w:tcPr>
            <w:tcW w:w="4508" w:type="dxa"/>
          </w:tcPr>
          <w:p w14:paraId="017D475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Life as a whole</w:t>
            </w:r>
          </w:p>
        </w:tc>
        <w:tc>
          <w:tcPr>
            <w:tcW w:w="4508" w:type="dxa"/>
          </w:tcPr>
          <w:p w14:paraId="3E2715B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Perceived QoL</w:t>
            </w:r>
          </w:p>
        </w:tc>
      </w:tr>
    </w:tbl>
    <w:p w14:paraId="2911B72E" w14:textId="77777777" w:rsidR="00B54D51" w:rsidRPr="00037AD4" w:rsidRDefault="00B54D51" w:rsidP="001D7ACE">
      <w:pPr>
        <w:pStyle w:val="EndNoteBibliography"/>
        <w:rPr>
          <w:rFonts w:asciiTheme="minorHAnsi" w:hAnsiTheme="minorHAnsi" w:cstheme="minorHAnsi"/>
          <w:b/>
          <w:bCs/>
          <w:u w:val="single"/>
          <w:lang w:val="en-GB"/>
        </w:rPr>
      </w:pPr>
    </w:p>
    <w:p w14:paraId="27AD3774" w14:textId="77777777" w:rsidR="00B54D51" w:rsidRPr="00037AD4" w:rsidRDefault="00B54D51" w:rsidP="007A43F9">
      <w:pPr>
        <w:pStyle w:val="Heading2"/>
      </w:pPr>
      <w:bookmarkStart w:id="463" w:name="A31c"/>
      <w:bookmarkStart w:id="464" w:name="_Toc175742394"/>
      <w:r w:rsidRPr="00037AD4">
        <w:t>Appendix 3.1c QUALID conceptual framework</w:t>
      </w:r>
      <w:bookmarkEnd w:id="464"/>
      <w:r w:rsidRPr="00037AD4">
        <w:t xml:space="preserve">  </w:t>
      </w:r>
    </w:p>
    <w:bookmarkEnd w:id="463"/>
    <w:p w14:paraId="3B352B84" w14:textId="77777777" w:rsidR="00B54D51" w:rsidRPr="00037AD4" w:rsidRDefault="00B54D51" w:rsidP="001D7ACE">
      <w:pPr>
        <w:rPr>
          <w:rFonts w:asciiTheme="minorHAnsi" w:hAnsiTheme="minorHAnsi" w:cstheme="minorHAnsi"/>
          <w:b/>
          <w:bCs/>
          <w:u w:val="single"/>
        </w:rPr>
      </w:pPr>
    </w:p>
    <w:p w14:paraId="01D340A5" w14:textId="0D7C27CC" w:rsidR="00B54D51" w:rsidRPr="00037AD4" w:rsidRDefault="00B54D51" w:rsidP="001D7ACE">
      <w:pPr>
        <w:pStyle w:val="EndNoteBibliography"/>
        <w:rPr>
          <w:rFonts w:asciiTheme="minorHAnsi" w:hAnsiTheme="minorHAnsi" w:cstheme="minorHAnsi"/>
          <w:lang w:val="en-GB"/>
        </w:rPr>
      </w:pPr>
      <w:r w:rsidRPr="00037AD4">
        <w:rPr>
          <w:rFonts w:asciiTheme="minorHAnsi" w:hAnsiTheme="minorHAnsi" w:cstheme="minorHAnsi"/>
          <w:lang w:val="en-GB"/>
        </w:rPr>
        <w:t xml:space="preserve">The QUALID is a dementia specific measure developed to aid in assessing the effects of clinical management decisions and treatment plans on QoL, in people with late-stage dementia residing in long-term institutions </w:t>
      </w:r>
      <w:r>
        <w:rPr>
          <w:rFonts w:asciiTheme="minorHAnsi" w:hAnsiTheme="minorHAnsi" w:cstheme="minorHAnsi"/>
          <w:noProof/>
          <w:lang w:val="en-GB"/>
        </w:rPr>
        <w:t>(Weiner et al., 2000)</w:t>
      </w:r>
      <w:r w:rsidRPr="00037AD4">
        <w:rPr>
          <w:rFonts w:asciiTheme="minorHAnsi" w:hAnsiTheme="minorHAnsi" w:cstheme="minorHAnsi"/>
          <w:lang w:val="en-GB"/>
        </w:rPr>
        <w:t xml:space="preserve">. The framework for its development was based on a combination of 2 existing scales, the Lawton assessment of QoL in AD research and the Logsdon pleasant event schedule in AD patients. The Lawton assessment contains the following domains: </w:t>
      </w:r>
      <w:r w:rsidRPr="00037AD4">
        <w:rPr>
          <w:rFonts w:asciiTheme="minorHAnsi" w:hAnsiTheme="minorHAnsi" w:cstheme="minorHAnsi"/>
          <w:i/>
          <w:iCs/>
          <w:lang w:val="en-GB"/>
        </w:rPr>
        <w:t xml:space="preserve">cognitive functioning, the ability to perform activities of daily living and to engage in meaningful time use and social behaviour, </w:t>
      </w:r>
      <w:r w:rsidRPr="00037AD4">
        <w:rPr>
          <w:rFonts w:asciiTheme="minorHAnsi" w:hAnsiTheme="minorHAnsi" w:cstheme="minorHAnsi"/>
          <w:lang w:val="en-GB"/>
        </w:rPr>
        <w:t xml:space="preserve">and </w:t>
      </w:r>
      <w:r w:rsidRPr="00037AD4">
        <w:rPr>
          <w:rFonts w:asciiTheme="minorHAnsi" w:hAnsiTheme="minorHAnsi" w:cstheme="minorHAnsi"/>
          <w:i/>
          <w:iCs/>
          <w:lang w:val="en-GB"/>
        </w:rPr>
        <w:t xml:space="preserve">a </w:t>
      </w:r>
      <w:r w:rsidR="00830480" w:rsidRPr="00037AD4">
        <w:rPr>
          <w:rFonts w:asciiTheme="minorHAnsi" w:hAnsiTheme="minorHAnsi" w:cstheme="minorHAnsi"/>
          <w:i/>
          <w:iCs/>
          <w:lang w:val="en-GB"/>
        </w:rPr>
        <w:t>favourable</w:t>
      </w:r>
      <w:r w:rsidRPr="00037AD4">
        <w:rPr>
          <w:rFonts w:asciiTheme="minorHAnsi" w:hAnsiTheme="minorHAnsi" w:cstheme="minorHAnsi"/>
          <w:i/>
          <w:iCs/>
          <w:lang w:val="en-GB"/>
        </w:rPr>
        <w:t xml:space="preserve"> balance between positive emotion and absence of negative emotion </w:t>
      </w:r>
      <w:r>
        <w:rPr>
          <w:rFonts w:asciiTheme="minorHAnsi" w:hAnsiTheme="minorHAnsi" w:cstheme="minorHAnsi"/>
          <w:i/>
          <w:iCs/>
          <w:noProof/>
          <w:lang w:val="en-GB"/>
        </w:rPr>
        <w:t>(Lawton, 1994)</w:t>
      </w:r>
      <w:r w:rsidRPr="00037AD4">
        <w:rPr>
          <w:rFonts w:asciiTheme="minorHAnsi" w:hAnsiTheme="minorHAnsi" w:cstheme="minorHAnsi"/>
          <w:i/>
          <w:iCs/>
          <w:lang w:val="en-GB"/>
        </w:rPr>
        <w:t xml:space="preserve">. </w:t>
      </w:r>
      <w:r w:rsidRPr="00037AD4">
        <w:rPr>
          <w:rFonts w:asciiTheme="minorHAnsi" w:hAnsiTheme="minorHAnsi" w:cstheme="minorHAnsi"/>
          <w:lang w:val="en-GB"/>
        </w:rPr>
        <w:t xml:space="preserve">The Logsdon schedule enlists pleasant activities specific to AD populations </w:t>
      </w:r>
      <w:r>
        <w:rPr>
          <w:rFonts w:asciiTheme="minorHAnsi" w:hAnsiTheme="minorHAnsi" w:cstheme="minorHAnsi"/>
          <w:noProof/>
          <w:lang w:val="en-GB"/>
        </w:rPr>
        <w:t>(Logsdon and Teri, 1997)</w:t>
      </w:r>
      <w:r w:rsidRPr="00037AD4">
        <w:rPr>
          <w:rFonts w:asciiTheme="minorHAnsi" w:hAnsiTheme="minorHAnsi" w:cstheme="minorHAnsi"/>
          <w:lang w:val="en-GB"/>
        </w:rPr>
        <w:t xml:space="preserve">. </w:t>
      </w:r>
    </w:p>
    <w:p w14:paraId="2063BDAE" w14:textId="77777777" w:rsidR="00B54D51" w:rsidRPr="00037AD4" w:rsidRDefault="00B54D51" w:rsidP="001D7ACE">
      <w:pPr>
        <w:pStyle w:val="EndNoteBibliography"/>
        <w:rPr>
          <w:rFonts w:asciiTheme="minorHAnsi" w:hAnsiTheme="minorHAnsi" w:cstheme="minorHAnsi"/>
          <w:lang w:val="en-GB"/>
        </w:rPr>
      </w:pPr>
    </w:p>
    <w:p w14:paraId="2D70777C" w14:textId="77777777" w:rsidR="00B54D51" w:rsidRPr="00037AD4" w:rsidRDefault="00B54D51" w:rsidP="001D7ACE">
      <w:pPr>
        <w:pStyle w:val="EndNoteBibliography"/>
        <w:rPr>
          <w:rFonts w:asciiTheme="minorHAnsi" w:hAnsiTheme="minorHAnsi" w:cstheme="minorHAnsi"/>
          <w:lang w:val="en-GB"/>
        </w:rPr>
      </w:pPr>
      <w:r w:rsidRPr="00037AD4">
        <w:rPr>
          <w:rFonts w:asciiTheme="minorHAnsi" w:hAnsiTheme="minorHAnsi" w:cstheme="minorHAnsi"/>
          <w:lang w:val="en-GB"/>
        </w:rPr>
        <w:t xml:space="preserve">The QUALID is a proxy-reported outcome measure, intended for administration by a trained researcher to professional caregivers/nursing home personnel. It contains 11 items of observable behaviours, indicating activities and emotional states. Ratings are made by observation over a one-week period and are rated on a 5-point Likert scale </w:t>
      </w:r>
      <w:r>
        <w:rPr>
          <w:rFonts w:asciiTheme="minorHAnsi" w:hAnsiTheme="minorHAnsi" w:cstheme="minorHAnsi"/>
          <w:noProof/>
          <w:lang w:val="en-GB"/>
        </w:rPr>
        <w:t>(Weiner et al., 2000)</w:t>
      </w:r>
      <w:r w:rsidRPr="00037AD4">
        <w:rPr>
          <w:rFonts w:asciiTheme="minorHAnsi" w:hAnsiTheme="minorHAnsi" w:cstheme="minorHAnsi"/>
          <w:lang w:val="en-GB"/>
        </w:rPr>
        <w:t xml:space="preserve">. </w:t>
      </w:r>
    </w:p>
    <w:p w14:paraId="4EA48E29" w14:textId="77777777" w:rsidR="00B54D51" w:rsidRPr="00037AD4" w:rsidRDefault="00B54D51" w:rsidP="001D7ACE">
      <w:pPr>
        <w:rPr>
          <w:rFonts w:asciiTheme="minorHAnsi" w:hAnsiTheme="minorHAnsi" w:cstheme="minorHAnsi"/>
          <w:b/>
          <w:bCs/>
          <w:u w:val="single"/>
        </w:rPr>
      </w:pPr>
    </w:p>
    <w:p w14:paraId="19EEAAFD" w14:textId="77777777" w:rsidR="00B54D51" w:rsidRPr="00037AD4" w:rsidRDefault="00B54D51" w:rsidP="001D7ACE">
      <w:pPr>
        <w:pStyle w:val="EndNoteBibliography"/>
        <w:rPr>
          <w:rFonts w:asciiTheme="minorHAnsi" w:hAnsiTheme="minorHAnsi" w:cstheme="minorHAnsi"/>
          <w:u w:val="single"/>
          <w:lang w:val="en-GB"/>
        </w:rPr>
      </w:pPr>
      <w:r w:rsidRPr="00037AD4">
        <w:rPr>
          <w:rFonts w:asciiTheme="minorHAnsi" w:hAnsiTheme="minorHAnsi" w:cstheme="minorHAnsi"/>
          <w:u w:val="single"/>
          <w:lang w:val="en-GB"/>
        </w:rPr>
        <w:t xml:space="preserve">QUALID items and domains </w:t>
      </w:r>
    </w:p>
    <w:p w14:paraId="74227B8E" w14:textId="77777777" w:rsidR="00B54D51" w:rsidRPr="00037AD4" w:rsidRDefault="00B54D51" w:rsidP="001D7ACE">
      <w:pPr>
        <w:pStyle w:val="EndNoteBibliography"/>
        <w:rPr>
          <w:rFonts w:asciiTheme="minorHAnsi" w:hAnsiTheme="minorHAnsi" w:cstheme="minorHAnsi"/>
          <w:u w:val="single"/>
          <w:lang w:val="en-GB"/>
        </w:rPr>
      </w:pPr>
    </w:p>
    <w:tbl>
      <w:tblPr>
        <w:tblStyle w:val="TableGrid"/>
        <w:tblW w:w="0" w:type="auto"/>
        <w:tblInd w:w="-5" w:type="dxa"/>
        <w:tblLook w:val="04A0" w:firstRow="1" w:lastRow="0" w:firstColumn="1" w:lastColumn="0" w:noHBand="0" w:noVBand="1"/>
      </w:tblPr>
      <w:tblGrid>
        <w:gridCol w:w="4508"/>
        <w:gridCol w:w="4508"/>
      </w:tblGrid>
      <w:tr w:rsidR="00B54D51" w:rsidRPr="00037AD4" w14:paraId="1012FC85" w14:textId="77777777" w:rsidTr="00401C67">
        <w:tc>
          <w:tcPr>
            <w:tcW w:w="4508" w:type="dxa"/>
          </w:tcPr>
          <w:p w14:paraId="69EAFA02" w14:textId="77777777" w:rsidR="00B54D51" w:rsidRPr="00037AD4" w:rsidRDefault="00B54D51" w:rsidP="00401C67">
            <w:pPr>
              <w:rPr>
                <w:rFonts w:asciiTheme="minorHAnsi" w:hAnsiTheme="minorHAnsi" w:cstheme="minorHAnsi"/>
                <w:b/>
                <w:bCs/>
                <w:sz w:val="22"/>
                <w:szCs w:val="22"/>
              </w:rPr>
            </w:pPr>
            <w:r w:rsidRPr="00037AD4">
              <w:rPr>
                <w:rFonts w:asciiTheme="minorHAnsi" w:hAnsiTheme="minorHAnsi" w:cstheme="minorHAnsi"/>
                <w:b/>
                <w:bCs/>
                <w:sz w:val="22"/>
                <w:szCs w:val="22"/>
              </w:rPr>
              <w:t xml:space="preserve">Item component </w:t>
            </w:r>
          </w:p>
        </w:tc>
        <w:tc>
          <w:tcPr>
            <w:tcW w:w="4508" w:type="dxa"/>
          </w:tcPr>
          <w:p w14:paraId="76860FA4" w14:textId="77777777" w:rsidR="00B54D51" w:rsidRPr="00037AD4" w:rsidRDefault="00B54D51" w:rsidP="00401C67">
            <w:pPr>
              <w:rPr>
                <w:rFonts w:asciiTheme="minorHAnsi" w:hAnsiTheme="minorHAnsi" w:cstheme="minorHAnsi"/>
                <w:b/>
                <w:bCs/>
                <w:sz w:val="22"/>
                <w:szCs w:val="22"/>
              </w:rPr>
            </w:pPr>
            <w:r w:rsidRPr="00037AD4">
              <w:rPr>
                <w:rFonts w:asciiTheme="minorHAnsi" w:hAnsiTheme="minorHAnsi" w:cstheme="minorHAnsi"/>
                <w:b/>
                <w:bCs/>
                <w:sz w:val="22"/>
                <w:szCs w:val="22"/>
              </w:rPr>
              <w:t>Domain</w:t>
            </w:r>
          </w:p>
        </w:tc>
      </w:tr>
      <w:tr w:rsidR="00B54D51" w:rsidRPr="00037AD4" w14:paraId="13668583" w14:textId="77777777" w:rsidTr="00401C67">
        <w:tc>
          <w:tcPr>
            <w:tcW w:w="4508" w:type="dxa"/>
          </w:tcPr>
          <w:p w14:paraId="436E2A32"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Smiles</w:t>
            </w:r>
          </w:p>
        </w:tc>
        <w:tc>
          <w:tcPr>
            <w:tcW w:w="4508" w:type="dxa"/>
          </w:tcPr>
          <w:p w14:paraId="74559C9F"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Positive emotion </w:t>
            </w:r>
          </w:p>
        </w:tc>
      </w:tr>
      <w:tr w:rsidR="00B54D51" w:rsidRPr="00037AD4" w14:paraId="3A114C52" w14:textId="77777777" w:rsidTr="00401C67">
        <w:tc>
          <w:tcPr>
            <w:tcW w:w="4508" w:type="dxa"/>
          </w:tcPr>
          <w:p w14:paraId="5F1CAEE8"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Physically uncomfortable </w:t>
            </w:r>
          </w:p>
        </w:tc>
        <w:tc>
          <w:tcPr>
            <w:tcW w:w="4508" w:type="dxa"/>
          </w:tcPr>
          <w:p w14:paraId="6A6EDC96"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Negative emotion</w:t>
            </w:r>
          </w:p>
        </w:tc>
      </w:tr>
      <w:tr w:rsidR="00B54D51" w:rsidRPr="00037AD4" w14:paraId="048705B5" w14:textId="77777777" w:rsidTr="00401C67">
        <w:tc>
          <w:tcPr>
            <w:tcW w:w="4508" w:type="dxa"/>
          </w:tcPr>
          <w:p w14:paraId="44A9B9DC"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Sad</w:t>
            </w:r>
          </w:p>
        </w:tc>
        <w:tc>
          <w:tcPr>
            <w:tcW w:w="4508" w:type="dxa"/>
          </w:tcPr>
          <w:p w14:paraId="3E4BFF1E"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Negative emotion </w:t>
            </w:r>
          </w:p>
        </w:tc>
      </w:tr>
      <w:tr w:rsidR="00B54D51" w:rsidRPr="00037AD4" w14:paraId="70E87942" w14:textId="77777777" w:rsidTr="00401C67">
        <w:tc>
          <w:tcPr>
            <w:tcW w:w="4508" w:type="dxa"/>
          </w:tcPr>
          <w:p w14:paraId="4AF2A222"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States/sounds of discontent </w:t>
            </w:r>
          </w:p>
        </w:tc>
        <w:tc>
          <w:tcPr>
            <w:tcW w:w="4508" w:type="dxa"/>
          </w:tcPr>
          <w:p w14:paraId="5942C0BA"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Negative emotion</w:t>
            </w:r>
          </w:p>
        </w:tc>
      </w:tr>
      <w:tr w:rsidR="00B54D51" w:rsidRPr="00037AD4" w14:paraId="2084023F" w14:textId="77777777" w:rsidTr="00401C67">
        <w:tc>
          <w:tcPr>
            <w:tcW w:w="4508" w:type="dxa"/>
          </w:tcPr>
          <w:p w14:paraId="2180C314"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Cries</w:t>
            </w:r>
          </w:p>
        </w:tc>
        <w:tc>
          <w:tcPr>
            <w:tcW w:w="4508" w:type="dxa"/>
          </w:tcPr>
          <w:p w14:paraId="63C89188"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Negative emotion</w:t>
            </w:r>
          </w:p>
        </w:tc>
      </w:tr>
      <w:tr w:rsidR="00B54D51" w:rsidRPr="00037AD4" w14:paraId="5E8FB330" w14:textId="77777777" w:rsidTr="00401C67">
        <w:tc>
          <w:tcPr>
            <w:tcW w:w="4508" w:type="dxa"/>
          </w:tcPr>
          <w:p w14:paraId="0356FDB0"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Irritable or aggressive</w:t>
            </w:r>
          </w:p>
        </w:tc>
        <w:tc>
          <w:tcPr>
            <w:tcW w:w="4508" w:type="dxa"/>
          </w:tcPr>
          <w:p w14:paraId="3B4EF166"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Negative emotion</w:t>
            </w:r>
          </w:p>
        </w:tc>
      </w:tr>
      <w:tr w:rsidR="00B54D51" w:rsidRPr="00037AD4" w14:paraId="37435BFF" w14:textId="77777777" w:rsidTr="00401C67">
        <w:tc>
          <w:tcPr>
            <w:tcW w:w="4508" w:type="dxa"/>
          </w:tcPr>
          <w:p w14:paraId="49DA302C"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Facial expression of discomfort </w:t>
            </w:r>
          </w:p>
        </w:tc>
        <w:tc>
          <w:tcPr>
            <w:tcW w:w="4508" w:type="dxa"/>
          </w:tcPr>
          <w:p w14:paraId="5276EBDD"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Negative emotion</w:t>
            </w:r>
          </w:p>
        </w:tc>
      </w:tr>
      <w:tr w:rsidR="00B54D51" w:rsidRPr="00037AD4" w14:paraId="2C4F4C68" w14:textId="77777777" w:rsidTr="00401C67">
        <w:tc>
          <w:tcPr>
            <w:tcW w:w="4508" w:type="dxa"/>
          </w:tcPr>
          <w:p w14:paraId="2E2D0FE4"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Enjoys eating </w:t>
            </w:r>
          </w:p>
        </w:tc>
        <w:tc>
          <w:tcPr>
            <w:tcW w:w="4508" w:type="dxa"/>
          </w:tcPr>
          <w:p w14:paraId="11C777E5"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Pleasant event</w:t>
            </w:r>
          </w:p>
        </w:tc>
      </w:tr>
      <w:tr w:rsidR="00B54D51" w:rsidRPr="00037AD4" w14:paraId="4C15547C" w14:textId="77777777" w:rsidTr="00401C67">
        <w:tc>
          <w:tcPr>
            <w:tcW w:w="4508" w:type="dxa"/>
          </w:tcPr>
          <w:p w14:paraId="7932FECE"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Enjoys touching </w:t>
            </w:r>
          </w:p>
        </w:tc>
        <w:tc>
          <w:tcPr>
            <w:tcW w:w="4508" w:type="dxa"/>
          </w:tcPr>
          <w:p w14:paraId="34661A8D"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Pleasant event</w:t>
            </w:r>
          </w:p>
        </w:tc>
      </w:tr>
      <w:tr w:rsidR="00B54D51" w:rsidRPr="00037AD4" w14:paraId="7A361A67" w14:textId="77777777" w:rsidTr="00401C67">
        <w:tc>
          <w:tcPr>
            <w:tcW w:w="4508" w:type="dxa"/>
          </w:tcPr>
          <w:p w14:paraId="6956FAE7"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Enjoys interacting </w:t>
            </w:r>
          </w:p>
        </w:tc>
        <w:tc>
          <w:tcPr>
            <w:tcW w:w="4508" w:type="dxa"/>
          </w:tcPr>
          <w:p w14:paraId="48E4524C"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Pleasant event </w:t>
            </w:r>
          </w:p>
        </w:tc>
      </w:tr>
      <w:tr w:rsidR="00B54D51" w:rsidRPr="00037AD4" w14:paraId="39445C04" w14:textId="77777777" w:rsidTr="00401C67">
        <w:tc>
          <w:tcPr>
            <w:tcW w:w="4508" w:type="dxa"/>
          </w:tcPr>
          <w:p w14:paraId="089FD7BC"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Emotionally calm and comfortable </w:t>
            </w:r>
          </w:p>
        </w:tc>
        <w:tc>
          <w:tcPr>
            <w:tcW w:w="4508" w:type="dxa"/>
          </w:tcPr>
          <w:p w14:paraId="7723F394"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Positive emotion </w:t>
            </w:r>
          </w:p>
        </w:tc>
      </w:tr>
    </w:tbl>
    <w:p w14:paraId="0E8AEAFC" w14:textId="77777777" w:rsidR="00B54D51" w:rsidRPr="00037AD4" w:rsidRDefault="00B54D51" w:rsidP="001D7ACE">
      <w:pPr>
        <w:rPr>
          <w:rFonts w:asciiTheme="minorHAnsi" w:hAnsiTheme="minorHAnsi" w:cstheme="minorHAnsi"/>
          <w:b/>
          <w:bCs/>
          <w:u w:val="single"/>
        </w:rPr>
      </w:pPr>
    </w:p>
    <w:p w14:paraId="02657DBF" w14:textId="77777777" w:rsidR="00B54D51" w:rsidRPr="00037AD4" w:rsidRDefault="00B54D51" w:rsidP="007A43F9">
      <w:pPr>
        <w:pStyle w:val="Heading2"/>
      </w:pPr>
      <w:bookmarkStart w:id="465" w:name="A31d"/>
      <w:bookmarkStart w:id="466" w:name="_Toc175742395"/>
      <w:r w:rsidRPr="00037AD4">
        <w:t>Appendix 3.1d QUALIDEM conceptual framework</w:t>
      </w:r>
      <w:bookmarkEnd w:id="466"/>
      <w:r w:rsidRPr="00037AD4">
        <w:t xml:space="preserve">  </w:t>
      </w:r>
    </w:p>
    <w:bookmarkEnd w:id="465"/>
    <w:p w14:paraId="0A95C4B5" w14:textId="77777777" w:rsidR="00B54D51" w:rsidRPr="00037AD4" w:rsidRDefault="00B54D51" w:rsidP="001D7ACE">
      <w:pPr>
        <w:rPr>
          <w:rFonts w:asciiTheme="minorHAnsi" w:hAnsiTheme="minorHAnsi" w:cstheme="minorHAnsi"/>
          <w:b/>
          <w:bCs/>
          <w:u w:val="single"/>
        </w:rPr>
      </w:pPr>
    </w:p>
    <w:p w14:paraId="2EA80FB3" w14:textId="77777777" w:rsidR="00B54D51" w:rsidRPr="00037AD4" w:rsidRDefault="00B54D51" w:rsidP="001D7ACE">
      <w:pPr>
        <w:pStyle w:val="EndNoteBibliography"/>
        <w:rPr>
          <w:rFonts w:asciiTheme="minorHAnsi" w:hAnsiTheme="minorHAnsi" w:cstheme="minorHAnsi"/>
          <w:lang w:val="en-GB"/>
        </w:rPr>
      </w:pPr>
      <w:r w:rsidRPr="00037AD4">
        <w:rPr>
          <w:rFonts w:asciiTheme="minorHAnsi" w:hAnsiTheme="minorHAnsi" w:cstheme="minorHAnsi"/>
          <w:lang w:val="en-GB"/>
        </w:rPr>
        <w:t xml:space="preserve">The QUALIDEM is a dementia specific QoL measure with two versions, both with a different number of items. The conceptualisation was based on adaptive tasks outlined in the adaptation coping model by RM Dröes </w:t>
      </w:r>
      <w:r>
        <w:rPr>
          <w:rFonts w:asciiTheme="minorHAnsi" w:hAnsiTheme="minorHAnsi" w:cstheme="minorHAnsi"/>
          <w:noProof/>
          <w:lang w:val="en-GB"/>
        </w:rPr>
        <w:t>(Dröes, 1991)</w:t>
      </w:r>
      <w:r w:rsidRPr="00037AD4">
        <w:rPr>
          <w:rFonts w:asciiTheme="minorHAnsi" w:hAnsiTheme="minorHAnsi" w:cstheme="minorHAnsi"/>
          <w:lang w:val="en-GB"/>
        </w:rPr>
        <w:t xml:space="preserve">, eventually including the following 9 domain subscales: </w:t>
      </w:r>
      <w:r w:rsidRPr="00037AD4">
        <w:rPr>
          <w:rFonts w:asciiTheme="minorHAnsi" w:hAnsiTheme="minorHAnsi" w:cstheme="minorHAnsi"/>
          <w:i/>
          <w:iCs/>
          <w:lang w:val="en-GB"/>
        </w:rPr>
        <w:t xml:space="preserve">care relationships, positive affect, negative affect, restless tense behaviour, positive self-image, social relations, social isolation, feeling at home </w:t>
      </w:r>
      <w:r w:rsidRPr="00037AD4">
        <w:rPr>
          <w:rFonts w:asciiTheme="minorHAnsi" w:hAnsiTheme="minorHAnsi" w:cstheme="minorHAnsi"/>
          <w:lang w:val="en-GB"/>
        </w:rPr>
        <w:t>and</w:t>
      </w:r>
      <w:r w:rsidRPr="00037AD4">
        <w:rPr>
          <w:rFonts w:asciiTheme="minorHAnsi" w:hAnsiTheme="minorHAnsi" w:cstheme="minorHAnsi"/>
          <w:i/>
          <w:iCs/>
          <w:lang w:val="en-GB"/>
        </w:rPr>
        <w:t xml:space="preserve"> having something to do</w:t>
      </w:r>
      <w:r>
        <w:rPr>
          <w:rFonts w:asciiTheme="minorHAnsi" w:hAnsiTheme="minorHAnsi" w:cstheme="minorHAnsi"/>
          <w:i/>
          <w:iCs/>
          <w:noProof/>
          <w:lang w:val="en-GB"/>
        </w:rPr>
        <w:t>(Dichter et al., 2016)</w:t>
      </w:r>
      <w:r w:rsidRPr="00037AD4">
        <w:rPr>
          <w:rFonts w:asciiTheme="minorHAnsi" w:hAnsiTheme="minorHAnsi" w:cstheme="minorHAnsi"/>
          <w:i/>
          <w:iCs/>
          <w:lang w:val="en-GB"/>
        </w:rPr>
        <w:t>.</w:t>
      </w:r>
      <w:r w:rsidRPr="00037AD4">
        <w:rPr>
          <w:rFonts w:asciiTheme="minorHAnsi" w:hAnsiTheme="minorHAnsi" w:cstheme="minorHAnsi"/>
          <w:lang w:val="en-GB"/>
        </w:rPr>
        <w:t xml:space="preserve"> </w:t>
      </w:r>
    </w:p>
    <w:p w14:paraId="006F1C7D" w14:textId="77777777" w:rsidR="00B54D51" w:rsidRPr="00037AD4" w:rsidRDefault="00B54D51" w:rsidP="001D7ACE">
      <w:pPr>
        <w:pStyle w:val="EndNoteBibliography"/>
        <w:rPr>
          <w:rFonts w:asciiTheme="minorHAnsi" w:hAnsiTheme="minorHAnsi" w:cstheme="minorHAnsi"/>
          <w:lang w:val="en-GB"/>
        </w:rPr>
      </w:pPr>
    </w:p>
    <w:p w14:paraId="41A4A32A" w14:textId="77777777" w:rsidR="00B54D51" w:rsidRPr="00037AD4" w:rsidRDefault="00B54D51" w:rsidP="001D7ACE">
      <w:pPr>
        <w:pStyle w:val="EndNoteBibliography"/>
        <w:rPr>
          <w:rFonts w:asciiTheme="minorHAnsi" w:hAnsiTheme="minorHAnsi" w:cstheme="minorHAnsi"/>
          <w:lang w:val="en-GB"/>
        </w:rPr>
      </w:pPr>
      <w:r w:rsidRPr="00037AD4">
        <w:rPr>
          <w:rFonts w:asciiTheme="minorHAnsi" w:hAnsiTheme="minorHAnsi" w:cstheme="minorHAnsi"/>
          <w:lang w:val="en-GB"/>
        </w:rPr>
        <w:t xml:space="preserve">The 37-item version is targeted for use in people with mild-to-severe dementia and contains items to cover all 9 domains. The 18-item version is for those with very severe dementia and does not assess the following domains: positive self-image, feeling at home and having something to do. Both versions are intended for use in nursing home populations. Items within each domain can be summed to provide a summary subscale score </w:t>
      </w:r>
      <w:r>
        <w:rPr>
          <w:rFonts w:asciiTheme="minorHAnsi" w:hAnsiTheme="minorHAnsi" w:cstheme="minorHAnsi"/>
          <w:noProof/>
          <w:lang w:val="en-GB"/>
        </w:rPr>
        <w:t>(Ettema et al., 2007)</w:t>
      </w:r>
      <w:r w:rsidRPr="00037AD4">
        <w:rPr>
          <w:rFonts w:asciiTheme="minorHAnsi" w:hAnsiTheme="minorHAnsi" w:cstheme="minorHAnsi"/>
          <w:lang w:val="en-GB"/>
        </w:rPr>
        <w:t xml:space="preserve">. The QUALIDEM is a proxy-reported outcome measure, containing observable items and is scored on a 4-point rating scale from never-to-often </w:t>
      </w:r>
      <w:r>
        <w:rPr>
          <w:rFonts w:asciiTheme="minorHAnsi" w:hAnsiTheme="minorHAnsi" w:cstheme="minorHAnsi"/>
          <w:noProof/>
          <w:lang w:val="en-GB"/>
        </w:rPr>
        <w:t>(Dichter et al., 2016)</w:t>
      </w:r>
      <w:r w:rsidRPr="00037AD4">
        <w:rPr>
          <w:rFonts w:asciiTheme="minorHAnsi" w:hAnsiTheme="minorHAnsi" w:cstheme="minorHAnsi"/>
          <w:lang w:val="en-GB"/>
        </w:rPr>
        <w:t xml:space="preserve">. </w:t>
      </w:r>
    </w:p>
    <w:p w14:paraId="641469D8" w14:textId="77777777" w:rsidR="00B54D51" w:rsidRPr="00037AD4" w:rsidRDefault="00B54D51" w:rsidP="001D7ACE">
      <w:pPr>
        <w:rPr>
          <w:rFonts w:asciiTheme="minorHAnsi" w:hAnsiTheme="minorHAnsi" w:cstheme="minorHAnsi"/>
          <w:b/>
          <w:bCs/>
          <w:u w:val="single"/>
        </w:rPr>
      </w:pPr>
    </w:p>
    <w:p w14:paraId="7E2D8085" w14:textId="77777777" w:rsidR="00B54D51" w:rsidRPr="00037AD4" w:rsidRDefault="00B54D51" w:rsidP="001D7ACE">
      <w:pPr>
        <w:pStyle w:val="EndNoteBibliography"/>
        <w:rPr>
          <w:rFonts w:asciiTheme="minorHAnsi" w:hAnsiTheme="minorHAnsi" w:cstheme="minorHAnsi"/>
          <w:u w:val="single"/>
          <w:lang w:val="en-GB"/>
        </w:rPr>
      </w:pPr>
      <w:r w:rsidRPr="00037AD4">
        <w:rPr>
          <w:rFonts w:asciiTheme="minorHAnsi" w:hAnsiTheme="minorHAnsi" w:cstheme="minorHAnsi"/>
          <w:u w:val="single"/>
          <w:lang w:val="en-GB"/>
        </w:rPr>
        <w:t xml:space="preserve">QUALIDEM items and domains </w:t>
      </w:r>
    </w:p>
    <w:p w14:paraId="32A87497" w14:textId="77777777" w:rsidR="00B54D51" w:rsidRPr="00037AD4" w:rsidRDefault="00B54D51" w:rsidP="001D7ACE">
      <w:pPr>
        <w:rPr>
          <w:rFonts w:asciiTheme="minorHAnsi" w:hAnsiTheme="minorHAnsi" w:cstheme="minorHAnsi"/>
          <w:b/>
          <w:bCs/>
          <w:u w:val="single"/>
        </w:rPr>
      </w:pPr>
    </w:p>
    <w:tbl>
      <w:tblPr>
        <w:tblStyle w:val="TableGrid"/>
        <w:tblW w:w="0" w:type="auto"/>
        <w:tblInd w:w="-5" w:type="dxa"/>
        <w:tblLook w:val="04A0" w:firstRow="1" w:lastRow="0" w:firstColumn="1" w:lastColumn="0" w:noHBand="0" w:noVBand="1"/>
      </w:tblPr>
      <w:tblGrid>
        <w:gridCol w:w="4508"/>
        <w:gridCol w:w="4508"/>
      </w:tblGrid>
      <w:tr w:rsidR="00B54D51" w:rsidRPr="00037AD4" w14:paraId="4893AC9F" w14:textId="77777777" w:rsidTr="00401C67">
        <w:tc>
          <w:tcPr>
            <w:tcW w:w="4508" w:type="dxa"/>
          </w:tcPr>
          <w:p w14:paraId="038D8B84" w14:textId="77777777" w:rsidR="00B54D51" w:rsidRPr="00037AD4" w:rsidRDefault="00B54D51" w:rsidP="00401C67">
            <w:pPr>
              <w:rPr>
                <w:rFonts w:asciiTheme="minorHAnsi" w:hAnsiTheme="minorHAnsi" w:cstheme="minorHAnsi"/>
                <w:b/>
                <w:bCs/>
                <w:sz w:val="22"/>
                <w:szCs w:val="22"/>
              </w:rPr>
            </w:pPr>
            <w:r w:rsidRPr="00037AD4">
              <w:rPr>
                <w:rFonts w:asciiTheme="minorHAnsi" w:hAnsiTheme="minorHAnsi" w:cstheme="minorHAnsi"/>
                <w:b/>
                <w:bCs/>
                <w:sz w:val="22"/>
                <w:szCs w:val="22"/>
              </w:rPr>
              <w:t xml:space="preserve">Item component </w:t>
            </w:r>
          </w:p>
        </w:tc>
        <w:tc>
          <w:tcPr>
            <w:tcW w:w="4508" w:type="dxa"/>
          </w:tcPr>
          <w:p w14:paraId="682E0571" w14:textId="77777777" w:rsidR="00B54D51" w:rsidRPr="00037AD4" w:rsidRDefault="00B54D51" w:rsidP="00401C67">
            <w:pPr>
              <w:rPr>
                <w:rFonts w:asciiTheme="minorHAnsi" w:hAnsiTheme="minorHAnsi" w:cstheme="minorHAnsi"/>
                <w:b/>
                <w:bCs/>
                <w:sz w:val="22"/>
                <w:szCs w:val="22"/>
              </w:rPr>
            </w:pPr>
            <w:r w:rsidRPr="00037AD4">
              <w:rPr>
                <w:rFonts w:asciiTheme="minorHAnsi" w:hAnsiTheme="minorHAnsi" w:cstheme="minorHAnsi"/>
                <w:b/>
                <w:bCs/>
                <w:sz w:val="22"/>
                <w:szCs w:val="22"/>
              </w:rPr>
              <w:t>Domain</w:t>
            </w:r>
          </w:p>
        </w:tc>
      </w:tr>
      <w:tr w:rsidR="00B54D51" w:rsidRPr="00037AD4" w14:paraId="50BBAFBF" w14:textId="77777777" w:rsidTr="00401C67">
        <w:tc>
          <w:tcPr>
            <w:tcW w:w="4508" w:type="dxa"/>
          </w:tcPr>
          <w:p w14:paraId="6452312B"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Cheerful</w:t>
            </w:r>
          </w:p>
        </w:tc>
        <w:tc>
          <w:tcPr>
            <w:tcW w:w="4508" w:type="dxa"/>
          </w:tcPr>
          <w:p w14:paraId="40351D8E"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Positive affect </w:t>
            </w:r>
          </w:p>
        </w:tc>
      </w:tr>
      <w:tr w:rsidR="00B54D51" w:rsidRPr="00037AD4" w14:paraId="04FDF621" w14:textId="77777777" w:rsidTr="00401C67">
        <w:tc>
          <w:tcPr>
            <w:tcW w:w="4508" w:type="dxa"/>
          </w:tcPr>
          <w:p w14:paraId="4B520016"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Restless movements*</w:t>
            </w:r>
          </w:p>
        </w:tc>
        <w:tc>
          <w:tcPr>
            <w:tcW w:w="4508" w:type="dxa"/>
          </w:tcPr>
          <w:p w14:paraId="23DA33B2"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Restless tense behaviour </w:t>
            </w:r>
          </w:p>
        </w:tc>
      </w:tr>
      <w:tr w:rsidR="00B54D51" w:rsidRPr="00037AD4" w14:paraId="120187DC" w14:textId="77777777" w:rsidTr="00401C67">
        <w:tc>
          <w:tcPr>
            <w:tcW w:w="4508" w:type="dxa"/>
          </w:tcPr>
          <w:p w14:paraId="1DD807E3"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Contact with residents*</w:t>
            </w:r>
          </w:p>
        </w:tc>
        <w:tc>
          <w:tcPr>
            <w:tcW w:w="4508" w:type="dxa"/>
          </w:tcPr>
          <w:p w14:paraId="03B35647"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Social relations </w:t>
            </w:r>
          </w:p>
        </w:tc>
      </w:tr>
      <w:tr w:rsidR="00B54D51" w:rsidRPr="00037AD4" w14:paraId="6255F9A7" w14:textId="77777777" w:rsidTr="00401C67">
        <w:tc>
          <w:tcPr>
            <w:tcW w:w="4508" w:type="dxa"/>
          </w:tcPr>
          <w:p w14:paraId="5FC5C0E3"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Rejects help</w:t>
            </w:r>
          </w:p>
        </w:tc>
        <w:tc>
          <w:tcPr>
            <w:tcW w:w="4508" w:type="dxa"/>
          </w:tcPr>
          <w:p w14:paraId="4085A69F"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Care relationship</w:t>
            </w:r>
          </w:p>
        </w:tc>
      </w:tr>
      <w:tr w:rsidR="00B54D51" w:rsidRPr="00037AD4" w14:paraId="30995056" w14:textId="77777777" w:rsidTr="00401C67">
        <w:tc>
          <w:tcPr>
            <w:tcW w:w="4508" w:type="dxa"/>
          </w:tcPr>
          <w:p w14:paraId="175757FC"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Satisfaction*</w:t>
            </w:r>
          </w:p>
        </w:tc>
        <w:tc>
          <w:tcPr>
            <w:tcW w:w="4508" w:type="dxa"/>
          </w:tcPr>
          <w:p w14:paraId="0CD709A2"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Positive affect</w:t>
            </w:r>
          </w:p>
        </w:tc>
      </w:tr>
      <w:tr w:rsidR="00B54D51" w:rsidRPr="00037AD4" w14:paraId="118C3646" w14:textId="77777777" w:rsidTr="00401C67">
        <w:tc>
          <w:tcPr>
            <w:tcW w:w="4508" w:type="dxa"/>
          </w:tcPr>
          <w:p w14:paraId="04ABCDD6"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lastRenderedPageBreak/>
              <w:t>Anxious*</w:t>
            </w:r>
          </w:p>
        </w:tc>
        <w:tc>
          <w:tcPr>
            <w:tcW w:w="4508" w:type="dxa"/>
          </w:tcPr>
          <w:p w14:paraId="4E042F02"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Negative affect </w:t>
            </w:r>
          </w:p>
        </w:tc>
      </w:tr>
      <w:tr w:rsidR="00B54D51" w:rsidRPr="00037AD4" w14:paraId="6848DA82" w14:textId="77777777" w:rsidTr="00401C67">
        <w:tc>
          <w:tcPr>
            <w:tcW w:w="4508" w:type="dxa"/>
          </w:tcPr>
          <w:p w14:paraId="4B0AC70A"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Angry*</w:t>
            </w:r>
          </w:p>
        </w:tc>
        <w:tc>
          <w:tcPr>
            <w:tcW w:w="4508" w:type="dxa"/>
          </w:tcPr>
          <w:p w14:paraId="77829987"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Care relationship </w:t>
            </w:r>
          </w:p>
        </w:tc>
      </w:tr>
      <w:tr w:rsidR="00B54D51" w:rsidRPr="00037AD4" w14:paraId="1E0E709D" w14:textId="77777777" w:rsidTr="00401C67">
        <w:tc>
          <w:tcPr>
            <w:tcW w:w="4508" w:type="dxa"/>
          </w:tcPr>
          <w:p w14:paraId="4DF3A0D7"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Enjoying daily life*</w:t>
            </w:r>
          </w:p>
        </w:tc>
        <w:tc>
          <w:tcPr>
            <w:tcW w:w="4508" w:type="dxa"/>
          </w:tcPr>
          <w:p w14:paraId="166E3C5D"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Positive affect</w:t>
            </w:r>
          </w:p>
        </w:tc>
      </w:tr>
      <w:tr w:rsidR="00B54D51" w:rsidRPr="00037AD4" w14:paraId="46F8638F" w14:textId="77777777" w:rsidTr="00401C67">
        <w:tc>
          <w:tcPr>
            <w:tcW w:w="4508" w:type="dxa"/>
          </w:tcPr>
          <w:p w14:paraId="2B02ECAF"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Not want to eat*</w:t>
            </w:r>
          </w:p>
        </w:tc>
        <w:tc>
          <w:tcPr>
            <w:tcW w:w="4508" w:type="dxa"/>
          </w:tcPr>
          <w:p w14:paraId="2A3ED183"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*not defined (not scaled)</w:t>
            </w:r>
          </w:p>
        </w:tc>
      </w:tr>
      <w:tr w:rsidR="00B54D51" w:rsidRPr="00037AD4" w14:paraId="2EE6D892" w14:textId="77777777" w:rsidTr="00401C67">
        <w:tc>
          <w:tcPr>
            <w:tcW w:w="4508" w:type="dxa"/>
          </w:tcPr>
          <w:p w14:paraId="42103E0A"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Good mood</w:t>
            </w:r>
          </w:p>
        </w:tc>
        <w:tc>
          <w:tcPr>
            <w:tcW w:w="4508" w:type="dxa"/>
          </w:tcPr>
          <w:p w14:paraId="0428DE5A"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Positive affect </w:t>
            </w:r>
          </w:p>
        </w:tc>
      </w:tr>
      <w:tr w:rsidR="00B54D51" w:rsidRPr="00037AD4" w14:paraId="17CFD0F3" w14:textId="77777777" w:rsidTr="00401C67">
        <w:tc>
          <w:tcPr>
            <w:tcW w:w="4508" w:type="dxa"/>
          </w:tcPr>
          <w:p w14:paraId="690F2384"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Sad</w:t>
            </w:r>
          </w:p>
        </w:tc>
        <w:tc>
          <w:tcPr>
            <w:tcW w:w="4508" w:type="dxa"/>
          </w:tcPr>
          <w:p w14:paraId="04D26DED"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Negative affect</w:t>
            </w:r>
          </w:p>
        </w:tc>
      </w:tr>
      <w:tr w:rsidR="00B54D51" w:rsidRPr="00037AD4" w14:paraId="05D5B77D" w14:textId="77777777" w:rsidTr="00401C67">
        <w:tc>
          <w:tcPr>
            <w:tcW w:w="4508" w:type="dxa"/>
          </w:tcPr>
          <w:p w14:paraId="1A8FC86E"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Positive response*</w:t>
            </w:r>
          </w:p>
        </w:tc>
        <w:tc>
          <w:tcPr>
            <w:tcW w:w="4508" w:type="dxa"/>
          </w:tcPr>
          <w:p w14:paraId="1908E8BF"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Social relations </w:t>
            </w:r>
          </w:p>
        </w:tc>
      </w:tr>
      <w:tr w:rsidR="00B54D51" w:rsidRPr="00037AD4" w14:paraId="405C9773" w14:textId="77777777" w:rsidTr="00401C67">
        <w:tc>
          <w:tcPr>
            <w:tcW w:w="4508" w:type="dxa"/>
          </w:tcPr>
          <w:p w14:paraId="72ECF08D"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Bored</w:t>
            </w:r>
          </w:p>
        </w:tc>
        <w:tc>
          <w:tcPr>
            <w:tcW w:w="4508" w:type="dxa"/>
          </w:tcPr>
          <w:p w14:paraId="06D54FA1"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Feeling at home</w:t>
            </w:r>
          </w:p>
        </w:tc>
      </w:tr>
      <w:tr w:rsidR="00B54D51" w:rsidRPr="00037AD4" w14:paraId="0896C309" w14:textId="77777777" w:rsidTr="00401C67">
        <w:tc>
          <w:tcPr>
            <w:tcW w:w="4508" w:type="dxa"/>
          </w:tcPr>
          <w:p w14:paraId="3B2AE6F4"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Conflicts*</w:t>
            </w:r>
          </w:p>
        </w:tc>
        <w:tc>
          <w:tcPr>
            <w:tcW w:w="4508" w:type="dxa"/>
          </w:tcPr>
          <w:p w14:paraId="77EADFC0"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Care relationship </w:t>
            </w:r>
          </w:p>
        </w:tc>
      </w:tr>
      <w:tr w:rsidR="00B54D51" w:rsidRPr="00037AD4" w14:paraId="5AAD0859" w14:textId="77777777" w:rsidTr="00401C67">
        <w:tc>
          <w:tcPr>
            <w:tcW w:w="4508" w:type="dxa"/>
          </w:tcPr>
          <w:p w14:paraId="1AC4F488"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Enjoys meals*</w:t>
            </w:r>
          </w:p>
        </w:tc>
        <w:tc>
          <w:tcPr>
            <w:tcW w:w="4508" w:type="dxa"/>
          </w:tcPr>
          <w:p w14:paraId="10E5CB18"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*not defined (not scaled)</w:t>
            </w:r>
          </w:p>
        </w:tc>
      </w:tr>
      <w:tr w:rsidR="00B54D51" w:rsidRPr="00037AD4" w14:paraId="612F9BDF" w14:textId="77777777" w:rsidTr="00401C67">
        <w:tc>
          <w:tcPr>
            <w:tcW w:w="4508" w:type="dxa"/>
          </w:tcPr>
          <w:p w14:paraId="3B2613C0"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Rejected*</w:t>
            </w:r>
          </w:p>
        </w:tc>
        <w:tc>
          <w:tcPr>
            <w:tcW w:w="4508" w:type="dxa"/>
          </w:tcPr>
          <w:p w14:paraId="3ED08949"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Social isolation </w:t>
            </w:r>
          </w:p>
        </w:tc>
      </w:tr>
      <w:tr w:rsidR="00B54D51" w:rsidRPr="00037AD4" w14:paraId="03B73A43" w14:textId="77777777" w:rsidTr="00401C67">
        <w:tc>
          <w:tcPr>
            <w:tcW w:w="4508" w:type="dxa"/>
          </w:tcPr>
          <w:p w14:paraId="7A7B987E"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Accusing </w:t>
            </w:r>
          </w:p>
        </w:tc>
        <w:tc>
          <w:tcPr>
            <w:tcW w:w="4508" w:type="dxa"/>
          </w:tcPr>
          <w:p w14:paraId="72961BD9"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Care relationship </w:t>
            </w:r>
          </w:p>
        </w:tc>
      </w:tr>
      <w:tr w:rsidR="00B54D51" w:rsidRPr="00037AD4" w14:paraId="518E8BEA" w14:textId="77777777" w:rsidTr="00401C67">
        <w:tc>
          <w:tcPr>
            <w:tcW w:w="4508" w:type="dxa"/>
          </w:tcPr>
          <w:p w14:paraId="2742DB82"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Takes care of others </w:t>
            </w:r>
          </w:p>
        </w:tc>
        <w:tc>
          <w:tcPr>
            <w:tcW w:w="4508" w:type="dxa"/>
          </w:tcPr>
          <w:p w14:paraId="4AEBC26C"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Social relations</w:t>
            </w:r>
          </w:p>
        </w:tc>
      </w:tr>
      <w:tr w:rsidR="00B54D51" w:rsidRPr="00037AD4" w14:paraId="36329AE6" w14:textId="77777777" w:rsidTr="00401C67">
        <w:tc>
          <w:tcPr>
            <w:tcW w:w="4508" w:type="dxa"/>
          </w:tcPr>
          <w:p w14:paraId="649A7250"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Restless* </w:t>
            </w:r>
          </w:p>
        </w:tc>
        <w:tc>
          <w:tcPr>
            <w:tcW w:w="4508" w:type="dxa"/>
          </w:tcPr>
          <w:p w14:paraId="14204CE5"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Restless tense behaviour</w:t>
            </w:r>
          </w:p>
        </w:tc>
      </w:tr>
      <w:tr w:rsidR="00B54D51" w:rsidRPr="00037AD4" w14:paraId="65ACD753" w14:textId="77777777" w:rsidTr="00401C67">
        <w:tc>
          <w:tcPr>
            <w:tcW w:w="4508" w:type="dxa"/>
          </w:tcPr>
          <w:p w14:paraId="4E6D3BC0"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Rejects contact*</w:t>
            </w:r>
          </w:p>
        </w:tc>
        <w:tc>
          <w:tcPr>
            <w:tcW w:w="4508" w:type="dxa"/>
          </w:tcPr>
          <w:p w14:paraId="4F9A188E"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Social isolation</w:t>
            </w:r>
          </w:p>
        </w:tc>
      </w:tr>
      <w:tr w:rsidR="00B54D51" w:rsidRPr="00037AD4" w14:paraId="50E8DD0D" w14:textId="77777777" w:rsidTr="00401C67">
        <w:tc>
          <w:tcPr>
            <w:tcW w:w="4508" w:type="dxa"/>
          </w:tcPr>
          <w:p w14:paraId="32CD7FE4"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Smile* </w:t>
            </w:r>
          </w:p>
        </w:tc>
        <w:tc>
          <w:tcPr>
            <w:tcW w:w="4508" w:type="dxa"/>
          </w:tcPr>
          <w:p w14:paraId="10B02785"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Positive affect</w:t>
            </w:r>
          </w:p>
        </w:tc>
      </w:tr>
      <w:tr w:rsidR="00B54D51" w:rsidRPr="00037AD4" w14:paraId="65B8CF90" w14:textId="77777777" w:rsidTr="00401C67">
        <w:tc>
          <w:tcPr>
            <w:tcW w:w="4508" w:type="dxa"/>
          </w:tcPr>
          <w:p w14:paraId="10751D5C"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Tense body language* </w:t>
            </w:r>
          </w:p>
        </w:tc>
        <w:tc>
          <w:tcPr>
            <w:tcW w:w="4508" w:type="dxa"/>
          </w:tcPr>
          <w:p w14:paraId="77F3F988"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Restless tense behaviour</w:t>
            </w:r>
          </w:p>
        </w:tc>
      </w:tr>
      <w:tr w:rsidR="00B54D51" w:rsidRPr="00037AD4" w14:paraId="2548437B" w14:textId="77777777" w:rsidTr="00401C67">
        <w:tc>
          <w:tcPr>
            <w:tcW w:w="4508" w:type="dxa"/>
          </w:tcPr>
          <w:p w14:paraId="7DFFBC92"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Cries*</w:t>
            </w:r>
          </w:p>
        </w:tc>
        <w:tc>
          <w:tcPr>
            <w:tcW w:w="4508" w:type="dxa"/>
          </w:tcPr>
          <w:p w14:paraId="56F23781"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Negative affect</w:t>
            </w:r>
          </w:p>
        </w:tc>
      </w:tr>
      <w:tr w:rsidR="00B54D51" w:rsidRPr="00037AD4" w14:paraId="2F1271DE" w14:textId="77777777" w:rsidTr="00401C67">
        <w:tc>
          <w:tcPr>
            <w:tcW w:w="4508" w:type="dxa"/>
          </w:tcPr>
          <w:p w14:paraId="60518393"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Appreciates help</w:t>
            </w:r>
          </w:p>
        </w:tc>
        <w:tc>
          <w:tcPr>
            <w:tcW w:w="4508" w:type="dxa"/>
          </w:tcPr>
          <w:p w14:paraId="32317997"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Care relationship</w:t>
            </w:r>
          </w:p>
        </w:tc>
      </w:tr>
      <w:tr w:rsidR="00B54D51" w:rsidRPr="00037AD4" w14:paraId="7027901B" w14:textId="77777777" w:rsidTr="00401C67">
        <w:tc>
          <w:tcPr>
            <w:tcW w:w="4508" w:type="dxa"/>
          </w:tcPr>
          <w:p w14:paraId="71A72D95"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Cut from environment*</w:t>
            </w:r>
          </w:p>
        </w:tc>
        <w:tc>
          <w:tcPr>
            <w:tcW w:w="4508" w:type="dxa"/>
          </w:tcPr>
          <w:p w14:paraId="358CA876"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Social relations</w:t>
            </w:r>
          </w:p>
        </w:tc>
      </w:tr>
      <w:tr w:rsidR="00B54D51" w:rsidRPr="00037AD4" w14:paraId="16D2B542" w14:textId="77777777" w:rsidTr="00401C67">
        <w:tc>
          <w:tcPr>
            <w:tcW w:w="4508" w:type="dxa"/>
          </w:tcPr>
          <w:p w14:paraId="38D04276"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Things to do without help</w:t>
            </w:r>
          </w:p>
        </w:tc>
        <w:tc>
          <w:tcPr>
            <w:tcW w:w="4508" w:type="dxa"/>
          </w:tcPr>
          <w:p w14:paraId="28927D03"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Having something to do </w:t>
            </w:r>
          </w:p>
        </w:tc>
      </w:tr>
      <w:tr w:rsidR="00B54D51" w:rsidRPr="00037AD4" w14:paraId="63E7E76C" w14:textId="77777777" w:rsidTr="00401C67">
        <w:tc>
          <w:tcPr>
            <w:tcW w:w="4508" w:type="dxa"/>
          </w:tcPr>
          <w:p w14:paraId="2C805E4C"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Asks for help </w:t>
            </w:r>
          </w:p>
        </w:tc>
        <w:tc>
          <w:tcPr>
            <w:tcW w:w="4508" w:type="dxa"/>
          </w:tcPr>
          <w:p w14:paraId="53AE61B9"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Positive self-image </w:t>
            </w:r>
          </w:p>
        </w:tc>
      </w:tr>
      <w:tr w:rsidR="00B54D51" w:rsidRPr="00037AD4" w14:paraId="73236B18" w14:textId="77777777" w:rsidTr="00401C67">
        <w:tc>
          <w:tcPr>
            <w:tcW w:w="4508" w:type="dxa"/>
          </w:tcPr>
          <w:p w14:paraId="52A605AE"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Locked up</w:t>
            </w:r>
          </w:p>
        </w:tc>
        <w:tc>
          <w:tcPr>
            <w:tcW w:w="4508" w:type="dxa"/>
          </w:tcPr>
          <w:p w14:paraId="4634D02F"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Feeling at home</w:t>
            </w:r>
          </w:p>
        </w:tc>
      </w:tr>
      <w:tr w:rsidR="00B54D51" w:rsidRPr="00037AD4" w14:paraId="6E09297A" w14:textId="77777777" w:rsidTr="00401C67">
        <w:tc>
          <w:tcPr>
            <w:tcW w:w="4508" w:type="dxa"/>
          </w:tcPr>
          <w:p w14:paraId="30D0779F"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Friendly with 1+ resident </w:t>
            </w:r>
          </w:p>
        </w:tc>
        <w:tc>
          <w:tcPr>
            <w:tcW w:w="4508" w:type="dxa"/>
          </w:tcPr>
          <w:p w14:paraId="4889EB00"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Social relations</w:t>
            </w:r>
          </w:p>
        </w:tc>
      </w:tr>
      <w:tr w:rsidR="00B54D51" w:rsidRPr="00037AD4" w14:paraId="79DEF62D" w14:textId="77777777" w:rsidTr="00401C67">
        <w:tc>
          <w:tcPr>
            <w:tcW w:w="4508" w:type="dxa"/>
          </w:tcPr>
          <w:p w14:paraId="70891C49"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Lays in bed*</w:t>
            </w:r>
          </w:p>
        </w:tc>
        <w:tc>
          <w:tcPr>
            <w:tcW w:w="4508" w:type="dxa"/>
          </w:tcPr>
          <w:p w14:paraId="570F1D2C"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*not defined (not scaled) </w:t>
            </w:r>
          </w:p>
        </w:tc>
      </w:tr>
      <w:tr w:rsidR="00B54D51" w:rsidRPr="00037AD4" w14:paraId="3EEA8D3A" w14:textId="77777777" w:rsidTr="00401C67">
        <w:tc>
          <w:tcPr>
            <w:tcW w:w="4508" w:type="dxa"/>
          </w:tcPr>
          <w:p w14:paraId="79970A57"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Accepts help*</w:t>
            </w:r>
          </w:p>
        </w:tc>
        <w:tc>
          <w:tcPr>
            <w:tcW w:w="4508" w:type="dxa"/>
          </w:tcPr>
          <w:p w14:paraId="32749E52"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Care relationship</w:t>
            </w:r>
          </w:p>
        </w:tc>
      </w:tr>
      <w:tr w:rsidR="00B54D51" w:rsidRPr="00037AD4" w14:paraId="6649BD7A" w14:textId="77777777" w:rsidTr="00401C67">
        <w:tc>
          <w:tcPr>
            <w:tcW w:w="4508" w:type="dxa"/>
          </w:tcPr>
          <w:p w14:paraId="4738B0F4"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Calls out* </w:t>
            </w:r>
          </w:p>
        </w:tc>
        <w:tc>
          <w:tcPr>
            <w:tcW w:w="4508" w:type="dxa"/>
          </w:tcPr>
          <w:p w14:paraId="64E95409"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Social isolation</w:t>
            </w:r>
          </w:p>
        </w:tc>
      </w:tr>
      <w:tr w:rsidR="00B54D51" w:rsidRPr="00037AD4" w14:paraId="41165062" w14:textId="77777777" w:rsidTr="00401C67">
        <w:tc>
          <w:tcPr>
            <w:tcW w:w="4508" w:type="dxa"/>
          </w:tcPr>
          <w:p w14:paraId="35F6D3DA"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Criticizes  </w:t>
            </w:r>
          </w:p>
        </w:tc>
        <w:tc>
          <w:tcPr>
            <w:tcW w:w="4508" w:type="dxa"/>
          </w:tcPr>
          <w:p w14:paraId="592A2690"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Care relationship</w:t>
            </w:r>
          </w:p>
        </w:tc>
      </w:tr>
      <w:tr w:rsidR="00B54D51" w:rsidRPr="00037AD4" w14:paraId="5D3C771B" w14:textId="77777777" w:rsidTr="00401C67">
        <w:tc>
          <w:tcPr>
            <w:tcW w:w="4508" w:type="dxa"/>
          </w:tcPr>
          <w:p w14:paraId="101692ED"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Ease in company</w:t>
            </w:r>
          </w:p>
        </w:tc>
        <w:tc>
          <w:tcPr>
            <w:tcW w:w="4508" w:type="dxa"/>
          </w:tcPr>
          <w:p w14:paraId="4D0F40F9"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Social relations</w:t>
            </w:r>
          </w:p>
        </w:tc>
      </w:tr>
      <w:tr w:rsidR="00B54D51" w:rsidRPr="00037AD4" w14:paraId="3C0441C2" w14:textId="77777777" w:rsidTr="00401C67">
        <w:tc>
          <w:tcPr>
            <w:tcW w:w="4508" w:type="dxa"/>
          </w:tcPr>
          <w:p w14:paraId="73B2412A"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Not able to do anything</w:t>
            </w:r>
          </w:p>
        </w:tc>
        <w:tc>
          <w:tcPr>
            <w:tcW w:w="4508" w:type="dxa"/>
          </w:tcPr>
          <w:p w14:paraId="187AD9DA"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Positive self-image</w:t>
            </w:r>
          </w:p>
        </w:tc>
      </w:tr>
      <w:tr w:rsidR="00B54D51" w:rsidRPr="00037AD4" w14:paraId="5D6F8414" w14:textId="77777777" w:rsidTr="00401C67">
        <w:tc>
          <w:tcPr>
            <w:tcW w:w="4508" w:type="dxa"/>
          </w:tcPr>
          <w:p w14:paraId="0A5B86D9"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Feels at home</w:t>
            </w:r>
          </w:p>
        </w:tc>
        <w:tc>
          <w:tcPr>
            <w:tcW w:w="4508" w:type="dxa"/>
          </w:tcPr>
          <w:p w14:paraId="7450DE5D"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Feeling at home</w:t>
            </w:r>
          </w:p>
        </w:tc>
      </w:tr>
      <w:tr w:rsidR="00B54D51" w:rsidRPr="00037AD4" w14:paraId="3DD0F115" w14:textId="77777777" w:rsidTr="00401C67">
        <w:tc>
          <w:tcPr>
            <w:tcW w:w="4508" w:type="dxa"/>
          </w:tcPr>
          <w:p w14:paraId="1A2ADB7E"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Worthlessness </w:t>
            </w:r>
          </w:p>
        </w:tc>
        <w:tc>
          <w:tcPr>
            <w:tcW w:w="4508" w:type="dxa"/>
          </w:tcPr>
          <w:p w14:paraId="79333DA6"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Positive self-image</w:t>
            </w:r>
          </w:p>
        </w:tc>
      </w:tr>
      <w:tr w:rsidR="00B54D51" w:rsidRPr="00037AD4" w14:paraId="03EE42EF" w14:textId="77777777" w:rsidTr="00401C67">
        <w:tc>
          <w:tcPr>
            <w:tcW w:w="4508" w:type="dxa"/>
          </w:tcPr>
          <w:p w14:paraId="13BD7C23"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Helps with chores </w:t>
            </w:r>
          </w:p>
        </w:tc>
        <w:tc>
          <w:tcPr>
            <w:tcW w:w="4508" w:type="dxa"/>
          </w:tcPr>
          <w:p w14:paraId="67500575"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Having something to do</w:t>
            </w:r>
          </w:p>
        </w:tc>
      </w:tr>
      <w:tr w:rsidR="00B54D51" w:rsidRPr="00037AD4" w14:paraId="217A267F" w14:textId="77777777" w:rsidTr="00401C67">
        <w:tc>
          <w:tcPr>
            <w:tcW w:w="4508" w:type="dxa"/>
          </w:tcPr>
          <w:p w14:paraId="668A6DBD"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Wants off the ward </w:t>
            </w:r>
          </w:p>
        </w:tc>
        <w:tc>
          <w:tcPr>
            <w:tcW w:w="4508" w:type="dxa"/>
          </w:tcPr>
          <w:p w14:paraId="67A0DE39"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Feeling at home</w:t>
            </w:r>
          </w:p>
        </w:tc>
      </w:tr>
      <w:tr w:rsidR="00B54D51" w:rsidRPr="00037AD4" w14:paraId="6561ABF7" w14:textId="77777777" w:rsidTr="00401C67">
        <w:tc>
          <w:tcPr>
            <w:tcW w:w="4508" w:type="dxa"/>
          </w:tcPr>
          <w:p w14:paraId="66239E4A"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Positive mood*</w:t>
            </w:r>
          </w:p>
        </w:tc>
        <w:tc>
          <w:tcPr>
            <w:tcW w:w="4508" w:type="dxa"/>
          </w:tcPr>
          <w:p w14:paraId="7F7C7A02"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Positive affect</w:t>
            </w:r>
          </w:p>
        </w:tc>
      </w:tr>
    </w:tbl>
    <w:p w14:paraId="6F0F0BB4" w14:textId="77777777" w:rsidR="00B54D51" w:rsidRPr="00037AD4" w:rsidRDefault="00B54D51" w:rsidP="001D7ACE">
      <w:pPr>
        <w:pStyle w:val="EndNoteBibliography"/>
        <w:rPr>
          <w:rFonts w:asciiTheme="minorHAnsi" w:hAnsiTheme="minorHAnsi" w:cstheme="minorHAnsi"/>
          <w:b/>
          <w:bCs/>
          <w:u w:val="single"/>
          <w:lang w:val="en-GB"/>
        </w:rPr>
      </w:pPr>
    </w:p>
    <w:p w14:paraId="2F40E497" w14:textId="77777777" w:rsidR="00B54D51" w:rsidRPr="00037AD4" w:rsidRDefault="00B54D51" w:rsidP="007A43F9">
      <w:pPr>
        <w:pStyle w:val="Heading2"/>
      </w:pPr>
      <w:bookmarkStart w:id="467" w:name="A32"/>
      <w:bookmarkStart w:id="468" w:name="_Toc175742396"/>
      <w:r w:rsidRPr="00037AD4">
        <w:t>Appendix 3.2 Summary of reviewing the literature for content validity and feasibility evidence of HRQoL measures in dementia populations</w:t>
      </w:r>
      <w:bookmarkEnd w:id="468"/>
      <w:r w:rsidRPr="00037AD4">
        <w:t xml:space="preserve"> </w:t>
      </w:r>
    </w:p>
    <w:bookmarkEnd w:id="467"/>
    <w:p w14:paraId="678E336B" w14:textId="77777777" w:rsidR="00B54D51" w:rsidRPr="00037AD4" w:rsidRDefault="00B54D51" w:rsidP="001D7ACE">
      <w:pPr>
        <w:rPr>
          <w:rFonts w:asciiTheme="minorHAnsi" w:hAnsiTheme="minorHAnsi" w:cstheme="minorHAnsi"/>
          <w:b/>
          <w:bCs/>
          <w:u w:val="single"/>
        </w:rPr>
      </w:pPr>
    </w:p>
    <w:p w14:paraId="55578369" w14:textId="77777777" w:rsidR="00B54D51" w:rsidRPr="00037AD4" w:rsidRDefault="00B54D51" w:rsidP="001D7ACE">
      <w:pPr>
        <w:rPr>
          <w:rFonts w:asciiTheme="minorHAnsi" w:hAnsiTheme="minorHAnsi" w:cstheme="minorHAnsi"/>
          <w:u w:val="single"/>
        </w:rPr>
      </w:pPr>
      <w:r w:rsidRPr="00037AD4">
        <w:rPr>
          <w:rFonts w:asciiTheme="minorHAnsi" w:hAnsiTheme="minorHAnsi" w:cstheme="minorHAnsi"/>
          <w:u w:val="single"/>
        </w:rPr>
        <w:t xml:space="preserve">Summary of the literature on content validity </w:t>
      </w:r>
    </w:p>
    <w:p w14:paraId="1959306F" w14:textId="77777777" w:rsidR="00B54D51" w:rsidRPr="00037AD4" w:rsidRDefault="00B54D51" w:rsidP="001D7ACE">
      <w:pPr>
        <w:rPr>
          <w:rFonts w:asciiTheme="minorHAnsi" w:hAnsiTheme="minorHAnsi" w:cstheme="minorHAnsi"/>
          <w:u w:val="single"/>
        </w:rPr>
      </w:pPr>
    </w:p>
    <w:p w14:paraId="0DA3CB46" w14:textId="77777777" w:rsidR="00B54D51" w:rsidRPr="00037AD4" w:rsidRDefault="00B54D51" w:rsidP="001D7ACE">
      <w:pPr>
        <w:rPr>
          <w:rFonts w:asciiTheme="minorHAnsi" w:hAnsiTheme="minorHAnsi" w:cstheme="minorHAnsi"/>
        </w:rPr>
      </w:pPr>
      <w:r w:rsidRPr="00037AD4">
        <w:rPr>
          <w:rFonts w:asciiTheme="minorHAnsi" w:hAnsiTheme="minorHAnsi" w:cstheme="minorHAnsi"/>
        </w:rPr>
        <w:t xml:space="preserve">Literature searching identified a recent (2020) and comprehensive article that used qualitative research methods to explore the content validity of PBMs in dementia </w:t>
      </w:r>
      <w:r>
        <w:rPr>
          <w:rFonts w:asciiTheme="minorHAnsi" w:hAnsiTheme="minorHAnsi" w:cstheme="minorHAnsi"/>
          <w:noProof/>
        </w:rPr>
        <w:t>(Engel et al., 2020)</w:t>
      </w:r>
      <w:r w:rsidRPr="00037AD4">
        <w:rPr>
          <w:rFonts w:asciiTheme="minorHAnsi" w:hAnsiTheme="minorHAnsi" w:cstheme="minorHAnsi"/>
        </w:rPr>
        <w:t>. The authors conducted focus groups and interviews with PwD and caregivers and first explored their general understanding of QoL, and the impact of dementia upon it. This exercise indicated domains of QoL that are considered important to PwD and caregivers. Following this, participants assessed a mix of generic (EQ-5D-5L and AQoL-8D) and dementia specific (DEMQoL-U and AD-5D) QoL measures, and broader measures of wellbeing (ICECAP-</w:t>
      </w:r>
      <w:r w:rsidRPr="00037AD4">
        <w:rPr>
          <w:rFonts w:asciiTheme="minorHAnsi" w:hAnsiTheme="minorHAnsi" w:cstheme="minorHAnsi"/>
        </w:rPr>
        <w:lastRenderedPageBreak/>
        <w:t>O and ASCOT) for content and face validity. The following nine domain themes were identified by participants as central</w:t>
      </w:r>
      <w:r w:rsidRPr="00037AD4">
        <w:rPr>
          <w:rFonts w:asciiTheme="minorHAnsi" w:hAnsiTheme="minorHAnsi" w:cstheme="minorHAnsi"/>
          <w:i/>
          <w:iCs/>
        </w:rPr>
        <w:t>: activity, autonomy, cognition, communication, coping, emotions, end-of-life, physical functioning and relationships</w:t>
      </w:r>
      <w:r w:rsidRPr="00037AD4">
        <w:rPr>
          <w:rFonts w:asciiTheme="minorHAnsi" w:hAnsiTheme="minorHAnsi" w:cstheme="minorHAnsi"/>
        </w:rPr>
        <w:t xml:space="preserve"> </w:t>
      </w:r>
      <w:r>
        <w:rPr>
          <w:rFonts w:asciiTheme="minorHAnsi" w:hAnsiTheme="minorHAnsi" w:cstheme="minorHAnsi"/>
          <w:noProof/>
        </w:rPr>
        <w:t>(Engel et al., 2020)</w:t>
      </w:r>
      <w:r w:rsidRPr="00037AD4">
        <w:rPr>
          <w:rFonts w:asciiTheme="minorHAnsi" w:hAnsiTheme="minorHAnsi" w:cstheme="minorHAnsi"/>
        </w:rPr>
        <w:t xml:space="preserve">. </w:t>
      </w:r>
    </w:p>
    <w:p w14:paraId="5FB9F1B4" w14:textId="77777777" w:rsidR="00B54D51" w:rsidRPr="00037AD4" w:rsidRDefault="00B54D51" w:rsidP="001D7ACE">
      <w:pPr>
        <w:rPr>
          <w:rFonts w:asciiTheme="minorHAnsi" w:hAnsiTheme="minorHAnsi" w:cstheme="minorHAnsi"/>
        </w:rPr>
      </w:pPr>
    </w:p>
    <w:p w14:paraId="7B7A65D9" w14:textId="77777777" w:rsidR="00B54D51" w:rsidRPr="00037AD4" w:rsidRDefault="00B54D51" w:rsidP="001D7ACE">
      <w:pPr>
        <w:rPr>
          <w:rFonts w:asciiTheme="minorHAnsi" w:hAnsiTheme="minorHAnsi" w:cstheme="minorHAnsi"/>
        </w:rPr>
      </w:pPr>
      <w:r w:rsidRPr="00037AD4">
        <w:rPr>
          <w:rFonts w:asciiTheme="minorHAnsi" w:hAnsiTheme="minorHAnsi" w:cstheme="minorHAnsi"/>
        </w:rPr>
        <w:t xml:space="preserve">It was reported that none of the six PBMs captured all of the QoL domains that were identified as important, distinctly the measures captured </w:t>
      </w:r>
      <w:r w:rsidRPr="00037AD4">
        <w:rPr>
          <w:rFonts w:asciiTheme="minorHAnsi" w:hAnsiTheme="minorHAnsi" w:cstheme="minorHAnsi"/>
          <w:i/>
          <w:iCs/>
        </w:rPr>
        <w:t>some</w:t>
      </w:r>
      <w:r w:rsidRPr="00037AD4">
        <w:rPr>
          <w:rFonts w:asciiTheme="minorHAnsi" w:hAnsiTheme="minorHAnsi" w:cstheme="minorHAnsi"/>
        </w:rPr>
        <w:t xml:space="preserve"> of the domains but not all of them. This premise is reinforced by the findings of a review of utility-based instruments for PwD</w:t>
      </w:r>
      <w:r>
        <w:rPr>
          <w:rFonts w:asciiTheme="minorHAnsi" w:hAnsiTheme="minorHAnsi" w:cstheme="minorHAnsi"/>
          <w:noProof/>
        </w:rPr>
        <w:t>(Li et al., 2018)</w:t>
      </w:r>
      <w:r w:rsidRPr="00037AD4">
        <w:rPr>
          <w:rFonts w:asciiTheme="minorHAnsi" w:hAnsiTheme="minorHAnsi" w:cstheme="minorHAnsi"/>
        </w:rPr>
        <w:t xml:space="preserve">. Here, the authors reported that there was a divergence of domains highlighted by PwD and their caregivers and the content of three generic PBMs– EQ-5D, HUI2/3 and QWB. The original study found that there were 44 and 45 QoL domains highlighted by PwD and caregivers respectively, whereby 33 domains overlapped. These 33 domains were collapsed under the following 6 broad domain headings: </w:t>
      </w:r>
      <w:r w:rsidRPr="00037AD4">
        <w:rPr>
          <w:rFonts w:asciiTheme="minorHAnsi" w:hAnsiTheme="minorHAnsi" w:cstheme="minorHAnsi"/>
          <w:i/>
          <w:iCs/>
        </w:rPr>
        <w:t>global impression of QoL, disease-specific physical well-being, social/family well-being, emotional well-being, functional well-being</w:t>
      </w:r>
      <w:r w:rsidRPr="00037AD4">
        <w:rPr>
          <w:rFonts w:asciiTheme="minorHAnsi" w:hAnsiTheme="minorHAnsi" w:cstheme="minorHAnsi"/>
        </w:rPr>
        <w:t xml:space="preserve"> and</w:t>
      </w:r>
      <w:r w:rsidRPr="00037AD4">
        <w:rPr>
          <w:rFonts w:asciiTheme="minorHAnsi" w:hAnsiTheme="minorHAnsi" w:cstheme="minorHAnsi"/>
          <w:i/>
          <w:iCs/>
        </w:rPr>
        <w:t xml:space="preserve"> cognition</w:t>
      </w:r>
      <w:r w:rsidRPr="00037AD4">
        <w:rPr>
          <w:rFonts w:asciiTheme="minorHAnsi" w:hAnsiTheme="minorHAnsi" w:cstheme="minorHAnsi"/>
        </w:rPr>
        <w:t xml:space="preserve"> </w:t>
      </w:r>
      <w:r>
        <w:rPr>
          <w:rFonts w:asciiTheme="minorHAnsi" w:hAnsiTheme="minorHAnsi" w:cstheme="minorHAnsi"/>
          <w:noProof/>
        </w:rPr>
        <w:t>(Silberfeld et al., 2002)</w:t>
      </w:r>
      <w:r w:rsidRPr="00037AD4">
        <w:rPr>
          <w:rFonts w:asciiTheme="minorHAnsi" w:hAnsiTheme="minorHAnsi" w:cstheme="minorHAnsi"/>
        </w:rPr>
        <w:t xml:space="preserve">. It was found that the QWB contained the most individual domains (n=25), making it the most favourable measure of the three measures in terms of content validity (EQ-5D, n=10; HUI3, n=11) </w:t>
      </w:r>
      <w:r>
        <w:rPr>
          <w:rFonts w:asciiTheme="minorHAnsi" w:hAnsiTheme="minorHAnsi" w:cstheme="minorHAnsi"/>
          <w:noProof/>
        </w:rPr>
        <w:t>(Silberfeld et al., 2002)</w:t>
      </w:r>
      <w:r w:rsidRPr="00037AD4">
        <w:rPr>
          <w:rFonts w:asciiTheme="minorHAnsi" w:hAnsiTheme="minorHAnsi" w:cstheme="minorHAnsi"/>
        </w:rPr>
        <w:t xml:space="preserve">. </w:t>
      </w:r>
    </w:p>
    <w:p w14:paraId="21A21F68" w14:textId="77777777" w:rsidR="00B54D51" w:rsidRPr="00037AD4" w:rsidRDefault="00B54D51" w:rsidP="001D7ACE">
      <w:pPr>
        <w:rPr>
          <w:rFonts w:asciiTheme="minorHAnsi" w:hAnsiTheme="minorHAnsi" w:cstheme="minorHAnsi"/>
        </w:rPr>
      </w:pPr>
    </w:p>
    <w:p w14:paraId="639BB012" w14:textId="77777777" w:rsidR="00B54D51" w:rsidRPr="00037AD4" w:rsidRDefault="00B54D51" w:rsidP="001D7ACE">
      <w:pPr>
        <w:rPr>
          <w:rFonts w:asciiTheme="minorHAnsi" w:hAnsiTheme="minorHAnsi" w:cstheme="minorHAnsi"/>
        </w:rPr>
      </w:pPr>
      <w:r w:rsidRPr="00037AD4">
        <w:rPr>
          <w:rFonts w:asciiTheme="minorHAnsi" w:hAnsiTheme="minorHAnsi" w:cstheme="minorHAnsi"/>
        </w:rPr>
        <w:t xml:space="preserve">Literature searching identified two further reviews that explored factors that influence QoL in PwD </w:t>
      </w:r>
      <w:r>
        <w:rPr>
          <w:rFonts w:asciiTheme="minorHAnsi" w:hAnsiTheme="minorHAnsi" w:cstheme="minorHAnsi"/>
          <w:noProof/>
        </w:rPr>
        <w:t>(Jing et al., 2016, O'rourke et al., 2015)</w:t>
      </w:r>
      <w:r w:rsidRPr="00037AD4">
        <w:rPr>
          <w:rFonts w:asciiTheme="minorHAnsi" w:hAnsiTheme="minorHAnsi" w:cstheme="minorHAnsi"/>
        </w:rPr>
        <w:t xml:space="preserve">. One of which conducted a meta-synthesis of qualitative studies and grey literature with the aim of identifying, from the perspective of the PwD themselves, factors that affect QoL. The authors identified the following four factors, that even in the situation of progressing cognition, have the potential to impact QoL for the PwD: </w:t>
      </w:r>
      <w:r w:rsidRPr="00037AD4">
        <w:rPr>
          <w:rFonts w:asciiTheme="minorHAnsi" w:hAnsiTheme="minorHAnsi" w:cstheme="minorHAnsi"/>
          <w:i/>
          <w:iCs/>
        </w:rPr>
        <w:t xml:space="preserve">relationships, agency in life today, wellness perspective </w:t>
      </w:r>
      <w:r w:rsidRPr="00037AD4">
        <w:rPr>
          <w:rFonts w:asciiTheme="minorHAnsi" w:hAnsiTheme="minorHAnsi" w:cstheme="minorHAnsi"/>
        </w:rPr>
        <w:t>and</w:t>
      </w:r>
      <w:r w:rsidRPr="00037AD4">
        <w:rPr>
          <w:rFonts w:asciiTheme="minorHAnsi" w:hAnsiTheme="minorHAnsi" w:cstheme="minorHAnsi"/>
          <w:i/>
          <w:iCs/>
        </w:rPr>
        <w:t xml:space="preserve"> sense of place</w:t>
      </w:r>
      <w:r w:rsidRPr="00037AD4">
        <w:rPr>
          <w:rFonts w:asciiTheme="minorHAnsi" w:hAnsiTheme="minorHAnsi" w:cstheme="minorHAnsi"/>
        </w:rPr>
        <w:t xml:space="preserve"> </w:t>
      </w:r>
      <w:r>
        <w:rPr>
          <w:rFonts w:asciiTheme="minorHAnsi" w:hAnsiTheme="minorHAnsi" w:cstheme="minorHAnsi"/>
          <w:noProof/>
        </w:rPr>
        <w:t>(O'rourke et al., 2015)</w:t>
      </w:r>
      <w:r w:rsidRPr="00037AD4">
        <w:rPr>
          <w:rFonts w:asciiTheme="minorHAnsi" w:hAnsiTheme="minorHAnsi" w:cstheme="minorHAnsi"/>
        </w:rPr>
        <w:t xml:space="preserve">. This article highlights the importance of non-health related domains of QoL to PwD. </w:t>
      </w:r>
    </w:p>
    <w:p w14:paraId="66BE93D4" w14:textId="77777777" w:rsidR="00B54D51" w:rsidRPr="00037AD4" w:rsidRDefault="00B54D51" w:rsidP="001D7ACE">
      <w:pPr>
        <w:rPr>
          <w:rFonts w:asciiTheme="minorHAnsi" w:hAnsiTheme="minorHAnsi" w:cstheme="minorHAnsi"/>
        </w:rPr>
      </w:pPr>
    </w:p>
    <w:p w14:paraId="383A1E6F" w14:textId="77777777" w:rsidR="00B54D51" w:rsidRPr="00037AD4" w:rsidRDefault="00B54D51" w:rsidP="001D7ACE">
      <w:pPr>
        <w:rPr>
          <w:rFonts w:asciiTheme="minorHAnsi" w:hAnsiTheme="minorHAnsi" w:cstheme="minorHAnsi"/>
        </w:rPr>
      </w:pPr>
      <w:r w:rsidRPr="00037AD4">
        <w:rPr>
          <w:rFonts w:asciiTheme="minorHAnsi" w:hAnsiTheme="minorHAnsi" w:cstheme="minorHAnsi"/>
        </w:rPr>
        <w:t xml:space="preserve">The other identified review conducted a systematic search of literature related to QoL and dementia between 2000 – 2015 </w:t>
      </w:r>
      <w:r>
        <w:rPr>
          <w:rFonts w:asciiTheme="minorHAnsi" w:hAnsiTheme="minorHAnsi" w:cstheme="minorHAnsi"/>
          <w:noProof/>
        </w:rPr>
        <w:t>(Jing et al., 2016)</w:t>
      </w:r>
      <w:r w:rsidRPr="00037AD4">
        <w:rPr>
          <w:rFonts w:asciiTheme="minorHAnsi" w:hAnsiTheme="minorHAnsi" w:cstheme="minorHAnsi"/>
        </w:rPr>
        <w:t xml:space="preserve">. The authors commented on the complexity in how factors interplay with the residential setting of the person; environmental factors (e.g., familiar objects and access to open windows) played a more central role to institutionalised people, whereas religion seemed a predominant influence only to those that are community dwelling. Overlapping factors (impacting both institutionalised and community dwelling PwD) were </w:t>
      </w:r>
      <w:r w:rsidRPr="00037AD4">
        <w:rPr>
          <w:rFonts w:asciiTheme="minorHAnsi" w:hAnsiTheme="minorHAnsi" w:cstheme="minorHAnsi"/>
          <w:i/>
          <w:iCs/>
        </w:rPr>
        <w:t xml:space="preserve">functional independence, challenging behaviours, general health, cognition, neuropsychiatric symptoms i.e., mood and depression, relationship, social interaction, finances </w:t>
      </w:r>
      <w:r w:rsidRPr="00037AD4">
        <w:rPr>
          <w:rFonts w:asciiTheme="minorHAnsi" w:hAnsiTheme="minorHAnsi" w:cstheme="minorHAnsi"/>
        </w:rPr>
        <w:t>and</w:t>
      </w:r>
      <w:r w:rsidRPr="00037AD4">
        <w:rPr>
          <w:rFonts w:asciiTheme="minorHAnsi" w:hAnsiTheme="minorHAnsi" w:cstheme="minorHAnsi"/>
          <w:i/>
          <w:iCs/>
        </w:rPr>
        <w:t xml:space="preserve"> taking psychotropic medication</w:t>
      </w:r>
      <w:r w:rsidRPr="00037AD4">
        <w:rPr>
          <w:rFonts w:asciiTheme="minorHAnsi" w:hAnsiTheme="minorHAnsi" w:cstheme="minorHAnsi"/>
        </w:rPr>
        <w:t xml:space="preserve"> </w:t>
      </w:r>
      <w:r>
        <w:rPr>
          <w:rFonts w:asciiTheme="minorHAnsi" w:hAnsiTheme="minorHAnsi" w:cstheme="minorHAnsi"/>
          <w:noProof/>
        </w:rPr>
        <w:t>(Jing et al., 2016)</w:t>
      </w:r>
      <w:r w:rsidRPr="00037AD4">
        <w:rPr>
          <w:rFonts w:asciiTheme="minorHAnsi" w:hAnsiTheme="minorHAnsi" w:cstheme="minorHAnsi"/>
        </w:rPr>
        <w:t xml:space="preserve">. The authors also aimed to identify specific influences by stages of severity however were not able to due to lack of evidence across disease stages. Both studies provide rich insight into the multidimensional nature of QoL in the context of dementia, however their objectives were not what should constitute QoL measurement, but rather what affects QoL. </w:t>
      </w:r>
    </w:p>
    <w:p w14:paraId="28AE49D0" w14:textId="77777777" w:rsidR="00B54D51" w:rsidRPr="00037AD4" w:rsidRDefault="00B54D51" w:rsidP="001D7ACE">
      <w:pPr>
        <w:rPr>
          <w:rFonts w:asciiTheme="minorHAnsi" w:hAnsiTheme="minorHAnsi" w:cstheme="minorHAnsi"/>
        </w:rPr>
      </w:pPr>
    </w:p>
    <w:p w14:paraId="415280F6" w14:textId="77777777" w:rsidR="00B54D51" w:rsidRPr="00037AD4" w:rsidRDefault="00B54D51" w:rsidP="001D7ACE">
      <w:pPr>
        <w:rPr>
          <w:rFonts w:asciiTheme="minorHAnsi" w:hAnsiTheme="minorHAnsi" w:cstheme="minorHAnsi"/>
          <w:color w:val="000000" w:themeColor="text1"/>
        </w:rPr>
      </w:pPr>
      <w:r w:rsidRPr="00037AD4">
        <w:rPr>
          <w:rFonts w:asciiTheme="minorHAnsi" w:hAnsiTheme="minorHAnsi" w:cstheme="minorHAnsi"/>
          <w:color w:val="000000" w:themeColor="text1"/>
        </w:rPr>
        <w:t xml:space="preserve">A review of HRQoL instruments in Alzheimer’s disease and mixed dementia identified 15 dementia-specific measures (search conducted up to December 2011) </w:t>
      </w:r>
      <w:r>
        <w:rPr>
          <w:rFonts w:asciiTheme="minorHAnsi" w:hAnsiTheme="minorHAnsi" w:cstheme="minorHAnsi"/>
          <w:noProof/>
          <w:color w:val="000000" w:themeColor="text1"/>
        </w:rPr>
        <w:t>(Perales et al., 2013)</w:t>
      </w:r>
      <w:r w:rsidRPr="00037AD4">
        <w:rPr>
          <w:rFonts w:asciiTheme="minorHAnsi" w:hAnsiTheme="minorHAnsi" w:cstheme="minorHAnsi"/>
          <w:color w:val="000000" w:themeColor="text1"/>
        </w:rPr>
        <w:t xml:space="preserve">. The authors reported factors such as country of development, scoring and data collection method (i.e., proxy, patient, or researcher observation), as influencing the homogeneity between measures. The most frequently included domains across the identified measures were </w:t>
      </w:r>
      <w:r w:rsidRPr="00037AD4">
        <w:rPr>
          <w:rFonts w:asciiTheme="minorHAnsi" w:hAnsiTheme="minorHAnsi" w:cstheme="minorHAnsi"/>
          <w:i/>
          <w:iCs/>
          <w:color w:val="000000" w:themeColor="text1"/>
        </w:rPr>
        <w:t xml:space="preserve">mood, self-esteem, social interaction, </w:t>
      </w:r>
      <w:r w:rsidRPr="00037AD4">
        <w:rPr>
          <w:rFonts w:asciiTheme="minorHAnsi" w:hAnsiTheme="minorHAnsi" w:cstheme="minorHAnsi"/>
          <w:color w:val="000000" w:themeColor="text1"/>
        </w:rPr>
        <w:t>and</w:t>
      </w:r>
      <w:r w:rsidRPr="00037AD4">
        <w:rPr>
          <w:rFonts w:asciiTheme="minorHAnsi" w:hAnsiTheme="minorHAnsi" w:cstheme="minorHAnsi"/>
          <w:i/>
          <w:iCs/>
          <w:color w:val="000000" w:themeColor="text1"/>
        </w:rPr>
        <w:t xml:space="preserve"> enjoyment of activities</w:t>
      </w:r>
      <w:r w:rsidRPr="00037AD4">
        <w:rPr>
          <w:rFonts w:asciiTheme="minorHAnsi" w:hAnsiTheme="minorHAnsi" w:cstheme="minorHAnsi"/>
          <w:color w:val="000000" w:themeColor="text1"/>
        </w:rPr>
        <w:t xml:space="preserve">. Other recurring </w:t>
      </w:r>
      <w:r w:rsidRPr="00037AD4">
        <w:rPr>
          <w:rFonts w:asciiTheme="minorHAnsi" w:hAnsiTheme="minorHAnsi" w:cstheme="minorHAnsi"/>
          <w:color w:val="000000" w:themeColor="text1"/>
        </w:rPr>
        <w:lastRenderedPageBreak/>
        <w:t xml:space="preserve">domains were </w:t>
      </w:r>
      <w:r w:rsidRPr="00037AD4">
        <w:rPr>
          <w:rFonts w:asciiTheme="minorHAnsi" w:hAnsiTheme="minorHAnsi" w:cstheme="minorHAnsi"/>
          <w:i/>
          <w:iCs/>
          <w:color w:val="000000" w:themeColor="text1"/>
        </w:rPr>
        <w:t>cognitive ability, activities of daily living, health, living conditions and sense of usefulness</w:t>
      </w:r>
      <w:r w:rsidRPr="00037AD4">
        <w:rPr>
          <w:rFonts w:asciiTheme="minorHAnsi" w:hAnsiTheme="minorHAnsi" w:cstheme="minorHAnsi"/>
          <w:color w:val="000000" w:themeColor="text1"/>
        </w:rPr>
        <w:t xml:space="preserve"> </w:t>
      </w:r>
      <w:r>
        <w:rPr>
          <w:rFonts w:asciiTheme="minorHAnsi" w:hAnsiTheme="minorHAnsi" w:cstheme="minorHAnsi"/>
          <w:noProof/>
          <w:color w:val="000000" w:themeColor="text1"/>
        </w:rPr>
        <w:t>(Perales et al., 2013)</w:t>
      </w:r>
      <w:r w:rsidRPr="00037AD4">
        <w:rPr>
          <w:rFonts w:asciiTheme="minorHAnsi" w:hAnsiTheme="minorHAnsi" w:cstheme="minorHAnsi"/>
          <w:color w:val="000000" w:themeColor="text1"/>
        </w:rPr>
        <w:t xml:space="preserve">. The results of this review emphasized the disparity between measures, and the lack of a conceptual consensus of HRQoL in dementia research. Furthermore, it was highlighted that there is no method for evaluating the different domains across instruments, which therefore limits comparability of studies that utilise different measures. </w:t>
      </w:r>
    </w:p>
    <w:p w14:paraId="152A3363" w14:textId="77777777" w:rsidR="00B54D51" w:rsidRPr="00037AD4" w:rsidRDefault="00B54D51" w:rsidP="001D7ACE">
      <w:pPr>
        <w:rPr>
          <w:rFonts w:asciiTheme="minorHAnsi" w:hAnsiTheme="minorHAnsi" w:cstheme="minorHAnsi"/>
        </w:rPr>
      </w:pPr>
    </w:p>
    <w:p w14:paraId="0F022486" w14:textId="77777777" w:rsidR="00B54D51" w:rsidRPr="00037AD4" w:rsidRDefault="00B54D51" w:rsidP="001D7ACE">
      <w:pPr>
        <w:rPr>
          <w:rFonts w:asciiTheme="minorHAnsi" w:hAnsiTheme="minorHAnsi" w:cstheme="minorHAnsi"/>
        </w:rPr>
      </w:pPr>
      <w:r w:rsidRPr="00037AD4">
        <w:rPr>
          <w:rFonts w:asciiTheme="minorHAnsi" w:hAnsiTheme="minorHAnsi" w:cstheme="minorHAnsi"/>
        </w:rPr>
        <w:t>The beyond-health measures included in the study by Engel et al (2020)</w:t>
      </w:r>
      <w:r>
        <w:rPr>
          <w:rFonts w:asciiTheme="minorHAnsi" w:hAnsiTheme="minorHAnsi" w:cstheme="minorHAnsi"/>
          <w:noProof/>
        </w:rPr>
        <w:t>(Engel et al., 2020)</w:t>
      </w:r>
      <w:r w:rsidRPr="00037AD4">
        <w:rPr>
          <w:rFonts w:asciiTheme="minorHAnsi" w:hAnsiTheme="minorHAnsi" w:cstheme="minorHAnsi"/>
        </w:rPr>
        <w:t xml:space="preserve"> provided challenging in terms of their face validity. The participants generally found the broader concepts and questions difficult to understand. EQ-5D-5L was found to be well accepted but did not capture domains that are considered important to the population such as cognition and well-being </w:t>
      </w:r>
      <w:r>
        <w:rPr>
          <w:rFonts w:asciiTheme="minorHAnsi" w:hAnsiTheme="minorHAnsi" w:cstheme="minorHAnsi"/>
          <w:noProof/>
        </w:rPr>
        <w:t>(Engel et al., 2020)</w:t>
      </w:r>
      <w:r w:rsidRPr="00037AD4">
        <w:rPr>
          <w:rFonts w:asciiTheme="minorHAnsi" w:hAnsiTheme="minorHAnsi" w:cstheme="minorHAnsi"/>
        </w:rPr>
        <w:t xml:space="preserve">. It may be assumed that the dementia specific measures presented as the most favourable, however the results of the study indicate that key QoL domains such as activity and self-care are not included in them (despite their inclusion in their affiliated non-preference-based measures, DEMQoL and QoL-AD). Overall, AQoL-8D was considered the most extensive of the measures as it included the greatest number of the identified domains </w:t>
      </w:r>
      <w:r>
        <w:rPr>
          <w:rFonts w:asciiTheme="minorHAnsi" w:hAnsiTheme="minorHAnsi" w:cstheme="minorHAnsi"/>
          <w:noProof/>
        </w:rPr>
        <w:t>(Engel et al., 2020)</w:t>
      </w:r>
      <w:r w:rsidRPr="00037AD4">
        <w:rPr>
          <w:rFonts w:asciiTheme="minorHAnsi" w:hAnsiTheme="minorHAnsi" w:cstheme="minorHAnsi"/>
        </w:rPr>
        <w:t>. However, this is a 35-item questionnaire, and this raises issues surrounding feasibility and acceptability in the given population</w:t>
      </w:r>
      <w:r w:rsidRPr="00037AD4">
        <w:rPr>
          <w:rFonts w:asciiTheme="minorHAnsi" w:hAnsiTheme="minorHAnsi" w:cstheme="minorHAnsi"/>
          <w:color w:val="000000" w:themeColor="text1"/>
        </w:rPr>
        <w:t>.</w:t>
      </w:r>
      <w:r w:rsidRPr="00037AD4">
        <w:rPr>
          <w:rFonts w:asciiTheme="minorHAnsi" w:hAnsiTheme="minorHAnsi" w:cstheme="minorHAnsi"/>
          <w:color w:val="FF0000"/>
        </w:rPr>
        <w:t xml:space="preserve"> </w:t>
      </w:r>
    </w:p>
    <w:p w14:paraId="603FEE10" w14:textId="77777777" w:rsidR="00B54D51" w:rsidRPr="00037AD4" w:rsidRDefault="00B54D51" w:rsidP="001D7ACE">
      <w:pPr>
        <w:rPr>
          <w:rFonts w:asciiTheme="minorHAnsi" w:hAnsiTheme="minorHAnsi" w:cstheme="minorHAnsi"/>
          <w:u w:val="single"/>
        </w:rPr>
      </w:pPr>
    </w:p>
    <w:p w14:paraId="0F9CBD4C" w14:textId="77777777" w:rsidR="00B54D51" w:rsidRPr="00037AD4" w:rsidRDefault="00B54D51" w:rsidP="001D7ACE">
      <w:pPr>
        <w:rPr>
          <w:rFonts w:asciiTheme="minorHAnsi" w:hAnsiTheme="minorHAnsi" w:cstheme="minorHAnsi"/>
          <w:u w:val="single"/>
        </w:rPr>
      </w:pPr>
      <w:r w:rsidRPr="00037AD4">
        <w:rPr>
          <w:rFonts w:asciiTheme="minorHAnsi" w:hAnsiTheme="minorHAnsi" w:cstheme="minorHAnsi"/>
          <w:u w:val="single"/>
        </w:rPr>
        <w:t xml:space="preserve">Summary of the literature on feasibility and acceptability </w:t>
      </w:r>
    </w:p>
    <w:p w14:paraId="0B16CC27" w14:textId="77777777" w:rsidR="00B54D51" w:rsidRPr="00037AD4" w:rsidRDefault="00B54D51" w:rsidP="001D7ACE">
      <w:pPr>
        <w:rPr>
          <w:rFonts w:asciiTheme="minorHAnsi" w:hAnsiTheme="minorHAnsi" w:cstheme="minorHAnsi"/>
        </w:rPr>
      </w:pPr>
    </w:p>
    <w:p w14:paraId="04A2A8D9" w14:textId="77777777" w:rsidR="00B54D51" w:rsidRPr="00037AD4" w:rsidRDefault="00B54D51" w:rsidP="001D7ACE">
      <w:pPr>
        <w:rPr>
          <w:rFonts w:asciiTheme="minorHAnsi" w:hAnsiTheme="minorHAnsi" w:cstheme="minorHAnsi"/>
        </w:rPr>
      </w:pPr>
      <w:r w:rsidRPr="00037AD4">
        <w:rPr>
          <w:rFonts w:asciiTheme="minorHAnsi" w:hAnsiTheme="minorHAnsi" w:cstheme="minorHAnsi"/>
        </w:rPr>
        <w:t xml:space="preserve">A review of utility instruments for PwD determined the feasibility of a combination of six dementia-specific and generic utility measures (EQ-5D, HUI2/3, QWB, DEMQoL-U, DEMQoL-Proxy-U, AQoL and 15D) that were detected in the literature as being used to evaluate health state values in dementia populations </w:t>
      </w:r>
      <w:r>
        <w:rPr>
          <w:rFonts w:asciiTheme="minorHAnsi" w:hAnsiTheme="minorHAnsi" w:cstheme="minorHAnsi"/>
          <w:noProof/>
        </w:rPr>
        <w:t>(Li et al., 2018)</w:t>
      </w:r>
      <w:r w:rsidRPr="00037AD4">
        <w:rPr>
          <w:rFonts w:asciiTheme="minorHAnsi" w:hAnsiTheme="minorHAnsi" w:cstheme="minorHAnsi"/>
        </w:rPr>
        <w:t xml:space="preserve">. The authors assessed the instrument’s time to complete, rate of response and proportion of missing items across studies. From this, it was concluded that EQ-5D was the most feasible measure amongst the sample, as it had the lowest time to complete and lowest proportion of missing data, and the greatest rate of completion (self and proxy) </w:t>
      </w:r>
      <w:r>
        <w:rPr>
          <w:rFonts w:asciiTheme="minorHAnsi" w:hAnsiTheme="minorHAnsi" w:cstheme="minorHAnsi"/>
          <w:noProof/>
        </w:rPr>
        <w:t>(Li et al., 2018)</w:t>
      </w:r>
      <w:r w:rsidRPr="00037AD4">
        <w:rPr>
          <w:rFonts w:asciiTheme="minorHAnsi" w:hAnsiTheme="minorHAnsi" w:cstheme="minorHAnsi"/>
        </w:rPr>
        <w:t xml:space="preserve">. </w:t>
      </w:r>
    </w:p>
    <w:p w14:paraId="6F34348B" w14:textId="77777777" w:rsidR="00B54D51" w:rsidRPr="00037AD4" w:rsidRDefault="00B54D51" w:rsidP="001D7ACE">
      <w:pPr>
        <w:rPr>
          <w:rFonts w:asciiTheme="minorHAnsi" w:hAnsiTheme="minorHAnsi" w:cstheme="minorHAnsi"/>
        </w:rPr>
      </w:pPr>
    </w:p>
    <w:p w14:paraId="40D09CAD" w14:textId="77777777" w:rsidR="00B54D51" w:rsidRPr="00037AD4" w:rsidRDefault="00B54D51" w:rsidP="001D7ACE">
      <w:pPr>
        <w:rPr>
          <w:rFonts w:asciiTheme="minorHAnsi" w:hAnsiTheme="minorHAnsi" w:cstheme="minorHAnsi"/>
        </w:rPr>
      </w:pPr>
      <w:r w:rsidRPr="00037AD4">
        <w:rPr>
          <w:rFonts w:asciiTheme="minorHAnsi" w:hAnsiTheme="minorHAnsi" w:cstheme="minorHAnsi"/>
        </w:rPr>
        <w:t>This finding is reinforced in a primary study that compared acceptability of EQ-5D and the QoL-AD using data from a large multicentre observational study of PwD and their caregivers in Germany. The authors reported that EQ-5D-3L</w:t>
      </w:r>
      <w:r w:rsidRPr="00037AD4">
        <w:rPr>
          <w:rFonts w:asciiTheme="minorHAnsi" w:hAnsiTheme="minorHAnsi" w:cstheme="minorHAnsi"/>
          <w:b/>
          <w:bCs/>
        </w:rPr>
        <w:t xml:space="preserve"> </w:t>
      </w:r>
      <w:r w:rsidRPr="00037AD4">
        <w:rPr>
          <w:rFonts w:asciiTheme="minorHAnsi" w:hAnsiTheme="minorHAnsi" w:cstheme="minorHAnsi"/>
        </w:rPr>
        <w:t xml:space="preserve">demonstrated satisfactory acceptability in measuring HRQoL in people with moderate dementia, and that due to its precise nature, it is suitable for use in economic evaluations of dementia interventions </w:t>
      </w:r>
      <w:r>
        <w:rPr>
          <w:rFonts w:asciiTheme="minorHAnsi" w:hAnsiTheme="minorHAnsi" w:cstheme="minorHAnsi"/>
          <w:noProof/>
        </w:rPr>
        <w:t>(Michalowsky et al., 2020)</w:t>
      </w:r>
      <w:r w:rsidRPr="00037AD4">
        <w:rPr>
          <w:rFonts w:asciiTheme="minorHAnsi" w:hAnsiTheme="minorHAnsi" w:cstheme="minorHAnsi"/>
        </w:rPr>
        <w:t xml:space="preserve">. </w:t>
      </w:r>
    </w:p>
    <w:p w14:paraId="1E176D25" w14:textId="77777777" w:rsidR="00B54D51" w:rsidRPr="00037AD4" w:rsidRDefault="00B54D51" w:rsidP="001D7ACE">
      <w:pPr>
        <w:rPr>
          <w:rFonts w:asciiTheme="minorHAnsi" w:hAnsiTheme="minorHAnsi" w:cstheme="minorHAnsi"/>
        </w:rPr>
      </w:pPr>
    </w:p>
    <w:p w14:paraId="03C2E52F" w14:textId="3C9310DB" w:rsidR="00B54D51" w:rsidRPr="00037AD4" w:rsidRDefault="00B54D51" w:rsidP="001D7ACE">
      <w:pPr>
        <w:rPr>
          <w:rFonts w:asciiTheme="minorHAnsi" w:hAnsiTheme="minorHAnsi" w:cstheme="minorHAnsi"/>
        </w:rPr>
      </w:pPr>
      <w:r w:rsidRPr="00037AD4">
        <w:rPr>
          <w:rFonts w:asciiTheme="minorHAnsi" w:hAnsiTheme="minorHAnsi" w:cstheme="minorHAnsi"/>
        </w:rPr>
        <w:t xml:space="preserve">Proxy-ratings provide a route to addressing feasibility and acceptability issues of instruments in dementia populations, this is highlighted across the literature. A qualitative study evaluated the feasibility of routinely measuring QoL of care-home residing people with dementia via care-staff rated DEMQoL-CH (care home). Interviews and focus groups elicited that staff were positive about doing so, and data collected fit acceptability criteria (missingness and floor/ceiling effects within acceptable range). Staff confidence in reporting ability was varied in the </w:t>
      </w:r>
      <w:r w:rsidR="00830480" w:rsidRPr="00037AD4">
        <w:rPr>
          <w:rFonts w:asciiTheme="minorHAnsi" w:hAnsiTheme="minorHAnsi" w:cstheme="minorHAnsi"/>
        </w:rPr>
        <w:t>sample but</w:t>
      </w:r>
      <w:r w:rsidRPr="00037AD4">
        <w:rPr>
          <w:rFonts w:asciiTheme="minorHAnsi" w:hAnsiTheme="minorHAnsi" w:cstheme="minorHAnsi"/>
        </w:rPr>
        <w:t xml:space="preserve"> was directly related to time spent with the PwD</w:t>
      </w:r>
      <w:r>
        <w:rPr>
          <w:rFonts w:asciiTheme="minorHAnsi" w:hAnsiTheme="minorHAnsi" w:cstheme="minorHAnsi"/>
          <w:noProof/>
        </w:rPr>
        <w:t>(Hughes, 2018)</w:t>
      </w:r>
      <w:r w:rsidRPr="00037AD4">
        <w:rPr>
          <w:rFonts w:asciiTheme="minorHAnsi" w:hAnsiTheme="minorHAnsi" w:cstheme="minorHAnsi"/>
        </w:rPr>
        <w:t xml:space="preserve">. </w:t>
      </w:r>
      <w:r w:rsidRPr="00037AD4">
        <w:rPr>
          <w:rFonts w:asciiTheme="minorHAnsi" w:hAnsiTheme="minorHAnsi" w:cstheme="minorHAnsi"/>
          <w:color w:val="000000" w:themeColor="text1"/>
        </w:rPr>
        <w:t xml:space="preserve">Similarly, studies in the wider literature have reported fewer missing data for proxy </w:t>
      </w:r>
      <w:r w:rsidRPr="00037AD4">
        <w:rPr>
          <w:rFonts w:asciiTheme="minorHAnsi" w:hAnsiTheme="minorHAnsi" w:cstheme="minorHAnsi"/>
          <w:color w:val="000000" w:themeColor="text1"/>
        </w:rPr>
        <w:lastRenderedPageBreak/>
        <w:t xml:space="preserve">reporting across various HRQoL measures (vs. self-report) </w:t>
      </w:r>
      <w:r>
        <w:rPr>
          <w:rFonts w:asciiTheme="minorHAnsi" w:hAnsiTheme="minorHAnsi" w:cstheme="minorHAnsi"/>
          <w:noProof/>
          <w:color w:val="000000" w:themeColor="text1"/>
        </w:rPr>
        <w:t>(Kunz, 2010, Harrison et al., 2018, Hoe et al., 2007, Diaz‐Redondo et al., 2014, Gräske et al., 2014, Martin et al., 2019)</w:t>
      </w:r>
      <w:r w:rsidRPr="00037AD4">
        <w:rPr>
          <w:rFonts w:asciiTheme="minorHAnsi" w:hAnsiTheme="minorHAnsi" w:cstheme="minorHAnsi"/>
          <w:color w:val="000000" w:themeColor="text1"/>
        </w:rPr>
        <w:t xml:space="preserve">.  </w:t>
      </w:r>
    </w:p>
    <w:p w14:paraId="113CCA09" w14:textId="77777777" w:rsidR="00B54D51" w:rsidRPr="00037AD4" w:rsidRDefault="00B54D51" w:rsidP="001D7ACE">
      <w:pPr>
        <w:rPr>
          <w:rFonts w:asciiTheme="minorHAnsi" w:hAnsiTheme="minorHAnsi" w:cstheme="minorHAnsi"/>
          <w:b/>
          <w:bCs/>
        </w:rPr>
      </w:pPr>
    </w:p>
    <w:p w14:paraId="641F7F14" w14:textId="77777777" w:rsidR="00B54D51" w:rsidRPr="00037AD4" w:rsidRDefault="00B54D51" w:rsidP="001D7ACE">
      <w:pPr>
        <w:rPr>
          <w:rFonts w:asciiTheme="minorHAnsi" w:hAnsiTheme="minorHAnsi" w:cstheme="minorHAnsi"/>
          <w:u w:val="single"/>
        </w:rPr>
      </w:pPr>
      <w:r w:rsidRPr="00037AD4">
        <w:rPr>
          <w:rFonts w:asciiTheme="minorHAnsi" w:hAnsiTheme="minorHAnsi" w:cstheme="minorHAnsi"/>
          <w:u w:val="single"/>
        </w:rPr>
        <w:t xml:space="preserve">Trade-off between content validity and feasibility and acceptability </w:t>
      </w:r>
    </w:p>
    <w:p w14:paraId="275B0ADE" w14:textId="77777777" w:rsidR="00B54D51" w:rsidRPr="00037AD4" w:rsidRDefault="00B54D51" w:rsidP="001D7ACE">
      <w:pPr>
        <w:rPr>
          <w:rFonts w:asciiTheme="minorHAnsi" w:hAnsiTheme="minorHAnsi" w:cstheme="minorHAnsi"/>
          <w:u w:val="single"/>
        </w:rPr>
      </w:pPr>
    </w:p>
    <w:p w14:paraId="6ABCB000" w14:textId="77777777" w:rsidR="00B54D51" w:rsidRPr="00037AD4" w:rsidRDefault="00B54D51" w:rsidP="001D7ACE">
      <w:pPr>
        <w:rPr>
          <w:rFonts w:asciiTheme="minorHAnsi" w:hAnsiTheme="minorHAnsi" w:cstheme="minorHAnsi"/>
        </w:rPr>
      </w:pPr>
      <w:r w:rsidRPr="00037AD4">
        <w:rPr>
          <w:rFonts w:asciiTheme="minorHAnsi" w:hAnsiTheme="minorHAnsi" w:cstheme="minorHAnsi"/>
        </w:rPr>
        <w:t xml:space="preserve">There are other distinctive trade-offs which need to be evaluated when considering QoL measures in dementia economic evaluations. It is often the case that content validity studies include both PwD and their caregivers. As a result, when reviewing such evidence, it is important to distinguish between attributes highlighted by PwD themselves, and those highlighted by caregivers. They may often overlap; however in the literature is has been seen that different stakeholders emphasise different domains </w:t>
      </w:r>
      <w:r>
        <w:rPr>
          <w:rFonts w:asciiTheme="minorHAnsi" w:hAnsiTheme="minorHAnsi" w:cstheme="minorHAnsi"/>
          <w:noProof/>
        </w:rPr>
        <w:t>(Silberfeld et al., 2002)</w:t>
      </w:r>
      <w:r w:rsidRPr="00037AD4">
        <w:rPr>
          <w:rFonts w:asciiTheme="minorHAnsi" w:hAnsiTheme="minorHAnsi" w:cstheme="minorHAnsi"/>
        </w:rPr>
        <w:t xml:space="preserve">, and that there is a mismatch between what is considered critical to caregivers and to PwD </w:t>
      </w:r>
      <w:r>
        <w:rPr>
          <w:rFonts w:asciiTheme="minorHAnsi" w:hAnsiTheme="minorHAnsi" w:cstheme="minorHAnsi"/>
          <w:noProof/>
        </w:rPr>
        <w:t>(Li et al., 2018)</w:t>
      </w:r>
      <w:r w:rsidRPr="00037AD4">
        <w:rPr>
          <w:rFonts w:asciiTheme="minorHAnsi" w:hAnsiTheme="minorHAnsi" w:cstheme="minorHAnsi"/>
        </w:rPr>
        <w:t xml:space="preserve">. This conflict was encountered when developing the established DEMQoL and DEMQoL-Proxy measures. The conceptual framework development highlighted the need for separate measures, with distinct items, from the perspective of the person with dementia and for caregivers </w:t>
      </w:r>
      <w:r>
        <w:rPr>
          <w:rFonts w:asciiTheme="minorHAnsi" w:hAnsiTheme="minorHAnsi" w:cstheme="minorHAnsi"/>
          <w:noProof/>
        </w:rPr>
        <w:t>(Smith et al., 2005b)</w:t>
      </w:r>
      <w:r w:rsidRPr="00037AD4">
        <w:rPr>
          <w:rFonts w:asciiTheme="minorHAnsi" w:hAnsiTheme="minorHAnsi" w:cstheme="minorHAnsi"/>
        </w:rPr>
        <w:t xml:space="preserve">. Both the DEMQoL and DEMQoL-Proxy also have preference-based measures derived from them, making them candidates for use in economic evaluation. However, having two separate utility estimations leads to the inevitability of policy makers having to differentiate between QALY values elicited via different measures, and orbits the need for a single empirical solution. </w:t>
      </w:r>
    </w:p>
    <w:p w14:paraId="63B8E988" w14:textId="77777777" w:rsidR="00B54D51" w:rsidRPr="00037AD4" w:rsidRDefault="00B54D51" w:rsidP="001D7ACE">
      <w:pPr>
        <w:rPr>
          <w:rFonts w:asciiTheme="minorHAnsi" w:hAnsiTheme="minorHAnsi" w:cstheme="minorHAnsi"/>
          <w:b/>
          <w:bCs/>
          <w:u w:val="single"/>
        </w:rPr>
      </w:pPr>
    </w:p>
    <w:p w14:paraId="47E3F813" w14:textId="77777777" w:rsidR="00B54D51" w:rsidRPr="00037AD4" w:rsidRDefault="00B54D51" w:rsidP="007A43F9">
      <w:pPr>
        <w:pStyle w:val="Heading2"/>
      </w:pPr>
      <w:bookmarkStart w:id="469" w:name="A33"/>
      <w:bookmarkStart w:id="470" w:name="_Toc175742397"/>
      <w:r w:rsidRPr="00037AD4">
        <w:t>Appendix 3.3 Item components of dementia symptom measures</w:t>
      </w:r>
      <w:bookmarkEnd w:id="470"/>
      <w:r w:rsidRPr="00037AD4">
        <w:t xml:space="preserve"> </w:t>
      </w:r>
    </w:p>
    <w:bookmarkEnd w:id="469"/>
    <w:p w14:paraId="0FB0B970" w14:textId="77777777" w:rsidR="00B54D51" w:rsidRPr="00037AD4" w:rsidRDefault="00B54D51" w:rsidP="001D7ACE">
      <w:pPr>
        <w:rPr>
          <w:rFonts w:asciiTheme="minorHAnsi" w:hAnsiTheme="minorHAnsi" w:cstheme="minorHAnsi"/>
          <w:b/>
          <w:bCs/>
          <w:u w:val="single"/>
        </w:rPr>
      </w:pPr>
    </w:p>
    <w:p w14:paraId="258A7550" w14:textId="1EA4BE7B" w:rsidR="00B54D51" w:rsidRPr="002362C3" w:rsidRDefault="00B54D51" w:rsidP="002362C3">
      <w:pPr>
        <w:rPr>
          <w:rFonts w:asciiTheme="minorHAnsi" w:hAnsiTheme="minorHAnsi" w:cstheme="minorHAnsi"/>
          <w:u w:val="single"/>
        </w:rPr>
      </w:pPr>
      <w:r w:rsidRPr="00037AD4">
        <w:rPr>
          <w:rFonts w:asciiTheme="minorHAnsi" w:hAnsiTheme="minorHAnsi" w:cstheme="minorHAnsi"/>
          <w:u w:val="single"/>
        </w:rPr>
        <w:t xml:space="preserve">Table A3.3a, Core cognitive measure item list </w:t>
      </w:r>
    </w:p>
    <w:tbl>
      <w:tblPr>
        <w:tblStyle w:val="TableGrid"/>
        <w:tblW w:w="0" w:type="auto"/>
        <w:tblLook w:val="04A0" w:firstRow="1" w:lastRow="0" w:firstColumn="1" w:lastColumn="0" w:noHBand="0" w:noVBand="1"/>
      </w:tblPr>
      <w:tblGrid>
        <w:gridCol w:w="1803"/>
        <w:gridCol w:w="1803"/>
        <w:gridCol w:w="1803"/>
        <w:gridCol w:w="1803"/>
        <w:gridCol w:w="1804"/>
      </w:tblGrid>
      <w:tr w:rsidR="00B54D51" w:rsidRPr="00037AD4" w14:paraId="63B37569" w14:textId="77777777" w:rsidTr="00401C67">
        <w:tc>
          <w:tcPr>
            <w:tcW w:w="1803" w:type="dxa"/>
            <w:tcBorders>
              <w:tl2br w:val="single" w:sz="4" w:space="0" w:color="auto"/>
            </w:tcBorders>
          </w:tcPr>
          <w:p w14:paraId="4BC34279" w14:textId="77777777" w:rsidR="00B54D51" w:rsidRPr="00037AD4" w:rsidRDefault="00B54D51" w:rsidP="00401C67">
            <w:pPr>
              <w:pStyle w:val="EndNoteBibliography"/>
              <w:jc w:val="right"/>
              <w:rPr>
                <w:rFonts w:asciiTheme="minorHAnsi" w:hAnsiTheme="minorHAnsi" w:cstheme="minorHAnsi"/>
                <w:b/>
                <w:bCs/>
                <w:sz w:val="26"/>
                <w:szCs w:val="26"/>
                <w:vertAlign w:val="superscript"/>
                <w:lang w:val="en-GB"/>
              </w:rPr>
            </w:pPr>
            <w:r w:rsidRPr="00037AD4">
              <w:rPr>
                <w:rFonts w:asciiTheme="minorHAnsi" w:hAnsiTheme="minorHAnsi" w:cstheme="minorHAnsi"/>
                <w:b/>
                <w:bCs/>
                <w:sz w:val="26"/>
                <w:szCs w:val="26"/>
                <w:vertAlign w:val="superscript"/>
                <w:lang w:val="en-GB"/>
              </w:rPr>
              <w:t>Scale</w:t>
            </w:r>
          </w:p>
          <w:p w14:paraId="1CD9EF94" w14:textId="77777777" w:rsidR="00B54D51" w:rsidRPr="00037AD4" w:rsidRDefault="00B54D51" w:rsidP="00401C67">
            <w:pPr>
              <w:pStyle w:val="EndNoteBibliography"/>
              <w:rPr>
                <w:rFonts w:asciiTheme="minorHAnsi" w:hAnsiTheme="minorHAnsi" w:cstheme="minorHAnsi"/>
                <w:b/>
                <w:bCs/>
                <w:sz w:val="22"/>
                <w:szCs w:val="22"/>
                <w:vertAlign w:val="subscript"/>
                <w:lang w:val="en-GB"/>
              </w:rPr>
            </w:pPr>
            <w:r w:rsidRPr="00037AD4">
              <w:rPr>
                <w:rFonts w:asciiTheme="minorHAnsi" w:hAnsiTheme="minorHAnsi" w:cstheme="minorHAnsi"/>
                <w:b/>
                <w:bCs/>
                <w:sz w:val="26"/>
                <w:szCs w:val="26"/>
                <w:vertAlign w:val="subscript"/>
                <w:lang w:val="en-GB"/>
              </w:rPr>
              <w:t>Item component</w:t>
            </w:r>
            <w:r w:rsidRPr="00037AD4">
              <w:rPr>
                <w:rFonts w:asciiTheme="minorHAnsi" w:hAnsiTheme="minorHAnsi" w:cstheme="minorHAnsi"/>
                <w:b/>
                <w:bCs/>
                <w:vertAlign w:val="subscript"/>
                <w:lang w:val="en-GB"/>
              </w:rPr>
              <w:t xml:space="preserve"> </w:t>
            </w:r>
          </w:p>
        </w:tc>
        <w:tc>
          <w:tcPr>
            <w:tcW w:w="1803" w:type="dxa"/>
          </w:tcPr>
          <w:p w14:paraId="6FC8CF83" w14:textId="77777777" w:rsidR="00B54D51" w:rsidRPr="00037AD4" w:rsidRDefault="00B54D51" w:rsidP="00401C67">
            <w:pPr>
              <w:pStyle w:val="EndNoteBibliography"/>
              <w:rPr>
                <w:rFonts w:asciiTheme="minorHAnsi" w:hAnsiTheme="minorHAnsi" w:cstheme="minorHAnsi"/>
                <w:b/>
                <w:bCs/>
                <w:sz w:val="22"/>
                <w:szCs w:val="22"/>
                <w:lang w:val="en-GB"/>
              </w:rPr>
            </w:pPr>
            <w:r w:rsidRPr="00037AD4">
              <w:rPr>
                <w:rFonts w:asciiTheme="minorHAnsi" w:hAnsiTheme="minorHAnsi" w:cstheme="minorHAnsi"/>
                <w:b/>
                <w:bCs/>
                <w:sz w:val="22"/>
                <w:szCs w:val="22"/>
                <w:lang w:val="en-GB"/>
              </w:rPr>
              <w:t>MMSE</w:t>
            </w:r>
          </w:p>
        </w:tc>
        <w:tc>
          <w:tcPr>
            <w:tcW w:w="1803" w:type="dxa"/>
          </w:tcPr>
          <w:p w14:paraId="05CDD120" w14:textId="77777777" w:rsidR="00B54D51" w:rsidRPr="00037AD4" w:rsidRDefault="00B54D51" w:rsidP="00401C67">
            <w:pPr>
              <w:pStyle w:val="EndNoteBibliography"/>
              <w:rPr>
                <w:rFonts w:asciiTheme="minorHAnsi" w:hAnsiTheme="minorHAnsi" w:cstheme="minorHAnsi"/>
                <w:b/>
                <w:bCs/>
                <w:sz w:val="22"/>
                <w:szCs w:val="22"/>
                <w:lang w:val="en-GB"/>
              </w:rPr>
            </w:pPr>
            <w:r w:rsidRPr="00037AD4">
              <w:rPr>
                <w:rFonts w:asciiTheme="minorHAnsi" w:hAnsiTheme="minorHAnsi" w:cstheme="minorHAnsi"/>
                <w:b/>
                <w:bCs/>
                <w:sz w:val="22"/>
                <w:szCs w:val="22"/>
                <w:lang w:val="en-GB"/>
              </w:rPr>
              <w:t>MoCA</w:t>
            </w:r>
          </w:p>
        </w:tc>
        <w:tc>
          <w:tcPr>
            <w:tcW w:w="1803" w:type="dxa"/>
          </w:tcPr>
          <w:p w14:paraId="43DC67E8" w14:textId="77777777" w:rsidR="00B54D51" w:rsidRPr="00037AD4" w:rsidRDefault="00B54D51" w:rsidP="00401C67">
            <w:pPr>
              <w:pStyle w:val="EndNoteBibliography"/>
              <w:rPr>
                <w:rFonts w:asciiTheme="minorHAnsi" w:hAnsiTheme="minorHAnsi" w:cstheme="minorHAnsi"/>
                <w:b/>
                <w:bCs/>
                <w:sz w:val="22"/>
                <w:szCs w:val="22"/>
                <w:lang w:val="en-GB"/>
              </w:rPr>
            </w:pPr>
            <w:r w:rsidRPr="00037AD4">
              <w:rPr>
                <w:rFonts w:asciiTheme="minorHAnsi" w:hAnsiTheme="minorHAnsi" w:cstheme="minorHAnsi"/>
                <w:b/>
                <w:bCs/>
                <w:sz w:val="22"/>
                <w:szCs w:val="22"/>
                <w:lang w:val="en-GB"/>
              </w:rPr>
              <w:t>ADAS-Cog</w:t>
            </w:r>
          </w:p>
        </w:tc>
        <w:tc>
          <w:tcPr>
            <w:tcW w:w="1804" w:type="dxa"/>
          </w:tcPr>
          <w:p w14:paraId="798AFA5B" w14:textId="77777777" w:rsidR="00B54D51" w:rsidRPr="00037AD4" w:rsidRDefault="00B54D51" w:rsidP="00401C67">
            <w:pPr>
              <w:pStyle w:val="EndNoteBibliography"/>
              <w:rPr>
                <w:rFonts w:asciiTheme="minorHAnsi" w:hAnsiTheme="minorHAnsi" w:cstheme="minorHAnsi"/>
                <w:b/>
                <w:bCs/>
                <w:sz w:val="22"/>
                <w:szCs w:val="22"/>
                <w:lang w:val="en-GB"/>
              </w:rPr>
            </w:pPr>
            <w:r w:rsidRPr="00037AD4">
              <w:rPr>
                <w:rFonts w:asciiTheme="minorHAnsi" w:hAnsiTheme="minorHAnsi" w:cstheme="minorHAnsi"/>
                <w:b/>
                <w:bCs/>
                <w:sz w:val="22"/>
                <w:szCs w:val="22"/>
                <w:lang w:val="en-GB"/>
              </w:rPr>
              <w:t xml:space="preserve">SIB </w:t>
            </w:r>
          </w:p>
        </w:tc>
      </w:tr>
      <w:tr w:rsidR="00B54D51" w:rsidRPr="00037AD4" w14:paraId="45FEAF01" w14:textId="77777777" w:rsidTr="00401C67">
        <w:tc>
          <w:tcPr>
            <w:tcW w:w="1803" w:type="dxa"/>
          </w:tcPr>
          <w:p w14:paraId="76AC1CD3"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Theme="minorHAnsi" w:hAnsiTheme="minorHAnsi" w:cstheme="minorHAnsi"/>
                <w:sz w:val="22"/>
                <w:szCs w:val="22"/>
                <w:lang w:val="en-GB"/>
              </w:rPr>
              <w:t>Orientation time/ place</w:t>
            </w:r>
          </w:p>
        </w:tc>
        <w:tc>
          <w:tcPr>
            <w:tcW w:w="1803" w:type="dxa"/>
          </w:tcPr>
          <w:p w14:paraId="43DAC922"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202124"/>
                <w:sz w:val="22"/>
                <w:szCs w:val="22"/>
                <w:shd w:val="clear" w:color="auto" w:fill="FFFFFF"/>
                <w:lang w:val="en-GB"/>
              </w:rPr>
              <w:t>✓</w:t>
            </w:r>
          </w:p>
        </w:tc>
        <w:tc>
          <w:tcPr>
            <w:tcW w:w="1803" w:type="dxa"/>
          </w:tcPr>
          <w:p w14:paraId="3B62E835"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202124"/>
                <w:sz w:val="22"/>
                <w:szCs w:val="22"/>
                <w:shd w:val="clear" w:color="auto" w:fill="FFFFFF"/>
                <w:lang w:val="en-GB"/>
              </w:rPr>
              <w:t>✓</w:t>
            </w:r>
          </w:p>
        </w:tc>
        <w:tc>
          <w:tcPr>
            <w:tcW w:w="1803" w:type="dxa"/>
          </w:tcPr>
          <w:p w14:paraId="5C72FE56"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202124"/>
                <w:sz w:val="22"/>
                <w:szCs w:val="22"/>
                <w:shd w:val="clear" w:color="auto" w:fill="FFFFFF"/>
                <w:lang w:val="en-GB"/>
              </w:rPr>
              <w:t>✓</w:t>
            </w:r>
          </w:p>
        </w:tc>
        <w:tc>
          <w:tcPr>
            <w:tcW w:w="1804" w:type="dxa"/>
          </w:tcPr>
          <w:p w14:paraId="42941537"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202124"/>
                <w:sz w:val="22"/>
                <w:szCs w:val="22"/>
                <w:shd w:val="clear" w:color="auto" w:fill="FFFFFF"/>
                <w:lang w:val="en-GB"/>
              </w:rPr>
              <w:t>✓</w:t>
            </w:r>
          </w:p>
        </w:tc>
      </w:tr>
      <w:tr w:rsidR="00B54D51" w:rsidRPr="00037AD4" w14:paraId="59596085" w14:textId="77777777" w:rsidTr="00401C67">
        <w:tc>
          <w:tcPr>
            <w:tcW w:w="1803" w:type="dxa"/>
          </w:tcPr>
          <w:p w14:paraId="568C92E7"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Theme="minorHAnsi" w:hAnsiTheme="minorHAnsi" w:cstheme="minorHAnsi"/>
                <w:sz w:val="22"/>
                <w:szCs w:val="22"/>
                <w:lang w:val="en-GB"/>
              </w:rPr>
              <w:t>Orientation to name</w:t>
            </w:r>
          </w:p>
        </w:tc>
        <w:tc>
          <w:tcPr>
            <w:tcW w:w="1803" w:type="dxa"/>
          </w:tcPr>
          <w:p w14:paraId="69EC8414" w14:textId="77777777" w:rsidR="00B54D51" w:rsidRPr="00037AD4" w:rsidRDefault="00B54D51" w:rsidP="00401C67">
            <w:pPr>
              <w:pStyle w:val="EndNoteBibliography"/>
              <w:rPr>
                <w:rFonts w:asciiTheme="minorHAnsi" w:hAnsiTheme="minorHAnsi" w:cstheme="minorHAnsi"/>
                <w:sz w:val="22"/>
                <w:szCs w:val="22"/>
                <w:lang w:val="en-GB"/>
              </w:rPr>
            </w:pPr>
          </w:p>
        </w:tc>
        <w:tc>
          <w:tcPr>
            <w:tcW w:w="1803" w:type="dxa"/>
          </w:tcPr>
          <w:p w14:paraId="3193DD24" w14:textId="77777777" w:rsidR="00B54D51" w:rsidRPr="00037AD4" w:rsidRDefault="00B54D51" w:rsidP="00401C67">
            <w:pPr>
              <w:pStyle w:val="EndNoteBibliography"/>
              <w:rPr>
                <w:rFonts w:asciiTheme="minorHAnsi" w:hAnsiTheme="minorHAnsi" w:cstheme="minorHAnsi"/>
                <w:sz w:val="22"/>
                <w:szCs w:val="22"/>
                <w:lang w:val="en-GB"/>
              </w:rPr>
            </w:pPr>
          </w:p>
        </w:tc>
        <w:tc>
          <w:tcPr>
            <w:tcW w:w="1803" w:type="dxa"/>
          </w:tcPr>
          <w:p w14:paraId="10977ACF" w14:textId="77777777" w:rsidR="00B54D51" w:rsidRPr="00037AD4" w:rsidRDefault="00B54D51" w:rsidP="00401C67">
            <w:pPr>
              <w:pStyle w:val="EndNoteBibliography"/>
              <w:rPr>
                <w:rFonts w:asciiTheme="minorHAnsi" w:hAnsiTheme="minorHAnsi" w:cstheme="minorHAnsi"/>
                <w:sz w:val="22"/>
                <w:szCs w:val="22"/>
                <w:lang w:val="en-GB"/>
              </w:rPr>
            </w:pPr>
          </w:p>
        </w:tc>
        <w:tc>
          <w:tcPr>
            <w:tcW w:w="1804" w:type="dxa"/>
          </w:tcPr>
          <w:p w14:paraId="1E4F0AAD"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202124"/>
                <w:sz w:val="22"/>
                <w:szCs w:val="22"/>
                <w:shd w:val="clear" w:color="auto" w:fill="FFFFFF"/>
                <w:lang w:val="en-GB"/>
              </w:rPr>
              <w:t>✓</w:t>
            </w:r>
          </w:p>
        </w:tc>
      </w:tr>
      <w:tr w:rsidR="00B54D51" w:rsidRPr="00037AD4" w14:paraId="46377099" w14:textId="77777777" w:rsidTr="00401C67">
        <w:tc>
          <w:tcPr>
            <w:tcW w:w="1803" w:type="dxa"/>
          </w:tcPr>
          <w:p w14:paraId="54D8A7B4"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Theme="minorHAnsi" w:hAnsiTheme="minorHAnsi" w:cstheme="minorHAnsi"/>
                <w:sz w:val="22"/>
                <w:szCs w:val="22"/>
                <w:lang w:val="en-GB"/>
              </w:rPr>
              <w:t xml:space="preserve">Registration </w:t>
            </w:r>
          </w:p>
        </w:tc>
        <w:tc>
          <w:tcPr>
            <w:tcW w:w="1803" w:type="dxa"/>
          </w:tcPr>
          <w:p w14:paraId="16A698FB"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202124"/>
                <w:sz w:val="22"/>
                <w:szCs w:val="22"/>
                <w:shd w:val="clear" w:color="auto" w:fill="FFFFFF"/>
                <w:lang w:val="en-GB"/>
              </w:rPr>
              <w:t>✓</w:t>
            </w:r>
          </w:p>
        </w:tc>
        <w:tc>
          <w:tcPr>
            <w:tcW w:w="1803" w:type="dxa"/>
          </w:tcPr>
          <w:p w14:paraId="1047A0F0"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202124"/>
                <w:sz w:val="22"/>
                <w:szCs w:val="22"/>
                <w:shd w:val="clear" w:color="auto" w:fill="FFFFFF"/>
                <w:lang w:val="en-GB"/>
              </w:rPr>
              <w:t>✓</w:t>
            </w:r>
          </w:p>
        </w:tc>
        <w:tc>
          <w:tcPr>
            <w:tcW w:w="1803" w:type="dxa"/>
          </w:tcPr>
          <w:p w14:paraId="26F5E32B"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202124"/>
                <w:sz w:val="22"/>
                <w:szCs w:val="22"/>
                <w:shd w:val="clear" w:color="auto" w:fill="FFFFFF"/>
                <w:lang w:val="en-GB"/>
              </w:rPr>
              <w:t>✓</w:t>
            </w:r>
          </w:p>
        </w:tc>
        <w:tc>
          <w:tcPr>
            <w:tcW w:w="1804" w:type="dxa"/>
          </w:tcPr>
          <w:p w14:paraId="4218A324" w14:textId="77777777" w:rsidR="00B54D51" w:rsidRPr="00037AD4" w:rsidRDefault="00B54D51" w:rsidP="00401C67">
            <w:pPr>
              <w:pStyle w:val="EndNoteBibliography"/>
              <w:rPr>
                <w:rFonts w:asciiTheme="minorHAnsi" w:hAnsiTheme="minorHAnsi" w:cstheme="minorHAnsi"/>
                <w:sz w:val="22"/>
                <w:szCs w:val="22"/>
                <w:lang w:val="en-GB"/>
              </w:rPr>
            </w:pPr>
          </w:p>
        </w:tc>
      </w:tr>
      <w:tr w:rsidR="00B54D51" w:rsidRPr="00037AD4" w14:paraId="7B62313A" w14:textId="77777777" w:rsidTr="00401C67">
        <w:tc>
          <w:tcPr>
            <w:tcW w:w="1803" w:type="dxa"/>
          </w:tcPr>
          <w:p w14:paraId="57E77339"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Theme="minorHAnsi" w:hAnsiTheme="minorHAnsi" w:cstheme="minorHAnsi"/>
                <w:sz w:val="22"/>
                <w:szCs w:val="22"/>
                <w:lang w:val="en-GB"/>
              </w:rPr>
              <w:t>Attention and calculation</w:t>
            </w:r>
          </w:p>
        </w:tc>
        <w:tc>
          <w:tcPr>
            <w:tcW w:w="1803" w:type="dxa"/>
          </w:tcPr>
          <w:p w14:paraId="653C4326"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202124"/>
                <w:sz w:val="22"/>
                <w:szCs w:val="22"/>
                <w:shd w:val="clear" w:color="auto" w:fill="FFFFFF"/>
                <w:lang w:val="en-GB"/>
              </w:rPr>
              <w:t>✓</w:t>
            </w:r>
          </w:p>
        </w:tc>
        <w:tc>
          <w:tcPr>
            <w:tcW w:w="1803" w:type="dxa"/>
          </w:tcPr>
          <w:p w14:paraId="53E8E2CB"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202124"/>
                <w:sz w:val="22"/>
                <w:szCs w:val="22"/>
                <w:shd w:val="clear" w:color="auto" w:fill="FFFFFF"/>
                <w:lang w:val="en-GB"/>
              </w:rPr>
              <w:t>✓</w:t>
            </w:r>
          </w:p>
        </w:tc>
        <w:tc>
          <w:tcPr>
            <w:tcW w:w="1803" w:type="dxa"/>
          </w:tcPr>
          <w:p w14:paraId="2851655B"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202124"/>
                <w:sz w:val="22"/>
                <w:szCs w:val="22"/>
                <w:shd w:val="clear" w:color="auto" w:fill="FFFFFF"/>
                <w:lang w:val="en-GB"/>
              </w:rPr>
              <w:t>✓</w:t>
            </w:r>
          </w:p>
        </w:tc>
        <w:tc>
          <w:tcPr>
            <w:tcW w:w="1804" w:type="dxa"/>
          </w:tcPr>
          <w:p w14:paraId="55AA2534"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202124"/>
                <w:sz w:val="22"/>
                <w:szCs w:val="22"/>
                <w:shd w:val="clear" w:color="auto" w:fill="FFFFFF"/>
                <w:lang w:val="en-GB"/>
              </w:rPr>
              <w:t>✓</w:t>
            </w:r>
          </w:p>
        </w:tc>
      </w:tr>
      <w:tr w:rsidR="00B54D51" w:rsidRPr="00037AD4" w14:paraId="50D055B7" w14:textId="77777777" w:rsidTr="00401C67">
        <w:tc>
          <w:tcPr>
            <w:tcW w:w="1803" w:type="dxa"/>
          </w:tcPr>
          <w:p w14:paraId="01076926"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Theme="minorHAnsi" w:hAnsiTheme="minorHAnsi" w:cstheme="minorHAnsi"/>
                <w:sz w:val="22"/>
                <w:szCs w:val="22"/>
                <w:lang w:val="en-GB"/>
              </w:rPr>
              <w:t xml:space="preserve">Recall </w:t>
            </w:r>
          </w:p>
        </w:tc>
        <w:tc>
          <w:tcPr>
            <w:tcW w:w="1803" w:type="dxa"/>
          </w:tcPr>
          <w:p w14:paraId="145979A6"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202124"/>
                <w:sz w:val="22"/>
                <w:szCs w:val="22"/>
                <w:shd w:val="clear" w:color="auto" w:fill="FFFFFF"/>
                <w:lang w:val="en-GB"/>
              </w:rPr>
              <w:t>✓</w:t>
            </w:r>
          </w:p>
        </w:tc>
        <w:tc>
          <w:tcPr>
            <w:tcW w:w="1803" w:type="dxa"/>
          </w:tcPr>
          <w:p w14:paraId="479C9A8A"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202124"/>
                <w:sz w:val="22"/>
                <w:szCs w:val="22"/>
                <w:shd w:val="clear" w:color="auto" w:fill="FFFFFF"/>
                <w:lang w:val="en-GB"/>
              </w:rPr>
              <w:t>✓</w:t>
            </w:r>
          </w:p>
        </w:tc>
        <w:tc>
          <w:tcPr>
            <w:tcW w:w="1803" w:type="dxa"/>
          </w:tcPr>
          <w:p w14:paraId="5DE17F2E"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202124"/>
                <w:sz w:val="22"/>
                <w:szCs w:val="22"/>
                <w:shd w:val="clear" w:color="auto" w:fill="FFFFFF"/>
                <w:lang w:val="en-GB"/>
              </w:rPr>
              <w:t>✓</w:t>
            </w:r>
          </w:p>
        </w:tc>
        <w:tc>
          <w:tcPr>
            <w:tcW w:w="1804" w:type="dxa"/>
          </w:tcPr>
          <w:p w14:paraId="2ED8DE2E"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202124"/>
                <w:sz w:val="22"/>
                <w:szCs w:val="22"/>
                <w:shd w:val="clear" w:color="auto" w:fill="FFFFFF"/>
                <w:lang w:val="en-GB"/>
              </w:rPr>
              <w:t>✓</w:t>
            </w:r>
          </w:p>
        </w:tc>
      </w:tr>
      <w:tr w:rsidR="00B54D51" w:rsidRPr="00037AD4" w14:paraId="4913CB6F" w14:textId="77777777" w:rsidTr="00401C67">
        <w:tc>
          <w:tcPr>
            <w:tcW w:w="1803" w:type="dxa"/>
          </w:tcPr>
          <w:p w14:paraId="63752080"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Theme="minorHAnsi" w:hAnsiTheme="minorHAnsi" w:cstheme="minorHAnsi"/>
                <w:sz w:val="22"/>
                <w:szCs w:val="22"/>
                <w:lang w:val="en-GB"/>
              </w:rPr>
              <w:t xml:space="preserve">Language </w:t>
            </w:r>
          </w:p>
        </w:tc>
        <w:tc>
          <w:tcPr>
            <w:tcW w:w="1803" w:type="dxa"/>
          </w:tcPr>
          <w:p w14:paraId="1F6CB23B"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202124"/>
                <w:sz w:val="22"/>
                <w:szCs w:val="22"/>
                <w:shd w:val="clear" w:color="auto" w:fill="FFFFFF"/>
                <w:lang w:val="en-GB"/>
              </w:rPr>
              <w:t>✓</w:t>
            </w:r>
          </w:p>
        </w:tc>
        <w:tc>
          <w:tcPr>
            <w:tcW w:w="1803" w:type="dxa"/>
          </w:tcPr>
          <w:p w14:paraId="27FE5235"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202124"/>
                <w:sz w:val="22"/>
                <w:szCs w:val="22"/>
                <w:shd w:val="clear" w:color="auto" w:fill="FFFFFF"/>
                <w:lang w:val="en-GB"/>
              </w:rPr>
              <w:t>✓</w:t>
            </w:r>
          </w:p>
        </w:tc>
        <w:tc>
          <w:tcPr>
            <w:tcW w:w="1803" w:type="dxa"/>
          </w:tcPr>
          <w:p w14:paraId="62A48DC0"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202124"/>
                <w:sz w:val="22"/>
                <w:szCs w:val="22"/>
                <w:shd w:val="clear" w:color="auto" w:fill="FFFFFF"/>
                <w:lang w:val="en-GB"/>
              </w:rPr>
              <w:t>✓</w:t>
            </w:r>
          </w:p>
        </w:tc>
        <w:tc>
          <w:tcPr>
            <w:tcW w:w="1804" w:type="dxa"/>
          </w:tcPr>
          <w:p w14:paraId="5DDED810"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202124"/>
                <w:sz w:val="22"/>
                <w:szCs w:val="22"/>
                <w:shd w:val="clear" w:color="auto" w:fill="FFFFFF"/>
                <w:lang w:val="en-GB"/>
              </w:rPr>
              <w:t>✓</w:t>
            </w:r>
          </w:p>
        </w:tc>
      </w:tr>
      <w:tr w:rsidR="00B54D51" w:rsidRPr="00037AD4" w14:paraId="3F20D07B" w14:textId="77777777" w:rsidTr="00401C67">
        <w:tc>
          <w:tcPr>
            <w:tcW w:w="1803" w:type="dxa"/>
          </w:tcPr>
          <w:p w14:paraId="17703133"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Theme="minorHAnsi" w:hAnsiTheme="minorHAnsi" w:cstheme="minorHAnsi"/>
                <w:sz w:val="22"/>
                <w:szCs w:val="22"/>
                <w:lang w:val="en-GB"/>
              </w:rPr>
              <w:t xml:space="preserve">Repetition </w:t>
            </w:r>
          </w:p>
        </w:tc>
        <w:tc>
          <w:tcPr>
            <w:tcW w:w="1803" w:type="dxa"/>
          </w:tcPr>
          <w:p w14:paraId="461C3D21"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202124"/>
                <w:sz w:val="22"/>
                <w:szCs w:val="22"/>
                <w:shd w:val="clear" w:color="auto" w:fill="FFFFFF"/>
                <w:lang w:val="en-GB"/>
              </w:rPr>
              <w:t>✓</w:t>
            </w:r>
          </w:p>
        </w:tc>
        <w:tc>
          <w:tcPr>
            <w:tcW w:w="1803" w:type="dxa"/>
          </w:tcPr>
          <w:p w14:paraId="4461FF64" w14:textId="77777777" w:rsidR="00B54D51" w:rsidRPr="00037AD4" w:rsidRDefault="00B54D51" w:rsidP="00401C67">
            <w:pPr>
              <w:pStyle w:val="EndNoteBibliography"/>
              <w:rPr>
                <w:rFonts w:asciiTheme="minorHAnsi" w:hAnsiTheme="minorHAnsi" w:cstheme="minorHAnsi"/>
                <w:sz w:val="22"/>
                <w:szCs w:val="22"/>
                <w:lang w:val="en-GB"/>
              </w:rPr>
            </w:pPr>
          </w:p>
        </w:tc>
        <w:tc>
          <w:tcPr>
            <w:tcW w:w="1803" w:type="dxa"/>
          </w:tcPr>
          <w:p w14:paraId="7E8F8873" w14:textId="77777777" w:rsidR="00B54D51" w:rsidRPr="00037AD4" w:rsidRDefault="00B54D51" w:rsidP="00401C67">
            <w:pPr>
              <w:pStyle w:val="EndNoteBibliography"/>
              <w:rPr>
                <w:rFonts w:asciiTheme="minorHAnsi" w:hAnsiTheme="minorHAnsi" w:cstheme="minorHAnsi"/>
                <w:sz w:val="22"/>
                <w:szCs w:val="22"/>
                <w:lang w:val="en-GB"/>
              </w:rPr>
            </w:pPr>
          </w:p>
        </w:tc>
        <w:tc>
          <w:tcPr>
            <w:tcW w:w="1804" w:type="dxa"/>
          </w:tcPr>
          <w:p w14:paraId="63729DE9" w14:textId="77777777" w:rsidR="00B54D51" w:rsidRPr="00037AD4" w:rsidRDefault="00B54D51" w:rsidP="00401C67">
            <w:pPr>
              <w:pStyle w:val="EndNoteBibliography"/>
              <w:rPr>
                <w:rFonts w:asciiTheme="minorHAnsi" w:hAnsiTheme="minorHAnsi" w:cstheme="minorHAnsi"/>
                <w:sz w:val="22"/>
                <w:szCs w:val="22"/>
                <w:lang w:val="en-GB"/>
              </w:rPr>
            </w:pPr>
          </w:p>
        </w:tc>
      </w:tr>
      <w:tr w:rsidR="00B54D51" w:rsidRPr="00037AD4" w14:paraId="49A5DFAF" w14:textId="77777777" w:rsidTr="00401C67">
        <w:tc>
          <w:tcPr>
            <w:tcW w:w="1803" w:type="dxa"/>
          </w:tcPr>
          <w:p w14:paraId="68EADA8B"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Theme="minorHAnsi" w:hAnsiTheme="minorHAnsi" w:cstheme="minorHAnsi"/>
                <w:sz w:val="22"/>
                <w:szCs w:val="22"/>
                <w:lang w:val="en-GB"/>
              </w:rPr>
              <w:t>Abstraction</w:t>
            </w:r>
          </w:p>
        </w:tc>
        <w:tc>
          <w:tcPr>
            <w:tcW w:w="1803" w:type="dxa"/>
          </w:tcPr>
          <w:p w14:paraId="14CEFADD" w14:textId="77777777" w:rsidR="00B54D51" w:rsidRPr="00037AD4" w:rsidRDefault="00B54D51" w:rsidP="00401C67">
            <w:pPr>
              <w:pStyle w:val="EndNoteBibliography"/>
              <w:rPr>
                <w:rFonts w:asciiTheme="minorHAnsi" w:hAnsiTheme="minorHAnsi" w:cstheme="minorHAnsi"/>
                <w:color w:val="202124"/>
                <w:sz w:val="22"/>
                <w:szCs w:val="22"/>
                <w:shd w:val="clear" w:color="auto" w:fill="FFFFFF"/>
                <w:lang w:val="en-GB"/>
              </w:rPr>
            </w:pPr>
          </w:p>
        </w:tc>
        <w:tc>
          <w:tcPr>
            <w:tcW w:w="1803" w:type="dxa"/>
          </w:tcPr>
          <w:p w14:paraId="637AA721"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202124"/>
                <w:sz w:val="22"/>
                <w:szCs w:val="22"/>
                <w:shd w:val="clear" w:color="auto" w:fill="FFFFFF"/>
                <w:lang w:val="en-GB"/>
              </w:rPr>
              <w:t>✓</w:t>
            </w:r>
          </w:p>
        </w:tc>
        <w:tc>
          <w:tcPr>
            <w:tcW w:w="1803" w:type="dxa"/>
          </w:tcPr>
          <w:p w14:paraId="736A9BB0" w14:textId="77777777" w:rsidR="00B54D51" w:rsidRPr="00037AD4" w:rsidRDefault="00B54D51" w:rsidP="00401C67">
            <w:pPr>
              <w:pStyle w:val="EndNoteBibliography"/>
              <w:rPr>
                <w:rFonts w:asciiTheme="minorHAnsi" w:hAnsiTheme="minorHAnsi" w:cstheme="minorHAnsi"/>
                <w:sz w:val="22"/>
                <w:szCs w:val="22"/>
                <w:lang w:val="en-GB"/>
              </w:rPr>
            </w:pPr>
          </w:p>
        </w:tc>
        <w:tc>
          <w:tcPr>
            <w:tcW w:w="1804" w:type="dxa"/>
          </w:tcPr>
          <w:p w14:paraId="5BE3B50F" w14:textId="77777777" w:rsidR="00B54D51" w:rsidRPr="00037AD4" w:rsidRDefault="00B54D51" w:rsidP="00401C67">
            <w:pPr>
              <w:pStyle w:val="EndNoteBibliography"/>
              <w:rPr>
                <w:rFonts w:asciiTheme="minorHAnsi" w:hAnsiTheme="minorHAnsi" w:cstheme="minorHAnsi"/>
                <w:sz w:val="22"/>
                <w:szCs w:val="22"/>
                <w:lang w:val="en-GB"/>
              </w:rPr>
            </w:pPr>
          </w:p>
        </w:tc>
      </w:tr>
      <w:tr w:rsidR="00B54D51" w:rsidRPr="00037AD4" w14:paraId="0E3C3EB1" w14:textId="77777777" w:rsidTr="00401C67">
        <w:tc>
          <w:tcPr>
            <w:tcW w:w="1803" w:type="dxa"/>
          </w:tcPr>
          <w:p w14:paraId="7B83113D"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Theme="minorHAnsi" w:hAnsiTheme="minorHAnsi" w:cstheme="minorHAnsi"/>
                <w:sz w:val="22"/>
                <w:szCs w:val="22"/>
                <w:lang w:val="en-GB"/>
              </w:rPr>
              <w:t>Complex commands*</w:t>
            </w:r>
          </w:p>
        </w:tc>
        <w:tc>
          <w:tcPr>
            <w:tcW w:w="1803" w:type="dxa"/>
          </w:tcPr>
          <w:p w14:paraId="6E395B1A"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202124"/>
                <w:sz w:val="22"/>
                <w:szCs w:val="22"/>
                <w:shd w:val="clear" w:color="auto" w:fill="FFFFFF"/>
                <w:lang w:val="en-GB"/>
              </w:rPr>
              <w:t>✓</w:t>
            </w:r>
          </w:p>
        </w:tc>
        <w:tc>
          <w:tcPr>
            <w:tcW w:w="1803" w:type="dxa"/>
          </w:tcPr>
          <w:p w14:paraId="2968DDB9"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202124"/>
                <w:sz w:val="22"/>
                <w:szCs w:val="22"/>
                <w:shd w:val="clear" w:color="auto" w:fill="FFFFFF"/>
                <w:lang w:val="en-GB"/>
              </w:rPr>
              <w:t>✓</w:t>
            </w:r>
          </w:p>
        </w:tc>
        <w:tc>
          <w:tcPr>
            <w:tcW w:w="1803" w:type="dxa"/>
          </w:tcPr>
          <w:p w14:paraId="370EBDA0"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202124"/>
                <w:sz w:val="22"/>
                <w:szCs w:val="22"/>
                <w:shd w:val="clear" w:color="auto" w:fill="FFFFFF"/>
                <w:lang w:val="en-GB"/>
              </w:rPr>
              <w:t>✓</w:t>
            </w:r>
          </w:p>
        </w:tc>
        <w:tc>
          <w:tcPr>
            <w:tcW w:w="1804" w:type="dxa"/>
          </w:tcPr>
          <w:p w14:paraId="4B8D7E8A" w14:textId="77777777" w:rsidR="00B54D51" w:rsidRPr="00037AD4" w:rsidRDefault="00B54D51" w:rsidP="00401C67">
            <w:pPr>
              <w:pStyle w:val="EndNoteBibliography"/>
              <w:rPr>
                <w:rFonts w:asciiTheme="minorHAnsi" w:hAnsiTheme="minorHAnsi" w:cstheme="minorHAnsi"/>
                <w:sz w:val="22"/>
                <w:szCs w:val="22"/>
                <w:lang w:val="en-GB"/>
              </w:rPr>
            </w:pPr>
          </w:p>
        </w:tc>
      </w:tr>
      <w:tr w:rsidR="00B54D51" w:rsidRPr="00037AD4" w14:paraId="68E4D60D" w14:textId="77777777" w:rsidTr="00401C67">
        <w:tc>
          <w:tcPr>
            <w:tcW w:w="1803" w:type="dxa"/>
          </w:tcPr>
          <w:p w14:paraId="383DB583"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Theme="minorHAnsi" w:hAnsiTheme="minorHAnsi" w:cstheme="minorHAnsi"/>
                <w:sz w:val="22"/>
                <w:szCs w:val="22"/>
                <w:lang w:val="en-GB"/>
              </w:rPr>
              <w:t>Abstract reasoning</w:t>
            </w:r>
          </w:p>
        </w:tc>
        <w:tc>
          <w:tcPr>
            <w:tcW w:w="1803" w:type="dxa"/>
          </w:tcPr>
          <w:p w14:paraId="326938AF" w14:textId="77777777" w:rsidR="00B54D51" w:rsidRPr="00037AD4" w:rsidRDefault="00B54D51" w:rsidP="00401C67">
            <w:pPr>
              <w:pStyle w:val="EndNoteBibliography"/>
              <w:rPr>
                <w:rFonts w:asciiTheme="minorHAnsi" w:hAnsiTheme="minorHAnsi" w:cstheme="minorHAnsi"/>
                <w:sz w:val="22"/>
                <w:szCs w:val="22"/>
                <w:lang w:val="en-GB"/>
              </w:rPr>
            </w:pPr>
          </w:p>
        </w:tc>
        <w:tc>
          <w:tcPr>
            <w:tcW w:w="1803" w:type="dxa"/>
          </w:tcPr>
          <w:p w14:paraId="09B0601A" w14:textId="77777777" w:rsidR="00B54D51" w:rsidRPr="00037AD4" w:rsidRDefault="00B54D51" w:rsidP="00401C67">
            <w:pPr>
              <w:pStyle w:val="EndNoteBibliography"/>
              <w:rPr>
                <w:rFonts w:asciiTheme="minorHAnsi" w:hAnsiTheme="minorHAnsi" w:cstheme="minorHAnsi"/>
                <w:color w:val="202124"/>
                <w:sz w:val="22"/>
                <w:szCs w:val="22"/>
                <w:shd w:val="clear" w:color="auto" w:fill="FFFFFF"/>
                <w:lang w:val="en-GB"/>
              </w:rPr>
            </w:pPr>
          </w:p>
        </w:tc>
        <w:tc>
          <w:tcPr>
            <w:tcW w:w="1803" w:type="dxa"/>
          </w:tcPr>
          <w:p w14:paraId="4E6386B5" w14:textId="77777777" w:rsidR="00B54D51" w:rsidRPr="00037AD4" w:rsidRDefault="00B54D51" w:rsidP="00401C67">
            <w:pPr>
              <w:pStyle w:val="EndNoteBibliography"/>
              <w:rPr>
                <w:rFonts w:asciiTheme="minorHAnsi" w:hAnsiTheme="minorHAnsi" w:cstheme="minorHAnsi"/>
                <w:sz w:val="22"/>
                <w:szCs w:val="22"/>
                <w:lang w:val="en-GB"/>
              </w:rPr>
            </w:pPr>
          </w:p>
        </w:tc>
        <w:tc>
          <w:tcPr>
            <w:tcW w:w="1804" w:type="dxa"/>
          </w:tcPr>
          <w:p w14:paraId="5B33AF9C" w14:textId="77777777" w:rsidR="00B54D51" w:rsidRPr="00037AD4" w:rsidRDefault="00B54D51" w:rsidP="00401C67">
            <w:pPr>
              <w:pStyle w:val="EndNoteBibliography"/>
              <w:rPr>
                <w:rFonts w:asciiTheme="minorHAnsi" w:hAnsiTheme="minorHAnsi" w:cstheme="minorHAnsi"/>
                <w:sz w:val="22"/>
                <w:szCs w:val="22"/>
                <w:lang w:val="en-GB"/>
              </w:rPr>
            </w:pPr>
          </w:p>
        </w:tc>
      </w:tr>
      <w:tr w:rsidR="00B54D51" w:rsidRPr="00037AD4" w14:paraId="49721BA5" w14:textId="77777777" w:rsidTr="00401C67">
        <w:tc>
          <w:tcPr>
            <w:tcW w:w="1803" w:type="dxa"/>
          </w:tcPr>
          <w:p w14:paraId="2DF49D85"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Theme="minorHAnsi" w:hAnsiTheme="minorHAnsi" w:cstheme="minorHAnsi"/>
                <w:sz w:val="22"/>
                <w:szCs w:val="22"/>
                <w:lang w:val="en-GB"/>
              </w:rPr>
              <w:t>Ideational Praxis</w:t>
            </w:r>
          </w:p>
        </w:tc>
        <w:tc>
          <w:tcPr>
            <w:tcW w:w="1803" w:type="dxa"/>
          </w:tcPr>
          <w:p w14:paraId="1C4BC744" w14:textId="77777777" w:rsidR="00B54D51" w:rsidRPr="00037AD4" w:rsidRDefault="00B54D51" w:rsidP="00401C67">
            <w:pPr>
              <w:pStyle w:val="EndNoteBibliography"/>
              <w:rPr>
                <w:rFonts w:asciiTheme="minorHAnsi" w:hAnsiTheme="minorHAnsi" w:cstheme="minorHAnsi"/>
                <w:sz w:val="22"/>
                <w:szCs w:val="22"/>
                <w:lang w:val="en-GB"/>
              </w:rPr>
            </w:pPr>
          </w:p>
        </w:tc>
        <w:tc>
          <w:tcPr>
            <w:tcW w:w="1803" w:type="dxa"/>
          </w:tcPr>
          <w:p w14:paraId="22284E47" w14:textId="77777777" w:rsidR="00B54D51" w:rsidRPr="00037AD4" w:rsidRDefault="00B54D51" w:rsidP="00401C67">
            <w:pPr>
              <w:pStyle w:val="EndNoteBibliography"/>
              <w:rPr>
                <w:rFonts w:asciiTheme="minorHAnsi" w:hAnsiTheme="minorHAnsi" w:cstheme="minorHAnsi"/>
                <w:color w:val="202124"/>
                <w:sz w:val="22"/>
                <w:szCs w:val="22"/>
                <w:shd w:val="clear" w:color="auto" w:fill="FFFFFF"/>
                <w:lang w:val="en-GB"/>
              </w:rPr>
            </w:pPr>
          </w:p>
        </w:tc>
        <w:tc>
          <w:tcPr>
            <w:tcW w:w="1803" w:type="dxa"/>
          </w:tcPr>
          <w:p w14:paraId="7F4FB3B6"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202124"/>
                <w:sz w:val="22"/>
                <w:szCs w:val="22"/>
                <w:shd w:val="clear" w:color="auto" w:fill="FFFFFF"/>
                <w:lang w:val="en-GB"/>
              </w:rPr>
              <w:t>✓</w:t>
            </w:r>
          </w:p>
        </w:tc>
        <w:tc>
          <w:tcPr>
            <w:tcW w:w="1804" w:type="dxa"/>
          </w:tcPr>
          <w:p w14:paraId="2FAE369E"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202124"/>
                <w:sz w:val="22"/>
                <w:szCs w:val="22"/>
                <w:shd w:val="clear" w:color="auto" w:fill="FFFFFF"/>
                <w:lang w:val="en-GB"/>
              </w:rPr>
              <w:t>✓</w:t>
            </w:r>
          </w:p>
        </w:tc>
      </w:tr>
      <w:tr w:rsidR="00B54D51" w:rsidRPr="00037AD4" w14:paraId="008B2770" w14:textId="77777777" w:rsidTr="00401C67">
        <w:tc>
          <w:tcPr>
            <w:tcW w:w="1803" w:type="dxa"/>
          </w:tcPr>
          <w:p w14:paraId="399B7763"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Theme="minorHAnsi" w:hAnsiTheme="minorHAnsi" w:cstheme="minorHAnsi"/>
                <w:sz w:val="22"/>
                <w:szCs w:val="22"/>
                <w:lang w:val="en-GB"/>
              </w:rPr>
              <w:t>Word finding</w:t>
            </w:r>
          </w:p>
        </w:tc>
        <w:tc>
          <w:tcPr>
            <w:tcW w:w="1803" w:type="dxa"/>
          </w:tcPr>
          <w:p w14:paraId="1C3FE0C4" w14:textId="77777777" w:rsidR="00B54D51" w:rsidRPr="00037AD4" w:rsidRDefault="00B54D51" w:rsidP="00401C67">
            <w:pPr>
              <w:pStyle w:val="EndNoteBibliography"/>
              <w:rPr>
                <w:rFonts w:asciiTheme="minorHAnsi" w:hAnsiTheme="minorHAnsi" w:cstheme="minorHAnsi"/>
                <w:sz w:val="22"/>
                <w:szCs w:val="22"/>
                <w:lang w:val="en-GB"/>
              </w:rPr>
            </w:pPr>
          </w:p>
        </w:tc>
        <w:tc>
          <w:tcPr>
            <w:tcW w:w="1803" w:type="dxa"/>
          </w:tcPr>
          <w:p w14:paraId="599E83D6" w14:textId="77777777" w:rsidR="00B54D51" w:rsidRPr="00037AD4" w:rsidRDefault="00B54D51" w:rsidP="00401C67">
            <w:pPr>
              <w:pStyle w:val="EndNoteBibliography"/>
              <w:rPr>
                <w:rFonts w:asciiTheme="minorHAnsi" w:hAnsiTheme="minorHAnsi" w:cstheme="minorHAnsi"/>
                <w:color w:val="202124"/>
                <w:sz w:val="22"/>
                <w:szCs w:val="22"/>
                <w:shd w:val="clear" w:color="auto" w:fill="FFFFFF"/>
                <w:lang w:val="en-GB"/>
              </w:rPr>
            </w:pPr>
          </w:p>
        </w:tc>
        <w:tc>
          <w:tcPr>
            <w:tcW w:w="1803" w:type="dxa"/>
          </w:tcPr>
          <w:p w14:paraId="31349145" w14:textId="77777777" w:rsidR="00B54D51" w:rsidRPr="00037AD4" w:rsidRDefault="00B54D51" w:rsidP="00401C67">
            <w:pPr>
              <w:pStyle w:val="EndNoteBibliography"/>
              <w:rPr>
                <w:rFonts w:asciiTheme="minorHAnsi" w:hAnsiTheme="minorHAnsi" w:cstheme="minorHAnsi"/>
                <w:color w:val="202124"/>
                <w:sz w:val="22"/>
                <w:szCs w:val="22"/>
                <w:shd w:val="clear" w:color="auto" w:fill="FFFFFF"/>
                <w:lang w:val="en-GB"/>
              </w:rPr>
            </w:pPr>
            <w:r w:rsidRPr="00037AD4">
              <w:rPr>
                <w:rFonts w:ascii="Segoe UI Symbol" w:hAnsi="Segoe UI Symbol" w:cs="Segoe UI Symbol"/>
                <w:color w:val="202124"/>
                <w:sz w:val="22"/>
                <w:szCs w:val="22"/>
                <w:shd w:val="clear" w:color="auto" w:fill="FFFFFF"/>
                <w:lang w:val="en-GB"/>
              </w:rPr>
              <w:t>✓</w:t>
            </w:r>
          </w:p>
        </w:tc>
        <w:tc>
          <w:tcPr>
            <w:tcW w:w="1804" w:type="dxa"/>
          </w:tcPr>
          <w:p w14:paraId="48B5C674" w14:textId="77777777" w:rsidR="00B54D51" w:rsidRPr="00037AD4" w:rsidRDefault="00B54D51" w:rsidP="00401C67">
            <w:pPr>
              <w:pStyle w:val="EndNoteBibliography"/>
              <w:rPr>
                <w:rFonts w:asciiTheme="minorHAnsi" w:hAnsiTheme="minorHAnsi" w:cstheme="minorHAnsi"/>
                <w:sz w:val="22"/>
                <w:szCs w:val="22"/>
                <w:lang w:val="en-GB"/>
              </w:rPr>
            </w:pPr>
          </w:p>
        </w:tc>
      </w:tr>
      <w:tr w:rsidR="00B54D51" w:rsidRPr="00037AD4" w14:paraId="45601C02" w14:textId="77777777" w:rsidTr="00401C67">
        <w:tc>
          <w:tcPr>
            <w:tcW w:w="1803" w:type="dxa"/>
          </w:tcPr>
          <w:p w14:paraId="75749840"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Theme="minorHAnsi" w:hAnsiTheme="minorHAnsi" w:cstheme="minorHAnsi"/>
                <w:sz w:val="22"/>
                <w:szCs w:val="22"/>
                <w:lang w:val="en-GB"/>
              </w:rPr>
              <w:t>Social interaction</w:t>
            </w:r>
          </w:p>
        </w:tc>
        <w:tc>
          <w:tcPr>
            <w:tcW w:w="1803" w:type="dxa"/>
          </w:tcPr>
          <w:p w14:paraId="1501C1AB" w14:textId="77777777" w:rsidR="00B54D51" w:rsidRPr="00037AD4" w:rsidRDefault="00B54D51" w:rsidP="00401C67">
            <w:pPr>
              <w:pStyle w:val="EndNoteBibliography"/>
              <w:rPr>
                <w:rFonts w:asciiTheme="minorHAnsi" w:hAnsiTheme="minorHAnsi" w:cstheme="minorHAnsi"/>
                <w:sz w:val="22"/>
                <w:szCs w:val="22"/>
                <w:lang w:val="en-GB"/>
              </w:rPr>
            </w:pPr>
          </w:p>
        </w:tc>
        <w:tc>
          <w:tcPr>
            <w:tcW w:w="1803" w:type="dxa"/>
          </w:tcPr>
          <w:p w14:paraId="7F6F8A38" w14:textId="77777777" w:rsidR="00B54D51" w:rsidRPr="00037AD4" w:rsidRDefault="00B54D51" w:rsidP="00401C67">
            <w:pPr>
              <w:pStyle w:val="EndNoteBibliography"/>
              <w:rPr>
                <w:rFonts w:asciiTheme="minorHAnsi" w:hAnsiTheme="minorHAnsi" w:cstheme="minorHAnsi"/>
                <w:color w:val="202124"/>
                <w:sz w:val="22"/>
                <w:szCs w:val="22"/>
                <w:shd w:val="clear" w:color="auto" w:fill="FFFFFF"/>
                <w:lang w:val="en-GB"/>
              </w:rPr>
            </w:pPr>
          </w:p>
        </w:tc>
        <w:tc>
          <w:tcPr>
            <w:tcW w:w="1803" w:type="dxa"/>
          </w:tcPr>
          <w:p w14:paraId="75168306" w14:textId="77777777" w:rsidR="00B54D51" w:rsidRPr="00037AD4" w:rsidRDefault="00B54D51" w:rsidP="00401C67">
            <w:pPr>
              <w:pStyle w:val="EndNoteBibliography"/>
              <w:rPr>
                <w:rFonts w:asciiTheme="minorHAnsi" w:hAnsiTheme="minorHAnsi" w:cstheme="minorHAnsi"/>
                <w:color w:val="202124"/>
                <w:sz w:val="22"/>
                <w:szCs w:val="22"/>
                <w:shd w:val="clear" w:color="auto" w:fill="FFFFFF"/>
                <w:lang w:val="en-GB"/>
              </w:rPr>
            </w:pPr>
          </w:p>
        </w:tc>
        <w:tc>
          <w:tcPr>
            <w:tcW w:w="1804" w:type="dxa"/>
          </w:tcPr>
          <w:p w14:paraId="7BAD609B"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202124"/>
                <w:sz w:val="22"/>
                <w:szCs w:val="22"/>
                <w:shd w:val="clear" w:color="auto" w:fill="FFFFFF"/>
                <w:lang w:val="en-GB"/>
              </w:rPr>
              <w:t>✓</w:t>
            </w:r>
          </w:p>
        </w:tc>
      </w:tr>
      <w:tr w:rsidR="00B54D51" w:rsidRPr="00037AD4" w14:paraId="17D45509" w14:textId="77777777" w:rsidTr="00401C67">
        <w:tc>
          <w:tcPr>
            <w:tcW w:w="1803" w:type="dxa"/>
          </w:tcPr>
          <w:p w14:paraId="131F62C1"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Theme="minorHAnsi" w:hAnsiTheme="minorHAnsi" w:cstheme="minorHAnsi"/>
                <w:sz w:val="22"/>
                <w:szCs w:val="22"/>
                <w:lang w:val="en-GB"/>
              </w:rPr>
              <w:t xml:space="preserve">Visuospatial </w:t>
            </w:r>
          </w:p>
        </w:tc>
        <w:tc>
          <w:tcPr>
            <w:tcW w:w="1803" w:type="dxa"/>
          </w:tcPr>
          <w:p w14:paraId="361C3A6A" w14:textId="77777777" w:rsidR="00B54D51" w:rsidRPr="00037AD4" w:rsidRDefault="00B54D51" w:rsidP="00401C67">
            <w:pPr>
              <w:pStyle w:val="EndNoteBibliography"/>
              <w:rPr>
                <w:rFonts w:asciiTheme="minorHAnsi" w:hAnsiTheme="minorHAnsi" w:cstheme="minorHAnsi"/>
                <w:sz w:val="22"/>
                <w:szCs w:val="22"/>
                <w:lang w:val="en-GB"/>
              </w:rPr>
            </w:pPr>
          </w:p>
        </w:tc>
        <w:tc>
          <w:tcPr>
            <w:tcW w:w="1803" w:type="dxa"/>
          </w:tcPr>
          <w:p w14:paraId="73F9C61A" w14:textId="77777777" w:rsidR="00B54D51" w:rsidRPr="00037AD4" w:rsidRDefault="00B54D51" w:rsidP="00401C67">
            <w:pPr>
              <w:pStyle w:val="EndNoteBibliography"/>
              <w:rPr>
                <w:rFonts w:asciiTheme="minorHAnsi" w:hAnsiTheme="minorHAnsi" w:cstheme="minorHAnsi"/>
                <w:color w:val="202124"/>
                <w:sz w:val="22"/>
                <w:szCs w:val="22"/>
                <w:shd w:val="clear" w:color="auto" w:fill="FFFFFF"/>
                <w:lang w:val="en-GB"/>
              </w:rPr>
            </w:pPr>
            <w:r w:rsidRPr="00037AD4">
              <w:rPr>
                <w:rFonts w:ascii="Segoe UI Symbol" w:hAnsi="Segoe UI Symbol" w:cs="Segoe UI Symbol"/>
                <w:color w:val="202124"/>
                <w:sz w:val="22"/>
                <w:szCs w:val="22"/>
                <w:shd w:val="clear" w:color="auto" w:fill="FFFFFF"/>
                <w:lang w:val="en-GB"/>
              </w:rPr>
              <w:t>✓</w:t>
            </w:r>
          </w:p>
        </w:tc>
        <w:tc>
          <w:tcPr>
            <w:tcW w:w="1803" w:type="dxa"/>
          </w:tcPr>
          <w:p w14:paraId="5031CC3B" w14:textId="77777777" w:rsidR="00B54D51" w:rsidRPr="00037AD4" w:rsidRDefault="00B54D51" w:rsidP="00401C67">
            <w:pPr>
              <w:pStyle w:val="EndNoteBibliography"/>
              <w:rPr>
                <w:rFonts w:asciiTheme="minorHAnsi" w:hAnsiTheme="minorHAnsi" w:cstheme="minorHAnsi"/>
                <w:color w:val="202124"/>
                <w:sz w:val="22"/>
                <w:szCs w:val="22"/>
                <w:shd w:val="clear" w:color="auto" w:fill="FFFFFF"/>
                <w:lang w:val="en-GB"/>
              </w:rPr>
            </w:pPr>
          </w:p>
        </w:tc>
        <w:tc>
          <w:tcPr>
            <w:tcW w:w="1804" w:type="dxa"/>
          </w:tcPr>
          <w:p w14:paraId="2174C5C8" w14:textId="77777777" w:rsidR="00B54D51" w:rsidRPr="00037AD4" w:rsidRDefault="00B54D51" w:rsidP="00401C67">
            <w:pPr>
              <w:pStyle w:val="EndNoteBibliography"/>
              <w:rPr>
                <w:rFonts w:asciiTheme="minorHAnsi" w:hAnsiTheme="minorHAnsi" w:cstheme="minorHAnsi"/>
                <w:color w:val="202124"/>
                <w:sz w:val="22"/>
                <w:szCs w:val="22"/>
                <w:shd w:val="clear" w:color="auto" w:fill="FFFFFF"/>
                <w:lang w:val="en-GB"/>
              </w:rPr>
            </w:pPr>
            <w:r w:rsidRPr="00037AD4">
              <w:rPr>
                <w:rFonts w:ascii="Segoe UI Symbol" w:hAnsi="Segoe UI Symbol" w:cs="Segoe UI Symbol"/>
                <w:color w:val="202124"/>
                <w:sz w:val="22"/>
                <w:szCs w:val="22"/>
                <w:shd w:val="clear" w:color="auto" w:fill="FFFFFF"/>
                <w:lang w:val="en-GB"/>
              </w:rPr>
              <w:t>✓</w:t>
            </w:r>
          </w:p>
        </w:tc>
      </w:tr>
      <w:tr w:rsidR="00B54D51" w:rsidRPr="00037AD4" w14:paraId="19047BBB" w14:textId="77777777" w:rsidTr="00401C67">
        <w:tc>
          <w:tcPr>
            <w:tcW w:w="1803" w:type="dxa"/>
          </w:tcPr>
          <w:p w14:paraId="47CF09C5"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Theme="minorHAnsi" w:hAnsiTheme="minorHAnsi" w:cstheme="minorHAnsi"/>
                <w:sz w:val="22"/>
                <w:szCs w:val="22"/>
                <w:lang w:val="en-GB"/>
              </w:rPr>
              <w:t xml:space="preserve">Construction </w:t>
            </w:r>
          </w:p>
        </w:tc>
        <w:tc>
          <w:tcPr>
            <w:tcW w:w="1803" w:type="dxa"/>
          </w:tcPr>
          <w:p w14:paraId="6CB699B0" w14:textId="77777777" w:rsidR="00B54D51" w:rsidRPr="00037AD4" w:rsidRDefault="00B54D51" w:rsidP="00401C67">
            <w:pPr>
              <w:pStyle w:val="EndNoteBibliography"/>
              <w:rPr>
                <w:rFonts w:asciiTheme="minorHAnsi" w:hAnsiTheme="minorHAnsi" w:cstheme="minorHAnsi"/>
                <w:sz w:val="22"/>
                <w:szCs w:val="22"/>
                <w:lang w:val="en-GB"/>
              </w:rPr>
            </w:pPr>
          </w:p>
        </w:tc>
        <w:tc>
          <w:tcPr>
            <w:tcW w:w="1803" w:type="dxa"/>
          </w:tcPr>
          <w:p w14:paraId="3432EDF3" w14:textId="77777777" w:rsidR="00B54D51" w:rsidRPr="00037AD4" w:rsidRDefault="00B54D51" w:rsidP="00401C67">
            <w:pPr>
              <w:pStyle w:val="EndNoteBibliography"/>
              <w:rPr>
                <w:rFonts w:asciiTheme="minorHAnsi" w:hAnsiTheme="minorHAnsi" w:cstheme="minorHAnsi"/>
                <w:color w:val="202124"/>
                <w:sz w:val="22"/>
                <w:szCs w:val="22"/>
                <w:shd w:val="clear" w:color="auto" w:fill="FFFFFF"/>
                <w:lang w:val="en-GB"/>
              </w:rPr>
            </w:pPr>
          </w:p>
        </w:tc>
        <w:tc>
          <w:tcPr>
            <w:tcW w:w="1803" w:type="dxa"/>
          </w:tcPr>
          <w:p w14:paraId="20DF443E" w14:textId="77777777" w:rsidR="00B54D51" w:rsidRPr="00037AD4" w:rsidRDefault="00B54D51" w:rsidP="00401C67">
            <w:pPr>
              <w:pStyle w:val="EndNoteBibliography"/>
              <w:rPr>
                <w:rFonts w:asciiTheme="minorHAnsi" w:hAnsiTheme="minorHAnsi" w:cstheme="minorHAnsi"/>
                <w:color w:val="202124"/>
                <w:sz w:val="22"/>
                <w:szCs w:val="22"/>
                <w:shd w:val="clear" w:color="auto" w:fill="FFFFFF"/>
                <w:lang w:val="en-GB"/>
              </w:rPr>
            </w:pPr>
            <w:r w:rsidRPr="00037AD4">
              <w:rPr>
                <w:rFonts w:ascii="Segoe UI Symbol" w:hAnsi="Segoe UI Symbol" w:cs="Segoe UI Symbol"/>
                <w:color w:val="202124"/>
                <w:sz w:val="22"/>
                <w:szCs w:val="22"/>
                <w:shd w:val="clear" w:color="auto" w:fill="FFFFFF"/>
                <w:lang w:val="en-GB"/>
              </w:rPr>
              <w:t>✓</w:t>
            </w:r>
          </w:p>
        </w:tc>
        <w:tc>
          <w:tcPr>
            <w:tcW w:w="1804" w:type="dxa"/>
          </w:tcPr>
          <w:p w14:paraId="3049C482" w14:textId="77777777" w:rsidR="00B54D51" w:rsidRPr="00037AD4" w:rsidRDefault="00B54D51" w:rsidP="00401C67">
            <w:pPr>
              <w:pStyle w:val="EndNoteBibliography"/>
              <w:rPr>
                <w:rFonts w:asciiTheme="minorHAnsi" w:hAnsiTheme="minorHAnsi" w:cstheme="minorHAnsi"/>
                <w:color w:val="202124"/>
                <w:sz w:val="22"/>
                <w:szCs w:val="22"/>
                <w:shd w:val="clear" w:color="auto" w:fill="FFFFFF"/>
                <w:lang w:val="en-GB"/>
              </w:rPr>
            </w:pPr>
            <w:r w:rsidRPr="00037AD4">
              <w:rPr>
                <w:rFonts w:ascii="Segoe UI Symbol" w:hAnsi="Segoe UI Symbol" w:cs="Segoe UI Symbol"/>
                <w:color w:val="202124"/>
                <w:sz w:val="22"/>
                <w:szCs w:val="22"/>
                <w:shd w:val="clear" w:color="auto" w:fill="FFFFFF"/>
                <w:lang w:val="en-GB"/>
              </w:rPr>
              <w:t>✓</w:t>
            </w:r>
          </w:p>
        </w:tc>
      </w:tr>
    </w:tbl>
    <w:p w14:paraId="5C0B79DE" w14:textId="77777777" w:rsidR="00B54D51" w:rsidRPr="00037AD4" w:rsidRDefault="00B54D51" w:rsidP="001D7ACE">
      <w:pPr>
        <w:pStyle w:val="EndNoteBibliography"/>
        <w:rPr>
          <w:rFonts w:asciiTheme="minorHAnsi" w:hAnsiTheme="minorHAnsi" w:cstheme="minorHAnsi"/>
          <w:sz w:val="20"/>
          <w:szCs w:val="20"/>
          <w:lang w:val="en-GB"/>
        </w:rPr>
      </w:pPr>
      <w:r w:rsidRPr="00037AD4">
        <w:rPr>
          <w:rFonts w:asciiTheme="minorHAnsi" w:hAnsiTheme="minorHAnsi" w:cstheme="minorHAnsi"/>
          <w:sz w:val="20"/>
          <w:szCs w:val="20"/>
          <w:lang w:val="en-GB"/>
        </w:rPr>
        <w:t>*e.g., drawing task or maze</w:t>
      </w:r>
    </w:p>
    <w:p w14:paraId="584C6CD7" w14:textId="77777777" w:rsidR="00B54D51" w:rsidRPr="00037AD4" w:rsidRDefault="00B54D51" w:rsidP="001D7ACE">
      <w:pPr>
        <w:rPr>
          <w:rFonts w:asciiTheme="minorHAnsi" w:hAnsiTheme="minorHAnsi" w:cstheme="minorHAnsi"/>
          <w:b/>
          <w:bCs/>
          <w:u w:val="single"/>
        </w:rPr>
      </w:pPr>
    </w:p>
    <w:p w14:paraId="06F84CE6" w14:textId="77777777" w:rsidR="00B54D51" w:rsidRPr="00037AD4" w:rsidRDefault="00B54D51" w:rsidP="001D7ACE">
      <w:pPr>
        <w:rPr>
          <w:rFonts w:asciiTheme="minorHAnsi" w:hAnsiTheme="minorHAnsi" w:cstheme="minorHAnsi"/>
          <w:u w:val="single"/>
        </w:rPr>
      </w:pPr>
      <w:r w:rsidRPr="00037AD4">
        <w:rPr>
          <w:rFonts w:asciiTheme="minorHAnsi" w:hAnsiTheme="minorHAnsi" w:cstheme="minorHAnsi"/>
          <w:u w:val="single"/>
        </w:rPr>
        <w:t xml:space="preserve">Table A3.3b, Core function measure item list </w:t>
      </w:r>
    </w:p>
    <w:p w14:paraId="7EAAD065" w14:textId="77777777" w:rsidR="00B54D51" w:rsidRPr="00037AD4" w:rsidRDefault="00B54D51" w:rsidP="001D7ACE">
      <w:pPr>
        <w:pStyle w:val="EndNoteBibliography"/>
        <w:rPr>
          <w:rFonts w:asciiTheme="minorHAnsi" w:hAnsiTheme="minorHAnsi" w:cstheme="minorHAnsi"/>
          <w:b/>
          <w:bCs/>
          <w:sz w:val="22"/>
          <w:szCs w:val="22"/>
          <w:u w:val="single"/>
          <w:lang w:val="en-GB"/>
        </w:rPr>
      </w:pPr>
      <w:r w:rsidRPr="00037AD4">
        <w:rPr>
          <w:rFonts w:asciiTheme="minorHAnsi" w:hAnsiTheme="minorHAnsi" w:cstheme="minorHAnsi"/>
          <w:b/>
          <w:bCs/>
          <w:sz w:val="22"/>
          <w:szCs w:val="22"/>
          <w:u w:val="single"/>
          <w:lang w:val="en-GB"/>
        </w:rPr>
        <w:t xml:space="preserve"> </w:t>
      </w:r>
    </w:p>
    <w:tbl>
      <w:tblPr>
        <w:tblStyle w:val="TableGrid"/>
        <w:tblW w:w="0" w:type="auto"/>
        <w:tblLook w:val="04A0" w:firstRow="1" w:lastRow="0" w:firstColumn="1" w:lastColumn="0" w:noHBand="0" w:noVBand="1"/>
      </w:tblPr>
      <w:tblGrid>
        <w:gridCol w:w="1838"/>
        <w:gridCol w:w="997"/>
        <w:gridCol w:w="1205"/>
        <w:gridCol w:w="1220"/>
        <w:gridCol w:w="1232"/>
        <w:gridCol w:w="1203"/>
        <w:gridCol w:w="1231"/>
      </w:tblGrid>
      <w:tr w:rsidR="00B54D51" w:rsidRPr="00037AD4" w14:paraId="517D8816" w14:textId="77777777" w:rsidTr="00401C67">
        <w:trPr>
          <w:trHeight w:val="269"/>
        </w:trPr>
        <w:tc>
          <w:tcPr>
            <w:tcW w:w="1838" w:type="dxa"/>
            <w:tcBorders>
              <w:tl2br w:val="single" w:sz="4" w:space="0" w:color="auto"/>
            </w:tcBorders>
          </w:tcPr>
          <w:p w14:paraId="7A099F69" w14:textId="77777777" w:rsidR="00B54D51" w:rsidRPr="00037AD4" w:rsidRDefault="00B54D51" w:rsidP="00401C67">
            <w:pPr>
              <w:pStyle w:val="EndNoteBibliography"/>
              <w:jc w:val="right"/>
              <w:rPr>
                <w:rFonts w:asciiTheme="minorHAnsi" w:hAnsiTheme="minorHAnsi" w:cstheme="minorHAnsi"/>
                <w:b/>
                <w:bCs/>
                <w:sz w:val="26"/>
                <w:szCs w:val="26"/>
                <w:vertAlign w:val="superscript"/>
                <w:lang w:val="en-GB"/>
              </w:rPr>
            </w:pPr>
            <w:r w:rsidRPr="00037AD4">
              <w:rPr>
                <w:rFonts w:asciiTheme="minorHAnsi" w:hAnsiTheme="minorHAnsi" w:cstheme="minorHAnsi"/>
                <w:b/>
                <w:bCs/>
                <w:sz w:val="26"/>
                <w:szCs w:val="26"/>
                <w:vertAlign w:val="superscript"/>
                <w:lang w:val="en-GB"/>
              </w:rPr>
              <w:t>Scale</w:t>
            </w:r>
          </w:p>
          <w:p w14:paraId="5E356E90" w14:textId="77777777" w:rsidR="00B54D51" w:rsidRPr="00037AD4" w:rsidRDefault="00B54D51" w:rsidP="00401C67">
            <w:pPr>
              <w:pStyle w:val="EndNoteBibliography"/>
              <w:rPr>
                <w:rFonts w:asciiTheme="minorHAnsi" w:hAnsiTheme="minorHAnsi" w:cstheme="minorHAnsi"/>
                <w:b/>
                <w:bCs/>
                <w:sz w:val="26"/>
                <w:szCs w:val="26"/>
                <w:vertAlign w:val="superscript"/>
                <w:lang w:val="en-GB"/>
              </w:rPr>
            </w:pPr>
            <w:r w:rsidRPr="00037AD4">
              <w:rPr>
                <w:rFonts w:asciiTheme="minorHAnsi" w:hAnsiTheme="minorHAnsi" w:cstheme="minorHAnsi"/>
                <w:b/>
                <w:bCs/>
                <w:sz w:val="26"/>
                <w:szCs w:val="26"/>
                <w:vertAlign w:val="subscript"/>
                <w:lang w:val="en-GB"/>
              </w:rPr>
              <w:t>Item component</w:t>
            </w:r>
          </w:p>
        </w:tc>
        <w:tc>
          <w:tcPr>
            <w:tcW w:w="997" w:type="dxa"/>
          </w:tcPr>
          <w:p w14:paraId="42DF680C" w14:textId="77777777" w:rsidR="00B54D51" w:rsidRPr="00037AD4" w:rsidRDefault="00B54D51" w:rsidP="00401C67">
            <w:pPr>
              <w:pStyle w:val="EndNoteBibliography"/>
              <w:rPr>
                <w:rFonts w:asciiTheme="minorHAnsi" w:hAnsiTheme="minorHAnsi" w:cstheme="minorHAnsi"/>
                <w:b/>
                <w:bCs/>
                <w:sz w:val="22"/>
                <w:szCs w:val="22"/>
                <w:lang w:val="en-GB"/>
              </w:rPr>
            </w:pPr>
            <w:r w:rsidRPr="00037AD4">
              <w:rPr>
                <w:rFonts w:asciiTheme="minorHAnsi" w:hAnsiTheme="minorHAnsi" w:cstheme="minorHAnsi"/>
                <w:b/>
                <w:bCs/>
                <w:sz w:val="22"/>
                <w:szCs w:val="22"/>
                <w:lang w:val="en-GB"/>
              </w:rPr>
              <w:t>BADLS</w:t>
            </w:r>
          </w:p>
        </w:tc>
        <w:tc>
          <w:tcPr>
            <w:tcW w:w="1205" w:type="dxa"/>
          </w:tcPr>
          <w:p w14:paraId="0FA7771E" w14:textId="77777777" w:rsidR="00B54D51" w:rsidRPr="00037AD4" w:rsidRDefault="00B54D51" w:rsidP="00401C67">
            <w:pPr>
              <w:pStyle w:val="EndNoteBibliography"/>
              <w:rPr>
                <w:rFonts w:asciiTheme="minorHAnsi" w:hAnsiTheme="minorHAnsi" w:cstheme="minorHAnsi"/>
                <w:b/>
                <w:bCs/>
                <w:sz w:val="22"/>
                <w:szCs w:val="22"/>
                <w:lang w:val="en-GB"/>
              </w:rPr>
            </w:pPr>
            <w:r w:rsidRPr="00037AD4">
              <w:rPr>
                <w:rFonts w:asciiTheme="minorHAnsi" w:hAnsiTheme="minorHAnsi" w:cstheme="minorHAnsi"/>
                <w:b/>
                <w:bCs/>
                <w:sz w:val="22"/>
                <w:szCs w:val="22"/>
                <w:lang w:val="en-GB"/>
              </w:rPr>
              <w:t>DAD</w:t>
            </w:r>
          </w:p>
        </w:tc>
        <w:tc>
          <w:tcPr>
            <w:tcW w:w="1220" w:type="dxa"/>
          </w:tcPr>
          <w:p w14:paraId="26917CD0" w14:textId="77777777" w:rsidR="00B54D51" w:rsidRPr="00037AD4" w:rsidRDefault="00B54D51" w:rsidP="00401C67">
            <w:pPr>
              <w:pStyle w:val="EndNoteBibliography"/>
              <w:rPr>
                <w:rFonts w:asciiTheme="minorHAnsi" w:hAnsiTheme="minorHAnsi" w:cstheme="minorHAnsi"/>
                <w:b/>
                <w:bCs/>
                <w:sz w:val="22"/>
                <w:szCs w:val="22"/>
                <w:lang w:val="en-GB"/>
              </w:rPr>
            </w:pPr>
            <w:r w:rsidRPr="00037AD4">
              <w:rPr>
                <w:rFonts w:asciiTheme="minorHAnsi" w:hAnsiTheme="minorHAnsi" w:cstheme="minorHAnsi"/>
                <w:b/>
                <w:bCs/>
                <w:sz w:val="22"/>
                <w:szCs w:val="22"/>
                <w:lang w:val="en-GB"/>
              </w:rPr>
              <w:t>ADCS-ADL</w:t>
            </w:r>
          </w:p>
        </w:tc>
        <w:tc>
          <w:tcPr>
            <w:tcW w:w="1232" w:type="dxa"/>
          </w:tcPr>
          <w:p w14:paraId="366DF2E8" w14:textId="77777777" w:rsidR="00B54D51" w:rsidRPr="00037AD4" w:rsidRDefault="00B54D51" w:rsidP="00401C67">
            <w:pPr>
              <w:pStyle w:val="EndNoteBibliography"/>
              <w:rPr>
                <w:rFonts w:asciiTheme="minorHAnsi" w:hAnsiTheme="minorHAnsi" w:cstheme="minorHAnsi"/>
                <w:b/>
                <w:bCs/>
                <w:sz w:val="22"/>
                <w:szCs w:val="22"/>
                <w:lang w:val="en-GB"/>
              </w:rPr>
            </w:pPr>
            <w:r w:rsidRPr="00037AD4">
              <w:rPr>
                <w:rFonts w:asciiTheme="minorHAnsi" w:hAnsiTheme="minorHAnsi" w:cstheme="minorHAnsi"/>
                <w:b/>
                <w:bCs/>
                <w:sz w:val="22"/>
                <w:szCs w:val="22"/>
                <w:lang w:val="en-GB"/>
              </w:rPr>
              <w:t>Lawton</w:t>
            </w:r>
          </w:p>
        </w:tc>
        <w:tc>
          <w:tcPr>
            <w:tcW w:w="1203" w:type="dxa"/>
          </w:tcPr>
          <w:p w14:paraId="330C82BA" w14:textId="77777777" w:rsidR="00B54D51" w:rsidRPr="00037AD4" w:rsidRDefault="00B54D51" w:rsidP="00401C67">
            <w:pPr>
              <w:pStyle w:val="EndNoteBibliography"/>
              <w:rPr>
                <w:rFonts w:asciiTheme="minorHAnsi" w:hAnsiTheme="minorHAnsi" w:cstheme="minorHAnsi"/>
                <w:b/>
                <w:bCs/>
                <w:sz w:val="22"/>
                <w:szCs w:val="22"/>
                <w:lang w:val="en-GB"/>
              </w:rPr>
            </w:pPr>
            <w:r w:rsidRPr="00037AD4">
              <w:rPr>
                <w:rFonts w:asciiTheme="minorHAnsi" w:hAnsiTheme="minorHAnsi" w:cstheme="minorHAnsi"/>
                <w:b/>
                <w:bCs/>
                <w:sz w:val="22"/>
                <w:szCs w:val="22"/>
                <w:lang w:val="en-GB"/>
              </w:rPr>
              <w:t>Katz</w:t>
            </w:r>
          </w:p>
        </w:tc>
        <w:tc>
          <w:tcPr>
            <w:tcW w:w="1231" w:type="dxa"/>
          </w:tcPr>
          <w:p w14:paraId="01FFE840" w14:textId="77777777" w:rsidR="00B54D51" w:rsidRPr="00037AD4" w:rsidRDefault="00B54D51" w:rsidP="00401C67">
            <w:pPr>
              <w:pStyle w:val="EndNoteBibliography"/>
              <w:rPr>
                <w:rFonts w:asciiTheme="minorHAnsi" w:hAnsiTheme="minorHAnsi" w:cstheme="minorHAnsi"/>
                <w:b/>
                <w:bCs/>
                <w:sz w:val="22"/>
                <w:szCs w:val="22"/>
                <w:lang w:val="en-GB"/>
              </w:rPr>
            </w:pPr>
            <w:r w:rsidRPr="00037AD4">
              <w:rPr>
                <w:rFonts w:asciiTheme="minorHAnsi" w:hAnsiTheme="minorHAnsi" w:cstheme="minorHAnsi"/>
                <w:b/>
                <w:bCs/>
                <w:sz w:val="22"/>
                <w:szCs w:val="22"/>
                <w:lang w:val="en-GB"/>
              </w:rPr>
              <w:t>Barthel</w:t>
            </w:r>
          </w:p>
        </w:tc>
      </w:tr>
      <w:tr w:rsidR="00B54D51" w:rsidRPr="00037AD4" w14:paraId="4776CAE5" w14:textId="77777777" w:rsidTr="00401C67">
        <w:trPr>
          <w:trHeight w:val="280"/>
        </w:trPr>
        <w:tc>
          <w:tcPr>
            <w:tcW w:w="1838" w:type="dxa"/>
          </w:tcPr>
          <w:p w14:paraId="57DA8D9C"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Theme="minorHAnsi" w:hAnsiTheme="minorHAnsi" w:cstheme="minorHAnsi"/>
                <w:sz w:val="22"/>
                <w:szCs w:val="22"/>
                <w:lang w:val="en-GB"/>
              </w:rPr>
              <w:t>Feeding</w:t>
            </w:r>
          </w:p>
        </w:tc>
        <w:tc>
          <w:tcPr>
            <w:tcW w:w="997" w:type="dxa"/>
          </w:tcPr>
          <w:p w14:paraId="76776D70"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000000" w:themeColor="text1"/>
                <w:sz w:val="22"/>
                <w:szCs w:val="22"/>
                <w:shd w:val="clear" w:color="auto" w:fill="FFFFFF"/>
                <w:lang w:val="en-GB"/>
              </w:rPr>
              <w:t>✓</w:t>
            </w:r>
          </w:p>
        </w:tc>
        <w:tc>
          <w:tcPr>
            <w:tcW w:w="1205" w:type="dxa"/>
          </w:tcPr>
          <w:p w14:paraId="5EAE64BC"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000000" w:themeColor="text1"/>
                <w:sz w:val="22"/>
                <w:szCs w:val="22"/>
                <w:shd w:val="clear" w:color="auto" w:fill="FFFFFF"/>
                <w:lang w:val="en-GB"/>
              </w:rPr>
              <w:t>✓</w:t>
            </w:r>
          </w:p>
        </w:tc>
        <w:tc>
          <w:tcPr>
            <w:tcW w:w="1220" w:type="dxa"/>
          </w:tcPr>
          <w:p w14:paraId="635B74A9"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000000" w:themeColor="text1"/>
                <w:sz w:val="22"/>
                <w:szCs w:val="22"/>
                <w:shd w:val="clear" w:color="auto" w:fill="FFFFFF"/>
                <w:lang w:val="en-GB"/>
              </w:rPr>
              <w:t>✓</w:t>
            </w:r>
          </w:p>
        </w:tc>
        <w:tc>
          <w:tcPr>
            <w:tcW w:w="1232" w:type="dxa"/>
          </w:tcPr>
          <w:p w14:paraId="4697549B" w14:textId="77777777" w:rsidR="00B54D51" w:rsidRPr="00037AD4" w:rsidRDefault="00B54D51" w:rsidP="00401C67">
            <w:pPr>
              <w:pStyle w:val="EndNoteBibliography"/>
              <w:rPr>
                <w:rFonts w:asciiTheme="minorHAnsi" w:hAnsiTheme="minorHAnsi" w:cstheme="minorHAnsi"/>
                <w:sz w:val="22"/>
                <w:szCs w:val="22"/>
                <w:lang w:val="en-GB"/>
              </w:rPr>
            </w:pPr>
          </w:p>
        </w:tc>
        <w:tc>
          <w:tcPr>
            <w:tcW w:w="1203" w:type="dxa"/>
          </w:tcPr>
          <w:p w14:paraId="369596A6"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000000" w:themeColor="text1"/>
                <w:sz w:val="22"/>
                <w:szCs w:val="22"/>
                <w:shd w:val="clear" w:color="auto" w:fill="FFFFFF"/>
                <w:lang w:val="en-GB"/>
              </w:rPr>
              <w:t>✓</w:t>
            </w:r>
          </w:p>
        </w:tc>
        <w:tc>
          <w:tcPr>
            <w:tcW w:w="1231" w:type="dxa"/>
          </w:tcPr>
          <w:p w14:paraId="23C13E11"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000000" w:themeColor="text1"/>
                <w:sz w:val="22"/>
                <w:szCs w:val="22"/>
                <w:shd w:val="clear" w:color="auto" w:fill="FFFFFF"/>
                <w:lang w:val="en-GB"/>
              </w:rPr>
              <w:t>✓</w:t>
            </w:r>
          </w:p>
        </w:tc>
      </w:tr>
      <w:tr w:rsidR="00B54D51" w:rsidRPr="00037AD4" w14:paraId="2FF7D04D" w14:textId="77777777" w:rsidTr="00401C67">
        <w:trPr>
          <w:trHeight w:val="280"/>
        </w:trPr>
        <w:tc>
          <w:tcPr>
            <w:tcW w:w="1838" w:type="dxa"/>
          </w:tcPr>
          <w:p w14:paraId="3352A04A"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Theme="minorHAnsi" w:hAnsiTheme="minorHAnsi" w:cstheme="minorHAnsi"/>
                <w:sz w:val="22"/>
                <w:szCs w:val="22"/>
                <w:lang w:val="en-GB"/>
              </w:rPr>
              <w:t>Preparing food</w:t>
            </w:r>
          </w:p>
        </w:tc>
        <w:tc>
          <w:tcPr>
            <w:tcW w:w="997" w:type="dxa"/>
          </w:tcPr>
          <w:p w14:paraId="03DBFC58"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000000" w:themeColor="text1"/>
                <w:sz w:val="22"/>
                <w:szCs w:val="22"/>
                <w:shd w:val="clear" w:color="auto" w:fill="FFFFFF"/>
                <w:lang w:val="en-GB"/>
              </w:rPr>
              <w:t>✓</w:t>
            </w:r>
          </w:p>
        </w:tc>
        <w:tc>
          <w:tcPr>
            <w:tcW w:w="1205" w:type="dxa"/>
          </w:tcPr>
          <w:p w14:paraId="296C7E0F"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000000" w:themeColor="text1"/>
                <w:sz w:val="22"/>
                <w:szCs w:val="22"/>
                <w:shd w:val="clear" w:color="auto" w:fill="FFFFFF"/>
                <w:lang w:val="en-GB"/>
              </w:rPr>
              <w:t>✓</w:t>
            </w:r>
          </w:p>
        </w:tc>
        <w:tc>
          <w:tcPr>
            <w:tcW w:w="1220" w:type="dxa"/>
          </w:tcPr>
          <w:p w14:paraId="422CC0DE"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000000" w:themeColor="text1"/>
                <w:sz w:val="22"/>
                <w:szCs w:val="22"/>
                <w:shd w:val="clear" w:color="auto" w:fill="FFFFFF"/>
                <w:lang w:val="en-GB"/>
              </w:rPr>
              <w:t>✓</w:t>
            </w:r>
          </w:p>
        </w:tc>
        <w:tc>
          <w:tcPr>
            <w:tcW w:w="1232" w:type="dxa"/>
          </w:tcPr>
          <w:p w14:paraId="49EFE010"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000000" w:themeColor="text1"/>
                <w:sz w:val="22"/>
                <w:szCs w:val="22"/>
                <w:shd w:val="clear" w:color="auto" w:fill="FFFFFF"/>
                <w:lang w:val="en-GB"/>
              </w:rPr>
              <w:t>✓</w:t>
            </w:r>
          </w:p>
        </w:tc>
        <w:tc>
          <w:tcPr>
            <w:tcW w:w="1203" w:type="dxa"/>
          </w:tcPr>
          <w:p w14:paraId="1273905F" w14:textId="77777777" w:rsidR="00B54D51" w:rsidRPr="00037AD4" w:rsidRDefault="00B54D51" w:rsidP="00401C67">
            <w:pPr>
              <w:pStyle w:val="EndNoteBibliography"/>
              <w:rPr>
                <w:rFonts w:asciiTheme="minorHAnsi" w:hAnsiTheme="minorHAnsi" w:cstheme="minorHAnsi"/>
                <w:sz w:val="22"/>
                <w:szCs w:val="22"/>
                <w:lang w:val="en-GB"/>
              </w:rPr>
            </w:pPr>
          </w:p>
        </w:tc>
        <w:tc>
          <w:tcPr>
            <w:tcW w:w="1231" w:type="dxa"/>
          </w:tcPr>
          <w:p w14:paraId="767635B8" w14:textId="77777777" w:rsidR="00B54D51" w:rsidRPr="00037AD4" w:rsidRDefault="00B54D51" w:rsidP="00401C67">
            <w:pPr>
              <w:pStyle w:val="EndNoteBibliography"/>
              <w:rPr>
                <w:rFonts w:asciiTheme="minorHAnsi" w:hAnsiTheme="minorHAnsi" w:cstheme="minorHAnsi"/>
                <w:sz w:val="22"/>
                <w:szCs w:val="22"/>
                <w:lang w:val="en-GB"/>
              </w:rPr>
            </w:pPr>
          </w:p>
        </w:tc>
      </w:tr>
      <w:tr w:rsidR="00B54D51" w:rsidRPr="00037AD4" w14:paraId="27590770" w14:textId="77777777" w:rsidTr="00401C67">
        <w:trPr>
          <w:trHeight w:val="265"/>
        </w:trPr>
        <w:tc>
          <w:tcPr>
            <w:tcW w:w="1838" w:type="dxa"/>
          </w:tcPr>
          <w:p w14:paraId="50FEE892"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Theme="minorHAnsi" w:hAnsiTheme="minorHAnsi" w:cstheme="minorHAnsi"/>
                <w:sz w:val="22"/>
                <w:szCs w:val="22"/>
                <w:lang w:val="en-GB"/>
              </w:rPr>
              <w:t>Drinking</w:t>
            </w:r>
          </w:p>
        </w:tc>
        <w:tc>
          <w:tcPr>
            <w:tcW w:w="997" w:type="dxa"/>
          </w:tcPr>
          <w:p w14:paraId="5E2D17A2"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000000" w:themeColor="text1"/>
                <w:sz w:val="22"/>
                <w:szCs w:val="22"/>
                <w:shd w:val="clear" w:color="auto" w:fill="FFFFFF"/>
                <w:lang w:val="en-GB"/>
              </w:rPr>
              <w:t>✓</w:t>
            </w:r>
          </w:p>
        </w:tc>
        <w:tc>
          <w:tcPr>
            <w:tcW w:w="1205" w:type="dxa"/>
          </w:tcPr>
          <w:p w14:paraId="02F07F97" w14:textId="77777777" w:rsidR="00B54D51" w:rsidRPr="00037AD4" w:rsidRDefault="00B54D51" w:rsidP="00401C67">
            <w:pPr>
              <w:pStyle w:val="EndNoteBibliography"/>
              <w:rPr>
                <w:rFonts w:asciiTheme="minorHAnsi" w:hAnsiTheme="minorHAnsi" w:cstheme="minorHAnsi"/>
                <w:sz w:val="22"/>
                <w:szCs w:val="22"/>
                <w:lang w:val="en-GB"/>
              </w:rPr>
            </w:pPr>
          </w:p>
        </w:tc>
        <w:tc>
          <w:tcPr>
            <w:tcW w:w="1220" w:type="dxa"/>
          </w:tcPr>
          <w:p w14:paraId="5F5B803F" w14:textId="77777777" w:rsidR="00B54D51" w:rsidRPr="00037AD4" w:rsidRDefault="00B54D51" w:rsidP="00401C67">
            <w:pPr>
              <w:pStyle w:val="EndNoteBibliography"/>
              <w:rPr>
                <w:rFonts w:asciiTheme="minorHAnsi" w:hAnsiTheme="minorHAnsi" w:cstheme="minorHAnsi"/>
                <w:sz w:val="22"/>
                <w:szCs w:val="22"/>
                <w:lang w:val="en-GB"/>
              </w:rPr>
            </w:pPr>
          </w:p>
        </w:tc>
        <w:tc>
          <w:tcPr>
            <w:tcW w:w="1232" w:type="dxa"/>
          </w:tcPr>
          <w:p w14:paraId="5453DA2A" w14:textId="77777777" w:rsidR="00B54D51" w:rsidRPr="00037AD4" w:rsidRDefault="00B54D51" w:rsidP="00401C67">
            <w:pPr>
              <w:pStyle w:val="EndNoteBibliography"/>
              <w:rPr>
                <w:rFonts w:asciiTheme="minorHAnsi" w:hAnsiTheme="minorHAnsi" w:cstheme="minorHAnsi"/>
                <w:sz w:val="22"/>
                <w:szCs w:val="22"/>
                <w:lang w:val="en-GB"/>
              </w:rPr>
            </w:pPr>
          </w:p>
        </w:tc>
        <w:tc>
          <w:tcPr>
            <w:tcW w:w="1203" w:type="dxa"/>
          </w:tcPr>
          <w:p w14:paraId="2FE54F9B" w14:textId="77777777" w:rsidR="00B54D51" w:rsidRPr="00037AD4" w:rsidRDefault="00B54D51" w:rsidP="00401C67">
            <w:pPr>
              <w:pStyle w:val="EndNoteBibliography"/>
              <w:rPr>
                <w:rFonts w:asciiTheme="minorHAnsi" w:hAnsiTheme="minorHAnsi" w:cstheme="minorHAnsi"/>
                <w:sz w:val="22"/>
                <w:szCs w:val="22"/>
                <w:lang w:val="en-GB"/>
              </w:rPr>
            </w:pPr>
          </w:p>
        </w:tc>
        <w:tc>
          <w:tcPr>
            <w:tcW w:w="1231" w:type="dxa"/>
          </w:tcPr>
          <w:p w14:paraId="0B2BB8B1" w14:textId="77777777" w:rsidR="00B54D51" w:rsidRPr="00037AD4" w:rsidRDefault="00B54D51" w:rsidP="00401C67">
            <w:pPr>
              <w:pStyle w:val="EndNoteBibliography"/>
              <w:rPr>
                <w:rFonts w:asciiTheme="minorHAnsi" w:hAnsiTheme="minorHAnsi" w:cstheme="minorHAnsi"/>
                <w:sz w:val="22"/>
                <w:szCs w:val="22"/>
                <w:lang w:val="en-GB"/>
              </w:rPr>
            </w:pPr>
          </w:p>
        </w:tc>
      </w:tr>
      <w:tr w:rsidR="00B54D51" w:rsidRPr="00037AD4" w14:paraId="7929FA79" w14:textId="77777777" w:rsidTr="00401C67">
        <w:trPr>
          <w:trHeight w:val="516"/>
        </w:trPr>
        <w:tc>
          <w:tcPr>
            <w:tcW w:w="1838" w:type="dxa"/>
          </w:tcPr>
          <w:p w14:paraId="1D7F22D0"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Theme="minorHAnsi" w:hAnsiTheme="minorHAnsi" w:cstheme="minorHAnsi"/>
                <w:sz w:val="22"/>
                <w:szCs w:val="22"/>
                <w:lang w:val="en-GB"/>
              </w:rPr>
              <w:t>Preparing drinks</w:t>
            </w:r>
          </w:p>
        </w:tc>
        <w:tc>
          <w:tcPr>
            <w:tcW w:w="997" w:type="dxa"/>
          </w:tcPr>
          <w:p w14:paraId="31675836"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000000" w:themeColor="text1"/>
                <w:sz w:val="22"/>
                <w:szCs w:val="22"/>
                <w:shd w:val="clear" w:color="auto" w:fill="FFFFFF"/>
                <w:lang w:val="en-GB"/>
              </w:rPr>
              <w:t>✓</w:t>
            </w:r>
          </w:p>
        </w:tc>
        <w:tc>
          <w:tcPr>
            <w:tcW w:w="1205" w:type="dxa"/>
          </w:tcPr>
          <w:p w14:paraId="64AFD081" w14:textId="77777777" w:rsidR="00B54D51" w:rsidRPr="00037AD4" w:rsidRDefault="00B54D51" w:rsidP="00401C67">
            <w:pPr>
              <w:pStyle w:val="EndNoteBibliography"/>
              <w:rPr>
                <w:rFonts w:asciiTheme="minorHAnsi" w:hAnsiTheme="minorHAnsi" w:cstheme="minorHAnsi"/>
                <w:sz w:val="22"/>
                <w:szCs w:val="22"/>
                <w:lang w:val="en-GB"/>
              </w:rPr>
            </w:pPr>
          </w:p>
        </w:tc>
        <w:tc>
          <w:tcPr>
            <w:tcW w:w="1220" w:type="dxa"/>
          </w:tcPr>
          <w:p w14:paraId="47DECA3E"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000000" w:themeColor="text1"/>
                <w:sz w:val="22"/>
                <w:szCs w:val="22"/>
                <w:shd w:val="clear" w:color="auto" w:fill="FFFFFF"/>
                <w:lang w:val="en-GB"/>
              </w:rPr>
              <w:t>✓</w:t>
            </w:r>
          </w:p>
        </w:tc>
        <w:tc>
          <w:tcPr>
            <w:tcW w:w="1232" w:type="dxa"/>
          </w:tcPr>
          <w:p w14:paraId="49017D25" w14:textId="77777777" w:rsidR="00B54D51" w:rsidRPr="00037AD4" w:rsidRDefault="00B54D51" w:rsidP="00401C67">
            <w:pPr>
              <w:pStyle w:val="EndNoteBibliography"/>
              <w:rPr>
                <w:rFonts w:asciiTheme="minorHAnsi" w:hAnsiTheme="minorHAnsi" w:cstheme="minorHAnsi"/>
                <w:sz w:val="22"/>
                <w:szCs w:val="22"/>
                <w:lang w:val="en-GB"/>
              </w:rPr>
            </w:pPr>
          </w:p>
        </w:tc>
        <w:tc>
          <w:tcPr>
            <w:tcW w:w="1203" w:type="dxa"/>
          </w:tcPr>
          <w:p w14:paraId="592ADF5D" w14:textId="77777777" w:rsidR="00B54D51" w:rsidRPr="00037AD4" w:rsidRDefault="00B54D51" w:rsidP="00401C67">
            <w:pPr>
              <w:pStyle w:val="EndNoteBibliography"/>
              <w:rPr>
                <w:rFonts w:asciiTheme="minorHAnsi" w:hAnsiTheme="minorHAnsi" w:cstheme="minorHAnsi"/>
                <w:sz w:val="22"/>
                <w:szCs w:val="22"/>
                <w:lang w:val="en-GB"/>
              </w:rPr>
            </w:pPr>
          </w:p>
        </w:tc>
        <w:tc>
          <w:tcPr>
            <w:tcW w:w="1231" w:type="dxa"/>
          </w:tcPr>
          <w:p w14:paraId="5CC7D457" w14:textId="77777777" w:rsidR="00B54D51" w:rsidRPr="00037AD4" w:rsidRDefault="00B54D51" w:rsidP="00401C67">
            <w:pPr>
              <w:pStyle w:val="EndNoteBibliography"/>
              <w:rPr>
                <w:rFonts w:asciiTheme="minorHAnsi" w:hAnsiTheme="minorHAnsi" w:cstheme="minorHAnsi"/>
                <w:sz w:val="22"/>
                <w:szCs w:val="22"/>
                <w:lang w:val="en-GB"/>
              </w:rPr>
            </w:pPr>
          </w:p>
        </w:tc>
      </w:tr>
      <w:tr w:rsidR="00B54D51" w:rsidRPr="00037AD4" w14:paraId="6D7B83C4" w14:textId="77777777" w:rsidTr="00401C67">
        <w:trPr>
          <w:trHeight w:val="516"/>
        </w:trPr>
        <w:tc>
          <w:tcPr>
            <w:tcW w:w="1838" w:type="dxa"/>
          </w:tcPr>
          <w:p w14:paraId="5A7AF13C"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Theme="minorHAnsi" w:hAnsiTheme="minorHAnsi" w:cstheme="minorHAnsi"/>
                <w:sz w:val="22"/>
                <w:szCs w:val="22"/>
                <w:lang w:val="en-GB"/>
              </w:rPr>
              <w:t>Personal hygiene</w:t>
            </w:r>
          </w:p>
        </w:tc>
        <w:tc>
          <w:tcPr>
            <w:tcW w:w="997" w:type="dxa"/>
          </w:tcPr>
          <w:p w14:paraId="39857F9C"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000000" w:themeColor="text1"/>
                <w:sz w:val="22"/>
                <w:szCs w:val="22"/>
                <w:shd w:val="clear" w:color="auto" w:fill="FFFFFF"/>
                <w:lang w:val="en-GB"/>
              </w:rPr>
              <w:t>✓</w:t>
            </w:r>
          </w:p>
        </w:tc>
        <w:tc>
          <w:tcPr>
            <w:tcW w:w="1205" w:type="dxa"/>
          </w:tcPr>
          <w:p w14:paraId="517D6454"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000000" w:themeColor="text1"/>
                <w:sz w:val="22"/>
                <w:szCs w:val="22"/>
                <w:shd w:val="clear" w:color="auto" w:fill="FFFFFF"/>
                <w:lang w:val="en-GB"/>
              </w:rPr>
              <w:t>✓</w:t>
            </w:r>
          </w:p>
        </w:tc>
        <w:tc>
          <w:tcPr>
            <w:tcW w:w="1220" w:type="dxa"/>
          </w:tcPr>
          <w:p w14:paraId="527ED07E"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000000" w:themeColor="text1"/>
                <w:sz w:val="22"/>
                <w:szCs w:val="22"/>
                <w:shd w:val="clear" w:color="auto" w:fill="FFFFFF"/>
                <w:lang w:val="en-GB"/>
              </w:rPr>
              <w:t>✓</w:t>
            </w:r>
          </w:p>
        </w:tc>
        <w:tc>
          <w:tcPr>
            <w:tcW w:w="1232" w:type="dxa"/>
          </w:tcPr>
          <w:p w14:paraId="661153C7" w14:textId="77777777" w:rsidR="00B54D51" w:rsidRPr="00037AD4" w:rsidRDefault="00B54D51" w:rsidP="00401C67">
            <w:pPr>
              <w:pStyle w:val="EndNoteBibliography"/>
              <w:rPr>
                <w:rFonts w:asciiTheme="minorHAnsi" w:hAnsiTheme="minorHAnsi" w:cstheme="minorHAnsi"/>
                <w:sz w:val="22"/>
                <w:szCs w:val="22"/>
                <w:lang w:val="en-GB"/>
              </w:rPr>
            </w:pPr>
          </w:p>
        </w:tc>
        <w:tc>
          <w:tcPr>
            <w:tcW w:w="1203" w:type="dxa"/>
          </w:tcPr>
          <w:p w14:paraId="41C7E99C"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000000" w:themeColor="text1"/>
                <w:sz w:val="22"/>
                <w:szCs w:val="22"/>
                <w:shd w:val="clear" w:color="auto" w:fill="FFFFFF"/>
                <w:lang w:val="en-GB"/>
              </w:rPr>
              <w:t>✓</w:t>
            </w:r>
          </w:p>
        </w:tc>
        <w:tc>
          <w:tcPr>
            <w:tcW w:w="1231" w:type="dxa"/>
          </w:tcPr>
          <w:p w14:paraId="2D59EA3A"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000000" w:themeColor="text1"/>
                <w:sz w:val="22"/>
                <w:szCs w:val="22"/>
                <w:shd w:val="clear" w:color="auto" w:fill="FFFFFF"/>
                <w:lang w:val="en-GB"/>
              </w:rPr>
              <w:t>✓</w:t>
            </w:r>
          </w:p>
        </w:tc>
      </w:tr>
      <w:tr w:rsidR="00B54D51" w:rsidRPr="00037AD4" w14:paraId="10F131B9" w14:textId="77777777" w:rsidTr="00401C67">
        <w:trPr>
          <w:trHeight w:val="516"/>
        </w:trPr>
        <w:tc>
          <w:tcPr>
            <w:tcW w:w="1838" w:type="dxa"/>
          </w:tcPr>
          <w:p w14:paraId="367AE818"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Theme="minorHAnsi" w:hAnsiTheme="minorHAnsi" w:cstheme="minorHAnsi"/>
                <w:sz w:val="22"/>
                <w:szCs w:val="22"/>
                <w:lang w:val="en-GB"/>
              </w:rPr>
              <w:t>Dressing/ grooming</w:t>
            </w:r>
          </w:p>
        </w:tc>
        <w:tc>
          <w:tcPr>
            <w:tcW w:w="997" w:type="dxa"/>
          </w:tcPr>
          <w:p w14:paraId="2426BE28"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000000" w:themeColor="text1"/>
                <w:sz w:val="22"/>
                <w:szCs w:val="22"/>
                <w:shd w:val="clear" w:color="auto" w:fill="FFFFFF"/>
                <w:lang w:val="en-GB"/>
              </w:rPr>
              <w:t>✓</w:t>
            </w:r>
          </w:p>
        </w:tc>
        <w:tc>
          <w:tcPr>
            <w:tcW w:w="1205" w:type="dxa"/>
          </w:tcPr>
          <w:p w14:paraId="7D59CB69"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000000" w:themeColor="text1"/>
                <w:sz w:val="22"/>
                <w:szCs w:val="22"/>
                <w:shd w:val="clear" w:color="auto" w:fill="FFFFFF"/>
                <w:lang w:val="en-GB"/>
              </w:rPr>
              <w:t>✓</w:t>
            </w:r>
          </w:p>
        </w:tc>
        <w:tc>
          <w:tcPr>
            <w:tcW w:w="1220" w:type="dxa"/>
          </w:tcPr>
          <w:p w14:paraId="78DD74E6"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000000" w:themeColor="text1"/>
                <w:sz w:val="22"/>
                <w:szCs w:val="22"/>
                <w:shd w:val="clear" w:color="auto" w:fill="FFFFFF"/>
                <w:lang w:val="en-GB"/>
              </w:rPr>
              <w:t>✓</w:t>
            </w:r>
          </w:p>
        </w:tc>
        <w:tc>
          <w:tcPr>
            <w:tcW w:w="1232" w:type="dxa"/>
          </w:tcPr>
          <w:p w14:paraId="62DAA233" w14:textId="77777777" w:rsidR="00B54D51" w:rsidRPr="00037AD4" w:rsidRDefault="00B54D51" w:rsidP="00401C67">
            <w:pPr>
              <w:pStyle w:val="EndNoteBibliography"/>
              <w:rPr>
                <w:rFonts w:asciiTheme="minorHAnsi" w:hAnsiTheme="minorHAnsi" w:cstheme="minorHAnsi"/>
                <w:sz w:val="22"/>
                <w:szCs w:val="22"/>
                <w:lang w:val="en-GB"/>
              </w:rPr>
            </w:pPr>
          </w:p>
        </w:tc>
        <w:tc>
          <w:tcPr>
            <w:tcW w:w="1203" w:type="dxa"/>
          </w:tcPr>
          <w:p w14:paraId="788D6819"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000000" w:themeColor="text1"/>
                <w:sz w:val="22"/>
                <w:szCs w:val="22"/>
                <w:shd w:val="clear" w:color="auto" w:fill="FFFFFF"/>
                <w:lang w:val="en-GB"/>
              </w:rPr>
              <w:t>✓</w:t>
            </w:r>
          </w:p>
        </w:tc>
        <w:tc>
          <w:tcPr>
            <w:tcW w:w="1231" w:type="dxa"/>
          </w:tcPr>
          <w:p w14:paraId="63DF84A9"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000000" w:themeColor="text1"/>
                <w:sz w:val="22"/>
                <w:szCs w:val="22"/>
                <w:shd w:val="clear" w:color="auto" w:fill="FFFFFF"/>
                <w:lang w:val="en-GB"/>
              </w:rPr>
              <w:t>✓</w:t>
            </w:r>
          </w:p>
        </w:tc>
      </w:tr>
      <w:tr w:rsidR="00B54D51" w:rsidRPr="00037AD4" w14:paraId="4B6CC6AE" w14:textId="77777777" w:rsidTr="00401C67">
        <w:trPr>
          <w:trHeight w:val="265"/>
        </w:trPr>
        <w:tc>
          <w:tcPr>
            <w:tcW w:w="1838" w:type="dxa"/>
          </w:tcPr>
          <w:p w14:paraId="100D3005"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Theme="minorHAnsi" w:hAnsiTheme="minorHAnsi" w:cstheme="minorHAnsi"/>
                <w:sz w:val="22"/>
                <w:szCs w:val="22"/>
                <w:lang w:val="en-GB"/>
              </w:rPr>
              <w:t>Toilet use</w:t>
            </w:r>
          </w:p>
        </w:tc>
        <w:tc>
          <w:tcPr>
            <w:tcW w:w="997" w:type="dxa"/>
          </w:tcPr>
          <w:p w14:paraId="64F7F0ED"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000000" w:themeColor="text1"/>
                <w:sz w:val="22"/>
                <w:szCs w:val="22"/>
                <w:shd w:val="clear" w:color="auto" w:fill="FFFFFF"/>
                <w:lang w:val="en-GB"/>
              </w:rPr>
              <w:t>✓</w:t>
            </w:r>
          </w:p>
        </w:tc>
        <w:tc>
          <w:tcPr>
            <w:tcW w:w="1205" w:type="dxa"/>
          </w:tcPr>
          <w:p w14:paraId="16E2AE62"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000000" w:themeColor="text1"/>
                <w:sz w:val="22"/>
                <w:szCs w:val="22"/>
                <w:shd w:val="clear" w:color="auto" w:fill="FFFFFF"/>
                <w:lang w:val="en-GB"/>
              </w:rPr>
              <w:t>✓</w:t>
            </w:r>
          </w:p>
        </w:tc>
        <w:tc>
          <w:tcPr>
            <w:tcW w:w="1220" w:type="dxa"/>
          </w:tcPr>
          <w:p w14:paraId="1148A9DD"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000000" w:themeColor="text1"/>
                <w:sz w:val="22"/>
                <w:szCs w:val="22"/>
                <w:shd w:val="clear" w:color="auto" w:fill="FFFFFF"/>
                <w:lang w:val="en-GB"/>
              </w:rPr>
              <w:t>✓</w:t>
            </w:r>
          </w:p>
        </w:tc>
        <w:tc>
          <w:tcPr>
            <w:tcW w:w="1232" w:type="dxa"/>
          </w:tcPr>
          <w:p w14:paraId="2BA948F8" w14:textId="77777777" w:rsidR="00B54D51" w:rsidRPr="00037AD4" w:rsidRDefault="00B54D51" w:rsidP="00401C67">
            <w:pPr>
              <w:pStyle w:val="EndNoteBibliography"/>
              <w:rPr>
                <w:rFonts w:asciiTheme="minorHAnsi" w:hAnsiTheme="minorHAnsi" w:cstheme="minorHAnsi"/>
                <w:sz w:val="22"/>
                <w:szCs w:val="22"/>
                <w:lang w:val="en-GB"/>
              </w:rPr>
            </w:pPr>
          </w:p>
        </w:tc>
        <w:tc>
          <w:tcPr>
            <w:tcW w:w="1203" w:type="dxa"/>
          </w:tcPr>
          <w:p w14:paraId="18612917"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000000" w:themeColor="text1"/>
                <w:sz w:val="22"/>
                <w:szCs w:val="22"/>
                <w:shd w:val="clear" w:color="auto" w:fill="FFFFFF"/>
                <w:lang w:val="en-GB"/>
              </w:rPr>
              <w:t>✓</w:t>
            </w:r>
          </w:p>
        </w:tc>
        <w:tc>
          <w:tcPr>
            <w:tcW w:w="1231" w:type="dxa"/>
          </w:tcPr>
          <w:p w14:paraId="62720669"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000000" w:themeColor="text1"/>
                <w:sz w:val="22"/>
                <w:szCs w:val="22"/>
                <w:shd w:val="clear" w:color="auto" w:fill="FFFFFF"/>
                <w:lang w:val="en-GB"/>
              </w:rPr>
              <w:t>✓</w:t>
            </w:r>
          </w:p>
        </w:tc>
      </w:tr>
      <w:tr w:rsidR="00B54D51" w:rsidRPr="00037AD4" w14:paraId="2E747D0C" w14:textId="77777777" w:rsidTr="00401C67">
        <w:trPr>
          <w:trHeight w:val="280"/>
        </w:trPr>
        <w:tc>
          <w:tcPr>
            <w:tcW w:w="1838" w:type="dxa"/>
          </w:tcPr>
          <w:p w14:paraId="270EE791"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Theme="minorHAnsi" w:hAnsiTheme="minorHAnsi" w:cstheme="minorHAnsi"/>
                <w:sz w:val="22"/>
                <w:szCs w:val="22"/>
                <w:lang w:val="en-GB"/>
              </w:rPr>
              <w:t>Transfer</w:t>
            </w:r>
          </w:p>
        </w:tc>
        <w:tc>
          <w:tcPr>
            <w:tcW w:w="997" w:type="dxa"/>
          </w:tcPr>
          <w:p w14:paraId="01D65DCD"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000000" w:themeColor="text1"/>
                <w:sz w:val="22"/>
                <w:szCs w:val="22"/>
                <w:shd w:val="clear" w:color="auto" w:fill="FFFFFF"/>
                <w:lang w:val="en-GB"/>
              </w:rPr>
              <w:t>✓</w:t>
            </w:r>
          </w:p>
        </w:tc>
        <w:tc>
          <w:tcPr>
            <w:tcW w:w="1205" w:type="dxa"/>
          </w:tcPr>
          <w:p w14:paraId="17D936D3" w14:textId="77777777" w:rsidR="00B54D51" w:rsidRPr="00037AD4" w:rsidRDefault="00B54D51" w:rsidP="00401C67">
            <w:pPr>
              <w:pStyle w:val="EndNoteBibliography"/>
              <w:rPr>
                <w:rFonts w:asciiTheme="minorHAnsi" w:hAnsiTheme="minorHAnsi" w:cstheme="minorHAnsi"/>
                <w:sz w:val="22"/>
                <w:szCs w:val="22"/>
                <w:lang w:val="en-GB"/>
              </w:rPr>
            </w:pPr>
          </w:p>
        </w:tc>
        <w:tc>
          <w:tcPr>
            <w:tcW w:w="1220" w:type="dxa"/>
          </w:tcPr>
          <w:p w14:paraId="0318FCB9" w14:textId="77777777" w:rsidR="00B54D51" w:rsidRPr="00037AD4" w:rsidRDefault="00B54D51" w:rsidP="00401C67">
            <w:pPr>
              <w:pStyle w:val="EndNoteBibliography"/>
              <w:rPr>
                <w:rFonts w:asciiTheme="minorHAnsi" w:hAnsiTheme="minorHAnsi" w:cstheme="minorHAnsi"/>
                <w:sz w:val="22"/>
                <w:szCs w:val="22"/>
                <w:lang w:val="en-GB"/>
              </w:rPr>
            </w:pPr>
          </w:p>
        </w:tc>
        <w:tc>
          <w:tcPr>
            <w:tcW w:w="1232" w:type="dxa"/>
          </w:tcPr>
          <w:p w14:paraId="70A3F4EF" w14:textId="77777777" w:rsidR="00B54D51" w:rsidRPr="00037AD4" w:rsidRDefault="00B54D51" w:rsidP="00401C67">
            <w:pPr>
              <w:pStyle w:val="EndNoteBibliography"/>
              <w:rPr>
                <w:rFonts w:asciiTheme="minorHAnsi" w:hAnsiTheme="minorHAnsi" w:cstheme="minorHAnsi"/>
                <w:sz w:val="22"/>
                <w:szCs w:val="22"/>
                <w:lang w:val="en-GB"/>
              </w:rPr>
            </w:pPr>
          </w:p>
        </w:tc>
        <w:tc>
          <w:tcPr>
            <w:tcW w:w="1203" w:type="dxa"/>
          </w:tcPr>
          <w:p w14:paraId="5CF869B7"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000000" w:themeColor="text1"/>
                <w:sz w:val="22"/>
                <w:szCs w:val="22"/>
                <w:shd w:val="clear" w:color="auto" w:fill="FFFFFF"/>
                <w:lang w:val="en-GB"/>
              </w:rPr>
              <w:t>✓</w:t>
            </w:r>
          </w:p>
        </w:tc>
        <w:tc>
          <w:tcPr>
            <w:tcW w:w="1231" w:type="dxa"/>
          </w:tcPr>
          <w:p w14:paraId="40FC69D2"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000000" w:themeColor="text1"/>
                <w:sz w:val="22"/>
                <w:szCs w:val="22"/>
                <w:shd w:val="clear" w:color="auto" w:fill="FFFFFF"/>
                <w:lang w:val="en-GB"/>
              </w:rPr>
              <w:t>✓</w:t>
            </w:r>
          </w:p>
        </w:tc>
      </w:tr>
      <w:tr w:rsidR="00B54D51" w:rsidRPr="00037AD4" w14:paraId="60434EC3" w14:textId="77777777" w:rsidTr="00401C67">
        <w:trPr>
          <w:trHeight w:val="280"/>
        </w:trPr>
        <w:tc>
          <w:tcPr>
            <w:tcW w:w="1838" w:type="dxa"/>
          </w:tcPr>
          <w:p w14:paraId="45EE1471"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Theme="minorHAnsi" w:hAnsiTheme="minorHAnsi" w:cstheme="minorHAnsi"/>
                <w:sz w:val="22"/>
                <w:szCs w:val="22"/>
                <w:lang w:val="en-GB"/>
              </w:rPr>
              <w:t>Mobility</w:t>
            </w:r>
          </w:p>
        </w:tc>
        <w:tc>
          <w:tcPr>
            <w:tcW w:w="997" w:type="dxa"/>
          </w:tcPr>
          <w:p w14:paraId="59932025"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000000" w:themeColor="text1"/>
                <w:sz w:val="22"/>
                <w:szCs w:val="22"/>
                <w:shd w:val="clear" w:color="auto" w:fill="FFFFFF"/>
                <w:lang w:val="en-GB"/>
              </w:rPr>
              <w:t>✓</w:t>
            </w:r>
          </w:p>
        </w:tc>
        <w:tc>
          <w:tcPr>
            <w:tcW w:w="1205" w:type="dxa"/>
          </w:tcPr>
          <w:p w14:paraId="7C451743" w14:textId="77777777" w:rsidR="00B54D51" w:rsidRPr="00037AD4" w:rsidRDefault="00B54D51" w:rsidP="00401C67">
            <w:pPr>
              <w:pStyle w:val="EndNoteBibliography"/>
              <w:rPr>
                <w:rFonts w:asciiTheme="minorHAnsi" w:hAnsiTheme="minorHAnsi" w:cstheme="minorHAnsi"/>
                <w:sz w:val="22"/>
                <w:szCs w:val="22"/>
                <w:lang w:val="en-GB"/>
              </w:rPr>
            </w:pPr>
          </w:p>
        </w:tc>
        <w:tc>
          <w:tcPr>
            <w:tcW w:w="1220" w:type="dxa"/>
          </w:tcPr>
          <w:p w14:paraId="019A4DCB"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000000" w:themeColor="text1"/>
                <w:sz w:val="22"/>
                <w:szCs w:val="22"/>
                <w:shd w:val="clear" w:color="auto" w:fill="FFFFFF"/>
                <w:lang w:val="en-GB"/>
              </w:rPr>
              <w:t>✓</w:t>
            </w:r>
          </w:p>
        </w:tc>
        <w:tc>
          <w:tcPr>
            <w:tcW w:w="1232" w:type="dxa"/>
          </w:tcPr>
          <w:p w14:paraId="17A72051" w14:textId="77777777" w:rsidR="00B54D51" w:rsidRPr="00037AD4" w:rsidRDefault="00B54D51" w:rsidP="00401C67">
            <w:pPr>
              <w:pStyle w:val="EndNoteBibliography"/>
              <w:rPr>
                <w:rFonts w:asciiTheme="minorHAnsi" w:hAnsiTheme="minorHAnsi" w:cstheme="minorHAnsi"/>
                <w:sz w:val="22"/>
                <w:szCs w:val="22"/>
                <w:lang w:val="en-GB"/>
              </w:rPr>
            </w:pPr>
          </w:p>
        </w:tc>
        <w:tc>
          <w:tcPr>
            <w:tcW w:w="1203" w:type="dxa"/>
          </w:tcPr>
          <w:p w14:paraId="018F866B" w14:textId="77777777" w:rsidR="00B54D51" w:rsidRPr="00037AD4" w:rsidRDefault="00B54D51" w:rsidP="00401C67">
            <w:pPr>
              <w:pStyle w:val="EndNoteBibliography"/>
              <w:rPr>
                <w:rFonts w:asciiTheme="minorHAnsi" w:hAnsiTheme="minorHAnsi" w:cstheme="minorHAnsi"/>
                <w:sz w:val="22"/>
                <w:szCs w:val="22"/>
                <w:lang w:val="en-GB"/>
              </w:rPr>
            </w:pPr>
          </w:p>
        </w:tc>
        <w:tc>
          <w:tcPr>
            <w:tcW w:w="1231" w:type="dxa"/>
          </w:tcPr>
          <w:p w14:paraId="7A245E51"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000000" w:themeColor="text1"/>
                <w:sz w:val="22"/>
                <w:szCs w:val="22"/>
                <w:shd w:val="clear" w:color="auto" w:fill="FFFFFF"/>
                <w:lang w:val="en-GB"/>
              </w:rPr>
              <w:t>✓</w:t>
            </w:r>
          </w:p>
        </w:tc>
      </w:tr>
      <w:tr w:rsidR="00B54D51" w:rsidRPr="00037AD4" w14:paraId="68464486" w14:textId="77777777" w:rsidTr="00401C67">
        <w:trPr>
          <w:trHeight w:val="280"/>
        </w:trPr>
        <w:tc>
          <w:tcPr>
            <w:tcW w:w="1838" w:type="dxa"/>
          </w:tcPr>
          <w:p w14:paraId="113169E2"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Theme="minorHAnsi" w:hAnsiTheme="minorHAnsi" w:cstheme="minorHAnsi"/>
                <w:sz w:val="22"/>
                <w:szCs w:val="22"/>
                <w:lang w:val="en-GB"/>
              </w:rPr>
              <w:t>Stairs</w:t>
            </w:r>
          </w:p>
        </w:tc>
        <w:tc>
          <w:tcPr>
            <w:tcW w:w="997" w:type="dxa"/>
          </w:tcPr>
          <w:p w14:paraId="2FB7AAD1" w14:textId="77777777" w:rsidR="00B54D51" w:rsidRPr="00037AD4" w:rsidRDefault="00B54D51" w:rsidP="00401C67">
            <w:pPr>
              <w:pStyle w:val="EndNoteBibliography"/>
              <w:rPr>
                <w:rFonts w:asciiTheme="minorHAnsi" w:hAnsiTheme="minorHAnsi" w:cstheme="minorHAnsi"/>
                <w:sz w:val="22"/>
                <w:szCs w:val="22"/>
                <w:lang w:val="en-GB"/>
              </w:rPr>
            </w:pPr>
          </w:p>
        </w:tc>
        <w:tc>
          <w:tcPr>
            <w:tcW w:w="1205" w:type="dxa"/>
          </w:tcPr>
          <w:p w14:paraId="3420D1BE" w14:textId="77777777" w:rsidR="00B54D51" w:rsidRPr="00037AD4" w:rsidRDefault="00B54D51" w:rsidP="00401C67">
            <w:pPr>
              <w:pStyle w:val="EndNoteBibliography"/>
              <w:rPr>
                <w:rFonts w:asciiTheme="minorHAnsi" w:hAnsiTheme="minorHAnsi" w:cstheme="minorHAnsi"/>
                <w:sz w:val="22"/>
                <w:szCs w:val="22"/>
                <w:lang w:val="en-GB"/>
              </w:rPr>
            </w:pPr>
          </w:p>
        </w:tc>
        <w:tc>
          <w:tcPr>
            <w:tcW w:w="1220" w:type="dxa"/>
          </w:tcPr>
          <w:p w14:paraId="6A1B3A3E" w14:textId="77777777" w:rsidR="00B54D51" w:rsidRPr="00037AD4" w:rsidRDefault="00B54D51" w:rsidP="00401C67">
            <w:pPr>
              <w:pStyle w:val="EndNoteBibliography"/>
              <w:rPr>
                <w:rFonts w:asciiTheme="minorHAnsi" w:hAnsiTheme="minorHAnsi" w:cstheme="minorHAnsi"/>
                <w:sz w:val="22"/>
                <w:szCs w:val="22"/>
                <w:lang w:val="en-GB"/>
              </w:rPr>
            </w:pPr>
          </w:p>
        </w:tc>
        <w:tc>
          <w:tcPr>
            <w:tcW w:w="1232" w:type="dxa"/>
          </w:tcPr>
          <w:p w14:paraId="31963CA8" w14:textId="77777777" w:rsidR="00B54D51" w:rsidRPr="00037AD4" w:rsidRDefault="00B54D51" w:rsidP="00401C67">
            <w:pPr>
              <w:pStyle w:val="EndNoteBibliography"/>
              <w:rPr>
                <w:rFonts w:asciiTheme="minorHAnsi" w:hAnsiTheme="minorHAnsi" w:cstheme="minorHAnsi"/>
                <w:sz w:val="22"/>
                <w:szCs w:val="22"/>
                <w:lang w:val="en-GB"/>
              </w:rPr>
            </w:pPr>
          </w:p>
        </w:tc>
        <w:tc>
          <w:tcPr>
            <w:tcW w:w="1203" w:type="dxa"/>
          </w:tcPr>
          <w:p w14:paraId="6BA1D497" w14:textId="77777777" w:rsidR="00B54D51" w:rsidRPr="00037AD4" w:rsidRDefault="00B54D51" w:rsidP="00401C67">
            <w:pPr>
              <w:pStyle w:val="EndNoteBibliography"/>
              <w:rPr>
                <w:rFonts w:asciiTheme="minorHAnsi" w:hAnsiTheme="minorHAnsi" w:cstheme="minorHAnsi"/>
                <w:sz w:val="22"/>
                <w:szCs w:val="22"/>
                <w:lang w:val="en-GB"/>
              </w:rPr>
            </w:pPr>
          </w:p>
        </w:tc>
        <w:tc>
          <w:tcPr>
            <w:tcW w:w="1231" w:type="dxa"/>
          </w:tcPr>
          <w:p w14:paraId="3A65A3B6"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000000" w:themeColor="text1"/>
                <w:sz w:val="22"/>
                <w:szCs w:val="22"/>
                <w:shd w:val="clear" w:color="auto" w:fill="FFFFFF"/>
                <w:lang w:val="en-GB"/>
              </w:rPr>
              <w:t>✓</w:t>
            </w:r>
          </w:p>
        </w:tc>
      </w:tr>
      <w:tr w:rsidR="00B54D51" w:rsidRPr="00037AD4" w14:paraId="5A462674" w14:textId="77777777" w:rsidTr="00401C67">
        <w:trPr>
          <w:trHeight w:val="265"/>
        </w:trPr>
        <w:tc>
          <w:tcPr>
            <w:tcW w:w="1838" w:type="dxa"/>
          </w:tcPr>
          <w:p w14:paraId="6ABFA67D"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Theme="minorHAnsi" w:hAnsiTheme="minorHAnsi" w:cstheme="minorHAnsi"/>
                <w:sz w:val="22"/>
                <w:szCs w:val="22"/>
                <w:lang w:val="en-GB"/>
              </w:rPr>
              <w:t>Telephone</w:t>
            </w:r>
          </w:p>
        </w:tc>
        <w:tc>
          <w:tcPr>
            <w:tcW w:w="997" w:type="dxa"/>
          </w:tcPr>
          <w:p w14:paraId="5562F322"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000000" w:themeColor="text1"/>
                <w:sz w:val="22"/>
                <w:szCs w:val="22"/>
                <w:shd w:val="clear" w:color="auto" w:fill="FFFFFF"/>
                <w:lang w:val="en-GB"/>
              </w:rPr>
              <w:t>✓</w:t>
            </w:r>
          </w:p>
        </w:tc>
        <w:tc>
          <w:tcPr>
            <w:tcW w:w="1205" w:type="dxa"/>
          </w:tcPr>
          <w:p w14:paraId="50164481"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000000" w:themeColor="text1"/>
                <w:sz w:val="22"/>
                <w:szCs w:val="22"/>
                <w:shd w:val="clear" w:color="auto" w:fill="FFFFFF"/>
                <w:lang w:val="en-GB"/>
              </w:rPr>
              <w:t>✓</w:t>
            </w:r>
          </w:p>
        </w:tc>
        <w:tc>
          <w:tcPr>
            <w:tcW w:w="1220" w:type="dxa"/>
          </w:tcPr>
          <w:p w14:paraId="014EEAF3"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000000" w:themeColor="text1"/>
                <w:sz w:val="22"/>
                <w:szCs w:val="22"/>
                <w:shd w:val="clear" w:color="auto" w:fill="FFFFFF"/>
                <w:lang w:val="en-GB"/>
              </w:rPr>
              <w:t>✓</w:t>
            </w:r>
          </w:p>
        </w:tc>
        <w:tc>
          <w:tcPr>
            <w:tcW w:w="1232" w:type="dxa"/>
          </w:tcPr>
          <w:p w14:paraId="4B9816D6"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000000" w:themeColor="text1"/>
                <w:sz w:val="22"/>
                <w:szCs w:val="22"/>
                <w:shd w:val="clear" w:color="auto" w:fill="FFFFFF"/>
                <w:lang w:val="en-GB"/>
              </w:rPr>
              <w:t>✓</w:t>
            </w:r>
          </w:p>
        </w:tc>
        <w:tc>
          <w:tcPr>
            <w:tcW w:w="1203" w:type="dxa"/>
          </w:tcPr>
          <w:p w14:paraId="24B0F02E" w14:textId="77777777" w:rsidR="00B54D51" w:rsidRPr="00037AD4" w:rsidRDefault="00B54D51" w:rsidP="00401C67">
            <w:pPr>
              <w:pStyle w:val="EndNoteBibliography"/>
              <w:rPr>
                <w:rFonts w:asciiTheme="minorHAnsi" w:hAnsiTheme="minorHAnsi" w:cstheme="minorHAnsi"/>
                <w:sz w:val="22"/>
                <w:szCs w:val="22"/>
                <w:lang w:val="en-GB"/>
              </w:rPr>
            </w:pPr>
          </w:p>
        </w:tc>
        <w:tc>
          <w:tcPr>
            <w:tcW w:w="1231" w:type="dxa"/>
          </w:tcPr>
          <w:p w14:paraId="32FACAE3" w14:textId="77777777" w:rsidR="00B54D51" w:rsidRPr="00037AD4" w:rsidRDefault="00B54D51" w:rsidP="00401C67">
            <w:pPr>
              <w:pStyle w:val="EndNoteBibliography"/>
              <w:rPr>
                <w:rFonts w:asciiTheme="minorHAnsi" w:hAnsiTheme="minorHAnsi" w:cstheme="minorHAnsi"/>
                <w:sz w:val="22"/>
                <w:szCs w:val="22"/>
                <w:lang w:val="en-GB"/>
              </w:rPr>
            </w:pPr>
          </w:p>
        </w:tc>
      </w:tr>
      <w:tr w:rsidR="00B54D51" w:rsidRPr="00037AD4" w14:paraId="790B0C77" w14:textId="77777777" w:rsidTr="00401C67">
        <w:trPr>
          <w:trHeight w:val="280"/>
        </w:trPr>
        <w:tc>
          <w:tcPr>
            <w:tcW w:w="1838" w:type="dxa"/>
          </w:tcPr>
          <w:p w14:paraId="503E0EA0"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Theme="minorHAnsi" w:hAnsiTheme="minorHAnsi" w:cstheme="minorHAnsi"/>
                <w:sz w:val="22"/>
                <w:szCs w:val="22"/>
                <w:lang w:val="en-GB"/>
              </w:rPr>
              <w:t>Shopping</w:t>
            </w:r>
          </w:p>
        </w:tc>
        <w:tc>
          <w:tcPr>
            <w:tcW w:w="997" w:type="dxa"/>
          </w:tcPr>
          <w:p w14:paraId="77C3EBD6"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000000" w:themeColor="text1"/>
                <w:sz w:val="22"/>
                <w:szCs w:val="22"/>
                <w:shd w:val="clear" w:color="auto" w:fill="FFFFFF"/>
                <w:lang w:val="en-GB"/>
              </w:rPr>
              <w:t>✓</w:t>
            </w:r>
          </w:p>
        </w:tc>
        <w:tc>
          <w:tcPr>
            <w:tcW w:w="1205" w:type="dxa"/>
          </w:tcPr>
          <w:p w14:paraId="323B572C" w14:textId="77777777" w:rsidR="00B54D51" w:rsidRPr="00037AD4" w:rsidRDefault="00B54D51" w:rsidP="00401C67">
            <w:pPr>
              <w:pStyle w:val="EndNoteBibliography"/>
              <w:rPr>
                <w:rFonts w:asciiTheme="minorHAnsi" w:hAnsiTheme="minorHAnsi" w:cstheme="minorHAnsi"/>
                <w:sz w:val="22"/>
                <w:szCs w:val="22"/>
                <w:lang w:val="en-GB"/>
              </w:rPr>
            </w:pPr>
          </w:p>
        </w:tc>
        <w:tc>
          <w:tcPr>
            <w:tcW w:w="1220" w:type="dxa"/>
          </w:tcPr>
          <w:p w14:paraId="298BF227"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000000" w:themeColor="text1"/>
                <w:sz w:val="22"/>
                <w:szCs w:val="22"/>
                <w:shd w:val="clear" w:color="auto" w:fill="FFFFFF"/>
                <w:lang w:val="en-GB"/>
              </w:rPr>
              <w:t>✓</w:t>
            </w:r>
          </w:p>
        </w:tc>
        <w:tc>
          <w:tcPr>
            <w:tcW w:w="1232" w:type="dxa"/>
          </w:tcPr>
          <w:p w14:paraId="78D57A5C"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000000" w:themeColor="text1"/>
                <w:sz w:val="22"/>
                <w:szCs w:val="22"/>
                <w:shd w:val="clear" w:color="auto" w:fill="FFFFFF"/>
                <w:lang w:val="en-GB"/>
              </w:rPr>
              <w:t>✓</w:t>
            </w:r>
          </w:p>
        </w:tc>
        <w:tc>
          <w:tcPr>
            <w:tcW w:w="1203" w:type="dxa"/>
          </w:tcPr>
          <w:p w14:paraId="30C42478" w14:textId="77777777" w:rsidR="00B54D51" w:rsidRPr="00037AD4" w:rsidRDefault="00B54D51" w:rsidP="00401C67">
            <w:pPr>
              <w:pStyle w:val="EndNoteBibliography"/>
              <w:rPr>
                <w:rFonts w:asciiTheme="minorHAnsi" w:hAnsiTheme="minorHAnsi" w:cstheme="minorHAnsi"/>
                <w:sz w:val="22"/>
                <w:szCs w:val="22"/>
                <w:lang w:val="en-GB"/>
              </w:rPr>
            </w:pPr>
          </w:p>
        </w:tc>
        <w:tc>
          <w:tcPr>
            <w:tcW w:w="1231" w:type="dxa"/>
          </w:tcPr>
          <w:p w14:paraId="6FB7CB9C" w14:textId="77777777" w:rsidR="00B54D51" w:rsidRPr="00037AD4" w:rsidRDefault="00B54D51" w:rsidP="00401C67">
            <w:pPr>
              <w:pStyle w:val="EndNoteBibliography"/>
              <w:rPr>
                <w:rFonts w:asciiTheme="minorHAnsi" w:hAnsiTheme="minorHAnsi" w:cstheme="minorHAnsi"/>
                <w:sz w:val="22"/>
                <w:szCs w:val="22"/>
                <w:lang w:val="en-GB"/>
              </w:rPr>
            </w:pPr>
          </w:p>
        </w:tc>
      </w:tr>
      <w:tr w:rsidR="00B54D51" w:rsidRPr="00037AD4" w14:paraId="7AE712D0" w14:textId="77777777" w:rsidTr="00401C67">
        <w:trPr>
          <w:trHeight w:val="516"/>
        </w:trPr>
        <w:tc>
          <w:tcPr>
            <w:tcW w:w="1838" w:type="dxa"/>
          </w:tcPr>
          <w:p w14:paraId="37EA278B"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Theme="minorHAnsi" w:hAnsiTheme="minorHAnsi" w:cstheme="minorHAnsi"/>
                <w:sz w:val="22"/>
                <w:szCs w:val="22"/>
                <w:lang w:val="en-GB"/>
              </w:rPr>
              <w:t>Housekeeping/ chores</w:t>
            </w:r>
          </w:p>
        </w:tc>
        <w:tc>
          <w:tcPr>
            <w:tcW w:w="997" w:type="dxa"/>
          </w:tcPr>
          <w:p w14:paraId="2CFBD225"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000000" w:themeColor="text1"/>
                <w:sz w:val="22"/>
                <w:szCs w:val="22"/>
                <w:shd w:val="clear" w:color="auto" w:fill="FFFFFF"/>
                <w:lang w:val="en-GB"/>
              </w:rPr>
              <w:t>✓</w:t>
            </w:r>
          </w:p>
        </w:tc>
        <w:tc>
          <w:tcPr>
            <w:tcW w:w="1205" w:type="dxa"/>
          </w:tcPr>
          <w:p w14:paraId="53B99654"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000000" w:themeColor="text1"/>
                <w:sz w:val="22"/>
                <w:szCs w:val="22"/>
                <w:shd w:val="clear" w:color="auto" w:fill="FFFFFF"/>
                <w:lang w:val="en-GB"/>
              </w:rPr>
              <w:t>✓</w:t>
            </w:r>
          </w:p>
        </w:tc>
        <w:tc>
          <w:tcPr>
            <w:tcW w:w="1220" w:type="dxa"/>
          </w:tcPr>
          <w:p w14:paraId="11C8F9E6"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000000" w:themeColor="text1"/>
                <w:sz w:val="22"/>
                <w:szCs w:val="22"/>
                <w:shd w:val="clear" w:color="auto" w:fill="FFFFFF"/>
                <w:lang w:val="en-GB"/>
              </w:rPr>
              <w:t>✓</w:t>
            </w:r>
          </w:p>
        </w:tc>
        <w:tc>
          <w:tcPr>
            <w:tcW w:w="1232" w:type="dxa"/>
          </w:tcPr>
          <w:p w14:paraId="662796D0"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000000" w:themeColor="text1"/>
                <w:sz w:val="22"/>
                <w:szCs w:val="22"/>
                <w:shd w:val="clear" w:color="auto" w:fill="FFFFFF"/>
                <w:lang w:val="en-GB"/>
              </w:rPr>
              <w:t>✓</w:t>
            </w:r>
          </w:p>
        </w:tc>
        <w:tc>
          <w:tcPr>
            <w:tcW w:w="1203" w:type="dxa"/>
          </w:tcPr>
          <w:p w14:paraId="17D1947D" w14:textId="77777777" w:rsidR="00B54D51" w:rsidRPr="00037AD4" w:rsidRDefault="00B54D51" w:rsidP="00401C67">
            <w:pPr>
              <w:pStyle w:val="EndNoteBibliography"/>
              <w:rPr>
                <w:rFonts w:asciiTheme="minorHAnsi" w:hAnsiTheme="minorHAnsi" w:cstheme="minorHAnsi"/>
                <w:sz w:val="22"/>
                <w:szCs w:val="22"/>
                <w:lang w:val="en-GB"/>
              </w:rPr>
            </w:pPr>
          </w:p>
        </w:tc>
        <w:tc>
          <w:tcPr>
            <w:tcW w:w="1231" w:type="dxa"/>
          </w:tcPr>
          <w:p w14:paraId="5E3A3A9A" w14:textId="77777777" w:rsidR="00B54D51" w:rsidRPr="00037AD4" w:rsidRDefault="00B54D51" w:rsidP="00401C67">
            <w:pPr>
              <w:pStyle w:val="EndNoteBibliography"/>
              <w:rPr>
                <w:rFonts w:asciiTheme="minorHAnsi" w:hAnsiTheme="minorHAnsi" w:cstheme="minorHAnsi"/>
                <w:sz w:val="22"/>
                <w:szCs w:val="22"/>
                <w:lang w:val="en-GB"/>
              </w:rPr>
            </w:pPr>
          </w:p>
        </w:tc>
      </w:tr>
      <w:tr w:rsidR="00B54D51" w:rsidRPr="00037AD4" w14:paraId="1130517B" w14:textId="77777777" w:rsidTr="00401C67">
        <w:trPr>
          <w:trHeight w:val="280"/>
        </w:trPr>
        <w:tc>
          <w:tcPr>
            <w:tcW w:w="1838" w:type="dxa"/>
          </w:tcPr>
          <w:p w14:paraId="0DC9B2D9"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Theme="minorHAnsi" w:hAnsiTheme="minorHAnsi" w:cstheme="minorHAnsi"/>
                <w:sz w:val="22"/>
                <w:szCs w:val="22"/>
                <w:lang w:val="en-GB"/>
              </w:rPr>
              <w:t>Laundry</w:t>
            </w:r>
          </w:p>
        </w:tc>
        <w:tc>
          <w:tcPr>
            <w:tcW w:w="997" w:type="dxa"/>
          </w:tcPr>
          <w:p w14:paraId="0DDED6EC" w14:textId="77777777" w:rsidR="00B54D51" w:rsidRPr="00037AD4" w:rsidRDefault="00B54D51" w:rsidP="00401C67">
            <w:pPr>
              <w:pStyle w:val="EndNoteBibliography"/>
              <w:rPr>
                <w:rFonts w:asciiTheme="minorHAnsi" w:hAnsiTheme="minorHAnsi" w:cstheme="minorHAnsi"/>
                <w:sz w:val="22"/>
                <w:szCs w:val="22"/>
                <w:lang w:val="en-GB"/>
              </w:rPr>
            </w:pPr>
          </w:p>
        </w:tc>
        <w:tc>
          <w:tcPr>
            <w:tcW w:w="1205" w:type="dxa"/>
          </w:tcPr>
          <w:p w14:paraId="38E7D608" w14:textId="77777777" w:rsidR="00B54D51" w:rsidRPr="00037AD4" w:rsidRDefault="00B54D51" w:rsidP="00401C67">
            <w:pPr>
              <w:pStyle w:val="EndNoteBibliography"/>
              <w:rPr>
                <w:rFonts w:asciiTheme="minorHAnsi" w:hAnsiTheme="minorHAnsi" w:cstheme="minorHAnsi"/>
                <w:sz w:val="22"/>
                <w:szCs w:val="22"/>
                <w:lang w:val="en-GB"/>
              </w:rPr>
            </w:pPr>
          </w:p>
        </w:tc>
        <w:tc>
          <w:tcPr>
            <w:tcW w:w="1220" w:type="dxa"/>
          </w:tcPr>
          <w:p w14:paraId="310AB086" w14:textId="77777777" w:rsidR="00B54D51" w:rsidRPr="00037AD4" w:rsidRDefault="00B54D51" w:rsidP="00401C67">
            <w:pPr>
              <w:pStyle w:val="EndNoteBibliography"/>
              <w:rPr>
                <w:rFonts w:asciiTheme="minorHAnsi" w:hAnsiTheme="minorHAnsi" w:cstheme="minorHAnsi"/>
                <w:sz w:val="22"/>
                <w:szCs w:val="22"/>
                <w:lang w:val="en-GB"/>
              </w:rPr>
            </w:pPr>
          </w:p>
        </w:tc>
        <w:tc>
          <w:tcPr>
            <w:tcW w:w="1232" w:type="dxa"/>
          </w:tcPr>
          <w:p w14:paraId="0222C054"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000000" w:themeColor="text1"/>
                <w:sz w:val="22"/>
                <w:szCs w:val="22"/>
                <w:shd w:val="clear" w:color="auto" w:fill="FFFFFF"/>
                <w:lang w:val="en-GB"/>
              </w:rPr>
              <w:t>✓</w:t>
            </w:r>
          </w:p>
        </w:tc>
        <w:tc>
          <w:tcPr>
            <w:tcW w:w="1203" w:type="dxa"/>
          </w:tcPr>
          <w:p w14:paraId="0A38FA1C" w14:textId="77777777" w:rsidR="00B54D51" w:rsidRPr="00037AD4" w:rsidRDefault="00B54D51" w:rsidP="00401C67">
            <w:pPr>
              <w:pStyle w:val="EndNoteBibliography"/>
              <w:rPr>
                <w:rFonts w:asciiTheme="minorHAnsi" w:hAnsiTheme="minorHAnsi" w:cstheme="minorHAnsi"/>
                <w:sz w:val="22"/>
                <w:szCs w:val="22"/>
                <w:lang w:val="en-GB"/>
              </w:rPr>
            </w:pPr>
          </w:p>
        </w:tc>
        <w:tc>
          <w:tcPr>
            <w:tcW w:w="1231" w:type="dxa"/>
          </w:tcPr>
          <w:p w14:paraId="46DFC25D" w14:textId="77777777" w:rsidR="00B54D51" w:rsidRPr="00037AD4" w:rsidRDefault="00B54D51" w:rsidP="00401C67">
            <w:pPr>
              <w:pStyle w:val="EndNoteBibliography"/>
              <w:rPr>
                <w:rFonts w:asciiTheme="minorHAnsi" w:hAnsiTheme="minorHAnsi" w:cstheme="minorHAnsi"/>
                <w:sz w:val="22"/>
                <w:szCs w:val="22"/>
                <w:lang w:val="en-GB"/>
              </w:rPr>
            </w:pPr>
          </w:p>
        </w:tc>
      </w:tr>
      <w:tr w:rsidR="00B54D51" w:rsidRPr="00037AD4" w14:paraId="6504DF13" w14:textId="77777777" w:rsidTr="00401C67">
        <w:trPr>
          <w:trHeight w:val="265"/>
        </w:trPr>
        <w:tc>
          <w:tcPr>
            <w:tcW w:w="1838" w:type="dxa"/>
          </w:tcPr>
          <w:p w14:paraId="05B28EDD"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Theme="minorHAnsi" w:hAnsiTheme="minorHAnsi" w:cstheme="minorHAnsi"/>
                <w:sz w:val="22"/>
                <w:szCs w:val="22"/>
                <w:lang w:val="en-GB"/>
              </w:rPr>
              <w:t>Transport</w:t>
            </w:r>
          </w:p>
        </w:tc>
        <w:tc>
          <w:tcPr>
            <w:tcW w:w="997" w:type="dxa"/>
          </w:tcPr>
          <w:p w14:paraId="2E1F6A16"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000000" w:themeColor="text1"/>
                <w:sz w:val="22"/>
                <w:szCs w:val="22"/>
                <w:shd w:val="clear" w:color="auto" w:fill="FFFFFF"/>
                <w:lang w:val="en-GB"/>
              </w:rPr>
              <w:t>✓</w:t>
            </w:r>
          </w:p>
        </w:tc>
        <w:tc>
          <w:tcPr>
            <w:tcW w:w="1205" w:type="dxa"/>
          </w:tcPr>
          <w:p w14:paraId="06359182"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000000" w:themeColor="text1"/>
                <w:sz w:val="22"/>
                <w:szCs w:val="22"/>
                <w:shd w:val="clear" w:color="auto" w:fill="FFFFFF"/>
                <w:lang w:val="en-GB"/>
              </w:rPr>
              <w:t>✓</w:t>
            </w:r>
          </w:p>
        </w:tc>
        <w:tc>
          <w:tcPr>
            <w:tcW w:w="1220" w:type="dxa"/>
          </w:tcPr>
          <w:p w14:paraId="501BCE97"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000000" w:themeColor="text1"/>
                <w:sz w:val="22"/>
                <w:szCs w:val="22"/>
                <w:shd w:val="clear" w:color="auto" w:fill="FFFFFF"/>
                <w:lang w:val="en-GB"/>
              </w:rPr>
              <w:t>✓</w:t>
            </w:r>
          </w:p>
        </w:tc>
        <w:tc>
          <w:tcPr>
            <w:tcW w:w="1232" w:type="dxa"/>
          </w:tcPr>
          <w:p w14:paraId="55D150B2"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000000" w:themeColor="text1"/>
                <w:sz w:val="22"/>
                <w:szCs w:val="22"/>
                <w:shd w:val="clear" w:color="auto" w:fill="FFFFFF"/>
                <w:lang w:val="en-GB"/>
              </w:rPr>
              <w:t>✓</w:t>
            </w:r>
          </w:p>
        </w:tc>
        <w:tc>
          <w:tcPr>
            <w:tcW w:w="1203" w:type="dxa"/>
          </w:tcPr>
          <w:p w14:paraId="5A118E56" w14:textId="77777777" w:rsidR="00B54D51" w:rsidRPr="00037AD4" w:rsidRDefault="00B54D51" w:rsidP="00401C67">
            <w:pPr>
              <w:pStyle w:val="EndNoteBibliography"/>
              <w:rPr>
                <w:rFonts w:asciiTheme="minorHAnsi" w:hAnsiTheme="minorHAnsi" w:cstheme="minorHAnsi"/>
                <w:sz w:val="22"/>
                <w:szCs w:val="22"/>
                <w:lang w:val="en-GB"/>
              </w:rPr>
            </w:pPr>
          </w:p>
        </w:tc>
        <w:tc>
          <w:tcPr>
            <w:tcW w:w="1231" w:type="dxa"/>
          </w:tcPr>
          <w:p w14:paraId="6E8E52A1" w14:textId="77777777" w:rsidR="00B54D51" w:rsidRPr="00037AD4" w:rsidRDefault="00B54D51" w:rsidP="00401C67">
            <w:pPr>
              <w:pStyle w:val="EndNoteBibliography"/>
              <w:rPr>
                <w:rFonts w:asciiTheme="minorHAnsi" w:hAnsiTheme="minorHAnsi" w:cstheme="minorHAnsi"/>
                <w:sz w:val="22"/>
                <w:szCs w:val="22"/>
                <w:lang w:val="en-GB"/>
              </w:rPr>
            </w:pPr>
          </w:p>
        </w:tc>
      </w:tr>
      <w:tr w:rsidR="00B54D51" w:rsidRPr="00037AD4" w14:paraId="62719327" w14:textId="77777777" w:rsidTr="00401C67">
        <w:trPr>
          <w:trHeight w:val="280"/>
        </w:trPr>
        <w:tc>
          <w:tcPr>
            <w:tcW w:w="1838" w:type="dxa"/>
          </w:tcPr>
          <w:p w14:paraId="06EECE06"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Theme="minorHAnsi" w:hAnsiTheme="minorHAnsi" w:cstheme="minorHAnsi"/>
                <w:sz w:val="22"/>
                <w:szCs w:val="22"/>
                <w:lang w:val="en-GB"/>
              </w:rPr>
              <w:t xml:space="preserve">Medication </w:t>
            </w:r>
          </w:p>
        </w:tc>
        <w:tc>
          <w:tcPr>
            <w:tcW w:w="997" w:type="dxa"/>
          </w:tcPr>
          <w:p w14:paraId="126261CC" w14:textId="77777777" w:rsidR="00B54D51" w:rsidRPr="00037AD4" w:rsidRDefault="00B54D51" w:rsidP="00401C67">
            <w:pPr>
              <w:pStyle w:val="EndNoteBibliography"/>
              <w:rPr>
                <w:rFonts w:asciiTheme="minorHAnsi" w:hAnsiTheme="minorHAnsi" w:cstheme="minorHAnsi"/>
                <w:sz w:val="22"/>
                <w:szCs w:val="22"/>
                <w:lang w:val="en-GB"/>
              </w:rPr>
            </w:pPr>
          </w:p>
        </w:tc>
        <w:tc>
          <w:tcPr>
            <w:tcW w:w="1205" w:type="dxa"/>
          </w:tcPr>
          <w:p w14:paraId="634E89A0"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000000" w:themeColor="text1"/>
                <w:sz w:val="22"/>
                <w:szCs w:val="22"/>
                <w:shd w:val="clear" w:color="auto" w:fill="FFFFFF"/>
                <w:lang w:val="en-GB"/>
              </w:rPr>
              <w:t>✓</w:t>
            </w:r>
          </w:p>
        </w:tc>
        <w:tc>
          <w:tcPr>
            <w:tcW w:w="1220" w:type="dxa"/>
          </w:tcPr>
          <w:p w14:paraId="5702BA02" w14:textId="77777777" w:rsidR="00B54D51" w:rsidRPr="00037AD4" w:rsidRDefault="00B54D51" w:rsidP="00401C67">
            <w:pPr>
              <w:pStyle w:val="EndNoteBibliography"/>
              <w:rPr>
                <w:rFonts w:asciiTheme="minorHAnsi" w:hAnsiTheme="minorHAnsi" w:cstheme="minorHAnsi"/>
                <w:sz w:val="22"/>
                <w:szCs w:val="22"/>
                <w:lang w:val="en-GB"/>
              </w:rPr>
            </w:pPr>
          </w:p>
        </w:tc>
        <w:tc>
          <w:tcPr>
            <w:tcW w:w="1232" w:type="dxa"/>
          </w:tcPr>
          <w:p w14:paraId="1EA6B45F"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000000" w:themeColor="text1"/>
                <w:sz w:val="22"/>
                <w:szCs w:val="22"/>
                <w:shd w:val="clear" w:color="auto" w:fill="FFFFFF"/>
                <w:lang w:val="en-GB"/>
              </w:rPr>
              <w:t>✓</w:t>
            </w:r>
          </w:p>
        </w:tc>
        <w:tc>
          <w:tcPr>
            <w:tcW w:w="1203" w:type="dxa"/>
          </w:tcPr>
          <w:p w14:paraId="7C626B96" w14:textId="77777777" w:rsidR="00B54D51" w:rsidRPr="00037AD4" w:rsidRDefault="00B54D51" w:rsidP="00401C67">
            <w:pPr>
              <w:pStyle w:val="EndNoteBibliography"/>
              <w:rPr>
                <w:rFonts w:asciiTheme="minorHAnsi" w:hAnsiTheme="minorHAnsi" w:cstheme="minorHAnsi"/>
                <w:sz w:val="22"/>
                <w:szCs w:val="22"/>
                <w:lang w:val="en-GB"/>
              </w:rPr>
            </w:pPr>
          </w:p>
        </w:tc>
        <w:tc>
          <w:tcPr>
            <w:tcW w:w="1231" w:type="dxa"/>
          </w:tcPr>
          <w:p w14:paraId="66C659D8" w14:textId="77777777" w:rsidR="00B54D51" w:rsidRPr="00037AD4" w:rsidRDefault="00B54D51" w:rsidP="00401C67">
            <w:pPr>
              <w:pStyle w:val="EndNoteBibliography"/>
              <w:rPr>
                <w:rFonts w:asciiTheme="minorHAnsi" w:hAnsiTheme="minorHAnsi" w:cstheme="minorHAnsi"/>
                <w:sz w:val="22"/>
                <w:szCs w:val="22"/>
                <w:lang w:val="en-GB"/>
              </w:rPr>
            </w:pPr>
          </w:p>
        </w:tc>
      </w:tr>
      <w:tr w:rsidR="00B54D51" w:rsidRPr="00037AD4" w14:paraId="44744F57" w14:textId="77777777" w:rsidTr="00401C67">
        <w:trPr>
          <w:trHeight w:val="280"/>
        </w:trPr>
        <w:tc>
          <w:tcPr>
            <w:tcW w:w="1838" w:type="dxa"/>
          </w:tcPr>
          <w:p w14:paraId="3A271749"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Theme="minorHAnsi" w:hAnsiTheme="minorHAnsi" w:cstheme="minorHAnsi"/>
                <w:sz w:val="22"/>
                <w:szCs w:val="22"/>
                <w:lang w:val="en-GB"/>
              </w:rPr>
              <w:t xml:space="preserve">Finances </w:t>
            </w:r>
          </w:p>
        </w:tc>
        <w:tc>
          <w:tcPr>
            <w:tcW w:w="997" w:type="dxa"/>
          </w:tcPr>
          <w:p w14:paraId="08B51660"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000000" w:themeColor="text1"/>
                <w:sz w:val="22"/>
                <w:szCs w:val="22"/>
                <w:shd w:val="clear" w:color="auto" w:fill="FFFFFF"/>
                <w:lang w:val="en-GB"/>
              </w:rPr>
              <w:t>✓</w:t>
            </w:r>
          </w:p>
        </w:tc>
        <w:tc>
          <w:tcPr>
            <w:tcW w:w="1205" w:type="dxa"/>
          </w:tcPr>
          <w:p w14:paraId="262825F6" w14:textId="77777777" w:rsidR="00B54D51" w:rsidRPr="00037AD4" w:rsidRDefault="00B54D51" w:rsidP="00401C67">
            <w:pPr>
              <w:pStyle w:val="EndNoteBibliography"/>
              <w:rPr>
                <w:rFonts w:asciiTheme="minorHAnsi" w:hAnsiTheme="minorHAnsi" w:cstheme="minorHAnsi"/>
                <w:sz w:val="22"/>
                <w:szCs w:val="22"/>
                <w:lang w:val="en-GB"/>
              </w:rPr>
            </w:pPr>
          </w:p>
        </w:tc>
        <w:tc>
          <w:tcPr>
            <w:tcW w:w="1220" w:type="dxa"/>
          </w:tcPr>
          <w:p w14:paraId="6D4513F9" w14:textId="77777777" w:rsidR="00B54D51" w:rsidRPr="00037AD4" w:rsidRDefault="00B54D51" w:rsidP="00401C67">
            <w:pPr>
              <w:pStyle w:val="EndNoteBibliography"/>
              <w:rPr>
                <w:rFonts w:asciiTheme="minorHAnsi" w:hAnsiTheme="minorHAnsi" w:cstheme="minorHAnsi"/>
                <w:sz w:val="22"/>
                <w:szCs w:val="22"/>
                <w:lang w:val="en-GB"/>
              </w:rPr>
            </w:pPr>
          </w:p>
        </w:tc>
        <w:tc>
          <w:tcPr>
            <w:tcW w:w="1232" w:type="dxa"/>
          </w:tcPr>
          <w:p w14:paraId="0E1C2DD9"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000000" w:themeColor="text1"/>
                <w:sz w:val="22"/>
                <w:szCs w:val="22"/>
                <w:shd w:val="clear" w:color="auto" w:fill="FFFFFF"/>
                <w:lang w:val="en-GB"/>
              </w:rPr>
              <w:t>✓</w:t>
            </w:r>
          </w:p>
        </w:tc>
        <w:tc>
          <w:tcPr>
            <w:tcW w:w="1203" w:type="dxa"/>
          </w:tcPr>
          <w:p w14:paraId="6A179101" w14:textId="77777777" w:rsidR="00B54D51" w:rsidRPr="00037AD4" w:rsidRDefault="00B54D51" w:rsidP="00401C67">
            <w:pPr>
              <w:pStyle w:val="EndNoteBibliography"/>
              <w:rPr>
                <w:rFonts w:asciiTheme="minorHAnsi" w:hAnsiTheme="minorHAnsi" w:cstheme="minorHAnsi"/>
                <w:sz w:val="22"/>
                <w:szCs w:val="22"/>
                <w:lang w:val="en-GB"/>
              </w:rPr>
            </w:pPr>
          </w:p>
        </w:tc>
        <w:tc>
          <w:tcPr>
            <w:tcW w:w="1231" w:type="dxa"/>
          </w:tcPr>
          <w:p w14:paraId="2522D5E4" w14:textId="77777777" w:rsidR="00B54D51" w:rsidRPr="00037AD4" w:rsidRDefault="00B54D51" w:rsidP="00401C67">
            <w:pPr>
              <w:pStyle w:val="EndNoteBibliography"/>
              <w:rPr>
                <w:rFonts w:asciiTheme="minorHAnsi" w:hAnsiTheme="minorHAnsi" w:cstheme="minorHAnsi"/>
                <w:sz w:val="22"/>
                <w:szCs w:val="22"/>
                <w:lang w:val="en-GB"/>
              </w:rPr>
            </w:pPr>
          </w:p>
        </w:tc>
      </w:tr>
      <w:tr w:rsidR="00B54D51" w:rsidRPr="00037AD4" w14:paraId="62595D15" w14:textId="77777777" w:rsidTr="00401C67">
        <w:trPr>
          <w:trHeight w:val="265"/>
        </w:trPr>
        <w:tc>
          <w:tcPr>
            <w:tcW w:w="1838" w:type="dxa"/>
          </w:tcPr>
          <w:p w14:paraId="3D148955"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Theme="minorHAnsi" w:hAnsiTheme="minorHAnsi" w:cstheme="minorHAnsi"/>
                <w:sz w:val="22"/>
                <w:szCs w:val="22"/>
                <w:lang w:val="en-GB"/>
              </w:rPr>
              <w:t xml:space="preserve">Television </w:t>
            </w:r>
          </w:p>
        </w:tc>
        <w:tc>
          <w:tcPr>
            <w:tcW w:w="997" w:type="dxa"/>
          </w:tcPr>
          <w:p w14:paraId="57E55BB7" w14:textId="77777777" w:rsidR="00B54D51" w:rsidRPr="00037AD4" w:rsidRDefault="00B54D51" w:rsidP="00401C67">
            <w:pPr>
              <w:pStyle w:val="EndNoteBibliography"/>
              <w:rPr>
                <w:rFonts w:asciiTheme="minorHAnsi" w:hAnsiTheme="minorHAnsi" w:cstheme="minorHAnsi"/>
                <w:sz w:val="22"/>
                <w:szCs w:val="22"/>
                <w:lang w:val="en-GB"/>
              </w:rPr>
            </w:pPr>
          </w:p>
        </w:tc>
        <w:tc>
          <w:tcPr>
            <w:tcW w:w="1205" w:type="dxa"/>
          </w:tcPr>
          <w:p w14:paraId="14FC7385" w14:textId="77777777" w:rsidR="00B54D51" w:rsidRPr="00037AD4" w:rsidRDefault="00B54D51" w:rsidP="00401C67">
            <w:pPr>
              <w:pStyle w:val="EndNoteBibliography"/>
              <w:rPr>
                <w:rFonts w:asciiTheme="minorHAnsi" w:hAnsiTheme="minorHAnsi" w:cstheme="minorHAnsi"/>
                <w:sz w:val="22"/>
                <w:szCs w:val="22"/>
                <w:lang w:val="en-GB"/>
              </w:rPr>
            </w:pPr>
          </w:p>
        </w:tc>
        <w:tc>
          <w:tcPr>
            <w:tcW w:w="1220" w:type="dxa"/>
          </w:tcPr>
          <w:p w14:paraId="33E86858"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000000" w:themeColor="text1"/>
                <w:sz w:val="22"/>
                <w:szCs w:val="22"/>
                <w:shd w:val="clear" w:color="auto" w:fill="FFFFFF"/>
                <w:lang w:val="en-GB"/>
              </w:rPr>
              <w:t>✓</w:t>
            </w:r>
          </w:p>
        </w:tc>
        <w:tc>
          <w:tcPr>
            <w:tcW w:w="1232" w:type="dxa"/>
          </w:tcPr>
          <w:p w14:paraId="75F7C631" w14:textId="77777777" w:rsidR="00B54D51" w:rsidRPr="00037AD4" w:rsidRDefault="00B54D51" w:rsidP="00401C67">
            <w:pPr>
              <w:pStyle w:val="EndNoteBibliography"/>
              <w:rPr>
                <w:rFonts w:asciiTheme="minorHAnsi" w:hAnsiTheme="minorHAnsi" w:cstheme="minorHAnsi"/>
                <w:sz w:val="22"/>
                <w:szCs w:val="22"/>
                <w:lang w:val="en-GB"/>
              </w:rPr>
            </w:pPr>
          </w:p>
        </w:tc>
        <w:tc>
          <w:tcPr>
            <w:tcW w:w="1203" w:type="dxa"/>
          </w:tcPr>
          <w:p w14:paraId="3D7B37EB" w14:textId="77777777" w:rsidR="00B54D51" w:rsidRPr="00037AD4" w:rsidRDefault="00B54D51" w:rsidP="00401C67">
            <w:pPr>
              <w:pStyle w:val="EndNoteBibliography"/>
              <w:rPr>
                <w:rFonts w:asciiTheme="minorHAnsi" w:hAnsiTheme="minorHAnsi" w:cstheme="minorHAnsi"/>
                <w:sz w:val="22"/>
                <w:szCs w:val="22"/>
                <w:lang w:val="en-GB"/>
              </w:rPr>
            </w:pPr>
          </w:p>
        </w:tc>
        <w:tc>
          <w:tcPr>
            <w:tcW w:w="1231" w:type="dxa"/>
          </w:tcPr>
          <w:p w14:paraId="3B1CFE6D" w14:textId="77777777" w:rsidR="00B54D51" w:rsidRPr="00037AD4" w:rsidRDefault="00B54D51" w:rsidP="00401C67">
            <w:pPr>
              <w:pStyle w:val="EndNoteBibliography"/>
              <w:rPr>
                <w:rFonts w:asciiTheme="minorHAnsi" w:hAnsiTheme="minorHAnsi" w:cstheme="minorHAnsi"/>
                <w:sz w:val="22"/>
                <w:szCs w:val="22"/>
                <w:lang w:val="en-GB"/>
              </w:rPr>
            </w:pPr>
          </w:p>
        </w:tc>
      </w:tr>
      <w:tr w:rsidR="00B54D51" w:rsidRPr="00037AD4" w14:paraId="217C8CC9" w14:textId="77777777" w:rsidTr="00401C67">
        <w:trPr>
          <w:trHeight w:val="280"/>
        </w:trPr>
        <w:tc>
          <w:tcPr>
            <w:tcW w:w="1838" w:type="dxa"/>
          </w:tcPr>
          <w:p w14:paraId="1954E565"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Theme="minorHAnsi" w:hAnsiTheme="minorHAnsi" w:cstheme="minorHAnsi"/>
                <w:sz w:val="22"/>
                <w:szCs w:val="22"/>
                <w:lang w:val="en-GB"/>
              </w:rPr>
              <w:t xml:space="preserve">Conversation </w:t>
            </w:r>
          </w:p>
        </w:tc>
        <w:tc>
          <w:tcPr>
            <w:tcW w:w="997" w:type="dxa"/>
          </w:tcPr>
          <w:p w14:paraId="68F10358"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000000" w:themeColor="text1"/>
                <w:sz w:val="22"/>
                <w:szCs w:val="22"/>
                <w:shd w:val="clear" w:color="auto" w:fill="FFFFFF"/>
                <w:lang w:val="en-GB"/>
              </w:rPr>
              <w:t>✓</w:t>
            </w:r>
          </w:p>
        </w:tc>
        <w:tc>
          <w:tcPr>
            <w:tcW w:w="1205" w:type="dxa"/>
          </w:tcPr>
          <w:p w14:paraId="011A34E5" w14:textId="77777777" w:rsidR="00B54D51" w:rsidRPr="00037AD4" w:rsidRDefault="00B54D51" w:rsidP="00401C67">
            <w:pPr>
              <w:pStyle w:val="EndNoteBibliography"/>
              <w:rPr>
                <w:rFonts w:asciiTheme="minorHAnsi" w:hAnsiTheme="minorHAnsi" w:cstheme="minorHAnsi"/>
                <w:sz w:val="22"/>
                <w:szCs w:val="22"/>
                <w:lang w:val="en-GB"/>
              </w:rPr>
            </w:pPr>
          </w:p>
        </w:tc>
        <w:tc>
          <w:tcPr>
            <w:tcW w:w="1220" w:type="dxa"/>
          </w:tcPr>
          <w:p w14:paraId="656BD436"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000000" w:themeColor="text1"/>
                <w:sz w:val="22"/>
                <w:szCs w:val="22"/>
                <w:shd w:val="clear" w:color="auto" w:fill="FFFFFF"/>
                <w:lang w:val="en-GB"/>
              </w:rPr>
              <w:t>✓</w:t>
            </w:r>
          </w:p>
        </w:tc>
        <w:tc>
          <w:tcPr>
            <w:tcW w:w="1232" w:type="dxa"/>
          </w:tcPr>
          <w:p w14:paraId="74B8FD19" w14:textId="77777777" w:rsidR="00B54D51" w:rsidRPr="00037AD4" w:rsidRDefault="00B54D51" w:rsidP="00401C67">
            <w:pPr>
              <w:pStyle w:val="EndNoteBibliography"/>
              <w:rPr>
                <w:rFonts w:asciiTheme="minorHAnsi" w:hAnsiTheme="minorHAnsi" w:cstheme="minorHAnsi"/>
                <w:sz w:val="22"/>
                <w:szCs w:val="22"/>
                <w:lang w:val="en-GB"/>
              </w:rPr>
            </w:pPr>
          </w:p>
        </w:tc>
        <w:tc>
          <w:tcPr>
            <w:tcW w:w="1203" w:type="dxa"/>
          </w:tcPr>
          <w:p w14:paraId="77D29972" w14:textId="77777777" w:rsidR="00B54D51" w:rsidRPr="00037AD4" w:rsidRDefault="00B54D51" w:rsidP="00401C67">
            <w:pPr>
              <w:pStyle w:val="EndNoteBibliography"/>
              <w:rPr>
                <w:rFonts w:asciiTheme="minorHAnsi" w:hAnsiTheme="minorHAnsi" w:cstheme="minorHAnsi"/>
                <w:sz w:val="22"/>
                <w:szCs w:val="22"/>
                <w:lang w:val="en-GB"/>
              </w:rPr>
            </w:pPr>
          </w:p>
        </w:tc>
        <w:tc>
          <w:tcPr>
            <w:tcW w:w="1231" w:type="dxa"/>
          </w:tcPr>
          <w:p w14:paraId="6555A3DF" w14:textId="77777777" w:rsidR="00B54D51" w:rsidRPr="00037AD4" w:rsidRDefault="00B54D51" w:rsidP="00401C67">
            <w:pPr>
              <w:pStyle w:val="EndNoteBibliography"/>
              <w:rPr>
                <w:rFonts w:asciiTheme="minorHAnsi" w:hAnsiTheme="minorHAnsi" w:cstheme="minorHAnsi"/>
                <w:sz w:val="22"/>
                <w:szCs w:val="22"/>
                <w:lang w:val="en-GB"/>
              </w:rPr>
            </w:pPr>
          </w:p>
        </w:tc>
      </w:tr>
      <w:tr w:rsidR="00B54D51" w:rsidRPr="00037AD4" w14:paraId="7FEDC709" w14:textId="77777777" w:rsidTr="00401C67">
        <w:trPr>
          <w:trHeight w:val="280"/>
        </w:trPr>
        <w:tc>
          <w:tcPr>
            <w:tcW w:w="1838" w:type="dxa"/>
          </w:tcPr>
          <w:p w14:paraId="4231CEA4"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Theme="minorHAnsi" w:hAnsiTheme="minorHAnsi" w:cstheme="minorHAnsi"/>
                <w:sz w:val="22"/>
                <w:szCs w:val="22"/>
                <w:lang w:val="en-GB"/>
              </w:rPr>
              <w:t xml:space="preserve">Finding things </w:t>
            </w:r>
          </w:p>
        </w:tc>
        <w:tc>
          <w:tcPr>
            <w:tcW w:w="997" w:type="dxa"/>
          </w:tcPr>
          <w:p w14:paraId="0BD13855" w14:textId="77777777" w:rsidR="00B54D51" w:rsidRPr="00037AD4" w:rsidRDefault="00B54D51" w:rsidP="00401C67">
            <w:pPr>
              <w:pStyle w:val="EndNoteBibliography"/>
              <w:rPr>
                <w:rFonts w:asciiTheme="minorHAnsi" w:hAnsiTheme="minorHAnsi" w:cstheme="minorHAnsi"/>
                <w:sz w:val="22"/>
                <w:szCs w:val="22"/>
                <w:lang w:val="en-GB"/>
              </w:rPr>
            </w:pPr>
          </w:p>
        </w:tc>
        <w:tc>
          <w:tcPr>
            <w:tcW w:w="1205" w:type="dxa"/>
          </w:tcPr>
          <w:p w14:paraId="746AC4AE" w14:textId="77777777" w:rsidR="00B54D51" w:rsidRPr="00037AD4" w:rsidRDefault="00B54D51" w:rsidP="00401C67">
            <w:pPr>
              <w:pStyle w:val="EndNoteBibliography"/>
              <w:rPr>
                <w:rFonts w:asciiTheme="minorHAnsi" w:hAnsiTheme="minorHAnsi" w:cstheme="minorHAnsi"/>
                <w:sz w:val="22"/>
                <w:szCs w:val="22"/>
                <w:lang w:val="en-GB"/>
              </w:rPr>
            </w:pPr>
          </w:p>
        </w:tc>
        <w:tc>
          <w:tcPr>
            <w:tcW w:w="1220" w:type="dxa"/>
          </w:tcPr>
          <w:p w14:paraId="3F084311"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000000" w:themeColor="text1"/>
                <w:sz w:val="22"/>
                <w:szCs w:val="22"/>
                <w:shd w:val="clear" w:color="auto" w:fill="FFFFFF"/>
                <w:lang w:val="en-GB"/>
              </w:rPr>
              <w:t>✓</w:t>
            </w:r>
          </w:p>
        </w:tc>
        <w:tc>
          <w:tcPr>
            <w:tcW w:w="1232" w:type="dxa"/>
          </w:tcPr>
          <w:p w14:paraId="3B01C6C2" w14:textId="77777777" w:rsidR="00B54D51" w:rsidRPr="00037AD4" w:rsidRDefault="00B54D51" w:rsidP="00401C67">
            <w:pPr>
              <w:pStyle w:val="EndNoteBibliography"/>
              <w:rPr>
                <w:rFonts w:asciiTheme="minorHAnsi" w:hAnsiTheme="minorHAnsi" w:cstheme="minorHAnsi"/>
                <w:sz w:val="22"/>
                <w:szCs w:val="22"/>
                <w:lang w:val="en-GB"/>
              </w:rPr>
            </w:pPr>
          </w:p>
        </w:tc>
        <w:tc>
          <w:tcPr>
            <w:tcW w:w="1203" w:type="dxa"/>
          </w:tcPr>
          <w:p w14:paraId="4E32C350" w14:textId="77777777" w:rsidR="00B54D51" w:rsidRPr="00037AD4" w:rsidRDefault="00B54D51" w:rsidP="00401C67">
            <w:pPr>
              <w:pStyle w:val="EndNoteBibliography"/>
              <w:rPr>
                <w:rFonts w:asciiTheme="minorHAnsi" w:hAnsiTheme="minorHAnsi" w:cstheme="minorHAnsi"/>
                <w:sz w:val="22"/>
                <w:szCs w:val="22"/>
                <w:lang w:val="en-GB"/>
              </w:rPr>
            </w:pPr>
          </w:p>
        </w:tc>
        <w:tc>
          <w:tcPr>
            <w:tcW w:w="1231" w:type="dxa"/>
          </w:tcPr>
          <w:p w14:paraId="0C7BAECE" w14:textId="77777777" w:rsidR="00B54D51" w:rsidRPr="00037AD4" w:rsidRDefault="00B54D51" w:rsidP="00401C67">
            <w:pPr>
              <w:pStyle w:val="EndNoteBibliography"/>
              <w:rPr>
                <w:rFonts w:asciiTheme="minorHAnsi" w:hAnsiTheme="minorHAnsi" w:cstheme="minorHAnsi"/>
                <w:sz w:val="22"/>
                <w:szCs w:val="22"/>
                <w:lang w:val="en-GB"/>
              </w:rPr>
            </w:pPr>
          </w:p>
        </w:tc>
      </w:tr>
      <w:tr w:rsidR="00B54D51" w:rsidRPr="00037AD4" w14:paraId="10DF901D" w14:textId="77777777" w:rsidTr="00401C67">
        <w:trPr>
          <w:trHeight w:val="265"/>
        </w:trPr>
        <w:tc>
          <w:tcPr>
            <w:tcW w:w="1838" w:type="dxa"/>
          </w:tcPr>
          <w:p w14:paraId="5FF998EE"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Theme="minorHAnsi" w:hAnsiTheme="minorHAnsi" w:cstheme="minorHAnsi"/>
                <w:sz w:val="22"/>
                <w:szCs w:val="22"/>
                <w:lang w:val="en-GB"/>
              </w:rPr>
              <w:t xml:space="preserve">Appointments </w:t>
            </w:r>
          </w:p>
        </w:tc>
        <w:tc>
          <w:tcPr>
            <w:tcW w:w="997" w:type="dxa"/>
          </w:tcPr>
          <w:p w14:paraId="056CDBA0" w14:textId="77777777" w:rsidR="00B54D51" w:rsidRPr="00037AD4" w:rsidRDefault="00B54D51" w:rsidP="00401C67">
            <w:pPr>
              <w:pStyle w:val="EndNoteBibliography"/>
              <w:rPr>
                <w:rFonts w:asciiTheme="minorHAnsi" w:hAnsiTheme="minorHAnsi" w:cstheme="minorHAnsi"/>
                <w:sz w:val="22"/>
                <w:szCs w:val="22"/>
                <w:lang w:val="en-GB"/>
              </w:rPr>
            </w:pPr>
          </w:p>
        </w:tc>
        <w:tc>
          <w:tcPr>
            <w:tcW w:w="1205" w:type="dxa"/>
          </w:tcPr>
          <w:p w14:paraId="3C323196" w14:textId="77777777" w:rsidR="00B54D51" w:rsidRPr="00037AD4" w:rsidRDefault="00B54D51" w:rsidP="00401C67">
            <w:pPr>
              <w:pStyle w:val="EndNoteBibliography"/>
              <w:rPr>
                <w:rFonts w:asciiTheme="minorHAnsi" w:hAnsiTheme="minorHAnsi" w:cstheme="minorHAnsi"/>
                <w:sz w:val="22"/>
                <w:szCs w:val="22"/>
                <w:lang w:val="en-GB"/>
              </w:rPr>
            </w:pPr>
          </w:p>
        </w:tc>
        <w:tc>
          <w:tcPr>
            <w:tcW w:w="1220" w:type="dxa"/>
          </w:tcPr>
          <w:p w14:paraId="6CA524A0"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000000" w:themeColor="text1"/>
                <w:sz w:val="22"/>
                <w:szCs w:val="22"/>
                <w:shd w:val="clear" w:color="auto" w:fill="FFFFFF"/>
                <w:lang w:val="en-GB"/>
              </w:rPr>
              <w:t>✓</w:t>
            </w:r>
          </w:p>
        </w:tc>
        <w:tc>
          <w:tcPr>
            <w:tcW w:w="1232" w:type="dxa"/>
          </w:tcPr>
          <w:p w14:paraId="167B05DD" w14:textId="77777777" w:rsidR="00B54D51" w:rsidRPr="00037AD4" w:rsidRDefault="00B54D51" w:rsidP="00401C67">
            <w:pPr>
              <w:pStyle w:val="EndNoteBibliography"/>
              <w:rPr>
                <w:rFonts w:asciiTheme="minorHAnsi" w:hAnsiTheme="minorHAnsi" w:cstheme="minorHAnsi"/>
                <w:sz w:val="22"/>
                <w:szCs w:val="22"/>
                <w:lang w:val="en-GB"/>
              </w:rPr>
            </w:pPr>
          </w:p>
        </w:tc>
        <w:tc>
          <w:tcPr>
            <w:tcW w:w="1203" w:type="dxa"/>
          </w:tcPr>
          <w:p w14:paraId="089CACF4" w14:textId="77777777" w:rsidR="00B54D51" w:rsidRPr="00037AD4" w:rsidRDefault="00B54D51" w:rsidP="00401C67">
            <w:pPr>
              <w:pStyle w:val="EndNoteBibliography"/>
              <w:rPr>
                <w:rFonts w:asciiTheme="minorHAnsi" w:hAnsiTheme="minorHAnsi" w:cstheme="minorHAnsi"/>
                <w:sz w:val="22"/>
                <w:szCs w:val="22"/>
                <w:lang w:val="en-GB"/>
              </w:rPr>
            </w:pPr>
          </w:p>
        </w:tc>
        <w:tc>
          <w:tcPr>
            <w:tcW w:w="1231" w:type="dxa"/>
          </w:tcPr>
          <w:p w14:paraId="7DA3D2EC" w14:textId="77777777" w:rsidR="00B54D51" w:rsidRPr="00037AD4" w:rsidRDefault="00B54D51" w:rsidP="00401C67">
            <w:pPr>
              <w:pStyle w:val="EndNoteBibliography"/>
              <w:rPr>
                <w:rFonts w:asciiTheme="minorHAnsi" w:hAnsiTheme="minorHAnsi" w:cstheme="minorHAnsi"/>
                <w:sz w:val="22"/>
                <w:szCs w:val="22"/>
                <w:lang w:val="en-GB"/>
              </w:rPr>
            </w:pPr>
          </w:p>
        </w:tc>
      </w:tr>
      <w:tr w:rsidR="00B54D51" w:rsidRPr="00037AD4" w14:paraId="3A801BA7" w14:textId="77777777" w:rsidTr="00401C67">
        <w:trPr>
          <w:trHeight w:val="280"/>
        </w:trPr>
        <w:tc>
          <w:tcPr>
            <w:tcW w:w="1838" w:type="dxa"/>
          </w:tcPr>
          <w:p w14:paraId="6BA85D0F"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Theme="minorHAnsi" w:hAnsiTheme="minorHAnsi" w:cstheme="minorHAnsi"/>
                <w:sz w:val="22"/>
                <w:szCs w:val="22"/>
                <w:lang w:val="en-GB"/>
              </w:rPr>
              <w:t>Can be alone</w:t>
            </w:r>
          </w:p>
        </w:tc>
        <w:tc>
          <w:tcPr>
            <w:tcW w:w="997" w:type="dxa"/>
          </w:tcPr>
          <w:p w14:paraId="3506EEF4" w14:textId="77777777" w:rsidR="00B54D51" w:rsidRPr="00037AD4" w:rsidRDefault="00B54D51" w:rsidP="00401C67">
            <w:pPr>
              <w:pStyle w:val="EndNoteBibliography"/>
              <w:rPr>
                <w:rFonts w:asciiTheme="minorHAnsi" w:hAnsiTheme="minorHAnsi" w:cstheme="minorHAnsi"/>
                <w:sz w:val="22"/>
                <w:szCs w:val="22"/>
                <w:lang w:val="en-GB"/>
              </w:rPr>
            </w:pPr>
          </w:p>
        </w:tc>
        <w:tc>
          <w:tcPr>
            <w:tcW w:w="1205" w:type="dxa"/>
          </w:tcPr>
          <w:p w14:paraId="6609CCB2" w14:textId="77777777" w:rsidR="00B54D51" w:rsidRPr="00037AD4" w:rsidRDefault="00B54D51" w:rsidP="00401C67">
            <w:pPr>
              <w:pStyle w:val="EndNoteBibliography"/>
              <w:rPr>
                <w:rFonts w:asciiTheme="minorHAnsi" w:hAnsiTheme="minorHAnsi" w:cstheme="minorHAnsi"/>
                <w:sz w:val="22"/>
                <w:szCs w:val="22"/>
                <w:lang w:val="en-GB"/>
              </w:rPr>
            </w:pPr>
          </w:p>
        </w:tc>
        <w:tc>
          <w:tcPr>
            <w:tcW w:w="1220" w:type="dxa"/>
          </w:tcPr>
          <w:p w14:paraId="20FEC280"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000000" w:themeColor="text1"/>
                <w:sz w:val="22"/>
                <w:szCs w:val="22"/>
                <w:shd w:val="clear" w:color="auto" w:fill="FFFFFF"/>
                <w:lang w:val="en-GB"/>
              </w:rPr>
              <w:t>✓</w:t>
            </w:r>
          </w:p>
        </w:tc>
        <w:tc>
          <w:tcPr>
            <w:tcW w:w="1232" w:type="dxa"/>
          </w:tcPr>
          <w:p w14:paraId="68786950" w14:textId="77777777" w:rsidR="00B54D51" w:rsidRPr="00037AD4" w:rsidRDefault="00B54D51" w:rsidP="00401C67">
            <w:pPr>
              <w:pStyle w:val="EndNoteBibliography"/>
              <w:rPr>
                <w:rFonts w:asciiTheme="minorHAnsi" w:hAnsiTheme="minorHAnsi" w:cstheme="minorHAnsi"/>
                <w:sz w:val="22"/>
                <w:szCs w:val="22"/>
                <w:lang w:val="en-GB"/>
              </w:rPr>
            </w:pPr>
          </w:p>
        </w:tc>
        <w:tc>
          <w:tcPr>
            <w:tcW w:w="1203" w:type="dxa"/>
          </w:tcPr>
          <w:p w14:paraId="6E6D0078" w14:textId="77777777" w:rsidR="00B54D51" w:rsidRPr="00037AD4" w:rsidRDefault="00B54D51" w:rsidP="00401C67">
            <w:pPr>
              <w:pStyle w:val="EndNoteBibliography"/>
              <w:rPr>
                <w:rFonts w:asciiTheme="minorHAnsi" w:hAnsiTheme="minorHAnsi" w:cstheme="minorHAnsi"/>
                <w:sz w:val="22"/>
                <w:szCs w:val="22"/>
                <w:lang w:val="en-GB"/>
              </w:rPr>
            </w:pPr>
          </w:p>
        </w:tc>
        <w:tc>
          <w:tcPr>
            <w:tcW w:w="1231" w:type="dxa"/>
          </w:tcPr>
          <w:p w14:paraId="66B7F6B3" w14:textId="77777777" w:rsidR="00B54D51" w:rsidRPr="00037AD4" w:rsidRDefault="00B54D51" w:rsidP="00401C67">
            <w:pPr>
              <w:pStyle w:val="EndNoteBibliography"/>
              <w:rPr>
                <w:rFonts w:asciiTheme="minorHAnsi" w:hAnsiTheme="minorHAnsi" w:cstheme="minorHAnsi"/>
                <w:sz w:val="22"/>
                <w:szCs w:val="22"/>
                <w:lang w:val="en-GB"/>
              </w:rPr>
            </w:pPr>
          </w:p>
        </w:tc>
      </w:tr>
      <w:tr w:rsidR="00B54D51" w:rsidRPr="00037AD4" w14:paraId="3C33FCC1" w14:textId="77777777" w:rsidTr="00401C67">
        <w:trPr>
          <w:trHeight w:val="280"/>
        </w:trPr>
        <w:tc>
          <w:tcPr>
            <w:tcW w:w="1838" w:type="dxa"/>
          </w:tcPr>
          <w:p w14:paraId="5FB19B5A"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Theme="minorHAnsi" w:hAnsiTheme="minorHAnsi" w:cstheme="minorHAnsi"/>
                <w:sz w:val="22"/>
                <w:szCs w:val="22"/>
                <w:lang w:val="en-GB"/>
              </w:rPr>
              <w:t>Current events</w:t>
            </w:r>
          </w:p>
        </w:tc>
        <w:tc>
          <w:tcPr>
            <w:tcW w:w="997" w:type="dxa"/>
          </w:tcPr>
          <w:p w14:paraId="3BA1A2B0" w14:textId="77777777" w:rsidR="00B54D51" w:rsidRPr="00037AD4" w:rsidRDefault="00B54D51" w:rsidP="00401C67">
            <w:pPr>
              <w:pStyle w:val="EndNoteBibliography"/>
              <w:rPr>
                <w:rFonts w:asciiTheme="minorHAnsi" w:hAnsiTheme="minorHAnsi" w:cstheme="minorHAnsi"/>
                <w:sz w:val="22"/>
                <w:szCs w:val="22"/>
                <w:lang w:val="en-GB"/>
              </w:rPr>
            </w:pPr>
          </w:p>
        </w:tc>
        <w:tc>
          <w:tcPr>
            <w:tcW w:w="1205" w:type="dxa"/>
          </w:tcPr>
          <w:p w14:paraId="42EB0F5B" w14:textId="77777777" w:rsidR="00B54D51" w:rsidRPr="00037AD4" w:rsidRDefault="00B54D51" w:rsidP="00401C67">
            <w:pPr>
              <w:pStyle w:val="EndNoteBibliography"/>
              <w:rPr>
                <w:rFonts w:asciiTheme="minorHAnsi" w:hAnsiTheme="minorHAnsi" w:cstheme="minorHAnsi"/>
                <w:sz w:val="22"/>
                <w:szCs w:val="22"/>
                <w:lang w:val="en-GB"/>
              </w:rPr>
            </w:pPr>
          </w:p>
        </w:tc>
        <w:tc>
          <w:tcPr>
            <w:tcW w:w="1220" w:type="dxa"/>
          </w:tcPr>
          <w:p w14:paraId="4EB8F298"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000000" w:themeColor="text1"/>
                <w:sz w:val="22"/>
                <w:szCs w:val="22"/>
                <w:shd w:val="clear" w:color="auto" w:fill="FFFFFF"/>
                <w:lang w:val="en-GB"/>
              </w:rPr>
              <w:t>✓</w:t>
            </w:r>
          </w:p>
        </w:tc>
        <w:tc>
          <w:tcPr>
            <w:tcW w:w="1232" w:type="dxa"/>
          </w:tcPr>
          <w:p w14:paraId="283F9793" w14:textId="77777777" w:rsidR="00B54D51" w:rsidRPr="00037AD4" w:rsidRDefault="00B54D51" w:rsidP="00401C67">
            <w:pPr>
              <w:pStyle w:val="EndNoteBibliography"/>
              <w:rPr>
                <w:rFonts w:asciiTheme="minorHAnsi" w:hAnsiTheme="minorHAnsi" w:cstheme="minorHAnsi"/>
                <w:sz w:val="22"/>
                <w:szCs w:val="22"/>
                <w:lang w:val="en-GB"/>
              </w:rPr>
            </w:pPr>
          </w:p>
        </w:tc>
        <w:tc>
          <w:tcPr>
            <w:tcW w:w="1203" w:type="dxa"/>
          </w:tcPr>
          <w:p w14:paraId="2AA69A86" w14:textId="77777777" w:rsidR="00B54D51" w:rsidRPr="00037AD4" w:rsidRDefault="00B54D51" w:rsidP="00401C67">
            <w:pPr>
              <w:pStyle w:val="EndNoteBibliography"/>
              <w:rPr>
                <w:rFonts w:asciiTheme="minorHAnsi" w:hAnsiTheme="minorHAnsi" w:cstheme="minorHAnsi"/>
                <w:sz w:val="22"/>
                <w:szCs w:val="22"/>
                <w:lang w:val="en-GB"/>
              </w:rPr>
            </w:pPr>
          </w:p>
        </w:tc>
        <w:tc>
          <w:tcPr>
            <w:tcW w:w="1231" w:type="dxa"/>
          </w:tcPr>
          <w:p w14:paraId="5482E264" w14:textId="77777777" w:rsidR="00B54D51" w:rsidRPr="00037AD4" w:rsidRDefault="00B54D51" w:rsidP="00401C67">
            <w:pPr>
              <w:pStyle w:val="EndNoteBibliography"/>
              <w:rPr>
                <w:rFonts w:asciiTheme="minorHAnsi" w:hAnsiTheme="minorHAnsi" w:cstheme="minorHAnsi"/>
                <w:sz w:val="22"/>
                <w:szCs w:val="22"/>
                <w:lang w:val="en-GB"/>
              </w:rPr>
            </w:pPr>
          </w:p>
        </w:tc>
      </w:tr>
      <w:tr w:rsidR="00B54D51" w:rsidRPr="00037AD4" w14:paraId="4E42E580" w14:textId="77777777" w:rsidTr="00401C67">
        <w:trPr>
          <w:trHeight w:val="501"/>
        </w:trPr>
        <w:tc>
          <w:tcPr>
            <w:tcW w:w="1838" w:type="dxa"/>
          </w:tcPr>
          <w:p w14:paraId="31745D91"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Theme="minorHAnsi" w:hAnsiTheme="minorHAnsi" w:cstheme="minorHAnsi"/>
                <w:sz w:val="22"/>
                <w:szCs w:val="22"/>
                <w:lang w:val="en-GB"/>
              </w:rPr>
              <w:t>Reading and writing</w:t>
            </w:r>
          </w:p>
        </w:tc>
        <w:tc>
          <w:tcPr>
            <w:tcW w:w="997" w:type="dxa"/>
          </w:tcPr>
          <w:p w14:paraId="58365B44" w14:textId="77777777" w:rsidR="00B54D51" w:rsidRPr="00037AD4" w:rsidRDefault="00B54D51" w:rsidP="00401C67">
            <w:pPr>
              <w:pStyle w:val="EndNoteBibliography"/>
              <w:rPr>
                <w:rFonts w:asciiTheme="minorHAnsi" w:hAnsiTheme="minorHAnsi" w:cstheme="minorHAnsi"/>
                <w:sz w:val="22"/>
                <w:szCs w:val="22"/>
                <w:lang w:val="en-GB"/>
              </w:rPr>
            </w:pPr>
          </w:p>
        </w:tc>
        <w:tc>
          <w:tcPr>
            <w:tcW w:w="1205" w:type="dxa"/>
          </w:tcPr>
          <w:p w14:paraId="38582681" w14:textId="77777777" w:rsidR="00B54D51" w:rsidRPr="00037AD4" w:rsidRDefault="00B54D51" w:rsidP="00401C67">
            <w:pPr>
              <w:pStyle w:val="EndNoteBibliography"/>
              <w:rPr>
                <w:rFonts w:asciiTheme="minorHAnsi" w:hAnsiTheme="minorHAnsi" w:cstheme="minorHAnsi"/>
                <w:sz w:val="22"/>
                <w:szCs w:val="22"/>
                <w:lang w:val="en-GB"/>
              </w:rPr>
            </w:pPr>
          </w:p>
        </w:tc>
        <w:tc>
          <w:tcPr>
            <w:tcW w:w="1220" w:type="dxa"/>
          </w:tcPr>
          <w:p w14:paraId="28CA04CC"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000000" w:themeColor="text1"/>
                <w:sz w:val="22"/>
                <w:szCs w:val="22"/>
                <w:shd w:val="clear" w:color="auto" w:fill="FFFFFF"/>
                <w:lang w:val="en-GB"/>
              </w:rPr>
              <w:t>✓</w:t>
            </w:r>
          </w:p>
        </w:tc>
        <w:tc>
          <w:tcPr>
            <w:tcW w:w="1232" w:type="dxa"/>
          </w:tcPr>
          <w:p w14:paraId="6926C918" w14:textId="77777777" w:rsidR="00B54D51" w:rsidRPr="00037AD4" w:rsidRDefault="00B54D51" w:rsidP="00401C67">
            <w:pPr>
              <w:pStyle w:val="EndNoteBibliography"/>
              <w:rPr>
                <w:rFonts w:asciiTheme="minorHAnsi" w:hAnsiTheme="minorHAnsi" w:cstheme="minorHAnsi"/>
                <w:sz w:val="22"/>
                <w:szCs w:val="22"/>
                <w:lang w:val="en-GB"/>
              </w:rPr>
            </w:pPr>
          </w:p>
        </w:tc>
        <w:tc>
          <w:tcPr>
            <w:tcW w:w="1203" w:type="dxa"/>
          </w:tcPr>
          <w:p w14:paraId="0FFD8666" w14:textId="77777777" w:rsidR="00B54D51" w:rsidRPr="00037AD4" w:rsidRDefault="00B54D51" w:rsidP="00401C67">
            <w:pPr>
              <w:pStyle w:val="EndNoteBibliography"/>
              <w:rPr>
                <w:rFonts w:asciiTheme="minorHAnsi" w:hAnsiTheme="minorHAnsi" w:cstheme="minorHAnsi"/>
                <w:sz w:val="22"/>
                <w:szCs w:val="22"/>
                <w:lang w:val="en-GB"/>
              </w:rPr>
            </w:pPr>
          </w:p>
        </w:tc>
        <w:tc>
          <w:tcPr>
            <w:tcW w:w="1231" w:type="dxa"/>
          </w:tcPr>
          <w:p w14:paraId="0C19A105" w14:textId="77777777" w:rsidR="00B54D51" w:rsidRPr="00037AD4" w:rsidRDefault="00B54D51" w:rsidP="00401C67">
            <w:pPr>
              <w:pStyle w:val="EndNoteBibliography"/>
              <w:rPr>
                <w:rFonts w:asciiTheme="minorHAnsi" w:hAnsiTheme="minorHAnsi" w:cstheme="minorHAnsi"/>
                <w:sz w:val="22"/>
                <w:szCs w:val="22"/>
                <w:lang w:val="en-GB"/>
              </w:rPr>
            </w:pPr>
          </w:p>
        </w:tc>
      </w:tr>
      <w:tr w:rsidR="00B54D51" w:rsidRPr="00037AD4" w14:paraId="5ABC02FB" w14:textId="77777777" w:rsidTr="00401C67">
        <w:trPr>
          <w:trHeight w:val="280"/>
        </w:trPr>
        <w:tc>
          <w:tcPr>
            <w:tcW w:w="1838" w:type="dxa"/>
          </w:tcPr>
          <w:p w14:paraId="776B518A"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Theme="minorHAnsi" w:hAnsiTheme="minorHAnsi" w:cstheme="minorHAnsi"/>
                <w:sz w:val="22"/>
                <w:szCs w:val="22"/>
                <w:lang w:val="en-GB"/>
              </w:rPr>
              <w:t>Hobbies/games</w:t>
            </w:r>
          </w:p>
        </w:tc>
        <w:tc>
          <w:tcPr>
            <w:tcW w:w="997" w:type="dxa"/>
          </w:tcPr>
          <w:p w14:paraId="6B240681"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000000" w:themeColor="text1"/>
                <w:sz w:val="22"/>
                <w:szCs w:val="22"/>
                <w:shd w:val="clear" w:color="auto" w:fill="FFFFFF"/>
                <w:lang w:val="en-GB"/>
              </w:rPr>
              <w:t>✓</w:t>
            </w:r>
          </w:p>
        </w:tc>
        <w:tc>
          <w:tcPr>
            <w:tcW w:w="1205" w:type="dxa"/>
          </w:tcPr>
          <w:p w14:paraId="601A67F1"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000000" w:themeColor="text1"/>
                <w:sz w:val="22"/>
                <w:szCs w:val="22"/>
                <w:shd w:val="clear" w:color="auto" w:fill="FFFFFF"/>
                <w:lang w:val="en-GB"/>
              </w:rPr>
              <w:t>✓</w:t>
            </w:r>
          </w:p>
        </w:tc>
        <w:tc>
          <w:tcPr>
            <w:tcW w:w="1220" w:type="dxa"/>
          </w:tcPr>
          <w:p w14:paraId="701263BC"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000000" w:themeColor="text1"/>
                <w:sz w:val="22"/>
                <w:szCs w:val="22"/>
                <w:shd w:val="clear" w:color="auto" w:fill="FFFFFF"/>
                <w:lang w:val="en-GB"/>
              </w:rPr>
              <w:t>✓</w:t>
            </w:r>
          </w:p>
        </w:tc>
        <w:tc>
          <w:tcPr>
            <w:tcW w:w="1232" w:type="dxa"/>
          </w:tcPr>
          <w:p w14:paraId="0C8925AD" w14:textId="77777777" w:rsidR="00B54D51" w:rsidRPr="00037AD4" w:rsidRDefault="00B54D51" w:rsidP="00401C67">
            <w:pPr>
              <w:pStyle w:val="EndNoteBibliography"/>
              <w:rPr>
                <w:rFonts w:asciiTheme="minorHAnsi" w:hAnsiTheme="minorHAnsi" w:cstheme="minorHAnsi"/>
                <w:sz w:val="22"/>
                <w:szCs w:val="22"/>
                <w:lang w:val="en-GB"/>
              </w:rPr>
            </w:pPr>
          </w:p>
        </w:tc>
        <w:tc>
          <w:tcPr>
            <w:tcW w:w="1203" w:type="dxa"/>
          </w:tcPr>
          <w:p w14:paraId="0477136D" w14:textId="77777777" w:rsidR="00B54D51" w:rsidRPr="00037AD4" w:rsidRDefault="00B54D51" w:rsidP="00401C67">
            <w:pPr>
              <w:pStyle w:val="EndNoteBibliography"/>
              <w:rPr>
                <w:rFonts w:asciiTheme="minorHAnsi" w:hAnsiTheme="minorHAnsi" w:cstheme="minorHAnsi"/>
                <w:sz w:val="22"/>
                <w:szCs w:val="22"/>
                <w:lang w:val="en-GB"/>
              </w:rPr>
            </w:pPr>
          </w:p>
        </w:tc>
        <w:tc>
          <w:tcPr>
            <w:tcW w:w="1231" w:type="dxa"/>
          </w:tcPr>
          <w:p w14:paraId="6730EB33" w14:textId="77777777" w:rsidR="00B54D51" w:rsidRPr="00037AD4" w:rsidRDefault="00B54D51" w:rsidP="00401C67">
            <w:pPr>
              <w:pStyle w:val="EndNoteBibliography"/>
              <w:rPr>
                <w:rFonts w:asciiTheme="minorHAnsi" w:hAnsiTheme="minorHAnsi" w:cstheme="minorHAnsi"/>
                <w:sz w:val="22"/>
                <w:szCs w:val="22"/>
                <w:lang w:val="en-GB"/>
              </w:rPr>
            </w:pPr>
          </w:p>
        </w:tc>
      </w:tr>
      <w:tr w:rsidR="00B54D51" w:rsidRPr="00037AD4" w14:paraId="5BBB5C5B" w14:textId="77777777" w:rsidTr="00401C67">
        <w:trPr>
          <w:trHeight w:val="516"/>
        </w:trPr>
        <w:tc>
          <w:tcPr>
            <w:tcW w:w="1838" w:type="dxa"/>
          </w:tcPr>
          <w:p w14:paraId="79CB2FE5"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Theme="minorHAnsi" w:hAnsiTheme="minorHAnsi" w:cstheme="minorHAnsi"/>
                <w:sz w:val="22"/>
                <w:szCs w:val="22"/>
                <w:lang w:val="en-GB"/>
              </w:rPr>
              <w:t>Orientation (time/space)</w:t>
            </w:r>
          </w:p>
        </w:tc>
        <w:tc>
          <w:tcPr>
            <w:tcW w:w="997" w:type="dxa"/>
          </w:tcPr>
          <w:p w14:paraId="02F966CC"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000000" w:themeColor="text1"/>
                <w:sz w:val="22"/>
                <w:szCs w:val="22"/>
                <w:shd w:val="clear" w:color="auto" w:fill="FFFFFF"/>
                <w:lang w:val="en-GB"/>
              </w:rPr>
              <w:t>✓</w:t>
            </w:r>
          </w:p>
        </w:tc>
        <w:tc>
          <w:tcPr>
            <w:tcW w:w="1205" w:type="dxa"/>
          </w:tcPr>
          <w:p w14:paraId="34E9444D" w14:textId="77777777" w:rsidR="00B54D51" w:rsidRPr="00037AD4" w:rsidRDefault="00B54D51" w:rsidP="00401C67">
            <w:pPr>
              <w:pStyle w:val="EndNoteBibliography"/>
              <w:rPr>
                <w:rFonts w:asciiTheme="minorHAnsi" w:hAnsiTheme="minorHAnsi" w:cstheme="minorHAnsi"/>
                <w:sz w:val="22"/>
                <w:szCs w:val="22"/>
                <w:lang w:val="en-GB"/>
              </w:rPr>
            </w:pPr>
          </w:p>
        </w:tc>
        <w:tc>
          <w:tcPr>
            <w:tcW w:w="1220" w:type="dxa"/>
          </w:tcPr>
          <w:p w14:paraId="73EE0D8C" w14:textId="77777777" w:rsidR="00B54D51" w:rsidRPr="00037AD4" w:rsidRDefault="00B54D51" w:rsidP="00401C67">
            <w:pPr>
              <w:pStyle w:val="EndNoteBibliography"/>
              <w:rPr>
                <w:rFonts w:asciiTheme="minorHAnsi" w:hAnsiTheme="minorHAnsi" w:cstheme="minorHAnsi"/>
                <w:sz w:val="22"/>
                <w:szCs w:val="22"/>
                <w:lang w:val="en-GB"/>
              </w:rPr>
            </w:pPr>
          </w:p>
        </w:tc>
        <w:tc>
          <w:tcPr>
            <w:tcW w:w="1232" w:type="dxa"/>
          </w:tcPr>
          <w:p w14:paraId="0E8AA0F5" w14:textId="77777777" w:rsidR="00B54D51" w:rsidRPr="00037AD4" w:rsidRDefault="00B54D51" w:rsidP="00401C67">
            <w:pPr>
              <w:pStyle w:val="EndNoteBibliography"/>
              <w:rPr>
                <w:rFonts w:asciiTheme="minorHAnsi" w:hAnsiTheme="minorHAnsi" w:cstheme="minorHAnsi"/>
                <w:sz w:val="22"/>
                <w:szCs w:val="22"/>
                <w:lang w:val="en-GB"/>
              </w:rPr>
            </w:pPr>
          </w:p>
        </w:tc>
        <w:tc>
          <w:tcPr>
            <w:tcW w:w="1203" w:type="dxa"/>
          </w:tcPr>
          <w:p w14:paraId="774D9C76" w14:textId="77777777" w:rsidR="00B54D51" w:rsidRPr="00037AD4" w:rsidRDefault="00B54D51" w:rsidP="00401C67">
            <w:pPr>
              <w:pStyle w:val="EndNoteBibliography"/>
              <w:rPr>
                <w:rFonts w:asciiTheme="minorHAnsi" w:hAnsiTheme="minorHAnsi" w:cstheme="minorHAnsi"/>
                <w:sz w:val="22"/>
                <w:szCs w:val="22"/>
                <w:lang w:val="en-GB"/>
              </w:rPr>
            </w:pPr>
          </w:p>
        </w:tc>
        <w:tc>
          <w:tcPr>
            <w:tcW w:w="1231" w:type="dxa"/>
          </w:tcPr>
          <w:p w14:paraId="77784350" w14:textId="77777777" w:rsidR="00B54D51" w:rsidRPr="00037AD4" w:rsidRDefault="00B54D51" w:rsidP="00401C67">
            <w:pPr>
              <w:pStyle w:val="EndNoteBibliography"/>
              <w:rPr>
                <w:rFonts w:asciiTheme="minorHAnsi" w:hAnsiTheme="minorHAnsi" w:cstheme="minorHAnsi"/>
                <w:sz w:val="22"/>
                <w:szCs w:val="22"/>
                <w:lang w:val="en-GB"/>
              </w:rPr>
            </w:pPr>
          </w:p>
        </w:tc>
      </w:tr>
    </w:tbl>
    <w:p w14:paraId="3DD2F87C" w14:textId="77777777" w:rsidR="00B54D51" w:rsidRPr="00037AD4" w:rsidRDefault="00B54D51" w:rsidP="001D7ACE">
      <w:pPr>
        <w:rPr>
          <w:rFonts w:asciiTheme="minorHAnsi" w:hAnsiTheme="minorHAnsi" w:cstheme="minorHAnsi"/>
          <w:u w:val="single"/>
        </w:rPr>
      </w:pPr>
    </w:p>
    <w:p w14:paraId="61937653" w14:textId="77777777" w:rsidR="00B54D51" w:rsidRPr="00037AD4" w:rsidRDefault="00B54D51" w:rsidP="001D7ACE">
      <w:pPr>
        <w:rPr>
          <w:rFonts w:asciiTheme="minorHAnsi" w:hAnsiTheme="minorHAnsi" w:cstheme="minorHAnsi"/>
          <w:u w:val="single"/>
        </w:rPr>
      </w:pPr>
      <w:r w:rsidRPr="00037AD4">
        <w:rPr>
          <w:rFonts w:asciiTheme="minorHAnsi" w:hAnsiTheme="minorHAnsi" w:cstheme="minorHAnsi"/>
          <w:u w:val="single"/>
        </w:rPr>
        <w:t xml:space="preserve">Table A3.3c, Core behaviour/mood measure item list </w:t>
      </w:r>
    </w:p>
    <w:p w14:paraId="712F40B7" w14:textId="77777777" w:rsidR="00B54D51" w:rsidRPr="00037AD4" w:rsidRDefault="00B54D51" w:rsidP="001D7ACE">
      <w:pPr>
        <w:rPr>
          <w:rFonts w:asciiTheme="minorHAnsi" w:hAnsiTheme="minorHAnsi" w:cstheme="minorHAnsi"/>
          <w:u w:val="single"/>
        </w:rPr>
      </w:pPr>
    </w:p>
    <w:tbl>
      <w:tblPr>
        <w:tblStyle w:val="TableGrid"/>
        <w:tblW w:w="0" w:type="auto"/>
        <w:tblLook w:val="04A0" w:firstRow="1" w:lastRow="0" w:firstColumn="1" w:lastColumn="0" w:noHBand="0" w:noVBand="1"/>
      </w:tblPr>
      <w:tblGrid>
        <w:gridCol w:w="2183"/>
        <w:gridCol w:w="1697"/>
        <w:gridCol w:w="1713"/>
        <w:gridCol w:w="1713"/>
        <w:gridCol w:w="1710"/>
      </w:tblGrid>
      <w:tr w:rsidR="00B54D51" w:rsidRPr="00037AD4" w14:paraId="2965D892" w14:textId="77777777" w:rsidTr="00401C67">
        <w:tc>
          <w:tcPr>
            <w:tcW w:w="2183" w:type="dxa"/>
            <w:tcBorders>
              <w:tl2br w:val="single" w:sz="4" w:space="0" w:color="auto"/>
            </w:tcBorders>
          </w:tcPr>
          <w:p w14:paraId="3CD2A245" w14:textId="77777777" w:rsidR="00B54D51" w:rsidRPr="00037AD4" w:rsidRDefault="00B54D51" w:rsidP="00401C67">
            <w:pPr>
              <w:pStyle w:val="EndNoteBibliography"/>
              <w:jc w:val="right"/>
              <w:rPr>
                <w:rFonts w:asciiTheme="minorHAnsi" w:hAnsiTheme="minorHAnsi" w:cstheme="minorHAnsi"/>
                <w:b/>
                <w:bCs/>
                <w:sz w:val="26"/>
                <w:szCs w:val="26"/>
                <w:vertAlign w:val="superscript"/>
                <w:lang w:val="en-GB"/>
              </w:rPr>
            </w:pPr>
            <w:r w:rsidRPr="00037AD4">
              <w:rPr>
                <w:rFonts w:asciiTheme="minorHAnsi" w:hAnsiTheme="minorHAnsi" w:cstheme="minorHAnsi"/>
                <w:b/>
                <w:bCs/>
                <w:sz w:val="26"/>
                <w:szCs w:val="26"/>
                <w:vertAlign w:val="superscript"/>
                <w:lang w:val="en-GB"/>
              </w:rPr>
              <w:t>Scale</w:t>
            </w:r>
          </w:p>
          <w:p w14:paraId="77A7F938" w14:textId="77777777" w:rsidR="00B54D51" w:rsidRPr="00037AD4" w:rsidRDefault="00B54D51" w:rsidP="00401C67">
            <w:pPr>
              <w:pStyle w:val="EndNoteBibliography"/>
              <w:rPr>
                <w:rFonts w:asciiTheme="minorHAnsi" w:hAnsiTheme="minorHAnsi" w:cstheme="minorHAnsi"/>
                <w:b/>
                <w:bCs/>
                <w:sz w:val="22"/>
                <w:szCs w:val="22"/>
                <w:vertAlign w:val="subscript"/>
                <w:lang w:val="en-GB"/>
              </w:rPr>
            </w:pPr>
            <w:r w:rsidRPr="00037AD4">
              <w:rPr>
                <w:rFonts w:asciiTheme="minorHAnsi" w:hAnsiTheme="minorHAnsi" w:cstheme="minorHAnsi"/>
                <w:b/>
                <w:bCs/>
                <w:sz w:val="26"/>
                <w:szCs w:val="26"/>
                <w:vertAlign w:val="subscript"/>
                <w:lang w:val="en-GB"/>
              </w:rPr>
              <w:t>Item component</w:t>
            </w:r>
            <w:r w:rsidRPr="00037AD4">
              <w:rPr>
                <w:rFonts w:asciiTheme="minorHAnsi" w:hAnsiTheme="minorHAnsi" w:cstheme="minorHAnsi"/>
                <w:b/>
                <w:bCs/>
                <w:vertAlign w:val="subscript"/>
                <w:lang w:val="en-GB"/>
              </w:rPr>
              <w:t xml:space="preserve"> </w:t>
            </w:r>
          </w:p>
        </w:tc>
        <w:tc>
          <w:tcPr>
            <w:tcW w:w="1697" w:type="dxa"/>
          </w:tcPr>
          <w:p w14:paraId="0210D67A" w14:textId="77777777" w:rsidR="00B54D51" w:rsidRPr="00037AD4" w:rsidRDefault="00B54D51" w:rsidP="00401C67">
            <w:pPr>
              <w:pStyle w:val="EndNoteBibliography"/>
              <w:rPr>
                <w:rFonts w:asciiTheme="minorHAnsi" w:hAnsiTheme="minorHAnsi" w:cstheme="minorHAnsi"/>
                <w:b/>
                <w:bCs/>
                <w:sz w:val="22"/>
                <w:szCs w:val="22"/>
                <w:lang w:val="en-GB"/>
              </w:rPr>
            </w:pPr>
            <w:r w:rsidRPr="00037AD4">
              <w:rPr>
                <w:rFonts w:asciiTheme="minorHAnsi" w:hAnsiTheme="minorHAnsi" w:cstheme="minorHAnsi"/>
                <w:b/>
                <w:bCs/>
                <w:sz w:val="22"/>
                <w:szCs w:val="22"/>
                <w:lang w:val="en-GB"/>
              </w:rPr>
              <w:t>NPI</w:t>
            </w:r>
          </w:p>
        </w:tc>
        <w:tc>
          <w:tcPr>
            <w:tcW w:w="1713" w:type="dxa"/>
          </w:tcPr>
          <w:p w14:paraId="5B00C6FB" w14:textId="77777777" w:rsidR="00B54D51" w:rsidRPr="00037AD4" w:rsidRDefault="00B54D51" w:rsidP="00401C67">
            <w:pPr>
              <w:pStyle w:val="EndNoteBibliography"/>
              <w:rPr>
                <w:rFonts w:asciiTheme="minorHAnsi" w:hAnsiTheme="minorHAnsi" w:cstheme="minorHAnsi"/>
                <w:b/>
                <w:bCs/>
                <w:sz w:val="22"/>
                <w:szCs w:val="22"/>
                <w:lang w:val="en-GB"/>
              </w:rPr>
            </w:pPr>
            <w:r w:rsidRPr="00037AD4">
              <w:rPr>
                <w:rFonts w:asciiTheme="minorHAnsi" w:hAnsiTheme="minorHAnsi" w:cstheme="minorHAnsi"/>
                <w:b/>
                <w:bCs/>
                <w:sz w:val="22"/>
                <w:szCs w:val="22"/>
                <w:lang w:val="en-GB"/>
              </w:rPr>
              <w:t>CMAI</w:t>
            </w:r>
          </w:p>
        </w:tc>
        <w:tc>
          <w:tcPr>
            <w:tcW w:w="1713" w:type="dxa"/>
          </w:tcPr>
          <w:p w14:paraId="47DE8206" w14:textId="77777777" w:rsidR="00B54D51" w:rsidRPr="00037AD4" w:rsidRDefault="00B54D51" w:rsidP="00401C67">
            <w:pPr>
              <w:pStyle w:val="EndNoteBibliography"/>
              <w:rPr>
                <w:rFonts w:asciiTheme="minorHAnsi" w:hAnsiTheme="minorHAnsi" w:cstheme="minorHAnsi"/>
                <w:b/>
                <w:bCs/>
                <w:sz w:val="22"/>
                <w:szCs w:val="22"/>
                <w:lang w:val="en-GB"/>
              </w:rPr>
            </w:pPr>
            <w:r w:rsidRPr="00037AD4">
              <w:rPr>
                <w:rFonts w:asciiTheme="minorHAnsi" w:hAnsiTheme="minorHAnsi" w:cstheme="minorHAnsi"/>
                <w:b/>
                <w:bCs/>
                <w:sz w:val="22"/>
                <w:szCs w:val="22"/>
                <w:lang w:val="en-GB"/>
              </w:rPr>
              <w:t>CSDD</w:t>
            </w:r>
          </w:p>
        </w:tc>
        <w:tc>
          <w:tcPr>
            <w:tcW w:w="1710" w:type="dxa"/>
          </w:tcPr>
          <w:p w14:paraId="3E2EEDCE" w14:textId="77777777" w:rsidR="00B54D51" w:rsidRPr="00037AD4" w:rsidRDefault="00B54D51" w:rsidP="00401C67">
            <w:pPr>
              <w:pStyle w:val="EndNoteBibliography"/>
              <w:rPr>
                <w:rFonts w:asciiTheme="minorHAnsi" w:hAnsiTheme="minorHAnsi" w:cstheme="minorHAnsi"/>
                <w:b/>
                <w:bCs/>
                <w:sz w:val="22"/>
                <w:szCs w:val="22"/>
                <w:lang w:val="en-GB"/>
              </w:rPr>
            </w:pPr>
            <w:r w:rsidRPr="00037AD4">
              <w:rPr>
                <w:rFonts w:asciiTheme="minorHAnsi" w:hAnsiTheme="minorHAnsi" w:cstheme="minorHAnsi"/>
                <w:b/>
                <w:bCs/>
                <w:sz w:val="22"/>
                <w:szCs w:val="22"/>
                <w:lang w:val="en-GB"/>
              </w:rPr>
              <w:t>GDS-15</w:t>
            </w:r>
          </w:p>
        </w:tc>
      </w:tr>
      <w:tr w:rsidR="00B54D51" w:rsidRPr="00037AD4" w14:paraId="77772059" w14:textId="77777777" w:rsidTr="00401C67">
        <w:tc>
          <w:tcPr>
            <w:tcW w:w="2183" w:type="dxa"/>
          </w:tcPr>
          <w:p w14:paraId="43321F9F"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Theme="minorHAnsi" w:hAnsiTheme="minorHAnsi" w:cstheme="minorHAnsi"/>
                <w:sz w:val="22"/>
                <w:szCs w:val="22"/>
                <w:lang w:val="en-GB"/>
              </w:rPr>
              <w:t>Delusions</w:t>
            </w:r>
          </w:p>
        </w:tc>
        <w:tc>
          <w:tcPr>
            <w:tcW w:w="1697" w:type="dxa"/>
          </w:tcPr>
          <w:p w14:paraId="74F3F4A5"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000000" w:themeColor="text1"/>
                <w:sz w:val="22"/>
                <w:szCs w:val="22"/>
                <w:shd w:val="clear" w:color="auto" w:fill="FFFFFF"/>
                <w:lang w:val="en-GB"/>
              </w:rPr>
              <w:t>✓</w:t>
            </w:r>
          </w:p>
        </w:tc>
        <w:tc>
          <w:tcPr>
            <w:tcW w:w="1713" w:type="dxa"/>
          </w:tcPr>
          <w:p w14:paraId="4DFD4EA2" w14:textId="77777777" w:rsidR="00B54D51" w:rsidRPr="00037AD4" w:rsidRDefault="00B54D51" w:rsidP="00401C67">
            <w:pPr>
              <w:pStyle w:val="EndNoteBibliography"/>
              <w:rPr>
                <w:rFonts w:asciiTheme="minorHAnsi" w:hAnsiTheme="minorHAnsi" w:cstheme="minorHAnsi"/>
                <w:sz w:val="22"/>
                <w:szCs w:val="22"/>
                <w:lang w:val="en-GB"/>
              </w:rPr>
            </w:pPr>
          </w:p>
        </w:tc>
        <w:tc>
          <w:tcPr>
            <w:tcW w:w="1713" w:type="dxa"/>
          </w:tcPr>
          <w:p w14:paraId="09BE7DE3" w14:textId="77777777" w:rsidR="00B54D51" w:rsidRPr="00037AD4" w:rsidRDefault="00B54D51" w:rsidP="00401C67">
            <w:pPr>
              <w:pStyle w:val="EndNoteBibliography"/>
              <w:rPr>
                <w:rFonts w:asciiTheme="minorHAnsi" w:hAnsiTheme="minorHAnsi" w:cstheme="minorHAnsi"/>
                <w:sz w:val="22"/>
                <w:szCs w:val="22"/>
                <w:lang w:val="en-GB"/>
              </w:rPr>
            </w:pPr>
          </w:p>
        </w:tc>
        <w:tc>
          <w:tcPr>
            <w:tcW w:w="1710" w:type="dxa"/>
          </w:tcPr>
          <w:p w14:paraId="6BF0298E" w14:textId="77777777" w:rsidR="00B54D51" w:rsidRPr="00037AD4" w:rsidRDefault="00B54D51" w:rsidP="00401C67">
            <w:pPr>
              <w:pStyle w:val="EndNoteBibliography"/>
              <w:rPr>
                <w:rFonts w:asciiTheme="minorHAnsi" w:hAnsiTheme="minorHAnsi" w:cstheme="minorHAnsi"/>
                <w:sz w:val="22"/>
                <w:szCs w:val="22"/>
                <w:lang w:val="en-GB"/>
              </w:rPr>
            </w:pPr>
          </w:p>
        </w:tc>
      </w:tr>
      <w:tr w:rsidR="00B54D51" w:rsidRPr="00037AD4" w14:paraId="6761E87A" w14:textId="77777777" w:rsidTr="00401C67">
        <w:tc>
          <w:tcPr>
            <w:tcW w:w="2183" w:type="dxa"/>
          </w:tcPr>
          <w:p w14:paraId="3020E899"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Theme="minorHAnsi" w:hAnsiTheme="minorHAnsi" w:cstheme="minorHAnsi"/>
                <w:sz w:val="22"/>
                <w:szCs w:val="22"/>
                <w:lang w:val="en-GB"/>
              </w:rPr>
              <w:t xml:space="preserve">Hallucinations </w:t>
            </w:r>
          </w:p>
        </w:tc>
        <w:tc>
          <w:tcPr>
            <w:tcW w:w="1697" w:type="dxa"/>
          </w:tcPr>
          <w:p w14:paraId="79880F91"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000000" w:themeColor="text1"/>
                <w:sz w:val="22"/>
                <w:szCs w:val="22"/>
                <w:shd w:val="clear" w:color="auto" w:fill="FFFFFF"/>
                <w:lang w:val="en-GB"/>
              </w:rPr>
              <w:t>✓</w:t>
            </w:r>
          </w:p>
        </w:tc>
        <w:tc>
          <w:tcPr>
            <w:tcW w:w="1713" w:type="dxa"/>
          </w:tcPr>
          <w:p w14:paraId="73CA33A5" w14:textId="77777777" w:rsidR="00B54D51" w:rsidRPr="00037AD4" w:rsidRDefault="00B54D51" w:rsidP="00401C67">
            <w:pPr>
              <w:pStyle w:val="EndNoteBibliography"/>
              <w:rPr>
                <w:rFonts w:asciiTheme="minorHAnsi" w:hAnsiTheme="minorHAnsi" w:cstheme="minorHAnsi"/>
                <w:sz w:val="22"/>
                <w:szCs w:val="22"/>
                <w:lang w:val="en-GB"/>
              </w:rPr>
            </w:pPr>
          </w:p>
        </w:tc>
        <w:tc>
          <w:tcPr>
            <w:tcW w:w="1713" w:type="dxa"/>
          </w:tcPr>
          <w:p w14:paraId="2F2C3874" w14:textId="77777777" w:rsidR="00B54D51" w:rsidRPr="00037AD4" w:rsidRDefault="00B54D51" w:rsidP="00401C67">
            <w:pPr>
              <w:pStyle w:val="EndNoteBibliography"/>
              <w:rPr>
                <w:rFonts w:asciiTheme="minorHAnsi" w:hAnsiTheme="minorHAnsi" w:cstheme="minorHAnsi"/>
                <w:sz w:val="22"/>
                <w:szCs w:val="22"/>
                <w:lang w:val="en-GB"/>
              </w:rPr>
            </w:pPr>
          </w:p>
        </w:tc>
        <w:tc>
          <w:tcPr>
            <w:tcW w:w="1710" w:type="dxa"/>
          </w:tcPr>
          <w:p w14:paraId="4E7E8930" w14:textId="77777777" w:rsidR="00B54D51" w:rsidRPr="00037AD4" w:rsidRDefault="00B54D51" w:rsidP="00401C67">
            <w:pPr>
              <w:pStyle w:val="EndNoteBibliography"/>
              <w:rPr>
                <w:rFonts w:asciiTheme="minorHAnsi" w:hAnsiTheme="minorHAnsi" w:cstheme="minorHAnsi"/>
                <w:sz w:val="22"/>
                <w:szCs w:val="22"/>
                <w:lang w:val="en-GB"/>
              </w:rPr>
            </w:pPr>
          </w:p>
        </w:tc>
      </w:tr>
      <w:tr w:rsidR="00B54D51" w:rsidRPr="00037AD4" w14:paraId="51B140CF" w14:textId="77777777" w:rsidTr="00401C67">
        <w:tc>
          <w:tcPr>
            <w:tcW w:w="2183" w:type="dxa"/>
          </w:tcPr>
          <w:p w14:paraId="32207BB2"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Theme="minorHAnsi" w:hAnsiTheme="minorHAnsi" w:cstheme="minorHAnsi"/>
                <w:sz w:val="22"/>
                <w:szCs w:val="22"/>
                <w:lang w:val="en-GB"/>
              </w:rPr>
              <w:t>Agitation/aggression</w:t>
            </w:r>
          </w:p>
        </w:tc>
        <w:tc>
          <w:tcPr>
            <w:tcW w:w="1697" w:type="dxa"/>
          </w:tcPr>
          <w:p w14:paraId="23361A4E"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000000" w:themeColor="text1"/>
                <w:sz w:val="22"/>
                <w:szCs w:val="22"/>
                <w:shd w:val="clear" w:color="auto" w:fill="FFFFFF"/>
                <w:lang w:val="en-GB"/>
              </w:rPr>
              <w:t>✓</w:t>
            </w:r>
          </w:p>
        </w:tc>
        <w:tc>
          <w:tcPr>
            <w:tcW w:w="1713" w:type="dxa"/>
          </w:tcPr>
          <w:p w14:paraId="6D9BF67A"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000000" w:themeColor="text1"/>
                <w:sz w:val="22"/>
                <w:szCs w:val="22"/>
                <w:shd w:val="clear" w:color="auto" w:fill="FFFFFF"/>
                <w:lang w:val="en-GB"/>
              </w:rPr>
              <w:t>✓</w:t>
            </w:r>
          </w:p>
        </w:tc>
        <w:tc>
          <w:tcPr>
            <w:tcW w:w="1713" w:type="dxa"/>
          </w:tcPr>
          <w:p w14:paraId="134BA5DA"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000000" w:themeColor="text1"/>
                <w:sz w:val="22"/>
                <w:szCs w:val="22"/>
                <w:shd w:val="clear" w:color="auto" w:fill="FFFFFF"/>
                <w:lang w:val="en-GB"/>
              </w:rPr>
              <w:t>✓</w:t>
            </w:r>
          </w:p>
        </w:tc>
        <w:tc>
          <w:tcPr>
            <w:tcW w:w="1710" w:type="dxa"/>
          </w:tcPr>
          <w:p w14:paraId="582655AA" w14:textId="77777777" w:rsidR="00B54D51" w:rsidRPr="00037AD4" w:rsidRDefault="00B54D51" w:rsidP="00401C67">
            <w:pPr>
              <w:pStyle w:val="EndNoteBibliography"/>
              <w:rPr>
                <w:rFonts w:asciiTheme="minorHAnsi" w:hAnsiTheme="minorHAnsi" w:cstheme="minorHAnsi"/>
                <w:sz w:val="22"/>
                <w:szCs w:val="22"/>
                <w:lang w:val="en-GB"/>
              </w:rPr>
            </w:pPr>
          </w:p>
        </w:tc>
      </w:tr>
      <w:tr w:rsidR="00B54D51" w:rsidRPr="00037AD4" w14:paraId="3E96941B" w14:textId="77777777" w:rsidTr="00401C67">
        <w:tc>
          <w:tcPr>
            <w:tcW w:w="2183" w:type="dxa"/>
          </w:tcPr>
          <w:p w14:paraId="18102E2D"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Theme="minorHAnsi" w:hAnsiTheme="minorHAnsi" w:cstheme="minorHAnsi"/>
                <w:sz w:val="22"/>
                <w:szCs w:val="22"/>
                <w:lang w:val="en-GB"/>
              </w:rPr>
              <w:t>Dysphoria/depression</w:t>
            </w:r>
          </w:p>
        </w:tc>
        <w:tc>
          <w:tcPr>
            <w:tcW w:w="1697" w:type="dxa"/>
          </w:tcPr>
          <w:p w14:paraId="3FC83A2E"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000000" w:themeColor="text1"/>
                <w:sz w:val="22"/>
                <w:szCs w:val="22"/>
                <w:shd w:val="clear" w:color="auto" w:fill="FFFFFF"/>
                <w:lang w:val="en-GB"/>
              </w:rPr>
              <w:t>✓</w:t>
            </w:r>
          </w:p>
        </w:tc>
        <w:tc>
          <w:tcPr>
            <w:tcW w:w="1713" w:type="dxa"/>
          </w:tcPr>
          <w:p w14:paraId="7F6CDBA3"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000000" w:themeColor="text1"/>
                <w:sz w:val="22"/>
                <w:szCs w:val="22"/>
                <w:shd w:val="clear" w:color="auto" w:fill="FFFFFF"/>
                <w:lang w:val="en-GB"/>
              </w:rPr>
              <w:t>✓</w:t>
            </w:r>
          </w:p>
        </w:tc>
        <w:tc>
          <w:tcPr>
            <w:tcW w:w="1713" w:type="dxa"/>
          </w:tcPr>
          <w:p w14:paraId="0E32EFC2"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000000" w:themeColor="text1"/>
                <w:sz w:val="22"/>
                <w:szCs w:val="22"/>
                <w:shd w:val="clear" w:color="auto" w:fill="FFFFFF"/>
                <w:lang w:val="en-GB"/>
              </w:rPr>
              <w:t>✓</w:t>
            </w:r>
          </w:p>
        </w:tc>
        <w:tc>
          <w:tcPr>
            <w:tcW w:w="1710" w:type="dxa"/>
          </w:tcPr>
          <w:p w14:paraId="53249C8C"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000000" w:themeColor="text1"/>
                <w:sz w:val="22"/>
                <w:szCs w:val="22"/>
                <w:shd w:val="clear" w:color="auto" w:fill="FFFFFF"/>
                <w:lang w:val="en-GB"/>
              </w:rPr>
              <w:t>✓</w:t>
            </w:r>
          </w:p>
        </w:tc>
      </w:tr>
      <w:tr w:rsidR="00B54D51" w:rsidRPr="00037AD4" w14:paraId="181A3179" w14:textId="77777777" w:rsidTr="00401C67">
        <w:tc>
          <w:tcPr>
            <w:tcW w:w="2183" w:type="dxa"/>
          </w:tcPr>
          <w:p w14:paraId="31BCA334"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Theme="minorHAnsi" w:hAnsiTheme="minorHAnsi" w:cstheme="minorHAnsi"/>
                <w:sz w:val="22"/>
                <w:szCs w:val="22"/>
                <w:lang w:val="en-GB"/>
              </w:rPr>
              <w:t>Anxiety/fear</w:t>
            </w:r>
          </w:p>
        </w:tc>
        <w:tc>
          <w:tcPr>
            <w:tcW w:w="1697" w:type="dxa"/>
          </w:tcPr>
          <w:p w14:paraId="2CCDE21A"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000000" w:themeColor="text1"/>
                <w:sz w:val="22"/>
                <w:szCs w:val="22"/>
                <w:shd w:val="clear" w:color="auto" w:fill="FFFFFF"/>
                <w:lang w:val="en-GB"/>
              </w:rPr>
              <w:t>✓</w:t>
            </w:r>
          </w:p>
        </w:tc>
        <w:tc>
          <w:tcPr>
            <w:tcW w:w="1713" w:type="dxa"/>
          </w:tcPr>
          <w:p w14:paraId="7167BB9C"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000000" w:themeColor="text1"/>
                <w:sz w:val="22"/>
                <w:szCs w:val="22"/>
                <w:shd w:val="clear" w:color="auto" w:fill="FFFFFF"/>
                <w:lang w:val="en-GB"/>
              </w:rPr>
              <w:t>✓</w:t>
            </w:r>
          </w:p>
        </w:tc>
        <w:tc>
          <w:tcPr>
            <w:tcW w:w="1713" w:type="dxa"/>
          </w:tcPr>
          <w:p w14:paraId="33954A68"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000000" w:themeColor="text1"/>
                <w:sz w:val="22"/>
                <w:szCs w:val="22"/>
                <w:shd w:val="clear" w:color="auto" w:fill="FFFFFF"/>
                <w:lang w:val="en-GB"/>
              </w:rPr>
              <w:t>✓</w:t>
            </w:r>
          </w:p>
        </w:tc>
        <w:tc>
          <w:tcPr>
            <w:tcW w:w="1710" w:type="dxa"/>
          </w:tcPr>
          <w:p w14:paraId="01543FA4" w14:textId="77777777" w:rsidR="00B54D51" w:rsidRPr="00037AD4" w:rsidRDefault="00B54D51" w:rsidP="00401C67">
            <w:pPr>
              <w:pStyle w:val="EndNoteBibliography"/>
              <w:rPr>
                <w:rFonts w:asciiTheme="minorHAnsi" w:hAnsiTheme="minorHAnsi" w:cstheme="minorHAnsi"/>
                <w:sz w:val="22"/>
                <w:szCs w:val="22"/>
                <w:lang w:val="en-GB"/>
              </w:rPr>
            </w:pPr>
          </w:p>
        </w:tc>
      </w:tr>
      <w:tr w:rsidR="00B54D51" w:rsidRPr="00037AD4" w14:paraId="1AA3CDF2" w14:textId="77777777" w:rsidTr="00401C67">
        <w:tc>
          <w:tcPr>
            <w:tcW w:w="2183" w:type="dxa"/>
          </w:tcPr>
          <w:p w14:paraId="3FE8BFF5"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Theme="minorHAnsi" w:hAnsiTheme="minorHAnsi" w:cstheme="minorHAnsi"/>
                <w:sz w:val="22"/>
                <w:szCs w:val="22"/>
                <w:lang w:val="en-GB"/>
              </w:rPr>
              <w:lastRenderedPageBreak/>
              <w:t>Elation/euphoria</w:t>
            </w:r>
          </w:p>
        </w:tc>
        <w:tc>
          <w:tcPr>
            <w:tcW w:w="1697" w:type="dxa"/>
          </w:tcPr>
          <w:p w14:paraId="5F18E68B"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000000" w:themeColor="text1"/>
                <w:sz w:val="22"/>
                <w:szCs w:val="22"/>
                <w:shd w:val="clear" w:color="auto" w:fill="FFFFFF"/>
                <w:lang w:val="en-GB"/>
              </w:rPr>
              <w:t>✓</w:t>
            </w:r>
          </w:p>
        </w:tc>
        <w:tc>
          <w:tcPr>
            <w:tcW w:w="1713" w:type="dxa"/>
          </w:tcPr>
          <w:p w14:paraId="59513E0F" w14:textId="77777777" w:rsidR="00B54D51" w:rsidRPr="00037AD4" w:rsidRDefault="00B54D51" w:rsidP="00401C67">
            <w:pPr>
              <w:pStyle w:val="EndNoteBibliography"/>
              <w:rPr>
                <w:rFonts w:asciiTheme="minorHAnsi" w:hAnsiTheme="minorHAnsi" w:cstheme="minorHAnsi"/>
                <w:sz w:val="22"/>
                <w:szCs w:val="22"/>
                <w:lang w:val="en-GB"/>
              </w:rPr>
            </w:pPr>
          </w:p>
        </w:tc>
        <w:tc>
          <w:tcPr>
            <w:tcW w:w="1713" w:type="dxa"/>
          </w:tcPr>
          <w:p w14:paraId="1CC69DF1" w14:textId="77777777" w:rsidR="00B54D51" w:rsidRPr="00037AD4" w:rsidRDefault="00B54D51" w:rsidP="00401C67">
            <w:pPr>
              <w:pStyle w:val="EndNoteBibliography"/>
              <w:rPr>
                <w:rFonts w:asciiTheme="minorHAnsi" w:hAnsiTheme="minorHAnsi" w:cstheme="minorHAnsi"/>
                <w:sz w:val="22"/>
                <w:szCs w:val="22"/>
                <w:lang w:val="en-GB"/>
              </w:rPr>
            </w:pPr>
          </w:p>
        </w:tc>
        <w:tc>
          <w:tcPr>
            <w:tcW w:w="1710" w:type="dxa"/>
          </w:tcPr>
          <w:p w14:paraId="0AA5EDE3" w14:textId="77777777" w:rsidR="00B54D51" w:rsidRPr="00037AD4" w:rsidRDefault="00B54D51" w:rsidP="00401C67">
            <w:pPr>
              <w:pStyle w:val="EndNoteBibliography"/>
              <w:rPr>
                <w:rFonts w:asciiTheme="minorHAnsi" w:hAnsiTheme="minorHAnsi" w:cstheme="minorHAnsi"/>
                <w:sz w:val="22"/>
                <w:szCs w:val="22"/>
                <w:lang w:val="en-GB"/>
              </w:rPr>
            </w:pPr>
          </w:p>
        </w:tc>
      </w:tr>
      <w:tr w:rsidR="00B54D51" w:rsidRPr="00037AD4" w14:paraId="3D8D39C1" w14:textId="77777777" w:rsidTr="00401C67">
        <w:tc>
          <w:tcPr>
            <w:tcW w:w="2183" w:type="dxa"/>
          </w:tcPr>
          <w:p w14:paraId="19208466"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Theme="minorHAnsi" w:hAnsiTheme="minorHAnsi" w:cstheme="minorHAnsi"/>
                <w:sz w:val="22"/>
                <w:szCs w:val="22"/>
                <w:lang w:val="en-GB"/>
              </w:rPr>
              <w:t xml:space="preserve">Apathy/indifference </w:t>
            </w:r>
          </w:p>
        </w:tc>
        <w:tc>
          <w:tcPr>
            <w:tcW w:w="1697" w:type="dxa"/>
          </w:tcPr>
          <w:p w14:paraId="0F83FB79"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000000" w:themeColor="text1"/>
                <w:sz w:val="22"/>
                <w:szCs w:val="22"/>
                <w:shd w:val="clear" w:color="auto" w:fill="FFFFFF"/>
                <w:lang w:val="en-GB"/>
              </w:rPr>
              <w:t>✓</w:t>
            </w:r>
          </w:p>
        </w:tc>
        <w:tc>
          <w:tcPr>
            <w:tcW w:w="1713" w:type="dxa"/>
          </w:tcPr>
          <w:p w14:paraId="55531032" w14:textId="77777777" w:rsidR="00B54D51" w:rsidRPr="00037AD4" w:rsidRDefault="00B54D51" w:rsidP="00401C67">
            <w:pPr>
              <w:pStyle w:val="EndNoteBibliography"/>
              <w:rPr>
                <w:rFonts w:asciiTheme="minorHAnsi" w:hAnsiTheme="minorHAnsi" w:cstheme="minorHAnsi"/>
                <w:sz w:val="22"/>
                <w:szCs w:val="22"/>
                <w:lang w:val="en-GB"/>
              </w:rPr>
            </w:pPr>
          </w:p>
        </w:tc>
        <w:tc>
          <w:tcPr>
            <w:tcW w:w="1713" w:type="dxa"/>
          </w:tcPr>
          <w:p w14:paraId="6EA133B0"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000000" w:themeColor="text1"/>
                <w:sz w:val="22"/>
                <w:szCs w:val="22"/>
                <w:shd w:val="clear" w:color="auto" w:fill="FFFFFF"/>
                <w:lang w:val="en-GB"/>
              </w:rPr>
              <w:t>✓</w:t>
            </w:r>
          </w:p>
        </w:tc>
        <w:tc>
          <w:tcPr>
            <w:tcW w:w="1710" w:type="dxa"/>
          </w:tcPr>
          <w:p w14:paraId="3948EBDC"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000000" w:themeColor="text1"/>
                <w:sz w:val="22"/>
                <w:szCs w:val="22"/>
                <w:shd w:val="clear" w:color="auto" w:fill="FFFFFF"/>
                <w:lang w:val="en-GB"/>
              </w:rPr>
              <w:t>✓</w:t>
            </w:r>
          </w:p>
        </w:tc>
      </w:tr>
      <w:tr w:rsidR="00B54D51" w:rsidRPr="00037AD4" w14:paraId="54909E06" w14:textId="77777777" w:rsidTr="00401C67">
        <w:tc>
          <w:tcPr>
            <w:tcW w:w="2183" w:type="dxa"/>
          </w:tcPr>
          <w:p w14:paraId="6DED6AFD"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Theme="minorHAnsi" w:hAnsiTheme="minorHAnsi" w:cstheme="minorHAnsi"/>
                <w:sz w:val="22"/>
                <w:szCs w:val="22"/>
                <w:lang w:val="en-GB"/>
              </w:rPr>
              <w:t xml:space="preserve">Disinhibition </w:t>
            </w:r>
          </w:p>
        </w:tc>
        <w:tc>
          <w:tcPr>
            <w:tcW w:w="1697" w:type="dxa"/>
          </w:tcPr>
          <w:p w14:paraId="482E6FDC" w14:textId="77777777" w:rsidR="00B54D51" w:rsidRPr="00037AD4" w:rsidRDefault="00B54D51" w:rsidP="00401C67">
            <w:pPr>
              <w:pStyle w:val="EndNoteBibliography"/>
              <w:rPr>
                <w:rFonts w:asciiTheme="minorHAnsi" w:hAnsiTheme="minorHAnsi" w:cstheme="minorHAnsi"/>
                <w:color w:val="202124"/>
                <w:sz w:val="22"/>
                <w:szCs w:val="22"/>
                <w:shd w:val="clear" w:color="auto" w:fill="FFFFFF"/>
                <w:lang w:val="en-GB"/>
              </w:rPr>
            </w:pPr>
            <w:r w:rsidRPr="00037AD4">
              <w:rPr>
                <w:rFonts w:ascii="Segoe UI Symbol" w:hAnsi="Segoe UI Symbol" w:cs="Segoe UI Symbol"/>
                <w:color w:val="000000" w:themeColor="text1"/>
                <w:sz w:val="22"/>
                <w:szCs w:val="22"/>
                <w:shd w:val="clear" w:color="auto" w:fill="FFFFFF"/>
                <w:lang w:val="en-GB"/>
              </w:rPr>
              <w:t>✓</w:t>
            </w:r>
          </w:p>
        </w:tc>
        <w:tc>
          <w:tcPr>
            <w:tcW w:w="1713" w:type="dxa"/>
          </w:tcPr>
          <w:p w14:paraId="38861FD1"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000000" w:themeColor="text1"/>
                <w:sz w:val="22"/>
                <w:szCs w:val="22"/>
                <w:shd w:val="clear" w:color="auto" w:fill="FFFFFF"/>
                <w:lang w:val="en-GB"/>
              </w:rPr>
              <w:t>✓</w:t>
            </w:r>
          </w:p>
        </w:tc>
        <w:tc>
          <w:tcPr>
            <w:tcW w:w="1713" w:type="dxa"/>
          </w:tcPr>
          <w:p w14:paraId="0C7F670D" w14:textId="77777777" w:rsidR="00B54D51" w:rsidRPr="00037AD4" w:rsidRDefault="00B54D51" w:rsidP="00401C67">
            <w:pPr>
              <w:pStyle w:val="EndNoteBibliography"/>
              <w:rPr>
                <w:rFonts w:asciiTheme="minorHAnsi" w:hAnsiTheme="minorHAnsi" w:cstheme="minorHAnsi"/>
                <w:sz w:val="22"/>
                <w:szCs w:val="22"/>
                <w:lang w:val="en-GB"/>
              </w:rPr>
            </w:pPr>
          </w:p>
        </w:tc>
        <w:tc>
          <w:tcPr>
            <w:tcW w:w="1710" w:type="dxa"/>
          </w:tcPr>
          <w:p w14:paraId="0EA11433" w14:textId="77777777" w:rsidR="00B54D51" w:rsidRPr="00037AD4" w:rsidRDefault="00B54D51" w:rsidP="00401C67">
            <w:pPr>
              <w:pStyle w:val="EndNoteBibliography"/>
              <w:rPr>
                <w:rFonts w:asciiTheme="minorHAnsi" w:hAnsiTheme="minorHAnsi" w:cstheme="minorHAnsi"/>
                <w:sz w:val="22"/>
                <w:szCs w:val="22"/>
                <w:lang w:val="en-GB"/>
              </w:rPr>
            </w:pPr>
          </w:p>
        </w:tc>
      </w:tr>
      <w:tr w:rsidR="00B54D51" w:rsidRPr="00037AD4" w14:paraId="406E1841" w14:textId="77777777" w:rsidTr="00401C67">
        <w:tc>
          <w:tcPr>
            <w:tcW w:w="2183" w:type="dxa"/>
          </w:tcPr>
          <w:p w14:paraId="4B0B408B"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Theme="minorHAnsi" w:hAnsiTheme="minorHAnsi" w:cstheme="minorHAnsi"/>
                <w:sz w:val="22"/>
                <w:szCs w:val="22"/>
                <w:lang w:val="en-GB"/>
              </w:rPr>
              <w:t xml:space="preserve">Irritability/lability </w:t>
            </w:r>
          </w:p>
        </w:tc>
        <w:tc>
          <w:tcPr>
            <w:tcW w:w="1697" w:type="dxa"/>
          </w:tcPr>
          <w:p w14:paraId="09B7F1B6"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000000" w:themeColor="text1"/>
                <w:sz w:val="22"/>
                <w:szCs w:val="22"/>
                <w:shd w:val="clear" w:color="auto" w:fill="FFFFFF"/>
                <w:lang w:val="en-GB"/>
              </w:rPr>
              <w:t>✓</w:t>
            </w:r>
          </w:p>
        </w:tc>
        <w:tc>
          <w:tcPr>
            <w:tcW w:w="1713" w:type="dxa"/>
          </w:tcPr>
          <w:p w14:paraId="70C08517" w14:textId="77777777" w:rsidR="00B54D51" w:rsidRPr="00037AD4" w:rsidRDefault="00B54D51" w:rsidP="00401C67">
            <w:pPr>
              <w:pStyle w:val="EndNoteBibliography"/>
              <w:rPr>
                <w:rFonts w:asciiTheme="minorHAnsi" w:hAnsiTheme="minorHAnsi" w:cstheme="minorHAnsi"/>
                <w:sz w:val="22"/>
                <w:szCs w:val="22"/>
                <w:lang w:val="en-GB"/>
              </w:rPr>
            </w:pPr>
          </w:p>
        </w:tc>
        <w:tc>
          <w:tcPr>
            <w:tcW w:w="1713" w:type="dxa"/>
          </w:tcPr>
          <w:p w14:paraId="24BEC97B" w14:textId="77777777" w:rsidR="00B54D51" w:rsidRPr="00037AD4" w:rsidRDefault="00B54D51" w:rsidP="00401C67">
            <w:pPr>
              <w:pStyle w:val="EndNoteBibliography"/>
              <w:rPr>
                <w:rFonts w:asciiTheme="minorHAnsi" w:hAnsiTheme="minorHAnsi" w:cstheme="minorHAnsi"/>
                <w:sz w:val="22"/>
                <w:szCs w:val="22"/>
                <w:lang w:val="en-GB"/>
              </w:rPr>
            </w:pPr>
          </w:p>
        </w:tc>
        <w:tc>
          <w:tcPr>
            <w:tcW w:w="1710" w:type="dxa"/>
          </w:tcPr>
          <w:p w14:paraId="46442C8E" w14:textId="77777777" w:rsidR="00B54D51" w:rsidRPr="00037AD4" w:rsidRDefault="00B54D51" w:rsidP="00401C67">
            <w:pPr>
              <w:pStyle w:val="EndNoteBibliography"/>
              <w:rPr>
                <w:rFonts w:asciiTheme="minorHAnsi" w:hAnsiTheme="minorHAnsi" w:cstheme="minorHAnsi"/>
                <w:sz w:val="22"/>
                <w:szCs w:val="22"/>
                <w:lang w:val="en-GB"/>
              </w:rPr>
            </w:pPr>
          </w:p>
        </w:tc>
      </w:tr>
      <w:tr w:rsidR="00B54D51" w:rsidRPr="00037AD4" w14:paraId="6785AD3B" w14:textId="77777777" w:rsidTr="00401C67">
        <w:tc>
          <w:tcPr>
            <w:tcW w:w="2183" w:type="dxa"/>
          </w:tcPr>
          <w:p w14:paraId="5AA55931"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Theme="minorHAnsi" w:hAnsiTheme="minorHAnsi" w:cstheme="minorHAnsi"/>
                <w:sz w:val="22"/>
                <w:szCs w:val="22"/>
                <w:lang w:val="en-GB"/>
              </w:rPr>
              <w:t xml:space="preserve">Motor disturbances </w:t>
            </w:r>
          </w:p>
        </w:tc>
        <w:tc>
          <w:tcPr>
            <w:tcW w:w="1697" w:type="dxa"/>
          </w:tcPr>
          <w:p w14:paraId="145B9601"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000000" w:themeColor="text1"/>
                <w:sz w:val="22"/>
                <w:szCs w:val="22"/>
                <w:shd w:val="clear" w:color="auto" w:fill="FFFFFF"/>
                <w:lang w:val="en-GB"/>
              </w:rPr>
              <w:t>✓</w:t>
            </w:r>
          </w:p>
        </w:tc>
        <w:tc>
          <w:tcPr>
            <w:tcW w:w="1713" w:type="dxa"/>
          </w:tcPr>
          <w:p w14:paraId="189658BE" w14:textId="77777777" w:rsidR="00B54D51" w:rsidRPr="00037AD4" w:rsidRDefault="00B54D51" w:rsidP="00401C67">
            <w:pPr>
              <w:pStyle w:val="EndNoteBibliography"/>
              <w:rPr>
                <w:rFonts w:asciiTheme="minorHAnsi" w:hAnsiTheme="minorHAnsi" w:cstheme="minorHAnsi"/>
                <w:color w:val="202124"/>
                <w:sz w:val="22"/>
                <w:szCs w:val="22"/>
                <w:shd w:val="clear" w:color="auto" w:fill="FFFFFF"/>
                <w:lang w:val="en-GB"/>
              </w:rPr>
            </w:pPr>
          </w:p>
        </w:tc>
        <w:tc>
          <w:tcPr>
            <w:tcW w:w="1713" w:type="dxa"/>
          </w:tcPr>
          <w:p w14:paraId="5AD72339"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000000" w:themeColor="text1"/>
                <w:sz w:val="22"/>
                <w:szCs w:val="22"/>
                <w:shd w:val="clear" w:color="auto" w:fill="FFFFFF"/>
                <w:lang w:val="en-GB"/>
              </w:rPr>
              <w:t>✓</w:t>
            </w:r>
          </w:p>
        </w:tc>
        <w:tc>
          <w:tcPr>
            <w:tcW w:w="1710" w:type="dxa"/>
          </w:tcPr>
          <w:p w14:paraId="0A6F3660" w14:textId="77777777" w:rsidR="00B54D51" w:rsidRPr="00037AD4" w:rsidRDefault="00B54D51" w:rsidP="00401C67">
            <w:pPr>
              <w:pStyle w:val="EndNoteBibliography"/>
              <w:rPr>
                <w:rFonts w:asciiTheme="minorHAnsi" w:hAnsiTheme="minorHAnsi" w:cstheme="minorHAnsi"/>
                <w:sz w:val="22"/>
                <w:szCs w:val="22"/>
                <w:lang w:val="en-GB"/>
              </w:rPr>
            </w:pPr>
          </w:p>
        </w:tc>
      </w:tr>
      <w:tr w:rsidR="00B54D51" w:rsidRPr="00037AD4" w14:paraId="2879765D" w14:textId="77777777" w:rsidTr="00401C67">
        <w:tc>
          <w:tcPr>
            <w:tcW w:w="2183" w:type="dxa"/>
          </w:tcPr>
          <w:p w14:paraId="0E539EA8" w14:textId="2801CC0D" w:rsidR="00B54D51" w:rsidRPr="00037AD4" w:rsidRDefault="00830480" w:rsidP="00401C67">
            <w:pPr>
              <w:pStyle w:val="EndNoteBibliography"/>
              <w:rPr>
                <w:rFonts w:asciiTheme="minorHAnsi" w:hAnsiTheme="minorHAnsi" w:cstheme="minorHAnsi"/>
                <w:sz w:val="22"/>
                <w:szCs w:val="22"/>
                <w:lang w:val="en-GB"/>
              </w:rPr>
            </w:pPr>
            <w:r w:rsidRPr="00037AD4">
              <w:rPr>
                <w:rFonts w:asciiTheme="minorHAnsi" w:hAnsiTheme="minorHAnsi" w:cstheme="minorHAnsi"/>
                <w:sz w:val="22"/>
                <w:szCs w:val="22"/>
                <w:lang w:val="en-GB"/>
              </w:rPr>
              <w:t>Night-time</w:t>
            </w:r>
            <w:r w:rsidR="00B54D51" w:rsidRPr="00037AD4">
              <w:rPr>
                <w:rFonts w:asciiTheme="minorHAnsi" w:hAnsiTheme="minorHAnsi" w:cstheme="minorHAnsi"/>
                <w:sz w:val="22"/>
                <w:szCs w:val="22"/>
                <w:lang w:val="en-GB"/>
              </w:rPr>
              <w:t xml:space="preserve"> behaviour disturbances/ sleep disturbance</w:t>
            </w:r>
          </w:p>
        </w:tc>
        <w:tc>
          <w:tcPr>
            <w:tcW w:w="1697" w:type="dxa"/>
          </w:tcPr>
          <w:p w14:paraId="38FA4DED"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000000" w:themeColor="text1"/>
                <w:sz w:val="22"/>
                <w:szCs w:val="22"/>
                <w:shd w:val="clear" w:color="auto" w:fill="FFFFFF"/>
                <w:lang w:val="en-GB"/>
              </w:rPr>
              <w:t>✓</w:t>
            </w:r>
          </w:p>
        </w:tc>
        <w:tc>
          <w:tcPr>
            <w:tcW w:w="1713" w:type="dxa"/>
          </w:tcPr>
          <w:p w14:paraId="758C4E18" w14:textId="77777777" w:rsidR="00B54D51" w:rsidRPr="00037AD4" w:rsidRDefault="00B54D51" w:rsidP="00401C67">
            <w:pPr>
              <w:pStyle w:val="EndNoteBibliography"/>
              <w:rPr>
                <w:rFonts w:asciiTheme="minorHAnsi" w:hAnsiTheme="minorHAnsi" w:cstheme="minorHAnsi"/>
                <w:color w:val="202124"/>
                <w:sz w:val="22"/>
                <w:szCs w:val="22"/>
                <w:shd w:val="clear" w:color="auto" w:fill="FFFFFF"/>
                <w:lang w:val="en-GB"/>
              </w:rPr>
            </w:pPr>
          </w:p>
        </w:tc>
        <w:tc>
          <w:tcPr>
            <w:tcW w:w="1713" w:type="dxa"/>
          </w:tcPr>
          <w:p w14:paraId="229CD61F"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000000" w:themeColor="text1"/>
                <w:sz w:val="22"/>
                <w:szCs w:val="22"/>
                <w:shd w:val="clear" w:color="auto" w:fill="FFFFFF"/>
                <w:lang w:val="en-GB"/>
              </w:rPr>
              <w:t>✓</w:t>
            </w:r>
          </w:p>
        </w:tc>
        <w:tc>
          <w:tcPr>
            <w:tcW w:w="1710" w:type="dxa"/>
          </w:tcPr>
          <w:p w14:paraId="75CF3036"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000000" w:themeColor="text1"/>
                <w:sz w:val="22"/>
                <w:szCs w:val="22"/>
                <w:shd w:val="clear" w:color="auto" w:fill="FFFFFF"/>
                <w:lang w:val="en-GB"/>
              </w:rPr>
              <w:t>✓</w:t>
            </w:r>
          </w:p>
        </w:tc>
      </w:tr>
      <w:tr w:rsidR="00B54D51" w:rsidRPr="00037AD4" w14:paraId="510F8D94" w14:textId="77777777" w:rsidTr="00401C67">
        <w:tc>
          <w:tcPr>
            <w:tcW w:w="2183" w:type="dxa"/>
          </w:tcPr>
          <w:p w14:paraId="56BE933E"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Theme="minorHAnsi" w:hAnsiTheme="minorHAnsi" w:cstheme="minorHAnsi"/>
                <w:sz w:val="22"/>
                <w:szCs w:val="22"/>
                <w:lang w:val="en-GB"/>
              </w:rPr>
              <w:t xml:space="preserve">Appetite and eating disorders </w:t>
            </w:r>
          </w:p>
        </w:tc>
        <w:tc>
          <w:tcPr>
            <w:tcW w:w="1697" w:type="dxa"/>
          </w:tcPr>
          <w:p w14:paraId="682399F9"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Segoe UI Symbol" w:hAnsi="Segoe UI Symbol" w:cs="Segoe UI Symbol"/>
                <w:color w:val="000000" w:themeColor="text1"/>
                <w:sz w:val="22"/>
                <w:szCs w:val="22"/>
                <w:shd w:val="clear" w:color="auto" w:fill="FFFFFF"/>
                <w:lang w:val="en-GB"/>
              </w:rPr>
              <w:t>✓</w:t>
            </w:r>
          </w:p>
        </w:tc>
        <w:tc>
          <w:tcPr>
            <w:tcW w:w="1713" w:type="dxa"/>
          </w:tcPr>
          <w:p w14:paraId="38D6C73D" w14:textId="77777777" w:rsidR="00B54D51" w:rsidRPr="00037AD4" w:rsidRDefault="00B54D51" w:rsidP="00401C67">
            <w:pPr>
              <w:pStyle w:val="EndNoteBibliography"/>
              <w:rPr>
                <w:rFonts w:asciiTheme="minorHAnsi" w:hAnsiTheme="minorHAnsi" w:cstheme="minorHAnsi"/>
                <w:color w:val="202124"/>
                <w:sz w:val="22"/>
                <w:szCs w:val="22"/>
                <w:shd w:val="clear" w:color="auto" w:fill="FFFFFF"/>
                <w:lang w:val="en-GB"/>
              </w:rPr>
            </w:pPr>
            <w:r w:rsidRPr="00037AD4">
              <w:rPr>
                <w:rFonts w:ascii="Segoe UI Symbol" w:hAnsi="Segoe UI Symbol" w:cs="Segoe UI Symbol"/>
                <w:color w:val="000000" w:themeColor="text1"/>
                <w:sz w:val="22"/>
                <w:szCs w:val="22"/>
                <w:shd w:val="clear" w:color="auto" w:fill="FFFFFF"/>
                <w:lang w:val="en-GB"/>
              </w:rPr>
              <w:t>✓</w:t>
            </w:r>
          </w:p>
        </w:tc>
        <w:tc>
          <w:tcPr>
            <w:tcW w:w="1713" w:type="dxa"/>
          </w:tcPr>
          <w:p w14:paraId="22A64A93" w14:textId="77777777" w:rsidR="00B54D51" w:rsidRPr="00037AD4" w:rsidRDefault="00B54D51" w:rsidP="00401C67">
            <w:pPr>
              <w:pStyle w:val="EndNoteBibliography"/>
              <w:rPr>
                <w:rFonts w:asciiTheme="minorHAnsi" w:hAnsiTheme="minorHAnsi" w:cstheme="minorHAnsi"/>
                <w:color w:val="202124"/>
                <w:sz w:val="22"/>
                <w:szCs w:val="22"/>
                <w:shd w:val="clear" w:color="auto" w:fill="FFFFFF"/>
                <w:lang w:val="en-GB"/>
              </w:rPr>
            </w:pPr>
            <w:r w:rsidRPr="00037AD4">
              <w:rPr>
                <w:rFonts w:ascii="Segoe UI Symbol" w:hAnsi="Segoe UI Symbol" w:cs="Segoe UI Symbol"/>
                <w:color w:val="000000" w:themeColor="text1"/>
                <w:sz w:val="22"/>
                <w:szCs w:val="22"/>
                <w:shd w:val="clear" w:color="auto" w:fill="FFFFFF"/>
                <w:lang w:val="en-GB"/>
              </w:rPr>
              <w:t>✓</w:t>
            </w:r>
          </w:p>
        </w:tc>
        <w:tc>
          <w:tcPr>
            <w:tcW w:w="1710" w:type="dxa"/>
          </w:tcPr>
          <w:p w14:paraId="6087B3F4" w14:textId="77777777" w:rsidR="00B54D51" w:rsidRPr="00037AD4" w:rsidRDefault="00B54D51" w:rsidP="00401C67">
            <w:pPr>
              <w:pStyle w:val="EndNoteBibliography"/>
              <w:rPr>
                <w:rFonts w:asciiTheme="minorHAnsi" w:hAnsiTheme="minorHAnsi" w:cstheme="minorHAnsi"/>
                <w:sz w:val="22"/>
                <w:szCs w:val="22"/>
                <w:lang w:val="en-GB"/>
              </w:rPr>
            </w:pPr>
          </w:p>
        </w:tc>
      </w:tr>
      <w:tr w:rsidR="00B54D51" w:rsidRPr="00037AD4" w14:paraId="551BF112" w14:textId="77777777" w:rsidTr="00401C67">
        <w:tc>
          <w:tcPr>
            <w:tcW w:w="2183" w:type="dxa"/>
          </w:tcPr>
          <w:p w14:paraId="5CB73CDB"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Theme="minorHAnsi" w:hAnsiTheme="minorHAnsi" w:cstheme="minorHAnsi"/>
                <w:sz w:val="22"/>
                <w:szCs w:val="22"/>
                <w:lang w:val="en-GB"/>
              </w:rPr>
              <w:t>Resistiveness to care</w:t>
            </w:r>
          </w:p>
        </w:tc>
        <w:tc>
          <w:tcPr>
            <w:tcW w:w="1697" w:type="dxa"/>
          </w:tcPr>
          <w:p w14:paraId="7CA69271" w14:textId="77777777" w:rsidR="00B54D51" w:rsidRPr="00037AD4" w:rsidRDefault="00B54D51" w:rsidP="00401C67">
            <w:pPr>
              <w:pStyle w:val="EndNoteBibliography"/>
              <w:rPr>
                <w:rFonts w:asciiTheme="minorHAnsi" w:hAnsiTheme="minorHAnsi" w:cstheme="minorHAnsi"/>
                <w:sz w:val="22"/>
                <w:szCs w:val="22"/>
                <w:lang w:val="en-GB"/>
              </w:rPr>
            </w:pPr>
          </w:p>
        </w:tc>
        <w:tc>
          <w:tcPr>
            <w:tcW w:w="1713" w:type="dxa"/>
          </w:tcPr>
          <w:p w14:paraId="1D4D070B" w14:textId="77777777" w:rsidR="00B54D51" w:rsidRPr="00037AD4" w:rsidRDefault="00B54D51" w:rsidP="00401C67">
            <w:pPr>
              <w:pStyle w:val="EndNoteBibliography"/>
              <w:rPr>
                <w:rFonts w:asciiTheme="minorHAnsi" w:hAnsiTheme="minorHAnsi" w:cstheme="minorHAnsi"/>
                <w:color w:val="202124"/>
                <w:sz w:val="22"/>
                <w:szCs w:val="22"/>
                <w:shd w:val="clear" w:color="auto" w:fill="FFFFFF"/>
                <w:lang w:val="en-GB"/>
              </w:rPr>
            </w:pPr>
            <w:r w:rsidRPr="00037AD4">
              <w:rPr>
                <w:rFonts w:ascii="Segoe UI Symbol" w:hAnsi="Segoe UI Symbol" w:cs="Segoe UI Symbol"/>
                <w:color w:val="000000" w:themeColor="text1"/>
                <w:sz w:val="22"/>
                <w:szCs w:val="22"/>
                <w:shd w:val="clear" w:color="auto" w:fill="FFFFFF"/>
                <w:lang w:val="en-GB"/>
              </w:rPr>
              <w:t>✓</w:t>
            </w:r>
          </w:p>
        </w:tc>
        <w:tc>
          <w:tcPr>
            <w:tcW w:w="1713" w:type="dxa"/>
          </w:tcPr>
          <w:p w14:paraId="2F13EC91" w14:textId="77777777" w:rsidR="00B54D51" w:rsidRPr="00037AD4" w:rsidRDefault="00B54D51" w:rsidP="00401C67">
            <w:pPr>
              <w:pStyle w:val="EndNoteBibliography"/>
              <w:rPr>
                <w:rFonts w:asciiTheme="minorHAnsi" w:hAnsiTheme="minorHAnsi" w:cstheme="minorHAnsi"/>
                <w:color w:val="202124"/>
                <w:sz w:val="22"/>
                <w:szCs w:val="22"/>
                <w:shd w:val="clear" w:color="auto" w:fill="FFFFFF"/>
                <w:lang w:val="en-GB"/>
              </w:rPr>
            </w:pPr>
          </w:p>
        </w:tc>
        <w:tc>
          <w:tcPr>
            <w:tcW w:w="1710" w:type="dxa"/>
          </w:tcPr>
          <w:p w14:paraId="2A6739AA" w14:textId="77777777" w:rsidR="00B54D51" w:rsidRPr="00037AD4" w:rsidRDefault="00B54D51" w:rsidP="00401C67">
            <w:pPr>
              <w:pStyle w:val="EndNoteBibliography"/>
              <w:rPr>
                <w:rFonts w:asciiTheme="minorHAnsi" w:hAnsiTheme="minorHAnsi" w:cstheme="minorHAnsi"/>
                <w:sz w:val="22"/>
                <w:szCs w:val="22"/>
                <w:lang w:val="en-GB"/>
              </w:rPr>
            </w:pPr>
          </w:p>
        </w:tc>
      </w:tr>
      <w:tr w:rsidR="00B54D51" w:rsidRPr="00037AD4" w14:paraId="0B22529F" w14:textId="77777777" w:rsidTr="00401C67">
        <w:tc>
          <w:tcPr>
            <w:tcW w:w="2183" w:type="dxa"/>
          </w:tcPr>
          <w:p w14:paraId="2BFC0FDD"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Theme="minorHAnsi" w:hAnsiTheme="minorHAnsi" w:cstheme="minorHAnsi"/>
                <w:sz w:val="22"/>
                <w:szCs w:val="22"/>
                <w:lang w:val="en-GB"/>
              </w:rPr>
              <w:t xml:space="preserve">Wandering </w:t>
            </w:r>
          </w:p>
        </w:tc>
        <w:tc>
          <w:tcPr>
            <w:tcW w:w="1697" w:type="dxa"/>
          </w:tcPr>
          <w:p w14:paraId="7FF96055" w14:textId="77777777" w:rsidR="00B54D51" w:rsidRPr="00037AD4" w:rsidRDefault="00B54D51" w:rsidP="00401C67">
            <w:pPr>
              <w:pStyle w:val="EndNoteBibliography"/>
              <w:rPr>
                <w:rFonts w:asciiTheme="minorHAnsi" w:hAnsiTheme="minorHAnsi" w:cstheme="minorHAnsi"/>
                <w:sz w:val="22"/>
                <w:szCs w:val="22"/>
                <w:lang w:val="en-GB"/>
              </w:rPr>
            </w:pPr>
          </w:p>
        </w:tc>
        <w:tc>
          <w:tcPr>
            <w:tcW w:w="1713" w:type="dxa"/>
          </w:tcPr>
          <w:p w14:paraId="1CF18EEC" w14:textId="77777777" w:rsidR="00B54D51" w:rsidRPr="00037AD4" w:rsidRDefault="00B54D51" w:rsidP="00401C67">
            <w:pPr>
              <w:pStyle w:val="EndNoteBibliography"/>
              <w:rPr>
                <w:rFonts w:asciiTheme="minorHAnsi" w:hAnsiTheme="minorHAnsi" w:cstheme="minorHAnsi"/>
                <w:color w:val="202124"/>
                <w:sz w:val="22"/>
                <w:szCs w:val="22"/>
                <w:shd w:val="clear" w:color="auto" w:fill="FFFFFF"/>
                <w:lang w:val="en-GB"/>
              </w:rPr>
            </w:pPr>
            <w:r w:rsidRPr="00037AD4">
              <w:rPr>
                <w:rFonts w:ascii="Segoe UI Symbol" w:hAnsi="Segoe UI Symbol" w:cs="Segoe UI Symbol"/>
                <w:color w:val="000000" w:themeColor="text1"/>
                <w:sz w:val="22"/>
                <w:szCs w:val="22"/>
                <w:shd w:val="clear" w:color="auto" w:fill="FFFFFF"/>
                <w:lang w:val="en-GB"/>
              </w:rPr>
              <w:t>✓</w:t>
            </w:r>
          </w:p>
        </w:tc>
        <w:tc>
          <w:tcPr>
            <w:tcW w:w="1713" w:type="dxa"/>
          </w:tcPr>
          <w:p w14:paraId="7A04B8E4" w14:textId="77777777" w:rsidR="00B54D51" w:rsidRPr="00037AD4" w:rsidRDefault="00B54D51" w:rsidP="00401C67">
            <w:pPr>
              <w:pStyle w:val="EndNoteBibliography"/>
              <w:rPr>
                <w:rFonts w:asciiTheme="minorHAnsi" w:hAnsiTheme="minorHAnsi" w:cstheme="minorHAnsi"/>
                <w:color w:val="202124"/>
                <w:sz w:val="22"/>
                <w:szCs w:val="22"/>
                <w:shd w:val="clear" w:color="auto" w:fill="FFFFFF"/>
                <w:lang w:val="en-GB"/>
              </w:rPr>
            </w:pPr>
          </w:p>
        </w:tc>
        <w:tc>
          <w:tcPr>
            <w:tcW w:w="1710" w:type="dxa"/>
          </w:tcPr>
          <w:p w14:paraId="2235F5C5" w14:textId="77777777" w:rsidR="00B54D51" w:rsidRPr="00037AD4" w:rsidRDefault="00B54D51" w:rsidP="00401C67">
            <w:pPr>
              <w:pStyle w:val="EndNoteBibliography"/>
              <w:rPr>
                <w:rFonts w:asciiTheme="minorHAnsi" w:hAnsiTheme="minorHAnsi" w:cstheme="minorHAnsi"/>
                <w:color w:val="202124"/>
                <w:sz w:val="22"/>
                <w:szCs w:val="22"/>
                <w:shd w:val="clear" w:color="auto" w:fill="FFFFFF"/>
                <w:lang w:val="en-GB"/>
              </w:rPr>
            </w:pPr>
          </w:p>
        </w:tc>
      </w:tr>
      <w:tr w:rsidR="00B54D51" w:rsidRPr="00037AD4" w14:paraId="2FA0D5FC" w14:textId="77777777" w:rsidTr="00401C67">
        <w:tc>
          <w:tcPr>
            <w:tcW w:w="2183" w:type="dxa"/>
          </w:tcPr>
          <w:p w14:paraId="3EC85F40"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Theme="minorHAnsi" w:hAnsiTheme="minorHAnsi" w:cstheme="minorHAnsi"/>
                <w:sz w:val="22"/>
                <w:szCs w:val="22"/>
                <w:lang w:val="en-GB"/>
              </w:rPr>
              <w:t>Catastrophic reactions</w:t>
            </w:r>
          </w:p>
        </w:tc>
        <w:tc>
          <w:tcPr>
            <w:tcW w:w="1697" w:type="dxa"/>
          </w:tcPr>
          <w:p w14:paraId="27FAEAA6" w14:textId="77777777" w:rsidR="00B54D51" w:rsidRPr="00037AD4" w:rsidRDefault="00B54D51" w:rsidP="00401C67">
            <w:pPr>
              <w:pStyle w:val="EndNoteBibliography"/>
              <w:rPr>
                <w:rFonts w:asciiTheme="minorHAnsi" w:hAnsiTheme="minorHAnsi" w:cstheme="minorHAnsi"/>
                <w:sz w:val="22"/>
                <w:szCs w:val="22"/>
                <w:lang w:val="en-GB"/>
              </w:rPr>
            </w:pPr>
          </w:p>
        </w:tc>
        <w:tc>
          <w:tcPr>
            <w:tcW w:w="1713" w:type="dxa"/>
          </w:tcPr>
          <w:p w14:paraId="6008B852" w14:textId="77777777" w:rsidR="00B54D51" w:rsidRPr="00037AD4" w:rsidRDefault="00B54D51" w:rsidP="00401C67">
            <w:pPr>
              <w:pStyle w:val="EndNoteBibliography"/>
              <w:rPr>
                <w:rFonts w:asciiTheme="minorHAnsi" w:hAnsiTheme="minorHAnsi" w:cstheme="minorHAnsi"/>
                <w:color w:val="202124"/>
                <w:sz w:val="22"/>
                <w:szCs w:val="22"/>
                <w:shd w:val="clear" w:color="auto" w:fill="FFFFFF"/>
                <w:lang w:val="en-GB"/>
              </w:rPr>
            </w:pPr>
            <w:r w:rsidRPr="00037AD4">
              <w:rPr>
                <w:rFonts w:ascii="Segoe UI Symbol" w:hAnsi="Segoe UI Symbol" w:cs="Segoe UI Symbol"/>
                <w:color w:val="000000" w:themeColor="text1"/>
                <w:sz w:val="22"/>
                <w:szCs w:val="22"/>
                <w:shd w:val="clear" w:color="auto" w:fill="FFFFFF"/>
                <w:lang w:val="en-GB"/>
              </w:rPr>
              <w:t>✓</w:t>
            </w:r>
          </w:p>
        </w:tc>
        <w:tc>
          <w:tcPr>
            <w:tcW w:w="1713" w:type="dxa"/>
          </w:tcPr>
          <w:p w14:paraId="49940FB5" w14:textId="77777777" w:rsidR="00B54D51" w:rsidRPr="00037AD4" w:rsidRDefault="00B54D51" w:rsidP="00401C67">
            <w:pPr>
              <w:pStyle w:val="EndNoteBibliography"/>
              <w:rPr>
                <w:rFonts w:asciiTheme="minorHAnsi" w:hAnsiTheme="minorHAnsi" w:cstheme="minorHAnsi"/>
                <w:color w:val="202124"/>
                <w:sz w:val="22"/>
                <w:szCs w:val="22"/>
                <w:shd w:val="clear" w:color="auto" w:fill="FFFFFF"/>
                <w:lang w:val="en-GB"/>
              </w:rPr>
            </w:pPr>
          </w:p>
        </w:tc>
        <w:tc>
          <w:tcPr>
            <w:tcW w:w="1710" w:type="dxa"/>
          </w:tcPr>
          <w:p w14:paraId="502B7E80" w14:textId="77777777" w:rsidR="00B54D51" w:rsidRPr="00037AD4" w:rsidRDefault="00B54D51" w:rsidP="00401C67">
            <w:pPr>
              <w:pStyle w:val="EndNoteBibliography"/>
              <w:rPr>
                <w:rFonts w:asciiTheme="minorHAnsi" w:hAnsiTheme="minorHAnsi" w:cstheme="minorHAnsi"/>
                <w:color w:val="202124"/>
                <w:sz w:val="22"/>
                <w:szCs w:val="22"/>
                <w:shd w:val="clear" w:color="auto" w:fill="FFFFFF"/>
                <w:lang w:val="en-GB"/>
              </w:rPr>
            </w:pPr>
          </w:p>
        </w:tc>
      </w:tr>
      <w:tr w:rsidR="00B54D51" w:rsidRPr="00037AD4" w14:paraId="0BA56E80" w14:textId="77777777" w:rsidTr="00401C67">
        <w:tc>
          <w:tcPr>
            <w:tcW w:w="2183" w:type="dxa"/>
          </w:tcPr>
          <w:p w14:paraId="483DE416"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Theme="minorHAnsi" w:hAnsiTheme="minorHAnsi" w:cstheme="minorHAnsi"/>
                <w:sz w:val="22"/>
                <w:szCs w:val="22"/>
                <w:lang w:val="en-GB"/>
              </w:rPr>
              <w:t xml:space="preserve">Ideation disturbance </w:t>
            </w:r>
          </w:p>
        </w:tc>
        <w:tc>
          <w:tcPr>
            <w:tcW w:w="1697" w:type="dxa"/>
          </w:tcPr>
          <w:p w14:paraId="0963FB09" w14:textId="77777777" w:rsidR="00B54D51" w:rsidRPr="00037AD4" w:rsidRDefault="00B54D51" w:rsidP="00401C67">
            <w:pPr>
              <w:pStyle w:val="EndNoteBibliography"/>
              <w:rPr>
                <w:rFonts w:asciiTheme="minorHAnsi" w:hAnsiTheme="minorHAnsi" w:cstheme="minorHAnsi"/>
                <w:sz w:val="22"/>
                <w:szCs w:val="22"/>
                <w:lang w:val="en-GB"/>
              </w:rPr>
            </w:pPr>
          </w:p>
        </w:tc>
        <w:tc>
          <w:tcPr>
            <w:tcW w:w="1713" w:type="dxa"/>
          </w:tcPr>
          <w:p w14:paraId="5BA22FFB" w14:textId="77777777" w:rsidR="00B54D51" w:rsidRPr="00037AD4" w:rsidRDefault="00B54D51" w:rsidP="00401C67">
            <w:pPr>
              <w:pStyle w:val="EndNoteBibliography"/>
              <w:rPr>
                <w:rFonts w:asciiTheme="minorHAnsi" w:hAnsiTheme="minorHAnsi" w:cstheme="minorHAnsi"/>
                <w:color w:val="202124"/>
                <w:sz w:val="22"/>
                <w:szCs w:val="22"/>
                <w:shd w:val="clear" w:color="auto" w:fill="FFFFFF"/>
                <w:lang w:val="en-GB"/>
              </w:rPr>
            </w:pPr>
          </w:p>
        </w:tc>
        <w:tc>
          <w:tcPr>
            <w:tcW w:w="1713" w:type="dxa"/>
          </w:tcPr>
          <w:p w14:paraId="7817945C" w14:textId="77777777" w:rsidR="00B54D51" w:rsidRPr="00037AD4" w:rsidRDefault="00B54D51" w:rsidP="00401C67">
            <w:pPr>
              <w:pStyle w:val="EndNoteBibliography"/>
              <w:rPr>
                <w:rFonts w:asciiTheme="minorHAnsi" w:hAnsiTheme="minorHAnsi" w:cstheme="minorHAnsi"/>
                <w:color w:val="202124"/>
                <w:sz w:val="22"/>
                <w:szCs w:val="22"/>
                <w:shd w:val="clear" w:color="auto" w:fill="FFFFFF"/>
                <w:lang w:val="en-GB"/>
              </w:rPr>
            </w:pPr>
            <w:r w:rsidRPr="00037AD4">
              <w:rPr>
                <w:rFonts w:ascii="Segoe UI Symbol" w:hAnsi="Segoe UI Symbol" w:cs="Segoe UI Symbol"/>
                <w:color w:val="000000" w:themeColor="text1"/>
                <w:sz w:val="22"/>
                <w:szCs w:val="22"/>
                <w:shd w:val="clear" w:color="auto" w:fill="FFFFFF"/>
                <w:lang w:val="en-GB"/>
              </w:rPr>
              <w:t>✓</w:t>
            </w:r>
          </w:p>
        </w:tc>
        <w:tc>
          <w:tcPr>
            <w:tcW w:w="1710" w:type="dxa"/>
          </w:tcPr>
          <w:p w14:paraId="3BA38801" w14:textId="77777777" w:rsidR="00B54D51" w:rsidRPr="00037AD4" w:rsidRDefault="00B54D51" w:rsidP="00401C67">
            <w:pPr>
              <w:pStyle w:val="EndNoteBibliography"/>
              <w:rPr>
                <w:rFonts w:asciiTheme="minorHAnsi" w:hAnsiTheme="minorHAnsi" w:cstheme="minorHAnsi"/>
                <w:color w:val="202124"/>
                <w:sz w:val="22"/>
                <w:szCs w:val="22"/>
                <w:shd w:val="clear" w:color="auto" w:fill="FFFFFF"/>
                <w:lang w:val="en-GB"/>
              </w:rPr>
            </w:pPr>
          </w:p>
        </w:tc>
      </w:tr>
      <w:tr w:rsidR="00B54D51" w:rsidRPr="00037AD4" w14:paraId="2977824D" w14:textId="77777777" w:rsidTr="00401C67">
        <w:tc>
          <w:tcPr>
            <w:tcW w:w="2183" w:type="dxa"/>
          </w:tcPr>
          <w:p w14:paraId="648CD9B2"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Theme="minorHAnsi" w:hAnsiTheme="minorHAnsi" w:cstheme="minorHAnsi"/>
                <w:sz w:val="22"/>
                <w:szCs w:val="22"/>
                <w:lang w:val="en-GB"/>
              </w:rPr>
              <w:t>Energy level</w:t>
            </w:r>
          </w:p>
        </w:tc>
        <w:tc>
          <w:tcPr>
            <w:tcW w:w="1697" w:type="dxa"/>
          </w:tcPr>
          <w:p w14:paraId="0A888085" w14:textId="77777777" w:rsidR="00B54D51" w:rsidRPr="00037AD4" w:rsidRDefault="00B54D51" w:rsidP="00401C67">
            <w:pPr>
              <w:pStyle w:val="EndNoteBibliography"/>
              <w:rPr>
                <w:rFonts w:asciiTheme="minorHAnsi" w:hAnsiTheme="minorHAnsi" w:cstheme="minorHAnsi"/>
                <w:sz w:val="22"/>
                <w:szCs w:val="22"/>
                <w:lang w:val="en-GB"/>
              </w:rPr>
            </w:pPr>
          </w:p>
        </w:tc>
        <w:tc>
          <w:tcPr>
            <w:tcW w:w="1713" w:type="dxa"/>
          </w:tcPr>
          <w:p w14:paraId="31B735A6" w14:textId="77777777" w:rsidR="00B54D51" w:rsidRPr="00037AD4" w:rsidRDefault="00B54D51" w:rsidP="00401C67">
            <w:pPr>
              <w:pStyle w:val="EndNoteBibliography"/>
              <w:rPr>
                <w:rFonts w:asciiTheme="minorHAnsi" w:hAnsiTheme="minorHAnsi" w:cstheme="minorHAnsi"/>
                <w:color w:val="202124"/>
                <w:sz w:val="22"/>
                <w:szCs w:val="22"/>
                <w:shd w:val="clear" w:color="auto" w:fill="FFFFFF"/>
                <w:lang w:val="en-GB"/>
              </w:rPr>
            </w:pPr>
          </w:p>
        </w:tc>
        <w:tc>
          <w:tcPr>
            <w:tcW w:w="1713" w:type="dxa"/>
          </w:tcPr>
          <w:p w14:paraId="5C91F825" w14:textId="77777777" w:rsidR="00B54D51" w:rsidRPr="00037AD4" w:rsidRDefault="00B54D51" w:rsidP="00401C67">
            <w:pPr>
              <w:pStyle w:val="EndNoteBibliography"/>
              <w:rPr>
                <w:rFonts w:asciiTheme="minorHAnsi" w:hAnsiTheme="minorHAnsi" w:cstheme="minorHAnsi"/>
                <w:color w:val="202124"/>
                <w:sz w:val="22"/>
                <w:szCs w:val="22"/>
                <w:shd w:val="clear" w:color="auto" w:fill="FFFFFF"/>
                <w:lang w:val="en-GB"/>
              </w:rPr>
            </w:pPr>
            <w:r w:rsidRPr="00037AD4">
              <w:rPr>
                <w:rFonts w:ascii="Segoe UI Symbol" w:hAnsi="Segoe UI Symbol" w:cs="Segoe UI Symbol"/>
                <w:color w:val="000000" w:themeColor="text1"/>
                <w:sz w:val="22"/>
                <w:szCs w:val="22"/>
                <w:shd w:val="clear" w:color="auto" w:fill="FFFFFF"/>
                <w:lang w:val="en-GB"/>
              </w:rPr>
              <w:t>✓</w:t>
            </w:r>
          </w:p>
        </w:tc>
        <w:tc>
          <w:tcPr>
            <w:tcW w:w="1710" w:type="dxa"/>
          </w:tcPr>
          <w:p w14:paraId="66E99149" w14:textId="77777777" w:rsidR="00B54D51" w:rsidRPr="00037AD4" w:rsidRDefault="00B54D51" w:rsidP="00401C67">
            <w:pPr>
              <w:pStyle w:val="EndNoteBibliography"/>
              <w:rPr>
                <w:rFonts w:asciiTheme="minorHAnsi" w:hAnsiTheme="minorHAnsi" w:cstheme="minorHAnsi"/>
                <w:color w:val="202124"/>
                <w:sz w:val="22"/>
                <w:szCs w:val="22"/>
                <w:shd w:val="clear" w:color="auto" w:fill="FFFFFF"/>
                <w:lang w:val="en-GB"/>
              </w:rPr>
            </w:pPr>
            <w:r w:rsidRPr="00037AD4">
              <w:rPr>
                <w:rFonts w:ascii="Segoe UI Symbol" w:hAnsi="Segoe UI Symbol" w:cs="Segoe UI Symbol"/>
                <w:color w:val="000000" w:themeColor="text1"/>
                <w:sz w:val="22"/>
                <w:szCs w:val="22"/>
                <w:shd w:val="clear" w:color="auto" w:fill="FFFFFF"/>
                <w:lang w:val="en-GB"/>
              </w:rPr>
              <w:t>✓</w:t>
            </w:r>
          </w:p>
        </w:tc>
      </w:tr>
      <w:tr w:rsidR="00B54D51" w:rsidRPr="00037AD4" w14:paraId="4E1A06C8" w14:textId="77777777" w:rsidTr="00401C67">
        <w:tc>
          <w:tcPr>
            <w:tcW w:w="2183" w:type="dxa"/>
          </w:tcPr>
          <w:p w14:paraId="68CE8336"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Theme="minorHAnsi" w:hAnsiTheme="minorHAnsi" w:cstheme="minorHAnsi"/>
                <w:sz w:val="22"/>
                <w:szCs w:val="22"/>
                <w:lang w:val="en-GB"/>
              </w:rPr>
              <w:t xml:space="preserve">Mood/boredom </w:t>
            </w:r>
          </w:p>
        </w:tc>
        <w:tc>
          <w:tcPr>
            <w:tcW w:w="1697" w:type="dxa"/>
          </w:tcPr>
          <w:p w14:paraId="558C9425" w14:textId="77777777" w:rsidR="00B54D51" w:rsidRPr="00037AD4" w:rsidRDefault="00B54D51" w:rsidP="00401C67">
            <w:pPr>
              <w:pStyle w:val="EndNoteBibliography"/>
              <w:rPr>
                <w:rFonts w:asciiTheme="minorHAnsi" w:hAnsiTheme="minorHAnsi" w:cstheme="minorHAnsi"/>
                <w:sz w:val="22"/>
                <w:szCs w:val="22"/>
                <w:lang w:val="en-GB"/>
              </w:rPr>
            </w:pPr>
          </w:p>
        </w:tc>
        <w:tc>
          <w:tcPr>
            <w:tcW w:w="1713" w:type="dxa"/>
          </w:tcPr>
          <w:p w14:paraId="0D1C2E01" w14:textId="77777777" w:rsidR="00B54D51" w:rsidRPr="00037AD4" w:rsidRDefault="00B54D51" w:rsidP="00401C67">
            <w:pPr>
              <w:pStyle w:val="EndNoteBibliography"/>
              <w:rPr>
                <w:rFonts w:asciiTheme="minorHAnsi" w:hAnsiTheme="minorHAnsi" w:cstheme="minorHAnsi"/>
                <w:color w:val="202124"/>
                <w:sz w:val="22"/>
                <w:szCs w:val="22"/>
                <w:shd w:val="clear" w:color="auto" w:fill="FFFFFF"/>
                <w:lang w:val="en-GB"/>
              </w:rPr>
            </w:pPr>
          </w:p>
        </w:tc>
        <w:tc>
          <w:tcPr>
            <w:tcW w:w="1713" w:type="dxa"/>
          </w:tcPr>
          <w:p w14:paraId="0D1D98AF" w14:textId="77777777" w:rsidR="00B54D51" w:rsidRPr="00037AD4" w:rsidRDefault="00B54D51" w:rsidP="00401C67">
            <w:pPr>
              <w:pStyle w:val="EndNoteBibliography"/>
              <w:rPr>
                <w:rFonts w:asciiTheme="minorHAnsi" w:hAnsiTheme="minorHAnsi" w:cstheme="minorHAnsi"/>
                <w:color w:val="202124"/>
                <w:sz w:val="22"/>
                <w:szCs w:val="22"/>
                <w:shd w:val="clear" w:color="auto" w:fill="FFFFFF"/>
                <w:lang w:val="en-GB"/>
              </w:rPr>
            </w:pPr>
          </w:p>
        </w:tc>
        <w:tc>
          <w:tcPr>
            <w:tcW w:w="1710" w:type="dxa"/>
          </w:tcPr>
          <w:p w14:paraId="43772D84" w14:textId="77777777" w:rsidR="00B54D51" w:rsidRPr="00037AD4" w:rsidRDefault="00B54D51" w:rsidP="00401C67">
            <w:pPr>
              <w:pStyle w:val="EndNoteBibliography"/>
              <w:rPr>
                <w:rFonts w:asciiTheme="minorHAnsi" w:hAnsiTheme="minorHAnsi" w:cstheme="minorHAnsi"/>
                <w:color w:val="202124"/>
                <w:sz w:val="22"/>
                <w:szCs w:val="22"/>
                <w:shd w:val="clear" w:color="auto" w:fill="FFFFFF"/>
                <w:lang w:val="en-GB"/>
              </w:rPr>
            </w:pPr>
            <w:r w:rsidRPr="00037AD4">
              <w:rPr>
                <w:rFonts w:ascii="Segoe UI Symbol" w:hAnsi="Segoe UI Symbol" w:cs="Segoe UI Symbol"/>
                <w:color w:val="000000" w:themeColor="text1"/>
                <w:sz w:val="22"/>
                <w:szCs w:val="22"/>
                <w:shd w:val="clear" w:color="auto" w:fill="FFFFFF"/>
                <w:lang w:val="en-GB"/>
              </w:rPr>
              <w:t>✓</w:t>
            </w:r>
          </w:p>
        </w:tc>
      </w:tr>
      <w:tr w:rsidR="00B54D51" w:rsidRPr="00037AD4" w14:paraId="64936EA7" w14:textId="77777777" w:rsidTr="00401C67">
        <w:tc>
          <w:tcPr>
            <w:tcW w:w="2183" w:type="dxa"/>
          </w:tcPr>
          <w:p w14:paraId="5782FABA" w14:textId="77777777" w:rsidR="00B54D51" w:rsidRPr="00037AD4" w:rsidRDefault="00B54D51" w:rsidP="00401C67">
            <w:pPr>
              <w:pStyle w:val="EndNoteBibliography"/>
              <w:rPr>
                <w:rFonts w:asciiTheme="minorHAnsi" w:hAnsiTheme="minorHAnsi" w:cstheme="minorHAnsi"/>
                <w:sz w:val="22"/>
                <w:szCs w:val="22"/>
                <w:lang w:val="en-GB"/>
              </w:rPr>
            </w:pPr>
            <w:r w:rsidRPr="00037AD4">
              <w:rPr>
                <w:rFonts w:asciiTheme="minorHAnsi" w:hAnsiTheme="minorHAnsi" w:cstheme="minorHAnsi"/>
                <w:sz w:val="22"/>
                <w:szCs w:val="22"/>
                <w:lang w:val="en-GB"/>
              </w:rPr>
              <w:t xml:space="preserve">Self-appraisal </w:t>
            </w:r>
          </w:p>
        </w:tc>
        <w:tc>
          <w:tcPr>
            <w:tcW w:w="1697" w:type="dxa"/>
          </w:tcPr>
          <w:p w14:paraId="56D983C4" w14:textId="77777777" w:rsidR="00B54D51" w:rsidRPr="00037AD4" w:rsidRDefault="00B54D51" w:rsidP="00401C67">
            <w:pPr>
              <w:pStyle w:val="EndNoteBibliography"/>
              <w:rPr>
                <w:rFonts w:asciiTheme="minorHAnsi" w:hAnsiTheme="minorHAnsi" w:cstheme="minorHAnsi"/>
                <w:sz w:val="22"/>
                <w:szCs w:val="22"/>
                <w:lang w:val="en-GB"/>
              </w:rPr>
            </w:pPr>
          </w:p>
        </w:tc>
        <w:tc>
          <w:tcPr>
            <w:tcW w:w="1713" w:type="dxa"/>
          </w:tcPr>
          <w:p w14:paraId="71A0DA01" w14:textId="77777777" w:rsidR="00B54D51" w:rsidRPr="00037AD4" w:rsidRDefault="00B54D51" w:rsidP="00401C67">
            <w:pPr>
              <w:pStyle w:val="EndNoteBibliography"/>
              <w:rPr>
                <w:rFonts w:asciiTheme="minorHAnsi" w:hAnsiTheme="minorHAnsi" w:cstheme="minorHAnsi"/>
                <w:color w:val="202124"/>
                <w:sz w:val="22"/>
                <w:szCs w:val="22"/>
                <w:shd w:val="clear" w:color="auto" w:fill="FFFFFF"/>
                <w:lang w:val="en-GB"/>
              </w:rPr>
            </w:pPr>
          </w:p>
        </w:tc>
        <w:tc>
          <w:tcPr>
            <w:tcW w:w="1713" w:type="dxa"/>
          </w:tcPr>
          <w:p w14:paraId="42D85678" w14:textId="77777777" w:rsidR="00B54D51" w:rsidRPr="00037AD4" w:rsidRDefault="00B54D51" w:rsidP="00401C67">
            <w:pPr>
              <w:pStyle w:val="EndNoteBibliography"/>
              <w:rPr>
                <w:rFonts w:asciiTheme="minorHAnsi" w:hAnsiTheme="minorHAnsi" w:cstheme="minorHAnsi"/>
                <w:color w:val="202124"/>
                <w:sz w:val="22"/>
                <w:szCs w:val="22"/>
                <w:shd w:val="clear" w:color="auto" w:fill="FFFFFF"/>
                <w:lang w:val="en-GB"/>
              </w:rPr>
            </w:pPr>
          </w:p>
        </w:tc>
        <w:tc>
          <w:tcPr>
            <w:tcW w:w="1710" w:type="dxa"/>
          </w:tcPr>
          <w:p w14:paraId="007A080C" w14:textId="77777777" w:rsidR="00B54D51" w:rsidRPr="00037AD4" w:rsidRDefault="00B54D51" w:rsidP="00401C67">
            <w:pPr>
              <w:pStyle w:val="EndNoteBibliography"/>
              <w:rPr>
                <w:rFonts w:asciiTheme="minorHAnsi" w:hAnsiTheme="minorHAnsi" w:cstheme="minorHAnsi"/>
                <w:color w:val="000000" w:themeColor="text1"/>
                <w:sz w:val="22"/>
                <w:szCs w:val="22"/>
                <w:shd w:val="clear" w:color="auto" w:fill="FFFFFF"/>
                <w:lang w:val="en-GB"/>
              </w:rPr>
            </w:pPr>
            <w:r w:rsidRPr="00037AD4">
              <w:rPr>
                <w:rFonts w:ascii="Segoe UI Symbol" w:hAnsi="Segoe UI Symbol" w:cs="Segoe UI Symbol"/>
                <w:color w:val="000000" w:themeColor="text1"/>
                <w:sz w:val="22"/>
                <w:szCs w:val="22"/>
                <w:shd w:val="clear" w:color="auto" w:fill="FFFFFF"/>
                <w:lang w:val="en-GB"/>
              </w:rPr>
              <w:t>✓</w:t>
            </w:r>
          </w:p>
        </w:tc>
      </w:tr>
    </w:tbl>
    <w:p w14:paraId="0708E2A6" w14:textId="77777777" w:rsidR="00B54D51" w:rsidRPr="00037AD4" w:rsidRDefault="00B54D51" w:rsidP="001D7ACE">
      <w:pPr>
        <w:rPr>
          <w:rFonts w:asciiTheme="minorHAnsi" w:hAnsiTheme="minorHAnsi" w:cstheme="minorHAnsi"/>
          <w:u w:val="single"/>
        </w:rPr>
      </w:pPr>
    </w:p>
    <w:p w14:paraId="7AEBC169" w14:textId="77777777" w:rsidR="00B54D51" w:rsidRPr="00037AD4" w:rsidRDefault="00B54D51" w:rsidP="007A43F9">
      <w:pPr>
        <w:pStyle w:val="Heading2"/>
      </w:pPr>
      <w:bookmarkStart w:id="471" w:name="A34"/>
      <w:bookmarkStart w:id="472" w:name="_Toc175742398"/>
      <w:r w:rsidRPr="00037AD4">
        <w:t>Appendix 3.4 Search strategy used for convergent validity review</w:t>
      </w:r>
      <w:bookmarkEnd w:id="472"/>
      <w:r w:rsidRPr="00037AD4">
        <w:t xml:space="preserve"> </w:t>
      </w:r>
    </w:p>
    <w:bookmarkEnd w:id="471"/>
    <w:p w14:paraId="4167C172" w14:textId="77777777" w:rsidR="00B54D51" w:rsidRPr="00037AD4" w:rsidRDefault="00B54D51" w:rsidP="001D7ACE">
      <w:pPr>
        <w:rPr>
          <w:rFonts w:asciiTheme="minorHAnsi" w:hAnsiTheme="minorHAnsi" w:cstheme="minorHAnsi"/>
          <w:b/>
          <w:bCs/>
          <w:u w:val="single"/>
        </w:rPr>
      </w:pPr>
    </w:p>
    <w:tbl>
      <w:tblPr>
        <w:tblStyle w:val="TableGrid"/>
        <w:tblW w:w="0" w:type="auto"/>
        <w:tblLook w:val="04A0" w:firstRow="1" w:lastRow="0" w:firstColumn="1" w:lastColumn="0" w:noHBand="0" w:noVBand="1"/>
      </w:tblPr>
      <w:tblGrid>
        <w:gridCol w:w="562"/>
        <w:gridCol w:w="5448"/>
        <w:gridCol w:w="3006"/>
      </w:tblGrid>
      <w:tr w:rsidR="00B54D51" w:rsidRPr="00037AD4" w14:paraId="587DF5A1" w14:textId="77777777" w:rsidTr="00401C67">
        <w:tc>
          <w:tcPr>
            <w:tcW w:w="9016" w:type="dxa"/>
            <w:gridSpan w:val="3"/>
          </w:tcPr>
          <w:p w14:paraId="44750642"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Run: 20/04/2021, Ovid MEDLINE ® (1996-April Week 2 2021) &amp; APA PsycINFO (1987-April Week 2 2021)</w:t>
            </w:r>
          </w:p>
        </w:tc>
      </w:tr>
      <w:tr w:rsidR="00B54D51" w:rsidRPr="00037AD4" w14:paraId="67F120AA" w14:textId="77777777" w:rsidTr="00401C67">
        <w:tc>
          <w:tcPr>
            <w:tcW w:w="562" w:type="dxa"/>
          </w:tcPr>
          <w:p w14:paraId="734511A7"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color w:val="202122"/>
                <w:sz w:val="22"/>
                <w:szCs w:val="22"/>
                <w:shd w:val="clear" w:color="auto" w:fill="FFFFFF"/>
              </w:rPr>
              <w:t>#</w:t>
            </w:r>
          </w:p>
        </w:tc>
        <w:tc>
          <w:tcPr>
            <w:tcW w:w="5448" w:type="dxa"/>
          </w:tcPr>
          <w:p w14:paraId="3BC330A6"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 xml:space="preserve">Searches </w:t>
            </w:r>
          </w:p>
        </w:tc>
        <w:tc>
          <w:tcPr>
            <w:tcW w:w="3006" w:type="dxa"/>
          </w:tcPr>
          <w:p w14:paraId="4A2E293F"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 xml:space="preserve">Results </w:t>
            </w:r>
          </w:p>
        </w:tc>
      </w:tr>
      <w:tr w:rsidR="00B54D51" w:rsidRPr="00037AD4" w14:paraId="16670262" w14:textId="77777777" w:rsidTr="00401C67">
        <w:tc>
          <w:tcPr>
            <w:tcW w:w="562" w:type="dxa"/>
          </w:tcPr>
          <w:p w14:paraId="287EFE3D"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1</w:t>
            </w:r>
          </w:p>
        </w:tc>
        <w:tc>
          <w:tcPr>
            <w:tcW w:w="5448" w:type="dxa"/>
          </w:tcPr>
          <w:p w14:paraId="2AEC33E4"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shd w:val="clear" w:color="auto" w:fill="F8F8F8"/>
              </w:rPr>
              <w:t>(MoCA or Montreal Cognitive Assessment).mp</w:t>
            </w:r>
          </w:p>
        </w:tc>
        <w:tc>
          <w:tcPr>
            <w:tcW w:w="3006" w:type="dxa"/>
          </w:tcPr>
          <w:p w14:paraId="428F817A"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6974</w:t>
            </w:r>
          </w:p>
        </w:tc>
      </w:tr>
      <w:tr w:rsidR="00B54D51" w:rsidRPr="00037AD4" w14:paraId="49B84B09" w14:textId="77777777" w:rsidTr="00401C67">
        <w:tc>
          <w:tcPr>
            <w:tcW w:w="562" w:type="dxa"/>
          </w:tcPr>
          <w:p w14:paraId="08D33402"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2</w:t>
            </w:r>
          </w:p>
        </w:tc>
        <w:tc>
          <w:tcPr>
            <w:tcW w:w="5448" w:type="dxa"/>
          </w:tcPr>
          <w:p w14:paraId="297EF25E" w14:textId="77777777" w:rsidR="00B54D51" w:rsidRPr="00037AD4" w:rsidRDefault="00B54D51" w:rsidP="00401C67">
            <w:pPr>
              <w:rPr>
                <w:rFonts w:asciiTheme="minorHAnsi" w:hAnsiTheme="minorHAnsi" w:cstheme="minorHAnsi"/>
                <w:color w:val="000000" w:themeColor="text1"/>
                <w:sz w:val="22"/>
                <w:szCs w:val="22"/>
              </w:rPr>
            </w:pPr>
            <w:r w:rsidRPr="00037AD4">
              <w:rPr>
                <w:rStyle w:val="apple-converted-space"/>
                <w:rFonts w:asciiTheme="minorHAnsi" w:eastAsiaTheme="majorEastAsia" w:hAnsiTheme="minorHAnsi" w:cstheme="minorHAnsi"/>
                <w:color w:val="000000" w:themeColor="text1"/>
                <w:sz w:val="22"/>
                <w:szCs w:val="22"/>
                <w:shd w:val="clear" w:color="auto" w:fill="FFFFFF"/>
              </w:rPr>
              <w:t> </w:t>
            </w:r>
            <w:r w:rsidRPr="00037AD4">
              <w:rPr>
                <w:rStyle w:val="searchhistory-search-term"/>
                <w:rFonts w:asciiTheme="minorHAnsi" w:hAnsiTheme="minorHAnsi" w:cstheme="minorHAnsi"/>
                <w:color w:val="000000" w:themeColor="text1"/>
                <w:sz w:val="22"/>
                <w:szCs w:val="22"/>
              </w:rPr>
              <w:t>(MMSE or mini mental state examination or mini-mental state examination).mp</w:t>
            </w:r>
          </w:p>
        </w:tc>
        <w:tc>
          <w:tcPr>
            <w:tcW w:w="3006" w:type="dxa"/>
          </w:tcPr>
          <w:p w14:paraId="0624B820"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59159</w:t>
            </w:r>
          </w:p>
        </w:tc>
      </w:tr>
      <w:tr w:rsidR="00B54D51" w:rsidRPr="00037AD4" w14:paraId="2FF76E98" w14:textId="77777777" w:rsidTr="00401C67">
        <w:tc>
          <w:tcPr>
            <w:tcW w:w="562" w:type="dxa"/>
          </w:tcPr>
          <w:p w14:paraId="3E2386F0"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3</w:t>
            </w:r>
          </w:p>
        </w:tc>
        <w:tc>
          <w:tcPr>
            <w:tcW w:w="5448" w:type="dxa"/>
          </w:tcPr>
          <w:p w14:paraId="73FC89E3" w14:textId="77777777" w:rsidR="00B54D51" w:rsidRPr="00037AD4" w:rsidRDefault="00B54D51" w:rsidP="00401C67">
            <w:pPr>
              <w:rPr>
                <w:rFonts w:asciiTheme="minorHAnsi" w:hAnsiTheme="minorHAnsi" w:cstheme="minorHAnsi"/>
                <w:color w:val="000000" w:themeColor="text1"/>
                <w:sz w:val="22"/>
                <w:szCs w:val="22"/>
              </w:rPr>
            </w:pPr>
            <w:r w:rsidRPr="00037AD4">
              <w:rPr>
                <w:rStyle w:val="apple-converted-space"/>
                <w:rFonts w:asciiTheme="minorHAnsi" w:eastAsiaTheme="majorEastAsia" w:hAnsiTheme="minorHAnsi" w:cstheme="minorHAnsi"/>
                <w:color w:val="000000" w:themeColor="text1"/>
                <w:sz w:val="22"/>
                <w:szCs w:val="22"/>
                <w:shd w:val="clear" w:color="auto" w:fill="F8F8F8"/>
              </w:rPr>
              <w:t> </w:t>
            </w:r>
            <w:r w:rsidRPr="00037AD4">
              <w:rPr>
                <w:rStyle w:val="searchhistory-search-term"/>
                <w:rFonts w:asciiTheme="minorHAnsi" w:hAnsiTheme="minorHAnsi" w:cstheme="minorHAnsi"/>
                <w:color w:val="000000" w:themeColor="text1"/>
                <w:sz w:val="22"/>
                <w:szCs w:val="22"/>
              </w:rPr>
              <w:t>(ADAS-Cog or Alzheimer's Disease Assessment Scale-Cognitive Subscale).mp</w:t>
            </w:r>
          </w:p>
        </w:tc>
        <w:tc>
          <w:tcPr>
            <w:tcW w:w="3006" w:type="dxa"/>
          </w:tcPr>
          <w:p w14:paraId="3A42CE77"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2059</w:t>
            </w:r>
          </w:p>
        </w:tc>
      </w:tr>
      <w:tr w:rsidR="00B54D51" w:rsidRPr="00037AD4" w14:paraId="76B5CDB1" w14:textId="77777777" w:rsidTr="00401C67">
        <w:tc>
          <w:tcPr>
            <w:tcW w:w="562" w:type="dxa"/>
          </w:tcPr>
          <w:p w14:paraId="425A7C02"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4</w:t>
            </w:r>
          </w:p>
        </w:tc>
        <w:tc>
          <w:tcPr>
            <w:tcW w:w="5448" w:type="dxa"/>
          </w:tcPr>
          <w:p w14:paraId="24543ACF"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shd w:val="clear" w:color="auto" w:fill="FFFFFF"/>
              </w:rPr>
              <w:t>(SIB or severe impairment battery).mp</w:t>
            </w:r>
          </w:p>
        </w:tc>
        <w:tc>
          <w:tcPr>
            <w:tcW w:w="3006" w:type="dxa"/>
          </w:tcPr>
          <w:p w14:paraId="4E60E81F"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6440</w:t>
            </w:r>
          </w:p>
        </w:tc>
      </w:tr>
      <w:tr w:rsidR="00B54D51" w:rsidRPr="00037AD4" w14:paraId="31EE2D2E" w14:textId="77777777" w:rsidTr="00401C67">
        <w:tc>
          <w:tcPr>
            <w:tcW w:w="562" w:type="dxa"/>
          </w:tcPr>
          <w:p w14:paraId="37A0F6BD"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5</w:t>
            </w:r>
          </w:p>
        </w:tc>
        <w:tc>
          <w:tcPr>
            <w:tcW w:w="5448" w:type="dxa"/>
          </w:tcPr>
          <w:p w14:paraId="352678D1"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shd w:val="clear" w:color="auto" w:fill="F8F8F8"/>
              </w:rPr>
              <w:t>(BADLS or Bristol activities of daily living scale).mp</w:t>
            </w:r>
          </w:p>
        </w:tc>
        <w:tc>
          <w:tcPr>
            <w:tcW w:w="3006" w:type="dxa"/>
          </w:tcPr>
          <w:p w14:paraId="1FF5C0B2"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236</w:t>
            </w:r>
          </w:p>
        </w:tc>
      </w:tr>
      <w:tr w:rsidR="00B54D51" w:rsidRPr="00037AD4" w14:paraId="2A7D6A72" w14:textId="77777777" w:rsidTr="00401C67">
        <w:tc>
          <w:tcPr>
            <w:tcW w:w="562" w:type="dxa"/>
          </w:tcPr>
          <w:p w14:paraId="19480040"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6</w:t>
            </w:r>
          </w:p>
        </w:tc>
        <w:tc>
          <w:tcPr>
            <w:tcW w:w="5448" w:type="dxa"/>
          </w:tcPr>
          <w:p w14:paraId="7A3E561D"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shd w:val="clear" w:color="auto" w:fill="FFFFFF"/>
              </w:rPr>
              <w:t>(DAD or disability assessment for dementia scale).mp.</w:t>
            </w:r>
          </w:p>
        </w:tc>
        <w:tc>
          <w:tcPr>
            <w:tcW w:w="3006" w:type="dxa"/>
          </w:tcPr>
          <w:p w14:paraId="447A7F96"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7323</w:t>
            </w:r>
          </w:p>
        </w:tc>
      </w:tr>
      <w:tr w:rsidR="00B54D51" w:rsidRPr="00037AD4" w14:paraId="64D53AA0" w14:textId="77777777" w:rsidTr="00401C67">
        <w:tc>
          <w:tcPr>
            <w:tcW w:w="562" w:type="dxa"/>
          </w:tcPr>
          <w:p w14:paraId="28695FCC"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7</w:t>
            </w:r>
          </w:p>
        </w:tc>
        <w:tc>
          <w:tcPr>
            <w:tcW w:w="5448" w:type="dxa"/>
          </w:tcPr>
          <w:p w14:paraId="6D8CDA6A" w14:textId="77777777" w:rsidR="00B54D51" w:rsidRPr="00037AD4" w:rsidRDefault="00B54D51" w:rsidP="00401C67">
            <w:pPr>
              <w:rPr>
                <w:rFonts w:asciiTheme="minorHAnsi" w:hAnsiTheme="minorHAnsi" w:cstheme="minorHAnsi"/>
                <w:color w:val="000000" w:themeColor="text1"/>
                <w:sz w:val="22"/>
                <w:szCs w:val="22"/>
              </w:rPr>
            </w:pPr>
            <w:r w:rsidRPr="00037AD4">
              <w:rPr>
                <w:rStyle w:val="apple-converted-space"/>
                <w:rFonts w:asciiTheme="minorHAnsi" w:eastAsiaTheme="majorEastAsia" w:hAnsiTheme="minorHAnsi" w:cstheme="minorHAnsi"/>
                <w:color w:val="000000" w:themeColor="text1"/>
                <w:sz w:val="22"/>
                <w:szCs w:val="22"/>
                <w:shd w:val="clear" w:color="auto" w:fill="F8F8F8"/>
              </w:rPr>
              <w:t> </w:t>
            </w:r>
            <w:r w:rsidRPr="00037AD4">
              <w:rPr>
                <w:rStyle w:val="searchhistory-search-term"/>
                <w:rFonts w:asciiTheme="minorHAnsi" w:hAnsiTheme="minorHAnsi" w:cstheme="minorHAnsi"/>
                <w:color w:val="000000" w:themeColor="text1"/>
                <w:sz w:val="22"/>
                <w:szCs w:val="22"/>
              </w:rPr>
              <w:t>(ADCS-ADL or Alzheimer's disease cooperative study ADL scale).mp.</w:t>
            </w:r>
          </w:p>
        </w:tc>
        <w:tc>
          <w:tcPr>
            <w:tcW w:w="3006" w:type="dxa"/>
          </w:tcPr>
          <w:p w14:paraId="4FA41562"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217</w:t>
            </w:r>
          </w:p>
        </w:tc>
      </w:tr>
      <w:tr w:rsidR="00B54D51" w:rsidRPr="00037AD4" w14:paraId="6CC523A7" w14:textId="77777777" w:rsidTr="00401C67">
        <w:tc>
          <w:tcPr>
            <w:tcW w:w="562" w:type="dxa"/>
          </w:tcPr>
          <w:p w14:paraId="6336E6C9"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8</w:t>
            </w:r>
          </w:p>
        </w:tc>
        <w:tc>
          <w:tcPr>
            <w:tcW w:w="5448" w:type="dxa"/>
          </w:tcPr>
          <w:p w14:paraId="4C40A4FB" w14:textId="77777777" w:rsidR="00B54D51" w:rsidRPr="00037AD4" w:rsidRDefault="00B54D51" w:rsidP="00401C67">
            <w:pPr>
              <w:rPr>
                <w:rFonts w:asciiTheme="minorHAnsi" w:hAnsiTheme="minorHAnsi" w:cstheme="minorHAnsi"/>
                <w:color w:val="000000" w:themeColor="text1"/>
                <w:sz w:val="22"/>
                <w:szCs w:val="22"/>
              </w:rPr>
            </w:pPr>
            <w:r w:rsidRPr="00037AD4">
              <w:rPr>
                <w:rStyle w:val="apple-converted-space"/>
                <w:rFonts w:asciiTheme="minorHAnsi" w:eastAsiaTheme="majorEastAsia" w:hAnsiTheme="minorHAnsi" w:cstheme="minorHAnsi"/>
                <w:color w:val="000000" w:themeColor="text1"/>
                <w:sz w:val="22"/>
                <w:szCs w:val="22"/>
                <w:shd w:val="clear" w:color="auto" w:fill="FFFFFF"/>
              </w:rPr>
              <w:t> </w:t>
            </w:r>
            <w:r w:rsidRPr="00037AD4">
              <w:rPr>
                <w:rStyle w:val="searchhistory-search-term"/>
                <w:rFonts w:asciiTheme="minorHAnsi" w:hAnsiTheme="minorHAnsi" w:cstheme="minorHAnsi"/>
                <w:color w:val="000000" w:themeColor="text1"/>
                <w:sz w:val="22"/>
                <w:szCs w:val="22"/>
              </w:rPr>
              <w:t>Alzheimer's disease cooperative study activities of daily living scale.mp.</w:t>
            </w:r>
          </w:p>
        </w:tc>
        <w:tc>
          <w:tcPr>
            <w:tcW w:w="3006" w:type="dxa"/>
          </w:tcPr>
          <w:p w14:paraId="6706039A"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103</w:t>
            </w:r>
          </w:p>
        </w:tc>
      </w:tr>
      <w:tr w:rsidR="00B54D51" w:rsidRPr="00037AD4" w14:paraId="0F21859B" w14:textId="77777777" w:rsidTr="00401C67">
        <w:tc>
          <w:tcPr>
            <w:tcW w:w="562" w:type="dxa"/>
          </w:tcPr>
          <w:p w14:paraId="61F5AF68"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9</w:t>
            </w:r>
          </w:p>
        </w:tc>
        <w:tc>
          <w:tcPr>
            <w:tcW w:w="5448" w:type="dxa"/>
          </w:tcPr>
          <w:p w14:paraId="29571ECC"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shd w:val="clear" w:color="auto" w:fill="F8F8F8"/>
              </w:rPr>
              <w:t>(Lawton scale or Lawton index or Lawton instrumental ADL scale or Lawton instrumental activities of daily living scale or Lawton IADL scale).mp.</w:t>
            </w:r>
          </w:p>
        </w:tc>
        <w:tc>
          <w:tcPr>
            <w:tcW w:w="3006" w:type="dxa"/>
          </w:tcPr>
          <w:p w14:paraId="0E452ECF"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436</w:t>
            </w:r>
          </w:p>
        </w:tc>
      </w:tr>
      <w:tr w:rsidR="00B54D51" w:rsidRPr="00037AD4" w14:paraId="3E88B3D9" w14:textId="77777777" w:rsidTr="00401C67">
        <w:tc>
          <w:tcPr>
            <w:tcW w:w="562" w:type="dxa"/>
          </w:tcPr>
          <w:p w14:paraId="140F4CF3"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10</w:t>
            </w:r>
          </w:p>
        </w:tc>
        <w:tc>
          <w:tcPr>
            <w:tcW w:w="5448" w:type="dxa"/>
          </w:tcPr>
          <w:p w14:paraId="2A07BE40"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shd w:val="clear" w:color="auto" w:fill="FFFFFF"/>
              </w:rPr>
              <w:t>(Katz ADL or Katz index or Katz index of independence in ADL or Katz index of independence in activities of daily living).mp.</w:t>
            </w:r>
          </w:p>
        </w:tc>
        <w:tc>
          <w:tcPr>
            <w:tcW w:w="3006" w:type="dxa"/>
          </w:tcPr>
          <w:p w14:paraId="061A6B08"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845</w:t>
            </w:r>
          </w:p>
        </w:tc>
      </w:tr>
      <w:tr w:rsidR="00B54D51" w:rsidRPr="00037AD4" w14:paraId="33A3055D" w14:textId="77777777" w:rsidTr="00401C67">
        <w:tc>
          <w:tcPr>
            <w:tcW w:w="562" w:type="dxa"/>
          </w:tcPr>
          <w:p w14:paraId="1D68708A"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11</w:t>
            </w:r>
          </w:p>
        </w:tc>
        <w:tc>
          <w:tcPr>
            <w:tcW w:w="5448" w:type="dxa"/>
          </w:tcPr>
          <w:p w14:paraId="4AB21667"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shd w:val="clear" w:color="auto" w:fill="F8F8F8"/>
              </w:rPr>
              <w:t>(Barthel Index or Barthel scale or Barthel index for activities of daily living).mp</w:t>
            </w:r>
          </w:p>
        </w:tc>
        <w:tc>
          <w:tcPr>
            <w:tcW w:w="3006" w:type="dxa"/>
          </w:tcPr>
          <w:p w14:paraId="2D125711"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8110</w:t>
            </w:r>
          </w:p>
        </w:tc>
      </w:tr>
      <w:tr w:rsidR="00B54D51" w:rsidRPr="00037AD4" w14:paraId="60C18A5D" w14:textId="77777777" w:rsidTr="00401C67">
        <w:tc>
          <w:tcPr>
            <w:tcW w:w="562" w:type="dxa"/>
          </w:tcPr>
          <w:p w14:paraId="101180A1"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12</w:t>
            </w:r>
          </w:p>
        </w:tc>
        <w:tc>
          <w:tcPr>
            <w:tcW w:w="5448" w:type="dxa"/>
          </w:tcPr>
          <w:p w14:paraId="0A804AAD"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shd w:val="clear" w:color="auto" w:fill="FFFFFF"/>
              </w:rPr>
              <w:t>(NPI or Neuropsychiatric Inventory or Neuropsychiatric inventory questionnaire).mp.</w:t>
            </w:r>
          </w:p>
        </w:tc>
        <w:tc>
          <w:tcPr>
            <w:tcW w:w="3006" w:type="dxa"/>
          </w:tcPr>
          <w:p w14:paraId="76BD8C70"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7544</w:t>
            </w:r>
          </w:p>
        </w:tc>
      </w:tr>
      <w:tr w:rsidR="00B54D51" w:rsidRPr="00037AD4" w14:paraId="4F26286B" w14:textId="77777777" w:rsidTr="00401C67">
        <w:tc>
          <w:tcPr>
            <w:tcW w:w="562" w:type="dxa"/>
          </w:tcPr>
          <w:p w14:paraId="7BE5FE5A"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13</w:t>
            </w:r>
          </w:p>
        </w:tc>
        <w:tc>
          <w:tcPr>
            <w:tcW w:w="5448" w:type="dxa"/>
          </w:tcPr>
          <w:p w14:paraId="415BCA77" w14:textId="77777777" w:rsidR="00B54D51" w:rsidRPr="00037AD4" w:rsidRDefault="00B54D51" w:rsidP="00401C67">
            <w:pPr>
              <w:rPr>
                <w:rFonts w:asciiTheme="minorHAnsi" w:hAnsiTheme="minorHAnsi" w:cstheme="minorHAnsi"/>
                <w:color w:val="000000" w:themeColor="text1"/>
                <w:sz w:val="22"/>
                <w:szCs w:val="22"/>
              </w:rPr>
            </w:pPr>
            <w:r w:rsidRPr="00037AD4">
              <w:rPr>
                <w:rStyle w:val="apple-converted-space"/>
                <w:rFonts w:asciiTheme="minorHAnsi" w:eastAsiaTheme="majorEastAsia" w:hAnsiTheme="minorHAnsi" w:cstheme="minorHAnsi"/>
                <w:color w:val="000000" w:themeColor="text1"/>
                <w:sz w:val="22"/>
                <w:szCs w:val="22"/>
                <w:shd w:val="clear" w:color="auto" w:fill="F8F8F8"/>
              </w:rPr>
              <w:t> </w:t>
            </w:r>
            <w:r w:rsidRPr="00037AD4">
              <w:rPr>
                <w:rStyle w:val="searchhistory-search-term"/>
                <w:rFonts w:asciiTheme="minorHAnsi" w:hAnsiTheme="minorHAnsi" w:cstheme="minorHAnsi"/>
                <w:color w:val="000000" w:themeColor="text1"/>
                <w:sz w:val="22"/>
                <w:szCs w:val="22"/>
              </w:rPr>
              <w:t>(CMAI or cohen-mansfield agitation inventory or Cohen Mansfield agitation inventory).mp.</w:t>
            </w:r>
          </w:p>
        </w:tc>
        <w:tc>
          <w:tcPr>
            <w:tcW w:w="3006" w:type="dxa"/>
          </w:tcPr>
          <w:p w14:paraId="79731629"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939</w:t>
            </w:r>
          </w:p>
        </w:tc>
      </w:tr>
      <w:tr w:rsidR="00B54D51" w:rsidRPr="00037AD4" w14:paraId="3B6A60B6" w14:textId="77777777" w:rsidTr="00401C67">
        <w:tc>
          <w:tcPr>
            <w:tcW w:w="562" w:type="dxa"/>
          </w:tcPr>
          <w:p w14:paraId="05E95EBA"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lastRenderedPageBreak/>
              <w:t>14</w:t>
            </w:r>
          </w:p>
        </w:tc>
        <w:tc>
          <w:tcPr>
            <w:tcW w:w="5448" w:type="dxa"/>
          </w:tcPr>
          <w:p w14:paraId="64E3AE7B" w14:textId="77777777" w:rsidR="00B54D51" w:rsidRPr="00037AD4" w:rsidRDefault="00B54D51" w:rsidP="00401C67">
            <w:pPr>
              <w:rPr>
                <w:rFonts w:asciiTheme="minorHAnsi" w:hAnsiTheme="minorHAnsi" w:cstheme="minorHAnsi"/>
                <w:color w:val="000000" w:themeColor="text1"/>
                <w:sz w:val="22"/>
                <w:szCs w:val="22"/>
              </w:rPr>
            </w:pPr>
            <w:r w:rsidRPr="00037AD4">
              <w:rPr>
                <w:rStyle w:val="apple-converted-space"/>
                <w:rFonts w:asciiTheme="minorHAnsi" w:eastAsiaTheme="majorEastAsia" w:hAnsiTheme="minorHAnsi" w:cstheme="minorHAnsi"/>
                <w:color w:val="000000" w:themeColor="text1"/>
                <w:sz w:val="22"/>
                <w:szCs w:val="22"/>
                <w:shd w:val="clear" w:color="auto" w:fill="FFFFFF"/>
              </w:rPr>
              <w:t> </w:t>
            </w:r>
            <w:r w:rsidRPr="00037AD4">
              <w:rPr>
                <w:rStyle w:val="searchhistory-search-term"/>
                <w:rFonts w:asciiTheme="minorHAnsi" w:hAnsiTheme="minorHAnsi" w:cstheme="minorHAnsi"/>
                <w:color w:val="000000" w:themeColor="text1"/>
                <w:sz w:val="22"/>
                <w:szCs w:val="22"/>
              </w:rPr>
              <w:t>(CSDD or Cornell scale for depression in dementia).mp.</w:t>
            </w:r>
          </w:p>
        </w:tc>
        <w:tc>
          <w:tcPr>
            <w:tcW w:w="3006" w:type="dxa"/>
          </w:tcPr>
          <w:p w14:paraId="0DA98545"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1144</w:t>
            </w:r>
          </w:p>
        </w:tc>
      </w:tr>
      <w:tr w:rsidR="00B54D51" w:rsidRPr="00037AD4" w14:paraId="753DC461" w14:textId="77777777" w:rsidTr="00401C67">
        <w:tc>
          <w:tcPr>
            <w:tcW w:w="562" w:type="dxa"/>
          </w:tcPr>
          <w:p w14:paraId="7B0D0C3E"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15</w:t>
            </w:r>
          </w:p>
        </w:tc>
        <w:tc>
          <w:tcPr>
            <w:tcW w:w="5448" w:type="dxa"/>
          </w:tcPr>
          <w:p w14:paraId="3E9B9677"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shd w:val="clear" w:color="auto" w:fill="F8F8F8"/>
              </w:rPr>
              <w:t>(GDS or geriatric depression scale).mp.</w:t>
            </w:r>
          </w:p>
        </w:tc>
        <w:tc>
          <w:tcPr>
            <w:tcW w:w="3006" w:type="dxa"/>
          </w:tcPr>
          <w:p w14:paraId="71E83B74"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15117</w:t>
            </w:r>
          </w:p>
        </w:tc>
      </w:tr>
      <w:tr w:rsidR="00B54D51" w:rsidRPr="00037AD4" w14:paraId="48341F00" w14:textId="77777777" w:rsidTr="00401C67">
        <w:tc>
          <w:tcPr>
            <w:tcW w:w="562" w:type="dxa"/>
          </w:tcPr>
          <w:p w14:paraId="5DA3A52A"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16</w:t>
            </w:r>
          </w:p>
        </w:tc>
        <w:tc>
          <w:tcPr>
            <w:tcW w:w="5448" w:type="dxa"/>
          </w:tcPr>
          <w:p w14:paraId="6A0413B2" w14:textId="77777777" w:rsidR="00B54D51" w:rsidRPr="00037AD4" w:rsidRDefault="00B54D51" w:rsidP="00401C67">
            <w:pPr>
              <w:rPr>
                <w:rFonts w:asciiTheme="minorHAnsi" w:hAnsiTheme="minorHAnsi" w:cstheme="minorHAnsi"/>
                <w:color w:val="000000" w:themeColor="text1"/>
                <w:sz w:val="22"/>
                <w:szCs w:val="22"/>
              </w:rPr>
            </w:pPr>
            <w:r w:rsidRPr="00037AD4">
              <w:rPr>
                <w:rStyle w:val="apple-converted-space"/>
                <w:rFonts w:asciiTheme="minorHAnsi" w:eastAsiaTheme="majorEastAsia" w:hAnsiTheme="minorHAnsi" w:cstheme="minorHAnsi"/>
                <w:color w:val="000000" w:themeColor="text1"/>
                <w:sz w:val="22"/>
                <w:szCs w:val="22"/>
                <w:shd w:val="clear" w:color="auto" w:fill="FFFFFF"/>
              </w:rPr>
              <w:t> </w:t>
            </w:r>
            <w:r w:rsidRPr="00037AD4">
              <w:rPr>
                <w:rStyle w:val="searchhistory-search-term"/>
                <w:rFonts w:asciiTheme="minorHAnsi" w:hAnsiTheme="minorHAnsi" w:cstheme="minorHAnsi"/>
                <w:color w:val="000000" w:themeColor="text1"/>
                <w:sz w:val="22"/>
                <w:szCs w:val="22"/>
              </w:rPr>
              <w:t>(euro qual or euro qual5d or euro qol5d or eq-5d or eq5-d or eq5d or euroqual or euroqol or euroqual5d or euroqol5d or European QoL-5 dimensions or European quality of life 5 dimensions).mp.</w:t>
            </w:r>
          </w:p>
        </w:tc>
        <w:tc>
          <w:tcPr>
            <w:tcW w:w="3006" w:type="dxa"/>
          </w:tcPr>
          <w:p w14:paraId="397492E5"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13752</w:t>
            </w:r>
          </w:p>
        </w:tc>
      </w:tr>
      <w:tr w:rsidR="00B54D51" w:rsidRPr="00037AD4" w14:paraId="5C927BBE" w14:textId="77777777" w:rsidTr="00401C67">
        <w:tc>
          <w:tcPr>
            <w:tcW w:w="562" w:type="dxa"/>
          </w:tcPr>
          <w:p w14:paraId="12962B9A"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17</w:t>
            </w:r>
          </w:p>
        </w:tc>
        <w:tc>
          <w:tcPr>
            <w:tcW w:w="5448" w:type="dxa"/>
          </w:tcPr>
          <w:p w14:paraId="26137C4D"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shd w:val="clear" w:color="auto" w:fill="F8F8F8"/>
              </w:rPr>
              <w:t>exp Dementia/</w:t>
            </w:r>
          </w:p>
        </w:tc>
        <w:tc>
          <w:tcPr>
            <w:tcW w:w="3006" w:type="dxa"/>
          </w:tcPr>
          <w:p w14:paraId="54946924"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220550</w:t>
            </w:r>
          </w:p>
        </w:tc>
      </w:tr>
      <w:tr w:rsidR="00B54D51" w:rsidRPr="00037AD4" w14:paraId="50B9D5C4" w14:textId="77777777" w:rsidTr="00401C67">
        <w:tc>
          <w:tcPr>
            <w:tcW w:w="562" w:type="dxa"/>
          </w:tcPr>
          <w:p w14:paraId="7AA216EA"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18</w:t>
            </w:r>
          </w:p>
        </w:tc>
        <w:tc>
          <w:tcPr>
            <w:tcW w:w="5448" w:type="dxa"/>
          </w:tcPr>
          <w:p w14:paraId="3756089E" w14:textId="77777777" w:rsidR="00B54D51" w:rsidRPr="00037AD4" w:rsidRDefault="00B54D51" w:rsidP="00401C67">
            <w:pPr>
              <w:rPr>
                <w:rFonts w:asciiTheme="minorHAnsi" w:hAnsiTheme="minorHAnsi" w:cstheme="minorHAnsi"/>
                <w:color w:val="000000" w:themeColor="text1"/>
                <w:sz w:val="22"/>
                <w:szCs w:val="22"/>
              </w:rPr>
            </w:pPr>
            <w:r w:rsidRPr="00037AD4">
              <w:rPr>
                <w:rStyle w:val="searchhistory-search-term"/>
                <w:rFonts w:asciiTheme="minorHAnsi" w:hAnsiTheme="minorHAnsi" w:cstheme="minorHAnsi"/>
                <w:color w:val="000000" w:themeColor="text1"/>
                <w:sz w:val="22"/>
                <w:szCs w:val="22"/>
              </w:rPr>
              <w:t>dement*.mp.</w:t>
            </w:r>
          </w:p>
        </w:tc>
        <w:tc>
          <w:tcPr>
            <w:tcW w:w="3006" w:type="dxa"/>
          </w:tcPr>
          <w:p w14:paraId="7A9567BE"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171942</w:t>
            </w:r>
          </w:p>
        </w:tc>
      </w:tr>
      <w:tr w:rsidR="00B54D51" w:rsidRPr="00037AD4" w14:paraId="6E813A3C" w14:textId="77777777" w:rsidTr="00401C67">
        <w:tc>
          <w:tcPr>
            <w:tcW w:w="562" w:type="dxa"/>
          </w:tcPr>
          <w:p w14:paraId="044A8FDB"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19</w:t>
            </w:r>
          </w:p>
        </w:tc>
        <w:tc>
          <w:tcPr>
            <w:tcW w:w="5448" w:type="dxa"/>
          </w:tcPr>
          <w:p w14:paraId="3B7D7B42"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shd w:val="clear" w:color="auto" w:fill="F8F8F8"/>
              </w:rPr>
              <w:t>(Alzheimer* or AD).mp</w:t>
            </w:r>
          </w:p>
        </w:tc>
        <w:tc>
          <w:tcPr>
            <w:tcW w:w="3006" w:type="dxa"/>
          </w:tcPr>
          <w:p w14:paraId="57EE5D61"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261540</w:t>
            </w:r>
          </w:p>
        </w:tc>
      </w:tr>
      <w:tr w:rsidR="00B54D51" w:rsidRPr="00037AD4" w14:paraId="100DA188" w14:textId="77777777" w:rsidTr="00401C67">
        <w:tc>
          <w:tcPr>
            <w:tcW w:w="562" w:type="dxa"/>
          </w:tcPr>
          <w:p w14:paraId="6EA4147E"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20</w:t>
            </w:r>
          </w:p>
        </w:tc>
        <w:tc>
          <w:tcPr>
            <w:tcW w:w="5448" w:type="dxa"/>
          </w:tcPr>
          <w:p w14:paraId="27B319FD"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shd w:val="clear" w:color="auto" w:fill="FFFFFF"/>
              </w:rPr>
              <w:t>17 or 18 or 19</w:t>
            </w:r>
          </w:p>
        </w:tc>
        <w:tc>
          <w:tcPr>
            <w:tcW w:w="3006" w:type="dxa"/>
          </w:tcPr>
          <w:p w14:paraId="1CF8CE43"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375766</w:t>
            </w:r>
          </w:p>
        </w:tc>
      </w:tr>
      <w:tr w:rsidR="00B54D51" w:rsidRPr="00037AD4" w14:paraId="697D07DA" w14:textId="77777777" w:rsidTr="00401C67">
        <w:tc>
          <w:tcPr>
            <w:tcW w:w="562" w:type="dxa"/>
          </w:tcPr>
          <w:p w14:paraId="75FA92EE"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21</w:t>
            </w:r>
          </w:p>
        </w:tc>
        <w:tc>
          <w:tcPr>
            <w:tcW w:w="5448" w:type="dxa"/>
          </w:tcPr>
          <w:p w14:paraId="28E39AF7"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7 or 8</w:t>
            </w:r>
          </w:p>
        </w:tc>
        <w:tc>
          <w:tcPr>
            <w:tcW w:w="3006" w:type="dxa"/>
          </w:tcPr>
          <w:p w14:paraId="3EBCBBCA"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284</w:t>
            </w:r>
          </w:p>
        </w:tc>
      </w:tr>
      <w:tr w:rsidR="00B54D51" w:rsidRPr="00037AD4" w14:paraId="185E57DF" w14:textId="77777777" w:rsidTr="00401C67">
        <w:tc>
          <w:tcPr>
            <w:tcW w:w="562" w:type="dxa"/>
          </w:tcPr>
          <w:p w14:paraId="7CA31D5E"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22</w:t>
            </w:r>
          </w:p>
        </w:tc>
        <w:tc>
          <w:tcPr>
            <w:tcW w:w="5448" w:type="dxa"/>
          </w:tcPr>
          <w:p w14:paraId="18AAA3ED"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shd w:val="clear" w:color="auto" w:fill="FFFFFF"/>
              </w:rPr>
              <w:t>1 or 2 or 3 or 4 or 5 or 6 or 9 or 10 or 11 or 12 or 13 or 14 or 15 or 21</w:t>
            </w:r>
          </w:p>
        </w:tc>
        <w:tc>
          <w:tcPr>
            <w:tcW w:w="3006" w:type="dxa"/>
          </w:tcPr>
          <w:p w14:paraId="655F697A"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96986</w:t>
            </w:r>
          </w:p>
        </w:tc>
      </w:tr>
      <w:tr w:rsidR="00B54D51" w:rsidRPr="00037AD4" w14:paraId="0BA98176" w14:textId="77777777" w:rsidTr="00401C67">
        <w:tc>
          <w:tcPr>
            <w:tcW w:w="562" w:type="dxa"/>
          </w:tcPr>
          <w:p w14:paraId="765DC4B9"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23</w:t>
            </w:r>
          </w:p>
        </w:tc>
        <w:tc>
          <w:tcPr>
            <w:tcW w:w="5448" w:type="dxa"/>
          </w:tcPr>
          <w:p w14:paraId="0650EEB0"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shd w:val="clear" w:color="auto" w:fill="F8F8F8"/>
              </w:rPr>
              <w:t>16 and 20 and 22</w:t>
            </w:r>
          </w:p>
        </w:tc>
        <w:tc>
          <w:tcPr>
            <w:tcW w:w="3006" w:type="dxa"/>
          </w:tcPr>
          <w:p w14:paraId="69E1849E"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228</w:t>
            </w:r>
          </w:p>
        </w:tc>
      </w:tr>
      <w:tr w:rsidR="00B54D51" w:rsidRPr="00037AD4" w14:paraId="3A8D55A0" w14:textId="77777777" w:rsidTr="00401C67">
        <w:tc>
          <w:tcPr>
            <w:tcW w:w="562" w:type="dxa"/>
          </w:tcPr>
          <w:p w14:paraId="00D83A1A"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24</w:t>
            </w:r>
          </w:p>
        </w:tc>
        <w:tc>
          <w:tcPr>
            <w:tcW w:w="5448" w:type="dxa"/>
          </w:tcPr>
          <w:p w14:paraId="0239ADB3"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 xml:space="preserve">Limit 23 to English language </w:t>
            </w:r>
          </w:p>
        </w:tc>
        <w:tc>
          <w:tcPr>
            <w:tcW w:w="3006" w:type="dxa"/>
          </w:tcPr>
          <w:p w14:paraId="79C94C9E" w14:textId="77777777" w:rsidR="00B54D51" w:rsidRPr="00037AD4" w:rsidRDefault="00B54D51" w:rsidP="00401C67">
            <w:pPr>
              <w:rPr>
                <w:rFonts w:asciiTheme="minorHAnsi" w:hAnsiTheme="minorHAnsi" w:cstheme="minorHAnsi"/>
                <w:color w:val="000000" w:themeColor="text1"/>
                <w:sz w:val="22"/>
                <w:szCs w:val="22"/>
              </w:rPr>
            </w:pPr>
            <w:r w:rsidRPr="00037AD4">
              <w:rPr>
                <w:rFonts w:asciiTheme="minorHAnsi" w:hAnsiTheme="minorHAnsi" w:cstheme="minorHAnsi"/>
                <w:color w:val="000000" w:themeColor="text1"/>
                <w:sz w:val="22"/>
                <w:szCs w:val="22"/>
              </w:rPr>
              <w:t>218</w:t>
            </w:r>
          </w:p>
        </w:tc>
      </w:tr>
      <w:tr w:rsidR="00B54D51" w:rsidRPr="00037AD4" w14:paraId="76AEE68D" w14:textId="77777777" w:rsidTr="00401C67">
        <w:tc>
          <w:tcPr>
            <w:tcW w:w="9016" w:type="dxa"/>
            <w:gridSpan w:val="3"/>
          </w:tcPr>
          <w:p w14:paraId="5B1AAEF8"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Additional search – CINAHL, terms:</w:t>
            </w:r>
          </w:p>
          <w:p w14:paraId="29B743C0"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Eq-5d or eq5d AND dementia or Alzheimer’s – limited to abstract, generated 66 references – limited to English language = 64 </w:t>
            </w:r>
          </w:p>
        </w:tc>
      </w:tr>
      <w:tr w:rsidR="00B54D51" w:rsidRPr="00037AD4" w14:paraId="700E1FD4" w14:textId="77777777" w:rsidTr="00401C67">
        <w:tc>
          <w:tcPr>
            <w:tcW w:w="9016" w:type="dxa"/>
            <w:gridSpan w:val="3"/>
          </w:tcPr>
          <w:p w14:paraId="2ECFAC34"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Total hits = 284, 46 were duplicate = remaining 236 records</w:t>
            </w:r>
          </w:p>
        </w:tc>
      </w:tr>
    </w:tbl>
    <w:p w14:paraId="68E7F928" w14:textId="77777777" w:rsidR="00B54D51" w:rsidRPr="00037AD4" w:rsidRDefault="00B54D51" w:rsidP="001D7ACE">
      <w:pPr>
        <w:rPr>
          <w:rFonts w:asciiTheme="minorHAnsi" w:hAnsiTheme="minorHAnsi" w:cstheme="minorHAnsi"/>
          <w:b/>
          <w:bCs/>
          <w:u w:val="single"/>
        </w:rPr>
      </w:pPr>
    </w:p>
    <w:p w14:paraId="264E5829" w14:textId="77777777" w:rsidR="00B54D51" w:rsidRPr="00037AD4" w:rsidRDefault="00B54D51" w:rsidP="007A43F9">
      <w:pPr>
        <w:pStyle w:val="Heading2"/>
      </w:pPr>
      <w:bookmarkStart w:id="473" w:name="A35"/>
      <w:bookmarkStart w:id="474" w:name="_Toc175742399"/>
      <w:r w:rsidRPr="00037AD4">
        <w:t>Appendix 3.5 Table of the inclusion/exclusion criteria</w:t>
      </w:r>
      <w:bookmarkEnd w:id="474"/>
    </w:p>
    <w:bookmarkEnd w:id="473"/>
    <w:p w14:paraId="2698F490" w14:textId="77777777" w:rsidR="00B54D51" w:rsidRPr="00037AD4" w:rsidRDefault="00B54D51" w:rsidP="001D7ACE">
      <w:pPr>
        <w:rPr>
          <w:rFonts w:asciiTheme="minorHAnsi" w:hAnsiTheme="minorHAnsi" w:cstheme="minorHAnsi"/>
          <w:b/>
          <w:bCs/>
          <w:u w:val="single"/>
        </w:rPr>
      </w:pPr>
    </w:p>
    <w:tbl>
      <w:tblPr>
        <w:tblStyle w:val="TableGrid"/>
        <w:tblW w:w="0" w:type="auto"/>
        <w:tblLook w:val="04A0" w:firstRow="1" w:lastRow="0" w:firstColumn="1" w:lastColumn="0" w:noHBand="0" w:noVBand="1"/>
      </w:tblPr>
      <w:tblGrid>
        <w:gridCol w:w="4508"/>
        <w:gridCol w:w="4508"/>
      </w:tblGrid>
      <w:tr w:rsidR="00B54D51" w:rsidRPr="00037AD4" w14:paraId="653BD764" w14:textId="77777777" w:rsidTr="00401C67">
        <w:tc>
          <w:tcPr>
            <w:tcW w:w="4508" w:type="dxa"/>
          </w:tcPr>
          <w:p w14:paraId="54EAFFB8" w14:textId="77777777" w:rsidR="00B54D51" w:rsidRPr="00037AD4" w:rsidRDefault="00B54D51" w:rsidP="00401C67">
            <w:pPr>
              <w:rPr>
                <w:rFonts w:asciiTheme="minorHAnsi" w:hAnsiTheme="minorHAnsi" w:cstheme="minorHAnsi"/>
                <w:b/>
                <w:bCs/>
                <w:sz w:val="22"/>
                <w:szCs w:val="22"/>
              </w:rPr>
            </w:pPr>
            <w:r w:rsidRPr="00037AD4">
              <w:rPr>
                <w:rFonts w:asciiTheme="minorHAnsi" w:hAnsiTheme="minorHAnsi" w:cstheme="minorHAnsi"/>
                <w:b/>
                <w:bCs/>
                <w:sz w:val="22"/>
                <w:szCs w:val="22"/>
              </w:rPr>
              <w:t>Inclusion</w:t>
            </w:r>
          </w:p>
        </w:tc>
        <w:tc>
          <w:tcPr>
            <w:tcW w:w="4508" w:type="dxa"/>
          </w:tcPr>
          <w:p w14:paraId="566113A7" w14:textId="77777777" w:rsidR="00B54D51" w:rsidRPr="00037AD4" w:rsidRDefault="00B54D51" w:rsidP="00401C67">
            <w:pPr>
              <w:rPr>
                <w:rFonts w:asciiTheme="minorHAnsi" w:hAnsiTheme="minorHAnsi" w:cstheme="minorHAnsi"/>
                <w:b/>
                <w:bCs/>
                <w:sz w:val="22"/>
                <w:szCs w:val="22"/>
              </w:rPr>
            </w:pPr>
            <w:r w:rsidRPr="00037AD4">
              <w:rPr>
                <w:rFonts w:asciiTheme="minorHAnsi" w:hAnsiTheme="minorHAnsi" w:cstheme="minorHAnsi"/>
                <w:b/>
                <w:bCs/>
                <w:sz w:val="22"/>
                <w:szCs w:val="22"/>
              </w:rPr>
              <w:t>Exclusion</w:t>
            </w:r>
          </w:p>
        </w:tc>
      </w:tr>
      <w:tr w:rsidR="00B54D51" w:rsidRPr="00037AD4" w14:paraId="478E1C20" w14:textId="77777777" w:rsidTr="00401C67">
        <w:tc>
          <w:tcPr>
            <w:tcW w:w="4508" w:type="dxa"/>
          </w:tcPr>
          <w:p w14:paraId="43C2FC7B"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Population with formal dementia diagnosis (any type of dementia)</w:t>
            </w:r>
          </w:p>
        </w:tc>
        <w:tc>
          <w:tcPr>
            <w:tcW w:w="4508" w:type="dxa"/>
          </w:tcPr>
          <w:p w14:paraId="2A5CDCC4"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Mild cognitive impairment alone</w:t>
            </w:r>
          </w:p>
        </w:tc>
      </w:tr>
      <w:tr w:rsidR="00B54D51" w:rsidRPr="00037AD4" w14:paraId="4C7C44AF" w14:textId="77777777" w:rsidTr="00401C67">
        <w:tc>
          <w:tcPr>
            <w:tcW w:w="4508" w:type="dxa"/>
          </w:tcPr>
          <w:p w14:paraId="31D9D80F"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Must report one of the key outcome instruments AND EQ-5D</w:t>
            </w:r>
          </w:p>
        </w:tc>
        <w:tc>
          <w:tcPr>
            <w:tcW w:w="4508" w:type="dxa"/>
          </w:tcPr>
          <w:p w14:paraId="0D428886"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Non-English language</w:t>
            </w:r>
          </w:p>
        </w:tc>
      </w:tr>
      <w:tr w:rsidR="00B54D51" w:rsidRPr="00037AD4" w14:paraId="72DF43F0" w14:textId="77777777" w:rsidTr="00401C67">
        <w:tc>
          <w:tcPr>
            <w:tcW w:w="4508" w:type="dxa"/>
          </w:tcPr>
          <w:p w14:paraId="5663DCC4"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EQ-5D-5L or EQ-5D-3L </w:t>
            </w:r>
          </w:p>
        </w:tc>
        <w:tc>
          <w:tcPr>
            <w:tcW w:w="4508" w:type="dxa"/>
          </w:tcPr>
          <w:p w14:paraId="50193A52"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EQ-5D VAS alone</w:t>
            </w:r>
          </w:p>
        </w:tc>
      </w:tr>
      <w:tr w:rsidR="00B54D51" w:rsidRPr="00037AD4" w14:paraId="2C14C66C" w14:textId="77777777" w:rsidTr="00401C67">
        <w:tc>
          <w:tcPr>
            <w:tcW w:w="4508" w:type="dxa"/>
          </w:tcPr>
          <w:p w14:paraId="7A3E3A75"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Self-report and/or proxy report EQ-5D</w:t>
            </w:r>
          </w:p>
        </w:tc>
        <w:tc>
          <w:tcPr>
            <w:tcW w:w="4508" w:type="dxa"/>
          </w:tcPr>
          <w:p w14:paraId="4055867A"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Caregiver studies (where outcomes were collected </w:t>
            </w:r>
          </w:p>
        </w:tc>
      </w:tr>
      <w:tr w:rsidR="00B54D51" w:rsidRPr="00037AD4" w14:paraId="463F9A0B" w14:textId="77777777" w:rsidTr="00401C67">
        <w:tc>
          <w:tcPr>
            <w:tcW w:w="4508" w:type="dxa"/>
          </w:tcPr>
          <w:p w14:paraId="340CD761"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Any study design i.e., RCT, observational</w:t>
            </w:r>
          </w:p>
        </w:tc>
        <w:tc>
          <w:tcPr>
            <w:tcW w:w="4508" w:type="dxa"/>
          </w:tcPr>
          <w:p w14:paraId="6BAF7C47"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Previous systematic reviews (although chain search of references will be completed)</w:t>
            </w:r>
          </w:p>
        </w:tc>
      </w:tr>
      <w:tr w:rsidR="00B54D51" w:rsidRPr="00037AD4" w14:paraId="104CEBF4" w14:textId="77777777" w:rsidTr="00401C67">
        <w:tc>
          <w:tcPr>
            <w:tcW w:w="4508" w:type="dxa"/>
          </w:tcPr>
          <w:p w14:paraId="1105615B"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Contains extractable data</w:t>
            </w:r>
          </w:p>
        </w:tc>
        <w:tc>
          <w:tcPr>
            <w:tcW w:w="4508" w:type="dxa"/>
          </w:tcPr>
          <w:p w14:paraId="16748CDE"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Grey literature</w:t>
            </w:r>
          </w:p>
        </w:tc>
      </w:tr>
      <w:tr w:rsidR="00B54D51" w:rsidRPr="00037AD4" w14:paraId="1C9200C8" w14:textId="77777777" w:rsidTr="00401C67">
        <w:tc>
          <w:tcPr>
            <w:tcW w:w="4508" w:type="dxa"/>
          </w:tcPr>
          <w:p w14:paraId="7204B82B" w14:textId="77777777" w:rsidR="00B54D51" w:rsidRPr="00037AD4" w:rsidRDefault="00B54D51" w:rsidP="00401C67">
            <w:pPr>
              <w:rPr>
                <w:rFonts w:asciiTheme="minorHAnsi" w:hAnsiTheme="minorHAnsi" w:cstheme="minorHAnsi"/>
                <w:sz w:val="22"/>
                <w:szCs w:val="22"/>
              </w:rPr>
            </w:pPr>
          </w:p>
        </w:tc>
        <w:tc>
          <w:tcPr>
            <w:tcW w:w="4508" w:type="dxa"/>
          </w:tcPr>
          <w:p w14:paraId="3A1A433B"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Conference abstracts</w:t>
            </w:r>
          </w:p>
        </w:tc>
      </w:tr>
      <w:tr w:rsidR="00B54D51" w:rsidRPr="00037AD4" w14:paraId="4B60C0B1" w14:textId="77777777" w:rsidTr="00401C67">
        <w:trPr>
          <w:trHeight w:val="71"/>
        </w:trPr>
        <w:tc>
          <w:tcPr>
            <w:tcW w:w="4508" w:type="dxa"/>
          </w:tcPr>
          <w:p w14:paraId="2834C409" w14:textId="77777777" w:rsidR="00B54D51" w:rsidRPr="00037AD4" w:rsidRDefault="00B54D51" w:rsidP="00401C67">
            <w:pPr>
              <w:rPr>
                <w:rFonts w:asciiTheme="minorHAnsi" w:hAnsiTheme="minorHAnsi" w:cstheme="minorHAnsi"/>
                <w:sz w:val="22"/>
                <w:szCs w:val="22"/>
              </w:rPr>
            </w:pPr>
          </w:p>
        </w:tc>
        <w:tc>
          <w:tcPr>
            <w:tcW w:w="4508" w:type="dxa"/>
          </w:tcPr>
          <w:p w14:paraId="0B515CC6"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Protocols </w:t>
            </w:r>
          </w:p>
        </w:tc>
      </w:tr>
    </w:tbl>
    <w:p w14:paraId="59CD18F2" w14:textId="77777777" w:rsidR="00B54D51" w:rsidRPr="00037AD4" w:rsidRDefault="00B54D51" w:rsidP="001D7ACE">
      <w:pPr>
        <w:rPr>
          <w:rFonts w:asciiTheme="minorHAnsi" w:hAnsiTheme="minorHAnsi" w:cstheme="minorHAnsi"/>
          <w:b/>
          <w:bCs/>
          <w:u w:val="single"/>
        </w:rPr>
      </w:pPr>
    </w:p>
    <w:p w14:paraId="2C42E32B" w14:textId="77777777" w:rsidR="00B54D51" w:rsidRPr="00037AD4" w:rsidRDefault="00B54D51" w:rsidP="001D7ACE">
      <w:pPr>
        <w:rPr>
          <w:rFonts w:asciiTheme="minorHAnsi" w:hAnsiTheme="minorHAnsi" w:cstheme="minorHAnsi"/>
          <w:b/>
          <w:bCs/>
          <w:u w:val="single"/>
        </w:rPr>
      </w:pPr>
    </w:p>
    <w:p w14:paraId="1D11A7A3" w14:textId="77777777" w:rsidR="00B54D51" w:rsidRPr="00037AD4" w:rsidRDefault="00B54D51" w:rsidP="001D7ACE">
      <w:pPr>
        <w:rPr>
          <w:rFonts w:asciiTheme="minorHAnsi" w:hAnsiTheme="minorHAnsi" w:cstheme="minorHAnsi"/>
          <w:b/>
          <w:bCs/>
          <w:u w:val="single"/>
        </w:rPr>
      </w:pPr>
    </w:p>
    <w:p w14:paraId="4958E8D6" w14:textId="77777777" w:rsidR="00B54D51" w:rsidRPr="00037AD4" w:rsidRDefault="00B54D51" w:rsidP="001D7ACE">
      <w:pPr>
        <w:rPr>
          <w:rFonts w:asciiTheme="minorHAnsi" w:hAnsiTheme="minorHAnsi" w:cstheme="minorHAnsi"/>
          <w:b/>
          <w:bCs/>
          <w:u w:val="single"/>
        </w:rPr>
      </w:pPr>
    </w:p>
    <w:p w14:paraId="72E944A9" w14:textId="77777777" w:rsidR="00B54D51" w:rsidRPr="00037AD4" w:rsidRDefault="00B54D51" w:rsidP="001D7ACE">
      <w:pPr>
        <w:rPr>
          <w:rFonts w:asciiTheme="minorHAnsi" w:hAnsiTheme="minorHAnsi" w:cstheme="minorHAnsi"/>
          <w:b/>
          <w:bCs/>
          <w:u w:val="single"/>
        </w:rPr>
      </w:pPr>
    </w:p>
    <w:p w14:paraId="79FC0F50" w14:textId="77777777" w:rsidR="00B54D51" w:rsidRPr="00037AD4" w:rsidRDefault="00B54D51" w:rsidP="001D7ACE">
      <w:pPr>
        <w:rPr>
          <w:rFonts w:asciiTheme="minorHAnsi" w:hAnsiTheme="minorHAnsi" w:cstheme="minorHAnsi"/>
          <w:b/>
          <w:bCs/>
          <w:u w:val="single"/>
        </w:rPr>
      </w:pPr>
    </w:p>
    <w:p w14:paraId="55E45D15" w14:textId="77777777" w:rsidR="00B54D51" w:rsidRPr="00037AD4" w:rsidRDefault="00B54D51" w:rsidP="001D7ACE">
      <w:pPr>
        <w:rPr>
          <w:rFonts w:asciiTheme="minorHAnsi" w:hAnsiTheme="minorHAnsi" w:cstheme="minorHAnsi"/>
          <w:b/>
          <w:bCs/>
          <w:u w:val="single"/>
        </w:rPr>
      </w:pPr>
    </w:p>
    <w:p w14:paraId="34D3D38F" w14:textId="77777777" w:rsidR="00B54D51" w:rsidRPr="00037AD4" w:rsidRDefault="00B54D51" w:rsidP="001D7ACE">
      <w:pPr>
        <w:rPr>
          <w:rFonts w:asciiTheme="minorHAnsi" w:hAnsiTheme="minorHAnsi" w:cstheme="minorHAnsi"/>
          <w:b/>
          <w:bCs/>
          <w:u w:val="single"/>
        </w:rPr>
      </w:pPr>
    </w:p>
    <w:p w14:paraId="3D67E220" w14:textId="77777777" w:rsidR="00B54D51" w:rsidRPr="00037AD4" w:rsidRDefault="00B54D51" w:rsidP="001D7ACE">
      <w:pPr>
        <w:rPr>
          <w:rFonts w:asciiTheme="minorHAnsi" w:hAnsiTheme="minorHAnsi" w:cstheme="minorHAnsi"/>
          <w:b/>
          <w:bCs/>
          <w:u w:val="single"/>
        </w:rPr>
      </w:pPr>
    </w:p>
    <w:p w14:paraId="55BA32D3" w14:textId="77777777" w:rsidR="00B54D51" w:rsidRPr="00037AD4" w:rsidRDefault="00B54D51" w:rsidP="001D7ACE">
      <w:pPr>
        <w:rPr>
          <w:rFonts w:asciiTheme="minorHAnsi" w:hAnsiTheme="minorHAnsi" w:cstheme="minorHAnsi"/>
          <w:b/>
          <w:bCs/>
          <w:u w:val="single"/>
        </w:rPr>
        <w:sectPr w:rsidR="00B54D51" w:rsidRPr="00037AD4" w:rsidSect="0051675A">
          <w:pgSz w:w="11906" w:h="16838"/>
          <w:pgMar w:top="1440" w:right="1440" w:bottom="1440" w:left="1440" w:header="708" w:footer="708" w:gutter="0"/>
          <w:cols w:space="708"/>
          <w:docGrid w:linePitch="360"/>
        </w:sectPr>
      </w:pPr>
    </w:p>
    <w:p w14:paraId="633C9FDE" w14:textId="77777777" w:rsidR="00B54D51" w:rsidRPr="00037AD4" w:rsidRDefault="00B54D51" w:rsidP="007A43F9">
      <w:pPr>
        <w:pStyle w:val="Heading2"/>
      </w:pPr>
      <w:bookmarkStart w:id="475" w:name="A36"/>
      <w:bookmarkStart w:id="476" w:name="_Toc175742400"/>
      <w:r w:rsidRPr="00037AD4">
        <w:lastRenderedPageBreak/>
        <w:t>Appendix 3.6 Adapted GRADE quality appraisal tool</w:t>
      </w:r>
      <w:bookmarkEnd w:id="476"/>
      <w:r w:rsidRPr="00037AD4">
        <w:t xml:space="preserve"> </w:t>
      </w:r>
    </w:p>
    <w:bookmarkEnd w:id="475"/>
    <w:p w14:paraId="27CDF1F9" w14:textId="77777777" w:rsidR="00B54D51" w:rsidRPr="00037AD4" w:rsidRDefault="00B54D51" w:rsidP="001D7ACE">
      <w:pPr>
        <w:rPr>
          <w:rFonts w:asciiTheme="minorHAnsi" w:hAnsiTheme="minorHAnsi" w:cstheme="minorHAnsi"/>
          <w:b/>
          <w:bCs/>
          <w:u w:val="single"/>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28"/>
        <w:gridCol w:w="1212"/>
        <w:gridCol w:w="1523"/>
        <w:gridCol w:w="1198"/>
        <w:gridCol w:w="1013"/>
        <w:gridCol w:w="1558"/>
        <w:gridCol w:w="1132"/>
        <w:gridCol w:w="1393"/>
        <w:gridCol w:w="1234"/>
        <w:gridCol w:w="1230"/>
        <w:gridCol w:w="1027"/>
      </w:tblGrid>
      <w:tr w:rsidR="00B54D51" w:rsidRPr="00037AD4" w14:paraId="48264E53" w14:textId="77777777" w:rsidTr="00401C67">
        <w:trPr>
          <w:trHeight w:val="630"/>
        </w:trPr>
        <w:tc>
          <w:tcPr>
            <w:tcW w:w="477" w:type="pct"/>
            <w:vMerge w:val="restart"/>
            <w:shd w:val="clear" w:color="auto" w:fill="auto"/>
            <w:vAlign w:val="bottom"/>
            <w:hideMark/>
          </w:tcPr>
          <w:p w14:paraId="22C8ADA2" w14:textId="77777777" w:rsidR="00B54D51" w:rsidRPr="00037AD4" w:rsidRDefault="00B54D51" w:rsidP="00401C67">
            <w:pPr>
              <w:rPr>
                <w:rFonts w:asciiTheme="minorHAnsi" w:hAnsiTheme="minorHAnsi" w:cstheme="minorHAnsi"/>
                <w:sz w:val="22"/>
                <w:szCs w:val="22"/>
              </w:rPr>
            </w:pPr>
          </w:p>
        </w:tc>
        <w:tc>
          <w:tcPr>
            <w:tcW w:w="376" w:type="pct"/>
            <w:shd w:val="clear" w:color="auto" w:fill="auto"/>
            <w:vAlign w:val="bottom"/>
            <w:hideMark/>
          </w:tcPr>
          <w:p w14:paraId="07B9E0F8" w14:textId="77777777" w:rsidR="00B54D51" w:rsidRPr="00037AD4" w:rsidRDefault="00B54D51" w:rsidP="00401C67">
            <w:pPr>
              <w:jc w:val="center"/>
              <w:rPr>
                <w:rFonts w:asciiTheme="minorHAnsi" w:hAnsiTheme="minorHAnsi" w:cstheme="minorHAnsi"/>
                <w:b/>
                <w:bCs/>
                <w:i/>
                <w:iCs/>
                <w:color w:val="000000"/>
                <w:sz w:val="22"/>
                <w:szCs w:val="22"/>
              </w:rPr>
            </w:pPr>
            <w:r w:rsidRPr="00037AD4">
              <w:rPr>
                <w:rFonts w:asciiTheme="minorHAnsi" w:hAnsiTheme="minorHAnsi" w:cstheme="minorHAnsi"/>
                <w:b/>
                <w:bCs/>
                <w:i/>
                <w:iCs/>
                <w:color w:val="000000"/>
                <w:sz w:val="22"/>
                <w:szCs w:val="22"/>
              </w:rPr>
              <w:t>Population</w:t>
            </w:r>
          </w:p>
        </w:tc>
        <w:tc>
          <w:tcPr>
            <w:tcW w:w="1115" w:type="pct"/>
            <w:gridSpan w:val="3"/>
            <w:shd w:val="clear" w:color="auto" w:fill="auto"/>
            <w:vAlign w:val="bottom"/>
            <w:hideMark/>
          </w:tcPr>
          <w:p w14:paraId="00F837A8" w14:textId="77777777" w:rsidR="00B54D51" w:rsidRPr="00037AD4" w:rsidRDefault="00B54D51" w:rsidP="00401C67">
            <w:pPr>
              <w:jc w:val="center"/>
              <w:rPr>
                <w:rFonts w:asciiTheme="minorHAnsi" w:hAnsiTheme="minorHAnsi" w:cstheme="minorHAnsi"/>
                <w:b/>
                <w:bCs/>
                <w:i/>
                <w:iCs/>
                <w:sz w:val="22"/>
                <w:szCs w:val="22"/>
              </w:rPr>
            </w:pPr>
            <w:r w:rsidRPr="00037AD4">
              <w:rPr>
                <w:rFonts w:asciiTheme="minorHAnsi" w:hAnsiTheme="minorHAnsi" w:cstheme="minorHAnsi"/>
                <w:b/>
                <w:bCs/>
                <w:i/>
                <w:iCs/>
                <w:color w:val="000000"/>
                <w:sz w:val="22"/>
                <w:szCs w:val="22"/>
              </w:rPr>
              <w:t>Sample</w:t>
            </w:r>
          </w:p>
        </w:tc>
        <w:tc>
          <w:tcPr>
            <w:tcW w:w="522" w:type="pct"/>
            <w:shd w:val="clear" w:color="auto" w:fill="auto"/>
            <w:vAlign w:val="bottom"/>
            <w:hideMark/>
          </w:tcPr>
          <w:p w14:paraId="4D7BC5ED" w14:textId="77777777" w:rsidR="00B54D51" w:rsidRPr="00037AD4" w:rsidRDefault="00B54D51" w:rsidP="00401C67">
            <w:pPr>
              <w:jc w:val="center"/>
              <w:rPr>
                <w:rFonts w:asciiTheme="minorHAnsi" w:hAnsiTheme="minorHAnsi" w:cstheme="minorHAnsi"/>
                <w:b/>
                <w:bCs/>
                <w:i/>
                <w:iCs/>
                <w:color w:val="000000"/>
                <w:sz w:val="22"/>
                <w:szCs w:val="22"/>
              </w:rPr>
            </w:pPr>
            <w:r w:rsidRPr="00037AD4">
              <w:rPr>
                <w:rFonts w:asciiTheme="minorHAnsi" w:hAnsiTheme="minorHAnsi" w:cstheme="minorHAnsi"/>
                <w:b/>
                <w:bCs/>
                <w:i/>
                <w:iCs/>
                <w:color w:val="000000"/>
                <w:sz w:val="22"/>
                <w:szCs w:val="22"/>
              </w:rPr>
              <w:t>Outcome assessment</w:t>
            </w:r>
          </w:p>
        </w:tc>
        <w:tc>
          <w:tcPr>
            <w:tcW w:w="1336" w:type="pct"/>
            <w:gridSpan w:val="3"/>
            <w:shd w:val="clear" w:color="auto" w:fill="auto"/>
            <w:vAlign w:val="bottom"/>
            <w:hideMark/>
          </w:tcPr>
          <w:p w14:paraId="20650126" w14:textId="77777777" w:rsidR="00B54D51" w:rsidRPr="00037AD4" w:rsidRDefault="00B54D51" w:rsidP="00401C67">
            <w:pPr>
              <w:jc w:val="center"/>
              <w:rPr>
                <w:rFonts w:asciiTheme="minorHAnsi" w:hAnsiTheme="minorHAnsi" w:cstheme="minorHAnsi"/>
                <w:b/>
                <w:bCs/>
                <w:i/>
                <w:iCs/>
                <w:color w:val="000000"/>
                <w:sz w:val="22"/>
                <w:szCs w:val="22"/>
              </w:rPr>
            </w:pPr>
            <w:r w:rsidRPr="00037AD4">
              <w:rPr>
                <w:rFonts w:asciiTheme="minorHAnsi" w:hAnsiTheme="minorHAnsi" w:cstheme="minorHAnsi"/>
                <w:b/>
                <w:bCs/>
                <w:i/>
                <w:iCs/>
                <w:color w:val="000000"/>
                <w:sz w:val="22"/>
                <w:szCs w:val="22"/>
              </w:rPr>
              <w:t>Analysis</w:t>
            </w:r>
          </w:p>
        </w:tc>
        <w:tc>
          <w:tcPr>
            <w:tcW w:w="586" w:type="pct"/>
            <w:shd w:val="clear" w:color="auto" w:fill="auto"/>
            <w:vAlign w:val="bottom"/>
            <w:hideMark/>
          </w:tcPr>
          <w:p w14:paraId="5DE9CAE5" w14:textId="77777777" w:rsidR="00B54D51" w:rsidRPr="00037AD4" w:rsidRDefault="00B54D51" w:rsidP="00401C67">
            <w:pPr>
              <w:jc w:val="center"/>
              <w:rPr>
                <w:rFonts w:asciiTheme="minorHAnsi" w:hAnsiTheme="minorHAnsi" w:cstheme="minorHAnsi"/>
                <w:b/>
                <w:bCs/>
                <w:i/>
                <w:iCs/>
                <w:color w:val="000000"/>
                <w:sz w:val="22"/>
                <w:szCs w:val="22"/>
              </w:rPr>
            </w:pPr>
            <w:r w:rsidRPr="00037AD4">
              <w:rPr>
                <w:rFonts w:asciiTheme="minorHAnsi" w:hAnsiTheme="minorHAnsi" w:cstheme="minorHAnsi"/>
                <w:b/>
                <w:bCs/>
                <w:i/>
                <w:iCs/>
                <w:color w:val="000000"/>
                <w:sz w:val="22"/>
                <w:szCs w:val="22"/>
              </w:rPr>
              <w:t>Data</w:t>
            </w:r>
          </w:p>
          <w:p w14:paraId="6D19A6F4" w14:textId="77777777" w:rsidR="00B54D51" w:rsidRPr="00037AD4" w:rsidRDefault="00B54D51" w:rsidP="00401C67">
            <w:pPr>
              <w:jc w:val="center"/>
              <w:rPr>
                <w:rFonts w:asciiTheme="minorHAnsi" w:hAnsiTheme="minorHAnsi" w:cstheme="minorHAnsi"/>
                <w:b/>
                <w:bCs/>
                <w:i/>
                <w:iCs/>
                <w:color w:val="000000"/>
                <w:sz w:val="22"/>
                <w:szCs w:val="22"/>
              </w:rPr>
            </w:pPr>
            <w:r w:rsidRPr="00037AD4">
              <w:rPr>
                <w:rFonts w:asciiTheme="minorHAnsi" w:hAnsiTheme="minorHAnsi" w:cstheme="minorHAnsi"/>
                <w:b/>
                <w:bCs/>
                <w:i/>
                <w:iCs/>
                <w:color w:val="000000"/>
                <w:sz w:val="22"/>
                <w:szCs w:val="22"/>
              </w:rPr>
              <w:t>Limitations</w:t>
            </w:r>
          </w:p>
        </w:tc>
        <w:tc>
          <w:tcPr>
            <w:tcW w:w="588" w:type="pct"/>
            <w:vMerge w:val="restart"/>
            <w:shd w:val="clear" w:color="auto" w:fill="auto"/>
            <w:vAlign w:val="bottom"/>
            <w:hideMark/>
          </w:tcPr>
          <w:p w14:paraId="0C26D0D6"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b/>
                <w:bCs/>
                <w:color w:val="000000"/>
                <w:sz w:val="22"/>
                <w:szCs w:val="22"/>
              </w:rPr>
              <w:t>Quality score</w:t>
            </w:r>
          </w:p>
        </w:tc>
      </w:tr>
      <w:tr w:rsidR="00B54D51" w:rsidRPr="00037AD4" w14:paraId="1B97A48F" w14:textId="77777777" w:rsidTr="00401C67">
        <w:trPr>
          <w:trHeight w:val="1575"/>
        </w:trPr>
        <w:tc>
          <w:tcPr>
            <w:tcW w:w="477" w:type="pct"/>
            <w:vMerge/>
            <w:shd w:val="clear" w:color="auto" w:fill="auto"/>
            <w:vAlign w:val="bottom"/>
            <w:hideMark/>
          </w:tcPr>
          <w:p w14:paraId="0097A2EB" w14:textId="77777777" w:rsidR="00B54D51" w:rsidRPr="00037AD4" w:rsidRDefault="00B54D51" w:rsidP="00401C67">
            <w:pPr>
              <w:rPr>
                <w:rFonts w:asciiTheme="minorHAnsi" w:hAnsiTheme="minorHAnsi" w:cstheme="minorHAnsi"/>
                <w:b/>
                <w:bCs/>
                <w:sz w:val="22"/>
                <w:szCs w:val="22"/>
              </w:rPr>
            </w:pPr>
          </w:p>
        </w:tc>
        <w:tc>
          <w:tcPr>
            <w:tcW w:w="376" w:type="pct"/>
            <w:shd w:val="clear" w:color="auto" w:fill="auto"/>
            <w:vAlign w:val="bottom"/>
            <w:hideMark/>
          </w:tcPr>
          <w:p w14:paraId="5451BFE7" w14:textId="77777777" w:rsidR="00B54D51" w:rsidRPr="00037AD4" w:rsidRDefault="00B54D51" w:rsidP="00401C67">
            <w:pPr>
              <w:rPr>
                <w:rFonts w:asciiTheme="minorHAnsi" w:hAnsiTheme="minorHAnsi" w:cstheme="minorHAnsi"/>
                <w:b/>
                <w:bCs/>
                <w:color w:val="000000"/>
                <w:sz w:val="22"/>
                <w:szCs w:val="22"/>
              </w:rPr>
            </w:pPr>
            <w:r w:rsidRPr="00037AD4">
              <w:rPr>
                <w:rFonts w:asciiTheme="minorHAnsi" w:hAnsiTheme="minorHAnsi" w:cstheme="minorHAnsi"/>
                <w:b/>
                <w:bCs/>
                <w:color w:val="000000"/>
                <w:sz w:val="22"/>
                <w:szCs w:val="22"/>
              </w:rPr>
              <w:t>1. Is the study population clearly defined?</w:t>
            </w:r>
          </w:p>
        </w:tc>
        <w:tc>
          <w:tcPr>
            <w:tcW w:w="428" w:type="pct"/>
            <w:shd w:val="clear" w:color="auto" w:fill="auto"/>
            <w:vAlign w:val="bottom"/>
            <w:hideMark/>
          </w:tcPr>
          <w:p w14:paraId="5F3BD30A" w14:textId="77777777" w:rsidR="00B54D51" w:rsidRPr="00037AD4" w:rsidRDefault="00B54D51" w:rsidP="00401C67">
            <w:pPr>
              <w:rPr>
                <w:rFonts w:asciiTheme="minorHAnsi" w:hAnsiTheme="minorHAnsi" w:cstheme="minorHAnsi"/>
                <w:b/>
                <w:bCs/>
                <w:color w:val="000000"/>
                <w:sz w:val="22"/>
                <w:szCs w:val="22"/>
              </w:rPr>
            </w:pPr>
            <w:r w:rsidRPr="00037AD4">
              <w:rPr>
                <w:rFonts w:asciiTheme="minorHAnsi" w:hAnsiTheme="minorHAnsi" w:cstheme="minorHAnsi"/>
                <w:b/>
                <w:bCs/>
                <w:color w:val="000000"/>
                <w:sz w:val="22"/>
                <w:szCs w:val="22"/>
              </w:rPr>
              <w:t>2. Are the sample characteristics clearly summarised?</w:t>
            </w:r>
          </w:p>
        </w:tc>
        <w:tc>
          <w:tcPr>
            <w:tcW w:w="335" w:type="pct"/>
            <w:shd w:val="clear" w:color="auto" w:fill="auto"/>
            <w:vAlign w:val="bottom"/>
            <w:hideMark/>
          </w:tcPr>
          <w:p w14:paraId="151C0EF0" w14:textId="77777777" w:rsidR="00B54D51" w:rsidRPr="00037AD4" w:rsidRDefault="00B54D51" w:rsidP="00401C67">
            <w:pPr>
              <w:rPr>
                <w:rFonts w:asciiTheme="minorHAnsi" w:hAnsiTheme="minorHAnsi" w:cstheme="minorHAnsi"/>
                <w:b/>
                <w:bCs/>
                <w:color w:val="000000"/>
                <w:sz w:val="22"/>
                <w:szCs w:val="22"/>
              </w:rPr>
            </w:pPr>
            <w:r w:rsidRPr="00037AD4">
              <w:rPr>
                <w:rFonts w:asciiTheme="minorHAnsi" w:hAnsiTheme="minorHAnsi" w:cstheme="minorHAnsi"/>
                <w:b/>
                <w:bCs/>
                <w:color w:val="000000"/>
                <w:sz w:val="22"/>
                <w:szCs w:val="22"/>
              </w:rPr>
              <w:t>3. What is the magnitude of the sample size? High&gt;300, Medium 100-300, Low&lt;100</w:t>
            </w:r>
          </w:p>
        </w:tc>
        <w:tc>
          <w:tcPr>
            <w:tcW w:w="351" w:type="pct"/>
            <w:shd w:val="clear" w:color="auto" w:fill="auto"/>
            <w:vAlign w:val="bottom"/>
            <w:hideMark/>
          </w:tcPr>
          <w:p w14:paraId="7075BAAB" w14:textId="77777777" w:rsidR="00B54D51" w:rsidRPr="00037AD4" w:rsidRDefault="00B54D51" w:rsidP="00401C67">
            <w:pPr>
              <w:rPr>
                <w:rFonts w:asciiTheme="minorHAnsi" w:hAnsiTheme="minorHAnsi" w:cstheme="minorHAnsi"/>
                <w:b/>
                <w:bCs/>
                <w:color w:val="000000"/>
                <w:sz w:val="22"/>
                <w:szCs w:val="22"/>
              </w:rPr>
            </w:pPr>
            <w:r w:rsidRPr="00037AD4">
              <w:rPr>
                <w:rFonts w:asciiTheme="minorHAnsi" w:hAnsiTheme="minorHAnsi" w:cstheme="minorHAnsi"/>
                <w:b/>
                <w:bCs/>
                <w:color w:val="000000"/>
                <w:sz w:val="22"/>
                <w:szCs w:val="22"/>
              </w:rPr>
              <w:t>4. Are sample groups clearly defined?</w:t>
            </w:r>
          </w:p>
        </w:tc>
        <w:tc>
          <w:tcPr>
            <w:tcW w:w="522" w:type="pct"/>
            <w:shd w:val="clear" w:color="auto" w:fill="auto"/>
            <w:vAlign w:val="bottom"/>
            <w:hideMark/>
          </w:tcPr>
          <w:p w14:paraId="6F8715C6" w14:textId="77777777" w:rsidR="00B54D51" w:rsidRPr="00037AD4" w:rsidRDefault="00B54D51" w:rsidP="00401C67">
            <w:pPr>
              <w:rPr>
                <w:rFonts w:asciiTheme="minorHAnsi" w:hAnsiTheme="minorHAnsi" w:cstheme="minorHAnsi"/>
                <w:b/>
                <w:bCs/>
                <w:color w:val="000000"/>
                <w:sz w:val="22"/>
                <w:szCs w:val="22"/>
              </w:rPr>
            </w:pPr>
            <w:r w:rsidRPr="00037AD4">
              <w:rPr>
                <w:rFonts w:asciiTheme="minorHAnsi" w:hAnsiTheme="minorHAnsi" w:cstheme="minorHAnsi"/>
                <w:b/>
                <w:bCs/>
                <w:color w:val="000000"/>
                <w:sz w:val="22"/>
                <w:szCs w:val="22"/>
              </w:rPr>
              <w:t>5. Are instrument administration details clear?</w:t>
            </w:r>
          </w:p>
        </w:tc>
        <w:tc>
          <w:tcPr>
            <w:tcW w:w="438" w:type="pct"/>
            <w:shd w:val="clear" w:color="auto" w:fill="auto"/>
            <w:vAlign w:val="bottom"/>
            <w:hideMark/>
          </w:tcPr>
          <w:p w14:paraId="2C5B3D40" w14:textId="77777777" w:rsidR="00B54D51" w:rsidRPr="00037AD4" w:rsidRDefault="00B54D51" w:rsidP="00401C67">
            <w:pPr>
              <w:rPr>
                <w:rFonts w:asciiTheme="minorHAnsi" w:hAnsiTheme="minorHAnsi" w:cstheme="minorHAnsi"/>
                <w:b/>
                <w:bCs/>
                <w:color w:val="000000"/>
                <w:sz w:val="22"/>
                <w:szCs w:val="22"/>
              </w:rPr>
            </w:pPr>
            <w:r w:rsidRPr="00037AD4">
              <w:rPr>
                <w:rFonts w:asciiTheme="minorHAnsi" w:hAnsiTheme="minorHAnsi" w:cstheme="minorHAnsi"/>
                <w:b/>
                <w:bCs/>
                <w:color w:val="000000"/>
                <w:sz w:val="22"/>
                <w:szCs w:val="22"/>
              </w:rPr>
              <w:t xml:space="preserve">6. Are details of analyses provided? </w:t>
            </w:r>
          </w:p>
        </w:tc>
        <w:tc>
          <w:tcPr>
            <w:tcW w:w="552" w:type="pct"/>
            <w:shd w:val="clear" w:color="auto" w:fill="auto"/>
            <w:vAlign w:val="bottom"/>
            <w:hideMark/>
          </w:tcPr>
          <w:p w14:paraId="43497E84" w14:textId="77777777" w:rsidR="00B54D51" w:rsidRPr="00037AD4" w:rsidRDefault="00B54D51" w:rsidP="00401C67">
            <w:pPr>
              <w:rPr>
                <w:rFonts w:asciiTheme="minorHAnsi" w:hAnsiTheme="minorHAnsi" w:cstheme="minorHAnsi"/>
                <w:b/>
                <w:bCs/>
                <w:color w:val="000000"/>
                <w:sz w:val="22"/>
                <w:szCs w:val="22"/>
              </w:rPr>
            </w:pPr>
            <w:r w:rsidRPr="00037AD4">
              <w:rPr>
                <w:rFonts w:asciiTheme="minorHAnsi" w:hAnsiTheme="minorHAnsi" w:cstheme="minorHAnsi"/>
                <w:b/>
                <w:bCs/>
                <w:color w:val="000000"/>
                <w:sz w:val="22"/>
                <w:szCs w:val="22"/>
              </w:rPr>
              <w:t>7. Are relationships measured via statistical methods i.e., correlation, p value, 95% CI?</w:t>
            </w:r>
          </w:p>
        </w:tc>
        <w:tc>
          <w:tcPr>
            <w:tcW w:w="346" w:type="pct"/>
          </w:tcPr>
          <w:p w14:paraId="7587659E" w14:textId="77777777" w:rsidR="00B54D51" w:rsidRPr="00037AD4" w:rsidRDefault="00B54D51" w:rsidP="00401C67">
            <w:pPr>
              <w:rPr>
                <w:rFonts w:asciiTheme="minorHAnsi" w:hAnsiTheme="minorHAnsi" w:cstheme="minorHAnsi"/>
                <w:b/>
                <w:bCs/>
                <w:color w:val="000000"/>
                <w:sz w:val="22"/>
                <w:szCs w:val="22"/>
              </w:rPr>
            </w:pPr>
            <w:r w:rsidRPr="00037AD4">
              <w:rPr>
                <w:rFonts w:asciiTheme="minorHAnsi" w:hAnsiTheme="minorHAnsi" w:cstheme="minorHAnsi"/>
                <w:b/>
                <w:bCs/>
                <w:color w:val="000000"/>
                <w:sz w:val="22"/>
                <w:szCs w:val="22"/>
              </w:rPr>
              <w:t>8.Are strength of association thresholds included within the study?</w:t>
            </w:r>
          </w:p>
        </w:tc>
        <w:tc>
          <w:tcPr>
            <w:tcW w:w="586" w:type="pct"/>
            <w:shd w:val="clear" w:color="auto" w:fill="auto"/>
            <w:vAlign w:val="bottom"/>
            <w:hideMark/>
          </w:tcPr>
          <w:p w14:paraId="66524C2B" w14:textId="77777777" w:rsidR="00B54D51" w:rsidRPr="00037AD4" w:rsidRDefault="00B54D51" w:rsidP="00401C67">
            <w:pPr>
              <w:rPr>
                <w:rFonts w:asciiTheme="minorHAnsi" w:hAnsiTheme="minorHAnsi" w:cstheme="minorHAnsi"/>
                <w:b/>
                <w:bCs/>
                <w:color w:val="000000"/>
                <w:sz w:val="22"/>
                <w:szCs w:val="22"/>
              </w:rPr>
            </w:pPr>
            <w:r w:rsidRPr="00037AD4">
              <w:rPr>
                <w:rFonts w:asciiTheme="minorHAnsi" w:hAnsiTheme="minorHAnsi" w:cstheme="minorHAnsi"/>
                <w:b/>
                <w:bCs/>
                <w:color w:val="000000"/>
                <w:sz w:val="22"/>
                <w:szCs w:val="22"/>
              </w:rPr>
              <w:t xml:space="preserve">9.Have the authors noted or discussed missing data? </w:t>
            </w:r>
          </w:p>
        </w:tc>
        <w:tc>
          <w:tcPr>
            <w:tcW w:w="588" w:type="pct"/>
            <w:vMerge/>
            <w:shd w:val="clear" w:color="auto" w:fill="auto"/>
            <w:vAlign w:val="bottom"/>
            <w:hideMark/>
          </w:tcPr>
          <w:p w14:paraId="7E40EB81" w14:textId="77777777" w:rsidR="00B54D51" w:rsidRPr="00037AD4" w:rsidRDefault="00B54D51" w:rsidP="00401C67">
            <w:pPr>
              <w:rPr>
                <w:rFonts w:asciiTheme="minorHAnsi" w:hAnsiTheme="minorHAnsi" w:cstheme="minorHAnsi"/>
                <w:b/>
                <w:bCs/>
                <w:color w:val="000000"/>
                <w:sz w:val="22"/>
                <w:szCs w:val="22"/>
              </w:rPr>
            </w:pPr>
          </w:p>
        </w:tc>
      </w:tr>
      <w:tr w:rsidR="00B54D51" w:rsidRPr="00037AD4" w14:paraId="460D6BD9" w14:textId="77777777" w:rsidTr="00401C67">
        <w:trPr>
          <w:trHeight w:val="315"/>
        </w:trPr>
        <w:tc>
          <w:tcPr>
            <w:tcW w:w="477" w:type="pct"/>
            <w:shd w:val="clear" w:color="auto" w:fill="auto"/>
            <w:vAlign w:val="bottom"/>
            <w:hideMark/>
          </w:tcPr>
          <w:p w14:paraId="2390BC9F" w14:textId="77777777" w:rsidR="00B54D51" w:rsidRPr="00037AD4" w:rsidRDefault="00B54D51" w:rsidP="00401C67">
            <w:pPr>
              <w:rPr>
                <w:rFonts w:asciiTheme="minorHAnsi" w:hAnsiTheme="minorHAnsi" w:cstheme="minorHAnsi"/>
                <w:b/>
                <w:bCs/>
                <w:color w:val="000000"/>
                <w:sz w:val="22"/>
                <w:szCs w:val="22"/>
              </w:rPr>
            </w:pPr>
            <w:r w:rsidRPr="00037AD4">
              <w:rPr>
                <w:rFonts w:asciiTheme="minorHAnsi" w:hAnsiTheme="minorHAnsi" w:cstheme="minorHAnsi"/>
                <w:b/>
                <w:bCs/>
                <w:color w:val="000000"/>
                <w:sz w:val="22"/>
                <w:szCs w:val="22"/>
              </w:rPr>
              <w:t>Ankri 2003</w:t>
            </w:r>
          </w:p>
        </w:tc>
        <w:tc>
          <w:tcPr>
            <w:tcW w:w="376" w:type="pct"/>
            <w:shd w:val="clear" w:color="auto" w:fill="auto"/>
            <w:vAlign w:val="bottom"/>
            <w:hideMark/>
          </w:tcPr>
          <w:p w14:paraId="02A0DBDC"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428" w:type="pct"/>
            <w:shd w:val="clear" w:color="auto" w:fill="auto"/>
            <w:vAlign w:val="bottom"/>
            <w:hideMark/>
          </w:tcPr>
          <w:p w14:paraId="701F2DF5"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 xml:space="preserve">Y </w:t>
            </w:r>
          </w:p>
        </w:tc>
        <w:tc>
          <w:tcPr>
            <w:tcW w:w="335" w:type="pct"/>
            <w:shd w:val="clear" w:color="auto" w:fill="auto"/>
            <w:vAlign w:val="bottom"/>
            <w:hideMark/>
          </w:tcPr>
          <w:p w14:paraId="77330232"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142</w:t>
            </w:r>
          </w:p>
        </w:tc>
        <w:tc>
          <w:tcPr>
            <w:tcW w:w="351" w:type="pct"/>
            <w:shd w:val="clear" w:color="auto" w:fill="auto"/>
            <w:vAlign w:val="bottom"/>
            <w:hideMark/>
          </w:tcPr>
          <w:p w14:paraId="7AE8222F"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522" w:type="pct"/>
            <w:shd w:val="clear" w:color="auto" w:fill="auto"/>
            <w:vAlign w:val="bottom"/>
            <w:hideMark/>
          </w:tcPr>
          <w:p w14:paraId="3674662D"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438" w:type="pct"/>
            <w:shd w:val="clear" w:color="auto" w:fill="auto"/>
            <w:vAlign w:val="bottom"/>
            <w:hideMark/>
          </w:tcPr>
          <w:p w14:paraId="2A80A4FD"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552" w:type="pct"/>
            <w:shd w:val="clear" w:color="auto" w:fill="auto"/>
            <w:vAlign w:val="bottom"/>
            <w:hideMark/>
          </w:tcPr>
          <w:p w14:paraId="2446532E"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346" w:type="pct"/>
          </w:tcPr>
          <w:p w14:paraId="38F1DA50" w14:textId="77777777" w:rsidR="00B54D51" w:rsidRPr="00037AD4" w:rsidRDefault="00B54D51" w:rsidP="00401C67">
            <w:pPr>
              <w:rPr>
                <w:rFonts w:asciiTheme="minorHAnsi" w:hAnsiTheme="minorHAnsi" w:cstheme="minorHAnsi"/>
                <w:color w:val="000000"/>
                <w:sz w:val="22"/>
                <w:szCs w:val="22"/>
              </w:rPr>
            </w:pPr>
          </w:p>
          <w:p w14:paraId="3150F74B" w14:textId="77777777" w:rsidR="00B54D51" w:rsidRPr="00037AD4" w:rsidRDefault="00B54D51" w:rsidP="00401C67">
            <w:pPr>
              <w:rPr>
                <w:rFonts w:asciiTheme="minorHAnsi" w:hAnsiTheme="minorHAnsi" w:cstheme="minorHAnsi"/>
                <w:color w:val="000000"/>
                <w:sz w:val="22"/>
                <w:szCs w:val="22"/>
              </w:rPr>
            </w:pPr>
          </w:p>
          <w:p w14:paraId="0A2BD5FC"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586" w:type="pct"/>
            <w:shd w:val="clear" w:color="auto" w:fill="auto"/>
            <w:vAlign w:val="bottom"/>
            <w:hideMark/>
          </w:tcPr>
          <w:p w14:paraId="4EBCE0F0" w14:textId="77777777" w:rsidR="00B54D51" w:rsidRPr="00037AD4" w:rsidRDefault="00B54D51" w:rsidP="00401C67">
            <w:pPr>
              <w:rPr>
                <w:rFonts w:asciiTheme="minorHAnsi" w:hAnsiTheme="minorHAnsi" w:cstheme="minorHAnsi"/>
                <w:color w:val="000000"/>
                <w:sz w:val="22"/>
                <w:szCs w:val="22"/>
              </w:rPr>
            </w:pPr>
          </w:p>
          <w:p w14:paraId="3F0E4076"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588" w:type="pct"/>
            <w:shd w:val="clear" w:color="auto" w:fill="auto"/>
            <w:vAlign w:val="bottom"/>
            <w:hideMark/>
          </w:tcPr>
          <w:p w14:paraId="20CBD093"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HIGH</w:t>
            </w:r>
          </w:p>
        </w:tc>
      </w:tr>
      <w:tr w:rsidR="00B54D51" w:rsidRPr="00037AD4" w14:paraId="21F9F03B" w14:textId="77777777" w:rsidTr="00401C67">
        <w:trPr>
          <w:trHeight w:val="315"/>
        </w:trPr>
        <w:tc>
          <w:tcPr>
            <w:tcW w:w="477" w:type="pct"/>
            <w:shd w:val="clear" w:color="auto" w:fill="auto"/>
            <w:vAlign w:val="bottom"/>
          </w:tcPr>
          <w:p w14:paraId="0BEF3283" w14:textId="77777777" w:rsidR="00B54D51" w:rsidRPr="00037AD4" w:rsidRDefault="00B54D51" w:rsidP="00401C67">
            <w:pPr>
              <w:rPr>
                <w:rFonts w:asciiTheme="minorHAnsi" w:hAnsiTheme="minorHAnsi" w:cstheme="minorHAnsi"/>
                <w:b/>
                <w:bCs/>
                <w:color w:val="000000"/>
                <w:sz w:val="22"/>
                <w:szCs w:val="22"/>
              </w:rPr>
            </w:pPr>
            <w:r w:rsidRPr="00037AD4">
              <w:rPr>
                <w:rFonts w:asciiTheme="minorHAnsi" w:hAnsiTheme="minorHAnsi" w:cstheme="minorHAnsi"/>
                <w:b/>
                <w:bCs/>
                <w:color w:val="000000"/>
                <w:sz w:val="22"/>
                <w:szCs w:val="22"/>
              </w:rPr>
              <w:t xml:space="preserve">Ashizawa 2021 </w:t>
            </w:r>
          </w:p>
        </w:tc>
        <w:tc>
          <w:tcPr>
            <w:tcW w:w="376" w:type="pct"/>
            <w:shd w:val="clear" w:color="auto" w:fill="auto"/>
            <w:vAlign w:val="bottom"/>
          </w:tcPr>
          <w:p w14:paraId="7271746C"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428" w:type="pct"/>
            <w:shd w:val="clear" w:color="auto" w:fill="auto"/>
            <w:vAlign w:val="bottom"/>
          </w:tcPr>
          <w:p w14:paraId="058C5337"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335" w:type="pct"/>
            <w:shd w:val="clear" w:color="auto" w:fill="auto"/>
            <w:vAlign w:val="bottom"/>
          </w:tcPr>
          <w:p w14:paraId="736121BF"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287</w:t>
            </w:r>
          </w:p>
        </w:tc>
        <w:tc>
          <w:tcPr>
            <w:tcW w:w="351" w:type="pct"/>
            <w:shd w:val="clear" w:color="auto" w:fill="auto"/>
            <w:vAlign w:val="bottom"/>
          </w:tcPr>
          <w:p w14:paraId="70588223"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522" w:type="pct"/>
            <w:shd w:val="clear" w:color="auto" w:fill="auto"/>
            <w:vAlign w:val="bottom"/>
          </w:tcPr>
          <w:p w14:paraId="0E856C55"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438" w:type="pct"/>
            <w:shd w:val="clear" w:color="auto" w:fill="auto"/>
            <w:vAlign w:val="bottom"/>
          </w:tcPr>
          <w:p w14:paraId="2F99B6D9"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552" w:type="pct"/>
            <w:shd w:val="clear" w:color="auto" w:fill="auto"/>
            <w:vAlign w:val="bottom"/>
          </w:tcPr>
          <w:p w14:paraId="37085EA0"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346" w:type="pct"/>
          </w:tcPr>
          <w:p w14:paraId="5722F804"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N</w:t>
            </w:r>
          </w:p>
        </w:tc>
        <w:tc>
          <w:tcPr>
            <w:tcW w:w="586" w:type="pct"/>
            <w:shd w:val="clear" w:color="auto" w:fill="auto"/>
            <w:vAlign w:val="bottom"/>
          </w:tcPr>
          <w:p w14:paraId="73918DC3"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N</w:t>
            </w:r>
          </w:p>
        </w:tc>
        <w:tc>
          <w:tcPr>
            <w:tcW w:w="588" w:type="pct"/>
            <w:shd w:val="clear" w:color="auto" w:fill="auto"/>
            <w:vAlign w:val="bottom"/>
          </w:tcPr>
          <w:p w14:paraId="31F869A7"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MEDIUM</w:t>
            </w:r>
          </w:p>
        </w:tc>
      </w:tr>
      <w:tr w:rsidR="00B54D51" w:rsidRPr="00037AD4" w14:paraId="1D0CAB84" w14:textId="77777777" w:rsidTr="00401C67">
        <w:trPr>
          <w:trHeight w:val="315"/>
        </w:trPr>
        <w:tc>
          <w:tcPr>
            <w:tcW w:w="477" w:type="pct"/>
            <w:shd w:val="clear" w:color="auto" w:fill="auto"/>
            <w:vAlign w:val="bottom"/>
            <w:hideMark/>
          </w:tcPr>
          <w:p w14:paraId="0C81C2A1" w14:textId="77777777" w:rsidR="00B54D51" w:rsidRPr="00037AD4" w:rsidRDefault="00B54D51" w:rsidP="00401C67">
            <w:pPr>
              <w:rPr>
                <w:rFonts w:asciiTheme="minorHAnsi" w:hAnsiTheme="minorHAnsi" w:cstheme="minorHAnsi"/>
                <w:b/>
                <w:bCs/>
                <w:color w:val="000000"/>
                <w:sz w:val="22"/>
                <w:szCs w:val="22"/>
              </w:rPr>
            </w:pPr>
            <w:r w:rsidRPr="00037AD4">
              <w:rPr>
                <w:rFonts w:asciiTheme="minorHAnsi" w:hAnsiTheme="minorHAnsi" w:cstheme="minorHAnsi"/>
                <w:b/>
                <w:bCs/>
                <w:color w:val="000000"/>
                <w:sz w:val="22"/>
                <w:szCs w:val="22"/>
              </w:rPr>
              <w:t>Bhattacharya 2010</w:t>
            </w:r>
          </w:p>
        </w:tc>
        <w:tc>
          <w:tcPr>
            <w:tcW w:w="376" w:type="pct"/>
            <w:shd w:val="clear" w:color="auto" w:fill="auto"/>
            <w:vAlign w:val="bottom"/>
            <w:hideMark/>
          </w:tcPr>
          <w:p w14:paraId="691460FE"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428" w:type="pct"/>
            <w:shd w:val="clear" w:color="auto" w:fill="auto"/>
            <w:vAlign w:val="bottom"/>
            <w:hideMark/>
          </w:tcPr>
          <w:p w14:paraId="4DD9ED8E"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335" w:type="pct"/>
            <w:shd w:val="clear" w:color="auto" w:fill="auto"/>
            <w:vAlign w:val="bottom"/>
            <w:hideMark/>
          </w:tcPr>
          <w:p w14:paraId="3C7B2F09"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321</w:t>
            </w:r>
          </w:p>
        </w:tc>
        <w:tc>
          <w:tcPr>
            <w:tcW w:w="351" w:type="pct"/>
            <w:shd w:val="clear" w:color="auto" w:fill="auto"/>
            <w:vAlign w:val="bottom"/>
            <w:hideMark/>
          </w:tcPr>
          <w:p w14:paraId="5CC84CED"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N/A</w:t>
            </w:r>
          </w:p>
        </w:tc>
        <w:tc>
          <w:tcPr>
            <w:tcW w:w="522" w:type="pct"/>
            <w:shd w:val="clear" w:color="auto" w:fill="auto"/>
            <w:vAlign w:val="bottom"/>
            <w:hideMark/>
          </w:tcPr>
          <w:p w14:paraId="0B3C0614" w14:textId="77777777" w:rsidR="00B54D51" w:rsidRPr="00037AD4" w:rsidRDefault="00B54D51" w:rsidP="00401C67">
            <w:pPr>
              <w:rPr>
                <w:rFonts w:asciiTheme="minorHAnsi" w:hAnsiTheme="minorHAnsi" w:cstheme="minorHAnsi"/>
                <w:color w:val="000000"/>
                <w:sz w:val="22"/>
                <w:szCs w:val="22"/>
              </w:rPr>
            </w:pPr>
          </w:p>
          <w:p w14:paraId="18C1E8E9"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438" w:type="pct"/>
            <w:shd w:val="clear" w:color="auto" w:fill="auto"/>
            <w:vAlign w:val="bottom"/>
            <w:hideMark/>
          </w:tcPr>
          <w:p w14:paraId="6210FC99"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552" w:type="pct"/>
            <w:shd w:val="clear" w:color="auto" w:fill="auto"/>
            <w:vAlign w:val="bottom"/>
            <w:hideMark/>
          </w:tcPr>
          <w:p w14:paraId="40B75E23"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346" w:type="pct"/>
          </w:tcPr>
          <w:p w14:paraId="55A33569" w14:textId="77777777" w:rsidR="00B54D51" w:rsidRPr="00037AD4" w:rsidRDefault="00B54D51" w:rsidP="00401C67">
            <w:pPr>
              <w:rPr>
                <w:rFonts w:asciiTheme="minorHAnsi" w:hAnsiTheme="minorHAnsi" w:cstheme="minorHAnsi"/>
                <w:color w:val="000000"/>
                <w:sz w:val="22"/>
                <w:szCs w:val="22"/>
              </w:rPr>
            </w:pPr>
          </w:p>
          <w:p w14:paraId="7144EF08" w14:textId="77777777" w:rsidR="00B54D51" w:rsidRPr="00037AD4" w:rsidRDefault="00B54D51" w:rsidP="00401C67">
            <w:pPr>
              <w:rPr>
                <w:rFonts w:asciiTheme="minorHAnsi" w:hAnsiTheme="minorHAnsi" w:cstheme="minorHAnsi"/>
                <w:color w:val="000000"/>
                <w:sz w:val="22"/>
                <w:szCs w:val="22"/>
              </w:rPr>
            </w:pPr>
          </w:p>
          <w:p w14:paraId="7C9309B4"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N</w:t>
            </w:r>
          </w:p>
        </w:tc>
        <w:tc>
          <w:tcPr>
            <w:tcW w:w="586" w:type="pct"/>
            <w:shd w:val="clear" w:color="auto" w:fill="auto"/>
            <w:vAlign w:val="bottom"/>
            <w:hideMark/>
          </w:tcPr>
          <w:p w14:paraId="2FE82BB6" w14:textId="77777777" w:rsidR="00B54D51" w:rsidRPr="00037AD4" w:rsidRDefault="00B54D51" w:rsidP="00401C67">
            <w:pPr>
              <w:rPr>
                <w:rFonts w:asciiTheme="minorHAnsi" w:hAnsiTheme="minorHAnsi" w:cstheme="minorHAnsi"/>
                <w:color w:val="000000"/>
                <w:sz w:val="22"/>
                <w:szCs w:val="22"/>
              </w:rPr>
            </w:pPr>
          </w:p>
          <w:p w14:paraId="78E1BF8D"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N</w:t>
            </w:r>
          </w:p>
        </w:tc>
        <w:tc>
          <w:tcPr>
            <w:tcW w:w="588" w:type="pct"/>
            <w:shd w:val="clear" w:color="auto" w:fill="auto"/>
            <w:vAlign w:val="bottom"/>
            <w:hideMark/>
          </w:tcPr>
          <w:p w14:paraId="077E8DA5"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 xml:space="preserve">MEDIUM </w:t>
            </w:r>
          </w:p>
        </w:tc>
      </w:tr>
      <w:tr w:rsidR="00B54D51" w:rsidRPr="00037AD4" w14:paraId="44A80D0E" w14:textId="77777777" w:rsidTr="00401C67">
        <w:trPr>
          <w:trHeight w:val="315"/>
        </w:trPr>
        <w:tc>
          <w:tcPr>
            <w:tcW w:w="477" w:type="pct"/>
            <w:shd w:val="clear" w:color="auto" w:fill="auto"/>
            <w:vAlign w:val="bottom"/>
            <w:hideMark/>
          </w:tcPr>
          <w:p w14:paraId="0A1C9FC1" w14:textId="77777777" w:rsidR="00B54D51" w:rsidRPr="00037AD4" w:rsidRDefault="00B54D51" w:rsidP="00401C67">
            <w:pPr>
              <w:rPr>
                <w:rFonts w:asciiTheme="minorHAnsi" w:hAnsiTheme="minorHAnsi" w:cstheme="minorHAnsi"/>
                <w:b/>
                <w:bCs/>
                <w:color w:val="000000"/>
                <w:sz w:val="22"/>
                <w:szCs w:val="22"/>
              </w:rPr>
            </w:pPr>
            <w:r w:rsidRPr="00037AD4">
              <w:rPr>
                <w:rFonts w:asciiTheme="minorHAnsi" w:hAnsiTheme="minorHAnsi" w:cstheme="minorHAnsi"/>
                <w:b/>
                <w:bCs/>
                <w:color w:val="000000"/>
                <w:sz w:val="22"/>
                <w:szCs w:val="22"/>
              </w:rPr>
              <w:t>Bonfiglio 2019</w:t>
            </w:r>
          </w:p>
        </w:tc>
        <w:tc>
          <w:tcPr>
            <w:tcW w:w="376" w:type="pct"/>
            <w:shd w:val="clear" w:color="auto" w:fill="auto"/>
            <w:vAlign w:val="bottom"/>
            <w:hideMark/>
          </w:tcPr>
          <w:p w14:paraId="07295674"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428" w:type="pct"/>
            <w:shd w:val="clear" w:color="auto" w:fill="auto"/>
            <w:vAlign w:val="bottom"/>
            <w:hideMark/>
          </w:tcPr>
          <w:p w14:paraId="57E6617A"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335" w:type="pct"/>
            <w:shd w:val="clear" w:color="auto" w:fill="auto"/>
            <w:vAlign w:val="bottom"/>
            <w:hideMark/>
          </w:tcPr>
          <w:p w14:paraId="3C366E25"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141</w:t>
            </w:r>
          </w:p>
        </w:tc>
        <w:tc>
          <w:tcPr>
            <w:tcW w:w="351" w:type="pct"/>
            <w:shd w:val="clear" w:color="auto" w:fill="auto"/>
            <w:vAlign w:val="bottom"/>
            <w:hideMark/>
          </w:tcPr>
          <w:p w14:paraId="0F2C5FB4"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522" w:type="pct"/>
            <w:shd w:val="clear" w:color="auto" w:fill="auto"/>
            <w:vAlign w:val="bottom"/>
            <w:hideMark/>
          </w:tcPr>
          <w:p w14:paraId="34604333"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438" w:type="pct"/>
            <w:shd w:val="clear" w:color="auto" w:fill="auto"/>
            <w:vAlign w:val="bottom"/>
            <w:hideMark/>
          </w:tcPr>
          <w:p w14:paraId="6BFEC7F4"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552" w:type="pct"/>
            <w:shd w:val="clear" w:color="auto" w:fill="auto"/>
            <w:vAlign w:val="bottom"/>
            <w:hideMark/>
          </w:tcPr>
          <w:p w14:paraId="2849BFF9"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346" w:type="pct"/>
          </w:tcPr>
          <w:p w14:paraId="30566F53"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N</w:t>
            </w:r>
          </w:p>
        </w:tc>
        <w:tc>
          <w:tcPr>
            <w:tcW w:w="586" w:type="pct"/>
            <w:shd w:val="clear" w:color="auto" w:fill="auto"/>
            <w:vAlign w:val="bottom"/>
            <w:hideMark/>
          </w:tcPr>
          <w:p w14:paraId="7EF9A202"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N</w:t>
            </w:r>
          </w:p>
        </w:tc>
        <w:tc>
          <w:tcPr>
            <w:tcW w:w="588" w:type="pct"/>
            <w:shd w:val="clear" w:color="auto" w:fill="auto"/>
            <w:vAlign w:val="bottom"/>
            <w:hideMark/>
          </w:tcPr>
          <w:p w14:paraId="49C92548"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MEDIUM</w:t>
            </w:r>
          </w:p>
        </w:tc>
      </w:tr>
      <w:tr w:rsidR="00B54D51" w:rsidRPr="00037AD4" w14:paraId="3DAF9541" w14:textId="77777777" w:rsidTr="00401C67">
        <w:trPr>
          <w:trHeight w:val="315"/>
        </w:trPr>
        <w:tc>
          <w:tcPr>
            <w:tcW w:w="477" w:type="pct"/>
            <w:shd w:val="clear" w:color="auto" w:fill="auto"/>
            <w:vAlign w:val="bottom"/>
            <w:hideMark/>
          </w:tcPr>
          <w:p w14:paraId="7E099A03" w14:textId="77777777" w:rsidR="00B54D51" w:rsidRPr="00037AD4" w:rsidRDefault="00B54D51" w:rsidP="00401C67">
            <w:pPr>
              <w:rPr>
                <w:rFonts w:asciiTheme="minorHAnsi" w:hAnsiTheme="minorHAnsi" w:cstheme="minorHAnsi"/>
                <w:b/>
                <w:bCs/>
                <w:color w:val="000000"/>
                <w:sz w:val="22"/>
                <w:szCs w:val="22"/>
              </w:rPr>
            </w:pPr>
            <w:r w:rsidRPr="00037AD4">
              <w:rPr>
                <w:rFonts w:asciiTheme="minorHAnsi" w:hAnsiTheme="minorHAnsi" w:cstheme="minorHAnsi"/>
                <w:b/>
                <w:bCs/>
                <w:color w:val="000000"/>
                <w:sz w:val="22"/>
                <w:szCs w:val="22"/>
              </w:rPr>
              <w:t xml:space="preserve">Bostrom 2007 </w:t>
            </w:r>
          </w:p>
        </w:tc>
        <w:tc>
          <w:tcPr>
            <w:tcW w:w="376" w:type="pct"/>
            <w:shd w:val="clear" w:color="auto" w:fill="auto"/>
            <w:vAlign w:val="bottom"/>
            <w:hideMark/>
          </w:tcPr>
          <w:p w14:paraId="516673AD"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428" w:type="pct"/>
            <w:shd w:val="clear" w:color="auto" w:fill="auto"/>
            <w:vAlign w:val="bottom"/>
            <w:hideMark/>
          </w:tcPr>
          <w:p w14:paraId="6270A729"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335" w:type="pct"/>
            <w:shd w:val="clear" w:color="auto" w:fill="auto"/>
            <w:vAlign w:val="bottom"/>
            <w:hideMark/>
          </w:tcPr>
          <w:p w14:paraId="16C9BEA4"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68</w:t>
            </w:r>
          </w:p>
        </w:tc>
        <w:tc>
          <w:tcPr>
            <w:tcW w:w="351" w:type="pct"/>
            <w:shd w:val="clear" w:color="auto" w:fill="auto"/>
            <w:vAlign w:val="bottom"/>
            <w:hideMark/>
          </w:tcPr>
          <w:p w14:paraId="54A35EE3"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522" w:type="pct"/>
            <w:shd w:val="clear" w:color="auto" w:fill="auto"/>
            <w:vAlign w:val="bottom"/>
            <w:hideMark/>
          </w:tcPr>
          <w:p w14:paraId="1A7C04FB"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438" w:type="pct"/>
            <w:shd w:val="clear" w:color="auto" w:fill="auto"/>
            <w:vAlign w:val="bottom"/>
            <w:hideMark/>
          </w:tcPr>
          <w:p w14:paraId="22D7D4D9"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552" w:type="pct"/>
            <w:shd w:val="clear" w:color="auto" w:fill="auto"/>
            <w:vAlign w:val="bottom"/>
            <w:hideMark/>
          </w:tcPr>
          <w:p w14:paraId="4D0D3D22"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346" w:type="pct"/>
          </w:tcPr>
          <w:p w14:paraId="0FEF12F4"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N</w:t>
            </w:r>
          </w:p>
        </w:tc>
        <w:tc>
          <w:tcPr>
            <w:tcW w:w="586" w:type="pct"/>
            <w:shd w:val="clear" w:color="auto" w:fill="auto"/>
            <w:vAlign w:val="bottom"/>
            <w:hideMark/>
          </w:tcPr>
          <w:p w14:paraId="61B6C6B2"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588" w:type="pct"/>
            <w:shd w:val="clear" w:color="auto" w:fill="auto"/>
            <w:vAlign w:val="bottom"/>
            <w:hideMark/>
          </w:tcPr>
          <w:p w14:paraId="3BF19360"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 xml:space="preserve">MEDIUM </w:t>
            </w:r>
          </w:p>
        </w:tc>
      </w:tr>
      <w:tr w:rsidR="00B54D51" w:rsidRPr="00037AD4" w14:paraId="5CFD5FB8" w14:textId="77777777" w:rsidTr="00401C67">
        <w:trPr>
          <w:trHeight w:val="315"/>
        </w:trPr>
        <w:tc>
          <w:tcPr>
            <w:tcW w:w="477" w:type="pct"/>
            <w:shd w:val="clear" w:color="auto" w:fill="auto"/>
            <w:vAlign w:val="bottom"/>
            <w:hideMark/>
          </w:tcPr>
          <w:p w14:paraId="13FDAE1D" w14:textId="77777777" w:rsidR="00B54D51" w:rsidRPr="00037AD4" w:rsidRDefault="00B54D51" w:rsidP="00401C67">
            <w:pPr>
              <w:rPr>
                <w:rFonts w:asciiTheme="minorHAnsi" w:hAnsiTheme="minorHAnsi" w:cstheme="minorHAnsi"/>
                <w:b/>
                <w:bCs/>
                <w:color w:val="000000"/>
                <w:sz w:val="22"/>
                <w:szCs w:val="22"/>
              </w:rPr>
            </w:pPr>
            <w:r w:rsidRPr="00037AD4">
              <w:rPr>
                <w:rFonts w:asciiTheme="minorHAnsi" w:hAnsiTheme="minorHAnsi" w:cstheme="minorHAnsi"/>
                <w:b/>
                <w:bCs/>
                <w:color w:val="000000"/>
                <w:sz w:val="22"/>
                <w:szCs w:val="22"/>
              </w:rPr>
              <w:t>Bryan 2005</w:t>
            </w:r>
          </w:p>
        </w:tc>
        <w:tc>
          <w:tcPr>
            <w:tcW w:w="376" w:type="pct"/>
            <w:shd w:val="clear" w:color="auto" w:fill="auto"/>
            <w:vAlign w:val="bottom"/>
            <w:hideMark/>
          </w:tcPr>
          <w:p w14:paraId="060D5DAA"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428" w:type="pct"/>
            <w:shd w:val="clear" w:color="auto" w:fill="auto"/>
            <w:vAlign w:val="bottom"/>
            <w:hideMark/>
          </w:tcPr>
          <w:p w14:paraId="49CEEF0A"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335" w:type="pct"/>
            <w:shd w:val="clear" w:color="auto" w:fill="auto"/>
            <w:vAlign w:val="bottom"/>
            <w:hideMark/>
          </w:tcPr>
          <w:p w14:paraId="22B539E3"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64</w:t>
            </w:r>
          </w:p>
        </w:tc>
        <w:tc>
          <w:tcPr>
            <w:tcW w:w="351" w:type="pct"/>
            <w:shd w:val="clear" w:color="auto" w:fill="auto"/>
            <w:vAlign w:val="bottom"/>
            <w:hideMark/>
          </w:tcPr>
          <w:p w14:paraId="1D7A787B"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522" w:type="pct"/>
            <w:shd w:val="clear" w:color="auto" w:fill="auto"/>
            <w:vAlign w:val="bottom"/>
            <w:hideMark/>
          </w:tcPr>
          <w:p w14:paraId="7E6CD74E"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438" w:type="pct"/>
            <w:shd w:val="clear" w:color="auto" w:fill="auto"/>
            <w:vAlign w:val="bottom"/>
            <w:hideMark/>
          </w:tcPr>
          <w:p w14:paraId="308CB643"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552" w:type="pct"/>
            <w:shd w:val="clear" w:color="auto" w:fill="auto"/>
            <w:vAlign w:val="bottom"/>
            <w:hideMark/>
          </w:tcPr>
          <w:p w14:paraId="2138E39C"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346" w:type="pct"/>
          </w:tcPr>
          <w:p w14:paraId="1E80A526" w14:textId="77777777" w:rsidR="00B54D51" w:rsidRPr="00037AD4" w:rsidRDefault="00B54D51" w:rsidP="00401C67">
            <w:pPr>
              <w:rPr>
                <w:rFonts w:asciiTheme="minorHAnsi" w:hAnsiTheme="minorHAnsi" w:cstheme="minorHAnsi"/>
                <w:color w:val="000000"/>
                <w:sz w:val="22"/>
                <w:szCs w:val="22"/>
              </w:rPr>
            </w:pPr>
          </w:p>
          <w:p w14:paraId="484C759A" w14:textId="77777777" w:rsidR="00B54D51" w:rsidRPr="00037AD4" w:rsidRDefault="00B54D51" w:rsidP="00401C67">
            <w:pPr>
              <w:rPr>
                <w:rFonts w:asciiTheme="minorHAnsi" w:hAnsiTheme="minorHAnsi" w:cstheme="minorHAnsi"/>
                <w:color w:val="000000"/>
                <w:sz w:val="22"/>
                <w:szCs w:val="22"/>
              </w:rPr>
            </w:pPr>
          </w:p>
          <w:p w14:paraId="384863C5"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586" w:type="pct"/>
            <w:shd w:val="clear" w:color="auto" w:fill="auto"/>
            <w:vAlign w:val="bottom"/>
            <w:hideMark/>
          </w:tcPr>
          <w:p w14:paraId="4C2859B4"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588" w:type="pct"/>
            <w:shd w:val="clear" w:color="auto" w:fill="auto"/>
            <w:vAlign w:val="bottom"/>
            <w:hideMark/>
          </w:tcPr>
          <w:p w14:paraId="43061FC3"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HIGH</w:t>
            </w:r>
          </w:p>
        </w:tc>
      </w:tr>
      <w:tr w:rsidR="00B54D51" w:rsidRPr="00037AD4" w14:paraId="2A61418E" w14:textId="77777777" w:rsidTr="00401C67">
        <w:trPr>
          <w:trHeight w:val="315"/>
        </w:trPr>
        <w:tc>
          <w:tcPr>
            <w:tcW w:w="477" w:type="pct"/>
            <w:shd w:val="clear" w:color="auto" w:fill="auto"/>
            <w:vAlign w:val="bottom"/>
            <w:hideMark/>
          </w:tcPr>
          <w:p w14:paraId="7F4DF48D" w14:textId="77777777" w:rsidR="00B54D51" w:rsidRPr="00037AD4" w:rsidRDefault="00B54D51" w:rsidP="00401C67">
            <w:pPr>
              <w:rPr>
                <w:rFonts w:asciiTheme="minorHAnsi" w:hAnsiTheme="minorHAnsi" w:cstheme="minorHAnsi"/>
                <w:b/>
                <w:bCs/>
                <w:color w:val="000000"/>
                <w:sz w:val="22"/>
                <w:szCs w:val="22"/>
              </w:rPr>
            </w:pPr>
            <w:r w:rsidRPr="00037AD4">
              <w:rPr>
                <w:rFonts w:asciiTheme="minorHAnsi" w:hAnsiTheme="minorHAnsi" w:cstheme="minorHAnsi"/>
                <w:b/>
                <w:bCs/>
                <w:color w:val="000000"/>
                <w:sz w:val="22"/>
                <w:szCs w:val="22"/>
              </w:rPr>
              <w:lastRenderedPageBreak/>
              <w:t>Castro-Monteiro 2014</w:t>
            </w:r>
          </w:p>
        </w:tc>
        <w:tc>
          <w:tcPr>
            <w:tcW w:w="376" w:type="pct"/>
            <w:shd w:val="clear" w:color="auto" w:fill="auto"/>
            <w:vAlign w:val="bottom"/>
            <w:hideMark/>
          </w:tcPr>
          <w:p w14:paraId="6CABB5D6"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428" w:type="pct"/>
            <w:shd w:val="clear" w:color="auto" w:fill="auto"/>
            <w:vAlign w:val="bottom"/>
            <w:hideMark/>
          </w:tcPr>
          <w:p w14:paraId="126BD33F"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335" w:type="pct"/>
            <w:shd w:val="clear" w:color="auto" w:fill="auto"/>
            <w:vAlign w:val="bottom"/>
            <w:hideMark/>
          </w:tcPr>
          <w:p w14:paraId="4D93DF25"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274</w:t>
            </w:r>
          </w:p>
        </w:tc>
        <w:tc>
          <w:tcPr>
            <w:tcW w:w="351" w:type="pct"/>
            <w:shd w:val="clear" w:color="auto" w:fill="auto"/>
            <w:vAlign w:val="bottom"/>
            <w:hideMark/>
          </w:tcPr>
          <w:p w14:paraId="3CE45E51"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522" w:type="pct"/>
            <w:shd w:val="clear" w:color="auto" w:fill="auto"/>
            <w:vAlign w:val="bottom"/>
            <w:hideMark/>
          </w:tcPr>
          <w:p w14:paraId="20031508" w14:textId="77777777" w:rsidR="00B54D51" w:rsidRPr="00037AD4" w:rsidRDefault="00B54D51" w:rsidP="00401C67">
            <w:pPr>
              <w:rPr>
                <w:rFonts w:asciiTheme="minorHAnsi" w:hAnsiTheme="minorHAnsi" w:cstheme="minorHAnsi"/>
                <w:color w:val="000000"/>
                <w:sz w:val="22"/>
                <w:szCs w:val="22"/>
              </w:rPr>
            </w:pPr>
          </w:p>
          <w:p w14:paraId="314A91F3"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438" w:type="pct"/>
            <w:shd w:val="clear" w:color="auto" w:fill="auto"/>
            <w:vAlign w:val="bottom"/>
            <w:hideMark/>
          </w:tcPr>
          <w:p w14:paraId="14CDDA0B"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552" w:type="pct"/>
            <w:shd w:val="clear" w:color="auto" w:fill="auto"/>
            <w:vAlign w:val="bottom"/>
            <w:hideMark/>
          </w:tcPr>
          <w:p w14:paraId="38328567"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346" w:type="pct"/>
          </w:tcPr>
          <w:p w14:paraId="05349D1C" w14:textId="77777777" w:rsidR="00B54D51" w:rsidRPr="00037AD4" w:rsidRDefault="00B54D51" w:rsidP="00401C67">
            <w:pPr>
              <w:rPr>
                <w:rFonts w:asciiTheme="minorHAnsi" w:hAnsiTheme="minorHAnsi" w:cstheme="minorHAnsi"/>
                <w:color w:val="000000"/>
                <w:sz w:val="22"/>
                <w:szCs w:val="22"/>
              </w:rPr>
            </w:pPr>
          </w:p>
          <w:p w14:paraId="4E7BE2BC" w14:textId="77777777" w:rsidR="00B54D51" w:rsidRPr="00037AD4" w:rsidRDefault="00B54D51" w:rsidP="00401C67">
            <w:pPr>
              <w:rPr>
                <w:rFonts w:asciiTheme="minorHAnsi" w:hAnsiTheme="minorHAnsi" w:cstheme="minorHAnsi"/>
                <w:color w:val="000000"/>
                <w:sz w:val="22"/>
                <w:szCs w:val="22"/>
              </w:rPr>
            </w:pPr>
          </w:p>
          <w:p w14:paraId="01B61C8B"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N</w:t>
            </w:r>
          </w:p>
        </w:tc>
        <w:tc>
          <w:tcPr>
            <w:tcW w:w="586" w:type="pct"/>
            <w:shd w:val="clear" w:color="auto" w:fill="auto"/>
            <w:vAlign w:val="bottom"/>
            <w:hideMark/>
          </w:tcPr>
          <w:p w14:paraId="4271B698"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588" w:type="pct"/>
            <w:shd w:val="clear" w:color="auto" w:fill="auto"/>
            <w:vAlign w:val="bottom"/>
            <w:hideMark/>
          </w:tcPr>
          <w:p w14:paraId="1F76C49B"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HIGH</w:t>
            </w:r>
          </w:p>
        </w:tc>
      </w:tr>
      <w:tr w:rsidR="00B54D51" w:rsidRPr="00037AD4" w14:paraId="7E9D3399" w14:textId="77777777" w:rsidTr="00401C67">
        <w:trPr>
          <w:trHeight w:val="315"/>
        </w:trPr>
        <w:tc>
          <w:tcPr>
            <w:tcW w:w="477" w:type="pct"/>
            <w:shd w:val="clear" w:color="auto" w:fill="auto"/>
            <w:vAlign w:val="bottom"/>
            <w:hideMark/>
          </w:tcPr>
          <w:p w14:paraId="701CB6DB" w14:textId="77777777" w:rsidR="00B54D51" w:rsidRPr="00037AD4" w:rsidRDefault="00B54D51" w:rsidP="00401C67">
            <w:pPr>
              <w:rPr>
                <w:rFonts w:asciiTheme="minorHAnsi" w:hAnsiTheme="minorHAnsi" w:cstheme="minorHAnsi"/>
                <w:b/>
                <w:bCs/>
                <w:color w:val="000000"/>
                <w:sz w:val="22"/>
                <w:szCs w:val="22"/>
              </w:rPr>
            </w:pPr>
            <w:r w:rsidRPr="00037AD4">
              <w:rPr>
                <w:rFonts w:asciiTheme="minorHAnsi" w:hAnsiTheme="minorHAnsi" w:cstheme="minorHAnsi"/>
                <w:b/>
                <w:bCs/>
                <w:color w:val="000000"/>
                <w:sz w:val="22"/>
                <w:szCs w:val="22"/>
              </w:rPr>
              <w:t xml:space="preserve">Diaz-Redondo 2014 </w:t>
            </w:r>
          </w:p>
        </w:tc>
        <w:tc>
          <w:tcPr>
            <w:tcW w:w="376" w:type="pct"/>
            <w:shd w:val="clear" w:color="auto" w:fill="auto"/>
            <w:vAlign w:val="bottom"/>
            <w:hideMark/>
          </w:tcPr>
          <w:p w14:paraId="189FDA56"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428" w:type="pct"/>
            <w:shd w:val="clear" w:color="auto" w:fill="auto"/>
            <w:vAlign w:val="bottom"/>
            <w:hideMark/>
          </w:tcPr>
          <w:p w14:paraId="4787C293"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335" w:type="pct"/>
            <w:shd w:val="clear" w:color="auto" w:fill="auto"/>
            <w:vAlign w:val="bottom"/>
            <w:hideMark/>
          </w:tcPr>
          <w:p w14:paraId="3E40571F"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545</w:t>
            </w:r>
          </w:p>
        </w:tc>
        <w:tc>
          <w:tcPr>
            <w:tcW w:w="351" w:type="pct"/>
            <w:shd w:val="clear" w:color="auto" w:fill="auto"/>
            <w:vAlign w:val="bottom"/>
            <w:hideMark/>
          </w:tcPr>
          <w:p w14:paraId="455B124F"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522" w:type="pct"/>
            <w:shd w:val="clear" w:color="auto" w:fill="auto"/>
            <w:vAlign w:val="bottom"/>
            <w:hideMark/>
          </w:tcPr>
          <w:p w14:paraId="51DA3691" w14:textId="77777777" w:rsidR="00B54D51" w:rsidRPr="00037AD4" w:rsidRDefault="00B54D51" w:rsidP="00401C67">
            <w:pPr>
              <w:rPr>
                <w:rFonts w:asciiTheme="minorHAnsi" w:hAnsiTheme="minorHAnsi" w:cstheme="minorHAnsi"/>
                <w:color w:val="000000"/>
                <w:sz w:val="22"/>
                <w:szCs w:val="22"/>
              </w:rPr>
            </w:pPr>
          </w:p>
          <w:p w14:paraId="3B6C38A9"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N</w:t>
            </w:r>
          </w:p>
        </w:tc>
        <w:tc>
          <w:tcPr>
            <w:tcW w:w="438" w:type="pct"/>
            <w:shd w:val="clear" w:color="auto" w:fill="auto"/>
            <w:vAlign w:val="bottom"/>
            <w:hideMark/>
          </w:tcPr>
          <w:p w14:paraId="41C67905"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552" w:type="pct"/>
            <w:shd w:val="clear" w:color="auto" w:fill="auto"/>
            <w:vAlign w:val="bottom"/>
            <w:hideMark/>
          </w:tcPr>
          <w:p w14:paraId="761D958C"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346" w:type="pct"/>
          </w:tcPr>
          <w:p w14:paraId="67FF08CE" w14:textId="77777777" w:rsidR="00B54D51" w:rsidRPr="00037AD4" w:rsidRDefault="00B54D51" w:rsidP="00401C67">
            <w:pPr>
              <w:rPr>
                <w:rFonts w:asciiTheme="minorHAnsi" w:hAnsiTheme="minorHAnsi" w:cstheme="minorHAnsi"/>
                <w:color w:val="000000"/>
                <w:sz w:val="22"/>
                <w:szCs w:val="22"/>
              </w:rPr>
            </w:pPr>
          </w:p>
          <w:p w14:paraId="3E01A4DF" w14:textId="77777777" w:rsidR="00B54D51" w:rsidRPr="00037AD4" w:rsidRDefault="00B54D51" w:rsidP="00401C67">
            <w:pPr>
              <w:rPr>
                <w:rFonts w:asciiTheme="minorHAnsi" w:hAnsiTheme="minorHAnsi" w:cstheme="minorHAnsi"/>
                <w:color w:val="000000"/>
                <w:sz w:val="22"/>
                <w:szCs w:val="22"/>
              </w:rPr>
            </w:pPr>
          </w:p>
          <w:p w14:paraId="601ED747"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586" w:type="pct"/>
            <w:shd w:val="clear" w:color="auto" w:fill="auto"/>
            <w:vAlign w:val="bottom"/>
            <w:hideMark/>
          </w:tcPr>
          <w:p w14:paraId="1A359796"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588" w:type="pct"/>
            <w:shd w:val="clear" w:color="auto" w:fill="auto"/>
            <w:vAlign w:val="bottom"/>
            <w:hideMark/>
          </w:tcPr>
          <w:p w14:paraId="15051256"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HIGH</w:t>
            </w:r>
          </w:p>
        </w:tc>
      </w:tr>
      <w:tr w:rsidR="00B54D51" w:rsidRPr="00037AD4" w14:paraId="6CDD2E09" w14:textId="77777777" w:rsidTr="00401C67">
        <w:trPr>
          <w:trHeight w:val="315"/>
        </w:trPr>
        <w:tc>
          <w:tcPr>
            <w:tcW w:w="477" w:type="pct"/>
            <w:shd w:val="clear" w:color="auto" w:fill="auto"/>
            <w:vAlign w:val="bottom"/>
            <w:hideMark/>
          </w:tcPr>
          <w:p w14:paraId="6FD163EC" w14:textId="77777777" w:rsidR="00B54D51" w:rsidRPr="00037AD4" w:rsidRDefault="00B54D51" w:rsidP="00401C67">
            <w:pPr>
              <w:rPr>
                <w:rFonts w:asciiTheme="minorHAnsi" w:hAnsiTheme="minorHAnsi" w:cstheme="minorHAnsi"/>
                <w:b/>
                <w:bCs/>
                <w:color w:val="000000"/>
                <w:sz w:val="22"/>
                <w:szCs w:val="22"/>
              </w:rPr>
            </w:pPr>
            <w:r w:rsidRPr="00037AD4">
              <w:rPr>
                <w:rFonts w:asciiTheme="minorHAnsi" w:hAnsiTheme="minorHAnsi" w:cstheme="minorHAnsi"/>
                <w:b/>
                <w:bCs/>
                <w:color w:val="000000"/>
                <w:sz w:val="22"/>
                <w:szCs w:val="22"/>
              </w:rPr>
              <w:t xml:space="preserve">Easton 2018 </w:t>
            </w:r>
          </w:p>
        </w:tc>
        <w:tc>
          <w:tcPr>
            <w:tcW w:w="376" w:type="pct"/>
            <w:shd w:val="clear" w:color="auto" w:fill="auto"/>
            <w:vAlign w:val="bottom"/>
            <w:hideMark/>
          </w:tcPr>
          <w:p w14:paraId="4EF351F0"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428" w:type="pct"/>
            <w:shd w:val="clear" w:color="auto" w:fill="auto"/>
            <w:vAlign w:val="bottom"/>
            <w:hideMark/>
          </w:tcPr>
          <w:p w14:paraId="679B521B"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335" w:type="pct"/>
            <w:shd w:val="clear" w:color="auto" w:fill="auto"/>
            <w:vAlign w:val="bottom"/>
            <w:hideMark/>
          </w:tcPr>
          <w:p w14:paraId="4CA9C18E"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541</w:t>
            </w:r>
          </w:p>
        </w:tc>
        <w:tc>
          <w:tcPr>
            <w:tcW w:w="351" w:type="pct"/>
            <w:shd w:val="clear" w:color="auto" w:fill="auto"/>
            <w:vAlign w:val="bottom"/>
            <w:hideMark/>
          </w:tcPr>
          <w:p w14:paraId="27734612"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522" w:type="pct"/>
            <w:shd w:val="clear" w:color="auto" w:fill="auto"/>
            <w:vAlign w:val="bottom"/>
            <w:hideMark/>
          </w:tcPr>
          <w:p w14:paraId="0C53E015" w14:textId="77777777" w:rsidR="00B54D51" w:rsidRPr="00037AD4" w:rsidRDefault="00B54D51" w:rsidP="00401C67">
            <w:pPr>
              <w:rPr>
                <w:rFonts w:asciiTheme="minorHAnsi" w:hAnsiTheme="minorHAnsi" w:cstheme="minorHAnsi"/>
                <w:color w:val="000000"/>
                <w:sz w:val="22"/>
                <w:szCs w:val="22"/>
              </w:rPr>
            </w:pPr>
          </w:p>
          <w:p w14:paraId="08C83A4F"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438" w:type="pct"/>
            <w:shd w:val="clear" w:color="auto" w:fill="auto"/>
            <w:vAlign w:val="bottom"/>
            <w:hideMark/>
          </w:tcPr>
          <w:p w14:paraId="0471906A"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552" w:type="pct"/>
            <w:shd w:val="clear" w:color="auto" w:fill="auto"/>
            <w:vAlign w:val="bottom"/>
            <w:hideMark/>
          </w:tcPr>
          <w:p w14:paraId="13BDF054"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346" w:type="pct"/>
          </w:tcPr>
          <w:p w14:paraId="78B9745E" w14:textId="77777777" w:rsidR="00B54D51" w:rsidRPr="00037AD4" w:rsidRDefault="00B54D51" w:rsidP="00401C67">
            <w:pPr>
              <w:rPr>
                <w:rFonts w:asciiTheme="minorHAnsi" w:hAnsiTheme="minorHAnsi" w:cstheme="minorHAnsi"/>
                <w:color w:val="000000"/>
                <w:sz w:val="22"/>
                <w:szCs w:val="22"/>
              </w:rPr>
            </w:pPr>
          </w:p>
          <w:p w14:paraId="7DB240A4" w14:textId="77777777" w:rsidR="00B54D51" w:rsidRPr="00037AD4" w:rsidRDefault="00B54D51" w:rsidP="00401C67">
            <w:pPr>
              <w:rPr>
                <w:rFonts w:asciiTheme="minorHAnsi" w:hAnsiTheme="minorHAnsi" w:cstheme="minorHAnsi"/>
                <w:color w:val="000000"/>
                <w:sz w:val="22"/>
                <w:szCs w:val="22"/>
              </w:rPr>
            </w:pPr>
          </w:p>
          <w:p w14:paraId="3A66D594"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586" w:type="pct"/>
            <w:shd w:val="clear" w:color="auto" w:fill="auto"/>
            <w:vAlign w:val="bottom"/>
            <w:hideMark/>
          </w:tcPr>
          <w:p w14:paraId="161C6E4D" w14:textId="77777777" w:rsidR="00B54D51" w:rsidRPr="00037AD4" w:rsidRDefault="00B54D51" w:rsidP="00401C67">
            <w:pPr>
              <w:rPr>
                <w:rFonts w:asciiTheme="minorHAnsi" w:hAnsiTheme="minorHAnsi" w:cstheme="minorHAnsi"/>
                <w:color w:val="000000"/>
                <w:sz w:val="22"/>
                <w:szCs w:val="22"/>
              </w:rPr>
            </w:pPr>
          </w:p>
          <w:p w14:paraId="5BC04A26"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N</w:t>
            </w:r>
          </w:p>
        </w:tc>
        <w:tc>
          <w:tcPr>
            <w:tcW w:w="588" w:type="pct"/>
            <w:shd w:val="clear" w:color="auto" w:fill="auto"/>
            <w:vAlign w:val="bottom"/>
            <w:hideMark/>
          </w:tcPr>
          <w:p w14:paraId="7AE98D43"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HIGH</w:t>
            </w:r>
          </w:p>
        </w:tc>
      </w:tr>
      <w:tr w:rsidR="00B54D51" w:rsidRPr="00037AD4" w14:paraId="1FE8896C" w14:textId="77777777" w:rsidTr="00401C67">
        <w:trPr>
          <w:trHeight w:val="315"/>
        </w:trPr>
        <w:tc>
          <w:tcPr>
            <w:tcW w:w="477" w:type="pct"/>
            <w:shd w:val="clear" w:color="auto" w:fill="auto"/>
            <w:vAlign w:val="bottom"/>
            <w:hideMark/>
          </w:tcPr>
          <w:p w14:paraId="7C3C0248" w14:textId="77777777" w:rsidR="00B54D51" w:rsidRPr="00037AD4" w:rsidRDefault="00B54D51" w:rsidP="00401C67">
            <w:pPr>
              <w:rPr>
                <w:rFonts w:asciiTheme="minorHAnsi" w:hAnsiTheme="minorHAnsi" w:cstheme="minorHAnsi"/>
                <w:b/>
                <w:bCs/>
                <w:color w:val="000000"/>
                <w:sz w:val="22"/>
                <w:szCs w:val="22"/>
              </w:rPr>
            </w:pPr>
            <w:r w:rsidRPr="00037AD4">
              <w:rPr>
                <w:rFonts w:asciiTheme="minorHAnsi" w:hAnsiTheme="minorHAnsi" w:cstheme="minorHAnsi"/>
                <w:b/>
                <w:bCs/>
                <w:color w:val="000000"/>
                <w:sz w:val="22"/>
                <w:szCs w:val="22"/>
              </w:rPr>
              <w:t xml:space="preserve">Ersek 2010 </w:t>
            </w:r>
          </w:p>
        </w:tc>
        <w:tc>
          <w:tcPr>
            <w:tcW w:w="376" w:type="pct"/>
            <w:shd w:val="clear" w:color="auto" w:fill="auto"/>
            <w:vAlign w:val="bottom"/>
            <w:hideMark/>
          </w:tcPr>
          <w:p w14:paraId="25307D78"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428" w:type="pct"/>
            <w:shd w:val="clear" w:color="auto" w:fill="auto"/>
            <w:vAlign w:val="bottom"/>
            <w:hideMark/>
          </w:tcPr>
          <w:p w14:paraId="504A1B11"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335" w:type="pct"/>
            <w:shd w:val="clear" w:color="auto" w:fill="auto"/>
            <w:vAlign w:val="bottom"/>
            <w:hideMark/>
          </w:tcPr>
          <w:p w14:paraId="45FD370A"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88</w:t>
            </w:r>
          </w:p>
        </w:tc>
        <w:tc>
          <w:tcPr>
            <w:tcW w:w="351" w:type="pct"/>
            <w:shd w:val="clear" w:color="auto" w:fill="auto"/>
            <w:vAlign w:val="bottom"/>
            <w:hideMark/>
          </w:tcPr>
          <w:p w14:paraId="1E3548A3"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522" w:type="pct"/>
            <w:shd w:val="clear" w:color="auto" w:fill="auto"/>
            <w:vAlign w:val="bottom"/>
            <w:hideMark/>
          </w:tcPr>
          <w:p w14:paraId="7D304C0F" w14:textId="77777777" w:rsidR="00B54D51" w:rsidRPr="00037AD4" w:rsidRDefault="00B54D51" w:rsidP="00401C67">
            <w:pPr>
              <w:rPr>
                <w:rFonts w:asciiTheme="minorHAnsi" w:hAnsiTheme="minorHAnsi" w:cstheme="minorHAnsi"/>
                <w:color w:val="000000"/>
                <w:sz w:val="22"/>
                <w:szCs w:val="22"/>
              </w:rPr>
            </w:pPr>
          </w:p>
          <w:p w14:paraId="40E2DA27"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N</w:t>
            </w:r>
          </w:p>
        </w:tc>
        <w:tc>
          <w:tcPr>
            <w:tcW w:w="438" w:type="pct"/>
            <w:shd w:val="clear" w:color="auto" w:fill="auto"/>
            <w:vAlign w:val="bottom"/>
            <w:hideMark/>
          </w:tcPr>
          <w:p w14:paraId="59D7EA00"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552" w:type="pct"/>
            <w:shd w:val="clear" w:color="auto" w:fill="auto"/>
            <w:vAlign w:val="bottom"/>
            <w:hideMark/>
          </w:tcPr>
          <w:p w14:paraId="4B38E80D"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346" w:type="pct"/>
          </w:tcPr>
          <w:p w14:paraId="612B23B2" w14:textId="77777777" w:rsidR="00B54D51" w:rsidRPr="00037AD4" w:rsidRDefault="00B54D51" w:rsidP="00401C67">
            <w:pPr>
              <w:rPr>
                <w:rFonts w:asciiTheme="minorHAnsi" w:hAnsiTheme="minorHAnsi" w:cstheme="minorHAnsi"/>
                <w:color w:val="000000"/>
                <w:sz w:val="22"/>
                <w:szCs w:val="22"/>
              </w:rPr>
            </w:pPr>
          </w:p>
          <w:p w14:paraId="4F054FDC" w14:textId="77777777" w:rsidR="00B54D51" w:rsidRPr="00037AD4" w:rsidRDefault="00B54D51" w:rsidP="00401C67">
            <w:pPr>
              <w:rPr>
                <w:rFonts w:asciiTheme="minorHAnsi" w:hAnsiTheme="minorHAnsi" w:cstheme="minorHAnsi"/>
                <w:color w:val="000000"/>
                <w:sz w:val="22"/>
                <w:szCs w:val="22"/>
              </w:rPr>
            </w:pPr>
          </w:p>
          <w:p w14:paraId="19D58FDA"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N</w:t>
            </w:r>
          </w:p>
        </w:tc>
        <w:tc>
          <w:tcPr>
            <w:tcW w:w="586" w:type="pct"/>
            <w:shd w:val="clear" w:color="auto" w:fill="auto"/>
            <w:vAlign w:val="bottom"/>
            <w:hideMark/>
          </w:tcPr>
          <w:p w14:paraId="30FC6B5F"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588" w:type="pct"/>
            <w:shd w:val="clear" w:color="auto" w:fill="auto"/>
            <w:vAlign w:val="bottom"/>
            <w:hideMark/>
          </w:tcPr>
          <w:p w14:paraId="5EAFF8CC"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 xml:space="preserve">MEDIUM </w:t>
            </w:r>
          </w:p>
        </w:tc>
      </w:tr>
      <w:tr w:rsidR="00B54D51" w:rsidRPr="00037AD4" w14:paraId="751AE604" w14:textId="77777777" w:rsidTr="00401C67">
        <w:trPr>
          <w:trHeight w:val="315"/>
        </w:trPr>
        <w:tc>
          <w:tcPr>
            <w:tcW w:w="477" w:type="pct"/>
            <w:shd w:val="clear" w:color="auto" w:fill="auto"/>
            <w:vAlign w:val="bottom"/>
            <w:hideMark/>
          </w:tcPr>
          <w:p w14:paraId="36ECA982" w14:textId="77777777" w:rsidR="00B54D51" w:rsidRPr="00037AD4" w:rsidRDefault="00B54D51" w:rsidP="00401C67">
            <w:pPr>
              <w:rPr>
                <w:rFonts w:asciiTheme="minorHAnsi" w:hAnsiTheme="minorHAnsi" w:cstheme="minorHAnsi"/>
                <w:b/>
                <w:bCs/>
                <w:color w:val="000000"/>
                <w:sz w:val="22"/>
                <w:szCs w:val="22"/>
              </w:rPr>
            </w:pPr>
            <w:r w:rsidRPr="00037AD4">
              <w:rPr>
                <w:rFonts w:asciiTheme="minorHAnsi" w:hAnsiTheme="minorHAnsi" w:cstheme="minorHAnsi"/>
                <w:b/>
                <w:bCs/>
                <w:color w:val="000000"/>
                <w:sz w:val="22"/>
                <w:szCs w:val="22"/>
              </w:rPr>
              <w:t xml:space="preserve">Farina 2020  </w:t>
            </w:r>
          </w:p>
        </w:tc>
        <w:tc>
          <w:tcPr>
            <w:tcW w:w="376" w:type="pct"/>
            <w:shd w:val="clear" w:color="auto" w:fill="auto"/>
            <w:vAlign w:val="bottom"/>
            <w:hideMark/>
          </w:tcPr>
          <w:p w14:paraId="302FBFB0"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428" w:type="pct"/>
            <w:shd w:val="clear" w:color="auto" w:fill="auto"/>
            <w:vAlign w:val="bottom"/>
            <w:hideMark/>
          </w:tcPr>
          <w:p w14:paraId="32D98626"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335" w:type="pct"/>
            <w:shd w:val="clear" w:color="auto" w:fill="auto"/>
            <w:vAlign w:val="bottom"/>
            <w:hideMark/>
          </w:tcPr>
          <w:p w14:paraId="5DFC3705"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307</w:t>
            </w:r>
          </w:p>
        </w:tc>
        <w:tc>
          <w:tcPr>
            <w:tcW w:w="351" w:type="pct"/>
            <w:shd w:val="clear" w:color="auto" w:fill="auto"/>
            <w:vAlign w:val="bottom"/>
            <w:hideMark/>
          </w:tcPr>
          <w:p w14:paraId="2FD7A524"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522" w:type="pct"/>
            <w:shd w:val="clear" w:color="auto" w:fill="auto"/>
            <w:vAlign w:val="bottom"/>
            <w:hideMark/>
          </w:tcPr>
          <w:p w14:paraId="7EE7263F" w14:textId="77777777" w:rsidR="00B54D51" w:rsidRPr="00037AD4" w:rsidRDefault="00B54D51" w:rsidP="00401C67">
            <w:pPr>
              <w:rPr>
                <w:rFonts w:asciiTheme="minorHAnsi" w:hAnsiTheme="minorHAnsi" w:cstheme="minorHAnsi"/>
                <w:color w:val="000000"/>
                <w:sz w:val="22"/>
                <w:szCs w:val="22"/>
              </w:rPr>
            </w:pPr>
          </w:p>
          <w:p w14:paraId="04B34CBB"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438" w:type="pct"/>
            <w:shd w:val="clear" w:color="auto" w:fill="auto"/>
            <w:vAlign w:val="bottom"/>
            <w:hideMark/>
          </w:tcPr>
          <w:p w14:paraId="6D934F90"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552" w:type="pct"/>
            <w:shd w:val="clear" w:color="auto" w:fill="auto"/>
            <w:vAlign w:val="bottom"/>
            <w:hideMark/>
          </w:tcPr>
          <w:p w14:paraId="476038E7"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346" w:type="pct"/>
          </w:tcPr>
          <w:p w14:paraId="5173DDD8" w14:textId="77777777" w:rsidR="00B54D51" w:rsidRPr="00037AD4" w:rsidRDefault="00B54D51" w:rsidP="00401C67">
            <w:pPr>
              <w:rPr>
                <w:rFonts w:asciiTheme="minorHAnsi" w:hAnsiTheme="minorHAnsi" w:cstheme="minorHAnsi"/>
                <w:color w:val="000000"/>
                <w:sz w:val="22"/>
                <w:szCs w:val="22"/>
              </w:rPr>
            </w:pPr>
          </w:p>
          <w:p w14:paraId="65127ED5" w14:textId="77777777" w:rsidR="00B54D51" w:rsidRPr="00037AD4" w:rsidRDefault="00B54D51" w:rsidP="00401C67">
            <w:pPr>
              <w:rPr>
                <w:rFonts w:asciiTheme="minorHAnsi" w:hAnsiTheme="minorHAnsi" w:cstheme="minorHAnsi"/>
                <w:color w:val="000000"/>
                <w:sz w:val="22"/>
                <w:szCs w:val="22"/>
              </w:rPr>
            </w:pPr>
          </w:p>
          <w:p w14:paraId="1198A9A4"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N</w:t>
            </w:r>
          </w:p>
        </w:tc>
        <w:tc>
          <w:tcPr>
            <w:tcW w:w="586" w:type="pct"/>
            <w:shd w:val="clear" w:color="auto" w:fill="auto"/>
            <w:vAlign w:val="bottom"/>
            <w:hideMark/>
          </w:tcPr>
          <w:p w14:paraId="28B0C083"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588" w:type="pct"/>
            <w:shd w:val="clear" w:color="auto" w:fill="auto"/>
            <w:vAlign w:val="bottom"/>
            <w:hideMark/>
          </w:tcPr>
          <w:p w14:paraId="1FD62374"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HIGH</w:t>
            </w:r>
          </w:p>
        </w:tc>
      </w:tr>
      <w:tr w:rsidR="00B54D51" w:rsidRPr="00037AD4" w14:paraId="293B957B" w14:textId="77777777" w:rsidTr="00401C67">
        <w:trPr>
          <w:trHeight w:val="315"/>
        </w:trPr>
        <w:tc>
          <w:tcPr>
            <w:tcW w:w="477" w:type="pct"/>
            <w:shd w:val="clear" w:color="auto" w:fill="auto"/>
            <w:vAlign w:val="bottom"/>
            <w:hideMark/>
          </w:tcPr>
          <w:p w14:paraId="23F70F3B" w14:textId="77777777" w:rsidR="00B54D51" w:rsidRPr="00037AD4" w:rsidRDefault="00B54D51" w:rsidP="00401C67">
            <w:pPr>
              <w:rPr>
                <w:rFonts w:asciiTheme="minorHAnsi" w:hAnsiTheme="minorHAnsi" w:cstheme="minorHAnsi"/>
                <w:b/>
                <w:bCs/>
                <w:color w:val="000000"/>
                <w:sz w:val="22"/>
                <w:szCs w:val="22"/>
              </w:rPr>
            </w:pPr>
            <w:r w:rsidRPr="00037AD4">
              <w:rPr>
                <w:rFonts w:asciiTheme="minorHAnsi" w:hAnsiTheme="minorHAnsi" w:cstheme="minorHAnsi"/>
                <w:b/>
                <w:bCs/>
                <w:color w:val="000000"/>
                <w:sz w:val="22"/>
                <w:szCs w:val="22"/>
              </w:rPr>
              <w:t>Garre-Olmo 2017</w:t>
            </w:r>
          </w:p>
        </w:tc>
        <w:tc>
          <w:tcPr>
            <w:tcW w:w="376" w:type="pct"/>
            <w:shd w:val="clear" w:color="auto" w:fill="auto"/>
            <w:vAlign w:val="bottom"/>
            <w:hideMark/>
          </w:tcPr>
          <w:p w14:paraId="581013F0"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428" w:type="pct"/>
            <w:shd w:val="clear" w:color="auto" w:fill="auto"/>
            <w:vAlign w:val="bottom"/>
            <w:hideMark/>
          </w:tcPr>
          <w:p w14:paraId="7BD9BF4B"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335" w:type="pct"/>
            <w:shd w:val="clear" w:color="auto" w:fill="auto"/>
            <w:vAlign w:val="bottom"/>
            <w:hideMark/>
          </w:tcPr>
          <w:p w14:paraId="6B8C89AB"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343</w:t>
            </w:r>
          </w:p>
        </w:tc>
        <w:tc>
          <w:tcPr>
            <w:tcW w:w="351" w:type="pct"/>
            <w:shd w:val="clear" w:color="auto" w:fill="auto"/>
            <w:vAlign w:val="bottom"/>
            <w:hideMark/>
          </w:tcPr>
          <w:p w14:paraId="098A54D8"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522" w:type="pct"/>
            <w:shd w:val="clear" w:color="auto" w:fill="auto"/>
            <w:vAlign w:val="bottom"/>
            <w:hideMark/>
          </w:tcPr>
          <w:p w14:paraId="1AE58F5A" w14:textId="77777777" w:rsidR="00B54D51" w:rsidRPr="00037AD4" w:rsidRDefault="00B54D51" w:rsidP="00401C67">
            <w:pPr>
              <w:rPr>
                <w:rFonts w:asciiTheme="minorHAnsi" w:hAnsiTheme="minorHAnsi" w:cstheme="minorHAnsi"/>
                <w:color w:val="000000"/>
                <w:sz w:val="22"/>
                <w:szCs w:val="22"/>
              </w:rPr>
            </w:pPr>
          </w:p>
          <w:p w14:paraId="73B941F7"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438" w:type="pct"/>
            <w:shd w:val="clear" w:color="auto" w:fill="auto"/>
            <w:vAlign w:val="bottom"/>
            <w:hideMark/>
          </w:tcPr>
          <w:p w14:paraId="25248B81"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552" w:type="pct"/>
            <w:shd w:val="clear" w:color="auto" w:fill="auto"/>
            <w:vAlign w:val="bottom"/>
            <w:hideMark/>
          </w:tcPr>
          <w:p w14:paraId="0608A790"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346" w:type="pct"/>
          </w:tcPr>
          <w:p w14:paraId="1510EEAC" w14:textId="77777777" w:rsidR="00B54D51" w:rsidRPr="00037AD4" w:rsidRDefault="00B54D51" w:rsidP="00401C67">
            <w:pPr>
              <w:rPr>
                <w:rFonts w:asciiTheme="minorHAnsi" w:hAnsiTheme="minorHAnsi" w:cstheme="minorHAnsi"/>
                <w:color w:val="000000"/>
                <w:sz w:val="22"/>
                <w:szCs w:val="22"/>
              </w:rPr>
            </w:pPr>
          </w:p>
          <w:p w14:paraId="45A0E82B" w14:textId="77777777" w:rsidR="00B54D51" w:rsidRPr="00037AD4" w:rsidRDefault="00B54D51" w:rsidP="00401C67">
            <w:pPr>
              <w:rPr>
                <w:rFonts w:asciiTheme="minorHAnsi" w:hAnsiTheme="minorHAnsi" w:cstheme="minorHAnsi"/>
                <w:color w:val="000000"/>
                <w:sz w:val="22"/>
                <w:szCs w:val="22"/>
              </w:rPr>
            </w:pPr>
          </w:p>
          <w:p w14:paraId="48F78F7D"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N</w:t>
            </w:r>
          </w:p>
        </w:tc>
        <w:tc>
          <w:tcPr>
            <w:tcW w:w="586" w:type="pct"/>
            <w:shd w:val="clear" w:color="auto" w:fill="auto"/>
            <w:vAlign w:val="bottom"/>
            <w:hideMark/>
          </w:tcPr>
          <w:p w14:paraId="5C488E64" w14:textId="77777777" w:rsidR="00B54D51" w:rsidRPr="00037AD4" w:rsidRDefault="00B54D51" w:rsidP="00401C67">
            <w:pPr>
              <w:rPr>
                <w:rFonts w:asciiTheme="minorHAnsi" w:hAnsiTheme="minorHAnsi" w:cstheme="minorHAnsi"/>
                <w:color w:val="000000"/>
                <w:sz w:val="22"/>
                <w:szCs w:val="22"/>
              </w:rPr>
            </w:pPr>
          </w:p>
          <w:p w14:paraId="668B8651"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N</w:t>
            </w:r>
          </w:p>
        </w:tc>
        <w:tc>
          <w:tcPr>
            <w:tcW w:w="588" w:type="pct"/>
            <w:shd w:val="clear" w:color="auto" w:fill="auto"/>
            <w:vAlign w:val="bottom"/>
            <w:hideMark/>
          </w:tcPr>
          <w:p w14:paraId="11ACB229"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HIGH</w:t>
            </w:r>
          </w:p>
        </w:tc>
      </w:tr>
      <w:tr w:rsidR="00B54D51" w:rsidRPr="00037AD4" w14:paraId="14715303" w14:textId="77777777" w:rsidTr="00401C67">
        <w:trPr>
          <w:trHeight w:val="315"/>
        </w:trPr>
        <w:tc>
          <w:tcPr>
            <w:tcW w:w="477" w:type="pct"/>
            <w:shd w:val="clear" w:color="auto" w:fill="auto"/>
            <w:vAlign w:val="bottom"/>
            <w:hideMark/>
          </w:tcPr>
          <w:p w14:paraId="6DE24734" w14:textId="77777777" w:rsidR="00B54D51" w:rsidRPr="00037AD4" w:rsidRDefault="00B54D51" w:rsidP="00401C67">
            <w:pPr>
              <w:rPr>
                <w:rFonts w:asciiTheme="minorHAnsi" w:hAnsiTheme="minorHAnsi" w:cstheme="minorHAnsi"/>
                <w:b/>
                <w:bCs/>
                <w:color w:val="000000"/>
                <w:sz w:val="22"/>
                <w:szCs w:val="22"/>
              </w:rPr>
            </w:pPr>
            <w:r w:rsidRPr="00037AD4">
              <w:rPr>
                <w:rFonts w:asciiTheme="minorHAnsi" w:hAnsiTheme="minorHAnsi" w:cstheme="minorHAnsi"/>
                <w:b/>
                <w:bCs/>
                <w:color w:val="000000"/>
                <w:sz w:val="22"/>
                <w:szCs w:val="22"/>
              </w:rPr>
              <w:t>Gonzalez-Velez 2015</w:t>
            </w:r>
          </w:p>
        </w:tc>
        <w:tc>
          <w:tcPr>
            <w:tcW w:w="376" w:type="pct"/>
            <w:shd w:val="clear" w:color="auto" w:fill="auto"/>
            <w:vAlign w:val="bottom"/>
            <w:hideMark/>
          </w:tcPr>
          <w:p w14:paraId="1CD28696"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428" w:type="pct"/>
            <w:shd w:val="clear" w:color="auto" w:fill="auto"/>
            <w:vAlign w:val="bottom"/>
            <w:hideMark/>
          </w:tcPr>
          <w:p w14:paraId="5381E329"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335" w:type="pct"/>
            <w:shd w:val="clear" w:color="auto" w:fill="auto"/>
            <w:vAlign w:val="bottom"/>
            <w:hideMark/>
          </w:tcPr>
          <w:p w14:paraId="38F47E5A"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412</w:t>
            </w:r>
          </w:p>
        </w:tc>
        <w:tc>
          <w:tcPr>
            <w:tcW w:w="351" w:type="pct"/>
            <w:shd w:val="clear" w:color="auto" w:fill="auto"/>
            <w:vAlign w:val="bottom"/>
            <w:hideMark/>
          </w:tcPr>
          <w:p w14:paraId="16A01019"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522" w:type="pct"/>
            <w:shd w:val="clear" w:color="auto" w:fill="auto"/>
            <w:vAlign w:val="bottom"/>
            <w:hideMark/>
          </w:tcPr>
          <w:p w14:paraId="15965AEA" w14:textId="77777777" w:rsidR="00B54D51" w:rsidRPr="00037AD4" w:rsidRDefault="00B54D51" w:rsidP="00401C67">
            <w:pPr>
              <w:rPr>
                <w:rFonts w:asciiTheme="minorHAnsi" w:hAnsiTheme="minorHAnsi" w:cstheme="minorHAnsi"/>
                <w:color w:val="000000"/>
                <w:sz w:val="22"/>
                <w:szCs w:val="22"/>
              </w:rPr>
            </w:pPr>
          </w:p>
          <w:p w14:paraId="442A6F97"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N</w:t>
            </w:r>
          </w:p>
        </w:tc>
        <w:tc>
          <w:tcPr>
            <w:tcW w:w="438" w:type="pct"/>
            <w:shd w:val="clear" w:color="auto" w:fill="auto"/>
            <w:vAlign w:val="bottom"/>
            <w:hideMark/>
          </w:tcPr>
          <w:p w14:paraId="2B07D09E"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552" w:type="pct"/>
            <w:shd w:val="clear" w:color="auto" w:fill="auto"/>
            <w:vAlign w:val="bottom"/>
            <w:hideMark/>
          </w:tcPr>
          <w:p w14:paraId="65DB124A"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346" w:type="pct"/>
          </w:tcPr>
          <w:p w14:paraId="2059995F" w14:textId="77777777" w:rsidR="00B54D51" w:rsidRPr="00037AD4" w:rsidRDefault="00B54D51" w:rsidP="00401C67">
            <w:pPr>
              <w:rPr>
                <w:rFonts w:asciiTheme="minorHAnsi" w:hAnsiTheme="minorHAnsi" w:cstheme="minorHAnsi"/>
                <w:color w:val="000000"/>
                <w:sz w:val="22"/>
                <w:szCs w:val="22"/>
              </w:rPr>
            </w:pPr>
          </w:p>
          <w:p w14:paraId="285D87FD"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N</w:t>
            </w:r>
          </w:p>
        </w:tc>
        <w:tc>
          <w:tcPr>
            <w:tcW w:w="586" w:type="pct"/>
            <w:shd w:val="clear" w:color="auto" w:fill="auto"/>
            <w:vAlign w:val="bottom"/>
            <w:hideMark/>
          </w:tcPr>
          <w:p w14:paraId="2736AA69" w14:textId="77777777" w:rsidR="00B54D51" w:rsidRPr="00037AD4" w:rsidRDefault="00B54D51" w:rsidP="00401C67">
            <w:pPr>
              <w:rPr>
                <w:rFonts w:asciiTheme="minorHAnsi" w:hAnsiTheme="minorHAnsi" w:cstheme="minorHAnsi"/>
                <w:color w:val="000000"/>
                <w:sz w:val="22"/>
                <w:szCs w:val="22"/>
              </w:rPr>
            </w:pPr>
          </w:p>
          <w:p w14:paraId="77344C24"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N</w:t>
            </w:r>
          </w:p>
        </w:tc>
        <w:tc>
          <w:tcPr>
            <w:tcW w:w="588" w:type="pct"/>
            <w:shd w:val="clear" w:color="auto" w:fill="auto"/>
            <w:vAlign w:val="bottom"/>
            <w:hideMark/>
          </w:tcPr>
          <w:p w14:paraId="2C5A04A7"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MEDIUM</w:t>
            </w:r>
          </w:p>
        </w:tc>
      </w:tr>
      <w:tr w:rsidR="00B54D51" w:rsidRPr="00037AD4" w14:paraId="7BAAB1D6" w14:textId="77777777" w:rsidTr="00401C67">
        <w:trPr>
          <w:trHeight w:val="315"/>
        </w:trPr>
        <w:tc>
          <w:tcPr>
            <w:tcW w:w="477" w:type="pct"/>
            <w:shd w:val="clear" w:color="auto" w:fill="auto"/>
            <w:vAlign w:val="bottom"/>
            <w:hideMark/>
          </w:tcPr>
          <w:p w14:paraId="5A8A537C" w14:textId="77777777" w:rsidR="00B54D51" w:rsidRPr="00037AD4" w:rsidRDefault="00B54D51" w:rsidP="00401C67">
            <w:pPr>
              <w:rPr>
                <w:rFonts w:asciiTheme="minorHAnsi" w:hAnsiTheme="minorHAnsi" w:cstheme="minorHAnsi"/>
                <w:b/>
                <w:bCs/>
                <w:color w:val="000000"/>
                <w:sz w:val="22"/>
                <w:szCs w:val="22"/>
              </w:rPr>
            </w:pPr>
            <w:r w:rsidRPr="00037AD4">
              <w:rPr>
                <w:rFonts w:asciiTheme="minorHAnsi" w:hAnsiTheme="minorHAnsi" w:cstheme="minorHAnsi"/>
                <w:b/>
                <w:bCs/>
                <w:color w:val="000000"/>
                <w:sz w:val="22"/>
                <w:szCs w:val="22"/>
              </w:rPr>
              <w:t>Haaksma 2018</w:t>
            </w:r>
          </w:p>
        </w:tc>
        <w:tc>
          <w:tcPr>
            <w:tcW w:w="376" w:type="pct"/>
            <w:shd w:val="clear" w:color="auto" w:fill="auto"/>
            <w:vAlign w:val="bottom"/>
            <w:hideMark/>
          </w:tcPr>
          <w:p w14:paraId="07B19B22"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428" w:type="pct"/>
            <w:shd w:val="clear" w:color="auto" w:fill="auto"/>
            <w:vAlign w:val="bottom"/>
            <w:hideMark/>
          </w:tcPr>
          <w:p w14:paraId="43992E15"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335" w:type="pct"/>
            <w:shd w:val="clear" w:color="auto" w:fill="auto"/>
            <w:vAlign w:val="bottom"/>
            <w:hideMark/>
          </w:tcPr>
          <w:p w14:paraId="6689C773"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331</w:t>
            </w:r>
          </w:p>
        </w:tc>
        <w:tc>
          <w:tcPr>
            <w:tcW w:w="351" w:type="pct"/>
            <w:shd w:val="clear" w:color="auto" w:fill="auto"/>
            <w:vAlign w:val="bottom"/>
            <w:hideMark/>
          </w:tcPr>
          <w:p w14:paraId="4EB56F3A"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N/A</w:t>
            </w:r>
          </w:p>
        </w:tc>
        <w:tc>
          <w:tcPr>
            <w:tcW w:w="522" w:type="pct"/>
            <w:shd w:val="clear" w:color="auto" w:fill="auto"/>
            <w:vAlign w:val="bottom"/>
            <w:hideMark/>
          </w:tcPr>
          <w:p w14:paraId="2178E5DB" w14:textId="77777777" w:rsidR="00B54D51" w:rsidRPr="00037AD4" w:rsidRDefault="00B54D51" w:rsidP="00401C67">
            <w:pPr>
              <w:rPr>
                <w:rFonts w:asciiTheme="minorHAnsi" w:hAnsiTheme="minorHAnsi" w:cstheme="minorHAnsi"/>
                <w:color w:val="000000"/>
                <w:sz w:val="22"/>
                <w:szCs w:val="22"/>
              </w:rPr>
            </w:pPr>
          </w:p>
          <w:p w14:paraId="3616B79C"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438" w:type="pct"/>
            <w:shd w:val="clear" w:color="auto" w:fill="auto"/>
            <w:vAlign w:val="bottom"/>
            <w:hideMark/>
          </w:tcPr>
          <w:p w14:paraId="208EA63A"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552" w:type="pct"/>
            <w:shd w:val="clear" w:color="auto" w:fill="auto"/>
            <w:vAlign w:val="bottom"/>
            <w:hideMark/>
          </w:tcPr>
          <w:p w14:paraId="1B8BCEA6"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346" w:type="pct"/>
          </w:tcPr>
          <w:p w14:paraId="5D836608" w14:textId="77777777" w:rsidR="00B54D51" w:rsidRPr="00037AD4" w:rsidRDefault="00B54D51" w:rsidP="00401C67">
            <w:pPr>
              <w:rPr>
                <w:rFonts w:asciiTheme="minorHAnsi" w:hAnsiTheme="minorHAnsi" w:cstheme="minorHAnsi"/>
                <w:color w:val="000000"/>
                <w:sz w:val="22"/>
                <w:szCs w:val="22"/>
              </w:rPr>
            </w:pPr>
          </w:p>
          <w:p w14:paraId="14EE35CC" w14:textId="77777777" w:rsidR="00B54D51" w:rsidRPr="00037AD4" w:rsidRDefault="00B54D51" w:rsidP="00401C67">
            <w:pPr>
              <w:rPr>
                <w:rFonts w:asciiTheme="minorHAnsi" w:hAnsiTheme="minorHAnsi" w:cstheme="minorHAnsi"/>
                <w:color w:val="000000"/>
                <w:sz w:val="22"/>
                <w:szCs w:val="22"/>
              </w:rPr>
            </w:pPr>
          </w:p>
          <w:p w14:paraId="11929460"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N</w:t>
            </w:r>
          </w:p>
        </w:tc>
        <w:tc>
          <w:tcPr>
            <w:tcW w:w="586" w:type="pct"/>
            <w:shd w:val="clear" w:color="auto" w:fill="auto"/>
            <w:vAlign w:val="bottom"/>
            <w:hideMark/>
          </w:tcPr>
          <w:p w14:paraId="3F52E25E"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N</w:t>
            </w:r>
          </w:p>
        </w:tc>
        <w:tc>
          <w:tcPr>
            <w:tcW w:w="588" w:type="pct"/>
            <w:shd w:val="clear" w:color="auto" w:fill="auto"/>
            <w:vAlign w:val="bottom"/>
            <w:hideMark/>
          </w:tcPr>
          <w:p w14:paraId="69C31287"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MEDIUM</w:t>
            </w:r>
          </w:p>
        </w:tc>
      </w:tr>
      <w:tr w:rsidR="00B54D51" w:rsidRPr="00037AD4" w14:paraId="00240B09" w14:textId="77777777" w:rsidTr="00401C67">
        <w:trPr>
          <w:trHeight w:val="315"/>
        </w:trPr>
        <w:tc>
          <w:tcPr>
            <w:tcW w:w="477" w:type="pct"/>
            <w:shd w:val="clear" w:color="auto" w:fill="auto"/>
            <w:vAlign w:val="bottom"/>
            <w:hideMark/>
          </w:tcPr>
          <w:p w14:paraId="5E75550D" w14:textId="77777777" w:rsidR="00B54D51" w:rsidRPr="00037AD4" w:rsidRDefault="00B54D51" w:rsidP="00401C67">
            <w:pPr>
              <w:rPr>
                <w:rFonts w:asciiTheme="minorHAnsi" w:hAnsiTheme="minorHAnsi" w:cstheme="minorHAnsi"/>
                <w:b/>
                <w:bCs/>
                <w:color w:val="000000"/>
                <w:sz w:val="22"/>
                <w:szCs w:val="22"/>
              </w:rPr>
            </w:pPr>
            <w:r w:rsidRPr="00037AD4">
              <w:rPr>
                <w:rFonts w:asciiTheme="minorHAnsi" w:hAnsiTheme="minorHAnsi" w:cstheme="minorHAnsi"/>
                <w:b/>
                <w:bCs/>
                <w:color w:val="000000"/>
                <w:sz w:val="22"/>
                <w:szCs w:val="22"/>
              </w:rPr>
              <w:t>HeBmann 2016</w:t>
            </w:r>
          </w:p>
        </w:tc>
        <w:tc>
          <w:tcPr>
            <w:tcW w:w="376" w:type="pct"/>
            <w:shd w:val="clear" w:color="auto" w:fill="auto"/>
            <w:vAlign w:val="bottom"/>
            <w:hideMark/>
          </w:tcPr>
          <w:p w14:paraId="564CCCBB"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428" w:type="pct"/>
            <w:shd w:val="clear" w:color="auto" w:fill="auto"/>
            <w:vAlign w:val="bottom"/>
            <w:hideMark/>
          </w:tcPr>
          <w:p w14:paraId="5B57092F"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335" w:type="pct"/>
            <w:shd w:val="clear" w:color="auto" w:fill="auto"/>
            <w:vAlign w:val="bottom"/>
            <w:hideMark/>
          </w:tcPr>
          <w:p w14:paraId="35083574"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395</w:t>
            </w:r>
          </w:p>
        </w:tc>
        <w:tc>
          <w:tcPr>
            <w:tcW w:w="351" w:type="pct"/>
            <w:shd w:val="clear" w:color="auto" w:fill="auto"/>
            <w:vAlign w:val="bottom"/>
            <w:hideMark/>
          </w:tcPr>
          <w:p w14:paraId="16F773C4"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522" w:type="pct"/>
            <w:shd w:val="clear" w:color="auto" w:fill="auto"/>
            <w:vAlign w:val="bottom"/>
            <w:hideMark/>
          </w:tcPr>
          <w:p w14:paraId="2E20EAC4" w14:textId="77777777" w:rsidR="00B54D51" w:rsidRPr="00037AD4" w:rsidRDefault="00B54D51" w:rsidP="00401C67">
            <w:pPr>
              <w:rPr>
                <w:rFonts w:asciiTheme="minorHAnsi" w:hAnsiTheme="minorHAnsi" w:cstheme="minorHAnsi"/>
                <w:color w:val="000000"/>
                <w:sz w:val="22"/>
                <w:szCs w:val="22"/>
              </w:rPr>
            </w:pPr>
          </w:p>
          <w:p w14:paraId="3FDB1C66"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438" w:type="pct"/>
            <w:shd w:val="clear" w:color="auto" w:fill="auto"/>
            <w:vAlign w:val="bottom"/>
            <w:hideMark/>
          </w:tcPr>
          <w:p w14:paraId="53DD3B90"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552" w:type="pct"/>
            <w:shd w:val="clear" w:color="auto" w:fill="auto"/>
            <w:vAlign w:val="bottom"/>
            <w:hideMark/>
          </w:tcPr>
          <w:p w14:paraId="6942DA3A"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346" w:type="pct"/>
          </w:tcPr>
          <w:p w14:paraId="44BAD7E2" w14:textId="77777777" w:rsidR="00B54D51" w:rsidRPr="00037AD4" w:rsidRDefault="00B54D51" w:rsidP="00401C67">
            <w:pPr>
              <w:rPr>
                <w:rFonts w:asciiTheme="minorHAnsi" w:hAnsiTheme="minorHAnsi" w:cstheme="minorHAnsi"/>
                <w:color w:val="000000"/>
                <w:sz w:val="22"/>
                <w:szCs w:val="22"/>
              </w:rPr>
            </w:pPr>
          </w:p>
          <w:p w14:paraId="4EF8D9C2" w14:textId="77777777" w:rsidR="00B54D51" w:rsidRPr="00037AD4" w:rsidRDefault="00B54D51" w:rsidP="00401C67">
            <w:pPr>
              <w:rPr>
                <w:rFonts w:asciiTheme="minorHAnsi" w:hAnsiTheme="minorHAnsi" w:cstheme="minorHAnsi"/>
                <w:color w:val="000000"/>
                <w:sz w:val="22"/>
                <w:szCs w:val="22"/>
              </w:rPr>
            </w:pPr>
          </w:p>
          <w:p w14:paraId="3BC6CD74"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N</w:t>
            </w:r>
          </w:p>
        </w:tc>
        <w:tc>
          <w:tcPr>
            <w:tcW w:w="586" w:type="pct"/>
            <w:shd w:val="clear" w:color="auto" w:fill="auto"/>
            <w:vAlign w:val="bottom"/>
            <w:hideMark/>
          </w:tcPr>
          <w:p w14:paraId="54C4BD25"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588" w:type="pct"/>
            <w:shd w:val="clear" w:color="auto" w:fill="auto"/>
            <w:vAlign w:val="bottom"/>
            <w:hideMark/>
          </w:tcPr>
          <w:p w14:paraId="1A9924C3"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HIGH</w:t>
            </w:r>
          </w:p>
        </w:tc>
      </w:tr>
      <w:tr w:rsidR="00B54D51" w:rsidRPr="00037AD4" w14:paraId="6202118E" w14:textId="77777777" w:rsidTr="00401C67">
        <w:trPr>
          <w:trHeight w:val="315"/>
        </w:trPr>
        <w:tc>
          <w:tcPr>
            <w:tcW w:w="477" w:type="pct"/>
            <w:shd w:val="clear" w:color="auto" w:fill="auto"/>
            <w:vAlign w:val="bottom"/>
            <w:hideMark/>
          </w:tcPr>
          <w:p w14:paraId="01C8029C" w14:textId="77777777" w:rsidR="00B54D51" w:rsidRPr="00037AD4" w:rsidRDefault="00B54D51" w:rsidP="00401C67">
            <w:pPr>
              <w:rPr>
                <w:rFonts w:asciiTheme="minorHAnsi" w:hAnsiTheme="minorHAnsi" w:cstheme="minorHAnsi"/>
                <w:b/>
                <w:bCs/>
                <w:color w:val="000000"/>
                <w:sz w:val="22"/>
                <w:szCs w:val="22"/>
              </w:rPr>
            </w:pPr>
            <w:r w:rsidRPr="00037AD4">
              <w:rPr>
                <w:rFonts w:asciiTheme="minorHAnsi" w:hAnsiTheme="minorHAnsi" w:cstheme="minorHAnsi"/>
                <w:b/>
                <w:bCs/>
                <w:color w:val="000000"/>
                <w:sz w:val="22"/>
                <w:szCs w:val="22"/>
              </w:rPr>
              <w:t>Karlawish 2008 [1]</w:t>
            </w:r>
          </w:p>
        </w:tc>
        <w:tc>
          <w:tcPr>
            <w:tcW w:w="376" w:type="pct"/>
            <w:shd w:val="clear" w:color="auto" w:fill="auto"/>
            <w:vAlign w:val="bottom"/>
            <w:hideMark/>
          </w:tcPr>
          <w:p w14:paraId="7118BFD6"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428" w:type="pct"/>
            <w:shd w:val="clear" w:color="auto" w:fill="auto"/>
            <w:vAlign w:val="bottom"/>
            <w:hideMark/>
          </w:tcPr>
          <w:p w14:paraId="5D84608D"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335" w:type="pct"/>
            <w:shd w:val="clear" w:color="auto" w:fill="auto"/>
            <w:vAlign w:val="bottom"/>
            <w:hideMark/>
          </w:tcPr>
          <w:p w14:paraId="3A78E9E6"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110</w:t>
            </w:r>
          </w:p>
        </w:tc>
        <w:tc>
          <w:tcPr>
            <w:tcW w:w="351" w:type="pct"/>
            <w:shd w:val="clear" w:color="auto" w:fill="auto"/>
            <w:vAlign w:val="bottom"/>
            <w:hideMark/>
          </w:tcPr>
          <w:p w14:paraId="4BB1ECE1"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522" w:type="pct"/>
            <w:shd w:val="clear" w:color="auto" w:fill="auto"/>
            <w:vAlign w:val="bottom"/>
            <w:hideMark/>
          </w:tcPr>
          <w:p w14:paraId="03D942CB" w14:textId="77777777" w:rsidR="00B54D51" w:rsidRPr="00037AD4" w:rsidRDefault="00B54D51" w:rsidP="00401C67">
            <w:pPr>
              <w:rPr>
                <w:rFonts w:asciiTheme="minorHAnsi" w:hAnsiTheme="minorHAnsi" w:cstheme="minorHAnsi"/>
                <w:color w:val="000000"/>
                <w:sz w:val="22"/>
                <w:szCs w:val="22"/>
              </w:rPr>
            </w:pPr>
          </w:p>
          <w:p w14:paraId="40E40B10"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438" w:type="pct"/>
            <w:shd w:val="clear" w:color="auto" w:fill="auto"/>
            <w:vAlign w:val="bottom"/>
            <w:hideMark/>
          </w:tcPr>
          <w:p w14:paraId="078929D3"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552" w:type="pct"/>
            <w:shd w:val="clear" w:color="auto" w:fill="auto"/>
            <w:vAlign w:val="bottom"/>
            <w:hideMark/>
          </w:tcPr>
          <w:p w14:paraId="3416424B"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346" w:type="pct"/>
          </w:tcPr>
          <w:p w14:paraId="54FA0B64" w14:textId="77777777" w:rsidR="00B54D51" w:rsidRPr="00037AD4" w:rsidRDefault="00B54D51" w:rsidP="00401C67">
            <w:pPr>
              <w:rPr>
                <w:rFonts w:asciiTheme="minorHAnsi" w:hAnsiTheme="minorHAnsi" w:cstheme="minorHAnsi"/>
                <w:color w:val="000000"/>
                <w:sz w:val="22"/>
                <w:szCs w:val="22"/>
              </w:rPr>
            </w:pPr>
          </w:p>
          <w:p w14:paraId="1793D47F" w14:textId="77777777" w:rsidR="00B54D51" w:rsidRPr="00037AD4" w:rsidRDefault="00B54D51" w:rsidP="00401C67">
            <w:pPr>
              <w:rPr>
                <w:rFonts w:asciiTheme="minorHAnsi" w:hAnsiTheme="minorHAnsi" w:cstheme="minorHAnsi"/>
                <w:color w:val="000000"/>
                <w:sz w:val="22"/>
                <w:szCs w:val="22"/>
              </w:rPr>
            </w:pPr>
          </w:p>
          <w:p w14:paraId="1D4BC576"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586" w:type="pct"/>
            <w:shd w:val="clear" w:color="auto" w:fill="auto"/>
            <w:vAlign w:val="bottom"/>
            <w:hideMark/>
          </w:tcPr>
          <w:p w14:paraId="7EE2F19E"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588" w:type="pct"/>
            <w:shd w:val="clear" w:color="auto" w:fill="auto"/>
            <w:vAlign w:val="bottom"/>
            <w:hideMark/>
          </w:tcPr>
          <w:p w14:paraId="635C2B9D"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HIGH</w:t>
            </w:r>
          </w:p>
        </w:tc>
      </w:tr>
      <w:tr w:rsidR="00B54D51" w:rsidRPr="00037AD4" w14:paraId="3942A129" w14:textId="77777777" w:rsidTr="00401C67">
        <w:trPr>
          <w:trHeight w:val="315"/>
        </w:trPr>
        <w:tc>
          <w:tcPr>
            <w:tcW w:w="477" w:type="pct"/>
            <w:shd w:val="clear" w:color="auto" w:fill="auto"/>
            <w:vAlign w:val="bottom"/>
            <w:hideMark/>
          </w:tcPr>
          <w:p w14:paraId="04686788" w14:textId="77777777" w:rsidR="00B54D51" w:rsidRPr="00037AD4" w:rsidRDefault="00B54D51" w:rsidP="00401C67">
            <w:pPr>
              <w:rPr>
                <w:rFonts w:asciiTheme="minorHAnsi" w:hAnsiTheme="minorHAnsi" w:cstheme="minorHAnsi"/>
                <w:b/>
                <w:bCs/>
                <w:color w:val="000000"/>
                <w:sz w:val="22"/>
                <w:szCs w:val="22"/>
              </w:rPr>
            </w:pPr>
            <w:r w:rsidRPr="00037AD4">
              <w:rPr>
                <w:rFonts w:asciiTheme="minorHAnsi" w:hAnsiTheme="minorHAnsi" w:cstheme="minorHAnsi"/>
                <w:b/>
                <w:bCs/>
                <w:color w:val="000000"/>
                <w:sz w:val="22"/>
                <w:szCs w:val="22"/>
              </w:rPr>
              <w:t>Karlawish 2008 [2]</w:t>
            </w:r>
          </w:p>
        </w:tc>
        <w:tc>
          <w:tcPr>
            <w:tcW w:w="376" w:type="pct"/>
            <w:shd w:val="clear" w:color="auto" w:fill="auto"/>
            <w:vAlign w:val="bottom"/>
            <w:hideMark/>
          </w:tcPr>
          <w:p w14:paraId="345871F2"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428" w:type="pct"/>
            <w:shd w:val="clear" w:color="auto" w:fill="auto"/>
            <w:vAlign w:val="bottom"/>
            <w:hideMark/>
          </w:tcPr>
          <w:p w14:paraId="40182AD4"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335" w:type="pct"/>
            <w:shd w:val="clear" w:color="auto" w:fill="auto"/>
            <w:vAlign w:val="bottom"/>
            <w:hideMark/>
          </w:tcPr>
          <w:p w14:paraId="7A2FDFA7"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110</w:t>
            </w:r>
          </w:p>
        </w:tc>
        <w:tc>
          <w:tcPr>
            <w:tcW w:w="351" w:type="pct"/>
            <w:shd w:val="clear" w:color="auto" w:fill="auto"/>
            <w:vAlign w:val="bottom"/>
            <w:hideMark/>
          </w:tcPr>
          <w:p w14:paraId="19A4054D"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522" w:type="pct"/>
            <w:shd w:val="clear" w:color="auto" w:fill="auto"/>
            <w:vAlign w:val="bottom"/>
            <w:hideMark/>
          </w:tcPr>
          <w:p w14:paraId="446C29B9"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438" w:type="pct"/>
            <w:shd w:val="clear" w:color="auto" w:fill="auto"/>
            <w:vAlign w:val="bottom"/>
            <w:hideMark/>
          </w:tcPr>
          <w:p w14:paraId="04897461"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552" w:type="pct"/>
            <w:shd w:val="clear" w:color="auto" w:fill="auto"/>
            <w:vAlign w:val="bottom"/>
            <w:hideMark/>
          </w:tcPr>
          <w:p w14:paraId="28425C5F"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346" w:type="pct"/>
          </w:tcPr>
          <w:p w14:paraId="14DE65A8" w14:textId="77777777" w:rsidR="00B54D51" w:rsidRPr="00037AD4" w:rsidRDefault="00B54D51" w:rsidP="00401C67">
            <w:pPr>
              <w:rPr>
                <w:rFonts w:asciiTheme="minorHAnsi" w:hAnsiTheme="minorHAnsi" w:cstheme="minorHAnsi"/>
                <w:color w:val="000000"/>
                <w:sz w:val="22"/>
                <w:szCs w:val="22"/>
              </w:rPr>
            </w:pPr>
          </w:p>
          <w:p w14:paraId="32EE99E6" w14:textId="77777777" w:rsidR="00B54D51" w:rsidRPr="00037AD4" w:rsidRDefault="00B54D51" w:rsidP="00401C67">
            <w:pPr>
              <w:rPr>
                <w:rFonts w:asciiTheme="minorHAnsi" w:hAnsiTheme="minorHAnsi" w:cstheme="minorHAnsi"/>
                <w:color w:val="000000"/>
                <w:sz w:val="22"/>
                <w:szCs w:val="22"/>
              </w:rPr>
            </w:pPr>
          </w:p>
          <w:p w14:paraId="0692EB6B"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586" w:type="pct"/>
            <w:shd w:val="clear" w:color="auto" w:fill="auto"/>
            <w:vAlign w:val="bottom"/>
            <w:hideMark/>
          </w:tcPr>
          <w:p w14:paraId="4D5E19B3"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588" w:type="pct"/>
            <w:shd w:val="clear" w:color="auto" w:fill="auto"/>
            <w:vAlign w:val="bottom"/>
            <w:hideMark/>
          </w:tcPr>
          <w:p w14:paraId="2E0CB9DA"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HIGH</w:t>
            </w:r>
          </w:p>
        </w:tc>
      </w:tr>
      <w:tr w:rsidR="00B54D51" w:rsidRPr="00037AD4" w14:paraId="59DD7C72" w14:textId="77777777" w:rsidTr="00401C67">
        <w:trPr>
          <w:trHeight w:val="315"/>
        </w:trPr>
        <w:tc>
          <w:tcPr>
            <w:tcW w:w="477" w:type="pct"/>
            <w:shd w:val="clear" w:color="auto" w:fill="auto"/>
            <w:vAlign w:val="bottom"/>
          </w:tcPr>
          <w:p w14:paraId="4C2D67E1" w14:textId="77777777" w:rsidR="00B54D51" w:rsidRPr="00037AD4" w:rsidRDefault="00B54D51" w:rsidP="00401C67">
            <w:pPr>
              <w:rPr>
                <w:rFonts w:asciiTheme="minorHAnsi" w:hAnsiTheme="minorHAnsi" w:cstheme="minorHAnsi"/>
                <w:b/>
                <w:bCs/>
                <w:color w:val="000000"/>
                <w:sz w:val="22"/>
                <w:szCs w:val="22"/>
              </w:rPr>
            </w:pPr>
            <w:r w:rsidRPr="00037AD4">
              <w:rPr>
                <w:rFonts w:asciiTheme="minorHAnsi" w:hAnsiTheme="minorHAnsi" w:cstheme="minorHAnsi"/>
                <w:b/>
                <w:bCs/>
                <w:color w:val="000000"/>
                <w:sz w:val="22"/>
                <w:szCs w:val="22"/>
              </w:rPr>
              <w:lastRenderedPageBreak/>
              <w:t xml:space="preserve">King 2022 </w:t>
            </w:r>
          </w:p>
        </w:tc>
        <w:tc>
          <w:tcPr>
            <w:tcW w:w="376" w:type="pct"/>
            <w:shd w:val="clear" w:color="auto" w:fill="auto"/>
            <w:vAlign w:val="bottom"/>
          </w:tcPr>
          <w:p w14:paraId="04F6EF3E"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428" w:type="pct"/>
            <w:shd w:val="clear" w:color="auto" w:fill="auto"/>
            <w:vAlign w:val="bottom"/>
          </w:tcPr>
          <w:p w14:paraId="1044E276"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335" w:type="pct"/>
            <w:shd w:val="clear" w:color="auto" w:fill="auto"/>
            <w:vAlign w:val="bottom"/>
          </w:tcPr>
          <w:p w14:paraId="3DB0808A"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243</w:t>
            </w:r>
          </w:p>
        </w:tc>
        <w:tc>
          <w:tcPr>
            <w:tcW w:w="351" w:type="pct"/>
            <w:shd w:val="clear" w:color="auto" w:fill="auto"/>
            <w:vAlign w:val="bottom"/>
          </w:tcPr>
          <w:p w14:paraId="37400666"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522" w:type="pct"/>
            <w:shd w:val="clear" w:color="auto" w:fill="auto"/>
            <w:vAlign w:val="bottom"/>
          </w:tcPr>
          <w:p w14:paraId="2E424FD9"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438" w:type="pct"/>
            <w:shd w:val="clear" w:color="auto" w:fill="auto"/>
            <w:vAlign w:val="bottom"/>
          </w:tcPr>
          <w:p w14:paraId="40FDF4AD"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552" w:type="pct"/>
            <w:shd w:val="clear" w:color="auto" w:fill="auto"/>
            <w:vAlign w:val="bottom"/>
          </w:tcPr>
          <w:p w14:paraId="69A05734"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346" w:type="pct"/>
          </w:tcPr>
          <w:p w14:paraId="473E553C"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N</w:t>
            </w:r>
          </w:p>
        </w:tc>
        <w:tc>
          <w:tcPr>
            <w:tcW w:w="586" w:type="pct"/>
            <w:shd w:val="clear" w:color="auto" w:fill="auto"/>
            <w:vAlign w:val="bottom"/>
          </w:tcPr>
          <w:p w14:paraId="3D58B57D"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588" w:type="pct"/>
            <w:shd w:val="clear" w:color="auto" w:fill="auto"/>
            <w:vAlign w:val="bottom"/>
          </w:tcPr>
          <w:p w14:paraId="0F375C52"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HIGH</w:t>
            </w:r>
          </w:p>
        </w:tc>
      </w:tr>
      <w:tr w:rsidR="00B54D51" w:rsidRPr="00037AD4" w14:paraId="3D45EE1B" w14:textId="77777777" w:rsidTr="00401C67">
        <w:trPr>
          <w:trHeight w:val="315"/>
        </w:trPr>
        <w:tc>
          <w:tcPr>
            <w:tcW w:w="477" w:type="pct"/>
            <w:shd w:val="clear" w:color="auto" w:fill="auto"/>
            <w:vAlign w:val="bottom"/>
            <w:hideMark/>
          </w:tcPr>
          <w:p w14:paraId="20FC0645" w14:textId="77777777" w:rsidR="00B54D51" w:rsidRPr="00037AD4" w:rsidRDefault="00B54D51" w:rsidP="00401C67">
            <w:pPr>
              <w:rPr>
                <w:rFonts w:asciiTheme="minorHAnsi" w:hAnsiTheme="minorHAnsi" w:cstheme="minorHAnsi"/>
                <w:b/>
                <w:bCs/>
                <w:color w:val="000000"/>
                <w:sz w:val="22"/>
                <w:szCs w:val="22"/>
              </w:rPr>
            </w:pPr>
            <w:r w:rsidRPr="00037AD4">
              <w:rPr>
                <w:rFonts w:asciiTheme="minorHAnsi" w:hAnsiTheme="minorHAnsi" w:cstheme="minorHAnsi"/>
                <w:b/>
                <w:bCs/>
                <w:color w:val="000000"/>
                <w:sz w:val="22"/>
                <w:szCs w:val="22"/>
              </w:rPr>
              <w:t xml:space="preserve">Kunz 2010 </w:t>
            </w:r>
          </w:p>
        </w:tc>
        <w:tc>
          <w:tcPr>
            <w:tcW w:w="376" w:type="pct"/>
            <w:shd w:val="clear" w:color="auto" w:fill="auto"/>
            <w:vAlign w:val="bottom"/>
            <w:hideMark/>
          </w:tcPr>
          <w:p w14:paraId="7F894B45"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428" w:type="pct"/>
            <w:shd w:val="clear" w:color="auto" w:fill="auto"/>
            <w:vAlign w:val="bottom"/>
            <w:hideMark/>
          </w:tcPr>
          <w:p w14:paraId="51199DD6"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335" w:type="pct"/>
            <w:shd w:val="clear" w:color="auto" w:fill="auto"/>
            <w:vAlign w:val="bottom"/>
            <w:hideMark/>
          </w:tcPr>
          <w:p w14:paraId="5EC8F9AD"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399</w:t>
            </w:r>
          </w:p>
        </w:tc>
        <w:tc>
          <w:tcPr>
            <w:tcW w:w="351" w:type="pct"/>
            <w:shd w:val="clear" w:color="auto" w:fill="auto"/>
            <w:vAlign w:val="bottom"/>
            <w:hideMark/>
          </w:tcPr>
          <w:p w14:paraId="5F1F4101"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522" w:type="pct"/>
            <w:shd w:val="clear" w:color="auto" w:fill="auto"/>
            <w:vAlign w:val="bottom"/>
            <w:hideMark/>
          </w:tcPr>
          <w:p w14:paraId="4D0DB76D" w14:textId="77777777" w:rsidR="00B54D51" w:rsidRPr="00037AD4" w:rsidRDefault="00B54D51" w:rsidP="00401C67">
            <w:pPr>
              <w:rPr>
                <w:rFonts w:asciiTheme="minorHAnsi" w:hAnsiTheme="minorHAnsi" w:cstheme="minorHAnsi"/>
                <w:color w:val="000000"/>
                <w:sz w:val="22"/>
                <w:szCs w:val="22"/>
              </w:rPr>
            </w:pPr>
          </w:p>
          <w:p w14:paraId="2242B84D"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438" w:type="pct"/>
            <w:shd w:val="clear" w:color="auto" w:fill="auto"/>
            <w:vAlign w:val="bottom"/>
            <w:hideMark/>
          </w:tcPr>
          <w:p w14:paraId="74A5246E"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552" w:type="pct"/>
            <w:shd w:val="clear" w:color="auto" w:fill="auto"/>
            <w:vAlign w:val="bottom"/>
            <w:hideMark/>
          </w:tcPr>
          <w:p w14:paraId="7E739495"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346" w:type="pct"/>
          </w:tcPr>
          <w:p w14:paraId="33180573" w14:textId="77777777" w:rsidR="00B54D51" w:rsidRPr="00037AD4" w:rsidRDefault="00B54D51" w:rsidP="00401C67">
            <w:pPr>
              <w:rPr>
                <w:rFonts w:asciiTheme="minorHAnsi" w:hAnsiTheme="minorHAnsi" w:cstheme="minorHAnsi"/>
                <w:color w:val="000000"/>
                <w:sz w:val="22"/>
                <w:szCs w:val="22"/>
              </w:rPr>
            </w:pPr>
          </w:p>
          <w:p w14:paraId="3B95E737" w14:textId="77777777" w:rsidR="00B54D51" w:rsidRPr="00037AD4" w:rsidRDefault="00B54D51" w:rsidP="00401C67">
            <w:pPr>
              <w:rPr>
                <w:rFonts w:asciiTheme="minorHAnsi" w:hAnsiTheme="minorHAnsi" w:cstheme="minorHAnsi"/>
                <w:color w:val="000000"/>
                <w:sz w:val="22"/>
                <w:szCs w:val="22"/>
              </w:rPr>
            </w:pPr>
          </w:p>
          <w:p w14:paraId="00D40C0A"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586" w:type="pct"/>
            <w:shd w:val="clear" w:color="auto" w:fill="auto"/>
            <w:vAlign w:val="bottom"/>
            <w:hideMark/>
          </w:tcPr>
          <w:p w14:paraId="61DE940D"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588" w:type="pct"/>
            <w:shd w:val="clear" w:color="auto" w:fill="auto"/>
            <w:vAlign w:val="bottom"/>
            <w:hideMark/>
          </w:tcPr>
          <w:p w14:paraId="32E2AE4F"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HIGH</w:t>
            </w:r>
          </w:p>
        </w:tc>
      </w:tr>
      <w:tr w:rsidR="00B54D51" w:rsidRPr="00037AD4" w14:paraId="263869C7" w14:textId="77777777" w:rsidTr="00401C67">
        <w:trPr>
          <w:trHeight w:val="315"/>
        </w:trPr>
        <w:tc>
          <w:tcPr>
            <w:tcW w:w="477" w:type="pct"/>
            <w:shd w:val="clear" w:color="auto" w:fill="auto"/>
            <w:vAlign w:val="bottom"/>
            <w:hideMark/>
          </w:tcPr>
          <w:p w14:paraId="3ECC60BE" w14:textId="77777777" w:rsidR="00B54D51" w:rsidRPr="00037AD4" w:rsidRDefault="00B54D51" w:rsidP="00401C67">
            <w:pPr>
              <w:rPr>
                <w:rFonts w:asciiTheme="minorHAnsi" w:hAnsiTheme="minorHAnsi" w:cstheme="minorHAnsi"/>
                <w:b/>
                <w:bCs/>
                <w:color w:val="000000"/>
                <w:sz w:val="22"/>
                <w:szCs w:val="22"/>
              </w:rPr>
            </w:pPr>
            <w:r w:rsidRPr="00037AD4">
              <w:rPr>
                <w:rFonts w:asciiTheme="minorHAnsi" w:hAnsiTheme="minorHAnsi" w:cstheme="minorHAnsi"/>
                <w:b/>
                <w:bCs/>
                <w:color w:val="000000"/>
                <w:sz w:val="22"/>
                <w:szCs w:val="22"/>
              </w:rPr>
              <w:t>Kuo 2010</w:t>
            </w:r>
          </w:p>
        </w:tc>
        <w:tc>
          <w:tcPr>
            <w:tcW w:w="376" w:type="pct"/>
            <w:shd w:val="clear" w:color="auto" w:fill="auto"/>
            <w:vAlign w:val="bottom"/>
            <w:hideMark/>
          </w:tcPr>
          <w:p w14:paraId="41A8382F"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428" w:type="pct"/>
            <w:shd w:val="clear" w:color="auto" w:fill="auto"/>
            <w:vAlign w:val="bottom"/>
            <w:hideMark/>
          </w:tcPr>
          <w:p w14:paraId="6D8030C6"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335" w:type="pct"/>
            <w:shd w:val="clear" w:color="auto" w:fill="auto"/>
            <w:vAlign w:val="bottom"/>
            <w:hideMark/>
          </w:tcPr>
          <w:p w14:paraId="69DC03A1"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140</w:t>
            </w:r>
          </w:p>
        </w:tc>
        <w:tc>
          <w:tcPr>
            <w:tcW w:w="351" w:type="pct"/>
            <w:shd w:val="clear" w:color="auto" w:fill="auto"/>
            <w:vAlign w:val="bottom"/>
            <w:hideMark/>
          </w:tcPr>
          <w:p w14:paraId="38842050"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522" w:type="pct"/>
            <w:shd w:val="clear" w:color="auto" w:fill="auto"/>
            <w:vAlign w:val="bottom"/>
            <w:hideMark/>
          </w:tcPr>
          <w:p w14:paraId="3FD87B53"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438" w:type="pct"/>
            <w:shd w:val="clear" w:color="auto" w:fill="auto"/>
            <w:vAlign w:val="bottom"/>
            <w:hideMark/>
          </w:tcPr>
          <w:p w14:paraId="6EFFE5F5"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552" w:type="pct"/>
            <w:shd w:val="clear" w:color="auto" w:fill="auto"/>
            <w:vAlign w:val="bottom"/>
            <w:hideMark/>
          </w:tcPr>
          <w:p w14:paraId="6A25DACB"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346" w:type="pct"/>
          </w:tcPr>
          <w:p w14:paraId="49478213" w14:textId="77777777" w:rsidR="00B54D51" w:rsidRPr="00037AD4" w:rsidRDefault="00B54D51" w:rsidP="00401C67">
            <w:pPr>
              <w:rPr>
                <w:rFonts w:asciiTheme="minorHAnsi" w:hAnsiTheme="minorHAnsi" w:cstheme="minorHAnsi"/>
                <w:color w:val="000000"/>
                <w:sz w:val="22"/>
                <w:szCs w:val="22"/>
              </w:rPr>
            </w:pPr>
          </w:p>
          <w:p w14:paraId="5755F50F" w14:textId="77777777" w:rsidR="00B54D51" w:rsidRPr="00037AD4" w:rsidRDefault="00B54D51" w:rsidP="00401C67">
            <w:pPr>
              <w:rPr>
                <w:rFonts w:asciiTheme="minorHAnsi" w:hAnsiTheme="minorHAnsi" w:cstheme="minorHAnsi"/>
                <w:color w:val="000000"/>
                <w:sz w:val="22"/>
                <w:szCs w:val="22"/>
              </w:rPr>
            </w:pPr>
          </w:p>
          <w:p w14:paraId="17A71858"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N</w:t>
            </w:r>
          </w:p>
        </w:tc>
        <w:tc>
          <w:tcPr>
            <w:tcW w:w="586" w:type="pct"/>
            <w:shd w:val="clear" w:color="auto" w:fill="auto"/>
            <w:vAlign w:val="bottom"/>
            <w:hideMark/>
          </w:tcPr>
          <w:p w14:paraId="005D9DEC"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N</w:t>
            </w:r>
          </w:p>
        </w:tc>
        <w:tc>
          <w:tcPr>
            <w:tcW w:w="588" w:type="pct"/>
            <w:shd w:val="clear" w:color="auto" w:fill="auto"/>
            <w:vAlign w:val="bottom"/>
            <w:hideMark/>
          </w:tcPr>
          <w:p w14:paraId="228011D2"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MEDIUM</w:t>
            </w:r>
          </w:p>
        </w:tc>
      </w:tr>
      <w:tr w:rsidR="00B54D51" w:rsidRPr="00037AD4" w14:paraId="367F4AC7" w14:textId="77777777" w:rsidTr="00401C67">
        <w:trPr>
          <w:trHeight w:val="315"/>
        </w:trPr>
        <w:tc>
          <w:tcPr>
            <w:tcW w:w="477" w:type="pct"/>
            <w:shd w:val="clear" w:color="auto" w:fill="auto"/>
            <w:vAlign w:val="bottom"/>
            <w:hideMark/>
          </w:tcPr>
          <w:p w14:paraId="5D3EB9E7" w14:textId="77777777" w:rsidR="00B54D51" w:rsidRPr="00037AD4" w:rsidRDefault="00B54D51" w:rsidP="00401C67">
            <w:pPr>
              <w:rPr>
                <w:rFonts w:asciiTheme="minorHAnsi" w:hAnsiTheme="minorHAnsi" w:cstheme="minorHAnsi"/>
                <w:b/>
                <w:bCs/>
                <w:color w:val="000000"/>
                <w:sz w:val="22"/>
                <w:szCs w:val="22"/>
              </w:rPr>
            </w:pPr>
            <w:r w:rsidRPr="00037AD4">
              <w:rPr>
                <w:rFonts w:asciiTheme="minorHAnsi" w:hAnsiTheme="minorHAnsi" w:cstheme="minorHAnsi"/>
                <w:b/>
                <w:bCs/>
                <w:color w:val="000000"/>
                <w:sz w:val="22"/>
                <w:szCs w:val="22"/>
              </w:rPr>
              <w:t xml:space="preserve">Martin 2019 </w:t>
            </w:r>
          </w:p>
        </w:tc>
        <w:tc>
          <w:tcPr>
            <w:tcW w:w="376" w:type="pct"/>
            <w:shd w:val="clear" w:color="auto" w:fill="auto"/>
            <w:vAlign w:val="bottom"/>
            <w:hideMark/>
          </w:tcPr>
          <w:p w14:paraId="4A6EBF1D"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428" w:type="pct"/>
            <w:shd w:val="clear" w:color="auto" w:fill="auto"/>
            <w:vAlign w:val="bottom"/>
            <w:hideMark/>
          </w:tcPr>
          <w:p w14:paraId="15A6A077"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335" w:type="pct"/>
            <w:shd w:val="clear" w:color="auto" w:fill="auto"/>
            <w:vAlign w:val="bottom"/>
            <w:hideMark/>
          </w:tcPr>
          <w:p w14:paraId="3466C268" w14:textId="77777777" w:rsidR="00B54D51" w:rsidRPr="00037AD4" w:rsidRDefault="00B54D51" w:rsidP="00401C67">
            <w:pPr>
              <w:rPr>
                <w:rFonts w:asciiTheme="minorHAnsi" w:hAnsiTheme="minorHAnsi" w:cstheme="minorHAnsi"/>
                <w:color w:val="000000"/>
                <w:sz w:val="22"/>
                <w:szCs w:val="22"/>
              </w:rPr>
            </w:pPr>
          </w:p>
          <w:p w14:paraId="653CED11"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1004</w:t>
            </w:r>
          </w:p>
        </w:tc>
        <w:tc>
          <w:tcPr>
            <w:tcW w:w="351" w:type="pct"/>
            <w:shd w:val="clear" w:color="auto" w:fill="auto"/>
            <w:vAlign w:val="bottom"/>
            <w:hideMark/>
          </w:tcPr>
          <w:p w14:paraId="6D5F847B"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N/A</w:t>
            </w:r>
          </w:p>
        </w:tc>
        <w:tc>
          <w:tcPr>
            <w:tcW w:w="522" w:type="pct"/>
            <w:shd w:val="clear" w:color="auto" w:fill="auto"/>
            <w:vAlign w:val="bottom"/>
            <w:hideMark/>
          </w:tcPr>
          <w:p w14:paraId="046A64B0" w14:textId="77777777" w:rsidR="00B54D51" w:rsidRPr="00037AD4" w:rsidRDefault="00B54D51" w:rsidP="00401C67">
            <w:pPr>
              <w:rPr>
                <w:rFonts w:asciiTheme="minorHAnsi" w:hAnsiTheme="minorHAnsi" w:cstheme="minorHAnsi"/>
                <w:color w:val="000000"/>
                <w:sz w:val="22"/>
                <w:szCs w:val="22"/>
              </w:rPr>
            </w:pPr>
          </w:p>
          <w:p w14:paraId="00A56D1D"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438" w:type="pct"/>
            <w:shd w:val="clear" w:color="auto" w:fill="auto"/>
            <w:vAlign w:val="bottom"/>
            <w:hideMark/>
          </w:tcPr>
          <w:p w14:paraId="65579559"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552" w:type="pct"/>
            <w:shd w:val="clear" w:color="auto" w:fill="auto"/>
            <w:vAlign w:val="bottom"/>
            <w:hideMark/>
          </w:tcPr>
          <w:p w14:paraId="6C0970CA"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346" w:type="pct"/>
          </w:tcPr>
          <w:p w14:paraId="4138EB8C" w14:textId="77777777" w:rsidR="00B54D51" w:rsidRPr="00037AD4" w:rsidRDefault="00B54D51" w:rsidP="00401C67">
            <w:pPr>
              <w:rPr>
                <w:rFonts w:asciiTheme="minorHAnsi" w:hAnsiTheme="minorHAnsi" w:cstheme="minorHAnsi"/>
                <w:color w:val="000000"/>
                <w:sz w:val="22"/>
                <w:szCs w:val="22"/>
              </w:rPr>
            </w:pPr>
          </w:p>
          <w:p w14:paraId="3FB11E92" w14:textId="77777777" w:rsidR="00B54D51" w:rsidRPr="00037AD4" w:rsidRDefault="00B54D51" w:rsidP="00401C67">
            <w:pPr>
              <w:rPr>
                <w:rFonts w:asciiTheme="minorHAnsi" w:hAnsiTheme="minorHAnsi" w:cstheme="minorHAnsi"/>
                <w:color w:val="000000"/>
                <w:sz w:val="22"/>
                <w:szCs w:val="22"/>
              </w:rPr>
            </w:pPr>
          </w:p>
          <w:p w14:paraId="08EE902C"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586" w:type="pct"/>
            <w:shd w:val="clear" w:color="auto" w:fill="auto"/>
            <w:vAlign w:val="bottom"/>
            <w:hideMark/>
          </w:tcPr>
          <w:p w14:paraId="431DA640"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588" w:type="pct"/>
            <w:shd w:val="clear" w:color="auto" w:fill="auto"/>
            <w:vAlign w:val="bottom"/>
            <w:hideMark/>
          </w:tcPr>
          <w:p w14:paraId="637FBCEA"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HIGH</w:t>
            </w:r>
          </w:p>
        </w:tc>
      </w:tr>
      <w:tr w:rsidR="00B54D51" w:rsidRPr="00037AD4" w14:paraId="5A2B1D3C" w14:textId="77777777" w:rsidTr="00401C67">
        <w:trPr>
          <w:trHeight w:val="315"/>
        </w:trPr>
        <w:tc>
          <w:tcPr>
            <w:tcW w:w="477" w:type="pct"/>
            <w:shd w:val="clear" w:color="auto" w:fill="auto"/>
            <w:vAlign w:val="bottom"/>
          </w:tcPr>
          <w:p w14:paraId="4C64921A" w14:textId="77777777" w:rsidR="00B54D51" w:rsidRPr="00037AD4" w:rsidRDefault="00B54D51" w:rsidP="00401C67">
            <w:pPr>
              <w:rPr>
                <w:rFonts w:asciiTheme="minorHAnsi" w:hAnsiTheme="minorHAnsi" w:cstheme="minorHAnsi"/>
                <w:b/>
                <w:bCs/>
                <w:color w:val="000000"/>
                <w:sz w:val="22"/>
                <w:szCs w:val="22"/>
              </w:rPr>
            </w:pPr>
            <w:r w:rsidRPr="00037AD4">
              <w:rPr>
                <w:rFonts w:asciiTheme="minorHAnsi" w:hAnsiTheme="minorHAnsi" w:cstheme="minorHAnsi"/>
                <w:b/>
                <w:bCs/>
                <w:color w:val="000000"/>
                <w:sz w:val="22"/>
                <w:szCs w:val="22"/>
              </w:rPr>
              <w:t xml:space="preserve">Michalowsky 2021 </w:t>
            </w:r>
          </w:p>
        </w:tc>
        <w:tc>
          <w:tcPr>
            <w:tcW w:w="376" w:type="pct"/>
            <w:shd w:val="clear" w:color="auto" w:fill="auto"/>
            <w:vAlign w:val="bottom"/>
          </w:tcPr>
          <w:p w14:paraId="4945D92B"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428" w:type="pct"/>
            <w:shd w:val="clear" w:color="auto" w:fill="auto"/>
            <w:vAlign w:val="bottom"/>
          </w:tcPr>
          <w:p w14:paraId="17A92BC7"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335" w:type="pct"/>
            <w:shd w:val="clear" w:color="auto" w:fill="auto"/>
            <w:vAlign w:val="bottom"/>
          </w:tcPr>
          <w:p w14:paraId="50012D03"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77</w:t>
            </w:r>
          </w:p>
        </w:tc>
        <w:tc>
          <w:tcPr>
            <w:tcW w:w="351" w:type="pct"/>
            <w:shd w:val="clear" w:color="auto" w:fill="auto"/>
            <w:vAlign w:val="bottom"/>
          </w:tcPr>
          <w:p w14:paraId="58289D03"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522" w:type="pct"/>
            <w:shd w:val="clear" w:color="auto" w:fill="auto"/>
            <w:vAlign w:val="bottom"/>
          </w:tcPr>
          <w:p w14:paraId="291C5C86"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438" w:type="pct"/>
            <w:shd w:val="clear" w:color="auto" w:fill="auto"/>
            <w:vAlign w:val="bottom"/>
          </w:tcPr>
          <w:p w14:paraId="401651C1"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552" w:type="pct"/>
            <w:shd w:val="clear" w:color="auto" w:fill="auto"/>
            <w:vAlign w:val="bottom"/>
          </w:tcPr>
          <w:p w14:paraId="334B211F"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346" w:type="pct"/>
          </w:tcPr>
          <w:p w14:paraId="64426B17" w14:textId="77777777" w:rsidR="00B54D51" w:rsidRPr="00037AD4" w:rsidRDefault="00B54D51" w:rsidP="00401C67">
            <w:pPr>
              <w:rPr>
                <w:rFonts w:asciiTheme="minorHAnsi" w:hAnsiTheme="minorHAnsi" w:cstheme="minorHAnsi"/>
                <w:color w:val="000000"/>
                <w:sz w:val="22"/>
                <w:szCs w:val="22"/>
              </w:rPr>
            </w:pPr>
          </w:p>
          <w:p w14:paraId="63134079"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586" w:type="pct"/>
            <w:shd w:val="clear" w:color="auto" w:fill="auto"/>
            <w:vAlign w:val="bottom"/>
          </w:tcPr>
          <w:p w14:paraId="749D4A1B"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588" w:type="pct"/>
            <w:shd w:val="clear" w:color="auto" w:fill="auto"/>
            <w:vAlign w:val="bottom"/>
          </w:tcPr>
          <w:p w14:paraId="5130DA14"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HIGH</w:t>
            </w:r>
          </w:p>
        </w:tc>
      </w:tr>
      <w:tr w:rsidR="00B54D51" w:rsidRPr="00037AD4" w14:paraId="3FBEBB93" w14:textId="77777777" w:rsidTr="00401C67">
        <w:trPr>
          <w:trHeight w:val="315"/>
        </w:trPr>
        <w:tc>
          <w:tcPr>
            <w:tcW w:w="477" w:type="pct"/>
            <w:shd w:val="clear" w:color="auto" w:fill="auto"/>
            <w:vAlign w:val="bottom"/>
            <w:hideMark/>
          </w:tcPr>
          <w:p w14:paraId="430D7D2F" w14:textId="77777777" w:rsidR="00B54D51" w:rsidRPr="00037AD4" w:rsidRDefault="00B54D51" w:rsidP="00401C67">
            <w:pPr>
              <w:rPr>
                <w:rFonts w:asciiTheme="minorHAnsi" w:hAnsiTheme="minorHAnsi" w:cstheme="minorHAnsi"/>
                <w:b/>
                <w:bCs/>
                <w:color w:val="000000"/>
                <w:sz w:val="22"/>
                <w:szCs w:val="22"/>
              </w:rPr>
            </w:pPr>
            <w:r w:rsidRPr="00037AD4">
              <w:rPr>
                <w:rFonts w:asciiTheme="minorHAnsi" w:hAnsiTheme="minorHAnsi" w:cstheme="minorHAnsi"/>
                <w:b/>
                <w:bCs/>
                <w:color w:val="000000"/>
                <w:sz w:val="22"/>
                <w:szCs w:val="22"/>
              </w:rPr>
              <w:t>Naglie 2011 [1]</w:t>
            </w:r>
          </w:p>
        </w:tc>
        <w:tc>
          <w:tcPr>
            <w:tcW w:w="376" w:type="pct"/>
            <w:shd w:val="clear" w:color="auto" w:fill="auto"/>
            <w:vAlign w:val="bottom"/>
            <w:hideMark/>
          </w:tcPr>
          <w:p w14:paraId="77884D9C"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428" w:type="pct"/>
            <w:shd w:val="clear" w:color="auto" w:fill="auto"/>
            <w:vAlign w:val="bottom"/>
            <w:hideMark/>
          </w:tcPr>
          <w:p w14:paraId="43165C32"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335" w:type="pct"/>
            <w:shd w:val="clear" w:color="auto" w:fill="auto"/>
            <w:vAlign w:val="bottom"/>
            <w:hideMark/>
          </w:tcPr>
          <w:p w14:paraId="4BDBD430"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370</w:t>
            </w:r>
          </w:p>
        </w:tc>
        <w:tc>
          <w:tcPr>
            <w:tcW w:w="351" w:type="pct"/>
            <w:shd w:val="clear" w:color="auto" w:fill="auto"/>
            <w:vAlign w:val="bottom"/>
            <w:hideMark/>
          </w:tcPr>
          <w:p w14:paraId="4B68101A"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522" w:type="pct"/>
            <w:shd w:val="clear" w:color="auto" w:fill="auto"/>
            <w:vAlign w:val="bottom"/>
            <w:hideMark/>
          </w:tcPr>
          <w:p w14:paraId="723E870A"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438" w:type="pct"/>
            <w:shd w:val="clear" w:color="auto" w:fill="auto"/>
            <w:vAlign w:val="bottom"/>
            <w:hideMark/>
          </w:tcPr>
          <w:p w14:paraId="63CF836A"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552" w:type="pct"/>
            <w:shd w:val="clear" w:color="auto" w:fill="auto"/>
            <w:vAlign w:val="bottom"/>
            <w:hideMark/>
          </w:tcPr>
          <w:p w14:paraId="2AF17238"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346" w:type="pct"/>
          </w:tcPr>
          <w:p w14:paraId="0BB799BA" w14:textId="77777777" w:rsidR="00B54D51" w:rsidRPr="00037AD4" w:rsidRDefault="00B54D51" w:rsidP="00401C67">
            <w:pPr>
              <w:rPr>
                <w:rFonts w:asciiTheme="minorHAnsi" w:hAnsiTheme="minorHAnsi" w:cstheme="minorHAnsi"/>
                <w:color w:val="000000"/>
                <w:sz w:val="22"/>
                <w:szCs w:val="22"/>
              </w:rPr>
            </w:pPr>
          </w:p>
          <w:p w14:paraId="1D911DB5" w14:textId="77777777" w:rsidR="00B54D51" w:rsidRPr="00037AD4" w:rsidRDefault="00B54D51" w:rsidP="00401C67">
            <w:pPr>
              <w:rPr>
                <w:rFonts w:asciiTheme="minorHAnsi" w:hAnsiTheme="minorHAnsi" w:cstheme="minorHAnsi"/>
                <w:color w:val="000000"/>
                <w:sz w:val="22"/>
                <w:szCs w:val="22"/>
              </w:rPr>
            </w:pPr>
          </w:p>
          <w:p w14:paraId="632D77E0"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N</w:t>
            </w:r>
          </w:p>
        </w:tc>
        <w:tc>
          <w:tcPr>
            <w:tcW w:w="586" w:type="pct"/>
            <w:shd w:val="clear" w:color="auto" w:fill="auto"/>
            <w:vAlign w:val="bottom"/>
            <w:hideMark/>
          </w:tcPr>
          <w:p w14:paraId="625CC562"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588" w:type="pct"/>
            <w:shd w:val="clear" w:color="auto" w:fill="auto"/>
            <w:vAlign w:val="bottom"/>
            <w:hideMark/>
          </w:tcPr>
          <w:p w14:paraId="1C0D27DB"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HIGH</w:t>
            </w:r>
          </w:p>
        </w:tc>
      </w:tr>
      <w:tr w:rsidR="00B54D51" w:rsidRPr="00037AD4" w14:paraId="3F988307" w14:textId="77777777" w:rsidTr="00401C67">
        <w:trPr>
          <w:trHeight w:val="315"/>
        </w:trPr>
        <w:tc>
          <w:tcPr>
            <w:tcW w:w="477" w:type="pct"/>
            <w:shd w:val="clear" w:color="auto" w:fill="auto"/>
            <w:vAlign w:val="bottom"/>
          </w:tcPr>
          <w:p w14:paraId="132EC707" w14:textId="77777777" w:rsidR="00B54D51" w:rsidRPr="00037AD4" w:rsidRDefault="00B54D51" w:rsidP="00401C67">
            <w:pPr>
              <w:rPr>
                <w:rFonts w:asciiTheme="minorHAnsi" w:hAnsiTheme="minorHAnsi" w:cstheme="minorHAnsi"/>
                <w:b/>
                <w:bCs/>
                <w:color w:val="000000"/>
                <w:sz w:val="22"/>
                <w:szCs w:val="22"/>
              </w:rPr>
            </w:pPr>
            <w:r w:rsidRPr="00037AD4">
              <w:rPr>
                <w:rFonts w:asciiTheme="minorHAnsi" w:hAnsiTheme="minorHAnsi" w:cstheme="minorHAnsi"/>
                <w:b/>
                <w:bCs/>
                <w:color w:val="000000"/>
                <w:sz w:val="22"/>
                <w:szCs w:val="22"/>
              </w:rPr>
              <w:t>Naglie 2011 [2]</w:t>
            </w:r>
          </w:p>
        </w:tc>
        <w:tc>
          <w:tcPr>
            <w:tcW w:w="376" w:type="pct"/>
            <w:shd w:val="clear" w:color="auto" w:fill="auto"/>
            <w:vAlign w:val="bottom"/>
          </w:tcPr>
          <w:p w14:paraId="04961C1B"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428" w:type="pct"/>
            <w:shd w:val="clear" w:color="auto" w:fill="auto"/>
            <w:vAlign w:val="bottom"/>
          </w:tcPr>
          <w:p w14:paraId="0DC0F301"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335" w:type="pct"/>
            <w:shd w:val="clear" w:color="auto" w:fill="auto"/>
            <w:vAlign w:val="bottom"/>
          </w:tcPr>
          <w:p w14:paraId="3E3733DF"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412</w:t>
            </w:r>
          </w:p>
        </w:tc>
        <w:tc>
          <w:tcPr>
            <w:tcW w:w="351" w:type="pct"/>
            <w:shd w:val="clear" w:color="auto" w:fill="auto"/>
            <w:vAlign w:val="bottom"/>
          </w:tcPr>
          <w:p w14:paraId="66CDC8ED"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522" w:type="pct"/>
            <w:shd w:val="clear" w:color="auto" w:fill="auto"/>
            <w:vAlign w:val="bottom"/>
          </w:tcPr>
          <w:p w14:paraId="7FA220E8"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438" w:type="pct"/>
            <w:shd w:val="clear" w:color="auto" w:fill="auto"/>
            <w:vAlign w:val="bottom"/>
          </w:tcPr>
          <w:p w14:paraId="09D56B4E"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552" w:type="pct"/>
            <w:shd w:val="clear" w:color="auto" w:fill="auto"/>
            <w:vAlign w:val="bottom"/>
          </w:tcPr>
          <w:p w14:paraId="5B824F19"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346" w:type="pct"/>
          </w:tcPr>
          <w:p w14:paraId="31216207"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N</w:t>
            </w:r>
          </w:p>
        </w:tc>
        <w:tc>
          <w:tcPr>
            <w:tcW w:w="586" w:type="pct"/>
            <w:shd w:val="clear" w:color="auto" w:fill="auto"/>
            <w:vAlign w:val="bottom"/>
          </w:tcPr>
          <w:p w14:paraId="68BA6841"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588" w:type="pct"/>
            <w:shd w:val="clear" w:color="auto" w:fill="auto"/>
            <w:vAlign w:val="bottom"/>
          </w:tcPr>
          <w:p w14:paraId="523E6AEA"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HIGH</w:t>
            </w:r>
          </w:p>
        </w:tc>
      </w:tr>
      <w:tr w:rsidR="00B54D51" w:rsidRPr="00037AD4" w14:paraId="74438C03" w14:textId="77777777" w:rsidTr="00401C67">
        <w:trPr>
          <w:trHeight w:val="315"/>
        </w:trPr>
        <w:tc>
          <w:tcPr>
            <w:tcW w:w="477" w:type="pct"/>
            <w:shd w:val="clear" w:color="auto" w:fill="auto"/>
            <w:vAlign w:val="bottom"/>
          </w:tcPr>
          <w:p w14:paraId="58E76C39" w14:textId="77777777" w:rsidR="00B54D51" w:rsidRPr="00037AD4" w:rsidRDefault="00B54D51" w:rsidP="00401C67">
            <w:pPr>
              <w:rPr>
                <w:rFonts w:asciiTheme="minorHAnsi" w:hAnsiTheme="minorHAnsi" w:cstheme="minorHAnsi"/>
                <w:b/>
                <w:bCs/>
                <w:color w:val="000000"/>
                <w:sz w:val="22"/>
                <w:szCs w:val="22"/>
              </w:rPr>
            </w:pPr>
            <w:r w:rsidRPr="00037AD4">
              <w:rPr>
                <w:rFonts w:asciiTheme="minorHAnsi" w:hAnsiTheme="minorHAnsi" w:cstheme="minorHAnsi"/>
                <w:b/>
                <w:bCs/>
                <w:color w:val="000000"/>
                <w:sz w:val="22"/>
                <w:szCs w:val="22"/>
              </w:rPr>
              <w:t>Orgeta 2015</w:t>
            </w:r>
          </w:p>
        </w:tc>
        <w:tc>
          <w:tcPr>
            <w:tcW w:w="376" w:type="pct"/>
            <w:shd w:val="clear" w:color="auto" w:fill="auto"/>
            <w:vAlign w:val="bottom"/>
          </w:tcPr>
          <w:p w14:paraId="412FA7E4"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428" w:type="pct"/>
            <w:shd w:val="clear" w:color="auto" w:fill="auto"/>
            <w:vAlign w:val="bottom"/>
          </w:tcPr>
          <w:p w14:paraId="5C489FDB"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335" w:type="pct"/>
            <w:shd w:val="clear" w:color="auto" w:fill="auto"/>
            <w:vAlign w:val="bottom"/>
          </w:tcPr>
          <w:p w14:paraId="69298014"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478</w:t>
            </w:r>
          </w:p>
        </w:tc>
        <w:tc>
          <w:tcPr>
            <w:tcW w:w="351" w:type="pct"/>
            <w:shd w:val="clear" w:color="auto" w:fill="auto"/>
            <w:vAlign w:val="bottom"/>
          </w:tcPr>
          <w:p w14:paraId="78237234"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522" w:type="pct"/>
            <w:shd w:val="clear" w:color="auto" w:fill="auto"/>
            <w:vAlign w:val="bottom"/>
          </w:tcPr>
          <w:p w14:paraId="02E12729"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438" w:type="pct"/>
            <w:shd w:val="clear" w:color="auto" w:fill="auto"/>
            <w:vAlign w:val="bottom"/>
          </w:tcPr>
          <w:p w14:paraId="12A80386"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552" w:type="pct"/>
            <w:shd w:val="clear" w:color="auto" w:fill="auto"/>
            <w:vAlign w:val="bottom"/>
          </w:tcPr>
          <w:p w14:paraId="529BE4ED"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346" w:type="pct"/>
          </w:tcPr>
          <w:p w14:paraId="41AA4040"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586" w:type="pct"/>
            <w:shd w:val="clear" w:color="auto" w:fill="auto"/>
            <w:vAlign w:val="bottom"/>
          </w:tcPr>
          <w:p w14:paraId="3B6F9D29"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588" w:type="pct"/>
            <w:shd w:val="clear" w:color="auto" w:fill="auto"/>
            <w:vAlign w:val="bottom"/>
          </w:tcPr>
          <w:p w14:paraId="43ECF36E"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HIGH</w:t>
            </w:r>
          </w:p>
        </w:tc>
      </w:tr>
      <w:tr w:rsidR="00B54D51" w:rsidRPr="00037AD4" w14:paraId="5C46124A" w14:textId="77777777" w:rsidTr="00401C67">
        <w:trPr>
          <w:trHeight w:val="315"/>
        </w:trPr>
        <w:tc>
          <w:tcPr>
            <w:tcW w:w="477" w:type="pct"/>
            <w:shd w:val="clear" w:color="auto" w:fill="auto"/>
            <w:vAlign w:val="bottom"/>
          </w:tcPr>
          <w:p w14:paraId="5E5F531D" w14:textId="77777777" w:rsidR="00B54D51" w:rsidRPr="00037AD4" w:rsidRDefault="00B54D51" w:rsidP="00401C67">
            <w:pPr>
              <w:rPr>
                <w:rFonts w:asciiTheme="minorHAnsi" w:hAnsiTheme="minorHAnsi" w:cstheme="minorHAnsi"/>
                <w:b/>
                <w:bCs/>
                <w:color w:val="000000"/>
                <w:sz w:val="22"/>
                <w:szCs w:val="22"/>
              </w:rPr>
            </w:pPr>
            <w:r w:rsidRPr="00037AD4">
              <w:rPr>
                <w:rFonts w:asciiTheme="minorHAnsi" w:hAnsiTheme="minorHAnsi" w:cstheme="minorHAnsi"/>
                <w:b/>
                <w:bCs/>
                <w:color w:val="000000"/>
                <w:sz w:val="22"/>
                <w:szCs w:val="22"/>
              </w:rPr>
              <w:t xml:space="preserve">Schiffczyk 2010 </w:t>
            </w:r>
          </w:p>
        </w:tc>
        <w:tc>
          <w:tcPr>
            <w:tcW w:w="376" w:type="pct"/>
            <w:shd w:val="clear" w:color="auto" w:fill="auto"/>
            <w:vAlign w:val="bottom"/>
          </w:tcPr>
          <w:p w14:paraId="0A045B7A"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428" w:type="pct"/>
            <w:shd w:val="clear" w:color="auto" w:fill="auto"/>
            <w:vAlign w:val="bottom"/>
          </w:tcPr>
          <w:p w14:paraId="643605ED"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335" w:type="pct"/>
            <w:shd w:val="clear" w:color="auto" w:fill="auto"/>
            <w:vAlign w:val="bottom"/>
          </w:tcPr>
          <w:p w14:paraId="078E2E31"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137</w:t>
            </w:r>
          </w:p>
        </w:tc>
        <w:tc>
          <w:tcPr>
            <w:tcW w:w="351" w:type="pct"/>
            <w:shd w:val="clear" w:color="auto" w:fill="auto"/>
            <w:vAlign w:val="bottom"/>
          </w:tcPr>
          <w:p w14:paraId="748EC026"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522" w:type="pct"/>
            <w:shd w:val="clear" w:color="auto" w:fill="auto"/>
            <w:vAlign w:val="bottom"/>
          </w:tcPr>
          <w:p w14:paraId="236E7468"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438" w:type="pct"/>
            <w:shd w:val="clear" w:color="auto" w:fill="auto"/>
            <w:vAlign w:val="bottom"/>
          </w:tcPr>
          <w:p w14:paraId="5F748455"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552" w:type="pct"/>
            <w:shd w:val="clear" w:color="auto" w:fill="auto"/>
            <w:vAlign w:val="bottom"/>
          </w:tcPr>
          <w:p w14:paraId="1405A6D2"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346" w:type="pct"/>
          </w:tcPr>
          <w:p w14:paraId="37DD7605"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N</w:t>
            </w:r>
          </w:p>
        </w:tc>
        <w:tc>
          <w:tcPr>
            <w:tcW w:w="586" w:type="pct"/>
            <w:shd w:val="clear" w:color="auto" w:fill="auto"/>
            <w:vAlign w:val="bottom"/>
          </w:tcPr>
          <w:p w14:paraId="46056C57"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N</w:t>
            </w:r>
          </w:p>
        </w:tc>
        <w:tc>
          <w:tcPr>
            <w:tcW w:w="588" w:type="pct"/>
            <w:shd w:val="clear" w:color="auto" w:fill="auto"/>
            <w:vAlign w:val="bottom"/>
          </w:tcPr>
          <w:p w14:paraId="591A2D3B"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MEDIUM</w:t>
            </w:r>
          </w:p>
        </w:tc>
      </w:tr>
      <w:tr w:rsidR="00B54D51" w:rsidRPr="00037AD4" w14:paraId="2F80CB1B" w14:textId="77777777" w:rsidTr="00401C67">
        <w:trPr>
          <w:trHeight w:val="315"/>
        </w:trPr>
        <w:tc>
          <w:tcPr>
            <w:tcW w:w="477" w:type="pct"/>
            <w:shd w:val="clear" w:color="auto" w:fill="auto"/>
            <w:vAlign w:val="bottom"/>
          </w:tcPr>
          <w:p w14:paraId="07388344" w14:textId="77777777" w:rsidR="00B54D51" w:rsidRPr="00037AD4" w:rsidRDefault="00B54D51" w:rsidP="00401C67">
            <w:pPr>
              <w:rPr>
                <w:rFonts w:asciiTheme="minorHAnsi" w:hAnsiTheme="minorHAnsi" w:cstheme="minorHAnsi"/>
                <w:b/>
                <w:bCs/>
                <w:color w:val="000000"/>
                <w:sz w:val="22"/>
                <w:szCs w:val="22"/>
              </w:rPr>
            </w:pPr>
            <w:r w:rsidRPr="00037AD4">
              <w:rPr>
                <w:rFonts w:asciiTheme="minorHAnsi" w:hAnsiTheme="minorHAnsi" w:cstheme="minorHAnsi"/>
                <w:b/>
                <w:bCs/>
                <w:color w:val="000000"/>
                <w:sz w:val="22"/>
                <w:szCs w:val="22"/>
              </w:rPr>
              <w:t>Sheehan 2012</w:t>
            </w:r>
          </w:p>
        </w:tc>
        <w:tc>
          <w:tcPr>
            <w:tcW w:w="376" w:type="pct"/>
            <w:shd w:val="clear" w:color="auto" w:fill="auto"/>
            <w:vAlign w:val="bottom"/>
          </w:tcPr>
          <w:p w14:paraId="1E108E23"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428" w:type="pct"/>
            <w:shd w:val="clear" w:color="auto" w:fill="auto"/>
            <w:vAlign w:val="bottom"/>
          </w:tcPr>
          <w:p w14:paraId="7C29A4A9"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335" w:type="pct"/>
            <w:shd w:val="clear" w:color="auto" w:fill="auto"/>
            <w:vAlign w:val="bottom"/>
          </w:tcPr>
          <w:p w14:paraId="649EE054"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112</w:t>
            </w:r>
          </w:p>
        </w:tc>
        <w:tc>
          <w:tcPr>
            <w:tcW w:w="351" w:type="pct"/>
            <w:shd w:val="clear" w:color="auto" w:fill="auto"/>
            <w:vAlign w:val="bottom"/>
          </w:tcPr>
          <w:p w14:paraId="3E10D6F3"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522" w:type="pct"/>
            <w:shd w:val="clear" w:color="auto" w:fill="auto"/>
            <w:vAlign w:val="bottom"/>
          </w:tcPr>
          <w:p w14:paraId="2712F95A"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438" w:type="pct"/>
            <w:shd w:val="clear" w:color="auto" w:fill="auto"/>
            <w:vAlign w:val="bottom"/>
          </w:tcPr>
          <w:p w14:paraId="1DF4B9B4"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552" w:type="pct"/>
            <w:shd w:val="clear" w:color="auto" w:fill="auto"/>
            <w:vAlign w:val="bottom"/>
          </w:tcPr>
          <w:p w14:paraId="5084F738"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346" w:type="pct"/>
          </w:tcPr>
          <w:p w14:paraId="180D0E77"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N</w:t>
            </w:r>
          </w:p>
        </w:tc>
        <w:tc>
          <w:tcPr>
            <w:tcW w:w="586" w:type="pct"/>
            <w:shd w:val="clear" w:color="auto" w:fill="auto"/>
            <w:vAlign w:val="bottom"/>
          </w:tcPr>
          <w:p w14:paraId="47F0AD04"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588" w:type="pct"/>
            <w:shd w:val="clear" w:color="auto" w:fill="auto"/>
            <w:vAlign w:val="bottom"/>
          </w:tcPr>
          <w:p w14:paraId="772A5EB9"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HIGH</w:t>
            </w:r>
          </w:p>
        </w:tc>
      </w:tr>
      <w:tr w:rsidR="00B54D51" w:rsidRPr="00037AD4" w14:paraId="67D4BA77" w14:textId="77777777" w:rsidTr="00401C67">
        <w:trPr>
          <w:trHeight w:val="315"/>
        </w:trPr>
        <w:tc>
          <w:tcPr>
            <w:tcW w:w="477" w:type="pct"/>
            <w:shd w:val="clear" w:color="auto" w:fill="auto"/>
            <w:vAlign w:val="bottom"/>
          </w:tcPr>
          <w:p w14:paraId="7AFC93DC" w14:textId="77777777" w:rsidR="00B54D51" w:rsidRPr="00037AD4" w:rsidRDefault="00B54D51" w:rsidP="00401C67">
            <w:pPr>
              <w:rPr>
                <w:rFonts w:asciiTheme="minorHAnsi" w:hAnsiTheme="minorHAnsi" w:cstheme="minorHAnsi"/>
                <w:b/>
                <w:bCs/>
                <w:color w:val="000000"/>
                <w:sz w:val="22"/>
                <w:szCs w:val="22"/>
              </w:rPr>
            </w:pPr>
            <w:r w:rsidRPr="00037AD4">
              <w:rPr>
                <w:rFonts w:asciiTheme="minorHAnsi" w:hAnsiTheme="minorHAnsi" w:cstheme="minorHAnsi"/>
                <w:b/>
                <w:bCs/>
                <w:color w:val="000000"/>
                <w:sz w:val="22"/>
                <w:szCs w:val="22"/>
              </w:rPr>
              <w:t>Trigg 2015</w:t>
            </w:r>
          </w:p>
        </w:tc>
        <w:tc>
          <w:tcPr>
            <w:tcW w:w="376" w:type="pct"/>
            <w:shd w:val="clear" w:color="auto" w:fill="auto"/>
            <w:vAlign w:val="bottom"/>
          </w:tcPr>
          <w:p w14:paraId="46C162F2"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428" w:type="pct"/>
            <w:shd w:val="clear" w:color="auto" w:fill="auto"/>
            <w:vAlign w:val="bottom"/>
          </w:tcPr>
          <w:p w14:paraId="03FDB9DB"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335" w:type="pct"/>
            <w:shd w:val="clear" w:color="auto" w:fill="auto"/>
            <w:vAlign w:val="bottom"/>
          </w:tcPr>
          <w:p w14:paraId="37CFB52A"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145</w:t>
            </w:r>
          </w:p>
        </w:tc>
        <w:tc>
          <w:tcPr>
            <w:tcW w:w="351" w:type="pct"/>
            <w:shd w:val="clear" w:color="auto" w:fill="auto"/>
            <w:vAlign w:val="bottom"/>
          </w:tcPr>
          <w:p w14:paraId="3665E559"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522" w:type="pct"/>
            <w:shd w:val="clear" w:color="auto" w:fill="auto"/>
            <w:vAlign w:val="bottom"/>
          </w:tcPr>
          <w:p w14:paraId="7E1C600B"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438" w:type="pct"/>
            <w:shd w:val="clear" w:color="auto" w:fill="auto"/>
            <w:vAlign w:val="bottom"/>
          </w:tcPr>
          <w:p w14:paraId="219D8899"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552" w:type="pct"/>
            <w:shd w:val="clear" w:color="auto" w:fill="auto"/>
            <w:vAlign w:val="bottom"/>
          </w:tcPr>
          <w:p w14:paraId="338E2023"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346" w:type="pct"/>
          </w:tcPr>
          <w:p w14:paraId="6E73AE49"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N</w:t>
            </w:r>
          </w:p>
        </w:tc>
        <w:tc>
          <w:tcPr>
            <w:tcW w:w="586" w:type="pct"/>
            <w:shd w:val="clear" w:color="auto" w:fill="auto"/>
            <w:vAlign w:val="bottom"/>
          </w:tcPr>
          <w:p w14:paraId="66F222F9"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N</w:t>
            </w:r>
          </w:p>
        </w:tc>
        <w:tc>
          <w:tcPr>
            <w:tcW w:w="588" w:type="pct"/>
            <w:shd w:val="clear" w:color="auto" w:fill="auto"/>
            <w:vAlign w:val="bottom"/>
          </w:tcPr>
          <w:p w14:paraId="72349F6B"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MEDIUM</w:t>
            </w:r>
          </w:p>
        </w:tc>
      </w:tr>
      <w:tr w:rsidR="00B54D51" w:rsidRPr="00037AD4" w14:paraId="3116F574" w14:textId="77777777" w:rsidTr="00401C67">
        <w:trPr>
          <w:trHeight w:val="315"/>
        </w:trPr>
        <w:tc>
          <w:tcPr>
            <w:tcW w:w="477" w:type="pct"/>
            <w:shd w:val="clear" w:color="auto" w:fill="auto"/>
            <w:vAlign w:val="bottom"/>
          </w:tcPr>
          <w:p w14:paraId="670244F7" w14:textId="77777777" w:rsidR="00B54D51" w:rsidRPr="00037AD4" w:rsidRDefault="00B54D51" w:rsidP="00401C67">
            <w:pPr>
              <w:rPr>
                <w:rFonts w:asciiTheme="minorHAnsi" w:hAnsiTheme="minorHAnsi" w:cstheme="minorHAnsi"/>
                <w:b/>
                <w:bCs/>
                <w:color w:val="000000"/>
                <w:sz w:val="22"/>
                <w:szCs w:val="22"/>
              </w:rPr>
            </w:pPr>
            <w:r w:rsidRPr="00037AD4">
              <w:rPr>
                <w:rFonts w:asciiTheme="minorHAnsi" w:hAnsiTheme="minorHAnsi" w:cstheme="minorHAnsi"/>
                <w:b/>
                <w:bCs/>
                <w:color w:val="000000"/>
                <w:sz w:val="22"/>
                <w:szCs w:val="22"/>
              </w:rPr>
              <w:t>van de Veek 2019</w:t>
            </w:r>
          </w:p>
        </w:tc>
        <w:tc>
          <w:tcPr>
            <w:tcW w:w="376" w:type="pct"/>
            <w:shd w:val="clear" w:color="auto" w:fill="auto"/>
            <w:vAlign w:val="bottom"/>
          </w:tcPr>
          <w:p w14:paraId="5D1C9A7C"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428" w:type="pct"/>
            <w:shd w:val="clear" w:color="auto" w:fill="auto"/>
            <w:vAlign w:val="bottom"/>
          </w:tcPr>
          <w:p w14:paraId="2D5F7053"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335" w:type="pct"/>
            <w:shd w:val="clear" w:color="auto" w:fill="auto"/>
            <w:vAlign w:val="bottom"/>
          </w:tcPr>
          <w:p w14:paraId="4164DB7F"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138</w:t>
            </w:r>
          </w:p>
        </w:tc>
        <w:tc>
          <w:tcPr>
            <w:tcW w:w="351" w:type="pct"/>
            <w:shd w:val="clear" w:color="auto" w:fill="auto"/>
            <w:vAlign w:val="bottom"/>
          </w:tcPr>
          <w:p w14:paraId="55456B94"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522" w:type="pct"/>
            <w:shd w:val="clear" w:color="auto" w:fill="auto"/>
            <w:vAlign w:val="bottom"/>
          </w:tcPr>
          <w:p w14:paraId="633D01CD"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N</w:t>
            </w:r>
          </w:p>
        </w:tc>
        <w:tc>
          <w:tcPr>
            <w:tcW w:w="438" w:type="pct"/>
            <w:shd w:val="clear" w:color="auto" w:fill="auto"/>
            <w:vAlign w:val="bottom"/>
          </w:tcPr>
          <w:p w14:paraId="367B0B09"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552" w:type="pct"/>
            <w:shd w:val="clear" w:color="auto" w:fill="auto"/>
            <w:vAlign w:val="bottom"/>
          </w:tcPr>
          <w:p w14:paraId="296331E3"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346" w:type="pct"/>
          </w:tcPr>
          <w:p w14:paraId="5D7D8E3B"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N</w:t>
            </w:r>
          </w:p>
        </w:tc>
        <w:tc>
          <w:tcPr>
            <w:tcW w:w="586" w:type="pct"/>
            <w:shd w:val="clear" w:color="auto" w:fill="auto"/>
            <w:vAlign w:val="bottom"/>
          </w:tcPr>
          <w:p w14:paraId="34C65330"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588" w:type="pct"/>
            <w:shd w:val="clear" w:color="auto" w:fill="auto"/>
            <w:vAlign w:val="bottom"/>
          </w:tcPr>
          <w:p w14:paraId="3772258A"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MEDIUM</w:t>
            </w:r>
          </w:p>
        </w:tc>
      </w:tr>
      <w:tr w:rsidR="00B54D51" w:rsidRPr="00037AD4" w14:paraId="5A2C04D6" w14:textId="77777777" w:rsidTr="00401C67">
        <w:trPr>
          <w:trHeight w:val="315"/>
        </w:trPr>
        <w:tc>
          <w:tcPr>
            <w:tcW w:w="477" w:type="pct"/>
            <w:shd w:val="clear" w:color="auto" w:fill="auto"/>
            <w:vAlign w:val="bottom"/>
          </w:tcPr>
          <w:p w14:paraId="58D32035" w14:textId="77777777" w:rsidR="00B54D51" w:rsidRPr="00037AD4" w:rsidRDefault="00B54D51" w:rsidP="00401C67">
            <w:pPr>
              <w:rPr>
                <w:rFonts w:asciiTheme="minorHAnsi" w:hAnsiTheme="minorHAnsi" w:cstheme="minorHAnsi"/>
                <w:b/>
                <w:bCs/>
                <w:color w:val="000000"/>
                <w:sz w:val="22"/>
                <w:szCs w:val="22"/>
              </w:rPr>
            </w:pPr>
            <w:r w:rsidRPr="00037AD4">
              <w:rPr>
                <w:rFonts w:asciiTheme="minorHAnsi" w:hAnsiTheme="minorHAnsi" w:cstheme="minorHAnsi"/>
                <w:b/>
                <w:bCs/>
                <w:color w:val="000000"/>
                <w:sz w:val="22"/>
                <w:szCs w:val="22"/>
              </w:rPr>
              <w:t xml:space="preserve">Vogel 2006 </w:t>
            </w:r>
          </w:p>
        </w:tc>
        <w:tc>
          <w:tcPr>
            <w:tcW w:w="376" w:type="pct"/>
            <w:shd w:val="clear" w:color="auto" w:fill="auto"/>
            <w:vAlign w:val="bottom"/>
          </w:tcPr>
          <w:p w14:paraId="36876C84"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428" w:type="pct"/>
            <w:shd w:val="clear" w:color="auto" w:fill="auto"/>
            <w:vAlign w:val="bottom"/>
          </w:tcPr>
          <w:p w14:paraId="045AE6F0"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335" w:type="pct"/>
            <w:shd w:val="clear" w:color="auto" w:fill="auto"/>
            <w:vAlign w:val="bottom"/>
          </w:tcPr>
          <w:p w14:paraId="2E5A36A4"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48</w:t>
            </w:r>
          </w:p>
        </w:tc>
        <w:tc>
          <w:tcPr>
            <w:tcW w:w="351" w:type="pct"/>
            <w:shd w:val="clear" w:color="auto" w:fill="auto"/>
            <w:vAlign w:val="bottom"/>
          </w:tcPr>
          <w:p w14:paraId="55EF06EC"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522" w:type="pct"/>
            <w:shd w:val="clear" w:color="auto" w:fill="auto"/>
            <w:vAlign w:val="bottom"/>
          </w:tcPr>
          <w:p w14:paraId="4DE9614D"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438" w:type="pct"/>
            <w:shd w:val="clear" w:color="auto" w:fill="auto"/>
            <w:vAlign w:val="bottom"/>
          </w:tcPr>
          <w:p w14:paraId="0D46B173"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552" w:type="pct"/>
            <w:shd w:val="clear" w:color="auto" w:fill="auto"/>
            <w:vAlign w:val="bottom"/>
          </w:tcPr>
          <w:p w14:paraId="6C124086"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346" w:type="pct"/>
          </w:tcPr>
          <w:p w14:paraId="134233EB"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N</w:t>
            </w:r>
          </w:p>
        </w:tc>
        <w:tc>
          <w:tcPr>
            <w:tcW w:w="586" w:type="pct"/>
            <w:shd w:val="clear" w:color="auto" w:fill="auto"/>
            <w:vAlign w:val="bottom"/>
          </w:tcPr>
          <w:p w14:paraId="6DCE6CC0"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Y</w:t>
            </w:r>
          </w:p>
        </w:tc>
        <w:tc>
          <w:tcPr>
            <w:tcW w:w="588" w:type="pct"/>
            <w:shd w:val="clear" w:color="auto" w:fill="auto"/>
            <w:vAlign w:val="bottom"/>
          </w:tcPr>
          <w:p w14:paraId="232EEC4D" w14:textId="77777777" w:rsidR="00B54D51" w:rsidRPr="00037AD4" w:rsidRDefault="00B54D51" w:rsidP="00401C67">
            <w:pPr>
              <w:rPr>
                <w:rFonts w:asciiTheme="minorHAnsi" w:hAnsiTheme="minorHAnsi" w:cstheme="minorHAnsi"/>
                <w:color w:val="000000"/>
                <w:sz w:val="22"/>
                <w:szCs w:val="22"/>
              </w:rPr>
            </w:pPr>
            <w:r w:rsidRPr="00037AD4">
              <w:rPr>
                <w:rFonts w:asciiTheme="minorHAnsi" w:hAnsiTheme="minorHAnsi" w:cstheme="minorHAnsi"/>
                <w:color w:val="000000"/>
                <w:sz w:val="22"/>
                <w:szCs w:val="22"/>
              </w:rPr>
              <w:t xml:space="preserve">MEDIUM </w:t>
            </w:r>
          </w:p>
        </w:tc>
      </w:tr>
    </w:tbl>
    <w:p w14:paraId="65C26ECA" w14:textId="77777777" w:rsidR="00B54D51" w:rsidRPr="00037AD4" w:rsidRDefault="00B54D51" w:rsidP="001D7ACE">
      <w:pPr>
        <w:rPr>
          <w:rFonts w:asciiTheme="minorHAnsi" w:hAnsiTheme="minorHAnsi" w:cstheme="minorHAnsi"/>
          <w:b/>
          <w:bCs/>
          <w:sz w:val="22"/>
          <w:szCs w:val="22"/>
          <w:u w:val="single"/>
        </w:rPr>
      </w:pPr>
    </w:p>
    <w:p w14:paraId="6F212E8C" w14:textId="77777777" w:rsidR="00B54D51" w:rsidRPr="00037AD4" w:rsidRDefault="00B54D51" w:rsidP="001D7ACE">
      <w:pPr>
        <w:rPr>
          <w:rFonts w:asciiTheme="minorHAnsi" w:hAnsiTheme="minorHAnsi" w:cstheme="minorHAnsi"/>
          <w:b/>
          <w:bCs/>
          <w:u w:val="single"/>
        </w:rPr>
      </w:pPr>
    </w:p>
    <w:p w14:paraId="670391AA" w14:textId="77777777" w:rsidR="00B54D51" w:rsidRPr="00037AD4" w:rsidRDefault="00B54D51" w:rsidP="001D7ACE">
      <w:pPr>
        <w:rPr>
          <w:rFonts w:asciiTheme="minorHAnsi" w:hAnsiTheme="minorHAnsi" w:cstheme="minorHAnsi"/>
          <w:b/>
          <w:bCs/>
          <w:u w:val="single"/>
        </w:rPr>
      </w:pPr>
    </w:p>
    <w:p w14:paraId="0EF81AAD" w14:textId="77777777" w:rsidR="00B54D51" w:rsidRPr="00037AD4" w:rsidRDefault="00B54D51" w:rsidP="001D7ACE">
      <w:pPr>
        <w:rPr>
          <w:rFonts w:asciiTheme="minorHAnsi" w:hAnsiTheme="minorHAnsi" w:cstheme="minorHAnsi"/>
          <w:b/>
          <w:bCs/>
          <w:u w:val="single"/>
        </w:rPr>
      </w:pPr>
    </w:p>
    <w:p w14:paraId="5F24123F" w14:textId="77777777" w:rsidR="00B54D51" w:rsidRPr="00037AD4" w:rsidRDefault="00B54D51" w:rsidP="007A43F9">
      <w:pPr>
        <w:pStyle w:val="Heading2"/>
      </w:pPr>
      <w:bookmarkStart w:id="477" w:name="A37"/>
      <w:bookmarkStart w:id="478" w:name="_Toc175742401"/>
      <w:r w:rsidRPr="00037AD4">
        <w:lastRenderedPageBreak/>
        <w:t>Appendix 3.7 Study characteristics table</w:t>
      </w:r>
      <w:bookmarkEnd w:id="478"/>
      <w:r w:rsidRPr="00037AD4">
        <w:t xml:space="preserve"> </w:t>
      </w:r>
    </w:p>
    <w:bookmarkEnd w:id="477"/>
    <w:p w14:paraId="05DCEBF5" w14:textId="77777777" w:rsidR="00B54D51" w:rsidRPr="00037AD4" w:rsidRDefault="00B54D51" w:rsidP="001D7ACE">
      <w:pPr>
        <w:rPr>
          <w:rFonts w:asciiTheme="minorHAnsi" w:hAnsiTheme="minorHAnsi" w:cstheme="minorHAnsi"/>
          <w:b/>
          <w:bCs/>
          <w:u w:val="single"/>
        </w:rPr>
      </w:pPr>
    </w:p>
    <w:tbl>
      <w:tblPr>
        <w:tblStyle w:val="TableGrid"/>
        <w:tblW w:w="5000" w:type="pct"/>
        <w:jc w:val="center"/>
        <w:tblLook w:val="04A0" w:firstRow="1" w:lastRow="0" w:firstColumn="1" w:lastColumn="0" w:noHBand="0" w:noVBand="1"/>
      </w:tblPr>
      <w:tblGrid>
        <w:gridCol w:w="1218"/>
        <w:gridCol w:w="1102"/>
        <w:gridCol w:w="1236"/>
        <w:gridCol w:w="576"/>
        <w:gridCol w:w="921"/>
        <w:gridCol w:w="1376"/>
        <w:gridCol w:w="1359"/>
        <w:gridCol w:w="696"/>
        <w:gridCol w:w="728"/>
        <w:gridCol w:w="558"/>
        <w:gridCol w:w="1467"/>
        <w:gridCol w:w="635"/>
        <w:gridCol w:w="773"/>
        <w:gridCol w:w="1303"/>
      </w:tblGrid>
      <w:tr w:rsidR="00B54D51" w:rsidRPr="00037AD4" w14:paraId="3DB8B78E" w14:textId="77777777" w:rsidTr="00401C67">
        <w:trPr>
          <w:jc w:val="center"/>
        </w:trPr>
        <w:tc>
          <w:tcPr>
            <w:tcW w:w="443" w:type="pct"/>
          </w:tcPr>
          <w:p w14:paraId="0754CD28" w14:textId="77777777" w:rsidR="00B54D51" w:rsidRPr="00037AD4" w:rsidRDefault="00B54D51" w:rsidP="00401C67">
            <w:pPr>
              <w:rPr>
                <w:rFonts w:asciiTheme="minorHAnsi" w:hAnsiTheme="minorHAnsi" w:cstheme="minorHAnsi"/>
                <w:b/>
                <w:bCs/>
                <w:sz w:val="22"/>
                <w:szCs w:val="22"/>
              </w:rPr>
            </w:pPr>
            <w:r w:rsidRPr="00037AD4">
              <w:rPr>
                <w:rFonts w:asciiTheme="minorHAnsi" w:hAnsiTheme="minorHAnsi" w:cstheme="minorHAnsi"/>
                <w:b/>
                <w:bCs/>
                <w:sz w:val="22"/>
                <w:szCs w:val="22"/>
              </w:rPr>
              <w:t>Author, year</w:t>
            </w:r>
          </w:p>
        </w:tc>
        <w:tc>
          <w:tcPr>
            <w:tcW w:w="396" w:type="pct"/>
          </w:tcPr>
          <w:p w14:paraId="5B4F1F04" w14:textId="77777777" w:rsidR="00B54D51" w:rsidRPr="00037AD4" w:rsidRDefault="00B54D51" w:rsidP="00401C67">
            <w:pPr>
              <w:rPr>
                <w:rFonts w:asciiTheme="minorHAnsi" w:hAnsiTheme="minorHAnsi" w:cstheme="minorHAnsi"/>
                <w:b/>
                <w:bCs/>
                <w:sz w:val="22"/>
                <w:szCs w:val="22"/>
              </w:rPr>
            </w:pPr>
            <w:r w:rsidRPr="00037AD4">
              <w:rPr>
                <w:rFonts w:asciiTheme="minorHAnsi" w:hAnsiTheme="minorHAnsi" w:cstheme="minorHAnsi"/>
                <w:b/>
                <w:bCs/>
                <w:sz w:val="22"/>
                <w:szCs w:val="22"/>
              </w:rPr>
              <w:t>Country</w:t>
            </w:r>
          </w:p>
        </w:tc>
        <w:tc>
          <w:tcPr>
            <w:tcW w:w="430" w:type="pct"/>
          </w:tcPr>
          <w:p w14:paraId="0565D218" w14:textId="77777777" w:rsidR="00B54D51" w:rsidRPr="00037AD4" w:rsidRDefault="00B54D51" w:rsidP="00401C67">
            <w:pPr>
              <w:rPr>
                <w:rFonts w:asciiTheme="minorHAnsi" w:hAnsiTheme="minorHAnsi" w:cstheme="minorHAnsi"/>
                <w:b/>
                <w:bCs/>
                <w:sz w:val="22"/>
                <w:szCs w:val="22"/>
              </w:rPr>
            </w:pPr>
            <w:r w:rsidRPr="00037AD4">
              <w:rPr>
                <w:rFonts w:asciiTheme="minorHAnsi" w:hAnsiTheme="minorHAnsi" w:cstheme="minorHAnsi"/>
                <w:b/>
                <w:bCs/>
                <w:sz w:val="22"/>
                <w:szCs w:val="22"/>
              </w:rPr>
              <w:t>Study design (of data origin)</w:t>
            </w:r>
          </w:p>
        </w:tc>
        <w:tc>
          <w:tcPr>
            <w:tcW w:w="202" w:type="pct"/>
          </w:tcPr>
          <w:p w14:paraId="2E399CF0" w14:textId="77777777" w:rsidR="00B54D51" w:rsidRPr="00037AD4" w:rsidRDefault="00B54D51" w:rsidP="00401C67">
            <w:pPr>
              <w:rPr>
                <w:rFonts w:asciiTheme="minorHAnsi" w:hAnsiTheme="minorHAnsi" w:cstheme="minorHAnsi"/>
                <w:b/>
                <w:bCs/>
                <w:sz w:val="22"/>
                <w:szCs w:val="22"/>
              </w:rPr>
            </w:pPr>
            <w:r w:rsidRPr="00037AD4">
              <w:rPr>
                <w:rFonts w:asciiTheme="minorHAnsi" w:hAnsiTheme="minorHAnsi" w:cstheme="minorHAnsi"/>
                <w:b/>
                <w:bCs/>
                <w:sz w:val="22"/>
                <w:szCs w:val="22"/>
              </w:rPr>
              <w:t>n</w:t>
            </w:r>
          </w:p>
        </w:tc>
        <w:tc>
          <w:tcPr>
            <w:tcW w:w="335" w:type="pct"/>
          </w:tcPr>
          <w:p w14:paraId="73468232" w14:textId="77777777" w:rsidR="00B54D51" w:rsidRPr="00037AD4" w:rsidRDefault="00B54D51" w:rsidP="00401C67">
            <w:pPr>
              <w:rPr>
                <w:rFonts w:asciiTheme="minorHAnsi" w:hAnsiTheme="minorHAnsi" w:cstheme="minorHAnsi"/>
                <w:b/>
                <w:bCs/>
                <w:sz w:val="22"/>
                <w:szCs w:val="22"/>
              </w:rPr>
            </w:pPr>
            <w:r w:rsidRPr="00037AD4">
              <w:rPr>
                <w:rFonts w:asciiTheme="minorHAnsi" w:hAnsiTheme="minorHAnsi" w:cstheme="minorHAnsi"/>
                <w:b/>
                <w:bCs/>
                <w:sz w:val="22"/>
                <w:szCs w:val="22"/>
              </w:rPr>
              <w:t>Type dementia</w:t>
            </w:r>
          </w:p>
        </w:tc>
        <w:tc>
          <w:tcPr>
            <w:tcW w:w="360" w:type="pct"/>
          </w:tcPr>
          <w:p w14:paraId="72FD9E4A" w14:textId="77777777" w:rsidR="00B54D51" w:rsidRPr="00037AD4" w:rsidRDefault="00B54D51" w:rsidP="00401C67">
            <w:pPr>
              <w:rPr>
                <w:rFonts w:asciiTheme="minorHAnsi" w:hAnsiTheme="minorHAnsi" w:cstheme="minorHAnsi"/>
                <w:b/>
                <w:bCs/>
                <w:sz w:val="22"/>
                <w:szCs w:val="22"/>
              </w:rPr>
            </w:pPr>
            <w:r w:rsidRPr="00037AD4">
              <w:rPr>
                <w:rFonts w:asciiTheme="minorHAnsi" w:hAnsiTheme="minorHAnsi" w:cstheme="minorHAnsi"/>
                <w:b/>
                <w:bCs/>
                <w:sz w:val="22"/>
                <w:szCs w:val="22"/>
              </w:rPr>
              <w:t>Stage of dementia</w:t>
            </w:r>
          </w:p>
        </w:tc>
        <w:tc>
          <w:tcPr>
            <w:tcW w:w="390" w:type="pct"/>
          </w:tcPr>
          <w:p w14:paraId="06AE6CE8" w14:textId="77777777" w:rsidR="00B54D51" w:rsidRPr="00037AD4" w:rsidRDefault="00B54D51" w:rsidP="00401C67">
            <w:pPr>
              <w:rPr>
                <w:rFonts w:asciiTheme="minorHAnsi" w:hAnsiTheme="minorHAnsi" w:cstheme="minorHAnsi"/>
                <w:b/>
                <w:bCs/>
                <w:sz w:val="22"/>
                <w:szCs w:val="22"/>
              </w:rPr>
            </w:pPr>
            <w:r w:rsidRPr="00037AD4">
              <w:rPr>
                <w:rFonts w:asciiTheme="minorHAnsi" w:hAnsiTheme="minorHAnsi" w:cstheme="minorHAnsi"/>
                <w:b/>
                <w:bCs/>
                <w:sz w:val="22"/>
                <w:szCs w:val="22"/>
              </w:rPr>
              <w:t>Severity proportion (%)</w:t>
            </w:r>
          </w:p>
        </w:tc>
        <w:tc>
          <w:tcPr>
            <w:tcW w:w="346" w:type="pct"/>
          </w:tcPr>
          <w:p w14:paraId="6C94A2AC" w14:textId="77777777" w:rsidR="00B54D51" w:rsidRPr="00037AD4" w:rsidRDefault="00B54D51" w:rsidP="00401C67">
            <w:pPr>
              <w:rPr>
                <w:rFonts w:asciiTheme="minorHAnsi" w:hAnsiTheme="minorHAnsi" w:cstheme="minorHAnsi"/>
                <w:b/>
                <w:bCs/>
                <w:sz w:val="22"/>
                <w:szCs w:val="22"/>
              </w:rPr>
            </w:pPr>
            <w:r w:rsidRPr="00037AD4">
              <w:rPr>
                <w:rFonts w:asciiTheme="minorHAnsi" w:hAnsiTheme="minorHAnsi" w:cstheme="minorHAnsi"/>
                <w:b/>
                <w:bCs/>
                <w:sz w:val="22"/>
                <w:szCs w:val="22"/>
              </w:rPr>
              <w:t>Mean MMSE (SD)</w:t>
            </w:r>
          </w:p>
        </w:tc>
        <w:tc>
          <w:tcPr>
            <w:tcW w:w="346" w:type="pct"/>
          </w:tcPr>
          <w:p w14:paraId="1D3188A3" w14:textId="77777777" w:rsidR="00B54D51" w:rsidRPr="00037AD4" w:rsidRDefault="00B54D51" w:rsidP="00401C67">
            <w:pPr>
              <w:rPr>
                <w:rFonts w:asciiTheme="minorHAnsi" w:hAnsiTheme="minorHAnsi" w:cstheme="minorHAnsi"/>
                <w:b/>
                <w:bCs/>
                <w:sz w:val="22"/>
                <w:szCs w:val="22"/>
              </w:rPr>
            </w:pPr>
            <w:r w:rsidRPr="00037AD4">
              <w:rPr>
                <w:rFonts w:asciiTheme="minorHAnsi" w:hAnsiTheme="minorHAnsi" w:cstheme="minorHAnsi"/>
                <w:b/>
                <w:bCs/>
                <w:sz w:val="22"/>
                <w:szCs w:val="22"/>
              </w:rPr>
              <w:t>Mean age (SD)</w:t>
            </w:r>
          </w:p>
        </w:tc>
        <w:tc>
          <w:tcPr>
            <w:tcW w:w="263" w:type="pct"/>
          </w:tcPr>
          <w:p w14:paraId="10539B47" w14:textId="77777777" w:rsidR="00B54D51" w:rsidRPr="00037AD4" w:rsidRDefault="00B54D51" w:rsidP="00401C67">
            <w:pPr>
              <w:rPr>
                <w:rFonts w:asciiTheme="minorHAnsi" w:hAnsiTheme="minorHAnsi" w:cstheme="minorHAnsi"/>
                <w:b/>
                <w:bCs/>
                <w:sz w:val="22"/>
                <w:szCs w:val="22"/>
              </w:rPr>
            </w:pPr>
            <w:r w:rsidRPr="00037AD4">
              <w:rPr>
                <w:rFonts w:asciiTheme="minorHAnsi" w:hAnsiTheme="minorHAnsi" w:cstheme="minorHAnsi"/>
                <w:b/>
                <w:bCs/>
                <w:sz w:val="22"/>
                <w:szCs w:val="22"/>
              </w:rPr>
              <w:t>EQ-5D: 3L or 5L</w:t>
            </w:r>
          </w:p>
        </w:tc>
        <w:tc>
          <w:tcPr>
            <w:tcW w:w="497" w:type="pct"/>
          </w:tcPr>
          <w:p w14:paraId="72789FE6" w14:textId="77777777" w:rsidR="00B54D51" w:rsidRPr="00037AD4" w:rsidRDefault="00B54D51" w:rsidP="00401C67">
            <w:pPr>
              <w:rPr>
                <w:rFonts w:asciiTheme="minorHAnsi" w:hAnsiTheme="minorHAnsi" w:cstheme="minorHAnsi"/>
                <w:b/>
                <w:bCs/>
                <w:sz w:val="22"/>
                <w:szCs w:val="22"/>
              </w:rPr>
            </w:pPr>
            <w:r w:rsidRPr="00037AD4">
              <w:rPr>
                <w:rFonts w:asciiTheme="minorHAnsi" w:hAnsiTheme="minorHAnsi" w:cstheme="minorHAnsi"/>
                <w:b/>
                <w:bCs/>
                <w:sz w:val="22"/>
                <w:szCs w:val="22"/>
              </w:rPr>
              <w:t>Residence (% institutionalised)</w:t>
            </w:r>
          </w:p>
        </w:tc>
        <w:tc>
          <w:tcPr>
            <w:tcW w:w="346" w:type="pct"/>
          </w:tcPr>
          <w:p w14:paraId="189B21BC" w14:textId="77777777" w:rsidR="00B54D51" w:rsidRPr="00037AD4" w:rsidRDefault="00B54D51" w:rsidP="00401C67">
            <w:pPr>
              <w:rPr>
                <w:rFonts w:asciiTheme="minorHAnsi" w:hAnsiTheme="minorHAnsi" w:cstheme="minorHAnsi"/>
                <w:b/>
                <w:bCs/>
                <w:sz w:val="22"/>
                <w:szCs w:val="22"/>
              </w:rPr>
            </w:pPr>
            <w:r w:rsidRPr="00037AD4">
              <w:rPr>
                <w:rFonts w:asciiTheme="minorHAnsi" w:hAnsiTheme="minorHAnsi" w:cstheme="minorHAnsi"/>
                <w:b/>
                <w:bCs/>
                <w:sz w:val="22"/>
                <w:szCs w:val="22"/>
              </w:rPr>
              <w:t>Self or proxy QoL</w:t>
            </w:r>
          </w:p>
        </w:tc>
        <w:tc>
          <w:tcPr>
            <w:tcW w:w="323" w:type="pct"/>
          </w:tcPr>
          <w:p w14:paraId="1269E16C" w14:textId="77777777" w:rsidR="00B54D51" w:rsidRPr="00037AD4" w:rsidRDefault="00B54D51" w:rsidP="00401C67">
            <w:pPr>
              <w:rPr>
                <w:rFonts w:asciiTheme="minorHAnsi" w:hAnsiTheme="minorHAnsi" w:cstheme="minorHAnsi"/>
                <w:b/>
                <w:bCs/>
                <w:sz w:val="22"/>
                <w:szCs w:val="22"/>
              </w:rPr>
            </w:pPr>
            <w:r w:rsidRPr="00037AD4">
              <w:rPr>
                <w:rFonts w:asciiTheme="minorHAnsi" w:hAnsiTheme="minorHAnsi" w:cstheme="minorHAnsi"/>
                <w:b/>
                <w:bCs/>
                <w:sz w:val="22"/>
                <w:szCs w:val="22"/>
              </w:rPr>
              <w:t xml:space="preserve">Proxy type </w:t>
            </w:r>
          </w:p>
        </w:tc>
        <w:tc>
          <w:tcPr>
            <w:tcW w:w="323" w:type="pct"/>
          </w:tcPr>
          <w:p w14:paraId="02F9A196" w14:textId="77777777" w:rsidR="00B54D51" w:rsidRPr="00037AD4" w:rsidRDefault="00B54D51" w:rsidP="00401C67">
            <w:pPr>
              <w:rPr>
                <w:rFonts w:asciiTheme="minorHAnsi" w:hAnsiTheme="minorHAnsi" w:cstheme="minorHAnsi"/>
                <w:b/>
                <w:bCs/>
                <w:sz w:val="22"/>
                <w:szCs w:val="22"/>
              </w:rPr>
            </w:pPr>
            <w:r w:rsidRPr="00037AD4">
              <w:rPr>
                <w:rFonts w:asciiTheme="minorHAnsi" w:hAnsiTheme="minorHAnsi" w:cstheme="minorHAnsi"/>
                <w:b/>
                <w:bCs/>
                <w:sz w:val="22"/>
                <w:szCs w:val="22"/>
              </w:rPr>
              <w:t xml:space="preserve">Mode of administration </w:t>
            </w:r>
          </w:p>
        </w:tc>
      </w:tr>
      <w:tr w:rsidR="00B54D51" w:rsidRPr="00037AD4" w14:paraId="67FFC41B" w14:textId="77777777" w:rsidTr="00401C67">
        <w:trPr>
          <w:jc w:val="center"/>
        </w:trPr>
        <w:tc>
          <w:tcPr>
            <w:tcW w:w="443" w:type="pct"/>
          </w:tcPr>
          <w:p w14:paraId="7266A80A"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Ankri, 2003</w:t>
            </w:r>
          </w:p>
        </w:tc>
        <w:tc>
          <w:tcPr>
            <w:tcW w:w="396" w:type="pct"/>
          </w:tcPr>
          <w:p w14:paraId="6749763A"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France </w:t>
            </w:r>
          </w:p>
        </w:tc>
        <w:tc>
          <w:tcPr>
            <w:tcW w:w="430" w:type="pct"/>
          </w:tcPr>
          <w:p w14:paraId="08496CCF"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Non-interventional </w:t>
            </w:r>
          </w:p>
        </w:tc>
        <w:tc>
          <w:tcPr>
            <w:tcW w:w="202" w:type="pct"/>
          </w:tcPr>
          <w:p w14:paraId="03DFFD98"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142</w:t>
            </w:r>
          </w:p>
        </w:tc>
        <w:tc>
          <w:tcPr>
            <w:tcW w:w="335" w:type="pct"/>
          </w:tcPr>
          <w:p w14:paraId="43107321"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Any</w:t>
            </w:r>
          </w:p>
        </w:tc>
        <w:tc>
          <w:tcPr>
            <w:tcW w:w="360" w:type="pct"/>
          </w:tcPr>
          <w:p w14:paraId="691D9AB1"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Mild-to-severe </w:t>
            </w:r>
          </w:p>
        </w:tc>
        <w:tc>
          <w:tcPr>
            <w:tcW w:w="390" w:type="pct"/>
          </w:tcPr>
          <w:p w14:paraId="2FC4731C"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24.3% mild; 47.1% moderate; 27.9% severe</w:t>
            </w:r>
          </w:p>
        </w:tc>
        <w:tc>
          <w:tcPr>
            <w:tcW w:w="346" w:type="pct"/>
          </w:tcPr>
          <w:p w14:paraId="1E80C7D9"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12.8 (5.6)</w:t>
            </w:r>
          </w:p>
        </w:tc>
        <w:tc>
          <w:tcPr>
            <w:tcW w:w="346" w:type="pct"/>
          </w:tcPr>
          <w:p w14:paraId="4D7F9F08"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82.9 (8.32)</w:t>
            </w:r>
          </w:p>
        </w:tc>
        <w:tc>
          <w:tcPr>
            <w:tcW w:w="263" w:type="pct"/>
          </w:tcPr>
          <w:p w14:paraId="3404CF86"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3L</w:t>
            </w:r>
          </w:p>
        </w:tc>
        <w:tc>
          <w:tcPr>
            <w:tcW w:w="497" w:type="pct"/>
          </w:tcPr>
          <w:p w14:paraId="379A0473"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41</w:t>
            </w:r>
          </w:p>
        </w:tc>
        <w:tc>
          <w:tcPr>
            <w:tcW w:w="346" w:type="pct"/>
          </w:tcPr>
          <w:p w14:paraId="2AA96F2B"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Both</w:t>
            </w:r>
          </w:p>
        </w:tc>
        <w:tc>
          <w:tcPr>
            <w:tcW w:w="323" w:type="pct"/>
          </w:tcPr>
          <w:p w14:paraId="411A91B9"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FC &amp; IC</w:t>
            </w:r>
          </w:p>
        </w:tc>
        <w:tc>
          <w:tcPr>
            <w:tcW w:w="323" w:type="pct"/>
          </w:tcPr>
          <w:p w14:paraId="33553C87"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I</w:t>
            </w:r>
          </w:p>
        </w:tc>
      </w:tr>
      <w:tr w:rsidR="00B54D51" w:rsidRPr="00037AD4" w14:paraId="562C469A" w14:textId="77777777" w:rsidTr="00401C67">
        <w:trPr>
          <w:jc w:val="center"/>
        </w:trPr>
        <w:tc>
          <w:tcPr>
            <w:tcW w:w="443" w:type="pct"/>
          </w:tcPr>
          <w:p w14:paraId="5A13416F"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Ashizawa 2021 </w:t>
            </w:r>
          </w:p>
        </w:tc>
        <w:tc>
          <w:tcPr>
            <w:tcW w:w="396" w:type="pct"/>
          </w:tcPr>
          <w:p w14:paraId="2FC2224E"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Japan</w:t>
            </w:r>
          </w:p>
        </w:tc>
        <w:tc>
          <w:tcPr>
            <w:tcW w:w="430" w:type="pct"/>
          </w:tcPr>
          <w:p w14:paraId="45AAE227"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Prospective cohort study</w:t>
            </w:r>
          </w:p>
        </w:tc>
        <w:tc>
          <w:tcPr>
            <w:tcW w:w="202" w:type="pct"/>
          </w:tcPr>
          <w:p w14:paraId="47B2C783"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287</w:t>
            </w:r>
          </w:p>
        </w:tc>
        <w:tc>
          <w:tcPr>
            <w:tcW w:w="335" w:type="pct"/>
          </w:tcPr>
          <w:p w14:paraId="309CC229"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AD</w:t>
            </w:r>
          </w:p>
        </w:tc>
        <w:tc>
          <w:tcPr>
            <w:tcW w:w="360" w:type="pct"/>
          </w:tcPr>
          <w:p w14:paraId="08D16302"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Mild-to-severe</w:t>
            </w:r>
          </w:p>
        </w:tc>
        <w:tc>
          <w:tcPr>
            <w:tcW w:w="390" w:type="pct"/>
          </w:tcPr>
          <w:p w14:paraId="63CFFB79"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NR</w:t>
            </w:r>
          </w:p>
        </w:tc>
        <w:tc>
          <w:tcPr>
            <w:tcW w:w="346" w:type="pct"/>
          </w:tcPr>
          <w:p w14:paraId="3CEF3031"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NR</w:t>
            </w:r>
          </w:p>
        </w:tc>
        <w:tc>
          <w:tcPr>
            <w:tcW w:w="346" w:type="pct"/>
          </w:tcPr>
          <w:p w14:paraId="3F189C78"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86.1 (6.4)</w:t>
            </w:r>
          </w:p>
        </w:tc>
        <w:tc>
          <w:tcPr>
            <w:tcW w:w="263" w:type="pct"/>
          </w:tcPr>
          <w:p w14:paraId="2E378B2D"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5L</w:t>
            </w:r>
          </w:p>
        </w:tc>
        <w:tc>
          <w:tcPr>
            <w:tcW w:w="497" w:type="pct"/>
          </w:tcPr>
          <w:p w14:paraId="23E30030"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100</w:t>
            </w:r>
          </w:p>
        </w:tc>
        <w:tc>
          <w:tcPr>
            <w:tcW w:w="346" w:type="pct"/>
          </w:tcPr>
          <w:p w14:paraId="568AE5D0"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Proxy</w:t>
            </w:r>
          </w:p>
        </w:tc>
        <w:tc>
          <w:tcPr>
            <w:tcW w:w="323" w:type="pct"/>
          </w:tcPr>
          <w:p w14:paraId="299F3521"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FC &amp; IC</w:t>
            </w:r>
          </w:p>
        </w:tc>
        <w:tc>
          <w:tcPr>
            <w:tcW w:w="323" w:type="pct"/>
          </w:tcPr>
          <w:p w14:paraId="5BC60149"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SA</w:t>
            </w:r>
          </w:p>
        </w:tc>
      </w:tr>
      <w:tr w:rsidR="00B54D51" w:rsidRPr="00037AD4" w14:paraId="2C4AF7E0" w14:textId="77777777" w:rsidTr="00401C67">
        <w:trPr>
          <w:jc w:val="center"/>
        </w:trPr>
        <w:tc>
          <w:tcPr>
            <w:tcW w:w="443" w:type="pct"/>
          </w:tcPr>
          <w:p w14:paraId="7B9D7029"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Bhattacharya, 2010</w:t>
            </w:r>
          </w:p>
        </w:tc>
        <w:tc>
          <w:tcPr>
            <w:tcW w:w="396" w:type="pct"/>
          </w:tcPr>
          <w:p w14:paraId="61E4DC83"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Denmark</w:t>
            </w:r>
          </w:p>
        </w:tc>
        <w:tc>
          <w:tcPr>
            <w:tcW w:w="430" w:type="pct"/>
          </w:tcPr>
          <w:p w14:paraId="23EC851A"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RCT</w:t>
            </w:r>
          </w:p>
        </w:tc>
        <w:tc>
          <w:tcPr>
            <w:tcW w:w="202" w:type="pct"/>
          </w:tcPr>
          <w:p w14:paraId="43BB056B"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321</w:t>
            </w:r>
          </w:p>
        </w:tc>
        <w:tc>
          <w:tcPr>
            <w:tcW w:w="335" w:type="pct"/>
          </w:tcPr>
          <w:p w14:paraId="78CBC4F1"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AD</w:t>
            </w:r>
          </w:p>
        </w:tc>
        <w:tc>
          <w:tcPr>
            <w:tcW w:w="360" w:type="pct"/>
          </w:tcPr>
          <w:p w14:paraId="3C4F410B"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Mild</w:t>
            </w:r>
          </w:p>
        </w:tc>
        <w:tc>
          <w:tcPr>
            <w:tcW w:w="390" w:type="pct"/>
          </w:tcPr>
          <w:p w14:paraId="477F27A0"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NR</w:t>
            </w:r>
          </w:p>
        </w:tc>
        <w:tc>
          <w:tcPr>
            <w:tcW w:w="346" w:type="pct"/>
          </w:tcPr>
          <w:p w14:paraId="741FFCCA"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24.0 (2.7)</w:t>
            </w:r>
          </w:p>
        </w:tc>
        <w:tc>
          <w:tcPr>
            <w:tcW w:w="346" w:type="pct"/>
          </w:tcPr>
          <w:p w14:paraId="0A31BF28"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76.2 (7.1)</w:t>
            </w:r>
          </w:p>
        </w:tc>
        <w:tc>
          <w:tcPr>
            <w:tcW w:w="263" w:type="pct"/>
          </w:tcPr>
          <w:p w14:paraId="317F190E"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3L</w:t>
            </w:r>
          </w:p>
        </w:tc>
        <w:tc>
          <w:tcPr>
            <w:tcW w:w="497" w:type="pct"/>
          </w:tcPr>
          <w:p w14:paraId="73F0F869"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0</w:t>
            </w:r>
          </w:p>
        </w:tc>
        <w:tc>
          <w:tcPr>
            <w:tcW w:w="346" w:type="pct"/>
          </w:tcPr>
          <w:p w14:paraId="7E76DB89"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Both</w:t>
            </w:r>
          </w:p>
        </w:tc>
        <w:tc>
          <w:tcPr>
            <w:tcW w:w="323" w:type="pct"/>
          </w:tcPr>
          <w:p w14:paraId="30D11FAA"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IC</w:t>
            </w:r>
          </w:p>
        </w:tc>
        <w:tc>
          <w:tcPr>
            <w:tcW w:w="323" w:type="pct"/>
          </w:tcPr>
          <w:p w14:paraId="61B89133"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I</w:t>
            </w:r>
          </w:p>
          <w:p w14:paraId="00A74692" w14:textId="77777777" w:rsidR="00B54D51" w:rsidRPr="00037AD4" w:rsidRDefault="00B54D51" w:rsidP="00401C67">
            <w:pPr>
              <w:rPr>
                <w:rFonts w:asciiTheme="minorHAnsi" w:hAnsiTheme="minorHAnsi" w:cstheme="minorHAnsi"/>
                <w:sz w:val="22"/>
                <w:szCs w:val="22"/>
              </w:rPr>
            </w:pPr>
          </w:p>
        </w:tc>
      </w:tr>
      <w:tr w:rsidR="00B54D51" w:rsidRPr="00037AD4" w14:paraId="1447BF63" w14:textId="77777777" w:rsidTr="00401C67">
        <w:trPr>
          <w:jc w:val="center"/>
        </w:trPr>
        <w:tc>
          <w:tcPr>
            <w:tcW w:w="443" w:type="pct"/>
          </w:tcPr>
          <w:p w14:paraId="531425FD"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Bonfiglio, 2019</w:t>
            </w:r>
          </w:p>
        </w:tc>
        <w:tc>
          <w:tcPr>
            <w:tcW w:w="396" w:type="pct"/>
          </w:tcPr>
          <w:p w14:paraId="4702498B"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Japan</w:t>
            </w:r>
          </w:p>
        </w:tc>
        <w:tc>
          <w:tcPr>
            <w:tcW w:w="430" w:type="pct"/>
          </w:tcPr>
          <w:p w14:paraId="3DCC2792"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Cross-sectional</w:t>
            </w:r>
          </w:p>
        </w:tc>
        <w:tc>
          <w:tcPr>
            <w:tcW w:w="202" w:type="pct"/>
          </w:tcPr>
          <w:p w14:paraId="5C16F038"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141</w:t>
            </w:r>
          </w:p>
        </w:tc>
        <w:tc>
          <w:tcPr>
            <w:tcW w:w="335" w:type="pct"/>
          </w:tcPr>
          <w:p w14:paraId="770A688F"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NR</w:t>
            </w:r>
          </w:p>
        </w:tc>
        <w:tc>
          <w:tcPr>
            <w:tcW w:w="360" w:type="pct"/>
          </w:tcPr>
          <w:p w14:paraId="655A3C72"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Mild</w:t>
            </w:r>
          </w:p>
        </w:tc>
        <w:tc>
          <w:tcPr>
            <w:tcW w:w="390" w:type="pct"/>
          </w:tcPr>
          <w:p w14:paraId="51CDBD0D"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NR</w:t>
            </w:r>
          </w:p>
        </w:tc>
        <w:tc>
          <w:tcPr>
            <w:tcW w:w="346" w:type="pct"/>
          </w:tcPr>
          <w:p w14:paraId="5CDA7B2E"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24.9 (2.6)</w:t>
            </w:r>
          </w:p>
        </w:tc>
        <w:tc>
          <w:tcPr>
            <w:tcW w:w="346" w:type="pct"/>
          </w:tcPr>
          <w:p w14:paraId="44B47D49"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78.8 (6.3)</w:t>
            </w:r>
          </w:p>
        </w:tc>
        <w:tc>
          <w:tcPr>
            <w:tcW w:w="263" w:type="pct"/>
          </w:tcPr>
          <w:p w14:paraId="5B3730BC"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5L</w:t>
            </w:r>
          </w:p>
        </w:tc>
        <w:tc>
          <w:tcPr>
            <w:tcW w:w="497" w:type="pct"/>
          </w:tcPr>
          <w:p w14:paraId="6F55869E"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0</w:t>
            </w:r>
          </w:p>
        </w:tc>
        <w:tc>
          <w:tcPr>
            <w:tcW w:w="346" w:type="pct"/>
          </w:tcPr>
          <w:p w14:paraId="3F1A51EF"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Both</w:t>
            </w:r>
          </w:p>
        </w:tc>
        <w:tc>
          <w:tcPr>
            <w:tcW w:w="323" w:type="pct"/>
          </w:tcPr>
          <w:p w14:paraId="6FC62573"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FC &amp; IC</w:t>
            </w:r>
          </w:p>
        </w:tc>
        <w:tc>
          <w:tcPr>
            <w:tcW w:w="323" w:type="pct"/>
          </w:tcPr>
          <w:p w14:paraId="1F978EA3"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SA</w:t>
            </w:r>
          </w:p>
        </w:tc>
      </w:tr>
      <w:tr w:rsidR="00B54D51" w:rsidRPr="00037AD4" w14:paraId="36F7DF37" w14:textId="77777777" w:rsidTr="00401C67">
        <w:trPr>
          <w:jc w:val="center"/>
        </w:trPr>
        <w:tc>
          <w:tcPr>
            <w:tcW w:w="443" w:type="pct"/>
          </w:tcPr>
          <w:p w14:paraId="1F85E6F9"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Bostrom, 2007</w:t>
            </w:r>
          </w:p>
        </w:tc>
        <w:tc>
          <w:tcPr>
            <w:tcW w:w="396" w:type="pct"/>
          </w:tcPr>
          <w:p w14:paraId="6EFAA629"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Sweden</w:t>
            </w:r>
          </w:p>
        </w:tc>
        <w:tc>
          <w:tcPr>
            <w:tcW w:w="430" w:type="pct"/>
          </w:tcPr>
          <w:p w14:paraId="20C56C95"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RCT</w:t>
            </w:r>
          </w:p>
        </w:tc>
        <w:tc>
          <w:tcPr>
            <w:tcW w:w="202" w:type="pct"/>
          </w:tcPr>
          <w:p w14:paraId="50E34301"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68</w:t>
            </w:r>
          </w:p>
        </w:tc>
        <w:tc>
          <w:tcPr>
            <w:tcW w:w="335" w:type="pct"/>
          </w:tcPr>
          <w:p w14:paraId="398E6404"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DLB or AD</w:t>
            </w:r>
          </w:p>
        </w:tc>
        <w:tc>
          <w:tcPr>
            <w:tcW w:w="360" w:type="pct"/>
          </w:tcPr>
          <w:p w14:paraId="269FC173"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Mild-to-severe</w:t>
            </w:r>
          </w:p>
        </w:tc>
        <w:tc>
          <w:tcPr>
            <w:tcW w:w="390" w:type="pct"/>
          </w:tcPr>
          <w:p w14:paraId="59CD2401"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NR</w:t>
            </w:r>
          </w:p>
        </w:tc>
        <w:tc>
          <w:tcPr>
            <w:tcW w:w="346" w:type="pct"/>
          </w:tcPr>
          <w:p w14:paraId="2DEB224A"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16.9 (0-30)</w:t>
            </w:r>
          </w:p>
        </w:tc>
        <w:tc>
          <w:tcPr>
            <w:tcW w:w="346" w:type="pct"/>
          </w:tcPr>
          <w:p w14:paraId="308F4840"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77.8 (63-92)</w:t>
            </w:r>
            <w:r w:rsidRPr="00037AD4">
              <w:rPr>
                <w:rFonts w:asciiTheme="minorHAnsi" w:hAnsiTheme="minorHAnsi" w:cstheme="minorHAnsi"/>
                <w:sz w:val="22"/>
                <w:szCs w:val="22"/>
                <w:vertAlign w:val="superscript"/>
              </w:rPr>
              <w:t>a</w:t>
            </w:r>
          </w:p>
        </w:tc>
        <w:tc>
          <w:tcPr>
            <w:tcW w:w="263" w:type="pct"/>
          </w:tcPr>
          <w:p w14:paraId="03D39127"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3L</w:t>
            </w:r>
          </w:p>
        </w:tc>
        <w:tc>
          <w:tcPr>
            <w:tcW w:w="497" w:type="pct"/>
          </w:tcPr>
          <w:p w14:paraId="667426BC"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28</w:t>
            </w:r>
          </w:p>
        </w:tc>
        <w:tc>
          <w:tcPr>
            <w:tcW w:w="346" w:type="pct"/>
          </w:tcPr>
          <w:p w14:paraId="10FEE286"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Both</w:t>
            </w:r>
          </w:p>
        </w:tc>
        <w:tc>
          <w:tcPr>
            <w:tcW w:w="323" w:type="pct"/>
          </w:tcPr>
          <w:p w14:paraId="1D44FB8F"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IC</w:t>
            </w:r>
          </w:p>
        </w:tc>
        <w:tc>
          <w:tcPr>
            <w:tcW w:w="323" w:type="pct"/>
          </w:tcPr>
          <w:p w14:paraId="7A735E5C"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I </w:t>
            </w:r>
          </w:p>
        </w:tc>
      </w:tr>
      <w:tr w:rsidR="00B54D51" w:rsidRPr="00037AD4" w14:paraId="5BBF37CA" w14:textId="77777777" w:rsidTr="00401C67">
        <w:trPr>
          <w:jc w:val="center"/>
        </w:trPr>
        <w:tc>
          <w:tcPr>
            <w:tcW w:w="443" w:type="pct"/>
          </w:tcPr>
          <w:p w14:paraId="5E3B1B1E"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Bryan, 2005</w:t>
            </w:r>
          </w:p>
        </w:tc>
        <w:tc>
          <w:tcPr>
            <w:tcW w:w="396" w:type="pct"/>
          </w:tcPr>
          <w:p w14:paraId="1C8C3B72"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UK</w:t>
            </w:r>
          </w:p>
        </w:tc>
        <w:tc>
          <w:tcPr>
            <w:tcW w:w="430" w:type="pct"/>
          </w:tcPr>
          <w:p w14:paraId="4AD14D52"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Non-interventional</w:t>
            </w:r>
          </w:p>
        </w:tc>
        <w:tc>
          <w:tcPr>
            <w:tcW w:w="202" w:type="pct"/>
          </w:tcPr>
          <w:p w14:paraId="5A901283"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64</w:t>
            </w:r>
          </w:p>
        </w:tc>
        <w:tc>
          <w:tcPr>
            <w:tcW w:w="335" w:type="pct"/>
          </w:tcPr>
          <w:p w14:paraId="64230F9E"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AD and VD</w:t>
            </w:r>
          </w:p>
        </w:tc>
        <w:tc>
          <w:tcPr>
            <w:tcW w:w="360" w:type="pct"/>
          </w:tcPr>
          <w:p w14:paraId="301B0D0C"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Very mild-to-moderate*</w:t>
            </w:r>
          </w:p>
        </w:tc>
        <w:tc>
          <w:tcPr>
            <w:tcW w:w="390" w:type="pct"/>
          </w:tcPr>
          <w:p w14:paraId="18D04760"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5% very mild; 56% mild, 39% moderate</w:t>
            </w:r>
          </w:p>
        </w:tc>
        <w:tc>
          <w:tcPr>
            <w:tcW w:w="346" w:type="pct"/>
          </w:tcPr>
          <w:p w14:paraId="094EE254"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18.0 (5.8)</w:t>
            </w:r>
          </w:p>
        </w:tc>
        <w:tc>
          <w:tcPr>
            <w:tcW w:w="346" w:type="pct"/>
          </w:tcPr>
          <w:p w14:paraId="324D69B0" w14:textId="77777777" w:rsidR="00B54D51" w:rsidRPr="00037AD4" w:rsidRDefault="00B54D51" w:rsidP="00401C67">
            <w:pPr>
              <w:rPr>
                <w:rFonts w:asciiTheme="minorHAnsi" w:hAnsiTheme="minorHAnsi" w:cstheme="minorHAnsi"/>
                <w:sz w:val="22"/>
                <w:szCs w:val="22"/>
                <w:vertAlign w:val="superscript"/>
              </w:rPr>
            </w:pPr>
            <w:r w:rsidRPr="00037AD4">
              <w:rPr>
                <w:rFonts w:asciiTheme="minorHAnsi" w:hAnsiTheme="minorHAnsi" w:cstheme="minorHAnsi"/>
                <w:sz w:val="22"/>
                <w:szCs w:val="22"/>
              </w:rPr>
              <w:t>76 (53-91)</w:t>
            </w:r>
            <w:r w:rsidRPr="00037AD4">
              <w:rPr>
                <w:rFonts w:asciiTheme="minorHAnsi" w:hAnsiTheme="minorHAnsi" w:cstheme="minorHAnsi"/>
                <w:sz w:val="22"/>
                <w:szCs w:val="22"/>
                <w:vertAlign w:val="superscript"/>
              </w:rPr>
              <w:t>a</w:t>
            </w:r>
          </w:p>
        </w:tc>
        <w:tc>
          <w:tcPr>
            <w:tcW w:w="263" w:type="pct"/>
          </w:tcPr>
          <w:p w14:paraId="5EDC4F1D"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3L</w:t>
            </w:r>
          </w:p>
        </w:tc>
        <w:tc>
          <w:tcPr>
            <w:tcW w:w="497" w:type="pct"/>
          </w:tcPr>
          <w:p w14:paraId="44D404FE"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0</w:t>
            </w:r>
          </w:p>
        </w:tc>
        <w:tc>
          <w:tcPr>
            <w:tcW w:w="346" w:type="pct"/>
          </w:tcPr>
          <w:p w14:paraId="14D06EF9"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Proxy</w:t>
            </w:r>
          </w:p>
        </w:tc>
        <w:tc>
          <w:tcPr>
            <w:tcW w:w="323" w:type="pct"/>
          </w:tcPr>
          <w:p w14:paraId="1B3E131C"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IC &amp; C</w:t>
            </w:r>
          </w:p>
        </w:tc>
        <w:tc>
          <w:tcPr>
            <w:tcW w:w="323" w:type="pct"/>
          </w:tcPr>
          <w:p w14:paraId="376FEC0B"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SA</w:t>
            </w:r>
          </w:p>
        </w:tc>
      </w:tr>
      <w:tr w:rsidR="00B54D51" w:rsidRPr="00037AD4" w14:paraId="2BB4087D" w14:textId="77777777" w:rsidTr="00401C67">
        <w:trPr>
          <w:jc w:val="center"/>
        </w:trPr>
        <w:tc>
          <w:tcPr>
            <w:tcW w:w="443" w:type="pct"/>
          </w:tcPr>
          <w:p w14:paraId="51CC1966"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Castro-Monteiro, 2014</w:t>
            </w:r>
          </w:p>
        </w:tc>
        <w:tc>
          <w:tcPr>
            <w:tcW w:w="396" w:type="pct"/>
          </w:tcPr>
          <w:p w14:paraId="1DF72FCE"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Spain</w:t>
            </w:r>
          </w:p>
        </w:tc>
        <w:tc>
          <w:tcPr>
            <w:tcW w:w="430" w:type="pct"/>
          </w:tcPr>
          <w:p w14:paraId="2EF1ABD5"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Multicentre longitudinal cohort</w:t>
            </w:r>
          </w:p>
        </w:tc>
        <w:tc>
          <w:tcPr>
            <w:tcW w:w="202" w:type="pct"/>
          </w:tcPr>
          <w:p w14:paraId="0859D47D"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274</w:t>
            </w:r>
          </w:p>
        </w:tc>
        <w:tc>
          <w:tcPr>
            <w:tcW w:w="335" w:type="pct"/>
          </w:tcPr>
          <w:p w14:paraId="7939652C"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NR</w:t>
            </w:r>
          </w:p>
        </w:tc>
        <w:tc>
          <w:tcPr>
            <w:tcW w:w="360" w:type="pct"/>
          </w:tcPr>
          <w:p w14:paraId="29EB37CE"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Mild-to-severe*</w:t>
            </w:r>
          </w:p>
        </w:tc>
        <w:tc>
          <w:tcPr>
            <w:tcW w:w="390" w:type="pct"/>
          </w:tcPr>
          <w:p w14:paraId="3FC8A630"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18% mild; 26% moderate; 56% severe</w:t>
            </w:r>
          </w:p>
        </w:tc>
        <w:tc>
          <w:tcPr>
            <w:tcW w:w="346" w:type="pct"/>
          </w:tcPr>
          <w:p w14:paraId="0F9C5CCD"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NR</w:t>
            </w:r>
          </w:p>
        </w:tc>
        <w:tc>
          <w:tcPr>
            <w:tcW w:w="346" w:type="pct"/>
          </w:tcPr>
          <w:p w14:paraId="7CA0E462"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84.7 (6.51)</w:t>
            </w:r>
          </w:p>
        </w:tc>
        <w:tc>
          <w:tcPr>
            <w:tcW w:w="263" w:type="pct"/>
          </w:tcPr>
          <w:p w14:paraId="4366817B"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3L</w:t>
            </w:r>
          </w:p>
        </w:tc>
        <w:tc>
          <w:tcPr>
            <w:tcW w:w="497" w:type="pct"/>
          </w:tcPr>
          <w:p w14:paraId="4E822B84"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100</w:t>
            </w:r>
          </w:p>
        </w:tc>
        <w:tc>
          <w:tcPr>
            <w:tcW w:w="346" w:type="pct"/>
          </w:tcPr>
          <w:p w14:paraId="72CC4D01"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Proxy</w:t>
            </w:r>
          </w:p>
        </w:tc>
        <w:tc>
          <w:tcPr>
            <w:tcW w:w="323" w:type="pct"/>
          </w:tcPr>
          <w:p w14:paraId="22B30857"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IC</w:t>
            </w:r>
          </w:p>
        </w:tc>
        <w:tc>
          <w:tcPr>
            <w:tcW w:w="323" w:type="pct"/>
          </w:tcPr>
          <w:p w14:paraId="4953B783"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I</w:t>
            </w:r>
          </w:p>
        </w:tc>
      </w:tr>
      <w:tr w:rsidR="00B54D51" w:rsidRPr="00037AD4" w14:paraId="55B7A7BC" w14:textId="77777777" w:rsidTr="00401C67">
        <w:trPr>
          <w:jc w:val="center"/>
        </w:trPr>
        <w:tc>
          <w:tcPr>
            <w:tcW w:w="443" w:type="pct"/>
          </w:tcPr>
          <w:p w14:paraId="34B66C77"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lastRenderedPageBreak/>
              <w:t>Diaz-Redondo, 2014</w:t>
            </w:r>
          </w:p>
        </w:tc>
        <w:tc>
          <w:tcPr>
            <w:tcW w:w="396" w:type="pct"/>
          </w:tcPr>
          <w:p w14:paraId="556BEEE4"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Spain </w:t>
            </w:r>
          </w:p>
        </w:tc>
        <w:tc>
          <w:tcPr>
            <w:tcW w:w="430" w:type="pct"/>
          </w:tcPr>
          <w:p w14:paraId="28B87C9E"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Cross-sectional</w:t>
            </w:r>
          </w:p>
        </w:tc>
        <w:tc>
          <w:tcPr>
            <w:tcW w:w="202" w:type="pct"/>
          </w:tcPr>
          <w:p w14:paraId="4891806E"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525</w:t>
            </w:r>
          </w:p>
        </w:tc>
        <w:tc>
          <w:tcPr>
            <w:tcW w:w="335" w:type="pct"/>
          </w:tcPr>
          <w:p w14:paraId="10F8DD4C"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NR</w:t>
            </w:r>
          </w:p>
        </w:tc>
        <w:tc>
          <w:tcPr>
            <w:tcW w:w="360" w:type="pct"/>
          </w:tcPr>
          <w:p w14:paraId="364E5E36"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Mild-to-severe*</w:t>
            </w:r>
          </w:p>
        </w:tc>
        <w:tc>
          <w:tcPr>
            <w:tcW w:w="390" w:type="pct"/>
          </w:tcPr>
          <w:p w14:paraId="778120E5"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14% mild; 25% moderate; 62% severe</w:t>
            </w:r>
          </w:p>
        </w:tc>
        <w:tc>
          <w:tcPr>
            <w:tcW w:w="346" w:type="pct"/>
          </w:tcPr>
          <w:p w14:paraId="2FD7E4E2"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NR</w:t>
            </w:r>
          </w:p>
        </w:tc>
        <w:tc>
          <w:tcPr>
            <w:tcW w:w="346" w:type="pct"/>
          </w:tcPr>
          <w:p w14:paraId="087476F7"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85.6 (6.7)</w:t>
            </w:r>
          </w:p>
        </w:tc>
        <w:tc>
          <w:tcPr>
            <w:tcW w:w="263" w:type="pct"/>
          </w:tcPr>
          <w:p w14:paraId="7704926E"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3L</w:t>
            </w:r>
          </w:p>
        </w:tc>
        <w:tc>
          <w:tcPr>
            <w:tcW w:w="497" w:type="pct"/>
          </w:tcPr>
          <w:p w14:paraId="057288B7"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100</w:t>
            </w:r>
          </w:p>
        </w:tc>
        <w:tc>
          <w:tcPr>
            <w:tcW w:w="346" w:type="pct"/>
          </w:tcPr>
          <w:p w14:paraId="15F3869C"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Proxy</w:t>
            </w:r>
          </w:p>
        </w:tc>
        <w:tc>
          <w:tcPr>
            <w:tcW w:w="323" w:type="pct"/>
          </w:tcPr>
          <w:p w14:paraId="3A7FD601"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IC</w:t>
            </w:r>
          </w:p>
        </w:tc>
        <w:tc>
          <w:tcPr>
            <w:tcW w:w="323" w:type="pct"/>
          </w:tcPr>
          <w:p w14:paraId="5541BB34"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NR</w:t>
            </w:r>
          </w:p>
        </w:tc>
      </w:tr>
      <w:tr w:rsidR="00B54D51" w:rsidRPr="00037AD4" w14:paraId="423051C1" w14:textId="77777777" w:rsidTr="00401C67">
        <w:trPr>
          <w:jc w:val="center"/>
        </w:trPr>
        <w:tc>
          <w:tcPr>
            <w:tcW w:w="443" w:type="pct"/>
          </w:tcPr>
          <w:p w14:paraId="01AABC14"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b/>
                <w:bCs/>
                <w:sz w:val="22"/>
                <w:szCs w:val="22"/>
              </w:rPr>
              <w:t>Author, year</w:t>
            </w:r>
          </w:p>
        </w:tc>
        <w:tc>
          <w:tcPr>
            <w:tcW w:w="396" w:type="pct"/>
          </w:tcPr>
          <w:p w14:paraId="0DFE0A82"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b/>
                <w:bCs/>
                <w:sz w:val="22"/>
                <w:szCs w:val="22"/>
              </w:rPr>
              <w:t>Country</w:t>
            </w:r>
          </w:p>
        </w:tc>
        <w:tc>
          <w:tcPr>
            <w:tcW w:w="430" w:type="pct"/>
          </w:tcPr>
          <w:p w14:paraId="65E5DC64"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b/>
                <w:bCs/>
                <w:sz w:val="22"/>
                <w:szCs w:val="22"/>
              </w:rPr>
              <w:t>Study design (of data origin)</w:t>
            </w:r>
          </w:p>
        </w:tc>
        <w:tc>
          <w:tcPr>
            <w:tcW w:w="202" w:type="pct"/>
          </w:tcPr>
          <w:p w14:paraId="3E44DDE4"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b/>
                <w:bCs/>
                <w:sz w:val="22"/>
                <w:szCs w:val="22"/>
              </w:rPr>
              <w:t>n</w:t>
            </w:r>
          </w:p>
        </w:tc>
        <w:tc>
          <w:tcPr>
            <w:tcW w:w="335" w:type="pct"/>
          </w:tcPr>
          <w:p w14:paraId="73014D71"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b/>
                <w:bCs/>
                <w:sz w:val="22"/>
                <w:szCs w:val="22"/>
              </w:rPr>
              <w:t>Type dementia</w:t>
            </w:r>
          </w:p>
        </w:tc>
        <w:tc>
          <w:tcPr>
            <w:tcW w:w="360" w:type="pct"/>
          </w:tcPr>
          <w:p w14:paraId="1404CB2F"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b/>
                <w:bCs/>
                <w:sz w:val="22"/>
                <w:szCs w:val="22"/>
              </w:rPr>
              <w:t>Stage of dementia</w:t>
            </w:r>
          </w:p>
        </w:tc>
        <w:tc>
          <w:tcPr>
            <w:tcW w:w="390" w:type="pct"/>
          </w:tcPr>
          <w:p w14:paraId="16F3898B"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b/>
                <w:bCs/>
                <w:sz w:val="22"/>
                <w:szCs w:val="22"/>
              </w:rPr>
              <w:t>Severity proportion (%)</w:t>
            </w:r>
          </w:p>
        </w:tc>
        <w:tc>
          <w:tcPr>
            <w:tcW w:w="346" w:type="pct"/>
          </w:tcPr>
          <w:p w14:paraId="17F04735"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b/>
                <w:bCs/>
                <w:sz w:val="22"/>
                <w:szCs w:val="22"/>
              </w:rPr>
              <w:t>Mean MMSE (SD)</w:t>
            </w:r>
          </w:p>
        </w:tc>
        <w:tc>
          <w:tcPr>
            <w:tcW w:w="346" w:type="pct"/>
          </w:tcPr>
          <w:p w14:paraId="77E86815"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b/>
                <w:bCs/>
                <w:sz w:val="22"/>
                <w:szCs w:val="22"/>
              </w:rPr>
              <w:t>Mean age (SD)</w:t>
            </w:r>
          </w:p>
        </w:tc>
        <w:tc>
          <w:tcPr>
            <w:tcW w:w="263" w:type="pct"/>
          </w:tcPr>
          <w:p w14:paraId="29EDF7CC"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b/>
                <w:bCs/>
                <w:sz w:val="22"/>
                <w:szCs w:val="22"/>
              </w:rPr>
              <w:t>EQ-5D: 3L or 5L</w:t>
            </w:r>
          </w:p>
        </w:tc>
        <w:tc>
          <w:tcPr>
            <w:tcW w:w="497" w:type="pct"/>
          </w:tcPr>
          <w:p w14:paraId="294824DA"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b/>
                <w:bCs/>
                <w:sz w:val="22"/>
                <w:szCs w:val="22"/>
              </w:rPr>
              <w:t>Residence (% institutionalised)</w:t>
            </w:r>
          </w:p>
        </w:tc>
        <w:tc>
          <w:tcPr>
            <w:tcW w:w="346" w:type="pct"/>
          </w:tcPr>
          <w:p w14:paraId="4FBA8D92"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b/>
                <w:bCs/>
                <w:sz w:val="22"/>
                <w:szCs w:val="22"/>
              </w:rPr>
              <w:t>Self or proxy QoL</w:t>
            </w:r>
          </w:p>
        </w:tc>
        <w:tc>
          <w:tcPr>
            <w:tcW w:w="323" w:type="pct"/>
          </w:tcPr>
          <w:p w14:paraId="42D5F3BA"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b/>
                <w:bCs/>
                <w:sz w:val="22"/>
                <w:szCs w:val="22"/>
              </w:rPr>
              <w:t xml:space="preserve">Proxy type </w:t>
            </w:r>
          </w:p>
        </w:tc>
        <w:tc>
          <w:tcPr>
            <w:tcW w:w="323" w:type="pct"/>
          </w:tcPr>
          <w:p w14:paraId="24F410AC" w14:textId="77777777" w:rsidR="00B54D51" w:rsidRPr="00037AD4" w:rsidRDefault="00B54D51" w:rsidP="00401C67">
            <w:pPr>
              <w:rPr>
                <w:rFonts w:asciiTheme="minorHAnsi" w:hAnsiTheme="minorHAnsi" w:cstheme="minorHAnsi"/>
                <w:b/>
                <w:bCs/>
                <w:sz w:val="22"/>
                <w:szCs w:val="22"/>
              </w:rPr>
            </w:pPr>
          </w:p>
        </w:tc>
      </w:tr>
      <w:tr w:rsidR="00B54D51" w:rsidRPr="00037AD4" w14:paraId="2977D3BF" w14:textId="77777777" w:rsidTr="00401C67">
        <w:trPr>
          <w:jc w:val="center"/>
        </w:trPr>
        <w:tc>
          <w:tcPr>
            <w:tcW w:w="443" w:type="pct"/>
          </w:tcPr>
          <w:p w14:paraId="52BD2697"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Easton, 2018</w:t>
            </w:r>
          </w:p>
        </w:tc>
        <w:tc>
          <w:tcPr>
            <w:tcW w:w="396" w:type="pct"/>
          </w:tcPr>
          <w:p w14:paraId="3D7E41A7"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Australia </w:t>
            </w:r>
          </w:p>
        </w:tc>
        <w:tc>
          <w:tcPr>
            <w:tcW w:w="430" w:type="pct"/>
          </w:tcPr>
          <w:p w14:paraId="2FA9727E"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Cross-sectional</w:t>
            </w:r>
          </w:p>
        </w:tc>
        <w:tc>
          <w:tcPr>
            <w:tcW w:w="202" w:type="pct"/>
          </w:tcPr>
          <w:p w14:paraId="129A28EA"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541</w:t>
            </w:r>
          </w:p>
        </w:tc>
        <w:tc>
          <w:tcPr>
            <w:tcW w:w="335" w:type="pct"/>
          </w:tcPr>
          <w:p w14:paraId="3F204404"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NR</w:t>
            </w:r>
          </w:p>
        </w:tc>
        <w:tc>
          <w:tcPr>
            <w:tcW w:w="360" w:type="pct"/>
          </w:tcPr>
          <w:p w14:paraId="53DE3155"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Very mild-to-moderate </w:t>
            </w:r>
          </w:p>
        </w:tc>
        <w:tc>
          <w:tcPr>
            <w:tcW w:w="390" w:type="pct"/>
          </w:tcPr>
          <w:p w14:paraId="0E176897"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55% very mild; 42% mild; 4% moderate </w:t>
            </w:r>
          </w:p>
        </w:tc>
        <w:tc>
          <w:tcPr>
            <w:tcW w:w="346" w:type="pct"/>
          </w:tcPr>
          <w:p w14:paraId="3314331C"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NR</w:t>
            </w:r>
          </w:p>
        </w:tc>
        <w:tc>
          <w:tcPr>
            <w:tcW w:w="346" w:type="pct"/>
          </w:tcPr>
          <w:p w14:paraId="28F9933D"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85.5 (8.5)</w:t>
            </w:r>
          </w:p>
        </w:tc>
        <w:tc>
          <w:tcPr>
            <w:tcW w:w="263" w:type="pct"/>
          </w:tcPr>
          <w:p w14:paraId="09924B61"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5L</w:t>
            </w:r>
          </w:p>
        </w:tc>
        <w:tc>
          <w:tcPr>
            <w:tcW w:w="497" w:type="pct"/>
          </w:tcPr>
          <w:p w14:paraId="4C626EE7"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100</w:t>
            </w:r>
          </w:p>
        </w:tc>
        <w:tc>
          <w:tcPr>
            <w:tcW w:w="346" w:type="pct"/>
          </w:tcPr>
          <w:p w14:paraId="77456344"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Both</w:t>
            </w:r>
          </w:p>
        </w:tc>
        <w:tc>
          <w:tcPr>
            <w:tcW w:w="323" w:type="pct"/>
          </w:tcPr>
          <w:p w14:paraId="3BFE0F41"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IC</w:t>
            </w:r>
          </w:p>
        </w:tc>
        <w:tc>
          <w:tcPr>
            <w:tcW w:w="323" w:type="pct"/>
          </w:tcPr>
          <w:p w14:paraId="1C9C0BA7"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I</w:t>
            </w:r>
          </w:p>
        </w:tc>
      </w:tr>
      <w:tr w:rsidR="00B54D51" w:rsidRPr="00037AD4" w14:paraId="5CB14A26" w14:textId="77777777" w:rsidTr="00401C67">
        <w:trPr>
          <w:jc w:val="center"/>
        </w:trPr>
        <w:tc>
          <w:tcPr>
            <w:tcW w:w="443" w:type="pct"/>
          </w:tcPr>
          <w:p w14:paraId="75030433"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Ersek, 2010</w:t>
            </w:r>
          </w:p>
        </w:tc>
        <w:tc>
          <w:tcPr>
            <w:tcW w:w="396" w:type="pct"/>
          </w:tcPr>
          <w:p w14:paraId="0FC5131D"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Hungary</w:t>
            </w:r>
          </w:p>
        </w:tc>
        <w:tc>
          <w:tcPr>
            <w:tcW w:w="430" w:type="pct"/>
          </w:tcPr>
          <w:p w14:paraId="167AF94F"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Cross-sectional</w:t>
            </w:r>
          </w:p>
        </w:tc>
        <w:tc>
          <w:tcPr>
            <w:tcW w:w="202" w:type="pct"/>
          </w:tcPr>
          <w:p w14:paraId="06BB00E7"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88</w:t>
            </w:r>
          </w:p>
        </w:tc>
        <w:tc>
          <w:tcPr>
            <w:tcW w:w="335" w:type="pct"/>
          </w:tcPr>
          <w:p w14:paraId="4F1E500B"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Any</w:t>
            </w:r>
          </w:p>
        </w:tc>
        <w:tc>
          <w:tcPr>
            <w:tcW w:w="360" w:type="pct"/>
          </w:tcPr>
          <w:p w14:paraId="58F1A3B1"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Very mild-to-severe</w:t>
            </w:r>
          </w:p>
        </w:tc>
        <w:tc>
          <w:tcPr>
            <w:tcW w:w="390" w:type="pct"/>
          </w:tcPr>
          <w:p w14:paraId="49219424"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16% very mild; 27% mild; 25% moderate’; 16% severe</w:t>
            </w:r>
          </w:p>
        </w:tc>
        <w:tc>
          <w:tcPr>
            <w:tcW w:w="346" w:type="pct"/>
          </w:tcPr>
          <w:p w14:paraId="283D16ED"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16.7 (7.2)</w:t>
            </w:r>
          </w:p>
        </w:tc>
        <w:tc>
          <w:tcPr>
            <w:tcW w:w="346" w:type="pct"/>
          </w:tcPr>
          <w:p w14:paraId="4AA54083"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77.4 (9.2)</w:t>
            </w:r>
          </w:p>
        </w:tc>
        <w:tc>
          <w:tcPr>
            <w:tcW w:w="263" w:type="pct"/>
          </w:tcPr>
          <w:p w14:paraId="40A8C731"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3L**</w:t>
            </w:r>
          </w:p>
        </w:tc>
        <w:tc>
          <w:tcPr>
            <w:tcW w:w="497" w:type="pct"/>
          </w:tcPr>
          <w:p w14:paraId="25EE8855"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NR</w:t>
            </w:r>
          </w:p>
        </w:tc>
        <w:tc>
          <w:tcPr>
            <w:tcW w:w="346" w:type="pct"/>
          </w:tcPr>
          <w:p w14:paraId="4AF0DD13"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NR</w:t>
            </w:r>
          </w:p>
        </w:tc>
        <w:tc>
          <w:tcPr>
            <w:tcW w:w="323" w:type="pct"/>
          </w:tcPr>
          <w:p w14:paraId="155E0496"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IC</w:t>
            </w:r>
          </w:p>
        </w:tc>
        <w:tc>
          <w:tcPr>
            <w:tcW w:w="323" w:type="pct"/>
          </w:tcPr>
          <w:p w14:paraId="52E2AA6F"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NR</w:t>
            </w:r>
          </w:p>
        </w:tc>
      </w:tr>
      <w:tr w:rsidR="00B54D51" w:rsidRPr="00037AD4" w14:paraId="7133DD24" w14:textId="77777777" w:rsidTr="00401C67">
        <w:trPr>
          <w:jc w:val="center"/>
        </w:trPr>
        <w:tc>
          <w:tcPr>
            <w:tcW w:w="443" w:type="pct"/>
          </w:tcPr>
          <w:p w14:paraId="18768E3E" w14:textId="77777777" w:rsidR="00B54D51" w:rsidRPr="00037AD4" w:rsidRDefault="00B54D51" w:rsidP="00401C67">
            <w:pPr>
              <w:rPr>
                <w:rFonts w:asciiTheme="minorHAnsi" w:hAnsiTheme="minorHAnsi" w:cstheme="minorHAnsi"/>
                <w:b/>
                <w:bCs/>
                <w:sz w:val="22"/>
                <w:szCs w:val="22"/>
              </w:rPr>
            </w:pPr>
            <w:r w:rsidRPr="00037AD4">
              <w:rPr>
                <w:rFonts w:asciiTheme="minorHAnsi" w:hAnsiTheme="minorHAnsi" w:cstheme="minorHAnsi"/>
                <w:sz w:val="22"/>
                <w:szCs w:val="22"/>
              </w:rPr>
              <w:t>Farina, 2020</w:t>
            </w:r>
          </w:p>
        </w:tc>
        <w:tc>
          <w:tcPr>
            <w:tcW w:w="396" w:type="pct"/>
          </w:tcPr>
          <w:p w14:paraId="173B8C5C" w14:textId="77777777" w:rsidR="00B54D51" w:rsidRPr="00037AD4" w:rsidRDefault="00B54D51" w:rsidP="00401C67">
            <w:pPr>
              <w:rPr>
                <w:rFonts w:asciiTheme="minorHAnsi" w:hAnsiTheme="minorHAnsi" w:cstheme="minorHAnsi"/>
                <w:b/>
                <w:bCs/>
                <w:sz w:val="22"/>
                <w:szCs w:val="22"/>
              </w:rPr>
            </w:pPr>
            <w:r w:rsidRPr="00037AD4">
              <w:rPr>
                <w:rFonts w:asciiTheme="minorHAnsi" w:hAnsiTheme="minorHAnsi" w:cstheme="minorHAnsi"/>
                <w:sz w:val="22"/>
                <w:szCs w:val="22"/>
              </w:rPr>
              <w:t>UK</w:t>
            </w:r>
          </w:p>
        </w:tc>
        <w:tc>
          <w:tcPr>
            <w:tcW w:w="430" w:type="pct"/>
          </w:tcPr>
          <w:p w14:paraId="628462DC" w14:textId="77777777" w:rsidR="00B54D51" w:rsidRPr="00037AD4" w:rsidRDefault="00B54D51" w:rsidP="00401C67">
            <w:pPr>
              <w:rPr>
                <w:rFonts w:asciiTheme="minorHAnsi" w:hAnsiTheme="minorHAnsi" w:cstheme="minorHAnsi"/>
                <w:b/>
                <w:bCs/>
                <w:sz w:val="22"/>
                <w:szCs w:val="22"/>
              </w:rPr>
            </w:pPr>
            <w:r w:rsidRPr="00037AD4">
              <w:rPr>
                <w:rFonts w:asciiTheme="minorHAnsi" w:hAnsiTheme="minorHAnsi" w:cstheme="minorHAnsi"/>
                <w:sz w:val="22"/>
                <w:szCs w:val="22"/>
              </w:rPr>
              <w:t xml:space="preserve">Cohort </w:t>
            </w:r>
          </w:p>
        </w:tc>
        <w:tc>
          <w:tcPr>
            <w:tcW w:w="202" w:type="pct"/>
          </w:tcPr>
          <w:p w14:paraId="0BD19008" w14:textId="77777777" w:rsidR="00B54D51" w:rsidRPr="00037AD4" w:rsidRDefault="00B54D51" w:rsidP="00401C67">
            <w:pPr>
              <w:rPr>
                <w:rFonts w:asciiTheme="minorHAnsi" w:hAnsiTheme="minorHAnsi" w:cstheme="minorHAnsi"/>
                <w:b/>
                <w:bCs/>
                <w:sz w:val="22"/>
                <w:szCs w:val="22"/>
              </w:rPr>
            </w:pPr>
            <w:r w:rsidRPr="00037AD4">
              <w:rPr>
                <w:rFonts w:asciiTheme="minorHAnsi" w:hAnsiTheme="minorHAnsi" w:cstheme="minorHAnsi"/>
                <w:sz w:val="22"/>
                <w:szCs w:val="22"/>
              </w:rPr>
              <w:t>307</w:t>
            </w:r>
          </w:p>
        </w:tc>
        <w:tc>
          <w:tcPr>
            <w:tcW w:w="335" w:type="pct"/>
          </w:tcPr>
          <w:p w14:paraId="018F2AEC" w14:textId="77777777" w:rsidR="00B54D51" w:rsidRPr="00037AD4" w:rsidRDefault="00B54D51" w:rsidP="00401C67">
            <w:pPr>
              <w:rPr>
                <w:rFonts w:asciiTheme="minorHAnsi" w:hAnsiTheme="minorHAnsi" w:cstheme="minorHAnsi"/>
                <w:b/>
                <w:bCs/>
                <w:sz w:val="22"/>
                <w:szCs w:val="22"/>
              </w:rPr>
            </w:pPr>
            <w:r w:rsidRPr="00037AD4">
              <w:rPr>
                <w:rFonts w:asciiTheme="minorHAnsi" w:hAnsiTheme="minorHAnsi" w:cstheme="minorHAnsi"/>
                <w:sz w:val="22"/>
                <w:szCs w:val="22"/>
              </w:rPr>
              <w:t>Any</w:t>
            </w:r>
          </w:p>
        </w:tc>
        <w:tc>
          <w:tcPr>
            <w:tcW w:w="360" w:type="pct"/>
          </w:tcPr>
          <w:p w14:paraId="6C6E530F" w14:textId="77777777" w:rsidR="00B54D51" w:rsidRPr="00037AD4" w:rsidRDefault="00B54D51" w:rsidP="00401C67">
            <w:pPr>
              <w:rPr>
                <w:rFonts w:asciiTheme="minorHAnsi" w:hAnsiTheme="minorHAnsi" w:cstheme="minorHAnsi"/>
                <w:b/>
                <w:bCs/>
                <w:sz w:val="22"/>
                <w:szCs w:val="22"/>
              </w:rPr>
            </w:pPr>
            <w:r w:rsidRPr="00037AD4">
              <w:rPr>
                <w:rFonts w:asciiTheme="minorHAnsi" w:hAnsiTheme="minorHAnsi" w:cstheme="minorHAnsi"/>
                <w:sz w:val="22"/>
                <w:szCs w:val="22"/>
              </w:rPr>
              <w:t>Mild-to-severe</w:t>
            </w:r>
          </w:p>
        </w:tc>
        <w:tc>
          <w:tcPr>
            <w:tcW w:w="390" w:type="pct"/>
          </w:tcPr>
          <w:p w14:paraId="5F75508C" w14:textId="77777777" w:rsidR="00B54D51" w:rsidRPr="00037AD4" w:rsidRDefault="00B54D51" w:rsidP="00401C67">
            <w:pPr>
              <w:rPr>
                <w:rFonts w:asciiTheme="minorHAnsi" w:hAnsiTheme="minorHAnsi" w:cstheme="minorHAnsi"/>
                <w:b/>
                <w:bCs/>
                <w:sz w:val="22"/>
                <w:szCs w:val="22"/>
              </w:rPr>
            </w:pPr>
            <w:r w:rsidRPr="00037AD4">
              <w:rPr>
                <w:rFonts w:asciiTheme="minorHAnsi" w:hAnsiTheme="minorHAnsi" w:cstheme="minorHAnsi"/>
                <w:sz w:val="22"/>
                <w:szCs w:val="22"/>
              </w:rPr>
              <w:t>36% mild; 33% moderate; 32% severe</w:t>
            </w:r>
          </w:p>
        </w:tc>
        <w:tc>
          <w:tcPr>
            <w:tcW w:w="346" w:type="pct"/>
          </w:tcPr>
          <w:p w14:paraId="329FF808" w14:textId="77777777" w:rsidR="00B54D51" w:rsidRPr="00037AD4" w:rsidRDefault="00B54D51" w:rsidP="00401C67">
            <w:pPr>
              <w:rPr>
                <w:rFonts w:asciiTheme="minorHAnsi" w:hAnsiTheme="minorHAnsi" w:cstheme="minorHAnsi"/>
                <w:b/>
                <w:bCs/>
                <w:sz w:val="22"/>
                <w:szCs w:val="22"/>
              </w:rPr>
            </w:pPr>
            <w:r w:rsidRPr="00037AD4">
              <w:rPr>
                <w:rFonts w:asciiTheme="minorHAnsi" w:hAnsiTheme="minorHAnsi" w:cstheme="minorHAnsi"/>
                <w:sz w:val="22"/>
                <w:szCs w:val="22"/>
              </w:rPr>
              <w:t>14.9 (9.1)</w:t>
            </w:r>
          </w:p>
        </w:tc>
        <w:tc>
          <w:tcPr>
            <w:tcW w:w="346" w:type="pct"/>
          </w:tcPr>
          <w:p w14:paraId="3DFB1755" w14:textId="77777777" w:rsidR="00B54D51" w:rsidRPr="00037AD4" w:rsidRDefault="00B54D51" w:rsidP="00401C67">
            <w:pPr>
              <w:rPr>
                <w:rFonts w:asciiTheme="minorHAnsi" w:hAnsiTheme="minorHAnsi" w:cstheme="minorHAnsi"/>
                <w:b/>
                <w:bCs/>
                <w:sz w:val="22"/>
                <w:szCs w:val="22"/>
              </w:rPr>
            </w:pPr>
            <w:r w:rsidRPr="00037AD4">
              <w:rPr>
                <w:rFonts w:asciiTheme="minorHAnsi" w:hAnsiTheme="minorHAnsi" w:cstheme="minorHAnsi"/>
                <w:sz w:val="22"/>
                <w:szCs w:val="22"/>
              </w:rPr>
              <w:t>80.9 (8.4)</w:t>
            </w:r>
          </w:p>
        </w:tc>
        <w:tc>
          <w:tcPr>
            <w:tcW w:w="263" w:type="pct"/>
          </w:tcPr>
          <w:p w14:paraId="64BAFC35" w14:textId="77777777" w:rsidR="00B54D51" w:rsidRPr="00037AD4" w:rsidRDefault="00B54D51" w:rsidP="00401C67">
            <w:pPr>
              <w:rPr>
                <w:rFonts w:asciiTheme="minorHAnsi" w:hAnsiTheme="minorHAnsi" w:cstheme="minorHAnsi"/>
                <w:b/>
                <w:bCs/>
                <w:sz w:val="22"/>
                <w:szCs w:val="22"/>
              </w:rPr>
            </w:pPr>
            <w:r w:rsidRPr="00037AD4">
              <w:rPr>
                <w:rFonts w:asciiTheme="minorHAnsi" w:hAnsiTheme="minorHAnsi" w:cstheme="minorHAnsi"/>
                <w:sz w:val="22"/>
                <w:szCs w:val="22"/>
              </w:rPr>
              <w:t>3L</w:t>
            </w:r>
          </w:p>
        </w:tc>
        <w:tc>
          <w:tcPr>
            <w:tcW w:w="497" w:type="pct"/>
          </w:tcPr>
          <w:p w14:paraId="746A5F68" w14:textId="77777777" w:rsidR="00B54D51" w:rsidRPr="00037AD4" w:rsidRDefault="00B54D51" w:rsidP="00401C67">
            <w:pPr>
              <w:rPr>
                <w:rFonts w:asciiTheme="minorHAnsi" w:hAnsiTheme="minorHAnsi" w:cstheme="minorHAnsi"/>
                <w:b/>
                <w:bCs/>
                <w:sz w:val="22"/>
                <w:szCs w:val="22"/>
              </w:rPr>
            </w:pPr>
            <w:r w:rsidRPr="00037AD4">
              <w:rPr>
                <w:rFonts w:asciiTheme="minorHAnsi" w:hAnsiTheme="minorHAnsi" w:cstheme="minorHAnsi"/>
                <w:sz w:val="22"/>
                <w:szCs w:val="22"/>
              </w:rPr>
              <w:t>21</w:t>
            </w:r>
          </w:p>
        </w:tc>
        <w:tc>
          <w:tcPr>
            <w:tcW w:w="346" w:type="pct"/>
          </w:tcPr>
          <w:p w14:paraId="2FDB1709" w14:textId="77777777" w:rsidR="00B54D51" w:rsidRPr="00037AD4" w:rsidRDefault="00B54D51" w:rsidP="00401C67">
            <w:pPr>
              <w:rPr>
                <w:rFonts w:asciiTheme="minorHAnsi" w:hAnsiTheme="minorHAnsi" w:cstheme="minorHAnsi"/>
                <w:b/>
                <w:bCs/>
                <w:sz w:val="22"/>
                <w:szCs w:val="22"/>
              </w:rPr>
            </w:pPr>
            <w:r w:rsidRPr="00037AD4">
              <w:rPr>
                <w:rFonts w:asciiTheme="minorHAnsi" w:hAnsiTheme="minorHAnsi" w:cstheme="minorHAnsi"/>
                <w:sz w:val="22"/>
                <w:szCs w:val="22"/>
              </w:rPr>
              <w:t>Both</w:t>
            </w:r>
          </w:p>
        </w:tc>
        <w:tc>
          <w:tcPr>
            <w:tcW w:w="323" w:type="pct"/>
          </w:tcPr>
          <w:p w14:paraId="030F90A9" w14:textId="77777777" w:rsidR="00B54D51" w:rsidRPr="00037AD4" w:rsidRDefault="00B54D51" w:rsidP="00401C67">
            <w:pPr>
              <w:rPr>
                <w:rFonts w:asciiTheme="minorHAnsi" w:hAnsiTheme="minorHAnsi" w:cstheme="minorHAnsi"/>
                <w:b/>
                <w:bCs/>
                <w:sz w:val="22"/>
                <w:szCs w:val="22"/>
              </w:rPr>
            </w:pPr>
            <w:r w:rsidRPr="00037AD4">
              <w:rPr>
                <w:rFonts w:asciiTheme="minorHAnsi" w:hAnsiTheme="minorHAnsi" w:cstheme="minorHAnsi"/>
                <w:sz w:val="22"/>
                <w:szCs w:val="22"/>
              </w:rPr>
              <w:t>IC</w:t>
            </w:r>
          </w:p>
        </w:tc>
        <w:tc>
          <w:tcPr>
            <w:tcW w:w="323" w:type="pct"/>
          </w:tcPr>
          <w:p w14:paraId="072D5573"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SA</w:t>
            </w:r>
          </w:p>
        </w:tc>
      </w:tr>
      <w:tr w:rsidR="00B54D51" w:rsidRPr="00037AD4" w14:paraId="58C257B1" w14:textId="77777777" w:rsidTr="00401C67">
        <w:trPr>
          <w:jc w:val="center"/>
        </w:trPr>
        <w:tc>
          <w:tcPr>
            <w:tcW w:w="443" w:type="pct"/>
          </w:tcPr>
          <w:p w14:paraId="6DB7A008"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Garre-Olmo, 2017</w:t>
            </w:r>
          </w:p>
        </w:tc>
        <w:tc>
          <w:tcPr>
            <w:tcW w:w="396" w:type="pct"/>
          </w:tcPr>
          <w:p w14:paraId="38834E77"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Spain</w:t>
            </w:r>
          </w:p>
        </w:tc>
        <w:tc>
          <w:tcPr>
            <w:tcW w:w="430" w:type="pct"/>
          </w:tcPr>
          <w:p w14:paraId="2065F2F0"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Cross-sectional multicentre</w:t>
            </w:r>
          </w:p>
        </w:tc>
        <w:tc>
          <w:tcPr>
            <w:tcW w:w="202" w:type="pct"/>
          </w:tcPr>
          <w:p w14:paraId="0225B483"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343</w:t>
            </w:r>
          </w:p>
        </w:tc>
        <w:tc>
          <w:tcPr>
            <w:tcW w:w="335" w:type="pct"/>
          </w:tcPr>
          <w:p w14:paraId="7B8AB876"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AD</w:t>
            </w:r>
          </w:p>
        </w:tc>
        <w:tc>
          <w:tcPr>
            <w:tcW w:w="360" w:type="pct"/>
          </w:tcPr>
          <w:p w14:paraId="13D393E3"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Mild-to-severe</w:t>
            </w:r>
          </w:p>
        </w:tc>
        <w:tc>
          <w:tcPr>
            <w:tcW w:w="390" w:type="pct"/>
          </w:tcPr>
          <w:p w14:paraId="36DD302D"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32.1% mild; 36.7% moderate; 31.2% severe</w:t>
            </w:r>
          </w:p>
        </w:tc>
        <w:tc>
          <w:tcPr>
            <w:tcW w:w="346" w:type="pct"/>
          </w:tcPr>
          <w:p w14:paraId="5E8DF77A"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14.2 (6.3)</w:t>
            </w:r>
          </w:p>
        </w:tc>
        <w:tc>
          <w:tcPr>
            <w:tcW w:w="346" w:type="pct"/>
          </w:tcPr>
          <w:p w14:paraId="075BE7F4"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78.9 (7.4)</w:t>
            </w:r>
          </w:p>
        </w:tc>
        <w:tc>
          <w:tcPr>
            <w:tcW w:w="263" w:type="pct"/>
          </w:tcPr>
          <w:p w14:paraId="6BDE2CF1"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3L</w:t>
            </w:r>
          </w:p>
        </w:tc>
        <w:tc>
          <w:tcPr>
            <w:tcW w:w="497" w:type="pct"/>
          </w:tcPr>
          <w:p w14:paraId="456F0752"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NR</w:t>
            </w:r>
          </w:p>
        </w:tc>
        <w:tc>
          <w:tcPr>
            <w:tcW w:w="346" w:type="pct"/>
          </w:tcPr>
          <w:p w14:paraId="4F78B2AC"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Proxy</w:t>
            </w:r>
          </w:p>
        </w:tc>
        <w:tc>
          <w:tcPr>
            <w:tcW w:w="323" w:type="pct"/>
          </w:tcPr>
          <w:p w14:paraId="646B612D"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IC</w:t>
            </w:r>
          </w:p>
        </w:tc>
        <w:tc>
          <w:tcPr>
            <w:tcW w:w="323" w:type="pct"/>
          </w:tcPr>
          <w:p w14:paraId="067BDC62"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I</w:t>
            </w:r>
          </w:p>
        </w:tc>
      </w:tr>
      <w:tr w:rsidR="00B54D51" w:rsidRPr="00037AD4" w14:paraId="644B0A91" w14:textId="77777777" w:rsidTr="00401C67">
        <w:trPr>
          <w:jc w:val="center"/>
        </w:trPr>
        <w:tc>
          <w:tcPr>
            <w:tcW w:w="443" w:type="pct"/>
          </w:tcPr>
          <w:p w14:paraId="32AB1511"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Gonzalez-Velez, 2015</w:t>
            </w:r>
          </w:p>
        </w:tc>
        <w:tc>
          <w:tcPr>
            <w:tcW w:w="396" w:type="pct"/>
          </w:tcPr>
          <w:p w14:paraId="6853F900"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Spain</w:t>
            </w:r>
          </w:p>
        </w:tc>
        <w:tc>
          <w:tcPr>
            <w:tcW w:w="430" w:type="pct"/>
          </w:tcPr>
          <w:p w14:paraId="78846E4E"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Multicentre longitudinal cohort</w:t>
            </w:r>
          </w:p>
        </w:tc>
        <w:tc>
          <w:tcPr>
            <w:tcW w:w="202" w:type="pct"/>
          </w:tcPr>
          <w:p w14:paraId="0B88A977"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412</w:t>
            </w:r>
          </w:p>
        </w:tc>
        <w:tc>
          <w:tcPr>
            <w:tcW w:w="335" w:type="pct"/>
          </w:tcPr>
          <w:p w14:paraId="14D9E8EA"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NR</w:t>
            </w:r>
          </w:p>
        </w:tc>
        <w:tc>
          <w:tcPr>
            <w:tcW w:w="360" w:type="pct"/>
          </w:tcPr>
          <w:p w14:paraId="06C912B5"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Mild/moderate-to-severe*</w:t>
            </w:r>
          </w:p>
          <w:p w14:paraId="6ADF57FB" w14:textId="77777777" w:rsidR="00B54D51" w:rsidRPr="00037AD4" w:rsidRDefault="00B54D51" w:rsidP="00401C67">
            <w:pPr>
              <w:rPr>
                <w:rFonts w:asciiTheme="minorHAnsi" w:hAnsiTheme="minorHAnsi" w:cstheme="minorHAnsi"/>
                <w:sz w:val="22"/>
                <w:szCs w:val="22"/>
              </w:rPr>
            </w:pPr>
          </w:p>
        </w:tc>
        <w:tc>
          <w:tcPr>
            <w:tcW w:w="390" w:type="pct"/>
          </w:tcPr>
          <w:p w14:paraId="153F3B29"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44% mild/moderate; 56% severe</w:t>
            </w:r>
          </w:p>
        </w:tc>
        <w:tc>
          <w:tcPr>
            <w:tcW w:w="346" w:type="pct"/>
          </w:tcPr>
          <w:p w14:paraId="35CD5ADA"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13.0 (8.5)</w:t>
            </w:r>
          </w:p>
        </w:tc>
        <w:tc>
          <w:tcPr>
            <w:tcW w:w="346" w:type="pct"/>
          </w:tcPr>
          <w:p w14:paraId="22233790"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84.7 (6.5)</w:t>
            </w:r>
          </w:p>
        </w:tc>
        <w:tc>
          <w:tcPr>
            <w:tcW w:w="263" w:type="pct"/>
          </w:tcPr>
          <w:p w14:paraId="3C174509"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3L**</w:t>
            </w:r>
          </w:p>
        </w:tc>
        <w:tc>
          <w:tcPr>
            <w:tcW w:w="497" w:type="pct"/>
          </w:tcPr>
          <w:p w14:paraId="63C04D2C"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100</w:t>
            </w:r>
          </w:p>
        </w:tc>
        <w:tc>
          <w:tcPr>
            <w:tcW w:w="346" w:type="pct"/>
          </w:tcPr>
          <w:p w14:paraId="635D8832"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Proxy</w:t>
            </w:r>
          </w:p>
        </w:tc>
        <w:tc>
          <w:tcPr>
            <w:tcW w:w="323" w:type="pct"/>
          </w:tcPr>
          <w:p w14:paraId="163EBFA2"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FC &amp; IC </w:t>
            </w:r>
          </w:p>
          <w:p w14:paraId="004A58B0" w14:textId="77777777" w:rsidR="00B54D51" w:rsidRPr="00037AD4" w:rsidRDefault="00B54D51" w:rsidP="00401C67">
            <w:pPr>
              <w:rPr>
                <w:rFonts w:asciiTheme="minorHAnsi" w:hAnsiTheme="minorHAnsi" w:cstheme="minorHAnsi"/>
                <w:sz w:val="22"/>
                <w:szCs w:val="22"/>
              </w:rPr>
            </w:pPr>
          </w:p>
          <w:p w14:paraId="3F38F935" w14:textId="77777777" w:rsidR="00B54D51" w:rsidRPr="00037AD4" w:rsidRDefault="00B54D51" w:rsidP="00401C67">
            <w:pPr>
              <w:rPr>
                <w:rFonts w:asciiTheme="minorHAnsi" w:hAnsiTheme="minorHAnsi" w:cstheme="minorHAnsi"/>
                <w:sz w:val="22"/>
                <w:szCs w:val="22"/>
              </w:rPr>
            </w:pPr>
          </w:p>
          <w:p w14:paraId="07BD329C" w14:textId="77777777" w:rsidR="00B54D51" w:rsidRPr="00037AD4" w:rsidRDefault="00B54D51" w:rsidP="00401C67">
            <w:pPr>
              <w:rPr>
                <w:rFonts w:asciiTheme="minorHAnsi" w:hAnsiTheme="minorHAnsi" w:cstheme="minorHAnsi"/>
                <w:sz w:val="22"/>
                <w:szCs w:val="22"/>
              </w:rPr>
            </w:pPr>
          </w:p>
        </w:tc>
        <w:tc>
          <w:tcPr>
            <w:tcW w:w="323" w:type="pct"/>
          </w:tcPr>
          <w:p w14:paraId="004B500F"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SA</w:t>
            </w:r>
          </w:p>
        </w:tc>
      </w:tr>
      <w:tr w:rsidR="00B54D51" w:rsidRPr="00037AD4" w14:paraId="04C645F5" w14:textId="77777777" w:rsidTr="00401C67">
        <w:trPr>
          <w:jc w:val="center"/>
        </w:trPr>
        <w:tc>
          <w:tcPr>
            <w:tcW w:w="443" w:type="pct"/>
          </w:tcPr>
          <w:p w14:paraId="2DE14295"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b/>
                <w:bCs/>
                <w:sz w:val="22"/>
                <w:szCs w:val="22"/>
              </w:rPr>
              <w:lastRenderedPageBreak/>
              <w:t>Author, year</w:t>
            </w:r>
          </w:p>
        </w:tc>
        <w:tc>
          <w:tcPr>
            <w:tcW w:w="396" w:type="pct"/>
          </w:tcPr>
          <w:p w14:paraId="35C41131"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b/>
                <w:bCs/>
                <w:sz w:val="22"/>
                <w:szCs w:val="22"/>
              </w:rPr>
              <w:t>Country</w:t>
            </w:r>
          </w:p>
        </w:tc>
        <w:tc>
          <w:tcPr>
            <w:tcW w:w="430" w:type="pct"/>
          </w:tcPr>
          <w:p w14:paraId="3DD44E15"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b/>
                <w:bCs/>
                <w:sz w:val="22"/>
                <w:szCs w:val="22"/>
              </w:rPr>
              <w:t>Study design (of data origin)</w:t>
            </w:r>
          </w:p>
        </w:tc>
        <w:tc>
          <w:tcPr>
            <w:tcW w:w="202" w:type="pct"/>
          </w:tcPr>
          <w:p w14:paraId="14C447D5"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b/>
                <w:bCs/>
                <w:sz w:val="22"/>
                <w:szCs w:val="22"/>
              </w:rPr>
              <w:t>n</w:t>
            </w:r>
          </w:p>
        </w:tc>
        <w:tc>
          <w:tcPr>
            <w:tcW w:w="335" w:type="pct"/>
          </w:tcPr>
          <w:p w14:paraId="490485CD"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b/>
                <w:bCs/>
                <w:sz w:val="22"/>
                <w:szCs w:val="22"/>
              </w:rPr>
              <w:t>Type dementia</w:t>
            </w:r>
          </w:p>
        </w:tc>
        <w:tc>
          <w:tcPr>
            <w:tcW w:w="360" w:type="pct"/>
          </w:tcPr>
          <w:p w14:paraId="4D8DF7FE"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b/>
                <w:bCs/>
                <w:sz w:val="22"/>
                <w:szCs w:val="22"/>
              </w:rPr>
              <w:t>Stage of dementia</w:t>
            </w:r>
          </w:p>
        </w:tc>
        <w:tc>
          <w:tcPr>
            <w:tcW w:w="390" w:type="pct"/>
          </w:tcPr>
          <w:p w14:paraId="5A6FA20A"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b/>
                <w:bCs/>
                <w:sz w:val="22"/>
                <w:szCs w:val="22"/>
              </w:rPr>
              <w:t>Severity proportion (%)</w:t>
            </w:r>
          </w:p>
        </w:tc>
        <w:tc>
          <w:tcPr>
            <w:tcW w:w="346" w:type="pct"/>
          </w:tcPr>
          <w:p w14:paraId="07A84083"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b/>
                <w:bCs/>
                <w:sz w:val="22"/>
                <w:szCs w:val="22"/>
              </w:rPr>
              <w:t>Mean MMSE (SD)</w:t>
            </w:r>
          </w:p>
        </w:tc>
        <w:tc>
          <w:tcPr>
            <w:tcW w:w="346" w:type="pct"/>
          </w:tcPr>
          <w:p w14:paraId="5CBFA420"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b/>
                <w:bCs/>
                <w:sz w:val="22"/>
                <w:szCs w:val="22"/>
              </w:rPr>
              <w:t>Mean age (SD)</w:t>
            </w:r>
          </w:p>
        </w:tc>
        <w:tc>
          <w:tcPr>
            <w:tcW w:w="263" w:type="pct"/>
          </w:tcPr>
          <w:p w14:paraId="3F0844DA"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b/>
                <w:bCs/>
                <w:sz w:val="22"/>
                <w:szCs w:val="22"/>
              </w:rPr>
              <w:t>EQ-5D: 3L or 5L</w:t>
            </w:r>
          </w:p>
        </w:tc>
        <w:tc>
          <w:tcPr>
            <w:tcW w:w="497" w:type="pct"/>
          </w:tcPr>
          <w:p w14:paraId="3B46483F"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b/>
                <w:bCs/>
                <w:sz w:val="22"/>
                <w:szCs w:val="22"/>
              </w:rPr>
              <w:t>Residence (% institutionalised)</w:t>
            </w:r>
          </w:p>
        </w:tc>
        <w:tc>
          <w:tcPr>
            <w:tcW w:w="346" w:type="pct"/>
          </w:tcPr>
          <w:p w14:paraId="124E65B1"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b/>
                <w:bCs/>
                <w:sz w:val="22"/>
                <w:szCs w:val="22"/>
              </w:rPr>
              <w:t>Self or proxy QoL</w:t>
            </w:r>
          </w:p>
        </w:tc>
        <w:tc>
          <w:tcPr>
            <w:tcW w:w="323" w:type="pct"/>
          </w:tcPr>
          <w:p w14:paraId="649FF1BE"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b/>
                <w:bCs/>
                <w:sz w:val="22"/>
                <w:szCs w:val="22"/>
              </w:rPr>
              <w:t xml:space="preserve">Proxy type </w:t>
            </w:r>
          </w:p>
        </w:tc>
        <w:tc>
          <w:tcPr>
            <w:tcW w:w="323" w:type="pct"/>
          </w:tcPr>
          <w:p w14:paraId="6709F9EF" w14:textId="77777777" w:rsidR="00B54D51" w:rsidRPr="00037AD4" w:rsidRDefault="00B54D51" w:rsidP="00401C67">
            <w:pPr>
              <w:rPr>
                <w:rFonts w:asciiTheme="minorHAnsi" w:hAnsiTheme="minorHAnsi" w:cstheme="minorHAnsi"/>
                <w:b/>
                <w:bCs/>
                <w:sz w:val="22"/>
                <w:szCs w:val="22"/>
              </w:rPr>
            </w:pPr>
          </w:p>
        </w:tc>
      </w:tr>
      <w:tr w:rsidR="00B54D51" w:rsidRPr="00037AD4" w14:paraId="0DC01B60" w14:textId="77777777" w:rsidTr="00401C67">
        <w:trPr>
          <w:jc w:val="center"/>
        </w:trPr>
        <w:tc>
          <w:tcPr>
            <w:tcW w:w="443" w:type="pct"/>
          </w:tcPr>
          <w:p w14:paraId="45766C58"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Haaksma, 2018</w:t>
            </w:r>
          </w:p>
        </w:tc>
        <w:tc>
          <w:tcPr>
            <w:tcW w:w="396" w:type="pct"/>
          </w:tcPr>
          <w:p w14:paraId="6B27497A"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Netherlands</w:t>
            </w:r>
          </w:p>
        </w:tc>
        <w:tc>
          <w:tcPr>
            <w:tcW w:w="430" w:type="pct"/>
          </w:tcPr>
          <w:p w14:paraId="5D3AC188"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Multicentre longitudinal prospective cohort</w:t>
            </w:r>
          </w:p>
        </w:tc>
        <w:tc>
          <w:tcPr>
            <w:tcW w:w="202" w:type="pct"/>
          </w:tcPr>
          <w:p w14:paraId="321F741F"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331</w:t>
            </w:r>
          </w:p>
        </w:tc>
        <w:tc>
          <w:tcPr>
            <w:tcW w:w="335" w:type="pct"/>
          </w:tcPr>
          <w:p w14:paraId="7BB68A72"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AD</w:t>
            </w:r>
          </w:p>
        </w:tc>
        <w:tc>
          <w:tcPr>
            <w:tcW w:w="360" w:type="pct"/>
          </w:tcPr>
          <w:p w14:paraId="24EA38AB"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Mild-to-moderate </w:t>
            </w:r>
          </w:p>
        </w:tc>
        <w:tc>
          <w:tcPr>
            <w:tcW w:w="390" w:type="pct"/>
          </w:tcPr>
          <w:p w14:paraId="488CB856"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65% very mild</w:t>
            </w:r>
          </w:p>
        </w:tc>
        <w:tc>
          <w:tcPr>
            <w:tcW w:w="346" w:type="pct"/>
          </w:tcPr>
          <w:p w14:paraId="59888844"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21.9 (3.7)</w:t>
            </w:r>
          </w:p>
        </w:tc>
        <w:tc>
          <w:tcPr>
            <w:tcW w:w="346" w:type="pct"/>
          </w:tcPr>
          <w:p w14:paraId="65E08E6A"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74.9 (10.2)</w:t>
            </w:r>
          </w:p>
        </w:tc>
        <w:tc>
          <w:tcPr>
            <w:tcW w:w="263" w:type="pct"/>
          </w:tcPr>
          <w:p w14:paraId="72C4600E"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3L</w:t>
            </w:r>
          </w:p>
        </w:tc>
        <w:tc>
          <w:tcPr>
            <w:tcW w:w="497" w:type="pct"/>
          </w:tcPr>
          <w:p w14:paraId="72A5FA56"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NR</w:t>
            </w:r>
          </w:p>
        </w:tc>
        <w:tc>
          <w:tcPr>
            <w:tcW w:w="346" w:type="pct"/>
          </w:tcPr>
          <w:p w14:paraId="64819BD1"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Proxy</w:t>
            </w:r>
          </w:p>
        </w:tc>
        <w:tc>
          <w:tcPr>
            <w:tcW w:w="323" w:type="pct"/>
          </w:tcPr>
          <w:p w14:paraId="5B439464"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IC</w:t>
            </w:r>
          </w:p>
        </w:tc>
        <w:tc>
          <w:tcPr>
            <w:tcW w:w="323" w:type="pct"/>
          </w:tcPr>
          <w:p w14:paraId="4AA096A5"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I</w:t>
            </w:r>
          </w:p>
        </w:tc>
      </w:tr>
      <w:tr w:rsidR="00B54D51" w:rsidRPr="00037AD4" w14:paraId="7F9DDB1E" w14:textId="77777777" w:rsidTr="00401C67">
        <w:trPr>
          <w:jc w:val="center"/>
        </w:trPr>
        <w:tc>
          <w:tcPr>
            <w:tcW w:w="443" w:type="pct"/>
          </w:tcPr>
          <w:p w14:paraId="1DE6E6C7"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Heßmann et al, 2016</w:t>
            </w:r>
          </w:p>
        </w:tc>
        <w:tc>
          <w:tcPr>
            <w:tcW w:w="396" w:type="pct"/>
          </w:tcPr>
          <w:p w14:paraId="3E301CE9"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Germany</w:t>
            </w:r>
          </w:p>
        </w:tc>
        <w:tc>
          <w:tcPr>
            <w:tcW w:w="430" w:type="pct"/>
          </w:tcPr>
          <w:p w14:paraId="56D1EE76"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Non-interventional </w:t>
            </w:r>
          </w:p>
        </w:tc>
        <w:tc>
          <w:tcPr>
            <w:tcW w:w="202" w:type="pct"/>
          </w:tcPr>
          <w:p w14:paraId="4EB5FA36"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395</w:t>
            </w:r>
          </w:p>
        </w:tc>
        <w:tc>
          <w:tcPr>
            <w:tcW w:w="335" w:type="pct"/>
          </w:tcPr>
          <w:p w14:paraId="364CBF30"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AD</w:t>
            </w:r>
          </w:p>
        </w:tc>
        <w:tc>
          <w:tcPr>
            <w:tcW w:w="360" w:type="pct"/>
          </w:tcPr>
          <w:p w14:paraId="394F588C"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Mild-to-severe</w:t>
            </w:r>
          </w:p>
        </w:tc>
        <w:tc>
          <w:tcPr>
            <w:tcW w:w="390" w:type="pct"/>
          </w:tcPr>
          <w:p w14:paraId="3404D0F8"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13% very mild; 33% mild; 27% moderate; 28% severe</w:t>
            </w:r>
          </w:p>
        </w:tc>
        <w:tc>
          <w:tcPr>
            <w:tcW w:w="346" w:type="pct"/>
          </w:tcPr>
          <w:p w14:paraId="37D19954"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18.8 (8.3)</w:t>
            </w:r>
          </w:p>
        </w:tc>
        <w:tc>
          <w:tcPr>
            <w:tcW w:w="346" w:type="pct"/>
          </w:tcPr>
          <w:p w14:paraId="7EF4002E"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79</w:t>
            </w:r>
          </w:p>
        </w:tc>
        <w:tc>
          <w:tcPr>
            <w:tcW w:w="263" w:type="pct"/>
          </w:tcPr>
          <w:p w14:paraId="71B7EEA7"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3L</w:t>
            </w:r>
          </w:p>
        </w:tc>
        <w:tc>
          <w:tcPr>
            <w:tcW w:w="497" w:type="pct"/>
          </w:tcPr>
          <w:p w14:paraId="384B65F1"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31</w:t>
            </w:r>
          </w:p>
        </w:tc>
        <w:tc>
          <w:tcPr>
            <w:tcW w:w="346" w:type="pct"/>
          </w:tcPr>
          <w:p w14:paraId="3F92B055"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Both</w:t>
            </w:r>
          </w:p>
        </w:tc>
        <w:tc>
          <w:tcPr>
            <w:tcW w:w="323" w:type="pct"/>
          </w:tcPr>
          <w:p w14:paraId="7983884A"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IC</w:t>
            </w:r>
          </w:p>
        </w:tc>
        <w:tc>
          <w:tcPr>
            <w:tcW w:w="323" w:type="pct"/>
          </w:tcPr>
          <w:p w14:paraId="46106FCD"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I</w:t>
            </w:r>
          </w:p>
        </w:tc>
      </w:tr>
      <w:tr w:rsidR="00B54D51" w:rsidRPr="00037AD4" w14:paraId="67641A24" w14:textId="77777777" w:rsidTr="00401C67">
        <w:trPr>
          <w:jc w:val="center"/>
        </w:trPr>
        <w:tc>
          <w:tcPr>
            <w:tcW w:w="443" w:type="pct"/>
          </w:tcPr>
          <w:p w14:paraId="65EC1152"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Karlawish, 2008 [1] </w:t>
            </w:r>
          </w:p>
        </w:tc>
        <w:tc>
          <w:tcPr>
            <w:tcW w:w="396" w:type="pct"/>
          </w:tcPr>
          <w:p w14:paraId="2C6167B5"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USA</w:t>
            </w:r>
          </w:p>
        </w:tc>
        <w:tc>
          <w:tcPr>
            <w:tcW w:w="430" w:type="pct"/>
          </w:tcPr>
          <w:p w14:paraId="2FD45A54"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Non-interventional</w:t>
            </w:r>
          </w:p>
        </w:tc>
        <w:tc>
          <w:tcPr>
            <w:tcW w:w="202" w:type="pct"/>
          </w:tcPr>
          <w:p w14:paraId="009A1E9D"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110</w:t>
            </w:r>
          </w:p>
        </w:tc>
        <w:tc>
          <w:tcPr>
            <w:tcW w:w="335" w:type="pct"/>
          </w:tcPr>
          <w:p w14:paraId="33951533"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AD</w:t>
            </w:r>
          </w:p>
        </w:tc>
        <w:tc>
          <w:tcPr>
            <w:tcW w:w="360" w:type="pct"/>
          </w:tcPr>
          <w:p w14:paraId="795B06CA"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Very mild-to-moderate</w:t>
            </w:r>
          </w:p>
        </w:tc>
        <w:tc>
          <w:tcPr>
            <w:tcW w:w="390" w:type="pct"/>
          </w:tcPr>
          <w:p w14:paraId="342060BE"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32% very mild; 39% mild; 29% moderate </w:t>
            </w:r>
          </w:p>
        </w:tc>
        <w:tc>
          <w:tcPr>
            <w:tcW w:w="346" w:type="pct"/>
          </w:tcPr>
          <w:p w14:paraId="592C23BA"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21.3 (4.3)</w:t>
            </w:r>
          </w:p>
        </w:tc>
        <w:tc>
          <w:tcPr>
            <w:tcW w:w="346" w:type="pct"/>
          </w:tcPr>
          <w:p w14:paraId="0D637416"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76.8 (2.7)</w:t>
            </w:r>
          </w:p>
        </w:tc>
        <w:tc>
          <w:tcPr>
            <w:tcW w:w="263" w:type="pct"/>
          </w:tcPr>
          <w:p w14:paraId="3B69177B"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3L</w:t>
            </w:r>
          </w:p>
        </w:tc>
        <w:tc>
          <w:tcPr>
            <w:tcW w:w="497" w:type="pct"/>
          </w:tcPr>
          <w:p w14:paraId="49B698F5"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0</w:t>
            </w:r>
          </w:p>
        </w:tc>
        <w:tc>
          <w:tcPr>
            <w:tcW w:w="346" w:type="pct"/>
          </w:tcPr>
          <w:p w14:paraId="7D16CF95"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Self</w:t>
            </w:r>
          </w:p>
        </w:tc>
        <w:tc>
          <w:tcPr>
            <w:tcW w:w="323" w:type="pct"/>
          </w:tcPr>
          <w:p w14:paraId="6F268C80"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n/a</w:t>
            </w:r>
          </w:p>
        </w:tc>
        <w:tc>
          <w:tcPr>
            <w:tcW w:w="323" w:type="pct"/>
          </w:tcPr>
          <w:p w14:paraId="34E8F0A1"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I</w:t>
            </w:r>
          </w:p>
        </w:tc>
      </w:tr>
      <w:tr w:rsidR="00B54D51" w:rsidRPr="00037AD4" w14:paraId="2320D242" w14:textId="77777777" w:rsidTr="00401C67">
        <w:trPr>
          <w:jc w:val="center"/>
        </w:trPr>
        <w:tc>
          <w:tcPr>
            <w:tcW w:w="443" w:type="pct"/>
          </w:tcPr>
          <w:p w14:paraId="064BC620"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Karlawish, 2008 [2] </w:t>
            </w:r>
          </w:p>
        </w:tc>
        <w:tc>
          <w:tcPr>
            <w:tcW w:w="396" w:type="pct"/>
          </w:tcPr>
          <w:p w14:paraId="23FC7472"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USA</w:t>
            </w:r>
          </w:p>
        </w:tc>
        <w:tc>
          <w:tcPr>
            <w:tcW w:w="430" w:type="pct"/>
          </w:tcPr>
          <w:p w14:paraId="270C0372"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Non-interventional</w:t>
            </w:r>
          </w:p>
        </w:tc>
        <w:tc>
          <w:tcPr>
            <w:tcW w:w="202" w:type="pct"/>
          </w:tcPr>
          <w:p w14:paraId="12ECF193"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110</w:t>
            </w:r>
          </w:p>
        </w:tc>
        <w:tc>
          <w:tcPr>
            <w:tcW w:w="335" w:type="pct"/>
          </w:tcPr>
          <w:p w14:paraId="26FC60FB"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AD</w:t>
            </w:r>
          </w:p>
        </w:tc>
        <w:tc>
          <w:tcPr>
            <w:tcW w:w="360" w:type="pct"/>
          </w:tcPr>
          <w:p w14:paraId="3B214916"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Very mild-to-moderate</w:t>
            </w:r>
          </w:p>
        </w:tc>
        <w:tc>
          <w:tcPr>
            <w:tcW w:w="390" w:type="pct"/>
          </w:tcPr>
          <w:p w14:paraId="06FDAAE9"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28% very mild; 37% mild; 35% moderate </w:t>
            </w:r>
          </w:p>
        </w:tc>
        <w:tc>
          <w:tcPr>
            <w:tcW w:w="346" w:type="pct"/>
          </w:tcPr>
          <w:p w14:paraId="4C925EEC"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20.8 (4.4)</w:t>
            </w:r>
          </w:p>
        </w:tc>
        <w:tc>
          <w:tcPr>
            <w:tcW w:w="346" w:type="pct"/>
          </w:tcPr>
          <w:p w14:paraId="26505901"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76.8 (2.7)</w:t>
            </w:r>
          </w:p>
        </w:tc>
        <w:tc>
          <w:tcPr>
            <w:tcW w:w="263" w:type="pct"/>
          </w:tcPr>
          <w:p w14:paraId="737349F6"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3L</w:t>
            </w:r>
          </w:p>
        </w:tc>
        <w:tc>
          <w:tcPr>
            <w:tcW w:w="497" w:type="pct"/>
          </w:tcPr>
          <w:p w14:paraId="28E950F7"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0</w:t>
            </w:r>
          </w:p>
        </w:tc>
        <w:tc>
          <w:tcPr>
            <w:tcW w:w="346" w:type="pct"/>
          </w:tcPr>
          <w:p w14:paraId="19D3CB1B"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Proxy</w:t>
            </w:r>
          </w:p>
        </w:tc>
        <w:tc>
          <w:tcPr>
            <w:tcW w:w="323" w:type="pct"/>
          </w:tcPr>
          <w:p w14:paraId="6D238733"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IC</w:t>
            </w:r>
          </w:p>
        </w:tc>
        <w:tc>
          <w:tcPr>
            <w:tcW w:w="323" w:type="pct"/>
          </w:tcPr>
          <w:p w14:paraId="070698CE"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I</w:t>
            </w:r>
          </w:p>
        </w:tc>
      </w:tr>
      <w:tr w:rsidR="00B54D51" w:rsidRPr="00037AD4" w14:paraId="6FE43E97" w14:textId="77777777" w:rsidTr="00401C67">
        <w:trPr>
          <w:jc w:val="center"/>
        </w:trPr>
        <w:tc>
          <w:tcPr>
            <w:tcW w:w="443" w:type="pct"/>
          </w:tcPr>
          <w:p w14:paraId="3D2EE307"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King 2022</w:t>
            </w:r>
          </w:p>
        </w:tc>
        <w:tc>
          <w:tcPr>
            <w:tcW w:w="396" w:type="pct"/>
          </w:tcPr>
          <w:p w14:paraId="4AC84E19"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UK</w:t>
            </w:r>
          </w:p>
        </w:tc>
        <w:tc>
          <w:tcPr>
            <w:tcW w:w="430" w:type="pct"/>
          </w:tcPr>
          <w:p w14:paraId="0168E4A9"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Cohort study</w:t>
            </w:r>
          </w:p>
        </w:tc>
        <w:tc>
          <w:tcPr>
            <w:tcW w:w="202" w:type="pct"/>
          </w:tcPr>
          <w:p w14:paraId="3018D720"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243</w:t>
            </w:r>
          </w:p>
        </w:tc>
        <w:tc>
          <w:tcPr>
            <w:tcW w:w="335" w:type="pct"/>
          </w:tcPr>
          <w:p w14:paraId="4401B527"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Any</w:t>
            </w:r>
          </w:p>
        </w:tc>
        <w:tc>
          <w:tcPr>
            <w:tcW w:w="360" w:type="pct"/>
          </w:tcPr>
          <w:p w14:paraId="108F65EF"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Mild-to-severe </w:t>
            </w:r>
          </w:p>
        </w:tc>
        <w:tc>
          <w:tcPr>
            <w:tcW w:w="390" w:type="pct"/>
          </w:tcPr>
          <w:p w14:paraId="68464C00"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~33% each for mild, moderate and severe</w:t>
            </w:r>
          </w:p>
        </w:tc>
        <w:tc>
          <w:tcPr>
            <w:tcW w:w="346" w:type="pct"/>
          </w:tcPr>
          <w:p w14:paraId="6BDE9575"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15.9 (9.1)</w:t>
            </w:r>
          </w:p>
        </w:tc>
        <w:tc>
          <w:tcPr>
            <w:tcW w:w="346" w:type="pct"/>
          </w:tcPr>
          <w:p w14:paraId="55189433"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80.1 (8.6)</w:t>
            </w:r>
          </w:p>
        </w:tc>
        <w:tc>
          <w:tcPr>
            <w:tcW w:w="263" w:type="pct"/>
          </w:tcPr>
          <w:p w14:paraId="2AFA5B8B"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3L</w:t>
            </w:r>
          </w:p>
        </w:tc>
        <w:tc>
          <w:tcPr>
            <w:tcW w:w="497" w:type="pct"/>
          </w:tcPr>
          <w:p w14:paraId="6196B65D"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18.7</w:t>
            </w:r>
          </w:p>
        </w:tc>
        <w:tc>
          <w:tcPr>
            <w:tcW w:w="346" w:type="pct"/>
          </w:tcPr>
          <w:p w14:paraId="6DDF09F0"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Both </w:t>
            </w:r>
          </w:p>
        </w:tc>
        <w:tc>
          <w:tcPr>
            <w:tcW w:w="323" w:type="pct"/>
          </w:tcPr>
          <w:p w14:paraId="208D3B91"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IC</w:t>
            </w:r>
          </w:p>
        </w:tc>
        <w:tc>
          <w:tcPr>
            <w:tcW w:w="323" w:type="pct"/>
          </w:tcPr>
          <w:p w14:paraId="6532FB6C"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I</w:t>
            </w:r>
          </w:p>
        </w:tc>
      </w:tr>
      <w:tr w:rsidR="00B54D51" w:rsidRPr="00037AD4" w14:paraId="13AF60A8" w14:textId="77777777" w:rsidTr="00401C67">
        <w:trPr>
          <w:jc w:val="center"/>
        </w:trPr>
        <w:tc>
          <w:tcPr>
            <w:tcW w:w="443" w:type="pct"/>
          </w:tcPr>
          <w:p w14:paraId="22421753"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Kunz, 2010</w:t>
            </w:r>
          </w:p>
        </w:tc>
        <w:tc>
          <w:tcPr>
            <w:tcW w:w="396" w:type="pct"/>
          </w:tcPr>
          <w:p w14:paraId="5C85975A"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Germany</w:t>
            </w:r>
          </w:p>
        </w:tc>
        <w:tc>
          <w:tcPr>
            <w:tcW w:w="430" w:type="pct"/>
          </w:tcPr>
          <w:p w14:paraId="0C0C4D7C"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RCT</w:t>
            </w:r>
          </w:p>
        </w:tc>
        <w:tc>
          <w:tcPr>
            <w:tcW w:w="202" w:type="pct"/>
          </w:tcPr>
          <w:p w14:paraId="4F055634"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399</w:t>
            </w:r>
          </w:p>
        </w:tc>
        <w:tc>
          <w:tcPr>
            <w:tcW w:w="335" w:type="pct"/>
          </w:tcPr>
          <w:p w14:paraId="1AC8DFA9"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NR</w:t>
            </w:r>
          </w:p>
        </w:tc>
        <w:tc>
          <w:tcPr>
            <w:tcW w:w="360" w:type="pct"/>
          </w:tcPr>
          <w:p w14:paraId="273916E9"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Mild-to-moderate</w:t>
            </w:r>
          </w:p>
        </w:tc>
        <w:tc>
          <w:tcPr>
            <w:tcW w:w="390" w:type="pct"/>
          </w:tcPr>
          <w:p w14:paraId="5430AB2E"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65% mild; 35% moderate </w:t>
            </w:r>
          </w:p>
        </w:tc>
        <w:tc>
          <w:tcPr>
            <w:tcW w:w="346" w:type="pct"/>
          </w:tcPr>
          <w:p w14:paraId="6A23E8F0"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18.6 (3.8)</w:t>
            </w:r>
          </w:p>
        </w:tc>
        <w:tc>
          <w:tcPr>
            <w:tcW w:w="346" w:type="pct"/>
          </w:tcPr>
          <w:p w14:paraId="7EAC283C"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80.2 (6.7)</w:t>
            </w:r>
          </w:p>
        </w:tc>
        <w:tc>
          <w:tcPr>
            <w:tcW w:w="263" w:type="pct"/>
          </w:tcPr>
          <w:p w14:paraId="2D9078F7"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3L</w:t>
            </w:r>
          </w:p>
        </w:tc>
        <w:tc>
          <w:tcPr>
            <w:tcW w:w="497" w:type="pct"/>
          </w:tcPr>
          <w:p w14:paraId="1A7D5641"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0</w:t>
            </w:r>
          </w:p>
        </w:tc>
        <w:tc>
          <w:tcPr>
            <w:tcW w:w="346" w:type="pct"/>
          </w:tcPr>
          <w:p w14:paraId="5562A9C5"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Both</w:t>
            </w:r>
          </w:p>
        </w:tc>
        <w:tc>
          <w:tcPr>
            <w:tcW w:w="323" w:type="pct"/>
          </w:tcPr>
          <w:p w14:paraId="4517C036"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IC</w:t>
            </w:r>
          </w:p>
        </w:tc>
        <w:tc>
          <w:tcPr>
            <w:tcW w:w="323" w:type="pct"/>
          </w:tcPr>
          <w:p w14:paraId="3B35A2B2"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I</w:t>
            </w:r>
          </w:p>
        </w:tc>
      </w:tr>
      <w:tr w:rsidR="00B54D51" w:rsidRPr="00037AD4" w14:paraId="24A4C1C3" w14:textId="77777777" w:rsidTr="00401C67">
        <w:trPr>
          <w:jc w:val="center"/>
        </w:trPr>
        <w:tc>
          <w:tcPr>
            <w:tcW w:w="443" w:type="pct"/>
          </w:tcPr>
          <w:p w14:paraId="4A1BC647"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lastRenderedPageBreak/>
              <w:t>Kuo, 2010</w:t>
            </w:r>
          </w:p>
        </w:tc>
        <w:tc>
          <w:tcPr>
            <w:tcW w:w="396" w:type="pct"/>
          </w:tcPr>
          <w:p w14:paraId="269262F1"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Taiwan</w:t>
            </w:r>
          </w:p>
        </w:tc>
        <w:tc>
          <w:tcPr>
            <w:tcW w:w="430" w:type="pct"/>
          </w:tcPr>
          <w:p w14:paraId="58EA8686"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Cost analysis</w:t>
            </w:r>
          </w:p>
        </w:tc>
        <w:tc>
          <w:tcPr>
            <w:tcW w:w="202" w:type="pct"/>
          </w:tcPr>
          <w:p w14:paraId="3837ADC1"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140</w:t>
            </w:r>
          </w:p>
        </w:tc>
        <w:tc>
          <w:tcPr>
            <w:tcW w:w="335" w:type="pct"/>
          </w:tcPr>
          <w:p w14:paraId="4B118E3E"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NR</w:t>
            </w:r>
          </w:p>
        </w:tc>
        <w:tc>
          <w:tcPr>
            <w:tcW w:w="360" w:type="pct"/>
          </w:tcPr>
          <w:p w14:paraId="7B8AC526"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Mild-to-severe</w:t>
            </w:r>
          </w:p>
        </w:tc>
        <w:tc>
          <w:tcPr>
            <w:tcW w:w="390" w:type="pct"/>
          </w:tcPr>
          <w:p w14:paraId="15BA40D6"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24% mild; 30% mild-moderate; 21% moderate; 25% severe</w:t>
            </w:r>
          </w:p>
        </w:tc>
        <w:tc>
          <w:tcPr>
            <w:tcW w:w="346" w:type="pct"/>
          </w:tcPr>
          <w:p w14:paraId="2556194D"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NR</w:t>
            </w:r>
          </w:p>
        </w:tc>
        <w:tc>
          <w:tcPr>
            <w:tcW w:w="346" w:type="pct"/>
          </w:tcPr>
          <w:p w14:paraId="7315645A"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79.7</w:t>
            </w:r>
          </w:p>
        </w:tc>
        <w:tc>
          <w:tcPr>
            <w:tcW w:w="263" w:type="pct"/>
          </w:tcPr>
          <w:p w14:paraId="16B7D88B"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3L**</w:t>
            </w:r>
          </w:p>
        </w:tc>
        <w:tc>
          <w:tcPr>
            <w:tcW w:w="497" w:type="pct"/>
          </w:tcPr>
          <w:p w14:paraId="25FB0C1D"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36</w:t>
            </w:r>
          </w:p>
        </w:tc>
        <w:tc>
          <w:tcPr>
            <w:tcW w:w="346" w:type="pct"/>
          </w:tcPr>
          <w:p w14:paraId="2B0C702E"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Both</w:t>
            </w:r>
          </w:p>
        </w:tc>
        <w:tc>
          <w:tcPr>
            <w:tcW w:w="323" w:type="pct"/>
          </w:tcPr>
          <w:p w14:paraId="17385EAB"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IC</w:t>
            </w:r>
          </w:p>
        </w:tc>
        <w:tc>
          <w:tcPr>
            <w:tcW w:w="323" w:type="pct"/>
          </w:tcPr>
          <w:p w14:paraId="6894844F"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I</w:t>
            </w:r>
          </w:p>
        </w:tc>
      </w:tr>
      <w:tr w:rsidR="00B54D51" w:rsidRPr="00037AD4" w14:paraId="1E7FAE2D" w14:textId="77777777" w:rsidTr="00401C67">
        <w:trPr>
          <w:jc w:val="center"/>
        </w:trPr>
        <w:tc>
          <w:tcPr>
            <w:tcW w:w="443" w:type="pct"/>
          </w:tcPr>
          <w:p w14:paraId="5FAA215E"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b/>
                <w:bCs/>
                <w:sz w:val="22"/>
                <w:szCs w:val="22"/>
              </w:rPr>
              <w:t>Author, year</w:t>
            </w:r>
          </w:p>
        </w:tc>
        <w:tc>
          <w:tcPr>
            <w:tcW w:w="396" w:type="pct"/>
          </w:tcPr>
          <w:p w14:paraId="1CCEF096"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b/>
                <w:bCs/>
                <w:sz w:val="22"/>
                <w:szCs w:val="22"/>
              </w:rPr>
              <w:t>Country</w:t>
            </w:r>
          </w:p>
        </w:tc>
        <w:tc>
          <w:tcPr>
            <w:tcW w:w="430" w:type="pct"/>
          </w:tcPr>
          <w:p w14:paraId="49F07160"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b/>
                <w:bCs/>
                <w:sz w:val="22"/>
                <w:szCs w:val="22"/>
              </w:rPr>
              <w:t>Study design (of data origin)</w:t>
            </w:r>
          </w:p>
        </w:tc>
        <w:tc>
          <w:tcPr>
            <w:tcW w:w="202" w:type="pct"/>
          </w:tcPr>
          <w:p w14:paraId="283A4346"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b/>
                <w:bCs/>
                <w:sz w:val="22"/>
                <w:szCs w:val="22"/>
              </w:rPr>
              <w:t>n</w:t>
            </w:r>
          </w:p>
        </w:tc>
        <w:tc>
          <w:tcPr>
            <w:tcW w:w="335" w:type="pct"/>
          </w:tcPr>
          <w:p w14:paraId="5E338E46"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b/>
                <w:bCs/>
                <w:sz w:val="22"/>
                <w:szCs w:val="22"/>
              </w:rPr>
              <w:t>Type dementia</w:t>
            </w:r>
          </w:p>
        </w:tc>
        <w:tc>
          <w:tcPr>
            <w:tcW w:w="360" w:type="pct"/>
          </w:tcPr>
          <w:p w14:paraId="7AE5F5F5"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b/>
                <w:bCs/>
                <w:sz w:val="22"/>
                <w:szCs w:val="22"/>
              </w:rPr>
              <w:t>Stage of dementia</w:t>
            </w:r>
          </w:p>
        </w:tc>
        <w:tc>
          <w:tcPr>
            <w:tcW w:w="390" w:type="pct"/>
          </w:tcPr>
          <w:p w14:paraId="6319B2BC"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b/>
                <w:bCs/>
                <w:sz w:val="22"/>
                <w:szCs w:val="22"/>
              </w:rPr>
              <w:t>Severity proportion (%)</w:t>
            </w:r>
          </w:p>
        </w:tc>
        <w:tc>
          <w:tcPr>
            <w:tcW w:w="346" w:type="pct"/>
          </w:tcPr>
          <w:p w14:paraId="6BEAC484"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b/>
                <w:bCs/>
                <w:sz w:val="22"/>
                <w:szCs w:val="22"/>
              </w:rPr>
              <w:t>Mean MMSE (SD)</w:t>
            </w:r>
          </w:p>
        </w:tc>
        <w:tc>
          <w:tcPr>
            <w:tcW w:w="346" w:type="pct"/>
          </w:tcPr>
          <w:p w14:paraId="2881DD36"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b/>
                <w:bCs/>
                <w:sz w:val="22"/>
                <w:szCs w:val="22"/>
              </w:rPr>
              <w:t>Mean age (SD)</w:t>
            </w:r>
          </w:p>
        </w:tc>
        <w:tc>
          <w:tcPr>
            <w:tcW w:w="263" w:type="pct"/>
          </w:tcPr>
          <w:p w14:paraId="191031C4"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b/>
                <w:bCs/>
                <w:sz w:val="22"/>
                <w:szCs w:val="22"/>
              </w:rPr>
              <w:t>EQ-5D: 3L or 5L</w:t>
            </w:r>
          </w:p>
        </w:tc>
        <w:tc>
          <w:tcPr>
            <w:tcW w:w="497" w:type="pct"/>
          </w:tcPr>
          <w:p w14:paraId="1D51FB2E"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b/>
                <w:bCs/>
                <w:sz w:val="22"/>
                <w:szCs w:val="22"/>
              </w:rPr>
              <w:t>Residence (% institutionalised)</w:t>
            </w:r>
          </w:p>
        </w:tc>
        <w:tc>
          <w:tcPr>
            <w:tcW w:w="346" w:type="pct"/>
          </w:tcPr>
          <w:p w14:paraId="6D1DD86B"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b/>
                <w:bCs/>
                <w:sz w:val="22"/>
                <w:szCs w:val="22"/>
              </w:rPr>
              <w:t>Self or proxy QoL</w:t>
            </w:r>
          </w:p>
        </w:tc>
        <w:tc>
          <w:tcPr>
            <w:tcW w:w="323" w:type="pct"/>
          </w:tcPr>
          <w:p w14:paraId="2D04705E"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b/>
                <w:bCs/>
                <w:sz w:val="22"/>
                <w:szCs w:val="22"/>
              </w:rPr>
              <w:t xml:space="preserve">Proxy type </w:t>
            </w:r>
          </w:p>
        </w:tc>
        <w:tc>
          <w:tcPr>
            <w:tcW w:w="323" w:type="pct"/>
          </w:tcPr>
          <w:p w14:paraId="1E57846B" w14:textId="77777777" w:rsidR="00B54D51" w:rsidRPr="00037AD4" w:rsidRDefault="00B54D51" w:rsidP="00401C67">
            <w:pPr>
              <w:rPr>
                <w:rFonts w:asciiTheme="minorHAnsi" w:hAnsiTheme="minorHAnsi" w:cstheme="minorHAnsi"/>
                <w:b/>
                <w:bCs/>
                <w:sz w:val="22"/>
                <w:szCs w:val="22"/>
              </w:rPr>
            </w:pPr>
          </w:p>
        </w:tc>
      </w:tr>
      <w:tr w:rsidR="00B54D51" w:rsidRPr="00037AD4" w14:paraId="3679FC45" w14:textId="77777777" w:rsidTr="00401C67">
        <w:trPr>
          <w:jc w:val="center"/>
        </w:trPr>
        <w:tc>
          <w:tcPr>
            <w:tcW w:w="443" w:type="pct"/>
          </w:tcPr>
          <w:p w14:paraId="2349BBC2"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Martin, 2019</w:t>
            </w:r>
          </w:p>
        </w:tc>
        <w:tc>
          <w:tcPr>
            <w:tcW w:w="396" w:type="pct"/>
          </w:tcPr>
          <w:p w14:paraId="5EB4B8EC"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UK</w:t>
            </w:r>
          </w:p>
        </w:tc>
        <w:tc>
          <w:tcPr>
            <w:tcW w:w="430" w:type="pct"/>
          </w:tcPr>
          <w:p w14:paraId="56271F75"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RCT</w:t>
            </w:r>
          </w:p>
        </w:tc>
        <w:tc>
          <w:tcPr>
            <w:tcW w:w="202" w:type="pct"/>
          </w:tcPr>
          <w:p w14:paraId="35EEB0A8"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1004</w:t>
            </w:r>
          </w:p>
        </w:tc>
        <w:tc>
          <w:tcPr>
            <w:tcW w:w="335" w:type="pct"/>
          </w:tcPr>
          <w:p w14:paraId="20FBFF1D"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NR</w:t>
            </w:r>
          </w:p>
        </w:tc>
        <w:tc>
          <w:tcPr>
            <w:tcW w:w="360" w:type="pct"/>
          </w:tcPr>
          <w:p w14:paraId="7E76CC74"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Mild-to-severe</w:t>
            </w:r>
          </w:p>
        </w:tc>
        <w:tc>
          <w:tcPr>
            <w:tcW w:w="390" w:type="pct"/>
          </w:tcPr>
          <w:p w14:paraId="2E8E84F0"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4% very mild; 23% mild; 39% moderate; 34% severe*</w:t>
            </w:r>
          </w:p>
        </w:tc>
        <w:tc>
          <w:tcPr>
            <w:tcW w:w="346" w:type="pct"/>
          </w:tcPr>
          <w:p w14:paraId="2C8EBC56"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NR</w:t>
            </w:r>
          </w:p>
        </w:tc>
        <w:tc>
          <w:tcPr>
            <w:tcW w:w="346" w:type="pct"/>
          </w:tcPr>
          <w:p w14:paraId="7ADBFE37" w14:textId="77777777" w:rsidR="00B54D51" w:rsidRPr="00037AD4" w:rsidRDefault="00B54D51" w:rsidP="00401C67">
            <w:pPr>
              <w:rPr>
                <w:rFonts w:asciiTheme="minorHAnsi" w:hAnsiTheme="minorHAnsi" w:cstheme="minorHAnsi"/>
                <w:sz w:val="22"/>
                <w:szCs w:val="22"/>
                <w:vertAlign w:val="superscript"/>
              </w:rPr>
            </w:pPr>
            <w:r w:rsidRPr="00037AD4">
              <w:rPr>
                <w:rFonts w:asciiTheme="minorHAnsi" w:hAnsiTheme="minorHAnsi" w:cstheme="minorHAnsi"/>
                <w:sz w:val="22"/>
                <w:szCs w:val="22"/>
              </w:rPr>
              <w:t>85.5 (58-102.6)</w:t>
            </w:r>
            <w:r w:rsidRPr="00037AD4">
              <w:rPr>
                <w:rFonts w:asciiTheme="minorHAnsi" w:hAnsiTheme="minorHAnsi" w:cstheme="minorHAnsi"/>
                <w:sz w:val="22"/>
                <w:szCs w:val="22"/>
                <w:vertAlign w:val="superscript"/>
              </w:rPr>
              <w:t>a</w:t>
            </w:r>
          </w:p>
        </w:tc>
        <w:tc>
          <w:tcPr>
            <w:tcW w:w="263" w:type="pct"/>
          </w:tcPr>
          <w:p w14:paraId="64B46F0D"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3L</w:t>
            </w:r>
          </w:p>
        </w:tc>
        <w:tc>
          <w:tcPr>
            <w:tcW w:w="497" w:type="pct"/>
          </w:tcPr>
          <w:p w14:paraId="7915354A"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100</w:t>
            </w:r>
          </w:p>
        </w:tc>
        <w:tc>
          <w:tcPr>
            <w:tcW w:w="346" w:type="pct"/>
          </w:tcPr>
          <w:p w14:paraId="3DAA437B"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Both </w:t>
            </w:r>
          </w:p>
        </w:tc>
        <w:tc>
          <w:tcPr>
            <w:tcW w:w="323" w:type="pct"/>
          </w:tcPr>
          <w:p w14:paraId="47EB993A"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FC &amp; IC</w:t>
            </w:r>
          </w:p>
        </w:tc>
        <w:tc>
          <w:tcPr>
            <w:tcW w:w="323" w:type="pct"/>
          </w:tcPr>
          <w:p w14:paraId="34623437"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I</w:t>
            </w:r>
          </w:p>
        </w:tc>
      </w:tr>
      <w:tr w:rsidR="00B54D51" w:rsidRPr="00037AD4" w14:paraId="7885CA05" w14:textId="77777777" w:rsidTr="00401C67">
        <w:trPr>
          <w:jc w:val="center"/>
        </w:trPr>
        <w:tc>
          <w:tcPr>
            <w:tcW w:w="443" w:type="pct"/>
          </w:tcPr>
          <w:p w14:paraId="00CFB830"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Michalowsky, 2021</w:t>
            </w:r>
          </w:p>
        </w:tc>
        <w:tc>
          <w:tcPr>
            <w:tcW w:w="396" w:type="pct"/>
          </w:tcPr>
          <w:p w14:paraId="3BD9CA1A"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Germany </w:t>
            </w:r>
          </w:p>
        </w:tc>
        <w:tc>
          <w:tcPr>
            <w:tcW w:w="430" w:type="pct"/>
          </w:tcPr>
          <w:p w14:paraId="2D2B17EC"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Interventional study</w:t>
            </w:r>
          </w:p>
        </w:tc>
        <w:tc>
          <w:tcPr>
            <w:tcW w:w="202" w:type="pct"/>
          </w:tcPr>
          <w:p w14:paraId="69417AD2"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77</w:t>
            </w:r>
          </w:p>
        </w:tc>
        <w:tc>
          <w:tcPr>
            <w:tcW w:w="335" w:type="pct"/>
          </w:tcPr>
          <w:p w14:paraId="1011AC13"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Any</w:t>
            </w:r>
          </w:p>
        </w:tc>
        <w:tc>
          <w:tcPr>
            <w:tcW w:w="360" w:type="pct"/>
          </w:tcPr>
          <w:p w14:paraId="110309F4"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Mild-to-moderate</w:t>
            </w:r>
          </w:p>
        </w:tc>
        <w:tc>
          <w:tcPr>
            <w:tcW w:w="390" w:type="pct"/>
          </w:tcPr>
          <w:p w14:paraId="3CA1A032"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NR</w:t>
            </w:r>
          </w:p>
        </w:tc>
        <w:tc>
          <w:tcPr>
            <w:tcW w:w="346" w:type="pct"/>
          </w:tcPr>
          <w:p w14:paraId="1F8B6DBD"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18.6 (7.4)</w:t>
            </w:r>
          </w:p>
        </w:tc>
        <w:tc>
          <w:tcPr>
            <w:tcW w:w="346" w:type="pct"/>
          </w:tcPr>
          <w:p w14:paraId="42FDC1C1"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80.2 (6.4)</w:t>
            </w:r>
          </w:p>
        </w:tc>
        <w:tc>
          <w:tcPr>
            <w:tcW w:w="263" w:type="pct"/>
          </w:tcPr>
          <w:p w14:paraId="1BFED7A4"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Both</w:t>
            </w:r>
          </w:p>
        </w:tc>
        <w:tc>
          <w:tcPr>
            <w:tcW w:w="497" w:type="pct"/>
          </w:tcPr>
          <w:p w14:paraId="1AA36FD8"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0</w:t>
            </w:r>
          </w:p>
        </w:tc>
        <w:tc>
          <w:tcPr>
            <w:tcW w:w="346" w:type="pct"/>
          </w:tcPr>
          <w:p w14:paraId="0B066CF7"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Both</w:t>
            </w:r>
          </w:p>
        </w:tc>
        <w:tc>
          <w:tcPr>
            <w:tcW w:w="323" w:type="pct"/>
          </w:tcPr>
          <w:p w14:paraId="108EFBC0"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FC &amp; IC</w:t>
            </w:r>
          </w:p>
        </w:tc>
        <w:tc>
          <w:tcPr>
            <w:tcW w:w="323" w:type="pct"/>
          </w:tcPr>
          <w:p w14:paraId="585CBB2E"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I</w:t>
            </w:r>
          </w:p>
        </w:tc>
      </w:tr>
      <w:tr w:rsidR="00B54D51" w:rsidRPr="00037AD4" w14:paraId="0BEB9595" w14:textId="77777777" w:rsidTr="00401C67">
        <w:trPr>
          <w:jc w:val="center"/>
        </w:trPr>
        <w:tc>
          <w:tcPr>
            <w:tcW w:w="443" w:type="pct"/>
          </w:tcPr>
          <w:p w14:paraId="3FA41AC0"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Naglie, 2011 [1] </w:t>
            </w:r>
          </w:p>
        </w:tc>
        <w:tc>
          <w:tcPr>
            <w:tcW w:w="396" w:type="pct"/>
          </w:tcPr>
          <w:p w14:paraId="15A31830"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Canada </w:t>
            </w:r>
          </w:p>
        </w:tc>
        <w:tc>
          <w:tcPr>
            <w:tcW w:w="430" w:type="pct"/>
          </w:tcPr>
          <w:p w14:paraId="2CE39426"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Longitudinal cohort</w:t>
            </w:r>
          </w:p>
        </w:tc>
        <w:tc>
          <w:tcPr>
            <w:tcW w:w="202" w:type="pct"/>
          </w:tcPr>
          <w:p w14:paraId="31B73DD0"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370</w:t>
            </w:r>
          </w:p>
        </w:tc>
        <w:tc>
          <w:tcPr>
            <w:tcW w:w="335" w:type="pct"/>
          </w:tcPr>
          <w:p w14:paraId="5DCB1D64"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AD</w:t>
            </w:r>
          </w:p>
        </w:tc>
        <w:tc>
          <w:tcPr>
            <w:tcW w:w="360" w:type="pct"/>
          </w:tcPr>
          <w:p w14:paraId="54337472"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Very mild-to-moderate</w:t>
            </w:r>
          </w:p>
        </w:tc>
        <w:tc>
          <w:tcPr>
            <w:tcW w:w="390" w:type="pct"/>
          </w:tcPr>
          <w:p w14:paraId="55072190"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71% very mild; 20% mild; 9% moderate </w:t>
            </w:r>
          </w:p>
        </w:tc>
        <w:tc>
          <w:tcPr>
            <w:tcW w:w="346" w:type="pct"/>
          </w:tcPr>
          <w:p w14:paraId="0D9F7D96"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22.3 (4.3)</w:t>
            </w:r>
          </w:p>
        </w:tc>
        <w:tc>
          <w:tcPr>
            <w:tcW w:w="346" w:type="pct"/>
          </w:tcPr>
          <w:p w14:paraId="3AA1A907"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80.7 (7.8)</w:t>
            </w:r>
          </w:p>
        </w:tc>
        <w:tc>
          <w:tcPr>
            <w:tcW w:w="263" w:type="pct"/>
          </w:tcPr>
          <w:p w14:paraId="66DE3A99"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3L</w:t>
            </w:r>
          </w:p>
        </w:tc>
        <w:tc>
          <w:tcPr>
            <w:tcW w:w="497" w:type="pct"/>
          </w:tcPr>
          <w:p w14:paraId="767ADD3D"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0</w:t>
            </w:r>
          </w:p>
        </w:tc>
        <w:tc>
          <w:tcPr>
            <w:tcW w:w="346" w:type="pct"/>
          </w:tcPr>
          <w:p w14:paraId="62866F4F"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Self</w:t>
            </w:r>
          </w:p>
        </w:tc>
        <w:tc>
          <w:tcPr>
            <w:tcW w:w="323" w:type="pct"/>
          </w:tcPr>
          <w:p w14:paraId="5A69172B"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n/a</w:t>
            </w:r>
          </w:p>
        </w:tc>
        <w:tc>
          <w:tcPr>
            <w:tcW w:w="323" w:type="pct"/>
          </w:tcPr>
          <w:p w14:paraId="0CAAB4ED"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I</w:t>
            </w:r>
          </w:p>
        </w:tc>
      </w:tr>
      <w:tr w:rsidR="00B54D51" w:rsidRPr="00037AD4" w14:paraId="6635E3AE" w14:textId="77777777" w:rsidTr="00401C67">
        <w:trPr>
          <w:jc w:val="center"/>
        </w:trPr>
        <w:tc>
          <w:tcPr>
            <w:tcW w:w="443" w:type="pct"/>
          </w:tcPr>
          <w:p w14:paraId="67D6326B"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Naglie, 2011 [2] </w:t>
            </w:r>
          </w:p>
        </w:tc>
        <w:tc>
          <w:tcPr>
            <w:tcW w:w="396" w:type="pct"/>
          </w:tcPr>
          <w:p w14:paraId="1F59230B"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Canada</w:t>
            </w:r>
          </w:p>
        </w:tc>
        <w:tc>
          <w:tcPr>
            <w:tcW w:w="430" w:type="pct"/>
          </w:tcPr>
          <w:p w14:paraId="39A20D40"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Longitudinal cohort</w:t>
            </w:r>
          </w:p>
        </w:tc>
        <w:tc>
          <w:tcPr>
            <w:tcW w:w="202" w:type="pct"/>
          </w:tcPr>
          <w:p w14:paraId="18E32931"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412</w:t>
            </w:r>
          </w:p>
        </w:tc>
        <w:tc>
          <w:tcPr>
            <w:tcW w:w="335" w:type="pct"/>
          </w:tcPr>
          <w:p w14:paraId="5DB00794"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AD</w:t>
            </w:r>
          </w:p>
        </w:tc>
        <w:tc>
          <w:tcPr>
            <w:tcW w:w="360" w:type="pct"/>
          </w:tcPr>
          <w:p w14:paraId="451F9D3F"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Very mild-to-severe</w:t>
            </w:r>
          </w:p>
        </w:tc>
        <w:tc>
          <w:tcPr>
            <w:tcW w:w="390" w:type="pct"/>
          </w:tcPr>
          <w:p w14:paraId="68E0439D"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64% very mild; 18% mild; 10% moderate; 8% severe</w:t>
            </w:r>
          </w:p>
        </w:tc>
        <w:tc>
          <w:tcPr>
            <w:tcW w:w="346" w:type="pct"/>
          </w:tcPr>
          <w:p w14:paraId="7E8ED40B"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20.8 (6.2)</w:t>
            </w:r>
          </w:p>
        </w:tc>
        <w:tc>
          <w:tcPr>
            <w:tcW w:w="346" w:type="pct"/>
          </w:tcPr>
          <w:p w14:paraId="4869AD6C"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80.7 (7.9)</w:t>
            </w:r>
          </w:p>
        </w:tc>
        <w:tc>
          <w:tcPr>
            <w:tcW w:w="263" w:type="pct"/>
          </w:tcPr>
          <w:p w14:paraId="192ED2CA"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3L</w:t>
            </w:r>
          </w:p>
        </w:tc>
        <w:tc>
          <w:tcPr>
            <w:tcW w:w="497" w:type="pct"/>
          </w:tcPr>
          <w:p w14:paraId="34595EF5"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0</w:t>
            </w:r>
          </w:p>
        </w:tc>
        <w:tc>
          <w:tcPr>
            <w:tcW w:w="346" w:type="pct"/>
          </w:tcPr>
          <w:p w14:paraId="639CB318"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Proxy</w:t>
            </w:r>
          </w:p>
        </w:tc>
        <w:tc>
          <w:tcPr>
            <w:tcW w:w="323" w:type="pct"/>
          </w:tcPr>
          <w:p w14:paraId="0D8F949C"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IC</w:t>
            </w:r>
          </w:p>
        </w:tc>
        <w:tc>
          <w:tcPr>
            <w:tcW w:w="323" w:type="pct"/>
          </w:tcPr>
          <w:p w14:paraId="5844E5EF"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I</w:t>
            </w:r>
          </w:p>
        </w:tc>
      </w:tr>
      <w:tr w:rsidR="00B54D51" w:rsidRPr="00037AD4" w14:paraId="2E0E5E51" w14:textId="77777777" w:rsidTr="00401C67">
        <w:trPr>
          <w:jc w:val="center"/>
        </w:trPr>
        <w:tc>
          <w:tcPr>
            <w:tcW w:w="443" w:type="pct"/>
          </w:tcPr>
          <w:p w14:paraId="3C6C6C98"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Orgeta, 2015</w:t>
            </w:r>
          </w:p>
        </w:tc>
        <w:tc>
          <w:tcPr>
            <w:tcW w:w="396" w:type="pct"/>
          </w:tcPr>
          <w:p w14:paraId="268EC9A7"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UK</w:t>
            </w:r>
          </w:p>
        </w:tc>
        <w:tc>
          <w:tcPr>
            <w:tcW w:w="430" w:type="pct"/>
          </w:tcPr>
          <w:p w14:paraId="4EDADB9E"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RCT</w:t>
            </w:r>
          </w:p>
        </w:tc>
        <w:tc>
          <w:tcPr>
            <w:tcW w:w="202" w:type="pct"/>
          </w:tcPr>
          <w:p w14:paraId="3D280EF8"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478</w:t>
            </w:r>
          </w:p>
        </w:tc>
        <w:tc>
          <w:tcPr>
            <w:tcW w:w="335" w:type="pct"/>
          </w:tcPr>
          <w:p w14:paraId="44D32060"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Any</w:t>
            </w:r>
          </w:p>
        </w:tc>
        <w:tc>
          <w:tcPr>
            <w:tcW w:w="360" w:type="pct"/>
          </w:tcPr>
          <w:p w14:paraId="728DEC5F"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Mild-to-moderate*</w:t>
            </w:r>
          </w:p>
        </w:tc>
        <w:tc>
          <w:tcPr>
            <w:tcW w:w="390" w:type="pct"/>
          </w:tcPr>
          <w:p w14:paraId="49B1EF1F"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75% mild; 25% moderate</w:t>
            </w:r>
          </w:p>
        </w:tc>
        <w:tc>
          <w:tcPr>
            <w:tcW w:w="346" w:type="pct"/>
          </w:tcPr>
          <w:p w14:paraId="4A2F66C8"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NR</w:t>
            </w:r>
          </w:p>
        </w:tc>
        <w:tc>
          <w:tcPr>
            <w:tcW w:w="346" w:type="pct"/>
          </w:tcPr>
          <w:p w14:paraId="1786DD6D"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75.5 (7.3)</w:t>
            </w:r>
          </w:p>
        </w:tc>
        <w:tc>
          <w:tcPr>
            <w:tcW w:w="263" w:type="pct"/>
          </w:tcPr>
          <w:p w14:paraId="2BE95F1D"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3L</w:t>
            </w:r>
          </w:p>
        </w:tc>
        <w:tc>
          <w:tcPr>
            <w:tcW w:w="497" w:type="pct"/>
          </w:tcPr>
          <w:p w14:paraId="32F29E13"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0</w:t>
            </w:r>
          </w:p>
        </w:tc>
        <w:tc>
          <w:tcPr>
            <w:tcW w:w="346" w:type="pct"/>
          </w:tcPr>
          <w:p w14:paraId="20A6FDC5"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Both</w:t>
            </w:r>
          </w:p>
        </w:tc>
        <w:tc>
          <w:tcPr>
            <w:tcW w:w="323" w:type="pct"/>
          </w:tcPr>
          <w:p w14:paraId="41623141"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IC</w:t>
            </w:r>
          </w:p>
        </w:tc>
        <w:tc>
          <w:tcPr>
            <w:tcW w:w="323" w:type="pct"/>
          </w:tcPr>
          <w:p w14:paraId="6F08576A"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I</w:t>
            </w:r>
          </w:p>
        </w:tc>
      </w:tr>
      <w:tr w:rsidR="00B54D51" w:rsidRPr="00037AD4" w14:paraId="1C29E067" w14:textId="77777777" w:rsidTr="00401C67">
        <w:trPr>
          <w:jc w:val="center"/>
        </w:trPr>
        <w:tc>
          <w:tcPr>
            <w:tcW w:w="443" w:type="pct"/>
          </w:tcPr>
          <w:p w14:paraId="784516F9"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Schiffczyk, 2010</w:t>
            </w:r>
          </w:p>
        </w:tc>
        <w:tc>
          <w:tcPr>
            <w:tcW w:w="396" w:type="pct"/>
          </w:tcPr>
          <w:p w14:paraId="0D8F4E96"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Germany</w:t>
            </w:r>
          </w:p>
        </w:tc>
        <w:tc>
          <w:tcPr>
            <w:tcW w:w="430" w:type="pct"/>
          </w:tcPr>
          <w:p w14:paraId="4DC69B58"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Prospective cohort </w:t>
            </w:r>
          </w:p>
        </w:tc>
        <w:tc>
          <w:tcPr>
            <w:tcW w:w="202" w:type="pct"/>
          </w:tcPr>
          <w:p w14:paraId="57426A6A"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137</w:t>
            </w:r>
          </w:p>
        </w:tc>
        <w:tc>
          <w:tcPr>
            <w:tcW w:w="335" w:type="pct"/>
          </w:tcPr>
          <w:p w14:paraId="29F9507B"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AD or mixed</w:t>
            </w:r>
          </w:p>
        </w:tc>
        <w:tc>
          <w:tcPr>
            <w:tcW w:w="360" w:type="pct"/>
          </w:tcPr>
          <w:p w14:paraId="5C914EB5"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Mild-to-severe</w:t>
            </w:r>
          </w:p>
        </w:tc>
        <w:tc>
          <w:tcPr>
            <w:tcW w:w="390" w:type="pct"/>
          </w:tcPr>
          <w:p w14:paraId="4D854F4B"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37% mild; 48% </w:t>
            </w:r>
            <w:r w:rsidRPr="00037AD4">
              <w:rPr>
                <w:rFonts w:asciiTheme="minorHAnsi" w:hAnsiTheme="minorHAnsi" w:cstheme="minorHAnsi"/>
                <w:sz w:val="22"/>
                <w:szCs w:val="22"/>
              </w:rPr>
              <w:lastRenderedPageBreak/>
              <w:t xml:space="preserve">moderate; 15% severe </w:t>
            </w:r>
          </w:p>
        </w:tc>
        <w:tc>
          <w:tcPr>
            <w:tcW w:w="346" w:type="pct"/>
          </w:tcPr>
          <w:p w14:paraId="0E3FCC69"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lastRenderedPageBreak/>
              <w:t>16.9 (6.4)</w:t>
            </w:r>
          </w:p>
        </w:tc>
        <w:tc>
          <w:tcPr>
            <w:tcW w:w="346" w:type="pct"/>
          </w:tcPr>
          <w:p w14:paraId="40919BA8"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69.9 (7.6)</w:t>
            </w:r>
          </w:p>
          <w:p w14:paraId="2D0D48C2" w14:textId="77777777" w:rsidR="00B54D51" w:rsidRPr="00037AD4" w:rsidRDefault="00B54D51" w:rsidP="00401C67">
            <w:pPr>
              <w:rPr>
                <w:rFonts w:asciiTheme="minorHAnsi" w:hAnsiTheme="minorHAnsi" w:cstheme="minorHAnsi"/>
                <w:sz w:val="22"/>
                <w:szCs w:val="22"/>
              </w:rPr>
            </w:pPr>
          </w:p>
        </w:tc>
        <w:tc>
          <w:tcPr>
            <w:tcW w:w="263" w:type="pct"/>
          </w:tcPr>
          <w:p w14:paraId="71AD1450"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lastRenderedPageBreak/>
              <w:t>3L</w:t>
            </w:r>
          </w:p>
        </w:tc>
        <w:tc>
          <w:tcPr>
            <w:tcW w:w="497" w:type="pct"/>
          </w:tcPr>
          <w:p w14:paraId="17F1391A"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0</w:t>
            </w:r>
          </w:p>
        </w:tc>
        <w:tc>
          <w:tcPr>
            <w:tcW w:w="346" w:type="pct"/>
          </w:tcPr>
          <w:p w14:paraId="1C284DA0"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Both</w:t>
            </w:r>
          </w:p>
        </w:tc>
        <w:tc>
          <w:tcPr>
            <w:tcW w:w="323" w:type="pct"/>
          </w:tcPr>
          <w:p w14:paraId="5136A8EC"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IC</w:t>
            </w:r>
          </w:p>
        </w:tc>
        <w:tc>
          <w:tcPr>
            <w:tcW w:w="323" w:type="pct"/>
          </w:tcPr>
          <w:p w14:paraId="38FB4F9C"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I</w:t>
            </w:r>
          </w:p>
        </w:tc>
      </w:tr>
      <w:tr w:rsidR="00B54D51" w:rsidRPr="00037AD4" w14:paraId="46E8D0EF" w14:textId="77777777" w:rsidTr="00401C67">
        <w:trPr>
          <w:jc w:val="center"/>
        </w:trPr>
        <w:tc>
          <w:tcPr>
            <w:tcW w:w="443" w:type="pct"/>
          </w:tcPr>
          <w:p w14:paraId="0D9282E6"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b/>
                <w:bCs/>
                <w:sz w:val="22"/>
                <w:szCs w:val="22"/>
              </w:rPr>
              <w:t>Author, year</w:t>
            </w:r>
          </w:p>
        </w:tc>
        <w:tc>
          <w:tcPr>
            <w:tcW w:w="396" w:type="pct"/>
          </w:tcPr>
          <w:p w14:paraId="48B45CDD"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b/>
                <w:bCs/>
                <w:sz w:val="22"/>
                <w:szCs w:val="22"/>
              </w:rPr>
              <w:t>Country</w:t>
            </w:r>
          </w:p>
        </w:tc>
        <w:tc>
          <w:tcPr>
            <w:tcW w:w="430" w:type="pct"/>
          </w:tcPr>
          <w:p w14:paraId="4A5B63AD"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b/>
                <w:bCs/>
                <w:sz w:val="22"/>
                <w:szCs w:val="22"/>
              </w:rPr>
              <w:t>Study design (of data origin)</w:t>
            </w:r>
          </w:p>
        </w:tc>
        <w:tc>
          <w:tcPr>
            <w:tcW w:w="202" w:type="pct"/>
          </w:tcPr>
          <w:p w14:paraId="2F0BB213"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b/>
                <w:bCs/>
                <w:sz w:val="22"/>
                <w:szCs w:val="22"/>
              </w:rPr>
              <w:t>n</w:t>
            </w:r>
          </w:p>
        </w:tc>
        <w:tc>
          <w:tcPr>
            <w:tcW w:w="335" w:type="pct"/>
          </w:tcPr>
          <w:p w14:paraId="6EBB4EA7"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b/>
                <w:bCs/>
                <w:sz w:val="22"/>
                <w:szCs w:val="22"/>
              </w:rPr>
              <w:t>Type dementia</w:t>
            </w:r>
          </w:p>
        </w:tc>
        <w:tc>
          <w:tcPr>
            <w:tcW w:w="360" w:type="pct"/>
          </w:tcPr>
          <w:p w14:paraId="22C54F03"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b/>
                <w:bCs/>
                <w:sz w:val="22"/>
                <w:szCs w:val="22"/>
              </w:rPr>
              <w:t>Stage of dementia</w:t>
            </w:r>
          </w:p>
        </w:tc>
        <w:tc>
          <w:tcPr>
            <w:tcW w:w="390" w:type="pct"/>
          </w:tcPr>
          <w:p w14:paraId="0674E0C3"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b/>
                <w:bCs/>
                <w:sz w:val="22"/>
                <w:szCs w:val="22"/>
              </w:rPr>
              <w:t>Severity proportion (%)</w:t>
            </w:r>
          </w:p>
        </w:tc>
        <w:tc>
          <w:tcPr>
            <w:tcW w:w="346" w:type="pct"/>
          </w:tcPr>
          <w:p w14:paraId="4CDF54EF"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b/>
                <w:bCs/>
                <w:sz w:val="22"/>
                <w:szCs w:val="22"/>
              </w:rPr>
              <w:t>Mean MMSE (SD)</w:t>
            </w:r>
          </w:p>
        </w:tc>
        <w:tc>
          <w:tcPr>
            <w:tcW w:w="346" w:type="pct"/>
          </w:tcPr>
          <w:p w14:paraId="2ECA223A"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b/>
                <w:bCs/>
                <w:sz w:val="22"/>
                <w:szCs w:val="22"/>
              </w:rPr>
              <w:t>Mean age (SD)</w:t>
            </w:r>
          </w:p>
        </w:tc>
        <w:tc>
          <w:tcPr>
            <w:tcW w:w="263" w:type="pct"/>
          </w:tcPr>
          <w:p w14:paraId="1B8FD6E6"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b/>
                <w:bCs/>
                <w:sz w:val="22"/>
                <w:szCs w:val="22"/>
              </w:rPr>
              <w:t>EQ-5D: 3L or 5L</w:t>
            </w:r>
          </w:p>
        </w:tc>
        <w:tc>
          <w:tcPr>
            <w:tcW w:w="497" w:type="pct"/>
          </w:tcPr>
          <w:p w14:paraId="7834087F"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b/>
                <w:bCs/>
                <w:sz w:val="22"/>
                <w:szCs w:val="22"/>
              </w:rPr>
              <w:t>Residence (% institutionalised)</w:t>
            </w:r>
          </w:p>
        </w:tc>
        <w:tc>
          <w:tcPr>
            <w:tcW w:w="346" w:type="pct"/>
          </w:tcPr>
          <w:p w14:paraId="7F36F342"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b/>
                <w:bCs/>
                <w:sz w:val="22"/>
                <w:szCs w:val="22"/>
              </w:rPr>
              <w:t>Self or proxy QoL</w:t>
            </w:r>
          </w:p>
        </w:tc>
        <w:tc>
          <w:tcPr>
            <w:tcW w:w="323" w:type="pct"/>
          </w:tcPr>
          <w:p w14:paraId="7A1F2661"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b/>
                <w:bCs/>
                <w:sz w:val="22"/>
                <w:szCs w:val="22"/>
              </w:rPr>
              <w:t xml:space="preserve">Proxy type </w:t>
            </w:r>
          </w:p>
        </w:tc>
        <w:tc>
          <w:tcPr>
            <w:tcW w:w="323" w:type="pct"/>
          </w:tcPr>
          <w:p w14:paraId="18105DBD" w14:textId="77777777" w:rsidR="00B54D51" w:rsidRPr="00037AD4" w:rsidRDefault="00B54D51" w:rsidP="00401C67">
            <w:pPr>
              <w:rPr>
                <w:rFonts w:asciiTheme="minorHAnsi" w:hAnsiTheme="minorHAnsi" w:cstheme="minorHAnsi"/>
                <w:b/>
                <w:bCs/>
                <w:sz w:val="22"/>
                <w:szCs w:val="22"/>
              </w:rPr>
            </w:pPr>
          </w:p>
        </w:tc>
      </w:tr>
      <w:tr w:rsidR="00B54D51" w:rsidRPr="00037AD4" w14:paraId="70F12134" w14:textId="77777777" w:rsidTr="00401C67">
        <w:trPr>
          <w:jc w:val="center"/>
        </w:trPr>
        <w:tc>
          <w:tcPr>
            <w:tcW w:w="443" w:type="pct"/>
          </w:tcPr>
          <w:p w14:paraId="6CA44048"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Sheehan, 2012 </w:t>
            </w:r>
          </w:p>
        </w:tc>
        <w:tc>
          <w:tcPr>
            <w:tcW w:w="396" w:type="pct"/>
          </w:tcPr>
          <w:p w14:paraId="7442F3BA"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UK</w:t>
            </w:r>
          </w:p>
        </w:tc>
        <w:tc>
          <w:tcPr>
            <w:tcW w:w="430" w:type="pct"/>
          </w:tcPr>
          <w:p w14:paraId="478D243A"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Non-interventional</w:t>
            </w:r>
          </w:p>
        </w:tc>
        <w:tc>
          <w:tcPr>
            <w:tcW w:w="202" w:type="pct"/>
          </w:tcPr>
          <w:p w14:paraId="0CB39014"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112</w:t>
            </w:r>
          </w:p>
        </w:tc>
        <w:tc>
          <w:tcPr>
            <w:tcW w:w="335" w:type="pct"/>
          </w:tcPr>
          <w:p w14:paraId="5FAAFBEC"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Any</w:t>
            </w:r>
          </w:p>
        </w:tc>
        <w:tc>
          <w:tcPr>
            <w:tcW w:w="360" w:type="pct"/>
          </w:tcPr>
          <w:p w14:paraId="3D8F7077"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Mild-to-severe*</w:t>
            </w:r>
          </w:p>
        </w:tc>
        <w:tc>
          <w:tcPr>
            <w:tcW w:w="390" w:type="pct"/>
          </w:tcPr>
          <w:p w14:paraId="42DA5601"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2% very mild; 13% mild; 59% moderate; 27% severe </w:t>
            </w:r>
          </w:p>
        </w:tc>
        <w:tc>
          <w:tcPr>
            <w:tcW w:w="346" w:type="pct"/>
          </w:tcPr>
          <w:p w14:paraId="4D2236DC"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NR</w:t>
            </w:r>
          </w:p>
        </w:tc>
        <w:tc>
          <w:tcPr>
            <w:tcW w:w="346" w:type="pct"/>
          </w:tcPr>
          <w:p w14:paraId="349F6F3D" w14:textId="77777777" w:rsidR="00B54D51" w:rsidRPr="00037AD4" w:rsidRDefault="00B54D51" w:rsidP="00401C67">
            <w:pPr>
              <w:rPr>
                <w:rFonts w:asciiTheme="minorHAnsi" w:hAnsiTheme="minorHAnsi" w:cstheme="minorHAnsi"/>
                <w:sz w:val="22"/>
                <w:szCs w:val="22"/>
                <w:vertAlign w:val="superscript"/>
              </w:rPr>
            </w:pPr>
            <w:r w:rsidRPr="00037AD4">
              <w:rPr>
                <w:rFonts w:asciiTheme="minorHAnsi" w:hAnsiTheme="minorHAnsi" w:cstheme="minorHAnsi"/>
                <w:sz w:val="22"/>
                <w:szCs w:val="22"/>
              </w:rPr>
              <w:t>85 (66-99)</w:t>
            </w:r>
            <w:r w:rsidRPr="00037AD4">
              <w:rPr>
                <w:rFonts w:asciiTheme="minorHAnsi" w:hAnsiTheme="minorHAnsi" w:cstheme="minorHAnsi"/>
                <w:sz w:val="22"/>
                <w:szCs w:val="22"/>
                <w:vertAlign w:val="superscript"/>
              </w:rPr>
              <w:t>a</w:t>
            </w:r>
          </w:p>
        </w:tc>
        <w:tc>
          <w:tcPr>
            <w:tcW w:w="263" w:type="pct"/>
          </w:tcPr>
          <w:p w14:paraId="637B3E6A"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3L</w:t>
            </w:r>
          </w:p>
        </w:tc>
        <w:tc>
          <w:tcPr>
            <w:tcW w:w="497" w:type="pct"/>
          </w:tcPr>
          <w:p w14:paraId="0A165EC0"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25</w:t>
            </w:r>
          </w:p>
        </w:tc>
        <w:tc>
          <w:tcPr>
            <w:tcW w:w="346" w:type="pct"/>
          </w:tcPr>
          <w:p w14:paraId="173D90FE"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Both</w:t>
            </w:r>
          </w:p>
        </w:tc>
        <w:tc>
          <w:tcPr>
            <w:tcW w:w="323" w:type="pct"/>
          </w:tcPr>
          <w:p w14:paraId="2FF01E51"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IC</w:t>
            </w:r>
          </w:p>
        </w:tc>
        <w:tc>
          <w:tcPr>
            <w:tcW w:w="323" w:type="pct"/>
          </w:tcPr>
          <w:p w14:paraId="29C7CC30"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I</w:t>
            </w:r>
          </w:p>
        </w:tc>
      </w:tr>
      <w:tr w:rsidR="00B54D51" w:rsidRPr="00037AD4" w14:paraId="7A95C8F7" w14:textId="77777777" w:rsidTr="00401C67">
        <w:trPr>
          <w:jc w:val="center"/>
        </w:trPr>
        <w:tc>
          <w:tcPr>
            <w:tcW w:w="443" w:type="pct"/>
          </w:tcPr>
          <w:p w14:paraId="6D93CAF0"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Trigg, 2015</w:t>
            </w:r>
          </w:p>
        </w:tc>
        <w:tc>
          <w:tcPr>
            <w:tcW w:w="396" w:type="pct"/>
          </w:tcPr>
          <w:p w14:paraId="59DD4D8D"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UK</w:t>
            </w:r>
          </w:p>
        </w:tc>
        <w:tc>
          <w:tcPr>
            <w:tcW w:w="430" w:type="pct"/>
          </w:tcPr>
          <w:p w14:paraId="19F4F783"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Multicentre cohort</w:t>
            </w:r>
          </w:p>
        </w:tc>
        <w:tc>
          <w:tcPr>
            <w:tcW w:w="202" w:type="pct"/>
          </w:tcPr>
          <w:p w14:paraId="65C81589"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145</w:t>
            </w:r>
          </w:p>
        </w:tc>
        <w:tc>
          <w:tcPr>
            <w:tcW w:w="335" w:type="pct"/>
          </w:tcPr>
          <w:p w14:paraId="47EF0468"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AD</w:t>
            </w:r>
          </w:p>
        </w:tc>
        <w:tc>
          <w:tcPr>
            <w:tcW w:w="360" w:type="pct"/>
          </w:tcPr>
          <w:p w14:paraId="3788E93E"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Very mild-to-severe</w:t>
            </w:r>
          </w:p>
        </w:tc>
        <w:tc>
          <w:tcPr>
            <w:tcW w:w="390" w:type="pct"/>
          </w:tcPr>
          <w:p w14:paraId="1A68B2BD"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NR</w:t>
            </w:r>
          </w:p>
        </w:tc>
        <w:tc>
          <w:tcPr>
            <w:tcW w:w="346" w:type="pct"/>
          </w:tcPr>
          <w:p w14:paraId="3D9DAD84"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15.0 (7.0)</w:t>
            </w:r>
          </w:p>
        </w:tc>
        <w:tc>
          <w:tcPr>
            <w:tcW w:w="346" w:type="pct"/>
          </w:tcPr>
          <w:p w14:paraId="651664E9"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77.8 (9.2)</w:t>
            </w:r>
          </w:p>
        </w:tc>
        <w:tc>
          <w:tcPr>
            <w:tcW w:w="263" w:type="pct"/>
          </w:tcPr>
          <w:p w14:paraId="272A352F"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3L</w:t>
            </w:r>
          </w:p>
        </w:tc>
        <w:tc>
          <w:tcPr>
            <w:tcW w:w="497" w:type="pct"/>
          </w:tcPr>
          <w:p w14:paraId="19470D31"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NR</w:t>
            </w:r>
          </w:p>
        </w:tc>
        <w:tc>
          <w:tcPr>
            <w:tcW w:w="346" w:type="pct"/>
          </w:tcPr>
          <w:p w14:paraId="55D1BE5B"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Both</w:t>
            </w:r>
          </w:p>
        </w:tc>
        <w:tc>
          <w:tcPr>
            <w:tcW w:w="323" w:type="pct"/>
          </w:tcPr>
          <w:p w14:paraId="6A8093AE"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Unclear</w:t>
            </w:r>
          </w:p>
        </w:tc>
        <w:tc>
          <w:tcPr>
            <w:tcW w:w="323" w:type="pct"/>
          </w:tcPr>
          <w:p w14:paraId="61AE6641"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I</w:t>
            </w:r>
          </w:p>
        </w:tc>
      </w:tr>
      <w:tr w:rsidR="00B54D51" w:rsidRPr="00037AD4" w14:paraId="151B3A84" w14:textId="77777777" w:rsidTr="00401C67">
        <w:trPr>
          <w:jc w:val="center"/>
        </w:trPr>
        <w:tc>
          <w:tcPr>
            <w:tcW w:w="443" w:type="pct"/>
          </w:tcPr>
          <w:p w14:paraId="5F4BA783"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van de Beek, 2019</w:t>
            </w:r>
          </w:p>
        </w:tc>
        <w:tc>
          <w:tcPr>
            <w:tcW w:w="396" w:type="pct"/>
          </w:tcPr>
          <w:p w14:paraId="74662920"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Netherlands </w:t>
            </w:r>
          </w:p>
        </w:tc>
        <w:tc>
          <w:tcPr>
            <w:tcW w:w="430" w:type="pct"/>
          </w:tcPr>
          <w:p w14:paraId="0E4496FB"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Multicentre cohort</w:t>
            </w:r>
          </w:p>
        </w:tc>
        <w:tc>
          <w:tcPr>
            <w:tcW w:w="202" w:type="pct"/>
          </w:tcPr>
          <w:p w14:paraId="7860D374"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138</w:t>
            </w:r>
          </w:p>
        </w:tc>
        <w:tc>
          <w:tcPr>
            <w:tcW w:w="335" w:type="pct"/>
          </w:tcPr>
          <w:p w14:paraId="359CF2CA"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AD and DLB</w:t>
            </w:r>
          </w:p>
        </w:tc>
        <w:tc>
          <w:tcPr>
            <w:tcW w:w="360" w:type="pct"/>
          </w:tcPr>
          <w:p w14:paraId="611B0DB7"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MCI or dementia</w:t>
            </w:r>
          </w:p>
        </w:tc>
        <w:tc>
          <w:tcPr>
            <w:tcW w:w="390" w:type="pct"/>
          </w:tcPr>
          <w:p w14:paraId="65EA199E"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NR</w:t>
            </w:r>
          </w:p>
        </w:tc>
        <w:tc>
          <w:tcPr>
            <w:tcW w:w="346" w:type="pct"/>
          </w:tcPr>
          <w:p w14:paraId="60E5B111"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25 [22-27]</w:t>
            </w:r>
          </w:p>
        </w:tc>
        <w:tc>
          <w:tcPr>
            <w:tcW w:w="346" w:type="pct"/>
          </w:tcPr>
          <w:p w14:paraId="66C6BDE1"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69.7 (5.9)</w:t>
            </w:r>
          </w:p>
        </w:tc>
        <w:tc>
          <w:tcPr>
            <w:tcW w:w="263" w:type="pct"/>
          </w:tcPr>
          <w:p w14:paraId="716F3F5F"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3L</w:t>
            </w:r>
          </w:p>
        </w:tc>
        <w:tc>
          <w:tcPr>
            <w:tcW w:w="497" w:type="pct"/>
          </w:tcPr>
          <w:p w14:paraId="53DF0929"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NR</w:t>
            </w:r>
          </w:p>
        </w:tc>
        <w:tc>
          <w:tcPr>
            <w:tcW w:w="346" w:type="pct"/>
          </w:tcPr>
          <w:p w14:paraId="2E6F483B"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Self</w:t>
            </w:r>
          </w:p>
        </w:tc>
        <w:tc>
          <w:tcPr>
            <w:tcW w:w="323" w:type="pct"/>
          </w:tcPr>
          <w:p w14:paraId="7E32CD35"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n/a</w:t>
            </w:r>
          </w:p>
        </w:tc>
        <w:tc>
          <w:tcPr>
            <w:tcW w:w="323" w:type="pct"/>
          </w:tcPr>
          <w:p w14:paraId="7DF758EB"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NR</w:t>
            </w:r>
          </w:p>
        </w:tc>
      </w:tr>
      <w:tr w:rsidR="00B54D51" w:rsidRPr="00037AD4" w14:paraId="74A80979" w14:textId="77777777" w:rsidTr="00401C67">
        <w:trPr>
          <w:jc w:val="center"/>
        </w:trPr>
        <w:tc>
          <w:tcPr>
            <w:tcW w:w="443" w:type="pct"/>
          </w:tcPr>
          <w:p w14:paraId="50A09944"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Vogel, 2006</w:t>
            </w:r>
          </w:p>
        </w:tc>
        <w:tc>
          <w:tcPr>
            <w:tcW w:w="396" w:type="pct"/>
          </w:tcPr>
          <w:p w14:paraId="3C24B233"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Denmark </w:t>
            </w:r>
          </w:p>
        </w:tc>
        <w:tc>
          <w:tcPr>
            <w:tcW w:w="430" w:type="pct"/>
          </w:tcPr>
          <w:p w14:paraId="66D528F7"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Prospective cohort </w:t>
            </w:r>
          </w:p>
        </w:tc>
        <w:tc>
          <w:tcPr>
            <w:tcW w:w="202" w:type="pct"/>
          </w:tcPr>
          <w:p w14:paraId="1A916ECA"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48</w:t>
            </w:r>
          </w:p>
        </w:tc>
        <w:tc>
          <w:tcPr>
            <w:tcW w:w="335" w:type="pct"/>
          </w:tcPr>
          <w:p w14:paraId="5853F3CD"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AD</w:t>
            </w:r>
          </w:p>
        </w:tc>
        <w:tc>
          <w:tcPr>
            <w:tcW w:w="360" w:type="pct"/>
          </w:tcPr>
          <w:p w14:paraId="27BCF70F"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Very mild</w:t>
            </w:r>
          </w:p>
        </w:tc>
        <w:tc>
          <w:tcPr>
            <w:tcW w:w="390" w:type="pct"/>
          </w:tcPr>
          <w:p w14:paraId="175ED065"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NR</w:t>
            </w:r>
          </w:p>
        </w:tc>
        <w:tc>
          <w:tcPr>
            <w:tcW w:w="346" w:type="pct"/>
          </w:tcPr>
          <w:p w14:paraId="2B6D7348"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24.9 (2.3)</w:t>
            </w:r>
          </w:p>
        </w:tc>
        <w:tc>
          <w:tcPr>
            <w:tcW w:w="346" w:type="pct"/>
          </w:tcPr>
          <w:p w14:paraId="20EC5AAA"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77.0 (5.8)</w:t>
            </w:r>
          </w:p>
        </w:tc>
        <w:tc>
          <w:tcPr>
            <w:tcW w:w="263" w:type="pct"/>
          </w:tcPr>
          <w:p w14:paraId="265EE681"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3L</w:t>
            </w:r>
          </w:p>
        </w:tc>
        <w:tc>
          <w:tcPr>
            <w:tcW w:w="497" w:type="pct"/>
          </w:tcPr>
          <w:p w14:paraId="21BDA5ED"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NR</w:t>
            </w:r>
          </w:p>
        </w:tc>
        <w:tc>
          <w:tcPr>
            <w:tcW w:w="346" w:type="pct"/>
          </w:tcPr>
          <w:p w14:paraId="03933E62"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Both</w:t>
            </w:r>
          </w:p>
        </w:tc>
        <w:tc>
          <w:tcPr>
            <w:tcW w:w="323" w:type="pct"/>
          </w:tcPr>
          <w:p w14:paraId="42CCDB71"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IC</w:t>
            </w:r>
          </w:p>
        </w:tc>
        <w:tc>
          <w:tcPr>
            <w:tcW w:w="323" w:type="pct"/>
          </w:tcPr>
          <w:p w14:paraId="480B4D79"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PwD – I; Proxy – SA </w:t>
            </w:r>
          </w:p>
        </w:tc>
      </w:tr>
      <w:tr w:rsidR="00B54D51" w:rsidRPr="00037AD4" w14:paraId="66697235" w14:textId="77777777" w:rsidTr="00401C67">
        <w:trPr>
          <w:jc w:val="center"/>
        </w:trPr>
        <w:tc>
          <w:tcPr>
            <w:tcW w:w="5000" w:type="pct"/>
            <w:gridSpan w:val="14"/>
          </w:tcPr>
          <w:p w14:paraId="6D806416"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AD, Alzheimer’s disease; C, clinician; DLB, dementia with Lewy bodies; FC, formal caregiver; IC, informal caregiver; QoL, quality of life; RCT, randomised controlled trial; UK, United Kingdom; USA, united states of America; VD, vascular dementia; 3L, three-level; 5L, five-level; NR, not reported; n/a, not applicable; MCI, mild cognitive impairment; I, interviewer; SA, self-administered </w:t>
            </w:r>
          </w:p>
          <w:p w14:paraId="718C8704"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*Disease severity defined by CDR (versus MMSE in all other studies) </w:t>
            </w:r>
          </w:p>
          <w:p w14:paraId="37249B5D"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**EQ-5D version not reported, however due to year of the studies – EQ-5D-3L has been assumed</w:t>
            </w:r>
          </w:p>
          <w:p w14:paraId="126922D1"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vertAlign w:val="superscript"/>
              </w:rPr>
              <w:t>a</w:t>
            </w:r>
            <w:r w:rsidRPr="00037AD4">
              <w:rPr>
                <w:rFonts w:asciiTheme="minorHAnsi" w:hAnsiTheme="minorHAnsi" w:cstheme="minorHAnsi"/>
                <w:sz w:val="22"/>
                <w:szCs w:val="22"/>
              </w:rPr>
              <w:t xml:space="preserve"> study reported range (not standard deviation) </w:t>
            </w:r>
          </w:p>
        </w:tc>
      </w:tr>
    </w:tbl>
    <w:p w14:paraId="764F43A0" w14:textId="77777777" w:rsidR="00B54D51" w:rsidRPr="00037AD4" w:rsidRDefault="00B54D51" w:rsidP="001D7ACE">
      <w:pPr>
        <w:rPr>
          <w:rFonts w:asciiTheme="minorHAnsi" w:hAnsiTheme="minorHAnsi" w:cstheme="minorHAnsi"/>
          <w:b/>
          <w:bCs/>
          <w:sz w:val="26"/>
          <w:szCs w:val="26"/>
          <w:u w:val="single"/>
        </w:rPr>
      </w:pPr>
    </w:p>
    <w:p w14:paraId="59E2524D" w14:textId="77777777" w:rsidR="00B54D51" w:rsidRPr="00037AD4" w:rsidRDefault="00B54D51" w:rsidP="001D7ACE">
      <w:pPr>
        <w:rPr>
          <w:rFonts w:asciiTheme="minorHAnsi" w:hAnsiTheme="minorHAnsi" w:cstheme="minorHAnsi"/>
          <w:b/>
          <w:bCs/>
          <w:sz w:val="26"/>
          <w:szCs w:val="26"/>
          <w:u w:val="single"/>
        </w:rPr>
      </w:pPr>
    </w:p>
    <w:p w14:paraId="5A7C3381" w14:textId="77777777" w:rsidR="00B54D51" w:rsidRPr="00037AD4" w:rsidRDefault="00B54D51" w:rsidP="001D7ACE">
      <w:pPr>
        <w:rPr>
          <w:rFonts w:asciiTheme="minorHAnsi" w:hAnsiTheme="minorHAnsi" w:cstheme="minorHAnsi"/>
          <w:b/>
          <w:bCs/>
          <w:sz w:val="26"/>
          <w:szCs w:val="26"/>
          <w:u w:val="single"/>
        </w:rPr>
      </w:pPr>
    </w:p>
    <w:p w14:paraId="69D0CC67" w14:textId="77777777" w:rsidR="00B54D51" w:rsidRPr="00037AD4" w:rsidRDefault="00B54D51" w:rsidP="001D7ACE">
      <w:pPr>
        <w:rPr>
          <w:rFonts w:asciiTheme="minorHAnsi" w:hAnsiTheme="minorHAnsi" w:cstheme="minorHAnsi"/>
          <w:b/>
          <w:bCs/>
          <w:sz w:val="26"/>
          <w:szCs w:val="26"/>
          <w:u w:val="single"/>
        </w:rPr>
      </w:pPr>
    </w:p>
    <w:p w14:paraId="0A3E84E1" w14:textId="77777777" w:rsidR="00B54D51" w:rsidRPr="00037AD4" w:rsidRDefault="00B54D51" w:rsidP="001D7ACE">
      <w:pPr>
        <w:rPr>
          <w:rFonts w:asciiTheme="minorHAnsi" w:hAnsiTheme="minorHAnsi" w:cstheme="minorHAnsi"/>
          <w:b/>
          <w:bCs/>
          <w:sz w:val="26"/>
          <w:szCs w:val="26"/>
          <w:u w:val="single"/>
        </w:rPr>
      </w:pPr>
    </w:p>
    <w:p w14:paraId="1B7C7013" w14:textId="77777777" w:rsidR="00B54D51" w:rsidRPr="00037AD4" w:rsidRDefault="00B54D51" w:rsidP="001D7ACE">
      <w:pPr>
        <w:rPr>
          <w:rFonts w:asciiTheme="minorHAnsi" w:hAnsiTheme="minorHAnsi" w:cstheme="minorHAnsi"/>
          <w:b/>
          <w:bCs/>
          <w:sz w:val="26"/>
          <w:szCs w:val="26"/>
          <w:u w:val="single"/>
        </w:rPr>
      </w:pPr>
    </w:p>
    <w:p w14:paraId="0FE4558F" w14:textId="77777777" w:rsidR="00B54D51" w:rsidRPr="00037AD4" w:rsidRDefault="00B54D51" w:rsidP="007A43F9">
      <w:pPr>
        <w:pStyle w:val="Heading2"/>
      </w:pPr>
      <w:bookmarkStart w:id="479" w:name="A38"/>
      <w:bookmarkStart w:id="480" w:name="_Toc175742402"/>
      <w:r w:rsidRPr="00037AD4">
        <w:lastRenderedPageBreak/>
        <w:t>Appendix 3.8 Details of the empirical relationship between cognition and EQ-5D</w:t>
      </w:r>
      <w:bookmarkEnd w:id="480"/>
    </w:p>
    <w:bookmarkEnd w:id="479"/>
    <w:p w14:paraId="45B2FB75" w14:textId="77777777" w:rsidR="00B54D51" w:rsidRPr="00037AD4" w:rsidRDefault="00B54D51" w:rsidP="001D7ACE">
      <w:pPr>
        <w:rPr>
          <w:rFonts w:asciiTheme="minorHAnsi" w:hAnsiTheme="minorHAnsi" w:cstheme="minorHAnsi"/>
          <w:b/>
          <w:bCs/>
          <w:u w:val="single"/>
        </w:rPr>
      </w:pPr>
    </w:p>
    <w:tbl>
      <w:tblPr>
        <w:tblStyle w:val="TableGrid"/>
        <w:tblW w:w="0" w:type="auto"/>
        <w:tblLook w:val="04A0" w:firstRow="1" w:lastRow="0" w:firstColumn="1" w:lastColumn="0" w:noHBand="0" w:noVBand="1"/>
      </w:tblPr>
      <w:tblGrid>
        <w:gridCol w:w="1483"/>
        <w:gridCol w:w="1162"/>
        <w:gridCol w:w="3471"/>
        <w:gridCol w:w="1329"/>
        <w:gridCol w:w="3866"/>
        <w:gridCol w:w="2637"/>
      </w:tblGrid>
      <w:tr w:rsidR="00B54D51" w:rsidRPr="00037AD4" w14:paraId="12BA0548" w14:textId="77777777" w:rsidTr="00401C67">
        <w:trPr>
          <w:trHeight w:val="1092"/>
        </w:trPr>
        <w:tc>
          <w:tcPr>
            <w:tcW w:w="0" w:type="auto"/>
          </w:tcPr>
          <w:p w14:paraId="7E658D4B"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Study reference</w:t>
            </w:r>
          </w:p>
        </w:tc>
        <w:tc>
          <w:tcPr>
            <w:tcW w:w="0" w:type="auto"/>
          </w:tcPr>
          <w:p w14:paraId="18EA75A0"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Cognition measure</w:t>
            </w:r>
          </w:p>
        </w:tc>
        <w:tc>
          <w:tcPr>
            <w:tcW w:w="0" w:type="auto"/>
          </w:tcPr>
          <w:p w14:paraId="75AF4CDE"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Evidence of association</w:t>
            </w:r>
          </w:p>
        </w:tc>
        <w:tc>
          <w:tcPr>
            <w:tcW w:w="1329" w:type="dxa"/>
          </w:tcPr>
          <w:p w14:paraId="6124E75E"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Regression analysis (y/n)</w:t>
            </w:r>
          </w:p>
        </w:tc>
        <w:tc>
          <w:tcPr>
            <w:tcW w:w="3866" w:type="dxa"/>
          </w:tcPr>
          <w:p w14:paraId="5FCCF1C4"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Regression details and results</w:t>
            </w:r>
          </w:p>
        </w:tc>
        <w:tc>
          <w:tcPr>
            <w:tcW w:w="0" w:type="auto"/>
          </w:tcPr>
          <w:p w14:paraId="5463C644"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Dimension specific evidence </w:t>
            </w:r>
          </w:p>
        </w:tc>
      </w:tr>
      <w:tr w:rsidR="00B54D51" w:rsidRPr="00037AD4" w14:paraId="27CD61BE" w14:textId="77777777" w:rsidTr="00401C67">
        <w:trPr>
          <w:trHeight w:val="1700"/>
        </w:trPr>
        <w:tc>
          <w:tcPr>
            <w:tcW w:w="0" w:type="auto"/>
          </w:tcPr>
          <w:p w14:paraId="05696830"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Ankri et al </w:t>
            </w:r>
          </w:p>
        </w:tc>
        <w:tc>
          <w:tcPr>
            <w:tcW w:w="0" w:type="auto"/>
          </w:tcPr>
          <w:p w14:paraId="37CEA26D"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MMSE</w:t>
            </w:r>
          </w:p>
        </w:tc>
        <w:tc>
          <w:tcPr>
            <w:tcW w:w="0" w:type="auto"/>
          </w:tcPr>
          <w:p w14:paraId="0D39F0CA"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Anxiety/ depression EQ-5D dimension associated with MMSE score; moderately anxious/ depressed subjects have higher MMSE scores (F=6.86, p=0.001) (proxy rated)</w:t>
            </w:r>
          </w:p>
        </w:tc>
        <w:tc>
          <w:tcPr>
            <w:tcW w:w="1329" w:type="dxa"/>
          </w:tcPr>
          <w:p w14:paraId="02D729E9"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w:t>
            </w:r>
          </w:p>
        </w:tc>
        <w:tc>
          <w:tcPr>
            <w:tcW w:w="3866" w:type="dxa"/>
          </w:tcPr>
          <w:p w14:paraId="136F8FC9"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n/a</w:t>
            </w:r>
          </w:p>
        </w:tc>
        <w:tc>
          <w:tcPr>
            <w:tcW w:w="0" w:type="auto"/>
          </w:tcPr>
          <w:p w14:paraId="39EBD815"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MMSE score was only associated with anxiety/ depression dimension</w:t>
            </w:r>
          </w:p>
        </w:tc>
      </w:tr>
      <w:tr w:rsidR="00B54D51" w:rsidRPr="00037AD4" w14:paraId="602D8870" w14:textId="77777777" w:rsidTr="00401C67">
        <w:trPr>
          <w:trHeight w:val="1700"/>
        </w:trPr>
        <w:tc>
          <w:tcPr>
            <w:tcW w:w="0" w:type="auto"/>
          </w:tcPr>
          <w:p w14:paraId="0D2B6DC6"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Ashizawa et al </w:t>
            </w:r>
          </w:p>
        </w:tc>
        <w:tc>
          <w:tcPr>
            <w:tcW w:w="0" w:type="auto"/>
          </w:tcPr>
          <w:p w14:paraId="561EFDCD"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MMSE</w:t>
            </w:r>
          </w:p>
        </w:tc>
        <w:tc>
          <w:tcPr>
            <w:tcW w:w="0" w:type="auto"/>
          </w:tcPr>
          <w:p w14:paraId="7DFB7623"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MMSE was grouped into severity stages of mild, moderate, and severe. Z statistic = 9.22, p&lt;0.001. EQ-5D was significantly lower in severe dementia</w:t>
            </w:r>
          </w:p>
        </w:tc>
        <w:tc>
          <w:tcPr>
            <w:tcW w:w="1329" w:type="dxa"/>
          </w:tcPr>
          <w:p w14:paraId="32F026A9"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Y</w:t>
            </w:r>
          </w:p>
        </w:tc>
        <w:tc>
          <w:tcPr>
            <w:tcW w:w="3866" w:type="dxa"/>
          </w:tcPr>
          <w:p w14:paraId="4207E44E"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Multiple linear regression used to identify factors impacting EQ-5D-5L proxy ratings: MMSE was not a significant determinant in the multiple regression model. Coefficient = -0.00533, p=0.883</w:t>
            </w:r>
          </w:p>
        </w:tc>
        <w:tc>
          <w:tcPr>
            <w:tcW w:w="0" w:type="auto"/>
          </w:tcPr>
          <w:p w14:paraId="43CE660B"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n/a</w:t>
            </w:r>
          </w:p>
        </w:tc>
      </w:tr>
      <w:tr w:rsidR="00B54D51" w:rsidRPr="00037AD4" w14:paraId="39A2E691" w14:textId="77777777" w:rsidTr="00401C67">
        <w:trPr>
          <w:trHeight w:val="846"/>
        </w:trPr>
        <w:tc>
          <w:tcPr>
            <w:tcW w:w="0" w:type="auto"/>
          </w:tcPr>
          <w:p w14:paraId="4DD825BA"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Bhattacharya et al </w:t>
            </w:r>
          </w:p>
        </w:tc>
        <w:tc>
          <w:tcPr>
            <w:tcW w:w="0" w:type="auto"/>
          </w:tcPr>
          <w:p w14:paraId="782C1FC4"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MMSE</w:t>
            </w:r>
          </w:p>
        </w:tc>
        <w:tc>
          <w:tcPr>
            <w:tcW w:w="0" w:type="auto"/>
          </w:tcPr>
          <w:p w14:paraId="4FCBA22E"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Neither proxy (r=-0.025) nor self (r=-0.087) reported EQ-5D correlated with MMSE (p&gt;0.001)</w:t>
            </w:r>
          </w:p>
        </w:tc>
        <w:tc>
          <w:tcPr>
            <w:tcW w:w="1329" w:type="dxa"/>
          </w:tcPr>
          <w:p w14:paraId="5219A1D7"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N </w:t>
            </w:r>
          </w:p>
        </w:tc>
        <w:tc>
          <w:tcPr>
            <w:tcW w:w="3866" w:type="dxa"/>
          </w:tcPr>
          <w:p w14:paraId="3C629ADC"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n/a</w:t>
            </w:r>
          </w:p>
          <w:p w14:paraId="2DDBB706" w14:textId="77777777" w:rsidR="00B54D51" w:rsidRPr="00037AD4" w:rsidRDefault="00B54D51" w:rsidP="00401C67">
            <w:pPr>
              <w:rPr>
                <w:rFonts w:asciiTheme="minorHAnsi" w:hAnsiTheme="minorHAnsi" w:cstheme="minorHAnsi"/>
                <w:sz w:val="22"/>
                <w:szCs w:val="22"/>
              </w:rPr>
            </w:pPr>
          </w:p>
        </w:tc>
        <w:tc>
          <w:tcPr>
            <w:tcW w:w="0" w:type="auto"/>
          </w:tcPr>
          <w:p w14:paraId="6109377F"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n/a</w:t>
            </w:r>
          </w:p>
        </w:tc>
      </w:tr>
      <w:tr w:rsidR="00B54D51" w:rsidRPr="00037AD4" w14:paraId="5F4793C5" w14:textId="77777777" w:rsidTr="00401C67">
        <w:trPr>
          <w:trHeight w:val="560"/>
        </w:trPr>
        <w:tc>
          <w:tcPr>
            <w:tcW w:w="0" w:type="auto"/>
          </w:tcPr>
          <w:p w14:paraId="397423F0"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Bonfiglio et al</w:t>
            </w:r>
          </w:p>
        </w:tc>
        <w:tc>
          <w:tcPr>
            <w:tcW w:w="0" w:type="auto"/>
          </w:tcPr>
          <w:p w14:paraId="3793912B"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MMSE</w:t>
            </w:r>
          </w:p>
        </w:tc>
        <w:tc>
          <w:tcPr>
            <w:tcW w:w="0" w:type="auto"/>
          </w:tcPr>
          <w:p w14:paraId="3334F670"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No significant correlation with self (r=-0.157) or proxy reported (r=-0.113) EQ-5D index scores (p&gt;0.05)</w:t>
            </w:r>
          </w:p>
        </w:tc>
        <w:tc>
          <w:tcPr>
            <w:tcW w:w="1329" w:type="dxa"/>
          </w:tcPr>
          <w:p w14:paraId="11DEFC09"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Y</w:t>
            </w:r>
          </w:p>
          <w:p w14:paraId="3277947A" w14:textId="77777777" w:rsidR="00B54D51" w:rsidRPr="00037AD4" w:rsidRDefault="00B54D51" w:rsidP="00401C67">
            <w:pPr>
              <w:rPr>
                <w:rFonts w:asciiTheme="minorHAnsi" w:hAnsiTheme="minorHAnsi" w:cstheme="minorHAnsi"/>
                <w:sz w:val="22"/>
                <w:szCs w:val="22"/>
              </w:rPr>
            </w:pPr>
          </w:p>
        </w:tc>
        <w:tc>
          <w:tcPr>
            <w:tcW w:w="3866" w:type="dxa"/>
          </w:tcPr>
          <w:p w14:paraId="3087D06E" w14:textId="77777777" w:rsidR="00B54D51" w:rsidRPr="00037AD4" w:rsidRDefault="00B54D51" w:rsidP="00401C67">
            <w:pPr>
              <w:rPr>
                <w:rFonts w:asciiTheme="minorHAnsi" w:hAnsiTheme="minorHAnsi" w:cstheme="minorHAnsi"/>
                <w:sz w:val="22"/>
                <w:szCs w:val="22"/>
                <w:highlight w:val="yellow"/>
              </w:rPr>
            </w:pPr>
            <w:r w:rsidRPr="00037AD4">
              <w:rPr>
                <w:rFonts w:asciiTheme="minorHAnsi" w:hAnsiTheme="minorHAnsi" w:cstheme="minorHAnsi"/>
                <w:sz w:val="22"/>
                <w:szCs w:val="22"/>
              </w:rPr>
              <w:t>No MMSE evidence reported</w:t>
            </w:r>
          </w:p>
        </w:tc>
        <w:tc>
          <w:tcPr>
            <w:tcW w:w="0" w:type="auto"/>
          </w:tcPr>
          <w:p w14:paraId="6553EA12"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No MMSE evidence reported</w:t>
            </w:r>
          </w:p>
        </w:tc>
      </w:tr>
      <w:tr w:rsidR="00B54D51" w:rsidRPr="00037AD4" w14:paraId="03EDD6B9" w14:textId="77777777" w:rsidTr="00401C67">
        <w:trPr>
          <w:trHeight w:val="1075"/>
        </w:trPr>
        <w:tc>
          <w:tcPr>
            <w:tcW w:w="0" w:type="auto"/>
          </w:tcPr>
          <w:p w14:paraId="57FCE799"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Bonfiglio et al</w:t>
            </w:r>
          </w:p>
        </w:tc>
        <w:tc>
          <w:tcPr>
            <w:tcW w:w="0" w:type="auto"/>
          </w:tcPr>
          <w:p w14:paraId="1C4DBC2A"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ADAS-Cog</w:t>
            </w:r>
          </w:p>
        </w:tc>
        <w:tc>
          <w:tcPr>
            <w:tcW w:w="0" w:type="auto"/>
          </w:tcPr>
          <w:p w14:paraId="6D385A17"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Self-rated EQ-5D index score correlation with ADAS-cog (Rho=0.173, p=0.041), but proxy rated scores did not (Rho=-0.160, p=0.188)</w:t>
            </w:r>
          </w:p>
        </w:tc>
        <w:tc>
          <w:tcPr>
            <w:tcW w:w="1329" w:type="dxa"/>
          </w:tcPr>
          <w:p w14:paraId="25E52575"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Y</w:t>
            </w:r>
          </w:p>
        </w:tc>
        <w:tc>
          <w:tcPr>
            <w:tcW w:w="3866" w:type="dxa"/>
          </w:tcPr>
          <w:p w14:paraId="62DAD224" w14:textId="77777777" w:rsidR="00B54D51" w:rsidRPr="00037AD4" w:rsidRDefault="00B54D51" w:rsidP="00401C67">
            <w:pPr>
              <w:rPr>
                <w:rFonts w:asciiTheme="minorHAnsi" w:hAnsiTheme="minorHAnsi" w:cstheme="minorHAnsi"/>
                <w:sz w:val="22"/>
                <w:szCs w:val="22"/>
                <w:highlight w:val="yellow"/>
              </w:rPr>
            </w:pPr>
            <w:r w:rsidRPr="00037AD4">
              <w:rPr>
                <w:rFonts w:asciiTheme="minorHAnsi" w:hAnsiTheme="minorHAnsi" w:cstheme="minorHAnsi"/>
                <w:sz w:val="22"/>
                <w:szCs w:val="22"/>
              </w:rPr>
              <w:t>No ADAS-Cog evidence reported</w:t>
            </w:r>
          </w:p>
        </w:tc>
        <w:tc>
          <w:tcPr>
            <w:tcW w:w="0" w:type="auto"/>
          </w:tcPr>
          <w:p w14:paraId="7FBCAAB5"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No MMSE evidence reported </w:t>
            </w:r>
          </w:p>
        </w:tc>
      </w:tr>
      <w:tr w:rsidR="00B54D51" w:rsidRPr="00037AD4" w14:paraId="292092FA" w14:textId="77777777" w:rsidTr="00401C67">
        <w:trPr>
          <w:trHeight w:val="333"/>
        </w:trPr>
        <w:tc>
          <w:tcPr>
            <w:tcW w:w="0" w:type="auto"/>
          </w:tcPr>
          <w:p w14:paraId="56531926"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Bostrom et al </w:t>
            </w:r>
          </w:p>
        </w:tc>
        <w:tc>
          <w:tcPr>
            <w:tcW w:w="0" w:type="auto"/>
          </w:tcPr>
          <w:p w14:paraId="4CF8AB82"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MMSE</w:t>
            </w:r>
          </w:p>
        </w:tc>
        <w:tc>
          <w:tcPr>
            <w:tcW w:w="0" w:type="auto"/>
          </w:tcPr>
          <w:p w14:paraId="7AD878DC"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No MMSE evidence reported</w:t>
            </w:r>
          </w:p>
        </w:tc>
        <w:tc>
          <w:tcPr>
            <w:tcW w:w="1329" w:type="dxa"/>
          </w:tcPr>
          <w:p w14:paraId="5DA17992"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Y</w:t>
            </w:r>
          </w:p>
        </w:tc>
        <w:tc>
          <w:tcPr>
            <w:tcW w:w="3866" w:type="dxa"/>
          </w:tcPr>
          <w:p w14:paraId="16C1B460"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No MMSE evidence reported</w:t>
            </w:r>
          </w:p>
        </w:tc>
        <w:tc>
          <w:tcPr>
            <w:tcW w:w="0" w:type="auto"/>
          </w:tcPr>
          <w:p w14:paraId="203194A7"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n/a</w:t>
            </w:r>
          </w:p>
        </w:tc>
      </w:tr>
      <w:tr w:rsidR="00B54D51" w:rsidRPr="00037AD4" w14:paraId="430DBA10" w14:textId="77777777" w:rsidTr="00401C67">
        <w:trPr>
          <w:trHeight w:val="269"/>
        </w:trPr>
        <w:tc>
          <w:tcPr>
            <w:tcW w:w="0" w:type="auto"/>
          </w:tcPr>
          <w:p w14:paraId="61B33F29"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lastRenderedPageBreak/>
              <w:t>Bryan et al</w:t>
            </w:r>
          </w:p>
        </w:tc>
        <w:tc>
          <w:tcPr>
            <w:tcW w:w="0" w:type="auto"/>
          </w:tcPr>
          <w:p w14:paraId="348AE688"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MMSE</w:t>
            </w:r>
          </w:p>
        </w:tc>
        <w:tc>
          <w:tcPr>
            <w:tcW w:w="0" w:type="auto"/>
          </w:tcPr>
          <w:p w14:paraId="4FBAB2B1" w14:textId="77777777" w:rsidR="00B54D51" w:rsidRPr="00037AD4" w:rsidRDefault="00B54D51" w:rsidP="00401C67">
            <w:pPr>
              <w:rPr>
                <w:rFonts w:asciiTheme="minorHAnsi" w:hAnsiTheme="minorHAnsi" w:cstheme="minorHAnsi"/>
                <w:sz w:val="22"/>
                <w:szCs w:val="22"/>
                <w:highlight w:val="yellow"/>
              </w:rPr>
            </w:pPr>
            <w:r w:rsidRPr="00037AD4">
              <w:rPr>
                <w:rFonts w:asciiTheme="minorHAnsi" w:hAnsiTheme="minorHAnsi" w:cstheme="minorHAnsi"/>
                <w:sz w:val="22"/>
                <w:szCs w:val="22"/>
              </w:rPr>
              <w:t>No MMSE evidence reported</w:t>
            </w:r>
          </w:p>
        </w:tc>
        <w:tc>
          <w:tcPr>
            <w:tcW w:w="1329" w:type="dxa"/>
          </w:tcPr>
          <w:p w14:paraId="48660E7C" w14:textId="77777777" w:rsidR="00B54D51" w:rsidRPr="00037AD4" w:rsidRDefault="00B54D51" w:rsidP="00401C67">
            <w:pPr>
              <w:rPr>
                <w:rFonts w:asciiTheme="minorHAnsi" w:hAnsiTheme="minorHAnsi" w:cstheme="minorHAnsi"/>
                <w:sz w:val="22"/>
                <w:szCs w:val="22"/>
                <w:highlight w:val="yellow"/>
              </w:rPr>
            </w:pPr>
            <w:r w:rsidRPr="00037AD4">
              <w:rPr>
                <w:rFonts w:asciiTheme="minorHAnsi" w:hAnsiTheme="minorHAnsi" w:cstheme="minorHAnsi"/>
                <w:sz w:val="22"/>
                <w:szCs w:val="22"/>
              </w:rPr>
              <w:t>N</w:t>
            </w:r>
          </w:p>
        </w:tc>
        <w:tc>
          <w:tcPr>
            <w:tcW w:w="3866" w:type="dxa"/>
          </w:tcPr>
          <w:p w14:paraId="0E469141" w14:textId="77777777" w:rsidR="00B54D51" w:rsidRPr="00037AD4" w:rsidRDefault="00B54D51" w:rsidP="00401C67">
            <w:pPr>
              <w:rPr>
                <w:rFonts w:asciiTheme="minorHAnsi" w:hAnsiTheme="minorHAnsi" w:cstheme="minorHAnsi"/>
                <w:sz w:val="22"/>
                <w:szCs w:val="22"/>
                <w:highlight w:val="yellow"/>
              </w:rPr>
            </w:pPr>
            <w:r w:rsidRPr="00037AD4">
              <w:rPr>
                <w:rFonts w:asciiTheme="minorHAnsi" w:hAnsiTheme="minorHAnsi" w:cstheme="minorHAnsi"/>
                <w:sz w:val="22"/>
                <w:szCs w:val="22"/>
              </w:rPr>
              <w:t>n/a</w:t>
            </w:r>
          </w:p>
        </w:tc>
        <w:tc>
          <w:tcPr>
            <w:tcW w:w="0" w:type="auto"/>
          </w:tcPr>
          <w:p w14:paraId="443F14CC" w14:textId="77777777" w:rsidR="00B54D51" w:rsidRPr="00037AD4" w:rsidRDefault="00B54D51" w:rsidP="00401C67">
            <w:pPr>
              <w:rPr>
                <w:rFonts w:asciiTheme="minorHAnsi" w:hAnsiTheme="minorHAnsi" w:cstheme="minorHAnsi"/>
                <w:sz w:val="22"/>
                <w:szCs w:val="22"/>
                <w:highlight w:val="yellow"/>
              </w:rPr>
            </w:pPr>
            <w:r w:rsidRPr="00037AD4">
              <w:rPr>
                <w:rFonts w:asciiTheme="minorHAnsi" w:hAnsiTheme="minorHAnsi" w:cstheme="minorHAnsi"/>
                <w:sz w:val="22"/>
                <w:szCs w:val="22"/>
              </w:rPr>
              <w:t>No MMSE evidence reported</w:t>
            </w:r>
          </w:p>
        </w:tc>
      </w:tr>
      <w:tr w:rsidR="00B54D51" w:rsidRPr="00037AD4" w14:paraId="74022305" w14:textId="77777777" w:rsidTr="00401C67">
        <w:trPr>
          <w:trHeight w:val="572"/>
        </w:trPr>
        <w:tc>
          <w:tcPr>
            <w:tcW w:w="0" w:type="auto"/>
          </w:tcPr>
          <w:p w14:paraId="00A7DD7F"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Castro-Monteiro et al</w:t>
            </w:r>
          </w:p>
        </w:tc>
        <w:tc>
          <w:tcPr>
            <w:tcW w:w="0" w:type="auto"/>
          </w:tcPr>
          <w:p w14:paraId="42E8F0E8"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MMSE</w:t>
            </w:r>
          </w:p>
        </w:tc>
        <w:tc>
          <w:tcPr>
            <w:tcW w:w="0" w:type="auto"/>
          </w:tcPr>
          <w:p w14:paraId="7D6ECEB8"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No MMSE evidence reported</w:t>
            </w:r>
          </w:p>
        </w:tc>
        <w:tc>
          <w:tcPr>
            <w:tcW w:w="1329" w:type="dxa"/>
          </w:tcPr>
          <w:p w14:paraId="1EFD575E"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Y</w:t>
            </w:r>
          </w:p>
        </w:tc>
        <w:tc>
          <w:tcPr>
            <w:tcW w:w="3866" w:type="dxa"/>
          </w:tcPr>
          <w:p w14:paraId="780D61A0"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No MMSE evidence reported</w:t>
            </w:r>
          </w:p>
        </w:tc>
        <w:tc>
          <w:tcPr>
            <w:tcW w:w="0" w:type="auto"/>
          </w:tcPr>
          <w:p w14:paraId="346724F9"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No MMSE evidence reported</w:t>
            </w:r>
          </w:p>
        </w:tc>
      </w:tr>
      <w:tr w:rsidR="00B54D51" w:rsidRPr="00037AD4" w14:paraId="37DB6372" w14:textId="77777777" w:rsidTr="00401C67">
        <w:trPr>
          <w:trHeight w:val="810"/>
        </w:trPr>
        <w:tc>
          <w:tcPr>
            <w:tcW w:w="0" w:type="auto"/>
          </w:tcPr>
          <w:p w14:paraId="11066A5C"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Diaz-Redondo et al</w:t>
            </w:r>
          </w:p>
        </w:tc>
        <w:tc>
          <w:tcPr>
            <w:tcW w:w="0" w:type="auto"/>
          </w:tcPr>
          <w:p w14:paraId="3E2B027F"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MMSE</w:t>
            </w:r>
          </w:p>
        </w:tc>
        <w:tc>
          <w:tcPr>
            <w:tcW w:w="0" w:type="auto"/>
          </w:tcPr>
          <w:p w14:paraId="130B8906"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No MMSE evidence reported</w:t>
            </w:r>
          </w:p>
        </w:tc>
        <w:tc>
          <w:tcPr>
            <w:tcW w:w="1329" w:type="dxa"/>
          </w:tcPr>
          <w:p w14:paraId="3C945836"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Y</w:t>
            </w:r>
          </w:p>
        </w:tc>
        <w:tc>
          <w:tcPr>
            <w:tcW w:w="3866" w:type="dxa"/>
          </w:tcPr>
          <w:p w14:paraId="2208EFD4"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No MMSE evidence reported</w:t>
            </w:r>
          </w:p>
        </w:tc>
        <w:tc>
          <w:tcPr>
            <w:tcW w:w="0" w:type="auto"/>
          </w:tcPr>
          <w:p w14:paraId="4BE5542F"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No MMSE evidence reported</w:t>
            </w:r>
          </w:p>
        </w:tc>
      </w:tr>
      <w:tr w:rsidR="00B54D51" w:rsidRPr="00037AD4" w14:paraId="2BD7AF37" w14:textId="77777777" w:rsidTr="00401C67">
        <w:trPr>
          <w:trHeight w:val="274"/>
        </w:trPr>
        <w:tc>
          <w:tcPr>
            <w:tcW w:w="0" w:type="auto"/>
          </w:tcPr>
          <w:p w14:paraId="7682D41E"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Ersek et al</w:t>
            </w:r>
          </w:p>
        </w:tc>
        <w:tc>
          <w:tcPr>
            <w:tcW w:w="0" w:type="auto"/>
          </w:tcPr>
          <w:p w14:paraId="14107C96"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MMSE</w:t>
            </w:r>
          </w:p>
        </w:tc>
        <w:tc>
          <w:tcPr>
            <w:tcW w:w="0" w:type="auto"/>
          </w:tcPr>
          <w:p w14:paraId="5788395E"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EQ-5D scores (proxy rated) correlated significantly with MMSE score (Rho=0.361, p=0.01)</w:t>
            </w:r>
          </w:p>
        </w:tc>
        <w:tc>
          <w:tcPr>
            <w:tcW w:w="1329" w:type="dxa"/>
          </w:tcPr>
          <w:p w14:paraId="200DB1CD"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w:t>
            </w:r>
          </w:p>
        </w:tc>
        <w:tc>
          <w:tcPr>
            <w:tcW w:w="3866" w:type="dxa"/>
          </w:tcPr>
          <w:p w14:paraId="486AD978"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n/a</w:t>
            </w:r>
          </w:p>
        </w:tc>
        <w:tc>
          <w:tcPr>
            <w:tcW w:w="0" w:type="auto"/>
          </w:tcPr>
          <w:p w14:paraId="46259BD2"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n/a</w:t>
            </w:r>
          </w:p>
        </w:tc>
      </w:tr>
      <w:tr w:rsidR="00B54D51" w:rsidRPr="00037AD4" w14:paraId="64A2FB8C" w14:textId="77777777" w:rsidTr="00401C67">
        <w:trPr>
          <w:trHeight w:val="2433"/>
        </w:trPr>
        <w:tc>
          <w:tcPr>
            <w:tcW w:w="0" w:type="auto"/>
          </w:tcPr>
          <w:p w14:paraId="0C69A85A"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Farina et al</w:t>
            </w:r>
          </w:p>
        </w:tc>
        <w:tc>
          <w:tcPr>
            <w:tcW w:w="0" w:type="auto"/>
          </w:tcPr>
          <w:p w14:paraId="4C6C303A"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MMSE</w:t>
            </w:r>
          </w:p>
        </w:tc>
        <w:tc>
          <w:tcPr>
            <w:tcW w:w="0" w:type="auto"/>
          </w:tcPr>
          <w:p w14:paraId="6D830F5D"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Reported in regression</w:t>
            </w:r>
          </w:p>
        </w:tc>
        <w:tc>
          <w:tcPr>
            <w:tcW w:w="1329" w:type="dxa"/>
          </w:tcPr>
          <w:p w14:paraId="57F14B02"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Y</w:t>
            </w:r>
          </w:p>
        </w:tc>
        <w:tc>
          <w:tcPr>
            <w:tcW w:w="3866" w:type="dxa"/>
          </w:tcPr>
          <w:p w14:paraId="5ED77F0A"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MMSE was significantly associated with EQ-5D proxy scores in both the uncontrolled (β = 0.42, p &lt; 0.001) and controlled model (β = 0.23, ΔR</w:t>
            </w:r>
            <w:r w:rsidRPr="00037AD4">
              <w:rPr>
                <w:rFonts w:asciiTheme="minorHAnsi" w:hAnsiTheme="minorHAnsi" w:cstheme="minorHAnsi"/>
                <w:sz w:val="22"/>
                <w:szCs w:val="22"/>
                <w:vertAlign w:val="superscript"/>
              </w:rPr>
              <w:t>2</w:t>
            </w:r>
            <w:r w:rsidRPr="00037AD4">
              <w:rPr>
                <w:rFonts w:asciiTheme="minorHAnsi" w:hAnsiTheme="minorHAnsi" w:cstheme="minorHAnsi"/>
                <w:sz w:val="22"/>
                <w:szCs w:val="22"/>
              </w:rPr>
              <w:t xml:space="preserve"> = 0.04, p &lt; 0.001), however was </w:t>
            </w:r>
            <w:r w:rsidRPr="00037AD4">
              <w:rPr>
                <w:rFonts w:asciiTheme="minorHAnsi" w:hAnsiTheme="minorHAnsi" w:cstheme="minorHAnsi"/>
                <w:sz w:val="22"/>
                <w:szCs w:val="22"/>
                <w:u w:val="single"/>
              </w:rPr>
              <w:t>not</w:t>
            </w:r>
            <w:r w:rsidRPr="00037AD4">
              <w:rPr>
                <w:rFonts w:asciiTheme="minorHAnsi" w:hAnsiTheme="minorHAnsi" w:cstheme="minorHAnsi"/>
                <w:sz w:val="22"/>
                <w:szCs w:val="22"/>
              </w:rPr>
              <w:t xml:space="preserve"> associated with self-rated EQ-5D in the uncontrolled model (β = − 0.02, p = 0.83), or controlled model (β = − 0.04, ΔR</w:t>
            </w:r>
            <w:r w:rsidRPr="00037AD4">
              <w:rPr>
                <w:rFonts w:asciiTheme="minorHAnsi" w:hAnsiTheme="minorHAnsi" w:cstheme="minorHAnsi"/>
                <w:sz w:val="22"/>
                <w:szCs w:val="22"/>
                <w:vertAlign w:val="superscript"/>
              </w:rPr>
              <w:t>2</w:t>
            </w:r>
            <w:r w:rsidRPr="00037AD4">
              <w:rPr>
                <w:rFonts w:asciiTheme="minorHAnsi" w:hAnsiTheme="minorHAnsi" w:cstheme="minorHAnsi"/>
                <w:sz w:val="22"/>
                <w:szCs w:val="22"/>
              </w:rPr>
              <w:t xml:space="preserve"> = 0.001, p = 0.63)</w:t>
            </w:r>
          </w:p>
        </w:tc>
        <w:tc>
          <w:tcPr>
            <w:tcW w:w="0" w:type="auto"/>
          </w:tcPr>
          <w:p w14:paraId="0C319161"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n/a</w:t>
            </w:r>
          </w:p>
        </w:tc>
      </w:tr>
      <w:tr w:rsidR="00B54D51" w:rsidRPr="00037AD4" w14:paraId="547F961D" w14:textId="77777777" w:rsidTr="00401C67">
        <w:trPr>
          <w:trHeight w:val="142"/>
        </w:trPr>
        <w:tc>
          <w:tcPr>
            <w:tcW w:w="0" w:type="auto"/>
          </w:tcPr>
          <w:p w14:paraId="5B99045F"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Garre-Olmo et al</w:t>
            </w:r>
          </w:p>
        </w:tc>
        <w:tc>
          <w:tcPr>
            <w:tcW w:w="0" w:type="auto"/>
          </w:tcPr>
          <w:p w14:paraId="18499A8A"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MMSE</w:t>
            </w:r>
          </w:p>
        </w:tc>
        <w:tc>
          <w:tcPr>
            <w:tcW w:w="0" w:type="auto"/>
          </w:tcPr>
          <w:p w14:paraId="5ABA546E"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MMSE was not significantly correlated to proxy EQ-5D score at any CDR defined severity: 1, r=0.110; 2, r=0.139; 3, r=0.080 (p&gt;0.05)</w:t>
            </w:r>
          </w:p>
        </w:tc>
        <w:tc>
          <w:tcPr>
            <w:tcW w:w="1329" w:type="dxa"/>
          </w:tcPr>
          <w:p w14:paraId="3945F7EC"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Y</w:t>
            </w:r>
          </w:p>
        </w:tc>
        <w:tc>
          <w:tcPr>
            <w:tcW w:w="3866" w:type="dxa"/>
          </w:tcPr>
          <w:p w14:paraId="4C44EB28"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No MMSE evidence reported</w:t>
            </w:r>
          </w:p>
        </w:tc>
        <w:tc>
          <w:tcPr>
            <w:tcW w:w="0" w:type="auto"/>
          </w:tcPr>
          <w:p w14:paraId="0AFE2FE2"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n/a</w:t>
            </w:r>
          </w:p>
        </w:tc>
      </w:tr>
      <w:tr w:rsidR="00B54D51" w:rsidRPr="00037AD4" w14:paraId="16AD4B98" w14:textId="77777777" w:rsidTr="00401C67">
        <w:trPr>
          <w:trHeight w:val="147"/>
        </w:trPr>
        <w:tc>
          <w:tcPr>
            <w:tcW w:w="0" w:type="auto"/>
          </w:tcPr>
          <w:p w14:paraId="3DAECC66"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Gonzalez-Velez et al</w:t>
            </w:r>
          </w:p>
        </w:tc>
        <w:tc>
          <w:tcPr>
            <w:tcW w:w="0" w:type="auto"/>
          </w:tcPr>
          <w:p w14:paraId="75E4342D"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MMSE</w:t>
            </w:r>
          </w:p>
        </w:tc>
        <w:tc>
          <w:tcPr>
            <w:tcW w:w="0" w:type="auto"/>
          </w:tcPr>
          <w:p w14:paraId="4EB29B5B"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No MMSE evidence reported</w:t>
            </w:r>
          </w:p>
        </w:tc>
        <w:tc>
          <w:tcPr>
            <w:tcW w:w="1329" w:type="dxa"/>
          </w:tcPr>
          <w:p w14:paraId="34FED963"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Y</w:t>
            </w:r>
          </w:p>
        </w:tc>
        <w:tc>
          <w:tcPr>
            <w:tcW w:w="3866" w:type="dxa"/>
          </w:tcPr>
          <w:p w14:paraId="2FE670F3"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No MMSE evidence reported</w:t>
            </w:r>
          </w:p>
        </w:tc>
        <w:tc>
          <w:tcPr>
            <w:tcW w:w="0" w:type="auto"/>
          </w:tcPr>
          <w:p w14:paraId="3687E6C8"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n/a</w:t>
            </w:r>
          </w:p>
        </w:tc>
      </w:tr>
      <w:tr w:rsidR="00B54D51" w:rsidRPr="00037AD4" w14:paraId="02A7237C" w14:textId="77777777" w:rsidTr="00401C67">
        <w:trPr>
          <w:trHeight w:val="142"/>
        </w:trPr>
        <w:tc>
          <w:tcPr>
            <w:tcW w:w="0" w:type="auto"/>
          </w:tcPr>
          <w:p w14:paraId="1139BDE5"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Haaksma et al</w:t>
            </w:r>
          </w:p>
        </w:tc>
        <w:tc>
          <w:tcPr>
            <w:tcW w:w="0" w:type="auto"/>
          </w:tcPr>
          <w:p w14:paraId="6F36AC17"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MMSE</w:t>
            </w:r>
          </w:p>
        </w:tc>
        <w:tc>
          <w:tcPr>
            <w:tcW w:w="0" w:type="auto"/>
          </w:tcPr>
          <w:p w14:paraId="1F74ED83"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EQ-5D (proxy) does not correlate with MMSE (r=0.029, p=0.61)</w:t>
            </w:r>
          </w:p>
        </w:tc>
        <w:tc>
          <w:tcPr>
            <w:tcW w:w="1329" w:type="dxa"/>
          </w:tcPr>
          <w:p w14:paraId="63C87781"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w:t>
            </w:r>
          </w:p>
        </w:tc>
        <w:tc>
          <w:tcPr>
            <w:tcW w:w="3866" w:type="dxa"/>
          </w:tcPr>
          <w:p w14:paraId="1C9D838E"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n/a</w:t>
            </w:r>
          </w:p>
        </w:tc>
        <w:tc>
          <w:tcPr>
            <w:tcW w:w="0" w:type="auto"/>
          </w:tcPr>
          <w:p w14:paraId="61CCA371"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n/a</w:t>
            </w:r>
          </w:p>
        </w:tc>
      </w:tr>
      <w:tr w:rsidR="00B54D51" w:rsidRPr="00037AD4" w14:paraId="4992A7DD" w14:textId="77777777" w:rsidTr="00401C67">
        <w:trPr>
          <w:trHeight w:val="142"/>
        </w:trPr>
        <w:tc>
          <w:tcPr>
            <w:tcW w:w="0" w:type="auto"/>
          </w:tcPr>
          <w:p w14:paraId="61090212"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Heßmann et al</w:t>
            </w:r>
          </w:p>
        </w:tc>
        <w:tc>
          <w:tcPr>
            <w:tcW w:w="0" w:type="auto"/>
          </w:tcPr>
          <w:p w14:paraId="31A144F5"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MMSE</w:t>
            </w:r>
          </w:p>
        </w:tc>
        <w:tc>
          <w:tcPr>
            <w:tcW w:w="0" w:type="auto"/>
          </w:tcPr>
          <w:p w14:paraId="12DF4260" w14:textId="77777777" w:rsidR="00B54D51" w:rsidRPr="00037AD4" w:rsidRDefault="00B54D51" w:rsidP="00401C67">
            <w:pPr>
              <w:pStyle w:val="NormalWeb"/>
              <w:rPr>
                <w:rFonts w:asciiTheme="minorHAnsi" w:hAnsiTheme="minorHAnsi" w:cstheme="minorHAnsi"/>
                <w:sz w:val="22"/>
                <w:szCs w:val="22"/>
              </w:rPr>
            </w:pPr>
            <w:r w:rsidRPr="00037AD4">
              <w:rPr>
                <w:rFonts w:asciiTheme="minorHAnsi" w:hAnsiTheme="minorHAnsi" w:cstheme="minorHAnsi"/>
                <w:sz w:val="22"/>
                <w:szCs w:val="22"/>
              </w:rPr>
              <w:t xml:space="preserve">EQ-5D scores decreased with increasing cognitive impairment (as defined by MMSE). This change was </w:t>
            </w:r>
            <w:r w:rsidRPr="00037AD4">
              <w:rPr>
                <w:rFonts w:asciiTheme="minorHAnsi" w:hAnsiTheme="minorHAnsi" w:cstheme="minorHAnsi"/>
                <w:sz w:val="22"/>
                <w:szCs w:val="22"/>
              </w:rPr>
              <w:lastRenderedPageBreak/>
              <w:t xml:space="preserve">not significant for self-ratings, but was for proxy-ratings: 0-9, 0.21+/-0.27; 10-19, 0.41+/-0.34; 20-26, 0.61+-/-0.33; &gt;26, 0.75+/-0.30; p&lt;0.001 </w:t>
            </w:r>
          </w:p>
        </w:tc>
        <w:tc>
          <w:tcPr>
            <w:tcW w:w="1329" w:type="dxa"/>
          </w:tcPr>
          <w:p w14:paraId="1A020869"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lastRenderedPageBreak/>
              <w:t>Y</w:t>
            </w:r>
          </w:p>
        </w:tc>
        <w:tc>
          <w:tcPr>
            <w:tcW w:w="3866" w:type="dxa"/>
          </w:tcPr>
          <w:p w14:paraId="5B096C13"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Multivariate linear regression showed that self-reported EQ-5D index was considerably correlated with diminished </w:t>
            </w:r>
            <w:r w:rsidRPr="00037AD4">
              <w:rPr>
                <w:rFonts w:asciiTheme="minorHAnsi" w:hAnsiTheme="minorHAnsi" w:cstheme="minorHAnsi"/>
                <w:sz w:val="22"/>
                <w:szCs w:val="22"/>
              </w:rPr>
              <w:lastRenderedPageBreak/>
              <w:t>cognitive capacity (but not for proxy scores) (β =-0.010, p&lt;0.05)</w:t>
            </w:r>
          </w:p>
        </w:tc>
        <w:tc>
          <w:tcPr>
            <w:tcW w:w="0" w:type="auto"/>
          </w:tcPr>
          <w:p w14:paraId="1383FD21"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lastRenderedPageBreak/>
              <w:t xml:space="preserve">Severely demented (MMSE 0-9) reported considerably fewer </w:t>
            </w:r>
            <w:r w:rsidRPr="00037AD4">
              <w:rPr>
                <w:rFonts w:asciiTheme="minorHAnsi" w:hAnsiTheme="minorHAnsi" w:cstheme="minorHAnsi"/>
                <w:sz w:val="22"/>
                <w:szCs w:val="22"/>
              </w:rPr>
              <w:lastRenderedPageBreak/>
              <w:t>problems in almost all dimensions vs. less cognitively impaired patients</w:t>
            </w:r>
          </w:p>
        </w:tc>
      </w:tr>
      <w:tr w:rsidR="00B54D51" w:rsidRPr="00037AD4" w14:paraId="507AE34D" w14:textId="77777777" w:rsidTr="00401C67">
        <w:trPr>
          <w:trHeight w:val="1128"/>
        </w:trPr>
        <w:tc>
          <w:tcPr>
            <w:tcW w:w="0" w:type="auto"/>
          </w:tcPr>
          <w:p w14:paraId="1A3EB110"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lastRenderedPageBreak/>
              <w:t>Karlawish et al (1)</w:t>
            </w:r>
          </w:p>
        </w:tc>
        <w:tc>
          <w:tcPr>
            <w:tcW w:w="0" w:type="auto"/>
          </w:tcPr>
          <w:p w14:paraId="721B7C3D"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MMSE</w:t>
            </w:r>
          </w:p>
        </w:tc>
        <w:tc>
          <w:tcPr>
            <w:tcW w:w="0" w:type="auto"/>
          </w:tcPr>
          <w:p w14:paraId="237A30AA"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No statistically significant differences were found between self-rated EQ-5D index scores at different MMSE defined severities: 24-29, 0.780; 20-23, 0.800; 11-19, 0.885 (p=0.16) </w:t>
            </w:r>
          </w:p>
        </w:tc>
        <w:tc>
          <w:tcPr>
            <w:tcW w:w="1329" w:type="dxa"/>
          </w:tcPr>
          <w:p w14:paraId="21A9B104"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Y</w:t>
            </w:r>
          </w:p>
        </w:tc>
        <w:tc>
          <w:tcPr>
            <w:tcW w:w="3866" w:type="dxa"/>
          </w:tcPr>
          <w:p w14:paraId="05F8B655"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No MMSE evidence reported</w:t>
            </w:r>
          </w:p>
        </w:tc>
        <w:tc>
          <w:tcPr>
            <w:tcW w:w="0" w:type="auto"/>
          </w:tcPr>
          <w:p w14:paraId="3177801F"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A notable proportion of patients did not report disability in domains where one might reasonably expect disability, specifically the usual activities item</w:t>
            </w:r>
          </w:p>
        </w:tc>
      </w:tr>
      <w:tr w:rsidR="00B54D51" w:rsidRPr="00037AD4" w14:paraId="58088611" w14:textId="77777777" w:rsidTr="00401C67">
        <w:trPr>
          <w:trHeight w:val="1114"/>
        </w:trPr>
        <w:tc>
          <w:tcPr>
            <w:tcW w:w="0" w:type="auto"/>
          </w:tcPr>
          <w:p w14:paraId="156EEA1A"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Karlawish et al (2)</w:t>
            </w:r>
          </w:p>
        </w:tc>
        <w:tc>
          <w:tcPr>
            <w:tcW w:w="0" w:type="auto"/>
          </w:tcPr>
          <w:p w14:paraId="5B1794DA"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MMSE</w:t>
            </w:r>
          </w:p>
        </w:tc>
        <w:tc>
          <w:tcPr>
            <w:tcW w:w="0" w:type="auto"/>
          </w:tcPr>
          <w:p w14:paraId="32B64BE2"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No statistically significant differences were found between proxy-rated EQ-5D index scores at different MMSE defined severities: 24-29, 0.720; 20-23, 0.630; 11-19, 0.604 p=0.13)</w:t>
            </w:r>
          </w:p>
        </w:tc>
        <w:tc>
          <w:tcPr>
            <w:tcW w:w="1329" w:type="dxa"/>
          </w:tcPr>
          <w:p w14:paraId="1689EB08"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Y</w:t>
            </w:r>
          </w:p>
        </w:tc>
        <w:tc>
          <w:tcPr>
            <w:tcW w:w="3866" w:type="dxa"/>
          </w:tcPr>
          <w:p w14:paraId="440A41C9"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In least-squares regression, MMSE score did not predict EQ-5D scores</w:t>
            </w:r>
          </w:p>
        </w:tc>
        <w:tc>
          <w:tcPr>
            <w:tcW w:w="0" w:type="auto"/>
          </w:tcPr>
          <w:p w14:paraId="588A987B"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n/a</w:t>
            </w:r>
          </w:p>
        </w:tc>
      </w:tr>
      <w:tr w:rsidR="00B54D51" w:rsidRPr="00037AD4" w14:paraId="1DD40EB6" w14:textId="77777777" w:rsidTr="00401C67">
        <w:trPr>
          <w:trHeight w:val="1114"/>
        </w:trPr>
        <w:tc>
          <w:tcPr>
            <w:tcW w:w="0" w:type="auto"/>
          </w:tcPr>
          <w:p w14:paraId="5A0C1CC8"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King et al </w:t>
            </w:r>
          </w:p>
        </w:tc>
        <w:tc>
          <w:tcPr>
            <w:tcW w:w="0" w:type="auto"/>
          </w:tcPr>
          <w:p w14:paraId="1DB8FFFF"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MMSE </w:t>
            </w:r>
          </w:p>
        </w:tc>
        <w:tc>
          <w:tcPr>
            <w:tcW w:w="0" w:type="auto"/>
          </w:tcPr>
          <w:p w14:paraId="5D419D38"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EQ-5D proxy was significantly associated with severe cognitive impairment as measured by the MMSE for both regression models, but not for EQ-5D self-report. Model 1 = -0.16, p&lt;0.01; Model 2 = 0,29, p&lt;0.01</w:t>
            </w:r>
          </w:p>
        </w:tc>
        <w:tc>
          <w:tcPr>
            <w:tcW w:w="1329" w:type="dxa"/>
          </w:tcPr>
          <w:p w14:paraId="39396767"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Y</w:t>
            </w:r>
          </w:p>
        </w:tc>
        <w:tc>
          <w:tcPr>
            <w:tcW w:w="3866" w:type="dxa"/>
          </w:tcPr>
          <w:p w14:paraId="6A40B022"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Linear regression, results in previous box </w:t>
            </w:r>
          </w:p>
        </w:tc>
        <w:tc>
          <w:tcPr>
            <w:tcW w:w="0" w:type="auto"/>
          </w:tcPr>
          <w:p w14:paraId="4EB200C3"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n/a</w:t>
            </w:r>
          </w:p>
        </w:tc>
      </w:tr>
      <w:tr w:rsidR="00B54D51" w:rsidRPr="00037AD4" w14:paraId="456A4E68" w14:textId="77777777" w:rsidTr="00401C67">
        <w:trPr>
          <w:trHeight w:val="1697"/>
        </w:trPr>
        <w:tc>
          <w:tcPr>
            <w:tcW w:w="0" w:type="auto"/>
          </w:tcPr>
          <w:p w14:paraId="6B4515BC"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Kunz et al</w:t>
            </w:r>
          </w:p>
        </w:tc>
        <w:tc>
          <w:tcPr>
            <w:tcW w:w="0" w:type="auto"/>
          </w:tcPr>
          <w:p w14:paraId="545FC149"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MMSE</w:t>
            </w:r>
          </w:p>
        </w:tc>
        <w:tc>
          <w:tcPr>
            <w:tcW w:w="0" w:type="auto"/>
          </w:tcPr>
          <w:p w14:paraId="7886EE40"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Weak correlation between MMSE with EQ-5D (Pearson correlation coefficients and 95% confidence intervals: self-rated EQ-5D, 0.18 [0.08-0.27] and proxy rated EQ-5D, 0.24 [0.14-0.34]</w:t>
            </w:r>
          </w:p>
        </w:tc>
        <w:tc>
          <w:tcPr>
            <w:tcW w:w="1329" w:type="dxa"/>
          </w:tcPr>
          <w:p w14:paraId="6B6EFA32"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Y</w:t>
            </w:r>
          </w:p>
        </w:tc>
        <w:tc>
          <w:tcPr>
            <w:tcW w:w="3866" w:type="dxa"/>
          </w:tcPr>
          <w:p w14:paraId="1B812E34"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No MMSE evidence reported</w:t>
            </w:r>
          </w:p>
        </w:tc>
        <w:tc>
          <w:tcPr>
            <w:tcW w:w="0" w:type="auto"/>
          </w:tcPr>
          <w:p w14:paraId="45D632DE"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No MMSE evidence reported</w:t>
            </w:r>
          </w:p>
        </w:tc>
      </w:tr>
      <w:tr w:rsidR="00B54D51" w:rsidRPr="00037AD4" w14:paraId="455D0F96" w14:textId="77777777" w:rsidTr="00401C67">
        <w:trPr>
          <w:trHeight w:val="699"/>
        </w:trPr>
        <w:tc>
          <w:tcPr>
            <w:tcW w:w="0" w:type="auto"/>
          </w:tcPr>
          <w:p w14:paraId="1A4ECADE"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lastRenderedPageBreak/>
              <w:t>Kuo et al</w:t>
            </w:r>
          </w:p>
        </w:tc>
        <w:tc>
          <w:tcPr>
            <w:tcW w:w="0" w:type="auto"/>
          </w:tcPr>
          <w:p w14:paraId="5BC96D61"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MMSE</w:t>
            </w:r>
          </w:p>
        </w:tc>
        <w:tc>
          <w:tcPr>
            <w:tcW w:w="0" w:type="auto"/>
          </w:tcPr>
          <w:p w14:paraId="59760E0F"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Reported in regression</w:t>
            </w:r>
          </w:p>
        </w:tc>
        <w:tc>
          <w:tcPr>
            <w:tcW w:w="1329" w:type="dxa"/>
          </w:tcPr>
          <w:p w14:paraId="21063DE7"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Y</w:t>
            </w:r>
          </w:p>
        </w:tc>
        <w:tc>
          <w:tcPr>
            <w:tcW w:w="3866" w:type="dxa"/>
          </w:tcPr>
          <w:p w14:paraId="07818257" w14:textId="77777777" w:rsidR="00B54D51" w:rsidRPr="00037AD4" w:rsidRDefault="00B54D51" w:rsidP="00401C67">
            <w:pPr>
              <w:pStyle w:val="NormalWeb"/>
              <w:shd w:val="clear" w:color="auto" w:fill="FFFFFF"/>
              <w:rPr>
                <w:rFonts w:asciiTheme="minorHAnsi" w:hAnsiTheme="minorHAnsi" w:cstheme="minorHAnsi"/>
                <w:sz w:val="22"/>
                <w:szCs w:val="22"/>
              </w:rPr>
            </w:pPr>
            <w:r w:rsidRPr="00037AD4">
              <w:rPr>
                <w:rFonts w:asciiTheme="minorHAnsi" w:hAnsiTheme="minorHAnsi" w:cstheme="minorHAnsi"/>
                <w:sz w:val="22"/>
                <w:szCs w:val="22"/>
              </w:rPr>
              <w:t>Multiple regression model showed that cognitive impairment stages, as classified by MMSE, show no significant determinant of QOL (p&gt;0.001): mild-to-moderate, β -0.038, t -0.72; moderate, β -0.032, t -0.51; severe, β -0.074, t -1.1</w:t>
            </w:r>
          </w:p>
        </w:tc>
        <w:tc>
          <w:tcPr>
            <w:tcW w:w="0" w:type="auto"/>
          </w:tcPr>
          <w:p w14:paraId="0E71F8A8"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n/a</w:t>
            </w:r>
          </w:p>
        </w:tc>
      </w:tr>
      <w:tr w:rsidR="00B54D51" w:rsidRPr="00037AD4" w14:paraId="1D1CBA63" w14:textId="77777777" w:rsidTr="00401C67">
        <w:trPr>
          <w:trHeight w:val="699"/>
        </w:trPr>
        <w:tc>
          <w:tcPr>
            <w:tcW w:w="0" w:type="auto"/>
          </w:tcPr>
          <w:p w14:paraId="1E2BBD12"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Michalowsky et al </w:t>
            </w:r>
          </w:p>
        </w:tc>
        <w:tc>
          <w:tcPr>
            <w:tcW w:w="0" w:type="auto"/>
          </w:tcPr>
          <w:p w14:paraId="0F010B46"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MMSE</w:t>
            </w:r>
          </w:p>
        </w:tc>
        <w:tc>
          <w:tcPr>
            <w:tcW w:w="0" w:type="auto"/>
          </w:tcPr>
          <w:p w14:paraId="361A2498"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Neither EQ-5D-5L or EQ-5D-3L were able to discriminate between of cognitive impairment 3L p = 0.267, 5L p = 0.057</w:t>
            </w:r>
          </w:p>
        </w:tc>
        <w:tc>
          <w:tcPr>
            <w:tcW w:w="1329" w:type="dxa"/>
          </w:tcPr>
          <w:p w14:paraId="23FA9C7C"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w:t>
            </w:r>
          </w:p>
        </w:tc>
        <w:tc>
          <w:tcPr>
            <w:tcW w:w="3866" w:type="dxa"/>
          </w:tcPr>
          <w:p w14:paraId="6051FC8A" w14:textId="77777777" w:rsidR="00B54D51" w:rsidRPr="00037AD4" w:rsidRDefault="00B54D51" w:rsidP="00401C67">
            <w:pPr>
              <w:pStyle w:val="NormalWeb"/>
              <w:shd w:val="clear" w:color="auto" w:fill="FFFFFF"/>
              <w:rPr>
                <w:rFonts w:asciiTheme="minorHAnsi" w:hAnsiTheme="minorHAnsi" w:cstheme="minorHAnsi"/>
                <w:sz w:val="22"/>
                <w:szCs w:val="22"/>
              </w:rPr>
            </w:pPr>
            <w:r w:rsidRPr="00037AD4">
              <w:rPr>
                <w:rFonts w:asciiTheme="minorHAnsi" w:hAnsiTheme="minorHAnsi" w:cstheme="minorHAnsi"/>
                <w:sz w:val="22"/>
                <w:szCs w:val="22"/>
              </w:rPr>
              <w:t>n/a</w:t>
            </w:r>
          </w:p>
        </w:tc>
        <w:tc>
          <w:tcPr>
            <w:tcW w:w="0" w:type="auto"/>
          </w:tcPr>
          <w:p w14:paraId="44521C84"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Y – but no results related to cognition</w:t>
            </w:r>
          </w:p>
        </w:tc>
      </w:tr>
      <w:tr w:rsidR="00B54D51" w:rsidRPr="00037AD4" w14:paraId="25B74F96" w14:textId="77777777" w:rsidTr="00401C67">
        <w:trPr>
          <w:trHeight w:val="810"/>
        </w:trPr>
        <w:tc>
          <w:tcPr>
            <w:tcW w:w="0" w:type="auto"/>
          </w:tcPr>
          <w:p w14:paraId="722737E9"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Naglie et al (1)</w:t>
            </w:r>
          </w:p>
        </w:tc>
        <w:tc>
          <w:tcPr>
            <w:tcW w:w="0" w:type="auto"/>
          </w:tcPr>
          <w:p w14:paraId="6598DE94"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MMSE</w:t>
            </w:r>
          </w:p>
        </w:tc>
        <w:tc>
          <w:tcPr>
            <w:tcW w:w="0" w:type="auto"/>
          </w:tcPr>
          <w:p w14:paraId="349FB433"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No significant relationship between mean EQ-5D (self-rated) scores and MMSE scores [results not shown] (p&gt;0.05)</w:t>
            </w:r>
          </w:p>
        </w:tc>
        <w:tc>
          <w:tcPr>
            <w:tcW w:w="1329" w:type="dxa"/>
          </w:tcPr>
          <w:p w14:paraId="6DD0D999"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Y</w:t>
            </w:r>
          </w:p>
        </w:tc>
        <w:tc>
          <w:tcPr>
            <w:tcW w:w="3866" w:type="dxa"/>
          </w:tcPr>
          <w:p w14:paraId="0038B0F5"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MMSE scores (results not shown) were not significant independent predictors of EQ-5D ratings </w:t>
            </w:r>
          </w:p>
        </w:tc>
        <w:tc>
          <w:tcPr>
            <w:tcW w:w="0" w:type="auto"/>
          </w:tcPr>
          <w:p w14:paraId="19E9498C"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n/a</w:t>
            </w:r>
          </w:p>
        </w:tc>
      </w:tr>
      <w:tr w:rsidR="00B54D51" w:rsidRPr="00037AD4" w14:paraId="67125D93" w14:textId="77777777" w:rsidTr="00401C67">
        <w:trPr>
          <w:trHeight w:val="558"/>
        </w:trPr>
        <w:tc>
          <w:tcPr>
            <w:tcW w:w="0" w:type="auto"/>
          </w:tcPr>
          <w:p w14:paraId="0474F988"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Naglie et al (1)</w:t>
            </w:r>
          </w:p>
        </w:tc>
        <w:tc>
          <w:tcPr>
            <w:tcW w:w="0" w:type="auto"/>
          </w:tcPr>
          <w:p w14:paraId="16957967"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ADAS-Cog</w:t>
            </w:r>
          </w:p>
        </w:tc>
        <w:tc>
          <w:tcPr>
            <w:tcW w:w="0" w:type="auto"/>
          </w:tcPr>
          <w:p w14:paraId="7F5F1139"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No significant relationship between mean EQ-5D (self-rated) scores and ADAS-Cog [results not shown]</w:t>
            </w:r>
          </w:p>
        </w:tc>
        <w:tc>
          <w:tcPr>
            <w:tcW w:w="1329" w:type="dxa"/>
          </w:tcPr>
          <w:p w14:paraId="7D24A95F" w14:textId="77777777" w:rsidR="00B54D51" w:rsidRPr="00037AD4" w:rsidRDefault="00B54D51" w:rsidP="00401C67">
            <w:pPr>
              <w:tabs>
                <w:tab w:val="left" w:pos="653"/>
              </w:tabs>
              <w:rPr>
                <w:rFonts w:asciiTheme="minorHAnsi" w:hAnsiTheme="minorHAnsi" w:cstheme="minorHAnsi"/>
                <w:sz w:val="22"/>
                <w:szCs w:val="22"/>
              </w:rPr>
            </w:pPr>
            <w:r w:rsidRPr="00037AD4">
              <w:rPr>
                <w:rFonts w:asciiTheme="minorHAnsi" w:hAnsiTheme="minorHAnsi" w:cstheme="minorHAnsi"/>
                <w:sz w:val="22"/>
                <w:szCs w:val="22"/>
              </w:rPr>
              <w:t>Y</w:t>
            </w:r>
          </w:p>
        </w:tc>
        <w:tc>
          <w:tcPr>
            <w:tcW w:w="3866" w:type="dxa"/>
          </w:tcPr>
          <w:p w14:paraId="0282907C"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ADAS-cog scores (results not shown) were not significant independent predictors of EQ-5D ratings</w:t>
            </w:r>
          </w:p>
        </w:tc>
        <w:tc>
          <w:tcPr>
            <w:tcW w:w="0" w:type="auto"/>
          </w:tcPr>
          <w:p w14:paraId="65ED98F8"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n/a</w:t>
            </w:r>
          </w:p>
        </w:tc>
      </w:tr>
      <w:tr w:rsidR="00B54D51" w:rsidRPr="00037AD4" w14:paraId="6DCE92E7" w14:textId="77777777" w:rsidTr="00401C67">
        <w:trPr>
          <w:trHeight w:val="416"/>
        </w:trPr>
        <w:tc>
          <w:tcPr>
            <w:tcW w:w="0" w:type="auto"/>
          </w:tcPr>
          <w:p w14:paraId="469CCE6F"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Naglie et al (2)</w:t>
            </w:r>
          </w:p>
        </w:tc>
        <w:tc>
          <w:tcPr>
            <w:tcW w:w="0" w:type="auto"/>
          </w:tcPr>
          <w:p w14:paraId="08A83FBC"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MMSE</w:t>
            </w:r>
          </w:p>
        </w:tc>
        <w:tc>
          <w:tcPr>
            <w:tcW w:w="0" w:type="auto"/>
          </w:tcPr>
          <w:p w14:paraId="39A1C6BF"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Mean EQ-5D ratings were consistently lower with more severe cognitive impairment (MMSE results not shown)</w:t>
            </w:r>
          </w:p>
        </w:tc>
        <w:tc>
          <w:tcPr>
            <w:tcW w:w="1329" w:type="dxa"/>
          </w:tcPr>
          <w:p w14:paraId="0E5250C0"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Y</w:t>
            </w:r>
          </w:p>
        </w:tc>
        <w:tc>
          <w:tcPr>
            <w:tcW w:w="3866" w:type="dxa"/>
          </w:tcPr>
          <w:p w14:paraId="06F0948B"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No MMSE evidence reported</w:t>
            </w:r>
          </w:p>
        </w:tc>
        <w:tc>
          <w:tcPr>
            <w:tcW w:w="0" w:type="auto"/>
          </w:tcPr>
          <w:p w14:paraId="567F5437"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n/a</w:t>
            </w:r>
          </w:p>
        </w:tc>
      </w:tr>
      <w:tr w:rsidR="00B54D51" w:rsidRPr="00037AD4" w14:paraId="0D15A4B1" w14:textId="77777777" w:rsidTr="00401C67">
        <w:trPr>
          <w:trHeight w:val="318"/>
        </w:trPr>
        <w:tc>
          <w:tcPr>
            <w:tcW w:w="0" w:type="auto"/>
          </w:tcPr>
          <w:p w14:paraId="28E6885A"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Naglie et al (2)</w:t>
            </w:r>
          </w:p>
        </w:tc>
        <w:tc>
          <w:tcPr>
            <w:tcW w:w="0" w:type="auto"/>
          </w:tcPr>
          <w:p w14:paraId="2F09B5D8"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ADAS-Cog </w:t>
            </w:r>
          </w:p>
        </w:tc>
        <w:tc>
          <w:tcPr>
            <w:tcW w:w="0" w:type="auto"/>
          </w:tcPr>
          <w:p w14:paraId="2291EE72"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Increasing cognitive impairment – as defined by ADAS-Cog scores, resulted in lower mean EQ-5D: 8-21, 0.82 (0.16); 22-25, 0.80 (0.16); 26-34, 0.76 (0.17); 35-70, 0.68 (0.22). All of which are significant at p&lt;0.0001</w:t>
            </w:r>
          </w:p>
        </w:tc>
        <w:tc>
          <w:tcPr>
            <w:tcW w:w="1329" w:type="dxa"/>
          </w:tcPr>
          <w:p w14:paraId="5375501F"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Y</w:t>
            </w:r>
          </w:p>
        </w:tc>
        <w:tc>
          <w:tcPr>
            <w:tcW w:w="3866" w:type="dxa"/>
          </w:tcPr>
          <w:p w14:paraId="568FA4C1"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Multiple linear regression showed that ADAS-Cog was not a significant predictor of EQ-5D (proxy-rated) scores: B -0.020, p=0.070, R</w:t>
            </w:r>
            <w:r w:rsidRPr="00037AD4">
              <w:rPr>
                <w:rFonts w:asciiTheme="minorHAnsi" w:hAnsiTheme="minorHAnsi" w:cstheme="minorHAnsi"/>
                <w:sz w:val="22"/>
                <w:szCs w:val="22"/>
                <w:vertAlign w:val="superscript"/>
              </w:rPr>
              <w:t>2</w:t>
            </w:r>
            <w:r w:rsidRPr="00037AD4">
              <w:rPr>
                <w:rFonts w:asciiTheme="minorHAnsi" w:hAnsiTheme="minorHAnsi" w:cstheme="minorHAnsi"/>
                <w:sz w:val="22"/>
                <w:szCs w:val="22"/>
              </w:rPr>
              <w:t>=0.05</w:t>
            </w:r>
          </w:p>
        </w:tc>
        <w:tc>
          <w:tcPr>
            <w:tcW w:w="0" w:type="auto"/>
          </w:tcPr>
          <w:p w14:paraId="5FB064BE"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n/a </w:t>
            </w:r>
          </w:p>
        </w:tc>
      </w:tr>
      <w:tr w:rsidR="00B54D51" w:rsidRPr="00037AD4" w14:paraId="6DEE79C3" w14:textId="77777777" w:rsidTr="00401C67">
        <w:trPr>
          <w:trHeight w:val="810"/>
        </w:trPr>
        <w:tc>
          <w:tcPr>
            <w:tcW w:w="0" w:type="auto"/>
          </w:tcPr>
          <w:p w14:paraId="125BE1B6"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Schiffczyk et al</w:t>
            </w:r>
          </w:p>
        </w:tc>
        <w:tc>
          <w:tcPr>
            <w:tcW w:w="0" w:type="auto"/>
          </w:tcPr>
          <w:p w14:paraId="69EEBA90"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MMSE</w:t>
            </w:r>
          </w:p>
        </w:tc>
        <w:tc>
          <w:tcPr>
            <w:tcW w:w="0" w:type="auto"/>
          </w:tcPr>
          <w:p w14:paraId="0678100A"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MMSE severity was not significantly associated with patient-self ratings, p=0.148; but was significantly </w:t>
            </w:r>
            <w:r w:rsidRPr="00037AD4">
              <w:rPr>
                <w:rFonts w:asciiTheme="minorHAnsi" w:hAnsiTheme="minorHAnsi" w:cstheme="minorHAnsi"/>
                <w:sz w:val="22"/>
                <w:szCs w:val="22"/>
              </w:rPr>
              <w:lastRenderedPageBreak/>
              <w:t xml:space="preserve">associated with proxy ratings of patient, p=0.002   </w:t>
            </w:r>
          </w:p>
        </w:tc>
        <w:tc>
          <w:tcPr>
            <w:tcW w:w="1329" w:type="dxa"/>
          </w:tcPr>
          <w:p w14:paraId="470C0E6C"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lastRenderedPageBreak/>
              <w:t>N</w:t>
            </w:r>
          </w:p>
        </w:tc>
        <w:tc>
          <w:tcPr>
            <w:tcW w:w="3866" w:type="dxa"/>
          </w:tcPr>
          <w:p w14:paraId="34922751"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n/a</w:t>
            </w:r>
          </w:p>
        </w:tc>
        <w:tc>
          <w:tcPr>
            <w:tcW w:w="0" w:type="auto"/>
          </w:tcPr>
          <w:p w14:paraId="65FB1F59"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n/a</w:t>
            </w:r>
          </w:p>
        </w:tc>
      </w:tr>
      <w:tr w:rsidR="00B54D51" w:rsidRPr="00037AD4" w14:paraId="7ADB026D" w14:textId="77777777" w:rsidTr="00401C67">
        <w:trPr>
          <w:trHeight w:val="546"/>
        </w:trPr>
        <w:tc>
          <w:tcPr>
            <w:tcW w:w="0" w:type="auto"/>
          </w:tcPr>
          <w:p w14:paraId="70C22546"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Schiffczyk et al</w:t>
            </w:r>
          </w:p>
        </w:tc>
        <w:tc>
          <w:tcPr>
            <w:tcW w:w="0" w:type="auto"/>
          </w:tcPr>
          <w:p w14:paraId="631CDCF2"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ADAS-Cog</w:t>
            </w:r>
          </w:p>
        </w:tc>
        <w:tc>
          <w:tcPr>
            <w:tcW w:w="0" w:type="auto"/>
          </w:tcPr>
          <w:p w14:paraId="65552D1E"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No ADAS-Cog evidence reported</w:t>
            </w:r>
          </w:p>
        </w:tc>
        <w:tc>
          <w:tcPr>
            <w:tcW w:w="1329" w:type="dxa"/>
          </w:tcPr>
          <w:p w14:paraId="0FB0C5BF"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w:t>
            </w:r>
          </w:p>
        </w:tc>
        <w:tc>
          <w:tcPr>
            <w:tcW w:w="3866" w:type="dxa"/>
          </w:tcPr>
          <w:p w14:paraId="0B9EEECE"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n/a</w:t>
            </w:r>
          </w:p>
        </w:tc>
        <w:tc>
          <w:tcPr>
            <w:tcW w:w="0" w:type="auto"/>
          </w:tcPr>
          <w:p w14:paraId="6B3C1413"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n/a</w:t>
            </w:r>
          </w:p>
        </w:tc>
      </w:tr>
      <w:tr w:rsidR="00B54D51" w:rsidRPr="00037AD4" w14:paraId="68007D32" w14:textId="77777777" w:rsidTr="00401C67">
        <w:trPr>
          <w:trHeight w:val="77"/>
        </w:trPr>
        <w:tc>
          <w:tcPr>
            <w:tcW w:w="0" w:type="auto"/>
          </w:tcPr>
          <w:p w14:paraId="3EF91499"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Trigg et al</w:t>
            </w:r>
          </w:p>
        </w:tc>
        <w:tc>
          <w:tcPr>
            <w:tcW w:w="0" w:type="auto"/>
          </w:tcPr>
          <w:p w14:paraId="7497F4F1"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MMSE</w:t>
            </w:r>
          </w:p>
        </w:tc>
        <w:tc>
          <w:tcPr>
            <w:tcW w:w="0" w:type="auto"/>
          </w:tcPr>
          <w:p w14:paraId="049CA6B5"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No significant association between MMSE change and EQ-5D change (r=0.02) or EQ-5D proxy change (r=0.22), p&gt;0.01 (exact p values not reported)</w:t>
            </w:r>
          </w:p>
        </w:tc>
        <w:tc>
          <w:tcPr>
            <w:tcW w:w="1329" w:type="dxa"/>
          </w:tcPr>
          <w:p w14:paraId="08B429A0" w14:textId="77777777" w:rsidR="00B54D51" w:rsidRPr="00037AD4" w:rsidRDefault="00B54D51" w:rsidP="00401C67">
            <w:pPr>
              <w:tabs>
                <w:tab w:val="left" w:pos="770"/>
              </w:tabs>
              <w:rPr>
                <w:rFonts w:asciiTheme="minorHAnsi" w:hAnsiTheme="minorHAnsi" w:cstheme="minorHAnsi"/>
                <w:sz w:val="22"/>
                <w:szCs w:val="22"/>
              </w:rPr>
            </w:pPr>
            <w:r w:rsidRPr="00037AD4">
              <w:rPr>
                <w:rFonts w:asciiTheme="minorHAnsi" w:hAnsiTheme="minorHAnsi" w:cstheme="minorHAnsi"/>
                <w:sz w:val="22"/>
                <w:szCs w:val="22"/>
              </w:rPr>
              <w:t>Y</w:t>
            </w:r>
          </w:p>
        </w:tc>
        <w:tc>
          <w:tcPr>
            <w:tcW w:w="3866" w:type="dxa"/>
          </w:tcPr>
          <w:p w14:paraId="02AD97A0"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For changes in EQ-5D proxy ratings, MMSE change scores were significant explanatory variables- improvement in cognition was associated with larger increases in proxy utility ratings (p&lt;0.05)</w:t>
            </w:r>
          </w:p>
        </w:tc>
        <w:tc>
          <w:tcPr>
            <w:tcW w:w="0" w:type="auto"/>
          </w:tcPr>
          <w:p w14:paraId="589E86F3"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n/a</w:t>
            </w:r>
          </w:p>
          <w:p w14:paraId="54AC1077" w14:textId="77777777" w:rsidR="00B54D51" w:rsidRPr="00037AD4" w:rsidRDefault="00B54D51" w:rsidP="00401C67">
            <w:pPr>
              <w:rPr>
                <w:rFonts w:asciiTheme="minorHAnsi" w:hAnsiTheme="minorHAnsi" w:cstheme="minorHAnsi"/>
                <w:sz w:val="22"/>
                <w:szCs w:val="22"/>
              </w:rPr>
            </w:pPr>
          </w:p>
        </w:tc>
      </w:tr>
      <w:tr w:rsidR="00B54D51" w:rsidRPr="00037AD4" w14:paraId="231BBD1B" w14:textId="77777777" w:rsidTr="00401C67">
        <w:trPr>
          <w:trHeight w:val="77"/>
        </w:trPr>
        <w:tc>
          <w:tcPr>
            <w:tcW w:w="0" w:type="auto"/>
          </w:tcPr>
          <w:p w14:paraId="75CFCA71"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van de Beek et al</w:t>
            </w:r>
          </w:p>
        </w:tc>
        <w:tc>
          <w:tcPr>
            <w:tcW w:w="0" w:type="auto"/>
          </w:tcPr>
          <w:p w14:paraId="3F9644BE"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MMSE</w:t>
            </w:r>
          </w:p>
        </w:tc>
        <w:tc>
          <w:tcPr>
            <w:tcW w:w="0" w:type="auto"/>
          </w:tcPr>
          <w:p w14:paraId="02D7F1E3"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Reported in regression</w:t>
            </w:r>
          </w:p>
        </w:tc>
        <w:tc>
          <w:tcPr>
            <w:tcW w:w="1329" w:type="dxa"/>
          </w:tcPr>
          <w:p w14:paraId="3167422B"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Y</w:t>
            </w:r>
          </w:p>
        </w:tc>
        <w:tc>
          <w:tcPr>
            <w:tcW w:w="3866" w:type="dxa"/>
          </w:tcPr>
          <w:p w14:paraId="61624802"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Linear mixed models show that MMSE has no significant association with (self-rated) EQ-5D utility. Model 1 – B 0.06 (0.27) (p&gt;0.05)</w:t>
            </w:r>
          </w:p>
        </w:tc>
        <w:tc>
          <w:tcPr>
            <w:tcW w:w="0" w:type="auto"/>
          </w:tcPr>
          <w:p w14:paraId="12716426"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n/a</w:t>
            </w:r>
          </w:p>
        </w:tc>
      </w:tr>
      <w:tr w:rsidR="00B54D51" w:rsidRPr="00037AD4" w14:paraId="5B15C57C" w14:textId="77777777" w:rsidTr="00401C67">
        <w:trPr>
          <w:trHeight w:val="529"/>
        </w:trPr>
        <w:tc>
          <w:tcPr>
            <w:tcW w:w="0" w:type="auto"/>
          </w:tcPr>
          <w:p w14:paraId="7A326A3B"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Vogel et al</w:t>
            </w:r>
          </w:p>
        </w:tc>
        <w:tc>
          <w:tcPr>
            <w:tcW w:w="0" w:type="auto"/>
          </w:tcPr>
          <w:p w14:paraId="7B2246D3"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MMSE</w:t>
            </w:r>
          </w:p>
        </w:tc>
        <w:tc>
          <w:tcPr>
            <w:tcW w:w="0" w:type="auto"/>
          </w:tcPr>
          <w:p w14:paraId="6D041458"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No MMSE evidence reported</w:t>
            </w:r>
          </w:p>
        </w:tc>
        <w:tc>
          <w:tcPr>
            <w:tcW w:w="1329" w:type="dxa"/>
          </w:tcPr>
          <w:p w14:paraId="508D725F"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w:t>
            </w:r>
          </w:p>
        </w:tc>
        <w:tc>
          <w:tcPr>
            <w:tcW w:w="3866" w:type="dxa"/>
          </w:tcPr>
          <w:p w14:paraId="5D6990D5"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n/a</w:t>
            </w:r>
          </w:p>
        </w:tc>
        <w:tc>
          <w:tcPr>
            <w:tcW w:w="0" w:type="auto"/>
          </w:tcPr>
          <w:p w14:paraId="35E631EB"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No MMSE evidence reported</w:t>
            </w:r>
          </w:p>
        </w:tc>
      </w:tr>
    </w:tbl>
    <w:p w14:paraId="6D45F9F7" w14:textId="77777777" w:rsidR="00B54D51" w:rsidRPr="00037AD4" w:rsidRDefault="00B54D51" w:rsidP="001D7ACE">
      <w:pPr>
        <w:rPr>
          <w:rFonts w:asciiTheme="minorHAnsi" w:hAnsiTheme="minorHAnsi" w:cstheme="minorHAnsi"/>
          <w:b/>
          <w:bCs/>
          <w:u w:val="single"/>
        </w:rPr>
      </w:pPr>
    </w:p>
    <w:p w14:paraId="3093635B" w14:textId="77777777" w:rsidR="00B54D51" w:rsidRPr="00037AD4" w:rsidRDefault="00B54D51" w:rsidP="007A43F9">
      <w:pPr>
        <w:pStyle w:val="Heading2"/>
      </w:pPr>
      <w:bookmarkStart w:id="481" w:name="A39"/>
      <w:bookmarkStart w:id="482" w:name="_Toc175742403"/>
      <w:r w:rsidRPr="00037AD4">
        <w:t>Appendix 3.9 Details of the empirical relationship between function and EQ-5D</w:t>
      </w:r>
      <w:bookmarkEnd w:id="481"/>
      <w:bookmarkEnd w:id="482"/>
    </w:p>
    <w:p w14:paraId="21575FD2" w14:textId="77777777" w:rsidR="00B54D51" w:rsidRPr="00037AD4" w:rsidRDefault="00B54D51" w:rsidP="001D7ACE">
      <w:pPr>
        <w:rPr>
          <w:rFonts w:asciiTheme="minorHAnsi" w:hAnsiTheme="minorHAnsi" w:cstheme="minorHAnsi"/>
          <w:b/>
          <w:bCs/>
          <w:u w:val="single"/>
        </w:rPr>
      </w:pPr>
    </w:p>
    <w:tbl>
      <w:tblPr>
        <w:tblStyle w:val="TableGrid"/>
        <w:tblW w:w="5000" w:type="pct"/>
        <w:tblLook w:val="04A0" w:firstRow="1" w:lastRow="0" w:firstColumn="1" w:lastColumn="0" w:noHBand="0" w:noVBand="1"/>
      </w:tblPr>
      <w:tblGrid>
        <w:gridCol w:w="1563"/>
        <w:gridCol w:w="1417"/>
        <w:gridCol w:w="3822"/>
        <w:gridCol w:w="1417"/>
        <w:gridCol w:w="2764"/>
        <w:gridCol w:w="2965"/>
      </w:tblGrid>
      <w:tr w:rsidR="00B54D51" w:rsidRPr="00037AD4" w14:paraId="4777A1E2" w14:textId="77777777" w:rsidTr="00401C67">
        <w:tc>
          <w:tcPr>
            <w:tcW w:w="560" w:type="pct"/>
          </w:tcPr>
          <w:p w14:paraId="3003B2E3"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Study reference</w:t>
            </w:r>
          </w:p>
        </w:tc>
        <w:tc>
          <w:tcPr>
            <w:tcW w:w="508" w:type="pct"/>
          </w:tcPr>
          <w:p w14:paraId="18F27FC4"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ADL measure</w:t>
            </w:r>
          </w:p>
        </w:tc>
        <w:tc>
          <w:tcPr>
            <w:tcW w:w="1370" w:type="pct"/>
          </w:tcPr>
          <w:p w14:paraId="2A1C38C1"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Evidence of correlation</w:t>
            </w:r>
          </w:p>
        </w:tc>
        <w:tc>
          <w:tcPr>
            <w:tcW w:w="508" w:type="pct"/>
          </w:tcPr>
          <w:p w14:paraId="17BA0095"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Regression analysis (y/n)</w:t>
            </w:r>
          </w:p>
        </w:tc>
        <w:tc>
          <w:tcPr>
            <w:tcW w:w="991" w:type="pct"/>
          </w:tcPr>
          <w:p w14:paraId="55B51E02"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Regression details and results</w:t>
            </w:r>
          </w:p>
        </w:tc>
        <w:tc>
          <w:tcPr>
            <w:tcW w:w="1063" w:type="pct"/>
          </w:tcPr>
          <w:p w14:paraId="204D1050"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Dimension specific evidence </w:t>
            </w:r>
          </w:p>
        </w:tc>
      </w:tr>
      <w:tr w:rsidR="00B54D51" w:rsidRPr="00037AD4" w14:paraId="73F435B5" w14:textId="77777777" w:rsidTr="00401C67">
        <w:tc>
          <w:tcPr>
            <w:tcW w:w="560" w:type="pct"/>
          </w:tcPr>
          <w:p w14:paraId="538A2641"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Ankri et al</w:t>
            </w:r>
          </w:p>
        </w:tc>
        <w:tc>
          <w:tcPr>
            <w:tcW w:w="508" w:type="pct"/>
          </w:tcPr>
          <w:p w14:paraId="75EA6C91"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Katz</w:t>
            </w:r>
          </w:p>
        </w:tc>
        <w:tc>
          <w:tcPr>
            <w:tcW w:w="1370" w:type="pct"/>
          </w:tcPr>
          <w:p w14:paraId="3D53F887"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Correlation between Katz and mobility (F = 16.4, P &lt; .0001), self-care (F = 6.3, P &lt; .0001), usual activities (F = 6.8, P &lt;.002), and pain (F = 6.8, P &lt;.002)</w:t>
            </w:r>
          </w:p>
        </w:tc>
        <w:tc>
          <w:tcPr>
            <w:tcW w:w="508" w:type="pct"/>
          </w:tcPr>
          <w:p w14:paraId="597224A3"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w:t>
            </w:r>
          </w:p>
        </w:tc>
        <w:tc>
          <w:tcPr>
            <w:tcW w:w="991" w:type="pct"/>
          </w:tcPr>
          <w:p w14:paraId="0AF47A01"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n/a</w:t>
            </w:r>
          </w:p>
        </w:tc>
        <w:tc>
          <w:tcPr>
            <w:tcW w:w="1063" w:type="pct"/>
          </w:tcPr>
          <w:p w14:paraId="5FF92458"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Katz correlates with mobility, self-care, usual activities and pain/discomfort – but not anxiety/ depression</w:t>
            </w:r>
          </w:p>
        </w:tc>
      </w:tr>
      <w:tr w:rsidR="00B54D51" w:rsidRPr="00037AD4" w14:paraId="18391549" w14:textId="77777777" w:rsidTr="00401C67">
        <w:tc>
          <w:tcPr>
            <w:tcW w:w="560" w:type="pct"/>
          </w:tcPr>
          <w:p w14:paraId="7ABD569D"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Ashizawa et al </w:t>
            </w:r>
          </w:p>
        </w:tc>
        <w:tc>
          <w:tcPr>
            <w:tcW w:w="508" w:type="pct"/>
          </w:tcPr>
          <w:p w14:paraId="4CB0BA99"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Barthel index</w:t>
            </w:r>
          </w:p>
        </w:tc>
        <w:tc>
          <w:tcPr>
            <w:tcW w:w="1370" w:type="pct"/>
          </w:tcPr>
          <w:p w14:paraId="32F35946"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BI was the only significant determinant in the multiple regression analysis - coefficient 0.880, p&lt;0.001</w:t>
            </w:r>
          </w:p>
        </w:tc>
        <w:tc>
          <w:tcPr>
            <w:tcW w:w="508" w:type="pct"/>
          </w:tcPr>
          <w:p w14:paraId="3CB4962A"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Y</w:t>
            </w:r>
          </w:p>
        </w:tc>
        <w:tc>
          <w:tcPr>
            <w:tcW w:w="991" w:type="pct"/>
          </w:tcPr>
          <w:p w14:paraId="76F1AAE3"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Multiple regression analysis used to identify factors impacting EQ-5D-5L proxy ratings, results in previous box</w:t>
            </w:r>
          </w:p>
        </w:tc>
        <w:tc>
          <w:tcPr>
            <w:tcW w:w="1063" w:type="pct"/>
          </w:tcPr>
          <w:p w14:paraId="3035BA4E"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n/a</w:t>
            </w:r>
          </w:p>
        </w:tc>
      </w:tr>
      <w:tr w:rsidR="00B54D51" w:rsidRPr="00037AD4" w14:paraId="482F3B2C" w14:textId="77777777" w:rsidTr="00401C67">
        <w:tc>
          <w:tcPr>
            <w:tcW w:w="560" w:type="pct"/>
          </w:tcPr>
          <w:p w14:paraId="60F247EA"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lastRenderedPageBreak/>
              <w:t>Bhattacharya et al</w:t>
            </w:r>
          </w:p>
        </w:tc>
        <w:tc>
          <w:tcPr>
            <w:tcW w:w="508" w:type="pct"/>
          </w:tcPr>
          <w:p w14:paraId="49BDD744"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ADCS-ADL</w:t>
            </w:r>
          </w:p>
        </w:tc>
        <w:tc>
          <w:tcPr>
            <w:tcW w:w="1370" w:type="pct"/>
          </w:tcPr>
          <w:p w14:paraId="12F81DD4"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ADCS-ADL and EQ-5D index score correlation: proxy, r=0.284, p&lt;0.001; self, r=0.061, p&gt;0.001</w:t>
            </w:r>
          </w:p>
        </w:tc>
        <w:tc>
          <w:tcPr>
            <w:tcW w:w="508" w:type="pct"/>
          </w:tcPr>
          <w:p w14:paraId="539D047D"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w:t>
            </w:r>
          </w:p>
        </w:tc>
        <w:tc>
          <w:tcPr>
            <w:tcW w:w="991" w:type="pct"/>
          </w:tcPr>
          <w:p w14:paraId="49C20B46"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n/a</w:t>
            </w:r>
          </w:p>
        </w:tc>
        <w:tc>
          <w:tcPr>
            <w:tcW w:w="1063" w:type="pct"/>
          </w:tcPr>
          <w:p w14:paraId="34374A6E"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n/a</w:t>
            </w:r>
          </w:p>
        </w:tc>
      </w:tr>
      <w:tr w:rsidR="00B54D51" w:rsidRPr="00037AD4" w14:paraId="2C6B3941" w14:textId="77777777" w:rsidTr="00401C67">
        <w:tc>
          <w:tcPr>
            <w:tcW w:w="560" w:type="pct"/>
          </w:tcPr>
          <w:p w14:paraId="56FDDF53"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Bonfiglio et al</w:t>
            </w:r>
          </w:p>
        </w:tc>
        <w:tc>
          <w:tcPr>
            <w:tcW w:w="508" w:type="pct"/>
          </w:tcPr>
          <w:p w14:paraId="646D52E9"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Barthel index</w:t>
            </w:r>
          </w:p>
        </w:tc>
        <w:tc>
          <w:tcPr>
            <w:tcW w:w="1370" w:type="pct"/>
          </w:tcPr>
          <w:p w14:paraId="511293BA"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Barthel index and EQ-5D index score correlation: proxy, r=0.470, p=0.000; self, r=0.203, p=0.016</w:t>
            </w:r>
          </w:p>
          <w:p w14:paraId="50BA33AA"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 </w:t>
            </w:r>
          </w:p>
        </w:tc>
        <w:tc>
          <w:tcPr>
            <w:tcW w:w="508" w:type="pct"/>
          </w:tcPr>
          <w:p w14:paraId="125CEC95"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Y</w:t>
            </w:r>
          </w:p>
        </w:tc>
        <w:tc>
          <w:tcPr>
            <w:tcW w:w="991" w:type="pct"/>
          </w:tcPr>
          <w:p w14:paraId="11ECD238" w14:textId="77777777" w:rsidR="00B54D51" w:rsidRPr="00037AD4" w:rsidRDefault="00B54D51" w:rsidP="00401C67">
            <w:pPr>
              <w:pStyle w:val="NormalWeb"/>
              <w:rPr>
                <w:rFonts w:asciiTheme="minorHAnsi" w:hAnsiTheme="minorHAnsi" w:cstheme="minorHAnsi"/>
                <w:sz w:val="22"/>
                <w:szCs w:val="22"/>
              </w:rPr>
            </w:pPr>
            <w:r w:rsidRPr="00037AD4">
              <w:rPr>
                <w:rFonts w:asciiTheme="minorHAnsi" w:hAnsiTheme="minorHAnsi" w:cstheme="minorHAnsi"/>
                <w:sz w:val="22"/>
                <w:szCs w:val="22"/>
              </w:rPr>
              <w:t>Multivariate linear regression analyses showed that Barthel ADL was a significant independent factor affecting patient QoL. In both models, BADL was a significant predictor of self (model 1: p=0.018, model 2: p=0.008) and proxy rated EQ-5D scores (model 1: p=0.008, model 2: p=0.023)</w:t>
            </w:r>
          </w:p>
        </w:tc>
        <w:tc>
          <w:tcPr>
            <w:tcW w:w="1063" w:type="pct"/>
          </w:tcPr>
          <w:p w14:paraId="454969C3"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No Barthel index evidence reported </w:t>
            </w:r>
          </w:p>
        </w:tc>
      </w:tr>
      <w:tr w:rsidR="00B54D51" w:rsidRPr="00037AD4" w14:paraId="7233A010" w14:textId="77777777" w:rsidTr="00401C67">
        <w:tc>
          <w:tcPr>
            <w:tcW w:w="560" w:type="pct"/>
          </w:tcPr>
          <w:p w14:paraId="28803D2B"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Bonfiglio et al</w:t>
            </w:r>
          </w:p>
        </w:tc>
        <w:tc>
          <w:tcPr>
            <w:tcW w:w="508" w:type="pct"/>
          </w:tcPr>
          <w:p w14:paraId="5AB76A32"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Lawton index</w:t>
            </w:r>
          </w:p>
        </w:tc>
        <w:tc>
          <w:tcPr>
            <w:tcW w:w="1370" w:type="pct"/>
          </w:tcPr>
          <w:p w14:paraId="4971D642"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Lawton index and EQ-5D index score correlation: proxy, r=0.339, p=0.005; self, r=-0.054, p=0.531</w:t>
            </w:r>
          </w:p>
        </w:tc>
        <w:tc>
          <w:tcPr>
            <w:tcW w:w="508" w:type="pct"/>
          </w:tcPr>
          <w:p w14:paraId="2F357081"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Y</w:t>
            </w:r>
          </w:p>
        </w:tc>
        <w:tc>
          <w:tcPr>
            <w:tcW w:w="991" w:type="pct"/>
          </w:tcPr>
          <w:p w14:paraId="3029C621"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No Lawton index evidence reported</w:t>
            </w:r>
          </w:p>
        </w:tc>
        <w:tc>
          <w:tcPr>
            <w:tcW w:w="1063" w:type="pct"/>
          </w:tcPr>
          <w:p w14:paraId="4DA29B7B"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No Lawton index evidence reported </w:t>
            </w:r>
          </w:p>
        </w:tc>
      </w:tr>
      <w:tr w:rsidR="00B54D51" w:rsidRPr="00037AD4" w14:paraId="4D5B6EEE" w14:textId="77777777" w:rsidTr="00401C67">
        <w:tc>
          <w:tcPr>
            <w:tcW w:w="560" w:type="pct"/>
          </w:tcPr>
          <w:p w14:paraId="4190729C"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Bostrom et al</w:t>
            </w:r>
          </w:p>
        </w:tc>
        <w:tc>
          <w:tcPr>
            <w:tcW w:w="508" w:type="pct"/>
          </w:tcPr>
          <w:p w14:paraId="5D899A9E"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DAD</w:t>
            </w:r>
          </w:p>
        </w:tc>
        <w:tc>
          <w:tcPr>
            <w:tcW w:w="1370" w:type="pct"/>
          </w:tcPr>
          <w:p w14:paraId="02FD9856"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Reported in regression</w:t>
            </w:r>
          </w:p>
        </w:tc>
        <w:tc>
          <w:tcPr>
            <w:tcW w:w="508" w:type="pct"/>
          </w:tcPr>
          <w:p w14:paraId="55C9D529"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Y</w:t>
            </w:r>
          </w:p>
        </w:tc>
        <w:tc>
          <w:tcPr>
            <w:tcW w:w="991" w:type="pct"/>
          </w:tcPr>
          <w:p w14:paraId="3B036F66"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Linear regression analyses showed that independency in IADL was a significant determinant of (proxy rated) EQ-5D (β, 0.019, p=0.015)</w:t>
            </w:r>
          </w:p>
        </w:tc>
        <w:tc>
          <w:tcPr>
            <w:tcW w:w="1063" w:type="pct"/>
          </w:tcPr>
          <w:p w14:paraId="0DD55CF2"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n/a</w:t>
            </w:r>
          </w:p>
        </w:tc>
      </w:tr>
      <w:tr w:rsidR="00B54D51" w:rsidRPr="00037AD4" w14:paraId="4A21D72C" w14:textId="77777777" w:rsidTr="00401C67">
        <w:tc>
          <w:tcPr>
            <w:tcW w:w="560" w:type="pct"/>
          </w:tcPr>
          <w:p w14:paraId="47BB7115"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Bryan et al</w:t>
            </w:r>
          </w:p>
        </w:tc>
        <w:tc>
          <w:tcPr>
            <w:tcW w:w="508" w:type="pct"/>
          </w:tcPr>
          <w:p w14:paraId="7CEE1D8C"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BADLS</w:t>
            </w:r>
          </w:p>
        </w:tc>
        <w:tc>
          <w:tcPr>
            <w:tcW w:w="1370" w:type="pct"/>
          </w:tcPr>
          <w:p w14:paraId="55F08BC7"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At a group level, proxies describe patients as having poorer overall EQ-5D where there are greater limitations in ADL (assessed by BADLS) </w:t>
            </w:r>
          </w:p>
        </w:tc>
        <w:tc>
          <w:tcPr>
            <w:tcW w:w="508" w:type="pct"/>
          </w:tcPr>
          <w:p w14:paraId="082F3E51"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w:t>
            </w:r>
          </w:p>
        </w:tc>
        <w:tc>
          <w:tcPr>
            <w:tcW w:w="991" w:type="pct"/>
          </w:tcPr>
          <w:p w14:paraId="177667EB"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n/a</w:t>
            </w:r>
          </w:p>
        </w:tc>
        <w:tc>
          <w:tcPr>
            <w:tcW w:w="1063" w:type="pct"/>
          </w:tcPr>
          <w:p w14:paraId="347D6894"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EQ-5D mobility and self-care (proxy rated) dimensions show positive association with BADLS summary scores – association p&lt;0.01</w:t>
            </w:r>
          </w:p>
        </w:tc>
      </w:tr>
      <w:tr w:rsidR="00B54D51" w:rsidRPr="00037AD4" w14:paraId="1EC2938F" w14:textId="77777777" w:rsidTr="00401C67">
        <w:tc>
          <w:tcPr>
            <w:tcW w:w="560" w:type="pct"/>
          </w:tcPr>
          <w:p w14:paraId="0F4891EC"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Castro-Monteiro et al</w:t>
            </w:r>
          </w:p>
        </w:tc>
        <w:tc>
          <w:tcPr>
            <w:tcW w:w="508" w:type="pct"/>
          </w:tcPr>
          <w:p w14:paraId="6E12C387"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Barthel index</w:t>
            </w:r>
          </w:p>
        </w:tc>
        <w:tc>
          <w:tcPr>
            <w:tcW w:w="1370" w:type="pct"/>
          </w:tcPr>
          <w:p w14:paraId="60E4061B"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Reported in regression</w:t>
            </w:r>
          </w:p>
        </w:tc>
        <w:tc>
          <w:tcPr>
            <w:tcW w:w="508" w:type="pct"/>
          </w:tcPr>
          <w:p w14:paraId="26CB2196"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Y</w:t>
            </w:r>
          </w:p>
        </w:tc>
        <w:tc>
          <w:tcPr>
            <w:tcW w:w="991" w:type="pct"/>
          </w:tcPr>
          <w:p w14:paraId="59D440EC"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In multiple linear regression models the Barthel Index was shown to have a significant association with </w:t>
            </w:r>
            <w:r w:rsidRPr="00037AD4">
              <w:rPr>
                <w:rFonts w:asciiTheme="minorHAnsi" w:hAnsiTheme="minorHAnsi" w:cstheme="minorHAnsi"/>
                <w:sz w:val="22"/>
                <w:szCs w:val="22"/>
              </w:rPr>
              <w:lastRenderedPageBreak/>
              <w:t>EQ-5D (proxy) index scores (β =0.35; p&lt;0.001)</w:t>
            </w:r>
          </w:p>
        </w:tc>
        <w:tc>
          <w:tcPr>
            <w:tcW w:w="1063" w:type="pct"/>
          </w:tcPr>
          <w:p w14:paraId="3ECB77E0"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lastRenderedPageBreak/>
              <w:t>n/a</w:t>
            </w:r>
          </w:p>
        </w:tc>
      </w:tr>
      <w:tr w:rsidR="00B54D51" w:rsidRPr="00037AD4" w14:paraId="59739710" w14:textId="77777777" w:rsidTr="00401C67">
        <w:tc>
          <w:tcPr>
            <w:tcW w:w="560" w:type="pct"/>
          </w:tcPr>
          <w:p w14:paraId="29A39DDB"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Diaz-Redondo et al</w:t>
            </w:r>
          </w:p>
        </w:tc>
        <w:tc>
          <w:tcPr>
            <w:tcW w:w="508" w:type="pct"/>
          </w:tcPr>
          <w:p w14:paraId="04EBAA49"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Barthel index</w:t>
            </w:r>
          </w:p>
        </w:tc>
        <w:tc>
          <w:tcPr>
            <w:tcW w:w="1370" w:type="pct"/>
          </w:tcPr>
          <w:p w14:paraId="5FF0702F"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EQ-5D (proxy) index scores were significantly lower for people with lower Barthel index</w:t>
            </w:r>
          </w:p>
        </w:tc>
        <w:tc>
          <w:tcPr>
            <w:tcW w:w="508" w:type="pct"/>
          </w:tcPr>
          <w:p w14:paraId="260CA7B9"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Y</w:t>
            </w:r>
          </w:p>
        </w:tc>
        <w:tc>
          <w:tcPr>
            <w:tcW w:w="991" w:type="pct"/>
          </w:tcPr>
          <w:p w14:paraId="4E8B2638"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In multiple linear regression, the Barthel index was a significant determinant for EQ-5D (proxy) index (β=0.70, p&lt;0.05)</w:t>
            </w:r>
          </w:p>
        </w:tc>
        <w:tc>
          <w:tcPr>
            <w:tcW w:w="1063" w:type="pct"/>
          </w:tcPr>
          <w:p w14:paraId="4B460D28"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Reporting problems (as opposed to no problems) in all EQ-5D dimensions except for anxiety/depression was significantly associated with Barthel index score p&lt;0.01</w:t>
            </w:r>
          </w:p>
        </w:tc>
      </w:tr>
      <w:tr w:rsidR="00B54D51" w:rsidRPr="00037AD4" w14:paraId="096EC16F" w14:textId="77777777" w:rsidTr="00401C67">
        <w:tc>
          <w:tcPr>
            <w:tcW w:w="560" w:type="pct"/>
          </w:tcPr>
          <w:p w14:paraId="4277315B"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Easton et al</w:t>
            </w:r>
          </w:p>
        </w:tc>
        <w:tc>
          <w:tcPr>
            <w:tcW w:w="508" w:type="pct"/>
          </w:tcPr>
          <w:p w14:paraId="71AD4327"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Barthel index </w:t>
            </w:r>
          </w:p>
        </w:tc>
        <w:tc>
          <w:tcPr>
            <w:tcW w:w="1370" w:type="pct"/>
          </w:tcPr>
          <w:p w14:paraId="1EF619DE"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Barthel index and EQ-5D index scores correlation: proxy, r=0.560, p=0.01; self, r=0.492, p=0.01</w:t>
            </w:r>
          </w:p>
        </w:tc>
        <w:tc>
          <w:tcPr>
            <w:tcW w:w="508" w:type="pct"/>
          </w:tcPr>
          <w:p w14:paraId="624B264C"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w:t>
            </w:r>
          </w:p>
        </w:tc>
        <w:tc>
          <w:tcPr>
            <w:tcW w:w="991" w:type="pct"/>
          </w:tcPr>
          <w:p w14:paraId="78092AD7"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n/a</w:t>
            </w:r>
          </w:p>
        </w:tc>
        <w:tc>
          <w:tcPr>
            <w:tcW w:w="1063" w:type="pct"/>
          </w:tcPr>
          <w:p w14:paraId="12BD7644"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Barthel index was correlated with EQ-5D self-rated dimensions: mobility, -0.499, self-care, -0.609, usual activities, -0.374; and proxy rated dimensions: mobility, -0.555, self-care, -0.627, usual activities, -0.577. All p&lt;0.01 </w:t>
            </w:r>
          </w:p>
        </w:tc>
      </w:tr>
      <w:tr w:rsidR="00B54D51" w:rsidRPr="00037AD4" w14:paraId="5E42B385" w14:textId="77777777" w:rsidTr="00401C67">
        <w:tc>
          <w:tcPr>
            <w:tcW w:w="560" w:type="pct"/>
          </w:tcPr>
          <w:p w14:paraId="78FF71AC"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Garre-Olmo et al</w:t>
            </w:r>
          </w:p>
        </w:tc>
        <w:tc>
          <w:tcPr>
            <w:tcW w:w="508" w:type="pct"/>
          </w:tcPr>
          <w:p w14:paraId="7AB8D615"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DAD</w:t>
            </w:r>
          </w:p>
        </w:tc>
        <w:tc>
          <w:tcPr>
            <w:tcW w:w="1370" w:type="pct"/>
          </w:tcPr>
          <w:p w14:paraId="1FF9D48C"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DAD was significantly correlated to proxy EQ-5D score at all CDR defined severity: 1, r=0.264; 2, r=0.400; 3, r=0.450 (p&lt;0.05)</w:t>
            </w:r>
          </w:p>
        </w:tc>
        <w:tc>
          <w:tcPr>
            <w:tcW w:w="508" w:type="pct"/>
          </w:tcPr>
          <w:p w14:paraId="4E5BCE82"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Y</w:t>
            </w:r>
          </w:p>
        </w:tc>
        <w:tc>
          <w:tcPr>
            <w:tcW w:w="991" w:type="pct"/>
          </w:tcPr>
          <w:p w14:paraId="330E2E4A"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No DAD evidence reported</w:t>
            </w:r>
          </w:p>
        </w:tc>
        <w:tc>
          <w:tcPr>
            <w:tcW w:w="1063" w:type="pct"/>
          </w:tcPr>
          <w:p w14:paraId="42129749"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n/a</w:t>
            </w:r>
          </w:p>
        </w:tc>
      </w:tr>
      <w:tr w:rsidR="00B54D51" w:rsidRPr="00037AD4" w14:paraId="7B01CC6A" w14:textId="77777777" w:rsidTr="00401C67">
        <w:tc>
          <w:tcPr>
            <w:tcW w:w="560" w:type="pct"/>
          </w:tcPr>
          <w:p w14:paraId="3FEDD3A7"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Gonzalez-Velez et al</w:t>
            </w:r>
          </w:p>
        </w:tc>
        <w:tc>
          <w:tcPr>
            <w:tcW w:w="508" w:type="pct"/>
          </w:tcPr>
          <w:p w14:paraId="21DD7B72"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Barthel</w:t>
            </w:r>
          </w:p>
        </w:tc>
        <w:tc>
          <w:tcPr>
            <w:tcW w:w="1370" w:type="pct"/>
          </w:tcPr>
          <w:p w14:paraId="48D58CB8"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EQ-5D (proxy) index scores were 0.5 points greater in those with moderate (&gt;40) vs. severe (&lt;40) dependency defined with Barthel index scores (p&lt;0.001)</w:t>
            </w:r>
          </w:p>
        </w:tc>
        <w:tc>
          <w:tcPr>
            <w:tcW w:w="508" w:type="pct"/>
          </w:tcPr>
          <w:p w14:paraId="4384538C"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Y</w:t>
            </w:r>
          </w:p>
        </w:tc>
        <w:tc>
          <w:tcPr>
            <w:tcW w:w="991" w:type="pct"/>
          </w:tcPr>
          <w:p w14:paraId="4686007E"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No Barthel index evidence reported </w:t>
            </w:r>
          </w:p>
        </w:tc>
        <w:tc>
          <w:tcPr>
            <w:tcW w:w="1063" w:type="pct"/>
          </w:tcPr>
          <w:p w14:paraId="1DCDCB6D"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n/a</w:t>
            </w:r>
          </w:p>
        </w:tc>
      </w:tr>
      <w:tr w:rsidR="00B54D51" w:rsidRPr="00037AD4" w14:paraId="13E0A182" w14:textId="77777777" w:rsidTr="00401C67">
        <w:tc>
          <w:tcPr>
            <w:tcW w:w="560" w:type="pct"/>
          </w:tcPr>
          <w:p w14:paraId="0F0C0B14"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Haaksma et al</w:t>
            </w:r>
          </w:p>
        </w:tc>
        <w:tc>
          <w:tcPr>
            <w:tcW w:w="508" w:type="pct"/>
          </w:tcPr>
          <w:p w14:paraId="5C11A873"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DAD</w:t>
            </w:r>
          </w:p>
        </w:tc>
        <w:tc>
          <w:tcPr>
            <w:tcW w:w="1370" w:type="pct"/>
          </w:tcPr>
          <w:p w14:paraId="2C7827BC"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EQ-5D (proxy) was significantly correlated with increased daily functioning (r=0.302, p&lt;0.0001). One SD increase in EQ-5D was associated with an average 2.97% increase in DAD score</w:t>
            </w:r>
          </w:p>
        </w:tc>
        <w:tc>
          <w:tcPr>
            <w:tcW w:w="508" w:type="pct"/>
          </w:tcPr>
          <w:p w14:paraId="1899169D"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w:t>
            </w:r>
          </w:p>
        </w:tc>
        <w:tc>
          <w:tcPr>
            <w:tcW w:w="991" w:type="pct"/>
          </w:tcPr>
          <w:p w14:paraId="44054B2B"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n/a</w:t>
            </w:r>
          </w:p>
        </w:tc>
        <w:tc>
          <w:tcPr>
            <w:tcW w:w="1063" w:type="pct"/>
          </w:tcPr>
          <w:p w14:paraId="1A218B10"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n/a</w:t>
            </w:r>
          </w:p>
        </w:tc>
      </w:tr>
      <w:tr w:rsidR="00B54D51" w:rsidRPr="00037AD4" w14:paraId="347DDF49" w14:textId="77777777" w:rsidTr="00401C67">
        <w:tc>
          <w:tcPr>
            <w:tcW w:w="560" w:type="pct"/>
          </w:tcPr>
          <w:p w14:paraId="2BA0B0A6"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Heßmann et al</w:t>
            </w:r>
          </w:p>
        </w:tc>
        <w:tc>
          <w:tcPr>
            <w:tcW w:w="508" w:type="pct"/>
          </w:tcPr>
          <w:p w14:paraId="4EA5A187"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ADCS-ADL</w:t>
            </w:r>
          </w:p>
        </w:tc>
        <w:tc>
          <w:tcPr>
            <w:tcW w:w="1370" w:type="pct"/>
          </w:tcPr>
          <w:p w14:paraId="43328DFC"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Total ADCS-ADL score was correlated with self (r=0.241, p&lt;0.001) and proxy </w:t>
            </w:r>
            <w:r w:rsidRPr="00037AD4">
              <w:rPr>
                <w:rFonts w:asciiTheme="minorHAnsi" w:hAnsiTheme="minorHAnsi" w:cstheme="minorHAnsi"/>
                <w:sz w:val="22"/>
                <w:szCs w:val="22"/>
              </w:rPr>
              <w:lastRenderedPageBreak/>
              <w:t xml:space="preserve">(r=0.682, p&lt;0.001) EQ-5D index scores in bivariate analyses </w:t>
            </w:r>
          </w:p>
          <w:p w14:paraId="057DE381" w14:textId="77777777" w:rsidR="00B54D51" w:rsidRPr="00037AD4" w:rsidRDefault="00B54D51" w:rsidP="00401C67">
            <w:pPr>
              <w:rPr>
                <w:rFonts w:asciiTheme="minorHAnsi" w:hAnsiTheme="minorHAnsi" w:cstheme="minorHAnsi"/>
                <w:sz w:val="22"/>
                <w:szCs w:val="22"/>
              </w:rPr>
            </w:pPr>
          </w:p>
        </w:tc>
        <w:tc>
          <w:tcPr>
            <w:tcW w:w="508" w:type="pct"/>
          </w:tcPr>
          <w:p w14:paraId="498D6F01"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lastRenderedPageBreak/>
              <w:t>Y</w:t>
            </w:r>
          </w:p>
        </w:tc>
        <w:tc>
          <w:tcPr>
            <w:tcW w:w="991" w:type="pct"/>
          </w:tcPr>
          <w:p w14:paraId="51E85A78"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Multivariate regression analysis found that ADCS-</w:t>
            </w:r>
            <w:r w:rsidRPr="00037AD4">
              <w:rPr>
                <w:rFonts w:asciiTheme="minorHAnsi" w:hAnsiTheme="minorHAnsi" w:cstheme="minorHAnsi"/>
                <w:sz w:val="22"/>
                <w:szCs w:val="22"/>
              </w:rPr>
              <w:lastRenderedPageBreak/>
              <w:t>ADL was a significant predictor of proxy rated EQ-5D (β=0.012, p&lt;0.05), but not self-rated (β=0.002, p&gt;0.05)</w:t>
            </w:r>
          </w:p>
          <w:p w14:paraId="59E39704" w14:textId="77777777" w:rsidR="00B54D51" w:rsidRPr="00037AD4" w:rsidRDefault="00B54D51" w:rsidP="00401C67">
            <w:pPr>
              <w:rPr>
                <w:rFonts w:asciiTheme="minorHAnsi" w:hAnsiTheme="minorHAnsi" w:cstheme="minorHAnsi"/>
                <w:sz w:val="22"/>
                <w:szCs w:val="22"/>
              </w:rPr>
            </w:pPr>
          </w:p>
        </w:tc>
        <w:tc>
          <w:tcPr>
            <w:tcW w:w="1063" w:type="pct"/>
          </w:tcPr>
          <w:p w14:paraId="0B25641A"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lastRenderedPageBreak/>
              <w:t>No ADCS-ADL evidence reported</w:t>
            </w:r>
          </w:p>
        </w:tc>
      </w:tr>
      <w:tr w:rsidR="00B54D51" w:rsidRPr="00037AD4" w14:paraId="6FD5213D" w14:textId="77777777" w:rsidTr="00401C67">
        <w:tc>
          <w:tcPr>
            <w:tcW w:w="560" w:type="pct"/>
          </w:tcPr>
          <w:p w14:paraId="5BEBC2F1"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Karlawish et al (1)</w:t>
            </w:r>
          </w:p>
        </w:tc>
        <w:tc>
          <w:tcPr>
            <w:tcW w:w="508" w:type="pct"/>
          </w:tcPr>
          <w:p w14:paraId="7EA28611"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Lawton scale </w:t>
            </w:r>
          </w:p>
        </w:tc>
        <w:tc>
          <w:tcPr>
            <w:tcW w:w="1370" w:type="pct"/>
          </w:tcPr>
          <w:p w14:paraId="3BFE374E"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Correlation between lower EQ-5D (self) scores and greater IADL impairment (p=0.03). Self-rated EQ-5D scores were associated with BADL insight (p=0.05), but not IADL insight (p=0.11)</w:t>
            </w:r>
          </w:p>
        </w:tc>
        <w:tc>
          <w:tcPr>
            <w:tcW w:w="508" w:type="pct"/>
          </w:tcPr>
          <w:p w14:paraId="229C925D"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Y</w:t>
            </w:r>
          </w:p>
        </w:tc>
        <w:tc>
          <w:tcPr>
            <w:tcW w:w="991" w:type="pct"/>
          </w:tcPr>
          <w:p w14:paraId="6BA7CA41"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Regression models showed that greater awareness of BADL deficits is an independent predictor of lower EQ-5D</w:t>
            </w:r>
          </w:p>
        </w:tc>
        <w:tc>
          <w:tcPr>
            <w:tcW w:w="1063" w:type="pct"/>
          </w:tcPr>
          <w:p w14:paraId="1F0722F7"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41% of the EQ-5D were a 1.0, which represents perfect health. Participants did not report disability in domains where one might reasonably expect disability – specifically the EQ-5D item usual activities </w:t>
            </w:r>
          </w:p>
        </w:tc>
      </w:tr>
      <w:tr w:rsidR="00B54D51" w:rsidRPr="00037AD4" w14:paraId="46E08E6C" w14:textId="77777777" w:rsidTr="00401C67">
        <w:tc>
          <w:tcPr>
            <w:tcW w:w="560" w:type="pct"/>
          </w:tcPr>
          <w:p w14:paraId="5E691440"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Karlawish et al (2)</w:t>
            </w:r>
          </w:p>
        </w:tc>
        <w:tc>
          <w:tcPr>
            <w:tcW w:w="508" w:type="pct"/>
          </w:tcPr>
          <w:p w14:paraId="003AB518"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Lawton scale</w:t>
            </w:r>
          </w:p>
        </w:tc>
        <w:tc>
          <w:tcPr>
            <w:tcW w:w="1370" w:type="pct"/>
          </w:tcPr>
          <w:p w14:paraId="67420506"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Greater IADL and BADL deficits were associated with decline in proxy EQ-5D ratings (p=0.0000). </w:t>
            </w:r>
          </w:p>
        </w:tc>
        <w:tc>
          <w:tcPr>
            <w:tcW w:w="508" w:type="pct"/>
          </w:tcPr>
          <w:p w14:paraId="6AC7B6EE"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Y</w:t>
            </w:r>
          </w:p>
        </w:tc>
        <w:tc>
          <w:tcPr>
            <w:tcW w:w="991" w:type="pct"/>
          </w:tcPr>
          <w:p w14:paraId="0AC1CB70"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Least-squares regression showed that proxy ratings of PwD BADLs remained a strong independent predictor of EQ-5D scores (β=-0.023, p=0.000) </w:t>
            </w:r>
          </w:p>
          <w:p w14:paraId="47A64EA5" w14:textId="77777777" w:rsidR="00B54D51" w:rsidRPr="00037AD4" w:rsidRDefault="00B54D51" w:rsidP="00401C67">
            <w:pPr>
              <w:rPr>
                <w:rFonts w:asciiTheme="minorHAnsi" w:hAnsiTheme="minorHAnsi" w:cstheme="minorHAnsi"/>
                <w:sz w:val="22"/>
                <w:szCs w:val="22"/>
              </w:rPr>
            </w:pPr>
          </w:p>
        </w:tc>
        <w:tc>
          <w:tcPr>
            <w:tcW w:w="1063" w:type="pct"/>
          </w:tcPr>
          <w:p w14:paraId="5223EA4E"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n/a</w:t>
            </w:r>
          </w:p>
        </w:tc>
      </w:tr>
      <w:tr w:rsidR="00B54D51" w:rsidRPr="00037AD4" w14:paraId="0CF3D3CB" w14:textId="77777777" w:rsidTr="00401C67">
        <w:tc>
          <w:tcPr>
            <w:tcW w:w="560" w:type="pct"/>
          </w:tcPr>
          <w:p w14:paraId="2FC4A824"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King et al </w:t>
            </w:r>
          </w:p>
        </w:tc>
        <w:tc>
          <w:tcPr>
            <w:tcW w:w="508" w:type="pct"/>
          </w:tcPr>
          <w:p w14:paraId="26733DED"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BADLS</w:t>
            </w:r>
          </w:p>
        </w:tc>
        <w:tc>
          <w:tcPr>
            <w:tcW w:w="1370" w:type="pct"/>
          </w:tcPr>
          <w:p w14:paraId="2E1B8690"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EQ-5D proxy was significantly associated with level of disability as measured by BADLS for both regression models, but not for EQ-5D self-report. Model 1 = -0.25, p&lt;0.01; Model 2 = -0.20, p&lt;0.01</w:t>
            </w:r>
          </w:p>
        </w:tc>
        <w:tc>
          <w:tcPr>
            <w:tcW w:w="508" w:type="pct"/>
          </w:tcPr>
          <w:p w14:paraId="71061781"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Y</w:t>
            </w:r>
          </w:p>
        </w:tc>
        <w:tc>
          <w:tcPr>
            <w:tcW w:w="991" w:type="pct"/>
          </w:tcPr>
          <w:p w14:paraId="11C09DDC"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Linear regression, results reported in previous box</w:t>
            </w:r>
          </w:p>
        </w:tc>
        <w:tc>
          <w:tcPr>
            <w:tcW w:w="1063" w:type="pct"/>
          </w:tcPr>
          <w:p w14:paraId="2574CD47"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n/a</w:t>
            </w:r>
          </w:p>
        </w:tc>
      </w:tr>
      <w:tr w:rsidR="00B54D51" w:rsidRPr="00037AD4" w14:paraId="1DCADCE2" w14:textId="77777777" w:rsidTr="00401C67">
        <w:tc>
          <w:tcPr>
            <w:tcW w:w="560" w:type="pct"/>
          </w:tcPr>
          <w:p w14:paraId="0110D2AA"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Kunz et al</w:t>
            </w:r>
          </w:p>
        </w:tc>
        <w:tc>
          <w:tcPr>
            <w:tcW w:w="508" w:type="pct"/>
          </w:tcPr>
          <w:p w14:paraId="7D6E74E8"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Barthel index</w:t>
            </w:r>
          </w:p>
        </w:tc>
        <w:tc>
          <w:tcPr>
            <w:tcW w:w="1370" w:type="pct"/>
          </w:tcPr>
          <w:p w14:paraId="1187EE7B"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EQ-5D self and proxy correlated with Barthel index (r=0.50 [0.41-0.57], r=0.67 [0.61-0.72] respectively, as the confidence intervals do not overlap – indicated statistically significant difference </w:t>
            </w:r>
          </w:p>
        </w:tc>
        <w:tc>
          <w:tcPr>
            <w:tcW w:w="508" w:type="pct"/>
          </w:tcPr>
          <w:p w14:paraId="26D4AFFD"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Y</w:t>
            </w:r>
          </w:p>
        </w:tc>
        <w:tc>
          <w:tcPr>
            <w:tcW w:w="991" w:type="pct"/>
          </w:tcPr>
          <w:p w14:paraId="48704571"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Generalised linear regression explored factor impact on inter-rater agreement</w:t>
            </w:r>
          </w:p>
        </w:tc>
        <w:tc>
          <w:tcPr>
            <w:tcW w:w="1063" w:type="pct"/>
          </w:tcPr>
          <w:p w14:paraId="1624D34D"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No Barthel index evidence reported </w:t>
            </w:r>
          </w:p>
        </w:tc>
      </w:tr>
      <w:tr w:rsidR="00B54D51" w:rsidRPr="00037AD4" w14:paraId="6F652E9A" w14:textId="77777777" w:rsidTr="00401C67">
        <w:tc>
          <w:tcPr>
            <w:tcW w:w="560" w:type="pct"/>
          </w:tcPr>
          <w:p w14:paraId="0A888E84"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lastRenderedPageBreak/>
              <w:t>Kuo et al</w:t>
            </w:r>
          </w:p>
        </w:tc>
        <w:tc>
          <w:tcPr>
            <w:tcW w:w="508" w:type="pct"/>
          </w:tcPr>
          <w:p w14:paraId="33D00B36"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Barthel index</w:t>
            </w:r>
          </w:p>
        </w:tc>
        <w:tc>
          <w:tcPr>
            <w:tcW w:w="1370" w:type="pct"/>
          </w:tcPr>
          <w:p w14:paraId="4F4AE55E"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Reported in regression</w:t>
            </w:r>
          </w:p>
        </w:tc>
        <w:tc>
          <w:tcPr>
            <w:tcW w:w="508" w:type="pct"/>
          </w:tcPr>
          <w:p w14:paraId="074E1D52"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Y</w:t>
            </w:r>
          </w:p>
        </w:tc>
        <w:tc>
          <w:tcPr>
            <w:tcW w:w="991" w:type="pct"/>
          </w:tcPr>
          <w:p w14:paraId="5AC781EB"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Multiple regression models showed that dependence, as defined by Barthel index scores, was a significant determinant of (self-rated) QoL (p&lt;0.001): medium, β=-0.119, t=-2.28; high, β=-0.441, t=7*, low, β=-0.629, t=8.36*, p&lt;0.001*</w:t>
            </w:r>
          </w:p>
        </w:tc>
        <w:tc>
          <w:tcPr>
            <w:tcW w:w="1063" w:type="pct"/>
          </w:tcPr>
          <w:p w14:paraId="32CFF7E1"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n/a</w:t>
            </w:r>
          </w:p>
        </w:tc>
      </w:tr>
      <w:tr w:rsidR="00B54D51" w:rsidRPr="00037AD4" w14:paraId="062F761F" w14:textId="77777777" w:rsidTr="00401C67">
        <w:tc>
          <w:tcPr>
            <w:tcW w:w="560" w:type="pct"/>
          </w:tcPr>
          <w:p w14:paraId="17B9CF2C"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Naglie et al (1)</w:t>
            </w:r>
          </w:p>
        </w:tc>
        <w:tc>
          <w:tcPr>
            <w:tcW w:w="508" w:type="pct"/>
          </w:tcPr>
          <w:p w14:paraId="4E4D7CF6"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DAD</w:t>
            </w:r>
          </w:p>
        </w:tc>
        <w:tc>
          <w:tcPr>
            <w:tcW w:w="1370" w:type="pct"/>
          </w:tcPr>
          <w:p w14:paraId="0DBFC921"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No significant relationship between mean EQ-5D (self) ratings and DAD scores (p&gt;0.05), no correlation reported</w:t>
            </w:r>
          </w:p>
        </w:tc>
        <w:tc>
          <w:tcPr>
            <w:tcW w:w="508" w:type="pct"/>
          </w:tcPr>
          <w:p w14:paraId="1193AFB6"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Y</w:t>
            </w:r>
          </w:p>
        </w:tc>
        <w:tc>
          <w:tcPr>
            <w:tcW w:w="991" w:type="pct"/>
          </w:tcPr>
          <w:p w14:paraId="69C89FD9"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Multiple linear regression showed that DAD score was not a significant predictor of EQ-5D (self) ratings (p&gt;0.05)</w:t>
            </w:r>
          </w:p>
        </w:tc>
        <w:tc>
          <w:tcPr>
            <w:tcW w:w="1063" w:type="pct"/>
          </w:tcPr>
          <w:p w14:paraId="50A933A7"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n/a</w:t>
            </w:r>
          </w:p>
        </w:tc>
      </w:tr>
      <w:tr w:rsidR="00B54D51" w:rsidRPr="00037AD4" w14:paraId="4001D147" w14:textId="77777777" w:rsidTr="00401C67">
        <w:tc>
          <w:tcPr>
            <w:tcW w:w="560" w:type="pct"/>
          </w:tcPr>
          <w:p w14:paraId="65D33EAE"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Naglie et al (2)</w:t>
            </w:r>
          </w:p>
        </w:tc>
        <w:tc>
          <w:tcPr>
            <w:tcW w:w="508" w:type="pct"/>
          </w:tcPr>
          <w:p w14:paraId="7418749F"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DAD</w:t>
            </w:r>
          </w:p>
        </w:tc>
        <w:tc>
          <w:tcPr>
            <w:tcW w:w="1370" w:type="pct"/>
          </w:tcPr>
          <w:p w14:paraId="693EE8AD"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With increasing function threshold brackets, as defined by DAD, there were significantly greater mean EQ-5D (proxy) scores (p&lt;0.0001): 0-49, 0.65 (0.20); 50-68, 0.76 (0.14); 69-88, 0.79 (0.18); 89-100, 0.85 (0.17)</w:t>
            </w:r>
          </w:p>
        </w:tc>
        <w:tc>
          <w:tcPr>
            <w:tcW w:w="508" w:type="pct"/>
          </w:tcPr>
          <w:p w14:paraId="2D712ADC"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Y</w:t>
            </w:r>
          </w:p>
        </w:tc>
        <w:tc>
          <w:tcPr>
            <w:tcW w:w="991" w:type="pct"/>
          </w:tcPr>
          <w:p w14:paraId="698616FB"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Multiple linear regression showed that DAD score was a consistent significant independent predictor of EQ-5D (proxy) scores; β=0.051, p&lt;0.0001, R</w:t>
            </w:r>
            <w:r w:rsidRPr="00037AD4">
              <w:rPr>
                <w:rFonts w:asciiTheme="minorHAnsi" w:hAnsiTheme="minorHAnsi" w:cstheme="minorHAnsi"/>
                <w:sz w:val="22"/>
                <w:szCs w:val="22"/>
                <w:vertAlign w:val="superscript"/>
              </w:rPr>
              <w:t>2</w:t>
            </w:r>
            <w:r w:rsidRPr="00037AD4">
              <w:rPr>
                <w:rFonts w:asciiTheme="minorHAnsi" w:hAnsiTheme="minorHAnsi" w:cstheme="minorHAnsi"/>
                <w:sz w:val="22"/>
                <w:szCs w:val="22"/>
              </w:rPr>
              <w:t>=0.09</w:t>
            </w:r>
          </w:p>
        </w:tc>
        <w:tc>
          <w:tcPr>
            <w:tcW w:w="1063" w:type="pct"/>
          </w:tcPr>
          <w:p w14:paraId="582C8BF3"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n/a</w:t>
            </w:r>
          </w:p>
        </w:tc>
      </w:tr>
      <w:tr w:rsidR="00B54D51" w:rsidRPr="00037AD4" w14:paraId="702A6B89" w14:textId="77777777" w:rsidTr="00401C67">
        <w:tc>
          <w:tcPr>
            <w:tcW w:w="560" w:type="pct"/>
          </w:tcPr>
          <w:p w14:paraId="20C66F21"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Orgeta et al</w:t>
            </w:r>
          </w:p>
        </w:tc>
        <w:tc>
          <w:tcPr>
            <w:tcW w:w="508" w:type="pct"/>
          </w:tcPr>
          <w:p w14:paraId="77A212C3"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BADLS</w:t>
            </w:r>
          </w:p>
        </w:tc>
        <w:tc>
          <w:tcPr>
            <w:tcW w:w="1370" w:type="pct"/>
          </w:tcPr>
          <w:p w14:paraId="1FB6B183"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Reported in regression</w:t>
            </w:r>
          </w:p>
        </w:tc>
        <w:tc>
          <w:tcPr>
            <w:tcW w:w="508" w:type="pct"/>
          </w:tcPr>
          <w:p w14:paraId="3EC4AD01"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Y</w:t>
            </w:r>
          </w:p>
        </w:tc>
        <w:tc>
          <w:tcPr>
            <w:tcW w:w="991" w:type="pct"/>
          </w:tcPr>
          <w:p w14:paraId="1A2DE4F8" w14:textId="77777777" w:rsidR="00B54D51" w:rsidRPr="00037AD4" w:rsidRDefault="00B54D51" w:rsidP="00401C67">
            <w:pPr>
              <w:rPr>
                <w:rFonts w:asciiTheme="minorHAnsi" w:hAnsiTheme="minorHAnsi" w:cstheme="minorHAnsi"/>
                <w:b/>
                <w:bCs/>
                <w:sz w:val="22"/>
                <w:szCs w:val="22"/>
              </w:rPr>
            </w:pPr>
            <w:r w:rsidRPr="00037AD4">
              <w:rPr>
                <w:rFonts w:asciiTheme="minorHAnsi" w:hAnsiTheme="minorHAnsi" w:cstheme="minorHAnsi"/>
                <w:sz w:val="22"/>
                <w:szCs w:val="22"/>
              </w:rPr>
              <w:t xml:space="preserve">Multiple linear regression showed that BADLS was an independent predictor of both self: β=-0.257, and proxy: β=-0.463 (p&lt;0.01) EQ-5D index scores </w:t>
            </w:r>
          </w:p>
        </w:tc>
        <w:tc>
          <w:tcPr>
            <w:tcW w:w="1063" w:type="pct"/>
          </w:tcPr>
          <w:p w14:paraId="6DB5BD41"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No BADLS evidence reported </w:t>
            </w:r>
          </w:p>
        </w:tc>
      </w:tr>
      <w:tr w:rsidR="00B54D51" w:rsidRPr="00037AD4" w14:paraId="3C106CEC" w14:textId="77777777" w:rsidTr="00401C67">
        <w:tc>
          <w:tcPr>
            <w:tcW w:w="560" w:type="pct"/>
          </w:tcPr>
          <w:p w14:paraId="266C499A"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Sheehan et al</w:t>
            </w:r>
          </w:p>
        </w:tc>
        <w:tc>
          <w:tcPr>
            <w:tcW w:w="508" w:type="pct"/>
          </w:tcPr>
          <w:p w14:paraId="235062E7"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Lawton scale</w:t>
            </w:r>
          </w:p>
        </w:tc>
        <w:tc>
          <w:tcPr>
            <w:tcW w:w="1370" w:type="pct"/>
          </w:tcPr>
          <w:p w14:paraId="5DEEF61B"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Reported in regression</w:t>
            </w:r>
          </w:p>
        </w:tc>
        <w:tc>
          <w:tcPr>
            <w:tcW w:w="508" w:type="pct"/>
          </w:tcPr>
          <w:p w14:paraId="336460DF"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Y</w:t>
            </w:r>
          </w:p>
        </w:tc>
        <w:tc>
          <w:tcPr>
            <w:tcW w:w="991" w:type="pct"/>
          </w:tcPr>
          <w:p w14:paraId="2CE5168A"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Linear regression models showed that Lawton score was a significant predicter of EQ-5D proxy (0.007 (0.028, 0.126) p=0.0034), but not self-rated EQ-5D (-0.014 (-0.059, 0.030) p=0.5316)</w:t>
            </w:r>
          </w:p>
        </w:tc>
        <w:tc>
          <w:tcPr>
            <w:tcW w:w="1063" w:type="pct"/>
          </w:tcPr>
          <w:p w14:paraId="6B9E8991"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n/a</w:t>
            </w:r>
          </w:p>
        </w:tc>
      </w:tr>
      <w:tr w:rsidR="00B54D51" w:rsidRPr="00037AD4" w14:paraId="117F6EB9" w14:textId="77777777" w:rsidTr="00401C67">
        <w:tc>
          <w:tcPr>
            <w:tcW w:w="560" w:type="pct"/>
          </w:tcPr>
          <w:p w14:paraId="5D2F6D47"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lastRenderedPageBreak/>
              <w:t>Trigg et al</w:t>
            </w:r>
          </w:p>
        </w:tc>
        <w:tc>
          <w:tcPr>
            <w:tcW w:w="508" w:type="pct"/>
          </w:tcPr>
          <w:p w14:paraId="7F802AEF"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DAD</w:t>
            </w:r>
          </w:p>
        </w:tc>
        <w:tc>
          <w:tcPr>
            <w:tcW w:w="1370" w:type="pct"/>
          </w:tcPr>
          <w:p w14:paraId="72FC1379"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No significant association between changes on DAD and EQ-5D self or proxy – r=0.06, r=0.13, p&gt;0.05 respectively</w:t>
            </w:r>
          </w:p>
        </w:tc>
        <w:tc>
          <w:tcPr>
            <w:tcW w:w="508" w:type="pct"/>
          </w:tcPr>
          <w:p w14:paraId="4B840483"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Y</w:t>
            </w:r>
          </w:p>
        </w:tc>
        <w:tc>
          <w:tcPr>
            <w:tcW w:w="991" w:type="pct"/>
          </w:tcPr>
          <w:p w14:paraId="22AE03A9"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Multiple linear regression showed that DAD change did not account for EQ-5D (self) scores </w:t>
            </w:r>
          </w:p>
        </w:tc>
        <w:tc>
          <w:tcPr>
            <w:tcW w:w="1063" w:type="pct"/>
          </w:tcPr>
          <w:p w14:paraId="08CF3DB8"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n/a</w:t>
            </w:r>
          </w:p>
        </w:tc>
      </w:tr>
      <w:tr w:rsidR="00B54D51" w:rsidRPr="00037AD4" w14:paraId="0F4135C0" w14:textId="77777777" w:rsidTr="00401C67">
        <w:tc>
          <w:tcPr>
            <w:tcW w:w="560" w:type="pct"/>
          </w:tcPr>
          <w:p w14:paraId="60C76F7E"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van de Beek et al</w:t>
            </w:r>
          </w:p>
        </w:tc>
        <w:tc>
          <w:tcPr>
            <w:tcW w:w="508" w:type="pct"/>
          </w:tcPr>
          <w:p w14:paraId="5E0D2F21"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DAD</w:t>
            </w:r>
          </w:p>
        </w:tc>
        <w:tc>
          <w:tcPr>
            <w:tcW w:w="1370" w:type="pct"/>
          </w:tcPr>
          <w:p w14:paraId="3AD5F695"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Lower EQ-5D (self) scores were associated with lower DAD scores ±SE = 0.2 ± 0.1, p &lt; 0.05</w:t>
            </w:r>
          </w:p>
        </w:tc>
        <w:tc>
          <w:tcPr>
            <w:tcW w:w="508" w:type="pct"/>
          </w:tcPr>
          <w:p w14:paraId="3D6173B1"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Y</w:t>
            </w:r>
          </w:p>
        </w:tc>
        <w:tc>
          <w:tcPr>
            <w:tcW w:w="991" w:type="pct"/>
          </w:tcPr>
          <w:p w14:paraId="5EA024AA"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In multivariate models with backward selection, DAD remained an independent determinant of EQ-5D (self) score (±SE=0.1±0.1, p&lt;0.05)</w:t>
            </w:r>
          </w:p>
        </w:tc>
        <w:tc>
          <w:tcPr>
            <w:tcW w:w="1063" w:type="pct"/>
          </w:tcPr>
          <w:p w14:paraId="40AB8605"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n/a</w:t>
            </w:r>
          </w:p>
        </w:tc>
      </w:tr>
    </w:tbl>
    <w:p w14:paraId="53B7C89C" w14:textId="77777777" w:rsidR="00B54D51" w:rsidRPr="00037AD4" w:rsidRDefault="00B54D51" w:rsidP="001D7ACE">
      <w:pPr>
        <w:rPr>
          <w:rFonts w:asciiTheme="minorHAnsi" w:hAnsiTheme="minorHAnsi" w:cstheme="minorHAnsi"/>
          <w:b/>
          <w:bCs/>
          <w:u w:val="single"/>
        </w:rPr>
      </w:pPr>
    </w:p>
    <w:p w14:paraId="4C97FBE9" w14:textId="77777777" w:rsidR="00B54D51" w:rsidRPr="00037AD4" w:rsidRDefault="00B54D51" w:rsidP="007A43F9">
      <w:pPr>
        <w:pStyle w:val="Heading2"/>
      </w:pPr>
      <w:bookmarkStart w:id="483" w:name="A310"/>
      <w:bookmarkStart w:id="484" w:name="_Toc175742404"/>
      <w:r w:rsidRPr="00037AD4">
        <w:t>Appendix 3.10 Details of the empirical relationship between behaviour/mood and EQ-5D</w:t>
      </w:r>
      <w:bookmarkEnd w:id="484"/>
    </w:p>
    <w:bookmarkEnd w:id="483"/>
    <w:p w14:paraId="7DA8016B" w14:textId="77777777" w:rsidR="00B54D51" w:rsidRPr="00037AD4" w:rsidRDefault="00B54D51" w:rsidP="001D7ACE">
      <w:pPr>
        <w:rPr>
          <w:rFonts w:asciiTheme="minorHAnsi" w:hAnsiTheme="minorHAnsi" w:cstheme="minorHAnsi"/>
          <w:b/>
          <w:bCs/>
          <w:sz w:val="22"/>
          <w:szCs w:val="22"/>
          <w:u w:val="single"/>
        </w:rPr>
      </w:pPr>
    </w:p>
    <w:tbl>
      <w:tblPr>
        <w:tblStyle w:val="TableGrid"/>
        <w:tblW w:w="0" w:type="auto"/>
        <w:tblLook w:val="04A0" w:firstRow="1" w:lastRow="0" w:firstColumn="1" w:lastColumn="0" w:noHBand="0" w:noVBand="1"/>
      </w:tblPr>
      <w:tblGrid>
        <w:gridCol w:w="1460"/>
        <w:gridCol w:w="1310"/>
        <w:gridCol w:w="3858"/>
        <w:gridCol w:w="1277"/>
        <w:gridCol w:w="2909"/>
        <w:gridCol w:w="3134"/>
      </w:tblGrid>
      <w:tr w:rsidR="00B54D51" w:rsidRPr="00037AD4" w14:paraId="203E0E47" w14:textId="77777777" w:rsidTr="00401C67">
        <w:tc>
          <w:tcPr>
            <w:tcW w:w="0" w:type="auto"/>
          </w:tcPr>
          <w:p w14:paraId="314B55AA"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Study reference</w:t>
            </w:r>
          </w:p>
        </w:tc>
        <w:tc>
          <w:tcPr>
            <w:tcW w:w="0" w:type="auto"/>
          </w:tcPr>
          <w:p w14:paraId="322234E6"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Behaviour/ mood measure</w:t>
            </w:r>
          </w:p>
        </w:tc>
        <w:tc>
          <w:tcPr>
            <w:tcW w:w="0" w:type="auto"/>
          </w:tcPr>
          <w:p w14:paraId="655422BC"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Evidence of correlation</w:t>
            </w:r>
          </w:p>
        </w:tc>
        <w:tc>
          <w:tcPr>
            <w:tcW w:w="0" w:type="auto"/>
          </w:tcPr>
          <w:p w14:paraId="67C57590"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Regression analysis (y/n)</w:t>
            </w:r>
          </w:p>
        </w:tc>
        <w:tc>
          <w:tcPr>
            <w:tcW w:w="0" w:type="auto"/>
          </w:tcPr>
          <w:p w14:paraId="1D3C0B67"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Regression details and results</w:t>
            </w:r>
          </w:p>
        </w:tc>
        <w:tc>
          <w:tcPr>
            <w:tcW w:w="0" w:type="auto"/>
          </w:tcPr>
          <w:p w14:paraId="238E2C16"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Dimension specific evidence </w:t>
            </w:r>
          </w:p>
        </w:tc>
      </w:tr>
      <w:tr w:rsidR="00B54D51" w:rsidRPr="00037AD4" w14:paraId="2F4AB227" w14:textId="77777777" w:rsidTr="00401C67">
        <w:tc>
          <w:tcPr>
            <w:tcW w:w="0" w:type="auto"/>
          </w:tcPr>
          <w:p w14:paraId="07B67BCF"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Bhattacharya et al</w:t>
            </w:r>
          </w:p>
        </w:tc>
        <w:tc>
          <w:tcPr>
            <w:tcW w:w="0" w:type="auto"/>
          </w:tcPr>
          <w:p w14:paraId="7EB868A5"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NPI</w:t>
            </w:r>
          </w:p>
        </w:tc>
        <w:tc>
          <w:tcPr>
            <w:tcW w:w="0" w:type="auto"/>
          </w:tcPr>
          <w:p w14:paraId="039387D8"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NPI-Q displayed negative correlations EQ-5D: self, r=-0.144, p&gt;0.001; proxy, r=-0.385, p&lt;0.001</w:t>
            </w:r>
          </w:p>
        </w:tc>
        <w:tc>
          <w:tcPr>
            <w:tcW w:w="0" w:type="auto"/>
          </w:tcPr>
          <w:p w14:paraId="4DCF0D5C"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w:t>
            </w:r>
          </w:p>
        </w:tc>
        <w:tc>
          <w:tcPr>
            <w:tcW w:w="0" w:type="auto"/>
          </w:tcPr>
          <w:p w14:paraId="1B405C7D"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n/a</w:t>
            </w:r>
          </w:p>
        </w:tc>
        <w:tc>
          <w:tcPr>
            <w:tcW w:w="0" w:type="auto"/>
          </w:tcPr>
          <w:p w14:paraId="0F28E7A1"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n/a</w:t>
            </w:r>
          </w:p>
        </w:tc>
      </w:tr>
      <w:tr w:rsidR="00B54D51" w:rsidRPr="00037AD4" w14:paraId="33078ED1" w14:textId="77777777" w:rsidTr="00401C67">
        <w:tc>
          <w:tcPr>
            <w:tcW w:w="0" w:type="auto"/>
          </w:tcPr>
          <w:p w14:paraId="5FA15184"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Bhattacharya et al</w:t>
            </w:r>
          </w:p>
        </w:tc>
        <w:tc>
          <w:tcPr>
            <w:tcW w:w="0" w:type="auto"/>
          </w:tcPr>
          <w:p w14:paraId="4AC11C81"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CSDD</w:t>
            </w:r>
          </w:p>
        </w:tc>
        <w:tc>
          <w:tcPr>
            <w:tcW w:w="0" w:type="auto"/>
          </w:tcPr>
          <w:p w14:paraId="6D6F5BC0"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CSDD displayed negative correlations with EQ-5D: self, r=-0.297, p&lt;0.001; proxy, r=-0.308, p&lt;0.001</w:t>
            </w:r>
          </w:p>
        </w:tc>
        <w:tc>
          <w:tcPr>
            <w:tcW w:w="0" w:type="auto"/>
          </w:tcPr>
          <w:p w14:paraId="641FBB40"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w:t>
            </w:r>
          </w:p>
        </w:tc>
        <w:tc>
          <w:tcPr>
            <w:tcW w:w="0" w:type="auto"/>
          </w:tcPr>
          <w:p w14:paraId="305F72AC"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n/a</w:t>
            </w:r>
          </w:p>
        </w:tc>
        <w:tc>
          <w:tcPr>
            <w:tcW w:w="0" w:type="auto"/>
          </w:tcPr>
          <w:p w14:paraId="58BF03F4"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n/a</w:t>
            </w:r>
          </w:p>
        </w:tc>
      </w:tr>
      <w:tr w:rsidR="00B54D51" w:rsidRPr="00037AD4" w14:paraId="6A2F67B2" w14:textId="77777777" w:rsidTr="00401C67">
        <w:tc>
          <w:tcPr>
            <w:tcW w:w="0" w:type="auto"/>
          </w:tcPr>
          <w:p w14:paraId="43FEC656"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Bonfiglio et al</w:t>
            </w:r>
          </w:p>
        </w:tc>
        <w:tc>
          <w:tcPr>
            <w:tcW w:w="0" w:type="auto"/>
          </w:tcPr>
          <w:p w14:paraId="200BA5FD"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GDS </w:t>
            </w:r>
          </w:p>
        </w:tc>
        <w:tc>
          <w:tcPr>
            <w:tcW w:w="0" w:type="auto"/>
          </w:tcPr>
          <w:p w14:paraId="79EB9F17"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GDS showed negative correlations with EQ-5D: self, r=-0.279, p=0.000; proxy, r=-0.132, p=0.279 </w:t>
            </w:r>
          </w:p>
        </w:tc>
        <w:tc>
          <w:tcPr>
            <w:tcW w:w="0" w:type="auto"/>
          </w:tcPr>
          <w:p w14:paraId="5F4340CC"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Y</w:t>
            </w:r>
          </w:p>
        </w:tc>
        <w:tc>
          <w:tcPr>
            <w:tcW w:w="0" w:type="auto"/>
          </w:tcPr>
          <w:p w14:paraId="3219AD4C"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Multivariate linear regression analyses showed GDS was a significant predictor of self-rated EQ-5D (β=-0.182, p=0.042)</w:t>
            </w:r>
          </w:p>
        </w:tc>
        <w:tc>
          <w:tcPr>
            <w:tcW w:w="0" w:type="auto"/>
          </w:tcPr>
          <w:p w14:paraId="1E1A18A0"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No GDS evidence reported </w:t>
            </w:r>
          </w:p>
        </w:tc>
      </w:tr>
      <w:tr w:rsidR="00B54D51" w:rsidRPr="00037AD4" w14:paraId="5CE4F2E2" w14:textId="77777777" w:rsidTr="00401C67">
        <w:tc>
          <w:tcPr>
            <w:tcW w:w="0" w:type="auto"/>
          </w:tcPr>
          <w:p w14:paraId="37AA12FF"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Bostrom et al</w:t>
            </w:r>
          </w:p>
        </w:tc>
        <w:tc>
          <w:tcPr>
            <w:tcW w:w="0" w:type="auto"/>
          </w:tcPr>
          <w:p w14:paraId="12A799BB"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NPI</w:t>
            </w:r>
          </w:p>
        </w:tc>
        <w:tc>
          <w:tcPr>
            <w:tcW w:w="0" w:type="auto"/>
          </w:tcPr>
          <w:p w14:paraId="42C14D49"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Reported in regression</w:t>
            </w:r>
          </w:p>
        </w:tc>
        <w:tc>
          <w:tcPr>
            <w:tcW w:w="0" w:type="auto"/>
          </w:tcPr>
          <w:p w14:paraId="0CBEC5C2"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Y</w:t>
            </w:r>
          </w:p>
        </w:tc>
        <w:tc>
          <w:tcPr>
            <w:tcW w:w="0" w:type="auto"/>
          </w:tcPr>
          <w:p w14:paraId="0DB56DF5"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Linear regression analyses showed that NPI was a significant determinant of (proxy rated) EQ-5D (β=-0.008, p=0.003)</w:t>
            </w:r>
          </w:p>
        </w:tc>
        <w:tc>
          <w:tcPr>
            <w:tcW w:w="0" w:type="auto"/>
          </w:tcPr>
          <w:p w14:paraId="0448189D"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n/a</w:t>
            </w:r>
          </w:p>
        </w:tc>
      </w:tr>
      <w:tr w:rsidR="00B54D51" w:rsidRPr="00037AD4" w14:paraId="56A92FF8" w14:textId="77777777" w:rsidTr="00401C67">
        <w:tc>
          <w:tcPr>
            <w:tcW w:w="0" w:type="auto"/>
          </w:tcPr>
          <w:p w14:paraId="5646BC9D"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lastRenderedPageBreak/>
              <w:t>Bryan et al</w:t>
            </w:r>
          </w:p>
        </w:tc>
        <w:tc>
          <w:tcPr>
            <w:tcW w:w="0" w:type="auto"/>
          </w:tcPr>
          <w:p w14:paraId="72BEBE2E"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NPI</w:t>
            </w:r>
          </w:p>
        </w:tc>
        <w:tc>
          <w:tcPr>
            <w:tcW w:w="0" w:type="auto"/>
          </w:tcPr>
          <w:p w14:paraId="1A92E12D"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At a group level, proxies describe patients as having poorer overall EQ-5D where there is a higher presence of behavioural and psychological symptoms (assessed by NPI)</w:t>
            </w:r>
          </w:p>
        </w:tc>
        <w:tc>
          <w:tcPr>
            <w:tcW w:w="0" w:type="auto"/>
          </w:tcPr>
          <w:p w14:paraId="0FD53592"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w:t>
            </w:r>
          </w:p>
        </w:tc>
        <w:tc>
          <w:tcPr>
            <w:tcW w:w="0" w:type="auto"/>
          </w:tcPr>
          <w:p w14:paraId="0174DAB0"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n/a</w:t>
            </w:r>
          </w:p>
        </w:tc>
        <w:tc>
          <w:tcPr>
            <w:tcW w:w="0" w:type="auto"/>
          </w:tcPr>
          <w:p w14:paraId="7AF651B3"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Higher NPI scores are seen (on average) in level 2 than level 1 anxiety/depression item rating </w:t>
            </w:r>
          </w:p>
        </w:tc>
      </w:tr>
      <w:tr w:rsidR="00B54D51" w:rsidRPr="00037AD4" w14:paraId="305C0911" w14:textId="77777777" w:rsidTr="00401C67">
        <w:tc>
          <w:tcPr>
            <w:tcW w:w="0" w:type="auto"/>
          </w:tcPr>
          <w:p w14:paraId="33A230B6"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Castro-Monteiro et al</w:t>
            </w:r>
          </w:p>
        </w:tc>
        <w:tc>
          <w:tcPr>
            <w:tcW w:w="0" w:type="auto"/>
          </w:tcPr>
          <w:p w14:paraId="70337401"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CSDD</w:t>
            </w:r>
          </w:p>
        </w:tc>
        <w:tc>
          <w:tcPr>
            <w:tcW w:w="0" w:type="auto"/>
          </w:tcPr>
          <w:p w14:paraId="00F64BEB"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No CSDD evidence reported</w:t>
            </w:r>
          </w:p>
        </w:tc>
        <w:tc>
          <w:tcPr>
            <w:tcW w:w="0" w:type="auto"/>
          </w:tcPr>
          <w:p w14:paraId="03CB2C19"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Y</w:t>
            </w:r>
          </w:p>
        </w:tc>
        <w:tc>
          <w:tcPr>
            <w:tcW w:w="0" w:type="auto"/>
          </w:tcPr>
          <w:p w14:paraId="246777A1"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No CSDD evidence reported</w:t>
            </w:r>
          </w:p>
        </w:tc>
        <w:tc>
          <w:tcPr>
            <w:tcW w:w="0" w:type="auto"/>
          </w:tcPr>
          <w:p w14:paraId="30651179"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n/a</w:t>
            </w:r>
          </w:p>
        </w:tc>
      </w:tr>
      <w:tr w:rsidR="00B54D51" w:rsidRPr="00037AD4" w14:paraId="64577D85" w14:textId="77777777" w:rsidTr="00401C67">
        <w:tc>
          <w:tcPr>
            <w:tcW w:w="0" w:type="auto"/>
          </w:tcPr>
          <w:p w14:paraId="55D4928D"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Diaz-Redondo et al</w:t>
            </w:r>
          </w:p>
        </w:tc>
        <w:tc>
          <w:tcPr>
            <w:tcW w:w="0" w:type="auto"/>
          </w:tcPr>
          <w:p w14:paraId="57070459"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CSDD</w:t>
            </w:r>
          </w:p>
        </w:tc>
        <w:tc>
          <w:tcPr>
            <w:tcW w:w="0" w:type="auto"/>
          </w:tcPr>
          <w:p w14:paraId="433EB9AD"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There was no statistically significant difference in EQ-5D index (proxy) score between known groups of depression (CSDD &lt;6 vs. CSDD &gt;6)</w:t>
            </w:r>
          </w:p>
        </w:tc>
        <w:tc>
          <w:tcPr>
            <w:tcW w:w="0" w:type="auto"/>
          </w:tcPr>
          <w:p w14:paraId="5865F88A"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Y</w:t>
            </w:r>
          </w:p>
        </w:tc>
        <w:tc>
          <w:tcPr>
            <w:tcW w:w="0" w:type="auto"/>
          </w:tcPr>
          <w:p w14:paraId="5AFCA60A"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No CSDD evidence reported</w:t>
            </w:r>
          </w:p>
        </w:tc>
        <w:tc>
          <w:tcPr>
            <w:tcW w:w="0" w:type="auto"/>
          </w:tcPr>
          <w:p w14:paraId="297ABAA8"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Reporting problems in the anxiety/depression dimension was significantly associated with CSDD defined known groups (p&lt;0.01)</w:t>
            </w:r>
          </w:p>
        </w:tc>
      </w:tr>
      <w:tr w:rsidR="00B54D51" w:rsidRPr="00037AD4" w14:paraId="3005B5DC" w14:textId="77777777" w:rsidTr="00401C67">
        <w:tc>
          <w:tcPr>
            <w:tcW w:w="0" w:type="auto"/>
          </w:tcPr>
          <w:p w14:paraId="0B7743E4"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Easton et al</w:t>
            </w:r>
          </w:p>
        </w:tc>
        <w:tc>
          <w:tcPr>
            <w:tcW w:w="0" w:type="auto"/>
          </w:tcPr>
          <w:p w14:paraId="79743CDE"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NPI</w:t>
            </w:r>
          </w:p>
        </w:tc>
        <w:tc>
          <w:tcPr>
            <w:tcW w:w="0" w:type="auto"/>
          </w:tcPr>
          <w:p w14:paraId="7B5015F1"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NPI showed a negative correlation with EQ-5D self, r=-0.099; but a positive correlation with EQ-5D proxy, r=0.056 or proxy ratings. P&gt;0.05 for both</w:t>
            </w:r>
          </w:p>
        </w:tc>
        <w:tc>
          <w:tcPr>
            <w:tcW w:w="0" w:type="auto"/>
          </w:tcPr>
          <w:p w14:paraId="4A66C426"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w:t>
            </w:r>
          </w:p>
        </w:tc>
        <w:tc>
          <w:tcPr>
            <w:tcW w:w="0" w:type="auto"/>
          </w:tcPr>
          <w:p w14:paraId="637FBA8C"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n/a</w:t>
            </w:r>
          </w:p>
        </w:tc>
        <w:tc>
          <w:tcPr>
            <w:tcW w:w="0" w:type="auto"/>
          </w:tcPr>
          <w:p w14:paraId="36247769"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Proxy rated EQ-5D dimensions: mobility and anxiety/depression show significant association with NPI (-0.177, 0.160 &lt;0.01 respectively). No significant associations found with self-reported EQ-5D dimensions</w:t>
            </w:r>
          </w:p>
        </w:tc>
      </w:tr>
      <w:tr w:rsidR="00B54D51" w:rsidRPr="00037AD4" w14:paraId="4BBD8FEA" w14:textId="77777777" w:rsidTr="00401C67">
        <w:tc>
          <w:tcPr>
            <w:tcW w:w="0" w:type="auto"/>
          </w:tcPr>
          <w:p w14:paraId="661E9408"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Farina et al</w:t>
            </w:r>
          </w:p>
        </w:tc>
        <w:tc>
          <w:tcPr>
            <w:tcW w:w="0" w:type="auto"/>
          </w:tcPr>
          <w:p w14:paraId="3E21F250"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NPI</w:t>
            </w:r>
          </w:p>
        </w:tc>
        <w:tc>
          <w:tcPr>
            <w:tcW w:w="0" w:type="auto"/>
          </w:tcPr>
          <w:p w14:paraId="3759C71F"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Reported in regression</w:t>
            </w:r>
          </w:p>
        </w:tc>
        <w:tc>
          <w:tcPr>
            <w:tcW w:w="0" w:type="auto"/>
          </w:tcPr>
          <w:p w14:paraId="0A38C4DC"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Y</w:t>
            </w:r>
          </w:p>
        </w:tc>
        <w:tc>
          <w:tcPr>
            <w:tcW w:w="0" w:type="auto"/>
          </w:tcPr>
          <w:p w14:paraId="3EE4E22C"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Within the regression model having neuropsychiatric symptoms (β =−0.26, p &lt; 0.00) was significantly associated with poor EQ-5D proxy scores, but no significance with self-rated EQ-5D (β =−0.13, p &lt; 0.09)</w:t>
            </w:r>
          </w:p>
        </w:tc>
        <w:tc>
          <w:tcPr>
            <w:tcW w:w="0" w:type="auto"/>
          </w:tcPr>
          <w:p w14:paraId="6DC578F0"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n/a</w:t>
            </w:r>
          </w:p>
        </w:tc>
      </w:tr>
      <w:tr w:rsidR="00B54D51" w:rsidRPr="00037AD4" w14:paraId="4956E740" w14:textId="77777777" w:rsidTr="00401C67">
        <w:tc>
          <w:tcPr>
            <w:tcW w:w="0" w:type="auto"/>
          </w:tcPr>
          <w:p w14:paraId="4246E03F"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Garre-Olmo et al</w:t>
            </w:r>
          </w:p>
        </w:tc>
        <w:tc>
          <w:tcPr>
            <w:tcW w:w="0" w:type="auto"/>
          </w:tcPr>
          <w:p w14:paraId="34159B5E"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NPI</w:t>
            </w:r>
          </w:p>
        </w:tc>
        <w:tc>
          <w:tcPr>
            <w:tcW w:w="0" w:type="auto"/>
          </w:tcPr>
          <w:p w14:paraId="3BF62DC1"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A negative correlation was found between NPI and EQ-5D at all dementia stages, however this was only </w:t>
            </w:r>
            <w:r w:rsidRPr="00037AD4">
              <w:rPr>
                <w:rFonts w:asciiTheme="minorHAnsi" w:hAnsiTheme="minorHAnsi" w:cstheme="minorHAnsi"/>
                <w:sz w:val="22"/>
                <w:szCs w:val="22"/>
              </w:rPr>
              <w:lastRenderedPageBreak/>
              <w:t xml:space="preserve">statistically significant in mild dementia (r=-0.135, p&lt;0.05) </w:t>
            </w:r>
          </w:p>
        </w:tc>
        <w:tc>
          <w:tcPr>
            <w:tcW w:w="0" w:type="auto"/>
          </w:tcPr>
          <w:p w14:paraId="6E461F53"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lastRenderedPageBreak/>
              <w:t>Y</w:t>
            </w:r>
          </w:p>
        </w:tc>
        <w:tc>
          <w:tcPr>
            <w:tcW w:w="0" w:type="auto"/>
          </w:tcPr>
          <w:p w14:paraId="132CA7AB"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No NPI evidence reported</w:t>
            </w:r>
          </w:p>
        </w:tc>
        <w:tc>
          <w:tcPr>
            <w:tcW w:w="0" w:type="auto"/>
          </w:tcPr>
          <w:p w14:paraId="33290FFB"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n/a</w:t>
            </w:r>
          </w:p>
        </w:tc>
      </w:tr>
      <w:tr w:rsidR="00B54D51" w:rsidRPr="00037AD4" w14:paraId="50053BBE" w14:textId="77777777" w:rsidTr="00401C67">
        <w:tc>
          <w:tcPr>
            <w:tcW w:w="0" w:type="auto"/>
          </w:tcPr>
          <w:p w14:paraId="25F25EA3"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Gonzalez-Velez et al</w:t>
            </w:r>
          </w:p>
        </w:tc>
        <w:tc>
          <w:tcPr>
            <w:tcW w:w="0" w:type="auto"/>
          </w:tcPr>
          <w:p w14:paraId="5E256BA1"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CSDD</w:t>
            </w:r>
          </w:p>
        </w:tc>
        <w:tc>
          <w:tcPr>
            <w:tcW w:w="0" w:type="auto"/>
          </w:tcPr>
          <w:p w14:paraId="5C9EE637"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There was no statistically significant difference in EQ-5D index (proxy) score between known groups of depression (CSDD &lt;6 vs. CSDD &gt;6), p&gt;0.05</w:t>
            </w:r>
          </w:p>
        </w:tc>
        <w:tc>
          <w:tcPr>
            <w:tcW w:w="0" w:type="auto"/>
          </w:tcPr>
          <w:p w14:paraId="56F2A6F1"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Y</w:t>
            </w:r>
          </w:p>
        </w:tc>
        <w:tc>
          <w:tcPr>
            <w:tcW w:w="0" w:type="auto"/>
          </w:tcPr>
          <w:p w14:paraId="35FB5906"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No CSDD evidence reported</w:t>
            </w:r>
          </w:p>
        </w:tc>
        <w:tc>
          <w:tcPr>
            <w:tcW w:w="0" w:type="auto"/>
          </w:tcPr>
          <w:p w14:paraId="0692FD1F"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n/a</w:t>
            </w:r>
          </w:p>
        </w:tc>
      </w:tr>
      <w:tr w:rsidR="00B54D51" w:rsidRPr="00037AD4" w14:paraId="3EE2B26E" w14:textId="77777777" w:rsidTr="00401C67">
        <w:tc>
          <w:tcPr>
            <w:tcW w:w="0" w:type="auto"/>
          </w:tcPr>
          <w:p w14:paraId="73D1CBAD"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Haaksma et al</w:t>
            </w:r>
          </w:p>
        </w:tc>
        <w:tc>
          <w:tcPr>
            <w:tcW w:w="0" w:type="auto"/>
          </w:tcPr>
          <w:p w14:paraId="527F9C04"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NPI</w:t>
            </w:r>
          </w:p>
        </w:tc>
        <w:tc>
          <w:tcPr>
            <w:tcW w:w="0" w:type="auto"/>
          </w:tcPr>
          <w:p w14:paraId="04911C26"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EQ-5D (proxy) was significantly correlated with fewer neuropsychiatric symptoms (r=-0.258, p&lt;0.0001). One SD increase in EQ-5D was associated with a 2.41% point decrease in NPI</w:t>
            </w:r>
          </w:p>
        </w:tc>
        <w:tc>
          <w:tcPr>
            <w:tcW w:w="0" w:type="auto"/>
          </w:tcPr>
          <w:p w14:paraId="4DF19759"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w:t>
            </w:r>
          </w:p>
        </w:tc>
        <w:tc>
          <w:tcPr>
            <w:tcW w:w="0" w:type="auto"/>
          </w:tcPr>
          <w:p w14:paraId="48481E5A"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n/a</w:t>
            </w:r>
          </w:p>
        </w:tc>
        <w:tc>
          <w:tcPr>
            <w:tcW w:w="0" w:type="auto"/>
          </w:tcPr>
          <w:p w14:paraId="11C1478D"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n/a</w:t>
            </w:r>
          </w:p>
        </w:tc>
      </w:tr>
      <w:tr w:rsidR="00B54D51" w:rsidRPr="00037AD4" w14:paraId="439E62DE" w14:textId="77777777" w:rsidTr="00401C67">
        <w:tc>
          <w:tcPr>
            <w:tcW w:w="0" w:type="auto"/>
          </w:tcPr>
          <w:p w14:paraId="19E4075F" w14:textId="77777777" w:rsidR="00B54D51" w:rsidRPr="00037AD4" w:rsidRDefault="00B54D51" w:rsidP="00401C67">
            <w:pPr>
              <w:pStyle w:val="NormalWeb"/>
              <w:rPr>
                <w:rFonts w:asciiTheme="minorHAnsi" w:hAnsiTheme="minorHAnsi" w:cstheme="minorHAnsi"/>
              </w:rPr>
            </w:pPr>
            <w:r w:rsidRPr="00037AD4">
              <w:rPr>
                <w:rFonts w:asciiTheme="minorHAnsi" w:hAnsiTheme="minorHAnsi" w:cstheme="minorHAnsi"/>
                <w:sz w:val="22"/>
                <w:szCs w:val="22"/>
              </w:rPr>
              <w:t>Heßmann et al</w:t>
            </w:r>
          </w:p>
        </w:tc>
        <w:tc>
          <w:tcPr>
            <w:tcW w:w="0" w:type="auto"/>
          </w:tcPr>
          <w:p w14:paraId="5BFB8015"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NPI</w:t>
            </w:r>
          </w:p>
        </w:tc>
        <w:tc>
          <w:tcPr>
            <w:tcW w:w="0" w:type="auto"/>
          </w:tcPr>
          <w:p w14:paraId="5A6D84C9"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Negative correlation seen between NPI scores and EQ-5D index scores: proxy, r=-0.492, p&lt;0.01; self, r=-0.064, p=0.476</w:t>
            </w:r>
          </w:p>
        </w:tc>
        <w:tc>
          <w:tcPr>
            <w:tcW w:w="0" w:type="auto"/>
          </w:tcPr>
          <w:p w14:paraId="368C0716"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Y</w:t>
            </w:r>
          </w:p>
        </w:tc>
        <w:tc>
          <w:tcPr>
            <w:tcW w:w="0" w:type="auto"/>
          </w:tcPr>
          <w:p w14:paraId="34F89855"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Multivariate regression analysis found that NPI was associated with proxy rated EQ-5D (β=-0.008, p=0.002)</w:t>
            </w:r>
          </w:p>
        </w:tc>
        <w:tc>
          <w:tcPr>
            <w:tcW w:w="0" w:type="auto"/>
          </w:tcPr>
          <w:p w14:paraId="3FF8B757" w14:textId="77777777" w:rsidR="00B54D51" w:rsidRPr="00037AD4" w:rsidRDefault="00B54D51" w:rsidP="00401C67">
            <w:pPr>
              <w:rPr>
                <w:rFonts w:asciiTheme="minorHAnsi" w:hAnsiTheme="minorHAnsi" w:cstheme="minorHAnsi"/>
                <w:sz w:val="22"/>
                <w:szCs w:val="22"/>
                <w:highlight w:val="yellow"/>
              </w:rPr>
            </w:pPr>
            <w:r w:rsidRPr="00037AD4">
              <w:rPr>
                <w:rFonts w:asciiTheme="minorHAnsi" w:hAnsiTheme="minorHAnsi" w:cstheme="minorHAnsi"/>
                <w:sz w:val="22"/>
                <w:szCs w:val="22"/>
              </w:rPr>
              <w:t xml:space="preserve">No NPI evidence reported </w:t>
            </w:r>
          </w:p>
        </w:tc>
      </w:tr>
      <w:tr w:rsidR="00B54D51" w:rsidRPr="00037AD4" w14:paraId="0FFC456D" w14:textId="77777777" w:rsidTr="00401C67">
        <w:tc>
          <w:tcPr>
            <w:tcW w:w="0" w:type="auto"/>
          </w:tcPr>
          <w:p w14:paraId="2E43A575"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Heßmann et al</w:t>
            </w:r>
          </w:p>
        </w:tc>
        <w:tc>
          <w:tcPr>
            <w:tcW w:w="0" w:type="auto"/>
          </w:tcPr>
          <w:p w14:paraId="742F45EE"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GDS</w:t>
            </w:r>
          </w:p>
        </w:tc>
        <w:tc>
          <w:tcPr>
            <w:tcW w:w="0" w:type="auto"/>
          </w:tcPr>
          <w:p w14:paraId="549A9FCA"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Negative correlation between mean GDS score and EQ-5D index scores: self, r=-0.557, p&lt;0.01; proxy, r=-0.295, p&lt;0.01 </w:t>
            </w:r>
          </w:p>
        </w:tc>
        <w:tc>
          <w:tcPr>
            <w:tcW w:w="0" w:type="auto"/>
          </w:tcPr>
          <w:p w14:paraId="4AF0EA9D"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Y</w:t>
            </w:r>
          </w:p>
        </w:tc>
        <w:tc>
          <w:tcPr>
            <w:tcW w:w="0" w:type="auto"/>
          </w:tcPr>
          <w:p w14:paraId="176567E6"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Multivariate regression analysis found that GDS was associated with EQ-5D self-score (β=-0.025, p&lt;0.05)</w:t>
            </w:r>
          </w:p>
        </w:tc>
        <w:tc>
          <w:tcPr>
            <w:tcW w:w="0" w:type="auto"/>
          </w:tcPr>
          <w:p w14:paraId="284F9462"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No GDS evidence reported</w:t>
            </w:r>
          </w:p>
        </w:tc>
      </w:tr>
      <w:tr w:rsidR="00B54D51" w:rsidRPr="00037AD4" w14:paraId="67FBBDD3" w14:textId="77777777" w:rsidTr="00401C67">
        <w:tc>
          <w:tcPr>
            <w:tcW w:w="0" w:type="auto"/>
          </w:tcPr>
          <w:p w14:paraId="5C00278F"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Karlawish et al (1)</w:t>
            </w:r>
          </w:p>
        </w:tc>
        <w:tc>
          <w:tcPr>
            <w:tcW w:w="0" w:type="auto"/>
          </w:tcPr>
          <w:p w14:paraId="0CFA854D"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GDS</w:t>
            </w:r>
          </w:p>
        </w:tc>
        <w:tc>
          <w:tcPr>
            <w:tcW w:w="0" w:type="auto"/>
          </w:tcPr>
          <w:p w14:paraId="01D8811E"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Mean EQ-5D (self) decreased with increasing GDS score: 0-1, 0.886; 2-3, 0.872; 4-11, 0.695; p=0.0004</w:t>
            </w:r>
          </w:p>
        </w:tc>
        <w:tc>
          <w:tcPr>
            <w:tcW w:w="0" w:type="auto"/>
          </w:tcPr>
          <w:p w14:paraId="69DDFA78"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Y</w:t>
            </w:r>
          </w:p>
          <w:p w14:paraId="03DEABA3" w14:textId="77777777" w:rsidR="00B54D51" w:rsidRPr="00037AD4" w:rsidRDefault="00B54D51" w:rsidP="00401C67">
            <w:pPr>
              <w:rPr>
                <w:rFonts w:asciiTheme="minorHAnsi" w:hAnsiTheme="minorHAnsi" w:cstheme="minorHAnsi"/>
                <w:sz w:val="22"/>
                <w:szCs w:val="22"/>
              </w:rPr>
            </w:pPr>
          </w:p>
          <w:p w14:paraId="106B2EC3" w14:textId="77777777" w:rsidR="00B54D51" w:rsidRPr="00037AD4" w:rsidRDefault="00B54D51" w:rsidP="00401C67">
            <w:pPr>
              <w:rPr>
                <w:rFonts w:asciiTheme="minorHAnsi" w:hAnsiTheme="minorHAnsi" w:cstheme="minorHAnsi"/>
                <w:sz w:val="22"/>
                <w:szCs w:val="22"/>
              </w:rPr>
            </w:pPr>
          </w:p>
          <w:p w14:paraId="7AED9832" w14:textId="77777777" w:rsidR="00B54D51" w:rsidRPr="00037AD4" w:rsidRDefault="00B54D51" w:rsidP="00401C67">
            <w:pPr>
              <w:rPr>
                <w:rFonts w:asciiTheme="minorHAnsi" w:hAnsiTheme="minorHAnsi" w:cstheme="minorHAnsi"/>
                <w:sz w:val="22"/>
                <w:szCs w:val="22"/>
              </w:rPr>
            </w:pPr>
          </w:p>
          <w:p w14:paraId="07F4C08F" w14:textId="77777777" w:rsidR="00B54D51" w:rsidRPr="00037AD4" w:rsidRDefault="00B54D51" w:rsidP="00401C67">
            <w:pPr>
              <w:tabs>
                <w:tab w:val="left" w:pos="871"/>
              </w:tabs>
              <w:rPr>
                <w:rFonts w:asciiTheme="minorHAnsi" w:hAnsiTheme="minorHAnsi" w:cstheme="minorHAnsi"/>
                <w:sz w:val="22"/>
                <w:szCs w:val="22"/>
              </w:rPr>
            </w:pPr>
            <w:r w:rsidRPr="00037AD4">
              <w:rPr>
                <w:rFonts w:asciiTheme="minorHAnsi" w:hAnsiTheme="minorHAnsi" w:cstheme="minorHAnsi"/>
                <w:sz w:val="22"/>
                <w:szCs w:val="22"/>
              </w:rPr>
              <w:tab/>
            </w:r>
          </w:p>
        </w:tc>
        <w:tc>
          <w:tcPr>
            <w:tcW w:w="0" w:type="auto"/>
          </w:tcPr>
          <w:p w14:paraId="538BF44E"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No GDS evidence reported for EQ-5D prediction </w:t>
            </w:r>
          </w:p>
          <w:p w14:paraId="3B2843AE" w14:textId="77777777" w:rsidR="00B54D51" w:rsidRPr="00037AD4" w:rsidRDefault="00B54D51" w:rsidP="00401C67">
            <w:pPr>
              <w:rPr>
                <w:rFonts w:asciiTheme="minorHAnsi" w:hAnsiTheme="minorHAnsi" w:cstheme="minorHAnsi"/>
                <w:sz w:val="22"/>
                <w:szCs w:val="22"/>
              </w:rPr>
            </w:pPr>
          </w:p>
        </w:tc>
        <w:tc>
          <w:tcPr>
            <w:tcW w:w="0" w:type="auto"/>
          </w:tcPr>
          <w:p w14:paraId="12B940E8"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No GDS evidence reported </w:t>
            </w:r>
          </w:p>
        </w:tc>
      </w:tr>
      <w:tr w:rsidR="00B54D51" w:rsidRPr="00037AD4" w14:paraId="4243B4F6" w14:textId="77777777" w:rsidTr="00401C67">
        <w:trPr>
          <w:trHeight w:val="1846"/>
        </w:trPr>
        <w:tc>
          <w:tcPr>
            <w:tcW w:w="0" w:type="auto"/>
          </w:tcPr>
          <w:p w14:paraId="3FAE34AC"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Karlawish et al (2)</w:t>
            </w:r>
          </w:p>
        </w:tc>
        <w:tc>
          <w:tcPr>
            <w:tcW w:w="0" w:type="auto"/>
          </w:tcPr>
          <w:p w14:paraId="19278F57"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GDS</w:t>
            </w:r>
          </w:p>
        </w:tc>
        <w:tc>
          <w:tcPr>
            <w:tcW w:w="0" w:type="auto"/>
          </w:tcPr>
          <w:p w14:paraId="1DB2C2D1"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GDS evidence related to caregiver </w:t>
            </w:r>
          </w:p>
        </w:tc>
        <w:tc>
          <w:tcPr>
            <w:tcW w:w="0" w:type="auto"/>
          </w:tcPr>
          <w:p w14:paraId="6DE886F8"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Y</w:t>
            </w:r>
          </w:p>
        </w:tc>
        <w:tc>
          <w:tcPr>
            <w:tcW w:w="0" w:type="auto"/>
          </w:tcPr>
          <w:p w14:paraId="0C8EB708" w14:textId="77777777" w:rsidR="00B54D51" w:rsidRPr="00037AD4" w:rsidRDefault="00B54D51" w:rsidP="00401C67">
            <w:pPr>
              <w:rPr>
                <w:rFonts w:asciiTheme="minorHAnsi" w:hAnsiTheme="minorHAnsi" w:cstheme="minorHAnsi"/>
                <w:sz w:val="22"/>
                <w:szCs w:val="22"/>
                <w:highlight w:val="yellow"/>
              </w:rPr>
            </w:pPr>
            <w:r w:rsidRPr="00037AD4">
              <w:rPr>
                <w:rFonts w:asciiTheme="minorHAnsi" w:hAnsiTheme="minorHAnsi" w:cstheme="minorHAnsi"/>
                <w:sz w:val="22"/>
                <w:szCs w:val="22"/>
              </w:rPr>
              <w:t>No GDS evidence reported</w:t>
            </w:r>
          </w:p>
        </w:tc>
        <w:tc>
          <w:tcPr>
            <w:tcW w:w="0" w:type="auto"/>
          </w:tcPr>
          <w:p w14:paraId="5A1066C7"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n/a </w:t>
            </w:r>
          </w:p>
        </w:tc>
      </w:tr>
      <w:tr w:rsidR="00B54D51" w:rsidRPr="00037AD4" w14:paraId="77B5547F" w14:textId="77777777" w:rsidTr="00401C67">
        <w:tc>
          <w:tcPr>
            <w:tcW w:w="0" w:type="auto"/>
          </w:tcPr>
          <w:p w14:paraId="3A8224F3"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Martin et al</w:t>
            </w:r>
          </w:p>
        </w:tc>
        <w:tc>
          <w:tcPr>
            <w:tcW w:w="0" w:type="auto"/>
          </w:tcPr>
          <w:p w14:paraId="2DD0411D"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CMAI</w:t>
            </w:r>
          </w:p>
        </w:tc>
        <w:tc>
          <w:tcPr>
            <w:tcW w:w="0" w:type="auto"/>
          </w:tcPr>
          <w:p w14:paraId="295ED046"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A statistically significant relationship was observed between the self-rated </w:t>
            </w:r>
            <w:r w:rsidRPr="00037AD4">
              <w:rPr>
                <w:rFonts w:asciiTheme="minorHAnsi" w:hAnsiTheme="minorHAnsi" w:cstheme="minorHAnsi"/>
                <w:sz w:val="22"/>
                <w:szCs w:val="22"/>
              </w:rPr>
              <w:lastRenderedPageBreak/>
              <w:t>EQ-5D-5L and CMAI (rho=-0.0663, p&lt;0.05) (not for proxy rated) however the effect size was very small (8-unit increase in CMAI associated with 0.01 reduction in utility)</w:t>
            </w:r>
          </w:p>
        </w:tc>
        <w:tc>
          <w:tcPr>
            <w:tcW w:w="0" w:type="auto"/>
          </w:tcPr>
          <w:p w14:paraId="3568E5FF"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lastRenderedPageBreak/>
              <w:t>Y</w:t>
            </w:r>
          </w:p>
        </w:tc>
        <w:tc>
          <w:tcPr>
            <w:tcW w:w="0" w:type="auto"/>
          </w:tcPr>
          <w:p w14:paraId="144C35F1"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The relationship between the proxy EQ-5D-5L utility scores </w:t>
            </w:r>
            <w:r w:rsidRPr="00037AD4">
              <w:rPr>
                <w:rFonts w:asciiTheme="minorHAnsi" w:hAnsiTheme="minorHAnsi" w:cstheme="minorHAnsi"/>
                <w:sz w:val="22"/>
                <w:szCs w:val="22"/>
              </w:rPr>
              <w:lastRenderedPageBreak/>
              <w:t>and CMAI was statistically significant in regression results (empirical data not reported)</w:t>
            </w:r>
          </w:p>
        </w:tc>
        <w:tc>
          <w:tcPr>
            <w:tcW w:w="0" w:type="auto"/>
          </w:tcPr>
          <w:p w14:paraId="4ABE0AE8"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lastRenderedPageBreak/>
              <w:t>n/a</w:t>
            </w:r>
          </w:p>
        </w:tc>
      </w:tr>
      <w:tr w:rsidR="00B54D51" w:rsidRPr="00037AD4" w14:paraId="67107018" w14:textId="77777777" w:rsidTr="00401C67">
        <w:tc>
          <w:tcPr>
            <w:tcW w:w="0" w:type="auto"/>
          </w:tcPr>
          <w:p w14:paraId="027793C3"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Michalowsky et al</w:t>
            </w:r>
          </w:p>
        </w:tc>
        <w:tc>
          <w:tcPr>
            <w:tcW w:w="0" w:type="auto"/>
          </w:tcPr>
          <w:p w14:paraId="406C4AA0"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GDS</w:t>
            </w:r>
          </w:p>
        </w:tc>
        <w:tc>
          <w:tcPr>
            <w:tcW w:w="0" w:type="auto"/>
          </w:tcPr>
          <w:p w14:paraId="1577AB1B"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Correlation coefficients of &gt;0.3 were considered to indicate moderate convergent validity. GDS showed a greater degree of correlation with index scores of EQ-5D-3L (co= -0.372) than index scores than 5L (co= -0.311). In addition, both EQ-5D-5L and EQ-5D-3L were able to discriminate between groups of GDS depression states, p=0.001 for both measures</w:t>
            </w:r>
          </w:p>
        </w:tc>
        <w:tc>
          <w:tcPr>
            <w:tcW w:w="0" w:type="auto"/>
          </w:tcPr>
          <w:p w14:paraId="2AEBE029"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w:t>
            </w:r>
          </w:p>
        </w:tc>
        <w:tc>
          <w:tcPr>
            <w:tcW w:w="0" w:type="auto"/>
          </w:tcPr>
          <w:p w14:paraId="360344F6"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n/a</w:t>
            </w:r>
          </w:p>
        </w:tc>
        <w:tc>
          <w:tcPr>
            <w:tcW w:w="0" w:type="auto"/>
          </w:tcPr>
          <w:p w14:paraId="36795075"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GDS correlation coefficient with mobility (3L) = 0.310; self-care (3L) = 0.446; UA (3L) = 0.414; poor correlation with pain/discomfort; anxiety/depression (5L) = 0.317.</w:t>
            </w:r>
          </w:p>
        </w:tc>
      </w:tr>
      <w:tr w:rsidR="00B54D51" w:rsidRPr="00037AD4" w14:paraId="7F973873" w14:textId="77777777" w:rsidTr="00401C67">
        <w:tc>
          <w:tcPr>
            <w:tcW w:w="0" w:type="auto"/>
          </w:tcPr>
          <w:p w14:paraId="7CA92F84"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Naglie et al (1)</w:t>
            </w:r>
          </w:p>
        </w:tc>
        <w:tc>
          <w:tcPr>
            <w:tcW w:w="0" w:type="auto"/>
          </w:tcPr>
          <w:p w14:paraId="0190E340"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GDS</w:t>
            </w:r>
          </w:p>
        </w:tc>
        <w:tc>
          <w:tcPr>
            <w:tcW w:w="0" w:type="auto"/>
          </w:tcPr>
          <w:p w14:paraId="2E6AD150"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With increasing GDS scores, there were significantly lower mean EQ-5D (self) ratings: 0-4, 0.94; 5-10, 0.88; 11-13, 0.80; 14-30, 0.70 (p&lt;0.0001)</w:t>
            </w:r>
          </w:p>
        </w:tc>
        <w:tc>
          <w:tcPr>
            <w:tcW w:w="0" w:type="auto"/>
          </w:tcPr>
          <w:p w14:paraId="52ECB358"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Y</w:t>
            </w:r>
          </w:p>
        </w:tc>
        <w:tc>
          <w:tcPr>
            <w:tcW w:w="0" w:type="auto"/>
          </w:tcPr>
          <w:p w14:paraId="5DA90EAC"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Multiple linear regression showed that GDS score was the only consistent significant independent predictor of self-rated EQ-5D (p&lt;0.0001)</w:t>
            </w:r>
          </w:p>
        </w:tc>
        <w:tc>
          <w:tcPr>
            <w:tcW w:w="0" w:type="auto"/>
          </w:tcPr>
          <w:p w14:paraId="39A4BA98"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n/a</w:t>
            </w:r>
          </w:p>
        </w:tc>
      </w:tr>
      <w:tr w:rsidR="00B54D51" w:rsidRPr="00037AD4" w14:paraId="15CE26FE" w14:textId="77777777" w:rsidTr="00401C67">
        <w:tc>
          <w:tcPr>
            <w:tcW w:w="0" w:type="auto"/>
          </w:tcPr>
          <w:p w14:paraId="675D8ECF"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Naglie et al (1)</w:t>
            </w:r>
          </w:p>
        </w:tc>
        <w:tc>
          <w:tcPr>
            <w:tcW w:w="0" w:type="auto"/>
          </w:tcPr>
          <w:p w14:paraId="0B3C7EEF"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NPI</w:t>
            </w:r>
          </w:p>
        </w:tc>
        <w:tc>
          <w:tcPr>
            <w:tcW w:w="0" w:type="auto"/>
          </w:tcPr>
          <w:p w14:paraId="2ADE413C"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With increasing NPI scores, there were lower EQ-5D mean scores, however they were not statistically significantly different p&gt;0.05</w:t>
            </w:r>
          </w:p>
        </w:tc>
        <w:tc>
          <w:tcPr>
            <w:tcW w:w="0" w:type="auto"/>
          </w:tcPr>
          <w:p w14:paraId="2B796D4B"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Y</w:t>
            </w:r>
          </w:p>
        </w:tc>
        <w:tc>
          <w:tcPr>
            <w:tcW w:w="0" w:type="auto"/>
          </w:tcPr>
          <w:p w14:paraId="6C62AF8F"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Multiple linear regression found that NPI was not a significant predictor of EQ-5D (self) scores</w:t>
            </w:r>
          </w:p>
        </w:tc>
        <w:tc>
          <w:tcPr>
            <w:tcW w:w="0" w:type="auto"/>
          </w:tcPr>
          <w:p w14:paraId="20F5EE92"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n/a</w:t>
            </w:r>
          </w:p>
        </w:tc>
      </w:tr>
      <w:tr w:rsidR="00B54D51" w:rsidRPr="00037AD4" w14:paraId="78A0DF0D" w14:textId="77777777" w:rsidTr="00401C67">
        <w:tc>
          <w:tcPr>
            <w:tcW w:w="0" w:type="auto"/>
          </w:tcPr>
          <w:p w14:paraId="20BA8A7C"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Naglie et al (2)</w:t>
            </w:r>
          </w:p>
        </w:tc>
        <w:tc>
          <w:tcPr>
            <w:tcW w:w="0" w:type="auto"/>
          </w:tcPr>
          <w:p w14:paraId="2F5F70F8"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GDS</w:t>
            </w:r>
          </w:p>
        </w:tc>
        <w:tc>
          <w:tcPr>
            <w:tcW w:w="0" w:type="auto"/>
          </w:tcPr>
          <w:p w14:paraId="7B7D9D3A"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With increasing GDS scores, there were significantly lower mean EQ-5D (proxy) ratings: 0-10, 0.84; 11-13, 0.77; 14-20, 0.72; 21-30, 0.65 (p&lt;0.0001)</w:t>
            </w:r>
          </w:p>
        </w:tc>
        <w:tc>
          <w:tcPr>
            <w:tcW w:w="0" w:type="auto"/>
          </w:tcPr>
          <w:p w14:paraId="1D05B0AF"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Y</w:t>
            </w:r>
          </w:p>
        </w:tc>
        <w:tc>
          <w:tcPr>
            <w:tcW w:w="0" w:type="auto"/>
          </w:tcPr>
          <w:p w14:paraId="7E57F1BA"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Multiple linear regression showed that GDS was a consistent statistically significant independent predictor of proxy rated EQ-5D (p&lt;0.0001) </w:t>
            </w:r>
          </w:p>
        </w:tc>
        <w:tc>
          <w:tcPr>
            <w:tcW w:w="0" w:type="auto"/>
          </w:tcPr>
          <w:p w14:paraId="0EE169B4"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n/a</w:t>
            </w:r>
          </w:p>
        </w:tc>
      </w:tr>
      <w:tr w:rsidR="00B54D51" w:rsidRPr="00037AD4" w14:paraId="46E94B7B" w14:textId="77777777" w:rsidTr="00401C67">
        <w:tc>
          <w:tcPr>
            <w:tcW w:w="0" w:type="auto"/>
          </w:tcPr>
          <w:p w14:paraId="4E99EC8F"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lastRenderedPageBreak/>
              <w:t>Naglie et al (2)</w:t>
            </w:r>
          </w:p>
        </w:tc>
        <w:tc>
          <w:tcPr>
            <w:tcW w:w="0" w:type="auto"/>
          </w:tcPr>
          <w:p w14:paraId="02150717"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NPI</w:t>
            </w:r>
          </w:p>
        </w:tc>
        <w:tc>
          <w:tcPr>
            <w:tcW w:w="0" w:type="auto"/>
          </w:tcPr>
          <w:p w14:paraId="7BBDA85C"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With increasing NPI scores, there were significantly lower mean EQ-5D (proxy) scores: 0, 0.84; 1-6, 0.81; 7-14, 0.75; 15-73, 0.68 (p&lt;0.0001)</w:t>
            </w:r>
          </w:p>
        </w:tc>
        <w:tc>
          <w:tcPr>
            <w:tcW w:w="0" w:type="auto"/>
          </w:tcPr>
          <w:p w14:paraId="35F0DBAB"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Y</w:t>
            </w:r>
          </w:p>
        </w:tc>
        <w:tc>
          <w:tcPr>
            <w:tcW w:w="0" w:type="auto"/>
          </w:tcPr>
          <w:p w14:paraId="7427FE78"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NPI was not a statistically significant predictor of EQ-5D (proxy) scores</w:t>
            </w:r>
          </w:p>
        </w:tc>
        <w:tc>
          <w:tcPr>
            <w:tcW w:w="0" w:type="auto"/>
          </w:tcPr>
          <w:p w14:paraId="3D5A2925"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n/a</w:t>
            </w:r>
          </w:p>
        </w:tc>
      </w:tr>
      <w:tr w:rsidR="00B54D51" w:rsidRPr="00037AD4" w14:paraId="0FE773A8" w14:textId="77777777" w:rsidTr="00401C67">
        <w:tc>
          <w:tcPr>
            <w:tcW w:w="0" w:type="auto"/>
          </w:tcPr>
          <w:p w14:paraId="7F017BC1"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Orgeta et al</w:t>
            </w:r>
          </w:p>
        </w:tc>
        <w:tc>
          <w:tcPr>
            <w:tcW w:w="0" w:type="auto"/>
          </w:tcPr>
          <w:p w14:paraId="76F5A5A7"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CSDD</w:t>
            </w:r>
          </w:p>
        </w:tc>
        <w:tc>
          <w:tcPr>
            <w:tcW w:w="0" w:type="auto"/>
          </w:tcPr>
          <w:p w14:paraId="48E0F253"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Reported in regression</w:t>
            </w:r>
          </w:p>
        </w:tc>
        <w:tc>
          <w:tcPr>
            <w:tcW w:w="0" w:type="auto"/>
          </w:tcPr>
          <w:p w14:paraId="78BD4153"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Y</w:t>
            </w:r>
          </w:p>
        </w:tc>
        <w:tc>
          <w:tcPr>
            <w:tcW w:w="0" w:type="auto"/>
          </w:tcPr>
          <w:p w14:paraId="0F8011EE"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Multivariate linear regression showed that CSDD was not a significant predictor of self-rated EQ-5D (β=-0.303), but was for proxy rated EQ-5D (β=-0.132) p&lt;0.05 </w:t>
            </w:r>
          </w:p>
        </w:tc>
        <w:tc>
          <w:tcPr>
            <w:tcW w:w="0" w:type="auto"/>
          </w:tcPr>
          <w:p w14:paraId="3F3C85D8"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No CSDD evidence reported </w:t>
            </w:r>
          </w:p>
        </w:tc>
      </w:tr>
      <w:tr w:rsidR="00B54D51" w:rsidRPr="00037AD4" w14:paraId="2D1BB21D" w14:textId="77777777" w:rsidTr="00401C67">
        <w:tc>
          <w:tcPr>
            <w:tcW w:w="0" w:type="auto"/>
          </w:tcPr>
          <w:p w14:paraId="3D4CB2BF"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Schiffczyk et al</w:t>
            </w:r>
          </w:p>
        </w:tc>
        <w:tc>
          <w:tcPr>
            <w:tcW w:w="0" w:type="auto"/>
          </w:tcPr>
          <w:p w14:paraId="42722480"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GDS</w:t>
            </w:r>
          </w:p>
        </w:tc>
        <w:tc>
          <w:tcPr>
            <w:tcW w:w="0" w:type="auto"/>
          </w:tcPr>
          <w:p w14:paraId="2FEF178B"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No GDS evidence reported</w:t>
            </w:r>
          </w:p>
        </w:tc>
        <w:tc>
          <w:tcPr>
            <w:tcW w:w="0" w:type="auto"/>
          </w:tcPr>
          <w:p w14:paraId="02670F8F"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Y</w:t>
            </w:r>
          </w:p>
        </w:tc>
        <w:tc>
          <w:tcPr>
            <w:tcW w:w="0" w:type="auto"/>
          </w:tcPr>
          <w:p w14:paraId="46CC8F2E"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n/a</w:t>
            </w:r>
          </w:p>
        </w:tc>
        <w:tc>
          <w:tcPr>
            <w:tcW w:w="0" w:type="auto"/>
          </w:tcPr>
          <w:p w14:paraId="309DB453"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n/a</w:t>
            </w:r>
          </w:p>
        </w:tc>
      </w:tr>
      <w:tr w:rsidR="00B54D51" w:rsidRPr="00037AD4" w14:paraId="6544FC03" w14:textId="77777777" w:rsidTr="00401C67">
        <w:tc>
          <w:tcPr>
            <w:tcW w:w="0" w:type="auto"/>
          </w:tcPr>
          <w:p w14:paraId="1A8CD3D6"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Sheehan et al</w:t>
            </w:r>
          </w:p>
        </w:tc>
        <w:tc>
          <w:tcPr>
            <w:tcW w:w="0" w:type="auto"/>
          </w:tcPr>
          <w:p w14:paraId="27A76F4B"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GDS</w:t>
            </w:r>
          </w:p>
        </w:tc>
        <w:tc>
          <w:tcPr>
            <w:tcW w:w="0" w:type="auto"/>
          </w:tcPr>
          <w:p w14:paraId="5D654CB6"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GDS had negative correlation with EQ-5D index scores: self, r=-0.016, p=0.0814; proxy, r=-0.004, p=0.6868</w:t>
            </w:r>
          </w:p>
        </w:tc>
        <w:tc>
          <w:tcPr>
            <w:tcW w:w="0" w:type="auto"/>
          </w:tcPr>
          <w:p w14:paraId="123CD25D"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Y</w:t>
            </w:r>
          </w:p>
        </w:tc>
        <w:tc>
          <w:tcPr>
            <w:tcW w:w="0" w:type="auto"/>
          </w:tcPr>
          <w:p w14:paraId="425EF102"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Linear regression models showed that GDS was not a predictor of EQ-5D self β=-0.016, p=0.0814; or proxy β=-0.004, p=0.6868</w:t>
            </w:r>
          </w:p>
        </w:tc>
        <w:tc>
          <w:tcPr>
            <w:tcW w:w="0" w:type="auto"/>
          </w:tcPr>
          <w:p w14:paraId="4F50AE8B"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n/a</w:t>
            </w:r>
          </w:p>
        </w:tc>
      </w:tr>
      <w:tr w:rsidR="00B54D51" w:rsidRPr="00037AD4" w14:paraId="71B02FEB" w14:textId="77777777" w:rsidTr="00401C67">
        <w:tc>
          <w:tcPr>
            <w:tcW w:w="0" w:type="auto"/>
          </w:tcPr>
          <w:p w14:paraId="2284E00D"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Trigg et al</w:t>
            </w:r>
          </w:p>
        </w:tc>
        <w:tc>
          <w:tcPr>
            <w:tcW w:w="0" w:type="auto"/>
          </w:tcPr>
          <w:p w14:paraId="5E9407D8"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NPI</w:t>
            </w:r>
          </w:p>
        </w:tc>
        <w:tc>
          <w:tcPr>
            <w:tcW w:w="0" w:type="auto"/>
          </w:tcPr>
          <w:p w14:paraId="6FFDE15A" w14:textId="77777777" w:rsidR="00B54D51" w:rsidRPr="00037AD4" w:rsidRDefault="00B54D51" w:rsidP="00401C67">
            <w:pPr>
              <w:tabs>
                <w:tab w:val="left" w:pos="1189"/>
              </w:tabs>
              <w:rPr>
                <w:rFonts w:asciiTheme="minorHAnsi" w:hAnsiTheme="minorHAnsi" w:cstheme="minorHAnsi"/>
                <w:sz w:val="22"/>
                <w:szCs w:val="22"/>
              </w:rPr>
            </w:pPr>
            <w:r w:rsidRPr="00037AD4">
              <w:rPr>
                <w:rFonts w:asciiTheme="minorHAnsi" w:hAnsiTheme="minorHAnsi" w:cstheme="minorHAnsi"/>
                <w:sz w:val="22"/>
                <w:szCs w:val="22"/>
              </w:rPr>
              <w:t>No significant association between changes on NPI and changes on EQ-5D: self, r=0.09 or proxy r=-0.05; p&gt;0.05</w:t>
            </w:r>
          </w:p>
        </w:tc>
        <w:tc>
          <w:tcPr>
            <w:tcW w:w="0" w:type="auto"/>
          </w:tcPr>
          <w:p w14:paraId="79BB2B82"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Y</w:t>
            </w:r>
          </w:p>
        </w:tc>
        <w:tc>
          <w:tcPr>
            <w:tcW w:w="0" w:type="auto"/>
          </w:tcPr>
          <w:p w14:paraId="1C811722"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Multiple linear regression showed that NPI change did not account for EQ-5D (self) scores</w:t>
            </w:r>
          </w:p>
        </w:tc>
        <w:tc>
          <w:tcPr>
            <w:tcW w:w="0" w:type="auto"/>
          </w:tcPr>
          <w:p w14:paraId="1F614566"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n/a</w:t>
            </w:r>
          </w:p>
        </w:tc>
      </w:tr>
      <w:tr w:rsidR="00B54D51" w:rsidRPr="00037AD4" w14:paraId="6B0F903F" w14:textId="77777777" w:rsidTr="00401C67">
        <w:tc>
          <w:tcPr>
            <w:tcW w:w="0" w:type="auto"/>
          </w:tcPr>
          <w:p w14:paraId="0F2B50B9"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van de Beek et al</w:t>
            </w:r>
          </w:p>
        </w:tc>
        <w:tc>
          <w:tcPr>
            <w:tcW w:w="0" w:type="auto"/>
          </w:tcPr>
          <w:p w14:paraId="0BC4708C"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GDS</w:t>
            </w:r>
          </w:p>
        </w:tc>
        <w:tc>
          <w:tcPr>
            <w:tcW w:w="0" w:type="auto"/>
          </w:tcPr>
          <w:p w14:paraId="0A1E6C33"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Reported in regression </w:t>
            </w:r>
          </w:p>
        </w:tc>
        <w:tc>
          <w:tcPr>
            <w:tcW w:w="0" w:type="auto"/>
          </w:tcPr>
          <w:p w14:paraId="4C29A2FD"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Y</w:t>
            </w:r>
          </w:p>
        </w:tc>
        <w:tc>
          <w:tcPr>
            <w:tcW w:w="0" w:type="auto"/>
          </w:tcPr>
          <w:p w14:paraId="745EA22B"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In multivariate models with backward selection, GDS remained an independent determinant of EQ-5D (self) score (±SE = -3.7 ± 0.4, p &lt; 0.001)</w:t>
            </w:r>
          </w:p>
        </w:tc>
        <w:tc>
          <w:tcPr>
            <w:tcW w:w="0" w:type="auto"/>
          </w:tcPr>
          <w:p w14:paraId="6D8038CA"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n/a</w:t>
            </w:r>
          </w:p>
        </w:tc>
      </w:tr>
      <w:tr w:rsidR="00B54D51" w:rsidRPr="00037AD4" w14:paraId="576E2B75" w14:textId="77777777" w:rsidTr="00401C67">
        <w:tc>
          <w:tcPr>
            <w:tcW w:w="0" w:type="auto"/>
          </w:tcPr>
          <w:p w14:paraId="4F1DAC42"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 xml:space="preserve">van de Beek et al </w:t>
            </w:r>
          </w:p>
        </w:tc>
        <w:tc>
          <w:tcPr>
            <w:tcW w:w="0" w:type="auto"/>
          </w:tcPr>
          <w:p w14:paraId="4066450E"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NPI</w:t>
            </w:r>
          </w:p>
        </w:tc>
        <w:tc>
          <w:tcPr>
            <w:tcW w:w="0" w:type="auto"/>
          </w:tcPr>
          <w:p w14:paraId="2E740533"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NPI subscales only: presence of depression and anxiety on NPI were associated with lower EQ-5D (self) scores (depression ±SE =-5.6 ± 2.5, p&lt;0.05; anxiety ±SE =-5.4±2.6, p&lt;0.05)</w:t>
            </w:r>
          </w:p>
        </w:tc>
        <w:tc>
          <w:tcPr>
            <w:tcW w:w="0" w:type="auto"/>
          </w:tcPr>
          <w:p w14:paraId="33F84A92"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Y</w:t>
            </w:r>
          </w:p>
        </w:tc>
        <w:tc>
          <w:tcPr>
            <w:tcW w:w="0" w:type="auto"/>
          </w:tcPr>
          <w:p w14:paraId="5751A319"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Multivariate models showed that NPI was not a significant predictor of EQ-5D (self) scores</w:t>
            </w:r>
          </w:p>
        </w:tc>
        <w:tc>
          <w:tcPr>
            <w:tcW w:w="0" w:type="auto"/>
          </w:tcPr>
          <w:p w14:paraId="71EACAAC"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n/a</w:t>
            </w:r>
          </w:p>
        </w:tc>
      </w:tr>
      <w:tr w:rsidR="00B54D51" w:rsidRPr="00037AD4" w14:paraId="65CBD200" w14:textId="77777777" w:rsidTr="00401C67">
        <w:tc>
          <w:tcPr>
            <w:tcW w:w="0" w:type="auto"/>
          </w:tcPr>
          <w:p w14:paraId="388614D3"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lastRenderedPageBreak/>
              <w:t>Vogel et al</w:t>
            </w:r>
          </w:p>
        </w:tc>
        <w:tc>
          <w:tcPr>
            <w:tcW w:w="0" w:type="auto"/>
          </w:tcPr>
          <w:p w14:paraId="0AD9BD05"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GDS</w:t>
            </w:r>
          </w:p>
        </w:tc>
        <w:tc>
          <w:tcPr>
            <w:tcW w:w="0" w:type="auto"/>
          </w:tcPr>
          <w:p w14:paraId="5E351E8A"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No GDS evidence reported</w:t>
            </w:r>
          </w:p>
        </w:tc>
        <w:tc>
          <w:tcPr>
            <w:tcW w:w="0" w:type="auto"/>
          </w:tcPr>
          <w:p w14:paraId="36E1770A"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no</w:t>
            </w:r>
          </w:p>
        </w:tc>
        <w:tc>
          <w:tcPr>
            <w:tcW w:w="0" w:type="auto"/>
          </w:tcPr>
          <w:p w14:paraId="02A08B7C"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n/a</w:t>
            </w:r>
          </w:p>
        </w:tc>
        <w:tc>
          <w:tcPr>
            <w:tcW w:w="0" w:type="auto"/>
          </w:tcPr>
          <w:p w14:paraId="6413C725" w14:textId="77777777" w:rsidR="00B54D51" w:rsidRPr="00037AD4" w:rsidRDefault="00B54D51" w:rsidP="00401C67">
            <w:pPr>
              <w:rPr>
                <w:rFonts w:asciiTheme="minorHAnsi" w:hAnsiTheme="minorHAnsi" w:cstheme="minorHAnsi"/>
                <w:sz w:val="22"/>
                <w:szCs w:val="22"/>
              </w:rPr>
            </w:pPr>
            <w:r w:rsidRPr="00037AD4">
              <w:rPr>
                <w:rFonts w:asciiTheme="minorHAnsi" w:hAnsiTheme="minorHAnsi" w:cstheme="minorHAnsi"/>
                <w:sz w:val="22"/>
                <w:szCs w:val="22"/>
              </w:rPr>
              <w:t>n/a</w:t>
            </w:r>
          </w:p>
        </w:tc>
      </w:tr>
    </w:tbl>
    <w:p w14:paraId="574428A2" w14:textId="77777777" w:rsidR="00B54D51" w:rsidRPr="00037AD4" w:rsidRDefault="00B54D51" w:rsidP="001D7ACE">
      <w:pPr>
        <w:rPr>
          <w:rFonts w:asciiTheme="minorHAnsi" w:hAnsiTheme="minorHAnsi" w:cstheme="minorHAnsi"/>
          <w:b/>
          <w:bCs/>
          <w:u w:val="single"/>
        </w:rPr>
      </w:pPr>
    </w:p>
    <w:p w14:paraId="6CD7B87F" w14:textId="77777777" w:rsidR="00B54D51" w:rsidRPr="00037AD4" w:rsidRDefault="00B54D51" w:rsidP="001D7ACE">
      <w:pPr>
        <w:rPr>
          <w:rFonts w:asciiTheme="minorHAnsi" w:hAnsiTheme="minorHAnsi" w:cstheme="minorHAnsi"/>
          <w:b/>
          <w:bCs/>
          <w:u w:val="single"/>
        </w:rPr>
      </w:pPr>
    </w:p>
    <w:p w14:paraId="2ACDE4B0" w14:textId="77777777" w:rsidR="00B54D51" w:rsidRPr="00037AD4" w:rsidRDefault="00B54D51" w:rsidP="001D7ACE">
      <w:pPr>
        <w:rPr>
          <w:rFonts w:asciiTheme="minorHAnsi" w:hAnsiTheme="minorHAnsi" w:cstheme="minorHAnsi"/>
          <w:b/>
          <w:bCs/>
          <w:u w:val="single"/>
        </w:rPr>
      </w:pPr>
    </w:p>
    <w:p w14:paraId="37CAF3DA" w14:textId="77777777" w:rsidR="00B54D51" w:rsidRPr="00037AD4" w:rsidRDefault="00B54D51" w:rsidP="001D7ACE">
      <w:pPr>
        <w:rPr>
          <w:rFonts w:asciiTheme="minorHAnsi" w:hAnsiTheme="minorHAnsi" w:cstheme="minorHAnsi"/>
          <w:b/>
          <w:bCs/>
          <w:u w:val="single"/>
        </w:rPr>
      </w:pPr>
    </w:p>
    <w:p w14:paraId="7FF9C9B5" w14:textId="77777777" w:rsidR="00B54D51" w:rsidRPr="00037AD4" w:rsidRDefault="00B54D51" w:rsidP="001D7ACE">
      <w:pPr>
        <w:rPr>
          <w:rFonts w:asciiTheme="minorHAnsi" w:hAnsiTheme="minorHAnsi" w:cstheme="minorHAnsi"/>
          <w:b/>
          <w:bCs/>
          <w:u w:val="single"/>
        </w:rPr>
      </w:pPr>
    </w:p>
    <w:p w14:paraId="2CBC2AF4" w14:textId="77777777" w:rsidR="00B54D51" w:rsidRPr="00037AD4" w:rsidRDefault="00B54D51" w:rsidP="001D7ACE">
      <w:pPr>
        <w:rPr>
          <w:rFonts w:asciiTheme="minorHAnsi" w:hAnsiTheme="minorHAnsi" w:cstheme="minorHAnsi"/>
          <w:b/>
          <w:bCs/>
          <w:u w:val="single"/>
        </w:rPr>
      </w:pPr>
    </w:p>
    <w:p w14:paraId="49C89268" w14:textId="77777777" w:rsidR="00B54D51" w:rsidRPr="00037AD4" w:rsidRDefault="00B54D51" w:rsidP="001D7ACE">
      <w:pPr>
        <w:rPr>
          <w:rFonts w:asciiTheme="minorHAnsi" w:hAnsiTheme="minorHAnsi" w:cstheme="minorHAnsi"/>
          <w:b/>
          <w:bCs/>
          <w:u w:val="single"/>
        </w:rPr>
      </w:pPr>
    </w:p>
    <w:p w14:paraId="2EA5695D" w14:textId="77777777" w:rsidR="00B54D51" w:rsidRPr="00037AD4" w:rsidRDefault="00B54D51" w:rsidP="001D7ACE">
      <w:pPr>
        <w:rPr>
          <w:rFonts w:asciiTheme="minorHAnsi" w:hAnsiTheme="minorHAnsi" w:cstheme="minorHAnsi"/>
          <w:b/>
          <w:bCs/>
          <w:u w:val="single"/>
        </w:rPr>
      </w:pPr>
    </w:p>
    <w:p w14:paraId="1AC7D680" w14:textId="77777777" w:rsidR="00B54D51" w:rsidRPr="00037AD4" w:rsidRDefault="00B54D51" w:rsidP="001D7ACE">
      <w:pPr>
        <w:rPr>
          <w:rFonts w:asciiTheme="minorHAnsi" w:hAnsiTheme="minorHAnsi" w:cstheme="minorHAnsi"/>
          <w:b/>
          <w:bCs/>
          <w:u w:val="single"/>
        </w:rPr>
      </w:pPr>
    </w:p>
    <w:p w14:paraId="7F7CAB70" w14:textId="77777777" w:rsidR="00B54D51" w:rsidRPr="00037AD4" w:rsidRDefault="00B54D51" w:rsidP="001D7ACE">
      <w:pPr>
        <w:rPr>
          <w:rFonts w:asciiTheme="minorHAnsi" w:hAnsiTheme="minorHAnsi" w:cstheme="minorHAnsi"/>
          <w:b/>
          <w:bCs/>
          <w:u w:val="single"/>
        </w:rPr>
      </w:pPr>
    </w:p>
    <w:p w14:paraId="6CC9D7B4" w14:textId="77777777" w:rsidR="00B54D51" w:rsidRPr="00037AD4" w:rsidRDefault="00B54D51" w:rsidP="001D7ACE">
      <w:pPr>
        <w:rPr>
          <w:rFonts w:asciiTheme="minorHAnsi" w:hAnsiTheme="minorHAnsi" w:cstheme="minorHAnsi"/>
          <w:b/>
          <w:bCs/>
          <w:u w:val="single"/>
        </w:rPr>
      </w:pPr>
    </w:p>
    <w:p w14:paraId="16650383" w14:textId="77777777" w:rsidR="00B54D51" w:rsidRPr="00037AD4" w:rsidRDefault="00B54D51" w:rsidP="001D7ACE">
      <w:pPr>
        <w:rPr>
          <w:rFonts w:asciiTheme="minorHAnsi" w:hAnsiTheme="minorHAnsi" w:cstheme="minorHAnsi"/>
          <w:b/>
          <w:bCs/>
          <w:u w:val="single"/>
        </w:rPr>
        <w:sectPr w:rsidR="00B54D51" w:rsidRPr="00037AD4" w:rsidSect="0051675A">
          <w:pgSz w:w="16838" w:h="11906" w:orient="landscape"/>
          <w:pgMar w:top="1440" w:right="1440" w:bottom="1440" w:left="1440" w:header="708" w:footer="708" w:gutter="0"/>
          <w:cols w:space="708"/>
          <w:docGrid w:linePitch="360"/>
        </w:sectPr>
      </w:pPr>
    </w:p>
    <w:p w14:paraId="3C447A74" w14:textId="77777777" w:rsidR="00B54D51" w:rsidRPr="00037AD4" w:rsidRDefault="00B54D51" w:rsidP="007A43F9">
      <w:pPr>
        <w:pStyle w:val="Heading2"/>
      </w:pPr>
      <w:bookmarkStart w:id="485" w:name="A4"/>
      <w:bookmarkStart w:id="486" w:name="_Toc175742405"/>
      <w:r w:rsidRPr="00037AD4">
        <w:lastRenderedPageBreak/>
        <w:t>Appendix 4 Overview of the trials from which data has been acquired</w:t>
      </w:r>
      <w:bookmarkEnd w:id="486"/>
    </w:p>
    <w:bookmarkEnd w:id="485"/>
    <w:p w14:paraId="2A1A8105" w14:textId="77777777" w:rsidR="00B54D51" w:rsidRPr="00037AD4" w:rsidRDefault="00B54D51" w:rsidP="001D7ACE">
      <w:pPr>
        <w:rPr>
          <w:rFonts w:asciiTheme="minorHAnsi" w:hAnsiTheme="minorHAnsi" w:cstheme="minorHAnsi"/>
          <w:b/>
          <w:bCs/>
          <w:u w:val="single"/>
        </w:rPr>
      </w:pPr>
    </w:p>
    <w:p w14:paraId="55D45E3A" w14:textId="77777777" w:rsidR="00B54D51" w:rsidRPr="00037AD4" w:rsidRDefault="00B54D51" w:rsidP="001D7ACE">
      <w:pPr>
        <w:rPr>
          <w:rFonts w:asciiTheme="minorHAnsi" w:hAnsiTheme="minorHAnsi" w:cstheme="minorHAnsi"/>
          <w:b/>
          <w:bCs/>
          <w:u w:val="single"/>
        </w:rPr>
      </w:pPr>
      <w:r w:rsidRPr="00037AD4">
        <w:rPr>
          <w:rFonts w:asciiTheme="minorHAnsi" w:hAnsiTheme="minorHAnsi" w:cstheme="minorHAnsi"/>
          <w:b/>
          <w:bCs/>
          <w:u w:val="single"/>
        </w:rPr>
        <w:t>4A) REMinisence groups for people with dementia and their family CAREgivers (REMCARE) trial summary</w:t>
      </w:r>
    </w:p>
    <w:p w14:paraId="4F2FC6DD" w14:textId="77777777" w:rsidR="00B54D51" w:rsidRPr="00037AD4" w:rsidRDefault="00B54D51" w:rsidP="001D7ACE">
      <w:pPr>
        <w:rPr>
          <w:rFonts w:asciiTheme="minorHAnsi" w:hAnsiTheme="minorHAnsi" w:cstheme="minorHAnsi"/>
        </w:rPr>
      </w:pPr>
    </w:p>
    <w:p w14:paraId="76ECE66C" w14:textId="77777777" w:rsidR="00B54D51" w:rsidRPr="00037AD4" w:rsidRDefault="00B54D51" w:rsidP="001D7ACE">
      <w:pPr>
        <w:rPr>
          <w:rFonts w:asciiTheme="minorHAnsi" w:hAnsiTheme="minorHAnsi" w:cstheme="minorHAnsi"/>
        </w:rPr>
      </w:pPr>
      <w:r w:rsidRPr="00037AD4">
        <w:rPr>
          <w:rFonts w:asciiTheme="minorHAnsi" w:hAnsiTheme="minorHAnsi" w:cstheme="minorHAnsi"/>
        </w:rPr>
        <w:t xml:space="preserve">The REMCARE trial (ISRCTN42430123) took place across eight UK sites in Bangor, Bradford, London, Manchester, Newport, and Hull. The funding for the study was provided by the HTA programme of the NIHR </w:t>
      </w:r>
      <w:r>
        <w:rPr>
          <w:rFonts w:asciiTheme="minorHAnsi" w:hAnsiTheme="minorHAnsi" w:cstheme="minorHAnsi"/>
          <w:noProof/>
        </w:rPr>
        <w:t>(Woods et al., 2012)</w:t>
      </w:r>
      <w:r w:rsidRPr="00037AD4">
        <w:rPr>
          <w:rFonts w:asciiTheme="minorHAnsi" w:hAnsiTheme="minorHAnsi" w:cstheme="minorHAnsi"/>
        </w:rPr>
        <w:t>.</w:t>
      </w:r>
    </w:p>
    <w:p w14:paraId="7950AAC7" w14:textId="77777777" w:rsidR="00B54D51" w:rsidRPr="00037AD4" w:rsidRDefault="00B54D51" w:rsidP="001D7ACE">
      <w:pPr>
        <w:rPr>
          <w:rFonts w:asciiTheme="minorHAnsi" w:hAnsiTheme="minorHAnsi" w:cstheme="minorHAnsi"/>
        </w:rPr>
      </w:pPr>
    </w:p>
    <w:p w14:paraId="26B483B7" w14:textId="77777777" w:rsidR="00B54D51" w:rsidRPr="00037AD4" w:rsidRDefault="00B54D51" w:rsidP="001D7ACE">
      <w:pPr>
        <w:rPr>
          <w:rFonts w:asciiTheme="minorHAnsi" w:hAnsiTheme="minorHAnsi" w:cstheme="minorHAnsi"/>
        </w:rPr>
      </w:pPr>
      <w:r w:rsidRPr="00037AD4">
        <w:rPr>
          <w:rFonts w:asciiTheme="minorHAnsi" w:hAnsiTheme="minorHAnsi" w:cstheme="minorHAnsi"/>
        </w:rPr>
        <w:t xml:space="preserve">The REMCARE study team aimed to explore whether reminiscence groups with PwD and caregivers together, followed by reminiscence-based maintenance was a (cost) effective strategy in improving the QoL of PwD and in reducing stress for their caregivers, compared to usual care alone. </w:t>
      </w:r>
    </w:p>
    <w:p w14:paraId="762DBAD9" w14:textId="77777777" w:rsidR="00B54D51" w:rsidRPr="00037AD4" w:rsidRDefault="00B54D51" w:rsidP="001D7ACE">
      <w:pPr>
        <w:rPr>
          <w:rFonts w:asciiTheme="minorHAnsi" w:hAnsiTheme="minorHAnsi" w:cstheme="minorHAnsi"/>
        </w:rPr>
      </w:pPr>
    </w:p>
    <w:p w14:paraId="53661FF3" w14:textId="77777777" w:rsidR="00B54D51" w:rsidRPr="00037AD4" w:rsidRDefault="00B54D51" w:rsidP="001D7ACE">
      <w:pPr>
        <w:rPr>
          <w:rFonts w:asciiTheme="minorHAnsi" w:hAnsiTheme="minorHAnsi" w:cstheme="minorHAnsi"/>
          <w:u w:val="single"/>
        </w:rPr>
      </w:pPr>
      <w:r w:rsidRPr="00037AD4">
        <w:rPr>
          <w:rFonts w:asciiTheme="minorHAnsi" w:hAnsiTheme="minorHAnsi" w:cstheme="minorHAnsi"/>
          <w:u w:val="single"/>
        </w:rPr>
        <w:t xml:space="preserve">4A1) REMCARE intervention and trial design </w:t>
      </w:r>
    </w:p>
    <w:p w14:paraId="0FE496B4" w14:textId="77777777" w:rsidR="00B54D51" w:rsidRPr="00037AD4" w:rsidRDefault="00B54D51" w:rsidP="001D7ACE">
      <w:pPr>
        <w:rPr>
          <w:rFonts w:asciiTheme="minorHAnsi" w:hAnsiTheme="minorHAnsi" w:cstheme="minorHAnsi"/>
          <w:b/>
          <w:bCs/>
          <w:u w:val="single"/>
        </w:rPr>
      </w:pPr>
    </w:p>
    <w:p w14:paraId="4F7640AB" w14:textId="77777777" w:rsidR="00B54D51" w:rsidRPr="00037AD4" w:rsidRDefault="00B54D51" w:rsidP="001D7ACE">
      <w:pPr>
        <w:rPr>
          <w:rFonts w:asciiTheme="minorHAnsi" w:hAnsiTheme="minorHAnsi" w:cstheme="minorHAnsi"/>
        </w:rPr>
      </w:pPr>
      <w:r w:rsidRPr="00037AD4">
        <w:rPr>
          <w:rFonts w:asciiTheme="minorHAnsi" w:hAnsiTheme="minorHAnsi" w:cstheme="minorHAnsi"/>
        </w:rPr>
        <w:t xml:space="preserve">The intervention consisted of joint reminiscence groups that were held weekly for twelve consecutive weeks, followed by maintenance sessions received monthly for seven additional months. </w:t>
      </w:r>
    </w:p>
    <w:p w14:paraId="069BD2B1" w14:textId="77777777" w:rsidR="00B54D51" w:rsidRPr="00037AD4" w:rsidRDefault="00B54D51" w:rsidP="001D7ACE">
      <w:pPr>
        <w:rPr>
          <w:rFonts w:asciiTheme="minorHAnsi" w:hAnsiTheme="minorHAnsi" w:cstheme="minorHAnsi"/>
        </w:rPr>
      </w:pPr>
    </w:p>
    <w:p w14:paraId="22EE795D" w14:textId="77777777" w:rsidR="00B54D51" w:rsidRPr="00037AD4" w:rsidRDefault="00B54D51" w:rsidP="001D7ACE">
      <w:pPr>
        <w:rPr>
          <w:rFonts w:asciiTheme="minorHAnsi" w:hAnsiTheme="minorHAnsi" w:cstheme="minorHAnsi"/>
        </w:rPr>
      </w:pPr>
      <w:r w:rsidRPr="00037AD4">
        <w:rPr>
          <w:rFonts w:asciiTheme="minorHAnsi" w:hAnsiTheme="minorHAnsi" w:cstheme="minorHAnsi"/>
        </w:rPr>
        <w:t xml:space="preserve">Sessions were held in social settings (i.e., community centres and museums), lasting two hours and had different themes each week including: childhood and schooldays, working life, marriage, and holidays. Participant dyads (the PwD and their caregiver) would bring materials into the sessions such as photographs, recordings, music, and sentimental belongings. Sessions would involve activities such as cooking, art, signing, oral reminiscence and re-enactment of memories in groups. Sessions were guided by group facilitators and volunteers – the participation of the PwD was central. </w:t>
      </w:r>
    </w:p>
    <w:p w14:paraId="31B2ACF1" w14:textId="77777777" w:rsidR="00B54D51" w:rsidRPr="00037AD4" w:rsidRDefault="00B54D51" w:rsidP="001D7ACE">
      <w:pPr>
        <w:rPr>
          <w:rFonts w:asciiTheme="minorHAnsi" w:hAnsiTheme="minorHAnsi" w:cstheme="minorHAnsi"/>
          <w:u w:val="single"/>
        </w:rPr>
      </w:pPr>
    </w:p>
    <w:p w14:paraId="2EA17052" w14:textId="77777777" w:rsidR="00B54D51" w:rsidRPr="00037AD4" w:rsidRDefault="00B54D51" w:rsidP="001D7ACE">
      <w:pPr>
        <w:rPr>
          <w:rFonts w:asciiTheme="minorHAnsi" w:hAnsiTheme="minorHAnsi" w:cstheme="minorHAnsi"/>
        </w:rPr>
      </w:pPr>
      <w:r w:rsidRPr="00037AD4">
        <w:rPr>
          <w:rFonts w:asciiTheme="minorHAnsi" w:hAnsiTheme="minorHAnsi" w:cstheme="minorHAnsi"/>
        </w:rPr>
        <w:t>The REMCARE trial was designed as a multi-centre, pragmatic randomised controlled trial with eight-centres. There were two parallel arms: an intervention group and a control group that received usual care. After baseline assessments, PwD and caregiver dyads were randomised to one of the two trial arms. Primary and secondary measures were completed at baseline, 3 months after baseline (1</w:t>
      </w:r>
      <w:r w:rsidRPr="00037AD4">
        <w:rPr>
          <w:rFonts w:asciiTheme="minorHAnsi" w:hAnsiTheme="minorHAnsi" w:cstheme="minorHAnsi"/>
          <w:vertAlign w:val="superscript"/>
        </w:rPr>
        <w:t>st</w:t>
      </w:r>
      <w:r w:rsidRPr="00037AD4">
        <w:rPr>
          <w:rFonts w:asciiTheme="minorHAnsi" w:hAnsiTheme="minorHAnsi" w:cstheme="minorHAnsi"/>
        </w:rPr>
        <w:t xml:space="preserve"> follow-up – after the completion of the weekly joint reminiscence sessions) and 10 months after baseline (2</w:t>
      </w:r>
      <w:r w:rsidRPr="00037AD4">
        <w:rPr>
          <w:rFonts w:asciiTheme="minorHAnsi" w:hAnsiTheme="minorHAnsi" w:cstheme="minorHAnsi"/>
          <w:vertAlign w:val="superscript"/>
        </w:rPr>
        <w:t>nd</w:t>
      </w:r>
      <w:r w:rsidRPr="00037AD4">
        <w:rPr>
          <w:rFonts w:asciiTheme="minorHAnsi" w:hAnsiTheme="minorHAnsi" w:cstheme="minorHAnsi"/>
        </w:rPr>
        <w:t xml:space="preserve"> follow-up and primary end point – after the final monthly maintenance session). </w:t>
      </w:r>
    </w:p>
    <w:p w14:paraId="025EBA4E" w14:textId="77777777" w:rsidR="00B54D51" w:rsidRPr="00037AD4" w:rsidRDefault="00B54D51" w:rsidP="001D7ACE">
      <w:pPr>
        <w:rPr>
          <w:rFonts w:asciiTheme="minorHAnsi" w:hAnsiTheme="minorHAnsi" w:cstheme="minorHAnsi"/>
        </w:rPr>
      </w:pPr>
    </w:p>
    <w:p w14:paraId="071E04E0" w14:textId="77777777" w:rsidR="00B54D51" w:rsidRPr="00037AD4" w:rsidRDefault="00B54D51" w:rsidP="001D7ACE">
      <w:pPr>
        <w:rPr>
          <w:rFonts w:asciiTheme="minorHAnsi" w:hAnsiTheme="minorHAnsi" w:cstheme="minorHAnsi"/>
        </w:rPr>
      </w:pPr>
      <w:r w:rsidRPr="00037AD4">
        <w:rPr>
          <w:rFonts w:asciiTheme="minorHAnsi" w:hAnsiTheme="minorHAnsi" w:cstheme="minorHAnsi"/>
        </w:rPr>
        <w:t xml:space="preserve">Intention-to-treat analysis was used; therefore, all available data was included. Ten months post randomisation was the primary endpoint for evaluating intervention effectiveness. </w:t>
      </w:r>
    </w:p>
    <w:p w14:paraId="25ADC43E" w14:textId="77777777" w:rsidR="00B54D51" w:rsidRPr="00037AD4" w:rsidRDefault="00B54D51" w:rsidP="001D7ACE">
      <w:pPr>
        <w:rPr>
          <w:rFonts w:asciiTheme="minorHAnsi" w:hAnsiTheme="minorHAnsi" w:cstheme="minorHAnsi"/>
          <w:b/>
          <w:bCs/>
          <w:u w:val="single"/>
        </w:rPr>
      </w:pPr>
    </w:p>
    <w:p w14:paraId="164E5835" w14:textId="77777777" w:rsidR="00B54D51" w:rsidRPr="00037AD4" w:rsidRDefault="00B54D51" w:rsidP="001D7ACE">
      <w:pPr>
        <w:rPr>
          <w:rFonts w:asciiTheme="minorHAnsi" w:hAnsiTheme="minorHAnsi" w:cstheme="minorHAnsi"/>
          <w:u w:val="single"/>
        </w:rPr>
      </w:pPr>
      <w:r w:rsidRPr="00037AD4">
        <w:rPr>
          <w:rFonts w:asciiTheme="minorHAnsi" w:hAnsiTheme="minorHAnsi" w:cstheme="minorHAnsi"/>
          <w:u w:val="single"/>
        </w:rPr>
        <w:t xml:space="preserve">4A2) Study recruitment </w:t>
      </w:r>
    </w:p>
    <w:p w14:paraId="569A9DBD" w14:textId="77777777" w:rsidR="00B54D51" w:rsidRPr="00037AD4" w:rsidRDefault="00B54D51" w:rsidP="001D7ACE">
      <w:pPr>
        <w:rPr>
          <w:rFonts w:asciiTheme="minorHAnsi" w:hAnsiTheme="minorHAnsi" w:cstheme="minorHAnsi"/>
          <w:b/>
          <w:bCs/>
          <w:u w:val="single"/>
        </w:rPr>
      </w:pPr>
    </w:p>
    <w:p w14:paraId="04A251DD" w14:textId="77777777" w:rsidR="00B54D51" w:rsidRPr="00037AD4" w:rsidRDefault="00B54D51" w:rsidP="001D7ACE">
      <w:pPr>
        <w:rPr>
          <w:rFonts w:asciiTheme="minorHAnsi" w:hAnsiTheme="minorHAnsi" w:cstheme="minorHAnsi"/>
        </w:rPr>
      </w:pPr>
      <w:r w:rsidRPr="00037AD4">
        <w:rPr>
          <w:rFonts w:asciiTheme="minorHAnsi" w:hAnsiTheme="minorHAnsi" w:cstheme="minorHAnsi"/>
        </w:rPr>
        <w:t xml:space="preserve">Recruitment took place between June 2008 – July 2010. Participants were recruited via mental health services for older people in each area i.e., memory clinics, and via day services and the voluntary sector i.e., Alzheimer’s Society. People with (any type of) dementia at the mild-to-moderate stage and were community dwelling at the time of recruitment were eligible for the trial. </w:t>
      </w:r>
    </w:p>
    <w:p w14:paraId="622B402F" w14:textId="77777777" w:rsidR="00B54D51" w:rsidRPr="00037AD4" w:rsidRDefault="00B54D51" w:rsidP="001D7ACE">
      <w:pPr>
        <w:rPr>
          <w:rFonts w:asciiTheme="minorHAnsi" w:hAnsiTheme="minorHAnsi" w:cstheme="minorHAnsi"/>
        </w:rPr>
      </w:pPr>
    </w:p>
    <w:p w14:paraId="304A2E0E" w14:textId="77777777" w:rsidR="00B54D51" w:rsidRPr="00037AD4" w:rsidRDefault="00B54D51" w:rsidP="001D7ACE">
      <w:pPr>
        <w:ind w:firstLine="720"/>
        <w:rPr>
          <w:rFonts w:asciiTheme="minorHAnsi" w:hAnsiTheme="minorHAnsi" w:cstheme="minorHAnsi"/>
          <w:u w:val="single"/>
        </w:rPr>
      </w:pPr>
      <w:r w:rsidRPr="00037AD4">
        <w:rPr>
          <w:rFonts w:asciiTheme="minorHAnsi" w:hAnsiTheme="minorHAnsi" w:cstheme="minorHAnsi"/>
          <w:u w:val="single"/>
        </w:rPr>
        <w:lastRenderedPageBreak/>
        <w:t>4A2a) Proxy selection</w:t>
      </w:r>
    </w:p>
    <w:p w14:paraId="28D5A6E7" w14:textId="77777777" w:rsidR="00B54D51" w:rsidRPr="00037AD4" w:rsidRDefault="00B54D51" w:rsidP="001D7ACE">
      <w:pPr>
        <w:rPr>
          <w:rFonts w:asciiTheme="minorHAnsi" w:hAnsiTheme="minorHAnsi" w:cstheme="minorHAnsi"/>
          <w:u w:val="single"/>
        </w:rPr>
      </w:pPr>
    </w:p>
    <w:p w14:paraId="2770C143" w14:textId="77777777" w:rsidR="00B54D51" w:rsidRPr="00037AD4" w:rsidRDefault="00B54D51" w:rsidP="001D7ACE">
      <w:pPr>
        <w:rPr>
          <w:rFonts w:asciiTheme="minorHAnsi" w:hAnsiTheme="minorHAnsi" w:cstheme="minorHAnsi"/>
          <w:u w:val="single"/>
        </w:rPr>
      </w:pPr>
      <w:r w:rsidRPr="00037AD4">
        <w:rPr>
          <w:rFonts w:asciiTheme="minorHAnsi" w:hAnsiTheme="minorHAnsi" w:cstheme="minorHAnsi"/>
        </w:rPr>
        <w:t xml:space="preserve">Proxies were relatives or friends that maintained regular contact and could act as an informant. They had to be willing and able to participate in the intervention with the PwD, as well as provide proxy-data. </w:t>
      </w:r>
      <w:r w:rsidRPr="00037AD4">
        <w:rPr>
          <w:rFonts w:asciiTheme="minorHAnsi" w:hAnsiTheme="minorHAnsi" w:cstheme="minorHAnsi"/>
          <w:u w:val="single"/>
        </w:rPr>
        <w:t xml:space="preserve"> </w:t>
      </w:r>
    </w:p>
    <w:p w14:paraId="2BB2FCE9" w14:textId="77777777" w:rsidR="00B54D51" w:rsidRPr="00037AD4" w:rsidRDefault="00B54D51" w:rsidP="001D7ACE">
      <w:pPr>
        <w:rPr>
          <w:rFonts w:asciiTheme="minorHAnsi" w:hAnsiTheme="minorHAnsi" w:cstheme="minorHAnsi"/>
          <w:u w:val="single"/>
        </w:rPr>
      </w:pPr>
    </w:p>
    <w:p w14:paraId="0C9D3AC2" w14:textId="77777777" w:rsidR="00B54D51" w:rsidRPr="00037AD4" w:rsidRDefault="00B54D51" w:rsidP="001D7ACE">
      <w:pPr>
        <w:ind w:firstLine="720"/>
        <w:rPr>
          <w:rFonts w:asciiTheme="minorHAnsi" w:hAnsiTheme="minorHAnsi" w:cstheme="minorHAnsi"/>
          <w:u w:val="single"/>
        </w:rPr>
      </w:pPr>
      <w:r w:rsidRPr="00037AD4">
        <w:rPr>
          <w:rFonts w:asciiTheme="minorHAnsi" w:hAnsiTheme="minorHAnsi" w:cstheme="minorHAnsi"/>
          <w:u w:val="single"/>
        </w:rPr>
        <w:t xml:space="preserve">4A2b) Attrition </w:t>
      </w:r>
    </w:p>
    <w:p w14:paraId="06E3DC3A" w14:textId="77777777" w:rsidR="00B54D51" w:rsidRPr="00037AD4" w:rsidRDefault="00B54D51" w:rsidP="001D7ACE">
      <w:pPr>
        <w:rPr>
          <w:rFonts w:asciiTheme="minorHAnsi" w:hAnsiTheme="minorHAnsi" w:cstheme="minorHAnsi"/>
          <w:u w:val="single"/>
        </w:rPr>
      </w:pPr>
    </w:p>
    <w:p w14:paraId="6E8455F0" w14:textId="77777777" w:rsidR="00B54D51" w:rsidRPr="00037AD4" w:rsidRDefault="00B54D51" w:rsidP="001D7ACE">
      <w:pPr>
        <w:rPr>
          <w:rFonts w:asciiTheme="minorHAnsi" w:hAnsiTheme="minorHAnsi" w:cstheme="minorHAnsi"/>
        </w:rPr>
      </w:pPr>
      <w:r w:rsidRPr="00037AD4">
        <w:rPr>
          <w:rFonts w:asciiTheme="minorHAnsi" w:hAnsiTheme="minorHAnsi" w:cstheme="minorHAnsi"/>
        </w:rPr>
        <w:t xml:space="preserve">488 people with dementia were randomised – 268 to the intervention arm and 220 to the control arm. 350 dyads completed the study (206 in the intervention arm and 144 in the control arm). There was a final sample of 350 dyads at 10 months, which was equal to 95% of the revised target sample size. Overall attrition rate was 28% (of which 6% was due to death). The overall retention rate was 72%. Although all participants were community dwelling at baseline, they could remain in the study if they were subsequently moved to a care home (however &lt;10% of participants did so even by the final follow-up point). “Now in residential care” was listed as a reason for loss between referral and randomisation. </w:t>
      </w:r>
    </w:p>
    <w:p w14:paraId="65E1D338" w14:textId="77777777" w:rsidR="00B54D51" w:rsidRPr="00037AD4" w:rsidRDefault="00B54D51" w:rsidP="001D7ACE">
      <w:pPr>
        <w:rPr>
          <w:rFonts w:asciiTheme="minorHAnsi" w:hAnsiTheme="minorHAnsi" w:cstheme="minorHAnsi"/>
          <w:b/>
          <w:bCs/>
          <w:u w:val="single"/>
        </w:rPr>
      </w:pPr>
      <w:r w:rsidRPr="00037AD4">
        <w:rPr>
          <w:rFonts w:asciiTheme="minorHAnsi" w:hAnsiTheme="minorHAnsi" w:cstheme="minorHAnsi"/>
          <w:b/>
          <w:bCs/>
          <w:u w:val="single"/>
        </w:rPr>
        <w:t xml:space="preserve"> </w:t>
      </w:r>
    </w:p>
    <w:p w14:paraId="2370EF13" w14:textId="77777777" w:rsidR="00B54D51" w:rsidRPr="00037AD4" w:rsidRDefault="00B54D51" w:rsidP="001D7ACE">
      <w:pPr>
        <w:rPr>
          <w:rFonts w:asciiTheme="minorHAnsi" w:hAnsiTheme="minorHAnsi" w:cstheme="minorHAnsi"/>
          <w:u w:val="single"/>
        </w:rPr>
      </w:pPr>
      <w:r w:rsidRPr="00037AD4">
        <w:rPr>
          <w:rFonts w:asciiTheme="minorHAnsi" w:hAnsiTheme="minorHAnsi" w:cstheme="minorHAnsi"/>
          <w:u w:val="single"/>
        </w:rPr>
        <w:t>4A3) Data collection methods</w:t>
      </w:r>
    </w:p>
    <w:p w14:paraId="3E907CAD" w14:textId="77777777" w:rsidR="00B54D51" w:rsidRPr="00037AD4" w:rsidRDefault="00B54D51" w:rsidP="001D7ACE">
      <w:pPr>
        <w:rPr>
          <w:rFonts w:asciiTheme="minorHAnsi" w:hAnsiTheme="minorHAnsi" w:cstheme="minorHAnsi"/>
          <w:b/>
          <w:bCs/>
          <w:u w:val="single"/>
        </w:rPr>
      </w:pPr>
    </w:p>
    <w:p w14:paraId="480BCB58" w14:textId="77777777" w:rsidR="00B54D51" w:rsidRPr="00037AD4" w:rsidRDefault="00B54D51" w:rsidP="001D7ACE">
      <w:pPr>
        <w:rPr>
          <w:rFonts w:asciiTheme="minorHAnsi" w:hAnsiTheme="minorHAnsi" w:cstheme="minorHAnsi"/>
        </w:rPr>
      </w:pPr>
      <w:r w:rsidRPr="00037AD4">
        <w:rPr>
          <w:rFonts w:asciiTheme="minorHAnsi" w:hAnsiTheme="minorHAnsi" w:cstheme="minorHAnsi"/>
        </w:rPr>
        <w:t xml:space="preserve">Primary and secondary outcomes were collected at baseline, 3 months after baseline and at 10 months. Baseline assessments were collected within a 2-month window prior to the first therapy session. 3-month assessments were completed within 2 months of the completion of the 12-weekly joint group session course, and the 10-month assessments were within 2 months of the final monthly session. </w:t>
      </w:r>
    </w:p>
    <w:p w14:paraId="0784C849" w14:textId="77777777" w:rsidR="00B54D51" w:rsidRPr="00037AD4" w:rsidRDefault="00B54D51" w:rsidP="001D7ACE">
      <w:pPr>
        <w:rPr>
          <w:rFonts w:asciiTheme="minorHAnsi" w:hAnsiTheme="minorHAnsi" w:cstheme="minorHAnsi"/>
        </w:rPr>
      </w:pPr>
    </w:p>
    <w:p w14:paraId="0C045FC8" w14:textId="77777777" w:rsidR="00B54D51" w:rsidRPr="00037AD4" w:rsidRDefault="00B54D51" w:rsidP="001D7ACE">
      <w:pPr>
        <w:rPr>
          <w:rFonts w:asciiTheme="minorHAnsi" w:hAnsiTheme="minorHAnsi" w:cstheme="minorHAnsi"/>
        </w:rPr>
      </w:pPr>
      <w:r w:rsidRPr="00037AD4">
        <w:rPr>
          <w:rFonts w:asciiTheme="minorHAnsi" w:hAnsiTheme="minorHAnsi" w:cstheme="minorHAnsi"/>
        </w:rPr>
        <w:t xml:space="preserve">Interviews were usually carried out in the person’s family home. Questionnaire booklets were arranged so that self-rated caregiver instruments and proxy-rated measures (about the PwD) were combined into a single booklet for self-completion. Two assessors would visit a dyad so that one could interview the PwD and the other the caregiver in a separate room – although local resource did not always allow for this. Where there was only one assessor – caregivers would be asked to self-complete their questionnaire booklet in a separate room while the PwD was interviewed. </w:t>
      </w:r>
    </w:p>
    <w:p w14:paraId="1EDB252B" w14:textId="77777777" w:rsidR="00B54D51" w:rsidRPr="00037AD4" w:rsidRDefault="00B54D51" w:rsidP="001D7ACE">
      <w:pPr>
        <w:rPr>
          <w:rFonts w:asciiTheme="minorHAnsi" w:hAnsiTheme="minorHAnsi" w:cstheme="minorHAnsi"/>
          <w:b/>
          <w:bCs/>
          <w:u w:val="single"/>
        </w:rPr>
      </w:pPr>
    </w:p>
    <w:p w14:paraId="582DAE39" w14:textId="77777777" w:rsidR="00B54D51" w:rsidRPr="00037AD4" w:rsidRDefault="00B54D51" w:rsidP="001D7ACE">
      <w:pPr>
        <w:rPr>
          <w:rFonts w:asciiTheme="minorHAnsi" w:hAnsiTheme="minorHAnsi" w:cstheme="minorHAnsi"/>
          <w:u w:val="single"/>
        </w:rPr>
      </w:pPr>
      <w:r w:rsidRPr="00037AD4">
        <w:rPr>
          <w:rFonts w:asciiTheme="minorHAnsi" w:hAnsiTheme="minorHAnsi" w:cstheme="minorHAnsi"/>
          <w:u w:val="single"/>
        </w:rPr>
        <w:t xml:space="preserve">4A4) Measures </w:t>
      </w:r>
    </w:p>
    <w:p w14:paraId="6B81A51C" w14:textId="77777777" w:rsidR="00B54D51" w:rsidRPr="00037AD4" w:rsidRDefault="00B54D51" w:rsidP="001D7ACE">
      <w:pPr>
        <w:rPr>
          <w:rFonts w:asciiTheme="minorHAnsi" w:hAnsiTheme="minorHAnsi" w:cstheme="minorHAnsi"/>
          <w:b/>
          <w:bCs/>
          <w:u w:val="single"/>
        </w:rPr>
      </w:pPr>
    </w:p>
    <w:p w14:paraId="67A80C4B" w14:textId="77777777" w:rsidR="00B54D51" w:rsidRPr="00037AD4" w:rsidRDefault="00B54D51" w:rsidP="001D7ACE">
      <w:pPr>
        <w:rPr>
          <w:rFonts w:asciiTheme="minorHAnsi" w:hAnsiTheme="minorHAnsi" w:cstheme="minorHAnsi"/>
        </w:rPr>
      </w:pPr>
      <w:r w:rsidRPr="00037AD4">
        <w:rPr>
          <w:rFonts w:asciiTheme="minorHAnsi" w:hAnsiTheme="minorHAnsi" w:cstheme="minorHAnsi"/>
        </w:rPr>
        <w:t xml:space="preserve">As the intervention was concerned with both PwD and informal caregivers alike, there were two primary outcomes. They were QoL of the PwD via QoL-AD </w:t>
      </w:r>
      <w:r>
        <w:rPr>
          <w:rFonts w:asciiTheme="minorHAnsi" w:hAnsiTheme="minorHAnsi" w:cstheme="minorHAnsi"/>
          <w:noProof/>
        </w:rPr>
        <w:t>(Logsdon et al., 1999)</w:t>
      </w:r>
      <w:r w:rsidRPr="00037AD4">
        <w:rPr>
          <w:rFonts w:asciiTheme="minorHAnsi" w:hAnsiTheme="minorHAnsi" w:cstheme="minorHAnsi"/>
        </w:rPr>
        <w:t xml:space="preserve">, and mental health of the caregiver via GHQ-28 </w:t>
      </w:r>
      <w:r>
        <w:rPr>
          <w:rFonts w:asciiTheme="minorHAnsi" w:hAnsiTheme="minorHAnsi" w:cstheme="minorHAnsi"/>
          <w:noProof/>
        </w:rPr>
        <w:t>(Sterling, 2011)</w:t>
      </w:r>
      <w:r w:rsidRPr="00037AD4">
        <w:rPr>
          <w:rFonts w:asciiTheme="minorHAnsi" w:hAnsiTheme="minorHAnsi" w:cstheme="minorHAnsi"/>
        </w:rPr>
        <w:t>. The secondary outcomes were autobiographical memories of the PwD, relationship quality and depression and anxiety for both the PwD and their caregiver. The table below enlist all of the measures included within the REMCARE trial, highlighting the measures that were included within the dataset transfer agreement.</w:t>
      </w:r>
    </w:p>
    <w:p w14:paraId="34EC9375" w14:textId="77777777" w:rsidR="00B54D51" w:rsidRPr="00037AD4" w:rsidRDefault="00B54D51" w:rsidP="001D7ACE">
      <w:pPr>
        <w:rPr>
          <w:rFonts w:asciiTheme="minorHAnsi" w:hAnsiTheme="minorHAnsi" w:cstheme="minorHAnsi"/>
        </w:rPr>
      </w:pPr>
    </w:p>
    <w:p w14:paraId="72E1ACCB" w14:textId="77777777" w:rsidR="00B54D51" w:rsidRPr="00037AD4" w:rsidRDefault="00B54D51" w:rsidP="001D7ACE">
      <w:pPr>
        <w:rPr>
          <w:rFonts w:asciiTheme="minorHAnsi" w:hAnsiTheme="minorHAnsi" w:cstheme="minorHAnsi"/>
        </w:rPr>
      </w:pPr>
    </w:p>
    <w:p w14:paraId="56AED7EA" w14:textId="77777777" w:rsidR="00B54D51" w:rsidRPr="00037AD4" w:rsidRDefault="00B54D51" w:rsidP="001D7ACE">
      <w:pPr>
        <w:rPr>
          <w:rFonts w:asciiTheme="minorHAnsi" w:hAnsiTheme="minorHAnsi" w:cstheme="minorHAnsi"/>
        </w:rPr>
      </w:pPr>
    </w:p>
    <w:p w14:paraId="0C9E02B4" w14:textId="77777777" w:rsidR="00B54D51" w:rsidRPr="00037AD4" w:rsidRDefault="00B54D51" w:rsidP="001D7ACE">
      <w:pPr>
        <w:rPr>
          <w:rFonts w:asciiTheme="minorHAnsi" w:hAnsiTheme="minorHAnsi" w:cstheme="minorHAnsi"/>
        </w:rPr>
      </w:pPr>
    </w:p>
    <w:p w14:paraId="24DA6CF0" w14:textId="77777777" w:rsidR="00B54D51" w:rsidRPr="00037AD4" w:rsidRDefault="00B54D51" w:rsidP="001D7ACE">
      <w:pPr>
        <w:rPr>
          <w:rFonts w:asciiTheme="minorHAnsi" w:hAnsiTheme="minorHAnsi" w:cstheme="minorHAnsi"/>
        </w:rPr>
      </w:pPr>
    </w:p>
    <w:p w14:paraId="6A91F9D8" w14:textId="77777777" w:rsidR="00B54D51" w:rsidRPr="00037AD4" w:rsidRDefault="00B54D51" w:rsidP="001D7ACE">
      <w:pPr>
        <w:rPr>
          <w:rFonts w:asciiTheme="minorHAnsi" w:hAnsiTheme="minorHAnsi" w:cstheme="minorHAnsi"/>
          <w:u w:val="single"/>
        </w:rPr>
      </w:pPr>
      <w:r w:rsidRPr="00037AD4">
        <w:rPr>
          <w:rFonts w:asciiTheme="minorHAnsi" w:hAnsiTheme="minorHAnsi" w:cstheme="minorHAnsi"/>
          <w:u w:val="single"/>
        </w:rPr>
        <w:lastRenderedPageBreak/>
        <w:t xml:space="preserve">Summary of measures collected in the REMCARE study </w:t>
      </w:r>
    </w:p>
    <w:p w14:paraId="7D2AB852" w14:textId="77777777" w:rsidR="00B54D51" w:rsidRPr="00037AD4" w:rsidRDefault="00B54D51" w:rsidP="001D7ACE">
      <w:pPr>
        <w:rPr>
          <w:rFonts w:asciiTheme="minorHAnsi" w:hAnsiTheme="minorHAnsi" w:cstheme="minorHAnsi"/>
        </w:rPr>
      </w:pPr>
    </w:p>
    <w:tbl>
      <w:tblPr>
        <w:tblStyle w:val="TableGrid"/>
        <w:tblW w:w="9351" w:type="dxa"/>
        <w:tblLook w:val="04A0" w:firstRow="1" w:lastRow="0" w:firstColumn="1" w:lastColumn="0" w:noHBand="0" w:noVBand="1"/>
      </w:tblPr>
      <w:tblGrid>
        <w:gridCol w:w="1969"/>
        <w:gridCol w:w="1960"/>
        <w:gridCol w:w="2191"/>
        <w:gridCol w:w="1246"/>
        <w:gridCol w:w="1985"/>
      </w:tblGrid>
      <w:tr w:rsidR="00B54D51" w:rsidRPr="00037AD4" w14:paraId="46B0A350" w14:textId="77777777" w:rsidTr="00401C67">
        <w:tc>
          <w:tcPr>
            <w:tcW w:w="1969" w:type="dxa"/>
          </w:tcPr>
          <w:p w14:paraId="6AEE0E5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Instrument </w:t>
            </w:r>
          </w:p>
        </w:tc>
        <w:tc>
          <w:tcPr>
            <w:tcW w:w="1960" w:type="dxa"/>
          </w:tcPr>
          <w:p w14:paraId="49A9C0E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Completed by? </w:t>
            </w:r>
          </w:p>
        </w:tc>
        <w:tc>
          <w:tcPr>
            <w:tcW w:w="2191" w:type="dxa"/>
          </w:tcPr>
          <w:p w14:paraId="105A43E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Administration details </w:t>
            </w:r>
          </w:p>
        </w:tc>
        <w:tc>
          <w:tcPr>
            <w:tcW w:w="1246" w:type="dxa"/>
          </w:tcPr>
          <w:p w14:paraId="71EB8A3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Time points </w:t>
            </w:r>
          </w:p>
        </w:tc>
        <w:tc>
          <w:tcPr>
            <w:tcW w:w="1985" w:type="dxa"/>
          </w:tcPr>
          <w:p w14:paraId="7421907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Additional information</w:t>
            </w:r>
          </w:p>
        </w:tc>
      </w:tr>
      <w:tr w:rsidR="00B54D51" w:rsidRPr="00037AD4" w14:paraId="37E914A2" w14:textId="77777777" w:rsidTr="00401C67">
        <w:tc>
          <w:tcPr>
            <w:tcW w:w="1969" w:type="dxa"/>
          </w:tcPr>
          <w:p w14:paraId="01760BC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AMI(E)</w:t>
            </w:r>
            <w:r w:rsidRPr="00037AD4">
              <w:rPr>
                <w:rFonts w:asciiTheme="minorHAnsi" w:hAnsiTheme="minorHAnsi" w:cstheme="minorHAnsi"/>
                <w:vertAlign w:val="superscript"/>
              </w:rPr>
              <w:t>±</w:t>
            </w:r>
          </w:p>
        </w:tc>
        <w:tc>
          <w:tcPr>
            <w:tcW w:w="1960" w:type="dxa"/>
          </w:tcPr>
          <w:p w14:paraId="28AFAC3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PwD</w:t>
            </w:r>
          </w:p>
        </w:tc>
        <w:tc>
          <w:tcPr>
            <w:tcW w:w="2191" w:type="dxa"/>
          </w:tcPr>
          <w:p w14:paraId="766E6D4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Interview </w:t>
            </w:r>
          </w:p>
        </w:tc>
        <w:tc>
          <w:tcPr>
            <w:tcW w:w="1246" w:type="dxa"/>
          </w:tcPr>
          <w:p w14:paraId="05643EF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0, 3, 10</w:t>
            </w:r>
          </w:p>
        </w:tc>
        <w:tc>
          <w:tcPr>
            <w:tcW w:w="1985" w:type="dxa"/>
          </w:tcPr>
          <w:p w14:paraId="71CF472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Related to memory recall function </w:t>
            </w:r>
          </w:p>
        </w:tc>
      </w:tr>
      <w:tr w:rsidR="00B54D51" w:rsidRPr="00037AD4" w14:paraId="361ECC2C" w14:textId="77777777" w:rsidTr="00401C67">
        <w:tc>
          <w:tcPr>
            <w:tcW w:w="1969" w:type="dxa"/>
          </w:tcPr>
          <w:p w14:paraId="03C95BB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BADLS</w:t>
            </w:r>
          </w:p>
        </w:tc>
        <w:tc>
          <w:tcPr>
            <w:tcW w:w="1960" w:type="dxa"/>
          </w:tcPr>
          <w:p w14:paraId="5ECFBB7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Caregiver </w:t>
            </w:r>
          </w:p>
        </w:tc>
        <w:tc>
          <w:tcPr>
            <w:tcW w:w="2191" w:type="dxa"/>
          </w:tcPr>
          <w:p w14:paraId="6258A5F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Self-completed</w:t>
            </w:r>
          </w:p>
        </w:tc>
        <w:tc>
          <w:tcPr>
            <w:tcW w:w="1246" w:type="dxa"/>
          </w:tcPr>
          <w:p w14:paraId="7DE3E2B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0, 3, 10</w:t>
            </w:r>
          </w:p>
        </w:tc>
        <w:tc>
          <w:tcPr>
            <w:tcW w:w="1985" w:type="dxa"/>
          </w:tcPr>
          <w:p w14:paraId="2A7DC5E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About PwD </w:t>
            </w:r>
          </w:p>
        </w:tc>
      </w:tr>
      <w:tr w:rsidR="00B54D51" w:rsidRPr="00037AD4" w14:paraId="640F1603" w14:textId="77777777" w:rsidTr="00401C67">
        <w:tc>
          <w:tcPr>
            <w:tcW w:w="1969" w:type="dxa"/>
          </w:tcPr>
          <w:p w14:paraId="568B7AD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CDR </w:t>
            </w:r>
          </w:p>
        </w:tc>
        <w:tc>
          <w:tcPr>
            <w:tcW w:w="1960" w:type="dxa"/>
          </w:tcPr>
          <w:p w14:paraId="3FF56A0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Details not reported </w:t>
            </w:r>
          </w:p>
        </w:tc>
        <w:tc>
          <w:tcPr>
            <w:tcW w:w="2191" w:type="dxa"/>
          </w:tcPr>
          <w:p w14:paraId="44F2083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Details not reported</w:t>
            </w:r>
          </w:p>
        </w:tc>
        <w:tc>
          <w:tcPr>
            <w:tcW w:w="1246" w:type="dxa"/>
          </w:tcPr>
          <w:p w14:paraId="1431956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0, 3, 10 </w:t>
            </w:r>
          </w:p>
        </w:tc>
        <w:tc>
          <w:tcPr>
            <w:tcW w:w="1985" w:type="dxa"/>
          </w:tcPr>
          <w:p w14:paraId="4D3E249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The necessary information to make each rating is obtained through semi-structured interview of the patient and a reliable informant (e.g., family member) </w:t>
            </w:r>
          </w:p>
        </w:tc>
      </w:tr>
      <w:tr w:rsidR="00B54D51" w:rsidRPr="00037AD4" w14:paraId="0C0D2E95" w14:textId="77777777" w:rsidTr="00401C67">
        <w:tc>
          <w:tcPr>
            <w:tcW w:w="1969" w:type="dxa"/>
          </w:tcPr>
          <w:p w14:paraId="31CC6AC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CSDD</w:t>
            </w:r>
          </w:p>
        </w:tc>
        <w:tc>
          <w:tcPr>
            <w:tcW w:w="1960" w:type="dxa"/>
          </w:tcPr>
          <w:p w14:paraId="0A29072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PwD &amp; caregiver</w:t>
            </w:r>
          </w:p>
        </w:tc>
        <w:tc>
          <w:tcPr>
            <w:tcW w:w="2191" w:type="dxa"/>
          </w:tcPr>
          <w:p w14:paraId="6304E34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Interviews with PwD and caregivers</w:t>
            </w:r>
          </w:p>
        </w:tc>
        <w:tc>
          <w:tcPr>
            <w:tcW w:w="1246" w:type="dxa"/>
          </w:tcPr>
          <w:p w14:paraId="4D8FC86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0, 3, 10</w:t>
            </w:r>
          </w:p>
        </w:tc>
        <w:tc>
          <w:tcPr>
            <w:tcW w:w="1985" w:type="dxa"/>
          </w:tcPr>
          <w:p w14:paraId="2008C8D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About PwD. Where there is a discrepancy between carer's and clinician's ratings, the interviewer re-interviews the carer before making a final judgment</w:t>
            </w:r>
          </w:p>
        </w:tc>
      </w:tr>
      <w:tr w:rsidR="00B54D51" w:rsidRPr="00037AD4" w14:paraId="338101CB" w14:textId="77777777" w:rsidTr="00401C67">
        <w:tc>
          <w:tcPr>
            <w:tcW w:w="1969" w:type="dxa"/>
          </w:tcPr>
          <w:p w14:paraId="70C0BB2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CSRI</w:t>
            </w:r>
            <w:r w:rsidRPr="00037AD4">
              <w:rPr>
                <w:rFonts w:asciiTheme="minorHAnsi" w:hAnsiTheme="minorHAnsi" w:cstheme="minorHAnsi"/>
                <w:vertAlign w:val="superscript"/>
              </w:rPr>
              <w:t>±</w:t>
            </w:r>
          </w:p>
        </w:tc>
        <w:tc>
          <w:tcPr>
            <w:tcW w:w="1960" w:type="dxa"/>
          </w:tcPr>
          <w:p w14:paraId="2CD7D94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PwD &amp; caregiver</w:t>
            </w:r>
          </w:p>
        </w:tc>
        <w:tc>
          <w:tcPr>
            <w:tcW w:w="2191" w:type="dxa"/>
          </w:tcPr>
          <w:p w14:paraId="6FB6344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Face-to-face interview </w:t>
            </w:r>
          </w:p>
        </w:tc>
        <w:tc>
          <w:tcPr>
            <w:tcW w:w="1246" w:type="dxa"/>
          </w:tcPr>
          <w:p w14:paraId="3BFF90C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0, 3, 10 </w:t>
            </w:r>
          </w:p>
        </w:tc>
        <w:tc>
          <w:tcPr>
            <w:tcW w:w="1985" w:type="dxa"/>
          </w:tcPr>
          <w:p w14:paraId="56631DF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Records use of health, social care and voluntary services</w:t>
            </w:r>
          </w:p>
        </w:tc>
      </w:tr>
      <w:tr w:rsidR="00B54D51" w:rsidRPr="00037AD4" w14:paraId="50A6DC80" w14:textId="77777777" w:rsidTr="00401C67">
        <w:tc>
          <w:tcPr>
            <w:tcW w:w="1969" w:type="dxa"/>
          </w:tcPr>
          <w:p w14:paraId="772E8EA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EQ-5D-3L (self)</w:t>
            </w:r>
          </w:p>
        </w:tc>
        <w:tc>
          <w:tcPr>
            <w:tcW w:w="1960" w:type="dxa"/>
          </w:tcPr>
          <w:p w14:paraId="5023889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PwD</w:t>
            </w:r>
          </w:p>
        </w:tc>
        <w:tc>
          <w:tcPr>
            <w:tcW w:w="2191" w:type="dxa"/>
          </w:tcPr>
          <w:p w14:paraId="7E3AEBB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Interview schedules</w:t>
            </w:r>
          </w:p>
        </w:tc>
        <w:tc>
          <w:tcPr>
            <w:tcW w:w="1246" w:type="dxa"/>
          </w:tcPr>
          <w:p w14:paraId="3572429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0, 3, 10</w:t>
            </w:r>
          </w:p>
        </w:tc>
        <w:tc>
          <w:tcPr>
            <w:tcW w:w="1985" w:type="dxa"/>
          </w:tcPr>
          <w:p w14:paraId="7B719D27" w14:textId="77777777" w:rsidR="00B54D51" w:rsidRPr="00037AD4" w:rsidRDefault="00B54D51" w:rsidP="00401C67">
            <w:pPr>
              <w:rPr>
                <w:rFonts w:asciiTheme="minorHAnsi" w:hAnsiTheme="minorHAnsi" w:cstheme="minorHAnsi"/>
              </w:rPr>
            </w:pPr>
          </w:p>
        </w:tc>
      </w:tr>
      <w:tr w:rsidR="00B54D51" w:rsidRPr="00037AD4" w14:paraId="3E1EF64C" w14:textId="77777777" w:rsidTr="00401C67">
        <w:tc>
          <w:tcPr>
            <w:tcW w:w="1969" w:type="dxa"/>
          </w:tcPr>
          <w:p w14:paraId="2C65F3B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EQ-5D-3L proxy</w:t>
            </w:r>
          </w:p>
        </w:tc>
        <w:tc>
          <w:tcPr>
            <w:tcW w:w="1960" w:type="dxa"/>
          </w:tcPr>
          <w:p w14:paraId="5E44804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Caregiver</w:t>
            </w:r>
          </w:p>
        </w:tc>
        <w:tc>
          <w:tcPr>
            <w:tcW w:w="2191" w:type="dxa"/>
          </w:tcPr>
          <w:p w14:paraId="04FB511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Interview schedules</w:t>
            </w:r>
          </w:p>
        </w:tc>
        <w:tc>
          <w:tcPr>
            <w:tcW w:w="1246" w:type="dxa"/>
          </w:tcPr>
          <w:p w14:paraId="386177A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0, 3, 10</w:t>
            </w:r>
          </w:p>
        </w:tc>
        <w:tc>
          <w:tcPr>
            <w:tcW w:w="1985" w:type="dxa"/>
          </w:tcPr>
          <w:p w14:paraId="0E390FC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About PwD</w:t>
            </w:r>
          </w:p>
        </w:tc>
      </w:tr>
      <w:tr w:rsidR="00B54D51" w:rsidRPr="00037AD4" w14:paraId="43A59E63" w14:textId="77777777" w:rsidTr="00401C67">
        <w:tc>
          <w:tcPr>
            <w:tcW w:w="1969" w:type="dxa"/>
          </w:tcPr>
          <w:p w14:paraId="44DB938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EQ-5D-3L </w:t>
            </w:r>
          </w:p>
        </w:tc>
        <w:tc>
          <w:tcPr>
            <w:tcW w:w="1960" w:type="dxa"/>
          </w:tcPr>
          <w:p w14:paraId="36B6AA2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Caregiver </w:t>
            </w:r>
          </w:p>
        </w:tc>
        <w:tc>
          <w:tcPr>
            <w:tcW w:w="2191" w:type="dxa"/>
          </w:tcPr>
          <w:p w14:paraId="18AAA8C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Interview schedules</w:t>
            </w:r>
          </w:p>
        </w:tc>
        <w:tc>
          <w:tcPr>
            <w:tcW w:w="1246" w:type="dxa"/>
          </w:tcPr>
          <w:p w14:paraId="6618E75A" w14:textId="77777777" w:rsidR="00B54D51" w:rsidRPr="00037AD4" w:rsidRDefault="00B54D51" w:rsidP="00401C67">
            <w:pPr>
              <w:rPr>
                <w:rFonts w:asciiTheme="minorHAnsi" w:hAnsiTheme="minorHAnsi" w:cstheme="minorHAnsi"/>
                <w:u w:val="single"/>
              </w:rPr>
            </w:pPr>
            <w:r w:rsidRPr="00037AD4">
              <w:rPr>
                <w:rFonts w:asciiTheme="minorHAnsi" w:hAnsiTheme="minorHAnsi" w:cstheme="minorHAnsi"/>
              </w:rPr>
              <w:t>0, 3, 10</w:t>
            </w:r>
          </w:p>
        </w:tc>
        <w:tc>
          <w:tcPr>
            <w:tcW w:w="1985" w:type="dxa"/>
          </w:tcPr>
          <w:p w14:paraId="64704F78" w14:textId="77777777" w:rsidR="00B54D51" w:rsidRPr="00037AD4" w:rsidRDefault="00B54D51" w:rsidP="00401C67">
            <w:pPr>
              <w:pStyle w:val="NormalWeb"/>
              <w:rPr>
                <w:rFonts w:asciiTheme="minorHAnsi" w:hAnsiTheme="minorHAnsi" w:cstheme="minorHAnsi"/>
              </w:rPr>
            </w:pPr>
            <w:r w:rsidRPr="00037AD4">
              <w:rPr>
                <w:rFonts w:asciiTheme="minorHAnsi" w:hAnsiTheme="minorHAnsi" w:cstheme="minorHAnsi"/>
              </w:rPr>
              <w:t xml:space="preserve">About caregiver themselves </w:t>
            </w:r>
          </w:p>
        </w:tc>
      </w:tr>
      <w:tr w:rsidR="00B54D51" w:rsidRPr="00037AD4" w14:paraId="7A427857" w14:textId="77777777" w:rsidTr="00401C67">
        <w:tc>
          <w:tcPr>
            <w:tcW w:w="1969" w:type="dxa"/>
          </w:tcPr>
          <w:p w14:paraId="43BA161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GHQ-28*</w:t>
            </w:r>
            <w:r w:rsidRPr="00037AD4">
              <w:rPr>
                <w:rFonts w:asciiTheme="minorHAnsi" w:hAnsiTheme="minorHAnsi" w:cstheme="minorHAnsi"/>
                <w:vertAlign w:val="superscript"/>
              </w:rPr>
              <w:t>±</w:t>
            </w:r>
          </w:p>
        </w:tc>
        <w:tc>
          <w:tcPr>
            <w:tcW w:w="1960" w:type="dxa"/>
          </w:tcPr>
          <w:p w14:paraId="54EED0F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Caregiver</w:t>
            </w:r>
          </w:p>
        </w:tc>
        <w:tc>
          <w:tcPr>
            <w:tcW w:w="2191" w:type="dxa"/>
          </w:tcPr>
          <w:p w14:paraId="68D4692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Self-completed</w:t>
            </w:r>
          </w:p>
        </w:tc>
        <w:tc>
          <w:tcPr>
            <w:tcW w:w="1246" w:type="dxa"/>
          </w:tcPr>
          <w:p w14:paraId="37D3D96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0, 3, 10 </w:t>
            </w:r>
          </w:p>
        </w:tc>
        <w:tc>
          <w:tcPr>
            <w:tcW w:w="1985" w:type="dxa"/>
          </w:tcPr>
          <w:p w14:paraId="55495B5A" w14:textId="77777777" w:rsidR="00B54D51" w:rsidRPr="00037AD4" w:rsidRDefault="00B54D51" w:rsidP="00401C67">
            <w:pPr>
              <w:pStyle w:val="NormalWeb"/>
              <w:rPr>
                <w:rFonts w:asciiTheme="minorHAnsi" w:hAnsiTheme="minorHAnsi" w:cstheme="minorHAnsi"/>
              </w:rPr>
            </w:pPr>
            <w:r w:rsidRPr="00037AD4">
              <w:rPr>
                <w:rFonts w:asciiTheme="minorHAnsi" w:hAnsiTheme="minorHAnsi" w:cstheme="minorHAnsi"/>
              </w:rPr>
              <w:t xml:space="preserve">About the caregiver themselves </w:t>
            </w:r>
          </w:p>
        </w:tc>
      </w:tr>
      <w:tr w:rsidR="00B54D51" w:rsidRPr="00037AD4" w14:paraId="2EF760A2" w14:textId="77777777" w:rsidTr="00401C67">
        <w:tc>
          <w:tcPr>
            <w:tcW w:w="1969" w:type="dxa"/>
          </w:tcPr>
          <w:p w14:paraId="630F89F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HADS</w:t>
            </w:r>
            <w:r w:rsidRPr="00037AD4">
              <w:rPr>
                <w:rFonts w:asciiTheme="minorHAnsi" w:hAnsiTheme="minorHAnsi" w:cstheme="minorHAnsi"/>
                <w:vertAlign w:val="superscript"/>
              </w:rPr>
              <w:t>±</w:t>
            </w:r>
            <w:r w:rsidRPr="00037AD4">
              <w:rPr>
                <w:rFonts w:asciiTheme="minorHAnsi" w:hAnsiTheme="minorHAnsi" w:cstheme="minorHAnsi"/>
              </w:rPr>
              <w:t xml:space="preserve"> </w:t>
            </w:r>
          </w:p>
        </w:tc>
        <w:tc>
          <w:tcPr>
            <w:tcW w:w="1960" w:type="dxa"/>
          </w:tcPr>
          <w:p w14:paraId="662D3D1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Caregiver </w:t>
            </w:r>
          </w:p>
        </w:tc>
        <w:tc>
          <w:tcPr>
            <w:tcW w:w="2191" w:type="dxa"/>
          </w:tcPr>
          <w:p w14:paraId="708CC20A" w14:textId="77777777" w:rsidR="00B54D51" w:rsidRPr="00037AD4" w:rsidRDefault="00B54D51" w:rsidP="00401C67">
            <w:pPr>
              <w:rPr>
                <w:rFonts w:asciiTheme="minorHAnsi" w:hAnsiTheme="minorHAnsi" w:cstheme="minorHAnsi"/>
                <w:u w:val="single"/>
              </w:rPr>
            </w:pPr>
            <w:r w:rsidRPr="00037AD4">
              <w:rPr>
                <w:rFonts w:asciiTheme="minorHAnsi" w:hAnsiTheme="minorHAnsi" w:cstheme="minorHAnsi"/>
              </w:rPr>
              <w:t xml:space="preserve">Self-complete </w:t>
            </w:r>
          </w:p>
        </w:tc>
        <w:tc>
          <w:tcPr>
            <w:tcW w:w="1246" w:type="dxa"/>
          </w:tcPr>
          <w:p w14:paraId="62FCE60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0, 3, 10</w:t>
            </w:r>
          </w:p>
        </w:tc>
        <w:tc>
          <w:tcPr>
            <w:tcW w:w="1985" w:type="dxa"/>
          </w:tcPr>
          <w:p w14:paraId="1B127AA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About caregiver themselves </w:t>
            </w:r>
          </w:p>
        </w:tc>
      </w:tr>
      <w:tr w:rsidR="00B54D51" w:rsidRPr="00037AD4" w14:paraId="1299264F" w14:textId="77777777" w:rsidTr="00401C67">
        <w:tc>
          <w:tcPr>
            <w:tcW w:w="1969" w:type="dxa"/>
          </w:tcPr>
          <w:p w14:paraId="6343012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QoL-AD*</w:t>
            </w:r>
          </w:p>
        </w:tc>
        <w:tc>
          <w:tcPr>
            <w:tcW w:w="1960" w:type="dxa"/>
          </w:tcPr>
          <w:p w14:paraId="1C8F973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PwD</w:t>
            </w:r>
          </w:p>
        </w:tc>
        <w:tc>
          <w:tcPr>
            <w:tcW w:w="2191" w:type="dxa"/>
          </w:tcPr>
          <w:p w14:paraId="4BA8403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Structured interviews with trained interviewer</w:t>
            </w:r>
          </w:p>
        </w:tc>
        <w:tc>
          <w:tcPr>
            <w:tcW w:w="1246" w:type="dxa"/>
          </w:tcPr>
          <w:p w14:paraId="10B36847" w14:textId="77777777" w:rsidR="00B54D51" w:rsidRPr="00037AD4" w:rsidRDefault="00B54D51" w:rsidP="00401C67">
            <w:pPr>
              <w:rPr>
                <w:rFonts w:asciiTheme="minorHAnsi" w:hAnsiTheme="minorHAnsi" w:cstheme="minorHAnsi"/>
                <w:u w:val="single"/>
              </w:rPr>
            </w:pPr>
            <w:r w:rsidRPr="00037AD4">
              <w:rPr>
                <w:rFonts w:asciiTheme="minorHAnsi" w:hAnsiTheme="minorHAnsi" w:cstheme="minorHAnsi"/>
              </w:rPr>
              <w:t xml:space="preserve">0, 3, 10 </w:t>
            </w:r>
          </w:p>
        </w:tc>
        <w:tc>
          <w:tcPr>
            <w:tcW w:w="1985" w:type="dxa"/>
          </w:tcPr>
          <w:p w14:paraId="4DB4226A" w14:textId="77777777" w:rsidR="00B54D51" w:rsidRPr="00037AD4" w:rsidRDefault="00B54D51" w:rsidP="00401C67">
            <w:pPr>
              <w:rPr>
                <w:rFonts w:asciiTheme="minorHAnsi" w:hAnsiTheme="minorHAnsi" w:cstheme="minorHAnsi"/>
                <w:u w:val="single"/>
              </w:rPr>
            </w:pPr>
            <w:r w:rsidRPr="00037AD4">
              <w:rPr>
                <w:rFonts w:asciiTheme="minorHAnsi" w:hAnsiTheme="minorHAnsi" w:cstheme="minorHAnsi"/>
              </w:rPr>
              <w:t xml:space="preserve">With PwD themselves </w:t>
            </w:r>
          </w:p>
        </w:tc>
      </w:tr>
      <w:tr w:rsidR="00B54D51" w:rsidRPr="00037AD4" w14:paraId="4F6F67D6" w14:textId="77777777" w:rsidTr="00401C67">
        <w:tc>
          <w:tcPr>
            <w:tcW w:w="1969" w:type="dxa"/>
          </w:tcPr>
          <w:p w14:paraId="185F6A7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lastRenderedPageBreak/>
              <w:t xml:space="preserve">QoL-AD proxy </w:t>
            </w:r>
          </w:p>
        </w:tc>
        <w:tc>
          <w:tcPr>
            <w:tcW w:w="1960" w:type="dxa"/>
          </w:tcPr>
          <w:p w14:paraId="1F83E87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Caregiver</w:t>
            </w:r>
          </w:p>
        </w:tc>
        <w:tc>
          <w:tcPr>
            <w:tcW w:w="2191" w:type="dxa"/>
          </w:tcPr>
          <w:p w14:paraId="2279EE8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Self-completed</w:t>
            </w:r>
          </w:p>
        </w:tc>
        <w:tc>
          <w:tcPr>
            <w:tcW w:w="1246" w:type="dxa"/>
          </w:tcPr>
          <w:p w14:paraId="3AC08DF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0, 3, 10</w:t>
            </w:r>
          </w:p>
        </w:tc>
        <w:tc>
          <w:tcPr>
            <w:tcW w:w="1985" w:type="dxa"/>
          </w:tcPr>
          <w:p w14:paraId="0812AC7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About PwD </w:t>
            </w:r>
          </w:p>
        </w:tc>
      </w:tr>
      <w:tr w:rsidR="00B54D51" w:rsidRPr="00037AD4" w14:paraId="63C39A44" w14:textId="77777777" w:rsidTr="00401C67">
        <w:tc>
          <w:tcPr>
            <w:tcW w:w="1969" w:type="dxa"/>
          </w:tcPr>
          <w:p w14:paraId="7FEF5A5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QCPR</w:t>
            </w:r>
            <w:r w:rsidRPr="00037AD4">
              <w:rPr>
                <w:rFonts w:asciiTheme="minorHAnsi" w:hAnsiTheme="minorHAnsi" w:cstheme="minorHAnsi"/>
                <w:vertAlign w:val="superscript"/>
              </w:rPr>
              <w:t>±</w:t>
            </w:r>
            <w:r w:rsidRPr="00037AD4">
              <w:rPr>
                <w:rFonts w:asciiTheme="minorHAnsi" w:hAnsiTheme="minorHAnsi" w:cstheme="minorHAnsi"/>
              </w:rPr>
              <w:t xml:space="preserve"> </w:t>
            </w:r>
          </w:p>
        </w:tc>
        <w:tc>
          <w:tcPr>
            <w:tcW w:w="1960" w:type="dxa"/>
          </w:tcPr>
          <w:p w14:paraId="1C691D5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PwD &amp; caregiver</w:t>
            </w:r>
          </w:p>
        </w:tc>
        <w:tc>
          <w:tcPr>
            <w:tcW w:w="2191" w:type="dxa"/>
          </w:tcPr>
          <w:p w14:paraId="0797376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Interview </w:t>
            </w:r>
          </w:p>
        </w:tc>
        <w:tc>
          <w:tcPr>
            <w:tcW w:w="1246" w:type="dxa"/>
          </w:tcPr>
          <w:p w14:paraId="4F34FEA6" w14:textId="77777777" w:rsidR="00B54D51" w:rsidRPr="00037AD4" w:rsidRDefault="00B54D51" w:rsidP="00401C67">
            <w:pPr>
              <w:rPr>
                <w:rFonts w:asciiTheme="minorHAnsi" w:hAnsiTheme="minorHAnsi" w:cstheme="minorHAnsi"/>
                <w:u w:val="single"/>
              </w:rPr>
            </w:pPr>
            <w:r w:rsidRPr="00037AD4">
              <w:rPr>
                <w:rFonts w:asciiTheme="minorHAnsi" w:hAnsiTheme="minorHAnsi" w:cstheme="minorHAnsi"/>
              </w:rPr>
              <w:t>0, 3, 10</w:t>
            </w:r>
          </w:p>
        </w:tc>
        <w:tc>
          <w:tcPr>
            <w:tcW w:w="1985" w:type="dxa"/>
          </w:tcPr>
          <w:p w14:paraId="3F1A01C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Assessed separately by PwD and caregiver </w:t>
            </w:r>
          </w:p>
        </w:tc>
      </w:tr>
      <w:tr w:rsidR="00B54D51" w:rsidRPr="00037AD4" w14:paraId="7FF677BF" w14:textId="77777777" w:rsidTr="00401C67">
        <w:tc>
          <w:tcPr>
            <w:tcW w:w="1969" w:type="dxa"/>
          </w:tcPr>
          <w:p w14:paraId="6202148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RAID</w:t>
            </w:r>
            <w:r w:rsidRPr="00037AD4">
              <w:rPr>
                <w:rFonts w:asciiTheme="minorHAnsi" w:hAnsiTheme="minorHAnsi" w:cstheme="minorHAnsi"/>
                <w:vertAlign w:val="superscript"/>
              </w:rPr>
              <w:t>±</w:t>
            </w:r>
          </w:p>
        </w:tc>
        <w:tc>
          <w:tcPr>
            <w:tcW w:w="1960" w:type="dxa"/>
          </w:tcPr>
          <w:p w14:paraId="04DA08C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PwD &amp; caregiver</w:t>
            </w:r>
          </w:p>
        </w:tc>
        <w:tc>
          <w:tcPr>
            <w:tcW w:w="2191" w:type="dxa"/>
          </w:tcPr>
          <w:p w14:paraId="3B8FD20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Interviews with PwD and caregivers</w:t>
            </w:r>
          </w:p>
        </w:tc>
        <w:tc>
          <w:tcPr>
            <w:tcW w:w="1246" w:type="dxa"/>
          </w:tcPr>
          <w:p w14:paraId="17790334" w14:textId="77777777" w:rsidR="00B54D51" w:rsidRPr="00037AD4" w:rsidRDefault="00B54D51" w:rsidP="00401C67">
            <w:pPr>
              <w:rPr>
                <w:rFonts w:asciiTheme="minorHAnsi" w:hAnsiTheme="minorHAnsi" w:cstheme="minorHAnsi"/>
                <w:u w:val="single"/>
              </w:rPr>
            </w:pPr>
            <w:r w:rsidRPr="00037AD4">
              <w:rPr>
                <w:rFonts w:asciiTheme="minorHAnsi" w:hAnsiTheme="minorHAnsi" w:cstheme="minorHAnsi"/>
              </w:rPr>
              <w:t>0, 3, 10</w:t>
            </w:r>
          </w:p>
        </w:tc>
        <w:tc>
          <w:tcPr>
            <w:tcW w:w="1985" w:type="dxa"/>
          </w:tcPr>
          <w:p w14:paraId="187C9F4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About PwD </w:t>
            </w:r>
          </w:p>
        </w:tc>
      </w:tr>
      <w:tr w:rsidR="00B54D51" w:rsidRPr="00037AD4" w14:paraId="45F67156" w14:textId="77777777" w:rsidTr="00401C67">
        <w:tc>
          <w:tcPr>
            <w:tcW w:w="1969" w:type="dxa"/>
          </w:tcPr>
          <w:p w14:paraId="2D5CD33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RSS</w:t>
            </w:r>
            <w:r w:rsidRPr="00037AD4">
              <w:rPr>
                <w:rFonts w:asciiTheme="minorHAnsi" w:hAnsiTheme="minorHAnsi" w:cstheme="minorHAnsi"/>
                <w:vertAlign w:val="superscript"/>
              </w:rPr>
              <w:t>±</w:t>
            </w:r>
          </w:p>
        </w:tc>
        <w:tc>
          <w:tcPr>
            <w:tcW w:w="1960" w:type="dxa"/>
          </w:tcPr>
          <w:p w14:paraId="5D20F14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Caregiver</w:t>
            </w:r>
          </w:p>
        </w:tc>
        <w:tc>
          <w:tcPr>
            <w:tcW w:w="2191" w:type="dxa"/>
          </w:tcPr>
          <w:p w14:paraId="53D4FF04" w14:textId="77777777" w:rsidR="00B54D51" w:rsidRPr="00037AD4" w:rsidRDefault="00B54D51" w:rsidP="00401C67">
            <w:pPr>
              <w:rPr>
                <w:rFonts w:asciiTheme="minorHAnsi" w:hAnsiTheme="minorHAnsi" w:cstheme="minorHAnsi"/>
                <w:u w:val="single"/>
              </w:rPr>
            </w:pPr>
            <w:r w:rsidRPr="00037AD4">
              <w:rPr>
                <w:rFonts w:asciiTheme="minorHAnsi" w:hAnsiTheme="minorHAnsi" w:cstheme="minorHAnsi"/>
              </w:rPr>
              <w:t xml:space="preserve">Self-complete </w:t>
            </w:r>
          </w:p>
        </w:tc>
        <w:tc>
          <w:tcPr>
            <w:tcW w:w="1246" w:type="dxa"/>
          </w:tcPr>
          <w:p w14:paraId="2D482E92" w14:textId="77777777" w:rsidR="00B54D51" w:rsidRPr="00037AD4" w:rsidRDefault="00B54D51" w:rsidP="00401C67">
            <w:pPr>
              <w:rPr>
                <w:rFonts w:asciiTheme="minorHAnsi" w:hAnsiTheme="minorHAnsi" w:cstheme="minorHAnsi"/>
                <w:u w:val="single"/>
              </w:rPr>
            </w:pPr>
            <w:r w:rsidRPr="00037AD4">
              <w:rPr>
                <w:rFonts w:asciiTheme="minorHAnsi" w:hAnsiTheme="minorHAnsi" w:cstheme="minorHAnsi"/>
              </w:rPr>
              <w:t>0, 3, 10</w:t>
            </w:r>
          </w:p>
        </w:tc>
        <w:tc>
          <w:tcPr>
            <w:tcW w:w="1985" w:type="dxa"/>
          </w:tcPr>
          <w:p w14:paraId="452F630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About caregiver themselves </w:t>
            </w:r>
          </w:p>
        </w:tc>
      </w:tr>
      <w:tr w:rsidR="00B54D51" w:rsidRPr="00037AD4" w14:paraId="0CDE5A21" w14:textId="77777777" w:rsidTr="00401C67">
        <w:tc>
          <w:tcPr>
            <w:tcW w:w="9351" w:type="dxa"/>
            <w:gridSpan w:val="5"/>
          </w:tcPr>
          <w:p w14:paraId="1A66C4C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*Primary outcomes; </w:t>
            </w:r>
            <w:r w:rsidRPr="00037AD4">
              <w:rPr>
                <w:rFonts w:asciiTheme="minorHAnsi" w:hAnsiTheme="minorHAnsi" w:cstheme="minorHAnsi"/>
                <w:vertAlign w:val="superscript"/>
              </w:rPr>
              <w:t>±</w:t>
            </w:r>
            <w:r w:rsidRPr="00037AD4">
              <w:rPr>
                <w:rFonts w:asciiTheme="minorHAnsi" w:hAnsiTheme="minorHAnsi" w:cstheme="minorHAnsi"/>
              </w:rPr>
              <w:t xml:space="preserve">Not included in transferred dataset </w:t>
            </w:r>
          </w:p>
          <w:p w14:paraId="7397427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Autobiographical memory interview, AMI(E); Quality of the carer-patient relationship (QCPR); Cornell scale for depression in dementia (CSDD); Rating anxiety in dementia (RAID); the hospital anxiety and depression scale (HADS); relative’s stress scale (RSS); Client Services Receipt Inventory (CSRI) </w:t>
            </w:r>
          </w:p>
        </w:tc>
      </w:tr>
    </w:tbl>
    <w:p w14:paraId="493457C3" w14:textId="77777777" w:rsidR="00B54D51" w:rsidRPr="00037AD4" w:rsidRDefault="00B54D51" w:rsidP="001D7ACE">
      <w:pPr>
        <w:rPr>
          <w:rFonts w:asciiTheme="minorHAnsi" w:hAnsiTheme="minorHAnsi" w:cstheme="minorHAnsi"/>
        </w:rPr>
      </w:pPr>
    </w:p>
    <w:p w14:paraId="7817C162" w14:textId="77777777" w:rsidR="00B54D51" w:rsidRPr="00037AD4" w:rsidRDefault="00B54D51" w:rsidP="001D7ACE">
      <w:pPr>
        <w:rPr>
          <w:rFonts w:asciiTheme="minorHAnsi" w:hAnsiTheme="minorHAnsi" w:cstheme="minorHAnsi"/>
          <w:u w:val="single"/>
        </w:rPr>
      </w:pPr>
      <w:r w:rsidRPr="00037AD4">
        <w:rPr>
          <w:rFonts w:asciiTheme="minorHAnsi" w:hAnsiTheme="minorHAnsi" w:cstheme="minorHAnsi"/>
          <w:u w:val="single"/>
        </w:rPr>
        <w:t>4A5) Clinical and cost effectiveness of the REMCARE intervention</w:t>
      </w:r>
    </w:p>
    <w:p w14:paraId="4262BBDF" w14:textId="77777777" w:rsidR="00B54D51" w:rsidRPr="00037AD4" w:rsidRDefault="00B54D51" w:rsidP="001D7ACE">
      <w:pPr>
        <w:rPr>
          <w:rFonts w:asciiTheme="minorHAnsi" w:hAnsiTheme="minorHAnsi" w:cstheme="minorHAnsi"/>
          <w:b/>
          <w:bCs/>
          <w:u w:val="single"/>
        </w:rPr>
      </w:pPr>
    </w:p>
    <w:p w14:paraId="60CE29CF" w14:textId="77777777" w:rsidR="00B54D51" w:rsidRPr="00037AD4" w:rsidRDefault="00B54D51" w:rsidP="001D7ACE">
      <w:pPr>
        <w:rPr>
          <w:rFonts w:asciiTheme="minorHAnsi" w:hAnsiTheme="minorHAnsi" w:cstheme="minorHAnsi"/>
        </w:rPr>
      </w:pPr>
      <w:r w:rsidRPr="00037AD4">
        <w:rPr>
          <w:rFonts w:asciiTheme="minorHAnsi" w:hAnsiTheme="minorHAnsi" w:cstheme="minorHAnsi"/>
        </w:rPr>
        <w:t xml:space="preserve">Effectiveness was evaluated through the primary outcomes: self-reported QoL-AD (of PwD) and GHQ-28 (of caregiver) at 10 months. </w:t>
      </w:r>
    </w:p>
    <w:p w14:paraId="6026D532" w14:textId="77777777" w:rsidR="00B54D51" w:rsidRPr="00037AD4" w:rsidRDefault="00B54D51" w:rsidP="001D7ACE">
      <w:pPr>
        <w:rPr>
          <w:rFonts w:asciiTheme="minorHAnsi" w:hAnsiTheme="minorHAnsi" w:cstheme="minorHAnsi"/>
        </w:rPr>
      </w:pPr>
    </w:p>
    <w:p w14:paraId="4CCDC7B0" w14:textId="77777777" w:rsidR="00B54D51" w:rsidRPr="00037AD4" w:rsidRDefault="00B54D51" w:rsidP="001D7ACE">
      <w:pPr>
        <w:rPr>
          <w:rFonts w:asciiTheme="minorHAnsi" w:hAnsiTheme="minorHAnsi" w:cstheme="minorHAnsi"/>
        </w:rPr>
      </w:pPr>
      <w:r w:rsidRPr="00037AD4">
        <w:rPr>
          <w:rFonts w:asciiTheme="minorHAnsi" w:hAnsiTheme="minorHAnsi" w:cstheme="minorHAnsi"/>
        </w:rPr>
        <w:t>ITT analysis showed no difference in the primary or secondary outcomes between the trial arms. QoL-AD self-report had a mean difference of 0.07 (-1.21 to 1.35; f=0.48, p=0.53) at 10 month follow-up, however caregivers in the intervention group showed a significant increase in anxiety on the GHQ-28 sub-scale at 10 months, mean difference 1.25 (0.25 to 2.26; f=8.28, p=0.04) (and those allocated to the control group showed a reduced level of anxiety at this point). This difference was not seen at 3 months. At the 3-month end point there were no group differences in the primary or secondary outcomes: QoL-AD self-report =0.76 (0.59), p=0.63; GHQ-28 = 0.02 (0.05) p=0.86.</w:t>
      </w:r>
    </w:p>
    <w:p w14:paraId="0D7293B1" w14:textId="77777777" w:rsidR="00B54D51" w:rsidRPr="00037AD4" w:rsidRDefault="00B54D51" w:rsidP="001D7ACE">
      <w:pPr>
        <w:rPr>
          <w:rFonts w:asciiTheme="minorHAnsi" w:hAnsiTheme="minorHAnsi" w:cstheme="minorHAnsi"/>
        </w:rPr>
      </w:pPr>
    </w:p>
    <w:p w14:paraId="7F989E3A" w14:textId="77777777" w:rsidR="00B54D51" w:rsidRPr="00037AD4" w:rsidRDefault="00B54D51" w:rsidP="001D7ACE">
      <w:pPr>
        <w:rPr>
          <w:rFonts w:asciiTheme="minorHAnsi" w:hAnsiTheme="minorHAnsi" w:cstheme="minorHAnsi"/>
        </w:rPr>
      </w:pPr>
      <w:r w:rsidRPr="00037AD4">
        <w:rPr>
          <w:rFonts w:asciiTheme="minorHAnsi" w:hAnsiTheme="minorHAnsi" w:cstheme="minorHAnsi"/>
        </w:rPr>
        <w:t xml:space="preserve">Interestingly, the number of sessions attended was linked to a significant improvement in self-reported EQ-5D-3L at 10 months for PwD in the intervention group (p=0.01). However, the number of sessions attended was associated with worse scores on the RSS (Relative Stress Scale, p=0.01). Therefore, any possible beneficial effects for PwD that attended session was offset by the increased anxiety and stress experienced by their caregivers. </w:t>
      </w:r>
    </w:p>
    <w:p w14:paraId="1CFB085D" w14:textId="77777777" w:rsidR="00B54D51" w:rsidRPr="00037AD4" w:rsidRDefault="00B54D51" w:rsidP="001D7ACE">
      <w:pPr>
        <w:rPr>
          <w:rFonts w:asciiTheme="minorHAnsi" w:hAnsiTheme="minorHAnsi" w:cstheme="minorHAnsi"/>
          <w:u w:val="single"/>
        </w:rPr>
      </w:pPr>
    </w:p>
    <w:p w14:paraId="657CA3D6" w14:textId="77777777" w:rsidR="00B54D51" w:rsidRPr="00037AD4" w:rsidRDefault="00B54D51" w:rsidP="001D7ACE">
      <w:pPr>
        <w:rPr>
          <w:rFonts w:asciiTheme="minorHAnsi" w:hAnsiTheme="minorHAnsi" w:cstheme="minorHAnsi"/>
        </w:rPr>
      </w:pPr>
      <w:r w:rsidRPr="00037AD4">
        <w:rPr>
          <w:rFonts w:asciiTheme="minorHAnsi" w:hAnsiTheme="minorHAnsi" w:cstheme="minorHAnsi"/>
        </w:rPr>
        <w:t xml:space="preserve">A multi-sectoral public sector perspective (including NHS, dementia services, primary and secondary care, and local government) was adopted for the cost-effectiveness analysis, with a focus on dementia specific QoL instruments. Intervention costing adopted a local dementia services perspective. </w:t>
      </w:r>
    </w:p>
    <w:p w14:paraId="79A63097" w14:textId="77777777" w:rsidR="00B54D51" w:rsidRPr="00037AD4" w:rsidRDefault="00B54D51" w:rsidP="001D7ACE">
      <w:pPr>
        <w:rPr>
          <w:rFonts w:asciiTheme="minorHAnsi" w:hAnsiTheme="minorHAnsi" w:cstheme="minorHAnsi"/>
        </w:rPr>
      </w:pPr>
    </w:p>
    <w:p w14:paraId="77A3079D" w14:textId="77777777" w:rsidR="00B54D51" w:rsidRPr="00037AD4" w:rsidRDefault="00B54D51" w:rsidP="001D7ACE">
      <w:pPr>
        <w:rPr>
          <w:rFonts w:asciiTheme="minorHAnsi" w:hAnsiTheme="minorHAnsi" w:cstheme="minorHAnsi"/>
        </w:rPr>
      </w:pPr>
      <w:r w:rsidRPr="00037AD4">
        <w:rPr>
          <w:rFonts w:asciiTheme="minorHAnsi" w:hAnsiTheme="minorHAnsi" w:cstheme="minorHAnsi"/>
        </w:rPr>
        <w:t xml:space="preserve">The cost per 19 session (12 x weekly and 7 x monthly) programme ranged from £4,215 - £14,579. The mean cost/dyad was £964 (based on a mean of ~10 dyads per programme). In addition, the intervention group used more NHS and local authority day-care services than the control group over the 10-month period (this may be due to increased social contact resulting in an uptake of services as a result of greater awareness and knowledge). </w:t>
      </w:r>
    </w:p>
    <w:p w14:paraId="44680E7E" w14:textId="77777777" w:rsidR="00B54D51" w:rsidRPr="00037AD4" w:rsidRDefault="00B54D51" w:rsidP="001D7ACE">
      <w:pPr>
        <w:rPr>
          <w:rFonts w:asciiTheme="minorHAnsi" w:hAnsiTheme="minorHAnsi" w:cstheme="minorHAnsi"/>
        </w:rPr>
      </w:pPr>
    </w:p>
    <w:p w14:paraId="6700C65F" w14:textId="77777777" w:rsidR="00B54D51" w:rsidRPr="00037AD4" w:rsidRDefault="00B54D51" w:rsidP="001D7ACE">
      <w:pPr>
        <w:rPr>
          <w:rFonts w:asciiTheme="minorHAnsi" w:hAnsiTheme="minorHAnsi" w:cstheme="minorHAnsi"/>
        </w:rPr>
      </w:pPr>
      <w:r w:rsidRPr="00037AD4">
        <w:rPr>
          <w:rFonts w:asciiTheme="minorHAnsi" w:hAnsiTheme="minorHAnsi" w:cstheme="minorHAnsi"/>
        </w:rPr>
        <w:lastRenderedPageBreak/>
        <w:t xml:space="preserve">Therefore, as the cost of the intervention was high, and there was a lack of clinical effectiveness, the intervention was not seen to be cost-effective. A cost utility analysis, though planned, was not estimated due to the absence of suggestive results, and CEACs were not derived as they were deemed inappropriate. </w:t>
      </w:r>
    </w:p>
    <w:p w14:paraId="23C7191C" w14:textId="77777777" w:rsidR="00B54D51" w:rsidRPr="00037AD4" w:rsidRDefault="00B54D51" w:rsidP="001D7ACE">
      <w:pPr>
        <w:rPr>
          <w:rFonts w:asciiTheme="minorHAnsi" w:hAnsiTheme="minorHAnsi" w:cstheme="minorHAnsi"/>
          <w:b/>
          <w:bCs/>
          <w:u w:val="single"/>
        </w:rPr>
      </w:pPr>
    </w:p>
    <w:p w14:paraId="281AFE8C" w14:textId="77777777" w:rsidR="00B54D51" w:rsidRPr="00037AD4" w:rsidRDefault="00B54D51" w:rsidP="001D7ACE">
      <w:pPr>
        <w:rPr>
          <w:rFonts w:asciiTheme="minorHAnsi" w:hAnsiTheme="minorHAnsi" w:cstheme="minorHAnsi"/>
          <w:b/>
          <w:bCs/>
          <w:u w:val="single"/>
        </w:rPr>
      </w:pPr>
      <w:r w:rsidRPr="00037AD4">
        <w:rPr>
          <w:rFonts w:asciiTheme="minorHAnsi" w:hAnsiTheme="minorHAnsi" w:cstheme="minorHAnsi"/>
          <w:b/>
          <w:bCs/>
          <w:u w:val="single"/>
        </w:rPr>
        <w:t xml:space="preserve">4B) Enhancing person centred care in Care homes (EPIC) trial summary </w:t>
      </w:r>
    </w:p>
    <w:p w14:paraId="2EA3FD41" w14:textId="77777777" w:rsidR="00B54D51" w:rsidRPr="00037AD4" w:rsidRDefault="00B54D51" w:rsidP="001D7ACE">
      <w:pPr>
        <w:rPr>
          <w:rFonts w:asciiTheme="minorHAnsi" w:hAnsiTheme="minorHAnsi" w:cstheme="minorHAnsi"/>
          <w:b/>
          <w:bCs/>
          <w:u w:val="single"/>
        </w:rPr>
      </w:pPr>
    </w:p>
    <w:p w14:paraId="64376986" w14:textId="77777777" w:rsidR="00B54D51" w:rsidRPr="00037AD4" w:rsidRDefault="00B54D51" w:rsidP="001D7ACE">
      <w:pPr>
        <w:rPr>
          <w:rFonts w:asciiTheme="minorHAnsi" w:hAnsiTheme="minorHAnsi" w:cstheme="minorHAnsi"/>
          <w:b/>
          <w:bCs/>
          <w:u w:val="single"/>
        </w:rPr>
      </w:pPr>
      <w:r w:rsidRPr="00037AD4">
        <w:rPr>
          <w:rFonts w:asciiTheme="minorHAnsi" w:hAnsiTheme="minorHAnsi" w:cstheme="minorHAnsi"/>
        </w:rPr>
        <w:t xml:space="preserve">The EPIC trial (ISRCTN82288852) took place across 50 care homes within the UK. The funding for the study was provided by the HTA programme of the NIHR </w:t>
      </w:r>
      <w:r>
        <w:rPr>
          <w:rFonts w:asciiTheme="minorHAnsi" w:hAnsiTheme="minorHAnsi" w:cstheme="minorHAnsi"/>
          <w:noProof/>
        </w:rPr>
        <w:t>(Surr et al., 2021)</w:t>
      </w:r>
      <w:r w:rsidRPr="00037AD4">
        <w:rPr>
          <w:rFonts w:asciiTheme="minorHAnsi" w:hAnsiTheme="minorHAnsi" w:cstheme="minorHAnsi"/>
        </w:rPr>
        <w:t xml:space="preserve">. </w:t>
      </w:r>
    </w:p>
    <w:p w14:paraId="3CD81B63" w14:textId="77777777" w:rsidR="00B54D51" w:rsidRPr="00037AD4" w:rsidRDefault="00B54D51" w:rsidP="001D7ACE">
      <w:pPr>
        <w:rPr>
          <w:rFonts w:asciiTheme="minorHAnsi" w:hAnsiTheme="minorHAnsi" w:cstheme="minorHAnsi"/>
          <w:b/>
          <w:bCs/>
          <w:u w:val="single"/>
        </w:rPr>
      </w:pPr>
    </w:p>
    <w:p w14:paraId="499F7969" w14:textId="77777777" w:rsidR="00B54D51" w:rsidRPr="00037AD4" w:rsidRDefault="00B54D51" w:rsidP="001D7ACE">
      <w:pPr>
        <w:rPr>
          <w:rFonts w:asciiTheme="minorHAnsi" w:hAnsiTheme="minorHAnsi" w:cstheme="minorHAnsi"/>
        </w:rPr>
      </w:pPr>
      <w:r w:rsidRPr="00037AD4">
        <w:rPr>
          <w:rFonts w:asciiTheme="minorHAnsi" w:hAnsiTheme="minorHAnsi" w:cstheme="minorHAnsi"/>
        </w:rPr>
        <w:t xml:space="preserve">The EPIC study team aimed to explore whether Dementia Care Mapping (DCM) in addition to usual care was a (cost) effective strategy at reducing agitation in the PwD, compared to usual care alone. </w:t>
      </w:r>
    </w:p>
    <w:p w14:paraId="06017FD3" w14:textId="77777777" w:rsidR="00B54D51" w:rsidRPr="00037AD4" w:rsidRDefault="00B54D51" w:rsidP="001D7ACE">
      <w:pPr>
        <w:rPr>
          <w:rFonts w:asciiTheme="minorHAnsi" w:hAnsiTheme="minorHAnsi" w:cstheme="minorHAnsi"/>
        </w:rPr>
      </w:pPr>
    </w:p>
    <w:p w14:paraId="02916A7E" w14:textId="77777777" w:rsidR="00B54D51" w:rsidRPr="00037AD4" w:rsidRDefault="00B54D51" w:rsidP="001D7ACE">
      <w:pPr>
        <w:rPr>
          <w:rFonts w:asciiTheme="minorHAnsi" w:hAnsiTheme="minorHAnsi" w:cstheme="minorHAnsi"/>
          <w:u w:val="single"/>
        </w:rPr>
      </w:pPr>
      <w:r w:rsidRPr="00037AD4">
        <w:rPr>
          <w:rFonts w:asciiTheme="minorHAnsi" w:hAnsiTheme="minorHAnsi" w:cstheme="minorHAnsi"/>
          <w:u w:val="single"/>
        </w:rPr>
        <w:t xml:space="preserve">4B1) EPIC intervention and trial design </w:t>
      </w:r>
    </w:p>
    <w:p w14:paraId="1FAF1707" w14:textId="77777777" w:rsidR="00B54D51" w:rsidRPr="00037AD4" w:rsidRDefault="00B54D51" w:rsidP="001D7ACE">
      <w:pPr>
        <w:rPr>
          <w:rFonts w:asciiTheme="minorHAnsi" w:hAnsiTheme="minorHAnsi" w:cstheme="minorHAnsi"/>
          <w:b/>
          <w:bCs/>
          <w:u w:val="single"/>
        </w:rPr>
      </w:pPr>
    </w:p>
    <w:p w14:paraId="1B132451" w14:textId="77777777" w:rsidR="00B54D51" w:rsidRPr="00037AD4" w:rsidRDefault="00B54D51" w:rsidP="001D7ACE">
      <w:pPr>
        <w:rPr>
          <w:rFonts w:asciiTheme="minorHAnsi" w:hAnsiTheme="minorHAnsi" w:cstheme="minorHAnsi"/>
        </w:rPr>
      </w:pPr>
      <w:r w:rsidRPr="00037AD4">
        <w:rPr>
          <w:rFonts w:asciiTheme="minorHAnsi" w:hAnsiTheme="minorHAnsi" w:cstheme="minorHAnsi"/>
        </w:rPr>
        <w:t xml:space="preserve">The EPIC intervention involved training two care home staff in the use of DCM, followed by implementing three full mapping cycles. DCM is a five-cycle observational tool for use in institutions that is integrated within a practice development cycle: </w:t>
      </w:r>
    </w:p>
    <w:p w14:paraId="4864E774" w14:textId="77777777" w:rsidR="00B54D51" w:rsidRPr="00037AD4" w:rsidRDefault="00B54D51" w:rsidP="001D7ACE">
      <w:pPr>
        <w:rPr>
          <w:rFonts w:asciiTheme="minorHAnsi" w:hAnsiTheme="minorHAnsi" w:cstheme="minorHAnsi"/>
        </w:rPr>
      </w:pPr>
    </w:p>
    <w:p w14:paraId="62103789" w14:textId="77777777" w:rsidR="00B54D51" w:rsidRPr="00037AD4" w:rsidRDefault="00B54D51" w:rsidP="0026777C">
      <w:pPr>
        <w:pStyle w:val="ListParagraph"/>
        <w:numPr>
          <w:ilvl w:val="0"/>
          <w:numId w:val="6"/>
        </w:numPr>
        <w:rPr>
          <w:rFonts w:cstheme="minorHAnsi"/>
        </w:rPr>
      </w:pPr>
      <w:r w:rsidRPr="00037AD4">
        <w:rPr>
          <w:rFonts w:cstheme="minorHAnsi"/>
        </w:rPr>
        <w:t>Briefing</w:t>
      </w:r>
    </w:p>
    <w:p w14:paraId="232F8047" w14:textId="77777777" w:rsidR="00B54D51" w:rsidRPr="00037AD4" w:rsidRDefault="00B54D51" w:rsidP="0026777C">
      <w:pPr>
        <w:pStyle w:val="ListParagraph"/>
        <w:numPr>
          <w:ilvl w:val="1"/>
          <w:numId w:val="6"/>
        </w:numPr>
        <w:rPr>
          <w:rFonts w:cstheme="minorHAnsi"/>
        </w:rPr>
      </w:pPr>
      <w:r w:rsidRPr="00037AD4">
        <w:rPr>
          <w:rFonts w:cstheme="minorHAnsi"/>
        </w:rPr>
        <w:t xml:space="preserve">Consulting other staff members about selection of appropriate residents to be mapped </w:t>
      </w:r>
    </w:p>
    <w:p w14:paraId="7058E0C8" w14:textId="77777777" w:rsidR="00B54D51" w:rsidRPr="00037AD4" w:rsidRDefault="00B54D51" w:rsidP="0026777C">
      <w:pPr>
        <w:pStyle w:val="ListParagraph"/>
        <w:numPr>
          <w:ilvl w:val="0"/>
          <w:numId w:val="6"/>
        </w:numPr>
        <w:rPr>
          <w:rFonts w:cstheme="minorHAnsi"/>
        </w:rPr>
      </w:pPr>
      <w:r w:rsidRPr="00037AD4">
        <w:rPr>
          <w:rFonts w:cstheme="minorHAnsi"/>
        </w:rPr>
        <w:t xml:space="preserve">Observation </w:t>
      </w:r>
    </w:p>
    <w:p w14:paraId="1CB45351" w14:textId="77777777" w:rsidR="00B54D51" w:rsidRPr="00037AD4" w:rsidRDefault="00B54D51" w:rsidP="0026777C">
      <w:pPr>
        <w:pStyle w:val="ListParagraph"/>
        <w:numPr>
          <w:ilvl w:val="1"/>
          <w:numId w:val="6"/>
        </w:numPr>
        <w:rPr>
          <w:rFonts w:cstheme="minorHAnsi"/>
        </w:rPr>
      </w:pPr>
      <w:r w:rsidRPr="00037AD4">
        <w:rPr>
          <w:rFonts w:cstheme="minorHAnsi"/>
        </w:rPr>
        <w:t xml:space="preserve">Continuous observation of 2-5 PwD over a 4-6 hour period in communal areas where resident behaviour every 5 minutes is recorded via codes, as well as examples of staff care (good and poor) and communication with residents </w:t>
      </w:r>
    </w:p>
    <w:p w14:paraId="4CED0B3D" w14:textId="77777777" w:rsidR="00B54D51" w:rsidRPr="00037AD4" w:rsidRDefault="00B54D51" w:rsidP="0026777C">
      <w:pPr>
        <w:pStyle w:val="ListParagraph"/>
        <w:numPr>
          <w:ilvl w:val="0"/>
          <w:numId w:val="6"/>
        </w:numPr>
        <w:rPr>
          <w:rFonts w:cstheme="minorHAnsi"/>
        </w:rPr>
      </w:pPr>
      <w:r w:rsidRPr="00037AD4">
        <w:rPr>
          <w:rFonts w:cstheme="minorHAnsi"/>
        </w:rPr>
        <w:t>Analysis</w:t>
      </w:r>
    </w:p>
    <w:p w14:paraId="3CD50192" w14:textId="77777777" w:rsidR="00B54D51" w:rsidRPr="00037AD4" w:rsidRDefault="00B54D51" w:rsidP="0026777C">
      <w:pPr>
        <w:pStyle w:val="ListParagraph"/>
        <w:numPr>
          <w:ilvl w:val="1"/>
          <w:numId w:val="6"/>
        </w:numPr>
        <w:rPr>
          <w:rFonts w:cstheme="minorHAnsi"/>
        </w:rPr>
      </w:pPr>
      <w:r w:rsidRPr="00037AD4">
        <w:rPr>
          <w:rFonts w:cstheme="minorHAnsi"/>
        </w:rPr>
        <w:t xml:space="preserve">Data collected via observation is analysed and presented in a report </w:t>
      </w:r>
    </w:p>
    <w:p w14:paraId="52AA12C8" w14:textId="77777777" w:rsidR="00B54D51" w:rsidRPr="00037AD4" w:rsidRDefault="00B54D51" w:rsidP="0026777C">
      <w:pPr>
        <w:pStyle w:val="ListParagraph"/>
        <w:numPr>
          <w:ilvl w:val="0"/>
          <w:numId w:val="6"/>
        </w:numPr>
        <w:rPr>
          <w:rFonts w:cstheme="minorHAnsi"/>
        </w:rPr>
      </w:pPr>
      <w:r w:rsidRPr="00037AD4">
        <w:rPr>
          <w:rFonts w:cstheme="minorHAnsi"/>
        </w:rPr>
        <w:t>Feedback</w:t>
      </w:r>
    </w:p>
    <w:p w14:paraId="619F6D34" w14:textId="77777777" w:rsidR="00B54D51" w:rsidRPr="00037AD4" w:rsidRDefault="00B54D51" w:rsidP="0026777C">
      <w:pPr>
        <w:pStyle w:val="ListParagraph"/>
        <w:numPr>
          <w:ilvl w:val="1"/>
          <w:numId w:val="6"/>
        </w:numPr>
        <w:rPr>
          <w:rFonts w:cstheme="minorHAnsi"/>
        </w:rPr>
      </w:pPr>
      <w:r w:rsidRPr="00037AD4">
        <w:rPr>
          <w:rFonts w:cstheme="minorHAnsi"/>
        </w:rPr>
        <w:t>The report is then be fed back to the staff team</w:t>
      </w:r>
    </w:p>
    <w:p w14:paraId="3C2D48F8" w14:textId="77777777" w:rsidR="00B54D51" w:rsidRPr="00037AD4" w:rsidRDefault="00B54D51" w:rsidP="0026777C">
      <w:pPr>
        <w:pStyle w:val="ListParagraph"/>
        <w:numPr>
          <w:ilvl w:val="0"/>
          <w:numId w:val="6"/>
        </w:numPr>
        <w:rPr>
          <w:rFonts w:cstheme="minorHAnsi"/>
        </w:rPr>
      </w:pPr>
      <w:r w:rsidRPr="00037AD4">
        <w:rPr>
          <w:rFonts w:cstheme="minorHAnsi"/>
        </w:rPr>
        <w:t xml:space="preserve">Action planning </w:t>
      </w:r>
    </w:p>
    <w:p w14:paraId="30552D35" w14:textId="77777777" w:rsidR="00B54D51" w:rsidRPr="00037AD4" w:rsidRDefault="00B54D51" w:rsidP="0026777C">
      <w:pPr>
        <w:pStyle w:val="ListParagraph"/>
        <w:numPr>
          <w:ilvl w:val="1"/>
          <w:numId w:val="6"/>
        </w:numPr>
        <w:rPr>
          <w:rFonts w:cstheme="minorHAnsi"/>
        </w:rPr>
      </w:pPr>
      <w:r w:rsidRPr="00037AD4">
        <w:rPr>
          <w:rFonts w:cstheme="minorHAnsi"/>
        </w:rPr>
        <w:t xml:space="preserve">During the feedback session, an action plan is produced in collaboration with the staff team based on the DCM data </w:t>
      </w:r>
    </w:p>
    <w:p w14:paraId="4EB41F4C" w14:textId="77777777" w:rsidR="00B54D51" w:rsidRPr="00037AD4" w:rsidRDefault="00B54D51" w:rsidP="001D7ACE">
      <w:pPr>
        <w:rPr>
          <w:rFonts w:asciiTheme="minorHAnsi" w:hAnsiTheme="minorHAnsi" w:cstheme="minorHAnsi"/>
        </w:rPr>
      </w:pPr>
    </w:p>
    <w:p w14:paraId="6F2186AA" w14:textId="77777777" w:rsidR="00B54D51" w:rsidRPr="00037AD4" w:rsidRDefault="00B54D51" w:rsidP="001D7ACE">
      <w:pPr>
        <w:rPr>
          <w:rFonts w:asciiTheme="minorHAnsi" w:hAnsiTheme="minorHAnsi" w:cstheme="minorHAnsi"/>
        </w:rPr>
      </w:pPr>
      <w:r w:rsidRPr="00037AD4">
        <w:rPr>
          <w:rFonts w:asciiTheme="minorHAnsi" w:hAnsiTheme="minorHAnsi" w:cstheme="minorHAnsi"/>
        </w:rPr>
        <w:t>The progress of these actions is then monitored during the next mapping cycle. For the EPIC trial, cycle one should be completed by ~3 months post-randomisation, 2</w:t>
      </w:r>
      <w:r w:rsidRPr="00037AD4">
        <w:rPr>
          <w:rFonts w:asciiTheme="minorHAnsi" w:hAnsiTheme="minorHAnsi" w:cstheme="minorHAnsi"/>
          <w:vertAlign w:val="superscript"/>
        </w:rPr>
        <w:t>nd</w:t>
      </w:r>
      <w:r w:rsidRPr="00037AD4">
        <w:rPr>
          <w:rFonts w:asciiTheme="minorHAnsi" w:hAnsiTheme="minorHAnsi" w:cstheme="minorHAnsi"/>
        </w:rPr>
        <w:t xml:space="preserve"> cycle by 8 months and the 3</w:t>
      </w:r>
      <w:r w:rsidRPr="00037AD4">
        <w:rPr>
          <w:rFonts w:asciiTheme="minorHAnsi" w:hAnsiTheme="minorHAnsi" w:cstheme="minorHAnsi"/>
          <w:vertAlign w:val="superscript"/>
        </w:rPr>
        <w:t>rd</w:t>
      </w:r>
      <w:r w:rsidRPr="00037AD4">
        <w:rPr>
          <w:rFonts w:asciiTheme="minorHAnsi" w:hAnsiTheme="minorHAnsi" w:cstheme="minorHAnsi"/>
        </w:rPr>
        <w:t xml:space="preserve"> cycle by 13 months. The cycle should be repeated every 4-6 months to revise actions and monitor progress. </w:t>
      </w:r>
    </w:p>
    <w:p w14:paraId="743822B6" w14:textId="77777777" w:rsidR="00B54D51" w:rsidRPr="00037AD4" w:rsidRDefault="00B54D51" w:rsidP="001D7ACE">
      <w:pPr>
        <w:rPr>
          <w:rFonts w:asciiTheme="minorHAnsi" w:hAnsiTheme="minorHAnsi" w:cstheme="minorHAnsi"/>
          <w:b/>
          <w:bCs/>
          <w:u w:val="single"/>
        </w:rPr>
      </w:pPr>
    </w:p>
    <w:p w14:paraId="2898A32B" w14:textId="77777777" w:rsidR="00B54D51" w:rsidRPr="00037AD4" w:rsidRDefault="00B54D51" w:rsidP="001D7ACE">
      <w:pPr>
        <w:rPr>
          <w:rFonts w:asciiTheme="minorHAnsi" w:hAnsiTheme="minorHAnsi" w:cstheme="minorHAnsi"/>
        </w:rPr>
      </w:pPr>
      <w:r w:rsidRPr="00037AD4">
        <w:rPr>
          <w:rFonts w:asciiTheme="minorHAnsi" w:hAnsiTheme="minorHAnsi" w:cstheme="minorHAnsi"/>
        </w:rPr>
        <w:t xml:space="preserve">The EPIC trial was designed as a pragmatic, multi-centre, cluster-randomised controlled trial within residential, nursing and dementia-specialist care homes across West Yorkshire, Oxfordshire, and London. There were two parallel arms: an intervention group that received DCM plus usual care, and a control group that received usual care alone. Outcome measure were to be captured at 6 months and 16 months post-randomisation. </w:t>
      </w:r>
    </w:p>
    <w:p w14:paraId="02B876A0" w14:textId="77777777" w:rsidR="00B54D51" w:rsidRPr="00037AD4" w:rsidRDefault="00B54D51" w:rsidP="001D7ACE">
      <w:pPr>
        <w:rPr>
          <w:rFonts w:asciiTheme="minorHAnsi" w:hAnsiTheme="minorHAnsi" w:cstheme="minorHAnsi"/>
        </w:rPr>
      </w:pPr>
    </w:p>
    <w:p w14:paraId="79AB8EF8" w14:textId="77777777" w:rsidR="00B54D51" w:rsidRPr="00037AD4" w:rsidRDefault="00B54D51" w:rsidP="001D7ACE">
      <w:pPr>
        <w:rPr>
          <w:rFonts w:asciiTheme="minorHAnsi" w:hAnsiTheme="minorHAnsi" w:cstheme="minorHAnsi"/>
        </w:rPr>
      </w:pPr>
      <w:r w:rsidRPr="00037AD4">
        <w:rPr>
          <w:rFonts w:asciiTheme="minorHAnsi" w:hAnsiTheme="minorHAnsi" w:cstheme="minorHAnsi"/>
        </w:rPr>
        <w:lastRenderedPageBreak/>
        <w:t xml:space="preserve">A single final analysis was planned for when all follow-up data were collected, the primary analysis used an intention-to-treat basis, including all available follow-up data and comparing treatment allocations. </w:t>
      </w:r>
    </w:p>
    <w:p w14:paraId="4598BECD" w14:textId="77777777" w:rsidR="00B54D51" w:rsidRPr="00037AD4" w:rsidRDefault="00B54D51" w:rsidP="001D7ACE">
      <w:pPr>
        <w:rPr>
          <w:rFonts w:asciiTheme="minorHAnsi" w:hAnsiTheme="minorHAnsi" w:cstheme="minorHAnsi"/>
        </w:rPr>
      </w:pPr>
    </w:p>
    <w:p w14:paraId="0FDC8EE0" w14:textId="77777777" w:rsidR="00B54D51" w:rsidRPr="00037AD4" w:rsidRDefault="00B54D51" w:rsidP="001D7ACE">
      <w:pPr>
        <w:rPr>
          <w:rFonts w:asciiTheme="minorHAnsi" w:hAnsiTheme="minorHAnsi" w:cstheme="minorHAnsi"/>
        </w:rPr>
      </w:pPr>
      <w:r w:rsidRPr="00037AD4">
        <w:rPr>
          <w:rFonts w:asciiTheme="minorHAnsi" w:hAnsiTheme="minorHAnsi" w:cstheme="minorHAnsi"/>
        </w:rPr>
        <w:t xml:space="preserve">Due to a high loss to follow-up (mainly due to death), the study team recruited additional residents in each care home at 16 months. This allowed a cross-sectional analysis at baseline and 16 months to be performed as the primary analysis, therefore enabling them to assess the effects of the intervention on all eligible residents in the homes during the intervention period, not just those that had survived for long enough. </w:t>
      </w:r>
    </w:p>
    <w:p w14:paraId="1B61D708" w14:textId="77777777" w:rsidR="00B54D51" w:rsidRPr="00037AD4" w:rsidRDefault="00B54D51" w:rsidP="001D7ACE">
      <w:pPr>
        <w:rPr>
          <w:rFonts w:asciiTheme="minorHAnsi" w:hAnsiTheme="minorHAnsi" w:cstheme="minorHAnsi"/>
          <w:b/>
          <w:bCs/>
          <w:u w:val="single"/>
        </w:rPr>
      </w:pPr>
    </w:p>
    <w:p w14:paraId="13831577" w14:textId="77777777" w:rsidR="00B54D51" w:rsidRPr="00037AD4" w:rsidRDefault="00B54D51" w:rsidP="001D7ACE">
      <w:pPr>
        <w:rPr>
          <w:rFonts w:asciiTheme="minorHAnsi" w:hAnsiTheme="minorHAnsi" w:cstheme="minorHAnsi"/>
          <w:u w:val="single"/>
        </w:rPr>
      </w:pPr>
      <w:r w:rsidRPr="00037AD4">
        <w:rPr>
          <w:rFonts w:asciiTheme="minorHAnsi" w:hAnsiTheme="minorHAnsi" w:cstheme="minorHAnsi"/>
          <w:u w:val="single"/>
        </w:rPr>
        <w:t xml:space="preserve">4B2) Study recruitment </w:t>
      </w:r>
    </w:p>
    <w:p w14:paraId="26DB3B9E" w14:textId="77777777" w:rsidR="00B54D51" w:rsidRPr="00037AD4" w:rsidRDefault="00B54D51" w:rsidP="001D7ACE">
      <w:pPr>
        <w:rPr>
          <w:rFonts w:asciiTheme="minorHAnsi" w:hAnsiTheme="minorHAnsi" w:cstheme="minorHAnsi"/>
          <w:b/>
          <w:bCs/>
          <w:u w:val="single"/>
        </w:rPr>
      </w:pPr>
    </w:p>
    <w:p w14:paraId="438AD784" w14:textId="77777777" w:rsidR="00B54D51" w:rsidRPr="00037AD4" w:rsidRDefault="00B54D51" w:rsidP="001D7ACE">
      <w:pPr>
        <w:rPr>
          <w:rFonts w:asciiTheme="minorHAnsi" w:hAnsiTheme="minorHAnsi" w:cstheme="minorHAnsi"/>
        </w:rPr>
      </w:pPr>
      <w:r w:rsidRPr="00037AD4">
        <w:rPr>
          <w:rFonts w:asciiTheme="minorHAnsi" w:hAnsiTheme="minorHAnsi" w:cstheme="minorHAnsi"/>
        </w:rPr>
        <w:t xml:space="preserve">There were four </w:t>
      </w:r>
      <w:r w:rsidRPr="00037AD4">
        <w:rPr>
          <w:rFonts w:asciiTheme="minorHAnsi" w:hAnsiTheme="minorHAnsi" w:cstheme="minorHAnsi"/>
          <w:i/>
          <w:iCs/>
        </w:rPr>
        <w:t>types</w:t>
      </w:r>
      <w:r w:rsidRPr="00037AD4">
        <w:rPr>
          <w:rFonts w:asciiTheme="minorHAnsi" w:hAnsiTheme="minorHAnsi" w:cstheme="minorHAnsi"/>
        </w:rPr>
        <w:t xml:space="preserve"> of participants: residents, their friend/relative (proxy), care home staff members and care homes. People with dementia that were permanent residents within the care homes were eligible for recruitment. </w:t>
      </w:r>
    </w:p>
    <w:p w14:paraId="407AC8DB" w14:textId="77777777" w:rsidR="00B54D51" w:rsidRPr="00037AD4" w:rsidRDefault="00B54D51" w:rsidP="001D7ACE">
      <w:pPr>
        <w:rPr>
          <w:rFonts w:asciiTheme="minorHAnsi" w:hAnsiTheme="minorHAnsi" w:cstheme="minorHAnsi"/>
        </w:rPr>
      </w:pPr>
    </w:p>
    <w:p w14:paraId="41785499" w14:textId="77777777" w:rsidR="00B54D51" w:rsidRPr="00037AD4" w:rsidRDefault="00B54D51" w:rsidP="001D7ACE">
      <w:pPr>
        <w:rPr>
          <w:rFonts w:asciiTheme="minorHAnsi" w:hAnsiTheme="minorHAnsi" w:cstheme="minorHAnsi"/>
        </w:rPr>
      </w:pPr>
      <w:r w:rsidRPr="00037AD4">
        <w:rPr>
          <w:rFonts w:asciiTheme="minorHAnsi" w:hAnsiTheme="minorHAnsi" w:cstheme="minorHAnsi"/>
        </w:rPr>
        <w:t xml:space="preserve">From the original cohort/ primary recruitment, 726 participants consented and registered at the point of care home randomisation. Subsequently, at 16 months, a further 261 additional residents were recruited (99 control, 162 intervention) (totalling 675 residents included in the cross-sectional sample which was used for the primary analysis: 414 residents from the original cohort who reached the 16 month follow-up points, and 261 additionally recruited residents). </w:t>
      </w:r>
    </w:p>
    <w:p w14:paraId="40523FA8" w14:textId="77777777" w:rsidR="00B54D51" w:rsidRPr="00037AD4" w:rsidRDefault="00B54D51" w:rsidP="001D7ACE">
      <w:pPr>
        <w:rPr>
          <w:rFonts w:asciiTheme="minorHAnsi" w:hAnsiTheme="minorHAnsi" w:cstheme="minorHAnsi"/>
        </w:rPr>
      </w:pPr>
    </w:p>
    <w:p w14:paraId="2E60F436" w14:textId="77777777" w:rsidR="00B54D51" w:rsidRPr="00037AD4" w:rsidRDefault="00B54D51" w:rsidP="001D7ACE">
      <w:pPr>
        <w:rPr>
          <w:rFonts w:asciiTheme="minorHAnsi" w:hAnsiTheme="minorHAnsi" w:cstheme="minorHAnsi"/>
        </w:rPr>
      </w:pPr>
      <w:r w:rsidRPr="00037AD4">
        <w:rPr>
          <w:rFonts w:asciiTheme="minorHAnsi" w:hAnsiTheme="minorHAnsi" w:cstheme="minorHAnsi"/>
        </w:rPr>
        <w:t xml:space="preserve">Proxy recruitment took place at baseline and continued at the 6-month follow-up until the decision to cease further recruitment was made due to low overall relative/ friend proxy recruitment. If the informal proxy withdrew from the trial, an additional proxy was not recruited as a replacement. </w:t>
      </w:r>
    </w:p>
    <w:p w14:paraId="58858FD6" w14:textId="77777777" w:rsidR="00B54D51" w:rsidRPr="00037AD4" w:rsidRDefault="00B54D51" w:rsidP="001D7ACE">
      <w:pPr>
        <w:rPr>
          <w:rFonts w:asciiTheme="minorHAnsi" w:hAnsiTheme="minorHAnsi" w:cstheme="minorHAnsi"/>
          <w:b/>
          <w:bCs/>
          <w:u w:val="single"/>
        </w:rPr>
      </w:pPr>
    </w:p>
    <w:p w14:paraId="16EBE4E1" w14:textId="77777777" w:rsidR="00B54D51" w:rsidRPr="00037AD4" w:rsidRDefault="00B54D51" w:rsidP="001D7ACE">
      <w:pPr>
        <w:ind w:firstLine="720"/>
        <w:rPr>
          <w:rFonts w:asciiTheme="minorHAnsi" w:hAnsiTheme="minorHAnsi" w:cstheme="minorHAnsi"/>
          <w:u w:val="single"/>
        </w:rPr>
      </w:pPr>
      <w:r w:rsidRPr="00037AD4">
        <w:rPr>
          <w:rFonts w:asciiTheme="minorHAnsi" w:hAnsiTheme="minorHAnsi" w:cstheme="minorHAnsi"/>
          <w:u w:val="single"/>
        </w:rPr>
        <w:t>4B2a) Proxy selection</w:t>
      </w:r>
    </w:p>
    <w:p w14:paraId="72B840EF" w14:textId="77777777" w:rsidR="00B54D51" w:rsidRPr="00037AD4" w:rsidRDefault="00B54D51" w:rsidP="001D7ACE">
      <w:pPr>
        <w:rPr>
          <w:rFonts w:asciiTheme="minorHAnsi" w:hAnsiTheme="minorHAnsi" w:cstheme="minorHAnsi"/>
          <w:b/>
          <w:bCs/>
          <w:u w:val="single"/>
        </w:rPr>
      </w:pPr>
    </w:p>
    <w:p w14:paraId="21A00FAE" w14:textId="77777777" w:rsidR="00B54D51" w:rsidRPr="00037AD4" w:rsidRDefault="00B54D51" w:rsidP="001D7ACE">
      <w:pPr>
        <w:rPr>
          <w:rFonts w:asciiTheme="minorHAnsi" w:hAnsiTheme="minorHAnsi" w:cstheme="minorHAnsi"/>
        </w:rPr>
      </w:pPr>
      <w:r w:rsidRPr="00037AD4">
        <w:rPr>
          <w:rFonts w:asciiTheme="minorHAnsi" w:hAnsiTheme="minorHAnsi" w:cstheme="minorHAnsi"/>
        </w:rPr>
        <w:t>Staff proxy informants were permanent or contracted staff members that knew the resident well (as described by their key worker status or judgement of the home manager). Staff participants (providing data about themselves) were permanent or contracted staff members and provided consent to providing data for the trial through return of the Staff Measures booklet. Recruitment for all staff roles took place at baseline and at each further data point due to annual turnover of staff.</w:t>
      </w:r>
    </w:p>
    <w:p w14:paraId="14864D9F" w14:textId="77777777" w:rsidR="00B54D51" w:rsidRPr="00037AD4" w:rsidRDefault="00B54D51" w:rsidP="001D7ACE">
      <w:pPr>
        <w:rPr>
          <w:rFonts w:asciiTheme="minorHAnsi" w:hAnsiTheme="minorHAnsi" w:cstheme="minorHAnsi"/>
        </w:rPr>
      </w:pPr>
    </w:p>
    <w:p w14:paraId="7F5C8435" w14:textId="77777777" w:rsidR="00B54D51" w:rsidRPr="00037AD4" w:rsidRDefault="00B54D51" w:rsidP="001D7ACE">
      <w:pPr>
        <w:rPr>
          <w:rFonts w:asciiTheme="minorHAnsi" w:hAnsiTheme="minorHAnsi" w:cstheme="minorHAnsi"/>
        </w:rPr>
      </w:pPr>
      <w:r w:rsidRPr="00037AD4">
        <w:rPr>
          <w:rFonts w:asciiTheme="minorHAnsi" w:hAnsiTheme="minorHAnsi" w:cstheme="minorHAnsi"/>
        </w:rPr>
        <w:t xml:space="preserve">Informal proxies (friend/relative) must: have visited the resident on a regular basis over the prior month (minimum once per week) and be willing the provide data at a convenient time to them. The relative/ friend proxy was identified in discussion with the resident or the care home manager/ senior member of staff. They were required to have visited the resident at least once per week over the previous month and be willing to provide data by either interview, telephone, or post during the data collection week. They were approached either in person by the care home manager or researcher, or by post – depending on visiting patterns and times. </w:t>
      </w:r>
    </w:p>
    <w:p w14:paraId="1B48CEFB" w14:textId="77777777" w:rsidR="00B54D51" w:rsidRPr="00037AD4" w:rsidRDefault="00B54D51" w:rsidP="001D7ACE">
      <w:pPr>
        <w:rPr>
          <w:rFonts w:asciiTheme="minorHAnsi" w:hAnsiTheme="minorHAnsi" w:cstheme="minorHAnsi"/>
          <w:u w:val="single"/>
        </w:rPr>
      </w:pPr>
    </w:p>
    <w:p w14:paraId="5339320C" w14:textId="77777777" w:rsidR="00B54D51" w:rsidRPr="00037AD4" w:rsidRDefault="00B54D51" w:rsidP="001D7ACE">
      <w:pPr>
        <w:rPr>
          <w:rFonts w:asciiTheme="minorHAnsi" w:hAnsiTheme="minorHAnsi" w:cstheme="minorHAnsi"/>
          <w:u w:val="single"/>
        </w:rPr>
      </w:pPr>
    </w:p>
    <w:p w14:paraId="5441DF68" w14:textId="77777777" w:rsidR="00B54D51" w:rsidRPr="00037AD4" w:rsidRDefault="00B54D51" w:rsidP="001D7ACE">
      <w:pPr>
        <w:ind w:firstLine="720"/>
        <w:rPr>
          <w:rFonts w:asciiTheme="minorHAnsi" w:hAnsiTheme="minorHAnsi" w:cstheme="minorHAnsi"/>
          <w:u w:val="single"/>
        </w:rPr>
      </w:pPr>
      <w:bookmarkStart w:id="487" w:name="attr"/>
      <w:r w:rsidRPr="00037AD4">
        <w:rPr>
          <w:rFonts w:asciiTheme="minorHAnsi" w:hAnsiTheme="minorHAnsi" w:cstheme="minorHAnsi"/>
          <w:u w:val="single"/>
        </w:rPr>
        <w:lastRenderedPageBreak/>
        <w:t xml:space="preserve">4B2b) Attrition </w:t>
      </w:r>
    </w:p>
    <w:bookmarkEnd w:id="487"/>
    <w:p w14:paraId="7E248BF1" w14:textId="77777777" w:rsidR="00B54D51" w:rsidRPr="00037AD4" w:rsidRDefault="00B54D51" w:rsidP="001D7ACE">
      <w:pPr>
        <w:ind w:firstLine="720"/>
        <w:rPr>
          <w:rFonts w:asciiTheme="minorHAnsi" w:hAnsiTheme="minorHAnsi" w:cstheme="minorHAnsi"/>
          <w:b/>
          <w:bCs/>
          <w:u w:val="single"/>
        </w:rPr>
      </w:pPr>
    </w:p>
    <w:p w14:paraId="5B19A3B8" w14:textId="77777777" w:rsidR="00B54D51" w:rsidRPr="00037AD4" w:rsidRDefault="00B54D51" w:rsidP="001D7ACE">
      <w:pPr>
        <w:rPr>
          <w:rFonts w:asciiTheme="minorHAnsi" w:hAnsiTheme="minorHAnsi" w:cstheme="minorHAnsi"/>
        </w:rPr>
      </w:pPr>
      <w:r w:rsidRPr="00037AD4">
        <w:rPr>
          <w:rFonts w:asciiTheme="minorHAnsi" w:hAnsiTheme="minorHAnsi" w:cstheme="minorHAnsi"/>
        </w:rPr>
        <w:t xml:space="preserve">Loss to follow-up at 16 months in the original cohort was 312/726 (43.0%), mainly 272/312 (87.2%) due to deaths. </w:t>
      </w:r>
    </w:p>
    <w:p w14:paraId="01AABDC3" w14:textId="77777777" w:rsidR="00B54D51" w:rsidRPr="00037AD4" w:rsidRDefault="00B54D51" w:rsidP="001D7ACE">
      <w:pPr>
        <w:rPr>
          <w:rFonts w:asciiTheme="minorHAnsi" w:hAnsiTheme="minorHAnsi" w:cstheme="minorHAnsi"/>
          <w:b/>
          <w:bCs/>
          <w:u w:val="single"/>
        </w:rPr>
      </w:pPr>
    </w:p>
    <w:p w14:paraId="0E3E953E" w14:textId="77777777" w:rsidR="00B54D51" w:rsidRPr="00037AD4" w:rsidRDefault="00B54D51" w:rsidP="001D7ACE">
      <w:pPr>
        <w:rPr>
          <w:rFonts w:asciiTheme="minorHAnsi" w:hAnsiTheme="minorHAnsi" w:cstheme="minorHAnsi"/>
          <w:u w:val="single"/>
        </w:rPr>
      </w:pPr>
      <w:r w:rsidRPr="00037AD4">
        <w:rPr>
          <w:rFonts w:asciiTheme="minorHAnsi" w:hAnsiTheme="minorHAnsi" w:cstheme="minorHAnsi"/>
          <w:u w:val="single"/>
        </w:rPr>
        <w:t xml:space="preserve">4B3) Data collection </w:t>
      </w:r>
    </w:p>
    <w:p w14:paraId="11F0363C" w14:textId="77777777" w:rsidR="00B54D51" w:rsidRPr="00037AD4" w:rsidRDefault="00B54D51" w:rsidP="001D7ACE">
      <w:pPr>
        <w:rPr>
          <w:rFonts w:asciiTheme="minorHAnsi" w:hAnsiTheme="minorHAnsi" w:cstheme="minorHAnsi"/>
          <w:b/>
          <w:bCs/>
          <w:u w:val="single"/>
        </w:rPr>
      </w:pPr>
    </w:p>
    <w:p w14:paraId="475D4395" w14:textId="77777777" w:rsidR="00B54D51" w:rsidRPr="00037AD4" w:rsidRDefault="00B54D51" w:rsidP="001D7ACE">
      <w:pPr>
        <w:rPr>
          <w:rFonts w:asciiTheme="minorHAnsi" w:hAnsiTheme="minorHAnsi" w:cstheme="minorHAnsi"/>
        </w:rPr>
      </w:pPr>
      <w:r w:rsidRPr="00037AD4">
        <w:rPr>
          <w:rFonts w:asciiTheme="minorHAnsi" w:hAnsiTheme="minorHAnsi" w:cstheme="minorHAnsi"/>
        </w:rPr>
        <w:t>Data collection took place from June 2014 – May 2017. Assessments were taken at screening, baseline (over ~3 weeks in each home), 6 months post randomisation and 16 months post randomisation (follow-up visits over a 1–2-week period). The 2</w:t>
      </w:r>
      <w:r w:rsidRPr="00037AD4">
        <w:rPr>
          <w:rFonts w:asciiTheme="minorHAnsi" w:hAnsiTheme="minorHAnsi" w:cstheme="minorHAnsi"/>
          <w:vertAlign w:val="superscript"/>
        </w:rPr>
        <w:t>nd</w:t>
      </w:r>
      <w:r w:rsidRPr="00037AD4">
        <w:rPr>
          <w:rFonts w:asciiTheme="minorHAnsi" w:hAnsiTheme="minorHAnsi" w:cstheme="minorHAnsi"/>
        </w:rPr>
        <w:t xml:space="preserve"> follow-up assessment (at 16 months) for relative/ friend informants was only completed if they had consented at baseline and still met the eligibility criteria. </w:t>
      </w:r>
    </w:p>
    <w:p w14:paraId="5FF69646" w14:textId="77777777" w:rsidR="00B54D51" w:rsidRPr="00037AD4" w:rsidRDefault="00B54D51" w:rsidP="001D7ACE">
      <w:pPr>
        <w:rPr>
          <w:rFonts w:asciiTheme="minorHAnsi" w:hAnsiTheme="minorHAnsi" w:cstheme="minorHAnsi"/>
        </w:rPr>
      </w:pPr>
    </w:p>
    <w:p w14:paraId="11EFF1E5" w14:textId="77777777" w:rsidR="00B54D51" w:rsidRPr="00037AD4" w:rsidRDefault="00B54D51" w:rsidP="001D7ACE">
      <w:pPr>
        <w:rPr>
          <w:rFonts w:asciiTheme="minorHAnsi" w:hAnsiTheme="minorHAnsi" w:cstheme="minorHAnsi"/>
        </w:rPr>
      </w:pPr>
      <w:r w:rsidRPr="00037AD4">
        <w:rPr>
          <w:rFonts w:asciiTheme="minorHAnsi" w:hAnsiTheme="minorHAnsi" w:cstheme="minorHAnsi"/>
        </w:rPr>
        <w:t xml:space="preserve">To minimise the potential for bias, the trained mappers were not involved in providing any outcome data. Where possible, the same staff members were asked to proxy-rate the same resident at each time point. Staff reporting on staff measures were able to post their questionnaire answers back to the Clinical Trials Research Unit (at the University of Leeds) directly. </w:t>
      </w:r>
    </w:p>
    <w:p w14:paraId="3D1F9856" w14:textId="77777777" w:rsidR="00B54D51" w:rsidRPr="00037AD4" w:rsidRDefault="00B54D51" w:rsidP="001D7ACE">
      <w:pPr>
        <w:rPr>
          <w:rFonts w:asciiTheme="minorHAnsi" w:hAnsiTheme="minorHAnsi" w:cstheme="minorHAnsi"/>
          <w:b/>
          <w:bCs/>
          <w:u w:val="single"/>
        </w:rPr>
      </w:pPr>
    </w:p>
    <w:p w14:paraId="0023F34A" w14:textId="77777777" w:rsidR="00B54D51" w:rsidRPr="00037AD4" w:rsidRDefault="00B54D51" w:rsidP="001D7ACE">
      <w:pPr>
        <w:rPr>
          <w:rFonts w:asciiTheme="minorHAnsi" w:hAnsiTheme="minorHAnsi" w:cstheme="minorHAnsi"/>
          <w:u w:val="single"/>
        </w:rPr>
      </w:pPr>
      <w:r w:rsidRPr="00037AD4">
        <w:rPr>
          <w:rFonts w:asciiTheme="minorHAnsi" w:hAnsiTheme="minorHAnsi" w:cstheme="minorHAnsi"/>
          <w:u w:val="single"/>
        </w:rPr>
        <w:t xml:space="preserve">4B4) Measures </w:t>
      </w:r>
    </w:p>
    <w:p w14:paraId="7E38FB67" w14:textId="77777777" w:rsidR="00B54D51" w:rsidRPr="00037AD4" w:rsidRDefault="00B54D51" w:rsidP="001D7ACE">
      <w:pPr>
        <w:rPr>
          <w:rFonts w:asciiTheme="minorHAnsi" w:hAnsiTheme="minorHAnsi" w:cstheme="minorHAnsi"/>
          <w:b/>
          <w:bCs/>
          <w:u w:val="single"/>
        </w:rPr>
      </w:pPr>
    </w:p>
    <w:p w14:paraId="6B118DFC" w14:textId="77777777" w:rsidR="00B54D51" w:rsidRPr="00037AD4" w:rsidRDefault="00B54D51" w:rsidP="001D7ACE">
      <w:pPr>
        <w:rPr>
          <w:rFonts w:asciiTheme="minorHAnsi" w:hAnsiTheme="minorHAnsi" w:cstheme="minorHAnsi"/>
        </w:rPr>
      </w:pPr>
      <w:r w:rsidRPr="00037AD4">
        <w:rPr>
          <w:rFonts w:asciiTheme="minorHAnsi" w:hAnsiTheme="minorHAnsi" w:cstheme="minorHAnsi"/>
        </w:rPr>
        <w:t xml:space="preserve">The primary outcome was agitation (via CMAI) at 16 months post-randomisation. Secondary outcomes at 6- and 16-months post randomisation related to the residents included NPI-NH </w:t>
      </w:r>
      <w:r>
        <w:rPr>
          <w:rFonts w:asciiTheme="minorHAnsi" w:hAnsiTheme="minorHAnsi" w:cstheme="minorHAnsi"/>
          <w:noProof/>
        </w:rPr>
        <w:t>(Cummings, 2020)</w:t>
      </w:r>
      <w:r w:rsidRPr="00037AD4">
        <w:rPr>
          <w:rFonts w:asciiTheme="minorHAnsi" w:hAnsiTheme="minorHAnsi" w:cstheme="minorHAnsi"/>
        </w:rPr>
        <w:t xml:space="preserve">, DEMQoL-Proxy </w:t>
      </w:r>
      <w:r>
        <w:rPr>
          <w:rFonts w:asciiTheme="minorHAnsi" w:hAnsiTheme="minorHAnsi" w:cstheme="minorHAnsi"/>
          <w:noProof/>
        </w:rPr>
        <w:t>(Smith et al., 2005a)</w:t>
      </w:r>
      <w:r w:rsidRPr="00037AD4">
        <w:rPr>
          <w:rFonts w:asciiTheme="minorHAnsi" w:hAnsiTheme="minorHAnsi" w:cstheme="minorHAnsi"/>
        </w:rPr>
        <w:t xml:space="preserve">, QUALID </w:t>
      </w:r>
      <w:r>
        <w:rPr>
          <w:rFonts w:asciiTheme="minorHAnsi" w:hAnsiTheme="minorHAnsi" w:cstheme="minorHAnsi"/>
          <w:noProof/>
        </w:rPr>
        <w:t>(Weiner et al., 2000)</w:t>
      </w:r>
      <w:r w:rsidRPr="00037AD4">
        <w:rPr>
          <w:rFonts w:asciiTheme="minorHAnsi" w:hAnsiTheme="minorHAnsi" w:cstheme="minorHAnsi"/>
        </w:rPr>
        <w:t xml:space="preserve">, QoL-AD </w:t>
      </w:r>
      <w:r>
        <w:rPr>
          <w:rFonts w:asciiTheme="minorHAnsi" w:hAnsiTheme="minorHAnsi" w:cstheme="minorHAnsi"/>
          <w:noProof/>
        </w:rPr>
        <w:t>(Logsdon et al., 1999)</w:t>
      </w:r>
      <w:r w:rsidRPr="00037AD4">
        <w:rPr>
          <w:rFonts w:asciiTheme="minorHAnsi" w:hAnsiTheme="minorHAnsi" w:cstheme="minorHAnsi"/>
        </w:rPr>
        <w:t xml:space="preserve">, EQ-5D-5L </w:t>
      </w:r>
      <w:r>
        <w:rPr>
          <w:rFonts w:asciiTheme="minorHAnsi" w:hAnsiTheme="minorHAnsi" w:cstheme="minorHAnsi"/>
          <w:noProof/>
        </w:rPr>
        <w:t>(Herdman et al., 2011)</w:t>
      </w:r>
      <w:r w:rsidRPr="00037AD4">
        <w:rPr>
          <w:rFonts w:asciiTheme="minorHAnsi" w:hAnsiTheme="minorHAnsi" w:cstheme="minorHAnsi"/>
        </w:rPr>
        <w:t xml:space="preserve">; relating to the staff included GHQ-12 </w:t>
      </w:r>
      <w:r>
        <w:rPr>
          <w:rFonts w:asciiTheme="minorHAnsi" w:hAnsiTheme="minorHAnsi" w:cstheme="minorHAnsi"/>
          <w:noProof/>
        </w:rPr>
        <w:t>(Hankins, 2008)</w:t>
      </w:r>
      <w:r w:rsidRPr="00037AD4">
        <w:rPr>
          <w:rFonts w:asciiTheme="minorHAnsi" w:hAnsiTheme="minorHAnsi" w:cstheme="minorHAnsi"/>
        </w:rPr>
        <w:t xml:space="preserve"> and Sense of Competence in Dementia care Staff (SCIDS) </w:t>
      </w:r>
      <w:r>
        <w:rPr>
          <w:rFonts w:asciiTheme="minorHAnsi" w:hAnsiTheme="minorHAnsi" w:cstheme="minorHAnsi"/>
          <w:noProof/>
        </w:rPr>
        <w:t>(Schepers et al., 2012)</w:t>
      </w:r>
      <w:r w:rsidRPr="00037AD4">
        <w:rPr>
          <w:rFonts w:asciiTheme="minorHAnsi" w:hAnsiTheme="minorHAnsi" w:cstheme="minorHAnsi"/>
        </w:rPr>
        <w:t xml:space="preserve">, and related to the home as a whole include intervention fidelity and Quality of interactions schedule (QUIS) </w:t>
      </w:r>
      <w:r>
        <w:rPr>
          <w:rFonts w:asciiTheme="minorHAnsi" w:hAnsiTheme="minorHAnsi" w:cstheme="minorHAnsi"/>
          <w:noProof/>
        </w:rPr>
        <w:t>(Dean et al., 1993)</w:t>
      </w:r>
      <w:r w:rsidRPr="00037AD4">
        <w:rPr>
          <w:rFonts w:asciiTheme="minorHAnsi" w:hAnsiTheme="minorHAnsi" w:cstheme="minorHAnsi"/>
        </w:rPr>
        <w:t xml:space="preserve">. </w:t>
      </w:r>
    </w:p>
    <w:p w14:paraId="1B80F69C" w14:textId="77777777" w:rsidR="00B54D51" w:rsidRPr="00037AD4" w:rsidRDefault="00B54D51" w:rsidP="001D7ACE">
      <w:pPr>
        <w:rPr>
          <w:rFonts w:asciiTheme="minorHAnsi" w:hAnsiTheme="minorHAnsi" w:cstheme="minorHAnsi"/>
        </w:rPr>
      </w:pPr>
    </w:p>
    <w:p w14:paraId="3D816E1A" w14:textId="77777777" w:rsidR="00B54D51" w:rsidRPr="00037AD4" w:rsidRDefault="00B54D51" w:rsidP="001D7ACE">
      <w:pPr>
        <w:rPr>
          <w:rFonts w:asciiTheme="minorHAnsi" w:hAnsiTheme="minorHAnsi" w:cstheme="minorHAnsi"/>
          <w:u w:val="single"/>
        </w:rPr>
      </w:pPr>
      <w:r w:rsidRPr="00037AD4">
        <w:rPr>
          <w:rFonts w:asciiTheme="minorHAnsi" w:hAnsiTheme="minorHAnsi" w:cstheme="minorHAnsi"/>
          <w:u w:val="single"/>
        </w:rPr>
        <w:t xml:space="preserve">Summary of measures collected in the EPIC study </w:t>
      </w:r>
    </w:p>
    <w:p w14:paraId="2969B476" w14:textId="77777777" w:rsidR="00B54D51" w:rsidRPr="00037AD4" w:rsidRDefault="00B54D51" w:rsidP="001D7ACE">
      <w:pPr>
        <w:rPr>
          <w:rFonts w:asciiTheme="minorHAnsi" w:hAnsiTheme="minorHAnsi" w:cstheme="minorHAnsi"/>
        </w:rPr>
      </w:pPr>
    </w:p>
    <w:tbl>
      <w:tblPr>
        <w:tblStyle w:val="TableGrid"/>
        <w:tblW w:w="9351" w:type="dxa"/>
        <w:tblLook w:val="04A0" w:firstRow="1" w:lastRow="0" w:firstColumn="1" w:lastColumn="0" w:noHBand="0" w:noVBand="1"/>
      </w:tblPr>
      <w:tblGrid>
        <w:gridCol w:w="1768"/>
        <w:gridCol w:w="1828"/>
        <w:gridCol w:w="2044"/>
        <w:gridCol w:w="1120"/>
        <w:gridCol w:w="2591"/>
      </w:tblGrid>
      <w:tr w:rsidR="00B54D51" w:rsidRPr="00037AD4" w14:paraId="2B79CAAD" w14:textId="77777777" w:rsidTr="00401C67">
        <w:tc>
          <w:tcPr>
            <w:tcW w:w="1768" w:type="dxa"/>
          </w:tcPr>
          <w:p w14:paraId="573CE49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Instrument </w:t>
            </w:r>
          </w:p>
        </w:tc>
        <w:tc>
          <w:tcPr>
            <w:tcW w:w="1828" w:type="dxa"/>
          </w:tcPr>
          <w:p w14:paraId="561B3B6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Completed by? </w:t>
            </w:r>
          </w:p>
        </w:tc>
        <w:tc>
          <w:tcPr>
            <w:tcW w:w="2044" w:type="dxa"/>
          </w:tcPr>
          <w:p w14:paraId="6DC25BC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Administration details </w:t>
            </w:r>
          </w:p>
        </w:tc>
        <w:tc>
          <w:tcPr>
            <w:tcW w:w="1120" w:type="dxa"/>
          </w:tcPr>
          <w:p w14:paraId="54486D3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Time points </w:t>
            </w:r>
          </w:p>
        </w:tc>
        <w:tc>
          <w:tcPr>
            <w:tcW w:w="2591" w:type="dxa"/>
          </w:tcPr>
          <w:p w14:paraId="7993859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Additional information</w:t>
            </w:r>
          </w:p>
        </w:tc>
      </w:tr>
      <w:tr w:rsidR="00B54D51" w:rsidRPr="00037AD4" w14:paraId="5E1E4A39" w14:textId="77777777" w:rsidTr="00401C67">
        <w:tc>
          <w:tcPr>
            <w:tcW w:w="1768" w:type="dxa"/>
          </w:tcPr>
          <w:p w14:paraId="7A61256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CDR </w:t>
            </w:r>
          </w:p>
        </w:tc>
        <w:tc>
          <w:tcPr>
            <w:tcW w:w="1828" w:type="dxa"/>
          </w:tcPr>
          <w:p w14:paraId="7BE43F4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Researcher</w:t>
            </w:r>
          </w:p>
        </w:tc>
        <w:tc>
          <w:tcPr>
            <w:tcW w:w="2044" w:type="dxa"/>
          </w:tcPr>
          <w:p w14:paraId="7E5D3C0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Via discussion with staff proxy </w:t>
            </w:r>
          </w:p>
        </w:tc>
        <w:tc>
          <w:tcPr>
            <w:tcW w:w="1120" w:type="dxa"/>
          </w:tcPr>
          <w:p w14:paraId="59D47DE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0, 6, 16 </w:t>
            </w:r>
          </w:p>
        </w:tc>
        <w:tc>
          <w:tcPr>
            <w:tcW w:w="2591" w:type="dxa"/>
          </w:tcPr>
          <w:p w14:paraId="47F005E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Completed by a trainer assessor (researcher) via informal interview/conversation with person/proxy (staff proxy)</w:t>
            </w:r>
          </w:p>
        </w:tc>
      </w:tr>
      <w:tr w:rsidR="00B54D51" w:rsidRPr="00037AD4" w14:paraId="726EF67F" w14:textId="77777777" w:rsidTr="00401C67">
        <w:tc>
          <w:tcPr>
            <w:tcW w:w="1768" w:type="dxa"/>
          </w:tcPr>
          <w:p w14:paraId="4B12637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CMAI*</w:t>
            </w:r>
            <w:r w:rsidRPr="00037AD4">
              <w:rPr>
                <w:rFonts w:asciiTheme="minorHAnsi" w:hAnsiTheme="minorHAnsi" w:cstheme="minorHAnsi"/>
                <w:vertAlign w:val="superscript"/>
              </w:rPr>
              <w:t>±</w:t>
            </w:r>
          </w:p>
        </w:tc>
        <w:tc>
          <w:tcPr>
            <w:tcW w:w="1828" w:type="dxa"/>
          </w:tcPr>
          <w:p w14:paraId="1B7EC89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Staff proxy </w:t>
            </w:r>
          </w:p>
        </w:tc>
        <w:tc>
          <w:tcPr>
            <w:tcW w:w="2044" w:type="dxa"/>
          </w:tcPr>
          <w:p w14:paraId="69E2F69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Interview with trained researcher </w:t>
            </w:r>
          </w:p>
        </w:tc>
        <w:tc>
          <w:tcPr>
            <w:tcW w:w="1120" w:type="dxa"/>
          </w:tcPr>
          <w:p w14:paraId="431AEA9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0, 6, 16</w:t>
            </w:r>
          </w:p>
        </w:tc>
        <w:tc>
          <w:tcPr>
            <w:tcW w:w="2591" w:type="dxa"/>
          </w:tcPr>
          <w:p w14:paraId="7AA6F76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About PwD</w:t>
            </w:r>
          </w:p>
        </w:tc>
      </w:tr>
      <w:tr w:rsidR="00B54D51" w:rsidRPr="00037AD4" w14:paraId="72009D6B" w14:textId="77777777" w:rsidTr="00401C67">
        <w:tc>
          <w:tcPr>
            <w:tcW w:w="1768" w:type="dxa"/>
          </w:tcPr>
          <w:p w14:paraId="25F3678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DEMQoL relative proxy </w:t>
            </w:r>
          </w:p>
        </w:tc>
        <w:tc>
          <w:tcPr>
            <w:tcW w:w="1828" w:type="dxa"/>
          </w:tcPr>
          <w:p w14:paraId="05D7E74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Informal proxy</w:t>
            </w:r>
          </w:p>
        </w:tc>
        <w:tc>
          <w:tcPr>
            <w:tcW w:w="2044" w:type="dxa"/>
          </w:tcPr>
          <w:p w14:paraId="46D0A04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Interview with trained researcher</w:t>
            </w:r>
          </w:p>
        </w:tc>
        <w:tc>
          <w:tcPr>
            <w:tcW w:w="1120" w:type="dxa"/>
          </w:tcPr>
          <w:p w14:paraId="4CA2A06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0, 6, 16 </w:t>
            </w:r>
          </w:p>
        </w:tc>
        <w:tc>
          <w:tcPr>
            <w:tcW w:w="2591" w:type="dxa"/>
          </w:tcPr>
          <w:p w14:paraId="15F1A2D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About PwD. Relative was recruited to provide complimentary additional data</w:t>
            </w:r>
          </w:p>
        </w:tc>
      </w:tr>
      <w:tr w:rsidR="00B54D51" w:rsidRPr="00037AD4" w14:paraId="2AA7BFBF" w14:textId="77777777" w:rsidTr="00401C67">
        <w:tc>
          <w:tcPr>
            <w:tcW w:w="1768" w:type="dxa"/>
          </w:tcPr>
          <w:p w14:paraId="1CA3FC1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DEMQoL staff proxy</w:t>
            </w:r>
          </w:p>
        </w:tc>
        <w:tc>
          <w:tcPr>
            <w:tcW w:w="1828" w:type="dxa"/>
          </w:tcPr>
          <w:p w14:paraId="5A0BFA9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Staff proxy </w:t>
            </w:r>
          </w:p>
        </w:tc>
        <w:tc>
          <w:tcPr>
            <w:tcW w:w="2044" w:type="dxa"/>
          </w:tcPr>
          <w:p w14:paraId="189A529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Interview with trained researcher</w:t>
            </w:r>
          </w:p>
        </w:tc>
        <w:tc>
          <w:tcPr>
            <w:tcW w:w="1120" w:type="dxa"/>
          </w:tcPr>
          <w:p w14:paraId="735E765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0, 6, 16 </w:t>
            </w:r>
          </w:p>
        </w:tc>
        <w:tc>
          <w:tcPr>
            <w:tcW w:w="2591" w:type="dxa"/>
          </w:tcPr>
          <w:p w14:paraId="09EED68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About PwD</w:t>
            </w:r>
          </w:p>
        </w:tc>
      </w:tr>
      <w:tr w:rsidR="00B54D51" w:rsidRPr="00037AD4" w14:paraId="0DC8BC51" w14:textId="77777777" w:rsidTr="00401C67">
        <w:tc>
          <w:tcPr>
            <w:tcW w:w="1768" w:type="dxa"/>
          </w:tcPr>
          <w:p w14:paraId="0073D4A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lastRenderedPageBreak/>
              <w:t>EAT</w:t>
            </w:r>
            <w:r w:rsidRPr="00037AD4">
              <w:rPr>
                <w:rFonts w:asciiTheme="minorHAnsi" w:hAnsiTheme="minorHAnsi" w:cstheme="minorHAnsi"/>
                <w:vertAlign w:val="superscript"/>
              </w:rPr>
              <w:t>±</w:t>
            </w:r>
          </w:p>
        </w:tc>
        <w:tc>
          <w:tcPr>
            <w:tcW w:w="1828" w:type="dxa"/>
          </w:tcPr>
          <w:p w14:paraId="76B21BC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Researcher</w:t>
            </w:r>
          </w:p>
        </w:tc>
        <w:tc>
          <w:tcPr>
            <w:tcW w:w="2044" w:type="dxa"/>
          </w:tcPr>
          <w:p w14:paraId="29E1817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Researcher observation </w:t>
            </w:r>
          </w:p>
        </w:tc>
        <w:tc>
          <w:tcPr>
            <w:tcW w:w="1120" w:type="dxa"/>
          </w:tcPr>
          <w:p w14:paraId="4B303FC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0, 6, 16 </w:t>
            </w:r>
          </w:p>
        </w:tc>
        <w:tc>
          <w:tcPr>
            <w:tcW w:w="2591" w:type="dxa"/>
          </w:tcPr>
          <w:p w14:paraId="150C23D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About the care home. Information attained via a senior staff member</w:t>
            </w:r>
          </w:p>
        </w:tc>
      </w:tr>
      <w:tr w:rsidR="00B54D51" w:rsidRPr="00037AD4" w14:paraId="2C9D1D6D" w14:textId="77777777" w:rsidTr="00401C67">
        <w:tc>
          <w:tcPr>
            <w:tcW w:w="1768" w:type="dxa"/>
          </w:tcPr>
          <w:p w14:paraId="68ED198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EQ-5D-5L resident </w:t>
            </w:r>
          </w:p>
        </w:tc>
        <w:tc>
          <w:tcPr>
            <w:tcW w:w="1828" w:type="dxa"/>
          </w:tcPr>
          <w:p w14:paraId="6AF979C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PwD </w:t>
            </w:r>
          </w:p>
        </w:tc>
        <w:tc>
          <w:tcPr>
            <w:tcW w:w="2044" w:type="dxa"/>
          </w:tcPr>
          <w:p w14:paraId="7FC0CAE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Interview with trained researcher</w:t>
            </w:r>
          </w:p>
        </w:tc>
        <w:tc>
          <w:tcPr>
            <w:tcW w:w="1120" w:type="dxa"/>
          </w:tcPr>
          <w:p w14:paraId="223538C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0, 6, 16 </w:t>
            </w:r>
          </w:p>
        </w:tc>
        <w:tc>
          <w:tcPr>
            <w:tcW w:w="2591" w:type="dxa"/>
          </w:tcPr>
          <w:p w14:paraId="6ECF953C" w14:textId="77777777" w:rsidR="00B54D51" w:rsidRPr="00037AD4" w:rsidRDefault="00B54D51" w:rsidP="00401C67">
            <w:pPr>
              <w:rPr>
                <w:rFonts w:asciiTheme="minorHAnsi" w:hAnsiTheme="minorHAnsi" w:cstheme="minorHAnsi"/>
              </w:rPr>
            </w:pPr>
          </w:p>
        </w:tc>
      </w:tr>
      <w:tr w:rsidR="00B54D51" w:rsidRPr="00037AD4" w14:paraId="31BA3BB5" w14:textId="77777777" w:rsidTr="00401C67">
        <w:tc>
          <w:tcPr>
            <w:tcW w:w="1768" w:type="dxa"/>
          </w:tcPr>
          <w:p w14:paraId="227EB78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EQ-5D-5L relative proxy</w:t>
            </w:r>
          </w:p>
        </w:tc>
        <w:tc>
          <w:tcPr>
            <w:tcW w:w="1828" w:type="dxa"/>
          </w:tcPr>
          <w:p w14:paraId="7253F3E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Informal proxy </w:t>
            </w:r>
          </w:p>
        </w:tc>
        <w:tc>
          <w:tcPr>
            <w:tcW w:w="2044" w:type="dxa"/>
          </w:tcPr>
          <w:p w14:paraId="19C1162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Interview with trained researcher</w:t>
            </w:r>
          </w:p>
        </w:tc>
        <w:tc>
          <w:tcPr>
            <w:tcW w:w="1120" w:type="dxa"/>
          </w:tcPr>
          <w:p w14:paraId="1F7A936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0, 6, 16 </w:t>
            </w:r>
          </w:p>
        </w:tc>
        <w:tc>
          <w:tcPr>
            <w:tcW w:w="2591" w:type="dxa"/>
          </w:tcPr>
          <w:p w14:paraId="3C76B994" w14:textId="77777777" w:rsidR="00B54D51" w:rsidRPr="00037AD4" w:rsidRDefault="00B54D51" w:rsidP="00401C67">
            <w:pPr>
              <w:rPr>
                <w:rFonts w:asciiTheme="minorHAnsi" w:hAnsiTheme="minorHAnsi" w:cstheme="minorHAnsi"/>
                <w:u w:val="single"/>
              </w:rPr>
            </w:pPr>
            <w:r w:rsidRPr="00037AD4">
              <w:rPr>
                <w:rFonts w:asciiTheme="minorHAnsi" w:hAnsiTheme="minorHAnsi" w:cstheme="minorHAnsi"/>
              </w:rPr>
              <w:t>About PwD. Relative was recruited to provide complimentary additional data</w:t>
            </w:r>
          </w:p>
        </w:tc>
      </w:tr>
      <w:tr w:rsidR="00B54D51" w:rsidRPr="00037AD4" w14:paraId="13CEE188" w14:textId="77777777" w:rsidTr="00401C67">
        <w:tc>
          <w:tcPr>
            <w:tcW w:w="1768" w:type="dxa"/>
          </w:tcPr>
          <w:p w14:paraId="5091598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EQ-5D-5L staff proxy </w:t>
            </w:r>
          </w:p>
        </w:tc>
        <w:tc>
          <w:tcPr>
            <w:tcW w:w="1828" w:type="dxa"/>
          </w:tcPr>
          <w:p w14:paraId="73249AE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Staff </w:t>
            </w:r>
          </w:p>
        </w:tc>
        <w:tc>
          <w:tcPr>
            <w:tcW w:w="2044" w:type="dxa"/>
          </w:tcPr>
          <w:p w14:paraId="5E56C03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Interview with trained researcher</w:t>
            </w:r>
          </w:p>
        </w:tc>
        <w:tc>
          <w:tcPr>
            <w:tcW w:w="1120" w:type="dxa"/>
          </w:tcPr>
          <w:p w14:paraId="41180DD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0, 6, 16 </w:t>
            </w:r>
          </w:p>
        </w:tc>
        <w:tc>
          <w:tcPr>
            <w:tcW w:w="2591" w:type="dxa"/>
          </w:tcPr>
          <w:p w14:paraId="52D6C19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About PwD</w:t>
            </w:r>
          </w:p>
        </w:tc>
      </w:tr>
      <w:tr w:rsidR="00B54D51" w:rsidRPr="00037AD4" w14:paraId="691E7B9C" w14:textId="77777777" w:rsidTr="00401C67">
        <w:tc>
          <w:tcPr>
            <w:tcW w:w="1768" w:type="dxa"/>
          </w:tcPr>
          <w:p w14:paraId="02AEE00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FAST </w:t>
            </w:r>
          </w:p>
        </w:tc>
        <w:tc>
          <w:tcPr>
            <w:tcW w:w="1828" w:type="dxa"/>
          </w:tcPr>
          <w:p w14:paraId="09D5E45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Researcher </w:t>
            </w:r>
          </w:p>
        </w:tc>
        <w:tc>
          <w:tcPr>
            <w:tcW w:w="2044" w:type="dxa"/>
          </w:tcPr>
          <w:p w14:paraId="6DA55EA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Via information from a staff informant </w:t>
            </w:r>
          </w:p>
        </w:tc>
        <w:tc>
          <w:tcPr>
            <w:tcW w:w="1120" w:type="dxa"/>
          </w:tcPr>
          <w:p w14:paraId="7C2D325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0, 6, 16 </w:t>
            </w:r>
          </w:p>
        </w:tc>
        <w:tc>
          <w:tcPr>
            <w:tcW w:w="2591" w:type="dxa"/>
          </w:tcPr>
          <w:p w14:paraId="6CF0B36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Designed for use in moderate-to-severe dementia </w:t>
            </w:r>
          </w:p>
        </w:tc>
      </w:tr>
      <w:tr w:rsidR="00B54D51" w:rsidRPr="00037AD4" w14:paraId="7BC34B10" w14:textId="77777777" w:rsidTr="00401C67">
        <w:tc>
          <w:tcPr>
            <w:tcW w:w="1768" w:type="dxa"/>
          </w:tcPr>
          <w:p w14:paraId="5178F4C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GHQ-12</w:t>
            </w:r>
            <w:r w:rsidRPr="00037AD4">
              <w:rPr>
                <w:rFonts w:asciiTheme="minorHAnsi" w:hAnsiTheme="minorHAnsi" w:cstheme="minorHAnsi"/>
                <w:vertAlign w:val="superscript"/>
              </w:rPr>
              <w:t>±</w:t>
            </w:r>
          </w:p>
        </w:tc>
        <w:tc>
          <w:tcPr>
            <w:tcW w:w="1828" w:type="dxa"/>
          </w:tcPr>
          <w:p w14:paraId="285244D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Staff proxy</w:t>
            </w:r>
          </w:p>
        </w:tc>
        <w:tc>
          <w:tcPr>
            <w:tcW w:w="2044" w:type="dxa"/>
          </w:tcPr>
          <w:p w14:paraId="7728A75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Self-complete booklet</w:t>
            </w:r>
          </w:p>
        </w:tc>
        <w:tc>
          <w:tcPr>
            <w:tcW w:w="1120" w:type="dxa"/>
          </w:tcPr>
          <w:p w14:paraId="6DA8219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0, 6</w:t>
            </w:r>
          </w:p>
        </w:tc>
        <w:tc>
          <w:tcPr>
            <w:tcW w:w="2591" w:type="dxa"/>
          </w:tcPr>
          <w:p w14:paraId="661CD92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About staff caregivers themselves</w:t>
            </w:r>
          </w:p>
        </w:tc>
      </w:tr>
      <w:tr w:rsidR="00B54D51" w:rsidRPr="00037AD4" w14:paraId="48100A9D" w14:textId="77777777" w:rsidTr="00401C67">
        <w:tc>
          <w:tcPr>
            <w:tcW w:w="1768" w:type="dxa"/>
          </w:tcPr>
          <w:p w14:paraId="0E2390D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NPI-NH </w:t>
            </w:r>
          </w:p>
        </w:tc>
        <w:tc>
          <w:tcPr>
            <w:tcW w:w="1828" w:type="dxa"/>
          </w:tcPr>
          <w:p w14:paraId="05791F1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Staff proxy </w:t>
            </w:r>
          </w:p>
        </w:tc>
        <w:tc>
          <w:tcPr>
            <w:tcW w:w="2044" w:type="dxa"/>
          </w:tcPr>
          <w:p w14:paraId="12A98C2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Interview with trained researcher </w:t>
            </w:r>
          </w:p>
        </w:tc>
        <w:tc>
          <w:tcPr>
            <w:tcW w:w="1120" w:type="dxa"/>
          </w:tcPr>
          <w:p w14:paraId="0D7321E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0, 6, 16</w:t>
            </w:r>
          </w:p>
        </w:tc>
        <w:tc>
          <w:tcPr>
            <w:tcW w:w="2591" w:type="dxa"/>
          </w:tcPr>
          <w:p w14:paraId="14E8F51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Nursing home version of NPI </w:t>
            </w:r>
          </w:p>
        </w:tc>
      </w:tr>
      <w:tr w:rsidR="00B54D51" w:rsidRPr="00037AD4" w14:paraId="03EDB89A" w14:textId="77777777" w:rsidTr="00401C67">
        <w:tc>
          <w:tcPr>
            <w:tcW w:w="1768" w:type="dxa"/>
          </w:tcPr>
          <w:p w14:paraId="2A7401E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PAS</w:t>
            </w:r>
            <w:r w:rsidRPr="00037AD4">
              <w:rPr>
                <w:rFonts w:asciiTheme="minorHAnsi" w:hAnsiTheme="minorHAnsi" w:cstheme="minorHAnsi"/>
                <w:vertAlign w:val="superscript"/>
              </w:rPr>
              <w:t>±</w:t>
            </w:r>
          </w:p>
        </w:tc>
        <w:tc>
          <w:tcPr>
            <w:tcW w:w="1828" w:type="dxa"/>
          </w:tcPr>
          <w:p w14:paraId="3F79BEB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Independent researcher </w:t>
            </w:r>
          </w:p>
        </w:tc>
        <w:tc>
          <w:tcPr>
            <w:tcW w:w="2044" w:type="dxa"/>
          </w:tcPr>
          <w:p w14:paraId="3C96CE2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Observation based rating </w:t>
            </w:r>
          </w:p>
        </w:tc>
        <w:tc>
          <w:tcPr>
            <w:tcW w:w="1120" w:type="dxa"/>
          </w:tcPr>
          <w:p w14:paraId="0070375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0, 6, 16</w:t>
            </w:r>
          </w:p>
        </w:tc>
        <w:tc>
          <w:tcPr>
            <w:tcW w:w="2591" w:type="dxa"/>
          </w:tcPr>
          <w:p w14:paraId="6C07D7C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About PwD. Standardised administration between 10.00-17.00 hours in communal areas</w:t>
            </w:r>
          </w:p>
        </w:tc>
      </w:tr>
      <w:tr w:rsidR="00B54D51" w:rsidRPr="00037AD4" w14:paraId="5CB1FF19" w14:textId="77777777" w:rsidTr="00401C67">
        <w:tc>
          <w:tcPr>
            <w:tcW w:w="1768" w:type="dxa"/>
          </w:tcPr>
          <w:p w14:paraId="51CF99B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QUALID relative </w:t>
            </w:r>
          </w:p>
        </w:tc>
        <w:tc>
          <w:tcPr>
            <w:tcW w:w="1828" w:type="dxa"/>
          </w:tcPr>
          <w:p w14:paraId="24494DB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Informal proxy</w:t>
            </w:r>
          </w:p>
        </w:tc>
        <w:tc>
          <w:tcPr>
            <w:tcW w:w="2044" w:type="dxa"/>
          </w:tcPr>
          <w:p w14:paraId="2B3804F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Interview with trained researcher</w:t>
            </w:r>
          </w:p>
        </w:tc>
        <w:tc>
          <w:tcPr>
            <w:tcW w:w="1120" w:type="dxa"/>
          </w:tcPr>
          <w:p w14:paraId="1F23E94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0, 6, 16</w:t>
            </w:r>
          </w:p>
        </w:tc>
        <w:tc>
          <w:tcPr>
            <w:tcW w:w="2591" w:type="dxa"/>
          </w:tcPr>
          <w:p w14:paraId="3FB9F9D4" w14:textId="77777777" w:rsidR="00B54D51" w:rsidRPr="00037AD4" w:rsidRDefault="00B54D51" w:rsidP="00401C67">
            <w:pPr>
              <w:rPr>
                <w:rFonts w:asciiTheme="minorHAnsi" w:hAnsiTheme="minorHAnsi" w:cstheme="minorHAnsi"/>
                <w:u w:val="single"/>
              </w:rPr>
            </w:pPr>
            <w:r w:rsidRPr="00037AD4">
              <w:rPr>
                <w:rFonts w:asciiTheme="minorHAnsi" w:hAnsiTheme="minorHAnsi" w:cstheme="minorHAnsi"/>
              </w:rPr>
              <w:t>About PwD. Relative was recruited to provide complimentary additional data</w:t>
            </w:r>
          </w:p>
        </w:tc>
      </w:tr>
      <w:tr w:rsidR="00B54D51" w:rsidRPr="00037AD4" w14:paraId="10ABFDDA" w14:textId="77777777" w:rsidTr="00401C67">
        <w:tc>
          <w:tcPr>
            <w:tcW w:w="1768" w:type="dxa"/>
          </w:tcPr>
          <w:p w14:paraId="33944E0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QUALID staff </w:t>
            </w:r>
          </w:p>
        </w:tc>
        <w:tc>
          <w:tcPr>
            <w:tcW w:w="1828" w:type="dxa"/>
          </w:tcPr>
          <w:p w14:paraId="5B833F1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Staff proxy</w:t>
            </w:r>
          </w:p>
        </w:tc>
        <w:tc>
          <w:tcPr>
            <w:tcW w:w="2044" w:type="dxa"/>
          </w:tcPr>
          <w:p w14:paraId="5518EEB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Interview with trained researcher</w:t>
            </w:r>
          </w:p>
        </w:tc>
        <w:tc>
          <w:tcPr>
            <w:tcW w:w="1120" w:type="dxa"/>
          </w:tcPr>
          <w:p w14:paraId="388A984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0, 6, 16</w:t>
            </w:r>
          </w:p>
        </w:tc>
        <w:tc>
          <w:tcPr>
            <w:tcW w:w="2591" w:type="dxa"/>
          </w:tcPr>
          <w:p w14:paraId="3800C5A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About PwD </w:t>
            </w:r>
          </w:p>
        </w:tc>
      </w:tr>
      <w:tr w:rsidR="00B54D51" w:rsidRPr="00037AD4" w14:paraId="2C269F3E" w14:textId="77777777" w:rsidTr="00401C67">
        <w:tc>
          <w:tcPr>
            <w:tcW w:w="1768" w:type="dxa"/>
          </w:tcPr>
          <w:p w14:paraId="313647A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QoL-AD</w:t>
            </w:r>
          </w:p>
        </w:tc>
        <w:tc>
          <w:tcPr>
            <w:tcW w:w="1828" w:type="dxa"/>
          </w:tcPr>
          <w:p w14:paraId="0A68632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PwD</w:t>
            </w:r>
          </w:p>
        </w:tc>
        <w:tc>
          <w:tcPr>
            <w:tcW w:w="2044" w:type="dxa"/>
          </w:tcPr>
          <w:p w14:paraId="61B0CEE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Interview with trained researcher</w:t>
            </w:r>
          </w:p>
        </w:tc>
        <w:tc>
          <w:tcPr>
            <w:tcW w:w="1120" w:type="dxa"/>
          </w:tcPr>
          <w:p w14:paraId="56FF01F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0, 6, 16</w:t>
            </w:r>
          </w:p>
        </w:tc>
        <w:tc>
          <w:tcPr>
            <w:tcW w:w="2591" w:type="dxa"/>
          </w:tcPr>
          <w:p w14:paraId="0FFB061F" w14:textId="77777777" w:rsidR="00B54D51" w:rsidRPr="00037AD4" w:rsidRDefault="00B54D51" w:rsidP="00401C67">
            <w:pPr>
              <w:rPr>
                <w:rFonts w:asciiTheme="minorHAnsi" w:hAnsiTheme="minorHAnsi" w:cstheme="minorHAnsi"/>
                <w:u w:val="single"/>
              </w:rPr>
            </w:pPr>
          </w:p>
        </w:tc>
      </w:tr>
      <w:tr w:rsidR="00B54D51" w:rsidRPr="00037AD4" w14:paraId="1CC7F2F4" w14:textId="77777777" w:rsidTr="00401C67">
        <w:tc>
          <w:tcPr>
            <w:tcW w:w="1768" w:type="dxa"/>
          </w:tcPr>
          <w:p w14:paraId="60B7C80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SCIDS</w:t>
            </w:r>
            <w:r w:rsidRPr="00037AD4">
              <w:rPr>
                <w:rFonts w:asciiTheme="minorHAnsi" w:hAnsiTheme="minorHAnsi" w:cstheme="minorHAnsi"/>
                <w:vertAlign w:val="superscript"/>
              </w:rPr>
              <w:t>±</w:t>
            </w:r>
          </w:p>
        </w:tc>
        <w:tc>
          <w:tcPr>
            <w:tcW w:w="1828" w:type="dxa"/>
          </w:tcPr>
          <w:p w14:paraId="0582228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Staff proxy</w:t>
            </w:r>
          </w:p>
        </w:tc>
        <w:tc>
          <w:tcPr>
            <w:tcW w:w="2044" w:type="dxa"/>
          </w:tcPr>
          <w:p w14:paraId="6C72F79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Self-complete booklet </w:t>
            </w:r>
          </w:p>
        </w:tc>
        <w:tc>
          <w:tcPr>
            <w:tcW w:w="1120" w:type="dxa"/>
          </w:tcPr>
          <w:p w14:paraId="119173A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0, 6, 16</w:t>
            </w:r>
          </w:p>
        </w:tc>
        <w:tc>
          <w:tcPr>
            <w:tcW w:w="2591" w:type="dxa"/>
          </w:tcPr>
          <w:p w14:paraId="140EF48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About staff caregivers themselves. </w:t>
            </w:r>
          </w:p>
        </w:tc>
      </w:tr>
      <w:tr w:rsidR="00B54D51" w:rsidRPr="00037AD4" w14:paraId="02C76E06" w14:textId="77777777" w:rsidTr="00401C67">
        <w:tc>
          <w:tcPr>
            <w:tcW w:w="1768" w:type="dxa"/>
          </w:tcPr>
          <w:p w14:paraId="3DC0438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QUIS</w:t>
            </w:r>
            <w:r w:rsidRPr="00037AD4">
              <w:rPr>
                <w:rFonts w:asciiTheme="minorHAnsi" w:hAnsiTheme="minorHAnsi" w:cstheme="minorHAnsi"/>
                <w:vertAlign w:val="superscript"/>
              </w:rPr>
              <w:t>±</w:t>
            </w:r>
          </w:p>
        </w:tc>
        <w:tc>
          <w:tcPr>
            <w:tcW w:w="1828" w:type="dxa"/>
          </w:tcPr>
          <w:p w14:paraId="13EC219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Researcher</w:t>
            </w:r>
          </w:p>
        </w:tc>
        <w:tc>
          <w:tcPr>
            <w:tcW w:w="2044" w:type="dxa"/>
          </w:tcPr>
          <w:p w14:paraId="64D1352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Researcher observation </w:t>
            </w:r>
          </w:p>
        </w:tc>
        <w:tc>
          <w:tcPr>
            <w:tcW w:w="1120" w:type="dxa"/>
          </w:tcPr>
          <w:p w14:paraId="48F12C2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0, 6, 16</w:t>
            </w:r>
          </w:p>
        </w:tc>
        <w:tc>
          <w:tcPr>
            <w:tcW w:w="2591" w:type="dxa"/>
          </w:tcPr>
          <w:p w14:paraId="6738A2B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About the care home via observation of the quality of interactions between staff and PwD. Uses time-sampling approach: 15-minute periods in communal areas in the care home, during 2x2 hour observations during a 7-day period</w:t>
            </w:r>
          </w:p>
        </w:tc>
      </w:tr>
      <w:tr w:rsidR="00B54D51" w:rsidRPr="00037AD4" w14:paraId="4D07E679" w14:textId="77777777" w:rsidTr="00401C67">
        <w:tc>
          <w:tcPr>
            <w:tcW w:w="9351" w:type="dxa"/>
            <w:gridSpan w:val="5"/>
          </w:tcPr>
          <w:p w14:paraId="37D4955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*Primary outcomes; </w:t>
            </w:r>
            <w:r w:rsidRPr="00037AD4">
              <w:rPr>
                <w:rFonts w:asciiTheme="minorHAnsi" w:hAnsiTheme="minorHAnsi" w:cstheme="minorHAnsi"/>
                <w:vertAlign w:val="superscript"/>
              </w:rPr>
              <w:t>±</w:t>
            </w:r>
            <w:r w:rsidRPr="00037AD4">
              <w:rPr>
                <w:rFonts w:asciiTheme="minorHAnsi" w:hAnsiTheme="minorHAnsi" w:cstheme="minorHAnsi"/>
              </w:rPr>
              <w:t>Not included in transferred dataset</w:t>
            </w:r>
          </w:p>
          <w:p w14:paraId="717267E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lastRenderedPageBreak/>
              <w:t xml:space="preserve">Sense of Competence in Dementia Care Staff (SCIDS); Quality of interactions schedule (QUIS); Environmental Audit Tool (EAT) </w:t>
            </w:r>
          </w:p>
        </w:tc>
      </w:tr>
    </w:tbl>
    <w:p w14:paraId="43219197" w14:textId="77777777" w:rsidR="00B54D51" w:rsidRPr="00037AD4" w:rsidRDefault="00B54D51" w:rsidP="001D7ACE">
      <w:pPr>
        <w:rPr>
          <w:rFonts w:asciiTheme="minorHAnsi" w:hAnsiTheme="minorHAnsi" w:cstheme="minorHAnsi"/>
        </w:rPr>
      </w:pPr>
    </w:p>
    <w:p w14:paraId="79DB1B54" w14:textId="77777777" w:rsidR="00B54D51" w:rsidRPr="00037AD4" w:rsidRDefault="00B54D51" w:rsidP="001D7ACE">
      <w:pPr>
        <w:rPr>
          <w:rFonts w:asciiTheme="minorHAnsi" w:hAnsiTheme="minorHAnsi" w:cstheme="minorHAnsi"/>
          <w:u w:val="single"/>
        </w:rPr>
      </w:pPr>
      <w:r w:rsidRPr="00037AD4">
        <w:rPr>
          <w:rFonts w:asciiTheme="minorHAnsi" w:hAnsiTheme="minorHAnsi" w:cstheme="minorHAnsi"/>
          <w:u w:val="single"/>
        </w:rPr>
        <w:t xml:space="preserve">4B5) Clinical and cost effectiveness of the DCM EPIC intervention </w:t>
      </w:r>
    </w:p>
    <w:p w14:paraId="65B45EAC" w14:textId="77777777" w:rsidR="00B54D51" w:rsidRPr="00037AD4" w:rsidRDefault="00B54D51" w:rsidP="001D7ACE">
      <w:pPr>
        <w:rPr>
          <w:rFonts w:asciiTheme="minorHAnsi" w:hAnsiTheme="minorHAnsi" w:cstheme="minorHAnsi"/>
          <w:b/>
          <w:bCs/>
          <w:u w:val="single"/>
        </w:rPr>
      </w:pPr>
    </w:p>
    <w:p w14:paraId="53A0E1BF" w14:textId="77777777" w:rsidR="00B54D51" w:rsidRPr="00037AD4" w:rsidRDefault="00B54D51" w:rsidP="001D7ACE">
      <w:pPr>
        <w:rPr>
          <w:rFonts w:asciiTheme="minorHAnsi" w:hAnsiTheme="minorHAnsi" w:cstheme="minorHAnsi"/>
        </w:rPr>
      </w:pPr>
      <w:r w:rsidRPr="00037AD4">
        <w:rPr>
          <w:rFonts w:asciiTheme="minorHAnsi" w:hAnsiTheme="minorHAnsi" w:cstheme="minorHAnsi"/>
        </w:rPr>
        <w:t xml:space="preserve">Analyses on the cross-sectional sample and the closed cohort identified no significant difference in mean agitation scores between arms at 16 months. DCM was not better than control in any outcomes. The adjusted mean CMAI score difference was -2.11 points (95% CI -4.66 to 0.44, p=0.104, adjusted ICC control = 0, intervention 0.001). The treatment effect was neither clinically meaningful, nor statistically significantly different (p=0.099). Analyses via NPI-NH, QoL-AD, QUALID via staff and informal proxy all showed no benefit of the intervention over control. </w:t>
      </w:r>
    </w:p>
    <w:p w14:paraId="5E01407D" w14:textId="77777777" w:rsidR="00B54D51" w:rsidRPr="00037AD4" w:rsidRDefault="00B54D51" w:rsidP="001D7ACE">
      <w:pPr>
        <w:rPr>
          <w:rFonts w:asciiTheme="minorHAnsi" w:hAnsiTheme="minorHAnsi" w:cstheme="minorHAnsi"/>
        </w:rPr>
      </w:pPr>
    </w:p>
    <w:p w14:paraId="7113EF06" w14:textId="77777777" w:rsidR="00B54D51" w:rsidRPr="00037AD4" w:rsidRDefault="00B54D51" w:rsidP="001D7ACE">
      <w:pPr>
        <w:rPr>
          <w:rFonts w:asciiTheme="minorHAnsi" w:hAnsiTheme="minorHAnsi" w:cstheme="minorHAnsi"/>
        </w:rPr>
      </w:pPr>
      <w:r w:rsidRPr="00037AD4">
        <w:rPr>
          <w:rFonts w:asciiTheme="minorHAnsi" w:hAnsiTheme="minorHAnsi" w:cstheme="minorHAnsi"/>
        </w:rPr>
        <w:t xml:space="preserve">Very few care homes implemented more than one DCM cycle, therefore intervention compliance was low. Only 8/31 (25.8%) completed more than the first external expert mapper supported DCM cycle. There was some exploration of a dose-response relationship, however this relied upon multiple imputed data for a large proportion of participants and was therefore not considered to be reliable. </w:t>
      </w:r>
    </w:p>
    <w:p w14:paraId="24C59D70" w14:textId="77777777" w:rsidR="00B54D51" w:rsidRPr="00037AD4" w:rsidRDefault="00B54D51" w:rsidP="001D7ACE">
      <w:pPr>
        <w:rPr>
          <w:rFonts w:asciiTheme="minorHAnsi" w:hAnsiTheme="minorHAnsi" w:cstheme="minorHAnsi"/>
          <w:u w:val="single"/>
        </w:rPr>
      </w:pPr>
    </w:p>
    <w:p w14:paraId="4C3586A9" w14:textId="77777777" w:rsidR="00B54D51" w:rsidRPr="00037AD4" w:rsidRDefault="00B54D51" w:rsidP="001D7ACE">
      <w:pPr>
        <w:rPr>
          <w:rFonts w:asciiTheme="minorHAnsi" w:hAnsiTheme="minorHAnsi" w:cstheme="minorHAnsi"/>
        </w:rPr>
      </w:pPr>
      <w:r w:rsidRPr="00037AD4">
        <w:rPr>
          <w:rFonts w:asciiTheme="minorHAnsi" w:hAnsiTheme="minorHAnsi" w:cstheme="minorHAnsi"/>
        </w:rPr>
        <w:t xml:space="preserve">A cost-utility analysis over 16 months presenting ICERs for intervention vs control, with effects expressed as QALYs was conducted (closed-cohort including residents recruited at baseline only). A cost effectiveness analysis of cost per unit of improvement in CMAI at 16 months was also conducted. The analyses adopted the health care and personal social services perspectives. </w:t>
      </w:r>
    </w:p>
    <w:p w14:paraId="3C7BEB58" w14:textId="77777777" w:rsidR="00B54D51" w:rsidRPr="00037AD4" w:rsidRDefault="00B54D51" w:rsidP="001D7ACE">
      <w:pPr>
        <w:rPr>
          <w:rFonts w:asciiTheme="minorHAnsi" w:hAnsiTheme="minorHAnsi" w:cstheme="minorHAnsi"/>
          <w:u w:val="single"/>
        </w:rPr>
      </w:pPr>
    </w:p>
    <w:p w14:paraId="790062A9" w14:textId="77777777" w:rsidR="00B54D51" w:rsidRPr="00037AD4" w:rsidRDefault="00B54D51" w:rsidP="001D7ACE">
      <w:pPr>
        <w:rPr>
          <w:rFonts w:asciiTheme="minorHAnsi" w:hAnsiTheme="minorHAnsi" w:cstheme="minorHAnsi"/>
        </w:rPr>
      </w:pPr>
      <w:r w:rsidRPr="00037AD4">
        <w:rPr>
          <w:rFonts w:asciiTheme="minorHAnsi" w:hAnsiTheme="minorHAnsi" w:cstheme="minorHAnsi"/>
        </w:rPr>
        <w:t>Utility was captured via EQ-5D-5L and DEMQoL-Proxy-U. Where self-reported EQ-5D was available this was used. Resident and proxy reported data were reported and analysed separately.</w:t>
      </w:r>
    </w:p>
    <w:p w14:paraId="1ED5E97A" w14:textId="77777777" w:rsidR="00B54D51" w:rsidRPr="00037AD4" w:rsidRDefault="00B54D51" w:rsidP="001D7ACE">
      <w:pPr>
        <w:rPr>
          <w:rFonts w:asciiTheme="minorHAnsi" w:hAnsiTheme="minorHAnsi" w:cstheme="minorHAnsi"/>
        </w:rPr>
      </w:pPr>
    </w:p>
    <w:p w14:paraId="0F6ABF5F" w14:textId="77777777" w:rsidR="00B54D51" w:rsidRPr="00037AD4" w:rsidRDefault="00B54D51" w:rsidP="001D7ACE">
      <w:pPr>
        <w:rPr>
          <w:rFonts w:asciiTheme="minorHAnsi" w:hAnsiTheme="minorHAnsi" w:cstheme="minorHAnsi"/>
        </w:rPr>
      </w:pPr>
      <w:r w:rsidRPr="00037AD4">
        <w:rPr>
          <w:rFonts w:asciiTheme="minorHAnsi" w:hAnsiTheme="minorHAnsi" w:cstheme="minorHAnsi"/>
        </w:rPr>
        <w:t xml:space="preserve">The costs included aspects related to delivery and receipt of DCM training and implementation of DCM processes in care homes. The main analysis assumes that the local authority pays for the provision of care home care for residents. The total cost of DCM was estimated to be £421.07/resident (~£9,290.30/care home). Incremental cost per unit improvement in CMAI was £289 and per QALY was £60,627 (DCM vs control). Overall, the intervention was not seen to be cost-effective. </w:t>
      </w:r>
    </w:p>
    <w:p w14:paraId="0D3C4F05" w14:textId="77777777" w:rsidR="00B54D51" w:rsidRPr="00037AD4" w:rsidRDefault="00B54D51" w:rsidP="001D7ACE">
      <w:pPr>
        <w:rPr>
          <w:rFonts w:asciiTheme="minorHAnsi" w:hAnsiTheme="minorHAnsi" w:cstheme="minorHAnsi"/>
          <w:b/>
          <w:bCs/>
          <w:u w:val="single"/>
        </w:rPr>
      </w:pPr>
    </w:p>
    <w:p w14:paraId="5DB02C6F" w14:textId="77777777" w:rsidR="00B54D51" w:rsidRPr="00037AD4" w:rsidRDefault="00B54D51" w:rsidP="001D7ACE">
      <w:pPr>
        <w:rPr>
          <w:rFonts w:asciiTheme="minorHAnsi" w:hAnsiTheme="minorHAnsi" w:cstheme="minorHAnsi"/>
          <w:b/>
          <w:bCs/>
        </w:rPr>
      </w:pPr>
      <w:r w:rsidRPr="00037AD4">
        <w:rPr>
          <w:rFonts w:asciiTheme="minorHAnsi" w:hAnsiTheme="minorHAnsi" w:cstheme="minorHAnsi"/>
          <w:b/>
          <w:bCs/>
          <w:u w:val="single"/>
        </w:rPr>
        <w:t xml:space="preserve">4C) Access to Timely Formal dementia Care in Europe (ACTIFCare) study summary </w:t>
      </w:r>
    </w:p>
    <w:p w14:paraId="4AA59250" w14:textId="77777777" w:rsidR="00B54D51" w:rsidRPr="00037AD4" w:rsidRDefault="00B54D51" w:rsidP="001D7ACE">
      <w:pPr>
        <w:ind w:left="360"/>
        <w:rPr>
          <w:rFonts w:asciiTheme="minorHAnsi" w:hAnsiTheme="minorHAnsi" w:cstheme="minorHAnsi"/>
          <w:b/>
          <w:bCs/>
          <w:u w:val="single"/>
        </w:rPr>
      </w:pPr>
    </w:p>
    <w:p w14:paraId="4CEAE7CB" w14:textId="77777777" w:rsidR="00B54D51" w:rsidRPr="00037AD4" w:rsidRDefault="00B54D51" w:rsidP="001D7ACE">
      <w:pPr>
        <w:rPr>
          <w:rFonts w:asciiTheme="minorHAnsi" w:hAnsiTheme="minorHAnsi" w:cstheme="minorHAnsi"/>
        </w:rPr>
      </w:pPr>
      <w:r w:rsidRPr="00037AD4">
        <w:rPr>
          <w:rFonts w:asciiTheme="minorHAnsi" w:hAnsiTheme="minorHAnsi" w:cstheme="minorHAnsi"/>
        </w:rPr>
        <w:t xml:space="preserve">The ACTIFCARE study was a multinational study that took place across 8 European countries: Germany, Netherlands, Sweden, Norway, Ireland, United Kingdom, Portugal, and Italy. The funding for the study was provided by various organisations under the aegis of the Neurodegenerative Disease Research (JPND) EU joint programme </w:t>
      </w:r>
      <w:r>
        <w:rPr>
          <w:rFonts w:asciiTheme="minorHAnsi" w:hAnsiTheme="minorHAnsi" w:cstheme="minorHAnsi"/>
          <w:noProof/>
        </w:rPr>
        <w:t>(Kerpershoek et al., 2018)</w:t>
      </w:r>
      <w:r w:rsidRPr="00037AD4">
        <w:rPr>
          <w:rFonts w:asciiTheme="minorHAnsi" w:hAnsiTheme="minorHAnsi" w:cstheme="minorHAnsi"/>
        </w:rPr>
        <w:t>.</w:t>
      </w:r>
    </w:p>
    <w:p w14:paraId="6ACB43B1" w14:textId="77777777" w:rsidR="00B54D51" w:rsidRPr="00037AD4" w:rsidRDefault="00B54D51" w:rsidP="001D7ACE">
      <w:pPr>
        <w:rPr>
          <w:rFonts w:asciiTheme="minorHAnsi" w:hAnsiTheme="minorHAnsi" w:cstheme="minorHAnsi"/>
          <w:highlight w:val="yellow"/>
        </w:rPr>
      </w:pPr>
    </w:p>
    <w:p w14:paraId="12F0BB30" w14:textId="77777777" w:rsidR="00B54D51" w:rsidRPr="00037AD4" w:rsidRDefault="00B54D51" w:rsidP="001D7ACE">
      <w:pPr>
        <w:rPr>
          <w:rFonts w:asciiTheme="minorHAnsi" w:hAnsiTheme="minorHAnsi" w:cstheme="minorHAnsi"/>
        </w:rPr>
      </w:pPr>
      <w:r w:rsidRPr="00037AD4">
        <w:rPr>
          <w:rFonts w:asciiTheme="minorHAnsi" w:hAnsiTheme="minorHAnsi" w:cstheme="minorHAnsi"/>
        </w:rPr>
        <w:t xml:space="preserve">The ACTIFCARE study team aimed to examine the costs related to formal and informal care use, and quality of life for PwD, and to explore the associations with unmet need. The study focused on middle stage dementia (where well-organised access to formal care is </w:t>
      </w:r>
      <w:r w:rsidRPr="00037AD4">
        <w:rPr>
          <w:rFonts w:asciiTheme="minorHAnsi" w:hAnsiTheme="minorHAnsi" w:cstheme="minorHAnsi"/>
        </w:rPr>
        <w:lastRenderedPageBreak/>
        <w:t xml:space="preserve">particularly important due to an increased need of care at this stage), with the aim of identifying best-practice strategies regarding access to formal care for PwD.  </w:t>
      </w:r>
    </w:p>
    <w:p w14:paraId="3849EAD8" w14:textId="77777777" w:rsidR="00B54D51" w:rsidRPr="00037AD4" w:rsidRDefault="00B54D51" w:rsidP="001D7ACE">
      <w:pPr>
        <w:rPr>
          <w:rFonts w:asciiTheme="minorHAnsi" w:hAnsiTheme="minorHAnsi" w:cstheme="minorHAnsi"/>
          <w:b/>
          <w:bCs/>
          <w:u w:val="single"/>
        </w:rPr>
      </w:pPr>
    </w:p>
    <w:p w14:paraId="06C3221C" w14:textId="77777777" w:rsidR="00B54D51" w:rsidRPr="00037AD4" w:rsidRDefault="00B54D51" w:rsidP="001D7ACE">
      <w:pPr>
        <w:rPr>
          <w:rFonts w:asciiTheme="minorHAnsi" w:hAnsiTheme="minorHAnsi" w:cstheme="minorHAnsi"/>
          <w:u w:val="single"/>
        </w:rPr>
      </w:pPr>
      <w:r w:rsidRPr="00037AD4">
        <w:rPr>
          <w:rFonts w:asciiTheme="minorHAnsi" w:hAnsiTheme="minorHAnsi" w:cstheme="minorHAnsi"/>
          <w:u w:val="single"/>
        </w:rPr>
        <w:t xml:space="preserve">4C1) ACTIFCare trial design </w:t>
      </w:r>
    </w:p>
    <w:p w14:paraId="07004426" w14:textId="77777777" w:rsidR="00B54D51" w:rsidRPr="00037AD4" w:rsidRDefault="00B54D51" w:rsidP="001D7ACE">
      <w:pPr>
        <w:rPr>
          <w:rFonts w:asciiTheme="minorHAnsi" w:hAnsiTheme="minorHAnsi" w:cstheme="minorHAnsi"/>
          <w:b/>
          <w:bCs/>
          <w:u w:val="single"/>
        </w:rPr>
      </w:pPr>
    </w:p>
    <w:p w14:paraId="30430D38" w14:textId="77777777" w:rsidR="00B54D51" w:rsidRPr="00037AD4" w:rsidRDefault="00B54D51" w:rsidP="001D7ACE">
      <w:pPr>
        <w:rPr>
          <w:rFonts w:asciiTheme="minorHAnsi" w:hAnsiTheme="minorHAnsi" w:cstheme="minorHAnsi"/>
        </w:rPr>
      </w:pPr>
      <w:r w:rsidRPr="00037AD4">
        <w:rPr>
          <w:rFonts w:asciiTheme="minorHAnsi" w:hAnsiTheme="minorHAnsi" w:cstheme="minorHAnsi"/>
        </w:rPr>
        <w:t xml:space="preserve">This was an observational study with no intervention, however there were subgroups of dyads using vs. not using formal care services. </w:t>
      </w:r>
    </w:p>
    <w:p w14:paraId="175EE5A7" w14:textId="77777777" w:rsidR="00B54D51" w:rsidRPr="00037AD4" w:rsidRDefault="00B54D51" w:rsidP="001D7ACE">
      <w:pPr>
        <w:rPr>
          <w:rFonts w:asciiTheme="minorHAnsi" w:hAnsiTheme="minorHAnsi" w:cstheme="minorHAnsi"/>
          <w:u w:val="single"/>
        </w:rPr>
      </w:pPr>
    </w:p>
    <w:p w14:paraId="2E9CF602" w14:textId="77777777" w:rsidR="00B54D51" w:rsidRPr="00037AD4" w:rsidRDefault="00B54D51" w:rsidP="001D7ACE">
      <w:pPr>
        <w:rPr>
          <w:rFonts w:asciiTheme="minorHAnsi" w:hAnsiTheme="minorHAnsi" w:cstheme="minorHAnsi"/>
        </w:rPr>
      </w:pPr>
      <w:r w:rsidRPr="00037AD4">
        <w:rPr>
          <w:rFonts w:asciiTheme="minorHAnsi" w:hAnsiTheme="minorHAnsi" w:cstheme="minorHAnsi"/>
        </w:rPr>
        <w:t xml:space="preserve">The ACTIFCARE study was a longitudinal prospective cohort study conducted in 8 European countries. Assessments took place at baseline, with follow-up measures at 6 and 12 months. </w:t>
      </w:r>
    </w:p>
    <w:p w14:paraId="5696895C" w14:textId="77777777" w:rsidR="00B54D51" w:rsidRPr="00037AD4" w:rsidRDefault="00B54D51" w:rsidP="001D7ACE">
      <w:pPr>
        <w:rPr>
          <w:rFonts w:asciiTheme="minorHAnsi" w:hAnsiTheme="minorHAnsi" w:cstheme="minorHAnsi"/>
          <w:b/>
          <w:bCs/>
          <w:u w:val="single"/>
        </w:rPr>
      </w:pPr>
    </w:p>
    <w:p w14:paraId="68207812" w14:textId="77777777" w:rsidR="00B54D51" w:rsidRPr="00037AD4" w:rsidRDefault="00B54D51" w:rsidP="001D7ACE">
      <w:pPr>
        <w:rPr>
          <w:rFonts w:asciiTheme="minorHAnsi" w:hAnsiTheme="minorHAnsi" w:cstheme="minorHAnsi"/>
          <w:u w:val="single"/>
        </w:rPr>
      </w:pPr>
      <w:r w:rsidRPr="00037AD4">
        <w:rPr>
          <w:rFonts w:asciiTheme="minorHAnsi" w:hAnsiTheme="minorHAnsi" w:cstheme="minorHAnsi"/>
          <w:u w:val="single"/>
        </w:rPr>
        <w:t xml:space="preserve">4C2) Study recruitment </w:t>
      </w:r>
    </w:p>
    <w:p w14:paraId="40AB28B9" w14:textId="77777777" w:rsidR="00B54D51" w:rsidRPr="00037AD4" w:rsidRDefault="00B54D51" w:rsidP="001D7ACE">
      <w:pPr>
        <w:rPr>
          <w:rFonts w:asciiTheme="minorHAnsi" w:hAnsiTheme="minorHAnsi" w:cstheme="minorHAnsi"/>
          <w:b/>
          <w:bCs/>
          <w:u w:val="single"/>
        </w:rPr>
      </w:pPr>
    </w:p>
    <w:p w14:paraId="0146276A" w14:textId="77777777" w:rsidR="00B54D51" w:rsidRPr="00037AD4" w:rsidRDefault="00B54D51" w:rsidP="001D7ACE">
      <w:pPr>
        <w:rPr>
          <w:rFonts w:asciiTheme="minorHAnsi" w:hAnsiTheme="minorHAnsi" w:cstheme="minorHAnsi"/>
        </w:rPr>
      </w:pPr>
      <w:r w:rsidRPr="00037AD4">
        <w:rPr>
          <w:rFonts w:asciiTheme="minorHAnsi" w:hAnsiTheme="minorHAnsi" w:cstheme="minorHAnsi"/>
        </w:rPr>
        <w:t xml:space="preserve">PwD and their informal caregivers were recruited in 2014 and 2015.  Participants were recruited via general practices, memory clinics and community mental health teams, as well as through local ads in national newspapers. 451 dyads were recruited, totalling ~55 per country. </w:t>
      </w:r>
    </w:p>
    <w:p w14:paraId="7B62B7B0" w14:textId="77777777" w:rsidR="00B54D51" w:rsidRPr="00037AD4" w:rsidRDefault="00B54D51" w:rsidP="001D7ACE">
      <w:pPr>
        <w:rPr>
          <w:rFonts w:asciiTheme="minorHAnsi" w:hAnsiTheme="minorHAnsi" w:cstheme="minorHAnsi"/>
        </w:rPr>
      </w:pPr>
    </w:p>
    <w:p w14:paraId="152DE542" w14:textId="77777777" w:rsidR="00B54D51" w:rsidRPr="00037AD4" w:rsidRDefault="00B54D51" w:rsidP="001D7ACE">
      <w:pPr>
        <w:rPr>
          <w:rFonts w:asciiTheme="minorHAnsi" w:hAnsiTheme="minorHAnsi" w:cstheme="minorHAnsi"/>
        </w:rPr>
      </w:pPr>
      <w:r w:rsidRPr="00037AD4">
        <w:rPr>
          <w:rFonts w:asciiTheme="minorHAnsi" w:hAnsiTheme="minorHAnsi" w:cstheme="minorHAnsi"/>
        </w:rPr>
        <w:t xml:space="preserve">People with (any type of) dementia at the middle-stage and were community dwelling at the time (and for at least 6 months prior) were eligible for recruitment. Additionally, they were to be judged by a professional as likely to be requiring/ considering additional assistance with personal care within 1 year. </w:t>
      </w:r>
    </w:p>
    <w:p w14:paraId="1CC0DFD5" w14:textId="77777777" w:rsidR="00B54D51" w:rsidRPr="00037AD4" w:rsidRDefault="00B54D51" w:rsidP="001D7ACE">
      <w:pPr>
        <w:rPr>
          <w:rFonts w:asciiTheme="minorHAnsi" w:hAnsiTheme="minorHAnsi" w:cstheme="minorHAnsi"/>
          <w:b/>
          <w:bCs/>
          <w:u w:val="single"/>
        </w:rPr>
      </w:pPr>
    </w:p>
    <w:p w14:paraId="2E57B377" w14:textId="77777777" w:rsidR="00B54D51" w:rsidRPr="00037AD4" w:rsidRDefault="00B54D51" w:rsidP="001D7ACE">
      <w:pPr>
        <w:ind w:firstLine="720"/>
        <w:rPr>
          <w:rFonts w:asciiTheme="minorHAnsi" w:hAnsiTheme="minorHAnsi" w:cstheme="minorHAnsi"/>
          <w:u w:val="single"/>
        </w:rPr>
      </w:pPr>
      <w:r w:rsidRPr="00037AD4">
        <w:rPr>
          <w:rFonts w:asciiTheme="minorHAnsi" w:hAnsiTheme="minorHAnsi" w:cstheme="minorHAnsi"/>
          <w:u w:val="single"/>
        </w:rPr>
        <w:t>4C2a) Proxy selection</w:t>
      </w:r>
    </w:p>
    <w:p w14:paraId="758CA1D6" w14:textId="77777777" w:rsidR="00B54D51" w:rsidRPr="00037AD4" w:rsidRDefault="00B54D51" w:rsidP="001D7ACE">
      <w:pPr>
        <w:rPr>
          <w:rFonts w:asciiTheme="minorHAnsi" w:hAnsiTheme="minorHAnsi" w:cstheme="minorHAnsi"/>
          <w:b/>
          <w:bCs/>
          <w:u w:val="single"/>
        </w:rPr>
      </w:pPr>
    </w:p>
    <w:p w14:paraId="2F298521" w14:textId="77777777" w:rsidR="00B54D51" w:rsidRPr="00037AD4" w:rsidRDefault="00B54D51" w:rsidP="001D7ACE">
      <w:pPr>
        <w:rPr>
          <w:rFonts w:asciiTheme="minorHAnsi" w:hAnsiTheme="minorHAnsi" w:cstheme="minorHAnsi"/>
        </w:rPr>
      </w:pPr>
      <w:r w:rsidRPr="00037AD4">
        <w:rPr>
          <w:rFonts w:asciiTheme="minorHAnsi" w:hAnsiTheme="minorHAnsi" w:cstheme="minorHAnsi"/>
        </w:rPr>
        <w:t xml:space="preserve">Proxies were a person that had contact with the PwD at least once per week. They did not have to be residing with the PwD, and they could be a relative, friend or neighbour in regular contact. </w:t>
      </w:r>
    </w:p>
    <w:p w14:paraId="66E51C87" w14:textId="77777777" w:rsidR="00B54D51" w:rsidRPr="00037AD4" w:rsidRDefault="00B54D51" w:rsidP="001D7ACE">
      <w:pPr>
        <w:rPr>
          <w:rFonts w:asciiTheme="minorHAnsi" w:hAnsiTheme="minorHAnsi" w:cstheme="minorHAnsi"/>
          <w:b/>
          <w:bCs/>
          <w:u w:val="single"/>
        </w:rPr>
      </w:pPr>
    </w:p>
    <w:p w14:paraId="7E844334" w14:textId="77777777" w:rsidR="00B54D51" w:rsidRPr="00037AD4" w:rsidRDefault="00B54D51" w:rsidP="001D7ACE">
      <w:pPr>
        <w:rPr>
          <w:rFonts w:asciiTheme="minorHAnsi" w:hAnsiTheme="minorHAnsi" w:cstheme="minorHAnsi"/>
          <w:u w:val="single"/>
        </w:rPr>
      </w:pPr>
      <w:r w:rsidRPr="00037AD4">
        <w:rPr>
          <w:rFonts w:asciiTheme="minorHAnsi" w:hAnsiTheme="minorHAnsi" w:cstheme="minorHAnsi"/>
          <w:u w:val="single"/>
        </w:rPr>
        <w:t xml:space="preserve">4C3) Data collection </w:t>
      </w:r>
    </w:p>
    <w:p w14:paraId="33130BC4" w14:textId="77777777" w:rsidR="00B54D51" w:rsidRPr="00037AD4" w:rsidRDefault="00B54D51" w:rsidP="001D7ACE">
      <w:pPr>
        <w:rPr>
          <w:rFonts w:asciiTheme="minorHAnsi" w:hAnsiTheme="minorHAnsi" w:cstheme="minorHAnsi"/>
          <w:b/>
          <w:bCs/>
          <w:u w:val="single"/>
        </w:rPr>
      </w:pPr>
    </w:p>
    <w:p w14:paraId="7CB72B00" w14:textId="77777777" w:rsidR="00B54D51" w:rsidRPr="00037AD4" w:rsidRDefault="00B54D51" w:rsidP="001D7ACE">
      <w:pPr>
        <w:rPr>
          <w:rFonts w:asciiTheme="minorHAnsi" w:hAnsiTheme="minorHAnsi" w:cstheme="minorHAnsi"/>
        </w:rPr>
      </w:pPr>
      <w:r w:rsidRPr="00037AD4">
        <w:rPr>
          <w:rFonts w:asciiTheme="minorHAnsi" w:hAnsiTheme="minorHAnsi" w:cstheme="minorHAnsi"/>
        </w:rPr>
        <w:t xml:space="preserve">Neither the study paper </w:t>
      </w:r>
      <w:r>
        <w:rPr>
          <w:rFonts w:asciiTheme="minorHAnsi" w:hAnsiTheme="minorHAnsi" w:cstheme="minorHAnsi"/>
          <w:noProof/>
        </w:rPr>
        <w:t>(Kerpershoek et al., 2018)</w:t>
      </w:r>
      <w:r w:rsidRPr="00037AD4">
        <w:rPr>
          <w:rFonts w:asciiTheme="minorHAnsi" w:hAnsiTheme="minorHAnsi" w:cstheme="minorHAnsi"/>
        </w:rPr>
        <w:t xml:space="preserve"> nor the protocol paper </w:t>
      </w:r>
      <w:r>
        <w:rPr>
          <w:rFonts w:asciiTheme="minorHAnsi" w:hAnsiTheme="minorHAnsi" w:cstheme="minorHAnsi"/>
          <w:noProof/>
        </w:rPr>
        <w:t>(Kerpershoek et al., 2016)</w:t>
      </w:r>
      <w:r w:rsidRPr="00037AD4">
        <w:rPr>
          <w:rFonts w:asciiTheme="minorHAnsi" w:hAnsiTheme="minorHAnsi" w:cstheme="minorHAnsi"/>
        </w:rPr>
        <w:t xml:space="preserve"> provide details regarding the administration of the outcome instruments. The protocol paper states that all questionnaires were to be administered in the hospital or at home to ensure that the participants were in a comfortable environment </w:t>
      </w:r>
      <w:r>
        <w:rPr>
          <w:rFonts w:asciiTheme="minorHAnsi" w:hAnsiTheme="minorHAnsi" w:cstheme="minorHAnsi"/>
          <w:noProof/>
        </w:rPr>
        <w:t>(Kerpershoek et al., 2016)</w:t>
      </w:r>
      <w:r w:rsidRPr="00037AD4">
        <w:rPr>
          <w:rFonts w:asciiTheme="minorHAnsi" w:hAnsiTheme="minorHAnsi" w:cstheme="minorHAnsi"/>
        </w:rPr>
        <w:t xml:space="preserve">. The wording of the study paper (within the table below, </w:t>
      </w:r>
      <w:r w:rsidRPr="00037AD4">
        <w:rPr>
          <w:rFonts w:asciiTheme="minorHAnsi" w:hAnsiTheme="minorHAnsi" w:cstheme="minorHAnsi"/>
          <w:i/>
          <w:iCs/>
        </w:rPr>
        <w:t>under administration details</w:t>
      </w:r>
      <w:r w:rsidRPr="00037AD4">
        <w:rPr>
          <w:rFonts w:asciiTheme="minorHAnsi" w:hAnsiTheme="minorHAnsi" w:cstheme="minorHAnsi"/>
        </w:rPr>
        <w:t xml:space="preserve">) suggests that the outcomes were administered with the PwD and caregiver present together. </w:t>
      </w:r>
    </w:p>
    <w:p w14:paraId="19F9A62C" w14:textId="77777777" w:rsidR="00B54D51" w:rsidRPr="00037AD4" w:rsidRDefault="00B54D51" w:rsidP="001D7ACE">
      <w:pPr>
        <w:rPr>
          <w:rFonts w:asciiTheme="minorHAnsi" w:hAnsiTheme="minorHAnsi" w:cstheme="minorHAnsi"/>
        </w:rPr>
      </w:pPr>
    </w:p>
    <w:p w14:paraId="1968B38A" w14:textId="77777777" w:rsidR="00B54D51" w:rsidRPr="00037AD4" w:rsidRDefault="00B54D51" w:rsidP="001D7ACE">
      <w:pPr>
        <w:rPr>
          <w:rFonts w:asciiTheme="minorHAnsi" w:hAnsiTheme="minorHAnsi" w:cstheme="minorHAnsi"/>
          <w:u w:val="single"/>
        </w:rPr>
      </w:pPr>
      <w:r w:rsidRPr="00037AD4">
        <w:rPr>
          <w:rFonts w:asciiTheme="minorHAnsi" w:hAnsiTheme="minorHAnsi" w:cstheme="minorHAnsi"/>
          <w:u w:val="single"/>
        </w:rPr>
        <w:t xml:space="preserve">4C4) Measures </w:t>
      </w:r>
    </w:p>
    <w:p w14:paraId="60BC6888" w14:textId="77777777" w:rsidR="00B54D51" w:rsidRPr="00037AD4" w:rsidRDefault="00B54D51" w:rsidP="001D7ACE">
      <w:pPr>
        <w:rPr>
          <w:rFonts w:asciiTheme="minorHAnsi" w:hAnsiTheme="minorHAnsi" w:cstheme="minorHAnsi"/>
          <w:b/>
          <w:bCs/>
          <w:u w:val="single"/>
        </w:rPr>
      </w:pPr>
    </w:p>
    <w:p w14:paraId="37031A79" w14:textId="77777777" w:rsidR="00B54D51" w:rsidRPr="00037AD4" w:rsidRDefault="00B54D51" w:rsidP="001D7ACE">
      <w:pPr>
        <w:rPr>
          <w:rFonts w:asciiTheme="minorHAnsi" w:hAnsiTheme="minorHAnsi" w:cstheme="minorHAnsi"/>
        </w:rPr>
      </w:pPr>
      <w:r w:rsidRPr="00037AD4">
        <w:rPr>
          <w:rFonts w:asciiTheme="minorHAnsi" w:hAnsiTheme="minorHAnsi" w:cstheme="minorHAnsi"/>
        </w:rPr>
        <w:t xml:space="preserve">As this was not an interventional study, there was no direct primary outcome. However, the main focus of the study was unmet needs of the PwD which was measured via the CANE instrument. </w:t>
      </w:r>
    </w:p>
    <w:p w14:paraId="0D1B7179" w14:textId="77777777" w:rsidR="00B54D51" w:rsidRPr="00037AD4" w:rsidRDefault="00B54D51" w:rsidP="001D7ACE">
      <w:pPr>
        <w:rPr>
          <w:rFonts w:asciiTheme="minorHAnsi" w:hAnsiTheme="minorHAnsi" w:cstheme="minorHAnsi"/>
        </w:rPr>
      </w:pPr>
    </w:p>
    <w:p w14:paraId="70DCD671" w14:textId="77777777" w:rsidR="00B54D51" w:rsidRPr="00037AD4" w:rsidRDefault="00B54D51" w:rsidP="001D7ACE">
      <w:pPr>
        <w:rPr>
          <w:rFonts w:asciiTheme="minorHAnsi" w:hAnsiTheme="minorHAnsi" w:cstheme="minorHAnsi"/>
        </w:rPr>
      </w:pPr>
    </w:p>
    <w:p w14:paraId="631BA2B0" w14:textId="77777777" w:rsidR="00B54D51" w:rsidRPr="00037AD4" w:rsidRDefault="00B54D51" w:rsidP="001D7ACE">
      <w:pPr>
        <w:rPr>
          <w:rFonts w:asciiTheme="minorHAnsi" w:hAnsiTheme="minorHAnsi" w:cstheme="minorHAnsi"/>
        </w:rPr>
      </w:pPr>
    </w:p>
    <w:p w14:paraId="363D1AAC" w14:textId="77777777" w:rsidR="00B54D51" w:rsidRPr="00037AD4" w:rsidRDefault="00B54D51" w:rsidP="001D7ACE">
      <w:pPr>
        <w:rPr>
          <w:rFonts w:asciiTheme="minorHAnsi" w:hAnsiTheme="minorHAnsi" w:cstheme="minorHAnsi"/>
          <w:u w:val="single"/>
        </w:rPr>
      </w:pPr>
      <w:r w:rsidRPr="00037AD4">
        <w:rPr>
          <w:rFonts w:asciiTheme="minorHAnsi" w:hAnsiTheme="minorHAnsi" w:cstheme="minorHAnsi"/>
          <w:u w:val="single"/>
        </w:rPr>
        <w:lastRenderedPageBreak/>
        <w:t xml:space="preserve">Summary of measures collected in the ACTIFCARE study </w:t>
      </w:r>
    </w:p>
    <w:p w14:paraId="6134FF11" w14:textId="77777777" w:rsidR="00B54D51" w:rsidRPr="00037AD4" w:rsidRDefault="00B54D51" w:rsidP="001D7ACE">
      <w:pPr>
        <w:rPr>
          <w:rFonts w:asciiTheme="minorHAnsi" w:hAnsiTheme="minorHAnsi" w:cstheme="minorHAnsi"/>
        </w:rPr>
      </w:pPr>
    </w:p>
    <w:tbl>
      <w:tblPr>
        <w:tblStyle w:val="TableGrid"/>
        <w:tblW w:w="9351" w:type="dxa"/>
        <w:tblLook w:val="04A0" w:firstRow="1" w:lastRow="0" w:firstColumn="1" w:lastColumn="0" w:noHBand="0" w:noVBand="1"/>
      </w:tblPr>
      <w:tblGrid>
        <w:gridCol w:w="2025"/>
        <w:gridCol w:w="1943"/>
        <w:gridCol w:w="2177"/>
        <w:gridCol w:w="1235"/>
        <w:gridCol w:w="1971"/>
      </w:tblGrid>
      <w:tr w:rsidR="00B54D51" w:rsidRPr="00037AD4" w14:paraId="5075C4B2" w14:textId="77777777" w:rsidTr="00401C67">
        <w:tc>
          <w:tcPr>
            <w:tcW w:w="2025" w:type="dxa"/>
          </w:tcPr>
          <w:p w14:paraId="492A0D1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Instrument </w:t>
            </w:r>
          </w:p>
        </w:tc>
        <w:tc>
          <w:tcPr>
            <w:tcW w:w="1943" w:type="dxa"/>
          </w:tcPr>
          <w:p w14:paraId="6D43E92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Completed by? </w:t>
            </w:r>
          </w:p>
        </w:tc>
        <w:tc>
          <w:tcPr>
            <w:tcW w:w="2177" w:type="dxa"/>
          </w:tcPr>
          <w:p w14:paraId="6153EB1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Administration details </w:t>
            </w:r>
          </w:p>
        </w:tc>
        <w:tc>
          <w:tcPr>
            <w:tcW w:w="1235" w:type="dxa"/>
          </w:tcPr>
          <w:p w14:paraId="6B6F73B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Time points </w:t>
            </w:r>
          </w:p>
        </w:tc>
        <w:tc>
          <w:tcPr>
            <w:tcW w:w="1971" w:type="dxa"/>
          </w:tcPr>
          <w:p w14:paraId="2DB694C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Additional information</w:t>
            </w:r>
          </w:p>
        </w:tc>
      </w:tr>
      <w:tr w:rsidR="00B54D51" w:rsidRPr="00037AD4" w14:paraId="12B71A1E" w14:textId="77777777" w:rsidTr="00401C67">
        <w:tc>
          <w:tcPr>
            <w:tcW w:w="2025" w:type="dxa"/>
          </w:tcPr>
          <w:p w14:paraId="5107C1E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CANE</w:t>
            </w:r>
            <w:r w:rsidRPr="00037AD4">
              <w:rPr>
                <w:rFonts w:asciiTheme="minorHAnsi" w:hAnsiTheme="minorHAnsi" w:cstheme="minorHAnsi"/>
                <w:vertAlign w:val="superscript"/>
              </w:rPr>
              <w:t>±</w:t>
            </w:r>
          </w:p>
        </w:tc>
        <w:tc>
          <w:tcPr>
            <w:tcW w:w="1943" w:type="dxa"/>
          </w:tcPr>
          <w:p w14:paraId="31A74BB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PwD, caregiver, interviewer </w:t>
            </w:r>
          </w:p>
        </w:tc>
        <w:tc>
          <w:tcPr>
            <w:tcW w:w="2177" w:type="dxa"/>
            <w:vMerge w:val="restart"/>
          </w:tcPr>
          <w:p w14:paraId="7A112C55" w14:textId="77777777" w:rsidR="00B54D51" w:rsidRPr="00037AD4" w:rsidRDefault="00B54D51" w:rsidP="00401C67">
            <w:pPr>
              <w:rPr>
                <w:rFonts w:asciiTheme="minorHAnsi" w:hAnsiTheme="minorHAnsi" w:cstheme="minorHAnsi"/>
              </w:rPr>
            </w:pPr>
          </w:p>
        </w:tc>
        <w:tc>
          <w:tcPr>
            <w:tcW w:w="1235" w:type="dxa"/>
          </w:tcPr>
          <w:p w14:paraId="7FDEAC3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0, 6, 12</w:t>
            </w:r>
          </w:p>
        </w:tc>
        <w:tc>
          <w:tcPr>
            <w:tcW w:w="1971" w:type="dxa"/>
          </w:tcPr>
          <w:p w14:paraId="1C80C29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Scored by the researcher taking into account both the perspectives of the PwD and caregiver </w:t>
            </w:r>
          </w:p>
        </w:tc>
      </w:tr>
      <w:tr w:rsidR="00B54D51" w:rsidRPr="00037AD4" w14:paraId="104DEA7C" w14:textId="77777777" w:rsidTr="00401C67">
        <w:tc>
          <w:tcPr>
            <w:tcW w:w="2025" w:type="dxa"/>
          </w:tcPr>
          <w:p w14:paraId="1571A7E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CarerQoL-7D</w:t>
            </w:r>
            <w:r w:rsidRPr="00037AD4">
              <w:rPr>
                <w:rFonts w:asciiTheme="minorHAnsi" w:hAnsiTheme="minorHAnsi" w:cstheme="minorHAnsi"/>
                <w:vertAlign w:val="superscript"/>
              </w:rPr>
              <w:t>±</w:t>
            </w:r>
          </w:p>
        </w:tc>
        <w:tc>
          <w:tcPr>
            <w:tcW w:w="1943" w:type="dxa"/>
          </w:tcPr>
          <w:p w14:paraId="4442E27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Caregiver </w:t>
            </w:r>
          </w:p>
        </w:tc>
        <w:tc>
          <w:tcPr>
            <w:tcW w:w="2177" w:type="dxa"/>
            <w:vMerge/>
          </w:tcPr>
          <w:p w14:paraId="54F6ED1C" w14:textId="77777777" w:rsidR="00B54D51" w:rsidRPr="00037AD4" w:rsidRDefault="00B54D51" w:rsidP="00401C67">
            <w:pPr>
              <w:rPr>
                <w:rFonts w:asciiTheme="minorHAnsi" w:hAnsiTheme="minorHAnsi" w:cstheme="minorHAnsi"/>
              </w:rPr>
            </w:pPr>
          </w:p>
        </w:tc>
        <w:tc>
          <w:tcPr>
            <w:tcW w:w="1235" w:type="dxa"/>
          </w:tcPr>
          <w:p w14:paraId="1FF32B0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0, 6, 12</w:t>
            </w:r>
          </w:p>
        </w:tc>
        <w:tc>
          <w:tcPr>
            <w:tcW w:w="1971" w:type="dxa"/>
          </w:tcPr>
          <w:p w14:paraId="4EC5AB6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Developed to measure the impact of informal care by assessing happiness and burden – validation taking place during the study </w:t>
            </w:r>
          </w:p>
        </w:tc>
      </w:tr>
      <w:tr w:rsidR="00B54D51" w:rsidRPr="00037AD4" w14:paraId="05426324" w14:textId="77777777" w:rsidTr="00401C67">
        <w:tc>
          <w:tcPr>
            <w:tcW w:w="2025" w:type="dxa"/>
          </w:tcPr>
          <w:p w14:paraId="18295CE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CDR</w:t>
            </w:r>
          </w:p>
        </w:tc>
        <w:tc>
          <w:tcPr>
            <w:tcW w:w="1943" w:type="dxa"/>
          </w:tcPr>
          <w:p w14:paraId="05DD08A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Interviewer </w:t>
            </w:r>
          </w:p>
        </w:tc>
        <w:tc>
          <w:tcPr>
            <w:tcW w:w="2177" w:type="dxa"/>
            <w:vMerge/>
          </w:tcPr>
          <w:p w14:paraId="0BA2554D" w14:textId="77777777" w:rsidR="00B54D51" w:rsidRPr="00037AD4" w:rsidRDefault="00B54D51" w:rsidP="00401C67">
            <w:pPr>
              <w:rPr>
                <w:rFonts w:asciiTheme="minorHAnsi" w:hAnsiTheme="minorHAnsi" w:cstheme="minorHAnsi"/>
              </w:rPr>
            </w:pPr>
          </w:p>
        </w:tc>
        <w:tc>
          <w:tcPr>
            <w:tcW w:w="1235" w:type="dxa"/>
          </w:tcPr>
          <w:p w14:paraId="6DAF21E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0, 6, 12</w:t>
            </w:r>
          </w:p>
        </w:tc>
        <w:tc>
          <w:tcPr>
            <w:tcW w:w="1971" w:type="dxa"/>
          </w:tcPr>
          <w:p w14:paraId="72B42D7F" w14:textId="77777777" w:rsidR="00B54D51" w:rsidRPr="00037AD4" w:rsidRDefault="00B54D51" w:rsidP="00401C67">
            <w:pPr>
              <w:rPr>
                <w:rFonts w:asciiTheme="minorHAnsi" w:hAnsiTheme="minorHAnsi" w:cstheme="minorHAnsi"/>
              </w:rPr>
            </w:pPr>
          </w:p>
        </w:tc>
      </w:tr>
      <w:tr w:rsidR="00B54D51" w:rsidRPr="00037AD4" w14:paraId="56F0805B" w14:textId="77777777" w:rsidTr="00401C67">
        <w:tc>
          <w:tcPr>
            <w:tcW w:w="2025" w:type="dxa"/>
          </w:tcPr>
          <w:p w14:paraId="5EE2153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DEMQoL-U</w:t>
            </w:r>
          </w:p>
        </w:tc>
        <w:tc>
          <w:tcPr>
            <w:tcW w:w="1943" w:type="dxa"/>
          </w:tcPr>
          <w:p w14:paraId="2256026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PwD</w:t>
            </w:r>
          </w:p>
        </w:tc>
        <w:tc>
          <w:tcPr>
            <w:tcW w:w="2177" w:type="dxa"/>
            <w:vMerge/>
          </w:tcPr>
          <w:p w14:paraId="58A8090E" w14:textId="77777777" w:rsidR="00B54D51" w:rsidRPr="00037AD4" w:rsidRDefault="00B54D51" w:rsidP="00401C67">
            <w:pPr>
              <w:rPr>
                <w:rFonts w:asciiTheme="minorHAnsi" w:hAnsiTheme="minorHAnsi" w:cstheme="minorHAnsi"/>
              </w:rPr>
            </w:pPr>
          </w:p>
        </w:tc>
        <w:tc>
          <w:tcPr>
            <w:tcW w:w="1235" w:type="dxa"/>
          </w:tcPr>
          <w:p w14:paraId="417048C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0, 6, 12</w:t>
            </w:r>
          </w:p>
        </w:tc>
        <w:tc>
          <w:tcPr>
            <w:tcW w:w="1971" w:type="dxa"/>
          </w:tcPr>
          <w:p w14:paraId="0BA513AD" w14:textId="77777777" w:rsidR="00B54D51" w:rsidRPr="00037AD4" w:rsidRDefault="00B54D51" w:rsidP="00401C67">
            <w:pPr>
              <w:rPr>
                <w:rFonts w:asciiTheme="minorHAnsi" w:hAnsiTheme="minorHAnsi" w:cstheme="minorHAnsi"/>
              </w:rPr>
            </w:pPr>
          </w:p>
        </w:tc>
      </w:tr>
      <w:tr w:rsidR="00B54D51" w:rsidRPr="00037AD4" w14:paraId="52D8E0FC" w14:textId="77777777" w:rsidTr="00401C67">
        <w:tc>
          <w:tcPr>
            <w:tcW w:w="2025" w:type="dxa"/>
          </w:tcPr>
          <w:p w14:paraId="6378F8D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DEMQoL-U-Proxy</w:t>
            </w:r>
          </w:p>
        </w:tc>
        <w:tc>
          <w:tcPr>
            <w:tcW w:w="1943" w:type="dxa"/>
          </w:tcPr>
          <w:p w14:paraId="32EF9C3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Caregiver</w:t>
            </w:r>
          </w:p>
        </w:tc>
        <w:tc>
          <w:tcPr>
            <w:tcW w:w="2177" w:type="dxa"/>
            <w:vMerge/>
          </w:tcPr>
          <w:p w14:paraId="2D48955E" w14:textId="77777777" w:rsidR="00B54D51" w:rsidRPr="00037AD4" w:rsidRDefault="00B54D51" w:rsidP="00401C67">
            <w:pPr>
              <w:rPr>
                <w:rFonts w:asciiTheme="minorHAnsi" w:hAnsiTheme="minorHAnsi" w:cstheme="minorHAnsi"/>
              </w:rPr>
            </w:pPr>
          </w:p>
        </w:tc>
        <w:tc>
          <w:tcPr>
            <w:tcW w:w="1235" w:type="dxa"/>
          </w:tcPr>
          <w:p w14:paraId="5496F12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0, 6, 12</w:t>
            </w:r>
          </w:p>
        </w:tc>
        <w:tc>
          <w:tcPr>
            <w:tcW w:w="1971" w:type="dxa"/>
          </w:tcPr>
          <w:p w14:paraId="3DADE28C" w14:textId="77777777" w:rsidR="00B54D51" w:rsidRPr="00037AD4" w:rsidRDefault="00B54D51" w:rsidP="00401C67">
            <w:pPr>
              <w:rPr>
                <w:rFonts w:asciiTheme="minorHAnsi" w:hAnsiTheme="minorHAnsi" w:cstheme="minorHAnsi"/>
              </w:rPr>
            </w:pPr>
          </w:p>
        </w:tc>
      </w:tr>
      <w:tr w:rsidR="00B54D51" w:rsidRPr="00037AD4" w14:paraId="301D6B76" w14:textId="77777777" w:rsidTr="00401C67">
        <w:tc>
          <w:tcPr>
            <w:tcW w:w="2025" w:type="dxa"/>
          </w:tcPr>
          <w:p w14:paraId="653C125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EQ-5D-5L (self)</w:t>
            </w:r>
          </w:p>
        </w:tc>
        <w:tc>
          <w:tcPr>
            <w:tcW w:w="1943" w:type="dxa"/>
          </w:tcPr>
          <w:p w14:paraId="4C996C6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PwD</w:t>
            </w:r>
          </w:p>
        </w:tc>
        <w:tc>
          <w:tcPr>
            <w:tcW w:w="2177" w:type="dxa"/>
            <w:vMerge/>
          </w:tcPr>
          <w:p w14:paraId="34E167FE" w14:textId="77777777" w:rsidR="00B54D51" w:rsidRPr="00037AD4" w:rsidRDefault="00B54D51" w:rsidP="00401C67">
            <w:pPr>
              <w:rPr>
                <w:rFonts w:asciiTheme="minorHAnsi" w:hAnsiTheme="minorHAnsi" w:cstheme="minorHAnsi"/>
              </w:rPr>
            </w:pPr>
          </w:p>
        </w:tc>
        <w:tc>
          <w:tcPr>
            <w:tcW w:w="1235" w:type="dxa"/>
          </w:tcPr>
          <w:p w14:paraId="465F3F4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0, 6, 12</w:t>
            </w:r>
          </w:p>
        </w:tc>
        <w:tc>
          <w:tcPr>
            <w:tcW w:w="1971" w:type="dxa"/>
          </w:tcPr>
          <w:p w14:paraId="4F0C90D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UK index values used </w:t>
            </w:r>
          </w:p>
        </w:tc>
      </w:tr>
      <w:tr w:rsidR="00B54D51" w:rsidRPr="00037AD4" w14:paraId="08514C50" w14:textId="77777777" w:rsidTr="00401C67">
        <w:tc>
          <w:tcPr>
            <w:tcW w:w="2025" w:type="dxa"/>
          </w:tcPr>
          <w:p w14:paraId="73B0622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EQ-5D-5L (proxy)</w:t>
            </w:r>
          </w:p>
        </w:tc>
        <w:tc>
          <w:tcPr>
            <w:tcW w:w="1943" w:type="dxa"/>
          </w:tcPr>
          <w:p w14:paraId="50B2A5F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Caregiver</w:t>
            </w:r>
          </w:p>
        </w:tc>
        <w:tc>
          <w:tcPr>
            <w:tcW w:w="2177" w:type="dxa"/>
            <w:vMerge/>
          </w:tcPr>
          <w:p w14:paraId="7096FF13" w14:textId="77777777" w:rsidR="00B54D51" w:rsidRPr="00037AD4" w:rsidRDefault="00B54D51" w:rsidP="00401C67">
            <w:pPr>
              <w:rPr>
                <w:rFonts w:asciiTheme="minorHAnsi" w:hAnsiTheme="minorHAnsi" w:cstheme="minorHAnsi"/>
              </w:rPr>
            </w:pPr>
          </w:p>
        </w:tc>
        <w:tc>
          <w:tcPr>
            <w:tcW w:w="1235" w:type="dxa"/>
          </w:tcPr>
          <w:p w14:paraId="6BC47B2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0, 6, 12</w:t>
            </w:r>
          </w:p>
        </w:tc>
        <w:tc>
          <w:tcPr>
            <w:tcW w:w="1971" w:type="dxa"/>
          </w:tcPr>
          <w:p w14:paraId="6BB48B4F" w14:textId="77777777" w:rsidR="00B54D51" w:rsidRPr="00037AD4" w:rsidRDefault="00B54D51" w:rsidP="00401C67">
            <w:pPr>
              <w:rPr>
                <w:rFonts w:asciiTheme="minorHAnsi" w:hAnsiTheme="minorHAnsi" w:cstheme="minorHAnsi"/>
              </w:rPr>
            </w:pPr>
          </w:p>
        </w:tc>
      </w:tr>
      <w:tr w:rsidR="00B54D51" w:rsidRPr="00037AD4" w14:paraId="04994AF2" w14:textId="77777777" w:rsidTr="00401C67">
        <w:tc>
          <w:tcPr>
            <w:tcW w:w="2025" w:type="dxa"/>
          </w:tcPr>
          <w:p w14:paraId="31E9613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HADS</w:t>
            </w:r>
            <w:r w:rsidRPr="00037AD4">
              <w:rPr>
                <w:rFonts w:asciiTheme="minorHAnsi" w:hAnsiTheme="minorHAnsi" w:cstheme="minorHAnsi"/>
                <w:vertAlign w:val="superscript"/>
              </w:rPr>
              <w:t>±</w:t>
            </w:r>
          </w:p>
        </w:tc>
        <w:tc>
          <w:tcPr>
            <w:tcW w:w="1943" w:type="dxa"/>
          </w:tcPr>
          <w:p w14:paraId="6143781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Caregiver</w:t>
            </w:r>
          </w:p>
        </w:tc>
        <w:tc>
          <w:tcPr>
            <w:tcW w:w="2177" w:type="dxa"/>
            <w:vMerge/>
          </w:tcPr>
          <w:p w14:paraId="7463B10C" w14:textId="77777777" w:rsidR="00B54D51" w:rsidRPr="00037AD4" w:rsidRDefault="00B54D51" w:rsidP="00401C67">
            <w:pPr>
              <w:rPr>
                <w:rFonts w:asciiTheme="minorHAnsi" w:hAnsiTheme="minorHAnsi" w:cstheme="minorHAnsi"/>
              </w:rPr>
            </w:pPr>
          </w:p>
        </w:tc>
        <w:tc>
          <w:tcPr>
            <w:tcW w:w="1235" w:type="dxa"/>
          </w:tcPr>
          <w:p w14:paraId="2F8C024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0, 6, 12</w:t>
            </w:r>
          </w:p>
        </w:tc>
        <w:tc>
          <w:tcPr>
            <w:tcW w:w="1971" w:type="dxa"/>
          </w:tcPr>
          <w:p w14:paraId="293F8335" w14:textId="77777777" w:rsidR="00B54D51" w:rsidRPr="00037AD4" w:rsidRDefault="00B54D51" w:rsidP="00401C67">
            <w:pPr>
              <w:rPr>
                <w:rFonts w:asciiTheme="minorHAnsi" w:hAnsiTheme="minorHAnsi" w:cstheme="minorHAnsi"/>
              </w:rPr>
            </w:pPr>
          </w:p>
        </w:tc>
      </w:tr>
      <w:tr w:rsidR="00B54D51" w:rsidRPr="00037AD4" w14:paraId="44ED2CDD" w14:textId="77777777" w:rsidTr="00401C67">
        <w:tc>
          <w:tcPr>
            <w:tcW w:w="2025" w:type="dxa"/>
          </w:tcPr>
          <w:p w14:paraId="07DCCC5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IADL</w:t>
            </w:r>
          </w:p>
        </w:tc>
        <w:tc>
          <w:tcPr>
            <w:tcW w:w="1943" w:type="dxa"/>
          </w:tcPr>
          <w:p w14:paraId="3C98798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Caregiver</w:t>
            </w:r>
          </w:p>
        </w:tc>
        <w:tc>
          <w:tcPr>
            <w:tcW w:w="2177" w:type="dxa"/>
            <w:vMerge/>
          </w:tcPr>
          <w:p w14:paraId="407A176A" w14:textId="77777777" w:rsidR="00B54D51" w:rsidRPr="00037AD4" w:rsidRDefault="00B54D51" w:rsidP="00401C67">
            <w:pPr>
              <w:rPr>
                <w:rFonts w:asciiTheme="minorHAnsi" w:hAnsiTheme="minorHAnsi" w:cstheme="minorHAnsi"/>
              </w:rPr>
            </w:pPr>
          </w:p>
        </w:tc>
        <w:tc>
          <w:tcPr>
            <w:tcW w:w="1235" w:type="dxa"/>
          </w:tcPr>
          <w:p w14:paraId="26E1174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0, 6, 12</w:t>
            </w:r>
          </w:p>
        </w:tc>
        <w:tc>
          <w:tcPr>
            <w:tcW w:w="1971" w:type="dxa"/>
          </w:tcPr>
          <w:p w14:paraId="2446A323" w14:textId="77777777" w:rsidR="00B54D51" w:rsidRPr="00037AD4" w:rsidRDefault="00B54D51" w:rsidP="00401C67">
            <w:pPr>
              <w:rPr>
                <w:rFonts w:asciiTheme="minorHAnsi" w:hAnsiTheme="minorHAnsi" w:cstheme="minorHAnsi"/>
              </w:rPr>
            </w:pPr>
          </w:p>
        </w:tc>
      </w:tr>
      <w:tr w:rsidR="00B54D51" w:rsidRPr="00037AD4" w14:paraId="19E1A5AD" w14:textId="77777777" w:rsidTr="00401C67">
        <w:tc>
          <w:tcPr>
            <w:tcW w:w="2025" w:type="dxa"/>
          </w:tcPr>
          <w:p w14:paraId="59DEE82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ICECAP-O</w:t>
            </w:r>
          </w:p>
        </w:tc>
        <w:tc>
          <w:tcPr>
            <w:tcW w:w="1943" w:type="dxa"/>
          </w:tcPr>
          <w:p w14:paraId="577C55F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PwD</w:t>
            </w:r>
          </w:p>
        </w:tc>
        <w:tc>
          <w:tcPr>
            <w:tcW w:w="2177" w:type="dxa"/>
            <w:vMerge/>
          </w:tcPr>
          <w:p w14:paraId="57FBAB7E" w14:textId="77777777" w:rsidR="00B54D51" w:rsidRPr="00037AD4" w:rsidRDefault="00B54D51" w:rsidP="00401C67">
            <w:pPr>
              <w:rPr>
                <w:rFonts w:asciiTheme="minorHAnsi" w:hAnsiTheme="minorHAnsi" w:cstheme="minorHAnsi"/>
              </w:rPr>
            </w:pPr>
          </w:p>
        </w:tc>
        <w:tc>
          <w:tcPr>
            <w:tcW w:w="1235" w:type="dxa"/>
          </w:tcPr>
          <w:p w14:paraId="6CEEDFC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0, 6, 12</w:t>
            </w:r>
          </w:p>
        </w:tc>
        <w:tc>
          <w:tcPr>
            <w:tcW w:w="1971" w:type="dxa"/>
          </w:tcPr>
          <w:p w14:paraId="230BE1C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Validation taking place during the study in relation to the timing of formal care in Europe </w:t>
            </w:r>
          </w:p>
        </w:tc>
      </w:tr>
      <w:tr w:rsidR="00B54D51" w:rsidRPr="00037AD4" w14:paraId="707FB2A3" w14:textId="77777777" w:rsidTr="00401C67">
        <w:tc>
          <w:tcPr>
            <w:tcW w:w="2025" w:type="dxa"/>
          </w:tcPr>
          <w:p w14:paraId="009DA68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MMSE</w:t>
            </w:r>
          </w:p>
        </w:tc>
        <w:tc>
          <w:tcPr>
            <w:tcW w:w="1943" w:type="dxa"/>
          </w:tcPr>
          <w:p w14:paraId="3B0A6A3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PwD</w:t>
            </w:r>
          </w:p>
        </w:tc>
        <w:tc>
          <w:tcPr>
            <w:tcW w:w="2177" w:type="dxa"/>
            <w:vMerge/>
          </w:tcPr>
          <w:p w14:paraId="1999FD1A" w14:textId="77777777" w:rsidR="00B54D51" w:rsidRPr="00037AD4" w:rsidRDefault="00B54D51" w:rsidP="00401C67">
            <w:pPr>
              <w:rPr>
                <w:rFonts w:asciiTheme="minorHAnsi" w:hAnsiTheme="minorHAnsi" w:cstheme="minorHAnsi"/>
              </w:rPr>
            </w:pPr>
          </w:p>
        </w:tc>
        <w:tc>
          <w:tcPr>
            <w:tcW w:w="1235" w:type="dxa"/>
          </w:tcPr>
          <w:p w14:paraId="438F9F1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0, 6, 12 </w:t>
            </w:r>
          </w:p>
        </w:tc>
        <w:tc>
          <w:tcPr>
            <w:tcW w:w="1971" w:type="dxa"/>
          </w:tcPr>
          <w:p w14:paraId="77D63A18" w14:textId="77777777" w:rsidR="00B54D51" w:rsidRPr="00037AD4" w:rsidRDefault="00B54D51" w:rsidP="00401C67">
            <w:pPr>
              <w:rPr>
                <w:rFonts w:asciiTheme="minorHAnsi" w:hAnsiTheme="minorHAnsi" w:cstheme="minorHAnsi"/>
              </w:rPr>
            </w:pPr>
          </w:p>
        </w:tc>
      </w:tr>
      <w:tr w:rsidR="00B54D51" w:rsidRPr="00037AD4" w14:paraId="4E1FE07A" w14:textId="77777777" w:rsidTr="00401C67">
        <w:tc>
          <w:tcPr>
            <w:tcW w:w="2025" w:type="dxa"/>
          </w:tcPr>
          <w:p w14:paraId="6DF5043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NPI-Q</w:t>
            </w:r>
          </w:p>
        </w:tc>
        <w:tc>
          <w:tcPr>
            <w:tcW w:w="1943" w:type="dxa"/>
          </w:tcPr>
          <w:p w14:paraId="6BB056B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Caregiver </w:t>
            </w:r>
          </w:p>
        </w:tc>
        <w:tc>
          <w:tcPr>
            <w:tcW w:w="2177" w:type="dxa"/>
            <w:vMerge/>
          </w:tcPr>
          <w:p w14:paraId="66FBEAD2" w14:textId="77777777" w:rsidR="00B54D51" w:rsidRPr="00037AD4" w:rsidRDefault="00B54D51" w:rsidP="00401C67">
            <w:pPr>
              <w:rPr>
                <w:rFonts w:asciiTheme="minorHAnsi" w:hAnsiTheme="minorHAnsi" w:cstheme="minorHAnsi"/>
              </w:rPr>
            </w:pPr>
          </w:p>
        </w:tc>
        <w:tc>
          <w:tcPr>
            <w:tcW w:w="1235" w:type="dxa"/>
          </w:tcPr>
          <w:p w14:paraId="696C5E9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0, 6, 12</w:t>
            </w:r>
          </w:p>
        </w:tc>
        <w:tc>
          <w:tcPr>
            <w:tcW w:w="1971" w:type="dxa"/>
          </w:tcPr>
          <w:p w14:paraId="7D76B58D" w14:textId="77777777" w:rsidR="00B54D51" w:rsidRPr="00037AD4" w:rsidRDefault="00B54D51" w:rsidP="00401C67">
            <w:pPr>
              <w:rPr>
                <w:rFonts w:asciiTheme="minorHAnsi" w:hAnsiTheme="minorHAnsi" w:cstheme="minorHAnsi"/>
              </w:rPr>
            </w:pPr>
          </w:p>
        </w:tc>
      </w:tr>
      <w:tr w:rsidR="00B54D51" w:rsidRPr="00037AD4" w14:paraId="7BD473C7" w14:textId="77777777" w:rsidTr="00401C67">
        <w:tc>
          <w:tcPr>
            <w:tcW w:w="2025" w:type="dxa"/>
          </w:tcPr>
          <w:p w14:paraId="37F384B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PAI</w:t>
            </w:r>
            <w:r w:rsidRPr="00037AD4">
              <w:rPr>
                <w:rFonts w:asciiTheme="minorHAnsi" w:hAnsiTheme="minorHAnsi" w:cstheme="minorHAnsi"/>
                <w:vertAlign w:val="superscript"/>
              </w:rPr>
              <w:t>±</w:t>
            </w:r>
          </w:p>
        </w:tc>
        <w:tc>
          <w:tcPr>
            <w:tcW w:w="1943" w:type="dxa"/>
          </w:tcPr>
          <w:p w14:paraId="1436EC2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PwD, caregiver</w:t>
            </w:r>
          </w:p>
        </w:tc>
        <w:tc>
          <w:tcPr>
            <w:tcW w:w="2177" w:type="dxa"/>
            <w:vMerge/>
          </w:tcPr>
          <w:p w14:paraId="1A0F145A" w14:textId="77777777" w:rsidR="00B54D51" w:rsidRPr="00037AD4" w:rsidRDefault="00B54D51" w:rsidP="00401C67">
            <w:pPr>
              <w:rPr>
                <w:rFonts w:asciiTheme="minorHAnsi" w:hAnsiTheme="minorHAnsi" w:cstheme="minorHAnsi"/>
              </w:rPr>
            </w:pPr>
          </w:p>
        </w:tc>
        <w:tc>
          <w:tcPr>
            <w:tcW w:w="1235" w:type="dxa"/>
          </w:tcPr>
          <w:p w14:paraId="4F8C754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0, 6, 12</w:t>
            </w:r>
          </w:p>
        </w:tc>
        <w:tc>
          <w:tcPr>
            <w:tcW w:w="1971" w:type="dxa"/>
          </w:tcPr>
          <w:p w14:paraId="5A7CABB7" w14:textId="77777777" w:rsidR="00B54D51" w:rsidRPr="00037AD4" w:rsidRDefault="00B54D51" w:rsidP="00401C67">
            <w:pPr>
              <w:rPr>
                <w:rFonts w:asciiTheme="minorHAnsi" w:hAnsiTheme="minorHAnsi" w:cstheme="minorHAnsi"/>
              </w:rPr>
            </w:pPr>
          </w:p>
        </w:tc>
      </w:tr>
      <w:tr w:rsidR="00B54D51" w:rsidRPr="00037AD4" w14:paraId="22C3426F" w14:textId="77777777" w:rsidTr="00401C67">
        <w:tc>
          <w:tcPr>
            <w:tcW w:w="2025" w:type="dxa"/>
          </w:tcPr>
          <w:p w14:paraId="206A938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PSMS </w:t>
            </w:r>
          </w:p>
        </w:tc>
        <w:tc>
          <w:tcPr>
            <w:tcW w:w="1943" w:type="dxa"/>
          </w:tcPr>
          <w:p w14:paraId="33A9793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Caregiver</w:t>
            </w:r>
          </w:p>
        </w:tc>
        <w:tc>
          <w:tcPr>
            <w:tcW w:w="2177" w:type="dxa"/>
            <w:vMerge/>
          </w:tcPr>
          <w:p w14:paraId="079C9D36" w14:textId="77777777" w:rsidR="00B54D51" w:rsidRPr="00037AD4" w:rsidRDefault="00B54D51" w:rsidP="00401C67">
            <w:pPr>
              <w:rPr>
                <w:rFonts w:asciiTheme="minorHAnsi" w:hAnsiTheme="minorHAnsi" w:cstheme="minorHAnsi"/>
              </w:rPr>
            </w:pPr>
          </w:p>
        </w:tc>
        <w:tc>
          <w:tcPr>
            <w:tcW w:w="1235" w:type="dxa"/>
          </w:tcPr>
          <w:p w14:paraId="1E47CCC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0, 6, 12</w:t>
            </w:r>
          </w:p>
        </w:tc>
        <w:tc>
          <w:tcPr>
            <w:tcW w:w="1971" w:type="dxa"/>
          </w:tcPr>
          <w:p w14:paraId="4386BB11" w14:textId="77777777" w:rsidR="00B54D51" w:rsidRPr="00037AD4" w:rsidRDefault="00B54D51" w:rsidP="00401C67">
            <w:pPr>
              <w:rPr>
                <w:rFonts w:asciiTheme="minorHAnsi" w:hAnsiTheme="minorHAnsi" w:cstheme="minorHAnsi"/>
              </w:rPr>
            </w:pPr>
          </w:p>
        </w:tc>
      </w:tr>
      <w:tr w:rsidR="00B54D51" w:rsidRPr="00037AD4" w14:paraId="64F36F54" w14:textId="77777777" w:rsidTr="00401C67">
        <w:tc>
          <w:tcPr>
            <w:tcW w:w="2025" w:type="dxa"/>
          </w:tcPr>
          <w:p w14:paraId="37D86C3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QoL-AD (self)</w:t>
            </w:r>
          </w:p>
        </w:tc>
        <w:tc>
          <w:tcPr>
            <w:tcW w:w="1943" w:type="dxa"/>
          </w:tcPr>
          <w:p w14:paraId="04BBAC2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PwD</w:t>
            </w:r>
          </w:p>
        </w:tc>
        <w:tc>
          <w:tcPr>
            <w:tcW w:w="2177" w:type="dxa"/>
            <w:vMerge/>
          </w:tcPr>
          <w:p w14:paraId="2EC75265" w14:textId="77777777" w:rsidR="00B54D51" w:rsidRPr="00037AD4" w:rsidRDefault="00B54D51" w:rsidP="00401C67">
            <w:pPr>
              <w:rPr>
                <w:rFonts w:asciiTheme="minorHAnsi" w:hAnsiTheme="minorHAnsi" w:cstheme="minorHAnsi"/>
              </w:rPr>
            </w:pPr>
          </w:p>
        </w:tc>
        <w:tc>
          <w:tcPr>
            <w:tcW w:w="1235" w:type="dxa"/>
          </w:tcPr>
          <w:p w14:paraId="2FB0AF74" w14:textId="77777777" w:rsidR="00B54D51" w:rsidRPr="00037AD4" w:rsidRDefault="00B54D51" w:rsidP="00401C67">
            <w:pPr>
              <w:rPr>
                <w:rFonts w:asciiTheme="minorHAnsi" w:hAnsiTheme="minorHAnsi" w:cstheme="minorHAnsi"/>
              </w:rPr>
            </w:pPr>
          </w:p>
        </w:tc>
        <w:tc>
          <w:tcPr>
            <w:tcW w:w="1971" w:type="dxa"/>
          </w:tcPr>
          <w:p w14:paraId="2847C8EA" w14:textId="77777777" w:rsidR="00B54D51" w:rsidRPr="00037AD4" w:rsidRDefault="00B54D51" w:rsidP="00401C67">
            <w:pPr>
              <w:rPr>
                <w:rFonts w:asciiTheme="minorHAnsi" w:hAnsiTheme="minorHAnsi" w:cstheme="minorHAnsi"/>
              </w:rPr>
            </w:pPr>
          </w:p>
        </w:tc>
      </w:tr>
      <w:tr w:rsidR="00B54D51" w:rsidRPr="00037AD4" w14:paraId="413DE639" w14:textId="77777777" w:rsidTr="00401C67">
        <w:tc>
          <w:tcPr>
            <w:tcW w:w="2025" w:type="dxa"/>
          </w:tcPr>
          <w:p w14:paraId="6A02DDC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QoL-AD (proxy)</w:t>
            </w:r>
          </w:p>
        </w:tc>
        <w:tc>
          <w:tcPr>
            <w:tcW w:w="1943" w:type="dxa"/>
          </w:tcPr>
          <w:p w14:paraId="0B03FE1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Caregiver</w:t>
            </w:r>
          </w:p>
        </w:tc>
        <w:tc>
          <w:tcPr>
            <w:tcW w:w="2177" w:type="dxa"/>
            <w:vMerge/>
          </w:tcPr>
          <w:p w14:paraId="333721BA" w14:textId="77777777" w:rsidR="00B54D51" w:rsidRPr="00037AD4" w:rsidRDefault="00B54D51" w:rsidP="00401C67">
            <w:pPr>
              <w:rPr>
                <w:rFonts w:asciiTheme="minorHAnsi" w:hAnsiTheme="minorHAnsi" w:cstheme="minorHAnsi"/>
              </w:rPr>
            </w:pPr>
          </w:p>
        </w:tc>
        <w:tc>
          <w:tcPr>
            <w:tcW w:w="1235" w:type="dxa"/>
          </w:tcPr>
          <w:p w14:paraId="6515BBF4" w14:textId="77777777" w:rsidR="00B54D51" w:rsidRPr="00037AD4" w:rsidRDefault="00B54D51" w:rsidP="00401C67">
            <w:pPr>
              <w:rPr>
                <w:rFonts w:asciiTheme="minorHAnsi" w:hAnsiTheme="minorHAnsi" w:cstheme="minorHAnsi"/>
              </w:rPr>
            </w:pPr>
          </w:p>
        </w:tc>
        <w:tc>
          <w:tcPr>
            <w:tcW w:w="1971" w:type="dxa"/>
          </w:tcPr>
          <w:p w14:paraId="0DD86240" w14:textId="77777777" w:rsidR="00B54D51" w:rsidRPr="00037AD4" w:rsidRDefault="00B54D51" w:rsidP="00401C67">
            <w:pPr>
              <w:rPr>
                <w:rFonts w:asciiTheme="minorHAnsi" w:hAnsiTheme="minorHAnsi" w:cstheme="minorHAnsi"/>
              </w:rPr>
            </w:pPr>
          </w:p>
        </w:tc>
      </w:tr>
      <w:tr w:rsidR="00B54D51" w:rsidRPr="00037AD4" w14:paraId="0242D1B5" w14:textId="77777777" w:rsidTr="00401C67">
        <w:tc>
          <w:tcPr>
            <w:tcW w:w="2025" w:type="dxa"/>
          </w:tcPr>
          <w:p w14:paraId="7EB602A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RSS</w:t>
            </w:r>
            <w:r w:rsidRPr="00037AD4">
              <w:rPr>
                <w:rFonts w:asciiTheme="minorHAnsi" w:hAnsiTheme="minorHAnsi" w:cstheme="minorHAnsi"/>
                <w:vertAlign w:val="superscript"/>
              </w:rPr>
              <w:t>±</w:t>
            </w:r>
          </w:p>
        </w:tc>
        <w:tc>
          <w:tcPr>
            <w:tcW w:w="1943" w:type="dxa"/>
          </w:tcPr>
          <w:p w14:paraId="2790BAB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Caregiver </w:t>
            </w:r>
          </w:p>
        </w:tc>
        <w:tc>
          <w:tcPr>
            <w:tcW w:w="2177" w:type="dxa"/>
            <w:vMerge/>
          </w:tcPr>
          <w:p w14:paraId="7658475C" w14:textId="77777777" w:rsidR="00B54D51" w:rsidRPr="00037AD4" w:rsidRDefault="00B54D51" w:rsidP="00401C67">
            <w:pPr>
              <w:rPr>
                <w:rFonts w:asciiTheme="minorHAnsi" w:hAnsiTheme="minorHAnsi" w:cstheme="minorHAnsi"/>
              </w:rPr>
            </w:pPr>
          </w:p>
        </w:tc>
        <w:tc>
          <w:tcPr>
            <w:tcW w:w="1235" w:type="dxa"/>
          </w:tcPr>
          <w:p w14:paraId="33B693C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0, 6, 12</w:t>
            </w:r>
          </w:p>
        </w:tc>
        <w:tc>
          <w:tcPr>
            <w:tcW w:w="1971" w:type="dxa"/>
          </w:tcPr>
          <w:p w14:paraId="7E50F137" w14:textId="77777777" w:rsidR="00B54D51" w:rsidRPr="00037AD4" w:rsidRDefault="00B54D51" w:rsidP="00401C67">
            <w:pPr>
              <w:rPr>
                <w:rFonts w:asciiTheme="minorHAnsi" w:hAnsiTheme="minorHAnsi" w:cstheme="minorHAnsi"/>
              </w:rPr>
            </w:pPr>
          </w:p>
        </w:tc>
      </w:tr>
      <w:tr w:rsidR="00B54D51" w:rsidRPr="00037AD4" w14:paraId="06381157" w14:textId="77777777" w:rsidTr="00401C67">
        <w:tc>
          <w:tcPr>
            <w:tcW w:w="2025" w:type="dxa"/>
          </w:tcPr>
          <w:p w14:paraId="5873B0A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RUD</w:t>
            </w:r>
            <w:r w:rsidRPr="00037AD4">
              <w:rPr>
                <w:rFonts w:asciiTheme="minorHAnsi" w:hAnsiTheme="minorHAnsi" w:cstheme="minorHAnsi"/>
                <w:vertAlign w:val="superscript"/>
              </w:rPr>
              <w:t>±</w:t>
            </w:r>
          </w:p>
        </w:tc>
        <w:tc>
          <w:tcPr>
            <w:tcW w:w="1943" w:type="dxa"/>
          </w:tcPr>
          <w:p w14:paraId="694C840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Caregiver</w:t>
            </w:r>
          </w:p>
        </w:tc>
        <w:tc>
          <w:tcPr>
            <w:tcW w:w="2177" w:type="dxa"/>
            <w:vMerge/>
          </w:tcPr>
          <w:p w14:paraId="377117F2" w14:textId="77777777" w:rsidR="00B54D51" w:rsidRPr="00037AD4" w:rsidRDefault="00B54D51" w:rsidP="00401C67">
            <w:pPr>
              <w:rPr>
                <w:rFonts w:asciiTheme="minorHAnsi" w:hAnsiTheme="minorHAnsi" w:cstheme="minorHAnsi"/>
              </w:rPr>
            </w:pPr>
          </w:p>
        </w:tc>
        <w:tc>
          <w:tcPr>
            <w:tcW w:w="1235" w:type="dxa"/>
          </w:tcPr>
          <w:p w14:paraId="08B062E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0, 6, 12</w:t>
            </w:r>
          </w:p>
        </w:tc>
        <w:tc>
          <w:tcPr>
            <w:tcW w:w="1971" w:type="dxa"/>
          </w:tcPr>
          <w:p w14:paraId="71CDFB8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Collects data on resource use consumed by both the PwD </w:t>
            </w:r>
            <w:r w:rsidRPr="00037AD4">
              <w:rPr>
                <w:rFonts w:asciiTheme="minorHAnsi" w:hAnsiTheme="minorHAnsi" w:cstheme="minorHAnsi"/>
              </w:rPr>
              <w:lastRenderedPageBreak/>
              <w:t xml:space="preserve">and the informal caregiver </w:t>
            </w:r>
          </w:p>
        </w:tc>
      </w:tr>
      <w:tr w:rsidR="00B54D51" w:rsidRPr="00037AD4" w14:paraId="0F11C633" w14:textId="77777777" w:rsidTr="00401C67">
        <w:tc>
          <w:tcPr>
            <w:tcW w:w="9351" w:type="dxa"/>
            <w:gridSpan w:val="5"/>
          </w:tcPr>
          <w:p w14:paraId="2FFDE43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lastRenderedPageBreak/>
              <w:t xml:space="preserve">*Primary outcomes; </w:t>
            </w:r>
            <w:r w:rsidRPr="00037AD4">
              <w:rPr>
                <w:rFonts w:asciiTheme="minorHAnsi" w:hAnsiTheme="minorHAnsi" w:cstheme="minorHAnsi"/>
                <w:vertAlign w:val="superscript"/>
              </w:rPr>
              <w:t>±</w:t>
            </w:r>
            <w:r w:rsidRPr="00037AD4">
              <w:rPr>
                <w:rFonts w:asciiTheme="minorHAnsi" w:hAnsiTheme="minorHAnsi" w:cstheme="minorHAnsi"/>
              </w:rPr>
              <w:t xml:space="preserve">Not included in transferred dataset </w:t>
            </w:r>
          </w:p>
          <w:p w14:paraId="3A29C364" w14:textId="3F203263" w:rsidR="00B54D51" w:rsidRPr="00037AD4" w:rsidRDefault="00B54D51" w:rsidP="00401C67">
            <w:pPr>
              <w:rPr>
                <w:rFonts w:asciiTheme="minorHAnsi" w:hAnsiTheme="minorHAnsi" w:cstheme="minorHAnsi"/>
              </w:rPr>
            </w:pPr>
            <w:r w:rsidRPr="00037AD4">
              <w:rPr>
                <w:rFonts w:asciiTheme="minorHAnsi" w:hAnsiTheme="minorHAnsi" w:cstheme="minorHAnsi"/>
              </w:rPr>
              <w:t>Camberwell Assessment of Needs for the Elderly, CANE; Hamilton Anxiety and Depression Scale, HADS; Instrumental Activities of Daily Living, IADL; Positive Affect Index, PAI; Physical Self-Maintenance Scale, PSMS; Quality of Life-Alzheimer’s Disease scale (QoL-AD); Resource Utilisation in Dementia, RUD; Relative Stress Scale, RSS</w:t>
            </w:r>
          </w:p>
          <w:p w14:paraId="6F3994E3" w14:textId="77777777" w:rsidR="00B54D51" w:rsidRPr="00037AD4" w:rsidRDefault="00B54D51" w:rsidP="00401C67">
            <w:pPr>
              <w:rPr>
                <w:rFonts w:asciiTheme="minorHAnsi" w:hAnsiTheme="minorHAnsi" w:cstheme="minorHAnsi"/>
              </w:rPr>
            </w:pPr>
          </w:p>
        </w:tc>
      </w:tr>
    </w:tbl>
    <w:p w14:paraId="37ED3E36" w14:textId="77777777" w:rsidR="00B54D51" w:rsidRPr="00037AD4" w:rsidRDefault="00B54D51" w:rsidP="001D7ACE">
      <w:pPr>
        <w:rPr>
          <w:rFonts w:asciiTheme="minorHAnsi" w:hAnsiTheme="minorHAnsi" w:cstheme="minorHAnsi"/>
          <w:b/>
          <w:bCs/>
          <w:u w:val="single"/>
        </w:rPr>
      </w:pPr>
    </w:p>
    <w:p w14:paraId="2378737D" w14:textId="77777777" w:rsidR="00B54D51" w:rsidRPr="00037AD4" w:rsidRDefault="00B54D51" w:rsidP="001D7ACE">
      <w:pPr>
        <w:rPr>
          <w:rFonts w:asciiTheme="minorHAnsi" w:hAnsiTheme="minorHAnsi" w:cstheme="minorHAnsi"/>
          <w:u w:val="single"/>
        </w:rPr>
      </w:pPr>
      <w:r w:rsidRPr="00037AD4">
        <w:rPr>
          <w:rFonts w:asciiTheme="minorHAnsi" w:hAnsiTheme="minorHAnsi" w:cstheme="minorHAnsi"/>
          <w:u w:val="single"/>
        </w:rPr>
        <w:t xml:space="preserve">4C5) ACTIFCare key findings </w:t>
      </w:r>
    </w:p>
    <w:p w14:paraId="5EF33C07" w14:textId="77777777" w:rsidR="00B54D51" w:rsidRPr="00037AD4" w:rsidRDefault="00B54D51" w:rsidP="001D7ACE">
      <w:pPr>
        <w:rPr>
          <w:rFonts w:asciiTheme="minorHAnsi" w:hAnsiTheme="minorHAnsi" w:cstheme="minorHAnsi"/>
          <w:b/>
          <w:bCs/>
          <w:u w:val="single"/>
        </w:rPr>
      </w:pPr>
    </w:p>
    <w:p w14:paraId="3452CC88" w14:textId="77777777" w:rsidR="00B54D51" w:rsidRPr="00037AD4" w:rsidRDefault="00B54D51" w:rsidP="001D7ACE">
      <w:pPr>
        <w:rPr>
          <w:rFonts w:asciiTheme="minorHAnsi" w:hAnsiTheme="minorHAnsi" w:cstheme="minorHAnsi"/>
        </w:rPr>
      </w:pPr>
      <w:r w:rsidRPr="00037AD4">
        <w:rPr>
          <w:rFonts w:asciiTheme="minorHAnsi" w:hAnsiTheme="minorHAnsi" w:cstheme="minorHAnsi"/>
        </w:rPr>
        <w:t xml:space="preserve">As the study was non-interventional, there was no clinical or cost-effectiveness analyses. However, the ACTIFCare study reported that they did not find a relationship between unmet needs and quality of life or care costs alike – although the results were sensitive to various factors, such as assumptions regarding unit cost prices, and self or proxy ratings of QoL. </w:t>
      </w:r>
    </w:p>
    <w:p w14:paraId="677D5E23" w14:textId="77777777" w:rsidR="00B54D51" w:rsidRPr="00037AD4" w:rsidRDefault="00B54D51" w:rsidP="001D7ACE">
      <w:pPr>
        <w:rPr>
          <w:rFonts w:asciiTheme="minorHAnsi" w:hAnsiTheme="minorHAnsi" w:cstheme="minorHAnsi"/>
          <w:b/>
          <w:bCs/>
          <w:u w:val="single"/>
        </w:rPr>
      </w:pPr>
    </w:p>
    <w:p w14:paraId="4F9151A9" w14:textId="77777777" w:rsidR="00B54D51" w:rsidRPr="00037AD4" w:rsidRDefault="00B54D51" w:rsidP="007A43F9">
      <w:pPr>
        <w:pStyle w:val="Heading2"/>
      </w:pPr>
      <w:bookmarkStart w:id="488" w:name="A41"/>
      <w:bookmarkStart w:id="489" w:name="_Toc175742406"/>
      <w:r w:rsidRPr="00037AD4">
        <w:t>Appendix 4.1 Instrument validation details alongside clinical indications</w:t>
      </w:r>
      <w:bookmarkEnd w:id="489"/>
      <w:r w:rsidRPr="00037AD4">
        <w:t xml:space="preserve"> </w:t>
      </w:r>
    </w:p>
    <w:bookmarkEnd w:id="488"/>
    <w:p w14:paraId="14F69E48" w14:textId="77777777" w:rsidR="00B54D51" w:rsidRPr="00037AD4" w:rsidRDefault="00B54D51" w:rsidP="001D7ACE">
      <w:pPr>
        <w:rPr>
          <w:rFonts w:asciiTheme="minorHAnsi" w:hAnsiTheme="minorHAnsi" w:cstheme="minorHAnsi"/>
        </w:rPr>
      </w:pPr>
    </w:p>
    <w:tbl>
      <w:tblPr>
        <w:tblStyle w:val="TableGrid"/>
        <w:tblW w:w="9634" w:type="dxa"/>
        <w:tblLook w:val="04A0" w:firstRow="1" w:lastRow="0" w:firstColumn="1" w:lastColumn="0" w:noHBand="0" w:noVBand="1"/>
      </w:tblPr>
      <w:tblGrid>
        <w:gridCol w:w="1492"/>
        <w:gridCol w:w="3675"/>
        <w:gridCol w:w="1760"/>
        <w:gridCol w:w="2707"/>
      </w:tblGrid>
      <w:tr w:rsidR="00B54D51" w:rsidRPr="00037AD4" w14:paraId="3546EB80" w14:textId="77777777" w:rsidTr="00401C67">
        <w:tc>
          <w:tcPr>
            <w:tcW w:w="1305" w:type="dxa"/>
          </w:tcPr>
          <w:p w14:paraId="5422FA7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Instrument name</w:t>
            </w:r>
          </w:p>
        </w:tc>
        <w:tc>
          <w:tcPr>
            <w:tcW w:w="3791" w:type="dxa"/>
          </w:tcPr>
          <w:p w14:paraId="5CF0481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Development and validation details </w:t>
            </w:r>
          </w:p>
        </w:tc>
        <w:tc>
          <w:tcPr>
            <w:tcW w:w="1776" w:type="dxa"/>
          </w:tcPr>
          <w:p w14:paraId="090A09B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Validation in people with and without cognitive impairment?</w:t>
            </w:r>
          </w:p>
        </w:tc>
        <w:tc>
          <w:tcPr>
            <w:tcW w:w="2762" w:type="dxa"/>
          </w:tcPr>
          <w:p w14:paraId="6123CB9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Validation alongside clinical markers?</w:t>
            </w:r>
          </w:p>
        </w:tc>
      </w:tr>
      <w:tr w:rsidR="00B54D51" w:rsidRPr="00037AD4" w14:paraId="15107046" w14:textId="77777777" w:rsidTr="00401C67">
        <w:tc>
          <w:tcPr>
            <w:tcW w:w="1305" w:type="dxa"/>
          </w:tcPr>
          <w:p w14:paraId="7CC5607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CDR, Clinical Dementia Rating scale </w:t>
            </w:r>
          </w:p>
        </w:tc>
        <w:tc>
          <w:tcPr>
            <w:tcW w:w="3791" w:type="dxa"/>
          </w:tcPr>
          <w:p w14:paraId="3B11D22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CDR was first developed in 1982 to denote the presence and stage the severity of AD. Specifications to the rules that are mostly used today were established in 1993. </w:t>
            </w:r>
          </w:p>
          <w:p w14:paraId="35B8DD64" w14:textId="77777777" w:rsidR="00B54D51" w:rsidRPr="00037AD4" w:rsidRDefault="00B54D51" w:rsidP="00401C67">
            <w:pPr>
              <w:rPr>
                <w:rFonts w:asciiTheme="minorHAnsi" w:hAnsiTheme="minorHAnsi" w:cstheme="minorHAnsi"/>
              </w:rPr>
            </w:pPr>
          </w:p>
          <w:p w14:paraId="1012256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CDR has undergone various psychometric assessments of validation, including inter-rater agreement. Its main validation is alongside clinical markers of dementia. </w:t>
            </w:r>
          </w:p>
        </w:tc>
        <w:tc>
          <w:tcPr>
            <w:tcW w:w="1776" w:type="dxa"/>
          </w:tcPr>
          <w:p w14:paraId="23311B9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N/A – instrument is solely proxy administered &amp; dementia specific</w:t>
            </w:r>
          </w:p>
        </w:tc>
        <w:tc>
          <w:tcPr>
            <w:tcW w:w="2762" w:type="dxa"/>
          </w:tcPr>
          <w:p w14:paraId="2DFB199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The CDR is directly linked to validated clinical diagnostic criteria for AD, including “an extensive psychometric battery, cranial computed tomography, and analysis of blood samples for chemistry, cell count, serology, thyroid function and vitamin B</w:t>
            </w:r>
            <w:r w:rsidRPr="00037AD4">
              <w:rPr>
                <w:rFonts w:asciiTheme="minorHAnsi" w:hAnsiTheme="minorHAnsi" w:cstheme="minorHAnsi"/>
                <w:vertAlign w:val="subscript"/>
              </w:rPr>
              <w:t>12</w:t>
            </w:r>
            <w:r w:rsidRPr="00037AD4">
              <w:rPr>
                <w:rFonts w:asciiTheme="minorHAnsi" w:hAnsiTheme="minorHAnsi" w:cstheme="minorHAnsi"/>
              </w:rPr>
              <w:t xml:space="preserve"> levels. Neuropathy was examined using coronal slabs and tissue blocks for macroscopic inspection. Neuritic plaque and neurofibrillary tangle density was also assessed</w:t>
            </w:r>
            <w:r>
              <w:rPr>
                <w:rFonts w:asciiTheme="minorHAnsi" w:hAnsiTheme="minorHAnsi" w:cstheme="minorHAnsi"/>
                <w:noProof/>
              </w:rPr>
              <w:t>(Morris, 1997, Rockwood et al., 2000)</w:t>
            </w:r>
          </w:p>
        </w:tc>
      </w:tr>
      <w:tr w:rsidR="00B54D51" w:rsidRPr="00037AD4" w14:paraId="44CE27B0" w14:textId="77777777" w:rsidTr="00401C67">
        <w:tc>
          <w:tcPr>
            <w:tcW w:w="1305" w:type="dxa"/>
          </w:tcPr>
          <w:p w14:paraId="32AFE16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lastRenderedPageBreak/>
              <w:t xml:space="preserve">MMSE, Mini-mental state examination </w:t>
            </w:r>
          </w:p>
        </w:tc>
        <w:tc>
          <w:tcPr>
            <w:tcW w:w="3791" w:type="dxa"/>
          </w:tcPr>
          <w:p w14:paraId="2068150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MMSE was developed in 1975 as a brief cognitive screening tool for assessing functions such as memory, attention, and language, comprising of questions and tasks. It has undergone comprehensive validation including assessments of: test-retest reliability, inter-rater reliability, internal consistency, concurrent validity, construct validity, criterion validity, sensitivity, specificity, and cross-cultural validity, ensuring its reliability as a cognitive screening tool across diverse populations.</w:t>
            </w:r>
          </w:p>
        </w:tc>
        <w:tc>
          <w:tcPr>
            <w:tcW w:w="1776" w:type="dxa"/>
          </w:tcPr>
          <w:p w14:paraId="53FC504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Validated for assessing cognitive function in both people with and without dementia, serving as a versatile screening tool across age groups and cognitive states</w:t>
            </w:r>
          </w:p>
        </w:tc>
        <w:tc>
          <w:tcPr>
            <w:tcW w:w="2762" w:type="dxa"/>
          </w:tcPr>
          <w:p w14:paraId="11A0118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Studies have assessed the MMSE's ability to accurately predict or correlate with clinical diagnoses of cognitive impairment, dementia, or other neurological conditions. Its criterion validity is established through comparisons with established clinical criteria </w:t>
            </w:r>
            <w:r>
              <w:rPr>
                <w:rFonts w:asciiTheme="minorHAnsi" w:hAnsiTheme="minorHAnsi" w:cstheme="minorHAnsi"/>
                <w:noProof/>
              </w:rPr>
              <w:t>(Folstein et al., 1975)</w:t>
            </w:r>
          </w:p>
        </w:tc>
      </w:tr>
      <w:tr w:rsidR="00B54D51" w:rsidRPr="00037AD4" w14:paraId="5D3814D9" w14:textId="77777777" w:rsidTr="00401C67">
        <w:tc>
          <w:tcPr>
            <w:tcW w:w="1305" w:type="dxa"/>
          </w:tcPr>
          <w:p w14:paraId="33D5602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BADLS, Bristol activities of daily living scale</w:t>
            </w:r>
          </w:p>
        </w:tc>
        <w:tc>
          <w:tcPr>
            <w:tcW w:w="3791" w:type="dxa"/>
          </w:tcPr>
          <w:p w14:paraId="1BD5BFF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BADLS development was undertaken in 3 phases: 1) possible scale items were identified, on which carers then commented; 2) the revised scale was validated against observed task performance and test-retest reliability was established and 3) the final scale was readministered, and validity established by the principal components analysis and correlation with cognitive test performance.</w:t>
            </w:r>
          </w:p>
          <w:p w14:paraId="7232F2E5" w14:textId="77777777" w:rsidR="00B54D51" w:rsidRPr="00037AD4" w:rsidRDefault="00B54D51" w:rsidP="00401C67">
            <w:pPr>
              <w:rPr>
                <w:rFonts w:asciiTheme="minorHAnsi" w:hAnsiTheme="minorHAnsi" w:cstheme="minorHAnsi"/>
              </w:rPr>
            </w:pPr>
          </w:p>
          <w:p w14:paraId="279D3EE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Scale validity was established by correlating ADL scores with MMSE and with observed task performance on the Observational Scale.</w:t>
            </w:r>
          </w:p>
          <w:p w14:paraId="56837D6F" w14:textId="77777777" w:rsidR="00B54D51" w:rsidRPr="00037AD4" w:rsidRDefault="00B54D51" w:rsidP="00401C67">
            <w:pPr>
              <w:rPr>
                <w:rFonts w:asciiTheme="minorHAnsi" w:hAnsiTheme="minorHAnsi" w:cstheme="minorHAnsi"/>
              </w:rPr>
            </w:pPr>
          </w:p>
          <w:p w14:paraId="0D6FF0C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 </w:t>
            </w:r>
          </w:p>
        </w:tc>
        <w:tc>
          <w:tcPr>
            <w:tcW w:w="1776" w:type="dxa"/>
          </w:tcPr>
          <w:p w14:paraId="1A74D9E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N/A – instrument is solely proxy administered &amp; dementia specific</w:t>
            </w:r>
          </w:p>
        </w:tc>
        <w:tc>
          <w:tcPr>
            <w:tcW w:w="2762" w:type="dxa"/>
          </w:tcPr>
          <w:p w14:paraId="0FD799E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The draft scale was administered by a nurse researcher alongside a series of ADL tasks, rated on an observational scale. The subjects were required to carry out tasks which corresponded as closely as possible to those on the ADL questionnaire. Their ability to undertake these tasks was rated by one of the researchers. The tasks were in the subject’s own home and were designed to be as naturalistic as possible – reducing the subject’s awareness of being assessed. </w:t>
            </w:r>
          </w:p>
        </w:tc>
      </w:tr>
      <w:tr w:rsidR="00B54D51" w:rsidRPr="00037AD4" w14:paraId="575C74E8" w14:textId="77777777" w:rsidTr="00401C67">
        <w:trPr>
          <w:trHeight w:val="6015"/>
        </w:trPr>
        <w:tc>
          <w:tcPr>
            <w:tcW w:w="1305" w:type="dxa"/>
          </w:tcPr>
          <w:p w14:paraId="4B84B22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lastRenderedPageBreak/>
              <w:t>PSMS, physical self-maintenance scale &amp; IADL, Lawton’s instrumental activities of daily living scale</w:t>
            </w:r>
          </w:p>
        </w:tc>
        <w:tc>
          <w:tcPr>
            <w:tcW w:w="3791" w:type="dxa"/>
          </w:tcPr>
          <w:p w14:paraId="3CB4776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The scale was developed using the Langley-Porter scale as it’s basis (1964). Several versions were tried, before resulting in the final version of the PSMS. </w:t>
            </w:r>
          </w:p>
          <w:p w14:paraId="7254E149" w14:textId="77777777" w:rsidR="00B54D51" w:rsidRPr="00037AD4" w:rsidRDefault="00B54D51" w:rsidP="00401C67">
            <w:pPr>
              <w:rPr>
                <w:rFonts w:asciiTheme="minorHAnsi" w:hAnsiTheme="minorHAnsi" w:cstheme="minorHAnsi"/>
              </w:rPr>
            </w:pPr>
          </w:p>
          <w:p w14:paraId="3D53A2E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It had been noted that measurement of instrumental competence in “old age” is extremely complicated, and that previous attempts had been unsatisfying. Subjects (265) were obtained from a variety of sources to test the measures. Validity was tested by determining the correlation of PSMS and IADL with: PC (outlined in the other box), a mental status questionnaire and a behaviour and adjustment rating scale.</w:t>
            </w:r>
          </w:p>
        </w:tc>
        <w:tc>
          <w:tcPr>
            <w:tcW w:w="1776" w:type="dxa"/>
          </w:tcPr>
          <w:p w14:paraId="4C9E769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Scales are not dementia specific and were developed and validated for the assessment of “older people” </w:t>
            </w:r>
          </w:p>
        </w:tc>
        <w:tc>
          <w:tcPr>
            <w:tcW w:w="2762" w:type="dxa"/>
          </w:tcPr>
          <w:p w14:paraId="7637D7B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Validity was tested by determining the correlation of PSMS and IADL with Physical Classification (PC) – a 6-point rating scale of functional health, rated by physicians on the basis of complete medical history, physical examination, and laboratory studies </w:t>
            </w:r>
            <w:r>
              <w:rPr>
                <w:rFonts w:asciiTheme="minorHAnsi" w:hAnsiTheme="minorHAnsi" w:cstheme="minorHAnsi"/>
                <w:noProof/>
              </w:rPr>
              <w:t>(Lawton and Brody, 1969)</w:t>
            </w:r>
          </w:p>
        </w:tc>
      </w:tr>
      <w:tr w:rsidR="00B54D51" w:rsidRPr="00037AD4" w14:paraId="04023F0D" w14:textId="77777777" w:rsidTr="00401C67">
        <w:trPr>
          <w:trHeight w:val="6015"/>
        </w:trPr>
        <w:tc>
          <w:tcPr>
            <w:tcW w:w="1305" w:type="dxa"/>
          </w:tcPr>
          <w:p w14:paraId="10FDBCE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FAST, Functional assessment staging tool </w:t>
            </w:r>
          </w:p>
        </w:tc>
        <w:tc>
          <w:tcPr>
            <w:tcW w:w="3791" w:type="dxa"/>
          </w:tcPr>
          <w:p w14:paraId="7143B9F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Developed in 1982 as part of a broader effort to create a comprehensive tool for staging dementia based on functional impairment. The scale was designed to assess the progressive decline in functional abilities across seven stages, providing a framework for understanding the course of dementia. Development included considering domains of function, staging criteria, the progression framework and clinical utility. </w:t>
            </w:r>
          </w:p>
        </w:tc>
        <w:tc>
          <w:tcPr>
            <w:tcW w:w="1776" w:type="dxa"/>
          </w:tcPr>
          <w:p w14:paraId="4E42E5D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N/A – instrument is solely proxy administered &amp; dementia specific</w:t>
            </w:r>
          </w:p>
        </w:tc>
        <w:tc>
          <w:tcPr>
            <w:tcW w:w="2762" w:type="dxa"/>
          </w:tcPr>
          <w:p w14:paraId="7779501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Beyond the initial development, the instrument developer conducted 3 additional studies designed to contribute further information regarding psychometric and clinical utility of FAST. Here it was reported that the results suggest that the FAST can expose patterns of progressive, ordinal and functional decline in AD </w:t>
            </w:r>
            <w:r>
              <w:rPr>
                <w:rFonts w:asciiTheme="minorHAnsi" w:hAnsiTheme="minorHAnsi" w:cstheme="minorHAnsi"/>
                <w:noProof/>
              </w:rPr>
              <w:t>(Reisberg et al., 1982, Sclan and Reisberg, 1992)</w:t>
            </w:r>
          </w:p>
        </w:tc>
      </w:tr>
      <w:tr w:rsidR="00B54D51" w:rsidRPr="00037AD4" w14:paraId="4A6C3A07" w14:textId="77777777" w:rsidTr="00401C67">
        <w:tc>
          <w:tcPr>
            <w:tcW w:w="1305" w:type="dxa"/>
          </w:tcPr>
          <w:p w14:paraId="65398E4B" w14:textId="77777777" w:rsidR="00B54D51" w:rsidRPr="00037AD4" w:rsidRDefault="00B54D51" w:rsidP="00401C67">
            <w:pPr>
              <w:rPr>
                <w:rFonts w:asciiTheme="minorHAnsi" w:hAnsiTheme="minorHAnsi" w:cstheme="minorHAnsi"/>
                <w:highlight w:val="yellow"/>
              </w:rPr>
            </w:pPr>
            <w:r w:rsidRPr="00037AD4">
              <w:rPr>
                <w:rFonts w:asciiTheme="minorHAnsi" w:hAnsiTheme="minorHAnsi" w:cstheme="minorHAnsi"/>
              </w:rPr>
              <w:t xml:space="preserve">NPI-Q &amp; NPI-NH </w:t>
            </w:r>
          </w:p>
        </w:tc>
        <w:tc>
          <w:tcPr>
            <w:tcW w:w="3791" w:type="dxa"/>
          </w:tcPr>
          <w:p w14:paraId="6C14B26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The NPI is a validated clinical instrument for evaluating psychopathology in dementia. The NPI is an informant-based interview that asks the informant about the frequency, severity and </w:t>
            </w:r>
            <w:r w:rsidRPr="00037AD4">
              <w:rPr>
                <w:rFonts w:asciiTheme="minorHAnsi" w:hAnsiTheme="minorHAnsi" w:cstheme="minorHAnsi"/>
              </w:rPr>
              <w:lastRenderedPageBreak/>
              <w:t xml:space="preserve">distress associated with each symptom domain; it has adequate test-retest and interrater reliability, and good convergent validity with items from the Behave-AD and Hamilton rating scale for depression. Content validity was shown to be high as rated by a panel of experts in geriatric psychiatry. </w:t>
            </w:r>
          </w:p>
          <w:p w14:paraId="710D0D7B" w14:textId="77777777" w:rsidR="00B54D51" w:rsidRPr="00037AD4" w:rsidRDefault="00B54D51" w:rsidP="00401C67">
            <w:pPr>
              <w:rPr>
                <w:rFonts w:asciiTheme="minorHAnsi" w:hAnsiTheme="minorHAnsi" w:cstheme="minorHAnsi"/>
              </w:rPr>
            </w:pPr>
          </w:p>
          <w:p w14:paraId="1CCB0F7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The NPI-Q was based upon the NPI, with the goal of producing a brief questionnaire form intended for use in routine clinical practice, and two additional domains were added. It differs from the standard NPI as it is self-administered (as opposed to interviewed), questions are shortened and only symptom severity is assessed (as opposed to frequency and severity). The NPI-Q was cross-validated with the NPI in 60 AD patients, test-retest reliability and inter-scale correlation was examined and convergent validity with NPI subscales.  </w:t>
            </w:r>
          </w:p>
          <w:p w14:paraId="351CEB5F" w14:textId="77777777" w:rsidR="00B54D51" w:rsidRPr="00037AD4" w:rsidRDefault="00B54D51" w:rsidP="00401C67">
            <w:pPr>
              <w:rPr>
                <w:rFonts w:asciiTheme="minorHAnsi" w:hAnsiTheme="minorHAnsi" w:cstheme="minorHAnsi"/>
              </w:rPr>
            </w:pPr>
          </w:p>
          <w:p w14:paraId="317E7C9F" w14:textId="77777777" w:rsidR="00B54D51" w:rsidRPr="00037AD4" w:rsidRDefault="00B54D51" w:rsidP="00401C67">
            <w:pPr>
              <w:tabs>
                <w:tab w:val="left" w:pos="2746"/>
              </w:tabs>
              <w:rPr>
                <w:rFonts w:asciiTheme="minorHAnsi" w:hAnsiTheme="minorHAnsi" w:cstheme="minorHAnsi"/>
              </w:rPr>
            </w:pPr>
            <w:r w:rsidRPr="00037AD4">
              <w:rPr>
                <w:rFonts w:asciiTheme="minorHAnsi" w:hAnsiTheme="minorHAnsi" w:cstheme="minorHAnsi"/>
              </w:rPr>
              <w:t xml:space="preserve">The NPI-NH was derived from the NPI, as the NPI was originally developed to assess symptoms in community-dwelling PwD via interview with an informal caregiver. The content is unchanged, and it is still to be interview administered; however, the phrasing is different as the questions are now asked to professional caregivers. </w:t>
            </w:r>
          </w:p>
        </w:tc>
        <w:tc>
          <w:tcPr>
            <w:tcW w:w="1776" w:type="dxa"/>
          </w:tcPr>
          <w:p w14:paraId="5C7FA2D2" w14:textId="77777777" w:rsidR="00B54D51" w:rsidRPr="00037AD4" w:rsidRDefault="00B54D51" w:rsidP="00401C67">
            <w:pPr>
              <w:rPr>
                <w:rFonts w:asciiTheme="minorHAnsi" w:hAnsiTheme="minorHAnsi" w:cstheme="minorHAnsi"/>
                <w:highlight w:val="yellow"/>
              </w:rPr>
            </w:pPr>
            <w:r w:rsidRPr="00037AD4">
              <w:rPr>
                <w:rFonts w:asciiTheme="minorHAnsi" w:hAnsiTheme="minorHAnsi" w:cstheme="minorHAnsi"/>
              </w:rPr>
              <w:lastRenderedPageBreak/>
              <w:t>N/A – instrument is solely proxy administered &amp; dementia specific</w:t>
            </w:r>
          </w:p>
        </w:tc>
        <w:tc>
          <w:tcPr>
            <w:tcW w:w="2762" w:type="dxa"/>
          </w:tcPr>
          <w:p w14:paraId="279641E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The NPI has been shown to be sensitive to cholinergic drug treatment effects in several clinical studies, including one large </w:t>
            </w:r>
            <w:r w:rsidRPr="00037AD4">
              <w:rPr>
                <w:rFonts w:asciiTheme="minorHAnsi" w:hAnsiTheme="minorHAnsi" w:cstheme="minorHAnsi"/>
              </w:rPr>
              <w:lastRenderedPageBreak/>
              <w:t xml:space="preserve">prospective double blind placebo-controlled trial. The NPI has also been studied in samples of cognitively intact older adults, whereby the NPI is sensitive at distinguishing between healthy people and those with dementia </w:t>
            </w:r>
            <w:r>
              <w:rPr>
                <w:rFonts w:asciiTheme="minorHAnsi" w:hAnsiTheme="minorHAnsi" w:cstheme="minorHAnsi"/>
                <w:noProof/>
              </w:rPr>
              <w:t>(Kaufer et al., 2000, Wood et al., 2000, APA, 2011)</w:t>
            </w:r>
          </w:p>
        </w:tc>
      </w:tr>
      <w:tr w:rsidR="00B54D51" w:rsidRPr="00037AD4" w14:paraId="2F13946B" w14:textId="77777777" w:rsidTr="00401C67">
        <w:tc>
          <w:tcPr>
            <w:tcW w:w="1305" w:type="dxa"/>
          </w:tcPr>
          <w:p w14:paraId="34FAEDF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lastRenderedPageBreak/>
              <w:t>CSDD, Cornell Scale for depression in dementia</w:t>
            </w:r>
          </w:p>
        </w:tc>
        <w:tc>
          <w:tcPr>
            <w:tcW w:w="3791" w:type="dxa"/>
          </w:tcPr>
          <w:p w14:paraId="19880B4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The CSDD was designed for the rating of symptoms of depression in demented patients. Items were constructed so that they can be rated on the basis of observation. Validity was established by interrater reliability of scores given </w:t>
            </w:r>
            <w:r w:rsidRPr="00037AD4">
              <w:rPr>
                <w:rFonts w:asciiTheme="minorHAnsi" w:hAnsiTheme="minorHAnsi" w:cstheme="minorHAnsi"/>
              </w:rPr>
              <w:lastRenderedPageBreak/>
              <w:t>by two psychiatrists, and measurement of internal consistency. Convergent validity was established via correlation with the rank order of the Research Diagnostic Criteria (RDC) measure of depression.</w:t>
            </w:r>
          </w:p>
        </w:tc>
        <w:tc>
          <w:tcPr>
            <w:tcW w:w="1776" w:type="dxa"/>
          </w:tcPr>
          <w:p w14:paraId="13246D0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lastRenderedPageBreak/>
              <w:t>N/A – instrument is dementia specific</w:t>
            </w:r>
          </w:p>
        </w:tc>
        <w:tc>
          <w:tcPr>
            <w:tcW w:w="2762" w:type="dxa"/>
          </w:tcPr>
          <w:p w14:paraId="77771954" w14:textId="2645CA44"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CSDD scores for people living with dementia hospitalised for major depression were significantly lower upon discharge than those </w:t>
            </w:r>
            <w:r w:rsidRPr="00037AD4">
              <w:rPr>
                <w:rFonts w:asciiTheme="minorHAnsi" w:hAnsiTheme="minorHAnsi" w:cstheme="minorHAnsi"/>
              </w:rPr>
              <w:lastRenderedPageBreak/>
              <w:t xml:space="preserve">obtained on admission </w:t>
            </w:r>
            <w:r>
              <w:rPr>
                <w:rFonts w:asciiTheme="minorHAnsi" w:hAnsiTheme="minorHAnsi" w:cstheme="minorHAnsi"/>
                <w:noProof/>
              </w:rPr>
              <w:t>(Aged Care Tests</w:t>
            </w:r>
            <w:r w:rsidR="00C555A5">
              <w:rPr>
                <w:rFonts w:asciiTheme="minorHAnsi" w:hAnsiTheme="minorHAnsi" w:cstheme="minorHAnsi"/>
                <w:noProof/>
              </w:rPr>
              <w:t>, 2024</w:t>
            </w:r>
            <w:r>
              <w:rPr>
                <w:rFonts w:asciiTheme="minorHAnsi" w:hAnsiTheme="minorHAnsi" w:cstheme="minorHAnsi"/>
                <w:noProof/>
              </w:rPr>
              <w:t>)</w:t>
            </w:r>
            <w:r w:rsidRPr="00037AD4">
              <w:rPr>
                <w:rFonts w:asciiTheme="minorHAnsi" w:hAnsiTheme="minorHAnsi" w:cstheme="minorHAnsi"/>
              </w:rPr>
              <w:t xml:space="preserve"> </w:t>
            </w:r>
          </w:p>
        </w:tc>
      </w:tr>
    </w:tbl>
    <w:p w14:paraId="1D318BBD" w14:textId="77777777" w:rsidR="00B54D51" w:rsidRPr="00037AD4" w:rsidRDefault="00B54D51" w:rsidP="001D7ACE">
      <w:pPr>
        <w:rPr>
          <w:rFonts w:asciiTheme="minorHAnsi" w:hAnsiTheme="minorHAnsi" w:cstheme="minorHAnsi"/>
          <w:b/>
          <w:bCs/>
          <w:u w:val="single"/>
        </w:rPr>
      </w:pPr>
    </w:p>
    <w:p w14:paraId="10CA9459" w14:textId="77777777" w:rsidR="00B54D51" w:rsidRPr="00037AD4" w:rsidRDefault="00B54D51" w:rsidP="007A43F9">
      <w:pPr>
        <w:pStyle w:val="Heading2"/>
      </w:pPr>
      <w:bookmarkStart w:id="490" w:name="A42"/>
      <w:bookmarkStart w:id="491" w:name="_Toc175742407"/>
      <w:r w:rsidRPr="00037AD4">
        <w:t>Appendix 4.2 EQ-5D dimension level cross-tables</w:t>
      </w:r>
      <w:bookmarkEnd w:id="491"/>
      <w:r w:rsidRPr="00037AD4">
        <w:t xml:space="preserve"> </w:t>
      </w:r>
    </w:p>
    <w:bookmarkEnd w:id="490"/>
    <w:p w14:paraId="46A9E722" w14:textId="77777777" w:rsidR="00B54D51" w:rsidRPr="00037AD4" w:rsidRDefault="00B54D51" w:rsidP="001D7ACE">
      <w:pPr>
        <w:rPr>
          <w:rFonts w:asciiTheme="minorHAnsi" w:hAnsiTheme="minorHAnsi" w:cstheme="minorHAnsi"/>
          <w:b/>
          <w:bCs/>
          <w:sz w:val="26"/>
          <w:szCs w:val="26"/>
          <w:u w:val="single"/>
        </w:rPr>
      </w:pPr>
    </w:p>
    <w:p w14:paraId="7F14E428" w14:textId="77777777" w:rsidR="00B54D51" w:rsidRPr="00037AD4" w:rsidRDefault="00B54D51" w:rsidP="001D7ACE">
      <w:pPr>
        <w:rPr>
          <w:rFonts w:asciiTheme="minorHAnsi" w:hAnsiTheme="minorHAnsi" w:cstheme="minorHAnsi"/>
          <w:u w:val="single"/>
        </w:rPr>
      </w:pPr>
      <w:r w:rsidRPr="00037AD4">
        <w:rPr>
          <w:rFonts w:asciiTheme="minorHAnsi" w:hAnsiTheme="minorHAnsi" w:cstheme="minorHAnsi"/>
          <w:u w:val="single"/>
        </w:rPr>
        <w:t xml:space="preserve">Table A4.2a) EQ-5D dimension-level cross-table, REMCARE data  </w:t>
      </w:r>
    </w:p>
    <w:p w14:paraId="5F81C672" w14:textId="77777777" w:rsidR="00B54D51" w:rsidRPr="00037AD4" w:rsidRDefault="00B54D51" w:rsidP="001D7ACE">
      <w:pPr>
        <w:rPr>
          <w:rFonts w:asciiTheme="minorHAnsi" w:hAnsiTheme="minorHAnsi" w:cstheme="minorHAnsi"/>
          <w:u w:val="single"/>
        </w:rPr>
      </w:pPr>
    </w:p>
    <w:tbl>
      <w:tblPr>
        <w:tblStyle w:val="TableGrid"/>
        <w:tblW w:w="9743" w:type="dxa"/>
        <w:tblLook w:val="04A0" w:firstRow="1" w:lastRow="0" w:firstColumn="1" w:lastColumn="0" w:noHBand="0" w:noVBand="1"/>
      </w:tblPr>
      <w:tblGrid>
        <w:gridCol w:w="1948"/>
        <w:gridCol w:w="1948"/>
        <w:gridCol w:w="1949"/>
        <w:gridCol w:w="1949"/>
        <w:gridCol w:w="1949"/>
      </w:tblGrid>
      <w:tr w:rsidR="00B54D51" w:rsidRPr="00037AD4" w14:paraId="23C9D005" w14:textId="77777777" w:rsidTr="00401C67">
        <w:trPr>
          <w:trHeight w:val="916"/>
        </w:trPr>
        <w:tc>
          <w:tcPr>
            <w:tcW w:w="1948" w:type="dxa"/>
            <w:vMerge w:val="restart"/>
          </w:tcPr>
          <w:p w14:paraId="10A6DD42" w14:textId="77777777" w:rsidR="00B54D51" w:rsidRPr="00037AD4" w:rsidRDefault="00B54D51" w:rsidP="00401C67">
            <w:pPr>
              <w:jc w:val="center"/>
              <w:rPr>
                <w:rFonts w:asciiTheme="minorHAnsi" w:hAnsiTheme="minorHAnsi" w:cstheme="minorHAnsi"/>
              </w:rPr>
            </w:pPr>
            <w:r w:rsidRPr="00037AD4">
              <w:rPr>
                <w:rFonts w:asciiTheme="minorHAnsi" w:hAnsiTheme="minorHAnsi" w:cstheme="minorHAnsi"/>
              </w:rPr>
              <w:t>Dimension</w:t>
            </w:r>
          </w:p>
        </w:tc>
        <w:tc>
          <w:tcPr>
            <w:tcW w:w="1948" w:type="dxa"/>
            <w:vMerge w:val="restart"/>
          </w:tcPr>
          <w:p w14:paraId="6C82D848" w14:textId="77777777" w:rsidR="00B54D51" w:rsidRPr="00037AD4" w:rsidRDefault="00B54D51" w:rsidP="00401C67">
            <w:pPr>
              <w:jc w:val="center"/>
              <w:rPr>
                <w:rFonts w:asciiTheme="minorHAnsi" w:hAnsiTheme="minorHAnsi" w:cstheme="minorHAnsi"/>
              </w:rPr>
            </w:pPr>
            <w:r w:rsidRPr="00037AD4">
              <w:rPr>
                <w:rFonts w:asciiTheme="minorHAnsi" w:hAnsiTheme="minorHAnsi" w:cstheme="minorHAnsi"/>
              </w:rPr>
              <w:t>Self-rating perfect health</w:t>
            </w:r>
          </w:p>
          <w:p w14:paraId="72B041E8" w14:textId="77777777" w:rsidR="00B54D51" w:rsidRPr="00037AD4" w:rsidRDefault="00B54D51" w:rsidP="00401C67">
            <w:pPr>
              <w:jc w:val="center"/>
              <w:rPr>
                <w:rFonts w:asciiTheme="minorHAnsi" w:hAnsiTheme="minorHAnsi" w:cstheme="minorHAnsi"/>
              </w:rPr>
            </w:pPr>
            <w:r w:rsidRPr="00037AD4">
              <w:rPr>
                <w:rFonts w:asciiTheme="minorHAnsi" w:hAnsiTheme="minorHAnsi" w:cstheme="minorHAnsi"/>
              </w:rPr>
              <w:t>n (%)</w:t>
            </w:r>
          </w:p>
        </w:tc>
        <w:tc>
          <w:tcPr>
            <w:tcW w:w="5847" w:type="dxa"/>
            <w:gridSpan w:val="3"/>
          </w:tcPr>
          <w:p w14:paraId="6EDD55F1" w14:textId="77777777" w:rsidR="00B54D51" w:rsidRPr="00037AD4" w:rsidRDefault="00B54D51" w:rsidP="00401C67">
            <w:pPr>
              <w:jc w:val="center"/>
              <w:rPr>
                <w:rFonts w:asciiTheme="minorHAnsi" w:hAnsiTheme="minorHAnsi" w:cstheme="minorHAnsi"/>
              </w:rPr>
            </w:pPr>
            <w:r w:rsidRPr="00037AD4">
              <w:rPr>
                <w:rFonts w:asciiTheme="minorHAnsi" w:hAnsiTheme="minorHAnsi" w:cstheme="minorHAnsi"/>
              </w:rPr>
              <w:t>Informal proxy rating</w:t>
            </w:r>
          </w:p>
          <w:p w14:paraId="3C36F7B6" w14:textId="77777777" w:rsidR="00B54D51" w:rsidRPr="00037AD4" w:rsidRDefault="00B54D51" w:rsidP="00401C67">
            <w:pPr>
              <w:jc w:val="center"/>
              <w:rPr>
                <w:rFonts w:asciiTheme="minorHAnsi" w:hAnsiTheme="minorHAnsi" w:cstheme="minorHAnsi"/>
              </w:rPr>
            </w:pPr>
            <w:r w:rsidRPr="00037AD4">
              <w:rPr>
                <w:rFonts w:asciiTheme="minorHAnsi" w:hAnsiTheme="minorHAnsi" w:cstheme="minorHAnsi"/>
              </w:rPr>
              <w:t>n (%)</w:t>
            </w:r>
          </w:p>
        </w:tc>
      </w:tr>
      <w:tr w:rsidR="00B54D51" w:rsidRPr="00037AD4" w14:paraId="77E3E39E" w14:textId="77777777" w:rsidTr="00401C67">
        <w:trPr>
          <w:trHeight w:val="458"/>
        </w:trPr>
        <w:tc>
          <w:tcPr>
            <w:tcW w:w="1948" w:type="dxa"/>
            <w:vMerge/>
          </w:tcPr>
          <w:p w14:paraId="103E0D90" w14:textId="77777777" w:rsidR="00B54D51" w:rsidRPr="00037AD4" w:rsidRDefault="00B54D51" w:rsidP="00401C67">
            <w:pPr>
              <w:rPr>
                <w:rFonts w:asciiTheme="minorHAnsi" w:hAnsiTheme="minorHAnsi" w:cstheme="minorHAnsi"/>
              </w:rPr>
            </w:pPr>
          </w:p>
        </w:tc>
        <w:tc>
          <w:tcPr>
            <w:tcW w:w="1948" w:type="dxa"/>
            <w:vMerge/>
          </w:tcPr>
          <w:p w14:paraId="379AF433" w14:textId="77777777" w:rsidR="00B54D51" w:rsidRPr="00037AD4" w:rsidRDefault="00B54D51" w:rsidP="00401C67">
            <w:pPr>
              <w:rPr>
                <w:rFonts w:asciiTheme="minorHAnsi" w:hAnsiTheme="minorHAnsi" w:cstheme="minorHAnsi"/>
              </w:rPr>
            </w:pPr>
          </w:p>
        </w:tc>
        <w:tc>
          <w:tcPr>
            <w:tcW w:w="1949" w:type="dxa"/>
          </w:tcPr>
          <w:p w14:paraId="4E972CC8" w14:textId="77777777" w:rsidR="00B54D51" w:rsidRPr="00037AD4" w:rsidRDefault="00B54D51" w:rsidP="00401C67">
            <w:pPr>
              <w:rPr>
                <w:rFonts w:asciiTheme="minorHAnsi" w:hAnsiTheme="minorHAnsi" w:cstheme="minorHAnsi"/>
                <w:i/>
                <w:iCs/>
                <w:sz w:val="22"/>
                <w:szCs w:val="22"/>
              </w:rPr>
            </w:pPr>
            <w:r w:rsidRPr="00037AD4">
              <w:rPr>
                <w:rFonts w:asciiTheme="minorHAnsi" w:hAnsiTheme="minorHAnsi" w:cstheme="minorHAnsi"/>
                <w:i/>
                <w:iCs/>
                <w:sz w:val="22"/>
                <w:szCs w:val="22"/>
              </w:rPr>
              <w:t>No problems</w:t>
            </w:r>
          </w:p>
        </w:tc>
        <w:tc>
          <w:tcPr>
            <w:tcW w:w="1949" w:type="dxa"/>
          </w:tcPr>
          <w:p w14:paraId="189DCFD9" w14:textId="77777777" w:rsidR="00B54D51" w:rsidRPr="00037AD4" w:rsidRDefault="00B54D51" w:rsidP="00401C67">
            <w:pPr>
              <w:rPr>
                <w:rFonts w:asciiTheme="minorHAnsi" w:hAnsiTheme="minorHAnsi" w:cstheme="minorHAnsi"/>
                <w:i/>
                <w:iCs/>
                <w:sz w:val="22"/>
                <w:szCs w:val="22"/>
              </w:rPr>
            </w:pPr>
            <w:r w:rsidRPr="00037AD4">
              <w:rPr>
                <w:rFonts w:asciiTheme="minorHAnsi" w:hAnsiTheme="minorHAnsi" w:cstheme="minorHAnsi"/>
                <w:i/>
                <w:iCs/>
                <w:sz w:val="22"/>
                <w:szCs w:val="22"/>
              </w:rPr>
              <w:t>Some problems</w:t>
            </w:r>
          </w:p>
        </w:tc>
        <w:tc>
          <w:tcPr>
            <w:tcW w:w="1949" w:type="dxa"/>
          </w:tcPr>
          <w:p w14:paraId="793B6D7A" w14:textId="77777777" w:rsidR="00B54D51" w:rsidRPr="00037AD4" w:rsidRDefault="00B54D51" w:rsidP="00401C67">
            <w:pPr>
              <w:rPr>
                <w:rFonts w:asciiTheme="minorHAnsi" w:hAnsiTheme="minorHAnsi" w:cstheme="minorHAnsi"/>
                <w:i/>
                <w:iCs/>
                <w:sz w:val="22"/>
                <w:szCs w:val="22"/>
              </w:rPr>
            </w:pPr>
            <w:r w:rsidRPr="00037AD4">
              <w:rPr>
                <w:rFonts w:asciiTheme="minorHAnsi" w:hAnsiTheme="minorHAnsi" w:cstheme="minorHAnsi"/>
                <w:i/>
                <w:iCs/>
                <w:sz w:val="22"/>
                <w:szCs w:val="22"/>
              </w:rPr>
              <w:t>Extreme problems</w:t>
            </w:r>
          </w:p>
        </w:tc>
      </w:tr>
      <w:tr w:rsidR="00B54D51" w:rsidRPr="00037AD4" w14:paraId="43875D22" w14:textId="77777777" w:rsidTr="00401C67">
        <w:trPr>
          <w:trHeight w:val="221"/>
        </w:trPr>
        <w:tc>
          <w:tcPr>
            <w:tcW w:w="1948" w:type="dxa"/>
          </w:tcPr>
          <w:p w14:paraId="7CA01FC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Mobility</w:t>
            </w:r>
          </w:p>
        </w:tc>
        <w:tc>
          <w:tcPr>
            <w:tcW w:w="1948" w:type="dxa"/>
          </w:tcPr>
          <w:p w14:paraId="25F101F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776 (65.5)</w:t>
            </w:r>
          </w:p>
        </w:tc>
        <w:tc>
          <w:tcPr>
            <w:tcW w:w="1949" w:type="dxa"/>
          </w:tcPr>
          <w:p w14:paraId="29E562B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522 (68.0)</w:t>
            </w:r>
          </w:p>
        </w:tc>
        <w:tc>
          <w:tcPr>
            <w:tcW w:w="1949" w:type="dxa"/>
          </w:tcPr>
          <w:p w14:paraId="60097F6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246 (32.0)</w:t>
            </w:r>
          </w:p>
        </w:tc>
        <w:tc>
          <w:tcPr>
            <w:tcW w:w="1949" w:type="dxa"/>
          </w:tcPr>
          <w:p w14:paraId="676908E6" w14:textId="77777777" w:rsidR="00B54D51" w:rsidRPr="00037AD4" w:rsidRDefault="00B54D51" w:rsidP="00401C67">
            <w:pPr>
              <w:rPr>
                <w:rFonts w:asciiTheme="minorHAnsi" w:hAnsiTheme="minorHAnsi" w:cstheme="minorHAnsi"/>
              </w:rPr>
            </w:pPr>
          </w:p>
        </w:tc>
      </w:tr>
      <w:tr w:rsidR="00B54D51" w:rsidRPr="00037AD4" w14:paraId="3416068C" w14:textId="77777777" w:rsidTr="00401C67">
        <w:trPr>
          <w:trHeight w:val="221"/>
        </w:trPr>
        <w:tc>
          <w:tcPr>
            <w:tcW w:w="1948" w:type="dxa"/>
          </w:tcPr>
          <w:p w14:paraId="3B0CCBA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Self-care</w:t>
            </w:r>
          </w:p>
        </w:tc>
        <w:tc>
          <w:tcPr>
            <w:tcW w:w="1948" w:type="dxa"/>
          </w:tcPr>
          <w:p w14:paraId="74EE7C0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971 (82.1)</w:t>
            </w:r>
          </w:p>
        </w:tc>
        <w:tc>
          <w:tcPr>
            <w:tcW w:w="1949" w:type="dxa"/>
          </w:tcPr>
          <w:p w14:paraId="7C18B34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565 (58.7)</w:t>
            </w:r>
          </w:p>
        </w:tc>
        <w:tc>
          <w:tcPr>
            <w:tcW w:w="1949" w:type="dxa"/>
          </w:tcPr>
          <w:p w14:paraId="5AA3183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369 (38.4)</w:t>
            </w:r>
          </w:p>
        </w:tc>
        <w:tc>
          <w:tcPr>
            <w:tcW w:w="1949" w:type="dxa"/>
          </w:tcPr>
          <w:p w14:paraId="3DE5CDD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26 (2.9) </w:t>
            </w:r>
          </w:p>
        </w:tc>
      </w:tr>
      <w:tr w:rsidR="00B54D51" w:rsidRPr="00037AD4" w14:paraId="0E6AE908" w14:textId="77777777" w:rsidTr="00401C67">
        <w:trPr>
          <w:trHeight w:val="458"/>
        </w:trPr>
        <w:tc>
          <w:tcPr>
            <w:tcW w:w="1948" w:type="dxa"/>
          </w:tcPr>
          <w:p w14:paraId="4C05FC1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Usual activities </w:t>
            </w:r>
          </w:p>
        </w:tc>
        <w:tc>
          <w:tcPr>
            <w:tcW w:w="1948" w:type="dxa"/>
          </w:tcPr>
          <w:p w14:paraId="1CA56A1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803 (68.9)</w:t>
            </w:r>
          </w:p>
        </w:tc>
        <w:tc>
          <w:tcPr>
            <w:tcW w:w="1949" w:type="dxa"/>
          </w:tcPr>
          <w:p w14:paraId="10E36C0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223 (28.1)</w:t>
            </w:r>
          </w:p>
        </w:tc>
        <w:tc>
          <w:tcPr>
            <w:tcW w:w="1949" w:type="dxa"/>
          </w:tcPr>
          <w:p w14:paraId="7FB48F4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451 (56.9)</w:t>
            </w:r>
          </w:p>
        </w:tc>
        <w:tc>
          <w:tcPr>
            <w:tcW w:w="1949" w:type="dxa"/>
          </w:tcPr>
          <w:p w14:paraId="4CE87F5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119 (15.0)</w:t>
            </w:r>
          </w:p>
        </w:tc>
      </w:tr>
      <w:tr w:rsidR="00B54D51" w:rsidRPr="00037AD4" w14:paraId="4FC21C75" w14:textId="77777777" w:rsidTr="00401C67">
        <w:trPr>
          <w:trHeight w:val="458"/>
        </w:trPr>
        <w:tc>
          <w:tcPr>
            <w:tcW w:w="1948" w:type="dxa"/>
          </w:tcPr>
          <w:p w14:paraId="367A8E0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Pain/ discomfort</w:t>
            </w:r>
          </w:p>
        </w:tc>
        <w:tc>
          <w:tcPr>
            <w:tcW w:w="1948" w:type="dxa"/>
          </w:tcPr>
          <w:p w14:paraId="16A69BC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660 (55.8)</w:t>
            </w:r>
          </w:p>
        </w:tc>
        <w:tc>
          <w:tcPr>
            <w:tcW w:w="1949" w:type="dxa"/>
          </w:tcPr>
          <w:p w14:paraId="10B1D0F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365 (56.3)</w:t>
            </w:r>
          </w:p>
        </w:tc>
        <w:tc>
          <w:tcPr>
            <w:tcW w:w="1949" w:type="dxa"/>
          </w:tcPr>
          <w:p w14:paraId="10AB7B9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269 (41.5)</w:t>
            </w:r>
          </w:p>
        </w:tc>
        <w:tc>
          <w:tcPr>
            <w:tcW w:w="1949" w:type="dxa"/>
          </w:tcPr>
          <w:p w14:paraId="1DB1F99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14 (2.2) </w:t>
            </w:r>
          </w:p>
        </w:tc>
      </w:tr>
      <w:tr w:rsidR="00B54D51" w:rsidRPr="00037AD4" w14:paraId="7741FC9E" w14:textId="77777777" w:rsidTr="00401C67">
        <w:trPr>
          <w:trHeight w:val="445"/>
        </w:trPr>
        <w:tc>
          <w:tcPr>
            <w:tcW w:w="1948" w:type="dxa"/>
          </w:tcPr>
          <w:p w14:paraId="64CA8A3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Anxiety/ depression</w:t>
            </w:r>
          </w:p>
        </w:tc>
        <w:tc>
          <w:tcPr>
            <w:tcW w:w="1948" w:type="dxa"/>
          </w:tcPr>
          <w:p w14:paraId="49257EC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731 (63.3)</w:t>
            </w:r>
          </w:p>
        </w:tc>
        <w:tc>
          <w:tcPr>
            <w:tcW w:w="1949" w:type="dxa"/>
          </w:tcPr>
          <w:p w14:paraId="3E7C87F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356 (49.2)</w:t>
            </w:r>
          </w:p>
        </w:tc>
        <w:tc>
          <w:tcPr>
            <w:tcW w:w="1949" w:type="dxa"/>
          </w:tcPr>
          <w:p w14:paraId="4A79882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343 (47.4)</w:t>
            </w:r>
          </w:p>
        </w:tc>
        <w:tc>
          <w:tcPr>
            <w:tcW w:w="1949" w:type="dxa"/>
          </w:tcPr>
          <w:p w14:paraId="3369A73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24 (3.3) </w:t>
            </w:r>
          </w:p>
        </w:tc>
      </w:tr>
    </w:tbl>
    <w:p w14:paraId="39852658" w14:textId="77777777" w:rsidR="00B54D51" w:rsidRPr="00037AD4" w:rsidRDefault="00B54D51" w:rsidP="001D7ACE">
      <w:pPr>
        <w:rPr>
          <w:rFonts w:asciiTheme="minorHAnsi" w:hAnsiTheme="minorHAnsi" w:cstheme="minorHAnsi"/>
          <w:u w:val="single"/>
        </w:rPr>
      </w:pPr>
    </w:p>
    <w:p w14:paraId="441CDC01" w14:textId="77777777" w:rsidR="00B54D51" w:rsidRPr="00037AD4" w:rsidRDefault="00B54D51" w:rsidP="001D7ACE">
      <w:pPr>
        <w:rPr>
          <w:rFonts w:asciiTheme="minorHAnsi" w:hAnsiTheme="minorHAnsi" w:cstheme="minorHAnsi"/>
          <w:u w:val="single"/>
        </w:rPr>
      </w:pPr>
      <w:r w:rsidRPr="00037AD4">
        <w:rPr>
          <w:rFonts w:asciiTheme="minorHAnsi" w:hAnsiTheme="minorHAnsi" w:cstheme="minorHAnsi"/>
          <w:u w:val="single"/>
        </w:rPr>
        <w:t>Table A4.2b) EQ-5D dimension-level cross table, ACTIFCARE data</w:t>
      </w:r>
    </w:p>
    <w:p w14:paraId="2230EAA2" w14:textId="77777777" w:rsidR="00B54D51" w:rsidRPr="00037AD4" w:rsidRDefault="00B54D51" w:rsidP="001D7ACE">
      <w:pPr>
        <w:rPr>
          <w:rFonts w:asciiTheme="minorHAnsi" w:hAnsiTheme="minorHAnsi" w:cstheme="minorHAnsi"/>
          <w:u w:val="single"/>
        </w:rPr>
      </w:pPr>
    </w:p>
    <w:tbl>
      <w:tblPr>
        <w:tblStyle w:val="TableGrid"/>
        <w:tblW w:w="9718" w:type="dxa"/>
        <w:tblLook w:val="04A0" w:firstRow="1" w:lastRow="0" w:firstColumn="1" w:lastColumn="0" w:noHBand="0" w:noVBand="1"/>
      </w:tblPr>
      <w:tblGrid>
        <w:gridCol w:w="1385"/>
        <w:gridCol w:w="1283"/>
        <w:gridCol w:w="1323"/>
        <w:gridCol w:w="1323"/>
        <w:gridCol w:w="1329"/>
        <w:gridCol w:w="1323"/>
        <w:gridCol w:w="1752"/>
      </w:tblGrid>
      <w:tr w:rsidR="00B54D51" w:rsidRPr="00037AD4" w14:paraId="3F1AFFF9" w14:textId="77777777" w:rsidTr="00401C67">
        <w:trPr>
          <w:trHeight w:val="1164"/>
        </w:trPr>
        <w:tc>
          <w:tcPr>
            <w:tcW w:w="1385" w:type="dxa"/>
            <w:vMerge w:val="restart"/>
          </w:tcPr>
          <w:p w14:paraId="49A5FB47" w14:textId="77777777" w:rsidR="00B54D51" w:rsidRPr="00037AD4" w:rsidRDefault="00B54D51" w:rsidP="00401C67">
            <w:pPr>
              <w:jc w:val="center"/>
              <w:rPr>
                <w:rFonts w:asciiTheme="minorHAnsi" w:hAnsiTheme="minorHAnsi" w:cstheme="minorHAnsi"/>
              </w:rPr>
            </w:pPr>
            <w:r w:rsidRPr="00037AD4">
              <w:rPr>
                <w:rFonts w:asciiTheme="minorHAnsi" w:hAnsiTheme="minorHAnsi" w:cstheme="minorHAnsi"/>
              </w:rPr>
              <w:t>Dimension</w:t>
            </w:r>
          </w:p>
        </w:tc>
        <w:tc>
          <w:tcPr>
            <w:tcW w:w="1283" w:type="dxa"/>
            <w:vMerge w:val="restart"/>
          </w:tcPr>
          <w:p w14:paraId="7FA5B5FF" w14:textId="77777777" w:rsidR="00B54D51" w:rsidRPr="00037AD4" w:rsidRDefault="00B54D51" w:rsidP="00401C67">
            <w:pPr>
              <w:jc w:val="center"/>
              <w:rPr>
                <w:rFonts w:asciiTheme="minorHAnsi" w:hAnsiTheme="minorHAnsi" w:cstheme="minorHAnsi"/>
              </w:rPr>
            </w:pPr>
            <w:r w:rsidRPr="00037AD4">
              <w:rPr>
                <w:rFonts w:asciiTheme="minorHAnsi" w:hAnsiTheme="minorHAnsi" w:cstheme="minorHAnsi"/>
              </w:rPr>
              <w:t>Self-rating perfect health</w:t>
            </w:r>
          </w:p>
          <w:p w14:paraId="1343E45C" w14:textId="77777777" w:rsidR="00B54D51" w:rsidRPr="00037AD4" w:rsidRDefault="00B54D51" w:rsidP="00401C67">
            <w:pPr>
              <w:jc w:val="center"/>
              <w:rPr>
                <w:rFonts w:asciiTheme="minorHAnsi" w:hAnsiTheme="minorHAnsi" w:cstheme="minorHAnsi"/>
              </w:rPr>
            </w:pPr>
            <w:r w:rsidRPr="00037AD4">
              <w:rPr>
                <w:rFonts w:asciiTheme="minorHAnsi" w:hAnsiTheme="minorHAnsi" w:cstheme="minorHAnsi"/>
              </w:rPr>
              <w:t>n (%)</w:t>
            </w:r>
          </w:p>
        </w:tc>
        <w:tc>
          <w:tcPr>
            <w:tcW w:w="7050" w:type="dxa"/>
            <w:gridSpan w:val="5"/>
          </w:tcPr>
          <w:p w14:paraId="2E9C667A" w14:textId="77777777" w:rsidR="00B54D51" w:rsidRPr="00037AD4" w:rsidRDefault="00B54D51" w:rsidP="00401C67">
            <w:pPr>
              <w:jc w:val="center"/>
              <w:rPr>
                <w:rFonts w:asciiTheme="minorHAnsi" w:hAnsiTheme="minorHAnsi" w:cstheme="minorHAnsi"/>
              </w:rPr>
            </w:pPr>
            <w:r w:rsidRPr="00037AD4">
              <w:rPr>
                <w:rFonts w:asciiTheme="minorHAnsi" w:hAnsiTheme="minorHAnsi" w:cstheme="minorHAnsi"/>
              </w:rPr>
              <w:t>Informal proxy rating</w:t>
            </w:r>
          </w:p>
          <w:p w14:paraId="411433FB" w14:textId="77777777" w:rsidR="00B54D51" w:rsidRPr="00037AD4" w:rsidRDefault="00B54D51" w:rsidP="00401C67">
            <w:pPr>
              <w:jc w:val="center"/>
              <w:rPr>
                <w:rFonts w:asciiTheme="minorHAnsi" w:hAnsiTheme="minorHAnsi" w:cstheme="minorHAnsi"/>
              </w:rPr>
            </w:pPr>
            <w:r w:rsidRPr="00037AD4">
              <w:rPr>
                <w:rFonts w:asciiTheme="minorHAnsi" w:hAnsiTheme="minorHAnsi" w:cstheme="minorHAnsi"/>
              </w:rPr>
              <w:t>n (%)</w:t>
            </w:r>
          </w:p>
        </w:tc>
      </w:tr>
      <w:tr w:rsidR="00B54D51" w:rsidRPr="00037AD4" w14:paraId="69982916" w14:textId="77777777" w:rsidTr="00401C67">
        <w:trPr>
          <w:trHeight w:val="581"/>
        </w:trPr>
        <w:tc>
          <w:tcPr>
            <w:tcW w:w="1385" w:type="dxa"/>
            <w:vMerge/>
          </w:tcPr>
          <w:p w14:paraId="09DABA7E" w14:textId="77777777" w:rsidR="00B54D51" w:rsidRPr="00037AD4" w:rsidRDefault="00B54D51" w:rsidP="00401C67">
            <w:pPr>
              <w:rPr>
                <w:rFonts w:asciiTheme="minorHAnsi" w:hAnsiTheme="minorHAnsi" w:cstheme="minorHAnsi"/>
              </w:rPr>
            </w:pPr>
          </w:p>
        </w:tc>
        <w:tc>
          <w:tcPr>
            <w:tcW w:w="1283" w:type="dxa"/>
            <w:vMerge/>
          </w:tcPr>
          <w:p w14:paraId="27312EBE" w14:textId="77777777" w:rsidR="00B54D51" w:rsidRPr="00037AD4" w:rsidRDefault="00B54D51" w:rsidP="00401C67">
            <w:pPr>
              <w:rPr>
                <w:rFonts w:asciiTheme="minorHAnsi" w:hAnsiTheme="minorHAnsi" w:cstheme="minorHAnsi"/>
              </w:rPr>
            </w:pPr>
          </w:p>
        </w:tc>
        <w:tc>
          <w:tcPr>
            <w:tcW w:w="1323" w:type="dxa"/>
          </w:tcPr>
          <w:p w14:paraId="24DB06FE" w14:textId="77777777" w:rsidR="00B54D51" w:rsidRPr="00037AD4" w:rsidRDefault="00B54D51" w:rsidP="00401C67">
            <w:pPr>
              <w:rPr>
                <w:rFonts w:asciiTheme="minorHAnsi" w:hAnsiTheme="minorHAnsi" w:cstheme="minorHAnsi"/>
                <w:i/>
                <w:iCs/>
                <w:sz w:val="22"/>
                <w:szCs w:val="22"/>
              </w:rPr>
            </w:pPr>
            <w:r w:rsidRPr="00037AD4">
              <w:rPr>
                <w:rFonts w:asciiTheme="minorHAnsi" w:hAnsiTheme="minorHAnsi" w:cstheme="minorHAnsi"/>
                <w:i/>
                <w:iCs/>
                <w:sz w:val="22"/>
                <w:szCs w:val="22"/>
              </w:rPr>
              <w:t>No problems</w:t>
            </w:r>
          </w:p>
        </w:tc>
        <w:tc>
          <w:tcPr>
            <w:tcW w:w="1323" w:type="dxa"/>
          </w:tcPr>
          <w:p w14:paraId="01A7FB32" w14:textId="77777777" w:rsidR="00B54D51" w:rsidRPr="00037AD4" w:rsidRDefault="00B54D51" w:rsidP="00401C67">
            <w:pPr>
              <w:rPr>
                <w:rFonts w:asciiTheme="minorHAnsi" w:hAnsiTheme="minorHAnsi" w:cstheme="minorHAnsi"/>
                <w:i/>
                <w:iCs/>
                <w:sz w:val="22"/>
                <w:szCs w:val="22"/>
              </w:rPr>
            </w:pPr>
            <w:r w:rsidRPr="00037AD4">
              <w:rPr>
                <w:rFonts w:asciiTheme="minorHAnsi" w:hAnsiTheme="minorHAnsi" w:cstheme="minorHAnsi"/>
                <w:i/>
                <w:iCs/>
                <w:sz w:val="22"/>
                <w:szCs w:val="22"/>
              </w:rPr>
              <w:t>Slight problems</w:t>
            </w:r>
          </w:p>
        </w:tc>
        <w:tc>
          <w:tcPr>
            <w:tcW w:w="1329" w:type="dxa"/>
          </w:tcPr>
          <w:p w14:paraId="245C5421" w14:textId="77777777" w:rsidR="00B54D51" w:rsidRPr="00037AD4" w:rsidRDefault="00B54D51" w:rsidP="00401C67">
            <w:pPr>
              <w:rPr>
                <w:rFonts w:asciiTheme="minorHAnsi" w:hAnsiTheme="minorHAnsi" w:cstheme="minorHAnsi"/>
                <w:i/>
                <w:iCs/>
                <w:sz w:val="22"/>
                <w:szCs w:val="22"/>
              </w:rPr>
            </w:pPr>
            <w:r w:rsidRPr="00037AD4">
              <w:rPr>
                <w:rFonts w:asciiTheme="minorHAnsi" w:hAnsiTheme="minorHAnsi" w:cstheme="minorHAnsi"/>
                <w:i/>
                <w:iCs/>
                <w:sz w:val="22"/>
                <w:szCs w:val="22"/>
              </w:rPr>
              <w:t>Moderate problems</w:t>
            </w:r>
          </w:p>
        </w:tc>
        <w:tc>
          <w:tcPr>
            <w:tcW w:w="1323" w:type="dxa"/>
          </w:tcPr>
          <w:p w14:paraId="05143ADA" w14:textId="77777777" w:rsidR="00B54D51" w:rsidRPr="00037AD4" w:rsidRDefault="00B54D51" w:rsidP="00401C67">
            <w:pPr>
              <w:rPr>
                <w:rFonts w:asciiTheme="minorHAnsi" w:hAnsiTheme="minorHAnsi" w:cstheme="minorHAnsi"/>
                <w:i/>
                <w:iCs/>
                <w:sz w:val="22"/>
                <w:szCs w:val="22"/>
              </w:rPr>
            </w:pPr>
            <w:r w:rsidRPr="00037AD4">
              <w:rPr>
                <w:rFonts w:asciiTheme="minorHAnsi" w:hAnsiTheme="minorHAnsi" w:cstheme="minorHAnsi"/>
                <w:i/>
                <w:iCs/>
                <w:sz w:val="22"/>
                <w:szCs w:val="22"/>
              </w:rPr>
              <w:t>Severe problems</w:t>
            </w:r>
          </w:p>
        </w:tc>
        <w:tc>
          <w:tcPr>
            <w:tcW w:w="1751" w:type="dxa"/>
          </w:tcPr>
          <w:p w14:paraId="74227966" w14:textId="77777777" w:rsidR="00B54D51" w:rsidRPr="00037AD4" w:rsidRDefault="00B54D51" w:rsidP="00401C67">
            <w:pPr>
              <w:rPr>
                <w:rFonts w:asciiTheme="minorHAnsi" w:hAnsiTheme="minorHAnsi" w:cstheme="minorHAnsi"/>
                <w:i/>
                <w:iCs/>
                <w:sz w:val="22"/>
                <w:szCs w:val="22"/>
              </w:rPr>
            </w:pPr>
            <w:r w:rsidRPr="00037AD4">
              <w:rPr>
                <w:rFonts w:asciiTheme="minorHAnsi" w:hAnsiTheme="minorHAnsi" w:cstheme="minorHAnsi"/>
                <w:i/>
                <w:iCs/>
                <w:sz w:val="22"/>
                <w:szCs w:val="22"/>
              </w:rPr>
              <w:t xml:space="preserve">Unable/extreme problems </w:t>
            </w:r>
          </w:p>
        </w:tc>
      </w:tr>
      <w:tr w:rsidR="00B54D51" w:rsidRPr="00037AD4" w14:paraId="5B9007AF" w14:textId="77777777" w:rsidTr="00401C67">
        <w:trPr>
          <w:trHeight w:val="281"/>
        </w:trPr>
        <w:tc>
          <w:tcPr>
            <w:tcW w:w="1385" w:type="dxa"/>
          </w:tcPr>
          <w:p w14:paraId="0D6D304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Mobility</w:t>
            </w:r>
          </w:p>
        </w:tc>
        <w:tc>
          <w:tcPr>
            <w:tcW w:w="1283" w:type="dxa"/>
          </w:tcPr>
          <w:p w14:paraId="30E29E6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641 (56.3)</w:t>
            </w:r>
          </w:p>
        </w:tc>
        <w:tc>
          <w:tcPr>
            <w:tcW w:w="1323" w:type="dxa"/>
          </w:tcPr>
          <w:p w14:paraId="00E3207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397 (62.6)</w:t>
            </w:r>
          </w:p>
        </w:tc>
        <w:tc>
          <w:tcPr>
            <w:tcW w:w="1323" w:type="dxa"/>
          </w:tcPr>
          <w:p w14:paraId="24607F2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157 (24.8)</w:t>
            </w:r>
          </w:p>
        </w:tc>
        <w:tc>
          <w:tcPr>
            <w:tcW w:w="1329" w:type="dxa"/>
          </w:tcPr>
          <w:p w14:paraId="24FA7E1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60 (9.5)</w:t>
            </w:r>
          </w:p>
        </w:tc>
        <w:tc>
          <w:tcPr>
            <w:tcW w:w="1323" w:type="dxa"/>
          </w:tcPr>
          <w:p w14:paraId="38C420E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20 (3.1)</w:t>
            </w:r>
          </w:p>
        </w:tc>
        <w:tc>
          <w:tcPr>
            <w:tcW w:w="1751" w:type="dxa"/>
          </w:tcPr>
          <w:p w14:paraId="572FB06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w:t>
            </w:r>
          </w:p>
        </w:tc>
      </w:tr>
      <w:tr w:rsidR="00B54D51" w:rsidRPr="00037AD4" w14:paraId="711C7BF3" w14:textId="77777777" w:rsidTr="00401C67">
        <w:trPr>
          <w:trHeight w:val="281"/>
        </w:trPr>
        <w:tc>
          <w:tcPr>
            <w:tcW w:w="1385" w:type="dxa"/>
          </w:tcPr>
          <w:p w14:paraId="3F83A65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Self-care</w:t>
            </w:r>
          </w:p>
        </w:tc>
        <w:tc>
          <w:tcPr>
            <w:tcW w:w="1283" w:type="dxa"/>
          </w:tcPr>
          <w:p w14:paraId="3891CC7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853 (75.4)</w:t>
            </w:r>
          </w:p>
        </w:tc>
        <w:tc>
          <w:tcPr>
            <w:tcW w:w="1323" w:type="dxa"/>
          </w:tcPr>
          <w:p w14:paraId="4C5E088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483 (57.0)</w:t>
            </w:r>
          </w:p>
        </w:tc>
        <w:tc>
          <w:tcPr>
            <w:tcW w:w="1323" w:type="dxa"/>
          </w:tcPr>
          <w:p w14:paraId="4E79592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217 (25.6)</w:t>
            </w:r>
          </w:p>
        </w:tc>
        <w:tc>
          <w:tcPr>
            <w:tcW w:w="1329" w:type="dxa"/>
          </w:tcPr>
          <w:p w14:paraId="205E765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104 (12.3)</w:t>
            </w:r>
          </w:p>
        </w:tc>
        <w:tc>
          <w:tcPr>
            <w:tcW w:w="1323" w:type="dxa"/>
          </w:tcPr>
          <w:p w14:paraId="62EF293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34 (4.0)</w:t>
            </w:r>
          </w:p>
        </w:tc>
        <w:tc>
          <w:tcPr>
            <w:tcW w:w="1751" w:type="dxa"/>
          </w:tcPr>
          <w:p w14:paraId="0C0D30F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9 (1.1) </w:t>
            </w:r>
          </w:p>
        </w:tc>
      </w:tr>
      <w:tr w:rsidR="00B54D51" w:rsidRPr="00037AD4" w14:paraId="326DCF0E" w14:textId="77777777" w:rsidTr="00401C67">
        <w:trPr>
          <w:trHeight w:val="581"/>
        </w:trPr>
        <w:tc>
          <w:tcPr>
            <w:tcW w:w="1385" w:type="dxa"/>
          </w:tcPr>
          <w:p w14:paraId="6CCBFBA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Usual activities </w:t>
            </w:r>
          </w:p>
        </w:tc>
        <w:tc>
          <w:tcPr>
            <w:tcW w:w="1283" w:type="dxa"/>
          </w:tcPr>
          <w:p w14:paraId="688248E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646 (57.9)</w:t>
            </w:r>
          </w:p>
        </w:tc>
        <w:tc>
          <w:tcPr>
            <w:tcW w:w="1323" w:type="dxa"/>
          </w:tcPr>
          <w:p w14:paraId="69339CE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193 (30.2)</w:t>
            </w:r>
          </w:p>
        </w:tc>
        <w:tc>
          <w:tcPr>
            <w:tcW w:w="1323" w:type="dxa"/>
          </w:tcPr>
          <w:p w14:paraId="7C176C0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177 (27.7)</w:t>
            </w:r>
          </w:p>
        </w:tc>
        <w:tc>
          <w:tcPr>
            <w:tcW w:w="1329" w:type="dxa"/>
          </w:tcPr>
          <w:p w14:paraId="29997E5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169 (26.4)</w:t>
            </w:r>
          </w:p>
        </w:tc>
        <w:tc>
          <w:tcPr>
            <w:tcW w:w="1323" w:type="dxa"/>
          </w:tcPr>
          <w:p w14:paraId="009102C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74 (11.6)</w:t>
            </w:r>
          </w:p>
        </w:tc>
        <w:tc>
          <w:tcPr>
            <w:tcW w:w="1751" w:type="dxa"/>
          </w:tcPr>
          <w:p w14:paraId="5623B1E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26 (4.1) </w:t>
            </w:r>
          </w:p>
        </w:tc>
      </w:tr>
      <w:tr w:rsidR="00B54D51" w:rsidRPr="00037AD4" w14:paraId="65F4C926" w14:textId="77777777" w:rsidTr="00401C67">
        <w:trPr>
          <w:trHeight w:val="581"/>
        </w:trPr>
        <w:tc>
          <w:tcPr>
            <w:tcW w:w="1385" w:type="dxa"/>
          </w:tcPr>
          <w:p w14:paraId="39AD17F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Pain/ discomfort</w:t>
            </w:r>
          </w:p>
        </w:tc>
        <w:tc>
          <w:tcPr>
            <w:tcW w:w="1283" w:type="dxa"/>
          </w:tcPr>
          <w:p w14:paraId="407E1ED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647 (57.2)</w:t>
            </w:r>
          </w:p>
        </w:tc>
        <w:tc>
          <w:tcPr>
            <w:tcW w:w="1323" w:type="dxa"/>
          </w:tcPr>
          <w:p w14:paraId="41715D4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295 (46.1)</w:t>
            </w:r>
          </w:p>
        </w:tc>
        <w:tc>
          <w:tcPr>
            <w:tcW w:w="1323" w:type="dxa"/>
          </w:tcPr>
          <w:p w14:paraId="3514DB8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191 (29.8)</w:t>
            </w:r>
          </w:p>
        </w:tc>
        <w:tc>
          <w:tcPr>
            <w:tcW w:w="1329" w:type="dxa"/>
          </w:tcPr>
          <w:p w14:paraId="7C36258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122 (19.1)</w:t>
            </w:r>
          </w:p>
        </w:tc>
        <w:tc>
          <w:tcPr>
            <w:tcW w:w="1323" w:type="dxa"/>
          </w:tcPr>
          <w:p w14:paraId="444B80D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27 (4.2)</w:t>
            </w:r>
          </w:p>
        </w:tc>
        <w:tc>
          <w:tcPr>
            <w:tcW w:w="1751" w:type="dxa"/>
          </w:tcPr>
          <w:p w14:paraId="1F99AFA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5 (0.8) </w:t>
            </w:r>
          </w:p>
        </w:tc>
      </w:tr>
      <w:tr w:rsidR="00B54D51" w:rsidRPr="00037AD4" w14:paraId="01D5F379" w14:textId="77777777" w:rsidTr="00401C67">
        <w:trPr>
          <w:trHeight w:val="566"/>
        </w:trPr>
        <w:tc>
          <w:tcPr>
            <w:tcW w:w="1385" w:type="dxa"/>
          </w:tcPr>
          <w:p w14:paraId="7AD5A01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Anxiety/ depression</w:t>
            </w:r>
          </w:p>
        </w:tc>
        <w:tc>
          <w:tcPr>
            <w:tcW w:w="1283" w:type="dxa"/>
          </w:tcPr>
          <w:p w14:paraId="706B00F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673 (59.5)</w:t>
            </w:r>
          </w:p>
        </w:tc>
        <w:tc>
          <w:tcPr>
            <w:tcW w:w="1323" w:type="dxa"/>
          </w:tcPr>
          <w:p w14:paraId="541124E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301 (46.5)</w:t>
            </w:r>
          </w:p>
        </w:tc>
        <w:tc>
          <w:tcPr>
            <w:tcW w:w="1323" w:type="dxa"/>
          </w:tcPr>
          <w:p w14:paraId="30C180A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196 (29.4)</w:t>
            </w:r>
          </w:p>
        </w:tc>
        <w:tc>
          <w:tcPr>
            <w:tcW w:w="1329" w:type="dxa"/>
          </w:tcPr>
          <w:p w14:paraId="0A71F64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123 (18.4)</w:t>
            </w:r>
          </w:p>
        </w:tc>
        <w:tc>
          <w:tcPr>
            <w:tcW w:w="1323" w:type="dxa"/>
          </w:tcPr>
          <w:p w14:paraId="51024A6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37 (5.5)</w:t>
            </w:r>
          </w:p>
        </w:tc>
        <w:tc>
          <w:tcPr>
            <w:tcW w:w="1751" w:type="dxa"/>
          </w:tcPr>
          <w:p w14:paraId="5FEC286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1 (0.2) </w:t>
            </w:r>
          </w:p>
        </w:tc>
      </w:tr>
    </w:tbl>
    <w:p w14:paraId="07EA2175" w14:textId="77777777" w:rsidR="00B54D51" w:rsidRPr="00037AD4" w:rsidRDefault="00B54D51" w:rsidP="001D7ACE">
      <w:pPr>
        <w:rPr>
          <w:rFonts w:asciiTheme="minorHAnsi" w:hAnsiTheme="minorHAnsi" w:cstheme="minorHAnsi"/>
          <w:u w:val="single"/>
        </w:rPr>
      </w:pPr>
    </w:p>
    <w:p w14:paraId="3C123756" w14:textId="77777777" w:rsidR="00B54D51" w:rsidRPr="00037AD4" w:rsidRDefault="00B54D51" w:rsidP="001D7ACE">
      <w:pPr>
        <w:rPr>
          <w:rFonts w:asciiTheme="minorHAnsi" w:hAnsiTheme="minorHAnsi" w:cstheme="minorHAnsi"/>
          <w:u w:val="single"/>
        </w:rPr>
      </w:pPr>
    </w:p>
    <w:p w14:paraId="21E1A0B2" w14:textId="77777777" w:rsidR="00B54D51" w:rsidRPr="00037AD4" w:rsidRDefault="00B54D51" w:rsidP="001D7ACE">
      <w:pPr>
        <w:rPr>
          <w:rFonts w:asciiTheme="minorHAnsi" w:hAnsiTheme="minorHAnsi" w:cstheme="minorHAnsi"/>
          <w:u w:val="single"/>
        </w:rPr>
      </w:pPr>
    </w:p>
    <w:p w14:paraId="67DE9BA3" w14:textId="77777777" w:rsidR="00B54D51" w:rsidRPr="00037AD4" w:rsidRDefault="00B54D51" w:rsidP="001D7ACE">
      <w:pPr>
        <w:rPr>
          <w:rFonts w:asciiTheme="minorHAnsi" w:hAnsiTheme="minorHAnsi" w:cstheme="minorHAnsi"/>
          <w:u w:val="single"/>
        </w:rPr>
      </w:pPr>
    </w:p>
    <w:p w14:paraId="6205A749" w14:textId="77777777" w:rsidR="00B54D51" w:rsidRPr="00037AD4" w:rsidRDefault="00B54D51" w:rsidP="001D7ACE">
      <w:pPr>
        <w:rPr>
          <w:rFonts w:asciiTheme="minorHAnsi" w:hAnsiTheme="minorHAnsi" w:cstheme="minorHAnsi"/>
          <w:u w:val="single"/>
        </w:rPr>
      </w:pPr>
    </w:p>
    <w:p w14:paraId="0DEF8B04" w14:textId="77777777" w:rsidR="00B54D51" w:rsidRPr="00037AD4" w:rsidRDefault="00B54D51" w:rsidP="001D7ACE">
      <w:pPr>
        <w:rPr>
          <w:rFonts w:asciiTheme="minorHAnsi" w:hAnsiTheme="minorHAnsi" w:cstheme="minorHAnsi"/>
          <w:u w:val="single"/>
        </w:rPr>
      </w:pPr>
      <w:r w:rsidRPr="00037AD4">
        <w:rPr>
          <w:rFonts w:asciiTheme="minorHAnsi" w:hAnsiTheme="minorHAnsi" w:cstheme="minorHAnsi"/>
          <w:u w:val="single"/>
        </w:rPr>
        <w:lastRenderedPageBreak/>
        <w:t>Table A4.2c) EQ-5D dimension-level cross table, EPIC data (PwD-informal proxy)</w:t>
      </w:r>
    </w:p>
    <w:p w14:paraId="39B4D6B8" w14:textId="77777777" w:rsidR="00B54D51" w:rsidRPr="00037AD4" w:rsidRDefault="00B54D51" w:rsidP="001D7ACE">
      <w:pPr>
        <w:rPr>
          <w:rFonts w:asciiTheme="minorHAnsi" w:hAnsiTheme="minorHAnsi" w:cstheme="minorHAnsi"/>
          <w:u w:val="single"/>
        </w:rPr>
      </w:pPr>
    </w:p>
    <w:tbl>
      <w:tblPr>
        <w:tblStyle w:val="TableGrid"/>
        <w:tblW w:w="9718" w:type="dxa"/>
        <w:tblLook w:val="04A0" w:firstRow="1" w:lastRow="0" w:firstColumn="1" w:lastColumn="0" w:noHBand="0" w:noVBand="1"/>
      </w:tblPr>
      <w:tblGrid>
        <w:gridCol w:w="1391"/>
        <w:gridCol w:w="1276"/>
        <w:gridCol w:w="1319"/>
        <w:gridCol w:w="1319"/>
        <w:gridCol w:w="1325"/>
        <w:gridCol w:w="1319"/>
        <w:gridCol w:w="1769"/>
      </w:tblGrid>
      <w:tr w:rsidR="00B54D51" w:rsidRPr="00037AD4" w14:paraId="0A7E68E2" w14:textId="77777777" w:rsidTr="00401C67">
        <w:trPr>
          <w:trHeight w:val="1164"/>
        </w:trPr>
        <w:tc>
          <w:tcPr>
            <w:tcW w:w="1391" w:type="dxa"/>
            <w:vMerge w:val="restart"/>
          </w:tcPr>
          <w:p w14:paraId="699E2882" w14:textId="77777777" w:rsidR="00B54D51" w:rsidRPr="00037AD4" w:rsidRDefault="00B54D51" w:rsidP="00401C67">
            <w:pPr>
              <w:jc w:val="center"/>
              <w:rPr>
                <w:rFonts w:asciiTheme="minorHAnsi" w:hAnsiTheme="minorHAnsi" w:cstheme="minorHAnsi"/>
              </w:rPr>
            </w:pPr>
            <w:r w:rsidRPr="00037AD4">
              <w:rPr>
                <w:rFonts w:asciiTheme="minorHAnsi" w:hAnsiTheme="minorHAnsi" w:cstheme="minorHAnsi"/>
              </w:rPr>
              <w:t>Dimension</w:t>
            </w:r>
          </w:p>
        </w:tc>
        <w:tc>
          <w:tcPr>
            <w:tcW w:w="1276" w:type="dxa"/>
            <w:vMerge w:val="restart"/>
          </w:tcPr>
          <w:p w14:paraId="7384F0FE" w14:textId="77777777" w:rsidR="00B54D51" w:rsidRPr="00037AD4" w:rsidRDefault="00B54D51" w:rsidP="00401C67">
            <w:pPr>
              <w:jc w:val="center"/>
              <w:rPr>
                <w:rFonts w:asciiTheme="minorHAnsi" w:hAnsiTheme="minorHAnsi" w:cstheme="minorHAnsi"/>
              </w:rPr>
            </w:pPr>
            <w:r w:rsidRPr="00037AD4">
              <w:rPr>
                <w:rFonts w:asciiTheme="minorHAnsi" w:hAnsiTheme="minorHAnsi" w:cstheme="minorHAnsi"/>
              </w:rPr>
              <w:t>Self-rating perfect health</w:t>
            </w:r>
          </w:p>
          <w:p w14:paraId="4E1E4472" w14:textId="77777777" w:rsidR="00B54D51" w:rsidRPr="00037AD4" w:rsidRDefault="00B54D51" w:rsidP="00401C67">
            <w:pPr>
              <w:jc w:val="center"/>
              <w:rPr>
                <w:rFonts w:asciiTheme="minorHAnsi" w:hAnsiTheme="minorHAnsi" w:cstheme="minorHAnsi"/>
              </w:rPr>
            </w:pPr>
            <w:r w:rsidRPr="00037AD4">
              <w:rPr>
                <w:rFonts w:asciiTheme="minorHAnsi" w:hAnsiTheme="minorHAnsi" w:cstheme="minorHAnsi"/>
              </w:rPr>
              <w:t>n (%)</w:t>
            </w:r>
          </w:p>
        </w:tc>
        <w:tc>
          <w:tcPr>
            <w:tcW w:w="7051" w:type="dxa"/>
            <w:gridSpan w:val="5"/>
          </w:tcPr>
          <w:p w14:paraId="7A34B322" w14:textId="77777777" w:rsidR="00B54D51" w:rsidRPr="00037AD4" w:rsidRDefault="00B54D51" w:rsidP="00401C67">
            <w:pPr>
              <w:jc w:val="center"/>
              <w:rPr>
                <w:rFonts w:asciiTheme="minorHAnsi" w:hAnsiTheme="minorHAnsi" w:cstheme="minorHAnsi"/>
              </w:rPr>
            </w:pPr>
            <w:r w:rsidRPr="00037AD4">
              <w:rPr>
                <w:rFonts w:asciiTheme="minorHAnsi" w:hAnsiTheme="minorHAnsi" w:cstheme="minorHAnsi"/>
              </w:rPr>
              <w:t>Informal proxy rating</w:t>
            </w:r>
          </w:p>
          <w:p w14:paraId="52C92ADE" w14:textId="77777777" w:rsidR="00B54D51" w:rsidRPr="00037AD4" w:rsidRDefault="00B54D51" w:rsidP="00401C67">
            <w:pPr>
              <w:jc w:val="center"/>
              <w:rPr>
                <w:rFonts w:asciiTheme="minorHAnsi" w:hAnsiTheme="minorHAnsi" w:cstheme="minorHAnsi"/>
              </w:rPr>
            </w:pPr>
            <w:r w:rsidRPr="00037AD4">
              <w:rPr>
                <w:rFonts w:asciiTheme="minorHAnsi" w:hAnsiTheme="minorHAnsi" w:cstheme="minorHAnsi"/>
              </w:rPr>
              <w:t>n (%)</w:t>
            </w:r>
          </w:p>
        </w:tc>
      </w:tr>
      <w:tr w:rsidR="00B54D51" w:rsidRPr="00037AD4" w14:paraId="5C954853" w14:textId="77777777" w:rsidTr="00401C67">
        <w:trPr>
          <w:trHeight w:val="581"/>
        </w:trPr>
        <w:tc>
          <w:tcPr>
            <w:tcW w:w="1391" w:type="dxa"/>
            <w:vMerge/>
          </w:tcPr>
          <w:p w14:paraId="2E8A5E99" w14:textId="77777777" w:rsidR="00B54D51" w:rsidRPr="00037AD4" w:rsidRDefault="00B54D51" w:rsidP="00401C67">
            <w:pPr>
              <w:rPr>
                <w:rFonts w:asciiTheme="minorHAnsi" w:hAnsiTheme="minorHAnsi" w:cstheme="minorHAnsi"/>
              </w:rPr>
            </w:pPr>
          </w:p>
        </w:tc>
        <w:tc>
          <w:tcPr>
            <w:tcW w:w="1276" w:type="dxa"/>
            <w:vMerge/>
          </w:tcPr>
          <w:p w14:paraId="0D5BEBC7" w14:textId="77777777" w:rsidR="00B54D51" w:rsidRPr="00037AD4" w:rsidRDefault="00B54D51" w:rsidP="00401C67">
            <w:pPr>
              <w:rPr>
                <w:rFonts w:asciiTheme="minorHAnsi" w:hAnsiTheme="minorHAnsi" w:cstheme="minorHAnsi"/>
              </w:rPr>
            </w:pPr>
          </w:p>
        </w:tc>
        <w:tc>
          <w:tcPr>
            <w:tcW w:w="1319" w:type="dxa"/>
          </w:tcPr>
          <w:p w14:paraId="1A70DCC1" w14:textId="77777777" w:rsidR="00B54D51" w:rsidRPr="00037AD4" w:rsidRDefault="00B54D51" w:rsidP="00401C67">
            <w:pPr>
              <w:rPr>
                <w:rFonts w:asciiTheme="minorHAnsi" w:hAnsiTheme="minorHAnsi" w:cstheme="minorHAnsi"/>
                <w:i/>
                <w:iCs/>
                <w:sz w:val="22"/>
                <w:szCs w:val="22"/>
              </w:rPr>
            </w:pPr>
            <w:r w:rsidRPr="00037AD4">
              <w:rPr>
                <w:rFonts w:asciiTheme="minorHAnsi" w:hAnsiTheme="minorHAnsi" w:cstheme="minorHAnsi"/>
                <w:i/>
                <w:iCs/>
                <w:sz w:val="22"/>
                <w:szCs w:val="22"/>
              </w:rPr>
              <w:t>No problems</w:t>
            </w:r>
          </w:p>
        </w:tc>
        <w:tc>
          <w:tcPr>
            <w:tcW w:w="1319" w:type="dxa"/>
          </w:tcPr>
          <w:p w14:paraId="76D19913" w14:textId="77777777" w:rsidR="00B54D51" w:rsidRPr="00037AD4" w:rsidRDefault="00B54D51" w:rsidP="00401C67">
            <w:pPr>
              <w:rPr>
                <w:rFonts w:asciiTheme="minorHAnsi" w:hAnsiTheme="minorHAnsi" w:cstheme="minorHAnsi"/>
                <w:i/>
                <w:iCs/>
                <w:sz w:val="22"/>
                <w:szCs w:val="22"/>
              </w:rPr>
            </w:pPr>
            <w:r w:rsidRPr="00037AD4">
              <w:rPr>
                <w:rFonts w:asciiTheme="minorHAnsi" w:hAnsiTheme="minorHAnsi" w:cstheme="minorHAnsi"/>
                <w:i/>
                <w:iCs/>
                <w:sz w:val="22"/>
                <w:szCs w:val="22"/>
              </w:rPr>
              <w:t>Slight problems</w:t>
            </w:r>
          </w:p>
        </w:tc>
        <w:tc>
          <w:tcPr>
            <w:tcW w:w="1325" w:type="dxa"/>
          </w:tcPr>
          <w:p w14:paraId="61EA5A3F" w14:textId="77777777" w:rsidR="00B54D51" w:rsidRPr="00037AD4" w:rsidRDefault="00B54D51" w:rsidP="00401C67">
            <w:pPr>
              <w:rPr>
                <w:rFonts w:asciiTheme="minorHAnsi" w:hAnsiTheme="minorHAnsi" w:cstheme="minorHAnsi"/>
                <w:i/>
                <w:iCs/>
                <w:sz w:val="22"/>
                <w:szCs w:val="22"/>
              </w:rPr>
            </w:pPr>
            <w:r w:rsidRPr="00037AD4">
              <w:rPr>
                <w:rFonts w:asciiTheme="minorHAnsi" w:hAnsiTheme="minorHAnsi" w:cstheme="minorHAnsi"/>
                <w:i/>
                <w:iCs/>
                <w:sz w:val="22"/>
                <w:szCs w:val="22"/>
              </w:rPr>
              <w:t>Moderate problems</w:t>
            </w:r>
          </w:p>
        </w:tc>
        <w:tc>
          <w:tcPr>
            <w:tcW w:w="1319" w:type="dxa"/>
          </w:tcPr>
          <w:p w14:paraId="769515E6" w14:textId="77777777" w:rsidR="00B54D51" w:rsidRPr="00037AD4" w:rsidRDefault="00B54D51" w:rsidP="00401C67">
            <w:pPr>
              <w:rPr>
                <w:rFonts w:asciiTheme="minorHAnsi" w:hAnsiTheme="minorHAnsi" w:cstheme="minorHAnsi"/>
                <w:i/>
                <w:iCs/>
                <w:sz w:val="22"/>
                <w:szCs w:val="22"/>
              </w:rPr>
            </w:pPr>
            <w:r w:rsidRPr="00037AD4">
              <w:rPr>
                <w:rFonts w:asciiTheme="minorHAnsi" w:hAnsiTheme="minorHAnsi" w:cstheme="minorHAnsi"/>
                <w:i/>
                <w:iCs/>
                <w:sz w:val="22"/>
                <w:szCs w:val="22"/>
              </w:rPr>
              <w:t>Severe problems</w:t>
            </w:r>
          </w:p>
        </w:tc>
        <w:tc>
          <w:tcPr>
            <w:tcW w:w="1769" w:type="dxa"/>
          </w:tcPr>
          <w:p w14:paraId="507611CA" w14:textId="77777777" w:rsidR="00B54D51" w:rsidRPr="00037AD4" w:rsidRDefault="00B54D51" w:rsidP="00401C67">
            <w:pPr>
              <w:rPr>
                <w:rFonts w:asciiTheme="minorHAnsi" w:hAnsiTheme="minorHAnsi" w:cstheme="minorHAnsi"/>
                <w:i/>
                <w:iCs/>
                <w:sz w:val="22"/>
                <w:szCs w:val="22"/>
              </w:rPr>
            </w:pPr>
            <w:r w:rsidRPr="00037AD4">
              <w:rPr>
                <w:rFonts w:asciiTheme="minorHAnsi" w:hAnsiTheme="minorHAnsi" w:cstheme="minorHAnsi"/>
                <w:i/>
                <w:iCs/>
                <w:sz w:val="22"/>
                <w:szCs w:val="22"/>
              </w:rPr>
              <w:t xml:space="preserve">Unable/extreme problems </w:t>
            </w:r>
          </w:p>
        </w:tc>
      </w:tr>
      <w:tr w:rsidR="00B54D51" w:rsidRPr="00037AD4" w14:paraId="70BEF290" w14:textId="77777777" w:rsidTr="00401C67">
        <w:trPr>
          <w:trHeight w:val="281"/>
        </w:trPr>
        <w:tc>
          <w:tcPr>
            <w:tcW w:w="1391" w:type="dxa"/>
          </w:tcPr>
          <w:p w14:paraId="66047F1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Mobility</w:t>
            </w:r>
          </w:p>
        </w:tc>
        <w:tc>
          <w:tcPr>
            <w:tcW w:w="1276" w:type="dxa"/>
          </w:tcPr>
          <w:p w14:paraId="558CF85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462 (57.6)</w:t>
            </w:r>
          </w:p>
        </w:tc>
        <w:tc>
          <w:tcPr>
            <w:tcW w:w="1319" w:type="dxa"/>
          </w:tcPr>
          <w:p w14:paraId="1C1EF62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25 (27.2)</w:t>
            </w:r>
          </w:p>
        </w:tc>
        <w:tc>
          <w:tcPr>
            <w:tcW w:w="1319" w:type="dxa"/>
          </w:tcPr>
          <w:p w14:paraId="6AD6B90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15 (16.3)</w:t>
            </w:r>
          </w:p>
        </w:tc>
        <w:tc>
          <w:tcPr>
            <w:tcW w:w="1325" w:type="dxa"/>
          </w:tcPr>
          <w:p w14:paraId="4A85CAA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22 (23.9)</w:t>
            </w:r>
          </w:p>
        </w:tc>
        <w:tc>
          <w:tcPr>
            <w:tcW w:w="1319" w:type="dxa"/>
          </w:tcPr>
          <w:p w14:paraId="09BBC1E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17 (18.5)</w:t>
            </w:r>
          </w:p>
        </w:tc>
        <w:tc>
          <w:tcPr>
            <w:tcW w:w="1769" w:type="dxa"/>
          </w:tcPr>
          <w:p w14:paraId="030BA4D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13 (14.1)</w:t>
            </w:r>
          </w:p>
        </w:tc>
      </w:tr>
      <w:tr w:rsidR="00B54D51" w:rsidRPr="00037AD4" w14:paraId="49F28957" w14:textId="77777777" w:rsidTr="00401C67">
        <w:trPr>
          <w:trHeight w:val="281"/>
        </w:trPr>
        <w:tc>
          <w:tcPr>
            <w:tcW w:w="1391" w:type="dxa"/>
          </w:tcPr>
          <w:p w14:paraId="686C7C3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Self-care</w:t>
            </w:r>
          </w:p>
        </w:tc>
        <w:tc>
          <w:tcPr>
            <w:tcW w:w="1276" w:type="dxa"/>
          </w:tcPr>
          <w:p w14:paraId="24E55AB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538 (67.2)</w:t>
            </w:r>
          </w:p>
        </w:tc>
        <w:tc>
          <w:tcPr>
            <w:tcW w:w="1319" w:type="dxa"/>
          </w:tcPr>
          <w:p w14:paraId="0DD5DC1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16 (15.1)</w:t>
            </w:r>
          </w:p>
        </w:tc>
        <w:tc>
          <w:tcPr>
            <w:tcW w:w="1319" w:type="dxa"/>
          </w:tcPr>
          <w:p w14:paraId="6068843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19 (17.9)</w:t>
            </w:r>
          </w:p>
        </w:tc>
        <w:tc>
          <w:tcPr>
            <w:tcW w:w="1325" w:type="dxa"/>
          </w:tcPr>
          <w:p w14:paraId="24A51E7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29 (27.4)</w:t>
            </w:r>
          </w:p>
        </w:tc>
        <w:tc>
          <w:tcPr>
            <w:tcW w:w="1319" w:type="dxa"/>
          </w:tcPr>
          <w:p w14:paraId="6D8F08C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8 (7.5)</w:t>
            </w:r>
          </w:p>
        </w:tc>
        <w:tc>
          <w:tcPr>
            <w:tcW w:w="1769" w:type="dxa"/>
          </w:tcPr>
          <w:p w14:paraId="234FDD8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34 (32.1) </w:t>
            </w:r>
          </w:p>
        </w:tc>
      </w:tr>
      <w:tr w:rsidR="00B54D51" w:rsidRPr="00037AD4" w14:paraId="6B2524F1" w14:textId="77777777" w:rsidTr="00401C67">
        <w:trPr>
          <w:trHeight w:val="581"/>
        </w:trPr>
        <w:tc>
          <w:tcPr>
            <w:tcW w:w="1391" w:type="dxa"/>
          </w:tcPr>
          <w:p w14:paraId="788BADC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Usual activities </w:t>
            </w:r>
          </w:p>
        </w:tc>
        <w:tc>
          <w:tcPr>
            <w:tcW w:w="1276" w:type="dxa"/>
          </w:tcPr>
          <w:p w14:paraId="219605E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601 (76.5)</w:t>
            </w:r>
          </w:p>
        </w:tc>
        <w:tc>
          <w:tcPr>
            <w:tcW w:w="1319" w:type="dxa"/>
          </w:tcPr>
          <w:p w14:paraId="136D56B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40 (34.5)</w:t>
            </w:r>
          </w:p>
        </w:tc>
        <w:tc>
          <w:tcPr>
            <w:tcW w:w="1319" w:type="dxa"/>
          </w:tcPr>
          <w:p w14:paraId="64A3B41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11 (9.5)</w:t>
            </w:r>
          </w:p>
        </w:tc>
        <w:tc>
          <w:tcPr>
            <w:tcW w:w="1325" w:type="dxa"/>
          </w:tcPr>
          <w:p w14:paraId="7740D6D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19 (16.4)</w:t>
            </w:r>
          </w:p>
        </w:tc>
        <w:tc>
          <w:tcPr>
            <w:tcW w:w="1319" w:type="dxa"/>
          </w:tcPr>
          <w:p w14:paraId="0D7F7D1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8 (6.9)</w:t>
            </w:r>
          </w:p>
        </w:tc>
        <w:tc>
          <w:tcPr>
            <w:tcW w:w="1769" w:type="dxa"/>
          </w:tcPr>
          <w:p w14:paraId="6EEF3DD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38 (32.7) </w:t>
            </w:r>
          </w:p>
        </w:tc>
      </w:tr>
      <w:tr w:rsidR="00B54D51" w:rsidRPr="00037AD4" w14:paraId="74305B1B" w14:textId="77777777" w:rsidTr="00401C67">
        <w:trPr>
          <w:trHeight w:val="581"/>
        </w:trPr>
        <w:tc>
          <w:tcPr>
            <w:tcW w:w="1391" w:type="dxa"/>
          </w:tcPr>
          <w:p w14:paraId="0B0733D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Pain/ discomfort</w:t>
            </w:r>
          </w:p>
        </w:tc>
        <w:tc>
          <w:tcPr>
            <w:tcW w:w="1276" w:type="dxa"/>
          </w:tcPr>
          <w:p w14:paraId="2E5D073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579 (71.9)</w:t>
            </w:r>
          </w:p>
        </w:tc>
        <w:tc>
          <w:tcPr>
            <w:tcW w:w="1319" w:type="dxa"/>
          </w:tcPr>
          <w:p w14:paraId="41EB8F3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50 (43.9)</w:t>
            </w:r>
          </w:p>
        </w:tc>
        <w:tc>
          <w:tcPr>
            <w:tcW w:w="1319" w:type="dxa"/>
          </w:tcPr>
          <w:p w14:paraId="04E22BF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39 (34.2)</w:t>
            </w:r>
          </w:p>
        </w:tc>
        <w:tc>
          <w:tcPr>
            <w:tcW w:w="1325" w:type="dxa"/>
          </w:tcPr>
          <w:p w14:paraId="73BC72C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20 (17.5)</w:t>
            </w:r>
          </w:p>
        </w:tc>
        <w:tc>
          <w:tcPr>
            <w:tcW w:w="1319" w:type="dxa"/>
          </w:tcPr>
          <w:p w14:paraId="1F8CE96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3 (2.6)</w:t>
            </w:r>
          </w:p>
        </w:tc>
        <w:tc>
          <w:tcPr>
            <w:tcW w:w="1769" w:type="dxa"/>
          </w:tcPr>
          <w:p w14:paraId="7BE3FB6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2 (1.8) </w:t>
            </w:r>
          </w:p>
        </w:tc>
      </w:tr>
      <w:tr w:rsidR="00B54D51" w:rsidRPr="00037AD4" w14:paraId="07614EFD" w14:textId="77777777" w:rsidTr="00401C67">
        <w:trPr>
          <w:trHeight w:val="566"/>
        </w:trPr>
        <w:tc>
          <w:tcPr>
            <w:tcW w:w="1391" w:type="dxa"/>
          </w:tcPr>
          <w:p w14:paraId="7E24201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Anxiety/ depression</w:t>
            </w:r>
          </w:p>
        </w:tc>
        <w:tc>
          <w:tcPr>
            <w:tcW w:w="1276" w:type="dxa"/>
          </w:tcPr>
          <w:p w14:paraId="4AF08B0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614 (77.5)</w:t>
            </w:r>
          </w:p>
        </w:tc>
        <w:tc>
          <w:tcPr>
            <w:tcW w:w="1319" w:type="dxa"/>
          </w:tcPr>
          <w:p w14:paraId="0912F9B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60 (55.6)</w:t>
            </w:r>
          </w:p>
        </w:tc>
        <w:tc>
          <w:tcPr>
            <w:tcW w:w="1319" w:type="dxa"/>
          </w:tcPr>
          <w:p w14:paraId="3803B23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27 (25.0)</w:t>
            </w:r>
          </w:p>
        </w:tc>
        <w:tc>
          <w:tcPr>
            <w:tcW w:w="1325" w:type="dxa"/>
          </w:tcPr>
          <w:p w14:paraId="00D8805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16 (14.8)</w:t>
            </w:r>
          </w:p>
        </w:tc>
        <w:tc>
          <w:tcPr>
            <w:tcW w:w="1319" w:type="dxa"/>
          </w:tcPr>
          <w:p w14:paraId="0CC017F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 (1.8)</w:t>
            </w:r>
          </w:p>
        </w:tc>
        <w:tc>
          <w:tcPr>
            <w:tcW w:w="1769" w:type="dxa"/>
          </w:tcPr>
          <w:p w14:paraId="4065405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3 (2.8)</w:t>
            </w:r>
          </w:p>
        </w:tc>
      </w:tr>
    </w:tbl>
    <w:p w14:paraId="3B1FFCC1" w14:textId="77777777" w:rsidR="00B54D51" w:rsidRPr="00037AD4" w:rsidRDefault="00B54D51" w:rsidP="001D7ACE">
      <w:pPr>
        <w:rPr>
          <w:rFonts w:asciiTheme="minorHAnsi" w:hAnsiTheme="minorHAnsi" w:cstheme="minorHAnsi"/>
          <w:u w:val="single"/>
        </w:rPr>
      </w:pPr>
    </w:p>
    <w:p w14:paraId="55303E78" w14:textId="77777777" w:rsidR="00B54D51" w:rsidRPr="00037AD4" w:rsidRDefault="00B54D51" w:rsidP="001D7ACE">
      <w:pPr>
        <w:rPr>
          <w:rFonts w:asciiTheme="minorHAnsi" w:hAnsiTheme="minorHAnsi" w:cstheme="minorHAnsi"/>
          <w:u w:val="single"/>
        </w:rPr>
      </w:pPr>
      <w:r w:rsidRPr="00037AD4">
        <w:rPr>
          <w:rFonts w:asciiTheme="minorHAnsi" w:hAnsiTheme="minorHAnsi" w:cstheme="minorHAnsi"/>
          <w:u w:val="single"/>
        </w:rPr>
        <w:t>Table A4.2d) EQ-5D dimension-level cross table, EPIC data (PwD-staff proxy)</w:t>
      </w:r>
    </w:p>
    <w:p w14:paraId="36D970F0" w14:textId="77777777" w:rsidR="00B54D51" w:rsidRPr="00037AD4" w:rsidRDefault="00B54D51" w:rsidP="001D7ACE">
      <w:pPr>
        <w:rPr>
          <w:rFonts w:asciiTheme="minorHAnsi" w:hAnsiTheme="minorHAnsi" w:cstheme="minorHAnsi"/>
          <w:u w:val="single"/>
        </w:rPr>
      </w:pPr>
    </w:p>
    <w:tbl>
      <w:tblPr>
        <w:tblStyle w:val="TableGrid"/>
        <w:tblW w:w="9718" w:type="dxa"/>
        <w:tblLook w:val="04A0" w:firstRow="1" w:lastRow="0" w:firstColumn="1" w:lastColumn="0" w:noHBand="0" w:noVBand="1"/>
      </w:tblPr>
      <w:tblGrid>
        <w:gridCol w:w="1385"/>
        <w:gridCol w:w="1283"/>
        <w:gridCol w:w="1323"/>
        <w:gridCol w:w="1323"/>
        <w:gridCol w:w="1329"/>
        <w:gridCol w:w="1323"/>
        <w:gridCol w:w="1752"/>
      </w:tblGrid>
      <w:tr w:rsidR="00B54D51" w:rsidRPr="00037AD4" w14:paraId="124B5229" w14:textId="77777777" w:rsidTr="00401C67">
        <w:trPr>
          <w:trHeight w:val="1164"/>
        </w:trPr>
        <w:tc>
          <w:tcPr>
            <w:tcW w:w="1385" w:type="dxa"/>
            <w:vMerge w:val="restart"/>
          </w:tcPr>
          <w:p w14:paraId="4ECE7DE1" w14:textId="77777777" w:rsidR="00B54D51" w:rsidRPr="00037AD4" w:rsidRDefault="00B54D51" w:rsidP="00401C67">
            <w:pPr>
              <w:jc w:val="center"/>
              <w:rPr>
                <w:rFonts w:asciiTheme="minorHAnsi" w:hAnsiTheme="minorHAnsi" w:cstheme="minorHAnsi"/>
              </w:rPr>
            </w:pPr>
            <w:r w:rsidRPr="00037AD4">
              <w:rPr>
                <w:rFonts w:asciiTheme="minorHAnsi" w:hAnsiTheme="minorHAnsi" w:cstheme="minorHAnsi"/>
              </w:rPr>
              <w:t>Dimension</w:t>
            </w:r>
          </w:p>
        </w:tc>
        <w:tc>
          <w:tcPr>
            <w:tcW w:w="1283" w:type="dxa"/>
            <w:vMerge w:val="restart"/>
          </w:tcPr>
          <w:p w14:paraId="62C000A5" w14:textId="77777777" w:rsidR="00B54D51" w:rsidRPr="00037AD4" w:rsidRDefault="00B54D51" w:rsidP="00401C67">
            <w:pPr>
              <w:jc w:val="center"/>
              <w:rPr>
                <w:rFonts w:asciiTheme="minorHAnsi" w:hAnsiTheme="minorHAnsi" w:cstheme="minorHAnsi"/>
              </w:rPr>
            </w:pPr>
            <w:r w:rsidRPr="00037AD4">
              <w:rPr>
                <w:rFonts w:asciiTheme="minorHAnsi" w:hAnsiTheme="minorHAnsi" w:cstheme="minorHAnsi"/>
              </w:rPr>
              <w:t>Self-rating perfect health</w:t>
            </w:r>
          </w:p>
          <w:p w14:paraId="7AE5A6F5" w14:textId="77777777" w:rsidR="00B54D51" w:rsidRPr="00037AD4" w:rsidRDefault="00B54D51" w:rsidP="00401C67">
            <w:pPr>
              <w:jc w:val="center"/>
              <w:rPr>
                <w:rFonts w:asciiTheme="minorHAnsi" w:hAnsiTheme="minorHAnsi" w:cstheme="minorHAnsi"/>
              </w:rPr>
            </w:pPr>
            <w:r w:rsidRPr="00037AD4">
              <w:rPr>
                <w:rFonts w:asciiTheme="minorHAnsi" w:hAnsiTheme="minorHAnsi" w:cstheme="minorHAnsi"/>
              </w:rPr>
              <w:t>n (%)</w:t>
            </w:r>
          </w:p>
        </w:tc>
        <w:tc>
          <w:tcPr>
            <w:tcW w:w="7050" w:type="dxa"/>
            <w:gridSpan w:val="5"/>
          </w:tcPr>
          <w:p w14:paraId="57431038" w14:textId="77777777" w:rsidR="00B54D51" w:rsidRPr="00037AD4" w:rsidRDefault="00B54D51" w:rsidP="00401C67">
            <w:pPr>
              <w:jc w:val="center"/>
              <w:rPr>
                <w:rFonts w:asciiTheme="minorHAnsi" w:hAnsiTheme="minorHAnsi" w:cstheme="minorHAnsi"/>
              </w:rPr>
            </w:pPr>
            <w:r w:rsidRPr="00037AD4">
              <w:rPr>
                <w:rFonts w:asciiTheme="minorHAnsi" w:hAnsiTheme="minorHAnsi" w:cstheme="minorHAnsi"/>
              </w:rPr>
              <w:t>Staff proxy rating</w:t>
            </w:r>
          </w:p>
          <w:p w14:paraId="42D22111" w14:textId="77777777" w:rsidR="00B54D51" w:rsidRPr="00037AD4" w:rsidRDefault="00B54D51" w:rsidP="00401C67">
            <w:pPr>
              <w:jc w:val="center"/>
              <w:rPr>
                <w:rFonts w:asciiTheme="minorHAnsi" w:hAnsiTheme="minorHAnsi" w:cstheme="minorHAnsi"/>
              </w:rPr>
            </w:pPr>
            <w:r w:rsidRPr="00037AD4">
              <w:rPr>
                <w:rFonts w:asciiTheme="minorHAnsi" w:hAnsiTheme="minorHAnsi" w:cstheme="minorHAnsi"/>
              </w:rPr>
              <w:t>n (%)</w:t>
            </w:r>
          </w:p>
        </w:tc>
      </w:tr>
      <w:tr w:rsidR="00B54D51" w:rsidRPr="00037AD4" w14:paraId="105611D6" w14:textId="77777777" w:rsidTr="00401C67">
        <w:trPr>
          <w:trHeight w:val="581"/>
        </w:trPr>
        <w:tc>
          <w:tcPr>
            <w:tcW w:w="1385" w:type="dxa"/>
            <w:vMerge/>
          </w:tcPr>
          <w:p w14:paraId="6E9B9F39" w14:textId="77777777" w:rsidR="00B54D51" w:rsidRPr="00037AD4" w:rsidRDefault="00B54D51" w:rsidP="00401C67">
            <w:pPr>
              <w:rPr>
                <w:rFonts w:asciiTheme="minorHAnsi" w:hAnsiTheme="minorHAnsi" w:cstheme="minorHAnsi"/>
              </w:rPr>
            </w:pPr>
          </w:p>
        </w:tc>
        <w:tc>
          <w:tcPr>
            <w:tcW w:w="1283" w:type="dxa"/>
            <w:vMerge/>
          </w:tcPr>
          <w:p w14:paraId="63382D9D" w14:textId="77777777" w:rsidR="00B54D51" w:rsidRPr="00037AD4" w:rsidRDefault="00B54D51" w:rsidP="00401C67">
            <w:pPr>
              <w:rPr>
                <w:rFonts w:asciiTheme="minorHAnsi" w:hAnsiTheme="minorHAnsi" w:cstheme="minorHAnsi"/>
              </w:rPr>
            </w:pPr>
          </w:p>
        </w:tc>
        <w:tc>
          <w:tcPr>
            <w:tcW w:w="1323" w:type="dxa"/>
          </w:tcPr>
          <w:p w14:paraId="7D3ACD0D" w14:textId="77777777" w:rsidR="00B54D51" w:rsidRPr="00037AD4" w:rsidRDefault="00B54D51" w:rsidP="00401C67">
            <w:pPr>
              <w:rPr>
                <w:rFonts w:asciiTheme="minorHAnsi" w:hAnsiTheme="minorHAnsi" w:cstheme="minorHAnsi"/>
                <w:i/>
                <w:iCs/>
                <w:sz w:val="22"/>
                <w:szCs w:val="22"/>
              </w:rPr>
            </w:pPr>
            <w:r w:rsidRPr="00037AD4">
              <w:rPr>
                <w:rFonts w:asciiTheme="minorHAnsi" w:hAnsiTheme="minorHAnsi" w:cstheme="minorHAnsi"/>
                <w:i/>
                <w:iCs/>
                <w:sz w:val="22"/>
                <w:szCs w:val="22"/>
              </w:rPr>
              <w:t>No problems</w:t>
            </w:r>
          </w:p>
        </w:tc>
        <w:tc>
          <w:tcPr>
            <w:tcW w:w="1323" w:type="dxa"/>
          </w:tcPr>
          <w:p w14:paraId="53D976F0" w14:textId="77777777" w:rsidR="00B54D51" w:rsidRPr="00037AD4" w:rsidRDefault="00B54D51" w:rsidP="00401C67">
            <w:pPr>
              <w:rPr>
                <w:rFonts w:asciiTheme="minorHAnsi" w:hAnsiTheme="minorHAnsi" w:cstheme="minorHAnsi"/>
                <w:i/>
                <w:iCs/>
                <w:sz w:val="22"/>
                <w:szCs w:val="22"/>
              </w:rPr>
            </w:pPr>
            <w:r w:rsidRPr="00037AD4">
              <w:rPr>
                <w:rFonts w:asciiTheme="minorHAnsi" w:hAnsiTheme="minorHAnsi" w:cstheme="minorHAnsi"/>
                <w:i/>
                <w:iCs/>
                <w:sz w:val="22"/>
                <w:szCs w:val="22"/>
              </w:rPr>
              <w:t>Slight problems</w:t>
            </w:r>
          </w:p>
        </w:tc>
        <w:tc>
          <w:tcPr>
            <w:tcW w:w="1329" w:type="dxa"/>
          </w:tcPr>
          <w:p w14:paraId="58B4C1E8" w14:textId="77777777" w:rsidR="00B54D51" w:rsidRPr="00037AD4" w:rsidRDefault="00B54D51" w:rsidP="00401C67">
            <w:pPr>
              <w:rPr>
                <w:rFonts w:asciiTheme="minorHAnsi" w:hAnsiTheme="minorHAnsi" w:cstheme="minorHAnsi"/>
                <w:i/>
                <w:iCs/>
                <w:sz w:val="22"/>
                <w:szCs w:val="22"/>
              </w:rPr>
            </w:pPr>
            <w:r w:rsidRPr="00037AD4">
              <w:rPr>
                <w:rFonts w:asciiTheme="minorHAnsi" w:hAnsiTheme="minorHAnsi" w:cstheme="minorHAnsi"/>
                <w:i/>
                <w:iCs/>
                <w:sz w:val="22"/>
                <w:szCs w:val="22"/>
              </w:rPr>
              <w:t>Moderate problems</w:t>
            </w:r>
          </w:p>
        </w:tc>
        <w:tc>
          <w:tcPr>
            <w:tcW w:w="1323" w:type="dxa"/>
          </w:tcPr>
          <w:p w14:paraId="297FD0A0" w14:textId="77777777" w:rsidR="00B54D51" w:rsidRPr="00037AD4" w:rsidRDefault="00B54D51" w:rsidP="00401C67">
            <w:pPr>
              <w:rPr>
                <w:rFonts w:asciiTheme="minorHAnsi" w:hAnsiTheme="minorHAnsi" w:cstheme="minorHAnsi"/>
                <w:i/>
                <w:iCs/>
                <w:sz w:val="22"/>
                <w:szCs w:val="22"/>
              </w:rPr>
            </w:pPr>
            <w:r w:rsidRPr="00037AD4">
              <w:rPr>
                <w:rFonts w:asciiTheme="minorHAnsi" w:hAnsiTheme="minorHAnsi" w:cstheme="minorHAnsi"/>
                <w:i/>
                <w:iCs/>
                <w:sz w:val="22"/>
                <w:szCs w:val="22"/>
              </w:rPr>
              <w:t>Severe problems</w:t>
            </w:r>
          </w:p>
        </w:tc>
        <w:tc>
          <w:tcPr>
            <w:tcW w:w="1751" w:type="dxa"/>
          </w:tcPr>
          <w:p w14:paraId="277360D2" w14:textId="77777777" w:rsidR="00B54D51" w:rsidRPr="00037AD4" w:rsidRDefault="00B54D51" w:rsidP="00401C67">
            <w:pPr>
              <w:rPr>
                <w:rFonts w:asciiTheme="minorHAnsi" w:hAnsiTheme="minorHAnsi" w:cstheme="minorHAnsi"/>
                <w:i/>
                <w:iCs/>
                <w:sz w:val="22"/>
                <w:szCs w:val="22"/>
              </w:rPr>
            </w:pPr>
            <w:r w:rsidRPr="00037AD4">
              <w:rPr>
                <w:rFonts w:asciiTheme="minorHAnsi" w:hAnsiTheme="minorHAnsi" w:cstheme="minorHAnsi"/>
                <w:i/>
                <w:iCs/>
                <w:sz w:val="22"/>
                <w:szCs w:val="22"/>
              </w:rPr>
              <w:t xml:space="preserve">Unable/extreme problems </w:t>
            </w:r>
          </w:p>
        </w:tc>
      </w:tr>
      <w:tr w:rsidR="00B54D51" w:rsidRPr="00037AD4" w14:paraId="569E4063" w14:textId="77777777" w:rsidTr="00401C67">
        <w:trPr>
          <w:trHeight w:val="281"/>
        </w:trPr>
        <w:tc>
          <w:tcPr>
            <w:tcW w:w="1385" w:type="dxa"/>
          </w:tcPr>
          <w:p w14:paraId="50F7056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Mobility</w:t>
            </w:r>
          </w:p>
        </w:tc>
        <w:tc>
          <w:tcPr>
            <w:tcW w:w="1283" w:type="dxa"/>
          </w:tcPr>
          <w:p w14:paraId="2F96FEE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462 (57.6)</w:t>
            </w:r>
          </w:p>
        </w:tc>
        <w:tc>
          <w:tcPr>
            <w:tcW w:w="1323" w:type="dxa"/>
          </w:tcPr>
          <w:p w14:paraId="4EBDF6D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235 (50.9)</w:t>
            </w:r>
          </w:p>
        </w:tc>
        <w:tc>
          <w:tcPr>
            <w:tcW w:w="1323" w:type="dxa"/>
          </w:tcPr>
          <w:p w14:paraId="68B3EA9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85 (18.4)</w:t>
            </w:r>
          </w:p>
        </w:tc>
        <w:tc>
          <w:tcPr>
            <w:tcW w:w="1329" w:type="dxa"/>
          </w:tcPr>
          <w:p w14:paraId="593BF4E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41 (8.9)</w:t>
            </w:r>
          </w:p>
        </w:tc>
        <w:tc>
          <w:tcPr>
            <w:tcW w:w="1323" w:type="dxa"/>
          </w:tcPr>
          <w:p w14:paraId="6C2E3AE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29 (6.3)</w:t>
            </w:r>
          </w:p>
        </w:tc>
        <w:tc>
          <w:tcPr>
            <w:tcW w:w="1751" w:type="dxa"/>
          </w:tcPr>
          <w:p w14:paraId="4496574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72 (15.6)</w:t>
            </w:r>
          </w:p>
        </w:tc>
      </w:tr>
      <w:tr w:rsidR="00B54D51" w:rsidRPr="00037AD4" w14:paraId="2BED55C6" w14:textId="77777777" w:rsidTr="00401C67">
        <w:trPr>
          <w:trHeight w:val="281"/>
        </w:trPr>
        <w:tc>
          <w:tcPr>
            <w:tcW w:w="1385" w:type="dxa"/>
          </w:tcPr>
          <w:p w14:paraId="101905C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Self-care</w:t>
            </w:r>
          </w:p>
        </w:tc>
        <w:tc>
          <w:tcPr>
            <w:tcW w:w="1283" w:type="dxa"/>
          </w:tcPr>
          <w:p w14:paraId="2AFEBD9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538 (67.2)</w:t>
            </w:r>
          </w:p>
        </w:tc>
        <w:tc>
          <w:tcPr>
            <w:tcW w:w="1323" w:type="dxa"/>
          </w:tcPr>
          <w:p w14:paraId="09BD1D9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125 (23.3)</w:t>
            </w:r>
          </w:p>
        </w:tc>
        <w:tc>
          <w:tcPr>
            <w:tcW w:w="1323" w:type="dxa"/>
          </w:tcPr>
          <w:p w14:paraId="3724A60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99 (18.4)</w:t>
            </w:r>
          </w:p>
        </w:tc>
        <w:tc>
          <w:tcPr>
            <w:tcW w:w="1329" w:type="dxa"/>
          </w:tcPr>
          <w:p w14:paraId="140276F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96 (17.9)</w:t>
            </w:r>
          </w:p>
        </w:tc>
        <w:tc>
          <w:tcPr>
            <w:tcW w:w="1323" w:type="dxa"/>
          </w:tcPr>
          <w:p w14:paraId="3D9BD24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40 (7.4)</w:t>
            </w:r>
          </w:p>
        </w:tc>
        <w:tc>
          <w:tcPr>
            <w:tcW w:w="1751" w:type="dxa"/>
          </w:tcPr>
          <w:p w14:paraId="1DDFC09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177 (33.0)</w:t>
            </w:r>
          </w:p>
        </w:tc>
      </w:tr>
      <w:tr w:rsidR="00B54D51" w:rsidRPr="00037AD4" w14:paraId="5FFB2E91" w14:textId="77777777" w:rsidTr="00401C67">
        <w:trPr>
          <w:trHeight w:val="581"/>
        </w:trPr>
        <w:tc>
          <w:tcPr>
            <w:tcW w:w="1385" w:type="dxa"/>
          </w:tcPr>
          <w:p w14:paraId="4B0067B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Usual activities </w:t>
            </w:r>
          </w:p>
        </w:tc>
        <w:tc>
          <w:tcPr>
            <w:tcW w:w="1283" w:type="dxa"/>
          </w:tcPr>
          <w:p w14:paraId="6998C38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601 (76.5)</w:t>
            </w:r>
          </w:p>
        </w:tc>
        <w:tc>
          <w:tcPr>
            <w:tcW w:w="1323" w:type="dxa"/>
          </w:tcPr>
          <w:p w14:paraId="24930F2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452 (75.2)</w:t>
            </w:r>
          </w:p>
        </w:tc>
        <w:tc>
          <w:tcPr>
            <w:tcW w:w="1323" w:type="dxa"/>
          </w:tcPr>
          <w:p w14:paraId="38B8381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59 (9.8)</w:t>
            </w:r>
          </w:p>
        </w:tc>
        <w:tc>
          <w:tcPr>
            <w:tcW w:w="1329" w:type="dxa"/>
          </w:tcPr>
          <w:p w14:paraId="0E4C685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45 (7.5)</w:t>
            </w:r>
          </w:p>
        </w:tc>
        <w:tc>
          <w:tcPr>
            <w:tcW w:w="1323" w:type="dxa"/>
          </w:tcPr>
          <w:p w14:paraId="244B2B2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13 (2.2)</w:t>
            </w:r>
          </w:p>
        </w:tc>
        <w:tc>
          <w:tcPr>
            <w:tcW w:w="1751" w:type="dxa"/>
          </w:tcPr>
          <w:p w14:paraId="72C3E37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32 (5.3)</w:t>
            </w:r>
          </w:p>
        </w:tc>
      </w:tr>
      <w:tr w:rsidR="00B54D51" w:rsidRPr="00037AD4" w14:paraId="00C64502" w14:textId="77777777" w:rsidTr="00401C67">
        <w:trPr>
          <w:trHeight w:val="581"/>
        </w:trPr>
        <w:tc>
          <w:tcPr>
            <w:tcW w:w="1385" w:type="dxa"/>
          </w:tcPr>
          <w:p w14:paraId="423649C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Pain/ discomfort</w:t>
            </w:r>
          </w:p>
        </w:tc>
        <w:tc>
          <w:tcPr>
            <w:tcW w:w="1283" w:type="dxa"/>
          </w:tcPr>
          <w:p w14:paraId="37B8BCE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579 (71.9)</w:t>
            </w:r>
          </w:p>
        </w:tc>
        <w:tc>
          <w:tcPr>
            <w:tcW w:w="1323" w:type="dxa"/>
          </w:tcPr>
          <w:p w14:paraId="45345F9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457 (78.9)</w:t>
            </w:r>
          </w:p>
        </w:tc>
        <w:tc>
          <w:tcPr>
            <w:tcW w:w="1323" w:type="dxa"/>
          </w:tcPr>
          <w:p w14:paraId="0544AE2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83 (14.3)</w:t>
            </w:r>
          </w:p>
        </w:tc>
        <w:tc>
          <w:tcPr>
            <w:tcW w:w="1329" w:type="dxa"/>
          </w:tcPr>
          <w:p w14:paraId="36D9D6C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35 (6.1)</w:t>
            </w:r>
          </w:p>
        </w:tc>
        <w:tc>
          <w:tcPr>
            <w:tcW w:w="1323" w:type="dxa"/>
          </w:tcPr>
          <w:p w14:paraId="5E11442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3 (0.5)</w:t>
            </w:r>
          </w:p>
        </w:tc>
        <w:tc>
          <w:tcPr>
            <w:tcW w:w="1751" w:type="dxa"/>
          </w:tcPr>
          <w:p w14:paraId="57700D9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1 (0.2) </w:t>
            </w:r>
          </w:p>
        </w:tc>
      </w:tr>
      <w:tr w:rsidR="00B54D51" w:rsidRPr="00037AD4" w14:paraId="4AAFA322" w14:textId="77777777" w:rsidTr="00401C67">
        <w:trPr>
          <w:trHeight w:val="566"/>
        </w:trPr>
        <w:tc>
          <w:tcPr>
            <w:tcW w:w="1385" w:type="dxa"/>
          </w:tcPr>
          <w:p w14:paraId="5152077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Anxiety/ depression</w:t>
            </w:r>
          </w:p>
        </w:tc>
        <w:tc>
          <w:tcPr>
            <w:tcW w:w="1283" w:type="dxa"/>
          </w:tcPr>
          <w:p w14:paraId="52F51A6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614 (77.5)</w:t>
            </w:r>
          </w:p>
        </w:tc>
        <w:tc>
          <w:tcPr>
            <w:tcW w:w="1323" w:type="dxa"/>
          </w:tcPr>
          <w:p w14:paraId="2001B86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482 (78.6)</w:t>
            </w:r>
          </w:p>
        </w:tc>
        <w:tc>
          <w:tcPr>
            <w:tcW w:w="1323" w:type="dxa"/>
          </w:tcPr>
          <w:p w14:paraId="7D0B437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95 (15.5)</w:t>
            </w:r>
          </w:p>
        </w:tc>
        <w:tc>
          <w:tcPr>
            <w:tcW w:w="1329" w:type="dxa"/>
          </w:tcPr>
          <w:p w14:paraId="3428317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28 (4.6)</w:t>
            </w:r>
          </w:p>
        </w:tc>
        <w:tc>
          <w:tcPr>
            <w:tcW w:w="1323" w:type="dxa"/>
          </w:tcPr>
          <w:p w14:paraId="04FE077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7 (1.1)</w:t>
            </w:r>
          </w:p>
        </w:tc>
        <w:tc>
          <w:tcPr>
            <w:tcW w:w="1751" w:type="dxa"/>
          </w:tcPr>
          <w:p w14:paraId="2071D97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1 (0.2) </w:t>
            </w:r>
          </w:p>
        </w:tc>
      </w:tr>
    </w:tbl>
    <w:p w14:paraId="4F123C72" w14:textId="77777777" w:rsidR="00B54D51" w:rsidRPr="00037AD4" w:rsidRDefault="00B54D51" w:rsidP="001D7ACE">
      <w:pPr>
        <w:rPr>
          <w:rFonts w:asciiTheme="minorHAnsi" w:hAnsiTheme="minorHAnsi" w:cstheme="minorHAnsi"/>
          <w:b/>
          <w:bCs/>
          <w:u w:val="single"/>
        </w:rPr>
      </w:pPr>
    </w:p>
    <w:p w14:paraId="09A5CD3D" w14:textId="77777777" w:rsidR="00B54D51" w:rsidRPr="00037AD4" w:rsidRDefault="00B54D51" w:rsidP="001D7ACE">
      <w:pPr>
        <w:rPr>
          <w:rFonts w:asciiTheme="minorHAnsi" w:hAnsiTheme="minorHAnsi" w:cstheme="minorHAnsi"/>
        </w:rPr>
      </w:pPr>
    </w:p>
    <w:p w14:paraId="38BF5F3F" w14:textId="77777777" w:rsidR="00B54D51" w:rsidRPr="00037AD4" w:rsidRDefault="00B54D51" w:rsidP="001D7ACE">
      <w:pPr>
        <w:rPr>
          <w:rFonts w:asciiTheme="minorHAnsi" w:hAnsiTheme="minorHAnsi" w:cstheme="minorHAnsi"/>
        </w:rPr>
      </w:pPr>
    </w:p>
    <w:p w14:paraId="20B5D5AC" w14:textId="77777777" w:rsidR="00B54D51" w:rsidRPr="00037AD4" w:rsidRDefault="00B54D51" w:rsidP="001D7ACE">
      <w:pPr>
        <w:rPr>
          <w:rFonts w:asciiTheme="minorHAnsi" w:hAnsiTheme="minorHAnsi" w:cstheme="minorHAnsi"/>
          <w:b/>
          <w:bCs/>
          <w:u w:val="single"/>
        </w:rPr>
      </w:pPr>
    </w:p>
    <w:p w14:paraId="7AD2DC88" w14:textId="77777777" w:rsidR="00B54D51" w:rsidRPr="00037AD4" w:rsidRDefault="00B54D51" w:rsidP="001D7ACE">
      <w:pPr>
        <w:rPr>
          <w:rFonts w:asciiTheme="minorHAnsi" w:hAnsiTheme="minorHAnsi" w:cstheme="minorHAnsi"/>
          <w:b/>
          <w:bCs/>
          <w:u w:val="single"/>
        </w:rPr>
      </w:pPr>
    </w:p>
    <w:p w14:paraId="06633E54" w14:textId="77777777" w:rsidR="00B54D51" w:rsidRPr="00037AD4" w:rsidRDefault="00B54D51" w:rsidP="001D7ACE">
      <w:pPr>
        <w:rPr>
          <w:rFonts w:asciiTheme="minorHAnsi" w:hAnsiTheme="minorHAnsi" w:cstheme="minorHAnsi"/>
          <w:b/>
          <w:bCs/>
          <w:u w:val="single"/>
        </w:rPr>
      </w:pPr>
    </w:p>
    <w:p w14:paraId="285AC5CE" w14:textId="77777777" w:rsidR="00B54D51" w:rsidRPr="00037AD4" w:rsidRDefault="00B54D51" w:rsidP="001D7ACE">
      <w:pPr>
        <w:rPr>
          <w:rFonts w:asciiTheme="minorHAnsi" w:hAnsiTheme="minorHAnsi" w:cstheme="minorHAnsi"/>
          <w:b/>
          <w:bCs/>
          <w:u w:val="single"/>
        </w:rPr>
      </w:pPr>
    </w:p>
    <w:p w14:paraId="3D632689" w14:textId="77777777" w:rsidR="00B54D51" w:rsidRPr="00037AD4" w:rsidRDefault="00B54D51" w:rsidP="001D7ACE">
      <w:pPr>
        <w:rPr>
          <w:rFonts w:asciiTheme="minorHAnsi" w:hAnsiTheme="minorHAnsi" w:cstheme="minorHAnsi"/>
          <w:b/>
          <w:bCs/>
          <w:u w:val="single"/>
        </w:rPr>
      </w:pPr>
    </w:p>
    <w:p w14:paraId="1FCA202D" w14:textId="77777777" w:rsidR="00B54D51" w:rsidRPr="00037AD4" w:rsidRDefault="00B54D51" w:rsidP="001D7ACE">
      <w:pPr>
        <w:rPr>
          <w:rFonts w:asciiTheme="minorHAnsi" w:hAnsiTheme="minorHAnsi" w:cstheme="minorHAnsi"/>
          <w:b/>
          <w:bCs/>
          <w:u w:val="single"/>
        </w:rPr>
      </w:pPr>
    </w:p>
    <w:p w14:paraId="28411FFD" w14:textId="77777777" w:rsidR="00B54D51" w:rsidRPr="00037AD4" w:rsidRDefault="00B54D51" w:rsidP="001D7ACE">
      <w:pPr>
        <w:rPr>
          <w:rFonts w:asciiTheme="minorHAnsi" w:hAnsiTheme="minorHAnsi" w:cstheme="minorHAnsi"/>
          <w:b/>
          <w:bCs/>
          <w:u w:val="single"/>
        </w:rPr>
      </w:pPr>
    </w:p>
    <w:p w14:paraId="6574E4E1" w14:textId="77777777" w:rsidR="00B54D51" w:rsidRPr="00037AD4" w:rsidRDefault="00B54D51" w:rsidP="001D7ACE">
      <w:pPr>
        <w:rPr>
          <w:rFonts w:asciiTheme="minorHAnsi" w:hAnsiTheme="minorHAnsi" w:cstheme="minorHAnsi"/>
          <w:b/>
          <w:bCs/>
          <w:u w:val="single"/>
        </w:rPr>
      </w:pPr>
    </w:p>
    <w:p w14:paraId="507D7FE0" w14:textId="77777777" w:rsidR="00B54D51" w:rsidRPr="00037AD4" w:rsidRDefault="00B54D51" w:rsidP="001D7ACE">
      <w:pPr>
        <w:rPr>
          <w:rFonts w:asciiTheme="minorHAnsi" w:hAnsiTheme="minorHAnsi" w:cstheme="minorHAnsi"/>
          <w:b/>
          <w:bCs/>
          <w:u w:val="single"/>
        </w:rPr>
      </w:pPr>
    </w:p>
    <w:p w14:paraId="799FA30A" w14:textId="77777777" w:rsidR="00B54D51" w:rsidRPr="00037AD4" w:rsidRDefault="00B54D51" w:rsidP="001D7ACE">
      <w:pPr>
        <w:rPr>
          <w:rFonts w:asciiTheme="minorHAnsi" w:hAnsiTheme="minorHAnsi" w:cstheme="minorHAnsi"/>
          <w:b/>
          <w:bCs/>
          <w:u w:val="single"/>
        </w:rPr>
      </w:pPr>
    </w:p>
    <w:p w14:paraId="7C3EC1B2" w14:textId="77777777" w:rsidR="00B54D51" w:rsidRPr="00037AD4" w:rsidRDefault="00B54D51" w:rsidP="007A43F9">
      <w:pPr>
        <w:pStyle w:val="Heading2"/>
      </w:pPr>
      <w:bookmarkStart w:id="492" w:name="A5"/>
      <w:bookmarkStart w:id="493" w:name="_Toc175742408"/>
      <w:r w:rsidRPr="00037AD4">
        <w:lastRenderedPageBreak/>
        <w:t>Appendix 5 Summary of convergent validity evidence by EQ-5D dimension</w:t>
      </w:r>
      <w:bookmarkEnd w:id="493"/>
      <w:r w:rsidRPr="00037AD4">
        <w:t xml:space="preserve"> </w:t>
      </w:r>
    </w:p>
    <w:bookmarkEnd w:id="492"/>
    <w:p w14:paraId="0E99CEAA" w14:textId="77777777" w:rsidR="00B54D51" w:rsidRPr="00037AD4" w:rsidRDefault="00B54D51" w:rsidP="001D7ACE">
      <w:pPr>
        <w:rPr>
          <w:rFonts w:asciiTheme="minorHAnsi" w:hAnsiTheme="minorHAnsi" w:cstheme="minorHAnsi"/>
          <w:b/>
          <w:bCs/>
          <w:u w:val="single"/>
        </w:rPr>
      </w:pPr>
    </w:p>
    <w:p w14:paraId="3D9A131E" w14:textId="77777777" w:rsidR="00B54D51" w:rsidRPr="00037AD4" w:rsidRDefault="00B54D51" w:rsidP="001D7ACE">
      <w:pPr>
        <w:rPr>
          <w:rFonts w:asciiTheme="minorHAnsi" w:hAnsiTheme="minorHAnsi" w:cstheme="minorHAnsi"/>
        </w:rPr>
      </w:pPr>
      <w:r w:rsidRPr="00037AD4">
        <w:rPr>
          <w:rFonts w:asciiTheme="minorHAnsi" w:hAnsiTheme="minorHAnsi" w:cstheme="minorHAnsi"/>
        </w:rPr>
        <w:t xml:space="preserve">To guide decisions regarding which dementia symptom measures to examine against changes in EQ-5D dimension score reports, the convergent validity evidence presented in the earlier sections has been summarised in the Table A5 below. The second column houses the evidence from the systematic review reported </w:t>
      </w:r>
      <w:r w:rsidRPr="00830480">
        <w:rPr>
          <w:rFonts w:asciiTheme="minorHAnsi" w:hAnsiTheme="minorHAnsi" w:cstheme="minorHAnsi"/>
        </w:rPr>
        <w:t xml:space="preserve">in </w:t>
      </w:r>
      <w:hyperlink w:anchor="Ch37" w:history="1">
        <w:r w:rsidRPr="00830480">
          <w:rPr>
            <w:rStyle w:val="Hyperlink"/>
            <w:rFonts w:asciiTheme="minorHAnsi" w:hAnsiTheme="minorHAnsi" w:cstheme="minorHAnsi"/>
            <w:color w:val="auto"/>
            <w:u w:val="none"/>
          </w:rPr>
          <w:t>section 3.7</w:t>
        </w:r>
      </w:hyperlink>
      <w:r w:rsidRPr="00830480">
        <w:rPr>
          <w:rFonts w:asciiTheme="minorHAnsi" w:hAnsiTheme="minorHAnsi" w:cstheme="minorHAnsi"/>
        </w:rPr>
        <w:t xml:space="preserve">, while </w:t>
      </w:r>
      <w:r w:rsidRPr="00037AD4">
        <w:rPr>
          <w:rFonts w:asciiTheme="minorHAnsi" w:hAnsiTheme="minorHAnsi" w:cstheme="minorHAnsi"/>
        </w:rPr>
        <w:t>the latter three columns summarise the findings from analysing the three studies distinctly within Chapter 4. For the purpose of this analysis, a minimum correlation threshold of r=</w:t>
      </w:r>
      <w:r w:rsidRPr="00037AD4">
        <w:rPr>
          <w:rFonts w:asciiTheme="minorHAnsi" w:hAnsiTheme="minorHAnsi" w:cstheme="minorHAnsi"/>
          <w:b/>
          <w:bCs/>
        </w:rPr>
        <w:t>0.30</w:t>
      </w:r>
      <w:r w:rsidRPr="00037AD4">
        <w:rPr>
          <w:rFonts w:asciiTheme="minorHAnsi" w:hAnsiTheme="minorHAnsi" w:cstheme="minorHAnsi"/>
        </w:rPr>
        <w:t xml:space="preserve"> with either respondent type was deemed as evidence to support exploring the relationships hereafter. Although this selected threshold is more generous than those outlined within the literature for evidence of convergent validity, (typically a minimum threshold correlation coefficient value of &gt;0.4 for moderate association; r=0.2 typically indicates slight association </w:t>
      </w:r>
      <w:r>
        <w:rPr>
          <w:rFonts w:asciiTheme="minorHAnsi" w:hAnsiTheme="minorHAnsi" w:cstheme="minorHAnsi"/>
          <w:noProof/>
        </w:rPr>
        <w:t>(Fayers and Machin, 2013)</w:t>
      </w:r>
      <w:r w:rsidRPr="00037AD4">
        <w:rPr>
          <w:rFonts w:asciiTheme="minorHAnsi" w:hAnsiTheme="minorHAnsi" w:cstheme="minorHAnsi"/>
        </w:rPr>
        <w:t xml:space="preserve">) this threshold was chosen to maximise any potential dimension-level findings. </w:t>
      </w:r>
    </w:p>
    <w:p w14:paraId="5ADC4B0D" w14:textId="77777777" w:rsidR="00B54D51" w:rsidRPr="00037AD4" w:rsidRDefault="00B54D51" w:rsidP="001D7ACE">
      <w:pPr>
        <w:rPr>
          <w:rFonts w:asciiTheme="minorHAnsi" w:hAnsiTheme="minorHAnsi" w:cstheme="minorHAnsi"/>
          <w:b/>
          <w:bCs/>
          <w:u w:val="single"/>
        </w:rPr>
      </w:pPr>
    </w:p>
    <w:p w14:paraId="503813CE" w14:textId="77777777" w:rsidR="00B54D51" w:rsidRPr="00037AD4" w:rsidRDefault="00B54D51" w:rsidP="001D7ACE">
      <w:pPr>
        <w:rPr>
          <w:rFonts w:asciiTheme="minorHAnsi" w:hAnsiTheme="minorHAnsi" w:cstheme="minorHAnsi"/>
          <w:u w:val="single"/>
        </w:rPr>
      </w:pPr>
      <w:r w:rsidRPr="00037AD4">
        <w:rPr>
          <w:rFonts w:asciiTheme="minorHAnsi" w:hAnsiTheme="minorHAnsi" w:cstheme="minorHAnsi"/>
          <w:u w:val="single"/>
        </w:rPr>
        <w:t xml:space="preserve">Table A5, Summary of EQ-5D dimension level convergent validity evidence </w:t>
      </w:r>
    </w:p>
    <w:p w14:paraId="125C96C3" w14:textId="77777777" w:rsidR="00B54D51" w:rsidRPr="00037AD4" w:rsidRDefault="00B54D51" w:rsidP="001D7ACE">
      <w:pPr>
        <w:rPr>
          <w:rFonts w:asciiTheme="minorHAnsi" w:hAnsiTheme="minorHAnsi" w:cstheme="minorHAnsi"/>
        </w:rPr>
      </w:pPr>
    </w:p>
    <w:tbl>
      <w:tblPr>
        <w:tblStyle w:val="TableGrid"/>
        <w:tblW w:w="0" w:type="auto"/>
        <w:tblLook w:val="04A0" w:firstRow="1" w:lastRow="0" w:firstColumn="1" w:lastColumn="0" w:noHBand="0" w:noVBand="1"/>
      </w:tblPr>
      <w:tblGrid>
        <w:gridCol w:w="1512"/>
        <w:gridCol w:w="1889"/>
        <w:gridCol w:w="1878"/>
        <w:gridCol w:w="1871"/>
        <w:gridCol w:w="1871"/>
      </w:tblGrid>
      <w:tr w:rsidR="00B54D51" w:rsidRPr="00037AD4" w14:paraId="3DD939DA" w14:textId="77777777" w:rsidTr="00401C67">
        <w:tc>
          <w:tcPr>
            <w:tcW w:w="3848" w:type="dxa"/>
            <w:gridSpan w:val="2"/>
            <w:tcBorders>
              <w:top w:val="nil"/>
              <w:left w:val="nil"/>
            </w:tcBorders>
          </w:tcPr>
          <w:p w14:paraId="051070EA" w14:textId="77777777" w:rsidR="00B54D51" w:rsidRPr="00037AD4" w:rsidRDefault="00B54D51" w:rsidP="00401C67">
            <w:pPr>
              <w:rPr>
                <w:rFonts w:asciiTheme="minorHAnsi" w:hAnsiTheme="minorHAnsi" w:cstheme="minorHAnsi"/>
              </w:rPr>
            </w:pPr>
          </w:p>
        </w:tc>
        <w:tc>
          <w:tcPr>
            <w:tcW w:w="5168" w:type="dxa"/>
            <w:gridSpan w:val="3"/>
          </w:tcPr>
          <w:p w14:paraId="62C86BB7" w14:textId="77777777" w:rsidR="00B54D51" w:rsidRPr="00037AD4" w:rsidRDefault="00B54D51" w:rsidP="00401C67">
            <w:pPr>
              <w:jc w:val="center"/>
              <w:rPr>
                <w:rFonts w:asciiTheme="minorHAnsi" w:hAnsiTheme="minorHAnsi" w:cstheme="minorHAnsi"/>
              </w:rPr>
            </w:pPr>
            <w:r w:rsidRPr="00037AD4">
              <w:rPr>
                <w:rFonts w:asciiTheme="minorHAnsi" w:hAnsiTheme="minorHAnsi" w:cstheme="minorHAnsi"/>
              </w:rPr>
              <w:t>Convergent validity</w:t>
            </w:r>
          </w:p>
        </w:tc>
      </w:tr>
      <w:tr w:rsidR="00B54D51" w:rsidRPr="00037AD4" w14:paraId="1C29F794" w14:textId="77777777" w:rsidTr="00401C67">
        <w:tc>
          <w:tcPr>
            <w:tcW w:w="1926" w:type="dxa"/>
          </w:tcPr>
          <w:p w14:paraId="518D290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Dimension</w:t>
            </w:r>
          </w:p>
        </w:tc>
        <w:tc>
          <w:tcPr>
            <w:tcW w:w="1922" w:type="dxa"/>
          </w:tcPr>
          <w:p w14:paraId="2F6BBA4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Systematic review evidence </w:t>
            </w:r>
          </w:p>
        </w:tc>
        <w:tc>
          <w:tcPr>
            <w:tcW w:w="1892" w:type="dxa"/>
          </w:tcPr>
          <w:p w14:paraId="52D6DDC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REMCARE </w:t>
            </w:r>
          </w:p>
        </w:tc>
        <w:tc>
          <w:tcPr>
            <w:tcW w:w="1710" w:type="dxa"/>
          </w:tcPr>
          <w:p w14:paraId="180647C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EPIC</w:t>
            </w:r>
          </w:p>
        </w:tc>
        <w:tc>
          <w:tcPr>
            <w:tcW w:w="1566" w:type="dxa"/>
          </w:tcPr>
          <w:p w14:paraId="43FB564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ACTIFCARE </w:t>
            </w:r>
          </w:p>
        </w:tc>
      </w:tr>
      <w:tr w:rsidR="00B54D51" w:rsidRPr="00037AD4" w14:paraId="085C76A3" w14:textId="77777777" w:rsidTr="00401C67">
        <w:tc>
          <w:tcPr>
            <w:tcW w:w="1926" w:type="dxa"/>
          </w:tcPr>
          <w:p w14:paraId="110BA01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Mobility</w:t>
            </w:r>
          </w:p>
        </w:tc>
        <w:tc>
          <w:tcPr>
            <w:tcW w:w="1922" w:type="dxa"/>
          </w:tcPr>
          <w:p w14:paraId="0608619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Function (basic ADL), behaviour/mood (depression), Behaviour/mood (NPI), function (mixed), function (basic ADL)  </w:t>
            </w:r>
          </w:p>
        </w:tc>
        <w:tc>
          <w:tcPr>
            <w:tcW w:w="1892" w:type="dxa"/>
          </w:tcPr>
          <w:p w14:paraId="0A9517F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Function (mixed)</w:t>
            </w:r>
          </w:p>
        </w:tc>
        <w:tc>
          <w:tcPr>
            <w:tcW w:w="1710" w:type="dxa"/>
          </w:tcPr>
          <w:p w14:paraId="14C5B32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Function (mixed)</w:t>
            </w:r>
          </w:p>
        </w:tc>
        <w:tc>
          <w:tcPr>
            <w:tcW w:w="1566" w:type="dxa"/>
          </w:tcPr>
          <w:p w14:paraId="7F76B72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Function (both)</w:t>
            </w:r>
          </w:p>
        </w:tc>
      </w:tr>
      <w:tr w:rsidR="00B54D51" w:rsidRPr="00037AD4" w14:paraId="38A35866" w14:textId="77777777" w:rsidTr="00401C67">
        <w:tc>
          <w:tcPr>
            <w:tcW w:w="1926" w:type="dxa"/>
          </w:tcPr>
          <w:p w14:paraId="5E3FF24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Self-care</w:t>
            </w:r>
          </w:p>
        </w:tc>
        <w:tc>
          <w:tcPr>
            <w:tcW w:w="1922" w:type="dxa"/>
          </w:tcPr>
          <w:p w14:paraId="563D737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Function (basic ADL), behaviour/mood (depression), function (mixed), function (basic ADL)</w:t>
            </w:r>
          </w:p>
        </w:tc>
        <w:tc>
          <w:tcPr>
            <w:tcW w:w="1892" w:type="dxa"/>
          </w:tcPr>
          <w:p w14:paraId="0E82890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Function (mixed), CDR </w:t>
            </w:r>
          </w:p>
        </w:tc>
        <w:tc>
          <w:tcPr>
            <w:tcW w:w="1710" w:type="dxa"/>
          </w:tcPr>
          <w:p w14:paraId="40CE7B6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CDR, Function (mixed)</w:t>
            </w:r>
          </w:p>
        </w:tc>
        <w:tc>
          <w:tcPr>
            <w:tcW w:w="1566" w:type="dxa"/>
          </w:tcPr>
          <w:p w14:paraId="4C60CCF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CDR, Function (both), Behaviour/mood (NPI)</w:t>
            </w:r>
          </w:p>
        </w:tc>
      </w:tr>
      <w:tr w:rsidR="00B54D51" w:rsidRPr="00037AD4" w14:paraId="4AB51BAC" w14:textId="77777777" w:rsidTr="00401C67">
        <w:tc>
          <w:tcPr>
            <w:tcW w:w="1926" w:type="dxa"/>
          </w:tcPr>
          <w:p w14:paraId="6D831DE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Usual activities </w:t>
            </w:r>
          </w:p>
        </w:tc>
        <w:tc>
          <w:tcPr>
            <w:tcW w:w="1922" w:type="dxa"/>
          </w:tcPr>
          <w:p w14:paraId="5A1E8FB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Function (basic ADL), behaviour/mood (depression), function (mixed), function (basic ADL) </w:t>
            </w:r>
          </w:p>
        </w:tc>
        <w:tc>
          <w:tcPr>
            <w:tcW w:w="1892" w:type="dxa"/>
          </w:tcPr>
          <w:p w14:paraId="617B477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Function (mixed), CDR, behaviour/mood (depression)  </w:t>
            </w:r>
          </w:p>
        </w:tc>
        <w:tc>
          <w:tcPr>
            <w:tcW w:w="1710" w:type="dxa"/>
          </w:tcPr>
          <w:p w14:paraId="5170F1E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CDR, Function (mixed)</w:t>
            </w:r>
          </w:p>
        </w:tc>
        <w:tc>
          <w:tcPr>
            <w:tcW w:w="1566" w:type="dxa"/>
          </w:tcPr>
          <w:p w14:paraId="74FDE13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CDR, function (both) </w:t>
            </w:r>
          </w:p>
        </w:tc>
      </w:tr>
      <w:tr w:rsidR="00B54D51" w:rsidRPr="00037AD4" w14:paraId="184EB318" w14:textId="77777777" w:rsidTr="00401C67">
        <w:tc>
          <w:tcPr>
            <w:tcW w:w="1926" w:type="dxa"/>
          </w:tcPr>
          <w:p w14:paraId="20F36D8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Pain/ discomfort </w:t>
            </w:r>
          </w:p>
        </w:tc>
        <w:tc>
          <w:tcPr>
            <w:tcW w:w="1922" w:type="dxa"/>
          </w:tcPr>
          <w:p w14:paraId="35BD97E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Function (basic ADL)</w:t>
            </w:r>
          </w:p>
        </w:tc>
        <w:tc>
          <w:tcPr>
            <w:tcW w:w="1892" w:type="dxa"/>
          </w:tcPr>
          <w:p w14:paraId="457A4EA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Behaviour/mood (depression)  </w:t>
            </w:r>
          </w:p>
        </w:tc>
        <w:tc>
          <w:tcPr>
            <w:tcW w:w="1710" w:type="dxa"/>
          </w:tcPr>
          <w:p w14:paraId="0028BB5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N/A</w:t>
            </w:r>
          </w:p>
        </w:tc>
        <w:tc>
          <w:tcPr>
            <w:tcW w:w="1566" w:type="dxa"/>
          </w:tcPr>
          <w:p w14:paraId="35A8659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N/A</w:t>
            </w:r>
          </w:p>
        </w:tc>
      </w:tr>
      <w:tr w:rsidR="00B54D51" w:rsidRPr="00037AD4" w14:paraId="2E9A71C5" w14:textId="77777777" w:rsidTr="00401C67">
        <w:tc>
          <w:tcPr>
            <w:tcW w:w="1926" w:type="dxa"/>
          </w:tcPr>
          <w:p w14:paraId="1E39620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Anxiety/ depression</w:t>
            </w:r>
          </w:p>
        </w:tc>
        <w:tc>
          <w:tcPr>
            <w:tcW w:w="1922" w:type="dxa"/>
          </w:tcPr>
          <w:p w14:paraId="1A729D3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Cognition (MMSE), </w:t>
            </w:r>
            <w:r w:rsidRPr="00037AD4">
              <w:rPr>
                <w:rFonts w:asciiTheme="minorHAnsi" w:hAnsiTheme="minorHAnsi" w:cstheme="minorHAnsi"/>
              </w:rPr>
              <w:lastRenderedPageBreak/>
              <w:t xml:space="preserve">Behaviour/mood (depression), Behaviour/mood (NPI) </w:t>
            </w:r>
          </w:p>
        </w:tc>
        <w:tc>
          <w:tcPr>
            <w:tcW w:w="1892" w:type="dxa"/>
          </w:tcPr>
          <w:p w14:paraId="3A06AF7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lastRenderedPageBreak/>
              <w:t xml:space="preserve">Behaviour/mood (depression)  </w:t>
            </w:r>
          </w:p>
        </w:tc>
        <w:tc>
          <w:tcPr>
            <w:tcW w:w="1710" w:type="dxa"/>
          </w:tcPr>
          <w:p w14:paraId="2D86F3B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Behaviour/mood (NPI)</w:t>
            </w:r>
          </w:p>
        </w:tc>
        <w:tc>
          <w:tcPr>
            <w:tcW w:w="1566" w:type="dxa"/>
          </w:tcPr>
          <w:p w14:paraId="2D40EB9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Behaviour/mood (NPI) </w:t>
            </w:r>
          </w:p>
        </w:tc>
      </w:tr>
    </w:tbl>
    <w:p w14:paraId="760B66B5" w14:textId="77777777" w:rsidR="00B54D51" w:rsidRPr="00037AD4" w:rsidRDefault="00B54D51" w:rsidP="001D7ACE">
      <w:pPr>
        <w:rPr>
          <w:rFonts w:asciiTheme="minorHAnsi" w:hAnsiTheme="minorHAnsi" w:cstheme="minorHAnsi"/>
          <w:b/>
          <w:bCs/>
          <w:u w:val="single"/>
        </w:rPr>
      </w:pPr>
    </w:p>
    <w:p w14:paraId="2E702D49" w14:textId="77777777" w:rsidR="00B54D51" w:rsidRPr="00037AD4" w:rsidRDefault="00B54D51" w:rsidP="001D7ACE">
      <w:pPr>
        <w:rPr>
          <w:rFonts w:asciiTheme="minorHAnsi" w:hAnsiTheme="minorHAnsi" w:cstheme="minorHAnsi"/>
          <w:b/>
          <w:bCs/>
          <w:u w:val="single"/>
        </w:rPr>
      </w:pPr>
    </w:p>
    <w:p w14:paraId="208602FE" w14:textId="77777777" w:rsidR="00B54D51" w:rsidRPr="00037AD4" w:rsidRDefault="00B54D51" w:rsidP="001D7ACE">
      <w:pPr>
        <w:rPr>
          <w:rFonts w:asciiTheme="minorHAnsi" w:hAnsiTheme="minorHAnsi" w:cstheme="minorHAnsi"/>
          <w:b/>
          <w:bCs/>
          <w:u w:val="single"/>
        </w:rPr>
      </w:pPr>
    </w:p>
    <w:p w14:paraId="502D89F6" w14:textId="77777777" w:rsidR="00B54D51" w:rsidRPr="00037AD4" w:rsidRDefault="00B54D51" w:rsidP="001D7ACE">
      <w:pPr>
        <w:rPr>
          <w:rFonts w:asciiTheme="minorHAnsi" w:hAnsiTheme="minorHAnsi" w:cstheme="minorHAnsi"/>
          <w:b/>
          <w:bCs/>
          <w:u w:val="single"/>
        </w:rPr>
      </w:pPr>
    </w:p>
    <w:p w14:paraId="7E128B57" w14:textId="77777777" w:rsidR="00B54D51" w:rsidRPr="00037AD4" w:rsidRDefault="00B54D51" w:rsidP="001D7ACE">
      <w:pPr>
        <w:rPr>
          <w:rFonts w:asciiTheme="minorHAnsi" w:hAnsiTheme="minorHAnsi" w:cstheme="minorHAnsi"/>
          <w:b/>
          <w:bCs/>
          <w:u w:val="single"/>
        </w:rPr>
      </w:pPr>
    </w:p>
    <w:p w14:paraId="287874CE" w14:textId="77777777" w:rsidR="00B54D51" w:rsidRPr="00037AD4" w:rsidRDefault="00B54D51" w:rsidP="001D7ACE">
      <w:pPr>
        <w:rPr>
          <w:rFonts w:asciiTheme="minorHAnsi" w:hAnsiTheme="minorHAnsi" w:cstheme="minorHAnsi"/>
          <w:b/>
          <w:bCs/>
          <w:u w:val="single"/>
        </w:rPr>
      </w:pPr>
    </w:p>
    <w:p w14:paraId="3025C167" w14:textId="77777777" w:rsidR="00B54D51" w:rsidRPr="00037AD4" w:rsidRDefault="00B54D51" w:rsidP="001D7ACE">
      <w:pPr>
        <w:rPr>
          <w:rFonts w:asciiTheme="minorHAnsi" w:hAnsiTheme="minorHAnsi" w:cstheme="minorHAnsi"/>
          <w:b/>
          <w:bCs/>
          <w:u w:val="single"/>
        </w:rPr>
      </w:pPr>
    </w:p>
    <w:p w14:paraId="33795998" w14:textId="77777777" w:rsidR="00B54D51" w:rsidRPr="00037AD4" w:rsidRDefault="00B54D51" w:rsidP="001D7ACE">
      <w:pPr>
        <w:rPr>
          <w:rFonts w:asciiTheme="minorHAnsi" w:hAnsiTheme="minorHAnsi" w:cstheme="minorHAnsi"/>
          <w:b/>
          <w:bCs/>
          <w:u w:val="single"/>
        </w:rPr>
      </w:pPr>
    </w:p>
    <w:p w14:paraId="516EF981" w14:textId="77777777" w:rsidR="00B54D51" w:rsidRPr="00037AD4" w:rsidRDefault="00B54D51" w:rsidP="001D7ACE">
      <w:pPr>
        <w:rPr>
          <w:rFonts w:asciiTheme="minorHAnsi" w:hAnsiTheme="minorHAnsi" w:cstheme="minorHAnsi"/>
          <w:b/>
          <w:bCs/>
          <w:u w:val="single"/>
        </w:rPr>
      </w:pPr>
    </w:p>
    <w:p w14:paraId="2966A92C" w14:textId="77777777" w:rsidR="00B54D51" w:rsidRPr="00037AD4" w:rsidRDefault="00B54D51" w:rsidP="001D7ACE">
      <w:pPr>
        <w:rPr>
          <w:rFonts w:asciiTheme="minorHAnsi" w:hAnsiTheme="minorHAnsi" w:cstheme="minorHAnsi"/>
          <w:b/>
          <w:bCs/>
          <w:u w:val="single"/>
        </w:rPr>
      </w:pPr>
    </w:p>
    <w:p w14:paraId="6274D89F" w14:textId="77777777" w:rsidR="00B54D51" w:rsidRPr="00037AD4" w:rsidRDefault="00B54D51" w:rsidP="001D7ACE">
      <w:pPr>
        <w:rPr>
          <w:rFonts w:asciiTheme="minorHAnsi" w:hAnsiTheme="minorHAnsi" w:cstheme="minorHAnsi"/>
          <w:b/>
          <w:bCs/>
          <w:u w:val="single"/>
        </w:rPr>
      </w:pPr>
    </w:p>
    <w:p w14:paraId="37A72B39" w14:textId="77777777" w:rsidR="00B54D51" w:rsidRPr="00037AD4" w:rsidRDefault="00B54D51" w:rsidP="001D7ACE">
      <w:pPr>
        <w:rPr>
          <w:rFonts w:asciiTheme="minorHAnsi" w:hAnsiTheme="minorHAnsi" w:cstheme="minorHAnsi"/>
          <w:b/>
          <w:bCs/>
          <w:u w:val="single"/>
        </w:rPr>
      </w:pPr>
    </w:p>
    <w:p w14:paraId="2331ECEB" w14:textId="77777777" w:rsidR="00B54D51" w:rsidRPr="00037AD4" w:rsidRDefault="00B54D51" w:rsidP="001D7ACE">
      <w:pPr>
        <w:rPr>
          <w:rFonts w:asciiTheme="minorHAnsi" w:hAnsiTheme="minorHAnsi" w:cstheme="minorHAnsi"/>
          <w:b/>
          <w:bCs/>
          <w:u w:val="single"/>
        </w:rPr>
      </w:pPr>
    </w:p>
    <w:p w14:paraId="4D5ACA96" w14:textId="77777777" w:rsidR="00B54D51" w:rsidRPr="00037AD4" w:rsidRDefault="00B54D51" w:rsidP="001D7ACE">
      <w:pPr>
        <w:rPr>
          <w:rFonts w:asciiTheme="minorHAnsi" w:hAnsiTheme="minorHAnsi" w:cstheme="minorHAnsi"/>
          <w:b/>
          <w:bCs/>
          <w:u w:val="single"/>
        </w:rPr>
      </w:pPr>
    </w:p>
    <w:p w14:paraId="2F1AC6D1" w14:textId="77777777" w:rsidR="00B54D51" w:rsidRPr="00037AD4" w:rsidRDefault="00B54D51" w:rsidP="001D7ACE">
      <w:pPr>
        <w:rPr>
          <w:rFonts w:asciiTheme="minorHAnsi" w:hAnsiTheme="minorHAnsi" w:cstheme="minorHAnsi"/>
          <w:b/>
          <w:bCs/>
          <w:u w:val="single"/>
        </w:rPr>
      </w:pPr>
    </w:p>
    <w:p w14:paraId="314A101A" w14:textId="77777777" w:rsidR="00B54D51" w:rsidRPr="00037AD4" w:rsidRDefault="00B54D51" w:rsidP="001D7ACE">
      <w:pPr>
        <w:rPr>
          <w:rFonts w:asciiTheme="minorHAnsi" w:hAnsiTheme="minorHAnsi" w:cstheme="minorHAnsi"/>
          <w:b/>
          <w:bCs/>
          <w:u w:val="single"/>
        </w:rPr>
      </w:pPr>
    </w:p>
    <w:p w14:paraId="01587690" w14:textId="77777777" w:rsidR="00B54D51" w:rsidRPr="00037AD4" w:rsidRDefault="00B54D51" w:rsidP="001D7ACE">
      <w:pPr>
        <w:rPr>
          <w:rFonts w:asciiTheme="minorHAnsi" w:hAnsiTheme="minorHAnsi" w:cstheme="minorHAnsi"/>
          <w:b/>
          <w:bCs/>
          <w:u w:val="single"/>
        </w:rPr>
      </w:pPr>
    </w:p>
    <w:p w14:paraId="39C91FDF" w14:textId="77777777" w:rsidR="00B54D51" w:rsidRPr="00037AD4" w:rsidRDefault="00B54D51" w:rsidP="001D7ACE">
      <w:pPr>
        <w:rPr>
          <w:rFonts w:asciiTheme="minorHAnsi" w:hAnsiTheme="minorHAnsi" w:cstheme="minorHAnsi"/>
          <w:b/>
          <w:bCs/>
          <w:u w:val="single"/>
        </w:rPr>
      </w:pPr>
    </w:p>
    <w:p w14:paraId="73D87245" w14:textId="77777777" w:rsidR="00B54D51" w:rsidRPr="00037AD4" w:rsidRDefault="00B54D51" w:rsidP="001D7ACE">
      <w:pPr>
        <w:rPr>
          <w:rFonts w:asciiTheme="minorHAnsi" w:hAnsiTheme="minorHAnsi" w:cstheme="minorHAnsi"/>
          <w:b/>
          <w:bCs/>
          <w:u w:val="single"/>
        </w:rPr>
      </w:pPr>
    </w:p>
    <w:p w14:paraId="51A4B894" w14:textId="77777777" w:rsidR="00B54D51" w:rsidRPr="00037AD4" w:rsidRDefault="00B54D51" w:rsidP="001D7ACE">
      <w:pPr>
        <w:rPr>
          <w:rFonts w:asciiTheme="minorHAnsi" w:hAnsiTheme="minorHAnsi" w:cstheme="minorHAnsi"/>
          <w:b/>
          <w:bCs/>
          <w:u w:val="single"/>
        </w:rPr>
      </w:pPr>
    </w:p>
    <w:p w14:paraId="3749D4D1" w14:textId="77777777" w:rsidR="00B54D51" w:rsidRPr="00037AD4" w:rsidRDefault="00B54D51" w:rsidP="001D7ACE">
      <w:pPr>
        <w:rPr>
          <w:rFonts w:asciiTheme="minorHAnsi" w:hAnsiTheme="minorHAnsi" w:cstheme="minorHAnsi"/>
          <w:b/>
          <w:bCs/>
          <w:u w:val="single"/>
        </w:rPr>
      </w:pPr>
    </w:p>
    <w:p w14:paraId="2676219B" w14:textId="77777777" w:rsidR="00B54D51" w:rsidRPr="00037AD4" w:rsidRDefault="00B54D51" w:rsidP="001D7ACE">
      <w:pPr>
        <w:rPr>
          <w:rFonts w:asciiTheme="minorHAnsi" w:hAnsiTheme="minorHAnsi" w:cstheme="minorHAnsi"/>
          <w:b/>
          <w:bCs/>
          <w:u w:val="single"/>
        </w:rPr>
      </w:pPr>
    </w:p>
    <w:p w14:paraId="1CF3FC52" w14:textId="77777777" w:rsidR="00B54D51" w:rsidRPr="00037AD4" w:rsidRDefault="00B54D51" w:rsidP="001D7ACE">
      <w:pPr>
        <w:rPr>
          <w:rFonts w:asciiTheme="minorHAnsi" w:hAnsiTheme="minorHAnsi" w:cstheme="minorHAnsi"/>
          <w:b/>
          <w:bCs/>
          <w:u w:val="single"/>
        </w:rPr>
      </w:pPr>
    </w:p>
    <w:p w14:paraId="5723946E" w14:textId="77777777" w:rsidR="00B54D51" w:rsidRPr="00037AD4" w:rsidRDefault="00B54D51" w:rsidP="001D7ACE">
      <w:pPr>
        <w:rPr>
          <w:rFonts w:asciiTheme="minorHAnsi" w:hAnsiTheme="minorHAnsi" w:cstheme="minorHAnsi"/>
          <w:b/>
          <w:bCs/>
          <w:u w:val="single"/>
        </w:rPr>
      </w:pPr>
    </w:p>
    <w:p w14:paraId="0B02141C" w14:textId="77777777" w:rsidR="00B54D51" w:rsidRPr="00037AD4" w:rsidRDefault="00B54D51" w:rsidP="001D7ACE">
      <w:pPr>
        <w:rPr>
          <w:rFonts w:asciiTheme="minorHAnsi" w:hAnsiTheme="minorHAnsi" w:cstheme="minorHAnsi"/>
          <w:b/>
          <w:bCs/>
          <w:u w:val="single"/>
        </w:rPr>
      </w:pPr>
    </w:p>
    <w:p w14:paraId="69CA28F9" w14:textId="77777777" w:rsidR="00B54D51" w:rsidRPr="00037AD4" w:rsidRDefault="00B54D51" w:rsidP="001D7ACE">
      <w:pPr>
        <w:rPr>
          <w:rFonts w:asciiTheme="minorHAnsi" w:hAnsiTheme="minorHAnsi" w:cstheme="minorHAnsi"/>
          <w:b/>
          <w:bCs/>
          <w:u w:val="single"/>
        </w:rPr>
      </w:pPr>
    </w:p>
    <w:p w14:paraId="0B92B825" w14:textId="77777777" w:rsidR="00B54D51" w:rsidRPr="00037AD4" w:rsidRDefault="00B54D51" w:rsidP="001D7ACE">
      <w:pPr>
        <w:rPr>
          <w:rFonts w:asciiTheme="minorHAnsi" w:hAnsiTheme="minorHAnsi" w:cstheme="minorHAnsi"/>
          <w:b/>
          <w:bCs/>
          <w:u w:val="single"/>
        </w:rPr>
      </w:pPr>
    </w:p>
    <w:p w14:paraId="16AF1532" w14:textId="77777777" w:rsidR="00B54D51" w:rsidRPr="00037AD4" w:rsidRDefault="00B54D51" w:rsidP="001D7ACE">
      <w:pPr>
        <w:rPr>
          <w:rFonts w:asciiTheme="minorHAnsi" w:hAnsiTheme="minorHAnsi" w:cstheme="minorHAnsi"/>
          <w:b/>
          <w:bCs/>
          <w:u w:val="single"/>
        </w:rPr>
      </w:pPr>
    </w:p>
    <w:p w14:paraId="55CCEA04" w14:textId="77777777" w:rsidR="00B54D51" w:rsidRPr="00037AD4" w:rsidRDefault="00B54D51" w:rsidP="001D7ACE">
      <w:pPr>
        <w:rPr>
          <w:rFonts w:asciiTheme="minorHAnsi" w:hAnsiTheme="minorHAnsi" w:cstheme="minorHAnsi"/>
          <w:b/>
          <w:bCs/>
          <w:u w:val="single"/>
        </w:rPr>
      </w:pPr>
    </w:p>
    <w:p w14:paraId="313A86E7" w14:textId="77777777" w:rsidR="00B54D51" w:rsidRPr="00037AD4" w:rsidRDefault="00B54D51" w:rsidP="001D7ACE">
      <w:pPr>
        <w:rPr>
          <w:rFonts w:asciiTheme="minorHAnsi" w:hAnsiTheme="minorHAnsi" w:cstheme="minorHAnsi"/>
          <w:b/>
          <w:bCs/>
          <w:u w:val="single"/>
        </w:rPr>
      </w:pPr>
    </w:p>
    <w:p w14:paraId="2D561187" w14:textId="77777777" w:rsidR="00B54D51" w:rsidRPr="00037AD4" w:rsidRDefault="00B54D51" w:rsidP="001D7ACE">
      <w:pPr>
        <w:rPr>
          <w:rFonts w:asciiTheme="minorHAnsi" w:hAnsiTheme="minorHAnsi" w:cstheme="minorHAnsi"/>
          <w:b/>
          <w:bCs/>
          <w:u w:val="single"/>
        </w:rPr>
      </w:pPr>
    </w:p>
    <w:p w14:paraId="59EB3811" w14:textId="77777777" w:rsidR="00B54D51" w:rsidRPr="00037AD4" w:rsidRDefault="00B54D51" w:rsidP="001D7ACE">
      <w:pPr>
        <w:rPr>
          <w:rFonts w:asciiTheme="minorHAnsi" w:hAnsiTheme="minorHAnsi" w:cstheme="minorHAnsi"/>
          <w:b/>
          <w:bCs/>
          <w:u w:val="single"/>
        </w:rPr>
      </w:pPr>
    </w:p>
    <w:p w14:paraId="2FD2BDB7" w14:textId="77777777" w:rsidR="00B54D51" w:rsidRPr="00037AD4" w:rsidRDefault="00B54D51" w:rsidP="001D7ACE">
      <w:pPr>
        <w:rPr>
          <w:rFonts w:asciiTheme="minorHAnsi" w:hAnsiTheme="minorHAnsi" w:cstheme="minorHAnsi"/>
          <w:b/>
          <w:bCs/>
          <w:u w:val="single"/>
        </w:rPr>
      </w:pPr>
    </w:p>
    <w:p w14:paraId="42C4F1A4" w14:textId="77777777" w:rsidR="00B54D51" w:rsidRPr="00037AD4" w:rsidRDefault="00B54D51" w:rsidP="001D7ACE">
      <w:pPr>
        <w:rPr>
          <w:rFonts w:asciiTheme="minorHAnsi" w:hAnsiTheme="minorHAnsi" w:cstheme="minorHAnsi"/>
          <w:b/>
          <w:bCs/>
          <w:u w:val="single"/>
        </w:rPr>
      </w:pPr>
    </w:p>
    <w:p w14:paraId="18770A74" w14:textId="77777777" w:rsidR="00B54D51" w:rsidRPr="00037AD4" w:rsidRDefault="00B54D51" w:rsidP="001D7ACE">
      <w:pPr>
        <w:rPr>
          <w:rFonts w:asciiTheme="minorHAnsi" w:hAnsiTheme="minorHAnsi" w:cstheme="minorHAnsi"/>
          <w:b/>
          <w:bCs/>
          <w:u w:val="single"/>
        </w:rPr>
      </w:pPr>
    </w:p>
    <w:p w14:paraId="29D8D0DE" w14:textId="77777777" w:rsidR="00B54D51" w:rsidRPr="00037AD4" w:rsidRDefault="00B54D51" w:rsidP="001D7ACE">
      <w:pPr>
        <w:rPr>
          <w:rFonts w:asciiTheme="minorHAnsi" w:hAnsiTheme="minorHAnsi" w:cstheme="minorHAnsi"/>
          <w:b/>
          <w:bCs/>
          <w:u w:val="single"/>
        </w:rPr>
      </w:pPr>
    </w:p>
    <w:p w14:paraId="7DD1AE7C" w14:textId="77777777" w:rsidR="00B54D51" w:rsidRPr="00037AD4" w:rsidRDefault="00B54D51" w:rsidP="001D7ACE">
      <w:pPr>
        <w:rPr>
          <w:rFonts w:asciiTheme="minorHAnsi" w:hAnsiTheme="minorHAnsi" w:cstheme="minorHAnsi"/>
          <w:b/>
          <w:bCs/>
          <w:u w:val="single"/>
        </w:rPr>
      </w:pPr>
    </w:p>
    <w:p w14:paraId="701FC314" w14:textId="77777777" w:rsidR="00B54D51" w:rsidRPr="00037AD4" w:rsidRDefault="00B54D51" w:rsidP="001D7ACE">
      <w:pPr>
        <w:rPr>
          <w:rFonts w:asciiTheme="minorHAnsi" w:hAnsiTheme="minorHAnsi" w:cstheme="minorHAnsi"/>
          <w:b/>
          <w:bCs/>
          <w:u w:val="single"/>
        </w:rPr>
      </w:pPr>
    </w:p>
    <w:p w14:paraId="0D8BD62C" w14:textId="77777777" w:rsidR="00B54D51" w:rsidRPr="00037AD4" w:rsidRDefault="00B54D51" w:rsidP="001D7ACE">
      <w:pPr>
        <w:rPr>
          <w:rFonts w:asciiTheme="minorHAnsi" w:hAnsiTheme="minorHAnsi" w:cstheme="minorHAnsi"/>
          <w:b/>
          <w:bCs/>
          <w:u w:val="single"/>
        </w:rPr>
      </w:pPr>
    </w:p>
    <w:p w14:paraId="48A40BDC" w14:textId="77777777" w:rsidR="00B54D51" w:rsidRPr="00037AD4" w:rsidRDefault="00B54D51" w:rsidP="001D7ACE">
      <w:pPr>
        <w:rPr>
          <w:rFonts w:asciiTheme="minorHAnsi" w:hAnsiTheme="minorHAnsi" w:cstheme="minorHAnsi"/>
          <w:b/>
          <w:bCs/>
          <w:u w:val="single"/>
        </w:rPr>
        <w:sectPr w:rsidR="00B54D51" w:rsidRPr="00037AD4" w:rsidSect="0051675A">
          <w:pgSz w:w="11906" w:h="16838"/>
          <w:pgMar w:top="1440" w:right="1440" w:bottom="1440" w:left="1440" w:header="708" w:footer="708" w:gutter="0"/>
          <w:cols w:space="708"/>
          <w:docGrid w:linePitch="360"/>
        </w:sectPr>
      </w:pPr>
    </w:p>
    <w:p w14:paraId="5867C166" w14:textId="77777777" w:rsidR="00B54D51" w:rsidRPr="00037AD4" w:rsidRDefault="00B54D51" w:rsidP="007A43F9">
      <w:pPr>
        <w:pStyle w:val="Heading2"/>
      </w:pPr>
      <w:bookmarkStart w:id="494" w:name="A51"/>
      <w:bookmarkStart w:id="495" w:name="_Toc175742409"/>
      <w:r w:rsidRPr="00037AD4">
        <w:lastRenderedPageBreak/>
        <w:t>Appendix 5.1 Proportion of PwD-informal proxy dyads and PwD-staff proxy dyads reporting change in the same/opposing directions by EQ-5D dimension</w:t>
      </w:r>
      <w:bookmarkEnd w:id="495"/>
      <w:r w:rsidRPr="00037AD4">
        <w:t xml:space="preserve"> </w:t>
      </w:r>
    </w:p>
    <w:bookmarkEnd w:id="494"/>
    <w:p w14:paraId="1F735507" w14:textId="77777777" w:rsidR="00B54D51" w:rsidRPr="00037AD4" w:rsidRDefault="00B54D51" w:rsidP="001D7ACE">
      <w:pPr>
        <w:rPr>
          <w:rFonts w:asciiTheme="minorHAnsi" w:hAnsiTheme="minorHAnsi" w:cstheme="minorHAnsi"/>
          <w:b/>
          <w:bCs/>
          <w:u w:val="single"/>
        </w:rPr>
      </w:pPr>
    </w:p>
    <w:p w14:paraId="2691A165" w14:textId="77777777" w:rsidR="00B54D51" w:rsidRPr="00037AD4" w:rsidRDefault="00B54D51" w:rsidP="001D7ACE">
      <w:pPr>
        <w:rPr>
          <w:rFonts w:asciiTheme="minorHAnsi" w:hAnsiTheme="minorHAnsi" w:cstheme="minorHAnsi"/>
          <w:u w:val="single"/>
        </w:rPr>
      </w:pPr>
      <w:r w:rsidRPr="00037AD4">
        <w:rPr>
          <w:rFonts w:asciiTheme="minorHAnsi" w:hAnsiTheme="minorHAnsi" w:cstheme="minorHAnsi"/>
          <w:u w:val="single"/>
        </w:rPr>
        <w:t xml:space="preserve">Table A5.1a, EQ-5D dimension change for PwD-informal proxy dyads </w:t>
      </w:r>
    </w:p>
    <w:p w14:paraId="3BE96DD8" w14:textId="77777777" w:rsidR="00B54D51" w:rsidRPr="00037AD4" w:rsidRDefault="00B54D51" w:rsidP="001D7ACE">
      <w:pPr>
        <w:rPr>
          <w:rFonts w:asciiTheme="minorHAnsi" w:hAnsiTheme="minorHAnsi" w:cstheme="minorHAnsi"/>
          <w:u w:val="single"/>
        </w:rPr>
      </w:pPr>
    </w:p>
    <w:tbl>
      <w:tblPr>
        <w:tblStyle w:val="TableGrid"/>
        <w:tblW w:w="15176" w:type="dxa"/>
        <w:tblLook w:val="04A0" w:firstRow="1" w:lastRow="0" w:firstColumn="1" w:lastColumn="0" w:noHBand="0" w:noVBand="1"/>
      </w:tblPr>
      <w:tblGrid>
        <w:gridCol w:w="1271"/>
        <w:gridCol w:w="1284"/>
        <w:gridCol w:w="1130"/>
        <w:gridCol w:w="1277"/>
        <w:gridCol w:w="1276"/>
        <w:gridCol w:w="1277"/>
        <w:gridCol w:w="1277"/>
        <w:gridCol w:w="1277"/>
        <w:gridCol w:w="1276"/>
        <w:gridCol w:w="1277"/>
        <w:gridCol w:w="1211"/>
        <w:gridCol w:w="1343"/>
      </w:tblGrid>
      <w:tr w:rsidR="00B54D51" w:rsidRPr="00037AD4" w14:paraId="32C1A7C7" w14:textId="77777777" w:rsidTr="00401C67">
        <w:trPr>
          <w:trHeight w:val="470"/>
        </w:trPr>
        <w:tc>
          <w:tcPr>
            <w:tcW w:w="2555" w:type="dxa"/>
            <w:gridSpan w:val="2"/>
          </w:tcPr>
          <w:p w14:paraId="0527BC4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Proportions, n (%)</w:t>
            </w:r>
          </w:p>
        </w:tc>
        <w:tc>
          <w:tcPr>
            <w:tcW w:w="1130" w:type="dxa"/>
          </w:tcPr>
          <w:p w14:paraId="606DD9B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N (%), M</w:t>
            </w:r>
          </w:p>
        </w:tc>
        <w:tc>
          <w:tcPr>
            <w:tcW w:w="1277" w:type="dxa"/>
          </w:tcPr>
          <w:p w14:paraId="7145FB9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M</w:t>
            </w:r>
          </w:p>
          <w:p w14:paraId="24D3012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n=329</w:t>
            </w:r>
          </w:p>
        </w:tc>
        <w:tc>
          <w:tcPr>
            <w:tcW w:w="1276" w:type="dxa"/>
          </w:tcPr>
          <w:p w14:paraId="4DE0929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N (%), SC</w:t>
            </w:r>
          </w:p>
        </w:tc>
        <w:tc>
          <w:tcPr>
            <w:tcW w:w="1277" w:type="dxa"/>
          </w:tcPr>
          <w:p w14:paraId="3B642E4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SC</w:t>
            </w:r>
          </w:p>
          <w:p w14:paraId="0D51277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N=327</w:t>
            </w:r>
          </w:p>
        </w:tc>
        <w:tc>
          <w:tcPr>
            <w:tcW w:w="1277" w:type="dxa"/>
          </w:tcPr>
          <w:p w14:paraId="7D633AB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N (%), UA</w:t>
            </w:r>
          </w:p>
        </w:tc>
        <w:tc>
          <w:tcPr>
            <w:tcW w:w="1277" w:type="dxa"/>
          </w:tcPr>
          <w:p w14:paraId="62CFA94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UA</w:t>
            </w:r>
          </w:p>
          <w:p w14:paraId="539E41A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N=319</w:t>
            </w:r>
          </w:p>
        </w:tc>
        <w:tc>
          <w:tcPr>
            <w:tcW w:w="1276" w:type="dxa"/>
          </w:tcPr>
          <w:p w14:paraId="79490E8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N (%), PD</w:t>
            </w:r>
          </w:p>
        </w:tc>
        <w:tc>
          <w:tcPr>
            <w:tcW w:w="1277" w:type="dxa"/>
          </w:tcPr>
          <w:p w14:paraId="02BF956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PD</w:t>
            </w:r>
          </w:p>
          <w:p w14:paraId="0AD479F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N=320</w:t>
            </w:r>
          </w:p>
        </w:tc>
        <w:tc>
          <w:tcPr>
            <w:tcW w:w="1211" w:type="dxa"/>
          </w:tcPr>
          <w:p w14:paraId="145722B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N (%), AD</w:t>
            </w:r>
          </w:p>
        </w:tc>
        <w:tc>
          <w:tcPr>
            <w:tcW w:w="1343" w:type="dxa"/>
          </w:tcPr>
          <w:p w14:paraId="6DDBA33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AD</w:t>
            </w:r>
          </w:p>
          <w:p w14:paraId="1E11FA7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N=321</w:t>
            </w:r>
          </w:p>
        </w:tc>
      </w:tr>
      <w:tr w:rsidR="00B54D51" w:rsidRPr="00037AD4" w14:paraId="2600D720" w14:textId="77777777" w:rsidTr="00401C67">
        <w:trPr>
          <w:trHeight w:val="464"/>
        </w:trPr>
        <w:tc>
          <w:tcPr>
            <w:tcW w:w="1271" w:type="dxa"/>
            <w:vMerge w:val="restart"/>
          </w:tcPr>
          <w:p w14:paraId="4A4E584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PwD-proxy dyads: same direction</w:t>
            </w:r>
          </w:p>
        </w:tc>
        <w:tc>
          <w:tcPr>
            <w:tcW w:w="1283" w:type="dxa"/>
          </w:tcPr>
          <w:p w14:paraId="3A9CA31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Both no change</w:t>
            </w:r>
          </w:p>
        </w:tc>
        <w:tc>
          <w:tcPr>
            <w:tcW w:w="1130" w:type="dxa"/>
            <w:vMerge w:val="restart"/>
          </w:tcPr>
          <w:p w14:paraId="262944EE" w14:textId="77777777" w:rsidR="00B54D51" w:rsidRPr="00037AD4" w:rsidRDefault="00B54D51" w:rsidP="00401C67">
            <w:pPr>
              <w:rPr>
                <w:rFonts w:asciiTheme="minorHAnsi" w:hAnsiTheme="minorHAnsi" w:cstheme="minorHAnsi"/>
              </w:rPr>
            </w:pPr>
          </w:p>
          <w:p w14:paraId="1846324F" w14:textId="77777777" w:rsidR="00B54D51" w:rsidRPr="00037AD4" w:rsidRDefault="00B54D51" w:rsidP="00401C67">
            <w:pPr>
              <w:rPr>
                <w:rFonts w:asciiTheme="minorHAnsi" w:hAnsiTheme="minorHAnsi" w:cstheme="minorHAnsi"/>
              </w:rPr>
            </w:pPr>
          </w:p>
          <w:p w14:paraId="5804BDF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 168 (51.0)</w:t>
            </w:r>
          </w:p>
        </w:tc>
        <w:tc>
          <w:tcPr>
            <w:tcW w:w="1277" w:type="dxa"/>
          </w:tcPr>
          <w:p w14:paraId="48F9831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126 (75.0)</w:t>
            </w:r>
          </w:p>
        </w:tc>
        <w:tc>
          <w:tcPr>
            <w:tcW w:w="1276" w:type="dxa"/>
            <w:vMerge w:val="restart"/>
          </w:tcPr>
          <w:p w14:paraId="27266CE2" w14:textId="77777777" w:rsidR="00B54D51" w:rsidRPr="00037AD4" w:rsidRDefault="00B54D51" w:rsidP="00401C67">
            <w:pPr>
              <w:rPr>
                <w:rFonts w:asciiTheme="minorHAnsi" w:hAnsiTheme="minorHAnsi" w:cstheme="minorHAnsi"/>
              </w:rPr>
            </w:pPr>
          </w:p>
          <w:p w14:paraId="082BF30C" w14:textId="77777777" w:rsidR="00B54D51" w:rsidRPr="00037AD4" w:rsidRDefault="00B54D51" w:rsidP="00401C67">
            <w:pPr>
              <w:rPr>
                <w:rFonts w:asciiTheme="minorHAnsi" w:hAnsiTheme="minorHAnsi" w:cstheme="minorHAnsi"/>
              </w:rPr>
            </w:pPr>
          </w:p>
          <w:p w14:paraId="1917B7C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177 (54.1) </w:t>
            </w:r>
          </w:p>
        </w:tc>
        <w:tc>
          <w:tcPr>
            <w:tcW w:w="1277" w:type="dxa"/>
          </w:tcPr>
          <w:p w14:paraId="3DF20B6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137 (77.4)</w:t>
            </w:r>
          </w:p>
        </w:tc>
        <w:tc>
          <w:tcPr>
            <w:tcW w:w="1277" w:type="dxa"/>
            <w:vMerge w:val="restart"/>
          </w:tcPr>
          <w:p w14:paraId="09AC84E1" w14:textId="77777777" w:rsidR="00B54D51" w:rsidRPr="00037AD4" w:rsidRDefault="00B54D51" w:rsidP="00401C67">
            <w:pPr>
              <w:rPr>
                <w:rFonts w:asciiTheme="minorHAnsi" w:hAnsiTheme="minorHAnsi" w:cstheme="minorHAnsi"/>
              </w:rPr>
            </w:pPr>
          </w:p>
          <w:p w14:paraId="3A725506" w14:textId="77777777" w:rsidR="00B54D51" w:rsidRPr="00037AD4" w:rsidRDefault="00B54D51" w:rsidP="00401C67">
            <w:pPr>
              <w:rPr>
                <w:rFonts w:asciiTheme="minorHAnsi" w:hAnsiTheme="minorHAnsi" w:cstheme="minorHAnsi"/>
              </w:rPr>
            </w:pPr>
          </w:p>
          <w:p w14:paraId="4F34A43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103 (32.3)</w:t>
            </w:r>
          </w:p>
        </w:tc>
        <w:tc>
          <w:tcPr>
            <w:tcW w:w="1277" w:type="dxa"/>
          </w:tcPr>
          <w:p w14:paraId="318DA8E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59 (57.3)</w:t>
            </w:r>
          </w:p>
        </w:tc>
        <w:tc>
          <w:tcPr>
            <w:tcW w:w="1276" w:type="dxa"/>
            <w:vMerge w:val="restart"/>
          </w:tcPr>
          <w:p w14:paraId="2296741A" w14:textId="77777777" w:rsidR="00B54D51" w:rsidRPr="00037AD4" w:rsidRDefault="00B54D51" w:rsidP="00401C67">
            <w:pPr>
              <w:rPr>
                <w:rFonts w:asciiTheme="minorHAnsi" w:hAnsiTheme="minorHAnsi" w:cstheme="minorHAnsi"/>
              </w:rPr>
            </w:pPr>
          </w:p>
          <w:p w14:paraId="00F0C16C" w14:textId="77777777" w:rsidR="00B54D51" w:rsidRPr="00037AD4" w:rsidRDefault="00B54D51" w:rsidP="00401C67">
            <w:pPr>
              <w:rPr>
                <w:rFonts w:asciiTheme="minorHAnsi" w:hAnsiTheme="minorHAnsi" w:cstheme="minorHAnsi"/>
              </w:rPr>
            </w:pPr>
          </w:p>
          <w:p w14:paraId="2F38F3A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150 (46.9)</w:t>
            </w:r>
          </w:p>
        </w:tc>
        <w:tc>
          <w:tcPr>
            <w:tcW w:w="1277" w:type="dxa"/>
          </w:tcPr>
          <w:p w14:paraId="36E7EF9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99 (66)</w:t>
            </w:r>
          </w:p>
        </w:tc>
        <w:tc>
          <w:tcPr>
            <w:tcW w:w="1211" w:type="dxa"/>
            <w:vMerge w:val="restart"/>
          </w:tcPr>
          <w:p w14:paraId="7AE023E0" w14:textId="77777777" w:rsidR="00B54D51" w:rsidRPr="00037AD4" w:rsidRDefault="00B54D51" w:rsidP="00401C67">
            <w:pPr>
              <w:rPr>
                <w:rFonts w:asciiTheme="minorHAnsi" w:hAnsiTheme="minorHAnsi" w:cstheme="minorHAnsi"/>
              </w:rPr>
            </w:pPr>
          </w:p>
          <w:p w14:paraId="03CD35A0" w14:textId="77777777" w:rsidR="00B54D51" w:rsidRPr="00037AD4" w:rsidRDefault="00B54D51" w:rsidP="00401C67">
            <w:pPr>
              <w:rPr>
                <w:rFonts w:asciiTheme="minorHAnsi" w:hAnsiTheme="minorHAnsi" w:cstheme="minorHAnsi"/>
              </w:rPr>
            </w:pPr>
          </w:p>
          <w:p w14:paraId="728EE84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156 (51.4)</w:t>
            </w:r>
          </w:p>
        </w:tc>
        <w:tc>
          <w:tcPr>
            <w:tcW w:w="1343" w:type="dxa"/>
          </w:tcPr>
          <w:p w14:paraId="6F72E67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109 (70)</w:t>
            </w:r>
          </w:p>
        </w:tc>
      </w:tr>
      <w:tr w:rsidR="00B54D51" w:rsidRPr="00037AD4" w14:paraId="1893BFEC" w14:textId="77777777" w:rsidTr="00401C67">
        <w:trPr>
          <w:trHeight w:val="487"/>
        </w:trPr>
        <w:tc>
          <w:tcPr>
            <w:tcW w:w="1271" w:type="dxa"/>
            <w:vMerge/>
          </w:tcPr>
          <w:p w14:paraId="0949A365" w14:textId="77777777" w:rsidR="00B54D51" w:rsidRPr="00037AD4" w:rsidRDefault="00B54D51" w:rsidP="00401C67">
            <w:pPr>
              <w:rPr>
                <w:rFonts w:asciiTheme="minorHAnsi" w:hAnsiTheme="minorHAnsi" w:cstheme="minorHAnsi"/>
              </w:rPr>
            </w:pPr>
          </w:p>
        </w:tc>
        <w:tc>
          <w:tcPr>
            <w:tcW w:w="1283" w:type="dxa"/>
          </w:tcPr>
          <w:p w14:paraId="690E191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Both improved</w:t>
            </w:r>
          </w:p>
        </w:tc>
        <w:tc>
          <w:tcPr>
            <w:tcW w:w="1130" w:type="dxa"/>
            <w:vMerge/>
          </w:tcPr>
          <w:p w14:paraId="5CE507BB" w14:textId="77777777" w:rsidR="00B54D51" w:rsidRPr="00037AD4" w:rsidRDefault="00B54D51" w:rsidP="00401C67">
            <w:pPr>
              <w:rPr>
                <w:rFonts w:asciiTheme="minorHAnsi" w:hAnsiTheme="minorHAnsi" w:cstheme="minorHAnsi"/>
              </w:rPr>
            </w:pPr>
          </w:p>
        </w:tc>
        <w:tc>
          <w:tcPr>
            <w:tcW w:w="1277" w:type="dxa"/>
          </w:tcPr>
          <w:p w14:paraId="5966674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 33 (19.6)</w:t>
            </w:r>
          </w:p>
        </w:tc>
        <w:tc>
          <w:tcPr>
            <w:tcW w:w="1276" w:type="dxa"/>
            <w:vMerge/>
          </w:tcPr>
          <w:p w14:paraId="4893E5AE" w14:textId="77777777" w:rsidR="00B54D51" w:rsidRPr="00037AD4" w:rsidRDefault="00B54D51" w:rsidP="00401C67">
            <w:pPr>
              <w:rPr>
                <w:rFonts w:asciiTheme="minorHAnsi" w:hAnsiTheme="minorHAnsi" w:cstheme="minorHAnsi"/>
              </w:rPr>
            </w:pPr>
          </w:p>
        </w:tc>
        <w:tc>
          <w:tcPr>
            <w:tcW w:w="1277" w:type="dxa"/>
          </w:tcPr>
          <w:p w14:paraId="6CDF1F7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38 (21.4)</w:t>
            </w:r>
          </w:p>
        </w:tc>
        <w:tc>
          <w:tcPr>
            <w:tcW w:w="1277" w:type="dxa"/>
            <w:vMerge/>
          </w:tcPr>
          <w:p w14:paraId="46C747F0" w14:textId="77777777" w:rsidR="00B54D51" w:rsidRPr="00037AD4" w:rsidRDefault="00B54D51" w:rsidP="00401C67">
            <w:pPr>
              <w:rPr>
                <w:rFonts w:asciiTheme="minorHAnsi" w:hAnsiTheme="minorHAnsi" w:cstheme="minorHAnsi"/>
              </w:rPr>
            </w:pPr>
          </w:p>
        </w:tc>
        <w:tc>
          <w:tcPr>
            <w:tcW w:w="1277" w:type="dxa"/>
          </w:tcPr>
          <w:p w14:paraId="661F9A1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31 (30.0)</w:t>
            </w:r>
          </w:p>
        </w:tc>
        <w:tc>
          <w:tcPr>
            <w:tcW w:w="1276" w:type="dxa"/>
            <w:vMerge/>
          </w:tcPr>
          <w:p w14:paraId="6566CD93" w14:textId="77777777" w:rsidR="00B54D51" w:rsidRPr="00037AD4" w:rsidRDefault="00B54D51" w:rsidP="00401C67">
            <w:pPr>
              <w:rPr>
                <w:rFonts w:asciiTheme="minorHAnsi" w:hAnsiTheme="minorHAnsi" w:cstheme="minorHAnsi"/>
              </w:rPr>
            </w:pPr>
          </w:p>
        </w:tc>
        <w:tc>
          <w:tcPr>
            <w:tcW w:w="1277" w:type="dxa"/>
          </w:tcPr>
          <w:p w14:paraId="33E9783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28 (18.7)</w:t>
            </w:r>
          </w:p>
        </w:tc>
        <w:tc>
          <w:tcPr>
            <w:tcW w:w="1211" w:type="dxa"/>
            <w:vMerge/>
          </w:tcPr>
          <w:p w14:paraId="1EB59A78" w14:textId="77777777" w:rsidR="00B54D51" w:rsidRPr="00037AD4" w:rsidRDefault="00B54D51" w:rsidP="00401C67">
            <w:pPr>
              <w:rPr>
                <w:rFonts w:asciiTheme="minorHAnsi" w:hAnsiTheme="minorHAnsi" w:cstheme="minorHAnsi"/>
              </w:rPr>
            </w:pPr>
          </w:p>
        </w:tc>
        <w:tc>
          <w:tcPr>
            <w:tcW w:w="1343" w:type="dxa"/>
          </w:tcPr>
          <w:p w14:paraId="37F3A1D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24 (15.3)</w:t>
            </w:r>
          </w:p>
        </w:tc>
      </w:tr>
      <w:tr w:rsidR="00B54D51" w:rsidRPr="00037AD4" w14:paraId="7F8CBC6B" w14:textId="77777777" w:rsidTr="00401C67">
        <w:trPr>
          <w:trHeight w:val="487"/>
        </w:trPr>
        <w:tc>
          <w:tcPr>
            <w:tcW w:w="1271" w:type="dxa"/>
            <w:vMerge/>
          </w:tcPr>
          <w:p w14:paraId="773670E9" w14:textId="77777777" w:rsidR="00B54D51" w:rsidRPr="00037AD4" w:rsidRDefault="00B54D51" w:rsidP="00401C67">
            <w:pPr>
              <w:rPr>
                <w:rFonts w:asciiTheme="minorHAnsi" w:hAnsiTheme="minorHAnsi" w:cstheme="minorHAnsi"/>
              </w:rPr>
            </w:pPr>
          </w:p>
        </w:tc>
        <w:tc>
          <w:tcPr>
            <w:tcW w:w="1283" w:type="dxa"/>
          </w:tcPr>
          <w:p w14:paraId="7E9692F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Both Worse </w:t>
            </w:r>
          </w:p>
        </w:tc>
        <w:tc>
          <w:tcPr>
            <w:tcW w:w="1130" w:type="dxa"/>
            <w:vMerge/>
          </w:tcPr>
          <w:p w14:paraId="7191763B" w14:textId="77777777" w:rsidR="00B54D51" w:rsidRPr="00037AD4" w:rsidRDefault="00B54D51" w:rsidP="00401C67">
            <w:pPr>
              <w:rPr>
                <w:rFonts w:asciiTheme="minorHAnsi" w:hAnsiTheme="minorHAnsi" w:cstheme="minorHAnsi"/>
              </w:rPr>
            </w:pPr>
          </w:p>
        </w:tc>
        <w:tc>
          <w:tcPr>
            <w:tcW w:w="1277" w:type="dxa"/>
          </w:tcPr>
          <w:p w14:paraId="7471A78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 9 (5.4)</w:t>
            </w:r>
          </w:p>
        </w:tc>
        <w:tc>
          <w:tcPr>
            <w:tcW w:w="1276" w:type="dxa"/>
            <w:vMerge/>
          </w:tcPr>
          <w:p w14:paraId="47359846" w14:textId="77777777" w:rsidR="00B54D51" w:rsidRPr="00037AD4" w:rsidRDefault="00B54D51" w:rsidP="00401C67">
            <w:pPr>
              <w:rPr>
                <w:rFonts w:asciiTheme="minorHAnsi" w:hAnsiTheme="minorHAnsi" w:cstheme="minorHAnsi"/>
              </w:rPr>
            </w:pPr>
          </w:p>
        </w:tc>
        <w:tc>
          <w:tcPr>
            <w:tcW w:w="1277" w:type="dxa"/>
          </w:tcPr>
          <w:p w14:paraId="6E1F9D5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2 (1.2) </w:t>
            </w:r>
          </w:p>
        </w:tc>
        <w:tc>
          <w:tcPr>
            <w:tcW w:w="1277" w:type="dxa"/>
            <w:vMerge/>
          </w:tcPr>
          <w:p w14:paraId="4DE4836D" w14:textId="77777777" w:rsidR="00B54D51" w:rsidRPr="00037AD4" w:rsidRDefault="00B54D51" w:rsidP="00401C67">
            <w:pPr>
              <w:rPr>
                <w:rFonts w:asciiTheme="minorHAnsi" w:hAnsiTheme="minorHAnsi" w:cstheme="minorHAnsi"/>
              </w:rPr>
            </w:pPr>
          </w:p>
        </w:tc>
        <w:tc>
          <w:tcPr>
            <w:tcW w:w="1277" w:type="dxa"/>
          </w:tcPr>
          <w:p w14:paraId="5292BEA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13 (12.7)</w:t>
            </w:r>
          </w:p>
        </w:tc>
        <w:tc>
          <w:tcPr>
            <w:tcW w:w="1276" w:type="dxa"/>
            <w:vMerge/>
          </w:tcPr>
          <w:p w14:paraId="62A895CF" w14:textId="77777777" w:rsidR="00B54D51" w:rsidRPr="00037AD4" w:rsidRDefault="00B54D51" w:rsidP="00401C67">
            <w:pPr>
              <w:rPr>
                <w:rFonts w:asciiTheme="minorHAnsi" w:hAnsiTheme="minorHAnsi" w:cstheme="minorHAnsi"/>
              </w:rPr>
            </w:pPr>
          </w:p>
        </w:tc>
        <w:tc>
          <w:tcPr>
            <w:tcW w:w="1277" w:type="dxa"/>
          </w:tcPr>
          <w:p w14:paraId="7888062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23 (15.3)</w:t>
            </w:r>
          </w:p>
        </w:tc>
        <w:tc>
          <w:tcPr>
            <w:tcW w:w="1211" w:type="dxa"/>
            <w:vMerge/>
          </w:tcPr>
          <w:p w14:paraId="156206B4" w14:textId="77777777" w:rsidR="00B54D51" w:rsidRPr="00037AD4" w:rsidRDefault="00B54D51" w:rsidP="00401C67">
            <w:pPr>
              <w:rPr>
                <w:rFonts w:asciiTheme="minorHAnsi" w:hAnsiTheme="minorHAnsi" w:cstheme="minorHAnsi"/>
              </w:rPr>
            </w:pPr>
          </w:p>
        </w:tc>
        <w:tc>
          <w:tcPr>
            <w:tcW w:w="1343" w:type="dxa"/>
          </w:tcPr>
          <w:p w14:paraId="6CA7E1C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23 (14.7)</w:t>
            </w:r>
          </w:p>
        </w:tc>
      </w:tr>
      <w:tr w:rsidR="00B54D51" w:rsidRPr="00037AD4" w14:paraId="5B38C23E" w14:textId="77777777" w:rsidTr="00401C67">
        <w:trPr>
          <w:trHeight w:val="456"/>
        </w:trPr>
        <w:tc>
          <w:tcPr>
            <w:tcW w:w="1271" w:type="dxa"/>
            <w:vMerge w:val="restart"/>
          </w:tcPr>
          <w:p w14:paraId="5525594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PwD-proxy dyads: opposing direction</w:t>
            </w:r>
          </w:p>
        </w:tc>
        <w:tc>
          <w:tcPr>
            <w:tcW w:w="1283" w:type="dxa"/>
          </w:tcPr>
          <w:p w14:paraId="14DE846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Proxy pessimistic </w:t>
            </w:r>
          </w:p>
        </w:tc>
        <w:tc>
          <w:tcPr>
            <w:tcW w:w="1130" w:type="dxa"/>
            <w:vMerge w:val="restart"/>
          </w:tcPr>
          <w:p w14:paraId="378A698A" w14:textId="77777777" w:rsidR="00B54D51" w:rsidRPr="00037AD4" w:rsidRDefault="00B54D51" w:rsidP="00401C67">
            <w:pPr>
              <w:rPr>
                <w:rFonts w:asciiTheme="minorHAnsi" w:hAnsiTheme="minorHAnsi" w:cstheme="minorHAnsi"/>
              </w:rPr>
            </w:pPr>
          </w:p>
          <w:p w14:paraId="53FFB23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 161 (48.9)</w:t>
            </w:r>
          </w:p>
        </w:tc>
        <w:tc>
          <w:tcPr>
            <w:tcW w:w="1277" w:type="dxa"/>
          </w:tcPr>
          <w:p w14:paraId="1364D51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93 (57.8)</w:t>
            </w:r>
          </w:p>
        </w:tc>
        <w:tc>
          <w:tcPr>
            <w:tcW w:w="1276" w:type="dxa"/>
            <w:vMerge w:val="restart"/>
          </w:tcPr>
          <w:p w14:paraId="1E4F25BA" w14:textId="77777777" w:rsidR="00B54D51" w:rsidRPr="00037AD4" w:rsidRDefault="00B54D51" w:rsidP="00401C67">
            <w:pPr>
              <w:rPr>
                <w:rFonts w:asciiTheme="minorHAnsi" w:hAnsiTheme="minorHAnsi" w:cstheme="minorHAnsi"/>
              </w:rPr>
            </w:pPr>
          </w:p>
          <w:p w14:paraId="5D6712A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150 (45.9)</w:t>
            </w:r>
          </w:p>
        </w:tc>
        <w:tc>
          <w:tcPr>
            <w:tcW w:w="1277" w:type="dxa"/>
          </w:tcPr>
          <w:p w14:paraId="564398D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106 (70.7)</w:t>
            </w:r>
          </w:p>
        </w:tc>
        <w:tc>
          <w:tcPr>
            <w:tcW w:w="1277" w:type="dxa"/>
            <w:vMerge w:val="restart"/>
          </w:tcPr>
          <w:p w14:paraId="7A4A3EF9" w14:textId="77777777" w:rsidR="00B54D51" w:rsidRPr="00037AD4" w:rsidRDefault="00B54D51" w:rsidP="00401C67">
            <w:pPr>
              <w:rPr>
                <w:rFonts w:asciiTheme="minorHAnsi" w:hAnsiTheme="minorHAnsi" w:cstheme="minorHAnsi"/>
              </w:rPr>
            </w:pPr>
          </w:p>
          <w:p w14:paraId="0D5EC76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216 (67.7)</w:t>
            </w:r>
          </w:p>
        </w:tc>
        <w:tc>
          <w:tcPr>
            <w:tcW w:w="1277" w:type="dxa"/>
          </w:tcPr>
          <w:p w14:paraId="08137D8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137 (63.4)</w:t>
            </w:r>
          </w:p>
        </w:tc>
        <w:tc>
          <w:tcPr>
            <w:tcW w:w="1276" w:type="dxa"/>
            <w:vMerge w:val="restart"/>
          </w:tcPr>
          <w:p w14:paraId="6EC35ABD" w14:textId="77777777" w:rsidR="00B54D51" w:rsidRPr="00037AD4" w:rsidRDefault="00B54D51" w:rsidP="00401C67">
            <w:pPr>
              <w:rPr>
                <w:rFonts w:asciiTheme="minorHAnsi" w:hAnsiTheme="minorHAnsi" w:cstheme="minorHAnsi"/>
              </w:rPr>
            </w:pPr>
          </w:p>
          <w:p w14:paraId="577CF56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170 (53.1)</w:t>
            </w:r>
          </w:p>
        </w:tc>
        <w:tc>
          <w:tcPr>
            <w:tcW w:w="1277" w:type="dxa"/>
          </w:tcPr>
          <w:p w14:paraId="6FE03EA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88 (51.8)</w:t>
            </w:r>
          </w:p>
        </w:tc>
        <w:tc>
          <w:tcPr>
            <w:tcW w:w="1211" w:type="dxa"/>
            <w:vMerge w:val="restart"/>
          </w:tcPr>
          <w:p w14:paraId="08D131CB" w14:textId="77777777" w:rsidR="00B54D51" w:rsidRPr="00037AD4" w:rsidRDefault="00B54D51" w:rsidP="00401C67">
            <w:pPr>
              <w:rPr>
                <w:rFonts w:asciiTheme="minorHAnsi" w:hAnsiTheme="minorHAnsi" w:cstheme="minorHAnsi"/>
              </w:rPr>
            </w:pPr>
          </w:p>
          <w:p w14:paraId="5C6FDC0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165 (48.6)</w:t>
            </w:r>
          </w:p>
        </w:tc>
        <w:tc>
          <w:tcPr>
            <w:tcW w:w="1343" w:type="dxa"/>
          </w:tcPr>
          <w:p w14:paraId="4A59345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92 (55.8) </w:t>
            </w:r>
          </w:p>
        </w:tc>
      </w:tr>
      <w:tr w:rsidR="00B54D51" w:rsidRPr="00037AD4" w14:paraId="7F68E0E1" w14:textId="77777777" w:rsidTr="00401C67">
        <w:trPr>
          <w:trHeight w:val="521"/>
        </w:trPr>
        <w:tc>
          <w:tcPr>
            <w:tcW w:w="1271" w:type="dxa"/>
            <w:vMerge/>
          </w:tcPr>
          <w:p w14:paraId="2B80B4EB" w14:textId="77777777" w:rsidR="00B54D51" w:rsidRPr="00037AD4" w:rsidRDefault="00B54D51" w:rsidP="00401C67">
            <w:pPr>
              <w:rPr>
                <w:rFonts w:asciiTheme="minorHAnsi" w:hAnsiTheme="minorHAnsi" w:cstheme="minorHAnsi"/>
              </w:rPr>
            </w:pPr>
          </w:p>
        </w:tc>
        <w:tc>
          <w:tcPr>
            <w:tcW w:w="1283" w:type="dxa"/>
          </w:tcPr>
          <w:p w14:paraId="03A9608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PwD pessimistic </w:t>
            </w:r>
          </w:p>
        </w:tc>
        <w:tc>
          <w:tcPr>
            <w:tcW w:w="1130" w:type="dxa"/>
            <w:vMerge/>
          </w:tcPr>
          <w:p w14:paraId="13E90DFC" w14:textId="77777777" w:rsidR="00B54D51" w:rsidRPr="00037AD4" w:rsidRDefault="00B54D51" w:rsidP="00401C67">
            <w:pPr>
              <w:rPr>
                <w:rFonts w:asciiTheme="minorHAnsi" w:hAnsiTheme="minorHAnsi" w:cstheme="minorHAnsi"/>
              </w:rPr>
            </w:pPr>
          </w:p>
        </w:tc>
        <w:tc>
          <w:tcPr>
            <w:tcW w:w="1277" w:type="dxa"/>
          </w:tcPr>
          <w:p w14:paraId="6ECA487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 68 (42.2)</w:t>
            </w:r>
          </w:p>
        </w:tc>
        <w:tc>
          <w:tcPr>
            <w:tcW w:w="1276" w:type="dxa"/>
            <w:vMerge/>
          </w:tcPr>
          <w:p w14:paraId="614A3DB1" w14:textId="77777777" w:rsidR="00B54D51" w:rsidRPr="00037AD4" w:rsidRDefault="00B54D51" w:rsidP="00401C67">
            <w:pPr>
              <w:rPr>
                <w:rFonts w:asciiTheme="minorHAnsi" w:hAnsiTheme="minorHAnsi" w:cstheme="minorHAnsi"/>
              </w:rPr>
            </w:pPr>
          </w:p>
        </w:tc>
        <w:tc>
          <w:tcPr>
            <w:tcW w:w="1277" w:type="dxa"/>
          </w:tcPr>
          <w:p w14:paraId="782D87F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44 (29.3)</w:t>
            </w:r>
          </w:p>
        </w:tc>
        <w:tc>
          <w:tcPr>
            <w:tcW w:w="1277" w:type="dxa"/>
            <w:vMerge/>
          </w:tcPr>
          <w:p w14:paraId="05C4FDD3" w14:textId="77777777" w:rsidR="00B54D51" w:rsidRPr="00037AD4" w:rsidRDefault="00B54D51" w:rsidP="00401C67">
            <w:pPr>
              <w:rPr>
                <w:rFonts w:asciiTheme="minorHAnsi" w:hAnsiTheme="minorHAnsi" w:cstheme="minorHAnsi"/>
              </w:rPr>
            </w:pPr>
          </w:p>
        </w:tc>
        <w:tc>
          <w:tcPr>
            <w:tcW w:w="1277" w:type="dxa"/>
          </w:tcPr>
          <w:p w14:paraId="714A300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79 (36.6)</w:t>
            </w:r>
          </w:p>
        </w:tc>
        <w:tc>
          <w:tcPr>
            <w:tcW w:w="1276" w:type="dxa"/>
            <w:vMerge/>
          </w:tcPr>
          <w:p w14:paraId="4621C5CD" w14:textId="77777777" w:rsidR="00B54D51" w:rsidRPr="00037AD4" w:rsidRDefault="00B54D51" w:rsidP="00401C67">
            <w:pPr>
              <w:rPr>
                <w:rFonts w:asciiTheme="minorHAnsi" w:hAnsiTheme="minorHAnsi" w:cstheme="minorHAnsi"/>
              </w:rPr>
            </w:pPr>
          </w:p>
        </w:tc>
        <w:tc>
          <w:tcPr>
            <w:tcW w:w="1277" w:type="dxa"/>
          </w:tcPr>
          <w:p w14:paraId="18AE1F1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82 (48.2)</w:t>
            </w:r>
          </w:p>
        </w:tc>
        <w:tc>
          <w:tcPr>
            <w:tcW w:w="1211" w:type="dxa"/>
            <w:vMerge/>
          </w:tcPr>
          <w:p w14:paraId="6AEC8CF9" w14:textId="77777777" w:rsidR="00B54D51" w:rsidRPr="00037AD4" w:rsidRDefault="00B54D51" w:rsidP="00401C67">
            <w:pPr>
              <w:rPr>
                <w:rFonts w:asciiTheme="minorHAnsi" w:hAnsiTheme="minorHAnsi" w:cstheme="minorHAnsi"/>
              </w:rPr>
            </w:pPr>
          </w:p>
        </w:tc>
        <w:tc>
          <w:tcPr>
            <w:tcW w:w="1343" w:type="dxa"/>
          </w:tcPr>
          <w:p w14:paraId="0FE92CD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73 (44.2)</w:t>
            </w:r>
          </w:p>
        </w:tc>
      </w:tr>
    </w:tbl>
    <w:p w14:paraId="75881637" w14:textId="77777777" w:rsidR="00B54D51" w:rsidRPr="00037AD4" w:rsidRDefault="00B54D51" w:rsidP="001D7ACE">
      <w:pPr>
        <w:rPr>
          <w:rFonts w:asciiTheme="minorHAnsi" w:hAnsiTheme="minorHAnsi" w:cstheme="minorHAnsi"/>
        </w:rPr>
      </w:pPr>
    </w:p>
    <w:p w14:paraId="00C92D34" w14:textId="77777777" w:rsidR="00B54D51" w:rsidRPr="00037AD4" w:rsidRDefault="00B54D51" w:rsidP="001D7ACE">
      <w:pPr>
        <w:rPr>
          <w:rFonts w:asciiTheme="minorHAnsi" w:hAnsiTheme="minorHAnsi" w:cstheme="minorHAnsi"/>
          <w:u w:val="single"/>
        </w:rPr>
      </w:pPr>
      <w:r w:rsidRPr="00037AD4">
        <w:rPr>
          <w:rFonts w:asciiTheme="minorHAnsi" w:hAnsiTheme="minorHAnsi" w:cstheme="minorHAnsi"/>
          <w:u w:val="single"/>
        </w:rPr>
        <w:t xml:space="preserve">Table A5.1b, EQ-5D dimension change for PwD-staff proxy dyads* </w:t>
      </w:r>
    </w:p>
    <w:p w14:paraId="40D7C2B0" w14:textId="77777777" w:rsidR="00B54D51" w:rsidRPr="00037AD4" w:rsidRDefault="00B54D51" w:rsidP="001D7ACE">
      <w:pPr>
        <w:rPr>
          <w:rFonts w:asciiTheme="minorHAnsi" w:hAnsiTheme="minorHAnsi" w:cstheme="minorHAnsi"/>
          <w:u w:val="single"/>
        </w:rPr>
      </w:pPr>
    </w:p>
    <w:tbl>
      <w:tblPr>
        <w:tblStyle w:val="TableGrid"/>
        <w:tblW w:w="15163" w:type="dxa"/>
        <w:tblLook w:val="04A0" w:firstRow="1" w:lastRow="0" w:firstColumn="1" w:lastColumn="0" w:noHBand="0" w:noVBand="1"/>
      </w:tblPr>
      <w:tblGrid>
        <w:gridCol w:w="1270"/>
        <w:gridCol w:w="1282"/>
        <w:gridCol w:w="1129"/>
        <w:gridCol w:w="1276"/>
        <w:gridCol w:w="1275"/>
        <w:gridCol w:w="1276"/>
        <w:gridCol w:w="1276"/>
        <w:gridCol w:w="1276"/>
        <w:gridCol w:w="1275"/>
        <w:gridCol w:w="1276"/>
        <w:gridCol w:w="1210"/>
        <w:gridCol w:w="1342"/>
      </w:tblGrid>
      <w:tr w:rsidR="00B54D51" w:rsidRPr="00037AD4" w14:paraId="2718C896" w14:textId="77777777" w:rsidTr="00401C67">
        <w:trPr>
          <w:trHeight w:val="531"/>
        </w:trPr>
        <w:tc>
          <w:tcPr>
            <w:tcW w:w="2552" w:type="dxa"/>
            <w:gridSpan w:val="2"/>
          </w:tcPr>
          <w:p w14:paraId="3054A684" w14:textId="77777777" w:rsidR="00B54D51" w:rsidRPr="00037AD4" w:rsidRDefault="00B54D51" w:rsidP="00401C67">
            <w:pPr>
              <w:rPr>
                <w:rFonts w:asciiTheme="minorHAnsi" w:hAnsiTheme="minorHAnsi" w:cstheme="minorHAnsi"/>
              </w:rPr>
            </w:pPr>
            <w:bookmarkStart w:id="496" w:name="OLE_LINK2"/>
            <w:r w:rsidRPr="00037AD4">
              <w:rPr>
                <w:rFonts w:asciiTheme="minorHAnsi" w:hAnsiTheme="minorHAnsi" w:cstheme="minorHAnsi"/>
              </w:rPr>
              <w:t>Proportions, n (%)</w:t>
            </w:r>
          </w:p>
        </w:tc>
        <w:tc>
          <w:tcPr>
            <w:tcW w:w="1129" w:type="dxa"/>
          </w:tcPr>
          <w:p w14:paraId="3A84ED5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N (%), M</w:t>
            </w:r>
          </w:p>
        </w:tc>
        <w:tc>
          <w:tcPr>
            <w:tcW w:w="1276" w:type="dxa"/>
          </w:tcPr>
          <w:p w14:paraId="189134B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M</w:t>
            </w:r>
          </w:p>
          <w:p w14:paraId="159F0BD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n=134</w:t>
            </w:r>
          </w:p>
        </w:tc>
        <w:tc>
          <w:tcPr>
            <w:tcW w:w="1275" w:type="dxa"/>
          </w:tcPr>
          <w:p w14:paraId="11972BE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N (%), SC</w:t>
            </w:r>
          </w:p>
        </w:tc>
        <w:tc>
          <w:tcPr>
            <w:tcW w:w="1276" w:type="dxa"/>
          </w:tcPr>
          <w:p w14:paraId="6F7AFD4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SC</w:t>
            </w:r>
          </w:p>
          <w:p w14:paraId="5C52680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N=132</w:t>
            </w:r>
          </w:p>
        </w:tc>
        <w:tc>
          <w:tcPr>
            <w:tcW w:w="1276" w:type="dxa"/>
          </w:tcPr>
          <w:p w14:paraId="606D9E0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N (%), UA</w:t>
            </w:r>
          </w:p>
        </w:tc>
        <w:tc>
          <w:tcPr>
            <w:tcW w:w="1276" w:type="dxa"/>
          </w:tcPr>
          <w:p w14:paraId="6855137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UA</w:t>
            </w:r>
          </w:p>
          <w:p w14:paraId="22D8A5A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N=130</w:t>
            </w:r>
          </w:p>
        </w:tc>
        <w:tc>
          <w:tcPr>
            <w:tcW w:w="1275" w:type="dxa"/>
          </w:tcPr>
          <w:p w14:paraId="6C57E74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N (%), PD</w:t>
            </w:r>
          </w:p>
        </w:tc>
        <w:tc>
          <w:tcPr>
            <w:tcW w:w="1276" w:type="dxa"/>
          </w:tcPr>
          <w:p w14:paraId="0351B44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PD</w:t>
            </w:r>
          </w:p>
          <w:p w14:paraId="707D643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N=131</w:t>
            </w:r>
          </w:p>
        </w:tc>
        <w:tc>
          <w:tcPr>
            <w:tcW w:w="1210" w:type="dxa"/>
          </w:tcPr>
          <w:p w14:paraId="1579EE0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N (%), AD</w:t>
            </w:r>
          </w:p>
        </w:tc>
        <w:tc>
          <w:tcPr>
            <w:tcW w:w="1342" w:type="dxa"/>
          </w:tcPr>
          <w:p w14:paraId="01ACF92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AD</w:t>
            </w:r>
          </w:p>
          <w:p w14:paraId="63E0188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N=132</w:t>
            </w:r>
          </w:p>
        </w:tc>
      </w:tr>
      <w:tr w:rsidR="00B54D51" w:rsidRPr="00037AD4" w14:paraId="7D9E145A" w14:textId="77777777" w:rsidTr="00401C67">
        <w:trPr>
          <w:trHeight w:val="524"/>
        </w:trPr>
        <w:tc>
          <w:tcPr>
            <w:tcW w:w="1270" w:type="dxa"/>
            <w:vMerge w:val="restart"/>
          </w:tcPr>
          <w:p w14:paraId="7CD3E40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PwD-staff dyads: same direction</w:t>
            </w:r>
          </w:p>
        </w:tc>
        <w:tc>
          <w:tcPr>
            <w:tcW w:w="1282" w:type="dxa"/>
          </w:tcPr>
          <w:p w14:paraId="67E0C47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Both no change</w:t>
            </w:r>
          </w:p>
        </w:tc>
        <w:tc>
          <w:tcPr>
            <w:tcW w:w="1129" w:type="dxa"/>
            <w:vMerge w:val="restart"/>
          </w:tcPr>
          <w:p w14:paraId="34DD6830" w14:textId="77777777" w:rsidR="00B54D51" w:rsidRPr="00037AD4" w:rsidRDefault="00B54D51" w:rsidP="00401C67">
            <w:pPr>
              <w:rPr>
                <w:rFonts w:asciiTheme="minorHAnsi" w:hAnsiTheme="minorHAnsi" w:cstheme="minorHAnsi"/>
              </w:rPr>
            </w:pPr>
          </w:p>
          <w:p w14:paraId="2CF2CF4F" w14:textId="77777777" w:rsidR="00B54D51" w:rsidRPr="00037AD4" w:rsidRDefault="00B54D51" w:rsidP="00401C67">
            <w:pPr>
              <w:rPr>
                <w:rFonts w:asciiTheme="minorHAnsi" w:hAnsiTheme="minorHAnsi" w:cstheme="minorHAnsi"/>
              </w:rPr>
            </w:pPr>
          </w:p>
          <w:p w14:paraId="7A07C35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58 (43.2)</w:t>
            </w:r>
          </w:p>
          <w:p w14:paraId="16DCEE6B" w14:textId="77777777" w:rsidR="00B54D51" w:rsidRPr="00037AD4" w:rsidRDefault="00B54D51" w:rsidP="00401C67">
            <w:pPr>
              <w:rPr>
                <w:rFonts w:asciiTheme="minorHAnsi" w:hAnsiTheme="minorHAnsi" w:cstheme="minorHAnsi"/>
              </w:rPr>
            </w:pPr>
          </w:p>
        </w:tc>
        <w:tc>
          <w:tcPr>
            <w:tcW w:w="1276" w:type="dxa"/>
          </w:tcPr>
          <w:p w14:paraId="34B3393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24 (41.3)</w:t>
            </w:r>
          </w:p>
        </w:tc>
        <w:tc>
          <w:tcPr>
            <w:tcW w:w="1275" w:type="dxa"/>
            <w:vMerge w:val="restart"/>
          </w:tcPr>
          <w:p w14:paraId="5AA7C61B" w14:textId="77777777" w:rsidR="00B54D51" w:rsidRPr="00037AD4" w:rsidRDefault="00B54D51" w:rsidP="00401C67">
            <w:pPr>
              <w:rPr>
                <w:rFonts w:asciiTheme="minorHAnsi" w:hAnsiTheme="minorHAnsi" w:cstheme="minorHAnsi"/>
              </w:rPr>
            </w:pPr>
          </w:p>
          <w:p w14:paraId="7167D7B1" w14:textId="77777777" w:rsidR="00B54D51" w:rsidRPr="00037AD4" w:rsidRDefault="00B54D51" w:rsidP="00401C67">
            <w:pPr>
              <w:rPr>
                <w:rFonts w:asciiTheme="minorHAnsi" w:hAnsiTheme="minorHAnsi" w:cstheme="minorHAnsi"/>
              </w:rPr>
            </w:pPr>
          </w:p>
          <w:p w14:paraId="37CA91F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58 (44.0)</w:t>
            </w:r>
          </w:p>
        </w:tc>
        <w:tc>
          <w:tcPr>
            <w:tcW w:w="1276" w:type="dxa"/>
          </w:tcPr>
          <w:p w14:paraId="714F9E4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21 (36.2)</w:t>
            </w:r>
          </w:p>
        </w:tc>
        <w:tc>
          <w:tcPr>
            <w:tcW w:w="1276" w:type="dxa"/>
            <w:vMerge w:val="restart"/>
          </w:tcPr>
          <w:p w14:paraId="1678F8CB" w14:textId="77777777" w:rsidR="00B54D51" w:rsidRPr="00037AD4" w:rsidRDefault="00B54D51" w:rsidP="00401C67">
            <w:pPr>
              <w:rPr>
                <w:rFonts w:asciiTheme="minorHAnsi" w:hAnsiTheme="minorHAnsi" w:cstheme="minorHAnsi"/>
              </w:rPr>
            </w:pPr>
          </w:p>
          <w:p w14:paraId="39ED514C" w14:textId="77777777" w:rsidR="00B54D51" w:rsidRPr="00037AD4" w:rsidRDefault="00B54D51" w:rsidP="00401C67">
            <w:pPr>
              <w:rPr>
                <w:rFonts w:asciiTheme="minorHAnsi" w:hAnsiTheme="minorHAnsi" w:cstheme="minorHAnsi"/>
              </w:rPr>
            </w:pPr>
          </w:p>
          <w:p w14:paraId="6054AA5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66 (50.8)</w:t>
            </w:r>
          </w:p>
        </w:tc>
        <w:tc>
          <w:tcPr>
            <w:tcW w:w="1276" w:type="dxa"/>
          </w:tcPr>
          <w:p w14:paraId="2B18EF9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47 (71.2)</w:t>
            </w:r>
          </w:p>
        </w:tc>
        <w:tc>
          <w:tcPr>
            <w:tcW w:w="1275" w:type="dxa"/>
            <w:vMerge w:val="restart"/>
          </w:tcPr>
          <w:p w14:paraId="76ABDE46" w14:textId="77777777" w:rsidR="00B54D51" w:rsidRPr="00037AD4" w:rsidRDefault="00B54D51" w:rsidP="00401C67">
            <w:pPr>
              <w:rPr>
                <w:rFonts w:asciiTheme="minorHAnsi" w:hAnsiTheme="minorHAnsi" w:cstheme="minorHAnsi"/>
              </w:rPr>
            </w:pPr>
          </w:p>
          <w:p w14:paraId="3A7B17A5" w14:textId="77777777" w:rsidR="00B54D51" w:rsidRPr="00037AD4" w:rsidRDefault="00B54D51" w:rsidP="00401C67">
            <w:pPr>
              <w:rPr>
                <w:rFonts w:asciiTheme="minorHAnsi" w:hAnsiTheme="minorHAnsi" w:cstheme="minorHAnsi"/>
              </w:rPr>
            </w:pPr>
          </w:p>
          <w:p w14:paraId="1F46E44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75 (57.3)</w:t>
            </w:r>
          </w:p>
        </w:tc>
        <w:tc>
          <w:tcPr>
            <w:tcW w:w="1276" w:type="dxa"/>
          </w:tcPr>
          <w:p w14:paraId="7DB0D26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58 (77.3)</w:t>
            </w:r>
          </w:p>
        </w:tc>
        <w:tc>
          <w:tcPr>
            <w:tcW w:w="1210" w:type="dxa"/>
            <w:vMerge w:val="restart"/>
          </w:tcPr>
          <w:p w14:paraId="0385C737" w14:textId="77777777" w:rsidR="00B54D51" w:rsidRPr="00037AD4" w:rsidRDefault="00B54D51" w:rsidP="00401C67">
            <w:pPr>
              <w:rPr>
                <w:rFonts w:asciiTheme="minorHAnsi" w:hAnsiTheme="minorHAnsi" w:cstheme="minorHAnsi"/>
              </w:rPr>
            </w:pPr>
          </w:p>
          <w:p w14:paraId="3E384932" w14:textId="77777777" w:rsidR="00B54D51" w:rsidRPr="00037AD4" w:rsidRDefault="00B54D51" w:rsidP="00401C67">
            <w:pPr>
              <w:rPr>
                <w:rFonts w:asciiTheme="minorHAnsi" w:hAnsiTheme="minorHAnsi" w:cstheme="minorHAnsi"/>
              </w:rPr>
            </w:pPr>
          </w:p>
          <w:p w14:paraId="105CD03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70 (53.0)</w:t>
            </w:r>
          </w:p>
        </w:tc>
        <w:tc>
          <w:tcPr>
            <w:tcW w:w="1342" w:type="dxa"/>
          </w:tcPr>
          <w:p w14:paraId="53ABB72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60 (85.8)</w:t>
            </w:r>
          </w:p>
        </w:tc>
      </w:tr>
      <w:tr w:rsidR="00B54D51" w:rsidRPr="00037AD4" w14:paraId="6F60B495" w14:textId="77777777" w:rsidTr="00401C67">
        <w:trPr>
          <w:trHeight w:val="550"/>
        </w:trPr>
        <w:tc>
          <w:tcPr>
            <w:tcW w:w="1270" w:type="dxa"/>
            <w:vMerge/>
          </w:tcPr>
          <w:p w14:paraId="347FC1F3" w14:textId="77777777" w:rsidR="00B54D51" w:rsidRPr="00037AD4" w:rsidRDefault="00B54D51" w:rsidP="00401C67">
            <w:pPr>
              <w:rPr>
                <w:rFonts w:asciiTheme="minorHAnsi" w:hAnsiTheme="minorHAnsi" w:cstheme="minorHAnsi"/>
              </w:rPr>
            </w:pPr>
          </w:p>
        </w:tc>
        <w:tc>
          <w:tcPr>
            <w:tcW w:w="1282" w:type="dxa"/>
          </w:tcPr>
          <w:p w14:paraId="2440477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Both improved</w:t>
            </w:r>
          </w:p>
        </w:tc>
        <w:tc>
          <w:tcPr>
            <w:tcW w:w="1129" w:type="dxa"/>
            <w:vMerge/>
          </w:tcPr>
          <w:p w14:paraId="510379CD" w14:textId="77777777" w:rsidR="00B54D51" w:rsidRPr="00037AD4" w:rsidRDefault="00B54D51" w:rsidP="00401C67">
            <w:pPr>
              <w:rPr>
                <w:rFonts w:asciiTheme="minorHAnsi" w:hAnsiTheme="minorHAnsi" w:cstheme="minorHAnsi"/>
              </w:rPr>
            </w:pPr>
          </w:p>
        </w:tc>
        <w:tc>
          <w:tcPr>
            <w:tcW w:w="1276" w:type="dxa"/>
          </w:tcPr>
          <w:p w14:paraId="0D647CD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25 (43.1)</w:t>
            </w:r>
          </w:p>
        </w:tc>
        <w:tc>
          <w:tcPr>
            <w:tcW w:w="1275" w:type="dxa"/>
            <w:vMerge/>
          </w:tcPr>
          <w:p w14:paraId="63156BD7" w14:textId="77777777" w:rsidR="00B54D51" w:rsidRPr="00037AD4" w:rsidRDefault="00B54D51" w:rsidP="00401C67">
            <w:pPr>
              <w:rPr>
                <w:rFonts w:asciiTheme="minorHAnsi" w:hAnsiTheme="minorHAnsi" w:cstheme="minorHAnsi"/>
              </w:rPr>
            </w:pPr>
          </w:p>
        </w:tc>
        <w:tc>
          <w:tcPr>
            <w:tcW w:w="1276" w:type="dxa"/>
          </w:tcPr>
          <w:p w14:paraId="47D6F1F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33 (56.9)</w:t>
            </w:r>
          </w:p>
        </w:tc>
        <w:tc>
          <w:tcPr>
            <w:tcW w:w="1276" w:type="dxa"/>
            <w:vMerge/>
          </w:tcPr>
          <w:p w14:paraId="1C0E83C7" w14:textId="77777777" w:rsidR="00B54D51" w:rsidRPr="00037AD4" w:rsidRDefault="00B54D51" w:rsidP="00401C67">
            <w:pPr>
              <w:rPr>
                <w:rFonts w:asciiTheme="minorHAnsi" w:hAnsiTheme="minorHAnsi" w:cstheme="minorHAnsi"/>
              </w:rPr>
            </w:pPr>
          </w:p>
        </w:tc>
        <w:tc>
          <w:tcPr>
            <w:tcW w:w="1276" w:type="dxa"/>
          </w:tcPr>
          <w:p w14:paraId="73E22F5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18 (27.2)</w:t>
            </w:r>
          </w:p>
        </w:tc>
        <w:tc>
          <w:tcPr>
            <w:tcW w:w="1275" w:type="dxa"/>
            <w:vMerge/>
          </w:tcPr>
          <w:p w14:paraId="473F632A" w14:textId="77777777" w:rsidR="00B54D51" w:rsidRPr="00037AD4" w:rsidRDefault="00B54D51" w:rsidP="00401C67">
            <w:pPr>
              <w:rPr>
                <w:rFonts w:asciiTheme="minorHAnsi" w:hAnsiTheme="minorHAnsi" w:cstheme="minorHAnsi"/>
              </w:rPr>
            </w:pPr>
          </w:p>
        </w:tc>
        <w:tc>
          <w:tcPr>
            <w:tcW w:w="1276" w:type="dxa"/>
          </w:tcPr>
          <w:p w14:paraId="65CC299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8 (10.7)</w:t>
            </w:r>
          </w:p>
        </w:tc>
        <w:tc>
          <w:tcPr>
            <w:tcW w:w="1210" w:type="dxa"/>
            <w:vMerge/>
          </w:tcPr>
          <w:p w14:paraId="64642579" w14:textId="77777777" w:rsidR="00B54D51" w:rsidRPr="00037AD4" w:rsidRDefault="00B54D51" w:rsidP="00401C67">
            <w:pPr>
              <w:rPr>
                <w:rFonts w:asciiTheme="minorHAnsi" w:hAnsiTheme="minorHAnsi" w:cstheme="minorHAnsi"/>
              </w:rPr>
            </w:pPr>
          </w:p>
        </w:tc>
        <w:tc>
          <w:tcPr>
            <w:tcW w:w="1342" w:type="dxa"/>
          </w:tcPr>
          <w:p w14:paraId="70FE85D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5 (7.1)</w:t>
            </w:r>
          </w:p>
        </w:tc>
      </w:tr>
      <w:tr w:rsidR="00B54D51" w:rsidRPr="00037AD4" w14:paraId="5E4F505D" w14:textId="77777777" w:rsidTr="00401C67">
        <w:trPr>
          <w:trHeight w:val="550"/>
        </w:trPr>
        <w:tc>
          <w:tcPr>
            <w:tcW w:w="1270" w:type="dxa"/>
            <w:vMerge/>
          </w:tcPr>
          <w:p w14:paraId="6BFCBC86" w14:textId="77777777" w:rsidR="00B54D51" w:rsidRPr="00037AD4" w:rsidRDefault="00B54D51" w:rsidP="00401C67">
            <w:pPr>
              <w:rPr>
                <w:rFonts w:asciiTheme="minorHAnsi" w:hAnsiTheme="minorHAnsi" w:cstheme="minorHAnsi"/>
              </w:rPr>
            </w:pPr>
          </w:p>
        </w:tc>
        <w:tc>
          <w:tcPr>
            <w:tcW w:w="1282" w:type="dxa"/>
          </w:tcPr>
          <w:p w14:paraId="59D95F6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Both Worse </w:t>
            </w:r>
          </w:p>
        </w:tc>
        <w:tc>
          <w:tcPr>
            <w:tcW w:w="1129" w:type="dxa"/>
            <w:vMerge/>
          </w:tcPr>
          <w:p w14:paraId="032D1270" w14:textId="77777777" w:rsidR="00B54D51" w:rsidRPr="00037AD4" w:rsidRDefault="00B54D51" w:rsidP="00401C67">
            <w:pPr>
              <w:rPr>
                <w:rFonts w:asciiTheme="minorHAnsi" w:hAnsiTheme="minorHAnsi" w:cstheme="minorHAnsi"/>
              </w:rPr>
            </w:pPr>
          </w:p>
        </w:tc>
        <w:tc>
          <w:tcPr>
            <w:tcW w:w="1276" w:type="dxa"/>
          </w:tcPr>
          <w:p w14:paraId="7329126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9 (15.6)</w:t>
            </w:r>
          </w:p>
        </w:tc>
        <w:tc>
          <w:tcPr>
            <w:tcW w:w="1275" w:type="dxa"/>
            <w:vMerge/>
          </w:tcPr>
          <w:p w14:paraId="09B2D5DB" w14:textId="77777777" w:rsidR="00B54D51" w:rsidRPr="00037AD4" w:rsidRDefault="00B54D51" w:rsidP="00401C67">
            <w:pPr>
              <w:rPr>
                <w:rFonts w:asciiTheme="minorHAnsi" w:hAnsiTheme="minorHAnsi" w:cstheme="minorHAnsi"/>
              </w:rPr>
            </w:pPr>
          </w:p>
        </w:tc>
        <w:tc>
          <w:tcPr>
            <w:tcW w:w="1276" w:type="dxa"/>
          </w:tcPr>
          <w:p w14:paraId="2CC2E90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4 (6.9)</w:t>
            </w:r>
          </w:p>
        </w:tc>
        <w:tc>
          <w:tcPr>
            <w:tcW w:w="1276" w:type="dxa"/>
            <w:vMerge/>
          </w:tcPr>
          <w:p w14:paraId="4C72B3C5" w14:textId="77777777" w:rsidR="00B54D51" w:rsidRPr="00037AD4" w:rsidRDefault="00B54D51" w:rsidP="00401C67">
            <w:pPr>
              <w:rPr>
                <w:rFonts w:asciiTheme="minorHAnsi" w:hAnsiTheme="minorHAnsi" w:cstheme="minorHAnsi"/>
              </w:rPr>
            </w:pPr>
          </w:p>
        </w:tc>
        <w:tc>
          <w:tcPr>
            <w:tcW w:w="1276" w:type="dxa"/>
          </w:tcPr>
          <w:p w14:paraId="67675A9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 (1.6)</w:t>
            </w:r>
          </w:p>
        </w:tc>
        <w:tc>
          <w:tcPr>
            <w:tcW w:w="1275" w:type="dxa"/>
            <w:vMerge/>
          </w:tcPr>
          <w:p w14:paraId="030A49E4" w14:textId="77777777" w:rsidR="00B54D51" w:rsidRPr="00037AD4" w:rsidRDefault="00B54D51" w:rsidP="00401C67">
            <w:pPr>
              <w:rPr>
                <w:rFonts w:asciiTheme="minorHAnsi" w:hAnsiTheme="minorHAnsi" w:cstheme="minorHAnsi"/>
              </w:rPr>
            </w:pPr>
          </w:p>
        </w:tc>
        <w:tc>
          <w:tcPr>
            <w:tcW w:w="1276" w:type="dxa"/>
          </w:tcPr>
          <w:p w14:paraId="3CC161C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9 (12.0)</w:t>
            </w:r>
          </w:p>
        </w:tc>
        <w:tc>
          <w:tcPr>
            <w:tcW w:w="1210" w:type="dxa"/>
            <w:vMerge/>
          </w:tcPr>
          <w:p w14:paraId="61D1FB98" w14:textId="77777777" w:rsidR="00B54D51" w:rsidRPr="00037AD4" w:rsidRDefault="00B54D51" w:rsidP="00401C67">
            <w:pPr>
              <w:rPr>
                <w:rFonts w:asciiTheme="minorHAnsi" w:hAnsiTheme="minorHAnsi" w:cstheme="minorHAnsi"/>
              </w:rPr>
            </w:pPr>
          </w:p>
        </w:tc>
        <w:tc>
          <w:tcPr>
            <w:tcW w:w="1342" w:type="dxa"/>
          </w:tcPr>
          <w:p w14:paraId="4FADEC4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5 (7.1)</w:t>
            </w:r>
          </w:p>
        </w:tc>
      </w:tr>
      <w:tr w:rsidR="00B54D51" w:rsidRPr="00037AD4" w14:paraId="0B184543" w14:textId="77777777" w:rsidTr="00401C67">
        <w:trPr>
          <w:trHeight w:val="515"/>
        </w:trPr>
        <w:tc>
          <w:tcPr>
            <w:tcW w:w="1270" w:type="dxa"/>
            <w:vMerge w:val="restart"/>
          </w:tcPr>
          <w:p w14:paraId="23CAEC6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lastRenderedPageBreak/>
              <w:t>PwD-staff dyads: opposing direction</w:t>
            </w:r>
          </w:p>
        </w:tc>
        <w:tc>
          <w:tcPr>
            <w:tcW w:w="1282" w:type="dxa"/>
          </w:tcPr>
          <w:p w14:paraId="3ADD205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Proxy pessimistic </w:t>
            </w:r>
          </w:p>
        </w:tc>
        <w:tc>
          <w:tcPr>
            <w:tcW w:w="1129" w:type="dxa"/>
            <w:vMerge w:val="restart"/>
          </w:tcPr>
          <w:p w14:paraId="502E5E0E" w14:textId="77777777" w:rsidR="00B54D51" w:rsidRPr="00037AD4" w:rsidRDefault="00B54D51" w:rsidP="00401C67">
            <w:pPr>
              <w:rPr>
                <w:rFonts w:asciiTheme="minorHAnsi" w:hAnsiTheme="minorHAnsi" w:cstheme="minorHAnsi"/>
              </w:rPr>
            </w:pPr>
          </w:p>
          <w:p w14:paraId="1DDB1E9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76 (56.8)</w:t>
            </w:r>
          </w:p>
        </w:tc>
        <w:tc>
          <w:tcPr>
            <w:tcW w:w="1276" w:type="dxa"/>
          </w:tcPr>
          <w:p w14:paraId="7A3283F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39 (51.3)</w:t>
            </w:r>
          </w:p>
        </w:tc>
        <w:tc>
          <w:tcPr>
            <w:tcW w:w="1275" w:type="dxa"/>
            <w:vMerge w:val="restart"/>
          </w:tcPr>
          <w:p w14:paraId="7EFC87A5" w14:textId="77777777" w:rsidR="00B54D51" w:rsidRPr="00037AD4" w:rsidRDefault="00B54D51" w:rsidP="00401C67">
            <w:pPr>
              <w:rPr>
                <w:rFonts w:asciiTheme="minorHAnsi" w:hAnsiTheme="minorHAnsi" w:cstheme="minorHAnsi"/>
              </w:rPr>
            </w:pPr>
          </w:p>
          <w:p w14:paraId="38ECAFB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74 (56.0)</w:t>
            </w:r>
          </w:p>
        </w:tc>
        <w:tc>
          <w:tcPr>
            <w:tcW w:w="1276" w:type="dxa"/>
          </w:tcPr>
          <w:p w14:paraId="6B1DD32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35 (47.2)</w:t>
            </w:r>
          </w:p>
        </w:tc>
        <w:tc>
          <w:tcPr>
            <w:tcW w:w="1276" w:type="dxa"/>
            <w:vMerge w:val="restart"/>
          </w:tcPr>
          <w:p w14:paraId="723B3B10" w14:textId="77777777" w:rsidR="00B54D51" w:rsidRPr="00037AD4" w:rsidRDefault="00B54D51" w:rsidP="00401C67">
            <w:pPr>
              <w:rPr>
                <w:rFonts w:asciiTheme="minorHAnsi" w:hAnsiTheme="minorHAnsi" w:cstheme="minorHAnsi"/>
              </w:rPr>
            </w:pPr>
          </w:p>
          <w:p w14:paraId="6555CD3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64 (49.2)</w:t>
            </w:r>
          </w:p>
        </w:tc>
        <w:tc>
          <w:tcPr>
            <w:tcW w:w="1276" w:type="dxa"/>
          </w:tcPr>
          <w:p w14:paraId="27AED9A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26 (40.6)</w:t>
            </w:r>
          </w:p>
        </w:tc>
        <w:tc>
          <w:tcPr>
            <w:tcW w:w="1275" w:type="dxa"/>
            <w:vMerge w:val="restart"/>
          </w:tcPr>
          <w:p w14:paraId="79E09C41" w14:textId="77777777" w:rsidR="00B54D51" w:rsidRPr="00037AD4" w:rsidRDefault="00B54D51" w:rsidP="00401C67">
            <w:pPr>
              <w:rPr>
                <w:rFonts w:asciiTheme="minorHAnsi" w:hAnsiTheme="minorHAnsi" w:cstheme="minorHAnsi"/>
              </w:rPr>
            </w:pPr>
          </w:p>
          <w:p w14:paraId="38D7597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56 (42.7)</w:t>
            </w:r>
          </w:p>
        </w:tc>
        <w:tc>
          <w:tcPr>
            <w:tcW w:w="1276" w:type="dxa"/>
          </w:tcPr>
          <w:p w14:paraId="3890A4D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25 (44.6)</w:t>
            </w:r>
          </w:p>
        </w:tc>
        <w:tc>
          <w:tcPr>
            <w:tcW w:w="1210" w:type="dxa"/>
            <w:vMerge w:val="restart"/>
          </w:tcPr>
          <w:p w14:paraId="2011A2AE" w14:textId="77777777" w:rsidR="00B54D51" w:rsidRPr="00037AD4" w:rsidRDefault="00B54D51" w:rsidP="00401C67">
            <w:pPr>
              <w:rPr>
                <w:rFonts w:asciiTheme="minorHAnsi" w:hAnsiTheme="minorHAnsi" w:cstheme="minorHAnsi"/>
              </w:rPr>
            </w:pPr>
          </w:p>
          <w:p w14:paraId="5F9AB25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62 (47.0)</w:t>
            </w:r>
          </w:p>
        </w:tc>
        <w:tc>
          <w:tcPr>
            <w:tcW w:w="1342" w:type="dxa"/>
          </w:tcPr>
          <w:p w14:paraId="4CB9B31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28 (45.1)</w:t>
            </w:r>
          </w:p>
        </w:tc>
      </w:tr>
      <w:tr w:rsidR="00B54D51" w:rsidRPr="00037AD4" w14:paraId="1B24F2F1" w14:textId="77777777" w:rsidTr="00401C67">
        <w:trPr>
          <w:trHeight w:val="550"/>
        </w:trPr>
        <w:tc>
          <w:tcPr>
            <w:tcW w:w="1270" w:type="dxa"/>
            <w:vMerge/>
          </w:tcPr>
          <w:p w14:paraId="3D25CEE4" w14:textId="77777777" w:rsidR="00B54D51" w:rsidRPr="00037AD4" w:rsidRDefault="00B54D51" w:rsidP="00401C67">
            <w:pPr>
              <w:rPr>
                <w:rFonts w:asciiTheme="minorHAnsi" w:hAnsiTheme="minorHAnsi" w:cstheme="minorHAnsi"/>
              </w:rPr>
            </w:pPr>
          </w:p>
        </w:tc>
        <w:tc>
          <w:tcPr>
            <w:tcW w:w="1282" w:type="dxa"/>
          </w:tcPr>
          <w:p w14:paraId="6E7ED97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PwD pessimistic </w:t>
            </w:r>
          </w:p>
        </w:tc>
        <w:tc>
          <w:tcPr>
            <w:tcW w:w="1129" w:type="dxa"/>
            <w:vMerge/>
          </w:tcPr>
          <w:p w14:paraId="1369A5DD" w14:textId="77777777" w:rsidR="00B54D51" w:rsidRPr="00037AD4" w:rsidRDefault="00B54D51" w:rsidP="00401C67">
            <w:pPr>
              <w:rPr>
                <w:rFonts w:asciiTheme="minorHAnsi" w:hAnsiTheme="minorHAnsi" w:cstheme="minorHAnsi"/>
              </w:rPr>
            </w:pPr>
          </w:p>
        </w:tc>
        <w:tc>
          <w:tcPr>
            <w:tcW w:w="1276" w:type="dxa"/>
          </w:tcPr>
          <w:p w14:paraId="570CDE0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37 (48.7)</w:t>
            </w:r>
          </w:p>
        </w:tc>
        <w:tc>
          <w:tcPr>
            <w:tcW w:w="1275" w:type="dxa"/>
            <w:vMerge/>
          </w:tcPr>
          <w:p w14:paraId="23AED570" w14:textId="77777777" w:rsidR="00B54D51" w:rsidRPr="00037AD4" w:rsidRDefault="00B54D51" w:rsidP="00401C67">
            <w:pPr>
              <w:rPr>
                <w:rFonts w:asciiTheme="minorHAnsi" w:hAnsiTheme="minorHAnsi" w:cstheme="minorHAnsi"/>
              </w:rPr>
            </w:pPr>
          </w:p>
        </w:tc>
        <w:tc>
          <w:tcPr>
            <w:tcW w:w="1276" w:type="dxa"/>
          </w:tcPr>
          <w:p w14:paraId="053EFF2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39 (52.8)</w:t>
            </w:r>
          </w:p>
        </w:tc>
        <w:tc>
          <w:tcPr>
            <w:tcW w:w="1276" w:type="dxa"/>
            <w:vMerge/>
          </w:tcPr>
          <w:p w14:paraId="5CD06B37" w14:textId="77777777" w:rsidR="00B54D51" w:rsidRPr="00037AD4" w:rsidRDefault="00B54D51" w:rsidP="00401C67">
            <w:pPr>
              <w:rPr>
                <w:rFonts w:asciiTheme="minorHAnsi" w:hAnsiTheme="minorHAnsi" w:cstheme="minorHAnsi"/>
              </w:rPr>
            </w:pPr>
          </w:p>
        </w:tc>
        <w:tc>
          <w:tcPr>
            <w:tcW w:w="1276" w:type="dxa"/>
          </w:tcPr>
          <w:p w14:paraId="42ADFF3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38 (59.4)</w:t>
            </w:r>
          </w:p>
        </w:tc>
        <w:tc>
          <w:tcPr>
            <w:tcW w:w="1275" w:type="dxa"/>
            <w:vMerge/>
          </w:tcPr>
          <w:p w14:paraId="2824997A" w14:textId="77777777" w:rsidR="00B54D51" w:rsidRPr="00037AD4" w:rsidRDefault="00B54D51" w:rsidP="00401C67">
            <w:pPr>
              <w:rPr>
                <w:rFonts w:asciiTheme="minorHAnsi" w:hAnsiTheme="minorHAnsi" w:cstheme="minorHAnsi"/>
              </w:rPr>
            </w:pPr>
          </w:p>
        </w:tc>
        <w:tc>
          <w:tcPr>
            <w:tcW w:w="1276" w:type="dxa"/>
          </w:tcPr>
          <w:p w14:paraId="1F20B58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31 (55.4)</w:t>
            </w:r>
          </w:p>
        </w:tc>
        <w:tc>
          <w:tcPr>
            <w:tcW w:w="1210" w:type="dxa"/>
            <w:vMerge/>
          </w:tcPr>
          <w:p w14:paraId="44E03469" w14:textId="77777777" w:rsidR="00B54D51" w:rsidRPr="00037AD4" w:rsidRDefault="00B54D51" w:rsidP="00401C67">
            <w:pPr>
              <w:rPr>
                <w:rFonts w:asciiTheme="minorHAnsi" w:hAnsiTheme="minorHAnsi" w:cstheme="minorHAnsi"/>
              </w:rPr>
            </w:pPr>
          </w:p>
        </w:tc>
        <w:tc>
          <w:tcPr>
            <w:tcW w:w="1342" w:type="dxa"/>
          </w:tcPr>
          <w:p w14:paraId="6847877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34 (54.9)</w:t>
            </w:r>
          </w:p>
        </w:tc>
      </w:tr>
    </w:tbl>
    <w:bookmarkEnd w:id="496"/>
    <w:p w14:paraId="7388D40D" w14:textId="77777777" w:rsidR="00B54D51" w:rsidRPr="00037AD4" w:rsidRDefault="00B54D51" w:rsidP="001D7ACE">
      <w:pPr>
        <w:rPr>
          <w:rFonts w:asciiTheme="minorHAnsi" w:hAnsiTheme="minorHAnsi" w:cstheme="minorHAnsi"/>
          <w:b/>
          <w:bCs/>
          <w:u w:val="single"/>
        </w:rPr>
      </w:pPr>
      <w:r w:rsidRPr="00037AD4">
        <w:rPr>
          <w:rFonts w:asciiTheme="minorHAnsi" w:hAnsiTheme="minorHAnsi" w:cstheme="minorHAnsi"/>
        </w:rPr>
        <w:t>*Table A5.1b is limited to data from the EPIC study only.</w:t>
      </w:r>
    </w:p>
    <w:p w14:paraId="633BE205" w14:textId="77777777" w:rsidR="00B54D51" w:rsidRPr="00037AD4" w:rsidRDefault="00B54D51" w:rsidP="001D7ACE">
      <w:pPr>
        <w:rPr>
          <w:rFonts w:asciiTheme="minorHAnsi" w:hAnsiTheme="minorHAnsi" w:cstheme="minorHAnsi"/>
          <w:b/>
          <w:bCs/>
          <w:sz w:val="26"/>
          <w:szCs w:val="26"/>
          <w:u w:val="single"/>
        </w:rPr>
      </w:pPr>
    </w:p>
    <w:p w14:paraId="0B5AB7DB" w14:textId="77777777" w:rsidR="00B54D51" w:rsidRPr="00037AD4" w:rsidRDefault="00B54D51" w:rsidP="007A43F9">
      <w:pPr>
        <w:pStyle w:val="Heading2"/>
      </w:pPr>
      <w:bookmarkStart w:id="497" w:name="A52"/>
      <w:bookmarkStart w:id="498" w:name="_Toc175742410"/>
      <w:r w:rsidRPr="00037AD4">
        <w:t>Appendix 5.2 Floor and ceiling effects of EQ-5D dimensions</w:t>
      </w:r>
      <w:bookmarkEnd w:id="498"/>
      <w:r w:rsidRPr="00037AD4">
        <w:t xml:space="preserve"> </w:t>
      </w:r>
    </w:p>
    <w:bookmarkEnd w:id="497"/>
    <w:p w14:paraId="324BFE76" w14:textId="77777777" w:rsidR="00B54D51" w:rsidRPr="00037AD4" w:rsidRDefault="00B54D51" w:rsidP="001D7ACE">
      <w:pPr>
        <w:rPr>
          <w:rFonts w:asciiTheme="minorHAnsi" w:hAnsiTheme="minorHAnsi" w:cstheme="minorHAnsi"/>
          <w:b/>
          <w:bCs/>
          <w:u w:val="single"/>
        </w:rPr>
      </w:pPr>
    </w:p>
    <w:tbl>
      <w:tblPr>
        <w:tblStyle w:val="TableGrid"/>
        <w:tblW w:w="8830" w:type="dxa"/>
        <w:tblLook w:val="04A0" w:firstRow="1" w:lastRow="0" w:firstColumn="1" w:lastColumn="0" w:noHBand="0" w:noVBand="1"/>
      </w:tblPr>
      <w:tblGrid>
        <w:gridCol w:w="2112"/>
        <w:gridCol w:w="2204"/>
        <w:gridCol w:w="1615"/>
        <w:gridCol w:w="1584"/>
        <w:gridCol w:w="1315"/>
      </w:tblGrid>
      <w:tr w:rsidR="00B54D51" w:rsidRPr="00037AD4" w14:paraId="6D3F95E1" w14:textId="77777777" w:rsidTr="00401C67">
        <w:trPr>
          <w:trHeight w:val="582"/>
        </w:trPr>
        <w:tc>
          <w:tcPr>
            <w:tcW w:w="1982" w:type="dxa"/>
          </w:tcPr>
          <w:p w14:paraId="286DCDA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Dimension</w:t>
            </w:r>
          </w:p>
        </w:tc>
        <w:tc>
          <w:tcPr>
            <w:tcW w:w="2251" w:type="dxa"/>
          </w:tcPr>
          <w:p w14:paraId="1777893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Category </w:t>
            </w:r>
          </w:p>
        </w:tc>
        <w:tc>
          <w:tcPr>
            <w:tcW w:w="1651" w:type="dxa"/>
          </w:tcPr>
          <w:p w14:paraId="5FD8AF8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n (%) PwD </w:t>
            </w:r>
          </w:p>
        </w:tc>
        <w:tc>
          <w:tcPr>
            <w:tcW w:w="1608" w:type="dxa"/>
          </w:tcPr>
          <w:p w14:paraId="16D24A4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N (%) informal proxy </w:t>
            </w:r>
          </w:p>
        </w:tc>
        <w:tc>
          <w:tcPr>
            <w:tcW w:w="1338" w:type="dxa"/>
          </w:tcPr>
          <w:p w14:paraId="1C791C4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N (%) staff proxy</w:t>
            </w:r>
          </w:p>
        </w:tc>
      </w:tr>
      <w:tr w:rsidR="00B54D51" w:rsidRPr="00037AD4" w14:paraId="6B25974E" w14:textId="77777777" w:rsidTr="00401C67">
        <w:trPr>
          <w:trHeight w:val="271"/>
        </w:trPr>
        <w:tc>
          <w:tcPr>
            <w:tcW w:w="1982" w:type="dxa"/>
            <w:vMerge w:val="restart"/>
          </w:tcPr>
          <w:p w14:paraId="3B65C5C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Mobility</w:t>
            </w:r>
          </w:p>
        </w:tc>
        <w:tc>
          <w:tcPr>
            <w:tcW w:w="2251" w:type="dxa"/>
          </w:tcPr>
          <w:p w14:paraId="4A60886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No problem (1)</w:t>
            </w:r>
          </w:p>
        </w:tc>
        <w:tc>
          <w:tcPr>
            <w:tcW w:w="1651" w:type="dxa"/>
          </w:tcPr>
          <w:p w14:paraId="745DCAF4" w14:textId="77777777" w:rsidR="00B54D51" w:rsidRPr="00037AD4" w:rsidRDefault="00B54D51" w:rsidP="00401C67">
            <w:pPr>
              <w:rPr>
                <w:rFonts w:asciiTheme="minorHAnsi" w:hAnsiTheme="minorHAnsi" w:cstheme="minorHAnsi"/>
                <w:b/>
                <w:bCs/>
                <w:u w:val="single"/>
              </w:rPr>
            </w:pPr>
            <w:r w:rsidRPr="00037AD4">
              <w:rPr>
                <w:rFonts w:asciiTheme="minorHAnsi" w:hAnsiTheme="minorHAnsi" w:cstheme="minorHAnsi"/>
                <w:b/>
                <w:bCs/>
                <w:u w:val="single"/>
              </w:rPr>
              <w:t>501 (60.0)</w:t>
            </w:r>
          </w:p>
        </w:tc>
        <w:tc>
          <w:tcPr>
            <w:tcW w:w="1608" w:type="dxa"/>
          </w:tcPr>
          <w:p w14:paraId="4D3FF64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211 (34.3)</w:t>
            </w:r>
          </w:p>
        </w:tc>
        <w:tc>
          <w:tcPr>
            <w:tcW w:w="1338" w:type="dxa"/>
          </w:tcPr>
          <w:p w14:paraId="29D8544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268 (36.6)</w:t>
            </w:r>
          </w:p>
        </w:tc>
      </w:tr>
      <w:tr w:rsidR="00B54D51" w:rsidRPr="00037AD4" w14:paraId="3FA28D43" w14:textId="77777777" w:rsidTr="00401C67">
        <w:trPr>
          <w:trHeight w:val="600"/>
        </w:trPr>
        <w:tc>
          <w:tcPr>
            <w:tcW w:w="1982" w:type="dxa"/>
            <w:vMerge/>
          </w:tcPr>
          <w:p w14:paraId="1C2A8D0A" w14:textId="77777777" w:rsidR="00B54D51" w:rsidRPr="00037AD4" w:rsidRDefault="00B54D51" w:rsidP="00401C67">
            <w:pPr>
              <w:rPr>
                <w:rFonts w:asciiTheme="minorHAnsi" w:hAnsiTheme="minorHAnsi" w:cstheme="minorHAnsi"/>
              </w:rPr>
            </w:pPr>
          </w:p>
        </w:tc>
        <w:tc>
          <w:tcPr>
            <w:tcW w:w="2251" w:type="dxa"/>
          </w:tcPr>
          <w:p w14:paraId="27717C4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Extreme problems (5)</w:t>
            </w:r>
          </w:p>
        </w:tc>
        <w:tc>
          <w:tcPr>
            <w:tcW w:w="1651" w:type="dxa"/>
          </w:tcPr>
          <w:p w14:paraId="47BA23E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31 (3.7)</w:t>
            </w:r>
          </w:p>
        </w:tc>
        <w:tc>
          <w:tcPr>
            <w:tcW w:w="1608" w:type="dxa"/>
          </w:tcPr>
          <w:p w14:paraId="4B00733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42 (6.8)</w:t>
            </w:r>
          </w:p>
        </w:tc>
        <w:tc>
          <w:tcPr>
            <w:tcW w:w="1338" w:type="dxa"/>
          </w:tcPr>
          <w:p w14:paraId="6B51E3F1" w14:textId="77777777" w:rsidR="00B54D51" w:rsidRPr="00037AD4" w:rsidRDefault="00B54D51" w:rsidP="00401C67">
            <w:pPr>
              <w:rPr>
                <w:rFonts w:asciiTheme="minorHAnsi" w:hAnsiTheme="minorHAnsi" w:cstheme="minorHAnsi"/>
                <w:b/>
                <w:bCs/>
                <w:u w:val="single"/>
              </w:rPr>
            </w:pPr>
            <w:r w:rsidRPr="00037AD4">
              <w:rPr>
                <w:rFonts w:asciiTheme="minorHAnsi" w:hAnsiTheme="minorHAnsi" w:cstheme="minorHAnsi"/>
                <w:b/>
                <w:bCs/>
                <w:u w:val="single"/>
              </w:rPr>
              <w:t>207 (28.2)</w:t>
            </w:r>
          </w:p>
        </w:tc>
      </w:tr>
      <w:tr w:rsidR="00B54D51" w:rsidRPr="00037AD4" w14:paraId="47930B00" w14:textId="77777777" w:rsidTr="00401C67">
        <w:trPr>
          <w:trHeight w:val="291"/>
        </w:trPr>
        <w:tc>
          <w:tcPr>
            <w:tcW w:w="1982" w:type="dxa"/>
            <w:vMerge w:val="restart"/>
          </w:tcPr>
          <w:p w14:paraId="5A120EC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Self-care</w:t>
            </w:r>
          </w:p>
        </w:tc>
        <w:tc>
          <w:tcPr>
            <w:tcW w:w="2251" w:type="dxa"/>
          </w:tcPr>
          <w:p w14:paraId="01CE583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No problem (1)</w:t>
            </w:r>
          </w:p>
        </w:tc>
        <w:tc>
          <w:tcPr>
            <w:tcW w:w="1651" w:type="dxa"/>
          </w:tcPr>
          <w:p w14:paraId="641B00FB"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 xml:space="preserve">632 </w:t>
            </w:r>
            <w:r w:rsidRPr="00037AD4">
              <w:rPr>
                <w:rFonts w:asciiTheme="minorHAnsi" w:hAnsiTheme="minorHAnsi" w:cstheme="minorHAnsi"/>
                <w:b/>
                <w:bCs/>
                <w:u w:val="single"/>
              </w:rPr>
              <w:t>(76.1)</w:t>
            </w:r>
          </w:p>
        </w:tc>
        <w:tc>
          <w:tcPr>
            <w:tcW w:w="1608" w:type="dxa"/>
          </w:tcPr>
          <w:p w14:paraId="7B01969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249 (40.7)</w:t>
            </w:r>
          </w:p>
        </w:tc>
        <w:tc>
          <w:tcPr>
            <w:tcW w:w="1338" w:type="dxa"/>
          </w:tcPr>
          <w:p w14:paraId="06FA336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95 (13.0)</w:t>
            </w:r>
          </w:p>
        </w:tc>
      </w:tr>
      <w:tr w:rsidR="00B54D51" w:rsidRPr="00037AD4" w14:paraId="2F81C7FD" w14:textId="77777777" w:rsidTr="00401C67">
        <w:trPr>
          <w:trHeight w:val="582"/>
        </w:trPr>
        <w:tc>
          <w:tcPr>
            <w:tcW w:w="1982" w:type="dxa"/>
            <w:vMerge/>
          </w:tcPr>
          <w:p w14:paraId="6F19E041" w14:textId="77777777" w:rsidR="00B54D51" w:rsidRPr="00037AD4" w:rsidRDefault="00B54D51" w:rsidP="00401C67">
            <w:pPr>
              <w:rPr>
                <w:rFonts w:asciiTheme="minorHAnsi" w:hAnsiTheme="minorHAnsi" w:cstheme="minorHAnsi"/>
              </w:rPr>
            </w:pPr>
          </w:p>
        </w:tc>
        <w:tc>
          <w:tcPr>
            <w:tcW w:w="2251" w:type="dxa"/>
          </w:tcPr>
          <w:p w14:paraId="4EBD14F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Extreme problems (5)</w:t>
            </w:r>
          </w:p>
        </w:tc>
        <w:tc>
          <w:tcPr>
            <w:tcW w:w="1651" w:type="dxa"/>
          </w:tcPr>
          <w:p w14:paraId="46DA7BE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16 (1.9)</w:t>
            </w:r>
          </w:p>
        </w:tc>
        <w:tc>
          <w:tcPr>
            <w:tcW w:w="1608" w:type="dxa"/>
          </w:tcPr>
          <w:p w14:paraId="46D153BE"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100 (16.3)</w:t>
            </w:r>
          </w:p>
        </w:tc>
        <w:tc>
          <w:tcPr>
            <w:tcW w:w="1338" w:type="dxa"/>
          </w:tcPr>
          <w:p w14:paraId="67868AA5"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 xml:space="preserve">355 </w:t>
            </w:r>
            <w:r w:rsidRPr="00037AD4">
              <w:rPr>
                <w:rFonts w:asciiTheme="minorHAnsi" w:hAnsiTheme="minorHAnsi" w:cstheme="minorHAnsi"/>
                <w:b/>
                <w:bCs/>
                <w:u w:val="single"/>
              </w:rPr>
              <w:t>(48.4)</w:t>
            </w:r>
          </w:p>
        </w:tc>
      </w:tr>
      <w:tr w:rsidR="00B54D51" w:rsidRPr="00037AD4" w14:paraId="58D06E0D" w14:textId="77777777" w:rsidTr="00401C67">
        <w:trPr>
          <w:trHeight w:val="291"/>
        </w:trPr>
        <w:tc>
          <w:tcPr>
            <w:tcW w:w="1982" w:type="dxa"/>
            <w:vMerge w:val="restart"/>
          </w:tcPr>
          <w:p w14:paraId="20E20BE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Usual activities </w:t>
            </w:r>
          </w:p>
        </w:tc>
        <w:tc>
          <w:tcPr>
            <w:tcW w:w="2251" w:type="dxa"/>
          </w:tcPr>
          <w:p w14:paraId="1AEF725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No problem (1)</w:t>
            </w:r>
          </w:p>
        </w:tc>
        <w:tc>
          <w:tcPr>
            <w:tcW w:w="1651" w:type="dxa"/>
          </w:tcPr>
          <w:p w14:paraId="6F0229C7" w14:textId="77777777" w:rsidR="00B54D51" w:rsidRPr="00037AD4" w:rsidRDefault="00B54D51" w:rsidP="00401C67">
            <w:pPr>
              <w:rPr>
                <w:rFonts w:asciiTheme="minorHAnsi" w:hAnsiTheme="minorHAnsi" w:cstheme="minorHAnsi"/>
                <w:b/>
                <w:bCs/>
                <w:u w:val="single"/>
              </w:rPr>
            </w:pPr>
            <w:r w:rsidRPr="00037AD4">
              <w:rPr>
                <w:rFonts w:asciiTheme="minorHAnsi" w:hAnsiTheme="minorHAnsi" w:cstheme="minorHAnsi"/>
                <w:b/>
                <w:bCs/>
                <w:u w:val="single"/>
              </w:rPr>
              <w:t>549 (67.0)</w:t>
            </w:r>
          </w:p>
        </w:tc>
        <w:tc>
          <w:tcPr>
            <w:tcW w:w="1608" w:type="dxa"/>
          </w:tcPr>
          <w:p w14:paraId="41099DA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148 (24.2)</w:t>
            </w:r>
          </w:p>
        </w:tc>
        <w:tc>
          <w:tcPr>
            <w:tcW w:w="1338" w:type="dxa"/>
          </w:tcPr>
          <w:p w14:paraId="28F1A194" w14:textId="77777777" w:rsidR="00B54D51" w:rsidRPr="00037AD4" w:rsidRDefault="00B54D51" w:rsidP="00401C67">
            <w:pPr>
              <w:rPr>
                <w:rFonts w:asciiTheme="minorHAnsi" w:hAnsiTheme="minorHAnsi" w:cstheme="minorHAnsi"/>
                <w:b/>
                <w:bCs/>
                <w:u w:val="single"/>
              </w:rPr>
            </w:pPr>
            <w:r w:rsidRPr="00037AD4">
              <w:rPr>
                <w:rFonts w:asciiTheme="minorHAnsi" w:hAnsiTheme="minorHAnsi" w:cstheme="minorHAnsi"/>
                <w:b/>
                <w:bCs/>
                <w:u w:val="single"/>
              </w:rPr>
              <w:t>461 (62.8)</w:t>
            </w:r>
          </w:p>
        </w:tc>
      </w:tr>
      <w:tr w:rsidR="00B54D51" w:rsidRPr="00037AD4" w14:paraId="750EFCE3" w14:textId="77777777" w:rsidTr="00401C67">
        <w:trPr>
          <w:trHeight w:val="600"/>
        </w:trPr>
        <w:tc>
          <w:tcPr>
            <w:tcW w:w="1982" w:type="dxa"/>
            <w:vMerge/>
          </w:tcPr>
          <w:p w14:paraId="4F1AC6E8" w14:textId="77777777" w:rsidR="00B54D51" w:rsidRPr="00037AD4" w:rsidRDefault="00B54D51" w:rsidP="00401C67">
            <w:pPr>
              <w:rPr>
                <w:rFonts w:asciiTheme="minorHAnsi" w:hAnsiTheme="minorHAnsi" w:cstheme="minorHAnsi"/>
              </w:rPr>
            </w:pPr>
          </w:p>
        </w:tc>
        <w:tc>
          <w:tcPr>
            <w:tcW w:w="2251" w:type="dxa"/>
          </w:tcPr>
          <w:p w14:paraId="514D987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Extreme problems (5)</w:t>
            </w:r>
          </w:p>
        </w:tc>
        <w:tc>
          <w:tcPr>
            <w:tcW w:w="1651" w:type="dxa"/>
          </w:tcPr>
          <w:p w14:paraId="28DF9D9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16 (2.0)</w:t>
            </w:r>
          </w:p>
        </w:tc>
        <w:tc>
          <w:tcPr>
            <w:tcW w:w="1608" w:type="dxa"/>
          </w:tcPr>
          <w:p w14:paraId="25ADB42D" w14:textId="77777777" w:rsidR="00B54D51" w:rsidRPr="00037AD4" w:rsidRDefault="00B54D51" w:rsidP="00401C67">
            <w:pPr>
              <w:rPr>
                <w:rFonts w:asciiTheme="minorHAnsi" w:hAnsiTheme="minorHAnsi" w:cstheme="minorHAnsi"/>
                <w:b/>
                <w:bCs/>
                <w:u w:val="single"/>
              </w:rPr>
            </w:pPr>
            <w:r w:rsidRPr="00037AD4">
              <w:rPr>
                <w:rFonts w:asciiTheme="minorHAnsi" w:hAnsiTheme="minorHAnsi" w:cstheme="minorHAnsi"/>
                <w:b/>
                <w:bCs/>
                <w:u w:val="single"/>
              </w:rPr>
              <w:t>96 (15.7)</w:t>
            </w:r>
          </w:p>
        </w:tc>
        <w:tc>
          <w:tcPr>
            <w:tcW w:w="1338" w:type="dxa"/>
          </w:tcPr>
          <w:p w14:paraId="13E5E1A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108 (14.7)</w:t>
            </w:r>
          </w:p>
        </w:tc>
      </w:tr>
      <w:tr w:rsidR="00B54D51" w:rsidRPr="00037AD4" w14:paraId="542139B7" w14:textId="77777777" w:rsidTr="00401C67">
        <w:trPr>
          <w:trHeight w:val="271"/>
        </w:trPr>
        <w:tc>
          <w:tcPr>
            <w:tcW w:w="1982" w:type="dxa"/>
            <w:vMerge w:val="restart"/>
          </w:tcPr>
          <w:p w14:paraId="5B08914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Pain/discomfort </w:t>
            </w:r>
          </w:p>
        </w:tc>
        <w:tc>
          <w:tcPr>
            <w:tcW w:w="2251" w:type="dxa"/>
          </w:tcPr>
          <w:p w14:paraId="72B9C0D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No problem (1)</w:t>
            </w:r>
          </w:p>
        </w:tc>
        <w:tc>
          <w:tcPr>
            <w:tcW w:w="1651" w:type="dxa"/>
          </w:tcPr>
          <w:p w14:paraId="5B279121" w14:textId="77777777" w:rsidR="00B54D51" w:rsidRPr="00037AD4" w:rsidRDefault="00B54D51" w:rsidP="00401C67">
            <w:pPr>
              <w:rPr>
                <w:rFonts w:asciiTheme="minorHAnsi" w:hAnsiTheme="minorHAnsi" w:cstheme="minorHAnsi"/>
                <w:b/>
                <w:bCs/>
                <w:u w:val="single"/>
              </w:rPr>
            </w:pPr>
            <w:r w:rsidRPr="00037AD4">
              <w:rPr>
                <w:rFonts w:asciiTheme="minorHAnsi" w:hAnsiTheme="minorHAnsi" w:cstheme="minorHAnsi"/>
                <w:b/>
                <w:bCs/>
                <w:u w:val="single"/>
              </w:rPr>
              <w:t>529 (63.6)</w:t>
            </w:r>
          </w:p>
        </w:tc>
        <w:tc>
          <w:tcPr>
            <w:tcW w:w="1608" w:type="dxa"/>
          </w:tcPr>
          <w:p w14:paraId="17F7929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247 (40.4)</w:t>
            </w:r>
          </w:p>
        </w:tc>
        <w:tc>
          <w:tcPr>
            <w:tcW w:w="1338" w:type="dxa"/>
          </w:tcPr>
          <w:p w14:paraId="0FC00234"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 xml:space="preserve">525 </w:t>
            </w:r>
            <w:r w:rsidRPr="00037AD4">
              <w:rPr>
                <w:rFonts w:asciiTheme="minorHAnsi" w:hAnsiTheme="minorHAnsi" w:cstheme="minorHAnsi"/>
                <w:b/>
                <w:bCs/>
                <w:u w:val="single"/>
              </w:rPr>
              <w:t>(71.7)</w:t>
            </w:r>
          </w:p>
        </w:tc>
      </w:tr>
      <w:tr w:rsidR="00B54D51" w:rsidRPr="00037AD4" w14:paraId="39296C35" w14:textId="77777777" w:rsidTr="00401C67">
        <w:trPr>
          <w:trHeight w:val="600"/>
        </w:trPr>
        <w:tc>
          <w:tcPr>
            <w:tcW w:w="1982" w:type="dxa"/>
            <w:vMerge/>
          </w:tcPr>
          <w:p w14:paraId="19AFFD7F" w14:textId="77777777" w:rsidR="00B54D51" w:rsidRPr="00037AD4" w:rsidRDefault="00B54D51" w:rsidP="00401C67">
            <w:pPr>
              <w:rPr>
                <w:rFonts w:asciiTheme="minorHAnsi" w:hAnsiTheme="minorHAnsi" w:cstheme="minorHAnsi"/>
              </w:rPr>
            </w:pPr>
          </w:p>
        </w:tc>
        <w:tc>
          <w:tcPr>
            <w:tcW w:w="2251" w:type="dxa"/>
          </w:tcPr>
          <w:p w14:paraId="0F9CA6B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Extreme problems (5)</w:t>
            </w:r>
          </w:p>
        </w:tc>
        <w:tc>
          <w:tcPr>
            <w:tcW w:w="1651" w:type="dxa"/>
          </w:tcPr>
          <w:p w14:paraId="07B4691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6 (0.7)</w:t>
            </w:r>
          </w:p>
        </w:tc>
        <w:tc>
          <w:tcPr>
            <w:tcW w:w="1608" w:type="dxa"/>
          </w:tcPr>
          <w:p w14:paraId="2F304A1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4 (0.7)</w:t>
            </w:r>
          </w:p>
        </w:tc>
        <w:tc>
          <w:tcPr>
            <w:tcW w:w="1338" w:type="dxa"/>
          </w:tcPr>
          <w:p w14:paraId="6A96E05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 (&lt;1)</w:t>
            </w:r>
          </w:p>
        </w:tc>
      </w:tr>
      <w:tr w:rsidR="00B54D51" w:rsidRPr="00037AD4" w14:paraId="35F99267" w14:textId="77777777" w:rsidTr="00401C67">
        <w:trPr>
          <w:trHeight w:val="291"/>
        </w:trPr>
        <w:tc>
          <w:tcPr>
            <w:tcW w:w="1982" w:type="dxa"/>
            <w:vMerge w:val="restart"/>
          </w:tcPr>
          <w:p w14:paraId="0528F7B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Anxiety/depression </w:t>
            </w:r>
          </w:p>
        </w:tc>
        <w:tc>
          <w:tcPr>
            <w:tcW w:w="2251" w:type="dxa"/>
          </w:tcPr>
          <w:p w14:paraId="0FB4AFE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No problem (1)</w:t>
            </w:r>
          </w:p>
        </w:tc>
        <w:tc>
          <w:tcPr>
            <w:tcW w:w="1651" w:type="dxa"/>
          </w:tcPr>
          <w:p w14:paraId="21CD0B22" w14:textId="77777777" w:rsidR="00B54D51" w:rsidRPr="00037AD4" w:rsidRDefault="00B54D51" w:rsidP="00401C67">
            <w:pPr>
              <w:rPr>
                <w:rFonts w:asciiTheme="minorHAnsi" w:hAnsiTheme="minorHAnsi" w:cstheme="minorHAnsi"/>
                <w:b/>
                <w:bCs/>
                <w:u w:val="single"/>
              </w:rPr>
            </w:pPr>
            <w:r w:rsidRPr="00037AD4">
              <w:rPr>
                <w:rFonts w:asciiTheme="minorHAnsi" w:hAnsiTheme="minorHAnsi" w:cstheme="minorHAnsi"/>
                <w:b/>
                <w:bCs/>
                <w:u w:val="single"/>
              </w:rPr>
              <w:t>530 (64.2)</w:t>
            </w:r>
          </w:p>
        </w:tc>
        <w:tc>
          <w:tcPr>
            <w:tcW w:w="1608" w:type="dxa"/>
          </w:tcPr>
          <w:p w14:paraId="5230E58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237 (38.6)</w:t>
            </w:r>
          </w:p>
        </w:tc>
        <w:tc>
          <w:tcPr>
            <w:tcW w:w="1338" w:type="dxa"/>
          </w:tcPr>
          <w:p w14:paraId="38E14AA6" w14:textId="77777777" w:rsidR="00B54D51" w:rsidRPr="00037AD4" w:rsidRDefault="00B54D51" w:rsidP="00401C67">
            <w:pPr>
              <w:rPr>
                <w:rFonts w:asciiTheme="minorHAnsi" w:hAnsiTheme="minorHAnsi" w:cstheme="minorHAnsi"/>
                <w:b/>
                <w:bCs/>
                <w:u w:val="single"/>
              </w:rPr>
            </w:pPr>
            <w:r w:rsidRPr="00037AD4">
              <w:rPr>
                <w:rFonts w:asciiTheme="minorHAnsi" w:hAnsiTheme="minorHAnsi" w:cstheme="minorHAnsi"/>
                <w:b/>
                <w:bCs/>
                <w:u w:val="single"/>
              </w:rPr>
              <w:t>503 (68.7)</w:t>
            </w:r>
          </w:p>
        </w:tc>
      </w:tr>
      <w:tr w:rsidR="00B54D51" w:rsidRPr="00037AD4" w14:paraId="5AC0C3C7" w14:textId="77777777" w:rsidTr="00401C67">
        <w:trPr>
          <w:trHeight w:val="582"/>
        </w:trPr>
        <w:tc>
          <w:tcPr>
            <w:tcW w:w="1982" w:type="dxa"/>
            <w:vMerge/>
          </w:tcPr>
          <w:p w14:paraId="427259ED" w14:textId="77777777" w:rsidR="00B54D51" w:rsidRPr="00037AD4" w:rsidRDefault="00B54D51" w:rsidP="00401C67">
            <w:pPr>
              <w:rPr>
                <w:rFonts w:asciiTheme="minorHAnsi" w:hAnsiTheme="minorHAnsi" w:cstheme="minorHAnsi"/>
              </w:rPr>
            </w:pPr>
          </w:p>
        </w:tc>
        <w:tc>
          <w:tcPr>
            <w:tcW w:w="2251" w:type="dxa"/>
          </w:tcPr>
          <w:p w14:paraId="37F0B12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Extreme problems (5)</w:t>
            </w:r>
          </w:p>
        </w:tc>
        <w:tc>
          <w:tcPr>
            <w:tcW w:w="1651" w:type="dxa"/>
          </w:tcPr>
          <w:p w14:paraId="27C875F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 (0.1)</w:t>
            </w:r>
          </w:p>
        </w:tc>
        <w:tc>
          <w:tcPr>
            <w:tcW w:w="1608" w:type="dxa"/>
          </w:tcPr>
          <w:p w14:paraId="50624DE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9 (1.5)</w:t>
            </w:r>
          </w:p>
        </w:tc>
        <w:tc>
          <w:tcPr>
            <w:tcW w:w="1338" w:type="dxa"/>
          </w:tcPr>
          <w:p w14:paraId="6654B56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3 (&lt;1) </w:t>
            </w:r>
          </w:p>
        </w:tc>
      </w:tr>
    </w:tbl>
    <w:p w14:paraId="30239770" w14:textId="77777777" w:rsidR="00B54D51" w:rsidRPr="00037AD4" w:rsidRDefault="00B54D51" w:rsidP="001D7ACE">
      <w:pPr>
        <w:rPr>
          <w:rFonts w:asciiTheme="minorHAnsi" w:hAnsiTheme="minorHAnsi" w:cstheme="minorHAnsi"/>
          <w:b/>
          <w:bCs/>
          <w:u w:val="single"/>
        </w:rPr>
      </w:pPr>
    </w:p>
    <w:p w14:paraId="60757DF9" w14:textId="77777777" w:rsidR="00B54D51" w:rsidRPr="00037AD4" w:rsidRDefault="00B54D51" w:rsidP="001D7ACE">
      <w:pPr>
        <w:rPr>
          <w:rFonts w:asciiTheme="minorHAnsi" w:hAnsiTheme="minorHAnsi" w:cstheme="minorHAnsi"/>
          <w:b/>
          <w:bCs/>
          <w:u w:val="single"/>
        </w:rPr>
      </w:pPr>
    </w:p>
    <w:p w14:paraId="166EB4F1" w14:textId="77777777" w:rsidR="00B54D51" w:rsidRPr="00037AD4" w:rsidRDefault="00B54D51" w:rsidP="001D7ACE">
      <w:pPr>
        <w:rPr>
          <w:rFonts w:asciiTheme="minorHAnsi" w:hAnsiTheme="minorHAnsi" w:cstheme="minorHAnsi"/>
          <w:b/>
          <w:bCs/>
          <w:u w:val="single"/>
        </w:rPr>
        <w:sectPr w:rsidR="00B54D51" w:rsidRPr="00037AD4" w:rsidSect="0051675A">
          <w:pgSz w:w="16838" w:h="11906" w:orient="landscape"/>
          <w:pgMar w:top="1440" w:right="1440" w:bottom="1440" w:left="1440" w:header="708" w:footer="708" w:gutter="0"/>
          <w:cols w:space="708"/>
          <w:docGrid w:linePitch="360"/>
        </w:sectPr>
      </w:pPr>
    </w:p>
    <w:p w14:paraId="30204237" w14:textId="77777777" w:rsidR="00B54D51" w:rsidRPr="00037AD4" w:rsidRDefault="00B54D51" w:rsidP="007A43F9">
      <w:pPr>
        <w:pStyle w:val="Heading2"/>
      </w:pPr>
      <w:bookmarkStart w:id="499" w:name="A53"/>
      <w:bookmarkStart w:id="500" w:name="_Toc175742411"/>
      <w:r w:rsidRPr="00037AD4">
        <w:lastRenderedPageBreak/>
        <w:t>Appendix 5.3 Inter-rater agreement</w:t>
      </w:r>
      <w:bookmarkEnd w:id="500"/>
      <w:r w:rsidRPr="00037AD4">
        <w:t xml:space="preserve"> </w:t>
      </w:r>
    </w:p>
    <w:bookmarkEnd w:id="499"/>
    <w:p w14:paraId="60990874" w14:textId="77777777" w:rsidR="00B54D51" w:rsidRPr="00037AD4" w:rsidRDefault="00B54D51" w:rsidP="001D7ACE">
      <w:pPr>
        <w:rPr>
          <w:rFonts w:asciiTheme="minorHAnsi" w:hAnsiTheme="minorHAnsi" w:cstheme="minorHAnsi"/>
          <w:b/>
          <w:bCs/>
          <w:u w:val="single"/>
        </w:rPr>
      </w:pPr>
    </w:p>
    <w:p w14:paraId="69E62720" w14:textId="77777777" w:rsidR="00B54D51" w:rsidRPr="00037AD4" w:rsidRDefault="00B54D51" w:rsidP="001D7ACE">
      <w:pPr>
        <w:rPr>
          <w:rFonts w:asciiTheme="minorHAnsi" w:hAnsiTheme="minorHAnsi" w:cstheme="minorHAnsi"/>
        </w:rPr>
      </w:pPr>
      <w:r w:rsidRPr="00037AD4">
        <w:rPr>
          <w:rFonts w:asciiTheme="minorHAnsi" w:hAnsiTheme="minorHAnsi" w:cstheme="minorHAnsi"/>
        </w:rPr>
        <w:t xml:space="preserve">Table A5.3a and A5.3b show the results of the inter-rater agreement analyses produced as a result of the methods outlined in </w:t>
      </w:r>
      <w:hyperlink w:anchor="Sec532" w:history="1">
        <w:r w:rsidRPr="00830480">
          <w:rPr>
            <w:rStyle w:val="Hyperlink"/>
            <w:rFonts w:asciiTheme="minorHAnsi" w:hAnsiTheme="minorHAnsi" w:cstheme="minorHAnsi"/>
            <w:color w:val="auto"/>
            <w:u w:val="none"/>
          </w:rPr>
          <w:t>Chapter 5, Section 5.3.2</w:t>
        </w:r>
      </w:hyperlink>
      <w:r w:rsidRPr="00830480">
        <w:rPr>
          <w:rFonts w:asciiTheme="minorHAnsi" w:hAnsiTheme="minorHAnsi" w:cstheme="minorHAnsi"/>
        </w:rPr>
        <w:t xml:space="preserve"> using </w:t>
      </w:r>
      <w:r w:rsidRPr="00037AD4">
        <w:rPr>
          <w:rFonts w:asciiTheme="minorHAnsi" w:hAnsiTheme="minorHAnsi" w:cstheme="minorHAnsi"/>
        </w:rPr>
        <w:t xml:space="preserve">EQ-5D-5L data. The interpretation of these tables is provided within each of the results sections. Figure A5.3a was produced to visually depict the kappa-coefficients for the EQ-5D dimensions by severity stage for PwD-informal proxy dyads. Figure A5.3b and A5.3c show the Bland-Altman plots of PwD-informal proxy dyad EQ-5D index score agreement by dementia severity stage, showing mild (A5.3b) and moderate (A5.3c) dementia respectively. The interpretation for these figures is located within the relevant sections of the results. </w:t>
      </w:r>
    </w:p>
    <w:p w14:paraId="3D77E06D" w14:textId="77777777" w:rsidR="00B54D51" w:rsidRPr="00037AD4" w:rsidRDefault="00B54D51" w:rsidP="001D7ACE">
      <w:pPr>
        <w:rPr>
          <w:rFonts w:asciiTheme="minorHAnsi" w:hAnsiTheme="minorHAnsi" w:cstheme="minorHAnsi"/>
        </w:rPr>
      </w:pPr>
    </w:p>
    <w:p w14:paraId="3AE97B5B" w14:textId="77777777" w:rsidR="00B54D51" w:rsidRPr="00037AD4" w:rsidRDefault="00B54D51" w:rsidP="001D7ACE">
      <w:pPr>
        <w:rPr>
          <w:rFonts w:asciiTheme="minorHAnsi" w:hAnsiTheme="minorHAnsi" w:cstheme="minorHAnsi"/>
          <w:u w:val="single"/>
        </w:rPr>
      </w:pPr>
      <w:bookmarkStart w:id="501" w:name="tablea53a"/>
      <w:r w:rsidRPr="00037AD4">
        <w:rPr>
          <w:rFonts w:asciiTheme="minorHAnsi" w:hAnsiTheme="minorHAnsi" w:cstheme="minorHAnsi"/>
          <w:u w:val="single"/>
        </w:rPr>
        <w:t xml:space="preserve">Table A5.3a, Inter-rater agreement results, PwD-informal proxy dyad </w:t>
      </w:r>
    </w:p>
    <w:bookmarkEnd w:id="501"/>
    <w:p w14:paraId="2A2E3005" w14:textId="77777777" w:rsidR="00B54D51" w:rsidRPr="00037AD4" w:rsidRDefault="00B54D51" w:rsidP="001D7ACE">
      <w:pPr>
        <w:rPr>
          <w:rFonts w:asciiTheme="minorHAnsi" w:hAnsiTheme="minorHAnsi" w:cstheme="minorHAnsi"/>
        </w:rPr>
      </w:pPr>
    </w:p>
    <w:tbl>
      <w:tblPr>
        <w:tblStyle w:val="TableGrid"/>
        <w:tblW w:w="9195" w:type="dxa"/>
        <w:tblLook w:val="04A0" w:firstRow="1" w:lastRow="0" w:firstColumn="1" w:lastColumn="0" w:noHBand="0" w:noVBand="1"/>
      </w:tblPr>
      <w:tblGrid>
        <w:gridCol w:w="2154"/>
        <w:gridCol w:w="1609"/>
        <w:gridCol w:w="1328"/>
        <w:gridCol w:w="1334"/>
        <w:gridCol w:w="1570"/>
        <w:gridCol w:w="1200"/>
      </w:tblGrid>
      <w:tr w:rsidR="00B54D51" w:rsidRPr="00037AD4" w14:paraId="0FFDF4D8" w14:textId="77777777" w:rsidTr="00401C67">
        <w:trPr>
          <w:trHeight w:val="251"/>
        </w:trPr>
        <w:tc>
          <w:tcPr>
            <w:tcW w:w="2154" w:type="dxa"/>
            <w:vMerge w:val="restart"/>
            <w:tcBorders>
              <w:top w:val="nil"/>
              <w:left w:val="nil"/>
            </w:tcBorders>
          </w:tcPr>
          <w:p w14:paraId="48F5011D" w14:textId="77777777" w:rsidR="00B54D51" w:rsidRPr="00037AD4" w:rsidRDefault="00B54D51" w:rsidP="00401C67">
            <w:pPr>
              <w:rPr>
                <w:rFonts w:asciiTheme="minorHAnsi" w:hAnsiTheme="minorHAnsi" w:cstheme="minorHAnsi"/>
              </w:rPr>
            </w:pPr>
          </w:p>
        </w:tc>
        <w:tc>
          <w:tcPr>
            <w:tcW w:w="1609" w:type="dxa"/>
            <w:vMerge w:val="restart"/>
          </w:tcPr>
          <w:p w14:paraId="7A38927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 Of exact agreement </w:t>
            </w:r>
          </w:p>
        </w:tc>
        <w:tc>
          <w:tcPr>
            <w:tcW w:w="5432" w:type="dxa"/>
            <w:gridSpan w:val="4"/>
          </w:tcPr>
          <w:p w14:paraId="6757023E" w14:textId="77777777" w:rsidR="00B54D51" w:rsidRPr="00037AD4" w:rsidRDefault="00B54D51" w:rsidP="00401C67">
            <w:pPr>
              <w:jc w:val="center"/>
              <w:rPr>
                <w:rFonts w:asciiTheme="minorHAnsi" w:hAnsiTheme="minorHAnsi" w:cstheme="minorHAnsi"/>
              </w:rPr>
            </w:pPr>
            <w:r w:rsidRPr="00037AD4">
              <w:rPr>
                <w:rFonts w:asciiTheme="minorHAnsi" w:hAnsiTheme="minorHAnsi" w:cstheme="minorHAnsi"/>
              </w:rPr>
              <w:t>Kappa-coefficient</w:t>
            </w:r>
          </w:p>
        </w:tc>
      </w:tr>
      <w:tr w:rsidR="00B54D51" w:rsidRPr="00037AD4" w14:paraId="79872CDA" w14:textId="77777777" w:rsidTr="00401C67">
        <w:trPr>
          <w:trHeight w:val="269"/>
        </w:trPr>
        <w:tc>
          <w:tcPr>
            <w:tcW w:w="2154" w:type="dxa"/>
            <w:vMerge/>
            <w:tcBorders>
              <w:left w:val="nil"/>
            </w:tcBorders>
          </w:tcPr>
          <w:p w14:paraId="1CA6C0A9" w14:textId="77777777" w:rsidR="00B54D51" w:rsidRPr="00037AD4" w:rsidRDefault="00B54D51" w:rsidP="00401C67">
            <w:pPr>
              <w:rPr>
                <w:rFonts w:asciiTheme="minorHAnsi" w:hAnsiTheme="minorHAnsi" w:cstheme="minorHAnsi"/>
              </w:rPr>
            </w:pPr>
          </w:p>
        </w:tc>
        <w:tc>
          <w:tcPr>
            <w:tcW w:w="1609" w:type="dxa"/>
            <w:vMerge/>
          </w:tcPr>
          <w:p w14:paraId="4439E418" w14:textId="77777777" w:rsidR="00B54D51" w:rsidRPr="00037AD4" w:rsidRDefault="00B54D51" w:rsidP="00401C67">
            <w:pPr>
              <w:rPr>
                <w:rFonts w:asciiTheme="minorHAnsi" w:hAnsiTheme="minorHAnsi" w:cstheme="minorHAnsi"/>
              </w:rPr>
            </w:pPr>
          </w:p>
        </w:tc>
        <w:tc>
          <w:tcPr>
            <w:tcW w:w="1328" w:type="dxa"/>
          </w:tcPr>
          <w:p w14:paraId="7BF0383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Sum </w:t>
            </w:r>
          </w:p>
        </w:tc>
        <w:tc>
          <w:tcPr>
            <w:tcW w:w="1334" w:type="dxa"/>
          </w:tcPr>
          <w:p w14:paraId="49AAA65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Mild</w:t>
            </w:r>
          </w:p>
        </w:tc>
        <w:tc>
          <w:tcPr>
            <w:tcW w:w="1570" w:type="dxa"/>
          </w:tcPr>
          <w:p w14:paraId="32BB851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Moderate </w:t>
            </w:r>
          </w:p>
        </w:tc>
        <w:tc>
          <w:tcPr>
            <w:tcW w:w="1200" w:type="dxa"/>
          </w:tcPr>
          <w:p w14:paraId="5EEE5D8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Severe</w:t>
            </w:r>
          </w:p>
        </w:tc>
      </w:tr>
      <w:tr w:rsidR="00B54D51" w:rsidRPr="00037AD4" w14:paraId="1E0313E6" w14:textId="77777777" w:rsidTr="00401C67">
        <w:trPr>
          <w:trHeight w:val="251"/>
        </w:trPr>
        <w:tc>
          <w:tcPr>
            <w:tcW w:w="2154" w:type="dxa"/>
          </w:tcPr>
          <w:p w14:paraId="51D0B07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Mobility</w:t>
            </w:r>
          </w:p>
        </w:tc>
        <w:tc>
          <w:tcPr>
            <w:tcW w:w="1609" w:type="dxa"/>
          </w:tcPr>
          <w:p w14:paraId="4E0E961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49.6</w:t>
            </w:r>
          </w:p>
        </w:tc>
        <w:tc>
          <w:tcPr>
            <w:tcW w:w="1328" w:type="dxa"/>
          </w:tcPr>
          <w:p w14:paraId="20A056BB"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0.55</w:t>
            </w:r>
          </w:p>
        </w:tc>
        <w:tc>
          <w:tcPr>
            <w:tcW w:w="1334" w:type="dxa"/>
          </w:tcPr>
          <w:p w14:paraId="422C192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0.60</w:t>
            </w:r>
          </w:p>
        </w:tc>
        <w:tc>
          <w:tcPr>
            <w:tcW w:w="1570" w:type="dxa"/>
          </w:tcPr>
          <w:p w14:paraId="30CCCE9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0.53</w:t>
            </w:r>
          </w:p>
        </w:tc>
        <w:tc>
          <w:tcPr>
            <w:tcW w:w="1200" w:type="dxa"/>
          </w:tcPr>
          <w:p w14:paraId="3C1F761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0.04</w:t>
            </w:r>
          </w:p>
        </w:tc>
      </w:tr>
      <w:tr w:rsidR="00B54D51" w:rsidRPr="00037AD4" w14:paraId="0BB19EC3" w14:textId="77777777" w:rsidTr="00401C67">
        <w:trPr>
          <w:trHeight w:val="269"/>
        </w:trPr>
        <w:tc>
          <w:tcPr>
            <w:tcW w:w="2154" w:type="dxa"/>
          </w:tcPr>
          <w:p w14:paraId="771F1E7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Self-care</w:t>
            </w:r>
          </w:p>
        </w:tc>
        <w:tc>
          <w:tcPr>
            <w:tcW w:w="1609" w:type="dxa"/>
          </w:tcPr>
          <w:p w14:paraId="7FE0B91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51.1</w:t>
            </w:r>
          </w:p>
        </w:tc>
        <w:tc>
          <w:tcPr>
            <w:tcW w:w="1328" w:type="dxa"/>
          </w:tcPr>
          <w:p w14:paraId="6B2A4701"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 xml:space="preserve">0.42 </w:t>
            </w:r>
          </w:p>
        </w:tc>
        <w:tc>
          <w:tcPr>
            <w:tcW w:w="1334" w:type="dxa"/>
          </w:tcPr>
          <w:p w14:paraId="4FF2D77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0.45</w:t>
            </w:r>
          </w:p>
        </w:tc>
        <w:tc>
          <w:tcPr>
            <w:tcW w:w="1570" w:type="dxa"/>
          </w:tcPr>
          <w:p w14:paraId="3241C66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0.28</w:t>
            </w:r>
          </w:p>
        </w:tc>
        <w:tc>
          <w:tcPr>
            <w:tcW w:w="1200" w:type="dxa"/>
          </w:tcPr>
          <w:p w14:paraId="206632A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0.04</w:t>
            </w:r>
          </w:p>
        </w:tc>
      </w:tr>
      <w:tr w:rsidR="00B54D51" w:rsidRPr="00037AD4" w14:paraId="31BBD0A6" w14:textId="77777777" w:rsidTr="00401C67">
        <w:trPr>
          <w:trHeight w:val="251"/>
        </w:trPr>
        <w:tc>
          <w:tcPr>
            <w:tcW w:w="2154" w:type="dxa"/>
          </w:tcPr>
          <w:p w14:paraId="382468D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Usual activities </w:t>
            </w:r>
          </w:p>
        </w:tc>
        <w:tc>
          <w:tcPr>
            <w:tcW w:w="1609" w:type="dxa"/>
          </w:tcPr>
          <w:p w14:paraId="67D7F82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36.2</w:t>
            </w:r>
          </w:p>
        </w:tc>
        <w:tc>
          <w:tcPr>
            <w:tcW w:w="1328" w:type="dxa"/>
          </w:tcPr>
          <w:p w14:paraId="63587C8F"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 xml:space="preserve">0.26 </w:t>
            </w:r>
          </w:p>
        </w:tc>
        <w:tc>
          <w:tcPr>
            <w:tcW w:w="1334" w:type="dxa"/>
          </w:tcPr>
          <w:p w14:paraId="54AF6C3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0.28</w:t>
            </w:r>
          </w:p>
        </w:tc>
        <w:tc>
          <w:tcPr>
            <w:tcW w:w="1570" w:type="dxa"/>
          </w:tcPr>
          <w:p w14:paraId="68D753E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0.20</w:t>
            </w:r>
          </w:p>
        </w:tc>
        <w:tc>
          <w:tcPr>
            <w:tcW w:w="1200" w:type="dxa"/>
          </w:tcPr>
          <w:p w14:paraId="27BA50D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0.05</w:t>
            </w:r>
          </w:p>
        </w:tc>
      </w:tr>
      <w:tr w:rsidR="00B54D51" w:rsidRPr="00037AD4" w14:paraId="19B50EE5" w14:textId="77777777" w:rsidTr="00401C67">
        <w:trPr>
          <w:trHeight w:val="251"/>
        </w:trPr>
        <w:tc>
          <w:tcPr>
            <w:tcW w:w="2154" w:type="dxa"/>
          </w:tcPr>
          <w:p w14:paraId="0D403EE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Pain/ discomfort</w:t>
            </w:r>
          </w:p>
        </w:tc>
        <w:tc>
          <w:tcPr>
            <w:tcW w:w="1609" w:type="dxa"/>
          </w:tcPr>
          <w:p w14:paraId="74BA128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51.0</w:t>
            </w:r>
          </w:p>
        </w:tc>
        <w:tc>
          <w:tcPr>
            <w:tcW w:w="1328" w:type="dxa"/>
          </w:tcPr>
          <w:p w14:paraId="21650954"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 xml:space="preserve">0.42 </w:t>
            </w:r>
          </w:p>
        </w:tc>
        <w:tc>
          <w:tcPr>
            <w:tcW w:w="1334" w:type="dxa"/>
          </w:tcPr>
          <w:p w14:paraId="3C2397F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0.43</w:t>
            </w:r>
          </w:p>
        </w:tc>
        <w:tc>
          <w:tcPr>
            <w:tcW w:w="1570" w:type="dxa"/>
          </w:tcPr>
          <w:p w14:paraId="3C8A686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0.35</w:t>
            </w:r>
          </w:p>
        </w:tc>
        <w:tc>
          <w:tcPr>
            <w:tcW w:w="1200" w:type="dxa"/>
          </w:tcPr>
          <w:p w14:paraId="24D4FB2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0.61</w:t>
            </w:r>
          </w:p>
        </w:tc>
      </w:tr>
      <w:tr w:rsidR="00B54D51" w:rsidRPr="00037AD4" w14:paraId="20D5C3C1" w14:textId="77777777" w:rsidTr="00401C67">
        <w:trPr>
          <w:trHeight w:val="251"/>
        </w:trPr>
        <w:tc>
          <w:tcPr>
            <w:tcW w:w="2154" w:type="dxa"/>
          </w:tcPr>
          <w:p w14:paraId="5209325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Anxiety/depression</w:t>
            </w:r>
          </w:p>
        </w:tc>
        <w:tc>
          <w:tcPr>
            <w:tcW w:w="1609" w:type="dxa"/>
          </w:tcPr>
          <w:p w14:paraId="45DD3AE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43.1</w:t>
            </w:r>
          </w:p>
        </w:tc>
        <w:tc>
          <w:tcPr>
            <w:tcW w:w="1328" w:type="dxa"/>
          </w:tcPr>
          <w:p w14:paraId="532A7196"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0.30</w:t>
            </w:r>
          </w:p>
        </w:tc>
        <w:tc>
          <w:tcPr>
            <w:tcW w:w="1334" w:type="dxa"/>
          </w:tcPr>
          <w:p w14:paraId="1E54590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0.30</w:t>
            </w:r>
          </w:p>
        </w:tc>
        <w:tc>
          <w:tcPr>
            <w:tcW w:w="1570" w:type="dxa"/>
          </w:tcPr>
          <w:p w14:paraId="24E7B9E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0.36</w:t>
            </w:r>
          </w:p>
        </w:tc>
        <w:tc>
          <w:tcPr>
            <w:tcW w:w="1200" w:type="dxa"/>
          </w:tcPr>
          <w:p w14:paraId="68D3CFB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-0.13</w:t>
            </w:r>
          </w:p>
        </w:tc>
      </w:tr>
      <w:tr w:rsidR="00B54D51" w:rsidRPr="00037AD4" w14:paraId="41637A15" w14:textId="77777777" w:rsidTr="00401C67">
        <w:trPr>
          <w:trHeight w:val="251"/>
        </w:trPr>
        <w:tc>
          <w:tcPr>
            <w:tcW w:w="9195" w:type="dxa"/>
            <w:gridSpan w:val="6"/>
          </w:tcPr>
          <w:p w14:paraId="43C3962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ICC </w:t>
            </w:r>
          </w:p>
        </w:tc>
      </w:tr>
      <w:tr w:rsidR="00B54D51" w:rsidRPr="00037AD4" w14:paraId="0C4CAA5A" w14:textId="77777777" w:rsidTr="00401C67">
        <w:trPr>
          <w:trHeight w:val="771"/>
        </w:trPr>
        <w:tc>
          <w:tcPr>
            <w:tcW w:w="2154" w:type="dxa"/>
          </w:tcPr>
          <w:p w14:paraId="204F486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Utility score </w:t>
            </w:r>
          </w:p>
        </w:tc>
        <w:tc>
          <w:tcPr>
            <w:tcW w:w="1609" w:type="dxa"/>
          </w:tcPr>
          <w:p w14:paraId="1C9969E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w:t>
            </w:r>
          </w:p>
        </w:tc>
        <w:tc>
          <w:tcPr>
            <w:tcW w:w="1328" w:type="dxa"/>
          </w:tcPr>
          <w:p w14:paraId="44810F5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0.35 [0.31 – 0.38]</w:t>
            </w:r>
          </w:p>
        </w:tc>
        <w:tc>
          <w:tcPr>
            <w:tcW w:w="1334" w:type="dxa"/>
          </w:tcPr>
          <w:p w14:paraId="2635AA6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0.36 [0.31 – 0.41]</w:t>
            </w:r>
          </w:p>
        </w:tc>
        <w:tc>
          <w:tcPr>
            <w:tcW w:w="1570" w:type="dxa"/>
          </w:tcPr>
          <w:p w14:paraId="73D74E0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0.18 [0.08 – 0.27]</w:t>
            </w:r>
          </w:p>
        </w:tc>
        <w:tc>
          <w:tcPr>
            <w:tcW w:w="1200" w:type="dxa"/>
          </w:tcPr>
          <w:p w14:paraId="25D8E16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0.10 [0.00 – 0.44]</w:t>
            </w:r>
          </w:p>
        </w:tc>
      </w:tr>
    </w:tbl>
    <w:p w14:paraId="7430086C" w14:textId="77777777" w:rsidR="00B54D51" w:rsidRPr="00037AD4" w:rsidRDefault="00B54D51" w:rsidP="001D7ACE">
      <w:pPr>
        <w:rPr>
          <w:rFonts w:asciiTheme="minorHAnsi" w:hAnsiTheme="minorHAnsi" w:cstheme="minorHAnsi"/>
        </w:rPr>
      </w:pPr>
    </w:p>
    <w:p w14:paraId="71C00D3E" w14:textId="77777777" w:rsidR="00B54D51" w:rsidRPr="00037AD4" w:rsidRDefault="00B54D51" w:rsidP="001D7ACE">
      <w:pPr>
        <w:rPr>
          <w:rFonts w:asciiTheme="minorHAnsi" w:hAnsiTheme="minorHAnsi" w:cstheme="minorHAnsi"/>
          <w:u w:val="single"/>
        </w:rPr>
      </w:pPr>
      <w:bookmarkStart w:id="502" w:name="tablea53b"/>
      <w:r w:rsidRPr="00037AD4">
        <w:rPr>
          <w:rFonts w:asciiTheme="minorHAnsi" w:hAnsiTheme="minorHAnsi" w:cstheme="minorHAnsi"/>
          <w:u w:val="single"/>
        </w:rPr>
        <w:t>Table A5.3b, Inter-rater agreement results, PwD-staff proxy dyad</w:t>
      </w:r>
      <w:bookmarkEnd w:id="502"/>
    </w:p>
    <w:p w14:paraId="6FC90705" w14:textId="77777777" w:rsidR="00B54D51" w:rsidRPr="00037AD4" w:rsidRDefault="00B54D51" w:rsidP="001D7ACE">
      <w:pPr>
        <w:rPr>
          <w:rFonts w:asciiTheme="minorHAnsi" w:hAnsiTheme="minorHAnsi" w:cstheme="minorHAnsi"/>
        </w:rPr>
      </w:pPr>
    </w:p>
    <w:tbl>
      <w:tblPr>
        <w:tblStyle w:val="TableGrid"/>
        <w:tblW w:w="9195" w:type="dxa"/>
        <w:tblLook w:val="04A0" w:firstRow="1" w:lastRow="0" w:firstColumn="1" w:lastColumn="0" w:noHBand="0" w:noVBand="1"/>
      </w:tblPr>
      <w:tblGrid>
        <w:gridCol w:w="2154"/>
        <w:gridCol w:w="1609"/>
        <w:gridCol w:w="1328"/>
        <w:gridCol w:w="1334"/>
        <w:gridCol w:w="1570"/>
        <w:gridCol w:w="1200"/>
      </w:tblGrid>
      <w:tr w:rsidR="00B54D51" w:rsidRPr="00037AD4" w14:paraId="1D67EDE2" w14:textId="77777777" w:rsidTr="00401C67">
        <w:trPr>
          <w:trHeight w:val="251"/>
        </w:trPr>
        <w:tc>
          <w:tcPr>
            <w:tcW w:w="2154" w:type="dxa"/>
            <w:vMerge w:val="restart"/>
            <w:tcBorders>
              <w:top w:val="nil"/>
              <w:left w:val="nil"/>
            </w:tcBorders>
          </w:tcPr>
          <w:p w14:paraId="0E1F42A1" w14:textId="77777777" w:rsidR="00B54D51" w:rsidRPr="00037AD4" w:rsidRDefault="00B54D51" w:rsidP="00401C67">
            <w:pPr>
              <w:rPr>
                <w:rFonts w:asciiTheme="minorHAnsi" w:hAnsiTheme="minorHAnsi" w:cstheme="minorHAnsi"/>
              </w:rPr>
            </w:pPr>
          </w:p>
        </w:tc>
        <w:tc>
          <w:tcPr>
            <w:tcW w:w="1609" w:type="dxa"/>
            <w:vMerge w:val="restart"/>
          </w:tcPr>
          <w:p w14:paraId="604BDF0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 Of exact agreement </w:t>
            </w:r>
          </w:p>
        </w:tc>
        <w:tc>
          <w:tcPr>
            <w:tcW w:w="5432" w:type="dxa"/>
            <w:gridSpan w:val="4"/>
          </w:tcPr>
          <w:p w14:paraId="59B8B0EA" w14:textId="77777777" w:rsidR="00B54D51" w:rsidRPr="00037AD4" w:rsidRDefault="00B54D51" w:rsidP="00401C67">
            <w:pPr>
              <w:jc w:val="center"/>
              <w:rPr>
                <w:rFonts w:asciiTheme="minorHAnsi" w:hAnsiTheme="minorHAnsi" w:cstheme="minorHAnsi"/>
              </w:rPr>
            </w:pPr>
            <w:r w:rsidRPr="00037AD4">
              <w:rPr>
                <w:rFonts w:asciiTheme="minorHAnsi" w:hAnsiTheme="minorHAnsi" w:cstheme="minorHAnsi"/>
              </w:rPr>
              <w:t>Kappa-coefficient</w:t>
            </w:r>
          </w:p>
        </w:tc>
      </w:tr>
      <w:tr w:rsidR="00B54D51" w:rsidRPr="00037AD4" w14:paraId="770BAAAC" w14:textId="77777777" w:rsidTr="00401C67">
        <w:trPr>
          <w:trHeight w:val="269"/>
        </w:trPr>
        <w:tc>
          <w:tcPr>
            <w:tcW w:w="2154" w:type="dxa"/>
            <w:vMerge/>
            <w:tcBorders>
              <w:left w:val="nil"/>
            </w:tcBorders>
          </w:tcPr>
          <w:p w14:paraId="371DA7A8" w14:textId="77777777" w:rsidR="00B54D51" w:rsidRPr="00037AD4" w:rsidRDefault="00B54D51" w:rsidP="00401C67">
            <w:pPr>
              <w:rPr>
                <w:rFonts w:asciiTheme="minorHAnsi" w:hAnsiTheme="minorHAnsi" w:cstheme="minorHAnsi"/>
              </w:rPr>
            </w:pPr>
          </w:p>
        </w:tc>
        <w:tc>
          <w:tcPr>
            <w:tcW w:w="1609" w:type="dxa"/>
            <w:vMerge/>
          </w:tcPr>
          <w:p w14:paraId="07B5A67C" w14:textId="77777777" w:rsidR="00B54D51" w:rsidRPr="00037AD4" w:rsidRDefault="00B54D51" w:rsidP="00401C67">
            <w:pPr>
              <w:rPr>
                <w:rFonts w:asciiTheme="minorHAnsi" w:hAnsiTheme="minorHAnsi" w:cstheme="minorHAnsi"/>
              </w:rPr>
            </w:pPr>
          </w:p>
        </w:tc>
        <w:tc>
          <w:tcPr>
            <w:tcW w:w="1328" w:type="dxa"/>
          </w:tcPr>
          <w:p w14:paraId="5EC09D5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Sum </w:t>
            </w:r>
          </w:p>
        </w:tc>
        <w:tc>
          <w:tcPr>
            <w:tcW w:w="1334" w:type="dxa"/>
          </w:tcPr>
          <w:p w14:paraId="1E60F89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Mild</w:t>
            </w:r>
          </w:p>
        </w:tc>
        <w:tc>
          <w:tcPr>
            <w:tcW w:w="1570" w:type="dxa"/>
          </w:tcPr>
          <w:p w14:paraId="092D4E2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Moderate </w:t>
            </w:r>
          </w:p>
        </w:tc>
        <w:tc>
          <w:tcPr>
            <w:tcW w:w="1200" w:type="dxa"/>
          </w:tcPr>
          <w:p w14:paraId="2A1B5EA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Severe</w:t>
            </w:r>
          </w:p>
        </w:tc>
      </w:tr>
      <w:tr w:rsidR="00B54D51" w:rsidRPr="00037AD4" w14:paraId="39AF7B63" w14:textId="77777777" w:rsidTr="00401C67">
        <w:trPr>
          <w:trHeight w:val="251"/>
        </w:trPr>
        <w:tc>
          <w:tcPr>
            <w:tcW w:w="2154" w:type="dxa"/>
          </w:tcPr>
          <w:p w14:paraId="159F7F8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Mobility</w:t>
            </w:r>
          </w:p>
        </w:tc>
        <w:tc>
          <w:tcPr>
            <w:tcW w:w="1609" w:type="dxa"/>
          </w:tcPr>
          <w:p w14:paraId="22ECE97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43.0</w:t>
            </w:r>
          </w:p>
        </w:tc>
        <w:tc>
          <w:tcPr>
            <w:tcW w:w="1328" w:type="dxa"/>
          </w:tcPr>
          <w:p w14:paraId="75C53845"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0.31</w:t>
            </w:r>
          </w:p>
        </w:tc>
        <w:tc>
          <w:tcPr>
            <w:tcW w:w="1334" w:type="dxa"/>
          </w:tcPr>
          <w:p w14:paraId="2A0C983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0.52</w:t>
            </w:r>
          </w:p>
        </w:tc>
        <w:tc>
          <w:tcPr>
            <w:tcW w:w="1570" w:type="dxa"/>
          </w:tcPr>
          <w:p w14:paraId="403763A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0.26</w:t>
            </w:r>
          </w:p>
        </w:tc>
        <w:tc>
          <w:tcPr>
            <w:tcW w:w="1200" w:type="dxa"/>
          </w:tcPr>
          <w:p w14:paraId="27F6949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0.08</w:t>
            </w:r>
          </w:p>
        </w:tc>
      </w:tr>
      <w:tr w:rsidR="00B54D51" w:rsidRPr="00037AD4" w14:paraId="044263BA" w14:textId="77777777" w:rsidTr="00401C67">
        <w:trPr>
          <w:trHeight w:val="269"/>
        </w:trPr>
        <w:tc>
          <w:tcPr>
            <w:tcW w:w="2154" w:type="dxa"/>
          </w:tcPr>
          <w:p w14:paraId="1C1D5B9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Self-care</w:t>
            </w:r>
          </w:p>
        </w:tc>
        <w:tc>
          <w:tcPr>
            <w:tcW w:w="1609" w:type="dxa"/>
          </w:tcPr>
          <w:p w14:paraId="2D4F3C1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20.1</w:t>
            </w:r>
          </w:p>
        </w:tc>
        <w:tc>
          <w:tcPr>
            <w:tcW w:w="1328" w:type="dxa"/>
          </w:tcPr>
          <w:p w14:paraId="53C04951"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0.05</w:t>
            </w:r>
          </w:p>
        </w:tc>
        <w:tc>
          <w:tcPr>
            <w:tcW w:w="1334" w:type="dxa"/>
          </w:tcPr>
          <w:p w14:paraId="12C98CE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0.09</w:t>
            </w:r>
          </w:p>
        </w:tc>
        <w:tc>
          <w:tcPr>
            <w:tcW w:w="1570" w:type="dxa"/>
          </w:tcPr>
          <w:p w14:paraId="592F6A0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0.03</w:t>
            </w:r>
          </w:p>
        </w:tc>
        <w:tc>
          <w:tcPr>
            <w:tcW w:w="1200" w:type="dxa"/>
          </w:tcPr>
          <w:p w14:paraId="0B02C4B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0.01</w:t>
            </w:r>
          </w:p>
        </w:tc>
      </w:tr>
      <w:tr w:rsidR="00B54D51" w:rsidRPr="00037AD4" w14:paraId="7F4FD1D8" w14:textId="77777777" w:rsidTr="00401C67">
        <w:trPr>
          <w:trHeight w:val="251"/>
        </w:trPr>
        <w:tc>
          <w:tcPr>
            <w:tcW w:w="2154" w:type="dxa"/>
          </w:tcPr>
          <w:p w14:paraId="01F87A9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Usual activities </w:t>
            </w:r>
          </w:p>
        </w:tc>
        <w:tc>
          <w:tcPr>
            <w:tcW w:w="1609" w:type="dxa"/>
          </w:tcPr>
          <w:p w14:paraId="34849AA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59.4</w:t>
            </w:r>
          </w:p>
        </w:tc>
        <w:tc>
          <w:tcPr>
            <w:tcW w:w="1328" w:type="dxa"/>
          </w:tcPr>
          <w:p w14:paraId="5E2E96D2"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0.15</w:t>
            </w:r>
          </w:p>
        </w:tc>
        <w:tc>
          <w:tcPr>
            <w:tcW w:w="1334" w:type="dxa"/>
          </w:tcPr>
          <w:p w14:paraId="3C5CDB1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0.23</w:t>
            </w:r>
          </w:p>
        </w:tc>
        <w:tc>
          <w:tcPr>
            <w:tcW w:w="1570" w:type="dxa"/>
          </w:tcPr>
          <w:p w14:paraId="514D00C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0.17</w:t>
            </w:r>
          </w:p>
        </w:tc>
        <w:tc>
          <w:tcPr>
            <w:tcW w:w="1200" w:type="dxa"/>
          </w:tcPr>
          <w:p w14:paraId="1223B7D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0.11</w:t>
            </w:r>
          </w:p>
        </w:tc>
      </w:tr>
      <w:tr w:rsidR="00B54D51" w:rsidRPr="00037AD4" w14:paraId="068B0141" w14:textId="77777777" w:rsidTr="00401C67">
        <w:trPr>
          <w:trHeight w:val="251"/>
        </w:trPr>
        <w:tc>
          <w:tcPr>
            <w:tcW w:w="2154" w:type="dxa"/>
          </w:tcPr>
          <w:p w14:paraId="3432548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Pain/ discomfort</w:t>
            </w:r>
          </w:p>
        </w:tc>
        <w:tc>
          <w:tcPr>
            <w:tcW w:w="1609" w:type="dxa"/>
          </w:tcPr>
          <w:p w14:paraId="09E107F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57.4</w:t>
            </w:r>
          </w:p>
        </w:tc>
        <w:tc>
          <w:tcPr>
            <w:tcW w:w="1328" w:type="dxa"/>
          </w:tcPr>
          <w:p w14:paraId="18FBA1E4"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0.16</w:t>
            </w:r>
          </w:p>
        </w:tc>
        <w:tc>
          <w:tcPr>
            <w:tcW w:w="1334" w:type="dxa"/>
          </w:tcPr>
          <w:p w14:paraId="087E77C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0.21</w:t>
            </w:r>
          </w:p>
        </w:tc>
        <w:tc>
          <w:tcPr>
            <w:tcW w:w="1570" w:type="dxa"/>
          </w:tcPr>
          <w:p w14:paraId="76C5DFD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0.20</w:t>
            </w:r>
          </w:p>
        </w:tc>
        <w:tc>
          <w:tcPr>
            <w:tcW w:w="1200" w:type="dxa"/>
          </w:tcPr>
          <w:p w14:paraId="202A019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-0.08</w:t>
            </w:r>
          </w:p>
        </w:tc>
      </w:tr>
      <w:tr w:rsidR="00B54D51" w:rsidRPr="00037AD4" w14:paraId="2AFFFCFA" w14:textId="77777777" w:rsidTr="00401C67">
        <w:trPr>
          <w:trHeight w:val="251"/>
        </w:trPr>
        <w:tc>
          <w:tcPr>
            <w:tcW w:w="2154" w:type="dxa"/>
          </w:tcPr>
          <w:p w14:paraId="1DBBCB7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Anxiety/depression</w:t>
            </w:r>
          </w:p>
        </w:tc>
        <w:tc>
          <w:tcPr>
            <w:tcW w:w="1609" w:type="dxa"/>
          </w:tcPr>
          <w:p w14:paraId="48797E8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56.5</w:t>
            </w:r>
          </w:p>
        </w:tc>
        <w:tc>
          <w:tcPr>
            <w:tcW w:w="1328" w:type="dxa"/>
          </w:tcPr>
          <w:p w14:paraId="77F8DDC2"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0.20</w:t>
            </w:r>
          </w:p>
        </w:tc>
        <w:tc>
          <w:tcPr>
            <w:tcW w:w="1334" w:type="dxa"/>
          </w:tcPr>
          <w:p w14:paraId="216042F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0.30</w:t>
            </w:r>
          </w:p>
        </w:tc>
        <w:tc>
          <w:tcPr>
            <w:tcW w:w="1570" w:type="dxa"/>
          </w:tcPr>
          <w:p w14:paraId="04F55EA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0.15</w:t>
            </w:r>
          </w:p>
        </w:tc>
        <w:tc>
          <w:tcPr>
            <w:tcW w:w="1200" w:type="dxa"/>
          </w:tcPr>
          <w:p w14:paraId="543C5E7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0.14</w:t>
            </w:r>
          </w:p>
        </w:tc>
      </w:tr>
      <w:tr w:rsidR="00B54D51" w:rsidRPr="00037AD4" w14:paraId="37F73556" w14:textId="77777777" w:rsidTr="00401C67">
        <w:trPr>
          <w:trHeight w:val="251"/>
        </w:trPr>
        <w:tc>
          <w:tcPr>
            <w:tcW w:w="9195" w:type="dxa"/>
            <w:gridSpan w:val="6"/>
          </w:tcPr>
          <w:p w14:paraId="3998DA3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ICC </w:t>
            </w:r>
          </w:p>
        </w:tc>
      </w:tr>
      <w:tr w:rsidR="00B54D51" w:rsidRPr="00037AD4" w14:paraId="2B238EFF" w14:textId="77777777" w:rsidTr="00401C67">
        <w:trPr>
          <w:trHeight w:val="771"/>
        </w:trPr>
        <w:tc>
          <w:tcPr>
            <w:tcW w:w="2154" w:type="dxa"/>
          </w:tcPr>
          <w:p w14:paraId="21C5EC2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Utility score </w:t>
            </w:r>
          </w:p>
        </w:tc>
        <w:tc>
          <w:tcPr>
            <w:tcW w:w="1609" w:type="dxa"/>
          </w:tcPr>
          <w:p w14:paraId="41023C3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w:t>
            </w:r>
          </w:p>
        </w:tc>
        <w:tc>
          <w:tcPr>
            <w:tcW w:w="1328" w:type="dxa"/>
          </w:tcPr>
          <w:p w14:paraId="0DCCB07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0.14 [0.01 – 0.25]</w:t>
            </w:r>
          </w:p>
        </w:tc>
        <w:tc>
          <w:tcPr>
            <w:tcW w:w="1334" w:type="dxa"/>
          </w:tcPr>
          <w:p w14:paraId="009BB98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0.05 [0.00 – 0.22]</w:t>
            </w:r>
          </w:p>
        </w:tc>
        <w:tc>
          <w:tcPr>
            <w:tcW w:w="1570" w:type="dxa"/>
          </w:tcPr>
          <w:p w14:paraId="712A1FA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0.21 [0.00 – 0.36]</w:t>
            </w:r>
          </w:p>
        </w:tc>
        <w:tc>
          <w:tcPr>
            <w:tcW w:w="1200" w:type="dxa"/>
          </w:tcPr>
          <w:p w14:paraId="780D23C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0.00 [0.00 – 0.05]</w:t>
            </w:r>
          </w:p>
        </w:tc>
      </w:tr>
    </w:tbl>
    <w:p w14:paraId="0E319B8A" w14:textId="77777777" w:rsidR="00B54D51" w:rsidRPr="00037AD4" w:rsidRDefault="00B54D51" w:rsidP="001D7ACE">
      <w:pPr>
        <w:rPr>
          <w:rFonts w:asciiTheme="minorHAnsi" w:hAnsiTheme="minorHAnsi" w:cstheme="minorHAnsi"/>
          <w:b/>
          <w:bCs/>
          <w:u w:val="single"/>
        </w:rPr>
      </w:pPr>
    </w:p>
    <w:p w14:paraId="2028BAE0" w14:textId="77777777" w:rsidR="00B54D51" w:rsidRPr="00037AD4" w:rsidRDefault="00B54D51" w:rsidP="001D7ACE">
      <w:pPr>
        <w:rPr>
          <w:rFonts w:asciiTheme="minorHAnsi" w:hAnsiTheme="minorHAnsi" w:cstheme="minorHAnsi"/>
          <w:b/>
          <w:bCs/>
          <w:u w:val="single"/>
        </w:rPr>
      </w:pPr>
    </w:p>
    <w:p w14:paraId="5595F0A0" w14:textId="77777777" w:rsidR="00B54D51" w:rsidRPr="00037AD4" w:rsidRDefault="00B54D51" w:rsidP="001D7ACE">
      <w:pPr>
        <w:rPr>
          <w:rFonts w:asciiTheme="minorHAnsi" w:hAnsiTheme="minorHAnsi" w:cstheme="minorHAnsi"/>
          <w:b/>
          <w:bCs/>
          <w:u w:val="single"/>
        </w:rPr>
      </w:pPr>
    </w:p>
    <w:p w14:paraId="743D0E60" w14:textId="77777777" w:rsidR="00B54D51" w:rsidRPr="00037AD4" w:rsidRDefault="00B54D51" w:rsidP="001D7ACE">
      <w:pPr>
        <w:rPr>
          <w:rFonts w:asciiTheme="minorHAnsi" w:hAnsiTheme="minorHAnsi" w:cstheme="minorHAnsi"/>
          <w:b/>
          <w:bCs/>
          <w:u w:val="single"/>
        </w:rPr>
      </w:pPr>
    </w:p>
    <w:p w14:paraId="655D7A6D" w14:textId="77777777" w:rsidR="00B54D51" w:rsidRPr="00037AD4" w:rsidRDefault="00B54D51" w:rsidP="001D7ACE">
      <w:pPr>
        <w:rPr>
          <w:rFonts w:asciiTheme="minorHAnsi" w:hAnsiTheme="minorHAnsi" w:cstheme="minorHAnsi"/>
          <w:b/>
          <w:bCs/>
          <w:u w:val="single"/>
        </w:rPr>
      </w:pPr>
    </w:p>
    <w:p w14:paraId="4E2E83AF" w14:textId="77777777" w:rsidR="00B54D51" w:rsidRPr="00037AD4" w:rsidRDefault="00B54D51" w:rsidP="001D7ACE">
      <w:pPr>
        <w:rPr>
          <w:rFonts w:asciiTheme="minorHAnsi" w:hAnsiTheme="minorHAnsi" w:cstheme="minorHAnsi"/>
          <w:b/>
          <w:bCs/>
          <w:u w:val="single"/>
        </w:rPr>
      </w:pPr>
    </w:p>
    <w:p w14:paraId="697EB37A" w14:textId="77777777" w:rsidR="00B54D51" w:rsidRPr="00037AD4" w:rsidRDefault="00B54D51" w:rsidP="001D7ACE">
      <w:pPr>
        <w:rPr>
          <w:rFonts w:asciiTheme="minorHAnsi" w:hAnsiTheme="minorHAnsi" w:cstheme="minorHAnsi"/>
          <w:b/>
          <w:bCs/>
          <w:u w:val="single"/>
        </w:rPr>
      </w:pPr>
    </w:p>
    <w:p w14:paraId="3CB84688" w14:textId="77777777" w:rsidR="00B54D51" w:rsidRPr="00037AD4" w:rsidRDefault="00B54D51" w:rsidP="001D7ACE">
      <w:pPr>
        <w:rPr>
          <w:rFonts w:asciiTheme="minorHAnsi" w:hAnsiTheme="minorHAnsi" w:cstheme="minorHAnsi"/>
          <w:b/>
          <w:bCs/>
          <w:u w:val="single"/>
        </w:rPr>
      </w:pPr>
    </w:p>
    <w:p w14:paraId="0476A8E0" w14:textId="77777777" w:rsidR="00B54D51" w:rsidRPr="00037AD4" w:rsidRDefault="00B54D51" w:rsidP="001D7ACE">
      <w:pPr>
        <w:rPr>
          <w:rFonts w:asciiTheme="minorHAnsi" w:hAnsiTheme="minorHAnsi" w:cstheme="minorHAnsi"/>
          <w:b/>
          <w:bCs/>
          <w:u w:val="single"/>
        </w:rPr>
      </w:pPr>
    </w:p>
    <w:p w14:paraId="57394834" w14:textId="77777777" w:rsidR="00B54D51" w:rsidRPr="00037AD4" w:rsidRDefault="00B54D51" w:rsidP="001D7ACE">
      <w:pPr>
        <w:rPr>
          <w:rFonts w:asciiTheme="minorHAnsi" w:hAnsiTheme="minorHAnsi" w:cstheme="minorHAnsi"/>
          <w:u w:val="single"/>
        </w:rPr>
      </w:pPr>
      <w:r w:rsidRPr="00037AD4">
        <w:rPr>
          <w:rFonts w:asciiTheme="minorHAnsi" w:hAnsiTheme="minorHAnsi" w:cstheme="minorHAnsi"/>
          <w:u w:val="single"/>
        </w:rPr>
        <w:lastRenderedPageBreak/>
        <w:t xml:space="preserve">Figure A5.3a, Line plot of kappa-coefficients </w:t>
      </w:r>
    </w:p>
    <w:p w14:paraId="4B93E0E3" w14:textId="77777777" w:rsidR="00B54D51" w:rsidRPr="00037AD4" w:rsidRDefault="00B54D51" w:rsidP="001D7ACE">
      <w:pPr>
        <w:rPr>
          <w:rFonts w:asciiTheme="minorHAnsi" w:hAnsiTheme="minorHAnsi" w:cstheme="minorHAnsi"/>
        </w:rPr>
      </w:pPr>
    </w:p>
    <w:p w14:paraId="032730D2" w14:textId="77777777" w:rsidR="00B54D51" w:rsidRPr="00037AD4" w:rsidRDefault="00B54D51" w:rsidP="001D7ACE">
      <w:pPr>
        <w:rPr>
          <w:rFonts w:asciiTheme="minorHAnsi" w:hAnsiTheme="minorHAnsi" w:cstheme="minorHAnsi"/>
        </w:rPr>
      </w:pPr>
      <w:r w:rsidRPr="00037AD4">
        <w:rPr>
          <w:rFonts w:asciiTheme="minorHAnsi" w:hAnsiTheme="minorHAnsi" w:cstheme="minorHAnsi"/>
          <w:noProof/>
          <w:lang w:eastAsia="zh-CN"/>
        </w:rPr>
        <w:drawing>
          <wp:inline distT="0" distB="0" distL="0" distR="0" wp14:anchorId="270FE091" wp14:editId="2726DC17">
            <wp:extent cx="4464000" cy="2448000"/>
            <wp:effectExtent l="0" t="0" r="6985" b="15875"/>
            <wp:docPr id="180" name="Chart 180">
              <a:extLst xmlns:a="http://schemas.openxmlformats.org/drawingml/2006/main">
                <a:ext uri="{FF2B5EF4-FFF2-40B4-BE49-F238E27FC236}">
                  <a16:creationId xmlns:a16="http://schemas.microsoft.com/office/drawing/2014/main" id="{EC841EBD-F4E6-BB27-FD9E-D44ED350D3C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11889F4A" w14:textId="77777777" w:rsidR="00B54D51" w:rsidRPr="00037AD4" w:rsidRDefault="00B54D51" w:rsidP="001D7ACE">
      <w:pPr>
        <w:rPr>
          <w:rFonts w:asciiTheme="minorHAnsi" w:hAnsiTheme="minorHAnsi" w:cstheme="minorHAnsi"/>
          <w:b/>
          <w:bCs/>
          <w:u w:val="single"/>
        </w:rPr>
      </w:pPr>
    </w:p>
    <w:p w14:paraId="415399CD" w14:textId="77777777" w:rsidR="00B54D51" w:rsidRPr="00037AD4" w:rsidRDefault="00B54D51" w:rsidP="001D7ACE">
      <w:pPr>
        <w:rPr>
          <w:rFonts w:asciiTheme="minorHAnsi" w:hAnsiTheme="minorHAnsi" w:cstheme="minorHAnsi"/>
          <w:u w:val="single"/>
        </w:rPr>
      </w:pPr>
      <w:r w:rsidRPr="00037AD4">
        <w:rPr>
          <w:rFonts w:asciiTheme="minorHAnsi" w:hAnsiTheme="minorHAnsi" w:cstheme="minorHAnsi"/>
          <w:u w:val="single"/>
        </w:rPr>
        <w:t xml:space="preserve">Figure A5.3b, Bland-Altman plot for agreement – mild dementia </w:t>
      </w:r>
    </w:p>
    <w:p w14:paraId="3F4015A1" w14:textId="77777777" w:rsidR="00B54D51" w:rsidRPr="00037AD4" w:rsidRDefault="00B54D51" w:rsidP="001D7ACE">
      <w:pPr>
        <w:rPr>
          <w:rFonts w:asciiTheme="minorHAnsi" w:hAnsiTheme="minorHAnsi" w:cstheme="minorHAnsi"/>
        </w:rPr>
      </w:pPr>
    </w:p>
    <w:p w14:paraId="188A9842" w14:textId="177DF313" w:rsidR="00B54D51" w:rsidRPr="00037AD4" w:rsidRDefault="00830480" w:rsidP="001D7ACE">
      <w:pPr>
        <w:rPr>
          <w:rFonts w:asciiTheme="minorHAnsi" w:hAnsiTheme="minorHAnsi" w:cstheme="minorHAnsi"/>
        </w:rPr>
      </w:pPr>
      <w:r w:rsidRPr="00037AD4">
        <w:rPr>
          <w:rFonts w:asciiTheme="minorHAnsi" w:hAnsiTheme="minorHAnsi" w:cstheme="minorHAnsi"/>
          <w:b/>
          <w:bCs/>
          <w:noProof/>
          <w:lang w:eastAsia="zh-CN"/>
        </w:rPr>
        <w:drawing>
          <wp:inline distT="0" distB="0" distL="0" distR="0" wp14:anchorId="55E2E582" wp14:editId="7C8BA29C">
            <wp:extent cx="4042800" cy="2880000"/>
            <wp:effectExtent l="0" t="0" r="0" b="3175"/>
            <wp:docPr id="181" name="Picture 181" descr="Chart, scatter char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Picture 21" descr="Chart, scatter chart&#10;&#10;Description automatically generated"/>
                    <pic:cNvPicPr/>
                  </pic:nvPicPr>
                  <pic:blipFill>
                    <a:blip r:embed="rId95">
                      <a:extLst>
                        <a:ext uri="{28A0092B-C50C-407E-A947-70E740481C1C}">
                          <a14:useLocalDpi xmlns:a14="http://schemas.microsoft.com/office/drawing/2010/main" val="0"/>
                        </a:ext>
                      </a:extLst>
                    </a:blip>
                    <a:stretch>
                      <a:fillRect/>
                    </a:stretch>
                  </pic:blipFill>
                  <pic:spPr>
                    <a:xfrm>
                      <a:off x="0" y="0"/>
                      <a:ext cx="4042800" cy="2880000"/>
                    </a:xfrm>
                    <a:prstGeom prst="rect">
                      <a:avLst/>
                    </a:prstGeom>
                  </pic:spPr>
                </pic:pic>
              </a:graphicData>
            </a:graphic>
          </wp:inline>
        </w:drawing>
      </w:r>
    </w:p>
    <w:p w14:paraId="17FFDC7E" w14:textId="77777777" w:rsidR="00B54D51" w:rsidRPr="00037AD4" w:rsidRDefault="00B54D51" w:rsidP="001D7ACE">
      <w:pPr>
        <w:rPr>
          <w:rFonts w:asciiTheme="minorHAnsi" w:hAnsiTheme="minorHAnsi" w:cstheme="minorHAnsi"/>
          <w:b/>
          <w:bCs/>
          <w:u w:val="single"/>
        </w:rPr>
      </w:pPr>
    </w:p>
    <w:p w14:paraId="4DBA904F" w14:textId="77777777" w:rsidR="00B54D51" w:rsidRPr="00037AD4" w:rsidRDefault="00B54D51" w:rsidP="001D7ACE">
      <w:pPr>
        <w:rPr>
          <w:rFonts w:asciiTheme="minorHAnsi" w:hAnsiTheme="minorHAnsi" w:cstheme="minorHAnsi"/>
        </w:rPr>
      </w:pPr>
    </w:p>
    <w:p w14:paraId="093F0BEE" w14:textId="77777777" w:rsidR="00B54D51" w:rsidRPr="00037AD4" w:rsidRDefault="00B54D51" w:rsidP="001D7ACE">
      <w:pPr>
        <w:rPr>
          <w:rFonts w:asciiTheme="minorHAnsi" w:hAnsiTheme="minorHAnsi" w:cstheme="minorHAnsi"/>
        </w:rPr>
      </w:pPr>
    </w:p>
    <w:p w14:paraId="52B96C25" w14:textId="77777777" w:rsidR="00B54D51" w:rsidRPr="00037AD4" w:rsidRDefault="00B54D51" w:rsidP="001D7ACE">
      <w:pPr>
        <w:rPr>
          <w:rFonts w:asciiTheme="minorHAnsi" w:hAnsiTheme="minorHAnsi" w:cstheme="minorHAnsi"/>
        </w:rPr>
      </w:pPr>
    </w:p>
    <w:p w14:paraId="2E76BA9C" w14:textId="77777777" w:rsidR="00B54D51" w:rsidRPr="00037AD4" w:rsidRDefault="00B54D51" w:rsidP="001D7ACE">
      <w:pPr>
        <w:rPr>
          <w:rFonts w:asciiTheme="minorHAnsi" w:hAnsiTheme="minorHAnsi" w:cstheme="minorHAnsi"/>
        </w:rPr>
      </w:pPr>
    </w:p>
    <w:p w14:paraId="1BE1AD1E" w14:textId="77777777" w:rsidR="00B54D51" w:rsidRPr="00037AD4" w:rsidRDefault="00B54D51" w:rsidP="001D7ACE">
      <w:pPr>
        <w:rPr>
          <w:rFonts w:asciiTheme="minorHAnsi" w:hAnsiTheme="minorHAnsi" w:cstheme="minorHAnsi"/>
        </w:rPr>
      </w:pPr>
    </w:p>
    <w:p w14:paraId="3BBB2573" w14:textId="77777777" w:rsidR="00B54D51" w:rsidRPr="00037AD4" w:rsidRDefault="00B54D51" w:rsidP="001D7ACE">
      <w:pPr>
        <w:rPr>
          <w:rFonts w:asciiTheme="minorHAnsi" w:hAnsiTheme="minorHAnsi" w:cstheme="minorHAnsi"/>
        </w:rPr>
      </w:pPr>
    </w:p>
    <w:p w14:paraId="1598868B" w14:textId="77777777" w:rsidR="00B54D51" w:rsidRPr="00037AD4" w:rsidRDefault="00B54D51" w:rsidP="001D7ACE">
      <w:pPr>
        <w:rPr>
          <w:rFonts w:asciiTheme="minorHAnsi" w:hAnsiTheme="minorHAnsi" w:cstheme="minorHAnsi"/>
        </w:rPr>
      </w:pPr>
    </w:p>
    <w:p w14:paraId="176E4D34" w14:textId="77777777" w:rsidR="00B54D51" w:rsidRPr="00037AD4" w:rsidRDefault="00B54D51" w:rsidP="001D7ACE">
      <w:pPr>
        <w:rPr>
          <w:rFonts w:asciiTheme="minorHAnsi" w:hAnsiTheme="minorHAnsi" w:cstheme="minorHAnsi"/>
        </w:rPr>
      </w:pPr>
    </w:p>
    <w:p w14:paraId="7D947B09" w14:textId="77777777" w:rsidR="00B54D51" w:rsidRPr="00037AD4" w:rsidRDefault="00B54D51" w:rsidP="001D7ACE">
      <w:pPr>
        <w:rPr>
          <w:rFonts w:asciiTheme="minorHAnsi" w:hAnsiTheme="minorHAnsi" w:cstheme="minorHAnsi"/>
        </w:rPr>
      </w:pPr>
    </w:p>
    <w:p w14:paraId="4440FC7C" w14:textId="77777777" w:rsidR="00B54D51" w:rsidRPr="00037AD4" w:rsidRDefault="00B54D51" w:rsidP="001D7ACE">
      <w:pPr>
        <w:rPr>
          <w:rFonts w:asciiTheme="minorHAnsi" w:hAnsiTheme="minorHAnsi" w:cstheme="minorHAnsi"/>
        </w:rPr>
      </w:pPr>
    </w:p>
    <w:p w14:paraId="0C22F066" w14:textId="77777777" w:rsidR="00B54D51" w:rsidRPr="00037AD4" w:rsidRDefault="00B54D51" w:rsidP="001D7ACE">
      <w:pPr>
        <w:rPr>
          <w:rFonts w:asciiTheme="minorHAnsi" w:hAnsiTheme="minorHAnsi" w:cstheme="minorHAnsi"/>
        </w:rPr>
      </w:pPr>
    </w:p>
    <w:p w14:paraId="336D3A3E" w14:textId="77777777" w:rsidR="00B54D51" w:rsidRPr="00037AD4" w:rsidRDefault="00B54D51" w:rsidP="001D7ACE">
      <w:pPr>
        <w:rPr>
          <w:rFonts w:asciiTheme="minorHAnsi" w:hAnsiTheme="minorHAnsi" w:cstheme="minorHAnsi"/>
        </w:rPr>
      </w:pPr>
    </w:p>
    <w:p w14:paraId="0060376A" w14:textId="77777777" w:rsidR="00B54D51" w:rsidRPr="00037AD4" w:rsidRDefault="00B54D51" w:rsidP="001D7ACE">
      <w:pPr>
        <w:rPr>
          <w:rFonts w:asciiTheme="minorHAnsi" w:hAnsiTheme="minorHAnsi" w:cstheme="minorHAnsi"/>
          <w:u w:val="single"/>
        </w:rPr>
      </w:pPr>
      <w:r w:rsidRPr="00037AD4">
        <w:rPr>
          <w:rFonts w:asciiTheme="minorHAnsi" w:hAnsiTheme="minorHAnsi" w:cstheme="minorHAnsi"/>
          <w:u w:val="single"/>
        </w:rPr>
        <w:lastRenderedPageBreak/>
        <w:t>Figure A5.3c, Bland-Altman plot for agreement – moderate dementia</w:t>
      </w:r>
    </w:p>
    <w:p w14:paraId="063A9DA6" w14:textId="77777777" w:rsidR="00B54D51" w:rsidRPr="00037AD4" w:rsidRDefault="00B54D51" w:rsidP="001D7ACE">
      <w:pPr>
        <w:rPr>
          <w:rFonts w:asciiTheme="minorHAnsi" w:hAnsiTheme="minorHAnsi" w:cstheme="minorHAnsi"/>
        </w:rPr>
      </w:pPr>
    </w:p>
    <w:p w14:paraId="11BEAF5E" w14:textId="5CF8FEDB" w:rsidR="00B54D51" w:rsidRPr="00037AD4" w:rsidRDefault="00830480" w:rsidP="001D7ACE">
      <w:pPr>
        <w:rPr>
          <w:rFonts w:asciiTheme="minorHAnsi" w:hAnsiTheme="minorHAnsi" w:cstheme="minorHAnsi"/>
        </w:rPr>
      </w:pPr>
      <w:r w:rsidRPr="00037AD4">
        <w:rPr>
          <w:rFonts w:asciiTheme="minorHAnsi" w:hAnsiTheme="minorHAnsi" w:cstheme="minorHAnsi"/>
          <w:b/>
          <w:bCs/>
          <w:noProof/>
          <w:lang w:eastAsia="zh-CN"/>
        </w:rPr>
        <w:drawing>
          <wp:inline distT="0" distB="0" distL="0" distR="0" wp14:anchorId="5755F1FF" wp14:editId="1731A6B2">
            <wp:extent cx="4042800" cy="2923200"/>
            <wp:effectExtent l="0" t="0" r="0" b="0"/>
            <wp:docPr id="182" name="Picture 182" descr="Chart, scatter char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Picture 22" descr="Chart, scatter chart&#10;&#10;Description automatically generated"/>
                    <pic:cNvPicPr/>
                  </pic:nvPicPr>
                  <pic:blipFill>
                    <a:blip r:embed="rId96">
                      <a:extLst>
                        <a:ext uri="{28A0092B-C50C-407E-A947-70E740481C1C}">
                          <a14:useLocalDpi xmlns:a14="http://schemas.microsoft.com/office/drawing/2010/main" val="0"/>
                        </a:ext>
                      </a:extLst>
                    </a:blip>
                    <a:stretch>
                      <a:fillRect/>
                    </a:stretch>
                  </pic:blipFill>
                  <pic:spPr>
                    <a:xfrm>
                      <a:off x="0" y="0"/>
                      <a:ext cx="4042800" cy="2923200"/>
                    </a:xfrm>
                    <a:prstGeom prst="rect">
                      <a:avLst/>
                    </a:prstGeom>
                  </pic:spPr>
                </pic:pic>
              </a:graphicData>
            </a:graphic>
          </wp:inline>
        </w:drawing>
      </w:r>
    </w:p>
    <w:p w14:paraId="5B5A64A0" w14:textId="77777777" w:rsidR="00B54D51" w:rsidRPr="00037AD4" w:rsidRDefault="00B54D51" w:rsidP="001D7ACE">
      <w:pPr>
        <w:rPr>
          <w:rFonts w:asciiTheme="minorHAnsi" w:hAnsiTheme="minorHAnsi" w:cstheme="minorHAnsi"/>
          <w:b/>
          <w:bCs/>
          <w:u w:val="single"/>
        </w:rPr>
      </w:pPr>
    </w:p>
    <w:p w14:paraId="35D33FFB" w14:textId="77777777" w:rsidR="00B54D51" w:rsidRPr="00037AD4" w:rsidRDefault="00B54D51" w:rsidP="007A43F9">
      <w:pPr>
        <w:pStyle w:val="Heading2"/>
      </w:pPr>
      <w:bookmarkStart w:id="503" w:name="A54"/>
      <w:bookmarkStart w:id="504" w:name="_Toc175742412"/>
      <w:r w:rsidRPr="00037AD4">
        <w:t>Appendix 5.4 Responsiveness evidence</w:t>
      </w:r>
      <w:bookmarkEnd w:id="504"/>
      <w:r w:rsidRPr="00037AD4">
        <w:t xml:space="preserve"> </w:t>
      </w:r>
    </w:p>
    <w:bookmarkEnd w:id="503"/>
    <w:p w14:paraId="044A46EB" w14:textId="77777777" w:rsidR="00B54D51" w:rsidRPr="00037AD4" w:rsidRDefault="00B54D51" w:rsidP="001D7ACE">
      <w:pPr>
        <w:rPr>
          <w:rFonts w:asciiTheme="minorHAnsi" w:hAnsiTheme="minorHAnsi" w:cstheme="minorHAnsi"/>
          <w:b/>
          <w:bCs/>
          <w:u w:val="single"/>
        </w:rPr>
      </w:pPr>
    </w:p>
    <w:p w14:paraId="308F6AD5" w14:textId="77777777" w:rsidR="00B54D51" w:rsidRPr="00037AD4" w:rsidRDefault="00B54D51" w:rsidP="001D7ACE">
      <w:pPr>
        <w:rPr>
          <w:rFonts w:asciiTheme="minorHAnsi" w:hAnsiTheme="minorHAnsi" w:cstheme="minorHAnsi"/>
        </w:rPr>
      </w:pPr>
      <w:r w:rsidRPr="00037AD4">
        <w:rPr>
          <w:rFonts w:asciiTheme="minorHAnsi" w:hAnsiTheme="minorHAnsi" w:cstheme="minorHAnsi"/>
        </w:rPr>
        <w:t xml:space="preserve">Table A5.4a summarises the proportion of PwD that saw either an improvement or a worsening in condition for each of the symptom measures between baseline and the final follow-up point. For this evaluation, the condition “improved” category included people whose condition also remained stable. For “function”, NPI and CDR changes – data collected by the two EQ-5D-5L trials (EPIC and ACTIFCARE) were merged. To maximise the available data, CSDD (measure of depression) collected only within the REMCARE study was also evaluated. It must be noted that comparisons using CSDD considered EQ-5D-3L data, and PwD and informal proxies. Similarly, MMSE was collected only within the ACTIFCARE study, and its comparisons consider EQ-5D-5L data, and PwD and informal proxies only. Although CDR was collected by all three studies, this evaluation included data from ACTIFCARE and EPIC only, and therefore solely uses EQ-5D-5L data.  </w:t>
      </w:r>
    </w:p>
    <w:p w14:paraId="09022F78" w14:textId="77777777" w:rsidR="00B54D51" w:rsidRPr="00037AD4" w:rsidRDefault="00B54D51" w:rsidP="001D7ACE">
      <w:pPr>
        <w:rPr>
          <w:rFonts w:asciiTheme="minorHAnsi" w:hAnsiTheme="minorHAnsi" w:cstheme="minorHAnsi"/>
        </w:rPr>
      </w:pPr>
    </w:p>
    <w:p w14:paraId="33E3CA03" w14:textId="77777777" w:rsidR="00B54D51" w:rsidRPr="00037AD4" w:rsidRDefault="00B54D51" w:rsidP="001D7ACE">
      <w:pPr>
        <w:rPr>
          <w:rFonts w:asciiTheme="minorHAnsi" w:hAnsiTheme="minorHAnsi" w:cstheme="minorHAnsi"/>
          <w:u w:val="single"/>
        </w:rPr>
      </w:pPr>
      <w:r w:rsidRPr="00037AD4">
        <w:rPr>
          <w:rFonts w:asciiTheme="minorHAnsi" w:hAnsiTheme="minorHAnsi" w:cstheme="minorHAnsi"/>
          <w:u w:val="single"/>
        </w:rPr>
        <w:t>Table A5.4a, Summary of change in dementia symptom measures</w:t>
      </w:r>
    </w:p>
    <w:p w14:paraId="44C9B081" w14:textId="77777777" w:rsidR="00B54D51" w:rsidRPr="00037AD4" w:rsidRDefault="00B54D51" w:rsidP="001D7ACE">
      <w:pPr>
        <w:rPr>
          <w:rFonts w:asciiTheme="minorHAnsi" w:hAnsiTheme="minorHAnsi" w:cstheme="minorHAnsi"/>
        </w:rPr>
      </w:pPr>
    </w:p>
    <w:tbl>
      <w:tblPr>
        <w:tblStyle w:val="TableGrid"/>
        <w:tblW w:w="0" w:type="auto"/>
        <w:tblLook w:val="04A0" w:firstRow="1" w:lastRow="0" w:firstColumn="1" w:lastColumn="0" w:noHBand="0" w:noVBand="1"/>
      </w:tblPr>
      <w:tblGrid>
        <w:gridCol w:w="1288"/>
        <w:gridCol w:w="1288"/>
        <w:gridCol w:w="1288"/>
        <w:gridCol w:w="1288"/>
        <w:gridCol w:w="1288"/>
        <w:gridCol w:w="1288"/>
      </w:tblGrid>
      <w:tr w:rsidR="00B54D51" w:rsidRPr="00037AD4" w14:paraId="7C0C7897" w14:textId="77777777" w:rsidTr="00401C67">
        <w:tc>
          <w:tcPr>
            <w:tcW w:w="1288" w:type="dxa"/>
          </w:tcPr>
          <w:p w14:paraId="08850F6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N (%)</w:t>
            </w:r>
          </w:p>
        </w:tc>
        <w:tc>
          <w:tcPr>
            <w:tcW w:w="1288" w:type="dxa"/>
          </w:tcPr>
          <w:p w14:paraId="73AD4B71"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CDR</w:t>
            </w:r>
          </w:p>
        </w:tc>
        <w:tc>
          <w:tcPr>
            <w:tcW w:w="1288" w:type="dxa"/>
          </w:tcPr>
          <w:p w14:paraId="5A342A81"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Function</w:t>
            </w:r>
          </w:p>
        </w:tc>
        <w:tc>
          <w:tcPr>
            <w:tcW w:w="1288" w:type="dxa"/>
          </w:tcPr>
          <w:p w14:paraId="1E4F8BD4"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NPI</w:t>
            </w:r>
          </w:p>
        </w:tc>
        <w:tc>
          <w:tcPr>
            <w:tcW w:w="1288" w:type="dxa"/>
          </w:tcPr>
          <w:p w14:paraId="6CB40C3E"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MMSE*</w:t>
            </w:r>
          </w:p>
        </w:tc>
        <w:tc>
          <w:tcPr>
            <w:tcW w:w="1288" w:type="dxa"/>
          </w:tcPr>
          <w:p w14:paraId="5246AA9F"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CSDD**</w:t>
            </w:r>
          </w:p>
        </w:tc>
      </w:tr>
      <w:tr w:rsidR="00B54D51" w:rsidRPr="00037AD4" w14:paraId="148B6FA0" w14:textId="77777777" w:rsidTr="00401C67">
        <w:tc>
          <w:tcPr>
            <w:tcW w:w="1288" w:type="dxa"/>
          </w:tcPr>
          <w:p w14:paraId="057B291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Worsened </w:t>
            </w:r>
          </w:p>
        </w:tc>
        <w:tc>
          <w:tcPr>
            <w:tcW w:w="1288" w:type="dxa"/>
          </w:tcPr>
          <w:p w14:paraId="60E481D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249 (33.8)</w:t>
            </w:r>
          </w:p>
        </w:tc>
        <w:tc>
          <w:tcPr>
            <w:tcW w:w="1288" w:type="dxa"/>
          </w:tcPr>
          <w:p w14:paraId="395511A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377 (52.3)</w:t>
            </w:r>
          </w:p>
        </w:tc>
        <w:tc>
          <w:tcPr>
            <w:tcW w:w="1288" w:type="dxa"/>
          </w:tcPr>
          <w:p w14:paraId="0F94297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341 (45.2)</w:t>
            </w:r>
          </w:p>
        </w:tc>
        <w:tc>
          <w:tcPr>
            <w:tcW w:w="1288" w:type="dxa"/>
          </w:tcPr>
          <w:p w14:paraId="42085BC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164 (59.6)</w:t>
            </w:r>
          </w:p>
        </w:tc>
        <w:tc>
          <w:tcPr>
            <w:tcW w:w="1288" w:type="dxa"/>
          </w:tcPr>
          <w:p w14:paraId="55B4CF8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111 (47.2)</w:t>
            </w:r>
          </w:p>
        </w:tc>
      </w:tr>
      <w:tr w:rsidR="00B54D51" w:rsidRPr="00037AD4" w14:paraId="7FB2C45D" w14:textId="77777777" w:rsidTr="00401C67">
        <w:tc>
          <w:tcPr>
            <w:tcW w:w="1288" w:type="dxa"/>
          </w:tcPr>
          <w:p w14:paraId="44461C5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Improved </w:t>
            </w:r>
          </w:p>
        </w:tc>
        <w:tc>
          <w:tcPr>
            <w:tcW w:w="1288" w:type="dxa"/>
          </w:tcPr>
          <w:p w14:paraId="50B975C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487 (66.2)</w:t>
            </w:r>
          </w:p>
        </w:tc>
        <w:tc>
          <w:tcPr>
            <w:tcW w:w="1288" w:type="dxa"/>
          </w:tcPr>
          <w:p w14:paraId="75E7C35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344 (47.7)</w:t>
            </w:r>
          </w:p>
        </w:tc>
        <w:tc>
          <w:tcPr>
            <w:tcW w:w="1288" w:type="dxa"/>
          </w:tcPr>
          <w:p w14:paraId="573D79A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413 (54.8)</w:t>
            </w:r>
          </w:p>
        </w:tc>
        <w:tc>
          <w:tcPr>
            <w:tcW w:w="1288" w:type="dxa"/>
          </w:tcPr>
          <w:p w14:paraId="6C70091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111 (40.4)</w:t>
            </w:r>
          </w:p>
        </w:tc>
        <w:tc>
          <w:tcPr>
            <w:tcW w:w="1288" w:type="dxa"/>
          </w:tcPr>
          <w:p w14:paraId="211A0EB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124 (52.8)</w:t>
            </w:r>
          </w:p>
        </w:tc>
      </w:tr>
      <w:tr w:rsidR="00B54D51" w:rsidRPr="00037AD4" w14:paraId="68C2B3E4" w14:textId="77777777" w:rsidTr="00401C67">
        <w:tc>
          <w:tcPr>
            <w:tcW w:w="1288" w:type="dxa"/>
          </w:tcPr>
          <w:p w14:paraId="08240DB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Total </w:t>
            </w:r>
          </w:p>
        </w:tc>
        <w:tc>
          <w:tcPr>
            <w:tcW w:w="1288" w:type="dxa"/>
          </w:tcPr>
          <w:p w14:paraId="6A2FB924" w14:textId="77777777" w:rsidR="00B54D51" w:rsidRPr="00037AD4" w:rsidRDefault="00B54D51" w:rsidP="00401C67">
            <w:pPr>
              <w:jc w:val="right"/>
              <w:rPr>
                <w:rFonts w:asciiTheme="minorHAnsi" w:hAnsiTheme="minorHAnsi" w:cstheme="minorHAnsi"/>
              </w:rPr>
            </w:pPr>
            <w:r w:rsidRPr="00037AD4">
              <w:rPr>
                <w:rFonts w:asciiTheme="minorHAnsi" w:hAnsiTheme="minorHAnsi" w:cstheme="minorHAnsi"/>
              </w:rPr>
              <w:t xml:space="preserve">736 </w:t>
            </w:r>
          </w:p>
        </w:tc>
        <w:tc>
          <w:tcPr>
            <w:tcW w:w="1288" w:type="dxa"/>
          </w:tcPr>
          <w:p w14:paraId="43DE7DBC" w14:textId="77777777" w:rsidR="00B54D51" w:rsidRPr="00037AD4" w:rsidRDefault="00B54D51" w:rsidP="00401C67">
            <w:pPr>
              <w:jc w:val="right"/>
              <w:rPr>
                <w:rFonts w:asciiTheme="minorHAnsi" w:hAnsiTheme="minorHAnsi" w:cstheme="minorHAnsi"/>
              </w:rPr>
            </w:pPr>
            <w:r w:rsidRPr="00037AD4">
              <w:rPr>
                <w:rFonts w:asciiTheme="minorHAnsi" w:hAnsiTheme="minorHAnsi" w:cstheme="minorHAnsi"/>
              </w:rPr>
              <w:t>721</w:t>
            </w:r>
          </w:p>
        </w:tc>
        <w:tc>
          <w:tcPr>
            <w:tcW w:w="1288" w:type="dxa"/>
          </w:tcPr>
          <w:p w14:paraId="498A5F1A" w14:textId="77777777" w:rsidR="00B54D51" w:rsidRPr="00037AD4" w:rsidRDefault="00B54D51" w:rsidP="00401C67">
            <w:pPr>
              <w:jc w:val="right"/>
              <w:rPr>
                <w:rFonts w:asciiTheme="minorHAnsi" w:hAnsiTheme="minorHAnsi" w:cstheme="minorHAnsi"/>
              </w:rPr>
            </w:pPr>
            <w:r w:rsidRPr="00037AD4">
              <w:rPr>
                <w:rFonts w:asciiTheme="minorHAnsi" w:hAnsiTheme="minorHAnsi" w:cstheme="minorHAnsi"/>
              </w:rPr>
              <w:t>754</w:t>
            </w:r>
          </w:p>
        </w:tc>
        <w:tc>
          <w:tcPr>
            <w:tcW w:w="1288" w:type="dxa"/>
          </w:tcPr>
          <w:p w14:paraId="5C6F3F10" w14:textId="77777777" w:rsidR="00B54D51" w:rsidRPr="00037AD4" w:rsidRDefault="00B54D51" w:rsidP="00401C67">
            <w:pPr>
              <w:jc w:val="right"/>
              <w:rPr>
                <w:rFonts w:asciiTheme="minorHAnsi" w:hAnsiTheme="minorHAnsi" w:cstheme="minorHAnsi"/>
              </w:rPr>
            </w:pPr>
            <w:r w:rsidRPr="00037AD4">
              <w:rPr>
                <w:rFonts w:asciiTheme="minorHAnsi" w:hAnsiTheme="minorHAnsi" w:cstheme="minorHAnsi"/>
              </w:rPr>
              <w:t>275</w:t>
            </w:r>
          </w:p>
        </w:tc>
        <w:tc>
          <w:tcPr>
            <w:tcW w:w="1288" w:type="dxa"/>
          </w:tcPr>
          <w:p w14:paraId="32D321C1" w14:textId="77777777" w:rsidR="00B54D51" w:rsidRPr="00037AD4" w:rsidRDefault="00B54D51" w:rsidP="00401C67">
            <w:pPr>
              <w:jc w:val="right"/>
              <w:rPr>
                <w:rFonts w:asciiTheme="minorHAnsi" w:hAnsiTheme="minorHAnsi" w:cstheme="minorHAnsi"/>
              </w:rPr>
            </w:pPr>
            <w:r w:rsidRPr="00037AD4">
              <w:rPr>
                <w:rFonts w:asciiTheme="minorHAnsi" w:hAnsiTheme="minorHAnsi" w:cstheme="minorHAnsi"/>
              </w:rPr>
              <w:t xml:space="preserve">235 </w:t>
            </w:r>
          </w:p>
        </w:tc>
      </w:tr>
      <w:tr w:rsidR="00B54D51" w:rsidRPr="00037AD4" w14:paraId="03709E6F" w14:textId="77777777" w:rsidTr="00401C67">
        <w:tc>
          <w:tcPr>
            <w:tcW w:w="7728" w:type="dxa"/>
            <w:gridSpan w:val="6"/>
          </w:tcPr>
          <w:p w14:paraId="107C164F" w14:textId="77777777" w:rsidR="00B54D51" w:rsidRPr="00037AD4" w:rsidRDefault="00B54D51" w:rsidP="00401C67">
            <w:pPr>
              <w:rPr>
                <w:rFonts w:asciiTheme="minorHAnsi" w:hAnsiTheme="minorHAnsi" w:cstheme="minorHAnsi"/>
              </w:rPr>
            </w:pPr>
            <w:r w:rsidRPr="00037AD4">
              <w:rPr>
                <w:rFonts w:asciiTheme="minorHAnsi" w:hAnsiTheme="minorHAnsi" w:cstheme="minorHAnsi"/>
                <w:sz w:val="20"/>
                <w:szCs w:val="20"/>
              </w:rPr>
              <w:t>*ACTIFCARE only; ** REMCARE only</w:t>
            </w:r>
          </w:p>
        </w:tc>
      </w:tr>
    </w:tbl>
    <w:p w14:paraId="127AB19D" w14:textId="77777777" w:rsidR="00B54D51" w:rsidRPr="00037AD4" w:rsidRDefault="00B54D51" w:rsidP="001D7ACE">
      <w:pPr>
        <w:rPr>
          <w:rFonts w:asciiTheme="minorHAnsi" w:hAnsiTheme="minorHAnsi" w:cstheme="minorHAnsi"/>
          <w:b/>
          <w:bCs/>
          <w:u w:val="single"/>
        </w:rPr>
      </w:pPr>
    </w:p>
    <w:p w14:paraId="07FC8ABD" w14:textId="77777777" w:rsidR="00B54D51" w:rsidRPr="00037AD4" w:rsidRDefault="00B54D51" w:rsidP="001D7ACE">
      <w:pPr>
        <w:rPr>
          <w:rFonts w:asciiTheme="minorHAnsi" w:hAnsiTheme="minorHAnsi" w:cstheme="minorHAnsi"/>
        </w:rPr>
      </w:pPr>
      <w:r w:rsidRPr="00037AD4">
        <w:rPr>
          <w:rFonts w:asciiTheme="minorHAnsi" w:hAnsiTheme="minorHAnsi" w:cstheme="minorHAnsi"/>
        </w:rPr>
        <w:t xml:space="preserve">Figures A5.4a and A5.4b plot the effect size estimations for the changes in EQ-5D index scores between baseline and the final follow-up point, and the changes in the symptom measures summarised in Table AA. </w:t>
      </w:r>
    </w:p>
    <w:p w14:paraId="7E6318B2" w14:textId="77777777" w:rsidR="00B54D51" w:rsidRPr="00037AD4" w:rsidRDefault="00B54D51" w:rsidP="001D7ACE">
      <w:pPr>
        <w:rPr>
          <w:rFonts w:asciiTheme="minorHAnsi" w:hAnsiTheme="minorHAnsi" w:cstheme="minorHAnsi"/>
        </w:rPr>
      </w:pPr>
    </w:p>
    <w:p w14:paraId="3AB77307" w14:textId="77777777" w:rsidR="00B54D51" w:rsidRPr="00830480" w:rsidRDefault="00B54D51" w:rsidP="001D7ACE">
      <w:pPr>
        <w:rPr>
          <w:rFonts w:asciiTheme="minorHAnsi" w:hAnsiTheme="minorHAnsi" w:cstheme="minorHAnsi"/>
        </w:rPr>
      </w:pPr>
      <w:r w:rsidRPr="00037AD4">
        <w:rPr>
          <w:rFonts w:asciiTheme="minorHAnsi" w:hAnsiTheme="minorHAnsi" w:cstheme="minorHAnsi"/>
        </w:rPr>
        <w:t xml:space="preserve">Tables A5.4b-A5.4f summarise the effect size calculations for each of the EQ-5D dimensions by changes in the symptom measure scores. For these analyses, the dementia symptoms </w:t>
      </w:r>
      <w:r w:rsidRPr="00037AD4">
        <w:rPr>
          <w:rFonts w:asciiTheme="minorHAnsi" w:hAnsiTheme="minorHAnsi" w:cstheme="minorHAnsi"/>
        </w:rPr>
        <w:lastRenderedPageBreak/>
        <w:t xml:space="preserve">measures chosen for comparison were those established by the convergent validity evidence summarised earlier </w:t>
      </w:r>
      <w:r w:rsidRPr="00830480">
        <w:rPr>
          <w:rFonts w:asciiTheme="minorHAnsi" w:hAnsiTheme="minorHAnsi" w:cstheme="minorHAnsi"/>
        </w:rPr>
        <w:t xml:space="preserve">in </w:t>
      </w:r>
      <w:hyperlink w:anchor="A5" w:history="1">
        <w:r w:rsidRPr="00830480">
          <w:rPr>
            <w:rStyle w:val="Hyperlink"/>
            <w:rFonts w:asciiTheme="minorHAnsi" w:hAnsiTheme="minorHAnsi" w:cstheme="minorHAnsi"/>
            <w:color w:val="auto"/>
            <w:u w:val="none"/>
          </w:rPr>
          <w:t>Appendix 5.</w:t>
        </w:r>
      </w:hyperlink>
      <w:r w:rsidRPr="00830480">
        <w:rPr>
          <w:rFonts w:asciiTheme="minorHAnsi" w:hAnsiTheme="minorHAnsi" w:cstheme="minorHAnsi"/>
        </w:rPr>
        <w:t xml:space="preserve"> </w:t>
      </w:r>
    </w:p>
    <w:p w14:paraId="2AC4B1E1" w14:textId="77777777" w:rsidR="00B54D51" w:rsidRPr="00830480" w:rsidRDefault="00B54D51" w:rsidP="001D7ACE">
      <w:pPr>
        <w:rPr>
          <w:rFonts w:asciiTheme="minorHAnsi" w:hAnsiTheme="minorHAnsi" w:cstheme="minorHAnsi"/>
        </w:rPr>
      </w:pPr>
    </w:p>
    <w:p w14:paraId="56E8D283" w14:textId="77777777" w:rsidR="00B54D51" w:rsidRPr="00830480" w:rsidRDefault="00B54D51" w:rsidP="001D7ACE">
      <w:pPr>
        <w:rPr>
          <w:rFonts w:asciiTheme="minorHAnsi" w:hAnsiTheme="minorHAnsi" w:cstheme="minorHAnsi"/>
        </w:rPr>
      </w:pPr>
      <w:r w:rsidRPr="00830480">
        <w:rPr>
          <w:rFonts w:asciiTheme="minorHAnsi" w:hAnsiTheme="minorHAnsi" w:cstheme="minorHAnsi"/>
        </w:rPr>
        <w:t xml:space="preserve">Table A5.4g summarises the correlation between change in EQ-5D index scores and changes in the dementia symptom measure scores. Tables A5.4h-A5.4l provide the same information by EQ-5D dimension. As before, the dementia symptom measures chosen for comparison were previously established and have been summarised in </w:t>
      </w:r>
      <w:hyperlink w:anchor="A5" w:history="1">
        <w:r w:rsidRPr="00830480">
          <w:rPr>
            <w:rStyle w:val="Hyperlink"/>
            <w:rFonts w:asciiTheme="minorHAnsi" w:hAnsiTheme="minorHAnsi" w:cstheme="minorHAnsi"/>
            <w:color w:val="auto"/>
            <w:u w:val="none"/>
          </w:rPr>
          <w:t>Appendix 5.</w:t>
        </w:r>
      </w:hyperlink>
      <w:r w:rsidRPr="00830480">
        <w:rPr>
          <w:rFonts w:asciiTheme="minorHAnsi" w:hAnsiTheme="minorHAnsi" w:cstheme="minorHAnsi"/>
        </w:rPr>
        <w:t xml:space="preserve"> </w:t>
      </w:r>
    </w:p>
    <w:p w14:paraId="3CE0DA42" w14:textId="77777777" w:rsidR="00B54D51" w:rsidRPr="00037AD4" w:rsidRDefault="00B54D51" w:rsidP="001D7ACE">
      <w:pPr>
        <w:rPr>
          <w:rFonts w:asciiTheme="minorHAnsi" w:hAnsiTheme="minorHAnsi" w:cstheme="minorHAnsi"/>
          <w:b/>
          <w:bCs/>
          <w:u w:val="single"/>
        </w:rPr>
      </w:pPr>
    </w:p>
    <w:p w14:paraId="1921FAAF" w14:textId="77777777" w:rsidR="00B54D51" w:rsidRPr="00037AD4" w:rsidRDefault="00B54D51" w:rsidP="001D7ACE">
      <w:pPr>
        <w:rPr>
          <w:rFonts w:asciiTheme="minorHAnsi" w:hAnsiTheme="minorHAnsi" w:cstheme="minorHAnsi"/>
          <w:u w:val="single"/>
        </w:rPr>
      </w:pPr>
      <w:bookmarkStart w:id="505" w:name="figa54a"/>
      <w:r w:rsidRPr="00037AD4">
        <w:rPr>
          <w:rFonts w:asciiTheme="minorHAnsi" w:hAnsiTheme="minorHAnsi" w:cstheme="minorHAnsi"/>
          <w:u w:val="single"/>
        </w:rPr>
        <w:t xml:space="preserve">Figure A5.4a, EQ-5D index score responsiveness with worsening in health condition </w:t>
      </w:r>
    </w:p>
    <w:bookmarkEnd w:id="505"/>
    <w:p w14:paraId="479AC3D8" w14:textId="77777777" w:rsidR="00B54D51" w:rsidRPr="00037AD4" w:rsidRDefault="00B54D51" w:rsidP="001D7ACE">
      <w:pPr>
        <w:rPr>
          <w:rFonts w:asciiTheme="minorHAnsi" w:hAnsiTheme="minorHAnsi" w:cstheme="minorHAnsi"/>
        </w:rPr>
      </w:pPr>
    </w:p>
    <w:p w14:paraId="17581F1F" w14:textId="77777777" w:rsidR="00B54D51" w:rsidRPr="00037AD4" w:rsidRDefault="00B54D51" w:rsidP="001D7ACE">
      <w:pPr>
        <w:rPr>
          <w:rFonts w:asciiTheme="minorHAnsi" w:hAnsiTheme="minorHAnsi" w:cstheme="minorHAnsi"/>
        </w:rPr>
      </w:pPr>
      <w:r w:rsidRPr="00037AD4">
        <w:rPr>
          <w:rFonts w:asciiTheme="minorHAnsi" w:hAnsiTheme="minorHAnsi" w:cstheme="minorHAnsi"/>
          <w:noProof/>
          <w:lang w:eastAsia="zh-CN"/>
        </w:rPr>
        <w:drawing>
          <wp:inline distT="0" distB="0" distL="0" distR="0" wp14:anchorId="3B7C0FB5" wp14:editId="217376C9">
            <wp:extent cx="4680000" cy="2880000"/>
            <wp:effectExtent l="0" t="0" r="6350" b="15875"/>
            <wp:docPr id="183" name="Chart 183">
              <a:extLst xmlns:a="http://schemas.openxmlformats.org/drawingml/2006/main">
                <a:ext uri="{FF2B5EF4-FFF2-40B4-BE49-F238E27FC236}">
                  <a16:creationId xmlns:a16="http://schemas.microsoft.com/office/drawing/2014/main" id="{424CB97C-00B0-4515-2EB1-EEBA4176A39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2AAEA016" w14:textId="77777777" w:rsidR="00B54D51" w:rsidRPr="00037AD4" w:rsidRDefault="00B54D51" w:rsidP="001D7ACE">
      <w:pPr>
        <w:rPr>
          <w:rFonts w:asciiTheme="minorHAnsi" w:hAnsiTheme="minorHAnsi" w:cstheme="minorHAnsi"/>
          <w:b/>
          <w:bCs/>
          <w:u w:val="single"/>
        </w:rPr>
      </w:pPr>
    </w:p>
    <w:p w14:paraId="08402BD6" w14:textId="77777777" w:rsidR="00B54D51" w:rsidRPr="00037AD4" w:rsidRDefault="00B54D51" w:rsidP="001D7ACE">
      <w:pPr>
        <w:rPr>
          <w:rFonts w:asciiTheme="minorHAnsi" w:hAnsiTheme="minorHAnsi" w:cstheme="minorHAnsi"/>
          <w:u w:val="single"/>
        </w:rPr>
      </w:pPr>
      <w:bookmarkStart w:id="506" w:name="figa54b"/>
      <w:r w:rsidRPr="00037AD4">
        <w:rPr>
          <w:rFonts w:asciiTheme="minorHAnsi" w:hAnsiTheme="minorHAnsi" w:cstheme="minorHAnsi"/>
          <w:u w:val="single"/>
        </w:rPr>
        <w:t xml:space="preserve">Figure A5.4b, EQ-5D index score responsiveness with improvement in health condition </w:t>
      </w:r>
      <w:bookmarkEnd w:id="506"/>
    </w:p>
    <w:p w14:paraId="20DE5AEE" w14:textId="77777777" w:rsidR="00B54D51" w:rsidRPr="00037AD4" w:rsidRDefault="00B54D51" w:rsidP="001D7ACE">
      <w:pPr>
        <w:rPr>
          <w:rFonts w:asciiTheme="minorHAnsi" w:hAnsiTheme="minorHAnsi" w:cstheme="minorHAnsi"/>
        </w:rPr>
      </w:pPr>
    </w:p>
    <w:p w14:paraId="0D531A0E" w14:textId="77777777" w:rsidR="00B54D51" w:rsidRPr="00037AD4" w:rsidRDefault="00B54D51" w:rsidP="001D7ACE">
      <w:pPr>
        <w:rPr>
          <w:rFonts w:asciiTheme="minorHAnsi" w:hAnsiTheme="minorHAnsi" w:cstheme="minorHAnsi"/>
        </w:rPr>
      </w:pPr>
      <w:r w:rsidRPr="00037AD4">
        <w:rPr>
          <w:rFonts w:asciiTheme="minorHAnsi" w:hAnsiTheme="minorHAnsi" w:cstheme="minorHAnsi"/>
          <w:noProof/>
          <w:lang w:eastAsia="zh-CN"/>
        </w:rPr>
        <w:drawing>
          <wp:inline distT="0" distB="0" distL="0" distR="0" wp14:anchorId="65A0C34D" wp14:editId="63714959">
            <wp:extent cx="4680000" cy="2880000"/>
            <wp:effectExtent l="0" t="0" r="6350" b="15875"/>
            <wp:docPr id="184" name="Chart 184">
              <a:extLst xmlns:a="http://schemas.openxmlformats.org/drawingml/2006/main">
                <a:ext uri="{FF2B5EF4-FFF2-40B4-BE49-F238E27FC236}">
                  <a16:creationId xmlns:a16="http://schemas.microsoft.com/office/drawing/2014/main" id="{091E43CA-5F85-2521-825E-F56D1E11775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14:paraId="481B4A66" w14:textId="77777777" w:rsidR="00B54D51" w:rsidRPr="00037AD4" w:rsidRDefault="00B54D51" w:rsidP="001D7ACE">
      <w:pPr>
        <w:rPr>
          <w:rFonts w:asciiTheme="minorHAnsi" w:hAnsiTheme="minorHAnsi" w:cstheme="minorHAnsi"/>
          <w:b/>
          <w:bCs/>
          <w:u w:val="single"/>
        </w:rPr>
      </w:pPr>
    </w:p>
    <w:p w14:paraId="5A02178D" w14:textId="77777777" w:rsidR="00B54D51" w:rsidRPr="00037AD4" w:rsidRDefault="00B54D51" w:rsidP="001D7ACE">
      <w:pPr>
        <w:rPr>
          <w:rFonts w:asciiTheme="minorHAnsi" w:hAnsiTheme="minorHAnsi" w:cstheme="minorHAnsi"/>
          <w:b/>
          <w:bCs/>
          <w:u w:val="single"/>
        </w:rPr>
      </w:pPr>
    </w:p>
    <w:p w14:paraId="1D4E56AA" w14:textId="77777777" w:rsidR="00B54D51" w:rsidRPr="00037AD4" w:rsidRDefault="00B54D51" w:rsidP="001D7ACE">
      <w:pPr>
        <w:rPr>
          <w:rFonts w:asciiTheme="minorHAnsi" w:hAnsiTheme="minorHAnsi" w:cstheme="minorHAnsi"/>
          <w:b/>
          <w:bCs/>
          <w:u w:val="single"/>
        </w:rPr>
        <w:sectPr w:rsidR="00B54D51" w:rsidRPr="00037AD4" w:rsidSect="0051675A">
          <w:pgSz w:w="11906" w:h="16838"/>
          <w:pgMar w:top="1440" w:right="1440" w:bottom="1440" w:left="1440" w:header="708" w:footer="708" w:gutter="0"/>
          <w:cols w:space="708"/>
          <w:docGrid w:linePitch="360"/>
        </w:sectPr>
      </w:pPr>
    </w:p>
    <w:p w14:paraId="615F7473" w14:textId="77777777" w:rsidR="00B54D51" w:rsidRPr="00037AD4" w:rsidRDefault="00B54D51" w:rsidP="001D7ACE">
      <w:pPr>
        <w:rPr>
          <w:rFonts w:asciiTheme="minorHAnsi" w:hAnsiTheme="minorHAnsi" w:cstheme="minorHAnsi"/>
          <w:u w:val="single"/>
        </w:rPr>
      </w:pPr>
      <w:r w:rsidRPr="00037AD4">
        <w:rPr>
          <w:rFonts w:asciiTheme="minorHAnsi" w:hAnsiTheme="minorHAnsi" w:cstheme="minorHAnsi"/>
          <w:u w:val="single"/>
        </w:rPr>
        <w:lastRenderedPageBreak/>
        <w:t>Table A5.4b, Mobility dimension responsiveness with worsening health condition</w:t>
      </w:r>
    </w:p>
    <w:p w14:paraId="26033E90" w14:textId="77777777" w:rsidR="00B54D51" w:rsidRPr="00037AD4" w:rsidRDefault="00B54D51" w:rsidP="001D7ACE">
      <w:pPr>
        <w:rPr>
          <w:rFonts w:asciiTheme="minorHAnsi" w:hAnsiTheme="minorHAnsi" w:cstheme="minorHAnsi"/>
        </w:rPr>
      </w:pPr>
    </w:p>
    <w:tbl>
      <w:tblPr>
        <w:tblStyle w:val="TableGrid"/>
        <w:tblpPr w:leftFromText="180" w:rightFromText="180" w:vertAnchor="text" w:horzAnchor="margin" w:tblpY="-79"/>
        <w:tblW w:w="14444" w:type="dxa"/>
        <w:tblLook w:val="04A0" w:firstRow="1" w:lastRow="0" w:firstColumn="1" w:lastColumn="0" w:noHBand="0" w:noVBand="1"/>
      </w:tblPr>
      <w:tblGrid>
        <w:gridCol w:w="1061"/>
        <w:gridCol w:w="941"/>
        <w:gridCol w:w="864"/>
        <w:gridCol w:w="1062"/>
        <w:gridCol w:w="1048"/>
        <w:gridCol w:w="1179"/>
        <w:gridCol w:w="1899"/>
        <w:gridCol w:w="1885"/>
        <w:gridCol w:w="1892"/>
        <w:gridCol w:w="1303"/>
        <w:gridCol w:w="1310"/>
      </w:tblGrid>
      <w:tr w:rsidR="00B54D51" w:rsidRPr="00037AD4" w14:paraId="136392DF" w14:textId="77777777" w:rsidTr="00401C67">
        <w:trPr>
          <w:trHeight w:val="410"/>
        </w:trPr>
        <w:tc>
          <w:tcPr>
            <w:tcW w:w="0" w:type="auto"/>
          </w:tcPr>
          <w:p w14:paraId="6583EB88" w14:textId="77777777" w:rsidR="00B54D51" w:rsidRPr="00037AD4" w:rsidRDefault="00B54D51" w:rsidP="00401C67">
            <w:pPr>
              <w:rPr>
                <w:rFonts w:asciiTheme="minorHAnsi" w:hAnsiTheme="minorHAnsi" w:cstheme="minorHAnsi"/>
                <w:i/>
                <w:iCs/>
              </w:rPr>
            </w:pPr>
          </w:p>
        </w:tc>
        <w:tc>
          <w:tcPr>
            <w:tcW w:w="0" w:type="auto"/>
            <w:gridSpan w:val="2"/>
          </w:tcPr>
          <w:p w14:paraId="10EFBCB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CDR </w:t>
            </w:r>
          </w:p>
        </w:tc>
        <w:tc>
          <w:tcPr>
            <w:tcW w:w="0" w:type="auto"/>
            <w:gridSpan w:val="3"/>
          </w:tcPr>
          <w:p w14:paraId="5827791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Function </w:t>
            </w:r>
          </w:p>
        </w:tc>
        <w:tc>
          <w:tcPr>
            <w:tcW w:w="0" w:type="auto"/>
            <w:gridSpan w:val="3"/>
          </w:tcPr>
          <w:p w14:paraId="7D5C710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Neuropsychiatric symptoms-</w:t>
            </w:r>
          </w:p>
        </w:tc>
        <w:tc>
          <w:tcPr>
            <w:tcW w:w="0" w:type="auto"/>
            <w:gridSpan w:val="2"/>
          </w:tcPr>
          <w:p w14:paraId="5E69941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Depression* </w:t>
            </w:r>
          </w:p>
        </w:tc>
      </w:tr>
      <w:tr w:rsidR="00B54D51" w:rsidRPr="00037AD4" w14:paraId="463EBC5C" w14:textId="77777777" w:rsidTr="00401C67">
        <w:trPr>
          <w:trHeight w:val="1275"/>
        </w:trPr>
        <w:tc>
          <w:tcPr>
            <w:tcW w:w="0" w:type="auto"/>
          </w:tcPr>
          <w:p w14:paraId="6E063E4A" w14:textId="77777777" w:rsidR="00B54D51" w:rsidRPr="00037AD4" w:rsidRDefault="00B54D51" w:rsidP="00401C67">
            <w:pPr>
              <w:rPr>
                <w:rFonts w:asciiTheme="minorHAnsi" w:hAnsiTheme="minorHAnsi" w:cstheme="minorHAnsi"/>
                <w:i/>
                <w:iCs/>
              </w:rPr>
            </w:pPr>
            <w:r w:rsidRPr="00037AD4">
              <w:rPr>
                <w:rFonts w:asciiTheme="minorHAnsi" w:hAnsiTheme="minorHAnsi" w:cstheme="minorHAnsi"/>
                <w:i/>
                <w:iCs/>
              </w:rPr>
              <w:t xml:space="preserve">d </w:t>
            </w:r>
          </w:p>
        </w:tc>
        <w:tc>
          <w:tcPr>
            <w:tcW w:w="0" w:type="auto"/>
          </w:tcPr>
          <w:p w14:paraId="00908F7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No change in CDR</w:t>
            </w:r>
          </w:p>
        </w:tc>
        <w:tc>
          <w:tcPr>
            <w:tcW w:w="0" w:type="auto"/>
          </w:tcPr>
          <w:p w14:paraId="44DBFE4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Worse CDR </w:t>
            </w:r>
          </w:p>
        </w:tc>
        <w:tc>
          <w:tcPr>
            <w:tcW w:w="0" w:type="auto"/>
          </w:tcPr>
          <w:p w14:paraId="46B6B8E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No change in function</w:t>
            </w:r>
          </w:p>
        </w:tc>
        <w:tc>
          <w:tcPr>
            <w:tcW w:w="0" w:type="auto"/>
          </w:tcPr>
          <w:p w14:paraId="6AE0ED7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Worse function</w:t>
            </w:r>
          </w:p>
        </w:tc>
        <w:tc>
          <w:tcPr>
            <w:tcW w:w="0" w:type="auto"/>
          </w:tcPr>
          <w:p w14:paraId="520366E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Improved function </w:t>
            </w:r>
          </w:p>
        </w:tc>
        <w:tc>
          <w:tcPr>
            <w:tcW w:w="0" w:type="auto"/>
          </w:tcPr>
          <w:p w14:paraId="67901A1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No change in neuropsychiatric symptoms </w:t>
            </w:r>
          </w:p>
        </w:tc>
        <w:tc>
          <w:tcPr>
            <w:tcW w:w="0" w:type="auto"/>
          </w:tcPr>
          <w:p w14:paraId="1E46B51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Worse neuropsychiatric symptoms</w:t>
            </w:r>
          </w:p>
        </w:tc>
        <w:tc>
          <w:tcPr>
            <w:tcW w:w="0" w:type="auto"/>
          </w:tcPr>
          <w:p w14:paraId="199DCBB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Improved neuropsychiatric symptoms </w:t>
            </w:r>
          </w:p>
        </w:tc>
        <w:tc>
          <w:tcPr>
            <w:tcW w:w="0" w:type="auto"/>
          </w:tcPr>
          <w:p w14:paraId="559CB9D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Worse depression</w:t>
            </w:r>
          </w:p>
        </w:tc>
        <w:tc>
          <w:tcPr>
            <w:tcW w:w="0" w:type="auto"/>
          </w:tcPr>
          <w:p w14:paraId="78934EB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Improved depression</w:t>
            </w:r>
          </w:p>
        </w:tc>
      </w:tr>
      <w:tr w:rsidR="00B54D51" w:rsidRPr="00037AD4" w14:paraId="507F49FF" w14:textId="77777777" w:rsidTr="00401C67">
        <w:trPr>
          <w:trHeight w:val="306"/>
        </w:trPr>
        <w:tc>
          <w:tcPr>
            <w:tcW w:w="0" w:type="auto"/>
          </w:tcPr>
          <w:p w14:paraId="6FCCEA2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PwD</w:t>
            </w:r>
          </w:p>
        </w:tc>
        <w:tc>
          <w:tcPr>
            <w:tcW w:w="0" w:type="auto"/>
          </w:tcPr>
          <w:p w14:paraId="234037C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-0.15</w:t>
            </w:r>
          </w:p>
        </w:tc>
        <w:tc>
          <w:tcPr>
            <w:tcW w:w="0" w:type="auto"/>
          </w:tcPr>
          <w:p w14:paraId="71A9BF1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-0.34</w:t>
            </w:r>
          </w:p>
        </w:tc>
        <w:tc>
          <w:tcPr>
            <w:tcW w:w="0" w:type="auto"/>
          </w:tcPr>
          <w:p w14:paraId="1813B1D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-0.36</w:t>
            </w:r>
          </w:p>
        </w:tc>
        <w:tc>
          <w:tcPr>
            <w:tcW w:w="0" w:type="auto"/>
          </w:tcPr>
          <w:p w14:paraId="469B383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-0.11 </w:t>
            </w:r>
          </w:p>
        </w:tc>
        <w:tc>
          <w:tcPr>
            <w:tcW w:w="0" w:type="auto"/>
          </w:tcPr>
          <w:p w14:paraId="4BC9448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0.09 </w:t>
            </w:r>
          </w:p>
        </w:tc>
        <w:tc>
          <w:tcPr>
            <w:tcW w:w="0" w:type="auto"/>
          </w:tcPr>
          <w:p w14:paraId="03574DC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-0.23</w:t>
            </w:r>
          </w:p>
        </w:tc>
        <w:tc>
          <w:tcPr>
            <w:tcW w:w="0" w:type="auto"/>
          </w:tcPr>
          <w:p w14:paraId="4750B25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-0.07</w:t>
            </w:r>
          </w:p>
        </w:tc>
        <w:tc>
          <w:tcPr>
            <w:tcW w:w="0" w:type="auto"/>
          </w:tcPr>
          <w:p w14:paraId="7DD6EA5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-0.44</w:t>
            </w:r>
          </w:p>
        </w:tc>
        <w:tc>
          <w:tcPr>
            <w:tcW w:w="0" w:type="auto"/>
          </w:tcPr>
          <w:p w14:paraId="38E97FB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0.02</w:t>
            </w:r>
          </w:p>
        </w:tc>
        <w:tc>
          <w:tcPr>
            <w:tcW w:w="0" w:type="auto"/>
          </w:tcPr>
          <w:p w14:paraId="70D5ADF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-0.02</w:t>
            </w:r>
          </w:p>
        </w:tc>
      </w:tr>
      <w:tr w:rsidR="00B54D51" w:rsidRPr="00037AD4" w14:paraId="255F6C6F" w14:textId="77777777" w:rsidTr="00401C67">
        <w:trPr>
          <w:trHeight w:val="637"/>
        </w:trPr>
        <w:tc>
          <w:tcPr>
            <w:tcW w:w="0" w:type="auto"/>
          </w:tcPr>
          <w:p w14:paraId="3E46AC4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Informal proxy </w:t>
            </w:r>
          </w:p>
        </w:tc>
        <w:tc>
          <w:tcPr>
            <w:tcW w:w="0" w:type="auto"/>
          </w:tcPr>
          <w:p w14:paraId="384B13A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-0.11</w:t>
            </w:r>
          </w:p>
        </w:tc>
        <w:tc>
          <w:tcPr>
            <w:tcW w:w="0" w:type="auto"/>
          </w:tcPr>
          <w:p w14:paraId="333EBA6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-0.36</w:t>
            </w:r>
          </w:p>
        </w:tc>
        <w:tc>
          <w:tcPr>
            <w:tcW w:w="0" w:type="auto"/>
          </w:tcPr>
          <w:p w14:paraId="0882B4A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-0.13 </w:t>
            </w:r>
          </w:p>
        </w:tc>
        <w:tc>
          <w:tcPr>
            <w:tcW w:w="0" w:type="auto"/>
          </w:tcPr>
          <w:p w14:paraId="19582D7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-0.21</w:t>
            </w:r>
          </w:p>
        </w:tc>
        <w:tc>
          <w:tcPr>
            <w:tcW w:w="0" w:type="auto"/>
          </w:tcPr>
          <w:p w14:paraId="66D5628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0.14 </w:t>
            </w:r>
          </w:p>
        </w:tc>
        <w:tc>
          <w:tcPr>
            <w:tcW w:w="0" w:type="auto"/>
          </w:tcPr>
          <w:p w14:paraId="2330F01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-0.04</w:t>
            </w:r>
          </w:p>
        </w:tc>
        <w:tc>
          <w:tcPr>
            <w:tcW w:w="0" w:type="auto"/>
          </w:tcPr>
          <w:p w14:paraId="27786F0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-0.24</w:t>
            </w:r>
          </w:p>
        </w:tc>
        <w:tc>
          <w:tcPr>
            <w:tcW w:w="0" w:type="auto"/>
          </w:tcPr>
          <w:p w14:paraId="524898B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-0.17</w:t>
            </w:r>
          </w:p>
        </w:tc>
        <w:tc>
          <w:tcPr>
            <w:tcW w:w="0" w:type="auto"/>
          </w:tcPr>
          <w:p w14:paraId="461691C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-0.14</w:t>
            </w:r>
          </w:p>
        </w:tc>
        <w:tc>
          <w:tcPr>
            <w:tcW w:w="0" w:type="auto"/>
          </w:tcPr>
          <w:p w14:paraId="6AE319B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-0.02</w:t>
            </w:r>
          </w:p>
        </w:tc>
      </w:tr>
      <w:tr w:rsidR="00B54D51" w:rsidRPr="00037AD4" w14:paraId="73CEDBA8" w14:textId="77777777" w:rsidTr="00401C67">
        <w:trPr>
          <w:trHeight w:val="615"/>
        </w:trPr>
        <w:tc>
          <w:tcPr>
            <w:tcW w:w="0" w:type="auto"/>
          </w:tcPr>
          <w:p w14:paraId="58CFB31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Staff proxy </w:t>
            </w:r>
          </w:p>
        </w:tc>
        <w:tc>
          <w:tcPr>
            <w:tcW w:w="0" w:type="auto"/>
          </w:tcPr>
          <w:p w14:paraId="33157DB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-0.29</w:t>
            </w:r>
          </w:p>
        </w:tc>
        <w:tc>
          <w:tcPr>
            <w:tcW w:w="0" w:type="auto"/>
          </w:tcPr>
          <w:p w14:paraId="5A85074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-0.56*</w:t>
            </w:r>
          </w:p>
        </w:tc>
        <w:tc>
          <w:tcPr>
            <w:tcW w:w="0" w:type="auto"/>
          </w:tcPr>
          <w:p w14:paraId="3C7556A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-0.39</w:t>
            </w:r>
          </w:p>
        </w:tc>
        <w:tc>
          <w:tcPr>
            <w:tcW w:w="0" w:type="auto"/>
          </w:tcPr>
          <w:p w14:paraId="7C8959E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-0.49 </w:t>
            </w:r>
          </w:p>
        </w:tc>
        <w:tc>
          <w:tcPr>
            <w:tcW w:w="0" w:type="auto"/>
          </w:tcPr>
          <w:p w14:paraId="3C4A864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w:t>
            </w:r>
          </w:p>
        </w:tc>
        <w:tc>
          <w:tcPr>
            <w:tcW w:w="0" w:type="auto"/>
          </w:tcPr>
          <w:p w14:paraId="120D19F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-0.09</w:t>
            </w:r>
          </w:p>
        </w:tc>
        <w:tc>
          <w:tcPr>
            <w:tcW w:w="0" w:type="auto"/>
          </w:tcPr>
          <w:p w14:paraId="1BAB0FD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-0.41</w:t>
            </w:r>
          </w:p>
        </w:tc>
        <w:tc>
          <w:tcPr>
            <w:tcW w:w="0" w:type="auto"/>
          </w:tcPr>
          <w:p w14:paraId="0C8AD05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-0.33</w:t>
            </w:r>
          </w:p>
        </w:tc>
        <w:tc>
          <w:tcPr>
            <w:tcW w:w="0" w:type="auto"/>
          </w:tcPr>
          <w:p w14:paraId="4468814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w:t>
            </w:r>
          </w:p>
        </w:tc>
        <w:tc>
          <w:tcPr>
            <w:tcW w:w="0" w:type="auto"/>
          </w:tcPr>
          <w:p w14:paraId="7833BC6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w:t>
            </w:r>
          </w:p>
        </w:tc>
      </w:tr>
      <w:tr w:rsidR="00B54D51" w:rsidRPr="00037AD4" w14:paraId="2BF7A457" w14:textId="77777777" w:rsidTr="00401C67">
        <w:trPr>
          <w:trHeight w:val="245"/>
        </w:trPr>
        <w:tc>
          <w:tcPr>
            <w:tcW w:w="0" w:type="auto"/>
            <w:gridSpan w:val="11"/>
          </w:tcPr>
          <w:p w14:paraId="61CDB72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*Using EQ-5D-3L data</w:t>
            </w:r>
          </w:p>
        </w:tc>
      </w:tr>
    </w:tbl>
    <w:p w14:paraId="5668634A" w14:textId="77777777" w:rsidR="00B54D51" w:rsidRPr="00037AD4" w:rsidRDefault="00B54D51" w:rsidP="001D7ACE">
      <w:pPr>
        <w:rPr>
          <w:rFonts w:asciiTheme="minorHAnsi" w:hAnsiTheme="minorHAnsi" w:cstheme="minorHAnsi"/>
          <w:u w:val="single"/>
        </w:rPr>
      </w:pPr>
      <w:bookmarkStart w:id="507" w:name="TableA54c"/>
      <w:r w:rsidRPr="00037AD4">
        <w:rPr>
          <w:rFonts w:asciiTheme="minorHAnsi" w:hAnsiTheme="minorHAnsi" w:cstheme="minorHAnsi"/>
          <w:u w:val="single"/>
        </w:rPr>
        <w:t>Table A5.4c, Self-care dimension responsiveness with worsening health condition</w:t>
      </w:r>
    </w:p>
    <w:bookmarkEnd w:id="507"/>
    <w:p w14:paraId="7DB5E4DF" w14:textId="77777777" w:rsidR="00B54D51" w:rsidRPr="00037AD4" w:rsidRDefault="00B54D51" w:rsidP="001D7ACE">
      <w:pPr>
        <w:rPr>
          <w:rFonts w:asciiTheme="minorHAnsi" w:hAnsiTheme="minorHAnsi" w:cstheme="minorHAnsi"/>
        </w:rPr>
      </w:pPr>
    </w:p>
    <w:tbl>
      <w:tblPr>
        <w:tblStyle w:val="TableGrid"/>
        <w:tblpPr w:leftFromText="180" w:rightFromText="180" w:vertAnchor="text" w:horzAnchor="margin" w:tblpY="-61"/>
        <w:tblW w:w="0" w:type="auto"/>
        <w:tblLook w:val="04A0" w:firstRow="1" w:lastRow="0" w:firstColumn="1" w:lastColumn="0" w:noHBand="0" w:noVBand="1"/>
      </w:tblPr>
      <w:tblGrid>
        <w:gridCol w:w="1651"/>
        <w:gridCol w:w="1949"/>
        <w:gridCol w:w="1314"/>
        <w:gridCol w:w="2358"/>
        <w:gridCol w:w="1723"/>
        <w:gridCol w:w="2028"/>
      </w:tblGrid>
      <w:tr w:rsidR="00B54D51" w:rsidRPr="00037AD4" w14:paraId="13EA6283" w14:textId="77777777" w:rsidTr="00401C67">
        <w:trPr>
          <w:trHeight w:val="90"/>
        </w:trPr>
        <w:tc>
          <w:tcPr>
            <w:tcW w:w="0" w:type="auto"/>
            <w:gridSpan w:val="6"/>
          </w:tcPr>
          <w:p w14:paraId="461A3AC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Self-care</w:t>
            </w:r>
          </w:p>
          <w:p w14:paraId="774E5A48" w14:textId="77777777" w:rsidR="00B54D51" w:rsidRPr="00037AD4" w:rsidRDefault="00B54D51" w:rsidP="00401C67">
            <w:pPr>
              <w:rPr>
                <w:rFonts w:asciiTheme="minorHAnsi" w:hAnsiTheme="minorHAnsi" w:cstheme="minorHAnsi"/>
              </w:rPr>
            </w:pPr>
          </w:p>
        </w:tc>
      </w:tr>
      <w:tr w:rsidR="00B54D51" w:rsidRPr="00037AD4" w14:paraId="2C233BE9" w14:textId="77777777" w:rsidTr="00401C67">
        <w:trPr>
          <w:trHeight w:val="390"/>
        </w:trPr>
        <w:tc>
          <w:tcPr>
            <w:tcW w:w="0" w:type="auto"/>
          </w:tcPr>
          <w:p w14:paraId="21D1F3DD" w14:textId="77777777" w:rsidR="00B54D51" w:rsidRPr="00037AD4" w:rsidRDefault="00B54D51" w:rsidP="00401C67">
            <w:pPr>
              <w:rPr>
                <w:rFonts w:asciiTheme="minorHAnsi" w:hAnsiTheme="minorHAnsi" w:cstheme="minorHAnsi"/>
                <w:i/>
                <w:iCs/>
              </w:rPr>
            </w:pPr>
          </w:p>
        </w:tc>
        <w:tc>
          <w:tcPr>
            <w:tcW w:w="0" w:type="auto"/>
            <w:gridSpan w:val="2"/>
          </w:tcPr>
          <w:p w14:paraId="0E85289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CDR </w:t>
            </w:r>
          </w:p>
        </w:tc>
        <w:tc>
          <w:tcPr>
            <w:tcW w:w="0" w:type="auto"/>
            <w:gridSpan w:val="3"/>
          </w:tcPr>
          <w:p w14:paraId="2572473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Function </w:t>
            </w:r>
          </w:p>
        </w:tc>
      </w:tr>
      <w:tr w:rsidR="00B54D51" w:rsidRPr="00037AD4" w14:paraId="679C9C12" w14:textId="77777777" w:rsidTr="00401C67">
        <w:trPr>
          <w:trHeight w:val="584"/>
        </w:trPr>
        <w:tc>
          <w:tcPr>
            <w:tcW w:w="0" w:type="auto"/>
          </w:tcPr>
          <w:p w14:paraId="5EBE2A31" w14:textId="77777777" w:rsidR="00B54D51" w:rsidRPr="00037AD4" w:rsidRDefault="00B54D51" w:rsidP="00401C67">
            <w:pPr>
              <w:rPr>
                <w:rFonts w:asciiTheme="minorHAnsi" w:hAnsiTheme="minorHAnsi" w:cstheme="minorHAnsi"/>
                <w:i/>
                <w:iCs/>
              </w:rPr>
            </w:pPr>
            <w:r w:rsidRPr="00037AD4">
              <w:rPr>
                <w:rFonts w:asciiTheme="minorHAnsi" w:hAnsiTheme="minorHAnsi" w:cstheme="minorHAnsi"/>
                <w:i/>
                <w:iCs/>
              </w:rPr>
              <w:t xml:space="preserve">d </w:t>
            </w:r>
          </w:p>
        </w:tc>
        <w:tc>
          <w:tcPr>
            <w:tcW w:w="0" w:type="auto"/>
          </w:tcPr>
          <w:p w14:paraId="40657DC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No change in CDR</w:t>
            </w:r>
          </w:p>
        </w:tc>
        <w:tc>
          <w:tcPr>
            <w:tcW w:w="0" w:type="auto"/>
          </w:tcPr>
          <w:p w14:paraId="10963AC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Worse CDR </w:t>
            </w:r>
          </w:p>
        </w:tc>
        <w:tc>
          <w:tcPr>
            <w:tcW w:w="0" w:type="auto"/>
          </w:tcPr>
          <w:p w14:paraId="6E5A43E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No change in function</w:t>
            </w:r>
          </w:p>
        </w:tc>
        <w:tc>
          <w:tcPr>
            <w:tcW w:w="0" w:type="auto"/>
          </w:tcPr>
          <w:p w14:paraId="17EAE92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Worse function</w:t>
            </w:r>
          </w:p>
        </w:tc>
        <w:tc>
          <w:tcPr>
            <w:tcW w:w="0" w:type="auto"/>
          </w:tcPr>
          <w:p w14:paraId="2A00467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Improved function </w:t>
            </w:r>
          </w:p>
        </w:tc>
      </w:tr>
      <w:tr w:rsidR="00B54D51" w:rsidRPr="00037AD4" w14:paraId="4B0DE253" w14:textId="77777777" w:rsidTr="00401C67">
        <w:trPr>
          <w:trHeight w:val="282"/>
        </w:trPr>
        <w:tc>
          <w:tcPr>
            <w:tcW w:w="0" w:type="auto"/>
          </w:tcPr>
          <w:p w14:paraId="7E1C520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PwD</w:t>
            </w:r>
          </w:p>
        </w:tc>
        <w:tc>
          <w:tcPr>
            <w:tcW w:w="0" w:type="auto"/>
          </w:tcPr>
          <w:p w14:paraId="1F82C6A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-0.17</w:t>
            </w:r>
          </w:p>
        </w:tc>
        <w:tc>
          <w:tcPr>
            <w:tcW w:w="0" w:type="auto"/>
          </w:tcPr>
          <w:p w14:paraId="770CE4A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-0.36</w:t>
            </w:r>
          </w:p>
        </w:tc>
        <w:tc>
          <w:tcPr>
            <w:tcW w:w="0" w:type="auto"/>
          </w:tcPr>
          <w:p w14:paraId="44AC42D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-0.22 </w:t>
            </w:r>
          </w:p>
        </w:tc>
        <w:tc>
          <w:tcPr>
            <w:tcW w:w="0" w:type="auto"/>
          </w:tcPr>
          <w:p w14:paraId="1F8D153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-0.19 </w:t>
            </w:r>
          </w:p>
        </w:tc>
        <w:tc>
          <w:tcPr>
            <w:tcW w:w="0" w:type="auto"/>
          </w:tcPr>
          <w:p w14:paraId="0274848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0.04 </w:t>
            </w:r>
          </w:p>
        </w:tc>
      </w:tr>
      <w:tr w:rsidR="00B54D51" w:rsidRPr="00037AD4" w14:paraId="71A22002" w14:textId="77777777" w:rsidTr="00401C67">
        <w:trPr>
          <w:trHeight w:val="282"/>
        </w:trPr>
        <w:tc>
          <w:tcPr>
            <w:tcW w:w="0" w:type="auto"/>
          </w:tcPr>
          <w:p w14:paraId="6EB0607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Informal proxy </w:t>
            </w:r>
          </w:p>
        </w:tc>
        <w:tc>
          <w:tcPr>
            <w:tcW w:w="0" w:type="auto"/>
          </w:tcPr>
          <w:p w14:paraId="7F71D60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-0.24</w:t>
            </w:r>
          </w:p>
        </w:tc>
        <w:tc>
          <w:tcPr>
            <w:tcW w:w="0" w:type="auto"/>
          </w:tcPr>
          <w:p w14:paraId="4D2C9CE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-0.66*</w:t>
            </w:r>
          </w:p>
        </w:tc>
        <w:tc>
          <w:tcPr>
            <w:tcW w:w="0" w:type="auto"/>
          </w:tcPr>
          <w:p w14:paraId="438BA24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-0.05 </w:t>
            </w:r>
          </w:p>
        </w:tc>
        <w:tc>
          <w:tcPr>
            <w:tcW w:w="0" w:type="auto"/>
          </w:tcPr>
          <w:p w14:paraId="5EDD7A9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-0.49 </w:t>
            </w:r>
          </w:p>
        </w:tc>
        <w:tc>
          <w:tcPr>
            <w:tcW w:w="0" w:type="auto"/>
          </w:tcPr>
          <w:p w14:paraId="71B6172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0.02 </w:t>
            </w:r>
          </w:p>
        </w:tc>
      </w:tr>
      <w:tr w:rsidR="00B54D51" w:rsidRPr="00037AD4" w14:paraId="36653749" w14:textId="77777777" w:rsidTr="00401C67">
        <w:trPr>
          <w:trHeight w:val="282"/>
        </w:trPr>
        <w:tc>
          <w:tcPr>
            <w:tcW w:w="0" w:type="auto"/>
          </w:tcPr>
          <w:p w14:paraId="73B2D07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Staff proxy </w:t>
            </w:r>
          </w:p>
        </w:tc>
        <w:tc>
          <w:tcPr>
            <w:tcW w:w="0" w:type="auto"/>
          </w:tcPr>
          <w:p w14:paraId="2DF3E95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-0.17</w:t>
            </w:r>
          </w:p>
        </w:tc>
        <w:tc>
          <w:tcPr>
            <w:tcW w:w="0" w:type="auto"/>
          </w:tcPr>
          <w:p w14:paraId="014BFB3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-0.72*</w:t>
            </w:r>
          </w:p>
        </w:tc>
        <w:tc>
          <w:tcPr>
            <w:tcW w:w="0" w:type="auto"/>
          </w:tcPr>
          <w:p w14:paraId="5AF208F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-0.22 </w:t>
            </w:r>
          </w:p>
        </w:tc>
        <w:tc>
          <w:tcPr>
            <w:tcW w:w="0" w:type="auto"/>
          </w:tcPr>
          <w:p w14:paraId="124E88E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-0.61* </w:t>
            </w:r>
          </w:p>
        </w:tc>
        <w:tc>
          <w:tcPr>
            <w:tcW w:w="0" w:type="auto"/>
          </w:tcPr>
          <w:p w14:paraId="69E5F7E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 </w:t>
            </w:r>
          </w:p>
        </w:tc>
      </w:tr>
    </w:tbl>
    <w:p w14:paraId="6406AC7B" w14:textId="77777777" w:rsidR="00B54D51" w:rsidRPr="00037AD4" w:rsidRDefault="00B54D51" w:rsidP="001D7ACE">
      <w:pPr>
        <w:rPr>
          <w:rFonts w:asciiTheme="minorHAnsi" w:hAnsiTheme="minorHAnsi" w:cstheme="minorHAnsi"/>
        </w:rPr>
      </w:pPr>
    </w:p>
    <w:p w14:paraId="6F13D707" w14:textId="77777777" w:rsidR="00B54D51" w:rsidRPr="00037AD4" w:rsidRDefault="00B54D51" w:rsidP="001D7ACE">
      <w:pPr>
        <w:rPr>
          <w:rFonts w:asciiTheme="minorHAnsi" w:hAnsiTheme="minorHAnsi" w:cstheme="minorHAnsi"/>
        </w:rPr>
      </w:pPr>
    </w:p>
    <w:p w14:paraId="672D1A68" w14:textId="77777777" w:rsidR="00B54D51" w:rsidRPr="00037AD4" w:rsidRDefault="00B54D51" w:rsidP="001D7ACE">
      <w:pPr>
        <w:rPr>
          <w:rFonts w:asciiTheme="minorHAnsi" w:hAnsiTheme="minorHAnsi" w:cstheme="minorHAnsi"/>
        </w:rPr>
      </w:pPr>
    </w:p>
    <w:p w14:paraId="485AF327" w14:textId="77777777" w:rsidR="00B54D51" w:rsidRPr="00037AD4" w:rsidRDefault="00B54D51" w:rsidP="001D7ACE">
      <w:pPr>
        <w:rPr>
          <w:rFonts w:asciiTheme="minorHAnsi" w:hAnsiTheme="minorHAnsi" w:cstheme="minorHAnsi"/>
        </w:rPr>
      </w:pPr>
    </w:p>
    <w:p w14:paraId="642F042B" w14:textId="77777777" w:rsidR="00B54D51" w:rsidRPr="00037AD4" w:rsidRDefault="00B54D51" w:rsidP="001D7ACE">
      <w:pPr>
        <w:rPr>
          <w:rFonts w:asciiTheme="minorHAnsi" w:hAnsiTheme="minorHAnsi" w:cstheme="minorHAnsi"/>
        </w:rPr>
      </w:pPr>
    </w:p>
    <w:p w14:paraId="7ABFE020" w14:textId="77777777" w:rsidR="00B54D51" w:rsidRPr="00037AD4" w:rsidRDefault="00B54D51" w:rsidP="001D7ACE">
      <w:pPr>
        <w:rPr>
          <w:rFonts w:asciiTheme="minorHAnsi" w:hAnsiTheme="minorHAnsi" w:cstheme="minorHAnsi"/>
        </w:rPr>
      </w:pPr>
    </w:p>
    <w:p w14:paraId="2E062B28" w14:textId="77777777" w:rsidR="00B54D51" w:rsidRPr="00037AD4" w:rsidRDefault="00B54D51" w:rsidP="001D7ACE">
      <w:pPr>
        <w:rPr>
          <w:rFonts w:asciiTheme="minorHAnsi" w:hAnsiTheme="minorHAnsi" w:cstheme="minorHAnsi"/>
        </w:rPr>
      </w:pPr>
    </w:p>
    <w:p w14:paraId="3DB25700" w14:textId="77777777" w:rsidR="00B54D51" w:rsidRPr="00037AD4" w:rsidRDefault="00B54D51" w:rsidP="001D7ACE">
      <w:pPr>
        <w:rPr>
          <w:rFonts w:asciiTheme="minorHAnsi" w:hAnsiTheme="minorHAnsi" w:cstheme="minorHAnsi"/>
        </w:rPr>
      </w:pPr>
    </w:p>
    <w:p w14:paraId="7DC0810D" w14:textId="77777777" w:rsidR="00B54D51" w:rsidRPr="00037AD4" w:rsidRDefault="00B54D51" w:rsidP="001D7ACE">
      <w:pPr>
        <w:rPr>
          <w:rFonts w:asciiTheme="minorHAnsi" w:hAnsiTheme="minorHAnsi" w:cstheme="minorHAnsi"/>
        </w:rPr>
      </w:pPr>
    </w:p>
    <w:p w14:paraId="5D23B8B2" w14:textId="77777777" w:rsidR="00B54D51" w:rsidRPr="00037AD4" w:rsidRDefault="00B54D51" w:rsidP="001D7ACE">
      <w:pPr>
        <w:rPr>
          <w:rFonts w:asciiTheme="minorHAnsi" w:hAnsiTheme="minorHAnsi" w:cstheme="minorHAnsi"/>
        </w:rPr>
      </w:pPr>
    </w:p>
    <w:p w14:paraId="3E7170F0" w14:textId="77777777" w:rsidR="00B54D51" w:rsidRPr="00037AD4" w:rsidRDefault="00B54D51" w:rsidP="001D7ACE">
      <w:pPr>
        <w:rPr>
          <w:rFonts w:asciiTheme="minorHAnsi" w:hAnsiTheme="minorHAnsi" w:cstheme="minorHAnsi"/>
        </w:rPr>
      </w:pPr>
    </w:p>
    <w:p w14:paraId="21066CB9" w14:textId="77777777" w:rsidR="00B54D51" w:rsidRPr="00037AD4" w:rsidRDefault="00B54D51" w:rsidP="001D7ACE">
      <w:pPr>
        <w:rPr>
          <w:rFonts w:asciiTheme="minorHAnsi" w:hAnsiTheme="minorHAnsi" w:cstheme="minorHAnsi"/>
        </w:rPr>
      </w:pPr>
    </w:p>
    <w:p w14:paraId="0E85BE44" w14:textId="77777777" w:rsidR="00B54D51" w:rsidRPr="00037AD4" w:rsidRDefault="00B54D51" w:rsidP="001D7ACE">
      <w:pPr>
        <w:rPr>
          <w:rFonts w:asciiTheme="minorHAnsi" w:hAnsiTheme="minorHAnsi" w:cstheme="minorHAnsi"/>
        </w:rPr>
      </w:pPr>
    </w:p>
    <w:p w14:paraId="3BE0EE00" w14:textId="77777777" w:rsidR="00B54D51" w:rsidRPr="00037AD4" w:rsidRDefault="00B54D51" w:rsidP="001D7ACE">
      <w:pPr>
        <w:rPr>
          <w:rFonts w:asciiTheme="minorHAnsi" w:hAnsiTheme="minorHAnsi" w:cstheme="minorHAnsi"/>
          <w:u w:val="single"/>
        </w:rPr>
      </w:pPr>
      <w:r w:rsidRPr="00037AD4">
        <w:rPr>
          <w:rFonts w:asciiTheme="minorHAnsi" w:hAnsiTheme="minorHAnsi" w:cstheme="minorHAnsi"/>
          <w:u w:val="single"/>
        </w:rPr>
        <w:lastRenderedPageBreak/>
        <w:t>Table A5.4d, Usual activities dimension responsiveness with worsening health condition</w:t>
      </w:r>
      <w:bookmarkStart w:id="508" w:name="TableA54d"/>
      <w:bookmarkEnd w:id="508"/>
    </w:p>
    <w:p w14:paraId="3F1751CA" w14:textId="77777777" w:rsidR="00B54D51" w:rsidRPr="00037AD4" w:rsidRDefault="00B54D51" w:rsidP="001D7ACE">
      <w:pPr>
        <w:rPr>
          <w:rFonts w:asciiTheme="minorHAnsi" w:hAnsiTheme="minorHAnsi" w:cstheme="minorHAnsi"/>
        </w:rPr>
      </w:pPr>
    </w:p>
    <w:tbl>
      <w:tblPr>
        <w:tblStyle w:val="TableGrid"/>
        <w:tblW w:w="13080" w:type="dxa"/>
        <w:tblLook w:val="04A0" w:firstRow="1" w:lastRow="0" w:firstColumn="1" w:lastColumn="0" w:noHBand="0" w:noVBand="1"/>
      </w:tblPr>
      <w:tblGrid>
        <w:gridCol w:w="1635"/>
        <w:gridCol w:w="1635"/>
        <w:gridCol w:w="1635"/>
        <w:gridCol w:w="1635"/>
        <w:gridCol w:w="1635"/>
        <w:gridCol w:w="1635"/>
        <w:gridCol w:w="1635"/>
        <w:gridCol w:w="1635"/>
      </w:tblGrid>
      <w:tr w:rsidR="00B54D51" w:rsidRPr="00037AD4" w14:paraId="7FF6E825" w14:textId="77777777" w:rsidTr="00401C67">
        <w:trPr>
          <w:trHeight w:val="405"/>
        </w:trPr>
        <w:tc>
          <w:tcPr>
            <w:tcW w:w="13080" w:type="dxa"/>
            <w:gridSpan w:val="8"/>
          </w:tcPr>
          <w:p w14:paraId="7CA9796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Usual activities </w:t>
            </w:r>
          </w:p>
          <w:p w14:paraId="0CA3B8D8" w14:textId="77777777" w:rsidR="00B54D51" w:rsidRPr="00037AD4" w:rsidRDefault="00B54D51" w:rsidP="00401C67">
            <w:pPr>
              <w:rPr>
                <w:rFonts w:asciiTheme="minorHAnsi" w:hAnsiTheme="minorHAnsi" w:cstheme="minorHAnsi"/>
              </w:rPr>
            </w:pPr>
          </w:p>
        </w:tc>
      </w:tr>
      <w:tr w:rsidR="00B54D51" w:rsidRPr="00037AD4" w14:paraId="5A3E9CB2" w14:textId="77777777" w:rsidTr="00401C67">
        <w:trPr>
          <w:trHeight w:val="372"/>
        </w:trPr>
        <w:tc>
          <w:tcPr>
            <w:tcW w:w="1635" w:type="dxa"/>
          </w:tcPr>
          <w:p w14:paraId="3E34BDB1" w14:textId="77777777" w:rsidR="00B54D51" w:rsidRPr="00037AD4" w:rsidRDefault="00B54D51" w:rsidP="00401C67">
            <w:pPr>
              <w:rPr>
                <w:rFonts w:asciiTheme="minorHAnsi" w:hAnsiTheme="minorHAnsi" w:cstheme="minorHAnsi"/>
                <w:i/>
                <w:iCs/>
              </w:rPr>
            </w:pPr>
          </w:p>
        </w:tc>
        <w:tc>
          <w:tcPr>
            <w:tcW w:w="3270" w:type="dxa"/>
            <w:gridSpan w:val="2"/>
          </w:tcPr>
          <w:p w14:paraId="085DF8A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CDR </w:t>
            </w:r>
          </w:p>
        </w:tc>
        <w:tc>
          <w:tcPr>
            <w:tcW w:w="4905" w:type="dxa"/>
            <w:gridSpan w:val="3"/>
          </w:tcPr>
          <w:p w14:paraId="1819183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Function</w:t>
            </w:r>
          </w:p>
        </w:tc>
        <w:tc>
          <w:tcPr>
            <w:tcW w:w="3270" w:type="dxa"/>
            <w:gridSpan w:val="2"/>
          </w:tcPr>
          <w:p w14:paraId="15C24E3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Depression* </w:t>
            </w:r>
          </w:p>
        </w:tc>
      </w:tr>
      <w:tr w:rsidR="00B54D51" w:rsidRPr="00037AD4" w14:paraId="4E7F6158" w14:textId="77777777" w:rsidTr="00401C67">
        <w:trPr>
          <w:trHeight w:val="547"/>
        </w:trPr>
        <w:tc>
          <w:tcPr>
            <w:tcW w:w="1635" w:type="dxa"/>
          </w:tcPr>
          <w:p w14:paraId="2F0E2BE9" w14:textId="77777777" w:rsidR="00B54D51" w:rsidRPr="00037AD4" w:rsidRDefault="00B54D51" w:rsidP="00401C67">
            <w:pPr>
              <w:rPr>
                <w:rFonts w:asciiTheme="minorHAnsi" w:hAnsiTheme="minorHAnsi" w:cstheme="minorHAnsi"/>
                <w:i/>
                <w:iCs/>
              </w:rPr>
            </w:pPr>
            <w:r w:rsidRPr="00037AD4">
              <w:rPr>
                <w:rFonts w:asciiTheme="minorHAnsi" w:hAnsiTheme="minorHAnsi" w:cstheme="minorHAnsi"/>
                <w:i/>
                <w:iCs/>
              </w:rPr>
              <w:t xml:space="preserve">d </w:t>
            </w:r>
          </w:p>
        </w:tc>
        <w:tc>
          <w:tcPr>
            <w:tcW w:w="1635" w:type="dxa"/>
          </w:tcPr>
          <w:p w14:paraId="4DB75BE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No change in CDR</w:t>
            </w:r>
          </w:p>
        </w:tc>
        <w:tc>
          <w:tcPr>
            <w:tcW w:w="1635" w:type="dxa"/>
          </w:tcPr>
          <w:p w14:paraId="0E4E0AC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Worse CDR </w:t>
            </w:r>
          </w:p>
        </w:tc>
        <w:tc>
          <w:tcPr>
            <w:tcW w:w="1635" w:type="dxa"/>
          </w:tcPr>
          <w:p w14:paraId="63006E4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No change in function</w:t>
            </w:r>
          </w:p>
        </w:tc>
        <w:tc>
          <w:tcPr>
            <w:tcW w:w="1635" w:type="dxa"/>
          </w:tcPr>
          <w:p w14:paraId="2293688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Worse function</w:t>
            </w:r>
          </w:p>
        </w:tc>
        <w:tc>
          <w:tcPr>
            <w:tcW w:w="1635" w:type="dxa"/>
          </w:tcPr>
          <w:p w14:paraId="0C1E72A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Improved function </w:t>
            </w:r>
          </w:p>
        </w:tc>
        <w:tc>
          <w:tcPr>
            <w:tcW w:w="1635" w:type="dxa"/>
          </w:tcPr>
          <w:p w14:paraId="0721B94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Worse depression </w:t>
            </w:r>
          </w:p>
        </w:tc>
        <w:tc>
          <w:tcPr>
            <w:tcW w:w="1635" w:type="dxa"/>
          </w:tcPr>
          <w:p w14:paraId="33CCAFC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Improved depression</w:t>
            </w:r>
          </w:p>
        </w:tc>
      </w:tr>
      <w:tr w:rsidR="00B54D51" w:rsidRPr="00037AD4" w14:paraId="2CC31924" w14:textId="77777777" w:rsidTr="00401C67">
        <w:trPr>
          <w:trHeight w:val="263"/>
        </w:trPr>
        <w:tc>
          <w:tcPr>
            <w:tcW w:w="1635" w:type="dxa"/>
          </w:tcPr>
          <w:p w14:paraId="07C64BD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PwD</w:t>
            </w:r>
          </w:p>
        </w:tc>
        <w:tc>
          <w:tcPr>
            <w:tcW w:w="1635" w:type="dxa"/>
          </w:tcPr>
          <w:p w14:paraId="5D57DC3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w:t>
            </w:r>
          </w:p>
        </w:tc>
        <w:tc>
          <w:tcPr>
            <w:tcW w:w="1635" w:type="dxa"/>
          </w:tcPr>
          <w:p w14:paraId="0EA7AF1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-0.11</w:t>
            </w:r>
          </w:p>
        </w:tc>
        <w:tc>
          <w:tcPr>
            <w:tcW w:w="1635" w:type="dxa"/>
          </w:tcPr>
          <w:p w14:paraId="51F4533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-0.08</w:t>
            </w:r>
          </w:p>
        </w:tc>
        <w:tc>
          <w:tcPr>
            <w:tcW w:w="1635" w:type="dxa"/>
          </w:tcPr>
          <w:p w14:paraId="2529C46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w:t>
            </w:r>
          </w:p>
        </w:tc>
        <w:tc>
          <w:tcPr>
            <w:tcW w:w="1635" w:type="dxa"/>
          </w:tcPr>
          <w:p w14:paraId="4E61095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0.04 </w:t>
            </w:r>
          </w:p>
        </w:tc>
        <w:tc>
          <w:tcPr>
            <w:tcW w:w="1635" w:type="dxa"/>
          </w:tcPr>
          <w:p w14:paraId="7BB16CC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0.03</w:t>
            </w:r>
          </w:p>
        </w:tc>
        <w:tc>
          <w:tcPr>
            <w:tcW w:w="1635" w:type="dxa"/>
          </w:tcPr>
          <w:p w14:paraId="60A81F3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0.09</w:t>
            </w:r>
          </w:p>
        </w:tc>
      </w:tr>
      <w:tr w:rsidR="00B54D51" w:rsidRPr="00037AD4" w14:paraId="6175CFE8" w14:textId="77777777" w:rsidTr="00401C67">
        <w:trPr>
          <w:trHeight w:val="263"/>
        </w:trPr>
        <w:tc>
          <w:tcPr>
            <w:tcW w:w="1635" w:type="dxa"/>
          </w:tcPr>
          <w:p w14:paraId="53A8337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Informal proxy </w:t>
            </w:r>
          </w:p>
        </w:tc>
        <w:tc>
          <w:tcPr>
            <w:tcW w:w="1635" w:type="dxa"/>
          </w:tcPr>
          <w:p w14:paraId="76CB880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-0.22</w:t>
            </w:r>
          </w:p>
        </w:tc>
        <w:tc>
          <w:tcPr>
            <w:tcW w:w="1635" w:type="dxa"/>
          </w:tcPr>
          <w:p w14:paraId="792ED4B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-0.66*</w:t>
            </w:r>
          </w:p>
        </w:tc>
        <w:tc>
          <w:tcPr>
            <w:tcW w:w="1635" w:type="dxa"/>
          </w:tcPr>
          <w:p w14:paraId="14A3CF6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-0.10 </w:t>
            </w:r>
          </w:p>
        </w:tc>
        <w:tc>
          <w:tcPr>
            <w:tcW w:w="1635" w:type="dxa"/>
          </w:tcPr>
          <w:p w14:paraId="6B5817D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-0.33</w:t>
            </w:r>
          </w:p>
        </w:tc>
        <w:tc>
          <w:tcPr>
            <w:tcW w:w="1635" w:type="dxa"/>
          </w:tcPr>
          <w:p w14:paraId="2D97EEF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-0.04 </w:t>
            </w:r>
          </w:p>
        </w:tc>
        <w:tc>
          <w:tcPr>
            <w:tcW w:w="1635" w:type="dxa"/>
          </w:tcPr>
          <w:p w14:paraId="38B6915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-0.31</w:t>
            </w:r>
          </w:p>
        </w:tc>
        <w:tc>
          <w:tcPr>
            <w:tcW w:w="1635" w:type="dxa"/>
          </w:tcPr>
          <w:p w14:paraId="4EF328E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-0.11</w:t>
            </w:r>
          </w:p>
        </w:tc>
      </w:tr>
      <w:tr w:rsidR="00B54D51" w:rsidRPr="00037AD4" w14:paraId="1F944A3B" w14:textId="77777777" w:rsidTr="00401C67">
        <w:trPr>
          <w:trHeight w:val="263"/>
        </w:trPr>
        <w:tc>
          <w:tcPr>
            <w:tcW w:w="1635" w:type="dxa"/>
          </w:tcPr>
          <w:p w14:paraId="7FB5DFE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Staff proxy </w:t>
            </w:r>
          </w:p>
        </w:tc>
        <w:tc>
          <w:tcPr>
            <w:tcW w:w="1635" w:type="dxa"/>
          </w:tcPr>
          <w:p w14:paraId="7F5AAA7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-0.11</w:t>
            </w:r>
          </w:p>
        </w:tc>
        <w:tc>
          <w:tcPr>
            <w:tcW w:w="1635" w:type="dxa"/>
          </w:tcPr>
          <w:p w14:paraId="544A1DC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-0.64*</w:t>
            </w:r>
          </w:p>
        </w:tc>
        <w:tc>
          <w:tcPr>
            <w:tcW w:w="1635" w:type="dxa"/>
          </w:tcPr>
          <w:p w14:paraId="3A64211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-0.22</w:t>
            </w:r>
          </w:p>
        </w:tc>
        <w:tc>
          <w:tcPr>
            <w:tcW w:w="1635" w:type="dxa"/>
          </w:tcPr>
          <w:p w14:paraId="2E56877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-0.33 </w:t>
            </w:r>
          </w:p>
        </w:tc>
        <w:tc>
          <w:tcPr>
            <w:tcW w:w="1635" w:type="dxa"/>
          </w:tcPr>
          <w:p w14:paraId="4897895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 </w:t>
            </w:r>
          </w:p>
        </w:tc>
        <w:tc>
          <w:tcPr>
            <w:tcW w:w="1635" w:type="dxa"/>
          </w:tcPr>
          <w:p w14:paraId="787DAA4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w:t>
            </w:r>
          </w:p>
        </w:tc>
        <w:tc>
          <w:tcPr>
            <w:tcW w:w="1635" w:type="dxa"/>
          </w:tcPr>
          <w:p w14:paraId="07FA121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w:t>
            </w:r>
          </w:p>
        </w:tc>
      </w:tr>
      <w:tr w:rsidR="00B54D51" w:rsidRPr="00037AD4" w14:paraId="2354F860" w14:textId="77777777" w:rsidTr="00401C67">
        <w:trPr>
          <w:trHeight w:val="263"/>
        </w:trPr>
        <w:tc>
          <w:tcPr>
            <w:tcW w:w="13080" w:type="dxa"/>
            <w:gridSpan w:val="8"/>
          </w:tcPr>
          <w:p w14:paraId="16F07F6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*Using EQ-5D-3L data</w:t>
            </w:r>
          </w:p>
        </w:tc>
      </w:tr>
    </w:tbl>
    <w:p w14:paraId="0DC93FD0" w14:textId="77777777" w:rsidR="00B54D51" w:rsidRPr="00037AD4" w:rsidRDefault="00B54D51" w:rsidP="001D7ACE">
      <w:pPr>
        <w:rPr>
          <w:rFonts w:asciiTheme="minorHAnsi" w:hAnsiTheme="minorHAnsi" w:cstheme="minorHAnsi"/>
        </w:rPr>
      </w:pPr>
    </w:p>
    <w:p w14:paraId="7CA1C63B" w14:textId="77777777" w:rsidR="00B54D51" w:rsidRPr="00037AD4" w:rsidRDefault="00B54D51" w:rsidP="001D7ACE">
      <w:pPr>
        <w:rPr>
          <w:rFonts w:asciiTheme="minorHAnsi" w:hAnsiTheme="minorHAnsi" w:cstheme="minorHAnsi"/>
          <w:u w:val="single"/>
        </w:rPr>
      </w:pPr>
      <w:bookmarkStart w:id="509" w:name="TableA54e"/>
      <w:r w:rsidRPr="00037AD4">
        <w:rPr>
          <w:rFonts w:asciiTheme="minorHAnsi" w:hAnsiTheme="minorHAnsi" w:cstheme="minorHAnsi"/>
          <w:u w:val="single"/>
        </w:rPr>
        <w:t>Table A5.4e, Pain/discomfort dimension responsiveness with worsening health condition</w:t>
      </w:r>
    </w:p>
    <w:bookmarkEnd w:id="509"/>
    <w:p w14:paraId="653EC40F" w14:textId="77777777" w:rsidR="00B54D51" w:rsidRPr="00037AD4" w:rsidRDefault="00B54D51" w:rsidP="001D7ACE">
      <w:pPr>
        <w:rPr>
          <w:rFonts w:asciiTheme="minorHAnsi" w:hAnsiTheme="minorHAnsi" w:cstheme="minorHAnsi"/>
        </w:rPr>
      </w:pPr>
    </w:p>
    <w:tbl>
      <w:tblPr>
        <w:tblStyle w:val="TableGrid"/>
        <w:tblW w:w="13136" w:type="dxa"/>
        <w:tblLook w:val="04A0" w:firstRow="1" w:lastRow="0" w:firstColumn="1" w:lastColumn="0" w:noHBand="0" w:noVBand="1"/>
      </w:tblPr>
      <w:tblGrid>
        <w:gridCol w:w="1642"/>
        <w:gridCol w:w="1642"/>
        <w:gridCol w:w="1642"/>
        <w:gridCol w:w="1642"/>
        <w:gridCol w:w="1642"/>
        <w:gridCol w:w="1642"/>
        <w:gridCol w:w="1642"/>
        <w:gridCol w:w="1642"/>
      </w:tblGrid>
      <w:tr w:rsidR="00B54D51" w:rsidRPr="00037AD4" w14:paraId="7B71AF4E" w14:textId="77777777" w:rsidTr="00401C67">
        <w:trPr>
          <w:trHeight w:val="507"/>
        </w:trPr>
        <w:tc>
          <w:tcPr>
            <w:tcW w:w="13136" w:type="dxa"/>
            <w:gridSpan w:val="8"/>
          </w:tcPr>
          <w:p w14:paraId="33F472C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Pain/discomfort </w:t>
            </w:r>
          </w:p>
          <w:p w14:paraId="43E320E4" w14:textId="77777777" w:rsidR="00B54D51" w:rsidRPr="00037AD4" w:rsidRDefault="00B54D51" w:rsidP="00401C67">
            <w:pPr>
              <w:rPr>
                <w:rFonts w:asciiTheme="minorHAnsi" w:hAnsiTheme="minorHAnsi" w:cstheme="minorHAnsi"/>
              </w:rPr>
            </w:pPr>
          </w:p>
        </w:tc>
      </w:tr>
      <w:tr w:rsidR="00B54D51" w:rsidRPr="00037AD4" w14:paraId="1A721808" w14:textId="77777777" w:rsidTr="00401C67">
        <w:trPr>
          <w:trHeight w:val="445"/>
        </w:trPr>
        <w:tc>
          <w:tcPr>
            <w:tcW w:w="1642" w:type="dxa"/>
          </w:tcPr>
          <w:p w14:paraId="535F336E" w14:textId="77777777" w:rsidR="00B54D51" w:rsidRPr="00037AD4" w:rsidRDefault="00B54D51" w:rsidP="00401C67">
            <w:pPr>
              <w:rPr>
                <w:rFonts w:asciiTheme="minorHAnsi" w:hAnsiTheme="minorHAnsi" w:cstheme="minorHAnsi"/>
                <w:i/>
                <w:iCs/>
              </w:rPr>
            </w:pPr>
          </w:p>
        </w:tc>
        <w:tc>
          <w:tcPr>
            <w:tcW w:w="3284" w:type="dxa"/>
            <w:gridSpan w:val="2"/>
          </w:tcPr>
          <w:p w14:paraId="0644D29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CDR</w:t>
            </w:r>
          </w:p>
        </w:tc>
        <w:tc>
          <w:tcPr>
            <w:tcW w:w="4926" w:type="dxa"/>
            <w:gridSpan w:val="3"/>
          </w:tcPr>
          <w:p w14:paraId="195087B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Function</w:t>
            </w:r>
          </w:p>
        </w:tc>
        <w:tc>
          <w:tcPr>
            <w:tcW w:w="3284" w:type="dxa"/>
            <w:gridSpan w:val="2"/>
          </w:tcPr>
          <w:p w14:paraId="417401B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Depression*</w:t>
            </w:r>
          </w:p>
        </w:tc>
      </w:tr>
      <w:tr w:rsidR="00B54D51" w:rsidRPr="00037AD4" w14:paraId="0B453C22" w14:textId="77777777" w:rsidTr="00401C67">
        <w:trPr>
          <w:trHeight w:val="507"/>
        </w:trPr>
        <w:tc>
          <w:tcPr>
            <w:tcW w:w="1642" w:type="dxa"/>
          </w:tcPr>
          <w:p w14:paraId="2610A2E1" w14:textId="77777777" w:rsidR="00B54D51" w:rsidRPr="00037AD4" w:rsidRDefault="00B54D51" w:rsidP="00401C67">
            <w:pPr>
              <w:rPr>
                <w:rFonts w:asciiTheme="minorHAnsi" w:hAnsiTheme="minorHAnsi" w:cstheme="minorHAnsi"/>
                <w:i/>
                <w:iCs/>
              </w:rPr>
            </w:pPr>
            <w:r w:rsidRPr="00037AD4">
              <w:rPr>
                <w:rFonts w:asciiTheme="minorHAnsi" w:hAnsiTheme="minorHAnsi" w:cstheme="minorHAnsi"/>
                <w:i/>
                <w:iCs/>
              </w:rPr>
              <w:t xml:space="preserve">d </w:t>
            </w:r>
          </w:p>
        </w:tc>
        <w:tc>
          <w:tcPr>
            <w:tcW w:w="1642" w:type="dxa"/>
          </w:tcPr>
          <w:p w14:paraId="67455F8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No change in CDR</w:t>
            </w:r>
          </w:p>
        </w:tc>
        <w:tc>
          <w:tcPr>
            <w:tcW w:w="1642" w:type="dxa"/>
          </w:tcPr>
          <w:p w14:paraId="6B6E134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Worse CDR </w:t>
            </w:r>
          </w:p>
        </w:tc>
        <w:tc>
          <w:tcPr>
            <w:tcW w:w="1642" w:type="dxa"/>
          </w:tcPr>
          <w:p w14:paraId="78E5AFA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No change in function</w:t>
            </w:r>
          </w:p>
        </w:tc>
        <w:tc>
          <w:tcPr>
            <w:tcW w:w="1642" w:type="dxa"/>
          </w:tcPr>
          <w:p w14:paraId="1E9184D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Worse function</w:t>
            </w:r>
          </w:p>
        </w:tc>
        <w:tc>
          <w:tcPr>
            <w:tcW w:w="1642" w:type="dxa"/>
          </w:tcPr>
          <w:p w14:paraId="4FA23C3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Improved function </w:t>
            </w:r>
          </w:p>
        </w:tc>
        <w:tc>
          <w:tcPr>
            <w:tcW w:w="1642" w:type="dxa"/>
          </w:tcPr>
          <w:p w14:paraId="1DEC08F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Worse depression </w:t>
            </w:r>
          </w:p>
        </w:tc>
        <w:tc>
          <w:tcPr>
            <w:tcW w:w="1642" w:type="dxa"/>
          </w:tcPr>
          <w:p w14:paraId="03205AB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Improved depression</w:t>
            </w:r>
          </w:p>
        </w:tc>
      </w:tr>
      <w:tr w:rsidR="00B54D51" w:rsidRPr="00037AD4" w14:paraId="289F80D6" w14:textId="77777777" w:rsidTr="00401C67">
        <w:trPr>
          <w:trHeight w:val="244"/>
        </w:trPr>
        <w:tc>
          <w:tcPr>
            <w:tcW w:w="1642" w:type="dxa"/>
          </w:tcPr>
          <w:p w14:paraId="7A209E6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PwD</w:t>
            </w:r>
          </w:p>
        </w:tc>
        <w:tc>
          <w:tcPr>
            <w:tcW w:w="1642" w:type="dxa"/>
          </w:tcPr>
          <w:p w14:paraId="506A7D4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0.04</w:t>
            </w:r>
          </w:p>
        </w:tc>
        <w:tc>
          <w:tcPr>
            <w:tcW w:w="1642" w:type="dxa"/>
          </w:tcPr>
          <w:p w14:paraId="2055C91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-0.03</w:t>
            </w:r>
          </w:p>
        </w:tc>
        <w:tc>
          <w:tcPr>
            <w:tcW w:w="1642" w:type="dxa"/>
          </w:tcPr>
          <w:p w14:paraId="160F5FB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0.06 </w:t>
            </w:r>
          </w:p>
        </w:tc>
        <w:tc>
          <w:tcPr>
            <w:tcW w:w="1642" w:type="dxa"/>
          </w:tcPr>
          <w:p w14:paraId="66D73DA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0.06 </w:t>
            </w:r>
          </w:p>
        </w:tc>
        <w:tc>
          <w:tcPr>
            <w:tcW w:w="1642" w:type="dxa"/>
          </w:tcPr>
          <w:p w14:paraId="6A65118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0.05 </w:t>
            </w:r>
          </w:p>
        </w:tc>
        <w:tc>
          <w:tcPr>
            <w:tcW w:w="1642" w:type="dxa"/>
          </w:tcPr>
          <w:p w14:paraId="425E241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0.17</w:t>
            </w:r>
          </w:p>
        </w:tc>
        <w:tc>
          <w:tcPr>
            <w:tcW w:w="1642" w:type="dxa"/>
          </w:tcPr>
          <w:p w14:paraId="309A403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0.14</w:t>
            </w:r>
          </w:p>
        </w:tc>
      </w:tr>
      <w:tr w:rsidR="00B54D51" w:rsidRPr="00037AD4" w14:paraId="2C8C12BE" w14:textId="77777777" w:rsidTr="00401C67">
        <w:trPr>
          <w:trHeight w:val="244"/>
        </w:trPr>
        <w:tc>
          <w:tcPr>
            <w:tcW w:w="1642" w:type="dxa"/>
          </w:tcPr>
          <w:p w14:paraId="0A1E645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Informal proxy </w:t>
            </w:r>
          </w:p>
        </w:tc>
        <w:tc>
          <w:tcPr>
            <w:tcW w:w="1642" w:type="dxa"/>
          </w:tcPr>
          <w:p w14:paraId="4AFB315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-0.03</w:t>
            </w:r>
          </w:p>
        </w:tc>
        <w:tc>
          <w:tcPr>
            <w:tcW w:w="1642" w:type="dxa"/>
          </w:tcPr>
          <w:p w14:paraId="21A0E67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-0.07</w:t>
            </w:r>
          </w:p>
        </w:tc>
        <w:tc>
          <w:tcPr>
            <w:tcW w:w="1642" w:type="dxa"/>
          </w:tcPr>
          <w:p w14:paraId="34B659D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-0.04</w:t>
            </w:r>
          </w:p>
        </w:tc>
        <w:tc>
          <w:tcPr>
            <w:tcW w:w="1642" w:type="dxa"/>
          </w:tcPr>
          <w:p w14:paraId="52A17B8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-0.03 </w:t>
            </w:r>
          </w:p>
        </w:tc>
        <w:tc>
          <w:tcPr>
            <w:tcW w:w="1642" w:type="dxa"/>
          </w:tcPr>
          <w:p w14:paraId="180DA00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0.06 </w:t>
            </w:r>
          </w:p>
        </w:tc>
        <w:tc>
          <w:tcPr>
            <w:tcW w:w="1642" w:type="dxa"/>
          </w:tcPr>
          <w:p w14:paraId="5DC0CAD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-0.11</w:t>
            </w:r>
          </w:p>
        </w:tc>
        <w:tc>
          <w:tcPr>
            <w:tcW w:w="1642" w:type="dxa"/>
          </w:tcPr>
          <w:p w14:paraId="4831761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-0.04</w:t>
            </w:r>
          </w:p>
        </w:tc>
      </w:tr>
      <w:tr w:rsidR="00B54D51" w:rsidRPr="00037AD4" w14:paraId="2FEBE132" w14:textId="77777777" w:rsidTr="00401C67">
        <w:trPr>
          <w:trHeight w:val="244"/>
        </w:trPr>
        <w:tc>
          <w:tcPr>
            <w:tcW w:w="1642" w:type="dxa"/>
          </w:tcPr>
          <w:p w14:paraId="14B7DA5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Staff proxy </w:t>
            </w:r>
          </w:p>
        </w:tc>
        <w:tc>
          <w:tcPr>
            <w:tcW w:w="1642" w:type="dxa"/>
          </w:tcPr>
          <w:p w14:paraId="6C3F205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-0.04</w:t>
            </w:r>
          </w:p>
        </w:tc>
        <w:tc>
          <w:tcPr>
            <w:tcW w:w="1642" w:type="dxa"/>
          </w:tcPr>
          <w:p w14:paraId="4CC90F1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0.22</w:t>
            </w:r>
          </w:p>
        </w:tc>
        <w:tc>
          <w:tcPr>
            <w:tcW w:w="1642" w:type="dxa"/>
          </w:tcPr>
          <w:p w14:paraId="58558D1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0.04 </w:t>
            </w:r>
          </w:p>
        </w:tc>
        <w:tc>
          <w:tcPr>
            <w:tcW w:w="1642" w:type="dxa"/>
          </w:tcPr>
          <w:p w14:paraId="6512CF7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0.11 </w:t>
            </w:r>
          </w:p>
        </w:tc>
        <w:tc>
          <w:tcPr>
            <w:tcW w:w="1642" w:type="dxa"/>
          </w:tcPr>
          <w:p w14:paraId="1DAD40A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 </w:t>
            </w:r>
          </w:p>
        </w:tc>
        <w:tc>
          <w:tcPr>
            <w:tcW w:w="1642" w:type="dxa"/>
          </w:tcPr>
          <w:p w14:paraId="1A96F4C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w:t>
            </w:r>
          </w:p>
        </w:tc>
        <w:tc>
          <w:tcPr>
            <w:tcW w:w="1642" w:type="dxa"/>
          </w:tcPr>
          <w:p w14:paraId="2C395E8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w:t>
            </w:r>
          </w:p>
        </w:tc>
      </w:tr>
      <w:tr w:rsidR="00B54D51" w:rsidRPr="00037AD4" w14:paraId="17288333" w14:textId="77777777" w:rsidTr="00401C67">
        <w:trPr>
          <w:trHeight w:val="244"/>
        </w:trPr>
        <w:tc>
          <w:tcPr>
            <w:tcW w:w="13136" w:type="dxa"/>
            <w:gridSpan w:val="8"/>
          </w:tcPr>
          <w:p w14:paraId="072AFC9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*Using EQ-5D-3L data</w:t>
            </w:r>
          </w:p>
        </w:tc>
      </w:tr>
    </w:tbl>
    <w:p w14:paraId="083DEF4E" w14:textId="77777777" w:rsidR="00B54D51" w:rsidRPr="00037AD4" w:rsidRDefault="00B54D51" w:rsidP="001D7ACE">
      <w:pPr>
        <w:rPr>
          <w:rFonts w:asciiTheme="minorHAnsi" w:hAnsiTheme="minorHAnsi" w:cstheme="minorHAnsi"/>
        </w:rPr>
      </w:pPr>
    </w:p>
    <w:p w14:paraId="4B124A84" w14:textId="77777777" w:rsidR="00B54D51" w:rsidRPr="00037AD4" w:rsidRDefault="00B54D51" w:rsidP="001D7ACE">
      <w:pPr>
        <w:rPr>
          <w:rFonts w:asciiTheme="minorHAnsi" w:hAnsiTheme="minorHAnsi" w:cstheme="minorHAnsi"/>
        </w:rPr>
      </w:pPr>
    </w:p>
    <w:p w14:paraId="17C19939" w14:textId="77777777" w:rsidR="00B54D51" w:rsidRPr="00037AD4" w:rsidRDefault="00B54D51" w:rsidP="001D7ACE">
      <w:pPr>
        <w:rPr>
          <w:rFonts w:asciiTheme="minorHAnsi" w:hAnsiTheme="minorHAnsi" w:cstheme="minorHAnsi"/>
        </w:rPr>
      </w:pPr>
    </w:p>
    <w:p w14:paraId="791FEF6D" w14:textId="77777777" w:rsidR="00B54D51" w:rsidRPr="00037AD4" w:rsidRDefault="00B54D51" w:rsidP="001D7ACE">
      <w:pPr>
        <w:rPr>
          <w:rFonts w:asciiTheme="minorHAnsi" w:hAnsiTheme="minorHAnsi" w:cstheme="minorHAnsi"/>
        </w:rPr>
      </w:pPr>
    </w:p>
    <w:p w14:paraId="593132FD" w14:textId="77777777" w:rsidR="00B54D51" w:rsidRPr="00037AD4" w:rsidRDefault="00B54D51" w:rsidP="001D7ACE">
      <w:pPr>
        <w:rPr>
          <w:rFonts w:asciiTheme="minorHAnsi" w:hAnsiTheme="minorHAnsi" w:cstheme="minorHAnsi"/>
          <w:u w:val="single"/>
        </w:rPr>
      </w:pPr>
      <w:bookmarkStart w:id="510" w:name="TableA54f"/>
      <w:r w:rsidRPr="00037AD4">
        <w:rPr>
          <w:rFonts w:asciiTheme="minorHAnsi" w:hAnsiTheme="minorHAnsi" w:cstheme="minorHAnsi"/>
          <w:u w:val="single"/>
        </w:rPr>
        <w:lastRenderedPageBreak/>
        <w:t>Table A5.4f, Anxiety/depression dimension responsiveness with worsening health condition</w:t>
      </w:r>
    </w:p>
    <w:bookmarkEnd w:id="510"/>
    <w:p w14:paraId="4F7E00A1" w14:textId="77777777" w:rsidR="00B54D51" w:rsidRPr="00037AD4" w:rsidRDefault="00B54D51" w:rsidP="001D7ACE">
      <w:pPr>
        <w:rPr>
          <w:rFonts w:asciiTheme="minorHAnsi" w:hAnsiTheme="minorHAnsi" w:cstheme="minorHAnsi"/>
        </w:rPr>
      </w:pPr>
    </w:p>
    <w:tbl>
      <w:tblPr>
        <w:tblStyle w:val="TableGrid"/>
        <w:tblW w:w="13670" w:type="dxa"/>
        <w:tblLook w:val="04A0" w:firstRow="1" w:lastRow="0" w:firstColumn="1" w:lastColumn="0" w:noHBand="0" w:noVBand="1"/>
      </w:tblPr>
      <w:tblGrid>
        <w:gridCol w:w="1367"/>
        <w:gridCol w:w="1367"/>
        <w:gridCol w:w="1367"/>
        <w:gridCol w:w="1367"/>
        <w:gridCol w:w="1367"/>
        <w:gridCol w:w="1367"/>
        <w:gridCol w:w="1367"/>
        <w:gridCol w:w="1367"/>
        <w:gridCol w:w="1367"/>
        <w:gridCol w:w="1367"/>
      </w:tblGrid>
      <w:tr w:rsidR="00B54D51" w:rsidRPr="00037AD4" w14:paraId="79BFD372" w14:textId="77777777" w:rsidTr="00401C67">
        <w:trPr>
          <w:trHeight w:val="90"/>
        </w:trPr>
        <w:tc>
          <w:tcPr>
            <w:tcW w:w="13670" w:type="dxa"/>
            <w:gridSpan w:val="10"/>
          </w:tcPr>
          <w:p w14:paraId="2FEB0FD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Anxiety/ depression </w:t>
            </w:r>
          </w:p>
          <w:p w14:paraId="67CB3512" w14:textId="77777777" w:rsidR="00B54D51" w:rsidRPr="00037AD4" w:rsidRDefault="00B54D51" w:rsidP="00401C67">
            <w:pPr>
              <w:rPr>
                <w:rFonts w:asciiTheme="minorHAnsi" w:hAnsiTheme="minorHAnsi" w:cstheme="minorHAnsi"/>
              </w:rPr>
            </w:pPr>
          </w:p>
        </w:tc>
      </w:tr>
      <w:tr w:rsidR="00B54D51" w:rsidRPr="00037AD4" w14:paraId="5E066A78" w14:textId="77777777" w:rsidTr="00401C67">
        <w:trPr>
          <w:trHeight w:val="258"/>
        </w:trPr>
        <w:tc>
          <w:tcPr>
            <w:tcW w:w="1367" w:type="dxa"/>
          </w:tcPr>
          <w:p w14:paraId="4F1FA96F" w14:textId="77777777" w:rsidR="00B54D51" w:rsidRPr="00037AD4" w:rsidRDefault="00B54D51" w:rsidP="00401C67">
            <w:pPr>
              <w:rPr>
                <w:rFonts w:asciiTheme="minorHAnsi" w:hAnsiTheme="minorHAnsi" w:cstheme="minorHAnsi"/>
                <w:i/>
                <w:iCs/>
              </w:rPr>
            </w:pPr>
          </w:p>
        </w:tc>
        <w:tc>
          <w:tcPr>
            <w:tcW w:w="2734" w:type="dxa"/>
            <w:gridSpan w:val="2"/>
          </w:tcPr>
          <w:p w14:paraId="0CB3EC4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CDR </w:t>
            </w:r>
          </w:p>
        </w:tc>
        <w:tc>
          <w:tcPr>
            <w:tcW w:w="2734" w:type="dxa"/>
            <w:gridSpan w:val="2"/>
          </w:tcPr>
          <w:p w14:paraId="6D7B46C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Cognition </w:t>
            </w:r>
          </w:p>
        </w:tc>
        <w:tc>
          <w:tcPr>
            <w:tcW w:w="2734" w:type="dxa"/>
            <w:gridSpan w:val="2"/>
          </w:tcPr>
          <w:p w14:paraId="2D5790A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Depression*</w:t>
            </w:r>
          </w:p>
        </w:tc>
        <w:tc>
          <w:tcPr>
            <w:tcW w:w="4101" w:type="dxa"/>
            <w:gridSpan w:val="3"/>
          </w:tcPr>
          <w:p w14:paraId="1355CF8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Neuropsychiatric symptoms </w:t>
            </w:r>
          </w:p>
        </w:tc>
      </w:tr>
      <w:tr w:rsidR="00B54D51" w:rsidRPr="00037AD4" w14:paraId="10F65BCD" w14:textId="77777777" w:rsidTr="00401C67">
        <w:trPr>
          <w:trHeight w:val="258"/>
        </w:trPr>
        <w:tc>
          <w:tcPr>
            <w:tcW w:w="1367" w:type="dxa"/>
          </w:tcPr>
          <w:p w14:paraId="372F58EF" w14:textId="77777777" w:rsidR="00B54D51" w:rsidRPr="00037AD4" w:rsidRDefault="00B54D51" w:rsidP="00401C67">
            <w:pPr>
              <w:rPr>
                <w:rFonts w:asciiTheme="minorHAnsi" w:hAnsiTheme="minorHAnsi" w:cstheme="minorHAnsi"/>
                <w:i/>
                <w:iCs/>
              </w:rPr>
            </w:pPr>
            <w:r w:rsidRPr="00037AD4">
              <w:rPr>
                <w:rFonts w:asciiTheme="minorHAnsi" w:hAnsiTheme="minorHAnsi" w:cstheme="minorHAnsi"/>
                <w:i/>
                <w:iCs/>
              </w:rPr>
              <w:t xml:space="preserve">d </w:t>
            </w:r>
          </w:p>
        </w:tc>
        <w:tc>
          <w:tcPr>
            <w:tcW w:w="1367" w:type="dxa"/>
          </w:tcPr>
          <w:p w14:paraId="2E738C6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No change in CDR</w:t>
            </w:r>
          </w:p>
        </w:tc>
        <w:tc>
          <w:tcPr>
            <w:tcW w:w="1367" w:type="dxa"/>
          </w:tcPr>
          <w:p w14:paraId="21DE6BD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Worse CDR </w:t>
            </w:r>
          </w:p>
        </w:tc>
        <w:tc>
          <w:tcPr>
            <w:tcW w:w="1367" w:type="dxa"/>
          </w:tcPr>
          <w:p w14:paraId="6CDBECD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Worse cognition  </w:t>
            </w:r>
          </w:p>
        </w:tc>
        <w:tc>
          <w:tcPr>
            <w:tcW w:w="1367" w:type="dxa"/>
          </w:tcPr>
          <w:p w14:paraId="4C192CB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Improved cognition</w:t>
            </w:r>
          </w:p>
        </w:tc>
        <w:tc>
          <w:tcPr>
            <w:tcW w:w="1367" w:type="dxa"/>
          </w:tcPr>
          <w:p w14:paraId="7CD4A4F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Worse depression</w:t>
            </w:r>
          </w:p>
        </w:tc>
        <w:tc>
          <w:tcPr>
            <w:tcW w:w="1367" w:type="dxa"/>
          </w:tcPr>
          <w:p w14:paraId="04C9A50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Improved depression</w:t>
            </w:r>
          </w:p>
        </w:tc>
        <w:tc>
          <w:tcPr>
            <w:tcW w:w="1367" w:type="dxa"/>
          </w:tcPr>
          <w:p w14:paraId="46CD870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No change in NPI </w:t>
            </w:r>
          </w:p>
        </w:tc>
        <w:tc>
          <w:tcPr>
            <w:tcW w:w="1367" w:type="dxa"/>
          </w:tcPr>
          <w:p w14:paraId="55C16D2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Worse NPI</w:t>
            </w:r>
          </w:p>
        </w:tc>
        <w:tc>
          <w:tcPr>
            <w:tcW w:w="1367" w:type="dxa"/>
          </w:tcPr>
          <w:p w14:paraId="7884928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Improved NPI </w:t>
            </w:r>
          </w:p>
        </w:tc>
      </w:tr>
      <w:tr w:rsidR="00B54D51" w:rsidRPr="00037AD4" w14:paraId="46346EF4" w14:textId="77777777" w:rsidTr="00401C67">
        <w:trPr>
          <w:trHeight w:val="258"/>
        </w:trPr>
        <w:tc>
          <w:tcPr>
            <w:tcW w:w="1367" w:type="dxa"/>
          </w:tcPr>
          <w:p w14:paraId="562C8CA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PwD</w:t>
            </w:r>
          </w:p>
        </w:tc>
        <w:tc>
          <w:tcPr>
            <w:tcW w:w="1367" w:type="dxa"/>
          </w:tcPr>
          <w:p w14:paraId="061BEF6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w:t>
            </w:r>
          </w:p>
        </w:tc>
        <w:tc>
          <w:tcPr>
            <w:tcW w:w="1367" w:type="dxa"/>
          </w:tcPr>
          <w:p w14:paraId="78BD1AD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0.16</w:t>
            </w:r>
          </w:p>
        </w:tc>
        <w:tc>
          <w:tcPr>
            <w:tcW w:w="1367" w:type="dxa"/>
          </w:tcPr>
          <w:p w14:paraId="09BC6A3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-0.01</w:t>
            </w:r>
          </w:p>
        </w:tc>
        <w:tc>
          <w:tcPr>
            <w:tcW w:w="1367" w:type="dxa"/>
          </w:tcPr>
          <w:p w14:paraId="1C42FF2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0.06</w:t>
            </w:r>
          </w:p>
        </w:tc>
        <w:tc>
          <w:tcPr>
            <w:tcW w:w="1367" w:type="dxa"/>
          </w:tcPr>
          <w:p w14:paraId="5143E9E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0.11</w:t>
            </w:r>
          </w:p>
        </w:tc>
        <w:tc>
          <w:tcPr>
            <w:tcW w:w="1367" w:type="dxa"/>
          </w:tcPr>
          <w:p w14:paraId="35709E6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0.07</w:t>
            </w:r>
          </w:p>
        </w:tc>
        <w:tc>
          <w:tcPr>
            <w:tcW w:w="1367" w:type="dxa"/>
          </w:tcPr>
          <w:p w14:paraId="3C7AAA3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0.12</w:t>
            </w:r>
          </w:p>
        </w:tc>
        <w:tc>
          <w:tcPr>
            <w:tcW w:w="1367" w:type="dxa"/>
          </w:tcPr>
          <w:p w14:paraId="48DFF78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w:t>
            </w:r>
          </w:p>
        </w:tc>
        <w:tc>
          <w:tcPr>
            <w:tcW w:w="1367" w:type="dxa"/>
          </w:tcPr>
          <w:p w14:paraId="5328258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0.05</w:t>
            </w:r>
          </w:p>
        </w:tc>
      </w:tr>
      <w:tr w:rsidR="00B54D51" w:rsidRPr="00037AD4" w14:paraId="64F01FEE" w14:textId="77777777" w:rsidTr="00401C67">
        <w:trPr>
          <w:trHeight w:val="258"/>
        </w:trPr>
        <w:tc>
          <w:tcPr>
            <w:tcW w:w="1367" w:type="dxa"/>
          </w:tcPr>
          <w:p w14:paraId="6491685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Informal proxy </w:t>
            </w:r>
          </w:p>
        </w:tc>
        <w:tc>
          <w:tcPr>
            <w:tcW w:w="1367" w:type="dxa"/>
          </w:tcPr>
          <w:p w14:paraId="395CF2C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0.06</w:t>
            </w:r>
          </w:p>
        </w:tc>
        <w:tc>
          <w:tcPr>
            <w:tcW w:w="1367" w:type="dxa"/>
          </w:tcPr>
          <w:p w14:paraId="3DDA8AF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0.16</w:t>
            </w:r>
          </w:p>
        </w:tc>
        <w:tc>
          <w:tcPr>
            <w:tcW w:w="1367" w:type="dxa"/>
          </w:tcPr>
          <w:p w14:paraId="04121B4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0.05</w:t>
            </w:r>
          </w:p>
        </w:tc>
        <w:tc>
          <w:tcPr>
            <w:tcW w:w="1367" w:type="dxa"/>
          </w:tcPr>
          <w:p w14:paraId="45ADE5D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-0.07</w:t>
            </w:r>
          </w:p>
        </w:tc>
        <w:tc>
          <w:tcPr>
            <w:tcW w:w="1367" w:type="dxa"/>
          </w:tcPr>
          <w:p w14:paraId="3B580C0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-0.19</w:t>
            </w:r>
          </w:p>
        </w:tc>
        <w:tc>
          <w:tcPr>
            <w:tcW w:w="1367" w:type="dxa"/>
          </w:tcPr>
          <w:p w14:paraId="3BD3347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0.24</w:t>
            </w:r>
          </w:p>
        </w:tc>
        <w:tc>
          <w:tcPr>
            <w:tcW w:w="1367" w:type="dxa"/>
          </w:tcPr>
          <w:p w14:paraId="3090F96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-0.16</w:t>
            </w:r>
          </w:p>
        </w:tc>
        <w:tc>
          <w:tcPr>
            <w:tcW w:w="1367" w:type="dxa"/>
          </w:tcPr>
          <w:p w14:paraId="44BD7A8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-0.19</w:t>
            </w:r>
          </w:p>
        </w:tc>
        <w:tc>
          <w:tcPr>
            <w:tcW w:w="1367" w:type="dxa"/>
          </w:tcPr>
          <w:p w14:paraId="341356A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0.13</w:t>
            </w:r>
          </w:p>
        </w:tc>
      </w:tr>
      <w:tr w:rsidR="00B54D51" w:rsidRPr="00037AD4" w14:paraId="4D608B2B" w14:textId="77777777" w:rsidTr="00401C67">
        <w:trPr>
          <w:trHeight w:val="258"/>
        </w:trPr>
        <w:tc>
          <w:tcPr>
            <w:tcW w:w="1367" w:type="dxa"/>
          </w:tcPr>
          <w:p w14:paraId="6B05D07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Staff proxy </w:t>
            </w:r>
          </w:p>
        </w:tc>
        <w:tc>
          <w:tcPr>
            <w:tcW w:w="1367" w:type="dxa"/>
          </w:tcPr>
          <w:p w14:paraId="591A56D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0.13</w:t>
            </w:r>
          </w:p>
        </w:tc>
        <w:tc>
          <w:tcPr>
            <w:tcW w:w="1367" w:type="dxa"/>
          </w:tcPr>
          <w:p w14:paraId="628357F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0.22</w:t>
            </w:r>
          </w:p>
        </w:tc>
        <w:tc>
          <w:tcPr>
            <w:tcW w:w="1367" w:type="dxa"/>
          </w:tcPr>
          <w:p w14:paraId="63D380D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w:t>
            </w:r>
          </w:p>
        </w:tc>
        <w:tc>
          <w:tcPr>
            <w:tcW w:w="1367" w:type="dxa"/>
          </w:tcPr>
          <w:p w14:paraId="4402A29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w:t>
            </w:r>
          </w:p>
        </w:tc>
        <w:tc>
          <w:tcPr>
            <w:tcW w:w="1367" w:type="dxa"/>
          </w:tcPr>
          <w:p w14:paraId="3423E5E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w:t>
            </w:r>
          </w:p>
        </w:tc>
        <w:tc>
          <w:tcPr>
            <w:tcW w:w="1367" w:type="dxa"/>
          </w:tcPr>
          <w:p w14:paraId="6036A19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w:t>
            </w:r>
          </w:p>
        </w:tc>
        <w:tc>
          <w:tcPr>
            <w:tcW w:w="1367" w:type="dxa"/>
          </w:tcPr>
          <w:p w14:paraId="2AE2B25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0.33</w:t>
            </w:r>
          </w:p>
        </w:tc>
        <w:tc>
          <w:tcPr>
            <w:tcW w:w="1367" w:type="dxa"/>
          </w:tcPr>
          <w:p w14:paraId="55E0972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-0.22</w:t>
            </w:r>
          </w:p>
        </w:tc>
        <w:tc>
          <w:tcPr>
            <w:tcW w:w="1367" w:type="dxa"/>
          </w:tcPr>
          <w:p w14:paraId="2414CF4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0.44</w:t>
            </w:r>
          </w:p>
        </w:tc>
      </w:tr>
      <w:tr w:rsidR="00B54D51" w:rsidRPr="00037AD4" w14:paraId="0A7E04BE" w14:textId="77777777" w:rsidTr="00401C67">
        <w:trPr>
          <w:trHeight w:val="258"/>
        </w:trPr>
        <w:tc>
          <w:tcPr>
            <w:tcW w:w="13670" w:type="dxa"/>
            <w:gridSpan w:val="10"/>
          </w:tcPr>
          <w:p w14:paraId="0BC7C93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*Using EQ-5D-3L data</w:t>
            </w:r>
          </w:p>
        </w:tc>
      </w:tr>
    </w:tbl>
    <w:p w14:paraId="1F889962" w14:textId="77777777" w:rsidR="00B54D51" w:rsidRPr="00037AD4" w:rsidRDefault="00B54D51" w:rsidP="001D7ACE">
      <w:pPr>
        <w:rPr>
          <w:rFonts w:asciiTheme="minorHAnsi" w:hAnsiTheme="minorHAnsi" w:cstheme="minorHAnsi"/>
        </w:rPr>
      </w:pPr>
    </w:p>
    <w:p w14:paraId="56710C75" w14:textId="77777777" w:rsidR="00B54D51" w:rsidRPr="00037AD4" w:rsidRDefault="00B54D51" w:rsidP="001D7ACE">
      <w:pPr>
        <w:rPr>
          <w:rFonts w:asciiTheme="minorHAnsi" w:hAnsiTheme="minorHAnsi" w:cstheme="minorHAnsi"/>
        </w:rPr>
      </w:pPr>
    </w:p>
    <w:p w14:paraId="49F7C5C3" w14:textId="77777777" w:rsidR="00B54D51" w:rsidRPr="00037AD4" w:rsidRDefault="00B54D51" w:rsidP="001D7ACE">
      <w:pPr>
        <w:rPr>
          <w:rFonts w:asciiTheme="minorHAnsi" w:hAnsiTheme="minorHAnsi" w:cstheme="minorHAnsi"/>
        </w:rPr>
      </w:pPr>
    </w:p>
    <w:p w14:paraId="416A9AD6" w14:textId="77777777" w:rsidR="00B54D51" w:rsidRPr="00037AD4" w:rsidRDefault="00B54D51" w:rsidP="001D7ACE">
      <w:pPr>
        <w:rPr>
          <w:rFonts w:asciiTheme="minorHAnsi" w:hAnsiTheme="minorHAnsi" w:cstheme="minorHAnsi"/>
        </w:rPr>
      </w:pPr>
    </w:p>
    <w:p w14:paraId="31C2EB25" w14:textId="77777777" w:rsidR="00B54D51" w:rsidRPr="00037AD4" w:rsidRDefault="00B54D51" w:rsidP="001D7ACE">
      <w:pPr>
        <w:rPr>
          <w:rFonts w:asciiTheme="minorHAnsi" w:hAnsiTheme="minorHAnsi" w:cstheme="minorHAnsi"/>
        </w:rPr>
      </w:pPr>
    </w:p>
    <w:p w14:paraId="1DC3B765" w14:textId="77777777" w:rsidR="00B54D51" w:rsidRPr="00037AD4" w:rsidRDefault="00B54D51" w:rsidP="001D7ACE">
      <w:pPr>
        <w:rPr>
          <w:rFonts w:asciiTheme="minorHAnsi" w:hAnsiTheme="minorHAnsi" w:cstheme="minorHAnsi"/>
        </w:rPr>
      </w:pPr>
    </w:p>
    <w:p w14:paraId="785F6612" w14:textId="77777777" w:rsidR="00B54D51" w:rsidRPr="00037AD4" w:rsidRDefault="00B54D51" w:rsidP="001D7ACE">
      <w:pPr>
        <w:rPr>
          <w:rFonts w:asciiTheme="minorHAnsi" w:hAnsiTheme="minorHAnsi" w:cstheme="minorHAnsi"/>
        </w:rPr>
      </w:pPr>
    </w:p>
    <w:p w14:paraId="7EDBAC35" w14:textId="77777777" w:rsidR="00B54D51" w:rsidRPr="00037AD4" w:rsidRDefault="00B54D51" w:rsidP="001D7ACE">
      <w:pPr>
        <w:rPr>
          <w:rFonts w:asciiTheme="minorHAnsi" w:hAnsiTheme="minorHAnsi" w:cstheme="minorHAnsi"/>
        </w:rPr>
      </w:pPr>
    </w:p>
    <w:p w14:paraId="4C6A6E34" w14:textId="77777777" w:rsidR="00B54D51" w:rsidRPr="00037AD4" w:rsidRDefault="00B54D51" w:rsidP="001D7ACE">
      <w:pPr>
        <w:rPr>
          <w:rFonts w:asciiTheme="minorHAnsi" w:hAnsiTheme="minorHAnsi" w:cstheme="minorHAnsi"/>
        </w:rPr>
      </w:pPr>
    </w:p>
    <w:p w14:paraId="2A12B1F6" w14:textId="77777777" w:rsidR="00B54D51" w:rsidRPr="00037AD4" w:rsidRDefault="00B54D51" w:rsidP="001D7ACE">
      <w:pPr>
        <w:rPr>
          <w:rFonts w:asciiTheme="minorHAnsi" w:hAnsiTheme="minorHAnsi" w:cstheme="minorHAnsi"/>
        </w:rPr>
      </w:pPr>
    </w:p>
    <w:p w14:paraId="2A41E184" w14:textId="77777777" w:rsidR="00B54D51" w:rsidRPr="00037AD4" w:rsidRDefault="00B54D51" w:rsidP="001D7ACE">
      <w:pPr>
        <w:rPr>
          <w:rFonts w:asciiTheme="minorHAnsi" w:hAnsiTheme="minorHAnsi" w:cstheme="minorHAnsi"/>
        </w:rPr>
      </w:pPr>
    </w:p>
    <w:p w14:paraId="3C7552CE" w14:textId="77777777" w:rsidR="00B54D51" w:rsidRPr="00037AD4" w:rsidRDefault="00B54D51" w:rsidP="001D7ACE">
      <w:pPr>
        <w:rPr>
          <w:rFonts w:asciiTheme="minorHAnsi" w:hAnsiTheme="minorHAnsi" w:cstheme="minorHAnsi"/>
        </w:rPr>
      </w:pPr>
    </w:p>
    <w:p w14:paraId="7BF6781B" w14:textId="77777777" w:rsidR="00B54D51" w:rsidRPr="00037AD4" w:rsidRDefault="00B54D51" w:rsidP="001D7ACE">
      <w:pPr>
        <w:rPr>
          <w:rFonts w:asciiTheme="minorHAnsi" w:hAnsiTheme="minorHAnsi" w:cstheme="minorHAnsi"/>
        </w:rPr>
      </w:pPr>
    </w:p>
    <w:p w14:paraId="396AAAC1" w14:textId="77777777" w:rsidR="00B54D51" w:rsidRPr="00037AD4" w:rsidRDefault="00B54D51" w:rsidP="001D7ACE">
      <w:pPr>
        <w:rPr>
          <w:rFonts w:asciiTheme="minorHAnsi" w:hAnsiTheme="minorHAnsi" w:cstheme="minorHAnsi"/>
        </w:rPr>
      </w:pPr>
    </w:p>
    <w:p w14:paraId="4C258D32" w14:textId="77777777" w:rsidR="00B54D51" w:rsidRPr="00037AD4" w:rsidRDefault="00B54D51" w:rsidP="001D7ACE">
      <w:pPr>
        <w:rPr>
          <w:rFonts w:asciiTheme="minorHAnsi" w:hAnsiTheme="minorHAnsi" w:cstheme="minorHAnsi"/>
        </w:rPr>
        <w:sectPr w:rsidR="00B54D51" w:rsidRPr="00037AD4" w:rsidSect="0051675A">
          <w:pgSz w:w="16838" w:h="11906" w:orient="landscape"/>
          <w:pgMar w:top="1440" w:right="1440" w:bottom="1440" w:left="1440" w:header="708" w:footer="708" w:gutter="0"/>
          <w:cols w:space="708"/>
          <w:docGrid w:linePitch="360"/>
        </w:sectPr>
      </w:pPr>
    </w:p>
    <w:p w14:paraId="57A6A442" w14:textId="77777777" w:rsidR="00B54D51" w:rsidRPr="00037AD4" w:rsidRDefault="00B54D51" w:rsidP="001D7ACE">
      <w:pPr>
        <w:rPr>
          <w:rFonts w:asciiTheme="minorHAnsi" w:hAnsiTheme="minorHAnsi" w:cstheme="minorHAnsi"/>
          <w:u w:val="single"/>
        </w:rPr>
      </w:pPr>
      <w:bookmarkStart w:id="511" w:name="tablea54g"/>
      <w:r w:rsidRPr="00037AD4">
        <w:rPr>
          <w:rFonts w:asciiTheme="minorHAnsi" w:hAnsiTheme="minorHAnsi" w:cstheme="minorHAnsi"/>
          <w:u w:val="single"/>
        </w:rPr>
        <w:lastRenderedPageBreak/>
        <w:t>Table A5.4g, Correlation between change in EQ-5D index score and change in dementia symptom measure scores</w:t>
      </w:r>
    </w:p>
    <w:bookmarkEnd w:id="511"/>
    <w:p w14:paraId="2EF863CD" w14:textId="77777777" w:rsidR="00B54D51" w:rsidRPr="00037AD4" w:rsidRDefault="00B54D51" w:rsidP="001D7ACE">
      <w:pPr>
        <w:rPr>
          <w:rFonts w:asciiTheme="minorHAnsi" w:hAnsiTheme="minorHAnsi" w:cstheme="minorHAnsi"/>
        </w:rPr>
      </w:pPr>
    </w:p>
    <w:tbl>
      <w:tblPr>
        <w:tblStyle w:val="TableGrid"/>
        <w:tblW w:w="7610" w:type="dxa"/>
        <w:tblLook w:val="04A0" w:firstRow="1" w:lastRow="0" w:firstColumn="1" w:lastColumn="0" w:noHBand="0" w:noVBand="1"/>
      </w:tblPr>
      <w:tblGrid>
        <w:gridCol w:w="1721"/>
        <w:gridCol w:w="581"/>
        <w:gridCol w:w="1809"/>
        <w:gridCol w:w="1789"/>
        <w:gridCol w:w="1710"/>
      </w:tblGrid>
      <w:tr w:rsidR="00B54D51" w:rsidRPr="00037AD4" w14:paraId="536419E3" w14:textId="77777777" w:rsidTr="00401C67">
        <w:tc>
          <w:tcPr>
            <w:tcW w:w="2302" w:type="dxa"/>
            <w:gridSpan w:val="2"/>
          </w:tcPr>
          <w:p w14:paraId="0A19719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Correlation coefficient; CI</w:t>
            </w:r>
          </w:p>
        </w:tc>
        <w:tc>
          <w:tcPr>
            <w:tcW w:w="5308" w:type="dxa"/>
            <w:gridSpan w:val="3"/>
          </w:tcPr>
          <w:p w14:paraId="0D265CBC" w14:textId="77777777" w:rsidR="00B54D51" w:rsidRPr="00037AD4" w:rsidRDefault="00B54D51" w:rsidP="00401C67">
            <w:pPr>
              <w:jc w:val="center"/>
              <w:rPr>
                <w:rFonts w:asciiTheme="minorHAnsi" w:hAnsiTheme="minorHAnsi" w:cstheme="minorHAnsi"/>
              </w:rPr>
            </w:pPr>
            <w:r w:rsidRPr="00037AD4">
              <w:rPr>
                <w:rFonts w:asciiTheme="minorHAnsi" w:hAnsiTheme="minorHAnsi" w:cstheme="minorHAnsi"/>
              </w:rPr>
              <w:t xml:space="preserve">CDR severity stage </w:t>
            </w:r>
            <w:r w:rsidRPr="00037AD4">
              <w:rPr>
                <w:rFonts w:asciiTheme="minorHAnsi" w:hAnsiTheme="minorHAnsi" w:cstheme="minorHAnsi"/>
                <w:color w:val="000000" w:themeColor="text1"/>
              </w:rPr>
              <w:t>at T2**</w:t>
            </w:r>
          </w:p>
          <w:p w14:paraId="13C04D59" w14:textId="77777777" w:rsidR="00B54D51" w:rsidRPr="00037AD4" w:rsidRDefault="00B54D51" w:rsidP="00401C67">
            <w:pPr>
              <w:rPr>
                <w:rFonts w:asciiTheme="minorHAnsi" w:hAnsiTheme="minorHAnsi" w:cstheme="minorHAnsi"/>
              </w:rPr>
            </w:pPr>
          </w:p>
        </w:tc>
      </w:tr>
      <w:tr w:rsidR="00B54D51" w:rsidRPr="00037AD4" w14:paraId="1161AE09" w14:textId="77777777" w:rsidTr="00401C67">
        <w:tc>
          <w:tcPr>
            <w:tcW w:w="1721" w:type="dxa"/>
          </w:tcPr>
          <w:p w14:paraId="4241E90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Instrument and rater-type </w:t>
            </w:r>
          </w:p>
        </w:tc>
        <w:tc>
          <w:tcPr>
            <w:tcW w:w="581" w:type="dxa"/>
          </w:tcPr>
          <w:p w14:paraId="7595FAB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N</w:t>
            </w:r>
          </w:p>
        </w:tc>
        <w:tc>
          <w:tcPr>
            <w:tcW w:w="1809" w:type="dxa"/>
          </w:tcPr>
          <w:p w14:paraId="15C0801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Sum  </w:t>
            </w:r>
          </w:p>
        </w:tc>
        <w:tc>
          <w:tcPr>
            <w:tcW w:w="1789" w:type="dxa"/>
          </w:tcPr>
          <w:p w14:paraId="14FF005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Mild </w:t>
            </w:r>
          </w:p>
        </w:tc>
        <w:tc>
          <w:tcPr>
            <w:tcW w:w="1710" w:type="dxa"/>
          </w:tcPr>
          <w:p w14:paraId="15BD11D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Moderate </w:t>
            </w:r>
          </w:p>
        </w:tc>
      </w:tr>
      <w:tr w:rsidR="00B54D51" w:rsidRPr="00037AD4" w14:paraId="44C67CE2" w14:textId="77777777" w:rsidTr="00401C67">
        <w:tc>
          <w:tcPr>
            <w:tcW w:w="1721" w:type="dxa"/>
          </w:tcPr>
          <w:p w14:paraId="6B5E55B3" w14:textId="77777777" w:rsidR="00B54D51" w:rsidRPr="00037AD4" w:rsidRDefault="00B54D51" w:rsidP="00401C67">
            <w:pPr>
              <w:rPr>
                <w:rFonts w:asciiTheme="minorHAnsi" w:hAnsiTheme="minorHAnsi" w:cstheme="minorHAnsi"/>
                <w:i/>
                <w:iCs/>
              </w:rPr>
            </w:pPr>
            <w:r w:rsidRPr="00037AD4">
              <w:rPr>
                <w:rFonts w:asciiTheme="minorHAnsi" w:hAnsiTheme="minorHAnsi" w:cstheme="minorHAnsi"/>
                <w:i/>
                <w:iCs/>
              </w:rPr>
              <w:t>CDR change</w:t>
            </w:r>
          </w:p>
          <w:p w14:paraId="1D0AAA5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PwD</w:t>
            </w:r>
          </w:p>
          <w:p w14:paraId="3D359E40" w14:textId="77777777" w:rsidR="00B54D51" w:rsidRPr="00037AD4" w:rsidRDefault="00B54D51" w:rsidP="00401C67">
            <w:pPr>
              <w:rPr>
                <w:rFonts w:asciiTheme="minorHAnsi" w:hAnsiTheme="minorHAnsi" w:cstheme="minorHAnsi"/>
              </w:rPr>
            </w:pPr>
          </w:p>
          <w:p w14:paraId="4D04E48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Informal proxy</w:t>
            </w:r>
          </w:p>
          <w:p w14:paraId="4FBEE7E1" w14:textId="77777777" w:rsidR="00B54D51" w:rsidRPr="00037AD4" w:rsidRDefault="00B54D51" w:rsidP="00401C67">
            <w:pPr>
              <w:rPr>
                <w:rFonts w:asciiTheme="minorHAnsi" w:hAnsiTheme="minorHAnsi" w:cstheme="minorHAnsi"/>
              </w:rPr>
            </w:pPr>
          </w:p>
          <w:p w14:paraId="69D2735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Staff proxy </w:t>
            </w:r>
          </w:p>
        </w:tc>
        <w:tc>
          <w:tcPr>
            <w:tcW w:w="581" w:type="dxa"/>
          </w:tcPr>
          <w:p w14:paraId="49A07B58" w14:textId="77777777" w:rsidR="00B54D51" w:rsidRPr="00037AD4" w:rsidRDefault="00B54D51" w:rsidP="00401C67">
            <w:pPr>
              <w:rPr>
                <w:rFonts w:asciiTheme="minorHAnsi" w:hAnsiTheme="minorHAnsi" w:cstheme="minorHAnsi"/>
              </w:rPr>
            </w:pPr>
          </w:p>
          <w:p w14:paraId="2CA8C08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420</w:t>
            </w:r>
          </w:p>
          <w:p w14:paraId="60EEC18C" w14:textId="77777777" w:rsidR="00B54D51" w:rsidRPr="00037AD4" w:rsidRDefault="00B54D51" w:rsidP="00401C67">
            <w:pPr>
              <w:rPr>
                <w:rFonts w:asciiTheme="minorHAnsi" w:hAnsiTheme="minorHAnsi" w:cstheme="minorHAnsi"/>
              </w:rPr>
            </w:pPr>
          </w:p>
          <w:p w14:paraId="4284152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388</w:t>
            </w:r>
          </w:p>
          <w:p w14:paraId="602BD487" w14:textId="77777777" w:rsidR="00B54D51" w:rsidRPr="00037AD4" w:rsidRDefault="00B54D51" w:rsidP="00401C67">
            <w:pPr>
              <w:rPr>
                <w:rFonts w:asciiTheme="minorHAnsi" w:hAnsiTheme="minorHAnsi" w:cstheme="minorHAnsi"/>
              </w:rPr>
            </w:pPr>
          </w:p>
          <w:p w14:paraId="0C851FB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398</w:t>
            </w:r>
          </w:p>
        </w:tc>
        <w:tc>
          <w:tcPr>
            <w:tcW w:w="1809" w:type="dxa"/>
          </w:tcPr>
          <w:p w14:paraId="6A1DFC01" w14:textId="77777777" w:rsidR="00B54D51" w:rsidRPr="00037AD4" w:rsidRDefault="00B54D51" w:rsidP="00401C67">
            <w:pPr>
              <w:rPr>
                <w:rFonts w:asciiTheme="minorHAnsi" w:hAnsiTheme="minorHAnsi" w:cstheme="minorHAnsi"/>
              </w:rPr>
            </w:pPr>
          </w:p>
          <w:p w14:paraId="1B59945F"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 xml:space="preserve">-0.05 </w:t>
            </w:r>
          </w:p>
          <w:p w14:paraId="569DCA7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[-0.14; 0.05] </w:t>
            </w:r>
          </w:p>
          <w:p w14:paraId="7E6D1BC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w:t>
            </w:r>
            <w:r w:rsidRPr="00037AD4">
              <w:rPr>
                <w:rFonts w:asciiTheme="minorHAnsi" w:hAnsiTheme="minorHAnsi" w:cstheme="minorHAnsi"/>
                <w:b/>
                <w:bCs/>
              </w:rPr>
              <w:t>0.21*</w:t>
            </w:r>
            <w:r w:rsidRPr="00037AD4">
              <w:rPr>
                <w:rFonts w:asciiTheme="minorHAnsi" w:hAnsiTheme="minorHAnsi" w:cstheme="minorHAnsi"/>
              </w:rPr>
              <w:t xml:space="preserve"> </w:t>
            </w:r>
          </w:p>
          <w:p w14:paraId="3ACFBEB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[-0.30; -0.11]</w:t>
            </w:r>
          </w:p>
          <w:p w14:paraId="4ED46472"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-0.26*</w:t>
            </w:r>
          </w:p>
          <w:p w14:paraId="451E4DD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 [-0.35; -0.17] </w:t>
            </w:r>
          </w:p>
        </w:tc>
        <w:tc>
          <w:tcPr>
            <w:tcW w:w="1789" w:type="dxa"/>
          </w:tcPr>
          <w:p w14:paraId="369C340D" w14:textId="77777777" w:rsidR="00B54D51" w:rsidRPr="00037AD4" w:rsidRDefault="00B54D51" w:rsidP="00401C67">
            <w:pPr>
              <w:rPr>
                <w:rFonts w:asciiTheme="minorHAnsi" w:hAnsiTheme="minorHAnsi" w:cstheme="minorHAnsi"/>
              </w:rPr>
            </w:pPr>
          </w:p>
          <w:p w14:paraId="2185AA7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0.01</w:t>
            </w:r>
          </w:p>
          <w:p w14:paraId="1FEA8076" w14:textId="77777777" w:rsidR="00B54D51" w:rsidRPr="00037AD4" w:rsidRDefault="00B54D51" w:rsidP="00401C67">
            <w:pPr>
              <w:rPr>
                <w:rFonts w:asciiTheme="minorHAnsi" w:hAnsiTheme="minorHAnsi" w:cstheme="minorHAnsi"/>
              </w:rPr>
            </w:pPr>
          </w:p>
          <w:p w14:paraId="024EFCC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0.05</w:t>
            </w:r>
          </w:p>
          <w:p w14:paraId="2B44CDFD" w14:textId="77777777" w:rsidR="00B54D51" w:rsidRPr="00037AD4" w:rsidRDefault="00B54D51" w:rsidP="00401C67">
            <w:pPr>
              <w:rPr>
                <w:rFonts w:asciiTheme="minorHAnsi" w:hAnsiTheme="minorHAnsi" w:cstheme="minorHAnsi"/>
              </w:rPr>
            </w:pPr>
          </w:p>
          <w:p w14:paraId="099F3F6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-0.22</w:t>
            </w:r>
          </w:p>
        </w:tc>
        <w:tc>
          <w:tcPr>
            <w:tcW w:w="1710" w:type="dxa"/>
          </w:tcPr>
          <w:p w14:paraId="3D4F15E6" w14:textId="77777777" w:rsidR="00B54D51" w:rsidRPr="00037AD4" w:rsidRDefault="00B54D51" w:rsidP="00401C67">
            <w:pPr>
              <w:rPr>
                <w:rFonts w:asciiTheme="minorHAnsi" w:hAnsiTheme="minorHAnsi" w:cstheme="minorHAnsi"/>
              </w:rPr>
            </w:pPr>
          </w:p>
          <w:p w14:paraId="1E07F21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0.03 </w:t>
            </w:r>
          </w:p>
          <w:p w14:paraId="31DF5EE2" w14:textId="77777777" w:rsidR="00B54D51" w:rsidRPr="00037AD4" w:rsidRDefault="00B54D51" w:rsidP="00401C67">
            <w:pPr>
              <w:rPr>
                <w:rFonts w:asciiTheme="minorHAnsi" w:hAnsiTheme="minorHAnsi" w:cstheme="minorHAnsi"/>
              </w:rPr>
            </w:pPr>
          </w:p>
          <w:p w14:paraId="6147C79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-0.08 </w:t>
            </w:r>
          </w:p>
          <w:p w14:paraId="19C19EC4" w14:textId="77777777" w:rsidR="00B54D51" w:rsidRPr="00037AD4" w:rsidRDefault="00B54D51" w:rsidP="00401C67">
            <w:pPr>
              <w:rPr>
                <w:rFonts w:asciiTheme="minorHAnsi" w:hAnsiTheme="minorHAnsi" w:cstheme="minorHAnsi"/>
              </w:rPr>
            </w:pPr>
          </w:p>
          <w:p w14:paraId="33F478A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-0.07 </w:t>
            </w:r>
          </w:p>
        </w:tc>
      </w:tr>
      <w:tr w:rsidR="00B54D51" w:rsidRPr="00037AD4" w14:paraId="66AAF5C2" w14:textId="77777777" w:rsidTr="00401C67">
        <w:tc>
          <w:tcPr>
            <w:tcW w:w="1721" w:type="dxa"/>
          </w:tcPr>
          <w:p w14:paraId="0DB1C37F" w14:textId="77777777" w:rsidR="00B54D51" w:rsidRPr="00037AD4" w:rsidRDefault="00B54D51" w:rsidP="00401C67">
            <w:pPr>
              <w:rPr>
                <w:rFonts w:asciiTheme="minorHAnsi" w:hAnsiTheme="minorHAnsi" w:cstheme="minorHAnsi"/>
                <w:i/>
                <w:iCs/>
              </w:rPr>
            </w:pPr>
            <w:r w:rsidRPr="00037AD4">
              <w:rPr>
                <w:rFonts w:asciiTheme="minorHAnsi" w:hAnsiTheme="minorHAnsi" w:cstheme="minorHAnsi"/>
                <w:i/>
                <w:iCs/>
              </w:rPr>
              <w:t xml:space="preserve">MMSE change </w:t>
            </w:r>
          </w:p>
          <w:p w14:paraId="77A586F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PwD </w:t>
            </w:r>
          </w:p>
          <w:p w14:paraId="2438D6C1" w14:textId="77777777" w:rsidR="00B54D51" w:rsidRPr="00037AD4" w:rsidRDefault="00B54D51" w:rsidP="00401C67">
            <w:pPr>
              <w:rPr>
                <w:rFonts w:asciiTheme="minorHAnsi" w:hAnsiTheme="minorHAnsi" w:cstheme="minorHAnsi"/>
              </w:rPr>
            </w:pPr>
          </w:p>
          <w:p w14:paraId="3393762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Informal proxy</w:t>
            </w:r>
          </w:p>
        </w:tc>
        <w:tc>
          <w:tcPr>
            <w:tcW w:w="581" w:type="dxa"/>
          </w:tcPr>
          <w:p w14:paraId="3B29111C" w14:textId="77777777" w:rsidR="00B54D51" w:rsidRPr="00037AD4" w:rsidRDefault="00B54D51" w:rsidP="00401C67">
            <w:pPr>
              <w:rPr>
                <w:rFonts w:asciiTheme="minorHAnsi" w:hAnsiTheme="minorHAnsi" w:cstheme="minorHAnsi"/>
              </w:rPr>
            </w:pPr>
          </w:p>
          <w:p w14:paraId="31822F9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263</w:t>
            </w:r>
          </w:p>
          <w:p w14:paraId="6A67CA0E" w14:textId="77777777" w:rsidR="00B54D51" w:rsidRPr="00037AD4" w:rsidRDefault="00B54D51" w:rsidP="00401C67">
            <w:pPr>
              <w:rPr>
                <w:rFonts w:asciiTheme="minorHAnsi" w:hAnsiTheme="minorHAnsi" w:cstheme="minorHAnsi"/>
              </w:rPr>
            </w:pPr>
          </w:p>
          <w:p w14:paraId="2ABF690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269</w:t>
            </w:r>
          </w:p>
        </w:tc>
        <w:tc>
          <w:tcPr>
            <w:tcW w:w="1809" w:type="dxa"/>
          </w:tcPr>
          <w:p w14:paraId="0C2C371D" w14:textId="77777777" w:rsidR="00B54D51" w:rsidRPr="00037AD4" w:rsidRDefault="00B54D51" w:rsidP="00401C67">
            <w:pPr>
              <w:rPr>
                <w:rFonts w:asciiTheme="minorHAnsi" w:hAnsiTheme="minorHAnsi" w:cstheme="minorHAnsi"/>
              </w:rPr>
            </w:pPr>
          </w:p>
          <w:p w14:paraId="174B0EA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w:t>
            </w:r>
            <w:r w:rsidRPr="00037AD4">
              <w:rPr>
                <w:rFonts w:asciiTheme="minorHAnsi" w:hAnsiTheme="minorHAnsi" w:cstheme="minorHAnsi"/>
                <w:b/>
                <w:bCs/>
              </w:rPr>
              <w:t>0.02</w:t>
            </w:r>
            <w:r w:rsidRPr="00037AD4">
              <w:rPr>
                <w:rFonts w:asciiTheme="minorHAnsi" w:hAnsiTheme="minorHAnsi" w:cstheme="minorHAnsi"/>
              </w:rPr>
              <w:t xml:space="preserve"> </w:t>
            </w:r>
          </w:p>
          <w:p w14:paraId="357E029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[-0.14; 0.10]</w:t>
            </w:r>
          </w:p>
          <w:p w14:paraId="3E357614"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 xml:space="preserve">0.07 </w:t>
            </w:r>
          </w:p>
          <w:p w14:paraId="23FFAB5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[-0.05; 0.19]</w:t>
            </w:r>
          </w:p>
        </w:tc>
        <w:tc>
          <w:tcPr>
            <w:tcW w:w="1789" w:type="dxa"/>
          </w:tcPr>
          <w:p w14:paraId="225D0CC9" w14:textId="77777777" w:rsidR="00B54D51" w:rsidRPr="00037AD4" w:rsidRDefault="00B54D51" w:rsidP="00401C67">
            <w:pPr>
              <w:rPr>
                <w:rFonts w:asciiTheme="minorHAnsi" w:hAnsiTheme="minorHAnsi" w:cstheme="minorHAnsi"/>
              </w:rPr>
            </w:pPr>
          </w:p>
          <w:p w14:paraId="66C04F3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0.10</w:t>
            </w:r>
          </w:p>
          <w:p w14:paraId="7AACB74A" w14:textId="77777777" w:rsidR="00B54D51" w:rsidRPr="00037AD4" w:rsidRDefault="00B54D51" w:rsidP="00401C67">
            <w:pPr>
              <w:rPr>
                <w:rFonts w:asciiTheme="minorHAnsi" w:hAnsiTheme="minorHAnsi" w:cstheme="minorHAnsi"/>
              </w:rPr>
            </w:pPr>
          </w:p>
          <w:p w14:paraId="4F0093C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0.06 </w:t>
            </w:r>
          </w:p>
          <w:p w14:paraId="643344D6" w14:textId="77777777" w:rsidR="00B54D51" w:rsidRPr="00037AD4" w:rsidRDefault="00B54D51" w:rsidP="00401C67">
            <w:pPr>
              <w:rPr>
                <w:rFonts w:asciiTheme="minorHAnsi" w:hAnsiTheme="minorHAnsi" w:cstheme="minorHAnsi"/>
              </w:rPr>
            </w:pPr>
          </w:p>
        </w:tc>
        <w:tc>
          <w:tcPr>
            <w:tcW w:w="1710" w:type="dxa"/>
          </w:tcPr>
          <w:p w14:paraId="1DE4C160" w14:textId="77777777" w:rsidR="00B54D51" w:rsidRPr="00037AD4" w:rsidRDefault="00B54D51" w:rsidP="00401C67">
            <w:pPr>
              <w:rPr>
                <w:rFonts w:asciiTheme="minorHAnsi" w:hAnsiTheme="minorHAnsi" w:cstheme="minorHAnsi"/>
              </w:rPr>
            </w:pPr>
          </w:p>
          <w:p w14:paraId="6BDB4E7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-0.16 </w:t>
            </w:r>
          </w:p>
          <w:p w14:paraId="575E668D" w14:textId="77777777" w:rsidR="00B54D51" w:rsidRPr="00037AD4" w:rsidRDefault="00B54D51" w:rsidP="00401C67">
            <w:pPr>
              <w:rPr>
                <w:rFonts w:asciiTheme="minorHAnsi" w:hAnsiTheme="minorHAnsi" w:cstheme="minorHAnsi"/>
              </w:rPr>
            </w:pPr>
          </w:p>
          <w:p w14:paraId="5B910CF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0.03 </w:t>
            </w:r>
          </w:p>
        </w:tc>
      </w:tr>
      <w:tr w:rsidR="00B54D51" w:rsidRPr="00037AD4" w14:paraId="1A453F42" w14:textId="77777777" w:rsidTr="00401C67">
        <w:tc>
          <w:tcPr>
            <w:tcW w:w="1721" w:type="dxa"/>
          </w:tcPr>
          <w:p w14:paraId="47A2FCC0" w14:textId="77777777" w:rsidR="00B54D51" w:rsidRPr="00037AD4" w:rsidRDefault="00B54D51" w:rsidP="00401C67">
            <w:pPr>
              <w:rPr>
                <w:rFonts w:asciiTheme="minorHAnsi" w:hAnsiTheme="minorHAnsi" w:cstheme="minorHAnsi"/>
                <w:i/>
                <w:iCs/>
              </w:rPr>
            </w:pPr>
            <w:r w:rsidRPr="00037AD4">
              <w:rPr>
                <w:rFonts w:asciiTheme="minorHAnsi" w:hAnsiTheme="minorHAnsi" w:cstheme="minorHAnsi"/>
                <w:i/>
                <w:iCs/>
              </w:rPr>
              <w:t>NPI-NH change</w:t>
            </w:r>
          </w:p>
          <w:p w14:paraId="52C7337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PwD</w:t>
            </w:r>
          </w:p>
          <w:p w14:paraId="3F0DE3F3" w14:textId="77777777" w:rsidR="00B54D51" w:rsidRPr="00037AD4" w:rsidRDefault="00B54D51" w:rsidP="00401C67">
            <w:pPr>
              <w:rPr>
                <w:rFonts w:asciiTheme="minorHAnsi" w:hAnsiTheme="minorHAnsi" w:cstheme="minorHAnsi"/>
              </w:rPr>
            </w:pPr>
          </w:p>
          <w:p w14:paraId="12EEAFF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Informal proxy</w:t>
            </w:r>
          </w:p>
          <w:p w14:paraId="69E0F2D6" w14:textId="77777777" w:rsidR="00B54D51" w:rsidRPr="00037AD4" w:rsidRDefault="00B54D51" w:rsidP="00401C67">
            <w:pPr>
              <w:rPr>
                <w:rFonts w:asciiTheme="minorHAnsi" w:hAnsiTheme="minorHAnsi" w:cstheme="minorHAnsi"/>
              </w:rPr>
            </w:pPr>
          </w:p>
          <w:p w14:paraId="75D0FBB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Staff proxy </w:t>
            </w:r>
          </w:p>
        </w:tc>
        <w:tc>
          <w:tcPr>
            <w:tcW w:w="581" w:type="dxa"/>
          </w:tcPr>
          <w:p w14:paraId="6D55A4F9" w14:textId="77777777" w:rsidR="00B54D51" w:rsidRPr="00037AD4" w:rsidRDefault="00B54D51" w:rsidP="00401C67">
            <w:pPr>
              <w:rPr>
                <w:rFonts w:asciiTheme="minorHAnsi" w:hAnsiTheme="minorHAnsi" w:cstheme="minorHAnsi"/>
              </w:rPr>
            </w:pPr>
          </w:p>
          <w:p w14:paraId="09A6CA4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126</w:t>
            </w:r>
          </w:p>
          <w:p w14:paraId="5EAB26AA" w14:textId="77777777" w:rsidR="00B54D51" w:rsidRPr="00037AD4" w:rsidRDefault="00B54D51" w:rsidP="00401C67">
            <w:pPr>
              <w:rPr>
                <w:rFonts w:asciiTheme="minorHAnsi" w:hAnsiTheme="minorHAnsi" w:cstheme="minorHAnsi"/>
              </w:rPr>
            </w:pPr>
          </w:p>
          <w:p w14:paraId="66F720E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58</w:t>
            </w:r>
          </w:p>
          <w:p w14:paraId="31B6DD6B" w14:textId="77777777" w:rsidR="00B54D51" w:rsidRPr="00037AD4" w:rsidRDefault="00B54D51" w:rsidP="00401C67">
            <w:pPr>
              <w:rPr>
                <w:rFonts w:asciiTheme="minorHAnsi" w:hAnsiTheme="minorHAnsi" w:cstheme="minorHAnsi"/>
              </w:rPr>
            </w:pPr>
          </w:p>
          <w:p w14:paraId="4F5929F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398</w:t>
            </w:r>
          </w:p>
        </w:tc>
        <w:tc>
          <w:tcPr>
            <w:tcW w:w="1809" w:type="dxa"/>
          </w:tcPr>
          <w:p w14:paraId="2AAC99C4" w14:textId="77777777" w:rsidR="00B54D51" w:rsidRPr="00037AD4" w:rsidRDefault="00B54D51" w:rsidP="00401C67">
            <w:pPr>
              <w:rPr>
                <w:rFonts w:asciiTheme="minorHAnsi" w:hAnsiTheme="minorHAnsi" w:cstheme="minorHAnsi"/>
              </w:rPr>
            </w:pPr>
          </w:p>
          <w:p w14:paraId="3A93B94A" w14:textId="77777777" w:rsidR="00B54D51" w:rsidRPr="00037AD4" w:rsidRDefault="00B54D51" w:rsidP="00401C67">
            <w:pPr>
              <w:rPr>
                <w:rFonts w:asciiTheme="minorHAnsi" w:hAnsiTheme="minorHAnsi" w:cstheme="minorHAnsi"/>
              </w:rPr>
            </w:pPr>
            <w:r w:rsidRPr="00037AD4">
              <w:rPr>
                <w:rFonts w:asciiTheme="minorHAnsi" w:hAnsiTheme="minorHAnsi" w:cstheme="minorHAnsi"/>
                <w:b/>
                <w:bCs/>
              </w:rPr>
              <w:t>-0.02</w:t>
            </w:r>
            <w:r w:rsidRPr="00037AD4">
              <w:rPr>
                <w:rFonts w:asciiTheme="minorHAnsi" w:hAnsiTheme="minorHAnsi" w:cstheme="minorHAnsi"/>
              </w:rPr>
              <w:t xml:space="preserve"> </w:t>
            </w:r>
          </w:p>
          <w:p w14:paraId="5038117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[-0.19; 0.16]</w:t>
            </w:r>
          </w:p>
          <w:p w14:paraId="1203DECD"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 xml:space="preserve">-0.04 </w:t>
            </w:r>
          </w:p>
          <w:p w14:paraId="398711A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[-0.29; 0.23]</w:t>
            </w:r>
          </w:p>
          <w:p w14:paraId="0DBCE978"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 xml:space="preserve">-0.16* </w:t>
            </w:r>
          </w:p>
          <w:p w14:paraId="2355641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[-0.25; -0.06]</w:t>
            </w:r>
          </w:p>
        </w:tc>
        <w:tc>
          <w:tcPr>
            <w:tcW w:w="1789" w:type="dxa"/>
          </w:tcPr>
          <w:p w14:paraId="1DEE2C8A" w14:textId="77777777" w:rsidR="00B54D51" w:rsidRPr="00037AD4" w:rsidRDefault="00B54D51" w:rsidP="00401C67">
            <w:pPr>
              <w:rPr>
                <w:rFonts w:asciiTheme="minorHAnsi" w:hAnsiTheme="minorHAnsi" w:cstheme="minorHAnsi"/>
              </w:rPr>
            </w:pPr>
          </w:p>
          <w:p w14:paraId="552F5D9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0.06 </w:t>
            </w:r>
          </w:p>
          <w:p w14:paraId="1526FB59" w14:textId="77777777" w:rsidR="00B54D51" w:rsidRPr="00037AD4" w:rsidRDefault="00B54D51" w:rsidP="00401C67">
            <w:pPr>
              <w:rPr>
                <w:rFonts w:asciiTheme="minorHAnsi" w:hAnsiTheme="minorHAnsi" w:cstheme="minorHAnsi"/>
              </w:rPr>
            </w:pPr>
          </w:p>
          <w:p w14:paraId="1385385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 </w:t>
            </w:r>
          </w:p>
          <w:p w14:paraId="78CFEFA5" w14:textId="77777777" w:rsidR="00B54D51" w:rsidRPr="00037AD4" w:rsidRDefault="00B54D51" w:rsidP="00401C67">
            <w:pPr>
              <w:rPr>
                <w:rFonts w:asciiTheme="minorHAnsi" w:hAnsiTheme="minorHAnsi" w:cstheme="minorHAnsi"/>
              </w:rPr>
            </w:pPr>
          </w:p>
          <w:p w14:paraId="5C297F0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-0.11 </w:t>
            </w:r>
          </w:p>
        </w:tc>
        <w:tc>
          <w:tcPr>
            <w:tcW w:w="1710" w:type="dxa"/>
          </w:tcPr>
          <w:p w14:paraId="3EFC2E80" w14:textId="77777777" w:rsidR="00B54D51" w:rsidRPr="00037AD4" w:rsidRDefault="00B54D51" w:rsidP="00401C67">
            <w:pPr>
              <w:rPr>
                <w:rFonts w:asciiTheme="minorHAnsi" w:hAnsiTheme="minorHAnsi" w:cstheme="minorHAnsi"/>
              </w:rPr>
            </w:pPr>
          </w:p>
          <w:p w14:paraId="6B90CC5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-0.13 </w:t>
            </w:r>
          </w:p>
          <w:p w14:paraId="2CFC6918" w14:textId="77777777" w:rsidR="00B54D51" w:rsidRPr="00037AD4" w:rsidRDefault="00B54D51" w:rsidP="00401C67">
            <w:pPr>
              <w:rPr>
                <w:rFonts w:asciiTheme="minorHAnsi" w:hAnsiTheme="minorHAnsi" w:cstheme="minorHAnsi"/>
              </w:rPr>
            </w:pPr>
          </w:p>
          <w:p w14:paraId="6A5893C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w:t>
            </w:r>
          </w:p>
          <w:p w14:paraId="632B6116" w14:textId="77777777" w:rsidR="00B54D51" w:rsidRPr="00037AD4" w:rsidRDefault="00B54D51" w:rsidP="00401C67">
            <w:pPr>
              <w:rPr>
                <w:rFonts w:asciiTheme="minorHAnsi" w:hAnsiTheme="minorHAnsi" w:cstheme="minorHAnsi"/>
              </w:rPr>
            </w:pPr>
          </w:p>
          <w:p w14:paraId="1238709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-0.26* </w:t>
            </w:r>
          </w:p>
        </w:tc>
      </w:tr>
      <w:tr w:rsidR="00B54D51" w:rsidRPr="00037AD4" w14:paraId="04EA0355" w14:textId="77777777" w:rsidTr="00401C67">
        <w:tc>
          <w:tcPr>
            <w:tcW w:w="1721" w:type="dxa"/>
          </w:tcPr>
          <w:p w14:paraId="6D9882FE" w14:textId="77777777" w:rsidR="00B54D51" w:rsidRPr="00037AD4" w:rsidRDefault="00B54D51" w:rsidP="00401C67">
            <w:pPr>
              <w:rPr>
                <w:rFonts w:asciiTheme="minorHAnsi" w:hAnsiTheme="minorHAnsi" w:cstheme="minorHAnsi"/>
                <w:i/>
                <w:iCs/>
              </w:rPr>
            </w:pPr>
            <w:r w:rsidRPr="00037AD4">
              <w:rPr>
                <w:rFonts w:asciiTheme="minorHAnsi" w:hAnsiTheme="minorHAnsi" w:cstheme="minorHAnsi"/>
                <w:i/>
                <w:iCs/>
              </w:rPr>
              <w:t>NPI-Q change</w:t>
            </w:r>
          </w:p>
          <w:p w14:paraId="0EE6371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PwD</w:t>
            </w:r>
          </w:p>
          <w:p w14:paraId="30DB7D7D" w14:textId="77777777" w:rsidR="00B54D51" w:rsidRPr="00037AD4" w:rsidRDefault="00B54D51" w:rsidP="00401C67">
            <w:pPr>
              <w:rPr>
                <w:rFonts w:asciiTheme="minorHAnsi" w:hAnsiTheme="minorHAnsi" w:cstheme="minorHAnsi"/>
              </w:rPr>
            </w:pPr>
          </w:p>
          <w:p w14:paraId="6F69F6F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Informal proxy</w:t>
            </w:r>
          </w:p>
        </w:tc>
        <w:tc>
          <w:tcPr>
            <w:tcW w:w="581" w:type="dxa"/>
          </w:tcPr>
          <w:p w14:paraId="4F34DB77" w14:textId="77777777" w:rsidR="00B54D51" w:rsidRPr="00037AD4" w:rsidRDefault="00B54D51" w:rsidP="00401C67">
            <w:pPr>
              <w:rPr>
                <w:rFonts w:asciiTheme="minorHAnsi" w:hAnsiTheme="minorHAnsi" w:cstheme="minorHAnsi"/>
              </w:rPr>
            </w:pPr>
          </w:p>
          <w:p w14:paraId="39D44DC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296</w:t>
            </w:r>
          </w:p>
          <w:p w14:paraId="20B9AF0E" w14:textId="77777777" w:rsidR="00B54D51" w:rsidRPr="00037AD4" w:rsidRDefault="00B54D51" w:rsidP="00401C67">
            <w:pPr>
              <w:rPr>
                <w:rFonts w:asciiTheme="minorHAnsi" w:hAnsiTheme="minorHAnsi" w:cstheme="minorHAnsi"/>
              </w:rPr>
            </w:pPr>
          </w:p>
          <w:p w14:paraId="0E7D700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345</w:t>
            </w:r>
          </w:p>
        </w:tc>
        <w:tc>
          <w:tcPr>
            <w:tcW w:w="1809" w:type="dxa"/>
          </w:tcPr>
          <w:p w14:paraId="7D404C87" w14:textId="77777777" w:rsidR="00B54D51" w:rsidRPr="00037AD4" w:rsidRDefault="00B54D51" w:rsidP="00401C67">
            <w:pPr>
              <w:rPr>
                <w:rFonts w:asciiTheme="minorHAnsi" w:hAnsiTheme="minorHAnsi" w:cstheme="minorHAnsi"/>
              </w:rPr>
            </w:pPr>
          </w:p>
          <w:p w14:paraId="26C4E4E2"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 xml:space="preserve">-0.03 </w:t>
            </w:r>
          </w:p>
          <w:p w14:paraId="6A8D861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[-0.14; 0.08]</w:t>
            </w:r>
          </w:p>
          <w:p w14:paraId="525E384F"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 xml:space="preserve">-0.23* </w:t>
            </w:r>
          </w:p>
          <w:p w14:paraId="03A316A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[-0.33; -0.13] </w:t>
            </w:r>
          </w:p>
        </w:tc>
        <w:tc>
          <w:tcPr>
            <w:tcW w:w="1789" w:type="dxa"/>
          </w:tcPr>
          <w:p w14:paraId="22A7CF7E" w14:textId="77777777" w:rsidR="00B54D51" w:rsidRPr="00037AD4" w:rsidRDefault="00B54D51" w:rsidP="00401C67">
            <w:pPr>
              <w:rPr>
                <w:rFonts w:asciiTheme="minorHAnsi" w:hAnsiTheme="minorHAnsi" w:cstheme="minorHAnsi"/>
              </w:rPr>
            </w:pPr>
          </w:p>
          <w:p w14:paraId="1ACFE6A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0.09</w:t>
            </w:r>
          </w:p>
          <w:p w14:paraId="34D11C6B" w14:textId="77777777" w:rsidR="00B54D51" w:rsidRPr="00037AD4" w:rsidRDefault="00B54D51" w:rsidP="00401C67">
            <w:pPr>
              <w:rPr>
                <w:rFonts w:asciiTheme="minorHAnsi" w:hAnsiTheme="minorHAnsi" w:cstheme="minorHAnsi"/>
              </w:rPr>
            </w:pPr>
          </w:p>
          <w:p w14:paraId="553BF6B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-0.20* </w:t>
            </w:r>
          </w:p>
        </w:tc>
        <w:tc>
          <w:tcPr>
            <w:tcW w:w="1710" w:type="dxa"/>
          </w:tcPr>
          <w:p w14:paraId="7875572C" w14:textId="77777777" w:rsidR="00B54D51" w:rsidRPr="00037AD4" w:rsidRDefault="00B54D51" w:rsidP="00401C67">
            <w:pPr>
              <w:rPr>
                <w:rFonts w:asciiTheme="minorHAnsi" w:hAnsiTheme="minorHAnsi" w:cstheme="minorHAnsi"/>
              </w:rPr>
            </w:pPr>
          </w:p>
          <w:p w14:paraId="489E1AC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-0.09 </w:t>
            </w:r>
          </w:p>
          <w:p w14:paraId="74757457" w14:textId="77777777" w:rsidR="00B54D51" w:rsidRPr="00037AD4" w:rsidRDefault="00B54D51" w:rsidP="00401C67">
            <w:pPr>
              <w:rPr>
                <w:rFonts w:asciiTheme="minorHAnsi" w:hAnsiTheme="minorHAnsi" w:cstheme="minorHAnsi"/>
              </w:rPr>
            </w:pPr>
          </w:p>
          <w:p w14:paraId="58FD351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-0.39* </w:t>
            </w:r>
          </w:p>
        </w:tc>
      </w:tr>
      <w:tr w:rsidR="00B54D51" w:rsidRPr="00037AD4" w14:paraId="45FB3FA5" w14:textId="77777777" w:rsidTr="00401C67">
        <w:tc>
          <w:tcPr>
            <w:tcW w:w="1721" w:type="dxa"/>
          </w:tcPr>
          <w:p w14:paraId="208E76CC" w14:textId="77777777" w:rsidR="00B54D51" w:rsidRPr="00037AD4" w:rsidRDefault="00B54D51" w:rsidP="00401C67">
            <w:pPr>
              <w:rPr>
                <w:rFonts w:asciiTheme="minorHAnsi" w:hAnsiTheme="minorHAnsi" w:cstheme="minorHAnsi"/>
                <w:i/>
                <w:iCs/>
              </w:rPr>
            </w:pPr>
            <w:r w:rsidRPr="00037AD4">
              <w:rPr>
                <w:rFonts w:asciiTheme="minorHAnsi" w:hAnsiTheme="minorHAnsi" w:cstheme="minorHAnsi"/>
                <w:i/>
                <w:iCs/>
              </w:rPr>
              <w:t xml:space="preserve">CSDD change </w:t>
            </w:r>
          </w:p>
          <w:p w14:paraId="14703C5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PwD </w:t>
            </w:r>
          </w:p>
          <w:p w14:paraId="30C6987D" w14:textId="77777777" w:rsidR="00B54D51" w:rsidRPr="00037AD4" w:rsidRDefault="00B54D51" w:rsidP="00401C67">
            <w:pPr>
              <w:rPr>
                <w:rFonts w:asciiTheme="minorHAnsi" w:hAnsiTheme="minorHAnsi" w:cstheme="minorHAnsi"/>
              </w:rPr>
            </w:pPr>
          </w:p>
          <w:p w14:paraId="4DD4BB9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Informal proxy</w:t>
            </w:r>
          </w:p>
        </w:tc>
        <w:tc>
          <w:tcPr>
            <w:tcW w:w="581" w:type="dxa"/>
          </w:tcPr>
          <w:p w14:paraId="752C8071" w14:textId="77777777" w:rsidR="00B54D51" w:rsidRPr="00037AD4" w:rsidRDefault="00B54D51" w:rsidP="00401C67">
            <w:pPr>
              <w:rPr>
                <w:rFonts w:asciiTheme="minorHAnsi" w:hAnsiTheme="minorHAnsi" w:cstheme="minorHAnsi"/>
              </w:rPr>
            </w:pPr>
          </w:p>
          <w:p w14:paraId="474855E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212</w:t>
            </w:r>
          </w:p>
          <w:p w14:paraId="3D154E13" w14:textId="77777777" w:rsidR="00B54D51" w:rsidRPr="00037AD4" w:rsidRDefault="00B54D51" w:rsidP="00401C67">
            <w:pPr>
              <w:rPr>
                <w:rFonts w:asciiTheme="minorHAnsi" w:hAnsiTheme="minorHAnsi" w:cstheme="minorHAnsi"/>
              </w:rPr>
            </w:pPr>
          </w:p>
          <w:p w14:paraId="7560F4B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229</w:t>
            </w:r>
          </w:p>
        </w:tc>
        <w:tc>
          <w:tcPr>
            <w:tcW w:w="1809" w:type="dxa"/>
          </w:tcPr>
          <w:p w14:paraId="2399B53A" w14:textId="77777777" w:rsidR="00B54D51" w:rsidRPr="00037AD4" w:rsidRDefault="00B54D51" w:rsidP="00401C67">
            <w:pPr>
              <w:rPr>
                <w:rFonts w:asciiTheme="minorHAnsi" w:hAnsiTheme="minorHAnsi" w:cstheme="minorHAnsi"/>
              </w:rPr>
            </w:pPr>
          </w:p>
          <w:p w14:paraId="5ACA3F52" w14:textId="77777777" w:rsidR="00B54D51" w:rsidRPr="00037AD4" w:rsidRDefault="00B54D51" w:rsidP="00401C67">
            <w:pPr>
              <w:rPr>
                <w:rFonts w:asciiTheme="minorHAnsi" w:hAnsiTheme="minorHAnsi" w:cstheme="minorHAnsi"/>
              </w:rPr>
            </w:pPr>
            <w:r w:rsidRPr="00037AD4">
              <w:rPr>
                <w:rFonts w:asciiTheme="minorHAnsi" w:hAnsiTheme="minorHAnsi" w:cstheme="minorHAnsi"/>
                <w:b/>
                <w:bCs/>
              </w:rPr>
              <w:t>-0.01</w:t>
            </w:r>
            <w:r w:rsidRPr="00037AD4">
              <w:rPr>
                <w:rFonts w:asciiTheme="minorHAnsi" w:hAnsiTheme="minorHAnsi" w:cstheme="minorHAnsi"/>
              </w:rPr>
              <w:t xml:space="preserve"> </w:t>
            </w:r>
          </w:p>
          <w:p w14:paraId="1BEC110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[-0.14; 0.13] </w:t>
            </w:r>
          </w:p>
          <w:p w14:paraId="4A56AE2F" w14:textId="77777777" w:rsidR="00B54D51" w:rsidRPr="00037AD4" w:rsidRDefault="00B54D51" w:rsidP="00401C67">
            <w:pPr>
              <w:rPr>
                <w:rFonts w:asciiTheme="minorHAnsi" w:hAnsiTheme="minorHAnsi" w:cstheme="minorHAnsi"/>
              </w:rPr>
            </w:pPr>
            <w:r w:rsidRPr="00037AD4">
              <w:rPr>
                <w:rFonts w:asciiTheme="minorHAnsi" w:hAnsiTheme="minorHAnsi" w:cstheme="minorHAnsi"/>
                <w:b/>
                <w:bCs/>
              </w:rPr>
              <w:t>-0.17*</w:t>
            </w:r>
            <w:r w:rsidRPr="00037AD4">
              <w:rPr>
                <w:rFonts w:asciiTheme="minorHAnsi" w:hAnsiTheme="minorHAnsi" w:cstheme="minorHAnsi"/>
              </w:rPr>
              <w:t xml:space="preserve"> </w:t>
            </w:r>
          </w:p>
          <w:p w14:paraId="7A651D1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[-0.30; -0.05] </w:t>
            </w:r>
          </w:p>
        </w:tc>
        <w:tc>
          <w:tcPr>
            <w:tcW w:w="1789" w:type="dxa"/>
          </w:tcPr>
          <w:p w14:paraId="1419B0EF" w14:textId="77777777" w:rsidR="00B54D51" w:rsidRPr="00037AD4" w:rsidRDefault="00B54D51" w:rsidP="00401C67">
            <w:pPr>
              <w:rPr>
                <w:rFonts w:asciiTheme="minorHAnsi" w:hAnsiTheme="minorHAnsi" w:cstheme="minorHAnsi"/>
              </w:rPr>
            </w:pPr>
          </w:p>
          <w:p w14:paraId="38A56F8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-0.06 </w:t>
            </w:r>
          </w:p>
          <w:p w14:paraId="3DB387EC" w14:textId="77777777" w:rsidR="00B54D51" w:rsidRPr="00037AD4" w:rsidRDefault="00B54D51" w:rsidP="00401C67">
            <w:pPr>
              <w:rPr>
                <w:rFonts w:asciiTheme="minorHAnsi" w:hAnsiTheme="minorHAnsi" w:cstheme="minorHAnsi"/>
              </w:rPr>
            </w:pPr>
          </w:p>
          <w:p w14:paraId="2B723D5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-0.25* </w:t>
            </w:r>
          </w:p>
        </w:tc>
        <w:tc>
          <w:tcPr>
            <w:tcW w:w="1710" w:type="dxa"/>
          </w:tcPr>
          <w:p w14:paraId="58A79C20" w14:textId="77777777" w:rsidR="00B54D51" w:rsidRPr="00037AD4" w:rsidRDefault="00B54D51" w:rsidP="00401C67">
            <w:pPr>
              <w:rPr>
                <w:rFonts w:asciiTheme="minorHAnsi" w:hAnsiTheme="minorHAnsi" w:cstheme="minorHAnsi"/>
              </w:rPr>
            </w:pPr>
          </w:p>
          <w:p w14:paraId="311D64F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0.08 </w:t>
            </w:r>
          </w:p>
          <w:p w14:paraId="4FB67247" w14:textId="77777777" w:rsidR="00B54D51" w:rsidRPr="00037AD4" w:rsidRDefault="00B54D51" w:rsidP="00401C67">
            <w:pPr>
              <w:rPr>
                <w:rFonts w:asciiTheme="minorHAnsi" w:hAnsiTheme="minorHAnsi" w:cstheme="minorHAnsi"/>
              </w:rPr>
            </w:pPr>
          </w:p>
          <w:p w14:paraId="254AE9E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-0.03 </w:t>
            </w:r>
          </w:p>
        </w:tc>
      </w:tr>
      <w:tr w:rsidR="00B54D51" w:rsidRPr="00037AD4" w14:paraId="0FBC7B57" w14:textId="77777777" w:rsidTr="00401C67">
        <w:tc>
          <w:tcPr>
            <w:tcW w:w="1721" w:type="dxa"/>
          </w:tcPr>
          <w:p w14:paraId="52C56DCA" w14:textId="77777777" w:rsidR="00B54D51" w:rsidRPr="00037AD4" w:rsidRDefault="00B54D51" w:rsidP="00401C67">
            <w:pPr>
              <w:rPr>
                <w:rFonts w:asciiTheme="minorHAnsi" w:hAnsiTheme="minorHAnsi" w:cstheme="minorHAnsi"/>
                <w:i/>
                <w:iCs/>
              </w:rPr>
            </w:pPr>
            <w:r w:rsidRPr="00037AD4">
              <w:rPr>
                <w:rFonts w:asciiTheme="minorHAnsi" w:hAnsiTheme="minorHAnsi" w:cstheme="minorHAnsi"/>
                <w:i/>
                <w:iCs/>
              </w:rPr>
              <w:t xml:space="preserve">BADLS change </w:t>
            </w:r>
          </w:p>
          <w:p w14:paraId="7B11B7D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PwD </w:t>
            </w:r>
          </w:p>
          <w:p w14:paraId="71C6D506" w14:textId="77777777" w:rsidR="00B54D51" w:rsidRPr="00037AD4" w:rsidRDefault="00B54D51" w:rsidP="00401C67">
            <w:pPr>
              <w:rPr>
                <w:rFonts w:asciiTheme="minorHAnsi" w:hAnsiTheme="minorHAnsi" w:cstheme="minorHAnsi"/>
              </w:rPr>
            </w:pPr>
          </w:p>
          <w:p w14:paraId="73E7353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Informal proxy </w:t>
            </w:r>
          </w:p>
        </w:tc>
        <w:tc>
          <w:tcPr>
            <w:tcW w:w="581" w:type="dxa"/>
          </w:tcPr>
          <w:p w14:paraId="07F2ABA6" w14:textId="77777777" w:rsidR="00B54D51" w:rsidRPr="00037AD4" w:rsidRDefault="00B54D51" w:rsidP="00401C67">
            <w:pPr>
              <w:rPr>
                <w:rFonts w:asciiTheme="minorHAnsi" w:hAnsiTheme="minorHAnsi" w:cstheme="minorHAnsi"/>
              </w:rPr>
            </w:pPr>
          </w:p>
          <w:p w14:paraId="03AFB93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276</w:t>
            </w:r>
          </w:p>
          <w:p w14:paraId="0761A936" w14:textId="77777777" w:rsidR="00B54D51" w:rsidRPr="00037AD4" w:rsidRDefault="00B54D51" w:rsidP="00401C67">
            <w:pPr>
              <w:rPr>
                <w:rFonts w:asciiTheme="minorHAnsi" w:hAnsiTheme="minorHAnsi" w:cstheme="minorHAnsi"/>
              </w:rPr>
            </w:pPr>
          </w:p>
          <w:p w14:paraId="48A5268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307</w:t>
            </w:r>
          </w:p>
        </w:tc>
        <w:tc>
          <w:tcPr>
            <w:tcW w:w="1809" w:type="dxa"/>
          </w:tcPr>
          <w:p w14:paraId="02C2EAF3" w14:textId="77777777" w:rsidR="00B54D51" w:rsidRPr="00037AD4" w:rsidRDefault="00B54D51" w:rsidP="00401C67">
            <w:pPr>
              <w:rPr>
                <w:rFonts w:asciiTheme="minorHAnsi" w:hAnsiTheme="minorHAnsi" w:cstheme="minorHAnsi"/>
              </w:rPr>
            </w:pPr>
          </w:p>
          <w:p w14:paraId="0ABC15B7"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 xml:space="preserve">-0.18* </w:t>
            </w:r>
          </w:p>
          <w:p w14:paraId="6C99D21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[0.06; 0.29]</w:t>
            </w:r>
          </w:p>
          <w:p w14:paraId="641EA20D"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 xml:space="preserve">-0.42* </w:t>
            </w:r>
          </w:p>
          <w:p w14:paraId="063BC3A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[0.32; 0.51]</w:t>
            </w:r>
          </w:p>
        </w:tc>
        <w:tc>
          <w:tcPr>
            <w:tcW w:w="1789" w:type="dxa"/>
          </w:tcPr>
          <w:p w14:paraId="3DCD01CE" w14:textId="77777777" w:rsidR="00B54D51" w:rsidRPr="00037AD4" w:rsidRDefault="00B54D51" w:rsidP="00401C67">
            <w:pPr>
              <w:rPr>
                <w:rFonts w:asciiTheme="minorHAnsi" w:hAnsiTheme="minorHAnsi" w:cstheme="minorHAnsi"/>
              </w:rPr>
            </w:pPr>
          </w:p>
          <w:p w14:paraId="7CCB218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-0.12</w:t>
            </w:r>
          </w:p>
          <w:p w14:paraId="17D18B17" w14:textId="77777777" w:rsidR="00B54D51" w:rsidRPr="00037AD4" w:rsidRDefault="00B54D51" w:rsidP="00401C67">
            <w:pPr>
              <w:rPr>
                <w:rFonts w:asciiTheme="minorHAnsi" w:hAnsiTheme="minorHAnsi" w:cstheme="minorHAnsi"/>
              </w:rPr>
            </w:pPr>
          </w:p>
          <w:p w14:paraId="5CD1A56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-0.42* </w:t>
            </w:r>
          </w:p>
        </w:tc>
        <w:tc>
          <w:tcPr>
            <w:tcW w:w="1710" w:type="dxa"/>
          </w:tcPr>
          <w:p w14:paraId="71C45003" w14:textId="77777777" w:rsidR="00B54D51" w:rsidRPr="00037AD4" w:rsidRDefault="00B54D51" w:rsidP="00401C67">
            <w:pPr>
              <w:rPr>
                <w:rFonts w:asciiTheme="minorHAnsi" w:hAnsiTheme="minorHAnsi" w:cstheme="minorHAnsi"/>
              </w:rPr>
            </w:pPr>
          </w:p>
          <w:p w14:paraId="133E883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-0.34* </w:t>
            </w:r>
          </w:p>
          <w:p w14:paraId="60FD5D75" w14:textId="77777777" w:rsidR="00B54D51" w:rsidRPr="00037AD4" w:rsidRDefault="00B54D51" w:rsidP="00401C67">
            <w:pPr>
              <w:rPr>
                <w:rFonts w:asciiTheme="minorHAnsi" w:hAnsiTheme="minorHAnsi" w:cstheme="minorHAnsi"/>
              </w:rPr>
            </w:pPr>
          </w:p>
          <w:p w14:paraId="72F72E6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-0.38* </w:t>
            </w:r>
          </w:p>
        </w:tc>
      </w:tr>
      <w:tr w:rsidR="00B54D51" w:rsidRPr="00037AD4" w14:paraId="68224EA5" w14:textId="77777777" w:rsidTr="00401C67">
        <w:tc>
          <w:tcPr>
            <w:tcW w:w="1721" w:type="dxa"/>
          </w:tcPr>
          <w:p w14:paraId="4CD4828F" w14:textId="77777777" w:rsidR="00B54D51" w:rsidRPr="00037AD4" w:rsidRDefault="00B54D51" w:rsidP="00401C67">
            <w:pPr>
              <w:rPr>
                <w:rFonts w:asciiTheme="minorHAnsi" w:hAnsiTheme="minorHAnsi" w:cstheme="minorHAnsi"/>
                <w:i/>
                <w:iCs/>
              </w:rPr>
            </w:pPr>
            <w:r w:rsidRPr="00037AD4">
              <w:rPr>
                <w:rFonts w:asciiTheme="minorHAnsi" w:hAnsiTheme="minorHAnsi" w:cstheme="minorHAnsi"/>
                <w:i/>
                <w:iCs/>
              </w:rPr>
              <w:t>IADL-PSMS change</w:t>
            </w:r>
          </w:p>
          <w:p w14:paraId="0FA18C8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PwD </w:t>
            </w:r>
          </w:p>
          <w:p w14:paraId="43980190" w14:textId="77777777" w:rsidR="00B54D51" w:rsidRPr="00037AD4" w:rsidRDefault="00B54D51" w:rsidP="00401C67">
            <w:pPr>
              <w:rPr>
                <w:rFonts w:asciiTheme="minorHAnsi" w:hAnsiTheme="minorHAnsi" w:cstheme="minorHAnsi"/>
              </w:rPr>
            </w:pPr>
          </w:p>
          <w:p w14:paraId="3980BCD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Informal proxy </w:t>
            </w:r>
          </w:p>
        </w:tc>
        <w:tc>
          <w:tcPr>
            <w:tcW w:w="581" w:type="dxa"/>
          </w:tcPr>
          <w:p w14:paraId="1AD9618B" w14:textId="77777777" w:rsidR="00B54D51" w:rsidRPr="00037AD4" w:rsidRDefault="00B54D51" w:rsidP="00401C67">
            <w:pPr>
              <w:rPr>
                <w:rFonts w:asciiTheme="minorHAnsi" w:hAnsiTheme="minorHAnsi" w:cstheme="minorHAnsi"/>
              </w:rPr>
            </w:pPr>
          </w:p>
          <w:p w14:paraId="207FD861" w14:textId="77777777" w:rsidR="00B54D51" w:rsidRPr="00037AD4" w:rsidRDefault="00B54D51" w:rsidP="00401C67">
            <w:pPr>
              <w:rPr>
                <w:rFonts w:asciiTheme="minorHAnsi" w:hAnsiTheme="minorHAnsi" w:cstheme="minorHAnsi"/>
              </w:rPr>
            </w:pPr>
          </w:p>
          <w:p w14:paraId="639CD4A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282</w:t>
            </w:r>
          </w:p>
          <w:p w14:paraId="12962B10" w14:textId="77777777" w:rsidR="00B54D51" w:rsidRPr="00037AD4" w:rsidRDefault="00B54D51" w:rsidP="00401C67">
            <w:pPr>
              <w:rPr>
                <w:rFonts w:asciiTheme="minorHAnsi" w:hAnsiTheme="minorHAnsi" w:cstheme="minorHAnsi"/>
              </w:rPr>
            </w:pPr>
          </w:p>
          <w:p w14:paraId="25FEC0F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328</w:t>
            </w:r>
          </w:p>
        </w:tc>
        <w:tc>
          <w:tcPr>
            <w:tcW w:w="1809" w:type="dxa"/>
          </w:tcPr>
          <w:p w14:paraId="393E318E" w14:textId="77777777" w:rsidR="00B54D51" w:rsidRPr="00037AD4" w:rsidRDefault="00B54D51" w:rsidP="00401C67">
            <w:pPr>
              <w:rPr>
                <w:rFonts w:asciiTheme="minorHAnsi" w:hAnsiTheme="minorHAnsi" w:cstheme="minorHAnsi"/>
              </w:rPr>
            </w:pPr>
          </w:p>
          <w:p w14:paraId="21FFDC4B" w14:textId="77777777" w:rsidR="00B54D51" w:rsidRPr="00037AD4" w:rsidRDefault="00B54D51" w:rsidP="00401C67">
            <w:pPr>
              <w:rPr>
                <w:rFonts w:asciiTheme="minorHAnsi" w:hAnsiTheme="minorHAnsi" w:cstheme="minorHAnsi"/>
              </w:rPr>
            </w:pPr>
          </w:p>
          <w:p w14:paraId="6FB2FC90"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 xml:space="preserve">-0.03 </w:t>
            </w:r>
          </w:p>
          <w:p w14:paraId="40901FE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[-0.15; 0.08]</w:t>
            </w:r>
          </w:p>
          <w:p w14:paraId="74253ABB"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 xml:space="preserve">0.33 </w:t>
            </w:r>
          </w:p>
          <w:p w14:paraId="534B194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lastRenderedPageBreak/>
              <w:t>[0.23; 0.42]</w:t>
            </w:r>
          </w:p>
        </w:tc>
        <w:tc>
          <w:tcPr>
            <w:tcW w:w="1789" w:type="dxa"/>
          </w:tcPr>
          <w:p w14:paraId="0314E69A" w14:textId="77777777" w:rsidR="00B54D51" w:rsidRPr="00037AD4" w:rsidRDefault="00B54D51" w:rsidP="00401C67">
            <w:pPr>
              <w:rPr>
                <w:rFonts w:asciiTheme="minorHAnsi" w:hAnsiTheme="minorHAnsi" w:cstheme="minorHAnsi"/>
              </w:rPr>
            </w:pPr>
          </w:p>
          <w:p w14:paraId="53DF4B74" w14:textId="77777777" w:rsidR="00B54D51" w:rsidRPr="00037AD4" w:rsidRDefault="00B54D51" w:rsidP="00401C67">
            <w:pPr>
              <w:rPr>
                <w:rFonts w:asciiTheme="minorHAnsi" w:hAnsiTheme="minorHAnsi" w:cstheme="minorHAnsi"/>
              </w:rPr>
            </w:pPr>
          </w:p>
          <w:p w14:paraId="385E931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-0.02</w:t>
            </w:r>
          </w:p>
          <w:p w14:paraId="1F3E6E38" w14:textId="77777777" w:rsidR="00B54D51" w:rsidRPr="00037AD4" w:rsidRDefault="00B54D51" w:rsidP="00401C67">
            <w:pPr>
              <w:rPr>
                <w:rFonts w:asciiTheme="minorHAnsi" w:hAnsiTheme="minorHAnsi" w:cstheme="minorHAnsi"/>
              </w:rPr>
            </w:pPr>
          </w:p>
          <w:p w14:paraId="3917140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0.31* </w:t>
            </w:r>
          </w:p>
        </w:tc>
        <w:tc>
          <w:tcPr>
            <w:tcW w:w="1710" w:type="dxa"/>
          </w:tcPr>
          <w:p w14:paraId="4568983A" w14:textId="77777777" w:rsidR="00B54D51" w:rsidRPr="00037AD4" w:rsidRDefault="00B54D51" w:rsidP="00401C67">
            <w:pPr>
              <w:rPr>
                <w:rFonts w:asciiTheme="minorHAnsi" w:hAnsiTheme="minorHAnsi" w:cstheme="minorHAnsi"/>
              </w:rPr>
            </w:pPr>
          </w:p>
          <w:p w14:paraId="58A4C5AE" w14:textId="77777777" w:rsidR="00B54D51" w:rsidRPr="00037AD4" w:rsidRDefault="00B54D51" w:rsidP="00401C67">
            <w:pPr>
              <w:rPr>
                <w:rFonts w:asciiTheme="minorHAnsi" w:hAnsiTheme="minorHAnsi" w:cstheme="minorHAnsi"/>
              </w:rPr>
            </w:pPr>
          </w:p>
          <w:p w14:paraId="4440918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-0.04 </w:t>
            </w:r>
          </w:p>
          <w:p w14:paraId="7C1BE8C4" w14:textId="77777777" w:rsidR="00B54D51" w:rsidRPr="00037AD4" w:rsidRDefault="00B54D51" w:rsidP="00401C67">
            <w:pPr>
              <w:rPr>
                <w:rFonts w:asciiTheme="minorHAnsi" w:hAnsiTheme="minorHAnsi" w:cstheme="minorHAnsi"/>
              </w:rPr>
            </w:pPr>
          </w:p>
          <w:p w14:paraId="55BDA9A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0.17</w:t>
            </w:r>
          </w:p>
        </w:tc>
      </w:tr>
      <w:tr w:rsidR="00B54D51" w:rsidRPr="00037AD4" w14:paraId="2546D66C" w14:textId="77777777" w:rsidTr="00401C67">
        <w:tc>
          <w:tcPr>
            <w:tcW w:w="1721" w:type="dxa"/>
          </w:tcPr>
          <w:p w14:paraId="07300E20" w14:textId="77777777" w:rsidR="00B54D51" w:rsidRPr="00037AD4" w:rsidRDefault="00B54D51" w:rsidP="00401C67">
            <w:pPr>
              <w:rPr>
                <w:rFonts w:asciiTheme="minorHAnsi" w:hAnsiTheme="minorHAnsi" w:cstheme="minorHAnsi"/>
                <w:i/>
                <w:iCs/>
              </w:rPr>
            </w:pPr>
            <w:r w:rsidRPr="00037AD4">
              <w:rPr>
                <w:rFonts w:asciiTheme="minorHAnsi" w:hAnsiTheme="minorHAnsi" w:cstheme="minorHAnsi"/>
                <w:i/>
                <w:iCs/>
              </w:rPr>
              <w:t xml:space="preserve">FAST change </w:t>
            </w:r>
          </w:p>
          <w:p w14:paraId="599A909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PwD </w:t>
            </w:r>
          </w:p>
          <w:p w14:paraId="19AA5FE1" w14:textId="77777777" w:rsidR="00B54D51" w:rsidRPr="00037AD4" w:rsidRDefault="00B54D51" w:rsidP="00401C67">
            <w:pPr>
              <w:rPr>
                <w:rFonts w:asciiTheme="minorHAnsi" w:hAnsiTheme="minorHAnsi" w:cstheme="minorHAnsi"/>
              </w:rPr>
            </w:pPr>
          </w:p>
          <w:p w14:paraId="382CFED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Informal proxy</w:t>
            </w:r>
          </w:p>
          <w:p w14:paraId="3139A8F1" w14:textId="77777777" w:rsidR="00B54D51" w:rsidRPr="00037AD4" w:rsidRDefault="00B54D51" w:rsidP="00401C67">
            <w:pPr>
              <w:rPr>
                <w:rFonts w:asciiTheme="minorHAnsi" w:hAnsiTheme="minorHAnsi" w:cstheme="minorHAnsi"/>
              </w:rPr>
            </w:pPr>
          </w:p>
          <w:p w14:paraId="0C1304C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Staff proxy </w:t>
            </w:r>
          </w:p>
        </w:tc>
        <w:tc>
          <w:tcPr>
            <w:tcW w:w="581" w:type="dxa"/>
          </w:tcPr>
          <w:p w14:paraId="50AB67B0" w14:textId="77777777" w:rsidR="00B54D51" w:rsidRPr="00037AD4" w:rsidRDefault="00B54D51" w:rsidP="00401C67">
            <w:pPr>
              <w:rPr>
                <w:rFonts w:asciiTheme="minorHAnsi" w:hAnsiTheme="minorHAnsi" w:cstheme="minorHAnsi"/>
              </w:rPr>
            </w:pPr>
          </w:p>
          <w:p w14:paraId="5AB5AE8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121</w:t>
            </w:r>
          </w:p>
          <w:p w14:paraId="06F4E728" w14:textId="77777777" w:rsidR="00B54D51" w:rsidRPr="00037AD4" w:rsidRDefault="00B54D51" w:rsidP="00401C67">
            <w:pPr>
              <w:rPr>
                <w:rFonts w:asciiTheme="minorHAnsi" w:hAnsiTheme="minorHAnsi" w:cstheme="minorHAnsi"/>
              </w:rPr>
            </w:pPr>
          </w:p>
          <w:p w14:paraId="7C549DE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56</w:t>
            </w:r>
          </w:p>
          <w:p w14:paraId="553AA5D8" w14:textId="77777777" w:rsidR="00B54D51" w:rsidRPr="00037AD4" w:rsidRDefault="00B54D51" w:rsidP="00401C67">
            <w:pPr>
              <w:rPr>
                <w:rFonts w:asciiTheme="minorHAnsi" w:hAnsiTheme="minorHAnsi" w:cstheme="minorHAnsi"/>
              </w:rPr>
            </w:pPr>
          </w:p>
          <w:p w14:paraId="45F9444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378</w:t>
            </w:r>
          </w:p>
        </w:tc>
        <w:tc>
          <w:tcPr>
            <w:tcW w:w="1809" w:type="dxa"/>
          </w:tcPr>
          <w:p w14:paraId="06BD5ED1" w14:textId="77777777" w:rsidR="00B54D51" w:rsidRPr="00037AD4" w:rsidRDefault="00B54D51" w:rsidP="00401C67">
            <w:pPr>
              <w:rPr>
                <w:rFonts w:asciiTheme="minorHAnsi" w:hAnsiTheme="minorHAnsi" w:cstheme="minorHAnsi"/>
              </w:rPr>
            </w:pPr>
          </w:p>
          <w:p w14:paraId="29EB378B" w14:textId="77777777" w:rsidR="00B54D51" w:rsidRPr="00037AD4" w:rsidRDefault="00B54D51" w:rsidP="00401C67">
            <w:pPr>
              <w:tabs>
                <w:tab w:val="left" w:pos="1674"/>
              </w:tabs>
              <w:rPr>
                <w:rFonts w:asciiTheme="minorHAnsi" w:hAnsiTheme="minorHAnsi" w:cstheme="minorHAnsi"/>
                <w:b/>
                <w:bCs/>
              </w:rPr>
            </w:pPr>
            <w:r w:rsidRPr="00037AD4">
              <w:rPr>
                <w:rFonts w:asciiTheme="minorHAnsi" w:hAnsiTheme="minorHAnsi" w:cstheme="minorHAnsi"/>
                <w:b/>
                <w:bCs/>
              </w:rPr>
              <w:t xml:space="preserve">0.07 </w:t>
            </w:r>
          </w:p>
          <w:p w14:paraId="3FBE8B24" w14:textId="77777777" w:rsidR="00B54D51" w:rsidRPr="00037AD4" w:rsidRDefault="00B54D51" w:rsidP="00401C67">
            <w:pPr>
              <w:tabs>
                <w:tab w:val="left" w:pos="1674"/>
              </w:tabs>
              <w:rPr>
                <w:rFonts w:asciiTheme="minorHAnsi" w:hAnsiTheme="minorHAnsi" w:cstheme="minorHAnsi"/>
              </w:rPr>
            </w:pPr>
            <w:r w:rsidRPr="00037AD4">
              <w:rPr>
                <w:rFonts w:asciiTheme="minorHAnsi" w:hAnsiTheme="minorHAnsi" w:cstheme="minorHAnsi"/>
              </w:rPr>
              <w:t>[-0.11; 0.24]-</w:t>
            </w:r>
            <w:r w:rsidRPr="00037AD4">
              <w:rPr>
                <w:rFonts w:asciiTheme="minorHAnsi" w:hAnsiTheme="minorHAnsi" w:cstheme="minorHAnsi"/>
                <w:b/>
                <w:bCs/>
              </w:rPr>
              <w:t>0.14*</w:t>
            </w:r>
            <w:r w:rsidRPr="00037AD4">
              <w:rPr>
                <w:rFonts w:asciiTheme="minorHAnsi" w:hAnsiTheme="minorHAnsi" w:cstheme="minorHAnsi"/>
              </w:rPr>
              <w:t xml:space="preserve"> </w:t>
            </w:r>
          </w:p>
          <w:p w14:paraId="0BECAE09" w14:textId="77777777" w:rsidR="00B54D51" w:rsidRPr="00037AD4" w:rsidRDefault="00B54D51" w:rsidP="00401C67">
            <w:pPr>
              <w:tabs>
                <w:tab w:val="left" w:pos="1674"/>
              </w:tabs>
              <w:rPr>
                <w:rFonts w:asciiTheme="minorHAnsi" w:hAnsiTheme="minorHAnsi" w:cstheme="minorHAnsi"/>
              </w:rPr>
            </w:pPr>
            <w:r w:rsidRPr="00037AD4">
              <w:rPr>
                <w:rFonts w:asciiTheme="minorHAnsi" w:hAnsiTheme="minorHAnsi" w:cstheme="minorHAnsi"/>
              </w:rPr>
              <w:t>[-0.39; 0.13]</w:t>
            </w:r>
          </w:p>
          <w:p w14:paraId="11DD4D77"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 xml:space="preserve">-0.12* </w:t>
            </w:r>
          </w:p>
          <w:p w14:paraId="71F1789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[-0.21; -0.02] </w:t>
            </w:r>
          </w:p>
        </w:tc>
        <w:tc>
          <w:tcPr>
            <w:tcW w:w="1789" w:type="dxa"/>
          </w:tcPr>
          <w:p w14:paraId="57AB1E34" w14:textId="77777777" w:rsidR="00B54D51" w:rsidRPr="00037AD4" w:rsidRDefault="00B54D51" w:rsidP="00401C67">
            <w:pPr>
              <w:rPr>
                <w:rFonts w:asciiTheme="minorHAnsi" w:hAnsiTheme="minorHAnsi" w:cstheme="minorHAnsi"/>
              </w:rPr>
            </w:pPr>
          </w:p>
          <w:p w14:paraId="5AB28E5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0.10</w:t>
            </w:r>
          </w:p>
          <w:p w14:paraId="0F0AF367" w14:textId="77777777" w:rsidR="00B54D51" w:rsidRPr="00037AD4" w:rsidRDefault="00B54D51" w:rsidP="00401C67">
            <w:pPr>
              <w:rPr>
                <w:rFonts w:asciiTheme="minorHAnsi" w:hAnsiTheme="minorHAnsi" w:cstheme="minorHAnsi"/>
              </w:rPr>
            </w:pPr>
          </w:p>
          <w:p w14:paraId="3228637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0.08</w:t>
            </w:r>
          </w:p>
          <w:p w14:paraId="527C12FC" w14:textId="77777777" w:rsidR="00B54D51" w:rsidRPr="00037AD4" w:rsidRDefault="00B54D51" w:rsidP="00401C67">
            <w:pPr>
              <w:rPr>
                <w:rFonts w:asciiTheme="minorHAnsi" w:hAnsiTheme="minorHAnsi" w:cstheme="minorHAnsi"/>
              </w:rPr>
            </w:pPr>
          </w:p>
          <w:p w14:paraId="7CF1301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-0.23</w:t>
            </w:r>
          </w:p>
        </w:tc>
        <w:tc>
          <w:tcPr>
            <w:tcW w:w="1710" w:type="dxa"/>
          </w:tcPr>
          <w:p w14:paraId="4BCE43A2" w14:textId="77777777" w:rsidR="00B54D51" w:rsidRPr="00037AD4" w:rsidRDefault="00B54D51" w:rsidP="00401C67">
            <w:pPr>
              <w:rPr>
                <w:rFonts w:asciiTheme="minorHAnsi" w:hAnsiTheme="minorHAnsi" w:cstheme="minorHAnsi"/>
              </w:rPr>
            </w:pPr>
          </w:p>
          <w:p w14:paraId="43058C1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0.05</w:t>
            </w:r>
          </w:p>
          <w:p w14:paraId="46DB6FCC" w14:textId="77777777" w:rsidR="00B54D51" w:rsidRPr="00037AD4" w:rsidRDefault="00B54D51" w:rsidP="00401C67">
            <w:pPr>
              <w:rPr>
                <w:rFonts w:asciiTheme="minorHAnsi" w:hAnsiTheme="minorHAnsi" w:cstheme="minorHAnsi"/>
              </w:rPr>
            </w:pPr>
          </w:p>
          <w:p w14:paraId="6B5CB61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-0.23 </w:t>
            </w:r>
          </w:p>
          <w:p w14:paraId="5EC31135" w14:textId="77777777" w:rsidR="00B54D51" w:rsidRPr="00037AD4" w:rsidRDefault="00B54D51" w:rsidP="00401C67">
            <w:pPr>
              <w:rPr>
                <w:rFonts w:asciiTheme="minorHAnsi" w:hAnsiTheme="minorHAnsi" w:cstheme="minorHAnsi"/>
              </w:rPr>
            </w:pPr>
          </w:p>
          <w:p w14:paraId="7C78119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-0.08</w:t>
            </w:r>
          </w:p>
        </w:tc>
      </w:tr>
      <w:tr w:rsidR="00B54D51" w:rsidRPr="00037AD4" w14:paraId="7B8018BF" w14:textId="77777777" w:rsidTr="00401C67">
        <w:trPr>
          <w:trHeight w:val="63"/>
        </w:trPr>
        <w:tc>
          <w:tcPr>
            <w:tcW w:w="7610" w:type="dxa"/>
            <w:gridSpan w:val="5"/>
          </w:tcPr>
          <w:p w14:paraId="299CB2B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**CDR at T0 for CSDD and BADLS assessments due to lack of follow-up CDR data in REMCARE </w:t>
            </w:r>
          </w:p>
        </w:tc>
      </w:tr>
    </w:tbl>
    <w:p w14:paraId="7C425F87" w14:textId="77777777" w:rsidR="00B54D51" w:rsidRPr="00037AD4" w:rsidRDefault="00B54D51" w:rsidP="001D7ACE">
      <w:pPr>
        <w:rPr>
          <w:rFonts w:asciiTheme="minorHAnsi" w:hAnsiTheme="minorHAnsi" w:cstheme="minorHAnsi"/>
        </w:rPr>
      </w:pPr>
    </w:p>
    <w:p w14:paraId="1957BFE5" w14:textId="77777777" w:rsidR="00B54D51" w:rsidRPr="00037AD4" w:rsidRDefault="00B54D51" w:rsidP="001D7ACE">
      <w:pPr>
        <w:rPr>
          <w:rFonts w:asciiTheme="minorHAnsi" w:hAnsiTheme="minorHAnsi" w:cstheme="minorHAnsi"/>
          <w:u w:val="single"/>
        </w:rPr>
      </w:pPr>
      <w:bookmarkStart w:id="512" w:name="TableA54h"/>
      <w:r w:rsidRPr="00037AD4">
        <w:rPr>
          <w:rFonts w:asciiTheme="minorHAnsi" w:hAnsiTheme="minorHAnsi" w:cstheme="minorHAnsi"/>
          <w:u w:val="single"/>
        </w:rPr>
        <w:t>Table A5.4h, Correlation between change in mobility dimension score and change in dementia symptom measure scores</w:t>
      </w:r>
    </w:p>
    <w:tbl>
      <w:tblPr>
        <w:tblStyle w:val="TableGrid"/>
        <w:tblpPr w:leftFromText="180" w:rightFromText="180" w:vertAnchor="text" w:horzAnchor="margin" w:tblpY="473"/>
        <w:tblW w:w="7593" w:type="dxa"/>
        <w:tblLook w:val="04A0" w:firstRow="1" w:lastRow="0" w:firstColumn="1" w:lastColumn="0" w:noHBand="0" w:noVBand="1"/>
      </w:tblPr>
      <w:tblGrid>
        <w:gridCol w:w="1716"/>
        <w:gridCol w:w="581"/>
        <w:gridCol w:w="1805"/>
        <w:gridCol w:w="1785"/>
        <w:gridCol w:w="1706"/>
      </w:tblGrid>
      <w:tr w:rsidR="00B54D51" w:rsidRPr="00037AD4" w14:paraId="0300CB75" w14:textId="77777777" w:rsidTr="00401C67">
        <w:trPr>
          <w:trHeight w:val="553"/>
        </w:trPr>
        <w:tc>
          <w:tcPr>
            <w:tcW w:w="2297" w:type="dxa"/>
            <w:gridSpan w:val="2"/>
          </w:tcPr>
          <w:bookmarkEnd w:id="512"/>
          <w:p w14:paraId="566985C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Correlation coefficient; CI</w:t>
            </w:r>
          </w:p>
        </w:tc>
        <w:tc>
          <w:tcPr>
            <w:tcW w:w="5296" w:type="dxa"/>
            <w:gridSpan w:val="3"/>
          </w:tcPr>
          <w:p w14:paraId="293E68CE" w14:textId="77777777" w:rsidR="00B54D51" w:rsidRPr="00037AD4" w:rsidRDefault="00B54D51" w:rsidP="00401C67">
            <w:pPr>
              <w:jc w:val="center"/>
              <w:rPr>
                <w:rFonts w:asciiTheme="minorHAnsi" w:hAnsiTheme="minorHAnsi" w:cstheme="minorHAnsi"/>
              </w:rPr>
            </w:pPr>
            <w:r w:rsidRPr="00037AD4">
              <w:rPr>
                <w:rFonts w:asciiTheme="minorHAnsi" w:hAnsiTheme="minorHAnsi" w:cstheme="minorHAnsi"/>
              </w:rPr>
              <w:t xml:space="preserve">CDR severity stage </w:t>
            </w:r>
            <w:r w:rsidRPr="00037AD4">
              <w:rPr>
                <w:rFonts w:asciiTheme="minorHAnsi" w:hAnsiTheme="minorHAnsi" w:cstheme="minorHAnsi"/>
                <w:color w:val="000000" w:themeColor="text1"/>
              </w:rPr>
              <w:t>at T2**</w:t>
            </w:r>
          </w:p>
          <w:p w14:paraId="5A47792E" w14:textId="77777777" w:rsidR="00B54D51" w:rsidRPr="00037AD4" w:rsidRDefault="00B54D51" w:rsidP="00401C67">
            <w:pPr>
              <w:rPr>
                <w:rFonts w:asciiTheme="minorHAnsi" w:hAnsiTheme="minorHAnsi" w:cstheme="minorHAnsi"/>
              </w:rPr>
            </w:pPr>
          </w:p>
        </w:tc>
      </w:tr>
      <w:tr w:rsidR="00B54D51" w:rsidRPr="00037AD4" w14:paraId="0067C08A" w14:textId="77777777" w:rsidTr="00401C67">
        <w:trPr>
          <w:trHeight w:val="553"/>
        </w:trPr>
        <w:tc>
          <w:tcPr>
            <w:tcW w:w="1716" w:type="dxa"/>
          </w:tcPr>
          <w:p w14:paraId="5089F0A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Instrument and rater-type </w:t>
            </w:r>
          </w:p>
        </w:tc>
        <w:tc>
          <w:tcPr>
            <w:tcW w:w="581" w:type="dxa"/>
          </w:tcPr>
          <w:p w14:paraId="56E192B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N</w:t>
            </w:r>
          </w:p>
        </w:tc>
        <w:tc>
          <w:tcPr>
            <w:tcW w:w="1805" w:type="dxa"/>
          </w:tcPr>
          <w:p w14:paraId="26C5ED0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Sum  </w:t>
            </w:r>
          </w:p>
        </w:tc>
        <w:tc>
          <w:tcPr>
            <w:tcW w:w="1785" w:type="dxa"/>
          </w:tcPr>
          <w:p w14:paraId="122376D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Mild </w:t>
            </w:r>
          </w:p>
        </w:tc>
        <w:tc>
          <w:tcPr>
            <w:tcW w:w="1706" w:type="dxa"/>
          </w:tcPr>
          <w:p w14:paraId="7592162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Moderate </w:t>
            </w:r>
          </w:p>
        </w:tc>
      </w:tr>
      <w:tr w:rsidR="00B54D51" w:rsidRPr="00037AD4" w14:paraId="0C3C7965" w14:textId="77777777" w:rsidTr="00401C67">
        <w:trPr>
          <w:trHeight w:val="1945"/>
        </w:trPr>
        <w:tc>
          <w:tcPr>
            <w:tcW w:w="1716" w:type="dxa"/>
          </w:tcPr>
          <w:p w14:paraId="27522BCD" w14:textId="77777777" w:rsidR="00B54D51" w:rsidRPr="00037AD4" w:rsidRDefault="00B54D51" w:rsidP="00401C67">
            <w:pPr>
              <w:rPr>
                <w:rFonts w:asciiTheme="minorHAnsi" w:hAnsiTheme="minorHAnsi" w:cstheme="minorHAnsi"/>
                <w:i/>
                <w:iCs/>
              </w:rPr>
            </w:pPr>
            <w:r w:rsidRPr="00037AD4">
              <w:rPr>
                <w:rFonts w:asciiTheme="minorHAnsi" w:hAnsiTheme="minorHAnsi" w:cstheme="minorHAnsi"/>
                <w:i/>
                <w:iCs/>
              </w:rPr>
              <w:t>CDR change</w:t>
            </w:r>
          </w:p>
          <w:p w14:paraId="16671DC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PwD</w:t>
            </w:r>
          </w:p>
          <w:p w14:paraId="0CED6BE1" w14:textId="77777777" w:rsidR="00B54D51" w:rsidRPr="00037AD4" w:rsidRDefault="00B54D51" w:rsidP="00401C67">
            <w:pPr>
              <w:rPr>
                <w:rFonts w:asciiTheme="minorHAnsi" w:hAnsiTheme="minorHAnsi" w:cstheme="minorHAnsi"/>
              </w:rPr>
            </w:pPr>
          </w:p>
          <w:p w14:paraId="0B50466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Informal proxy</w:t>
            </w:r>
          </w:p>
          <w:p w14:paraId="21A95840" w14:textId="77777777" w:rsidR="00B54D51" w:rsidRPr="00037AD4" w:rsidRDefault="00B54D51" w:rsidP="00401C67">
            <w:pPr>
              <w:rPr>
                <w:rFonts w:asciiTheme="minorHAnsi" w:hAnsiTheme="minorHAnsi" w:cstheme="minorHAnsi"/>
              </w:rPr>
            </w:pPr>
          </w:p>
          <w:p w14:paraId="78AB54A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Staff proxy </w:t>
            </w:r>
          </w:p>
        </w:tc>
        <w:tc>
          <w:tcPr>
            <w:tcW w:w="581" w:type="dxa"/>
          </w:tcPr>
          <w:p w14:paraId="5FDAAC55" w14:textId="77777777" w:rsidR="00B54D51" w:rsidRPr="00037AD4" w:rsidRDefault="00B54D51" w:rsidP="00401C67">
            <w:pPr>
              <w:rPr>
                <w:rFonts w:asciiTheme="minorHAnsi" w:hAnsiTheme="minorHAnsi" w:cstheme="minorHAnsi"/>
              </w:rPr>
            </w:pPr>
          </w:p>
          <w:p w14:paraId="63121ED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439</w:t>
            </w:r>
          </w:p>
          <w:p w14:paraId="49369991" w14:textId="77777777" w:rsidR="00B54D51" w:rsidRPr="00037AD4" w:rsidRDefault="00B54D51" w:rsidP="00401C67">
            <w:pPr>
              <w:rPr>
                <w:rFonts w:asciiTheme="minorHAnsi" w:hAnsiTheme="minorHAnsi" w:cstheme="minorHAnsi"/>
              </w:rPr>
            </w:pPr>
          </w:p>
          <w:p w14:paraId="4EAE19A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397</w:t>
            </w:r>
          </w:p>
          <w:p w14:paraId="081A1A0C" w14:textId="77777777" w:rsidR="00B54D51" w:rsidRPr="00037AD4" w:rsidRDefault="00B54D51" w:rsidP="00401C67">
            <w:pPr>
              <w:rPr>
                <w:rFonts w:asciiTheme="minorHAnsi" w:hAnsiTheme="minorHAnsi" w:cstheme="minorHAnsi"/>
              </w:rPr>
            </w:pPr>
          </w:p>
          <w:p w14:paraId="6C65E8B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396</w:t>
            </w:r>
          </w:p>
        </w:tc>
        <w:tc>
          <w:tcPr>
            <w:tcW w:w="1805" w:type="dxa"/>
          </w:tcPr>
          <w:p w14:paraId="1C9CC032" w14:textId="77777777" w:rsidR="00B54D51" w:rsidRPr="00037AD4" w:rsidRDefault="00B54D51" w:rsidP="00401C67">
            <w:pPr>
              <w:rPr>
                <w:rFonts w:asciiTheme="minorHAnsi" w:hAnsiTheme="minorHAnsi" w:cstheme="minorHAnsi"/>
              </w:rPr>
            </w:pPr>
          </w:p>
          <w:p w14:paraId="4485F53D"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0.07</w:t>
            </w:r>
          </w:p>
          <w:p w14:paraId="621DEC0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[-0.02; 0.16] </w:t>
            </w:r>
          </w:p>
          <w:p w14:paraId="30F53564"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 xml:space="preserve">0.11* </w:t>
            </w:r>
          </w:p>
          <w:p w14:paraId="4A0E1D8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[0.02; 0.21]</w:t>
            </w:r>
          </w:p>
          <w:p w14:paraId="1A8FF34E"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0.20*</w:t>
            </w:r>
          </w:p>
          <w:p w14:paraId="1F75A55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[0.10; 0.29] </w:t>
            </w:r>
          </w:p>
        </w:tc>
        <w:tc>
          <w:tcPr>
            <w:tcW w:w="1785" w:type="dxa"/>
          </w:tcPr>
          <w:p w14:paraId="7F54E8AC" w14:textId="77777777" w:rsidR="00B54D51" w:rsidRPr="00037AD4" w:rsidRDefault="00B54D51" w:rsidP="00401C67">
            <w:pPr>
              <w:rPr>
                <w:rFonts w:asciiTheme="minorHAnsi" w:hAnsiTheme="minorHAnsi" w:cstheme="minorHAnsi"/>
              </w:rPr>
            </w:pPr>
          </w:p>
          <w:p w14:paraId="776F082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-0.10</w:t>
            </w:r>
          </w:p>
          <w:p w14:paraId="799932DC" w14:textId="77777777" w:rsidR="00B54D51" w:rsidRPr="00037AD4" w:rsidRDefault="00B54D51" w:rsidP="00401C67">
            <w:pPr>
              <w:rPr>
                <w:rFonts w:asciiTheme="minorHAnsi" w:hAnsiTheme="minorHAnsi" w:cstheme="minorHAnsi"/>
              </w:rPr>
            </w:pPr>
          </w:p>
          <w:p w14:paraId="054108A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-0.01</w:t>
            </w:r>
          </w:p>
          <w:p w14:paraId="2AF5A358" w14:textId="77777777" w:rsidR="00B54D51" w:rsidRPr="00037AD4" w:rsidRDefault="00B54D51" w:rsidP="00401C67">
            <w:pPr>
              <w:rPr>
                <w:rFonts w:asciiTheme="minorHAnsi" w:hAnsiTheme="minorHAnsi" w:cstheme="minorHAnsi"/>
              </w:rPr>
            </w:pPr>
          </w:p>
          <w:p w14:paraId="2C88350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0.19</w:t>
            </w:r>
          </w:p>
        </w:tc>
        <w:tc>
          <w:tcPr>
            <w:tcW w:w="1706" w:type="dxa"/>
          </w:tcPr>
          <w:p w14:paraId="0067CB2E" w14:textId="77777777" w:rsidR="00B54D51" w:rsidRPr="00037AD4" w:rsidRDefault="00B54D51" w:rsidP="00401C67">
            <w:pPr>
              <w:rPr>
                <w:rFonts w:asciiTheme="minorHAnsi" w:hAnsiTheme="minorHAnsi" w:cstheme="minorHAnsi"/>
              </w:rPr>
            </w:pPr>
          </w:p>
          <w:p w14:paraId="28EA519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0.07 </w:t>
            </w:r>
          </w:p>
          <w:p w14:paraId="404807D0" w14:textId="77777777" w:rsidR="00B54D51" w:rsidRPr="00037AD4" w:rsidRDefault="00B54D51" w:rsidP="00401C67">
            <w:pPr>
              <w:rPr>
                <w:rFonts w:asciiTheme="minorHAnsi" w:hAnsiTheme="minorHAnsi" w:cstheme="minorHAnsi"/>
              </w:rPr>
            </w:pPr>
          </w:p>
          <w:p w14:paraId="26607A2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0.01</w:t>
            </w:r>
          </w:p>
          <w:p w14:paraId="5E3AD780" w14:textId="77777777" w:rsidR="00B54D51" w:rsidRPr="00037AD4" w:rsidRDefault="00B54D51" w:rsidP="00401C67">
            <w:pPr>
              <w:rPr>
                <w:rFonts w:asciiTheme="minorHAnsi" w:hAnsiTheme="minorHAnsi" w:cstheme="minorHAnsi"/>
              </w:rPr>
            </w:pPr>
          </w:p>
          <w:p w14:paraId="126A1F3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-0.00 </w:t>
            </w:r>
          </w:p>
        </w:tc>
      </w:tr>
      <w:tr w:rsidR="00B54D51" w:rsidRPr="00037AD4" w14:paraId="7C991FB1" w14:textId="77777777" w:rsidTr="00401C67">
        <w:trPr>
          <w:trHeight w:val="1373"/>
        </w:trPr>
        <w:tc>
          <w:tcPr>
            <w:tcW w:w="1716" w:type="dxa"/>
          </w:tcPr>
          <w:p w14:paraId="0709C733" w14:textId="77777777" w:rsidR="00B54D51" w:rsidRPr="00037AD4" w:rsidRDefault="00B54D51" w:rsidP="00401C67">
            <w:pPr>
              <w:rPr>
                <w:rFonts w:asciiTheme="minorHAnsi" w:hAnsiTheme="minorHAnsi" w:cstheme="minorHAnsi"/>
                <w:i/>
                <w:iCs/>
              </w:rPr>
            </w:pPr>
            <w:r w:rsidRPr="00037AD4">
              <w:rPr>
                <w:rFonts w:asciiTheme="minorHAnsi" w:hAnsiTheme="minorHAnsi" w:cstheme="minorHAnsi"/>
                <w:i/>
                <w:iCs/>
              </w:rPr>
              <w:t xml:space="preserve">BADLS change </w:t>
            </w:r>
          </w:p>
          <w:p w14:paraId="1D2BA92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PwD </w:t>
            </w:r>
          </w:p>
          <w:p w14:paraId="2F04E46F" w14:textId="77777777" w:rsidR="00B54D51" w:rsidRPr="00037AD4" w:rsidRDefault="00B54D51" w:rsidP="00401C67">
            <w:pPr>
              <w:rPr>
                <w:rFonts w:asciiTheme="minorHAnsi" w:hAnsiTheme="minorHAnsi" w:cstheme="minorHAnsi"/>
              </w:rPr>
            </w:pPr>
          </w:p>
          <w:p w14:paraId="69BC30B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Informal proxy</w:t>
            </w:r>
          </w:p>
        </w:tc>
        <w:tc>
          <w:tcPr>
            <w:tcW w:w="581" w:type="dxa"/>
          </w:tcPr>
          <w:p w14:paraId="73A4E33E" w14:textId="77777777" w:rsidR="00B54D51" w:rsidRPr="00037AD4" w:rsidRDefault="00B54D51" w:rsidP="00401C67">
            <w:pPr>
              <w:rPr>
                <w:rFonts w:asciiTheme="minorHAnsi" w:hAnsiTheme="minorHAnsi" w:cstheme="minorHAnsi"/>
              </w:rPr>
            </w:pPr>
          </w:p>
          <w:p w14:paraId="17AEC5C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289</w:t>
            </w:r>
          </w:p>
          <w:p w14:paraId="26E60756" w14:textId="77777777" w:rsidR="00B54D51" w:rsidRPr="00037AD4" w:rsidRDefault="00B54D51" w:rsidP="00401C67">
            <w:pPr>
              <w:rPr>
                <w:rFonts w:asciiTheme="minorHAnsi" w:hAnsiTheme="minorHAnsi" w:cstheme="minorHAnsi"/>
              </w:rPr>
            </w:pPr>
          </w:p>
          <w:p w14:paraId="61B42FE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311</w:t>
            </w:r>
          </w:p>
        </w:tc>
        <w:tc>
          <w:tcPr>
            <w:tcW w:w="1805" w:type="dxa"/>
          </w:tcPr>
          <w:p w14:paraId="589DA912" w14:textId="77777777" w:rsidR="00B54D51" w:rsidRPr="00037AD4" w:rsidRDefault="00B54D51" w:rsidP="00401C67">
            <w:pPr>
              <w:rPr>
                <w:rFonts w:asciiTheme="minorHAnsi" w:hAnsiTheme="minorHAnsi" w:cstheme="minorHAnsi"/>
              </w:rPr>
            </w:pPr>
          </w:p>
          <w:p w14:paraId="336C0BAE"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 xml:space="preserve">0.16* </w:t>
            </w:r>
          </w:p>
          <w:p w14:paraId="5308DA8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[-0.27; -0.04]</w:t>
            </w:r>
          </w:p>
          <w:p w14:paraId="15B3DEA9"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 xml:space="preserve">0.24* </w:t>
            </w:r>
          </w:p>
          <w:p w14:paraId="3071B1A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[-0.34; -0.13]</w:t>
            </w:r>
          </w:p>
        </w:tc>
        <w:tc>
          <w:tcPr>
            <w:tcW w:w="1785" w:type="dxa"/>
          </w:tcPr>
          <w:p w14:paraId="14B9B069" w14:textId="77777777" w:rsidR="00B54D51" w:rsidRPr="00037AD4" w:rsidRDefault="00B54D51" w:rsidP="00401C67">
            <w:pPr>
              <w:rPr>
                <w:rFonts w:asciiTheme="minorHAnsi" w:hAnsiTheme="minorHAnsi" w:cstheme="minorHAnsi"/>
              </w:rPr>
            </w:pPr>
          </w:p>
          <w:p w14:paraId="32B163F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0.11</w:t>
            </w:r>
          </w:p>
          <w:p w14:paraId="5A54E0EE" w14:textId="77777777" w:rsidR="00B54D51" w:rsidRPr="00037AD4" w:rsidRDefault="00B54D51" w:rsidP="00401C67">
            <w:pPr>
              <w:rPr>
                <w:rFonts w:asciiTheme="minorHAnsi" w:hAnsiTheme="minorHAnsi" w:cstheme="minorHAnsi"/>
              </w:rPr>
            </w:pPr>
          </w:p>
          <w:p w14:paraId="0546016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0.22*</w:t>
            </w:r>
          </w:p>
          <w:p w14:paraId="69AF7D77" w14:textId="77777777" w:rsidR="00B54D51" w:rsidRPr="00037AD4" w:rsidRDefault="00B54D51" w:rsidP="00401C67">
            <w:pPr>
              <w:rPr>
                <w:rFonts w:asciiTheme="minorHAnsi" w:hAnsiTheme="minorHAnsi" w:cstheme="minorHAnsi"/>
              </w:rPr>
            </w:pPr>
          </w:p>
        </w:tc>
        <w:tc>
          <w:tcPr>
            <w:tcW w:w="1706" w:type="dxa"/>
          </w:tcPr>
          <w:p w14:paraId="0C6D23E9" w14:textId="77777777" w:rsidR="00B54D51" w:rsidRPr="00037AD4" w:rsidRDefault="00B54D51" w:rsidP="00401C67">
            <w:pPr>
              <w:rPr>
                <w:rFonts w:asciiTheme="minorHAnsi" w:hAnsiTheme="minorHAnsi" w:cstheme="minorHAnsi"/>
              </w:rPr>
            </w:pPr>
          </w:p>
          <w:p w14:paraId="520767C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0.40*</w:t>
            </w:r>
          </w:p>
          <w:p w14:paraId="012517BC" w14:textId="77777777" w:rsidR="00B54D51" w:rsidRPr="00037AD4" w:rsidRDefault="00B54D51" w:rsidP="00401C67">
            <w:pPr>
              <w:rPr>
                <w:rFonts w:asciiTheme="minorHAnsi" w:hAnsiTheme="minorHAnsi" w:cstheme="minorHAnsi"/>
              </w:rPr>
            </w:pPr>
          </w:p>
          <w:p w14:paraId="070C43F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0.25*  </w:t>
            </w:r>
          </w:p>
        </w:tc>
      </w:tr>
      <w:tr w:rsidR="00B54D51" w:rsidRPr="00037AD4" w14:paraId="2C5A04E1" w14:textId="77777777" w:rsidTr="00401C67">
        <w:trPr>
          <w:trHeight w:val="1945"/>
        </w:trPr>
        <w:tc>
          <w:tcPr>
            <w:tcW w:w="1716" w:type="dxa"/>
          </w:tcPr>
          <w:p w14:paraId="1961CC64" w14:textId="77777777" w:rsidR="00B54D51" w:rsidRPr="00037AD4" w:rsidRDefault="00B54D51" w:rsidP="00401C67">
            <w:pPr>
              <w:rPr>
                <w:rFonts w:asciiTheme="minorHAnsi" w:hAnsiTheme="minorHAnsi" w:cstheme="minorHAnsi"/>
                <w:i/>
                <w:iCs/>
              </w:rPr>
            </w:pPr>
            <w:r w:rsidRPr="00037AD4">
              <w:rPr>
                <w:rFonts w:asciiTheme="minorHAnsi" w:hAnsiTheme="minorHAnsi" w:cstheme="minorHAnsi"/>
                <w:i/>
                <w:iCs/>
              </w:rPr>
              <w:t xml:space="preserve">IADL-PSMS change </w:t>
            </w:r>
          </w:p>
          <w:p w14:paraId="57EAD69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PwD</w:t>
            </w:r>
          </w:p>
          <w:p w14:paraId="67375CE2" w14:textId="77777777" w:rsidR="00B54D51" w:rsidRPr="00037AD4" w:rsidRDefault="00B54D51" w:rsidP="00401C67">
            <w:pPr>
              <w:rPr>
                <w:rFonts w:asciiTheme="minorHAnsi" w:hAnsiTheme="minorHAnsi" w:cstheme="minorHAnsi"/>
              </w:rPr>
            </w:pPr>
          </w:p>
          <w:p w14:paraId="51F337DF" w14:textId="77777777" w:rsidR="00B54D51" w:rsidRPr="00037AD4" w:rsidRDefault="00B54D51" w:rsidP="00401C67">
            <w:pPr>
              <w:rPr>
                <w:rFonts w:asciiTheme="minorHAnsi" w:hAnsiTheme="minorHAnsi" w:cstheme="minorHAnsi"/>
              </w:rPr>
            </w:pPr>
          </w:p>
          <w:p w14:paraId="7AB343D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Informal proxy</w:t>
            </w:r>
          </w:p>
        </w:tc>
        <w:tc>
          <w:tcPr>
            <w:tcW w:w="581" w:type="dxa"/>
          </w:tcPr>
          <w:p w14:paraId="4A3DB903" w14:textId="77777777" w:rsidR="00B54D51" w:rsidRPr="00037AD4" w:rsidRDefault="00B54D51" w:rsidP="00401C67">
            <w:pPr>
              <w:rPr>
                <w:rFonts w:asciiTheme="minorHAnsi" w:hAnsiTheme="minorHAnsi" w:cstheme="minorHAnsi"/>
              </w:rPr>
            </w:pPr>
          </w:p>
          <w:p w14:paraId="3CEF8D52" w14:textId="77777777" w:rsidR="00B54D51" w:rsidRPr="00037AD4" w:rsidRDefault="00B54D51" w:rsidP="00401C67">
            <w:pPr>
              <w:rPr>
                <w:rFonts w:asciiTheme="minorHAnsi" w:hAnsiTheme="minorHAnsi" w:cstheme="minorHAnsi"/>
              </w:rPr>
            </w:pPr>
          </w:p>
          <w:p w14:paraId="4D0D457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294</w:t>
            </w:r>
          </w:p>
          <w:p w14:paraId="112F2620" w14:textId="77777777" w:rsidR="00B54D51" w:rsidRPr="00037AD4" w:rsidRDefault="00B54D51" w:rsidP="00401C67">
            <w:pPr>
              <w:rPr>
                <w:rFonts w:asciiTheme="minorHAnsi" w:hAnsiTheme="minorHAnsi" w:cstheme="minorHAnsi"/>
              </w:rPr>
            </w:pPr>
          </w:p>
          <w:p w14:paraId="58D65411" w14:textId="77777777" w:rsidR="00B54D51" w:rsidRPr="00037AD4" w:rsidRDefault="00B54D51" w:rsidP="00401C67">
            <w:pPr>
              <w:rPr>
                <w:rFonts w:asciiTheme="minorHAnsi" w:hAnsiTheme="minorHAnsi" w:cstheme="minorHAnsi"/>
              </w:rPr>
            </w:pPr>
          </w:p>
          <w:p w14:paraId="3164041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334</w:t>
            </w:r>
          </w:p>
          <w:p w14:paraId="64FDC01E" w14:textId="77777777" w:rsidR="00B54D51" w:rsidRPr="00037AD4" w:rsidRDefault="00B54D51" w:rsidP="00401C67">
            <w:pPr>
              <w:rPr>
                <w:rFonts w:asciiTheme="minorHAnsi" w:hAnsiTheme="minorHAnsi" w:cstheme="minorHAnsi"/>
              </w:rPr>
            </w:pPr>
          </w:p>
        </w:tc>
        <w:tc>
          <w:tcPr>
            <w:tcW w:w="1805" w:type="dxa"/>
          </w:tcPr>
          <w:p w14:paraId="75C02FF6" w14:textId="77777777" w:rsidR="00B54D51" w:rsidRPr="00037AD4" w:rsidRDefault="00B54D51" w:rsidP="00401C67">
            <w:pPr>
              <w:rPr>
                <w:rFonts w:asciiTheme="minorHAnsi" w:hAnsiTheme="minorHAnsi" w:cstheme="minorHAnsi"/>
              </w:rPr>
            </w:pPr>
          </w:p>
          <w:p w14:paraId="68FCF43D" w14:textId="77777777" w:rsidR="00B54D51" w:rsidRPr="00037AD4" w:rsidRDefault="00B54D51" w:rsidP="00401C67">
            <w:pPr>
              <w:rPr>
                <w:rFonts w:asciiTheme="minorHAnsi" w:hAnsiTheme="minorHAnsi" w:cstheme="minorHAnsi"/>
              </w:rPr>
            </w:pPr>
          </w:p>
          <w:p w14:paraId="4B32BC60" w14:textId="77777777" w:rsidR="00B54D51" w:rsidRPr="00037AD4" w:rsidRDefault="00B54D51" w:rsidP="00401C67">
            <w:pPr>
              <w:rPr>
                <w:rFonts w:asciiTheme="minorHAnsi" w:hAnsiTheme="minorHAnsi" w:cstheme="minorHAnsi"/>
              </w:rPr>
            </w:pPr>
            <w:r w:rsidRPr="00037AD4">
              <w:rPr>
                <w:rFonts w:asciiTheme="minorHAnsi" w:hAnsiTheme="minorHAnsi" w:cstheme="minorHAnsi"/>
                <w:b/>
                <w:bCs/>
              </w:rPr>
              <w:t>0.01</w:t>
            </w:r>
          </w:p>
          <w:p w14:paraId="74717E2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[-0.11; 0.12]</w:t>
            </w:r>
          </w:p>
          <w:p w14:paraId="41015863" w14:textId="77777777" w:rsidR="00B54D51" w:rsidRPr="00037AD4" w:rsidRDefault="00B54D51" w:rsidP="00401C67">
            <w:pPr>
              <w:rPr>
                <w:rFonts w:asciiTheme="minorHAnsi" w:hAnsiTheme="minorHAnsi" w:cstheme="minorHAnsi"/>
                <w:b/>
                <w:bCs/>
              </w:rPr>
            </w:pPr>
          </w:p>
          <w:p w14:paraId="6BA8AD0C"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 xml:space="preserve">-0.23*  </w:t>
            </w:r>
          </w:p>
          <w:p w14:paraId="4103927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[-0.33; -0.13]</w:t>
            </w:r>
          </w:p>
        </w:tc>
        <w:tc>
          <w:tcPr>
            <w:tcW w:w="1785" w:type="dxa"/>
          </w:tcPr>
          <w:p w14:paraId="411657F6" w14:textId="77777777" w:rsidR="00B54D51" w:rsidRPr="00037AD4" w:rsidRDefault="00B54D51" w:rsidP="00401C67">
            <w:pPr>
              <w:rPr>
                <w:rFonts w:asciiTheme="minorHAnsi" w:hAnsiTheme="minorHAnsi" w:cstheme="minorHAnsi"/>
              </w:rPr>
            </w:pPr>
          </w:p>
          <w:p w14:paraId="113960D2" w14:textId="77777777" w:rsidR="00B54D51" w:rsidRPr="00037AD4" w:rsidRDefault="00B54D51" w:rsidP="00401C67">
            <w:pPr>
              <w:rPr>
                <w:rFonts w:asciiTheme="minorHAnsi" w:hAnsiTheme="minorHAnsi" w:cstheme="minorHAnsi"/>
              </w:rPr>
            </w:pPr>
          </w:p>
          <w:p w14:paraId="614413B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0.03</w:t>
            </w:r>
          </w:p>
          <w:p w14:paraId="0BB4E22C" w14:textId="77777777" w:rsidR="00B54D51" w:rsidRPr="00037AD4" w:rsidRDefault="00B54D51" w:rsidP="00401C67">
            <w:pPr>
              <w:rPr>
                <w:rFonts w:asciiTheme="minorHAnsi" w:hAnsiTheme="minorHAnsi" w:cstheme="minorHAnsi"/>
              </w:rPr>
            </w:pPr>
          </w:p>
          <w:p w14:paraId="3555562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 </w:t>
            </w:r>
          </w:p>
          <w:p w14:paraId="25D7CBE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-0.22* </w:t>
            </w:r>
          </w:p>
        </w:tc>
        <w:tc>
          <w:tcPr>
            <w:tcW w:w="1706" w:type="dxa"/>
          </w:tcPr>
          <w:p w14:paraId="62B6F2D3" w14:textId="77777777" w:rsidR="00B54D51" w:rsidRPr="00037AD4" w:rsidRDefault="00B54D51" w:rsidP="00401C67">
            <w:pPr>
              <w:rPr>
                <w:rFonts w:asciiTheme="minorHAnsi" w:hAnsiTheme="minorHAnsi" w:cstheme="minorHAnsi"/>
              </w:rPr>
            </w:pPr>
          </w:p>
          <w:p w14:paraId="1F8E7D8B" w14:textId="77777777" w:rsidR="00B54D51" w:rsidRPr="00037AD4" w:rsidRDefault="00B54D51" w:rsidP="00401C67">
            <w:pPr>
              <w:rPr>
                <w:rFonts w:asciiTheme="minorHAnsi" w:hAnsiTheme="minorHAnsi" w:cstheme="minorHAnsi"/>
              </w:rPr>
            </w:pPr>
          </w:p>
          <w:p w14:paraId="3872FEC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 0.02</w:t>
            </w:r>
          </w:p>
          <w:p w14:paraId="2EA43A56" w14:textId="77777777" w:rsidR="00B54D51" w:rsidRPr="00037AD4" w:rsidRDefault="00B54D51" w:rsidP="00401C67">
            <w:pPr>
              <w:rPr>
                <w:rFonts w:asciiTheme="minorHAnsi" w:hAnsiTheme="minorHAnsi" w:cstheme="minorHAnsi"/>
              </w:rPr>
            </w:pPr>
          </w:p>
          <w:p w14:paraId="6D5EB14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 </w:t>
            </w:r>
          </w:p>
          <w:p w14:paraId="64C31DC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-0.10 </w:t>
            </w:r>
          </w:p>
        </w:tc>
      </w:tr>
      <w:tr w:rsidR="00B54D51" w:rsidRPr="00037AD4" w14:paraId="4718751D" w14:textId="77777777" w:rsidTr="00401C67">
        <w:trPr>
          <w:trHeight w:val="1945"/>
        </w:trPr>
        <w:tc>
          <w:tcPr>
            <w:tcW w:w="1716" w:type="dxa"/>
          </w:tcPr>
          <w:p w14:paraId="1479FE50" w14:textId="77777777" w:rsidR="00B54D51" w:rsidRPr="00037AD4" w:rsidRDefault="00B54D51" w:rsidP="00401C67">
            <w:pPr>
              <w:rPr>
                <w:rFonts w:asciiTheme="minorHAnsi" w:hAnsiTheme="minorHAnsi" w:cstheme="minorHAnsi"/>
                <w:i/>
                <w:iCs/>
              </w:rPr>
            </w:pPr>
            <w:r w:rsidRPr="00037AD4">
              <w:rPr>
                <w:rFonts w:asciiTheme="minorHAnsi" w:hAnsiTheme="minorHAnsi" w:cstheme="minorHAnsi"/>
                <w:i/>
                <w:iCs/>
              </w:rPr>
              <w:t xml:space="preserve">FAST change </w:t>
            </w:r>
          </w:p>
          <w:p w14:paraId="271DFCF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PwD</w:t>
            </w:r>
          </w:p>
          <w:p w14:paraId="447F12AF" w14:textId="77777777" w:rsidR="00B54D51" w:rsidRPr="00037AD4" w:rsidRDefault="00B54D51" w:rsidP="00401C67">
            <w:pPr>
              <w:rPr>
                <w:rFonts w:asciiTheme="minorHAnsi" w:hAnsiTheme="minorHAnsi" w:cstheme="minorHAnsi"/>
              </w:rPr>
            </w:pPr>
          </w:p>
          <w:p w14:paraId="59FC93D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Informal proxy</w:t>
            </w:r>
          </w:p>
          <w:p w14:paraId="49BFCDBC" w14:textId="77777777" w:rsidR="00B54D51" w:rsidRPr="00037AD4" w:rsidRDefault="00B54D51" w:rsidP="00401C67">
            <w:pPr>
              <w:rPr>
                <w:rFonts w:asciiTheme="minorHAnsi" w:hAnsiTheme="minorHAnsi" w:cstheme="minorHAnsi"/>
              </w:rPr>
            </w:pPr>
          </w:p>
          <w:p w14:paraId="5E447518" w14:textId="77777777" w:rsidR="00B54D51" w:rsidRPr="00037AD4" w:rsidRDefault="00B54D51" w:rsidP="00401C67">
            <w:pPr>
              <w:rPr>
                <w:rFonts w:asciiTheme="minorHAnsi" w:hAnsiTheme="minorHAnsi" w:cstheme="minorHAnsi"/>
                <w:i/>
                <w:iCs/>
              </w:rPr>
            </w:pPr>
            <w:r w:rsidRPr="00037AD4">
              <w:rPr>
                <w:rFonts w:asciiTheme="minorHAnsi" w:hAnsiTheme="minorHAnsi" w:cstheme="minorHAnsi"/>
              </w:rPr>
              <w:t xml:space="preserve">Staff proxy </w:t>
            </w:r>
          </w:p>
        </w:tc>
        <w:tc>
          <w:tcPr>
            <w:tcW w:w="581" w:type="dxa"/>
          </w:tcPr>
          <w:p w14:paraId="034D04B8" w14:textId="77777777" w:rsidR="00B54D51" w:rsidRPr="00037AD4" w:rsidRDefault="00B54D51" w:rsidP="00401C67">
            <w:pPr>
              <w:rPr>
                <w:rFonts w:asciiTheme="minorHAnsi" w:hAnsiTheme="minorHAnsi" w:cstheme="minorHAnsi"/>
              </w:rPr>
            </w:pPr>
          </w:p>
          <w:p w14:paraId="3CBAC90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129</w:t>
            </w:r>
          </w:p>
          <w:p w14:paraId="64BE141D" w14:textId="77777777" w:rsidR="00B54D51" w:rsidRPr="00037AD4" w:rsidRDefault="00B54D51" w:rsidP="00401C67">
            <w:pPr>
              <w:rPr>
                <w:rFonts w:asciiTheme="minorHAnsi" w:hAnsiTheme="minorHAnsi" w:cstheme="minorHAnsi"/>
              </w:rPr>
            </w:pPr>
          </w:p>
          <w:p w14:paraId="6B168AD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61</w:t>
            </w:r>
          </w:p>
          <w:p w14:paraId="5AD8CF3D" w14:textId="77777777" w:rsidR="00B54D51" w:rsidRPr="00037AD4" w:rsidRDefault="00B54D51" w:rsidP="00401C67">
            <w:pPr>
              <w:rPr>
                <w:rFonts w:asciiTheme="minorHAnsi" w:hAnsiTheme="minorHAnsi" w:cstheme="minorHAnsi"/>
              </w:rPr>
            </w:pPr>
          </w:p>
          <w:p w14:paraId="4A934A7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379</w:t>
            </w:r>
          </w:p>
        </w:tc>
        <w:tc>
          <w:tcPr>
            <w:tcW w:w="1805" w:type="dxa"/>
          </w:tcPr>
          <w:p w14:paraId="0F9CF2B4" w14:textId="77777777" w:rsidR="00B54D51" w:rsidRPr="00037AD4" w:rsidRDefault="00B54D51" w:rsidP="00401C67">
            <w:pPr>
              <w:rPr>
                <w:rFonts w:asciiTheme="minorHAnsi" w:hAnsiTheme="minorHAnsi" w:cstheme="minorHAnsi"/>
              </w:rPr>
            </w:pPr>
          </w:p>
          <w:p w14:paraId="1317A8B4" w14:textId="77777777" w:rsidR="00B54D51" w:rsidRPr="00037AD4" w:rsidRDefault="00B54D51" w:rsidP="00401C67">
            <w:pPr>
              <w:rPr>
                <w:rFonts w:asciiTheme="minorHAnsi" w:hAnsiTheme="minorHAnsi" w:cstheme="minorHAnsi"/>
              </w:rPr>
            </w:pPr>
            <w:r w:rsidRPr="00037AD4">
              <w:rPr>
                <w:rFonts w:asciiTheme="minorHAnsi" w:hAnsiTheme="minorHAnsi" w:cstheme="minorHAnsi"/>
                <w:b/>
                <w:bCs/>
              </w:rPr>
              <w:t xml:space="preserve">-0.13 </w:t>
            </w:r>
            <w:r w:rsidRPr="00037AD4">
              <w:rPr>
                <w:rFonts w:asciiTheme="minorHAnsi" w:hAnsiTheme="minorHAnsi" w:cstheme="minorHAnsi"/>
              </w:rPr>
              <w:t xml:space="preserve"> </w:t>
            </w:r>
          </w:p>
          <w:p w14:paraId="0DAFB58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[-0.30; 0.05]</w:t>
            </w:r>
          </w:p>
          <w:p w14:paraId="28D45928"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 xml:space="preserve">0.07 </w:t>
            </w:r>
          </w:p>
          <w:p w14:paraId="756D2E3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[-0.18; 0.32]</w:t>
            </w:r>
          </w:p>
          <w:p w14:paraId="789205C2"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0.09</w:t>
            </w:r>
          </w:p>
          <w:p w14:paraId="14F3DC5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[-0.01; 0.19]</w:t>
            </w:r>
          </w:p>
        </w:tc>
        <w:tc>
          <w:tcPr>
            <w:tcW w:w="1785" w:type="dxa"/>
          </w:tcPr>
          <w:p w14:paraId="6A58A8A1" w14:textId="77777777" w:rsidR="00B54D51" w:rsidRPr="00037AD4" w:rsidRDefault="00B54D51" w:rsidP="00401C67">
            <w:pPr>
              <w:rPr>
                <w:rFonts w:asciiTheme="minorHAnsi" w:hAnsiTheme="minorHAnsi" w:cstheme="minorHAnsi"/>
              </w:rPr>
            </w:pPr>
          </w:p>
          <w:p w14:paraId="664A1D1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-0.13 </w:t>
            </w:r>
          </w:p>
          <w:p w14:paraId="444A5405" w14:textId="77777777" w:rsidR="00B54D51" w:rsidRPr="00037AD4" w:rsidRDefault="00B54D51" w:rsidP="00401C67">
            <w:pPr>
              <w:rPr>
                <w:rFonts w:asciiTheme="minorHAnsi" w:hAnsiTheme="minorHAnsi" w:cstheme="minorHAnsi"/>
              </w:rPr>
            </w:pPr>
          </w:p>
          <w:p w14:paraId="72860FC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-0.25  </w:t>
            </w:r>
          </w:p>
          <w:p w14:paraId="1C18BFA2" w14:textId="77777777" w:rsidR="00B54D51" w:rsidRPr="00037AD4" w:rsidRDefault="00B54D51" w:rsidP="00401C67">
            <w:pPr>
              <w:rPr>
                <w:rFonts w:asciiTheme="minorHAnsi" w:hAnsiTheme="minorHAnsi" w:cstheme="minorHAnsi"/>
              </w:rPr>
            </w:pPr>
          </w:p>
          <w:p w14:paraId="7C7C581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0.30* </w:t>
            </w:r>
          </w:p>
        </w:tc>
        <w:tc>
          <w:tcPr>
            <w:tcW w:w="1706" w:type="dxa"/>
          </w:tcPr>
          <w:p w14:paraId="494BFA3D" w14:textId="77777777" w:rsidR="00B54D51" w:rsidRPr="00037AD4" w:rsidRDefault="00B54D51" w:rsidP="00401C67">
            <w:pPr>
              <w:rPr>
                <w:rFonts w:asciiTheme="minorHAnsi" w:hAnsiTheme="minorHAnsi" w:cstheme="minorHAnsi"/>
              </w:rPr>
            </w:pPr>
          </w:p>
          <w:p w14:paraId="02CBE37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-0.09 </w:t>
            </w:r>
          </w:p>
          <w:p w14:paraId="62E2C00C" w14:textId="77777777" w:rsidR="00B54D51" w:rsidRPr="00037AD4" w:rsidRDefault="00B54D51" w:rsidP="00401C67">
            <w:pPr>
              <w:rPr>
                <w:rFonts w:asciiTheme="minorHAnsi" w:hAnsiTheme="minorHAnsi" w:cstheme="minorHAnsi"/>
              </w:rPr>
            </w:pPr>
          </w:p>
          <w:p w14:paraId="2FEE687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0.10 </w:t>
            </w:r>
          </w:p>
          <w:p w14:paraId="6829D752" w14:textId="77777777" w:rsidR="00B54D51" w:rsidRPr="00037AD4" w:rsidRDefault="00B54D51" w:rsidP="00401C67">
            <w:pPr>
              <w:rPr>
                <w:rFonts w:asciiTheme="minorHAnsi" w:hAnsiTheme="minorHAnsi" w:cstheme="minorHAnsi"/>
              </w:rPr>
            </w:pPr>
          </w:p>
          <w:p w14:paraId="283652E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-0.06 </w:t>
            </w:r>
          </w:p>
        </w:tc>
      </w:tr>
      <w:tr w:rsidR="00B54D51" w:rsidRPr="00037AD4" w14:paraId="4442D9AE" w14:textId="77777777" w:rsidTr="00401C67">
        <w:trPr>
          <w:trHeight w:val="1945"/>
        </w:trPr>
        <w:tc>
          <w:tcPr>
            <w:tcW w:w="1716" w:type="dxa"/>
          </w:tcPr>
          <w:p w14:paraId="1051AEA8" w14:textId="77777777" w:rsidR="00B54D51" w:rsidRPr="00037AD4" w:rsidRDefault="00B54D51" w:rsidP="00401C67">
            <w:pPr>
              <w:rPr>
                <w:rFonts w:asciiTheme="minorHAnsi" w:hAnsiTheme="minorHAnsi" w:cstheme="minorHAnsi"/>
                <w:i/>
                <w:iCs/>
              </w:rPr>
            </w:pPr>
            <w:r w:rsidRPr="00037AD4">
              <w:rPr>
                <w:rFonts w:asciiTheme="minorHAnsi" w:hAnsiTheme="minorHAnsi" w:cstheme="minorHAnsi"/>
                <w:i/>
                <w:iCs/>
              </w:rPr>
              <w:lastRenderedPageBreak/>
              <w:t xml:space="preserve">NPI-NH change </w:t>
            </w:r>
          </w:p>
          <w:p w14:paraId="28A623B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PwD</w:t>
            </w:r>
          </w:p>
          <w:p w14:paraId="08B43424" w14:textId="77777777" w:rsidR="00B54D51" w:rsidRPr="00037AD4" w:rsidRDefault="00B54D51" w:rsidP="00401C67">
            <w:pPr>
              <w:rPr>
                <w:rFonts w:asciiTheme="minorHAnsi" w:hAnsiTheme="minorHAnsi" w:cstheme="minorHAnsi"/>
              </w:rPr>
            </w:pPr>
          </w:p>
          <w:p w14:paraId="0440FFB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Informal proxy</w:t>
            </w:r>
          </w:p>
          <w:p w14:paraId="4C9E5FD3" w14:textId="77777777" w:rsidR="00B54D51" w:rsidRPr="00037AD4" w:rsidRDefault="00B54D51" w:rsidP="00401C67">
            <w:pPr>
              <w:rPr>
                <w:rFonts w:asciiTheme="minorHAnsi" w:hAnsiTheme="minorHAnsi" w:cstheme="minorHAnsi"/>
              </w:rPr>
            </w:pPr>
          </w:p>
          <w:p w14:paraId="72CF0DC5" w14:textId="77777777" w:rsidR="00B54D51" w:rsidRPr="00037AD4" w:rsidRDefault="00B54D51" w:rsidP="00401C67">
            <w:pPr>
              <w:rPr>
                <w:rFonts w:asciiTheme="minorHAnsi" w:hAnsiTheme="minorHAnsi" w:cstheme="minorHAnsi"/>
                <w:i/>
                <w:iCs/>
              </w:rPr>
            </w:pPr>
            <w:r w:rsidRPr="00037AD4">
              <w:rPr>
                <w:rFonts w:asciiTheme="minorHAnsi" w:hAnsiTheme="minorHAnsi" w:cstheme="minorHAnsi"/>
              </w:rPr>
              <w:t xml:space="preserve">Staff proxy </w:t>
            </w:r>
          </w:p>
        </w:tc>
        <w:tc>
          <w:tcPr>
            <w:tcW w:w="581" w:type="dxa"/>
          </w:tcPr>
          <w:p w14:paraId="0C5042E5" w14:textId="77777777" w:rsidR="00B54D51" w:rsidRPr="00037AD4" w:rsidRDefault="00B54D51" w:rsidP="00401C67">
            <w:pPr>
              <w:rPr>
                <w:rFonts w:asciiTheme="minorHAnsi" w:hAnsiTheme="minorHAnsi" w:cstheme="minorHAnsi"/>
              </w:rPr>
            </w:pPr>
          </w:p>
          <w:p w14:paraId="7E22F64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134</w:t>
            </w:r>
          </w:p>
          <w:p w14:paraId="1E4EC648" w14:textId="77777777" w:rsidR="00B54D51" w:rsidRPr="00037AD4" w:rsidRDefault="00B54D51" w:rsidP="00401C67">
            <w:pPr>
              <w:rPr>
                <w:rFonts w:asciiTheme="minorHAnsi" w:hAnsiTheme="minorHAnsi" w:cstheme="minorHAnsi"/>
              </w:rPr>
            </w:pPr>
          </w:p>
          <w:p w14:paraId="4F196C8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63</w:t>
            </w:r>
          </w:p>
          <w:p w14:paraId="1D6575F9" w14:textId="77777777" w:rsidR="00B54D51" w:rsidRPr="00037AD4" w:rsidRDefault="00B54D51" w:rsidP="00401C67">
            <w:pPr>
              <w:rPr>
                <w:rFonts w:asciiTheme="minorHAnsi" w:hAnsiTheme="minorHAnsi" w:cstheme="minorHAnsi"/>
              </w:rPr>
            </w:pPr>
          </w:p>
          <w:p w14:paraId="586B9FC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399</w:t>
            </w:r>
          </w:p>
        </w:tc>
        <w:tc>
          <w:tcPr>
            <w:tcW w:w="1805" w:type="dxa"/>
          </w:tcPr>
          <w:p w14:paraId="33DCA833" w14:textId="77777777" w:rsidR="00B54D51" w:rsidRPr="00037AD4" w:rsidRDefault="00B54D51" w:rsidP="00401C67">
            <w:pPr>
              <w:rPr>
                <w:rFonts w:asciiTheme="minorHAnsi" w:hAnsiTheme="minorHAnsi" w:cstheme="minorHAnsi"/>
              </w:rPr>
            </w:pPr>
          </w:p>
          <w:p w14:paraId="332D7462" w14:textId="77777777" w:rsidR="00B54D51" w:rsidRPr="00037AD4" w:rsidRDefault="00B54D51" w:rsidP="00401C67">
            <w:pPr>
              <w:rPr>
                <w:rFonts w:asciiTheme="minorHAnsi" w:hAnsiTheme="minorHAnsi" w:cstheme="minorHAnsi"/>
              </w:rPr>
            </w:pPr>
            <w:r w:rsidRPr="00037AD4">
              <w:rPr>
                <w:rFonts w:asciiTheme="minorHAnsi" w:hAnsiTheme="minorHAnsi" w:cstheme="minorHAnsi"/>
                <w:b/>
                <w:bCs/>
              </w:rPr>
              <w:t>-0.12</w:t>
            </w:r>
            <w:r w:rsidRPr="00037AD4">
              <w:rPr>
                <w:rFonts w:asciiTheme="minorHAnsi" w:hAnsiTheme="minorHAnsi" w:cstheme="minorHAnsi"/>
              </w:rPr>
              <w:t xml:space="preserve"> </w:t>
            </w:r>
          </w:p>
          <w:p w14:paraId="71D6B4D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[-0.28; 0.05]</w:t>
            </w:r>
          </w:p>
          <w:p w14:paraId="54E52CEB"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 xml:space="preserve">-0.06 </w:t>
            </w:r>
          </w:p>
          <w:p w14:paraId="76F91AD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[-0.19; 0.30]</w:t>
            </w:r>
          </w:p>
          <w:p w14:paraId="4D87CAC0"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 xml:space="preserve">-0.02 </w:t>
            </w:r>
          </w:p>
          <w:p w14:paraId="6D7A125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[-0.12; -0.08]</w:t>
            </w:r>
          </w:p>
        </w:tc>
        <w:tc>
          <w:tcPr>
            <w:tcW w:w="1785" w:type="dxa"/>
          </w:tcPr>
          <w:p w14:paraId="7F1FB28E" w14:textId="77777777" w:rsidR="00B54D51" w:rsidRPr="00037AD4" w:rsidRDefault="00B54D51" w:rsidP="00401C67">
            <w:pPr>
              <w:rPr>
                <w:rFonts w:asciiTheme="minorHAnsi" w:hAnsiTheme="minorHAnsi" w:cstheme="minorHAnsi"/>
              </w:rPr>
            </w:pPr>
          </w:p>
          <w:p w14:paraId="7E11EF1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-0.12 </w:t>
            </w:r>
          </w:p>
          <w:p w14:paraId="110E28CA" w14:textId="77777777" w:rsidR="00B54D51" w:rsidRPr="00037AD4" w:rsidRDefault="00B54D51" w:rsidP="00401C67">
            <w:pPr>
              <w:rPr>
                <w:rFonts w:asciiTheme="minorHAnsi" w:hAnsiTheme="minorHAnsi" w:cstheme="minorHAnsi"/>
              </w:rPr>
            </w:pPr>
          </w:p>
          <w:p w14:paraId="673F825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 </w:t>
            </w:r>
          </w:p>
          <w:p w14:paraId="0A78C703" w14:textId="77777777" w:rsidR="00B54D51" w:rsidRPr="00037AD4" w:rsidRDefault="00B54D51" w:rsidP="00401C67">
            <w:pPr>
              <w:rPr>
                <w:rFonts w:asciiTheme="minorHAnsi" w:hAnsiTheme="minorHAnsi" w:cstheme="minorHAnsi"/>
              </w:rPr>
            </w:pPr>
          </w:p>
          <w:p w14:paraId="56776B6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-0.01 </w:t>
            </w:r>
          </w:p>
        </w:tc>
        <w:tc>
          <w:tcPr>
            <w:tcW w:w="1706" w:type="dxa"/>
          </w:tcPr>
          <w:p w14:paraId="3E60E3F4" w14:textId="77777777" w:rsidR="00B54D51" w:rsidRPr="00037AD4" w:rsidRDefault="00B54D51" w:rsidP="00401C67">
            <w:pPr>
              <w:rPr>
                <w:rFonts w:asciiTheme="minorHAnsi" w:hAnsiTheme="minorHAnsi" w:cstheme="minorHAnsi"/>
              </w:rPr>
            </w:pPr>
          </w:p>
          <w:p w14:paraId="2615D9B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-0.06</w:t>
            </w:r>
          </w:p>
          <w:p w14:paraId="2F4D0ACF" w14:textId="77777777" w:rsidR="00B54D51" w:rsidRPr="00037AD4" w:rsidRDefault="00B54D51" w:rsidP="00401C67">
            <w:pPr>
              <w:rPr>
                <w:rFonts w:asciiTheme="minorHAnsi" w:hAnsiTheme="minorHAnsi" w:cstheme="minorHAnsi"/>
              </w:rPr>
            </w:pPr>
          </w:p>
          <w:p w14:paraId="39A460D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 </w:t>
            </w:r>
          </w:p>
          <w:p w14:paraId="722325E9" w14:textId="77777777" w:rsidR="00B54D51" w:rsidRPr="00037AD4" w:rsidRDefault="00B54D51" w:rsidP="00401C67">
            <w:pPr>
              <w:rPr>
                <w:rFonts w:asciiTheme="minorHAnsi" w:hAnsiTheme="minorHAnsi" w:cstheme="minorHAnsi"/>
              </w:rPr>
            </w:pPr>
          </w:p>
          <w:p w14:paraId="497262B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-0.01 </w:t>
            </w:r>
          </w:p>
        </w:tc>
      </w:tr>
      <w:tr w:rsidR="00B54D51" w:rsidRPr="00037AD4" w14:paraId="24173E78" w14:textId="77777777" w:rsidTr="00401C67">
        <w:trPr>
          <w:trHeight w:val="1945"/>
        </w:trPr>
        <w:tc>
          <w:tcPr>
            <w:tcW w:w="1716" w:type="dxa"/>
          </w:tcPr>
          <w:p w14:paraId="53A5CD10" w14:textId="77777777" w:rsidR="00B54D51" w:rsidRPr="00037AD4" w:rsidRDefault="00B54D51" w:rsidP="00401C67">
            <w:pPr>
              <w:rPr>
                <w:rFonts w:asciiTheme="minorHAnsi" w:hAnsiTheme="minorHAnsi" w:cstheme="minorHAnsi"/>
                <w:i/>
                <w:iCs/>
                <w:color w:val="000000" w:themeColor="text1"/>
              </w:rPr>
            </w:pPr>
            <w:r w:rsidRPr="00037AD4">
              <w:rPr>
                <w:rFonts w:asciiTheme="minorHAnsi" w:hAnsiTheme="minorHAnsi" w:cstheme="minorHAnsi"/>
                <w:i/>
                <w:iCs/>
                <w:color w:val="000000" w:themeColor="text1"/>
              </w:rPr>
              <w:t xml:space="preserve">NPI-Q change </w:t>
            </w:r>
          </w:p>
          <w:p w14:paraId="1AB8CB63" w14:textId="77777777" w:rsidR="00B54D51" w:rsidRPr="00037AD4" w:rsidRDefault="00B54D51" w:rsidP="00401C67">
            <w:pPr>
              <w:rPr>
                <w:rFonts w:asciiTheme="minorHAnsi" w:hAnsiTheme="minorHAnsi" w:cstheme="minorHAnsi"/>
                <w:color w:val="000000" w:themeColor="text1"/>
              </w:rPr>
            </w:pPr>
            <w:r w:rsidRPr="00037AD4">
              <w:rPr>
                <w:rFonts w:asciiTheme="minorHAnsi" w:hAnsiTheme="minorHAnsi" w:cstheme="minorHAnsi"/>
                <w:color w:val="000000" w:themeColor="text1"/>
              </w:rPr>
              <w:t>PwD</w:t>
            </w:r>
          </w:p>
          <w:p w14:paraId="3E5F5002" w14:textId="77777777" w:rsidR="00B54D51" w:rsidRPr="00037AD4" w:rsidRDefault="00B54D51" w:rsidP="00401C67">
            <w:pPr>
              <w:rPr>
                <w:rFonts w:asciiTheme="minorHAnsi" w:hAnsiTheme="minorHAnsi" w:cstheme="minorHAnsi"/>
                <w:color w:val="000000" w:themeColor="text1"/>
              </w:rPr>
            </w:pPr>
          </w:p>
          <w:p w14:paraId="698D3BA9" w14:textId="77777777" w:rsidR="00B54D51" w:rsidRPr="00037AD4" w:rsidRDefault="00B54D51" w:rsidP="00401C67">
            <w:pPr>
              <w:rPr>
                <w:rFonts w:asciiTheme="minorHAnsi" w:hAnsiTheme="minorHAnsi" w:cstheme="minorHAnsi"/>
                <w:color w:val="000000" w:themeColor="text1"/>
              </w:rPr>
            </w:pPr>
            <w:r w:rsidRPr="00037AD4">
              <w:rPr>
                <w:rFonts w:asciiTheme="minorHAnsi" w:hAnsiTheme="minorHAnsi" w:cstheme="minorHAnsi"/>
                <w:color w:val="000000" w:themeColor="text1"/>
              </w:rPr>
              <w:t>Informal proxy</w:t>
            </w:r>
          </w:p>
        </w:tc>
        <w:tc>
          <w:tcPr>
            <w:tcW w:w="581" w:type="dxa"/>
          </w:tcPr>
          <w:p w14:paraId="6A36A18D" w14:textId="77777777" w:rsidR="00B54D51" w:rsidRPr="00037AD4" w:rsidRDefault="00B54D51" w:rsidP="00401C67">
            <w:pPr>
              <w:rPr>
                <w:rFonts w:asciiTheme="minorHAnsi" w:hAnsiTheme="minorHAnsi" w:cstheme="minorHAnsi"/>
                <w:color w:val="000000" w:themeColor="text1"/>
              </w:rPr>
            </w:pPr>
          </w:p>
          <w:p w14:paraId="4CE09249" w14:textId="77777777" w:rsidR="00B54D51" w:rsidRPr="00037AD4" w:rsidRDefault="00B54D51" w:rsidP="00401C67">
            <w:pPr>
              <w:rPr>
                <w:rFonts w:asciiTheme="minorHAnsi" w:hAnsiTheme="minorHAnsi" w:cstheme="minorHAnsi"/>
                <w:color w:val="000000" w:themeColor="text1"/>
              </w:rPr>
            </w:pPr>
            <w:r w:rsidRPr="00037AD4">
              <w:rPr>
                <w:rFonts w:asciiTheme="minorHAnsi" w:hAnsiTheme="minorHAnsi" w:cstheme="minorHAnsi"/>
                <w:color w:val="000000" w:themeColor="text1"/>
              </w:rPr>
              <w:t>310</w:t>
            </w:r>
          </w:p>
          <w:p w14:paraId="5E58E238" w14:textId="77777777" w:rsidR="00B54D51" w:rsidRPr="00037AD4" w:rsidRDefault="00B54D51" w:rsidP="00401C67">
            <w:pPr>
              <w:rPr>
                <w:rFonts w:asciiTheme="minorHAnsi" w:hAnsiTheme="minorHAnsi" w:cstheme="minorHAnsi"/>
                <w:color w:val="000000" w:themeColor="text1"/>
              </w:rPr>
            </w:pPr>
          </w:p>
          <w:p w14:paraId="12EB672C" w14:textId="77777777" w:rsidR="00B54D51" w:rsidRPr="00037AD4" w:rsidRDefault="00B54D51" w:rsidP="00401C67">
            <w:pPr>
              <w:rPr>
                <w:rFonts w:asciiTheme="minorHAnsi" w:hAnsiTheme="minorHAnsi" w:cstheme="minorHAnsi"/>
                <w:color w:val="000000" w:themeColor="text1"/>
              </w:rPr>
            </w:pPr>
            <w:r w:rsidRPr="00037AD4">
              <w:rPr>
                <w:rFonts w:asciiTheme="minorHAnsi" w:hAnsiTheme="minorHAnsi" w:cstheme="minorHAnsi"/>
                <w:color w:val="000000" w:themeColor="text1"/>
              </w:rPr>
              <w:t>351</w:t>
            </w:r>
          </w:p>
        </w:tc>
        <w:tc>
          <w:tcPr>
            <w:tcW w:w="1805" w:type="dxa"/>
          </w:tcPr>
          <w:p w14:paraId="6BE1BAE1" w14:textId="77777777" w:rsidR="00B54D51" w:rsidRPr="00037AD4" w:rsidRDefault="00B54D51" w:rsidP="00401C67">
            <w:pPr>
              <w:rPr>
                <w:rFonts w:asciiTheme="minorHAnsi" w:hAnsiTheme="minorHAnsi" w:cstheme="minorHAnsi"/>
                <w:b/>
                <w:bCs/>
                <w:color w:val="000000" w:themeColor="text1"/>
              </w:rPr>
            </w:pPr>
          </w:p>
          <w:p w14:paraId="4DCB36E9" w14:textId="77777777" w:rsidR="00B54D51" w:rsidRPr="00037AD4" w:rsidRDefault="00B54D51" w:rsidP="00401C67">
            <w:pPr>
              <w:rPr>
                <w:rFonts w:asciiTheme="minorHAnsi" w:hAnsiTheme="minorHAnsi" w:cstheme="minorHAnsi"/>
                <w:color w:val="000000" w:themeColor="text1"/>
              </w:rPr>
            </w:pPr>
            <w:r w:rsidRPr="00037AD4">
              <w:rPr>
                <w:rFonts w:asciiTheme="minorHAnsi" w:hAnsiTheme="minorHAnsi" w:cstheme="minorHAnsi"/>
                <w:b/>
                <w:bCs/>
                <w:color w:val="000000" w:themeColor="text1"/>
              </w:rPr>
              <w:t>-0.01</w:t>
            </w:r>
          </w:p>
          <w:p w14:paraId="08065526" w14:textId="77777777" w:rsidR="00B54D51" w:rsidRPr="00037AD4" w:rsidRDefault="00B54D51" w:rsidP="00401C67">
            <w:pPr>
              <w:rPr>
                <w:rFonts w:asciiTheme="minorHAnsi" w:hAnsiTheme="minorHAnsi" w:cstheme="minorHAnsi"/>
                <w:color w:val="000000" w:themeColor="text1"/>
              </w:rPr>
            </w:pPr>
            <w:r w:rsidRPr="00037AD4">
              <w:rPr>
                <w:rFonts w:asciiTheme="minorHAnsi" w:hAnsiTheme="minorHAnsi" w:cstheme="minorHAnsi"/>
                <w:color w:val="000000" w:themeColor="text1"/>
              </w:rPr>
              <w:t>[-0.12; 0.10]</w:t>
            </w:r>
          </w:p>
          <w:p w14:paraId="75FD57BC" w14:textId="77777777" w:rsidR="00B54D51" w:rsidRPr="00037AD4" w:rsidRDefault="00B54D51" w:rsidP="00401C67">
            <w:pPr>
              <w:rPr>
                <w:rFonts w:asciiTheme="minorHAnsi" w:hAnsiTheme="minorHAnsi" w:cstheme="minorHAnsi"/>
                <w:b/>
                <w:bCs/>
                <w:color w:val="000000" w:themeColor="text1"/>
              </w:rPr>
            </w:pPr>
            <w:r w:rsidRPr="00037AD4">
              <w:rPr>
                <w:rFonts w:asciiTheme="minorHAnsi" w:hAnsiTheme="minorHAnsi" w:cstheme="minorHAnsi"/>
                <w:b/>
                <w:bCs/>
                <w:color w:val="000000" w:themeColor="text1"/>
              </w:rPr>
              <w:t>-0.03</w:t>
            </w:r>
          </w:p>
          <w:p w14:paraId="131BCBB3" w14:textId="77777777" w:rsidR="00B54D51" w:rsidRPr="00037AD4" w:rsidRDefault="00B54D51" w:rsidP="00401C67">
            <w:pPr>
              <w:rPr>
                <w:rFonts w:asciiTheme="minorHAnsi" w:hAnsiTheme="minorHAnsi" w:cstheme="minorHAnsi"/>
                <w:color w:val="000000" w:themeColor="text1"/>
              </w:rPr>
            </w:pPr>
            <w:r w:rsidRPr="00037AD4">
              <w:rPr>
                <w:rFonts w:asciiTheme="minorHAnsi" w:hAnsiTheme="minorHAnsi" w:cstheme="minorHAnsi"/>
                <w:color w:val="000000" w:themeColor="text1"/>
              </w:rPr>
              <w:t>[-0.13; 0.08]</w:t>
            </w:r>
          </w:p>
        </w:tc>
        <w:tc>
          <w:tcPr>
            <w:tcW w:w="1785" w:type="dxa"/>
          </w:tcPr>
          <w:p w14:paraId="2C624402" w14:textId="77777777" w:rsidR="00B54D51" w:rsidRPr="00037AD4" w:rsidRDefault="00B54D51" w:rsidP="00401C67">
            <w:pPr>
              <w:rPr>
                <w:rFonts w:asciiTheme="minorHAnsi" w:hAnsiTheme="minorHAnsi" w:cstheme="minorHAnsi"/>
                <w:color w:val="000000" w:themeColor="text1"/>
              </w:rPr>
            </w:pPr>
          </w:p>
          <w:p w14:paraId="50D7BA1F" w14:textId="77777777" w:rsidR="00B54D51" w:rsidRPr="00037AD4" w:rsidRDefault="00B54D51" w:rsidP="00401C67">
            <w:pPr>
              <w:rPr>
                <w:rFonts w:asciiTheme="minorHAnsi" w:hAnsiTheme="minorHAnsi" w:cstheme="minorHAnsi"/>
                <w:color w:val="000000" w:themeColor="text1"/>
              </w:rPr>
            </w:pPr>
            <w:r w:rsidRPr="00037AD4">
              <w:rPr>
                <w:rFonts w:asciiTheme="minorHAnsi" w:hAnsiTheme="minorHAnsi" w:cstheme="minorHAnsi"/>
                <w:color w:val="000000" w:themeColor="text1"/>
              </w:rPr>
              <w:t xml:space="preserve">-0.14* </w:t>
            </w:r>
          </w:p>
          <w:p w14:paraId="7F0C1658" w14:textId="77777777" w:rsidR="00B54D51" w:rsidRPr="00037AD4" w:rsidRDefault="00B54D51" w:rsidP="00401C67">
            <w:pPr>
              <w:rPr>
                <w:rFonts w:asciiTheme="minorHAnsi" w:hAnsiTheme="minorHAnsi" w:cstheme="minorHAnsi"/>
                <w:color w:val="000000" w:themeColor="text1"/>
              </w:rPr>
            </w:pPr>
          </w:p>
          <w:p w14:paraId="0DC21B11" w14:textId="77777777" w:rsidR="00B54D51" w:rsidRPr="00037AD4" w:rsidRDefault="00B54D51" w:rsidP="00401C67">
            <w:pPr>
              <w:rPr>
                <w:rFonts w:asciiTheme="minorHAnsi" w:hAnsiTheme="minorHAnsi" w:cstheme="minorHAnsi"/>
                <w:color w:val="000000" w:themeColor="text1"/>
              </w:rPr>
            </w:pPr>
            <w:r w:rsidRPr="00037AD4">
              <w:rPr>
                <w:rFonts w:asciiTheme="minorHAnsi" w:hAnsiTheme="minorHAnsi" w:cstheme="minorHAnsi"/>
                <w:color w:val="000000" w:themeColor="text1"/>
              </w:rPr>
              <w:t>0.03</w:t>
            </w:r>
          </w:p>
        </w:tc>
        <w:tc>
          <w:tcPr>
            <w:tcW w:w="1706" w:type="dxa"/>
          </w:tcPr>
          <w:p w14:paraId="6A9520A2" w14:textId="77777777" w:rsidR="00B54D51" w:rsidRPr="00037AD4" w:rsidRDefault="00B54D51" w:rsidP="00401C67">
            <w:pPr>
              <w:rPr>
                <w:rFonts w:asciiTheme="minorHAnsi" w:hAnsiTheme="minorHAnsi" w:cstheme="minorHAnsi"/>
                <w:color w:val="000000" w:themeColor="text1"/>
              </w:rPr>
            </w:pPr>
          </w:p>
          <w:p w14:paraId="7611CF4C" w14:textId="77777777" w:rsidR="00B54D51" w:rsidRPr="00037AD4" w:rsidRDefault="00B54D51" w:rsidP="00401C67">
            <w:pPr>
              <w:rPr>
                <w:rFonts w:asciiTheme="minorHAnsi" w:hAnsiTheme="minorHAnsi" w:cstheme="minorHAnsi"/>
                <w:color w:val="000000" w:themeColor="text1"/>
              </w:rPr>
            </w:pPr>
            <w:r w:rsidRPr="00037AD4">
              <w:rPr>
                <w:rFonts w:asciiTheme="minorHAnsi" w:hAnsiTheme="minorHAnsi" w:cstheme="minorHAnsi"/>
                <w:color w:val="000000" w:themeColor="text1"/>
              </w:rPr>
              <w:t xml:space="preserve">0.07 </w:t>
            </w:r>
          </w:p>
          <w:p w14:paraId="244A9EC2" w14:textId="77777777" w:rsidR="00B54D51" w:rsidRPr="00037AD4" w:rsidRDefault="00B54D51" w:rsidP="00401C67">
            <w:pPr>
              <w:rPr>
                <w:rFonts w:asciiTheme="minorHAnsi" w:hAnsiTheme="minorHAnsi" w:cstheme="minorHAnsi"/>
                <w:color w:val="000000" w:themeColor="text1"/>
              </w:rPr>
            </w:pPr>
          </w:p>
          <w:p w14:paraId="5DB92D99" w14:textId="77777777" w:rsidR="00B54D51" w:rsidRPr="00037AD4" w:rsidRDefault="00B54D51" w:rsidP="00401C67">
            <w:pPr>
              <w:rPr>
                <w:rFonts w:asciiTheme="minorHAnsi" w:hAnsiTheme="minorHAnsi" w:cstheme="minorHAnsi"/>
                <w:color w:val="000000" w:themeColor="text1"/>
              </w:rPr>
            </w:pPr>
            <w:r w:rsidRPr="00037AD4">
              <w:rPr>
                <w:rFonts w:asciiTheme="minorHAnsi" w:hAnsiTheme="minorHAnsi" w:cstheme="minorHAnsi"/>
                <w:color w:val="000000" w:themeColor="text1"/>
              </w:rPr>
              <w:t>0.07</w:t>
            </w:r>
          </w:p>
        </w:tc>
      </w:tr>
      <w:tr w:rsidR="00B54D51" w:rsidRPr="00037AD4" w14:paraId="11174AC9" w14:textId="77777777" w:rsidTr="00401C67">
        <w:trPr>
          <w:trHeight w:val="1124"/>
        </w:trPr>
        <w:tc>
          <w:tcPr>
            <w:tcW w:w="1716" w:type="dxa"/>
          </w:tcPr>
          <w:p w14:paraId="2AC44D0C" w14:textId="77777777" w:rsidR="00B54D51" w:rsidRPr="00037AD4" w:rsidRDefault="00B54D51" w:rsidP="00401C67">
            <w:pPr>
              <w:rPr>
                <w:rFonts w:asciiTheme="minorHAnsi" w:hAnsiTheme="minorHAnsi" w:cstheme="minorHAnsi"/>
                <w:i/>
                <w:iCs/>
                <w:color w:val="000000" w:themeColor="text1"/>
              </w:rPr>
            </w:pPr>
            <w:r w:rsidRPr="00037AD4">
              <w:rPr>
                <w:rFonts w:asciiTheme="minorHAnsi" w:hAnsiTheme="minorHAnsi" w:cstheme="minorHAnsi"/>
                <w:i/>
                <w:iCs/>
                <w:color w:val="000000" w:themeColor="text1"/>
              </w:rPr>
              <w:t xml:space="preserve">CSDD change </w:t>
            </w:r>
          </w:p>
          <w:p w14:paraId="47CC9BD4" w14:textId="77777777" w:rsidR="00B54D51" w:rsidRPr="00037AD4" w:rsidRDefault="00B54D51" w:rsidP="00401C67">
            <w:pPr>
              <w:rPr>
                <w:rFonts w:asciiTheme="minorHAnsi" w:hAnsiTheme="minorHAnsi" w:cstheme="minorHAnsi"/>
                <w:color w:val="000000" w:themeColor="text1"/>
              </w:rPr>
            </w:pPr>
            <w:r w:rsidRPr="00037AD4">
              <w:rPr>
                <w:rFonts w:asciiTheme="minorHAnsi" w:hAnsiTheme="minorHAnsi" w:cstheme="minorHAnsi"/>
                <w:color w:val="000000" w:themeColor="text1"/>
              </w:rPr>
              <w:t>PwD</w:t>
            </w:r>
          </w:p>
          <w:p w14:paraId="0F82DF06" w14:textId="77777777" w:rsidR="00B54D51" w:rsidRPr="00037AD4" w:rsidRDefault="00B54D51" w:rsidP="00401C67">
            <w:pPr>
              <w:rPr>
                <w:rFonts w:asciiTheme="minorHAnsi" w:hAnsiTheme="minorHAnsi" w:cstheme="minorHAnsi"/>
                <w:color w:val="000000" w:themeColor="text1"/>
              </w:rPr>
            </w:pPr>
          </w:p>
          <w:p w14:paraId="2AB295D7" w14:textId="77777777" w:rsidR="00B54D51" w:rsidRPr="00037AD4" w:rsidRDefault="00B54D51" w:rsidP="00401C67">
            <w:pPr>
              <w:rPr>
                <w:rFonts w:asciiTheme="minorHAnsi" w:hAnsiTheme="minorHAnsi" w:cstheme="minorHAnsi"/>
                <w:color w:val="000000" w:themeColor="text1"/>
              </w:rPr>
            </w:pPr>
            <w:r w:rsidRPr="00037AD4">
              <w:rPr>
                <w:rFonts w:asciiTheme="minorHAnsi" w:hAnsiTheme="minorHAnsi" w:cstheme="minorHAnsi"/>
                <w:color w:val="000000" w:themeColor="text1"/>
              </w:rPr>
              <w:t>Informal proxy</w:t>
            </w:r>
          </w:p>
          <w:p w14:paraId="202B1679" w14:textId="77777777" w:rsidR="00B54D51" w:rsidRPr="00037AD4" w:rsidRDefault="00B54D51" w:rsidP="00401C67">
            <w:pPr>
              <w:rPr>
                <w:rFonts w:asciiTheme="minorHAnsi" w:hAnsiTheme="minorHAnsi" w:cstheme="minorHAnsi"/>
                <w:color w:val="000000" w:themeColor="text1"/>
              </w:rPr>
            </w:pPr>
          </w:p>
          <w:p w14:paraId="3009F0BB" w14:textId="77777777" w:rsidR="00B54D51" w:rsidRPr="00037AD4" w:rsidRDefault="00B54D51" w:rsidP="00401C67">
            <w:pPr>
              <w:rPr>
                <w:rFonts w:asciiTheme="minorHAnsi" w:hAnsiTheme="minorHAnsi" w:cstheme="minorHAnsi"/>
                <w:i/>
                <w:iCs/>
                <w:color w:val="000000" w:themeColor="text1"/>
              </w:rPr>
            </w:pPr>
          </w:p>
        </w:tc>
        <w:tc>
          <w:tcPr>
            <w:tcW w:w="581" w:type="dxa"/>
          </w:tcPr>
          <w:p w14:paraId="0865086F" w14:textId="77777777" w:rsidR="00B54D51" w:rsidRPr="00037AD4" w:rsidRDefault="00B54D51" w:rsidP="00401C67">
            <w:pPr>
              <w:rPr>
                <w:rFonts w:asciiTheme="minorHAnsi" w:hAnsiTheme="minorHAnsi" w:cstheme="minorHAnsi"/>
                <w:color w:val="000000" w:themeColor="text1"/>
              </w:rPr>
            </w:pPr>
          </w:p>
          <w:p w14:paraId="27013D47" w14:textId="77777777" w:rsidR="00B54D51" w:rsidRPr="00037AD4" w:rsidRDefault="00B54D51" w:rsidP="00401C67">
            <w:pPr>
              <w:rPr>
                <w:rFonts w:asciiTheme="minorHAnsi" w:hAnsiTheme="minorHAnsi" w:cstheme="minorHAnsi"/>
                <w:color w:val="000000" w:themeColor="text1"/>
              </w:rPr>
            </w:pPr>
            <w:r w:rsidRPr="00037AD4">
              <w:rPr>
                <w:rFonts w:asciiTheme="minorHAnsi" w:hAnsiTheme="minorHAnsi" w:cstheme="minorHAnsi"/>
                <w:color w:val="000000" w:themeColor="text1"/>
              </w:rPr>
              <w:t>221</w:t>
            </w:r>
          </w:p>
          <w:p w14:paraId="7598940C" w14:textId="77777777" w:rsidR="00B54D51" w:rsidRPr="00037AD4" w:rsidRDefault="00B54D51" w:rsidP="00401C67">
            <w:pPr>
              <w:rPr>
                <w:rFonts w:asciiTheme="minorHAnsi" w:hAnsiTheme="minorHAnsi" w:cstheme="minorHAnsi"/>
                <w:color w:val="000000" w:themeColor="text1"/>
              </w:rPr>
            </w:pPr>
          </w:p>
          <w:p w14:paraId="79748698" w14:textId="77777777" w:rsidR="00B54D51" w:rsidRPr="00037AD4" w:rsidRDefault="00B54D51" w:rsidP="00401C67">
            <w:pPr>
              <w:rPr>
                <w:rFonts w:asciiTheme="minorHAnsi" w:hAnsiTheme="minorHAnsi" w:cstheme="minorHAnsi"/>
                <w:color w:val="000000" w:themeColor="text1"/>
              </w:rPr>
            </w:pPr>
            <w:r w:rsidRPr="00037AD4">
              <w:rPr>
                <w:rFonts w:asciiTheme="minorHAnsi" w:hAnsiTheme="minorHAnsi" w:cstheme="minorHAnsi"/>
                <w:color w:val="000000" w:themeColor="text1"/>
              </w:rPr>
              <w:t>238</w:t>
            </w:r>
          </w:p>
        </w:tc>
        <w:tc>
          <w:tcPr>
            <w:tcW w:w="1805" w:type="dxa"/>
          </w:tcPr>
          <w:p w14:paraId="065C6757" w14:textId="77777777" w:rsidR="00B54D51" w:rsidRPr="00037AD4" w:rsidRDefault="00B54D51" w:rsidP="00401C67">
            <w:pPr>
              <w:rPr>
                <w:rFonts w:asciiTheme="minorHAnsi" w:hAnsiTheme="minorHAnsi" w:cstheme="minorHAnsi"/>
                <w:color w:val="000000" w:themeColor="text1"/>
              </w:rPr>
            </w:pPr>
          </w:p>
          <w:p w14:paraId="21F51A4C" w14:textId="77777777" w:rsidR="00B54D51" w:rsidRPr="00037AD4" w:rsidRDefault="00B54D51" w:rsidP="00401C67">
            <w:pPr>
              <w:rPr>
                <w:rFonts w:asciiTheme="minorHAnsi" w:hAnsiTheme="minorHAnsi" w:cstheme="minorHAnsi"/>
                <w:b/>
                <w:bCs/>
                <w:color w:val="000000" w:themeColor="text1"/>
              </w:rPr>
            </w:pPr>
            <w:r w:rsidRPr="00037AD4">
              <w:rPr>
                <w:rFonts w:asciiTheme="minorHAnsi" w:hAnsiTheme="minorHAnsi" w:cstheme="minorHAnsi"/>
                <w:b/>
                <w:bCs/>
                <w:color w:val="000000" w:themeColor="text1"/>
              </w:rPr>
              <w:t xml:space="preserve">0.04 </w:t>
            </w:r>
          </w:p>
          <w:p w14:paraId="52FE9719" w14:textId="77777777" w:rsidR="00B54D51" w:rsidRPr="00037AD4" w:rsidRDefault="00B54D51" w:rsidP="00401C67">
            <w:pPr>
              <w:rPr>
                <w:rFonts w:asciiTheme="minorHAnsi" w:hAnsiTheme="minorHAnsi" w:cstheme="minorHAnsi"/>
                <w:color w:val="000000" w:themeColor="text1"/>
              </w:rPr>
            </w:pPr>
            <w:r w:rsidRPr="00037AD4">
              <w:rPr>
                <w:rFonts w:asciiTheme="minorHAnsi" w:hAnsiTheme="minorHAnsi" w:cstheme="minorHAnsi"/>
                <w:color w:val="000000" w:themeColor="text1"/>
              </w:rPr>
              <w:t>[-0.09; 0.17]</w:t>
            </w:r>
          </w:p>
          <w:p w14:paraId="0BF76A7C" w14:textId="77777777" w:rsidR="00B54D51" w:rsidRPr="00037AD4" w:rsidRDefault="00B54D51" w:rsidP="00401C67">
            <w:pPr>
              <w:rPr>
                <w:rFonts w:asciiTheme="minorHAnsi" w:hAnsiTheme="minorHAnsi" w:cstheme="minorHAnsi"/>
                <w:b/>
                <w:bCs/>
                <w:color w:val="000000" w:themeColor="text1"/>
              </w:rPr>
            </w:pPr>
            <w:r w:rsidRPr="00037AD4">
              <w:rPr>
                <w:rFonts w:asciiTheme="minorHAnsi" w:hAnsiTheme="minorHAnsi" w:cstheme="minorHAnsi"/>
                <w:b/>
                <w:bCs/>
                <w:color w:val="000000" w:themeColor="text1"/>
              </w:rPr>
              <w:t>0.14*</w:t>
            </w:r>
          </w:p>
          <w:p w14:paraId="2DBCC6B4" w14:textId="77777777" w:rsidR="00B54D51" w:rsidRPr="00037AD4" w:rsidRDefault="00B54D51" w:rsidP="00401C67">
            <w:pPr>
              <w:rPr>
                <w:rFonts w:asciiTheme="minorHAnsi" w:hAnsiTheme="minorHAnsi" w:cstheme="minorHAnsi"/>
                <w:color w:val="000000" w:themeColor="text1"/>
              </w:rPr>
            </w:pPr>
            <w:r w:rsidRPr="00037AD4">
              <w:rPr>
                <w:rFonts w:asciiTheme="minorHAnsi" w:hAnsiTheme="minorHAnsi" w:cstheme="minorHAnsi"/>
                <w:color w:val="000000" w:themeColor="text1"/>
              </w:rPr>
              <w:t>[0.01; 0.27]</w:t>
            </w:r>
          </w:p>
        </w:tc>
        <w:tc>
          <w:tcPr>
            <w:tcW w:w="1785" w:type="dxa"/>
          </w:tcPr>
          <w:p w14:paraId="3E1FAEF3" w14:textId="77777777" w:rsidR="00B54D51" w:rsidRPr="00037AD4" w:rsidRDefault="00B54D51" w:rsidP="00401C67">
            <w:pPr>
              <w:rPr>
                <w:rFonts w:asciiTheme="minorHAnsi" w:hAnsiTheme="minorHAnsi" w:cstheme="minorHAnsi"/>
                <w:color w:val="000000" w:themeColor="text1"/>
              </w:rPr>
            </w:pPr>
          </w:p>
          <w:p w14:paraId="608765A9" w14:textId="77777777" w:rsidR="00B54D51" w:rsidRPr="00037AD4" w:rsidRDefault="00B54D51" w:rsidP="00401C67">
            <w:pPr>
              <w:rPr>
                <w:rFonts w:asciiTheme="minorHAnsi" w:hAnsiTheme="minorHAnsi" w:cstheme="minorHAnsi"/>
                <w:color w:val="000000" w:themeColor="text1"/>
              </w:rPr>
            </w:pPr>
            <w:r w:rsidRPr="00037AD4">
              <w:rPr>
                <w:rFonts w:asciiTheme="minorHAnsi" w:hAnsiTheme="minorHAnsi" w:cstheme="minorHAnsi"/>
                <w:color w:val="000000" w:themeColor="text1"/>
              </w:rPr>
              <w:t xml:space="preserve">0.12 </w:t>
            </w:r>
          </w:p>
          <w:p w14:paraId="4553E5E0" w14:textId="77777777" w:rsidR="00B54D51" w:rsidRPr="00037AD4" w:rsidRDefault="00B54D51" w:rsidP="00401C67">
            <w:pPr>
              <w:rPr>
                <w:rFonts w:asciiTheme="minorHAnsi" w:hAnsiTheme="minorHAnsi" w:cstheme="minorHAnsi"/>
                <w:color w:val="000000" w:themeColor="text1"/>
              </w:rPr>
            </w:pPr>
          </w:p>
          <w:p w14:paraId="3EA6A847" w14:textId="77777777" w:rsidR="00B54D51" w:rsidRPr="00037AD4" w:rsidRDefault="00B54D51" w:rsidP="00401C67">
            <w:pPr>
              <w:rPr>
                <w:rFonts w:asciiTheme="minorHAnsi" w:hAnsiTheme="minorHAnsi" w:cstheme="minorHAnsi"/>
                <w:color w:val="000000" w:themeColor="text1"/>
              </w:rPr>
            </w:pPr>
            <w:r w:rsidRPr="00037AD4">
              <w:rPr>
                <w:rFonts w:asciiTheme="minorHAnsi" w:hAnsiTheme="minorHAnsi" w:cstheme="minorHAnsi"/>
                <w:color w:val="000000" w:themeColor="text1"/>
              </w:rPr>
              <w:t>0.16*</w:t>
            </w:r>
          </w:p>
          <w:p w14:paraId="1A9286D5" w14:textId="77777777" w:rsidR="00B54D51" w:rsidRPr="00037AD4" w:rsidRDefault="00B54D51" w:rsidP="00401C67">
            <w:pPr>
              <w:rPr>
                <w:rFonts w:asciiTheme="minorHAnsi" w:hAnsiTheme="minorHAnsi" w:cstheme="minorHAnsi"/>
                <w:color w:val="000000" w:themeColor="text1"/>
              </w:rPr>
            </w:pPr>
            <w:r w:rsidRPr="00037AD4">
              <w:rPr>
                <w:rFonts w:asciiTheme="minorHAnsi" w:hAnsiTheme="minorHAnsi" w:cstheme="minorHAnsi"/>
                <w:color w:val="000000" w:themeColor="text1"/>
              </w:rPr>
              <w:t xml:space="preserve"> </w:t>
            </w:r>
          </w:p>
        </w:tc>
        <w:tc>
          <w:tcPr>
            <w:tcW w:w="1706" w:type="dxa"/>
          </w:tcPr>
          <w:p w14:paraId="024B6775" w14:textId="77777777" w:rsidR="00B54D51" w:rsidRPr="00037AD4" w:rsidRDefault="00B54D51" w:rsidP="00401C67">
            <w:pPr>
              <w:rPr>
                <w:rFonts w:asciiTheme="minorHAnsi" w:hAnsiTheme="minorHAnsi" w:cstheme="minorHAnsi"/>
                <w:color w:val="000000" w:themeColor="text1"/>
              </w:rPr>
            </w:pPr>
          </w:p>
          <w:p w14:paraId="21CCB152" w14:textId="77777777" w:rsidR="00B54D51" w:rsidRPr="00037AD4" w:rsidRDefault="00B54D51" w:rsidP="00401C67">
            <w:pPr>
              <w:rPr>
                <w:rFonts w:asciiTheme="minorHAnsi" w:hAnsiTheme="minorHAnsi" w:cstheme="minorHAnsi"/>
                <w:color w:val="000000" w:themeColor="text1"/>
              </w:rPr>
            </w:pPr>
            <w:r w:rsidRPr="00037AD4">
              <w:rPr>
                <w:rFonts w:asciiTheme="minorHAnsi" w:hAnsiTheme="minorHAnsi" w:cstheme="minorHAnsi"/>
                <w:color w:val="000000" w:themeColor="text1"/>
              </w:rPr>
              <w:t xml:space="preserve">-0.14 </w:t>
            </w:r>
          </w:p>
          <w:p w14:paraId="44BB6B03" w14:textId="77777777" w:rsidR="00B54D51" w:rsidRPr="00037AD4" w:rsidRDefault="00B54D51" w:rsidP="00401C67">
            <w:pPr>
              <w:rPr>
                <w:rFonts w:asciiTheme="minorHAnsi" w:hAnsiTheme="minorHAnsi" w:cstheme="minorHAnsi"/>
                <w:color w:val="000000" w:themeColor="text1"/>
              </w:rPr>
            </w:pPr>
          </w:p>
          <w:p w14:paraId="650522DC" w14:textId="77777777" w:rsidR="00B54D51" w:rsidRPr="00037AD4" w:rsidRDefault="00B54D51" w:rsidP="00401C67">
            <w:pPr>
              <w:rPr>
                <w:rFonts w:asciiTheme="minorHAnsi" w:hAnsiTheme="minorHAnsi" w:cstheme="minorHAnsi"/>
                <w:color w:val="000000" w:themeColor="text1"/>
              </w:rPr>
            </w:pPr>
            <w:r w:rsidRPr="00037AD4">
              <w:rPr>
                <w:rFonts w:asciiTheme="minorHAnsi" w:hAnsiTheme="minorHAnsi" w:cstheme="minorHAnsi"/>
                <w:color w:val="000000" w:themeColor="text1"/>
              </w:rPr>
              <w:t xml:space="preserve">0.09 </w:t>
            </w:r>
          </w:p>
        </w:tc>
      </w:tr>
      <w:tr w:rsidR="00B54D51" w:rsidRPr="00037AD4" w14:paraId="27B11EB7" w14:textId="77777777" w:rsidTr="00401C67">
        <w:trPr>
          <w:trHeight w:val="638"/>
        </w:trPr>
        <w:tc>
          <w:tcPr>
            <w:tcW w:w="7593" w:type="dxa"/>
            <w:gridSpan w:val="5"/>
          </w:tcPr>
          <w:p w14:paraId="459CB3F9" w14:textId="77777777" w:rsidR="00B54D51" w:rsidRPr="00037AD4" w:rsidRDefault="00B54D51" w:rsidP="00401C67">
            <w:pPr>
              <w:rPr>
                <w:rFonts w:asciiTheme="minorHAnsi" w:hAnsiTheme="minorHAnsi" w:cstheme="minorHAnsi"/>
                <w:color w:val="000000" w:themeColor="text1"/>
              </w:rPr>
            </w:pPr>
            <w:r w:rsidRPr="00037AD4">
              <w:rPr>
                <w:rFonts w:asciiTheme="minorHAnsi" w:hAnsiTheme="minorHAnsi" w:cstheme="minorHAnsi"/>
              </w:rPr>
              <w:t>**CDR at T0 for CSDD and BADLS assessments due to lack of follow-up CDR data in REMCARE</w:t>
            </w:r>
          </w:p>
        </w:tc>
      </w:tr>
    </w:tbl>
    <w:p w14:paraId="50F4225A" w14:textId="77777777" w:rsidR="00B54D51" w:rsidRPr="00037AD4" w:rsidRDefault="00B54D51" w:rsidP="001D7ACE">
      <w:pPr>
        <w:rPr>
          <w:rFonts w:asciiTheme="minorHAnsi" w:hAnsiTheme="minorHAnsi" w:cstheme="minorHAnsi"/>
          <w:u w:val="single"/>
        </w:rPr>
      </w:pPr>
    </w:p>
    <w:p w14:paraId="40D6C8A9" w14:textId="77777777" w:rsidR="00B54D51" w:rsidRPr="00037AD4" w:rsidRDefault="00B54D51" w:rsidP="001D7ACE">
      <w:pPr>
        <w:rPr>
          <w:rFonts w:asciiTheme="minorHAnsi" w:hAnsiTheme="minorHAnsi" w:cstheme="minorHAnsi"/>
          <w:u w:val="single"/>
        </w:rPr>
      </w:pPr>
    </w:p>
    <w:p w14:paraId="0ADCDFCD" w14:textId="77777777" w:rsidR="00B54D51" w:rsidRPr="00037AD4" w:rsidRDefault="00B54D51" w:rsidP="001D7ACE">
      <w:pPr>
        <w:rPr>
          <w:rFonts w:asciiTheme="minorHAnsi" w:hAnsiTheme="minorHAnsi" w:cstheme="minorHAnsi"/>
          <w:u w:val="single"/>
        </w:rPr>
      </w:pPr>
    </w:p>
    <w:p w14:paraId="56827E3C" w14:textId="77777777" w:rsidR="00B54D51" w:rsidRPr="00037AD4" w:rsidRDefault="00B54D51" w:rsidP="001D7ACE">
      <w:pPr>
        <w:rPr>
          <w:rFonts w:asciiTheme="minorHAnsi" w:hAnsiTheme="minorHAnsi" w:cstheme="minorHAnsi"/>
          <w:u w:val="single"/>
        </w:rPr>
      </w:pPr>
    </w:p>
    <w:p w14:paraId="67319791" w14:textId="77777777" w:rsidR="00B54D51" w:rsidRPr="00037AD4" w:rsidRDefault="00B54D51" w:rsidP="001D7ACE">
      <w:pPr>
        <w:rPr>
          <w:rFonts w:asciiTheme="minorHAnsi" w:hAnsiTheme="minorHAnsi" w:cstheme="minorHAnsi"/>
          <w:u w:val="single"/>
        </w:rPr>
      </w:pPr>
    </w:p>
    <w:p w14:paraId="7490725C" w14:textId="77777777" w:rsidR="00B54D51" w:rsidRPr="00037AD4" w:rsidRDefault="00B54D51" w:rsidP="001D7ACE">
      <w:pPr>
        <w:rPr>
          <w:rFonts w:asciiTheme="minorHAnsi" w:hAnsiTheme="minorHAnsi" w:cstheme="minorHAnsi"/>
          <w:u w:val="single"/>
        </w:rPr>
      </w:pPr>
    </w:p>
    <w:p w14:paraId="648027B5" w14:textId="77777777" w:rsidR="00B54D51" w:rsidRPr="00037AD4" w:rsidRDefault="00B54D51" w:rsidP="001D7ACE">
      <w:pPr>
        <w:rPr>
          <w:rFonts w:asciiTheme="minorHAnsi" w:hAnsiTheme="minorHAnsi" w:cstheme="minorHAnsi"/>
          <w:u w:val="single"/>
        </w:rPr>
      </w:pPr>
    </w:p>
    <w:p w14:paraId="2380475D" w14:textId="77777777" w:rsidR="00B54D51" w:rsidRPr="00037AD4" w:rsidRDefault="00B54D51" w:rsidP="001D7ACE">
      <w:pPr>
        <w:rPr>
          <w:rFonts w:asciiTheme="minorHAnsi" w:hAnsiTheme="minorHAnsi" w:cstheme="minorHAnsi"/>
          <w:u w:val="single"/>
        </w:rPr>
      </w:pPr>
    </w:p>
    <w:p w14:paraId="0B3E70E3" w14:textId="77777777" w:rsidR="00B54D51" w:rsidRPr="00037AD4" w:rsidRDefault="00B54D51" w:rsidP="001D7ACE">
      <w:pPr>
        <w:rPr>
          <w:rFonts w:asciiTheme="minorHAnsi" w:hAnsiTheme="minorHAnsi" w:cstheme="minorHAnsi"/>
          <w:u w:val="single"/>
        </w:rPr>
      </w:pPr>
    </w:p>
    <w:p w14:paraId="757D6D7B" w14:textId="77777777" w:rsidR="00B54D51" w:rsidRPr="00037AD4" w:rsidRDefault="00B54D51" w:rsidP="001D7ACE">
      <w:pPr>
        <w:rPr>
          <w:rFonts w:asciiTheme="minorHAnsi" w:hAnsiTheme="minorHAnsi" w:cstheme="minorHAnsi"/>
        </w:rPr>
      </w:pPr>
    </w:p>
    <w:p w14:paraId="67DE10A7" w14:textId="77777777" w:rsidR="00B54D51" w:rsidRPr="00037AD4" w:rsidRDefault="00B54D51" w:rsidP="001D7ACE">
      <w:pPr>
        <w:rPr>
          <w:rFonts w:asciiTheme="minorHAnsi" w:hAnsiTheme="minorHAnsi" w:cstheme="minorHAnsi"/>
        </w:rPr>
      </w:pPr>
    </w:p>
    <w:p w14:paraId="4D31B201" w14:textId="77777777" w:rsidR="00B54D51" w:rsidRPr="00037AD4" w:rsidRDefault="00B54D51" w:rsidP="001D7ACE">
      <w:pPr>
        <w:rPr>
          <w:rFonts w:asciiTheme="minorHAnsi" w:hAnsiTheme="minorHAnsi" w:cstheme="minorHAnsi"/>
        </w:rPr>
      </w:pPr>
    </w:p>
    <w:p w14:paraId="0686BA51" w14:textId="77777777" w:rsidR="00B54D51" w:rsidRPr="00037AD4" w:rsidRDefault="00B54D51" w:rsidP="001D7ACE">
      <w:pPr>
        <w:rPr>
          <w:rFonts w:asciiTheme="minorHAnsi" w:hAnsiTheme="minorHAnsi" w:cstheme="minorHAnsi"/>
        </w:rPr>
      </w:pPr>
    </w:p>
    <w:p w14:paraId="79A662C1" w14:textId="77777777" w:rsidR="00B54D51" w:rsidRPr="00037AD4" w:rsidRDefault="00B54D51" w:rsidP="001D7ACE">
      <w:pPr>
        <w:rPr>
          <w:rFonts w:asciiTheme="minorHAnsi" w:hAnsiTheme="minorHAnsi" w:cstheme="minorHAnsi"/>
        </w:rPr>
      </w:pPr>
    </w:p>
    <w:p w14:paraId="7F278231" w14:textId="77777777" w:rsidR="00B54D51" w:rsidRPr="00037AD4" w:rsidRDefault="00B54D51" w:rsidP="001D7ACE">
      <w:pPr>
        <w:rPr>
          <w:rFonts w:asciiTheme="minorHAnsi" w:hAnsiTheme="minorHAnsi" w:cstheme="minorHAnsi"/>
        </w:rPr>
      </w:pPr>
    </w:p>
    <w:p w14:paraId="29BA8A36" w14:textId="77777777" w:rsidR="00B54D51" w:rsidRPr="00037AD4" w:rsidRDefault="00B54D51" w:rsidP="001D7ACE">
      <w:pPr>
        <w:rPr>
          <w:rFonts w:asciiTheme="minorHAnsi" w:hAnsiTheme="minorHAnsi" w:cstheme="minorHAnsi"/>
          <w:b/>
          <w:bCs/>
          <w:u w:val="single"/>
        </w:rPr>
      </w:pPr>
    </w:p>
    <w:p w14:paraId="74550F8F" w14:textId="77777777" w:rsidR="00B54D51" w:rsidRPr="00037AD4" w:rsidRDefault="00B54D51" w:rsidP="001D7ACE">
      <w:pPr>
        <w:rPr>
          <w:rFonts w:asciiTheme="minorHAnsi" w:hAnsiTheme="minorHAnsi" w:cstheme="minorHAnsi"/>
          <w:b/>
          <w:bCs/>
          <w:u w:val="single"/>
        </w:rPr>
      </w:pPr>
    </w:p>
    <w:p w14:paraId="7E42C7E6" w14:textId="77777777" w:rsidR="00B54D51" w:rsidRPr="00037AD4" w:rsidRDefault="00B54D51" w:rsidP="001D7ACE">
      <w:pPr>
        <w:rPr>
          <w:rFonts w:asciiTheme="minorHAnsi" w:hAnsiTheme="minorHAnsi" w:cstheme="minorHAnsi"/>
          <w:b/>
          <w:bCs/>
          <w:u w:val="single"/>
        </w:rPr>
      </w:pPr>
    </w:p>
    <w:p w14:paraId="62FBB292" w14:textId="77777777" w:rsidR="00B54D51" w:rsidRPr="00037AD4" w:rsidRDefault="00B54D51" w:rsidP="001D7ACE">
      <w:pPr>
        <w:rPr>
          <w:rFonts w:asciiTheme="minorHAnsi" w:hAnsiTheme="minorHAnsi" w:cstheme="minorHAnsi"/>
          <w:b/>
          <w:bCs/>
          <w:u w:val="single"/>
        </w:rPr>
      </w:pPr>
    </w:p>
    <w:p w14:paraId="6CFE7A28" w14:textId="77777777" w:rsidR="00B54D51" w:rsidRPr="00037AD4" w:rsidRDefault="00B54D51" w:rsidP="001D7ACE">
      <w:pPr>
        <w:rPr>
          <w:rFonts w:asciiTheme="minorHAnsi" w:hAnsiTheme="minorHAnsi" w:cstheme="minorHAnsi"/>
          <w:b/>
          <w:bCs/>
          <w:u w:val="single"/>
        </w:rPr>
      </w:pPr>
    </w:p>
    <w:p w14:paraId="79A138AE" w14:textId="77777777" w:rsidR="00B54D51" w:rsidRPr="00037AD4" w:rsidRDefault="00B54D51" w:rsidP="001D7ACE">
      <w:pPr>
        <w:rPr>
          <w:rFonts w:asciiTheme="minorHAnsi" w:hAnsiTheme="minorHAnsi" w:cstheme="minorHAnsi"/>
          <w:b/>
          <w:bCs/>
          <w:u w:val="single"/>
        </w:rPr>
      </w:pPr>
    </w:p>
    <w:p w14:paraId="390857A2" w14:textId="77777777" w:rsidR="00B54D51" w:rsidRPr="00037AD4" w:rsidRDefault="00B54D51" w:rsidP="001D7ACE">
      <w:pPr>
        <w:rPr>
          <w:rFonts w:asciiTheme="minorHAnsi" w:hAnsiTheme="minorHAnsi" w:cstheme="minorHAnsi"/>
          <w:b/>
          <w:bCs/>
          <w:u w:val="single"/>
        </w:rPr>
      </w:pPr>
    </w:p>
    <w:p w14:paraId="1016B566" w14:textId="77777777" w:rsidR="00B54D51" w:rsidRPr="00037AD4" w:rsidRDefault="00B54D51" w:rsidP="001D7ACE">
      <w:pPr>
        <w:rPr>
          <w:rFonts w:asciiTheme="minorHAnsi" w:hAnsiTheme="minorHAnsi" w:cstheme="minorHAnsi"/>
          <w:b/>
          <w:bCs/>
          <w:u w:val="single"/>
        </w:rPr>
      </w:pPr>
    </w:p>
    <w:p w14:paraId="5239D1D6" w14:textId="77777777" w:rsidR="00B54D51" w:rsidRPr="00037AD4" w:rsidRDefault="00B54D51" w:rsidP="001D7ACE">
      <w:pPr>
        <w:rPr>
          <w:rFonts w:asciiTheme="minorHAnsi" w:hAnsiTheme="minorHAnsi" w:cstheme="minorHAnsi"/>
          <w:u w:val="single"/>
        </w:rPr>
      </w:pPr>
      <w:bookmarkStart w:id="513" w:name="TableA54i"/>
      <w:r w:rsidRPr="00037AD4">
        <w:rPr>
          <w:rFonts w:asciiTheme="minorHAnsi" w:hAnsiTheme="minorHAnsi" w:cstheme="minorHAnsi"/>
          <w:u w:val="single"/>
        </w:rPr>
        <w:t>Table A5.4i, Correlation between change in self-care dimension score and change in dementia symptom measure scores</w:t>
      </w:r>
    </w:p>
    <w:tbl>
      <w:tblPr>
        <w:tblStyle w:val="TableGrid"/>
        <w:tblpPr w:leftFromText="180" w:rightFromText="180" w:vertAnchor="text" w:horzAnchor="margin" w:tblpY="241"/>
        <w:tblW w:w="7593" w:type="dxa"/>
        <w:tblLook w:val="04A0" w:firstRow="1" w:lastRow="0" w:firstColumn="1" w:lastColumn="0" w:noHBand="0" w:noVBand="1"/>
      </w:tblPr>
      <w:tblGrid>
        <w:gridCol w:w="1716"/>
        <w:gridCol w:w="581"/>
        <w:gridCol w:w="1805"/>
        <w:gridCol w:w="1785"/>
        <w:gridCol w:w="1706"/>
      </w:tblGrid>
      <w:tr w:rsidR="00B54D51" w:rsidRPr="00037AD4" w14:paraId="22411635" w14:textId="77777777" w:rsidTr="00401C67">
        <w:trPr>
          <w:trHeight w:val="553"/>
        </w:trPr>
        <w:tc>
          <w:tcPr>
            <w:tcW w:w="2297" w:type="dxa"/>
            <w:gridSpan w:val="2"/>
          </w:tcPr>
          <w:bookmarkEnd w:id="513"/>
          <w:p w14:paraId="0F33D90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Correlation coefficient; CI</w:t>
            </w:r>
          </w:p>
        </w:tc>
        <w:tc>
          <w:tcPr>
            <w:tcW w:w="5296" w:type="dxa"/>
            <w:gridSpan w:val="3"/>
          </w:tcPr>
          <w:p w14:paraId="5319DD06" w14:textId="77777777" w:rsidR="00B54D51" w:rsidRPr="00037AD4" w:rsidRDefault="00B54D51" w:rsidP="00401C67">
            <w:pPr>
              <w:jc w:val="center"/>
              <w:rPr>
                <w:rFonts w:asciiTheme="minorHAnsi" w:hAnsiTheme="minorHAnsi" w:cstheme="minorHAnsi"/>
              </w:rPr>
            </w:pPr>
            <w:r w:rsidRPr="00037AD4">
              <w:rPr>
                <w:rFonts w:asciiTheme="minorHAnsi" w:hAnsiTheme="minorHAnsi" w:cstheme="minorHAnsi"/>
              </w:rPr>
              <w:t xml:space="preserve">CDR severity stage </w:t>
            </w:r>
            <w:r w:rsidRPr="00037AD4">
              <w:rPr>
                <w:rFonts w:asciiTheme="minorHAnsi" w:hAnsiTheme="minorHAnsi" w:cstheme="minorHAnsi"/>
                <w:color w:val="000000" w:themeColor="text1"/>
              </w:rPr>
              <w:t>at T2**</w:t>
            </w:r>
          </w:p>
        </w:tc>
      </w:tr>
      <w:tr w:rsidR="00B54D51" w:rsidRPr="00037AD4" w14:paraId="255E1512" w14:textId="77777777" w:rsidTr="00401C67">
        <w:trPr>
          <w:trHeight w:val="553"/>
        </w:trPr>
        <w:tc>
          <w:tcPr>
            <w:tcW w:w="1716" w:type="dxa"/>
          </w:tcPr>
          <w:p w14:paraId="35FDBFB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Instrument and rater-type </w:t>
            </w:r>
          </w:p>
        </w:tc>
        <w:tc>
          <w:tcPr>
            <w:tcW w:w="581" w:type="dxa"/>
          </w:tcPr>
          <w:p w14:paraId="62B11F8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N</w:t>
            </w:r>
          </w:p>
        </w:tc>
        <w:tc>
          <w:tcPr>
            <w:tcW w:w="1805" w:type="dxa"/>
          </w:tcPr>
          <w:p w14:paraId="4014746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Sum  </w:t>
            </w:r>
          </w:p>
        </w:tc>
        <w:tc>
          <w:tcPr>
            <w:tcW w:w="1785" w:type="dxa"/>
          </w:tcPr>
          <w:p w14:paraId="6BC1BFB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Mild </w:t>
            </w:r>
          </w:p>
        </w:tc>
        <w:tc>
          <w:tcPr>
            <w:tcW w:w="1706" w:type="dxa"/>
          </w:tcPr>
          <w:p w14:paraId="02E4FA2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Moderate </w:t>
            </w:r>
          </w:p>
        </w:tc>
      </w:tr>
      <w:tr w:rsidR="00B54D51" w:rsidRPr="00037AD4" w14:paraId="3E67D55A" w14:textId="77777777" w:rsidTr="00401C67">
        <w:trPr>
          <w:trHeight w:val="1945"/>
        </w:trPr>
        <w:tc>
          <w:tcPr>
            <w:tcW w:w="1716" w:type="dxa"/>
          </w:tcPr>
          <w:p w14:paraId="255B1807" w14:textId="77777777" w:rsidR="00B54D51" w:rsidRPr="00037AD4" w:rsidRDefault="00B54D51" w:rsidP="00401C67">
            <w:pPr>
              <w:rPr>
                <w:rFonts w:asciiTheme="minorHAnsi" w:hAnsiTheme="minorHAnsi" w:cstheme="minorHAnsi"/>
                <w:i/>
                <w:iCs/>
              </w:rPr>
            </w:pPr>
            <w:r w:rsidRPr="00037AD4">
              <w:rPr>
                <w:rFonts w:asciiTheme="minorHAnsi" w:hAnsiTheme="minorHAnsi" w:cstheme="minorHAnsi"/>
                <w:i/>
                <w:iCs/>
              </w:rPr>
              <w:t>CDR change</w:t>
            </w:r>
          </w:p>
          <w:p w14:paraId="32B58FC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PwD</w:t>
            </w:r>
          </w:p>
          <w:p w14:paraId="7A59607D" w14:textId="77777777" w:rsidR="00B54D51" w:rsidRPr="00037AD4" w:rsidRDefault="00B54D51" w:rsidP="00401C67">
            <w:pPr>
              <w:rPr>
                <w:rFonts w:asciiTheme="minorHAnsi" w:hAnsiTheme="minorHAnsi" w:cstheme="minorHAnsi"/>
              </w:rPr>
            </w:pPr>
          </w:p>
          <w:p w14:paraId="51D7992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Informal proxy</w:t>
            </w:r>
          </w:p>
          <w:p w14:paraId="571ACC20" w14:textId="77777777" w:rsidR="00B54D51" w:rsidRPr="00037AD4" w:rsidRDefault="00B54D51" w:rsidP="00401C67">
            <w:pPr>
              <w:rPr>
                <w:rFonts w:asciiTheme="minorHAnsi" w:hAnsiTheme="minorHAnsi" w:cstheme="minorHAnsi"/>
              </w:rPr>
            </w:pPr>
          </w:p>
          <w:p w14:paraId="3A15BD7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Staff proxy </w:t>
            </w:r>
          </w:p>
        </w:tc>
        <w:tc>
          <w:tcPr>
            <w:tcW w:w="581" w:type="dxa"/>
          </w:tcPr>
          <w:p w14:paraId="6F136AC1" w14:textId="77777777" w:rsidR="00B54D51" w:rsidRPr="00037AD4" w:rsidRDefault="00B54D51" w:rsidP="00401C67">
            <w:pPr>
              <w:rPr>
                <w:rFonts w:asciiTheme="minorHAnsi" w:hAnsiTheme="minorHAnsi" w:cstheme="minorHAnsi"/>
              </w:rPr>
            </w:pPr>
          </w:p>
          <w:p w14:paraId="56F3621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435</w:t>
            </w:r>
          </w:p>
          <w:p w14:paraId="5207602D" w14:textId="77777777" w:rsidR="00B54D51" w:rsidRPr="00037AD4" w:rsidRDefault="00B54D51" w:rsidP="00401C67">
            <w:pPr>
              <w:rPr>
                <w:rFonts w:asciiTheme="minorHAnsi" w:hAnsiTheme="minorHAnsi" w:cstheme="minorHAnsi"/>
              </w:rPr>
            </w:pPr>
          </w:p>
          <w:p w14:paraId="00018B4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397</w:t>
            </w:r>
          </w:p>
          <w:p w14:paraId="56499A21" w14:textId="77777777" w:rsidR="00B54D51" w:rsidRPr="00037AD4" w:rsidRDefault="00B54D51" w:rsidP="00401C67">
            <w:pPr>
              <w:rPr>
                <w:rFonts w:asciiTheme="minorHAnsi" w:hAnsiTheme="minorHAnsi" w:cstheme="minorHAnsi"/>
              </w:rPr>
            </w:pPr>
          </w:p>
          <w:p w14:paraId="60AAD4A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396</w:t>
            </w:r>
          </w:p>
        </w:tc>
        <w:tc>
          <w:tcPr>
            <w:tcW w:w="1805" w:type="dxa"/>
          </w:tcPr>
          <w:p w14:paraId="14AE061C" w14:textId="77777777" w:rsidR="00B54D51" w:rsidRPr="00037AD4" w:rsidRDefault="00B54D51" w:rsidP="00401C67">
            <w:pPr>
              <w:rPr>
                <w:rFonts w:asciiTheme="minorHAnsi" w:hAnsiTheme="minorHAnsi" w:cstheme="minorHAnsi"/>
              </w:rPr>
            </w:pPr>
          </w:p>
          <w:p w14:paraId="732D0D0D"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0.07</w:t>
            </w:r>
          </w:p>
          <w:p w14:paraId="225AA45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[-0.03; 0.16] </w:t>
            </w:r>
          </w:p>
          <w:p w14:paraId="0A6021FC"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 xml:space="preserve">0.29* </w:t>
            </w:r>
          </w:p>
          <w:p w14:paraId="25047BB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[0.20; 0.38]</w:t>
            </w:r>
          </w:p>
          <w:p w14:paraId="380BEE88"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0.32*</w:t>
            </w:r>
          </w:p>
          <w:p w14:paraId="3CCAAE5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[0.23; 0.41] </w:t>
            </w:r>
          </w:p>
        </w:tc>
        <w:tc>
          <w:tcPr>
            <w:tcW w:w="1785" w:type="dxa"/>
          </w:tcPr>
          <w:p w14:paraId="468E749A" w14:textId="77777777" w:rsidR="00B54D51" w:rsidRPr="00037AD4" w:rsidRDefault="00B54D51" w:rsidP="00401C67">
            <w:pPr>
              <w:rPr>
                <w:rFonts w:asciiTheme="minorHAnsi" w:hAnsiTheme="minorHAnsi" w:cstheme="minorHAnsi"/>
              </w:rPr>
            </w:pPr>
          </w:p>
          <w:p w14:paraId="621C189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-0.01</w:t>
            </w:r>
          </w:p>
          <w:p w14:paraId="6AE8B1EC" w14:textId="77777777" w:rsidR="00B54D51" w:rsidRPr="00037AD4" w:rsidRDefault="00B54D51" w:rsidP="00401C67">
            <w:pPr>
              <w:rPr>
                <w:rFonts w:asciiTheme="minorHAnsi" w:hAnsiTheme="minorHAnsi" w:cstheme="minorHAnsi"/>
              </w:rPr>
            </w:pPr>
          </w:p>
          <w:p w14:paraId="7BFE8CB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0.11</w:t>
            </w:r>
          </w:p>
          <w:p w14:paraId="6F6A1EFA" w14:textId="77777777" w:rsidR="00B54D51" w:rsidRPr="00037AD4" w:rsidRDefault="00B54D51" w:rsidP="00401C67">
            <w:pPr>
              <w:rPr>
                <w:rFonts w:asciiTheme="minorHAnsi" w:hAnsiTheme="minorHAnsi" w:cstheme="minorHAnsi"/>
              </w:rPr>
            </w:pPr>
          </w:p>
          <w:p w14:paraId="5533417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0.28*</w:t>
            </w:r>
          </w:p>
        </w:tc>
        <w:tc>
          <w:tcPr>
            <w:tcW w:w="1706" w:type="dxa"/>
          </w:tcPr>
          <w:p w14:paraId="2A62B085" w14:textId="77777777" w:rsidR="00B54D51" w:rsidRPr="00037AD4" w:rsidRDefault="00B54D51" w:rsidP="00401C67">
            <w:pPr>
              <w:rPr>
                <w:rFonts w:asciiTheme="minorHAnsi" w:hAnsiTheme="minorHAnsi" w:cstheme="minorHAnsi"/>
              </w:rPr>
            </w:pPr>
          </w:p>
          <w:p w14:paraId="271AACB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-0.01 </w:t>
            </w:r>
          </w:p>
          <w:p w14:paraId="455FDBFD" w14:textId="77777777" w:rsidR="00B54D51" w:rsidRPr="00037AD4" w:rsidRDefault="00B54D51" w:rsidP="00401C67">
            <w:pPr>
              <w:rPr>
                <w:rFonts w:asciiTheme="minorHAnsi" w:hAnsiTheme="minorHAnsi" w:cstheme="minorHAnsi"/>
              </w:rPr>
            </w:pPr>
          </w:p>
          <w:p w14:paraId="0987630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0.05</w:t>
            </w:r>
          </w:p>
          <w:p w14:paraId="29EE255C" w14:textId="77777777" w:rsidR="00B54D51" w:rsidRPr="00037AD4" w:rsidRDefault="00B54D51" w:rsidP="00401C67">
            <w:pPr>
              <w:rPr>
                <w:rFonts w:asciiTheme="minorHAnsi" w:hAnsiTheme="minorHAnsi" w:cstheme="minorHAnsi"/>
              </w:rPr>
            </w:pPr>
          </w:p>
          <w:p w14:paraId="301C07E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0.15 </w:t>
            </w:r>
          </w:p>
        </w:tc>
      </w:tr>
      <w:tr w:rsidR="00B54D51" w:rsidRPr="00037AD4" w14:paraId="4F98425F" w14:textId="77777777" w:rsidTr="00401C67">
        <w:trPr>
          <w:trHeight w:val="1373"/>
        </w:trPr>
        <w:tc>
          <w:tcPr>
            <w:tcW w:w="1716" w:type="dxa"/>
          </w:tcPr>
          <w:p w14:paraId="3070AC85" w14:textId="77777777" w:rsidR="00B54D51" w:rsidRPr="00037AD4" w:rsidRDefault="00B54D51" w:rsidP="00401C67">
            <w:pPr>
              <w:rPr>
                <w:rFonts w:asciiTheme="minorHAnsi" w:hAnsiTheme="minorHAnsi" w:cstheme="minorHAnsi"/>
                <w:i/>
                <w:iCs/>
              </w:rPr>
            </w:pPr>
            <w:r w:rsidRPr="00037AD4">
              <w:rPr>
                <w:rFonts w:asciiTheme="minorHAnsi" w:hAnsiTheme="minorHAnsi" w:cstheme="minorHAnsi"/>
                <w:i/>
                <w:iCs/>
              </w:rPr>
              <w:t xml:space="preserve">BADLS change </w:t>
            </w:r>
          </w:p>
          <w:p w14:paraId="6D97477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PwD </w:t>
            </w:r>
          </w:p>
          <w:p w14:paraId="5F9CFE83" w14:textId="77777777" w:rsidR="00B54D51" w:rsidRPr="00037AD4" w:rsidRDefault="00B54D51" w:rsidP="00401C67">
            <w:pPr>
              <w:rPr>
                <w:rFonts w:asciiTheme="minorHAnsi" w:hAnsiTheme="minorHAnsi" w:cstheme="minorHAnsi"/>
              </w:rPr>
            </w:pPr>
          </w:p>
          <w:p w14:paraId="24DCCB9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Informal proxy</w:t>
            </w:r>
          </w:p>
        </w:tc>
        <w:tc>
          <w:tcPr>
            <w:tcW w:w="581" w:type="dxa"/>
          </w:tcPr>
          <w:p w14:paraId="457C590B" w14:textId="77777777" w:rsidR="00B54D51" w:rsidRPr="00037AD4" w:rsidRDefault="00B54D51" w:rsidP="00401C67">
            <w:pPr>
              <w:rPr>
                <w:rFonts w:asciiTheme="minorHAnsi" w:hAnsiTheme="minorHAnsi" w:cstheme="minorHAnsi"/>
              </w:rPr>
            </w:pPr>
          </w:p>
          <w:p w14:paraId="4E70E35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288</w:t>
            </w:r>
          </w:p>
          <w:p w14:paraId="5BCF8E53" w14:textId="77777777" w:rsidR="00B54D51" w:rsidRPr="00037AD4" w:rsidRDefault="00B54D51" w:rsidP="00401C67">
            <w:pPr>
              <w:rPr>
                <w:rFonts w:asciiTheme="minorHAnsi" w:hAnsiTheme="minorHAnsi" w:cstheme="minorHAnsi"/>
              </w:rPr>
            </w:pPr>
          </w:p>
          <w:p w14:paraId="4493E5B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311</w:t>
            </w:r>
          </w:p>
        </w:tc>
        <w:tc>
          <w:tcPr>
            <w:tcW w:w="1805" w:type="dxa"/>
          </w:tcPr>
          <w:p w14:paraId="78DF5B1D" w14:textId="77777777" w:rsidR="00B54D51" w:rsidRPr="00037AD4" w:rsidRDefault="00B54D51" w:rsidP="00401C67">
            <w:pPr>
              <w:rPr>
                <w:rFonts w:asciiTheme="minorHAnsi" w:hAnsiTheme="minorHAnsi" w:cstheme="minorHAnsi"/>
              </w:rPr>
            </w:pPr>
          </w:p>
          <w:p w14:paraId="2BB760FF"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 xml:space="preserve">0.14* </w:t>
            </w:r>
          </w:p>
          <w:p w14:paraId="3510DB0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[-0.25; -0.03]</w:t>
            </w:r>
          </w:p>
          <w:p w14:paraId="62B02EFA"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 xml:space="preserve">0.47* </w:t>
            </w:r>
          </w:p>
          <w:p w14:paraId="1C0721F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[-0.55; -0.38]</w:t>
            </w:r>
          </w:p>
        </w:tc>
        <w:tc>
          <w:tcPr>
            <w:tcW w:w="1785" w:type="dxa"/>
          </w:tcPr>
          <w:p w14:paraId="58ADA3FE" w14:textId="77777777" w:rsidR="00B54D51" w:rsidRPr="00037AD4" w:rsidRDefault="00B54D51" w:rsidP="00401C67">
            <w:pPr>
              <w:rPr>
                <w:rFonts w:asciiTheme="minorHAnsi" w:hAnsiTheme="minorHAnsi" w:cstheme="minorHAnsi"/>
              </w:rPr>
            </w:pPr>
          </w:p>
          <w:p w14:paraId="18791CC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0.12</w:t>
            </w:r>
          </w:p>
          <w:p w14:paraId="79516EB4" w14:textId="77777777" w:rsidR="00B54D51" w:rsidRPr="00037AD4" w:rsidRDefault="00B54D51" w:rsidP="00401C67">
            <w:pPr>
              <w:rPr>
                <w:rFonts w:asciiTheme="minorHAnsi" w:hAnsiTheme="minorHAnsi" w:cstheme="minorHAnsi"/>
              </w:rPr>
            </w:pPr>
          </w:p>
          <w:p w14:paraId="4410F7F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0.50*</w:t>
            </w:r>
          </w:p>
          <w:p w14:paraId="5A065D7B" w14:textId="77777777" w:rsidR="00B54D51" w:rsidRPr="00037AD4" w:rsidRDefault="00B54D51" w:rsidP="00401C67">
            <w:pPr>
              <w:rPr>
                <w:rFonts w:asciiTheme="minorHAnsi" w:hAnsiTheme="minorHAnsi" w:cstheme="minorHAnsi"/>
              </w:rPr>
            </w:pPr>
          </w:p>
        </w:tc>
        <w:tc>
          <w:tcPr>
            <w:tcW w:w="1706" w:type="dxa"/>
          </w:tcPr>
          <w:p w14:paraId="413D16D8" w14:textId="77777777" w:rsidR="00B54D51" w:rsidRPr="00037AD4" w:rsidRDefault="00B54D51" w:rsidP="00401C67">
            <w:pPr>
              <w:rPr>
                <w:rFonts w:asciiTheme="minorHAnsi" w:hAnsiTheme="minorHAnsi" w:cstheme="minorHAnsi"/>
              </w:rPr>
            </w:pPr>
          </w:p>
          <w:p w14:paraId="5FA22A2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0.21</w:t>
            </w:r>
          </w:p>
          <w:p w14:paraId="6B389B52" w14:textId="77777777" w:rsidR="00B54D51" w:rsidRPr="00037AD4" w:rsidRDefault="00B54D51" w:rsidP="00401C67">
            <w:pPr>
              <w:rPr>
                <w:rFonts w:asciiTheme="minorHAnsi" w:hAnsiTheme="minorHAnsi" w:cstheme="minorHAnsi"/>
              </w:rPr>
            </w:pPr>
          </w:p>
          <w:p w14:paraId="75AB819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0.39*  </w:t>
            </w:r>
          </w:p>
        </w:tc>
      </w:tr>
      <w:tr w:rsidR="00B54D51" w:rsidRPr="00037AD4" w14:paraId="1538531A" w14:textId="77777777" w:rsidTr="00401C67">
        <w:trPr>
          <w:trHeight w:val="1945"/>
        </w:trPr>
        <w:tc>
          <w:tcPr>
            <w:tcW w:w="1716" w:type="dxa"/>
          </w:tcPr>
          <w:p w14:paraId="1F37045D" w14:textId="77777777" w:rsidR="00B54D51" w:rsidRPr="00037AD4" w:rsidRDefault="00B54D51" w:rsidP="00401C67">
            <w:pPr>
              <w:rPr>
                <w:rFonts w:asciiTheme="minorHAnsi" w:hAnsiTheme="minorHAnsi" w:cstheme="minorHAnsi"/>
                <w:i/>
                <w:iCs/>
              </w:rPr>
            </w:pPr>
            <w:r w:rsidRPr="00037AD4">
              <w:rPr>
                <w:rFonts w:asciiTheme="minorHAnsi" w:hAnsiTheme="minorHAnsi" w:cstheme="minorHAnsi"/>
                <w:i/>
                <w:iCs/>
              </w:rPr>
              <w:lastRenderedPageBreak/>
              <w:t xml:space="preserve">IADL-PSMS change </w:t>
            </w:r>
          </w:p>
          <w:p w14:paraId="1CAF331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PwD</w:t>
            </w:r>
          </w:p>
          <w:p w14:paraId="0846A709" w14:textId="77777777" w:rsidR="00B54D51" w:rsidRPr="00037AD4" w:rsidRDefault="00B54D51" w:rsidP="00401C67">
            <w:pPr>
              <w:rPr>
                <w:rFonts w:asciiTheme="minorHAnsi" w:hAnsiTheme="minorHAnsi" w:cstheme="minorHAnsi"/>
              </w:rPr>
            </w:pPr>
          </w:p>
          <w:p w14:paraId="1982BCEB" w14:textId="77777777" w:rsidR="00B54D51" w:rsidRPr="00037AD4" w:rsidRDefault="00B54D51" w:rsidP="00401C67">
            <w:pPr>
              <w:rPr>
                <w:rFonts w:asciiTheme="minorHAnsi" w:hAnsiTheme="minorHAnsi" w:cstheme="minorHAnsi"/>
              </w:rPr>
            </w:pPr>
          </w:p>
          <w:p w14:paraId="4796432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Informal proxy</w:t>
            </w:r>
          </w:p>
        </w:tc>
        <w:tc>
          <w:tcPr>
            <w:tcW w:w="581" w:type="dxa"/>
          </w:tcPr>
          <w:p w14:paraId="6A9A5F4B" w14:textId="77777777" w:rsidR="00B54D51" w:rsidRPr="00037AD4" w:rsidRDefault="00B54D51" w:rsidP="00401C67">
            <w:pPr>
              <w:rPr>
                <w:rFonts w:asciiTheme="minorHAnsi" w:hAnsiTheme="minorHAnsi" w:cstheme="minorHAnsi"/>
              </w:rPr>
            </w:pPr>
          </w:p>
          <w:p w14:paraId="3F46A852" w14:textId="77777777" w:rsidR="00B54D51" w:rsidRPr="00037AD4" w:rsidRDefault="00B54D51" w:rsidP="00401C67">
            <w:pPr>
              <w:rPr>
                <w:rFonts w:asciiTheme="minorHAnsi" w:hAnsiTheme="minorHAnsi" w:cstheme="minorHAnsi"/>
              </w:rPr>
            </w:pPr>
          </w:p>
          <w:p w14:paraId="14B4371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293</w:t>
            </w:r>
          </w:p>
          <w:p w14:paraId="60B25D5F" w14:textId="77777777" w:rsidR="00B54D51" w:rsidRPr="00037AD4" w:rsidRDefault="00B54D51" w:rsidP="00401C67">
            <w:pPr>
              <w:rPr>
                <w:rFonts w:asciiTheme="minorHAnsi" w:hAnsiTheme="minorHAnsi" w:cstheme="minorHAnsi"/>
              </w:rPr>
            </w:pPr>
          </w:p>
          <w:p w14:paraId="35B4F48E" w14:textId="77777777" w:rsidR="00B54D51" w:rsidRPr="00037AD4" w:rsidRDefault="00B54D51" w:rsidP="00401C67">
            <w:pPr>
              <w:rPr>
                <w:rFonts w:asciiTheme="minorHAnsi" w:hAnsiTheme="minorHAnsi" w:cstheme="minorHAnsi"/>
              </w:rPr>
            </w:pPr>
          </w:p>
          <w:p w14:paraId="7A16CCC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334</w:t>
            </w:r>
          </w:p>
          <w:p w14:paraId="57BA6B98" w14:textId="77777777" w:rsidR="00B54D51" w:rsidRPr="00037AD4" w:rsidRDefault="00B54D51" w:rsidP="00401C67">
            <w:pPr>
              <w:rPr>
                <w:rFonts w:asciiTheme="minorHAnsi" w:hAnsiTheme="minorHAnsi" w:cstheme="minorHAnsi"/>
              </w:rPr>
            </w:pPr>
          </w:p>
        </w:tc>
        <w:tc>
          <w:tcPr>
            <w:tcW w:w="1805" w:type="dxa"/>
          </w:tcPr>
          <w:p w14:paraId="25BE91BE" w14:textId="77777777" w:rsidR="00B54D51" w:rsidRPr="00037AD4" w:rsidRDefault="00B54D51" w:rsidP="00401C67">
            <w:pPr>
              <w:rPr>
                <w:rFonts w:asciiTheme="minorHAnsi" w:hAnsiTheme="minorHAnsi" w:cstheme="minorHAnsi"/>
              </w:rPr>
            </w:pPr>
          </w:p>
          <w:p w14:paraId="1AE9F29A" w14:textId="77777777" w:rsidR="00B54D51" w:rsidRPr="00037AD4" w:rsidRDefault="00B54D51" w:rsidP="00401C67">
            <w:pPr>
              <w:rPr>
                <w:rFonts w:asciiTheme="minorHAnsi" w:hAnsiTheme="minorHAnsi" w:cstheme="minorHAnsi"/>
              </w:rPr>
            </w:pPr>
          </w:p>
          <w:p w14:paraId="1C0CC9DA" w14:textId="77777777" w:rsidR="00B54D51" w:rsidRPr="00037AD4" w:rsidRDefault="00B54D51" w:rsidP="00401C67">
            <w:pPr>
              <w:rPr>
                <w:rFonts w:asciiTheme="minorHAnsi" w:hAnsiTheme="minorHAnsi" w:cstheme="minorHAnsi"/>
              </w:rPr>
            </w:pPr>
            <w:r w:rsidRPr="00037AD4">
              <w:rPr>
                <w:rFonts w:asciiTheme="minorHAnsi" w:hAnsiTheme="minorHAnsi" w:cstheme="minorHAnsi"/>
                <w:b/>
                <w:bCs/>
              </w:rPr>
              <w:t>-0.02*</w:t>
            </w:r>
          </w:p>
          <w:p w14:paraId="31A863B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[-0.13; -0.10]</w:t>
            </w:r>
          </w:p>
          <w:p w14:paraId="24076F07" w14:textId="77777777" w:rsidR="00B54D51" w:rsidRPr="00037AD4" w:rsidRDefault="00B54D51" w:rsidP="00401C67">
            <w:pPr>
              <w:rPr>
                <w:rFonts w:asciiTheme="minorHAnsi" w:hAnsiTheme="minorHAnsi" w:cstheme="minorHAnsi"/>
                <w:b/>
                <w:bCs/>
              </w:rPr>
            </w:pPr>
          </w:p>
          <w:p w14:paraId="4C3B34D0"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 xml:space="preserve">-0.46*  </w:t>
            </w:r>
          </w:p>
          <w:p w14:paraId="1665DE2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[-0.55; -0.38]</w:t>
            </w:r>
          </w:p>
        </w:tc>
        <w:tc>
          <w:tcPr>
            <w:tcW w:w="1785" w:type="dxa"/>
          </w:tcPr>
          <w:p w14:paraId="5D08B97D" w14:textId="77777777" w:rsidR="00B54D51" w:rsidRPr="00037AD4" w:rsidRDefault="00B54D51" w:rsidP="00401C67">
            <w:pPr>
              <w:rPr>
                <w:rFonts w:asciiTheme="minorHAnsi" w:hAnsiTheme="minorHAnsi" w:cstheme="minorHAnsi"/>
              </w:rPr>
            </w:pPr>
          </w:p>
          <w:p w14:paraId="32C0CE26" w14:textId="77777777" w:rsidR="00B54D51" w:rsidRPr="00037AD4" w:rsidRDefault="00B54D51" w:rsidP="00401C67">
            <w:pPr>
              <w:rPr>
                <w:rFonts w:asciiTheme="minorHAnsi" w:hAnsiTheme="minorHAnsi" w:cstheme="minorHAnsi"/>
              </w:rPr>
            </w:pPr>
          </w:p>
          <w:p w14:paraId="29B1443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-0.08</w:t>
            </w:r>
          </w:p>
          <w:p w14:paraId="10921B71" w14:textId="77777777" w:rsidR="00B54D51" w:rsidRPr="00037AD4" w:rsidRDefault="00B54D51" w:rsidP="00401C67">
            <w:pPr>
              <w:rPr>
                <w:rFonts w:asciiTheme="minorHAnsi" w:hAnsiTheme="minorHAnsi" w:cstheme="minorHAnsi"/>
              </w:rPr>
            </w:pPr>
          </w:p>
          <w:p w14:paraId="5033796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 </w:t>
            </w:r>
          </w:p>
          <w:p w14:paraId="61C4EC2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-0.39* </w:t>
            </w:r>
          </w:p>
        </w:tc>
        <w:tc>
          <w:tcPr>
            <w:tcW w:w="1706" w:type="dxa"/>
          </w:tcPr>
          <w:p w14:paraId="5AA3C963" w14:textId="77777777" w:rsidR="00B54D51" w:rsidRPr="00037AD4" w:rsidRDefault="00B54D51" w:rsidP="00401C67">
            <w:pPr>
              <w:rPr>
                <w:rFonts w:asciiTheme="minorHAnsi" w:hAnsiTheme="minorHAnsi" w:cstheme="minorHAnsi"/>
              </w:rPr>
            </w:pPr>
          </w:p>
          <w:p w14:paraId="5871D087" w14:textId="77777777" w:rsidR="00B54D51" w:rsidRPr="00037AD4" w:rsidRDefault="00B54D51" w:rsidP="00401C67">
            <w:pPr>
              <w:rPr>
                <w:rFonts w:asciiTheme="minorHAnsi" w:hAnsiTheme="minorHAnsi" w:cstheme="minorHAnsi"/>
              </w:rPr>
            </w:pPr>
          </w:p>
          <w:p w14:paraId="2159A4A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 -0.06</w:t>
            </w:r>
          </w:p>
          <w:p w14:paraId="070EA42A" w14:textId="77777777" w:rsidR="00B54D51" w:rsidRPr="00037AD4" w:rsidRDefault="00B54D51" w:rsidP="00401C67">
            <w:pPr>
              <w:rPr>
                <w:rFonts w:asciiTheme="minorHAnsi" w:hAnsiTheme="minorHAnsi" w:cstheme="minorHAnsi"/>
              </w:rPr>
            </w:pPr>
          </w:p>
          <w:p w14:paraId="57BC9EA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 </w:t>
            </w:r>
          </w:p>
          <w:p w14:paraId="7A1F136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-0.34*</w:t>
            </w:r>
          </w:p>
        </w:tc>
      </w:tr>
      <w:tr w:rsidR="00B54D51" w:rsidRPr="00037AD4" w14:paraId="793CDA71" w14:textId="77777777" w:rsidTr="00401C67">
        <w:trPr>
          <w:trHeight w:val="1945"/>
        </w:trPr>
        <w:tc>
          <w:tcPr>
            <w:tcW w:w="1716" w:type="dxa"/>
          </w:tcPr>
          <w:p w14:paraId="2CD8C983" w14:textId="77777777" w:rsidR="00B54D51" w:rsidRPr="00037AD4" w:rsidRDefault="00B54D51" w:rsidP="00401C67">
            <w:pPr>
              <w:rPr>
                <w:rFonts w:asciiTheme="minorHAnsi" w:hAnsiTheme="minorHAnsi" w:cstheme="minorHAnsi"/>
                <w:i/>
                <w:iCs/>
              </w:rPr>
            </w:pPr>
            <w:r w:rsidRPr="00037AD4">
              <w:rPr>
                <w:rFonts w:asciiTheme="minorHAnsi" w:hAnsiTheme="minorHAnsi" w:cstheme="minorHAnsi"/>
                <w:i/>
                <w:iCs/>
              </w:rPr>
              <w:t xml:space="preserve">FAST change </w:t>
            </w:r>
          </w:p>
          <w:p w14:paraId="13B781D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PwD</w:t>
            </w:r>
          </w:p>
          <w:p w14:paraId="01FD6B2E" w14:textId="77777777" w:rsidR="00B54D51" w:rsidRPr="00037AD4" w:rsidRDefault="00B54D51" w:rsidP="00401C67">
            <w:pPr>
              <w:rPr>
                <w:rFonts w:asciiTheme="minorHAnsi" w:hAnsiTheme="minorHAnsi" w:cstheme="minorHAnsi"/>
              </w:rPr>
            </w:pPr>
          </w:p>
          <w:p w14:paraId="7205752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Informal proxy</w:t>
            </w:r>
          </w:p>
          <w:p w14:paraId="566CA19A" w14:textId="77777777" w:rsidR="00B54D51" w:rsidRPr="00037AD4" w:rsidRDefault="00B54D51" w:rsidP="00401C67">
            <w:pPr>
              <w:rPr>
                <w:rFonts w:asciiTheme="minorHAnsi" w:hAnsiTheme="minorHAnsi" w:cstheme="minorHAnsi"/>
              </w:rPr>
            </w:pPr>
          </w:p>
          <w:p w14:paraId="20807D85" w14:textId="77777777" w:rsidR="00B54D51" w:rsidRPr="00037AD4" w:rsidRDefault="00B54D51" w:rsidP="00401C67">
            <w:pPr>
              <w:rPr>
                <w:rFonts w:asciiTheme="minorHAnsi" w:hAnsiTheme="minorHAnsi" w:cstheme="minorHAnsi"/>
                <w:i/>
                <w:iCs/>
              </w:rPr>
            </w:pPr>
            <w:r w:rsidRPr="00037AD4">
              <w:rPr>
                <w:rFonts w:asciiTheme="minorHAnsi" w:hAnsiTheme="minorHAnsi" w:cstheme="minorHAnsi"/>
              </w:rPr>
              <w:t xml:space="preserve">Staff proxy </w:t>
            </w:r>
          </w:p>
        </w:tc>
        <w:tc>
          <w:tcPr>
            <w:tcW w:w="581" w:type="dxa"/>
          </w:tcPr>
          <w:p w14:paraId="7C5C125B" w14:textId="77777777" w:rsidR="00B54D51" w:rsidRPr="00037AD4" w:rsidRDefault="00B54D51" w:rsidP="00401C67">
            <w:pPr>
              <w:rPr>
                <w:rFonts w:asciiTheme="minorHAnsi" w:hAnsiTheme="minorHAnsi" w:cstheme="minorHAnsi"/>
              </w:rPr>
            </w:pPr>
          </w:p>
          <w:p w14:paraId="7339325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127</w:t>
            </w:r>
          </w:p>
          <w:p w14:paraId="744DAC4A" w14:textId="77777777" w:rsidR="00B54D51" w:rsidRPr="00037AD4" w:rsidRDefault="00B54D51" w:rsidP="00401C67">
            <w:pPr>
              <w:rPr>
                <w:rFonts w:asciiTheme="minorHAnsi" w:hAnsiTheme="minorHAnsi" w:cstheme="minorHAnsi"/>
              </w:rPr>
            </w:pPr>
          </w:p>
          <w:p w14:paraId="62D78DF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61</w:t>
            </w:r>
          </w:p>
          <w:p w14:paraId="026F0D8A" w14:textId="77777777" w:rsidR="00B54D51" w:rsidRPr="00037AD4" w:rsidRDefault="00B54D51" w:rsidP="00401C67">
            <w:pPr>
              <w:rPr>
                <w:rFonts w:asciiTheme="minorHAnsi" w:hAnsiTheme="minorHAnsi" w:cstheme="minorHAnsi"/>
              </w:rPr>
            </w:pPr>
          </w:p>
          <w:p w14:paraId="7967067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379</w:t>
            </w:r>
          </w:p>
        </w:tc>
        <w:tc>
          <w:tcPr>
            <w:tcW w:w="1805" w:type="dxa"/>
          </w:tcPr>
          <w:p w14:paraId="006F6724" w14:textId="77777777" w:rsidR="00B54D51" w:rsidRPr="00037AD4" w:rsidRDefault="00B54D51" w:rsidP="00401C67">
            <w:pPr>
              <w:rPr>
                <w:rFonts w:asciiTheme="minorHAnsi" w:hAnsiTheme="minorHAnsi" w:cstheme="minorHAnsi"/>
              </w:rPr>
            </w:pPr>
          </w:p>
          <w:p w14:paraId="4CD46FC6" w14:textId="77777777" w:rsidR="00B54D51" w:rsidRPr="00037AD4" w:rsidRDefault="00B54D51" w:rsidP="00401C67">
            <w:pPr>
              <w:rPr>
                <w:rFonts w:asciiTheme="minorHAnsi" w:hAnsiTheme="minorHAnsi" w:cstheme="minorHAnsi"/>
              </w:rPr>
            </w:pPr>
            <w:r w:rsidRPr="00037AD4">
              <w:rPr>
                <w:rFonts w:asciiTheme="minorHAnsi" w:hAnsiTheme="minorHAnsi" w:cstheme="minorHAnsi"/>
                <w:b/>
                <w:bCs/>
              </w:rPr>
              <w:t xml:space="preserve">-0.03 </w:t>
            </w:r>
            <w:r w:rsidRPr="00037AD4">
              <w:rPr>
                <w:rFonts w:asciiTheme="minorHAnsi" w:hAnsiTheme="minorHAnsi" w:cstheme="minorHAnsi"/>
              </w:rPr>
              <w:t xml:space="preserve"> </w:t>
            </w:r>
          </w:p>
          <w:p w14:paraId="0CD0D26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[-0.20; 0.15]</w:t>
            </w:r>
          </w:p>
          <w:p w14:paraId="422485B2"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0.26*</w:t>
            </w:r>
          </w:p>
          <w:p w14:paraId="0E29D40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[0.01; 0.48]</w:t>
            </w:r>
          </w:p>
          <w:p w14:paraId="75B9077B"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0.26*</w:t>
            </w:r>
          </w:p>
          <w:p w14:paraId="5660F73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[0.16; 0.35]</w:t>
            </w:r>
          </w:p>
        </w:tc>
        <w:tc>
          <w:tcPr>
            <w:tcW w:w="1785" w:type="dxa"/>
          </w:tcPr>
          <w:p w14:paraId="60F7CFDE" w14:textId="77777777" w:rsidR="00B54D51" w:rsidRPr="00037AD4" w:rsidRDefault="00B54D51" w:rsidP="00401C67">
            <w:pPr>
              <w:rPr>
                <w:rFonts w:asciiTheme="minorHAnsi" w:hAnsiTheme="minorHAnsi" w:cstheme="minorHAnsi"/>
              </w:rPr>
            </w:pPr>
          </w:p>
          <w:p w14:paraId="1DEE52E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0.04 </w:t>
            </w:r>
          </w:p>
          <w:p w14:paraId="5AEF97A0" w14:textId="77777777" w:rsidR="00B54D51" w:rsidRPr="00037AD4" w:rsidRDefault="00B54D51" w:rsidP="00401C67">
            <w:pPr>
              <w:rPr>
                <w:rFonts w:asciiTheme="minorHAnsi" w:hAnsiTheme="minorHAnsi" w:cstheme="minorHAnsi"/>
              </w:rPr>
            </w:pPr>
          </w:p>
          <w:p w14:paraId="3498ACF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w:t>
            </w:r>
          </w:p>
          <w:p w14:paraId="602F6EE4" w14:textId="77777777" w:rsidR="00B54D51" w:rsidRPr="00037AD4" w:rsidRDefault="00B54D51" w:rsidP="00401C67">
            <w:pPr>
              <w:rPr>
                <w:rFonts w:asciiTheme="minorHAnsi" w:hAnsiTheme="minorHAnsi" w:cstheme="minorHAnsi"/>
              </w:rPr>
            </w:pPr>
          </w:p>
          <w:p w14:paraId="16BE1CC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0.37* </w:t>
            </w:r>
          </w:p>
        </w:tc>
        <w:tc>
          <w:tcPr>
            <w:tcW w:w="1706" w:type="dxa"/>
          </w:tcPr>
          <w:p w14:paraId="166228F4" w14:textId="77777777" w:rsidR="00B54D51" w:rsidRPr="00037AD4" w:rsidRDefault="00B54D51" w:rsidP="00401C67">
            <w:pPr>
              <w:rPr>
                <w:rFonts w:asciiTheme="minorHAnsi" w:hAnsiTheme="minorHAnsi" w:cstheme="minorHAnsi"/>
              </w:rPr>
            </w:pPr>
          </w:p>
          <w:p w14:paraId="4EC9D06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-0.09</w:t>
            </w:r>
          </w:p>
          <w:p w14:paraId="2F4C4533" w14:textId="77777777" w:rsidR="00B54D51" w:rsidRPr="00037AD4" w:rsidRDefault="00B54D51" w:rsidP="00401C67">
            <w:pPr>
              <w:rPr>
                <w:rFonts w:asciiTheme="minorHAnsi" w:hAnsiTheme="minorHAnsi" w:cstheme="minorHAnsi"/>
              </w:rPr>
            </w:pPr>
          </w:p>
          <w:p w14:paraId="1C078A3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w:t>
            </w:r>
          </w:p>
          <w:p w14:paraId="684D83BE" w14:textId="77777777" w:rsidR="00B54D51" w:rsidRPr="00037AD4" w:rsidRDefault="00B54D51" w:rsidP="00401C67">
            <w:pPr>
              <w:rPr>
                <w:rFonts w:asciiTheme="minorHAnsi" w:hAnsiTheme="minorHAnsi" w:cstheme="minorHAnsi"/>
              </w:rPr>
            </w:pPr>
          </w:p>
          <w:p w14:paraId="00C3F93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0.19* </w:t>
            </w:r>
          </w:p>
        </w:tc>
      </w:tr>
      <w:tr w:rsidR="00B54D51" w:rsidRPr="00037AD4" w14:paraId="29F8BA06" w14:textId="77777777" w:rsidTr="00401C67">
        <w:trPr>
          <w:trHeight w:val="638"/>
        </w:trPr>
        <w:tc>
          <w:tcPr>
            <w:tcW w:w="7593" w:type="dxa"/>
            <w:gridSpan w:val="5"/>
          </w:tcPr>
          <w:p w14:paraId="2E951FF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**CDR at T0 for BADLS assessments due to lack of follow-up CDR data in REMCARE</w:t>
            </w:r>
          </w:p>
        </w:tc>
      </w:tr>
    </w:tbl>
    <w:p w14:paraId="460549DA" w14:textId="77777777" w:rsidR="00B54D51" w:rsidRPr="00037AD4" w:rsidRDefault="00B54D51" w:rsidP="001D7ACE">
      <w:pPr>
        <w:rPr>
          <w:rFonts w:asciiTheme="minorHAnsi" w:hAnsiTheme="minorHAnsi" w:cstheme="minorHAnsi"/>
          <w:u w:val="single"/>
        </w:rPr>
      </w:pPr>
    </w:p>
    <w:p w14:paraId="53EF0995" w14:textId="77777777" w:rsidR="00B54D51" w:rsidRPr="00037AD4" w:rsidRDefault="00B54D51" w:rsidP="001D7ACE">
      <w:pPr>
        <w:rPr>
          <w:rFonts w:asciiTheme="minorHAnsi" w:hAnsiTheme="minorHAnsi" w:cstheme="minorHAnsi"/>
          <w:u w:val="single"/>
        </w:rPr>
      </w:pPr>
    </w:p>
    <w:p w14:paraId="144F8DB8" w14:textId="77777777" w:rsidR="00B54D51" w:rsidRPr="00037AD4" w:rsidRDefault="00B54D51" w:rsidP="001D7ACE">
      <w:pPr>
        <w:rPr>
          <w:rFonts w:asciiTheme="minorHAnsi" w:hAnsiTheme="minorHAnsi" w:cstheme="minorHAnsi"/>
          <w:u w:val="single"/>
        </w:rPr>
      </w:pPr>
    </w:p>
    <w:p w14:paraId="4AFC9799" w14:textId="77777777" w:rsidR="00B54D51" w:rsidRPr="00037AD4" w:rsidRDefault="00B54D51" w:rsidP="001D7ACE">
      <w:pPr>
        <w:rPr>
          <w:rFonts w:asciiTheme="minorHAnsi" w:hAnsiTheme="minorHAnsi" w:cstheme="minorHAnsi"/>
          <w:u w:val="single"/>
        </w:rPr>
      </w:pPr>
    </w:p>
    <w:p w14:paraId="5750948F" w14:textId="77777777" w:rsidR="00B54D51" w:rsidRPr="00037AD4" w:rsidRDefault="00B54D51" w:rsidP="001D7ACE">
      <w:pPr>
        <w:rPr>
          <w:rFonts w:asciiTheme="minorHAnsi" w:hAnsiTheme="minorHAnsi" w:cstheme="minorHAnsi"/>
          <w:u w:val="single"/>
        </w:rPr>
      </w:pPr>
    </w:p>
    <w:p w14:paraId="496012D5" w14:textId="77777777" w:rsidR="00B54D51" w:rsidRPr="00037AD4" w:rsidRDefault="00B54D51" w:rsidP="001D7ACE">
      <w:pPr>
        <w:rPr>
          <w:rFonts w:asciiTheme="minorHAnsi" w:hAnsiTheme="minorHAnsi" w:cstheme="minorHAnsi"/>
          <w:u w:val="single"/>
        </w:rPr>
      </w:pPr>
    </w:p>
    <w:p w14:paraId="05BF49E7" w14:textId="77777777" w:rsidR="00B54D51" w:rsidRPr="00037AD4" w:rsidRDefault="00B54D51" w:rsidP="001D7ACE">
      <w:pPr>
        <w:rPr>
          <w:rFonts w:asciiTheme="minorHAnsi" w:hAnsiTheme="minorHAnsi" w:cstheme="minorHAnsi"/>
          <w:u w:val="single"/>
        </w:rPr>
      </w:pPr>
    </w:p>
    <w:p w14:paraId="1682D233" w14:textId="77777777" w:rsidR="00B54D51" w:rsidRPr="00037AD4" w:rsidRDefault="00B54D51" w:rsidP="001D7ACE">
      <w:pPr>
        <w:rPr>
          <w:rFonts w:asciiTheme="minorHAnsi" w:hAnsiTheme="minorHAnsi" w:cstheme="minorHAnsi"/>
          <w:u w:val="single"/>
        </w:rPr>
      </w:pPr>
    </w:p>
    <w:p w14:paraId="33C6B99B" w14:textId="77777777" w:rsidR="00B54D51" w:rsidRPr="00037AD4" w:rsidRDefault="00B54D51" w:rsidP="001D7ACE">
      <w:pPr>
        <w:rPr>
          <w:rFonts w:asciiTheme="minorHAnsi" w:hAnsiTheme="minorHAnsi" w:cstheme="minorHAnsi"/>
          <w:u w:val="single"/>
        </w:rPr>
      </w:pPr>
    </w:p>
    <w:p w14:paraId="69CB494C" w14:textId="77777777" w:rsidR="00B54D51" w:rsidRPr="00037AD4" w:rsidRDefault="00B54D51" w:rsidP="001D7ACE">
      <w:pPr>
        <w:rPr>
          <w:rFonts w:asciiTheme="minorHAnsi" w:hAnsiTheme="minorHAnsi" w:cstheme="minorHAnsi"/>
          <w:u w:val="single"/>
        </w:rPr>
      </w:pPr>
    </w:p>
    <w:p w14:paraId="36C7C838" w14:textId="77777777" w:rsidR="00B54D51" w:rsidRPr="00037AD4" w:rsidRDefault="00B54D51" w:rsidP="001D7ACE">
      <w:pPr>
        <w:rPr>
          <w:rFonts w:asciiTheme="minorHAnsi" w:hAnsiTheme="minorHAnsi" w:cstheme="minorHAnsi"/>
          <w:u w:val="single"/>
        </w:rPr>
      </w:pPr>
    </w:p>
    <w:p w14:paraId="2958DD7E" w14:textId="77777777" w:rsidR="00B54D51" w:rsidRPr="00037AD4" w:rsidRDefault="00B54D51" w:rsidP="001D7ACE">
      <w:pPr>
        <w:rPr>
          <w:rFonts w:asciiTheme="minorHAnsi" w:hAnsiTheme="minorHAnsi" w:cstheme="minorHAnsi"/>
          <w:u w:val="single"/>
        </w:rPr>
      </w:pPr>
    </w:p>
    <w:p w14:paraId="5135F9BF" w14:textId="77777777" w:rsidR="00B54D51" w:rsidRPr="00037AD4" w:rsidRDefault="00B54D51" w:rsidP="001D7ACE">
      <w:pPr>
        <w:rPr>
          <w:rFonts w:asciiTheme="minorHAnsi" w:hAnsiTheme="minorHAnsi" w:cstheme="minorHAnsi"/>
          <w:u w:val="single"/>
        </w:rPr>
      </w:pPr>
    </w:p>
    <w:p w14:paraId="1EBAFF76" w14:textId="77777777" w:rsidR="00B54D51" w:rsidRPr="00037AD4" w:rsidRDefault="00B54D51" w:rsidP="001D7ACE">
      <w:pPr>
        <w:rPr>
          <w:rFonts w:asciiTheme="minorHAnsi" w:hAnsiTheme="minorHAnsi" w:cstheme="minorHAnsi"/>
          <w:u w:val="single"/>
        </w:rPr>
      </w:pPr>
    </w:p>
    <w:p w14:paraId="06E71B00" w14:textId="77777777" w:rsidR="00B54D51" w:rsidRPr="00037AD4" w:rsidRDefault="00B54D51" w:rsidP="001D7ACE">
      <w:pPr>
        <w:rPr>
          <w:rFonts w:asciiTheme="minorHAnsi" w:hAnsiTheme="minorHAnsi" w:cstheme="minorHAnsi"/>
          <w:u w:val="single"/>
        </w:rPr>
      </w:pPr>
    </w:p>
    <w:p w14:paraId="6B038D43" w14:textId="77777777" w:rsidR="00B54D51" w:rsidRPr="00037AD4" w:rsidRDefault="00B54D51" w:rsidP="001D7ACE">
      <w:pPr>
        <w:rPr>
          <w:rFonts w:asciiTheme="minorHAnsi" w:hAnsiTheme="minorHAnsi" w:cstheme="minorHAnsi"/>
          <w:u w:val="single"/>
        </w:rPr>
      </w:pPr>
    </w:p>
    <w:p w14:paraId="024F4160" w14:textId="77777777" w:rsidR="00B54D51" w:rsidRPr="00037AD4" w:rsidRDefault="00B54D51" w:rsidP="001D7ACE">
      <w:pPr>
        <w:rPr>
          <w:rFonts w:asciiTheme="minorHAnsi" w:hAnsiTheme="minorHAnsi" w:cstheme="minorHAnsi"/>
          <w:u w:val="single"/>
        </w:rPr>
      </w:pPr>
    </w:p>
    <w:p w14:paraId="358BA112" w14:textId="77777777" w:rsidR="00B54D51" w:rsidRPr="00037AD4" w:rsidRDefault="00B54D51" w:rsidP="001D7ACE">
      <w:pPr>
        <w:rPr>
          <w:rFonts w:asciiTheme="minorHAnsi" w:hAnsiTheme="minorHAnsi" w:cstheme="minorHAnsi"/>
          <w:u w:val="single"/>
        </w:rPr>
      </w:pPr>
      <w:bookmarkStart w:id="514" w:name="TableA54j"/>
      <w:r w:rsidRPr="00037AD4">
        <w:rPr>
          <w:rFonts w:asciiTheme="minorHAnsi" w:hAnsiTheme="minorHAnsi" w:cstheme="minorHAnsi"/>
          <w:u w:val="single"/>
        </w:rPr>
        <w:t>Table A5.4j, Correlation between change in usual activities dimension score and change in dementia symptom measure scores</w:t>
      </w:r>
    </w:p>
    <w:bookmarkEnd w:id="514"/>
    <w:p w14:paraId="48AEF4ED" w14:textId="77777777" w:rsidR="00B54D51" w:rsidRPr="00037AD4" w:rsidRDefault="00B54D51" w:rsidP="001D7ACE">
      <w:pPr>
        <w:rPr>
          <w:rFonts w:asciiTheme="minorHAnsi" w:hAnsiTheme="minorHAnsi" w:cstheme="minorHAnsi"/>
          <w:u w:val="single"/>
        </w:rPr>
      </w:pPr>
    </w:p>
    <w:tbl>
      <w:tblPr>
        <w:tblStyle w:val="TableGrid"/>
        <w:tblW w:w="7593" w:type="dxa"/>
        <w:tblLook w:val="04A0" w:firstRow="1" w:lastRow="0" w:firstColumn="1" w:lastColumn="0" w:noHBand="0" w:noVBand="1"/>
      </w:tblPr>
      <w:tblGrid>
        <w:gridCol w:w="1716"/>
        <w:gridCol w:w="581"/>
        <w:gridCol w:w="1805"/>
        <w:gridCol w:w="1785"/>
        <w:gridCol w:w="1706"/>
      </w:tblGrid>
      <w:tr w:rsidR="00B54D51" w:rsidRPr="00037AD4" w14:paraId="3BA26059" w14:textId="77777777" w:rsidTr="00401C67">
        <w:trPr>
          <w:trHeight w:val="553"/>
        </w:trPr>
        <w:tc>
          <w:tcPr>
            <w:tcW w:w="2297" w:type="dxa"/>
            <w:gridSpan w:val="2"/>
          </w:tcPr>
          <w:p w14:paraId="7AF6FA3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Correlation coefficient; CI</w:t>
            </w:r>
          </w:p>
        </w:tc>
        <w:tc>
          <w:tcPr>
            <w:tcW w:w="5296" w:type="dxa"/>
            <w:gridSpan w:val="3"/>
          </w:tcPr>
          <w:p w14:paraId="6FEA132D" w14:textId="77777777" w:rsidR="00B54D51" w:rsidRPr="00037AD4" w:rsidRDefault="00B54D51" w:rsidP="00401C67">
            <w:pPr>
              <w:jc w:val="center"/>
              <w:rPr>
                <w:rFonts w:asciiTheme="minorHAnsi" w:hAnsiTheme="minorHAnsi" w:cstheme="minorHAnsi"/>
              </w:rPr>
            </w:pPr>
            <w:r w:rsidRPr="00037AD4">
              <w:rPr>
                <w:rFonts w:asciiTheme="minorHAnsi" w:hAnsiTheme="minorHAnsi" w:cstheme="minorHAnsi"/>
              </w:rPr>
              <w:t>CDR severity stage at T2**</w:t>
            </w:r>
          </w:p>
          <w:p w14:paraId="01EEA7A7" w14:textId="77777777" w:rsidR="00B54D51" w:rsidRPr="00037AD4" w:rsidRDefault="00B54D51" w:rsidP="00401C67">
            <w:pPr>
              <w:rPr>
                <w:rFonts w:asciiTheme="minorHAnsi" w:hAnsiTheme="minorHAnsi" w:cstheme="minorHAnsi"/>
              </w:rPr>
            </w:pPr>
          </w:p>
        </w:tc>
      </w:tr>
      <w:tr w:rsidR="00B54D51" w:rsidRPr="00037AD4" w14:paraId="26C83555" w14:textId="77777777" w:rsidTr="00401C67">
        <w:trPr>
          <w:trHeight w:val="553"/>
        </w:trPr>
        <w:tc>
          <w:tcPr>
            <w:tcW w:w="1716" w:type="dxa"/>
          </w:tcPr>
          <w:p w14:paraId="5F57166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Instrument and rater-type </w:t>
            </w:r>
          </w:p>
        </w:tc>
        <w:tc>
          <w:tcPr>
            <w:tcW w:w="581" w:type="dxa"/>
          </w:tcPr>
          <w:p w14:paraId="2B02E5E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N</w:t>
            </w:r>
          </w:p>
        </w:tc>
        <w:tc>
          <w:tcPr>
            <w:tcW w:w="1805" w:type="dxa"/>
          </w:tcPr>
          <w:p w14:paraId="293B88A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Sum  </w:t>
            </w:r>
          </w:p>
        </w:tc>
        <w:tc>
          <w:tcPr>
            <w:tcW w:w="1785" w:type="dxa"/>
          </w:tcPr>
          <w:p w14:paraId="6BF5E9B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Mild </w:t>
            </w:r>
          </w:p>
        </w:tc>
        <w:tc>
          <w:tcPr>
            <w:tcW w:w="1706" w:type="dxa"/>
          </w:tcPr>
          <w:p w14:paraId="5414387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Moderate </w:t>
            </w:r>
          </w:p>
        </w:tc>
      </w:tr>
      <w:tr w:rsidR="00B54D51" w:rsidRPr="00037AD4" w14:paraId="2D9B2932" w14:textId="77777777" w:rsidTr="00401C67">
        <w:trPr>
          <w:trHeight w:val="1945"/>
        </w:trPr>
        <w:tc>
          <w:tcPr>
            <w:tcW w:w="1716" w:type="dxa"/>
          </w:tcPr>
          <w:p w14:paraId="69B2C582" w14:textId="77777777" w:rsidR="00B54D51" w:rsidRPr="00037AD4" w:rsidRDefault="00B54D51" w:rsidP="00401C67">
            <w:pPr>
              <w:rPr>
                <w:rFonts w:asciiTheme="minorHAnsi" w:hAnsiTheme="minorHAnsi" w:cstheme="minorHAnsi"/>
                <w:i/>
                <w:iCs/>
              </w:rPr>
            </w:pPr>
            <w:r w:rsidRPr="00037AD4">
              <w:rPr>
                <w:rFonts w:asciiTheme="minorHAnsi" w:hAnsiTheme="minorHAnsi" w:cstheme="minorHAnsi"/>
                <w:i/>
                <w:iCs/>
              </w:rPr>
              <w:t>CDR change</w:t>
            </w:r>
          </w:p>
          <w:p w14:paraId="0A4FFEF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PwD</w:t>
            </w:r>
          </w:p>
          <w:p w14:paraId="39F440EA" w14:textId="77777777" w:rsidR="00B54D51" w:rsidRPr="00037AD4" w:rsidRDefault="00B54D51" w:rsidP="00401C67">
            <w:pPr>
              <w:rPr>
                <w:rFonts w:asciiTheme="minorHAnsi" w:hAnsiTheme="minorHAnsi" w:cstheme="minorHAnsi"/>
              </w:rPr>
            </w:pPr>
          </w:p>
          <w:p w14:paraId="6A6B10E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Informal proxy</w:t>
            </w:r>
          </w:p>
          <w:p w14:paraId="28750541" w14:textId="77777777" w:rsidR="00B54D51" w:rsidRPr="00037AD4" w:rsidRDefault="00B54D51" w:rsidP="00401C67">
            <w:pPr>
              <w:rPr>
                <w:rFonts w:asciiTheme="minorHAnsi" w:hAnsiTheme="minorHAnsi" w:cstheme="minorHAnsi"/>
              </w:rPr>
            </w:pPr>
          </w:p>
          <w:p w14:paraId="2C57481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Staff proxy </w:t>
            </w:r>
          </w:p>
        </w:tc>
        <w:tc>
          <w:tcPr>
            <w:tcW w:w="581" w:type="dxa"/>
          </w:tcPr>
          <w:p w14:paraId="2B7533AF" w14:textId="77777777" w:rsidR="00B54D51" w:rsidRPr="00037AD4" w:rsidRDefault="00B54D51" w:rsidP="00401C67">
            <w:pPr>
              <w:rPr>
                <w:rFonts w:asciiTheme="minorHAnsi" w:hAnsiTheme="minorHAnsi" w:cstheme="minorHAnsi"/>
              </w:rPr>
            </w:pPr>
          </w:p>
          <w:p w14:paraId="4A4C832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427</w:t>
            </w:r>
          </w:p>
          <w:p w14:paraId="74518E45" w14:textId="77777777" w:rsidR="00B54D51" w:rsidRPr="00037AD4" w:rsidRDefault="00B54D51" w:rsidP="00401C67">
            <w:pPr>
              <w:rPr>
                <w:rFonts w:asciiTheme="minorHAnsi" w:hAnsiTheme="minorHAnsi" w:cstheme="minorHAnsi"/>
              </w:rPr>
            </w:pPr>
          </w:p>
          <w:p w14:paraId="77CBD1F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397</w:t>
            </w:r>
          </w:p>
          <w:p w14:paraId="6143F0E3" w14:textId="77777777" w:rsidR="00B54D51" w:rsidRPr="00037AD4" w:rsidRDefault="00B54D51" w:rsidP="00401C67">
            <w:pPr>
              <w:rPr>
                <w:rFonts w:asciiTheme="minorHAnsi" w:hAnsiTheme="minorHAnsi" w:cstheme="minorHAnsi"/>
              </w:rPr>
            </w:pPr>
          </w:p>
          <w:p w14:paraId="067D18C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396</w:t>
            </w:r>
          </w:p>
        </w:tc>
        <w:tc>
          <w:tcPr>
            <w:tcW w:w="1805" w:type="dxa"/>
          </w:tcPr>
          <w:p w14:paraId="082D05E8" w14:textId="77777777" w:rsidR="00B54D51" w:rsidRPr="00037AD4" w:rsidRDefault="00B54D51" w:rsidP="00401C67">
            <w:pPr>
              <w:rPr>
                <w:rFonts w:asciiTheme="minorHAnsi" w:hAnsiTheme="minorHAnsi" w:cstheme="minorHAnsi"/>
              </w:rPr>
            </w:pPr>
          </w:p>
          <w:p w14:paraId="424846CF"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0.02</w:t>
            </w:r>
          </w:p>
          <w:p w14:paraId="69D14F8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[-0.08; 0.11] </w:t>
            </w:r>
          </w:p>
          <w:p w14:paraId="1DE4260A"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 xml:space="preserve">0.18* </w:t>
            </w:r>
          </w:p>
          <w:p w14:paraId="5494121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[0.09; 0.28]</w:t>
            </w:r>
          </w:p>
          <w:p w14:paraId="4F87E37C"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0.19*</w:t>
            </w:r>
          </w:p>
          <w:p w14:paraId="2B2EFD0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[0.10; 0.29] </w:t>
            </w:r>
          </w:p>
        </w:tc>
        <w:tc>
          <w:tcPr>
            <w:tcW w:w="1785" w:type="dxa"/>
          </w:tcPr>
          <w:p w14:paraId="44AE3F2D" w14:textId="77777777" w:rsidR="00B54D51" w:rsidRPr="00037AD4" w:rsidRDefault="00B54D51" w:rsidP="00401C67">
            <w:pPr>
              <w:rPr>
                <w:rFonts w:asciiTheme="minorHAnsi" w:hAnsiTheme="minorHAnsi" w:cstheme="minorHAnsi"/>
              </w:rPr>
            </w:pPr>
          </w:p>
          <w:p w14:paraId="6BBA735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-0.15*</w:t>
            </w:r>
          </w:p>
          <w:p w14:paraId="6AE6DFB0" w14:textId="77777777" w:rsidR="00B54D51" w:rsidRPr="00037AD4" w:rsidRDefault="00B54D51" w:rsidP="00401C67">
            <w:pPr>
              <w:rPr>
                <w:rFonts w:asciiTheme="minorHAnsi" w:hAnsiTheme="minorHAnsi" w:cstheme="minorHAnsi"/>
              </w:rPr>
            </w:pPr>
          </w:p>
          <w:p w14:paraId="3620471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0.11</w:t>
            </w:r>
          </w:p>
          <w:p w14:paraId="0F551E32" w14:textId="77777777" w:rsidR="00B54D51" w:rsidRPr="00037AD4" w:rsidRDefault="00B54D51" w:rsidP="00401C67">
            <w:pPr>
              <w:rPr>
                <w:rFonts w:asciiTheme="minorHAnsi" w:hAnsiTheme="minorHAnsi" w:cstheme="minorHAnsi"/>
              </w:rPr>
            </w:pPr>
          </w:p>
          <w:p w14:paraId="4F7424E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0.06</w:t>
            </w:r>
          </w:p>
        </w:tc>
        <w:tc>
          <w:tcPr>
            <w:tcW w:w="1706" w:type="dxa"/>
          </w:tcPr>
          <w:p w14:paraId="35B8895C" w14:textId="77777777" w:rsidR="00B54D51" w:rsidRPr="00037AD4" w:rsidRDefault="00B54D51" w:rsidP="00401C67">
            <w:pPr>
              <w:rPr>
                <w:rFonts w:asciiTheme="minorHAnsi" w:hAnsiTheme="minorHAnsi" w:cstheme="minorHAnsi"/>
              </w:rPr>
            </w:pPr>
          </w:p>
          <w:p w14:paraId="037A674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0.05</w:t>
            </w:r>
          </w:p>
          <w:p w14:paraId="09D945B2" w14:textId="77777777" w:rsidR="00B54D51" w:rsidRPr="00037AD4" w:rsidRDefault="00B54D51" w:rsidP="00401C67">
            <w:pPr>
              <w:rPr>
                <w:rFonts w:asciiTheme="minorHAnsi" w:hAnsiTheme="minorHAnsi" w:cstheme="minorHAnsi"/>
              </w:rPr>
            </w:pPr>
          </w:p>
          <w:p w14:paraId="6F537FE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0.08</w:t>
            </w:r>
          </w:p>
          <w:p w14:paraId="715E8A45" w14:textId="77777777" w:rsidR="00B54D51" w:rsidRPr="00037AD4" w:rsidRDefault="00B54D51" w:rsidP="00401C67">
            <w:pPr>
              <w:rPr>
                <w:rFonts w:asciiTheme="minorHAnsi" w:hAnsiTheme="minorHAnsi" w:cstheme="minorHAnsi"/>
              </w:rPr>
            </w:pPr>
          </w:p>
          <w:p w14:paraId="52EB72A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0.18*</w:t>
            </w:r>
          </w:p>
        </w:tc>
      </w:tr>
      <w:tr w:rsidR="00B54D51" w:rsidRPr="00037AD4" w14:paraId="6D276536" w14:textId="77777777" w:rsidTr="00401C67">
        <w:trPr>
          <w:trHeight w:val="1373"/>
        </w:trPr>
        <w:tc>
          <w:tcPr>
            <w:tcW w:w="1716" w:type="dxa"/>
          </w:tcPr>
          <w:p w14:paraId="34882E8B" w14:textId="77777777" w:rsidR="00B54D51" w:rsidRPr="00037AD4" w:rsidRDefault="00B54D51" w:rsidP="00401C67">
            <w:pPr>
              <w:rPr>
                <w:rFonts w:asciiTheme="minorHAnsi" w:hAnsiTheme="minorHAnsi" w:cstheme="minorHAnsi"/>
                <w:i/>
                <w:iCs/>
              </w:rPr>
            </w:pPr>
            <w:r w:rsidRPr="00037AD4">
              <w:rPr>
                <w:rFonts w:asciiTheme="minorHAnsi" w:hAnsiTheme="minorHAnsi" w:cstheme="minorHAnsi"/>
                <w:i/>
                <w:iCs/>
              </w:rPr>
              <w:t xml:space="preserve">BADLS change </w:t>
            </w:r>
          </w:p>
          <w:p w14:paraId="676E59F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PwD </w:t>
            </w:r>
          </w:p>
          <w:p w14:paraId="0F7F5AC4" w14:textId="77777777" w:rsidR="00B54D51" w:rsidRPr="00037AD4" w:rsidRDefault="00B54D51" w:rsidP="00401C67">
            <w:pPr>
              <w:rPr>
                <w:rFonts w:asciiTheme="minorHAnsi" w:hAnsiTheme="minorHAnsi" w:cstheme="minorHAnsi"/>
              </w:rPr>
            </w:pPr>
          </w:p>
          <w:p w14:paraId="23C9BD7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Informal proxy</w:t>
            </w:r>
          </w:p>
        </w:tc>
        <w:tc>
          <w:tcPr>
            <w:tcW w:w="581" w:type="dxa"/>
          </w:tcPr>
          <w:p w14:paraId="0D77254D" w14:textId="77777777" w:rsidR="00B54D51" w:rsidRPr="00037AD4" w:rsidRDefault="00B54D51" w:rsidP="00401C67">
            <w:pPr>
              <w:rPr>
                <w:rFonts w:asciiTheme="minorHAnsi" w:hAnsiTheme="minorHAnsi" w:cstheme="minorHAnsi"/>
              </w:rPr>
            </w:pPr>
          </w:p>
          <w:p w14:paraId="2EDEB9F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283</w:t>
            </w:r>
          </w:p>
          <w:p w14:paraId="3191EF89" w14:textId="77777777" w:rsidR="00B54D51" w:rsidRPr="00037AD4" w:rsidRDefault="00B54D51" w:rsidP="00401C67">
            <w:pPr>
              <w:rPr>
                <w:rFonts w:asciiTheme="minorHAnsi" w:hAnsiTheme="minorHAnsi" w:cstheme="minorHAnsi"/>
              </w:rPr>
            </w:pPr>
          </w:p>
          <w:p w14:paraId="469F1F5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308</w:t>
            </w:r>
          </w:p>
        </w:tc>
        <w:tc>
          <w:tcPr>
            <w:tcW w:w="1805" w:type="dxa"/>
          </w:tcPr>
          <w:p w14:paraId="6181BB12" w14:textId="77777777" w:rsidR="00B54D51" w:rsidRPr="00037AD4" w:rsidRDefault="00B54D51" w:rsidP="00401C67">
            <w:pPr>
              <w:rPr>
                <w:rFonts w:asciiTheme="minorHAnsi" w:hAnsiTheme="minorHAnsi" w:cstheme="minorHAnsi"/>
              </w:rPr>
            </w:pPr>
          </w:p>
          <w:p w14:paraId="48F28E69"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 xml:space="preserve">0.19* </w:t>
            </w:r>
          </w:p>
          <w:p w14:paraId="1C4E291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[-0.30; -0.08]</w:t>
            </w:r>
          </w:p>
          <w:p w14:paraId="7D8A1942"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 xml:space="preserve">0.30* </w:t>
            </w:r>
          </w:p>
          <w:p w14:paraId="35F8000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[-0.40; -0.20]</w:t>
            </w:r>
          </w:p>
        </w:tc>
        <w:tc>
          <w:tcPr>
            <w:tcW w:w="1785" w:type="dxa"/>
          </w:tcPr>
          <w:p w14:paraId="0624BFC5" w14:textId="77777777" w:rsidR="00B54D51" w:rsidRPr="00037AD4" w:rsidRDefault="00B54D51" w:rsidP="00401C67">
            <w:pPr>
              <w:rPr>
                <w:rFonts w:asciiTheme="minorHAnsi" w:hAnsiTheme="minorHAnsi" w:cstheme="minorHAnsi"/>
              </w:rPr>
            </w:pPr>
          </w:p>
          <w:p w14:paraId="4ADD8BC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0.17*</w:t>
            </w:r>
          </w:p>
          <w:p w14:paraId="30485FBC" w14:textId="77777777" w:rsidR="00B54D51" w:rsidRPr="00037AD4" w:rsidRDefault="00B54D51" w:rsidP="00401C67">
            <w:pPr>
              <w:rPr>
                <w:rFonts w:asciiTheme="minorHAnsi" w:hAnsiTheme="minorHAnsi" w:cstheme="minorHAnsi"/>
              </w:rPr>
            </w:pPr>
          </w:p>
          <w:p w14:paraId="638D6E3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0.33*</w:t>
            </w:r>
          </w:p>
          <w:p w14:paraId="43CAE3D1" w14:textId="77777777" w:rsidR="00B54D51" w:rsidRPr="00037AD4" w:rsidRDefault="00B54D51" w:rsidP="00401C67">
            <w:pPr>
              <w:rPr>
                <w:rFonts w:asciiTheme="minorHAnsi" w:hAnsiTheme="minorHAnsi" w:cstheme="minorHAnsi"/>
              </w:rPr>
            </w:pPr>
          </w:p>
        </w:tc>
        <w:tc>
          <w:tcPr>
            <w:tcW w:w="1706" w:type="dxa"/>
          </w:tcPr>
          <w:p w14:paraId="5992919B" w14:textId="77777777" w:rsidR="00B54D51" w:rsidRPr="00037AD4" w:rsidRDefault="00B54D51" w:rsidP="00401C67">
            <w:pPr>
              <w:rPr>
                <w:rFonts w:asciiTheme="minorHAnsi" w:hAnsiTheme="minorHAnsi" w:cstheme="minorHAnsi"/>
              </w:rPr>
            </w:pPr>
          </w:p>
          <w:p w14:paraId="66E8C87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0.27*</w:t>
            </w:r>
          </w:p>
          <w:p w14:paraId="0B6053CE" w14:textId="77777777" w:rsidR="00B54D51" w:rsidRPr="00037AD4" w:rsidRDefault="00B54D51" w:rsidP="00401C67">
            <w:pPr>
              <w:rPr>
                <w:rFonts w:asciiTheme="minorHAnsi" w:hAnsiTheme="minorHAnsi" w:cstheme="minorHAnsi"/>
              </w:rPr>
            </w:pPr>
          </w:p>
          <w:p w14:paraId="097BCB0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0.23*  </w:t>
            </w:r>
          </w:p>
        </w:tc>
      </w:tr>
      <w:tr w:rsidR="00B54D51" w:rsidRPr="00037AD4" w14:paraId="2A638DED" w14:textId="77777777" w:rsidTr="00401C67">
        <w:trPr>
          <w:trHeight w:val="1945"/>
        </w:trPr>
        <w:tc>
          <w:tcPr>
            <w:tcW w:w="1716" w:type="dxa"/>
          </w:tcPr>
          <w:p w14:paraId="1B62BAE3" w14:textId="77777777" w:rsidR="00B54D51" w:rsidRPr="00037AD4" w:rsidRDefault="00B54D51" w:rsidP="00401C67">
            <w:pPr>
              <w:rPr>
                <w:rFonts w:asciiTheme="minorHAnsi" w:hAnsiTheme="minorHAnsi" w:cstheme="minorHAnsi"/>
                <w:i/>
                <w:iCs/>
              </w:rPr>
            </w:pPr>
            <w:r w:rsidRPr="00037AD4">
              <w:rPr>
                <w:rFonts w:asciiTheme="minorHAnsi" w:hAnsiTheme="minorHAnsi" w:cstheme="minorHAnsi"/>
                <w:i/>
                <w:iCs/>
              </w:rPr>
              <w:t xml:space="preserve">IADL-PSMS change </w:t>
            </w:r>
          </w:p>
          <w:p w14:paraId="35A84A1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PwD</w:t>
            </w:r>
          </w:p>
          <w:p w14:paraId="142F33F8" w14:textId="77777777" w:rsidR="00B54D51" w:rsidRPr="00037AD4" w:rsidRDefault="00B54D51" w:rsidP="00401C67">
            <w:pPr>
              <w:rPr>
                <w:rFonts w:asciiTheme="minorHAnsi" w:hAnsiTheme="minorHAnsi" w:cstheme="minorHAnsi"/>
              </w:rPr>
            </w:pPr>
          </w:p>
          <w:p w14:paraId="71E95BE0" w14:textId="77777777" w:rsidR="00B54D51" w:rsidRPr="00037AD4" w:rsidRDefault="00B54D51" w:rsidP="00401C67">
            <w:pPr>
              <w:rPr>
                <w:rFonts w:asciiTheme="minorHAnsi" w:hAnsiTheme="minorHAnsi" w:cstheme="minorHAnsi"/>
              </w:rPr>
            </w:pPr>
          </w:p>
          <w:p w14:paraId="207695B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Informal proxy</w:t>
            </w:r>
          </w:p>
        </w:tc>
        <w:tc>
          <w:tcPr>
            <w:tcW w:w="581" w:type="dxa"/>
          </w:tcPr>
          <w:p w14:paraId="005A5258" w14:textId="77777777" w:rsidR="00B54D51" w:rsidRPr="00037AD4" w:rsidRDefault="00B54D51" w:rsidP="00401C67">
            <w:pPr>
              <w:rPr>
                <w:rFonts w:asciiTheme="minorHAnsi" w:hAnsiTheme="minorHAnsi" w:cstheme="minorHAnsi"/>
              </w:rPr>
            </w:pPr>
          </w:p>
          <w:p w14:paraId="2415AAAD" w14:textId="77777777" w:rsidR="00B54D51" w:rsidRPr="00037AD4" w:rsidRDefault="00B54D51" w:rsidP="00401C67">
            <w:pPr>
              <w:rPr>
                <w:rFonts w:asciiTheme="minorHAnsi" w:hAnsiTheme="minorHAnsi" w:cstheme="minorHAnsi"/>
              </w:rPr>
            </w:pPr>
          </w:p>
          <w:p w14:paraId="6E4164D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286</w:t>
            </w:r>
          </w:p>
          <w:p w14:paraId="5DC7A5D0" w14:textId="77777777" w:rsidR="00B54D51" w:rsidRPr="00037AD4" w:rsidRDefault="00B54D51" w:rsidP="00401C67">
            <w:pPr>
              <w:rPr>
                <w:rFonts w:asciiTheme="minorHAnsi" w:hAnsiTheme="minorHAnsi" w:cstheme="minorHAnsi"/>
              </w:rPr>
            </w:pPr>
          </w:p>
          <w:p w14:paraId="4F30FE7E" w14:textId="77777777" w:rsidR="00B54D51" w:rsidRPr="00037AD4" w:rsidRDefault="00B54D51" w:rsidP="00401C67">
            <w:pPr>
              <w:rPr>
                <w:rFonts w:asciiTheme="minorHAnsi" w:hAnsiTheme="minorHAnsi" w:cstheme="minorHAnsi"/>
              </w:rPr>
            </w:pPr>
          </w:p>
          <w:p w14:paraId="25A0112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333</w:t>
            </w:r>
          </w:p>
          <w:p w14:paraId="08BDBAF1" w14:textId="77777777" w:rsidR="00B54D51" w:rsidRPr="00037AD4" w:rsidRDefault="00B54D51" w:rsidP="00401C67">
            <w:pPr>
              <w:rPr>
                <w:rFonts w:asciiTheme="minorHAnsi" w:hAnsiTheme="minorHAnsi" w:cstheme="minorHAnsi"/>
              </w:rPr>
            </w:pPr>
          </w:p>
        </w:tc>
        <w:tc>
          <w:tcPr>
            <w:tcW w:w="1805" w:type="dxa"/>
          </w:tcPr>
          <w:p w14:paraId="71B95982" w14:textId="77777777" w:rsidR="00B54D51" w:rsidRPr="00037AD4" w:rsidRDefault="00B54D51" w:rsidP="00401C67">
            <w:pPr>
              <w:rPr>
                <w:rFonts w:asciiTheme="minorHAnsi" w:hAnsiTheme="minorHAnsi" w:cstheme="minorHAnsi"/>
              </w:rPr>
            </w:pPr>
          </w:p>
          <w:p w14:paraId="6EABC5A3" w14:textId="77777777" w:rsidR="00B54D51" w:rsidRPr="00037AD4" w:rsidRDefault="00B54D51" w:rsidP="00401C67">
            <w:pPr>
              <w:rPr>
                <w:rFonts w:asciiTheme="minorHAnsi" w:hAnsiTheme="minorHAnsi" w:cstheme="minorHAnsi"/>
              </w:rPr>
            </w:pPr>
          </w:p>
          <w:p w14:paraId="4EC9F054"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-0.01</w:t>
            </w:r>
          </w:p>
          <w:p w14:paraId="3415B8E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[-0.12; 0.11]</w:t>
            </w:r>
          </w:p>
          <w:p w14:paraId="40646A50" w14:textId="77777777" w:rsidR="00B54D51" w:rsidRPr="00037AD4" w:rsidRDefault="00B54D51" w:rsidP="00401C67">
            <w:pPr>
              <w:rPr>
                <w:rFonts w:asciiTheme="minorHAnsi" w:hAnsiTheme="minorHAnsi" w:cstheme="minorHAnsi"/>
                <w:b/>
                <w:bCs/>
              </w:rPr>
            </w:pPr>
          </w:p>
          <w:p w14:paraId="674F4F75"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 xml:space="preserve">-0.31*  </w:t>
            </w:r>
          </w:p>
          <w:p w14:paraId="68A837E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[-0.41; -0.21]</w:t>
            </w:r>
          </w:p>
        </w:tc>
        <w:tc>
          <w:tcPr>
            <w:tcW w:w="1785" w:type="dxa"/>
          </w:tcPr>
          <w:p w14:paraId="1874C706" w14:textId="77777777" w:rsidR="00B54D51" w:rsidRPr="00037AD4" w:rsidRDefault="00B54D51" w:rsidP="00401C67">
            <w:pPr>
              <w:rPr>
                <w:rFonts w:asciiTheme="minorHAnsi" w:hAnsiTheme="minorHAnsi" w:cstheme="minorHAnsi"/>
              </w:rPr>
            </w:pPr>
          </w:p>
          <w:p w14:paraId="5303F690" w14:textId="77777777" w:rsidR="00B54D51" w:rsidRPr="00037AD4" w:rsidRDefault="00B54D51" w:rsidP="00401C67">
            <w:pPr>
              <w:rPr>
                <w:rFonts w:asciiTheme="minorHAnsi" w:hAnsiTheme="minorHAnsi" w:cstheme="minorHAnsi"/>
              </w:rPr>
            </w:pPr>
          </w:p>
          <w:p w14:paraId="5A16D3C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0.05</w:t>
            </w:r>
          </w:p>
          <w:p w14:paraId="38C7F8A6" w14:textId="77777777" w:rsidR="00B54D51" w:rsidRPr="00037AD4" w:rsidRDefault="00B54D51" w:rsidP="00401C67">
            <w:pPr>
              <w:rPr>
                <w:rFonts w:asciiTheme="minorHAnsi" w:hAnsiTheme="minorHAnsi" w:cstheme="minorHAnsi"/>
              </w:rPr>
            </w:pPr>
          </w:p>
          <w:p w14:paraId="6A9AD35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 </w:t>
            </w:r>
          </w:p>
          <w:p w14:paraId="50AAA50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-0.19* </w:t>
            </w:r>
          </w:p>
        </w:tc>
        <w:tc>
          <w:tcPr>
            <w:tcW w:w="1706" w:type="dxa"/>
          </w:tcPr>
          <w:p w14:paraId="3D8A7B2D" w14:textId="77777777" w:rsidR="00B54D51" w:rsidRPr="00037AD4" w:rsidRDefault="00B54D51" w:rsidP="00401C67">
            <w:pPr>
              <w:rPr>
                <w:rFonts w:asciiTheme="minorHAnsi" w:hAnsiTheme="minorHAnsi" w:cstheme="minorHAnsi"/>
              </w:rPr>
            </w:pPr>
          </w:p>
          <w:p w14:paraId="04A44192" w14:textId="77777777" w:rsidR="00B54D51" w:rsidRPr="00037AD4" w:rsidRDefault="00B54D51" w:rsidP="00401C67">
            <w:pPr>
              <w:rPr>
                <w:rFonts w:asciiTheme="minorHAnsi" w:hAnsiTheme="minorHAnsi" w:cstheme="minorHAnsi"/>
              </w:rPr>
            </w:pPr>
          </w:p>
          <w:p w14:paraId="2C7437C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 -0.04</w:t>
            </w:r>
          </w:p>
          <w:p w14:paraId="018DDBC4" w14:textId="77777777" w:rsidR="00B54D51" w:rsidRPr="00037AD4" w:rsidRDefault="00B54D51" w:rsidP="00401C67">
            <w:pPr>
              <w:rPr>
                <w:rFonts w:asciiTheme="minorHAnsi" w:hAnsiTheme="minorHAnsi" w:cstheme="minorHAnsi"/>
              </w:rPr>
            </w:pPr>
          </w:p>
          <w:p w14:paraId="3A34A05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 </w:t>
            </w:r>
          </w:p>
          <w:p w14:paraId="0FF7A43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-0.27*</w:t>
            </w:r>
          </w:p>
        </w:tc>
      </w:tr>
      <w:tr w:rsidR="00B54D51" w:rsidRPr="00037AD4" w14:paraId="0075ABB8" w14:textId="77777777" w:rsidTr="00401C67">
        <w:trPr>
          <w:trHeight w:val="1945"/>
        </w:trPr>
        <w:tc>
          <w:tcPr>
            <w:tcW w:w="1716" w:type="dxa"/>
          </w:tcPr>
          <w:p w14:paraId="48487C90" w14:textId="77777777" w:rsidR="00B54D51" w:rsidRPr="00037AD4" w:rsidRDefault="00B54D51" w:rsidP="00401C67">
            <w:pPr>
              <w:rPr>
                <w:rFonts w:asciiTheme="minorHAnsi" w:hAnsiTheme="minorHAnsi" w:cstheme="minorHAnsi"/>
                <w:i/>
                <w:iCs/>
              </w:rPr>
            </w:pPr>
            <w:r w:rsidRPr="00037AD4">
              <w:rPr>
                <w:rFonts w:asciiTheme="minorHAnsi" w:hAnsiTheme="minorHAnsi" w:cstheme="minorHAnsi"/>
                <w:i/>
                <w:iCs/>
              </w:rPr>
              <w:lastRenderedPageBreak/>
              <w:t xml:space="preserve">FAST change </w:t>
            </w:r>
          </w:p>
          <w:p w14:paraId="1FDF746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PwD</w:t>
            </w:r>
          </w:p>
          <w:p w14:paraId="5A80A5CC" w14:textId="77777777" w:rsidR="00B54D51" w:rsidRPr="00037AD4" w:rsidRDefault="00B54D51" w:rsidP="00401C67">
            <w:pPr>
              <w:rPr>
                <w:rFonts w:asciiTheme="minorHAnsi" w:hAnsiTheme="minorHAnsi" w:cstheme="minorHAnsi"/>
              </w:rPr>
            </w:pPr>
          </w:p>
          <w:p w14:paraId="146566E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Informal proxy</w:t>
            </w:r>
          </w:p>
          <w:p w14:paraId="1129F6C1" w14:textId="77777777" w:rsidR="00B54D51" w:rsidRPr="00037AD4" w:rsidRDefault="00B54D51" w:rsidP="00401C67">
            <w:pPr>
              <w:rPr>
                <w:rFonts w:asciiTheme="minorHAnsi" w:hAnsiTheme="minorHAnsi" w:cstheme="minorHAnsi"/>
              </w:rPr>
            </w:pPr>
          </w:p>
          <w:p w14:paraId="11EBF221" w14:textId="77777777" w:rsidR="00B54D51" w:rsidRPr="00037AD4" w:rsidRDefault="00B54D51" w:rsidP="00401C67">
            <w:pPr>
              <w:rPr>
                <w:rFonts w:asciiTheme="minorHAnsi" w:hAnsiTheme="minorHAnsi" w:cstheme="minorHAnsi"/>
                <w:i/>
                <w:iCs/>
              </w:rPr>
            </w:pPr>
            <w:r w:rsidRPr="00037AD4">
              <w:rPr>
                <w:rFonts w:asciiTheme="minorHAnsi" w:hAnsiTheme="minorHAnsi" w:cstheme="minorHAnsi"/>
              </w:rPr>
              <w:t xml:space="preserve">Staff proxy </w:t>
            </w:r>
          </w:p>
        </w:tc>
        <w:tc>
          <w:tcPr>
            <w:tcW w:w="581" w:type="dxa"/>
          </w:tcPr>
          <w:p w14:paraId="23B48F51" w14:textId="77777777" w:rsidR="00B54D51" w:rsidRPr="00037AD4" w:rsidRDefault="00B54D51" w:rsidP="00401C67">
            <w:pPr>
              <w:rPr>
                <w:rFonts w:asciiTheme="minorHAnsi" w:hAnsiTheme="minorHAnsi" w:cstheme="minorHAnsi"/>
              </w:rPr>
            </w:pPr>
          </w:p>
          <w:p w14:paraId="60EADA2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125</w:t>
            </w:r>
          </w:p>
          <w:p w14:paraId="2CC03887" w14:textId="77777777" w:rsidR="00B54D51" w:rsidRPr="00037AD4" w:rsidRDefault="00B54D51" w:rsidP="00401C67">
            <w:pPr>
              <w:rPr>
                <w:rFonts w:asciiTheme="minorHAnsi" w:hAnsiTheme="minorHAnsi" w:cstheme="minorHAnsi"/>
              </w:rPr>
            </w:pPr>
          </w:p>
          <w:p w14:paraId="6545608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61</w:t>
            </w:r>
          </w:p>
          <w:p w14:paraId="3194A11D" w14:textId="77777777" w:rsidR="00B54D51" w:rsidRPr="00037AD4" w:rsidRDefault="00B54D51" w:rsidP="00401C67">
            <w:pPr>
              <w:rPr>
                <w:rFonts w:asciiTheme="minorHAnsi" w:hAnsiTheme="minorHAnsi" w:cstheme="minorHAnsi"/>
              </w:rPr>
            </w:pPr>
          </w:p>
          <w:p w14:paraId="2DF5A45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379</w:t>
            </w:r>
          </w:p>
        </w:tc>
        <w:tc>
          <w:tcPr>
            <w:tcW w:w="1805" w:type="dxa"/>
          </w:tcPr>
          <w:p w14:paraId="43AF3A8F" w14:textId="77777777" w:rsidR="00B54D51" w:rsidRPr="00037AD4" w:rsidRDefault="00B54D51" w:rsidP="00401C67">
            <w:pPr>
              <w:rPr>
                <w:rFonts w:asciiTheme="minorHAnsi" w:hAnsiTheme="minorHAnsi" w:cstheme="minorHAnsi"/>
              </w:rPr>
            </w:pPr>
          </w:p>
          <w:p w14:paraId="34665153" w14:textId="77777777" w:rsidR="00B54D51" w:rsidRPr="00037AD4" w:rsidRDefault="00B54D51" w:rsidP="00401C67">
            <w:pPr>
              <w:rPr>
                <w:rFonts w:asciiTheme="minorHAnsi" w:hAnsiTheme="minorHAnsi" w:cstheme="minorHAnsi"/>
              </w:rPr>
            </w:pPr>
            <w:r w:rsidRPr="00037AD4">
              <w:rPr>
                <w:rFonts w:asciiTheme="minorHAnsi" w:hAnsiTheme="minorHAnsi" w:cstheme="minorHAnsi"/>
                <w:b/>
                <w:bCs/>
              </w:rPr>
              <w:t xml:space="preserve">-0.08 </w:t>
            </w:r>
            <w:r w:rsidRPr="00037AD4">
              <w:rPr>
                <w:rFonts w:asciiTheme="minorHAnsi" w:hAnsiTheme="minorHAnsi" w:cstheme="minorHAnsi"/>
              </w:rPr>
              <w:t xml:space="preserve"> </w:t>
            </w:r>
          </w:p>
          <w:p w14:paraId="544A9AA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[-0.25; 0.10]</w:t>
            </w:r>
          </w:p>
          <w:p w14:paraId="4D1C70D4"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0.08</w:t>
            </w:r>
          </w:p>
          <w:p w14:paraId="572165A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[-0.18; 0.32]</w:t>
            </w:r>
          </w:p>
          <w:p w14:paraId="3744D1EB"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0.03</w:t>
            </w:r>
          </w:p>
          <w:p w14:paraId="6635E49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[-0.07; 0.13]</w:t>
            </w:r>
          </w:p>
        </w:tc>
        <w:tc>
          <w:tcPr>
            <w:tcW w:w="1785" w:type="dxa"/>
          </w:tcPr>
          <w:p w14:paraId="3C8F1B85" w14:textId="77777777" w:rsidR="00B54D51" w:rsidRPr="00037AD4" w:rsidRDefault="00B54D51" w:rsidP="00401C67">
            <w:pPr>
              <w:rPr>
                <w:rFonts w:asciiTheme="minorHAnsi" w:hAnsiTheme="minorHAnsi" w:cstheme="minorHAnsi"/>
              </w:rPr>
            </w:pPr>
          </w:p>
          <w:p w14:paraId="591F8CA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-0.17 </w:t>
            </w:r>
          </w:p>
          <w:p w14:paraId="2A643D4F" w14:textId="77777777" w:rsidR="00B54D51" w:rsidRPr="00037AD4" w:rsidRDefault="00B54D51" w:rsidP="00401C67">
            <w:pPr>
              <w:rPr>
                <w:rFonts w:asciiTheme="minorHAnsi" w:hAnsiTheme="minorHAnsi" w:cstheme="minorHAnsi"/>
              </w:rPr>
            </w:pPr>
          </w:p>
          <w:p w14:paraId="6290DA9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w:t>
            </w:r>
          </w:p>
          <w:p w14:paraId="6A1E92FE" w14:textId="77777777" w:rsidR="00B54D51" w:rsidRPr="00037AD4" w:rsidRDefault="00B54D51" w:rsidP="00401C67">
            <w:pPr>
              <w:rPr>
                <w:rFonts w:asciiTheme="minorHAnsi" w:hAnsiTheme="minorHAnsi" w:cstheme="minorHAnsi"/>
              </w:rPr>
            </w:pPr>
          </w:p>
          <w:p w14:paraId="31FA06B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0.01 </w:t>
            </w:r>
          </w:p>
        </w:tc>
        <w:tc>
          <w:tcPr>
            <w:tcW w:w="1706" w:type="dxa"/>
          </w:tcPr>
          <w:p w14:paraId="5FDFAE22" w14:textId="77777777" w:rsidR="00B54D51" w:rsidRPr="00037AD4" w:rsidRDefault="00B54D51" w:rsidP="00401C67">
            <w:pPr>
              <w:rPr>
                <w:rFonts w:asciiTheme="minorHAnsi" w:hAnsiTheme="minorHAnsi" w:cstheme="minorHAnsi"/>
              </w:rPr>
            </w:pPr>
          </w:p>
          <w:p w14:paraId="2328358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0.00</w:t>
            </w:r>
          </w:p>
          <w:p w14:paraId="589A5A74" w14:textId="77777777" w:rsidR="00B54D51" w:rsidRPr="00037AD4" w:rsidRDefault="00B54D51" w:rsidP="00401C67">
            <w:pPr>
              <w:rPr>
                <w:rFonts w:asciiTheme="minorHAnsi" w:hAnsiTheme="minorHAnsi" w:cstheme="minorHAnsi"/>
              </w:rPr>
            </w:pPr>
          </w:p>
          <w:p w14:paraId="348CE8E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w:t>
            </w:r>
          </w:p>
          <w:p w14:paraId="1CCF10A7" w14:textId="77777777" w:rsidR="00B54D51" w:rsidRPr="00037AD4" w:rsidRDefault="00B54D51" w:rsidP="00401C67">
            <w:pPr>
              <w:rPr>
                <w:rFonts w:asciiTheme="minorHAnsi" w:hAnsiTheme="minorHAnsi" w:cstheme="minorHAnsi"/>
              </w:rPr>
            </w:pPr>
          </w:p>
          <w:p w14:paraId="4EBE956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0.14 </w:t>
            </w:r>
          </w:p>
        </w:tc>
      </w:tr>
      <w:tr w:rsidR="00B54D51" w:rsidRPr="00037AD4" w14:paraId="10CBE107" w14:textId="77777777" w:rsidTr="00401C67">
        <w:trPr>
          <w:trHeight w:val="1124"/>
        </w:trPr>
        <w:tc>
          <w:tcPr>
            <w:tcW w:w="1716" w:type="dxa"/>
          </w:tcPr>
          <w:p w14:paraId="3D496086" w14:textId="77777777" w:rsidR="00B54D51" w:rsidRPr="00037AD4" w:rsidRDefault="00B54D51" w:rsidP="00401C67">
            <w:pPr>
              <w:rPr>
                <w:rFonts w:asciiTheme="minorHAnsi" w:hAnsiTheme="minorHAnsi" w:cstheme="minorHAnsi"/>
                <w:i/>
                <w:iCs/>
              </w:rPr>
            </w:pPr>
            <w:r w:rsidRPr="00037AD4">
              <w:rPr>
                <w:rFonts w:asciiTheme="minorHAnsi" w:hAnsiTheme="minorHAnsi" w:cstheme="minorHAnsi"/>
                <w:i/>
                <w:iCs/>
              </w:rPr>
              <w:t xml:space="preserve">CSDD change </w:t>
            </w:r>
          </w:p>
          <w:p w14:paraId="4308D4B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PwD</w:t>
            </w:r>
          </w:p>
          <w:p w14:paraId="44D636B8" w14:textId="77777777" w:rsidR="00B54D51" w:rsidRPr="00037AD4" w:rsidRDefault="00B54D51" w:rsidP="00401C67">
            <w:pPr>
              <w:rPr>
                <w:rFonts w:asciiTheme="minorHAnsi" w:hAnsiTheme="minorHAnsi" w:cstheme="minorHAnsi"/>
              </w:rPr>
            </w:pPr>
          </w:p>
          <w:p w14:paraId="68FE057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Informal proxy</w:t>
            </w:r>
          </w:p>
          <w:p w14:paraId="7423764C" w14:textId="77777777" w:rsidR="00B54D51" w:rsidRPr="00037AD4" w:rsidRDefault="00B54D51" w:rsidP="00401C67">
            <w:pPr>
              <w:rPr>
                <w:rFonts w:asciiTheme="minorHAnsi" w:hAnsiTheme="minorHAnsi" w:cstheme="minorHAnsi"/>
              </w:rPr>
            </w:pPr>
          </w:p>
          <w:p w14:paraId="0F7E2EEF" w14:textId="77777777" w:rsidR="00B54D51" w:rsidRPr="00037AD4" w:rsidRDefault="00B54D51" w:rsidP="00401C67">
            <w:pPr>
              <w:rPr>
                <w:rFonts w:asciiTheme="minorHAnsi" w:hAnsiTheme="minorHAnsi" w:cstheme="minorHAnsi"/>
                <w:i/>
                <w:iCs/>
              </w:rPr>
            </w:pPr>
          </w:p>
        </w:tc>
        <w:tc>
          <w:tcPr>
            <w:tcW w:w="581" w:type="dxa"/>
          </w:tcPr>
          <w:p w14:paraId="76DB3AE5" w14:textId="77777777" w:rsidR="00B54D51" w:rsidRPr="00037AD4" w:rsidRDefault="00B54D51" w:rsidP="00401C67">
            <w:pPr>
              <w:rPr>
                <w:rFonts w:asciiTheme="minorHAnsi" w:hAnsiTheme="minorHAnsi" w:cstheme="minorHAnsi"/>
              </w:rPr>
            </w:pPr>
          </w:p>
          <w:p w14:paraId="536F6C9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217</w:t>
            </w:r>
          </w:p>
          <w:p w14:paraId="74A67B9A" w14:textId="77777777" w:rsidR="00B54D51" w:rsidRPr="00037AD4" w:rsidRDefault="00B54D51" w:rsidP="00401C67">
            <w:pPr>
              <w:rPr>
                <w:rFonts w:asciiTheme="minorHAnsi" w:hAnsiTheme="minorHAnsi" w:cstheme="minorHAnsi"/>
              </w:rPr>
            </w:pPr>
          </w:p>
          <w:p w14:paraId="31E0C87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231</w:t>
            </w:r>
          </w:p>
        </w:tc>
        <w:tc>
          <w:tcPr>
            <w:tcW w:w="1805" w:type="dxa"/>
          </w:tcPr>
          <w:p w14:paraId="17777172" w14:textId="77777777" w:rsidR="00B54D51" w:rsidRPr="00037AD4" w:rsidRDefault="00B54D51" w:rsidP="00401C67">
            <w:pPr>
              <w:rPr>
                <w:rFonts w:asciiTheme="minorHAnsi" w:hAnsiTheme="minorHAnsi" w:cstheme="minorHAnsi"/>
              </w:rPr>
            </w:pPr>
          </w:p>
          <w:p w14:paraId="5C47F1B0"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 xml:space="preserve">0.03 </w:t>
            </w:r>
          </w:p>
          <w:p w14:paraId="4F0FCD8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[-0.10; 0.16]</w:t>
            </w:r>
          </w:p>
          <w:p w14:paraId="2C4C4654"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0.10</w:t>
            </w:r>
          </w:p>
          <w:p w14:paraId="0532C44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[-0.03; 0.22]</w:t>
            </w:r>
          </w:p>
        </w:tc>
        <w:tc>
          <w:tcPr>
            <w:tcW w:w="1785" w:type="dxa"/>
          </w:tcPr>
          <w:p w14:paraId="07A0C7BD" w14:textId="77777777" w:rsidR="00B54D51" w:rsidRPr="00037AD4" w:rsidRDefault="00B54D51" w:rsidP="00401C67">
            <w:pPr>
              <w:rPr>
                <w:rFonts w:asciiTheme="minorHAnsi" w:hAnsiTheme="minorHAnsi" w:cstheme="minorHAnsi"/>
              </w:rPr>
            </w:pPr>
          </w:p>
          <w:p w14:paraId="3E1B5F5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-0.01 </w:t>
            </w:r>
          </w:p>
          <w:p w14:paraId="3B26A4D1" w14:textId="77777777" w:rsidR="00B54D51" w:rsidRPr="00037AD4" w:rsidRDefault="00B54D51" w:rsidP="00401C67">
            <w:pPr>
              <w:rPr>
                <w:rFonts w:asciiTheme="minorHAnsi" w:hAnsiTheme="minorHAnsi" w:cstheme="minorHAnsi"/>
              </w:rPr>
            </w:pPr>
          </w:p>
          <w:p w14:paraId="548DAF9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0.12</w:t>
            </w:r>
          </w:p>
          <w:p w14:paraId="5A95AFC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 </w:t>
            </w:r>
          </w:p>
        </w:tc>
        <w:tc>
          <w:tcPr>
            <w:tcW w:w="1706" w:type="dxa"/>
          </w:tcPr>
          <w:p w14:paraId="3B867962" w14:textId="77777777" w:rsidR="00B54D51" w:rsidRPr="00037AD4" w:rsidRDefault="00B54D51" w:rsidP="00401C67">
            <w:pPr>
              <w:rPr>
                <w:rFonts w:asciiTheme="minorHAnsi" w:hAnsiTheme="minorHAnsi" w:cstheme="minorHAnsi"/>
              </w:rPr>
            </w:pPr>
          </w:p>
          <w:p w14:paraId="30EB6EA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0.13 </w:t>
            </w:r>
          </w:p>
          <w:p w14:paraId="53000202" w14:textId="77777777" w:rsidR="00B54D51" w:rsidRPr="00037AD4" w:rsidRDefault="00B54D51" w:rsidP="00401C67">
            <w:pPr>
              <w:rPr>
                <w:rFonts w:asciiTheme="minorHAnsi" w:hAnsiTheme="minorHAnsi" w:cstheme="minorHAnsi"/>
              </w:rPr>
            </w:pPr>
          </w:p>
          <w:p w14:paraId="4259F9A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0.05 </w:t>
            </w:r>
          </w:p>
        </w:tc>
      </w:tr>
      <w:tr w:rsidR="00B54D51" w:rsidRPr="00037AD4" w14:paraId="0DBFDA5D" w14:textId="77777777" w:rsidTr="00401C67">
        <w:trPr>
          <w:trHeight w:val="715"/>
        </w:trPr>
        <w:tc>
          <w:tcPr>
            <w:tcW w:w="7593" w:type="dxa"/>
            <w:gridSpan w:val="5"/>
          </w:tcPr>
          <w:p w14:paraId="78847D1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**CDR at T0 for CSDD and BADLS assessments due to lack of follow-up CDR data in REMCARE</w:t>
            </w:r>
          </w:p>
        </w:tc>
      </w:tr>
    </w:tbl>
    <w:p w14:paraId="1428D0C5" w14:textId="77777777" w:rsidR="00B54D51" w:rsidRPr="00037AD4" w:rsidRDefault="00B54D51" w:rsidP="001D7ACE">
      <w:pPr>
        <w:rPr>
          <w:rFonts w:asciiTheme="minorHAnsi" w:hAnsiTheme="minorHAnsi" w:cstheme="minorHAnsi"/>
          <w:u w:val="single"/>
        </w:rPr>
      </w:pPr>
    </w:p>
    <w:p w14:paraId="7CDDC4C5" w14:textId="77777777" w:rsidR="00B54D51" w:rsidRPr="00037AD4" w:rsidRDefault="00B54D51" w:rsidP="001D7ACE">
      <w:pPr>
        <w:rPr>
          <w:rFonts w:asciiTheme="minorHAnsi" w:hAnsiTheme="minorHAnsi" w:cstheme="minorHAnsi"/>
          <w:u w:val="single"/>
        </w:rPr>
      </w:pPr>
      <w:r w:rsidRPr="00037AD4">
        <w:rPr>
          <w:rFonts w:asciiTheme="minorHAnsi" w:hAnsiTheme="minorHAnsi" w:cstheme="minorHAnsi"/>
          <w:u w:val="single"/>
        </w:rPr>
        <w:t>Table A5.4k, Correlation between change in pain/discomfort dimension score and change in dementia symptom measure scores</w:t>
      </w:r>
    </w:p>
    <w:p w14:paraId="62D2A40A" w14:textId="77777777" w:rsidR="00B54D51" w:rsidRPr="00037AD4" w:rsidRDefault="00B54D51" w:rsidP="001D7ACE">
      <w:pPr>
        <w:rPr>
          <w:rFonts w:asciiTheme="minorHAnsi" w:hAnsiTheme="minorHAnsi" w:cstheme="minorHAnsi"/>
        </w:rPr>
      </w:pPr>
    </w:p>
    <w:tbl>
      <w:tblPr>
        <w:tblStyle w:val="TableGrid"/>
        <w:tblpPr w:leftFromText="180" w:rightFromText="180" w:vertAnchor="text" w:horzAnchor="margin" w:tblpY="78"/>
        <w:tblW w:w="7593" w:type="dxa"/>
        <w:tblLook w:val="04A0" w:firstRow="1" w:lastRow="0" w:firstColumn="1" w:lastColumn="0" w:noHBand="0" w:noVBand="1"/>
      </w:tblPr>
      <w:tblGrid>
        <w:gridCol w:w="1716"/>
        <w:gridCol w:w="581"/>
        <w:gridCol w:w="1805"/>
        <w:gridCol w:w="1785"/>
        <w:gridCol w:w="1706"/>
      </w:tblGrid>
      <w:tr w:rsidR="00B54D51" w:rsidRPr="00037AD4" w14:paraId="2B5492BA" w14:textId="77777777" w:rsidTr="00401C67">
        <w:trPr>
          <w:trHeight w:val="553"/>
        </w:trPr>
        <w:tc>
          <w:tcPr>
            <w:tcW w:w="2297" w:type="dxa"/>
            <w:gridSpan w:val="2"/>
          </w:tcPr>
          <w:p w14:paraId="45EBF1D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Correlation coefficient; CI</w:t>
            </w:r>
          </w:p>
        </w:tc>
        <w:tc>
          <w:tcPr>
            <w:tcW w:w="5296" w:type="dxa"/>
            <w:gridSpan w:val="3"/>
          </w:tcPr>
          <w:p w14:paraId="07A8C522" w14:textId="77777777" w:rsidR="00B54D51" w:rsidRPr="00037AD4" w:rsidRDefault="00B54D51" w:rsidP="00401C67">
            <w:pPr>
              <w:jc w:val="center"/>
              <w:rPr>
                <w:rFonts w:asciiTheme="minorHAnsi" w:hAnsiTheme="minorHAnsi" w:cstheme="minorHAnsi"/>
              </w:rPr>
            </w:pPr>
            <w:r w:rsidRPr="00037AD4">
              <w:rPr>
                <w:rFonts w:asciiTheme="minorHAnsi" w:hAnsiTheme="minorHAnsi" w:cstheme="minorHAnsi"/>
              </w:rPr>
              <w:t>CDR severity stage at T2**</w:t>
            </w:r>
          </w:p>
          <w:p w14:paraId="709F5389" w14:textId="77777777" w:rsidR="00B54D51" w:rsidRPr="00037AD4" w:rsidRDefault="00B54D51" w:rsidP="00401C67">
            <w:pPr>
              <w:rPr>
                <w:rFonts w:asciiTheme="minorHAnsi" w:hAnsiTheme="minorHAnsi" w:cstheme="minorHAnsi"/>
              </w:rPr>
            </w:pPr>
          </w:p>
        </w:tc>
      </w:tr>
      <w:tr w:rsidR="00B54D51" w:rsidRPr="00037AD4" w14:paraId="57DCFA25" w14:textId="77777777" w:rsidTr="00401C67">
        <w:trPr>
          <w:trHeight w:val="553"/>
        </w:trPr>
        <w:tc>
          <w:tcPr>
            <w:tcW w:w="1716" w:type="dxa"/>
          </w:tcPr>
          <w:p w14:paraId="668DA90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Instrument and rater-type </w:t>
            </w:r>
          </w:p>
        </w:tc>
        <w:tc>
          <w:tcPr>
            <w:tcW w:w="581" w:type="dxa"/>
          </w:tcPr>
          <w:p w14:paraId="639A925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N</w:t>
            </w:r>
          </w:p>
        </w:tc>
        <w:tc>
          <w:tcPr>
            <w:tcW w:w="1805" w:type="dxa"/>
          </w:tcPr>
          <w:p w14:paraId="3BECE5C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Sum  </w:t>
            </w:r>
          </w:p>
        </w:tc>
        <w:tc>
          <w:tcPr>
            <w:tcW w:w="1785" w:type="dxa"/>
          </w:tcPr>
          <w:p w14:paraId="0A38CD4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Mild </w:t>
            </w:r>
          </w:p>
        </w:tc>
        <w:tc>
          <w:tcPr>
            <w:tcW w:w="1706" w:type="dxa"/>
          </w:tcPr>
          <w:p w14:paraId="4027F48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Moderate </w:t>
            </w:r>
          </w:p>
        </w:tc>
      </w:tr>
      <w:tr w:rsidR="00B54D51" w:rsidRPr="00037AD4" w14:paraId="4F73E7F1" w14:textId="77777777" w:rsidTr="00401C67">
        <w:trPr>
          <w:trHeight w:val="1945"/>
        </w:trPr>
        <w:tc>
          <w:tcPr>
            <w:tcW w:w="1716" w:type="dxa"/>
          </w:tcPr>
          <w:p w14:paraId="53753721" w14:textId="77777777" w:rsidR="00B54D51" w:rsidRPr="00037AD4" w:rsidRDefault="00B54D51" w:rsidP="00401C67">
            <w:pPr>
              <w:rPr>
                <w:rFonts w:asciiTheme="minorHAnsi" w:hAnsiTheme="minorHAnsi" w:cstheme="minorHAnsi"/>
                <w:i/>
                <w:iCs/>
              </w:rPr>
            </w:pPr>
            <w:r w:rsidRPr="00037AD4">
              <w:rPr>
                <w:rFonts w:asciiTheme="minorHAnsi" w:hAnsiTheme="minorHAnsi" w:cstheme="minorHAnsi"/>
                <w:i/>
                <w:iCs/>
              </w:rPr>
              <w:t>CDR change</w:t>
            </w:r>
          </w:p>
          <w:p w14:paraId="52D0D71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PwD</w:t>
            </w:r>
          </w:p>
          <w:p w14:paraId="30D848A0" w14:textId="77777777" w:rsidR="00B54D51" w:rsidRPr="00037AD4" w:rsidRDefault="00B54D51" w:rsidP="00401C67">
            <w:pPr>
              <w:rPr>
                <w:rFonts w:asciiTheme="minorHAnsi" w:hAnsiTheme="minorHAnsi" w:cstheme="minorHAnsi"/>
              </w:rPr>
            </w:pPr>
          </w:p>
          <w:p w14:paraId="7466EF9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Informal proxy</w:t>
            </w:r>
          </w:p>
          <w:p w14:paraId="2C02B9BE" w14:textId="77777777" w:rsidR="00B54D51" w:rsidRPr="00037AD4" w:rsidRDefault="00B54D51" w:rsidP="00401C67">
            <w:pPr>
              <w:rPr>
                <w:rFonts w:asciiTheme="minorHAnsi" w:hAnsiTheme="minorHAnsi" w:cstheme="minorHAnsi"/>
              </w:rPr>
            </w:pPr>
          </w:p>
          <w:p w14:paraId="7F9C7CE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Staff proxy </w:t>
            </w:r>
          </w:p>
        </w:tc>
        <w:tc>
          <w:tcPr>
            <w:tcW w:w="581" w:type="dxa"/>
          </w:tcPr>
          <w:p w14:paraId="31714DD7" w14:textId="77777777" w:rsidR="00B54D51" w:rsidRPr="00037AD4" w:rsidRDefault="00B54D51" w:rsidP="00401C67">
            <w:pPr>
              <w:rPr>
                <w:rFonts w:asciiTheme="minorHAnsi" w:hAnsiTheme="minorHAnsi" w:cstheme="minorHAnsi"/>
              </w:rPr>
            </w:pPr>
          </w:p>
          <w:p w14:paraId="62C3FE5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431</w:t>
            </w:r>
          </w:p>
          <w:p w14:paraId="1401CD51" w14:textId="77777777" w:rsidR="00B54D51" w:rsidRPr="00037AD4" w:rsidRDefault="00B54D51" w:rsidP="00401C67">
            <w:pPr>
              <w:rPr>
                <w:rFonts w:asciiTheme="minorHAnsi" w:hAnsiTheme="minorHAnsi" w:cstheme="minorHAnsi"/>
              </w:rPr>
            </w:pPr>
          </w:p>
          <w:p w14:paraId="242E514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394</w:t>
            </w:r>
          </w:p>
          <w:p w14:paraId="1FEFE044" w14:textId="77777777" w:rsidR="00B54D51" w:rsidRPr="00037AD4" w:rsidRDefault="00B54D51" w:rsidP="00401C67">
            <w:pPr>
              <w:rPr>
                <w:rFonts w:asciiTheme="minorHAnsi" w:hAnsiTheme="minorHAnsi" w:cstheme="minorHAnsi"/>
              </w:rPr>
            </w:pPr>
          </w:p>
          <w:p w14:paraId="507B464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395</w:t>
            </w:r>
          </w:p>
        </w:tc>
        <w:tc>
          <w:tcPr>
            <w:tcW w:w="1805" w:type="dxa"/>
          </w:tcPr>
          <w:p w14:paraId="2443E6C3" w14:textId="77777777" w:rsidR="00B54D51" w:rsidRPr="00037AD4" w:rsidRDefault="00B54D51" w:rsidP="00401C67">
            <w:pPr>
              <w:rPr>
                <w:rFonts w:asciiTheme="minorHAnsi" w:hAnsiTheme="minorHAnsi" w:cstheme="minorHAnsi"/>
              </w:rPr>
            </w:pPr>
          </w:p>
          <w:p w14:paraId="5BF89FEE"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0.00</w:t>
            </w:r>
          </w:p>
          <w:p w14:paraId="6C1C462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[-0.09; 0.10] </w:t>
            </w:r>
          </w:p>
          <w:p w14:paraId="13BD0896"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 xml:space="preserve">-0.03 </w:t>
            </w:r>
          </w:p>
          <w:p w14:paraId="55FF2D0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[-0.13; 0.07]</w:t>
            </w:r>
          </w:p>
          <w:p w14:paraId="396FF4EF"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-0.04</w:t>
            </w:r>
          </w:p>
          <w:p w14:paraId="17144AE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[-0.14; 0.06] </w:t>
            </w:r>
          </w:p>
        </w:tc>
        <w:tc>
          <w:tcPr>
            <w:tcW w:w="1785" w:type="dxa"/>
          </w:tcPr>
          <w:p w14:paraId="008AE7E6" w14:textId="77777777" w:rsidR="00B54D51" w:rsidRPr="00037AD4" w:rsidRDefault="00B54D51" w:rsidP="00401C67">
            <w:pPr>
              <w:rPr>
                <w:rFonts w:asciiTheme="minorHAnsi" w:hAnsiTheme="minorHAnsi" w:cstheme="minorHAnsi"/>
              </w:rPr>
            </w:pPr>
          </w:p>
          <w:p w14:paraId="6BEF23D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-0.01</w:t>
            </w:r>
          </w:p>
          <w:p w14:paraId="503DEAC8" w14:textId="77777777" w:rsidR="00B54D51" w:rsidRPr="00037AD4" w:rsidRDefault="00B54D51" w:rsidP="00401C67">
            <w:pPr>
              <w:rPr>
                <w:rFonts w:asciiTheme="minorHAnsi" w:hAnsiTheme="minorHAnsi" w:cstheme="minorHAnsi"/>
              </w:rPr>
            </w:pPr>
          </w:p>
          <w:p w14:paraId="7264E89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-0.04</w:t>
            </w:r>
          </w:p>
          <w:p w14:paraId="243B3B27" w14:textId="77777777" w:rsidR="00B54D51" w:rsidRPr="00037AD4" w:rsidRDefault="00B54D51" w:rsidP="00401C67">
            <w:pPr>
              <w:rPr>
                <w:rFonts w:asciiTheme="minorHAnsi" w:hAnsiTheme="minorHAnsi" w:cstheme="minorHAnsi"/>
              </w:rPr>
            </w:pPr>
          </w:p>
          <w:p w14:paraId="0F59027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0.01</w:t>
            </w:r>
          </w:p>
        </w:tc>
        <w:tc>
          <w:tcPr>
            <w:tcW w:w="1706" w:type="dxa"/>
          </w:tcPr>
          <w:p w14:paraId="64BF5029" w14:textId="77777777" w:rsidR="00B54D51" w:rsidRPr="00037AD4" w:rsidRDefault="00B54D51" w:rsidP="00401C67">
            <w:pPr>
              <w:rPr>
                <w:rFonts w:asciiTheme="minorHAnsi" w:hAnsiTheme="minorHAnsi" w:cstheme="minorHAnsi"/>
              </w:rPr>
            </w:pPr>
          </w:p>
          <w:p w14:paraId="1A732E0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-0.03 </w:t>
            </w:r>
          </w:p>
          <w:p w14:paraId="4FBA9DE9" w14:textId="77777777" w:rsidR="00B54D51" w:rsidRPr="00037AD4" w:rsidRDefault="00B54D51" w:rsidP="00401C67">
            <w:pPr>
              <w:rPr>
                <w:rFonts w:asciiTheme="minorHAnsi" w:hAnsiTheme="minorHAnsi" w:cstheme="minorHAnsi"/>
              </w:rPr>
            </w:pPr>
          </w:p>
          <w:p w14:paraId="4548D0C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0.05</w:t>
            </w:r>
          </w:p>
          <w:p w14:paraId="157E5A08" w14:textId="77777777" w:rsidR="00B54D51" w:rsidRPr="00037AD4" w:rsidRDefault="00B54D51" w:rsidP="00401C67">
            <w:pPr>
              <w:rPr>
                <w:rFonts w:asciiTheme="minorHAnsi" w:hAnsiTheme="minorHAnsi" w:cstheme="minorHAnsi"/>
              </w:rPr>
            </w:pPr>
          </w:p>
          <w:p w14:paraId="2B50A26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-0.12</w:t>
            </w:r>
          </w:p>
        </w:tc>
      </w:tr>
      <w:tr w:rsidR="00B54D51" w:rsidRPr="00037AD4" w14:paraId="399E07DF" w14:textId="77777777" w:rsidTr="00401C67">
        <w:trPr>
          <w:trHeight w:val="1373"/>
        </w:trPr>
        <w:tc>
          <w:tcPr>
            <w:tcW w:w="1716" w:type="dxa"/>
          </w:tcPr>
          <w:p w14:paraId="2C95F92B" w14:textId="77777777" w:rsidR="00B54D51" w:rsidRPr="00037AD4" w:rsidRDefault="00B54D51" w:rsidP="00401C67">
            <w:pPr>
              <w:rPr>
                <w:rFonts w:asciiTheme="minorHAnsi" w:hAnsiTheme="minorHAnsi" w:cstheme="minorHAnsi"/>
                <w:i/>
                <w:iCs/>
              </w:rPr>
            </w:pPr>
            <w:r w:rsidRPr="00037AD4">
              <w:rPr>
                <w:rFonts w:asciiTheme="minorHAnsi" w:hAnsiTheme="minorHAnsi" w:cstheme="minorHAnsi"/>
                <w:i/>
                <w:iCs/>
              </w:rPr>
              <w:t xml:space="preserve">BADLS change </w:t>
            </w:r>
          </w:p>
          <w:p w14:paraId="1084C0B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PwD </w:t>
            </w:r>
          </w:p>
          <w:p w14:paraId="4FE0E027" w14:textId="77777777" w:rsidR="00B54D51" w:rsidRPr="00037AD4" w:rsidRDefault="00B54D51" w:rsidP="00401C67">
            <w:pPr>
              <w:rPr>
                <w:rFonts w:asciiTheme="minorHAnsi" w:hAnsiTheme="minorHAnsi" w:cstheme="minorHAnsi"/>
              </w:rPr>
            </w:pPr>
          </w:p>
          <w:p w14:paraId="0104053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Informal proxy</w:t>
            </w:r>
          </w:p>
        </w:tc>
        <w:tc>
          <w:tcPr>
            <w:tcW w:w="581" w:type="dxa"/>
          </w:tcPr>
          <w:p w14:paraId="12481E84" w14:textId="77777777" w:rsidR="00B54D51" w:rsidRPr="00037AD4" w:rsidRDefault="00B54D51" w:rsidP="00401C67">
            <w:pPr>
              <w:rPr>
                <w:rFonts w:asciiTheme="minorHAnsi" w:hAnsiTheme="minorHAnsi" w:cstheme="minorHAnsi"/>
              </w:rPr>
            </w:pPr>
          </w:p>
          <w:p w14:paraId="73C76F2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289</w:t>
            </w:r>
          </w:p>
          <w:p w14:paraId="44FF9E78" w14:textId="77777777" w:rsidR="00B54D51" w:rsidRPr="00037AD4" w:rsidRDefault="00B54D51" w:rsidP="00401C67">
            <w:pPr>
              <w:rPr>
                <w:rFonts w:asciiTheme="minorHAnsi" w:hAnsiTheme="minorHAnsi" w:cstheme="minorHAnsi"/>
              </w:rPr>
            </w:pPr>
          </w:p>
          <w:p w14:paraId="1D6F307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310</w:t>
            </w:r>
          </w:p>
        </w:tc>
        <w:tc>
          <w:tcPr>
            <w:tcW w:w="1805" w:type="dxa"/>
          </w:tcPr>
          <w:p w14:paraId="4DA435E1" w14:textId="77777777" w:rsidR="00B54D51" w:rsidRPr="00037AD4" w:rsidRDefault="00B54D51" w:rsidP="00401C67">
            <w:pPr>
              <w:rPr>
                <w:rFonts w:asciiTheme="minorHAnsi" w:hAnsiTheme="minorHAnsi" w:cstheme="minorHAnsi"/>
              </w:rPr>
            </w:pPr>
          </w:p>
          <w:p w14:paraId="2FB3C5FE"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 xml:space="preserve">0.08* </w:t>
            </w:r>
          </w:p>
          <w:p w14:paraId="1EBF5F2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[-0.19; 0.04]</w:t>
            </w:r>
          </w:p>
          <w:p w14:paraId="2EB2A972"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 xml:space="preserve">0.09* </w:t>
            </w:r>
          </w:p>
          <w:p w14:paraId="171B566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[-0.20; 0.02]</w:t>
            </w:r>
          </w:p>
        </w:tc>
        <w:tc>
          <w:tcPr>
            <w:tcW w:w="1785" w:type="dxa"/>
          </w:tcPr>
          <w:p w14:paraId="0ECF6F8A" w14:textId="77777777" w:rsidR="00B54D51" w:rsidRPr="00037AD4" w:rsidRDefault="00B54D51" w:rsidP="00401C67">
            <w:pPr>
              <w:rPr>
                <w:rFonts w:asciiTheme="minorHAnsi" w:hAnsiTheme="minorHAnsi" w:cstheme="minorHAnsi"/>
              </w:rPr>
            </w:pPr>
          </w:p>
          <w:p w14:paraId="46F6AFB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0.05</w:t>
            </w:r>
          </w:p>
          <w:p w14:paraId="00C0BEC1" w14:textId="77777777" w:rsidR="00B54D51" w:rsidRPr="00037AD4" w:rsidRDefault="00B54D51" w:rsidP="00401C67">
            <w:pPr>
              <w:rPr>
                <w:rFonts w:asciiTheme="minorHAnsi" w:hAnsiTheme="minorHAnsi" w:cstheme="minorHAnsi"/>
              </w:rPr>
            </w:pPr>
          </w:p>
          <w:p w14:paraId="7D62A47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0.05</w:t>
            </w:r>
          </w:p>
          <w:p w14:paraId="4C4C4578" w14:textId="77777777" w:rsidR="00B54D51" w:rsidRPr="00037AD4" w:rsidRDefault="00B54D51" w:rsidP="00401C67">
            <w:pPr>
              <w:rPr>
                <w:rFonts w:asciiTheme="minorHAnsi" w:hAnsiTheme="minorHAnsi" w:cstheme="minorHAnsi"/>
              </w:rPr>
            </w:pPr>
          </w:p>
        </w:tc>
        <w:tc>
          <w:tcPr>
            <w:tcW w:w="1706" w:type="dxa"/>
          </w:tcPr>
          <w:p w14:paraId="2511E2B0" w14:textId="77777777" w:rsidR="00B54D51" w:rsidRPr="00037AD4" w:rsidRDefault="00B54D51" w:rsidP="00401C67">
            <w:pPr>
              <w:rPr>
                <w:rFonts w:asciiTheme="minorHAnsi" w:hAnsiTheme="minorHAnsi" w:cstheme="minorHAnsi"/>
              </w:rPr>
            </w:pPr>
          </w:p>
          <w:p w14:paraId="3A32487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0.17</w:t>
            </w:r>
          </w:p>
          <w:p w14:paraId="3612BE7E" w14:textId="77777777" w:rsidR="00B54D51" w:rsidRPr="00037AD4" w:rsidRDefault="00B54D51" w:rsidP="00401C67">
            <w:pPr>
              <w:rPr>
                <w:rFonts w:asciiTheme="minorHAnsi" w:hAnsiTheme="minorHAnsi" w:cstheme="minorHAnsi"/>
              </w:rPr>
            </w:pPr>
          </w:p>
          <w:p w14:paraId="0822C9A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0.18  </w:t>
            </w:r>
          </w:p>
        </w:tc>
      </w:tr>
      <w:tr w:rsidR="00B54D51" w:rsidRPr="00037AD4" w14:paraId="462AC19F" w14:textId="77777777" w:rsidTr="00401C67">
        <w:trPr>
          <w:trHeight w:val="1945"/>
        </w:trPr>
        <w:tc>
          <w:tcPr>
            <w:tcW w:w="1716" w:type="dxa"/>
          </w:tcPr>
          <w:p w14:paraId="7EA0BC71" w14:textId="77777777" w:rsidR="00B54D51" w:rsidRPr="00037AD4" w:rsidRDefault="00B54D51" w:rsidP="00401C67">
            <w:pPr>
              <w:rPr>
                <w:rFonts w:asciiTheme="minorHAnsi" w:hAnsiTheme="minorHAnsi" w:cstheme="minorHAnsi"/>
                <w:i/>
                <w:iCs/>
              </w:rPr>
            </w:pPr>
            <w:r w:rsidRPr="00037AD4">
              <w:rPr>
                <w:rFonts w:asciiTheme="minorHAnsi" w:hAnsiTheme="minorHAnsi" w:cstheme="minorHAnsi"/>
                <w:i/>
                <w:iCs/>
              </w:rPr>
              <w:t xml:space="preserve">IADL-PSMS change </w:t>
            </w:r>
          </w:p>
          <w:p w14:paraId="776A315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PwD</w:t>
            </w:r>
          </w:p>
          <w:p w14:paraId="3FF48F6E" w14:textId="77777777" w:rsidR="00B54D51" w:rsidRPr="00037AD4" w:rsidRDefault="00B54D51" w:rsidP="00401C67">
            <w:pPr>
              <w:rPr>
                <w:rFonts w:asciiTheme="minorHAnsi" w:hAnsiTheme="minorHAnsi" w:cstheme="minorHAnsi"/>
              </w:rPr>
            </w:pPr>
          </w:p>
          <w:p w14:paraId="242F564A" w14:textId="77777777" w:rsidR="00B54D51" w:rsidRPr="00037AD4" w:rsidRDefault="00B54D51" w:rsidP="00401C67">
            <w:pPr>
              <w:rPr>
                <w:rFonts w:asciiTheme="minorHAnsi" w:hAnsiTheme="minorHAnsi" w:cstheme="minorHAnsi"/>
              </w:rPr>
            </w:pPr>
          </w:p>
          <w:p w14:paraId="470E1AD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Informal proxy</w:t>
            </w:r>
          </w:p>
        </w:tc>
        <w:tc>
          <w:tcPr>
            <w:tcW w:w="581" w:type="dxa"/>
          </w:tcPr>
          <w:p w14:paraId="03298327" w14:textId="77777777" w:rsidR="00B54D51" w:rsidRPr="00037AD4" w:rsidRDefault="00B54D51" w:rsidP="00401C67">
            <w:pPr>
              <w:rPr>
                <w:rFonts w:asciiTheme="minorHAnsi" w:hAnsiTheme="minorHAnsi" w:cstheme="minorHAnsi"/>
              </w:rPr>
            </w:pPr>
          </w:p>
          <w:p w14:paraId="6A99341A" w14:textId="77777777" w:rsidR="00B54D51" w:rsidRPr="00037AD4" w:rsidRDefault="00B54D51" w:rsidP="00401C67">
            <w:pPr>
              <w:rPr>
                <w:rFonts w:asciiTheme="minorHAnsi" w:hAnsiTheme="minorHAnsi" w:cstheme="minorHAnsi"/>
              </w:rPr>
            </w:pPr>
          </w:p>
          <w:p w14:paraId="1270A77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287</w:t>
            </w:r>
          </w:p>
          <w:p w14:paraId="06D608F5" w14:textId="77777777" w:rsidR="00B54D51" w:rsidRPr="00037AD4" w:rsidRDefault="00B54D51" w:rsidP="00401C67">
            <w:pPr>
              <w:rPr>
                <w:rFonts w:asciiTheme="minorHAnsi" w:hAnsiTheme="minorHAnsi" w:cstheme="minorHAnsi"/>
              </w:rPr>
            </w:pPr>
          </w:p>
          <w:p w14:paraId="5C22485D" w14:textId="77777777" w:rsidR="00B54D51" w:rsidRPr="00037AD4" w:rsidRDefault="00B54D51" w:rsidP="00401C67">
            <w:pPr>
              <w:rPr>
                <w:rFonts w:asciiTheme="minorHAnsi" w:hAnsiTheme="minorHAnsi" w:cstheme="minorHAnsi"/>
              </w:rPr>
            </w:pPr>
          </w:p>
          <w:p w14:paraId="2A3EFBD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332</w:t>
            </w:r>
          </w:p>
          <w:p w14:paraId="4D4F4735" w14:textId="77777777" w:rsidR="00B54D51" w:rsidRPr="00037AD4" w:rsidRDefault="00B54D51" w:rsidP="00401C67">
            <w:pPr>
              <w:rPr>
                <w:rFonts w:asciiTheme="minorHAnsi" w:hAnsiTheme="minorHAnsi" w:cstheme="minorHAnsi"/>
              </w:rPr>
            </w:pPr>
          </w:p>
        </w:tc>
        <w:tc>
          <w:tcPr>
            <w:tcW w:w="1805" w:type="dxa"/>
          </w:tcPr>
          <w:p w14:paraId="756BA4A0" w14:textId="77777777" w:rsidR="00B54D51" w:rsidRPr="00037AD4" w:rsidRDefault="00B54D51" w:rsidP="00401C67">
            <w:pPr>
              <w:rPr>
                <w:rFonts w:asciiTheme="minorHAnsi" w:hAnsiTheme="minorHAnsi" w:cstheme="minorHAnsi"/>
              </w:rPr>
            </w:pPr>
          </w:p>
          <w:p w14:paraId="3D978F4D" w14:textId="77777777" w:rsidR="00B54D51" w:rsidRPr="00037AD4" w:rsidRDefault="00B54D51" w:rsidP="00401C67">
            <w:pPr>
              <w:rPr>
                <w:rFonts w:asciiTheme="minorHAnsi" w:hAnsiTheme="minorHAnsi" w:cstheme="minorHAnsi"/>
              </w:rPr>
            </w:pPr>
          </w:p>
          <w:p w14:paraId="7A615C81" w14:textId="77777777" w:rsidR="00B54D51" w:rsidRPr="00037AD4" w:rsidRDefault="00B54D51" w:rsidP="00401C67">
            <w:pPr>
              <w:rPr>
                <w:rFonts w:asciiTheme="minorHAnsi" w:hAnsiTheme="minorHAnsi" w:cstheme="minorHAnsi"/>
              </w:rPr>
            </w:pPr>
            <w:r w:rsidRPr="00037AD4">
              <w:rPr>
                <w:rFonts w:asciiTheme="minorHAnsi" w:hAnsiTheme="minorHAnsi" w:cstheme="minorHAnsi"/>
                <w:b/>
                <w:bCs/>
              </w:rPr>
              <w:t>0.08</w:t>
            </w:r>
          </w:p>
          <w:p w14:paraId="0426B16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[-0.04; 0.19]</w:t>
            </w:r>
          </w:p>
          <w:p w14:paraId="5B70B606" w14:textId="77777777" w:rsidR="00B54D51" w:rsidRPr="00037AD4" w:rsidRDefault="00B54D51" w:rsidP="00401C67">
            <w:pPr>
              <w:rPr>
                <w:rFonts w:asciiTheme="minorHAnsi" w:hAnsiTheme="minorHAnsi" w:cstheme="minorHAnsi"/>
                <w:b/>
                <w:bCs/>
              </w:rPr>
            </w:pPr>
          </w:p>
          <w:p w14:paraId="0E03FCD1"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 xml:space="preserve">-0.02*  </w:t>
            </w:r>
          </w:p>
          <w:p w14:paraId="4A06A25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[-0.13; 0.09]</w:t>
            </w:r>
          </w:p>
        </w:tc>
        <w:tc>
          <w:tcPr>
            <w:tcW w:w="1785" w:type="dxa"/>
          </w:tcPr>
          <w:p w14:paraId="7B8E90DC" w14:textId="77777777" w:rsidR="00B54D51" w:rsidRPr="00037AD4" w:rsidRDefault="00B54D51" w:rsidP="00401C67">
            <w:pPr>
              <w:rPr>
                <w:rFonts w:asciiTheme="minorHAnsi" w:hAnsiTheme="minorHAnsi" w:cstheme="minorHAnsi"/>
              </w:rPr>
            </w:pPr>
          </w:p>
          <w:p w14:paraId="27583D09" w14:textId="77777777" w:rsidR="00B54D51" w:rsidRPr="00037AD4" w:rsidRDefault="00B54D51" w:rsidP="00401C67">
            <w:pPr>
              <w:rPr>
                <w:rFonts w:asciiTheme="minorHAnsi" w:hAnsiTheme="minorHAnsi" w:cstheme="minorHAnsi"/>
              </w:rPr>
            </w:pPr>
          </w:p>
          <w:p w14:paraId="7F2A588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0.02</w:t>
            </w:r>
          </w:p>
          <w:p w14:paraId="1692760E" w14:textId="77777777" w:rsidR="00B54D51" w:rsidRPr="00037AD4" w:rsidRDefault="00B54D51" w:rsidP="00401C67">
            <w:pPr>
              <w:rPr>
                <w:rFonts w:asciiTheme="minorHAnsi" w:hAnsiTheme="minorHAnsi" w:cstheme="minorHAnsi"/>
              </w:rPr>
            </w:pPr>
          </w:p>
          <w:p w14:paraId="0BC7B04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 </w:t>
            </w:r>
          </w:p>
          <w:p w14:paraId="06C19E2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-0.10</w:t>
            </w:r>
          </w:p>
        </w:tc>
        <w:tc>
          <w:tcPr>
            <w:tcW w:w="1706" w:type="dxa"/>
          </w:tcPr>
          <w:p w14:paraId="4CDD37A0" w14:textId="77777777" w:rsidR="00B54D51" w:rsidRPr="00037AD4" w:rsidRDefault="00B54D51" w:rsidP="00401C67">
            <w:pPr>
              <w:rPr>
                <w:rFonts w:asciiTheme="minorHAnsi" w:hAnsiTheme="minorHAnsi" w:cstheme="minorHAnsi"/>
              </w:rPr>
            </w:pPr>
          </w:p>
          <w:p w14:paraId="5DABDFD2" w14:textId="77777777" w:rsidR="00B54D51" w:rsidRPr="00037AD4" w:rsidRDefault="00B54D51" w:rsidP="00401C67">
            <w:pPr>
              <w:rPr>
                <w:rFonts w:asciiTheme="minorHAnsi" w:hAnsiTheme="minorHAnsi" w:cstheme="minorHAnsi"/>
              </w:rPr>
            </w:pPr>
          </w:p>
          <w:p w14:paraId="25B66E4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 0.11</w:t>
            </w:r>
          </w:p>
          <w:p w14:paraId="62B27934" w14:textId="77777777" w:rsidR="00B54D51" w:rsidRPr="00037AD4" w:rsidRDefault="00B54D51" w:rsidP="00401C67">
            <w:pPr>
              <w:rPr>
                <w:rFonts w:asciiTheme="minorHAnsi" w:hAnsiTheme="minorHAnsi" w:cstheme="minorHAnsi"/>
              </w:rPr>
            </w:pPr>
          </w:p>
          <w:p w14:paraId="73E0BC0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 </w:t>
            </w:r>
          </w:p>
          <w:p w14:paraId="0F9AF16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-0.05</w:t>
            </w:r>
          </w:p>
        </w:tc>
      </w:tr>
      <w:tr w:rsidR="00B54D51" w:rsidRPr="00037AD4" w14:paraId="4ADD6398" w14:textId="77777777" w:rsidTr="00401C67">
        <w:trPr>
          <w:trHeight w:val="1945"/>
        </w:trPr>
        <w:tc>
          <w:tcPr>
            <w:tcW w:w="1716" w:type="dxa"/>
          </w:tcPr>
          <w:p w14:paraId="7152D11E" w14:textId="77777777" w:rsidR="00B54D51" w:rsidRPr="00037AD4" w:rsidRDefault="00B54D51" w:rsidP="00401C67">
            <w:pPr>
              <w:rPr>
                <w:rFonts w:asciiTheme="minorHAnsi" w:hAnsiTheme="minorHAnsi" w:cstheme="minorHAnsi"/>
                <w:i/>
                <w:iCs/>
              </w:rPr>
            </w:pPr>
            <w:r w:rsidRPr="00037AD4">
              <w:rPr>
                <w:rFonts w:asciiTheme="minorHAnsi" w:hAnsiTheme="minorHAnsi" w:cstheme="minorHAnsi"/>
                <w:i/>
                <w:iCs/>
              </w:rPr>
              <w:lastRenderedPageBreak/>
              <w:t xml:space="preserve">FAST change </w:t>
            </w:r>
          </w:p>
          <w:p w14:paraId="112D5C5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PwD</w:t>
            </w:r>
          </w:p>
          <w:p w14:paraId="143D4E5A" w14:textId="77777777" w:rsidR="00B54D51" w:rsidRPr="00037AD4" w:rsidRDefault="00B54D51" w:rsidP="00401C67">
            <w:pPr>
              <w:rPr>
                <w:rFonts w:asciiTheme="minorHAnsi" w:hAnsiTheme="minorHAnsi" w:cstheme="minorHAnsi"/>
              </w:rPr>
            </w:pPr>
          </w:p>
          <w:p w14:paraId="0EF3A21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Informal proxy</w:t>
            </w:r>
          </w:p>
          <w:p w14:paraId="339F476B" w14:textId="77777777" w:rsidR="00B54D51" w:rsidRPr="00037AD4" w:rsidRDefault="00B54D51" w:rsidP="00401C67">
            <w:pPr>
              <w:rPr>
                <w:rFonts w:asciiTheme="minorHAnsi" w:hAnsiTheme="minorHAnsi" w:cstheme="minorHAnsi"/>
              </w:rPr>
            </w:pPr>
          </w:p>
          <w:p w14:paraId="0083AAA4" w14:textId="77777777" w:rsidR="00B54D51" w:rsidRPr="00037AD4" w:rsidRDefault="00B54D51" w:rsidP="00401C67">
            <w:pPr>
              <w:rPr>
                <w:rFonts w:asciiTheme="minorHAnsi" w:hAnsiTheme="minorHAnsi" w:cstheme="minorHAnsi"/>
                <w:i/>
                <w:iCs/>
              </w:rPr>
            </w:pPr>
            <w:r w:rsidRPr="00037AD4">
              <w:rPr>
                <w:rFonts w:asciiTheme="minorHAnsi" w:hAnsiTheme="minorHAnsi" w:cstheme="minorHAnsi"/>
              </w:rPr>
              <w:t xml:space="preserve">Staff proxy </w:t>
            </w:r>
          </w:p>
        </w:tc>
        <w:tc>
          <w:tcPr>
            <w:tcW w:w="581" w:type="dxa"/>
          </w:tcPr>
          <w:p w14:paraId="56361617" w14:textId="77777777" w:rsidR="00B54D51" w:rsidRPr="00037AD4" w:rsidRDefault="00B54D51" w:rsidP="00401C67">
            <w:pPr>
              <w:rPr>
                <w:rFonts w:asciiTheme="minorHAnsi" w:hAnsiTheme="minorHAnsi" w:cstheme="minorHAnsi"/>
              </w:rPr>
            </w:pPr>
          </w:p>
          <w:p w14:paraId="73FA594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126</w:t>
            </w:r>
          </w:p>
          <w:p w14:paraId="663F034E" w14:textId="77777777" w:rsidR="00B54D51" w:rsidRPr="00037AD4" w:rsidRDefault="00B54D51" w:rsidP="00401C67">
            <w:pPr>
              <w:rPr>
                <w:rFonts w:asciiTheme="minorHAnsi" w:hAnsiTheme="minorHAnsi" w:cstheme="minorHAnsi"/>
              </w:rPr>
            </w:pPr>
          </w:p>
          <w:p w14:paraId="1A6EA85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60</w:t>
            </w:r>
          </w:p>
          <w:p w14:paraId="223E009B" w14:textId="77777777" w:rsidR="00B54D51" w:rsidRPr="00037AD4" w:rsidRDefault="00B54D51" w:rsidP="00401C67">
            <w:pPr>
              <w:rPr>
                <w:rFonts w:asciiTheme="minorHAnsi" w:hAnsiTheme="minorHAnsi" w:cstheme="minorHAnsi"/>
              </w:rPr>
            </w:pPr>
          </w:p>
          <w:p w14:paraId="3FAA07B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378</w:t>
            </w:r>
          </w:p>
        </w:tc>
        <w:tc>
          <w:tcPr>
            <w:tcW w:w="1805" w:type="dxa"/>
          </w:tcPr>
          <w:p w14:paraId="78F69CF1" w14:textId="77777777" w:rsidR="00B54D51" w:rsidRPr="00037AD4" w:rsidRDefault="00B54D51" w:rsidP="00401C67">
            <w:pPr>
              <w:rPr>
                <w:rFonts w:asciiTheme="minorHAnsi" w:hAnsiTheme="minorHAnsi" w:cstheme="minorHAnsi"/>
              </w:rPr>
            </w:pPr>
          </w:p>
          <w:p w14:paraId="27EFC2DD" w14:textId="77777777" w:rsidR="00B54D51" w:rsidRPr="00037AD4" w:rsidRDefault="00B54D51" w:rsidP="00401C67">
            <w:pPr>
              <w:rPr>
                <w:rFonts w:asciiTheme="minorHAnsi" w:hAnsiTheme="minorHAnsi" w:cstheme="minorHAnsi"/>
              </w:rPr>
            </w:pPr>
            <w:r w:rsidRPr="00037AD4">
              <w:rPr>
                <w:rFonts w:asciiTheme="minorHAnsi" w:hAnsiTheme="minorHAnsi" w:cstheme="minorHAnsi"/>
                <w:b/>
                <w:bCs/>
              </w:rPr>
              <w:t xml:space="preserve">0.09 </w:t>
            </w:r>
            <w:r w:rsidRPr="00037AD4">
              <w:rPr>
                <w:rFonts w:asciiTheme="minorHAnsi" w:hAnsiTheme="minorHAnsi" w:cstheme="minorHAnsi"/>
              </w:rPr>
              <w:t xml:space="preserve"> </w:t>
            </w:r>
          </w:p>
          <w:p w14:paraId="34134EC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[-0.09; 0.26]</w:t>
            </w:r>
          </w:p>
          <w:p w14:paraId="63C14456"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 xml:space="preserve">-0.08 </w:t>
            </w:r>
          </w:p>
          <w:p w14:paraId="08678B9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[-0.33; 0.17]</w:t>
            </w:r>
          </w:p>
          <w:p w14:paraId="07639686"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-0.03</w:t>
            </w:r>
          </w:p>
          <w:p w14:paraId="129244A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[-0.13; 0.08]</w:t>
            </w:r>
          </w:p>
        </w:tc>
        <w:tc>
          <w:tcPr>
            <w:tcW w:w="1785" w:type="dxa"/>
          </w:tcPr>
          <w:p w14:paraId="1060C0CB" w14:textId="77777777" w:rsidR="00B54D51" w:rsidRPr="00037AD4" w:rsidRDefault="00B54D51" w:rsidP="00401C67">
            <w:pPr>
              <w:rPr>
                <w:rFonts w:asciiTheme="minorHAnsi" w:hAnsiTheme="minorHAnsi" w:cstheme="minorHAnsi"/>
              </w:rPr>
            </w:pPr>
          </w:p>
          <w:p w14:paraId="6AD0E47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0.07 </w:t>
            </w:r>
          </w:p>
          <w:p w14:paraId="6AD99653" w14:textId="77777777" w:rsidR="00B54D51" w:rsidRPr="00037AD4" w:rsidRDefault="00B54D51" w:rsidP="00401C67">
            <w:pPr>
              <w:rPr>
                <w:rFonts w:asciiTheme="minorHAnsi" w:hAnsiTheme="minorHAnsi" w:cstheme="minorHAnsi"/>
              </w:rPr>
            </w:pPr>
          </w:p>
          <w:p w14:paraId="3868D9F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w:t>
            </w:r>
          </w:p>
          <w:p w14:paraId="297F0DFC" w14:textId="77777777" w:rsidR="00B54D51" w:rsidRPr="00037AD4" w:rsidRDefault="00B54D51" w:rsidP="00401C67">
            <w:pPr>
              <w:rPr>
                <w:rFonts w:asciiTheme="minorHAnsi" w:hAnsiTheme="minorHAnsi" w:cstheme="minorHAnsi"/>
              </w:rPr>
            </w:pPr>
          </w:p>
          <w:p w14:paraId="0A483EF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-0.02</w:t>
            </w:r>
          </w:p>
        </w:tc>
        <w:tc>
          <w:tcPr>
            <w:tcW w:w="1706" w:type="dxa"/>
          </w:tcPr>
          <w:p w14:paraId="10A32E1E" w14:textId="77777777" w:rsidR="00B54D51" w:rsidRPr="00037AD4" w:rsidRDefault="00B54D51" w:rsidP="00401C67">
            <w:pPr>
              <w:rPr>
                <w:rFonts w:asciiTheme="minorHAnsi" w:hAnsiTheme="minorHAnsi" w:cstheme="minorHAnsi"/>
              </w:rPr>
            </w:pPr>
          </w:p>
          <w:p w14:paraId="5F2CFFD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0.05</w:t>
            </w:r>
          </w:p>
          <w:p w14:paraId="5C5F3411" w14:textId="77777777" w:rsidR="00B54D51" w:rsidRPr="00037AD4" w:rsidRDefault="00B54D51" w:rsidP="00401C67">
            <w:pPr>
              <w:rPr>
                <w:rFonts w:asciiTheme="minorHAnsi" w:hAnsiTheme="minorHAnsi" w:cstheme="minorHAnsi"/>
              </w:rPr>
            </w:pPr>
          </w:p>
          <w:p w14:paraId="4B5D580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w:t>
            </w:r>
          </w:p>
          <w:p w14:paraId="5706D4F1" w14:textId="77777777" w:rsidR="00B54D51" w:rsidRPr="00037AD4" w:rsidRDefault="00B54D51" w:rsidP="00401C67">
            <w:pPr>
              <w:rPr>
                <w:rFonts w:asciiTheme="minorHAnsi" w:hAnsiTheme="minorHAnsi" w:cstheme="minorHAnsi"/>
              </w:rPr>
            </w:pPr>
          </w:p>
          <w:p w14:paraId="3C23F79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-0.06 </w:t>
            </w:r>
          </w:p>
        </w:tc>
      </w:tr>
      <w:tr w:rsidR="00B54D51" w:rsidRPr="00037AD4" w14:paraId="4B61900A" w14:textId="77777777" w:rsidTr="00401C67">
        <w:trPr>
          <w:trHeight w:val="1124"/>
        </w:trPr>
        <w:tc>
          <w:tcPr>
            <w:tcW w:w="1716" w:type="dxa"/>
          </w:tcPr>
          <w:p w14:paraId="2A42A9F8" w14:textId="77777777" w:rsidR="00B54D51" w:rsidRPr="00037AD4" w:rsidRDefault="00B54D51" w:rsidP="00401C67">
            <w:pPr>
              <w:rPr>
                <w:rFonts w:asciiTheme="minorHAnsi" w:hAnsiTheme="minorHAnsi" w:cstheme="minorHAnsi"/>
                <w:i/>
                <w:iCs/>
              </w:rPr>
            </w:pPr>
            <w:r w:rsidRPr="00037AD4">
              <w:rPr>
                <w:rFonts w:asciiTheme="minorHAnsi" w:hAnsiTheme="minorHAnsi" w:cstheme="minorHAnsi"/>
                <w:i/>
                <w:iCs/>
              </w:rPr>
              <w:t xml:space="preserve">CSDD change </w:t>
            </w:r>
          </w:p>
          <w:p w14:paraId="5A7F4A3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PwD</w:t>
            </w:r>
          </w:p>
          <w:p w14:paraId="604EDF85" w14:textId="77777777" w:rsidR="00B54D51" w:rsidRPr="00037AD4" w:rsidRDefault="00B54D51" w:rsidP="00401C67">
            <w:pPr>
              <w:rPr>
                <w:rFonts w:asciiTheme="minorHAnsi" w:hAnsiTheme="minorHAnsi" w:cstheme="minorHAnsi"/>
              </w:rPr>
            </w:pPr>
          </w:p>
          <w:p w14:paraId="4CE1CC5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Informal proxy</w:t>
            </w:r>
          </w:p>
          <w:p w14:paraId="0D698D23" w14:textId="77777777" w:rsidR="00B54D51" w:rsidRPr="00037AD4" w:rsidRDefault="00B54D51" w:rsidP="00401C67">
            <w:pPr>
              <w:rPr>
                <w:rFonts w:asciiTheme="minorHAnsi" w:hAnsiTheme="minorHAnsi" w:cstheme="minorHAnsi"/>
              </w:rPr>
            </w:pPr>
          </w:p>
          <w:p w14:paraId="25583588" w14:textId="77777777" w:rsidR="00B54D51" w:rsidRPr="00037AD4" w:rsidRDefault="00B54D51" w:rsidP="00401C67">
            <w:pPr>
              <w:rPr>
                <w:rFonts w:asciiTheme="minorHAnsi" w:hAnsiTheme="minorHAnsi" w:cstheme="minorHAnsi"/>
                <w:i/>
                <w:iCs/>
              </w:rPr>
            </w:pPr>
          </w:p>
        </w:tc>
        <w:tc>
          <w:tcPr>
            <w:tcW w:w="581" w:type="dxa"/>
          </w:tcPr>
          <w:p w14:paraId="440A76A0" w14:textId="77777777" w:rsidR="00B54D51" w:rsidRPr="00037AD4" w:rsidRDefault="00B54D51" w:rsidP="00401C67">
            <w:pPr>
              <w:rPr>
                <w:rFonts w:asciiTheme="minorHAnsi" w:hAnsiTheme="minorHAnsi" w:cstheme="minorHAnsi"/>
              </w:rPr>
            </w:pPr>
          </w:p>
          <w:p w14:paraId="6075B84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220</w:t>
            </w:r>
          </w:p>
          <w:p w14:paraId="1F2A978B" w14:textId="77777777" w:rsidR="00B54D51" w:rsidRPr="00037AD4" w:rsidRDefault="00B54D51" w:rsidP="00401C67">
            <w:pPr>
              <w:rPr>
                <w:rFonts w:asciiTheme="minorHAnsi" w:hAnsiTheme="minorHAnsi" w:cstheme="minorHAnsi"/>
              </w:rPr>
            </w:pPr>
          </w:p>
          <w:p w14:paraId="400461A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233</w:t>
            </w:r>
          </w:p>
        </w:tc>
        <w:tc>
          <w:tcPr>
            <w:tcW w:w="1805" w:type="dxa"/>
          </w:tcPr>
          <w:p w14:paraId="0321FE76" w14:textId="77777777" w:rsidR="00B54D51" w:rsidRPr="00037AD4" w:rsidRDefault="00B54D51" w:rsidP="00401C67">
            <w:pPr>
              <w:rPr>
                <w:rFonts w:asciiTheme="minorHAnsi" w:hAnsiTheme="minorHAnsi" w:cstheme="minorHAnsi"/>
              </w:rPr>
            </w:pPr>
          </w:p>
          <w:p w14:paraId="4A2BA558"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 xml:space="preserve">-0.03 </w:t>
            </w:r>
          </w:p>
          <w:p w14:paraId="07730ED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[-0.17; 0.10]</w:t>
            </w:r>
          </w:p>
          <w:p w14:paraId="640C3D58"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0.08</w:t>
            </w:r>
          </w:p>
          <w:p w14:paraId="449A358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[-0.05; 0.21]</w:t>
            </w:r>
          </w:p>
        </w:tc>
        <w:tc>
          <w:tcPr>
            <w:tcW w:w="1785" w:type="dxa"/>
          </w:tcPr>
          <w:p w14:paraId="6B037C37" w14:textId="77777777" w:rsidR="00B54D51" w:rsidRPr="00037AD4" w:rsidRDefault="00B54D51" w:rsidP="00401C67">
            <w:pPr>
              <w:rPr>
                <w:rFonts w:asciiTheme="minorHAnsi" w:hAnsiTheme="minorHAnsi" w:cstheme="minorHAnsi"/>
              </w:rPr>
            </w:pPr>
          </w:p>
          <w:p w14:paraId="7FC1287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-0.03 </w:t>
            </w:r>
          </w:p>
          <w:p w14:paraId="303A3905" w14:textId="77777777" w:rsidR="00B54D51" w:rsidRPr="00037AD4" w:rsidRDefault="00B54D51" w:rsidP="00401C67">
            <w:pPr>
              <w:rPr>
                <w:rFonts w:asciiTheme="minorHAnsi" w:hAnsiTheme="minorHAnsi" w:cstheme="minorHAnsi"/>
              </w:rPr>
            </w:pPr>
          </w:p>
          <w:p w14:paraId="44AA3BE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0.10</w:t>
            </w:r>
          </w:p>
          <w:p w14:paraId="51C9B50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 </w:t>
            </w:r>
          </w:p>
        </w:tc>
        <w:tc>
          <w:tcPr>
            <w:tcW w:w="1706" w:type="dxa"/>
          </w:tcPr>
          <w:p w14:paraId="4232EE1D" w14:textId="77777777" w:rsidR="00B54D51" w:rsidRPr="00037AD4" w:rsidRDefault="00B54D51" w:rsidP="00401C67">
            <w:pPr>
              <w:rPr>
                <w:rFonts w:asciiTheme="minorHAnsi" w:hAnsiTheme="minorHAnsi" w:cstheme="minorHAnsi"/>
              </w:rPr>
            </w:pPr>
          </w:p>
          <w:p w14:paraId="36E5B23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-0.05 </w:t>
            </w:r>
          </w:p>
          <w:p w14:paraId="24F1CB9B" w14:textId="77777777" w:rsidR="00B54D51" w:rsidRPr="00037AD4" w:rsidRDefault="00B54D51" w:rsidP="00401C67">
            <w:pPr>
              <w:rPr>
                <w:rFonts w:asciiTheme="minorHAnsi" w:hAnsiTheme="minorHAnsi" w:cstheme="minorHAnsi"/>
              </w:rPr>
            </w:pPr>
          </w:p>
          <w:p w14:paraId="6B1CCFE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0.04</w:t>
            </w:r>
          </w:p>
        </w:tc>
      </w:tr>
      <w:tr w:rsidR="00B54D51" w:rsidRPr="00037AD4" w14:paraId="3536727F" w14:textId="77777777" w:rsidTr="00401C67">
        <w:trPr>
          <w:trHeight w:val="567"/>
        </w:trPr>
        <w:tc>
          <w:tcPr>
            <w:tcW w:w="7593" w:type="dxa"/>
            <w:gridSpan w:val="5"/>
          </w:tcPr>
          <w:p w14:paraId="78DF9A7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**CDR at T0 for CSDD and BADLS assessments due to lack of follow-up CDR data in REMCARE</w:t>
            </w:r>
          </w:p>
        </w:tc>
      </w:tr>
    </w:tbl>
    <w:p w14:paraId="04D337E6" w14:textId="77777777" w:rsidR="00B54D51" w:rsidRPr="00037AD4" w:rsidRDefault="00B54D51" w:rsidP="001D7ACE">
      <w:pPr>
        <w:rPr>
          <w:rFonts w:asciiTheme="minorHAnsi" w:hAnsiTheme="minorHAnsi" w:cstheme="minorHAnsi"/>
        </w:rPr>
      </w:pPr>
    </w:p>
    <w:p w14:paraId="36142A27" w14:textId="77777777" w:rsidR="00B54D51" w:rsidRPr="00037AD4" w:rsidRDefault="00B54D51" w:rsidP="001D7ACE">
      <w:pPr>
        <w:rPr>
          <w:rFonts w:asciiTheme="minorHAnsi" w:hAnsiTheme="minorHAnsi" w:cstheme="minorHAnsi"/>
        </w:rPr>
      </w:pPr>
    </w:p>
    <w:p w14:paraId="3EA1EB77" w14:textId="77777777" w:rsidR="00B54D51" w:rsidRPr="00037AD4" w:rsidRDefault="00B54D51" w:rsidP="001D7ACE">
      <w:pPr>
        <w:rPr>
          <w:rFonts w:asciiTheme="minorHAnsi" w:hAnsiTheme="minorHAnsi" w:cstheme="minorHAnsi"/>
        </w:rPr>
      </w:pPr>
    </w:p>
    <w:p w14:paraId="64D31124" w14:textId="77777777" w:rsidR="00B54D51" w:rsidRPr="00037AD4" w:rsidRDefault="00B54D51" w:rsidP="001D7ACE">
      <w:pPr>
        <w:rPr>
          <w:rFonts w:asciiTheme="minorHAnsi" w:hAnsiTheme="minorHAnsi" w:cstheme="minorHAnsi"/>
        </w:rPr>
      </w:pPr>
    </w:p>
    <w:p w14:paraId="104574E9" w14:textId="77777777" w:rsidR="00B54D51" w:rsidRPr="00037AD4" w:rsidRDefault="00B54D51" w:rsidP="001D7ACE">
      <w:pPr>
        <w:rPr>
          <w:rFonts w:asciiTheme="minorHAnsi" w:hAnsiTheme="minorHAnsi" w:cstheme="minorHAnsi"/>
        </w:rPr>
      </w:pPr>
    </w:p>
    <w:p w14:paraId="53A2D886" w14:textId="77777777" w:rsidR="00B54D51" w:rsidRPr="00037AD4" w:rsidRDefault="00B54D51" w:rsidP="001D7ACE">
      <w:pPr>
        <w:rPr>
          <w:rFonts w:asciiTheme="minorHAnsi" w:hAnsiTheme="minorHAnsi" w:cstheme="minorHAnsi"/>
        </w:rPr>
      </w:pPr>
    </w:p>
    <w:p w14:paraId="29596A44" w14:textId="77777777" w:rsidR="00B54D51" w:rsidRPr="00037AD4" w:rsidRDefault="00B54D51" w:rsidP="001D7ACE">
      <w:pPr>
        <w:rPr>
          <w:rFonts w:asciiTheme="minorHAnsi" w:hAnsiTheme="minorHAnsi" w:cstheme="minorHAnsi"/>
        </w:rPr>
      </w:pPr>
    </w:p>
    <w:p w14:paraId="664E8785" w14:textId="77777777" w:rsidR="00B54D51" w:rsidRPr="00037AD4" w:rsidRDefault="00B54D51" w:rsidP="001D7ACE">
      <w:pPr>
        <w:rPr>
          <w:rFonts w:asciiTheme="minorHAnsi" w:hAnsiTheme="minorHAnsi" w:cstheme="minorHAnsi"/>
        </w:rPr>
      </w:pPr>
    </w:p>
    <w:p w14:paraId="6DB1EAD5" w14:textId="77777777" w:rsidR="00B54D51" w:rsidRPr="00037AD4" w:rsidRDefault="00B54D51" w:rsidP="001D7ACE">
      <w:pPr>
        <w:rPr>
          <w:rFonts w:asciiTheme="minorHAnsi" w:hAnsiTheme="minorHAnsi" w:cstheme="minorHAnsi"/>
          <w:u w:val="single"/>
        </w:rPr>
      </w:pPr>
    </w:p>
    <w:p w14:paraId="5D8ACE56" w14:textId="77777777" w:rsidR="00B54D51" w:rsidRPr="00037AD4" w:rsidRDefault="00B54D51" w:rsidP="001D7ACE">
      <w:pPr>
        <w:rPr>
          <w:rFonts w:asciiTheme="minorHAnsi" w:hAnsiTheme="minorHAnsi" w:cstheme="minorHAnsi"/>
          <w:u w:val="single"/>
        </w:rPr>
      </w:pPr>
    </w:p>
    <w:p w14:paraId="311A94E1" w14:textId="77777777" w:rsidR="00B54D51" w:rsidRPr="00037AD4" w:rsidRDefault="00B54D51" w:rsidP="001D7ACE">
      <w:pPr>
        <w:rPr>
          <w:rFonts w:asciiTheme="minorHAnsi" w:hAnsiTheme="minorHAnsi" w:cstheme="minorHAnsi"/>
          <w:u w:val="single"/>
        </w:rPr>
      </w:pPr>
    </w:p>
    <w:p w14:paraId="63CE5B32" w14:textId="77777777" w:rsidR="00B54D51" w:rsidRPr="00037AD4" w:rsidRDefault="00B54D51" w:rsidP="001D7ACE">
      <w:pPr>
        <w:rPr>
          <w:rFonts w:asciiTheme="minorHAnsi" w:hAnsiTheme="minorHAnsi" w:cstheme="minorHAnsi"/>
          <w:u w:val="single"/>
        </w:rPr>
      </w:pPr>
    </w:p>
    <w:p w14:paraId="7E8D76BC" w14:textId="77777777" w:rsidR="00B54D51" w:rsidRPr="00037AD4" w:rsidRDefault="00B54D51" w:rsidP="001D7ACE">
      <w:pPr>
        <w:rPr>
          <w:rFonts w:asciiTheme="minorHAnsi" w:hAnsiTheme="minorHAnsi" w:cstheme="minorHAnsi"/>
          <w:u w:val="single"/>
        </w:rPr>
      </w:pPr>
    </w:p>
    <w:p w14:paraId="141107E1" w14:textId="77777777" w:rsidR="00B54D51" w:rsidRPr="00037AD4" w:rsidRDefault="00B54D51" w:rsidP="001D7ACE">
      <w:pPr>
        <w:rPr>
          <w:rFonts w:asciiTheme="minorHAnsi" w:hAnsiTheme="minorHAnsi" w:cstheme="minorHAnsi"/>
          <w:u w:val="single"/>
        </w:rPr>
      </w:pPr>
    </w:p>
    <w:p w14:paraId="6C6806B2" w14:textId="77777777" w:rsidR="00B54D51" w:rsidRPr="00037AD4" w:rsidRDefault="00B54D51" w:rsidP="001D7ACE">
      <w:pPr>
        <w:rPr>
          <w:rFonts w:asciiTheme="minorHAnsi" w:hAnsiTheme="minorHAnsi" w:cstheme="minorHAnsi"/>
          <w:u w:val="single"/>
        </w:rPr>
      </w:pPr>
    </w:p>
    <w:p w14:paraId="6DD5D133" w14:textId="77777777" w:rsidR="00B54D51" w:rsidRPr="00037AD4" w:rsidRDefault="00B54D51" w:rsidP="001D7ACE">
      <w:pPr>
        <w:rPr>
          <w:rFonts w:asciiTheme="minorHAnsi" w:hAnsiTheme="minorHAnsi" w:cstheme="minorHAnsi"/>
          <w:u w:val="single"/>
        </w:rPr>
      </w:pPr>
      <w:bookmarkStart w:id="515" w:name="TableA54l"/>
    </w:p>
    <w:p w14:paraId="3EC77927" w14:textId="77777777" w:rsidR="00B54D51" w:rsidRPr="00037AD4" w:rsidRDefault="00B54D51" w:rsidP="001D7ACE">
      <w:pPr>
        <w:rPr>
          <w:rFonts w:asciiTheme="minorHAnsi" w:hAnsiTheme="minorHAnsi" w:cstheme="minorHAnsi"/>
          <w:u w:val="single"/>
        </w:rPr>
      </w:pPr>
      <w:bookmarkStart w:id="516" w:name="TableA54k"/>
      <w:r w:rsidRPr="00037AD4">
        <w:rPr>
          <w:rFonts w:asciiTheme="minorHAnsi" w:hAnsiTheme="minorHAnsi" w:cstheme="minorHAnsi"/>
          <w:u w:val="single"/>
        </w:rPr>
        <w:t>Table A5.4l, Correlation between change in anxiety/depression dimension score and change in dementia symptom measure scores</w:t>
      </w:r>
    </w:p>
    <w:bookmarkEnd w:id="515"/>
    <w:bookmarkEnd w:id="516"/>
    <w:p w14:paraId="057FAF1A" w14:textId="77777777" w:rsidR="00B54D51" w:rsidRPr="00037AD4" w:rsidRDefault="00B54D51" w:rsidP="001D7ACE">
      <w:pPr>
        <w:rPr>
          <w:rFonts w:asciiTheme="minorHAnsi" w:hAnsiTheme="minorHAnsi" w:cstheme="minorHAnsi"/>
        </w:rPr>
      </w:pPr>
    </w:p>
    <w:tbl>
      <w:tblPr>
        <w:tblStyle w:val="TableGrid"/>
        <w:tblW w:w="7593" w:type="dxa"/>
        <w:tblLook w:val="04A0" w:firstRow="1" w:lastRow="0" w:firstColumn="1" w:lastColumn="0" w:noHBand="0" w:noVBand="1"/>
      </w:tblPr>
      <w:tblGrid>
        <w:gridCol w:w="1716"/>
        <w:gridCol w:w="581"/>
        <w:gridCol w:w="1805"/>
        <w:gridCol w:w="1785"/>
        <w:gridCol w:w="1706"/>
      </w:tblGrid>
      <w:tr w:rsidR="00B54D51" w:rsidRPr="00037AD4" w14:paraId="56D8512E" w14:textId="77777777" w:rsidTr="00401C67">
        <w:trPr>
          <w:trHeight w:val="553"/>
        </w:trPr>
        <w:tc>
          <w:tcPr>
            <w:tcW w:w="2297" w:type="dxa"/>
            <w:gridSpan w:val="2"/>
          </w:tcPr>
          <w:p w14:paraId="0E6D3B6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Correlation coefficient; CI</w:t>
            </w:r>
          </w:p>
        </w:tc>
        <w:tc>
          <w:tcPr>
            <w:tcW w:w="5296" w:type="dxa"/>
            <w:gridSpan w:val="3"/>
          </w:tcPr>
          <w:p w14:paraId="0F8DD3A4" w14:textId="77777777" w:rsidR="00B54D51" w:rsidRPr="00037AD4" w:rsidRDefault="00B54D51" w:rsidP="00401C67">
            <w:pPr>
              <w:jc w:val="center"/>
              <w:rPr>
                <w:rFonts w:asciiTheme="minorHAnsi" w:hAnsiTheme="minorHAnsi" w:cstheme="minorHAnsi"/>
              </w:rPr>
            </w:pPr>
            <w:r w:rsidRPr="00037AD4">
              <w:rPr>
                <w:rFonts w:asciiTheme="minorHAnsi" w:hAnsiTheme="minorHAnsi" w:cstheme="minorHAnsi"/>
              </w:rPr>
              <w:t>CDR severity stage at T2**</w:t>
            </w:r>
          </w:p>
          <w:p w14:paraId="4EFCE48A" w14:textId="77777777" w:rsidR="00B54D51" w:rsidRPr="00037AD4" w:rsidRDefault="00B54D51" w:rsidP="00401C67">
            <w:pPr>
              <w:rPr>
                <w:rFonts w:asciiTheme="minorHAnsi" w:hAnsiTheme="minorHAnsi" w:cstheme="minorHAnsi"/>
              </w:rPr>
            </w:pPr>
          </w:p>
        </w:tc>
      </w:tr>
      <w:tr w:rsidR="00B54D51" w:rsidRPr="00037AD4" w14:paraId="6A5F3D51" w14:textId="77777777" w:rsidTr="00401C67">
        <w:trPr>
          <w:trHeight w:val="553"/>
        </w:trPr>
        <w:tc>
          <w:tcPr>
            <w:tcW w:w="1716" w:type="dxa"/>
          </w:tcPr>
          <w:p w14:paraId="43AF43C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Instrument and rater-type </w:t>
            </w:r>
          </w:p>
        </w:tc>
        <w:tc>
          <w:tcPr>
            <w:tcW w:w="581" w:type="dxa"/>
          </w:tcPr>
          <w:p w14:paraId="35C7082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N</w:t>
            </w:r>
          </w:p>
        </w:tc>
        <w:tc>
          <w:tcPr>
            <w:tcW w:w="1805" w:type="dxa"/>
          </w:tcPr>
          <w:p w14:paraId="2F8F724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Sum  </w:t>
            </w:r>
          </w:p>
        </w:tc>
        <w:tc>
          <w:tcPr>
            <w:tcW w:w="1785" w:type="dxa"/>
          </w:tcPr>
          <w:p w14:paraId="2D1F6ED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Mild </w:t>
            </w:r>
          </w:p>
        </w:tc>
        <w:tc>
          <w:tcPr>
            <w:tcW w:w="1706" w:type="dxa"/>
          </w:tcPr>
          <w:p w14:paraId="29EC540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Moderate </w:t>
            </w:r>
          </w:p>
        </w:tc>
      </w:tr>
      <w:tr w:rsidR="00B54D51" w:rsidRPr="00037AD4" w14:paraId="3F82CB62" w14:textId="77777777" w:rsidTr="00401C67">
        <w:trPr>
          <w:trHeight w:val="1945"/>
        </w:trPr>
        <w:tc>
          <w:tcPr>
            <w:tcW w:w="1716" w:type="dxa"/>
          </w:tcPr>
          <w:p w14:paraId="62C04AE7" w14:textId="77777777" w:rsidR="00B54D51" w:rsidRPr="00037AD4" w:rsidRDefault="00B54D51" w:rsidP="00401C67">
            <w:pPr>
              <w:rPr>
                <w:rFonts w:asciiTheme="minorHAnsi" w:hAnsiTheme="minorHAnsi" w:cstheme="minorHAnsi"/>
                <w:i/>
                <w:iCs/>
              </w:rPr>
            </w:pPr>
            <w:r w:rsidRPr="00037AD4">
              <w:rPr>
                <w:rFonts w:asciiTheme="minorHAnsi" w:hAnsiTheme="minorHAnsi" w:cstheme="minorHAnsi"/>
                <w:i/>
                <w:iCs/>
              </w:rPr>
              <w:t>CDR change</w:t>
            </w:r>
          </w:p>
          <w:p w14:paraId="0606712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PwD</w:t>
            </w:r>
          </w:p>
          <w:p w14:paraId="402F10CD" w14:textId="77777777" w:rsidR="00B54D51" w:rsidRPr="00037AD4" w:rsidRDefault="00B54D51" w:rsidP="00401C67">
            <w:pPr>
              <w:rPr>
                <w:rFonts w:asciiTheme="minorHAnsi" w:hAnsiTheme="minorHAnsi" w:cstheme="minorHAnsi"/>
              </w:rPr>
            </w:pPr>
          </w:p>
          <w:p w14:paraId="68A44E1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Informal proxy</w:t>
            </w:r>
          </w:p>
          <w:p w14:paraId="02544BA8" w14:textId="77777777" w:rsidR="00B54D51" w:rsidRPr="00037AD4" w:rsidRDefault="00B54D51" w:rsidP="00401C67">
            <w:pPr>
              <w:rPr>
                <w:rFonts w:asciiTheme="minorHAnsi" w:hAnsiTheme="minorHAnsi" w:cstheme="minorHAnsi"/>
              </w:rPr>
            </w:pPr>
          </w:p>
          <w:p w14:paraId="76E71F3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Staff proxy </w:t>
            </w:r>
          </w:p>
        </w:tc>
        <w:tc>
          <w:tcPr>
            <w:tcW w:w="581" w:type="dxa"/>
          </w:tcPr>
          <w:p w14:paraId="1BA5106C" w14:textId="77777777" w:rsidR="00B54D51" w:rsidRPr="00037AD4" w:rsidRDefault="00B54D51" w:rsidP="00401C67">
            <w:pPr>
              <w:rPr>
                <w:rFonts w:asciiTheme="minorHAnsi" w:hAnsiTheme="minorHAnsi" w:cstheme="minorHAnsi"/>
              </w:rPr>
            </w:pPr>
          </w:p>
          <w:p w14:paraId="2673B37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433</w:t>
            </w:r>
          </w:p>
          <w:p w14:paraId="3FB8807F" w14:textId="77777777" w:rsidR="00B54D51" w:rsidRPr="00037AD4" w:rsidRDefault="00B54D51" w:rsidP="00401C67">
            <w:pPr>
              <w:rPr>
                <w:rFonts w:asciiTheme="minorHAnsi" w:hAnsiTheme="minorHAnsi" w:cstheme="minorHAnsi"/>
              </w:rPr>
            </w:pPr>
          </w:p>
          <w:p w14:paraId="24265EA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395</w:t>
            </w:r>
          </w:p>
          <w:p w14:paraId="6F0B0B2E" w14:textId="77777777" w:rsidR="00B54D51" w:rsidRPr="00037AD4" w:rsidRDefault="00B54D51" w:rsidP="00401C67">
            <w:pPr>
              <w:rPr>
                <w:rFonts w:asciiTheme="minorHAnsi" w:hAnsiTheme="minorHAnsi" w:cstheme="minorHAnsi"/>
              </w:rPr>
            </w:pPr>
          </w:p>
          <w:p w14:paraId="15B8D8F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395</w:t>
            </w:r>
          </w:p>
        </w:tc>
        <w:tc>
          <w:tcPr>
            <w:tcW w:w="1805" w:type="dxa"/>
          </w:tcPr>
          <w:p w14:paraId="6F68ACA2" w14:textId="77777777" w:rsidR="00B54D51" w:rsidRPr="00037AD4" w:rsidRDefault="00B54D51" w:rsidP="00401C67">
            <w:pPr>
              <w:rPr>
                <w:rFonts w:asciiTheme="minorHAnsi" w:hAnsiTheme="minorHAnsi" w:cstheme="minorHAnsi"/>
                <w:b/>
                <w:bCs/>
              </w:rPr>
            </w:pPr>
          </w:p>
          <w:p w14:paraId="1DB3BD70"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-0.03</w:t>
            </w:r>
          </w:p>
          <w:p w14:paraId="13772B7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[-0.12; 0.07] </w:t>
            </w:r>
          </w:p>
          <w:p w14:paraId="5DCB0311"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 xml:space="preserve">0.02 </w:t>
            </w:r>
          </w:p>
          <w:p w14:paraId="50417BA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[-0.08; 0.12]</w:t>
            </w:r>
          </w:p>
          <w:p w14:paraId="7B321673"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0.06</w:t>
            </w:r>
          </w:p>
          <w:p w14:paraId="4B9436F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[-0.04; 0.15] </w:t>
            </w:r>
          </w:p>
        </w:tc>
        <w:tc>
          <w:tcPr>
            <w:tcW w:w="1785" w:type="dxa"/>
          </w:tcPr>
          <w:p w14:paraId="100E291B" w14:textId="77777777" w:rsidR="00B54D51" w:rsidRPr="00037AD4" w:rsidRDefault="00B54D51" w:rsidP="00401C67">
            <w:pPr>
              <w:rPr>
                <w:rFonts w:asciiTheme="minorHAnsi" w:hAnsiTheme="minorHAnsi" w:cstheme="minorHAnsi"/>
              </w:rPr>
            </w:pPr>
          </w:p>
          <w:p w14:paraId="0A4BB63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-0.04</w:t>
            </w:r>
          </w:p>
          <w:p w14:paraId="15995749" w14:textId="77777777" w:rsidR="00B54D51" w:rsidRPr="00037AD4" w:rsidRDefault="00B54D51" w:rsidP="00401C67">
            <w:pPr>
              <w:rPr>
                <w:rFonts w:asciiTheme="minorHAnsi" w:hAnsiTheme="minorHAnsi" w:cstheme="minorHAnsi"/>
              </w:rPr>
            </w:pPr>
          </w:p>
          <w:p w14:paraId="36B64B0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-0.18*</w:t>
            </w:r>
          </w:p>
          <w:p w14:paraId="0A6A597E" w14:textId="77777777" w:rsidR="00B54D51" w:rsidRPr="00037AD4" w:rsidRDefault="00B54D51" w:rsidP="00401C67">
            <w:pPr>
              <w:rPr>
                <w:rFonts w:asciiTheme="minorHAnsi" w:hAnsiTheme="minorHAnsi" w:cstheme="minorHAnsi"/>
              </w:rPr>
            </w:pPr>
          </w:p>
          <w:p w14:paraId="2CF7DE7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0.26*</w:t>
            </w:r>
          </w:p>
        </w:tc>
        <w:tc>
          <w:tcPr>
            <w:tcW w:w="1706" w:type="dxa"/>
          </w:tcPr>
          <w:p w14:paraId="3C1F1F3A" w14:textId="77777777" w:rsidR="00B54D51" w:rsidRPr="00037AD4" w:rsidRDefault="00B54D51" w:rsidP="00401C67">
            <w:pPr>
              <w:rPr>
                <w:rFonts w:asciiTheme="minorHAnsi" w:hAnsiTheme="minorHAnsi" w:cstheme="minorHAnsi"/>
              </w:rPr>
            </w:pPr>
          </w:p>
          <w:p w14:paraId="10FDC84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-0.02 </w:t>
            </w:r>
          </w:p>
          <w:p w14:paraId="72F99F03" w14:textId="77777777" w:rsidR="00B54D51" w:rsidRPr="00037AD4" w:rsidRDefault="00B54D51" w:rsidP="00401C67">
            <w:pPr>
              <w:rPr>
                <w:rFonts w:asciiTheme="minorHAnsi" w:hAnsiTheme="minorHAnsi" w:cstheme="minorHAnsi"/>
              </w:rPr>
            </w:pPr>
          </w:p>
          <w:p w14:paraId="6D56380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0.13</w:t>
            </w:r>
          </w:p>
          <w:p w14:paraId="1FAFCA18" w14:textId="77777777" w:rsidR="00B54D51" w:rsidRPr="00037AD4" w:rsidRDefault="00B54D51" w:rsidP="00401C67">
            <w:pPr>
              <w:rPr>
                <w:rFonts w:asciiTheme="minorHAnsi" w:hAnsiTheme="minorHAnsi" w:cstheme="minorHAnsi"/>
              </w:rPr>
            </w:pPr>
          </w:p>
          <w:p w14:paraId="35E8D01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0.15</w:t>
            </w:r>
          </w:p>
        </w:tc>
      </w:tr>
      <w:tr w:rsidR="00B54D51" w:rsidRPr="00037AD4" w14:paraId="46728476" w14:textId="77777777" w:rsidTr="00401C67">
        <w:trPr>
          <w:trHeight w:val="1373"/>
        </w:trPr>
        <w:tc>
          <w:tcPr>
            <w:tcW w:w="1716" w:type="dxa"/>
          </w:tcPr>
          <w:p w14:paraId="17C132B7" w14:textId="77777777" w:rsidR="00B54D51" w:rsidRPr="00037AD4" w:rsidRDefault="00B54D51" w:rsidP="00401C67">
            <w:pPr>
              <w:rPr>
                <w:rFonts w:asciiTheme="minorHAnsi" w:hAnsiTheme="minorHAnsi" w:cstheme="minorHAnsi"/>
                <w:i/>
                <w:iCs/>
              </w:rPr>
            </w:pPr>
            <w:r w:rsidRPr="00037AD4">
              <w:rPr>
                <w:rFonts w:asciiTheme="minorHAnsi" w:hAnsiTheme="minorHAnsi" w:cstheme="minorHAnsi"/>
                <w:i/>
                <w:iCs/>
              </w:rPr>
              <w:t xml:space="preserve">MMSE change </w:t>
            </w:r>
          </w:p>
          <w:p w14:paraId="69C34E3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PwD </w:t>
            </w:r>
          </w:p>
          <w:p w14:paraId="049CE64F" w14:textId="77777777" w:rsidR="00B54D51" w:rsidRPr="00037AD4" w:rsidRDefault="00B54D51" w:rsidP="00401C67">
            <w:pPr>
              <w:rPr>
                <w:rFonts w:asciiTheme="minorHAnsi" w:hAnsiTheme="minorHAnsi" w:cstheme="minorHAnsi"/>
              </w:rPr>
            </w:pPr>
          </w:p>
          <w:p w14:paraId="123C130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Informal proxy</w:t>
            </w:r>
          </w:p>
        </w:tc>
        <w:tc>
          <w:tcPr>
            <w:tcW w:w="581" w:type="dxa"/>
          </w:tcPr>
          <w:p w14:paraId="25B1F0F2" w14:textId="77777777" w:rsidR="00B54D51" w:rsidRPr="00037AD4" w:rsidRDefault="00B54D51" w:rsidP="00401C67">
            <w:pPr>
              <w:rPr>
                <w:rFonts w:asciiTheme="minorHAnsi" w:hAnsiTheme="minorHAnsi" w:cstheme="minorHAnsi"/>
              </w:rPr>
            </w:pPr>
          </w:p>
          <w:p w14:paraId="367536C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269</w:t>
            </w:r>
          </w:p>
          <w:p w14:paraId="49C23E7D" w14:textId="77777777" w:rsidR="00B54D51" w:rsidRPr="00037AD4" w:rsidRDefault="00B54D51" w:rsidP="00401C67">
            <w:pPr>
              <w:rPr>
                <w:rFonts w:asciiTheme="minorHAnsi" w:hAnsiTheme="minorHAnsi" w:cstheme="minorHAnsi"/>
              </w:rPr>
            </w:pPr>
          </w:p>
          <w:p w14:paraId="3BE419F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271</w:t>
            </w:r>
          </w:p>
        </w:tc>
        <w:tc>
          <w:tcPr>
            <w:tcW w:w="1805" w:type="dxa"/>
          </w:tcPr>
          <w:p w14:paraId="38C55A1F" w14:textId="77777777" w:rsidR="00B54D51" w:rsidRPr="00037AD4" w:rsidRDefault="00B54D51" w:rsidP="00401C67">
            <w:pPr>
              <w:rPr>
                <w:rFonts w:asciiTheme="minorHAnsi" w:hAnsiTheme="minorHAnsi" w:cstheme="minorHAnsi"/>
              </w:rPr>
            </w:pPr>
          </w:p>
          <w:p w14:paraId="061F29FD"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 xml:space="preserve">-0.20* </w:t>
            </w:r>
          </w:p>
          <w:p w14:paraId="749A706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[-0.14; 0.10]</w:t>
            </w:r>
          </w:p>
          <w:p w14:paraId="63D700AC"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 xml:space="preserve">0.08* </w:t>
            </w:r>
          </w:p>
          <w:p w14:paraId="4A41BDF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[-0.04; 0.20]</w:t>
            </w:r>
          </w:p>
        </w:tc>
        <w:tc>
          <w:tcPr>
            <w:tcW w:w="1785" w:type="dxa"/>
          </w:tcPr>
          <w:p w14:paraId="5722AE9C" w14:textId="77777777" w:rsidR="00B54D51" w:rsidRPr="00037AD4" w:rsidRDefault="00B54D51" w:rsidP="00401C67">
            <w:pPr>
              <w:rPr>
                <w:rFonts w:asciiTheme="minorHAnsi" w:hAnsiTheme="minorHAnsi" w:cstheme="minorHAnsi"/>
              </w:rPr>
            </w:pPr>
          </w:p>
          <w:p w14:paraId="689181B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-0.07</w:t>
            </w:r>
          </w:p>
          <w:p w14:paraId="312B4585" w14:textId="77777777" w:rsidR="00B54D51" w:rsidRPr="00037AD4" w:rsidRDefault="00B54D51" w:rsidP="00401C67">
            <w:pPr>
              <w:rPr>
                <w:rFonts w:asciiTheme="minorHAnsi" w:hAnsiTheme="minorHAnsi" w:cstheme="minorHAnsi"/>
              </w:rPr>
            </w:pPr>
          </w:p>
          <w:p w14:paraId="6416BD9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0.02</w:t>
            </w:r>
          </w:p>
          <w:p w14:paraId="5773D4CB" w14:textId="77777777" w:rsidR="00B54D51" w:rsidRPr="00037AD4" w:rsidRDefault="00B54D51" w:rsidP="00401C67">
            <w:pPr>
              <w:rPr>
                <w:rFonts w:asciiTheme="minorHAnsi" w:hAnsiTheme="minorHAnsi" w:cstheme="minorHAnsi"/>
              </w:rPr>
            </w:pPr>
          </w:p>
        </w:tc>
        <w:tc>
          <w:tcPr>
            <w:tcW w:w="1706" w:type="dxa"/>
          </w:tcPr>
          <w:p w14:paraId="11B75D85" w14:textId="77777777" w:rsidR="00B54D51" w:rsidRPr="00037AD4" w:rsidRDefault="00B54D51" w:rsidP="00401C67">
            <w:pPr>
              <w:rPr>
                <w:rFonts w:asciiTheme="minorHAnsi" w:hAnsiTheme="minorHAnsi" w:cstheme="minorHAnsi"/>
              </w:rPr>
            </w:pPr>
          </w:p>
          <w:p w14:paraId="428B6EC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0.21</w:t>
            </w:r>
          </w:p>
          <w:p w14:paraId="7A25188F" w14:textId="77777777" w:rsidR="00B54D51" w:rsidRPr="00037AD4" w:rsidRDefault="00B54D51" w:rsidP="00401C67">
            <w:pPr>
              <w:rPr>
                <w:rFonts w:asciiTheme="minorHAnsi" w:hAnsiTheme="minorHAnsi" w:cstheme="minorHAnsi"/>
              </w:rPr>
            </w:pPr>
          </w:p>
          <w:p w14:paraId="7C2C317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0.39*</w:t>
            </w:r>
          </w:p>
        </w:tc>
      </w:tr>
      <w:tr w:rsidR="00B54D51" w:rsidRPr="00037AD4" w14:paraId="43943ADE" w14:textId="77777777" w:rsidTr="00401C67">
        <w:trPr>
          <w:trHeight w:val="1945"/>
        </w:trPr>
        <w:tc>
          <w:tcPr>
            <w:tcW w:w="1716" w:type="dxa"/>
          </w:tcPr>
          <w:p w14:paraId="325081CD" w14:textId="77777777" w:rsidR="00B54D51" w:rsidRPr="00037AD4" w:rsidRDefault="00B54D51" w:rsidP="00401C67">
            <w:pPr>
              <w:rPr>
                <w:rFonts w:asciiTheme="minorHAnsi" w:hAnsiTheme="minorHAnsi" w:cstheme="minorHAnsi"/>
                <w:i/>
                <w:iCs/>
              </w:rPr>
            </w:pPr>
            <w:r w:rsidRPr="00037AD4">
              <w:rPr>
                <w:rFonts w:asciiTheme="minorHAnsi" w:hAnsiTheme="minorHAnsi" w:cstheme="minorHAnsi"/>
                <w:i/>
                <w:iCs/>
              </w:rPr>
              <w:t xml:space="preserve">NPI-NH change </w:t>
            </w:r>
          </w:p>
          <w:p w14:paraId="559074A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PwD</w:t>
            </w:r>
          </w:p>
          <w:p w14:paraId="21D7388E" w14:textId="77777777" w:rsidR="00B54D51" w:rsidRPr="00037AD4" w:rsidRDefault="00B54D51" w:rsidP="00401C67">
            <w:pPr>
              <w:rPr>
                <w:rFonts w:asciiTheme="minorHAnsi" w:hAnsiTheme="minorHAnsi" w:cstheme="minorHAnsi"/>
              </w:rPr>
            </w:pPr>
          </w:p>
          <w:p w14:paraId="58A160E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Informal proxy</w:t>
            </w:r>
          </w:p>
          <w:p w14:paraId="4210268F" w14:textId="77777777" w:rsidR="00B54D51" w:rsidRPr="00037AD4" w:rsidRDefault="00B54D51" w:rsidP="00401C67">
            <w:pPr>
              <w:rPr>
                <w:rFonts w:asciiTheme="minorHAnsi" w:hAnsiTheme="minorHAnsi" w:cstheme="minorHAnsi"/>
              </w:rPr>
            </w:pPr>
          </w:p>
          <w:p w14:paraId="00A41A37" w14:textId="77777777" w:rsidR="00B54D51" w:rsidRPr="00037AD4" w:rsidRDefault="00B54D51" w:rsidP="00401C67">
            <w:pPr>
              <w:rPr>
                <w:rFonts w:asciiTheme="minorHAnsi" w:hAnsiTheme="minorHAnsi" w:cstheme="minorHAnsi"/>
                <w:i/>
                <w:iCs/>
              </w:rPr>
            </w:pPr>
            <w:r w:rsidRPr="00037AD4">
              <w:rPr>
                <w:rFonts w:asciiTheme="minorHAnsi" w:hAnsiTheme="minorHAnsi" w:cstheme="minorHAnsi"/>
              </w:rPr>
              <w:t xml:space="preserve">Staff proxy </w:t>
            </w:r>
          </w:p>
        </w:tc>
        <w:tc>
          <w:tcPr>
            <w:tcW w:w="581" w:type="dxa"/>
          </w:tcPr>
          <w:p w14:paraId="328E506D" w14:textId="77777777" w:rsidR="00B54D51" w:rsidRPr="00037AD4" w:rsidRDefault="00B54D51" w:rsidP="00401C67">
            <w:pPr>
              <w:rPr>
                <w:rFonts w:asciiTheme="minorHAnsi" w:hAnsiTheme="minorHAnsi" w:cstheme="minorHAnsi"/>
              </w:rPr>
            </w:pPr>
          </w:p>
          <w:p w14:paraId="18B0320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132</w:t>
            </w:r>
          </w:p>
          <w:p w14:paraId="3A7C0003" w14:textId="77777777" w:rsidR="00B54D51" w:rsidRPr="00037AD4" w:rsidRDefault="00B54D51" w:rsidP="00401C67">
            <w:pPr>
              <w:rPr>
                <w:rFonts w:asciiTheme="minorHAnsi" w:hAnsiTheme="minorHAnsi" w:cstheme="minorHAnsi"/>
              </w:rPr>
            </w:pPr>
          </w:p>
          <w:p w14:paraId="42193D8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63</w:t>
            </w:r>
          </w:p>
          <w:p w14:paraId="5D5A62AC" w14:textId="77777777" w:rsidR="00B54D51" w:rsidRPr="00037AD4" w:rsidRDefault="00B54D51" w:rsidP="00401C67">
            <w:pPr>
              <w:rPr>
                <w:rFonts w:asciiTheme="minorHAnsi" w:hAnsiTheme="minorHAnsi" w:cstheme="minorHAnsi"/>
              </w:rPr>
            </w:pPr>
          </w:p>
          <w:p w14:paraId="6F88394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398</w:t>
            </w:r>
          </w:p>
        </w:tc>
        <w:tc>
          <w:tcPr>
            <w:tcW w:w="1805" w:type="dxa"/>
          </w:tcPr>
          <w:p w14:paraId="580A15A2" w14:textId="77777777" w:rsidR="00B54D51" w:rsidRPr="00037AD4" w:rsidRDefault="00B54D51" w:rsidP="00401C67">
            <w:pPr>
              <w:rPr>
                <w:rFonts w:asciiTheme="minorHAnsi" w:hAnsiTheme="minorHAnsi" w:cstheme="minorHAnsi"/>
              </w:rPr>
            </w:pPr>
          </w:p>
          <w:p w14:paraId="15ECD493" w14:textId="77777777" w:rsidR="00B54D51" w:rsidRPr="00037AD4" w:rsidRDefault="00B54D51" w:rsidP="00401C67">
            <w:pPr>
              <w:rPr>
                <w:rFonts w:asciiTheme="minorHAnsi" w:hAnsiTheme="minorHAnsi" w:cstheme="minorHAnsi"/>
              </w:rPr>
            </w:pPr>
            <w:r w:rsidRPr="00037AD4">
              <w:rPr>
                <w:rFonts w:asciiTheme="minorHAnsi" w:hAnsiTheme="minorHAnsi" w:cstheme="minorHAnsi"/>
                <w:b/>
                <w:bCs/>
              </w:rPr>
              <w:t>0.15</w:t>
            </w:r>
            <w:r w:rsidRPr="00037AD4">
              <w:rPr>
                <w:rFonts w:asciiTheme="minorHAnsi" w:hAnsiTheme="minorHAnsi" w:cstheme="minorHAnsi"/>
              </w:rPr>
              <w:t xml:space="preserve"> </w:t>
            </w:r>
          </w:p>
          <w:p w14:paraId="39A3D46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[-0.02; 0.31]</w:t>
            </w:r>
          </w:p>
          <w:p w14:paraId="5D178A4B"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0.07</w:t>
            </w:r>
          </w:p>
          <w:p w14:paraId="6B213F2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[-0.18; 0.31]</w:t>
            </w:r>
          </w:p>
          <w:p w14:paraId="7580A830"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 xml:space="preserve">0.35* </w:t>
            </w:r>
          </w:p>
          <w:p w14:paraId="63C11E5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[0.26; 0.44]</w:t>
            </w:r>
          </w:p>
        </w:tc>
        <w:tc>
          <w:tcPr>
            <w:tcW w:w="1785" w:type="dxa"/>
          </w:tcPr>
          <w:p w14:paraId="02B6C967" w14:textId="77777777" w:rsidR="00B54D51" w:rsidRPr="00037AD4" w:rsidRDefault="00B54D51" w:rsidP="00401C67">
            <w:pPr>
              <w:rPr>
                <w:rFonts w:asciiTheme="minorHAnsi" w:hAnsiTheme="minorHAnsi" w:cstheme="minorHAnsi"/>
              </w:rPr>
            </w:pPr>
          </w:p>
          <w:p w14:paraId="3959324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0.01 </w:t>
            </w:r>
          </w:p>
          <w:p w14:paraId="2DEBDBE4" w14:textId="77777777" w:rsidR="00B54D51" w:rsidRPr="00037AD4" w:rsidRDefault="00B54D51" w:rsidP="00401C67">
            <w:pPr>
              <w:rPr>
                <w:rFonts w:asciiTheme="minorHAnsi" w:hAnsiTheme="minorHAnsi" w:cstheme="minorHAnsi"/>
              </w:rPr>
            </w:pPr>
          </w:p>
          <w:p w14:paraId="4C5F867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 </w:t>
            </w:r>
          </w:p>
          <w:p w14:paraId="07B6EF8F" w14:textId="77777777" w:rsidR="00B54D51" w:rsidRPr="00037AD4" w:rsidRDefault="00B54D51" w:rsidP="00401C67">
            <w:pPr>
              <w:rPr>
                <w:rFonts w:asciiTheme="minorHAnsi" w:hAnsiTheme="minorHAnsi" w:cstheme="minorHAnsi"/>
              </w:rPr>
            </w:pPr>
          </w:p>
          <w:p w14:paraId="1010F06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0.28* </w:t>
            </w:r>
          </w:p>
        </w:tc>
        <w:tc>
          <w:tcPr>
            <w:tcW w:w="1706" w:type="dxa"/>
          </w:tcPr>
          <w:p w14:paraId="74E29240" w14:textId="77777777" w:rsidR="00B54D51" w:rsidRPr="00037AD4" w:rsidRDefault="00B54D51" w:rsidP="00401C67">
            <w:pPr>
              <w:rPr>
                <w:rFonts w:asciiTheme="minorHAnsi" w:hAnsiTheme="minorHAnsi" w:cstheme="minorHAnsi"/>
              </w:rPr>
            </w:pPr>
          </w:p>
          <w:p w14:paraId="3311995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0.27*</w:t>
            </w:r>
          </w:p>
          <w:p w14:paraId="45353EDB" w14:textId="77777777" w:rsidR="00B54D51" w:rsidRPr="00037AD4" w:rsidRDefault="00B54D51" w:rsidP="00401C67">
            <w:pPr>
              <w:rPr>
                <w:rFonts w:asciiTheme="minorHAnsi" w:hAnsiTheme="minorHAnsi" w:cstheme="minorHAnsi"/>
              </w:rPr>
            </w:pPr>
          </w:p>
          <w:p w14:paraId="26B928A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 </w:t>
            </w:r>
          </w:p>
          <w:p w14:paraId="285896DC" w14:textId="77777777" w:rsidR="00B54D51" w:rsidRPr="00037AD4" w:rsidRDefault="00B54D51" w:rsidP="00401C67">
            <w:pPr>
              <w:rPr>
                <w:rFonts w:asciiTheme="minorHAnsi" w:hAnsiTheme="minorHAnsi" w:cstheme="minorHAnsi"/>
              </w:rPr>
            </w:pPr>
          </w:p>
          <w:p w14:paraId="69A03EC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0.52* </w:t>
            </w:r>
          </w:p>
        </w:tc>
      </w:tr>
      <w:tr w:rsidR="00B54D51" w:rsidRPr="00037AD4" w14:paraId="3707A8D3" w14:textId="77777777" w:rsidTr="00401C67">
        <w:trPr>
          <w:trHeight w:val="1945"/>
        </w:trPr>
        <w:tc>
          <w:tcPr>
            <w:tcW w:w="1716" w:type="dxa"/>
          </w:tcPr>
          <w:p w14:paraId="28A33ECD" w14:textId="77777777" w:rsidR="00B54D51" w:rsidRPr="00037AD4" w:rsidRDefault="00B54D51" w:rsidP="00401C67">
            <w:pPr>
              <w:rPr>
                <w:rFonts w:asciiTheme="minorHAnsi" w:hAnsiTheme="minorHAnsi" w:cstheme="minorHAnsi"/>
                <w:i/>
                <w:iCs/>
              </w:rPr>
            </w:pPr>
            <w:r w:rsidRPr="00037AD4">
              <w:rPr>
                <w:rFonts w:asciiTheme="minorHAnsi" w:hAnsiTheme="minorHAnsi" w:cstheme="minorHAnsi"/>
                <w:i/>
                <w:iCs/>
              </w:rPr>
              <w:lastRenderedPageBreak/>
              <w:t xml:space="preserve">NPI-Q change </w:t>
            </w:r>
          </w:p>
          <w:p w14:paraId="19AD046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PwD</w:t>
            </w:r>
          </w:p>
          <w:p w14:paraId="1D8DE923" w14:textId="77777777" w:rsidR="00B54D51" w:rsidRPr="00037AD4" w:rsidRDefault="00B54D51" w:rsidP="00401C67">
            <w:pPr>
              <w:rPr>
                <w:rFonts w:asciiTheme="minorHAnsi" w:hAnsiTheme="minorHAnsi" w:cstheme="minorHAnsi"/>
              </w:rPr>
            </w:pPr>
          </w:p>
          <w:p w14:paraId="6835ACC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Informal proxy</w:t>
            </w:r>
          </w:p>
        </w:tc>
        <w:tc>
          <w:tcPr>
            <w:tcW w:w="581" w:type="dxa"/>
          </w:tcPr>
          <w:p w14:paraId="6E31DF39" w14:textId="77777777" w:rsidR="00B54D51" w:rsidRPr="00037AD4" w:rsidRDefault="00B54D51" w:rsidP="00401C67">
            <w:pPr>
              <w:rPr>
                <w:rFonts w:asciiTheme="minorHAnsi" w:hAnsiTheme="minorHAnsi" w:cstheme="minorHAnsi"/>
              </w:rPr>
            </w:pPr>
          </w:p>
          <w:p w14:paraId="0A4D8FD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304</w:t>
            </w:r>
          </w:p>
          <w:p w14:paraId="5C94B207" w14:textId="77777777" w:rsidR="00B54D51" w:rsidRPr="00037AD4" w:rsidRDefault="00B54D51" w:rsidP="00401C67">
            <w:pPr>
              <w:rPr>
                <w:rFonts w:asciiTheme="minorHAnsi" w:hAnsiTheme="minorHAnsi" w:cstheme="minorHAnsi"/>
              </w:rPr>
            </w:pPr>
          </w:p>
          <w:p w14:paraId="4F7E9ED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348</w:t>
            </w:r>
          </w:p>
        </w:tc>
        <w:tc>
          <w:tcPr>
            <w:tcW w:w="1805" w:type="dxa"/>
          </w:tcPr>
          <w:p w14:paraId="47A09850" w14:textId="77777777" w:rsidR="00B54D51" w:rsidRPr="00037AD4" w:rsidRDefault="00B54D51" w:rsidP="00401C67">
            <w:pPr>
              <w:rPr>
                <w:rFonts w:asciiTheme="minorHAnsi" w:hAnsiTheme="minorHAnsi" w:cstheme="minorHAnsi"/>
                <w:b/>
                <w:bCs/>
              </w:rPr>
            </w:pPr>
          </w:p>
          <w:p w14:paraId="770018B7" w14:textId="77777777" w:rsidR="00B54D51" w:rsidRPr="00037AD4" w:rsidRDefault="00B54D51" w:rsidP="00401C67">
            <w:pPr>
              <w:rPr>
                <w:rFonts w:asciiTheme="minorHAnsi" w:hAnsiTheme="minorHAnsi" w:cstheme="minorHAnsi"/>
              </w:rPr>
            </w:pPr>
            <w:r w:rsidRPr="00037AD4">
              <w:rPr>
                <w:rFonts w:asciiTheme="minorHAnsi" w:hAnsiTheme="minorHAnsi" w:cstheme="minorHAnsi"/>
                <w:b/>
                <w:bCs/>
              </w:rPr>
              <w:t>-0.02</w:t>
            </w:r>
          </w:p>
          <w:p w14:paraId="59C114A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[-0.13; 0.09]</w:t>
            </w:r>
          </w:p>
          <w:p w14:paraId="5F41FAFF"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0.28*</w:t>
            </w:r>
          </w:p>
          <w:p w14:paraId="0146E88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[0.18; 0.37]</w:t>
            </w:r>
          </w:p>
        </w:tc>
        <w:tc>
          <w:tcPr>
            <w:tcW w:w="1785" w:type="dxa"/>
          </w:tcPr>
          <w:p w14:paraId="18540985" w14:textId="77777777" w:rsidR="00B54D51" w:rsidRPr="00037AD4" w:rsidRDefault="00B54D51" w:rsidP="00401C67">
            <w:pPr>
              <w:rPr>
                <w:rFonts w:asciiTheme="minorHAnsi" w:hAnsiTheme="minorHAnsi" w:cstheme="minorHAnsi"/>
              </w:rPr>
            </w:pPr>
          </w:p>
          <w:p w14:paraId="6AFDF1C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-0.10 </w:t>
            </w:r>
          </w:p>
          <w:p w14:paraId="2B3263E9" w14:textId="77777777" w:rsidR="00B54D51" w:rsidRPr="00037AD4" w:rsidRDefault="00B54D51" w:rsidP="00401C67">
            <w:pPr>
              <w:rPr>
                <w:rFonts w:asciiTheme="minorHAnsi" w:hAnsiTheme="minorHAnsi" w:cstheme="minorHAnsi"/>
              </w:rPr>
            </w:pPr>
          </w:p>
          <w:p w14:paraId="472FAB7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0.21*</w:t>
            </w:r>
          </w:p>
        </w:tc>
        <w:tc>
          <w:tcPr>
            <w:tcW w:w="1706" w:type="dxa"/>
          </w:tcPr>
          <w:p w14:paraId="0AD13166" w14:textId="77777777" w:rsidR="00B54D51" w:rsidRPr="00037AD4" w:rsidRDefault="00B54D51" w:rsidP="00401C67">
            <w:pPr>
              <w:rPr>
                <w:rFonts w:asciiTheme="minorHAnsi" w:hAnsiTheme="minorHAnsi" w:cstheme="minorHAnsi"/>
              </w:rPr>
            </w:pPr>
          </w:p>
          <w:p w14:paraId="1660C8A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0.08</w:t>
            </w:r>
          </w:p>
          <w:p w14:paraId="19FDB9A2" w14:textId="77777777" w:rsidR="00B54D51" w:rsidRPr="00037AD4" w:rsidRDefault="00B54D51" w:rsidP="00401C67">
            <w:pPr>
              <w:rPr>
                <w:rFonts w:asciiTheme="minorHAnsi" w:hAnsiTheme="minorHAnsi" w:cstheme="minorHAnsi"/>
              </w:rPr>
            </w:pPr>
          </w:p>
          <w:p w14:paraId="35C739F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0.46*</w:t>
            </w:r>
          </w:p>
        </w:tc>
      </w:tr>
      <w:tr w:rsidR="00B54D51" w:rsidRPr="00037AD4" w14:paraId="179A78C3" w14:textId="77777777" w:rsidTr="00401C67">
        <w:trPr>
          <w:trHeight w:val="1124"/>
        </w:trPr>
        <w:tc>
          <w:tcPr>
            <w:tcW w:w="1716" w:type="dxa"/>
          </w:tcPr>
          <w:p w14:paraId="3BE4764D" w14:textId="77777777" w:rsidR="00B54D51" w:rsidRPr="00037AD4" w:rsidRDefault="00B54D51" w:rsidP="00401C67">
            <w:pPr>
              <w:rPr>
                <w:rFonts w:asciiTheme="minorHAnsi" w:hAnsiTheme="minorHAnsi" w:cstheme="minorHAnsi"/>
                <w:i/>
                <w:iCs/>
              </w:rPr>
            </w:pPr>
            <w:r w:rsidRPr="00037AD4">
              <w:rPr>
                <w:rFonts w:asciiTheme="minorHAnsi" w:hAnsiTheme="minorHAnsi" w:cstheme="minorHAnsi"/>
                <w:i/>
                <w:iCs/>
              </w:rPr>
              <w:t xml:space="preserve">CSDD change </w:t>
            </w:r>
          </w:p>
          <w:p w14:paraId="469B450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PwD</w:t>
            </w:r>
          </w:p>
          <w:p w14:paraId="4DB434AC" w14:textId="77777777" w:rsidR="00B54D51" w:rsidRPr="00037AD4" w:rsidRDefault="00B54D51" w:rsidP="00401C67">
            <w:pPr>
              <w:rPr>
                <w:rFonts w:asciiTheme="minorHAnsi" w:hAnsiTheme="minorHAnsi" w:cstheme="minorHAnsi"/>
              </w:rPr>
            </w:pPr>
          </w:p>
          <w:p w14:paraId="1555927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Informal proxy</w:t>
            </w:r>
          </w:p>
          <w:p w14:paraId="0EE17D63" w14:textId="77777777" w:rsidR="00B54D51" w:rsidRPr="00037AD4" w:rsidRDefault="00B54D51" w:rsidP="00401C67">
            <w:pPr>
              <w:rPr>
                <w:rFonts w:asciiTheme="minorHAnsi" w:hAnsiTheme="minorHAnsi" w:cstheme="minorHAnsi"/>
              </w:rPr>
            </w:pPr>
          </w:p>
          <w:p w14:paraId="7B93E660" w14:textId="77777777" w:rsidR="00B54D51" w:rsidRPr="00037AD4" w:rsidRDefault="00B54D51" w:rsidP="00401C67">
            <w:pPr>
              <w:rPr>
                <w:rFonts w:asciiTheme="minorHAnsi" w:hAnsiTheme="minorHAnsi" w:cstheme="minorHAnsi"/>
                <w:i/>
                <w:iCs/>
              </w:rPr>
            </w:pPr>
          </w:p>
        </w:tc>
        <w:tc>
          <w:tcPr>
            <w:tcW w:w="581" w:type="dxa"/>
          </w:tcPr>
          <w:p w14:paraId="73F9DF8B" w14:textId="77777777" w:rsidR="00B54D51" w:rsidRPr="00037AD4" w:rsidRDefault="00B54D51" w:rsidP="00401C67">
            <w:pPr>
              <w:rPr>
                <w:rFonts w:asciiTheme="minorHAnsi" w:hAnsiTheme="minorHAnsi" w:cstheme="minorHAnsi"/>
              </w:rPr>
            </w:pPr>
          </w:p>
          <w:p w14:paraId="5401BC4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218</w:t>
            </w:r>
          </w:p>
          <w:p w14:paraId="61A0AF1B" w14:textId="77777777" w:rsidR="00B54D51" w:rsidRPr="00037AD4" w:rsidRDefault="00B54D51" w:rsidP="00401C67">
            <w:pPr>
              <w:rPr>
                <w:rFonts w:asciiTheme="minorHAnsi" w:hAnsiTheme="minorHAnsi" w:cstheme="minorHAnsi"/>
              </w:rPr>
            </w:pPr>
          </w:p>
          <w:p w14:paraId="6C6A8B4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233</w:t>
            </w:r>
          </w:p>
        </w:tc>
        <w:tc>
          <w:tcPr>
            <w:tcW w:w="1805" w:type="dxa"/>
          </w:tcPr>
          <w:p w14:paraId="4E6F09C6" w14:textId="77777777" w:rsidR="00B54D51" w:rsidRPr="00037AD4" w:rsidRDefault="00B54D51" w:rsidP="00401C67">
            <w:pPr>
              <w:rPr>
                <w:rFonts w:asciiTheme="minorHAnsi" w:hAnsiTheme="minorHAnsi" w:cstheme="minorHAnsi"/>
              </w:rPr>
            </w:pPr>
          </w:p>
          <w:p w14:paraId="14D6D410"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 xml:space="preserve">0.03 </w:t>
            </w:r>
          </w:p>
          <w:p w14:paraId="1092293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[-0.10; 0.16]</w:t>
            </w:r>
          </w:p>
          <w:p w14:paraId="52437CFE"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0.21*</w:t>
            </w:r>
          </w:p>
          <w:p w14:paraId="021EF29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[0.08; 0.33]</w:t>
            </w:r>
          </w:p>
        </w:tc>
        <w:tc>
          <w:tcPr>
            <w:tcW w:w="1785" w:type="dxa"/>
          </w:tcPr>
          <w:p w14:paraId="784D6E48" w14:textId="77777777" w:rsidR="00B54D51" w:rsidRPr="00037AD4" w:rsidRDefault="00B54D51" w:rsidP="00401C67">
            <w:pPr>
              <w:rPr>
                <w:rFonts w:asciiTheme="minorHAnsi" w:hAnsiTheme="minorHAnsi" w:cstheme="minorHAnsi"/>
              </w:rPr>
            </w:pPr>
          </w:p>
          <w:p w14:paraId="4D8CC1C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0.13</w:t>
            </w:r>
          </w:p>
          <w:p w14:paraId="2BF30FB7" w14:textId="77777777" w:rsidR="00B54D51" w:rsidRPr="00037AD4" w:rsidRDefault="00B54D51" w:rsidP="00401C67">
            <w:pPr>
              <w:rPr>
                <w:rFonts w:asciiTheme="minorHAnsi" w:hAnsiTheme="minorHAnsi" w:cstheme="minorHAnsi"/>
              </w:rPr>
            </w:pPr>
          </w:p>
          <w:p w14:paraId="26AEB53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0.27*</w:t>
            </w:r>
          </w:p>
          <w:p w14:paraId="176A379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 </w:t>
            </w:r>
          </w:p>
        </w:tc>
        <w:tc>
          <w:tcPr>
            <w:tcW w:w="1706" w:type="dxa"/>
          </w:tcPr>
          <w:p w14:paraId="60E2D845" w14:textId="77777777" w:rsidR="00B54D51" w:rsidRPr="00037AD4" w:rsidRDefault="00B54D51" w:rsidP="00401C67">
            <w:pPr>
              <w:rPr>
                <w:rFonts w:asciiTheme="minorHAnsi" w:hAnsiTheme="minorHAnsi" w:cstheme="minorHAnsi"/>
              </w:rPr>
            </w:pPr>
          </w:p>
          <w:p w14:paraId="798FAF0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-0.19 </w:t>
            </w:r>
          </w:p>
          <w:p w14:paraId="183B535A" w14:textId="77777777" w:rsidR="00B54D51" w:rsidRPr="00037AD4" w:rsidRDefault="00B54D51" w:rsidP="00401C67">
            <w:pPr>
              <w:rPr>
                <w:rFonts w:asciiTheme="minorHAnsi" w:hAnsiTheme="minorHAnsi" w:cstheme="minorHAnsi"/>
              </w:rPr>
            </w:pPr>
          </w:p>
          <w:p w14:paraId="36F95E1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0.09 </w:t>
            </w:r>
          </w:p>
        </w:tc>
      </w:tr>
      <w:tr w:rsidR="00B54D51" w:rsidRPr="00037AD4" w14:paraId="4DD7221D" w14:textId="77777777" w:rsidTr="00401C67">
        <w:trPr>
          <w:trHeight w:val="686"/>
        </w:trPr>
        <w:tc>
          <w:tcPr>
            <w:tcW w:w="7593" w:type="dxa"/>
            <w:gridSpan w:val="5"/>
          </w:tcPr>
          <w:p w14:paraId="1C17885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**CDR at T0 for CSDD assessments due to lack of follow-up CDR data in REMCARE</w:t>
            </w:r>
          </w:p>
        </w:tc>
      </w:tr>
    </w:tbl>
    <w:p w14:paraId="51449391" w14:textId="77777777" w:rsidR="00B54D51" w:rsidRPr="00037AD4" w:rsidRDefault="00B54D51" w:rsidP="001D7ACE">
      <w:pPr>
        <w:rPr>
          <w:rFonts w:asciiTheme="minorHAnsi" w:hAnsiTheme="minorHAnsi" w:cstheme="minorHAnsi"/>
          <w:u w:val="single"/>
        </w:rPr>
      </w:pPr>
    </w:p>
    <w:p w14:paraId="4EDE0422" w14:textId="77777777" w:rsidR="00B54D51" w:rsidRPr="00037AD4" w:rsidRDefault="00B54D51" w:rsidP="007A43F9">
      <w:pPr>
        <w:pStyle w:val="Heading2"/>
      </w:pPr>
      <w:bookmarkStart w:id="517" w:name="A55"/>
      <w:bookmarkStart w:id="518" w:name="_Toc175742413"/>
      <w:r w:rsidRPr="00037AD4">
        <w:t>Appendix 5.5 Line graph of mean EQ-5D index scores by CDR stage</w:t>
      </w:r>
      <w:bookmarkEnd w:id="518"/>
      <w:r w:rsidRPr="00037AD4">
        <w:t xml:space="preserve"> </w:t>
      </w:r>
    </w:p>
    <w:bookmarkEnd w:id="517"/>
    <w:p w14:paraId="365159C1" w14:textId="77777777" w:rsidR="00B54D51" w:rsidRPr="00037AD4" w:rsidRDefault="00B54D51" w:rsidP="001D7ACE">
      <w:pPr>
        <w:rPr>
          <w:rFonts w:asciiTheme="minorHAnsi" w:hAnsiTheme="minorHAnsi" w:cstheme="minorHAnsi"/>
          <w:u w:val="single"/>
        </w:rPr>
      </w:pPr>
    </w:p>
    <w:p w14:paraId="69ED0CF0" w14:textId="6DE3D7DC" w:rsidR="00B54D51" w:rsidRPr="00037AD4" w:rsidRDefault="00830480" w:rsidP="001D7ACE">
      <w:pPr>
        <w:rPr>
          <w:rFonts w:asciiTheme="minorHAnsi" w:hAnsiTheme="minorHAnsi" w:cstheme="minorHAnsi"/>
          <w:u w:val="single"/>
        </w:rPr>
      </w:pPr>
      <w:r w:rsidRPr="00037AD4">
        <w:rPr>
          <w:rFonts w:asciiTheme="minorHAnsi" w:hAnsiTheme="minorHAnsi" w:cstheme="minorHAnsi"/>
          <w:b/>
          <w:bCs/>
          <w:noProof/>
          <w:lang w:eastAsia="zh-CN"/>
        </w:rPr>
        <w:drawing>
          <wp:inline distT="0" distB="0" distL="0" distR="0" wp14:anchorId="58DD0423" wp14:editId="31F49E3D">
            <wp:extent cx="4172848" cy="3034800"/>
            <wp:effectExtent l="0" t="0" r="5715" b="635"/>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4172848" cy="3034800"/>
                    </a:xfrm>
                    <a:prstGeom prst="rect">
                      <a:avLst/>
                    </a:prstGeom>
                  </pic:spPr>
                </pic:pic>
              </a:graphicData>
            </a:graphic>
          </wp:inline>
        </w:drawing>
      </w:r>
    </w:p>
    <w:p w14:paraId="46164C7F" w14:textId="77777777" w:rsidR="00B54D51" w:rsidRPr="00037AD4" w:rsidRDefault="00B54D51" w:rsidP="001D7ACE">
      <w:pPr>
        <w:rPr>
          <w:rFonts w:asciiTheme="minorHAnsi" w:hAnsiTheme="minorHAnsi" w:cstheme="minorHAnsi"/>
          <w:u w:val="single"/>
        </w:rPr>
      </w:pPr>
    </w:p>
    <w:p w14:paraId="608180E5" w14:textId="77777777" w:rsidR="00B54D51" w:rsidRPr="00037AD4" w:rsidRDefault="00B54D51" w:rsidP="007A43F9">
      <w:pPr>
        <w:pStyle w:val="Heading2"/>
      </w:pPr>
      <w:bookmarkStart w:id="519" w:name="A56"/>
      <w:bookmarkStart w:id="520" w:name="_Toc175742414"/>
      <w:r w:rsidRPr="00037AD4">
        <w:t>Appendix 5.6 Change scores of dementia symptom measures</w:t>
      </w:r>
      <w:bookmarkEnd w:id="520"/>
      <w:r w:rsidRPr="00037AD4">
        <w:t xml:space="preserve"> </w:t>
      </w:r>
    </w:p>
    <w:bookmarkEnd w:id="519"/>
    <w:p w14:paraId="633ACC72" w14:textId="77777777" w:rsidR="00B54D51" w:rsidRPr="00037AD4" w:rsidRDefault="00B54D51" w:rsidP="001D7ACE">
      <w:pPr>
        <w:rPr>
          <w:rFonts w:asciiTheme="minorHAnsi" w:hAnsiTheme="minorHAnsi" w:cstheme="minorHAnsi"/>
          <w:b/>
          <w:bCs/>
          <w:u w:val="single"/>
        </w:rPr>
      </w:pPr>
    </w:p>
    <w:p w14:paraId="61C229E6" w14:textId="77777777" w:rsidR="00B54D51" w:rsidRPr="00037AD4" w:rsidRDefault="00B54D51" w:rsidP="001D7ACE">
      <w:pPr>
        <w:rPr>
          <w:rFonts w:asciiTheme="minorHAnsi" w:hAnsiTheme="minorHAnsi" w:cstheme="minorHAnsi"/>
        </w:rPr>
      </w:pPr>
      <w:r w:rsidRPr="00037AD4">
        <w:rPr>
          <w:rFonts w:asciiTheme="minorHAnsi" w:hAnsiTheme="minorHAnsi" w:cstheme="minorHAnsi"/>
        </w:rPr>
        <w:t xml:space="preserve">The data for CDR change is limited to that from the EPIC and ACTIFCARE studies as the REMCARE study collected CDR at baseline only (as an eligibility criteria check). As shown in Figure A5.6a, ~60% of PwD’s dementia severity status has remained stable from T0 to T2, however over 33% have experienced dementia progression within this timeframe. </w:t>
      </w:r>
    </w:p>
    <w:p w14:paraId="70CE3963" w14:textId="77777777" w:rsidR="00B54D51" w:rsidRPr="00037AD4" w:rsidRDefault="00B54D51" w:rsidP="001D7ACE">
      <w:pPr>
        <w:rPr>
          <w:rFonts w:asciiTheme="minorHAnsi" w:hAnsiTheme="minorHAnsi" w:cstheme="minorHAnsi"/>
        </w:rPr>
      </w:pPr>
    </w:p>
    <w:p w14:paraId="327C8D31" w14:textId="77777777" w:rsidR="00B54D51" w:rsidRPr="00037AD4" w:rsidRDefault="00B54D51" w:rsidP="001D7ACE">
      <w:pPr>
        <w:rPr>
          <w:rFonts w:asciiTheme="minorHAnsi" w:hAnsiTheme="minorHAnsi" w:cstheme="minorHAnsi"/>
        </w:rPr>
      </w:pPr>
    </w:p>
    <w:p w14:paraId="6F415EF3" w14:textId="77777777" w:rsidR="00B54D51" w:rsidRPr="00037AD4" w:rsidRDefault="00B54D51" w:rsidP="001D7ACE">
      <w:pPr>
        <w:rPr>
          <w:rFonts w:asciiTheme="minorHAnsi" w:hAnsiTheme="minorHAnsi" w:cstheme="minorHAnsi"/>
        </w:rPr>
      </w:pPr>
    </w:p>
    <w:p w14:paraId="39E47B6D" w14:textId="77777777" w:rsidR="00B54D51" w:rsidRPr="00037AD4" w:rsidRDefault="00B54D51" w:rsidP="001D7ACE">
      <w:pPr>
        <w:rPr>
          <w:rFonts w:asciiTheme="minorHAnsi" w:hAnsiTheme="minorHAnsi" w:cstheme="minorHAnsi"/>
        </w:rPr>
      </w:pPr>
    </w:p>
    <w:p w14:paraId="0D5FD4D9" w14:textId="77777777" w:rsidR="00B54D51" w:rsidRPr="00037AD4" w:rsidRDefault="00B54D51" w:rsidP="001D7ACE">
      <w:pPr>
        <w:rPr>
          <w:rFonts w:asciiTheme="minorHAnsi" w:hAnsiTheme="minorHAnsi" w:cstheme="minorHAnsi"/>
        </w:rPr>
      </w:pPr>
    </w:p>
    <w:p w14:paraId="307550EA" w14:textId="77777777" w:rsidR="00B54D51" w:rsidRPr="00037AD4" w:rsidRDefault="00B54D51" w:rsidP="001D7ACE">
      <w:pPr>
        <w:rPr>
          <w:rFonts w:asciiTheme="minorHAnsi" w:hAnsiTheme="minorHAnsi" w:cstheme="minorHAnsi"/>
        </w:rPr>
      </w:pPr>
    </w:p>
    <w:p w14:paraId="1FADF0CF" w14:textId="77777777" w:rsidR="00B54D51" w:rsidRPr="00037AD4" w:rsidRDefault="00B54D51" w:rsidP="001D7ACE">
      <w:pPr>
        <w:rPr>
          <w:rFonts w:asciiTheme="minorHAnsi" w:hAnsiTheme="minorHAnsi" w:cstheme="minorHAnsi"/>
          <w:u w:val="single"/>
        </w:rPr>
      </w:pPr>
      <w:r w:rsidRPr="00037AD4">
        <w:rPr>
          <w:rFonts w:asciiTheme="minorHAnsi" w:hAnsiTheme="minorHAnsi" w:cstheme="minorHAnsi"/>
          <w:u w:val="single"/>
        </w:rPr>
        <w:t xml:space="preserve">Figure A5.6a, Direction of CDR change from T0 to T2  </w:t>
      </w:r>
    </w:p>
    <w:p w14:paraId="6EFBF9D5" w14:textId="77777777" w:rsidR="00B54D51" w:rsidRPr="00037AD4" w:rsidRDefault="00B54D51" w:rsidP="001D7ACE">
      <w:pPr>
        <w:rPr>
          <w:rFonts w:asciiTheme="minorHAnsi" w:hAnsiTheme="minorHAnsi" w:cstheme="minorHAnsi"/>
        </w:rPr>
      </w:pPr>
    </w:p>
    <w:p w14:paraId="53AC48E7" w14:textId="77777777" w:rsidR="00B54D51" w:rsidRPr="00037AD4" w:rsidRDefault="00B54D51" w:rsidP="001D7ACE">
      <w:pPr>
        <w:rPr>
          <w:rFonts w:asciiTheme="minorHAnsi" w:hAnsiTheme="minorHAnsi" w:cstheme="minorHAnsi"/>
        </w:rPr>
      </w:pPr>
      <w:r w:rsidRPr="00037AD4">
        <w:rPr>
          <w:rFonts w:asciiTheme="minorHAnsi" w:hAnsiTheme="minorHAnsi" w:cstheme="minorHAnsi"/>
          <w:noProof/>
          <w:lang w:eastAsia="zh-CN"/>
        </w:rPr>
        <w:drawing>
          <wp:inline distT="0" distB="0" distL="0" distR="0" wp14:anchorId="769AA8FF" wp14:editId="26523819">
            <wp:extent cx="4464000" cy="2448000"/>
            <wp:effectExtent l="0" t="0" r="6985" b="15875"/>
            <wp:docPr id="186" name="Chart 186">
              <a:extLst xmlns:a="http://schemas.openxmlformats.org/drawingml/2006/main">
                <a:ext uri="{FF2B5EF4-FFF2-40B4-BE49-F238E27FC236}">
                  <a16:creationId xmlns:a16="http://schemas.microsoft.com/office/drawing/2014/main" id="{1472FB22-D58C-2992-E48B-A82661D694E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14:paraId="1375AEBF" w14:textId="77777777" w:rsidR="00B54D51" w:rsidRPr="00037AD4" w:rsidRDefault="00B54D51" w:rsidP="001D7ACE">
      <w:pPr>
        <w:rPr>
          <w:rFonts w:asciiTheme="minorHAnsi" w:hAnsiTheme="minorHAnsi" w:cstheme="minorHAnsi"/>
        </w:rPr>
      </w:pPr>
    </w:p>
    <w:p w14:paraId="24BD8D49" w14:textId="77777777" w:rsidR="00B54D51" w:rsidRPr="00037AD4" w:rsidRDefault="00B54D51" w:rsidP="001D7ACE">
      <w:pPr>
        <w:rPr>
          <w:rFonts w:asciiTheme="minorHAnsi" w:hAnsiTheme="minorHAnsi" w:cstheme="minorHAnsi"/>
        </w:rPr>
      </w:pPr>
      <w:r w:rsidRPr="00037AD4">
        <w:rPr>
          <w:rFonts w:asciiTheme="minorHAnsi" w:hAnsiTheme="minorHAnsi" w:cstheme="minorHAnsi"/>
        </w:rPr>
        <w:t xml:space="preserve">Functional status change over time was estimated by generating a variable for change in the function measures for both of the EQ-5D-5L studies separately, and then merging these variables together (because the studies collected a different functional measure). As shown in Figure A5.6b, &gt;50% of PwD’s function has worsening between T0 and T2. </w:t>
      </w:r>
    </w:p>
    <w:p w14:paraId="16E1F054" w14:textId="77777777" w:rsidR="00B54D51" w:rsidRPr="00037AD4" w:rsidRDefault="00B54D51" w:rsidP="001D7ACE">
      <w:pPr>
        <w:rPr>
          <w:rFonts w:asciiTheme="minorHAnsi" w:hAnsiTheme="minorHAnsi" w:cstheme="minorHAnsi"/>
        </w:rPr>
      </w:pPr>
    </w:p>
    <w:p w14:paraId="74CD92F1" w14:textId="77777777" w:rsidR="00B54D51" w:rsidRPr="00037AD4" w:rsidRDefault="00B54D51" w:rsidP="001D7ACE">
      <w:pPr>
        <w:rPr>
          <w:rFonts w:asciiTheme="minorHAnsi" w:hAnsiTheme="minorHAnsi" w:cstheme="minorHAnsi"/>
          <w:u w:val="single"/>
        </w:rPr>
      </w:pPr>
      <w:r w:rsidRPr="00037AD4">
        <w:rPr>
          <w:rFonts w:asciiTheme="minorHAnsi" w:hAnsiTheme="minorHAnsi" w:cstheme="minorHAnsi"/>
          <w:u w:val="single"/>
        </w:rPr>
        <w:t xml:space="preserve">Figure A5.6b, Direction of functional status change from T0 to T2 </w:t>
      </w:r>
    </w:p>
    <w:p w14:paraId="0D8B0BE2" w14:textId="77777777" w:rsidR="00B54D51" w:rsidRPr="00037AD4" w:rsidRDefault="00B54D51" w:rsidP="001D7ACE">
      <w:pPr>
        <w:rPr>
          <w:rFonts w:asciiTheme="minorHAnsi" w:hAnsiTheme="minorHAnsi" w:cstheme="minorHAnsi"/>
        </w:rPr>
      </w:pPr>
    </w:p>
    <w:p w14:paraId="2A5398F9" w14:textId="77777777" w:rsidR="00B54D51" w:rsidRPr="00037AD4" w:rsidRDefault="00B54D51" w:rsidP="001D7ACE">
      <w:pPr>
        <w:rPr>
          <w:rFonts w:asciiTheme="minorHAnsi" w:hAnsiTheme="minorHAnsi" w:cstheme="minorHAnsi"/>
        </w:rPr>
      </w:pPr>
      <w:r w:rsidRPr="00037AD4">
        <w:rPr>
          <w:rFonts w:asciiTheme="minorHAnsi" w:hAnsiTheme="minorHAnsi" w:cstheme="minorHAnsi"/>
          <w:noProof/>
        </w:rPr>
        <w:drawing>
          <wp:inline distT="0" distB="0" distL="0" distR="0" wp14:anchorId="3B3EDB7E" wp14:editId="75774464">
            <wp:extent cx="4464000" cy="2448000"/>
            <wp:effectExtent l="0" t="0" r="6985" b="15875"/>
            <wp:docPr id="187" name="Chart 187">
              <a:extLst xmlns:a="http://schemas.openxmlformats.org/drawingml/2006/main">
                <a:ext uri="{FF2B5EF4-FFF2-40B4-BE49-F238E27FC236}">
                  <a16:creationId xmlns:a16="http://schemas.microsoft.com/office/drawing/2014/main" id="{0A0AC5B2-B9FF-C036-215E-1E63EFDE530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14:paraId="642040F3" w14:textId="77777777" w:rsidR="00B54D51" w:rsidRPr="00037AD4" w:rsidRDefault="00B54D51" w:rsidP="001D7ACE">
      <w:pPr>
        <w:rPr>
          <w:rFonts w:asciiTheme="minorHAnsi" w:hAnsiTheme="minorHAnsi" w:cstheme="minorHAnsi"/>
        </w:rPr>
      </w:pPr>
    </w:p>
    <w:p w14:paraId="4468A8D5" w14:textId="77777777" w:rsidR="00B54D51" w:rsidRPr="00037AD4" w:rsidRDefault="00B54D51" w:rsidP="001D7ACE">
      <w:pPr>
        <w:rPr>
          <w:rFonts w:asciiTheme="minorHAnsi" w:hAnsiTheme="minorHAnsi" w:cstheme="minorHAnsi"/>
        </w:rPr>
      </w:pPr>
      <w:r w:rsidRPr="00037AD4">
        <w:rPr>
          <w:rFonts w:asciiTheme="minorHAnsi" w:hAnsiTheme="minorHAnsi" w:cstheme="minorHAnsi"/>
        </w:rPr>
        <w:t xml:space="preserve">Behaviour/mood status change was generated in the same way – by merging NPI data from the two EQ-5D-5L studies. As shown in Figure A5.6c, &lt;10% of PwD’s behaviour/mood status remained constant, whereas there is an equal split of PwD whose behaviour/mood has worsened or has improved over this timeframe. </w:t>
      </w:r>
    </w:p>
    <w:p w14:paraId="7E21C532" w14:textId="77777777" w:rsidR="00B54D51" w:rsidRPr="00037AD4" w:rsidRDefault="00B54D51" w:rsidP="001D7ACE">
      <w:pPr>
        <w:rPr>
          <w:rFonts w:asciiTheme="minorHAnsi" w:hAnsiTheme="minorHAnsi" w:cstheme="minorHAnsi"/>
        </w:rPr>
      </w:pPr>
    </w:p>
    <w:p w14:paraId="70971CDA" w14:textId="77777777" w:rsidR="00B54D51" w:rsidRPr="00037AD4" w:rsidRDefault="00B54D51" w:rsidP="001D7ACE">
      <w:pPr>
        <w:rPr>
          <w:rFonts w:asciiTheme="minorHAnsi" w:hAnsiTheme="minorHAnsi" w:cstheme="minorHAnsi"/>
        </w:rPr>
      </w:pPr>
    </w:p>
    <w:p w14:paraId="703AC39D" w14:textId="77777777" w:rsidR="00B54D51" w:rsidRPr="00037AD4" w:rsidRDefault="00B54D51" w:rsidP="001D7ACE">
      <w:pPr>
        <w:rPr>
          <w:rFonts w:asciiTheme="minorHAnsi" w:hAnsiTheme="minorHAnsi" w:cstheme="minorHAnsi"/>
        </w:rPr>
      </w:pPr>
    </w:p>
    <w:p w14:paraId="196F57F2" w14:textId="77777777" w:rsidR="00B54D51" w:rsidRPr="00037AD4" w:rsidRDefault="00B54D51" w:rsidP="001D7ACE">
      <w:pPr>
        <w:rPr>
          <w:rFonts w:asciiTheme="minorHAnsi" w:hAnsiTheme="minorHAnsi" w:cstheme="minorHAnsi"/>
        </w:rPr>
      </w:pPr>
    </w:p>
    <w:p w14:paraId="5F8DA6C5" w14:textId="77777777" w:rsidR="00B54D51" w:rsidRPr="00037AD4" w:rsidRDefault="00B54D51" w:rsidP="001D7ACE">
      <w:pPr>
        <w:rPr>
          <w:rFonts w:asciiTheme="minorHAnsi" w:hAnsiTheme="minorHAnsi" w:cstheme="minorHAnsi"/>
          <w:u w:val="single"/>
        </w:rPr>
      </w:pPr>
      <w:r w:rsidRPr="00037AD4">
        <w:rPr>
          <w:rFonts w:asciiTheme="minorHAnsi" w:hAnsiTheme="minorHAnsi" w:cstheme="minorHAnsi"/>
          <w:u w:val="single"/>
        </w:rPr>
        <w:lastRenderedPageBreak/>
        <w:t xml:space="preserve">Figure A5.6c, Direction of behaviour/mood status change from T0 to T2 </w:t>
      </w:r>
    </w:p>
    <w:p w14:paraId="5843B4D2" w14:textId="77777777" w:rsidR="00B54D51" w:rsidRPr="00037AD4" w:rsidRDefault="00B54D51" w:rsidP="001D7ACE">
      <w:pPr>
        <w:rPr>
          <w:rFonts w:asciiTheme="minorHAnsi" w:hAnsiTheme="minorHAnsi" w:cstheme="minorHAnsi"/>
        </w:rPr>
      </w:pPr>
    </w:p>
    <w:p w14:paraId="387CD3A7" w14:textId="77777777" w:rsidR="00B54D51" w:rsidRPr="00037AD4" w:rsidRDefault="00B54D51" w:rsidP="001D7ACE">
      <w:pPr>
        <w:rPr>
          <w:rFonts w:asciiTheme="minorHAnsi" w:hAnsiTheme="minorHAnsi" w:cstheme="minorHAnsi"/>
        </w:rPr>
      </w:pPr>
      <w:r w:rsidRPr="00037AD4">
        <w:rPr>
          <w:rFonts w:asciiTheme="minorHAnsi" w:hAnsiTheme="minorHAnsi" w:cstheme="minorHAnsi"/>
          <w:noProof/>
        </w:rPr>
        <w:drawing>
          <wp:inline distT="0" distB="0" distL="0" distR="0" wp14:anchorId="7B87A570" wp14:editId="1DE2B64C">
            <wp:extent cx="4457700" cy="2448000"/>
            <wp:effectExtent l="0" t="0" r="12700" b="15875"/>
            <wp:docPr id="188" name="Chart 188">
              <a:extLst xmlns:a="http://schemas.openxmlformats.org/drawingml/2006/main">
                <a:ext uri="{FF2B5EF4-FFF2-40B4-BE49-F238E27FC236}">
                  <a16:creationId xmlns:a16="http://schemas.microsoft.com/office/drawing/2014/main" id="{D13EB67F-6AF3-B3DA-2114-67B9EF14C63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14:paraId="27D06EB5" w14:textId="77777777" w:rsidR="00B54D51" w:rsidRPr="00037AD4" w:rsidRDefault="00B54D51" w:rsidP="001D7ACE">
      <w:pPr>
        <w:rPr>
          <w:rFonts w:asciiTheme="minorHAnsi" w:hAnsiTheme="minorHAnsi" w:cstheme="minorHAnsi"/>
        </w:rPr>
      </w:pPr>
    </w:p>
    <w:p w14:paraId="0233E2B6" w14:textId="77777777" w:rsidR="00B54D51" w:rsidRPr="00037AD4" w:rsidRDefault="00B54D51" w:rsidP="001D7ACE">
      <w:pPr>
        <w:rPr>
          <w:rFonts w:asciiTheme="minorHAnsi" w:hAnsiTheme="minorHAnsi" w:cstheme="minorHAnsi"/>
        </w:rPr>
      </w:pPr>
      <w:r w:rsidRPr="00037AD4">
        <w:rPr>
          <w:rFonts w:asciiTheme="minorHAnsi" w:hAnsiTheme="minorHAnsi" w:cstheme="minorHAnsi"/>
        </w:rPr>
        <w:t xml:space="preserve">Cognition was only measured within the REMCARE study; therefore, Figure A5.6d shows the change in cognitive status for this sample only. As shown, the majority of PwD’s (~60%) cognition worsened over this timeframe, although ~30% have experienced an improvement in cognition (which is unexpected). </w:t>
      </w:r>
    </w:p>
    <w:p w14:paraId="1B8D0223" w14:textId="77777777" w:rsidR="00B54D51" w:rsidRPr="00037AD4" w:rsidRDefault="00B54D51" w:rsidP="001D7ACE">
      <w:pPr>
        <w:rPr>
          <w:rFonts w:asciiTheme="minorHAnsi" w:hAnsiTheme="minorHAnsi" w:cstheme="minorHAnsi"/>
        </w:rPr>
      </w:pPr>
    </w:p>
    <w:p w14:paraId="0B97BE08" w14:textId="77777777" w:rsidR="00B54D51" w:rsidRPr="00037AD4" w:rsidRDefault="00B54D51" w:rsidP="001D7ACE">
      <w:pPr>
        <w:rPr>
          <w:rFonts w:asciiTheme="minorHAnsi" w:hAnsiTheme="minorHAnsi" w:cstheme="minorHAnsi"/>
          <w:u w:val="single"/>
        </w:rPr>
      </w:pPr>
      <w:r w:rsidRPr="00037AD4">
        <w:rPr>
          <w:rFonts w:asciiTheme="minorHAnsi" w:hAnsiTheme="minorHAnsi" w:cstheme="minorHAnsi"/>
          <w:u w:val="single"/>
        </w:rPr>
        <w:t xml:space="preserve">Figure A5.6d, Direction of cognitive status change from T0 to T2 </w:t>
      </w:r>
    </w:p>
    <w:p w14:paraId="5761DDB2" w14:textId="77777777" w:rsidR="00B54D51" w:rsidRPr="00037AD4" w:rsidRDefault="00B54D51" w:rsidP="001D7ACE">
      <w:pPr>
        <w:rPr>
          <w:rFonts w:cstheme="minorHAnsi"/>
        </w:rPr>
      </w:pPr>
    </w:p>
    <w:p w14:paraId="6082D69F" w14:textId="77777777" w:rsidR="00B54D51" w:rsidRPr="00037AD4" w:rsidRDefault="00B54D51" w:rsidP="001D7ACE">
      <w:pPr>
        <w:rPr>
          <w:rFonts w:cstheme="minorHAnsi"/>
        </w:rPr>
      </w:pPr>
      <w:r w:rsidRPr="00037AD4">
        <w:rPr>
          <w:rFonts w:cstheme="minorHAnsi"/>
          <w:noProof/>
          <w:lang w:eastAsia="zh-CN"/>
        </w:rPr>
        <w:drawing>
          <wp:inline distT="0" distB="0" distL="0" distR="0" wp14:anchorId="1D7837C9" wp14:editId="2800DA03">
            <wp:extent cx="4464000" cy="2444400"/>
            <wp:effectExtent l="0" t="0" r="6985" b="6985"/>
            <wp:docPr id="189" name="Chart 189">
              <a:extLst xmlns:a="http://schemas.openxmlformats.org/drawingml/2006/main">
                <a:ext uri="{FF2B5EF4-FFF2-40B4-BE49-F238E27FC236}">
                  <a16:creationId xmlns:a16="http://schemas.microsoft.com/office/drawing/2014/main" id="{E3E9354E-F46F-6948-0805-40BBA5CF989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14:paraId="16706D41" w14:textId="77777777" w:rsidR="00B54D51" w:rsidRPr="00037AD4" w:rsidRDefault="00B54D51" w:rsidP="001D7ACE">
      <w:pPr>
        <w:rPr>
          <w:rFonts w:cstheme="minorHAnsi"/>
          <w:u w:val="single"/>
        </w:rPr>
      </w:pPr>
    </w:p>
    <w:p w14:paraId="721C01C5" w14:textId="77777777" w:rsidR="00B54D51" w:rsidRPr="00037AD4" w:rsidRDefault="00B54D51" w:rsidP="001D7ACE">
      <w:pPr>
        <w:rPr>
          <w:rFonts w:cstheme="minorHAnsi"/>
          <w:u w:val="single"/>
        </w:rPr>
      </w:pPr>
    </w:p>
    <w:p w14:paraId="377CD462" w14:textId="77777777" w:rsidR="00B54D51" w:rsidRPr="00037AD4" w:rsidRDefault="00B54D51" w:rsidP="001D7ACE">
      <w:pPr>
        <w:rPr>
          <w:rFonts w:cstheme="minorHAnsi"/>
          <w:u w:val="single"/>
        </w:rPr>
      </w:pPr>
    </w:p>
    <w:p w14:paraId="4AEC8A25" w14:textId="77777777" w:rsidR="00B54D51" w:rsidRPr="00037AD4" w:rsidRDefault="00B54D51" w:rsidP="001D7ACE">
      <w:pPr>
        <w:rPr>
          <w:rFonts w:cstheme="minorHAnsi"/>
          <w:u w:val="single"/>
        </w:rPr>
      </w:pPr>
    </w:p>
    <w:p w14:paraId="6F7C7F69" w14:textId="77777777" w:rsidR="00B54D51" w:rsidRPr="00037AD4" w:rsidRDefault="00B54D51" w:rsidP="001D7ACE">
      <w:pPr>
        <w:rPr>
          <w:rFonts w:cstheme="minorHAnsi"/>
          <w:u w:val="single"/>
        </w:rPr>
      </w:pPr>
    </w:p>
    <w:p w14:paraId="1630D469" w14:textId="77777777" w:rsidR="00B54D51" w:rsidRPr="00037AD4" w:rsidRDefault="00B54D51" w:rsidP="001D7ACE">
      <w:pPr>
        <w:rPr>
          <w:rFonts w:cstheme="minorHAnsi"/>
          <w:u w:val="single"/>
        </w:rPr>
      </w:pPr>
    </w:p>
    <w:p w14:paraId="6A517DF5" w14:textId="77777777" w:rsidR="00B54D51" w:rsidRPr="00037AD4" w:rsidRDefault="00B54D51" w:rsidP="001D7ACE">
      <w:pPr>
        <w:rPr>
          <w:rFonts w:cstheme="minorHAnsi"/>
          <w:u w:val="single"/>
        </w:rPr>
      </w:pPr>
    </w:p>
    <w:p w14:paraId="535A1A96" w14:textId="77777777" w:rsidR="00B54D51" w:rsidRPr="00037AD4" w:rsidRDefault="00B54D51" w:rsidP="001D7ACE">
      <w:pPr>
        <w:rPr>
          <w:rFonts w:cstheme="minorHAnsi"/>
          <w:u w:val="single"/>
        </w:rPr>
      </w:pPr>
    </w:p>
    <w:p w14:paraId="42BACCA0" w14:textId="77777777" w:rsidR="00B54D51" w:rsidRPr="00037AD4" w:rsidRDefault="00B54D51" w:rsidP="001D7ACE">
      <w:pPr>
        <w:rPr>
          <w:rFonts w:cstheme="minorHAnsi"/>
          <w:u w:val="single"/>
        </w:rPr>
      </w:pPr>
    </w:p>
    <w:p w14:paraId="1348F1B1" w14:textId="77777777" w:rsidR="00B54D51" w:rsidRPr="00037AD4" w:rsidRDefault="00B54D51" w:rsidP="001D7ACE">
      <w:pPr>
        <w:rPr>
          <w:rFonts w:cstheme="minorHAnsi"/>
          <w:u w:val="single"/>
        </w:rPr>
      </w:pPr>
    </w:p>
    <w:p w14:paraId="706CC56D" w14:textId="77777777" w:rsidR="00B54D51" w:rsidRPr="00037AD4" w:rsidRDefault="00B54D51" w:rsidP="001D7ACE">
      <w:pPr>
        <w:rPr>
          <w:rFonts w:cstheme="minorHAnsi"/>
          <w:u w:val="single"/>
        </w:rPr>
      </w:pPr>
    </w:p>
    <w:p w14:paraId="17DED44C" w14:textId="77777777" w:rsidR="00B54D51" w:rsidRPr="00037AD4" w:rsidRDefault="00B54D51" w:rsidP="007A43F9">
      <w:pPr>
        <w:pStyle w:val="Heading2"/>
      </w:pPr>
      <w:bookmarkStart w:id="521" w:name="A57"/>
      <w:bookmarkStart w:id="522" w:name="_Toc175742415"/>
      <w:r w:rsidRPr="00037AD4">
        <w:lastRenderedPageBreak/>
        <w:t>Appendix 5.7 PPIE session two feedback and notes</w:t>
      </w:r>
      <w:bookmarkEnd w:id="522"/>
      <w:r w:rsidRPr="00037AD4">
        <w:t xml:space="preserve"> </w:t>
      </w:r>
      <w:bookmarkEnd w:id="521"/>
    </w:p>
    <w:p w14:paraId="5A831816" w14:textId="77777777" w:rsidR="00B54D51" w:rsidRPr="00037AD4" w:rsidRDefault="00B54D51" w:rsidP="001D7ACE">
      <w:pPr>
        <w:rPr>
          <w:rFonts w:cstheme="minorHAnsi"/>
          <w:u w:val="single"/>
        </w:rPr>
      </w:pPr>
    </w:p>
    <w:p w14:paraId="723FF1D6" w14:textId="77777777" w:rsidR="00B54D51" w:rsidRPr="00037AD4" w:rsidRDefault="00B54D51" w:rsidP="001D7ACE">
      <w:pPr>
        <w:jc w:val="center"/>
        <w:rPr>
          <w:rFonts w:ascii="Arial" w:hAnsi="Arial" w:cs="Arial"/>
          <w:b/>
          <w:bCs/>
        </w:rPr>
      </w:pPr>
      <w:r w:rsidRPr="00037AD4">
        <w:rPr>
          <w:rFonts w:ascii="Arial" w:hAnsi="Arial" w:cs="Arial"/>
          <w:b/>
          <w:bCs/>
        </w:rPr>
        <w:t>Hannah Hussain – Quality of Life in Dementia</w:t>
      </w:r>
    </w:p>
    <w:p w14:paraId="1A2D8386" w14:textId="77777777" w:rsidR="00B54D51" w:rsidRPr="00037AD4" w:rsidRDefault="00B54D51" w:rsidP="001D7ACE">
      <w:pPr>
        <w:jc w:val="center"/>
        <w:rPr>
          <w:rFonts w:ascii="Arial" w:hAnsi="Arial" w:cs="Arial"/>
          <w:b/>
          <w:bCs/>
        </w:rPr>
      </w:pPr>
      <w:r w:rsidRPr="00037AD4">
        <w:rPr>
          <w:rFonts w:ascii="Arial" w:hAnsi="Arial" w:cs="Arial"/>
          <w:b/>
          <w:bCs/>
        </w:rPr>
        <w:t>Feedback from the DRAiSY PPI panel Thursday 14</w:t>
      </w:r>
      <w:r w:rsidRPr="00037AD4">
        <w:rPr>
          <w:rFonts w:ascii="Arial" w:hAnsi="Arial" w:cs="Arial"/>
          <w:b/>
          <w:bCs/>
          <w:vertAlign w:val="superscript"/>
        </w:rPr>
        <w:t>th</w:t>
      </w:r>
      <w:r w:rsidRPr="00037AD4">
        <w:rPr>
          <w:rFonts w:ascii="Arial" w:hAnsi="Arial" w:cs="Arial"/>
          <w:b/>
          <w:bCs/>
        </w:rPr>
        <w:t xml:space="preserve"> December 2023</w:t>
      </w:r>
    </w:p>
    <w:p w14:paraId="5F1B6AFE" w14:textId="77777777" w:rsidR="00B54D51" w:rsidRPr="00037AD4" w:rsidRDefault="00B54D51" w:rsidP="001D7ACE">
      <w:pPr>
        <w:ind w:left="1440" w:hanging="1440"/>
        <w:rPr>
          <w:rFonts w:ascii="Arial" w:hAnsi="Arial" w:cs="Arial"/>
          <w:b/>
          <w:bCs/>
        </w:rPr>
      </w:pPr>
    </w:p>
    <w:p w14:paraId="39E47EC5" w14:textId="77777777" w:rsidR="00B54D51" w:rsidRPr="00037AD4" w:rsidRDefault="00B54D51" w:rsidP="001D7ACE">
      <w:pPr>
        <w:contextualSpacing/>
        <w:rPr>
          <w:rFonts w:ascii="Arial" w:hAnsi="Arial" w:cs="Arial"/>
          <w:b/>
          <w:bCs/>
        </w:rPr>
      </w:pPr>
      <w:r w:rsidRPr="00037AD4">
        <w:rPr>
          <w:rFonts w:ascii="Arial" w:hAnsi="Arial" w:cs="Arial"/>
          <w:b/>
          <w:bCs/>
        </w:rPr>
        <w:t>The idea of using a proxy to help complete the questionnaire came from the DRAiSY panel.  Does the group still think this is a good idea?</w:t>
      </w:r>
    </w:p>
    <w:p w14:paraId="0DE02602" w14:textId="77777777" w:rsidR="00B54D51" w:rsidRPr="00037AD4" w:rsidRDefault="00B54D51" w:rsidP="001D7ACE">
      <w:pPr>
        <w:contextualSpacing/>
        <w:rPr>
          <w:rFonts w:ascii="Arial" w:hAnsi="Arial" w:cs="Arial"/>
          <w:b/>
          <w:bCs/>
        </w:rPr>
      </w:pPr>
    </w:p>
    <w:p w14:paraId="6B1ED76B" w14:textId="77777777" w:rsidR="00B54D51" w:rsidRPr="00037AD4" w:rsidRDefault="00B54D51" w:rsidP="001D7ACE">
      <w:pPr>
        <w:contextualSpacing/>
        <w:rPr>
          <w:rFonts w:ascii="Arial" w:hAnsi="Arial" w:cs="Arial"/>
        </w:rPr>
      </w:pPr>
      <w:r w:rsidRPr="00037AD4">
        <w:rPr>
          <w:rFonts w:ascii="Arial" w:hAnsi="Arial" w:cs="Arial"/>
        </w:rPr>
        <w:t>Definitely!  Asking a proxy to complete the questionnaire may be the easiest way to collect the data you require, but the person with dementia should still be central.</w:t>
      </w:r>
    </w:p>
    <w:p w14:paraId="193B02A8" w14:textId="77777777" w:rsidR="00B54D51" w:rsidRPr="00037AD4" w:rsidRDefault="00B54D51" w:rsidP="001D7ACE">
      <w:pPr>
        <w:contextualSpacing/>
        <w:rPr>
          <w:rFonts w:ascii="Arial" w:hAnsi="Arial" w:cs="Arial"/>
        </w:rPr>
      </w:pPr>
    </w:p>
    <w:p w14:paraId="07E1B855" w14:textId="77777777" w:rsidR="00B54D51" w:rsidRPr="00037AD4" w:rsidRDefault="00B54D51" w:rsidP="001D7ACE">
      <w:pPr>
        <w:contextualSpacing/>
        <w:rPr>
          <w:rFonts w:ascii="Arial" w:hAnsi="Arial" w:cs="Arial"/>
        </w:rPr>
      </w:pPr>
      <w:r w:rsidRPr="00037AD4">
        <w:rPr>
          <w:rFonts w:ascii="Arial" w:hAnsi="Arial" w:cs="Arial"/>
        </w:rPr>
        <w:t>The responses must come from the PWD – if non-verbal perhaps they could use picture cards etc?</w:t>
      </w:r>
    </w:p>
    <w:p w14:paraId="79694B6C" w14:textId="77777777" w:rsidR="00B54D51" w:rsidRPr="00037AD4" w:rsidRDefault="00B54D51" w:rsidP="001D7ACE">
      <w:pPr>
        <w:contextualSpacing/>
        <w:rPr>
          <w:rFonts w:ascii="Arial" w:hAnsi="Arial" w:cs="Arial"/>
        </w:rPr>
      </w:pPr>
    </w:p>
    <w:p w14:paraId="577F776D" w14:textId="77777777" w:rsidR="00B54D51" w:rsidRPr="00037AD4" w:rsidRDefault="00B54D51" w:rsidP="001D7ACE">
      <w:pPr>
        <w:contextualSpacing/>
        <w:rPr>
          <w:rFonts w:ascii="Arial" w:hAnsi="Arial" w:cs="Arial"/>
          <w:b/>
          <w:bCs/>
        </w:rPr>
      </w:pPr>
      <w:r w:rsidRPr="00037AD4">
        <w:rPr>
          <w:rFonts w:ascii="Arial" w:hAnsi="Arial" w:cs="Arial"/>
          <w:b/>
          <w:bCs/>
        </w:rPr>
        <w:t>Is it likely to be accurate data if collected via a proxy rather than the PWD themselves?</w:t>
      </w:r>
    </w:p>
    <w:p w14:paraId="501580EA" w14:textId="77777777" w:rsidR="00B54D51" w:rsidRPr="00037AD4" w:rsidRDefault="00B54D51" w:rsidP="001D7ACE">
      <w:pPr>
        <w:contextualSpacing/>
        <w:rPr>
          <w:rFonts w:ascii="Arial" w:hAnsi="Arial" w:cs="Arial"/>
          <w:b/>
          <w:bCs/>
        </w:rPr>
      </w:pPr>
    </w:p>
    <w:p w14:paraId="63FF758F" w14:textId="77777777" w:rsidR="00B54D51" w:rsidRPr="00037AD4" w:rsidRDefault="00B54D51" w:rsidP="001D7ACE">
      <w:pPr>
        <w:contextualSpacing/>
        <w:rPr>
          <w:rFonts w:ascii="Arial" w:hAnsi="Arial" w:cs="Arial"/>
        </w:rPr>
      </w:pPr>
      <w:r w:rsidRPr="00037AD4">
        <w:rPr>
          <w:rFonts w:ascii="Arial" w:hAnsi="Arial" w:cs="Arial"/>
        </w:rPr>
        <w:t>If a close relative, then yes.</w:t>
      </w:r>
    </w:p>
    <w:p w14:paraId="5A4DE602" w14:textId="77777777" w:rsidR="00B54D51" w:rsidRPr="00037AD4" w:rsidRDefault="00B54D51" w:rsidP="001D7ACE">
      <w:pPr>
        <w:contextualSpacing/>
        <w:rPr>
          <w:rFonts w:ascii="Arial" w:hAnsi="Arial" w:cs="Arial"/>
        </w:rPr>
      </w:pPr>
    </w:p>
    <w:p w14:paraId="797DCC9D" w14:textId="77777777" w:rsidR="00B54D51" w:rsidRPr="00037AD4" w:rsidRDefault="00B54D51" w:rsidP="001D7ACE">
      <w:pPr>
        <w:contextualSpacing/>
        <w:rPr>
          <w:rFonts w:ascii="Arial" w:hAnsi="Arial" w:cs="Arial"/>
        </w:rPr>
      </w:pPr>
      <w:r w:rsidRPr="00037AD4">
        <w:rPr>
          <w:rFonts w:ascii="Arial" w:hAnsi="Arial" w:cs="Arial"/>
        </w:rPr>
        <w:t>The person with dementia might report on what they USED to do or how they WOULD LIKE to be, rather than the reality.  For example, they may be unwilling to admit that they can no longer perform everyday activities such as personal care.</w:t>
      </w:r>
    </w:p>
    <w:p w14:paraId="6A1FA6D5" w14:textId="77777777" w:rsidR="00B54D51" w:rsidRPr="00037AD4" w:rsidRDefault="00B54D51" w:rsidP="001D7ACE">
      <w:pPr>
        <w:contextualSpacing/>
        <w:rPr>
          <w:rFonts w:ascii="Arial" w:hAnsi="Arial" w:cs="Arial"/>
        </w:rPr>
      </w:pPr>
    </w:p>
    <w:p w14:paraId="5B5026B3" w14:textId="77777777" w:rsidR="00B54D51" w:rsidRPr="00037AD4" w:rsidRDefault="00B54D51" w:rsidP="001D7ACE">
      <w:pPr>
        <w:contextualSpacing/>
        <w:rPr>
          <w:rFonts w:ascii="Arial" w:hAnsi="Arial" w:cs="Arial"/>
        </w:rPr>
      </w:pPr>
      <w:r w:rsidRPr="00037AD4">
        <w:rPr>
          <w:rFonts w:ascii="Arial" w:hAnsi="Arial" w:cs="Arial"/>
        </w:rPr>
        <w:t>Does it need to be an either/or proxy or carer?  Could you use a combination of both?</w:t>
      </w:r>
    </w:p>
    <w:p w14:paraId="2CE97B64" w14:textId="77777777" w:rsidR="00B54D51" w:rsidRPr="00037AD4" w:rsidRDefault="00B54D51" w:rsidP="001D7ACE">
      <w:pPr>
        <w:contextualSpacing/>
        <w:rPr>
          <w:rFonts w:ascii="Arial" w:hAnsi="Arial" w:cs="Arial"/>
        </w:rPr>
      </w:pPr>
    </w:p>
    <w:p w14:paraId="142F876B" w14:textId="77777777" w:rsidR="00B54D51" w:rsidRPr="00037AD4" w:rsidRDefault="00B54D51" w:rsidP="001D7ACE">
      <w:pPr>
        <w:contextualSpacing/>
        <w:rPr>
          <w:rFonts w:ascii="Arial" w:hAnsi="Arial" w:cs="Arial"/>
        </w:rPr>
      </w:pPr>
      <w:r w:rsidRPr="00037AD4">
        <w:rPr>
          <w:rFonts w:ascii="Arial" w:hAnsi="Arial" w:cs="Arial"/>
        </w:rPr>
        <w:t>Carers may provide a more pessimistic view of the situation, depending on their emotional state and what they perceive their burden of care to be.</w:t>
      </w:r>
    </w:p>
    <w:p w14:paraId="7E6AD069" w14:textId="77777777" w:rsidR="00B54D51" w:rsidRPr="00037AD4" w:rsidRDefault="00B54D51" w:rsidP="001D7ACE">
      <w:pPr>
        <w:contextualSpacing/>
        <w:rPr>
          <w:rFonts w:ascii="Arial" w:hAnsi="Arial" w:cs="Arial"/>
        </w:rPr>
      </w:pPr>
    </w:p>
    <w:p w14:paraId="62CA435B" w14:textId="77777777" w:rsidR="00B54D51" w:rsidRPr="00037AD4" w:rsidRDefault="00B54D51" w:rsidP="001D7ACE">
      <w:pPr>
        <w:contextualSpacing/>
        <w:rPr>
          <w:rFonts w:ascii="Arial" w:hAnsi="Arial" w:cs="Arial"/>
        </w:rPr>
      </w:pPr>
      <w:r w:rsidRPr="00037AD4">
        <w:rPr>
          <w:rFonts w:ascii="Arial" w:hAnsi="Arial" w:cs="Arial"/>
        </w:rPr>
        <w:t>The PWD needs to be asked a question in the moment – it is possible they may have no concept of the past or a timeline of events relating to themselves.</w:t>
      </w:r>
    </w:p>
    <w:p w14:paraId="0486D39A" w14:textId="77777777" w:rsidR="00B54D51" w:rsidRPr="00037AD4" w:rsidRDefault="00B54D51" w:rsidP="001D7ACE">
      <w:pPr>
        <w:contextualSpacing/>
        <w:rPr>
          <w:rFonts w:ascii="Arial" w:hAnsi="Arial" w:cs="Arial"/>
        </w:rPr>
      </w:pPr>
    </w:p>
    <w:p w14:paraId="437070BE" w14:textId="77777777" w:rsidR="00B54D51" w:rsidRPr="00037AD4" w:rsidRDefault="00B54D51" w:rsidP="001D7ACE">
      <w:pPr>
        <w:contextualSpacing/>
        <w:rPr>
          <w:rFonts w:ascii="Arial" w:hAnsi="Arial" w:cs="Arial"/>
        </w:rPr>
      </w:pPr>
      <w:r w:rsidRPr="00037AD4">
        <w:rPr>
          <w:rFonts w:ascii="Arial" w:hAnsi="Arial" w:cs="Arial"/>
        </w:rPr>
        <w:t>Access to memories can be “a bit wonky” – will you be able to mitigate for this when the questionnaire is being completed?</w:t>
      </w:r>
    </w:p>
    <w:p w14:paraId="4BA212E6" w14:textId="77777777" w:rsidR="00B54D51" w:rsidRPr="00037AD4" w:rsidRDefault="00B54D51" w:rsidP="001D7ACE">
      <w:pPr>
        <w:contextualSpacing/>
        <w:rPr>
          <w:rFonts w:ascii="Arial" w:hAnsi="Arial" w:cs="Arial"/>
        </w:rPr>
      </w:pPr>
    </w:p>
    <w:p w14:paraId="23BBCE49" w14:textId="77777777" w:rsidR="00B54D51" w:rsidRPr="00037AD4" w:rsidRDefault="00B54D51" w:rsidP="001D7ACE">
      <w:pPr>
        <w:contextualSpacing/>
        <w:rPr>
          <w:rFonts w:ascii="Arial" w:hAnsi="Arial" w:cs="Arial"/>
          <w:b/>
          <w:bCs/>
        </w:rPr>
      </w:pPr>
      <w:r w:rsidRPr="00037AD4">
        <w:rPr>
          <w:rFonts w:ascii="Arial" w:hAnsi="Arial" w:cs="Arial"/>
          <w:b/>
          <w:bCs/>
        </w:rPr>
        <w:t>Yes, if the PWD is happy for a close relative to help them complete it.</w:t>
      </w:r>
    </w:p>
    <w:p w14:paraId="76E579FE" w14:textId="77777777" w:rsidR="00B54D51" w:rsidRPr="00037AD4" w:rsidRDefault="00B54D51" w:rsidP="001D7ACE">
      <w:pPr>
        <w:contextualSpacing/>
        <w:rPr>
          <w:rFonts w:ascii="Arial" w:hAnsi="Arial" w:cs="Arial"/>
          <w:b/>
          <w:bCs/>
        </w:rPr>
      </w:pPr>
    </w:p>
    <w:p w14:paraId="5C85FD4F" w14:textId="77777777" w:rsidR="00B54D51" w:rsidRPr="00037AD4" w:rsidRDefault="00B54D51" w:rsidP="001D7ACE">
      <w:pPr>
        <w:contextualSpacing/>
        <w:rPr>
          <w:rFonts w:ascii="Arial" w:hAnsi="Arial" w:cs="Arial"/>
        </w:rPr>
      </w:pPr>
      <w:r w:rsidRPr="00037AD4">
        <w:rPr>
          <w:rFonts w:ascii="Arial" w:hAnsi="Arial" w:cs="Arial"/>
        </w:rPr>
        <w:t>The panel member would not have a problem with this.</w:t>
      </w:r>
    </w:p>
    <w:p w14:paraId="1B53993E" w14:textId="77777777" w:rsidR="00B54D51" w:rsidRPr="00037AD4" w:rsidRDefault="00B54D51" w:rsidP="001D7ACE">
      <w:pPr>
        <w:contextualSpacing/>
        <w:rPr>
          <w:rFonts w:ascii="Arial" w:hAnsi="Arial" w:cs="Arial"/>
        </w:rPr>
      </w:pPr>
    </w:p>
    <w:p w14:paraId="712A9552" w14:textId="77777777" w:rsidR="00B54D51" w:rsidRPr="00037AD4" w:rsidRDefault="00B54D51" w:rsidP="001D7ACE">
      <w:pPr>
        <w:contextualSpacing/>
        <w:rPr>
          <w:rFonts w:ascii="Arial" w:hAnsi="Arial" w:cs="Arial"/>
        </w:rPr>
      </w:pPr>
      <w:r w:rsidRPr="00037AD4">
        <w:rPr>
          <w:rFonts w:ascii="Arial" w:hAnsi="Arial" w:cs="Arial"/>
        </w:rPr>
        <w:t>Will you be taking into account that there may be a subset of participants who have completed the questionnaire themselves with a degree of help?</w:t>
      </w:r>
    </w:p>
    <w:p w14:paraId="09AF54AB" w14:textId="77777777" w:rsidR="00B54D51" w:rsidRPr="00037AD4" w:rsidRDefault="00B54D51" w:rsidP="001D7ACE">
      <w:pPr>
        <w:contextualSpacing/>
        <w:rPr>
          <w:rFonts w:ascii="Arial" w:hAnsi="Arial" w:cs="Arial"/>
        </w:rPr>
      </w:pPr>
    </w:p>
    <w:p w14:paraId="264FCA90" w14:textId="77777777" w:rsidR="00B54D51" w:rsidRPr="00037AD4" w:rsidRDefault="00B54D51" w:rsidP="001D7ACE">
      <w:pPr>
        <w:contextualSpacing/>
        <w:rPr>
          <w:rFonts w:ascii="Arial" w:hAnsi="Arial" w:cs="Arial"/>
          <w:i/>
          <w:iCs/>
        </w:rPr>
      </w:pPr>
      <w:r w:rsidRPr="00037AD4">
        <w:rPr>
          <w:rFonts w:ascii="Arial" w:hAnsi="Arial" w:cs="Arial"/>
          <w:i/>
          <w:iCs/>
        </w:rPr>
        <w:t>Thank you from Jane on behalf of the DRAiSY panel for coming back to us with your study – it is really good to hear how what the group has fed back previously has been incorporated into the research.</w:t>
      </w:r>
    </w:p>
    <w:p w14:paraId="5E1AB0C1" w14:textId="77777777" w:rsidR="00B54D51" w:rsidRPr="00037AD4" w:rsidRDefault="00B54D51" w:rsidP="001D7ACE">
      <w:pPr>
        <w:contextualSpacing/>
        <w:rPr>
          <w:rFonts w:ascii="Arial" w:hAnsi="Arial" w:cs="Arial"/>
        </w:rPr>
      </w:pPr>
    </w:p>
    <w:p w14:paraId="40FBD007" w14:textId="77777777" w:rsidR="00B54D51" w:rsidRPr="00037AD4" w:rsidRDefault="00B54D51" w:rsidP="001D7ACE">
      <w:pPr>
        <w:pBdr>
          <w:top w:val="single" w:sz="4" w:space="1" w:color="auto"/>
        </w:pBdr>
        <w:spacing w:before="100" w:beforeAutospacing="1" w:after="100" w:afterAutospacing="1"/>
        <w:contextualSpacing/>
        <w:jc w:val="both"/>
        <w:rPr>
          <w:rFonts w:ascii="Arial" w:hAnsi="Arial" w:cs="Arial"/>
          <w:b/>
          <w:bCs/>
        </w:rPr>
      </w:pPr>
    </w:p>
    <w:p w14:paraId="1768764F" w14:textId="77777777" w:rsidR="00B54D51" w:rsidRPr="00037AD4" w:rsidRDefault="00B54D51" w:rsidP="001D7ACE">
      <w:pPr>
        <w:rPr>
          <w:rFonts w:ascii="Arial" w:hAnsi="Arial" w:cs="Arial"/>
          <w:b/>
          <w:bCs/>
        </w:rPr>
      </w:pPr>
    </w:p>
    <w:p w14:paraId="1D8F7F68" w14:textId="77777777" w:rsidR="00B54D51" w:rsidRPr="00037AD4" w:rsidRDefault="00B54D51" w:rsidP="001D7ACE">
      <w:pPr>
        <w:rPr>
          <w:rFonts w:cstheme="minorHAnsi"/>
          <w:u w:val="single"/>
        </w:rPr>
      </w:pPr>
    </w:p>
    <w:p w14:paraId="25176FEE" w14:textId="77777777" w:rsidR="00B54D51" w:rsidRPr="00037AD4" w:rsidRDefault="00B54D51" w:rsidP="007A43F9">
      <w:pPr>
        <w:pStyle w:val="Heading2"/>
      </w:pPr>
      <w:bookmarkStart w:id="523" w:name="A6"/>
      <w:bookmarkStart w:id="524" w:name="_Toc175742416"/>
      <w:r w:rsidRPr="00037AD4">
        <w:lastRenderedPageBreak/>
        <w:t>Appendix 6 EQ-5D dimension response frequency tables</w:t>
      </w:r>
      <w:bookmarkEnd w:id="524"/>
      <w:r w:rsidRPr="00037AD4">
        <w:t xml:space="preserve"> </w:t>
      </w:r>
    </w:p>
    <w:bookmarkEnd w:id="523"/>
    <w:p w14:paraId="0F2DCB51" w14:textId="77777777" w:rsidR="00B54D51" w:rsidRPr="00037AD4" w:rsidRDefault="00B54D51" w:rsidP="001D7ACE">
      <w:pPr>
        <w:rPr>
          <w:rFonts w:asciiTheme="minorHAnsi" w:hAnsiTheme="minorHAnsi" w:cstheme="minorHAnsi"/>
          <w:b/>
          <w:bCs/>
          <w:u w:val="single"/>
        </w:rPr>
      </w:pPr>
    </w:p>
    <w:p w14:paraId="6ADD8B56" w14:textId="77777777" w:rsidR="00B54D51" w:rsidRPr="00037AD4" w:rsidRDefault="00B54D51" w:rsidP="001D7ACE">
      <w:pPr>
        <w:rPr>
          <w:rFonts w:asciiTheme="minorHAnsi" w:hAnsiTheme="minorHAnsi" w:cstheme="minorHAnsi"/>
          <w:b/>
          <w:bCs/>
          <w:u w:val="single"/>
        </w:rPr>
      </w:pPr>
      <w:bookmarkStart w:id="525" w:name="TableA6A"/>
      <w:r w:rsidRPr="00037AD4">
        <w:rPr>
          <w:rFonts w:asciiTheme="minorHAnsi" w:hAnsiTheme="minorHAnsi" w:cstheme="minorHAnsi"/>
          <w:u w:val="single"/>
        </w:rPr>
        <w:t xml:space="preserve">Table A6a, Response frequency table: ACTIFCARE </w:t>
      </w:r>
    </w:p>
    <w:bookmarkEnd w:id="525"/>
    <w:p w14:paraId="503742D3" w14:textId="77777777" w:rsidR="00B54D51" w:rsidRPr="00037AD4" w:rsidRDefault="00B54D51" w:rsidP="001D7ACE">
      <w:pPr>
        <w:rPr>
          <w:rFonts w:asciiTheme="minorHAnsi" w:hAnsiTheme="minorHAnsi" w:cstheme="minorHAnsi"/>
          <w:u w:val="single"/>
        </w:rPr>
      </w:pPr>
    </w:p>
    <w:tbl>
      <w:tblPr>
        <w:tblStyle w:val="TableGrid"/>
        <w:tblW w:w="0" w:type="auto"/>
        <w:tblLook w:val="04A0" w:firstRow="1" w:lastRow="0" w:firstColumn="1" w:lastColumn="0" w:noHBand="0" w:noVBand="1"/>
      </w:tblPr>
      <w:tblGrid>
        <w:gridCol w:w="1306"/>
        <w:gridCol w:w="1306"/>
        <w:gridCol w:w="1306"/>
        <w:gridCol w:w="1306"/>
        <w:gridCol w:w="1306"/>
        <w:gridCol w:w="1306"/>
      </w:tblGrid>
      <w:tr w:rsidR="00B54D51" w:rsidRPr="00037AD4" w14:paraId="401A215D" w14:textId="77777777" w:rsidTr="00401C67">
        <w:trPr>
          <w:trHeight w:val="228"/>
        </w:trPr>
        <w:tc>
          <w:tcPr>
            <w:tcW w:w="1306" w:type="dxa"/>
            <w:shd w:val="clear" w:color="auto" w:fill="auto"/>
          </w:tcPr>
          <w:p w14:paraId="730B77BC"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PwD</w:t>
            </w:r>
          </w:p>
        </w:tc>
        <w:tc>
          <w:tcPr>
            <w:tcW w:w="1306" w:type="dxa"/>
            <w:shd w:val="clear" w:color="auto" w:fill="auto"/>
          </w:tcPr>
          <w:p w14:paraId="19FD546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N</w:t>
            </w:r>
          </w:p>
        </w:tc>
        <w:tc>
          <w:tcPr>
            <w:tcW w:w="1306" w:type="dxa"/>
            <w:shd w:val="clear" w:color="auto" w:fill="auto"/>
          </w:tcPr>
          <w:p w14:paraId="269B6C2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w:t>
            </w:r>
          </w:p>
        </w:tc>
        <w:tc>
          <w:tcPr>
            <w:tcW w:w="1306" w:type="dxa"/>
            <w:shd w:val="clear" w:color="auto" w:fill="auto"/>
          </w:tcPr>
          <w:p w14:paraId="3390D641"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Proxy</w:t>
            </w:r>
          </w:p>
        </w:tc>
        <w:tc>
          <w:tcPr>
            <w:tcW w:w="1306" w:type="dxa"/>
            <w:shd w:val="clear" w:color="auto" w:fill="auto"/>
          </w:tcPr>
          <w:p w14:paraId="56785D6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N</w:t>
            </w:r>
          </w:p>
        </w:tc>
        <w:tc>
          <w:tcPr>
            <w:tcW w:w="1306" w:type="dxa"/>
            <w:shd w:val="clear" w:color="auto" w:fill="auto"/>
          </w:tcPr>
          <w:p w14:paraId="62A3C71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w:t>
            </w:r>
          </w:p>
        </w:tc>
      </w:tr>
      <w:tr w:rsidR="00B54D51" w:rsidRPr="00037AD4" w14:paraId="2A0CEB84" w14:textId="77777777" w:rsidTr="00401C67">
        <w:trPr>
          <w:trHeight w:val="228"/>
        </w:trPr>
        <w:tc>
          <w:tcPr>
            <w:tcW w:w="7836" w:type="dxa"/>
            <w:gridSpan w:val="6"/>
            <w:shd w:val="clear" w:color="auto" w:fill="E7E6E6" w:themeFill="background2"/>
          </w:tcPr>
          <w:p w14:paraId="457EBC5C" w14:textId="77777777" w:rsidR="00B54D51" w:rsidRPr="00037AD4" w:rsidRDefault="00B54D51" w:rsidP="00401C67">
            <w:pPr>
              <w:jc w:val="center"/>
              <w:rPr>
                <w:rFonts w:asciiTheme="minorHAnsi" w:hAnsiTheme="minorHAnsi" w:cstheme="minorHAnsi"/>
                <w:b/>
                <w:bCs/>
              </w:rPr>
            </w:pPr>
            <w:r w:rsidRPr="00037AD4">
              <w:rPr>
                <w:rFonts w:asciiTheme="minorHAnsi" w:hAnsiTheme="minorHAnsi" w:cstheme="minorHAnsi"/>
                <w:b/>
                <w:bCs/>
              </w:rPr>
              <w:t>Mobility</w:t>
            </w:r>
          </w:p>
        </w:tc>
      </w:tr>
      <w:tr w:rsidR="00B54D51" w:rsidRPr="00037AD4" w14:paraId="6C8C1EA3" w14:textId="77777777" w:rsidTr="00401C67">
        <w:trPr>
          <w:trHeight w:val="239"/>
        </w:trPr>
        <w:tc>
          <w:tcPr>
            <w:tcW w:w="1306" w:type="dxa"/>
          </w:tcPr>
          <w:p w14:paraId="4CB3F57A" w14:textId="77777777" w:rsidR="00B54D51" w:rsidRPr="00037AD4" w:rsidRDefault="00B54D51" w:rsidP="00401C67">
            <w:pPr>
              <w:rPr>
                <w:rFonts w:asciiTheme="minorHAnsi" w:hAnsiTheme="minorHAnsi" w:cstheme="minorHAnsi"/>
                <w:b/>
                <w:bCs/>
                <w:i/>
                <w:iCs/>
              </w:rPr>
            </w:pPr>
            <w:r w:rsidRPr="00037AD4">
              <w:rPr>
                <w:rFonts w:asciiTheme="minorHAnsi" w:hAnsiTheme="minorHAnsi" w:cstheme="minorHAnsi"/>
                <w:b/>
                <w:bCs/>
                <w:i/>
                <w:iCs/>
              </w:rPr>
              <w:t>1</w:t>
            </w:r>
          </w:p>
        </w:tc>
        <w:tc>
          <w:tcPr>
            <w:tcW w:w="1306" w:type="dxa"/>
          </w:tcPr>
          <w:p w14:paraId="2EDD30F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641</w:t>
            </w:r>
          </w:p>
        </w:tc>
        <w:tc>
          <w:tcPr>
            <w:tcW w:w="1306" w:type="dxa"/>
          </w:tcPr>
          <w:p w14:paraId="76AB95C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56.3</w:t>
            </w:r>
          </w:p>
        </w:tc>
        <w:tc>
          <w:tcPr>
            <w:tcW w:w="1306" w:type="dxa"/>
          </w:tcPr>
          <w:p w14:paraId="2F9D88F3" w14:textId="77777777" w:rsidR="00B54D51" w:rsidRPr="00037AD4" w:rsidRDefault="00B54D51" w:rsidP="00401C67">
            <w:pPr>
              <w:rPr>
                <w:rFonts w:asciiTheme="minorHAnsi" w:hAnsiTheme="minorHAnsi" w:cstheme="minorHAnsi"/>
                <w:b/>
                <w:bCs/>
                <w:i/>
                <w:iCs/>
              </w:rPr>
            </w:pPr>
            <w:r w:rsidRPr="00037AD4">
              <w:rPr>
                <w:rFonts w:asciiTheme="minorHAnsi" w:hAnsiTheme="minorHAnsi" w:cstheme="minorHAnsi"/>
                <w:b/>
                <w:bCs/>
                <w:i/>
                <w:iCs/>
              </w:rPr>
              <w:t>1</w:t>
            </w:r>
          </w:p>
        </w:tc>
        <w:tc>
          <w:tcPr>
            <w:tcW w:w="1306" w:type="dxa"/>
          </w:tcPr>
          <w:p w14:paraId="499B98C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469</w:t>
            </w:r>
          </w:p>
        </w:tc>
        <w:tc>
          <w:tcPr>
            <w:tcW w:w="1306" w:type="dxa"/>
          </w:tcPr>
          <w:p w14:paraId="71412DE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39.3</w:t>
            </w:r>
          </w:p>
        </w:tc>
      </w:tr>
      <w:tr w:rsidR="00B54D51" w:rsidRPr="00037AD4" w14:paraId="57141FBA" w14:textId="77777777" w:rsidTr="00401C67">
        <w:trPr>
          <w:trHeight w:val="228"/>
        </w:trPr>
        <w:tc>
          <w:tcPr>
            <w:tcW w:w="1306" w:type="dxa"/>
          </w:tcPr>
          <w:p w14:paraId="568033F2" w14:textId="77777777" w:rsidR="00B54D51" w:rsidRPr="00037AD4" w:rsidRDefault="00B54D51" w:rsidP="00401C67">
            <w:pPr>
              <w:rPr>
                <w:rFonts w:asciiTheme="minorHAnsi" w:hAnsiTheme="minorHAnsi" w:cstheme="minorHAnsi"/>
                <w:b/>
                <w:bCs/>
                <w:i/>
                <w:iCs/>
              </w:rPr>
            </w:pPr>
            <w:r w:rsidRPr="00037AD4">
              <w:rPr>
                <w:rFonts w:asciiTheme="minorHAnsi" w:hAnsiTheme="minorHAnsi" w:cstheme="minorHAnsi"/>
                <w:b/>
                <w:bCs/>
                <w:i/>
                <w:iCs/>
              </w:rPr>
              <w:t>2</w:t>
            </w:r>
          </w:p>
        </w:tc>
        <w:tc>
          <w:tcPr>
            <w:tcW w:w="1306" w:type="dxa"/>
          </w:tcPr>
          <w:p w14:paraId="0F55B7F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233</w:t>
            </w:r>
          </w:p>
        </w:tc>
        <w:tc>
          <w:tcPr>
            <w:tcW w:w="1306" w:type="dxa"/>
          </w:tcPr>
          <w:p w14:paraId="667E30A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20.4</w:t>
            </w:r>
          </w:p>
        </w:tc>
        <w:tc>
          <w:tcPr>
            <w:tcW w:w="1306" w:type="dxa"/>
          </w:tcPr>
          <w:p w14:paraId="121E496C" w14:textId="77777777" w:rsidR="00B54D51" w:rsidRPr="00037AD4" w:rsidRDefault="00B54D51" w:rsidP="00401C67">
            <w:pPr>
              <w:rPr>
                <w:rFonts w:asciiTheme="minorHAnsi" w:hAnsiTheme="minorHAnsi" w:cstheme="minorHAnsi"/>
                <w:b/>
                <w:bCs/>
                <w:i/>
                <w:iCs/>
              </w:rPr>
            </w:pPr>
            <w:r w:rsidRPr="00037AD4">
              <w:rPr>
                <w:rFonts w:asciiTheme="minorHAnsi" w:hAnsiTheme="minorHAnsi" w:cstheme="minorHAnsi"/>
                <w:b/>
                <w:bCs/>
                <w:i/>
                <w:iCs/>
              </w:rPr>
              <w:t>2</w:t>
            </w:r>
          </w:p>
        </w:tc>
        <w:tc>
          <w:tcPr>
            <w:tcW w:w="1306" w:type="dxa"/>
          </w:tcPr>
          <w:p w14:paraId="2EF36F4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288</w:t>
            </w:r>
          </w:p>
        </w:tc>
        <w:tc>
          <w:tcPr>
            <w:tcW w:w="1306" w:type="dxa"/>
          </w:tcPr>
          <w:p w14:paraId="4C00D5B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24.1</w:t>
            </w:r>
          </w:p>
        </w:tc>
      </w:tr>
      <w:tr w:rsidR="00B54D51" w:rsidRPr="00037AD4" w14:paraId="09989482" w14:textId="77777777" w:rsidTr="00401C67">
        <w:trPr>
          <w:trHeight w:val="228"/>
        </w:trPr>
        <w:tc>
          <w:tcPr>
            <w:tcW w:w="1306" w:type="dxa"/>
          </w:tcPr>
          <w:p w14:paraId="3A1216A3" w14:textId="77777777" w:rsidR="00B54D51" w:rsidRPr="00037AD4" w:rsidRDefault="00B54D51" w:rsidP="00401C67">
            <w:pPr>
              <w:rPr>
                <w:rFonts w:asciiTheme="minorHAnsi" w:hAnsiTheme="minorHAnsi" w:cstheme="minorHAnsi"/>
                <w:b/>
                <w:bCs/>
                <w:i/>
                <w:iCs/>
              </w:rPr>
            </w:pPr>
            <w:r w:rsidRPr="00037AD4">
              <w:rPr>
                <w:rFonts w:asciiTheme="minorHAnsi" w:hAnsiTheme="minorHAnsi" w:cstheme="minorHAnsi"/>
                <w:b/>
                <w:bCs/>
                <w:i/>
                <w:iCs/>
              </w:rPr>
              <w:t>3</w:t>
            </w:r>
          </w:p>
        </w:tc>
        <w:tc>
          <w:tcPr>
            <w:tcW w:w="1306" w:type="dxa"/>
          </w:tcPr>
          <w:p w14:paraId="62FB2C8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189</w:t>
            </w:r>
          </w:p>
        </w:tc>
        <w:tc>
          <w:tcPr>
            <w:tcW w:w="1306" w:type="dxa"/>
          </w:tcPr>
          <w:p w14:paraId="58E9060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16.6</w:t>
            </w:r>
          </w:p>
        </w:tc>
        <w:tc>
          <w:tcPr>
            <w:tcW w:w="1306" w:type="dxa"/>
          </w:tcPr>
          <w:p w14:paraId="7E99D89E" w14:textId="77777777" w:rsidR="00B54D51" w:rsidRPr="00037AD4" w:rsidRDefault="00B54D51" w:rsidP="00401C67">
            <w:pPr>
              <w:rPr>
                <w:rFonts w:asciiTheme="minorHAnsi" w:hAnsiTheme="minorHAnsi" w:cstheme="minorHAnsi"/>
                <w:b/>
                <w:bCs/>
                <w:i/>
                <w:iCs/>
              </w:rPr>
            </w:pPr>
            <w:r w:rsidRPr="00037AD4">
              <w:rPr>
                <w:rFonts w:asciiTheme="minorHAnsi" w:hAnsiTheme="minorHAnsi" w:cstheme="minorHAnsi"/>
                <w:b/>
                <w:bCs/>
                <w:i/>
                <w:iCs/>
              </w:rPr>
              <w:t>3</w:t>
            </w:r>
          </w:p>
        </w:tc>
        <w:tc>
          <w:tcPr>
            <w:tcW w:w="1306" w:type="dxa"/>
          </w:tcPr>
          <w:p w14:paraId="6F18129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267</w:t>
            </w:r>
          </w:p>
        </w:tc>
        <w:tc>
          <w:tcPr>
            <w:tcW w:w="1306" w:type="dxa"/>
          </w:tcPr>
          <w:p w14:paraId="098D378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22.3</w:t>
            </w:r>
          </w:p>
        </w:tc>
      </w:tr>
      <w:tr w:rsidR="00B54D51" w:rsidRPr="00037AD4" w14:paraId="2DB1D2D7" w14:textId="77777777" w:rsidTr="00401C67">
        <w:trPr>
          <w:trHeight w:val="228"/>
        </w:trPr>
        <w:tc>
          <w:tcPr>
            <w:tcW w:w="1306" w:type="dxa"/>
          </w:tcPr>
          <w:p w14:paraId="3D85FDDE" w14:textId="77777777" w:rsidR="00B54D51" w:rsidRPr="00037AD4" w:rsidRDefault="00B54D51" w:rsidP="00401C67">
            <w:pPr>
              <w:rPr>
                <w:rFonts w:asciiTheme="minorHAnsi" w:hAnsiTheme="minorHAnsi" w:cstheme="minorHAnsi"/>
                <w:b/>
                <w:bCs/>
                <w:i/>
                <w:iCs/>
              </w:rPr>
            </w:pPr>
            <w:r w:rsidRPr="00037AD4">
              <w:rPr>
                <w:rFonts w:asciiTheme="minorHAnsi" w:hAnsiTheme="minorHAnsi" w:cstheme="minorHAnsi"/>
                <w:b/>
                <w:bCs/>
                <w:i/>
                <w:iCs/>
              </w:rPr>
              <w:t>4</w:t>
            </w:r>
          </w:p>
        </w:tc>
        <w:tc>
          <w:tcPr>
            <w:tcW w:w="1306" w:type="dxa"/>
          </w:tcPr>
          <w:p w14:paraId="586901C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68</w:t>
            </w:r>
          </w:p>
        </w:tc>
        <w:tc>
          <w:tcPr>
            <w:tcW w:w="1306" w:type="dxa"/>
          </w:tcPr>
          <w:p w14:paraId="4F76A1E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6.0</w:t>
            </w:r>
          </w:p>
        </w:tc>
        <w:tc>
          <w:tcPr>
            <w:tcW w:w="1306" w:type="dxa"/>
          </w:tcPr>
          <w:p w14:paraId="152E4755" w14:textId="77777777" w:rsidR="00B54D51" w:rsidRPr="00037AD4" w:rsidRDefault="00B54D51" w:rsidP="00401C67">
            <w:pPr>
              <w:rPr>
                <w:rFonts w:asciiTheme="minorHAnsi" w:hAnsiTheme="minorHAnsi" w:cstheme="minorHAnsi"/>
                <w:b/>
                <w:bCs/>
                <w:i/>
                <w:iCs/>
              </w:rPr>
            </w:pPr>
            <w:r w:rsidRPr="00037AD4">
              <w:rPr>
                <w:rFonts w:asciiTheme="minorHAnsi" w:hAnsiTheme="minorHAnsi" w:cstheme="minorHAnsi"/>
                <w:b/>
                <w:bCs/>
                <w:i/>
                <w:iCs/>
              </w:rPr>
              <w:t>4</w:t>
            </w:r>
          </w:p>
        </w:tc>
        <w:tc>
          <w:tcPr>
            <w:tcW w:w="1306" w:type="dxa"/>
          </w:tcPr>
          <w:p w14:paraId="2B7339A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147</w:t>
            </w:r>
          </w:p>
        </w:tc>
        <w:tc>
          <w:tcPr>
            <w:tcW w:w="1306" w:type="dxa"/>
          </w:tcPr>
          <w:p w14:paraId="7E76C6B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12.3</w:t>
            </w:r>
          </w:p>
        </w:tc>
      </w:tr>
      <w:tr w:rsidR="00B54D51" w:rsidRPr="00037AD4" w14:paraId="657FC9AF" w14:textId="77777777" w:rsidTr="00401C67">
        <w:trPr>
          <w:trHeight w:val="90"/>
        </w:trPr>
        <w:tc>
          <w:tcPr>
            <w:tcW w:w="1306" w:type="dxa"/>
          </w:tcPr>
          <w:p w14:paraId="19F247DE" w14:textId="77777777" w:rsidR="00B54D51" w:rsidRPr="00037AD4" w:rsidRDefault="00B54D51" w:rsidP="00401C67">
            <w:pPr>
              <w:rPr>
                <w:rFonts w:asciiTheme="minorHAnsi" w:hAnsiTheme="minorHAnsi" w:cstheme="minorHAnsi"/>
                <w:b/>
                <w:bCs/>
                <w:i/>
                <w:iCs/>
              </w:rPr>
            </w:pPr>
            <w:r w:rsidRPr="00037AD4">
              <w:rPr>
                <w:rFonts w:asciiTheme="minorHAnsi" w:hAnsiTheme="minorHAnsi" w:cstheme="minorHAnsi"/>
                <w:b/>
                <w:bCs/>
                <w:i/>
                <w:iCs/>
              </w:rPr>
              <w:t>5</w:t>
            </w:r>
          </w:p>
        </w:tc>
        <w:tc>
          <w:tcPr>
            <w:tcW w:w="1306" w:type="dxa"/>
          </w:tcPr>
          <w:p w14:paraId="7EBBC73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8</w:t>
            </w:r>
          </w:p>
        </w:tc>
        <w:tc>
          <w:tcPr>
            <w:tcW w:w="1306" w:type="dxa"/>
          </w:tcPr>
          <w:p w14:paraId="04D78D3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0.7</w:t>
            </w:r>
          </w:p>
        </w:tc>
        <w:tc>
          <w:tcPr>
            <w:tcW w:w="1306" w:type="dxa"/>
          </w:tcPr>
          <w:p w14:paraId="5C50210F" w14:textId="77777777" w:rsidR="00B54D51" w:rsidRPr="00037AD4" w:rsidRDefault="00B54D51" w:rsidP="00401C67">
            <w:pPr>
              <w:rPr>
                <w:rFonts w:asciiTheme="minorHAnsi" w:hAnsiTheme="minorHAnsi" w:cstheme="minorHAnsi"/>
                <w:b/>
                <w:bCs/>
                <w:i/>
                <w:iCs/>
              </w:rPr>
            </w:pPr>
            <w:r w:rsidRPr="00037AD4">
              <w:rPr>
                <w:rFonts w:asciiTheme="minorHAnsi" w:hAnsiTheme="minorHAnsi" w:cstheme="minorHAnsi"/>
                <w:b/>
                <w:bCs/>
                <w:i/>
                <w:iCs/>
              </w:rPr>
              <w:t>5</w:t>
            </w:r>
          </w:p>
        </w:tc>
        <w:tc>
          <w:tcPr>
            <w:tcW w:w="1306" w:type="dxa"/>
          </w:tcPr>
          <w:p w14:paraId="0911264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24</w:t>
            </w:r>
          </w:p>
        </w:tc>
        <w:tc>
          <w:tcPr>
            <w:tcW w:w="1306" w:type="dxa"/>
          </w:tcPr>
          <w:p w14:paraId="71F52B0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2.0</w:t>
            </w:r>
          </w:p>
        </w:tc>
      </w:tr>
      <w:tr w:rsidR="00B54D51" w:rsidRPr="00037AD4" w14:paraId="49583873" w14:textId="77777777" w:rsidTr="00401C67">
        <w:trPr>
          <w:trHeight w:val="228"/>
        </w:trPr>
        <w:tc>
          <w:tcPr>
            <w:tcW w:w="7836" w:type="dxa"/>
            <w:gridSpan w:val="6"/>
            <w:shd w:val="clear" w:color="auto" w:fill="E7E6E6" w:themeFill="background2"/>
          </w:tcPr>
          <w:p w14:paraId="72693662" w14:textId="77777777" w:rsidR="00B54D51" w:rsidRPr="00037AD4" w:rsidRDefault="00B54D51" w:rsidP="00401C67">
            <w:pPr>
              <w:jc w:val="center"/>
              <w:rPr>
                <w:rFonts w:asciiTheme="minorHAnsi" w:hAnsiTheme="minorHAnsi" w:cstheme="minorHAnsi"/>
                <w:b/>
                <w:bCs/>
              </w:rPr>
            </w:pPr>
            <w:r w:rsidRPr="00037AD4">
              <w:rPr>
                <w:rFonts w:asciiTheme="minorHAnsi" w:hAnsiTheme="minorHAnsi" w:cstheme="minorHAnsi"/>
                <w:b/>
                <w:bCs/>
              </w:rPr>
              <w:t>Self-care</w:t>
            </w:r>
          </w:p>
        </w:tc>
      </w:tr>
      <w:tr w:rsidR="00B54D51" w:rsidRPr="00037AD4" w14:paraId="6C336EBB" w14:textId="77777777" w:rsidTr="00401C67">
        <w:trPr>
          <w:trHeight w:val="228"/>
        </w:trPr>
        <w:tc>
          <w:tcPr>
            <w:tcW w:w="1306" w:type="dxa"/>
          </w:tcPr>
          <w:p w14:paraId="587A6E84" w14:textId="77777777" w:rsidR="00B54D51" w:rsidRPr="00037AD4" w:rsidRDefault="00B54D51" w:rsidP="00401C67">
            <w:pPr>
              <w:rPr>
                <w:rFonts w:asciiTheme="minorHAnsi" w:hAnsiTheme="minorHAnsi" w:cstheme="minorHAnsi"/>
                <w:b/>
                <w:bCs/>
                <w:i/>
                <w:iCs/>
              </w:rPr>
            </w:pPr>
            <w:r w:rsidRPr="00037AD4">
              <w:rPr>
                <w:rFonts w:asciiTheme="minorHAnsi" w:hAnsiTheme="minorHAnsi" w:cstheme="minorHAnsi"/>
                <w:b/>
                <w:bCs/>
                <w:i/>
                <w:iCs/>
              </w:rPr>
              <w:t>1</w:t>
            </w:r>
          </w:p>
        </w:tc>
        <w:tc>
          <w:tcPr>
            <w:tcW w:w="1306" w:type="dxa"/>
          </w:tcPr>
          <w:p w14:paraId="6BEE968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853</w:t>
            </w:r>
          </w:p>
        </w:tc>
        <w:tc>
          <w:tcPr>
            <w:tcW w:w="1306" w:type="dxa"/>
          </w:tcPr>
          <w:p w14:paraId="3B113A9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75.4</w:t>
            </w:r>
          </w:p>
        </w:tc>
        <w:tc>
          <w:tcPr>
            <w:tcW w:w="1306" w:type="dxa"/>
          </w:tcPr>
          <w:p w14:paraId="1F029232" w14:textId="77777777" w:rsidR="00B54D51" w:rsidRPr="00037AD4" w:rsidRDefault="00B54D51" w:rsidP="00401C67">
            <w:pPr>
              <w:rPr>
                <w:rFonts w:asciiTheme="minorHAnsi" w:hAnsiTheme="minorHAnsi" w:cstheme="minorHAnsi"/>
                <w:b/>
                <w:bCs/>
                <w:i/>
                <w:iCs/>
              </w:rPr>
            </w:pPr>
            <w:r w:rsidRPr="00037AD4">
              <w:rPr>
                <w:rFonts w:asciiTheme="minorHAnsi" w:hAnsiTheme="minorHAnsi" w:cstheme="minorHAnsi"/>
                <w:b/>
                <w:bCs/>
                <w:i/>
                <w:iCs/>
              </w:rPr>
              <w:t>1</w:t>
            </w:r>
          </w:p>
        </w:tc>
        <w:tc>
          <w:tcPr>
            <w:tcW w:w="1306" w:type="dxa"/>
          </w:tcPr>
          <w:p w14:paraId="40AF56F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523</w:t>
            </w:r>
          </w:p>
        </w:tc>
        <w:tc>
          <w:tcPr>
            <w:tcW w:w="1306" w:type="dxa"/>
          </w:tcPr>
          <w:p w14:paraId="21A9050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43.8</w:t>
            </w:r>
          </w:p>
        </w:tc>
      </w:tr>
      <w:tr w:rsidR="00B54D51" w:rsidRPr="00037AD4" w14:paraId="06F25FEE" w14:textId="77777777" w:rsidTr="00401C67">
        <w:trPr>
          <w:trHeight w:val="228"/>
        </w:trPr>
        <w:tc>
          <w:tcPr>
            <w:tcW w:w="1306" w:type="dxa"/>
          </w:tcPr>
          <w:p w14:paraId="0C2BDFD1" w14:textId="77777777" w:rsidR="00B54D51" w:rsidRPr="00037AD4" w:rsidRDefault="00B54D51" w:rsidP="00401C67">
            <w:pPr>
              <w:rPr>
                <w:rFonts w:asciiTheme="minorHAnsi" w:hAnsiTheme="minorHAnsi" w:cstheme="minorHAnsi"/>
                <w:b/>
                <w:bCs/>
                <w:i/>
                <w:iCs/>
              </w:rPr>
            </w:pPr>
            <w:r w:rsidRPr="00037AD4">
              <w:rPr>
                <w:rFonts w:asciiTheme="minorHAnsi" w:hAnsiTheme="minorHAnsi" w:cstheme="minorHAnsi"/>
                <w:b/>
                <w:bCs/>
                <w:i/>
                <w:iCs/>
              </w:rPr>
              <w:t>2</w:t>
            </w:r>
          </w:p>
        </w:tc>
        <w:tc>
          <w:tcPr>
            <w:tcW w:w="1306" w:type="dxa"/>
          </w:tcPr>
          <w:p w14:paraId="0A360D5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152</w:t>
            </w:r>
          </w:p>
        </w:tc>
        <w:tc>
          <w:tcPr>
            <w:tcW w:w="1306" w:type="dxa"/>
          </w:tcPr>
          <w:p w14:paraId="56AAE08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13.4</w:t>
            </w:r>
          </w:p>
        </w:tc>
        <w:tc>
          <w:tcPr>
            <w:tcW w:w="1306" w:type="dxa"/>
          </w:tcPr>
          <w:p w14:paraId="74757D87" w14:textId="77777777" w:rsidR="00B54D51" w:rsidRPr="00037AD4" w:rsidRDefault="00B54D51" w:rsidP="00401C67">
            <w:pPr>
              <w:rPr>
                <w:rFonts w:asciiTheme="minorHAnsi" w:hAnsiTheme="minorHAnsi" w:cstheme="minorHAnsi"/>
                <w:b/>
                <w:bCs/>
                <w:i/>
                <w:iCs/>
              </w:rPr>
            </w:pPr>
            <w:r w:rsidRPr="00037AD4">
              <w:rPr>
                <w:rFonts w:asciiTheme="minorHAnsi" w:hAnsiTheme="minorHAnsi" w:cstheme="minorHAnsi"/>
                <w:b/>
                <w:bCs/>
                <w:i/>
                <w:iCs/>
              </w:rPr>
              <w:t>2</w:t>
            </w:r>
          </w:p>
        </w:tc>
        <w:tc>
          <w:tcPr>
            <w:tcW w:w="1306" w:type="dxa"/>
          </w:tcPr>
          <w:p w14:paraId="5A5D8AF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314</w:t>
            </w:r>
          </w:p>
        </w:tc>
        <w:tc>
          <w:tcPr>
            <w:tcW w:w="1306" w:type="dxa"/>
          </w:tcPr>
          <w:p w14:paraId="51AA224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26.3</w:t>
            </w:r>
          </w:p>
        </w:tc>
      </w:tr>
      <w:tr w:rsidR="00B54D51" w:rsidRPr="00037AD4" w14:paraId="2BFFDF06" w14:textId="77777777" w:rsidTr="00401C67">
        <w:trPr>
          <w:trHeight w:val="239"/>
        </w:trPr>
        <w:tc>
          <w:tcPr>
            <w:tcW w:w="1306" w:type="dxa"/>
          </w:tcPr>
          <w:p w14:paraId="1B56E848" w14:textId="77777777" w:rsidR="00B54D51" w:rsidRPr="00037AD4" w:rsidRDefault="00B54D51" w:rsidP="00401C67">
            <w:pPr>
              <w:rPr>
                <w:rFonts w:asciiTheme="minorHAnsi" w:hAnsiTheme="minorHAnsi" w:cstheme="minorHAnsi"/>
                <w:b/>
                <w:bCs/>
                <w:i/>
                <w:iCs/>
              </w:rPr>
            </w:pPr>
            <w:r w:rsidRPr="00037AD4">
              <w:rPr>
                <w:rFonts w:asciiTheme="minorHAnsi" w:hAnsiTheme="minorHAnsi" w:cstheme="minorHAnsi"/>
                <w:b/>
                <w:bCs/>
                <w:i/>
                <w:iCs/>
              </w:rPr>
              <w:t>3</w:t>
            </w:r>
          </w:p>
        </w:tc>
        <w:tc>
          <w:tcPr>
            <w:tcW w:w="1306" w:type="dxa"/>
          </w:tcPr>
          <w:p w14:paraId="7019DC2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78</w:t>
            </w:r>
          </w:p>
        </w:tc>
        <w:tc>
          <w:tcPr>
            <w:tcW w:w="1306" w:type="dxa"/>
          </w:tcPr>
          <w:p w14:paraId="2B20E29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6.9</w:t>
            </w:r>
          </w:p>
        </w:tc>
        <w:tc>
          <w:tcPr>
            <w:tcW w:w="1306" w:type="dxa"/>
          </w:tcPr>
          <w:p w14:paraId="27A1D43C" w14:textId="77777777" w:rsidR="00B54D51" w:rsidRPr="00037AD4" w:rsidRDefault="00B54D51" w:rsidP="00401C67">
            <w:pPr>
              <w:rPr>
                <w:rFonts w:asciiTheme="minorHAnsi" w:hAnsiTheme="minorHAnsi" w:cstheme="minorHAnsi"/>
                <w:b/>
                <w:bCs/>
                <w:i/>
                <w:iCs/>
              </w:rPr>
            </w:pPr>
            <w:r w:rsidRPr="00037AD4">
              <w:rPr>
                <w:rFonts w:asciiTheme="minorHAnsi" w:hAnsiTheme="minorHAnsi" w:cstheme="minorHAnsi"/>
                <w:b/>
                <w:bCs/>
                <w:i/>
                <w:iCs/>
              </w:rPr>
              <w:t>3</w:t>
            </w:r>
          </w:p>
        </w:tc>
        <w:tc>
          <w:tcPr>
            <w:tcW w:w="1306" w:type="dxa"/>
          </w:tcPr>
          <w:p w14:paraId="0657D4A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208</w:t>
            </w:r>
          </w:p>
        </w:tc>
        <w:tc>
          <w:tcPr>
            <w:tcW w:w="1306" w:type="dxa"/>
          </w:tcPr>
          <w:p w14:paraId="728679E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17.4</w:t>
            </w:r>
          </w:p>
        </w:tc>
      </w:tr>
      <w:tr w:rsidR="00B54D51" w:rsidRPr="00037AD4" w14:paraId="5FD7F2EC" w14:textId="77777777" w:rsidTr="00401C67">
        <w:trPr>
          <w:trHeight w:val="228"/>
        </w:trPr>
        <w:tc>
          <w:tcPr>
            <w:tcW w:w="1306" w:type="dxa"/>
          </w:tcPr>
          <w:p w14:paraId="121BBAEE" w14:textId="77777777" w:rsidR="00B54D51" w:rsidRPr="00037AD4" w:rsidRDefault="00B54D51" w:rsidP="00401C67">
            <w:pPr>
              <w:rPr>
                <w:rFonts w:asciiTheme="minorHAnsi" w:hAnsiTheme="minorHAnsi" w:cstheme="minorHAnsi"/>
                <w:b/>
                <w:bCs/>
                <w:i/>
                <w:iCs/>
              </w:rPr>
            </w:pPr>
            <w:r w:rsidRPr="00037AD4">
              <w:rPr>
                <w:rFonts w:asciiTheme="minorHAnsi" w:hAnsiTheme="minorHAnsi" w:cstheme="minorHAnsi"/>
                <w:b/>
                <w:bCs/>
                <w:i/>
                <w:iCs/>
              </w:rPr>
              <w:t>4</w:t>
            </w:r>
          </w:p>
        </w:tc>
        <w:tc>
          <w:tcPr>
            <w:tcW w:w="1306" w:type="dxa"/>
          </w:tcPr>
          <w:p w14:paraId="4CDEF67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26</w:t>
            </w:r>
          </w:p>
        </w:tc>
        <w:tc>
          <w:tcPr>
            <w:tcW w:w="1306" w:type="dxa"/>
          </w:tcPr>
          <w:p w14:paraId="20A1B09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2.3</w:t>
            </w:r>
          </w:p>
        </w:tc>
        <w:tc>
          <w:tcPr>
            <w:tcW w:w="1306" w:type="dxa"/>
          </w:tcPr>
          <w:p w14:paraId="76011CCC" w14:textId="77777777" w:rsidR="00B54D51" w:rsidRPr="00037AD4" w:rsidRDefault="00B54D51" w:rsidP="00401C67">
            <w:pPr>
              <w:rPr>
                <w:rFonts w:asciiTheme="minorHAnsi" w:hAnsiTheme="minorHAnsi" w:cstheme="minorHAnsi"/>
                <w:b/>
                <w:bCs/>
                <w:i/>
                <w:iCs/>
              </w:rPr>
            </w:pPr>
            <w:r w:rsidRPr="00037AD4">
              <w:rPr>
                <w:rFonts w:asciiTheme="minorHAnsi" w:hAnsiTheme="minorHAnsi" w:cstheme="minorHAnsi"/>
                <w:b/>
                <w:bCs/>
                <w:i/>
                <w:iCs/>
              </w:rPr>
              <w:t>4</w:t>
            </w:r>
          </w:p>
        </w:tc>
        <w:tc>
          <w:tcPr>
            <w:tcW w:w="1306" w:type="dxa"/>
          </w:tcPr>
          <w:p w14:paraId="23BAACE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83</w:t>
            </w:r>
          </w:p>
        </w:tc>
        <w:tc>
          <w:tcPr>
            <w:tcW w:w="1306" w:type="dxa"/>
          </w:tcPr>
          <w:p w14:paraId="4B88F2D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7.0</w:t>
            </w:r>
          </w:p>
        </w:tc>
      </w:tr>
      <w:tr w:rsidR="00B54D51" w:rsidRPr="00037AD4" w14:paraId="53E8593D" w14:textId="77777777" w:rsidTr="00401C67">
        <w:trPr>
          <w:trHeight w:val="228"/>
        </w:trPr>
        <w:tc>
          <w:tcPr>
            <w:tcW w:w="1306" w:type="dxa"/>
          </w:tcPr>
          <w:p w14:paraId="7A8F2E02" w14:textId="77777777" w:rsidR="00B54D51" w:rsidRPr="00037AD4" w:rsidRDefault="00B54D51" w:rsidP="00401C67">
            <w:pPr>
              <w:rPr>
                <w:rFonts w:asciiTheme="minorHAnsi" w:hAnsiTheme="minorHAnsi" w:cstheme="minorHAnsi"/>
                <w:b/>
                <w:bCs/>
                <w:i/>
                <w:iCs/>
              </w:rPr>
            </w:pPr>
            <w:r w:rsidRPr="00037AD4">
              <w:rPr>
                <w:rFonts w:asciiTheme="minorHAnsi" w:hAnsiTheme="minorHAnsi" w:cstheme="minorHAnsi"/>
                <w:b/>
                <w:bCs/>
                <w:i/>
                <w:iCs/>
              </w:rPr>
              <w:t>5</w:t>
            </w:r>
          </w:p>
        </w:tc>
        <w:tc>
          <w:tcPr>
            <w:tcW w:w="1306" w:type="dxa"/>
          </w:tcPr>
          <w:p w14:paraId="61E5009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23</w:t>
            </w:r>
          </w:p>
        </w:tc>
        <w:tc>
          <w:tcPr>
            <w:tcW w:w="1306" w:type="dxa"/>
          </w:tcPr>
          <w:p w14:paraId="29551A2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2.0</w:t>
            </w:r>
          </w:p>
        </w:tc>
        <w:tc>
          <w:tcPr>
            <w:tcW w:w="1306" w:type="dxa"/>
          </w:tcPr>
          <w:p w14:paraId="40D8BD21" w14:textId="77777777" w:rsidR="00B54D51" w:rsidRPr="00037AD4" w:rsidRDefault="00B54D51" w:rsidP="00401C67">
            <w:pPr>
              <w:rPr>
                <w:rFonts w:asciiTheme="minorHAnsi" w:hAnsiTheme="minorHAnsi" w:cstheme="minorHAnsi"/>
                <w:b/>
                <w:bCs/>
                <w:i/>
                <w:iCs/>
              </w:rPr>
            </w:pPr>
            <w:r w:rsidRPr="00037AD4">
              <w:rPr>
                <w:rFonts w:asciiTheme="minorHAnsi" w:hAnsiTheme="minorHAnsi" w:cstheme="minorHAnsi"/>
                <w:b/>
                <w:bCs/>
                <w:i/>
                <w:iCs/>
              </w:rPr>
              <w:t>5</w:t>
            </w:r>
          </w:p>
        </w:tc>
        <w:tc>
          <w:tcPr>
            <w:tcW w:w="1306" w:type="dxa"/>
          </w:tcPr>
          <w:p w14:paraId="55DC83F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66</w:t>
            </w:r>
          </w:p>
        </w:tc>
        <w:tc>
          <w:tcPr>
            <w:tcW w:w="1306" w:type="dxa"/>
          </w:tcPr>
          <w:p w14:paraId="07BF609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5.5</w:t>
            </w:r>
          </w:p>
        </w:tc>
      </w:tr>
      <w:tr w:rsidR="00B54D51" w:rsidRPr="00037AD4" w14:paraId="0BBAEC51" w14:textId="77777777" w:rsidTr="00401C67">
        <w:trPr>
          <w:trHeight w:val="228"/>
        </w:trPr>
        <w:tc>
          <w:tcPr>
            <w:tcW w:w="7836" w:type="dxa"/>
            <w:gridSpan w:val="6"/>
            <w:shd w:val="clear" w:color="auto" w:fill="E7E6E6" w:themeFill="background2"/>
          </w:tcPr>
          <w:p w14:paraId="13B46CB4" w14:textId="77777777" w:rsidR="00B54D51" w:rsidRPr="00037AD4" w:rsidRDefault="00B54D51" w:rsidP="00401C67">
            <w:pPr>
              <w:jc w:val="center"/>
              <w:rPr>
                <w:rFonts w:asciiTheme="minorHAnsi" w:hAnsiTheme="minorHAnsi" w:cstheme="minorHAnsi"/>
              </w:rPr>
            </w:pPr>
            <w:r w:rsidRPr="00037AD4">
              <w:rPr>
                <w:rFonts w:asciiTheme="minorHAnsi" w:hAnsiTheme="minorHAnsi" w:cstheme="minorHAnsi"/>
                <w:b/>
                <w:bCs/>
              </w:rPr>
              <w:t>Usual Activities</w:t>
            </w:r>
          </w:p>
        </w:tc>
      </w:tr>
      <w:tr w:rsidR="00B54D51" w:rsidRPr="00037AD4" w14:paraId="7E913C39" w14:textId="77777777" w:rsidTr="00401C67">
        <w:trPr>
          <w:trHeight w:val="239"/>
        </w:trPr>
        <w:tc>
          <w:tcPr>
            <w:tcW w:w="1306" w:type="dxa"/>
          </w:tcPr>
          <w:p w14:paraId="1D089860" w14:textId="77777777" w:rsidR="00B54D51" w:rsidRPr="00037AD4" w:rsidRDefault="00B54D51" w:rsidP="00401C67">
            <w:pPr>
              <w:rPr>
                <w:rFonts w:asciiTheme="minorHAnsi" w:hAnsiTheme="minorHAnsi" w:cstheme="minorHAnsi"/>
                <w:b/>
                <w:bCs/>
                <w:i/>
                <w:iCs/>
              </w:rPr>
            </w:pPr>
            <w:r w:rsidRPr="00037AD4">
              <w:rPr>
                <w:rFonts w:asciiTheme="minorHAnsi" w:hAnsiTheme="minorHAnsi" w:cstheme="minorHAnsi"/>
                <w:b/>
                <w:bCs/>
                <w:i/>
                <w:iCs/>
              </w:rPr>
              <w:t>1</w:t>
            </w:r>
          </w:p>
        </w:tc>
        <w:tc>
          <w:tcPr>
            <w:tcW w:w="1306" w:type="dxa"/>
          </w:tcPr>
          <w:p w14:paraId="6DCA502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646</w:t>
            </w:r>
          </w:p>
        </w:tc>
        <w:tc>
          <w:tcPr>
            <w:tcW w:w="1306" w:type="dxa"/>
          </w:tcPr>
          <w:p w14:paraId="0571A14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57.9</w:t>
            </w:r>
          </w:p>
        </w:tc>
        <w:tc>
          <w:tcPr>
            <w:tcW w:w="1306" w:type="dxa"/>
          </w:tcPr>
          <w:p w14:paraId="73447110" w14:textId="77777777" w:rsidR="00B54D51" w:rsidRPr="00037AD4" w:rsidRDefault="00B54D51" w:rsidP="00401C67">
            <w:pPr>
              <w:rPr>
                <w:rFonts w:asciiTheme="minorHAnsi" w:hAnsiTheme="minorHAnsi" w:cstheme="minorHAnsi"/>
                <w:b/>
                <w:bCs/>
                <w:i/>
                <w:iCs/>
              </w:rPr>
            </w:pPr>
            <w:r w:rsidRPr="00037AD4">
              <w:rPr>
                <w:rFonts w:asciiTheme="minorHAnsi" w:hAnsiTheme="minorHAnsi" w:cstheme="minorHAnsi"/>
                <w:b/>
                <w:bCs/>
                <w:i/>
                <w:iCs/>
              </w:rPr>
              <w:t>1</w:t>
            </w:r>
          </w:p>
        </w:tc>
        <w:tc>
          <w:tcPr>
            <w:tcW w:w="1306" w:type="dxa"/>
          </w:tcPr>
          <w:p w14:paraId="23B257F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248</w:t>
            </w:r>
          </w:p>
        </w:tc>
        <w:tc>
          <w:tcPr>
            <w:tcW w:w="1306" w:type="dxa"/>
          </w:tcPr>
          <w:p w14:paraId="0BE580F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20.8</w:t>
            </w:r>
          </w:p>
        </w:tc>
      </w:tr>
      <w:tr w:rsidR="00B54D51" w:rsidRPr="00037AD4" w14:paraId="301C12BA" w14:textId="77777777" w:rsidTr="00401C67">
        <w:trPr>
          <w:trHeight w:val="228"/>
        </w:trPr>
        <w:tc>
          <w:tcPr>
            <w:tcW w:w="1306" w:type="dxa"/>
          </w:tcPr>
          <w:p w14:paraId="24C05543" w14:textId="77777777" w:rsidR="00B54D51" w:rsidRPr="00037AD4" w:rsidRDefault="00B54D51" w:rsidP="00401C67">
            <w:pPr>
              <w:rPr>
                <w:rFonts w:asciiTheme="minorHAnsi" w:hAnsiTheme="minorHAnsi" w:cstheme="minorHAnsi"/>
                <w:b/>
                <w:bCs/>
                <w:i/>
                <w:iCs/>
              </w:rPr>
            </w:pPr>
            <w:r w:rsidRPr="00037AD4">
              <w:rPr>
                <w:rFonts w:asciiTheme="minorHAnsi" w:hAnsiTheme="minorHAnsi" w:cstheme="minorHAnsi"/>
                <w:b/>
                <w:bCs/>
                <w:i/>
                <w:iCs/>
              </w:rPr>
              <w:t>2</w:t>
            </w:r>
          </w:p>
        </w:tc>
        <w:tc>
          <w:tcPr>
            <w:tcW w:w="1306" w:type="dxa"/>
          </w:tcPr>
          <w:p w14:paraId="0193BD3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251</w:t>
            </w:r>
          </w:p>
        </w:tc>
        <w:tc>
          <w:tcPr>
            <w:tcW w:w="1306" w:type="dxa"/>
          </w:tcPr>
          <w:p w14:paraId="1BCF951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22.5</w:t>
            </w:r>
          </w:p>
        </w:tc>
        <w:tc>
          <w:tcPr>
            <w:tcW w:w="1306" w:type="dxa"/>
          </w:tcPr>
          <w:p w14:paraId="05977B96" w14:textId="77777777" w:rsidR="00B54D51" w:rsidRPr="00037AD4" w:rsidRDefault="00B54D51" w:rsidP="00401C67">
            <w:pPr>
              <w:rPr>
                <w:rFonts w:asciiTheme="minorHAnsi" w:hAnsiTheme="minorHAnsi" w:cstheme="minorHAnsi"/>
                <w:b/>
                <w:bCs/>
                <w:i/>
                <w:iCs/>
              </w:rPr>
            </w:pPr>
            <w:r w:rsidRPr="00037AD4">
              <w:rPr>
                <w:rFonts w:asciiTheme="minorHAnsi" w:hAnsiTheme="minorHAnsi" w:cstheme="minorHAnsi"/>
                <w:b/>
                <w:bCs/>
                <w:i/>
                <w:iCs/>
              </w:rPr>
              <w:t>2</w:t>
            </w:r>
          </w:p>
        </w:tc>
        <w:tc>
          <w:tcPr>
            <w:tcW w:w="1306" w:type="dxa"/>
          </w:tcPr>
          <w:p w14:paraId="1F6CDB8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288</w:t>
            </w:r>
          </w:p>
        </w:tc>
        <w:tc>
          <w:tcPr>
            <w:tcW w:w="1306" w:type="dxa"/>
          </w:tcPr>
          <w:p w14:paraId="2E2DDA4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24.2</w:t>
            </w:r>
          </w:p>
        </w:tc>
      </w:tr>
      <w:tr w:rsidR="00B54D51" w:rsidRPr="00037AD4" w14:paraId="1B92FAD1" w14:textId="77777777" w:rsidTr="00401C67">
        <w:trPr>
          <w:trHeight w:val="228"/>
        </w:trPr>
        <w:tc>
          <w:tcPr>
            <w:tcW w:w="1306" w:type="dxa"/>
          </w:tcPr>
          <w:p w14:paraId="4007307E" w14:textId="77777777" w:rsidR="00B54D51" w:rsidRPr="00037AD4" w:rsidRDefault="00B54D51" w:rsidP="00401C67">
            <w:pPr>
              <w:rPr>
                <w:rFonts w:asciiTheme="minorHAnsi" w:hAnsiTheme="minorHAnsi" w:cstheme="minorHAnsi"/>
                <w:b/>
                <w:bCs/>
                <w:i/>
                <w:iCs/>
              </w:rPr>
            </w:pPr>
            <w:r w:rsidRPr="00037AD4">
              <w:rPr>
                <w:rFonts w:asciiTheme="minorHAnsi" w:hAnsiTheme="minorHAnsi" w:cstheme="minorHAnsi"/>
                <w:b/>
                <w:bCs/>
                <w:i/>
                <w:iCs/>
              </w:rPr>
              <w:t>3</w:t>
            </w:r>
          </w:p>
        </w:tc>
        <w:tc>
          <w:tcPr>
            <w:tcW w:w="1306" w:type="dxa"/>
          </w:tcPr>
          <w:p w14:paraId="6EDC157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138</w:t>
            </w:r>
          </w:p>
        </w:tc>
        <w:tc>
          <w:tcPr>
            <w:tcW w:w="1306" w:type="dxa"/>
          </w:tcPr>
          <w:p w14:paraId="0C308DE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12.4</w:t>
            </w:r>
          </w:p>
        </w:tc>
        <w:tc>
          <w:tcPr>
            <w:tcW w:w="1306" w:type="dxa"/>
          </w:tcPr>
          <w:p w14:paraId="3DC00984" w14:textId="77777777" w:rsidR="00B54D51" w:rsidRPr="00037AD4" w:rsidRDefault="00B54D51" w:rsidP="00401C67">
            <w:pPr>
              <w:rPr>
                <w:rFonts w:asciiTheme="minorHAnsi" w:hAnsiTheme="minorHAnsi" w:cstheme="minorHAnsi"/>
                <w:b/>
                <w:bCs/>
                <w:i/>
                <w:iCs/>
              </w:rPr>
            </w:pPr>
            <w:r w:rsidRPr="00037AD4">
              <w:rPr>
                <w:rFonts w:asciiTheme="minorHAnsi" w:hAnsiTheme="minorHAnsi" w:cstheme="minorHAnsi"/>
                <w:b/>
                <w:bCs/>
                <w:i/>
                <w:iCs/>
              </w:rPr>
              <w:t>3</w:t>
            </w:r>
          </w:p>
        </w:tc>
        <w:tc>
          <w:tcPr>
            <w:tcW w:w="1306" w:type="dxa"/>
          </w:tcPr>
          <w:p w14:paraId="0B39F4C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325</w:t>
            </w:r>
          </w:p>
        </w:tc>
        <w:tc>
          <w:tcPr>
            <w:tcW w:w="1306" w:type="dxa"/>
          </w:tcPr>
          <w:p w14:paraId="4971533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27.3</w:t>
            </w:r>
          </w:p>
        </w:tc>
      </w:tr>
      <w:tr w:rsidR="00B54D51" w:rsidRPr="00037AD4" w14:paraId="7F35996F" w14:textId="77777777" w:rsidTr="00401C67">
        <w:trPr>
          <w:trHeight w:val="228"/>
        </w:trPr>
        <w:tc>
          <w:tcPr>
            <w:tcW w:w="1306" w:type="dxa"/>
          </w:tcPr>
          <w:p w14:paraId="70ACEB7B" w14:textId="77777777" w:rsidR="00B54D51" w:rsidRPr="00037AD4" w:rsidRDefault="00B54D51" w:rsidP="00401C67">
            <w:pPr>
              <w:rPr>
                <w:rFonts w:asciiTheme="minorHAnsi" w:hAnsiTheme="minorHAnsi" w:cstheme="minorHAnsi"/>
                <w:b/>
                <w:bCs/>
                <w:i/>
                <w:iCs/>
              </w:rPr>
            </w:pPr>
            <w:r w:rsidRPr="00037AD4">
              <w:rPr>
                <w:rFonts w:asciiTheme="minorHAnsi" w:hAnsiTheme="minorHAnsi" w:cstheme="minorHAnsi"/>
                <w:b/>
                <w:bCs/>
                <w:i/>
                <w:iCs/>
              </w:rPr>
              <w:t>4</w:t>
            </w:r>
          </w:p>
        </w:tc>
        <w:tc>
          <w:tcPr>
            <w:tcW w:w="1306" w:type="dxa"/>
          </w:tcPr>
          <w:p w14:paraId="34D2B96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59</w:t>
            </w:r>
          </w:p>
        </w:tc>
        <w:tc>
          <w:tcPr>
            <w:tcW w:w="1306" w:type="dxa"/>
          </w:tcPr>
          <w:p w14:paraId="1320929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5.3</w:t>
            </w:r>
          </w:p>
        </w:tc>
        <w:tc>
          <w:tcPr>
            <w:tcW w:w="1306" w:type="dxa"/>
          </w:tcPr>
          <w:p w14:paraId="63A49EB1" w14:textId="77777777" w:rsidR="00B54D51" w:rsidRPr="00037AD4" w:rsidRDefault="00B54D51" w:rsidP="00401C67">
            <w:pPr>
              <w:rPr>
                <w:rFonts w:asciiTheme="minorHAnsi" w:hAnsiTheme="minorHAnsi" w:cstheme="minorHAnsi"/>
                <w:b/>
                <w:bCs/>
                <w:i/>
                <w:iCs/>
              </w:rPr>
            </w:pPr>
            <w:r w:rsidRPr="00037AD4">
              <w:rPr>
                <w:rFonts w:asciiTheme="minorHAnsi" w:hAnsiTheme="minorHAnsi" w:cstheme="minorHAnsi"/>
                <w:b/>
                <w:bCs/>
                <w:i/>
                <w:iCs/>
              </w:rPr>
              <w:t>4</w:t>
            </w:r>
          </w:p>
        </w:tc>
        <w:tc>
          <w:tcPr>
            <w:tcW w:w="1306" w:type="dxa"/>
          </w:tcPr>
          <w:p w14:paraId="3D68E57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219</w:t>
            </w:r>
          </w:p>
        </w:tc>
        <w:tc>
          <w:tcPr>
            <w:tcW w:w="1306" w:type="dxa"/>
          </w:tcPr>
          <w:p w14:paraId="7C37AEB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18.4</w:t>
            </w:r>
          </w:p>
        </w:tc>
      </w:tr>
      <w:tr w:rsidR="00B54D51" w:rsidRPr="00037AD4" w14:paraId="596FF671" w14:textId="77777777" w:rsidTr="00401C67">
        <w:trPr>
          <w:trHeight w:val="239"/>
        </w:trPr>
        <w:tc>
          <w:tcPr>
            <w:tcW w:w="1306" w:type="dxa"/>
          </w:tcPr>
          <w:p w14:paraId="464C2F22" w14:textId="77777777" w:rsidR="00B54D51" w:rsidRPr="00037AD4" w:rsidRDefault="00B54D51" w:rsidP="00401C67">
            <w:pPr>
              <w:rPr>
                <w:rFonts w:asciiTheme="minorHAnsi" w:hAnsiTheme="minorHAnsi" w:cstheme="minorHAnsi"/>
                <w:b/>
                <w:bCs/>
                <w:i/>
                <w:iCs/>
              </w:rPr>
            </w:pPr>
            <w:r w:rsidRPr="00037AD4">
              <w:rPr>
                <w:rFonts w:asciiTheme="minorHAnsi" w:hAnsiTheme="minorHAnsi" w:cstheme="minorHAnsi"/>
                <w:b/>
                <w:bCs/>
                <w:i/>
                <w:iCs/>
              </w:rPr>
              <w:t>5</w:t>
            </w:r>
          </w:p>
        </w:tc>
        <w:tc>
          <w:tcPr>
            <w:tcW w:w="1306" w:type="dxa"/>
          </w:tcPr>
          <w:p w14:paraId="73B9164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21</w:t>
            </w:r>
          </w:p>
        </w:tc>
        <w:tc>
          <w:tcPr>
            <w:tcW w:w="1306" w:type="dxa"/>
          </w:tcPr>
          <w:p w14:paraId="1E985CF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1.9</w:t>
            </w:r>
          </w:p>
        </w:tc>
        <w:tc>
          <w:tcPr>
            <w:tcW w:w="1306" w:type="dxa"/>
          </w:tcPr>
          <w:p w14:paraId="56341C91" w14:textId="77777777" w:rsidR="00B54D51" w:rsidRPr="00037AD4" w:rsidRDefault="00B54D51" w:rsidP="00401C67">
            <w:pPr>
              <w:rPr>
                <w:rFonts w:asciiTheme="minorHAnsi" w:hAnsiTheme="minorHAnsi" w:cstheme="minorHAnsi"/>
                <w:b/>
                <w:bCs/>
                <w:i/>
                <w:iCs/>
              </w:rPr>
            </w:pPr>
            <w:r w:rsidRPr="00037AD4">
              <w:rPr>
                <w:rFonts w:asciiTheme="minorHAnsi" w:hAnsiTheme="minorHAnsi" w:cstheme="minorHAnsi"/>
                <w:b/>
                <w:bCs/>
                <w:i/>
                <w:iCs/>
              </w:rPr>
              <w:t>5</w:t>
            </w:r>
          </w:p>
        </w:tc>
        <w:tc>
          <w:tcPr>
            <w:tcW w:w="1306" w:type="dxa"/>
          </w:tcPr>
          <w:p w14:paraId="2838CB8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112</w:t>
            </w:r>
          </w:p>
        </w:tc>
        <w:tc>
          <w:tcPr>
            <w:tcW w:w="1306" w:type="dxa"/>
          </w:tcPr>
          <w:p w14:paraId="25E4E69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9.4</w:t>
            </w:r>
          </w:p>
        </w:tc>
      </w:tr>
      <w:tr w:rsidR="00B54D51" w:rsidRPr="00037AD4" w14:paraId="4CFA41B5" w14:textId="77777777" w:rsidTr="00401C67">
        <w:trPr>
          <w:trHeight w:val="228"/>
        </w:trPr>
        <w:tc>
          <w:tcPr>
            <w:tcW w:w="7836" w:type="dxa"/>
            <w:gridSpan w:val="6"/>
            <w:shd w:val="clear" w:color="auto" w:fill="E7E6E6" w:themeFill="background2"/>
          </w:tcPr>
          <w:p w14:paraId="374E2BFC" w14:textId="77777777" w:rsidR="00B54D51" w:rsidRPr="00037AD4" w:rsidRDefault="00B54D51" w:rsidP="00401C67">
            <w:pPr>
              <w:jc w:val="center"/>
              <w:rPr>
                <w:rFonts w:asciiTheme="minorHAnsi" w:hAnsiTheme="minorHAnsi" w:cstheme="minorHAnsi"/>
                <w:b/>
                <w:bCs/>
              </w:rPr>
            </w:pPr>
            <w:r w:rsidRPr="00037AD4">
              <w:rPr>
                <w:rFonts w:asciiTheme="minorHAnsi" w:hAnsiTheme="minorHAnsi" w:cstheme="minorHAnsi"/>
                <w:b/>
                <w:bCs/>
              </w:rPr>
              <w:t>Pain/discomfort</w:t>
            </w:r>
          </w:p>
        </w:tc>
      </w:tr>
      <w:tr w:rsidR="00B54D51" w:rsidRPr="00037AD4" w14:paraId="40F2A411" w14:textId="77777777" w:rsidTr="00401C67">
        <w:trPr>
          <w:trHeight w:val="228"/>
        </w:trPr>
        <w:tc>
          <w:tcPr>
            <w:tcW w:w="1306" w:type="dxa"/>
          </w:tcPr>
          <w:p w14:paraId="37B78A75" w14:textId="77777777" w:rsidR="00B54D51" w:rsidRPr="00037AD4" w:rsidRDefault="00B54D51" w:rsidP="00401C67">
            <w:pPr>
              <w:rPr>
                <w:rFonts w:asciiTheme="minorHAnsi" w:hAnsiTheme="minorHAnsi" w:cstheme="minorHAnsi"/>
                <w:b/>
                <w:bCs/>
                <w:i/>
                <w:iCs/>
              </w:rPr>
            </w:pPr>
            <w:r w:rsidRPr="00037AD4">
              <w:rPr>
                <w:rFonts w:asciiTheme="minorHAnsi" w:hAnsiTheme="minorHAnsi" w:cstheme="minorHAnsi"/>
                <w:b/>
                <w:bCs/>
                <w:i/>
                <w:iCs/>
              </w:rPr>
              <w:t>1</w:t>
            </w:r>
          </w:p>
        </w:tc>
        <w:tc>
          <w:tcPr>
            <w:tcW w:w="1306" w:type="dxa"/>
          </w:tcPr>
          <w:p w14:paraId="17476BD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647</w:t>
            </w:r>
          </w:p>
        </w:tc>
        <w:tc>
          <w:tcPr>
            <w:tcW w:w="1306" w:type="dxa"/>
          </w:tcPr>
          <w:p w14:paraId="2A00FFE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57.2</w:t>
            </w:r>
          </w:p>
        </w:tc>
        <w:tc>
          <w:tcPr>
            <w:tcW w:w="1306" w:type="dxa"/>
          </w:tcPr>
          <w:p w14:paraId="03672BBA" w14:textId="77777777" w:rsidR="00B54D51" w:rsidRPr="00037AD4" w:rsidRDefault="00B54D51" w:rsidP="00401C67">
            <w:pPr>
              <w:rPr>
                <w:rFonts w:asciiTheme="minorHAnsi" w:hAnsiTheme="minorHAnsi" w:cstheme="minorHAnsi"/>
                <w:b/>
                <w:bCs/>
                <w:i/>
                <w:iCs/>
              </w:rPr>
            </w:pPr>
            <w:r w:rsidRPr="00037AD4">
              <w:rPr>
                <w:rFonts w:asciiTheme="minorHAnsi" w:hAnsiTheme="minorHAnsi" w:cstheme="minorHAnsi"/>
                <w:b/>
                <w:bCs/>
                <w:i/>
                <w:iCs/>
              </w:rPr>
              <w:t>1</w:t>
            </w:r>
          </w:p>
        </w:tc>
        <w:tc>
          <w:tcPr>
            <w:tcW w:w="1306" w:type="dxa"/>
          </w:tcPr>
          <w:p w14:paraId="28051F0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439 </w:t>
            </w:r>
          </w:p>
        </w:tc>
        <w:tc>
          <w:tcPr>
            <w:tcW w:w="1306" w:type="dxa"/>
          </w:tcPr>
          <w:p w14:paraId="6783A8E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36.9</w:t>
            </w:r>
          </w:p>
        </w:tc>
      </w:tr>
      <w:tr w:rsidR="00B54D51" w:rsidRPr="00037AD4" w14:paraId="04146DAD" w14:textId="77777777" w:rsidTr="00401C67">
        <w:trPr>
          <w:trHeight w:val="228"/>
        </w:trPr>
        <w:tc>
          <w:tcPr>
            <w:tcW w:w="1306" w:type="dxa"/>
          </w:tcPr>
          <w:p w14:paraId="378D0255" w14:textId="77777777" w:rsidR="00B54D51" w:rsidRPr="00037AD4" w:rsidRDefault="00B54D51" w:rsidP="00401C67">
            <w:pPr>
              <w:rPr>
                <w:rFonts w:asciiTheme="minorHAnsi" w:hAnsiTheme="minorHAnsi" w:cstheme="minorHAnsi"/>
                <w:b/>
                <w:bCs/>
                <w:i/>
                <w:iCs/>
              </w:rPr>
            </w:pPr>
            <w:r w:rsidRPr="00037AD4">
              <w:rPr>
                <w:rFonts w:asciiTheme="minorHAnsi" w:hAnsiTheme="minorHAnsi" w:cstheme="minorHAnsi"/>
                <w:b/>
                <w:bCs/>
                <w:i/>
                <w:iCs/>
              </w:rPr>
              <w:t>2</w:t>
            </w:r>
          </w:p>
        </w:tc>
        <w:tc>
          <w:tcPr>
            <w:tcW w:w="1306" w:type="dxa"/>
          </w:tcPr>
          <w:p w14:paraId="379F4EC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262</w:t>
            </w:r>
          </w:p>
        </w:tc>
        <w:tc>
          <w:tcPr>
            <w:tcW w:w="1306" w:type="dxa"/>
          </w:tcPr>
          <w:p w14:paraId="759DB7E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23.1</w:t>
            </w:r>
          </w:p>
        </w:tc>
        <w:tc>
          <w:tcPr>
            <w:tcW w:w="1306" w:type="dxa"/>
          </w:tcPr>
          <w:p w14:paraId="3EA40430" w14:textId="77777777" w:rsidR="00B54D51" w:rsidRPr="00037AD4" w:rsidRDefault="00B54D51" w:rsidP="00401C67">
            <w:pPr>
              <w:rPr>
                <w:rFonts w:asciiTheme="minorHAnsi" w:hAnsiTheme="minorHAnsi" w:cstheme="minorHAnsi"/>
                <w:b/>
                <w:bCs/>
                <w:i/>
                <w:iCs/>
              </w:rPr>
            </w:pPr>
            <w:r w:rsidRPr="00037AD4">
              <w:rPr>
                <w:rFonts w:asciiTheme="minorHAnsi" w:hAnsiTheme="minorHAnsi" w:cstheme="minorHAnsi"/>
                <w:b/>
                <w:bCs/>
                <w:i/>
                <w:iCs/>
              </w:rPr>
              <w:t>2</w:t>
            </w:r>
          </w:p>
        </w:tc>
        <w:tc>
          <w:tcPr>
            <w:tcW w:w="1306" w:type="dxa"/>
          </w:tcPr>
          <w:p w14:paraId="354169F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380</w:t>
            </w:r>
          </w:p>
        </w:tc>
        <w:tc>
          <w:tcPr>
            <w:tcW w:w="1306" w:type="dxa"/>
          </w:tcPr>
          <w:p w14:paraId="298C3D3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31.9</w:t>
            </w:r>
          </w:p>
        </w:tc>
      </w:tr>
      <w:tr w:rsidR="00B54D51" w:rsidRPr="00037AD4" w14:paraId="75683537" w14:textId="77777777" w:rsidTr="00401C67">
        <w:trPr>
          <w:trHeight w:val="239"/>
        </w:trPr>
        <w:tc>
          <w:tcPr>
            <w:tcW w:w="1306" w:type="dxa"/>
          </w:tcPr>
          <w:p w14:paraId="1EC03667" w14:textId="77777777" w:rsidR="00B54D51" w:rsidRPr="00037AD4" w:rsidRDefault="00B54D51" w:rsidP="00401C67">
            <w:pPr>
              <w:rPr>
                <w:rFonts w:asciiTheme="minorHAnsi" w:hAnsiTheme="minorHAnsi" w:cstheme="minorHAnsi"/>
                <w:b/>
                <w:bCs/>
                <w:i/>
                <w:iCs/>
              </w:rPr>
            </w:pPr>
            <w:r w:rsidRPr="00037AD4">
              <w:rPr>
                <w:rFonts w:asciiTheme="minorHAnsi" w:hAnsiTheme="minorHAnsi" w:cstheme="minorHAnsi"/>
                <w:b/>
                <w:bCs/>
                <w:i/>
                <w:iCs/>
              </w:rPr>
              <w:t>3</w:t>
            </w:r>
          </w:p>
        </w:tc>
        <w:tc>
          <w:tcPr>
            <w:tcW w:w="1306" w:type="dxa"/>
          </w:tcPr>
          <w:p w14:paraId="4EF3DBD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172</w:t>
            </w:r>
          </w:p>
        </w:tc>
        <w:tc>
          <w:tcPr>
            <w:tcW w:w="1306" w:type="dxa"/>
          </w:tcPr>
          <w:p w14:paraId="7C46B44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15.2</w:t>
            </w:r>
          </w:p>
        </w:tc>
        <w:tc>
          <w:tcPr>
            <w:tcW w:w="1306" w:type="dxa"/>
          </w:tcPr>
          <w:p w14:paraId="3F7FFA50" w14:textId="77777777" w:rsidR="00B54D51" w:rsidRPr="00037AD4" w:rsidRDefault="00B54D51" w:rsidP="00401C67">
            <w:pPr>
              <w:rPr>
                <w:rFonts w:asciiTheme="minorHAnsi" w:hAnsiTheme="minorHAnsi" w:cstheme="minorHAnsi"/>
                <w:b/>
                <w:bCs/>
                <w:i/>
                <w:iCs/>
              </w:rPr>
            </w:pPr>
            <w:r w:rsidRPr="00037AD4">
              <w:rPr>
                <w:rFonts w:asciiTheme="minorHAnsi" w:hAnsiTheme="minorHAnsi" w:cstheme="minorHAnsi"/>
                <w:b/>
                <w:bCs/>
                <w:i/>
                <w:iCs/>
              </w:rPr>
              <w:t>3</w:t>
            </w:r>
          </w:p>
        </w:tc>
        <w:tc>
          <w:tcPr>
            <w:tcW w:w="1306" w:type="dxa"/>
          </w:tcPr>
          <w:p w14:paraId="2BB2B12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295 </w:t>
            </w:r>
          </w:p>
        </w:tc>
        <w:tc>
          <w:tcPr>
            <w:tcW w:w="1306" w:type="dxa"/>
          </w:tcPr>
          <w:p w14:paraId="0142A95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24.8</w:t>
            </w:r>
          </w:p>
        </w:tc>
      </w:tr>
      <w:tr w:rsidR="00B54D51" w:rsidRPr="00037AD4" w14:paraId="6CC7115A" w14:textId="77777777" w:rsidTr="00401C67">
        <w:trPr>
          <w:trHeight w:val="228"/>
        </w:trPr>
        <w:tc>
          <w:tcPr>
            <w:tcW w:w="1306" w:type="dxa"/>
          </w:tcPr>
          <w:p w14:paraId="39CE766B" w14:textId="77777777" w:rsidR="00B54D51" w:rsidRPr="00037AD4" w:rsidRDefault="00B54D51" w:rsidP="00401C67">
            <w:pPr>
              <w:rPr>
                <w:rFonts w:asciiTheme="minorHAnsi" w:hAnsiTheme="minorHAnsi" w:cstheme="minorHAnsi"/>
                <w:b/>
                <w:bCs/>
                <w:i/>
                <w:iCs/>
              </w:rPr>
            </w:pPr>
            <w:r w:rsidRPr="00037AD4">
              <w:rPr>
                <w:rFonts w:asciiTheme="minorHAnsi" w:hAnsiTheme="minorHAnsi" w:cstheme="minorHAnsi"/>
                <w:b/>
                <w:bCs/>
                <w:i/>
                <w:iCs/>
              </w:rPr>
              <w:t>4</w:t>
            </w:r>
          </w:p>
        </w:tc>
        <w:tc>
          <w:tcPr>
            <w:tcW w:w="1306" w:type="dxa"/>
          </w:tcPr>
          <w:p w14:paraId="40A1BA6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44</w:t>
            </w:r>
          </w:p>
        </w:tc>
        <w:tc>
          <w:tcPr>
            <w:tcW w:w="1306" w:type="dxa"/>
          </w:tcPr>
          <w:p w14:paraId="177962A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3.9</w:t>
            </w:r>
          </w:p>
        </w:tc>
        <w:tc>
          <w:tcPr>
            <w:tcW w:w="1306" w:type="dxa"/>
          </w:tcPr>
          <w:p w14:paraId="26CA7AF5" w14:textId="77777777" w:rsidR="00B54D51" w:rsidRPr="00037AD4" w:rsidRDefault="00B54D51" w:rsidP="00401C67">
            <w:pPr>
              <w:rPr>
                <w:rFonts w:asciiTheme="minorHAnsi" w:hAnsiTheme="minorHAnsi" w:cstheme="minorHAnsi"/>
                <w:b/>
                <w:bCs/>
                <w:i/>
                <w:iCs/>
              </w:rPr>
            </w:pPr>
            <w:r w:rsidRPr="00037AD4">
              <w:rPr>
                <w:rFonts w:asciiTheme="minorHAnsi" w:hAnsiTheme="minorHAnsi" w:cstheme="minorHAnsi"/>
                <w:b/>
                <w:bCs/>
                <w:i/>
                <w:iCs/>
              </w:rPr>
              <w:t>4</w:t>
            </w:r>
          </w:p>
        </w:tc>
        <w:tc>
          <w:tcPr>
            <w:tcW w:w="1306" w:type="dxa"/>
          </w:tcPr>
          <w:p w14:paraId="40DBDE1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66</w:t>
            </w:r>
          </w:p>
        </w:tc>
        <w:tc>
          <w:tcPr>
            <w:tcW w:w="1306" w:type="dxa"/>
          </w:tcPr>
          <w:p w14:paraId="4DE5324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5.5</w:t>
            </w:r>
          </w:p>
        </w:tc>
      </w:tr>
      <w:tr w:rsidR="00B54D51" w:rsidRPr="00037AD4" w14:paraId="56C34919" w14:textId="77777777" w:rsidTr="00401C67">
        <w:trPr>
          <w:trHeight w:val="228"/>
        </w:trPr>
        <w:tc>
          <w:tcPr>
            <w:tcW w:w="1306" w:type="dxa"/>
          </w:tcPr>
          <w:p w14:paraId="2BF1AD0C" w14:textId="77777777" w:rsidR="00B54D51" w:rsidRPr="00037AD4" w:rsidRDefault="00B54D51" w:rsidP="00401C67">
            <w:pPr>
              <w:rPr>
                <w:rFonts w:asciiTheme="minorHAnsi" w:hAnsiTheme="minorHAnsi" w:cstheme="minorHAnsi"/>
                <w:b/>
                <w:bCs/>
                <w:i/>
                <w:iCs/>
              </w:rPr>
            </w:pPr>
            <w:r w:rsidRPr="00037AD4">
              <w:rPr>
                <w:rFonts w:asciiTheme="minorHAnsi" w:hAnsiTheme="minorHAnsi" w:cstheme="minorHAnsi"/>
                <w:b/>
                <w:bCs/>
                <w:i/>
                <w:iCs/>
              </w:rPr>
              <w:t>5</w:t>
            </w:r>
          </w:p>
        </w:tc>
        <w:tc>
          <w:tcPr>
            <w:tcW w:w="1306" w:type="dxa"/>
          </w:tcPr>
          <w:p w14:paraId="718868D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7</w:t>
            </w:r>
          </w:p>
        </w:tc>
        <w:tc>
          <w:tcPr>
            <w:tcW w:w="1306" w:type="dxa"/>
          </w:tcPr>
          <w:p w14:paraId="192BFFB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0.6</w:t>
            </w:r>
          </w:p>
        </w:tc>
        <w:tc>
          <w:tcPr>
            <w:tcW w:w="1306" w:type="dxa"/>
          </w:tcPr>
          <w:p w14:paraId="47FECF80" w14:textId="77777777" w:rsidR="00B54D51" w:rsidRPr="00037AD4" w:rsidRDefault="00B54D51" w:rsidP="00401C67">
            <w:pPr>
              <w:rPr>
                <w:rFonts w:asciiTheme="minorHAnsi" w:hAnsiTheme="minorHAnsi" w:cstheme="minorHAnsi"/>
                <w:b/>
                <w:bCs/>
                <w:i/>
                <w:iCs/>
              </w:rPr>
            </w:pPr>
            <w:r w:rsidRPr="00037AD4">
              <w:rPr>
                <w:rFonts w:asciiTheme="minorHAnsi" w:hAnsiTheme="minorHAnsi" w:cstheme="minorHAnsi"/>
                <w:b/>
                <w:bCs/>
                <w:i/>
                <w:iCs/>
              </w:rPr>
              <w:t>5</w:t>
            </w:r>
          </w:p>
        </w:tc>
        <w:tc>
          <w:tcPr>
            <w:tcW w:w="1306" w:type="dxa"/>
          </w:tcPr>
          <w:p w14:paraId="156B332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11</w:t>
            </w:r>
          </w:p>
        </w:tc>
        <w:tc>
          <w:tcPr>
            <w:tcW w:w="1306" w:type="dxa"/>
          </w:tcPr>
          <w:p w14:paraId="4C96F86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0.9</w:t>
            </w:r>
          </w:p>
        </w:tc>
      </w:tr>
      <w:tr w:rsidR="00B54D51" w:rsidRPr="00037AD4" w14:paraId="2DA40E82" w14:textId="77777777" w:rsidTr="00401C67">
        <w:trPr>
          <w:trHeight w:val="228"/>
        </w:trPr>
        <w:tc>
          <w:tcPr>
            <w:tcW w:w="7836" w:type="dxa"/>
            <w:gridSpan w:val="6"/>
            <w:shd w:val="clear" w:color="auto" w:fill="E7E6E6" w:themeFill="background2"/>
          </w:tcPr>
          <w:p w14:paraId="1CD83633" w14:textId="77777777" w:rsidR="00B54D51" w:rsidRPr="00037AD4" w:rsidRDefault="00B54D51" w:rsidP="00401C67">
            <w:pPr>
              <w:jc w:val="center"/>
              <w:rPr>
                <w:rFonts w:asciiTheme="minorHAnsi" w:hAnsiTheme="minorHAnsi" w:cstheme="minorHAnsi"/>
                <w:b/>
                <w:bCs/>
              </w:rPr>
            </w:pPr>
            <w:r w:rsidRPr="00037AD4">
              <w:rPr>
                <w:rFonts w:asciiTheme="minorHAnsi" w:hAnsiTheme="minorHAnsi" w:cstheme="minorHAnsi"/>
                <w:b/>
                <w:bCs/>
              </w:rPr>
              <w:t>Anxiety/depression</w:t>
            </w:r>
          </w:p>
        </w:tc>
      </w:tr>
      <w:tr w:rsidR="00B54D51" w:rsidRPr="00037AD4" w14:paraId="3BD38C58" w14:textId="77777777" w:rsidTr="00401C67">
        <w:trPr>
          <w:trHeight w:val="67"/>
        </w:trPr>
        <w:tc>
          <w:tcPr>
            <w:tcW w:w="1306" w:type="dxa"/>
          </w:tcPr>
          <w:p w14:paraId="09CD4BC0" w14:textId="77777777" w:rsidR="00B54D51" w:rsidRPr="00037AD4" w:rsidRDefault="00B54D51" w:rsidP="00401C67">
            <w:pPr>
              <w:rPr>
                <w:rFonts w:asciiTheme="minorHAnsi" w:hAnsiTheme="minorHAnsi" w:cstheme="minorHAnsi"/>
                <w:b/>
                <w:bCs/>
                <w:i/>
                <w:iCs/>
              </w:rPr>
            </w:pPr>
            <w:r w:rsidRPr="00037AD4">
              <w:rPr>
                <w:rFonts w:asciiTheme="minorHAnsi" w:hAnsiTheme="minorHAnsi" w:cstheme="minorHAnsi"/>
                <w:b/>
                <w:bCs/>
                <w:i/>
                <w:iCs/>
              </w:rPr>
              <w:t>1</w:t>
            </w:r>
          </w:p>
        </w:tc>
        <w:tc>
          <w:tcPr>
            <w:tcW w:w="1306" w:type="dxa"/>
          </w:tcPr>
          <w:p w14:paraId="23DFB2E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673</w:t>
            </w:r>
          </w:p>
        </w:tc>
        <w:tc>
          <w:tcPr>
            <w:tcW w:w="1306" w:type="dxa"/>
          </w:tcPr>
          <w:p w14:paraId="57DF43E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59.5</w:t>
            </w:r>
          </w:p>
        </w:tc>
        <w:tc>
          <w:tcPr>
            <w:tcW w:w="1306" w:type="dxa"/>
          </w:tcPr>
          <w:p w14:paraId="2B3DA62D" w14:textId="77777777" w:rsidR="00B54D51" w:rsidRPr="00037AD4" w:rsidRDefault="00B54D51" w:rsidP="00401C67">
            <w:pPr>
              <w:rPr>
                <w:rFonts w:asciiTheme="minorHAnsi" w:hAnsiTheme="minorHAnsi" w:cstheme="minorHAnsi"/>
                <w:b/>
                <w:bCs/>
                <w:i/>
                <w:iCs/>
              </w:rPr>
            </w:pPr>
            <w:r w:rsidRPr="00037AD4">
              <w:rPr>
                <w:rFonts w:asciiTheme="minorHAnsi" w:hAnsiTheme="minorHAnsi" w:cstheme="minorHAnsi"/>
                <w:b/>
                <w:bCs/>
                <w:i/>
                <w:iCs/>
              </w:rPr>
              <w:t>1</w:t>
            </w:r>
          </w:p>
        </w:tc>
        <w:tc>
          <w:tcPr>
            <w:tcW w:w="1306" w:type="dxa"/>
          </w:tcPr>
          <w:p w14:paraId="771CE65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457</w:t>
            </w:r>
          </w:p>
        </w:tc>
        <w:tc>
          <w:tcPr>
            <w:tcW w:w="1306" w:type="dxa"/>
          </w:tcPr>
          <w:p w14:paraId="2ABD50D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38.6</w:t>
            </w:r>
          </w:p>
        </w:tc>
      </w:tr>
      <w:tr w:rsidR="00B54D51" w:rsidRPr="00037AD4" w14:paraId="7FAED310" w14:textId="77777777" w:rsidTr="00401C67">
        <w:trPr>
          <w:trHeight w:val="228"/>
        </w:trPr>
        <w:tc>
          <w:tcPr>
            <w:tcW w:w="1306" w:type="dxa"/>
          </w:tcPr>
          <w:p w14:paraId="3DBBDAF2" w14:textId="77777777" w:rsidR="00B54D51" w:rsidRPr="00037AD4" w:rsidRDefault="00B54D51" w:rsidP="00401C67">
            <w:pPr>
              <w:rPr>
                <w:rFonts w:asciiTheme="minorHAnsi" w:hAnsiTheme="minorHAnsi" w:cstheme="minorHAnsi"/>
                <w:b/>
                <w:bCs/>
                <w:i/>
                <w:iCs/>
              </w:rPr>
            </w:pPr>
            <w:r w:rsidRPr="00037AD4">
              <w:rPr>
                <w:rFonts w:asciiTheme="minorHAnsi" w:hAnsiTheme="minorHAnsi" w:cstheme="minorHAnsi"/>
                <w:b/>
                <w:bCs/>
                <w:i/>
                <w:iCs/>
              </w:rPr>
              <w:t>2</w:t>
            </w:r>
          </w:p>
        </w:tc>
        <w:tc>
          <w:tcPr>
            <w:tcW w:w="1306" w:type="dxa"/>
          </w:tcPr>
          <w:p w14:paraId="6ACB3A9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299</w:t>
            </w:r>
          </w:p>
        </w:tc>
        <w:tc>
          <w:tcPr>
            <w:tcW w:w="1306" w:type="dxa"/>
          </w:tcPr>
          <w:p w14:paraId="1194D54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26.4</w:t>
            </w:r>
          </w:p>
        </w:tc>
        <w:tc>
          <w:tcPr>
            <w:tcW w:w="1306" w:type="dxa"/>
          </w:tcPr>
          <w:p w14:paraId="15C6033F" w14:textId="77777777" w:rsidR="00B54D51" w:rsidRPr="00037AD4" w:rsidRDefault="00B54D51" w:rsidP="00401C67">
            <w:pPr>
              <w:rPr>
                <w:rFonts w:asciiTheme="minorHAnsi" w:hAnsiTheme="minorHAnsi" w:cstheme="minorHAnsi"/>
                <w:b/>
                <w:bCs/>
                <w:i/>
                <w:iCs/>
              </w:rPr>
            </w:pPr>
            <w:r w:rsidRPr="00037AD4">
              <w:rPr>
                <w:rFonts w:asciiTheme="minorHAnsi" w:hAnsiTheme="minorHAnsi" w:cstheme="minorHAnsi"/>
                <w:b/>
                <w:bCs/>
                <w:i/>
                <w:iCs/>
              </w:rPr>
              <w:t>2</w:t>
            </w:r>
          </w:p>
        </w:tc>
        <w:tc>
          <w:tcPr>
            <w:tcW w:w="1306" w:type="dxa"/>
          </w:tcPr>
          <w:p w14:paraId="6877393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344</w:t>
            </w:r>
          </w:p>
        </w:tc>
        <w:tc>
          <w:tcPr>
            <w:tcW w:w="1306" w:type="dxa"/>
          </w:tcPr>
          <w:p w14:paraId="40D9D43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29.1</w:t>
            </w:r>
          </w:p>
        </w:tc>
      </w:tr>
      <w:tr w:rsidR="00B54D51" w:rsidRPr="00037AD4" w14:paraId="05C1C9C8" w14:textId="77777777" w:rsidTr="00401C67">
        <w:trPr>
          <w:trHeight w:val="228"/>
        </w:trPr>
        <w:tc>
          <w:tcPr>
            <w:tcW w:w="1306" w:type="dxa"/>
          </w:tcPr>
          <w:p w14:paraId="70E3F689" w14:textId="77777777" w:rsidR="00B54D51" w:rsidRPr="00037AD4" w:rsidRDefault="00B54D51" w:rsidP="00401C67">
            <w:pPr>
              <w:rPr>
                <w:rFonts w:asciiTheme="minorHAnsi" w:hAnsiTheme="minorHAnsi" w:cstheme="minorHAnsi"/>
                <w:b/>
                <w:bCs/>
                <w:i/>
                <w:iCs/>
              </w:rPr>
            </w:pPr>
            <w:r w:rsidRPr="00037AD4">
              <w:rPr>
                <w:rFonts w:asciiTheme="minorHAnsi" w:hAnsiTheme="minorHAnsi" w:cstheme="minorHAnsi"/>
                <w:b/>
                <w:bCs/>
                <w:i/>
                <w:iCs/>
              </w:rPr>
              <w:t>3</w:t>
            </w:r>
          </w:p>
        </w:tc>
        <w:tc>
          <w:tcPr>
            <w:tcW w:w="1306" w:type="dxa"/>
          </w:tcPr>
          <w:p w14:paraId="7475CAF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131</w:t>
            </w:r>
          </w:p>
        </w:tc>
        <w:tc>
          <w:tcPr>
            <w:tcW w:w="1306" w:type="dxa"/>
          </w:tcPr>
          <w:p w14:paraId="65F981C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11.6</w:t>
            </w:r>
          </w:p>
        </w:tc>
        <w:tc>
          <w:tcPr>
            <w:tcW w:w="1306" w:type="dxa"/>
          </w:tcPr>
          <w:p w14:paraId="2FF3E9B0" w14:textId="77777777" w:rsidR="00B54D51" w:rsidRPr="00037AD4" w:rsidRDefault="00B54D51" w:rsidP="00401C67">
            <w:pPr>
              <w:rPr>
                <w:rFonts w:asciiTheme="minorHAnsi" w:hAnsiTheme="minorHAnsi" w:cstheme="minorHAnsi"/>
                <w:b/>
                <w:bCs/>
                <w:i/>
                <w:iCs/>
              </w:rPr>
            </w:pPr>
            <w:r w:rsidRPr="00037AD4">
              <w:rPr>
                <w:rFonts w:asciiTheme="minorHAnsi" w:hAnsiTheme="minorHAnsi" w:cstheme="minorHAnsi"/>
                <w:b/>
                <w:bCs/>
                <w:i/>
                <w:iCs/>
              </w:rPr>
              <w:t>3</w:t>
            </w:r>
          </w:p>
        </w:tc>
        <w:tc>
          <w:tcPr>
            <w:tcW w:w="1306" w:type="dxa"/>
          </w:tcPr>
          <w:p w14:paraId="3B58C23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301</w:t>
            </w:r>
          </w:p>
        </w:tc>
        <w:tc>
          <w:tcPr>
            <w:tcW w:w="1306" w:type="dxa"/>
          </w:tcPr>
          <w:p w14:paraId="57201B3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25.4</w:t>
            </w:r>
          </w:p>
        </w:tc>
      </w:tr>
      <w:tr w:rsidR="00B54D51" w:rsidRPr="00037AD4" w14:paraId="12B8A174" w14:textId="77777777" w:rsidTr="00401C67">
        <w:trPr>
          <w:trHeight w:val="228"/>
        </w:trPr>
        <w:tc>
          <w:tcPr>
            <w:tcW w:w="1306" w:type="dxa"/>
          </w:tcPr>
          <w:p w14:paraId="7666B03B" w14:textId="77777777" w:rsidR="00B54D51" w:rsidRPr="00037AD4" w:rsidRDefault="00B54D51" w:rsidP="00401C67">
            <w:pPr>
              <w:rPr>
                <w:rFonts w:asciiTheme="minorHAnsi" w:hAnsiTheme="minorHAnsi" w:cstheme="minorHAnsi"/>
                <w:b/>
                <w:bCs/>
                <w:i/>
                <w:iCs/>
              </w:rPr>
            </w:pPr>
            <w:r w:rsidRPr="00037AD4">
              <w:rPr>
                <w:rFonts w:asciiTheme="minorHAnsi" w:hAnsiTheme="minorHAnsi" w:cstheme="minorHAnsi"/>
                <w:b/>
                <w:bCs/>
                <w:i/>
                <w:iCs/>
              </w:rPr>
              <w:t>4</w:t>
            </w:r>
          </w:p>
        </w:tc>
        <w:tc>
          <w:tcPr>
            <w:tcW w:w="1306" w:type="dxa"/>
          </w:tcPr>
          <w:p w14:paraId="5C83B89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25</w:t>
            </w:r>
          </w:p>
        </w:tc>
        <w:tc>
          <w:tcPr>
            <w:tcW w:w="1306" w:type="dxa"/>
          </w:tcPr>
          <w:p w14:paraId="444CC40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2.2</w:t>
            </w:r>
          </w:p>
        </w:tc>
        <w:tc>
          <w:tcPr>
            <w:tcW w:w="1306" w:type="dxa"/>
          </w:tcPr>
          <w:p w14:paraId="50093E92" w14:textId="77777777" w:rsidR="00B54D51" w:rsidRPr="00037AD4" w:rsidRDefault="00B54D51" w:rsidP="00401C67">
            <w:pPr>
              <w:rPr>
                <w:rFonts w:asciiTheme="minorHAnsi" w:hAnsiTheme="minorHAnsi" w:cstheme="minorHAnsi"/>
                <w:b/>
                <w:bCs/>
                <w:i/>
                <w:iCs/>
              </w:rPr>
            </w:pPr>
            <w:r w:rsidRPr="00037AD4">
              <w:rPr>
                <w:rFonts w:asciiTheme="minorHAnsi" w:hAnsiTheme="minorHAnsi" w:cstheme="minorHAnsi"/>
                <w:b/>
                <w:bCs/>
                <w:i/>
                <w:iCs/>
              </w:rPr>
              <w:t>4</w:t>
            </w:r>
          </w:p>
        </w:tc>
        <w:tc>
          <w:tcPr>
            <w:tcW w:w="1306" w:type="dxa"/>
          </w:tcPr>
          <w:p w14:paraId="0DB254D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80</w:t>
            </w:r>
          </w:p>
        </w:tc>
        <w:tc>
          <w:tcPr>
            <w:tcW w:w="1306" w:type="dxa"/>
          </w:tcPr>
          <w:p w14:paraId="0D6C670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6.8</w:t>
            </w:r>
          </w:p>
        </w:tc>
      </w:tr>
      <w:tr w:rsidR="00B54D51" w:rsidRPr="00037AD4" w14:paraId="027B1114" w14:textId="77777777" w:rsidTr="00401C67">
        <w:trPr>
          <w:trHeight w:val="67"/>
        </w:trPr>
        <w:tc>
          <w:tcPr>
            <w:tcW w:w="1306" w:type="dxa"/>
          </w:tcPr>
          <w:p w14:paraId="50169DEE" w14:textId="77777777" w:rsidR="00B54D51" w:rsidRPr="00037AD4" w:rsidRDefault="00B54D51" w:rsidP="00401C67">
            <w:pPr>
              <w:rPr>
                <w:rFonts w:asciiTheme="minorHAnsi" w:hAnsiTheme="minorHAnsi" w:cstheme="minorHAnsi"/>
                <w:b/>
                <w:bCs/>
                <w:i/>
                <w:iCs/>
              </w:rPr>
            </w:pPr>
            <w:r w:rsidRPr="00037AD4">
              <w:rPr>
                <w:rFonts w:asciiTheme="minorHAnsi" w:hAnsiTheme="minorHAnsi" w:cstheme="minorHAnsi"/>
                <w:b/>
                <w:bCs/>
                <w:i/>
                <w:iCs/>
              </w:rPr>
              <w:t>5</w:t>
            </w:r>
          </w:p>
        </w:tc>
        <w:tc>
          <w:tcPr>
            <w:tcW w:w="1306" w:type="dxa"/>
          </w:tcPr>
          <w:p w14:paraId="0EB5958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3</w:t>
            </w:r>
          </w:p>
        </w:tc>
        <w:tc>
          <w:tcPr>
            <w:tcW w:w="1306" w:type="dxa"/>
          </w:tcPr>
          <w:p w14:paraId="6736C66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0.3</w:t>
            </w:r>
          </w:p>
        </w:tc>
        <w:tc>
          <w:tcPr>
            <w:tcW w:w="1306" w:type="dxa"/>
          </w:tcPr>
          <w:p w14:paraId="3B66D74E" w14:textId="77777777" w:rsidR="00B54D51" w:rsidRPr="00037AD4" w:rsidRDefault="00B54D51" w:rsidP="00401C67">
            <w:pPr>
              <w:rPr>
                <w:rFonts w:asciiTheme="minorHAnsi" w:hAnsiTheme="minorHAnsi" w:cstheme="minorHAnsi"/>
                <w:b/>
                <w:bCs/>
                <w:i/>
                <w:iCs/>
              </w:rPr>
            </w:pPr>
            <w:r w:rsidRPr="00037AD4">
              <w:rPr>
                <w:rFonts w:asciiTheme="minorHAnsi" w:hAnsiTheme="minorHAnsi" w:cstheme="minorHAnsi"/>
                <w:b/>
                <w:bCs/>
                <w:i/>
                <w:iCs/>
              </w:rPr>
              <w:t>5</w:t>
            </w:r>
          </w:p>
        </w:tc>
        <w:tc>
          <w:tcPr>
            <w:tcW w:w="1306" w:type="dxa"/>
          </w:tcPr>
          <w:p w14:paraId="735E9C6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w:t>
            </w:r>
          </w:p>
        </w:tc>
        <w:tc>
          <w:tcPr>
            <w:tcW w:w="1306" w:type="dxa"/>
          </w:tcPr>
          <w:p w14:paraId="0FA3302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0.1</w:t>
            </w:r>
          </w:p>
        </w:tc>
      </w:tr>
      <w:tr w:rsidR="00B54D51" w:rsidRPr="00037AD4" w14:paraId="0F94333C" w14:textId="77777777" w:rsidTr="00401C67">
        <w:trPr>
          <w:trHeight w:val="67"/>
        </w:trPr>
        <w:tc>
          <w:tcPr>
            <w:tcW w:w="1306" w:type="dxa"/>
          </w:tcPr>
          <w:p w14:paraId="464AD5A0"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EQ-5D index score</w:t>
            </w:r>
          </w:p>
        </w:tc>
        <w:tc>
          <w:tcPr>
            <w:tcW w:w="1306" w:type="dxa"/>
          </w:tcPr>
          <w:p w14:paraId="3FF23F2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0.77 (0.21)</w:t>
            </w:r>
          </w:p>
        </w:tc>
        <w:tc>
          <w:tcPr>
            <w:tcW w:w="1306" w:type="dxa"/>
          </w:tcPr>
          <w:p w14:paraId="4B6DBED1" w14:textId="77777777" w:rsidR="00B54D51" w:rsidRPr="00037AD4" w:rsidRDefault="00B54D51" w:rsidP="00401C67">
            <w:pPr>
              <w:rPr>
                <w:rFonts w:asciiTheme="minorHAnsi" w:hAnsiTheme="minorHAnsi" w:cstheme="minorHAnsi"/>
              </w:rPr>
            </w:pPr>
          </w:p>
        </w:tc>
        <w:tc>
          <w:tcPr>
            <w:tcW w:w="1306" w:type="dxa"/>
          </w:tcPr>
          <w:p w14:paraId="4C3E373C"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EQ-5D index score</w:t>
            </w:r>
          </w:p>
        </w:tc>
        <w:tc>
          <w:tcPr>
            <w:tcW w:w="1306" w:type="dxa"/>
          </w:tcPr>
          <w:p w14:paraId="09D9D47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0.59 (0.26) </w:t>
            </w:r>
          </w:p>
        </w:tc>
        <w:tc>
          <w:tcPr>
            <w:tcW w:w="1306" w:type="dxa"/>
          </w:tcPr>
          <w:p w14:paraId="04B785C9" w14:textId="77777777" w:rsidR="00B54D51" w:rsidRPr="00037AD4" w:rsidRDefault="00B54D51" w:rsidP="00401C67">
            <w:pPr>
              <w:rPr>
                <w:rFonts w:asciiTheme="minorHAnsi" w:hAnsiTheme="minorHAnsi" w:cstheme="minorHAnsi"/>
              </w:rPr>
            </w:pPr>
          </w:p>
        </w:tc>
      </w:tr>
    </w:tbl>
    <w:p w14:paraId="437E35A6" w14:textId="77777777" w:rsidR="00B54D51" w:rsidRPr="00037AD4" w:rsidRDefault="00B54D51" w:rsidP="001D7ACE">
      <w:pPr>
        <w:rPr>
          <w:rFonts w:asciiTheme="minorHAnsi" w:hAnsiTheme="minorHAnsi" w:cstheme="minorHAnsi"/>
          <w:color w:val="000000" w:themeColor="text1"/>
          <w:u w:val="single"/>
        </w:rPr>
      </w:pPr>
    </w:p>
    <w:p w14:paraId="5BDD0BA0" w14:textId="77777777" w:rsidR="00B54D51" w:rsidRPr="00037AD4" w:rsidRDefault="00B54D51" w:rsidP="001D7ACE">
      <w:pPr>
        <w:rPr>
          <w:rFonts w:asciiTheme="minorHAnsi" w:hAnsiTheme="minorHAnsi" w:cstheme="minorHAnsi"/>
          <w:color w:val="000000" w:themeColor="text1"/>
          <w:u w:val="single"/>
        </w:rPr>
      </w:pPr>
    </w:p>
    <w:p w14:paraId="4A13EFA9" w14:textId="77777777" w:rsidR="00B54D51" w:rsidRPr="00037AD4" w:rsidRDefault="00B54D51" w:rsidP="001D7ACE">
      <w:pPr>
        <w:rPr>
          <w:rFonts w:asciiTheme="minorHAnsi" w:hAnsiTheme="minorHAnsi" w:cstheme="minorHAnsi"/>
          <w:color w:val="000000" w:themeColor="text1"/>
          <w:u w:val="single"/>
        </w:rPr>
      </w:pPr>
    </w:p>
    <w:p w14:paraId="79DE0DDE" w14:textId="77777777" w:rsidR="00B54D51" w:rsidRPr="00037AD4" w:rsidRDefault="00B54D51" w:rsidP="001D7ACE">
      <w:pPr>
        <w:rPr>
          <w:rFonts w:asciiTheme="minorHAnsi" w:hAnsiTheme="minorHAnsi" w:cstheme="minorHAnsi"/>
          <w:color w:val="000000" w:themeColor="text1"/>
          <w:u w:val="single"/>
        </w:rPr>
      </w:pPr>
    </w:p>
    <w:p w14:paraId="56C6F7EE" w14:textId="77777777" w:rsidR="00B54D51" w:rsidRPr="00037AD4" w:rsidRDefault="00B54D51" w:rsidP="001D7ACE">
      <w:pPr>
        <w:rPr>
          <w:rFonts w:asciiTheme="minorHAnsi" w:hAnsiTheme="minorHAnsi" w:cstheme="minorHAnsi"/>
          <w:color w:val="000000" w:themeColor="text1"/>
          <w:u w:val="single"/>
        </w:rPr>
      </w:pPr>
    </w:p>
    <w:p w14:paraId="2A225016" w14:textId="77777777" w:rsidR="00B54D51" w:rsidRPr="00037AD4" w:rsidRDefault="00B54D51" w:rsidP="001D7ACE">
      <w:pPr>
        <w:rPr>
          <w:rFonts w:asciiTheme="minorHAnsi" w:hAnsiTheme="minorHAnsi" w:cstheme="minorHAnsi"/>
          <w:color w:val="000000" w:themeColor="text1"/>
          <w:u w:val="single"/>
        </w:rPr>
      </w:pPr>
    </w:p>
    <w:p w14:paraId="016721AE" w14:textId="77777777" w:rsidR="00B54D51" w:rsidRPr="00037AD4" w:rsidRDefault="00B54D51" w:rsidP="001D7ACE">
      <w:pPr>
        <w:rPr>
          <w:rFonts w:asciiTheme="minorHAnsi" w:hAnsiTheme="minorHAnsi" w:cstheme="minorHAnsi"/>
          <w:color w:val="000000" w:themeColor="text1"/>
          <w:u w:val="single"/>
        </w:rPr>
      </w:pPr>
    </w:p>
    <w:p w14:paraId="6C83C0D6" w14:textId="77777777" w:rsidR="00B54D51" w:rsidRPr="00037AD4" w:rsidRDefault="00B54D51" w:rsidP="001D7ACE">
      <w:pPr>
        <w:rPr>
          <w:rFonts w:asciiTheme="minorHAnsi" w:hAnsiTheme="minorHAnsi" w:cstheme="minorHAnsi"/>
          <w:color w:val="000000" w:themeColor="text1"/>
          <w:u w:val="single"/>
        </w:rPr>
      </w:pPr>
    </w:p>
    <w:p w14:paraId="1589CD87" w14:textId="77777777" w:rsidR="00B54D51" w:rsidRPr="00037AD4" w:rsidRDefault="00B54D51" w:rsidP="001D7ACE">
      <w:pPr>
        <w:rPr>
          <w:rFonts w:asciiTheme="minorHAnsi" w:hAnsiTheme="minorHAnsi" w:cstheme="minorHAnsi"/>
          <w:color w:val="000000" w:themeColor="text1"/>
          <w:u w:val="single"/>
        </w:rPr>
      </w:pPr>
      <w:bookmarkStart w:id="526" w:name="TableA6B"/>
      <w:r w:rsidRPr="00037AD4">
        <w:rPr>
          <w:rFonts w:asciiTheme="minorHAnsi" w:hAnsiTheme="minorHAnsi" w:cstheme="minorHAnsi"/>
          <w:color w:val="000000" w:themeColor="text1"/>
          <w:u w:val="single"/>
        </w:rPr>
        <w:lastRenderedPageBreak/>
        <w:t xml:space="preserve">Table A6b, Response frequency table: EPIC </w:t>
      </w:r>
    </w:p>
    <w:bookmarkEnd w:id="526"/>
    <w:p w14:paraId="629E75C1" w14:textId="77777777" w:rsidR="00B54D51" w:rsidRPr="00037AD4" w:rsidRDefault="00B54D51" w:rsidP="001D7ACE">
      <w:pPr>
        <w:rPr>
          <w:rFonts w:asciiTheme="minorHAnsi" w:hAnsiTheme="minorHAnsi" w:cstheme="minorHAnsi"/>
          <w:u w:val="single"/>
        </w:rPr>
      </w:pPr>
    </w:p>
    <w:tbl>
      <w:tblPr>
        <w:tblStyle w:val="TableGrid"/>
        <w:tblW w:w="0" w:type="auto"/>
        <w:tblLook w:val="04A0" w:firstRow="1" w:lastRow="0" w:firstColumn="1" w:lastColumn="0" w:noHBand="0" w:noVBand="1"/>
      </w:tblPr>
      <w:tblGrid>
        <w:gridCol w:w="1306"/>
        <w:gridCol w:w="1306"/>
        <w:gridCol w:w="1306"/>
        <w:gridCol w:w="1306"/>
        <w:gridCol w:w="1306"/>
        <w:gridCol w:w="1306"/>
      </w:tblGrid>
      <w:tr w:rsidR="00B54D51" w:rsidRPr="00037AD4" w14:paraId="1EA6C4F3" w14:textId="77777777" w:rsidTr="00401C67">
        <w:trPr>
          <w:trHeight w:val="228"/>
        </w:trPr>
        <w:tc>
          <w:tcPr>
            <w:tcW w:w="1306" w:type="dxa"/>
            <w:shd w:val="clear" w:color="auto" w:fill="auto"/>
          </w:tcPr>
          <w:p w14:paraId="7418526A"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PwD</w:t>
            </w:r>
          </w:p>
        </w:tc>
        <w:tc>
          <w:tcPr>
            <w:tcW w:w="1306" w:type="dxa"/>
            <w:shd w:val="clear" w:color="auto" w:fill="auto"/>
          </w:tcPr>
          <w:p w14:paraId="641E9C8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N</w:t>
            </w:r>
          </w:p>
        </w:tc>
        <w:tc>
          <w:tcPr>
            <w:tcW w:w="1306" w:type="dxa"/>
            <w:shd w:val="clear" w:color="auto" w:fill="auto"/>
          </w:tcPr>
          <w:p w14:paraId="0567AFC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w:t>
            </w:r>
          </w:p>
        </w:tc>
        <w:tc>
          <w:tcPr>
            <w:tcW w:w="1306" w:type="dxa"/>
            <w:shd w:val="clear" w:color="auto" w:fill="auto"/>
          </w:tcPr>
          <w:p w14:paraId="75D00D42"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Staff proxy</w:t>
            </w:r>
          </w:p>
        </w:tc>
        <w:tc>
          <w:tcPr>
            <w:tcW w:w="1306" w:type="dxa"/>
            <w:shd w:val="clear" w:color="auto" w:fill="auto"/>
          </w:tcPr>
          <w:p w14:paraId="4999893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N</w:t>
            </w:r>
          </w:p>
        </w:tc>
        <w:tc>
          <w:tcPr>
            <w:tcW w:w="1306" w:type="dxa"/>
            <w:shd w:val="clear" w:color="auto" w:fill="auto"/>
          </w:tcPr>
          <w:p w14:paraId="223321D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w:t>
            </w:r>
          </w:p>
        </w:tc>
      </w:tr>
      <w:tr w:rsidR="00B54D51" w:rsidRPr="00037AD4" w14:paraId="31E7AB4E" w14:textId="77777777" w:rsidTr="00401C67">
        <w:trPr>
          <w:trHeight w:val="228"/>
        </w:trPr>
        <w:tc>
          <w:tcPr>
            <w:tcW w:w="7836" w:type="dxa"/>
            <w:gridSpan w:val="6"/>
            <w:shd w:val="clear" w:color="auto" w:fill="E7E6E6" w:themeFill="background2"/>
          </w:tcPr>
          <w:p w14:paraId="7EDE5173" w14:textId="77777777" w:rsidR="00B54D51" w:rsidRPr="00037AD4" w:rsidRDefault="00B54D51" w:rsidP="00401C67">
            <w:pPr>
              <w:jc w:val="center"/>
              <w:rPr>
                <w:rFonts w:asciiTheme="minorHAnsi" w:hAnsiTheme="minorHAnsi" w:cstheme="minorHAnsi"/>
                <w:b/>
                <w:bCs/>
              </w:rPr>
            </w:pPr>
            <w:r w:rsidRPr="00037AD4">
              <w:rPr>
                <w:rFonts w:asciiTheme="minorHAnsi" w:hAnsiTheme="minorHAnsi" w:cstheme="minorHAnsi"/>
                <w:b/>
                <w:bCs/>
              </w:rPr>
              <w:t>Mobility</w:t>
            </w:r>
          </w:p>
        </w:tc>
      </w:tr>
      <w:tr w:rsidR="00B54D51" w:rsidRPr="00037AD4" w14:paraId="2CA5EFEC" w14:textId="77777777" w:rsidTr="00401C67">
        <w:trPr>
          <w:trHeight w:val="239"/>
        </w:trPr>
        <w:tc>
          <w:tcPr>
            <w:tcW w:w="1306" w:type="dxa"/>
          </w:tcPr>
          <w:p w14:paraId="1FA39300" w14:textId="77777777" w:rsidR="00B54D51" w:rsidRPr="00037AD4" w:rsidRDefault="00B54D51" w:rsidP="00401C67">
            <w:pPr>
              <w:rPr>
                <w:rFonts w:asciiTheme="minorHAnsi" w:hAnsiTheme="minorHAnsi" w:cstheme="minorHAnsi"/>
                <w:b/>
                <w:bCs/>
                <w:i/>
                <w:iCs/>
              </w:rPr>
            </w:pPr>
            <w:r w:rsidRPr="00037AD4">
              <w:rPr>
                <w:rFonts w:asciiTheme="minorHAnsi" w:hAnsiTheme="minorHAnsi" w:cstheme="minorHAnsi"/>
                <w:b/>
                <w:bCs/>
                <w:i/>
                <w:iCs/>
              </w:rPr>
              <w:t>1</w:t>
            </w:r>
          </w:p>
        </w:tc>
        <w:tc>
          <w:tcPr>
            <w:tcW w:w="1306" w:type="dxa"/>
          </w:tcPr>
          <w:p w14:paraId="614B1B4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462</w:t>
            </w:r>
          </w:p>
        </w:tc>
        <w:tc>
          <w:tcPr>
            <w:tcW w:w="1306" w:type="dxa"/>
          </w:tcPr>
          <w:p w14:paraId="19632A9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57.6</w:t>
            </w:r>
          </w:p>
        </w:tc>
        <w:tc>
          <w:tcPr>
            <w:tcW w:w="1306" w:type="dxa"/>
          </w:tcPr>
          <w:p w14:paraId="0C64F577" w14:textId="77777777" w:rsidR="00B54D51" w:rsidRPr="00037AD4" w:rsidRDefault="00B54D51" w:rsidP="00401C67">
            <w:pPr>
              <w:rPr>
                <w:rFonts w:asciiTheme="minorHAnsi" w:hAnsiTheme="minorHAnsi" w:cstheme="minorHAnsi"/>
                <w:b/>
                <w:bCs/>
                <w:i/>
                <w:iCs/>
              </w:rPr>
            </w:pPr>
            <w:r w:rsidRPr="00037AD4">
              <w:rPr>
                <w:rFonts w:asciiTheme="minorHAnsi" w:hAnsiTheme="minorHAnsi" w:cstheme="minorHAnsi"/>
                <w:b/>
                <w:bCs/>
                <w:i/>
                <w:iCs/>
              </w:rPr>
              <w:t>1</w:t>
            </w:r>
          </w:p>
        </w:tc>
        <w:tc>
          <w:tcPr>
            <w:tcW w:w="1306" w:type="dxa"/>
          </w:tcPr>
          <w:p w14:paraId="1829823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590</w:t>
            </w:r>
          </w:p>
        </w:tc>
        <w:tc>
          <w:tcPr>
            <w:tcW w:w="1306" w:type="dxa"/>
          </w:tcPr>
          <w:p w14:paraId="0B75435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34.7</w:t>
            </w:r>
          </w:p>
        </w:tc>
      </w:tr>
      <w:tr w:rsidR="00B54D51" w:rsidRPr="00037AD4" w14:paraId="6007CD76" w14:textId="77777777" w:rsidTr="00401C67">
        <w:trPr>
          <w:trHeight w:val="228"/>
        </w:trPr>
        <w:tc>
          <w:tcPr>
            <w:tcW w:w="1306" w:type="dxa"/>
          </w:tcPr>
          <w:p w14:paraId="74F1FFDB" w14:textId="77777777" w:rsidR="00B54D51" w:rsidRPr="00037AD4" w:rsidRDefault="00B54D51" w:rsidP="00401C67">
            <w:pPr>
              <w:rPr>
                <w:rFonts w:asciiTheme="minorHAnsi" w:hAnsiTheme="minorHAnsi" w:cstheme="minorHAnsi"/>
                <w:b/>
                <w:bCs/>
                <w:i/>
                <w:iCs/>
              </w:rPr>
            </w:pPr>
            <w:r w:rsidRPr="00037AD4">
              <w:rPr>
                <w:rFonts w:asciiTheme="minorHAnsi" w:hAnsiTheme="minorHAnsi" w:cstheme="minorHAnsi"/>
                <w:b/>
                <w:bCs/>
                <w:i/>
                <w:iCs/>
              </w:rPr>
              <w:t>2</w:t>
            </w:r>
          </w:p>
        </w:tc>
        <w:tc>
          <w:tcPr>
            <w:tcW w:w="1306" w:type="dxa"/>
          </w:tcPr>
          <w:p w14:paraId="02F16D9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149 </w:t>
            </w:r>
          </w:p>
        </w:tc>
        <w:tc>
          <w:tcPr>
            <w:tcW w:w="1306" w:type="dxa"/>
          </w:tcPr>
          <w:p w14:paraId="03053B0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18.6</w:t>
            </w:r>
          </w:p>
        </w:tc>
        <w:tc>
          <w:tcPr>
            <w:tcW w:w="1306" w:type="dxa"/>
          </w:tcPr>
          <w:p w14:paraId="7AB55B58" w14:textId="77777777" w:rsidR="00B54D51" w:rsidRPr="00037AD4" w:rsidRDefault="00B54D51" w:rsidP="00401C67">
            <w:pPr>
              <w:rPr>
                <w:rFonts w:asciiTheme="minorHAnsi" w:hAnsiTheme="minorHAnsi" w:cstheme="minorHAnsi"/>
                <w:b/>
                <w:bCs/>
                <w:i/>
                <w:iCs/>
              </w:rPr>
            </w:pPr>
            <w:r w:rsidRPr="00037AD4">
              <w:rPr>
                <w:rFonts w:asciiTheme="minorHAnsi" w:hAnsiTheme="minorHAnsi" w:cstheme="minorHAnsi"/>
                <w:b/>
                <w:bCs/>
                <w:i/>
                <w:iCs/>
              </w:rPr>
              <w:t>2</w:t>
            </w:r>
          </w:p>
        </w:tc>
        <w:tc>
          <w:tcPr>
            <w:tcW w:w="1306" w:type="dxa"/>
          </w:tcPr>
          <w:p w14:paraId="1A7E48D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252</w:t>
            </w:r>
          </w:p>
        </w:tc>
        <w:tc>
          <w:tcPr>
            <w:tcW w:w="1306" w:type="dxa"/>
          </w:tcPr>
          <w:p w14:paraId="79BCEE1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14.8</w:t>
            </w:r>
          </w:p>
        </w:tc>
      </w:tr>
      <w:tr w:rsidR="00B54D51" w:rsidRPr="00037AD4" w14:paraId="40FF7A87" w14:textId="77777777" w:rsidTr="00401C67">
        <w:trPr>
          <w:trHeight w:val="228"/>
        </w:trPr>
        <w:tc>
          <w:tcPr>
            <w:tcW w:w="1306" w:type="dxa"/>
          </w:tcPr>
          <w:p w14:paraId="26621CAF" w14:textId="77777777" w:rsidR="00B54D51" w:rsidRPr="00037AD4" w:rsidRDefault="00B54D51" w:rsidP="00401C67">
            <w:pPr>
              <w:rPr>
                <w:rFonts w:asciiTheme="minorHAnsi" w:hAnsiTheme="minorHAnsi" w:cstheme="minorHAnsi"/>
                <w:b/>
                <w:bCs/>
                <w:i/>
                <w:iCs/>
              </w:rPr>
            </w:pPr>
            <w:r w:rsidRPr="00037AD4">
              <w:rPr>
                <w:rFonts w:asciiTheme="minorHAnsi" w:hAnsiTheme="minorHAnsi" w:cstheme="minorHAnsi"/>
                <w:b/>
                <w:bCs/>
                <w:i/>
                <w:iCs/>
              </w:rPr>
              <w:t>3</w:t>
            </w:r>
          </w:p>
        </w:tc>
        <w:tc>
          <w:tcPr>
            <w:tcW w:w="1306" w:type="dxa"/>
          </w:tcPr>
          <w:p w14:paraId="1CF31FD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79</w:t>
            </w:r>
          </w:p>
        </w:tc>
        <w:tc>
          <w:tcPr>
            <w:tcW w:w="1306" w:type="dxa"/>
          </w:tcPr>
          <w:p w14:paraId="361A6DA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9.9</w:t>
            </w:r>
          </w:p>
        </w:tc>
        <w:tc>
          <w:tcPr>
            <w:tcW w:w="1306" w:type="dxa"/>
          </w:tcPr>
          <w:p w14:paraId="2EEC7522" w14:textId="77777777" w:rsidR="00B54D51" w:rsidRPr="00037AD4" w:rsidRDefault="00B54D51" w:rsidP="00401C67">
            <w:pPr>
              <w:rPr>
                <w:rFonts w:asciiTheme="minorHAnsi" w:hAnsiTheme="minorHAnsi" w:cstheme="minorHAnsi"/>
                <w:b/>
                <w:bCs/>
                <w:i/>
                <w:iCs/>
              </w:rPr>
            </w:pPr>
            <w:r w:rsidRPr="00037AD4">
              <w:rPr>
                <w:rFonts w:asciiTheme="minorHAnsi" w:hAnsiTheme="minorHAnsi" w:cstheme="minorHAnsi"/>
                <w:b/>
                <w:bCs/>
                <w:i/>
                <w:iCs/>
              </w:rPr>
              <w:t>3</w:t>
            </w:r>
          </w:p>
        </w:tc>
        <w:tc>
          <w:tcPr>
            <w:tcW w:w="1306" w:type="dxa"/>
          </w:tcPr>
          <w:p w14:paraId="4056634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175</w:t>
            </w:r>
          </w:p>
        </w:tc>
        <w:tc>
          <w:tcPr>
            <w:tcW w:w="1306" w:type="dxa"/>
          </w:tcPr>
          <w:p w14:paraId="4D2C8BE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10.3</w:t>
            </w:r>
          </w:p>
        </w:tc>
      </w:tr>
      <w:tr w:rsidR="00B54D51" w:rsidRPr="00037AD4" w14:paraId="7B8F56D0" w14:textId="77777777" w:rsidTr="00401C67">
        <w:trPr>
          <w:trHeight w:val="228"/>
        </w:trPr>
        <w:tc>
          <w:tcPr>
            <w:tcW w:w="1306" w:type="dxa"/>
          </w:tcPr>
          <w:p w14:paraId="240C5893" w14:textId="77777777" w:rsidR="00B54D51" w:rsidRPr="00037AD4" w:rsidRDefault="00B54D51" w:rsidP="00401C67">
            <w:pPr>
              <w:rPr>
                <w:rFonts w:asciiTheme="minorHAnsi" w:hAnsiTheme="minorHAnsi" w:cstheme="minorHAnsi"/>
                <w:b/>
                <w:bCs/>
                <w:i/>
                <w:iCs/>
              </w:rPr>
            </w:pPr>
            <w:r w:rsidRPr="00037AD4">
              <w:rPr>
                <w:rFonts w:asciiTheme="minorHAnsi" w:hAnsiTheme="minorHAnsi" w:cstheme="minorHAnsi"/>
                <w:b/>
                <w:bCs/>
                <w:i/>
                <w:iCs/>
              </w:rPr>
              <w:t>4</w:t>
            </w:r>
          </w:p>
        </w:tc>
        <w:tc>
          <w:tcPr>
            <w:tcW w:w="1306" w:type="dxa"/>
          </w:tcPr>
          <w:p w14:paraId="08AEB67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40</w:t>
            </w:r>
          </w:p>
        </w:tc>
        <w:tc>
          <w:tcPr>
            <w:tcW w:w="1306" w:type="dxa"/>
          </w:tcPr>
          <w:p w14:paraId="319B2D3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5.0</w:t>
            </w:r>
          </w:p>
        </w:tc>
        <w:tc>
          <w:tcPr>
            <w:tcW w:w="1306" w:type="dxa"/>
          </w:tcPr>
          <w:p w14:paraId="2921F74A" w14:textId="77777777" w:rsidR="00B54D51" w:rsidRPr="00037AD4" w:rsidRDefault="00B54D51" w:rsidP="00401C67">
            <w:pPr>
              <w:rPr>
                <w:rFonts w:asciiTheme="minorHAnsi" w:hAnsiTheme="minorHAnsi" w:cstheme="minorHAnsi"/>
                <w:b/>
                <w:bCs/>
                <w:i/>
                <w:iCs/>
              </w:rPr>
            </w:pPr>
            <w:r w:rsidRPr="00037AD4">
              <w:rPr>
                <w:rFonts w:asciiTheme="minorHAnsi" w:hAnsiTheme="minorHAnsi" w:cstheme="minorHAnsi"/>
                <w:b/>
                <w:bCs/>
                <w:i/>
                <w:iCs/>
              </w:rPr>
              <w:t>4</w:t>
            </w:r>
          </w:p>
        </w:tc>
        <w:tc>
          <w:tcPr>
            <w:tcW w:w="1306" w:type="dxa"/>
          </w:tcPr>
          <w:p w14:paraId="17188BB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117</w:t>
            </w:r>
          </w:p>
        </w:tc>
        <w:tc>
          <w:tcPr>
            <w:tcW w:w="1306" w:type="dxa"/>
          </w:tcPr>
          <w:p w14:paraId="23B5411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6.9</w:t>
            </w:r>
          </w:p>
        </w:tc>
      </w:tr>
      <w:tr w:rsidR="00B54D51" w:rsidRPr="00037AD4" w14:paraId="709B39E9" w14:textId="77777777" w:rsidTr="00401C67">
        <w:trPr>
          <w:trHeight w:val="90"/>
        </w:trPr>
        <w:tc>
          <w:tcPr>
            <w:tcW w:w="1306" w:type="dxa"/>
          </w:tcPr>
          <w:p w14:paraId="450257A2" w14:textId="77777777" w:rsidR="00B54D51" w:rsidRPr="00037AD4" w:rsidRDefault="00B54D51" w:rsidP="00401C67">
            <w:pPr>
              <w:rPr>
                <w:rFonts w:asciiTheme="minorHAnsi" w:hAnsiTheme="minorHAnsi" w:cstheme="minorHAnsi"/>
                <w:b/>
                <w:bCs/>
                <w:i/>
                <w:iCs/>
              </w:rPr>
            </w:pPr>
            <w:r w:rsidRPr="00037AD4">
              <w:rPr>
                <w:rFonts w:asciiTheme="minorHAnsi" w:hAnsiTheme="minorHAnsi" w:cstheme="minorHAnsi"/>
                <w:b/>
                <w:bCs/>
                <w:i/>
                <w:iCs/>
              </w:rPr>
              <w:t>5</w:t>
            </w:r>
          </w:p>
        </w:tc>
        <w:tc>
          <w:tcPr>
            <w:tcW w:w="1306" w:type="dxa"/>
          </w:tcPr>
          <w:p w14:paraId="05E8B54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72</w:t>
            </w:r>
          </w:p>
        </w:tc>
        <w:tc>
          <w:tcPr>
            <w:tcW w:w="1306" w:type="dxa"/>
          </w:tcPr>
          <w:p w14:paraId="4B7E121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9.0</w:t>
            </w:r>
          </w:p>
        </w:tc>
        <w:tc>
          <w:tcPr>
            <w:tcW w:w="1306" w:type="dxa"/>
          </w:tcPr>
          <w:p w14:paraId="3E890540" w14:textId="77777777" w:rsidR="00B54D51" w:rsidRPr="00037AD4" w:rsidRDefault="00B54D51" w:rsidP="00401C67">
            <w:pPr>
              <w:rPr>
                <w:rFonts w:asciiTheme="minorHAnsi" w:hAnsiTheme="minorHAnsi" w:cstheme="minorHAnsi"/>
                <w:b/>
                <w:bCs/>
                <w:i/>
                <w:iCs/>
              </w:rPr>
            </w:pPr>
            <w:r w:rsidRPr="00037AD4">
              <w:rPr>
                <w:rFonts w:asciiTheme="minorHAnsi" w:hAnsiTheme="minorHAnsi" w:cstheme="minorHAnsi"/>
                <w:b/>
                <w:bCs/>
                <w:i/>
                <w:iCs/>
              </w:rPr>
              <w:t>5</w:t>
            </w:r>
          </w:p>
        </w:tc>
        <w:tc>
          <w:tcPr>
            <w:tcW w:w="1306" w:type="dxa"/>
          </w:tcPr>
          <w:p w14:paraId="299B3C9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565</w:t>
            </w:r>
          </w:p>
        </w:tc>
        <w:tc>
          <w:tcPr>
            <w:tcW w:w="1306" w:type="dxa"/>
          </w:tcPr>
          <w:p w14:paraId="4371677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33.3</w:t>
            </w:r>
          </w:p>
        </w:tc>
      </w:tr>
      <w:tr w:rsidR="00B54D51" w:rsidRPr="00037AD4" w14:paraId="222F1A9E" w14:textId="77777777" w:rsidTr="00401C67">
        <w:trPr>
          <w:trHeight w:val="228"/>
        </w:trPr>
        <w:tc>
          <w:tcPr>
            <w:tcW w:w="7836" w:type="dxa"/>
            <w:gridSpan w:val="6"/>
            <w:shd w:val="clear" w:color="auto" w:fill="E7E6E6" w:themeFill="background2"/>
          </w:tcPr>
          <w:p w14:paraId="0E099F40" w14:textId="77777777" w:rsidR="00B54D51" w:rsidRPr="00037AD4" w:rsidRDefault="00B54D51" w:rsidP="00401C67">
            <w:pPr>
              <w:jc w:val="center"/>
              <w:rPr>
                <w:rFonts w:asciiTheme="minorHAnsi" w:hAnsiTheme="minorHAnsi" w:cstheme="minorHAnsi"/>
                <w:b/>
                <w:bCs/>
              </w:rPr>
            </w:pPr>
            <w:r w:rsidRPr="00037AD4">
              <w:rPr>
                <w:rFonts w:asciiTheme="minorHAnsi" w:hAnsiTheme="minorHAnsi" w:cstheme="minorHAnsi"/>
                <w:b/>
                <w:bCs/>
              </w:rPr>
              <w:t>Self-care</w:t>
            </w:r>
          </w:p>
        </w:tc>
      </w:tr>
      <w:tr w:rsidR="00B54D51" w:rsidRPr="00037AD4" w14:paraId="4296A22E" w14:textId="77777777" w:rsidTr="00401C67">
        <w:trPr>
          <w:trHeight w:val="228"/>
        </w:trPr>
        <w:tc>
          <w:tcPr>
            <w:tcW w:w="1306" w:type="dxa"/>
          </w:tcPr>
          <w:p w14:paraId="041CD401" w14:textId="77777777" w:rsidR="00B54D51" w:rsidRPr="00037AD4" w:rsidRDefault="00B54D51" w:rsidP="00401C67">
            <w:pPr>
              <w:rPr>
                <w:rFonts w:asciiTheme="minorHAnsi" w:hAnsiTheme="minorHAnsi" w:cstheme="minorHAnsi"/>
                <w:b/>
                <w:bCs/>
                <w:i/>
                <w:iCs/>
              </w:rPr>
            </w:pPr>
            <w:r w:rsidRPr="00037AD4">
              <w:rPr>
                <w:rFonts w:asciiTheme="minorHAnsi" w:hAnsiTheme="minorHAnsi" w:cstheme="minorHAnsi"/>
                <w:b/>
                <w:bCs/>
                <w:i/>
                <w:iCs/>
              </w:rPr>
              <w:t>1</w:t>
            </w:r>
          </w:p>
        </w:tc>
        <w:tc>
          <w:tcPr>
            <w:tcW w:w="1306" w:type="dxa"/>
          </w:tcPr>
          <w:p w14:paraId="60FDCB1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538</w:t>
            </w:r>
          </w:p>
        </w:tc>
        <w:tc>
          <w:tcPr>
            <w:tcW w:w="1306" w:type="dxa"/>
          </w:tcPr>
          <w:p w14:paraId="0365B31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67.3</w:t>
            </w:r>
          </w:p>
        </w:tc>
        <w:tc>
          <w:tcPr>
            <w:tcW w:w="1306" w:type="dxa"/>
          </w:tcPr>
          <w:p w14:paraId="6F950D04" w14:textId="77777777" w:rsidR="00B54D51" w:rsidRPr="00037AD4" w:rsidRDefault="00B54D51" w:rsidP="00401C67">
            <w:pPr>
              <w:rPr>
                <w:rFonts w:asciiTheme="minorHAnsi" w:hAnsiTheme="minorHAnsi" w:cstheme="minorHAnsi"/>
                <w:b/>
                <w:bCs/>
                <w:i/>
                <w:iCs/>
              </w:rPr>
            </w:pPr>
            <w:r w:rsidRPr="00037AD4">
              <w:rPr>
                <w:rFonts w:asciiTheme="minorHAnsi" w:hAnsiTheme="minorHAnsi" w:cstheme="minorHAnsi"/>
                <w:b/>
                <w:bCs/>
                <w:i/>
                <w:iCs/>
              </w:rPr>
              <w:t>1</w:t>
            </w:r>
          </w:p>
        </w:tc>
        <w:tc>
          <w:tcPr>
            <w:tcW w:w="1306" w:type="dxa"/>
          </w:tcPr>
          <w:p w14:paraId="4421361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228</w:t>
            </w:r>
          </w:p>
        </w:tc>
        <w:tc>
          <w:tcPr>
            <w:tcW w:w="1306" w:type="dxa"/>
          </w:tcPr>
          <w:p w14:paraId="49259A2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13.4</w:t>
            </w:r>
          </w:p>
        </w:tc>
      </w:tr>
      <w:tr w:rsidR="00B54D51" w:rsidRPr="00037AD4" w14:paraId="0149EB2D" w14:textId="77777777" w:rsidTr="00401C67">
        <w:trPr>
          <w:trHeight w:val="228"/>
        </w:trPr>
        <w:tc>
          <w:tcPr>
            <w:tcW w:w="1306" w:type="dxa"/>
          </w:tcPr>
          <w:p w14:paraId="27D88F69" w14:textId="77777777" w:rsidR="00B54D51" w:rsidRPr="00037AD4" w:rsidRDefault="00B54D51" w:rsidP="00401C67">
            <w:pPr>
              <w:rPr>
                <w:rFonts w:asciiTheme="minorHAnsi" w:hAnsiTheme="minorHAnsi" w:cstheme="minorHAnsi"/>
                <w:b/>
                <w:bCs/>
                <w:i/>
                <w:iCs/>
              </w:rPr>
            </w:pPr>
            <w:r w:rsidRPr="00037AD4">
              <w:rPr>
                <w:rFonts w:asciiTheme="minorHAnsi" w:hAnsiTheme="minorHAnsi" w:cstheme="minorHAnsi"/>
                <w:b/>
                <w:bCs/>
                <w:i/>
                <w:iCs/>
              </w:rPr>
              <w:t>2</w:t>
            </w:r>
          </w:p>
        </w:tc>
        <w:tc>
          <w:tcPr>
            <w:tcW w:w="1306" w:type="dxa"/>
          </w:tcPr>
          <w:p w14:paraId="3A027AA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130</w:t>
            </w:r>
          </w:p>
        </w:tc>
        <w:tc>
          <w:tcPr>
            <w:tcW w:w="1306" w:type="dxa"/>
          </w:tcPr>
          <w:p w14:paraId="0C28F5E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16.3</w:t>
            </w:r>
          </w:p>
        </w:tc>
        <w:tc>
          <w:tcPr>
            <w:tcW w:w="1306" w:type="dxa"/>
          </w:tcPr>
          <w:p w14:paraId="1A6F259F" w14:textId="77777777" w:rsidR="00B54D51" w:rsidRPr="00037AD4" w:rsidRDefault="00B54D51" w:rsidP="00401C67">
            <w:pPr>
              <w:rPr>
                <w:rFonts w:asciiTheme="minorHAnsi" w:hAnsiTheme="minorHAnsi" w:cstheme="minorHAnsi"/>
                <w:b/>
                <w:bCs/>
                <w:i/>
                <w:iCs/>
              </w:rPr>
            </w:pPr>
            <w:r w:rsidRPr="00037AD4">
              <w:rPr>
                <w:rFonts w:asciiTheme="minorHAnsi" w:hAnsiTheme="minorHAnsi" w:cstheme="minorHAnsi"/>
                <w:b/>
                <w:bCs/>
                <w:i/>
                <w:iCs/>
              </w:rPr>
              <w:t>2</w:t>
            </w:r>
          </w:p>
        </w:tc>
        <w:tc>
          <w:tcPr>
            <w:tcW w:w="1306" w:type="dxa"/>
          </w:tcPr>
          <w:p w14:paraId="3502F1C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214</w:t>
            </w:r>
          </w:p>
        </w:tc>
        <w:tc>
          <w:tcPr>
            <w:tcW w:w="1306" w:type="dxa"/>
          </w:tcPr>
          <w:p w14:paraId="4D02D8F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12.6</w:t>
            </w:r>
          </w:p>
        </w:tc>
      </w:tr>
      <w:tr w:rsidR="00B54D51" w:rsidRPr="00037AD4" w14:paraId="6D4BEC7C" w14:textId="77777777" w:rsidTr="00401C67">
        <w:trPr>
          <w:trHeight w:val="239"/>
        </w:trPr>
        <w:tc>
          <w:tcPr>
            <w:tcW w:w="1306" w:type="dxa"/>
          </w:tcPr>
          <w:p w14:paraId="0BCFCB5B" w14:textId="77777777" w:rsidR="00B54D51" w:rsidRPr="00037AD4" w:rsidRDefault="00B54D51" w:rsidP="00401C67">
            <w:pPr>
              <w:rPr>
                <w:rFonts w:asciiTheme="minorHAnsi" w:hAnsiTheme="minorHAnsi" w:cstheme="minorHAnsi"/>
                <w:b/>
                <w:bCs/>
                <w:i/>
                <w:iCs/>
              </w:rPr>
            </w:pPr>
            <w:r w:rsidRPr="00037AD4">
              <w:rPr>
                <w:rFonts w:asciiTheme="minorHAnsi" w:hAnsiTheme="minorHAnsi" w:cstheme="minorHAnsi"/>
                <w:b/>
                <w:bCs/>
                <w:i/>
                <w:iCs/>
              </w:rPr>
              <w:t>3</w:t>
            </w:r>
          </w:p>
        </w:tc>
        <w:tc>
          <w:tcPr>
            <w:tcW w:w="1306" w:type="dxa"/>
          </w:tcPr>
          <w:p w14:paraId="3DB929C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90</w:t>
            </w:r>
          </w:p>
        </w:tc>
        <w:tc>
          <w:tcPr>
            <w:tcW w:w="1306" w:type="dxa"/>
          </w:tcPr>
          <w:p w14:paraId="0384230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11.3</w:t>
            </w:r>
          </w:p>
        </w:tc>
        <w:tc>
          <w:tcPr>
            <w:tcW w:w="1306" w:type="dxa"/>
          </w:tcPr>
          <w:p w14:paraId="7F408507" w14:textId="77777777" w:rsidR="00B54D51" w:rsidRPr="00037AD4" w:rsidRDefault="00B54D51" w:rsidP="00401C67">
            <w:pPr>
              <w:rPr>
                <w:rFonts w:asciiTheme="minorHAnsi" w:hAnsiTheme="minorHAnsi" w:cstheme="minorHAnsi"/>
                <w:b/>
                <w:bCs/>
                <w:i/>
                <w:iCs/>
              </w:rPr>
            </w:pPr>
            <w:r w:rsidRPr="00037AD4">
              <w:rPr>
                <w:rFonts w:asciiTheme="minorHAnsi" w:hAnsiTheme="minorHAnsi" w:cstheme="minorHAnsi"/>
                <w:b/>
                <w:bCs/>
                <w:i/>
                <w:iCs/>
              </w:rPr>
              <w:t>3</w:t>
            </w:r>
          </w:p>
        </w:tc>
        <w:tc>
          <w:tcPr>
            <w:tcW w:w="1306" w:type="dxa"/>
          </w:tcPr>
          <w:p w14:paraId="693C544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219</w:t>
            </w:r>
          </w:p>
        </w:tc>
        <w:tc>
          <w:tcPr>
            <w:tcW w:w="1306" w:type="dxa"/>
          </w:tcPr>
          <w:p w14:paraId="4A7B0A6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12.9</w:t>
            </w:r>
          </w:p>
        </w:tc>
      </w:tr>
      <w:tr w:rsidR="00B54D51" w:rsidRPr="00037AD4" w14:paraId="004B07BF" w14:textId="77777777" w:rsidTr="00401C67">
        <w:trPr>
          <w:trHeight w:val="228"/>
        </w:trPr>
        <w:tc>
          <w:tcPr>
            <w:tcW w:w="1306" w:type="dxa"/>
          </w:tcPr>
          <w:p w14:paraId="14BC38AD" w14:textId="77777777" w:rsidR="00B54D51" w:rsidRPr="00037AD4" w:rsidRDefault="00B54D51" w:rsidP="00401C67">
            <w:pPr>
              <w:rPr>
                <w:rFonts w:asciiTheme="minorHAnsi" w:hAnsiTheme="minorHAnsi" w:cstheme="minorHAnsi"/>
                <w:b/>
                <w:bCs/>
                <w:i/>
                <w:iCs/>
              </w:rPr>
            </w:pPr>
            <w:r w:rsidRPr="00037AD4">
              <w:rPr>
                <w:rFonts w:asciiTheme="minorHAnsi" w:hAnsiTheme="minorHAnsi" w:cstheme="minorHAnsi"/>
                <w:b/>
                <w:bCs/>
                <w:i/>
                <w:iCs/>
              </w:rPr>
              <w:t>4</w:t>
            </w:r>
          </w:p>
        </w:tc>
        <w:tc>
          <w:tcPr>
            <w:tcW w:w="1306" w:type="dxa"/>
          </w:tcPr>
          <w:p w14:paraId="13D7006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23</w:t>
            </w:r>
          </w:p>
        </w:tc>
        <w:tc>
          <w:tcPr>
            <w:tcW w:w="1306" w:type="dxa"/>
          </w:tcPr>
          <w:p w14:paraId="3A37CBD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2.9</w:t>
            </w:r>
          </w:p>
        </w:tc>
        <w:tc>
          <w:tcPr>
            <w:tcW w:w="1306" w:type="dxa"/>
          </w:tcPr>
          <w:p w14:paraId="0994793D" w14:textId="77777777" w:rsidR="00B54D51" w:rsidRPr="00037AD4" w:rsidRDefault="00B54D51" w:rsidP="00401C67">
            <w:pPr>
              <w:rPr>
                <w:rFonts w:asciiTheme="minorHAnsi" w:hAnsiTheme="minorHAnsi" w:cstheme="minorHAnsi"/>
                <w:b/>
                <w:bCs/>
                <w:i/>
                <w:iCs/>
              </w:rPr>
            </w:pPr>
            <w:r w:rsidRPr="00037AD4">
              <w:rPr>
                <w:rFonts w:asciiTheme="minorHAnsi" w:hAnsiTheme="minorHAnsi" w:cstheme="minorHAnsi"/>
                <w:b/>
                <w:bCs/>
                <w:i/>
                <w:iCs/>
              </w:rPr>
              <w:t>4</w:t>
            </w:r>
          </w:p>
        </w:tc>
        <w:tc>
          <w:tcPr>
            <w:tcW w:w="1306" w:type="dxa"/>
          </w:tcPr>
          <w:p w14:paraId="1FFBC31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135</w:t>
            </w:r>
          </w:p>
        </w:tc>
        <w:tc>
          <w:tcPr>
            <w:tcW w:w="1306" w:type="dxa"/>
          </w:tcPr>
          <w:p w14:paraId="18794B5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7.9</w:t>
            </w:r>
          </w:p>
        </w:tc>
      </w:tr>
      <w:tr w:rsidR="00B54D51" w:rsidRPr="00037AD4" w14:paraId="7DFCD8D3" w14:textId="77777777" w:rsidTr="00401C67">
        <w:trPr>
          <w:trHeight w:val="228"/>
        </w:trPr>
        <w:tc>
          <w:tcPr>
            <w:tcW w:w="1306" w:type="dxa"/>
          </w:tcPr>
          <w:p w14:paraId="5974C908" w14:textId="77777777" w:rsidR="00B54D51" w:rsidRPr="00037AD4" w:rsidRDefault="00B54D51" w:rsidP="00401C67">
            <w:pPr>
              <w:rPr>
                <w:rFonts w:asciiTheme="minorHAnsi" w:hAnsiTheme="minorHAnsi" w:cstheme="minorHAnsi"/>
                <w:b/>
                <w:bCs/>
                <w:i/>
                <w:iCs/>
              </w:rPr>
            </w:pPr>
            <w:r w:rsidRPr="00037AD4">
              <w:rPr>
                <w:rFonts w:asciiTheme="minorHAnsi" w:hAnsiTheme="minorHAnsi" w:cstheme="minorHAnsi"/>
                <w:b/>
                <w:bCs/>
                <w:i/>
                <w:iCs/>
              </w:rPr>
              <w:t>5</w:t>
            </w:r>
          </w:p>
        </w:tc>
        <w:tc>
          <w:tcPr>
            <w:tcW w:w="1306" w:type="dxa"/>
          </w:tcPr>
          <w:p w14:paraId="70511CE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19</w:t>
            </w:r>
          </w:p>
        </w:tc>
        <w:tc>
          <w:tcPr>
            <w:tcW w:w="1306" w:type="dxa"/>
          </w:tcPr>
          <w:p w14:paraId="72CEF92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2.4</w:t>
            </w:r>
          </w:p>
        </w:tc>
        <w:tc>
          <w:tcPr>
            <w:tcW w:w="1306" w:type="dxa"/>
          </w:tcPr>
          <w:p w14:paraId="093A07CC" w14:textId="77777777" w:rsidR="00B54D51" w:rsidRPr="00037AD4" w:rsidRDefault="00B54D51" w:rsidP="00401C67">
            <w:pPr>
              <w:rPr>
                <w:rFonts w:asciiTheme="minorHAnsi" w:hAnsiTheme="minorHAnsi" w:cstheme="minorHAnsi"/>
                <w:b/>
                <w:bCs/>
                <w:i/>
                <w:iCs/>
              </w:rPr>
            </w:pPr>
            <w:r w:rsidRPr="00037AD4">
              <w:rPr>
                <w:rFonts w:asciiTheme="minorHAnsi" w:hAnsiTheme="minorHAnsi" w:cstheme="minorHAnsi"/>
                <w:b/>
                <w:bCs/>
                <w:i/>
                <w:iCs/>
              </w:rPr>
              <w:t>5</w:t>
            </w:r>
          </w:p>
        </w:tc>
        <w:tc>
          <w:tcPr>
            <w:tcW w:w="1306" w:type="dxa"/>
          </w:tcPr>
          <w:p w14:paraId="1249C58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904</w:t>
            </w:r>
          </w:p>
        </w:tc>
        <w:tc>
          <w:tcPr>
            <w:tcW w:w="1306" w:type="dxa"/>
          </w:tcPr>
          <w:p w14:paraId="332A6F4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53.2</w:t>
            </w:r>
          </w:p>
        </w:tc>
      </w:tr>
      <w:tr w:rsidR="00B54D51" w:rsidRPr="00037AD4" w14:paraId="5A47708C" w14:textId="77777777" w:rsidTr="00401C67">
        <w:trPr>
          <w:trHeight w:val="228"/>
        </w:trPr>
        <w:tc>
          <w:tcPr>
            <w:tcW w:w="7836" w:type="dxa"/>
            <w:gridSpan w:val="6"/>
            <w:shd w:val="clear" w:color="auto" w:fill="E7E6E6" w:themeFill="background2"/>
          </w:tcPr>
          <w:p w14:paraId="68172085" w14:textId="77777777" w:rsidR="00B54D51" w:rsidRPr="00037AD4" w:rsidRDefault="00B54D51" w:rsidP="00401C67">
            <w:pPr>
              <w:jc w:val="center"/>
              <w:rPr>
                <w:rFonts w:asciiTheme="minorHAnsi" w:hAnsiTheme="minorHAnsi" w:cstheme="minorHAnsi"/>
                <w:b/>
                <w:bCs/>
              </w:rPr>
            </w:pPr>
            <w:r w:rsidRPr="00037AD4">
              <w:rPr>
                <w:rFonts w:asciiTheme="minorHAnsi" w:hAnsiTheme="minorHAnsi" w:cstheme="minorHAnsi"/>
                <w:b/>
                <w:bCs/>
              </w:rPr>
              <w:t>Usual activities</w:t>
            </w:r>
          </w:p>
        </w:tc>
      </w:tr>
      <w:tr w:rsidR="00B54D51" w:rsidRPr="00037AD4" w14:paraId="124FE654" w14:textId="77777777" w:rsidTr="00401C67">
        <w:trPr>
          <w:trHeight w:val="239"/>
        </w:trPr>
        <w:tc>
          <w:tcPr>
            <w:tcW w:w="1306" w:type="dxa"/>
          </w:tcPr>
          <w:p w14:paraId="01B589B9" w14:textId="77777777" w:rsidR="00B54D51" w:rsidRPr="00037AD4" w:rsidRDefault="00B54D51" w:rsidP="00401C67">
            <w:pPr>
              <w:rPr>
                <w:rFonts w:asciiTheme="minorHAnsi" w:hAnsiTheme="minorHAnsi" w:cstheme="minorHAnsi"/>
                <w:b/>
                <w:bCs/>
                <w:i/>
                <w:iCs/>
              </w:rPr>
            </w:pPr>
            <w:r w:rsidRPr="00037AD4">
              <w:rPr>
                <w:rFonts w:asciiTheme="minorHAnsi" w:hAnsiTheme="minorHAnsi" w:cstheme="minorHAnsi"/>
                <w:b/>
                <w:bCs/>
                <w:i/>
                <w:iCs/>
              </w:rPr>
              <w:t>1</w:t>
            </w:r>
          </w:p>
        </w:tc>
        <w:tc>
          <w:tcPr>
            <w:tcW w:w="1306" w:type="dxa"/>
          </w:tcPr>
          <w:p w14:paraId="2C71300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601</w:t>
            </w:r>
          </w:p>
        </w:tc>
        <w:tc>
          <w:tcPr>
            <w:tcW w:w="1306" w:type="dxa"/>
          </w:tcPr>
          <w:p w14:paraId="0D4C9B1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76.6</w:t>
            </w:r>
          </w:p>
        </w:tc>
        <w:tc>
          <w:tcPr>
            <w:tcW w:w="1306" w:type="dxa"/>
          </w:tcPr>
          <w:p w14:paraId="4EE6BFAF" w14:textId="77777777" w:rsidR="00B54D51" w:rsidRPr="00037AD4" w:rsidRDefault="00B54D51" w:rsidP="00401C67">
            <w:pPr>
              <w:rPr>
                <w:rFonts w:asciiTheme="minorHAnsi" w:hAnsiTheme="minorHAnsi" w:cstheme="minorHAnsi"/>
                <w:b/>
                <w:bCs/>
                <w:i/>
                <w:iCs/>
              </w:rPr>
            </w:pPr>
            <w:r w:rsidRPr="00037AD4">
              <w:rPr>
                <w:rFonts w:asciiTheme="minorHAnsi" w:hAnsiTheme="minorHAnsi" w:cstheme="minorHAnsi"/>
                <w:b/>
                <w:bCs/>
                <w:i/>
                <w:iCs/>
              </w:rPr>
              <w:t>1</w:t>
            </w:r>
          </w:p>
        </w:tc>
        <w:tc>
          <w:tcPr>
            <w:tcW w:w="1306" w:type="dxa"/>
          </w:tcPr>
          <w:p w14:paraId="05547FD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1065</w:t>
            </w:r>
          </w:p>
        </w:tc>
        <w:tc>
          <w:tcPr>
            <w:tcW w:w="1306" w:type="dxa"/>
          </w:tcPr>
          <w:p w14:paraId="15B9C1E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62.6</w:t>
            </w:r>
          </w:p>
        </w:tc>
      </w:tr>
      <w:tr w:rsidR="00B54D51" w:rsidRPr="00037AD4" w14:paraId="14E7BA6A" w14:textId="77777777" w:rsidTr="00401C67">
        <w:trPr>
          <w:trHeight w:val="228"/>
        </w:trPr>
        <w:tc>
          <w:tcPr>
            <w:tcW w:w="1306" w:type="dxa"/>
          </w:tcPr>
          <w:p w14:paraId="1E43D539" w14:textId="77777777" w:rsidR="00B54D51" w:rsidRPr="00037AD4" w:rsidRDefault="00B54D51" w:rsidP="00401C67">
            <w:pPr>
              <w:rPr>
                <w:rFonts w:asciiTheme="minorHAnsi" w:hAnsiTheme="minorHAnsi" w:cstheme="minorHAnsi"/>
                <w:b/>
                <w:bCs/>
                <w:i/>
                <w:iCs/>
              </w:rPr>
            </w:pPr>
            <w:r w:rsidRPr="00037AD4">
              <w:rPr>
                <w:rFonts w:asciiTheme="minorHAnsi" w:hAnsiTheme="minorHAnsi" w:cstheme="minorHAnsi"/>
                <w:b/>
                <w:bCs/>
                <w:i/>
                <w:iCs/>
              </w:rPr>
              <w:t>2</w:t>
            </w:r>
          </w:p>
        </w:tc>
        <w:tc>
          <w:tcPr>
            <w:tcW w:w="1306" w:type="dxa"/>
          </w:tcPr>
          <w:p w14:paraId="2B57A1B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108</w:t>
            </w:r>
          </w:p>
        </w:tc>
        <w:tc>
          <w:tcPr>
            <w:tcW w:w="1306" w:type="dxa"/>
          </w:tcPr>
          <w:p w14:paraId="5BE45B5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13.8</w:t>
            </w:r>
          </w:p>
        </w:tc>
        <w:tc>
          <w:tcPr>
            <w:tcW w:w="1306" w:type="dxa"/>
          </w:tcPr>
          <w:p w14:paraId="62914C0F" w14:textId="77777777" w:rsidR="00B54D51" w:rsidRPr="00037AD4" w:rsidRDefault="00B54D51" w:rsidP="00401C67">
            <w:pPr>
              <w:rPr>
                <w:rFonts w:asciiTheme="minorHAnsi" w:hAnsiTheme="minorHAnsi" w:cstheme="minorHAnsi"/>
                <w:b/>
                <w:bCs/>
                <w:i/>
                <w:iCs/>
              </w:rPr>
            </w:pPr>
            <w:r w:rsidRPr="00037AD4">
              <w:rPr>
                <w:rFonts w:asciiTheme="minorHAnsi" w:hAnsiTheme="minorHAnsi" w:cstheme="minorHAnsi"/>
                <w:b/>
                <w:bCs/>
                <w:i/>
                <w:iCs/>
              </w:rPr>
              <w:t>2</w:t>
            </w:r>
          </w:p>
        </w:tc>
        <w:tc>
          <w:tcPr>
            <w:tcW w:w="1306" w:type="dxa"/>
          </w:tcPr>
          <w:p w14:paraId="7B1FB66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134</w:t>
            </w:r>
          </w:p>
        </w:tc>
        <w:tc>
          <w:tcPr>
            <w:tcW w:w="1306" w:type="dxa"/>
          </w:tcPr>
          <w:p w14:paraId="0AA5C79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7.9</w:t>
            </w:r>
          </w:p>
        </w:tc>
      </w:tr>
      <w:tr w:rsidR="00B54D51" w:rsidRPr="00037AD4" w14:paraId="47751245" w14:textId="77777777" w:rsidTr="00401C67">
        <w:trPr>
          <w:trHeight w:val="228"/>
        </w:trPr>
        <w:tc>
          <w:tcPr>
            <w:tcW w:w="1306" w:type="dxa"/>
          </w:tcPr>
          <w:p w14:paraId="18E728F6" w14:textId="77777777" w:rsidR="00B54D51" w:rsidRPr="00037AD4" w:rsidRDefault="00B54D51" w:rsidP="00401C67">
            <w:pPr>
              <w:rPr>
                <w:rFonts w:asciiTheme="minorHAnsi" w:hAnsiTheme="minorHAnsi" w:cstheme="minorHAnsi"/>
                <w:b/>
                <w:bCs/>
                <w:i/>
                <w:iCs/>
              </w:rPr>
            </w:pPr>
            <w:r w:rsidRPr="00037AD4">
              <w:rPr>
                <w:rFonts w:asciiTheme="minorHAnsi" w:hAnsiTheme="minorHAnsi" w:cstheme="minorHAnsi"/>
                <w:b/>
                <w:bCs/>
                <w:i/>
                <w:iCs/>
              </w:rPr>
              <w:t>3</w:t>
            </w:r>
          </w:p>
        </w:tc>
        <w:tc>
          <w:tcPr>
            <w:tcW w:w="1306" w:type="dxa"/>
          </w:tcPr>
          <w:p w14:paraId="771B1E8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46</w:t>
            </w:r>
          </w:p>
        </w:tc>
        <w:tc>
          <w:tcPr>
            <w:tcW w:w="1306" w:type="dxa"/>
          </w:tcPr>
          <w:p w14:paraId="666F5E4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5.9</w:t>
            </w:r>
          </w:p>
        </w:tc>
        <w:tc>
          <w:tcPr>
            <w:tcW w:w="1306" w:type="dxa"/>
          </w:tcPr>
          <w:p w14:paraId="5981F64E" w14:textId="77777777" w:rsidR="00B54D51" w:rsidRPr="00037AD4" w:rsidRDefault="00B54D51" w:rsidP="00401C67">
            <w:pPr>
              <w:rPr>
                <w:rFonts w:asciiTheme="minorHAnsi" w:hAnsiTheme="minorHAnsi" w:cstheme="minorHAnsi"/>
                <w:b/>
                <w:bCs/>
                <w:i/>
                <w:iCs/>
              </w:rPr>
            </w:pPr>
            <w:r w:rsidRPr="00037AD4">
              <w:rPr>
                <w:rFonts w:asciiTheme="minorHAnsi" w:hAnsiTheme="minorHAnsi" w:cstheme="minorHAnsi"/>
                <w:b/>
                <w:bCs/>
                <w:i/>
                <w:iCs/>
              </w:rPr>
              <w:t>3</w:t>
            </w:r>
          </w:p>
        </w:tc>
        <w:tc>
          <w:tcPr>
            <w:tcW w:w="1306" w:type="dxa"/>
          </w:tcPr>
          <w:p w14:paraId="69D306F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164</w:t>
            </w:r>
          </w:p>
        </w:tc>
        <w:tc>
          <w:tcPr>
            <w:tcW w:w="1306" w:type="dxa"/>
          </w:tcPr>
          <w:p w14:paraId="5FBF42D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9.6</w:t>
            </w:r>
          </w:p>
        </w:tc>
      </w:tr>
      <w:tr w:rsidR="00B54D51" w:rsidRPr="00037AD4" w14:paraId="53C940A6" w14:textId="77777777" w:rsidTr="00401C67">
        <w:trPr>
          <w:trHeight w:val="228"/>
        </w:trPr>
        <w:tc>
          <w:tcPr>
            <w:tcW w:w="1306" w:type="dxa"/>
          </w:tcPr>
          <w:p w14:paraId="714AAFD0" w14:textId="77777777" w:rsidR="00B54D51" w:rsidRPr="00037AD4" w:rsidRDefault="00B54D51" w:rsidP="00401C67">
            <w:pPr>
              <w:rPr>
                <w:rFonts w:asciiTheme="minorHAnsi" w:hAnsiTheme="minorHAnsi" w:cstheme="minorHAnsi"/>
                <w:b/>
                <w:bCs/>
                <w:i/>
                <w:iCs/>
              </w:rPr>
            </w:pPr>
            <w:r w:rsidRPr="00037AD4">
              <w:rPr>
                <w:rFonts w:asciiTheme="minorHAnsi" w:hAnsiTheme="minorHAnsi" w:cstheme="minorHAnsi"/>
                <w:b/>
                <w:bCs/>
                <w:i/>
                <w:iCs/>
              </w:rPr>
              <w:t>4</w:t>
            </w:r>
          </w:p>
        </w:tc>
        <w:tc>
          <w:tcPr>
            <w:tcW w:w="1306" w:type="dxa"/>
          </w:tcPr>
          <w:p w14:paraId="5947BB1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11</w:t>
            </w:r>
          </w:p>
        </w:tc>
        <w:tc>
          <w:tcPr>
            <w:tcW w:w="1306" w:type="dxa"/>
          </w:tcPr>
          <w:p w14:paraId="2FE15D5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1.4</w:t>
            </w:r>
          </w:p>
        </w:tc>
        <w:tc>
          <w:tcPr>
            <w:tcW w:w="1306" w:type="dxa"/>
          </w:tcPr>
          <w:p w14:paraId="73C783DC" w14:textId="77777777" w:rsidR="00B54D51" w:rsidRPr="00037AD4" w:rsidRDefault="00B54D51" w:rsidP="00401C67">
            <w:pPr>
              <w:rPr>
                <w:rFonts w:asciiTheme="minorHAnsi" w:hAnsiTheme="minorHAnsi" w:cstheme="minorHAnsi"/>
                <w:b/>
                <w:bCs/>
                <w:i/>
                <w:iCs/>
              </w:rPr>
            </w:pPr>
            <w:r w:rsidRPr="00037AD4">
              <w:rPr>
                <w:rFonts w:asciiTheme="minorHAnsi" w:hAnsiTheme="minorHAnsi" w:cstheme="minorHAnsi"/>
                <w:b/>
                <w:bCs/>
                <w:i/>
                <w:iCs/>
              </w:rPr>
              <w:t>4</w:t>
            </w:r>
          </w:p>
        </w:tc>
        <w:tc>
          <w:tcPr>
            <w:tcW w:w="1306" w:type="dxa"/>
          </w:tcPr>
          <w:p w14:paraId="481A8F4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76</w:t>
            </w:r>
          </w:p>
        </w:tc>
        <w:tc>
          <w:tcPr>
            <w:tcW w:w="1306" w:type="dxa"/>
          </w:tcPr>
          <w:p w14:paraId="3DF7501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4.5</w:t>
            </w:r>
          </w:p>
        </w:tc>
      </w:tr>
      <w:tr w:rsidR="00B54D51" w:rsidRPr="00037AD4" w14:paraId="2685B60D" w14:textId="77777777" w:rsidTr="00401C67">
        <w:trPr>
          <w:trHeight w:val="239"/>
        </w:trPr>
        <w:tc>
          <w:tcPr>
            <w:tcW w:w="1306" w:type="dxa"/>
          </w:tcPr>
          <w:p w14:paraId="6AC21185" w14:textId="77777777" w:rsidR="00B54D51" w:rsidRPr="00037AD4" w:rsidRDefault="00B54D51" w:rsidP="00401C67">
            <w:pPr>
              <w:rPr>
                <w:rFonts w:asciiTheme="minorHAnsi" w:hAnsiTheme="minorHAnsi" w:cstheme="minorHAnsi"/>
                <w:b/>
                <w:bCs/>
                <w:i/>
                <w:iCs/>
              </w:rPr>
            </w:pPr>
            <w:r w:rsidRPr="00037AD4">
              <w:rPr>
                <w:rFonts w:asciiTheme="minorHAnsi" w:hAnsiTheme="minorHAnsi" w:cstheme="minorHAnsi"/>
                <w:b/>
                <w:bCs/>
                <w:i/>
                <w:iCs/>
              </w:rPr>
              <w:t>5</w:t>
            </w:r>
          </w:p>
        </w:tc>
        <w:tc>
          <w:tcPr>
            <w:tcW w:w="1306" w:type="dxa"/>
          </w:tcPr>
          <w:p w14:paraId="322706C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19</w:t>
            </w:r>
          </w:p>
        </w:tc>
        <w:tc>
          <w:tcPr>
            <w:tcW w:w="1306" w:type="dxa"/>
          </w:tcPr>
          <w:p w14:paraId="1E3B52D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2.4</w:t>
            </w:r>
          </w:p>
        </w:tc>
        <w:tc>
          <w:tcPr>
            <w:tcW w:w="1306" w:type="dxa"/>
          </w:tcPr>
          <w:p w14:paraId="64E4C596" w14:textId="77777777" w:rsidR="00B54D51" w:rsidRPr="00037AD4" w:rsidRDefault="00B54D51" w:rsidP="00401C67">
            <w:pPr>
              <w:rPr>
                <w:rFonts w:asciiTheme="minorHAnsi" w:hAnsiTheme="minorHAnsi" w:cstheme="minorHAnsi"/>
                <w:b/>
                <w:bCs/>
                <w:i/>
                <w:iCs/>
              </w:rPr>
            </w:pPr>
            <w:r w:rsidRPr="00037AD4">
              <w:rPr>
                <w:rFonts w:asciiTheme="minorHAnsi" w:hAnsiTheme="minorHAnsi" w:cstheme="minorHAnsi"/>
                <w:b/>
                <w:bCs/>
                <w:i/>
                <w:iCs/>
              </w:rPr>
              <w:t>5</w:t>
            </w:r>
          </w:p>
        </w:tc>
        <w:tc>
          <w:tcPr>
            <w:tcW w:w="1306" w:type="dxa"/>
          </w:tcPr>
          <w:p w14:paraId="377CE50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262</w:t>
            </w:r>
          </w:p>
        </w:tc>
        <w:tc>
          <w:tcPr>
            <w:tcW w:w="1306" w:type="dxa"/>
          </w:tcPr>
          <w:p w14:paraId="4D6B401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15.4</w:t>
            </w:r>
          </w:p>
        </w:tc>
      </w:tr>
      <w:tr w:rsidR="00B54D51" w:rsidRPr="00037AD4" w14:paraId="602D5E9D" w14:textId="77777777" w:rsidTr="00401C67">
        <w:trPr>
          <w:trHeight w:val="228"/>
        </w:trPr>
        <w:tc>
          <w:tcPr>
            <w:tcW w:w="7836" w:type="dxa"/>
            <w:gridSpan w:val="6"/>
            <w:shd w:val="clear" w:color="auto" w:fill="E7E6E6" w:themeFill="background2"/>
          </w:tcPr>
          <w:p w14:paraId="72A5DD72" w14:textId="77777777" w:rsidR="00B54D51" w:rsidRPr="00037AD4" w:rsidRDefault="00B54D51" w:rsidP="00401C67">
            <w:pPr>
              <w:jc w:val="center"/>
              <w:rPr>
                <w:rFonts w:asciiTheme="minorHAnsi" w:hAnsiTheme="minorHAnsi" w:cstheme="minorHAnsi"/>
                <w:b/>
                <w:bCs/>
              </w:rPr>
            </w:pPr>
            <w:r w:rsidRPr="00037AD4">
              <w:rPr>
                <w:rFonts w:asciiTheme="minorHAnsi" w:hAnsiTheme="minorHAnsi" w:cstheme="minorHAnsi"/>
                <w:b/>
                <w:bCs/>
              </w:rPr>
              <w:t>Pain/discomfort</w:t>
            </w:r>
          </w:p>
        </w:tc>
      </w:tr>
      <w:tr w:rsidR="00B54D51" w:rsidRPr="00037AD4" w14:paraId="55F07285" w14:textId="77777777" w:rsidTr="00401C67">
        <w:trPr>
          <w:trHeight w:val="228"/>
        </w:trPr>
        <w:tc>
          <w:tcPr>
            <w:tcW w:w="1306" w:type="dxa"/>
          </w:tcPr>
          <w:p w14:paraId="4793A525" w14:textId="77777777" w:rsidR="00B54D51" w:rsidRPr="00037AD4" w:rsidRDefault="00B54D51" w:rsidP="00401C67">
            <w:pPr>
              <w:rPr>
                <w:rFonts w:asciiTheme="minorHAnsi" w:hAnsiTheme="minorHAnsi" w:cstheme="minorHAnsi"/>
                <w:b/>
                <w:bCs/>
                <w:i/>
                <w:iCs/>
              </w:rPr>
            </w:pPr>
            <w:r w:rsidRPr="00037AD4">
              <w:rPr>
                <w:rFonts w:asciiTheme="minorHAnsi" w:hAnsiTheme="minorHAnsi" w:cstheme="minorHAnsi"/>
                <w:b/>
                <w:bCs/>
                <w:i/>
                <w:iCs/>
              </w:rPr>
              <w:t>1</w:t>
            </w:r>
          </w:p>
        </w:tc>
        <w:tc>
          <w:tcPr>
            <w:tcW w:w="1306" w:type="dxa"/>
          </w:tcPr>
          <w:p w14:paraId="06335CC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579</w:t>
            </w:r>
          </w:p>
        </w:tc>
        <w:tc>
          <w:tcPr>
            <w:tcW w:w="1306" w:type="dxa"/>
          </w:tcPr>
          <w:p w14:paraId="7B7BEE9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71.9</w:t>
            </w:r>
          </w:p>
        </w:tc>
        <w:tc>
          <w:tcPr>
            <w:tcW w:w="1306" w:type="dxa"/>
          </w:tcPr>
          <w:p w14:paraId="5C7C6FE4" w14:textId="77777777" w:rsidR="00B54D51" w:rsidRPr="00037AD4" w:rsidRDefault="00B54D51" w:rsidP="00401C67">
            <w:pPr>
              <w:rPr>
                <w:rFonts w:asciiTheme="minorHAnsi" w:hAnsiTheme="minorHAnsi" w:cstheme="minorHAnsi"/>
                <w:b/>
                <w:bCs/>
                <w:i/>
                <w:iCs/>
              </w:rPr>
            </w:pPr>
            <w:r w:rsidRPr="00037AD4">
              <w:rPr>
                <w:rFonts w:asciiTheme="minorHAnsi" w:hAnsiTheme="minorHAnsi" w:cstheme="minorHAnsi"/>
                <w:b/>
                <w:bCs/>
                <w:i/>
                <w:iCs/>
              </w:rPr>
              <w:t>1</w:t>
            </w:r>
          </w:p>
        </w:tc>
        <w:tc>
          <w:tcPr>
            <w:tcW w:w="1306" w:type="dxa"/>
          </w:tcPr>
          <w:p w14:paraId="2CDD6CA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1263</w:t>
            </w:r>
          </w:p>
        </w:tc>
        <w:tc>
          <w:tcPr>
            <w:tcW w:w="1306" w:type="dxa"/>
          </w:tcPr>
          <w:p w14:paraId="459DE89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74.3</w:t>
            </w:r>
          </w:p>
        </w:tc>
      </w:tr>
      <w:tr w:rsidR="00B54D51" w:rsidRPr="00037AD4" w14:paraId="52405049" w14:textId="77777777" w:rsidTr="00401C67">
        <w:trPr>
          <w:trHeight w:val="228"/>
        </w:trPr>
        <w:tc>
          <w:tcPr>
            <w:tcW w:w="1306" w:type="dxa"/>
          </w:tcPr>
          <w:p w14:paraId="046642B8" w14:textId="77777777" w:rsidR="00B54D51" w:rsidRPr="00037AD4" w:rsidRDefault="00B54D51" w:rsidP="00401C67">
            <w:pPr>
              <w:rPr>
                <w:rFonts w:asciiTheme="minorHAnsi" w:hAnsiTheme="minorHAnsi" w:cstheme="minorHAnsi"/>
                <w:b/>
                <w:bCs/>
                <w:i/>
                <w:iCs/>
              </w:rPr>
            </w:pPr>
            <w:r w:rsidRPr="00037AD4">
              <w:rPr>
                <w:rFonts w:asciiTheme="minorHAnsi" w:hAnsiTheme="minorHAnsi" w:cstheme="minorHAnsi"/>
                <w:b/>
                <w:bCs/>
                <w:i/>
                <w:iCs/>
              </w:rPr>
              <w:t>2</w:t>
            </w:r>
          </w:p>
        </w:tc>
        <w:tc>
          <w:tcPr>
            <w:tcW w:w="1306" w:type="dxa"/>
          </w:tcPr>
          <w:p w14:paraId="621A3D9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139</w:t>
            </w:r>
          </w:p>
        </w:tc>
        <w:tc>
          <w:tcPr>
            <w:tcW w:w="1306" w:type="dxa"/>
          </w:tcPr>
          <w:p w14:paraId="23BAE01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17.3</w:t>
            </w:r>
          </w:p>
        </w:tc>
        <w:tc>
          <w:tcPr>
            <w:tcW w:w="1306" w:type="dxa"/>
          </w:tcPr>
          <w:p w14:paraId="5334B331" w14:textId="77777777" w:rsidR="00B54D51" w:rsidRPr="00037AD4" w:rsidRDefault="00B54D51" w:rsidP="00401C67">
            <w:pPr>
              <w:rPr>
                <w:rFonts w:asciiTheme="minorHAnsi" w:hAnsiTheme="minorHAnsi" w:cstheme="minorHAnsi"/>
                <w:b/>
                <w:bCs/>
                <w:i/>
                <w:iCs/>
              </w:rPr>
            </w:pPr>
            <w:r w:rsidRPr="00037AD4">
              <w:rPr>
                <w:rFonts w:asciiTheme="minorHAnsi" w:hAnsiTheme="minorHAnsi" w:cstheme="minorHAnsi"/>
                <w:b/>
                <w:bCs/>
                <w:i/>
                <w:iCs/>
              </w:rPr>
              <w:t>2</w:t>
            </w:r>
          </w:p>
        </w:tc>
        <w:tc>
          <w:tcPr>
            <w:tcW w:w="1306" w:type="dxa"/>
          </w:tcPr>
          <w:p w14:paraId="27CB45E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264</w:t>
            </w:r>
          </w:p>
        </w:tc>
        <w:tc>
          <w:tcPr>
            <w:tcW w:w="1306" w:type="dxa"/>
          </w:tcPr>
          <w:p w14:paraId="3C45865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15.5</w:t>
            </w:r>
          </w:p>
        </w:tc>
      </w:tr>
      <w:tr w:rsidR="00B54D51" w:rsidRPr="00037AD4" w14:paraId="7EFEBCE6" w14:textId="77777777" w:rsidTr="00401C67">
        <w:trPr>
          <w:trHeight w:val="239"/>
        </w:trPr>
        <w:tc>
          <w:tcPr>
            <w:tcW w:w="1306" w:type="dxa"/>
          </w:tcPr>
          <w:p w14:paraId="0854EAB2" w14:textId="77777777" w:rsidR="00B54D51" w:rsidRPr="00037AD4" w:rsidRDefault="00B54D51" w:rsidP="00401C67">
            <w:pPr>
              <w:rPr>
                <w:rFonts w:asciiTheme="minorHAnsi" w:hAnsiTheme="minorHAnsi" w:cstheme="minorHAnsi"/>
                <w:b/>
                <w:bCs/>
                <w:i/>
                <w:iCs/>
              </w:rPr>
            </w:pPr>
            <w:r w:rsidRPr="00037AD4">
              <w:rPr>
                <w:rFonts w:asciiTheme="minorHAnsi" w:hAnsiTheme="minorHAnsi" w:cstheme="minorHAnsi"/>
                <w:b/>
                <w:bCs/>
                <w:i/>
                <w:iCs/>
              </w:rPr>
              <w:t>3</w:t>
            </w:r>
          </w:p>
        </w:tc>
        <w:tc>
          <w:tcPr>
            <w:tcW w:w="1306" w:type="dxa"/>
          </w:tcPr>
          <w:p w14:paraId="3CBC70E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57</w:t>
            </w:r>
          </w:p>
        </w:tc>
        <w:tc>
          <w:tcPr>
            <w:tcW w:w="1306" w:type="dxa"/>
          </w:tcPr>
          <w:p w14:paraId="2444174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7.1</w:t>
            </w:r>
          </w:p>
        </w:tc>
        <w:tc>
          <w:tcPr>
            <w:tcW w:w="1306" w:type="dxa"/>
          </w:tcPr>
          <w:p w14:paraId="633DAB99" w14:textId="77777777" w:rsidR="00B54D51" w:rsidRPr="00037AD4" w:rsidRDefault="00B54D51" w:rsidP="00401C67">
            <w:pPr>
              <w:rPr>
                <w:rFonts w:asciiTheme="minorHAnsi" w:hAnsiTheme="minorHAnsi" w:cstheme="minorHAnsi"/>
                <w:b/>
                <w:bCs/>
                <w:i/>
                <w:iCs/>
              </w:rPr>
            </w:pPr>
            <w:r w:rsidRPr="00037AD4">
              <w:rPr>
                <w:rFonts w:asciiTheme="minorHAnsi" w:hAnsiTheme="minorHAnsi" w:cstheme="minorHAnsi"/>
                <w:b/>
                <w:bCs/>
                <w:i/>
                <w:iCs/>
              </w:rPr>
              <w:t>3</w:t>
            </w:r>
          </w:p>
        </w:tc>
        <w:tc>
          <w:tcPr>
            <w:tcW w:w="1306" w:type="dxa"/>
          </w:tcPr>
          <w:p w14:paraId="4FECFE3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149</w:t>
            </w:r>
          </w:p>
        </w:tc>
        <w:tc>
          <w:tcPr>
            <w:tcW w:w="1306" w:type="dxa"/>
          </w:tcPr>
          <w:p w14:paraId="51E2A5C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8.8</w:t>
            </w:r>
          </w:p>
        </w:tc>
      </w:tr>
      <w:tr w:rsidR="00B54D51" w:rsidRPr="00037AD4" w14:paraId="3D137C67" w14:textId="77777777" w:rsidTr="00401C67">
        <w:trPr>
          <w:trHeight w:val="228"/>
        </w:trPr>
        <w:tc>
          <w:tcPr>
            <w:tcW w:w="1306" w:type="dxa"/>
          </w:tcPr>
          <w:p w14:paraId="0DA1BC31" w14:textId="77777777" w:rsidR="00B54D51" w:rsidRPr="00037AD4" w:rsidRDefault="00B54D51" w:rsidP="00401C67">
            <w:pPr>
              <w:rPr>
                <w:rFonts w:asciiTheme="minorHAnsi" w:hAnsiTheme="minorHAnsi" w:cstheme="minorHAnsi"/>
                <w:b/>
                <w:bCs/>
                <w:i/>
                <w:iCs/>
              </w:rPr>
            </w:pPr>
            <w:r w:rsidRPr="00037AD4">
              <w:rPr>
                <w:rFonts w:asciiTheme="minorHAnsi" w:hAnsiTheme="minorHAnsi" w:cstheme="minorHAnsi"/>
                <w:b/>
                <w:bCs/>
                <w:i/>
                <w:iCs/>
              </w:rPr>
              <w:t>4</w:t>
            </w:r>
          </w:p>
        </w:tc>
        <w:tc>
          <w:tcPr>
            <w:tcW w:w="1306" w:type="dxa"/>
          </w:tcPr>
          <w:p w14:paraId="10BD685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27</w:t>
            </w:r>
          </w:p>
        </w:tc>
        <w:tc>
          <w:tcPr>
            <w:tcW w:w="1306" w:type="dxa"/>
          </w:tcPr>
          <w:p w14:paraId="4D5972F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3.4</w:t>
            </w:r>
          </w:p>
        </w:tc>
        <w:tc>
          <w:tcPr>
            <w:tcW w:w="1306" w:type="dxa"/>
          </w:tcPr>
          <w:p w14:paraId="7B9CCDB0" w14:textId="77777777" w:rsidR="00B54D51" w:rsidRPr="00037AD4" w:rsidRDefault="00B54D51" w:rsidP="00401C67">
            <w:pPr>
              <w:rPr>
                <w:rFonts w:asciiTheme="minorHAnsi" w:hAnsiTheme="minorHAnsi" w:cstheme="minorHAnsi"/>
                <w:b/>
                <w:bCs/>
                <w:i/>
                <w:iCs/>
              </w:rPr>
            </w:pPr>
            <w:r w:rsidRPr="00037AD4">
              <w:rPr>
                <w:rFonts w:asciiTheme="minorHAnsi" w:hAnsiTheme="minorHAnsi" w:cstheme="minorHAnsi"/>
                <w:b/>
                <w:bCs/>
                <w:i/>
                <w:iCs/>
              </w:rPr>
              <w:t>4</w:t>
            </w:r>
          </w:p>
        </w:tc>
        <w:tc>
          <w:tcPr>
            <w:tcW w:w="1306" w:type="dxa"/>
          </w:tcPr>
          <w:p w14:paraId="498BD63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20</w:t>
            </w:r>
          </w:p>
        </w:tc>
        <w:tc>
          <w:tcPr>
            <w:tcW w:w="1306" w:type="dxa"/>
          </w:tcPr>
          <w:p w14:paraId="14A5F0C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1.2</w:t>
            </w:r>
          </w:p>
        </w:tc>
      </w:tr>
      <w:tr w:rsidR="00B54D51" w:rsidRPr="00037AD4" w14:paraId="5D6494B6" w14:textId="77777777" w:rsidTr="00401C67">
        <w:trPr>
          <w:trHeight w:val="228"/>
        </w:trPr>
        <w:tc>
          <w:tcPr>
            <w:tcW w:w="1306" w:type="dxa"/>
          </w:tcPr>
          <w:p w14:paraId="2F986166" w14:textId="77777777" w:rsidR="00B54D51" w:rsidRPr="00037AD4" w:rsidRDefault="00B54D51" w:rsidP="00401C67">
            <w:pPr>
              <w:rPr>
                <w:rFonts w:asciiTheme="minorHAnsi" w:hAnsiTheme="minorHAnsi" w:cstheme="minorHAnsi"/>
                <w:b/>
                <w:bCs/>
                <w:i/>
                <w:iCs/>
              </w:rPr>
            </w:pPr>
            <w:r w:rsidRPr="00037AD4">
              <w:rPr>
                <w:rFonts w:asciiTheme="minorHAnsi" w:hAnsiTheme="minorHAnsi" w:cstheme="minorHAnsi"/>
                <w:b/>
                <w:bCs/>
                <w:i/>
                <w:iCs/>
              </w:rPr>
              <w:t>5</w:t>
            </w:r>
          </w:p>
        </w:tc>
        <w:tc>
          <w:tcPr>
            <w:tcW w:w="1306" w:type="dxa"/>
          </w:tcPr>
          <w:p w14:paraId="03DD41B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3</w:t>
            </w:r>
          </w:p>
        </w:tc>
        <w:tc>
          <w:tcPr>
            <w:tcW w:w="1306" w:type="dxa"/>
          </w:tcPr>
          <w:p w14:paraId="5A2E39F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0.4</w:t>
            </w:r>
          </w:p>
        </w:tc>
        <w:tc>
          <w:tcPr>
            <w:tcW w:w="1306" w:type="dxa"/>
          </w:tcPr>
          <w:p w14:paraId="3A7336BD" w14:textId="77777777" w:rsidR="00B54D51" w:rsidRPr="00037AD4" w:rsidRDefault="00B54D51" w:rsidP="00401C67">
            <w:pPr>
              <w:rPr>
                <w:rFonts w:asciiTheme="minorHAnsi" w:hAnsiTheme="minorHAnsi" w:cstheme="minorHAnsi"/>
                <w:b/>
                <w:bCs/>
                <w:i/>
                <w:iCs/>
              </w:rPr>
            </w:pPr>
            <w:r w:rsidRPr="00037AD4">
              <w:rPr>
                <w:rFonts w:asciiTheme="minorHAnsi" w:hAnsiTheme="minorHAnsi" w:cstheme="minorHAnsi"/>
                <w:b/>
                <w:bCs/>
                <w:i/>
                <w:iCs/>
              </w:rPr>
              <w:t>5</w:t>
            </w:r>
          </w:p>
        </w:tc>
        <w:tc>
          <w:tcPr>
            <w:tcW w:w="1306" w:type="dxa"/>
          </w:tcPr>
          <w:p w14:paraId="7107C15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4</w:t>
            </w:r>
          </w:p>
        </w:tc>
        <w:tc>
          <w:tcPr>
            <w:tcW w:w="1306" w:type="dxa"/>
          </w:tcPr>
          <w:p w14:paraId="5191B1F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0.2</w:t>
            </w:r>
          </w:p>
        </w:tc>
      </w:tr>
      <w:tr w:rsidR="00B54D51" w:rsidRPr="00037AD4" w14:paraId="71837E2D" w14:textId="77777777" w:rsidTr="00401C67">
        <w:trPr>
          <w:trHeight w:val="228"/>
        </w:trPr>
        <w:tc>
          <w:tcPr>
            <w:tcW w:w="7836" w:type="dxa"/>
            <w:gridSpan w:val="6"/>
            <w:shd w:val="clear" w:color="auto" w:fill="E7E6E6" w:themeFill="background2"/>
          </w:tcPr>
          <w:p w14:paraId="76A9F75C" w14:textId="77777777" w:rsidR="00B54D51" w:rsidRPr="00037AD4" w:rsidRDefault="00B54D51" w:rsidP="00401C67">
            <w:pPr>
              <w:jc w:val="center"/>
              <w:rPr>
                <w:rFonts w:asciiTheme="minorHAnsi" w:hAnsiTheme="minorHAnsi" w:cstheme="minorHAnsi"/>
                <w:b/>
                <w:bCs/>
              </w:rPr>
            </w:pPr>
            <w:r w:rsidRPr="00037AD4">
              <w:rPr>
                <w:rFonts w:asciiTheme="minorHAnsi" w:hAnsiTheme="minorHAnsi" w:cstheme="minorHAnsi"/>
                <w:b/>
                <w:bCs/>
              </w:rPr>
              <w:t>Anxiety/depression</w:t>
            </w:r>
          </w:p>
        </w:tc>
      </w:tr>
      <w:tr w:rsidR="00B54D51" w:rsidRPr="00037AD4" w14:paraId="2A24C419" w14:textId="77777777" w:rsidTr="00401C67">
        <w:trPr>
          <w:trHeight w:val="67"/>
        </w:trPr>
        <w:tc>
          <w:tcPr>
            <w:tcW w:w="1306" w:type="dxa"/>
          </w:tcPr>
          <w:p w14:paraId="5C8C8AFE" w14:textId="77777777" w:rsidR="00B54D51" w:rsidRPr="00037AD4" w:rsidRDefault="00B54D51" w:rsidP="00401C67">
            <w:pPr>
              <w:rPr>
                <w:rFonts w:asciiTheme="minorHAnsi" w:hAnsiTheme="minorHAnsi" w:cstheme="minorHAnsi"/>
                <w:b/>
                <w:bCs/>
                <w:i/>
                <w:iCs/>
              </w:rPr>
            </w:pPr>
            <w:r w:rsidRPr="00037AD4">
              <w:rPr>
                <w:rFonts w:asciiTheme="minorHAnsi" w:hAnsiTheme="minorHAnsi" w:cstheme="minorHAnsi"/>
                <w:b/>
                <w:bCs/>
                <w:i/>
                <w:iCs/>
              </w:rPr>
              <w:t>1</w:t>
            </w:r>
          </w:p>
        </w:tc>
        <w:tc>
          <w:tcPr>
            <w:tcW w:w="1306" w:type="dxa"/>
          </w:tcPr>
          <w:p w14:paraId="16BD1BD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614</w:t>
            </w:r>
          </w:p>
        </w:tc>
        <w:tc>
          <w:tcPr>
            <w:tcW w:w="1306" w:type="dxa"/>
          </w:tcPr>
          <w:p w14:paraId="6FE22B0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77.5</w:t>
            </w:r>
          </w:p>
        </w:tc>
        <w:tc>
          <w:tcPr>
            <w:tcW w:w="1306" w:type="dxa"/>
          </w:tcPr>
          <w:p w14:paraId="529A55AF" w14:textId="77777777" w:rsidR="00B54D51" w:rsidRPr="00037AD4" w:rsidRDefault="00B54D51" w:rsidP="00401C67">
            <w:pPr>
              <w:rPr>
                <w:rFonts w:asciiTheme="minorHAnsi" w:hAnsiTheme="minorHAnsi" w:cstheme="minorHAnsi"/>
                <w:b/>
                <w:bCs/>
                <w:i/>
                <w:iCs/>
              </w:rPr>
            </w:pPr>
            <w:r w:rsidRPr="00037AD4">
              <w:rPr>
                <w:rFonts w:asciiTheme="minorHAnsi" w:hAnsiTheme="minorHAnsi" w:cstheme="minorHAnsi"/>
                <w:b/>
                <w:bCs/>
                <w:i/>
                <w:iCs/>
              </w:rPr>
              <w:t>1</w:t>
            </w:r>
          </w:p>
        </w:tc>
        <w:tc>
          <w:tcPr>
            <w:tcW w:w="1306" w:type="dxa"/>
          </w:tcPr>
          <w:p w14:paraId="05D5EAD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1286</w:t>
            </w:r>
          </w:p>
        </w:tc>
        <w:tc>
          <w:tcPr>
            <w:tcW w:w="1306" w:type="dxa"/>
          </w:tcPr>
          <w:p w14:paraId="7A9E68B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75.7</w:t>
            </w:r>
          </w:p>
        </w:tc>
      </w:tr>
      <w:tr w:rsidR="00B54D51" w:rsidRPr="00037AD4" w14:paraId="07F22E1E" w14:textId="77777777" w:rsidTr="00401C67">
        <w:trPr>
          <w:trHeight w:val="228"/>
        </w:trPr>
        <w:tc>
          <w:tcPr>
            <w:tcW w:w="1306" w:type="dxa"/>
          </w:tcPr>
          <w:p w14:paraId="5F83B7CA" w14:textId="77777777" w:rsidR="00B54D51" w:rsidRPr="00037AD4" w:rsidRDefault="00B54D51" w:rsidP="00401C67">
            <w:pPr>
              <w:rPr>
                <w:rFonts w:asciiTheme="minorHAnsi" w:hAnsiTheme="minorHAnsi" w:cstheme="minorHAnsi"/>
                <w:b/>
                <w:bCs/>
                <w:i/>
                <w:iCs/>
              </w:rPr>
            </w:pPr>
            <w:r w:rsidRPr="00037AD4">
              <w:rPr>
                <w:rFonts w:asciiTheme="minorHAnsi" w:hAnsiTheme="minorHAnsi" w:cstheme="minorHAnsi"/>
                <w:b/>
                <w:bCs/>
                <w:i/>
                <w:iCs/>
              </w:rPr>
              <w:t>2</w:t>
            </w:r>
          </w:p>
        </w:tc>
        <w:tc>
          <w:tcPr>
            <w:tcW w:w="1306" w:type="dxa"/>
          </w:tcPr>
          <w:p w14:paraId="5B2EAFE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117</w:t>
            </w:r>
          </w:p>
        </w:tc>
        <w:tc>
          <w:tcPr>
            <w:tcW w:w="1306" w:type="dxa"/>
          </w:tcPr>
          <w:p w14:paraId="291E090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14.8</w:t>
            </w:r>
          </w:p>
        </w:tc>
        <w:tc>
          <w:tcPr>
            <w:tcW w:w="1306" w:type="dxa"/>
          </w:tcPr>
          <w:p w14:paraId="004C4309" w14:textId="77777777" w:rsidR="00B54D51" w:rsidRPr="00037AD4" w:rsidRDefault="00B54D51" w:rsidP="00401C67">
            <w:pPr>
              <w:rPr>
                <w:rFonts w:asciiTheme="minorHAnsi" w:hAnsiTheme="minorHAnsi" w:cstheme="minorHAnsi"/>
                <w:b/>
                <w:bCs/>
                <w:i/>
                <w:iCs/>
              </w:rPr>
            </w:pPr>
            <w:r w:rsidRPr="00037AD4">
              <w:rPr>
                <w:rFonts w:asciiTheme="minorHAnsi" w:hAnsiTheme="minorHAnsi" w:cstheme="minorHAnsi"/>
                <w:b/>
                <w:bCs/>
                <w:i/>
                <w:iCs/>
              </w:rPr>
              <w:t>2</w:t>
            </w:r>
          </w:p>
        </w:tc>
        <w:tc>
          <w:tcPr>
            <w:tcW w:w="1306" w:type="dxa"/>
          </w:tcPr>
          <w:p w14:paraId="08B4515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266</w:t>
            </w:r>
          </w:p>
        </w:tc>
        <w:tc>
          <w:tcPr>
            <w:tcW w:w="1306" w:type="dxa"/>
          </w:tcPr>
          <w:p w14:paraId="08A047E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15.7</w:t>
            </w:r>
          </w:p>
        </w:tc>
      </w:tr>
      <w:tr w:rsidR="00B54D51" w:rsidRPr="00037AD4" w14:paraId="70D2ED73" w14:textId="77777777" w:rsidTr="00401C67">
        <w:trPr>
          <w:trHeight w:val="228"/>
        </w:trPr>
        <w:tc>
          <w:tcPr>
            <w:tcW w:w="1306" w:type="dxa"/>
          </w:tcPr>
          <w:p w14:paraId="70DFDFA2" w14:textId="77777777" w:rsidR="00B54D51" w:rsidRPr="00037AD4" w:rsidRDefault="00B54D51" w:rsidP="00401C67">
            <w:pPr>
              <w:rPr>
                <w:rFonts w:asciiTheme="minorHAnsi" w:hAnsiTheme="minorHAnsi" w:cstheme="minorHAnsi"/>
                <w:b/>
                <w:bCs/>
                <w:i/>
                <w:iCs/>
              </w:rPr>
            </w:pPr>
            <w:r w:rsidRPr="00037AD4">
              <w:rPr>
                <w:rFonts w:asciiTheme="minorHAnsi" w:hAnsiTheme="minorHAnsi" w:cstheme="minorHAnsi"/>
                <w:b/>
                <w:bCs/>
                <w:i/>
                <w:iCs/>
              </w:rPr>
              <w:t>3</w:t>
            </w:r>
          </w:p>
        </w:tc>
        <w:tc>
          <w:tcPr>
            <w:tcW w:w="1306" w:type="dxa"/>
          </w:tcPr>
          <w:p w14:paraId="57933FA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45</w:t>
            </w:r>
          </w:p>
        </w:tc>
        <w:tc>
          <w:tcPr>
            <w:tcW w:w="1306" w:type="dxa"/>
          </w:tcPr>
          <w:p w14:paraId="46FCE2D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5.7</w:t>
            </w:r>
          </w:p>
        </w:tc>
        <w:tc>
          <w:tcPr>
            <w:tcW w:w="1306" w:type="dxa"/>
          </w:tcPr>
          <w:p w14:paraId="6E98679D" w14:textId="77777777" w:rsidR="00B54D51" w:rsidRPr="00037AD4" w:rsidRDefault="00B54D51" w:rsidP="00401C67">
            <w:pPr>
              <w:rPr>
                <w:rFonts w:asciiTheme="minorHAnsi" w:hAnsiTheme="minorHAnsi" w:cstheme="minorHAnsi"/>
                <w:b/>
                <w:bCs/>
                <w:i/>
                <w:iCs/>
              </w:rPr>
            </w:pPr>
            <w:r w:rsidRPr="00037AD4">
              <w:rPr>
                <w:rFonts w:asciiTheme="minorHAnsi" w:hAnsiTheme="minorHAnsi" w:cstheme="minorHAnsi"/>
                <w:b/>
                <w:bCs/>
                <w:i/>
                <w:iCs/>
              </w:rPr>
              <w:t>3</w:t>
            </w:r>
          </w:p>
        </w:tc>
        <w:tc>
          <w:tcPr>
            <w:tcW w:w="1306" w:type="dxa"/>
          </w:tcPr>
          <w:p w14:paraId="67CBF3B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114</w:t>
            </w:r>
          </w:p>
        </w:tc>
        <w:tc>
          <w:tcPr>
            <w:tcW w:w="1306" w:type="dxa"/>
          </w:tcPr>
          <w:p w14:paraId="16525D5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6.7</w:t>
            </w:r>
          </w:p>
        </w:tc>
      </w:tr>
      <w:tr w:rsidR="00B54D51" w:rsidRPr="00037AD4" w14:paraId="4DD5F6AC" w14:textId="77777777" w:rsidTr="00401C67">
        <w:trPr>
          <w:trHeight w:val="228"/>
        </w:trPr>
        <w:tc>
          <w:tcPr>
            <w:tcW w:w="1306" w:type="dxa"/>
          </w:tcPr>
          <w:p w14:paraId="66EC4CBC" w14:textId="77777777" w:rsidR="00B54D51" w:rsidRPr="00037AD4" w:rsidRDefault="00B54D51" w:rsidP="00401C67">
            <w:pPr>
              <w:rPr>
                <w:rFonts w:asciiTheme="minorHAnsi" w:hAnsiTheme="minorHAnsi" w:cstheme="minorHAnsi"/>
                <w:b/>
                <w:bCs/>
                <w:i/>
                <w:iCs/>
              </w:rPr>
            </w:pPr>
            <w:r w:rsidRPr="00037AD4">
              <w:rPr>
                <w:rFonts w:asciiTheme="minorHAnsi" w:hAnsiTheme="minorHAnsi" w:cstheme="minorHAnsi"/>
                <w:b/>
                <w:bCs/>
                <w:i/>
                <w:iCs/>
              </w:rPr>
              <w:t>4</w:t>
            </w:r>
          </w:p>
        </w:tc>
        <w:tc>
          <w:tcPr>
            <w:tcW w:w="1306" w:type="dxa"/>
          </w:tcPr>
          <w:p w14:paraId="1248C12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11</w:t>
            </w:r>
          </w:p>
        </w:tc>
        <w:tc>
          <w:tcPr>
            <w:tcW w:w="1306" w:type="dxa"/>
          </w:tcPr>
          <w:p w14:paraId="0C26F4D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1.4</w:t>
            </w:r>
          </w:p>
        </w:tc>
        <w:tc>
          <w:tcPr>
            <w:tcW w:w="1306" w:type="dxa"/>
          </w:tcPr>
          <w:p w14:paraId="4D8BF017" w14:textId="77777777" w:rsidR="00B54D51" w:rsidRPr="00037AD4" w:rsidRDefault="00B54D51" w:rsidP="00401C67">
            <w:pPr>
              <w:rPr>
                <w:rFonts w:asciiTheme="minorHAnsi" w:hAnsiTheme="minorHAnsi" w:cstheme="minorHAnsi"/>
                <w:b/>
                <w:bCs/>
                <w:i/>
                <w:iCs/>
              </w:rPr>
            </w:pPr>
            <w:r w:rsidRPr="00037AD4">
              <w:rPr>
                <w:rFonts w:asciiTheme="minorHAnsi" w:hAnsiTheme="minorHAnsi" w:cstheme="minorHAnsi"/>
                <w:b/>
                <w:bCs/>
                <w:i/>
                <w:iCs/>
              </w:rPr>
              <w:t>4</w:t>
            </w:r>
          </w:p>
        </w:tc>
        <w:tc>
          <w:tcPr>
            <w:tcW w:w="1306" w:type="dxa"/>
          </w:tcPr>
          <w:p w14:paraId="0C86723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27</w:t>
            </w:r>
          </w:p>
        </w:tc>
        <w:tc>
          <w:tcPr>
            <w:tcW w:w="1306" w:type="dxa"/>
          </w:tcPr>
          <w:p w14:paraId="1CD90D0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1.6</w:t>
            </w:r>
          </w:p>
        </w:tc>
      </w:tr>
      <w:tr w:rsidR="00B54D51" w:rsidRPr="00037AD4" w14:paraId="21FB6E03" w14:textId="77777777" w:rsidTr="00401C67">
        <w:trPr>
          <w:trHeight w:val="67"/>
        </w:trPr>
        <w:tc>
          <w:tcPr>
            <w:tcW w:w="1306" w:type="dxa"/>
          </w:tcPr>
          <w:p w14:paraId="24650D9C" w14:textId="77777777" w:rsidR="00B54D51" w:rsidRPr="00037AD4" w:rsidRDefault="00B54D51" w:rsidP="00401C67">
            <w:pPr>
              <w:rPr>
                <w:rFonts w:asciiTheme="minorHAnsi" w:hAnsiTheme="minorHAnsi" w:cstheme="minorHAnsi"/>
                <w:b/>
                <w:bCs/>
                <w:i/>
                <w:iCs/>
              </w:rPr>
            </w:pPr>
            <w:r w:rsidRPr="00037AD4">
              <w:rPr>
                <w:rFonts w:asciiTheme="minorHAnsi" w:hAnsiTheme="minorHAnsi" w:cstheme="minorHAnsi"/>
                <w:b/>
                <w:bCs/>
                <w:i/>
                <w:iCs/>
              </w:rPr>
              <w:t>5</w:t>
            </w:r>
          </w:p>
        </w:tc>
        <w:tc>
          <w:tcPr>
            <w:tcW w:w="1306" w:type="dxa"/>
          </w:tcPr>
          <w:p w14:paraId="53C7ED7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5</w:t>
            </w:r>
          </w:p>
        </w:tc>
        <w:tc>
          <w:tcPr>
            <w:tcW w:w="1306" w:type="dxa"/>
          </w:tcPr>
          <w:p w14:paraId="37ECE4B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0.6</w:t>
            </w:r>
          </w:p>
        </w:tc>
        <w:tc>
          <w:tcPr>
            <w:tcW w:w="1306" w:type="dxa"/>
          </w:tcPr>
          <w:p w14:paraId="160FF497" w14:textId="77777777" w:rsidR="00B54D51" w:rsidRPr="00037AD4" w:rsidRDefault="00B54D51" w:rsidP="00401C67">
            <w:pPr>
              <w:rPr>
                <w:rFonts w:asciiTheme="minorHAnsi" w:hAnsiTheme="minorHAnsi" w:cstheme="minorHAnsi"/>
                <w:b/>
                <w:bCs/>
                <w:i/>
                <w:iCs/>
              </w:rPr>
            </w:pPr>
            <w:r w:rsidRPr="00037AD4">
              <w:rPr>
                <w:rFonts w:asciiTheme="minorHAnsi" w:hAnsiTheme="minorHAnsi" w:cstheme="minorHAnsi"/>
                <w:b/>
                <w:bCs/>
                <w:i/>
                <w:iCs/>
              </w:rPr>
              <w:t>5</w:t>
            </w:r>
          </w:p>
        </w:tc>
        <w:tc>
          <w:tcPr>
            <w:tcW w:w="1306" w:type="dxa"/>
          </w:tcPr>
          <w:p w14:paraId="7D26F4B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6</w:t>
            </w:r>
          </w:p>
        </w:tc>
        <w:tc>
          <w:tcPr>
            <w:tcW w:w="1306" w:type="dxa"/>
          </w:tcPr>
          <w:p w14:paraId="5A87ACC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0.4</w:t>
            </w:r>
          </w:p>
        </w:tc>
      </w:tr>
      <w:tr w:rsidR="00B54D51" w:rsidRPr="00037AD4" w14:paraId="22E81135" w14:textId="77777777" w:rsidTr="00401C67">
        <w:trPr>
          <w:trHeight w:val="67"/>
        </w:trPr>
        <w:tc>
          <w:tcPr>
            <w:tcW w:w="1306" w:type="dxa"/>
          </w:tcPr>
          <w:p w14:paraId="45B83345"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EQ-5D index score</w:t>
            </w:r>
          </w:p>
        </w:tc>
        <w:tc>
          <w:tcPr>
            <w:tcW w:w="1306" w:type="dxa"/>
          </w:tcPr>
          <w:p w14:paraId="4693B12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762</w:t>
            </w:r>
          </w:p>
        </w:tc>
        <w:tc>
          <w:tcPr>
            <w:tcW w:w="1306" w:type="dxa"/>
          </w:tcPr>
          <w:p w14:paraId="2B005C9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0.80 (0.23)</w:t>
            </w:r>
          </w:p>
        </w:tc>
        <w:tc>
          <w:tcPr>
            <w:tcW w:w="1306" w:type="dxa"/>
          </w:tcPr>
          <w:p w14:paraId="47ECFFDF"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EQ-5D index score</w:t>
            </w:r>
          </w:p>
        </w:tc>
        <w:tc>
          <w:tcPr>
            <w:tcW w:w="1306" w:type="dxa"/>
          </w:tcPr>
          <w:p w14:paraId="6A20E0E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1679 </w:t>
            </w:r>
          </w:p>
        </w:tc>
        <w:tc>
          <w:tcPr>
            <w:tcW w:w="1306" w:type="dxa"/>
          </w:tcPr>
          <w:p w14:paraId="0A6013E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0.49 (0.41)</w:t>
            </w:r>
          </w:p>
        </w:tc>
      </w:tr>
    </w:tbl>
    <w:p w14:paraId="3BE8F000" w14:textId="77777777" w:rsidR="00B54D51" w:rsidRPr="00037AD4" w:rsidRDefault="00B54D51" w:rsidP="001D7ACE">
      <w:pPr>
        <w:rPr>
          <w:rFonts w:asciiTheme="minorHAnsi" w:hAnsiTheme="minorHAnsi" w:cstheme="minorHAnsi"/>
          <w:u w:val="single"/>
        </w:rPr>
      </w:pPr>
    </w:p>
    <w:p w14:paraId="724C105B" w14:textId="77777777" w:rsidR="00B54D51" w:rsidRPr="00037AD4" w:rsidRDefault="00B54D51" w:rsidP="001D7ACE">
      <w:pPr>
        <w:rPr>
          <w:rFonts w:asciiTheme="minorHAnsi" w:hAnsiTheme="minorHAnsi" w:cstheme="minorHAnsi"/>
          <w:u w:val="single"/>
        </w:rPr>
      </w:pPr>
    </w:p>
    <w:p w14:paraId="6B1C6386" w14:textId="77777777" w:rsidR="00B54D51" w:rsidRPr="00037AD4" w:rsidRDefault="00B54D51" w:rsidP="001D7ACE">
      <w:pPr>
        <w:rPr>
          <w:rFonts w:asciiTheme="minorHAnsi" w:hAnsiTheme="minorHAnsi" w:cstheme="minorHAnsi"/>
          <w:u w:val="single"/>
        </w:rPr>
      </w:pPr>
    </w:p>
    <w:p w14:paraId="3B22FE3F" w14:textId="77777777" w:rsidR="00B54D51" w:rsidRPr="00037AD4" w:rsidRDefault="00B54D51" w:rsidP="001D7ACE">
      <w:pPr>
        <w:rPr>
          <w:rFonts w:asciiTheme="minorHAnsi" w:hAnsiTheme="minorHAnsi" w:cstheme="minorHAnsi"/>
          <w:u w:val="single"/>
        </w:rPr>
      </w:pPr>
    </w:p>
    <w:p w14:paraId="48808663" w14:textId="77777777" w:rsidR="00B54D51" w:rsidRPr="00037AD4" w:rsidRDefault="00B54D51" w:rsidP="001D7ACE">
      <w:pPr>
        <w:rPr>
          <w:rFonts w:asciiTheme="minorHAnsi" w:hAnsiTheme="minorHAnsi" w:cstheme="minorHAnsi"/>
          <w:u w:val="single"/>
        </w:rPr>
      </w:pPr>
    </w:p>
    <w:p w14:paraId="05B05318" w14:textId="77777777" w:rsidR="00B54D51" w:rsidRPr="00037AD4" w:rsidRDefault="00B54D51" w:rsidP="001D7ACE">
      <w:pPr>
        <w:rPr>
          <w:rFonts w:cstheme="minorHAnsi"/>
          <w:u w:val="single"/>
        </w:rPr>
        <w:sectPr w:rsidR="00B54D51" w:rsidRPr="00037AD4" w:rsidSect="0051675A">
          <w:pgSz w:w="11906" w:h="16838"/>
          <w:pgMar w:top="1440" w:right="1440" w:bottom="1440" w:left="1440" w:header="708" w:footer="708" w:gutter="0"/>
          <w:cols w:space="708"/>
          <w:docGrid w:linePitch="360"/>
        </w:sectPr>
      </w:pPr>
    </w:p>
    <w:p w14:paraId="58706C00" w14:textId="77777777" w:rsidR="00B54D51" w:rsidRPr="00037AD4" w:rsidRDefault="00B54D51" w:rsidP="007A43F9">
      <w:pPr>
        <w:pStyle w:val="Heading2"/>
      </w:pPr>
      <w:bookmarkStart w:id="527" w:name="A61"/>
      <w:bookmarkStart w:id="528" w:name="_Toc175742417"/>
      <w:r w:rsidRPr="00037AD4">
        <w:lastRenderedPageBreak/>
        <w:t>Appendix 6.1 Correlations between variables</w:t>
      </w:r>
      <w:bookmarkEnd w:id="528"/>
      <w:r w:rsidRPr="00037AD4">
        <w:t xml:space="preserve"> </w:t>
      </w:r>
    </w:p>
    <w:p w14:paraId="6BEC2340" w14:textId="77777777" w:rsidR="00B54D51" w:rsidRPr="00037AD4" w:rsidRDefault="00B54D51" w:rsidP="001D7ACE">
      <w:pPr>
        <w:rPr>
          <w:rFonts w:asciiTheme="minorHAnsi" w:hAnsiTheme="minorHAnsi" w:cstheme="minorHAnsi"/>
          <w:color w:val="000000" w:themeColor="text1"/>
          <w:u w:val="single"/>
        </w:rPr>
      </w:pPr>
      <w:bookmarkStart w:id="529" w:name="tablea61a"/>
      <w:bookmarkEnd w:id="527"/>
      <w:r w:rsidRPr="00037AD4">
        <w:rPr>
          <w:rFonts w:asciiTheme="minorHAnsi" w:hAnsiTheme="minorHAnsi" w:cstheme="minorHAnsi"/>
          <w:color w:val="000000" w:themeColor="text1"/>
          <w:u w:val="single"/>
        </w:rPr>
        <w:t xml:space="preserve">Table A6.1a, Correlations between independent variables and EQ-5D dimension: ACTIFCARE  </w:t>
      </w:r>
    </w:p>
    <w:bookmarkEnd w:id="529"/>
    <w:p w14:paraId="5D1133A0" w14:textId="77777777" w:rsidR="00B54D51" w:rsidRPr="00037AD4" w:rsidRDefault="00B54D51" w:rsidP="001D7ACE">
      <w:pPr>
        <w:rPr>
          <w:rFonts w:asciiTheme="minorHAnsi" w:hAnsiTheme="minorHAnsi" w:cstheme="minorHAnsi"/>
          <w:u w:val="single"/>
        </w:rPr>
      </w:pPr>
    </w:p>
    <w:tbl>
      <w:tblPr>
        <w:tblStyle w:val="TableGrid"/>
        <w:tblW w:w="0" w:type="auto"/>
        <w:tblLook w:val="04A0" w:firstRow="1" w:lastRow="0" w:firstColumn="1" w:lastColumn="0" w:noHBand="0" w:noVBand="1"/>
      </w:tblPr>
      <w:tblGrid>
        <w:gridCol w:w="763"/>
        <w:gridCol w:w="953"/>
        <w:gridCol w:w="803"/>
        <w:gridCol w:w="803"/>
        <w:gridCol w:w="804"/>
        <w:gridCol w:w="786"/>
        <w:gridCol w:w="786"/>
        <w:gridCol w:w="804"/>
        <w:gridCol w:w="879"/>
        <w:gridCol w:w="804"/>
        <w:gridCol w:w="804"/>
        <w:gridCol w:w="808"/>
        <w:gridCol w:w="859"/>
        <w:gridCol w:w="851"/>
        <w:gridCol w:w="886"/>
        <w:gridCol w:w="879"/>
        <w:gridCol w:w="686"/>
      </w:tblGrid>
      <w:tr w:rsidR="00B54D51" w:rsidRPr="00037AD4" w14:paraId="2DE77D30" w14:textId="77777777" w:rsidTr="00401C67">
        <w:trPr>
          <w:trHeight w:val="678"/>
        </w:trPr>
        <w:tc>
          <w:tcPr>
            <w:tcW w:w="0" w:type="auto"/>
            <w:tcBorders>
              <w:top w:val="nil"/>
              <w:left w:val="nil"/>
              <w:right w:val="nil"/>
            </w:tcBorders>
          </w:tcPr>
          <w:p w14:paraId="77F6782F" w14:textId="77777777" w:rsidR="00B54D51" w:rsidRPr="00037AD4" w:rsidRDefault="00B54D51" w:rsidP="00401C67">
            <w:pPr>
              <w:rPr>
                <w:rFonts w:asciiTheme="minorHAnsi" w:hAnsiTheme="minorHAnsi" w:cstheme="minorHAnsi"/>
                <w:sz w:val="21"/>
                <w:szCs w:val="21"/>
              </w:rPr>
            </w:pPr>
          </w:p>
        </w:tc>
        <w:tc>
          <w:tcPr>
            <w:tcW w:w="0" w:type="auto"/>
            <w:tcBorders>
              <w:top w:val="nil"/>
              <w:left w:val="nil"/>
            </w:tcBorders>
          </w:tcPr>
          <w:p w14:paraId="456D94F7" w14:textId="77777777" w:rsidR="00B54D51" w:rsidRPr="00037AD4" w:rsidRDefault="00B54D51" w:rsidP="00401C67">
            <w:pPr>
              <w:rPr>
                <w:rFonts w:asciiTheme="minorHAnsi" w:hAnsiTheme="minorHAnsi" w:cstheme="minorHAnsi"/>
                <w:sz w:val="21"/>
                <w:szCs w:val="21"/>
              </w:rPr>
            </w:pPr>
          </w:p>
        </w:tc>
        <w:tc>
          <w:tcPr>
            <w:tcW w:w="0" w:type="auto"/>
            <w:gridSpan w:val="5"/>
          </w:tcPr>
          <w:p w14:paraId="17F8A52B" w14:textId="77777777" w:rsidR="00B54D51" w:rsidRPr="00037AD4" w:rsidRDefault="00B54D51" w:rsidP="00401C67">
            <w:pPr>
              <w:jc w:val="center"/>
              <w:rPr>
                <w:rFonts w:asciiTheme="minorHAnsi" w:hAnsiTheme="minorHAnsi" w:cstheme="minorHAnsi"/>
              </w:rPr>
            </w:pPr>
            <w:r w:rsidRPr="00037AD4">
              <w:rPr>
                <w:rFonts w:asciiTheme="minorHAnsi" w:hAnsiTheme="minorHAnsi" w:cstheme="minorHAnsi"/>
              </w:rPr>
              <w:t>Self-report</w:t>
            </w:r>
          </w:p>
        </w:tc>
        <w:tc>
          <w:tcPr>
            <w:tcW w:w="0" w:type="auto"/>
            <w:gridSpan w:val="2"/>
            <w:tcBorders>
              <w:top w:val="nil"/>
              <w:right w:val="nil"/>
            </w:tcBorders>
          </w:tcPr>
          <w:p w14:paraId="38E52981" w14:textId="77777777" w:rsidR="00B54D51" w:rsidRPr="00037AD4" w:rsidRDefault="00B54D51" w:rsidP="00401C67">
            <w:pPr>
              <w:rPr>
                <w:rFonts w:asciiTheme="minorHAnsi" w:hAnsiTheme="minorHAnsi" w:cstheme="minorHAnsi"/>
                <w:sz w:val="21"/>
                <w:szCs w:val="21"/>
              </w:rPr>
            </w:pPr>
          </w:p>
        </w:tc>
        <w:tc>
          <w:tcPr>
            <w:tcW w:w="0" w:type="auto"/>
            <w:gridSpan w:val="8"/>
            <w:tcBorders>
              <w:top w:val="nil"/>
              <w:left w:val="nil"/>
              <w:right w:val="nil"/>
            </w:tcBorders>
          </w:tcPr>
          <w:p w14:paraId="4A760D42" w14:textId="77777777" w:rsidR="00B54D51" w:rsidRPr="00037AD4" w:rsidRDefault="00B54D51" w:rsidP="00401C67">
            <w:pPr>
              <w:rPr>
                <w:rFonts w:asciiTheme="minorHAnsi" w:hAnsiTheme="minorHAnsi" w:cstheme="minorHAnsi"/>
                <w:sz w:val="21"/>
                <w:szCs w:val="21"/>
              </w:rPr>
            </w:pPr>
          </w:p>
        </w:tc>
      </w:tr>
      <w:tr w:rsidR="00B54D51" w:rsidRPr="00037AD4" w14:paraId="0D1BBEC6" w14:textId="77777777" w:rsidTr="00401C67">
        <w:trPr>
          <w:trHeight w:val="678"/>
        </w:trPr>
        <w:tc>
          <w:tcPr>
            <w:tcW w:w="0" w:type="auto"/>
          </w:tcPr>
          <w:p w14:paraId="24BA569B" w14:textId="77777777" w:rsidR="00B54D51" w:rsidRPr="00037AD4" w:rsidRDefault="00B54D51" w:rsidP="00401C67">
            <w:pPr>
              <w:rPr>
                <w:rFonts w:asciiTheme="minorHAnsi" w:hAnsiTheme="minorHAnsi" w:cstheme="minorHAnsi"/>
                <w:sz w:val="21"/>
                <w:szCs w:val="21"/>
              </w:rPr>
            </w:pPr>
          </w:p>
        </w:tc>
        <w:tc>
          <w:tcPr>
            <w:tcW w:w="0" w:type="auto"/>
          </w:tcPr>
          <w:p w14:paraId="1B994CAE" w14:textId="77777777" w:rsidR="00B54D51" w:rsidRPr="00037AD4" w:rsidRDefault="00B54D51" w:rsidP="00401C67">
            <w:pPr>
              <w:rPr>
                <w:rFonts w:asciiTheme="minorHAnsi" w:hAnsiTheme="minorHAnsi" w:cstheme="minorHAnsi"/>
                <w:sz w:val="21"/>
                <w:szCs w:val="21"/>
              </w:rPr>
            </w:pPr>
          </w:p>
        </w:tc>
        <w:tc>
          <w:tcPr>
            <w:tcW w:w="0" w:type="auto"/>
          </w:tcPr>
          <w:p w14:paraId="631F76EA"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M</w:t>
            </w:r>
          </w:p>
        </w:tc>
        <w:tc>
          <w:tcPr>
            <w:tcW w:w="0" w:type="auto"/>
          </w:tcPr>
          <w:p w14:paraId="4921E8B1"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SC</w:t>
            </w:r>
          </w:p>
        </w:tc>
        <w:tc>
          <w:tcPr>
            <w:tcW w:w="0" w:type="auto"/>
          </w:tcPr>
          <w:p w14:paraId="34E8A78B"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UA</w:t>
            </w:r>
          </w:p>
        </w:tc>
        <w:tc>
          <w:tcPr>
            <w:tcW w:w="0" w:type="auto"/>
          </w:tcPr>
          <w:p w14:paraId="5C703FC8"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PD</w:t>
            </w:r>
          </w:p>
        </w:tc>
        <w:tc>
          <w:tcPr>
            <w:tcW w:w="0" w:type="auto"/>
          </w:tcPr>
          <w:p w14:paraId="594BD603"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AD</w:t>
            </w:r>
          </w:p>
        </w:tc>
        <w:tc>
          <w:tcPr>
            <w:tcW w:w="0" w:type="auto"/>
          </w:tcPr>
          <w:p w14:paraId="4D5E22AE"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CDR</w:t>
            </w:r>
          </w:p>
        </w:tc>
        <w:tc>
          <w:tcPr>
            <w:tcW w:w="0" w:type="auto"/>
          </w:tcPr>
          <w:p w14:paraId="2F655523"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MMSE</w:t>
            </w:r>
          </w:p>
        </w:tc>
        <w:tc>
          <w:tcPr>
            <w:tcW w:w="0" w:type="auto"/>
          </w:tcPr>
          <w:p w14:paraId="5D7FF714"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 xml:space="preserve">NPI </w:t>
            </w:r>
          </w:p>
        </w:tc>
        <w:tc>
          <w:tcPr>
            <w:tcW w:w="0" w:type="auto"/>
          </w:tcPr>
          <w:p w14:paraId="1136B287"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IADL</w:t>
            </w:r>
          </w:p>
        </w:tc>
        <w:tc>
          <w:tcPr>
            <w:tcW w:w="0" w:type="auto"/>
          </w:tcPr>
          <w:p w14:paraId="7A6BACF9"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 xml:space="preserve">PSMS </w:t>
            </w:r>
          </w:p>
        </w:tc>
        <w:tc>
          <w:tcPr>
            <w:tcW w:w="0" w:type="auto"/>
          </w:tcPr>
          <w:p w14:paraId="0FD7B4B0"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PwD age</w:t>
            </w:r>
          </w:p>
        </w:tc>
        <w:tc>
          <w:tcPr>
            <w:tcW w:w="0" w:type="auto"/>
          </w:tcPr>
          <w:p w14:paraId="613B6A86"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PwD sex</w:t>
            </w:r>
          </w:p>
        </w:tc>
        <w:tc>
          <w:tcPr>
            <w:tcW w:w="0" w:type="auto"/>
          </w:tcPr>
          <w:p w14:paraId="3F72856D"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Proxy age</w:t>
            </w:r>
          </w:p>
        </w:tc>
        <w:tc>
          <w:tcPr>
            <w:tcW w:w="0" w:type="auto"/>
          </w:tcPr>
          <w:p w14:paraId="27756BE8"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Proxy sex</w:t>
            </w:r>
          </w:p>
        </w:tc>
        <w:tc>
          <w:tcPr>
            <w:tcW w:w="0" w:type="auto"/>
          </w:tcPr>
          <w:p w14:paraId="5EB97DCB"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Live</w:t>
            </w:r>
          </w:p>
        </w:tc>
      </w:tr>
      <w:tr w:rsidR="00B54D51" w:rsidRPr="00037AD4" w14:paraId="2A0580A3" w14:textId="77777777" w:rsidTr="00401C67">
        <w:trPr>
          <w:trHeight w:val="317"/>
        </w:trPr>
        <w:tc>
          <w:tcPr>
            <w:tcW w:w="0" w:type="auto"/>
            <w:vMerge w:val="restart"/>
          </w:tcPr>
          <w:p w14:paraId="7C72663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Proxy</w:t>
            </w:r>
          </w:p>
        </w:tc>
        <w:tc>
          <w:tcPr>
            <w:tcW w:w="0" w:type="auto"/>
          </w:tcPr>
          <w:p w14:paraId="4BC8B708"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M</w:t>
            </w:r>
          </w:p>
        </w:tc>
        <w:tc>
          <w:tcPr>
            <w:tcW w:w="0" w:type="auto"/>
            <w:shd w:val="clear" w:color="auto" w:fill="FFE599" w:themeFill="accent4" w:themeFillTint="66"/>
          </w:tcPr>
          <w:p w14:paraId="6E228066"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0.63*</w:t>
            </w:r>
          </w:p>
        </w:tc>
        <w:tc>
          <w:tcPr>
            <w:tcW w:w="0" w:type="auto"/>
          </w:tcPr>
          <w:p w14:paraId="3CA4C8BC"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0.32*</w:t>
            </w:r>
          </w:p>
        </w:tc>
        <w:tc>
          <w:tcPr>
            <w:tcW w:w="0" w:type="auto"/>
          </w:tcPr>
          <w:p w14:paraId="18B59B8E"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0.41*</w:t>
            </w:r>
          </w:p>
        </w:tc>
        <w:tc>
          <w:tcPr>
            <w:tcW w:w="0" w:type="auto"/>
          </w:tcPr>
          <w:p w14:paraId="0A1D6677"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0.23*</w:t>
            </w:r>
          </w:p>
        </w:tc>
        <w:tc>
          <w:tcPr>
            <w:tcW w:w="0" w:type="auto"/>
          </w:tcPr>
          <w:p w14:paraId="24F08879"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0.11*</w:t>
            </w:r>
          </w:p>
        </w:tc>
        <w:tc>
          <w:tcPr>
            <w:tcW w:w="0" w:type="auto"/>
          </w:tcPr>
          <w:p w14:paraId="3AB04800"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0.14*</w:t>
            </w:r>
          </w:p>
        </w:tc>
        <w:tc>
          <w:tcPr>
            <w:tcW w:w="0" w:type="auto"/>
          </w:tcPr>
          <w:p w14:paraId="17C6EAC4"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0.03</w:t>
            </w:r>
          </w:p>
        </w:tc>
        <w:tc>
          <w:tcPr>
            <w:tcW w:w="0" w:type="auto"/>
          </w:tcPr>
          <w:p w14:paraId="45290E9C"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0.11*</w:t>
            </w:r>
          </w:p>
        </w:tc>
        <w:tc>
          <w:tcPr>
            <w:tcW w:w="0" w:type="auto"/>
          </w:tcPr>
          <w:p w14:paraId="5322535B"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-0.30*</w:t>
            </w:r>
          </w:p>
        </w:tc>
        <w:tc>
          <w:tcPr>
            <w:tcW w:w="0" w:type="auto"/>
          </w:tcPr>
          <w:p w14:paraId="66E4BE58"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-0.43*</w:t>
            </w:r>
          </w:p>
        </w:tc>
        <w:tc>
          <w:tcPr>
            <w:tcW w:w="0" w:type="auto"/>
          </w:tcPr>
          <w:p w14:paraId="70673292"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0.32*</w:t>
            </w:r>
          </w:p>
        </w:tc>
        <w:tc>
          <w:tcPr>
            <w:tcW w:w="0" w:type="auto"/>
          </w:tcPr>
          <w:p w14:paraId="420C0DDD"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0.05</w:t>
            </w:r>
          </w:p>
        </w:tc>
        <w:tc>
          <w:tcPr>
            <w:tcW w:w="0" w:type="auto"/>
          </w:tcPr>
          <w:p w14:paraId="637CB6D1"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0.05</w:t>
            </w:r>
          </w:p>
        </w:tc>
        <w:tc>
          <w:tcPr>
            <w:tcW w:w="0" w:type="auto"/>
          </w:tcPr>
          <w:p w14:paraId="427E6078"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0.04</w:t>
            </w:r>
          </w:p>
        </w:tc>
        <w:tc>
          <w:tcPr>
            <w:tcW w:w="0" w:type="auto"/>
          </w:tcPr>
          <w:p w14:paraId="0547AEB1"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0.05</w:t>
            </w:r>
          </w:p>
        </w:tc>
      </w:tr>
      <w:tr w:rsidR="00B54D51" w:rsidRPr="00037AD4" w14:paraId="7E4495DB" w14:textId="77777777" w:rsidTr="00401C67">
        <w:trPr>
          <w:trHeight w:val="339"/>
        </w:trPr>
        <w:tc>
          <w:tcPr>
            <w:tcW w:w="0" w:type="auto"/>
            <w:vMerge/>
          </w:tcPr>
          <w:p w14:paraId="3024B9DE" w14:textId="77777777" w:rsidR="00B54D51" w:rsidRPr="00037AD4" w:rsidRDefault="00B54D51" w:rsidP="00401C67">
            <w:pPr>
              <w:rPr>
                <w:rFonts w:asciiTheme="minorHAnsi" w:hAnsiTheme="minorHAnsi" w:cstheme="minorHAnsi"/>
                <w:sz w:val="21"/>
                <w:szCs w:val="21"/>
              </w:rPr>
            </w:pPr>
          </w:p>
        </w:tc>
        <w:tc>
          <w:tcPr>
            <w:tcW w:w="0" w:type="auto"/>
          </w:tcPr>
          <w:p w14:paraId="0BFB4C86"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SC</w:t>
            </w:r>
          </w:p>
        </w:tc>
        <w:tc>
          <w:tcPr>
            <w:tcW w:w="0" w:type="auto"/>
          </w:tcPr>
          <w:p w14:paraId="42B3601C"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0.31*</w:t>
            </w:r>
          </w:p>
        </w:tc>
        <w:tc>
          <w:tcPr>
            <w:tcW w:w="0" w:type="auto"/>
            <w:shd w:val="clear" w:color="auto" w:fill="FFE599" w:themeFill="accent4" w:themeFillTint="66"/>
          </w:tcPr>
          <w:p w14:paraId="767AEB2F"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0.46*</w:t>
            </w:r>
          </w:p>
        </w:tc>
        <w:tc>
          <w:tcPr>
            <w:tcW w:w="0" w:type="auto"/>
          </w:tcPr>
          <w:p w14:paraId="649D622F"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0.32*</w:t>
            </w:r>
          </w:p>
        </w:tc>
        <w:tc>
          <w:tcPr>
            <w:tcW w:w="0" w:type="auto"/>
          </w:tcPr>
          <w:p w14:paraId="04CC8583"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0.06*</w:t>
            </w:r>
          </w:p>
        </w:tc>
        <w:tc>
          <w:tcPr>
            <w:tcW w:w="0" w:type="auto"/>
          </w:tcPr>
          <w:p w14:paraId="352A9D4D"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0.03</w:t>
            </w:r>
          </w:p>
        </w:tc>
        <w:tc>
          <w:tcPr>
            <w:tcW w:w="0" w:type="auto"/>
          </w:tcPr>
          <w:p w14:paraId="3EE15AFB"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0.44*</w:t>
            </w:r>
          </w:p>
        </w:tc>
        <w:tc>
          <w:tcPr>
            <w:tcW w:w="0" w:type="auto"/>
          </w:tcPr>
          <w:p w14:paraId="666C1803"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-0.28*</w:t>
            </w:r>
          </w:p>
        </w:tc>
        <w:tc>
          <w:tcPr>
            <w:tcW w:w="0" w:type="auto"/>
          </w:tcPr>
          <w:p w14:paraId="5BE21A35"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0.31*</w:t>
            </w:r>
          </w:p>
        </w:tc>
        <w:tc>
          <w:tcPr>
            <w:tcW w:w="0" w:type="auto"/>
          </w:tcPr>
          <w:p w14:paraId="0C144B68"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-0.65*</w:t>
            </w:r>
          </w:p>
        </w:tc>
        <w:tc>
          <w:tcPr>
            <w:tcW w:w="0" w:type="auto"/>
          </w:tcPr>
          <w:p w14:paraId="019D9AB2"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-0.77*</w:t>
            </w:r>
          </w:p>
        </w:tc>
        <w:tc>
          <w:tcPr>
            <w:tcW w:w="0" w:type="auto"/>
          </w:tcPr>
          <w:p w14:paraId="16443DD6"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0.14*</w:t>
            </w:r>
          </w:p>
        </w:tc>
        <w:tc>
          <w:tcPr>
            <w:tcW w:w="0" w:type="auto"/>
          </w:tcPr>
          <w:p w14:paraId="530503CC"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-0.01</w:t>
            </w:r>
          </w:p>
        </w:tc>
        <w:tc>
          <w:tcPr>
            <w:tcW w:w="0" w:type="auto"/>
          </w:tcPr>
          <w:p w14:paraId="026F9246"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0.05</w:t>
            </w:r>
          </w:p>
        </w:tc>
        <w:tc>
          <w:tcPr>
            <w:tcW w:w="0" w:type="auto"/>
          </w:tcPr>
          <w:p w14:paraId="0D4B4B78"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0.04</w:t>
            </w:r>
          </w:p>
        </w:tc>
        <w:tc>
          <w:tcPr>
            <w:tcW w:w="0" w:type="auto"/>
          </w:tcPr>
          <w:p w14:paraId="1C9AEB60"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-0.04</w:t>
            </w:r>
          </w:p>
        </w:tc>
      </w:tr>
      <w:tr w:rsidR="00B54D51" w:rsidRPr="00037AD4" w14:paraId="52F7C2A4" w14:textId="77777777" w:rsidTr="00401C67">
        <w:trPr>
          <w:trHeight w:val="339"/>
        </w:trPr>
        <w:tc>
          <w:tcPr>
            <w:tcW w:w="0" w:type="auto"/>
            <w:vMerge/>
          </w:tcPr>
          <w:p w14:paraId="2835FB44" w14:textId="77777777" w:rsidR="00B54D51" w:rsidRPr="00037AD4" w:rsidRDefault="00B54D51" w:rsidP="00401C67">
            <w:pPr>
              <w:rPr>
                <w:rFonts w:asciiTheme="minorHAnsi" w:hAnsiTheme="minorHAnsi" w:cstheme="minorHAnsi"/>
                <w:sz w:val="21"/>
                <w:szCs w:val="21"/>
              </w:rPr>
            </w:pPr>
          </w:p>
        </w:tc>
        <w:tc>
          <w:tcPr>
            <w:tcW w:w="0" w:type="auto"/>
          </w:tcPr>
          <w:p w14:paraId="39F535F2"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UA</w:t>
            </w:r>
          </w:p>
        </w:tc>
        <w:tc>
          <w:tcPr>
            <w:tcW w:w="0" w:type="auto"/>
          </w:tcPr>
          <w:p w14:paraId="0F236161"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0.27*</w:t>
            </w:r>
          </w:p>
        </w:tc>
        <w:tc>
          <w:tcPr>
            <w:tcW w:w="0" w:type="auto"/>
          </w:tcPr>
          <w:p w14:paraId="5B5B7F42"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0.30*</w:t>
            </w:r>
          </w:p>
        </w:tc>
        <w:tc>
          <w:tcPr>
            <w:tcW w:w="0" w:type="auto"/>
            <w:shd w:val="clear" w:color="auto" w:fill="FFE599" w:themeFill="accent4" w:themeFillTint="66"/>
          </w:tcPr>
          <w:p w14:paraId="602DE995"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0.35*</w:t>
            </w:r>
          </w:p>
        </w:tc>
        <w:tc>
          <w:tcPr>
            <w:tcW w:w="0" w:type="auto"/>
          </w:tcPr>
          <w:p w14:paraId="5C66D477"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0.09*</w:t>
            </w:r>
          </w:p>
        </w:tc>
        <w:tc>
          <w:tcPr>
            <w:tcW w:w="0" w:type="auto"/>
          </w:tcPr>
          <w:p w14:paraId="6FF1C32D"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0.08*</w:t>
            </w:r>
          </w:p>
        </w:tc>
        <w:tc>
          <w:tcPr>
            <w:tcW w:w="0" w:type="auto"/>
          </w:tcPr>
          <w:p w14:paraId="28D98F68"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0.39*</w:t>
            </w:r>
          </w:p>
        </w:tc>
        <w:tc>
          <w:tcPr>
            <w:tcW w:w="0" w:type="auto"/>
          </w:tcPr>
          <w:p w14:paraId="3D5F5E93"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-0.22*</w:t>
            </w:r>
          </w:p>
        </w:tc>
        <w:tc>
          <w:tcPr>
            <w:tcW w:w="0" w:type="auto"/>
          </w:tcPr>
          <w:p w14:paraId="0EBC066C"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0.26*</w:t>
            </w:r>
          </w:p>
        </w:tc>
        <w:tc>
          <w:tcPr>
            <w:tcW w:w="0" w:type="auto"/>
          </w:tcPr>
          <w:p w14:paraId="5E4F089E"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-0.52*</w:t>
            </w:r>
          </w:p>
        </w:tc>
        <w:tc>
          <w:tcPr>
            <w:tcW w:w="0" w:type="auto"/>
          </w:tcPr>
          <w:p w14:paraId="190A75C2"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-0.50*</w:t>
            </w:r>
          </w:p>
        </w:tc>
        <w:tc>
          <w:tcPr>
            <w:tcW w:w="0" w:type="auto"/>
          </w:tcPr>
          <w:p w14:paraId="41545D95"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0.13*</w:t>
            </w:r>
          </w:p>
        </w:tc>
        <w:tc>
          <w:tcPr>
            <w:tcW w:w="0" w:type="auto"/>
          </w:tcPr>
          <w:p w14:paraId="5C96E941"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0.00</w:t>
            </w:r>
          </w:p>
        </w:tc>
        <w:tc>
          <w:tcPr>
            <w:tcW w:w="0" w:type="auto"/>
          </w:tcPr>
          <w:p w14:paraId="247F516F"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0.10*</w:t>
            </w:r>
          </w:p>
        </w:tc>
        <w:tc>
          <w:tcPr>
            <w:tcW w:w="0" w:type="auto"/>
          </w:tcPr>
          <w:p w14:paraId="4363DB9A"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0.00</w:t>
            </w:r>
          </w:p>
        </w:tc>
        <w:tc>
          <w:tcPr>
            <w:tcW w:w="0" w:type="auto"/>
          </w:tcPr>
          <w:p w14:paraId="68EC7956"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-0.03</w:t>
            </w:r>
          </w:p>
        </w:tc>
      </w:tr>
      <w:tr w:rsidR="00B54D51" w:rsidRPr="00037AD4" w14:paraId="58595445" w14:textId="77777777" w:rsidTr="00401C67">
        <w:trPr>
          <w:trHeight w:val="317"/>
        </w:trPr>
        <w:tc>
          <w:tcPr>
            <w:tcW w:w="0" w:type="auto"/>
            <w:vMerge/>
          </w:tcPr>
          <w:p w14:paraId="05F2E4B9" w14:textId="77777777" w:rsidR="00B54D51" w:rsidRPr="00037AD4" w:rsidRDefault="00B54D51" w:rsidP="00401C67">
            <w:pPr>
              <w:rPr>
                <w:rFonts w:asciiTheme="minorHAnsi" w:hAnsiTheme="minorHAnsi" w:cstheme="minorHAnsi"/>
                <w:sz w:val="21"/>
                <w:szCs w:val="21"/>
              </w:rPr>
            </w:pPr>
          </w:p>
        </w:tc>
        <w:tc>
          <w:tcPr>
            <w:tcW w:w="0" w:type="auto"/>
          </w:tcPr>
          <w:p w14:paraId="523D4A33"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 xml:space="preserve">PD </w:t>
            </w:r>
          </w:p>
        </w:tc>
        <w:tc>
          <w:tcPr>
            <w:tcW w:w="0" w:type="auto"/>
          </w:tcPr>
          <w:p w14:paraId="14545AD3"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0.15*</w:t>
            </w:r>
          </w:p>
        </w:tc>
        <w:tc>
          <w:tcPr>
            <w:tcW w:w="0" w:type="auto"/>
          </w:tcPr>
          <w:p w14:paraId="032D1165"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0.07*</w:t>
            </w:r>
          </w:p>
        </w:tc>
        <w:tc>
          <w:tcPr>
            <w:tcW w:w="0" w:type="auto"/>
          </w:tcPr>
          <w:p w14:paraId="730100C4"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0.19*</w:t>
            </w:r>
          </w:p>
        </w:tc>
        <w:tc>
          <w:tcPr>
            <w:tcW w:w="0" w:type="auto"/>
            <w:shd w:val="clear" w:color="auto" w:fill="FFE599" w:themeFill="accent4" w:themeFillTint="66"/>
          </w:tcPr>
          <w:p w14:paraId="08875E70"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0.23*</w:t>
            </w:r>
          </w:p>
        </w:tc>
        <w:tc>
          <w:tcPr>
            <w:tcW w:w="0" w:type="auto"/>
          </w:tcPr>
          <w:p w14:paraId="4C3EA336"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0.28*</w:t>
            </w:r>
          </w:p>
        </w:tc>
        <w:tc>
          <w:tcPr>
            <w:tcW w:w="0" w:type="auto"/>
          </w:tcPr>
          <w:p w14:paraId="1A08351F"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0.05</w:t>
            </w:r>
          </w:p>
        </w:tc>
        <w:tc>
          <w:tcPr>
            <w:tcW w:w="0" w:type="auto"/>
          </w:tcPr>
          <w:p w14:paraId="47EAAC52"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-0.00</w:t>
            </w:r>
          </w:p>
        </w:tc>
        <w:tc>
          <w:tcPr>
            <w:tcW w:w="0" w:type="auto"/>
          </w:tcPr>
          <w:p w14:paraId="10E19943"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0.30*</w:t>
            </w:r>
          </w:p>
        </w:tc>
        <w:tc>
          <w:tcPr>
            <w:tcW w:w="0" w:type="auto"/>
          </w:tcPr>
          <w:p w14:paraId="39C16027"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-0.09*</w:t>
            </w:r>
          </w:p>
        </w:tc>
        <w:tc>
          <w:tcPr>
            <w:tcW w:w="0" w:type="auto"/>
          </w:tcPr>
          <w:p w14:paraId="4A929694"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-0.10*</w:t>
            </w:r>
          </w:p>
        </w:tc>
        <w:tc>
          <w:tcPr>
            <w:tcW w:w="0" w:type="auto"/>
          </w:tcPr>
          <w:p w14:paraId="74A78082"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0.05</w:t>
            </w:r>
          </w:p>
        </w:tc>
        <w:tc>
          <w:tcPr>
            <w:tcW w:w="0" w:type="auto"/>
          </w:tcPr>
          <w:p w14:paraId="58F9E5C6"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0.04</w:t>
            </w:r>
          </w:p>
        </w:tc>
        <w:tc>
          <w:tcPr>
            <w:tcW w:w="0" w:type="auto"/>
          </w:tcPr>
          <w:p w14:paraId="05F0C229"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0.02</w:t>
            </w:r>
          </w:p>
        </w:tc>
        <w:tc>
          <w:tcPr>
            <w:tcW w:w="0" w:type="auto"/>
          </w:tcPr>
          <w:p w14:paraId="00556196"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-0.08*</w:t>
            </w:r>
          </w:p>
        </w:tc>
        <w:tc>
          <w:tcPr>
            <w:tcW w:w="0" w:type="auto"/>
          </w:tcPr>
          <w:p w14:paraId="668D5DEE"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0.04</w:t>
            </w:r>
          </w:p>
        </w:tc>
      </w:tr>
      <w:tr w:rsidR="00B54D51" w:rsidRPr="00037AD4" w14:paraId="560F6184" w14:textId="77777777" w:rsidTr="00401C67">
        <w:trPr>
          <w:trHeight w:val="339"/>
        </w:trPr>
        <w:tc>
          <w:tcPr>
            <w:tcW w:w="0" w:type="auto"/>
            <w:vMerge/>
            <w:tcBorders>
              <w:bottom w:val="single" w:sz="4" w:space="0" w:color="auto"/>
            </w:tcBorders>
          </w:tcPr>
          <w:p w14:paraId="7602B700" w14:textId="77777777" w:rsidR="00B54D51" w:rsidRPr="00037AD4" w:rsidRDefault="00B54D51" w:rsidP="00401C67">
            <w:pPr>
              <w:rPr>
                <w:rFonts w:asciiTheme="minorHAnsi" w:hAnsiTheme="minorHAnsi" w:cstheme="minorHAnsi"/>
                <w:sz w:val="21"/>
                <w:szCs w:val="21"/>
              </w:rPr>
            </w:pPr>
          </w:p>
        </w:tc>
        <w:tc>
          <w:tcPr>
            <w:tcW w:w="0" w:type="auto"/>
          </w:tcPr>
          <w:p w14:paraId="61337655"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 xml:space="preserve">AD </w:t>
            </w:r>
          </w:p>
        </w:tc>
        <w:tc>
          <w:tcPr>
            <w:tcW w:w="0" w:type="auto"/>
          </w:tcPr>
          <w:p w14:paraId="0E4F741F"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0.25*</w:t>
            </w:r>
          </w:p>
        </w:tc>
        <w:tc>
          <w:tcPr>
            <w:tcW w:w="0" w:type="auto"/>
          </w:tcPr>
          <w:p w14:paraId="1926898E"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0.08*</w:t>
            </w:r>
          </w:p>
        </w:tc>
        <w:tc>
          <w:tcPr>
            <w:tcW w:w="0" w:type="auto"/>
          </w:tcPr>
          <w:p w14:paraId="7677BA37"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0.20*</w:t>
            </w:r>
          </w:p>
        </w:tc>
        <w:tc>
          <w:tcPr>
            <w:tcW w:w="0" w:type="auto"/>
          </w:tcPr>
          <w:p w14:paraId="6A2FC192"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0.41*</w:t>
            </w:r>
          </w:p>
        </w:tc>
        <w:tc>
          <w:tcPr>
            <w:tcW w:w="0" w:type="auto"/>
            <w:shd w:val="clear" w:color="auto" w:fill="FFE599" w:themeFill="accent4" w:themeFillTint="66"/>
          </w:tcPr>
          <w:p w14:paraId="4521E5F7"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0.22*</w:t>
            </w:r>
          </w:p>
        </w:tc>
        <w:tc>
          <w:tcPr>
            <w:tcW w:w="0" w:type="auto"/>
          </w:tcPr>
          <w:p w14:paraId="40800C19"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0.07*</w:t>
            </w:r>
          </w:p>
        </w:tc>
        <w:tc>
          <w:tcPr>
            <w:tcW w:w="0" w:type="auto"/>
          </w:tcPr>
          <w:p w14:paraId="0B5CECFB"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0.07</w:t>
            </w:r>
          </w:p>
        </w:tc>
        <w:tc>
          <w:tcPr>
            <w:tcW w:w="0" w:type="auto"/>
          </w:tcPr>
          <w:p w14:paraId="06FC211E"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0.20*</w:t>
            </w:r>
          </w:p>
        </w:tc>
        <w:tc>
          <w:tcPr>
            <w:tcW w:w="0" w:type="auto"/>
          </w:tcPr>
          <w:p w14:paraId="118F3DC3"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0.22*</w:t>
            </w:r>
          </w:p>
        </w:tc>
        <w:tc>
          <w:tcPr>
            <w:tcW w:w="0" w:type="auto"/>
          </w:tcPr>
          <w:p w14:paraId="3F412EB7"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-0.11*</w:t>
            </w:r>
          </w:p>
        </w:tc>
        <w:tc>
          <w:tcPr>
            <w:tcW w:w="0" w:type="auto"/>
          </w:tcPr>
          <w:p w14:paraId="42AA0A42"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0.10*</w:t>
            </w:r>
          </w:p>
        </w:tc>
        <w:tc>
          <w:tcPr>
            <w:tcW w:w="0" w:type="auto"/>
          </w:tcPr>
          <w:p w14:paraId="10584F69"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0.02</w:t>
            </w:r>
          </w:p>
        </w:tc>
        <w:tc>
          <w:tcPr>
            <w:tcW w:w="0" w:type="auto"/>
          </w:tcPr>
          <w:p w14:paraId="26EB22EC"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0.05</w:t>
            </w:r>
          </w:p>
        </w:tc>
        <w:tc>
          <w:tcPr>
            <w:tcW w:w="0" w:type="auto"/>
          </w:tcPr>
          <w:p w14:paraId="25A77EEB"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-0.01</w:t>
            </w:r>
          </w:p>
        </w:tc>
        <w:tc>
          <w:tcPr>
            <w:tcW w:w="0" w:type="auto"/>
          </w:tcPr>
          <w:p w14:paraId="25BCC647"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0.03</w:t>
            </w:r>
          </w:p>
        </w:tc>
      </w:tr>
      <w:tr w:rsidR="00B54D51" w:rsidRPr="00037AD4" w14:paraId="42733CC8" w14:textId="77777777" w:rsidTr="00401C67">
        <w:trPr>
          <w:trHeight w:val="317"/>
        </w:trPr>
        <w:tc>
          <w:tcPr>
            <w:tcW w:w="0" w:type="auto"/>
            <w:vMerge w:val="restart"/>
            <w:tcBorders>
              <w:left w:val="nil"/>
              <w:bottom w:val="nil"/>
            </w:tcBorders>
          </w:tcPr>
          <w:p w14:paraId="271CE8FC" w14:textId="77777777" w:rsidR="00B54D51" w:rsidRPr="00037AD4" w:rsidRDefault="00B54D51" w:rsidP="00401C67">
            <w:pPr>
              <w:rPr>
                <w:rFonts w:asciiTheme="minorHAnsi" w:hAnsiTheme="minorHAnsi" w:cstheme="minorHAnsi"/>
                <w:sz w:val="21"/>
                <w:szCs w:val="21"/>
              </w:rPr>
            </w:pPr>
          </w:p>
        </w:tc>
        <w:tc>
          <w:tcPr>
            <w:tcW w:w="0" w:type="auto"/>
          </w:tcPr>
          <w:p w14:paraId="1B22D1D5"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 xml:space="preserve">CDR </w:t>
            </w:r>
          </w:p>
        </w:tc>
        <w:tc>
          <w:tcPr>
            <w:tcW w:w="0" w:type="auto"/>
          </w:tcPr>
          <w:p w14:paraId="21D89A65"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0.04</w:t>
            </w:r>
          </w:p>
        </w:tc>
        <w:tc>
          <w:tcPr>
            <w:tcW w:w="0" w:type="auto"/>
          </w:tcPr>
          <w:p w14:paraId="0DA7C925"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0.21*</w:t>
            </w:r>
          </w:p>
        </w:tc>
        <w:tc>
          <w:tcPr>
            <w:tcW w:w="0" w:type="auto"/>
          </w:tcPr>
          <w:p w14:paraId="78DC499C"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0.13*</w:t>
            </w:r>
          </w:p>
        </w:tc>
        <w:tc>
          <w:tcPr>
            <w:tcW w:w="0" w:type="auto"/>
          </w:tcPr>
          <w:p w14:paraId="3600D637"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-0.02</w:t>
            </w:r>
          </w:p>
        </w:tc>
        <w:tc>
          <w:tcPr>
            <w:tcW w:w="0" w:type="auto"/>
          </w:tcPr>
          <w:p w14:paraId="5926CF39"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-0.01</w:t>
            </w:r>
          </w:p>
        </w:tc>
        <w:tc>
          <w:tcPr>
            <w:tcW w:w="0" w:type="auto"/>
            <w:shd w:val="clear" w:color="auto" w:fill="E7E6E6" w:themeFill="background2"/>
          </w:tcPr>
          <w:p w14:paraId="40E8B658" w14:textId="77777777" w:rsidR="00B54D51" w:rsidRPr="00037AD4" w:rsidRDefault="00B54D51" w:rsidP="00401C67">
            <w:pPr>
              <w:rPr>
                <w:rFonts w:asciiTheme="minorHAnsi" w:hAnsiTheme="minorHAnsi" w:cstheme="minorHAnsi"/>
                <w:sz w:val="21"/>
                <w:szCs w:val="21"/>
              </w:rPr>
            </w:pPr>
          </w:p>
        </w:tc>
        <w:tc>
          <w:tcPr>
            <w:tcW w:w="0" w:type="auto"/>
            <w:shd w:val="clear" w:color="auto" w:fill="E7E6E6" w:themeFill="background2"/>
          </w:tcPr>
          <w:p w14:paraId="3AA81261" w14:textId="77777777" w:rsidR="00B54D51" w:rsidRPr="00037AD4" w:rsidRDefault="00B54D51" w:rsidP="00401C67">
            <w:pPr>
              <w:rPr>
                <w:rFonts w:asciiTheme="minorHAnsi" w:hAnsiTheme="minorHAnsi" w:cstheme="minorHAnsi"/>
                <w:sz w:val="21"/>
                <w:szCs w:val="21"/>
              </w:rPr>
            </w:pPr>
          </w:p>
        </w:tc>
        <w:tc>
          <w:tcPr>
            <w:tcW w:w="0" w:type="auto"/>
            <w:shd w:val="clear" w:color="auto" w:fill="E7E6E6" w:themeFill="background2"/>
          </w:tcPr>
          <w:p w14:paraId="5CD5E6DB" w14:textId="77777777" w:rsidR="00B54D51" w:rsidRPr="00037AD4" w:rsidRDefault="00B54D51" w:rsidP="00401C67">
            <w:pPr>
              <w:rPr>
                <w:rFonts w:asciiTheme="minorHAnsi" w:hAnsiTheme="minorHAnsi" w:cstheme="minorHAnsi"/>
                <w:sz w:val="21"/>
                <w:szCs w:val="21"/>
              </w:rPr>
            </w:pPr>
          </w:p>
        </w:tc>
        <w:tc>
          <w:tcPr>
            <w:tcW w:w="0" w:type="auto"/>
            <w:shd w:val="clear" w:color="auto" w:fill="E7E6E6" w:themeFill="background2"/>
          </w:tcPr>
          <w:p w14:paraId="150654AD" w14:textId="77777777" w:rsidR="00B54D51" w:rsidRPr="00037AD4" w:rsidRDefault="00B54D51" w:rsidP="00401C67">
            <w:pPr>
              <w:rPr>
                <w:rFonts w:asciiTheme="minorHAnsi" w:hAnsiTheme="minorHAnsi" w:cstheme="minorHAnsi"/>
                <w:sz w:val="21"/>
                <w:szCs w:val="21"/>
              </w:rPr>
            </w:pPr>
          </w:p>
        </w:tc>
        <w:tc>
          <w:tcPr>
            <w:tcW w:w="0" w:type="auto"/>
            <w:shd w:val="clear" w:color="auto" w:fill="E7E6E6" w:themeFill="background2"/>
          </w:tcPr>
          <w:p w14:paraId="2EEB20A7" w14:textId="77777777" w:rsidR="00B54D51" w:rsidRPr="00037AD4" w:rsidRDefault="00B54D51" w:rsidP="00401C67">
            <w:pPr>
              <w:rPr>
                <w:rFonts w:asciiTheme="minorHAnsi" w:hAnsiTheme="minorHAnsi" w:cstheme="minorHAnsi"/>
                <w:sz w:val="21"/>
                <w:szCs w:val="21"/>
              </w:rPr>
            </w:pPr>
          </w:p>
        </w:tc>
        <w:tc>
          <w:tcPr>
            <w:tcW w:w="0" w:type="auto"/>
            <w:shd w:val="clear" w:color="auto" w:fill="E7E6E6" w:themeFill="background2"/>
          </w:tcPr>
          <w:p w14:paraId="0D507C2A" w14:textId="77777777" w:rsidR="00B54D51" w:rsidRPr="00037AD4" w:rsidRDefault="00B54D51" w:rsidP="00401C67">
            <w:pPr>
              <w:rPr>
                <w:rFonts w:asciiTheme="minorHAnsi" w:hAnsiTheme="minorHAnsi" w:cstheme="minorHAnsi"/>
                <w:sz w:val="21"/>
                <w:szCs w:val="21"/>
              </w:rPr>
            </w:pPr>
          </w:p>
        </w:tc>
        <w:tc>
          <w:tcPr>
            <w:tcW w:w="0" w:type="auto"/>
            <w:shd w:val="clear" w:color="auto" w:fill="E7E6E6" w:themeFill="background2"/>
          </w:tcPr>
          <w:p w14:paraId="63B81466" w14:textId="77777777" w:rsidR="00B54D51" w:rsidRPr="00037AD4" w:rsidRDefault="00B54D51" w:rsidP="00401C67">
            <w:pPr>
              <w:rPr>
                <w:rFonts w:asciiTheme="minorHAnsi" w:hAnsiTheme="minorHAnsi" w:cstheme="minorHAnsi"/>
                <w:sz w:val="21"/>
                <w:szCs w:val="21"/>
              </w:rPr>
            </w:pPr>
          </w:p>
        </w:tc>
        <w:tc>
          <w:tcPr>
            <w:tcW w:w="0" w:type="auto"/>
            <w:shd w:val="clear" w:color="auto" w:fill="E7E6E6" w:themeFill="background2"/>
          </w:tcPr>
          <w:p w14:paraId="27F36F4A" w14:textId="77777777" w:rsidR="00B54D51" w:rsidRPr="00037AD4" w:rsidRDefault="00B54D51" w:rsidP="00401C67">
            <w:pPr>
              <w:rPr>
                <w:rFonts w:asciiTheme="minorHAnsi" w:hAnsiTheme="minorHAnsi" w:cstheme="minorHAnsi"/>
                <w:sz w:val="21"/>
                <w:szCs w:val="21"/>
              </w:rPr>
            </w:pPr>
          </w:p>
        </w:tc>
        <w:tc>
          <w:tcPr>
            <w:tcW w:w="0" w:type="auto"/>
            <w:shd w:val="clear" w:color="auto" w:fill="E7E6E6" w:themeFill="background2"/>
          </w:tcPr>
          <w:p w14:paraId="41012261" w14:textId="77777777" w:rsidR="00B54D51" w:rsidRPr="00037AD4" w:rsidRDefault="00B54D51" w:rsidP="00401C67">
            <w:pPr>
              <w:rPr>
                <w:rFonts w:asciiTheme="minorHAnsi" w:hAnsiTheme="minorHAnsi" w:cstheme="minorHAnsi"/>
                <w:sz w:val="21"/>
                <w:szCs w:val="21"/>
              </w:rPr>
            </w:pPr>
          </w:p>
        </w:tc>
        <w:tc>
          <w:tcPr>
            <w:tcW w:w="0" w:type="auto"/>
            <w:shd w:val="clear" w:color="auto" w:fill="E7E6E6" w:themeFill="background2"/>
          </w:tcPr>
          <w:p w14:paraId="6390BB6D" w14:textId="77777777" w:rsidR="00B54D51" w:rsidRPr="00037AD4" w:rsidRDefault="00B54D51" w:rsidP="00401C67">
            <w:pPr>
              <w:rPr>
                <w:rFonts w:asciiTheme="minorHAnsi" w:hAnsiTheme="minorHAnsi" w:cstheme="minorHAnsi"/>
                <w:sz w:val="21"/>
                <w:szCs w:val="21"/>
              </w:rPr>
            </w:pPr>
          </w:p>
        </w:tc>
      </w:tr>
      <w:tr w:rsidR="00B54D51" w:rsidRPr="00037AD4" w14:paraId="31A1E677" w14:textId="77777777" w:rsidTr="00401C67">
        <w:trPr>
          <w:trHeight w:val="339"/>
        </w:trPr>
        <w:tc>
          <w:tcPr>
            <w:tcW w:w="0" w:type="auto"/>
            <w:vMerge/>
            <w:tcBorders>
              <w:left w:val="nil"/>
              <w:bottom w:val="nil"/>
            </w:tcBorders>
          </w:tcPr>
          <w:p w14:paraId="59EFABFB" w14:textId="77777777" w:rsidR="00B54D51" w:rsidRPr="00037AD4" w:rsidRDefault="00B54D51" w:rsidP="00401C67">
            <w:pPr>
              <w:rPr>
                <w:rFonts w:asciiTheme="minorHAnsi" w:hAnsiTheme="minorHAnsi" w:cstheme="minorHAnsi"/>
                <w:sz w:val="21"/>
                <w:szCs w:val="21"/>
              </w:rPr>
            </w:pPr>
          </w:p>
        </w:tc>
        <w:tc>
          <w:tcPr>
            <w:tcW w:w="0" w:type="auto"/>
          </w:tcPr>
          <w:p w14:paraId="5AA5A887"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 xml:space="preserve">MMSE </w:t>
            </w:r>
          </w:p>
        </w:tc>
        <w:tc>
          <w:tcPr>
            <w:tcW w:w="0" w:type="auto"/>
          </w:tcPr>
          <w:p w14:paraId="203F35E9"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0.11*</w:t>
            </w:r>
          </w:p>
        </w:tc>
        <w:tc>
          <w:tcPr>
            <w:tcW w:w="0" w:type="auto"/>
          </w:tcPr>
          <w:p w14:paraId="3403F094"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-0.12*</w:t>
            </w:r>
          </w:p>
        </w:tc>
        <w:tc>
          <w:tcPr>
            <w:tcW w:w="0" w:type="auto"/>
          </w:tcPr>
          <w:p w14:paraId="16313BCE"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0.00</w:t>
            </w:r>
          </w:p>
        </w:tc>
        <w:tc>
          <w:tcPr>
            <w:tcW w:w="0" w:type="auto"/>
          </w:tcPr>
          <w:p w14:paraId="79CFFFBC"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0.11*</w:t>
            </w:r>
          </w:p>
        </w:tc>
        <w:tc>
          <w:tcPr>
            <w:tcW w:w="0" w:type="auto"/>
          </w:tcPr>
          <w:p w14:paraId="3B92CE73"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-0.00</w:t>
            </w:r>
          </w:p>
        </w:tc>
        <w:tc>
          <w:tcPr>
            <w:tcW w:w="0" w:type="auto"/>
            <w:shd w:val="clear" w:color="auto" w:fill="auto"/>
          </w:tcPr>
          <w:p w14:paraId="0A06F510"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-0.50*</w:t>
            </w:r>
          </w:p>
        </w:tc>
        <w:tc>
          <w:tcPr>
            <w:tcW w:w="0" w:type="auto"/>
            <w:shd w:val="clear" w:color="auto" w:fill="E7E6E6" w:themeFill="background2"/>
          </w:tcPr>
          <w:p w14:paraId="47F40DC6" w14:textId="77777777" w:rsidR="00B54D51" w:rsidRPr="00037AD4" w:rsidRDefault="00B54D51" w:rsidP="00401C67">
            <w:pPr>
              <w:rPr>
                <w:rFonts w:asciiTheme="minorHAnsi" w:hAnsiTheme="minorHAnsi" w:cstheme="minorHAnsi"/>
                <w:sz w:val="21"/>
                <w:szCs w:val="21"/>
              </w:rPr>
            </w:pPr>
          </w:p>
        </w:tc>
        <w:tc>
          <w:tcPr>
            <w:tcW w:w="0" w:type="auto"/>
            <w:shd w:val="clear" w:color="auto" w:fill="E7E6E6" w:themeFill="background2"/>
          </w:tcPr>
          <w:p w14:paraId="78C15026" w14:textId="77777777" w:rsidR="00B54D51" w:rsidRPr="00037AD4" w:rsidRDefault="00B54D51" w:rsidP="00401C67">
            <w:pPr>
              <w:rPr>
                <w:rFonts w:asciiTheme="minorHAnsi" w:hAnsiTheme="minorHAnsi" w:cstheme="minorHAnsi"/>
                <w:sz w:val="21"/>
                <w:szCs w:val="21"/>
              </w:rPr>
            </w:pPr>
          </w:p>
        </w:tc>
        <w:tc>
          <w:tcPr>
            <w:tcW w:w="0" w:type="auto"/>
            <w:shd w:val="clear" w:color="auto" w:fill="E7E6E6" w:themeFill="background2"/>
          </w:tcPr>
          <w:p w14:paraId="2B2CBF3C" w14:textId="77777777" w:rsidR="00B54D51" w:rsidRPr="00037AD4" w:rsidRDefault="00B54D51" w:rsidP="00401C67">
            <w:pPr>
              <w:rPr>
                <w:rFonts w:asciiTheme="minorHAnsi" w:hAnsiTheme="minorHAnsi" w:cstheme="minorHAnsi"/>
                <w:sz w:val="21"/>
                <w:szCs w:val="21"/>
              </w:rPr>
            </w:pPr>
          </w:p>
        </w:tc>
        <w:tc>
          <w:tcPr>
            <w:tcW w:w="0" w:type="auto"/>
            <w:shd w:val="clear" w:color="auto" w:fill="E7E6E6" w:themeFill="background2"/>
          </w:tcPr>
          <w:p w14:paraId="6EB13D55" w14:textId="77777777" w:rsidR="00B54D51" w:rsidRPr="00037AD4" w:rsidRDefault="00B54D51" w:rsidP="00401C67">
            <w:pPr>
              <w:rPr>
                <w:rFonts w:asciiTheme="minorHAnsi" w:hAnsiTheme="minorHAnsi" w:cstheme="minorHAnsi"/>
                <w:sz w:val="21"/>
                <w:szCs w:val="21"/>
              </w:rPr>
            </w:pPr>
          </w:p>
        </w:tc>
        <w:tc>
          <w:tcPr>
            <w:tcW w:w="0" w:type="auto"/>
            <w:shd w:val="clear" w:color="auto" w:fill="E7E6E6" w:themeFill="background2"/>
          </w:tcPr>
          <w:p w14:paraId="208ACC3C" w14:textId="77777777" w:rsidR="00B54D51" w:rsidRPr="00037AD4" w:rsidRDefault="00B54D51" w:rsidP="00401C67">
            <w:pPr>
              <w:rPr>
                <w:rFonts w:asciiTheme="minorHAnsi" w:hAnsiTheme="minorHAnsi" w:cstheme="minorHAnsi"/>
                <w:sz w:val="21"/>
                <w:szCs w:val="21"/>
              </w:rPr>
            </w:pPr>
          </w:p>
        </w:tc>
        <w:tc>
          <w:tcPr>
            <w:tcW w:w="0" w:type="auto"/>
            <w:shd w:val="clear" w:color="auto" w:fill="E7E6E6" w:themeFill="background2"/>
          </w:tcPr>
          <w:p w14:paraId="07C9D212" w14:textId="77777777" w:rsidR="00B54D51" w:rsidRPr="00037AD4" w:rsidRDefault="00B54D51" w:rsidP="00401C67">
            <w:pPr>
              <w:rPr>
                <w:rFonts w:asciiTheme="minorHAnsi" w:hAnsiTheme="minorHAnsi" w:cstheme="minorHAnsi"/>
                <w:sz w:val="21"/>
                <w:szCs w:val="21"/>
              </w:rPr>
            </w:pPr>
          </w:p>
        </w:tc>
        <w:tc>
          <w:tcPr>
            <w:tcW w:w="0" w:type="auto"/>
            <w:shd w:val="clear" w:color="auto" w:fill="E7E6E6" w:themeFill="background2"/>
          </w:tcPr>
          <w:p w14:paraId="648CBFD3" w14:textId="77777777" w:rsidR="00B54D51" w:rsidRPr="00037AD4" w:rsidRDefault="00B54D51" w:rsidP="00401C67">
            <w:pPr>
              <w:rPr>
                <w:rFonts w:asciiTheme="minorHAnsi" w:hAnsiTheme="minorHAnsi" w:cstheme="minorHAnsi"/>
                <w:sz w:val="21"/>
                <w:szCs w:val="21"/>
              </w:rPr>
            </w:pPr>
          </w:p>
        </w:tc>
        <w:tc>
          <w:tcPr>
            <w:tcW w:w="0" w:type="auto"/>
            <w:shd w:val="clear" w:color="auto" w:fill="E7E6E6" w:themeFill="background2"/>
          </w:tcPr>
          <w:p w14:paraId="06A7DFD7" w14:textId="77777777" w:rsidR="00B54D51" w:rsidRPr="00037AD4" w:rsidRDefault="00B54D51" w:rsidP="00401C67">
            <w:pPr>
              <w:rPr>
                <w:rFonts w:asciiTheme="minorHAnsi" w:hAnsiTheme="minorHAnsi" w:cstheme="minorHAnsi"/>
                <w:sz w:val="21"/>
                <w:szCs w:val="21"/>
              </w:rPr>
            </w:pPr>
          </w:p>
        </w:tc>
        <w:tc>
          <w:tcPr>
            <w:tcW w:w="0" w:type="auto"/>
            <w:shd w:val="clear" w:color="auto" w:fill="E7E6E6" w:themeFill="background2"/>
          </w:tcPr>
          <w:p w14:paraId="7142FAF1" w14:textId="77777777" w:rsidR="00B54D51" w:rsidRPr="00037AD4" w:rsidRDefault="00B54D51" w:rsidP="00401C67">
            <w:pPr>
              <w:rPr>
                <w:rFonts w:asciiTheme="minorHAnsi" w:hAnsiTheme="minorHAnsi" w:cstheme="minorHAnsi"/>
                <w:sz w:val="21"/>
                <w:szCs w:val="21"/>
              </w:rPr>
            </w:pPr>
          </w:p>
        </w:tc>
      </w:tr>
      <w:tr w:rsidR="00B54D51" w:rsidRPr="00037AD4" w14:paraId="3C173674" w14:textId="77777777" w:rsidTr="00401C67">
        <w:trPr>
          <w:trHeight w:val="339"/>
        </w:trPr>
        <w:tc>
          <w:tcPr>
            <w:tcW w:w="0" w:type="auto"/>
            <w:vMerge/>
            <w:tcBorders>
              <w:left w:val="nil"/>
              <w:bottom w:val="nil"/>
            </w:tcBorders>
          </w:tcPr>
          <w:p w14:paraId="2B1320E6" w14:textId="77777777" w:rsidR="00B54D51" w:rsidRPr="00037AD4" w:rsidRDefault="00B54D51" w:rsidP="00401C67">
            <w:pPr>
              <w:rPr>
                <w:rFonts w:asciiTheme="minorHAnsi" w:hAnsiTheme="minorHAnsi" w:cstheme="minorHAnsi"/>
                <w:sz w:val="21"/>
                <w:szCs w:val="21"/>
              </w:rPr>
            </w:pPr>
          </w:p>
        </w:tc>
        <w:tc>
          <w:tcPr>
            <w:tcW w:w="0" w:type="auto"/>
          </w:tcPr>
          <w:p w14:paraId="17E1DDD7"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 xml:space="preserve">NPI </w:t>
            </w:r>
          </w:p>
        </w:tc>
        <w:tc>
          <w:tcPr>
            <w:tcW w:w="0" w:type="auto"/>
          </w:tcPr>
          <w:p w14:paraId="4F08431E"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0.06</w:t>
            </w:r>
          </w:p>
        </w:tc>
        <w:tc>
          <w:tcPr>
            <w:tcW w:w="0" w:type="auto"/>
          </w:tcPr>
          <w:p w14:paraId="0B03B0B7"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0.10*</w:t>
            </w:r>
          </w:p>
        </w:tc>
        <w:tc>
          <w:tcPr>
            <w:tcW w:w="0" w:type="auto"/>
          </w:tcPr>
          <w:p w14:paraId="279F15A7"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0.06</w:t>
            </w:r>
          </w:p>
        </w:tc>
        <w:tc>
          <w:tcPr>
            <w:tcW w:w="0" w:type="auto"/>
          </w:tcPr>
          <w:p w14:paraId="1D0E71D9"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0.03</w:t>
            </w:r>
          </w:p>
        </w:tc>
        <w:tc>
          <w:tcPr>
            <w:tcW w:w="0" w:type="auto"/>
          </w:tcPr>
          <w:p w14:paraId="4E3264ED"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0.06</w:t>
            </w:r>
          </w:p>
        </w:tc>
        <w:tc>
          <w:tcPr>
            <w:tcW w:w="0" w:type="auto"/>
            <w:shd w:val="clear" w:color="auto" w:fill="auto"/>
          </w:tcPr>
          <w:p w14:paraId="7E56C2CB"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0.24*</w:t>
            </w:r>
          </w:p>
        </w:tc>
        <w:tc>
          <w:tcPr>
            <w:tcW w:w="0" w:type="auto"/>
            <w:shd w:val="clear" w:color="auto" w:fill="auto"/>
          </w:tcPr>
          <w:p w14:paraId="617BD8C2"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-0.15*</w:t>
            </w:r>
          </w:p>
        </w:tc>
        <w:tc>
          <w:tcPr>
            <w:tcW w:w="0" w:type="auto"/>
            <w:shd w:val="clear" w:color="auto" w:fill="E7E6E6" w:themeFill="background2"/>
          </w:tcPr>
          <w:p w14:paraId="673783C9" w14:textId="77777777" w:rsidR="00B54D51" w:rsidRPr="00037AD4" w:rsidRDefault="00B54D51" w:rsidP="00401C67">
            <w:pPr>
              <w:rPr>
                <w:rFonts w:asciiTheme="minorHAnsi" w:hAnsiTheme="minorHAnsi" w:cstheme="minorHAnsi"/>
                <w:sz w:val="21"/>
                <w:szCs w:val="21"/>
              </w:rPr>
            </w:pPr>
          </w:p>
        </w:tc>
        <w:tc>
          <w:tcPr>
            <w:tcW w:w="0" w:type="auto"/>
            <w:shd w:val="clear" w:color="auto" w:fill="E7E6E6" w:themeFill="background2"/>
          </w:tcPr>
          <w:p w14:paraId="57C792C8" w14:textId="77777777" w:rsidR="00B54D51" w:rsidRPr="00037AD4" w:rsidRDefault="00B54D51" w:rsidP="00401C67">
            <w:pPr>
              <w:rPr>
                <w:rFonts w:asciiTheme="minorHAnsi" w:hAnsiTheme="minorHAnsi" w:cstheme="minorHAnsi"/>
                <w:sz w:val="21"/>
                <w:szCs w:val="21"/>
              </w:rPr>
            </w:pPr>
          </w:p>
        </w:tc>
        <w:tc>
          <w:tcPr>
            <w:tcW w:w="0" w:type="auto"/>
            <w:shd w:val="clear" w:color="auto" w:fill="E7E6E6" w:themeFill="background2"/>
          </w:tcPr>
          <w:p w14:paraId="1E56D78D" w14:textId="77777777" w:rsidR="00B54D51" w:rsidRPr="00037AD4" w:rsidRDefault="00B54D51" w:rsidP="00401C67">
            <w:pPr>
              <w:rPr>
                <w:rFonts w:asciiTheme="minorHAnsi" w:hAnsiTheme="minorHAnsi" w:cstheme="minorHAnsi"/>
                <w:sz w:val="21"/>
                <w:szCs w:val="21"/>
              </w:rPr>
            </w:pPr>
          </w:p>
        </w:tc>
        <w:tc>
          <w:tcPr>
            <w:tcW w:w="0" w:type="auto"/>
            <w:shd w:val="clear" w:color="auto" w:fill="E7E6E6" w:themeFill="background2"/>
          </w:tcPr>
          <w:p w14:paraId="04980E59" w14:textId="77777777" w:rsidR="00B54D51" w:rsidRPr="00037AD4" w:rsidRDefault="00B54D51" w:rsidP="00401C67">
            <w:pPr>
              <w:rPr>
                <w:rFonts w:asciiTheme="minorHAnsi" w:hAnsiTheme="minorHAnsi" w:cstheme="minorHAnsi"/>
                <w:sz w:val="21"/>
                <w:szCs w:val="21"/>
              </w:rPr>
            </w:pPr>
          </w:p>
        </w:tc>
        <w:tc>
          <w:tcPr>
            <w:tcW w:w="0" w:type="auto"/>
            <w:shd w:val="clear" w:color="auto" w:fill="E7E6E6" w:themeFill="background2"/>
          </w:tcPr>
          <w:p w14:paraId="586B22CE" w14:textId="77777777" w:rsidR="00B54D51" w:rsidRPr="00037AD4" w:rsidRDefault="00B54D51" w:rsidP="00401C67">
            <w:pPr>
              <w:rPr>
                <w:rFonts w:asciiTheme="minorHAnsi" w:hAnsiTheme="minorHAnsi" w:cstheme="minorHAnsi"/>
                <w:sz w:val="21"/>
                <w:szCs w:val="21"/>
              </w:rPr>
            </w:pPr>
          </w:p>
        </w:tc>
        <w:tc>
          <w:tcPr>
            <w:tcW w:w="0" w:type="auto"/>
            <w:shd w:val="clear" w:color="auto" w:fill="E7E6E6" w:themeFill="background2"/>
          </w:tcPr>
          <w:p w14:paraId="212314B3" w14:textId="77777777" w:rsidR="00B54D51" w:rsidRPr="00037AD4" w:rsidRDefault="00B54D51" w:rsidP="00401C67">
            <w:pPr>
              <w:rPr>
                <w:rFonts w:asciiTheme="minorHAnsi" w:hAnsiTheme="minorHAnsi" w:cstheme="minorHAnsi"/>
                <w:sz w:val="21"/>
                <w:szCs w:val="21"/>
              </w:rPr>
            </w:pPr>
          </w:p>
        </w:tc>
        <w:tc>
          <w:tcPr>
            <w:tcW w:w="0" w:type="auto"/>
            <w:shd w:val="clear" w:color="auto" w:fill="E7E6E6" w:themeFill="background2"/>
          </w:tcPr>
          <w:p w14:paraId="59DDE507" w14:textId="77777777" w:rsidR="00B54D51" w:rsidRPr="00037AD4" w:rsidRDefault="00B54D51" w:rsidP="00401C67">
            <w:pPr>
              <w:rPr>
                <w:rFonts w:asciiTheme="minorHAnsi" w:hAnsiTheme="minorHAnsi" w:cstheme="minorHAnsi"/>
                <w:sz w:val="21"/>
                <w:szCs w:val="21"/>
              </w:rPr>
            </w:pPr>
          </w:p>
        </w:tc>
        <w:tc>
          <w:tcPr>
            <w:tcW w:w="0" w:type="auto"/>
            <w:shd w:val="clear" w:color="auto" w:fill="E7E6E6" w:themeFill="background2"/>
          </w:tcPr>
          <w:p w14:paraId="30A81AC1" w14:textId="77777777" w:rsidR="00B54D51" w:rsidRPr="00037AD4" w:rsidRDefault="00B54D51" w:rsidP="00401C67">
            <w:pPr>
              <w:rPr>
                <w:rFonts w:asciiTheme="minorHAnsi" w:hAnsiTheme="minorHAnsi" w:cstheme="minorHAnsi"/>
                <w:sz w:val="21"/>
                <w:szCs w:val="21"/>
              </w:rPr>
            </w:pPr>
          </w:p>
        </w:tc>
      </w:tr>
      <w:tr w:rsidR="00B54D51" w:rsidRPr="00037AD4" w14:paraId="53BEA2E2" w14:textId="77777777" w:rsidTr="00401C67">
        <w:trPr>
          <w:trHeight w:val="317"/>
        </w:trPr>
        <w:tc>
          <w:tcPr>
            <w:tcW w:w="0" w:type="auto"/>
            <w:vMerge/>
            <w:tcBorders>
              <w:left w:val="nil"/>
              <w:bottom w:val="nil"/>
            </w:tcBorders>
          </w:tcPr>
          <w:p w14:paraId="6190DFE6" w14:textId="77777777" w:rsidR="00B54D51" w:rsidRPr="00037AD4" w:rsidRDefault="00B54D51" w:rsidP="00401C67">
            <w:pPr>
              <w:rPr>
                <w:rFonts w:asciiTheme="minorHAnsi" w:hAnsiTheme="minorHAnsi" w:cstheme="minorHAnsi"/>
                <w:sz w:val="21"/>
                <w:szCs w:val="21"/>
              </w:rPr>
            </w:pPr>
          </w:p>
        </w:tc>
        <w:tc>
          <w:tcPr>
            <w:tcW w:w="0" w:type="auto"/>
          </w:tcPr>
          <w:p w14:paraId="0DEA59A4"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IADL</w:t>
            </w:r>
          </w:p>
        </w:tc>
        <w:tc>
          <w:tcPr>
            <w:tcW w:w="0" w:type="auto"/>
          </w:tcPr>
          <w:p w14:paraId="727DAF4F"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-0.19*</w:t>
            </w:r>
          </w:p>
        </w:tc>
        <w:tc>
          <w:tcPr>
            <w:tcW w:w="0" w:type="auto"/>
          </w:tcPr>
          <w:p w14:paraId="5ABB5585"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-0.31*</w:t>
            </w:r>
          </w:p>
        </w:tc>
        <w:tc>
          <w:tcPr>
            <w:tcW w:w="0" w:type="auto"/>
          </w:tcPr>
          <w:p w14:paraId="5FCCB7D7"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-0.25*</w:t>
            </w:r>
          </w:p>
        </w:tc>
        <w:tc>
          <w:tcPr>
            <w:tcW w:w="0" w:type="auto"/>
          </w:tcPr>
          <w:p w14:paraId="4BB59BDB"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-0.00</w:t>
            </w:r>
          </w:p>
        </w:tc>
        <w:tc>
          <w:tcPr>
            <w:tcW w:w="0" w:type="auto"/>
          </w:tcPr>
          <w:p w14:paraId="1128F7DA"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-0.00</w:t>
            </w:r>
          </w:p>
        </w:tc>
        <w:tc>
          <w:tcPr>
            <w:tcW w:w="0" w:type="auto"/>
            <w:shd w:val="clear" w:color="auto" w:fill="auto"/>
          </w:tcPr>
          <w:p w14:paraId="6BB9311F"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-0.54*</w:t>
            </w:r>
          </w:p>
        </w:tc>
        <w:tc>
          <w:tcPr>
            <w:tcW w:w="0" w:type="auto"/>
            <w:shd w:val="clear" w:color="auto" w:fill="auto"/>
          </w:tcPr>
          <w:p w14:paraId="3A9E64AE"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0.38*</w:t>
            </w:r>
          </w:p>
        </w:tc>
        <w:tc>
          <w:tcPr>
            <w:tcW w:w="0" w:type="auto"/>
            <w:shd w:val="clear" w:color="auto" w:fill="auto"/>
          </w:tcPr>
          <w:p w14:paraId="698928C5"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-0.30*</w:t>
            </w:r>
          </w:p>
        </w:tc>
        <w:tc>
          <w:tcPr>
            <w:tcW w:w="0" w:type="auto"/>
            <w:shd w:val="clear" w:color="auto" w:fill="E7E6E6" w:themeFill="background2"/>
          </w:tcPr>
          <w:p w14:paraId="4DEE0B4C" w14:textId="77777777" w:rsidR="00B54D51" w:rsidRPr="00037AD4" w:rsidRDefault="00B54D51" w:rsidP="00401C67">
            <w:pPr>
              <w:rPr>
                <w:rFonts w:asciiTheme="minorHAnsi" w:hAnsiTheme="minorHAnsi" w:cstheme="minorHAnsi"/>
                <w:sz w:val="21"/>
                <w:szCs w:val="21"/>
              </w:rPr>
            </w:pPr>
          </w:p>
        </w:tc>
        <w:tc>
          <w:tcPr>
            <w:tcW w:w="0" w:type="auto"/>
            <w:shd w:val="clear" w:color="auto" w:fill="E7E6E6" w:themeFill="background2"/>
          </w:tcPr>
          <w:p w14:paraId="40343482" w14:textId="77777777" w:rsidR="00B54D51" w:rsidRPr="00037AD4" w:rsidRDefault="00B54D51" w:rsidP="00401C67">
            <w:pPr>
              <w:rPr>
                <w:rFonts w:asciiTheme="minorHAnsi" w:hAnsiTheme="minorHAnsi" w:cstheme="minorHAnsi"/>
                <w:sz w:val="21"/>
                <w:szCs w:val="21"/>
              </w:rPr>
            </w:pPr>
          </w:p>
        </w:tc>
        <w:tc>
          <w:tcPr>
            <w:tcW w:w="0" w:type="auto"/>
            <w:shd w:val="clear" w:color="auto" w:fill="E7E6E6" w:themeFill="background2"/>
          </w:tcPr>
          <w:p w14:paraId="2DCF2729" w14:textId="77777777" w:rsidR="00B54D51" w:rsidRPr="00037AD4" w:rsidRDefault="00B54D51" w:rsidP="00401C67">
            <w:pPr>
              <w:rPr>
                <w:rFonts w:asciiTheme="minorHAnsi" w:hAnsiTheme="minorHAnsi" w:cstheme="minorHAnsi"/>
                <w:sz w:val="21"/>
                <w:szCs w:val="21"/>
              </w:rPr>
            </w:pPr>
          </w:p>
        </w:tc>
        <w:tc>
          <w:tcPr>
            <w:tcW w:w="0" w:type="auto"/>
            <w:shd w:val="clear" w:color="auto" w:fill="E7E6E6" w:themeFill="background2"/>
          </w:tcPr>
          <w:p w14:paraId="7F1E11C1" w14:textId="77777777" w:rsidR="00B54D51" w:rsidRPr="00037AD4" w:rsidRDefault="00B54D51" w:rsidP="00401C67">
            <w:pPr>
              <w:rPr>
                <w:rFonts w:asciiTheme="minorHAnsi" w:hAnsiTheme="minorHAnsi" w:cstheme="minorHAnsi"/>
                <w:sz w:val="21"/>
                <w:szCs w:val="21"/>
              </w:rPr>
            </w:pPr>
          </w:p>
        </w:tc>
        <w:tc>
          <w:tcPr>
            <w:tcW w:w="0" w:type="auto"/>
            <w:shd w:val="clear" w:color="auto" w:fill="E7E6E6" w:themeFill="background2"/>
          </w:tcPr>
          <w:p w14:paraId="3F9C0C5A" w14:textId="77777777" w:rsidR="00B54D51" w:rsidRPr="00037AD4" w:rsidRDefault="00B54D51" w:rsidP="00401C67">
            <w:pPr>
              <w:rPr>
                <w:rFonts w:asciiTheme="minorHAnsi" w:hAnsiTheme="minorHAnsi" w:cstheme="minorHAnsi"/>
                <w:sz w:val="21"/>
                <w:szCs w:val="21"/>
              </w:rPr>
            </w:pPr>
          </w:p>
        </w:tc>
        <w:tc>
          <w:tcPr>
            <w:tcW w:w="0" w:type="auto"/>
            <w:shd w:val="clear" w:color="auto" w:fill="E7E6E6" w:themeFill="background2"/>
          </w:tcPr>
          <w:p w14:paraId="6092C09F" w14:textId="77777777" w:rsidR="00B54D51" w:rsidRPr="00037AD4" w:rsidRDefault="00B54D51" w:rsidP="00401C67">
            <w:pPr>
              <w:rPr>
                <w:rFonts w:asciiTheme="minorHAnsi" w:hAnsiTheme="minorHAnsi" w:cstheme="minorHAnsi"/>
                <w:sz w:val="21"/>
                <w:szCs w:val="21"/>
              </w:rPr>
            </w:pPr>
          </w:p>
        </w:tc>
        <w:tc>
          <w:tcPr>
            <w:tcW w:w="0" w:type="auto"/>
            <w:shd w:val="clear" w:color="auto" w:fill="E7E6E6" w:themeFill="background2"/>
          </w:tcPr>
          <w:p w14:paraId="78F46B20" w14:textId="77777777" w:rsidR="00B54D51" w:rsidRPr="00037AD4" w:rsidRDefault="00B54D51" w:rsidP="00401C67">
            <w:pPr>
              <w:rPr>
                <w:rFonts w:asciiTheme="minorHAnsi" w:hAnsiTheme="minorHAnsi" w:cstheme="minorHAnsi"/>
                <w:sz w:val="21"/>
                <w:szCs w:val="21"/>
              </w:rPr>
            </w:pPr>
          </w:p>
        </w:tc>
      </w:tr>
      <w:tr w:rsidR="00B54D51" w:rsidRPr="00037AD4" w14:paraId="4BB5F518" w14:textId="77777777" w:rsidTr="00401C67">
        <w:trPr>
          <w:trHeight w:val="339"/>
        </w:trPr>
        <w:tc>
          <w:tcPr>
            <w:tcW w:w="0" w:type="auto"/>
            <w:vMerge/>
            <w:tcBorders>
              <w:left w:val="nil"/>
              <w:bottom w:val="nil"/>
            </w:tcBorders>
          </w:tcPr>
          <w:p w14:paraId="537BA678" w14:textId="77777777" w:rsidR="00B54D51" w:rsidRPr="00037AD4" w:rsidRDefault="00B54D51" w:rsidP="00401C67">
            <w:pPr>
              <w:rPr>
                <w:rFonts w:asciiTheme="minorHAnsi" w:hAnsiTheme="minorHAnsi" w:cstheme="minorHAnsi"/>
                <w:sz w:val="21"/>
                <w:szCs w:val="21"/>
              </w:rPr>
            </w:pPr>
          </w:p>
        </w:tc>
        <w:tc>
          <w:tcPr>
            <w:tcW w:w="0" w:type="auto"/>
          </w:tcPr>
          <w:p w14:paraId="49AE38C9"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 xml:space="preserve">PSMS </w:t>
            </w:r>
          </w:p>
        </w:tc>
        <w:tc>
          <w:tcPr>
            <w:tcW w:w="0" w:type="auto"/>
          </w:tcPr>
          <w:p w14:paraId="3BC56624"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-0.33*</w:t>
            </w:r>
          </w:p>
        </w:tc>
        <w:tc>
          <w:tcPr>
            <w:tcW w:w="0" w:type="auto"/>
          </w:tcPr>
          <w:p w14:paraId="1EEC34DE"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-0.44*</w:t>
            </w:r>
          </w:p>
        </w:tc>
        <w:tc>
          <w:tcPr>
            <w:tcW w:w="0" w:type="auto"/>
          </w:tcPr>
          <w:p w14:paraId="66B4EE8E"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-0.33*</w:t>
            </w:r>
          </w:p>
        </w:tc>
        <w:tc>
          <w:tcPr>
            <w:tcW w:w="0" w:type="auto"/>
          </w:tcPr>
          <w:p w14:paraId="4630A97C"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-0.05</w:t>
            </w:r>
          </w:p>
        </w:tc>
        <w:tc>
          <w:tcPr>
            <w:tcW w:w="0" w:type="auto"/>
          </w:tcPr>
          <w:p w14:paraId="53E2C31A"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-0.03</w:t>
            </w:r>
          </w:p>
        </w:tc>
        <w:tc>
          <w:tcPr>
            <w:tcW w:w="0" w:type="auto"/>
            <w:shd w:val="clear" w:color="auto" w:fill="auto"/>
          </w:tcPr>
          <w:p w14:paraId="3D639A1B"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-0.43*</w:t>
            </w:r>
          </w:p>
        </w:tc>
        <w:tc>
          <w:tcPr>
            <w:tcW w:w="0" w:type="auto"/>
            <w:shd w:val="clear" w:color="auto" w:fill="auto"/>
          </w:tcPr>
          <w:p w14:paraId="311BD999"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0.33*</w:t>
            </w:r>
          </w:p>
        </w:tc>
        <w:tc>
          <w:tcPr>
            <w:tcW w:w="0" w:type="auto"/>
            <w:shd w:val="clear" w:color="auto" w:fill="auto"/>
          </w:tcPr>
          <w:p w14:paraId="1477899E"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-0.31*</w:t>
            </w:r>
          </w:p>
        </w:tc>
        <w:tc>
          <w:tcPr>
            <w:tcW w:w="0" w:type="auto"/>
            <w:shd w:val="clear" w:color="auto" w:fill="auto"/>
          </w:tcPr>
          <w:p w14:paraId="48E72D5E"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0.65*</w:t>
            </w:r>
          </w:p>
        </w:tc>
        <w:tc>
          <w:tcPr>
            <w:tcW w:w="0" w:type="auto"/>
            <w:shd w:val="clear" w:color="auto" w:fill="E7E6E6" w:themeFill="background2"/>
          </w:tcPr>
          <w:p w14:paraId="67C4471D" w14:textId="77777777" w:rsidR="00B54D51" w:rsidRPr="00037AD4" w:rsidRDefault="00B54D51" w:rsidP="00401C67">
            <w:pPr>
              <w:rPr>
                <w:rFonts w:asciiTheme="minorHAnsi" w:hAnsiTheme="minorHAnsi" w:cstheme="minorHAnsi"/>
                <w:sz w:val="21"/>
                <w:szCs w:val="21"/>
              </w:rPr>
            </w:pPr>
          </w:p>
        </w:tc>
        <w:tc>
          <w:tcPr>
            <w:tcW w:w="0" w:type="auto"/>
            <w:shd w:val="clear" w:color="auto" w:fill="E7E6E6" w:themeFill="background2"/>
          </w:tcPr>
          <w:p w14:paraId="6FE906D0" w14:textId="77777777" w:rsidR="00B54D51" w:rsidRPr="00037AD4" w:rsidRDefault="00B54D51" w:rsidP="00401C67">
            <w:pPr>
              <w:rPr>
                <w:rFonts w:asciiTheme="minorHAnsi" w:hAnsiTheme="minorHAnsi" w:cstheme="minorHAnsi"/>
                <w:sz w:val="21"/>
                <w:szCs w:val="21"/>
              </w:rPr>
            </w:pPr>
          </w:p>
        </w:tc>
        <w:tc>
          <w:tcPr>
            <w:tcW w:w="0" w:type="auto"/>
            <w:shd w:val="clear" w:color="auto" w:fill="E7E6E6" w:themeFill="background2"/>
          </w:tcPr>
          <w:p w14:paraId="59B74D40" w14:textId="77777777" w:rsidR="00B54D51" w:rsidRPr="00037AD4" w:rsidRDefault="00B54D51" w:rsidP="00401C67">
            <w:pPr>
              <w:rPr>
                <w:rFonts w:asciiTheme="minorHAnsi" w:hAnsiTheme="minorHAnsi" w:cstheme="minorHAnsi"/>
                <w:sz w:val="21"/>
                <w:szCs w:val="21"/>
              </w:rPr>
            </w:pPr>
          </w:p>
        </w:tc>
        <w:tc>
          <w:tcPr>
            <w:tcW w:w="0" w:type="auto"/>
            <w:shd w:val="clear" w:color="auto" w:fill="E7E6E6" w:themeFill="background2"/>
          </w:tcPr>
          <w:p w14:paraId="681B7B78" w14:textId="77777777" w:rsidR="00B54D51" w:rsidRPr="00037AD4" w:rsidRDefault="00B54D51" w:rsidP="00401C67">
            <w:pPr>
              <w:rPr>
                <w:rFonts w:asciiTheme="minorHAnsi" w:hAnsiTheme="minorHAnsi" w:cstheme="minorHAnsi"/>
                <w:sz w:val="21"/>
                <w:szCs w:val="21"/>
              </w:rPr>
            </w:pPr>
          </w:p>
        </w:tc>
        <w:tc>
          <w:tcPr>
            <w:tcW w:w="0" w:type="auto"/>
            <w:shd w:val="clear" w:color="auto" w:fill="E7E6E6" w:themeFill="background2"/>
          </w:tcPr>
          <w:p w14:paraId="015CA807" w14:textId="77777777" w:rsidR="00B54D51" w:rsidRPr="00037AD4" w:rsidRDefault="00B54D51" w:rsidP="00401C67">
            <w:pPr>
              <w:rPr>
                <w:rFonts w:asciiTheme="minorHAnsi" w:hAnsiTheme="minorHAnsi" w:cstheme="minorHAnsi"/>
                <w:sz w:val="21"/>
                <w:szCs w:val="21"/>
              </w:rPr>
            </w:pPr>
          </w:p>
        </w:tc>
        <w:tc>
          <w:tcPr>
            <w:tcW w:w="0" w:type="auto"/>
            <w:shd w:val="clear" w:color="auto" w:fill="E7E6E6" w:themeFill="background2"/>
          </w:tcPr>
          <w:p w14:paraId="5AA6CA91" w14:textId="77777777" w:rsidR="00B54D51" w:rsidRPr="00037AD4" w:rsidRDefault="00B54D51" w:rsidP="00401C67">
            <w:pPr>
              <w:rPr>
                <w:rFonts w:asciiTheme="minorHAnsi" w:hAnsiTheme="minorHAnsi" w:cstheme="minorHAnsi"/>
                <w:sz w:val="21"/>
                <w:szCs w:val="21"/>
              </w:rPr>
            </w:pPr>
          </w:p>
        </w:tc>
      </w:tr>
      <w:tr w:rsidR="00B54D51" w:rsidRPr="00037AD4" w14:paraId="04C16438" w14:textId="77777777" w:rsidTr="00401C67">
        <w:trPr>
          <w:trHeight w:val="678"/>
        </w:trPr>
        <w:tc>
          <w:tcPr>
            <w:tcW w:w="0" w:type="auto"/>
            <w:vMerge/>
            <w:tcBorders>
              <w:left w:val="nil"/>
              <w:bottom w:val="nil"/>
            </w:tcBorders>
          </w:tcPr>
          <w:p w14:paraId="1E88658C" w14:textId="77777777" w:rsidR="00B54D51" w:rsidRPr="00037AD4" w:rsidRDefault="00B54D51" w:rsidP="00401C67">
            <w:pPr>
              <w:rPr>
                <w:rFonts w:asciiTheme="minorHAnsi" w:hAnsiTheme="minorHAnsi" w:cstheme="minorHAnsi"/>
                <w:sz w:val="21"/>
                <w:szCs w:val="21"/>
              </w:rPr>
            </w:pPr>
          </w:p>
        </w:tc>
        <w:tc>
          <w:tcPr>
            <w:tcW w:w="0" w:type="auto"/>
          </w:tcPr>
          <w:p w14:paraId="71AC7ECD"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PwD age</w:t>
            </w:r>
          </w:p>
        </w:tc>
        <w:tc>
          <w:tcPr>
            <w:tcW w:w="0" w:type="auto"/>
          </w:tcPr>
          <w:p w14:paraId="0189819A"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0.26*</w:t>
            </w:r>
          </w:p>
        </w:tc>
        <w:tc>
          <w:tcPr>
            <w:tcW w:w="0" w:type="auto"/>
          </w:tcPr>
          <w:p w14:paraId="133D9FA1"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0.11*</w:t>
            </w:r>
          </w:p>
        </w:tc>
        <w:tc>
          <w:tcPr>
            <w:tcW w:w="0" w:type="auto"/>
          </w:tcPr>
          <w:p w14:paraId="3E219D2F"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0.15*</w:t>
            </w:r>
          </w:p>
        </w:tc>
        <w:tc>
          <w:tcPr>
            <w:tcW w:w="0" w:type="auto"/>
          </w:tcPr>
          <w:p w14:paraId="2A97F42C"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0.09*</w:t>
            </w:r>
          </w:p>
        </w:tc>
        <w:tc>
          <w:tcPr>
            <w:tcW w:w="0" w:type="auto"/>
          </w:tcPr>
          <w:p w14:paraId="227F00EC"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0.02</w:t>
            </w:r>
          </w:p>
        </w:tc>
        <w:tc>
          <w:tcPr>
            <w:tcW w:w="0" w:type="auto"/>
            <w:shd w:val="clear" w:color="auto" w:fill="auto"/>
          </w:tcPr>
          <w:p w14:paraId="7D531567"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0.08*</w:t>
            </w:r>
          </w:p>
        </w:tc>
        <w:tc>
          <w:tcPr>
            <w:tcW w:w="0" w:type="auto"/>
            <w:shd w:val="clear" w:color="auto" w:fill="auto"/>
          </w:tcPr>
          <w:p w14:paraId="77690F0B"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0.00</w:t>
            </w:r>
          </w:p>
        </w:tc>
        <w:tc>
          <w:tcPr>
            <w:tcW w:w="0" w:type="auto"/>
            <w:shd w:val="clear" w:color="auto" w:fill="auto"/>
          </w:tcPr>
          <w:p w14:paraId="1473184D"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-0.04</w:t>
            </w:r>
          </w:p>
        </w:tc>
        <w:tc>
          <w:tcPr>
            <w:tcW w:w="0" w:type="auto"/>
            <w:shd w:val="clear" w:color="auto" w:fill="auto"/>
          </w:tcPr>
          <w:p w14:paraId="1E780CD4"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-0.16*</w:t>
            </w:r>
          </w:p>
        </w:tc>
        <w:tc>
          <w:tcPr>
            <w:tcW w:w="0" w:type="auto"/>
            <w:shd w:val="clear" w:color="auto" w:fill="auto"/>
          </w:tcPr>
          <w:p w14:paraId="7E90E619"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-0.19*</w:t>
            </w:r>
          </w:p>
        </w:tc>
        <w:tc>
          <w:tcPr>
            <w:tcW w:w="0" w:type="auto"/>
            <w:shd w:val="clear" w:color="auto" w:fill="E7E6E6" w:themeFill="background2"/>
          </w:tcPr>
          <w:p w14:paraId="17D8390E" w14:textId="77777777" w:rsidR="00B54D51" w:rsidRPr="00037AD4" w:rsidRDefault="00B54D51" w:rsidP="00401C67">
            <w:pPr>
              <w:rPr>
                <w:rFonts w:asciiTheme="minorHAnsi" w:hAnsiTheme="minorHAnsi" w:cstheme="minorHAnsi"/>
                <w:sz w:val="21"/>
                <w:szCs w:val="21"/>
              </w:rPr>
            </w:pPr>
          </w:p>
        </w:tc>
        <w:tc>
          <w:tcPr>
            <w:tcW w:w="0" w:type="auto"/>
            <w:shd w:val="clear" w:color="auto" w:fill="E7E6E6" w:themeFill="background2"/>
          </w:tcPr>
          <w:p w14:paraId="5D119E2F" w14:textId="77777777" w:rsidR="00B54D51" w:rsidRPr="00037AD4" w:rsidRDefault="00B54D51" w:rsidP="00401C67">
            <w:pPr>
              <w:rPr>
                <w:rFonts w:asciiTheme="minorHAnsi" w:hAnsiTheme="minorHAnsi" w:cstheme="minorHAnsi"/>
                <w:sz w:val="21"/>
                <w:szCs w:val="21"/>
              </w:rPr>
            </w:pPr>
          </w:p>
        </w:tc>
        <w:tc>
          <w:tcPr>
            <w:tcW w:w="0" w:type="auto"/>
            <w:shd w:val="clear" w:color="auto" w:fill="E7E6E6" w:themeFill="background2"/>
          </w:tcPr>
          <w:p w14:paraId="07EE5196" w14:textId="77777777" w:rsidR="00B54D51" w:rsidRPr="00037AD4" w:rsidRDefault="00B54D51" w:rsidP="00401C67">
            <w:pPr>
              <w:rPr>
                <w:rFonts w:asciiTheme="minorHAnsi" w:hAnsiTheme="minorHAnsi" w:cstheme="minorHAnsi"/>
                <w:sz w:val="21"/>
                <w:szCs w:val="21"/>
              </w:rPr>
            </w:pPr>
          </w:p>
        </w:tc>
        <w:tc>
          <w:tcPr>
            <w:tcW w:w="0" w:type="auto"/>
            <w:shd w:val="clear" w:color="auto" w:fill="E7E6E6" w:themeFill="background2"/>
          </w:tcPr>
          <w:p w14:paraId="5CBC992B" w14:textId="77777777" w:rsidR="00B54D51" w:rsidRPr="00037AD4" w:rsidRDefault="00B54D51" w:rsidP="00401C67">
            <w:pPr>
              <w:rPr>
                <w:rFonts w:asciiTheme="minorHAnsi" w:hAnsiTheme="minorHAnsi" w:cstheme="minorHAnsi"/>
                <w:sz w:val="21"/>
                <w:szCs w:val="21"/>
              </w:rPr>
            </w:pPr>
          </w:p>
        </w:tc>
        <w:tc>
          <w:tcPr>
            <w:tcW w:w="0" w:type="auto"/>
            <w:shd w:val="clear" w:color="auto" w:fill="E7E6E6" w:themeFill="background2"/>
          </w:tcPr>
          <w:p w14:paraId="4A4CF0DE" w14:textId="77777777" w:rsidR="00B54D51" w:rsidRPr="00037AD4" w:rsidRDefault="00B54D51" w:rsidP="00401C67">
            <w:pPr>
              <w:rPr>
                <w:rFonts w:asciiTheme="minorHAnsi" w:hAnsiTheme="minorHAnsi" w:cstheme="minorHAnsi"/>
                <w:sz w:val="21"/>
                <w:szCs w:val="21"/>
              </w:rPr>
            </w:pPr>
          </w:p>
        </w:tc>
      </w:tr>
      <w:tr w:rsidR="00B54D51" w:rsidRPr="00037AD4" w14:paraId="51CFE872" w14:textId="77777777" w:rsidTr="00401C67">
        <w:trPr>
          <w:trHeight w:val="658"/>
        </w:trPr>
        <w:tc>
          <w:tcPr>
            <w:tcW w:w="0" w:type="auto"/>
            <w:vMerge/>
            <w:tcBorders>
              <w:left w:val="nil"/>
              <w:bottom w:val="nil"/>
            </w:tcBorders>
          </w:tcPr>
          <w:p w14:paraId="0A2E7D95" w14:textId="77777777" w:rsidR="00B54D51" w:rsidRPr="00037AD4" w:rsidRDefault="00B54D51" w:rsidP="00401C67">
            <w:pPr>
              <w:rPr>
                <w:rFonts w:asciiTheme="minorHAnsi" w:hAnsiTheme="minorHAnsi" w:cstheme="minorHAnsi"/>
                <w:sz w:val="21"/>
                <w:szCs w:val="21"/>
              </w:rPr>
            </w:pPr>
          </w:p>
        </w:tc>
        <w:tc>
          <w:tcPr>
            <w:tcW w:w="0" w:type="auto"/>
          </w:tcPr>
          <w:p w14:paraId="34946A50"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PwD sex</w:t>
            </w:r>
          </w:p>
        </w:tc>
        <w:tc>
          <w:tcPr>
            <w:tcW w:w="0" w:type="auto"/>
          </w:tcPr>
          <w:p w14:paraId="3CBF46D8"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0.04</w:t>
            </w:r>
          </w:p>
        </w:tc>
        <w:tc>
          <w:tcPr>
            <w:tcW w:w="0" w:type="auto"/>
          </w:tcPr>
          <w:p w14:paraId="110DA6C3"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-0.03</w:t>
            </w:r>
          </w:p>
        </w:tc>
        <w:tc>
          <w:tcPr>
            <w:tcW w:w="0" w:type="auto"/>
          </w:tcPr>
          <w:p w14:paraId="53C33598"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0.01</w:t>
            </w:r>
          </w:p>
        </w:tc>
        <w:tc>
          <w:tcPr>
            <w:tcW w:w="0" w:type="auto"/>
          </w:tcPr>
          <w:p w14:paraId="02EBEF40"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0.03</w:t>
            </w:r>
          </w:p>
        </w:tc>
        <w:tc>
          <w:tcPr>
            <w:tcW w:w="0" w:type="auto"/>
          </w:tcPr>
          <w:p w14:paraId="3046145C"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-0.06</w:t>
            </w:r>
          </w:p>
        </w:tc>
        <w:tc>
          <w:tcPr>
            <w:tcW w:w="0" w:type="auto"/>
            <w:shd w:val="clear" w:color="auto" w:fill="auto"/>
          </w:tcPr>
          <w:p w14:paraId="0B87EA6A"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0.05</w:t>
            </w:r>
          </w:p>
        </w:tc>
        <w:tc>
          <w:tcPr>
            <w:tcW w:w="0" w:type="auto"/>
            <w:shd w:val="clear" w:color="auto" w:fill="auto"/>
          </w:tcPr>
          <w:p w14:paraId="78389894"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-0.16*</w:t>
            </w:r>
          </w:p>
        </w:tc>
        <w:tc>
          <w:tcPr>
            <w:tcW w:w="0" w:type="auto"/>
            <w:shd w:val="clear" w:color="auto" w:fill="auto"/>
          </w:tcPr>
          <w:p w14:paraId="2E426F2F"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-0.12*</w:t>
            </w:r>
          </w:p>
        </w:tc>
        <w:tc>
          <w:tcPr>
            <w:tcW w:w="0" w:type="auto"/>
            <w:shd w:val="clear" w:color="auto" w:fill="auto"/>
          </w:tcPr>
          <w:p w14:paraId="45B03D02"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0.25*</w:t>
            </w:r>
          </w:p>
        </w:tc>
        <w:tc>
          <w:tcPr>
            <w:tcW w:w="0" w:type="auto"/>
            <w:shd w:val="clear" w:color="auto" w:fill="auto"/>
          </w:tcPr>
          <w:p w14:paraId="152154E3"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0.07*</w:t>
            </w:r>
          </w:p>
        </w:tc>
        <w:tc>
          <w:tcPr>
            <w:tcW w:w="0" w:type="auto"/>
            <w:shd w:val="clear" w:color="auto" w:fill="auto"/>
          </w:tcPr>
          <w:p w14:paraId="3AC2562B"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0.07*</w:t>
            </w:r>
          </w:p>
        </w:tc>
        <w:tc>
          <w:tcPr>
            <w:tcW w:w="0" w:type="auto"/>
            <w:shd w:val="clear" w:color="auto" w:fill="E7E6E6" w:themeFill="background2"/>
          </w:tcPr>
          <w:p w14:paraId="4C7070F5" w14:textId="77777777" w:rsidR="00B54D51" w:rsidRPr="00037AD4" w:rsidRDefault="00B54D51" w:rsidP="00401C67">
            <w:pPr>
              <w:rPr>
                <w:rFonts w:asciiTheme="minorHAnsi" w:hAnsiTheme="minorHAnsi" w:cstheme="minorHAnsi"/>
                <w:sz w:val="21"/>
                <w:szCs w:val="21"/>
              </w:rPr>
            </w:pPr>
          </w:p>
        </w:tc>
        <w:tc>
          <w:tcPr>
            <w:tcW w:w="0" w:type="auto"/>
            <w:shd w:val="clear" w:color="auto" w:fill="E7E6E6" w:themeFill="background2"/>
          </w:tcPr>
          <w:p w14:paraId="10AA4FD5" w14:textId="77777777" w:rsidR="00B54D51" w:rsidRPr="00037AD4" w:rsidRDefault="00B54D51" w:rsidP="00401C67">
            <w:pPr>
              <w:rPr>
                <w:rFonts w:asciiTheme="minorHAnsi" w:hAnsiTheme="minorHAnsi" w:cstheme="minorHAnsi"/>
                <w:sz w:val="21"/>
                <w:szCs w:val="21"/>
              </w:rPr>
            </w:pPr>
          </w:p>
        </w:tc>
        <w:tc>
          <w:tcPr>
            <w:tcW w:w="0" w:type="auto"/>
            <w:shd w:val="clear" w:color="auto" w:fill="E7E6E6" w:themeFill="background2"/>
          </w:tcPr>
          <w:p w14:paraId="70C55646" w14:textId="77777777" w:rsidR="00B54D51" w:rsidRPr="00037AD4" w:rsidRDefault="00B54D51" w:rsidP="00401C67">
            <w:pPr>
              <w:rPr>
                <w:rFonts w:asciiTheme="minorHAnsi" w:hAnsiTheme="minorHAnsi" w:cstheme="minorHAnsi"/>
                <w:sz w:val="21"/>
                <w:szCs w:val="21"/>
              </w:rPr>
            </w:pPr>
          </w:p>
        </w:tc>
        <w:tc>
          <w:tcPr>
            <w:tcW w:w="0" w:type="auto"/>
            <w:shd w:val="clear" w:color="auto" w:fill="E7E6E6" w:themeFill="background2"/>
          </w:tcPr>
          <w:p w14:paraId="5D8BA899" w14:textId="77777777" w:rsidR="00B54D51" w:rsidRPr="00037AD4" w:rsidRDefault="00B54D51" w:rsidP="00401C67">
            <w:pPr>
              <w:rPr>
                <w:rFonts w:asciiTheme="minorHAnsi" w:hAnsiTheme="minorHAnsi" w:cstheme="minorHAnsi"/>
                <w:sz w:val="21"/>
                <w:szCs w:val="21"/>
              </w:rPr>
            </w:pPr>
          </w:p>
        </w:tc>
      </w:tr>
      <w:tr w:rsidR="00B54D51" w:rsidRPr="00037AD4" w14:paraId="2568B84D" w14:textId="77777777" w:rsidTr="00401C67">
        <w:trPr>
          <w:trHeight w:val="658"/>
        </w:trPr>
        <w:tc>
          <w:tcPr>
            <w:tcW w:w="0" w:type="auto"/>
            <w:vMerge/>
            <w:tcBorders>
              <w:left w:val="nil"/>
              <w:bottom w:val="nil"/>
            </w:tcBorders>
          </w:tcPr>
          <w:p w14:paraId="301548B6" w14:textId="77777777" w:rsidR="00B54D51" w:rsidRPr="00037AD4" w:rsidRDefault="00B54D51" w:rsidP="00401C67">
            <w:pPr>
              <w:rPr>
                <w:rFonts w:asciiTheme="minorHAnsi" w:hAnsiTheme="minorHAnsi" w:cstheme="minorHAnsi"/>
                <w:sz w:val="21"/>
                <w:szCs w:val="21"/>
              </w:rPr>
            </w:pPr>
          </w:p>
        </w:tc>
        <w:tc>
          <w:tcPr>
            <w:tcW w:w="0" w:type="auto"/>
          </w:tcPr>
          <w:p w14:paraId="3B934C27"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Proxy age</w:t>
            </w:r>
          </w:p>
        </w:tc>
        <w:tc>
          <w:tcPr>
            <w:tcW w:w="0" w:type="auto"/>
          </w:tcPr>
          <w:p w14:paraId="1CDD4C70"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0.06</w:t>
            </w:r>
          </w:p>
        </w:tc>
        <w:tc>
          <w:tcPr>
            <w:tcW w:w="0" w:type="auto"/>
          </w:tcPr>
          <w:p w14:paraId="70CA171D"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-0.01</w:t>
            </w:r>
          </w:p>
        </w:tc>
        <w:tc>
          <w:tcPr>
            <w:tcW w:w="0" w:type="auto"/>
          </w:tcPr>
          <w:p w14:paraId="13E596BE"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0.04</w:t>
            </w:r>
          </w:p>
        </w:tc>
        <w:tc>
          <w:tcPr>
            <w:tcW w:w="0" w:type="auto"/>
          </w:tcPr>
          <w:p w14:paraId="69D4BD61"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0.08*</w:t>
            </w:r>
          </w:p>
        </w:tc>
        <w:tc>
          <w:tcPr>
            <w:tcW w:w="0" w:type="auto"/>
          </w:tcPr>
          <w:p w14:paraId="21722195"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0.00</w:t>
            </w:r>
          </w:p>
        </w:tc>
        <w:tc>
          <w:tcPr>
            <w:tcW w:w="0" w:type="auto"/>
            <w:shd w:val="clear" w:color="auto" w:fill="auto"/>
          </w:tcPr>
          <w:p w14:paraId="327F27D2"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0.04</w:t>
            </w:r>
          </w:p>
        </w:tc>
        <w:tc>
          <w:tcPr>
            <w:tcW w:w="0" w:type="auto"/>
            <w:shd w:val="clear" w:color="auto" w:fill="auto"/>
          </w:tcPr>
          <w:p w14:paraId="53278332"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-0.00</w:t>
            </w:r>
          </w:p>
        </w:tc>
        <w:tc>
          <w:tcPr>
            <w:tcW w:w="0" w:type="auto"/>
            <w:shd w:val="clear" w:color="auto" w:fill="auto"/>
          </w:tcPr>
          <w:p w14:paraId="2DE10230"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-0.00</w:t>
            </w:r>
          </w:p>
        </w:tc>
        <w:tc>
          <w:tcPr>
            <w:tcW w:w="0" w:type="auto"/>
            <w:shd w:val="clear" w:color="auto" w:fill="auto"/>
          </w:tcPr>
          <w:p w14:paraId="2C1DA9EE"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-0.20*</w:t>
            </w:r>
          </w:p>
        </w:tc>
        <w:tc>
          <w:tcPr>
            <w:tcW w:w="0" w:type="auto"/>
            <w:shd w:val="clear" w:color="auto" w:fill="auto"/>
          </w:tcPr>
          <w:p w14:paraId="090CD5AC"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-0.06</w:t>
            </w:r>
          </w:p>
        </w:tc>
        <w:tc>
          <w:tcPr>
            <w:tcW w:w="0" w:type="auto"/>
            <w:shd w:val="clear" w:color="auto" w:fill="auto"/>
          </w:tcPr>
          <w:p w14:paraId="4C6DE287"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0.21*</w:t>
            </w:r>
          </w:p>
        </w:tc>
        <w:tc>
          <w:tcPr>
            <w:tcW w:w="0" w:type="auto"/>
            <w:shd w:val="clear" w:color="auto" w:fill="auto"/>
          </w:tcPr>
          <w:p w14:paraId="2E9833FA"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-0.25*</w:t>
            </w:r>
          </w:p>
        </w:tc>
        <w:tc>
          <w:tcPr>
            <w:tcW w:w="0" w:type="auto"/>
            <w:shd w:val="clear" w:color="auto" w:fill="E7E6E6" w:themeFill="background2"/>
          </w:tcPr>
          <w:p w14:paraId="200EDCFB" w14:textId="77777777" w:rsidR="00B54D51" w:rsidRPr="00037AD4" w:rsidRDefault="00B54D51" w:rsidP="00401C67">
            <w:pPr>
              <w:rPr>
                <w:rFonts w:asciiTheme="minorHAnsi" w:hAnsiTheme="minorHAnsi" w:cstheme="minorHAnsi"/>
                <w:sz w:val="21"/>
                <w:szCs w:val="21"/>
              </w:rPr>
            </w:pPr>
          </w:p>
        </w:tc>
        <w:tc>
          <w:tcPr>
            <w:tcW w:w="0" w:type="auto"/>
            <w:shd w:val="clear" w:color="auto" w:fill="E7E6E6" w:themeFill="background2"/>
          </w:tcPr>
          <w:p w14:paraId="754056E2" w14:textId="77777777" w:rsidR="00B54D51" w:rsidRPr="00037AD4" w:rsidRDefault="00B54D51" w:rsidP="00401C67">
            <w:pPr>
              <w:rPr>
                <w:rFonts w:asciiTheme="minorHAnsi" w:hAnsiTheme="minorHAnsi" w:cstheme="minorHAnsi"/>
                <w:sz w:val="21"/>
                <w:szCs w:val="21"/>
              </w:rPr>
            </w:pPr>
          </w:p>
        </w:tc>
        <w:tc>
          <w:tcPr>
            <w:tcW w:w="0" w:type="auto"/>
            <w:shd w:val="clear" w:color="auto" w:fill="E7E6E6" w:themeFill="background2"/>
          </w:tcPr>
          <w:p w14:paraId="405203CD" w14:textId="77777777" w:rsidR="00B54D51" w:rsidRPr="00037AD4" w:rsidRDefault="00B54D51" w:rsidP="00401C67">
            <w:pPr>
              <w:rPr>
                <w:rFonts w:asciiTheme="minorHAnsi" w:hAnsiTheme="minorHAnsi" w:cstheme="minorHAnsi"/>
                <w:sz w:val="21"/>
                <w:szCs w:val="21"/>
              </w:rPr>
            </w:pPr>
          </w:p>
        </w:tc>
      </w:tr>
      <w:tr w:rsidR="00B54D51" w:rsidRPr="00037AD4" w14:paraId="321F004F" w14:textId="77777777" w:rsidTr="00401C67">
        <w:trPr>
          <w:trHeight w:val="658"/>
        </w:trPr>
        <w:tc>
          <w:tcPr>
            <w:tcW w:w="0" w:type="auto"/>
            <w:vMerge/>
            <w:tcBorders>
              <w:left w:val="nil"/>
              <w:bottom w:val="nil"/>
            </w:tcBorders>
          </w:tcPr>
          <w:p w14:paraId="3D7319DF" w14:textId="77777777" w:rsidR="00B54D51" w:rsidRPr="00037AD4" w:rsidRDefault="00B54D51" w:rsidP="00401C67">
            <w:pPr>
              <w:rPr>
                <w:rFonts w:asciiTheme="minorHAnsi" w:hAnsiTheme="minorHAnsi" w:cstheme="minorHAnsi"/>
                <w:sz w:val="21"/>
                <w:szCs w:val="21"/>
              </w:rPr>
            </w:pPr>
          </w:p>
        </w:tc>
        <w:tc>
          <w:tcPr>
            <w:tcW w:w="0" w:type="auto"/>
          </w:tcPr>
          <w:p w14:paraId="03B446D3"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Proxy sex</w:t>
            </w:r>
          </w:p>
        </w:tc>
        <w:tc>
          <w:tcPr>
            <w:tcW w:w="0" w:type="auto"/>
          </w:tcPr>
          <w:p w14:paraId="360DB2B8"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0.04</w:t>
            </w:r>
          </w:p>
        </w:tc>
        <w:tc>
          <w:tcPr>
            <w:tcW w:w="0" w:type="auto"/>
          </w:tcPr>
          <w:p w14:paraId="468DFACF"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0.07*</w:t>
            </w:r>
          </w:p>
        </w:tc>
        <w:tc>
          <w:tcPr>
            <w:tcW w:w="0" w:type="auto"/>
          </w:tcPr>
          <w:p w14:paraId="4FDBB95B"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-0.01</w:t>
            </w:r>
          </w:p>
        </w:tc>
        <w:tc>
          <w:tcPr>
            <w:tcW w:w="0" w:type="auto"/>
          </w:tcPr>
          <w:p w14:paraId="3B62AFF3"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-0.01</w:t>
            </w:r>
          </w:p>
        </w:tc>
        <w:tc>
          <w:tcPr>
            <w:tcW w:w="0" w:type="auto"/>
          </w:tcPr>
          <w:p w14:paraId="5404D997"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-0.06</w:t>
            </w:r>
          </w:p>
        </w:tc>
        <w:tc>
          <w:tcPr>
            <w:tcW w:w="0" w:type="auto"/>
            <w:shd w:val="clear" w:color="auto" w:fill="auto"/>
          </w:tcPr>
          <w:p w14:paraId="591C474D"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-0.03</w:t>
            </w:r>
          </w:p>
        </w:tc>
        <w:tc>
          <w:tcPr>
            <w:tcW w:w="0" w:type="auto"/>
            <w:shd w:val="clear" w:color="auto" w:fill="auto"/>
          </w:tcPr>
          <w:p w14:paraId="2CE83FD2"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0.11*</w:t>
            </w:r>
          </w:p>
        </w:tc>
        <w:tc>
          <w:tcPr>
            <w:tcW w:w="0" w:type="auto"/>
            <w:shd w:val="clear" w:color="auto" w:fill="auto"/>
          </w:tcPr>
          <w:p w14:paraId="64E535E0"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0.10*</w:t>
            </w:r>
          </w:p>
        </w:tc>
        <w:tc>
          <w:tcPr>
            <w:tcW w:w="0" w:type="auto"/>
            <w:shd w:val="clear" w:color="auto" w:fill="auto"/>
          </w:tcPr>
          <w:p w14:paraId="4850C35E"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-0.14*</w:t>
            </w:r>
          </w:p>
        </w:tc>
        <w:tc>
          <w:tcPr>
            <w:tcW w:w="0" w:type="auto"/>
            <w:shd w:val="clear" w:color="auto" w:fill="auto"/>
          </w:tcPr>
          <w:p w14:paraId="5D63C3B0"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-0.12*</w:t>
            </w:r>
          </w:p>
        </w:tc>
        <w:tc>
          <w:tcPr>
            <w:tcW w:w="0" w:type="auto"/>
            <w:shd w:val="clear" w:color="auto" w:fill="auto"/>
          </w:tcPr>
          <w:p w14:paraId="57572F45"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-0.12*</w:t>
            </w:r>
          </w:p>
        </w:tc>
        <w:tc>
          <w:tcPr>
            <w:tcW w:w="0" w:type="auto"/>
            <w:shd w:val="clear" w:color="auto" w:fill="auto"/>
          </w:tcPr>
          <w:p w14:paraId="46BD5F54"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-0.52*</w:t>
            </w:r>
          </w:p>
        </w:tc>
        <w:tc>
          <w:tcPr>
            <w:tcW w:w="0" w:type="auto"/>
            <w:shd w:val="clear" w:color="auto" w:fill="auto"/>
          </w:tcPr>
          <w:p w14:paraId="69FEFD9E"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-0.19*</w:t>
            </w:r>
          </w:p>
        </w:tc>
        <w:tc>
          <w:tcPr>
            <w:tcW w:w="0" w:type="auto"/>
            <w:shd w:val="clear" w:color="auto" w:fill="E7E6E6" w:themeFill="background2"/>
          </w:tcPr>
          <w:p w14:paraId="76548A03" w14:textId="77777777" w:rsidR="00B54D51" w:rsidRPr="00037AD4" w:rsidRDefault="00B54D51" w:rsidP="00401C67">
            <w:pPr>
              <w:rPr>
                <w:rFonts w:asciiTheme="minorHAnsi" w:hAnsiTheme="minorHAnsi" w:cstheme="minorHAnsi"/>
                <w:sz w:val="21"/>
                <w:szCs w:val="21"/>
              </w:rPr>
            </w:pPr>
          </w:p>
        </w:tc>
        <w:tc>
          <w:tcPr>
            <w:tcW w:w="0" w:type="auto"/>
            <w:shd w:val="clear" w:color="auto" w:fill="E7E6E6" w:themeFill="background2"/>
          </w:tcPr>
          <w:p w14:paraId="243F7959" w14:textId="77777777" w:rsidR="00B54D51" w:rsidRPr="00037AD4" w:rsidRDefault="00B54D51" w:rsidP="00401C67">
            <w:pPr>
              <w:rPr>
                <w:rFonts w:asciiTheme="minorHAnsi" w:hAnsiTheme="minorHAnsi" w:cstheme="minorHAnsi"/>
                <w:sz w:val="21"/>
                <w:szCs w:val="21"/>
              </w:rPr>
            </w:pPr>
          </w:p>
        </w:tc>
      </w:tr>
      <w:tr w:rsidR="00B54D51" w:rsidRPr="00037AD4" w14:paraId="7EECAB42" w14:textId="77777777" w:rsidTr="00401C67">
        <w:trPr>
          <w:trHeight w:val="317"/>
        </w:trPr>
        <w:tc>
          <w:tcPr>
            <w:tcW w:w="0" w:type="auto"/>
            <w:vMerge/>
            <w:tcBorders>
              <w:left w:val="nil"/>
              <w:bottom w:val="nil"/>
            </w:tcBorders>
          </w:tcPr>
          <w:p w14:paraId="6A5B9A48" w14:textId="77777777" w:rsidR="00B54D51" w:rsidRPr="00037AD4" w:rsidRDefault="00B54D51" w:rsidP="00401C67">
            <w:pPr>
              <w:rPr>
                <w:rFonts w:asciiTheme="minorHAnsi" w:hAnsiTheme="minorHAnsi" w:cstheme="minorHAnsi"/>
                <w:sz w:val="21"/>
                <w:szCs w:val="21"/>
              </w:rPr>
            </w:pPr>
          </w:p>
        </w:tc>
        <w:tc>
          <w:tcPr>
            <w:tcW w:w="0" w:type="auto"/>
          </w:tcPr>
          <w:p w14:paraId="573AB637"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 xml:space="preserve">Live </w:t>
            </w:r>
          </w:p>
        </w:tc>
        <w:tc>
          <w:tcPr>
            <w:tcW w:w="0" w:type="auto"/>
          </w:tcPr>
          <w:p w14:paraId="026D31B4"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0.02</w:t>
            </w:r>
          </w:p>
        </w:tc>
        <w:tc>
          <w:tcPr>
            <w:tcW w:w="0" w:type="auto"/>
          </w:tcPr>
          <w:p w14:paraId="32187213"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-0.04</w:t>
            </w:r>
          </w:p>
        </w:tc>
        <w:tc>
          <w:tcPr>
            <w:tcW w:w="0" w:type="auto"/>
          </w:tcPr>
          <w:p w14:paraId="6EDD18C5"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0.02</w:t>
            </w:r>
          </w:p>
        </w:tc>
        <w:tc>
          <w:tcPr>
            <w:tcW w:w="0" w:type="auto"/>
          </w:tcPr>
          <w:p w14:paraId="330C348E"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0.03</w:t>
            </w:r>
          </w:p>
        </w:tc>
        <w:tc>
          <w:tcPr>
            <w:tcW w:w="0" w:type="auto"/>
          </w:tcPr>
          <w:p w14:paraId="7648F024"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0.04</w:t>
            </w:r>
          </w:p>
        </w:tc>
        <w:tc>
          <w:tcPr>
            <w:tcW w:w="0" w:type="auto"/>
          </w:tcPr>
          <w:p w14:paraId="67319CFF"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-0.05</w:t>
            </w:r>
          </w:p>
        </w:tc>
        <w:tc>
          <w:tcPr>
            <w:tcW w:w="0" w:type="auto"/>
          </w:tcPr>
          <w:p w14:paraId="7560CFA8"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0.04</w:t>
            </w:r>
          </w:p>
        </w:tc>
        <w:tc>
          <w:tcPr>
            <w:tcW w:w="0" w:type="auto"/>
          </w:tcPr>
          <w:p w14:paraId="1E0B44E3"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-0.11*</w:t>
            </w:r>
          </w:p>
        </w:tc>
        <w:tc>
          <w:tcPr>
            <w:tcW w:w="0" w:type="auto"/>
          </w:tcPr>
          <w:p w14:paraId="315E7ED3"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0.19</w:t>
            </w:r>
          </w:p>
        </w:tc>
        <w:tc>
          <w:tcPr>
            <w:tcW w:w="0" w:type="auto"/>
          </w:tcPr>
          <w:p w14:paraId="11342DA3"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0.08*</w:t>
            </w:r>
          </w:p>
        </w:tc>
        <w:tc>
          <w:tcPr>
            <w:tcW w:w="0" w:type="auto"/>
          </w:tcPr>
          <w:p w14:paraId="19C7768C"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0.08*</w:t>
            </w:r>
          </w:p>
        </w:tc>
        <w:tc>
          <w:tcPr>
            <w:tcW w:w="0" w:type="auto"/>
          </w:tcPr>
          <w:p w14:paraId="141B9268"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-0.32*</w:t>
            </w:r>
          </w:p>
        </w:tc>
        <w:tc>
          <w:tcPr>
            <w:tcW w:w="0" w:type="auto"/>
          </w:tcPr>
          <w:p w14:paraId="00CC6671"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-0.55*</w:t>
            </w:r>
          </w:p>
        </w:tc>
        <w:tc>
          <w:tcPr>
            <w:tcW w:w="0" w:type="auto"/>
          </w:tcPr>
          <w:p w14:paraId="3C82BB8B"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0.13*</w:t>
            </w:r>
          </w:p>
        </w:tc>
        <w:tc>
          <w:tcPr>
            <w:tcW w:w="0" w:type="auto"/>
            <w:shd w:val="clear" w:color="auto" w:fill="E7E6E6" w:themeFill="background2"/>
          </w:tcPr>
          <w:p w14:paraId="7E6189B4" w14:textId="77777777" w:rsidR="00B54D51" w:rsidRPr="00037AD4" w:rsidRDefault="00B54D51" w:rsidP="00401C67">
            <w:pPr>
              <w:rPr>
                <w:rFonts w:asciiTheme="minorHAnsi" w:hAnsiTheme="minorHAnsi" w:cstheme="minorHAnsi"/>
                <w:sz w:val="21"/>
                <w:szCs w:val="21"/>
              </w:rPr>
            </w:pPr>
          </w:p>
        </w:tc>
      </w:tr>
      <w:tr w:rsidR="00B54D51" w:rsidRPr="00037AD4" w14:paraId="22C4BDB0" w14:textId="77777777" w:rsidTr="00401C67">
        <w:trPr>
          <w:trHeight w:val="317"/>
        </w:trPr>
        <w:tc>
          <w:tcPr>
            <w:tcW w:w="0" w:type="auto"/>
            <w:tcBorders>
              <w:top w:val="nil"/>
              <w:left w:val="nil"/>
              <w:bottom w:val="nil"/>
            </w:tcBorders>
          </w:tcPr>
          <w:p w14:paraId="58730055" w14:textId="77777777" w:rsidR="00B54D51" w:rsidRPr="00037AD4" w:rsidRDefault="00B54D51" w:rsidP="00401C67">
            <w:pPr>
              <w:rPr>
                <w:rFonts w:asciiTheme="minorHAnsi" w:hAnsiTheme="minorHAnsi" w:cstheme="minorHAnsi"/>
                <w:sz w:val="21"/>
                <w:szCs w:val="21"/>
              </w:rPr>
            </w:pPr>
          </w:p>
        </w:tc>
        <w:tc>
          <w:tcPr>
            <w:tcW w:w="0" w:type="auto"/>
            <w:gridSpan w:val="16"/>
          </w:tcPr>
          <w:p w14:paraId="4EE0925F"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 xml:space="preserve">M, mobility; SC, self-care; UA, usual activities; PD, pain/discomfort; AD, anxiety/depression; CDR, clinical dementia rating scale; MMSE, mini-mental state examination; IADL, Lawton’s instrumental activities of daily living scale; PSMS, physical self-maintenance scale; PwD, person with dementia </w:t>
            </w:r>
          </w:p>
          <w:p w14:paraId="185C2A05"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 xml:space="preserve">*, p&lt;0.05; Spearman’s rank correlation for EQ-5D dimensions; Pearson’s correlation for other outcomes; live, do the PwD and proxy live together? (1=yes, 2=no); sex (1=Male, 2=Female). </w:t>
            </w:r>
          </w:p>
        </w:tc>
      </w:tr>
    </w:tbl>
    <w:p w14:paraId="70ADC16E" w14:textId="77777777" w:rsidR="00B54D51" w:rsidRPr="00037AD4" w:rsidRDefault="00B54D51" w:rsidP="001D7ACE">
      <w:pPr>
        <w:rPr>
          <w:rFonts w:asciiTheme="minorHAnsi" w:hAnsiTheme="minorHAnsi" w:cstheme="minorHAnsi"/>
          <w:u w:val="single"/>
        </w:rPr>
      </w:pPr>
    </w:p>
    <w:p w14:paraId="54E29784" w14:textId="77777777" w:rsidR="00B54D51" w:rsidRPr="00037AD4" w:rsidRDefault="00B54D51" w:rsidP="001D7ACE">
      <w:pPr>
        <w:rPr>
          <w:rFonts w:asciiTheme="minorHAnsi" w:hAnsiTheme="minorHAnsi" w:cstheme="minorHAnsi"/>
          <w:u w:val="single"/>
        </w:rPr>
      </w:pPr>
      <w:bookmarkStart w:id="530" w:name="tablea61b"/>
      <w:r w:rsidRPr="00037AD4">
        <w:rPr>
          <w:rFonts w:asciiTheme="minorHAnsi" w:hAnsiTheme="minorHAnsi" w:cstheme="minorHAnsi"/>
          <w:u w:val="single"/>
        </w:rPr>
        <w:t xml:space="preserve">Table A6.1b, Intra-rater correlations for EQ-5D dimension: ACTIFCARE </w:t>
      </w:r>
    </w:p>
    <w:bookmarkEnd w:id="530"/>
    <w:p w14:paraId="13DB74DA" w14:textId="77777777" w:rsidR="00B54D51" w:rsidRPr="00037AD4" w:rsidRDefault="00B54D51" w:rsidP="001D7ACE">
      <w:pPr>
        <w:rPr>
          <w:rFonts w:asciiTheme="minorHAnsi" w:hAnsiTheme="minorHAnsi" w:cstheme="minorHAnsi"/>
          <w:u w:val="single"/>
        </w:rPr>
      </w:pPr>
    </w:p>
    <w:tbl>
      <w:tblPr>
        <w:tblStyle w:val="TableGrid"/>
        <w:tblW w:w="10144" w:type="dxa"/>
        <w:tblInd w:w="-5" w:type="dxa"/>
        <w:tblLook w:val="04A0" w:firstRow="1" w:lastRow="0" w:firstColumn="1" w:lastColumn="0" w:noHBand="0" w:noVBand="1"/>
      </w:tblPr>
      <w:tblGrid>
        <w:gridCol w:w="784"/>
        <w:gridCol w:w="906"/>
        <w:gridCol w:w="906"/>
        <w:gridCol w:w="907"/>
        <w:gridCol w:w="907"/>
        <w:gridCol w:w="599"/>
        <w:gridCol w:w="908"/>
        <w:gridCol w:w="907"/>
        <w:gridCol w:w="907"/>
        <w:gridCol w:w="907"/>
        <w:gridCol w:w="907"/>
        <w:gridCol w:w="599"/>
      </w:tblGrid>
      <w:tr w:rsidR="00B54D51" w:rsidRPr="00037AD4" w14:paraId="48A992AE" w14:textId="77777777" w:rsidTr="00401C67">
        <w:trPr>
          <w:trHeight w:val="1050"/>
        </w:trPr>
        <w:tc>
          <w:tcPr>
            <w:tcW w:w="0" w:type="auto"/>
            <w:shd w:val="clear" w:color="auto" w:fill="F2F2F2" w:themeFill="background1" w:themeFillShade="F2"/>
          </w:tcPr>
          <w:p w14:paraId="651E972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PwD</w:t>
            </w:r>
          </w:p>
        </w:tc>
        <w:tc>
          <w:tcPr>
            <w:tcW w:w="0" w:type="auto"/>
          </w:tcPr>
          <w:p w14:paraId="61988ED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M</w:t>
            </w:r>
          </w:p>
        </w:tc>
        <w:tc>
          <w:tcPr>
            <w:tcW w:w="0" w:type="auto"/>
          </w:tcPr>
          <w:p w14:paraId="34AD0E1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SC</w:t>
            </w:r>
          </w:p>
        </w:tc>
        <w:tc>
          <w:tcPr>
            <w:tcW w:w="0" w:type="auto"/>
          </w:tcPr>
          <w:p w14:paraId="6E01B05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UA</w:t>
            </w:r>
          </w:p>
        </w:tc>
        <w:tc>
          <w:tcPr>
            <w:tcW w:w="0" w:type="auto"/>
          </w:tcPr>
          <w:p w14:paraId="51D5DCD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PD</w:t>
            </w:r>
          </w:p>
        </w:tc>
        <w:tc>
          <w:tcPr>
            <w:tcW w:w="0" w:type="auto"/>
          </w:tcPr>
          <w:p w14:paraId="148697B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AD</w:t>
            </w:r>
          </w:p>
        </w:tc>
        <w:tc>
          <w:tcPr>
            <w:tcW w:w="0" w:type="auto"/>
            <w:shd w:val="clear" w:color="auto" w:fill="F2F2F2" w:themeFill="background1" w:themeFillShade="F2"/>
          </w:tcPr>
          <w:p w14:paraId="0A76753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Proxy</w:t>
            </w:r>
          </w:p>
        </w:tc>
        <w:tc>
          <w:tcPr>
            <w:tcW w:w="0" w:type="auto"/>
          </w:tcPr>
          <w:p w14:paraId="7D7B618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M</w:t>
            </w:r>
          </w:p>
        </w:tc>
        <w:tc>
          <w:tcPr>
            <w:tcW w:w="0" w:type="auto"/>
          </w:tcPr>
          <w:p w14:paraId="0159216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SC</w:t>
            </w:r>
          </w:p>
        </w:tc>
        <w:tc>
          <w:tcPr>
            <w:tcW w:w="0" w:type="auto"/>
          </w:tcPr>
          <w:p w14:paraId="5363507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UA</w:t>
            </w:r>
          </w:p>
        </w:tc>
        <w:tc>
          <w:tcPr>
            <w:tcW w:w="0" w:type="auto"/>
          </w:tcPr>
          <w:p w14:paraId="2412121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PD</w:t>
            </w:r>
          </w:p>
        </w:tc>
        <w:tc>
          <w:tcPr>
            <w:tcW w:w="0" w:type="auto"/>
          </w:tcPr>
          <w:p w14:paraId="644BBD4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AD</w:t>
            </w:r>
          </w:p>
        </w:tc>
      </w:tr>
      <w:tr w:rsidR="00B54D51" w:rsidRPr="00037AD4" w14:paraId="28FBC47B" w14:textId="77777777" w:rsidTr="00401C67">
        <w:trPr>
          <w:trHeight w:val="491"/>
        </w:trPr>
        <w:tc>
          <w:tcPr>
            <w:tcW w:w="0" w:type="auto"/>
            <w:shd w:val="clear" w:color="auto" w:fill="F2F2F2" w:themeFill="background1" w:themeFillShade="F2"/>
          </w:tcPr>
          <w:p w14:paraId="2C6CEC0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M</w:t>
            </w:r>
          </w:p>
        </w:tc>
        <w:tc>
          <w:tcPr>
            <w:tcW w:w="0" w:type="auto"/>
            <w:shd w:val="clear" w:color="auto" w:fill="FFE599" w:themeFill="accent4" w:themeFillTint="66"/>
          </w:tcPr>
          <w:p w14:paraId="69A7F267" w14:textId="77777777" w:rsidR="00B54D51" w:rsidRPr="00037AD4" w:rsidRDefault="00B54D51" w:rsidP="00401C67">
            <w:pPr>
              <w:rPr>
                <w:rFonts w:asciiTheme="minorHAnsi" w:hAnsiTheme="minorHAnsi" w:cstheme="minorHAnsi"/>
              </w:rPr>
            </w:pPr>
          </w:p>
        </w:tc>
        <w:tc>
          <w:tcPr>
            <w:tcW w:w="0" w:type="auto"/>
          </w:tcPr>
          <w:p w14:paraId="6B0B5127" w14:textId="77777777" w:rsidR="00B54D51" w:rsidRPr="00037AD4" w:rsidRDefault="00B54D51" w:rsidP="00401C67">
            <w:pPr>
              <w:rPr>
                <w:rFonts w:asciiTheme="minorHAnsi" w:hAnsiTheme="minorHAnsi" w:cstheme="minorHAnsi"/>
              </w:rPr>
            </w:pPr>
          </w:p>
        </w:tc>
        <w:tc>
          <w:tcPr>
            <w:tcW w:w="0" w:type="auto"/>
          </w:tcPr>
          <w:p w14:paraId="2C35290D" w14:textId="77777777" w:rsidR="00B54D51" w:rsidRPr="00037AD4" w:rsidRDefault="00B54D51" w:rsidP="00401C67">
            <w:pPr>
              <w:rPr>
                <w:rFonts w:asciiTheme="minorHAnsi" w:hAnsiTheme="minorHAnsi" w:cstheme="minorHAnsi"/>
              </w:rPr>
            </w:pPr>
          </w:p>
        </w:tc>
        <w:tc>
          <w:tcPr>
            <w:tcW w:w="0" w:type="auto"/>
          </w:tcPr>
          <w:p w14:paraId="0E749026" w14:textId="77777777" w:rsidR="00B54D51" w:rsidRPr="00037AD4" w:rsidRDefault="00B54D51" w:rsidP="00401C67">
            <w:pPr>
              <w:rPr>
                <w:rFonts w:asciiTheme="minorHAnsi" w:hAnsiTheme="minorHAnsi" w:cstheme="minorHAnsi"/>
              </w:rPr>
            </w:pPr>
          </w:p>
        </w:tc>
        <w:tc>
          <w:tcPr>
            <w:tcW w:w="0" w:type="auto"/>
          </w:tcPr>
          <w:p w14:paraId="28CAACAA" w14:textId="77777777" w:rsidR="00B54D51" w:rsidRPr="00037AD4" w:rsidRDefault="00B54D51" w:rsidP="00401C67">
            <w:pPr>
              <w:rPr>
                <w:rFonts w:asciiTheme="minorHAnsi" w:hAnsiTheme="minorHAnsi" w:cstheme="minorHAnsi"/>
              </w:rPr>
            </w:pPr>
          </w:p>
        </w:tc>
        <w:tc>
          <w:tcPr>
            <w:tcW w:w="0" w:type="auto"/>
            <w:shd w:val="clear" w:color="auto" w:fill="F2F2F2" w:themeFill="background1" w:themeFillShade="F2"/>
          </w:tcPr>
          <w:p w14:paraId="024ECBB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M</w:t>
            </w:r>
          </w:p>
        </w:tc>
        <w:tc>
          <w:tcPr>
            <w:tcW w:w="0" w:type="auto"/>
            <w:shd w:val="clear" w:color="auto" w:fill="FFE599" w:themeFill="accent4" w:themeFillTint="66"/>
          </w:tcPr>
          <w:p w14:paraId="23E978FB" w14:textId="77777777" w:rsidR="00B54D51" w:rsidRPr="00037AD4" w:rsidRDefault="00B54D51" w:rsidP="00401C67">
            <w:pPr>
              <w:rPr>
                <w:rFonts w:asciiTheme="minorHAnsi" w:hAnsiTheme="minorHAnsi" w:cstheme="minorHAnsi"/>
              </w:rPr>
            </w:pPr>
          </w:p>
        </w:tc>
        <w:tc>
          <w:tcPr>
            <w:tcW w:w="0" w:type="auto"/>
          </w:tcPr>
          <w:p w14:paraId="4ED2FEB1" w14:textId="77777777" w:rsidR="00B54D51" w:rsidRPr="00037AD4" w:rsidRDefault="00B54D51" w:rsidP="00401C67">
            <w:pPr>
              <w:rPr>
                <w:rFonts w:asciiTheme="minorHAnsi" w:hAnsiTheme="minorHAnsi" w:cstheme="minorHAnsi"/>
              </w:rPr>
            </w:pPr>
          </w:p>
        </w:tc>
        <w:tc>
          <w:tcPr>
            <w:tcW w:w="0" w:type="auto"/>
          </w:tcPr>
          <w:p w14:paraId="0F819E0D" w14:textId="77777777" w:rsidR="00B54D51" w:rsidRPr="00037AD4" w:rsidRDefault="00B54D51" w:rsidP="00401C67">
            <w:pPr>
              <w:rPr>
                <w:rFonts w:asciiTheme="minorHAnsi" w:hAnsiTheme="minorHAnsi" w:cstheme="minorHAnsi"/>
              </w:rPr>
            </w:pPr>
          </w:p>
        </w:tc>
        <w:tc>
          <w:tcPr>
            <w:tcW w:w="0" w:type="auto"/>
          </w:tcPr>
          <w:p w14:paraId="7A9912B7" w14:textId="77777777" w:rsidR="00B54D51" w:rsidRPr="00037AD4" w:rsidRDefault="00B54D51" w:rsidP="00401C67">
            <w:pPr>
              <w:rPr>
                <w:rFonts w:asciiTheme="minorHAnsi" w:hAnsiTheme="minorHAnsi" w:cstheme="minorHAnsi"/>
              </w:rPr>
            </w:pPr>
          </w:p>
        </w:tc>
        <w:tc>
          <w:tcPr>
            <w:tcW w:w="0" w:type="auto"/>
          </w:tcPr>
          <w:p w14:paraId="5D6FE6F2" w14:textId="77777777" w:rsidR="00B54D51" w:rsidRPr="00037AD4" w:rsidRDefault="00B54D51" w:rsidP="00401C67">
            <w:pPr>
              <w:rPr>
                <w:rFonts w:asciiTheme="minorHAnsi" w:hAnsiTheme="minorHAnsi" w:cstheme="minorHAnsi"/>
              </w:rPr>
            </w:pPr>
          </w:p>
        </w:tc>
      </w:tr>
      <w:tr w:rsidR="00B54D51" w:rsidRPr="00037AD4" w14:paraId="523DCB47" w14:textId="77777777" w:rsidTr="00401C67">
        <w:trPr>
          <w:trHeight w:val="525"/>
        </w:trPr>
        <w:tc>
          <w:tcPr>
            <w:tcW w:w="0" w:type="auto"/>
            <w:shd w:val="clear" w:color="auto" w:fill="F2F2F2" w:themeFill="background1" w:themeFillShade="F2"/>
          </w:tcPr>
          <w:p w14:paraId="5DAD721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SC</w:t>
            </w:r>
          </w:p>
        </w:tc>
        <w:tc>
          <w:tcPr>
            <w:tcW w:w="0" w:type="auto"/>
          </w:tcPr>
          <w:p w14:paraId="61FF645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0.43*</w:t>
            </w:r>
          </w:p>
        </w:tc>
        <w:tc>
          <w:tcPr>
            <w:tcW w:w="0" w:type="auto"/>
            <w:shd w:val="clear" w:color="auto" w:fill="FFE599" w:themeFill="accent4" w:themeFillTint="66"/>
          </w:tcPr>
          <w:p w14:paraId="1DB8C149" w14:textId="77777777" w:rsidR="00B54D51" w:rsidRPr="00037AD4" w:rsidRDefault="00B54D51" w:rsidP="00401C67">
            <w:pPr>
              <w:rPr>
                <w:rFonts w:asciiTheme="minorHAnsi" w:hAnsiTheme="minorHAnsi" w:cstheme="minorHAnsi"/>
              </w:rPr>
            </w:pPr>
          </w:p>
        </w:tc>
        <w:tc>
          <w:tcPr>
            <w:tcW w:w="0" w:type="auto"/>
          </w:tcPr>
          <w:p w14:paraId="53DBCE08" w14:textId="77777777" w:rsidR="00B54D51" w:rsidRPr="00037AD4" w:rsidRDefault="00B54D51" w:rsidP="00401C67">
            <w:pPr>
              <w:rPr>
                <w:rFonts w:asciiTheme="minorHAnsi" w:hAnsiTheme="minorHAnsi" w:cstheme="minorHAnsi"/>
              </w:rPr>
            </w:pPr>
          </w:p>
        </w:tc>
        <w:tc>
          <w:tcPr>
            <w:tcW w:w="0" w:type="auto"/>
          </w:tcPr>
          <w:p w14:paraId="327BF1CF" w14:textId="77777777" w:rsidR="00B54D51" w:rsidRPr="00037AD4" w:rsidRDefault="00B54D51" w:rsidP="00401C67">
            <w:pPr>
              <w:rPr>
                <w:rFonts w:asciiTheme="minorHAnsi" w:hAnsiTheme="minorHAnsi" w:cstheme="minorHAnsi"/>
              </w:rPr>
            </w:pPr>
          </w:p>
        </w:tc>
        <w:tc>
          <w:tcPr>
            <w:tcW w:w="0" w:type="auto"/>
          </w:tcPr>
          <w:p w14:paraId="57F85110" w14:textId="77777777" w:rsidR="00B54D51" w:rsidRPr="00037AD4" w:rsidRDefault="00B54D51" w:rsidP="00401C67">
            <w:pPr>
              <w:rPr>
                <w:rFonts w:asciiTheme="minorHAnsi" w:hAnsiTheme="minorHAnsi" w:cstheme="minorHAnsi"/>
              </w:rPr>
            </w:pPr>
          </w:p>
        </w:tc>
        <w:tc>
          <w:tcPr>
            <w:tcW w:w="0" w:type="auto"/>
            <w:shd w:val="clear" w:color="auto" w:fill="F2F2F2" w:themeFill="background1" w:themeFillShade="F2"/>
          </w:tcPr>
          <w:p w14:paraId="6C4ABBD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SC</w:t>
            </w:r>
          </w:p>
        </w:tc>
        <w:tc>
          <w:tcPr>
            <w:tcW w:w="0" w:type="auto"/>
          </w:tcPr>
          <w:p w14:paraId="0A15DA1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0.44*</w:t>
            </w:r>
          </w:p>
        </w:tc>
        <w:tc>
          <w:tcPr>
            <w:tcW w:w="0" w:type="auto"/>
            <w:shd w:val="clear" w:color="auto" w:fill="FFE599" w:themeFill="accent4" w:themeFillTint="66"/>
          </w:tcPr>
          <w:p w14:paraId="035C5EE1" w14:textId="77777777" w:rsidR="00B54D51" w:rsidRPr="00037AD4" w:rsidRDefault="00B54D51" w:rsidP="00401C67">
            <w:pPr>
              <w:rPr>
                <w:rFonts w:asciiTheme="minorHAnsi" w:hAnsiTheme="minorHAnsi" w:cstheme="minorHAnsi"/>
              </w:rPr>
            </w:pPr>
          </w:p>
        </w:tc>
        <w:tc>
          <w:tcPr>
            <w:tcW w:w="0" w:type="auto"/>
          </w:tcPr>
          <w:p w14:paraId="09B08BE6" w14:textId="77777777" w:rsidR="00B54D51" w:rsidRPr="00037AD4" w:rsidRDefault="00B54D51" w:rsidP="00401C67">
            <w:pPr>
              <w:rPr>
                <w:rFonts w:asciiTheme="minorHAnsi" w:hAnsiTheme="minorHAnsi" w:cstheme="minorHAnsi"/>
              </w:rPr>
            </w:pPr>
          </w:p>
        </w:tc>
        <w:tc>
          <w:tcPr>
            <w:tcW w:w="0" w:type="auto"/>
          </w:tcPr>
          <w:p w14:paraId="54F3A5D5" w14:textId="77777777" w:rsidR="00B54D51" w:rsidRPr="00037AD4" w:rsidRDefault="00B54D51" w:rsidP="00401C67">
            <w:pPr>
              <w:rPr>
                <w:rFonts w:asciiTheme="minorHAnsi" w:hAnsiTheme="minorHAnsi" w:cstheme="minorHAnsi"/>
              </w:rPr>
            </w:pPr>
          </w:p>
        </w:tc>
        <w:tc>
          <w:tcPr>
            <w:tcW w:w="0" w:type="auto"/>
          </w:tcPr>
          <w:p w14:paraId="222DCDD3" w14:textId="77777777" w:rsidR="00B54D51" w:rsidRPr="00037AD4" w:rsidRDefault="00B54D51" w:rsidP="00401C67">
            <w:pPr>
              <w:rPr>
                <w:rFonts w:asciiTheme="minorHAnsi" w:hAnsiTheme="minorHAnsi" w:cstheme="minorHAnsi"/>
              </w:rPr>
            </w:pPr>
          </w:p>
        </w:tc>
      </w:tr>
      <w:tr w:rsidR="00B54D51" w:rsidRPr="00037AD4" w14:paraId="2FB87917" w14:textId="77777777" w:rsidTr="00401C67">
        <w:trPr>
          <w:trHeight w:val="525"/>
        </w:trPr>
        <w:tc>
          <w:tcPr>
            <w:tcW w:w="0" w:type="auto"/>
            <w:shd w:val="clear" w:color="auto" w:fill="F2F2F2" w:themeFill="background1" w:themeFillShade="F2"/>
          </w:tcPr>
          <w:p w14:paraId="27AC426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UA</w:t>
            </w:r>
          </w:p>
        </w:tc>
        <w:tc>
          <w:tcPr>
            <w:tcW w:w="0" w:type="auto"/>
          </w:tcPr>
          <w:p w14:paraId="167C3A9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0.50*</w:t>
            </w:r>
          </w:p>
        </w:tc>
        <w:tc>
          <w:tcPr>
            <w:tcW w:w="0" w:type="auto"/>
          </w:tcPr>
          <w:p w14:paraId="36DF9BA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0.49*</w:t>
            </w:r>
          </w:p>
        </w:tc>
        <w:tc>
          <w:tcPr>
            <w:tcW w:w="0" w:type="auto"/>
            <w:shd w:val="clear" w:color="auto" w:fill="FFE599" w:themeFill="accent4" w:themeFillTint="66"/>
          </w:tcPr>
          <w:p w14:paraId="3B631A61" w14:textId="77777777" w:rsidR="00B54D51" w:rsidRPr="00037AD4" w:rsidRDefault="00B54D51" w:rsidP="00401C67">
            <w:pPr>
              <w:rPr>
                <w:rFonts w:asciiTheme="minorHAnsi" w:hAnsiTheme="minorHAnsi" w:cstheme="minorHAnsi"/>
              </w:rPr>
            </w:pPr>
          </w:p>
        </w:tc>
        <w:tc>
          <w:tcPr>
            <w:tcW w:w="0" w:type="auto"/>
          </w:tcPr>
          <w:p w14:paraId="63F7C45E" w14:textId="77777777" w:rsidR="00B54D51" w:rsidRPr="00037AD4" w:rsidRDefault="00B54D51" w:rsidP="00401C67">
            <w:pPr>
              <w:rPr>
                <w:rFonts w:asciiTheme="minorHAnsi" w:hAnsiTheme="minorHAnsi" w:cstheme="minorHAnsi"/>
              </w:rPr>
            </w:pPr>
          </w:p>
        </w:tc>
        <w:tc>
          <w:tcPr>
            <w:tcW w:w="0" w:type="auto"/>
          </w:tcPr>
          <w:p w14:paraId="33352EC7" w14:textId="77777777" w:rsidR="00B54D51" w:rsidRPr="00037AD4" w:rsidRDefault="00B54D51" w:rsidP="00401C67">
            <w:pPr>
              <w:rPr>
                <w:rFonts w:asciiTheme="minorHAnsi" w:hAnsiTheme="minorHAnsi" w:cstheme="minorHAnsi"/>
              </w:rPr>
            </w:pPr>
          </w:p>
        </w:tc>
        <w:tc>
          <w:tcPr>
            <w:tcW w:w="0" w:type="auto"/>
            <w:shd w:val="clear" w:color="auto" w:fill="F2F2F2" w:themeFill="background1" w:themeFillShade="F2"/>
          </w:tcPr>
          <w:p w14:paraId="1A505FF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UA</w:t>
            </w:r>
          </w:p>
        </w:tc>
        <w:tc>
          <w:tcPr>
            <w:tcW w:w="0" w:type="auto"/>
          </w:tcPr>
          <w:p w14:paraId="187E27C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0.41*</w:t>
            </w:r>
          </w:p>
        </w:tc>
        <w:tc>
          <w:tcPr>
            <w:tcW w:w="0" w:type="auto"/>
          </w:tcPr>
          <w:p w14:paraId="3AC8B4B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0.60*</w:t>
            </w:r>
          </w:p>
        </w:tc>
        <w:tc>
          <w:tcPr>
            <w:tcW w:w="0" w:type="auto"/>
            <w:shd w:val="clear" w:color="auto" w:fill="FFE599" w:themeFill="accent4" w:themeFillTint="66"/>
          </w:tcPr>
          <w:p w14:paraId="40CAA062" w14:textId="77777777" w:rsidR="00B54D51" w:rsidRPr="00037AD4" w:rsidRDefault="00B54D51" w:rsidP="00401C67">
            <w:pPr>
              <w:rPr>
                <w:rFonts w:asciiTheme="minorHAnsi" w:hAnsiTheme="minorHAnsi" w:cstheme="minorHAnsi"/>
              </w:rPr>
            </w:pPr>
          </w:p>
        </w:tc>
        <w:tc>
          <w:tcPr>
            <w:tcW w:w="0" w:type="auto"/>
          </w:tcPr>
          <w:p w14:paraId="3877B4C1" w14:textId="77777777" w:rsidR="00B54D51" w:rsidRPr="00037AD4" w:rsidRDefault="00B54D51" w:rsidP="00401C67">
            <w:pPr>
              <w:rPr>
                <w:rFonts w:asciiTheme="minorHAnsi" w:hAnsiTheme="minorHAnsi" w:cstheme="minorHAnsi"/>
              </w:rPr>
            </w:pPr>
          </w:p>
        </w:tc>
        <w:tc>
          <w:tcPr>
            <w:tcW w:w="0" w:type="auto"/>
          </w:tcPr>
          <w:p w14:paraId="635E3231" w14:textId="77777777" w:rsidR="00B54D51" w:rsidRPr="00037AD4" w:rsidRDefault="00B54D51" w:rsidP="00401C67">
            <w:pPr>
              <w:rPr>
                <w:rFonts w:asciiTheme="minorHAnsi" w:hAnsiTheme="minorHAnsi" w:cstheme="minorHAnsi"/>
              </w:rPr>
            </w:pPr>
          </w:p>
        </w:tc>
      </w:tr>
      <w:tr w:rsidR="00B54D51" w:rsidRPr="00037AD4" w14:paraId="2AF6F979" w14:textId="77777777" w:rsidTr="00401C67">
        <w:trPr>
          <w:trHeight w:val="491"/>
        </w:trPr>
        <w:tc>
          <w:tcPr>
            <w:tcW w:w="0" w:type="auto"/>
            <w:shd w:val="clear" w:color="auto" w:fill="F2F2F2" w:themeFill="background1" w:themeFillShade="F2"/>
          </w:tcPr>
          <w:p w14:paraId="530A216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PD </w:t>
            </w:r>
          </w:p>
        </w:tc>
        <w:tc>
          <w:tcPr>
            <w:tcW w:w="0" w:type="auto"/>
          </w:tcPr>
          <w:p w14:paraId="46B123A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0.39*</w:t>
            </w:r>
          </w:p>
        </w:tc>
        <w:tc>
          <w:tcPr>
            <w:tcW w:w="0" w:type="auto"/>
          </w:tcPr>
          <w:p w14:paraId="14B2457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0.18*</w:t>
            </w:r>
          </w:p>
        </w:tc>
        <w:tc>
          <w:tcPr>
            <w:tcW w:w="0" w:type="auto"/>
          </w:tcPr>
          <w:p w14:paraId="1620BB9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0.24*</w:t>
            </w:r>
          </w:p>
        </w:tc>
        <w:tc>
          <w:tcPr>
            <w:tcW w:w="0" w:type="auto"/>
            <w:shd w:val="clear" w:color="auto" w:fill="FFE599" w:themeFill="accent4" w:themeFillTint="66"/>
          </w:tcPr>
          <w:p w14:paraId="00C9F211" w14:textId="77777777" w:rsidR="00B54D51" w:rsidRPr="00037AD4" w:rsidRDefault="00B54D51" w:rsidP="00401C67">
            <w:pPr>
              <w:rPr>
                <w:rFonts w:asciiTheme="minorHAnsi" w:hAnsiTheme="minorHAnsi" w:cstheme="minorHAnsi"/>
              </w:rPr>
            </w:pPr>
          </w:p>
        </w:tc>
        <w:tc>
          <w:tcPr>
            <w:tcW w:w="0" w:type="auto"/>
          </w:tcPr>
          <w:p w14:paraId="5E5837F6" w14:textId="77777777" w:rsidR="00B54D51" w:rsidRPr="00037AD4" w:rsidRDefault="00B54D51" w:rsidP="00401C67">
            <w:pPr>
              <w:rPr>
                <w:rFonts w:asciiTheme="minorHAnsi" w:hAnsiTheme="minorHAnsi" w:cstheme="minorHAnsi"/>
              </w:rPr>
            </w:pPr>
          </w:p>
        </w:tc>
        <w:tc>
          <w:tcPr>
            <w:tcW w:w="0" w:type="auto"/>
            <w:shd w:val="clear" w:color="auto" w:fill="F2F2F2" w:themeFill="background1" w:themeFillShade="F2"/>
          </w:tcPr>
          <w:p w14:paraId="7967C4A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PD </w:t>
            </w:r>
          </w:p>
        </w:tc>
        <w:tc>
          <w:tcPr>
            <w:tcW w:w="0" w:type="auto"/>
          </w:tcPr>
          <w:p w14:paraId="1CEF989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0.20*</w:t>
            </w:r>
          </w:p>
        </w:tc>
        <w:tc>
          <w:tcPr>
            <w:tcW w:w="0" w:type="auto"/>
          </w:tcPr>
          <w:p w14:paraId="2EBD26E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0.14*</w:t>
            </w:r>
          </w:p>
        </w:tc>
        <w:tc>
          <w:tcPr>
            <w:tcW w:w="0" w:type="auto"/>
          </w:tcPr>
          <w:p w14:paraId="298959A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0.25*</w:t>
            </w:r>
          </w:p>
        </w:tc>
        <w:tc>
          <w:tcPr>
            <w:tcW w:w="0" w:type="auto"/>
            <w:shd w:val="clear" w:color="auto" w:fill="FFE599" w:themeFill="accent4" w:themeFillTint="66"/>
          </w:tcPr>
          <w:p w14:paraId="15416CA8" w14:textId="77777777" w:rsidR="00B54D51" w:rsidRPr="00037AD4" w:rsidRDefault="00B54D51" w:rsidP="00401C67">
            <w:pPr>
              <w:rPr>
                <w:rFonts w:asciiTheme="minorHAnsi" w:hAnsiTheme="minorHAnsi" w:cstheme="minorHAnsi"/>
              </w:rPr>
            </w:pPr>
          </w:p>
        </w:tc>
        <w:tc>
          <w:tcPr>
            <w:tcW w:w="0" w:type="auto"/>
          </w:tcPr>
          <w:p w14:paraId="09F22EB8" w14:textId="77777777" w:rsidR="00B54D51" w:rsidRPr="00037AD4" w:rsidRDefault="00B54D51" w:rsidP="00401C67">
            <w:pPr>
              <w:rPr>
                <w:rFonts w:asciiTheme="minorHAnsi" w:hAnsiTheme="minorHAnsi" w:cstheme="minorHAnsi"/>
              </w:rPr>
            </w:pPr>
          </w:p>
        </w:tc>
      </w:tr>
      <w:tr w:rsidR="00B54D51" w:rsidRPr="00037AD4" w14:paraId="6FF86CF1" w14:textId="77777777" w:rsidTr="00401C67">
        <w:trPr>
          <w:trHeight w:val="525"/>
        </w:trPr>
        <w:tc>
          <w:tcPr>
            <w:tcW w:w="0" w:type="auto"/>
            <w:shd w:val="clear" w:color="auto" w:fill="F2F2F2" w:themeFill="background1" w:themeFillShade="F2"/>
          </w:tcPr>
          <w:p w14:paraId="5FCD6C6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AD </w:t>
            </w:r>
          </w:p>
        </w:tc>
        <w:tc>
          <w:tcPr>
            <w:tcW w:w="0" w:type="auto"/>
          </w:tcPr>
          <w:p w14:paraId="66C37B6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0.24*</w:t>
            </w:r>
          </w:p>
        </w:tc>
        <w:tc>
          <w:tcPr>
            <w:tcW w:w="0" w:type="auto"/>
          </w:tcPr>
          <w:p w14:paraId="7462517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0.18*</w:t>
            </w:r>
          </w:p>
        </w:tc>
        <w:tc>
          <w:tcPr>
            <w:tcW w:w="0" w:type="auto"/>
          </w:tcPr>
          <w:p w14:paraId="7ADD539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0.30*</w:t>
            </w:r>
          </w:p>
        </w:tc>
        <w:tc>
          <w:tcPr>
            <w:tcW w:w="0" w:type="auto"/>
          </w:tcPr>
          <w:p w14:paraId="17DDD68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0.23*</w:t>
            </w:r>
          </w:p>
        </w:tc>
        <w:tc>
          <w:tcPr>
            <w:tcW w:w="0" w:type="auto"/>
            <w:shd w:val="clear" w:color="auto" w:fill="FFE599" w:themeFill="accent4" w:themeFillTint="66"/>
          </w:tcPr>
          <w:p w14:paraId="347CA655" w14:textId="77777777" w:rsidR="00B54D51" w:rsidRPr="00037AD4" w:rsidRDefault="00B54D51" w:rsidP="00401C67">
            <w:pPr>
              <w:rPr>
                <w:rFonts w:asciiTheme="minorHAnsi" w:hAnsiTheme="minorHAnsi" w:cstheme="minorHAnsi"/>
              </w:rPr>
            </w:pPr>
          </w:p>
        </w:tc>
        <w:tc>
          <w:tcPr>
            <w:tcW w:w="0" w:type="auto"/>
            <w:shd w:val="clear" w:color="auto" w:fill="F2F2F2" w:themeFill="background1" w:themeFillShade="F2"/>
          </w:tcPr>
          <w:p w14:paraId="2D05CCD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AD </w:t>
            </w:r>
          </w:p>
        </w:tc>
        <w:tc>
          <w:tcPr>
            <w:tcW w:w="0" w:type="auto"/>
          </w:tcPr>
          <w:p w14:paraId="528F41C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0.30*</w:t>
            </w:r>
          </w:p>
        </w:tc>
        <w:tc>
          <w:tcPr>
            <w:tcW w:w="0" w:type="auto"/>
          </w:tcPr>
          <w:p w14:paraId="5CDB063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0.14*</w:t>
            </w:r>
          </w:p>
        </w:tc>
        <w:tc>
          <w:tcPr>
            <w:tcW w:w="0" w:type="auto"/>
          </w:tcPr>
          <w:p w14:paraId="598A828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0.25*</w:t>
            </w:r>
          </w:p>
        </w:tc>
        <w:tc>
          <w:tcPr>
            <w:tcW w:w="0" w:type="auto"/>
          </w:tcPr>
          <w:p w14:paraId="31BDB23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0.29*</w:t>
            </w:r>
          </w:p>
        </w:tc>
        <w:tc>
          <w:tcPr>
            <w:tcW w:w="0" w:type="auto"/>
            <w:shd w:val="clear" w:color="auto" w:fill="FFE599" w:themeFill="accent4" w:themeFillTint="66"/>
          </w:tcPr>
          <w:p w14:paraId="556A7431" w14:textId="77777777" w:rsidR="00B54D51" w:rsidRPr="00037AD4" w:rsidRDefault="00B54D51" w:rsidP="00401C67">
            <w:pPr>
              <w:rPr>
                <w:rFonts w:asciiTheme="minorHAnsi" w:hAnsiTheme="minorHAnsi" w:cstheme="minorHAnsi"/>
              </w:rPr>
            </w:pPr>
          </w:p>
        </w:tc>
      </w:tr>
      <w:tr w:rsidR="00B54D51" w:rsidRPr="00037AD4" w14:paraId="27F082B6" w14:textId="77777777" w:rsidTr="00401C67">
        <w:trPr>
          <w:trHeight w:val="525"/>
        </w:trPr>
        <w:tc>
          <w:tcPr>
            <w:tcW w:w="0" w:type="auto"/>
            <w:gridSpan w:val="12"/>
            <w:shd w:val="clear" w:color="auto" w:fill="auto"/>
          </w:tcPr>
          <w:p w14:paraId="28783E0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 p&lt;0.05; Spearman’s rank correlation </w:t>
            </w:r>
          </w:p>
        </w:tc>
      </w:tr>
    </w:tbl>
    <w:p w14:paraId="50D356BC" w14:textId="77777777" w:rsidR="00B54D51" w:rsidRPr="00037AD4" w:rsidRDefault="00B54D51" w:rsidP="001D7ACE">
      <w:pPr>
        <w:rPr>
          <w:rFonts w:asciiTheme="minorHAnsi" w:hAnsiTheme="minorHAnsi" w:cstheme="minorHAnsi"/>
          <w:u w:val="single"/>
        </w:rPr>
      </w:pPr>
    </w:p>
    <w:p w14:paraId="56B3433C" w14:textId="77777777" w:rsidR="00B54D51" w:rsidRPr="00037AD4" w:rsidRDefault="00B54D51" w:rsidP="001D7ACE">
      <w:pPr>
        <w:rPr>
          <w:rFonts w:asciiTheme="minorHAnsi" w:hAnsiTheme="minorHAnsi" w:cstheme="minorHAnsi"/>
          <w:u w:val="single"/>
        </w:rPr>
      </w:pPr>
    </w:p>
    <w:p w14:paraId="362745F1" w14:textId="77777777" w:rsidR="00B54D51" w:rsidRPr="00037AD4" w:rsidRDefault="00B54D51" w:rsidP="001D7ACE">
      <w:pPr>
        <w:rPr>
          <w:rFonts w:asciiTheme="minorHAnsi" w:hAnsiTheme="minorHAnsi" w:cstheme="minorHAnsi"/>
          <w:u w:val="single"/>
        </w:rPr>
      </w:pPr>
    </w:p>
    <w:p w14:paraId="1BB2ECAB" w14:textId="77777777" w:rsidR="00B54D51" w:rsidRPr="00037AD4" w:rsidRDefault="00B54D51" w:rsidP="001D7ACE">
      <w:pPr>
        <w:rPr>
          <w:rFonts w:asciiTheme="minorHAnsi" w:hAnsiTheme="minorHAnsi" w:cstheme="minorHAnsi"/>
          <w:u w:val="single"/>
        </w:rPr>
      </w:pPr>
    </w:p>
    <w:p w14:paraId="3A2E25DA" w14:textId="77777777" w:rsidR="00B54D51" w:rsidRPr="00037AD4" w:rsidRDefault="00B54D51" w:rsidP="001D7ACE">
      <w:pPr>
        <w:rPr>
          <w:rFonts w:asciiTheme="minorHAnsi" w:hAnsiTheme="minorHAnsi" w:cstheme="minorHAnsi"/>
          <w:u w:val="single"/>
        </w:rPr>
      </w:pPr>
    </w:p>
    <w:p w14:paraId="176EEBD9" w14:textId="77777777" w:rsidR="00B54D51" w:rsidRPr="00037AD4" w:rsidRDefault="00B54D51" w:rsidP="001D7ACE">
      <w:pPr>
        <w:rPr>
          <w:rFonts w:asciiTheme="minorHAnsi" w:hAnsiTheme="minorHAnsi" w:cstheme="minorHAnsi"/>
          <w:u w:val="single"/>
        </w:rPr>
      </w:pPr>
    </w:p>
    <w:p w14:paraId="155A9A88" w14:textId="77777777" w:rsidR="00B54D51" w:rsidRPr="00037AD4" w:rsidRDefault="00B54D51" w:rsidP="001D7ACE">
      <w:pPr>
        <w:rPr>
          <w:rFonts w:asciiTheme="minorHAnsi" w:hAnsiTheme="minorHAnsi" w:cstheme="minorHAnsi"/>
          <w:u w:val="single"/>
        </w:rPr>
      </w:pPr>
    </w:p>
    <w:p w14:paraId="4FE71DCF" w14:textId="77777777" w:rsidR="00B54D51" w:rsidRPr="00037AD4" w:rsidRDefault="00B54D51" w:rsidP="001D7ACE">
      <w:pPr>
        <w:rPr>
          <w:rFonts w:asciiTheme="minorHAnsi" w:hAnsiTheme="minorHAnsi" w:cstheme="minorHAnsi"/>
          <w:u w:val="single"/>
        </w:rPr>
      </w:pPr>
    </w:p>
    <w:p w14:paraId="706F7632" w14:textId="77777777" w:rsidR="00B54D51" w:rsidRPr="00037AD4" w:rsidRDefault="00B54D51" w:rsidP="001D7ACE">
      <w:pPr>
        <w:rPr>
          <w:u w:val="single"/>
        </w:rPr>
      </w:pPr>
    </w:p>
    <w:p w14:paraId="7F1660DC" w14:textId="77777777" w:rsidR="00B54D51" w:rsidRPr="00037AD4" w:rsidRDefault="00B54D51" w:rsidP="001D7ACE">
      <w:pPr>
        <w:rPr>
          <w:rFonts w:asciiTheme="minorHAnsi" w:hAnsiTheme="minorHAnsi" w:cstheme="minorHAnsi"/>
          <w:color w:val="000000" w:themeColor="text1"/>
          <w:u w:val="single"/>
        </w:rPr>
      </w:pPr>
      <w:r w:rsidRPr="00037AD4">
        <w:rPr>
          <w:rFonts w:asciiTheme="minorHAnsi" w:hAnsiTheme="minorHAnsi" w:cstheme="minorHAnsi"/>
          <w:color w:val="000000" w:themeColor="text1"/>
          <w:u w:val="single"/>
        </w:rPr>
        <w:lastRenderedPageBreak/>
        <w:t xml:space="preserve">Table A6.1c, Correlations between independent variables and EQ-5D dimension: EPIC  </w:t>
      </w:r>
    </w:p>
    <w:p w14:paraId="188ECC23" w14:textId="77777777" w:rsidR="00B54D51" w:rsidRPr="00037AD4" w:rsidRDefault="00B54D51" w:rsidP="001D7ACE">
      <w:pPr>
        <w:rPr>
          <w:rFonts w:asciiTheme="minorHAnsi" w:hAnsiTheme="minorHAnsi" w:cstheme="minorHAnsi"/>
          <w:u w:val="single"/>
        </w:rPr>
      </w:pPr>
    </w:p>
    <w:tbl>
      <w:tblPr>
        <w:tblStyle w:val="TableGrid"/>
        <w:tblW w:w="12714" w:type="dxa"/>
        <w:tblLook w:val="04A0" w:firstRow="1" w:lastRow="0" w:firstColumn="1" w:lastColumn="0" w:noHBand="0" w:noVBand="1"/>
      </w:tblPr>
      <w:tblGrid>
        <w:gridCol w:w="902"/>
        <w:gridCol w:w="1316"/>
        <w:gridCol w:w="954"/>
        <w:gridCol w:w="954"/>
        <w:gridCol w:w="954"/>
        <w:gridCol w:w="954"/>
        <w:gridCol w:w="1044"/>
        <w:gridCol w:w="954"/>
        <w:gridCol w:w="1044"/>
        <w:gridCol w:w="1044"/>
        <w:gridCol w:w="1316"/>
        <w:gridCol w:w="1278"/>
      </w:tblGrid>
      <w:tr w:rsidR="00B54D51" w:rsidRPr="00037AD4" w14:paraId="18AD55FD" w14:textId="77777777" w:rsidTr="00401C67">
        <w:trPr>
          <w:gridAfter w:val="5"/>
          <w:trHeight w:val="893"/>
        </w:trPr>
        <w:tc>
          <w:tcPr>
            <w:tcW w:w="0" w:type="auto"/>
            <w:tcBorders>
              <w:top w:val="nil"/>
              <w:left w:val="nil"/>
              <w:right w:val="nil"/>
            </w:tcBorders>
          </w:tcPr>
          <w:p w14:paraId="393A2A11" w14:textId="77777777" w:rsidR="00B54D51" w:rsidRPr="00037AD4" w:rsidRDefault="00B54D51" w:rsidP="00401C67">
            <w:pPr>
              <w:rPr>
                <w:rFonts w:asciiTheme="minorHAnsi" w:hAnsiTheme="minorHAnsi" w:cstheme="minorHAnsi"/>
                <w:sz w:val="21"/>
                <w:szCs w:val="21"/>
              </w:rPr>
            </w:pPr>
          </w:p>
        </w:tc>
        <w:tc>
          <w:tcPr>
            <w:tcW w:w="0" w:type="auto"/>
            <w:tcBorders>
              <w:top w:val="nil"/>
              <w:left w:val="nil"/>
            </w:tcBorders>
          </w:tcPr>
          <w:p w14:paraId="076C8F5E" w14:textId="77777777" w:rsidR="00B54D51" w:rsidRPr="00037AD4" w:rsidRDefault="00B54D51" w:rsidP="00401C67">
            <w:pPr>
              <w:rPr>
                <w:rFonts w:asciiTheme="minorHAnsi" w:hAnsiTheme="minorHAnsi" w:cstheme="minorHAnsi"/>
                <w:sz w:val="21"/>
                <w:szCs w:val="21"/>
              </w:rPr>
            </w:pPr>
          </w:p>
        </w:tc>
        <w:tc>
          <w:tcPr>
            <w:tcW w:w="0" w:type="auto"/>
            <w:gridSpan w:val="5"/>
          </w:tcPr>
          <w:p w14:paraId="6AC4BDAC" w14:textId="77777777" w:rsidR="00B54D51" w:rsidRPr="00037AD4" w:rsidRDefault="00B54D51" w:rsidP="00401C67">
            <w:pPr>
              <w:jc w:val="center"/>
              <w:rPr>
                <w:rFonts w:asciiTheme="minorHAnsi" w:hAnsiTheme="minorHAnsi" w:cstheme="minorHAnsi"/>
                <w:sz w:val="21"/>
                <w:szCs w:val="21"/>
              </w:rPr>
            </w:pPr>
            <w:r w:rsidRPr="00037AD4">
              <w:rPr>
                <w:rFonts w:asciiTheme="minorHAnsi" w:hAnsiTheme="minorHAnsi" w:cstheme="minorHAnsi"/>
                <w:sz w:val="21"/>
                <w:szCs w:val="21"/>
              </w:rPr>
              <w:t>SR</w:t>
            </w:r>
          </w:p>
        </w:tc>
      </w:tr>
      <w:tr w:rsidR="00B54D51" w:rsidRPr="00037AD4" w14:paraId="4D5B98BD" w14:textId="77777777" w:rsidTr="00401C67">
        <w:trPr>
          <w:trHeight w:val="893"/>
        </w:trPr>
        <w:tc>
          <w:tcPr>
            <w:tcW w:w="0" w:type="auto"/>
          </w:tcPr>
          <w:p w14:paraId="4CC890F8" w14:textId="77777777" w:rsidR="00B54D51" w:rsidRPr="00037AD4" w:rsidRDefault="00B54D51" w:rsidP="00401C67">
            <w:pPr>
              <w:rPr>
                <w:rFonts w:asciiTheme="minorHAnsi" w:hAnsiTheme="minorHAnsi" w:cstheme="minorHAnsi"/>
                <w:sz w:val="21"/>
                <w:szCs w:val="21"/>
              </w:rPr>
            </w:pPr>
          </w:p>
        </w:tc>
        <w:tc>
          <w:tcPr>
            <w:tcW w:w="0" w:type="auto"/>
          </w:tcPr>
          <w:p w14:paraId="456E4D90" w14:textId="77777777" w:rsidR="00B54D51" w:rsidRPr="00037AD4" w:rsidRDefault="00B54D51" w:rsidP="00401C67">
            <w:pPr>
              <w:rPr>
                <w:rFonts w:asciiTheme="minorHAnsi" w:hAnsiTheme="minorHAnsi" w:cstheme="minorHAnsi"/>
                <w:sz w:val="21"/>
                <w:szCs w:val="21"/>
              </w:rPr>
            </w:pPr>
          </w:p>
        </w:tc>
        <w:tc>
          <w:tcPr>
            <w:tcW w:w="0" w:type="auto"/>
          </w:tcPr>
          <w:p w14:paraId="33A2747D"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M</w:t>
            </w:r>
          </w:p>
        </w:tc>
        <w:tc>
          <w:tcPr>
            <w:tcW w:w="0" w:type="auto"/>
          </w:tcPr>
          <w:p w14:paraId="7A5BBDD1"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SC</w:t>
            </w:r>
          </w:p>
        </w:tc>
        <w:tc>
          <w:tcPr>
            <w:tcW w:w="0" w:type="auto"/>
          </w:tcPr>
          <w:p w14:paraId="2C8DF609"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UA</w:t>
            </w:r>
          </w:p>
        </w:tc>
        <w:tc>
          <w:tcPr>
            <w:tcW w:w="0" w:type="auto"/>
          </w:tcPr>
          <w:p w14:paraId="5D247B87"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PD</w:t>
            </w:r>
          </w:p>
        </w:tc>
        <w:tc>
          <w:tcPr>
            <w:tcW w:w="0" w:type="auto"/>
          </w:tcPr>
          <w:p w14:paraId="5BA3D617"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AD</w:t>
            </w:r>
          </w:p>
        </w:tc>
        <w:tc>
          <w:tcPr>
            <w:tcW w:w="0" w:type="auto"/>
          </w:tcPr>
          <w:p w14:paraId="37590759"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CDR</w:t>
            </w:r>
          </w:p>
        </w:tc>
        <w:tc>
          <w:tcPr>
            <w:tcW w:w="0" w:type="auto"/>
          </w:tcPr>
          <w:p w14:paraId="6D7BB6BF"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 xml:space="preserve">NPI </w:t>
            </w:r>
          </w:p>
        </w:tc>
        <w:tc>
          <w:tcPr>
            <w:tcW w:w="0" w:type="auto"/>
          </w:tcPr>
          <w:p w14:paraId="3E1EC049"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FAST</w:t>
            </w:r>
          </w:p>
        </w:tc>
        <w:tc>
          <w:tcPr>
            <w:tcW w:w="0" w:type="auto"/>
          </w:tcPr>
          <w:p w14:paraId="3CC396F2"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PwD age</w:t>
            </w:r>
          </w:p>
        </w:tc>
        <w:tc>
          <w:tcPr>
            <w:tcW w:w="0" w:type="auto"/>
          </w:tcPr>
          <w:p w14:paraId="3682A75E"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PwD sex</w:t>
            </w:r>
          </w:p>
        </w:tc>
      </w:tr>
      <w:tr w:rsidR="00B54D51" w:rsidRPr="00037AD4" w14:paraId="3514E3DA" w14:textId="77777777" w:rsidTr="00401C67">
        <w:trPr>
          <w:trHeight w:val="417"/>
        </w:trPr>
        <w:tc>
          <w:tcPr>
            <w:tcW w:w="0" w:type="auto"/>
            <w:vMerge w:val="restart"/>
          </w:tcPr>
          <w:p w14:paraId="4DFF7176"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Proxy</w:t>
            </w:r>
          </w:p>
        </w:tc>
        <w:tc>
          <w:tcPr>
            <w:tcW w:w="0" w:type="auto"/>
          </w:tcPr>
          <w:p w14:paraId="5BB09DCC"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M</w:t>
            </w:r>
          </w:p>
        </w:tc>
        <w:tc>
          <w:tcPr>
            <w:tcW w:w="0" w:type="auto"/>
            <w:shd w:val="clear" w:color="auto" w:fill="FFE599" w:themeFill="accent4" w:themeFillTint="66"/>
          </w:tcPr>
          <w:p w14:paraId="21A28476"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0.34*</w:t>
            </w:r>
          </w:p>
        </w:tc>
        <w:tc>
          <w:tcPr>
            <w:tcW w:w="0" w:type="auto"/>
          </w:tcPr>
          <w:p w14:paraId="72C0652D"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0.22*</w:t>
            </w:r>
          </w:p>
        </w:tc>
        <w:tc>
          <w:tcPr>
            <w:tcW w:w="0" w:type="auto"/>
          </w:tcPr>
          <w:p w14:paraId="59F66608"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0.11*</w:t>
            </w:r>
          </w:p>
        </w:tc>
        <w:tc>
          <w:tcPr>
            <w:tcW w:w="0" w:type="auto"/>
          </w:tcPr>
          <w:p w14:paraId="5CB53651"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0.12*</w:t>
            </w:r>
          </w:p>
        </w:tc>
        <w:tc>
          <w:tcPr>
            <w:tcW w:w="0" w:type="auto"/>
          </w:tcPr>
          <w:p w14:paraId="2EF1B378"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0.05</w:t>
            </w:r>
          </w:p>
        </w:tc>
        <w:tc>
          <w:tcPr>
            <w:tcW w:w="0" w:type="auto"/>
          </w:tcPr>
          <w:p w14:paraId="097EC79B"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0.20*</w:t>
            </w:r>
          </w:p>
        </w:tc>
        <w:tc>
          <w:tcPr>
            <w:tcW w:w="0" w:type="auto"/>
          </w:tcPr>
          <w:p w14:paraId="5FBC43F2"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-0.05</w:t>
            </w:r>
          </w:p>
        </w:tc>
        <w:tc>
          <w:tcPr>
            <w:tcW w:w="0" w:type="auto"/>
          </w:tcPr>
          <w:p w14:paraId="5487956C"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0.27*</w:t>
            </w:r>
          </w:p>
        </w:tc>
        <w:tc>
          <w:tcPr>
            <w:tcW w:w="0" w:type="auto"/>
          </w:tcPr>
          <w:p w14:paraId="707C2965"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0.11*</w:t>
            </w:r>
          </w:p>
        </w:tc>
        <w:tc>
          <w:tcPr>
            <w:tcW w:w="0" w:type="auto"/>
          </w:tcPr>
          <w:p w14:paraId="664D0DBC"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0.01</w:t>
            </w:r>
          </w:p>
        </w:tc>
      </w:tr>
      <w:tr w:rsidR="00B54D51" w:rsidRPr="00037AD4" w14:paraId="79506F5A" w14:textId="77777777" w:rsidTr="00401C67">
        <w:trPr>
          <w:trHeight w:val="446"/>
        </w:trPr>
        <w:tc>
          <w:tcPr>
            <w:tcW w:w="0" w:type="auto"/>
            <w:vMerge/>
          </w:tcPr>
          <w:p w14:paraId="7D75F403" w14:textId="77777777" w:rsidR="00B54D51" w:rsidRPr="00037AD4" w:rsidRDefault="00B54D51" w:rsidP="00401C67">
            <w:pPr>
              <w:rPr>
                <w:rFonts w:asciiTheme="minorHAnsi" w:hAnsiTheme="minorHAnsi" w:cstheme="minorHAnsi"/>
                <w:sz w:val="21"/>
                <w:szCs w:val="21"/>
              </w:rPr>
            </w:pPr>
          </w:p>
        </w:tc>
        <w:tc>
          <w:tcPr>
            <w:tcW w:w="0" w:type="auto"/>
          </w:tcPr>
          <w:p w14:paraId="311F24C8"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SC</w:t>
            </w:r>
          </w:p>
        </w:tc>
        <w:tc>
          <w:tcPr>
            <w:tcW w:w="0" w:type="auto"/>
          </w:tcPr>
          <w:p w14:paraId="12D2D2B8"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0.08*</w:t>
            </w:r>
          </w:p>
        </w:tc>
        <w:tc>
          <w:tcPr>
            <w:tcW w:w="0" w:type="auto"/>
            <w:shd w:val="clear" w:color="auto" w:fill="FFE599" w:themeFill="accent4" w:themeFillTint="66"/>
          </w:tcPr>
          <w:p w14:paraId="3CEA89F3"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0.11*</w:t>
            </w:r>
          </w:p>
        </w:tc>
        <w:tc>
          <w:tcPr>
            <w:tcW w:w="0" w:type="auto"/>
          </w:tcPr>
          <w:p w14:paraId="0CBB1675"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0.05</w:t>
            </w:r>
          </w:p>
        </w:tc>
        <w:tc>
          <w:tcPr>
            <w:tcW w:w="0" w:type="auto"/>
          </w:tcPr>
          <w:p w14:paraId="00593E8E"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0.05</w:t>
            </w:r>
          </w:p>
        </w:tc>
        <w:tc>
          <w:tcPr>
            <w:tcW w:w="0" w:type="auto"/>
          </w:tcPr>
          <w:p w14:paraId="7AC17BF7"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-0.10*</w:t>
            </w:r>
          </w:p>
        </w:tc>
        <w:tc>
          <w:tcPr>
            <w:tcW w:w="0" w:type="auto"/>
          </w:tcPr>
          <w:p w14:paraId="6BBD9D47"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0.45*</w:t>
            </w:r>
          </w:p>
        </w:tc>
        <w:tc>
          <w:tcPr>
            <w:tcW w:w="0" w:type="auto"/>
          </w:tcPr>
          <w:p w14:paraId="6447A041"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0.12*</w:t>
            </w:r>
          </w:p>
        </w:tc>
        <w:tc>
          <w:tcPr>
            <w:tcW w:w="0" w:type="auto"/>
          </w:tcPr>
          <w:p w14:paraId="2ADBDA5F"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0.44*</w:t>
            </w:r>
          </w:p>
        </w:tc>
        <w:tc>
          <w:tcPr>
            <w:tcW w:w="0" w:type="auto"/>
          </w:tcPr>
          <w:p w14:paraId="4F55328C"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0.01</w:t>
            </w:r>
          </w:p>
        </w:tc>
        <w:tc>
          <w:tcPr>
            <w:tcW w:w="0" w:type="auto"/>
          </w:tcPr>
          <w:p w14:paraId="1280FC01"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-0.02</w:t>
            </w:r>
          </w:p>
        </w:tc>
      </w:tr>
      <w:tr w:rsidR="00B54D51" w:rsidRPr="00037AD4" w14:paraId="1AEBE4C8" w14:textId="77777777" w:rsidTr="00401C67">
        <w:trPr>
          <w:trHeight w:val="446"/>
        </w:trPr>
        <w:tc>
          <w:tcPr>
            <w:tcW w:w="0" w:type="auto"/>
            <w:vMerge/>
          </w:tcPr>
          <w:p w14:paraId="1DCCCA5B" w14:textId="77777777" w:rsidR="00B54D51" w:rsidRPr="00037AD4" w:rsidRDefault="00B54D51" w:rsidP="00401C67">
            <w:pPr>
              <w:rPr>
                <w:rFonts w:asciiTheme="minorHAnsi" w:hAnsiTheme="minorHAnsi" w:cstheme="minorHAnsi"/>
                <w:sz w:val="21"/>
                <w:szCs w:val="21"/>
              </w:rPr>
            </w:pPr>
          </w:p>
        </w:tc>
        <w:tc>
          <w:tcPr>
            <w:tcW w:w="0" w:type="auto"/>
          </w:tcPr>
          <w:p w14:paraId="547BC5DF"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UA</w:t>
            </w:r>
          </w:p>
        </w:tc>
        <w:tc>
          <w:tcPr>
            <w:tcW w:w="0" w:type="auto"/>
          </w:tcPr>
          <w:p w14:paraId="2B62DA6C"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0.16*</w:t>
            </w:r>
          </w:p>
        </w:tc>
        <w:tc>
          <w:tcPr>
            <w:tcW w:w="0" w:type="auto"/>
          </w:tcPr>
          <w:p w14:paraId="0A6235FB"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0.16*</w:t>
            </w:r>
          </w:p>
        </w:tc>
        <w:tc>
          <w:tcPr>
            <w:tcW w:w="0" w:type="auto"/>
            <w:shd w:val="clear" w:color="auto" w:fill="FFE599" w:themeFill="accent4" w:themeFillTint="66"/>
          </w:tcPr>
          <w:p w14:paraId="74BDA25E"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0.20*</w:t>
            </w:r>
          </w:p>
        </w:tc>
        <w:tc>
          <w:tcPr>
            <w:tcW w:w="0" w:type="auto"/>
          </w:tcPr>
          <w:p w14:paraId="2A0AD53A"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0.11*</w:t>
            </w:r>
          </w:p>
        </w:tc>
        <w:tc>
          <w:tcPr>
            <w:tcW w:w="0" w:type="auto"/>
          </w:tcPr>
          <w:p w14:paraId="7CA2ED41"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0.09*</w:t>
            </w:r>
          </w:p>
        </w:tc>
        <w:tc>
          <w:tcPr>
            <w:tcW w:w="0" w:type="auto"/>
          </w:tcPr>
          <w:p w14:paraId="1174D8FE"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0.19*</w:t>
            </w:r>
          </w:p>
        </w:tc>
        <w:tc>
          <w:tcPr>
            <w:tcW w:w="0" w:type="auto"/>
          </w:tcPr>
          <w:p w14:paraId="4AB53DD9"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0.16*</w:t>
            </w:r>
          </w:p>
        </w:tc>
        <w:tc>
          <w:tcPr>
            <w:tcW w:w="0" w:type="auto"/>
          </w:tcPr>
          <w:p w14:paraId="261282CD"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0.19*</w:t>
            </w:r>
          </w:p>
        </w:tc>
        <w:tc>
          <w:tcPr>
            <w:tcW w:w="0" w:type="auto"/>
          </w:tcPr>
          <w:p w14:paraId="2F30CB90"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-0.04</w:t>
            </w:r>
          </w:p>
        </w:tc>
        <w:tc>
          <w:tcPr>
            <w:tcW w:w="0" w:type="auto"/>
          </w:tcPr>
          <w:p w14:paraId="7DFE2C06"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0.03</w:t>
            </w:r>
          </w:p>
        </w:tc>
      </w:tr>
      <w:tr w:rsidR="00B54D51" w:rsidRPr="00037AD4" w14:paraId="2261FACC" w14:textId="77777777" w:rsidTr="00401C67">
        <w:trPr>
          <w:trHeight w:val="417"/>
        </w:trPr>
        <w:tc>
          <w:tcPr>
            <w:tcW w:w="0" w:type="auto"/>
            <w:vMerge/>
          </w:tcPr>
          <w:p w14:paraId="66B49735" w14:textId="77777777" w:rsidR="00B54D51" w:rsidRPr="00037AD4" w:rsidRDefault="00B54D51" w:rsidP="00401C67">
            <w:pPr>
              <w:rPr>
                <w:rFonts w:asciiTheme="minorHAnsi" w:hAnsiTheme="minorHAnsi" w:cstheme="minorHAnsi"/>
                <w:sz w:val="21"/>
                <w:szCs w:val="21"/>
              </w:rPr>
            </w:pPr>
          </w:p>
        </w:tc>
        <w:tc>
          <w:tcPr>
            <w:tcW w:w="0" w:type="auto"/>
          </w:tcPr>
          <w:p w14:paraId="3919C231"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 xml:space="preserve">PD </w:t>
            </w:r>
          </w:p>
        </w:tc>
        <w:tc>
          <w:tcPr>
            <w:tcW w:w="0" w:type="auto"/>
          </w:tcPr>
          <w:p w14:paraId="2C3BA7E5"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0.02</w:t>
            </w:r>
          </w:p>
        </w:tc>
        <w:tc>
          <w:tcPr>
            <w:tcW w:w="0" w:type="auto"/>
          </w:tcPr>
          <w:p w14:paraId="07A4CAB8"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-0.01</w:t>
            </w:r>
          </w:p>
        </w:tc>
        <w:tc>
          <w:tcPr>
            <w:tcW w:w="0" w:type="auto"/>
          </w:tcPr>
          <w:p w14:paraId="5801B61B"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0.05</w:t>
            </w:r>
          </w:p>
        </w:tc>
        <w:tc>
          <w:tcPr>
            <w:tcW w:w="0" w:type="auto"/>
            <w:shd w:val="clear" w:color="auto" w:fill="FFE599" w:themeFill="accent4" w:themeFillTint="66"/>
          </w:tcPr>
          <w:p w14:paraId="54B40BAA"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0.22*</w:t>
            </w:r>
          </w:p>
        </w:tc>
        <w:tc>
          <w:tcPr>
            <w:tcW w:w="0" w:type="auto"/>
          </w:tcPr>
          <w:p w14:paraId="1A305B24"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0.09*</w:t>
            </w:r>
          </w:p>
        </w:tc>
        <w:tc>
          <w:tcPr>
            <w:tcW w:w="0" w:type="auto"/>
          </w:tcPr>
          <w:p w14:paraId="4C253A83"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-0.02</w:t>
            </w:r>
          </w:p>
        </w:tc>
        <w:tc>
          <w:tcPr>
            <w:tcW w:w="0" w:type="auto"/>
          </w:tcPr>
          <w:p w14:paraId="4B42838A"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0.14*</w:t>
            </w:r>
          </w:p>
        </w:tc>
        <w:tc>
          <w:tcPr>
            <w:tcW w:w="0" w:type="auto"/>
          </w:tcPr>
          <w:p w14:paraId="51BD17B4"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-0.02</w:t>
            </w:r>
          </w:p>
        </w:tc>
        <w:tc>
          <w:tcPr>
            <w:tcW w:w="0" w:type="auto"/>
          </w:tcPr>
          <w:p w14:paraId="5E4334AC"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0.05</w:t>
            </w:r>
          </w:p>
        </w:tc>
        <w:tc>
          <w:tcPr>
            <w:tcW w:w="0" w:type="auto"/>
          </w:tcPr>
          <w:p w14:paraId="534893FC"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0.01</w:t>
            </w:r>
          </w:p>
        </w:tc>
      </w:tr>
      <w:tr w:rsidR="00B54D51" w:rsidRPr="00037AD4" w14:paraId="54041EE8" w14:textId="77777777" w:rsidTr="00401C67">
        <w:trPr>
          <w:trHeight w:val="446"/>
        </w:trPr>
        <w:tc>
          <w:tcPr>
            <w:tcW w:w="0" w:type="auto"/>
            <w:vMerge/>
            <w:tcBorders>
              <w:bottom w:val="single" w:sz="4" w:space="0" w:color="auto"/>
            </w:tcBorders>
          </w:tcPr>
          <w:p w14:paraId="23DF2C31" w14:textId="77777777" w:rsidR="00B54D51" w:rsidRPr="00037AD4" w:rsidRDefault="00B54D51" w:rsidP="00401C67">
            <w:pPr>
              <w:rPr>
                <w:rFonts w:asciiTheme="minorHAnsi" w:hAnsiTheme="minorHAnsi" w:cstheme="minorHAnsi"/>
                <w:sz w:val="21"/>
                <w:szCs w:val="21"/>
              </w:rPr>
            </w:pPr>
          </w:p>
        </w:tc>
        <w:tc>
          <w:tcPr>
            <w:tcW w:w="0" w:type="auto"/>
          </w:tcPr>
          <w:p w14:paraId="43AF2399"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 xml:space="preserve">AD </w:t>
            </w:r>
          </w:p>
        </w:tc>
        <w:tc>
          <w:tcPr>
            <w:tcW w:w="0" w:type="auto"/>
          </w:tcPr>
          <w:p w14:paraId="30F58F95"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0.00</w:t>
            </w:r>
          </w:p>
        </w:tc>
        <w:tc>
          <w:tcPr>
            <w:tcW w:w="0" w:type="auto"/>
          </w:tcPr>
          <w:p w14:paraId="5792094A"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0.02</w:t>
            </w:r>
          </w:p>
        </w:tc>
        <w:tc>
          <w:tcPr>
            <w:tcW w:w="0" w:type="auto"/>
          </w:tcPr>
          <w:p w14:paraId="187B44A3"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0.09*</w:t>
            </w:r>
          </w:p>
        </w:tc>
        <w:tc>
          <w:tcPr>
            <w:tcW w:w="0" w:type="auto"/>
          </w:tcPr>
          <w:p w14:paraId="4C04D225"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0.15</w:t>
            </w:r>
          </w:p>
        </w:tc>
        <w:tc>
          <w:tcPr>
            <w:tcW w:w="0" w:type="auto"/>
            <w:shd w:val="clear" w:color="auto" w:fill="FFE599" w:themeFill="accent4" w:themeFillTint="66"/>
          </w:tcPr>
          <w:p w14:paraId="6FFEA05E"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0.19*</w:t>
            </w:r>
          </w:p>
        </w:tc>
        <w:tc>
          <w:tcPr>
            <w:tcW w:w="0" w:type="auto"/>
          </w:tcPr>
          <w:p w14:paraId="165B2891"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0.05</w:t>
            </w:r>
          </w:p>
        </w:tc>
        <w:tc>
          <w:tcPr>
            <w:tcW w:w="0" w:type="auto"/>
          </w:tcPr>
          <w:p w14:paraId="4230043D"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0.39*</w:t>
            </w:r>
          </w:p>
        </w:tc>
        <w:tc>
          <w:tcPr>
            <w:tcW w:w="0" w:type="auto"/>
          </w:tcPr>
          <w:p w14:paraId="471F6F87"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0.01</w:t>
            </w:r>
          </w:p>
        </w:tc>
        <w:tc>
          <w:tcPr>
            <w:tcW w:w="0" w:type="auto"/>
          </w:tcPr>
          <w:p w14:paraId="1C065FF1"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-0.06</w:t>
            </w:r>
          </w:p>
        </w:tc>
        <w:tc>
          <w:tcPr>
            <w:tcW w:w="0" w:type="auto"/>
          </w:tcPr>
          <w:p w14:paraId="3B9B687C"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-0.01</w:t>
            </w:r>
          </w:p>
        </w:tc>
      </w:tr>
      <w:tr w:rsidR="00B54D51" w:rsidRPr="00037AD4" w14:paraId="14DC2571" w14:textId="77777777" w:rsidTr="00401C67">
        <w:trPr>
          <w:trHeight w:val="417"/>
        </w:trPr>
        <w:tc>
          <w:tcPr>
            <w:tcW w:w="0" w:type="auto"/>
            <w:vMerge w:val="restart"/>
            <w:tcBorders>
              <w:left w:val="nil"/>
              <w:bottom w:val="nil"/>
            </w:tcBorders>
          </w:tcPr>
          <w:p w14:paraId="3D229D85" w14:textId="77777777" w:rsidR="00B54D51" w:rsidRPr="00037AD4" w:rsidRDefault="00B54D51" w:rsidP="00401C67">
            <w:pPr>
              <w:rPr>
                <w:rFonts w:asciiTheme="minorHAnsi" w:hAnsiTheme="minorHAnsi" w:cstheme="minorHAnsi"/>
                <w:sz w:val="21"/>
                <w:szCs w:val="21"/>
              </w:rPr>
            </w:pPr>
          </w:p>
        </w:tc>
        <w:tc>
          <w:tcPr>
            <w:tcW w:w="0" w:type="auto"/>
          </w:tcPr>
          <w:p w14:paraId="7401DF17"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 xml:space="preserve">CDR </w:t>
            </w:r>
          </w:p>
        </w:tc>
        <w:tc>
          <w:tcPr>
            <w:tcW w:w="0" w:type="auto"/>
          </w:tcPr>
          <w:p w14:paraId="06D86527"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-0.04</w:t>
            </w:r>
          </w:p>
        </w:tc>
        <w:tc>
          <w:tcPr>
            <w:tcW w:w="0" w:type="auto"/>
          </w:tcPr>
          <w:p w14:paraId="36AD3CF2"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0.04</w:t>
            </w:r>
          </w:p>
        </w:tc>
        <w:tc>
          <w:tcPr>
            <w:tcW w:w="0" w:type="auto"/>
          </w:tcPr>
          <w:p w14:paraId="2F07D719"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0.15</w:t>
            </w:r>
          </w:p>
        </w:tc>
        <w:tc>
          <w:tcPr>
            <w:tcW w:w="0" w:type="auto"/>
          </w:tcPr>
          <w:p w14:paraId="5AD3A2FC"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-0.02</w:t>
            </w:r>
          </w:p>
        </w:tc>
        <w:tc>
          <w:tcPr>
            <w:tcW w:w="0" w:type="auto"/>
          </w:tcPr>
          <w:p w14:paraId="042093A3"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-0.06</w:t>
            </w:r>
          </w:p>
        </w:tc>
        <w:tc>
          <w:tcPr>
            <w:tcW w:w="0" w:type="auto"/>
            <w:shd w:val="clear" w:color="auto" w:fill="E7E6E6" w:themeFill="background2"/>
          </w:tcPr>
          <w:p w14:paraId="70CC91E1" w14:textId="77777777" w:rsidR="00B54D51" w:rsidRPr="00037AD4" w:rsidRDefault="00B54D51" w:rsidP="00401C67">
            <w:pPr>
              <w:rPr>
                <w:rFonts w:asciiTheme="minorHAnsi" w:hAnsiTheme="minorHAnsi" w:cstheme="minorHAnsi"/>
                <w:sz w:val="21"/>
                <w:szCs w:val="21"/>
              </w:rPr>
            </w:pPr>
          </w:p>
        </w:tc>
        <w:tc>
          <w:tcPr>
            <w:tcW w:w="0" w:type="auto"/>
            <w:shd w:val="clear" w:color="auto" w:fill="E7E6E6" w:themeFill="background2"/>
          </w:tcPr>
          <w:p w14:paraId="73055162" w14:textId="77777777" w:rsidR="00B54D51" w:rsidRPr="00037AD4" w:rsidRDefault="00B54D51" w:rsidP="00401C67">
            <w:pPr>
              <w:rPr>
                <w:rFonts w:asciiTheme="minorHAnsi" w:hAnsiTheme="minorHAnsi" w:cstheme="minorHAnsi"/>
                <w:sz w:val="21"/>
                <w:szCs w:val="21"/>
              </w:rPr>
            </w:pPr>
          </w:p>
        </w:tc>
        <w:tc>
          <w:tcPr>
            <w:tcW w:w="0" w:type="auto"/>
            <w:shd w:val="clear" w:color="auto" w:fill="E7E6E6" w:themeFill="background2"/>
          </w:tcPr>
          <w:p w14:paraId="2E100521" w14:textId="77777777" w:rsidR="00B54D51" w:rsidRPr="00037AD4" w:rsidRDefault="00B54D51" w:rsidP="00401C67">
            <w:pPr>
              <w:rPr>
                <w:rFonts w:asciiTheme="minorHAnsi" w:hAnsiTheme="minorHAnsi" w:cstheme="minorHAnsi"/>
                <w:sz w:val="21"/>
                <w:szCs w:val="21"/>
              </w:rPr>
            </w:pPr>
          </w:p>
        </w:tc>
        <w:tc>
          <w:tcPr>
            <w:tcW w:w="0" w:type="auto"/>
            <w:shd w:val="clear" w:color="auto" w:fill="E7E6E6" w:themeFill="background2"/>
          </w:tcPr>
          <w:p w14:paraId="37A18573" w14:textId="77777777" w:rsidR="00B54D51" w:rsidRPr="00037AD4" w:rsidRDefault="00B54D51" w:rsidP="00401C67">
            <w:pPr>
              <w:rPr>
                <w:rFonts w:asciiTheme="minorHAnsi" w:hAnsiTheme="minorHAnsi" w:cstheme="minorHAnsi"/>
                <w:sz w:val="21"/>
                <w:szCs w:val="21"/>
              </w:rPr>
            </w:pPr>
          </w:p>
        </w:tc>
        <w:tc>
          <w:tcPr>
            <w:tcW w:w="0" w:type="auto"/>
            <w:shd w:val="clear" w:color="auto" w:fill="E7E6E6" w:themeFill="background2"/>
          </w:tcPr>
          <w:p w14:paraId="4A896B09" w14:textId="77777777" w:rsidR="00B54D51" w:rsidRPr="00037AD4" w:rsidRDefault="00B54D51" w:rsidP="00401C67">
            <w:pPr>
              <w:rPr>
                <w:rFonts w:asciiTheme="minorHAnsi" w:hAnsiTheme="minorHAnsi" w:cstheme="minorHAnsi"/>
                <w:sz w:val="21"/>
                <w:szCs w:val="21"/>
              </w:rPr>
            </w:pPr>
          </w:p>
        </w:tc>
      </w:tr>
      <w:tr w:rsidR="00B54D51" w:rsidRPr="00037AD4" w14:paraId="43BF22C5" w14:textId="77777777" w:rsidTr="00401C67">
        <w:trPr>
          <w:trHeight w:val="446"/>
        </w:trPr>
        <w:tc>
          <w:tcPr>
            <w:tcW w:w="0" w:type="auto"/>
            <w:vMerge/>
            <w:tcBorders>
              <w:left w:val="nil"/>
              <w:bottom w:val="nil"/>
            </w:tcBorders>
          </w:tcPr>
          <w:p w14:paraId="5C952C7A" w14:textId="77777777" w:rsidR="00B54D51" w:rsidRPr="00037AD4" w:rsidRDefault="00B54D51" w:rsidP="00401C67">
            <w:pPr>
              <w:rPr>
                <w:rFonts w:asciiTheme="minorHAnsi" w:hAnsiTheme="minorHAnsi" w:cstheme="minorHAnsi"/>
                <w:sz w:val="21"/>
                <w:szCs w:val="21"/>
              </w:rPr>
            </w:pPr>
          </w:p>
        </w:tc>
        <w:tc>
          <w:tcPr>
            <w:tcW w:w="0" w:type="auto"/>
          </w:tcPr>
          <w:p w14:paraId="61D828A6"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 xml:space="preserve">NPI </w:t>
            </w:r>
          </w:p>
        </w:tc>
        <w:tc>
          <w:tcPr>
            <w:tcW w:w="0" w:type="auto"/>
          </w:tcPr>
          <w:p w14:paraId="3C9C4A76"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-0.05</w:t>
            </w:r>
          </w:p>
        </w:tc>
        <w:tc>
          <w:tcPr>
            <w:tcW w:w="0" w:type="auto"/>
          </w:tcPr>
          <w:p w14:paraId="52E168C2"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0.03</w:t>
            </w:r>
          </w:p>
        </w:tc>
        <w:tc>
          <w:tcPr>
            <w:tcW w:w="0" w:type="auto"/>
          </w:tcPr>
          <w:p w14:paraId="2C7CB6CA"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-0.00</w:t>
            </w:r>
          </w:p>
        </w:tc>
        <w:tc>
          <w:tcPr>
            <w:tcW w:w="0" w:type="auto"/>
          </w:tcPr>
          <w:p w14:paraId="477D34D4"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0.04</w:t>
            </w:r>
          </w:p>
        </w:tc>
        <w:tc>
          <w:tcPr>
            <w:tcW w:w="0" w:type="auto"/>
          </w:tcPr>
          <w:p w14:paraId="296093DD"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0.13*</w:t>
            </w:r>
          </w:p>
        </w:tc>
        <w:tc>
          <w:tcPr>
            <w:tcW w:w="0" w:type="auto"/>
            <w:shd w:val="clear" w:color="auto" w:fill="auto"/>
          </w:tcPr>
          <w:p w14:paraId="79155FDF"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0.23*</w:t>
            </w:r>
          </w:p>
        </w:tc>
        <w:tc>
          <w:tcPr>
            <w:tcW w:w="0" w:type="auto"/>
            <w:shd w:val="clear" w:color="auto" w:fill="E7E6E6" w:themeFill="background2"/>
          </w:tcPr>
          <w:p w14:paraId="440BDF01" w14:textId="77777777" w:rsidR="00B54D51" w:rsidRPr="00037AD4" w:rsidRDefault="00B54D51" w:rsidP="00401C67">
            <w:pPr>
              <w:rPr>
                <w:rFonts w:asciiTheme="minorHAnsi" w:hAnsiTheme="minorHAnsi" w:cstheme="minorHAnsi"/>
                <w:sz w:val="21"/>
                <w:szCs w:val="21"/>
              </w:rPr>
            </w:pPr>
          </w:p>
        </w:tc>
        <w:tc>
          <w:tcPr>
            <w:tcW w:w="0" w:type="auto"/>
            <w:shd w:val="clear" w:color="auto" w:fill="E7E6E6" w:themeFill="background2"/>
          </w:tcPr>
          <w:p w14:paraId="1676FFE9" w14:textId="77777777" w:rsidR="00B54D51" w:rsidRPr="00037AD4" w:rsidRDefault="00B54D51" w:rsidP="00401C67">
            <w:pPr>
              <w:rPr>
                <w:rFonts w:asciiTheme="minorHAnsi" w:hAnsiTheme="minorHAnsi" w:cstheme="minorHAnsi"/>
                <w:sz w:val="21"/>
                <w:szCs w:val="21"/>
              </w:rPr>
            </w:pPr>
          </w:p>
        </w:tc>
        <w:tc>
          <w:tcPr>
            <w:tcW w:w="0" w:type="auto"/>
            <w:shd w:val="clear" w:color="auto" w:fill="E7E6E6" w:themeFill="background2"/>
          </w:tcPr>
          <w:p w14:paraId="6E443940" w14:textId="77777777" w:rsidR="00B54D51" w:rsidRPr="00037AD4" w:rsidRDefault="00B54D51" w:rsidP="00401C67">
            <w:pPr>
              <w:rPr>
                <w:rFonts w:asciiTheme="minorHAnsi" w:hAnsiTheme="minorHAnsi" w:cstheme="minorHAnsi"/>
                <w:sz w:val="21"/>
                <w:szCs w:val="21"/>
              </w:rPr>
            </w:pPr>
          </w:p>
        </w:tc>
        <w:tc>
          <w:tcPr>
            <w:tcW w:w="0" w:type="auto"/>
            <w:shd w:val="clear" w:color="auto" w:fill="E7E6E6" w:themeFill="background2"/>
          </w:tcPr>
          <w:p w14:paraId="4A554183" w14:textId="77777777" w:rsidR="00B54D51" w:rsidRPr="00037AD4" w:rsidRDefault="00B54D51" w:rsidP="00401C67">
            <w:pPr>
              <w:rPr>
                <w:rFonts w:asciiTheme="minorHAnsi" w:hAnsiTheme="minorHAnsi" w:cstheme="minorHAnsi"/>
                <w:sz w:val="21"/>
                <w:szCs w:val="21"/>
              </w:rPr>
            </w:pPr>
          </w:p>
        </w:tc>
      </w:tr>
      <w:tr w:rsidR="00B54D51" w:rsidRPr="00037AD4" w14:paraId="109CC3C1" w14:textId="77777777" w:rsidTr="00401C67">
        <w:trPr>
          <w:trHeight w:val="417"/>
        </w:trPr>
        <w:tc>
          <w:tcPr>
            <w:tcW w:w="0" w:type="auto"/>
            <w:vMerge/>
            <w:tcBorders>
              <w:left w:val="nil"/>
              <w:bottom w:val="nil"/>
            </w:tcBorders>
          </w:tcPr>
          <w:p w14:paraId="16A5B3CA" w14:textId="77777777" w:rsidR="00B54D51" w:rsidRPr="00037AD4" w:rsidRDefault="00B54D51" w:rsidP="00401C67">
            <w:pPr>
              <w:rPr>
                <w:rFonts w:asciiTheme="minorHAnsi" w:hAnsiTheme="minorHAnsi" w:cstheme="minorHAnsi"/>
                <w:sz w:val="21"/>
                <w:szCs w:val="21"/>
              </w:rPr>
            </w:pPr>
          </w:p>
        </w:tc>
        <w:tc>
          <w:tcPr>
            <w:tcW w:w="0" w:type="auto"/>
          </w:tcPr>
          <w:p w14:paraId="6DEF0626"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FAST</w:t>
            </w:r>
          </w:p>
        </w:tc>
        <w:tc>
          <w:tcPr>
            <w:tcW w:w="0" w:type="auto"/>
          </w:tcPr>
          <w:p w14:paraId="05CBE1BC"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0.05</w:t>
            </w:r>
          </w:p>
        </w:tc>
        <w:tc>
          <w:tcPr>
            <w:tcW w:w="0" w:type="auto"/>
          </w:tcPr>
          <w:p w14:paraId="799F9B92"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0.10*</w:t>
            </w:r>
          </w:p>
        </w:tc>
        <w:tc>
          <w:tcPr>
            <w:tcW w:w="0" w:type="auto"/>
          </w:tcPr>
          <w:p w14:paraId="7B202BAB"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0.03</w:t>
            </w:r>
          </w:p>
        </w:tc>
        <w:tc>
          <w:tcPr>
            <w:tcW w:w="0" w:type="auto"/>
          </w:tcPr>
          <w:p w14:paraId="1C38343D"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0.04</w:t>
            </w:r>
          </w:p>
        </w:tc>
        <w:tc>
          <w:tcPr>
            <w:tcW w:w="0" w:type="auto"/>
          </w:tcPr>
          <w:p w14:paraId="3338B80A"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-0.04</w:t>
            </w:r>
          </w:p>
        </w:tc>
        <w:tc>
          <w:tcPr>
            <w:tcW w:w="0" w:type="auto"/>
            <w:shd w:val="clear" w:color="auto" w:fill="auto"/>
          </w:tcPr>
          <w:p w14:paraId="21F93419"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0.56*</w:t>
            </w:r>
          </w:p>
        </w:tc>
        <w:tc>
          <w:tcPr>
            <w:tcW w:w="0" w:type="auto"/>
            <w:shd w:val="clear" w:color="auto" w:fill="auto"/>
          </w:tcPr>
          <w:p w14:paraId="70505C1A"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0.14*</w:t>
            </w:r>
          </w:p>
        </w:tc>
        <w:tc>
          <w:tcPr>
            <w:tcW w:w="0" w:type="auto"/>
            <w:shd w:val="clear" w:color="auto" w:fill="E7E6E6" w:themeFill="background2"/>
          </w:tcPr>
          <w:p w14:paraId="55EA340D" w14:textId="77777777" w:rsidR="00B54D51" w:rsidRPr="00037AD4" w:rsidRDefault="00B54D51" w:rsidP="00401C67">
            <w:pPr>
              <w:rPr>
                <w:rFonts w:asciiTheme="minorHAnsi" w:hAnsiTheme="minorHAnsi" w:cstheme="minorHAnsi"/>
                <w:sz w:val="21"/>
                <w:szCs w:val="21"/>
              </w:rPr>
            </w:pPr>
          </w:p>
        </w:tc>
        <w:tc>
          <w:tcPr>
            <w:tcW w:w="0" w:type="auto"/>
            <w:shd w:val="clear" w:color="auto" w:fill="E7E6E6" w:themeFill="background2"/>
          </w:tcPr>
          <w:p w14:paraId="14DBB210" w14:textId="77777777" w:rsidR="00B54D51" w:rsidRPr="00037AD4" w:rsidRDefault="00B54D51" w:rsidP="00401C67">
            <w:pPr>
              <w:rPr>
                <w:rFonts w:asciiTheme="minorHAnsi" w:hAnsiTheme="minorHAnsi" w:cstheme="minorHAnsi"/>
                <w:sz w:val="21"/>
                <w:szCs w:val="21"/>
              </w:rPr>
            </w:pPr>
          </w:p>
        </w:tc>
        <w:tc>
          <w:tcPr>
            <w:tcW w:w="0" w:type="auto"/>
            <w:shd w:val="clear" w:color="auto" w:fill="E7E6E6" w:themeFill="background2"/>
          </w:tcPr>
          <w:p w14:paraId="4B4AD366" w14:textId="77777777" w:rsidR="00B54D51" w:rsidRPr="00037AD4" w:rsidRDefault="00B54D51" w:rsidP="00401C67">
            <w:pPr>
              <w:rPr>
                <w:rFonts w:asciiTheme="minorHAnsi" w:hAnsiTheme="minorHAnsi" w:cstheme="minorHAnsi"/>
                <w:sz w:val="21"/>
                <w:szCs w:val="21"/>
              </w:rPr>
            </w:pPr>
          </w:p>
        </w:tc>
      </w:tr>
      <w:tr w:rsidR="00B54D51" w:rsidRPr="00037AD4" w14:paraId="4465AC4A" w14:textId="77777777" w:rsidTr="00401C67">
        <w:trPr>
          <w:trHeight w:val="893"/>
        </w:trPr>
        <w:tc>
          <w:tcPr>
            <w:tcW w:w="0" w:type="auto"/>
            <w:vMerge/>
            <w:tcBorders>
              <w:left w:val="nil"/>
              <w:bottom w:val="nil"/>
            </w:tcBorders>
          </w:tcPr>
          <w:p w14:paraId="690E7277" w14:textId="77777777" w:rsidR="00B54D51" w:rsidRPr="00037AD4" w:rsidRDefault="00B54D51" w:rsidP="00401C67">
            <w:pPr>
              <w:rPr>
                <w:rFonts w:asciiTheme="minorHAnsi" w:hAnsiTheme="minorHAnsi" w:cstheme="minorHAnsi"/>
                <w:sz w:val="21"/>
                <w:szCs w:val="21"/>
              </w:rPr>
            </w:pPr>
          </w:p>
        </w:tc>
        <w:tc>
          <w:tcPr>
            <w:tcW w:w="0" w:type="auto"/>
          </w:tcPr>
          <w:p w14:paraId="6A4A37A3"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PwD age</w:t>
            </w:r>
          </w:p>
        </w:tc>
        <w:tc>
          <w:tcPr>
            <w:tcW w:w="0" w:type="auto"/>
          </w:tcPr>
          <w:p w14:paraId="3C456472"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0.00</w:t>
            </w:r>
          </w:p>
        </w:tc>
        <w:tc>
          <w:tcPr>
            <w:tcW w:w="0" w:type="auto"/>
          </w:tcPr>
          <w:p w14:paraId="4D2B4966"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-0.05</w:t>
            </w:r>
          </w:p>
        </w:tc>
        <w:tc>
          <w:tcPr>
            <w:tcW w:w="0" w:type="auto"/>
          </w:tcPr>
          <w:p w14:paraId="10AB9BAF"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-0.03</w:t>
            </w:r>
          </w:p>
        </w:tc>
        <w:tc>
          <w:tcPr>
            <w:tcW w:w="0" w:type="auto"/>
          </w:tcPr>
          <w:p w14:paraId="228042F2"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-0.04</w:t>
            </w:r>
          </w:p>
        </w:tc>
        <w:tc>
          <w:tcPr>
            <w:tcW w:w="0" w:type="auto"/>
          </w:tcPr>
          <w:p w14:paraId="2D95047F"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-0.02</w:t>
            </w:r>
          </w:p>
        </w:tc>
        <w:tc>
          <w:tcPr>
            <w:tcW w:w="0" w:type="auto"/>
            <w:shd w:val="clear" w:color="auto" w:fill="auto"/>
          </w:tcPr>
          <w:p w14:paraId="48DA5A06"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-0.03</w:t>
            </w:r>
          </w:p>
        </w:tc>
        <w:tc>
          <w:tcPr>
            <w:tcW w:w="0" w:type="auto"/>
            <w:shd w:val="clear" w:color="auto" w:fill="auto"/>
          </w:tcPr>
          <w:p w14:paraId="7BBC6281"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-0.07*</w:t>
            </w:r>
          </w:p>
        </w:tc>
        <w:tc>
          <w:tcPr>
            <w:tcW w:w="0" w:type="auto"/>
            <w:shd w:val="clear" w:color="auto" w:fill="auto"/>
          </w:tcPr>
          <w:p w14:paraId="051BF643"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-0.09*</w:t>
            </w:r>
          </w:p>
        </w:tc>
        <w:tc>
          <w:tcPr>
            <w:tcW w:w="0" w:type="auto"/>
            <w:shd w:val="clear" w:color="auto" w:fill="E7E6E6" w:themeFill="background2"/>
          </w:tcPr>
          <w:p w14:paraId="1CC32482" w14:textId="77777777" w:rsidR="00B54D51" w:rsidRPr="00037AD4" w:rsidRDefault="00B54D51" w:rsidP="00401C67">
            <w:pPr>
              <w:rPr>
                <w:rFonts w:asciiTheme="minorHAnsi" w:hAnsiTheme="minorHAnsi" w:cstheme="minorHAnsi"/>
                <w:sz w:val="21"/>
                <w:szCs w:val="21"/>
              </w:rPr>
            </w:pPr>
          </w:p>
        </w:tc>
        <w:tc>
          <w:tcPr>
            <w:tcW w:w="0" w:type="auto"/>
            <w:shd w:val="clear" w:color="auto" w:fill="E7E6E6" w:themeFill="background2"/>
          </w:tcPr>
          <w:p w14:paraId="055C639A" w14:textId="77777777" w:rsidR="00B54D51" w:rsidRPr="00037AD4" w:rsidRDefault="00B54D51" w:rsidP="00401C67">
            <w:pPr>
              <w:rPr>
                <w:rFonts w:asciiTheme="minorHAnsi" w:hAnsiTheme="minorHAnsi" w:cstheme="minorHAnsi"/>
                <w:sz w:val="21"/>
                <w:szCs w:val="21"/>
              </w:rPr>
            </w:pPr>
          </w:p>
        </w:tc>
      </w:tr>
      <w:tr w:rsidR="00B54D51" w:rsidRPr="00037AD4" w14:paraId="31564ED7" w14:textId="77777777" w:rsidTr="00830480">
        <w:trPr>
          <w:trHeight w:val="867"/>
        </w:trPr>
        <w:tc>
          <w:tcPr>
            <w:tcW w:w="0" w:type="auto"/>
            <w:vMerge/>
            <w:tcBorders>
              <w:left w:val="nil"/>
              <w:bottom w:val="nil"/>
            </w:tcBorders>
          </w:tcPr>
          <w:p w14:paraId="0B8F6635" w14:textId="77777777" w:rsidR="00B54D51" w:rsidRPr="00037AD4" w:rsidRDefault="00B54D51" w:rsidP="00401C67">
            <w:pPr>
              <w:rPr>
                <w:rFonts w:asciiTheme="minorHAnsi" w:hAnsiTheme="minorHAnsi" w:cstheme="minorHAnsi"/>
                <w:sz w:val="21"/>
                <w:szCs w:val="21"/>
              </w:rPr>
            </w:pPr>
          </w:p>
        </w:tc>
        <w:tc>
          <w:tcPr>
            <w:tcW w:w="0" w:type="auto"/>
          </w:tcPr>
          <w:p w14:paraId="1750B222"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PwD sex</w:t>
            </w:r>
          </w:p>
        </w:tc>
        <w:tc>
          <w:tcPr>
            <w:tcW w:w="0" w:type="auto"/>
          </w:tcPr>
          <w:p w14:paraId="0DCE82A5"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-0.01</w:t>
            </w:r>
          </w:p>
        </w:tc>
        <w:tc>
          <w:tcPr>
            <w:tcW w:w="0" w:type="auto"/>
          </w:tcPr>
          <w:p w14:paraId="4676A193"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0.03</w:t>
            </w:r>
          </w:p>
        </w:tc>
        <w:tc>
          <w:tcPr>
            <w:tcW w:w="0" w:type="auto"/>
          </w:tcPr>
          <w:p w14:paraId="50214FA1"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-0.02</w:t>
            </w:r>
          </w:p>
        </w:tc>
        <w:tc>
          <w:tcPr>
            <w:tcW w:w="0" w:type="auto"/>
          </w:tcPr>
          <w:p w14:paraId="28F8BB6A"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-0.03</w:t>
            </w:r>
          </w:p>
        </w:tc>
        <w:tc>
          <w:tcPr>
            <w:tcW w:w="0" w:type="auto"/>
          </w:tcPr>
          <w:p w14:paraId="693AA8DF"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0.04</w:t>
            </w:r>
          </w:p>
        </w:tc>
        <w:tc>
          <w:tcPr>
            <w:tcW w:w="0" w:type="auto"/>
            <w:shd w:val="clear" w:color="auto" w:fill="auto"/>
          </w:tcPr>
          <w:p w14:paraId="0A6D6B46"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0.03</w:t>
            </w:r>
          </w:p>
        </w:tc>
        <w:tc>
          <w:tcPr>
            <w:tcW w:w="0" w:type="auto"/>
            <w:shd w:val="clear" w:color="auto" w:fill="auto"/>
          </w:tcPr>
          <w:p w14:paraId="22B9245D"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0.01</w:t>
            </w:r>
          </w:p>
        </w:tc>
        <w:tc>
          <w:tcPr>
            <w:tcW w:w="0" w:type="auto"/>
            <w:shd w:val="clear" w:color="auto" w:fill="auto"/>
          </w:tcPr>
          <w:p w14:paraId="33B4C5A6"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-0.02</w:t>
            </w:r>
          </w:p>
        </w:tc>
        <w:tc>
          <w:tcPr>
            <w:tcW w:w="0" w:type="auto"/>
            <w:shd w:val="clear" w:color="auto" w:fill="auto"/>
          </w:tcPr>
          <w:p w14:paraId="390F3E2F"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0.25*</w:t>
            </w:r>
          </w:p>
        </w:tc>
        <w:tc>
          <w:tcPr>
            <w:tcW w:w="0" w:type="auto"/>
            <w:shd w:val="clear" w:color="auto" w:fill="E7E6E6" w:themeFill="background2"/>
          </w:tcPr>
          <w:p w14:paraId="18D1527D" w14:textId="77777777" w:rsidR="00B54D51" w:rsidRPr="00037AD4" w:rsidRDefault="00B54D51" w:rsidP="00401C67">
            <w:pPr>
              <w:rPr>
                <w:rFonts w:asciiTheme="minorHAnsi" w:hAnsiTheme="minorHAnsi" w:cstheme="minorHAnsi"/>
                <w:sz w:val="21"/>
                <w:szCs w:val="21"/>
              </w:rPr>
            </w:pPr>
          </w:p>
        </w:tc>
      </w:tr>
      <w:tr w:rsidR="00B54D51" w:rsidRPr="00037AD4" w14:paraId="04929424" w14:textId="77777777" w:rsidTr="00830480">
        <w:trPr>
          <w:trHeight w:val="317"/>
        </w:trPr>
        <w:tc>
          <w:tcPr>
            <w:tcW w:w="0" w:type="auto"/>
            <w:tcBorders>
              <w:top w:val="nil"/>
              <w:left w:val="nil"/>
              <w:bottom w:val="nil"/>
            </w:tcBorders>
          </w:tcPr>
          <w:p w14:paraId="571B683E" w14:textId="77777777" w:rsidR="00B54D51" w:rsidRPr="00037AD4" w:rsidRDefault="00B54D51" w:rsidP="00401C67">
            <w:pPr>
              <w:rPr>
                <w:rFonts w:asciiTheme="minorHAnsi" w:hAnsiTheme="minorHAnsi" w:cstheme="minorHAnsi"/>
                <w:sz w:val="21"/>
                <w:szCs w:val="21"/>
              </w:rPr>
            </w:pPr>
          </w:p>
        </w:tc>
        <w:tc>
          <w:tcPr>
            <w:tcW w:w="0" w:type="auto"/>
            <w:gridSpan w:val="11"/>
          </w:tcPr>
          <w:p w14:paraId="517B0011"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 p&lt;0.05; Spearman’s rank correlation for EQ-5D dimensions; Pearson’s correlation for other outcomes;</w:t>
            </w:r>
          </w:p>
          <w:p w14:paraId="76BE7B71" w14:textId="77777777" w:rsidR="00B54D51" w:rsidRPr="00037AD4" w:rsidRDefault="00B54D51" w:rsidP="00401C67">
            <w:pPr>
              <w:rPr>
                <w:rFonts w:asciiTheme="minorHAnsi" w:hAnsiTheme="minorHAnsi" w:cstheme="minorHAnsi"/>
                <w:sz w:val="21"/>
                <w:szCs w:val="21"/>
              </w:rPr>
            </w:pPr>
            <w:r w:rsidRPr="00037AD4">
              <w:rPr>
                <w:rFonts w:asciiTheme="minorHAnsi" w:hAnsiTheme="minorHAnsi" w:cstheme="minorHAnsi"/>
                <w:sz w:val="21"/>
                <w:szCs w:val="21"/>
              </w:rPr>
              <w:t xml:space="preserve">(1=yes, 2=no); sex (1=Male, Z=X). </w:t>
            </w:r>
          </w:p>
        </w:tc>
      </w:tr>
    </w:tbl>
    <w:p w14:paraId="0649E6BF" w14:textId="77777777" w:rsidR="00B54D51" w:rsidRPr="00037AD4" w:rsidRDefault="00B54D51" w:rsidP="001D7ACE">
      <w:pPr>
        <w:rPr>
          <w:rFonts w:asciiTheme="minorHAnsi" w:hAnsiTheme="minorHAnsi" w:cstheme="minorHAnsi"/>
          <w:u w:val="single"/>
        </w:rPr>
      </w:pPr>
    </w:p>
    <w:p w14:paraId="5C25F3AB" w14:textId="77777777" w:rsidR="00B54D51" w:rsidRPr="00037AD4" w:rsidRDefault="00B54D51" w:rsidP="001D7ACE">
      <w:pPr>
        <w:rPr>
          <w:u w:val="single"/>
        </w:rPr>
      </w:pPr>
    </w:p>
    <w:p w14:paraId="3701CF7F" w14:textId="77777777" w:rsidR="00B54D51" w:rsidRPr="00037AD4" w:rsidRDefault="00B54D51" w:rsidP="001D7ACE">
      <w:pPr>
        <w:rPr>
          <w:rFonts w:asciiTheme="minorHAnsi" w:hAnsiTheme="minorHAnsi" w:cstheme="minorHAnsi"/>
          <w:color w:val="000000" w:themeColor="text1"/>
          <w:u w:val="single"/>
        </w:rPr>
      </w:pPr>
      <w:r w:rsidRPr="00037AD4">
        <w:rPr>
          <w:rFonts w:asciiTheme="minorHAnsi" w:hAnsiTheme="minorHAnsi" w:cstheme="minorHAnsi"/>
          <w:color w:val="000000" w:themeColor="text1"/>
          <w:u w:val="single"/>
        </w:rPr>
        <w:lastRenderedPageBreak/>
        <w:t xml:space="preserve">Table A6.1d, Intra-rater correlations for EQ-5D dimension: EPIC </w:t>
      </w:r>
    </w:p>
    <w:p w14:paraId="5B8215F3" w14:textId="77777777" w:rsidR="00B54D51" w:rsidRPr="00037AD4" w:rsidRDefault="00B54D51" w:rsidP="001D7ACE">
      <w:pPr>
        <w:rPr>
          <w:rFonts w:asciiTheme="minorHAnsi" w:hAnsiTheme="minorHAnsi" w:cstheme="minorHAnsi"/>
          <w:u w:val="single"/>
        </w:rPr>
      </w:pPr>
    </w:p>
    <w:tbl>
      <w:tblPr>
        <w:tblStyle w:val="TableGrid"/>
        <w:tblW w:w="10144" w:type="dxa"/>
        <w:tblInd w:w="-5" w:type="dxa"/>
        <w:tblLook w:val="04A0" w:firstRow="1" w:lastRow="0" w:firstColumn="1" w:lastColumn="0" w:noHBand="0" w:noVBand="1"/>
      </w:tblPr>
      <w:tblGrid>
        <w:gridCol w:w="740"/>
        <w:gridCol w:w="855"/>
        <w:gridCol w:w="855"/>
        <w:gridCol w:w="856"/>
        <w:gridCol w:w="856"/>
        <w:gridCol w:w="565"/>
        <w:gridCol w:w="1428"/>
        <w:gridCol w:w="856"/>
        <w:gridCol w:w="856"/>
        <w:gridCol w:w="856"/>
        <w:gridCol w:w="856"/>
        <w:gridCol w:w="565"/>
      </w:tblGrid>
      <w:tr w:rsidR="00B54D51" w:rsidRPr="00037AD4" w14:paraId="1BAD76EE" w14:textId="77777777" w:rsidTr="00401C67">
        <w:trPr>
          <w:trHeight w:val="1050"/>
        </w:trPr>
        <w:tc>
          <w:tcPr>
            <w:tcW w:w="0" w:type="auto"/>
            <w:shd w:val="clear" w:color="auto" w:fill="F2F2F2" w:themeFill="background1" w:themeFillShade="F2"/>
          </w:tcPr>
          <w:p w14:paraId="2890EAD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PwD</w:t>
            </w:r>
          </w:p>
        </w:tc>
        <w:tc>
          <w:tcPr>
            <w:tcW w:w="0" w:type="auto"/>
          </w:tcPr>
          <w:p w14:paraId="5A8CF7B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M</w:t>
            </w:r>
          </w:p>
        </w:tc>
        <w:tc>
          <w:tcPr>
            <w:tcW w:w="0" w:type="auto"/>
          </w:tcPr>
          <w:p w14:paraId="6D09071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SC</w:t>
            </w:r>
          </w:p>
        </w:tc>
        <w:tc>
          <w:tcPr>
            <w:tcW w:w="0" w:type="auto"/>
          </w:tcPr>
          <w:p w14:paraId="0E62F49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UA</w:t>
            </w:r>
          </w:p>
        </w:tc>
        <w:tc>
          <w:tcPr>
            <w:tcW w:w="0" w:type="auto"/>
          </w:tcPr>
          <w:p w14:paraId="054E5E3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PD</w:t>
            </w:r>
          </w:p>
        </w:tc>
        <w:tc>
          <w:tcPr>
            <w:tcW w:w="0" w:type="auto"/>
          </w:tcPr>
          <w:p w14:paraId="2A81F6A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AD</w:t>
            </w:r>
          </w:p>
        </w:tc>
        <w:tc>
          <w:tcPr>
            <w:tcW w:w="0" w:type="auto"/>
            <w:shd w:val="clear" w:color="auto" w:fill="F2F2F2" w:themeFill="background1" w:themeFillShade="F2"/>
          </w:tcPr>
          <w:p w14:paraId="56E0D3E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Staff proxy</w:t>
            </w:r>
          </w:p>
        </w:tc>
        <w:tc>
          <w:tcPr>
            <w:tcW w:w="0" w:type="auto"/>
          </w:tcPr>
          <w:p w14:paraId="0A2E910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M</w:t>
            </w:r>
          </w:p>
        </w:tc>
        <w:tc>
          <w:tcPr>
            <w:tcW w:w="0" w:type="auto"/>
          </w:tcPr>
          <w:p w14:paraId="377E64E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SC</w:t>
            </w:r>
          </w:p>
        </w:tc>
        <w:tc>
          <w:tcPr>
            <w:tcW w:w="0" w:type="auto"/>
          </w:tcPr>
          <w:p w14:paraId="06F2B87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UA</w:t>
            </w:r>
          </w:p>
        </w:tc>
        <w:tc>
          <w:tcPr>
            <w:tcW w:w="0" w:type="auto"/>
          </w:tcPr>
          <w:p w14:paraId="289B2A9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PD</w:t>
            </w:r>
          </w:p>
        </w:tc>
        <w:tc>
          <w:tcPr>
            <w:tcW w:w="0" w:type="auto"/>
          </w:tcPr>
          <w:p w14:paraId="63BE6EC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AD</w:t>
            </w:r>
          </w:p>
        </w:tc>
      </w:tr>
      <w:tr w:rsidR="00B54D51" w:rsidRPr="00037AD4" w14:paraId="67104D30" w14:textId="77777777" w:rsidTr="00401C67">
        <w:trPr>
          <w:trHeight w:val="491"/>
        </w:trPr>
        <w:tc>
          <w:tcPr>
            <w:tcW w:w="0" w:type="auto"/>
            <w:shd w:val="clear" w:color="auto" w:fill="F2F2F2" w:themeFill="background1" w:themeFillShade="F2"/>
          </w:tcPr>
          <w:p w14:paraId="68B854B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M</w:t>
            </w:r>
          </w:p>
        </w:tc>
        <w:tc>
          <w:tcPr>
            <w:tcW w:w="0" w:type="auto"/>
            <w:shd w:val="clear" w:color="auto" w:fill="FFE599" w:themeFill="accent4" w:themeFillTint="66"/>
          </w:tcPr>
          <w:p w14:paraId="0297AD0E" w14:textId="77777777" w:rsidR="00B54D51" w:rsidRPr="00037AD4" w:rsidRDefault="00B54D51" w:rsidP="00401C67">
            <w:pPr>
              <w:rPr>
                <w:rFonts w:asciiTheme="minorHAnsi" w:hAnsiTheme="minorHAnsi" w:cstheme="minorHAnsi"/>
              </w:rPr>
            </w:pPr>
          </w:p>
        </w:tc>
        <w:tc>
          <w:tcPr>
            <w:tcW w:w="0" w:type="auto"/>
          </w:tcPr>
          <w:p w14:paraId="0FD6B620" w14:textId="77777777" w:rsidR="00B54D51" w:rsidRPr="00037AD4" w:rsidRDefault="00B54D51" w:rsidP="00401C67">
            <w:pPr>
              <w:rPr>
                <w:rFonts w:asciiTheme="minorHAnsi" w:hAnsiTheme="minorHAnsi" w:cstheme="minorHAnsi"/>
              </w:rPr>
            </w:pPr>
          </w:p>
        </w:tc>
        <w:tc>
          <w:tcPr>
            <w:tcW w:w="0" w:type="auto"/>
          </w:tcPr>
          <w:p w14:paraId="3B159A68" w14:textId="77777777" w:rsidR="00B54D51" w:rsidRPr="00037AD4" w:rsidRDefault="00B54D51" w:rsidP="00401C67">
            <w:pPr>
              <w:rPr>
                <w:rFonts w:asciiTheme="minorHAnsi" w:hAnsiTheme="minorHAnsi" w:cstheme="minorHAnsi"/>
              </w:rPr>
            </w:pPr>
          </w:p>
        </w:tc>
        <w:tc>
          <w:tcPr>
            <w:tcW w:w="0" w:type="auto"/>
          </w:tcPr>
          <w:p w14:paraId="46D15BC7" w14:textId="77777777" w:rsidR="00B54D51" w:rsidRPr="00037AD4" w:rsidRDefault="00B54D51" w:rsidP="00401C67">
            <w:pPr>
              <w:rPr>
                <w:rFonts w:asciiTheme="minorHAnsi" w:hAnsiTheme="minorHAnsi" w:cstheme="minorHAnsi"/>
              </w:rPr>
            </w:pPr>
          </w:p>
        </w:tc>
        <w:tc>
          <w:tcPr>
            <w:tcW w:w="0" w:type="auto"/>
          </w:tcPr>
          <w:p w14:paraId="68BAAC85" w14:textId="77777777" w:rsidR="00B54D51" w:rsidRPr="00037AD4" w:rsidRDefault="00B54D51" w:rsidP="00401C67">
            <w:pPr>
              <w:rPr>
                <w:rFonts w:asciiTheme="minorHAnsi" w:hAnsiTheme="minorHAnsi" w:cstheme="minorHAnsi"/>
              </w:rPr>
            </w:pPr>
          </w:p>
        </w:tc>
        <w:tc>
          <w:tcPr>
            <w:tcW w:w="0" w:type="auto"/>
            <w:shd w:val="clear" w:color="auto" w:fill="F2F2F2" w:themeFill="background1" w:themeFillShade="F2"/>
          </w:tcPr>
          <w:p w14:paraId="5C79523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M</w:t>
            </w:r>
          </w:p>
        </w:tc>
        <w:tc>
          <w:tcPr>
            <w:tcW w:w="0" w:type="auto"/>
            <w:shd w:val="clear" w:color="auto" w:fill="FFE599" w:themeFill="accent4" w:themeFillTint="66"/>
          </w:tcPr>
          <w:p w14:paraId="3554EBE4" w14:textId="77777777" w:rsidR="00B54D51" w:rsidRPr="00037AD4" w:rsidRDefault="00B54D51" w:rsidP="00401C67">
            <w:pPr>
              <w:rPr>
                <w:rFonts w:asciiTheme="minorHAnsi" w:hAnsiTheme="minorHAnsi" w:cstheme="minorHAnsi"/>
              </w:rPr>
            </w:pPr>
          </w:p>
        </w:tc>
        <w:tc>
          <w:tcPr>
            <w:tcW w:w="0" w:type="auto"/>
          </w:tcPr>
          <w:p w14:paraId="15EA5BBA" w14:textId="77777777" w:rsidR="00B54D51" w:rsidRPr="00037AD4" w:rsidRDefault="00B54D51" w:rsidP="00401C67">
            <w:pPr>
              <w:rPr>
                <w:rFonts w:asciiTheme="minorHAnsi" w:hAnsiTheme="minorHAnsi" w:cstheme="minorHAnsi"/>
              </w:rPr>
            </w:pPr>
          </w:p>
        </w:tc>
        <w:tc>
          <w:tcPr>
            <w:tcW w:w="0" w:type="auto"/>
          </w:tcPr>
          <w:p w14:paraId="5ACDB680" w14:textId="77777777" w:rsidR="00B54D51" w:rsidRPr="00037AD4" w:rsidRDefault="00B54D51" w:rsidP="00401C67">
            <w:pPr>
              <w:rPr>
                <w:rFonts w:asciiTheme="minorHAnsi" w:hAnsiTheme="minorHAnsi" w:cstheme="minorHAnsi"/>
              </w:rPr>
            </w:pPr>
          </w:p>
        </w:tc>
        <w:tc>
          <w:tcPr>
            <w:tcW w:w="0" w:type="auto"/>
          </w:tcPr>
          <w:p w14:paraId="20DF34BA" w14:textId="77777777" w:rsidR="00B54D51" w:rsidRPr="00037AD4" w:rsidRDefault="00B54D51" w:rsidP="00401C67">
            <w:pPr>
              <w:rPr>
                <w:rFonts w:asciiTheme="minorHAnsi" w:hAnsiTheme="minorHAnsi" w:cstheme="minorHAnsi"/>
              </w:rPr>
            </w:pPr>
          </w:p>
        </w:tc>
        <w:tc>
          <w:tcPr>
            <w:tcW w:w="0" w:type="auto"/>
          </w:tcPr>
          <w:p w14:paraId="2DF69073" w14:textId="77777777" w:rsidR="00B54D51" w:rsidRPr="00037AD4" w:rsidRDefault="00B54D51" w:rsidP="00401C67">
            <w:pPr>
              <w:rPr>
                <w:rFonts w:asciiTheme="minorHAnsi" w:hAnsiTheme="minorHAnsi" w:cstheme="minorHAnsi"/>
              </w:rPr>
            </w:pPr>
          </w:p>
        </w:tc>
      </w:tr>
      <w:tr w:rsidR="00B54D51" w:rsidRPr="00037AD4" w14:paraId="51560B7B" w14:textId="77777777" w:rsidTr="00401C67">
        <w:trPr>
          <w:trHeight w:val="525"/>
        </w:trPr>
        <w:tc>
          <w:tcPr>
            <w:tcW w:w="0" w:type="auto"/>
            <w:shd w:val="clear" w:color="auto" w:fill="F2F2F2" w:themeFill="background1" w:themeFillShade="F2"/>
          </w:tcPr>
          <w:p w14:paraId="776E1A3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SC</w:t>
            </w:r>
          </w:p>
        </w:tc>
        <w:tc>
          <w:tcPr>
            <w:tcW w:w="0" w:type="auto"/>
          </w:tcPr>
          <w:p w14:paraId="55F1239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0.55*</w:t>
            </w:r>
          </w:p>
        </w:tc>
        <w:tc>
          <w:tcPr>
            <w:tcW w:w="0" w:type="auto"/>
            <w:shd w:val="clear" w:color="auto" w:fill="FFE599" w:themeFill="accent4" w:themeFillTint="66"/>
          </w:tcPr>
          <w:p w14:paraId="1EEE85A9" w14:textId="77777777" w:rsidR="00B54D51" w:rsidRPr="00037AD4" w:rsidRDefault="00B54D51" w:rsidP="00401C67">
            <w:pPr>
              <w:rPr>
                <w:rFonts w:asciiTheme="minorHAnsi" w:hAnsiTheme="minorHAnsi" w:cstheme="minorHAnsi"/>
              </w:rPr>
            </w:pPr>
          </w:p>
        </w:tc>
        <w:tc>
          <w:tcPr>
            <w:tcW w:w="0" w:type="auto"/>
          </w:tcPr>
          <w:p w14:paraId="3F8A7445" w14:textId="77777777" w:rsidR="00B54D51" w:rsidRPr="00037AD4" w:rsidRDefault="00B54D51" w:rsidP="00401C67">
            <w:pPr>
              <w:rPr>
                <w:rFonts w:asciiTheme="minorHAnsi" w:hAnsiTheme="minorHAnsi" w:cstheme="minorHAnsi"/>
              </w:rPr>
            </w:pPr>
          </w:p>
        </w:tc>
        <w:tc>
          <w:tcPr>
            <w:tcW w:w="0" w:type="auto"/>
          </w:tcPr>
          <w:p w14:paraId="3D9B46AB" w14:textId="77777777" w:rsidR="00B54D51" w:rsidRPr="00037AD4" w:rsidRDefault="00B54D51" w:rsidP="00401C67">
            <w:pPr>
              <w:rPr>
                <w:rFonts w:asciiTheme="minorHAnsi" w:hAnsiTheme="minorHAnsi" w:cstheme="minorHAnsi"/>
              </w:rPr>
            </w:pPr>
          </w:p>
        </w:tc>
        <w:tc>
          <w:tcPr>
            <w:tcW w:w="0" w:type="auto"/>
          </w:tcPr>
          <w:p w14:paraId="08F2F287" w14:textId="77777777" w:rsidR="00B54D51" w:rsidRPr="00037AD4" w:rsidRDefault="00B54D51" w:rsidP="00401C67">
            <w:pPr>
              <w:rPr>
                <w:rFonts w:asciiTheme="minorHAnsi" w:hAnsiTheme="minorHAnsi" w:cstheme="minorHAnsi"/>
              </w:rPr>
            </w:pPr>
          </w:p>
        </w:tc>
        <w:tc>
          <w:tcPr>
            <w:tcW w:w="0" w:type="auto"/>
            <w:shd w:val="clear" w:color="auto" w:fill="F2F2F2" w:themeFill="background1" w:themeFillShade="F2"/>
          </w:tcPr>
          <w:p w14:paraId="6B4EE7C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SC</w:t>
            </w:r>
          </w:p>
        </w:tc>
        <w:tc>
          <w:tcPr>
            <w:tcW w:w="0" w:type="auto"/>
          </w:tcPr>
          <w:p w14:paraId="4D1F9D9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0.55*</w:t>
            </w:r>
          </w:p>
        </w:tc>
        <w:tc>
          <w:tcPr>
            <w:tcW w:w="0" w:type="auto"/>
            <w:shd w:val="clear" w:color="auto" w:fill="FFE599" w:themeFill="accent4" w:themeFillTint="66"/>
          </w:tcPr>
          <w:p w14:paraId="50EE2025" w14:textId="77777777" w:rsidR="00B54D51" w:rsidRPr="00037AD4" w:rsidRDefault="00B54D51" w:rsidP="00401C67">
            <w:pPr>
              <w:rPr>
                <w:rFonts w:asciiTheme="minorHAnsi" w:hAnsiTheme="minorHAnsi" w:cstheme="minorHAnsi"/>
              </w:rPr>
            </w:pPr>
          </w:p>
        </w:tc>
        <w:tc>
          <w:tcPr>
            <w:tcW w:w="0" w:type="auto"/>
          </w:tcPr>
          <w:p w14:paraId="5A54074D" w14:textId="77777777" w:rsidR="00B54D51" w:rsidRPr="00037AD4" w:rsidRDefault="00B54D51" w:rsidP="00401C67">
            <w:pPr>
              <w:rPr>
                <w:rFonts w:asciiTheme="minorHAnsi" w:hAnsiTheme="minorHAnsi" w:cstheme="minorHAnsi"/>
              </w:rPr>
            </w:pPr>
          </w:p>
        </w:tc>
        <w:tc>
          <w:tcPr>
            <w:tcW w:w="0" w:type="auto"/>
          </w:tcPr>
          <w:p w14:paraId="64A90956" w14:textId="77777777" w:rsidR="00B54D51" w:rsidRPr="00037AD4" w:rsidRDefault="00B54D51" w:rsidP="00401C67">
            <w:pPr>
              <w:rPr>
                <w:rFonts w:asciiTheme="minorHAnsi" w:hAnsiTheme="minorHAnsi" w:cstheme="minorHAnsi"/>
              </w:rPr>
            </w:pPr>
          </w:p>
        </w:tc>
        <w:tc>
          <w:tcPr>
            <w:tcW w:w="0" w:type="auto"/>
          </w:tcPr>
          <w:p w14:paraId="43D80574" w14:textId="77777777" w:rsidR="00B54D51" w:rsidRPr="00037AD4" w:rsidRDefault="00B54D51" w:rsidP="00401C67">
            <w:pPr>
              <w:rPr>
                <w:rFonts w:asciiTheme="minorHAnsi" w:hAnsiTheme="minorHAnsi" w:cstheme="minorHAnsi"/>
              </w:rPr>
            </w:pPr>
          </w:p>
        </w:tc>
      </w:tr>
      <w:tr w:rsidR="00B54D51" w:rsidRPr="00037AD4" w14:paraId="48EFEAB9" w14:textId="77777777" w:rsidTr="00401C67">
        <w:trPr>
          <w:trHeight w:val="525"/>
        </w:trPr>
        <w:tc>
          <w:tcPr>
            <w:tcW w:w="0" w:type="auto"/>
            <w:shd w:val="clear" w:color="auto" w:fill="F2F2F2" w:themeFill="background1" w:themeFillShade="F2"/>
          </w:tcPr>
          <w:p w14:paraId="6D034D7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UA</w:t>
            </w:r>
          </w:p>
        </w:tc>
        <w:tc>
          <w:tcPr>
            <w:tcW w:w="0" w:type="auto"/>
          </w:tcPr>
          <w:p w14:paraId="32BEC72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0.37*</w:t>
            </w:r>
          </w:p>
        </w:tc>
        <w:tc>
          <w:tcPr>
            <w:tcW w:w="0" w:type="auto"/>
          </w:tcPr>
          <w:p w14:paraId="5BEA508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0.44*</w:t>
            </w:r>
          </w:p>
        </w:tc>
        <w:tc>
          <w:tcPr>
            <w:tcW w:w="0" w:type="auto"/>
            <w:shd w:val="clear" w:color="auto" w:fill="FFE599" w:themeFill="accent4" w:themeFillTint="66"/>
          </w:tcPr>
          <w:p w14:paraId="471FF11B" w14:textId="77777777" w:rsidR="00B54D51" w:rsidRPr="00037AD4" w:rsidRDefault="00B54D51" w:rsidP="00401C67">
            <w:pPr>
              <w:rPr>
                <w:rFonts w:asciiTheme="minorHAnsi" w:hAnsiTheme="minorHAnsi" w:cstheme="minorHAnsi"/>
              </w:rPr>
            </w:pPr>
          </w:p>
        </w:tc>
        <w:tc>
          <w:tcPr>
            <w:tcW w:w="0" w:type="auto"/>
          </w:tcPr>
          <w:p w14:paraId="2F717D24" w14:textId="77777777" w:rsidR="00B54D51" w:rsidRPr="00037AD4" w:rsidRDefault="00B54D51" w:rsidP="00401C67">
            <w:pPr>
              <w:rPr>
                <w:rFonts w:asciiTheme="minorHAnsi" w:hAnsiTheme="minorHAnsi" w:cstheme="minorHAnsi"/>
              </w:rPr>
            </w:pPr>
          </w:p>
        </w:tc>
        <w:tc>
          <w:tcPr>
            <w:tcW w:w="0" w:type="auto"/>
          </w:tcPr>
          <w:p w14:paraId="2FDA89DF" w14:textId="77777777" w:rsidR="00B54D51" w:rsidRPr="00037AD4" w:rsidRDefault="00B54D51" w:rsidP="00401C67">
            <w:pPr>
              <w:rPr>
                <w:rFonts w:asciiTheme="minorHAnsi" w:hAnsiTheme="minorHAnsi" w:cstheme="minorHAnsi"/>
              </w:rPr>
            </w:pPr>
          </w:p>
        </w:tc>
        <w:tc>
          <w:tcPr>
            <w:tcW w:w="0" w:type="auto"/>
            <w:shd w:val="clear" w:color="auto" w:fill="F2F2F2" w:themeFill="background1" w:themeFillShade="F2"/>
          </w:tcPr>
          <w:p w14:paraId="6DE807E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UA</w:t>
            </w:r>
          </w:p>
        </w:tc>
        <w:tc>
          <w:tcPr>
            <w:tcW w:w="0" w:type="auto"/>
          </w:tcPr>
          <w:p w14:paraId="7984053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0.34*</w:t>
            </w:r>
          </w:p>
        </w:tc>
        <w:tc>
          <w:tcPr>
            <w:tcW w:w="0" w:type="auto"/>
          </w:tcPr>
          <w:p w14:paraId="58C979E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0.35*</w:t>
            </w:r>
          </w:p>
        </w:tc>
        <w:tc>
          <w:tcPr>
            <w:tcW w:w="0" w:type="auto"/>
            <w:shd w:val="clear" w:color="auto" w:fill="FFE599" w:themeFill="accent4" w:themeFillTint="66"/>
          </w:tcPr>
          <w:p w14:paraId="445597A9" w14:textId="77777777" w:rsidR="00B54D51" w:rsidRPr="00037AD4" w:rsidRDefault="00B54D51" w:rsidP="00401C67">
            <w:pPr>
              <w:rPr>
                <w:rFonts w:asciiTheme="minorHAnsi" w:hAnsiTheme="minorHAnsi" w:cstheme="minorHAnsi"/>
              </w:rPr>
            </w:pPr>
          </w:p>
        </w:tc>
        <w:tc>
          <w:tcPr>
            <w:tcW w:w="0" w:type="auto"/>
          </w:tcPr>
          <w:p w14:paraId="22A80FF4" w14:textId="77777777" w:rsidR="00B54D51" w:rsidRPr="00037AD4" w:rsidRDefault="00B54D51" w:rsidP="00401C67">
            <w:pPr>
              <w:rPr>
                <w:rFonts w:asciiTheme="minorHAnsi" w:hAnsiTheme="minorHAnsi" w:cstheme="minorHAnsi"/>
              </w:rPr>
            </w:pPr>
          </w:p>
        </w:tc>
        <w:tc>
          <w:tcPr>
            <w:tcW w:w="0" w:type="auto"/>
          </w:tcPr>
          <w:p w14:paraId="2478CA26" w14:textId="77777777" w:rsidR="00B54D51" w:rsidRPr="00037AD4" w:rsidRDefault="00B54D51" w:rsidP="00401C67">
            <w:pPr>
              <w:rPr>
                <w:rFonts w:asciiTheme="minorHAnsi" w:hAnsiTheme="minorHAnsi" w:cstheme="minorHAnsi"/>
              </w:rPr>
            </w:pPr>
          </w:p>
        </w:tc>
      </w:tr>
      <w:tr w:rsidR="00B54D51" w:rsidRPr="00037AD4" w14:paraId="0E0A1C16" w14:textId="77777777" w:rsidTr="00401C67">
        <w:trPr>
          <w:trHeight w:val="491"/>
        </w:trPr>
        <w:tc>
          <w:tcPr>
            <w:tcW w:w="0" w:type="auto"/>
            <w:shd w:val="clear" w:color="auto" w:fill="F2F2F2" w:themeFill="background1" w:themeFillShade="F2"/>
          </w:tcPr>
          <w:p w14:paraId="370C89A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PD </w:t>
            </w:r>
          </w:p>
        </w:tc>
        <w:tc>
          <w:tcPr>
            <w:tcW w:w="0" w:type="auto"/>
          </w:tcPr>
          <w:p w14:paraId="7709D2B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0.25*</w:t>
            </w:r>
          </w:p>
        </w:tc>
        <w:tc>
          <w:tcPr>
            <w:tcW w:w="0" w:type="auto"/>
          </w:tcPr>
          <w:p w14:paraId="4EE48FE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0.24*</w:t>
            </w:r>
          </w:p>
        </w:tc>
        <w:tc>
          <w:tcPr>
            <w:tcW w:w="0" w:type="auto"/>
          </w:tcPr>
          <w:p w14:paraId="3171E61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0.22*</w:t>
            </w:r>
          </w:p>
        </w:tc>
        <w:tc>
          <w:tcPr>
            <w:tcW w:w="0" w:type="auto"/>
            <w:shd w:val="clear" w:color="auto" w:fill="FFE599" w:themeFill="accent4" w:themeFillTint="66"/>
          </w:tcPr>
          <w:p w14:paraId="7994D146" w14:textId="77777777" w:rsidR="00B54D51" w:rsidRPr="00037AD4" w:rsidRDefault="00B54D51" w:rsidP="00401C67">
            <w:pPr>
              <w:rPr>
                <w:rFonts w:asciiTheme="minorHAnsi" w:hAnsiTheme="minorHAnsi" w:cstheme="minorHAnsi"/>
              </w:rPr>
            </w:pPr>
          </w:p>
        </w:tc>
        <w:tc>
          <w:tcPr>
            <w:tcW w:w="0" w:type="auto"/>
          </w:tcPr>
          <w:p w14:paraId="5D2D7139" w14:textId="77777777" w:rsidR="00B54D51" w:rsidRPr="00037AD4" w:rsidRDefault="00B54D51" w:rsidP="00401C67">
            <w:pPr>
              <w:rPr>
                <w:rFonts w:asciiTheme="minorHAnsi" w:hAnsiTheme="minorHAnsi" w:cstheme="minorHAnsi"/>
              </w:rPr>
            </w:pPr>
          </w:p>
        </w:tc>
        <w:tc>
          <w:tcPr>
            <w:tcW w:w="0" w:type="auto"/>
            <w:shd w:val="clear" w:color="auto" w:fill="F2F2F2" w:themeFill="background1" w:themeFillShade="F2"/>
          </w:tcPr>
          <w:p w14:paraId="335D8F3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PD </w:t>
            </w:r>
          </w:p>
        </w:tc>
        <w:tc>
          <w:tcPr>
            <w:tcW w:w="0" w:type="auto"/>
          </w:tcPr>
          <w:p w14:paraId="274C265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0.15*</w:t>
            </w:r>
          </w:p>
        </w:tc>
        <w:tc>
          <w:tcPr>
            <w:tcW w:w="0" w:type="auto"/>
          </w:tcPr>
          <w:p w14:paraId="2F66DC8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0.09*</w:t>
            </w:r>
          </w:p>
        </w:tc>
        <w:tc>
          <w:tcPr>
            <w:tcW w:w="0" w:type="auto"/>
          </w:tcPr>
          <w:p w14:paraId="1825E3A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0.24*</w:t>
            </w:r>
          </w:p>
        </w:tc>
        <w:tc>
          <w:tcPr>
            <w:tcW w:w="0" w:type="auto"/>
            <w:shd w:val="clear" w:color="auto" w:fill="FFE599" w:themeFill="accent4" w:themeFillTint="66"/>
          </w:tcPr>
          <w:p w14:paraId="009A7C1F" w14:textId="77777777" w:rsidR="00B54D51" w:rsidRPr="00037AD4" w:rsidRDefault="00B54D51" w:rsidP="00401C67">
            <w:pPr>
              <w:rPr>
                <w:rFonts w:asciiTheme="minorHAnsi" w:hAnsiTheme="minorHAnsi" w:cstheme="minorHAnsi"/>
              </w:rPr>
            </w:pPr>
          </w:p>
        </w:tc>
        <w:tc>
          <w:tcPr>
            <w:tcW w:w="0" w:type="auto"/>
          </w:tcPr>
          <w:p w14:paraId="41986291" w14:textId="77777777" w:rsidR="00B54D51" w:rsidRPr="00037AD4" w:rsidRDefault="00B54D51" w:rsidP="00401C67">
            <w:pPr>
              <w:rPr>
                <w:rFonts w:asciiTheme="minorHAnsi" w:hAnsiTheme="minorHAnsi" w:cstheme="minorHAnsi"/>
              </w:rPr>
            </w:pPr>
          </w:p>
        </w:tc>
      </w:tr>
      <w:tr w:rsidR="00B54D51" w:rsidRPr="00037AD4" w14:paraId="1BC90589" w14:textId="77777777" w:rsidTr="00401C67">
        <w:trPr>
          <w:trHeight w:val="525"/>
        </w:trPr>
        <w:tc>
          <w:tcPr>
            <w:tcW w:w="0" w:type="auto"/>
            <w:shd w:val="clear" w:color="auto" w:fill="F2F2F2" w:themeFill="background1" w:themeFillShade="F2"/>
          </w:tcPr>
          <w:p w14:paraId="34E43AE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AD </w:t>
            </w:r>
          </w:p>
        </w:tc>
        <w:tc>
          <w:tcPr>
            <w:tcW w:w="0" w:type="auto"/>
          </w:tcPr>
          <w:p w14:paraId="32B491A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0.17*</w:t>
            </w:r>
          </w:p>
        </w:tc>
        <w:tc>
          <w:tcPr>
            <w:tcW w:w="0" w:type="auto"/>
          </w:tcPr>
          <w:p w14:paraId="54437B9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0.16*</w:t>
            </w:r>
          </w:p>
        </w:tc>
        <w:tc>
          <w:tcPr>
            <w:tcW w:w="0" w:type="auto"/>
          </w:tcPr>
          <w:p w14:paraId="3BE85EB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0.23*</w:t>
            </w:r>
          </w:p>
        </w:tc>
        <w:tc>
          <w:tcPr>
            <w:tcW w:w="0" w:type="auto"/>
          </w:tcPr>
          <w:p w14:paraId="5C8661A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0.27*</w:t>
            </w:r>
          </w:p>
        </w:tc>
        <w:tc>
          <w:tcPr>
            <w:tcW w:w="0" w:type="auto"/>
            <w:shd w:val="clear" w:color="auto" w:fill="FFE599" w:themeFill="accent4" w:themeFillTint="66"/>
          </w:tcPr>
          <w:p w14:paraId="2A5E29D4" w14:textId="77777777" w:rsidR="00B54D51" w:rsidRPr="00037AD4" w:rsidRDefault="00B54D51" w:rsidP="00401C67">
            <w:pPr>
              <w:rPr>
                <w:rFonts w:asciiTheme="minorHAnsi" w:hAnsiTheme="minorHAnsi" w:cstheme="minorHAnsi"/>
              </w:rPr>
            </w:pPr>
          </w:p>
        </w:tc>
        <w:tc>
          <w:tcPr>
            <w:tcW w:w="0" w:type="auto"/>
            <w:shd w:val="clear" w:color="auto" w:fill="F2F2F2" w:themeFill="background1" w:themeFillShade="F2"/>
          </w:tcPr>
          <w:p w14:paraId="797766C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AD </w:t>
            </w:r>
          </w:p>
        </w:tc>
        <w:tc>
          <w:tcPr>
            <w:tcW w:w="0" w:type="auto"/>
          </w:tcPr>
          <w:p w14:paraId="74AEEC6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0.01</w:t>
            </w:r>
          </w:p>
        </w:tc>
        <w:tc>
          <w:tcPr>
            <w:tcW w:w="0" w:type="auto"/>
          </w:tcPr>
          <w:p w14:paraId="75B0456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0.03</w:t>
            </w:r>
          </w:p>
        </w:tc>
        <w:tc>
          <w:tcPr>
            <w:tcW w:w="0" w:type="auto"/>
          </w:tcPr>
          <w:p w14:paraId="0663180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0.23*</w:t>
            </w:r>
          </w:p>
        </w:tc>
        <w:tc>
          <w:tcPr>
            <w:tcW w:w="0" w:type="auto"/>
          </w:tcPr>
          <w:p w14:paraId="229D5A0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0.35*</w:t>
            </w:r>
          </w:p>
        </w:tc>
        <w:tc>
          <w:tcPr>
            <w:tcW w:w="0" w:type="auto"/>
            <w:shd w:val="clear" w:color="auto" w:fill="FFE599" w:themeFill="accent4" w:themeFillTint="66"/>
          </w:tcPr>
          <w:p w14:paraId="09945D39" w14:textId="77777777" w:rsidR="00B54D51" w:rsidRPr="00037AD4" w:rsidRDefault="00B54D51" w:rsidP="00401C67">
            <w:pPr>
              <w:rPr>
                <w:rFonts w:asciiTheme="minorHAnsi" w:hAnsiTheme="minorHAnsi" w:cstheme="minorHAnsi"/>
              </w:rPr>
            </w:pPr>
          </w:p>
        </w:tc>
      </w:tr>
    </w:tbl>
    <w:p w14:paraId="09E62A98" w14:textId="77777777" w:rsidR="00B54D51" w:rsidRPr="00037AD4" w:rsidRDefault="00B54D51" w:rsidP="001D7ACE">
      <w:pPr>
        <w:rPr>
          <w:rFonts w:asciiTheme="minorHAnsi" w:hAnsiTheme="minorHAnsi" w:cstheme="minorHAnsi"/>
          <w:u w:val="single"/>
        </w:rPr>
      </w:pPr>
    </w:p>
    <w:p w14:paraId="5DFCCA2E" w14:textId="77777777" w:rsidR="00B54D51" w:rsidRPr="00037AD4" w:rsidRDefault="00B54D51" w:rsidP="001D7ACE">
      <w:pPr>
        <w:rPr>
          <w:rFonts w:asciiTheme="minorHAnsi" w:hAnsiTheme="minorHAnsi" w:cstheme="minorHAnsi"/>
          <w:u w:val="single"/>
        </w:rPr>
      </w:pPr>
    </w:p>
    <w:p w14:paraId="45E5330F" w14:textId="77777777" w:rsidR="00B54D51" w:rsidRPr="00037AD4" w:rsidRDefault="00B54D51" w:rsidP="001D7ACE">
      <w:pPr>
        <w:rPr>
          <w:rFonts w:asciiTheme="minorHAnsi" w:hAnsiTheme="minorHAnsi" w:cstheme="minorHAnsi"/>
          <w:u w:val="single"/>
        </w:rPr>
      </w:pPr>
    </w:p>
    <w:p w14:paraId="04E492F4" w14:textId="77777777" w:rsidR="00B54D51" w:rsidRPr="00037AD4" w:rsidRDefault="00B54D51" w:rsidP="001D7ACE">
      <w:pPr>
        <w:rPr>
          <w:rFonts w:asciiTheme="minorHAnsi" w:hAnsiTheme="minorHAnsi" w:cstheme="minorHAnsi"/>
          <w:u w:val="single"/>
        </w:rPr>
      </w:pPr>
    </w:p>
    <w:p w14:paraId="4FE65F93" w14:textId="77777777" w:rsidR="00B54D51" w:rsidRPr="00037AD4" w:rsidRDefault="00B54D51" w:rsidP="001D7ACE">
      <w:pPr>
        <w:rPr>
          <w:rFonts w:asciiTheme="minorHAnsi" w:hAnsiTheme="minorHAnsi" w:cstheme="minorHAnsi"/>
          <w:u w:val="single"/>
        </w:rPr>
      </w:pPr>
    </w:p>
    <w:p w14:paraId="53ED6870" w14:textId="77777777" w:rsidR="00B54D51" w:rsidRPr="00037AD4" w:rsidRDefault="00B54D51" w:rsidP="001D7ACE">
      <w:pPr>
        <w:rPr>
          <w:rFonts w:asciiTheme="minorHAnsi" w:hAnsiTheme="minorHAnsi" w:cstheme="minorHAnsi"/>
          <w:u w:val="single"/>
        </w:rPr>
      </w:pPr>
    </w:p>
    <w:p w14:paraId="55CC68F4" w14:textId="77777777" w:rsidR="00B54D51" w:rsidRPr="00037AD4" w:rsidRDefault="00B54D51" w:rsidP="001D7ACE">
      <w:pPr>
        <w:rPr>
          <w:rFonts w:asciiTheme="minorHAnsi" w:hAnsiTheme="minorHAnsi" w:cstheme="minorHAnsi"/>
          <w:u w:val="single"/>
        </w:rPr>
      </w:pPr>
    </w:p>
    <w:p w14:paraId="1DE3316F" w14:textId="77777777" w:rsidR="00B54D51" w:rsidRPr="00037AD4" w:rsidRDefault="00B54D51" w:rsidP="001D7ACE">
      <w:pPr>
        <w:rPr>
          <w:rFonts w:asciiTheme="minorHAnsi" w:hAnsiTheme="minorHAnsi" w:cstheme="minorHAnsi"/>
          <w:u w:val="single"/>
        </w:rPr>
      </w:pPr>
    </w:p>
    <w:p w14:paraId="2FEC2C2B" w14:textId="77777777" w:rsidR="00B54D51" w:rsidRPr="00037AD4" w:rsidRDefault="00B54D51" w:rsidP="001D7ACE">
      <w:pPr>
        <w:rPr>
          <w:rFonts w:cstheme="minorHAnsi"/>
          <w:u w:val="single"/>
        </w:rPr>
      </w:pPr>
    </w:p>
    <w:p w14:paraId="126733FB" w14:textId="77777777" w:rsidR="00B54D51" w:rsidRPr="00037AD4" w:rsidRDefault="00B54D51" w:rsidP="001D7ACE">
      <w:pPr>
        <w:rPr>
          <w:rFonts w:cstheme="minorHAnsi"/>
          <w:u w:val="single"/>
        </w:rPr>
      </w:pPr>
    </w:p>
    <w:p w14:paraId="1C41ED2B" w14:textId="77777777" w:rsidR="00B54D51" w:rsidRPr="00037AD4" w:rsidRDefault="00B54D51" w:rsidP="001D7ACE">
      <w:pPr>
        <w:rPr>
          <w:rFonts w:cstheme="minorHAnsi"/>
          <w:u w:val="single"/>
        </w:rPr>
        <w:sectPr w:rsidR="00B54D51" w:rsidRPr="00037AD4" w:rsidSect="0051675A">
          <w:pgSz w:w="16838" w:h="11906" w:orient="landscape"/>
          <w:pgMar w:top="1440" w:right="1440" w:bottom="1440" w:left="1440" w:header="708" w:footer="708" w:gutter="0"/>
          <w:cols w:space="708"/>
          <w:docGrid w:linePitch="360"/>
        </w:sectPr>
      </w:pPr>
    </w:p>
    <w:p w14:paraId="28343AF4" w14:textId="77777777" w:rsidR="00B54D51" w:rsidRPr="00037AD4" w:rsidRDefault="00B54D51" w:rsidP="007A43F9">
      <w:pPr>
        <w:pStyle w:val="Heading2"/>
      </w:pPr>
      <w:bookmarkStart w:id="531" w:name="A62"/>
      <w:bookmarkStart w:id="532" w:name="_Toc175742418"/>
      <w:r w:rsidRPr="00037AD4">
        <w:lastRenderedPageBreak/>
        <w:t>Appendix 6.2 Iterations of ordered probit dimension-models</w:t>
      </w:r>
      <w:bookmarkEnd w:id="531"/>
      <w:bookmarkEnd w:id="532"/>
    </w:p>
    <w:p w14:paraId="76C65C2F" w14:textId="77777777" w:rsidR="00B54D51" w:rsidRPr="00037AD4" w:rsidRDefault="00B54D51" w:rsidP="001D7ACE">
      <w:pPr>
        <w:rPr>
          <w:rFonts w:asciiTheme="minorHAnsi" w:hAnsiTheme="minorHAnsi" w:cstheme="minorHAnsi"/>
          <w:color w:val="FF0000"/>
          <w:u w:val="single"/>
        </w:rPr>
      </w:pPr>
    </w:p>
    <w:p w14:paraId="32CB6419" w14:textId="77777777" w:rsidR="00B54D51" w:rsidRPr="00037AD4" w:rsidRDefault="00B54D51" w:rsidP="001D7ACE">
      <w:pPr>
        <w:rPr>
          <w:rFonts w:asciiTheme="minorHAnsi" w:hAnsiTheme="minorHAnsi" w:cstheme="minorHAnsi"/>
          <w:color w:val="000000" w:themeColor="text1"/>
          <w:u w:val="single"/>
        </w:rPr>
      </w:pPr>
      <w:bookmarkStart w:id="533" w:name="A62mob"/>
      <w:r w:rsidRPr="00037AD4">
        <w:rPr>
          <w:rFonts w:asciiTheme="minorHAnsi" w:hAnsiTheme="minorHAnsi" w:cstheme="minorHAnsi"/>
          <w:color w:val="000000" w:themeColor="text1"/>
          <w:u w:val="single"/>
        </w:rPr>
        <w:t xml:space="preserve">Table A6.2a, “Mobility” dimension model iterations: ACTIFCARE </w:t>
      </w:r>
    </w:p>
    <w:bookmarkEnd w:id="533"/>
    <w:p w14:paraId="3FCBD1A6" w14:textId="77777777" w:rsidR="00B54D51" w:rsidRPr="00037AD4" w:rsidRDefault="00B54D51" w:rsidP="001D7ACE">
      <w:pPr>
        <w:rPr>
          <w:color w:val="FF0000"/>
          <w:u w:val="single"/>
        </w:rPr>
      </w:pPr>
    </w:p>
    <w:tbl>
      <w:tblPr>
        <w:tblW w:w="5000" w:type="pct"/>
        <w:jc w:val="center"/>
        <w:tblCellMar>
          <w:left w:w="75" w:type="dxa"/>
          <w:right w:w="75" w:type="dxa"/>
        </w:tblCellMar>
        <w:tblLook w:val="0000" w:firstRow="0" w:lastRow="0" w:firstColumn="0" w:lastColumn="0" w:noHBand="0" w:noVBand="0"/>
      </w:tblPr>
      <w:tblGrid>
        <w:gridCol w:w="2903"/>
        <w:gridCol w:w="1225"/>
        <w:gridCol w:w="1226"/>
        <w:gridCol w:w="1226"/>
        <w:gridCol w:w="1226"/>
        <w:gridCol w:w="1220"/>
      </w:tblGrid>
      <w:tr w:rsidR="00B54D51" w:rsidRPr="00037AD4" w14:paraId="0B7D90C2" w14:textId="77777777" w:rsidTr="00401C67">
        <w:trPr>
          <w:jc w:val="center"/>
        </w:trPr>
        <w:tc>
          <w:tcPr>
            <w:tcW w:w="1608" w:type="pct"/>
            <w:tcBorders>
              <w:top w:val="single" w:sz="6" w:space="0" w:color="auto"/>
              <w:left w:val="nil"/>
              <w:bottom w:val="nil"/>
              <w:right w:val="nil"/>
            </w:tcBorders>
          </w:tcPr>
          <w:p w14:paraId="09369A7C" w14:textId="77777777" w:rsidR="00B54D51" w:rsidRPr="00037AD4" w:rsidRDefault="00B54D51" w:rsidP="00401C67">
            <w:pPr>
              <w:widowControl w:val="0"/>
              <w:autoSpaceDE w:val="0"/>
              <w:autoSpaceDN w:val="0"/>
              <w:adjustRightInd w:val="0"/>
            </w:pPr>
          </w:p>
        </w:tc>
        <w:tc>
          <w:tcPr>
            <w:tcW w:w="679" w:type="pct"/>
            <w:tcBorders>
              <w:top w:val="single" w:sz="6" w:space="0" w:color="auto"/>
              <w:left w:val="nil"/>
              <w:bottom w:val="nil"/>
              <w:right w:val="nil"/>
            </w:tcBorders>
          </w:tcPr>
          <w:p w14:paraId="0ED13DF9" w14:textId="77777777" w:rsidR="00B54D51" w:rsidRPr="00037AD4" w:rsidRDefault="00B54D51" w:rsidP="00401C67">
            <w:pPr>
              <w:widowControl w:val="0"/>
              <w:autoSpaceDE w:val="0"/>
              <w:autoSpaceDN w:val="0"/>
              <w:adjustRightInd w:val="0"/>
              <w:jc w:val="center"/>
            </w:pPr>
            <w:r w:rsidRPr="00037AD4">
              <w:t>(1)</w:t>
            </w:r>
          </w:p>
        </w:tc>
        <w:tc>
          <w:tcPr>
            <w:tcW w:w="679" w:type="pct"/>
            <w:tcBorders>
              <w:top w:val="single" w:sz="6" w:space="0" w:color="auto"/>
              <w:left w:val="nil"/>
              <w:bottom w:val="nil"/>
              <w:right w:val="nil"/>
            </w:tcBorders>
          </w:tcPr>
          <w:p w14:paraId="0C433268" w14:textId="77777777" w:rsidR="00B54D51" w:rsidRPr="00037AD4" w:rsidRDefault="00B54D51" w:rsidP="00401C67">
            <w:pPr>
              <w:widowControl w:val="0"/>
              <w:autoSpaceDE w:val="0"/>
              <w:autoSpaceDN w:val="0"/>
              <w:adjustRightInd w:val="0"/>
              <w:jc w:val="center"/>
            </w:pPr>
            <w:r w:rsidRPr="00037AD4">
              <w:t>(2)</w:t>
            </w:r>
          </w:p>
        </w:tc>
        <w:tc>
          <w:tcPr>
            <w:tcW w:w="679" w:type="pct"/>
            <w:tcBorders>
              <w:top w:val="single" w:sz="6" w:space="0" w:color="auto"/>
              <w:left w:val="nil"/>
              <w:bottom w:val="nil"/>
              <w:right w:val="nil"/>
            </w:tcBorders>
          </w:tcPr>
          <w:p w14:paraId="08F1750F" w14:textId="77777777" w:rsidR="00B54D51" w:rsidRPr="00037AD4" w:rsidRDefault="00B54D51" w:rsidP="00401C67">
            <w:pPr>
              <w:widowControl w:val="0"/>
              <w:autoSpaceDE w:val="0"/>
              <w:autoSpaceDN w:val="0"/>
              <w:adjustRightInd w:val="0"/>
              <w:jc w:val="center"/>
            </w:pPr>
            <w:r w:rsidRPr="00037AD4">
              <w:t>(3)</w:t>
            </w:r>
          </w:p>
        </w:tc>
        <w:tc>
          <w:tcPr>
            <w:tcW w:w="679" w:type="pct"/>
            <w:tcBorders>
              <w:top w:val="single" w:sz="6" w:space="0" w:color="auto"/>
              <w:left w:val="nil"/>
              <w:bottom w:val="nil"/>
              <w:right w:val="nil"/>
            </w:tcBorders>
          </w:tcPr>
          <w:p w14:paraId="3224798C" w14:textId="77777777" w:rsidR="00B54D51" w:rsidRPr="00037AD4" w:rsidRDefault="00B54D51" w:rsidP="00401C67">
            <w:pPr>
              <w:widowControl w:val="0"/>
              <w:autoSpaceDE w:val="0"/>
              <w:autoSpaceDN w:val="0"/>
              <w:adjustRightInd w:val="0"/>
              <w:jc w:val="center"/>
            </w:pPr>
            <w:r w:rsidRPr="00037AD4">
              <w:t>(4)</w:t>
            </w:r>
          </w:p>
        </w:tc>
        <w:tc>
          <w:tcPr>
            <w:tcW w:w="677" w:type="pct"/>
            <w:tcBorders>
              <w:top w:val="single" w:sz="6" w:space="0" w:color="auto"/>
              <w:left w:val="nil"/>
              <w:bottom w:val="nil"/>
              <w:right w:val="nil"/>
            </w:tcBorders>
          </w:tcPr>
          <w:p w14:paraId="3C57B312" w14:textId="77777777" w:rsidR="00B54D51" w:rsidRPr="00037AD4" w:rsidRDefault="00B54D51" w:rsidP="00401C67">
            <w:pPr>
              <w:widowControl w:val="0"/>
              <w:autoSpaceDE w:val="0"/>
              <w:autoSpaceDN w:val="0"/>
              <w:adjustRightInd w:val="0"/>
              <w:jc w:val="center"/>
            </w:pPr>
            <w:r w:rsidRPr="00037AD4">
              <w:t>(4)</w:t>
            </w:r>
          </w:p>
        </w:tc>
      </w:tr>
      <w:tr w:rsidR="00B54D51" w:rsidRPr="00037AD4" w14:paraId="0F553DCC" w14:textId="77777777" w:rsidTr="00401C67">
        <w:trPr>
          <w:jc w:val="center"/>
        </w:trPr>
        <w:tc>
          <w:tcPr>
            <w:tcW w:w="1608" w:type="pct"/>
            <w:tcBorders>
              <w:top w:val="nil"/>
              <w:left w:val="nil"/>
              <w:bottom w:val="single" w:sz="6" w:space="0" w:color="auto"/>
              <w:right w:val="nil"/>
            </w:tcBorders>
          </w:tcPr>
          <w:p w14:paraId="6B27266F" w14:textId="77777777" w:rsidR="00B54D51" w:rsidRPr="00037AD4" w:rsidRDefault="00B54D51" w:rsidP="00401C67">
            <w:pPr>
              <w:widowControl w:val="0"/>
              <w:autoSpaceDE w:val="0"/>
              <w:autoSpaceDN w:val="0"/>
              <w:adjustRightInd w:val="0"/>
            </w:pPr>
            <w:r w:rsidRPr="00037AD4">
              <w:t>VARIABLES</w:t>
            </w:r>
          </w:p>
        </w:tc>
        <w:tc>
          <w:tcPr>
            <w:tcW w:w="679" w:type="pct"/>
            <w:tcBorders>
              <w:top w:val="nil"/>
              <w:left w:val="nil"/>
              <w:bottom w:val="single" w:sz="6" w:space="0" w:color="auto"/>
              <w:right w:val="nil"/>
            </w:tcBorders>
          </w:tcPr>
          <w:p w14:paraId="57FA66DC" w14:textId="77777777" w:rsidR="00B54D51" w:rsidRPr="00037AD4" w:rsidRDefault="00B54D51" w:rsidP="00401C67">
            <w:pPr>
              <w:widowControl w:val="0"/>
              <w:autoSpaceDE w:val="0"/>
              <w:autoSpaceDN w:val="0"/>
              <w:adjustRightInd w:val="0"/>
              <w:jc w:val="center"/>
            </w:pPr>
            <w:r w:rsidRPr="00037AD4">
              <w:t>Model 1</w:t>
            </w:r>
          </w:p>
        </w:tc>
        <w:tc>
          <w:tcPr>
            <w:tcW w:w="679" w:type="pct"/>
            <w:tcBorders>
              <w:top w:val="nil"/>
              <w:left w:val="nil"/>
              <w:bottom w:val="single" w:sz="6" w:space="0" w:color="auto"/>
              <w:right w:val="nil"/>
            </w:tcBorders>
          </w:tcPr>
          <w:p w14:paraId="3C48ED8C" w14:textId="77777777" w:rsidR="00B54D51" w:rsidRPr="00037AD4" w:rsidRDefault="00B54D51" w:rsidP="00401C67">
            <w:pPr>
              <w:widowControl w:val="0"/>
              <w:autoSpaceDE w:val="0"/>
              <w:autoSpaceDN w:val="0"/>
              <w:adjustRightInd w:val="0"/>
              <w:jc w:val="center"/>
            </w:pPr>
            <w:r w:rsidRPr="00037AD4">
              <w:t>Model 2</w:t>
            </w:r>
          </w:p>
        </w:tc>
        <w:tc>
          <w:tcPr>
            <w:tcW w:w="679" w:type="pct"/>
            <w:tcBorders>
              <w:top w:val="nil"/>
              <w:left w:val="nil"/>
              <w:bottom w:val="single" w:sz="6" w:space="0" w:color="auto"/>
              <w:right w:val="nil"/>
            </w:tcBorders>
          </w:tcPr>
          <w:p w14:paraId="54CDF5B7" w14:textId="77777777" w:rsidR="00B54D51" w:rsidRPr="00037AD4" w:rsidRDefault="00B54D51" w:rsidP="00401C67">
            <w:pPr>
              <w:widowControl w:val="0"/>
              <w:autoSpaceDE w:val="0"/>
              <w:autoSpaceDN w:val="0"/>
              <w:adjustRightInd w:val="0"/>
              <w:jc w:val="center"/>
            </w:pPr>
            <w:r w:rsidRPr="00037AD4">
              <w:t>Model 3</w:t>
            </w:r>
          </w:p>
        </w:tc>
        <w:tc>
          <w:tcPr>
            <w:tcW w:w="679" w:type="pct"/>
            <w:tcBorders>
              <w:top w:val="nil"/>
              <w:left w:val="nil"/>
              <w:bottom w:val="single" w:sz="6" w:space="0" w:color="auto"/>
              <w:right w:val="nil"/>
            </w:tcBorders>
          </w:tcPr>
          <w:p w14:paraId="7C584FDC" w14:textId="77777777" w:rsidR="00B54D51" w:rsidRPr="00037AD4" w:rsidRDefault="00B54D51" w:rsidP="00401C67">
            <w:pPr>
              <w:widowControl w:val="0"/>
              <w:autoSpaceDE w:val="0"/>
              <w:autoSpaceDN w:val="0"/>
              <w:adjustRightInd w:val="0"/>
              <w:jc w:val="center"/>
            </w:pPr>
            <w:r w:rsidRPr="00037AD4">
              <w:t>Model 4</w:t>
            </w:r>
          </w:p>
        </w:tc>
        <w:tc>
          <w:tcPr>
            <w:tcW w:w="677" w:type="pct"/>
            <w:tcBorders>
              <w:top w:val="nil"/>
              <w:left w:val="nil"/>
              <w:bottom w:val="single" w:sz="6" w:space="0" w:color="auto"/>
              <w:right w:val="nil"/>
            </w:tcBorders>
          </w:tcPr>
          <w:p w14:paraId="62FC97B7" w14:textId="77777777" w:rsidR="00B54D51" w:rsidRPr="00037AD4" w:rsidRDefault="00B54D51" w:rsidP="00401C67">
            <w:pPr>
              <w:widowControl w:val="0"/>
              <w:autoSpaceDE w:val="0"/>
              <w:autoSpaceDN w:val="0"/>
              <w:adjustRightInd w:val="0"/>
              <w:jc w:val="center"/>
            </w:pPr>
            <w:r w:rsidRPr="00037AD4">
              <w:t>Model 5</w:t>
            </w:r>
          </w:p>
        </w:tc>
      </w:tr>
      <w:tr w:rsidR="00B54D51" w:rsidRPr="00037AD4" w14:paraId="1778E5EB" w14:textId="77777777" w:rsidTr="00401C67">
        <w:trPr>
          <w:jc w:val="center"/>
        </w:trPr>
        <w:tc>
          <w:tcPr>
            <w:tcW w:w="1608" w:type="pct"/>
            <w:tcBorders>
              <w:top w:val="nil"/>
              <w:left w:val="nil"/>
              <w:bottom w:val="nil"/>
              <w:right w:val="nil"/>
            </w:tcBorders>
          </w:tcPr>
          <w:p w14:paraId="54306751" w14:textId="77777777" w:rsidR="00B54D51" w:rsidRPr="00037AD4" w:rsidRDefault="00B54D51" w:rsidP="00401C67">
            <w:pPr>
              <w:widowControl w:val="0"/>
              <w:autoSpaceDE w:val="0"/>
              <w:autoSpaceDN w:val="0"/>
              <w:adjustRightInd w:val="0"/>
            </w:pPr>
          </w:p>
        </w:tc>
        <w:tc>
          <w:tcPr>
            <w:tcW w:w="679" w:type="pct"/>
            <w:tcBorders>
              <w:top w:val="nil"/>
              <w:left w:val="nil"/>
              <w:bottom w:val="nil"/>
              <w:right w:val="nil"/>
            </w:tcBorders>
          </w:tcPr>
          <w:p w14:paraId="5FF86EB5"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58BBFF40"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3F3C30DD"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032B565F" w14:textId="77777777" w:rsidR="00B54D51" w:rsidRPr="00037AD4" w:rsidRDefault="00B54D51" w:rsidP="00401C67">
            <w:pPr>
              <w:widowControl w:val="0"/>
              <w:autoSpaceDE w:val="0"/>
              <w:autoSpaceDN w:val="0"/>
              <w:adjustRightInd w:val="0"/>
              <w:jc w:val="center"/>
            </w:pPr>
          </w:p>
        </w:tc>
        <w:tc>
          <w:tcPr>
            <w:tcW w:w="677" w:type="pct"/>
            <w:tcBorders>
              <w:top w:val="nil"/>
              <w:left w:val="nil"/>
              <w:bottom w:val="nil"/>
              <w:right w:val="nil"/>
            </w:tcBorders>
          </w:tcPr>
          <w:p w14:paraId="309D23F3" w14:textId="77777777" w:rsidR="00B54D51" w:rsidRPr="00037AD4" w:rsidRDefault="00B54D51" w:rsidP="00401C67">
            <w:pPr>
              <w:widowControl w:val="0"/>
              <w:autoSpaceDE w:val="0"/>
              <w:autoSpaceDN w:val="0"/>
              <w:adjustRightInd w:val="0"/>
              <w:jc w:val="center"/>
            </w:pPr>
          </w:p>
        </w:tc>
      </w:tr>
      <w:tr w:rsidR="00B54D51" w:rsidRPr="00037AD4" w14:paraId="18E94F0D" w14:textId="77777777" w:rsidTr="00401C67">
        <w:trPr>
          <w:jc w:val="center"/>
        </w:trPr>
        <w:tc>
          <w:tcPr>
            <w:tcW w:w="1608" w:type="pct"/>
            <w:tcBorders>
              <w:top w:val="nil"/>
              <w:left w:val="nil"/>
              <w:bottom w:val="nil"/>
              <w:right w:val="nil"/>
            </w:tcBorders>
          </w:tcPr>
          <w:p w14:paraId="14191B2D" w14:textId="77777777" w:rsidR="00B54D51" w:rsidRPr="00037AD4" w:rsidRDefault="00B54D51" w:rsidP="00401C67">
            <w:pPr>
              <w:widowControl w:val="0"/>
              <w:autoSpaceDE w:val="0"/>
              <w:autoSpaceDN w:val="0"/>
              <w:adjustRightInd w:val="0"/>
            </w:pPr>
            <w:r w:rsidRPr="00037AD4">
              <w:t>2.eq1RP_</w:t>
            </w:r>
          </w:p>
        </w:tc>
        <w:tc>
          <w:tcPr>
            <w:tcW w:w="679" w:type="pct"/>
            <w:tcBorders>
              <w:top w:val="nil"/>
              <w:left w:val="nil"/>
              <w:bottom w:val="nil"/>
              <w:right w:val="nil"/>
            </w:tcBorders>
          </w:tcPr>
          <w:p w14:paraId="223446AC" w14:textId="77777777" w:rsidR="00B54D51" w:rsidRPr="00037AD4" w:rsidRDefault="00B54D51" w:rsidP="00401C67">
            <w:pPr>
              <w:widowControl w:val="0"/>
              <w:autoSpaceDE w:val="0"/>
              <w:autoSpaceDN w:val="0"/>
              <w:adjustRightInd w:val="0"/>
              <w:jc w:val="center"/>
            </w:pPr>
            <w:r w:rsidRPr="00037AD4">
              <w:t>0.844***</w:t>
            </w:r>
          </w:p>
        </w:tc>
        <w:tc>
          <w:tcPr>
            <w:tcW w:w="679" w:type="pct"/>
            <w:tcBorders>
              <w:top w:val="nil"/>
              <w:left w:val="nil"/>
              <w:bottom w:val="nil"/>
              <w:right w:val="nil"/>
            </w:tcBorders>
          </w:tcPr>
          <w:p w14:paraId="4A87E63D" w14:textId="77777777" w:rsidR="00B54D51" w:rsidRPr="00037AD4" w:rsidRDefault="00B54D51" w:rsidP="00401C67">
            <w:pPr>
              <w:widowControl w:val="0"/>
              <w:autoSpaceDE w:val="0"/>
              <w:autoSpaceDN w:val="0"/>
              <w:adjustRightInd w:val="0"/>
              <w:jc w:val="center"/>
            </w:pPr>
            <w:r w:rsidRPr="00037AD4">
              <w:t>0.830***</w:t>
            </w:r>
          </w:p>
        </w:tc>
        <w:tc>
          <w:tcPr>
            <w:tcW w:w="679" w:type="pct"/>
            <w:tcBorders>
              <w:top w:val="nil"/>
              <w:left w:val="nil"/>
              <w:bottom w:val="nil"/>
              <w:right w:val="nil"/>
            </w:tcBorders>
          </w:tcPr>
          <w:p w14:paraId="5A987D03" w14:textId="77777777" w:rsidR="00B54D51" w:rsidRPr="00037AD4" w:rsidRDefault="00B54D51" w:rsidP="00401C67">
            <w:pPr>
              <w:widowControl w:val="0"/>
              <w:autoSpaceDE w:val="0"/>
              <w:autoSpaceDN w:val="0"/>
              <w:adjustRightInd w:val="0"/>
              <w:jc w:val="center"/>
            </w:pPr>
            <w:r w:rsidRPr="00037AD4">
              <w:t>0.824***</w:t>
            </w:r>
          </w:p>
        </w:tc>
        <w:tc>
          <w:tcPr>
            <w:tcW w:w="679" w:type="pct"/>
            <w:tcBorders>
              <w:top w:val="nil"/>
              <w:left w:val="nil"/>
              <w:bottom w:val="nil"/>
              <w:right w:val="nil"/>
            </w:tcBorders>
          </w:tcPr>
          <w:p w14:paraId="2700C78A" w14:textId="77777777" w:rsidR="00B54D51" w:rsidRPr="00037AD4" w:rsidRDefault="00B54D51" w:rsidP="00401C67">
            <w:pPr>
              <w:widowControl w:val="0"/>
              <w:autoSpaceDE w:val="0"/>
              <w:autoSpaceDN w:val="0"/>
              <w:adjustRightInd w:val="0"/>
              <w:jc w:val="center"/>
            </w:pPr>
            <w:r w:rsidRPr="00037AD4">
              <w:t>0.840***</w:t>
            </w:r>
          </w:p>
        </w:tc>
        <w:tc>
          <w:tcPr>
            <w:tcW w:w="677" w:type="pct"/>
            <w:tcBorders>
              <w:top w:val="nil"/>
              <w:left w:val="nil"/>
              <w:bottom w:val="nil"/>
              <w:right w:val="nil"/>
            </w:tcBorders>
          </w:tcPr>
          <w:p w14:paraId="63F3BEBD" w14:textId="77777777" w:rsidR="00B54D51" w:rsidRPr="00037AD4" w:rsidRDefault="00B54D51" w:rsidP="00401C67">
            <w:pPr>
              <w:widowControl w:val="0"/>
              <w:autoSpaceDE w:val="0"/>
              <w:autoSpaceDN w:val="0"/>
              <w:adjustRightInd w:val="0"/>
              <w:jc w:val="center"/>
            </w:pPr>
            <w:r w:rsidRPr="00037AD4">
              <w:t>0.825***</w:t>
            </w:r>
          </w:p>
        </w:tc>
      </w:tr>
      <w:tr w:rsidR="00B54D51" w:rsidRPr="00037AD4" w14:paraId="51FB2D9C" w14:textId="77777777" w:rsidTr="00401C67">
        <w:trPr>
          <w:jc w:val="center"/>
        </w:trPr>
        <w:tc>
          <w:tcPr>
            <w:tcW w:w="1608" w:type="pct"/>
            <w:tcBorders>
              <w:top w:val="nil"/>
              <w:left w:val="nil"/>
              <w:bottom w:val="nil"/>
              <w:right w:val="nil"/>
            </w:tcBorders>
          </w:tcPr>
          <w:p w14:paraId="498A58E6" w14:textId="77777777" w:rsidR="00B54D51" w:rsidRPr="00037AD4" w:rsidRDefault="00B54D51" w:rsidP="00401C67">
            <w:pPr>
              <w:widowControl w:val="0"/>
              <w:autoSpaceDE w:val="0"/>
              <w:autoSpaceDN w:val="0"/>
              <w:adjustRightInd w:val="0"/>
            </w:pPr>
          </w:p>
        </w:tc>
        <w:tc>
          <w:tcPr>
            <w:tcW w:w="679" w:type="pct"/>
            <w:tcBorders>
              <w:top w:val="nil"/>
              <w:left w:val="nil"/>
              <w:bottom w:val="nil"/>
              <w:right w:val="nil"/>
            </w:tcBorders>
          </w:tcPr>
          <w:p w14:paraId="5B814BB7" w14:textId="77777777" w:rsidR="00B54D51" w:rsidRPr="00037AD4" w:rsidRDefault="00B54D51" w:rsidP="00401C67">
            <w:pPr>
              <w:widowControl w:val="0"/>
              <w:autoSpaceDE w:val="0"/>
              <w:autoSpaceDN w:val="0"/>
              <w:adjustRightInd w:val="0"/>
              <w:jc w:val="center"/>
            </w:pPr>
            <w:r w:rsidRPr="00037AD4">
              <w:t>(0.591 - 1.097)</w:t>
            </w:r>
          </w:p>
        </w:tc>
        <w:tc>
          <w:tcPr>
            <w:tcW w:w="679" w:type="pct"/>
            <w:tcBorders>
              <w:top w:val="nil"/>
              <w:left w:val="nil"/>
              <w:bottom w:val="nil"/>
              <w:right w:val="nil"/>
            </w:tcBorders>
          </w:tcPr>
          <w:p w14:paraId="0A42955C" w14:textId="77777777" w:rsidR="00B54D51" w:rsidRPr="00037AD4" w:rsidRDefault="00B54D51" w:rsidP="00401C67">
            <w:pPr>
              <w:widowControl w:val="0"/>
              <w:autoSpaceDE w:val="0"/>
              <w:autoSpaceDN w:val="0"/>
              <w:adjustRightInd w:val="0"/>
              <w:jc w:val="center"/>
            </w:pPr>
            <w:r w:rsidRPr="00037AD4">
              <w:t>(0.593 - 1.067)</w:t>
            </w:r>
          </w:p>
        </w:tc>
        <w:tc>
          <w:tcPr>
            <w:tcW w:w="679" w:type="pct"/>
            <w:tcBorders>
              <w:top w:val="nil"/>
              <w:left w:val="nil"/>
              <w:bottom w:val="nil"/>
              <w:right w:val="nil"/>
            </w:tcBorders>
          </w:tcPr>
          <w:p w14:paraId="376890C9" w14:textId="77777777" w:rsidR="00B54D51" w:rsidRPr="00037AD4" w:rsidRDefault="00B54D51" w:rsidP="00401C67">
            <w:pPr>
              <w:widowControl w:val="0"/>
              <w:autoSpaceDE w:val="0"/>
              <w:autoSpaceDN w:val="0"/>
              <w:adjustRightInd w:val="0"/>
              <w:jc w:val="center"/>
            </w:pPr>
            <w:r w:rsidRPr="00037AD4">
              <w:t>(0.590 - 1.058)</w:t>
            </w:r>
          </w:p>
        </w:tc>
        <w:tc>
          <w:tcPr>
            <w:tcW w:w="679" w:type="pct"/>
            <w:tcBorders>
              <w:top w:val="nil"/>
              <w:left w:val="nil"/>
              <w:bottom w:val="nil"/>
              <w:right w:val="nil"/>
            </w:tcBorders>
          </w:tcPr>
          <w:p w14:paraId="418748DC" w14:textId="77777777" w:rsidR="00B54D51" w:rsidRPr="00037AD4" w:rsidRDefault="00B54D51" w:rsidP="00401C67">
            <w:pPr>
              <w:widowControl w:val="0"/>
              <w:autoSpaceDE w:val="0"/>
              <w:autoSpaceDN w:val="0"/>
              <w:adjustRightInd w:val="0"/>
              <w:jc w:val="center"/>
            </w:pPr>
            <w:r w:rsidRPr="00037AD4">
              <w:t>(0.617 - 1.063)</w:t>
            </w:r>
          </w:p>
        </w:tc>
        <w:tc>
          <w:tcPr>
            <w:tcW w:w="677" w:type="pct"/>
            <w:tcBorders>
              <w:top w:val="nil"/>
              <w:left w:val="nil"/>
              <w:bottom w:val="nil"/>
              <w:right w:val="nil"/>
            </w:tcBorders>
          </w:tcPr>
          <w:p w14:paraId="7E02F197" w14:textId="77777777" w:rsidR="00B54D51" w:rsidRPr="00037AD4" w:rsidRDefault="00B54D51" w:rsidP="00401C67">
            <w:pPr>
              <w:widowControl w:val="0"/>
              <w:autoSpaceDE w:val="0"/>
              <w:autoSpaceDN w:val="0"/>
              <w:adjustRightInd w:val="0"/>
              <w:jc w:val="center"/>
            </w:pPr>
            <w:r w:rsidRPr="00037AD4">
              <w:t>(0.591 - 1.059)</w:t>
            </w:r>
          </w:p>
        </w:tc>
      </w:tr>
      <w:tr w:rsidR="00B54D51" w:rsidRPr="00037AD4" w14:paraId="3DF84841" w14:textId="77777777" w:rsidTr="00401C67">
        <w:trPr>
          <w:jc w:val="center"/>
        </w:trPr>
        <w:tc>
          <w:tcPr>
            <w:tcW w:w="1608" w:type="pct"/>
            <w:tcBorders>
              <w:top w:val="nil"/>
              <w:left w:val="nil"/>
              <w:bottom w:val="nil"/>
              <w:right w:val="nil"/>
            </w:tcBorders>
          </w:tcPr>
          <w:p w14:paraId="2C1187F9" w14:textId="77777777" w:rsidR="00B54D51" w:rsidRPr="00037AD4" w:rsidRDefault="00B54D51" w:rsidP="00401C67">
            <w:pPr>
              <w:widowControl w:val="0"/>
              <w:autoSpaceDE w:val="0"/>
              <w:autoSpaceDN w:val="0"/>
              <w:adjustRightInd w:val="0"/>
            </w:pPr>
            <w:r w:rsidRPr="00037AD4">
              <w:t>3.eq1RP_</w:t>
            </w:r>
          </w:p>
        </w:tc>
        <w:tc>
          <w:tcPr>
            <w:tcW w:w="679" w:type="pct"/>
            <w:tcBorders>
              <w:top w:val="nil"/>
              <w:left w:val="nil"/>
              <w:bottom w:val="nil"/>
              <w:right w:val="nil"/>
            </w:tcBorders>
          </w:tcPr>
          <w:p w14:paraId="379A2E2E" w14:textId="77777777" w:rsidR="00B54D51" w:rsidRPr="00037AD4" w:rsidRDefault="00B54D51" w:rsidP="00401C67">
            <w:pPr>
              <w:widowControl w:val="0"/>
              <w:autoSpaceDE w:val="0"/>
              <w:autoSpaceDN w:val="0"/>
              <w:adjustRightInd w:val="0"/>
              <w:jc w:val="center"/>
            </w:pPr>
            <w:r w:rsidRPr="00037AD4">
              <w:t>1.656***</w:t>
            </w:r>
          </w:p>
        </w:tc>
        <w:tc>
          <w:tcPr>
            <w:tcW w:w="679" w:type="pct"/>
            <w:tcBorders>
              <w:top w:val="nil"/>
              <w:left w:val="nil"/>
              <w:bottom w:val="nil"/>
              <w:right w:val="nil"/>
            </w:tcBorders>
          </w:tcPr>
          <w:p w14:paraId="30EA6292" w14:textId="77777777" w:rsidR="00B54D51" w:rsidRPr="00037AD4" w:rsidRDefault="00B54D51" w:rsidP="00401C67">
            <w:pPr>
              <w:widowControl w:val="0"/>
              <w:autoSpaceDE w:val="0"/>
              <w:autoSpaceDN w:val="0"/>
              <w:adjustRightInd w:val="0"/>
              <w:jc w:val="center"/>
            </w:pPr>
            <w:r w:rsidRPr="00037AD4">
              <w:t>1.626***</w:t>
            </w:r>
          </w:p>
        </w:tc>
        <w:tc>
          <w:tcPr>
            <w:tcW w:w="679" w:type="pct"/>
            <w:tcBorders>
              <w:top w:val="nil"/>
              <w:left w:val="nil"/>
              <w:bottom w:val="nil"/>
              <w:right w:val="nil"/>
            </w:tcBorders>
          </w:tcPr>
          <w:p w14:paraId="2AD435EF" w14:textId="77777777" w:rsidR="00B54D51" w:rsidRPr="00037AD4" w:rsidRDefault="00B54D51" w:rsidP="00401C67">
            <w:pPr>
              <w:widowControl w:val="0"/>
              <w:autoSpaceDE w:val="0"/>
              <w:autoSpaceDN w:val="0"/>
              <w:adjustRightInd w:val="0"/>
              <w:jc w:val="center"/>
            </w:pPr>
            <w:r w:rsidRPr="00037AD4">
              <w:t>1.611***</w:t>
            </w:r>
          </w:p>
        </w:tc>
        <w:tc>
          <w:tcPr>
            <w:tcW w:w="679" w:type="pct"/>
            <w:tcBorders>
              <w:top w:val="nil"/>
              <w:left w:val="nil"/>
              <w:bottom w:val="nil"/>
              <w:right w:val="nil"/>
            </w:tcBorders>
          </w:tcPr>
          <w:p w14:paraId="2A25E2D3" w14:textId="77777777" w:rsidR="00B54D51" w:rsidRPr="00037AD4" w:rsidRDefault="00B54D51" w:rsidP="00401C67">
            <w:pPr>
              <w:widowControl w:val="0"/>
              <w:autoSpaceDE w:val="0"/>
              <w:autoSpaceDN w:val="0"/>
              <w:adjustRightInd w:val="0"/>
              <w:jc w:val="center"/>
            </w:pPr>
            <w:r w:rsidRPr="00037AD4">
              <w:t>1.692***</w:t>
            </w:r>
          </w:p>
        </w:tc>
        <w:tc>
          <w:tcPr>
            <w:tcW w:w="677" w:type="pct"/>
            <w:tcBorders>
              <w:top w:val="nil"/>
              <w:left w:val="nil"/>
              <w:bottom w:val="nil"/>
              <w:right w:val="nil"/>
            </w:tcBorders>
          </w:tcPr>
          <w:p w14:paraId="0A7B79B2" w14:textId="77777777" w:rsidR="00B54D51" w:rsidRPr="00037AD4" w:rsidRDefault="00B54D51" w:rsidP="00401C67">
            <w:pPr>
              <w:widowControl w:val="0"/>
              <w:autoSpaceDE w:val="0"/>
              <w:autoSpaceDN w:val="0"/>
              <w:adjustRightInd w:val="0"/>
              <w:jc w:val="center"/>
            </w:pPr>
            <w:r w:rsidRPr="00037AD4">
              <w:t>1.614***</w:t>
            </w:r>
          </w:p>
        </w:tc>
      </w:tr>
      <w:tr w:rsidR="00B54D51" w:rsidRPr="00037AD4" w14:paraId="02FA3E29" w14:textId="77777777" w:rsidTr="00401C67">
        <w:trPr>
          <w:jc w:val="center"/>
        </w:trPr>
        <w:tc>
          <w:tcPr>
            <w:tcW w:w="1608" w:type="pct"/>
            <w:tcBorders>
              <w:top w:val="nil"/>
              <w:left w:val="nil"/>
              <w:bottom w:val="nil"/>
              <w:right w:val="nil"/>
            </w:tcBorders>
          </w:tcPr>
          <w:p w14:paraId="78F8ADFE" w14:textId="77777777" w:rsidR="00B54D51" w:rsidRPr="00037AD4" w:rsidRDefault="00B54D51" w:rsidP="00401C67">
            <w:pPr>
              <w:widowControl w:val="0"/>
              <w:autoSpaceDE w:val="0"/>
              <w:autoSpaceDN w:val="0"/>
              <w:adjustRightInd w:val="0"/>
            </w:pPr>
          </w:p>
        </w:tc>
        <w:tc>
          <w:tcPr>
            <w:tcW w:w="679" w:type="pct"/>
            <w:tcBorders>
              <w:top w:val="nil"/>
              <w:left w:val="nil"/>
              <w:bottom w:val="nil"/>
              <w:right w:val="nil"/>
            </w:tcBorders>
          </w:tcPr>
          <w:p w14:paraId="7737D4F1" w14:textId="77777777" w:rsidR="00B54D51" w:rsidRPr="00037AD4" w:rsidRDefault="00B54D51" w:rsidP="00401C67">
            <w:pPr>
              <w:widowControl w:val="0"/>
              <w:autoSpaceDE w:val="0"/>
              <w:autoSpaceDN w:val="0"/>
              <w:adjustRightInd w:val="0"/>
              <w:jc w:val="center"/>
            </w:pPr>
            <w:r w:rsidRPr="00037AD4">
              <w:t>(1.369 - 1.944)</w:t>
            </w:r>
          </w:p>
        </w:tc>
        <w:tc>
          <w:tcPr>
            <w:tcW w:w="679" w:type="pct"/>
            <w:tcBorders>
              <w:top w:val="nil"/>
              <w:left w:val="nil"/>
              <w:bottom w:val="nil"/>
              <w:right w:val="nil"/>
            </w:tcBorders>
          </w:tcPr>
          <w:p w14:paraId="33F12281" w14:textId="77777777" w:rsidR="00B54D51" w:rsidRPr="00037AD4" w:rsidRDefault="00B54D51" w:rsidP="00401C67">
            <w:pPr>
              <w:widowControl w:val="0"/>
              <w:autoSpaceDE w:val="0"/>
              <w:autoSpaceDN w:val="0"/>
              <w:adjustRightInd w:val="0"/>
              <w:jc w:val="center"/>
            </w:pPr>
            <w:r w:rsidRPr="00037AD4">
              <w:t>(1.369 - 1.883)</w:t>
            </w:r>
          </w:p>
        </w:tc>
        <w:tc>
          <w:tcPr>
            <w:tcW w:w="679" w:type="pct"/>
            <w:tcBorders>
              <w:top w:val="nil"/>
              <w:left w:val="nil"/>
              <w:bottom w:val="nil"/>
              <w:right w:val="nil"/>
            </w:tcBorders>
          </w:tcPr>
          <w:p w14:paraId="44C57991" w14:textId="77777777" w:rsidR="00B54D51" w:rsidRPr="00037AD4" w:rsidRDefault="00B54D51" w:rsidP="00401C67">
            <w:pPr>
              <w:widowControl w:val="0"/>
              <w:autoSpaceDE w:val="0"/>
              <w:autoSpaceDN w:val="0"/>
              <w:adjustRightInd w:val="0"/>
              <w:jc w:val="center"/>
            </w:pPr>
            <w:r w:rsidRPr="00037AD4">
              <w:t>(1.355 - 1.867)</w:t>
            </w:r>
          </w:p>
        </w:tc>
        <w:tc>
          <w:tcPr>
            <w:tcW w:w="679" w:type="pct"/>
            <w:tcBorders>
              <w:top w:val="nil"/>
              <w:left w:val="nil"/>
              <w:bottom w:val="nil"/>
              <w:right w:val="nil"/>
            </w:tcBorders>
          </w:tcPr>
          <w:p w14:paraId="66D58D2F" w14:textId="77777777" w:rsidR="00B54D51" w:rsidRPr="00037AD4" w:rsidRDefault="00B54D51" w:rsidP="00401C67">
            <w:pPr>
              <w:widowControl w:val="0"/>
              <w:autoSpaceDE w:val="0"/>
              <w:autoSpaceDN w:val="0"/>
              <w:adjustRightInd w:val="0"/>
              <w:jc w:val="center"/>
            </w:pPr>
            <w:r w:rsidRPr="00037AD4">
              <w:t>(1.447 - 1.938)</w:t>
            </w:r>
          </w:p>
        </w:tc>
        <w:tc>
          <w:tcPr>
            <w:tcW w:w="677" w:type="pct"/>
            <w:tcBorders>
              <w:top w:val="nil"/>
              <w:left w:val="nil"/>
              <w:bottom w:val="nil"/>
              <w:right w:val="nil"/>
            </w:tcBorders>
          </w:tcPr>
          <w:p w14:paraId="2996384A" w14:textId="77777777" w:rsidR="00B54D51" w:rsidRPr="00037AD4" w:rsidRDefault="00B54D51" w:rsidP="00401C67">
            <w:pPr>
              <w:widowControl w:val="0"/>
              <w:autoSpaceDE w:val="0"/>
              <w:autoSpaceDN w:val="0"/>
              <w:adjustRightInd w:val="0"/>
              <w:jc w:val="center"/>
            </w:pPr>
            <w:r w:rsidRPr="00037AD4">
              <w:t>(1.358 - 1.870)</w:t>
            </w:r>
          </w:p>
        </w:tc>
      </w:tr>
      <w:tr w:rsidR="00B54D51" w:rsidRPr="00037AD4" w14:paraId="6DA943B4" w14:textId="77777777" w:rsidTr="00401C67">
        <w:trPr>
          <w:jc w:val="center"/>
        </w:trPr>
        <w:tc>
          <w:tcPr>
            <w:tcW w:w="1608" w:type="pct"/>
            <w:tcBorders>
              <w:top w:val="nil"/>
              <w:left w:val="nil"/>
              <w:bottom w:val="nil"/>
              <w:right w:val="nil"/>
            </w:tcBorders>
          </w:tcPr>
          <w:p w14:paraId="552F651D" w14:textId="77777777" w:rsidR="00B54D51" w:rsidRPr="00037AD4" w:rsidRDefault="00B54D51" w:rsidP="00401C67">
            <w:pPr>
              <w:widowControl w:val="0"/>
              <w:autoSpaceDE w:val="0"/>
              <w:autoSpaceDN w:val="0"/>
              <w:adjustRightInd w:val="0"/>
            </w:pPr>
            <w:r w:rsidRPr="00037AD4">
              <w:t>4.eq1RP_</w:t>
            </w:r>
          </w:p>
        </w:tc>
        <w:tc>
          <w:tcPr>
            <w:tcW w:w="679" w:type="pct"/>
            <w:tcBorders>
              <w:top w:val="nil"/>
              <w:left w:val="nil"/>
              <w:bottom w:val="nil"/>
              <w:right w:val="nil"/>
            </w:tcBorders>
          </w:tcPr>
          <w:p w14:paraId="1646E88D" w14:textId="77777777" w:rsidR="00B54D51" w:rsidRPr="00037AD4" w:rsidRDefault="00B54D51" w:rsidP="00401C67">
            <w:pPr>
              <w:widowControl w:val="0"/>
              <w:autoSpaceDE w:val="0"/>
              <w:autoSpaceDN w:val="0"/>
              <w:adjustRightInd w:val="0"/>
              <w:jc w:val="center"/>
            </w:pPr>
            <w:r w:rsidRPr="00037AD4">
              <w:t>1.938***</w:t>
            </w:r>
          </w:p>
        </w:tc>
        <w:tc>
          <w:tcPr>
            <w:tcW w:w="679" w:type="pct"/>
            <w:tcBorders>
              <w:top w:val="nil"/>
              <w:left w:val="nil"/>
              <w:bottom w:val="nil"/>
              <w:right w:val="nil"/>
            </w:tcBorders>
          </w:tcPr>
          <w:p w14:paraId="395419A1" w14:textId="77777777" w:rsidR="00B54D51" w:rsidRPr="00037AD4" w:rsidRDefault="00B54D51" w:rsidP="00401C67">
            <w:pPr>
              <w:widowControl w:val="0"/>
              <w:autoSpaceDE w:val="0"/>
              <w:autoSpaceDN w:val="0"/>
              <w:adjustRightInd w:val="0"/>
              <w:jc w:val="center"/>
            </w:pPr>
            <w:r w:rsidRPr="00037AD4">
              <w:t>1.873***</w:t>
            </w:r>
          </w:p>
        </w:tc>
        <w:tc>
          <w:tcPr>
            <w:tcW w:w="679" w:type="pct"/>
            <w:tcBorders>
              <w:top w:val="nil"/>
              <w:left w:val="nil"/>
              <w:bottom w:val="nil"/>
              <w:right w:val="nil"/>
            </w:tcBorders>
          </w:tcPr>
          <w:p w14:paraId="6A67F600" w14:textId="77777777" w:rsidR="00B54D51" w:rsidRPr="00037AD4" w:rsidRDefault="00B54D51" w:rsidP="00401C67">
            <w:pPr>
              <w:widowControl w:val="0"/>
              <w:autoSpaceDE w:val="0"/>
              <w:autoSpaceDN w:val="0"/>
              <w:adjustRightInd w:val="0"/>
              <w:jc w:val="center"/>
            </w:pPr>
            <w:r w:rsidRPr="00037AD4">
              <w:t>1.896***</w:t>
            </w:r>
          </w:p>
        </w:tc>
        <w:tc>
          <w:tcPr>
            <w:tcW w:w="679" w:type="pct"/>
            <w:tcBorders>
              <w:top w:val="nil"/>
              <w:left w:val="nil"/>
              <w:bottom w:val="nil"/>
              <w:right w:val="nil"/>
            </w:tcBorders>
          </w:tcPr>
          <w:p w14:paraId="315546E7" w14:textId="77777777" w:rsidR="00B54D51" w:rsidRPr="00037AD4" w:rsidRDefault="00B54D51" w:rsidP="00401C67">
            <w:pPr>
              <w:widowControl w:val="0"/>
              <w:autoSpaceDE w:val="0"/>
              <w:autoSpaceDN w:val="0"/>
              <w:adjustRightInd w:val="0"/>
              <w:jc w:val="center"/>
            </w:pPr>
            <w:r w:rsidRPr="00037AD4">
              <w:t>1.974***</w:t>
            </w:r>
          </w:p>
        </w:tc>
        <w:tc>
          <w:tcPr>
            <w:tcW w:w="677" w:type="pct"/>
            <w:tcBorders>
              <w:top w:val="nil"/>
              <w:left w:val="nil"/>
              <w:bottom w:val="nil"/>
              <w:right w:val="nil"/>
            </w:tcBorders>
          </w:tcPr>
          <w:p w14:paraId="2F8DCAC9" w14:textId="77777777" w:rsidR="00B54D51" w:rsidRPr="00037AD4" w:rsidRDefault="00B54D51" w:rsidP="00401C67">
            <w:pPr>
              <w:widowControl w:val="0"/>
              <w:autoSpaceDE w:val="0"/>
              <w:autoSpaceDN w:val="0"/>
              <w:adjustRightInd w:val="0"/>
              <w:jc w:val="center"/>
            </w:pPr>
            <w:r w:rsidRPr="00037AD4">
              <w:t>1.899***</w:t>
            </w:r>
          </w:p>
        </w:tc>
      </w:tr>
      <w:tr w:rsidR="00B54D51" w:rsidRPr="00037AD4" w14:paraId="77CB876A" w14:textId="77777777" w:rsidTr="00401C67">
        <w:trPr>
          <w:jc w:val="center"/>
        </w:trPr>
        <w:tc>
          <w:tcPr>
            <w:tcW w:w="1608" w:type="pct"/>
            <w:tcBorders>
              <w:top w:val="nil"/>
              <w:left w:val="nil"/>
              <w:bottom w:val="nil"/>
              <w:right w:val="nil"/>
            </w:tcBorders>
          </w:tcPr>
          <w:p w14:paraId="1197438F" w14:textId="77777777" w:rsidR="00B54D51" w:rsidRPr="00037AD4" w:rsidRDefault="00B54D51" w:rsidP="00401C67">
            <w:pPr>
              <w:widowControl w:val="0"/>
              <w:autoSpaceDE w:val="0"/>
              <w:autoSpaceDN w:val="0"/>
              <w:adjustRightInd w:val="0"/>
            </w:pPr>
          </w:p>
        </w:tc>
        <w:tc>
          <w:tcPr>
            <w:tcW w:w="679" w:type="pct"/>
            <w:tcBorders>
              <w:top w:val="nil"/>
              <w:left w:val="nil"/>
              <w:bottom w:val="nil"/>
              <w:right w:val="nil"/>
            </w:tcBorders>
          </w:tcPr>
          <w:p w14:paraId="73077F77" w14:textId="77777777" w:rsidR="00B54D51" w:rsidRPr="00037AD4" w:rsidRDefault="00B54D51" w:rsidP="00401C67">
            <w:pPr>
              <w:widowControl w:val="0"/>
              <w:autoSpaceDE w:val="0"/>
              <w:autoSpaceDN w:val="0"/>
              <w:adjustRightInd w:val="0"/>
              <w:jc w:val="center"/>
            </w:pPr>
            <w:r w:rsidRPr="00037AD4">
              <w:t>(1.580 - 2.297)</w:t>
            </w:r>
          </w:p>
        </w:tc>
        <w:tc>
          <w:tcPr>
            <w:tcW w:w="679" w:type="pct"/>
            <w:tcBorders>
              <w:top w:val="nil"/>
              <w:left w:val="nil"/>
              <w:bottom w:val="nil"/>
              <w:right w:val="nil"/>
            </w:tcBorders>
          </w:tcPr>
          <w:p w14:paraId="01B1F31E" w14:textId="77777777" w:rsidR="00B54D51" w:rsidRPr="00037AD4" w:rsidRDefault="00B54D51" w:rsidP="00401C67">
            <w:pPr>
              <w:widowControl w:val="0"/>
              <w:autoSpaceDE w:val="0"/>
              <w:autoSpaceDN w:val="0"/>
              <w:adjustRightInd w:val="0"/>
              <w:jc w:val="center"/>
            </w:pPr>
            <w:r w:rsidRPr="00037AD4">
              <w:t>(1.561 - 2.186)</w:t>
            </w:r>
          </w:p>
        </w:tc>
        <w:tc>
          <w:tcPr>
            <w:tcW w:w="679" w:type="pct"/>
            <w:tcBorders>
              <w:top w:val="nil"/>
              <w:left w:val="nil"/>
              <w:bottom w:val="nil"/>
              <w:right w:val="nil"/>
            </w:tcBorders>
          </w:tcPr>
          <w:p w14:paraId="22C8752E" w14:textId="77777777" w:rsidR="00B54D51" w:rsidRPr="00037AD4" w:rsidRDefault="00B54D51" w:rsidP="00401C67">
            <w:pPr>
              <w:widowControl w:val="0"/>
              <w:autoSpaceDE w:val="0"/>
              <w:autoSpaceDN w:val="0"/>
              <w:adjustRightInd w:val="0"/>
              <w:jc w:val="center"/>
            </w:pPr>
            <w:r w:rsidRPr="00037AD4">
              <w:t>(1.583 - 2.209)</w:t>
            </w:r>
          </w:p>
        </w:tc>
        <w:tc>
          <w:tcPr>
            <w:tcW w:w="679" w:type="pct"/>
            <w:tcBorders>
              <w:top w:val="nil"/>
              <w:left w:val="nil"/>
              <w:bottom w:val="nil"/>
              <w:right w:val="nil"/>
            </w:tcBorders>
          </w:tcPr>
          <w:p w14:paraId="7F4430CA" w14:textId="77777777" w:rsidR="00B54D51" w:rsidRPr="00037AD4" w:rsidRDefault="00B54D51" w:rsidP="00401C67">
            <w:pPr>
              <w:widowControl w:val="0"/>
              <w:autoSpaceDE w:val="0"/>
              <w:autoSpaceDN w:val="0"/>
              <w:adjustRightInd w:val="0"/>
              <w:jc w:val="center"/>
            </w:pPr>
            <w:r w:rsidRPr="00037AD4">
              <w:t>(1.662 - 2.285)</w:t>
            </w:r>
          </w:p>
        </w:tc>
        <w:tc>
          <w:tcPr>
            <w:tcW w:w="677" w:type="pct"/>
            <w:tcBorders>
              <w:top w:val="nil"/>
              <w:left w:val="nil"/>
              <w:bottom w:val="nil"/>
              <w:right w:val="nil"/>
            </w:tcBorders>
          </w:tcPr>
          <w:p w14:paraId="7610A65F" w14:textId="77777777" w:rsidR="00B54D51" w:rsidRPr="00037AD4" w:rsidRDefault="00B54D51" w:rsidP="00401C67">
            <w:pPr>
              <w:widowControl w:val="0"/>
              <w:autoSpaceDE w:val="0"/>
              <w:autoSpaceDN w:val="0"/>
              <w:adjustRightInd w:val="0"/>
              <w:jc w:val="center"/>
            </w:pPr>
            <w:r w:rsidRPr="00037AD4">
              <w:t>(1.587 - 2.210)</w:t>
            </w:r>
          </w:p>
        </w:tc>
      </w:tr>
      <w:tr w:rsidR="00B54D51" w:rsidRPr="00037AD4" w14:paraId="73039B9F" w14:textId="77777777" w:rsidTr="00401C67">
        <w:trPr>
          <w:jc w:val="center"/>
        </w:trPr>
        <w:tc>
          <w:tcPr>
            <w:tcW w:w="1608" w:type="pct"/>
            <w:tcBorders>
              <w:top w:val="nil"/>
              <w:left w:val="nil"/>
              <w:bottom w:val="nil"/>
              <w:right w:val="nil"/>
            </w:tcBorders>
          </w:tcPr>
          <w:p w14:paraId="5616E5EB" w14:textId="77777777" w:rsidR="00B54D51" w:rsidRPr="00037AD4" w:rsidRDefault="00B54D51" w:rsidP="00401C67">
            <w:pPr>
              <w:widowControl w:val="0"/>
              <w:autoSpaceDE w:val="0"/>
              <w:autoSpaceDN w:val="0"/>
              <w:adjustRightInd w:val="0"/>
            </w:pPr>
            <w:r w:rsidRPr="00037AD4">
              <w:t>5.eq1RP_</w:t>
            </w:r>
          </w:p>
        </w:tc>
        <w:tc>
          <w:tcPr>
            <w:tcW w:w="679" w:type="pct"/>
            <w:tcBorders>
              <w:top w:val="nil"/>
              <w:left w:val="nil"/>
              <w:bottom w:val="nil"/>
              <w:right w:val="nil"/>
            </w:tcBorders>
          </w:tcPr>
          <w:p w14:paraId="477F3E50" w14:textId="77777777" w:rsidR="00B54D51" w:rsidRPr="00037AD4" w:rsidRDefault="00B54D51" w:rsidP="00401C67">
            <w:pPr>
              <w:widowControl w:val="0"/>
              <w:autoSpaceDE w:val="0"/>
              <w:autoSpaceDN w:val="0"/>
              <w:adjustRightInd w:val="0"/>
              <w:jc w:val="center"/>
            </w:pPr>
            <w:r w:rsidRPr="00037AD4">
              <w:t>3.238***</w:t>
            </w:r>
          </w:p>
        </w:tc>
        <w:tc>
          <w:tcPr>
            <w:tcW w:w="679" w:type="pct"/>
            <w:tcBorders>
              <w:top w:val="nil"/>
              <w:left w:val="nil"/>
              <w:bottom w:val="nil"/>
              <w:right w:val="nil"/>
            </w:tcBorders>
          </w:tcPr>
          <w:p w14:paraId="77866A03" w14:textId="77777777" w:rsidR="00B54D51" w:rsidRPr="00037AD4" w:rsidRDefault="00B54D51" w:rsidP="00401C67">
            <w:pPr>
              <w:widowControl w:val="0"/>
              <w:autoSpaceDE w:val="0"/>
              <w:autoSpaceDN w:val="0"/>
              <w:adjustRightInd w:val="0"/>
              <w:jc w:val="center"/>
            </w:pPr>
            <w:r w:rsidRPr="00037AD4">
              <w:t>3.525***</w:t>
            </w:r>
          </w:p>
        </w:tc>
        <w:tc>
          <w:tcPr>
            <w:tcW w:w="679" w:type="pct"/>
            <w:tcBorders>
              <w:top w:val="nil"/>
              <w:left w:val="nil"/>
              <w:bottom w:val="nil"/>
              <w:right w:val="nil"/>
            </w:tcBorders>
          </w:tcPr>
          <w:p w14:paraId="7A9DE4F4" w14:textId="77777777" w:rsidR="00B54D51" w:rsidRPr="00037AD4" w:rsidRDefault="00B54D51" w:rsidP="00401C67">
            <w:pPr>
              <w:widowControl w:val="0"/>
              <w:autoSpaceDE w:val="0"/>
              <w:autoSpaceDN w:val="0"/>
              <w:adjustRightInd w:val="0"/>
              <w:jc w:val="center"/>
            </w:pPr>
            <w:r w:rsidRPr="00037AD4">
              <w:t>3.542***</w:t>
            </w:r>
          </w:p>
        </w:tc>
        <w:tc>
          <w:tcPr>
            <w:tcW w:w="679" w:type="pct"/>
            <w:tcBorders>
              <w:top w:val="nil"/>
              <w:left w:val="nil"/>
              <w:bottom w:val="nil"/>
              <w:right w:val="nil"/>
            </w:tcBorders>
          </w:tcPr>
          <w:p w14:paraId="16656C30" w14:textId="77777777" w:rsidR="00B54D51" w:rsidRPr="00037AD4" w:rsidRDefault="00B54D51" w:rsidP="00401C67">
            <w:pPr>
              <w:widowControl w:val="0"/>
              <w:autoSpaceDE w:val="0"/>
              <w:autoSpaceDN w:val="0"/>
              <w:adjustRightInd w:val="0"/>
              <w:jc w:val="center"/>
            </w:pPr>
            <w:r w:rsidRPr="00037AD4">
              <w:t>3.321***</w:t>
            </w:r>
          </w:p>
        </w:tc>
        <w:tc>
          <w:tcPr>
            <w:tcW w:w="677" w:type="pct"/>
            <w:tcBorders>
              <w:top w:val="nil"/>
              <w:left w:val="nil"/>
              <w:bottom w:val="nil"/>
              <w:right w:val="nil"/>
            </w:tcBorders>
          </w:tcPr>
          <w:p w14:paraId="4BF4378B" w14:textId="77777777" w:rsidR="00B54D51" w:rsidRPr="00037AD4" w:rsidRDefault="00B54D51" w:rsidP="00401C67">
            <w:pPr>
              <w:widowControl w:val="0"/>
              <w:autoSpaceDE w:val="0"/>
              <w:autoSpaceDN w:val="0"/>
              <w:adjustRightInd w:val="0"/>
              <w:jc w:val="center"/>
            </w:pPr>
            <w:r w:rsidRPr="00037AD4">
              <w:t>3.536***</w:t>
            </w:r>
          </w:p>
        </w:tc>
      </w:tr>
      <w:tr w:rsidR="00B54D51" w:rsidRPr="00037AD4" w14:paraId="025118D0" w14:textId="77777777" w:rsidTr="00401C67">
        <w:trPr>
          <w:jc w:val="center"/>
        </w:trPr>
        <w:tc>
          <w:tcPr>
            <w:tcW w:w="1608" w:type="pct"/>
            <w:tcBorders>
              <w:top w:val="nil"/>
              <w:left w:val="nil"/>
              <w:bottom w:val="nil"/>
              <w:right w:val="nil"/>
            </w:tcBorders>
          </w:tcPr>
          <w:p w14:paraId="6C761194" w14:textId="77777777" w:rsidR="00B54D51" w:rsidRPr="00037AD4" w:rsidRDefault="00B54D51" w:rsidP="00401C67">
            <w:pPr>
              <w:widowControl w:val="0"/>
              <w:autoSpaceDE w:val="0"/>
              <w:autoSpaceDN w:val="0"/>
              <w:adjustRightInd w:val="0"/>
            </w:pPr>
          </w:p>
        </w:tc>
        <w:tc>
          <w:tcPr>
            <w:tcW w:w="679" w:type="pct"/>
            <w:tcBorders>
              <w:top w:val="nil"/>
              <w:left w:val="nil"/>
              <w:bottom w:val="nil"/>
              <w:right w:val="nil"/>
            </w:tcBorders>
          </w:tcPr>
          <w:p w14:paraId="088D4D7C" w14:textId="77777777" w:rsidR="00B54D51" w:rsidRPr="00037AD4" w:rsidRDefault="00B54D51" w:rsidP="00401C67">
            <w:pPr>
              <w:widowControl w:val="0"/>
              <w:autoSpaceDE w:val="0"/>
              <w:autoSpaceDN w:val="0"/>
              <w:adjustRightInd w:val="0"/>
              <w:jc w:val="center"/>
            </w:pPr>
            <w:r w:rsidRPr="00037AD4">
              <w:t>(2.150 - 4.326)</w:t>
            </w:r>
          </w:p>
        </w:tc>
        <w:tc>
          <w:tcPr>
            <w:tcW w:w="679" w:type="pct"/>
            <w:tcBorders>
              <w:top w:val="nil"/>
              <w:left w:val="nil"/>
              <w:bottom w:val="nil"/>
              <w:right w:val="nil"/>
            </w:tcBorders>
          </w:tcPr>
          <w:p w14:paraId="2FE2451F" w14:textId="77777777" w:rsidR="00B54D51" w:rsidRPr="00037AD4" w:rsidRDefault="00B54D51" w:rsidP="00401C67">
            <w:pPr>
              <w:widowControl w:val="0"/>
              <w:autoSpaceDE w:val="0"/>
              <w:autoSpaceDN w:val="0"/>
              <w:adjustRightInd w:val="0"/>
              <w:jc w:val="center"/>
            </w:pPr>
            <w:r w:rsidRPr="00037AD4">
              <w:t>(2.336 - 4.714)</w:t>
            </w:r>
          </w:p>
        </w:tc>
        <w:tc>
          <w:tcPr>
            <w:tcW w:w="679" w:type="pct"/>
            <w:tcBorders>
              <w:top w:val="nil"/>
              <w:left w:val="nil"/>
              <w:bottom w:val="nil"/>
              <w:right w:val="nil"/>
            </w:tcBorders>
          </w:tcPr>
          <w:p w14:paraId="16827D26" w14:textId="77777777" w:rsidR="00B54D51" w:rsidRPr="00037AD4" w:rsidRDefault="00B54D51" w:rsidP="00401C67">
            <w:pPr>
              <w:widowControl w:val="0"/>
              <w:autoSpaceDE w:val="0"/>
              <w:autoSpaceDN w:val="0"/>
              <w:adjustRightInd w:val="0"/>
              <w:jc w:val="center"/>
            </w:pPr>
            <w:r w:rsidRPr="00037AD4">
              <w:t>(2.372 - 4.712)</w:t>
            </w:r>
          </w:p>
        </w:tc>
        <w:tc>
          <w:tcPr>
            <w:tcW w:w="679" w:type="pct"/>
            <w:tcBorders>
              <w:top w:val="nil"/>
              <w:left w:val="nil"/>
              <w:bottom w:val="nil"/>
              <w:right w:val="nil"/>
            </w:tcBorders>
          </w:tcPr>
          <w:p w14:paraId="2707C7D7" w14:textId="77777777" w:rsidR="00B54D51" w:rsidRPr="00037AD4" w:rsidRDefault="00B54D51" w:rsidP="00401C67">
            <w:pPr>
              <w:widowControl w:val="0"/>
              <w:autoSpaceDE w:val="0"/>
              <w:autoSpaceDN w:val="0"/>
              <w:adjustRightInd w:val="0"/>
              <w:jc w:val="center"/>
            </w:pPr>
            <w:r w:rsidRPr="00037AD4">
              <w:t>(2.437 - 4.205)</w:t>
            </w:r>
          </w:p>
        </w:tc>
        <w:tc>
          <w:tcPr>
            <w:tcW w:w="677" w:type="pct"/>
            <w:tcBorders>
              <w:top w:val="nil"/>
              <w:left w:val="nil"/>
              <w:bottom w:val="nil"/>
              <w:right w:val="nil"/>
            </w:tcBorders>
          </w:tcPr>
          <w:p w14:paraId="708A3CF3" w14:textId="77777777" w:rsidR="00B54D51" w:rsidRPr="00037AD4" w:rsidRDefault="00B54D51" w:rsidP="00401C67">
            <w:pPr>
              <w:widowControl w:val="0"/>
              <w:autoSpaceDE w:val="0"/>
              <w:autoSpaceDN w:val="0"/>
              <w:adjustRightInd w:val="0"/>
              <w:jc w:val="center"/>
            </w:pPr>
            <w:r w:rsidRPr="00037AD4">
              <w:t>(2.382 - 4.689)</w:t>
            </w:r>
          </w:p>
        </w:tc>
      </w:tr>
      <w:tr w:rsidR="00B54D51" w:rsidRPr="00037AD4" w14:paraId="6341FAC0" w14:textId="77777777" w:rsidTr="00401C67">
        <w:trPr>
          <w:jc w:val="center"/>
        </w:trPr>
        <w:tc>
          <w:tcPr>
            <w:tcW w:w="1608" w:type="pct"/>
            <w:tcBorders>
              <w:top w:val="nil"/>
              <w:left w:val="nil"/>
              <w:bottom w:val="nil"/>
              <w:right w:val="nil"/>
            </w:tcBorders>
          </w:tcPr>
          <w:p w14:paraId="7C3191A4" w14:textId="77777777" w:rsidR="00B54D51" w:rsidRPr="00037AD4" w:rsidRDefault="00B54D51" w:rsidP="00401C67">
            <w:pPr>
              <w:widowControl w:val="0"/>
              <w:autoSpaceDE w:val="0"/>
              <w:autoSpaceDN w:val="0"/>
              <w:adjustRightInd w:val="0"/>
            </w:pPr>
            <w:r w:rsidRPr="00037AD4">
              <w:t>2.eq2RP_</w:t>
            </w:r>
          </w:p>
        </w:tc>
        <w:tc>
          <w:tcPr>
            <w:tcW w:w="679" w:type="pct"/>
            <w:tcBorders>
              <w:top w:val="nil"/>
              <w:left w:val="nil"/>
              <w:bottom w:val="nil"/>
              <w:right w:val="nil"/>
            </w:tcBorders>
          </w:tcPr>
          <w:p w14:paraId="14AD359F" w14:textId="77777777" w:rsidR="00B54D51" w:rsidRPr="00037AD4" w:rsidRDefault="00B54D51" w:rsidP="00401C67">
            <w:pPr>
              <w:widowControl w:val="0"/>
              <w:autoSpaceDE w:val="0"/>
              <w:autoSpaceDN w:val="0"/>
              <w:adjustRightInd w:val="0"/>
              <w:jc w:val="center"/>
            </w:pPr>
            <w:r w:rsidRPr="00037AD4">
              <w:t>0.024</w:t>
            </w:r>
          </w:p>
        </w:tc>
        <w:tc>
          <w:tcPr>
            <w:tcW w:w="679" w:type="pct"/>
            <w:tcBorders>
              <w:top w:val="nil"/>
              <w:left w:val="nil"/>
              <w:bottom w:val="nil"/>
              <w:right w:val="nil"/>
            </w:tcBorders>
          </w:tcPr>
          <w:p w14:paraId="53EED4AD"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0C61C85E"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1E50779F" w14:textId="77777777" w:rsidR="00B54D51" w:rsidRPr="00037AD4" w:rsidRDefault="00B54D51" w:rsidP="00401C67">
            <w:pPr>
              <w:widowControl w:val="0"/>
              <w:autoSpaceDE w:val="0"/>
              <w:autoSpaceDN w:val="0"/>
              <w:adjustRightInd w:val="0"/>
              <w:jc w:val="center"/>
            </w:pPr>
          </w:p>
        </w:tc>
        <w:tc>
          <w:tcPr>
            <w:tcW w:w="677" w:type="pct"/>
            <w:tcBorders>
              <w:top w:val="nil"/>
              <w:left w:val="nil"/>
              <w:bottom w:val="nil"/>
              <w:right w:val="nil"/>
            </w:tcBorders>
          </w:tcPr>
          <w:p w14:paraId="1009CE74" w14:textId="77777777" w:rsidR="00B54D51" w:rsidRPr="00037AD4" w:rsidRDefault="00B54D51" w:rsidP="00401C67">
            <w:pPr>
              <w:widowControl w:val="0"/>
              <w:autoSpaceDE w:val="0"/>
              <w:autoSpaceDN w:val="0"/>
              <w:adjustRightInd w:val="0"/>
              <w:jc w:val="center"/>
            </w:pPr>
          </w:p>
        </w:tc>
      </w:tr>
      <w:tr w:rsidR="00B54D51" w:rsidRPr="00037AD4" w14:paraId="109D40EF" w14:textId="77777777" w:rsidTr="00401C67">
        <w:trPr>
          <w:jc w:val="center"/>
        </w:trPr>
        <w:tc>
          <w:tcPr>
            <w:tcW w:w="1608" w:type="pct"/>
            <w:tcBorders>
              <w:top w:val="nil"/>
              <w:left w:val="nil"/>
              <w:bottom w:val="nil"/>
              <w:right w:val="nil"/>
            </w:tcBorders>
          </w:tcPr>
          <w:p w14:paraId="753D83F2" w14:textId="77777777" w:rsidR="00B54D51" w:rsidRPr="00037AD4" w:rsidRDefault="00B54D51" w:rsidP="00401C67">
            <w:pPr>
              <w:widowControl w:val="0"/>
              <w:autoSpaceDE w:val="0"/>
              <w:autoSpaceDN w:val="0"/>
              <w:adjustRightInd w:val="0"/>
            </w:pPr>
          </w:p>
        </w:tc>
        <w:tc>
          <w:tcPr>
            <w:tcW w:w="679" w:type="pct"/>
            <w:tcBorders>
              <w:top w:val="nil"/>
              <w:left w:val="nil"/>
              <w:bottom w:val="nil"/>
              <w:right w:val="nil"/>
            </w:tcBorders>
          </w:tcPr>
          <w:p w14:paraId="53FBBFD7" w14:textId="77777777" w:rsidR="00B54D51" w:rsidRPr="00037AD4" w:rsidRDefault="00B54D51" w:rsidP="00401C67">
            <w:pPr>
              <w:widowControl w:val="0"/>
              <w:autoSpaceDE w:val="0"/>
              <w:autoSpaceDN w:val="0"/>
              <w:adjustRightInd w:val="0"/>
              <w:jc w:val="center"/>
            </w:pPr>
            <w:r w:rsidRPr="00037AD4">
              <w:t>(-0.260 - 0.308)</w:t>
            </w:r>
          </w:p>
        </w:tc>
        <w:tc>
          <w:tcPr>
            <w:tcW w:w="679" w:type="pct"/>
            <w:tcBorders>
              <w:top w:val="nil"/>
              <w:left w:val="nil"/>
              <w:bottom w:val="nil"/>
              <w:right w:val="nil"/>
            </w:tcBorders>
          </w:tcPr>
          <w:p w14:paraId="7BFB8EB7"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7C9F0D18"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7CC6536B" w14:textId="77777777" w:rsidR="00B54D51" w:rsidRPr="00037AD4" w:rsidRDefault="00B54D51" w:rsidP="00401C67">
            <w:pPr>
              <w:widowControl w:val="0"/>
              <w:autoSpaceDE w:val="0"/>
              <w:autoSpaceDN w:val="0"/>
              <w:adjustRightInd w:val="0"/>
              <w:jc w:val="center"/>
            </w:pPr>
          </w:p>
        </w:tc>
        <w:tc>
          <w:tcPr>
            <w:tcW w:w="677" w:type="pct"/>
            <w:tcBorders>
              <w:top w:val="nil"/>
              <w:left w:val="nil"/>
              <w:bottom w:val="nil"/>
              <w:right w:val="nil"/>
            </w:tcBorders>
          </w:tcPr>
          <w:p w14:paraId="5F7B19E5" w14:textId="77777777" w:rsidR="00B54D51" w:rsidRPr="00037AD4" w:rsidRDefault="00B54D51" w:rsidP="00401C67">
            <w:pPr>
              <w:widowControl w:val="0"/>
              <w:autoSpaceDE w:val="0"/>
              <w:autoSpaceDN w:val="0"/>
              <w:adjustRightInd w:val="0"/>
              <w:jc w:val="center"/>
            </w:pPr>
          </w:p>
        </w:tc>
      </w:tr>
      <w:tr w:rsidR="00B54D51" w:rsidRPr="00037AD4" w14:paraId="14F5D883" w14:textId="77777777" w:rsidTr="00401C67">
        <w:trPr>
          <w:jc w:val="center"/>
        </w:trPr>
        <w:tc>
          <w:tcPr>
            <w:tcW w:w="1608" w:type="pct"/>
            <w:tcBorders>
              <w:top w:val="nil"/>
              <w:left w:val="nil"/>
              <w:bottom w:val="nil"/>
              <w:right w:val="nil"/>
            </w:tcBorders>
          </w:tcPr>
          <w:p w14:paraId="7BD0C306" w14:textId="77777777" w:rsidR="00B54D51" w:rsidRPr="00037AD4" w:rsidRDefault="00B54D51" w:rsidP="00401C67">
            <w:pPr>
              <w:widowControl w:val="0"/>
              <w:autoSpaceDE w:val="0"/>
              <w:autoSpaceDN w:val="0"/>
              <w:adjustRightInd w:val="0"/>
            </w:pPr>
            <w:r w:rsidRPr="00037AD4">
              <w:t>3.eq2RP_</w:t>
            </w:r>
          </w:p>
        </w:tc>
        <w:tc>
          <w:tcPr>
            <w:tcW w:w="679" w:type="pct"/>
            <w:tcBorders>
              <w:top w:val="nil"/>
              <w:left w:val="nil"/>
              <w:bottom w:val="nil"/>
              <w:right w:val="nil"/>
            </w:tcBorders>
          </w:tcPr>
          <w:p w14:paraId="12D6B1D9" w14:textId="77777777" w:rsidR="00B54D51" w:rsidRPr="00037AD4" w:rsidRDefault="00B54D51" w:rsidP="00401C67">
            <w:pPr>
              <w:widowControl w:val="0"/>
              <w:autoSpaceDE w:val="0"/>
              <w:autoSpaceDN w:val="0"/>
              <w:adjustRightInd w:val="0"/>
              <w:jc w:val="center"/>
            </w:pPr>
            <w:r w:rsidRPr="00037AD4">
              <w:t>0.102</w:t>
            </w:r>
          </w:p>
        </w:tc>
        <w:tc>
          <w:tcPr>
            <w:tcW w:w="679" w:type="pct"/>
            <w:tcBorders>
              <w:top w:val="nil"/>
              <w:left w:val="nil"/>
              <w:bottom w:val="nil"/>
              <w:right w:val="nil"/>
            </w:tcBorders>
          </w:tcPr>
          <w:p w14:paraId="51717E44"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0A05C588"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1A77A92E" w14:textId="77777777" w:rsidR="00B54D51" w:rsidRPr="00037AD4" w:rsidRDefault="00B54D51" w:rsidP="00401C67">
            <w:pPr>
              <w:widowControl w:val="0"/>
              <w:autoSpaceDE w:val="0"/>
              <w:autoSpaceDN w:val="0"/>
              <w:adjustRightInd w:val="0"/>
              <w:jc w:val="center"/>
            </w:pPr>
          </w:p>
        </w:tc>
        <w:tc>
          <w:tcPr>
            <w:tcW w:w="677" w:type="pct"/>
            <w:tcBorders>
              <w:top w:val="nil"/>
              <w:left w:val="nil"/>
              <w:bottom w:val="nil"/>
              <w:right w:val="nil"/>
            </w:tcBorders>
          </w:tcPr>
          <w:p w14:paraId="7BA21B14" w14:textId="77777777" w:rsidR="00B54D51" w:rsidRPr="00037AD4" w:rsidRDefault="00B54D51" w:rsidP="00401C67">
            <w:pPr>
              <w:widowControl w:val="0"/>
              <w:autoSpaceDE w:val="0"/>
              <w:autoSpaceDN w:val="0"/>
              <w:adjustRightInd w:val="0"/>
              <w:jc w:val="center"/>
            </w:pPr>
          </w:p>
        </w:tc>
      </w:tr>
      <w:tr w:rsidR="00B54D51" w:rsidRPr="00037AD4" w14:paraId="261A691B" w14:textId="77777777" w:rsidTr="00401C67">
        <w:trPr>
          <w:jc w:val="center"/>
        </w:trPr>
        <w:tc>
          <w:tcPr>
            <w:tcW w:w="1608" w:type="pct"/>
            <w:tcBorders>
              <w:top w:val="nil"/>
              <w:left w:val="nil"/>
              <w:bottom w:val="nil"/>
              <w:right w:val="nil"/>
            </w:tcBorders>
          </w:tcPr>
          <w:p w14:paraId="367FD203" w14:textId="77777777" w:rsidR="00B54D51" w:rsidRPr="00037AD4" w:rsidRDefault="00B54D51" w:rsidP="00401C67">
            <w:pPr>
              <w:widowControl w:val="0"/>
              <w:autoSpaceDE w:val="0"/>
              <w:autoSpaceDN w:val="0"/>
              <w:adjustRightInd w:val="0"/>
            </w:pPr>
          </w:p>
        </w:tc>
        <w:tc>
          <w:tcPr>
            <w:tcW w:w="679" w:type="pct"/>
            <w:tcBorders>
              <w:top w:val="nil"/>
              <w:left w:val="nil"/>
              <w:bottom w:val="nil"/>
              <w:right w:val="nil"/>
            </w:tcBorders>
          </w:tcPr>
          <w:p w14:paraId="60A88E4F" w14:textId="77777777" w:rsidR="00B54D51" w:rsidRPr="00037AD4" w:rsidRDefault="00B54D51" w:rsidP="00401C67">
            <w:pPr>
              <w:widowControl w:val="0"/>
              <w:autoSpaceDE w:val="0"/>
              <w:autoSpaceDN w:val="0"/>
              <w:adjustRightInd w:val="0"/>
              <w:jc w:val="center"/>
            </w:pPr>
            <w:r w:rsidRPr="00037AD4">
              <w:t>(-0.252 - 0.455)</w:t>
            </w:r>
          </w:p>
        </w:tc>
        <w:tc>
          <w:tcPr>
            <w:tcW w:w="679" w:type="pct"/>
            <w:tcBorders>
              <w:top w:val="nil"/>
              <w:left w:val="nil"/>
              <w:bottom w:val="nil"/>
              <w:right w:val="nil"/>
            </w:tcBorders>
          </w:tcPr>
          <w:p w14:paraId="3D686901"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69913250"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024416EF" w14:textId="77777777" w:rsidR="00B54D51" w:rsidRPr="00037AD4" w:rsidRDefault="00B54D51" w:rsidP="00401C67">
            <w:pPr>
              <w:widowControl w:val="0"/>
              <w:autoSpaceDE w:val="0"/>
              <w:autoSpaceDN w:val="0"/>
              <w:adjustRightInd w:val="0"/>
              <w:jc w:val="center"/>
            </w:pPr>
          </w:p>
        </w:tc>
        <w:tc>
          <w:tcPr>
            <w:tcW w:w="677" w:type="pct"/>
            <w:tcBorders>
              <w:top w:val="nil"/>
              <w:left w:val="nil"/>
              <w:bottom w:val="nil"/>
              <w:right w:val="nil"/>
            </w:tcBorders>
          </w:tcPr>
          <w:p w14:paraId="09308992" w14:textId="77777777" w:rsidR="00B54D51" w:rsidRPr="00037AD4" w:rsidRDefault="00B54D51" w:rsidP="00401C67">
            <w:pPr>
              <w:widowControl w:val="0"/>
              <w:autoSpaceDE w:val="0"/>
              <w:autoSpaceDN w:val="0"/>
              <w:adjustRightInd w:val="0"/>
              <w:jc w:val="center"/>
            </w:pPr>
          </w:p>
        </w:tc>
      </w:tr>
      <w:tr w:rsidR="00B54D51" w:rsidRPr="00037AD4" w14:paraId="770A98E5" w14:textId="77777777" w:rsidTr="00401C67">
        <w:trPr>
          <w:jc w:val="center"/>
        </w:trPr>
        <w:tc>
          <w:tcPr>
            <w:tcW w:w="1608" w:type="pct"/>
            <w:tcBorders>
              <w:top w:val="nil"/>
              <w:left w:val="nil"/>
              <w:bottom w:val="nil"/>
              <w:right w:val="nil"/>
            </w:tcBorders>
          </w:tcPr>
          <w:p w14:paraId="5E3EEAB8" w14:textId="77777777" w:rsidR="00B54D51" w:rsidRPr="00037AD4" w:rsidRDefault="00B54D51" w:rsidP="00401C67">
            <w:pPr>
              <w:widowControl w:val="0"/>
              <w:autoSpaceDE w:val="0"/>
              <w:autoSpaceDN w:val="0"/>
              <w:adjustRightInd w:val="0"/>
            </w:pPr>
            <w:r w:rsidRPr="00037AD4">
              <w:t>4.eq2RP_</w:t>
            </w:r>
          </w:p>
        </w:tc>
        <w:tc>
          <w:tcPr>
            <w:tcW w:w="679" w:type="pct"/>
            <w:tcBorders>
              <w:top w:val="nil"/>
              <w:left w:val="nil"/>
              <w:bottom w:val="nil"/>
              <w:right w:val="nil"/>
            </w:tcBorders>
          </w:tcPr>
          <w:p w14:paraId="2EBF6F19" w14:textId="77777777" w:rsidR="00B54D51" w:rsidRPr="00037AD4" w:rsidRDefault="00B54D51" w:rsidP="00401C67">
            <w:pPr>
              <w:widowControl w:val="0"/>
              <w:autoSpaceDE w:val="0"/>
              <w:autoSpaceDN w:val="0"/>
              <w:adjustRightInd w:val="0"/>
              <w:jc w:val="center"/>
            </w:pPr>
            <w:r w:rsidRPr="00037AD4">
              <w:t>-0.044</w:t>
            </w:r>
          </w:p>
        </w:tc>
        <w:tc>
          <w:tcPr>
            <w:tcW w:w="679" w:type="pct"/>
            <w:tcBorders>
              <w:top w:val="nil"/>
              <w:left w:val="nil"/>
              <w:bottom w:val="nil"/>
              <w:right w:val="nil"/>
            </w:tcBorders>
          </w:tcPr>
          <w:p w14:paraId="0115D094"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3CEF5D9C"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45E70B14" w14:textId="77777777" w:rsidR="00B54D51" w:rsidRPr="00037AD4" w:rsidRDefault="00B54D51" w:rsidP="00401C67">
            <w:pPr>
              <w:widowControl w:val="0"/>
              <w:autoSpaceDE w:val="0"/>
              <w:autoSpaceDN w:val="0"/>
              <w:adjustRightInd w:val="0"/>
              <w:jc w:val="center"/>
            </w:pPr>
          </w:p>
        </w:tc>
        <w:tc>
          <w:tcPr>
            <w:tcW w:w="677" w:type="pct"/>
            <w:tcBorders>
              <w:top w:val="nil"/>
              <w:left w:val="nil"/>
              <w:bottom w:val="nil"/>
              <w:right w:val="nil"/>
            </w:tcBorders>
          </w:tcPr>
          <w:p w14:paraId="4BA0E8AA" w14:textId="77777777" w:rsidR="00B54D51" w:rsidRPr="00037AD4" w:rsidRDefault="00B54D51" w:rsidP="00401C67">
            <w:pPr>
              <w:widowControl w:val="0"/>
              <w:autoSpaceDE w:val="0"/>
              <w:autoSpaceDN w:val="0"/>
              <w:adjustRightInd w:val="0"/>
              <w:jc w:val="center"/>
            </w:pPr>
          </w:p>
        </w:tc>
      </w:tr>
      <w:tr w:rsidR="00B54D51" w:rsidRPr="00037AD4" w14:paraId="3A8C33E8" w14:textId="77777777" w:rsidTr="00401C67">
        <w:trPr>
          <w:jc w:val="center"/>
        </w:trPr>
        <w:tc>
          <w:tcPr>
            <w:tcW w:w="1608" w:type="pct"/>
            <w:tcBorders>
              <w:top w:val="nil"/>
              <w:left w:val="nil"/>
              <w:bottom w:val="nil"/>
              <w:right w:val="nil"/>
            </w:tcBorders>
          </w:tcPr>
          <w:p w14:paraId="6C9892E8" w14:textId="77777777" w:rsidR="00B54D51" w:rsidRPr="00037AD4" w:rsidRDefault="00B54D51" w:rsidP="00401C67">
            <w:pPr>
              <w:widowControl w:val="0"/>
              <w:autoSpaceDE w:val="0"/>
              <w:autoSpaceDN w:val="0"/>
              <w:adjustRightInd w:val="0"/>
            </w:pPr>
          </w:p>
        </w:tc>
        <w:tc>
          <w:tcPr>
            <w:tcW w:w="679" w:type="pct"/>
            <w:tcBorders>
              <w:top w:val="nil"/>
              <w:left w:val="nil"/>
              <w:bottom w:val="nil"/>
              <w:right w:val="nil"/>
            </w:tcBorders>
          </w:tcPr>
          <w:p w14:paraId="3448C917" w14:textId="77777777" w:rsidR="00B54D51" w:rsidRPr="00037AD4" w:rsidRDefault="00B54D51" w:rsidP="00401C67">
            <w:pPr>
              <w:widowControl w:val="0"/>
              <w:autoSpaceDE w:val="0"/>
              <w:autoSpaceDN w:val="0"/>
              <w:adjustRightInd w:val="0"/>
              <w:jc w:val="center"/>
            </w:pPr>
            <w:r w:rsidRPr="00037AD4">
              <w:t>(-0.557 - 0.469)</w:t>
            </w:r>
          </w:p>
        </w:tc>
        <w:tc>
          <w:tcPr>
            <w:tcW w:w="679" w:type="pct"/>
            <w:tcBorders>
              <w:top w:val="nil"/>
              <w:left w:val="nil"/>
              <w:bottom w:val="nil"/>
              <w:right w:val="nil"/>
            </w:tcBorders>
          </w:tcPr>
          <w:p w14:paraId="6757461A"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1A294FFB"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3DEDFF50" w14:textId="77777777" w:rsidR="00B54D51" w:rsidRPr="00037AD4" w:rsidRDefault="00B54D51" w:rsidP="00401C67">
            <w:pPr>
              <w:widowControl w:val="0"/>
              <w:autoSpaceDE w:val="0"/>
              <w:autoSpaceDN w:val="0"/>
              <w:adjustRightInd w:val="0"/>
              <w:jc w:val="center"/>
            </w:pPr>
          </w:p>
        </w:tc>
        <w:tc>
          <w:tcPr>
            <w:tcW w:w="677" w:type="pct"/>
            <w:tcBorders>
              <w:top w:val="nil"/>
              <w:left w:val="nil"/>
              <w:bottom w:val="nil"/>
              <w:right w:val="nil"/>
            </w:tcBorders>
          </w:tcPr>
          <w:p w14:paraId="6E688391" w14:textId="77777777" w:rsidR="00B54D51" w:rsidRPr="00037AD4" w:rsidRDefault="00B54D51" w:rsidP="00401C67">
            <w:pPr>
              <w:widowControl w:val="0"/>
              <w:autoSpaceDE w:val="0"/>
              <w:autoSpaceDN w:val="0"/>
              <w:adjustRightInd w:val="0"/>
              <w:jc w:val="center"/>
            </w:pPr>
          </w:p>
        </w:tc>
      </w:tr>
      <w:tr w:rsidR="00B54D51" w:rsidRPr="00037AD4" w14:paraId="20CDE2C7" w14:textId="77777777" w:rsidTr="00401C67">
        <w:trPr>
          <w:jc w:val="center"/>
        </w:trPr>
        <w:tc>
          <w:tcPr>
            <w:tcW w:w="1608" w:type="pct"/>
            <w:tcBorders>
              <w:top w:val="nil"/>
              <w:left w:val="nil"/>
              <w:bottom w:val="nil"/>
              <w:right w:val="nil"/>
            </w:tcBorders>
          </w:tcPr>
          <w:p w14:paraId="2FB02A37" w14:textId="77777777" w:rsidR="00B54D51" w:rsidRPr="00037AD4" w:rsidRDefault="00B54D51" w:rsidP="00401C67">
            <w:pPr>
              <w:widowControl w:val="0"/>
              <w:autoSpaceDE w:val="0"/>
              <w:autoSpaceDN w:val="0"/>
              <w:adjustRightInd w:val="0"/>
            </w:pPr>
            <w:r w:rsidRPr="00037AD4">
              <w:t>5.eq2RP_</w:t>
            </w:r>
          </w:p>
        </w:tc>
        <w:tc>
          <w:tcPr>
            <w:tcW w:w="679" w:type="pct"/>
            <w:tcBorders>
              <w:top w:val="nil"/>
              <w:left w:val="nil"/>
              <w:bottom w:val="nil"/>
              <w:right w:val="nil"/>
            </w:tcBorders>
          </w:tcPr>
          <w:p w14:paraId="14505F24" w14:textId="77777777" w:rsidR="00B54D51" w:rsidRPr="00037AD4" w:rsidRDefault="00B54D51" w:rsidP="00401C67">
            <w:pPr>
              <w:widowControl w:val="0"/>
              <w:autoSpaceDE w:val="0"/>
              <w:autoSpaceDN w:val="0"/>
              <w:adjustRightInd w:val="0"/>
              <w:jc w:val="center"/>
            </w:pPr>
            <w:r w:rsidRPr="00037AD4">
              <w:t>0.666**</w:t>
            </w:r>
          </w:p>
        </w:tc>
        <w:tc>
          <w:tcPr>
            <w:tcW w:w="679" w:type="pct"/>
            <w:tcBorders>
              <w:top w:val="nil"/>
              <w:left w:val="nil"/>
              <w:bottom w:val="nil"/>
              <w:right w:val="nil"/>
            </w:tcBorders>
          </w:tcPr>
          <w:p w14:paraId="6A5EB5C7"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4E707AFE"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4C2B4B19" w14:textId="77777777" w:rsidR="00B54D51" w:rsidRPr="00037AD4" w:rsidRDefault="00B54D51" w:rsidP="00401C67">
            <w:pPr>
              <w:widowControl w:val="0"/>
              <w:autoSpaceDE w:val="0"/>
              <w:autoSpaceDN w:val="0"/>
              <w:adjustRightInd w:val="0"/>
              <w:jc w:val="center"/>
            </w:pPr>
          </w:p>
        </w:tc>
        <w:tc>
          <w:tcPr>
            <w:tcW w:w="677" w:type="pct"/>
            <w:tcBorders>
              <w:top w:val="nil"/>
              <w:left w:val="nil"/>
              <w:bottom w:val="nil"/>
              <w:right w:val="nil"/>
            </w:tcBorders>
          </w:tcPr>
          <w:p w14:paraId="33ECDC58" w14:textId="77777777" w:rsidR="00B54D51" w:rsidRPr="00037AD4" w:rsidRDefault="00B54D51" w:rsidP="00401C67">
            <w:pPr>
              <w:widowControl w:val="0"/>
              <w:autoSpaceDE w:val="0"/>
              <w:autoSpaceDN w:val="0"/>
              <w:adjustRightInd w:val="0"/>
              <w:jc w:val="center"/>
            </w:pPr>
          </w:p>
        </w:tc>
      </w:tr>
      <w:tr w:rsidR="00B54D51" w:rsidRPr="00037AD4" w14:paraId="2EA2A5EB" w14:textId="77777777" w:rsidTr="00401C67">
        <w:trPr>
          <w:jc w:val="center"/>
        </w:trPr>
        <w:tc>
          <w:tcPr>
            <w:tcW w:w="1608" w:type="pct"/>
            <w:tcBorders>
              <w:top w:val="nil"/>
              <w:left w:val="nil"/>
              <w:bottom w:val="nil"/>
              <w:right w:val="nil"/>
            </w:tcBorders>
          </w:tcPr>
          <w:p w14:paraId="1581B8B9" w14:textId="77777777" w:rsidR="00B54D51" w:rsidRPr="00037AD4" w:rsidRDefault="00B54D51" w:rsidP="00401C67">
            <w:pPr>
              <w:widowControl w:val="0"/>
              <w:autoSpaceDE w:val="0"/>
              <w:autoSpaceDN w:val="0"/>
              <w:adjustRightInd w:val="0"/>
            </w:pPr>
          </w:p>
        </w:tc>
        <w:tc>
          <w:tcPr>
            <w:tcW w:w="679" w:type="pct"/>
            <w:tcBorders>
              <w:top w:val="nil"/>
              <w:left w:val="nil"/>
              <w:bottom w:val="nil"/>
              <w:right w:val="nil"/>
            </w:tcBorders>
          </w:tcPr>
          <w:p w14:paraId="2C984F2D" w14:textId="77777777" w:rsidR="00B54D51" w:rsidRPr="00037AD4" w:rsidRDefault="00B54D51" w:rsidP="00401C67">
            <w:pPr>
              <w:widowControl w:val="0"/>
              <w:autoSpaceDE w:val="0"/>
              <w:autoSpaceDN w:val="0"/>
              <w:adjustRightInd w:val="0"/>
              <w:jc w:val="center"/>
            </w:pPr>
            <w:r w:rsidRPr="00037AD4">
              <w:t>(0.063 - 1.268)</w:t>
            </w:r>
          </w:p>
        </w:tc>
        <w:tc>
          <w:tcPr>
            <w:tcW w:w="679" w:type="pct"/>
            <w:tcBorders>
              <w:top w:val="nil"/>
              <w:left w:val="nil"/>
              <w:bottom w:val="nil"/>
              <w:right w:val="nil"/>
            </w:tcBorders>
          </w:tcPr>
          <w:p w14:paraId="6A222D23"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3C2A95F8"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48C82768" w14:textId="77777777" w:rsidR="00B54D51" w:rsidRPr="00037AD4" w:rsidRDefault="00B54D51" w:rsidP="00401C67">
            <w:pPr>
              <w:widowControl w:val="0"/>
              <w:autoSpaceDE w:val="0"/>
              <w:autoSpaceDN w:val="0"/>
              <w:adjustRightInd w:val="0"/>
              <w:jc w:val="center"/>
            </w:pPr>
          </w:p>
        </w:tc>
        <w:tc>
          <w:tcPr>
            <w:tcW w:w="677" w:type="pct"/>
            <w:tcBorders>
              <w:top w:val="nil"/>
              <w:left w:val="nil"/>
              <w:bottom w:val="nil"/>
              <w:right w:val="nil"/>
            </w:tcBorders>
          </w:tcPr>
          <w:p w14:paraId="419C923B" w14:textId="77777777" w:rsidR="00B54D51" w:rsidRPr="00037AD4" w:rsidRDefault="00B54D51" w:rsidP="00401C67">
            <w:pPr>
              <w:widowControl w:val="0"/>
              <w:autoSpaceDE w:val="0"/>
              <w:autoSpaceDN w:val="0"/>
              <w:adjustRightInd w:val="0"/>
              <w:jc w:val="center"/>
            </w:pPr>
          </w:p>
        </w:tc>
      </w:tr>
      <w:tr w:rsidR="00B54D51" w:rsidRPr="00037AD4" w14:paraId="2DA0A111" w14:textId="77777777" w:rsidTr="00401C67">
        <w:trPr>
          <w:jc w:val="center"/>
        </w:trPr>
        <w:tc>
          <w:tcPr>
            <w:tcW w:w="1608" w:type="pct"/>
            <w:tcBorders>
              <w:top w:val="nil"/>
              <w:left w:val="nil"/>
              <w:bottom w:val="nil"/>
              <w:right w:val="nil"/>
            </w:tcBorders>
          </w:tcPr>
          <w:p w14:paraId="30C402F6" w14:textId="77777777" w:rsidR="00B54D51" w:rsidRPr="00037AD4" w:rsidRDefault="00B54D51" w:rsidP="00401C67">
            <w:pPr>
              <w:widowControl w:val="0"/>
              <w:autoSpaceDE w:val="0"/>
              <w:autoSpaceDN w:val="0"/>
              <w:adjustRightInd w:val="0"/>
            </w:pPr>
            <w:r w:rsidRPr="00037AD4">
              <w:t>2.eq3RP_</w:t>
            </w:r>
          </w:p>
        </w:tc>
        <w:tc>
          <w:tcPr>
            <w:tcW w:w="679" w:type="pct"/>
            <w:tcBorders>
              <w:top w:val="nil"/>
              <w:left w:val="nil"/>
              <w:bottom w:val="nil"/>
              <w:right w:val="nil"/>
            </w:tcBorders>
          </w:tcPr>
          <w:p w14:paraId="6AB261FE" w14:textId="77777777" w:rsidR="00B54D51" w:rsidRPr="00037AD4" w:rsidRDefault="00B54D51" w:rsidP="00401C67">
            <w:pPr>
              <w:widowControl w:val="0"/>
              <w:autoSpaceDE w:val="0"/>
              <w:autoSpaceDN w:val="0"/>
              <w:adjustRightInd w:val="0"/>
              <w:jc w:val="center"/>
            </w:pPr>
            <w:r w:rsidRPr="00037AD4">
              <w:t>-0.076</w:t>
            </w:r>
          </w:p>
        </w:tc>
        <w:tc>
          <w:tcPr>
            <w:tcW w:w="679" w:type="pct"/>
            <w:tcBorders>
              <w:top w:val="nil"/>
              <w:left w:val="nil"/>
              <w:bottom w:val="nil"/>
              <w:right w:val="nil"/>
            </w:tcBorders>
          </w:tcPr>
          <w:p w14:paraId="58664A2D"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673898AE"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0146407A" w14:textId="77777777" w:rsidR="00B54D51" w:rsidRPr="00037AD4" w:rsidRDefault="00B54D51" w:rsidP="00401C67">
            <w:pPr>
              <w:widowControl w:val="0"/>
              <w:autoSpaceDE w:val="0"/>
              <w:autoSpaceDN w:val="0"/>
              <w:adjustRightInd w:val="0"/>
              <w:jc w:val="center"/>
            </w:pPr>
          </w:p>
        </w:tc>
        <w:tc>
          <w:tcPr>
            <w:tcW w:w="677" w:type="pct"/>
            <w:tcBorders>
              <w:top w:val="nil"/>
              <w:left w:val="nil"/>
              <w:bottom w:val="nil"/>
              <w:right w:val="nil"/>
            </w:tcBorders>
          </w:tcPr>
          <w:p w14:paraId="7F24460F" w14:textId="77777777" w:rsidR="00B54D51" w:rsidRPr="00037AD4" w:rsidRDefault="00B54D51" w:rsidP="00401C67">
            <w:pPr>
              <w:widowControl w:val="0"/>
              <w:autoSpaceDE w:val="0"/>
              <w:autoSpaceDN w:val="0"/>
              <w:adjustRightInd w:val="0"/>
              <w:jc w:val="center"/>
            </w:pPr>
          </w:p>
        </w:tc>
      </w:tr>
      <w:tr w:rsidR="00B54D51" w:rsidRPr="00037AD4" w14:paraId="037BD1F8" w14:textId="77777777" w:rsidTr="00401C67">
        <w:trPr>
          <w:jc w:val="center"/>
        </w:trPr>
        <w:tc>
          <w:tcPr>
            <w:tcW w:w="1608" w:type="pct"/>
            <w:tcBorders>
              <w:top w:val="nil"/>
              <w:left w:val="nil"/>
              <w:bottom w:val="nil"/>
              <w:right w:val="nil"/>
            </w:tcBorders>
          </w:tcPr>
          <w:p w14:paraId="064FD2AF" w14:textId="77777777" w:rsidR="00B54D51" w:rsidRPr="00037AD4" w:rsidRDefault="00B54D51" w:rsidP="00401C67">
            <w:pPr>
              <w:widowControl w:val="0"/>
              <w:autoSpaceDE w:val="0"/>
              <w:autoSpaceDN w:val="0"/>
              <w:adjustRightInd w:val="0"/>
            </w:pPr>
          </w:p>
        </w:tc>
        <w:tc>
          <w:tcPr>
            <w:tcW w:w="679" w:type="pct"/>
            <w:tcBorders>
              <w:top w:val="nil"/>
              <w:left w:val="nil"/>
              <w:bottom w:val="nil"/>
              <w:right w:val="nil"/>
            </w:tcBorders>
          </w:tcPr>
          <w:p w14:paraId="3F523E52" w14:textId="77777777" w:rsidR="00B54D51" w:rsidRPr="00037AD4" w:rsidRDefault="00B54D51" w:rsidP="00401C67">
            <w:pPr>
              <w:widowControl w:val="0"/>
              <w:autoSpaceDE w:val="0"/>
              <w:autoSpaceDN w:val="0"/>
              <w:adjustRightInd w:val="0"/>
              <w:jc w:val="center"/>
            </w:pPr>
            <w:r w:rsidRPr="00037AD4">
              <w:t>(-0.330 - 0.178)</w:t>
            </w:r>
          </w:p>
        </w:tc>
        <w:tc>
          <w:tcPr>
            <w:tcW w:w="679" w:type="pct"/>
            <w:tcBorders>
              <w:top w:val="nil"/>
              <w:left w:val="nil"/>
              <w:bottom w:val="nil"/>
              <w:right w:val="nil"/>
            </w:tcBorders>
          </w:tcPr>
          <w:p w14:paraId="512D92D9"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5C677E79"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096BDA87" w14:textId="77777777" w:rsidR="00B54D51" w:rsidRPr="00037AD4" w:rsidRDefault="00B54D51" w:rsidP="00401C67">
            <w:pPr>
              <w:widowControl w:val="0"/>
              <w:autoSpaceDE w:val="0"/>
              <w:autoSpaceDN w:val="0"/>
              <w:adjustRightInd w:val="0"/>
              <w:jc w:val="center"/>
            </w:pPr>
          </w:p>
        </w:tc>
        <w:tc>
          <w:tcPr>
            <w:tcW w:w="677" w:type="pct"/>
            <w:tcBorders>
              <w:top w:val="nil"/>
              <w:left w:val="nil"/>
              <w:bottom w:val="nil"/>
              <w:right w:val="nil"/>
            </w:tcBorders>
          </w:tcPr>
          <w:p w14:paraId="09AB161B" w14:textId="77777777" w:rsidR="00B54D51" w:rsidRPr="00037AD4" w:rsidRDefault="00B54D51" w:rsidP="00401C67">
            <w:pPr>
              <w:widowControl w:val="0"/>
              <w:autoSpaceDE w:val="0"/>
              <w:autoSpaceDN w:val="0"/>
              <w:adjustRightInd w:val="0"/>
              <w:jc w:val="center"/>
            </w:pPr>
          </w:p>
        </w:tc>
      </w:tr>
      <w:tr w:rsidR="00B54D51" w:rsidRPr="00037AD4" w14:paraId="14E6AA2C" w14:textId="77777777" w:rsidTr="00401C67">
        <w:trPr>
          <w:jc w:val="center"/>
        </w:trPr>
        <w:tc>
          <w:tcPr>
            <w:tcW w:w="1608" w:type="pct"/>
            <w:tcBorders>
              <w:top w:val="nil"/>
              <w:left w:val="nil"/>
              <w:bottom w:val="nil"/>
              <w:right w:val="nil"/>
            </w:tcBorders>
          </w:tcPr>
          <w:p w14:paraId="4032C77F" w14:textId="77777777" w:rsidR="00B54D51" w:rsidRPr="00037AD4" w:rsidRDefault="00B54D51" w:rsidP="00401C67">
            <w:pPr>
              <w:widowControl w:val="0"/>
              <w:autoSpaceDE w:val="0"/>
              <w:autoSpaceDN w:val="0"/>
              <w:adjustRightInd w:val="0"/>
            </w:pPr>
            <w:r w:rsidRPr="00037AD4">
              <w:t>3.eq3RP_</w:t>
            </w:r>
          </w:p>
        </w:tc>
        <w:tc>
          <w:tcPr>
            <w:tcW w:w="679" w:type="pct"/>
            <w:tcBorders>
              <w:top w:val="nil"/>
              <w:left w:val="nil"/>
              <w:bottom w:val="nil"/>
              <w:right w:val="nil"/>
            </w:tcBorders>
          </w:tcPr>
          <w:p w14:paraId="771C3A03" w14:textId="77777777" w:rsidR="00B54D51" w:rsidRPr="00037AD4" w:rsidRDefault="00B54D51" w:rsidP="00401C67">
            <w:pPr>
              <w:widowControl w:val="0"/>
              <w:autoSpaceDE w:val="0"/>
              <w:autoSpaceDN w:val="0"/>
              <w:adjustRightInd w:val="0"/>
              <w:jc w:val="center"/>
            </w:pPr>
            <w:r w:rsidRPr="00037AD4">
              <w:t>-0.200</w:t>
            </w:r>
          </w:p>
        </w:tc>
        <w:tc>
          <w:tcPr>
            <w:tcW w:w="679" w:type="pct"/>
            <w:tcBorders>
              <w:top w:val="nil"/>
              <w:left w:val="nil"/>
              <w:bottom w:val="nil"/>
              <w:right w:val="nil"/>
            </w:tcBorders>
          </w:tcPr>
          <w:p w14:paraId="10EA6DFE"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0C8A6824"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34C9EFC4" w14:textId="77777777" w:rsidR="00B54D51" w:rsidRPr="00037AD4" w:rsidRDefault="00B54D51" w:rsidP="00401C67">
            <w:pPr>
              <w:widowControl w:val="0"/>
              <w:autoSpaceDE w:val="0"/>
              <w:autoSpaceDN w:val="0"/>
              <w:adjustRightInd w:val="0"/>
              <w:jc w:val="center"/>
            </w:pPr>
          </w:p>
        </w:tc>
        <w:tc>
          <w:tcPr>
            <w:tcW w:w="677" w:type="pct"/>
            <w:tcBorders>
              <w:top w:val="nil"/>
              <w:left w:val="nil"/>
              <w:bottom w:val="nil"/>
              <w:right w:val="nil"/>
            </w:tcBorders>
          </w:tcPr>
          <w:p w14:paraId="41FFFF01" w14:textId="77777777" w:rsidR="00B54D51" w:rsidRPr="00037AD4" w:rsidRDefault="00B54D51" w:rsidP="00401C67">
            <w:pPr>
              <w:widowControl w:val="0"/>
              <w:autoSpaceDE w:val="0"/>
              <w:autoSpaceDN w:val="0"/>
              <w:adjustRightInd w:val="0"/>
              <w:jc w:val="center"/>
            </w:pPr>
          </w:p>
        </w:tc>
      </w:tr>
      <w:tr w:rsidR="00B54D51" w:rsidRPr="00037AD4" w14:paraId="7D2C1D41" w14:textId="77777777" w:rsidTr="00401C67">
        <w:trPr>
          <w:jc w:val="center"/>
        </w:trPr>
        <w:tc>
          <w:tcPr>
            <w:tcW w:w="1608" w:type="pct"/>
            <w:tcBorders>
              <w:top w:val="nil"/>
              <w:left w:val="nil"/>
              <w:bottom w:val="nil"/>
              <w:right w:val="nil"/>
            </w:tcBorders>
          </w:tcPr>
          <w:p w14:paraId="701B2788" w14:textId="77777777" w:rsidR="00B54D51" w:rsidRPr="00037AD4" w:rsidRDefault="00B54D51" w:rsidP="00401C67">
            <w:pPr>
              <w:widowControl w:val="0"/>
              <w:autoSpaceDE w:val="0"/>
              <w:autoSpaceDN w:val="0"/>
              <w:adjustRightInd w:val="0"/>
            </w:pPr>
          </w:p>
        </w:tc>
        <w:tc>
          <w:tcPr>
            <w:tcW w:w="679" w:type="pct"/>
            <w:tcBorders>
              <w:top w:val="nil"/>
              <w:left w:val="nil"/>
              <w:bottom w:val="nil"/>
              <w:right w:val="nil"/>
            </w:tcBorders>
          </w:tcPr>
          <w:p w14:paraId="5CC88C88" w14:textId="77777777" w:rsidR="00B54D51" w:rsidRPr="00037AD4" w:rsidRDefault="00B54D51" w:rsidP="00401C67">
            <w:pPr>
              <w:widowControl w:val="0"/>
              <w:autoSpaceDE w:val="0"/>
              <w:autoSpaceDN w:val="0"/>
              <w:adjustRightInd w:val="0"/>
              <w:jc w:val="center"/>
            </w:pPr>
            <w:r w:rsidRPr="00037AD4">
              <w:t>(-0.482 - 0.082)</w:t>
            </w:r>
          </w:p>
        </w:tc>
        <w:tc>
          <w:tcPr>
            <w:tcW w:w="679" w:type="pct"/>
            <w:tcBorders>
              <w:top w:val="nil"/>
              <w:left w:val="nil"/>
              <w:bottom w:val="nil"/>
              <w:right w:val="nil"/>
            </w:tcBorders>
          </w:tcPr>
          <w:p w14:paraId="14C42EA0"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453D7535"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61C65E39" w14:textId="77777777" w:rsidR="00B54D51" w:rsidRPr="00037AD4" w:rsidRDefault="00B54D51" w:rsidP="00401C67">
            <w:pPr>
              <w:widowControl w:val="0"/>
              <w:autoSpaceDE w:val="0"/>
              <w:autoSpaceDN w:val="0"/>
              <w:adjustRightInd w:val="0"/>
              <w:jc w:val="center"/>
            </w:pPr>
          </w:p>
        </w:tc>
        <w:tc>
          <w:tcPr>
            <w:tcW w:w="677" w:type="pct"/>
            <w:tcBorders>
              <w:top w:val="nil"/>
              <w:left w:val="nil"/>
              <w:bottom w:val="nil"/>
              <w:right w:val="nil"/>
            </w:tcBorders>
          </w:tcPr>
          <w:p w14:paraId="1219A719" w14:textId="77777777" w:rsidR="00B54D51" w:rsidRPr="00037AD4" w:rsidRDefault="00B54D51" w:rsidP="00401C67">
            <w:pPr>
              <w:widowControl w:val="0"/>
              <w:autoSpaceDE w:val="0"/>
              <w:autoSpaceDN w:val="0"/>
              <w:adjustRightInd w:val="0"/>
              <w:jc w:val="center"/>
            </w:pPr>
          </w:p>
        </w:tc>
      </w:tr>
      <w:tr w:rsidR="00B54D51" w:rsidRPr="00037AD4" w14:paraId="4EBB8D55" w14:textId="77777777" w:rsidTr="00401C67">
        <w:trPr>
          <w:jc w:val="center"/>
        </w:trPr>
        <w:tc>
          <w:tcPr>
            <w:tcW w:w="1608" w:type="pct"/>
            <w:tcBorders>
              <w:top w:val="nil"/>
              <w:left w:val="nil"/>
              <w:bottom w:val="nil"/>
              <w:right w:val="nil"/>
            </w:tcBorders>
          </w:tcPr>
          <w:p w14:paraId="206B4924" w14:textId="77777777" w:rsidR="00B54D51" w:rsidRPr="00037AD4" w:rsidRDefault="00B54D51" w:rsidP="00401C67">
            <w:pPr>
              <w:widowControl w:val="0"/>
              <w:autoSpaceDE w:val="0"/>
              <w:autoSpaceDN w:val="0"/>
              <w:adjustRightInd w:val="0"/>
            </w:pPr>
            <w:r w:rsidRPr="00037AD4">
              <w:t>4.eq3RP_</w:t>
            </w:r>
          </w:p>
        </w:tc>
        <w:tc>
          <w:tcPr>
            <w:tcW w:w="679" w:type="pct"/>
            <w:tcBorders>
              <w:top w:val="nil"/>
              <w:left w:val="nil"/>
              <w:bottom w:val="nil"/>
              <w:right w:val="nil"/>
            </w:tcBorders>
          </w:tcPr>
          <w:p w14:paraId="4EE1ADBD" w14:textId="77777777" w:rsidR="00B54D51" w:rsidRPr="00037AD4" w:rsidRDefault="00B54D51" w:rsidP="00401C67">
            <w:pPr>
              <w:widowControl w:val="0"/>
              <w:autoSpaceDE w:val="0"/>
              <w:autoSpaceDN w:val="0"/>
              <w:adjustRightInd w:val="0"/>
              <w:jc w:val="center"/>
            </w:pPr>
            <w:r w:rsidRPr="00037AD4">
              <w:t>-0.174</w:t>
            </w:r>
          </w:p>
        </w:tc>
        <w:tc>
          <w:tcPr>
            <w:tcW w:w="679" w:type="pct"/>
            <w:tcBorders>
              <w:top w:val="nil"/>
              <w:left w:val="nil"/>
              <w:bottom w:val="nil"/>
              <w:right w:val="nil"/>
            </w:tcBorders>
          </w:tcPr>
          <w:p w14:paraId="42D30653"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34A66FC0"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7019EB2B" w14:textId="77777777" w:rsidR="00B54D51" w:rsidRPr="00037AD4" w:rsidRDefault="00B54D51" w:rsidP="00401C67">
            <w:pPr>
              <w:widowControl w:val="0"/>
              <w:autoSpaceDE w:val="0"/>
              <w:autoSpaceDN w:val="0"/>
              <w:adjustRightInd w:val="0"/>
              <w:jc w:val="center"/>
            </w:pPr>
          </w:p>
        </w:tc>
        <w:tc>
          <w:tcPr>
            <w:tcW w:w="677" w:type="pct"/>
            <w:tcBorders>
              <w:top w:val="nil"/>
              <w:left w:val="nil"/>
              <w:bottom w:val="nil"/>
              <w:right w:val="nil"/>
            </w:tcBorders>
          </w:tcPr>
          <w:p w14:paraId="2D5FC955" w14:textId="77777777" w:rsidR="00B54D51" w:rsidRPr="00037AD4" w:rsidRDefault="00B54D51" w:rsidP="00401C67">
            <w:pPr>
              <w:widowControl w:val="0"/>
              <w:autoSpaceDE w:val="0"/>
              <w:autoSpaceDN w:val="0"/>
              <w:adjustRightInd w:val="0"/>
              <w:jc w:val="center"/>
            </w:pPr>
          </w:p>
        </w:tc>
      </w:tr>
      <w:tr w:rsidR="00B54D51" w:rsidRPr="00037AD4" w14:paraId="2AE95407" w14:textId="77777777" w:rsidTr="00401C67">
        <w:trPr>
          <w:jc w:val="center"/>
        </w:trPr>
        <w:tc>
          <w:tcPr>
            <w:tcW w:w="1608" w:type="pct"/>
            <w:tcBorders>
              <w:top w:val="nil"/>
              <w:left w:val="nil"/>
              <w:bottom w:val="nil"/>
              <w:right w:val="nil"/>
            </w:tcBorders>
          </w:tcPr>
          <w:p w14:paraId="0C29CC5A" w14:textId="77777777" w:rsidR="00B54D51" w:rsidRPr="00037AD4" w:rsidRDefault="00B54D51" w:rsidP="00401C67">
            <w:pPr>
              <w:widowControl w:val="0"/>
              <w:autoSpaceDE w:val="0"/>
              <w:autoSpaceDN w:val="0"/>
              <w:adjustRightInd w:val="0"/>
            </w:pPr>
          </w:p>
        </w:tc>
        <w:tc>
          <w:tcPr>
            <w:tcW w:w="679" w:type="pct"/>
            <w:tcBorders>
              <w:top w:val="nil"/>
              <w:left w:val="nil"/>
              <w:bottom w:val="nil"/>
              <w:right w:val="nil"/>
            </w:tcBorders>
          </w:tcPr>
          <w:p w14:paraId="3A913D56" w14:textId="77777777" w:rsidR="00B54D51" w:rsidRPr="00037AD4" w:rsidRDefault="00B54D51" w:rsidP="00401C67">
            <w:pPr>
              <w:widowControl w:val="0"/>
              <w:autoSpaceDE w:val="0"/>
              <w:autoSpaceDN w:val="0"/>
              <w:adjustRightInd w:val="0"/>
              <w:jc w:val="center"/>
            </w:pPr>
            <w:r w:rsidRPr="00037AD4">
              <w:t>(-0.521 - 0.173)</w:t>
            </w:r>
          </w:p>
        </w:tc>
        <w:tc>
          <w:tcPr>
            <w:tcW w:w="679" w:type="pct"/>
            <w:tcBorders>
              <w:top w:val="nil"/>
              <w:left w:val="nil"/>
              <w:bottom w:val="nil"/>
              <w:right w:val="nil"/>
            </w:tcBorders>
          </w:tcPr>
          <w:p w14:paraId="70EADF43"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7D83F111"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49C41063" w14:textId="77777777" w:rsidR="00B54D51" w:rsidRPr="00037AD4" w:rsidRDefault="00B54D51" w:rsidP="00401C67">
            <w:pPr>
              <w:widowControl w:val="0"/>
              <w:autoSpaceDE w:val="0"/>
              <w:autoSpaceDN w:val="0"/>
              <w:adjustRightInd w:val="0"/>
              <w:jc w:val="center"/>
            </w:pPr>
          </w:p>
        </w:tc>
        <w:tc>
          <w:tcPr>
            <w:tcW w:w="677" w:type="pct"/>
            <w:tcBorders>
              <w:top w:val="nil"/>
              <w:left w:val="nil"/>
              <w:bottom w:val="nil"/>
              <w:right w:val="nil"/>
            </w:tcBorders>
          </w:tcPr>
          <w:p w14:paraId="01B57F82" w14:textId="77777777" w:rsidR="00B54D51" w:rsidRPr="00037AD4" w:rsidRDefault="00B54D51" w:rsidP="00401C67">
            <w:pPr>
              <w:widowControl w:val="0"/>
              <w:autoSpaceDE w:val="0"/>
              <w:autoSpaceDN w:val="0"/>
              <w:adjustRightInd w:val="0"/>
              <w:jc w:val="center"/>
            </w:pPr>
          </w:p>
        </w:tc>
      </w:tr>
      <w:tr w:rsidR="00B54D51" w:rsidRPr="00037AD4" w14:paraId="76D29A10" w14:textId="77777777" w:rsidTr="00401C67">
        <w:trPr>
          <w:jc w:val="center"/>
        </w:trPr>
        <w:tc>
          <w:tcPr>
            <w:tcW w:w="1608" w:type="pct"/>
            <w:tcBorders>
              <w:top w:val="nil"/>
              <w:left w:val="nil"/>
              <w:bottom w:val="nil"/>
              <w:right w:val="nil"/>
            </w:tcBorders>
          </w:tcPr>
          <w:p w14:paraId="5449540E" w14:textId="77777777" w:rsidR="00B54D51" w:rsidRPr="00037AD4" w:rsidRDefault="00B54D51" w:rsidP="00401C67">
            <w:pPr>
              <w:widowControl w:val="0"/>
              <w:autoSpaceDE w:val="0"/>
              <w:autoSpaceDN w:val="0"/>
              <w:adjustRightInd w:val="0"/>
            </w:pPr>
            <w:r w:rsidRPr="00037AD4">
              <w:t>5.eq3RP_</w:t>
            </w:r>
          </w:p>
        </w:tc>
        <w:tc>
          <w:tcPr>
            <w:tcW w:w="679" w:type="pct"/>
            <w:tcBorders>
              <w:top w:val="nil"/>
              <w:left w:val="nil"/>
              <w:bottom w:val="nil"/>
              <w:right w:val="nil"/>
            </w:tcBorders>
          </w:tcPr>
          <w:p w14:paraId="1C2A80D1" w14:textId="77777777" w:rsidR="00B54D51" w:rsidRPr="00037AD4" w:rsidRDefault="00B54D51" w:rsidP="00401C67">
            <w:pPr>
              <w:widowControl w:val="0"/>
              <w:autoSpaceDE w:val="0"/>
              <w:autoSpaceDN w:val="0"/>
              <w:adjustRightInd w:val="0"/>
              <w:jc w:val="center"/>
            </w:pPr>
            <w:r w:rsidRPr="00037AD4">
              <w:t>-0.044</w:t>
            </w:r>
          </w:p>
        </w:tc>
        <w:tc>
          <w:tcPr>
            <w:tcW w:w="679" w:type="pct"/>
            <w:tcBorders>
              <w:top w:val="nil"/>
              <w:left w:val="nil"/>
              <w:bottom w:val="nil"/>
              <w:right w:val="nil"/>
            </w:tcBorders>
          </w:tcPr>
          <w:p w14:paraId="259CA2B3"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051A7F87"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649B10FE" w14:textId="77777777" w:rsidR="00B54D51" w:rsidRPr="00037AD4" w:rsidRDefault="00B54D51" w:rsidP="00401C67">
            <w:pPr>
              <w:widowControl w:val="0"/>
              <w:autoSpaceDE w:val="0"/>
              <w:autoSpaceDN w:val="0"/>
              <w:adjustRightInd w:val="0"/>
              <w:jc w:val="center"/>
            </w:pPr>
          </w:p>
        </w:tc>
        <w:tc>
          <w:tcPr>
            <w:tcW w:w="677" w:type="pct"/>
            <w:tcBorders>
              <w:top w:val="nil"/>
              <w:left w:val="nil"/>
              <w:bottom w:val="nil"/>
              <w:right w:val="nil"/>
            </w:tcBorders>
          </w:tcPr>
          <w:p w14:paraId="2BE7CDE5" w14:textId="77777777" w:rsidR="00B54D51" w:rsidRPr="00037AD4" w:rsidRDefault="00B54D51" w:rsidP="00401C67">
            <w:pPr>
              <w:widowControl w:val="0"/>
              <w:autoSpaceDE w:val="0"/>
              <w:autoSpaceDN w:val="0"/>
              <w:adjustRightInd w:val="0"/>
              <w:jc w:val="center"/>
            </w:pPr>
          </w:p>
        </w:tc>
      </w:tr>
      <w:tr w:rsidR="00B54D51" w:rsidRPr="00037AD4" w14:paraId="2F178646" w14:textId="77777777" w:rsidTr="00401C67">
        <w:trPr>
          <w:jc w:val="center"/>
        </w:trPr>
        <w:tc>
          <w:tcPr>
            <w:tcW w:w="1608" w:type="pct"/>
            <w:tcBorders>
              <w:top w:val="nil"/>
              <w:left w:val="nil"/>
              <w:bottom w:val="nil"/>
              <w:right w:val="nil"/>
            </w:tcBorders>
          </w:tcPr>
          <w:p w14:paraId="086D49C8" w14:textId="77777777" w:rsidR="00B54D51" w:rsidRPr="00037AD4" w:rsidRDefault="00B54D51" w:rsidP="00401C67">
            <w:pPr>
              <w:widowControl w:val="0"/>
              <w:autoSpaceDE w:val="0"/>
              <w:autoSpaceDN w:val="0"/>
              <w:adjustRightInd w:val="0"/>
            </w:pPr>
          </w:p>
        </w:tc>
        <w:tc>
          <w:tcPr>
            <w:tcW w:w="679" w:type="pct"/>
            <w:tcBorders>
              <w:top w:val="nil"/>
              <w:left w:val="nil"/>
              <w:bottom w:val="nil"/>
              <w:right w:val="nil"/>
            </w:tcBorders>
          </w:tcPr>
          <w:p w14:paraId="63B43BC5" w14:textId="77777777" w:rsidR="00B54D51" w:rsidRPr="00037AD4" w:rsidRDefault="00B54D51" w:rsidP="00401C67">
            <w:pPr>
              <w:widowControl w:val="0"/>
              <w:autoSpaceDE w:val="0"/>
              <w:autoSpaceDN w:val="0"/>
              <w:adjustRightInd w:val="0"/>
              <w:jc w:val="center"/>
            </w:pPr>
            <w:r w:rsidRPr="00037AD4">
              <w:t>(-0.615 - 0.528)</w:t>
            </w:r>
          </w:p>
        </w:tc>
        <w:tc>
          <w:tcPr>
            <w:tcW w:w="679" w:type="pct"/>
            <w:tcBorders>
              <w:top w:val="nil"/>
              <w:left w:val="nil"/>
              <w:bottom w:val="nil"/>
              <w:right w:val="nil"/>
            </w:tcBorders>
          </w:tcPr>
          <w:p w14:paraId="1465E4AA"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2401F70C"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7A6F3E0E" w14:textId="77777777" w:rsidR="00B54D51" w:rsidRPr="00037AD4" w:rsidRDefault="00B54D51" w:rsidP="00401C67">
            <w:pPr>
              <w:widowControl w:val="0"/>
              <w:autoSpaceDE w:val="0"/>
              <w:autoSpaceDN w:val="0"/>
              <w:adjustRightInd w:val="0"/>
              <w:jc w:val="center"/>
            </w:pPr>
          </w:p>
        </w:tc>
        <w:tc>
          <w:tcPr>
            <w:tcW w:w="677" w:type="pct"/>
            <w:tcBorders>
              <w:top w:val="nil"/>
              <w:left w:val="nil"/>
              <w:bottom w:val="nil"/>
              <w:right w:val="nil"/>
            </w:tcBorders>
          </w:tcPr>
          <w:p w14:paraId="18AC8FDB" w14:textId="77777777" w:rsidR="00B54D51" w:rsidRPr="00037AD4" w:rsidRDefault="00B54D51" w:rsidP="00401C67">
            <w:pPr>
              <w:widowControl w:val="0"/>
              <w:autoSpaceDE w:val="0"/>
              <w:autoSpaceDN w:val="0"/>
              <w:adjustRightInd w:val="0"/>
              <w:jc w:val="center"/>
            </w:pPr>
          </w:p>
        </w:tc>
      </w:tr>
      <w:tr w:rsidR="00B54D51" w:rsidRPr="00037AD4" w14:paraId="200A2489" w14:textId="77777777" w:rsidTr="00401C67">
        <w:trPr>
          <w:jc w:val="center"/>
        </w:trPr>
        <w:tc>
          <w:tcPr>
            <w:tcW w:w="1608" w:type="pct"/>
            <w:tcBorders>
              <w:top w:val="nil"/>
              <w:left w:val="nil"/>
              <w:bottom w:val="nil"/>
              <w:right w:val="nil"/>
            </w:tcBorders>
          </w:tcPr>
          <w:p w14:paraId="3486EA5F" w14:textId="77777777" w:rsidR="00B54D51" w:rsidRPr="00037AD4" w:rsidRDefault="00B54D51" w:rsidP="00401C67">
            <w:pPr>
              <w:widowControl w:val="0"/>
              <w:autoSpaceDE w:val="0"/>
              <w:autoSpaceDN w:val="0"/>
              <w:adjustRightInd w:val="0"/>
            </w:pPr>
            <w:r w:rsidRPr="00037AD4">
              <w:t>2.eq4RP_</w:t>
            </w:r>
          </w:p>
        </w:tc>
        <w:tc>
          <w:tcPr>
            <w:tcW w:w="679" w:type="pct"/>
            <w:tcBorders>
              <w:top w:val="nil"/>
              <w:left w:val="nil"/>
              <w:bottom w:val="nil"/>
              <w:right w:val="nil"/>
            </w:tcBorders>
          </w:tcPr>
          <w:p w14:paraId="36DA082B" w14:textId="77777777" w:rsidR="00B54D51" w:rsidRPr="00037AD4" w:rsidRDefault="00B54D51" w:rsidP="00401C67">
            <w:pPr>
              <w:widowControl w:val="0"/>
              <w:autoSpaceDE w:val="0"/>
              <w:autoSpaceDN w:val="0"/>
              <w:adjustRightInd w:val="0"/>
              <w:jc w:val="center"/>
            </w:pPr>
            <w:r w:rsidRPr="00037AD4">
              <w:t>-0.026</w:t>
            </w:r>
          </w:p>
        </w:tc>
        <w:tc>
          <w:tcPr>
            <w:tcW w:w="679" w:type="pct"/>
            <w:tcBorders>
              <w:top w:val="nil"/>
              <w:left w:val="nil"/>
              <w:bottom w:val="nil"/>
              <w:right w:val="nil"/>
            </w:tcBorders>
          </w:tcPr>
          <w:p w14:paraId="6578224D"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4CC8C527"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4D40598F" w14:textId="77777777" w:rsidR="00B54D51" w:rsidRPr="00037AD4" w:rsidRDefault="00B54D51" w:rsidP="00401C67">
            <w:pPr>
              <w:widowControl w:val="0"/>
              <w:autoSpaceDE w:val="0"/>
              <w:autoSpaceDN w:val="0"/>
              <w:adjustRightInd w:val="0"/>
              <w:jc w:val="center"/>
            </w:pPr>
          </w:p>
        </w:tc>
        <w:tc>
          <w:tcPr>
            <w:tcW w:w="677" w:type="pct"/>
            <w:tcBorders>
              <w:top w:val="nil"/>
              <w:left w:val="nil"/>
              <w:bottom w:val="nil"/>
              <w:right w:val="nil"/>
            </w:tcBorders>
          </w:tcPr>
          <w:p w14:paraId="38B8AE79" w14:textId="77777777" w:rsidR="00B54D51" w:rsidRPr="00037AD4" w:rsidRDefault="00B54D51" w:rsidP="00401C67">
            <w:pPr>
              <w:widowControl w:val="0"/>
              <w:autoSpaceDE w:val="0"/>
              <w:autoSpaceDN w:val="0"/>
              <w:adjustRightInd w:val="0"/>
              <w:jc w:val="center"/>
            </w:pPr>
          </w:p>
        </w:tc>
      </w:tr>
      <w:tr w:rsidR="00B54D51" w:rsidRPr="00037AD4" w14:paraId="4C4DA7C0" w14:textId="77777777" w:rsidTr="00401C67">
        <w:trPr>
          <w:jc w:val="center"/>
        </w:trPr>
        <w:tc>
          <w:tcPr>
            <w:tcW w:w="1608" w:type="pct"/>
            <w:tcBorders>
              <w:top w:val="nil"/>
              <w:left w:val="nil"/>
              <w:bottom w:val="nil"/>
              <w:right w:val="nil"/>
            </w:tcBorders>
          </w:tcPr>
          <w:p w14:paraId="402867AC" w14:textId="77777777" w:rsidR="00B54D51" w:rsidRPr="00037AD4" w:rsidRDefault="00B54D51" w:rsidP="00401C67">
            <w:pPr>
              <w:widowControl w:val="0"/>
              <w:autoSpaceDE w:val="0"/>
              <w:autoSpaceDN w:val="0"/>
              <w:adjustRightInd w:val="0"/>
            </w:pPr>
          </w:p>
        </w:tc>
        <w:tc>
          <w:tcPr>
            <w:tcW w:w="679" w:type="pct"/>
            <w:tcBorders>
              <w:top w:val="nil"/>
              <w:left w:val="nil"/>
              <w:bottom w:val="nil"/>
              <w:right w:val="nil"/>
            </w:tcBorders>
          </w:tcPr>
          <w:p w14:paraId="691E0B65" w14:textId="77777777" w:rsidR="00B54D51" w:rsidRPr="00037AD4" w:rsidRDefault="00B54D51" w:rsidP="00401C67">
            <w:pPr>
              <w:widowControl w:val="0"/>
              <w:autoSpaceDE w:val="0"/>
              <w:autoSpaceDN w:val="0"/>
              <w:adjustRightInd w:val="0"/>
              <w:jc w:val="center"/>
            </w:pPr>
            <w:r w:rsidRPr="00037AD4">
              <w:t>(-0.248 - 0.195)</w:t>
            </w:r>
          </w:p>
        </w:tc>
        <w:tc>
          <w:tcPr>
            <w:tcW w:w="679" w:type="pct"/>
            <w:tcBorders>
              <w:top w:val="nil"/>
              <w:left w:val="nil"/>
              <w:bottom w:val="nil"/>
              <w:right w:val="nil"/>
            </w:tcBorders>
          </w:tcPr>
          <w:p w14:paraId="40A820B2"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0CFB21F0"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19519C6D" w14:textId="77777777" w:rsidR="00B54D51" w:rsidRPr="00037AD4" w:rsidRDefault="00B54D51" w:rsidP="00401C67">
            <w:pPr>
              <w:widowControl w:val="0"/>
              <w:autoSpaceDE w:val="0"/>
              <w:autoSpaceDN w:val="0"/>
              <w:adjustRightInd w:val="0"/>
              <w:jc w:val="center"/>
            </w:pPr>
          </w:p>
        </w:tc>
        <w:tc>
          <w:tcPr>
            <w:tcW w:w="677" w:type="pct"/>
            <w:tcBorders>
              <w:top w:val="nil"/>
              <w:left w:val="nil"/>
              <w:bottom w:val="nil"/>
              <w:right w:val="nil"/>
            </w:tcBorders>
          </w:tcPr>
          <w:p w14:paraId="6AEAC9D4" w14:textId="77777777" w:rsidR="00B54D51" w:rsidRPr="00037AD4" w:rsidRDefault="00B54D51" w:rsidP="00401C67">
            <w:pPr>
              <w:widowControl w:val="0"/>
              <w:autoSpaceDE w:val="0"/>
              <w:autoSpaceDN w:val="0"/>
              <w:adjustRightInd w:val="0"/>
              <w:jc w:val="center"/>
            </w:pPr>
          </w:p>
        </w:tc>
      </w:tr>
      <w:tr w:rsidR="00B54D51" w:rsidRPr="00037AD4" w14:paraId="4FEF63BB" w14:textId="77777777" w:rsidTr="00401C67">
        <w:trPr>
          <w:jc w:val="center"/>
        </w:trPr>
        <w:tc>
          <w:tcPr>
            <w:tcW w:w="1608" w:type="pct"/>
            <w:tcBorders>
              <w:top w:val="nil"/>
              <w:left w:val="nil"/>
              <w:bottom w:val="nil"/>
              <w:right w:val="nil"/>
            </w:tcBorders>
          </w:tcPr>
          <w:p w14:paraId="5A295394" w14:textId="77777777" w:rsidR="00B54D51" w:rsidRPr="00037AD4" w:rsidRDefault="00B54D51" w:rsidP="00401C67">
            <w:pPr>
              <w:widowControl w:val="0"/>
              <w:autoSpaceDE w:val="0"/>
              <w:autoSpaceDN w:val="0"/>
              <w:adjustRightInd w:val="0"/>
            </w:pPr>
            <w:r w:rsidRPr="00037AD4">
              <w:t>3.eq4RP_</w:t>
            </w:r>
          </w:p>
        </w:tc>
        <w:tc>
          <w:tcPr>
            <w:tcW w:w="679" w:type="pct"/>
            <w:tcBorders>
              <w:top w:val="nil"/>
              <w:left w:val="nil"/>
              <w:bottom w:val="nil"/>
              <w:right w:val="nil"/>
            </w:tcBorders>
          </w:tcPr>
          <w:p w14:paraId="7E784501" w14:textId="77777777" w:rsidR="00B54D51" w:rsidRPr="00037AD4" w:rsidRDefault="00B54D51" w:rsidP="00401C67">
            <w:pPr>
              <w:widowControl w:val="0"/>
              <w:autoSpaceDE w:val="0"/>
              <w:autoSpaceDN w:val="0"/>
              <w:adjustRightInd w:val="0"/>
              <w:jc w:val="center"/>
            </w:pPr>
            <w:r w:rsidRPr="00037AD4">
              <w:t>0.025</w:t>
            </w:r>
          </w:p>
        </w:tc>
        <w:tc>
          <w:tcPr>
            <w:tcW w:w="679" w:type="pct"/>
            <w:tcBorders>
              <w:top w:val="nil"/>
              <w:left w:val="nil"/>
              <w:bottom w:val="nil"/>
              <w:right w:val="nil"/>
            </w:tcBorders>
          </w:tcPr>
          <w:p w14:paraId="66FC3B4F"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757C40F4"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3AD4C920" w14:textId="77777777" w:rsidR="00B54D51" w:rsidRPr="00037AD4" w:rsidRDefault="00B54D51" w:rsidP="00401C67">
            <w:pPr>
              <w:widowControl w:val="0"/>
              <w:autoSpaceDE w:val="0"/>
              <w:autoSpaceDN w:val="0"/>
              <w:adjustRightInd w:val="0"/>
              <w:jc w:val="center"/>
            </w:pPr>
          </w:p>
        </w:tc>
        <w:tc>
          <w:tcPr>
            <w:tcW w:w="677" w:type="pct"/>
            <w:tcBorders>
              <w:top w:val="nil"/>
              <w:left w:val="nil"/>
              <w:bottom w:val="nil"/>
              <w:right w:val="nil"/>
            </w:tcBorders>
          </w:tcPr>
          <w:p w14:paraId="1034AD77" w14:textId="77777777" w:rsidR="00B54D51" w:rsidRPr="00037AD4" w:rsidRDefault="00B54D51" w:rsidP="00401C67">
            <w:pPr>
              <w:widowControl w:val="0"/>
              <w:autoSpaceDE w:val="0"/>
              <w:autoSpaceDN w:val="0"/>
              <w:adjustRightInd w:val="0"/>
              <w:jc w:val="center"/>
            </w:pPr>
          </w:p>
        </w:tc>
      </w:tr>
      <w:tr w:rsidR="00B54D51" w:rsidRPr="00037AD4" w14:paraId="09E4290D" w14:textId="77777777" w:rsidTr="00401C67">
        <w:trPr>
          <w:jc w:val="center"/>
        </w:trPr>
        <w:tc>
          <w:tcPr>
            <w:tcW w:w="1608" w:type="pct"/>
            <w:tcBorders>
              <w:top w:val="nil"/>
              <w:left w:val="nil"/>
              <w:bottom w:val="nil"/>
              <w:right w:val="nil"/>
            </w:tcBorders>
          </w:tcPr>
          <w:p w14:paraId="2DD1CAEF" w14:textId="77777777" w:rsidR="00B54D51" w:rsidRPr="00037AD4" w:rsidRDefault="00B54D51" w:rsidP="00401C67">
            <w:pPr>
              <w:widowControl w:val="0"/>
              <w:autoSpaceDE w:val="0"/>
              <w:autoSpaceDN w:val="0"/>
              <w:adjustRightInd w:val="0"/>
            </w:pPr>
          </w:p>
        </w:tc>
        <w:tc>
          <w:tcPr>
            <w:tcW w:w="679" w:type="pct"/>
            <w:tcBorders>
              <w:top w:val="nil"/>
              <w:left w:val="nil"/>
              <w:bottom w:val="nil"/>
              <w:right w:val="nil"/>
            </w:tcBorders>
          </w:tcPr>
          <w:p w14:paraId="64631008" w14:textId="77777777" w:rsidR="00B54D51" w:rsidRPr="00037AD4" w:rsidRDefault="00B54D51" w:rsidP="00401C67">
            <w:pPr>
              <w:widowControl w:val="0"/>
              <w:autoSpaceDE w:val="0"/>
              <w:autoSpaceDN w:val="0"/>
              <w:adjustRightInd w:val="0"/>
              <w:jc w:val="center"/>
            </w:pPr>
            <w:r w:rsidRPr="00037AD4">
              <w:t>(-0.204 - 0.253)</w:t>
            </w:r>
          </w:p>
        </w:tc>
        <w:tc>
          <w:tcPr>
            <w:tcW w:w="679" w:type="pct"/>
            <w:tcBorders>
              <w:top w:val="nil"/>
              <w:left w:val="nil"/>
              <w:bottom w:val="nil"/>
              <w:right w:val="nil"/>
            </w:tcBorders>
          </w:tcPr>
          <w:p w14:paraId="476B019C"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6F299D6D"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2A89640C" w14:textId="77777777" w:rsidR="00B54D51" w:rsidRPr="00037AD4" w:rsidRDefault="00B54D51" w:rsidP="00401C67">
            <w:pPr>
              <w:widowControl w:val="0"/>
              <w:autoSpaceDE w:val="0"/>
              <w:autoSpaceDN w:val="0"/>
              <w:adjustRightInd w:val="0"/>
              <w:jc w:val="center"/>
            </w:pPr>
          </w:p>
        </w:tc>
        <w:tc>
          <w:tcPr>
            <w:tcW w:w="677" w:type="pct"/>
            <w:tcBorders>
              <w:top w:val="nil"/>
              <w:left w:val="nil"/>
              <w:bottom w:val="nil"/>
              <w:right w:val="nil"/>
            </w:tcBorders>
          </w:tcPr>
          <w:p w14:paraId="73CFE72A" w14:textId="77777777" w:rsidR="00B54D51" w:rsidRPr="00037AD4" w:rsidRDefault="00B54D51" w:rsidP="00401C67">
            <w:pPr>
              <w:widowControl w:val="0"/>
              <w:autoSpaceDE w:val="0"/>
              <w:autoSpaceDN w:val="0"/>
              <w:adjustRightInd w:val="0"/>
              <w:jc w:val="center"/>
            </w:pPr>
          </w:p>
        </w:tc>
      </w:tr>
      <w:tr w:rsidR="00B54D51" w:rsidRPr="00037AD4" w14:paraId="2D16BFE4" w14:textId="77777777" w:rsidTr="00401C67">
        <w:trPr>
          <w:jc w:val="center"/>
        </w:trPr>
        <w:tc>
          <w:tcPr>
            <w:tcW w:w="1608" w:type="pct"/>
            <w:tcBorders>
              <w:top w:val="nil"/>
              <w:left w:val="nil"/>
              <w:bottom w:val="nil"/>
              <w:right w:val="nil"/>
            </w:tcBorders>
          </w:tcPr>
          <w:p w14:paraId="110795B1" w14:textId="77777777" w:rsidR="00B54D51" w:rsidRPr="00037AD4" w:rsidRDefault="00B54D51" w:rsidP="00401C67">
            <w:pPr>
              <w:widowControl w:val="0"/>
              <w:autoSpaceDE w:val="0"/>
              <w:autoSpaceDN w:val="0"/>
              <w:adjustRightInd w:val="0"/>
            </w:pPr>
            <w:r w:rsidRPr="00037AD4">
              <w:lastRenderedPageBreak/>
              <w:t>4.eq4RP_</w:t>
            </w:r>
          </w:p>
        </w:tc>
        <w:tc>
          <w:tcPr>
            <w:tcW w:w="679" w:type="pct"/>
            <w:tcBorders>
              <w:top w:val="nil"/>
              <w:left w:val="nil"/>
              <w:bottom w:val="nil"/>
              <w:right w:val="nil"/>
            </w:tcBorders>
          </w:tcPr>
          <w:p w14:paraId="6B066317" w14:textId="77777777" w:rsidR="00B54D51" w:rsidRPr="00037AD4" w:rsidRDefault="00B54D51" w:rsidP="00401C67">
            <w:pPr>
              <w:widowControl w:val="0"/>
              <w:autoSpaceDE w:val="0"/>
              <w:autoSpaceDN w:val="0"/>
              <w:adjustRightInd w:val="0"/>
              <w:jc w:val="center"/>
            </w:pPr>
            <w:r w:rsidRPr="00037AD4">
              <w:t>0.240</w:t>
            </w:r>
          </w:p>
        </w:tc>
        <w:tc>
          <w:tcPr>
            <w:tcW w:w="679" w:type="pct"/>
            <w:tcBorders>
              <w:top w:val="nil"/>
              <w:left w:val="nil"/>
              <w:bottom w:val="nil"/>
              <w:right w:val="nil"/>
            </w:tcBorders>
          </w:tcPr>
          <w:p w14:paraId="6F14679B"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7CD7A80E"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78571FF0" w14:textId="77777777" w:rsidR="00B54D51" w:rsidRPr="00037AD4" w:rsidRDefault="00B54D51" w:rsidP="00401C67">
            <w:pPr>
              <w:widowControl w:val="0"/>
              <w:autoSpaceDE w:val="0"/>
              <w:autoSpaceDN w:val="0"/>
              <w:adjustRightInd w:val="0"/>
              <w:jc w:val="center"/>
            </w:pPr>
          </w:p>
        </w:tc>
        <w:tc>
          <w:tcPr>
            <w:tcW w:w="677" w:type="pct"/>
            <w:tcBorders>
              <w:top w:val="nil"/>
              <w:left w:val="nil"/>
              <w:bottom w:val="nil"/>
              <w:right w:val="nil"/>
            </w:tcBorders>
          </w:tcPr>
          <w:p w14:paraId="417127F5" w14:textId="77777777" w:rsidR="00B54D51" w:rsidRPr="00037AD4" w:rsidRDefault="00B54D51" w:rsidP="00401C67">
            <w:pPr>
              <w:widowControl w:val="0"/>
              <w:autoSpaceDE w:val="0"/>
              <w:autoSpaceDN w:val="0"/>
              <w:adjustRightInd w:val="0"/>
              <w:jc w:val="center"/>
            </w:pPr>
          </w:p>
        </w:tc>
      </w:tr>
      <w:tr w:rsidR="00B54D51" w:rsidRPr="00037AD4" w14:paraId="6A13B7F8" w14:textId="77777777" w:rsidTr="00401C67">
        <w:trPr>
          <w:jc w:val="center"/>
        </w:trPr>
        <w:tc>
          <w:tcPr>
            <w:tcW w:w="1608" w:type="pct"/>
            <w:tcBorders>
              <w:top w:val="nil"/>
              <w:left w:val="nil"/>
              <w:bottom w:val="nil"/>
              <w:right w:val="nil"/>
            </w:tcBorders>
          </w:tcPr>
          <w:p w14:paraId="5CCC5828" w14:textId="77777777" w:rsidR="00B54D51" w:rsidRPr="00037AD4" w:rsidRDefault="00B54D51" w:rsidP="00401C67">
            <w:pPr>
              <w:widowControl w:val="0"/>
              <w:autoSpaceDE w:val="0"/>
              <w:autoSpaceDN w:val="0"/>
              <w:adjustRightInd w:val="0"/>
            </w:pPr>
          </w:p>
        </w:tc>
        <w:tc>
          <w:tcPr>
            <w:tcW w:w="679" w:type="pct"/>
            <w:tcBorders>
              <w:top w:val="nil"/>
              <w:left w:val="nil"/>
              <w:bottom w:val="nil"/>
              <w:right w:val="nil"/>
            </w:tcBorders>
          </w:tcPr>
          <w:p w14:paraId="265ED791" w14:textId="77777777" w:rsidR="00B54D51" w:rsidRPr="00037AD4" w:rsidRDefault="00B54D51" w:rsidP="00401C67">
            <w:pPr>
              <w:widowControl w:val="0"/>
              <w:autoSpaceDE w:val="0"/>
              <w:autoSpaceDN w:val="0"/>
              <w:adjustRightInd w:val="0"/>
              <w:jc w:val="center"/>
            </w:pPr>
            <w:r w:rsidRPr="00037AD4">
              <w:t>(-0.153 - 0.633)</w:t>
            </w:r>
          </w:p>
        </w:tc>
        <w:tc>
          <w:tcPr>
            <w:tcW w:w="679" w:type="pct"/>
            <w:tcBorders>
              <w:top w:val="nil"/>
              <w:left w:val="nil"/>
              <w:bottom w:val="nil"/>
              <w:right w:val="nil"/>
            </w:tcBorders>
          </w:tcPr>
          <w:p w14:paraId="1F8091C5"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2264FFF8"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17BC98ED" w14:textId="77777777" w:rsidR="00B54D51" w:rsidRPr="00037AD4" w:rsidRDefault="00B54D51" w:rsidP="00401C67">
            <w:pPr>
              <w:widowControl w:val="0"/>
              <w:autoSpaceDE w:val="0"/>
              <w:autoSpaceDN w:val="0"/>
              <w:adjustRightInd w:val="0"/>
              <w:jc w:val="center"/>
            </w:pPr>
          </w:p>
        </w:tc>
        <w:tc>
          <w:tcPr>
            <w:tcW w:w="677" w:type="pct"/>
            <w:tcBorders>
              <w:top w:val="nil"/>
              <w:left w:val="nil"/>
              <w:bottom w:val="nil"/>
              <w:right w:val="nil"/>
            </w:tcBorders>
          </w:tcPr>
          <w:p w14:paraId="394368AE" w14:textId="77777777" w:rsidR="00B54D51" w:rsidRPr="00037AD4" w:rsidRDefault="00B54D51" w:rsidP="00401C67">
            <w:pPr>
              <w:widowControl w:val="0"/>
              <w:autoSpaceDE w:val="0"/>
              <w:autoSpaceDN w:val="0"/>
              <w:adjustRightInd w:val="0"/>
              <w:jc w:val="center"/>
            </w:pPr>
          </w:p>
        </w:tc>
      </w:tr>
      <w:tr w:rsidR="00B54D51" w:rsidRPr="00037AD4" w14:paraId="2D50627A" w14:textId="77777777" w:rsidTr="00401C67">
        <w:trPr>
          <w:jc w:val="center"/>
        </w:trPr>
        <w:tc>
          <w:tcPr>
            <w:tcW w:w="1608" w:type="pct"/>
            <w:tcBorders>
              <w:top w:val="nil"/>
              <w:left w:val="nil"/>
              <w:bottom w:val="nil"/>
              <w:right w:val="nil"/>
            </w:tcBorders>
          </w:tcPr>
          <w:p w14:paraId="1185A05B" w14:textId="77777777" w:rsidR="00B54D51" w:rsidRPr="00037AD4" w:rsidRDefault="00B54D51" w:rsidP="00401C67">
            <w:pPr>
              <w:widowControl w:val="0"/>
              <w:autoSpaceDE w:val="0"/>
              <w:autoSpaceDN w:val="0"/>
              <w:adjustRightInd w:val="0"/>
            </w:pPr>
            <w:r w:rsidRPr="00037AD4">
              <w:t>5.eq4RP_</w:t>
            </w:r>
          </w:p>
        </w:tc>
        <w:tc>
          <w:tcPr>
            <w:tcW w:w="679" w:type="pct"/>
            <w:tcBorders>
              <w:top w:val="nil"/>
              <w:left w:val="nil"/>
              <w:bottom w:val="nil"/>
              <w:right w:val="nil"/>
            </w:tcBorders>
          </w:tcPr>
          <w:p w14:paraId="4E656ED1" w14:textId="77777777" w:rsidR="00B54D51" w:rsidRPr="00037AD4" w:rsidRDefault="00B54D51" w:rsidP="00401C67">
            <w:pPr>
              <w:widowControl w:val="0"/>
              <w:autoSpaceDE w:val="0"/>
              <w:autoSpaceDN w:val="0"/>
              <w:adjustRightInd w:val="0"/>
              <w:jc w:val="center"/>
            </w:pPr>
            <w:r w:rsidRPr="00037AD4">
              <w:t>-0.627</w:t>
            </w:r>
          </w:p>
        </w:tc>
        <w:tc>
          <w:tcPr>
            <w:tcW w:w="679" w:type="pct"/>
            <w:tcBorders>
              <w:top w:val="nil"/>
              <w:left w:val="nil"/>
              <w:bottom w:val="nil"/>
              <w:right w:val="nil"/>
            </w:tcBorders>
          </w:tcPr>
          <w:p w14:paraId="245924C4"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0AE428B5"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6DFA4F63" w14:textId="77777777" w:rsidR="00B54D51" w:rsidRPr="00037AD4" w:rsidRDefault="00B54D51" w:rsidP="00401C67">
            <w:pPr>
              <w:widowControl w:val="0"/>
              <w:autoSpaceDE w:val="0"/>
              <w:autoSpaceDN w:val="0"/>
              <w:adjustRightInd w:val="0"/>
              <w:jc w:val="center"/>
            </w:pPr>
          </w:p>
        </w:tc>
        <w:tc>
          <w:tcPr>
            <w:tcW w:w="677" w:type="pct"/>
            <w:tcBorders>
              <w:top w:val="nil"/>
              <w:left w:val="nil"/>
              <w:bottom w:val="nil"/>
              <w:right w:val="nil"/>
            </w:tcBorders>
          </w:tcPr>
          <w:p w14:paraId="36C48C8A" w14:textId="77777777" w:rsidR="00B54D51" w:rsidRPr="00037AD4" w:rsidRDefault="00B54D51" w:rsidP="00401C67">
            <w:pPr>
              <w:widowControl w:val="0"/>
              <w:autoSpaceDE w:val="0"/>
              <w:autoSpaceDN w:val="0"/>
              <w:adjustRightInd w:val="0"/>
              <w:jc w:val="center"/>
            </w:pPr>
          </w:p>
        </w:tc>
      </w:tr>
      <w:tr w:rsidR="00B54D51" w:rsidRPr="00037AD4" w14:paraId="67498CBD" w14:textId="77777777" w:rsidTr="00401C67">
        <w:trPr>
          <w:jc w:val="center"/>
        </w:trPr>
        <w:tc>
          <w:tcPr>
            <w:tcW w:w="1608" w:type="pct"/>
            <w:tcBorders>
              <w:top w:val="nil"/>
              <w:left w:val="nil"/>
              <w:bottom w:val="nil"/>
              <w:right w:val="nil"/>
            </w:tcBorders>
          </w:tcPr>
          <w:p w14:paraId="7FDE9BB6" w14:textId="77777777" w:rsidR="00B54D51" w:rsidRPr="00037AD4" w:rsidRDefault="00B54D51" w:rsidP="00401C67">
            <w:pPr>
              <w:widowControl w:val="0"/>
              <w:autoSpaceDE w:val="0"/>
              <w:autoSpaceDN w:val="0"/>
              <w:adjustRightInd w:val="0"/>
            </w:pPr>
          </w:p>
        </w:tc>
        <w:tc>
          <w:tcPr>
            <w:tcW w:w="679" w:type="pct"/>
            <w:tcBorders>
              <w:top w:val="nil"/>
              <w:left w:val="nil"/>
              <w:bottom w:val="nil"/>
              <w:right w:val="nil"/>
            </w:tcBorders>
          </w:tcPr>
          <w:p w14:paraId="1A089A91" w14:textId="77777777" w:rsidR="00B54D51" w:rsidRPr="00037AD4" w:rsidRDefault="00B54D51" w:rsidP="00401C67">
            <w:pPr>
              <w:widowControl w:val="0"/>
              <w:autoSpaceDE w:val="0"/>
              <w:autoSpaceDN w:val="0"/>
              <w:adjustRightInd w:val="0"/>
              <w:jc w:val="center"/>
            </w:pPr>
            <w:r w:rsidRPr="00037AD4">
              <w:t>(-1.815 - 0.561)</w:t>
            </w:r>
          </w:p>
        </w:tc>
        <w:tc>
          <w:tcPr>
            <w:tcW w:w="679" w:type="pct"/>
            <w:tcBorders>
              <w:top w:val="nil"/>
              <w:left w:val="nil"/>
              <w:bottom w:val="nil"/>
              <w:right w:val="nil"/>
            </w:tcBorders>
          </w:tcPr>
          <w:p w14:paraId="571E737B"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46412879"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4CBA8E49" w14:textId="77777777" w:rsidR="00B54D51" w:rsidRPr="00037AD4" w:rsidRDefault="00B54D51" w:rsidP="00401C67">
            <w:pPr>
              <w:widowControl w:val="0"/>
              <w:autoSpaceDE w:val="0"/>
              <w:autoSpaceDN w:val="0"/>
              <w:adjustRightInd w:val="0"/>
              <w:jc w:val="center"/>
            </w:pPr>
          </w:p>
        </w:tc>
        <w:tc>
          <w:tcPr>
            <w:tcW w:w="677" w:type="pct"/>
            <w:tcBorders>
              <w:top w:val="nil"/>
              <w:left w:val="nil"/>
              <w:bottom w:val="nil"/>
              <w:right w:val="nil"/>
            </w:tcBorders>
          </w:tcPr>
          <w:p w14:paraId="2BF168AD" w14:textId="77777777" w:rsidR="00B54D51" w:rsidRPr="00037AD4" w:rsidRDefault="00B54D51" w:rsidP="00401C67">
            <w:pPr>
              <w:widowControl w:val="0"/>
              <w:autoSpaceDE w:val="0"/>
              <w:autoSpaceDN w:val="0"/>
              <w:adjustRightInd w:val="0"/>
              <w:jc w:val="center"/>
            </w:pPr>
          </w:p>
        </w:tc>
      </w:tr>
      <w:tr w:rsidR="00B54D51" w:rsidRPr="00037AD4" w14:paraId="7502423F" w14:textId="77777777" w:rsidTr="00401C67">
        <w:trPr>
          <w:jc w:val="center"/>
        </w:trPr>
        <w:tc>
          <w:tcPr>
            <w:tcW w:w="1608" w:type="pct"/>
            <w:tcBorders>
              <w:top w:val="nil"/>
              <w:left w:val="nil"/>
              <w:bottom w:val="nil"/>
              <w:right w:val="nil"/>
            </w:tcBorders>
          </w:tcPr>
          <w:p w14:paraId="0BA90AFA" w14:textId="77777777" w:rsidR="00B54D51" w:rsidRPr="00037AD4" w:rsidRDefault="00B54D51" w:rsidP="00401C67">
            <w:pPr>
              <w:widowControl w:val="0"/>
              <w:autoSpaceDE w:val="0"/>
              <w:autoSpaceDN w:val="0"/>
              <w:adjustRightInd w:val="0"/>
            </w:pPr>
            <w:r w:rsidRPr="00037AD4">
              <w:t>2.eq5RP_</w:t>
            </w:r>
          </w:p>
        </w:tc>
        <w:tc>
          <w:tcPr>
            <w:tcW w:w="679" w:type="pct"/>
            <w:tcBorders>
              <w:top w:val="nil"/>
              <w:left w:val="nil"/>
              <w:bottom w:val="nil"/>
              <w:right w:val="nil"/>
            </w:tcBorders>
          </w:tcPr>
          <w:p w14:paraId="6F16C3E7" w14:textId="77777777" w:rsidR="00B54D51" w:rsidRPr="00037AD4" w:rsidRDefault="00B54D51" w:rsidP="00401C67">
            <w:pPr>
              <w:widowControl w:val="0"/>
              <w:autoSpaceDE w:val="0"/>
              <w:autoSpaceDN w:val="0"/>
              <w:adjustRightInd w:val="0"/>
              <w:jc w:val="center"/>
            </w:pPr>
            <w:r w:rsidRPr="00037AD4">
              <w:t>0.114</w:t>
            </w:r>
          </w:p>
        </w:tc>
        <w:tc>
          <w:tcPr>
            <w:tcW w:w="679" w:type="pct"/>
            <w:tcBorders>
              <w:top w:val="nil"/>
              <w:left w:val="nil"/>
              <w:bottom w:val="nil"/>
              <w:right w:val="nil"/>
            </w:tcBorders>
          </w:tcPr>
          <w:p w14:paraId="57665FC4"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0D74BCF2"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5281421D" w14:textId="77777777" w:rsidR="00B54D51" w:rsidRPr="00037AD4" w:rsidRDefault="00B54D51" w:rsidP="00401C67">
            <w:pPr>
              <w:widowControl w:val="0"/>
              <w:autoSpaceDE w:val="0"/>
              <w:autoSpaceDN w:val="0"/>
              <w:adjustRightInd w:val="0"/>
              <w:jc w:val="center"/>
            </w:pPr>
          </w:p>
        </w:tc>
        <w:tc>
          <w:tcPr>
            <w:tcW w:w="677" w:type="pct"/>
            <w:tcBorders>
              <w:top w:val="nil"/>
              <w:left w:val="nil"/>
              <w:bottom w:val="nil"/>
              <w:right w:val="nil"/>
            </w:tcBorders>
          </w:tcPr>
          <w:p w14:paraId="43D24733" w14:textId="77777777" w:rsidR="00B54D51" w:rsidRPr="00037AD4" w:rsidRDefault="00B54D51" w:rsidP="00401C67">
            <w:pPr>
              <w:widowControl w:val="0"/>
              <w:autoSpaceDE w:val="0"/>
              <w:autoSpaceDN w:val="0"/>
              <w:adjustRightInd w:val="0"/>
              <w:jc w:val="center"/>
            </w:pPr>
          </w:p>
        </w:tc>
      </w:tr>
      <w:tr w:rsidR="00B54D51" w:rsidRPr="00037AD4" w14:paraId="58FA22B2" w14:textId="77777777" w:rsidTr="00401C67">
        <w:trPr>
          <w:jc w:val="center"/>
        </w:trPr>
        <w:tc>
          <w:tcPr>
            <w:tcW w:w="1608" w:type="pct"/>
            <w:tcBorders>
              <w:top w:val="nil"/>
              <w:left w:val="nil"/>
              <w:bottom w:val="nil"/>
              <w:right w:val="nil"/>
            </w:tcBorders>
          </w:tcPr>
          <w:p w14:paraId="72B4591A" w14:textId="77777777" w:rsidR="00B54D51" w:rsidRPr="00037AD4" w:rsidRDefault="00B54D51" w:rsidP="00401C67">
            <w:pPr>
              <w:widowControl w:val="0"/>
              <w:autoSpaceDE w:val="0"/>
              <w:autoSpaceDN w:val="0"/>
              <w:adjustRightInd w:val="0"/>
            </w:pPr>
          </w:p>
        </w:tc>
        <w:tc>
          <w:tcPr>
            <w:tcW w:w="679" w:type="pct"/>
            <w:tcBorders>
              <w:top w:val="nil"/>
              <w:left w:val="nil"/>
              <w:bottom w:val="nil"/>
              <w:right w:val="nil"/>
            </w:tcBorders>
          </w:tcPr>
          <w:p w14:paraId="0BCB4225" w14:textId="77777777" w:rsidR="00B54D51" w:rsidRPr="00037AD4" w:rsidRDefault="00B54D51" w:rsidP="00401C67">
            <w:pPr>
              <w:widowControl w:val="0"/>
              <w:autoSpaceDE w:val="0"/>
              <w:autoSpaceDN w:val="0"/>
              <w:adjustRightInd w:val="0"/>
              <w:jc w:val="center"/>
            </w:pPr>
            <w:r w:rsidRPr="00037AD4">
              <w:t>(-0.091 - 0.319)</w:t>
            </w:r>
          </w:p>
        </w:tc>
        <w:tc>
          <w:tcPr>
            <w:tcW w:w="679" w:type="pct"/>
            <w:tcBorders>
              <w:top w:val="nil"/>
              <w:left w:val="nil"/>
              <w:bottom w:val="nil"/>
              <w:right w:val="nil"/>
            </w:tcBorders>
          </w:tcPr>
          <w:p w14:paraId="0FB5371F"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36106426"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2DDECF03" w14:textId="77777777" w:rsidR="00B54D51" w:rsidRPr="00037AD4" w:rsidRDefault="00B54D51" w:rsidP="00401C67">
            <w:pPr>
              <w:widowControl w:val="0"/>
              <w:autoSpaceDE w:val="0"/>
              <w:autoSpaceDN w:val="0"/>
              <w:adjustRightInd w:val="0"/>
              <w:jc w:val="center"/>
            </w:pPr>
          </w:p>
        </w:tc>
        <w:tc>
          <w:tcPr>
            <w:tcW w:w="677" w:type="pct"/>
            <w:tcBorders>
              <w:top w:val="nil"/>
              <w:left w:val="nil"/>
              <w:bottom w:val="nil"/>
              <w:right w:val="nil"/>
            </w:tcBorders>
          </w:tcPr>
          <w:p w14:paraId="57B86B53" w14:textId="77777777" w:rsidR="00B54D51" w:rsidRPr="00037AD4" w:rsidRDefault="00B54D51" w:rsidP="00401C67">
            <w:pPr>
              <w:widowControl w:val="0"/>
              <w:autoSpaceDE w:val="0"/>
              <w:autoSpaceDN w:val="0"/>
              <w:adjustRightInd w:val="0"/>
              <w:jc w:val="center"/>
            </w:pPr>
          </w:p>
        </w:tc>
      </w:tr>
      <w:tr w:rsidR="00B54D51" w:rsidRPr="00037AD4" w14:paraId="64F72EB3" w14:textId="77777777" w:rsidTr="00401C67">
        <w:trPr>
          <w:jc w:val="center"/>
        </w:trPr>
        <w:tc>
          <w:tcPr>
            <w:tcW w:w="1608" w:type="pct"/>
            <w:tcBorders>
              <w:top w:val="nil"/>
              <w:left w:val="nil"/>
              <w:bottom w:val="nil"/>
              <w:right w:val="nil"/>
            </w:tcBorders>
          </w:tcPr>
          <w:p w14:paraId="0F11F4D0" w14:textId="77777777" w:rsidR="00B54D51" w:rsidRPr="00037AD4" w:rsidRDefault="00B54D51" w:rsidP="00401C67">
            <w:pPr>
              <w:widowControl w:val="0"/>
              <w:autoSpaceDE w:val="0"/>
              <w:autoSpaceDN w:val="0"/>
              <w:adjustRightInd w:val="0"/>
            </w:pPr>
            <w:r w:rsidRPr="00037AD4">
              <w:t>3.eq5RP_</w:t>
            </w:r>
          </w:p>
        </w:tc>
        <w:tc>
          <w:tcPr>
            <w:tcW w:w="679" w:type="pct"/>
            <w:tcBorders>
              <w:top w:val="nil"/>
              <w:left w:val="nil"/>
              <w:bottom w:val="nil"/>
              <w:right w:val="nil"/>
            </w:tcBorders>
          </w:tcPr>
          <w:p w14:paraId="3EE9837D" w14:textId="77777777" w:rsidR="00B54D51" w:rsidRPr="00037AD4" w:rsidRDefault="00B54D51" w:rsidP="00401C67">
            <w:pPr>
              <w:widowControl w:val="0"/>
              <w:autoSpaceDE w:val="0"/>
              <w:autoSpaceDN w:val="0"/>
              <w:adjustRightInd w:val="0"/>
              <w:jc w:val="center"/>
            </w:pPr>
            <w:r w:rsidRPr="00037AD4">
              <w:t>0.267**</w:t>
            </w:r>
          </w:p>
        </w:tc>
        <w:tc>
          <w:tcPr>
            <w:tcW w:w="679" w:type="pct"/>
            <w:tcBorders>
              <w:top w:val="nil"/>
              <w:left w:val="nil"/>
              <w:bottom w:val="nil"/>
              <w:right w:val="nil"/>
            </w:tcBorders>
          </w:tcPr>
          <w:p w14:paraId="1F662788"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2D074D12"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0C247C04" w14:textId="77777777" w:rsidR="00B54D51" w:rsidRPr="00037AD4" w:rsidRDefault="00B54D51" w:rsidP="00401C67">
            <w:pPr>
              <w:widowControl w:val="0"/>
              <w:autoSpaceDE w:val="0"/>
              <w:autoSpaceDN w:val="0"/>
              <w:adjustRightInd w:val="0"/>
              <w:jc w:val="center"/>
            </w:pPr>
          </w:p>
        </w:tc>
        <w:tc>
          <w:tcPr>
            <w:tcW w:w="677" w:type="pct"/>
            <w:tcBorders>
              <w:top w:val="nil"/>
              <w:left w:val="nil"/>
              <w:bottom w:val="nil"/>
              <w:right w:val="nil"/>
            </w:tcBorders>
          </w:tcPr>
          <w:p w14:paraId="6EB65C13" w14:textId="77777777" w:rsidR="00B54D51" w:rsidRPr="00037AD4" w:rsidRDefault="00B54D51" w:rsidP="00401C67">
            <w:pPr>
              <w:widowControl w:val="0"/>
              <w:autoSpaceDE w:val="0"/>
              <w:autoSpaceDN w:val="0"/>
              <w:adjustRightInd w:val="0"/>
              <w:jc w:val="center"/>
            </w:pPr>
          </w:p>
        </w:tc>
      </w:tr>
      <w:tr w:rsidR="00B54D51" w:rsidRPr="00037AD4" w14:paraId="364B348E" w14:textId="77777777" w:rsidTr="00401C67">
        <w:trPr>
          <w:jc w:val="center"/>
        </w:trPr>
        <w:tc>
          <w:tcPr>
            <w:tcW w:w="1608" w:type="pct"/>
            <w:tcBorders>
              <w:top w:val="nil"/>
              <w:left w:val="nil"/>
              <w:bottom w:val="nil"/>
              <w:right w:val="nil"/>
            </w:tcBorders>
          </w:tcPr>
          <w:p w14:paraId="79C77525" w14:textId="77777777" w:rsidR="00B54D51" w:rsidRPr="00037AD4" w:rsidRDefault="00B54D51" w:rsidP="00401C67">
            <w:pPr>
              <w:widowControl w:val="0"/>
              <w:autoSpaceDE w:val="0"/>
              <w:autoSpaceDN w:val="0"/>
              <w:adjustRightInd w:val="0"/>
            </w:pPr>
          </w:p>
        </w:tc>
        <w:tc>
          <w:tcPr>
            <w:tcW w:w="679" w:type="pct"/>
            <w:tcBorders>
              <w:top w:val="nil"/>
              <w:left w:val="nil"/>
              <w:bottom w:val="nil"/>
              <w:right w:val="nil"/>
            </w:tcBorders>
          </w:tcPr>
          <w:p w14:paraId="73E610C3" w14:textId="77777777" w:rsidR="00B54D51" w:rsidRPr="00037AD4" w:rsidRDefault="00B54D51" w:rsidP="00401C67">
            <w:pPr>
              <w:widowControl w:val="0"/>
              <w:autoSpaceDE w:val="0"/>
              <w:autoSpaceDN w:val="0"/>
              <w:adjustRightInd w:val="0"/>
              <w:jc w:val="center"/>
            </w:pPr>
            <w:r w:rsidRPr="00037AD4">
              <w:t>(0.032 - 0.502)</w:t>
            </w:r>
          </w:p>
        </w:tc>
        <w:tc>
          <w:tcPr>
            <w:tcW w:w="679" w:type="pct"/>
            <w:tcBorders>
              <w:top w:val="nil"/>
              <w:left w:val="nil"/>
              <w:bottom w:val="nil"/>
              <w:right w:val="nil"/>
            </w:tcBorders>
          </w:tcPr>
          <w:p w14:paraId="5C1E00A6"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060BCB3B"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0D8051A1" w14:textId="77777777" w:rsidR="00B54D51" w:rsidRPr="00037AD4" w:rsidRDefault="00B54D51" w:rsidP="00401C67">
            <w:pPr>
              <w:widowControl w:val="0"/>
              <w:autoSpaceDE w:val="0"/>
              <w:autoSpaceDN w:val="0"/>
              <w:adjustRightInd w:val="0"/>
              <w:jc w:val="center"/>
            </w:pPr>
          </w:p>
        </w:tc>
        <w:tc>
          <w:tcPr>
            <w:tcW w:w="677" w:type="pct"/>
            <w:tcBorders>
              <w:top w:val="nil"/>
              <w:left w:val="nil"/>
              <w:bottom w:val="nil"/>
              <w:right w:val="nil"/>
            </w:tcBorders>
          </w:tcPr>
          <w:p w14:paraId="0EC85400" w14:textId="77777777" w:rsidR="00B54D51" w:rsidRPr="00037AD4" w:rsidRDefault="00B54D51" w:rsidP="00401C67">
            <w:pPr>
              <w:widowControl w:val="0"/>
              <w:autoSpaceDE w:val="0"/>
              <w:autoSpaceDN w:val="0"/>
              <w:adjustRightInd w:val="0"/>
              <w:jc w:val="center"/>
            </w:pPr>
          </w:p>
        </w:tc>
      </w:tr>
      <w:tr w:rsidR="00B54D51" w:rsidRPr="00037AD4" w14:paraId="6C65075A" w14:textId="77777777" w:rsidTr="00401C67">
        <w:trPr>
          <w:jc w:val="center"/>
        </w:trPr>
        <w:tc>
          <w:tcPr>
            <w:tcW w:w="1608" w:type="pct"/>
            <w:tcBorders>
              <w:top w:val="nil"/>
              <w:left w:val="nil"/>
              <w:bottom w:val="nil"/>
              <w:right w:val="nil"/>
            </w:tcBorders>
          </w:tcPr>
          <w:p w14:paraId="7E2BFA08" w14:textId="77777777" w:rsidR="00B54D51" w:rsidRPr="00037AD4" w:rsidRDefault="00B54D51" w:rsidP="00401C67">
            <w:pPr>
              <w:widowControl w:val="0"/>
              <w:autoSpaceDE w:val="0"/>
              <w:autoSpaceDN w:val="0"/>
              <w:adjustRightInd w:val="0"/>
            </w:pPr>
            <w:r w:rsidRPr="00037AD4">
              <w:t>4.eq5RP_</w:t>
            </w:r>
          </w:p>
        </w:tc>
        <w:tc>
          <w:tcPr>
            <w:tcW w:w="679" w:type="pct"/>
            <w:tcBorders>
              <w:top w:val="nil"/>
              <w:left w:val="nil"/>
              <w:bottom w:val="nil"/>
              <w:right w:val="nil"/>
            </w:tcBorders>
          </w:tcPr>
          <w:p w14:paraId="78240BED" w14:textId="77777777" w:rsidR="00B54D51" w:rsidRPr="00037AD4" w:rsidRDefault="00B54D51" w:rsidP="00401C67">
            <w:pPr>
              <w:widowControl w:val="0"/>
              <w:autoSpaceDE w:val="0"/>
              <w:autoSpaceDN w:val="0"/>
              <w:adjustRightInd w:val="0"/>
              <w:jc w:val="center"/>
            </w:pPr>
            <w:r w:rsidRPr="00037AD4">
              <w:t>0.226</w:t>
            </w:r>
          </w:p>
        </w:tc>
        <w:tc>
          <w:tcPr>
            <w:tcW w:w="679" w:type="pct"/>
            <w:tcBorders>
              <w:top w:val="nil"/>
              <w:left w:val="nil"/>
              <w:bottom w:val="nil"/>
              <w:right w:val="nil"/>
            </w:tcBorders>
          </w:tcPr>
          <w:p w14:paraId="19EA693A"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50D39FB9"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61A36B40" w14:textId="77777777" w:rsidR="00B54D51" w:rsidRPr="00037AD4" w:rsidRDefault="00B54D51" w:rsidP="00401C67">
            <w:pPr>
              <w:widowControl w:val="0"/>
              <w:autoSpaceDE w:val="0"/>
              <w:autoSpaceDN w:val="0"/>
              <w:adjustRightInd w:val="0"/>
              <w:jc w:val="center"/>
            </w:pPr>
          </w:p>
        </w:tc>
        <w:tc>
          <w:tcPr>
            <w:tcW w:w="677" w:type="pct"/>
            <w:tcBorders>
              <w:top w:val="nil"/>
              <w:left w:val="nil"/>
              <w:bottom w:val="nil"/>
              <w:right w:val="nil"/>
            </w:tcBorders>
          </w:tcPr>
          <w:p w14:paraId="5556576E" w14:textId="77777777" w:rsidR="00B54D51" w:rsidRPr="00037AD4" w:rsidRDefault="00B54D51" w:rsidP="00401C67">
            <w:pPr>
              <w:widowControl w:val="0"/>
              <w:autoSpaceDE w:val="0"/>
              <w:autoSpaceDN w:val="0"/>
              <w:adjustRightInd w:val="0"/>
              <w:jc w:val="center"/>
            </w:pPr>
          </w:p>
        </w:tc>
      </w:tr>
      <w:tr w:rsidR="00B54D51" w:rsidRPr="00037AD4" w14:paraId="307C9D5A" w14:textId="77777777" w:rsidTr="00401C67">
        <w:trPr>
          <w:jc w:val="center"/>
        </w:trPr>
        <w:tc>
          <w:tcPr>
            <w:tcW w:w="1608" w:type="pct"/>
            <w:tcBorders>
              <w:top w:val="nil"/>
              <w:left w:val="nil"/>
              <w:bottom w:val="nil"/>
              <w:right w:val="nil"/>
            </w:tcBorders>
          </w:tcPr>
          <w:p w14:paraId="7AD7F337" w14:textId="77777777" w:rsidR="00B54D51" w:rsidRPr="00037AD4" w:rsidRDefault="00B54D51" w:rsidP="00401C67">
            <w:pPr>
              <w:widowControl w:val="0"/>
              <w:autoSpaceDE w:val="0"/>
              <w:autoSpaceDN w:val="0"/>
              <w:adjustRightInd w:val="0"/>
            </w:pPr>
          </w:p>
        </w:tc>
        <w:tc>
          <w:tcPr>
            <w:tcW w:w="679" w:type="pct"/>
            <w:tcBorders>
              <w:top w:val="nil"/>
              <w:left w:val="nil"/>
              <w:bottom w:val="nil"/>
              <w:right w:val="nil"/>
            </w:tcBorders>
          </w:tcPr>
          <w:p w14:paraId="499A77FF" w14:textId="77777777" w:rsidR="00B54D51" w:rsidRPr="00037AD4" w:rsidRDefault="00B54D51" w:rsidP="00401C67">
            <w:pPr>
              <w:widowControl w:val="0"/>
              <w:autoSpaceDE w:val="0"/>
              <w:autoSpaceDN w:val="0"/>
              <w:adjustRightInd w:val="0"/>
              <w:jc w:val="center"/>
            </w:pPr>
            <w:r w:rsidRPr="00037AD4">
              <w:t>(-0.144 - 0.597)</w:t>
            </w:r>
          </w:p>
        </w:tc>
        <w:tc>
          <w:tcPr>
            <w:tcW w:w="679" w:type="pct"/>
            <w:tcBorders>
              <w:top w:val="nil"/>
              <w:left w:val="nil"/>
              <w:bottom w:val="nil"/>
              <w:right w:val="nil"/>
            </w:tcBorders>
          </w:tcPr>
          <w:p w14:paraId="45FA4495"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2D25E4E4"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21CAD3B9" w14:textId="77777777" w:rsidR="00B54D51" w:rsidRPr="00037AD4" w:rsidRDefault="00B54D51" w:rsidP="00401C67">
            <w:pPr>
              <w:widowControl w:val="0"/>
              <w:autoSpaceDE w:val="0"/>
              <w:autoSpaceDN w:val="0"/>
              <w:adjustRightInd w:val="0"/>
              <w:jc w:val="center"/>
            </w:pPr>
          </w:p>
        </w:tc>
        <w:tc>
          <w:tcPr>
            <w:tcW w:w="677" w:type="pct"/>
            <w:tcBorders>
              <w:top w:val="nil"/>
              <w:left w:val="nil"/>
              <w:bottom w:val="nil"/>
              <w:right w:val="nil"/>
            </w:tcBorders>
          </w:tcPr>
          <w:p w14:paraId="7D293253" w14:textId="77777777" w:rsidR="00B54D51" w:rsidRPr="00037AD4" w:rsidRDefault="00B54D51" w:rsidP="00401C67">
            <w:pPr>
              <w:widowControl w:val="0"/>
              <w:autoSpaceDE w:val="0"/>
              <w:autoSpaceDN w:val="0"/>
              <w:adjustRightInd w:val="0"/>
              <w:jc w:val="center"/>
            </w:pPr>
          </w:p>
        </w:tc>
      </w:tr>
      <w:tr w:rsidR="00B54D51" w:rsidRPr="00037AD4" w14:paraId="3DD2B0F3" w14:textId="77777777" w:rsidTr="00401C67">
        <w:trPr>
          <w:jc w:val="center"/>
        </w:trPr>
        <w:tc>
          <w:tcPr>
            <w:tcW w:w="1608" w:type="pct"/>
            <w:tcBorders>
              <w:top w:val="nil"/>
              <w:left w:val="nil"/>
              <w:bottom w:val="nil"/>
              <w:right w:val="nil"/>
            </w:tcBorders>
          </w:tcPr>
          <w:p w14:paraId="37AD61A2" w14:textId="77777777" w:rsidR="00B54D51" w:rsidRPr="00037AD4" w:rsidRDefault="00B54D51" w:rsidP="00401C67">
            <w:pPr>
              <w:widowControl w:val="0"/>
              <w:autoSpaceDE w:val="0"/>
              <w:autoSpaceDN w:val="0"/>
              <w:adjustRightInd w:val="0"/>
            </w:pPr>
            <w:r w:rsidRPr="00037AD4">
              <w:t>5.eq5RP_</w:t>
            </w:r>
          </w:p>
        </w:tc>
        <w:tc>
          <w:tcPr>
            <w:tcW w:w="679" w:type="pct"/>
            <w:tcBorders>
              <w:top w:val="nil"/>
              <w:left w:val="nil"/>
              <w:bottom w:val="nil"/>
              <w:right w:val="nil"/>
            </w:tcBorders>
          </w:tcPr>
          <w:p w14:paraId="118758D3" w14:textId="77777777" w:rsidR="00B54D51" w:rsidRPr="00037AD4" w:rsidRDefault="00B54D51" w:rsidP="00401C67">
            <w:pPr>
              <w:widowControl w:val="0"/>
              <w:autoSpaceDE w:val="0"/>
              <w:autoSpaceDN w:val="0"/>
              <w:adjustRightInd w:val="0"/>
              <w:jc w:val="center"/>
            </w:pPr>
            <w:r w:rsidRPr="00037AD4">
              <w:t>2.064***</w:t>
            </w:r>
          </w:p>
        </w:tc>
        <w:tc>
          <w:tcPr>
            <w:tcW w:w="679" w:type="pct"/>
            <w:tcBorders>
              <w:top w:val="nil"/>
              <w:left w:val="nil"/>
              <w:bottom w:val="nil"/>
              <w:right w:val="nil"/>
            </w:tcBorders>
          </w:tcPr>
          <w:p w14:paraId="10674962"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6576E6F4"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1D86FAE1" w14:textId="77777777" w:rsidR="00B54D51" w:rsidRPr="00037AD4" w:rsidRDefault="00B54D51" w:rsidP="00401C67">
            <w:pPr>
              <w:widowControl w:val="0"/>
              <w:autoSpaceDE w:val="0"/>
              <w:autoSpaceDN w:val="0"/>
              <w:adjustRightInd w:val="0"/>
              <w:jc w:val="center"/>
            </w:pPr>
          </w:p>
        </w:tc>
        <w:tc>
          <w:tcPr>
            <w:tcW w:w="677" w:type="pct"/>
            <w:tcBorders>
              <w:top w:val="nil"/>
              <w:left w:val="nil"/>
              <w:bottom w:val="nil"/>
              <w:right w:val="nil"/>
            </w:tcBorders>
          </w:tcPr>
          <w:p w14:paraId="5E535437" w14:textId="77777777" w:rsidR="00B54D51" w:rsidRPr="00037AD4" w:rsidRDefault="00B54D51" w:rsidP="00401C67">
            <w:pPr>
              <w:widowControl w:val="0"/>
              <w:autoSpaceDE w:val="0"/>
              <w:autoSpaceDN w:val="0"/>
              <w:adjustRightInd w:val="0"/>
              <w:jc w:val="center"/>
            </w:pPr>
          </w:p>
        </w:tc>
      </w:tr>
      <w:tr w:rsidR="00B54D51" w:rsidRPr="00037AD4" w14:paraId="12D7A9D7" w14:textId="77777777" w:rsidTr="00401C67">
        <w:trPr>
          <w:jc w:val="center"/>
        </w:trPr>
        <w:tc>
          <w:tcPr>
            <w:tcW w:w="1608" w:type="pct"/>
            <w:tcBorders>
              <w:top w:val="nil"/>
              <w:left w:val="nil"/>
              <w:bottom w:val="nil"/>
              <w:right w:val="nil"/>
            </w:tcBorders>
          </w:tcPr>
          <w:p w14:paraId="56DB347D" w14:textId="77777777" w:rsidR="00B54D51" w:rsidRPr="00037AD4" w:rsidRDefault="00B54D51" w:rsidP="00401C67">
            <w:pPr>
              <w:widowControl w:val="0"/>
              <w:autoSpaceDE w:val="0"/>
              <w:autoSpaceDN w:val="0"/>
              <w:adjustRightInd w:val="0"/>
            </w:pPr>
          </w:p>
        </w:tc>
        <w:tc>
          <w:tcPr>
            <w:tcW w:w="679" w:type="pct"/>
            <w:tcBorders>
              <w:top w:val="nil"/>
              <w:left w:val="nil"/>
              <w:bottom w:val="nil"/>
              <w:right w:val="nil"/>
            </w:tcBorders>
          </w:tcPr>
          <w:p w14:paraId="327993ED" w14:textId="77777777" w:rsidR="00B54D51" w:rsidRPr="00037AD4" w:rsidRDefault="00B54D51" w:rsidP="00401C67">
            <w:pPr>
              <w:widowControl w:val="0"/>
              <w:autoSpaceDE w:val="0"/>
              <w:autoSpaceDN w:val="0"/>
              <w:adjustRightInd w:val="0"/>
              <w:jc w:val="center"/>
            </w:pPr>
            <w:r w:rsidRPr="00037AD4">
              <w:t>(1.519 - 2.608)</w:t>
            </w:r>
          </w:p>
        </w:tc>
        <w:tc>
          <w:tcPr>
            <w:tcW w:w="679" w:type="pct"/>
            <w:tcBorders>
              <w:top w:val="nil"/>
              <w:left w:val="nil"/>
              <w:bottom w:val="nil"/>
              <w:right w:val="nil"/>
            </w:tcBorders>
          </w:tcPr>
          <w:p w14:paraId="7D2CAFE1"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36644133"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3F26221C" w14:textId="77777777" w:rsidR="00B54D51" w:rsidRPr="00037AD4" w:rsidRDefault="00B54D51" w:rsidP="00401C67">
            <w:pPr>
              <w:widowControl w:val="0"/>
              <w:autoSpaceDE w:val="0"/>
              <w:autoSpaceDN w:val="0"/>
              <w:adjustRightInd w:val="0"/>
              <w:jc w:val="center"/>
            </w:pPr>
          </w:p>
        </w:tc>
        <w:tc>
          <w:tcPr>
            <w:tcW w:w="677" w:type="pct"/>
            <w:tcBorders>
              <w:top w:val="nil"/>
              <w:left w:val="nil"/>
              <w:bottom w:val="nil"/>
              <w:right w:val="nil"/>
            </w:tcBorders>
          </w:tcPr>
          <w:p w14:paraId="34F76B2F" w14:textId="77777777" w:rsidR="00B54D51" w:rsidRPr="00037AD4" w:rsidRDefault="00B54D51" w:rsidP="00401C67">
            <w:pPr>
              <w:widowControl w:val="0"/>
              <w:autoSpaceDE w:val="0"/>
              <w:autoSpaceDN w:val="0"/>
              <w:adjustRightInd w:val="0"/>
              <w:jc w:val="center"/>
            </w:pPr>
          </w:p>
        </w:tc>
      </w:tr>
      <w:tr w:rsidR="00B54D51" w:rsidRPr="00037AD4" w14:paraId="676A3BBA" w14:textId="77777777" w:rsidTr="00401C67">
        <w:trPr>
          <w:jc w:val="center"/>
        </w:trPr>
        <w:tc>
          <w:tcPr>
            <w:tcW w:w="1608" w:type="pct"/>
            <w:tcBorders>
              <w:top w:val="nil"/>
              <w:left w:val="nil"/>
              <w:bottom w:val="nil"/>
              <w:right w:val="nil"/>
            </w:tcBorders>
          </w:tcPr>
          <w:p w14:paraId="769B66AF" w14:textId="77777777" w:rsidR="00B54D51" w:rsidRPr="00037AD4" w:rsidRDefault="00B54D51" w:rsidP="00401C67">
            <w:pPr>
              <w:widowControl w:val="0"/>
              <w:autoSpaceDE w:val="0"/>
              <w:autoSpaceDN w:val="0"/>
              <w:adjustRightInd w:val="0"/>
            </w:pPr>
            <w:r w:rsidRPr="00037AD4">
              <w:t>1.CDR_new_</w:t>
            </w:r>
          </w:p>
        </w:tc>
        <w:tc>
          <w:tcPr>
            <w:tcW w:w="679" w:type="pct"/>
            <w:tcBorders>
              <w:top w:val="nil"/>
              <w:left w:val="nil"/>
              <w:bottom w:val="nil"/>
              <w:right w:val="nil"/>
            </w:tcBorders>
          </w:tcPr>
          <w:p w14:paraId="42BF2FA6" w14:textId="77777777" w:rsidR="00B54D51" w:rsidRPr="00037AD4" w:rsidRDefault="00B54D51" w:rsidP="00401C67">
            <w:pPr>
              <w:widowControl w:val="0"/>
              <w:autoSpaceDE w:val="0"/>
              <w:autoSpaceDN w:val="0"/>
              <w:adjustRightInd w:val="0"/>
              <w:jc w:val="center"/>
            </w:pPr>
            <w:r w:rsidRPr="00037AD4">
              <w:t>0.427</w:t>
            </w:r>
          </w:p>
        </w:tc>
        <w:tc>
          <w:tcPr>
            <w:tcW w:w="679" w:type="pct"/>
            <w:tcBorders>
              <w:top w:val="nil"/>
              <w:left w:val="nil"/>
              <w:bottom w:val="nil"/>
              <w:right w:val="nil"/>
            </w:tcBorders>
          </w:tcPr>
          <w:p w14:paraId="3B93D8AF"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31EC8233"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594BA316" w14:textId="77777777" w:rsidR="00B54D51" w:rsidRPr="00037AD4" w:rsidRDefault="00B54D51" w:rsidP="00401C67">
            <w:pPr>
              <w:widowControl w:val="0"/>
              <w:autoSpaceDE w:val="0"/>
              <w:autoSpaceDN w:val="0"/>
              <w:adjustRightInd w:val="0"/>
              <w:jc w:val="center"/>
            </w:pPr>
          </w:p>
        </w:tc>
        <w:tc>
          <w:tcPr>
            <w:tcW w:w="677" w:type="pct"/>
            <w:tcBorders>
              <w:top w:val="nil"/>
              <w:left w:val="nil"/>
              <w:bottom w:val="nil"/>
              <w:right w:val="nil"/>
            </w:tcBorders>
          </w:tcPr>
          <w:p w14:paraId="45BC648C" w14:textId="77777777" w:rsidR="00B54D51" w:rsidRPr="00037AD4" w:rsidRDefault="00B54D51" w:rsidP="00401C67">
            <w:pPr>
              <w:widowControl w:val="0"/>
              <w:autoSpaceDE w:val="0"/>
              <w:autoSpaceDN w:val="0"/>
              <w:adjustRightInd w:val="0"/>
              <w:jc w:val="center"/>
            </w:pPr>
          </w:p>
        </w:tc>
      </w:tr>
      <w:tr w:rsidR="00B54D51" w:rsidRPr="00037AD4" w14:paraId="1F0A5A39" w14:textId="77777777" w:rsidTr="00401C67">
        <w:trPr>
          <w:jc w:val="center"/>
        </w:trPr>
        <w:tc>
          <w:tcPr>
            <w:tcW w:w="1608" w:type="pct"/>
            <w:tcBorders>
              <w:top w:val="nil"/>
              <w:left w:val="nil"/>
              <w:bottom w:val="nil"/>
              <w:right w:val="nil"/>
            </w:tcBorders>
          </w:tcPr>
          <w:p w14:paraId="71824BD9" w14:textId="77777777" w:rsidR="00B54D51" w:rsidRPr="00037AD4" w:rsidRDefault="00B54D51" w:rsidP="00401C67">
            <w:pPr>
              <w:widowControl w:val="0"/>
              <w:autoSpaceDE w:val="0"/>
              <w:autoSpaceDN w:val="0"/>
              <w:adjustRightInd w:val="0"/>
            </w:pPr>
          </w:p>
        </w:tc>
        <w:tc>
          <w:tcPr>
            <w:tcW w:w="679" w:type="pct"/>
            <w:tcBorders>
              <w:top w:val="nil"/>
              <w:left w:val="nil"/>
              <w:bottom w:val="nil"/>
              <w:right w:val="nil"/>
            </w:tcBorders>
          </w:tcPr>
          <w:p w14:paraId="2EA4B8A6" w14:textId="77777777" w:rsidR="00B54D51" w:rsidRPr="00037AD4" w:rsidRDefault="00B54D51" w:rsidP="00401C67">
            <w:pPr>
              <w:widowControl w:val="0"/>
              <w:autoSpaceDE w:val="0"/>
              <w:autoSpaceDN w:val="0"/>
              <w:adjustRightInd w:val="0"/>
              <w:jc w:val="center"/>
            </w:pPr>
            <w:r w:rsidRPr="00037AD4">
              <w:t>(-0.129 - 0.982)</w:t>
            </w:r>
          </w:p>
        </w:tc>
        <w:tc>
          <w:tcPr>
            <w:tcW w:w="679" w:type="pct"/>
            <w:tcBorders>
              <w:top w:val="nil"/>
              <w:left w:val="nil"/>
              <w:bottom w:val="nil"/>
              <w:right w:val="nil"/>
            </w:tcBorders>
          </w:tcPr>
          <w:p w14:paraId="004C72AE"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0FD81D6F"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70EDE2D8" w14:textId="77777777" w:rsidR="00B54D51" w:rsidRPr="00037AD4" w:rsidRDefault="00B54D51" w:rsidP="00401C67">
            <w:pPr>
              <w:widowControl w:val="0"/>
              <w:autoSpaceDE w:val="0"/>
              <w:autoSpaceDN w:val="0"/>
              <w:adjustRightInd w:val="0"/>
              <w:jc w:val="center"/>
            </w:pPr>
          </w:p>
        </w:tc>
        <w:tc>
          <w:tcPr>
            <w:tcW w:w="677" w:type="pct"/>
            <w:tcBorders>
              <w:top w:val="nil"/>
              <w:left w:val="nil"/>
              <w:bottom w:val="nil"/>
              <w:right w:val="nil"/>
            </w:tcBorders>
          </w:tcPr>
          <w:p w14:paraId="71247787" w14:textId="77777777" w:rsidR="00B54D51" w:rsidRPr="00037AD4" w:rsidRDefault="00B54D51" w:rsidP="00401C67">
            <w:pPr>
              <w:widowControl w:val="0"/>
              <w:autoSpaceDE w:val="0"/>
              <w:autoSpaceDN w:val="0"/>
              <w:adjustRightInd w:val="0"/>
              <w:jc w:val="center"/>
            </w:pPr>
          </w:p>
        </w:tc>
      </w:tr>
      <w:tr w:rsidR="00B54D51" w:rsidRPr="00037AD4" w14:paraId="28F7707D" w14:textId="77777777" w:rsidTr="00401C67">
        <w:trPr>
          <w:jc w:val="center"/>
        </w:trPr>
        <w:tc>
          <w:tcPr>
            <w:tcW w:w="1608" w:type="pct"/>
            <w:tcBorders>
              <w:top w:val="nil"/>
              <w:left w:val="nil"/>
              <w:bottom w:val="nil"/>
              <w:right w:val="nil"/>
            </w:tcBorders>
          </w:tcPr>
          <w:p w14:paraId="6B341100" w14:textId="77777777" w:rsidR="00B54D51" w:rsidRPr="00037AD4" w:rsidRDefault="00B54D51" w:rsidP="00401C67">
            <w:pPr>
              <w:widowControl w:val="0"/>
              <w:autoSpaceDE w:val="0"/>
              <w:autoSpaceDN w:val="0"/>
              <w:adjustRightInd w:val="0"/>
            </w:pPr>
            <w:r w:rsidRPr="00037AD4">
              <w:t>2.CDR_new_</w:t>
            </w:r>
          </w:p>
        </w:tc>
        <w:tc>
          <w:tcPr>
            <w:tcW w:w="679" w:type="pct"/>
            <w:tcBorders>
              <w:top w:val="nil"/>
              <w:left w:val="nil"/>
              <w:bottom w:val="nil"/>
              <w:right w:val="nil"/>
            </w:tcBorders>
          </w:tcPr>
          <w:p w14:paraId="477D141A" w14:textId="77777777" w:rsidR="00B54D51" w:rsidRPr="00037AD4" w:rsidRDefault="00B54D51" w:rsidP="00401C67">
            <w:pPr>
              <w:widowControl w:val="0"/>
              <w:autoSpaceDE w:val="0"/>
              <w:autoSpaceDN w:val="0"/>
              <w:adjustRightInd w:val="0"/>
              <w:jc w:val="center"/>
            </w:pPr>
            <w:r w:rsidRPr="00037AD4">
              <w:t>0.149</w:t>
            </w:r>
          </w:p>
        </w:tc>
        <w:tc>
          <w:tcPr>
            <w:tcW w:w="679" w:type="pct"/>
            <w:tcBorders>
              <w:top w:val="nil"/>
              <w:left w:val="nil"/>
              <w:bottom w:val="nil"/>
              <w:right w:val="nil"/>
            </w:tcBorders>
          </w:tcPr>
          <w:p w14:paraId="247900E3"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5123DD54"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67EEC9B0" w14:textId="77777777" w:rsidR="00B54D51" w:rsidRPr="00037AD4" w:rsidRDefault="00B54D51" w:rsidP="00401C67">
            <w:pPr>
              <w:widowControl w:val="0"/>
              <w:autoSpaceDE w:val="0"/>
              <w:autoSpaceDN w:val="0"/>
              <w:adjustRightInd w:val="0"/>
              <w:jc w:val="center"/>
            </w:pPr>
          </w:p>
        </w:tc>
        <w:tc>
          <w:tcPr>
            <w:tcW w:w="677" w:type="pct"/>
            <w:tcBorders>
              <w:top w:val="nil"/>
              <w:left w:val="nil"/>
              <w:bottom w:val="nil"/>
              <w:right w:val="nil"/>
            </w:tcBorders>
          </w:tcPr>
          <w:p w14:paraId="4EBC4D89" w14:textId="77777777" w:rsidR="00B54D51" w:rsidRPr="00037AD4" w:rsidRDefault="00B54D51" w:rsidP="00401C67">
            <w:pPr>
              <w:widowControl w:val="0"/>
              <w:autoSpaceDE w:val="0"/>
              <w:autoSpaceDN w:val="0"/>
              <w:adjustRightInd w:val="0"/>
              <w:jc w:val="center"/>
            </w:pPr>
          </w:p>
        </w:tc>
      </w:tr>
      <w:tr w:rsidR="00B54D51" w:rsidRPr="00037AD4" w14:paraId="7311FDBF" w14:textId="77777777" w:rsidTr="00401C67">
        <w:trPr>
          <w:jc w:val="center"/>
        </w:trPr>
        <w:tc>
          <w:tcPr>
            <w:tcW w:w="1608" w:type="pct"/>
            <w:tcBorders>
              <w:top w:val="nil"/>
              <w:left w:val="nil"/>
              <w:bottom w:val="nil"/>
              <w:right w:val="nil"/>
            </w:tcBorders>
          </w:tcPr>
          <w:p w14:paraId="37A33E95" w14:textId="77777777" w:rsidR="00B54D51" w:rsidRPr="00037AD4" w:rsidRDefault="00B54D51" w:rsidP="00401C67">
            <w:pPr>
              <w:widowControl w:val="0"/>
              <w:autoSpaceDE w:val="0"/>
              <w:autoSpaceDN w:val="0"/>
              <w:adjustRightInd w:val="0"/>
            </w:pPr>
          </w:p>
        </w:tc>
        <w:tc>
          <w:tcPr>
            <w:tcW w:w="679" w:type="pct"/>
            <w:tcBorders>
              <w:top w:val="nil"/>
              <w:left w:val="nil"/>
              <w:bottom w:val="nil"/>
              <w:right w:val="nil"/>
            </w:tcBorders>
          </w:tcPr>
          <w:p w14:paraId="0CA4A56F" w14:textId="77777777" w:rsidR="00B54D51" w:rsidRPr="00037AD4" w:rsidRDefault="00B54D51" w:rsidP="00401C67">
            <w:pPr>
              <w:widowControl w:val="0"/>
              <w:autoSpaceDE w:val="0"/>
              <w:autoSpaceDN w:val="0"/>
              <w:adjustRightInd w:val="0"/>
              <w:jc w:val="center"/>
            </w:pPr>
            <w:r w:rsidRPr="00037AD4">
              <w:t>(-0.479 - 0.776)</w:t>
            </w:r>
          </w:p>
        </w:tc>
        <w:tc>
          <w:tcPr>
            <w:tcW w:w="679" w:type="pct"/>
            <w:tcBorders>
              <w:top w:val="nil"/>
              <w:left w:val="nil"/>
              <w:bottom w:val="nil"/>
              <w:right w:val="nil"/>
            </w:tcBorders>
          </w:tcPr>
          <w:p w14:paraId="236B5BDB"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68AFB3CD"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3791B81C" w14:textId="77777777" w:rsidR="00B54D51" w:rsidRPr="00037AD4" w:rsidRDefault="00B54D51" w:rsidP="00401C67">
            <w:pPr>
              <w:widowControl w:val="0"/>
              <w:autoSpaceDE w:val="0"/>
              <w:autoSpaceDN w:val="0"/>
              <w:adjustRightInd w:val="0"/>
              <w:jc w:val="center"/>
            </w:pPr>
          </w:p>
        </w:tc>
        <w:tc>
          <w:tcPr>
            <w:tcW w:w="677" w:type="pct"/>
            <w:tcBorders>
              <w:top w:val="nil"/>
              <w:left w:val="nil"/>
              <w:bottom w:val="nil"/>
              <w:right w:val="nil"/>
            </w:tcBorders>
          </w:tcPr>
          <w:p w14:paraId="6C50CE94" w14:textId="77777777" w:rsidR="00B54D51" w:rsidRPr="00037AD4" w:rsidRDefault="00B54D51" w:rsidP="00401C67">
            <w:pPr>
              <w:widowControl w:val="0"/>
              <w:autoSpaceDE w:val="0"/>
              <w:autoSpaceDN w:val="0"/>
              <w:adjustRightInd w:val="0"/>
              <w:jc w:val="center"/>
            </w:pPr>
          </w:p>
        </w:tc>
      </w:tr>
      <w:tr w:rsidR="00B54D51" w:rsidRPr="00037AD4" w14:paraId="6E3BA4ED" w14:textId="77777777" w:rsidTr="00401C67">
        <w:trPr>
          <w:jc w:val="center"/>
        </w:trPr>
        <w:tc>
          <w:tcPr>
            <w:tcW w:w="1608" w:type="pct"/>
            <w:tcBorders>
              <w:top w:val="nil"/>
              <w:left w:val="nil"/>
              <w:bottom w:val="nil"/>
              <w:right w:val="nil"/>
            </w:tcBorders>
          </w:tcPr>
          <w:p w14:paraId="14407D81" w14:textId="77777777" w:rsidR="00B54D51" w:rsidRPr="00037AD4" w:rsidRDefault="00B54D51" w:rsidP="00401C67">
            <w:pPr>
              <w:widowControl w:val="0"/>
              <w:autoSpaceDE w:val="0"/>
              <w:autoSpaceDN w:val="0"/>
              <w:adjustRightInd w:val="0"/>
            </w:pPr>
            <w:r w:rsidRPr="00037AD4">
              <w:t>3.CDR_new_</w:t>
            </w:r>
          </w:p>
        </w:tc>
        <w:tc>
          <w:tcPr>
            <w:tcW w:w="679" w:type="pct"/>
            <w:tcBorders>
              <w:top w:val="nil"/>
              <w:left w:val="nil"/>
              <w:bottom w:val="nil"/>
              <w:right w:val="nil"/>
            </w:tcBorders>
          </w:tcPr>
          <w:p w14:paraId="091B6DBF" w14:textId="77777777" w:rsidR="00B54D51" w:rsidRPr="00037AD4" w:rsidRDefault="00B54D51" w:rsidP="00401C67">
            <w:pPr>
              <w:widowControl w:val="0"/>
              <w:autoSpaceDE w:val="0"/>
              <w:autoSpaceDN w:val="0"/>
              <w:adjustRightInd w:val="0"/>
              <w:jc w:val="center"/>
            </w:pPr>
            <w:r w:rsidRPr="00037AD4">
              <w:t>0.430</w:t>
            </w:r>
          </w:p>
        </w:tc>
        <w:tc>
          <w:tcPr>
            <w:tcW w:w="679" w:type="pct"/>
            <w:tcBorders>
              <w:top w:val="nil"/>
              <w:left w:val="nil"/>
              <w:bottom w:val="nil"/>
              <w:right w:val="nil"/>
            </w:tcBorders>
          </w:tcPr>
          <w:p w14:paraId="7C4DEE7B"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54C2EA6E"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54A860A4" w14:textId="77777777" w:rsidR="00B54D51" w:rsidRPr="00037AD4" w:rsidRDefault="00B54D51" w:rsidP="00401C67">
            <w:pPr>
              <w:widowControl w:val="0"/>
              <w:autoSpaceDE w:val="0"/>
              <w:autoSpaceDN w:val="0"/>
              <w:adjustRightInd w:val="0"/>
              <w:jc w:val="center"/>
            </w:pPr>
          </w:p>
        </w:tc>
        <w:tc>
          <w:tcPr>
            <w:tcW w:w="677" w:type="pct"/>
            <w:tcBorders>
              <w:top w:val="nil"/>
              <w:left w:val="nil"/>
              <w:bottom w:val="nil"/>
              <w:right w:val="nil"/>
            </w:tcBorders>
          </w:tcPr>
          <w:p w14:paraId="5A9055E2" w14:textId="77777777" w:rsidR="00B54D51" w:rsidRPr="00037AD4" w:rsidRDefault="00B54D51" w:rsidP="00401C67">
            <w:pPr>
              <w:widowControl w:val="0"/>
              <w:autoSpaceDE w:val="0"/>
              <w:autoSpaceDN w:val="0"/>
              <w:adjustRightInd w:val="0"/>
              <w:jc w:val="center"/>
            </w:pPr>
          </w:p>
        </w:tc>
      </w:tr>
      <w:tr w:rsidR="00B54D51" w:rsidRPr="00037AD4" w14:paraId="34CA67A5" w14:textId="77777777" w:rsidTr="00401C67">
        <w:trPr>
          <w:jc w:val="center"/>
        </w:trPr>
        <w:tc>
          <w:tcPr>
            <w:tcW w:w="1608" w:type="pct"/>
            <w:tcBorders>
              <w:top w:val="nil"/>
              <w:left w:val="nil"/>
              <w:bottom w:val="nil"/>
              <w:right w:val="nil"/>
            </w:tcBorders>
          </w:tcPr>
          <w:p w14:paraId="01331289" w14:textId="77777777" w:rsidR="00B54D51" w:rsidRPr="00037AD4" w:rsidRDefault="00B54D51" w:rsidP="00401C67">
            <w:pPr>
              <w:widowControl w:val="0"/>
              <w:autoSpaceDE w:val="0"/>
              <w:autoSpaceDN w:val="0"/>
              <w:adjustRightInd w:val="0"/>
            </w:pPr>
          </w:p>
        </w:tc>
        <w:tc>
          <w:tcPr>
            <w:tcW w:w="679" w:type="pct"/>
            <w:tcBorders>
              <w:top w:val="nil"/>
              <w:left w:val="nil"/>
              <w:bottom w:val="nil"/>
              <w:right w:val="nil"/>
            </w:tcBorders>
          </w:tcPr>
          <w:p w14:paraId="1F5ABDC1" w14:textId="77777777" w:rsidR="00B54D51" w:rsidRPr="00037AD4" w:rsidRDefault="00B54D51" w:rsidP="00401C67">
            <w:pPr>
              <w:widowControl w:val="0"/>
              <w:autoSpaceDE w:val="0"/>
              <w:autoSpaceDN w:val="0"/>
              <w:adjustRightInd w:val="0"/>
              <w:jc w:val="center"/>
            </w:pPr>
            <w:r w:rsidRPr="00037AD4">
              <w:t>(-0.567 - 1.427)</w:t>
            </w:r>
          </w:p>
        </w:tc>
        <w:tc>
          <w:tcPr>
            <w:tcW w:w="679" w:type="pct"/>
            <w:tcBorders>
              <w:top w:val="nil"/>
              <w:left w:val="nil"/>
              <w:bottom w:val="nil"/>
              <w:right w:val="nil"/>
            </w:tcBorders>
          </w:tcPr>
          <w:p w14:paraId="772E607D"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49389CC6"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1BE335D1" w14:textId="77777777" w:rsidR="00B54D51" w:rsidRPr="00037AD4" w:rsidRDefault="00B54D51" w:rsidP="00401C67">
            <w:pPr>
              <w:widowControl w:val="0"/>
              <w:autoSpaceDE w:val="0"/>
              <w:autoSpaceDN w:val="0"/>
              <w:adjustRightInd w:val="0"/>
              <w:jc w:val="center"/>
            </w:pPr>
          </w:p>
        </w:tc>
        <w:tc>
          <w:tcPr>
            <w:tcW w:w="677" w:type="pct"/>
            <w:tcBorders>
              <w:top w:val="nil"/>
              <w:left w:val="nil"/>
              <w:bottom w:val="nil"/>
              <w:right w:val="nil"/>
            </w:tcBorders>
          </w:tcPr>
          <w:p w14:paraId="76945D40" w14:textId="77777777" w:rsidR="00B54D51" w:rsidRPr="00037AD4" w:rsidRDefault="00B54D51" w:rsidP="00401C67">
            <w:pPr>
              <w:widowControl w:val="0"/>
              <w:autoSpaceDE w:val="0"/>
              <w:autoSpaceDN w:val="0"/>
              <w:adjustRightInd w:val="0"/>
              <w:jc w:val="center"/>
            </w:pPr>
          </w:p>
        </w:tc>
      </w:tr>
      <w:tr w:rsidR="00B54D51" w:rsidRPr="00037AD4" w14:paraId="11437BB2" w14:textId="77777777" w:rsidTr="00401C67">
        <w:trPr>
          <w:jc w:val="center"/>
        </w:trPr>
        <w:tc>
          <w:tcPr>
            <w:tcW w:w="1608" w:type="pct"/>
            <w:tcBorders>
              <w:top w:val="nil"/>
              <w:left w:val="nil"/>
              <w:bottom w:val="nil"/>
              <w:right w:val="nil"/>
            </w:tcBorders>
          </w:tcPr>
          <w:p w14:paraId="53F70779" w14:textId="77777777" w:rsidR="00B54D51" w:rsidRPr="00037AD4" w:rsidRDefault="00B54D51" w:rsidP="00401C67">
            <w:pPr>
              <w:widowControl w:val="0"/>
              <w:autoSpaceDE w:val="0"/>
              <w:autoSpaceDN w:val="0"/>
              <w:adjustRightInd w:val="0"/>
            </w:pPr>
            <w:r w:rsidRPr="00037AD4">
              <w:t>MMSE_Total_</w:t>
            </w:r>
          </w:p>
        </w:tc>
        <w:tc>
          <w:tcPr>
            <w:tcW w:w="679" w:type="pct"/>
            <w:tcBorders>
              <w:top w:val="nil"/>
              <w:left w:val="nil"/>
              <w:bottom w:val="nil"/>
              <w:right w:val="nil"/>
            </w:tcBorders>
          </w:tcPr>
          <w:p w14:paraId="46E68154" w14:textId="77777777" w:rsidR="00B54D51" w:rsidRPr="00037AD4" w:rsidRDefault="00B54D51" w:rsidP="00401C67">
            <w:pPr>
              <w:widowControl w:val="0"/>
              <w:autoSpaceDE w:val="0"/>
              <w:autoSpaceDN w:val="0"/>
              <w:adjustRightInd w:val="0"/>
              <w:jc w:val="center"/>
            </w:pPr>
            <w:r w:rsidRPr="00037AD4">
              <w:t>0.041***</w:t>
            </w:r>
          </w:p>
        </w:tc>
        <w:tc>
          <w:tcPr>
            <w:tcW w:w="679" w:type="pct"/>
            <w:tcBorders>
              <w:top w:val="nil"/>
              <w:left w:val="nil"/>
              <w:bottom w:val="nil"/>
              <w:right w:val="nil"/>
            </w:tcBorders>
          </w:tcPr>
          <w:p w14:paraId="13FC3B3A" w14:textId="77777777" w:rsidR="00B54D51" w:rsidRPr="00037AD4" w:rsidRDefault="00B54D51" w:rsidP="00401C67">
            <w:pPr>
              <w:widowControl w:val="0"/>
              <w:autoSpaceDE w:val="0"/>
              <w:autoSpaceDN w:val="0"/>
              <w:adjustRightInd w:val="0"/>
              <w:jc w:val="center"/>
            </w:pPr>
            <w:r w:rsidRPr="00037AD4">
              <w:t>0.047***</w:t>
            </w:r>
          </w:p>
        </w:tc>
        <w:tc>
          <w:tcPr>
            <w:tcW w:w="679" w:type="pct"/>
            <w:tcBorders>
              <w:top w:val="nil"/>
              <w:left w:val="nil"/>
              <w:bottom w:val="nil"/>
              <w:right w:val="nil"/>
            </w:tcBorders>
          </w:tcPr>
          <w:p w14:paraId="4E78CD07" w14:textId="77777777" w:rsidR="00B54D51" w:rsidRPr="00037AD4" w:rsidRDefault="00B54D51" w:rsidP="00401C67">
            <w:pPr>
              <w:widowControl w:val="0"/>
              <w:autoSpaceDE w:val="0"/>
              <w:autoSpaceDN w:val="0"/>
              <w:adjustRightInd w:val="0"/>
              <w:jc w:val="center"/>
            </w:pPr>
            <w:r w:rsidRPr="00037AD4">
              <w:t>0.045***</w:t>
            </w:r>
          </w:p>
        </w:tc>
        <w:tc>
          <w:tcPr>
            <w:tcW w:w="679" w:type="pct"/>
            <w:tcBorders>
              <w:top w:val="nil"/>
              <w:left w:val="nil"/>
              <w:bottom w:val="nil"/>
              <w:right w:val="nil"/>
            </w:tcBorders>
          </w:tcPr>
          <w:p w14:paraId="0B5E5EC9" w14:textId="77777777" w:rsidR="00B54D51" w:rsidRPr="00037AD4" w:rsidRDefault="00B54D51" w:rsidP="00401C67">
            <w:pPr>
              <w:widowControl w:val="0"/>
              <w:autoSpaceDE w:val="0"/>
              <w:autoSpaceDN w:val="0"/>
              <w:adjustRightInd w:val="0"/>
              <w:jc w:val="center"/>
            </w:pPr>
          </w:p>
        </w:tc>
        <w:tc>
          <w:tcPr>
            <w:tcW w:w="677" w:type="pct"/>
            <w:tcBorders>
              <w:top w:val="nil"/>
              <w:left w:val="nil"/>
              <w:bottom w:val="nil"/>
              <w:right w:val="nil"/>
            </w:tcBorders>
          </w:tcPr>
          <w:p w14:paraId="3E67054F" w14:textId="77777777" w:rsidR="00B54D51" w:rsidRPr="00037AD4" w:rsidRDefault="00B54D51" w:rsidP="00401C67">
            <w:pPr>
              <w:widowControl w:val="0"/>
              <w:autoSpaceDE w:val="0"/>
              <w:autoSpaceDN w:val="0"/>
              <w:adjustRightInd w:val="0"/>
              <w:jc w:val="center"/>
            </w:pPr>
            <w:r w:rsidRPr="00037AD4">
              <w:t>0.045***</w:t>
            </w:r>
          </w:p>
        </w:tc>
      </w:tr>
      <w:tr w:rsidR="00B54D51" w:rsidRPr="00037AD4" w14:paraId="20455435" w14:textId="77777777" w:rsidTr="00401C67">
        <w:trPr>
          <w:jc w:val="center"/>
        </w:trPr>
        <w:tc>
          <w:tcPr>
            <w:tcW w:w="1608" w:type="pct"/>
            <w:tcBorders>
              <w:top w:val="nil"/>
              <w:left w:val="nil"/>
              <w:bottom w:val="nil"/>
              <w:right w:val="nil"/>
            </w:tcBorders>
          </w:tcPr>
          <w:p w14:paraId="64ED26E4" w14:textId="77777777" w:rsidR="00B54D51" w:rsidRPr="00037AD4" w:rsidRDefault="00B54D51" w:rsidP="00401C67">
            <w:pPr>
              <w:widowControl w:val="0"/>
              <w:autoSpaceDE w:val="0"/>
              <w:autoSpaceDN w:val="0"/>
              <w:adjustRightInd w:val="0"/>
            </w:pPr>
          </w:p>
        </w:tc>
        <w:tc>
          <w:tcPr>
            <w:tcW w:w="679" w:type="pct"/>
            <w:tcBorders>
              <w:top w:val="nil"/>
              <w:left w:val="nil"/>
              <w:bottom w:val="nil"/>
              <w:right w:val="nil"/>
            </w:tcBorders>
          </w:tcPr>
          <w:p w14:paraId="78F9E0C0" w14:textId="77777777" w:rsidR="00B54D51" w:rsidRPr="00037AD4" w:rsidRDefault="00B54D51" w:rsidP="00401C67">
            <w:pPr>
              <w:widowControl w:val="0"/>
              <w:autoSpaceDE w:val="0"/>
              <w:autoSpaceDN w:val="0"/>
              <w:adjustRightInd w:val="0"/>
              <w:jc w:val="center"/>
            </w:pPr>
            <w:r w:rsidRPr="00037AD4">
              <w:t>(0.018 - 0.063)</w:t>
            </w:r>
          </w:p>
        </w:tc>
        <w:tc>
          <w:tcPr>
            <w:tcW w:w="679" w:type="pct"/>
            <w:tcBorders>
              <w:top w:val="nil"/>
              <w:left w:val="nil"/>
              <w:bottom w:val="nil"/>
              <w:right w:val="nil"/>
            </w:tcBorders>
          </w:tcPr>
          <w:p w14:paraId="2530237B" w14:textId="77777777" w:rsidR="00B54D51" w:rsidRPr="00037AD4" w:rsidRDefault="00B54D51" w:rsidP="00401C67">
            <w:pPr>
              <w:widowControl w:val="0"/>
              <w:autoSpaceDE w:val="0"/>
              <w:autoSpaceDN w:val="0"/>
              <w:adjustRightInd w:val="0"/>
              <w:jc w:val="center"/>
            </w:pPr>
            <w:r w:rsidRPr="00037AD4">
              <w:t>(0.027 - 0.068)</w:t>
            </w:r>
          </w:p>
        </w:tc>
        <w:tc>
          <w:tcPr>
            <w:tcW w:w="679" w:type="pct"/>
            <w:tcBorders>
              <w:top w:val="nil"/>
              <w:left w:val="nil"/>
              <w:bottom w:val="nil"/>
              <w:right w:val="nil"/>
            </w:tcBorders>
          </w:tcPr>
          <w:p w14:paraId="42CDF7BB" w14:textId="77777777" w:rsidR="00B54D51" w:rsidRPr="00037AD4" w:rsidRDefault="00B54D51" w:rsidP="00401C67">
            <w:pPr>
              <w:widowControl w:val="0"/>
              <w:autoSpaceDE w:val="0"/>
              <w:autoSpaceDN w:val="0"/>
              <w:adjustRightInd w:val="0"/>
              <w:jc w:val="center"/>
            </w:pPr>
            <w:r w:rsidRPr="00037AD4">
              <w:t>(0.025 - 0.065)</w:t>
            </w:r>
          </w:p>
        </w:tc>
        <w:tc>
          <w:tcPr>
            <w:tcW w:w="679" w:type="pct"/>
            <w:tcBorders>
              <w:top w:val="nil"/>
              <w:left w:val="nil"/>
              <w:bottom w:val="nil"/>
              <w:right w:val="nil"/>
            </w:tcBorders>
          </w:tcPr>
          <w:p w14:paraId="72A596CC" w14:textId="77777777" w:rsidR="00B54D51" w:rsidRPr="00037AD4" w:rsidRDefault="00B54D51" w:rsidP="00401C67">
            <w:pPr>
              <w:widowControl w:val="0"/>
              <w:autoSpaceDE w:val="0"/>
              <w:autoSpaceDN w:val="0"/>
              <w:adjustRightInd w:val="0"/>
              <w:jc w:val="center"/>
            </w:pPr>
          </w:p>
        </w:tc>
        <w:tc>
          <w:tcPr>
            <w:tcW w:w="677" w:type="pct"/>
            <w:tcBorders>
              <w:top w:val="nil"/>
              <w:left w:val="nil"/>
              <w:bottom w:val="nil"/>
              <w:right w:val="nil"/>
            </w:tcBorders>
          </w:tcPr>
          <w:p w14:paraId="55971674" w14:textId="77777777" w:rsidR="00B54D51" w:rsidRPr="00037AD4" w:rsidRDefault="00B54D51" w:rsidP="00401C67">
            <w:pPr>
              <w:widowControl w:val="0"/>
              <w:autoSpaceDE w:val="0"/>
              <w:autoSpaceDN w:val="0"/>
              <w:adjustRightInd w:val="0"/>
              <w:jc w:val="center"/>
            </w:pPr>
            <w:r w:rsidRPr="00037AD4">
              <w:t>(0.026 - 0.064)</w:t>
            </w:r>
          </w:p>
        </w:tc>
      </w:tr>
      <w:tr w:rsidR="00B54D51" w:rsidRPr="00037AD4" w14:paraId="2C70CF15" w14:textId="77777777" w:rsidTr="00401C67">
        <w:trPr>
          <w:jc w:val="center"/>
        </w:trPr>
        <w:tc>
          <w:tcPr>
            <w:tcW w:w="1608" w:type="pct"/>
            <w:tcBorders>
              <w:top w:val="nil"/>
              <w:left w:val="nil"/>
              <w:bottom w:val="nil"/>
              <w:right w:val="nil"/>
            </w:tcBorders>
          </w:tcPr>
          <w:p w14:paraId="1EBC3698" w14:textId="77777777" w:rsidR="00B54D51" w:rsidRPr="00037AD4" w:rsidRDefault="00B54D51" w:rsidP="00401C67">
            <w:pPr>
              <w:widowControl w:val="0"/>
              <w:autoSpaceDE w:val="0"/>
              <w:autoSpaceDN w:val="0"/>
              <w:adjustRightInd w:val="0"/>
            </w:pPr>
            <w:r w:rsidRPr="00037AD4">
              <w:t>NPI_</w:t>
            </w:r>
          </w:p>
        </w:tc>
        <w:tc>
          <w:tcPr>
            <w:tcW w:w="679" w:type="pct"/>
            <w:tcBorders>
              <w:top w:val="nil"/>
              <w:left w:val="nil"/>
              <w:bottom w:val="nil"/>
              <w:right w:val="nil"/>
            </w:tcBorders>
          </w:tcPr>
          <w:p w14:paraId="358727AE" w14:textId="77777777" w:rsidR="00B54D51" w:rsidRPr="00037AD4" w:rsidRDefault="00B54D51" w:rsidP="00401C67">
            <w:pPr>
              <w:widowControl w:val="0"/>
              <w:autoSpaceDE w:val="0"/>
              <w:autoSpaceDN w:val="0"/>
              <w:adjustRightInd w:val="0"/>
              <w:jc w:val="center"/>
            </w:pPr>
            <w:r w:rsidRPr="00037AD4">
              <w:t>-0.005*</w:t>
            </w:r>
          </w:p>
        </w:tc>
        <w:tc>
          <w:tcPr>
            <w:tcW w:w="679" w:type="pct"/>
            <w:tcBorders>
              <w:top w:val="nil"/>
              <w:left w:val="nil"/>
              <w:bottom w:val="nil"/>
              <w:right w:val="nil"/>
            </w:tcBorders>
          </w:tcPr>
          <w:p w14:paraId="1D0A1C79"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27F314C4"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33706FA2" w14:textId="77777777" w:rsidR="00B54D51" w:rsidRPr="00037AD4" w:rsidRDefault="00B54D51" w:rsidP="00401C67">
            <w:pPr>
              <w:widowControl w:val="0"/>
              <w:autoSpaceDE w:val="0"/>
              <w:autoSpaceDN w:val="0"/>
              <w:adjustRightInd w:val="0"/>
              <w:jc w:val="center"/>
            </w:pPr>
          </w:p>
        </w:tc>
        <w:tc>
          <w:tcPr>
            <w:tcW w:w="677" w:type="pct"/>
            <w:tcBorders>
              <w:top w:val="nil"/>
              <w:left w:val="nil"/>
              <w:bottom w:val="nil"/>
              <w:right w:val="nil"/>
            </w:tcBorders>
          </w:tcPr>
          <w:p w14:paraId="7B7757D0" w14:textId="77777777" w:rsidR="00B54D51" w:rsidRPr="00037AD4" w:rsidRDefault="00B54D51" w:rsidP="00401C67">
            <w:pPr>
              <w:widowControl w:val="0"/>
              <w:autoSpaceDE w:val="0"/>
              <w:autoSpaceDN w:val="0"/>
              <w:adjustRightInd w:val="0"/>
              <w:jc w:val="center"/>
            </w:pPr>
          </w:p>
        </w:tc>
      </w:tr>
      <w:tr w:rsidR="00B54D51" w:rsidRPr="00037AD4" w14:paraId="250A7146" w14:textId="77777777" w:rsidTr="00401C67">
        <w:trPr>
          <w:jc w:val="center"/>
        </w:trPr>
        <w:tc>
          <w:tcPr>
            <w:tcW w:w="1608" w:type="pct"/>
            <w:tcBorders>
              <w:top w:val="nil"/>
              <w:left w:val="nil"/>
              <w:bottom w:val="nil"/>
              <w:right w:val="nil"/>
            </w:tcBorders>
          </w:tcPr>
          <w:p w14:paraId="7EC530AB" w14:textId="77777777" w:rsidR="00B54D51" w:rsidRPr="00037AD4" w:rsidRDefault="00B54D51" w:rsidP="00401C67">
            <w:pPr>
              <w:widowControl w:val="0"/>
              <w:autoSpaceDE w:val="0"/>
              <w:autoSpaceDN w:val="0"/>
              <w:adjustRightInd w:val="0"/>
            </w:pPr>
          </w:p>
        </w:tc>
        <w:tc>
          <w:tcPr>
            <w:tcW w:w="679" w:type="pct"/>
            <w:tcBorders>
              <w:top w:val="nil"/>
              <w:left w:val="nil"/>
              <w:bottom w:val="nil"/>
              <w:right w:val="nil"/>
            </w:tcBorders>
          </w:tcPr>
          <w:p w14:paraId="6DE8FA5E" w14:textId="77777777" w:rsidR="00B54D51" w:rsidRPr="00037AD4" w:rsidRDefault="00B54D51" w:rsidP="00401C67">
            <w:pPr>
              <w:widowControl w:val="0"/>
              <w:autoSpaceDE w:val="0"/>
              <w:autoSpaceDN w:val="0"/>
              <w:adjustRightInd w:val="0"/>
              <w:jc w:val="center"/>
            </w:pPr>
            <w:r w:rsidRPr="00037AD4">
              <w:t>(-0.011 - 0.000)</w:t>
            </w:r>
          </w:p>
        </w:tc>
        <w:tc>
          <w:tcPr>
            <w:tcW w:w="679" w:type="pct"/>
            <w:tcBorders>
              <w:top w:val="nil"/>
              <w:left w:val="nil"/>
              <w:bottom w:val="nil"/>
              <w:right w:val="nil"/>
            </w:tcBorders>
          </w:tcPr>
          <w:p w14:paraId="1DD9D7DE"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493B32E5"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7F1C4D76" w14:textId="77777777" w:rsidR="00B54D51" w:rsidRPr="00037AD4" w:rsidRDefault="00B54D51" w:rsidP="00401C67">
            <w:pPr>
              <w:widowControl w:val="0"/>
              <w:autoSpaceDE w:val="0"/>
              <w:autoSpaceDN w:val="0"/>
              <w:adjustRightInd w:val="0"/>
              <w:jc w:val="center"/>
            </w:pPr>
          </w:p>
        </w:tc>
        <w:tc>
          <w:tcPr>
            <w:tcW w:w="677" w:type="pct"/>
            <w:tcBorders>
              <w:top w:val="nil"/>
              <w:left w:val="nil"/>
              <w:bottom w:val="nil"/>
              <w:right w:val="nil"/>
            </w:tcBorders>
          </w:tcPr>
          <w:p w14:paraId="7BD492A3" w14:textId="77777777" w:rsidR="00B54D51" w:rsidRPr="00037AD4" w:rsidRDefault="00B54D51" w:rsidP="00401C67">
            <w:pPr>
              <w:widowControl w:val="0"/>
              <w:autoSpaceDE w:val="0"/>
              <w:autoSpaceDN w:val="0"/>
              <w:adjustRightInd w:val="0"/>
              <w:jc w:val="center"/>
            </w:pPr>
          </w:p>
        </w:tc>
      </w:tr>
      <w:tr w:rsidR="00B54D51" w:rsidRPr="00037AD4" w14:paraId="25A65714" w14:textId="77777777" w:rsidTr="00401C67">
        <w:trPr>
          <w:jc w:val="center"/>
        </w:trPr>
        <w:tc>
          <w:tcPr>
            <w:tcW w:w="1608" w:type="pct"/>
            <w:tcBorders>
              <w:top w:val="nil"/>
              <w:left w:val="nil"/>
              <w:bottom w:val="nil"/>
              <w:right w:val="nil"/>
            </w:tcBorders>
          </w:tcPr>
          <w:p w14:paraId="1CA8603A" w14:textId="77777777" w:rsidR="00B54D51" w:rsidRPr="00037AD4" w:rsidRDefault="00B54D51" w:rsidP="00401C67">
            <w:pPr>
              <w:widowControl w:val="0"/>
              <w:autoSpaceDE w:val="0"/>
              <w:autoSpaceDN w:val="0"/>
              <w:adjustRightInd w:val="0"/>
            </w:pPr>
            <w:r w:rsidRPr="00037AD4">
              <w:t>IADL_</w:t>
            </w:r>
          </w:p>
        </w:tc>
        <w:tc>
          <w:tcPr>
            <w:tcW w:w="679" w:type="pct"/>
            <w:tcBorders>
              <w:top w:val="nil"/>
              <w:left w:val="nil"/>
              <w:bottom w:val="nil"/>
              <w:right w:val="nil"/>
            </w:tcBorders>
          </w:tcPr>
          <w:p w14:paraId="028043BA" w14:textId="77777777" w:rsidR="00B54D51" w:rsidRPr="00037AD4" w:rsidRDefault="00B54D51" w:rsidP="00401C67">
            <w:pPr>
              <w:widowControl w:val="0"/>
              <w:autoSpaceDE w:val="0"/>
              <w:autoSpaceDN w:val="0"/>
              <w:adjustRightInd w:val="0"/>
              <w:jc w:val="center"/>
            </w:pPr>
            <w:r w:rsidRPr="00037AD4">
              <w:t>0.021</w:t>
            </w:r>
          </w:p>
        </w:tc>
        <w:tc>
          <w:tcPr>
            <w:tcW w:w="679" w:type="pct"/>
            <w:tcBorders>
              <w:top w:val="nil"/>
              <w:left w:val="nil"/>
              <w:bottom w:val="nil"/>
              <w:right w:val="nil"/>
            </w:tcBorders>
          </w:tcPr>
          <w:p w14:paraId="0DB2E1F5"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22932E01"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0358971C" w14:textId="77777777" w:rsidR="00B54D51" w:rsidRPr="00037AD4" w:rsidRDefault="00B54D51" w:rsidP="00401C67">
            <w:pPr>
              <w:widowControl w:val="0"/>
              <w:autoSpaceDE w:val="0"/>
              <w:autoSpaceDN w:val="0"/>
              <w:adjustRightInd w:val="0"/>
              <w:jc w:val="center"/>
            </w:pPr>
          </w:p>
        </w:tc>
        <w:tc>
          <w:tcPr>
            <w:tcW w:w="677" w:type="pct"/>
            <w:tcBorders>
              <w:top w:val="nil"/>
              <w:left w:val="nil"/>
              <w:bottom w:val="nil"/>
              <w:right w:val="nil"/>
            </w:tcBorders>
          </w:tcPr>
          <w:p w14:paraId="78A9D03B" w14:textId="77777777" w:rsidR="00B54D51" w:rsidRPr="00037AD4" w:rsidRDefault="00B54D51" w:rsidP="00401C67">
            <w:pPr>
              <w:widowControl w:val="0"/>
              <w:autoSpaceDE w:val="0"/>
              <w:autoSpaceDN w:val="0"/>
              <w:adjustRightInd w:val="0"/>
              <w:jc w:val="center"/>
            </w:pPr>
          </w:p>
        </w:tc>
      </w:tr>
      <w:tr w:rsidR="00B54D51" w:rsidRPr="00037AD4" w14:paraId="6DF4E1D1" w14:textId="77777777" w:rsidTr="00401C67">
        <w:trPr>
          <w:jc w:val="center"/>
        </w:trPr>
        <w:tc>
          <w:tcPr>
            <w:tcW w:w="1608" w:type="pct"/>
            <w:tcBorders>
              <w:top w:val="nil"/>
              <w:left w:val="nil"/>
              <w:bottom w:val="nil"/>
              <w:right w:val="nil"/>
            </w:tcBorders>
          </w:tcPr>
          <w:p w14:paraId="7967669D" w14:textId="77777777" w:rsidR="00B54D51" w:rsidRPr="00037AD4" w:rsidRDefault="00B54D51" w:rsidP="00401C67">
            <w:pPr>
              <w:widowControl w:val="0"/>
              <w:autoSpaceDE w:val="0"/>
              <w:autoSpaceDN w:val="0"/>
              <w:adjustRightInd w:val="0"/>
            </w:pPr>
          </w:p>
        </w:tc>
        <w:tc>
          <w:tcPr>
            <w:tcW w:w="679" w:type="pct"/>
            <w:tcBorders>
              <w:top w:val="nil"/>
              <w:left w:val="nil"/>
              <w:bottom w:val="nil"/>
              <w:right w:val="nil"/>
            </w:tcBorders>
          </w:tcPr>
          <w:p w14:paraId="0ED898C3" w14:textId="77777777" w:rsidR="00B54D51" w:rsidRPr="00037AD4" w:rsidRDefault="00B54D51" w:rsidP="00401C67">
            <w:pPr>
              <w:widowControl w:val="0"/>
              <w:autoSpaceDE w:val="0"/>
              <w:autoSpaceDN w:val="0"/>
              <w:adjustRightInd w:val="0"/>
              <w:jc w:val="center"/>
            </w:pPr>
            <w:r w:rsidRPr="00037AD4">
              <w:t>(-0.045 - 0.088)</w:t>
            </w:r>
          </w:p>
        </w:tc>
        <w:tc>
          <w:tcPr>
            <w:tcW w:w="679" w:type="pct"/>
            <w:tcBorders>
              <w:top w:val="nil"/>
              <w:left w:val="nil"/>
              <w:bottom w:val="nil"/>
              <w:right w:val="nil"/>
            </w:tcBorders>
          </w:tcPr>
          <w:p w14:paraId="266930E8"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2C85F35F"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29D65B1B" w14:textId="77777777" w:rsidR="00B54D51" w:rsidRPr="00037AD4" w:rsidRDefault="00B54D51" w:rsidP="00401C67">
            <w:pPr>
              <w:widowControl w:val="0"/>
              <w:autoSpaceDE w:val="0"/>
              <w:autoSpaceDN w:val="0"/>
              <w:adjustRightInd w:val="0"/>
              <w:jc w:val="center"/>
            </w:pPr>
          </w:p>
        </w:tc>
        <w:tc>
          <w:tcPr>
            <w:tcW w:w="677" w:type="pct"/>
            <w:tcBorders>
              <w:top w:val="nil"/>
              <w:left w:val="nil"/>
              <w:bottom w:val="nil"/>
              <w:right w:val="nil"/>
            </w:tcBorders>
          </w:tcPr>
          <w:p w14:paraId="1F71DB40" w14:textId="77777777" w:rsidR="00B54D51" w:rsidRPr="00037AD4" w:rsidRDefault="00B54D51" w:rsidP="00401C67">
            <w:pPr>
              <w:widowControl w:val="0"/>
              <w:autoSpaceDE w:val="0"/>
              <w:autoSpaceDN w:val="0"/>
              <w:adjustRightInd w:val="0"/>
              <w:jc w:val="center"/>
            </w:pPr>
          </w:p>
        </w:tc>
      </w:tr>
      <w:tr w:rsidR="00B54D51" w:rsidRPr="00037AD4" w14:paraId="509FE92C" w14:textId="77777777" w:rsidTr="00401C67">
        <w:trPr>
          <w:jc w:val="center"/>
        </w:trPr>
        <w:tc>
          <w:tcPr>
            <w:tcW w:w="1608" w:type="pct"/>
            <w:tcBorders>
              <w:top w:val="nil"/>
              <w:left w:val="nil"/>
              <w:bottom w:val="nil"/>
              <w:right w:val="nil"/>
            </w:tcBorders>
          </w:tcPr>
          <w:p w14:paraId="6687F846" w14:textId="77777777" w:rsidR="00B54D51" w:rsidRPr="00037AD4" w:rsidRDefault="00B54D51" w:rsidP="00401C67">
            <w:pPr>
              <w:widowControl w:val="0"/>
              <w:autoSpaceDE w:val="0"/>
              <w:autoSpaceDN w:val="0"/>
              <w:adjustRightInd w:val="0"/>
            </w:pPr>
            <w:r w:rsidRPr="00037AD4">
              <w:t>PSMS_</w:t>
            </w:r>
          </w:p>
        </w:tc>
        <w:tc>
          <w:tcPr>
            <w:tcW w:w="679" w:type="pct"/>
            <w:tcBorders>
              <w:top w:val="nil"/>
              <w:left w:val="nil"/>
              <w:bottom w:val="nil"/>
              <w:right w:val="nil"/>
            </w:tcBorders>
          </w:tcPr>
          <w:p w14:paraId="094C7E42" w14:textId="77777777" w:rsidR="00B54D51" w:rsidRPr="00037AD4" w:rsidRDefault="00B54D51" w:rsidP="00401C67">
            <w:pPr>
              <w:widowControl w:val="0"/>
              <w:autoSpaceDE w:val="0"/>
              <w:autoSpaceDN w:val="0"/>
              <w:adjustRightInd w:val="0"/>
              <w:jc w:val="center"/>
            </w:pPr>
            <w:r w:rsidRPr="00037AD4">
              <w:t>-0.145***</w:t>
            </w:r>
          </w:p>
        </w:tc>
        <w:tc>
          <w:tcPr>
            <w:tcW w:w="679" w:type="pct"/>
            <w:tcBorders>
              <w:top w:val="nil"/>
              <w:left w:val="nil"/>
              <w:bottom w:val="nil"/>
              <w:right w:val="nil"/>
            </w:tcBorders>
          </w:tcPr>
          <w:p w14:paraId="569461DF" w14:textId="77777777" w:rsidR="00B54D51" w:rsidRPr="00037AD4" w:rsidRDefault="00B54D51" w:rsidP="00401C67">
            <w:pPr>
              <w:widowControl w:val="0"/>
              <w:autoSpaceDE w:val="0"/>
              <w:autoSpaceDN w:val="0"/>
              <w:adjustRightInd w:val="0"/>
              <w:jc w:val="center"/>
            </w:pPr>
            <w:r w:rsidRPr="00037AD4">
              <w:t>-0.129***</w:t>
            </w:r>
          </w:p>
        </w:tc>
        <w:tc>
          <w:tcPr>
            <w:tcW w:w="679" w:type="pct"/>
            <w:tcBorders>
              <w:top w:val="nil"/>
              <w:left w:val="nil"/>
              <w:bottom w:val="nil"/>
              <w:right w:val="nil"/>
            </w:tcBorders>
          </w:tcPr>
          <w:p w14:paraId="157B952F" w14:textId="77777777" w:rsidR="00B54D51" w:rsidRPr="00037AD4" w:rsidRDefault="00B54D51" w:rsidP="00401C67">
            <w:pPr>
              <w:widowControl w:val="0"/>
              <w:autoSpaceDE w:val="0"/>
              <w:autoSpaceDN w:val="0"/>
              <w:adjustRightInd w:val="0"/>
              <w:jc w:val="center"/>
            </w:pPr>
            <w:r w:rsidRPr="00037AD4">
              <w:t>-0.123***</w:t>
            </w:r>
          </w:p>
        </w:tc>
        <w:tc>
          <w:tcPr>
            <w:tcW w:w="679" w:type="pct"/>
            <w:tcBorders>
              <w:top w:val="nil"/>
              <w:left w:val="nil"/>
              <w:bottom w:val="nil"/>
              <w:right w:val="nil"/>
            </w:tcBorders>
          </w:tcPr>
          <w:p w14:paraId="4116F880" w14:textId="77777777" w:rsidR="00B54D51" w:rsidRPr="00037AD4" w:rsidRDefault="00B54D51" w:rsidP="00401C67">
            <w:pPr>
              <w:widowControl w:val="0"/>
              <w:autoSpaceDE w:val="0"/>
              <w:autoSpaceDN w:val="0"/>
              <w:adjustRightInd w:val="0"/>
              <w:jc w:val="center"/>
            </w:pPr>
            <w:r w:rsidRPr="00037AD4">
              <w:t>-0.072***</w:t>
            </w:r>
          </w:p>
        </w:tc>
        <w:tc>
          <w:tcPr>
            <w:tcW w:w="677" w:type="pct"/>
            <w:tcBorders>
              <w:top w:val="nil"/>
              <w:left w:val="nil"/>
              <w:bottom w:val="nil"/>
              <w:right w:val="nil"/>
            </w:tcBorders>
          </w:tcPr>
          <w:p w14:paraId="29482AD5" w14:textId="77777777" w:rsidR="00B54D51" w:rsidRPr="00037AD4" w:rsidRDefault="00B54D51" w:rsidP="00401C67">
            <w:pPr>
              <w:widowControl w:val="0"/>
              <w:autoSpaceDE w:val="0"/>
              <w:autoSpaceDN w:val="0"/>
              <w:adjustRightInd w:val="0"/>
              <w:jc w:val="center"/>
            </w:pPr>
            <w:r w:rsidRPr="00037AD4">
              <w:t>-0.121***</w:t>
            </w:r>
          </w:p>
        </w:tc>
      </w:tr>
      <w:tr w:rsidR="00B54D51" w:rsidRPr="00037AD4" w14:paraId="59BD2ED5" w14:textId="77777777" w:rsidTr="00401C67">
        <w:trPr>
          <w:jc w:val="center"/>
        </w:trPr>
        <w:tc>
          <w:tcPr>
            <w:tcW w:w="1608" w:type="pct"/>
            <w:tcBorders>
              <w:top w:val="nil"/>
              <w:left w:val="nil"/>
              <w:bottom w:val="nil"/>
              <w:right w:val="nil"/>
            </w:tcBorders>
          </w:tcPr>
          <w:p w14:paraId="21C114E1" w14:textId="77777777" w:rsidR="00B54D51" w:rsidRPr="00037AD4" w:rsidRDefault="00B54D51" w:rsidP="00401C67">
            <w:pPr>
              <w:widowControl w:val="0"/>
              <w:autoSpaceDE w:val="0"/>
              <w:autoSpaceDN w:val="0"/>
              <w:adjustRightInd w:val="0"/>
            </w:pPr>
          </w:p>
        </w:tc>
        <w:tc>
          <w:tcPr>
            <w:tcW w:w="679" w:type="pct"/>
            <w:tcBorders>
              <w:top w:val="nil"/>
              <w:left w:val="nil"/>
              <w:bottom w:val="nil"/>
              <w:right w:val="nil"/>
            </w:tcBorders>
          </w:tcPr>
          <w:p w14:paraId="074AB1B1" w14:textId="77777777" w:rsidR="00B54D51" w:rsidRPr="00037AD4" w:rsidRDefault="00B54D51" w:rsidP="00401C67">
            <w:pPr>
              <w:widowControl w:val="0"/>
              <w:autoSpaceDE w:val="0"/>
              <w:autoSpaceDN w:val="0"/>
              <w:adjustRightInd w:val="0"/>
              <w:jc w:val="center"/>
            </w:pPr>
            <w:r w:rsidRPr="00037AD4">
              <w:t>(-0.227 - -0.063)</w:t>
            </w:r>
          </w:p>
        </w:tc>
        <w:tc>
          <w:tcPr>
            <w:tcW w:w="679" w:type="pct"/>
            <w:tcBorders>
              <w:top w:val="nil"/>
              <w:left w:val="nil"/>
              <w:bottom w:val="nil"/>
              <w:right w:val="nil"/>
            </w:tcBorders>
          </w:tcPr>
          <w:p w14:paraId="578F7E62" w14:textId="77777777" w:rsidR="00B54D51" w:rsidRPr="00037AD4" w:rsidRDefault="00B54D51" w:rsidP="00401C67">
            <w:pPr>
              <w:widowControl w:val="0"/>
              <w:autoSpaceDE w:val="0"/>
              <w:autoSpaceDN w:val="0"/>
              <w:adjustRightInd w:val="0"/>
              <w:jc w:val="center"/>
            </w:pPr>
            <w:r w:rsidRPr="00037AD4">
              <w:t>(-0.186 - -0.072)</w:t>
            </w:r>
          </w:p>
        </w:tc>
        <w:tc>
          <w:tcPr>
            <w:tcW w:w="679" w:type="pct"/>
            <w:tcBorders>
              <w:top w:val="nil"/>
              <w:left w:val="nil"/>
              <w:bottom w:val="nil"/>
              <w:right w:val="nil"/>
            </w:tcBorders>
          </w:tcPr>
          <w:p w14:paraId="36F06073" w14:textId="77777777" w:rsidR="00B54D51" w:rsidRPr="00037AD4" w:rsidRDefault="00B54D51" w:rsidP="00401C67">
            <w:pPr>
              <w:widowControl w:val="0"/>
              <w:autoSpaceDE w:val="0"/>
              <w:autoSpaceDN w:val="0"/>
              <w:adjustRightInd w:val="0"/>
              <w:jc w:val="center"/>
            </w:pPr>
            <w:r w:rsidRPr="00037AD4">
              <w:t>(-0.179 - -0.066)</w:t>
            </w:r>
          </w:p>
        </w:tc>
        <w:tc>
          <w:tcPr>
            <w:tcW w:w="679" w:type="pct"/>
            <w:tcBorders>
              <w:top w:val="nil"/>
              <w:left w:val="nil"/>
              <w:bottom w:val="nil"/>
              <w:right w:val="nil"/>
            </w:tcBorders>
          </w:tcPr>
          <w:p w14:paraId="3EB0F65E" w14:textId="77777777" w:rsidR="00B54D51" w:rsidRPr="00037AD4" w:rsidRDefault="00B54D51" w:rsidP="00401C67">
            <w:pPr>
              <w:widowControl w:val="0"/>
              <w:autoSpaceDE w:val="0"/>
              <w:autoSpaceDN w:val="0"/>
              <w:adjustRightInd w:val="0"/>
              <w:jc w:val="center"/>
            </w:pPr>
            <w:r w:rsidRPr="00037AD4">
              <w:t>(-0.121 - -0.023)</w:t>
            </w:r>
          </w:p>
        </w:tc>
        <w:tc>
          <w:tcPr>
            <w:tcW w:w="677" w:type="pct"/>
            <w:tcBorders>
              <w:top w:val="nil"/>
              <w:left w:val="nil"/>
              <w:bottom w:val="nil"/>
              <w:right w:val="nil"/>
            </w:tcBorders>
          </w:tcPr>
          <w:p w14:paraId="25E83EC7" w14:textId="77777777" w:rsidR="00B54D51" w:rsidRPr="00037AD4" w:rsidRDefault="00B54D51" w:rsidP="00401C67">
            <w:pPr>
              <w:widowControl w:val="0"/>
              <w:autoSpaceDE w:val="0"/>
              <w:autoSpaceDN w:val="0"/>
              <w:adjustRightInd w:val="0"/>
              <w:jc w:val="center"/>
            </w:pPr>
            <w:r w:rsidRPr="00037AD4">
              <w:t>(-0.177 - -0.065)</w:t>
            </w:r>
          </w:p>
        </w:tc>
      </w:tr>
      <w:tr w:rsidR="00B54D51" w:rsidRPr="00037AD4" w14:paraId="353C0F94" w14:textId="77777777" w:rsidTr="00401C67">
        <w:trPr>
          <w:jc w:val="center"/>
        </w:trPr>
        <w:tc>
          <w:tcPr>
            <w:tcW w:w="1608" w:type="pct"/>
            <w:tcBorders>
              <w:top w:val="nil"/>
              <w:left w:val="nil"/>
              <w:bottom w:val="nil"/>
              <w:right w:val="nil"/>
            </w:tcBorders>
          </w:tcPr>
          <w:p w14:paraId="49BA99B7" w14:textId="77777777" w:rsidR="00B54D51" w:rsidRPr="00037AD4" w:rsidRDefault="00B54D51" w:rsidP="00401C67">
            <w:pPr>
              <w:widowControl w:val="0"/>
              <w:autoSpaceDE w:val="0"/>
              <w:autoSpaceDN w:val="0"/>
              <w:adjustRightInd w:val="0"/>
            </w:pPr>
            <w:r w:rsidRPr="00037AD4">
              <w:t>PwD_age_</w:t>
            </w:r>
          </w:p>
        </w:tc>
        <w:tc>
          <w:tcPr>
            <w:tcW w:w="679" w:type="pct"/>
            <w:tcBorders>
              <w:top w:val="nil"/>
              <w:left w:val="nil"/>
              <w:bottom w:val="nil"/>
              <w:right w:val="nil"/>
            </w:tcBorders>
          </w:tcPr>
          <w:p w14:paraId="16A7D062" w14:textId="77777777" w:rsidR="00B54D51" w:rsidRPr="00037AD4" w:rsidRDefault="00B54D51" w:rsidP="00401C67">
            <w:pPr>
              <w:widowControl w:val="0"/>
              <w:autoSpaceDE w:val="0"/>
              <w:autoSpaceDN w:val="0"/>
              <w:adjustRightInd w:val="0"/>
              <w:jc w:val="center"/>
            </w:pPr>
            <w:r w:rsidRPr="00037AD4">
              <w:t>0.024**</w:t>
            </w:r>
          </w:p>
        </w:tc>
        <w:tc>
          <w:tcPr>
            <w:tcW w:w="679" w:type="pct"/>
            <w:tcBorders>
              <w:top w:val="nil"/>
              <w:left w:val="nil"/>
              <w:bottom w:val="nil"/>
              <w:right w:val="nil"/>
            </w:tcBorders>
          </w:tcPr>
          <w:p w14:paraId="3EF1FD58" w14:textId="77777777" w:rsidR="00B54D51" w:rsidRPr="00037AD4" w:rsidRDefault="00B54D51" w:rsidP="00401C67">
            <w:pPr>
              <w:widowControl w:val="0"/>
              <w:autoSpaceDE w:val="0"/>
              <w:autoSpaceDN w:val="0"/>
              <w:adjustRightInd w:val="0"/>
              <w:jc w:val="center"/>
            </w:pPr>
            <w:r w:rsidRPr="00037AD4">
              <w:t>0.013</w:t>
            </w:r>
          </w:p>
        </w:tc>
        <w:tc>
          <w:tcPr>
            <w:tcW w:w="679" w:type="pct"/>
            <w:tcBorders>
              <w:top w:val="nil"/>
              <w:left w:val="nil"/>
              <w:bottom w:val="nil"/>
              <w:right w:val="nil"/>
            </w:tcBorders>
          </w:tcPr>
          <w:p w14:paraId="6490E638" w14:textId="77777777" w:rsidR="00B54D51" w:rsidRPr="00037AD4" w:rsidRDefault="00B54D51" w:rsidP="00401C67">
            <w:pPr>
              <w:widowControl w:val="0"/>
              <w:autoSpaceDE w:val="0"/>
              <w:autoSpaceDN w:val="0"/>
              <w:adjustRightInd w:val="0"/>
              <w:jc w:val="center"/>
            </w:pPr>
            <w:r w:rsidRPr="00037AD4">
              <w:t>0.012*</w:t>
            </w:r>
          </w:p>
        </w:tc>
        <w:tc>
          <w:tcPr>
            <w:tcW w:w="679" w:type="pct"/>
            <w:tcBorders>
              <w:top w:val="nil"/>
              <w:left w:val="nil"/>
              <w:bottom w:val="nil"/>
              <w:right w:val="nil"/>
            </w:tcBorders>
          </w:tcPr>
          <w:p w14:paraId="25DCD69A" w14:textId="77777777" w:rsidR="00B54D51" w:rsidRPr="00037AD4" w:rsidRDefault="00B54D51" w:rsidP="00401C67">
            <w:pPr>
              <w:widowControl w:val="0"/>
              <w:autoSpaceDE w:val="0"/>
              <w:autoSpaceDN w:val="0"/>
              <w:adjustRightInd w:val="0"/>
              <w:jc w:val="center"/>
            </w:pPr>
            <w:r w:rsidRPr="00037AD4">
              <w:t>0.015**</w:t>
            </w:r>
          </w:p>
        </w:tc>
        <w:tc>
          <w:tcPr>
            <w:tcW w:w="677" w:type="pct"/>
            <w:tcBorders>
              <w:top w:val="nil"/>
              <w:left w:val="nil"/>
              <w:bottom w:val="nil"/>
              <w:right w:val="nil"/>
            </w:tcBorders>
          </w:tcPr>
          <w:p w14:paraId="242186C6" w14:textId="77777777" w:rsidR="00B54D51" w:rsidRPr="00037AD4" w:rsidRDefault="00B54D51" w:rsidP="00401C67">
            <w:pPr>
              <w:widowControl w:val="0"/>
              <w:autoSpaceDE w:val="0"/>
              <w:autoSpaceDN w:val="0"/>
              <w:adjustRightInd w:val="0"/>
              <w:jc w:val="center"/>
            </w:pPr>
            <w:r w:rsidRPr="00037AD4">
              <w:t>0.012*</w:t>
            </w:r>
          </w:p>
        </w:tc>
      </w:tr>
      <w:tr w:rsidR="00B54D51" w:rsidRPr="00037AD4" w14:paraId="201345FD" w14:textId="77777777" w:rsidTr="00401C67">
        <w:trPr>
          <w:jc w:val="center"/>
        </w:trPr>
        <w:tc>
          <w:tcPr>
            <w:tcW w:w="1608" w:type="pct"/>
            <w:tcBorders>
              <w:top w:val="nil"/>
              <w:left w:val="nil"/>
              <w:bottom w:val="nil"/>
              <w:right w:val="nil"/>
            </w:tcBorders>
          </w:tcPr>
          <w:p w14:paraId="5C2E7CB4" w14:textId="77777777" w:rsidR="00B54D51" w:rsidRPr="00037AD4" w:rsidRDefault="00B54D51" w:rsidP="00401C67">
            <w:pPr>
              <w:widowControl w:val="0"/>
              <w:autoSpaceDE w:val="0"/>
              <w:autoSpaceDN w:val="0"/>
              <w:adjustRightInd w:val="0"/>
            </w:pPr>
          </w:p>
        </w:tc>
        <w:tc>
          <w:tcPr>
            <w:tcW w:w="679" w:type="pct"/>
            <w:tcBorders>
              <w:top w:val="nil"/>
              <w:left w:val="nil"/>
              <w:bottom w:val="nil"/>
              <w:right w:val="nil"/>
            </w:tcBorders>
          </w:tcPr>
          <w:p w14:paraId="7E72DA5B" w14:textId="77777777" w:rsidR="00B54D51" w:rsidRPr="00037AD4" w:rsidRDefault="00B54D51" w:rsidP="00401C67">
            <w:pPr>
              <w:widowControl w:val="0"/>
              <w:autoSpaceDE w:val="0"/>
              <w:autoSpaceDN w:val="0"/>
              <w:adjustRightInd w:val="0"/>
              <w:jc w:val="center"/>
            </w:pPr>
            <w:r w:rsidRPr="00037AD4">
              <w:t>(0.004 - 0.043)</w:t>
            </w:r>
          </w:p>
        </w:tc>
        <w:tc>
          <w:tcPr>
            <w:tcW w:w="679" w:type="pct"/>
            <w:tcBorders>
              <w:top w:val="nil"/>
              <w:left w:val="nil"/>
              <w:bottom w:val="nil"/>
              <w:right w:val="nil"/>
            </w:tcBorders>
          </w:tcPr>
          <w:p w14:paraId="172FD484" w14:textId="77777777" w:rsidR="00B54D51" w:rsidRPr="00037AD4" w:rsidRDefault="00B54D51" w:rsidP="00401C67">
            <w:pPr>
              <w:widowControl w:val="0"/>
              <w:autoSpaceDE w:val="0"/>
              <w:autoSpaceDN w:val="0"/>
              <w:adjustRightInd w:val="0"/>
              <w:jc w:val="center"/>
            </w:pPr>
            <w:r w:rsidRPr="00037AD4">
              <w:t>(-0.002 - 0.028)</w:t>
            </w:r>
          </w:p>
        </w:tc>
        <w:tc>
          <w:tcPr>
            <w:tcW w:w="679" w:type="pct"/>
            <w:tcBorders>
              <w:top w:val="nil"/>
              <w:left w:val="nil"/>
              <w:bottom w:val="nil"/>
              <w:right w:val="nil"/>
            </w:tcBorders>
          </w:tcPr>
          <w:p w14:paraId="20F87E62" w14:textId="77777777" w:rsidR="00B54D51" w:rsidRPr="00037AD4" w:rsidRDefault="00B54D51" w:rsidP="00401C67">
            <w:pPr>
              <w:widowControl w:val="0"/>
              <w:autoSpaceDE w:val="0"/>
              <w:autoSpaceDN w:val="0"/>
              <w:adjustRightInd w:val="0"/>
              <w:jc w:val="center"/>
            </w:pPr>
            <w:r w:rsidRPr="00037AD4">
              <w:t>(-0.002 - 0.026)</w:t>
            </w:r>
          </w:p>
        </w:tc>
        <w:tc>
          <w:tcPr>
            <w:tcW w:w="679" w:type="pct"/>
            <w:tcBorders>
              <w:top w:val="nil"/>
              <w:left w:val="nil"/>
              <w:bottom w:val="nil"/>
              <w:right w:val="nil"/>
            </w:tcBorders>
          </w:tcPr>
          <w:p w14:paraId="78153271" w14:textId="77777777" w:rsidR="00B54D51" w:rsidRPr="00037AD4" w:rsidRDefault="00B54D51" w:rsidP="00401C67">
            <w:pPr>
              <w:widowControl w:val="0"/>
              <w:autoSpaceDE w:val="0"/>
              <w:autoSpaceDN w:val="0"/>
              <w:adjustRightInd w:val="0"/>
              <w:jc w:val="center"/>
            </w:pPr>
            <w:r w:rsidRPr="00037AD4">
              <w:t>(0.001 - 0.028)</w:t>
            </w:r>
          </w:p>
        </w:tc>
        <w:tc>
          <w:tcPr>
            <w:tcW w:w="677" w:type="pct"/>
            <w:tcBorders>
              <w:top w:val="nil"/>
              <w:left w:val="nil"/>
              <w:bottom w:val="nil"/>
              <w:right w:val="nil"/>
            </w:tcBorders>
          </w:tcPr>
          <w:p w14:paraId="603D05C5" w14:textId="77777777" w:rsidR="00B54D51" w:rsidRPr="00037AD4" w:rsidRDefault="00B54D51" w:rsidP="00401C67">
            <w:pPr>
              <w:widowControl w:val="0"/>
              <w:autoSpaceDE w:val="0"/>
              <w:autoSpaceDN w:val="0"/>
              <w:adjustRightInd w:val="0"/>
              <w:jc w:val="center"/>
            </w:pPr>
            <w:r w:rsidRPr="00037AD4">
              <w:t>(-0.002 - 0.026)</w:t>
            </w:r>
          </w:p>
        </w:tc>
      </w:tr>
      <w:tr w:rsidR="00B54D51" w:rsidRPr="00037AD4" w14:paraId="235F118E" w14:textId="77777777" w:rsidTr="00401C67">
        <w:trPr>
          <w:jc w:val="center"/>
        </w:trPr>
        <w:tc>
          <w:tcPr>
            <w:tcW w:w="1608" w:type="pct"/>
            <w:tcBorders>
              <w:top w:val="nil"/>
              <w:left w:val="nil"/>
              <w:bottom w:val="nil"/>
              <w:right w:val="nil"/>
            </w:tcBorders>
          </w:tcPr>
          <w:p w14:paraId="1E70B236" w14:textId="77777777" w:rsidR="00B54D51" w:rsidRPr="00037AD4" w:rsidRDefault="00B54D51" w:rsidP="00401C67">
            <w:pPr>
              <w:widowControl w:val="0"/>
              <w:autoSpaceDE w:val="0"/>
              <w:autoSpaceDN w:val="0"/>
              <w:adjustRightInd w:val="0"/>
            </w:pPr>
            <w:r w:rsidRPr="00037AD4">
              <w:t>2.PwDs_sex_</w:t>
            </w:r>
          </w:p>
        </w:tc>
        <w:tc>
          <w:tcPr>
            <w:tcW w:w="679" w:type="pct"/>
            <w:tcBorders>
              <w:top w:val="nil"/>
              <w:left w:val="nil"/>
              <w:bottom w:val="nil"/>
              <w:right w:val="nil"/>
            </w:tcBorders>
          </w:tcPr>
          <w:p w14:paraId="6471770A" w14:textId="77777777" w:rsidR="00B54D51" w:rsidRPr="00037AD4" w:rsidRDefault="00B54D51" w:rsidP="00401C67">
            <w:pPr>
              <w:widowControl w:val="0"/>
              <w:autoSpaceDE w:val="0"/>
              <w:autoSpaceDN w:val="0"/>
              <w:adjustRightInd w:val="0"/>
              <w:jc w:val="center"/>
            </w:pPr>
            <w:r w:rsidRPr="00037AD4">
              <w:t>0.178</w:t>
            </w:r>
          </w:p>
        </w:tc>
        <w:tc>
          <w:tcPr>
            <w:tcW w:w="679" w:type="pct"/>
            <w:tcBorders>
              <w:top w:val="nil"/>
              <w:left w:val="nil"/>
              <w:bottom w:val="nil"/>
              <w:right w:val="nil"/>
            </w:tcBorders>
          </w:tcPr>
          <w:p w14:paraId="6FF0A807" w14:textId="77777777" w:rsidR="00B54D51" w:rsidRPr="00037AD4" w:rsidRDefault="00B54D51" w:rsidP="00401C67">
            <w:pPr>
              <w:widowControl w:val="0"/>
              <w:autoSpaceDE w:val="0"/>
              <w:autoSpaceDN w:val="0"/>
              <w:adjustRightInd w:val="0"/>
              <w:jc w:val="center"/>
            </w:pPr>
            <w:r w:rsidRPr="00037AD4">
              <w:t>0.063</w:t>
            </w:r>
          </w:p>
        </w:tc>
        <w:tc>
          <w:tcPr>
            <w:tcW w:w="679" w:type="pct"/>
            <w:tcBorders>
              <w:top w:val="nil"/>
              <w:left w:val="nil"/>
              <w:bottom w:val="nil"/>
              <w:right w:val="nil"/>
            </w:tcBorders>
          </w:tcPr>
          <w:p w14:paraId="7E6AF5DF" w14:textId="77777777" w:rsidR="00B54D51" w:rsidRPr="00037AD4" w:rsidRDefault="00B54D51" w:rsidP="00401C67">
            <w:pPr>
              <w:widowControl w:val="0"/>
              <w:autoSpaceDE w:val="0"/>
              <w:autoSpaceDN w:val="0"/>
              <w:adjustRightInd w:val="0"/>
              <w:jc w:val="center"/>
            </w:pPr>
            <w:r w:rsidRPr="00037AD4">
              <w:t>0.026</w:t>
            </w:r>
          </w:p>
        </w:tc>
        <w:tc>
          <w:tcPr>
            <w:tcW w:w="679" w:type="pct"/>
            <w:tcBorders>
              <w:top w:val="nil"/>
              <w:left w:val="nil"/>
              <w:bottom w:val="nil"/>
              <w:right w:val="nil"/>
            </w:tcBorders>
          </w:tcPr>
          <w:p w14:paraId="68676A6A" w14:textId="77777777" w:rsidR="00B54D51" w:rsidRPr="00037AD4" w:rsidRDefault="00B54D51" w:rsidP="00401C67">
            <w:pPr>
              <w:widowControl w:val="0"/>
              <w:autoSpaceDE w:val="0"/>
              <w:autoSpaceDN w:val="0"/>
              <w:adjustRightInd w:val="0"/>
              <w:jc w:val="center"/>
            </w:pPr>
            <w:r w:rsidRPr="00037AD4">
              <w:t>-0.053</w:t>
            </w:r>
          </w:p>
        </w:tc>
        <w:tc>
          <w:tcPr>
            <w:tcW w:w="677" w:type="pct"/>
            <w:tcBorders>
              <w:top w:val="nil"/>
              <w:left w:val="nil"/>
              <w:bottom w:val="nil"/>
              <w:right w:val="nil"/>
            </w:tcBorders>
          </w:tcPr>
          <w:p w14:paraId="626A4ED4" w14:textId="77777777" w:rsidR="00B54D51" w:rsidRPr="00037AD4" w:rsidRDefault="00B54D51" w:rsidP="00401C67">
            <w:pPr>
              <w:widowControl w:val="0"/>
              <w:autoSpaceDE w:val="0"/>
              <w:autoSpaceDN w:val="0"/>
              <w:adjustRightInd w:val="0"/>
              <w:jc w:val="center"/>
            </w:pPr>
          </w:p>
        </w:tc>
      </w:tr>
      <w:tr w:rsidR="00B54D51" w:rsidRPr="00037AD4" w14:paraId="5B3D8DEB" w14:textId="77777777" w:rsidTr="00401C67">
        <w:trPr>
          <w:jc w:val="center"/>
        </w:trPr>
        <w:tc>
          <w:tcPr>
            <w:tcW w:w="1608" w:type="pct"/>
            <w:tcBorders>
              <w:top w:val="nil"/>
              <w:left w:val="nil"/>
              <w:bottom w:val="nil"/>
              <w:right w:val="nil"/>
            </w:tcBorders>
          </w:tcPr>
          <w:p w14:paraId="113135B4" w14:textId="77777777" w:rsidR="00B54D51" w:rsidRPr="00037AD4" w:rsidRDefault="00B54D51" w:rsidP="00401C67">
            <w:pPr>
              <w:widowControl w:val="0"/>
              <w:autoSpaceDE w:val="0"/>
              <w:autoSpaceDN w:val="0"/>
              <w:adjustRightInd w:val="0"/>
            </w:pPr>
          </w:p>
        </w:tc>
        <w:tc>
          <w:tcPr>
            <w:tcW w:w="679" w:type="pct"/>
            <w:tcBorders>
              <w:top w:val="nil"/>
              <w:left w:val="nil"/>
              <w:bottom w:val="nil"/>
              <w:right w:val="nil"/>
            </w:tcBorders>
          </w:tcPr>
          <w:p w14:paraId="27E5E7F3" w14:textId="77777777" w:rsidR="00B54D51" w:rsidRPr="00037AD4" w:rsidRDefault="00B54D51" w:rsidP="00401C67">
            <w:pPr>
              <w:widowControl w:val="0"/>
              <w:autoSpaceDE w:val="0"/>
              <w:autoSpaceDN w:val="0"/>
              <w:adjustRightInd w:val="0"/>
              <w:jc w:val="center"/>
            </w:pPr>
            <w:r w:rsidRPr="00037AD4">
              <w:t>(-0.156 - 0.511)</w:t>
            </w:r>
          </w:p>
        </w:tc>
        <w:tc>
          <w:tcPr>
            <w:tcW w:w="679" w:type="pct"/>
            <w:tcBorders>
              <w:top w:val="nil"/>
              <w:left w:val="nil"/>
              <w:bottom w:val="nil"/>
              <w:right w:val="nil"/>
            </w:tcBorders>
          </w:tcPr>
          <w:p w14:paraId="3A00198A" w14:textId="77777777" w:rsidR="00B54D51" w:rsidRPr="00037AD4" w:rsidRDefault="00B54D51" w:rsidP="00401C67">
            <w:pPr>
              <w:widowControl w:val="0"/>
              <w:autoSpaceDE w:val="0"/>
              <w:autoSpaceDN w:val="0"/>
              <w:adjustRightInd w:val="0"/>
              <w:jc w:val="center"/>
            </w:pPr>
            <w:r w:rsidRPr="00037AD4">
              <w:t>(-0.162 - 0.288)</w:t>
            </w:r>
          </w:p>
        </w:tc>
        <w:tc>
          <w:tcPr>
            <w:tcW w:w="679" w:type="pct"/>
            <w:tcBorders>
              <w:top w:val="nil"/>
              <w:left w:val="nil"/>
              <w:bottom w:val="nil"/>
              <w:right w:val="nil"/>
            </w:tcBorders>
          </w:tcPr>
          <w:p w14:paraId="30E088D1" w14:textId="77777777" w:rsidR="00B54D51" w:rsidRPr="00037AD4" w:rsidRDefault="00B54D51" w:rsidP="00401C67">
            <w:pPr>
              <w:widowControl w:val="0"/>
              <w:autoSpaceDE w:val="0"/>
              <w:autoSpaceDN w:val="0"/>
              <w:adjustRightInd w:val="0"/>
              <w:jc w:val="center"/>
            </w:pPr>
            <w:r w:rsidRPr="00037AD4">
              <w:t>(-0.179 - 0.231)</w:t>
            </w:r>
          </w:p>
        </w:tc>
        <w:tc>
          <w:tcPr>
            <w:tcW w:w="679" w:type="pct"/>
            <w:tcBorders>
              <w:top w:val="nil"/>
              <w:left w:val="nil"/>
              <w:bottom w:val="nil"/>
              <w:right w:val="nil"/>
            </w:tcBorders>
          </w:tcPr>
          <w:p w14:paraId="30ED90EB" w14:textId="77777777" w:rsidR="00B54D51" w:rsidRPr="00037AD4" w:rsidRDefault="00B54D51" w:rsidP="00401C67">
            <w:pPr>
              <w:widowControl w:val="0"/>
              <w:autoSpaceDE w:val="0"/>
              <w:autoSpaceDN w:val="0"/>
              <w:adjustRightInd w:val="0"/>
              <w:jc w:val="center"/>
            </w:pPr>
            <w:r w:rsidRPr="00037AD4">
              <w:t>(-0.237 - 0.131)</w:t>
            </w:r>
          </w:p>
        </w:tc>
        <w:tc>
          <w:tcPr>
            <w:tcW w:w="677" w:type="pct"/>
            <w:tcBorders>
              <w:top w:val="nil"/>
              <w:left w:val="nil"/>
              <w:bottom w:val="nil"/>
              <w:right w:val="nil"/>
            </w:tcBorders>
          </w:tcPr>
          <w:p w14:paraId="24DD5CCB" w14:textId="77777777" w:rsidR="00B54D51" w:rsidRPr="00037AD4" w:rsidRDefault="00B54D51" w:rsidP="00401C67">
            <w:pPr>
              <w:widowControl w:val="0"/>
              <w:autoSpaceDE w:val="0"/>
              <w:autoSpaceDN w:val="0"/>
              <w:adjustRightInd w:val="0"/>
              <w:jc w:val="center"/>
            </w:pPr>
          </w:p>
        </w:tc>
      </w:tr>
      <w:tr w:rsidR="00B54D51" w:rsidRPr="00037AD4" w14:paraId="1FA78151" w14:textId="77777777" w:rsidTr="00401C67">
        <w:trPr>
          <w:jc w:val="center"/>
        </w:trPr>
        <w:tc>
          <w:tcPr>
            <w:tcW w:w="1608" w:type="pct"/>
            <w:tcBorders>
              <w:top w:val="nil"/>
              <w:left w:val="nil"/>
              <w:bottom w:val="nil"/>
              <w:right w:val="nil"/>
            </w:tcBorders>
          </w:tcPr>
          <w:p w14:paraId="637A56B9" w14:textId="77777777" w:rsidR="00B54D51" w:rsidRPr="00037AD4" w:rsidRDefault="00B54D51" w:rsidP="00401C67">
            <w:pPr>
              <w:widowControl w:val="0"/>
              <w:autoSpaceDE w:val="0"/>
              <w:autoSpaceDN w:val="0"/>
              <w:adjustRightInd w:val="0"/>
            </w:pPr>
            <w:r w:rsidRPr="00037AD4">
              <w:t>carer_age_</w:t>
            </w:r>
          </w:p>
        </w:tc>
        <w:tc>
          <w:tcPr>
            <w:tcW w:w="679" w:type="pct"/>
            <w:tcBorders>
              <w:top w:val="nil"/>
              <w:left w:val="nil"/>
              <w:bottom w:val="nil"/>
              <w:right w:val="nil"/>
            </w:tcBorders>
          </w:tcPr>
          <w:p w14:paraId="675DD5B1" w14:textId="77777777" w:rsidR="00B54D51" w:rsidRPr="00037AD4" w:rsidRDefault="00B54D51" w:rsidP="00401C67">
            <w:pPr>
              <w:widowControl w:val="0"/>
              <w:autoSpaceDE w:val="0"/>
              <w:autoSpaceDN w:val="0"/>
              <w:adjustRightInd w:val="0"/>
              <w:jc w:val="center"/>
            </w:pPr>
            <w:r w:rsidRPr="00037AD4">
              <w:t>-0.015*</w:t>
            </w:r>
          </w:p>
        </w:tc>
        <w:tc>
          <w:tcPr>
            <w:tcW w:w="679" w:type="pct"/>
            <w:tcBorders>
              <w:top w:val="nil"/>
              <w:left w:val="nil"/>
              <w:bottom w:val="nil"/>
              <w:right w:val="nil"/>
            </w:tcBorders>
          </w:tcPr>
          <w:p w14:paraId="15DBC304"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2AD53085"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4FB31D68" w14:textId="77777777" w:rsidR="00B54D51" w:rsidRPr="00037AD4" w:rsidRDefault="00B54D51" w:rsidP="00401C67">
            <w:pPr>
              <w:widowControl w:val="0"/>
              <w:autoSpaceDE w:val="0"/>
              <w:autoSpaceDN w:val="0"/>
              <w:adjustRightInd w:val="0"/>
              <w:jc w:val="center"/>
            </w:pPr>
          </w:p>
        </w:tc>
        <w:tc>
          <w:tcPr>
            <w:tcW w:w="677" w:type="pct"/>
            <w:tcBorders>
              <w:top w:val="nil"/>
              <w:left w:val="nil"/>
              <w:bottom w:val="nil"/>
              <w:right w:val="nil"/>
            </w:tcBorders>
          </w:tcPr>
          <w:p w14:paraId="257BF660" w14:textId="77777777" w:rsidR="00B54D51" w:rsidRPr="00037AD4" w:rsidRDefault="00B54D51" w:rsidP="00401C67">
            <w:pPr>
              <w:widowControl w:val="0"/>
              <w:autoSpaceDE w:val="0"/>
              <w:autoSpaceDN w:val="0"/>
              <w:adjustRightInd w:val="0"/>
              <w:jc w:val="center"/>
            </w:pPr>
          </w:p>
        </w:tc>
      </w:tr>
      <w:tr w:rsidR="00B54D51" w:rsidRPr="00037AD4" w14:paraId="7D70E917" w14:textId="77777777" w:rsidTr="00401C67">
        <w:trPr>
          <w:jc w:val="center"/>
        </w:trPr>
        <w:tc>
          <w:tcPr>
            <w:tcW w:w="1608" w:type="pct"/>
            <w:tcBorders>
              <w:top w:val="nil"/>
              <w:left w:val="nil"/>
              <w:bottom w:val="nil"/>
              <w:right w:val="nil"/>
            </w:tcBorders>
          </w:tcPr>
          <w:p w14:paraId="7818BBFE" w14:textId="77777777" w:rsidR="00B54D51" w:rsidRPr="00037AD4" w:rsidRDefault="00B54D51" w:rsidP="00401C67">
            <w:pPr>
              <w:widowControl w:val="0"/>
              <w:autoSpaceDE w:val="0"/>
              <w:autoSpaceDN w:val="0"/>
              <w:adjustRightInd w:val="0"/>
            </w:pPr>
          </w:p>
        </w:tc>
        <w:tc>
          <w:tcPr>
            <w:tcW w:w="679" w:type="pct"/>
            <w:tcBorders>
              <w:top w:val="nil"/>
              <w:left w:val="nil"/>
              <w:bottom w:val="nil"/>
              <w:right w:val="nil"/>
            </w:tcBorders>
          </w:tcPr>
          <w:p w14:paraId="67F0E89F" w14:textId="77777777" w:rsidR="00B54D51" w:rsidRPr="00037AD4" w:rsidRDefault="00B54D51" w:rsidP="00401C67">
            <w:pPr>
              <w:widowControl w:val="0"/>
              <w:autoSpaceDE w:val="0"/>
              <w:autoSpaceDN w:val="0"/>
              <w:adjustRightInd w:val="0"/>
              <w:jc w:val="center"/>
            </w:pPr>
            <w:r w:rsidRPr="00037AD4">
              <w:t>(-0.032 - 0.001)</w:t>
            </w:r>
          </w:p>
        </w:tc>
        <w:tc>
          <w:tcPr>
            <w:tcW w:w="679" w:type="pct"/>
            <w:tcBorders>
              <w:top w:val="nil"/>
              <w:left w:val="nil"/>
              <w:bottom w:val="nil"/>
              <w:right w:val="nil"/>
            </w:tcBorders>
          </w:tcPr>
          <w:p w14:paraId="20190497"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7AD1CCC0"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5DA8CEEB" w14:textId="77777777" w:rsidR="00B54D51" w:rsidRPr="00037AD4" w:rsidRDefault="00B54D51" w:rsidP="00401C67">
            <w:pPr>
              <w:widowControl w:val="0"/>
              <w:autoSpaceDE w:val="0"/>
              <w:autoSpaceDN w:val="0"/>
              <w:adjustRightInd w:val="0"/>
              <w:jc w:val="center"/>
            </w:pPr>
          </w:p>
        </w:tc>
        <w:tc>
          <w:tcPr>
            <w:tcW w:w="677" w:type="pct"/>
            <w:tcBorders>
              <w:top w:val="nil"/>
              <w:left w:val="nil"/>
              <w:bottom w:val="nil"/>
              <w:right w:val="nil"/>
            </w:tcBorders>
          </w:tcPr>
          <w:p w14:paraId="3017003D" w14:textId="77777777" w:rsidR="00B54D51" w:rsidRPr="00037AD4" w:rsidRDefault="00B54D51" w:rsidP="00401C67">
            <w:pPr>
              <w:widowControl w:val="0"/>
              <w:autoSpaceDE w:val="0"/>
              <w:autoSpaceDN w:val="0"/>
              <w:adjustRightInd w:val="0"/>
              <w:jc w:val="center"/>
            </w:pPr>
          </w:p>
        </w:tc>
      </w:tr>
      <w:tr w:rsidR="00B54D51" w:rsidRPr="00037AD4" w14:paraId="038B8803" w14:textId="77777777" w:rsidTr="00401C67">
        <w:trPr>
          <w:jc w:val="center"/>
        </w:trPr>
        <w:tc>
          <w:tcPr>
            <w:tcW w:w="1608" w:type="pct"/>
            <w:tcBorders>
              <w:top w:val="nil"/>
              <w:left w:val="nil"/>
              <w:bottom w:val="nil"/>
              <w:right w:val="nil"/>
            </w:tcBorders>
          </w:tcPr>
          <w:p w14:paraId="6FAB1BC0" w14:textId="77777777" w:rsidR="00B54D51" w:rsidRPr="00037AD4" w:rsidRDefault="00B54D51" w:rsidP="00401C67">
            <w:pPr>
              <w:widowControl w:val="0"/>
              <w:autoSpaceDE w:val="0"/>
              <w:autoSpaceDN w:val="0"/>
              <w:adjustRightInd w:val="0"/>
            </w:pPr>
            <w:r w:rsidRPr="00037AD4">
              <w:t>2.proxy_sex_</w:t>
            </w:r>
          </w:p>
        </w:tc>
        <w:tc>
          <w:tcPr>
            <w:tcW w:w="679" w:type="pct"/>
            <w:tcBorders>
              <w:top w:val="nil"/>
              <w:left w:val="nil"/>
              <w:bottom w:val="nil"/>
              <w:right w:val="nil"/>
            </w:tcBorders>
          </w:tcPr>
          <w:p w14:paraId="12549375" w14:textId="77777777" w:rsidR="00B54D51" w:rsidRPr="00037AD4" w:rsidRDefault="00B54D51" w:rsidP="00401C67">
            <w:pPr>
              <w:widowControl w:val="0"/>
              <w:autoSpaceDE w:val="0"/>
              <w:autoSpaceDN w:val="0"/>
              <w:adjustRightInd w:val="0"/>
              <w:jc w:val="center"/>
            </w:pPr>
            <w:r w:rsidRPr="00037AD4">
              <w:t>0.131</w:t>
            </w:r>
          </w:p>
        </w:tc>
        <w:tc>
          <w:tcPr>
            <w:tcW w:w="679" w:type="pct"/>
            <w:tcBorders>
              <w:top w:val="nil"/>
              <w:left w:val="nil"/>
              <w:bottom w:val="nil"/>
              <w:right w:val="nil"/>
            </w:tcBorders>
          </w:tcPr>
          <w:p w14:paraId="51A9A8F9"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74C43E82"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279EEA34" w14:textId="77777777" w:rsidR="00B54D51" w:rsidRPr="00037AD4" w:rsidRDefault="00B54D51" w:rsidP="00401C67">
            <w:pPr>
              <w:widowControl w:val="0"/>
              <w:autoSpaceDE w:val="0"/>
              <w:autoSpaceDN w:val="0"/>
              <w:adjustRightInd w:val="0"/>
              <w:jc w:val="center"/>
            </w:pPr>
          </w:p>
        </w:tc>
        <w:tc>
          <w:tcPr>
            <w:tcW w:w="677" w:type="pct"/>
            <w:tcBorders>
              <w:top w:val="nil"/>
              <w:left w:val="nil"/>
              <w:bottom w:val="nil"/>
              <w:right w:val="nil"/>
            </w:tcBorders>
          </w:tcPr>
          <w:p w14:paraId="168B92CD" w14:textId="77777777" w:rsidR="00B54D51" w:rsidRPr="00037AD4" w:rsidRDefault="00B54D51" w:rsidP="00401C67">
            <w:pPr>
              <w:widowControl w:val="0"/>
              <w:autoSpaceDE w:val="0"/>
              <w:autoSpaceDN w:val="0"/>
              <w:adjustRightInd w:val="0"/>
              <w:jc w:val="center"/>
            </w:pPr>
          </w:p>
        </w:tc>
      </w:tr>
      <w:tr w:rsidR="00B54D51" w:rsidRPr="00037AD4" w14:paraId="3C08A1CF" w14:textId="77777777" w:rsidTr="00401C67">
        <w:trPr>
          <w:jc w:val="center"/>
        </w:trPr>
        <w:tc>
          <w:tcPr>
            <w:tcW w:w="1608" w:type="pct"/>
            <w:tcBorders>
              <w:top w:val="nil"/>
              <w:left w:val="nil"/>
              <w:bottom w:val="nil"/>
              <w:right w:val="nil"/>
            </w:tcBorders>
          </w:tcPr>
          <w:p w14:paraId="1AED7DC9" w14:textId="77777777" w:rsidR="00B54D51" w:rsidRPr="00037AD4" w:rsidRDefault="00B54D51" w:rsidP="00401C67">
            <w:pPr>
              <w:widowControl w:val="0"/>
              <w:autoSpaceDE w:val="0"/>
              <w:autoSpaceDN w:val="0"/>
              <w:adjustRightInd w:val="0"/>
            </w:pPr>
          </w:p>
        </w:tc>
        <w:tc>
          <w:tcPr>
            <w:tcW w:w="679" w:type="pct"/>
            <w:tcBorders>
              <w:top w:val="nil"/>
              <w:left w:val="nil"/>
              <w:bottom w:val="nil"/>
              <w:right w:val="nil"/>
            </w:tcBorders>
          </w:tcPr>
          <w:p w14:paraId="23FF3F52" w14:textId="77777777" w:rsidR="00B54D51" w:rsidRPr="00037AD4" w:rsidRDefault="00B54D51" w:rsidP="00401C67">
            <w:pPr>
              <w:widowControl w:val="0"/>
              <w:autoSpaceDE w:val="0"/>
              <w:autoSpaceDN w:val="0"/>
              <w:adjustRightInd w:val="0"/>
              <w:jc w:val="center"/>
            </w:pPr>
            <w:r w:rsidRPr="00037AD4">
              <w:t xml:space="preserve">(-0.170 - </w:t>
            </w:r>
            <w:r w:rsidRPr="00037AD4">
              <w:lastRenderedPageBreak/>
              <w:t>0.432)</w:t>
            </w:r>
          </w:p>
        </w:tc>
        <w:tc>
          <w:tcPr>
            <w:tcW w:w="679" w:type="pct"/>
            <w:tcBorders>
              <w:top w:val="nil"/>
              <w:left w:val="nil"/>
              <w:bottom w:val="nil"/>
              <w:right w:val="nil"/>
            </w:tcBorders>
          </w:tcPr>
          <w:p w14:paraId="122CE237"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5EEF1F03"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1685976D" w14:textId="77777777" w:rsidR="00B54D51" w:rsidRPr="00037AD4" w:rsidRDefault="00B54D51" w:rsidP="00401C67">
            <w:pPr>
              <w:widowControl w:val="0"/>
              <w:autoSpaceDE w:val="0"/>
              <w:autoSpaceDN w:val="0"/>
              <w:adjustRightInd w:val="0"/>
              <w:jc w:val="center"/>
            </w:pPr>
          </w:p>
        </w:tc>
        <w:tc>
          <w:tcPr>
            <w:tcW w:w="677" w:type="pct"/>
            <w:tcBorders>
              <w:top w:val="nil"/>
              <w:left w:val="nil"/>
              <w:bottom w:val="nil"/>
              <w:right w:val="nil"/>
            </w:tcBorders>
          </w:tcPr>
          <w:p w14:paraId="1E0EE234" w14:textId="77777777" w:rsidR="00B54D51" w:rsidRPr="00037AD4" w:rsidRDefault="00B54D51" w:rsidP="00401C67">
            <w:pPr>
              <w:widowControl w:val="0"/>
              <w:autoSpaceDE w:val="0"/>
              <w:autoSpaceDN w:val="0"/>
              <w:adjustRightInd w:val="0"/>
              <w:jc w:val="center"/>
            </w:pPr>
          </w:p>
        </w:tc>
      </w:tr>
      <w:tr w:rsidR="00B54D51" w:rsidRPr="00037AD4" w14:paraId="1C60CB6E" w14:textId="77777777" w:rsidTr="00401C67">
        <w:trPr>
          <w:jc w:val="center"/>
        </w:trPr>
        <w:tc>
          <w:tcPr>
            <w:tcW w:w="1608" w:type="pct"/>
            <w:tcBorders>
              <w:top w:val="nil"/>
              <w:left w:val="nil"/>
              <w:bottom w:val="nil"/>
              <w:right w:val="nil"/>
            </w:tcBorders>
          </w:tcPr>
          <w:p w14:paraId="32344F87" w14:textId="77777777" w:rsidR="00B54D51" w:rsidRPr="00037AD4" w:rsidRDefault="00B54D51" w:rsidP="00401C67">
            <w:pPr>
              <w:widowControl w:val="0"/>
              <w:autoSpaceDE w:val="0"/>
              <w:autoSpaceDN w:val="0"/>
              <w:adjustRightInd w:val="0"/>
            </w:pPr>
            <w:r w:rsidRPr="00037AD4">
              <w:t>2.PwD_live_with_carer_</w:t>
            </w:r>
          </w:p>
        </w:tc>
        <w:tc>
          <w:tcPr>
            <w:tcW w:w="679" w:type="pct"/>
            <w:tcBorders>
              <w:top w:val="nil"/>
              <w:left w:val="nil"/>
              <w:bottom w:val="nil"/>
              <w:right w:val="nil"/>
            </w:tcBorders>
          </w:tcPr>
          <w:p w14:paraId="1BDBB2E8" w14:textId="77777777" w:rsidR="00B54D51" w:rsidRPr="00037AD4" w:rsidRDefault="00B54D51" w:rsidP="00401C67">
            <w:pPr>
              <w:widowControl w:val="0"/>
              <w:autoSpaceDE w:val="0"/>
              <w:autoSpaceDN w:val="0"/>
              <w:adjustRightInd w:val="0"/>
              <w:jc w:val="center"/>
            </w:pPr>
            <w:r w:rsidRPr="00037AD4">
              <w:t>-0.064</w:t>
            </w:r>
          </w:p>
        </w:tc>
        <w:tc>
          <w:tcPr>
            <w:tcW w:w="679" w:type="pct"/>
            <w:tcBorders>
              <w:top w:val="nil"/>
              <w:left w:val="nil"/>
              <w:bottom w:val="nil"/>
              <w:right w:val="nil"/>
            </w:tcBorders>
          </w:tcPr>
          <w:p w14:paraId="566B1EFC"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669085EE"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516EFA3D" w14:textId="77777777" w:rsidR="00B54D51" w:rsidRPr="00037AD4" w:rsidRDefault="00B54D51" w:rsidP="00401C67">
            <w:pPr>
              <w:widowControl w:val="0"/>
              <w:autoSpaceDE w:val="0"/>
              <w:autoSpaceDN w:val="0"/>
              <w:adjustRightInd w:val="0"/>
              <w:jc w:val="center"/>
            </w:pPr>
          </w:p>
        </w:tc>
        <w:tc>
          <w:tcPr>
            <w:tcW w:w="677" w:type="pct"/>
            <w:tcBorders>
              <w:top w:val="nil"/>
              <w:left w:val="nil"/>
              <w:bottom w:val="nil"/>
              <w:right w:val="nil"/>
            </w:tcBorders>
          </w:tcPr>
          <w:p w14:paraId="2982DCE3" w14:textId="77777777" w:rsidR="00B54D51" w:rsidRPr="00037AD4" w:rsidRDefault="00B54D51" w:rsidP="00401C67">
            <w:pPr>
              <w:widowControl w:val="0"/>
              <w:autoSpaceDE w:val="0"/>
              <w:autoSpaceDN w:val="0"/>
              <w:adjustRightInd w:val="0"/>
              <w:jc w:val="center"/>
            </w:pPr>
          </w:p>
        </w:tc>
      </w:tr>
      <w:tr w:rsidR="00B54D51" w:rsidRPr="00037AD4" w14:paraId="1A8649DB" w14:textId="77777777" w:rsidTr="00401C67">
        <w:trPr>
          <w:jc w:val="center"/>
        </w:trPr>
        <w:tc>
          <w:tcPr>
            <w:tcW w:w="1608" w:type="pct"/>
            <w:tcBorders>
              <w:top w:val="nil"/>
              <w:left w:val="nil"/>
              <w:bottom w:val="nil"/>
              <w:right w:val="nil"/>
            </w:tcBorders>
          </w:tcPr>
          <w:p w14:paraId="48690211" w14:textId="77777777" w:rsidR="00B54D51" w:rsidRPr="00037AD4" w:rsidRDefault="00B54D51" w:rsidP="00401C67">
            <w:pPr>
              <w:widowControl w:val="0"/>
              <w:autoSpaceDE w:val="0"/>
              <w:autoSpaceDN w:val="0"/>
              <w:adjustRightInd w:val="0"/>
            </w:pPr>
          </w:p>
        </w:tc>
        <w:tc>
          <w:tcPr>
            <w:tcW w:w="679" w:type="pct"/>
            <w:tcBorders>
              <w:top w:val="nil"/>
              <w:left w:val="nil"/>
              <w:bottom w:val="nil"/>
              <w:right w:val="nil"/>
            </w:tcBorders>
          </w:tcPr>
          <w:p w14:paraId="7F812E79" w14:textId="77777777" w:rsidR="00B54D51" w:rsidRPr="00037AD4" w:rsidRDefault="00B54D51" w:rsidP="00401C67">
            <w:pPr>
              <w:widowControl w:val="0"/>
              <w:autoSpaceDE w:val="0"/>
              <w:autoSpaceDN w:val="0"/>
              <w:adjustRightInd w:val="0"/>
              <w:jc w:val="center"/>
            </w:pPr>
            <w:r w:rsidRPr="00037AD4">
              <w:t>(-0.369 - 0.241)</w:t>
            </w:r>
          </w:p>
        </w:tc>
        <w:tc>
          <w:tcPr>
            <w:tcW w:w="679" w:type="pct"/>
            <w:tcBorders>
              <w:top w:val="nil"/>
              <w:left w:val="nil"/>
              <w:bottom w:val="nil"/>
              <w:right w:val="nil"/>
            </w:tcBorders>
          </w:tcPr>
          <w:p w14:paraId="19E0D22B"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60EB78FC"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448D52AF" w14:textId="77777777" w:rsidR="00B54D51" w:rsidRPr="00037AD4" w:rsidRDefault="00B54D51" w:rsidP="00401C67">
            <w:pPr>
              <w:widowControl w:val="0"/>
              <w:autoSpaceDE w:val="0"/>
              <w:autoSpaceDN w:val="0"/>
              <w:adjustRightInd w:val="0"/>
              <w:jc w:val="center"/>
            </w:pPr>
          </w:p>
        </w:tc>
        <w:tc>
          <w:tcPr>
            <w:tcW w:w="677" w:type="pct"/>
            <w:tcBorders>
              <w:top w:val="nil"/>
              <w:left w:val="nil"/>
              <w:bottom w:val="nil"/>
              <w:right w:val="nil"/>
            </w:tcBorders>
          </w:tcPr>
          <w:p w14:paraId="7CA9D611" w14:textId="77777777" w:rsidR="00B54D51" w:rsidRPr="00037AD4" w:rsidRDefault="00B54D51" w:rsidP="00401C67">
            <w:pPr>
              <w:widowControl w:val="0"/>
              <w:autoSpaceDE w:val="0"/>
              <w:autoSpaceDN w:val="0"/>
              <w:adjustRightInd w:val="0"/>
              <w:jc w:val="center"/>
            </w:pPr>
          </w:p>
        </w:tc>
      </w:tr>
      <w:tr w:rsidR="00B54D51" w:rsidRPr="00037AD4" w14:paraId="23FA7BE7" w14:textId="77777777" w:rsidTr="00401C67">
        <w:trPr>
          <w:jc w:val="center"/>
        </w:trPr>
        <w:tc>
          <w:tcPr>
            <w:tcW w:w="1608" w:type="pct"/>
            <w:tcBorders>
              <w:top w:val="nil"/>
              <w:left w:val="nil"/>
              <w:bottom w:val="nil"/>
              <w:right w:val="nil"/>
            </w:tcBorders>
          </w:tcPr>
          <w:p w14:paraId="2CCC1DD1" w14:textId="77777777" w:rsidR="00B54D51" w:rsidRPr="00037AD4" w:rsidRDefault="00B54D51" w:rsidP="00401C67">
            <w:pPr>
              <w:widowControl w:val="0"/>
              <w:autoSpaceDE w:val="0"/>
              <w:autoSpaceDN w:val="0"/>
              <w:adjustRightInd w:val="0"/>
            </w:pPr>
            <w:r w:rsidRPr="00037AD4">
              <w:t>2.carer_relationship_merged</w:t>
            </w:r>
          </w:p>
        </w:tc>
        <w:tc>
          <w:tcPr>
            <w:tcW w:w="679" w:type="pct"/>
            <w:tcBorders>
              <w:top w:val="nil"/>
              <w:left w:val="nil"/>
              <w:bottom w:val="nil"/>
              <w:right w:val="nil"/>
            </w:tcBorders>
          </w:tcPr>
          <w:p w14:paraId="2DA0AACD" w14:textId="77777777" w:rsidR="00B54D51" w:rsidRPr="00037AD4" w:rsidRDefault="00B54D51" w:rsidP="00401C67">
            <w:pPr>
              <w:widowControl w:val="0"/>
              <w:autoSpaceDE w:val="0"/>
              <w:autoSpaceDN w:val="0"/>
              <w:adjustRightInd w:val="0"/>
              <w:jc w:val="center"/>
            </w:pPr>
            <w:r w:rsidRPr="00037AD4">
              <w:t>-0.494*</w:t>
            </w:r>
          </w:p>
        </w:tc>
        <w:tc>
          <w:tcPr>
            <w:tcW w:w="679" w:type="pct"/>
            <w:tcBorders>
              <w:top w:val="nil"/>
              <w:left w:val="nil"/>
              <w:bottom w:val="nil"/>
              <w:right w:val="nil"/>
            </w:tcBorders>
          </w:tcPr>
          <w:p w14:paraId="07C54614" w14:textId="77777777" w:rsidR="00B54D51" w:rsidRPr="00037AD4" w:rsidRDefault="00B54D51" w:rsidP="00401C67">
            <w:pPr>
              <w:widowControl w:val="0"/>
              <w:autoSpaceDE w:val="0"/>
              <w:autoSpaceDN w:val="0"/>
              <w:adjustRightInd w:val="0"/>
              <w:jc w:val="center"/>
            </w:pPr>
            <w:r w:rsidRPr="00037AD4">
              <w:t>-0.069</w:t>
            </w:r>
          </w:p>
        </w:tc>
        <w:tc>
          <w:tcPr>
            <w:tcW w:w="679" w:type="pct"/>
            <w:tcBorders>
              <w:top w:val="nil"/>
              <w:left w:val="nil"/>
              <w:bottom w:val="nil"/>
              <w:right w:val="nil"/>
            </w:tcBorders>
          </w:tcPr>
          <w:p w14:paraId="361E2B4F"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3E703876" w14:textId="77777777" w:rsidR="00B54D51" w:rsidRPr="00037AD4" w:rsidRDefault="00B54D51" w:rsidP="00401C67">
            <w:pPr>
              <w:widowControl w:val="0"/>
              <w:autoSpaceDE w:val="0"/>
              <w:autoSpaceDN w:val="0"/>
              <w:adjustRightInd w:val="0"/>
              <w:jc w:val="center"/>
            </w:pPr>
          </w:p>
        </w:tc>
        <w:tc>
          <w:tcPr>
            <w:tcW w:w="677" w:type="pct"/>
            <w:tcBorders>
              <w:top w:val="nil"/>
              <w:left w:val="nil"/>
              <w:bottom w:val="nil"/>
              <w:right w:val="nil"/>
            </w:tcBorders>
          </w:tcPr>
          <w:p w14:paraId="7232DAA2" w14:textId="77777777" w:rsidR="00B54D51" w:rsidRPr="00037AD4" w:rsidRDefault="00B54D51" w:rsidP="00401C67">
            <w:pPr>
              <w:widowControl w:val="0"/>
              <w:autoSpaceDE w:val="0"/>
              <w:autoSpaceDN w:val="0"/>
              <w:adjustRightInd w:val="0"/>
              <w:jc w:val="center"/>
            </w:pPr>
          </w:p>
        </w:tc>
      </w:tr>
      <w:tr w:rsidR="00B54D51" w:rsidRPr="00037AD4" w14:paraId="008C28FE" w14:textId="77777777" w:rsidTr="00401C67">
        <w:trPr>
          <w:jc w:val="center"/>
        </w:trPr>
        <w:tc>
          <w:tcPr>
            <w:tcW w:w="1608" w:type="pct"/>
            <w:tcBorders>
              <w:top w:val="nil"/>
              <w:left w:val="nil"/>
              <w:bottom w:val="nil"/>
              <w:right w:val="nil"/>
            </w:tcBorders>
          </w:tcPr>
          <w:p w14:paraId="5B701AEB" w14:textId="77777777" w:rsidR="00B54D51" w:rsidRPr="00037AD4" w:rsidRDefault="00B54D51" w:rsidP="00401C67">
            <w:pPr>
              <w:widowControl w:val="0"/>
              <w:autoSpaceDE w:val="0"/>
              <w:autoSpaceDN w:val="0"/>
              <w:adjustRightInd w:val="0"/>
            </w:pPr>
          </w:p>
        </w:tc>
        <w:tc>
          <w:tcPr>
            <w:tcW w:w="679" w:type="pct"/>
            <w:tcBorders>
              <w:top w:val="nil"/>
              <w:left w:val="nil"/>
              <w:bottom w:val="nil"/>
              <w:right w:val="nil"/>
            </w:tcBorders>
          </w:tcPr>
          <w:p w14:paraId="76C58694" w14:textId="77777777" w:rsidR="00B54D51" w:rsidRPr="00037AD4" w:rsidRDefault="00B54D51" w:rsidP="00401C67">
            <w:pPr>
              <w:widowControl w:val="0"/>
              <w:autoSpaceDE w:val="0"/>
              <w:autoSpaceDN w:val="0"/>
              <w:adjustRightInd w:val="0"/>
              <w:jc w:val="center"/>
            </w:pPr>
            <w:r w:rsidRPr="00037AD4">
              <w:t>(-1.082 - 0.093)</w:t>
            </w:r>
          </w:p>
        </w:tc>
        <w:tc>
          <w:tcPr>
            <w:tcW w:w="679" w:type="pct"/>
            <w:tcBorders>
              <w:top w:val="nil"/>
              <w:left w:val="nil"/>
              <w:bottom w:val="nil"/>
              <w:right w:val="nil"/>
            </w:tcBorders>
          </w:tcPr>
          <w:p w14:paraId="12C8DA79" w14:textId="77777777" w:rsidR="00B54D51" w:rsidRPr="00037AD4" w:rsidRDefault="00B54D51" w:rsidP="00401C67">
            <w:pPr>
              <w:widowControl w:val="0"/>
              <w:autoSpaceDE w:val="0"/>
              <w:autoSpaceDN w:val="0"/>
              <w:adjustRightInd w:val="0"/>
              <w:jc w:val="center"/>
            </w:pPr>
            <w:r w:rsidRPr="00037AD4">
              <w:t>(-0.311 - 0.173)</w:t>
            </w:r>
          </w:p>
        </w:tc>
        <w:tc>
          <w:tcPr>
            <w:tcW w:w="679" w:type="pct"/>
            <w:tcBorders>
              <w:top w:val="nil"/>
              <w:left w:val="nil"/>
              <w:bottom w:val="nil"/>
              <w:right w:val="nil"/>
            </w:tcBorders>
          </w:tcPr>
          <w:p w14:paraId="3E720D6D"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3879F4A7" w14:textId="77777777" w:rsidR="00B54D51" w:rsidRPr="00037AD4" w:rsidRDefault="00B54D51" w:rsidP="00401C67">
            <w:pPr>
              <w:widowControl w:val="0"/>
              <w:autoSpaceDE w:val="0"/>
              <w:autoSpaceDN w:val="0"/>
              <w:adjustRightInd w:val="0"/>
              <w:jc w:val="center"/>
            </w:pPr>
          </w:p>
        </w:tc>
        <w:tc>
          <w:tcPr>
            <w:tcW w:w="677" w:type="pct"/>
            <w:tcBorders>
              <w:top w:val="nil"/>
              <w:left w:val="nil"/>
              <w:bottom w:val="nil"/>
              <w:right w:val="nil"/>
            </w:tcBorders>
          </w:tcPr>
          <w:p w14:paraId="39AB6D48" w14:textId="77777777" w:rsidR="00B54D51" w:rsidRPr="00037AD4" w:rsidRDefault="00B54D51" w:rsidP="00401C67">
            <w:pPr>
              <w:widowControl w:val="0"/>
              <w:autoSpaceDE w:val="0"/>
              <w:autoSpaceDN w:val="0"/>
              <w:adjustRightInd w:val="0"/>
              <w:jc w:val="center"/>
            </w:pPr>
          </w:p>
        </w:tc>
      </w:tr>
      <w:tr w:rsidR="00B54D51" w:rsidRPr="00037AD4" w14:paraId="7481D018" w14:textId="77777777" w:rsidTr="00401C67">
        <w:trPr>
          <w:jc w:val="center"/>
        </w:trPr>
        <w:tc>
          <w:tcPr>
            <w:tcW w:w="1608" w:type="pct"/>
            <w:tcBorders>
              <w:top w:val="nil"/>
              <w:left w:val="nil"/>
              <w:bottom w:val="nil"/>
              <w:right w:val="nil"/>
            </w:tcBorders>
          </w:tcPr>
          <w:p w14:paraId="1C0D56D7" w14:textId="77777777" w:rsidR="00B54D51" w:rsidRPr="00037AD4" w:rsidRDefault="00B54D51" w:rsidP="00401C67">
            <w:pPr>
              <w:widowControl w:val="0"/>
              <w:autoSpaceDE w:val="0"/>
              <w:autoSpaceDN w:val="0"/>
              <w:adjustRightInd w:val="0"/>
            </w:pPr>
            <w:r w:rsidRPr="00037AD4">
              <w:t>3.carer_relationship_merged</w:t>
            </w:r>
          </w:p>
        </w:tc>
        <w:tc>
          <w:tcPr>
            <w:tcW w:w="679" w:type="pct"/>
            <w:tcBorders>
              <w:top w:val="nil"/>
              <w:left w:val="nil"/>
              <w:bottom w:val="nil"/>
              <w:right w:val="nil"/>
            </w:tcBorders>
          </w:tcPr>
          <w:p w14:paraId="46C94348" w14:textId="77777777" w:rsidR="00B54D51" w:rsidRPr="00037AD4" w:rsidRDefault="00B54D51" w:rsidP="00401C67">
            <w:pPr>
              <w:widowControl w:val="0"/>
              <w:autoSpaceDE w:val="0"/>
              <w:autoSpaceDN w:val="0"/>
              <w:adjustRightInd w:val="0"/>
              <w:jc w:val="center"/>
            </w:pPr>
            <w:r w:rsidRPr="00037AD4">
              <w:t>-0.837**</w:t>
            </w:r>
          </w:p>
        </w:tc>
        <w:tc>
          <w:tcPr>
            <w:tcW w:w="679" w:type="pct"/>
            <w:tcBorders>
              <w:top w:val="nil"/>
              <w:left w:val="nil"/>
              <w:bottom w:val="nil"/>
              <w:right w:val="nil"/>
            </w:tcBorders>
          </w:tcPr>
          <w:p w14:paraId="322709F2" w14:textId="77777777" w:rsidR="00B54D51" w:rsidRPr="00037AD4" w:rsidRDefault="00B54D51" w:rsidP="00401C67">
            <w:pPr>
              <w:widowControl w:val="0"/>
              <w:autoSpaceDE w:val="0"/>
              <w:autoSpaceDN w:val="0"/>
              <w:adjustRightInd w:val="0"/>
              <w:jc w:val="center"/>
            </w:pPr>
            <w:r w:rsidRPr="00037AD4">
              <w:t>-0.618**</w:t>
            </w:r>
          </w:p>
        </w:tc>
        <w:tc>
          <w:tcPr>
            <w:tcW w:w="679" w:type="pct"/>
            <w:tcBorders>
              <w:top w:val="nil"/>
              <w:left w:val="nil"/>
              <w:bottom w:val="nil"/>
              <w:right w:val="nil"/>
            </w:tcBorders>
          </w:tcPr>
          <w:p w14:paraId="1EB5508C"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2CDFD736" w14:textId="77777777" w:rsidR="00B54D51" w:rsidRPr="00037AD4" w:rsidRDefault="00B54D51" w:rsidP="00401C67">
            <w:pPr>
              <w:widowControl w:val="0"/>
              <w:autoSpaceDE w:val="0"/>
              <w:autoSpaceDN w:val="0"/>
              <w:adjustRightInd w:val="0"/>
              <w:jc w:val="center"/>
            </w:pPr>
          </w:p>
        </w:tc>
        <w:tc>
          <w:tcPr>
            <w:tcW w:w="677" w:type="pct"/>
            <w:tcBorders>
              <w:top w:val="nil"/>
              <w:left w:val="nil"/>
              <w:bottom w:val="nil"/>
              <w:right w:val="nil"/>
            </w:tcBorders>
          </w:tcPr>
          <w:p w14:paraId="22500FFB" w14:textId="77777777" w:rsidR="00B54D51" w:rsidRPr="00037AD4" w:rsidRDefault="00B54D51" w:rsidP="00401C67">
            <w:pPr>
              <w:widowControl w:val="0"/>
              <w:autoSpaceDE w:val="0"/>
              <w:autoSpaceDN w:val="0"/>
              <w:adjustRightInd w:val="0"/>
              <w:jc w:val="center"/>
            </w:pPr>
          </w:p>
        </w:tc>
      </w:tr>
      <w:tr w:rsidR="00B54D51" w:rsidRPr="00037AD4" w14:paraId="05A08282" w14:textId="77777777" w:rsidTr="00401C67">
        <w:trPr>
          <w:jc w:val="center"/>
        </w:trPr>
        <w:tc>
          <w:tcPr>
            <w:tcW w:w="1608" w:type="pct"/>
            <w:tcBorders>
              <w:top w:val="nil"/>
              <w:left w:val="nil"/>
              <w:bottom w:val="nil"/>
              <w:right w:val="nil"/>
            </w:tcBorders>
          </w:tcPr>
          <w:p w14:paraId="33192699" w14:textId="77777777" w:rsidR="00B54D51" w:rsidRPr="00037AD4" w:rsidRDefault="00B54D51" w:rsidP="00401C67">
            <w:pPr>
              <w:widowControl w:val="0"/>
              <w:autoSpaceDE w:val="0"/>
              <w:autoSpaceDN w:val="0"/>
              <w:adjustRightInd w:val="0"/>
            </w:pPr>
          </w:p>
        </w:tc>
        <w:tc>
          <w:tcPr>
            <w:tcW w:w="679" w:type="pct"/>
            <w:tcBorders>
              <w:top w:val="nil"/>
              <w:left w:val="nil"/>
              <w:bottom w:val="nil"/>
              <w:right w:val="nil"/>
            </w:tcBorders>
          </w:tcPr>
          <w:p w14:paraId="66EA9B6A" w14:textId="77777777" w:rsidR="00B54D51" w:rsidRPr="00037AD4" w:rsidRDefault="00B54D51" w:rsidP="00401C67">
            <w:pPr>
              <w:widowControl w:val="0"/>
              <w:autoSpaceDE w:val="0"/>
              <w:autoSpaceDN w:val="0"/>
              <w:adjustRightInd w:val="0"/>
              <w:jc w:val="center"/>
            </w:pPr>
            <w:r w:rsidRPr="00037AD4">
              <w:t>(-1.512 - -0.162)</w:t>
            </w:r>
          </w:p>
        </w:tc>
        <w:tc>
          <w:tcPr>
            <w:tcW w:w="679" w:type="pct"/>
            <w:tcBorders>
              <w:top w:val="nil"/>
              <w:left w:val="nil"/>
              <w:bottom w:val="nil"/>
              <w:right w:val="nil"/>
            </w:tcBorders>
          </w:tcPr>
          <w:p w14:paraId="5159178F" w14:textId="77777777" w:rsidR="00B54D51" w:rsidRPr="00037AD4" w:rsidRDefault="00B54D51" w:rsidP="00401C67">
            <w:pPr>
              <w:widowControl w:val="0"/>
              <w:autoSpaceDE w:val="0"/>
              <w:autoSpaceDN w:val="0"/>
              <w:adjustRightInd w:val="0"/>
              <w:jc w:val="center"/>
            </w:pPr>
            <w:r w:rsidRPr="00037AD4">
              <w:t>(-1.112 - -0.124)</w:t>
            </w:r>
          </w:p>
        </w:tc>
        <w:tc>
          <w:tcPr>
            <w:tcW w:w="679" w:type="pct"/>
            <w:tcBorders>
              <w:top w:val="nil"/>
              <w:left w:val="nil"/>
              <w:bottom w:val="nil"/>
              <w:right w:val="nil"/>
            </w:tcBorders>
          </w:tcPr>
          <w:p w14:paraId="61E9B1EC"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5D5B96EE" w14:textId="77777777" w:rsidR="00B54D51" w:rsidRPr="00037AD4" w:rsidRDefault="00B54D51" w:rsidP="00401C67">
            <w:pPr>
              <w:widowControl w:val="0"/>
              <w:autoSpaceDE w:val="0"/>
              <w:autoSpaceDN w:val="0"/>
              <w:adjustRightInd w:val="0"/>
              <w:jc w:val="center"/>
            </w:pPr>
          </w:p>
        </w:tc>
        <w:tc>
          <w:tcPr>
            <w:tcW w:w="677" w:type="pct"/>
            <w:tcBorders>
              <w:top w:val="nil"/>
              <w:left w:val="nil"/>
              <w:bottom w:val="nil"/>
              <w:right w:val="nil"/>
            </w:tcBorders>
          </w:tcPr>
          <w:p w14:paraId="1DBA0D64" w14:textId="77777777" w:rsidR="00B54D51" w:rsidRPr="00037AD4" w:rsidRDefault="00B54D51" w:rsidP="00401C67">
            <w:pPr>
              <w:widowControl w:val="0"/>
              <w:autoSpaceDE w:val="0"/>
              <w:autoSpaceDN w:val="0"/>
              <w:adjustRightInd w:val="0"/>
              <w:jc w:val="center"/>
            </w:pPr>
          </w:p>
        </w:tc>
      </w:tr>
      <w:tr w:rsidR="00B54D51" w:rsidRPr="00037AD4" w14:paraId="4773E8E0" w14:textId="77777777" w:rsidTr="00401C67">
        <w:trPr>
          <w:jc w:val="center"/>
        </w:trPr>
        <w:tc>
          <w:tcPr>
            <w:tcW w:w="1608" w:type="pct"/>
            <w:tcBorders>
              <w:top w:val="nil"/>
              <w:left w:val="nil"/>
              <w:bottom w:val="nil"/>
              <w:right w:val="nil"/>
            </w:tcBorders>
          </w:tcPr>
          <w:p w14:paraId="79BB6C25" w14:textId="77777777" w:rsidR="00B54D51" w:rsidRPr="00037AD4" w:rsidRDefault="00B54D51" w:rsidP="00401C67">
            <w:pPr>
              <w:widowControl w:val="0"/>
              <w:autoSpaceDE w:val="0"/>
              <w:autoSpaceDN w:val="0"/>
              <w:adjustRightInd w:val="0"/>
            </w:pPr>
            <w:r w:rsidRPr="00037AD4">
              <w:t>4.carer_relationship_merged</w:t>
            </w:r>
          </w:p>
        </w:tc>
        <w:tc>
          <w:tcPr>
            <w:tcW w:w="679" w:type="pct"/>
            <w:tcBorders>
              <w:top w:val="nil"/>
              <w:left w:val="nil"/>
              <w:bottom w:val="nil"/>
              <w:right w:val="nil"/>
            </w:tcBorders>
          </w:tcPr>
          <w:p w14:paraId="2630CD1E" w14:textId="77777777" w:rsidR="00B54D51" w:rsidRPr="00037AD4" w:rsidRDefault="00B54D51" w:rsidP="00401C67">
            <w:pPr>
              <w:widowControl w:val="0"/>
              <w:autoSpaceDE w:val="0"/>
              <w:autoSpaceDN w:val="0"/>
              <w:adjustRightInd w:val="0"/>
              <w:jc w:val="center"/>
            </w:pPr>
            <w:r w:rsidRPr="00037AD4">
              <w:t>0.080</w:t>
            </w:r>
          </w:p>
        </w:tc>
        <w:tc>
          <w:tcPr>
            <w:tcW w:w="679" w:type="pct"/>
            <w:tcBorders>
              <w:top w:val="nil"/>
              <w:left w:val="nil"/>
              <w:bottom w:val="nil"/>
              <w:right w:val="nil"/>
            </w:tcBorders>
          </w:tcPr>
          <w:p w14:paraId="3939AD2C" w14:textId="77777777" w:rsidR="00B54D51" w:rsidRPr="00037AD4" w:rsidRDefault="00B54D51" w:rsidP="00401C67">
            <w:pPr>
              <w:widowControl w:val="0"/>
              <w:autoSpaceDE w:val="0"/>
              <w:autoSpaceDN w:val="0"/>
              <w:adjustRightInd w:val="0"/>
              <w:jc w:val="center"/>
            </w:pPr>
            <w:r w:rsidRPr="00037AD4">
              <w:t>0.485**</w:t>
            </w:r>
          </w:p>
        </w:tc>
        <w:tc>
          <w:tcPr>
            <w:tcW w:w="679" w:type="pct"/>
            <w:tcBorders>
              <w:top w:val="nil"/>
              <w:left w:val="nil"/>
              <w:bottom w:val="nil"/>
              <w:right w:val="nil"/>
            </w:tcBorders>
          </w:tcPr>
          <w:p w14:paraId="74B55071"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6ADBE89F" w14:textId="77777777" w:rsidR="00B54D51" w:rsidRPr="00037AD4" w:rsidRDefault="00B54D51" w:rsidP="00401C67">
            <w:pPr>
              <w:widowControl w:val="0"/>
              <w:autoSpaceDE w:val="0"/>
              <w:autoSpaceDN w:val="0"/>
              <w:adjustRightInd w:val="0"/>
              <w:jc w:val="center"/>
            </w:pPr>
          </w:p>
        </w:tc>
        <w:tc>
          <w:tcPr>
            <w:tcW w:w="677" w:type="pct"/>
            <w:tcBorders>
              <w:top w:val="nil"/>
              <w:left w:val="nil"/>
              <w:bottom w:val="nil"/>
              <w:right w:val="nil"/>
            </w:tcBorders>
          </w:tcPr>
          <w:p w14:paraId="1178196B" w14:textId="77777777" w:rsidR="00B54D51" w:rsidRPr="00037AD4" w:rsidRDefault="00B54D51" w:rsidP="00401C67">
            <w:pPr>
              <w:widowControl w:val="0"/>
              <w:autoSpaceDE w:val="0"/>
              <w:autoSpaceDN w:val="0"/>
              <w:adjustRightInd w:val="0"/>
              <w:jc w:val="center"/>
            </w:pPr>
          </w:p>
        </w:tc>
      </w:tr>
      <w:tr w:rsidR="00B54D51" w:rsidRPr="00037AD4" w14:paraId="610B5473" w14:textId="77777777" w:rsidTr="00401C67">
        <w:trPr>
          <w:jc w:val="center"/>
        </w:trPr>
        <w:tc>
          <w:tcPr>
            <w:tcW w:w="1608" w:type="pct"/>
            <w:tcBorders>
              <w:top w:val="nil"/>
              <w:left w:val="nil"/>
              <w:bottom w:val="nil"/>
              <w:right w:val="nil"/>
            </w:tcBorders>
          </w:tcPr>
          <w:p w14:paraId="44B9AC65" w14:textId="77777777" w:rsidR="00B54D51" w:rsidRPr="00037AD4" w:rsidRDefault="00B54D51" w:rsidP="00401C67">
            <w:pPr>
              <w:widowControl w:val="0"/>
              <w:autoSpaceDE w:val="0"/>
              <w:autoSpaceDN w:val="0"/>
              <w:adjustRightInd w:val="0"/>
            </w:pPr>
          </w:p>
        </w:tc>
        <w:tc>
          <w:tcPr>
            <w:tcW w:w="679" w:type="pct"/>
            <w:tcBorders>
              <w:top w:val="nil"/>
              <w:left w:val="nil"/>
              <w:bottom w:val="nil"/>
              <w:right w:val="nil"/>
            </w:tcBorders>
          </w:tcPr>
          <w:p w14:paraId="2217826C" w14:textId="77777777" w:rsidR="00B54D51" w:rsidRPr="00037AD4" w:rsidRDefault="00B54D51" w:rsidP="00401C67">
            <w:pPr>
              <w:widowControl w:val="0"/>
              <w:autoSpaceDE w:val="0"/>
              <w:autoSpaceDN w:val="0"/>
              <w:adjustRightInd w:val="0"/>
              <w:jc w:val="center"/>
            </w:pPr>
            <w:r w:rsidRPr="00037AD4">
              <w:t>(-0.584 - 0.744)</w:t>
            </w:r>
          </w:p>
        </w:tc>
        <w:tc>
          <w:tcPr>
            <w:tcW w:w="679" w:type="pct"/>
            <w:tcBorders>
              <w:top w:val="nil"/>
              <w:left w:val="nil"/>
              <w:bottom w:val="nil"/>
              <w:right w:val="nil"/>
            </w:tcBorders>
          </w:tcPr>
          <w:p w14:paraId="7AF33A01" w14:textId="77777777" w:rsidR="00B54D51" w:rsidRPr="00037AD4" w:rsidRDefault="00B54D51" w:rsidP="00401C67">
            <w:pPr>
              <w:widowControl w:val="0"/>
              <w:autoSpaceDE w:val="0"/>
              <w:autoSpaceDN w:val="0"/>
              <w:adjustRightInd w:val="0"/>
              <w:jc w:val="center"/>
            </w:pPr>
            <w:r w:rsidRPr="00037AD4">
              <w:t>(0.052 - 0.917)</w:t>
            </w:r>
          </w:p>
        </w:tc>
        <w:tc>
          <w:tcPr>
            <w:tcW w:w="679" w:type="pct"/>
            <w:tcBorders>
              <w:top w:val="nil"/>
              <w:left w:val="nil"/>
              <w:bottom w:val="nil"/>
              <w:right w:val="nil"/>
            </w:tcBorders>
          </w:tcPr>
          <w:p w14:paraId="60053139"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423E3119" w14:textId="77777777" w:rsidR="00B54D51" w:rsidRPr="00037AD4" w:rsidRDefault="00B54D51" w:rsidP="00401C67">
            <w:pPr>
              <w:widowControl w:val="0"/>
              <w:autoSpaceDE w:val="0"/>
              <w:autoSpaceDN w:val="0"/>
              <w:adjustRightInd w:val="0"/>
              <w:jc w:val="center"/>
            </w:pPr>
          </w:p>
        </w:tc>
        <w:tc>
          <w:tcPr>
            <w:tcW w:w="677" w:type="pct"/>
            <w:tcBorders>
              <w:top w:val="nil"/>
              <w:left w:val="nil"/>
              <w:bottom w:val="nil"/>
              <w:right w:val="nil"/>
            </w:tcBorders>
          </w:tcPr>
          <w:p w14:paraId="66EE5A4E" w14:textId="77777777" w:rsidR="00B54D51" w:rsidRPr="00037AD4" w:rsidRDefault="00B54D51" w:rsidP="00401C67">
            <w:pPr>
              <w:widowControl w:val="0"/>
              <w:autoSpaceDE w:val="0"/>
              <w:autoSpaceDN w:val="0"/>
              <w:adjustRightInd w:val="0"/>
              <w:jc w:val="center"/>
            </w:pPr>
          </w:p>
        </w:tc>
      </w:tr>
      <w:tr w:rsidR="00B54D51" w:rsidRPr="00037AD4" w14:paraId="12C4DB30" w14:textId="77777777" w:rsidTr="00401C67">
        <w:trPr>
          <w:jc w:val="center"/>
        </w:trPr>
        <w:tc>
          <w:tcPr>
            <w:tcW w:w="1608" w:type="pct"/>
            <w:tcBorders>
              <w:top w:val="nil"/>
              <w:left w:val="nil"/>
              <w:bottom w:val="nil"/>
              <w:right w:val="nil"/>
            </w:tcBorders>
          </w:tcPr>
          <w:p w14:paraId="0AB3B21F" w14:textId="77777777" w:rsidR="00B54D51" w:rsidRPr="00037AD4" w:rsidRDefault="00B54D51" w:rsidP="00401C67">
            <w:pPr>
              <w:widowControl w:val="0"/>
              <w:autoSpaceDE w:val="0"/>
              <w:autoSpaceDN w:val="0"/>
              <w:adjustRightInd w:val="0"/>
            </w:pPr>
            <w:r w:rsidRPr="00037AD4">
              <w:t>/cut1</w:t>
            </w:r>
          </w:p>
        </w:tc>
        <w:tc>
          <w:tcPr>
            <w:tcW w:w="679" w:type="pct"/>
            <w:tcBorders>
              <w:top w:val="nil"/>
              <w:left w:val="nil"/>
              <w:bottom w:val="nil"/>
              <w:right w:val="nil"/>
            </w:tcBorders>
          </w:tcPr>
          <w:p w14:paraId="2AC509C8" w14:textId="77777777" w:rsidR="00B54D51" w:rsidRPr="00037AD4" w:rsidRDefault="00B54D51" w:rsidP="00401C67">
            <w:pPr>
              <w:widowControl w:val="0"/>
              <w:autoSpaceDE w:val="0"/>
              <w:autoSpaceDN w:val="0"/>
              <w:adjustRightInd w:val="0"/>
              <w:jc w:val="center"/>
            </w:pPr>
            <w:r w:rsidRPr="00037AD4">
              <w:t>2.525***</w:t>
            </w:r>
          </w:p>
        </w:tc>
        <w:tc>
          <w:tcPr>
            <w:tcW w:w="679" w:type="pct"/>
            <w:tcBorders>
              <w:top w:val="nil"/>
              <w:left w:val="nil"/>
              <w:bottom w:val="nil"/>
              <w:right w:val="nil"/>
            </w:tcBorders>
          </w:tcPr>
          <w:p w14:paraId="6415122C" w14:textId="77777777" w:rsidR="00B54D51" w:rsidRPr="00037AD4" w:rsidRDefault="00B54D51" w:rsidP="00401C67">
            <w:pPr>
              <w:widowControl w:val="0"/>
              <w:autoSpaceDE w:val="0"/>
              <w:autoSpaceDN w:val="0"/>
              <w:adjustRightInd w:val="0"/>
              <w:jc w:val="center"/>
            </w:pPr>
            <w:r w:rsidRPr="00037AD4">
              <w:t>2.454***</w:t>
            </w:r>
          </w:p>
        </w:tc>
        <w:tc>
          <w:tcPr>
            <w:tcW w:w="679" w:type="pct"/>
            <w:tcBorders>
              <w:top w:val="nil"/>
              <w:left w:val="nil"/>
              <w:bottom w:val="nil"/>
              <w:right w:val="nil"/>
            </w:tcBorders>
          </w:tcPr>
          <w:p w14:paraId="17671DFE" w14:textId="77777777" w:rsidR="00B54D51" w:rsidRPr="00037AD4" w:rsidRDefault="00B54D51" w:rsidP="00401C67">
            <w:pPr>
              <w:widowControl w:val="0"/>
              <w:autoSpaceDE w:val="0"/>
              <w:autoSpaceDN w:val="0"/>
              <w:adjustRightInd w:val="0"/>
              <w:jc w:val="center"/>
            </w:pPr>
            <w:r w:rsidRPr="00037AD4">
              <w:t>2.422***</w:t>
            </w:r>
          </w:p>
        </w:tc>
        <w:tc>
          <w:tcPr>
            <w:tcW w:w="679" w:type="pct"/>
            <w:tcBorders>
              <w:top w:val="nil"/>
              <w:left w:val="nil"/>
              <w:bottom w:val="nil"/>
              <w:right w:val="nil"/>
            </w:tcBorders>
          </w:tcPr>
          <w:p w14:paraId="69F66459" w14:textId="77777777" w:rsidR="00B54D51" w:rsidRPr="00037AD4" w:rsidRDefault="00B54D51" w:rsidP="00401C67">
            <w:pPr>
              <w:widowControl w:val="0"/>
              <w:autoSpaceDE w:val="0"/>
              <w:autoSpaceDN w:val="0"/>
              <w:adjustRightInd w:val="0"/>
              <w:jc w:val="center"/>
            </w:pPr>
            <w:r w:rsidRPr="00037AD4">
              <w:t>1.939***</w:t>
            </w:r>
          </w:p>
        </w:tc>
        <w:tc>
          <w:tcPr>
            <w:tcW w:w="677" w:type="pct"/>
            <w:tcBorders>
              <w:top w:val="nil"/>
              <w:left w:val="nil"/>
              <w:bottom w:val="nil"/>
              <w:right w:val="nil"/>
            </w:tcBorders>
          </w:tcPr>
          <w:p w14:paraId="2C74AAB0" w14:textId="77777777" w:rsidR="00B54D51" w:rsidRPr="00037AD4" w:rsidRDefault="00B54D51" w:rsidP="00401C67">
            <w:pPr>
              <w:widowControl w:val="0"/>
              <w:autoSpaceDE w:val="0"/>
              <w:autoSpaceDN w:val="0"/>
              <w:adjustRightInd w:val="0"/>
              <w:jc w:val="center"/>
            </w:pPr>
            <w:r w:rsidRPr="00037AD4">
              <w:t>2.419***</w:t>
            </w:r>
          </w:p>
        </w:tc>
      </w:tr>
      <w:tr w:rsidR="00B54D51" w:rsidRPr="00037AD4" w14:paraId="64AB480D" w14:textId="77777777" w:rsidTr="00401C67">
        <w:trPr>
          <w:jc w:val="center"/>
        </w:trPr>
        <w:tc>
          <w:tcPr>
            <w:tcW w:w="1608" w:type="pct"/>
            <w:tcBorders>
              <w:top w:val="nil"/>
              <w:left w:val="nil"/>
              <w:bottom w:val="nil"/>
              <w:right w:val="nil"/>
            </w:tcBorders>
          </w:tcPr>
          <w:p w14:paraId="25196B39" w14:textId="77777777" w:rsidR="00B54D51" w:rsidRPr="00037AD4" w:rsidRDefault="00B54D51" w:rsidP="00401C67">
            <w:pPr>
              <w:widowControl w:val="0"/>
              <w:autoSpaceDE w:val="0"/>
              <w:autoSpaceDN w:val="0"/>
              <w:adjustRightInd w:val="0"/>
            </w:pPr>
          </w:p>
        </w:tc>
        <w:tc>
          <w:tcPr>
            <w:tcW w:w="679" w:type="pct"/>
            <w:tcBorders>
              <w:top w:val="nil"/>
              <w:left w:val="nil"/>
              <w:bottom w:val="nil"/>
              <w:right w:val="nil"/>
            </w:tcBorders>
          </w:tcPr>
          <w:p w14:paraId="5B3338AE" w14:textId="77777777" w:rsidR="00B54D51" w:rsidRPr="00037AD4" w:rsidRDefault="00B54D51" w:rsidP="00401C67">
            <w:pPr>
              <w:widowControl w:val="0"/>
              <w:autoSpaceDE w:val="0"/>
              <w:autoSpaceDN w:val="0"/>
              <w:adjustRightInd w:val="0"/>
              <w:jc w:val="center"/>
            </w:pPr>
            <w:r w:rsidRPr="00037AD4">
              <w:t>(1.070 - 3.979)</w:t>
            </w:r>
          </w:p>
        </w:tc>
        <w:tc>
          <w:tcPr>
            <w:tcW w:w="679" w:type="pct"/>
            <w:tcBorders>
              <w:top w:val="nil"/>
              <w:left w:val="nil"/>
              <w:bottom w:val="nil"/>
              <w:right w:val="nil"/>
            </w:tcBorders>
          </w:tcPr>
          <w:p w14:paraId="57125648" w14:textId="77777777" w:rsidR="00B54D51" w:rsidRPr="00037AD4" w:rsidRDefault="00B54D51" w:rsidP="00401C67">
            <w:pPr>
              <w:widowControl w:val="0"/>
              <w:autoSpaceDE w:val="0"/>
              <w:autoSpaceDN w:val="0"/>
              <w:adjustRightInd w:val="0"/>
              <w:jc w:val="center"/>
            </w:pPr>
            <w:r w:rsidRPr="00037AD4">
              <w:t>(1.180 - 3.728)</w:t>
            </w:r>
          </w:p>
        </w:tc>
        <w:tc>
          <w:tcPr>
            <w:tcW w:w="679" w:type="pct"/>
            <w:tcBorders>
              <w:top w:val="nil"/>
              <w:left w:val="nil"/>
              <w:bottom w:val="nil"/>
              <w:right w:val="nil"/>
            </w:tcBorders>
          </w:tcPr>
          <w:p w14:paraId="7584F7A6" w14:textId="77777777" w:rsidR="00B54D51" w:rsidRPr="00037AD4" w:rsidRDefault="00B54D51" w:rsidP="00401C67">
            <w:pPr>
              <w:widowControl w:val="0"/>
              <w:autoSpaceDE w:val="0"/>
              <w:autoSpaceDN w:val="0"/>
              <w:adjustRightInd w:val="0"/>
              <w:jc w:val="center"/>
            </w:pPr>
            <w:r w:rsidRPr="00037AD4">
              <w:t>(1.216 - 3.629)</w:t>
            </w:r>
          </w:p>
        </w:tc>
        <w:tc>
          <w:tcPr>
            <w:tcW w:w="679" w:type="pct"/>
            <w:tcBorders>
              <w:top w:val="nil"/>
              <w:left w:val="nil"/>
              <w:bottom w:val="nil"/>
              <w:right w:val="nil"/>
            </w:tcBorders>
          </w:tcPr>
          <w:p w14:paraId="091D7FF0" w14:textId="77777777" w:rsidR="00B54D51" w:rsidRPr="00037AD4" w:rsidRDefault="00B54D51" w:rsidP="00401C67">
            <w:pPr>
              <w:widowControl w:val="0"/>
              <w:autoSpaceDE w:val="0"/>
              <w:autoSpaceDN w:val="0"/>
              <w:adjustRightInd w:val="0"/>
              <w:jc w:val="center"/>
            </w:pPr>
            <w:r w:rsidRPr="00037AD4">
              <w:t>(0.902 - 2.975)</w:t>
            </w:r>
          </w:p>
        </w:tc>
        <w:tc>
          <w:tcPr>
            <w:tcW w:w="677" w:type="pct"/>
            <w:tcBorders>
              <w:top w:val="nil"/>
              <w:left w:val="nil"/>
              <w:bottom w:val="nil"/>
              <w:right w:val="nil"/>
            </w:tcBorders>
          </w:tcPr>
          <w:p w14:paraId="4BC1CB91" w14:textId="77777777" w:rsidR="00B54D51" w:rsidRPr="00037AD4" w:rsidRDefault="00B54D51" w:rsidP="00401C67">
            <w:pPr>
              <w:widowControl w:val="0"/>
              <w:autoSpaceDE w:val="0"/>
              <w:autoSpaceDN w:val="0"/>
              <w:adjustRightInd w:val="0"/>
              <w:jc w:val="center"/>
            </w:pPr>
            <w:r w:rsidRPr="00037AD4">
              <w:t>(1.215 - 3.623)</w:t>
            </w:r>
          </w:p>
        </w:tc>
      </w:tr>
      <w:tr w:rsidR="00B54D51" w:rsidRPr="00037AD4" w14:paraId="04656A01" w14:textId="77777777" w:rsidTr="00401C67">
        <w:trPr>
          <w:jc w:val="center"/>
        </w:trPr>
        <w:tc>
          <w:tcPr>
            <w:tcW w:w="1608" w:type="pct"/>
            <w:tcBorders>
              <w:top w:val="nil"/>
              <w:left w:val="nil"/>
              <w:bottom w:val="nil"/>
              <w:right w:val="nil"/>
            </w:tcBorders>
          </w:tcPr>
          <w:p w14:paraId="19F7F46A" w14:textId="77777777" w:rsidR="00B54D51" w:rsidRPr="00037AD4" w:rsidRDefault="00B54D51" w:rsidP="00401C67">
            <w:pPr>
              <w:widowControl w:val="0"/>
              <w:autoSpaceDE w:val="0"/>
              <w:autoSpaceDN w:val="0"/>
              <w:adjustRightInd w:val="0"/>
            </w:pPr>
            <w:r w:rsidRPr="00037AD4">
              <w:t>/cut2</w:t>
            </w:r>
          </w:p>
        </w:tc>
        <w:tc>
          <w:tcPr>
            <w:tcW w:w="679" w:type="pct"/>
            <w:tcBorders>
              <w:top w:val="nil"/>
              <w:left w:val="nil"/>
              <w:bottom w:val="nil"/>
              <w:right w:val="nil"/>
            </w:tcBorders>
          </w:tcPr>
          <w:p w14:paraId="58684A3E" w14:textId="77777777" w:rsidR="00B54D51" w:rsidRPr="00037AD4" w:rsidRDefault="00B54D51" w:rsidP="00401C67">
            <w:pPr>
              <w:widowControl w:val="0"/>
              <w:autoSpaceDE w:val="0"/>
              <w:autoSpaceDN w:val="0"/>
              <w:adjustRightInd w:val="0"/>
              <w:jc w:val="center"/>
            </w:pPr>
            <w:r w:rsidRPr="00037AD4">
              <w:t>3.404***</w:t>
            </w:r>
          </w:p>
        </w:tc>
        <w:tc>
          <w:tcPr>
            <w:tcW w:w="679" w:type="pct"/>
            <w:tcBorders>
              <w:top w:val="nil"/>
              <w:left w:val="nil"/>
              <w:bottom w:val="nil"/>
              <w:right w:val="nil"/>
            </w:tcBorders>
          </w:tcPr>
          <w:p w14:paraId="33F50E28" w14:textId="77777777" w:rsidR="00B54D51" w:rsidRPr="00037AD4" w:rsidRDefault="00B54D51" w:rsidP="00401C67">
            <w:pPr>
              <w:widowControl w:val="0"/>
              <w:autoSpaceDE w:val="0"/>
              <w:autoSpaceDN w:val="0"/>
              <w:adjustRightInd w:val="0"/>
              <w:jc w:val="center"/>
            </w:pPr>
            <w:r w:rsidRPr="00037AD4">
              <w:t>3.291***</w:t>
            </w:r>
          </w:p>
        </w:tc>
        <w:tc>
          <w:tcPr>
            <w:tcW w:w="679" w:type="pct"/>
            <w:tcBorders>
              <w:top w:val="nil"/>
              <w:left w:val="nil"/>
              <w:bottom w:val="nil"/>
              <w:right w:val="nil"/>
            </w:tcBorders>
          </w:tcPr>
          <w:p w14:paraId="5B2CE201" w14:textId="77777777" w:rsidR="00B54D51" w:rsidRPr="00037AD4" w:rsidRDefault="00B54D51" w:rsidP="00401C67">
            <w:pPr>
              <w:widowControl w:val="0"/>
              <w:autoSpaceDE w:val="0"/>
              <w:autoSpaceDN w:val="0"/>
              <w:adjustRightInd w:val="0"/>
              <w:jc w:val="center"/>
            </w:pPr>
            <w:r w:rsidRPr="00037AD4">
              <w:t>3.254***</w:t>
            </w:r>
          </w:p>
        </w:tc>
        <w:tc>
          <w:tcPr>
            <w:tcW w:w="679" w:type="pct"/>
            <w:tcBorders>
              <w:top w:val="nil"/>
              <w:left w:val="nil"/>
              <w:bottom w:val="nil"/>
              <w:right w:val="nil"/>
            </w:tcBorders>
          </w:tcPr>
          <w:p w14:paraId="63E73985" w14:textId="77777777" w:rsidR="00B54D51" w:rsidRPr="00037AD4" w:rsidRDefault="00B54D51" w:rsidP="00401C67">
            <w:pPr>
              <w:widowControl w:val="0"/>
              <w:autoSpaceDE w:val="0"/>
              <w:autoSpaceDN w:val="0"/>
              <w:adjustRightInd w:val="0"/>
              <w:jc w:val="center"/>
            </w:pPr>
            <w:r w:rsidRPr="00037AD4">
              <w:t>2.758***</w:t>
            </w:r>
          </w:p>
        </w:tc>
        <w:tc>
          <w:tcPr>
            <w:tcW w:w="677" w:type="pct"/>
            <w:tcBorders>
              <w:top w:val="nil"/>
              <w:left w:val="nil"/>
              <w:bottom w:val="nil"/>
              <w:right w:val="nil"/>
            </w:tcBorders>
          </w:tcPr>
          <w:p w14:paraId="38969881" w14:textId="77777777" w:rsidR="00B54D51" w:rsidRPr="00037AD4" w:rsidRDefault="00B54D51" w:rsidP="00401C67">
            <w:pPr>
              <w:widowControl w:val="0"/>
              <w:autoSpaceDE w:val="0"/>
              <w:autoSpaceDN w:val="0"/>
              <w:adjustRightInd w:val="0"/>
              <w:jc w:val="center"/>
            </w:pPr>
            <w:r w:rsidRPr="00037AD4">
              <w:t>3.250***</w:t>
            </w:r>
          </w:p>
        </w:tc>
      </w:tr>
      <w:tr w:rsidR="00B54D51" w:rsidRPr="00037AD4" w14:paraId="15A4DECA" w14:textId="77777777" w:rsidTr="00401C67">
        <w:trPr>
          <w:jc w:val="center"/>
        </w:trPr>
        <w:tc>
          <w:tcPr>
            <w:tcW w:w="1608" w:type="pct"/>
            <w:tcBorders>
              <w:top w:val="nil"/>
              <w:left w:val="nil"/>
              <w:bottom w:val="nil"/>
              <w:right w:val="nil"/>
            </w:tcBorders>
          </w:tcPr>
          <w:p w14:paraId="41A0535F" w14:textId="77777777" w:rsidR="00B54D51" w:rsidRPr="00037AD4" w:rsidRDefault="00B54D51" w:rsidP="00401C67">
            <w:pPr>
              <w:widowControl w:val="0"/>
              <w:autoSpaceDE w:val="0"/>
              <w:autoSpaceDN w:val="0"/>
              <w:adjustRightInd w:val="0"/>
            </w:pPr>
          </w:p>
        </w:tc>
        <w:tc>
          <w:tcPr>
            <w:tcW w:w="679" w:type="pct"/>
            <w:tcBorders>
              <w:top w:val="nil"/>
              <w:left w:val="nil"/>
              <w:bottom w:val="nil"/>
              <w:right w:val="nil"/>
            </w:tcBorders>
          </w:tcPr>
          <w:p w14:paraId="3EAB4764" w14:textId="77777777" w:rsidR="00B54D51" w:rsidRPr="00037AD4" w:rsidRDefault="00B54D51" w:rsidP="00401C67">
            <w:pPr>
              <w:widowControl w:val="0"/>
              <w:autoSpaceDE w:val="0"/>
              <w:autoSpaceDN w:val="0"/>
              <w:adjustRightInd w:val="0"/>
              <w:jc w:val="center"/>
            </w:pPr>
            <w:r w:rsidRPr="00037AD4">
              <w:t>(1.935 - 4.873)</w:t>
            </w:r>
          </w:p>
        </w:tc>
        <w:tc>
          <w:tcPr>
            <w:tcW w:w="679" w:type="pct"/>
            <w:tcBorders>
              <w:top w:val="nil"/>
              <w:left w:val="nil"/>
              <w:bottom w:val="nil"/>
              <w:right w:val="nil"/>
            </w:tcBorders>
          </w:tcPr>
          <w:p w14:paraId="4BDEA609" w14:textId="77777777" w:rsidR="00B54D51" w:rsidRPr="00037AD4" w:rsidRDefault="00B54D51" w:rsidP="00401C67">
            <w:pPr>
              <w:widowControl w:val="0"/>
              <w:autoSpaceDE w:val="0"/>
              <w:autoSpaceDN w:val="0"/>
              <w:adjustRightInd w:val="0"/>
              <w:jc w:val="center"/>
            </w:pPr>
            <w:r w:rsidRPr="00037AD4">
              <w:t>(1.999 - 4.583)</w:t>
            </w:r>
          </w:p>
        </w:tc>
        <w:tc>
          <w:tcPr>
            <w:tcW w:w="679" w:type="pct"/>
            <w:tcBorders>
              <w:top w:val="nil"/>
              <w:left w:val="nil"/>
              <w:bottom w:val="nil"/>
              <w:right w:val="nil"/>
            </w:tcBorders>
          </w:tcPr>
          <w:p w14:paraId="379497E3" w14:textId="77777777" w:rsidR="00B54D51" w:rsidRPr="00037AD4" w:rsidRDefault="00B54D51" w:rsidP="00401C67">
            <w:pPr>
              <w:widowControl w:val="0"/>
              <w:autoSpaceDE w:val="0"/>
              <w:autoSpaceDN w:val="0"/>
              <w:adjustRightInd w:val="0"/>
              <w:jc w:val="center"/>
            </w:pPr>
            <w:r w:rsidRPr="00037AD4">
              <w:t>(2.028 - 4.479)</w:t>
            </w:r>
          </w:p>
        </w:tc>
        <w:tc>
          <w:tcPr>
            <w:tcW w:w="679" w:type="pct"/>
            <w:tcBorders>
              <w:top w:val="nil"/>
              <w:left w:val="nil"/>
              <w:bottom w:val="nil"/>
              <w:right w:val="nil"/>
            </w:tcBorders>
          </w:tcPr>
          <w:p w14:paraId="5A93B987" w14:textId="77777777" w:rsidR="00B54D51" w:rsidRPr="00037AD4" w:rsidRDefault="00B54D51" w:rsidP="00401C67">
            <w:pPr>
              <w:widowControl w:val="0"/>
              <w:autoSpaceDE w:val="0"/>
              <w:autoSpaceDN w:val="0"/>
              <w:adjustRightInd w:val="0"/>
              <w:jc w:val="center"/>
            </w:pPr>
            <w:r w:rsidRPr="00037AD4">
              <w:t>(1.716 - 3.799)</w:t>
            </w:r>
          </w:p>
        </w:tc>
        <w:tc>
          <w:tcPr>
            <w:tcW w:w="677" w:type="pct"/>
            <w:tcBorders>
              <w:top w:val="nil"/>
              <w:left w:val="nil"/>
              <w:bottom w:val="nil"/>
              <w:right w:val="nil"/>
            </w:tcBorders>
          </w:tcPr>
          <w:p w14:paraId="7041569E" w14:textId="77777777" w:rsidR="00B54D51" w:rsidRPr="00037AD4" w:rsidRDefault="00B54D51" w:rsidP="00401C67">
            <w:pPr>
              <w:widowControl w:val="0"/>
              <w:autoSpaceDE w:val="0"/>
              <w:autoSpaceDN w:val="0"/>
              <w:adjustRightInd w:val="0"/>
              <w:jc w:val="center"/>
            </w:pPr>
            <w:r w:rsidRPr="00037AD4">
              <w:t>(2.028 - 4.472)</w:t>
            </w:r>
          </w:p>
        </w:tc>
      </w:tr>
      <w:tr w:rsidR="00B54D51" w:rsidRPr="00037AD4" w14:paraId="65F533ED" w14:textId="77777777" w:rsidTr="00401C67">
        <w:trPr>
          <w:jc w:val="center"/>
        </w:trPr>
        <w:tc>
          <w:tcPr>
            <w:tcW w:w="1608" w:type="pct"/>
            <w:tcBorders>
              <w:top w:val="nil"/>
              <w:left w:val="nil"/>
              <w:bottom w:val="nil"/>
              <w:right w:val="nil"/>
            </w:tcBorders>
          </w:tcPr>
          <w:p w14:paraId="7103BABB" w14:textId="77777777" w:rsidR="00B54D51" w:rsidRPr="00037AD4" w:rsidRDefault="00B54D51" w:rsidP="00401C67">
            <w:pPr>
              <w:widowControl w:val="0"/>
              <w:autoSpaceDE w:val="0"/>
              <w:autoSpaceDN w:val="0"/>
              <w:adjustRightInd w:val="0"/>
            </w:pPr>
            <w:r w:rsidRPr="00037AD4">
              <w:t>/cut3</w:t>
            </w:r>
          </w:p>
        </w:tc>
        <w:tc>
          <w:tcPr>
            <w:tcW w:w="679" w:type="pct"/>
            <w:tcBorders>
              <w:top w:val="nil"/>
              <w:left w:val="nil"/>
              <w:bottom w:val="nil"/>
              <w:right w:val="nil"/>
            </w:tcBorders>
          </w:tcPr>
          <w:p w14:paraId="371F7F7C" w14:textId="77777777" w:rsidR="00B54D51" w:rsidRPr="00037AD4" w:rsidRDefault="00B54D51" w:rsidP="00401C67">
            <w:pPr>
              <w:widowControl w:val="0"/>
              <w:autoSpaceDE w:val="0"/>
              <w:autoSpaceDN w:val="0"/>
              <w:adjustRightInd w:val="0"/>
              <w:jc w:val="center"/>
            </w:pPr>
            <w:r w:rsidRPr="00037AD4">
              <w:t>4.610***</w:t>
            </w:r>
          </w:p>
        </w:tc>
        <w:tc>
          <w:tcPr>
            <w:tcW w:w="679" w:type="pct"/>
            <w:tcBorders>
              <w:top w:val="nil"/>
              <w:left w:val="nil"/>
              <w:bottom w:val="nil"/>
              <w:right w:val="nil"/>
            </w:tcBorders>
          </w:tcPr>
          <w:p w14:paraId="4E6A9316" w14:textId="77777777" w:rsidR="00B54D51" w:rsidRPr="00037AD4" w:rsidRDefault="00B54D51" w:rsidP="00401C67">
            <w:pPr>
              <w:widowControl w:val="0"/>
              <w:autoSpaceDE w:val="0"/>
              <w:autoSpaceDN w:val="0"/>
              <w:adjustRightInd w:val="0"/>
              <w:jc w:val="center"/>
            </w:pPr>
            <w:r w:rsidRPr="00037AD4">
              <w:t>4.440***</w:t>
            </w:r>
          </w:p>
        </w:tc>
        <w:tc>
          <w:tcPr>
            <w:tcW w:w="679" w:type="pct"/>
            <w:tcBorders>
              <w:top w:val="nil"/>
              <w:left w:val="nil"/>
              <w:bottom w:val="nil"/>
              <w:right w:val="nil"/>
            </w:tcBorders>
          </w:tcPr>
          <w:p w14:paraId="69998111" w14:textId="77777777" w:rsidR="00B54D51" w:rsidRPr="00037AD4" w:rsidRDefault="00B54D51" w:rsidP="00401C67">
            <w:pPr>
              <w:widowControl w:val="0"/>
              <w:autoSpaceDE w:val="0"/>
              <w:autoSpaceDN w:val="0"/>
              <w:adjustRightInd w:val="0"/>
              <w:jc w:val="center"/>
            </w:pPr>
            <w:r w:rsidRPr="00037AD4">
              <w:t>4.393***</w:t>
            </w:r>
          </w:p>
        </w:tc>
        <w:tc>
          <w:tcPr>
            <w:tcW w:w="679" w:type="pct"/>
            <w:tcBorders>
              <w:top w:val="nil"/>
              <w:left w:val="nil"/>
              <w:bottom w:val="nil"/>
              <w:right w:val="nil"/>
            </w:tcBorders>
          </w:tcPr>
          <w:p w14:paraId="40F94D5B" w14:textId="77777777" w:rsidR="00B54D51" w:rsidRPr="00037AD4" w:rsidRDefault="00B54D51" w:rsidP="00401C67">
            <w:pPr>
              <w:widowControl w:val="0"/>
              <w:autoSpaceDE w:val="0"/>
              <w:autoSpaceDN w:val="0"/>
              <w:adjustRightInd w:val="0"/>
              <w:jc w:val="center"/>
            </w:pPr>
            <w:r w:rsidRPr="00037AD4">
              <w:t>3.827***</w:t>
            </w:r>
          </w:p>
        </w:tc>
        <w:tc>
          <w:tcPr>
            <w:tcW w:w="677" w:type="pct"/>
            <w:tcBorders>
              <w:top w:val="nil"/>
              <w:left w:val="nil"/>
              <w:bottom w:val="nil"/>
              <w:right w:val="nil"/>
            </w:tcBorders>
          </w:tcPr>
          <w:p w14:paraId="37197047" w14:textId="77777777" w:rsidR="00B54D51" w:rsidRPr="00037AD4" w:rsidRDefault="00B54D51" w:rsidP="00401C67">
            <w:pPr>
              <w:widowControl w:val="0"/>
              <w:autoSpaceDE w:val="0"/>
              <w:autoSpaceDN w:val="0"/>
              <w:adjustRightInd w:val="0"/>
              <w:jc w:val="center"/>
            </w:pPr>
            <w:r w:rsidRPr="00037AD4">
              <w:t>4.389***</w:t>
            </w:r>
          </w:p>
        </w:tc>
      </w:tr>
      <w:tr w:rsidR="00B54D51" w:rsidRPr="00037AD4" w14:paraId="4446A73C" w14:textId="77777777" w:rsidTr="00401C67">
        <w:trPr>
          <w:jc w:val="center"/>
        </w:trPr>
        <w:tc>
          <w:tcPr>
            <w:tcW w:w="1608" w:type="pct"/>
            <w:tcBorders>
              <w:top w:val="nil"/>
              <w:left w:val="nil"/>
              <w:bottom w:val="nil"/>
              <w:right w:val="nil"/>
            </w:tcBorders>
          </w:tcPr>
          <w:p w14:paraId="0AD5E6AA" w14:textId="77777777" w:rsidR="00B54D51" w:rsidRPr="00037AD4" w:rsidRDefault="00B54D51" w:rsidP="00401C67">
            <w:pPr>
              <w:widowControl w:val="0"/>
              <w:autoSpaceDE w:val="0"/>
              <w:autoSpaceDN w:val="0"/>
              <w:adjustRightInd w:val="0"/>
            </w:pPr>
          </w:p>
        </w:tc>
        <w:tc>
          <w:tcPr>
            <w:tcW w:w="679" w:type="pct"/>
            <w:tcBorders>
              <w:top w:val="nil"/>
              <w:left w:val="nil"/>
              <w:bottom w:val="nil"/>
              <w:right w:val="nil"/>
            </w:tcBorders>
          </w:tcPr>
          <w:p w14:paraId="4AFEB9E2" w14:textId="77777777" w:rsidR="00B54D51" w:rsidRPr="00037AD4" w:rsidRDefault="00B54D51" w:rsidP="00401C67">
            <w:pPr>
              <w:widowControl w:val="0"/>
              <w:autoSpaceDE w:val="0"/>
              <w:autoSpaceDN w:val="0"/>
              <w:adjustRightInd w:val="0"/>
              <w:jc w:val="center"/>
            </w:pPr>
            <w:r w:rsidRPr="00037AD4">
              <w:t>(3.136 - 6.084)</w:t>
            </w:r>
          </w:p>
        </w:tc>
        <w:tc>
          <w:tcPr>
            <w:tcW w:w="679" w:type="pct"/>
            <w:tcBorders>
              <w:top w:val="nil"/>
              <w:left w:val="nil"/>
              <w:bottom w:val="nil"/>
              <w:right w:val="nil"/>
            </w:tcBorders>
          </w:tcPr>
          <w:p w14:paraId="292E00CC" w14:textId="77777777" w:rsidR="00B54D51" w:rsidRPr="00037AD4" w:rsidRDefault="00B54D51" w:rsidP="00401C67">
            <w:pPr>
              <w:widowControl w:val="0"/>
              <w:autoSpaceDE w:val="0"/>
              <w:autoSpaceDN w:val="0"/>
              <w:adjustRightInd w:val="0"/>
              <w:jc w:val="center"/>
            </w:pPr>
            <w:r w:rsidRPr="00037AD4">
              <w:t>(3.140 - 5.741)</w:t>
            </w:r>
          </w:p>
        </w:tc>
        <w:tc>
          <w:tcPr>
            <w:tcW w:w="679" w:type="pct"/>
            <w:tcBorders>
              <w:top w:val="nil"/>
              <w:left w:val="nil"/>
              <w:bottom w:val="nil"/>
              <w:right w:val="nil"/>
            </w:tcBorders>
          </w:tcPr>
          <w:p w14:paraId="64E168F3" w14:textId="77777777" w:rsidR="00B54D51" w:rsidRPr="00037AD4" w:rsidRDefault="00B54D51" w:rsidP="00401C67">
            <w:pPr>
              <w:widowControl w:val="0"/>
              <w:autoSpaceDE w:val="0"/>
              <w:autoSpaceDN w:val="0"/>
              <w:adjustRightInd w:val="0"/>
              <w:jc w:val="center"/>
            </w:pPr>
            <w:r w:rsidRPr="00037AD4">
              <w:t>(3.157 - 5.628)</w:t>
            </w:r>
          </w:p>
        </w:tc>
        <w:tc>
          <w:tcPr>
            <w:tcW w:w="679" w:type="pct"/>
            <w:tcBorders>
              <w:top w:val="nil"/>
              <w:left w:val="nil"/>
              <w:bottom w:val="nil"/>
              <w:right w:val="nil"/>
            </w:tcBorders>
          </w:tcPr>
          <w:p w14:paraId="36842020" w14:textId="77777777" w:rsidR="00B54D51" w:rsidRPr="00037AD4" w:rsidRDefault="00B54D51" w:rsidP="00401C67">
            <w:pPr>
              <w:widowControl w:val="0"/>
              <w:autoSpaceDE w:val="0"/>
              <w:autoSpaceDN w:val="0"/>
              <w:adjustRightInd w:val="0"/>
              <w:jc w:val="center"/>
            </w:pPr>
            <w:r w:rsidRPr="00037AD4">
              <w:t>(2.779 - 4.876)</w:t>
            </w:r>
          </w:p>
        </w:tc>
        <w:tc>
          <w:tcPr>
            <w:tcW w:w="677" w:type="pct"/>
            <w:tcBorders>
              <w:top w:val="nil"/>
              <w:left w:val="nil"/>
              <w:bottom w:val="nil"/>
              <w:right w:val="nil"/>
            </w:tcBorders>
          </w:tcPr>
          <w:p w14:paraId="05D12A0B" w14:textId="77777777" w:rsidR="00B54D51" w:rsidRPr="00037AD4" w:rsidRDefault="00B54D51" w:rsidP="00401C67">
            <w:pPr>
              <w:widowControl w:val="0"/>
              <w:autoSpaceDE w:val="0"/>
              <w:autoSpaceDN w:val="0"/>
              <w:adjustRightInd w:val="0"/>
              <w:jc w:val="center"/>
            </w:pPr>
            <w:r w:rsidRPr="00037AD4">
              <w:t>(3.156 - 5.621)</w:t>
            </w:r>
          </w:p>
        </w:tc>
      </w:tr>
      <w:tr w:rsidR="00B54D51" w:rsidRPr="00037AD4" w14:paraId="63D25242" w14:textId="77777777" w:rsidTr="00401C67">
        <w:trPr>
          <w:jc w:val="center"/>
        </w:trPr>
        <w:tc>
          <w:tcPr>
            <w:tcW w:w="1608" w:type="pct"/>
            <w:tcBorders>
              <w:top w:val="nil"/>
              <w:left w:val="nil"/>
              <w:bottom w:val="nil"/>
              <w:right w:val="nil"/>
            </w:tcBorders>
          </w:tcPr>
          <w:p w14:paraId="658A8E53" w14:textId="77777777" w:rsidR="00B54D51" w:rsidRPr="00037AD4" w:rsidRDefault="00B54D51" w:rsidP="00401C67">
            <w:pPr>
              <w:widowControl w:val="0"/>
              <w:autoSpaceDE w:val="0"/>
              <w:autoSpaceDN w:val="0"/>
              <w:adjustRightInd w:val="0"/>
            </w:pPr>
            <w:r w:rsidRPr="00037AD4">
              <w:t>/cut4</w:t>
            </w:r>
          </w:p>
        </w:tc>
        <w:tc>
          <w:tcPr>
            <w:tcW w:w="679" w:type="pct"/>
            <w:tcBorders>
              <w:top w:val="nil"/>
              <w:left w:val="nil"/>
              <w:bottom w:val="nil"/>
              <w:right w:val="nil"/>
            </w:tcBorders>
          </w:tcPr>
          <w:p w14:paraId="0F82E4B7" w14:textId="77777777" w:rsidR="00B54D51" w:rsidRPr="00037AD4" w:rsidRDefault="00B54D51" w:rsidP="00401C67">
            <w:pPr>
              <w:widowControl w:val="0"/>
              <w:autoSpaceDE w:val="0"/>
              <w:autoSpaceDN w:val="0"/>
              <w:adjustRightInd w:val="0"/>
              <w:jc w:val="center"/>
            </w:pPr>
            <w:r w:rsidRPr="00037AD4">
              <w:t>5.945***</w:t>
            </w:r>
          </w:p>
        </w:tc>
        <w:tc>
          <w:tcPr>
            <w:tcW w:w="679" w:type="pct"/>
            <w:tcBorders>
              <w:top w:val="nil"/>
              <w:left w:val="nil"/>
              <w:bottom w:val="nil"/>
              <w:right w:val="nil"/>
            </w:tcBorders>
          </w:tcPr>
          <w:p w14:paraId="2B8CFCCD" w14:textId="77777777" w:rsidR="00B54D51" w:rsidRPr="00037AD4" w:rsidRDefault="00B54D51" w:rsidP="00401C67">
            <w:pPr>
              <w:widowControl w:val="0"/>
              <w:autoSpaceDE w:val="0"/>
              <w:autoSpaceDN w:val="0"/>
              <w:adjustRightInd w:val="0"/>
              <w:jc w:val="center"/>
            </w:pPr>
            <w:r w:rsidRPr="00037AD4">
              <w:t>5.755***</w:t>
            </w:r>
          </w:p>
        </w:tc>
        <w:tc>
          <w:tcPr>
            <w:tcW w:w="679" w:type="pct"/>
            <w:tcBorders>
              <w:top w:val="nil"/>
              <w:left w:val="nil"/>
              <w:bottom w:val="nil"/>
              <w:right w:val="nil"/>
            </w:tcBorders>
          </w:tcPr>
          <w:p w14:paraId="5ACB006A" w14:textId="77777777" w:rsidR="00B54D51" w:rsidRPr="00037AD4" w:rsidRDefault="00B54D51" w:rsidP="00401C67">
            <w:pPr>
              <w:widowControl w:val="0"/>
              <w:autoSpaceDE w:val="0"/>
              <w:autoSpaceDN w:val="0"/>
              <w:adjustRightInd w:val="0"/>
              <w:jc w:val="center"/>
            </w:pPr>
            <w:r w:rsidRPr="00037AD4">
              <w:t>5.702***</w:t>
            </w:r>
          </w:p>
        </w:tc>
        <w:tc>
          <w:tcPr>
            <w:tcW w:w="679" w:type="pct"/>
            <w:tcBorders>
              <w:top w:val="nil"/>
              <w:left w:val="nil"/>
              <w:bottom w:val="nil"/>
              <w:right w:val="nil"/>
            </w:tcBorders>
          </w:tcPr>
          <w:p w14:paraId="38DBC856" w14:textId="77777777" w:rsidR="00B54D51" w:rsidRPr="00037AD4" w:rsidRDefault="00B54D51" w:rsidP="00401C67">
            <w:pPr>
              <w:widowControl w:val="0"/>
              <w:autoSpaceDE w:val="0"/>
              <w:autoSpaceDN w:val="0"/>
              <w:adjustRightInd w:val="0"/>
              <w:jc w:val="center"/>
            </w:pPr>
            <w:r w:rsidRPr="00037AD4">
              <w:t>5.242***</w:t>
            </w:r>
          </w:p>
        </w:tc>
        <w:tc>
          <w:tcPr>
            <w:tcW w:w="677" w:type="pct"/>
            <w:tcBorders>
              <w:top w:val="nil"/>
              <w:left w:val="nil"/>
              <w:bottom w:val="nil"/>
              <w:right w:val="nil"/>
            </w:tcBorders>
          </w:tcPr>
          <w:p w14:paraId="62A15F4F" w14:textId="77777777" w:rsidR="00B54D51" w:rsidRPr="00037AD4" w:rsidRDefault="00B54D51" w:rsidP="00401C67">
            <w:pPr>
              <w:widowControl w:val="0"/>
              <w:autoSpaceDE w:val="0"/>
              <w:autoSpaceDN w:val="0"/>
              <w:adjustRightInd w:val="0"/>
              <w:jc w:val="center"/>
            </w:pPr>
            <w:r w:rsidRPr="00037AD4">
              <w:t>5.701***</w:t>
            </w:r>
          </w:p>
        </w:tc>
      </w:tr>
      <w:tr w:rsidR="00B54D51" w:rsidRPr="00037AD4" w14:paraId="7E30F032" w14:textId="77777777" w:rsidTr="00401C67">
        <w:trPr>
          <w:jc w:val="center"/>
        </w:trPr>
        <w:tc>
          <w:tcPr>
            <w:tcW w:w="1608" w:type="pct"/>
            <w:tcBorders>
              <w:top w:val="nil"/>
              <w:left w:val="nil"/>
              <w:bottom w:val="nil"/>
              <w:right w:val="nil"/>
            </w:tcBorders>
          </w:tcPr>
          <w:p w14:paraId="16AA91C9" w14:textId="77777777" w:rsidR="00B54D51" w:rsidRPr="00037AD4" w:rsidRDefault="00B54D51" w:rsidP="00401C67">
            <w:pPr>
              <w:widowControl w:val="0"/>
              <w:autoSpaceDE w:val="0"/>
              <w:autoSpaceDN w:val="0"/>
              <w:adjustRightInd w:val="0"/>
            </w:pPr>
          </w:p>
        </w:tc>
        <w:tc>
          <w:tcPr>
            <w:tcW w:w="679" w:type="pct"/>
            <w:tcBorders>
              <w:top w:val="nil"/>
              <w:left w:val="nil"/>
              <w:bottom w:val="nil"/>
              <w:right w:val="nil"/>
            </w:tcBorders>
          </w:tcPr>
          <w:p w14:paraId="28A77D66" w14:textId="77777777" w:rsidR="00B54D51" w:rsidRPr="00037AD4" w:rsidRDefault="00B54D51" w:rsidP="00401C67">
            <w:pPr>
              <w:widowControl w:val="0"/>
              <w:autoSpaceDE w:val="0"/>
              <w:autoSpaceDN w:val="0"/>
              <w:adjustRightInd w:val="0"/>
              <w:jc w:val="center"/>
            </w:pPr>
            <w:r w:rsidRPr="00037AD4">
              <w:t>(4.401 - 7.488)</w:t>
            </w:r>
          </w:p>
        </w:tc>
        <w:tc>
          <w:tcPr>
            <w:tcW w:w="679" w:type="pct"/>
            <w:tcBorders>
              <w:top w:val="nil"/>
              <w:left w:val="nil"/>
              <w:bottom w:val="nil"/>
              <w:right w:val="nil"/>
            </w:tcBorders>
          </w:tcPr>
          <w:p w14:paraId="3C82806E" w14:textId="77777777" w:rsidR="00B54D51" w:rsidRPr="00037AD4" w:rsidRDefault="00B54D51" w:rsidP="00401C67">
            <w:pPr>
              <w:widowControl w:val="0"/>
              <w:autoSpaceDE w:val="0"/>
              <w:autoSpaceDN w:val="0"/>
              <w:adjustRightInd w:val="0"/>
              <w:jc w:val="center"/>
            </w:pPr>
            <w:r w:rsidRPr="00037AD4">
              <w:t>(4.408 - 7.101)</w:t>
            </w:r>
          </w:p>
        </w:tc>
        <w:tc>
          <w:tcPr>
            <w:tcW w:w="679" w:type="pct"/>
            <w:tcBorders>
              <w:top w:val="nil"/>
              <w:left w:val="nil"/>
              <w:bottom w:val="nil"/>
              <w:right w:val="nil"/>
            </w:tcBorders>
          </w:tcPr>
          <w:p w14:paraId="7585D5A6" w14:textId="77777777" w:rsidR="00B54D51" w:rsidRPr="00037AD4" w:rsidRDefault="00B54D51" w:rsidP="00401C67">
            <w:pPr>
              <w:widowControl w:val="0"/>
              <w:autoSpaceDE w:val="0"/>
              <w:autoSpaceDN w:val="0"/>
              <w:adjustRightInd w:val="0"/>
              <w:jc w:val="center"/>
            </w:pPr>
            <w:r w:rsidRPr="00037AD4">
              <w:t>(4.406 - 6.998)</w:t>
            </w:r>
          </w:p>
        </w:tc>
        <w:tc>
          <w:tcPr>
            <w:tcW w:w="679" w:type="pct"/>
            <w:tcBorders>
              <w:top w:val="nil"/>
              <w:left w:val="nil"/>
              <w:bottom w:val="nil"/>
              <w:right w:val="nil"/>
            </w:tcBorders>
          </w:tcPr>
          <w:p w14:paraId="2A622B68" w14:textId="77777777" w:rsidR="00B54D51" w:rsidRPr="00037AD4" w:rsidRDefault="00B54D51" w:rsidP="00401C67">
            <w:pPr>
              <w:widowControl w:val="0"/>
              <w:autoSpaceDE w:val="0"/>
              <w:autoSpaceDN w:val="0"/>
              <w:adjustRightInd w:val="0"/>
              <w:jc w:val="center"/>
            </w:pPr>
            <w:r w:rsidRPr="00037AD4">
              <w:t>(4.132 - 6.353)</w:t>
            </w:r>
          </w:p>
        </w:tc>
        <w:tc>
          <w:tcPr>
            <w:tcW w:w="677" w:type="pct"/>
            <w:tcBorders>
              <w:top w:val="nil"/>
              <w:left w:val="nil"/>
              <w:bottom w:val="nil"/>
              <w:right w:val="nil"/>
            </w:tcBorders>
          </w:tcPr>
          <w:p w14:paraId="1327F00D" w14:textId="77777777" w:rsidR="00B54D51" w:rsidRPr="00037AD4" w:rsidRDefault="00B54D51" w:rsidP="00401C67">
            <w:pPr>
              <w:widowControl w:val="0"/>
              <w:autoSpaceDE w:val="0"/>
              <w:autoSpaceDN w:val="0"/>
              <w:adjustRightInd w:val="0"/>
              <w:jc w:val="center"/>
            </w:pPr>
            <w:r w:rsidRPr="00037AD4">
              <w:t>(4.407 - 6.994)</w:t>
            </w:r>
          </w:p>
        </w:tc>
      </w:tr>
      <w:tr w:rsidR="00B54D51" w:rsidRPr="00037AD4" w14:paraId="113123D1" w14:textId="77777777" w:rsidTr="00401C67">
        <w:trPr>
          <w:jc w:val="center"/>
        </w:trPr>
        <w:tc>
          <w:tcPr>
            <w:tcW w:w="1608" w:type="pct"/>
            <w:tcBorders>
              <w:top w:val="nil"/>
              <w:left w:val="nil"/>
              <w:bottom w:val="nil"/>
              <w:right w:val="nil"/>
            </w:tcBorders>
          </w:tcPr>
          <w:p w14:paraId="367BA753" w14:textId="77777777" w:rsidR="00B54D51" w:rsidRPr="00037AD4" w:rsidRDefault="00B54D51" w:rsidP="00401C67">
            <w:pPr>
              <w:widowControl w:val="0"/>
              <w:autoSpaceDE w:val="0"/>
              <w:autoSpaceDN w:val="0"/>
              <w:adjustRightInd w:val="0"/>
            </w:pPr>
          </w:p>
        </w:tc>
        <w:tc>
          <w:tcPr>
            <w:tcW w:w="679" w:type="pct"/>
            <w:tcBorders>
              <w:top w:val="nil"/>
              <w:left w:val="nil"/>
              <w:bottom w:val="nil"/>
              <w:right w:val="nil"/>
            </w:tcBorders>
          </w:tcPr>
          <w:p w14:paraId="40CEEA0D"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5CF5D8D3"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5E8C0A44" w14:textId="77777777" w:rsidR="00B54D51" w:rsidRPr="00037AD4" w:rsidRDefault="00B54D51" w:rsidP="00401C67">
            <w:pPr>
              <w:widowControl w:val="0"/>
              <w:autoSpaceDE w:val="0"/>
              <w:autoSpaceDN w:val="0"/>
              <w:adjustRightInd w:val="0"/>
              <w:jc w:val="center"/>
            </w:pPr>
          </w:p>
        </w:tc>
        <w:tc>
          <w:tcPr>
            <w:tcW w:w="679" w:type="pct"/>
            <w:tcBorders>
              <w:top w:val="nil"/>
              <w:left w:val="nil"/>
              <w:bottom w:val="nil"/>
              <w:right w:val="nil"/>
            </w:tcBorders>
          </w:tcPr>
          <w:p w14:paraId="3D72B6F5" w14:textId="77777777" w:rsidR="00B54D51" w:rsidRPr="00037AD4" w:rsidRDefault="00B54D51" w:rsidP="00401C67">
            <w:pPr>
              <w:widowControl w:val="0"/>
              <w:autoSpaceDE w:val="0"/>
              <w:autoSpaceDN w:val="0"/>
              <w:adjustRightInd w:val="0"/>
              <w:jc w:val="center"/>
            </w:pPr>
          </w:p>
        </w:tc>
        <w:tc>
          <w:tcPr>
            <w:tcW w:w="677" w:type="pct"/>
            <w:tcBorders>
              <w:top w:val="nil"/>
              <w:left w:val="nil"/>
              <w:bottom w:val="nil"/>
              <w:right w:val="nil"/>
            </w:tcBorders>
          </w:tcPr>
          <w:p w14:paraId="74E1B030" w14:textId="77777777" w:rsidR="00B54D51" w:rsidRPr="00037AD4" w:rsidRDefault="00B54D51" w:rsidP="00401C67">
            <w:pPr>
              <w:widowControl w:val="0"/>
              <w:autoSpaceDE w:val="0"/>
              <w:autoSpaceDN w:val="0"/>
              <w:adjustRightInd w:val="0"/>
              <w:jc w:val="center"/>
            </w:pPr>
          </w:p>
        </w:tc>
      </w:tr>
      <w:tr w:rsidR="00B54D51" w:rsidRPr="00037AD4" w14:paraId="032022A2" w14:textId="77777777" w:rsidTr="00401C67">
        <w:tblPrEx>
          <w:tblBorders>
            <w:bottom w:val="single" w:sz="6" w:space="0" w:color="auto"/>
          </w:tblBorders>
        </w:tblPrEx>
        <w:trPr>
          <w:jc w:val="center"/>
        </w:trPr>
        <w:tc>
          <w:tcPr>
            <w:tcW w:w="1608" w:type="pct"/>
            <w:tcBorders>
              <w:top w:val="nil"/>
              <w:left w:val="nil"/>
              <w:bottom w:val="nil"/>
              <w:right w:val="nil"/>
            </w:tcBorders>
          </w:tcPr>
          <w:p w14:paraId="2537BE80" w14:textId="77777777" w:rsidR="00B54D51" w:rsidRPr="00037AD4" w:rsidRDefault="00B54D51" w:rsidP="00401C67">
            <w:pPr>
              <w:widowControl w:val="0"/>
              <w:autoSpaceDE w:val="0"/>
              <w:autoSpaceDN w:val="0"/>
              <w:adjustRightInd w:val="0"/>
            </w:pPr>
            <w:r w:rsidRPr="00037AD4">
              <w:t>Observations</w:t>
            </w:r>
          </w:p>
        </w:tc>
        <w:tc>
          <w:tcPr>
            <w:tcW w:w="679" w:type="pct"/>
            <w:tcBorders>
              <w:top w:val="nil"/>
              <w:left w:val="nil"/>
              <w:bottom w:val="nil"/>
              <w:right w:val="nil"/>
            </w:tcBorders>
          </w:tcPr>
          <w:p w14:paraId="66940977" w14:textId="77777777" w:rsidR="00B54D51" w:rsidRPr="00037AD4" w:rsidRDefault="00B54D51" w:rsidP="00401C67">
            <w:pPr>
              <w:widowControl w:val="0"/>
              <w:autoSpaceDE w:val="0"/>
              <w:autoSpaceDN w:val="0"/>
              <w:adjustRightInd w:val="0"/>
              <w:jc w:val="center"/>
            </w:pPr>
            <w:r w:rsidRPr="00037AD4">
              <w:t>961</w:t>
            </w:r>
          </w:p>
        </w:tc>
        <w:tc>
          <w:tcPr>
            <w:tcW w:w="679" w:type="pct"/>
            <w:tcBorders>
              <w:top w:val="nil"/>
              <w:left w:val="nil"/>
              <w:bottom w:val="nil"/>
              <w:right w:val="nil"/>
            </w:tcBorders>
          </w:tcPr>
          <w:p w14:paraId="583C19AF" w14:textId="77777777" w:rsidR="00B54D51" w:rsidRPr="00037AD4" w:rsidRDefault="00B54D51" w:rsidP="00401C67">
            <w:pPr>
              <w:widowControl w:val="0"/>
              <w:autoSpaceDE w:val="0"/>
              <w:autoSpaceDN w:val="0"/>
              <w:adjustRightInd w:val="0"/>
              <w:jc w:val="center"/>
            </w:pPr>
            <w:r w:rsidRPr="00037AD4">
              <w:t>1,019</w:t>
            </w:r>
          </w:p>
        </w:tc>
        <w:tc>
          <w:tcPr>
            <w:tcW w:w="679" w:type="pct"/>
            <w:tcBorders>
              <w:top w:val="nil"/>
              <w:left w:val="nil"/>
              <w:bottom w:val="nil"/>
              <w:right w:val="nil"/>
            </w:tcBorders>
          </w:tcPr>
          <w:p w14:paraId="14B2274B" w14:textId="77777777" w:rsidR="00B54D51" w:rsidRPr="00037AD4" w:rsidRDefault="00B54D51" w:rsidP="00401C67">
            <w:pPr>
              <w:widowControl w:val="0"/>
              <w:autoSpaceDE w:val="0"/>
              <w:autoSpaceDN w:val="0"/>
              <w:adjustRightInd w:val="0"/>
              <w:jc w:val="center"/>
            </w:pPr>
            <w:r w:rsidRPr="00037AD4">
              <w:t>1,019</w:t>
            </w:r>
          </w:p>
        </w:tc>
        <w:tc>
          <w:tcPr>
            <w:tcW w:w="679" w:type="pct"/>
            <w:tcBorders>
              <w:top w:val="nil"/>
              <w:left w:val="nil"/>
              <w:bottom w:val="nil"/>
              <w:right w:val="nil"/>
            </w:tcBorders>
          </w:tcPr>
          <w:p w14:paraId="119A1E1F" w14:textId="77777777" w:rsidR="00B54D51" w:rsidRPr="00037AD4" w:rsidRDefault="00B54D51" w:rsidP="00401C67">
            <w:pPr>
              <w:widowControl w:val="0"/>
              <w:autoSpaceDE w:val="0"/>
              <w:autoSpaceDN w:val="0"/>
              <w:adjustRightInd w:val="0"/>
              <w:jc w:val="center"/>
            </w:pPr>
            <w:r w:rsidRPr="00037AD4">
              <w:t>1,120</w:t>
            </w:r>
          </w:p>
        </w:tc>
        <w:tc>
          <w:tcPr>
            <w:tcW w:w="677" w:type="pct"/>
            <w:tcBorders>
              <w:top w:val="nil"/>
              <w:left w:val="nil"/>
              <w:bottom w:val="nil"/>
              <w:right w:val="nil"/>
            </w:tcBorders>
          </w:tcPr>
          <w:p w14:paraId="608255BD" w14:textId="77777777" w:rsidR="00B54D51" w:rsidRPr="00037AD4" w:rsidRDefault="00B54D51" w:rsidP="00401C67">
            <w:pPr>
              <w:widowControl w:val="0"/>
              <w:autoSpaceDE w:val="0"/>
              <w:autoSpaceDN w:val="0"/>
              <w:adjustRightInd w:val="0"/>
              <w:jc w:val="center"/>
            </w:pPr>
            <w:r w:rsidRPr="00037AD4">
              <w:t>1,019</w:t>
            </w:r>
          </w:p>
        </w:tc>
      </w:tr>
      <w:tr w:rsidR="00B54D51" w:rsidRPr="00037AD4" w14:paraId="1E6D9CD9" w14:textId="77777777" w:rsidTr="00401C67">
        <w:tblPrEx>
          <w:tblBorders>
            <w:bottom w:val="single" w:sz="6" w:space="0" w:color="auto"/>
          </w:tblBorders>
        </w:tblPrEx>
        <w:trPr>
          <w:jc w:val="center"/>
        </w:trPr>
        <w:tc>
          <w:tcPr>
            <w:tcW w:w="1608" w:type="pct"/>
            <w:tcBorders>
              <w:top w:val="nil"/>
              <w:left w:val="nil"/>
              <w:bottom w:val="nil"/>
              <w:right w:val="nil"/>
            </w:tcBorders>
          </w:tcPr>
          <w:p w14:paraId="02DD54B5" w14:textId="77777777" w:rsidR="00B54D51" w:rsidRPr="00037AD4" w:rsidRDefault="00B54D51" w:rsidP="00401C67">
            <w:pPr>
              <w:widowControl w:val="0"/>
              <w:autoSpaceDE w:val="0"/>
              <w:autoSpaceDN w:val="0"/>
              <w:adjustRightInd w:val="0"/>
            </w:pPr>
            <w:r w:rsidRPr="00037AD4">
              <w:t>Wald Chi</w:t>
            </w:r>
            <w:r w:rsidRPr="00037AD4">
              <w:rPr>
                <w:vertAlign w:val="superscript"/>
              </w:rPr>
              <w:t>2</w:t>
            </w:r>
          </w:p>
        </w:tc>
        <w:tc>
          <w:tcPr>
            <w:tcW w:w="679" w:type="pct"/>
            <w:tcBorders>
              <w:top w:val="nil"/>
              <w:left w:val="nil"/>
              <w:bottom w:val="nil"/>
              <w:right w:val="nil"/>
            </w:tcBorders>
          </w:tcPr>
          <w:p w14:paraId="00074B8C" w14:textId="77777777" w:rsidR="00B54D51" w:rsidRPr="00037AD4" w:rsidRDefault="00B54D51" w:rsidP="00401C67">
            <w:pPr>
              <w:widowControl w:val="0"/>
              <w:autoSpaceDE w:val="0"/>
              <w:autoSpaceDN w:val="0"/>
              <w:adjustRightInd w:val="0"/>
              <w:jc w:val="center"/>
            </w:pPr>
            <w:r w:rsidRPr="00037AD4">
              <w:t>459.16</w:t>
            </w:r>
          </w:p>
        </w:tc>
        <w:tc>
          <w:tcPr>
            <w:tcW w:w="679" w:type="pct"/>
            <w:tcBorders>
              <w:top w:val="nil"/>
              <w:left w:val="nil"/>
              <w:bottom w:val="nil"/>
              <w:right w:val="nil"/>
            </w:tcBorders>
          </w:tcPr>
          <w:p w14:paraId="32E9EF48" w14:textId="77777777" w:rsidR="00B54D51" w:rsidRPr="00037AD4" w:rsidRDefault="00B54D51" w:rsidP="00401C67">
            <w:pPr>
              <w:widowControl w:val="0"/>
              <w:autoSpaceDE w:val="0"/>
              <w:autoSpaceDN w:val="0"/>
              <w:adjustRightInd w:val="0"/>
              <w:jc w:val="center"/>
            </w:pPr>
            <w:r w:rsidRPr="00037AD4">
              <w:t>306.14</w:t>
            </w:r>
          </w:p>
        </w:tc>
        <w:tc>
          <w:tcPr>
            <w:tcW w:w="679" w:type="pct"/>
            <w:tcBorders>
              <w:top w:val="nil"/>
              <w:left w:val="nil"/>
              <w:bottom w:val="nil"/>
              <w:right w:val="nil"/>
            </w:tcBorders>
          </w:tcPr>
          <w:p w14:paraId="538D5C8F" w14:textId="77777777" w:rsidR="00B54D51" w:rsidRPr="00037AD4" w:rsidRDefault="00B54D51" w:rsidP="00401C67">
            <w:pPr>
              <w:widowControl w:val="0"/>
              <w:autoSpaceDE w:val="0"/>
              <w:autoSpaceDN w:val="0"/>
              <w:adjustRightInd w:val="0"/>
              <w:jc w:val="center"/>
            </w:pPr>
            <w:r w:rsidRPr="00037AD4">
              <w:t>292.33</w:t>
            </w:r>
          </w:p>
        </w:tc>
        <w:tc>
          <w:tcPr>
            <w:tcW w:w="679" w:type="pct"/>
            <w:tcBorders>
              <w:top w:val="nil"/>
              <w:left w:val="nil"/>
              <w:bottom w:val="nil"/>
              <w:right w:val="nil"/>
            </w:tcBorders>
          </w:tcPr>
          <w:p w14:paraId="7124CB93" w14:textId="77777777" w:rsidR="00B54D51" w:rsidRPr="00037AD4" w:rsidRDefault="00B54D51" w:rsidP="00401C67">
            <w:pPr>
              <w:widowControl w:val="0"/>
              <w:autoSpaceDE w:val="0"/>
              <w:autoSpaceDN w:val="0"/>
              <w:adjustRightInd w:val="0"/>
              <w:jc w:val="center"/>
            </w:pPr>
            <w:r w:rsidRPr="00037AD4">
              <w:t>349.99</w:t>
            </w:r>
          </w:p>
        </w:tc>
        <w:tc>
          <w:tcPr>
            <w:tcW w:w="677" w:type="pct"/>
            <w:tcBorders>
              <w:top w:val="nil"/>
              <w:left w:val="nil"/>
              <w:bottom w:val="nil"/>
              <w:right w:val="nil"/>
            </w:tcBorders>
          </w:tcPr>
          <w:p w14:paraId="2BA2C508" w14:textId="77777777" w:rsidR="00B54D51" w:rsidRPr="00037AD4" w:rsidRDefault="00B54D51" w:rsidP="00401C67">
            <w:pPr>
              <w:widowControl w:val="0"/>
              <w:autoSpaceDE w:val="0"/>
              <w:autoSpaceDN w:val="0"/>
              <w:adjustRightInd w:val="0"/>
              <w:jc w:val="center"/>
            </w:pPr>
            <w:r w:rsidRPr="00037AD4">
              <w:t>292.35</w:t>
            </w:r>
          </w:p>
        </w:tc>
      </w:tr>
      <w:tr w:rsidR="00B54D51" w:rsidRPr="00037AD4" w14:paraId="2500CB5E" w14:textId="77777777" w:rsidTr="00401C67">
        <w:tblPrEx>
          <w:tblBorders>
            <w:bottom w:val="single" w:sz="6" w:space="0" w:color="auto"/>
          </w:tblBorders>
        </w:tblPrEx>
        <w:trPr>
          <w:jc w:val="center"/>
        </w:trPr>
        <w:tc>
          <w:tcPr>
            <w:tcW w:w="1608" w:type="pct"/>
            <w:tcBorders>
              <w:top w:val="nil"/>
              <w:left w:val="nil"/>
              <w:bottom w:val="nil"/>
              <w:right w:val="nil"/>
            </w:tcBorders>
          </w:tcPr>
          <w:p w14:paraId="6E26FB9C" w14:textId="77777777" w:rsidR="00B54D51" w:rsidRPr="00037AD4" w:rsidRDefault="00B54D51" w:rsidP="00401C67">
            <w:pPr>
              <w:widowControl w:val="0"/>
              <w:autoSpaceDE w:val="0"/>
              <w:autoSpaceDN w:val="0"/>
              <w:adjustRightInd w:val="0"/>
            </w:pPr>
            <w:r w:rsidRPr="00037AD4">
              <w:t>Pseudo R</w:t>
            </w:r>
            <w:r w:rsidRPr="00037AD4">
              <w:rPr>
                <w:vertAlign w:val="superscript"/>
              </w:rPr>
              <w:t>2</w:t>
            </w:r>
          </w:p>
        </w:tc>
        <w:tc>
          <w:tcPr>
            <w:tcW w:w="679" w:type="pct"/>
            <w:tcBorders>
              <w:top w:val="nil"/>
              <w:left w:val="nil"/>
              <w:bottom w:val="nil"/>
              <w:right w:val="nil"/>
            </w:tcBorders>
          </w:tcPr>
          <w:p w14:paraId="688F7426" w14:textId="77777777" w:rsidR="00B54D51" w:rsidRPr="00037AD4" w:rsidRDefault="00B54D51" w:rsidP="00401C67">
            <w:pPr>
              <w:widowControl w:val="0"/>
              <w:autoSpaceDE w:val="0"/>
              <w:autoSpaceDN w:val="0"/>
              <w:adjustRightInd w:val="0"/>
              <w:jc w:val="center"/>
            </w:pPr>
            <w:r w:rsidRPr="00037AD4">
              <w:t>0.2431</w:t>
            </w:r>
          </w:p>
        </w:tc>
        <w:tc>
          <w:tcPr>
            <w:tcW w:w="679" w:type="pct"/>
            <w:tcBorders>
              <w:top w:val="nil"/>
              <w:left w:val="nil"/>
              <w:bottom w:val="nil"/>
              <w:right w:val="nil"/>
            </w:tcBorders>
          </w:tcPr>
          <w:p w14:paraId="6267C5F8" w14:textId="77777777" w:rsidR="00B54D51" w:rsidRPr="00037AD4" w:rsidRDefault="00B54D51" w:rsidP="00401C67">
            <w:pPr>
              <w:widowControl w:val="0"/>
              <w:autoSpaceDE w:val="0"/>
              <w:autoSpaceDN w:val="0"/>
              <w:adjustRightInd w:val="0"/>
              <w:jc w:val="center"/>
            </w:pPr>
            <w:r w:rsidRPr="00037AD4">
              <w:t>0.2224</w:t>
            </w:r>
          </w:p>
        </w:tc>
        <w:tc>
          <w:tcPr>
            <w:tcW w:w="679" w:type="pct"/>
            <w:tcBorders>
              <w:top w:val="nil"/>
              <w:left w:val="nil"/>
              <w:bottom w:val="nil"/>
              <w:right w:val="nil"/>
            </w:tcBorders>
          </w:tcPr>
          <w:p w14:paraId="4222B813" w14:textId="77777777" w:rsidR="00B54D51" w:rsidRPr="00037AD4" w:rsidRDefault="00B54D51" w:rsidP="00401C67">
            <w:pPr>
              <w:widowControl w:val="0"/>
              <w:autoSpaceDE w:val="0"/>
              <w:autoSpaceDN w:val="0"/>
              <w:adjustRightInd w:val="0"/>
              <w:jc w:val="center"/>
            </w:pPr>
            <w:r w:rsidRPr="00037AD4">
              <w:t>0.2189</w:t>
            </w:r>
          </w:p>
        </w:tc>
        <w:tc>
          <w:tcPr>
            <w:tcW w:w="679" w:type="pct"/>
            <w:tcBorders>
              <w:top w:val="nil"/>
              <w:left w:val="nil"/>
              <w:bottom w:val="nil"/>
              <w:right w:val="nil"/>
            </w:tcBorders>
          </w:tcPr>
          <w:p w14:paraId="48FC89D8" w14:textId="77777777" w:rsidR="00B54D51" w:rsidRPr="00037AD4" w:rsidRDefault="00B54D51" w:rsidP="00401C67">
            <w:pPr>
              <w:widowControl w:val="0"/>
              <w:autoSpaceDE w:val="0"/>
              <w:autoSpaceDN w:val="0"/>
              <w:adjustRightInd w:val="0"/>
              <w:jc w:val="center"/>
            </w:pPr>
            <w:r w:rsidRPr="00037AD4">
              <w:t>0.2140</w:t>
            </w:r>
          </w:p>
        </w:tc>
        <w:tc>
          <w:tcPr>
            <w:tcW w:w="677" w:type="pct"/>
            <w:tcBorders>
              <w:top w:val="nil"/>
              <w:left w:val="nil"/>
              <w:bottom w:val="nil"/>
              <w:right w:val="nil"/>
            </w:tcBorders>
          </w:tcPr>
          <w:p w14:paraId="1B40EE40" w14:textId="77777777" w:rsidR="00B54D51" w:rsidRPr="00037AD4" w:rsidRDefault="00B54D51" w:rsidP="00401C67">
            <w:pPr>
              <w:widowControl w:val="0"/>
              <w:autoSpaceDE w:val="0"/>
              <w:autoSpaceDN w:val="0"/>
              <w:adjustRightInd w:val="0"/>
              <w:jc w:val="center"/>
            </w:pPr>
            <w:r w:rsidRPr="00037AD4">
              <w:t>0.2189</w:t>
            </w:r>
          </w:p>
        </w:tc>
      </w:tr>
      <w:tr w:rsidR="00B54D51" w:rsidRPr="00037AD4" w14:paraId="682B4DBE" w14:textId="77777777" w:rsidTr="00401C67">
        <w:tblPrEx>
          <w:tblBorders>
            <w:bottom w:val="single" w:sz="6" w:space="0" w:color="auto"/>
          </w:tblBorders>
        </w:tblPrEx>
        <w:trPr>
          <w:jc w:val="center"/>
        </w:trPr>
        <w:tc>
          <w:tcPr>
            <w:tcW w:w="1608" w:type="pct"/>
            <w:tcBorders>
              <w:top w:val="nil"/>
              <w:left w:val="nil"/>
              <w:bottom w:val="nil"/>
              <w:right w:val="nil"/>
            </w:tcBorders>
          </w:tcPr>
          <w:p w14:paraId="2A869EE1" w14:textId="77777777" w:rsidR="00B54D51" w:rsidRPr="00037AD4" w:rsidRDefault="00B54D51" w:rsidP="00401C67">
            <w:pPr>
              <w:widowControl w:val="0"/>
              <w:autoSpaceDE w:val="0"/>
              <w:autoSpaceDN w:val="0"/>
              <w:adjustRightInd w:val="0"/>
            </w:pPr>
            <w:r w:rsidRPr="00037AD4">
              <w:t xml:space="preserve">AIC </w:t>
            </w:r>
          </w:p>
        </w:tc>
        <w:tc>
          <w:tcPr>
            <w:tcW w:w="679" w:type="pct"/>
            <w:tcBorders>
              <w:top w:val="nil"/>
              <w:left w:val="nil"/>
              <w:bottom w:val="nil"/>
              <w:right w:val="nil"/>
            </w:tcBorders>
          </w:tcPr>
          <w:p w14:paraId="0989ED64" w14:textId="77777777" w:rsidR="00B54D51" w:rsidRPr="00037AD4" w:rsidRDefault="00B54D51" w:rsidP="00401C67">
            <w:pPr>
              <w:widowControl w:val="0"/>
              <w:autoSpaceDE w:val="0"/>
              <w:autoSpaceDN w:val="0"/>
              <w:adjustRightInd w:val="0"/>
              <w:jc w:val="center"/>
            </w:pPr>
            <w:r w:rsidRPr="00037AD4">
              <w:t>1716.562</w:t>
            </w:r>
          </w:p>
        </w:tc>
        <w:tc>
          <w:tcPr>
            <w:tcW w:w="679" w:type="pct"/>
            <w:tcBorders>
              <w:top w:val="nil"/>
              <w:left w:val="nil"/>
              <w:bottom w:val="nil"/>
              <w:right w:val="nil"/>
            </w:tcBorders>
          </w:tcPr>
          <w:p w14:paraId="0B64CC08" w14:textId="77777777" w:rsidR="00B54D51" w:rsidRPr="00037AD4" w:rsidRDefault="00B54D51" w:rsidP="00401C67">
            <w:pPr>
              <w:widowControl w:val="0"/>
              <w:autoSpaceDE w:val="0"/>
              <w:autoSpaceDN w:val="0"/>
              <w:adjustRightInd w:val="0"/>
              <w:jc w:val="center"/>
            </w:pPr>
            <w:r w:rsidRPr="00037AD4">
              <w:t>1819.796</w:t>
            </w:r>
          </w:p>
        </w:tc>
        <w:tc>
          <w:tcPr>
            <w:tcW w:w="679" w:type="pct"/>
            <w:tcBorders>
              <w:top w:val="nil"/>
              <w:left w:val="nil"/>
              <w:bottom w:val="nil"/>
              <w:right w:val="nil"/>
            </w:tcBorders>
          </w:tcPr>
          <w:p w14:paraId="34F3F2F3" w14:textId="77777777" w:rsidR="00B54D51" w:rsidRPr="00037AD4" w:rsidRDefault="00B54D51" w:rsidP="00401C67">
            <w:pPr>
              <w:widowControl w:val="0"/>
              <w:autoSpaceDE w:val="0"/>
              <w:autoSpaceDN w:val="0"/>
              <w:adjustRightInd w:val="0"/>
              <w:jc w:val="center"/>
            </w:pPr>
            <w:r w:rsidRPr="00037AD4">
              <w:t>1821.820</w:t>
            </w:r>
          </w:p>
        </w:tc>
        <w:tc>
          <w:tcPr>
            <w:tcW w:w="679" w:type="pct"/>
            <w:tcBorders>
              <w:top w:val="nil"/>
              <w:left w:val="nil"/>
              <w:bottom w:val="nil"/>
              <w:right w:val="nil"/>
            </w:tcBorders>
          </w:tcPr>
          <w:p w14:paraId="0DBC15EB" w14:textId="77777777" w:rsidR="00B54D51" w:rsidRPr="00037AD4" w:rsidRDefault="00B54D51" w:rsidP="00401C67">
            <w:pPr>
              <w:widowControl w:val="0"/>
              <w:autoSpaceDE w:val="0"/>
              <w:autoSpaceDN w:val="0"/>
              <w:adjustRightInd w:val="0"/>
              <w:jc w:val="center"/>
            </w:pPr>
            <w:r w:rsidRPr="00037AD4">
              <w:t>2036.519</w:t>
            </w:r>
          </w:p>
        </w:tc>
        <w:tc>
          <w:tcPr>
            <w:tcW w:w="677" w:type="pct"/>
            <w:tcBorders>
              <w:top w:val="nil"/>
              <w:left w:val="nil"/>
              <w:bottom w:val="nil"/>
              <w:right w:val="nil"/>
            </w:tcBorders>
          </w:tcPr>
          <w:p w14:paraId="03A19059" w14:textId="77777777" w:rsidR="00B54D51" w:rsidRPr="00037AD4" w:rsidRDefault="00B54D51" w:rsidP="00401C67">
            <w:pPr>
              <w:widowControl w:val="0"/>
              <w:autoSpaceDE w:val="0"/>
              <w:autoSpaceDN w:val="0"/>
              <w:adjustRightInd w:val="0"/>
              <w:jc w:val="center"/>
            </w:pPr>
            <w:r w:rsidRPr="00037AD4">
              <w:t>1819.919</w:t>
            </w:r>
          </w:p>
        </w:tc>
      </w:tr>
      <w:tr w:rsidR="00B54D51" w:rsidRPr="00037AD4" w14:paraId="1FDC8BA4" w14:textId="77777777" w:rsidTr="00401C67">
        <w:tblPrEx>
          <w:tblBorders>
            <w:bottom w:val="single" w:sz="6" w:space="0" w:color="auto"/>
          </w:tblBorders>
        </w:tblPrEx>
        <w:trPr>
          <w:jc w:val="center"/>
        </w:trPr>
        <w:tc>
          <w:tcPr>
            <w:tcW w:w="1608" w:type="pct"/>
            <w:tcBorders>
              <w:top w:val="nil"/>
              <w:left w:val="nil"/>
              <w:bottom w:val="nil"/>
              <w:right w:val="nil"/>
            </w:tcBorders>
          </w:tcPr>
          <w:p w14:paraId="605260B1" w14:textId="77777777" w:rsidR="00B54D51" w:rsidRPr="00037AD4" w:rsidRDefault="00B54D51" w:rsidP="00401C67">
            <w:pPr>
              <w:widowControl w:val="0"/>
              <w:autoSpaceDE w:val="0"/>
              <w:autoSpaceDN w:val="0"/>
              <w:adjustRightInd w:val="0"/>
            </w:pPr>
            <w:r w:rsidRPr="00037AD4">
              <w:t>BIC</w:t>
            </w:r>
          </w:p>
        </w:tc>
        <w:tc>
          <w:tcPr>
            <w:tcW w:w="679" w:type="pct"/>
            <w:tcBorders>
              <w:top w:val="nil"/>
              <w:left w:val="nil"/>
              <w:bottom w:val="nil"/>
              <w:right w:val="nil"/>
            </w:tcBorders>
          </w:tcPr>
          <w:p w14:paraId="53544B01" w14:textId="77777777" w:rsidR="00B54D51" w:rsidRPr="00037AD4" w:rsidRDefault="00B54D51" w:rsidP="00401C67">
            <w:pPr>
              <w:widowControl w:val="0"/>
              <w:autoSpaceDE w:val="0"/>
              <w:autoSpaceDN w:val="0"/>
              <w:adjustRightInd w:val="0"/>
              <w:jc w:val="center"/>
            </w:pPr>
            <w:r w:rsidRPr="00037AD4">
              <w:t>1906.413</w:t>
            </w:r>
          </w:p>
        </w:tc>
        <w:tc>
          <w:tcPr>
            <w:tcW w:w="679" w:type="pct"/>
            <w:tcBorders>
              <w:top w:val="nil"/>
              <w:left w:val="nil"/>
              <w:bottom w:val="nil"/>
              <w:right w:val="nil"/>
            </w:tcBorders>
          </w:tcPr>
          <w:p w14:paraId="63CE43FF" w14:textId="77777777" w:rsidR="00B54D51" w:rsidRPr="00037AD4" w:rsidRDefault="00B54D51" w:rsidP="00401C67">
            <w:pPr>
              <w:widowControl w:val="0"/>
              <w:autoSpaceDE w:val="0"/>
              <w:autoSpaceDN w:val="0"/>
              <w:adjustRightInd w:val="0"/>
              <w:jc w:val="center"/>
            </w:pPr>
            <w:r w:rsidRPr="00037AD4">
              <w:t>1893.695</w:t>
            </w:r>
          </w:p>
        </w:tc>
        <w:tc>
          <w:tcPr>
            <w:tcW w:w="679" w:type="pct"/>
            <w:tcBorders>
              <w:top w:val="nil"/>
              <w:left w:val="nil"/>
              <w:bottom w:val="nil"/>
              <w:right w:val="nil"/>
            </w:tcBorders>
          </w:tcPr>
          <w:p w14:paraId="7B137748" w14:textId="77777777" w:rsidR="00B54D51" w:rsidRPr="00037AD4" w:rsidRDefault="00B54D51" w:rsidP="00401C67">
            <w:pPr>
              <w:widowControl w:val="0"/>
              <w:autoSpaceDE w:val="0"/>
              <w:autoSpaceDN w:val="0"/>
              <w:adjustRightInd w:val="0"/>
              <w:jc w:val="center"/>
            </w:pPr>
            <w:r w:rsidRPr="00037AD4">
              <w:t>1880.939</w:t>
            </w:r>
          </w:p>
        </w:tc>
        <w:tc>
          <w:tcPr>
            <w:tcW w:w="679" w:type="pct"/>
            <w:tcBorders>
              <w:top w:val="nil"/>
              <w:left w:val="nil"/>
              <w:bottom w:val="nil"/>
              <w:right w:val="nil"/>
            </w:tcBorders>
          </w:tcPr>
          <w:p w14:paraId="34D409B5" w14:textId="77777777" w:rsidR="00B54D51" w:rsidRPr="00037AD4" w:rsidRDefault="00B54D51" w:rsidP="00401C67">
            <w:pPr>
              <w:widowControl w:val="0"/>
              <w:autoSpaceDE w:val="0"/>
              <w:autoSpaceDN w:val="0"/>
              <w:adjustRightInd w:val="0"/>
              <w:jc w:val="center"/>
            </w:pPr>
            <w:r w:rsidRPr="00037AD4">
              <w:t>2091.751</w:t>
            </w:r>
          </w:p>
        </w:tc>
        <w:tc>
          <w:tcPr>
            <w:tcW w:w="677" w:type="pct"/>
            <w:tcBorders>
              <w:top w:val="nil"/>
              <w:left w:val="nil"/>
              <w:bottom w:val="nil"/>
              <w:right w:val="nil"/>
            </w:tcBorders>
          </w:tcPr>
          <w:p w14:paraId="458524AB" w14:textId="77777777" w:rsidR="00B54D51" w:rsidRPr="00037AD4" w:rsidRDefault="00B54D51" w:rsidP="00401C67">
            <w:pPr>
              <w:widowControl w:val="0"/>
              <w:autoSpaceDE w:val="0"/>
              <w:autoSpaceDN w:val="0"/>
              <w:adjustRightInd w:val="0"/>
              <w:jc w:val="center"/>
            </w:pPr>
            <w:r w:rsidRPr="00037AD4">
              <w:t>1874.112</w:t>
            </w:r>
          </w:p>
        </w:tc>
      </w:tr>
      <w:tr w:rsidR="00B54D51" w:rsidRPr="00037AD4" w14:paraId="5E327AB5" w14:textId="77777777" w:rsidTr="00401C67">
        <w:tblPrEx>
          <w:tblBorders>
            <w:bottom w:val="single" w:sz="6" w:space="0" w:color="auto"/>
          </w:tblBorders>
        </w:tblPrEx>
        <w:trPr>
          <w:jc w:val="center"/>
        </w:trPr>
        <w:tc>
          <w:tcPr>
            <w:tcW w:w="1608" w:type="pct"/>
            <w:tcBorders>
              <w:top w:val="nil"/>
              <w:left w:val="nil"/>
              <w:bottom w:val="single" w:sz="6" w:space="0" w:color="auto"/>
              <w:right w:val="nil"/>
            </w:tcBorders>
          </w:tcPr>
          <w:p w14:paraId="6AE5CC0C" w14:textId="77777777" w:rsidR="00B54D51" w:rsidRPr="00037AD4" w:rsidRDefault="00B54D51" w:rsidP="00401C67">
            <w:pPr>
              <w:widowControl w:val="0"/>
              <w:autoSpaceDE w:val="0"/>
              <w:autoSpaceDN w:val="0"/>
              <w:adjustRightInd w:val="0"/>
            </w:pPr>
            <w:r w:rsidRPr="00037AD4">
              <w:t>Log likelihood (model)</w:t>
            </w:r>
          </w:p>
        </w:tc>
        <w:tc>
          <w:tcPr>
            <w:tcW w:w="679" w:type="pct"/>
            <w:tcBorders>
              <w:top w:val="nil"/>
              <w:left w:val="nil"/>
              <w:bottom w:val="single" w:sz="6" w:space="0" w:color="auto"/>
              <w:right w:val="nil"/>
            </w:tcBorders>
          </w:tcPr>
          <w:p w14:paraId="0CD1CE6A" w14:textId="77777777" w:rsidR="00B54D51" w:rsidRPr="00037AD4" w:rsidRDefault="00B54D51" w:rsidP="00401C67">
            <w:pPr>
              <w:widowControl w:val="0"/>
              <w:autoSpaceDE w:val="0"/>
              <w:autoSpaceDN w:val="0"/>
              <w:adjustRightInd w:val="0"/>
              <w:jc w:val="center"/>
            </w:pPr>
            <w:r w:rsidRPr="00037AD4">
              <w:t>-819.281</w:t>
            </w:r>
          </w:p>
        </w:tc>
        <w:tc>
          <w:tcPr>
            <w:tcW w:w="679" w:type="pct"/>
            <w:tcBorders>
              <w:top w:val="nil"/>
              <w:left w:val="nil"/>
              <w:bottom w:val="single" w:sz="6" w:space="0" w:color="auto"/>
              <w:right w:val="nil"/>
            </w:tcBorders>
          </w:tcPr>
          <w:p w14:paraId="67E87B44" w14:textId="77777777" w:rsidR="00B54D51" w:rsidRPr="00037AD4" w:rsidRDefault="00B54D51" w:rsidP="00401C67">
            <w:pPr>
              <w:widowControl w:val="0"/>
              <w:autoSpaceDE w:val="0"/>
              <w:autoSpaceDN w:val="0"/>
              <w:adjustRightInd w:val="0"/>
              <w:jc w:val="center"/>
            </w:pPr>
            <w:r w:rsidRPr="00037AD4">
              <w:t>-894.898</w:t>
            </w:r>
          </w:p>
        </w:tc>
        <w:tc>
          <w:tcPr>
            <w:tcW w:w="679" w:type="pct"/>
            <w:tcBorders>
              <w:top w:val="nil"/>
              <w:left w:val="nil"/>
              <w:bottom w:val="single" w:sz="6" w:space="0" w:color="auto"/>
              <w:right w:val="nil"/>
            </w:tcBorders>
          </w:tcPr>
          <w:p w14:paraId="5CCDD9D6" w14:textId="77777777" w:rsidR="00B54D51" w:rsidRPr="00037AD4" w:rsidRDefault="00B54D51" w:rsidP="00401C67">
            <w:pPr>
              <w:widowControl w:val="0"/>
              <w:autoSpaceDE w:val="0"/>
              <w:autoSpaceDN w:val="0"/>
              <w:adjustRightInd w:val="0"/>
              <w:jc w:val="center"/>
            </w:pPr>
            <w:r w:rsidRPr="00037AD4">
              <w:t>-898.910</w:t>
            </w:r>
          </w:p>
        </w:tc>
        <w:tc>
          <w:tcPr>
            <w:tcW w:w="679" w:type="pct"/>
            <w:tcBorders>
              <w:top w:val="nil"/>
              <w:left w:val="nil"/>
              <w:bottom w:val="single" w:sz="6" w:space="0" w:color="auto"/>
              <w:right w:val="nil"/>
            </w:tcBorders>
          </w:tcPr>
          <w:p w14:paraId="602AC36D" w14:textId="77777777" w:rsidR="00B54D51" w:rsidRPr="00037AD4" w:rsidRDefault="00B54D51" w:rsidP="00401C67">
            <w:pPr>
              <w:widowControl w:val="0"/>
              <w:autoSpaceDE w:val="0"/>
              <w:autoSpaceDN w:val="0"/>
              <w:adjustRightInd w:val="0"/>
              <w:jc w:val="center"/>
            </w:pPr>
            <w:r w:rsidRPr="00037AD4">
              <w:t>-1007.26</w:t>
            </w:r>
          </w:p>
        </w:tc>
        <w:tc>
          <w:tcPr>
            <w:tcW w:w="677" w:type="pct"/>
            <w:tcBorders>
              <w:top w:val="nil"/>
              <w:left w:val="nil"/>
              <w:bottom w:val="single" w:sz="6" w:space="0" w:color="auto"/>
              <w:right w:val="nil"/>
            </w:tcBorders>
          </w:tcPr>
          <w:p w14:paraId="639820E2" w14:textId="77777777" w:rsidR="00B54D51" w:rsidRPr="00037AD4" w:rsidRDefault="00B54D51" w:rsidP="00401C67">
            <w:pPr>
              <w:widowControl w:val="0"/>
              <w:autoSpaceDE w:val="0"/>
              <w:autoSpaceDN w:val="0"/>
              <w:adjustRightInd w:val="0"/>
              <w:jc w:val="center"/>
            </w:pPr>
            <w:r w:rsidRPr="00037AD4">
              <w:t>-898.960</w:t>
            </w:r>
          </w:p>
        </w:tc>
      </w:tr>
    </w:tbl>
    <w:p w14:paraId="519A4E37" w14:textId="77777777" w:rsidR="00B54D51" w:rsidRPr="00037AD4" w:rsidRDefault="00B54D51" w:rsidP="001D7ACE">
      <w:pPr>
        <w:widowControl w:val="0"/>
        <w:autoSpaceDE w:val="0"/>
        <w:autoSpaceDN w:val="0"/>
        <w:adjustRightInd w:val="0"/>
        <w:jc w:val="center"/>
      </w:pPr>
      <w:r w:rsidRPr="00037AD4">
        <w:t>Robust ci in parentheses</w:t>
      </w:r>
    </w:p>
    <w:p w14:paraId="27B7735E" w14:textId="77777777" w:rsidR="00B54D51" w:rsidRPr="00037AD4" w:rsidRDefault="00B54D51" w:rsidP="001D7ACE">
      <w:pPr>
        <w:widowControl w:val="0"/>
        <w:autoSpaceDE w:val="0"/>
        <w:autoSpaceDN w:val="0"/>
        <w:adjustRightInd w:val="0"/>
        <w:jc w:val="center"/>
      </w:pPr>
      <w:r w:rsidRPr="00037AD4">
        <w:t>*** p&lt;0.01, ** p&lt;0.05, * p&lt;0.1</w:t>
      </w:r>
    </w:p>
    <w:p w14:paraId="43D19964" w14:textId="77777777" w:rsidR="00B54D51" w:rsidRPr="00037AD4" w:rsidRDefault="00B54D51" w:rsidP="001D7ACE">
      <w:pPr>
        <w:rPr>
          <w:color w:val="000000" w:themeColor="text1"/>
          <w:u w:val="single"/>
        </w:rPr>
      </w:pPr>
    </w:p>
    <w:p w14:paraId="5AF66CAA" w14:textId="77777777" w:rsidR="00B54D51" w:rsidRPr="00037AD4" w:rsidRDefault="00B54D51" w:rsidP="001D7ACE">
      <w:pPr>
        <w:rPr>
          <w:rFonts w:asciiTheme="minorHAnsi" w:hAnsiTheme="minorHAnsi" w:cstheme="minorHAnsi"/>
          <w:color w:val="000000" w:themeColor="text1"/>
          <w:u w:val="single"/>
        </w:rPr>
      </w:pPr>
      <w:r w:rsidRPr="00037AD4">
        <w:rPr>
          <w:rFonts w:asciiTheme="minorHAnsi" w:hAnsiTheme="minorHAnsi" w:cstheme="minorHAnsi"/>
          <w:color w:val="000000" w:themeColor="text1"/>
          <w:u w:val="single"/>
        </w:rPr>
        <w:t xml:space="preserve">Table A6.2b, “Mobility” dimension model iterations: EPIC </w:t>
      </w:r>
    </w:p>
    <w:p w14:paraId="3AB39FB5" w14:textId="77777777" w:rsidR="00B54D51" w:rsidRPr="00037AD4" w:rsidRDefault="00B54D51" w:rsidP="001D7ACE">
      <w:pPr>
        <w:rPr>
          <w:color w:val="FF0000"/>
          <w:u w:val="single"/>
        </w:rPr>
      </w:pPr>
    </w:p>
    <w:tbl>
      <w:tblPr>
        <w:tblW w:w="3982" w:type="pct"/>
        <w:jc w:val="center"/>
        <w:tblCellMar>
          <w:left w:w="75" w:type="dxa"/>
          <w:right w:w="75" w:type="dxa"/>
        </w:tblCellMar>
        <w:tblLook w:val="0000" w:firstRow="0" w:lastRow="0" w:firstColumn="0" w:lastColumn="0" w:noHBand="0" w:noVBand="0"/>
      </w:tblPr>
      <w:tblGrid>
        <w:gridCol w:w="1764"/>
        <w:gridCol w:w="1808"/>
        <w:gridCol w:w="1809"/>
        <w:gridCol w:w="1807"/>
      </w:tblGrid>
      <w:tr w:rsidR="00B54D51" w:rsidRPr="00037AD4" w14:paraId="53EC7288" w14:textId="77777777" w:rsidTr="00401C67">
        <w:trPr>
          <w:jc w:val="center"/>
        </w:trPr>
        <w:tc>
          <w:tcPr>
            <w:tcW w:w="1227" w:type="pct"/>
            <w:tcBorders>
              <w:top w:val="single" w:sz="6" w:space="0" w:color="auto"/>
              <w:left w:val="nil"/>
              <w:bottom w:val="nil"/>
              <w:right w:val="nil"/>
            </w:tcBorders>
          </w:tcPr>
          <w:p w14:paraId="1802B674" w14:textId="77777777" w:rsidR="00B54D51" w:rsidRPr="00037AD4" w:rsidRDefault="00B54D51" w:rsidP="00401C67">
            <w:pPr>
              <w:widowControl w:val="0"/>
              <w:autoSpaceDE w:val="0"/>
              <w:autoSpaceDN w:val="0"/>
              <w:adjustRightInd w:val="0"/>
            </w:pPr>
          </w:p>
        </w:tc>
        <w:tc>
          <w:tcPr>
            <w:tcW w:w="1258" w:type="pct"/>
            <w:tcBorders>
              <w:top w:val="single" w:sz="6" w:space="0" w:color="auto"/>
              <w:left w:val="nil"/>
              <w:bottom w:val="nil"/>
              <w:right w:val="nil"/>
            </w:tcBorders>
          </w:tcPr>
          <w:p w14:paraId="3B1E2F7F" w14:textId="77777777" w:rsidR="00B54D51" w:rsidRPr="00037AD4" w:rsidRDefault="00B54D51" w:rsidP="00401C67">
            <w:pPr>
              <w:widowControl w:val="0"/>
              <w:autoSpaceDE w:val="0"/>
              <w:autoSpaceDN w:val="0"/>
              <w:adjustRightInd w:val="0"/>
              <w:jc w:val="center"/>
            </w:pPr>
            <w:r w:rsidRPr="00037AD4">
              <w:t>(1)</w:t>
            </w:r>
          </w:p>
        </w:tc>
        <w:tc>
          <w:tcPr>
            <w:tcW w:w="1258" w:type="pct"/>
            <w:tcBorders>
              <w:top w:val="single" w:sz="6" w:space="0" w:color="auto"/>
              <w:left w:val="nil"/>
              <w:bottom w:val="nil"/>
              <w:right w:val="nil"/>
            </w:tcBorders>
          </w:tcPr>
          <w:p w14:paraId="1010ED30" w14:textId="77777777" w:rsidR="00B54D51" w:rsidRPr="00037AD4" w:rsidRDefault="00B54D51" w:rsidP="00401C67">
            <w:pPr>
              <w:widowControl w:val="0"/>
              <w:autoSpaceDE w:val="0"/>
              <w:autoSpaceDN w:val="0"/>
              <w:adjustRightInd w:val="0"/>
              <w:jc w:val="center"/>
            </w:pPr>
            <w:r w:rsidRPr="00037AD4">
              <w:t>(2)</w:t>
            </w:r>
          </w:p>
        </w:tc>
        <w:tc>
          <w:tcPr>
            <w:tcW w:w="1258" w:type="pct"/>
            <w:tcBorders>
              <w:top w:val="single" w:sz="6" w:space="0" w:color="auto"/>
              <w:left w:val="nil"/>
              <w:bottom w:val="nil"/>
              <w:right w:val="nil"/>
            </w:tcBorders>
          </w:tcPr>
          <w:p w14:paraId="7467F9F0" w14:textId="77777777" w:rsidR="00B54D51" w:rsidRPr="00037AD4" w:rsidRDefault="00B54D51" w:rsidP="00401C67">
            <w:pPr>
              <w:widowControl w:val="0"/>
              <w:autoSpaceDE w:val="0"/>
              <w:autoSpaceDN w:val="0"/>
              <w:adjustRightInd w:val="0"/>
              <w:jc w:val="center"/>
            </w:pPr>
            <w:r w:rsidRPr="00037AD4">
              <w:t>(3)</w:t>
            </w:r>
          </w:p>
        </w:tc>
      </w:tr>
      <w:tr w:rsidR="00B54D51" w:rsidRPr="00037AD4" w14:paraId="7632E326" w14:textId="77777777" w:rsidTr="00401C67">
        <w:trPr>
          <w:jc w:val="center"/>
        </w:trPr>
        <w:tc>
          <w:tcPr>
            <w:tcW w:w="1227" w:type="pct"/>
            <w:tcBorders>
              <w:top w:val="nil"/>
              <w:left w:val="nil"/>
              <w:bottom w:val="single" w:sz="6" w:space="0" w:color="auto"/>
              <w:right w:val="nil"/>
            </w:tcBorders>
          </w:tcPr>
          <w:p w14:paraId="30F2BF79" w14:textId="77777777" w:rsidR="00B54D51" w:rsidRPr="00037AD4" w:rsidRDefault="00B54D51" w:rsidP="00401C67">
            <w:pPr>
              <w:widowControl w:val="0"/>
              <w:autoSpaceDE w:val="0"/>
              <w:autoSpaceDN w:val="0"/>
              <w:adjustRightInd w:val="0"/>
            </w:pPr>
            <w:r w:rsidRPr="00037AD4">
              <w:t>VARIABLES</w:t>
            </w:r>
          </w:p>
        </w:tc>
        <w:tc>
          <w:tcPr>
            <w:tcW w:w="1258" w:type="pct"/>
            <w:tcBorders>
              <w:top w:val="nil"/>
              <w:left w:val="nil"/>
              <w:bottom w:val="single" w:sz="6" w:space="0" w:color="auto"/>
              <w:right w:val="nil"/>
            </w:tcBorders>
          </w:tcPr>
          <w:p w14:paraId="6BA8464B" w14:textId="77777777" w:rsidR="00B54D51" w:rsidRPr="00037AD4" w:rsidRDefault="00B54D51" w:rsidP="00401C67">
            <w:pPr>
              <w:widowControl w:val="0"/>
              <w:autoSpaceDE w:val="0"/>
              <w:autoSpaceDN w:val="0"/>
              <w:adjustRightInd w:val="0"/>
              <w:jc w:val="center"/>
            </w:pPr>
            <w:r w:rsidRPr="00037AD4">
              <w:t>Model 1</w:t>
            </w:r>
          </w:p>
        </w:tc>
        <w:tc>
          <w:tcPr>
            <w:tcW w:w="1258" w:type="pct"/>
            <w:tcBorders>
              <w:top w:val="nil"/>
              <w:left w:val="nil"/>
              <w:bottom w:val="single" w:sz="6" w:space="0" w:color="auto"/>
              <w:right w:val="nil"/>
            </w:tcBorders>
          </w:tcPr>
          <w:p w14:paraId="319D9412" w14:textId="77777777" w:rsidR="00B54D51" w:rsidRPr="00037AD4" w:rsidRDefault="00B54D51" w:rsidP="00401C67">
            <w:pPr>
              <w:widowControl w:val="0"/>
              <w:autoSpaceDE w:val="0"/>
              <w:autoSpaceDN w:val="0"/>
              <w:adjustRightInd w:val="0"/>
              <w:jc w:val="center"/>
            </w:pPr>
            <w:r w:rsidRPr="00037AD4">
              <w:t>Model 2</w:t>
            </w:r>
          </w:p>
        </w:tc>
        <w:tc>
          <w:tcPr>
            <w:tcW w:w="1258" w:type="pct"/>
            <w:tcBorders>
              <w:top w:val="nil"/>
              <w:left w:val="nil"/>
              <w:bottom w:val="single" w:sz="6" w:space="0" w:color="auto"/>
              <w:right w:val="nil"/>
            </w:tcBorders>
          </w:tcPr>
          <w:p w14:paraId="054654E1" w14:textId="77777777" w:rsidR="00B54D51" w:rsidRPr="00037AD4" w:rsidRDefault="00B54D51" w:rsidP="00401C67">
            <w:pPr>
              <w:widowControl w:val="0"/>
              <w:autoSpaceDE w:val="0"/>
              <w:autoSpaceDN w:val="0"/>
              <w:adjustRightInd w:val="0"/>
              <w:jc w:val="center"/>
            </w:pPr>
            <w:r w:rsidRPr="00037AD4">
              <w:t>Model 3</w:t>
            </w:r>
          </w:p>
        </w:tc>
      </w:tr>
      <w:tr w:rsidR="00B54D51" w:rsidRPr="00037AD4" w14:paraId="3B8E0B30" w14:textId="77777777" w:rsidTr="00401C67">
        <w:trPr>
          <w:jc w:val="center"/>
        </w:trPr>
        <w:tc>
          <w:tcPr>
            <w:tcW w:w="1227" w:type="pct"/>
            <w:tcBorders>
              <w:top w:val="nil"/>
              <w:left w:val="nil"/>
              <w:bottom w:val="nil"/>
              <w:right w:val="nil"/>
            </w:tcBorders>
          </w:tcPr>
          <w:p w14:paraId="1941177A" w14:textId="77777777" w:rsidR="00B54D51" w:rsidRPr="00037AD4" w:rsidRDefault="00B54D51" w:rsidP="00401C67">
            <w:pPr>
              <w:widowControl w:val="0"/>
              <w:autoSpaceDE w:val="0"/>
              <w:autoSpaceDN w:val="0"/>
              <w:adjustRightInd w:val="0"/>
            </w:pPr>
          </w:p>
        </w:tc>
        <w:tc>
          <w:tcPr>
            <w:tcW w:w="1258" w:type="pct"/>
            <w:tcBorders>
              <w:top w:val="nil"/>
              <w:left w:val="nil"/>
              <w:bottom w:val="nil"/>
              <w:right w:val="nil"/>
            </w:tcBorders>
          </w:tcPr>
          <w:p w14:paraId="712E61BC" w14:textId="77777777" w:rsidR="00B54D51" w:rsidRPr="00037AD4" w:rsidRDefault="00B54D51" w:rsidP="00401C67">
            <w:pPr>
              <w:widowControl w:val="0"/>
              <w:autoSpaceDE w:val="0"/>
              <w:autoSpaceDN w:val="0"/>
              <w:adjustRightInd w:val="0"/>
              <w:jc w:val="center"/>
            </w:pPr>
          </w:p>
        </w:tc>
        <w:tc>
          <w:tcPr>
            <w:tcW w:w="1258" w:type="pct"/>
            <w:tcBorders>
              <w:top w:val="nil"/>
              <w:left w:val="nil"/>
              <w:bottom w:val="nil"/>
              <w:right w:val="nil"/>
            </w:tcBorders>
          </w:tcPr>
          <w:p w14:paraId="1B684EE7" w14:textId="77777777" w:rsidR="00B54D51" w:rsidRPr="00037AD4" w:rsidRDefault="00B54D51" w:rsidP="00401C67">
            <w:pPr>
              <w:widowControl w:val="0"/>
              <w:autoSpaceDE w:val="0"/>
              <w:autoSpaceDN w:val="0"/>
              <w:adjustRightInd w:val="0"/>
              <w:jc w:val="center"/>
            </w:pPr>
          </w:p>
        </w:tc>
        <w:tc>
          <w:tcPr>
            <w:tcW w:w="1258" w:type="pct"/>
            <w:tcBorders>
              <w:top w:val="nil"/>
              <w:left w:val="nil"/>
              <w:bottom w:val="nil"/>
              <w:right w:val="nil"/>
            </w:tcBorders>
          </w:tcPr>
          <w:p w14:paraId="0BA7B316" w14:textId="77777777" w:rsidR="00B54D51" w:rsidRPr="00037AD4" w:rsidRDefault="00B54D51" w:rsidP="00401C67">
            <w:pPr>
              <w:widowControl w:val="0"/>
              <w:autoSpaceDE w:val="0"/>
              <w:autoSpaceDN w:val="0"/>
              <w:adjustRightInd w:val="0"/>
              <w:jc w:val="center"/>
            </w:pPr>
          </w:p>
        </w:tc>
      </w:tr>
      <w:tr w:rsidR="00B54D51" w:rsidRPr="00037AD4" w14:paraId="7B528933" w14:textId="77777777" w:rsidTr="00401C67">
        <w:trPr>
          <w:jc w:val="center"/>
        </w:trPr>
        <w:tc>
          <w:tcPr>
            <w:tcW w:w="1227" w:type="pct"/>
            <w:tcBorders>
              <w:top w:val="nil"/>
              <w:left w:val="nil"/>
              <w:bottom w:val="nil"/>
              <w:right w:val="nil"/>
            </w:tcBorders>
          </w:tcPr>
          <w:p w14:paraId="5350131E" w14:textId="77777777" w:rsidR="00B54D51" w:rsidRPr="00037AD4" w:rsidRDefault="00B54D51" w:rsidP="00401C67">
            <w:pPr>
              <w:widowControl w:val="0"/>
              <w:autoSpaceDE w:val="0"/>
              <w:autoSpaceDN w:val="0"/>
              <w:adjustRightInd w:val="0"/>
            </w:pPr>
            <w:r w:rsidRPr="00037AD4">
              <w:t>2.eq1SR_</w:t>
            </w:r>
          </w:p>
        </w:tc>
        <w:tc>
          <w:tcPr>
            <w:tcW w:w="1258" w:type="pct"/>
            <w:tcBorders>
              <w:top w:val="nil"/>
              <w:left w:val="nil"/>
              <w:bottom w:val="nil"/>
              <w:right w:val="nil"/>
            </w:tcBorders>
          </w:tcPr>
          <w:p w14:paraId="41FA4834" w14:textId="77777777" w:rsidR="00B54D51" w:rsidRPr="00037AD4" w:rsidRDefault="00B54D51" w:rsidP="00401C67">
            <w:pPr>
              <w:widowControl w:val="0"/>
              <w:autoSpaceDE w:val="0"/>
              <w:autoSpaceDN w:val="0"/>
              <w:adjustRightInd w:val="0"/>
              <w:jc w:val="center"/>
            </w:pPr>
            <w:r w:rsidRPr="00037AD4">
              <w:t>0.207*</w:t>
            </w:r>
          </w:p>
        </w:tc>
        <w:tc>
          <w:tcPr>
            <w:tcW w:w="1258" w:type="pct"/>
            <w:tcBorders>
              <w:top w:val="nil"/>
              <w:left w:val="nil"/>
              <w:bottom w:val="nil"/>
              <w:right w:val="nil"/>
            </w:tcBorders>
          </w:tcPr>
          <w:p w14:paraId="39B0D8B8" w14:textId="77777777" w:rsidR="00B54D51" w:rsidRPr="00037AD4" w:rsidRDefault="00B54D51" w:rsidP="00401C67">
            <w:pPr>
              <w:widowControl w:val="0"/>
              <w:autoSpaceDE w:val="0"/>
              <w:autoSpaceDN w:val="0"/>
              <w:adjustRightInd w:val="0"/>
              <w:jc w:val="center"/>
            </w:pPr>
            <w:r w:rsidRPr="00037AD4">
              <w:t>0.197*</w:t>
            </w:r>
          </w:p>
        </w:tc>
        <w:tc>
          <w:tcPr>
            <w:tcW w:w="1258" w:type="pct"/>
            <w:tcBorders>
              <w:top w:val="nil"/>
              <w:left w:val="nil"/>
              <w:bottom w:val="nil"/>
              <w:right w:val="nil"/>
            </w:tcBorders>
          </w:tcPr>
          <w:p w14:paraId="5076DEEA" w14:textId="77777777" w:rsidR="00B54D51" w:rsidRPr="00037AD4" w:rsidRDefault="00B54D51" w:rsidP="00401C67">
            <w:pPr>
              <w:widowControl w:val="0"/>
              <w:autoSpaceDE w:val="0"/>
              <w:autoSpaceDN w:val="0"/>
              <w:adjustRightInd w:val="0"/>
              <w:jc w:val="center"/>
            </w:pPr>
            <w:r w:rsidRPr="00037AD4">
              <w:t>0.197*</w:t>
            </w:r>
          </w:p>
        </w:tc>
      </w:tr>
      <w:tr w:rsidR="00B54D51" w:rsidRPr="00037AD4" w14:paraId="5EF08142" w14:textId="77777777" w:rsidTr="00401C67">
        <w:trPr>
          <w:jc w:val="center"/>
        </w:trPr>
        <w:tc>
          <w:tcPr>
            <w:tcW w:w="1227" w:type="pct"/>
            <w:tcBorders>
              <w:top w:val="nil"/>
              <w:left w:val="nil"/>
              <w:bottom w:val="nil"/>
              <w:right w:val="nil"/>
            </w:tcBorders>
          </w:tcPr>
          <w:p w14:paraId="286673B2" w14:textId="77777777" w:rsidR="00B54D51" w:rsidRPr="00037AD4" w:rsidRDefault="00B54D51" w:rsidP="00401C67">
            <w:pPr>
              <w:widowControl w:val="0"/>
              <w:autoSpaceDE w:val="0"/>
              <w:autoSpaceDN w:val="0"/>
              <w:adjustRightInd w:val="0"/>
            </w:pPr>
          </w:p>
        </w:tc>
        <w:tc>
          <w:tcPr>
            <w:tcW w:w="1258" w:type="pct"/>
            <w:tcBorders>
              <w:top w:val="nil"/>
              <w:left w:val="nil"/>
              <w:bottom w:val="nil"/>
              <w:right w:val="nil"/>
            </w:tcBorders>
          </w:tcPr>
          <w:p w14:paraId="7D714B67" w14:textId="77777777" w:rsidR="00B54D51" w:rsidRPr="00037AD4" w:rsidRDefault="00B54D51" w:rsidP="00401C67">
            <w:pPr>
              <w:widowControl w:val="0"/>
              <w:autoSpaceDE w:val="0"/>
              <w:autoSpaceDN w:val="0"/>
              <w:adjustRightInd w:val="0"/>
              <w:jc w:val="center"/>
            </w:pPr>
            <w:r w:rsidRPr="00037AD4">
              <w:t>(-0.034 - 0.447)</w:t>
            </w:r>
          </w:p>
        </w:tc>
        <w:tc>
          <w:tcPr>
            <w:tcW w:w="1258" w:type="pct"/>
            <w:tcBorders>
              <w:top w:val="nil"/>
              <w:left w:val="nil"/>
              <w:bottom w:val="nil"/>
              <w:right w:val="nil"/>
            </w:tcBorders>
          </w:tcPr>
          <w:p w14:paraId="7E66A327" w14:textId="77777777" w:rsidR="00B54D51" w:rsidRPr="00037AD4" w:rsidRDefault="00B54D51" w:rsidP="00401C67">
            <w:pPr>
              <w:widowControl w:val="0"/>
              <w:autoSpaceDE w:val="0"/>
              <w:autoSpaceDN w:val="0"/>
              <w:adjustRightInd w:val="0"/>
              <w:jc w:val="center"/>
            </w:pPr>
            <w:r w:rsidRPr="00037AD4">
              <w:t>(-0.014 - 0.408)</w:t>
            </w:r>
          </w:p>
        </w:tc>
        <w:tc>
          <w:tcPr>
            <w:tcW w:w="1258" w:type="pct"/>
            <w:tcBorders>
              <w:top w:val="nil"/>
              <w:left w:val="nil"/>
              <w:bottom w:val="nil"/>
              <w:right w:val="nil"/>
            </w:tcBorders>
          </w:tcPr>
          <w:p w14:paraId="428E0F5F" w14:textId="77777777" w:rsidR="00B54D51" w:rsidRPr="00037AD4" w:rsidRDefault="00B54D51" w:rsidP="00401C67">
            <w:pPr>
              <w:widowControl w:val="0"/>
              <w:autoSpaceDE w:val="0"/>
              <w:autoSpaceDN w:val="0"/>
              <w:adjustRightInd w:val="0"/>
              <w:jc w:val="center"/>
            </w:pPr>
            <w:r w:rsidRPr="00037AD4">
              <w:t>(-0.013 - 0.408)</w:t>
            </w:r>
          </w:p>
        </w:tc>
      </w:tr>
      <w:tr w:rsidR="00B54D51" w:rsidRPr="00037AD4" w14:paraId="10F0FB6F" w14:textId="77777777" w:rsidTr="00401C67">
        <w:trPr>
          <w:jc w:val="center"/>
        </w:trPr>
        <w:tc>
          <w:tcPr>
            <w:tcW w:w="1227" w:type="pct"/>
            <w:tcBorders>
              <w:top w:val="nil"/>
              <w:left w:val="nil"/>
              <w:bottom w:val="nil"/>
              <w:right w:val="nil"/>
            </w:tcBorders>
          </w:tcPr>
          <w:p w14:paraId="4B9BA155" w14:textId="77777777" w:rsidR="00B54D51" w:rsidRPr="00037AD4" w:rsidRDefault="00B54D51" w:rsidP="00401C67">
            <w:pPr>
              <w:widowControl w:val="0"/>
              <w:autoSpaceDE w:val="0"/>
              <w:autoSpaceDN w:val="0"/>
              <w:adjustRightInd w:val="0"/>
            </w:pPr>
            <w:r w:rsidRPr="00037AD4">
              <w:t>3.eq1SR_</w:t>
            </w:r>
          </w:p>
        </w:tc>
        <w:tc>
          <w:tcPr>
            <w:tcW w:w="1258" w:type="pct"/>
            <w:tcBorders>
              <w:top w:val="nil"/>
              <w:left w:val="nil"/>
              <w:bottom w:val="nil"/>
              <w:right w:val="nil"/>
            </w:tcBorders>
          </w:tcPr>
          <w:p w14:paraId="2C892A59" w14:textId="77777777" w:rsidR="00B54D51" w:rsidRPr="00037AD4" w:rsidRDefault="00B54D51" w:rsidP="00401C67">
            <w:pPr>
              <w:widowControl w:val="0"/>
              <w:autoSpaceDE w:val="0"/>
              <w:autoSpaceDN w:val="0"/>
              <w:adjustRightInd w:val="0"/>
              <w:jc w:val="center"/>
            </w:pPr>
            <w:r w:rsidRPr="00037AD4">
              <w:t>0.334**</w:t>
            </w:r>
          </w:p>
        </w:tc>
        <w:tc>
          <w:tcPr>
            <w:tcW w:w="1258" w:type="pct"/>
            <w:tcBorders>
              <w:top w:val="nil"/>
              <w:left w:val="nil"/>
              <w:bottom w:val="nil"/>
              <w:right w:val="nil"/>
            </w:tcBorders>
          </w:tcPr>
          <w:p w14:paraId="252A6476" w14:textId="77777777" w:rsidR="00B54D51" w:rsidRPr="00037AD4" w:rsidRDefault="00B54D51" w:rsidP="00401C67">
            <w:pPr>
              <w:widowControl w:val="0"/>
              <w:autoSpaceDE w:val="0"/>
              <w:autoSpaceDN w:val="0"/>
              <w:adjustRightInd w:val="0"/>
              <w:jc w:val="center"/>
            </w:pPr>
            <w:r w:rsidRPr="00037AD4">
              <w:t>0.338***</w:t>
            </w:r>
          </w:p>
        </w:tc>
        <w:tc>
          <w:tcPr>
            <w:tcW w:w="1258" w:type="pct"/>
            <w:tcBorders>
              <w:top w:val="nil"/>
              <w:left w:val="nil"/>
              <w:bottom w:val="nil"/>
              <w:right w:val="nil"/>
            </w:tcBorders>
          </w:tcPr>
          <w:p w14:paraId="665CCB52" w14:textId="77777777" w:rsidR="00B54D51" w:rsidRPr="00037AD4" w:rsidRDefault="00B54D51" w:rsidP="00401C67">
            <w:pPr>
              <w:widowControl w:val="0"/>
              <w:autoSpaceDE w:val="0"/>
              <w:autoSpaceDN w:val="0"/>
              <w:adjustRightInd w:val="0"/>
              <w:jc w:val="center"/>
            </w:pPr>
            <w:r w:rsidRPr="00037AD4">
              <w:t>0.338***</w:t>
            </w:r>
          </w:p>
        </w:tc>
      </w:tr>
      <w:tr w:rsidR="00B54D51" w:rsidRPr="00037AD4" w14:paraId="7972823C" w14:textId="77777777" w:rsidTr="00401C67">
        <w:trPr>
          <w:jc w:val="center"/>
        </w:trPr>
        <w:tc>
          <w:tcPr>
            <w:tcW w:w="1227" w:type="pct"/>
            <w:tcBorders>
              <w:top w:val="nil"/>
              <w:left w:val="nil"/>
              <w:bottom w:val="nil"/>
              <w:right w:val="nil"/>
            </w:tcBorders>
          </w:tcPr>
          <w:p w14:paraId="07EA815B" w14:textId="77777777" w:rsidR="00B54D51" w:rsidRPr="00037AD4" w:rsidRDefault="00B54D51" w:rsidP="00401C67">
            <w:pPr>
              <w:widowControl w:val="0"/>
              <w:autoSpaceDE w:val="0"/>
              <w:autoSpaceDN w:val="0"/>
              <w:adjustRightInd w:val="0"/>
            </w:pPr>
          </w:p>
        </w:tc>
        <w:tc>
          <w:tcPr>
            <w:tcW w:w="1258" w:type="pct"/>
            <w:tcBorders>
              <w:top w:val="nil"/>
              <w:left w:val="nil"/>
              <w:bottom w:val="nil"/>
              <w:right w:val="nil"/>
            </w:tcBorders>
          </w:tcPr>
          <w:p w14:paraId="4A714418" w14:textId="77777777" w:rsidR="00B54D51" w:rsidRPr="00037AD4" w:rsidRDefault="00B54D51" w:rsidP="00401C67">
            <w:pPr>
              <w:widowControl w:val="0"/>
              <w:autoSpaceDE w:val="0"/>
              <w:autoSpaceDN w:val="0"/>
              <w:adjustRightInd w:val="0"/>
              <w:jc w:val="center"/>
            </w:pPr>
            <w:r w:rsidRPr="00037AD4">
              <w:t>(0.019 - 0.650)</w:t>
            </w:r>
          </w:p>
        </w:tc>
        <w:tc>
          <w:tcPr>
            <w:tcW w:w="1258" w:type="pct"/>
            <w:tcBorders>
              <w:top w:val="nil"/>
              <w:left w:val="nil"/>
              <w:bottom w:val="nil"/>
              <w:right w:val="nil"/>
            </w:tcBorders>
          </w:tcPr>
          <w:p w14:paraId="764E23DB" w14:textId="77777777" w:rsidR="00B54D51" w:rsidRPr="00037AD4" w:rsidRDefault="00B54D51" w:rsidP="00401C67">
            <w:pPr>
              <w:widowControl w:val="0"/>
              <w:autoSpaceDE w:val="0"/>
              <w:autoSpaceDN w:val="0"/>
              <w:adjustRightInd w:val="0"/>
              <w:jc w:val="center"/>
            </w:pPr>
            <w:r w:rsidRPr="00037AD4">
              <w:t>(0.086 - 0.590)</w:t>
            </w:r>
          </w:p>
        </w:tc>
        <w:tc>
          <w:tcPr>
            <w:tcW w:w="1258" w:type="pct"/>
            <w:tcBorders>
              <w:top w:val="nil"/>
              <w:left w:val="nil"/>
              <w:bottom w:val="nil"/>
              <w:right w:val="nil"/>
            </w:tcBorders>
          </w:tcPr>
          <w:p w14:paraId="2EC29247" w14:textId="77777777" w:rsidR="00B54D51" w:rsidRPr="00037AD4" w:rsidRDefault="00B54D51" w:rsidP="00401C67">
            <w:pPr>
              <w:widowControl w:val="0"/>
              <w:autoSpaceDE w:val="0"/>
              <w:autoSpaceDN w:val="0"/>
              <w:adjustRightInd w:val="0"/>
              <w:jc w:val="center"/>
            </w:pPr>
            <w:r w:rsidRPr="00037AD4">
              <w:t>(0.086 - 0.590)</w:t>
            </w:r>
          </w:p>
        </w:tc>
      </w:tr>
      <w:tr w:rsidR="00B54D51" w:rsidRPr="00037AD4" w14:paraId="63F04D1F" w14:textId="77777777" w:rsidTr="00401C67">
        <w:trPr>
          <w:jc w:val="center"/>
        </w:trPr>
        <w:tc>
          <w:tcPr>
            <w:tcW w:w="1227" w:type="pct"/>
            <w:tcBorders>
              <w:top w:val="nil"/>
              <w:left w:val="nil"/>
              <w:bottom w:val="nil"/>
              <w:right w:val="nil"/>
            </w:tcBorders>
          </w:tcPr>
          <w:p w14:paraId="38FB2CD6" w14:textId="77777777" w:rsidR="00B54D51" w:rsidRPr="00037AD4" w:rsidRDefault="00B54D51" w:rsidP="00401C67">
            <w:pPr>
              <w:widowControl w:val="0"/>
              <w:autoSpaceDE w:val="0"/>
              <w:autoSpaceDN w:val="0"/>
              <w:adjustRightInd w:val="0"/>
            </w:pPr>
            <w:r w:rsidRPr="00037AD4">
              <w:t>4.eq1SR_</w:t>
            </w:r>
          </w:p>
        </w:tc>
        <w:tc>
          <w:tcPr>
            <w:tcW w:w="1258" w:type="pct"/>
            <w:tcBorders>
              <w:top w:val="nil"/>
              <w:left w:val="nil"/>
              <w:bottom w:val="nil"/>
              <w:right w:val="nil"/>
            </w:tcBorders>
          </w:tcPr>
          <w:p w14:paraId="16F3DD18" w14:textId="77777777" w:rsidR="00B54D51" w:rsidRPr="00037AD4" w:rsidRDefault="00B54D51" w:rsidP="00401C67">
            <w:pPr>
              <w:widowControl w:val="0"/>
              <w:autoSpaceDE w:val="0"/>
              <w:autoSpaceDN w:val="0"/>
              <w:adjustRightInd w:val="0"/>
              <w:jc w:val="center"/>
            </w:pPr>
            <w:r w:rsidRPr="00037AD4">
              <w:t>1.284***</w:t>
            </w:r>
          </w:p>
        </w:tc>
        <w:tc>
          <w:tcPr>
            <w:tcW w:w="1258" w:type="pct"/>
            <w:tcBorders>
              <w:top w:val="nil"/>
              <w:left w:val="nil"/>
              <w:bottom w:val="nil"/>
              <w:right w:val="nil"/>
            </w:tcBorders>
          </w:tcPr>
          <w:p w14:paraId="2475A2E9" w14:textId="77777777" w:rsidR="00B54D51" w:rsidRPr="00037AD4" w:rsidRDefault="00B54D51" w:rsidP="00401C67">
            <w:pPr>
              <w:widowControl w:val="0"/>
              <w:autoSpaceDE w:val="0"/>
              <w:autoSpaceDN w:val="0"/>
              <w:adjustRightInd w:val="0"/>
              <w:jc w:val="center"/>
            </w:pPr>
            <w:r w:rsidRPr="00037AD4">
              <w:t>1.226***</w:t>
            </w:r>
          </w:p>
        </w:tc>
        <w:tc>
          <w:tcPr>
            <w:tcW w:w="1258" w:type="pct"/>
            <w:tcBorders>
              <w:top w:val="nil"/>
              <w:left w:val="nil"/>
              <w:bottom w:val="nil"/>
              <w:right w:val="nil"/>
            </w:tcBorders>
          </w:tcPr>
          <w:p w14:paraId="4FF7792B" w14:textId="77777777" w:rsidR="00B54D51" w:rsidRPr="00037AD4" w:rsidRDefault="00B54D51" w:rsidP="00401C67">
            <w:pPr>
              <w:widowControl w:val="0"/>
              <w:autoSpaceDE w:val="0"/>
              <w:autoSpaceDN w:val="0"/>
              <w:adjustRightInd w:val="0"/>
              <w:jc w:val="center"/>
            </w:pPr>
            <w:r w:rsidRPr="00037AD4">
              <w:t>1.226***</w:t>
            </w:r>
          </w:p>
        </w:tc>
      </w:tr>
      <w:tr w:rsidR="00B54D51" w:rsidRPr="00037AD4" w14:paraId="63D4756F" w14:textId="77777777" w:rsidTr="00401C67">
        <w:trPr>
          <w:jc w:val="center"/>
        </w:trPr>
        <w:tc>
          <w:tcPr>
            <w:tcW w:w="1227" w:type="pct"/>
            <w:tcBorders>
              <w:top w:val="nil"/>
              <w:left w:val="nil"/>
              <w:bottom w:val="nil"/>
              <w:right w:val="nil"/>
            </w:tcBorders>
          </w:tcPr>
          <w:p w14:paraId="14CB8AB0" w14:textId="77777777" w:rsidR="00B54D51" w:rsidRPr="00037AD4" w:rsidRDefault="00B54D51" w:rsidP="00401C67">
            <w:pPr>
              <w:widowControl w:val="0"/>
              <w:autoSpaceDE w:val="0"/>
              <w:autoSpaceDN w:val="0"/>
              <w:adjustRightInd w:val="0"/>
            </w:pPr>
          </w:p>
        </w:tc>
        <w:tc>
          <w:tcPr>
            <w:tcW w:w="1258" w:type="pct"/>
            <w:tcBorders>
              <w:top w:val="nil"/>
              <w:left w:val="nil"/>
              <w:bottom w:val="nil"/>
              <w:right w:val="nil"/>
            </w:tcBorders>
          </w:tcPr>
          <w:p w14:paraId="5F942F0B" w14:textId="77777777" w:rsidR="00B54D51" w:rsidRPr="00037AD4" w:rsidRDefault="00B54D51" w:rsidP="00401C67">
            <w:pPr>
              <w:widowControl w:val="0"/>
              <w:autoSpaceDE w:val="0"/>
              <w:autoSpaceDN w:val="0"/>
              <w:adjustRightInd w:val="0"/>
              <w:jc w:val="center"/>
            </w:pPr>
            <w:r w:rsidRPr="00037AD4">
              <w:t>(0.865 - 1.703)</w:t>
            </w:r>
          </w:p>
        </w:tc>
        <w:tc>
          <w:tcPr>
            <w:tcW w:w="1258" w:type="pct"/>
            <w:tcBorders>
              <w:top w:val="nil"/>
              <w:left w:val="nil"/>
              <w:bottom w:val="nil"/>
              <w:right w:val="nil"/>
            </w:tcBorders>
          </w:tcPr>
          <w:p w14:paraId="52DDA02C" w14:textId="77777777" w:rsidR="00B54D51" w:rsidRPr="00037AD4" w:rsidRDefault="00B54D51" w:rsidP="00401C67">
            <w:pPr>
              <w:widowControl w:val="0"/>
              <w:autoSpaceDE w:val="0"/>
              <w:autoSpaceDN w:val="0"/>
              <w:adjustRightInd w:val="0"/>
              <w:jc w:val="center"/>
            </w:pPr>
            <w:r w:rsidRPr="00037AD4">
              <w:t>(0.874 - 1.578)</w:t>
            </w:r>
          </w:p>
        </w:tc>
        <w:tc>
          <w:tcPr>
            <w:tcW w:w="1258" w:type="pct"/>
            <w:tcBorders>
              <w:top w:val="nil"/>
              <w:left w:val="nil"/>
              <w:bottom w:val="nil"/>
              <w:right w:val="nil"/>
            </w:tcBorders>
          </w:tcPr>
          <w:p w14:paraId="1B569666" w14:textId="77777777" w:rsidR="00B54D51" w:rsidRPr="00037AD4" w:rsidRDefault="00B54D51" w:rsidP="00401C67">
            <w:pPr>
              <w:widowControl w:val="0"/>
              <w:autoSpaceDE w:val="0"/>
              <w:autoSpaceDN w:val="0"/>
              <w:adjustRightInd w:val="0"/>
              <w:jc w:val="center"/>
            </w:pPr>
            <w:r w:rsidRPr="00037AD4">
              <w:t>(0.875 - 1.578)</w:t>
            </w:r>
          </w:p>
        </w:tc>
      </w:tr>
      <w:tr w:rsidR="00B54D51" w:rsidRPr="00037AD4" w14:paraId="68537F45" w14:textId="77777777" w:rsidTr="00401C67">
        <w:trPr>
          <w:jc w:val="center"/>
        </w:trPr>
        <w:tc>
          <w:tcPr>
            <w:tcW w:w="1227" w:type="pct"/>
            <w:tcBorders>
              <w:top w:val="nil"/>
              <w:left w:val="nil"/>
              <w:bottom w:val="nil"/>
              <w:right w:val="nil"/>
            </w:tcBorders>
          </w:tcPr>
          <w:p w14:paraId="68AA0DDF" w14:textId="77777777" w:rsidR="00B54D51" w:rsidRPr="00037AD4" w:rsidRDefault="00B54D51" w:rsidP="00401C67">
            <w:pPr>
              <w:widowControl w:val="0"/>
              <w:autoSpaceDE w:val="0"/>
              <w:autoSpaceDN w:val="0"/>
              <w:adjustRightInd w:val="0"/>
            </w:pPr>
            <w:r w:rsidRPr="00037AD4">
              <w:t>5.eq1SR_</w:t>
            </w:r>
          </w:p>
        </w:tc>
        <w:tc>
          <w:tcPr>
            <w:tcW w:w="1258" w:type="pct"/>
            <w:tcBorders>
              <w:top w:val="nil"/>
              <w:left w:val="nil"/>
              <w:bottom w:val="nil"/>
              <w:right w:val="nil"/>
            </w:tcBorders>
          </w:tcPr>
          <w:p w14:paraId="5EE30917" w14:textId="77777777" w:rsidR="00B54D51" w:rsidRPr="00037AD4" w:rsidRDefault="00B54D51" w:rsidP="00401C67">
            <w:pPr>
              <w:widowControl w:val="0"/>
              <w:autoSpaceDE w:val="0"/>
              <w:autoSpaceDN w:val="0"/>
              <w:adjustRightInd w:val="0"/>
              <w:jc w:val="center"/>
            </w:pPr>
            <w:r w:rsidRPr="00037AD4">
              <w:t>1.920***</w:t>
            </w:r>
          </w:p>
        </w:tc>
        <w:tc>
          <w:tcPr>
            <w:tcW w:w="1258" w:type="pct"/>
            <w:tcBorders>
              <w:top w:val="nil"/>
              <w:left w:val="nil"/>
              <w:bottom w:val="nil"/>
              <w:right w:val="nil"/>
            </w:tcBorders>
          </w:tcPr>
          <w:p w14:paraId="46E09278" w14:textId="77777777" w:rsidR="00B54D51" w:rsidRPr="00037AD4" w:rsidRDefault="00B54D51" w:rsidP="00401C67">
            <w:pPr>
              <w:widowControl w:val="0"/>
              <w:autoSpaceDE w:val="0"/>
              <w:autoSpaceDN w:val="0"/>
              <w:adjustRightInd w:val="0"/>
              <w:jc w:val="center"/>
            </w:pPr>
            <w:r w:rsidRPr="00037AD4">
              <w:t>1.891***</w:t>
            </w:r>
          </w:p>
        </w:tc>
        <w:tc>
          <w:tcPr>
            <w:tcW w:w="1258" w:type="pct"/>
            <w:tcBorders>
              <w:top w:val="nil"/>
              <w:left w:val="nil"/>
              <w:bottom w:val="nil"/>
              <w:right w:val="nil"/>
            </w:tcBorders>
          </w:tcPr>
          <w:p w14:paraId="305FDAA3" w14:textId="77777777" w:rsidR="00B54D51" w:rsidRPr="00037AD4" w:rsidRDefault="00B54D51" w:rsidP="00401C67">
            <w:pPr>
              <w:widowControl w:val="0"/>
              <w:autoSpaceDE w:val="0"/>
              <w:autoSpaceDN w:val="0"/>
              <w:adjustRightInd w:val="0"/>
              <w:jc w:val="center"/>
            </w:pPr>
            <w:r w:rsidRPr="00037AD4">
              <w:t>1.890***</w:t>
            </w:r>
          </w:p>
        </w:tc>
      </w:tr>
      <w:tr w:rsidR="00B54D51" w:rsidRPr="00037AD4" w14:paraId="0E350034" w14:textId="77777777" w:rsidTr="00401C67">
        <w:trPr>
          <w:jc w:val="center"/>
        </w:trPr>
        <w:tc>
          <w:tcPr>
            <w:tcW w:w="1227" w:type="pct"/>
            <w:tcBorders>
              <w:top w:val="nil"/>
              <w:left w:val="nil"/>
              <w:bottom w:val="nil"/>
              <w:right w:val="nil"/>
            </w:tcBorders>
          </w:tcPr>
          <w:p w14:paraId="66467506" w14:textId="77777777" w:rsidR="00B54D51" w:rsidRPr="00037AD4" w:rsidRDefault="00B54D51" w:rsidP="00401C67">
            <w:pPr>
              <w:widowControl w:val="0"/>
              <w:autoSpaceDE w:val="0"/>
              <w:autoSpaceDN w:val="0"/>
              <w:adjustRightInd w:val="0"/>
            </w:pPr>
          </w:p>
        </w:tc>
        <w:tc>
          <w:tcPr>
            <w:tcW w:w="1258" w:type="pct"/>
            <w:tcBorders>
              <w:top w:val="nil"/>
              <w:left w:val="nil"/>
              <w:bottom w:val="nil"/>
              <w:right w:val="nil"/>
            </w:tcBorders>
          </w:tcPr>
          <w:p w14:paraId="380443CB" w14:textId="77777777" w:rsidR="00B54D51" w:rsidRPr="00037AD4" w:rsidRDefault="00B54D51" w:rsidP="00401C67">
            <w:pPr>
              <w:widowControl w:val="0"/>
              <w:autoSpaceDE w:val="0"/>
              <w:autoSpaceDN w:val="0"/>
              <w:adjustRightInd w:val="0"/>
              <w:jc w:val="center"/>
            </w:pPr>
            <w:r w:rsidRPr="00037AD4">
              <w:t>(1.449 - 2.390)</w:t>
            </w:r>
          </w:p>
        </w:tc>
        <w:tc>
          <w:tcPr>
            <w:tcW w:w="1258" w:type="pct"/>
            <w:tcBorders>
              <w:top w:val="nil"/>
              <w:left w:val="nil"/>
              <w:bottom w:val="nil"/>
              <w:right w:val="nil"/>
            </w:tcBorders>
          </w:tcPr>
          <w:p w14:paraId="16A989B5" w14:textId="77777777" w:rsidR="00B54D51" w:rsidRPr="00037AD4" w:rsidRDefault="00B54D51" w:rsidP="00401C67">
            <w:pPr>
              <w:widowControl w:val="0"/>
              <w:autoSpaceDE w:val="0"/>
              <w:autoSpaceDN w:val="0"/>
              <w:adjustRightInd w:val="0"/>
              <w:jc w:val="center"/>
            </w:pPr>
            <w:r w:rsidRPr="00037AD4">
              <w:t>(1.515 - 2.266)</w:t>
            </w:r>
          </w:p>
        </w:tc>
        <w:tc>
          <w:tcPr>
            <w:tcW w:w="1258" w:type="pct"/>
            <w:tcBorders>
              <w:top w:val="nil"/>
              <w:left w:val="nil"/>
              <w:bottom w:val="nil"/>
              <w:right w:val="nil"/>
            </w:tcBorders>
          </w:tcPr>
          <w:p w14:paraId="011498C2" w14:textId="77777777" w:rsidR="00B54D51" w:rsidRPr="00037AD4" w:rsidRDefault="00B54D51" w:rsidP="00401C67">
            <w:pPr>
              <w:widowControl w:val="0"/>
              <w:autoSpaceDE w:val="0"/>
              <w:autoSpaceDN w:val="0"/>
              <w:adjustRightInd w:val="0"/>
              <w:jc w:val="center"/>
            </w:pPr>
            <w:r w:rsidRPr="00037AD4">
              <w:t>(1.514 - 2.266)</w:t>
            </w:r>
          </w:p>
        </w:tc>
      </w:tr>
      <w:tr w:rsidR="00B54D51" w:rsidRPr="00037AD4" w14:paraId="34FEBE47" w14:textId="77777777" w:rsidTr="00401C67">
        <w:trPr>
          <w:jc w:val="center"/>
        </w:trPr>
        <w:tc>
          <w:tcPr>
            <w:tcW w:w="1227" w:type="pct"/>
            <w:tcBorders>
              <w:top w:val="nil"/>
              <w:left w:val="nil"/>
              <w:bottom w:val="nil"/>
              <w:right w:val="nil"/>
            </w:tcBorders>
          </w:tcPr>
          <w:p w14:paraId="22558770" w14:textId="77777777" w:rsidR="00B54D51" w:rsidRPr="00037AD4" w:rsidRDefault="00B54D51" w:rsidP="00401C67">
            <w:pPr>
              <w:widowControl w:val="0"/>
              <w:autoSpaceDE w:val="0"/>
              <w:autoSpaceDN w:val="0"/>
              <w:adjustRightInd w:val="0"/>
            </w:pPr>
            <w:r w:rsidRPr="00037AD4">
              <w:t>2.eq2SR_</w:t>
            </w:r>
          </w:p>
        </w:tc>
        <w:tc>
          <w:tcPr>
            <w:tcW w:w="1258" w:type="pct"/>
            <w:tcBorders>
              <w:top w:val="nil"/>
              <w:left w:val="nil"/>
              <w:bottom w:val="nil"/>
              <w:right w:val="nil"/>
            </w:tcBorders>
          </w:tcPr>
          <w:p w14:paraId="463989AC" w14:textId="77777777" w:rsidR="00B54D51" w:rsidRPr="00037AD4" w:rsidRDefault="00B54D51" w:rsidP="00401C67">
            <w:pPr>
              <w:widowControl w:val="0"/>
              <w:autoSpaceDE w:val="0"/>
              <w:autoSpaceDN w:val="0"/>
              <w:adjustRightInd w:val="0"/>
              <w:jc w:val="center"/>
            </w:pPr>
            <w:r w:rsidRPr="00037AD4">
              <w:t>-0.041</w:t>
            </w:r>
          </w:p>
        </w:tc>
        <w:tc>
          <w:tcPr>
            <w:tcW w:w="1258" w:type="pct"/>
            <w:tcBorders>
              <w:top w:val="nil"/>
              <w:left w:val="nil"/>
              <w:bottom w:val="nil"/>
              <w:right w:val="nil"/>
            </w:tcBorders>
          </w:tcPr>
          <w:p w14:paraId="28637399" w14:textId="77777777" w:rsidR="00B54D51" w:rsidRPr="00037AD4" w:rsidRDefault="00B54D51" w:rsidP="00401C67">
            <w:pPr>
              <w:widowControl w:val="0"/>
              <w:autoSpaceDE w:val="0"/>
              <w:autoSpaceDN w:val="0"/>
              <w:adjustRightInd w:val="0"/>
              <w:jc w:val="center"/>
            </w:pPr>
          </w:p>
        </w:tc>
        <w:tc>
          <w:tcPr>
            <w:tcW w:w="1258" w:type="pct"/>
            <w:tcBorders>
              <w:top w:val="nil"/>
              <w:left w:val="nil"/>
              <w:bottom w:val="nil"/>
              <w:right w:val="nil"/>
            </w:tcBorders>
          </w:tcPr>
          <w:p w14:paraId="0A568A27" w14:textId="77777777" w:rsidR="00B54D51" w:rsidRPr="00037AD4" w:rsidRDefault="00B54D51" w:rsidP="00401C67">
            <w:pPr>
              <w:widowControl w:val="0"/>
              <w:autoSpaceDE w:val="0"/>
              <w:autoSpaceDN w:val="0"/>
              <w:adjustRightInd w:val="0"/>
              <w:jc w:val="center"/>
            </w:pPr>
          </w:p>
        </w:tc>
      </w:tr>
      <w:tr w:rsidR="00B54D51" w:rsidRPr="00037AD4" w14:paraId="287BE7FD" w14:textId="77777777" w:rsidTr="00401C67">
        <w:trPr>
          <w:jc w:val="center"/>
        </w:trPr>
        <w:tc>
          <w:tcPr>
            <w:tcW w:w="1227" w:type="pct"/>
            <w:tcBorders>
              <w:top w:val="nil"/>
              <w:left w:val="nil"/>
              <w:bottom w:val="nil"/>
              <w:right w:val="nil"/>
            </w:tcBorders>
          </w:tcPr>
          <w:p w14:paraId="2BD687E8" w14:textId="77777777" w:rsidR="00B54D51" w:rsidRPr="00037AD4" w:rsidRDefault="00B54D51" w:rsidP="00401C67">
            <w:pPr>
              <w:widowControl w:val="0"/>
              <w:autoSpaceDE w:val="0"/>
              <w:autoSpaceDN w:val="0"/>
              <w:adjustRightInd w:val="0"/>
            </w:pPr>
          </w:p>
        </w:tc>
        <w:tc>
          <w:tcPr>
            <w:tcW w:w="1258" w:type="pct"/>
            <w:tcBorders>
              <w:top w:val="nil"/>
              <w:left w:val="nil"/>
              <w:bottom w:val="nil"/>
              <w:right w:val="nil"/>
            </w:tcBorders>
          </w:tcPr>
          <w:p w14:paraId="60288826" w14:textId="77777777" w:rsidR="00B54D51" w:rsidRPr="00037AD4" w:rsidRDefault="00B54D51" w:rsidP="00401C67">
            <w:pPr>
              <w:widowControl w:val="0"/>
              <w:autoSpaceDE w:val="0"/>
              <w:autoSpaceDN w:val="0"/>
              <w:adjustRightInd w:val="0"/>
              <w:jc w:val="center"/>
            </w:pPr>
            <w:r w:rsidRPr="00037AD4">
              <w:t>(-0.279 - 0.198)</w:t>
            </w:r>
          </w:p>
        </w:tc>
        <w:tc>
          <w:tcPr>
            <w:tcW w:w="1258" w:type="pct"/>
            <w:tcBorders>
              <w:top w:val="nil"/>
              <w:left w:val="nil"/>
              <w:bottom w:val="nil"/>
              <w:right w:val="nil"/>
            </w:tcBorders>
          </w:tcPr>
          <w:p w14:paraId="0DFC14D7" w14:textId="77777777" w:rsidR="00B54D51" w:rsidRPr="00037AD4" w:rsidRDefault="00B54D51" w:rsidP="00401C67">
            <w:pPr>
              <w:widowControl w:val="0"/>
              <w:autoSpaceDE w:val="0"/>
              <w:autoSpaceDN w:val="0"/>
              <w:adjustRightInd w:val="0"/>
              <w:jc w:val="center"/>
            </w:pPr>
          </w:p>
        </w:tc>
        <w:tc>
          <w:tcPr>
            <w:tcW w:w="1258" w:type="pct"/>
            <w:tcBorders>
              <w:top w:val="nil"/>
              <w:left w:val="nil"/>
              <w:bottom w:val="nil"/>
              <w:right w:val="nil"/>
            </w:tcBorders>
          </w:tcPr>
          <w:p w14:paraId="1AB83953" w14:textId="77777777" w:rsidR="00B54D51" w:rsidRPr="00037AD4" w:rsidRDefault="00B54D51" w:rsidP="00401C67">
            <w:pPr>
              <w:widowControl w:val="0"/>
              <w:autoSpaceDE w:val="0"/>
              <w:autoSpaceDN w:val="0"/>
              <w:adjustRightInd w:val="0"/>
              <w:jc w:val="center"/>
            </w:pPr>
          </w:p>
        </w:tc>
      </w:tr>
      <w:tr w:rsidR="00B54D51" w:rsidRPr="00037AD4" w14:paraId="636B51E0" w14:textId="77777777" w:rsidTr="00401C67">
        <w:trPr>
          <w:jc w:val="center"/>
        </w:trPr>
        <w:tc>
          <w:tcPr>
            <w:tcW w:w="1227" w:type="pct"/>
            <w:tcBorders>
              <w:top w:val="nil"/>
              <w:left w:val="nil"/>
              <w:bottom w:val="nil"/>
              <w:right w:val="nil"/>
            </w:tcBorders>
          </w:tcPr>
          <w:p w14:paraId="347FAFA6" w14:textId="77777777" w:rsidR="00B54D51" w:rsidRPr="00037AD4" w:rsidRDefault="00B54D51" w:rsidP="00401C67">
            <w:pPr>
              <w:widowControl w:val="0"/>
              <w:autoSpaceDE w:val="0"/>
              <w:autoSpaceDN w:val="0"/>
              <w:adjustRightInd w:val="0"/>
            </w:pPr>
            <w:r w:rsidRPr="00037AD4">
              <w:lastRenderedPageBreak/>
              <w:t>3.eq2SR_</w:t>
            </w:r>
          </w:p>
        </w:tc>
        <w:tc>
          <w:tcPr>
            <w:tcW w:w="1258" w:type="pct"/>
            <w:tcBorders>
              <w:top w:val="nil"/>
              <w:left w:val="nil"/>
              <w:bottom w:val="nil"/>
              <w:right w:val="nil"/>
            </w:tcBorders>
          </w:tcPr>
          <w:p w14:paraId="21824BDF" w14:textId="77777777" w:rsidR="00B54D51" w:rsidRPr="00037AD4" w:rsidRDefault="00B54D51" w:rsidP="00401C67">
            <w:pPr>
              <w:widowControl w:val="0"/>
              <w:autoSpaceDE w:val="0"/>
              <w:autoSpaceDN w:val="0"/>
              <w:adjustRightInd w:val="0"/>
              <w:jc w:val="center"/>
            </w:pPr>
            <w:r w:rsidRPr="00037AD4">
              <w:t>0.190</w:t>
            </w:r>
          </w:p>
        </w:tc>
        <w:tc>
          <w:tcPr>
            <w:tcW w:w="1258" w:type="pct"/>
            <w:tcBorders>
              <w:top w:val="nil"/>
              <w:left w:val="nil"/>
              <w:bottom w:val="nil"/>
              <w:right w:val="nil"/>
            </w:tcBorders>
          </w:tcPr>
          <w:p w14:paraId="1EA57850" w14:textId="77777777" w:rsidR="00B54D51" w:rsidRPr="00037AD4" w:rsidRDefault="00B54D51" w:rsidP="00401C67">
            <w:pPr>
              <w:widowControl w:val="0"/>
              <w:autoSpaceDE w:val="0"/>
              <w:autoSpaceDN w:val="0"/>
              <w:adjustRightInd w:val="0"/>
              <w:jc w:val="center"/>
            </w:pPr>
          </w:p>
        </w:tc>
        <w:tc>
          <w:tcPr>
            <w:tcW w:w="1258" w:type="pct"/>
            <w:tcBorders>
              <w:top w:val="nil"/>
              <w:left w:val="nil"/>
              <w:bottom w:val="nil"/>
              <w:right w:val="nil"/>
            </w:tcBorders>
          </w:tcPr>
          <w:p w14:paraId="4D0567C8" w14:textId="77777777" w:rsidR="00B54D51" w:rsidRPr="00037AD4" w:rsidRDefault="00B54D51" w:rsidP="00401C67">
            <w:pPr>
              <w:widowControl w:val="0"/>
              <w:autoSpaceDE w:val="0"/>
              <w:autoSpaceDN w:val="0"/>
              <w:adjustRightInd w:val="0"/>
              <w:jc w:val="center"/>
            </w:pPr>
          </w:p>
        </w:tc>
      </w:tr>
      <w:tr w:rsidR="00B54D51" w:rsidRPr="00037AD4" w14:paraId="20C63E22" w14:textId="77777777" w:rsidTr="00401C67">
        <w:trPr>
          <w:jc w:val="center"/>
        </w:trPr>
        <w:tc>
          <w:tcPr>
            <w:tcW w:w="1227" w:type="pct"/>
            <w:tcBorders>
              <w:top w:val="nil"/>
              <w:left w:val="nil"/>
              <w:bottom w:val="nil"/>
              <w:right w:val="nil"/>
            </w:tcBorders>
          </w:tcPr>
          <w:p w14:paraId="2730DFA2" w14:textId="77777777" w:rsidR="00B54D51" w:rsidRPr="00037AD4" w:rsidRDefault="00B54D51" w:rsidP="00401C67">
            <w:pPr>
              <w:widowControl w:val="0"/>
              <w:autoSpaceDE w:val="0"/>
              <w:autoSpaceDN w:val="0"/>
              <w:adjustRightInd w:val="0"/>
            </w:pPr>
          </w:p>
        </w:tc>
        <w:tc>
          <w:tcPr>
            <w:tcW w:w="1258" w:type="pct"/>
            <w:tcBorders>
              <w:top w:val="nil"/>
              <w:left w:val="nil"/>
              <w:bottom w:val="nil"/>
              <w:right w:val="nil"/>
            </w:tcBorders>
          </w:tcPr>
          <w:p w14:paraId="19001ADA" w14:textId="77777777" w:rsidR="00B54D51" w:rsidRPr="00037AD4" w:rsidRDefault="00B54D51" w:rsidP="00401C67">
            <w:pPr>
              <w:widowControl w:val="0"/>
              <w:autoSpaceDE w:val="0"/>
              <w:autoSpaceDN w:val="0"/>
              <w:adjustRightInd w:val="0"/>
              <w:jc w:val="center"/>
            </w:pPr>
            <w:r w:rsidRPr="00037AD4">
              <w:t>(-0.101 - 0.482)</w:t>
            </w:r>
          </w:p>
        </w:tc>
        <w:tc>
          <w:tcPr>
            <w:tcW w:w="1258" w:type="pct"/>
            <w:tcBorders>
              <w:top w:val="nil"/>
              <w:left w:val="nil"/>
              <w:bottom w:val="nil"/>
              <w:right w:val="nil"/>
            </w:tcBorders>
          </w:tcPr>
          <w:p w14:paraId="3412DE3C" w14:textId="77777777" w:rsidR="00B54D51" w:rsidRPr="00037AD4" w:rsidRDefault="00B54D51" w:rsidP="00401C67">
            <w:pPr>
              <w:widowControl w:val="0"/>
              <w:autoSpaceDE w:val="0"/>
              <w:autoSpaceDN w:val="0"/>
              <w:adjustRightInd w:val="0"/>
              <w:jc w:val="center"/>
            </w:pPr>
          </w:p>
        </w:tc>
        <w:tc>
          <w:tcPr>
            <w:tcW w:w="1258" w:type="pct"/>
            <w:tcBorders>
              <w:top w:val="nil"/>
              <w:left w:val="nil"/>
              <w:bottom w:val="nil"/>
              <w:right w:val="nil"/>
            </w:tcBorders>
          </w:tcPr>
          <w:p w14:paraId="52E470BF" w14:textId="77777777" w:rsidR="00B54D51" w:rsidRPr="00037AD4" w:rsidRDefault="00B54D51" w:rsidP="00401C67">
            <w:pPr>
              <w:widowControl w:val="0"/>
              <w:autoSpaceDE w:val="0"/>
              <w:autoSpaceDN w:val="0"/>
              <w:adjustRightInd w:val="0"/>
              <w:jc w:val="center"/>
            </w:pPr>
          </w:p>
        </w:tc>
      </w:tr>
      <w:tr w:rsidR="00B54D51" w:rsidRPr="00037AD4" w14:paraId="61F88277" w14:textId="77777777" w:rsidTr="00401C67">
        <w:trPr>
          <w:jc w:val="center"/>
        </w:trPr>
        <w:tc>
          <w:tcPr>
            <w:tcW w:w="1227" w:type="pct"/>
            <w:tcBorders>
              <w:top w:val="nil"/>
              <w:left w:val="nil"/>
              <w:bottom w:val="nil"/>
              <w:right w:val="nil"/>
            </w:tcBorders>
          </w:tcPr>
          <w:p w14:paraId="704A63A8" w14:textId="77777777" w:rsidR="00B54D51" w:rsidRPr="00037AD4" w:rsidRDefault="00B54D51" w:rsidP="00401C67">
            <w:pPr>
              <w:widowControl w:val="0"/>
              <w:autoSpaceDE w:val="0"/>
              <w:autoSpaceDN w:val="0"/>
              <w:adjustRightInd w:val="0"/>
            </w:pPr>
            <w:r w:rsidRPr="00037AD4">
              <w:t>4.eq2SR_</w:t>
            </w:r>
          </w:p>
        </w:tc>
        <w:tc>
          <w:tcPr>
            <w:tcW w:w="1258" w:type="pct"/>
            <w:tcBorders>
              <w:top w:val="nil"/>
              <w:left w:val="nil"/>
              <w:bottom w:val="nil"/>
              <w:right w:val="nil"/>
            </w:tcBorders>
          </w:tcPr>
          <w:p w14:paraId="70DE24E8" w14:textId="77777777" w:rsidR="00B54D51" w:rsidRPr="00037AD4" w:rsidRDefault="00B54D51" w:rsidP="00401C67">
            <w:pPr>
              <w:widowControl w:val="0"/>
              <w:autoSpaceDE w:val="0"/>
              <w:autoSpaceDN w:val="0"/>
              <w:adjustRightInd w:val="0"/>
              <w:jc w:val="center"/>
            </w:pPr>
            <w:r w:rsidRPr="00037AD4">
              <w:t>-0.210</w:t>
            </w:r>
          </w:p>
        </w:tc>
        <w:tc>
          <w:tcPr>
            <w:tcW w:w="1258" w:type="pct"/>
            <w:tcBorders>
              <w:top w:val="nil"/>
              <w:left w:val="nil"/>
              <w:bottom w:val="nil"/>
              <w:right w:val="nil"/>
            </w:tcBorders>
          </w:tcPr>
          <w:p w14:paraId="153AC24F" w14:textId="77777777" w:rsidR="00B54D51" w:rsidRPr="00037AD4" w:rsidRDefault="00B54D51" w:rsidP="00401C67">
            <w:pPr>
              <w:widowControl w:val="0"/>
              <w:autoSpaceDE w:val="0"/>
              <w:autoSpaceDN w:val="0"/>
              <w:adjustRightInd w:val="0"/>
              <w:jc w:val="center"/>
            </w:pPr>
          </w:p>
        </w:tc>
        <w:tc>
          <w:tcPr>
            <w:tcW w:w="1258" w:type="pct"/>
            <w:tcBorders>
              <w:top w:val="nil"/>
              <w:left w:val="nil"/>
              <w:bottom w:val="nil"/>
              <w:right w:val="nil"/>
            </w:tcBorders>
          </w:tcPr>
          <w:p w14:paraId="0A3D0514" w14:textId="77777777" w:rsidR="00B54D51" w:rsidRPr="00037AD4" w:rsidRDefault="00B54D51" w:rsidP="00401C67">
            <w:pPr>
              <w:widowControl w:val="0"/>
              <w:autoSpaceDE w:val="0"/>
              <w:autoSpaceDN w:val="0"/>
              <w:adjustRightInd w:val="0"/>
              <w:jc w:val="center"/>
            </w:pPr>
          </w:p>
        </w:tc>
      </w:tr>
      <w:tr w:rsidR="00B54D51" w:rsidRPr="00037AD4" w14:paraId="0B87027F" w14:textId="77777777" w:rsidTr="00401C67">
        <w:trPr>
          <w:jc w:val="center"/>
        </w:trPr>
        <w:tc>
          <w:tcPr>
            <w:tcW w:w="1227" w:type="pct"/>
            <w:tcBorders>
              <w:top w:val="nil"/>
              <w:left w:val="nil"/>
              <w:bottom w:val="nil"/>
              <w:right w:val="nil"/>
            </w:tcBorders>
          </w:tcPr>
          <w:p w14:paraId="15B203E6" w14:textId="77777777" w:rsidR="00B54D51" w:rsidRPr="00037AD4" w:rsidRDefault="00B54D51" w:rsidP="00401C67">
            <w:pPr>
              <w:widowControl w:val="0"/>
              <w:autoSpaceDE w:val="0"/>
              <w:autoSpaceDN w:val="0"/>
              <w:adjustRightInd w:val="0"/>
            </w:pPr>
          </w:p>
        </w:tc>
        <w:tc>
          <w:tcPr>
            <w:tcW w:w="1258" w:type="pct"/>
            <w:tcBorders>
              <w:top w:val="nil"/>
              <w:left w:val="nil"/>
              <w:bottom w:val="nil"/>
              <w:right w:val="nil"/>
            </w:tcBorders>
          </w:tcPr>
          <w:p w14:paraId="694C3AE9" w14:textId="77777777" w:rsidR="00B54D51" w:rsidRPr="00037AD4" w:rsidRDefault="00B54D51" w:rsidP="00401C67">
            <w:pPr>
              <w:widowControl w:val="0"/>
              <w:autoSpaceDE w:val="0"/>
              <w:autoSpaceDN w:val="0"/>
              <w:adjustRightInd w:val="0"/>
              <w:jc w:val="center"/>
            </w:pPr>
            <w:r w:rsidRPr="00037AD4">
              <w:t>(-0.764 - 0.343)</w:t>
            </w:r>
          </w:p>
        </w:tc>
        <w:tc>
          <w:tcPr>
            <w:tcW w:w="1258" w:type="pct"/>
            <w:tcBorders>
              <w:top w:val="nil"/>
              <w:left w:val="nil"/>
              <w:bottom w:val="nil"/>
              <w:right w:val="nil"/>
            </w:tcBorders>
          </w:tcPr>
          <w:p w14:paraId="2C7CEADE" w14:textId="77777777" w:rsidR="00B54D51" w:rsidRPr="00037AD4" w:rsidRDefault="00B54D51" w:rsidP="00401C67">
            <w:pPr>
              <w:widowControl w:val="0"/>
              <w:autoSpaceDE w:val="0"/>
              <w:autoSpaceDN w:val="0"/>
              <w:adjustRightInd w:val="0"/>
              <w:jc w:val="center"/>
            </w:pPr>
          </w:p>
        </w:tc>
        <w:tc>
          <w:tcPr>
            <w:tcW w:w="1258" w:type="pct"/>
            <w:tcBorders>
              <w:top w:val="nil"/>
              <w:left w:val="nil"/>
              <w:bottom w:val="nil"/>
              <w:right w:val="nil"/>
            </w:tcBorders>
          </w:tcPr>
          <w:p w14:paraId="4F4B018B" w14:textId="77777777" w:rsidR="00B54D51" w:rsidRPr="00037AD4" w:rsidRDefault="00B54D51" w:rsidP="00401C67">
            <w:pPr>
              <w:widowControl w:val="0"/>
              <w:autoSpaceDE w:val="0"/>
              <w:autoSpaceDN w:val="0"/>
              <w:adjustRightInd w:val="0"/>
              <w:jc w:val="center"/>
            </w:pPr>
          </w:p>
        </w:tc>
      </w:tr>
      <w:tr w:rsidR="00B54D51" w:rsidRPr="00037AD4" w14:paraId="6105C4BC" w14:textId="77777777" w:rsidTr="00401C67">
        <w:trPr>
          <w:jc w:val="center"/>
        </w:trPr>
        <w:tc>
          <w:tcPr>
            <w:tcW w:w="1227" w:type="pct"/>
            <w:tcBorders>
              <w:top w:val="nil"/>
              <w:left w:val="nil"/>
              <w:bottom w:val="nil"/>
              <w:right w:val="nil"/>
            </w:tcBorders>
          </w:tcPr>
          <w:p w14:paraId="5577832C" w14:textId="77777777" w:rsidR="00B54D51" w:rsidRPr="00037AD4" w:rsidRDefault="00B54D51" w:rsidP="00401C67">
            <w:pPr>
              <w:widowControl w:val="0"/>
              <w:autoSpaceDE w:val="0"/>
              <w:autoSpaceDN w:val="0"/>
              <w:adjustRightInd w:val="0"/>
            </w:pPr>
            <w:r w:rsidRPr="00037AD4">
              <w:t>5.eq2SR_</w:t>
            </w:r>
          </w:p>
        </w:tc>
        <w:tc>
          <w:tcPr>
            <w:tcW w:w="1258" w:type="pct"/>
            <w:tcBorders>
              <w:top w:val="nil"/>
              <w:left w:val="nil"/>
              <w:bottom w:val="nil"/>
              <w:right w:val="nil"/>
            </w:tcBorders>
          </w:tcPr>
          <w:p w14:paraId="64F0224C" w14:textId="77777777" w:rsidR="00B54D51" w:rsidRPr="00037AD4" w:rsidRDefault="00B54D51" w:rsidP="00401C67">
            <w:pPr>
              <w:widowControl w:val="0"/>
              <w:autoSpaceDE w:val="0"/>
              <w:autoSpaceDN w:val="0"/>
              <w:adjustRightInd w:val="0"/>
              <w:jc w:val="center"/>
            </w:pPr>
            <w:r w:rsidRPr="00037AD4">
              <w:t>-0.085</w:t>
            </w:r>
          </w:p>
        </w:tc>
        <w:tc>
          <w:tcPr>
            <w:tcW w:w="1258" w:type="pct"/>
            <w:tcBorders>
              <w:top w:val="nil"/>
              <w:left w:val="nil"/>
              <w:bottom w:val="nil"/>
              <w:right w:val="nil"/>
            </w:tcBorders>
          </w:tcPr>
          <w:p w14:paraId="6B60AC5A" w14:textId="77777777" w:rsidR="00B54D51" w:rsidRPr="00037AD4" w:rsidRDefault="00B54D51" w:rsidP="00401C67">
            <w:pPr>
              <w:widowControl w:val="0"/>
              <w:autoSpaceDE w:val="0"/>
              <w:autoSpaceDN w:val="0"/>
              <w:adjustRightInd w:val="0"/>
              <w:jc w:val="center"/>
            </w:pPr>
          </w:p>
        </w:tc>
        <w:tc>
          <w:tcPr>
            <w:tcW w:w="1258" w:type="pct"/>
            <w:tcBorders>
              <w:top w:val="nil"/>
              <w:left w:val="nil"/>
              <w:bottom w:val="nil"/>
              <w:right w:val="nil"/>
            </w:tcBorders>
          </w:tcPr>
          <w:p w14:paraId="76C0E45D" w14:textId="77777777" w:rsidR="00B54D51" w:rsidRPr="00037AD4" w:rsidRDefault="00B54D51" w:rsidP="00401C67">
            <w:pPr>
              <w:widowControl w:val="0"/>
              <w:autoSpaceDE w:val="0"/>
              <w:autoSpaceDN w:val="0"/>
              <w:adjustRightInd w:val="0"/>
              <w:jc w:val="center"/>
            </w:pPr>
          </w:p>
        </w:tc>
      </w:tr>
      <w:tr w:rsidR="00B54D51" w:rsidRPr="00037AD4" w14:paraId="3935A6A9" w14:textId="77777777" w:rsidTr="00401C67">
        <w:trPr>
          <w:jc w:val="center"/>
        </w:trPr>
        <w:tc>
          <w:tcPr>
            <w:tcW w:w="1227" w:type="pct"/>
            <w:tcBorders>
              <w:top w:val="nil"/>
              <w:left w:val="nil"/>
              <w:bottom w:val="nil"/>
              <w:right w:val="nil"/>
            </w:tcBorders>
          </w:tcPr>
          <w:p w14:paraId="3559515D" w14:textId="77777777" w:rsidR="00B54D51" w:rsidRPr="00037AD4" w:rsidRDefault="00B54D51" w:rsidP="00401C67">
            <w:pPr>
              <w:widowControl w:val="0"/>
              <w:autoSpaceDE w:val="0"/>
              <w:autoSpaceDN w:val="0"/>
              <w:adjustRightInd w:val="0"/>
            </w:pPr>
          </w:p>
        </w:tc>
        <w:tc>
          <w:tcPr>
            <w:tcW w:w="1258" w:type="pct"/>
            <w:tcBorders>
              <w:top w:val="nil"/>
              <w:left w:val="nil"/>
              <w:bottom w:val="nil"/>
              <w:right w:val="nil"/>
            </w:tcBorders>
          </w:tcPr>
          <w:p w14:paraId="3E933A4C" w14:textId="77777777" w:rsidR="00B54D51" w:rsidRPr="00037AD4" w:rsidRDefault="00B54D51" w:rsidP="00401C67">
            <w:pPr>
              <w:widowControl w:val="0"/>
              <w:autoSpaceDE w:val="0"/>
              <w:autoSpaceDN w:val="0"/>
              <w:adjustRightInd w:val="0"/>
              <w:jc w:val="center"/>
            </w:pPr>
            <w:r w:rsidRPr="00037AD4">
              <w:t>(-0.773 - 0.603)</w:t>
            </w:r>
          </w:p>
        </w:tc>
        <w:tc>
          <w:tcPr>
            <w:tcW w:w="1258" w:type="pct"/>
            <w:tcBorders>
              <w:top w:val="nil"/>
              <w:left w:val="nil"/>
              <w:bottom w:val="nil"/>
              <w:right w:val="nil"/>
            </w:tcBorders>
          </w:tcPr>
          <w:p w14:paraId="31304376" w14:textId="77777777" w:rsidR="00B54D51" w:rsidRPr="00037AD4" w:rsidRDefault="00B54D51" w:rsidP="00401C67">
            <w:pPr>
              <w:widowControl w:val="0"/>
              <w:autoSpaceDE w:val="0"/>
              <w:autoSpaceDN w:val="0"/>
              <w:adjustRightInd w:val="0"/>
              <w:jc w:val="center"/>
            </w:pPr>
          </w:p>
        </w:tc>
        <w:tc>
          <w:tcPr>
            <w:tcW w:w="1258" w:type="pct"/>
            <w:tcBorders>
              <w:top w:val="nil"/>
              <w:left w:val="nil"/>
              <w:bottom w:val="nil"/>
              <w:right w:val="nil"/>
            </w:tcBorders>
          </w:tcPr>
          <w:p w14:paraId="2398D525" w14:textId="77777777" w:rsidR="00B54D51" w:rsidRPr="00037AD4" w:rsidRDefault="00B54D51" w:rsidP="00401C67">
            <w:pPr>
              <w:widowControl w:val="0"/>
              <w:autoSpaceDE w:val="0"/>
              <w:autoSpaceDN w:val="0"/>
              <w:adjustRightInd w:val="0"/>
              <w:jc w:val="center"/>
            </w:pPr>
          </w:p>
        </w:tc>
      </w:tr>
      <w:tr w:rsidR="00B54D51" w:rsidRPr="00037AD4" w14:paraId="061F1B26" w14:textId="77777777" w:rsidTr="00401C67">
        <w:trPr>
          <w:jc w:val="center"/>
        </w:trPr>
        <w:tc>
          <w:tcPr>
            <w:tcW w:w="1227" w:type="pct"/>
            <w:tcBorders>
              <w:top w:val="nil"/>
              <w:left w:val="nil"/>
              <w:bottom w:val="nil"/>
              <w:right w:val="nil"/>
            </w:tcBorders>
          </w:tcPr>
          <w:p w14:paraId="5A478067" w14:textId="77777777" w:rsidR="00B54D51" w:rsidRPr="00037AD4" w:rsidRDefault="00B54D51" w:rsidP="00401C67">
            <w:pPr>
              <w:widowControl w:val="0"/>
              <w:autoSpaceDE w:val="0"/>
              <w:autoSpaceDN w:val="0"/>
              <w:adjustRightInd w:val="0"/>
            </w:pPr>
            <w:r w:rsidRPr="00037AD4">
              <w:t>2.eq3SR_</w:t>
            </w:r>
          </w:p>
        </w:tc>
        <w:tc>
          <w:tcPr>
            <w:tcW w:w="1258" w:type="pct"/>
            <w:tcBorders>
              <w:top w:val="nil"/>
              <w:left w:val="nil"/>
              <w:bottom w:val="nil"/>
              <w:right w:val="nil"/>
            </w:tcBorders>
          </w:tcPr>
          <w:p w14:paraId="0415D58D" w14:textId="77777777" w:rsidR="00B54D51" w:rsidRPr="00037AD4" w:rsidRDefault="00B54D51" w:rsidP="00401C67">
            <w:pPr>
              <w:widowControl w:val="0"/>
              <w:autoSpaceDE w:val="0"/>
              <w:autoSpaceDN w:val="0"/>
              <w:adjustRightInd w:val="0"/>
              <w:jc w:val="center"/>
            </w:pPr>
            <w:r w:rsidRPr="00037AD4">
              <w:t>-0.122</w:t>
            </w:r>
          </w:p>
        </w:tc>
        <w:tc>
          <w:tcPr>
            <w:tcW w:w="1258" w:type="pct"/>
            <w:tcBorders>
              <w:top w:val="nil"/>
              <w:left w:val="nil"/>
              <w:bottom w:val="nil"/>
              <w:right w:val="nil"/>
            </w:tcBorders>
          </w:tcPr>
          <w:p w14:paraId="54AE2570" w14:textId="77777777" w:rsidR="00B54D51" w:rsidRPr="00037AD4" w:rsidRDefault="00B54D51" w:rsidP="00401C67">
            <w:pPr>
              <w:widowControl w:val="0"/>
              <w:autoSpaceDE w:val="0"/>
              <w:autoSpaceDN w:val="0"/>
              <w:adjustRightInd w:val="0"/>
              <w:jc w:val="center"/>
            </w:pPr>
          </w:p>
        </w:tc>
        <w:tc>
          <w:tcPr>
            <w:tcW w:w="1258" w:type="pct"/>
            <w:tcBorders>
              <w:top w:val="nil"/>
              <w:left w:val="nil"/>
              <w:bottom w:val="nil"/>
              <w:right w:val="nil"/>
            </w:tcBorders>
          </w:tcPr>
          <w:p w14:paraId="37DF21C4" w14:textId="77777777" w:rsidR="00B54D51" w:rsidRPr="00037AD4" w:rsidRDefault="00B54D51" w:rsidP="00401C67">
            <w:pPr>
              <w:widowControl w:val="0"/>
              <w:autoSpaceDE w:val="0"/>
              <w:autoSpaceDN w:val="0"/>
              <w:adjustRightInd w:val="0"/>
              <w:jc w:val="center"/>
            </w:pPr>
          </w:p>
        </w:tc>
      </w:tr>
      <w:tr w:rsidR="00B54D51" w:rsidRPr="00037AD4" w14:paraId="4F90118F" w14:textId="77777777" w:rsidTr="00401C67">
        <w:trPr>
          <w:jc w:val="center"/>
        </w:trPr>
        <w:tc>
          <w:tcPr>
            <w:tcW w:w="1227" w:type="pct"/>
            <w:tcBorders>
              <w:top w:val="nil"/>
              <w:left w:val="nil"/>
              <w:bottom w:val="nil"/>
              <w:right w:val="nil"/>
            </w:tcBorders>
          </w:tcPr>
          <w:p w14:paraId="72612418" w14:textId="77777777" w:rsidR="00B54D51" w:rsidRPr="00037AD4" w:rsidRDefault="00B54D51" w:rsidP="00401C67">
            <w:pPr>
              <w:widowControl w:val="0"/>
              <w:autoSpaceDE w:val="0"/>
              <w:autoSpaceDN w:val="0"/>
              <w:adjustRightInd w:val="0"/>
            </w:pPr>
          </w:p>
        </w:tc>
        <w:tc>
          <w:tcPr>
            <w:tcW w:w="1258" w:type="pct"/>
            <w:tcBorders>
              <w:top w:val="nil"/>
              <w:left w:val="nil"/>
              <w:bottom w:val="nil"/>
              <w:right w:val="nil"/>
            </w:tcBorders>
          </w:tcPr>
          <w:p w14:paraId="13B29BC4" w14:textId="77777777" w:rsidR="00B54D51" w:rsidRPr="00037AD4" w:rsidRDefault="00B54D51" w:rsidP="00401C67">
            <w:pPr>
              <w:widowControl w:val="0"/>
              <w:autoSpaceDE w:val="0"/>
              <w:autoSpaceDN w:val="0"/>
              <w:adjustRightInd w:val="0"/>
              <w:jc w:val="center"/>
            </w:pPr>
            <w:r w:rsidRPr="00037AD4">
              <w:t>(-0.378 - 0.133)</w:t>
            </w:r>
          </w:p>
        </w:tc>
        <w:tc>
          <w:tcPr>
            <w:tcW w:w="1258" w:type="pct"/>
            <w:tcBorders>
              <w:top w:val="nil"/>
              <w:left w:val="nil"/>
              <w:bottom w:val="nil"/>
              <w:right w:val="nil"/>
            </w:tcBorders>
          </w:tcPr>
          <w:p w14:paraId="460E692C" w14:textId="77777777" w:rsidR="00B54D51" w:rsidRPr="00037AD4" w:rsidRDefault="00B54D51" w:rsidP="00401C67">
            <w:pPr>
              <w:widowControl w:val="0"/>
              <w:autoSpaceDE w:val="0"/>
              <w:autoSpaceDN w:val="0"/>
              <w:adjustRightInd w:val="0"/>
              <w:jc w:val="center"/>
            </w:pPr>
          </w:p>
        </w:tc>
        <w:tc>
          <w:tcPr>
            <w:tcW w:w="1258" w:type="pct"/>
            <w:tcBorders>
              <w:top w:val="nil"/>
              <w:left w:val="nil"/>
              <w:bottom w:val="nil"/>
              <w:right w:val="nil"/>
            </w:tcBorders>
          </w:tcPr>
          <w:p w14:paraId="31E594F4" w14:textId="77777777" w:rsidR="00B54D51" w:rsidRPr="00037AD4" w:rsidRDefault="00B54D51" w:rsidP="00401C67">
            <w:pPr>
              <w:widowControl w:val="0"/>
              <w:autoSpaceDE w:val="0"/>
              <w:autoSpaceDN w:val="0"/>
              <w:adjustRightInd w:val="0"/>
              <w:jc w:val="center"/>
            </w:pPr>
          </w:p>
        </w:tc>
      </w:tr>
      <w:tr w:rsidR="00B54D51" w:rsidRPr="00037AD4" w14:paraId="10626EFE" w14:textId="77777777" w:rsidTr="00401C67">
        <w:trPr>
          <w:jc w:val="center"/>
        </w:trPr>
        <w:tc>
          <w:tcPr>
            <w:tcW w:w="1227" w:type="pct"/>
            <w:tcBorders>
              <w:top w:val="nil"/>
              <w:left w:val="nil"/>
              <w:bottom w:val="nil"/>
              <w:right w:val="nil"/>
            </w:tcBorders>
          </w:tcPr>
          <w:p w14:paraId="64FE6846" w14:textId="77777777" w:rsidR="00B54D51" w:rsidRPr="00037AD4" w:rsidRDefault="00B54D51" w:rsidP="00401C67">
            <w:pPr>
              <w:widowControl w:val="0"/>
              <w:autoSpaceDE w:val="0"/>
              <w:autoSpaceDN w:val="0"/>
              <w:adjustRightInd w:val="0"/>
            </w:pPr>
            <w:r w:rsidRPr="00037AD4">
              <w:t>3.eq3SR_</w:t>
            </w:r>
          </w:p>
        </w:tc>
        <w:tc>
          <w:tcPr>
            <w:tcW w:w="1258" w:type="pct"/>
            <w:tcBorders>
              <w:top w:val="nil"/>
              <w:left w:val="nil"/>
              <w:bottom w:val="nil"/>
              <w:right w:val="nil"/>
            </w:tcBorders>
          </w:tcPr>
          <w:p w14:paraId="0EF330A8" w14:textId="77777777" w:rsidR="00B54D51" w:rsidRPr="00037AD4" w:rsidRDefault="00B54D51" w:rsidP="00401C67">
            <w:pPr>
              <w:widowControl w:val="0"/>
              <w:autoSpaceDE w:val="0"/>
              <w:autoSpaceDN w:val="0"/>
              <w:adjustRightInd w:val="0"/>
              <w:jc w:val="center"/>
            </w:pPr>
            <w:r w:rsidRPr="00037AD4">
              <w:t>-0.172</w:t>
            </w:r>
          </w:p>
        </w:tc>
        <w:tc>
          <w:tcPr>
            <w:tcW w:w="1258" w:type="pct"/>
            <w:tcBorders>
              <w:top w:val="nil"/>
              <w:left w:val="nil"/>
              <w:bottom w:val="nil"/>
              <w:right w:val="nil"/>
            </w:tcBorders>
          </w:tcPr>
          <w:p w14:paraId="229E4DBD" w14:textId="77777777" w:rsidR="00B54D51" w:rsidRPr="00037AD4" w:rsidRDefault="00B54D51" w:rsidP="00401C67">
            <w:pPr>
              <w:widowControl w:val="0"/>
              <w:autoSpaceDE w:val="0"/>
              <w:autoSpaceDN w:val="0"/>
              <w:adjustRightInd w:val="0"/>
              <w:jc w:val="center"/>
            </w:pPr>
          </w:p>
        </w:tc>
        <w:tc>
          <w:tcPr>
            <w:tcW w:w="1258" w:type="pct"/>
            <w:tcBorders>
              <w:top w:val="nil"/>
              <w:left w:val="nil"/>
              <w:bottom w:val="nil"/>
              <w:right w:val="nil"/>
            </w:tcBorders>
          </w:tcPr>
          <w:p w14:paraId="2E1901AF" w14:textId="77777777" w:rsidR="00B54D51" w:rsidRPr="00037AD4" w:rsidRDefault="00B54D51" w:rsidP="00401C67">
            <w:pPr>
              <w:widowControl w:val="0"/>
              <w:autoSpaceDE w:val="0"/>
              <w:autoSpaceDN w:val="0"/>
              <w:adjustRightInd w:val="0"/>
              <w:jc w:val="center"/>
            </w:pPr>
          </w:p>
        </w:tc>
      </w:tr>
      <w:tr w:rsidR="00B54D51" w:rsidRPr="00037AD4" w14:paraId="4580E7EA" w14:textId="77777777" w:rsidTr="00401C67">
        <w:trPr>
          <w:jc w:val="center"/>
        </w:trPr>
        <w:tc>
          <w:tcPr>
            <w:tcW w:w="1227" w:type="pct"/>
            <w:tcBorders>
              <w:top w:val="nil"/>
              <w:left w:val="nil"/>
              <w:bottom w:val="nil"/>
              <w:right w:val="nil"/>
            </w:tcBorders>
          </w:tcPr>
          <w:p w14:paraId="2B48C6A3" w14:textId="77777777" w:rsidR="00B54D51" w:rsidRPr="00037AD4" w:rsidRDefault="00B54D51" w:rsidP="00401C67">
            <w:pPr>
              <w:widowControl w:val="0"/>
              <w:autoSpaceDE w:val="0"/>
              <w:autoSpaceDN w:val="0"/>
              <w:adjustRightInd w:val="0"/>
            </w:pPr>
          </w:p>
        </w:tc>
        <w:tc>
          <w:tcPr>
            <w:tcW w:w="1258" w:type="pct"/>
            <w:tcBorders>
              <w:top w:val="nil"/>
              <w:left w:val="nil"/>
              <w:bottom w:val="nil"/>
              <w:right w:val="nil"/>
            </w:tcBorders>
          </w:tcPr>
          <w:p w14:paraId="21F9362E" w14:textId="77777777" w:rsidR="00B54D51" w:rsidRPr="00037AD4" w:rsidRDefault="00B54D51" w:rsidP="00401C67">
            <w:pPr>
              <w:widowControl w:val="0"/>
              <w:autoSpaceDE w:val="0"/>
              <w:autoSpaceDN w:val="0"/>
              <w:adjustRightInd w:val="0"/>
              <w:jc w:val="center"/>
            </w:pPr>
            <w:r w:rsidRPr="00037AD4">
              <w:t>(-0.558 - 0.214)</w:t>
            </w:r>
          </w:p>
        </w:tc>
        <w:tc>
          <w:tcPr>
            <w:tcW w:w="1258" w:type="pct"/>
            <w:tcBorders>
              <w:top w:val="nil"/>
              <w:left w:val="nil"/>
              <w:bottom w:val="nil"/>
              <w:right w:val="nil"/>
            </w:tcBorders>
          </w:tcPr>
          <w:p w14:paraId="70A049D1" w14:textId="77777777" w:rsidR="00B54D51" w:rsidRPr="00037AD4" w:rsidRDefault="00B54D51" w:rsidP="00401C67">
            <w:pPr>
              <w:widowControl w:val="0"/>
              <w:autoSpaceDE w:val="0"/>
              <w:autoSpaceDN w:val="0"/>
              <w:adjustRightInd w:val="0"/>
              <w:jc w:val="center"/>
            </w:pPr>
          </w:p>
        </w:tc>
        <w:tc>
          <w:tcPr>
            <w:tcW w:w="1258" w:type="pct"/>
            <w:tcBorders>
              <w:top w:val="nil"/>
              <w:left w:val="nil"/>
              <w:bottom w:val="nil"/>
              <w:right w:val="nil"/>
            </w:tcBorders>
          </w:tcPr>
          <w:p w14:paraId="503CBF3A" w14:textId="77777777" w:rsidR="00B54D51" w:rsidRPr="00037AD4" w:rsidRDefault="00B54D51" w:rsidP="00401C67">
            <w:pPr>
              <w:widowControl w:val="0"/>
              <w:autoSpaceDE w:val="0"/>
              <w:autoSpaceDN w:val="0"/>
              <w:adjustRightInd w:val="0"/>
              <w:jc w:val="center"/>
            </w:pPr>
          </w:p>
        </w:tc>
      </w:tr>
      <w:tr w:rsidR="00B54D51" w:rsidRPr="00037AD4" w14:paraId="101ED317" w14:textId="77777777" w:rsidTr="00401C67">
        <w:trPr>
          <w:jc w:val="center"/>
        </w:trPr>
        <w:tc>
          <w:tcPr>
            <w:tcW w:w="1227" w:type="pct"/>
            <w:tcBorders>
              <w:top w:val="nil"/>
              <w:left w:val="nil"/>
              <w:bottom w:val="nil"/>
              <w:right w:val="nil"/>
            </w:tcBorders>
          </w:tcPr>
          <w:p w14:paraId="7D4DDFA9" w14:textId="77777777" w:rsidR="00B54D51" w:rsidRPr="00037AD4" w:rsidRDefault="00B54D51" w:rsidP="00401C67">
            <w:pPr>
              <w:widowControl w:val="0"/>
              <w:autoSpaceDE w:val="0"/>
              <w:autoSpaceDN w:val="0"/>
              <w:adjustRightInd w:val="0"/>
            </w:pPr>
            <w:r w:rsidRPr="00037AD4">
              <w:t>4.eq3SR_</w:t>
            </w:r>
          </w:p>
        </w:tc>
        <w:tc>
          <w:tcPr>
            <w:tcW w:w="1258" w:type="pct"/>
            <w:tcBorders>
              <w:top w:val="nil"/>
              <w:left w:val="nil"/>
              <w:bottom w:val="nil"/>
              <w:right w:val="nil"/>
            </w:tcBorders>
          </w:tcPr>
          <w:p w14:paraId="2F8A4690" w14:textId="77777777" w:rsidR="00B54D51" w:rsidRPr="00037AD4" w:rsidRDefault="00B54D51" w:rsidP="00401C67">
            <w:pPr>
              <w:widowControl w:val="0"/>
              <w:autoSpaceDE w:val="0"/>
              <w:autoSpaceDN w:val="0"/>
              <w:adjustRightInd w:val="0"/>
              <w:jc w:val="center"/>
            </w:pPr>
            <w:r w:rsidRPr="00037AD4">
              <w:t>-0.042</w:t>
            </w:r>
          </w:p>
        </w:tc>
        <w:tc>
          <w:tcPr>
            <w:tcW w:w="1258" w:type="pct"/>
            <w:tcBorders>
              <w:top w:val="nil"/>
              <w:left w:val="nil"/>
              <w:bottom w:val="nil"/>
              <w:right w:val="nil"/>
            </w:tcBorders>
          </w:tcPr>
          <w:p w14:paraId="66C1D901" w14:textId="77777777" w:rsidR="00B54D51" w:rsidRPr="00037AD4" w:rsidRDefault="00B54D51" w:rsidP="00401C67">
            <w:pPr>
              <w:widowControl w:val="0"/>
              <w:autoSpaceDE w:val="0"/>
              <w:autoSpaceDN w:val="0"/>
              <w:adjustRightInd w:val="0"/>
              <w:jc w:val="center"/>
            </w:pPr>
          </w:p>
        </w:tc>
        <w:tc>
          <w:tcPr>
            <w:tcW w:w="1258" w:type="pct"/>
            <w:tcBorders>
              <w:top w:val="nil"/>
              <w:left w:val="nil"/>
              <w:bottom w:val="nil"/>
              <w:right w:val="nil"/>
            </w:tcBorders>
          </w:tcPr>
          <w:p w14:paraId="35AEDB46" w14:textId="77777777" w:rsidR="00B54D51" w:rsidRPr="00037AD4" w:rsidRDefault="00B54D51" w:rsidP="00401C67">
            <w:pPr>
              <w:widowControl w:val="0"/>
              <w:autoSpaceDE w:val="0"/>
              <w:autoSpaceDN w:val="0"/>
              <w:adjustRightInd w:val="0"/>
              <w:jc w:val="center"/>
            </w:pPr>
          </w:p>
        </w:tc>
      </w:tr>
      <w:tr w:rsidR="00B54D51" w:rsidRPr="00037AD4" w14:paraId="1CB4E6D6" w14:textId="77777777" w:rsidTr="00401C67">
        <w:trPr>
          <w:jc w:val="center"/>
        </w:trPr>
        <w:tc>
          <w:tcPr>
            <w:tcW w:w="1227" w:type="pct"/>
            <w:tcBorders>
              <w:top w:val="nil"/>
              <w:left w:val="nil"/>
              <w:bottom w:val="nil"/>
              <w:right w:val="nil"/>
            </w:tcBorders>
          </w:tcPr>
          <w:p w14:paraId="0994D7D9" w14:textId="77777777" w:rsidR="00B54D51" w:rsidRPr="00037AD4" w:rsidRDefault="00B54D51" w:rsidP="00401C67">
            <w:pPr>
              <w:widowControl w:val="0"/>
              <w:autoSpaceDE w:val="0"/>
              <w:autoSpaceDN w:val="0"/>
              <w:adjustRightInd w:val="0"/>
            </w:pPr>
          </w:p>
        </w:tc>
        <w:tc>
          <w:tcPr>
            <w:tcW w:w="1258" w:type="pct"/>
            <w:tcBorders>
              <w:top w:val="nil"/>
              <w:left w:val="nil"/>
              <w:bottom w:val="nil"/>
              <w:right w:val="nil"/>
            </w:tcBorders>
          </w:tcPr>
          <w:p w14:paraId="2E29660B" w14:textId="77777777" w:rsidR="00B54D51" w:rsidRPr="00037AD4" w:rsidRDefault="00B54D51" w:rsidP="00401C67">
            <w:pPr>
              <w:widowControl w:val="0"/>
              <w:autoSpaceDE w:val="0"/>
              <w:autoSpaceDN w:val="0"/>
              <w:adjustRightInd w:val="0"/>
              <w:jc w:val="center"/>
            </w:pPr>
            <w:r w:rsidRPr="00037AD4">
              <w:t>(-0.562 - 0.477)</w:t>
            </w:r>
          </w:p>
        </w:tc>
        <w:tc>
          <w:tcPr>
            <w:tcW w:w="1258" w:type="pct"/>
            <w:tcBorders>
              <w:top w:val="nil"/>
              <w:left w:val="nil"/>
              <w:bottom w:val="nil"/>
              <w:right w:val="nil"/>
            </w:tcBorders>
          </w:tcPr>
          <w:p w14:paraId="053C6F0B" w14:textId="77777777" w:rsidR="00B54D51" w:rsidRPr="00037AD4" w:rsidRDefault="00B54D51" w:rsidP="00401C67">
            <w:pPr>
              <w:widowControl w:val="0"/>
              <w:autoSpaceDE w:val="0"/>
              <w:autoSpaceDN w:val="0"/>
              <w:adjustRightInd w:val="0"/>
              <w:jc w:val="center"/>
            </w:pPr>
          </w:p>
        </w:tc>
        <w:tc>
          <w:tcPr>
            <w:tcW w:w="1258" w:type="pct"/>
            <w:tcBorders>
              <w:top w:val="nil"/>
              <w:left w:val="nil"/>
              <w:bottom w:val="nil"/>
              <w:right w:val="nil"/>
            </w:tcBorders>
          </w:tcPr>
          <w:p w14:paraId="7A7CB190" w14:textId="77777777" w:rsidR="00B54D51" w:rsidRPr="00037AD4" w:rsidRDefault="00B54D51" w:rsidP="00401C67">
            <w:pPr>
              <w:widowControl w:val="0"/>
              <w:autoSpaceDE w:val="0"/>
              <w:autoSpaceDN w:val="0"/>
              <w:adjustRightInd w:val="0"/>
              <w:jc w:val="center"/>
            </w:pPr>
          </w:p>
        </w:tc>
      </w:tr>
      <w:tr w:rsidR="00B54D51" w:rsidRPr="00037AD4" w14:paraId="33C3E94E" w14:textId="77777777" w:rsidTr="00401C67">
        <w:trPr>
          <w:jc w:val="center"/>
        </w:trPr>
        <w:tc>
          <w:tcPr>
            <w:tcW w:w="1227" w:type="pct"/>
            <w:tcBorders>
              <w:top w:val="nil"/>
              <w:left w:val="nil"/>
              <w:bottom w:val="nil"/>
              <w:right w:val="nil"/>
            </w:tcBorders>
          </w:tcPr>
          <w:p w14:paraId="63086D97" w14:textId="77777777" w:rsidR="00B54D51" w:rsidRPr="00037AD4" w:rsidRDefault="00B54D51" w:rsidP="00401C67">
            <w:pPr>
              <w:widowControl w:val="0"/>
              <w:autoSpaceDE w:val="0"/>
              <w:autoSpaceDN w:val="0"/>
              <w:adjustRightInd w:val="0"/>
            </w:pPr>
            <w:r w:rsidRPr="00037AD4">
              <w:t>5.eq3SR_</w:t>
            </w:r>
          </w:p>
        </w:tc>
        <w:tc>
          <w:tcPr>
            <w:tcW w:w="1258" w:type="pct"/>
            <w:tcBorders>
              <w:top w:val="nil"/>
              <w:left w:val="nil"/>
              <w:bottom w:val="nil"/>
              <w:right w:val="nil"/>
            </w:tcBorders>
          </w:tcPr>
          <w:p w14:paraId="55612F7E" w14:textId="77777777" w:rsidR="00B54D51" w:rsidRPr="00037AD4" w:rsidRDefault="00B54D51" w:rsidP="00401C67">
            <w:pPr>
              <w:widowControl w:val="0"/>
              <w:autoSpaceDE w:val="0"/>
              <w:autoSpaceDN w:val="0"/>
              <w:adjustRightInd w:val="0"/>
              <w:jc w:val="center"/>
            </w:pPr>
            <w:r w:rsidRPr="00037AD4">
              <w:t>0.476*</w:t>
            </w:r>
          </w:p>
        </w:tc>
        <w:tc>
          <w:tcPr>
            <w:tcW w:w="1258" w:type="pct"/>
            <w:tcBorders>
              <w:top w:val="nil"/>
              <w:left w:val="nil"/>
              <w:bottom w:val="nil"/>
              <w:right w:val="nil"/>
            </w:tcBorders>
          </w:tcPr>
          <w:p w14:paraId="0C67D55C" w14:textId="77777777" w:rsidR="00B54D51" w:rsidRPr="00037AD4" w:rsidRDefault="00B54D51" w:rsidP="00401C67">
            <w:pPr>
              <w:widowControl w:val="0"/>
              <w:autoSpaceDE w:val="0"/>
              <w:autoSpaceDN w:val="0"/>
              <w:adjustRightInd w:val="0"/>
              <w:jc w:val="center"/>
            </w:pPr>
          </w:p>
        </w:tc>
        <w:tc>
          <w:tcPr>
            <w:tcW w:w="1258" w:type="pct"/>
            <w:tcBorders>
              <w:top w:val="nil"/>
              <w:left w:val="nil"/>
              <w:bottom w:val="nil"/>
              <w:right w:val="nil"/>
            </w:tcBorders>
          </w:tcPr>
          <w:p w14:paraId="0670E312" w14:textId="77777777" w:rsidR="00B54D51" w:rsidRPr="00037AD4" w:rsidRDefault="00B54D51" w:rsidP="00401C67">
            <w:pPr>
              <w:widowControl w:val="0"/>
              <w:autoSpaceDE w:val="0"/>
              <w:autoSpaceDN w:val="0"/>
              <w:adjustRightInd w:val="0"/>
              <w:jc w:val="center"/>
            </w:pPr>
          </w:p>
        </w:tc>
      </w:tr>
      <w:tr w:rsidR="00B54D51" w:rsidRPr="00037AD4" w14:paraId="2C7FC842" w14:textId="77777777" w:rsidTr="00401C67">
        <w:trPr>
          <w:jc w:val="center"/>
        </w:trPr>
        <w:tc>
          <w:tcPr>
            <w:tcW w:w="1227" w:type="pct"/>
            <w:tcBorders>
              <w:top w:val="nil"/>
              <w:left w:val="nil"/>
              <w:bottom w:val="nil"/>
              <w:right w:val="nil"/>
            </w:tcBorders>
          </w:tcPr>
          <w:p w14:paraId="7DDA1EE9" w14:textId="77777777" w:rsidR="00B54D51" w:rsidRPr="00037AD4" w:rsidRDefault="00B54D51" w:rsidP="00401C67">
            <w:pPr>
              <w:widowControl w:val="0"/>
              <w:autoSpaceDE w:val="0"/>
              <w:autoSpaceDN w:val="0"/>
              <w:adjustRightInd w:val="0"/>
            </w:pPr>
          </w:p>
        </w:tc>
        <w:tc>
          <w:tcPr>
            <w:tcW w:w="1258" w:type="pct"/>
            <w:tcBorders>
              <w:top w:val="nil"/>
              <w:left w:val="nil"/>
              <w:bottom w:val="nil"/>
              <w:right w:val="nil"/>
            </w:tcBorders>
          </w:tcPr>
          <w:p w14:paraId="33E0DF16" w14:textId="77777777" w:rsidR="00B54D51" w:rsidRPr="00037AD4" w:rsidRDefault="00B54D51" w:rsidP="00401C67">
            <w:pPr>
              <w:widowControl w:val="0"/>
              <w:autoSpaceDE w:val="0"/>
              <w:autoSpaceDN w:val="0"/>
              <w:adjustRightInd w:val="0"/>
              <w:jc w:val="center"/>
            </w:pPr>
            <w:r w:rsidRPr="00037AD4">
              <w:t>(-0.013 - 0.965)</w:t>
            </w:r>
          </w:p>
        </w:tc>
        <w:tc>
          <w:tcPr>
            <w:tcW w:w="1258" w:type="pct"/>
            <w:tcBorders>
              <w:top w:val="nil"/>
              <w:left w:val="nil"/>
              <w:bottom w:val="nil"/>
              <w:right w:val="nil"/>
            </w:tcBorders>
          </w:tcPr>
          <w:p w14:paraId="54DB0E02" w14:textId="77777777" w:rsidR="00B54D51" w:rsidRPr="00037AD4" w:rsidRDefault="00B54D51" w:rsidP="00401C67">
            <w:pPr>
              <w:widowControl w:val="0"/>
              <w:autoSpaceDE w:val="0"/>
              <w:autoSpaceDN w:val="0"/>
              <w:adjustRightInd w:val="0"/>
              <w:jc w:val="center"/>
            </w:pPr>
          </w:p>
        </w:tc>
        <w:tc>
          <w:tcPr>
            <w:tcW w:w="1258" w:type="pct"/>
            <w:tcBorders>
              <w:top w:val="nil"/>
              <w:left w:val="nil"/>
              <w:bottom w:val="nil"/>
              <w:right w:val="nil"/>
            </w:tcBorders>
          </w:tcPr>
          <w:p w14:paraId="72B53359" w14:textId="77777777" w:rsidR="00B54D51" w:rsidRPr="00037AD4" w:rsidRDefault="00B54D51" w:rsidP="00401C67">
            <w:pPr>
              <w:widowControl w:val="0"/>
              <w:autoSpaceDE w:val="0"/>
              <w:autoSpaceDN w:val="0"/>
              <w:adjustRightInd w:val="0"/>
              <w:jc w:val="center"/>
            </w:pPr>
          </w:p>
        </w:tc>
      </w:tr>
      <w:tr w:rsidR="00B54D51" w:rsidRPr="00037AD4" w14:paraId="07B946C8" w14:textId="77777777" w:rsidTr="00401C67">
        <w:trPr>
          <w:jc w:val="center"/>
        </w:trPr>
        <w:tc>
          <w:tcPr>
            <w:tcW w:w="1227" w:type="pct"/>
            <w:tcBorders>
              <w:top w:val="nil"/>
              <w:left w:val="nil"/>
              <w:bottom w:val="nil"/>
              <w:right w:val="nil"/>
            </w:tcBorders>
          </w:tcPr>
          <w:p w14:paraId="3D32473F" w14:textId="77777777" w:rsidR="00B54D51" w:rsidRPr="00037AD4" w:rsidRDefault="00B54D51" w:rsidP="00401C67">
            <w:pPr>
              <w:widowControl w:val="0"/>
              <w:autoSpaceDE w:val="0"/>
              <w:autoSpaceDN w:val="0"/>
              <w:adjustRightInd w:val="0"/>
            </w:pPr>
            <w:r w:rsidRPr="00037AD4">
              <w:t>2.eq4SR_</w:t>
            </w:r>
          </w:p>
        </w:tc>
        <w:tc>
          <w:tcPr>
            <w:tcW w:w="1258" w:type="pct"/>
            <w:tcBorders>
              <w:top w:val="nil"/>
              <w:left w:val="nil"/>
              <w:bottom w:val="nil"/>
              <w:right w:val="nil"/>
            </w:tcBorders>
          </w:tcPr>
          <w:p w14:paraId="4CE4095D" w14:textId="77777777" w:rsidR="00B54D51" w:rsidRPr="00037AD4" w:rsidRDefault="00B54D51" w:rsidP="00401C67">
            <w:pPr>
              <w:widowControl w:val="0"/>
              <w:autoSpaceDE w:val="0"/>
              <w:autoSpaceDN w:val="0"/>
              <w:adjustRightInd w:val="0"/>
              <w:jc w:val="center"/>
            </w:pPr>
            <w:r w:rsidRPr="00037AD4">
              <w:t>0.189</w:t>
            </w:r>
          </w:p>
        </w:tc>
        <w:tc>
          <w:tcPr>
            <w:tcW w:w="1258" w:type="pct"/>
            <w:tcBorders>
              <w:top w:val="nil"/>
              <w:left w:val="nil"/>
              <w:bottom w:val="nil"/>
              <w:right w:val="nil"/>
            </w:tcBorders>
          </w:tcPr>
          <w:p w14:paraId="63480794" w14:textId="77777777" w:rsidR="00B54D51" w:rsidRPr="00037AD4" w:rsidRDefault="00B54D51" w:rsidP="00401C67">
            <w:pPr>
              <w:widowControl w:val="0"/>
              <w:autoSpaceDE w:val="0"/>
              <w:autoSpaceDN w:val="0"/>
              <w:adjustRightInd w:val="0"/>
              <w:jc w:val="center"/>
            </w:pPr>
          </w:p>
        </w:tc>
        <w:tc>
          <w:tcPr>
            <w:tcW w:w="1258" w:type="pct"/>
            <w:tcBorders>
              <w:top w:val="nil"/>
              <w:left w:val="nil"/>
              <w:bottom w:val="nil"/>
              <w:right w:val="nil"/>
            </w:tcBorders>
          </w:tcPr>
          <w:p w14:paraId="5D57ADF4" w14:textId="77777777" w:rsidR="00B54D51" w:rsidRPr="00037AD4" w:rsidRDefault="00B54D51" w:rsidP="00401C67">
            <w:pPr>
              <w:widowControl w:val="0"/>
              <w:autoSpaceDE w:val="0"/>
              <w:autoSpaceDN w:val="0"/>
              <w:adjustRightInd w:val="0"/>
              <w:jc w:val="center"/>
            </w:pPr>
          </w:p>
        </w:tc>
      </w:tr>
      <w:tr w:rsidR="00B54D51" w:rsidRPr="00037AD4" w14:paraId="1B9B41C3" w14:textId="77777777" w:rsidTr="00401C67">
        <w:trPr>
          <w:jc w:val="center"/>
        </w:trPr>
        <w:tc>
          <w:tcPr>
            <w:tcW w:w="1227" w:type="pct"/>
            <w:tcBorders>
              <w:top w:val="nil"/>
              <w:left w:val="nil"/>
              <w:bottom w:val="nil"/>
              <w:right w:val="nil"/>
            </w:tcBorders>
          </w:tcPr>
          <w:p w14:paraId="69DD11AA" w14:textId="77777777" w:rsidR="00B54D51" w:rsidRPr="00037AD4" w:rsidRDefault="00B54D51" w:rsidP="00401C67">
            <w:pPr>
              <w:widowControl w:val="0"/>
              <w:autoSpaceDE w:val="0"/>
              <w:autoSpaceDN w:val="0"/>
              <w:adjustRightInd w:val="0"/>
            </w:pPr>
          </w:p>
        </w:tc>
        <w:tc>
          <w:tcPr>
            <w:tcW w:w="1258" w:type="pct"/>
            <w:tcBorders>
              <w:top w:val="nil"/>
              <w:left w:val="nil"/>
              <w:bottom w:val="nil"/>
              <w:right w:val="nil"/>
            </w:tcBorders>
          </w:tcPr>
          <w:p w14:paraId="60FB8AA3" w14:textId="77777777" w:rsidR="00B54D51" w:rsidRPr="00037AD4" w:rsidRDefault="00B54D51" w:rsidP="00401C67">
            <w:pPr>
              <w:widowControl w:val="0"/>
              <w:autoSpaceDE w:val="0"/>
              <w:autoSpaceDN w:val="0"/>
              <w:adjustRightInd w:val="0"/>
              <w:jc w:val="center"/>
            </w:pPr>
            <w:r w:rsidRPr="00037AD4">
              <w:t>(-0.039 - 0.418)</w:t>
            </w:r>
          </w:p>
        </w:tc>
        <w:tc>
          <w:tcPr>
            <w:tcW w:w="1258" w:type="pct"/>
            <w:tcBorders>
              <w:top w:val="nil"/>
              <w:left w:val="nil"/>
              <w:bottom w:val="nil"/>
              <w:right w:val="nil"/>
            </w:tcBorders>
          </w:tcPr>
          <w:p w14:paraId="2D026DED" w14:textId="77777777" w:rsidR="00B54D51" w:rsidRPr="00037AD4" w:rsidRDefault="00B54D51" w:rsidP="00401C67">
            <w:pPr>
              <w:widowControl w:val="0"/>
              <w:autoSpaceDE w:val="0"/>
              <w:autoSpaceDN w:val="0"/>
              <w:adjustRightInd w:val="0"/>
              <w:jc w:val="center"/>
            </w:pPr>
          </w:p>
        </w:tc>
        <w:tc>
          <w:tcPr>
            <w:tcW w:w="1258" w:type="pct"/>
            <w:tcBorders>
              <w:top w:val="nil"/>
              <w:left w:val="nil"/>
              <w:bottom w:val="nil"/>
              <w:right w:val="nil"/>
            </w:tcBorders>
          </w:tcPr>
          <w:p w14:paraId="513FE75A" w14:textId="77777777" w:rsidR="00B54D51" w:rsidRPr="00037AD4" w:rsidRDefault="00B54D51" w:rsidP="00401C67">
            <w:pPr>
              <w:widowControl w:val="0"/>
              <w:autoSpaceDE w:val="0"/>
              <w:autoSpaceDN w:val="0"/>
              <w:adjustRightInd w:val="0"/>
              <w:jc w:val="center"/>
            </w:pPr>
          </w:p>
        </w:tc>
      </w:tr>
      <w:tr w:rsidR="00B54D51" w:rsidRPr="00037AD4" w14:paraId="1D8BE56E" w14:textId="77777777" w:rsidTr="00401C67">
        <w:trPr>
          <w:jc w:val="center"/>
        </w:trPr>
        <w:tc>
          <w:tcPr>
            <w:tcW w:w="1227" w:type="pct"/>
            <w:tcBorders>
              <w:top w:val="nil"/>
              <w:left w:val="nil"/>
              <w:bottom w:val="nil"/>
              <w:right w:val="nil"/>
            </w:tcBorders>
          </w:tcPr>
          <w:p w14:paraId="2E36960E" w14:textId="77777777" w:rsidR="00B54D51" w:rsidRPr="00037AD4" w:rsidRDefault="00B54D51" w:rsidP="00401C67">
            <w:pPr>
              <w:widowControl w:val="0"/>
              <w:autoSpaceDE w:val="0"/>
              <w:autoSpaceDN w:val="0"/>
              <w:adjustRightInd w:val="0"/>
            </w:pPr>
            <w:r w:rsidRPr="00037AD4">
              <w:t>3.eq4SR_</w:t>
            </w:r>
          </w:p>
        </w:tc>
        <w:tc>
          <w:tcPr>
            <w:tcW w:w="1258" w:type="pct"/>
            <w:tcBorders>
              <w:top w:val="nil"/>
              <w:left w:val="nil"/>
              <w:bottom w:val="nil"/>
              <w:right w:val="nil"/>
            </w:tcBorders>
          </w:tcPr>
          <w:p w14:paraId="7F27641C" w14:textId="77777777" w:rsidR="00B54D51" w:rsidRPr="00037AD4" w:rsidRDefault="00B54D51" w:rsidP="00401C67">
            <w:pPr>
              <w:widowControl w:val="0"/>
              <w:autoSpaceDE w:val="0"/>
              <w:autoSpaceDN w:val="0"/>
              <w:adjustRightInd w:val="0"/>
              <w:jc w:val="center"/>
            </w:pPr>
            <w:r w:rsidRPr="00037AD4">
              <w:t>0.249</w:t>
            </w:r>
          </w:p>
        </w:tc>
        <w:tc>
          <w:tcPr>
            <w:tcW w:w="1258" w:type="pct"/>
            <w:tcBorders>
              <w:top w:val="nil"/>
              <w:left w:val="nil"/>
              <w:bottom w:val="nil"/>
              <w:right w:val="nil"/>
            </w:tcBorders>
          </w:tcPr>
          <w:p w14:paraId="25387BE3" w14:textId="77777777" w:rsidR="00B54D51" w:rsidRPr="00037AD4" w:rsidRDefault="00B54D51" w:rsidP="00401C67">
            <w:pPr>
              <w:widowControl w:val="0"/>
              <w:autoSpaceDE w:val="0"/>
              <w:autoSpaceDN w:val="0"/>
              <w:adjustRightInd w:val="0"/>
              <w:jc w:val="center"/>
            </w:pPr>
          </w:p>
        </w:tc>
        <w:tc>
          <w:tcPr>
            <w:tcW w:w="1258" w:type="pct"/>
            <w:tcBorders>
              <w:top w:val="nil"/>
              <w:left w:val="nil"/>
              <w:bottom w:val="nil"/>
              <w:right w:val="nil"/>
            </w:tcBorders>
          </w:tcPr>
          <w:p w14:paraId="02F574BB" w14:textId="77777777" w:rsidR="00B54D51" w:rsidRPr="00037AD4" w:rsidRDefault="00B54D51" w:rsidP="00401C67">
            <w:pPr>
              <w:widowControl w:val="0"/>
              <w:autoSpaceDE w:val="0"/>
              <w:autoSpaceDN w:val="0"/>
              <w:adjustRightInd w:val="0"/>
              <w:jc w:val="center"/>
            </w:pPr>
          </w:p>
        </w:tc>
      </w:tr>
      <w:tr w:rsidR="00B54D51" w:rsidRPr="00037AD4" w14:paraId="4C113086" w14:textId="77777777" w:rsidTr="00401C67">
        <w:trPr>
          <w:jc w:val="center"/>
        </w:trPr>
        <w:tc>
          <w:tcPr>
            <w:tcW w:w="1227" w:type="pct"/>
            <w:tcBorders>
              <w:top w:val="nil"/>
              <w:left w:val="nil"/>
              <w:bottom w:val="nil"/>
              <w:right w:val="nil"/>
            </w:tcBorders>
          </w:tcPr>
          <w:p w14:paraId="1AED68FC" w14:textId="77777777" w:rsidR="00B54D51" w:rsidRPr="00037AD4" w:rsidRDefault="00B54D51" w:rsidP="00401C67">
            <w:pPr>
              <w:widowControl w:val="0"/>
              <w:autoSpaceDE w:val="0"/>
              <w:autoSpaceDN w:val="0"/>
              <w:adjustRightInd w:val="0"/>
            </w:pPr>
          </w:p>
        </w:tc>
        <w:tc>
          <w:tcPr>
            <w:tcW w:w="1258" w:type="pct"/>
            <w:tcBorders>
              <w:top w:val="nil"/>
              <w:left w:val="nil"/>
              <w:bottom w:val="nil"/>
              <w:right w:val="nil"/>
            </w:tcBorders>
          </w:tcPr>
          <w:p w14:paraId="20E1429F" w14:textId="77777777" w:rsidR="00B54D51" w:rsidRPr="00037AD4" w:rsidRDefault="00B54D51" w:rsidP="00401C67">
            <w:pPr>
              <w:widowControl w:val="0"/>
              <w:autoSpaceDE w:val="0"/>
              <w:autoSpaceDN w:val="0"/>
              <w:adjustRightInd w:val="0"/>
              <w:jc w:val="center"/>
            </w:pPr>
            <w:r w:rsidRPr="00037AD4">
              <w:t>(-0.057 - 0.556)</w:t>
            </w:r>
          </w:p>
        </w:tc>
        <w:tc>
          <w:tcPr>
            <w:tcW w:w="1258" w:type="pct"/>
            <w:tcBorders>
              <w:top w:val="nil"/>
              <w:left w:val="nil"/>
              <w:bottom w:val="nil"/>
              <w:right w:val="nil"/>
            </w:tcBorders>
          </w:tcPr>
          <w:p w14:paraId="7CC594A4" w14:textId="77777777" w:rsidR="00B54D51" w:rsidRPr="00037AD4" w:rsidRDefault="00B54D51" w:rsidP="00401C67">
            <w:pPr>
              <w:widowControl w:val="0"/>
              <w:autoSpaceDE w:val="0"/>
              <w:autoSpaceDN w:val="0"/>
              <w:adjustRightInd w:val="0"/>
              <w:jc w:val="center"/>
            </w:pPr>
          </w:p>
        </w:tc>
        <w:tc>
          <w:tcPr>
            <w:tcW w:w="1258" w:type="pct"/>
            <w:tcBorders>
              <w:top w:val="nil"/>
              <w:left w:val="nil"/>
              <w:bottom w:val="nil"/>
              <w:right w:val="nil"/>
            </w:tcBorders>
          </w:tcPr>
          <w:p w14:paraId="42E45156" w14:textId="77777777" w:rsidR="00B54D51" w:rsidRPr="00037AD4" w:rsidRDefault="00B54D51" w:rsidP="00401C67">
            <w:pPr>
              <w:widowControl w:val="0"/>
              <w:autoSpaceDE w:val="0"/>
              <w:autoSpaceDN w:val="0"/>
              <w:adjustRightInd w:val="0"/>
              <w:jc w:val="center"/>
            </w:pPr>
          </w:p>
        </w:tc>
      </w:tr>
      <w:tr w:rsidR="00B54D51" w:rsidRPr="00037AD4" w14:paraId="25C7D067" w14:textId="77777777" w:rsidTr="00401C67">
        <w:trPr>
          <w:jc w:val="center"/>
        </w:trPr>
        <w:tc>
          <w:tcPr>
            <w:tcW w:w="1227" w:type="pct"/>
            <w:tcBorders>
              <w:top w:val="nil"/>
              <w:left w:val="nil"/>
              <w:bottom w:val="nil"/>
              <w:right w:val="nil"/>
            </w:tcBorders>
          </w:tcPr>
          <w:p w14:paraId="4A7F6E2E" w14:textId="77777777" w:rsidR="00B54D51" w:rsidRPr="00037AD4" w:rsidRDefault="00B54D51" w:rsidP="00401C67">
            <w:pPr>
              <w:widowControl w:val="0"/>
              <w:autoSpaceDE w:val="0"/>
              <w:autoSpaceDN w:val="0"/>
              <w:adjustRightInd w:val="0"/>
            </w:pPr>
            <w:r w:rsidRPr="00037AD4">
              <w:t>4.eq4SR_</w:t>
            </w:r>
          </w:p>
        </w:tc>
        <w:tc>
          <w:tcPr>
            <w:tcW w:w="1258" w:type="pct"/>
            <w:tcBorders>
              <w:top w:val="nil"/>
              <w:left w:val="nil"/>
              <w:bottom w:val="nil"/>
              <w:right w:val="nil"/>
            </w:tcBorders>
          </w:tcPr>
          <w:p w14:paraId="15B2AAF6" w14:textId="77777777" w:rsidR="00B54D51" w:rsidRPr="00037AD4" w:rsidRDefault="00B54D51" w:rsidP="00401C67">
            <w:pPr>
              <w:widowControl w:val="0"/>
              <w:autoSpaceDE w:val="0"/>
              <w:autoSpaceDN w:val="0"/>
              <w:adjustRightInd w:val="0"/>
              <w:jc w:val="center"/>
            </w:pPr>
            <w:r w:rsidRPr="00037AD4">
              <w:t>-0.183</w:t>
            </w:r>
          </w:p>
        </w:tc>
        <w:tc>
          <w:tcPr>
            <w:tcW w:w="1258" w:type="pct"/>
            <w:tcBorders>
              <w:top w:val="nil"/>
              <w:left w:val="nil"/>
              <w:bottom w:val="nil"/>
              <w:right w:val="nil"/>
            </w:tcBorders>
          </w:tcPr>
          <w:p w14:paraId="02556774" w14:textId="77777777" w:rsidR="00B54D51" w:rsidRPr="00037AD4" w:rsidRDefault="00B54D51" w:rsidP="00401C67">
            <w:pPr>
              <w:widowControl w:val="0"/>
              <w:autoSpaceDE w:val="0"/>
              <w:autoSpaceDN w:val="0"/>
              <w:adjustRightInd w:val="0"/>
              <w:jc w:val="center"/>
            </w:pPr>
          </w:p>
        </w:tc>
        <w:tc>
          <w:tcPr>
            <w:tcW w:w="1258" w:type="pct"/>
            <w:tcBorders>
              <w:top w:val="nil"/>
              <w:left w:val="nil"/>
              <w:bottom w:val="nil"/>
              <w:right w:val="nil"/>
            </w:tcBorders>
          </w:tcPr>
          <w:p w14:paraId="216E7694" w14:textId="77777777" w:rsidR="00B54D51" w:rsidRPr="00037AD4" w:rsidRDefault="00B54D51" w:rsidP="00401C67">
            <w:pPr>
              <w:widowControl w:val="0"/>
              <w:autoSpaceDE w:val="0"/>
              <w:autoSpaceDN w:val="0"/>
              <w:adjustRightInd w:val="0"/>
              <w:jc w:val="center"/>
            </w:pPr>
          </w:p>
        </w:tc>
      </w:tr>
      <w:tr w:rsidR="00B54D51" w:rsidRPr="00037AD4" w14:paraId="66801326" w14:textId="77777777" w:rsidTr="00401C67">
        <w:trPr>
          <w:jc w:val="center"/>
        </w:trPr>
        <w:tc>
          <w:tcPr>
            <w:tcW w:w="1227" w:type="pct"/>
            <w:tcBorders>
              <w:top w:val="nil"/>
              <w:left w:val="nil"/>
              <w:bottom w:val="nil"/>
              <w:right w:val="nil"/>
            </w:tcBorders>
          </w:tcPr>
          <w:p w14:paraId="7D92D894" w14:textId="77777777" w:rsidR="00B54D51" w:rsidRPr="00037AD4" w:rsidRDefault="00B54D51" w:rsidP="00401C67">
            <w:pPr>
              <w:widowControl w:val="0"/>
              <w:autoSpaceDE w:val="0"/>
              <w:autoSpaceDN w:val="0"/>
              <w:adjustRightInd w:val="0"/>
            </w:pPr>
          </w:p>
        </w:tc>
        <w:tc>
          <w:tcPr>
            <w:tcW w:w="1258" w:type="pct"/>
            <w:tcBorders>
              <w:top w:val="nil"/>
              <w:left w:val="nil"/>
              <w:bottom w:val="nil"/>
              <w:right w:val="nil"/>
            </w:tcBorders>
          </w:tcPr>
          <w:p w14:paraId="058BABD1" w14:textId="77777777" w:rsidR="00B54D51" w:rsidRPr="00037AD4" w:rsidRDefault="00B54D51" w:rsidP="00401C67">
            <w:pPr>
              <w:widowControl w:val="0"/>
              <w:autoSpaceDE w:val="0"/>
              <w:autoSpaceDN w:val="0"/>
              <w:adjustRightInd w:val="0"/>
              <w:jc w:val="center"/>
            </w:pPr>
            <w:r w:rsidRPr="00037AD4">
              <w:t>(-0.748 - 0.381)</w:t>
            </w:r>
          </w:p>
        </w:tc>
        <w:tc>
          <w:tcPr>
            <w:tcW w:w="1258" w:type="pct"/>
            <w:tcBorders>
              <w:top w:val="nil"/>
              <w:left w:val="nil"/>
              <w:bottom w:val="nil"/>
              <w:right w:val="nil"/>
            </w:tcBorders>
          </w:tcPr>
          <w:p w14:paraId="5A4B22C0" w14:textId="77777777" w:rsidR="00B54D51" w:rsidRPr="00037AD4" w:rsidRDefault="00B54D51" w:rsidP="00401C67">
            <w:pPr>
              <w:widowControl w:val="0"/>
              <w:autoSpaceDE w:val="0"/>
              <w:autoSpaceDN w:val="0"/>
              <w:adjustRightInd w:val="0"/>
              <w:jc w:val="center"/>
            </w:pPr>
          </w:p>
        </w:tc>
        <w:tc>
          <w:tcPr>
            <w:tcW w:w="1258" w:type="pct"/>
            <w:tcBorders>
              <w:top w:val="nil"/>
              <w:left w:val="nil"/>
              <w:bottom w:val="nil"/>
              <w:right w:val="nil"/>
            </w:tcBorders>
          </w:tcPr>
          <w:p w14:paraId="0F8117F0" w14:textId="77777777" w:rsidR="00B54D51" w:rsidRPr="00037AD4" w:rsidRDefault="00B54D51" w:rsidP="00401C67">
            <w:pPr>
              <w:widowControl w:val="0"/>
              <w:autoSpaceDE w:val="0"/>
              <w:autoSpaceDN w:val="0"/>
              <w:adjustRightInd w:val="0"/>
              <w:jc w:val="center"/>
            </w:pPr>
          </w:p>
        </w:tc>
      </w:tr>
      <w:tr w:rsidR="00B54D51" w:rsidRPr="00037AD4" w14:paraId="317D168C" w14:textId="77777777" w:rsidTr="00401C67">
        <w:trPr>
          <w:jc w:val="center"/>
        </w:trPr>
        <w:tc>
          <w:tcPr>
            <w:tcW w:w="1227" w:type="pct"/>
            <w:tcBorders>
              <w:top w:val="nil"/>
              <w:left w:val="nil"/>
              <w:bottom w:val="nil"/>
              <w:right w:val="nil"/>
            </w:tcBorders>
          </w:tcPr>
          <w:p w14:paraId="5A6B8526" w14:textId="77777777" w:rsidR="00B54D51" w:rsidRPr="00037AD4" w:rsidRDefault="00B54D51" w:rsidP="00401C67">
            <w:pPr>
              <w:widowControl w:val="0"/>
              <w:autoSpaceDE w:val="0"/>
              <w:autoSpaceDN w:val="0"/>
              <w:adjustRightInd w:val="0"/>
            </w:pPr>
            <w:r w:rsidRPr="00037AD4">
              <w:t>5.eq4SR_</w:t>
            </w:r>
          </w:p>
        </w:tc>
        <w:tc>
          <w:tcPr>
            <w:tcW w:w="1258" w:type="pct"/>
            <w:tcBorders>
              <w:top w:val="nil"/>
              <w:left w:val="nil"/>
              <w:bottom w:val="nil"/>
              <w:right w:val="nil"/>
            </w:tcBorders>
          </w:tcPr>
          <w:p w14:paraId="69DFF5AB" w14:textId="77777777" w:rsidR="00B54D51" w:rsidRPr="00037AD4" w:rsidRDefault="00B54D51" w:rsidP="00401C67">
            <w:pPr>
              <w:widowControl w:val="0"/>
              <w:autoSpaceDE w:val="0"/>
              <w:autoSpaceDN w:val="0"/>
              <w:adjustRightInd w:val="0"/>
              <w:jc w:val="center"/>
            </w:pPr>
            <w:r w:rsidRPr="00037AD4">
              <w:t>4.208***</w:t>
            </w:r>
          </w:p>
        </w:tc>
        <w:tc>
          <w:tcPr>
            <w:tcW w:w="1258" w:type="pct"/>
            <w:tcBorders>
              <w:top w:val="nil"/>
              <w:left w:val="nil"/>
              <w:bottom w:val="nil"/>
              <w:right w:val="nil"/>
            </w:tcBorders>
          </w:tcPr>
          <w:p w14:paraId="4FE08C6B" w14:textId="77777777" w:rsidR="00B54D51" w:rsidRPr="00037AD4" w:rsidRDefault="00B54D51" w:rsidP="00401C67">
            <w:pPr>
              <w:widowControl w:val="0"/>
              <w:autoSpaceDE w:val="0"/>
              <w:autoSpaceDN w:val="0"/>
              <w:adjustRightInd w:val="0"/>
              <w:jc w:val="center"/>
            </w:pPr>
          </w:p>
        </w:tc>
        <w:tc>
          <w:tcPr>
            <w:tcW w:w="1258" w:type="pct"/>
            <w:tcBorders>
              <w:top w:val="nil"/>
              <w:left w:val="nil"/>
              <w:bottom w:val="nil"/>
              <w:right w:val="nil"/>
            </w:tcBorders>
          </w:tcPr>
          <w:p w14:paraId="7477C2E7" w14:textId="77777777" w:rsidR="00B54D51" w:rsidRPr="00037AD4" w:rsidRDefault="00B54D51" w:rsidP="00401C67">
            <w:pPr>
              <w:widowControl w:val="0"/>
              <w:autoSpaceDE w:val="0"/>
              <w:autoSpaceDN w:val="0"/>
              <w:adjustRightInd w:val="0"/>
              <w:jc w:val="center"/>
            </w:pPr>
          </w:p>
        </w:tc>
      </w:tr>
      <w:tr w:rsidR="00B54D51" w:rsidRPr="00037AD4" w14:paraId="6CD23F67" w14:textId="77777777" w:rsidTr="00401C67">
        <w:trPr>
          <w:jc w:val="center"/>
        </w:trPr>
        <w:tc>
          <w:tcPr>
            <w:tcW w:w="1227" w:type="pct"/>
            <w:tcBorders>
              <w:top w:val="nil"/>
              <w:left w:val="nil"/>
              <w:bottom w:val="nil"/>
              <w:right w:val="nil"/>
            </w:tcBorders>
          </w:tcPr>
          <w:p w14:paraId="26D6D1CD" w14:textId="77777777" w:rsidR="00B54D51" w:rsidRPr="00037AD4" w:rsidRDefault="00B54D51" w:rsidP="00401C67">
            <w:pPr>
              <w:widowControl w:val="0"/>
              <w:autoSpaceDE w:val="0"/>
              <w:autoSpaceDN w:val="0"/>
              <w:adjustRightInd w:val="0"/>
            </w:pPr>
          </w:p>
        </w:tc>
        <w:tc>
          <w:tcPr>
            <w:tcW w:w="1258" w:type="pct"/>
            <w:tcBorders>
              <w:top w:val="nil"/>
              <w:left w:val="nil"/>
              <w:bottom w:val="nil"/>
              <w:right w:val="nil"/>
            </w:tcBorders>
          </w:tcPr>
          <w:p w14:paraId="1A3B7041" w14:textId="77777777" w:rsidR="00B54D51" w:rsidRPr="00037AD4" w:rsidRDefault="00B54D51" w:rsidP="00401C67">
            <w:pPr>
              <w:widowControl w:val="0"/>
              <w:autoSpaceDE w:val="0"/>
              <w:autoSpaceDN w:val="0"/>
              <w:adjustRightInd w:val="0"/>
              <w:jc w:val="center"/>
            </w:pPr>
            <w:r w:rsidRPr="00037AD4">
              <w:t>(3.590 - 4.826)</w:t>
            </w:r>
          </w:p>
        </w:tc>
        <w:tc>
          <w:tcPr>
            <w:tcW w:w="1258" w:type="pct"/>
            <w:tcBorders>
              <w:top w:val="nil"/>
              <w:left w:val="nil"/>
              <w:bottom w:val="nil"/>
              <w:right w:val="nil"/>
            </w:tcBorders>
          </w:tcPr>
          <w:p w14:paraId="754E2BBA" w14:textId="77777777" w:rsidR="00B54D51" w:rsidRPr="00037AD4" w:rsidRDefault="00B54D51" w:rsidP="00401C67">
            <w:pPr>
              <w:widowControl w:val="0"/>
              <w:autoSpaceDE w:val="0"/>
              <w:autoSpaceDN w:val="0"/>
              <w:adjustRightInd w:val="0"/>
              <w:jc w:val="center"/>
            </w:pPr>
          </w:p>
        </w:tc>
        <w:tc>
          <w:tcPr>
            <w:tcW w:w="1258" w:type="pct"/>
            <w:tcBorders>
              <w:top w:val="nil"/>
              <w:left w:val="nil"/>
              <w:bottom w:val="nil"/>
              <w:right w:val="nil"/>
            </w:tcBorders>
          </w:tcPr>
          <w:p w14:paraId="52F06EAA" w14:textId="77777777" w:rsidR="00B54D51" w:rsidRPr="00037AD4" w:rsidRDefault="00B54D51" w:rsidP="00401C67">
            <w:pPr>
              <w:widowControl w:val="0"/>
              <w:autoSpaceDE w:val="0"/>
              <w:autoSpaceDN w:val="0"/>
              <w:adjustRightInd w:val="0"/>
              <w:jc w:val="center"/>
            </w:pPr>
          </w:p>
        </w:tc>
      </w:tr>
      <w:tr w:rsidR="00B54D51" w:rsidRPr="00037AD4" w14:paraId="795988C7" w14:textId="77777777" w:rsidTr="00401C67">
        <w:trPr>
          <w:jc w:val="center"/>
        </w:trPr>
        <w:tc>
          <w:tcPr>
            <w:tcW w:w="1227" w:type="pct"/>
            <w:tcBorders>
              <w:top w:val="nil"/>
              <w:left w:val="nil"/>
              <w:bottom w:val="nil"/>
              <w:right w:val="nil"/>
            </w:tcBorders>
          </w:tcPr>
          <w:p w14:paraId="58D755D7" w14:textId="77777777" w:rsidR="00B54D51" w:rsidRPr="00037AD4" w:rsidRDefault="00B54D51" w:rsidP="00401C67">
            <w:pPr>
              <w:widowControl w:val="0"/>
              <w:autoSpaceDE w:val="0"/>
              <w:autoSpaceDN w:val="0"/>
              <w:adjustRightInd w:val="0"/>
            </w:pPr>
            <w:r w:rsidRPr="00037AD4">
              <w:t>2.eq5SR_</w:t>
            </w:r>
          </w:p>
        </w:tc>
        <w:tc>
          <w:tcPr>
            <w:tcW w:w="1258" w:type="pct"/>
            <w:tcBorders>
              <w:top w:val="nil"/>
              <w:left w:val="nil"/>
              <w:bottom w:val="nil"/>
              <w:right w:val="nil"/>
            </w:tcBorders>
          </w:tcPr>
          <w:p w14:paraId="58050A05" w14:textId="77777777" w:rsidR="00B54D51" w:rsidRPr="00037AD4" w:rsidRDefault="00B54D51" w:rsidP="00401C67">
            <w:pPr>
              <w:widowControl w:val="0"/>
              <w:autoSpaceDE w:val="0"/>
              <w:autoSpaceDN w:val="0"/>
              <w:adjustRightInd w:val="0"/>
              <w:jc w:val="center"/>
            </w:pPr>
            <w:r w:rsidRPr="00037AD4">
              <w:t>-0.030</w:t>
            </w:r>
          </w:p>
        </w:tc>
        <w:tc>
          <w:tcPr>
            <w:tcW w:w="1258" w:type="pct"/>
            <w:tcBorders>
              <w:top w:val="nil"/>
              <w:left w:val="nil"/>
              <w:bottom w:val="nil"/>
              <w:right w:val="nil"/>
            </w:tcBorders>
          </w:tcPr>
          <w:p w14:paraId="545E57C1" w14:textId="77777777" w:rsidR="00B54D51" w:rsidRPr="00037AD4" w:rsidRDefault="00B54D51" w:rsidP="00401C67">
            <w:pPr>
              <w:widowControl w:val="0"/>
              <w:autoSpaceDE w:val="0"/>
              <w:autoSpaceDN w:val="0"/>
              <w:adjustRightInd w:val="0"/>
              <w:jc w:val="center"/>
            </w:pPr>
          </w:p>
        </w:tc>
        <w:tc>
          <w:tcPr>
            <w:tcW w:w="1258" w:type="pct"/>
            <w:tcBorders>
              <w:top w:val="nil"/>
              <w:left w:val="nil"/>
              <w:bottom w:val="nil"/>
              <w:right w:val="nil"/>
            </w:tcBorders>
          </w:tcPr>
          <w:p w14:paraId="42595D35" w14:textId="77777777" w:rsidR="00B54D51" w:rsidRPr="00037AD4" w:rsidRDefault="00B54D51" w:rsidP="00401C67">
            <w:pPr>
              <w:widowControl w:val="0"/>
              <w:autoSpaceDE w:val="0"/>
              <w:autoSpaceDN w:val="0"/>
              <w:adjustRightInd w:val="0"/>
              <w:jc w:val="center"/>
            </w:pPr>
          </w:p>
        </w:tc>
      </w:tr>
      <w:tr w:rsidR="00B54D51" w:rsidRPr="00037AD4" w14:paraId="7B9CF297" w14:textId="77777777" w:rsidTr="00401C67">
        <w:trPr>
          <w:jc w:val="center"/>
        </w:trPr>
        <w:tc>
          <w:tcPr>
            <w:tcW w:w="1227" w:type="pct"/>
            <w:tcBorders>
              <w:top w:val="nil"/>
              <w:left w:val="nil"/>
              <w:bottom w:val="nil"/>
              <w:right w:val="nil"/>
            </w:tcBorders>
          </w:tcPr>
          <w:p w14:paraId="7AE121EA" w14:textId="77777777" w:rsidR="00B54D51" w:rsidRPr="00037AD4" w:rsidRDefault="00B54D51" w:rsidP="00401C67">
            <w:pPr>
              <w:widowControl w:val="0"/>
              <w:autoSpaceDE w:val="0"/>
              <w:autoSpaceDN w:val="0"/>
              <w:adjustRightInd w:val="0"/>
            </w:pPr>
          </w:p>
        </w:tc>
        <w:tc>
          <w:tcPr>
            <w:tcW w:w="1258" w:type="pct"/>
            <w:tcBorders>
              <w:top w:val="nil"/>
              <w:left w:val="nil"/>
              <w:bottom w:val="nil"/>
              <w:right w:val="nil"/>
            </w:tcBorders>
          </w:tcPr>
          <w:p w14:paraId="29DF164E" w14:textId="77777777" w:rsidR="00B54D51" w:rsidRPr="00037AD4" w:rsidRDefault="00B54D51" w:rsidP="00401C67">
            <w:pPr>
              <w:widowControl w:val="0"/>
              <w:autoSpaceDE w:val="0"/>
              <w:autoSpaceDN w:val="0"/>
              <w:adjustRightInd w:val="0"/>
              <w:jc w:val="center"/>
            </w:pPr>
            <w:r w:rsidRPr="00037AD4">
              <w:t>(-0.265 - 0.206)</w:t>
            </w:r>
          </w:p>
        </w:tc>
        <w:tc>
          <w:tcPr>
            <w:tcW w:w="1258" w:type="pct"/>
            <w:tcBorders>
              <w:top w:val="nil"/>
              <w:left w:val="nil"/>
              <w:bottom w:val="nil"/>
              <w:right w:val="nil"/>
            </w:tcBorders>
          </w:tcPr>
          <w:p w14:paraId="6E677165" w14:textId="77777777" w:rsidR="00B54D51" w:rsidRPr="00037AD4" w:rsidRDefault="00B54D51" w:rsidP="00401C67">
            <w:pPr>
              <w:widowControl w:val="0"/>
              <w:autoSpaceDE w:val="0"/>
              <w:autoSpaceDN w:val="0"/>
              <w:adjustRightInd w:val="0"/>
              <w:jc w:val="center"/>
            </w:pPr>
          </w:p>
        </w:tc>
        <w:tc>
          <w:tcPr>
            <w:tcW w:w="1258" w:type="pct"/>
            <w:tcBorders>
              <w:top w:val="nil"/>
              <w:left w:val="nil"/>
              <w:bottom w:val="nil"/>
              <w:right w:val="nil"/>
            </w:tcBorders>
          </w:tcPr>
          <w:p w14:paraId="11761F56" w14:textId="77777777" w:rsidR="00B54D51" w:rsidRPr="00037AD4" w:rsidRDefault="00B54D51" w:rsidP="00401C67">
            <w:pPr>
              <w:widowControl w:val="0"/>
              <w:autoSpaceDE w:val="0"/>
              <w:autoSpaceDN w:val="0"/>
              <w:adjustRightInd w:val="0"/>
              <w:jc w:val="center"/>
            </w:pPr>
          </w:p>
        </w:tc>
      </w:tr>
      <w:tr w:rsidR="00B54D51" w:rsidRPr="00037AD4" w14:paraId="1BBC09B2" w14:textId="77777777" w:rsidTr="00401C67">
        <w:trPr>
          <w:jc w:val="center"/>
        </w:trPr>
        <w:tc>
          <w:tcPr>
            <w:tcW w:w="1227" w:type="pct"/>
            <w:tcBorders>
              <w:top w:val="nil"/>
              <w:left w:val="nil"/>
              <w:bottom w:val="nil"/>
              <w:right w:val="nil"/>
            </w:tcBorders>
          </w:tcPr>
          <w:p w14:paraId="4F138E94" w14:textId="77777777" w:rsidR="00B54D51" w:rsidRPr="00037AD4" w:rsidRDefault="00B54D51" w:rsidP="00401C67">
            <w:pPr>
              <w:widowControl w:val="0"/>
              <w:autoSpaceDE w:val="0"/>
              <w:autoSpaceDN w:val="0"/>
              <w:adjustRightInd w:val="0"/>
            </w:pPr>
            <w:r w:rsidRPr="00037AD4">
              <w:t>3.eq5SR_</w:t>
            </w:r>
          </w:p>
        </w:tc>
        <w:tc>
          <w:tcPr>
            <w:tcW w:w="1258" w:type="pct"/>
            <w:tcBorders>
              <w:top w:val="nil"/>
              <w:left w:val="nil"/>
              <w:bottom w:val="nil"/>
              <w:right w:val="nil"/>
            </w:tcBorders>
          </w:tcPr>
          <w:p w14:paraId="3C51AA31" w14:textId="77777777" w:rsidR="00B54D51" w:rsidRPr="00037AD4" w:rsidRDefault="00B54D51" w:rsidP="00401C67">
            <w:pPr>
              <w:widowControl w:val="0"/>
              <w:autoSpaceDE w:val="0"/>
              <w:autoSpaceDN w:val="0"/>
              <w:adjustRightInd w:val="0"/>
              <w:jc w:val="center"/>
            </w:pPr>
            <w:r w:rsidRPr="00037AD4">
              <w:t>0.060</w:t>
            </w:r>
          </w:p>
        </w:tc>
        <w:tc>
          <w:tcPr>
            <w:tcW w:w="1258" w:type="pct"/>
            <w:tcBorders>
              <w:top w:val="nil"/>
              <w:left w:val="nil"/>
              <w:bottom w:val="nil"/>
              <w:right w:val="nil"/>
            </w:tcBorders>
          </w:tcPr>
          <w:p w14:paraId="23FAFF41" w14:textId="77777777" w:rsidR="00B54D51" w:rsidRPr="00037AD4" w:rsidRDefault="00B54D51" w:rsidP="00401C67">
            <w:pPr>
              <w:widowControl w:val="0"/>
              <w:autoSpaceDE w:val="0"/>
              <w:autoSpaceDN w:val="0"/>
              <w:adjustRightInd w:val="0"/>
              <w:jc w:val="center"/>
            </w:pPr>
          </w:p>
        </w:tc>
        <w:tc>
          <w:tcPr>
            <w:tcW w:w="1258" w:type="pct"/>
            <w:tcBorders>
              <w:top w:val="nil"/>
              <w:left w:val="nil"/>
              <w:bottom w:val="nil"/>
              <w:right w:val="nil"/>
            </w:tcBorders>
          </w:tcPr>
          <w:p w14:paraId="6F1F3834" w14:textId="77777777" w:rsidR="00B54D51" w:rsidRPr="00037AD4" w:rsidRDefault="00B54D51" w:rsidP="00401C67">
            <w:pPr>
              <w:widowControl w:val="0"/>
              <w:autoSpaceDE w:val="0"/>
              <w:autoSpaceDN w:val="0"/>
              <w:adjustRightInd w:val="0"/>
              <w:jc w:val="center"/>
            </w:pPr>
          </w:p>
        </w:tc>
      </w:tr>
      <w:tr w:rsidR="00B54D51" w:rsidRPr="00037AD4" w14:paraId="473378F1" w14:textId="77777777" w:rsidTr="00401C67">
        <w:trPr>
          <w:jc w:val="center"/>
        </w:trPr>
        <w:tc>
          <w:tcPr>
            <w:tcW w:w="1227" w:type="pct"/>
            <w:tcBorders>
              <w:top w:val="nil"/>
              <w:left w:val="nil"/>
              <w:bottom w:val="nil"/>
              <w:right w:val="nil"/>
            </w:tcBorders>
          </w:tcPr>
          <w:p w14:paraId="17CCAD3C" w14:textId="77777777" w:rsidR="00B54D51" w:rsidRPr="00037AD4" w:rsidRDefault="00B54D51" w:rsidP="00401C67">
            <w:pPr>
              <w:widowControl w:val="0"/>
              <w:autoSpaceDE w:val="0"/>
              <w:autoSpaceDN w:val="0"/>
              <w:adjustRightInd w:val="0"/>
            </w:pPr>
          </w:p>
        </w:tc>
        <w:tc>
          <w:tcPr>
            <w:tcW w:w="1258" w:type="pct"/>
            <w:tcBorders>
              <w:top w:val="nil"/>
              <w:left w:val="nil"/>
              <w:bottom w:val="nil"/>
              <w:right w:val="nil"/>
            </w:tcBorders>
          </w:tcPr>
          <w:p w14:paraId="221E99C9" w14:textId="77777777" w:rsidR="00B54D51" w:rsidRPr="00037AD4" w:rsidRDefault="00B54D51" w:rsidP="00401C67">
            <w:pPr>
              <w:widowControl w:val="0"/>
              <w:autoSpaceDE w:val="0"/>
              <w:autoSpaceDN w:val="0"/>
              <w:adjustRightInd w:val="0"/>
              <w:jc w:val="center"/>
            </w:pPr>
            <w:r w:rsidRPr="00037AD4">
              <w:t>(-0.276 - 0.397)</w:t>
            </w:r>
          </w:p>
        </w:tc>
        <w:tc>
          <w:tcPr>
            <w:tcW w:w="1258" w:type="pct"/>
            <w:tcBorders>
              <w:top w:val="nil"/>
              <w:left w:val="nil"/>
              <w:bottom w:val="nil"/>
              <w:right w:val="nil"/>
            </w:tcBorders>
          </w:tcPr>
          <w:p w14:paraId="0AFE7656" w14:textId="77777777" w:rsidR="00B54D51" w:rsidRPr="00037AD4" w:rsidRDefault="00B54D51" w:rsidP="00401C67">
            <w:pPr>
              <w:widowControl w:val="0"/>
              <w:autoSpaceDE w:val="0"/>
              <w:autoSpaceDN w:val="0"/>
              <w:adjustRightInd w:val="0"/>
              <w:jc w:val="center"/>
            </w:pPr>
          </w:p>
        </w:tc>
        <w:tc>
          <w:tcPr>
            <w:tcW w:w="1258" w:type="pct"/>
            <w:tcBorders>
              <w:top w:val="nil"/>
              <w:left w:val="nil"/>
              <w:bottom w:val="nil"/>
              <w:right w:val="nil"/>
            </w:tcBorders>
          </w:tcPr>
          <w:p w14:paraId="5F0E6B33" w14:textId="77777777" w:rsidR="00B54D51" w:rsidRPr="00037AD4" w:rsidRDefault="00B54D51" w:rsidP="00401C67">
            <w:pPr>
              <w:widowControl w:val="0"/>
              <w:autoSpaceDE w:val="0"/>
              <w:autoSpaceDN w:val="0"/>
              <w:adjustRightInd w:val="0"/>
              <w:jc w:val="center"/>
            </w:pPr>
          </w:p>
        </w:tc>
      </w:tr>
      <w:tr w:rsidR="00B54D51" w:rsidRPr="00037AD4" w14:paraId="675E9AAC" w14:textId="77777777" w:rsidTr="00401C67">
        <w:trPr>
          <w:jc w:val="center"/>
        </w:trPr>
        <w:tc>
          <w:tcPr>
            <w:tcW w:w="1227" w:type="pct"/>
            <w:tcBorders>
              <w:top w:val="nil"/>
              <w:left w:val="nil"/>
              <w:bottom w:val="nil"/>
              <w:right w:val="nil"/>
            </w:tcBorders>
          </w:tcPr>
          <w:p w14:paraId="1CB3813B" w14:textId="77777777" w:rsidR="00B54D51" w:rsidRPr="00037AD4" w:rsidRDefault="00B54D51" w:rsidP="00401C67">
            <w:pPr>
              <w:widowControl w:val="0"/>
              <w:autoSpaceDE w:val="0"/>
              <w:autoSpaceDN w:val="0"/>
              <w:adjustRightInd w:val="0"/>
            </w:pPr>
            <w:r w:rsidRPr="00037AD4">
              <w:t>4.eq5SR_</w:t>
            </w:r>
          </w:p>
        </w:tc>
        <w:tc>
          <w:tcPr>
            <w:tcW w:w="1258" w:type="pct"/>
            <w:tcBorders>
              <w:top w:val="nil"/>
              <w:left w:val="nil"/>
              <w:bottom w:val="nil"/>
              <w:right w:val="nil"/>
            </w:tcBorders>
          </w:tcPr>
          <w:p w14:paraId="2D717972" w14:textId="77777777" w:rsidR="00B54D51" w:rsidRPr="00037AD4" w:rsidRDefault="00B54D51" w:rsidP="00401C67">
            <w:pPr>
              <w:widowControl w:val="0"/>
              <w:autoSpaceDE w:val="0"/>
              <w:autoSpaceDN w:val="0"/>
              <w:adjustRightInd w:val="0"/>
              <w:jc w:val="center"/>
            </w:pPr>
            <w:r w:rsidRPr="00037AD4">
              <w:t>-0.137</w:t>
            </w:r>
          </w:p>
        </w:tc>
        <w:tc>
          <w:tcPr>
            <w:tcW w:w="1258" w:type="pct"/>
            <w:tcBorders>
              <w:top w:val="nil"/>
              <w:left w:val="nil"/>
              <w:bottom w:val="nil"/>
              <w:right w:val="nil"/>
            </w:tcBorders>
          </w:tcPr>
          <w:p w14:paraId="754CC90D" w14:textId="77777777" w:rsidR="00B54D51" w:rsidRPr="00037AD4" w:rsidRDefault="00B54D51" w:rsidP="00401C67">
            <w:pPr>
              <w:widowControl w:val="0"/>
              <w:autoSpaceDE w:val="0"/>
              <w:autoSpaceDN w:val="0"/>
              <w:adjustRightInd w:val="0"/>
              <w:jc w:val="center"/>
            </w:pPr>
          </w:p>
        </w:tc>
        <w:tc>
          <w:tcPr>
            <w:tcW w:w="1258" w:type="pct"/>
            <w:tcBorders>
              <w:top w:val="nil"/>
              <w:left w:val="nil"/>
              <w:bottom w:val="nil"/>
              <w:right w:val="nil"/>
            </w:tcBorders>
          </w:tcPr>
          <w:p w14:paraId="1DC9F23C" w14:textId="77777777" w:rsidR="00B54D51" w:rsidRPr="00037AD4" w:rsidRDefault="00B54D51" w:rsidP="00401C67">
            <w:pPr>
              <w:widowControl w:val="0"/>
              <w:autoSpaceDE w:val="0"/>
              <w:autoSpaceDN w:val="0"/>
              <w:adjustRightInd w:val="0"/>
              <w:jc w:val="center"/>
            </w:pPr>
          </w:p>
        </w:tc>
      </w:tr>
      <w:tr w:rsidR="00B54D51" w:rsidRPr="00037AD4" w14:paraId="165B05A3" w14:textId="77777777" w:rsidTr="00401C67">
        <w:trPr>
          <w:jc w:val="center"/>
        </w:trPr>
        <w:tc>
          <w:tcPr>
            <w:tcW w:w="1227" w:type="pct"/>
            <w:tcBorders>
              <w:top w:val="nil"/>
              <w:left w:val="nil"/>
              <w:bottom w:val="nil"/>
              <w:right w:val="nil"/>
            </w:tcBorders>
          </w:tcPr>
          <w:p w14:paraId="33609F23" w14:textId="77777777" w:rsidR="00B54D51" w:rsidRPr="00037AD4" w:rsidRDefault="00B54D51" w:rsidP="00401C67">
            <w:pPr>
              <w:widowControl w:val="0"/>
              <w:autoSpaceDE w:val="0"/>
              <w:autoSpaceDN w:val="0"/>
              <w:adjustRightInd w:val="0"/>
            </w:pPr>
          </w:p>
        </w:tc>
        <w:tc>
          <w:tcPr>
            <w:tcW w:w="1258" w:type="pct"/>
            <w:tcBorders>
              <w:top w:val="nil"/>
              <w:left w:val="nil"/>
              <w:bottom w:val="nil"/>
              <w:right w:val="nil"/>
            </w:tcBorders>
          </w:tcPr>
          <w:p w14:paraId="1CC5D5B6" w14:textId="77777777" w:rsidR="00B54D51" w:rsidRPr="00037AD4" w:rsidRDefault="00B54D51" w:rsidP="00401C67">
            <w:pPr>
              <w:widowControl w:val="0"/>
              <w:autoSpaceDE w:val="0"/>
              <w:autoSpaceDN w:val="0"/>
              <w:adjustRightInd w:val="0"/>
              <w:jc w:val="center"/>
            </w:pPr>
            <w:r w:rsidRPr="00037AD4">
              <w:t>(-0.806 - 0.533)</w:t>
            </w:r>
          </w:p>
        </w:tc>
        <w:tc>
          <w:tcPr>
            <w:tcW w:w="1258" w:type="pct"/>
            <w:tcBorders>
              <w:top w:val="nil"/>
              <w:left w:val="nil"/>
              <w:bottom w:val="nil"/>
              <w:right w:val="nil"/>
            </w:tcBorders>
          </w:tcPr>
          <w:p w14:paraId="6CA47258" w14:textId="77777777" w:rsidR="00B54D51" w:rsidRPr="00037AD4" w:rsidRDefault="00B54D51" w:rsidP="00401C67">
            <w:pPr>
              <w:widowControl w:val="0"/>
              <w:autoSpaceDE w:val="0"/>
              <w:autoSpaceDN w:val="0"/>
              <w:adjustRightInd w:val="0"/>
              <w:jc w:val="center"/>
            </w:pPr>
          </w:p>
        </w:tc>
        <w:tc>
          <w:tcPr>
            <w:tcW w:w="1258" w:type="pct"/>
            <w:tcBorders>
              <w:top w:val="nil"/>
              <w:left w:val="nil"/>
              <w:bottom w:val="nil"/>
              <w:right w:val="nil"/>
            </w:tcBorders>
          </w:tcPr>
          <w:p w14:paraId="7BC381E4" w14:textId="77777777" w:rsidR="00B54D51" w:rsidRPr="00037AD4" w:rsidRDefault="00B54D51" w:rsidP="00401C67">
            <w:pPr>
              <w:widowControl w:val="0"/>
              <w:autoSpaceDE w:val="0"/>
              <w:autoSpaceDN w:val="0"/>
              <w:adjustRightInd w:val="0"/>
              <w:jc w:val="center"/>
            </w:pPr>
          </w:p>
        </w:tc>
      </w:tr>
      <w:tr w:rsidR="00B54D51" w:rsidRPr="00037AD4" w14:paraId="60D39EA5" w14:textId="77777777" w:rsidTr="00401C67">
        <w:trPr>
          <w:jc w:val="center"/>
        </w:trPr>
        <w:tc>
          <w:tcPr>
            <w:tcW w:w="1227" w:type="pct"/>
            <w:tcBorders>
              <w:top w:val="nil"/>
              <w:left w:val="nil"/>
              <w:bottom w:val="nil"/>
              <w:right w:val="nil"/>
            </w:tcBorders>
          </w:tcPr>
          <w:p w14:paraId="3CF3F0CB" w14:textId="77777777" w:rsidR="00B54D51" w:rsidRPr="00037AD4" w:rsidRDefault="00B54D51" w:rsidP="00401C67">
            <w:pPr>
              <w:widowControl w:val="0"/>
              <w:autoSpaceDE w:val="0"/>
              <w:autoSpaceDN w:val="0"/>
              <w:adjustRightInd w:val="0"/>
            </w:pPr>
            <w:r w:rsidRPr="00037AD4">
              <w:t>5.eq5SR_</w:t>
            </w:r>
          </w:p>
        </w:tc>
        <w:tc>
          <w:tcPr>
            <w:tcW w:w="1258" w:type="pct"/>
            <w:tcBorders>
              <w:top w:val="nil"/>
              <w:left w:val="nil"/>
              <w:bottom w:val="nil"/>
              <w:right w:val="nil"/>
            </w:tcBorders>
          </w:tcPr>
          <w:p w14:paraId="75696686" w14:textId="77777777" w:rsidR="00B54D51" w:rsidRPr="00037AD4" w:rsidRDefault="00B54D51" w:rsidP="00401C67">
            <w:pPr>
              <w:widowControl w:val="0"/>
              <w:autoSpaceDE w:val="0"/>
              <w:autoSpaceDN w:val="0"/>
              <w:adjustRightInd w:val="0"/>
              <w:jc w:val="center"/>
            </w:pPr>
            <w:r w:rsidRPr="00037AD4">
              <w:t>0.240</w:t>
            </w:r>
          </w:p>
        </w:tc>
        <w:tc>
          <w:tcPr>
            <w:tcW w:w="1258" w:type="pct"/>
            <w:tcBorders>
              <w:top w:val="nil"/>
              <w:left w:val="nil"/>
              <w:bottom w:val="nil"/>
              <w:right w:val="nil"/>
            </w:tcBorders>
          </w:tcPr>
          <w:p w14:paraId="678F0728" w14:textId="77777777" w:rsidR="00B54D51" w:rsidRPr="00037AD4" w:rsidRDefault="00B54D51" w:rsidP="00401C67">
            <w:pPr>
              <w:widowControl w:val="0"/>
              <w:autoSpaceDE w:val="0"/>
              <w:autoSpaceDN w:val="0"/>
              <w:adjustRightInd w:val="0"/>
              <w:jc w:val="center"/>
            </w:pPr>
          </w:p>
        </w:tc>
        <w:tc>
          <w:tcPr>
            <w:tcW w:w="1258" w:type="pct"/>
            <w:tcBorders>
              <w:top w:val="nil"/>
              <w:left w:val="nil"/>
              <w:bottom w:val="nil"/>
              <w:right w:val="nil"/>
            </w:tcBorders>
          </w:tcPr>
          <w:p w14:paraId="751279B2" w14:textId="77777777" w:rsidR="00B54D51" w:rsidRPr="00037AD4" w:rsidRDefault="00B54D51" w:rsidP="00401C67">
            <w:pPr>
              <w:widowControl w:val="0"/>
              <w:autoSpaceDE w:val="0"/>
              <w:autoSpaceDN w:val="0"/>
              <w:adjustRightInd w:val="0"/>
              <w:jc w:val="center"/>
            </w:pPr>
          </w:p>
        </w:tc>
      </w:tr>
      <w:tr w:rsidR="00B54D51" w:rsidRPr="00037AD4" w14:paraId="25DE9A8E" w14:textId="77777777" w:rsidTr="00401C67">
        <w:trPr>
          <w:jc w:val="center"/>
        </w:trPr>
        <w:tc>
          <w:tcPr>
            <w:tcW w:w="1227" w:type="pct"/>
            <w:tcBorders>
              <w:top w:val="nil"/>
              <w:left w:val="nil"/>
              <w:bottom w:val="nil"/>
              <w:right w:val="nil"/>
            </w:tcBorders>
          </w:tcPr>
          <w:p w14:paraId="3179F8E2" w14:textId="77777777" w:rsidR="00B54D51" w:rsidRPr="00037AD4" w:rsidRDefault="00B54D51" w:rsidP="00401C67">
            <w:pPr>
              <w:widowControl w:val="0"/>
              <w:autoSpaceDE w:val="0"/>
              <w:autoSpaceDN w:val="0"/>
              <w:adjustRightInd w:val="0"/>
            </w:pPr>
          </w:p>
        </w:tc>
        <w:tc>
          <w:tcPr>
            <w:tcW w:w="1258" w:type="pct"/>
            <w:tcBorders>
              <w:top w:val="nil"/>
              <w:left w:val="nil"/>
              <w:bottom w:val="nil"/>
              <w:right w:val="nil"/>
            </w:tcBorders>
          </w:tcPr>
          <w:p w14:paraId="2F4DC0E2" w14:textId="77777777" w:rsidR="00B54D51" w:rsidRPr="00037AD4" w:rsidRDefault="00B54D51" w:rsidP="00401C67">
            <w:pPr>
              <w:widowControl w:val="0"/>
              <w:autoSpaceDE w:val="0"/>
              <w:autoSpaceDN w:val="0"/>
              <w:adjustRightInd w:val="0"/>
              <w:jc w:val="center"/>
            </w:pPr>
            <w:r w:rsidRPr="00037AD4">
              <w:t>(-0.476 - 0.955)</w:t>
            </w:r>
          </w:p>
        </w:tc>
        <w:tc>
          <w:tcPr>
            <w:tcW w:w="1258" w:type="pct"/>
            <w:tcBorders>
              <w:top w:val="nil"/>
              <w:left w:val="nil"/>
              <w:bottom w:val="nil"/>
              <w:right w:val="nil"/>
            </w:tcBorders>
          </w:tcPr>
          <w:p w14:paraId="54ED5C37" w14:textId="77777777" w:rsidR="00B54D51" w:rsidRPr="00037AD4" w:rsidRDefault="00B54D51" w:rsidP="00401C67">
            <w:pPr>
              <w:widowControl w:val="0"/>
              <w:autoSpaceDE w:val="0"/>
              <w:autoSpaceDN w:val="0"/>
              <w:adjustRightInd w:val="0"/>
              <w:jc w:val="center"/>
            </w:pPr>
          </w:p>
        </w:tc>
        <w:tc>
          <w:tcPr>
            <w:tcW w:w="1258" w:type="pct"/>
            <w:tcBorders>
              <w:top w:val="nil"/>
              <w:left w:val="nil"/>
              <w:bottom w:val="nil"/>
              <w:right w:val="nil"/>
            </w:tcBorders>
          </w:tcPr>
          <w:p w14:paraId="30F79A13" w14:textId="77777777" w:rsidR="00B54D51" w:rsidRPr="00037AD4" w:rsidRDefault="00B54D51" w:rsidP="00401C67">
            <w:pPr>
              <w:widowControl w:val="0"/>
              <w:autoSpaceDE w:val="0"/>
              <w:autoSpaceDN w:val="0"/>
              <w:adjustRightInd w:val="0"/>
              <w:jc w:val="center"/>
            </w:pPr>
          </w:p>
        </w:tc>
      </w:tr>
      <w:tr w:rsidR="00B54D51" w:rsidRPr="00037AD4" w14:paraId="2E4675B4" w14:textId="77777777" w:rsidTr="00401C67">
        <w:trPr>
          <w:jc w:val="center"/>
        </w:trPr>
        <w:tc>
          <w:tcPr>
            <w:tcW w:w="1227" w:type="pct"/>
            <w:tcBorders>
              <w:top w:val="nil"/>
              <w:left w:val="nil"/>
              <w:bottom w:val="nil"/>
              <w:right w:val="nil"/>
            </w:tcBorders>
          </w:tcPr>
          <w:p w14:paraId="67DBF048" w14:textId="77777777" w:rsidR="00B54D51" w:rsidRPr="00037AD4" w:rsidRDefault="00B54D51" w:rsidP="00401C67">
            <w:pPr>
              <w:widowControl w:val="0"/>
              <w:autoSpaceDE w:val="0"/>
              <w:autoSpaceDN w:val="0"/>
              <w:adjustRightInd w:val="0"/>
            </w:pPr>
            <w:r w:rsidRPr="00037AD4">
              <w:t>NPItotal_</w:t>
            </w:r>
          </w:p>
        </w:tc>
        <w:tc>
          <w:tcPr>
            <w:tcW w:w="1258" w:type="pct"/>
            <w:tcBorders>
              <w:top w:val="nil"/>
              <w:left w:val="nil"/>
              <w:bottom w:val="nil"/>
              <w:right w:val="nil"/>
            </w:tcBorders>
          </w:tcPr>
          <w:p w14:paraId="7B9DEAEC" w14:textId="77777777" w:rsidR="00B54D51" w:rsidRPr="00037AD4" w:rsidRDefault="00B54D51" w:rsidP="00401C67">
            <w:pPr>
              <w:widowControl w:val="0"/>
              <w:autoSpaceDE w:val="0"/>
              <w:autoSpaceDN w:val="0"/>
              <w:adjustRightInd w:val="0"/>
              <w:jc w:val="center"/>
            </w:pPr>
            <w:r w:rsidRPr="00037AD4">
              <w:t>-0.008*</w:t>
            </w:r>
          </w:p>
        </w:tc>
        <w:tc>
          <w:tcPr>
            <w:tcW w:w="1258" w:type="pct"/>
            <w:tcBorders>
              <w:top w:val="nil"/>
              <w:left w:val="nil"/>
              <w:bottom w:val="nil"/>
              <w:right w:val="nil"/>
            </w:tcBorders>
          </w:tcPr>
          <w:p w14:paraId="744A47BB" w14:textId="77777777" w:rsidR="00B54D51" w:rsidRPr="00037AD4" w:rsidRDefault="00B54D51" w:rsidP="00401C67">
            <w:pPr>
              <w:widowControl w:val="0"/>
              <w:autoSpaceDE w:val="0"/>
              <w:autoSpaceDN w:val="0"/>
              <w:adjustRightInd w:val="0"/>
              <w:jc w:val="center"/>
            </w:pPr>
          </w:p>
        </w:tc>
        <w:tc>
          <w:tcPr>
            <w:tcW w:w="1258" w:type="pct"/>
            <w:tcBorders>
              <w:top w:val="nil"/>
              <w:left w:val="nil"/>
              <w:bottom w:val="nil"/>
              <w:right w:val="nil"/>
            </w:tcBorders>
          </w:tcPr>
          <w:p w14:paraId="60AED5A1" w14:textId="77777777" w:rsidR="00B54D51" w:rsidRPr="00037AD4" w:rsidRDefault="00B54D51" w:rsidP="00401C67">
            <w:pPr>
              <w:widowControl w:val="0"/>
              <w:autoSpaceDE w:val="0"/>
              <w:autoSpaceDN w:val="0"/>
              <w:adjustRightInd w:val="0"/>
              <w:jc w:val="center"/>
            </w:pPr>
          </w:p>
        </w:tc>
      </w:tr>
      <w:tr w:rsidR="00B54D51" w:rsidRPr="00037AD4" w14:paraId="534430E9" w14:textId="77777777" w:rsidTr="00401C67">
        <w:trPr>
          <w:jc w:val="center"/>
        </w:trPr>
        <w:tc>
          <w:tcPr>
            <w:tcW w:w="1227" w:type="pct"/>
            <w:tcBorders>
              <w:top w:val="nil"/>
              <w:left w:val="nil"/>
              <w:bottom w:val="nil"/>
              <w:right w:val="nil"/>
            </w:tcBorders>
          </w:tcPr>
          <w:p w14:paraId="601E49AA" w14:textId="77777777" w:rsidR="00B54D51" w:rsidRPr="00037AD4" w:rsidRDefault="00B54D51" w:rsidP="00401C67">
            <w:pPr>
              <w:widowControl w:val="0"/>
              <w:autoSpaceDE w:val="0"/>
              <w:autoSpaceDN w:val="0"/>
              <w:adjustRightInd w:val="0"/>
            </w:pPr>
          </w:p>
        </w:tc>
        <w:tc>
          <w:tcPr>
            <w:tcW w:w="1258" w:type="pct"/>
            <w:tcBorders>
              <w:top w:val="nil"/>
              <w:left w:val="nil"/>
              <w:bottom w:val="nil"/>
              <w:right w:val="nil"/>
            </w:tcBorders>
          </w:tcPr>
          <w:p w14:paraId="04FCDF58" w14:textId="77777777" w:rsidR="00B54D51" w:rsidRPr="00037AD4" w:rsidRDefault="00B54D51" w:rsidP="00401C67">
            <w:pPr>
              <w:widowControl w:val="0"/>
              <w:autoSpaceDE w:val="0"/>
              <w:autoSpaceDN w:val="0"/>
              <w:adjustRightInd w:val="0"/>
              <w:jc w:val="center"/>
            </w:pPr>
            <w:r w:rsidRPr="00037AD4">
              <w:t>(-0.017 - 0.001)</w:t>
            </w:r>
          </w:p>
        </w:tc>
        <w:tc>
          <w:tcPr>
            <w:tcW w:w="1258" w:type="pct"/>
            <w:tcBorders>
              <w:top w:val="nil"/>
              <w:left w:val="nil"/>
              <w:bottom w:val="nil"/>
              <w:right w:val="nil"/>
            </w:tcBorders>
          </w:tcPr>
          <w:p w14:paraId="7410EB9D" w14:textId="77777777" w:rsidR="00B54D51" w:rsidRPr="00037AD4" w:rsidRDefault="00B54D51" w:rsidP="00401C67">
            <w:pPr>
              <w:widowControl w:val="0"/>
              <w:autoSpaceDE w:val="0"/>
              <w:autoSpaceDN w:val="0"/>
              <w:adjustRightInd w:val="0"/>
              <w:jc w:val="center"/>
            </w:pPr>
          </w:p>
        </w:tc>
        <w:tc>
          <w:tcPr>
            <w:tcW w:w="1258" w:type="pct"/>
            <w:tcBorders>
              <w:top w:val="nil"/>
              <w:left w:val="nil"/>
              <w:bottom w:val="nil"/>
              <w:right w:val="nil"/>
            </w:tcBorders>
          </w:tcPr>
          <w:p w14:paraId="482BCC2A" w14:textId="77777777" w:rsidR="00B54D51" w:rsidRPr="00037AD4" w:rsidRDefault="00B54D51" w:rsidP="00401C67">
            <w:pPr>
              <w:widowControl w:val="0"/>
              <w:autoSpaceDE w:val="0"/>
              <w:autoSpaceDN w:val="0"/>
              <w:adjustRightInd w:val="0"/>
              <w:jc w:val="center"/>
            </w:pPr>
          </w:p>
        </w:tc>
      </w:tr>
      <w:tr w:rsidR="00B54D51" w:rsidRPr="00037AD4" w14:paraId="03568B41" w14:textId="77777777" w:rsidTr="00401C67">
        <w:trPr>
          <w:jc w:val="center"/>
        </w:trPr>
        <w:tc>
          <w:tcPr>
            <w:tcW w:w="1227" w:type="pct"/>
            <w:tcBorders>
              <w:top w:val="nil"/>
              <w:left w:val="nil"/>
              <w:bottom w:val="nil"/>
              <w:right w:val="nil"/>
            </w:tcBorders>
          </w:tcPr>
          <w:p w14:paraId="7A1549AF" w14:textId="77777777" w:rsidR="00B54D51" w:rsidRPr="00037AD4" w:rsidRDefault="00B54D51" w:rsidP="00401C67">
            <w:pPr>
              <w:widowControl w:val="0"/>
              <w:autoSpaceDE w:val="0"/>
              <w:autoSpaceDN w:val="0"/>
              <w:adjustRightInd w:val="0"/>
            </w:pPr>
            <w:r w:rsidRPr="00037AD4">
              <w:t>1.CDR_new_</w:t>
            </w:r>
          </w:p>
        </w:tc>
        <w:tc>
          <w:tcPr>
            <w:tcW w:w="1258" w:type="pct"/>
            <w:tcBorders>
              <w:top w:val="nil"/>
              <w:left w:val="nil"/>
              <w:bottom w:val="nil"/>
              <w:right w:val="nil"/>
            </w:tcBorders>
          </w:tcPr>
          <w:p w14:paraId="1DB8C61F" w14:textId="77777777" w:rsidR="00B54D51" w:rsidRPr="00037AD4" w:rsidRDefault="00B54D51" w:rsidP="00401C67">
            <w:pPr>
              <w:widowControl w:val="0"/>
              <w:autoSpaceDE w:val="0"/>
              <w:autoSpaceDN w:val="0"/>
              <w:adjustRightInd w:val="0"/>
              <w:jc w:val="center"/>
            </w:pPr>
            <w:r w:rsidRPr="00037AD4">
              <w:t>-0.083</w:t>
            </w:r>
          </w:p>
        </w:tc>
        <w:tc>
          <w:tcPr>
            <w:tcW w:w="1258" w:type="pct"/>
            <w:tcBorders>
              <w:top w:val="nil"/>
              <w:left w:val="nil"/>
              <w:bottom w:val="nil"/>
              <w:right w:val="nil"/>
            </w:tcBorders>
          </w:tcPr>
          <w:p w14:paraId="54955D5D" w14:textId="77777777" w:rsidR="00B54D51" w:rsidRPr="00037AD4" w:rsidRDefault="00B54D51" w:rsidP="00401C67">
            <w:pPr>
              <w:widowControl w:val="0"/>
              <w:autoSpaceDE w:val="0"/>
              <w:autoSpaceDN w:val="0"/>
              <w:adjustRightInd w:val="0"/>
              <w:jc w:val="center"/>
            </w:pPr>
          </w:p>
        </w:tc>
        <w:tc>
          <w:tcPr>
            <w:tcW w:w="1258" w:type="pct"/>
            <w:tcBorders>
              <w:top w:val="nil"/>
              <w:left w:val="nil"/>
              <w:bottom w:val="nil"/>
              <w:right w:val="nil"/>
            </w:tcBorders>
          </w:tcPr>
          <w:p w14:paraId="012BAB48" w14:textId="77777777" w:rsidR="00B54D51" w:rsidRPr="00037AD4" w:rsidRDefault="00B54D51" w:rsidP="00401C67">
            <w:pPr>
              <w:widowControl w:val="0"/>
              <w:autoSpaceDE w:val="0"/>
              <w:autoSpaceDN w:val="0"/>
              <w:adjustRightInd w:val="0"/>
              <w:jc w:val="center"/>
            </w:pPr>
          </w:p>
        </w:tc>
      </w:tr>
      <w:tr w:rsidR="00B54D51" w:rsidRPr="00037AD4" w14:paraId="4862DAE1" w14:textId="77777777" w:rsidTr="00401C67">
        <w:trPr>
          <w:jc w:val="center"/>
        </w:trPr>
        <w:tc>
          <w:tcPr>
            <w:tcW w:w="1227" w:type="pct"/>
            <w:tcBorders>
              <w:top w:val="nil"/>
              <w:left w:val="nil"/>
              <w:bottom w:val="nil"/>
              <w:right w:val="nil"/>
            </w:tcBorders>
          </w:tcPr>
          <w:p w14:paraId="2A28E288" w14:textId="77777777" w:rsidR="00B54D51" w:rsidRPr="00037AD4" w:rsidRDefault="00B54D51" w:rsidP="00401C67">
            <w:pPr>
              <w:widowControl w:val="0"/>
              <w:autoSpaceDE w:val="0"/>
              <w:autoSpaceDN w:val="0"/>
              <w:adjustRightInd w:val="0"/>
            </w:pPr>
          </w:p>
        </w:tc>
        <w:tc>
          <w:tcPr>
            <w:tcW w:w="1258" w:type="pct"/>
            <w:tcBorders>
              <w:top w:val="nil"/>
              <w:left w:val="nil"/>
              <w:bottom w:val="nil"/>
              <w:right w:val="nil"/>
            </w:tcBorders>
          </w:tcPr>
          <w:p w14:paraId="7D8736EE" w14:textId="77777777" w:rsidR="00B54D51" w:rsidRPr="00037AD4" w:rsidRDefault="00B54D51" w:rsidP="00401C67">
            <w:pPr>
              <w:widowControl w:val="0"/>
              <w:autoSpaceDE w:val="0"/>
              <w:autoSpaceDN w:val="0"/>
              <w:adjustRightInd w:val="0"/>
              <w:jc w:val="center"/>
            </w:pPr>
            <w:r w:rsidRPr="00037AD4">
              <w:t>(-0.381 - 0.215)</w:t>
            </w:r>
          </w:p>
        </w:tc>
        <w:tc>
          <w:tcPr>
            <w:tcW w:w="1258" w:type="pct"/>
            <w:tcBorders>
              <w:top w:val="nil"/>
              <w:left w:val="nil"/>
              <w:bottom w:val="nil"/>
              <w:right w:val="nil"/>
            </w:tcBorders>
          </w:tcPr>
          <w:p w14:paraId="475339DD" w14:textId="77777777" w:rsidR="00B54D51" w:rsidRPr="00037AD4" w:rsidRDefault="00B54D51" w:rsidP="00401C67">
            <w:pPr>
              <w:widowControl w:val="0"/>
              <w:autoSpaceDE w:val="0"/>
              <w:autoSpaceDN w:val="0"/>
              <w:adjustRightInd w:val="0"/>
              <w:jc w:val="center"/>
            </w:pPr>
          </w:p>
        </w:tc>
        <w:tc>
          <w:tcPr>
            <w:tcW w:w="1258" w:type="pct"/>
            <w:tcBorders>
              <w:top w:val="nil"/>
              <w:left w:val="nil"/>
              <w:bottom w:val="nil"/>
              <w:right w:val="nil"/>
            </w:tcBorders>
          </w:tcPr>
          <w:p w14:paraId="5EDFBD02" w14:textId="77777777" w:rsidR="00B54D51" w:rsidRPr="00037AD4" w:rsidRDefault="00B54D51" w:rsidP="00401C67">
            <w:pPr>
              <w:widowControl w:val="0"/>
              <w:autoSpaceDE w:val="0"/>
              <w:autoSpaceDN w:val="0"/>
              <w:adjustRightInd w:val="0"/>
              <w:jc w:val="center"/>
            </w:pPr>
          </w:p>
        </w:tc>
      </w:tr>
      <w:tr w:rsidR="00B54D51" w:rsidRPr="00037AD4" w14:paraId="0B24111E" w14:textId="77777777" w:rsidTr="00401C67">
        <w:trPr>
          <w:jc w:val="center"/>
        </w:trPr>
        <w:tc>
          <w:tcPr>
            <w:tcW w:w="1227" w:type="pct"/>
            <w:tcBorders>
              <w:top w:val="nil"/>
              <w:left w:val="nil"/>
              <w:bottom w:val="nil"/>
              <w:right w:val="nil"/>
            </w:tcBorders>
          </w:tcPr>
          <w:p w14:paraId="1373CBD3" w14:textId="77777777" w:rsidR="00B54D51" w:rsidRPr="00037AD4" w:rsidRDefault="00B54D51" w:rsidP="00401C67">
            <w:pPr>
              <w:widowControl w:val="0"/>
              <w:autoSpaceDE w:val="0"/>
              <w:autoSpaceDN w:val="0"/>
              <w:adjustRightInd w:val="0"/>
            </w:pPr>
            <w:r w:rsidRPr="00037AD4">
              <w:t>2.CDR_new_</w:t>
            </w:r>
          </w:p>
        </w:tc>
        <w:tc>
          <w:tcPr>
            <w:tcW w:w="1258" w:type="pct"/>
            <w:tcBorders>
              <w:top w:val="nil"/>
              <w:left w:val="nil"/>
              <w:bottom w:val="nil"/>
              <w:right w:val="nil"/>
            </w:tcBorders>
          </w:tcPr>
          <w:p w14:paraId="5C5F0836" w14:textId="77777777" w:rsidR="00B54D51" w:rsidRPr="00037AD4" w:rsidRDefault="00B54D51" w:rsidP="00401C67">
            <w:pPr>
              <w:widowControl w:val="0"/>
              <w:autoSpaceDE w:val="0"/>
              <w:autoSpaceDN w:val="0"/>
              <w:adjustRightInd w:val="0"/>
              <w:jc w:val="center"/>
            </w:pPr>
            <w:r w:rsidRPr="00037AD4">
              <w:t>0.147</w:t>
            </w:r>
          </w:p>
        </w:tc>
        <w:tc>
          <w:tcPr>
            <w:tcW w:w="1258" w:type="pct"/>
            <w:tcBorders>
              <w:top w:val="nil"/>
              <w:left w:val="nil"/>
              <w:bottom w:val="nil"/>
              <w:right w:val="nil"/>
            </w:tcBorders>
          </w:tcPr>
          <w:p w14:paraId="44CAE00D" w14:textId="77777777" w:rsidR="00B54D51" w:rsidRPr="00037AD4" w:rsidRDefault="00B54D51" w:rsidP="00401C67">
            <w:pPr>
              <w:widowControl w:val="0"/>
              <w:autoSpaceDE w:val="0"/>
              <w:autoSpaceDN w:val="0"/>
              <w:adjustRightInd w:val="0"/>
              <w:jc w:val="center"/>
            </w:pPr>
          </w:p>
        </w:tc>
        <w:tc>
          <w:tcPr>
            <w:tcW w:w="1258" w:type="pct"/>
            <w:tcBorders>
              <w:top w:val="nil"/>
              <w:left w:val="nil"/>
              <w:bottom w:val="nil"/>
              <w:right w:val="nil"/>
            </w:tcBorders>
          </w:tcPr>
          <w:p w14:paraId="360223CC" w14:textId="77777777" w:rsidR="00B54D51" w:rsidRPr="00037AD4" w:rsidRDefault="00B54D51" w:rsidP="00401C67">
            <w:pPr>
              <w:widowControl w:val="0"/>
              <w:autoSpaceDE w:val="0"/>
              <w:autoSpaceDN w:val="0"/>
              <w:adjustRightInd w:val="0"/>
              <w:jc w:val="center"/>
            </w:pPr>
          </w:p>
        </w:tc>
      </w:tr>
      <w:tr w:rsidR="00B54D51" w:rsidRPr="00037AD4" w14:paraId="60050888" w14:textId="77777777" w:rsidTr="00401C67">
        <w:trPr>
          <w:jc w:val="center"/>
        </w:trPr>
        <w:tc>
          <w:tcPr>
            <w:tcW w:w="1227" w:type="pct"/>
            <w:tcBorders>
              <w:top w:val="nil"/>
              <w:left w:val="nil"/>
              <w:bottom w:val="nil"/>
              <w:right w:val="nil"/>
            </w:tcBorders>
          </w:tcPr>
          <w:p w14:paraId="01B174BC" w14:textId="77777777" w:rsidR="00B54D51" w:rsidRPr="00037AD4" w:rsidRDefault="00B54D51" w:rsidP="00401C67">
            <w:pPr>
              <w:widowControl w:val="0"/>
              <w:autoSpaceDE w:val="0"/>
              <w:autoSpaceDN w:val="0"/>
              <w:adjustRightInd w:val="0"/>
            </w:pPr>
          </w:p>
        </w:tc>
        <w:tc>
          <w:tcPr>
            <w:tcW w:w="1258" w:type="pct"/>
            <w:tcBorders>
              <w:top w:val="nil"/>
              <w:left w:val="nil"/>
              <w:bottom w:val="nil"/>
              <w:right w:val="nil"/>
            </w:tcBorders>
          </w:tcPr>
          <w:p w14:paraId="0FD7F2B1" w14:textId="77777777" w:rsidR="00B54D51" w:rsidRPr="00037AD4" w:rsidRDefault="00B54D51" w:rsidP="00401C67">
            <w:pPr>
              <w:widowControl w:val="0"/>
              <w:autoSpaceDE w:val="0"/>
              <w:autoSpaceDN w:val="0"/>
              <w:adjustRightInd w:val="0"/>
              <w:jc w:val="center"/>
            </w:pPr>
            <w:r w:rsidRPr="00037AD4">
              <w:t>(-0.168 - 0.462)</w:t>
            </w:r>
          </w:p>
        </w:tc>
        <w:tc>
          <w:tcPr>
            <w:tcW w:w="1258" w:type="pct"/>
            <w:tcBorders>
              <w:top w:val="nil"/>
              <w:left w:val="nil"/>
              <w:bottom w:val="nil"/>
              <w:right w:val="nil"/>
            </w:tcBorders>
          </w:tcPr>
          <w:p w14:paraId="6A863217" w14:textId="77777777" w:rsidR="00B54D51" w:rsidRPr="00037AD4" w:rsidRDefault="00B54D51" w:rsidP="00401C67">
            <w:pPr>
              <w:widowControl w:val="0"/>
              <w:autoSpaceDE w:val="0"/>
              <w:autoSpaceDN w:val="0"/>
              <w:adjustRightInd w:val="0"/>
              <w:jc w:val="center"/>
            </w:pPr>
          </w:p>
        </w:tc>
        <w:tc>
          <w:tcPr>
            <w:tcW w:w="1258" w:type="pct"/>
            <w:tcBorders>
              <w:top w:val="nil"/>
              <w:left w:val="nil"/>
              <w:bottom w:val="nil"/>
              <w:right w:val="nil"/>
            </w:tcBorders>
          </w:tcPr>
          <w:p w14:paraId="393C7944" w14:textId="77777777" w:rsidR="00B54D51" w:rsidRPr="00037AD4" w:rsidRDefault="00B54D51" w:rsidP="00401C67">
            <w:pPr>
              <w:widowControl w:val="0"/>
              <w:autoSpaceDE w:val="0"/>
              <w:autoSpaceDN w:val="0"/>
              <w:adjustRightInd w:val="0"/>
              <w:jc w:val="center"/>
            </w:pPr>
          </w:p>
        </w:tc>
      </w:tr>
      <w:tr w:rsidR="00B54D51" w:rsidRPr="00037AD4" w14:paraId="590FF976" w14:textId="77777777" w:rsidTr="00401C67">
        <w:trPr>
          <w:jc w:val="center"/>
        </w:trPr>
        <w:tc>
          <w:tcPr>
            <w:tcW w:w="1227" w:type="pct"/>
            <w:tcBorders>
              <w:top w:val="nil"/>
              <w:left w:val="nil"/>
              <w:bottom w:val="nil"/>
              <w:right w:val="nil"/>
            </w:tcBorders>
          </w:tcPr>
          <w:p w14:paraId="3C2539A6" w14:textId="77777777" w:rsidR="00B54D51" w:rsidRPr="00037AD4" w:rsidRDefault="00B54D51" w:rsidP="00401C67">
            <w:pPr>
              <w:widowControl w:val="0"/>
              <w:autoSpaceDE w:val="0"/>
              <w:autoSpaceDN w:val="0"/>
              <w:adjustRightInd w:val="0"/>
            </w:pPr>
            <w:r w:rsidRPr="00037AD4">
              <w:t>3.CDR_new_</w:t>
            </w:r>
          </w:p>
        </w:tc>
        <w:tc>
          <w:tcPr>
            <w:tcW w:w="1258" w:type="pct"/>
            <w:tcBorders>
              <w:top w:val="nil"/>
              <w:left w:val="nil"/>
              <w:bottom w:val="nil"/>
              <w:right w:val="nil"/>
            </w:tcBorders>
          </w:tcPr>
          <w:p w14:paraId="7B2172E3" w14:textId="77777777" w:rsidR="00B54D51" w:rsidRPr="00037AD4" w:rsidRDefault="00B54D51" w:rsidP="00401C67">
            <w:pPr>
              <w:widowControl w:val="0"/>
              <w:autoSpaceDE w:val="0"/>
              <w:autoSpaceDN w:val="0"/>
              <w:adjustRightInd w:val="0"/>
              <w:jc w:val="center"/>
            </w:pPr>
            <w:r w:rsidRPr="00037AD4">
              <w:t>0.628***</w:t>
            </w:r>
          </w:p>
        </w:tc>
        <w:tc>
          <w:tcPr>
            <w:tcW w:w="1258" w:type="pct"/>
            <w:tcBorders>
              <w:top w:val="nil"/>
              <w:left w:val="nil"/>
              <w:bottom w:val="nil"/>
              <w:right w:val="nil"/>
            </w:tcBorders>
          </w:tcPr>
          <w:p w14:paraId="4D4169A5" w14:textId="77777777" w:rsidR="00B54D51" w:rsidRPr="00037AD4" w:rsidRDefault="00B54D51" w:rsidP="00401C67">
            <w:pPr>
              <w:widowControl w:val="0"/>
              <w:autoSpaceDE w:val="0"/>
              <w:autoSpaceDN w:val="0"/>
              <w:adjustRightInd w:val="0"/>
              <w:jc w:val="center"/>
            </w:pPr>
          </w:p>
        </w:tc>
        <w:tc>
          <w:tcPr>
            <w:tcW w:w="1258" w:type="pct"/>
            <w:tcBorders>
              <w:top w:val="nil"/>
              <w:left w:val="nil"/>
              <w:bottom w:val="nil"/>
              <w:right w:val="nil"/>
            </w:tcBorders>
          </w:tcPr>
          <w:p w14:paraId="617ED075" w14:textId="77777777" w:rsidR="00B54D51" w:rsidRPr="00037AD4" w:rsidRDefault="00B54D51" w:rsidP="00401C67">
            <w:pPr>
              <w:widowControl w:val="0"/>
              <w:autoSpaceDE w:val="0"/>
              <w:autoSpaceDN w:val="0"/>
              <w:adjustRightInd w:val="0"/>
              <w:jc w:val="center"/>
            </w:pPr>
          </w:p>
        </w:tc>
      </w:tr>
      <w:tr w:rsidR="00B54D51" w:rsidRPr="00037AD4" w14:paraId="74DDA474" w14:textId="77777777" w:rsidTr="00401C67">
        <w:trPr>
          <w:jc w:val="center"/>
        </w:trPr>
        <w:tc>
          <w:tcPr>
            <w:tcW w:w="1227" w:type="pct"/>
            <w:tcBorders>
              <w:top w:val="nil"/>
              <w:left w:val="nil"/>
              <w:bottom w:val="nil"/>
              <w:right w:val="nil"/>
            </w:tcBorders>
          </w:tcPr>
          <w:p w14:paraId="54E1FF5B" w14:textId="77777777" w:rsidR="00B54D51" w:rsidRPr="00037AD4" w:rsidRDefault="00B54D51" w:rsidP="00401C67">
            <w:pPr>
              <w:widowControl w:val="0"/>
              <w:autoSpaceDE w:val="0"/>
              <w:autoSpaceDN w:val="0"/>
              <w:adjustRightInd w:val="0"/>
            </w:pPr>
          </w:p>
        </w:tc>
        <w:tc>
          <w:tcPr>
            <w:tcW w:w="1258" w:type="pct"/>
            <w:tcBorders>
              <w:top w:val="nil"/>
              <w:left w:val="nil"/>
              <w:bottom w:val="nil"/>
              <w:right w:val="nil"/>
            </w:tcBorders>
          </w:tcPr>
          <w:p w14:paraId="7D0E1794" w14:textId="77777777" w:rsidR="00B54D51" w:rsidRPr="00037AD4" w:rsidRDefault="00B54D51" w:rsidP="00401C67">
            <w:pPr>
              <w:widowControl w:val="0"/>
              <w:autoSpaceDE w:val="0"/>
              <w:autoSpaceDN w:val="0"/>
              <w:adjustRightInd w:val="0"/>
              <w:jc w:val="center"/>
            </w:pPr>
            <w:r w:rsidRPr="00037AD4">
              <w:t>(0.218 - 1.038)</w:t>
            </w:r>
          </w:p>
        </w:tc>
        <w:tc>
          <w:tcPr>
            <w:tcW w:w="1258" w:type="pct"/>
            <w:tcBorders>
              <w:top w:val="nil"/>
              <w:left w:val="nil"/>
              <w:bottom w:val="nil"/>
              <w:right w:val="nil"/>
            </w:tcBorders>
          </w:tcPr>
          <w:p w14:paraId="20AB7A95" w14:textId="77777777" w:rsidR="00B54D51" w:rsidRPr="00037AD4" w:rsidRDefault="00B54D51" w:rsidP="00401C67">
            <w:pPr>
              <w:widowControl w:val="0"/>
              <w:autoSpaceDE w:val="0"/>
              <w:autoSpaceDN w:val="0"/>
              <w:adjustRightInd w:val="0"/>
              <w:jc w:val="center"/>
            </w:pPr>
          </w:p>
        </w:tc>
        <w:tc>
          <w:tcPr>
            <w:tcW w:w="1258" w:type="pct"/>
            <w:tcBorders>
              <w:top w:val="nil"/>
              <w:left w:val="nil"/>
              <w:bottom w:val="nil"/>
              <w:right w:val="nil"/>
            </w:tcBorders>
          </w:tcPr>
          <w:p w14:paraId="6D8A7CAB" w14:textId="77777777" w:rsidR="00B54D51" w:rsidRPr="00037AD4" w:rsidRDefault="00B54D51" w:rsidP="00401C67">
            <w:pPr>
              <w:widowControl w:val="0"/>
              <w:autoSpaceDE w:val="0"/>
              <w:autoSpaceDN w:val="0"/>
              <w:adjustRightInd w:val="0"/>
              <w:jc w:val="center"/>
            </w:pPr>
          </w:p>
        </w:tc>
      </w:tr>
      <w:tr w:rsidR="00B54D51" w:rsidRPr="00037AD4" w14:paraId="596E6980" w14:textId="77777777" w:rsidTr="00401C67">
        <w:trPr>
          <w:jc w:val="center"/>
        </w:trPr>
        <w:tc>
          <w:tcPr>
            <w:tcW w:w="1227" w:type="pct"/>
            <w:tcBorders>
              <w:top w:val="nil"/>
              <w:left w:val="nil"/>
              <w:bottom w:val="nil"/>
              <w:right w:val="nil"/>
            </w:tcBorders>
          </w:tcPr>
          <w:p w14:paraId="75FAEB8D" w14:textId="77777777" w:rsidR="00B54D51" w:rsidRPr="00037AD4" w:rsidRDefault="00B54D51" w:rsidP="00401C67">
            <w:pPr>
              <w:widowControl w:val="0"/>
              <w:autoSpaceDE w:val="0"/>
              <w:autoSpaceDN w:val="0"/>
              <w:adjustRightInd w:val="0"/>
            </w:pPr>
            <w:r w:rsidRPr="00037AD4">
              <w:t>numeric_FAST_</w:t>
            </w:r>
          </w:p>
        </w:tc>
        <w:tc>
          <w:tcPr>
            <w:tcW w:w="1258" w:type="pct"/>
            <w:tcBorders>
              <w:top w:val="nil"/>
              <w:left w:val="nil"/>
              <w:bottom w:val="nil"/>
              <w:right w:val="nil"/>
            </w:tcBorders>
          </w:tcPr>
          <w:p w14:paraId="362B7257" w14:textId="77777777" w:rsidR="00B54D51" w:rsidRPr="00037AD4" w:rsidRDefault="00B54D51" w:rsidP="00401C67">
            <w:pPr>
              <w:widowControl w:val="0"/>
              <w:autoSpaceDE w:val="0"/>
              <w:autoSpaceDN w:val="0"/>
              <w:adjustRightInd w:val="0"/>
              <w:jc w:val="center"/>
            </w:pPr>
            <w:r w:rsidRPr="00037AD4">
              <w:t>0.292***</w:t>
            </w:r>
          </w:p>
        </w:tc>
        <w:tc>
          <w:tcPr>
            <w:tcW w:w="1258" w:type="pct"/>
            <w:tcBorders>
              <w:top w:val="nil"/>
              <w:left w:val="nil"/>
              <w:bottom w:val="nil"/>
              <w:right w:val="nil"/>
            </w:tcBorders>
          </w:tcPr>
          <w:p w14:paraId="3BCE3FA9" w14:textId="77777777" w:rsidR="00B54D51" w:rsidRPr="00037AD4" w:rsidRDefault="00B54D51" w:rsidP="00401C67">
            <w:pPr>
              <w:widowControl w:val="0"/>
              <w:autoSpaceDE w:val="0"/>
              <w:autoSpaceDN w:val="0"/>
              <w:adjustRightInd w:val="0"/>
              <w:jc w:val="center"/>
            </w:pPr>
            <w:r w:rsidRPr="00037AD4">
              <w:t>0.358***</w:t>
            </w:r>
          </w:p>
        </w:tc>
        <w:tc>
          <w:tcPr>
            <w:tcW w:w="1258" w:type="pct"/>
            <w:tcBorders>
              <w:top w:val="nil"/>
              <w:left w:val="nil"/>
              <w:bottom w:val="nil"/>
              <w:right w:val="nil"/>
            </w:tcBorders>
          </w:tcPr>
          <w:p w14:paraId="726CF7E1" w14:textId="77777777" w:rsidR="00B54D51" w:rsidRPr="00037AD4" w:rsidRDefault="00B54D51" w:rsidP="00401C67">
            <w:pPr>
              <w:widowControl w:val="0"/>
              <w:autoSpaceDE w:val="0"/>
              <w:autoSpaceDN w:val="0"/>
              <w:adjustRightInd w:val="0"/>
              <w:jc w:val="center"/>
            </w:pPr>
            <w:r w:rsidRPr="00037AD4">
              <w:t>0.358***</w:t>
            </w:r>
          </w:p>
        </w:tc>
      </w:tr>
      <w:tr w:rsidR="00B54D51" w:rsidRPr="00037AD4" w14:paraId="7A1F4346" w14:textId="77777777" w:rsidTr="00401C67">
        <w:trPr>
          <w:jc w:val="center"/>
        </w:trPr>
        <w:tc>
          <w:tcPr>
            <w:tcW w:w="1227" w:type="pct"/>
            <w:tcBorders>
              <w:top w:val="nil"/>
              <w:left w:val="nil"/>
              <w:bottom w:val="nil"/>
              <w:right w:val="nil"/>
            </w:tcBorders>
          </w:tcPr>
          <w:p w14:paraId="7BD22997" w14:textId="77777777" w:rsidR="00B54D51" w:rsidRPr="00037AD4" w:rsidRDefault="00B54D51" w:rsidP="00401C67">
            <w:pPr>
              <w:widowControl w:val="0"/>
              <w:autoSpaceDE w:val="0"/>
              <w:autoSpaceDN w:val="0"/>
              <w:adjustRightInd w:val="0"/>
            </w:pPr>
          </w:p>
        </w:tc>
        <w:tc>
          <w:tcPr>
            <w:tcW w:w="1258" w:type="pct"/>
            <w:tcBorders>
              <w:top w:val="nil"/>
              <w:left w:val="nil"/>
              <w:bottom w:val="nil"/>
              <w:right w:val="nil"/>
            </w:tcBorders>
          </w:tcPr>
          <w:p w14:paraId="48927ABE" w14:textId="77777777" w:rsidR="00B54D51" w:rsidRPr="00037AD4" w:rsidRDefault="00B54D51" w:rsidP="00401C67">
            <w:pPr>
              <w:widowControl w:val="0"/>
              <w:autoSpaceDE w:val="0"/>
              <w:autoSpaceDN w:val="0"/>
              <w:adjustRightInd w:val="0"/>
              <w:jc w:val="center"/>
            </w:pPr>
            <w:r w:rsidRPr="00037AD4">
              <w:t>(0.176 - 0.407)</w:t>
            </w:r>
          </w:p>
        </w:tc>
        <w:tc>
          <w:tcPr>
            <w:tcW w:w="1258" w:type="pct"/>
            <w:tcBorders>
              <w:top w:val="nil"/>
              <w:left w:val="nil"/>
              <w:bottom w:val="nil"/>
              <w:right w:val="nil"/>
            </w:tcBorders>
          </w:tcPr>
          <w:p w14:paraId="367BB2A6" w14:textId="77777777" w:rsidR="00B54D51" w:rsidRPr="00037AD4" w:rsidRDefault="00B54D51" w:rsidP="00401C67">
            <w:pPr>
              <w:widowControl w:val="0"/>
              <w:autoSpaceDE w:val="0"/>
              <w:autoSpaceDN w:val="0"/>
              <w:adjustRightInd w:val="0"/>
              <w:jc w:val="center"/>
            </w:pPr>
            <w:r w:rsidRPr="00037AD4">
              <w:t>(0.258 - 0.457)</w:t>
            </w:r>
          </w:p>
        </w:tc>
        <w:tc>
          <w:tcPr>
            <w:tcW w:w="1258" w:type="pct"/>
            <w:tcBorders>
              <w:top w:val="nil"/>
              <w:left w:val="nil"/>
              <w:bottom w:val="nil"/>
              <w:right w:val="nil"/>
            </w:tcBorders>
          </w:tcPr>
          <w:p w14:paraId="42816C29" w14:textId="77777777" w:rsidR="00B54D51" w:rsidRPr="00037AD4" w:rsidRDefault="00B54D51" w:rsidP="00401C67">
            <w:pPr>
              <w:widowControl w:val="0"/>
              <w:autoSpaceDE w:val="0"/>
              <w:autoSpaceDN w:val="0"/>
              <w:adjustRightInd w:val="0"/>
              <w:jc w:val="center"/>
            </w:pPr>
            <w:r w:rsidRPr="00037AD4">
              <w:t>(0.258 - 0.457)</w:t>
            </w:r>
          </w:p>
        </w:tc>
      </w:tr>
      <w:tr w:rsidR="00B54D51" w:rsidRPr="00037AD4" w14:paraId="40B93063" w14:textId="77777777" w:rsidTr="00401C67">
        <w:trPr>
          <w:jc w:val="center"/>
        </w:trPr>
        <w:tc>
          <w:tcPr>
            <w:tcW w:w="1227" w:type="pct"/>
            <w:tcBorders>
              <w:top w:val="nil"/>
              <w:left w:val="nil"/>
              <w:bottom w:val="nil"/>
              <w:right w:val="nil"/>
            </w:tcBorders>
          </w:tcPr>
          <w:p w14:paraId="1C64C13A" w14:textId="77777777" w:rsidR="00B54D51" w:rsidRPr="00037AD4" w:rsidRDefault="00B54D51" w:rsidP="00401C67">
            <w:pPr>
              <w:widowControl w:val="0"/>
              <w:autoSpaceDE w:val="0"/>
              <w:autoSpaceDN w:val="0"/>
              <w:adjustRightInd w:val="0"/>
            </w:pPr>
            <w:r w:rsidRPr="00037AD4">
              <w:t>age_</w:t>
            </w:r>
          </w:p>
        </w:tc>
        <w:tc>
          <w:tcPr>
            <w:tcW w:w="1258" w:type="pct"/>
            <w:tcBorders>
              <w:top w:val="nil"/>
              <w:left w:val="nil"/>
              <w:bottom w:val="nil"/>
              <w:right w:val="nil"/>
            </w:tcBorders>
          </w:tcPr>
          <w:p w14:paraId="60559E04" w14:textId="77777777" w:rsidR="00B54D51" w:rsidRPr="00037AD4" w:rsidRDefault="00B54D51" w:rsidP="00401C67">
            <w:pPr>
              <w:widowControl w:val="0"/>
              <w:autoSpaceDE w:val="0"/>
              <w:autoSpaceDN w:val="0"/>
              <w:adjustRightInd w:val="0"/>
              <w:jc w:val="center"/>
            </w:pPr>
            <w:r w:rsidRPr="00037AD4">
              <w:t>0.016**</w:t>
            </w:r>
          </w:p>
        </w:tc>
        <w:tc>
          <w:tcPr>
            <w:tcW w:w="1258" w:type="pct"/>
            <w:tcBorders>
              <w:top w:val="nil"/>
              <w:left w:val="nil"/>
              <w:bottom w:val="nil"/>
              <w:right w:val="nil"/>
            </w:tcBorders>
          </w:tcPr>
          <w:p w14:paraId="4F9BF863" w14:textId="77777777" w:rsidR="00B54D51" w:rsidRPr="00037AD4" w:rsidRDefault="00B54D51" w:rsidP="00401C67">
            <w:pPr>
              <w:widowControl w:val="0"/>
              <w:autoSpaceDE w:val="0"/>
              <w:autoSpaceDN w:val="0"/>
              <w:adjustRightInd w:val="0"/>
              <w:jc w:val="center"/>
            </w:pPr>
            <w:r w:rsidRPr="00037AD4">
              <w:t>0.020***</w:t>
            </w:r>
          </w:p>
        </w:tc>
        <w:tc>
          <w:tcPr>
            <w:tcW w:w="1258" w:type="pct"/>
            <w:tcBorders>
              <w:top w:val="nil"/>
              <w:left w:val="nil"/>
              <w:bottom w:val="nil"/>
              <w:right w:val="nil"/>
            </w:tcBorders>
          </w:tcPr>
          <w:p w14:paraId="2D94CE40" w14:textId="77777777" w:rsidR="00B54D51" w:rsidRPr="00037AD4" w:rsidRDefault="00B54D51" w:rsidP="00401C67">
            <w:pPr>
              <w:widowControl w:val="0"/>
              <w:autoSpaceDE w:val="0"/>
              <w:autoSpaceDN w:val="0"/>
              <w:adjustRightInd w:val="0"/>
              <w:jc w:val="center"/>
            </w:pPr>
            <w:r w:rsidRPr="00037AD4">
              <w:t>0.020***</w:t>
            </w:r>
          </w:p>
        </w:tc>
      </w:tr>
      <w:tr w:rsidR="00B54D51" w:rsidRPr="00037AD4" w14:paraId="50B078A5" w14:textId="77777777" w:rsidTr="00401C67">
        <w:trPr>
          <w:jc w:val="center"/>
        </w:trPr>
        <w:tc>
          <w:tcPr>
            <w:tcW w:w="1227" w:type="pct"/>
            <w:tcBorders>
              <w:top w:val="nil"/>
              <w:left w:val="nil"/>
              <w:bottom w:val="nil"/>
              <w:right w:val="nil"/>
            </w:tcBorders>
          </w:tcPr>
          <w:p w14:paraId="1B821637" w14:textId="77777777" w:rsidR="00B54D51" w:rsidRPr="00037AD4" w:rsidRDefault="00B54D51" w:rsidP="00401C67">
            <w:pPr>
              <w:widowControl w:val="0"/>
              <w:autoSpaceDE w:val="0"/>
              <w:autoSpaceDN w:val="0"/>
              <w:adjustRightInd w:val="0"/>
            </w:pPr>
          </w:p>
        </w:tc>
        <w:tc>
          <w:tcPr>
            <w:tcW w:w="1258" w:type="pct"/>
            <w:tcBorders>
              <w:top w:val="nil"/>
              <w:left w:val="nil"/>
              <w:bottom w:val="nil"/>
              <w:right w:val="nil"/>
            </w:tcBorders>
          </w:tcPr>
          <w:p w14:paraId="689B040F" w14:textId="77777777" w:rsidR="00B54D51" w:rsidRPr="00037AD4" w:rsidRDefault="00B54D51" w:rsidP="00401C67">
            <w:pPr>
              <w:widowControl w:val="0"/>
              <w:autoSpaceDE w:val="0"/>
              <w:autoSpaceDN w:val="0"/>
              <w:adjustRightInd w:val="0"/>
              <w:jc w:val="center"/>
            </w:pPr>
            <w:r w:rsidRPr="00037AD4">
              <w:t>(0.000 - 0.032)</w:t>
            </w:r>
          </w:p>
        </w:tc>
        <w:tc>
          <w:tcPr>
            <w:tcW w:w="1258" w:type="pct"/>
            <w:tcBorders>
              <w:top w:val="nil"/>
              <w:left w:val="nil"/>
              <w:bottom w:val="nil"/>
              <w:right w:val="nil"/>
            </w:tcBorders>
          </w:tcPr>
          <w:p w14:paraId="1DF7A99D" w14:textId="77777777" w:rsidR="00B54D51" w:rsidRPr="00037AD4" w:rsidRDefault="00B54D51" w:rsidP="00401C67">
            <w:pPr>
              <w:widowControl w:val="0"/>
              <w:autoSpaceDE w:val="0"/>
              <w:autoSpaceDN w:val="0"/>
              <w:adjustRightInd w:val="0"/>
              <w:jc w:val="center"/>
            </w:pPr>
            <w:r w:rsidRPr="00037AD4">
              <w:t>(0.005 - 0.034)</w:t>
            </w:r>
          </w:p>
        </w:tc>
        <w:tc>
          <w:tcPr>
            <w:tcW w:w="1258" w:type="pct"/>
            <w:tcBorders>
              <w:top w:val="nil"/>
              <w:left w:val="nil"/>
              <w:bottom w:val="nil"/>
              <w:right w:val="nil"/>
            </w:tcBorders>
          </w:tcPr>
          <w:p w14:paraId="4132B0AB" w14:textId="77777777" w:rsidR="00B54D51" w:rsidRPr="00037AD4" w:rsidRDefault="00B54D51" w:rsidP="00401C67">
            <w:pPr>
              <w:widowControl w:val="0"/>
              <w:autoSpaceDE w:val="0"/>
              <w:autoSpaceDN w:val="0"/>
              <w:adjustRightInd w:val="0"/>
              <w:jc w:val="center"/>
            </w:pPr>
            <w:r w:rsidRPr="00037AD4">
              <w:t>(0.005 - 0.034)</w:t>
            </w:r>
          </w:p>
        </w:tc>
      </w:tr>
      <w:tr w:rsidR="00B54D51" w:rsidRPr="00037AD4" w14:paraId="07FDEF6A" w14:textId="77777777" w:rsidTr="00401C67">
        <w:trPr>
          <w:jc w:val="center"/>
        </w:trPr>
        <w:tc>
          <w:tcPr>
            <w:tcW w:w="1227" w:type="pct"/>
            <w:tcBorders>
              <w:top w:val="nil"/>
              <w:left w:val="nil"/>
              <w:bottom w:val="nil"/>
              <w:right w:val="nil"/>
            </w:tcBorders>
          </w:tcPr>
          <w:p w14:paraId="1D113AB2" w14:textId="77777777" w:rsidR="00B54D51" w:rsidRPr="00037AD4" w:rsidRDefault="00B54D51" w:rsidP="00401C67">
            <w:pPr>
              <w:widowControl w:val="0"/>
              <w:autoSpaceDE w:val="0"/>
              <w:autoSpaceDN w:val="0"/>
              <w:adjustRightInd w:val="0"/>
            </w:pPr>
            <w:r w:rsidRPr="00037AD4">
              <w:t>2.sex_</w:t>
            </w:r>
          </w:p>
        </w:tc>
        <w:tc>
          <w:tcPr>
            <w:tcW w:w="1258" w:type="pct"/>
            <w:tcBorders>
              <w:top w:val="nil"/>
              <w:left w:val="nil"/>
              <w:bottom w:val="nil"/>
              <w:right w:val="nil"/>
            </w:tcBorders>
          </w:tcPr>
          <w:p w14:paraId="39056F98" w14:textId="77777777" w:rsidR="00B54D51" w:rsidRPr="00037AD4" w:rsidRDefault="00B54D51" w:rsidP="00401C67">
            <w:pPr>
              <w:widowControl w:val="0"/>
              <w:autoSpaceDE w:val="0"/>
              <w:autoSpaceDN w:val="0"/>
              <w:adjustRightInd w:val="0"/>
              <w:jc w:val="center"/>
            </w:pPr>
            <w:r w:rsidRPr="00037AD4">
              <w:t>-0.013</w:t>
            </w:r>
          </w:p>
        </w:tc>
        <w:tc>
          <w:tcPr>
            <w:tcW w:w="1258" w:type="pct"/>
            <w:tcBorders>
              <w:top w:val="nil"/>
              <w:left w:val="nil"/>
              <w:bottom w:val="nil"/>
              <w:right w:val="nil"/>
            </w:tcBorders>
          </w:tcPr>
          <w:p w14:paraId="2096E526" w14:textId="77777777" w:rsidR="00B54D51" w:rsidRPr="00037AD4" w:rsidRDefault="00B54D51" w:rsidP="00401C67">
            <w:pPr>
              <w:widowControl w:val="0"/>
              <w:autoSpaceDE w:val="0"/>
              <w:autoSpaceDN w:val="0"/>
              <w:adjustRightInd w:val="0"/>
              <w:jc w:val="center"/>
            </w:pPr>
            <w:r w:rsidRPr="00037AD4">
              <w:t>0.011</w:t>
            </w:r>
          </w:p>
        </w:tc>
        <w:tc>
          <w:tcPr>
            <w:tcW w:w="1258" w:type="pct"/>
            <w:tcBorders>
              <w:top w:val="nil"/>
              <w:left w:val="nil"/>
              <w:bottom w:val="nil"/>
              <w:right w:val="nil"/>
            </w:tcBorders>
          </w:tcPr>
          <w:p w14:paraId="57E1AEDB" w14:textId="77777777" w:rsidR="00B54D51" w:rsidRPr="00037AD4" w:rsidRDefault="00B54D51" w:rsidP="00401C67">
            <w:pPr>
              <w:widowControl w:val="0"/>
              <w:autoSpaceDE w:val="0"/>
              <w:autoSpaceDN w:val="0"/>
              <w:adjustRightInd w:val="0"/>
              <w:jc w:val="center"/>
            </w:pPr>
          </w:p>
        </w:tc>
      </w:tr>
      <w:tr w:rsidR="00B54D51" w:rsidRPr="00037AD4" w14:paraId="30F367F1" w14:textId="77777777" w:rsidTr="00401C67">
        <w:trPr>
          <w:jc w:val="center"/>
        </w:trPr>
        <w:tc>
          <w:tcPr>
            <w:tcW w:w="1227" w:type="pct"/>
            <w:tcBorders>
              <w:top w:val="nil"/>
              <w:left w:val="nil"/>
              <w:bottom w:val="nil"/>
              <w:right w:val="nil"/>
            </w:tcBorders>
          </w:tcPr>
          <w:p w14:paraId="33D65F8B" w14:textId="77777777" w:rsidR="00B54D51" w:rsidRPr="00037AD4" w:rsidRDefault="00B54D51" w:rsidP="00401C67">
            <w:pPr>
              <w:widowControl w:val="0"/>
              <w:autoSpaceDE w:val="0"/>
              <w:autoSpaceDN w:val="0"/>
              <w:adjustRightInd w:val="0"/>
            </w:pPr>
          </w:p>
        </w:tc>
        <w:tc>
          <w:tcPr>
            <w:tcW w:w="1258" w:type="pct"/>
            <w:tcBorders>
              <w:top w:val="nil"/>
              <w:left w:val="nil"/>
              <w:bottom w:val="nil"/>
              <w:right w:val="nil"/>
            </w:tcBorders>
          </w:tcPr>
          <w:p w14:paraId="421C2D84" w14:textId="77777777" w:rsidR="00B54D51" w:rsidRPr="00037AD4" w:rsidRDefault="00B54D51" w:rsidP="00401C67">
            <w:pPr>
              <w:widowControl w:val="0"/>
              <w:autoSpaceDE w:val="0"/>
              <w:autoSpaceDN w:val="0"/>
              <w:adjustRightInd w:val="0"/>
              <w:jc w:val="center"/>
            </w:pPr>
            <w:r w:rsidRPr="00037AD4">
              <w:t>(-0.268 - 0.243)</w:t>
            </w:r>
          </w:p>
        </w:tc>
        <w:tc>
          <w:tcPr>
            <w:tcW w:w="1258" w:type="pct"/>
            <w:tcBorders>
              <w:top w:val="nil"/>
              <w:left w:val="nil"/>
              <w:bottom w:val="nil"/>
              <w:right w:val="nil"/>
            </w:tcBorders>
          </w:tcPr>
          <w:p w14:paraId="4E0AE882" w14:textId="77777777" w:rsidR="00B54D51" w:rsidRPr="00037AD4" w:rsidRDefault="00B54D51" w:rsidP="00401C67">
            <w:pPr>
              <w:widowControl w:val="0"/>
              <w:autoSpaceDE w:val="0"/>
              <w:autoSpaceDN w:val="0"/>
              <w:adjustRightInd w:val="0"/>
              <w:jc w:val="center"/>
            </w:pPr>
            <w:r w:rsidRPr="00037AD4">
              <w:t>(-0.226 - 0.248)</w:t>
            </w:r>
          </w:p>
        </w:tc>
        <w:tc>
          <w:tcPr>
            <w:tcW w:w="1258" w:type="pct"/>
            <w:tcBorders>
              <w:top w:val="nil"/>
              <w:left w:val="nil"/>
              <w:bottom w:val="nil"/>
              <w:right w:val="nil"/>
            </w:tcBorders>
          </w:tcPr>
          <w:p w14:paraId="1386AEFA" w14:textId="77777777" w:rsidR="00B54D51" w:rsidRPr="00037AD4" w:rsidRDefault="00B54D51" w:rsidP="00401C67">
            <w:pPr>
              <w:widowControl w:val="0"/>
              <w:autoSpaceDE w:val="0"/>
              <w:autoSpaceDN w:val="0"/>
              <w:adjustRightInd w:val="0"/>
              <w:jc w:val="center"/>
            </w:pPr>
          </w:p>
        </w:tc>
      </w:tr>
      <w:tr w:rsidR="00B54D51" w:rsidRPr="00037AD4" w14:paraId="01CA93D3" w14:textId="77777777" w:rsidTr="00401C67">
        <w:trPr>
          <w:jc w:val="center"/>
        </w:trPr>
        <w:tc>
          <w:tcPr>
            <w:tcW w:w="1227" w:type="pct"/>
            <w:tcBorders>
              <w:top w:val="nil"/>
              <w:left w:val="nil"/>
              <w:bottom w:val="nil"/>
              <w:right w:val="nil"/>
            </w:tcBorders>
          </w:tcPr>
          <w:p w14:paraId="04E74818" w14:textId="77777777" w:rsidR="00B54D51" w:rsidRPr="00037AD4" w:rsidRDefault="00B54D51" w:rsidP="00401C67">
            <w:pPr>
              <w:widowControl w:val="0"/>
              <w:autoSpaceDE w:val="0"/>
              <w:autoSpaceDN w:val="0"/>
              <w:adjustRightInd w:val="0"/>
            </w:pPr>
            <w:r w:rsidRPr="00037AD4">
              <w:t>/cut1</w:t>
            </w:r>
          </w:p>
        </w:tc>
        <w:tc>
          <w:tcPr>
            <w:tcW w:w="1258" w:type="pct"/>
            <w:tcBorders>
              <w:top w:val="nil"/>
              <w:left w:val="nil"/>
              <w:bottom w:val="nil"/>
              <w:right w:val="nil"/>
            </w:tcBorders>
          </w:tcPr>
          <w:p w14:paraId="37C57565" w14:textId="77777777" w:rsidR="00B54D51" w:rsidRPr="00037AD4" w:rsidRDefault="00B54D51" w:rsidP="00401C67">
            <w:pPr>
              <w:widowControl w:val="0"/>
              <w:autoSpaceDE w:val="0"/>
              <w:autoSpaceDN w:val="0"/>
              <w:adjustRightInd w:val="0"/>
              <w:jc w:val="center"/>
            </w:pPr>
            <w:r w:rsidRPr="00037AD4">
              <w:t>3.083***</w:t>
            </w:r>
          </w:p>
        </w:tc>
        <w:tc>
          <w:tcPr>
            <w:tcW w:w="1258" w:type="pct"/>
            <w:tcBorders>
              <w:top w:val="nil"/>
              <w:left w:val="nil"/>
              <w:bottom w:val="nil"/>
              <w:right w:val="nil"/>
            </w:tcBorders>
          </w:tcPr>
          <w:p w14:paraId="2D3571C5" w14:textId="77777777" w:rsidR="00B54D51" w:rsidRPr="00037AD4" w:rsidRDefault="00B54D51" w:rsidP="00401C67">
            <w:pPr>
              <w:widowControl w:val="0"/>
              <w:autoSpaceDE w:val="0"/>
              <w:autoSpaceDN w:val="0"/>
              <w:adjustRightInd w:val="0"/>
              <w:jc w:val="center"/>
            </w:pPr>
            <w:r w:rsidRPr="00037AD4">
              <w:t>3.681***</w:t>
            </w:r>
          </w:p>
        </w:tc>
        <w:tc>
          <w:tcPr>
            <w:tcW w:w="1258" w:type="pct"/>
            <w:tcBorders>
              <w:top w:val="nil"/>
              <w:left w:val="nil"/>
              <w:bottom w:val="nil"/>
              <w:right w:val="nil"/>
            </w:tcBorders>
          </w:tcPr>
          <w:p w14:paraId="765A5061" w14:textId="77777777" w:rsidR="00B54D51" w:rsidRPr="00037AD4" w:rsidRDefault="00B54D51" w:rsidP="00401C67">
            <w:pPr>
              <w:widowControl w:val="0"/>
              <w:autoSpaceDE w:val="0"/>
              <w:autoSpaceDN w:val="0"/>
              <w:adjustRightInd w:val="0"/>
              <w:jc w:val="center"/>
            </w:pPr>
            <w:r w:rsidRPr="00037AD4">
              <w:t>3.682***</w:t>
            </w:r>
          </w:p>
        </w:tc>
      </w:tr>
      <w:tr w:rsidR="00B54D51" w:rsidRPr="00037AD4" w14:paraId="52E46124" w14:textId="77777777" w:rsidTr="00401C67">
        <w:trPr>
          <w:jc w:val="center"/>
        </w:trPr>
        <w:tc>
          <w:tcPr>
            <w:tcW w:w="1227" w:type="pct"/>
            <w:tcBorders>
              <w:top w:val="nil"/>
              <w:left w:val="nil"/>
              <w:bottom w:val="nil"/>
              <w:right w:val="nil"/>
            </w:tcBorders>
          </w:tcPr>
          <w:p w14:paraId="5395BF6C" w14:textId="77777777" w:rsidR="00B54D51" w:rsidRPr="00037AD4" w:rsidRDefault="00B54D51" w:rsidP="00401C67">
            <w:pPr>
              <w:widowControl w:val="0"/>
              <w:autoSpaceDE w:val="0"/>
              <w:autoSpaceDN w:val="0"/>
              <w:adjustRightInd w:val="0"/>
            </w:pPr>
          </w:p>
        </w:tc>
        <w:tc>
          <w:tcPr>
            <w:tcW w:w="1258" w:type="pct"/>
            <w:tcBorders>
              <w:top w:val="nil"/>
              <w:left w:val="nil"/>
              <w:bottom w:val="nil"/>
              <w:right w:val="nil"/>
            </w:tcBorders>
          </w:tcPr>
          <w:p w14:paraId="32DD6DCD" w14:textId="77777777" w:rsidR="00B54D51" w:rsidRPr="00037AD4" w:rsidRDefault="00B54D51" w:rsidP="00401C67">
            <w:pPr>
              <w:widowControl w:val="0"/>
              <w:autoSpaceDE w:val="0"/>
              <w:autoSpaceDN w:val="0"/>
              <w:adjustRightInd w:val="0"/>
              <w:jc w:val="center"/>
            </w:pPr>
            <w:r w:rsidRPr="00037AD4">
              <w:t>(1.594 - 4.572)</w:t>
            </w:r>
          </w:p>
        </w:tc>
        <w:tc>
          <w:tcPr>
            <w:tcW w:w="1258" w:type="pct"/>
            <w:tcBorders>
              <w:top w:val="nil"/>
              <w:left w:val="nil"/>
              <w:bottom w:val="nil"/>
              <w:right w:val="nil"/>
            </w:tcBorders>
          </w:tcPr>
          <w:p w14:paraId="73CA1A9A" w14:textId="77777777" w:rsidR="00B54D51" w:rsidRPr="00037AD4" w:rsidRDefault="00B54D51" w:rsidP="00401C67">
            <w:pPr>
              <w:widowControl w:val="0"/>
              <w:autoSpaceDE w:val="0"/>
              <w:autoSpaceDN w:val="0"/>
              <w:adjustRightInd w:val="0"/>
              <w:jc w:val="center"/>
            </w:pPr>
            <w:r w:rsidRPr="00037AD4">
              <w:t>(2.304 - 5.058)</w:t>
            </w:r>
          </w:p>
        </w:tc>
        <w:tc>
          <w:tcPr>
            <w:tcW w:w="1258" w:type="pct"/>
            <w:tcBorders>
              <w:top w:val="nil"/>
              <w:left w:val="nil"/>
              <w:bottom w:val="nil"/>
              <w:right w:val="nil"/>
            </w:tcBorders>
          </w:tcPr>
          <w:p w14:paraId="2B6B6A93" w14:textId="77777777" w:rsidR="00B54D51" w:rsidRPr="00037AD4" w:rsidRDefault="00B54D51" w:rsidP="00401C67">
            <w:pPr>
              <w:widowControl w:val="0"/>
              <w:autoSpaceDE w:val="0"/>
              <w:autoSpaceDN w:val="0"/>
              <w:adjustRightInd w:val="0"/>
              <w:jc w:val="center"/>
            </w:pPr>
            <w:r w:rsidRPr="00037AD4">
              <w:t>(2.306 - 5.058)</w:t>
            </w:r>
          </w:p>
        </w:tc>
      </w:tr>
      <w:tr w:rsidR="00B54D51" w:rsidRPr="00037AD4" w14:paraId="1AA20C06" w14:textId="77777777" w:rsidTr="00401C67">
        <w:trPr>
          <w:jc w:val="center"/>
        </w:trPr>
        <w:tc>
          <w:tcPr>
            <w:tcW w:w="1227" w:type="pct"/>
            <w:tcBorders>
              <w:top w:val="nil"/>
              <w:left w:val="nil"/>
              <w:bottom w:val="nil"/>
              <w:right w:val="nil"/>
            </w:tcBorders>
          </w:tcPr>
          <w:p w14:paraId="1E6F96D2" w14:textId="77777777" w:rsidR="00B54D51" w:rsidRPr="00037AD4" w:rsidRDefault="00B54D51" w:rsidP="00401C67">
            <w:pPr>
              <w:widowControl w:val="0"/>
              <w:autoSpaceDE w:val="0"/>
              <w:autoSpaceDN w:val="0"/>
              <w:adjustRightInd w:val="0"/>
            </w:pPr>
            <w:r w:rsidRPr="00037AD4">
              <w:t>/cut2</w:t>
            </w:r>
          </w:p>
        </w:tc>
        <w:tc>
          <w:tcPr>
            <w:tcW w:w="1258" w:type="pct"/>
            <w:tcBorders>
              <w:top w:val="nil"/>
              <w:left w:val="nil"/>
              <w:bottom w:val="nil"/>
              <w:right w:val="nil"/>
            </w:tcBorders>
          </w:tcPr>
          <w:p w14:paraId="39F9A99E" w14:textId="77777777" w:rsidR="00B54D51" w:rsidRPr="00037AD4" w:rsidRDefault="00B54D51" w:rsidP="00401C67">
            <w:pPr>
              <w:widowControl w:val="0"/>
              <w:autoSpaceDE w:val="0"/>
              <w:autoSpaceDN w:val="0"/>
              <w:adjustRightInd w:val="0"/>
              <w:jc w:val="center"/>
            </w:pPr>
            <w:r w:rsidRPr="00037AD4">
              <w:t>3.668***</w:t>
            </w:r>
          </w:p>
        </w:tc>
        <w:tc>
          <w:tcPr>
            <w:tcW w:w="1258" w:type="pct"/>
            <w:tcBorders>
              <w:top w:val="nil"/>
              <w:left w:val="nil"/>
              <w:bottom w:val="nil"/>
              <w:right w:val="nil"/>
            </w:tcBorders>
          </w:tcPr>
          <w:p w14:paraId="39ECD622" w14:textId="77777777" w:rsidR="00B54D51" w:rsidRPr="00037AD4" w:rsidRDefault="00B54D51" w:rsidP="00401C67">
            <w:pPr>
              <w:widowControl w:val="0"/>
              <w:autoSpaceDE w:val="0"/>
              <w:autoSpaceDN w:val="0"/>
              <w:adjustRightInd w:val="0"/>
              <w:jc w:val="center"/>
            </w:pPr>
            <w:r w:rsidRPr="00037AD4">
              <w:t>4.226***</w:t>
            </w:r>
          </w:p>
        </w:tc>
        <w:tc>
          <w:tcPr>
            <w:tcW w:w="1258" w:type="pct"/>
            <w:tcBorders>
              <w:top w:val="nil"/>
              <w:left w:val="nil"/>
              <w:bottom w:val="nil"/>
              <w:right w:val="nil"/>
            </w:tcBorders>
          </w:tcPr>
          <w:p w14:paraId="4DDFB7FC" w14:textId="77777777" w:rsidR="00B54D51" w:rsidRPr="00037AD4" w:rsidRDefault="00B54D51" w:rsidP="00401C67">
            <w:pPr>
              <w:widowControl w:val="0"/>
              <w:autoSpaceDE w:val="0"/>
              <w:autoSpaceDN w:val="0"/>
              <w:adjustRightInd w:val="0"/>
              <w:jc w:val="center"/>
            </w:pPr>
            <w:r w:rsidRPr="00037AD4">
              <w:t>4.228***</w:t>
            </w:r>
          </w:p>
        </w:tc>
      </w:tr>
      <w:tr w:rsidR="00B54D51" w:rsidRPr="00037AD4" w14:paraId="1BB8FCF8" w14:textId="77777777" w:rsidTr="00401C67">
        <w:trPr>
          <w:jc w:val="center"/>
        </w:trPr>
        <w:tc>
          <w:tcPr>
            <w:tcW w:w="1227" w:type="pct"/>
            <w:tcBorders>
              <w:top w:val="nil"/>
              <w:left w:val="nil"/>
              <w:bottom w:val="nil"/>
              <w:right w:val="nil"/>
            </w:tcBorders>
          </w:tcPr>
          <w:p w14:paraId="55B414F9" w14:textId="77777777" w:rsidR="00B54D51" w:rsidRPr="00037AD4" w:rsidRDefault="00B54D51" w:rsidP="00401C67">
            <w:pPr>
              <w:widowControl w:val="0"/>
              <w:autoSpaceDE w:val="0"/>
              <w:autoSpaceDN w:val="0"/>
              <w:adjustRightInd w:val="0"/>
            </w:pPr>
          </w:p>
        </w:tc>
        <w:tc>
          <w:tcPr>
            <w:tcW w:w="1258" w:type="pct"/>
            <w:tcBorders>
              <w:top w:val="nil"/>
              <w:left w:val="nil"/>
              <w:bottom w:val="nil"/>
              <w:right w:val="nil"/>
            </w:tcBorders>
          </w:tcPr>
          <w:p w14:paraId="789589A4" w14:textId="77777777" w:rsidR="00B54D51" w:rsidRPr="00037AD4" w:rsidRDefault="00B54D51" w:rsidP="00401C67">
            <w:pPr>
              <w:widowControl w:val="0"/>
              <w:autoSpaceDE w:val="0"/>
              <w:autoSpaceDN w:val="0"/>
              <w:adjustRightInd w:val="0"/>
              <w:jc w:val="center"/>
            </w:pPr>
            <w:r w:rsidRPr="00037AD4">
              <w:t>(2.169 - 5.167)</w:t>
            </w:r>
          </w:p>
        </w:tc>
        <w:tc>
          <w:tcPr>
            <w:tcW w:w="1258" w:type="pct"/>
            <w:tcBorders>
              <w:top w:val="nil"/>
              <w:left w:val="nil"/>
              <w:bottom w:val="nil"/>
              <w:right w:val="nil"/>
            </w:tcBorders>
          </w:tcPr>
          <w:p w14:paraId="1BCE5C14" w14:textId="77777777" w:rsidR="00B54D51" w:rsidRPr="00037AD4" w:rsidRDefault="00B54D51" w:rsidP="00401C67">
            <w:pPr>
              <w:widowControl w:val="0"/>
              <w:autoSpaceDE w:val="0"/>
              <w:autoSpaceDN w:val="0"/>
              <w:adjustRightInd w:val="0"/>
              <w:jc w:val="center"/>
            </w:pPr>
            <w:r w:rsidRPr="00037AD4">
              <w:t>(2.841 - 5.611)</w:t>
            </w:r>
          </w:p>
        </w:tc>
        <w:tc>
          <w:tcPr>
            <w:tcW w:w="1258" w:type="pct"/>
            <w:tcBorders>
              <w:top w:val="nil"/>
              <w:left w:val="nil"/>
              <w:bottom w:val="nil"/>
              <w:right w:val="nil"/>
            </w:tcBorders>
          </w:tcPr>
          <w:p w14:paraId="56AF3CB6" w14:textId="77777777" w:rsidR="00B54D51" w:rsidRPr="00037AD4" w:rsidRDefault="00B54D51" w:rsidP="00401C67">
            <w:pPr>
              <w:widowControl w:val="0"/>
              <w:autoSpaceDE w:val="0"/>
              <w:autoSpaceDN w:val="0"/>
              <w:adjustRightInd w:val="0"/>
              <w:jc w:val="center"/>
            </w:pPr>
            <w:r w:rsidRPr="00037AD4">
              <w:t>(2.843 - 5.612)</w:t>
            </w:r>
          </w:p>
        </w:tc>
      </w:tr>
      <w:tr w:rsidR="00B54D51" w:rsidRPr="00037AD4" w14:paraId="1D09A696" w14:textId="77777777" w:rsidTr="00401C67">
        <w:trPr>
          <w:jc w:val="center"/>
        </w:trPr>
        <w:tc>
          <w:tcPr>
            <w:tcW w:w="1227" w:type="pct"/>
            <w:tcBorders>
              <w:top w:val="nil"/>
              <w:left w:val="nil"/>
              <w:bottom w:val="nil"/>
              <w:right w:val="nil"/>
            </w:tcBorders>
          </w:tcPr>
          <w:p w14:paraId="22CD6A52" w14:textId="77777777" w:rsidR="00B54D51" w:rsidRPr="00037AD4" w:rsidRDefault="00B54D51" w:rsidP="00401C67">
            <w:pPr>
              <w:widowControl w:val="0"/>
              <w:autoSpaceDE w:val="0"/>
              <w:autoSpaceDN w:val="0"/>
              <w:adjustRightInd w:val="0"/>
            </w:pPr>
            <w:r w:rsidRPr="00037AD4">
              <w:t>/cut3</w:t>
            </w:r>
          </w:p>
        </w:tc>
        <w:tc>
          <w:tcPr>
            <w:tcW w:w="1258" w:type="pct"/>
            <w:tcBorders>
              <w:top w:val="nil"/>
              <w:left w:val="nil"/>
              <w:bottom w:val="nil"/>
              <w:right w:val="nil"/>
            </w:tcBorders>
          </w:tcPr>
          <w:p w14:paraId="3D74966B" w14:textId="77777777" w:rsidR="00B54D51" w:rsidRPr="00037AD4" w:rsidRDefault="00B54D51" w:rsidP="00401C67">
            <w:pPr>
              <w:widowControl w:val="0"/>
              <w:autoSpaceDE w:val="0"/>
              <w:autoSpaceDN w:val="0"/>
              <w:adjustRightInd w:val="0"/>
              <w:jc w:val="center"/>
            </w:pPr>
            <w:r w:rsidRPr="00037AD4">
              <w:t>4.051***</w:t>
            </w:r>
          </w:p>
        </w:tc>
        <w:tc>
          <w:tcPr>
            <w:tcW w:w="1258" w:type="pct"/>
            <w:tcBorders>
              <w:top w:val="nil"/>
              <w:left w:val="nil"/>
              <w:bottom w:val="nil"/>
              <w:right w:val="nil"/>
            </w:tcBorders>
          </w:tcPr>
          <w:p w14:paraId="3CBB5D6A" w14:textId="77777777" w:rsidR="00B54D51" w:rsidRPr="00037AD4" w:rsidRDefault="00B54D51" w:rsidP="00401C67">
            <w:pPr>
              <w:widowControl w:val="0"/>
              <w:autoSpaceDE w:val="0"/>
              <w:autoSpaceDN w:val="0"/>
              <w:adjustRightInd w:val="0"/>
              <w:jc w:val="center"/>
            </w:pPr>
            <w:r w:rsidRPr="00037AD4">
              <w:t>4.600***</w:t>
            </w:r>
          </w:p>
        </w:tc>
        <w:tc>
          <w:tcPr>
            <w:tcW w:w="1258" w:type="pct"/>
            <w:tcBorders>
              <w:top w:val="nil"/>
              <w:left w:val="nil"/>
              <w:bottom w:val="nil"/>
              <w:right w:val="nil"/>
            </w:tcBorders>
          </w:tcPr>
          <w:p w14:paraId="7AFB7D7A" w14:textId="77777777" w:rsidR="00B54D51" w:rsidRPr="00037AD4" w:rsidRDefault="00B54D51" w:rsidP="00401C67">
            <w:pPr>
              <w:widowControl w:val="0"/>
              <w:autoSpaceDE w:val="0"/>
              <w:autoSpaceDN w:val="0"/>
              <w:adjustRightInd w:val="0"/>
              <w:jc w:val="center"/>
            </w:pPr>
            <w:r w:rsidRPr="00037AD4">
              <w:t>4.601***</w:t>
            </w:r>
          </w:p>
        </w:tc>
      </w:tr>
      <w:tr w:rsidR="00B54D51" w:rsidRPr="00037AD4" w14:paraId="491944F5" w14:textId="77777777" w:rsidTr="00401C67">
        <w:trPr>
          <w:jc w:val="center"/>
        </w:trPr>
        <w:tc>
          <w:tcPr>
            <w:tcW w:w="1227" w:type="pct"/>
            <w:tcBorders>
              <w:top w:val="nil"/>
              <w:left w:val="nil"/>
              <w:bottom w:val="nil"/>
              <w:right w:val="nil"/>
            </w:tcBorders>
          </w:tcPr>
          <w:p w14:paraId="16488650" w14:textId="77777777" w:rsidR="00B54D51" w:rsidRPr="00037AD4" w:rsidRDefault="00B54D51" w:rsidP="00401C67">
            <w:pPr>
              <w:widowControl w:val="0"/>
              <w:autoSpaceDE w:val="0"/>
              <w:autoSpaceDN w:val="0"/>
              <w:adjustRightInd w:val="0"/>
            </w:pPr>
          </w:p>
        </w:tc>
        <w:tc>
          <w:tcPr>
            <w:tcW w:w="1258" w:type="pct"/>
            <w:tcBorders>
              <w:top w:val="nil"/>
              <w:left w:val="nil"/>
              <w:bottom w:val="nil"/>
              <w:right w:val="nil"/>
            </w:tcBorders>
          </w:tcPr>
          <w:p w14:paraId="775558EA" w14:textId="77777777" w:rsidR="00B54D51" w:rsidRPr="00037AD4" w:rsidRDefault="00B54D51" w:rsidP="00401C67">
            <w:pPr>
              <w:widowControl w:val="0"/>
              <w:autoSpaceDE w:val="0"/>
              <w:autoSpaceDN w:val="0"/>
              <w:adjustRightInd w:val="0"/>
              <w:jc w:val="center"/>
            </w:pPr>
            <w:r w:rsidRPr="00037AD4">
              <w:t>(2.550 - 5.553)</w:t>
            </w:r>
          </w:p>
        </w:tc>
        <w:tc>
          <w:tcPr>
            <w:tcW w:w="1258" w:type="pct"/>
            <w:tcBorders>
              <w:top w:val="nil"/>
              <w:left w:val="nil"/>
              <w:bottom w:val="nil"/>
              <w:right w:val="nil"/>
            </w:tcBorders>
          </w:tcPr>
          <w:p w14:paraId="20410F82" w14:textId="77777777" w:rsidR="00B54D51" w:rsidRPr="00037AD4" w:rsidRDefault="00B54D51" w:rsidP="00401C67">
            <w:pPr>
              <w:widowControl w:val="0"/>
              <w:autoSpaceDE w:val="0"/>
              <w:autoSpaceDN w:val="0"/>
              <w:adjustRightInd w:val="0"/>
              <w:jc w:val="center"/>
            </w:pPr>
            <w:r w:rsidRPr="00037AD4">
              <w:t>(3.214 - 5.986)</w:t>
            </w:r>
          </w:p>
        </w:tc>
        <w:tc>
          <w:tcPr>
            <w:tcW w:w="1258" w:type="pct"/>
            <w:tcBorders>
              <w:top w:val="nil"/>
              <w:left w:val="nil"/>
              <w:bottom w:val="nil"/>
              <w:right w:val="nil"/>
            </w:tcBorders>
          </w:tcPr>
          <w:p w14:paraId="7AFCA37F" w14:textId="77777777" w:rsidR="00B54D51" w:rsidRPr="00037AD4" w:rsidRDefault="00B54D51" w:rsidP="00401C67">
            <w:pPr>
              <w:widowControl w:val="0"/>
              <w:autoSpaceDE w:val="0"/>
              <w:autoSpaceDN w:val="0"/>
              <w:adjustRightInd w:val="0"/>
              <w:jc w:val="center"/>
            </w:pPr>
            <w:r w:rsidRPr="00037AD4">
              <w:t>(3.216 - 5.987)</w:t>
            </w:r>
          </w:p>
        </w:tc>
      </w:tr>
      <w:tr w:rsidR="00B54D51" w:rsidRPr="00037AD4" w14:paraId="7B98C544" w14:textId="77777777" w:rsidTr="00401C67">
        <w:trPr>
          <w:jc w:val="center"/>
        </w:trPr>
        <w:tc>
          <w:tcPr>
            <w:tcW w:w="1227" w:type="pct"/>
            <w:tcBorders>
              <w:top w:val="nil"/>
              <w:left w:val="nil"/>
              <w:bottom w:val="nil"/>
              <w:right w:val="nil"/>
            </w:tcBorders>
          </w:tcPr>
          <w:p w14:paraId="697754BA" w14:textId="77777777" w:rsidR="00B54D51" w:rsidRPr="00037AD4" w:rsidRDefault="00B54D51" w:rsidP="00401C67">
            <w:pPr>
              <w:widowControl w:val="0"/>
              <w:autoSpaceDE w:val="0"/>
              <w:autoSpaceDN w:val="0"/>
              <w:adjustRightInd w:val="0"/>
            </w:pPr>
            <w:r w:rsidRPr="00037AD4">
              <w:lastRenderedPageBreak/>
              <w:t>/cut4</w:t>
            </w:r>
          </w:p>
        </w:tc>
        <w:tc>
          <w:tcPr>
            <w:tcW w:w="1258" w:type="pct"/>
            <w:tcBorders>
              <w:top w:val="nil"/>
              <w:left w:val="nil"/>
              <w:bottom w:val="nil"/>
              <w:right w:val="nil"/>
            </w:tcBorders>
          </w:tcPr>
          <w:p w14:paraId="21FA48BA" w14:textId="77777777" w:rsidR="00B54D51" w:rsidRPr="00037AD4" w:rsidRDefault="00B54D51" w:rsidP="00401C67">
            <w:pPr>
              <w:widowControl w:val="0"/>
              <w:autoSpaceDE w:val="0"/>
              <w:autoSpaceDN w:val="0"/>
              <w:adjustRightInd w:val="0"/>
              <w:jc w:val="center"/>
            </w:pPr>
            <w:r w:rsidRPr="00037AD4">
              <w:t>4.300***</w:t>
            </w:r>
          </w:p>
        </w:tc>
        <w:tc>
          <w:tcPr>
            <w:tcW w:w="1258" w:type="pct"/>
            <w:tcBorders>
              <w:top w:val="nil"/>
              <w:left w:val="nil"/>
              <w:bottom w:val="nil"/>
              <w:right w:val="nil"/>
            </w:tcBorders>
          </w:tcPr>
          <w:p w14:paraId="19C4C34A" w14:textId="77777777" w:rsidR="00B54D51" w:rsidRPr="00037AD4" w:rsidRDefault="00B54D51" w:rsidP="00401C67">
            <w:pPr>
              <w:widowControl w:val="0"/>
              <w:autoSpaceDE w:val="0"/>
              <w:autoSpaceDN w:val="0"/>
              <w:adjustRightInd w:val="0"/>
              <w:jc w:val="center"/>
            </w:pPr>
            <w:r w:rsidRPr="00037AD4">
              <w:t>4.838***</w:t>
            </w:r>
          </w:p>
        </w:tc>
        <w:tc>
          <w:tcPr>
            <w:tcW w:w="1258" w:type="pct"/>
            <w:tcBorders>
              <w:top w:val="nil"/>
              <w:left w:val="nil"/>
              <w:bottom w:val="nil"/>
              <w:right w:val="nil"/>
            </w:tcBorders>
          </w:tcPr>
          <w:p w14:paraId="2C84BECF" w14:textId="77777777" w:rsidR="00B54D51" w:rsidRPr="00037AD4" w:rsidRDefault="00B54D51" w:rsidP="00401C67">
            <w:pPr>
              <w:widowControl w:val="0"/>
              <w:autoSpaceDE w:val="0"/>
              <w:autoSpaceDN w:val="0"/>
              <w:adjustRightInd w:val="0"/>
              <w:jc w:val="center"/>
            </w:pPr>
            <w:r w:rsidRPr="00037AD4">
              <w:t>4.839***</w:t>
            </w:r>
          </w:p>
        </w:tc>
      </w:tr>
      <w:tr w:rsidR="00B54D51" w:rsidRPr="00037AD4" w14:paraId="66212769" w14:textId="77777777" w:rsidTr="00401C67">
        <w:trPr>
          <w:jc w:val="center"/>
        </w:trPr>
        <w:tc>
          <w:tcPr>
            <w:tcW w:w="1227" w:type="pct"/>
            <w:tcBorders>
              <w:top w:val="nil"/>
              <w:left w:val="nil"/>
              <w:bottom w:val="nil"/>
              <w:right w:val="nil"/>
            </w:tcBorders>
          </w:tcPr>
          <w:p w14:paraId="2ED4B924" w14:textId="77777777" w:rsidR="00B54D51" w:rsidRPr="00037AD4" w:rsidRDefault="00B54D51" w:rsidP="00401C67">
            <w:pPr>
              <w:widowControl w:val="0"/>
              <w:autoSpaceDE w:val="0"/>
              <w:autoSpaceDN w:val="0"/>
              <w:adjustRightInd w:val="0"/>
            </w:pPr>
          </w:p>
        </w:tc>
        <w:tc>
          <w:tcPr>
            <w:tcW w:w="1258" w:type="pct"/>
            <w:tcBorders>
              <w:top w:val="nil"/>
              <w:left w:val="nil"/>
              <w:bottom w:val="nil"/>
              <w:right w:val="nil"/>
            </w:tcBorders>
          </w:tcPr>
          <w:p w14:paraId="31CF623C" w14:textId="77777777" w:rsidR="00B54D51" w:rsidRPr="00037AD4" w:rsidRDefault="00B54D51" w:rsidP="00401C67">
            <w:pPr>
              <w:widowControl w:val="0"/>
              <w:autoSpaceDE w:val="0"/>
              <w:autoSpaceDN w:val="0"/>
              <w:adjustRightInd w:val="0"/>
              <w:jc w:val="center"/>
            </w:pPr>
            <w:r w:rsidRPr="00037AD4">
              <w:t>(2.799 - 5.801)</w:t>
            </w:r>
          </w:p>
        </w:tc>
        <w:tc>
          <w:tcPr>
            <w:tcW w:w="1258" w:type="pct"/>
            <w:tcBorders>
              <w:top w:val="nil"/>
              <w:left w:val="nil"/>
              <w:bottom w:val="nil"/>
              <w:right w:val="nil"/>
            </w:tcBorders>
          </w:tcPr>
          <w:p w14:paraId="7BF86E8F" w14:textId="77777777" w:rsidR="00B54D51" w:rsidRPr="00037AD4" w:rsidRDefault="00B54D51" w:rsidP="00401C67">
            <w:pPr>
              <w:widowControl w:val="0"/>
              <w:autoSpaceDE w:val="0"/>
              <w:autoSpaceDN w:val="0"/>
              <w:adjustRightInd w:val="0"/>
              <w:jc w:val="center"/>
            </w:pPr>
            <w:r w:rsidRPr="00037AD4">
              <w:t>(3.450 - 6.226)</w:t>
            </w:r>
          </w:p>
        </w:tc>
        <w:tc>
          <w:tcPr>
            <w:tcW w:w="1258" w:type="pct"/>
            <w:tcBorders>
              <w:top w:val="nil"/>
              <w:left w:val="nil"/>
              <w:bottom w:val="nil"/>
              <w:right w:val="nil"/>
            </w:tcBorders>
          </w:tcPr>
          <w:p w14:paraId="04B67131" w14:textId="77777777" w:rsidR="00B54D51" w:rsidRPr="00037AD4" w:rsidRDefault="00B54D51" w:rsidP="00401C67">
            <w:pPr>
              <w:widowControl w:val="0"/>
              <w:autoSpaceDE w:val="0"/>
              <w:autoSpaceDN w:val="0"/>
              <w:adjustRightInd w:val="0"/>
              <w:jc w:val="center"/>
            </w:pPr>
            <w:r w:rsidRPr="00037AD4">
              <w:t>(3.452 - 6.227)</w:t>
            </w:r>
          </w:p>
        </w:tc>
      </w:tr>
      <w:tr w:rsidR="00B54D51" w:rsidRPr="00037AD4" w14:paraId="5FCC1D93" w14:textId="77777777" w:rsidTr="00401C67">
        <w:trPr>
          <w:jc w:val="center"/>
        </w:trPr>
        <w:tc>
          <w:tcPr>
            <w:tcW w:w="1227" w:type="pct"/>
            <w:tcBorders>
              <w:top w:val="nil"/>
              <w:left w:val="nil"/>
              <w:bottom w:val="nil"/>
              <w:right w:val="nil"/>
            </w:tcBorders>
          </w:tcPr>
          <w:p w14:paraId="20F1D358" w14:textId="77777777" w:rsidR="00B54D51" w:rsidRPr="00037AD4" w:rsidRDefault="00B54D51" w:rsidP="00401C67">
            <w:pPr>
              <w:widowControl w:val="0"/>
              <w:autoSpaceDE w:val="0"/>
              <w:autoSpaceDN w:val="0"/>
              <w:adjustRightInd w:val="0"/>
            </w:pPr>
          </w:p>
        </w:tc>
        <w:tc>
          <w:tcPr>
            <w:tcW w:w="1258" w:type="pct"/>
            <w:tcBorders>
              <w:top w:val="nil"/>
              <w:left w:val="nil"/>
              <w:bottom w:val="nil"/>
              <w:right w:val="nil"/>
            </w:tcBorders>
          </w:tcPr>
          <w:p w14:paraId="78459588" w14:textId="77777777" w:rsidR="00B54D51" w:rsidRPr="00037AD4" w:rsidRDefault="00B54D51" w:rsidP="00401C67">
            <w:pPr>
              <w:widowControl w:val="0"/>
              <w:autoSpaceDE w:val="0"/>
              <w:autoSpaceDN w:val="0"/>
              <w:adjustRightInd w:val="0"/>
              <w:jc w:val="center"/>
            </w:pPr>
          </w:p>
        </w:tc>
        <w:tc>
          <w:tcPr>
            <w:tcW w:w="1258" w:type="pct"/>
            <w:tcBorders>
              <w:top w:val="nil"/>
              <w:left w:val="nil"/>
              <w:bottom w:val="nil"/>
              <w:right w:val="nil"/>
            </w:tcBorders>
          </w:tcPr>
          <w:p w14:paraId="208675F3" w14:textId="77777777" w:rsidR="00B54D51" w:rsidRPr="00037AD4" w:rsidRDefault="00B54D51" w:rsidP="00401C67">
            <w:pPr>
              <w:widowControl w:val="0"/>
              <w:autoSpaceDE w:val="0"/>
              <w:autoSpaceDN w:val="0"/>
              <w:adjustRightInd w:val="0"/>
              <w:jc w:val="center"/>
            </w:pPr>
          </w:p>
        </w:tc>
        <w:tc>
          <w:tcPr>
            <w:tcW w:w="1258" w:type="pct"/>
            <w:tcBorders>
              <w:top w:val="nil"/>
              <w:left w:val="nil"/>
              <w:bottom w:val="nil"/>
              <w:right w:val="nil"/>
            </w:tcBorders>
          </w:tcPr>
          <w:p w14:paraId="6167A259" w14:textId="77777777" w:rsidR="00B54D51" w:rsidRPr="00037AD4" w:rsidRDefault="00B54D51" w:rsidP="00401C67">
            <w:pPr>
              <w:widowControl w:val="0"/>
              <w:autoSpaceDE w:val="0"/>
              <w:autoSpaceDN w:val="0"/>
              <w:adjustRightInd w:val="0"/>
              <w:jc w:val="center"/>
            </w:pPr>
          </w:p>
        </w:tc>
      </w:tr>
      <w:tr w:rsidR="00B54D51" w:rsidRPr="00037AD4" w14:paraId="3A176082" w14:textId="77777777" w:rsidTr="00401C67">
        <w:tblPrEx>
          <w:tblBorders>
            <w:bottom w:val="single" w:sz="6" w:space="0" w:color="auto"/>
          </w:tblBorders>
        </w:tblPrEx>
        <w:trPr>
          <w:jc w:val="center"/>
        </w:trPr>
        <w:tc>
          <w:tcPr>
            <w:tcW w:w="1227" w:type="pct"/>
            <w:tcBorders>
              <w:top w:val="nil"/>
              <w:left w:val="nil"/>
              <w:bottom w:val="nil"/>
              <w:right w:val="nil"/>
            </w:tcBorders>
          </w:tcPr>
          <w:p w14:paraId="34978A29" w14:textId="77777777" w:rsidR="00B54D51" w:rsidRPr="00037AD4" w:rsidRDefault="00B54D51" w:rsidP="00401C67">
            <w:pPr>
              <w:widowControl w:val="0"/>
              <w:autoSpaceDE w:val="0"/>
              <w:autoSpaceDN w:val="0"/>
              <w:adjustRightInd w:val="0"/>
            </w:pPr>
            <w:r w:rsidRPr="00037AD4">
              <w:t>Observations</w:t>
            </w:r>
          </w:p>
        </w:tc>
        <w:tc>
          <w:tcPr>
            <w:tcW w:w="1258" w:type="pct"/>
            <w:tcBorders>
              <w:top w:val="nil"/>
              <w:left w:val="nil"/>
              <w:bottom w:val="nil"/>
              <w:right w:val="nil"/>
            </w:tcBorders>
          </w:tcPr>
          <w:p w14:paraId="349C271A" w14:textId="77777777" w:rsidR="00B54D51" w:rsidRPr="00037AD4" w:rsidRDefault="00B54D51" w:rsidP="00401C67">
            <w:pPr>
              <w:widowControl w:val="0"/>
              <w:autoSpaceDE w:val="0"/>
              <w:autoSpaceDN w:val="0"/>
              <w:adjustRightInd w:val="0"/>
              <w:jc w:val="center"/>
            </w:pPr>
            <w:r w:rsidRPr="00037AD4">
              <w:t>749</w:t>
            </w:r>
          </w:p>
        </w:tc>
        <w:tc>
          <w:tcPr>
            <w:tcW w:w="1258" w:type="pct"/>
            <w:tcBorders>
              <w:top w:val="nil"/>
              <w:left w:val="nil"/>
              <w:bottom w:val="nil"/>
              <w:right w:val="nil"/>
            </w:tcBorders>
          </w:tcPr>
          <w:p w14:paraId="6594F2F9" w14:textId="77777777" w:rsidR="00B54D51" w:rsidRPr="00037AD4" w:rsidRDefault="00B54D51" w:rsidP="00401C67">
            <w:pPr>
              <w:widowControl w:val="0"/>
              <w:autoSpaceDE w:val="0"/>
              <w:autoSpaceDN w:val="0"/>
              <w:adjustRightInd w:val="0"/>
              <w:jc w:val="center"/>
            </w:pPr>
            <w:r w:rsidRPr="00037AD4">
              <w:t>789</w:t>
            </w:r>
          </w:p>
        </w:tc>
        <w:tc>
          <w:tcPr>
            <w:tcW w:w="1258" w:type="pct"/>
            <w:tcBorders>
              <w:top w:val="nil"/>
              <w:left w:val="nil"/>
              <w:bottom w:val="nil"/>
              <w:right w:val="nil"/>
            </w:tcBorders>
          </w:tcPr>
          <w:p w14:paraId="1E3A3531" w14:textId="77777777" w:rsidR="00B54D51" w:rsidRPr="00037AD4" w:rsidRDefault="00B54D51" w:rsidP="00401C67">
            <w:pPr>
              <w:widowControl w:val="0"/>
              <w:autoSpaceDE w:val="0"/>
              <w:autoSpaceDN w:val="0"/>
              <w:adjustRightInd w:val="0"/>
              <w:jc w:val="center"/>
            </w:pPr>
            <w:r w:rsidRPr="00037AD4">
              <w:t>789</w:t>
            </w:r>
          </w:p>
        </w:tc>
      </w:tr>
      <w:tr w:rsidR="00B54D51" w:rsidRPr="00037AD4" w14:paraId="7C0E4779" w14:textId="77777777" w:rsidTr="00401C67">
        <w:tblPrEx>
          <w:tblBorders>
            <w:bottom w:val="single" w:sz="6" w:space="0" w:color="auto"/>
          </w:tblBorders>
        </w:tblPrEx>
        <w:trPr>
          <w:jc w:val="center"/>
        </w:trPr>
        <w:tc>
          <w:tcPr>
            <w:tcW w:w="1227" w:type="pct"/>
            <w:tcBorders>
              <w:top w:val="nil"/>
              <w:left w:val="nil"/>
              <w:bottom w:val="nil"/>
              <w:right w:val="nil"/>
            </w:tcBorders>
          </w:tcPr>
          <w:p w14:paraId="2DDE2E8C" w14:textId="77777777" w:rsidR="00B54D51" w:rsidRPr="00037AD4" w:rsidRDefault="00B54D51" w:rsidP="00401C67">
            <w:pPr>
              <w:widowControl w:val="0"/>
              <w:autoSpaceDE w:val="0"/>
              <w:autoSpaceDN w:val="0"/>
              <w:adjustRightInd w:val="0"/>
            </w:pPr>
            <w:r w:rsidRPr="00037AD4">
              <w:t>Wald Chi</w:t>
            </w:r>
            <w:r w:rsidRPr="00037AD4">
              <w:rPr>
                <w:vertAlign w:val="superscript"/>
              </w:rPr>
              <w:t>2</w:t>
            </w:r>
          </w:p>
        </w:tc>
        <w:tc>
          <w:tcPr>
            <w:tcW w:w="1258" w:type="pct"/>
            <w:tcBorders>
              <w:top w:val="nil"/>
              <w:left w:val="nil"/>
              <w:bottom w:val="nil"/>
              <w:right w:val="nil"/>
            </w:tcBorders>
          </w:tcPr>
          <w:p w14:paraId="3FAC8A19" w14:textId="77777777" w:rsidR="00B54D51" w:rsidRPr="00037AD4" w:rsidRDefault="00B54D51" w:rsidP="00401C67">
            <w:pPr>
              <w:widowControl w:val="0"/>
              <w:autoSpaceDE w:val="0"/>
              <w:autoSpaceDN w:val="0"/>
              <w:adjustRightInd w:val="0"/>
              <w:jc w:val="center"/>
            </w:pPr>
            <w:r w:rsidRPr="00037AD4">
              <w:t>1670.16</w:t>
            </w:r>
          </w:p>
        </w:tc>
        <w:tc>
          <w:tcPr>
            <w:tcW w:w="1258" w:type="pct"/>
            <w:tcBorders>
              <w:top w:val="nil"/>
              <w:left w:val="nil"/>
              <w:bottom w:val="nil"/>
              <w:right w:val="nil"/>
            </w:tcBorders>
          </w:tcPr>
          <w:p w14:paraId="593AC7BC" w14:textId="77777777" w:rsidR="00B54D51" w:rsidRPr="00037AD4" w:rsidRDefault="00B54D51" w:rsidP="00401C67">
            <w:pPr>
              <w:widowControl w:val="0"/>
              <w:autoSpaceDE w:val="0"/>
              <w:autoSpaceDN w:val="0"/>
              <w:adjustRightInd w:val="0"/>
              <w:jc w:val="center"/>
            </w:pPr>
            <w:r w:rsidRPr="00037AD4">
              <w:t>166.80</w:t>
            </w:r>
          </w:p>
        </w:tc>
        <w:tc>
          <w:tcPr>
            <w:tcW w:w="1258" w:type="pct"/>
            <w:tcBorders>
              <w:top w:val="nil"/>
              <w:left w:val="nil"/>
              <w:bottom w:val="nil"/>
              <w:right w:val="nil"/>
            </w:tcBorders>
          </w:tcPr>
          <w:p w14:paraId="3F0D4B4B" w14:textId="77777777" w:rsidR="00B54D51" w:rsidRPr="00037AD4" w:rsidRDefault="00B54D51" w:rsidP="00401C67">
            <w:pPr>
              <w:widowControl w:val="0"/>
              <w:autoSpaceDE w:val="0"/>
              <w:autoSpaceDN w:val="0"/>
              <w:adjustRightInd w:val="0"/>
              <w:jc w:val="center"/>
            </w:pPr>
            <w:r w:rsidRPr="00037AD4">
              <w:t>166.23</w:t>
            </w:r>
          </w:p>
        </w:tc>
      </w:tr>
      <w:tr w:rsidR="00B54D51" w:rsidRPr="00037AD4" w14:paraId="343AE8A3" w14:textId="77777777" w:rsidTr="00401C67">
        <w:tblPrEx>
          <w:tblBorders>
            <w:bottom w:val="single" w:sz="6" w:space="0" w:color="auto"/>
          </w:tblBorders>
        </w:tblPrEx>
        <w:trPr>
          <w:jc w:val="center"/>
        </w:trPr>
        <w:tc>
          <w:tcPr>
            <w:tcW w:w="1227" w:type="pct"/>
            <w:tcBorders>
              <w:top w:val="nil"/>
              <w:left w:val="nil"/>
              <w:bottom w:val="nil"/>
              <w:right w:val="nil"/>
            </w:tcBorders>
          </w:tcPr>
          <w:p w14:paraId="4AD8D4E2" w14:textId="77777777" w:rsidR="00B54D51" w:rsidRPr="00037AD4" w:rsidRDefault="00B54D51" w:rsidP="00401C67">
            <w:pPr>
              <w:widowControl w:val="0"/>
              <w:autoSpaceDE w:val="0"/>
              <w:autoSpaceDN w:val="0"/>
              <w:adjustRightInd w:val="0"/>
            </w:pPr>
            <w:r w:rsidRPr="00037AD4">
              <w:t>Pseudo R</w:t>
            </w:r>
            <w:r w:rsidRPr="00037AD4">
              <w:rPr>
                <w:vertAlign w:val="superscript"/>
              </w:rPr>
              <w:t>2</w:t>
            </w:r>
          </w:p>
        </w:tc>
        <w:tc>
          <w:tcPr>
            <w:tcW w:w="1258" w:type="pct"/>
            <w:tcBorders>
              <w:top w:val="nil"/>
              <w:left w:val="nil"/>
              <w:bottom w:val="nil"/>
              <w:right w:val="nil"/>
            </w:tcBorders>
          </w:tcPr>
          <w:p w14:paraId="7B6BB98A" w14:textId="77777777" w:rsidR="00B54D51" w:rsidRPr="00037AD4" w:rsidRDefault="00B54D51" w:rsidP="00401C67">
            <w:pPr>
              <w:widowControl w:val="0"/>
              <w:autoSpaceDE w:val="0"/>
              <w:autoSpaceDN w:val="0"/>
              <w:adjustRightInd w:val="0"/>
              <w:jc w:val="center"/>
            </w:pPr>
            <w:r w:rsidRPr="00037AD4">
              <w:t>0.1187</w:t>
            </w:r>
          </w:p>
        </w:tc>
        <w:tc>
          <w:tcPr>
            <w:tcW w:w="1258" w:type="pct"/>
            <w:tcBorders>
              <w:top w:val="nil"/>
              <w:left w:val="nil"/>
              <w:bottom w:val="nil"/>
              <w:right w:val="nil"/>
            </w:tcBorders>
          </w:tcPr>
          <w:p w14:paraId="6EB9E25C" w14:textId="77777777" w:rsidR="00B54D51" w:rsidRPr="00037AD4" w:rsidRDefault="00B54D51" w:rsidP="00401C67">
            <w:pPr>
              <w:widowControl w:val="0"/>
              <w:autoSpaceDE w:val="0"/>
              <w:autoSpaceDN w:val="0"/>
              <w:adjustRightInd w:val="0"/>
              <w:jc w:val="center"/>
            </w:pPr>
            <w:r w:rsidRPr="00037AD4">
              <w:t>0.0989</w:t>
            </w:r>
          </w:p>
        </w:tc>
        <w:tc>
          <w:tcPr>
            <w:tcW w:w="1258" w:type="pct"/>
            <w:tcBorders>
              <w:top w:val="nil"/>
              <w:left w:val="nil"/>
              <w:bottom w:val="nil"/>
              <w:right w:val="nil"/>
            </w:tcBorders>
          </w:tcPr>
          <w:p w14:paraId="6C2DCDBE" w14:textId="77777777" w:rsidR="00B54D51" w:rsidRPr="00037AD4" w:rsidRDefault="00B54D51" w:rsidP="00401C67">
            <w:pPr>
              <w:widowControl w:val="0"/>
              <w:autoSpaceDE w:val="0"/>
              <w:autoSpaceDN w:val="0"/>
              <w:adjustRightInd w:val="0"/>
              <w:jc w:val="center"/>
            </w:pPr>
            <w:r w:rsidRPr="00037AD4">
              <w:t>0.0989</w:t>
            </w:r>
          </w:p>
        </w:tc>
      </w:tr>
      <w:tr w:rsidR="00B54D51" w:rsidRPr="00037AD4" w14:paraId="32BC300C" w14:textId="77777777" w:rsidTr="00401C67">
        <w:tblPrEx>
          <w:tblBorders>
            <w:bottom w:val="single" w:sz="6" w:space="0" w:color="auto"/>
          </w:tblBorders>
        </w:tblPrEx>
        <w:trPr>
          <w:jc w:val="center"/>
        </w:trPr>
        <w:tc>
          <w:tcPr>
            <w:tcW w:w="1227" w:type="pct"/>
            <w:tcBorders>
              <w:top w:val="nil"/>
              <w:left w:val="nil"/>
              <w:bottom w:val="nil"/>
              <w:right w:val="nil"/>
            </w:tcBorders>
          </w:tcPr>
          <w:p w14:paraId="52FB7D5F" w14:textId="77777777" w:rsidR="00B54D51" w:rsidRPr="00037AD4" w:rsidRDefault="00B54D51" w:rsidP="00401C67">
            <w:pPr>
              <w:widowControl w:val="0"/>
              <w:autoSpaceDE w:val="0"/>
              <w:autoSpaceDN w:val="0"/>
              <w:adjustRightInd w:val="0"/>
            </w:pPr>
            <w:r w:rsidRPr="00037AD4">
              <w:t>AIC</w:t>
            </w:r>
          </w:p>
        </w:tc>
        <w:tc>
          <w:tcPr>
            <w:tcW w:w="1258" w:type="pct"/>
            <w:tcBorders>
              <w:top w:val="nil"/>
              <w:left w:val="nil"/>
              <w:bottom w:val="nil"/>
              <w:right w:val="nil"/>
            </w:tcBorders>
          </w:tcPr>
          <w:p w14:paraId="15057C48" w14:textId="77777777" w:rsidR="00B54D51" w:rsidRPr="00037AD4" w:rsidRDefault="00B54D51" w:rsidP="00401C67">
            <w:pPr>
              <w:widowControl w:val="0"/>
              <w:autoSpaceDE w:val="0"/>
              <w:autoSpaceDN w:val="0"/>
              <w:adjustRightInd w:val="0"/>
              <w:jc w:val="center"/>
            </w:pPr>
            <w:r w:rsidRPr="00037AD4">
              <w:t>1949.802</w:t>
            </w:r>
          </w:p>
        </w:tc>
        <w:tc>
          <w:tcPr>
            <w:tcW w:w="1258" w:type="pct"/>
            <w:tcBorders>
              <w:top w:val="nil"/>
              <w:left w:val="nil"/>
              <w:bottom w:val="nil"/>
              <w:right w:val="nil"/>
            </w:tcBorders>
          </w:tcPr>
          <w:p w14:paraId="0E7D96AC" w14:textId="77777777" w:rsidR="00B54D51" w:rsidRPr="00037AD4" w:rsidRDefault="00B54D51" w:rsidP="00401C67">
            <w:pPr>
              <w:widowControl w:val="0"/>
              <w:autoSpaceDE w:val="0"/>
              <w:autoSpaceDN w:val="0"/>
              <w:adjustRightInd w:val="0"/>
              <w:jc w:val="center"/>
            </w:pPr>
            <w:r w:rsidRPr="00037AD4">
              <w:t>2062.118</w:t>
            </w:r>
          </w:p>
        </w:tc>
        <w:tc>
          <w:tcPr>
            <w:tcW w:w="1258" w:type="pct"/>
            <w:tcBorders>
              <w:top w:val="nil"/>
              <w:left w:val="nil"/>
              <w:bottom w:val="nil"/>
              <w:right w:val="nil"/>
            </w:tcBorders>
          </w:tcPr>
          <w:p w14:paraId="030A0706" w14:textId="77777777" w:rsidR="00B54D51" w:rsidRPr="00037AD4" w:rsidRDefault="00B54D51" w:rsidP="00401C67">
            <w:pPr>
              <w:widowControl w:val="0"/>
              <w:autoSpaceDE w:val="0"/>
              <w:autoSpaceDN w:val="0"/>
              <w:adjustRightInd w:val="0"/>
              <w:jc w:val="center"/>
            </w:pPr>
            <w:r w:rsidRPr="00037AD4">
              <w:t>2060.131</w:t>
            </w:r>
          </w:p>
        </w:tc>
      </w:tr>
      <w:tr w:rsidR="00B54D51" w:rsidRPr="00037AD4" w14:paraId="03E12C91" w14:textId="77777777" w:rsidTr="00401C67">
        <w:tblPrEx>
          <w:tblBorders>
            <w:bottom w:val="single" w:sz="6" w:space="0" w:color="auto"/>
          </w:tblBorders>
        </w:tblPrEx>
        <w:trPr>
          <w:jc w:val="center"/>
        </w:trPr>
        <w:tc>
          <w:tcPr>
            <w:tcW w:w="1227" w:type="pct"/>
            <w:tcBorders>
              <w:top w:val="nil"/>
              <w:left w:val="nil"/>
              <w:bottom w:val="nil"/>
              <w:right w:val="nil"/>
            </w:tcBorders>
          </w:tcPr>
          <w:p w14:paraId="788BFF0B" w14:textId="77777777" w:rsidR="00B54D51" w:rsidRPr="00037AD4" w:rsidRDefault="00B54D51" w:rsidP="00401C67">
            <w:pPr>
              <w:widowControl w:val="0"/>
              <w:autoSpaceDE w:val="0"/>
              <w:autoSpaceDN w:val="0"/>
              <w:adjustRightInd w:val="0"/>
            </w:pPr>
            <w:r w:rsidRPr="00037AD4">
              <w:t>BIC</w:t>
            </w:r>
          </w:p>
        </w:tc>
        <w:tc>
          <w:tcPr>
            <w:tcW w:w="1258" w:type="pct"/>
            <w:tcBorders>
              <w:top w:val="nil"/>
              <w:left w:val="nil"/>
              <w:bottom w:val="nil"/>
              <w:right w:val="nil"/>
            </w:tcBorders>
          </w:tcPr>
          <w:p w14:paraId="2DC4532A" w14:textId="77777777" w:rsidR="00B54D51" w:rsidRPr="00037AD4" w:rsidRDefault="00B54D51" w:rsidP="00401C67">
            <w:pPr>
              <w:widowControl w:val="0"/>
              <w:autoSpaceDE w:val="0"/>
              <w:autoSpaceDN w:val="0"/>
              <w:adjustRightInd w:val="0"/>
              <w:jc w:val="center"/>
            </w:pPr>
            <w:r w:rsidRPr="00037AD4">
              <w:t>2092.983</w:t>
            </w:r>
          </w:p>
        </w:tc>
        <w:tc>
          <w:tcPr>
            <w:tcW w:w="1258" w:type="pct"/>
            <w:tcBorders>
              <w:top w:val="nil"/>
              <w:left w:val="nil"/>
              <w:bottom w:val="nil"/>
              <w:right w:val="nil"/>
            </w:tcBorders>
          </w:tcPr>
          <w:p w14:paraId="5FB749FF" w14:textId="77777777" w:rsidR="00B54D51" w:rsidRPr="00037AD4" w:rsidRDefault="00B54D51" w:rsidP="00401C67">
            <w:pPr>
              <w:widowControl w:val="0"/>
              <w:autoSpaceDE w:val="0"/>
              <w:autoSpaceDN w:val="0"/>
              <w:adjustRightInd w:val="0"/>
              <w:jc w:val="center"/>
            </w:pPr>
            <w:r w:rsidRPr="00037AD4">
              <w:t>2113.496</w:t>
            </w:r>
          </w:p>
        </w:tc>
        <w:tc>
          <w:tcPr>
            <w:tcW w:w="1258" w:type="pct"/>
            <w:tcBorders>
              <w:top w:val="nil"/>
              <w:left w:val="nil"/>
              <w:bottom w:val="nil"/>
              <w:right w:val="nil"/>
            </w:tcBorders>
          </w:tcPr>
          <w:p w14:paraId="159EB061" w14:textId="77777777" w:rsidR="00B54D51" w:rsidRPr="00037AD4" w:rsidRDefault="00B54D51" w:rsidP="00401C67">
            <w:pPr>
              <w:widowControl w:val="0"/>
              <w:autoSpaceDE w:val="0"/>
              <w:autoSpaceDN w:val="0"/>
              <w:adjustRightInd w:val="0"/>
              <w:jc w:val="center"/>
            </w:pPr>
            <w:r w:rsidRPr="00037AD4">
              <w:t>2106.839</w:t>
            </w:r>
          </w:p>
        </w:tc>
      </w:tr>
      <w:tr w:rsidR="00B54D51" w:rsidRPr="00037AD4" w14:paraId="0A84A281" w14:textId="77777777" w:rsidTr="00401C67">
        <w:tblPrEx>
          <w:tblBorders>
            <w:bottom w:val="single" w:sz="6" w:space="0" w:color="auto"/>
          </w:tblBorders>
        </w:tblPrEx>
        <w:trPr>
          <w:jc w:val="center"/>
        </w:trPr>
        <w:tc>
          <w:tcPr>
            <w:tcW w:w="1227" w:type="pct"/>
            <w:tcBorders>
              <w:top w:val="nil"/>
              <w:left w:val="nil"/>
              <w:bottom w:val="single" w:sz="6" w:space="0" w:color="auto"/>
              <w:right w:val="nil"/>
            </w:tcBorders>
          </w:tcPr>
          <w:p w14:paraId="70777A69" w14:textId="77777777" w:rsidR="00B54D51" w:rsidRPr="00037AD4" w:rsidRDefault="00B54D51" w:rsidP="00401C67">
            <w:pPr>
              <w:widowControl w:val="0"/>
              <w:autoSpaceDE w:val="0"/>
              <w:autoSpaceDN w:val="0"/>
              <w:adjustRightInd w:val="0"/>
            </w:pPr>
            <w:r w:rsidRPr="00037AD4">
              <w:t>Log likelihood (model)</w:t>
            </w:r>
          </w:p>
        </w:tc>
        <w:tc>
          <w:tcPr>
            <w:tcW w:w="1258" w:type="pct"/>
            <w:tcBorders>
              <w:top w:val="nil"/>
              <w:left w:val="nil"/>
              <w:bottom w:val="single" w:sz="6" w:space="0" w:color="auto"/>
              <w:right w:val="nil"/>
            </w:tcBorders>
          </w:tcPr>
          <w:p w14:paraId="329FEFC7" w14:textId="77777777" w:rsidR="00B54D51" w:rsidRPr="00037AD4" w:rsidRDefault="00B54D51" w:rsidP="00401C67">
            <w:pPr>
              <w:widowControl w:val="0"/>
              <w:autoSpaceDE w:val="0"/>
              <w:autoSpaceDN w:val="0"/>
              <w:adjustRightInd w:val="0"/>
              <w:jc w:val="center"/>
            </w:pPr>
            <w:r w:rsidRPr="00037AD4">
              <w:t>-943.901</w:t>
            </w:r>
          </w:p>
        </w:tc>
        <w:tc>
          <w:tcPr>
            <w:tcW w:w="1258" w:type="pct"/>
            <w:tcBorders>
              <w:top w:val="nil"/>
              <w:left w:val="nil"/>
              <w:bottom w:val="single" w:sz="6" w:space="0" w:color="auto"/>
              <w:right w:val="nil"/>
            </w:tcBorders>
          </w:tcPr>
          <w:p w14:paraId="3CBE72D8" w14:textId="77777777" w:rsidR="00B54D51" w:rsidRPr="00037AD4" w:rsidRDefault="00B54D51" w:rsidP="00401C67">
            <w:pPr>
              <w:widowControl w:val="0"/>
              <w:autoSpaceDE w:val="0"/>
              <w:autoSpaceDN w:val="0"/>
              <w:adjustRightInd w:val="0"/>
              <w:jc w:val="center"/>
            </w:pPr>
            <w:r w:rsidRPr="00037AD4">
              <w:t>-1020.059</w:t>
            </w:r>
          </w:p>
        </w:tc>
        <w:tc>
          <w:tcPr>
            <w:tcW w:w="1258" w:type="pct"/>
            <w:tcBorders>
              <w:top w:val="nil"/>
              <w:left w:val="nil"/>
              <w:bottom w:val="single" w:sz="6" w:space="0" w:color="auto"/>
              <w:right w:val="nil"/>
            </w:tcBorders>
          </w:tcPr>
          <w:p w14:paraId="7148A23B" w14:textId="77777777" w:rsidR="00B54D51" w:rsidRPr="00037AD4" w:rsidRDefault="00B54D51" w:rsidP="00401C67">
            <w:pPr>
              <w:widowControl w:val="0"/>
              <w:autoSpaceDE w:val="0"/>
              <w:autoSpaceDN w:val="0"/>
              <w:adjustRightInd w:val="0"/>
              <w:jc w:val="center"/>
            </w:pPr>
            <w:r w:rsidRPr="00037AD4">
              <w:t>-1019.065</w:t>
            </w:r>
          </w:p>
        </w:tc>
      </w:tr>
    </w:tbl>
    <w:p w14:paraId="1D5AE616" w14:textId="77777777" w:rsidR="00B54D51" w:rsidRPr="00037AD4" w:rsidRDefault="00B54D51" w:rsidP="001D7ACE">
      <w:pPr>
        <w:widowControl w:val="0"/>
        <w:autoSpaceDE w:val="0"/>
        <w:autoSpaceDN w:val="0"/>
        <w:adjustRightInd w:val="0"/>
        <w:jc w:val="center"/>
      </w:pPr>
      <w:r w:rsidRPr="00037AD4">
        <w:t>Robust ci in parentheses</w:t>
      </w:r>
    </w:p>
    <w:p w14:paraId="4339AED0" w14:textId="77777777" w:rsidR="00B54D51" w:rsidRPr="00037AD4" w:rsidRDefault="00B54D51" w:rsidP="001D7ACE">
      <w:pPr>
        <w:widowControl w:val="0"/>
        <w:autoSpaceDE w:val="0"/>
        <w:autoSpaceDN w:val="0"/>
        <w:adjustRightInd w:val="0"/>
        <w:jc w:val="center"/>
      </w:pPr>
      <w:r w:rsidRPr="00037AD4">
        <w:t>*** p&lt;0.01, ** p&lt;0.05, * p&lt;0.1</w:t>
      </w:r>
    </w:p>
    <w:p w14:paraId="16F42CB8" w14:textId="77777777" w:rsidR="00B54D51" w:rsidRPr="00037AD4" w:rsidRDefault="00B54D51" w:rsidP="001D7ACE">
      <w:pPr>
        <w:rPr>
          <w:rFonts w:asciiTheme="minorHAnsi" w:hAnsiTheme="minorHAnsi" w:cstheme="minorHAnsi"/>
          <w:color w:val="FF0000"/>
          <w:u w:val="single"/>
        </w:rPr>
      </w:pPr>
    </w:p>
    <w:p w14:paraId="30644970" w14:textId="77777777" w:rsidR="00B54D51" w:rsidRPr="00037AD4" w:rsidRDefault="00B54D51" w:rsidP="001D7ACE">
      <w:pPr>
        <w:rPr>
          <w:rFonts w:asciiTheme="minorHAnsi" w:hAnsiTheme="minorHAnsi" w:cstheme="minorHAnsi"/>
          <w:u w:val="single"/>
        </w:rPr>
      </w:pPr>
      <w:bookmarkStart w:id="534" w:name="TABLEA62C"/>
      <w:r w:rsidRPr="00037AD4">
        <w:rPr>
          <w:rFonts w:asciiTheme="minorHAnsi" w:hAnsiTheme="minorHAnsi" w:cstheme="minorHAnsi"/>
          <w:u w:val="single"/>
        </w:rPr>
        <w:t xml:space="preserve">Table </w:t>
      </w:r>
      <w:r w:rsidRPr="00037AD4">
        <w:rPr>
          <w:rFonts w:asciiTheme="minorHAnsi" w:hAnsiTheme="minorHAnsi" w:cstheme="minorHAnsi"/>
          <w:color w:val="000000" w:themeColor="text1"/>
          <w:u w:val="single"/>
        </w:rPr>
        <w:t>A6.2c</w:t>
      </w:r>
      <w:r w:rsidRPr="00037AD4">
        <w:rPr>
          <w:rFonts w:asciiTheme="minorHAnsi" w:hAnsiTheme="minorHAnsi" w:cstheme="minorHAnsi"/>
          <w:u w:val="single"/>
        </w:rPr>
        <w:t xml:space="preserve">, Summary table of coefficients for the selected “mobility” models </w:t>
      </w:r>
    </w:p>
    <w:bookmarkEnd w:id="534"/>
    <w:p w14:paraId="1262292E" w14:textId="77777777" w:rsidR="00B54D51" w:rsidRPr="00037AD4" w:rsidRDefault="00B54D51" w:rsidP="001D7ACE">
      <w:pPr>
        <w:rPr>
          <w:rFonts w:asciiTheme="minorHAnsi" w:hAnsiTheme="minorHAnsi" w:cstheme="minorHAnsi"/>
        </w:rPr>
      </w:pPr>
    </w:p>
    <w:tbl>
      <w:tblPr>
        <w:tblStyle w:val="TableGrid"/>
        <w:tblW w:w="0" w:type="auto"/>
        <w:tblLook w:val="04A0" w:firstRow="1" w:lastRow="0" w:firstColumn="1" w:lastColumn="0" w:noHBand="0" w:noVBand="1"/>
      </w:tblPr>
      <w:tblGrid>
        <w:gridCol w:w="3005"/>
        <w:gridCol w:w="3005"/>
        <w:gridCol w:w="3006"/>
      </w:tblGrid>
      <w:tr w:rsidR="00B54D51" w:rsidRPr="00037AD4" w14:paraId="0E906709" w14:textId="77777777" w:rsidTr="00401C67">
        <w:tc>
          <w:tcPr>
            <w:tcW w:w="3005" w:type="dxa"/>
          </w:tcPr>
          <w:p w14:paraId="5AD274D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Regression variables </w:t>
            </w:r>
          </w:p>
        </w:tc>
        <w:tc>
          <w:tcPr>
            <w:tcW w:w="3005" w:type="dxa"/>
          </w:tcPr>
          <w:p w14:paraId="56DA5A7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ACTIFCARE (target PwD)</w:t>
            </w:r>
          </w:p>
        </w:tc>
        <w:tc>
          <w:tcPr>
            <w:tcW w:w="3006" w:type="dxa"/>
          </w:tcPr>
          <w:p w14:paraId="11CD5DB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EPIC (target staff proxy) </w:t>
            </w:r>
          </w:p>
        </w:tc>
      </w:tr>
      <w:tr w:rsidR="00B54D51" w:rsidRPr="00037AD4" w14:paraId="7E0A47E0" w14:textId="77777777" w:rsidTr="00401C67">
        <w:tc>
          <w:tcPr>
            <w:tcW w:w="3005" w:type="dxa"/>
          </w:tcPr>
          <w:p w14:paraId="54CD70E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Mobility (2)</w:t>
            </w:r>
          </w:p>
        </w:tc>
        <w:tc>
          <w:tcPr>
            <w:tcW w:w="3005" w:type="dxa"/>
          </w:tcPr>
          <w:p w14:paraId="687217D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0.824*</w:t>
            </w:r>
          </w:p>
        </w:tc>
        <w:tc>
          <w:tcPr>
            <w:tcW w:w="3006" w:type="dxa"/>
          </w:tcPr>
          <w:p w14:paraId="7C08F0C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0.197*</w:t>
            </w:r>
          </w:p>
        </w:tc>
      </w:tr>
      <w:tr w:rsidR="00B54D51" w:rsidRPr="00037AD4" w14:paraId="70421308" w14:textId="77777777" w:rsidTr="00401C67">
        <w:tc>
          <w:tcPr>
            <w:tcW w:w="3005" w:type="dxa"/>
          </w:tcPr>
          <w:p w14:paraId="6B745C2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Mobility (3)</w:t>
            </w:r>
          </w:p>
        </w:tc>
        <w:tc>
          <w:tcPr>
            <w:tcW w:w="3005" w:type="dxa"/>
          </w:tcPr>
          <w:p w14:paraId="69FF2C4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1.611*</w:t>
            </w:r>
          </w:p>
        </w:tc>
        <w:tc>
          <w:tcPr>
            <w:tcW w:w="3006" w:type="dxa"/>
          </w:tcPr>
          <w:p w14:paraId="7D52E5A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0.338*</w:t>
            </w:r>
          </w:p>
        </w:tc>
      </w:tr>
      <w:tr w:rsidR="00B54D51" w:rsidRPr="00037AD4" w14:paraId="0070D0F7" w14:textId="77777777" w:rsidTr="00401C67">
        <w:tc>
          <w:tcPr>
            <w:tcW w:w="3005" w:type="dxa"/>
          </w:tcPr>
          <w:p w14:paraId="31E11D6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Mobility (4)</w:t>
            </w:r>
          </w:p>
        </w:tc>
        <w:tc>
          <w:tcPr>
            <w:tcW w:w="3005" w:type="dxa"/>
          </w:tcPr>
          <w:p w14:paraId="2431F03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1.896*</w:t>
            </w:r>
          </w:p>
        </w:tc>
        <w:tc>
          <w:tcPr>
            <w:tcW w:w="3006" w:type="dxa"/>
          </w:tcPr>
          <w:p w14:paraId="2AD9CBE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1.226*</w:t>
            </w:r>
          </w:p>
        </w:tc>
      </w:tr>
      <w:tr w:rsidR="00B54D51" w:rsidRPr="00037AD4" w14:paraId="55F5939E" w14:textId="77777777" w:rsidTr="00401C67">
        <w:tc>
          <w:tcPr>
            <w:tcW w:w="3005" w:type="dxa"/>
          </w:tcPr>
          <w:p w14:paraId="030D380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Mobility (5)</w:t>
            </w:r>
          </w:p>
        </w:tc>
        <w:tc>
          <w:tcPr>
            <w:tcW w:w="3005" w:type="dxa"/>
          </w:tcPr>
          <w:p w14:paraId="2D2A082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3.542*</w:t>
            </w:r>
          </w:p>
        </w:tc>
        <w:tc>
          <w:tcPr>
            <w:tcW w:w="3006" w:type="dxa"/>
          </w:tcPr>
          <w:p w14:paraId="4088AA2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1.891*</w:t>
            </w:r>
          </w:p>
        </w:tc>
      </w:tr>
      <w:tr w:rsidR="00B54D51" w:rsidRPr="00037AD4" w14:paraId="79DAF01E" w14:textId="77777777" w:rsidTr="00401C67">
        <w:tc>
          <w:tcPr>
            <w:tcW w:w="3005" w:type="dxa"/>
          </w:tcPr>
          <w:p w14:paraId="492D01F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Function</w:t>
            </w:r>
          </w:p>
        </w:tc>
        <w:tc>
          <w:tcPr>
            <w:tcW w:w="3005" w:type="dxa"/>
          </w:tcPr>
          <w:p w14:paraId="5EB069D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-0.123*</w:t>
            </w:r>
          </w:p>
        </w:tc>
        <w:tc>
          <w:tcPr>
            <w:tcW w:w="3006" w:type="dxa"/>
          </w:tcPr>
          <w:p w14:paraId="30D86D0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0.358*</w:t>
            </w:r>
          </w:p>
        </w:tc>
      </w:tr>
      <w:tr w:rsidR="00B54D51" w:rsidRPr="00037AD4" w14:paraId="154C05F8" w14:textId="77777777" w:rsidTr="00401C67">
        <w:tc>
          <w:tcPr>
            <w:tcW w:w="3005" w:type="dxa"/>
          </w:tcPr>
          <w:p w14:paraId="5F3A9B8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PwD age</w:t>
            </w:r>
          </w:p>
        </w:tc>
        <w:tc>
          <w:tcPr>
            <w:tcW w:w="3005" w:type="dxa"/>
          </w:tcPr>
          <w:p w14:paraId="666E0C0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0.012*</w:t>
            </w:r>
          </w:p>
        </w:tc>
        <w:tc>
          <w:tcPr>
            <w:tcW w:w="3006" w:type="dxa"/>
          </w:tcPr>
          <w:p w14:paraId="26D0049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0.020*</w:t>
            </w:r>
          </w:p>
        </w:tc>
      </w:tr>
      <w:tr w:rsidR="00B54D51" w:rsidRPr="00037AD4" w14:paraId="6BF7C411" w14:textId="77777777" w:rsidTr="00401C67">
        <w:tc>
          <w:tcPr>
            <w:tcW w:w="3005" w:type="dxa"/>
          </w:tcPr>
          <w:p w14:paraId="208DC60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PwD sex </w:t>
            </w:r>
          </w:p>
        </w:tc>
        <w:tc>
          <w:tcPr>
            <w:tcW w:w="3005" w:type="dxa"/>
          </w:tcPr>
          <w:p w14:paraId="79F2A03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0.026</w:t>
            </w:r>
          </w:p>
        </w:tc>
        <w:tc>
          <w:tcPr>
            <w:tcW w:w="3006" w:type="dxa"/>
          </w:tcPr>
          <w:p w14:paraId="6BF9DF4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0.011</w:t>
            </w:r>
          </w:p>
        </w:tc>
      </w:tr>
      <w:tr w:rsidR="00B54D51" w:rsidRPr="00037AD4" w14:paraId="2E6D6326" w14:textId="77777777" w:rsidTr="00401C67">
        <w:tc>
          <w:tcPr>
            <w:tcW w:w="3005" w:type="dxa"/>
          </w:tcPr>
          <w:p w14:paraId="1B29A43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MMSE</w:t>
            </w:r>
          </w:p>
        </w:tc>
        <w:tc>
          <w:tcPr>
            <w:tcW w:w="3005" w:type="dxa"/>
          </w:tcPr>
          <w:p w14:paraId="278D4B9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0.045*</w:t>
            </w:r>
          </w:p>
        </w:tc>
        <w:tc>
          <w:tcPr>
            <w:tcW w:w="3006" w:type="dxa"/>
          </w:tcPr>
          <w:p w14:paraId="729A8F0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 </w:t>
            </w:r>
          </w:p>
        </w:tc>
      </w:tr>
      <w:tr w:rsidR="00B54D51" w:rsidRPr="00037AD4" w14:paraId="179A71CF" w14:textId="77777777" w:rsidTr="00401C67">
        <w:tc>
          <w:tcPr>
            <w:tcW w:w="3005" w:type="dxa"/>
          </w:tcPr>
          <w:p w14:paraId="3581626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Model fit statistics </w:t>
            </w:r>
          </w:p>
        </w:tc>
        <w:tc>
          <w:tcPr>
            <w:tcW w:w="3005" w:type="dxa"/>
          </w:tcPr>
          <w:p w14:paraId="3FA9BD39" w14:textId="77777777" w:rsidR="00B54D51" w:rsidRPr="00037AD4" w:rsidRDefault="00B54D51" w:rsidP="00401C67">
            <w:pPr>
              <w:pStyle w:val="ListParagraph"/>
              <w:ind w:left="0"/>
              <w:rPr>
                <w:rFonts w:cstheme="minorHAnsi"/>
                <w:sz w:val="22"/>
                <w:szCs w:val="22"/>
              </w:rPr>
            </w:pPr>
            <w:r w:rsidRPr="00037AD4">
              <w:rPr>
                <w:rFonts w:cstheme="minorHAnsi"/>
                <w:sz w:val="22"/>
                <w:szCs w:val="22"/>
              </w:rPr>
              <w:t>AIC: 1821.820; BIC: 1880.939</w:t>
            </w:r>
          </w:p>
          <w:p w14:paraId="6DCD1470" w14:textId="77777777" w:rsidR="00B54D51" w:rsidRPr="00037AD4" w:rsidRDefault="00B54D51" w:rsidP="00401C67">
            <w:pPr>
              <w:pStyle w:val="ListParagraph"/>
              <w:ind w:left="0"/>
              <w:rPr>
                <w:rFonts w:cstheme="minorHAnsi"/>
                <w:sz w:val="22"/>
                <w:szCs w:val="22"/>
              </w:rPr>
            </w:pPr>
            <w:r w:rsidRPr="00037AD4">
              <w:rPr>
                <w:rFonts w:cstheme="minorHAnsi"/>
                <w:sz w:val="22"/>
                <w:szCs w:val="22"/>
              </w:rPr>
              <w:t>Ll(model): -898.910</w:t>
            </w:r>
          </w:p>
        </w:tc>
        <w:tc>
          <w:tcPr>
            <w:tcW w:w="3006" w:type="dxa"/>
          </w:tcPr>
          <w:p w14:paraId="6F95F9A1" w14:textId="77777777" w:rsidR="00B54D51" w:rsidRPr="00037AD4" w:rsidRDefault="00B54D51" w:rsidP="00401C67">
            <w:pPr>
              <w:pStyle w:val="ListParagraph"/>
              <w:ind w:left="0"/>
              <w:rPr>
                <w:rFonts w:cstheme="minorHAnsi"/>
                <w:sz w:val="22"/>
                <w:szCs w:val="22"/>
              </w:rPr>
            </w:pPr>
            <w:r w:rsidRPr="00037AD4">
              <w:rPr>
                <w:rFonts w:cstheme="minorHAnsi"/>
                <w:sz w:val="22"/>
                <w:szCs w:val="22"/>
              </w:rPr>
              <w:t>AIC: 2062.118; BIC: 2113.469</w:t>
            </w:r>
          </w:p>
          <w:p w14:paraId="679699E2" w14:textId="77777777" w:rsidR="00B54D51" w:rsidRPr="00037AD4" w:rsidRDefault="00B54D51" w:rsidP="00401C67">
            <w:pPr>
              <w:pStyle w:val="ListParagraph"/>
              <w:ind w:left="0"/>
              <w:rPr>
                <w:rFonts w:cstheme="minorHAnsi"/>
                <w:sz w:val="22"/>
                <w:szCs w:val="22"/>
              </w:rPr>
            </w:pPr>
            <w:r w:rsidRPr="00037AD4">
              <w:rPr>
                <w:rFonts w:cstheme="minorHAnsi"/>
                <w:sz w:val="22"/>
                <w:szCs w:val="22"/>
              </w:rPr>
              <w:t>Ll(model): -1020.059</w:t>
            </w:r>
          </w:p>
        </w:tc>
      </w:tr>
    </w:tbl>
    <w:p w14:paraId="1B0CCB99" w14:textId="77777777" w:rsidR="00B54D51" w:rsidRPr="00037AD4" w:rsidRDefault="00B54D51" w:rsidP="001D7ACE">
      <w:pPr>
        <w:rPr>
          <w:rFonts w:asciiTheme="minorHAnsi" w:hAnsiTheme="minorHAnsi" w:cstheme="minorHAnsi"/>
          <w:color w:val="FF0000"/>
          <w:u w:val="single"/>
        </w:rPr>
      </w:pPr>
    </w:p>
    <w:p w14:paraId="54EB654D" w14:textId="77777777" w:rsidR="00B54D51" w:rsidRPr="00037AD4" w:rsidRDefault="00B54D51" w:rsidP="001D7ACE">
      <w:pPr>
        <w:rPr>
          <w:rFonts w:asciiTheme="minorHAnsi" w:hAnsiTheme="minorHAnsi" w:cstheme="minorHAnsi"/>
          <w:color w:val="FF0000"/>
          <w:u w:val="single"/>
        </w:rPr>
      </w:pPr>
    </w:p>
    <w:p w14:paraId="659A2811" w14:textId="77777777" w:rsidR="00B54D51" w:rsidRPr="00037AD4" w:rsidRDefault="00B54D51" w:rsidP="001D7ACE">
      <w:pPr>
        <w:rPr>
          <w:rFonts w:asciiTheme="minorHAnsi" w:hAnsiTheme="minorHAnsi" w:cstheme="minorHAnsi"/>
          <w:color w:val="FF0000"/>
          <w:u w:val="single"/>
        </w:rPr>
      </w:pPr>
    </w:p>
    <w:p w14:paraId="65FFFFFF" w14:textId="77777777" w:rsidR="00B54D51" w:rsidRPr="00037AD4" w:rsidRDefault="00B54D51" w:rsidP="001D7ACE">
      <w:pPr>
        <w:rPr>
          <w:rFonts w:asciiTheme="minorHAnsi" w:hAnsiTheme="minorHAnsi" w:cstheme="minorHAnsi"/>
          <w:color w:val="FF0000"/>
          <w:u w:val="single"/>
        </w:rPr>
      </w:pPr>
    </w:p>
    <w:p w14:paraId="290CC217" w14:textId="77777777" w:rsidR="00B54D51" w:rsidRPr="00037AD4" w:rsidRDefault="00B54D51" w:rsidP="001D7ACE">
      <w:pPr>
        <w:rPr>
          <w:rFonts w:asciiTheme="minorHAnsi" w:hAnsiTheme="minorHAnsi" w:cstheme="minorHAnsi"/>
          <w:color w:val="FF0000"/>
          <w:u w:val="single"/>
        </w:rPr>
      </w:pPr>
    </w:p>
    <w:p w14:paraId="697EA7C5" w14:textId="77777777" w:rsidR="00B54D51" w:rsidRPr="00037AD4" w:rsidRDefault="00B54D51" w:rsidP="001D7ACE">
      <w:pPr>
        <w:rPr>
          <w:color w:val="FF0000"/>
          <w:u w:val="single"/>
        </w:rPr>
      </w:pPr>
    </w:p>
    <w:p w14:paraId="3AF73258" w14:textId="77777777" w:rsidR="00B54D51" w:rsidRPr="00037AD4" w:rsidRDefault="00B54D51" w:rsidP="001D7ACE">
      <w:pPr>
        <w:rPr>
          <w:color w:val="FF0000"/>
          <w:u w:val="single"/>
        </w:rPr>
      </w:pPr>
    </w:p>
    <w:p w14:paraId="38532486" w14:textId="77777777" w:rsidR="00B54D51" w:rsidRPr="00037AD4" w:rsidRDefault="00B54D51" w:rsidP="001D7ACE">
      <w:pPr>
        <w:rPr>
          <w:color w:val="FF0000"/>
          <w:u w:val="single"/>
        </w:rPr>
      </w:pPr>
    </w:p>
    <w:p w14:paraId="68ACF840" w14:textId="77777777" w:rsidR="00B54D51" w:rsidRPr="00037AD4" w:rsidRDefault="00B54D51" w:rsidP="001D7ACE">
      <w:pPr>
        <w:rPr>
          <w:color w:val="FF0000"/>
          <w:u w:val="single"/>
        </w:rPr>
      </w:pPr>
    </w:p>
    <w:p w14:paraId="4EBCABB5" w14:textId="77777777" w:rsidR="00B54D51" w:rsidRPr="00037AD4" w:rsidRDefault="00B54D51" w:rsidP="001D7ACE">
      <w:pPr>
        <w:rPr>
          <w:color w:val="FF0000"/>
          <w:u w:val="single"/>
        </w:rPr>
      </w:pPr>
    </w:p>
    <w:p w14:paraId="37140D48" w14:textId="77777777" w:rsidR="00B54D51" w:rsidRPr="00037AD4" w:rsidRDefault="00B54D51" w:rsidP="001D7ACE">
      <w:pPr>
        <w:rPr>
          <w:color w:val="FF0000"/>
          <w:u w:val="single"/>
        </w:rPr>
      </w:pPr>
    </w:p>
    <w:p w14:paraId="174E446C" w14:textId="77777777" w:rsidR="00B54D51" w:rsidRPr="00037AD4" w:rsidRDefault="00B54D51" w:rsidP="001D7ACE">
      <w:pPr>
        <w:rPr>
          <w:color w:val="FF0000"/>
          <w:u w:val="single"/>
        </w:rPr>
      </w:pPr>
    </w:p>
    <w:p w14:paraId="30A39EBB" w14:textId="77777777" w:rsidR="00B54D51" w:rsidRPr="00037AD4" w:rsidRDefault="00B54D51" w:rsidP="001D7ACE">
      <w:pPr>
        <w:rPr>
          <w:color w:val="FF0000"/>
          <w:u w:val="single"/>
        </w:rPr>
      </w:pPr>
    </w:p>
    <w:p w14:paraId="100D27F4" w14:textId="77777777" w:rsidR="00B54D51" w:rsidRPr="00037AD4" w:rsidRDefault="00B54D51" w:rsidP="001D7ACE">
      <w:pPr>
        <w:rPr>
          <w:color w:val="FF0000"/>
          <w:u w:val="single"/>
        </w:rPr>
      </w:pPr>
    </w:p>
    <w:p w14:paraId="63C28212" w14:textId="77777777" w:rsidR="00B54D51" w:rsidRPr="00037AD4" w:rsidRDefault="00B54D51" w:rsidP="001D7ACE">
      <w:pPr>
        <w:rPr>
          <w:color w:val="FF0000"/>
          <w:u w:val="single"/>
        </w:rPr>
      </w:pPr>
    </w:p>
    <w:p w14:paraId="3804E2DA" w14:textId="77777777" w:rsidR="00B54D51" w:rsidRPr="00037AD4" w:rsidRDefault="00B54D51" w:rsidP="001D7ACE">
      <w:pPr>
        <w:rPr>
          <w:color w:val="FF0000"/>
          <w:u w:val="single"/>
        </w:rPr>
      </w:pPr>
    </w:p>
    <w:p w14:paraId="2E7F97C5" w14:textId="77777777" w:rsidR="00B54D51" w:rsidRPr="00037AD4" w:rsidRDefault="00B54D51" w:rsidP="001D7ACE">
      <w:pPr>
        <w:rPr>
          <w:color w:val="FF0000"/>
          <w:u w:val="single"/>
        </w:rPr>
      </w:pPr>
    </w:p>
    <w:p w14:paraId="6FEE1A7C" w14:textId="77777777" w:rsidR="00B54D51" w:rsidRPr="00037AD4" w:rsidRDefault="00B54D51" w:rsidP="001D7ACE">
      <w:pPr>
        <w:rPr>
          <w:color w:val="FF0000"/>
          <w:u w:val="single"/>
        </w:rPr>
      </w:pPr>
    </w:p>
    <w:p w14:paraId="1C7AF08C" w14:textId="77777777" w:rsidR="00B54D51" w:rsidRPr="00037AD4" w:rsidRDefault="00B54D51" w:rsidP="001D7ACE">
      <w:pPr>
        <w:rPr>
          <w:color w:val="FF0000"/>
          <w:u w:val="single"/>
        </w:rPr>
      </w:pPr>
    </w:p>
    <w:p w14:paraId="336AFB1C" w14:textId="77777777" w:rsidR="00B54D51" w:rsidRPr="00037AD4" w:rsidRDefault="00B54D51" w:rsidP="001D7ACE">
      <w:pPr>
        <w:rPr>
          <w:color w:val="FF0000"/>
          <w:u w:val="single"/>
        </w:rPr>
      </w:pPr>
    </w:p>
    <w:p w14:paraId="2A302941" w14:textId="77777777" w:rsidR="00B54D51" w:rsidRPr="00037AD4" w:rsidRDefault="00B54D51" w:rsidP="001D7ACE">
      <w:pPr>
        <w:rPr>
          <w:color w:val="FF0000"/>
          <w:u w:val="single"/>
        </w:rPr>
      </w:pPr>
    </w:p>
    <w:p w14:paraId="14AB726A" w14:textId="77777777" w:rsidR="00B54D51" w:rsidRPr="00037AD4" w:rsidRDefault="00B54D51" w:rsidP="001D7ACE">
      <w:pPr>
        <w:rPr>
          <w:color w:val="FF0000"/>
          <w:u w:val="single"/>
        </w:rPr>
      </w:pPr>
    </w:p>
    <w:p w14:paraId="10511125" w14:textId="77777777" w:rsidR="00B54D51" w:rsidRPr="00037AD4" w:rsidRDefault="00B54D51" w:rsidP="001D7ACE">
      <w:pPr>
        <w:rPr>
          <w:rFonts w:asciiTheme="minorHAnsi" w:hAnsiTheme="minorHAnsi" w:cstheme="minorHAnsi"/>
          <w:color w:val="000000" w:themeColor="text1"/>
          <w:u w:val="single"/>
        </w:rPr>
      </w:pPr>
      <w:bookmarkStart w:id="535" w:name="A62self"/>
      <w:r w:rsidRPr="00037AD4">
        <w:rPr>
          <w:rFonts w:asciiTheme="minorHAnsi" w:hAnsiTheme="minorHAnsi" w:cstheme="minorHAnsi"/>
          <w:color w:val="000000" w:themeColor="text1"/>
          <w:u w:val="single"/>
        </w:rPr>
        <w:lastRenderedPageBreak/>
        <w:t xml:space="preserve">Table A6.2d, “Self-care” dimension model iterations: ACTIFCARE </w:t>
      </w:r>
    </w:p>
    <w:bookmarkEnd w:id="535"/>
    <w:p w14:paraId="110B7A9B" w14:textId="77777777" w:rsidR="00B54D51" w:rsidRPr="00037AD4" w:rsidRDefault="00B54D51" w:rsidP="001D7ACE">
      <w:pPr>
        <w:rPr>
          <w:color w:val="FF0000"/>
          <w:u w:val="single"/>
        </w:rPr>
      </w:pPr>
    </w:p>
    <w:tbl>
      <w:tblPr>
        <w:tblW w:w="5098" w:type="pct"/>
        <w:jc w:val="center"/>
        <w:tblCellMar>
          <w:left w:w="75" w:type="dxa"/>
          <w:right w:w="75" w:type="dxa"/>
        </w:tblCellMar>
        <w:tblLook w:val="0000" w:firstRow="0" w:lastRow="0" w:firstColumn="0" w:lastColumn="0" w:noHBand="0" w:noVBand="0"/>
      </w:tblPr>
      <w:tblGrid>
        <w:gridCol w:w="2903"/>
        <w:gridCol w:w="1050"/>
        <w:gridCol w:w="1050"/>
        <w:gridCol w:w="1050"/>
        <w:gridCol w:w="1050"/>
        <w:gridCol w:w="1050"/>
        <w:gridCol w:w="1050"/>
      </w:tblGrid>
      <w:tr w:rsidR="00B54D51" w:rsidRPr="00037AD4" w14:paraId="63904E89" w14:textId="77777777" w:rsidTr="00401C67">
        <w:trPr>
          <w:jc w:val="center"/>
        </w:trPr>
        <w:tc>
          <w:tcPr>
            <w:tcW w:w="1577" w:type="pct"/>
            <w:tcBorders>
              <w:top w:val="single" w:sz="6" w:space="0" w:color="auto"/>
              <w:left w:val="nil"/>
              <w:bottom w:val="nil"/>
              <w:right w:val="nil"/>
            </w:tcBorders>
          </w:tcPr>
          <w:p w14:paraId="006B4EB3" w14:textId="77777777" w:rsidR="00B54D51" w:rsidRPr="00037AD4" w:rsidRDefault="00B54D51" w:rsidP="00401C67">
            <w:pPr>
              <w:widowControl w:val="0"/>
              <w:autoSpaceDE w:val="0"/>
              <w:autoSpaceDN w:val="0"/>
              <w:adjustRightInd w:val="0"/>
            </w:pPr>
          </w:p>
        </w:tc>
        <w:tc>
          <w:tcPr>
            <w:tcW w:w="570" w:type="pct"/>
            <w:tcBorders>
              <w:top w:val="single" w:sz="6" w:space="0" w:color="auto"/>
              <w:left w:val="nil"/>
              <w:bottom w:val="nil"/>
              <w:right w:val="nil"/>
            </w:tcBorders>
          </w:tcPr>
          <w:p w14:paraId="2FB6D9F5" w14:textId="77777777" w:rsidR="00B54D51" w:rsidRPr="00037AD4" w:rsidRDefault="00B54D51" w:rsidP="00401C67">
            <w:pPr>
              <w:widowControl w:val="0"/>
              <w:autoSpaceDE w:val="0"/>
              <w:autoSpaceDN w:val="0"/>
              <w:adjustRightInd w:val="0"/>
              <w:jc w:val="center"/>
            </w:pPr>
            <w:r w:rsidRPr="00037AD4">
              <w:t>(1)</w:t>
            </w:r>
          </w:p>
        </w:tc>
        <w:tc>
          <w:tcPr>
            <w:tcW w:w="570" w:type="pct"/>
            <w:tcBorders>
              <w:top w:val="single" w:sz="6" w:space="0" w:color="auto"/>
              <w:left w:val="nil"/>
              <w:bottom w:val="nil"/>
              <w:right w:val="nil"/>
            </w:tcBorders>
          </w:tcPr>
          <w:p w14:paraId="14D456F0" w14:textId="77777777" w:rsidR="00B54D51" w:rsidRPr="00037AD4" w:rsidRDefault="00B54D51" w:rsidP="00401C67">
            <w:pPr>
              <w:widowControl w:val="0"/>
              <w:autoSpaceDE w:val="0"/>
              <w:autoSpaceDN w:val="0"/>
              <w:adjustRightInd w:val="0"/>
              <w:jc w:val="center"/>
            </w:pPr>
            <w:r w:rsidRPr="00037AD4">
              <w:t>(2)</w:t>
            </w:r>
          </w:p>
        </w:tc>
        <w:tc>
          <w:tcPr>
            <w:tcW w:w="570" w:type="pct"/>
            <w:tcBorders>
              <w:top w:val="single" w:sz="6" w:space="0" w:color="auto"/>
              <w:left w:val="nil"/>
              <w:bottom w:val="nil"/>
              <w:right w:val="nil"/>
            </w:tcBorders>
          </w:tcPr>
          <w:p w14:paraId="3117E661" w14:textId="77777777" w:rsidR="00B54D51" w:rsidRPr="00037AD4" w:rsidRDefault="00B54D51" w:rsidP="00401C67">
            <w:pPr>
              <w:widowControl w:val="0"/>
              <w:autoSpaceDE w:val="0"/>
              <w:autoSpaceDN w:val="0"/>
              <w:adjustRightInd w:val="0"/>
              <w:jc w:val="center"/>
            </w:pPr>
            <w:r w:rsidRPr="00037AD4">
              <w:t>(3)</w:t>
            </w:r>
          </w:p>
        </w:tc>
        <w:tc>
          <w:tcPr>
            <w:tcW w:w="570" w:type="pct"/>
            <w:tcBorders>
              <w:top w:val="single" w:sz="6" w:space="0" w:color="auto"/>
              <w:left w:val="nil"/>
              <w:bottom w:val="nil"/>
              <w:right w:val="nil"/>
            </w:tcBorders>
          </w:tcPr>
          <w:p w14:paraId="7CEDE75F" w14:textId="77777777" w:rsidR="00B54D51" w:rsidRPr="00037AD4" w:rsidRDefault="00B54D51" w:rsidP="00401C67">
            <w:pPr>
              <w:widowControl w:val="0"/>
              <w:autoSpaceDE w:val="0"/>
              <w:autoSpaceDN w:val="0"/>
              <w:adjustRightInd w:val="0"/>
              <w:jc w:val="center"/>
            </w:pPr>
            <w:r w:rsidRPr="00037AD4">
              <w:t>(4)</w:t>
            </w:r>
          </w:p>
        </w:tc>
        <w:tc>
          <w:tcPr>
            <w:tcW w:w="570" w:type="pct"/>
            <w:tcBorders>
              <w:top w:val="single" w:sz="6" w:space="0" w:color="auto"/>
              <w:left w:val="nil"/>
              <w:bottom w:val="nil"/>
              <w:right w:val="nil"/>
            </w:tcBorders>
          </w:tcPr>
          <w:p w14:paraId="4DD21EAF" w14:textId="77777777" w:rsidR="00B54D51" w:rsidRPr="00037AD4" w:rsidRDefault="00B54D51" w:rsidP="00401C67">
            <w:pPr>
              <w:widowControl w:val="0"/>
              <w:autoSpaceDE w:val="0"/>
              <w:autoSpaceDN w:val="0"/>
              <w:adjustRightInd w:val="0"/>
              <w:jc w:val="center"/>
            </w:pPr>
            <w:r w:rsidRPr="00037AD4">
              <w:t>(5)</w:t>
            </w:r>
          </w:p>
        </w:tc>
        <w:tc>
          <w:tcPr>
            <w:tcW w:w="570" w:type="pct"/>
            <w:tcBorders>
              <w:top w:val="single" w:sz="6" w:space="0" w:color="auto"/>
              <w:left w:val="nil"/>
              <w:bottom w:val="nil"/>
              <w:right w:val="nil"/>
            </w:tcBorders>
          </w:tcPr>
          <w:p w14:paraId="10F008DA" w14:textId="77777777" w:rsidR="00B54D51" w:rsidRPr="00037AD4" w:rsidRDefault="00B54D51" w:rsidP="00401C67">
            <w:pPr>
              <w:widowControl w:val="0"/>
              <w:autoSpaceDE w:val="0"/>
              <w:autoSpaceDN w:val="0"/>
              <w:adjustRightInd w:val="0"/>
              <w:jc w:val="center"/>
            </w:pPr>
            <w:r w:rsidRPr="00037AD4">
              <w:t>(6)</w:t>
            </w:r>
          </w:p>
        </w:tc>
      </w:tr>
      <w:tr w:rsidR="00B54D51" w:rsidRPr="00037AD4" w14:paraId="19950143" w14:textId="77777777" w:rsidTr="00401C67">
        <w:trPr>
          <w:jc w:val="center"/>
        </w:trPr>
        <w:tc>
          <w:tcPr>
            <w:tcW w:w="1577" w:type="pct"/>
            <w:tcBorders>
              <w:top w:val="nil"/>
              <w:left w:val="nil"/>
              <w:bottom w:val="single" w:sz="6" w:space="0" w:color="auto"/>
              <w:right w:val="nil"/>
            </w:tcBorders>
          </w:tcPr>
          <w:p w14:paraId="3221D894" w14:textId="77777777" w:rsidR="00B54D51" w:rsidRPr="00037AD4" w:rsidRDefault="00B54D51" w:rsidP="00401C67">
            <w:pPr>
              <w:widowControl w:val="0"/>
              <w:autoSpaceDE w:val="0"/>
              <w:autoSpaceDN w:val="0"/>
              <w:adjustRightInd w:val="0"/>
            </w:pPr>
            <w:r w:rsidRPr="00037AD4">
              <w:t>VARIABLES</w:t>
            </w:r>
          </w:p>
        </w:tc>
        <w:tc>
          <w:tcPr>
            <w:tcW w:w="570" w:type="pct"/>
            <w:tcBorders>
              <w:top w:val="nil"/>
              <w:left w:val="nil"/>
              <w:bottom w:val="single" w:sz="6" w:space="0" w:color="auto"/>
              <w:right w:val="nil"/>
            </w:tcBorders>
          </w:tcPr>
          <w:p w14:paraId="577E7470" w14:textId="77777777" w:rsidR="00B54D51" w:rsidRPr="00037AD4" w:rsidRDefault="00B54D51" w:rsidP="00401C67">
            <w:pPr>
              <w:widowControl w:val="0"/>
              <w:autoSpaceDE w:val="0"/>
              <w:autoSpaceDN w:val="0"/>
              <w:adjustRightInd w:val="0"/>
              <w:jc w:val="center"/>
            </w:pPr>
            <w:r w:rsidRPr="00037AD4">
              <w:t>Model 1</w:t>
            </w:r>
          </w:p>
        </w:tc>
        <w:tc>
          <w:tcPr>
            <w:tcW w:w="570" w:type="pct"/>
            <w:tcBorders>
              <w:top w:val="nil"/>
              <w:left w:val="nil"/>
              <w:bottom w:val="single" w:sz="6" w:space="0" w:color="auto"/>
              <w:right w:val="nil"/>
            </w:tcBorders>
          </w:tcPr>
          <w:p w14:paraId="2945E240" w14:textId="77777777" w:rsidR="00B54D51" w:rsidRPr="00037AD4" w:rsidRDefault="00B54D51" w:rsidP="00401C67">
            <w:pPr>
              <w:widowControl w:val="0"/>
              <w:autoSpaceDE w:val="0"/>
              <w:autoSpaceDN w:val="0"/>
              <w:adjustRightInd w:val="0"/>
              <w:jc w:val="center"/>
            </w:pPr>
            <w:r w:rsidRPr="00037AD4">
              <w:t>Model 2</w:t>
            </w:r>
          </w:p>
        </w:tc>
        <w:tc>
          <w:tcPr>
            <w:tcW w:w="570" w:type="pct"/>
            <w:tcBorders>
              <w:top w:val="nil"/>
              <w:left w:val="nil"/>
              <w:bottom w:val="single" w:sz="6" w:space="0" w:color="auto"/>
              <w:right w:val="nil"/>
            </w:tcBorders>
          </w:tcPr>
          <w:p w14:paraId="79058ADC" w14:textId="77777777" w:rsidR="00B54D51" w:rsidRPr="00037AD4" w:rsidRDefault="00B54D51" w:rsidP="00401C67">
            <w:pPr>
              <w:widowControl w:val="0"/>
              <w:autoSpaceDE w:val="0"/>
              <w:autoSpaceDN w:val="0"/>
              <w:adjustRightInd w:val="0"/>
              <w:jc w:val="center"/>
            </w:pPr>
            <w:r w:rsidRPr="00037AD4">
              <w:t>Model 3</w:t>
            </w:r>
          </w:p>
        </w:tc>
        <w:tc>
          <w:tcPr>
            <w:tcW w:w="570" w:type="pct"/>
            <w:tcBorders>
              <w:top w:val="nil"/>
              <w:left w:val="nil"/>
              <w:bottom w:val="single" w:sz="6" w:space="0" w:color="auto"/>
              <w:right w:val="nil"/>
            </w:tcBorders>
          </w:tcPr>
          <w:p w14:paraId="64AD236A" w14:textId="77777777" w:rsidR="00B54D51" w:rsidRPr="00037AD4" w:rsidRDefault="00B54D51" w:rsidP="00401C67">
            <w:pPr>
              <w:widowControl w:val="0"/>
              <w:autoSpaceDE w:val="0"/>
              <w:autoSpaceDN w:val="0"/>
              <w:adjustRightInd w:val="0"/>
              <w:jc w:val="center"/>
            </w:pPr>
            <w:r w:rsidRPr="00037AD4">
              <w:t>Model 4</w:t>
            </w:r>
          </w:p>
        </w:tc>
        <w:tc>
          <w:tcPr>
            <w:tcW w:w="570" w:type="pct"/>
            <w:tcBorders>
              <w:top w:val="nil"/>
              <w:left w:val="nil"/>
              <w:bottom w:val="single" w:sz="6" w:space="0" w:color="auto"/>
              <w:right w:val="nil"/>
            </w:tcBorders>
          </w:tcPr>
          <w:p w14:paraId="61347F55" w14:textId="77777777" w:rsidR="00B54D51" w:rsidRPr="00037AD4" w:rsidRDefault="00B54D51" w:rsidP="00401C67">
            <w:pPr>
              <w:widowControl w:val="0"/>
              <w:autoSpaceDE w:val="0"/>
              <w:autoSpaceDN w:val="0"/>
              <w:adjustRightInd w:val="0"/>
              <w:jc w:val="center"/>
            </w:pPr>
            <w:r w:rsidRPr="00037AD4">
              <w:t>Model 5</w:t>
            </w:r>
          </w:p>
        </w:tc>
        <w:tc>
          <w:tcPr>
            <w:tcW w:w="570" w:type="pct"/>
            <w:tcBorders>
              <w:top w:val="nil"/>
              <w:left w:val="nil"/>
              <w:bottom w:val="single" w:sz="6" w:space="0" w:color="auto"/>
              <w:right w:val="nil"/>
            </w:tcBorders>
          </w:tcPr>
          <w:p w14:paraId="3605DA50" w14:textId="77777777" w:rsidR="00B54D51" w:rsidRPr="00037AD4" w:rsidRDefault="00B54D51" w:rsidP="00401C67">
            <w:pPr>
              <w:widowControl w:val="0"/>
              <w:autoSpaceDE w:val="0"/>
              <w:autoSpaceDN w:val="0"/>
              <w:adjustRightInd w:val="0"/>
              <w:jc w:val="center"/>
            </w:pPr>
            <w:r w:rsidRPr="00037AD4">
              <w:t>Model 6</w:t>
            </w:r>
          </w:p>
        </w:tc>
      </w:tr>
      <w:tr w:rsidR="00B54D51" w:rsidRPr="00037AD4" w14:paraId="2093B67A" w14:textId="77777777" w:rsidTr="00401C67">
        <w:trPr>
          <w:jc w:val="center"/>
        </w:trPr>
        <w:tc>
          <w:tcPr>
            <w:tcW w:w="1577" w:type="pct"/>
            <w:tcBorders>
              <w:top w:val="nil"/>
              <w:left w:val="nil"/>
              <w:bottom w:val="nil"/>
              <w:right w:val="nil"/>
            </w:tcBorders>
          </w:tcPr>
          <w:p w14:paraId="045E24C9" w14:textId="77777777" w:rsidR="00B54D51" w:rsidRPr="00037AD4" w:rsidRDefault="00B54D51" w:rsidP="00401C67">
            <w:pPr>
              <w:widowControl w:val="0"/>
              <w:autoSpaceDE w:val="0"/>
              <w:autoSpaceDN w:val="0"/>
              <w:adjustRightInd w:val="0"/>
            </w:pPr>
          </w:p>
        </w:tc>
        <w:tc>
          <w:tcPr>
            <w:tcW w:w="570" w:type="pct"/>
            <w:tcBorders>
              <w:top w:val="nil"/>
              <w:left w:val="nil"/>
              <w:bottom w:val="nil"/>
              <w:right w:val="nil"/>
            </w:tcBorders>
          </w:tcPr>
          <w:p w14:paraId="2AB5E466"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1F07EB6F"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0DDFB4A7"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5A222E67"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6C5B070C"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7B2A4B32" w14:textId="77777777" w:rsidR="00B54D51" w:rsidRPr="00037AD4" w:rsidRDefault="00B54D51" w:rsidP="00401C67">
            <w:pPr>
              <w:widowControl w:val="0"/>
              <w:autoSpaceDE w:val="0"/>
              <w:autoSpaceDN w:val="0"/>
              <w:adjustRightInd w:val="0"/>
              <w:jc w:val="center"/>
            </w:pPr>
          </w:p>
        </w:tc>
      </w:tr>
      <w:tr w:rsidR="00B54D51" w:rsidRPr="00037AD4" w14:paraId="5AB81B6F" w14:textId="77777777" w:rsidTr="00401C67">
        <w:trPr>
          <w:jc w:val="center"/>
        </w:trPr>
        <w:tc>
          <w:tcPr>
            <w:tcW w:w="1577" w:type="pct"/>
            <w:tcBorders>
              <w:top w:val="nil"/>
              <w:left w:val="nil"/>
              <w:bottom w:val="nil"/>
              <w:right w:val="nil"/>
            </w:tcBorders>
          </w:tcPr>
          <w:p w14:paraId="5DCC1CCB" w14:textId="77777777" w:rsidR="00B54D51" w:rsidRPr="00037AD4" w:rsidRDefault="00B54D51" w:rsidP="00401C67">
            <w:pPr>
              <w:widowControl w:val="0"/>
              <w:autoSpaceDE w:val="0"/>
              <w:autoSpaceDN w:val="0"/>
              <w:adjustRightInd w:val="0"/>
            </w:pPr>
            <w:r w:rsidRPr="00037AD4">
              <w:t>2.eq2SR_</w:t>
            </w:r>
          </w:p>
        </w:tc>
        <w:tc>
          <w:tcPr>
            <w:tcW w:w="570" w:type="pct"/>
            <w:tcBorders>
              <w:top w:val="nil"/>
              <w:left w:val="nil"/>
              <w:bottom w:val="nil"/>
              <w:right w:val="nil"/>
            </w:tcBorders>
          </w:tcPr>
          <w:p w14:paraId="7A79739B" w14:textId="77777777" w:rsidR="00B54D51" w:rsidRPr="00037AD4" w:rsidRDefault="00B54D51" w:rsidP="00401C67">
            <w:pPr>
              <w:widowControl w:val="0"/>
              <w:autoSpaceDE w:val="0"/>
              <w:autoSpaceDN w:val="0"/>
              <w:adjustRightInd w:val="0"/>
              <w:jc w:val="center"/>
            </w:pPr>
            <w:r w:rsidRPr="00037AD4">
              <w:t>0.368***</w:t>
            </w:r>
          </w:p>
        </w:tc>
        <w:tc>
          <w:tcPr>
            <w:tcW w:w="570" w:type="pct"/>
            <w:tcBorders>
              <w:top w:val="nil"/>
              <w:left w:val="nil"/>
              <w:bottom w:val="nil"/>
              <w:right w:val="nil"/>
            </w:tcBorders>
          </w:tcPr>
          <w:p w14:paraId="2054F5AD" w14:textId="77777777" w:rsidR="00B54D51" w:rsidRPr="00037AD4" w:rsidRDefault="00B54D51" w:rsidP="00401C67">
            <w:pPr>
              <w:widowControl w:val="0"/>
              <w:autoSpaceDE w:val="0"/>
              <w:autoSpaceDN w:val="0"/>
              <w:adjustRightInd w:val="0"/>
              <w:jc w:val="center"/>
            </w:pPr>
            <w:r w:rsidRPr="00037AD4">
              <w:t>0.366***</w:t>
            </w:r>
          </w:p>
        </w:tc>
        <w:tc>
          <w:tcPr>
            <w:tcW w:w="570" w:type="pct"/>
            <w:tcBorders>
              <w:top w:val="nil"/>
              <w:left w:val="nil"/>
              <w:bottom w:val="nil"/>
              <w:right w:val="nil"/>
            </w:tcBorders>
          </w:tcPr>
          <w:p w14:paraId="7661A4C4" w14:textId="77777777" w:rsidR="00B54D51" w:rsidRPr="00037AD4" w:rsidRDefault="00B54D51" w:rsidP="00401C67">
            <w:pPr>
              <w:widowControl w:val="0"/>
              <w:autoSpaceDE w:val="0"/>
              <w:autoSpaceDN w:val="0"/>
              <w:adjustRightInd w:val="0"/>
              <w:jc w:val="center"/>
            </w:pPr>
            <w:r w:rsidRPr="00037AD4">
              <w:t>0.369***</w:t>
            </w:r>
          </w:p>
        </w:tc>
        <w:tc>
          <w:tcPr>
            <w:tcW w:w="570" w:type="pct"/>
            <w:tcBorders>
              <w:top w:val="nil"/>
              <w:left w:val="nil"/>
              <w:bottom w:val="nil"/>
              <w:right w:val="nil"/>
            </w:tcBorders>
          </w:tcPr>
          <w:p w14:paraId="1AFAF8E1" w14:textId="77777777" w:rsidR="00B54D51" w:rsidRPr="00037AD4" w:rsidRDefault="00B54D51" w:rsidP="00401C67">
            <w:pPr>
              <w:widowControl w:val="0"/>
              <w:autoSpaceDE w:val="0"/>
              <w:autoSpaceDN w:val="0"/>
              <w:adjustRightInd w:val="0"/>
              <w:jc w:val="center"/>
            </w:pPr>
            <w:r w:rsidRPr="00037AD4">
              <w:t>0.374***</w:t>
            </w:r>
          </w:p>
        </w:tc>
        <w:tc>
          <w:tcPr>
            <w:tcW w:w="570" w:type="pct"/>
            <w:tcBorders>
              <w:top w:val="nil"/>
              <w:left w:val="nil"/>
              <w:bottom w:val="nil"/>
              <w:right w:val="nil"/>
            </w:tcBorders>
          </w:tcPr>
          <w:p w14:paraId="292A8504" w14:textId="77777777" w:rsidR="00B54D51" w:rsidRPr="00037AD4" w:rsidRDefault="00B54D51" w:rsidP="00401C67">
            <w:pPr>
              <w:widowControl w:val="0"/>
              <w:autoSpaceDE w:val="0"/>
              <w:autoSpaceDN w:val="0"/>
              <w:adjustRightInd w:val="0"/>
              <w:jc w:val="center"/>
            </w:pPr>
            <w:r w:rsidRPr="00037AD4">
              <w:t>0.637***</w:t>
            </w:r>
          </w:p>
        </w:tc>
        <w:tc>
          <w:tcPr>
            <w:tcW w:w="570" w:type="pct"/>
            <w:tcBorders>
              <w:top w:val="nil"/>
              <w:left w:val="nil"/>
              <w:bottom w:val="nil"/>
              <w:right w:val="nil"/>
            </w:tcBorders>
          </w:tcPr>
          <w:p w14:paraId="5F3DA38C" w14:textId="77777777" w:rsidR="00B54D51" w:rsidRPr="00037AD4" w:rsidRDefault="00B54D51" w:rsidP="00401C67">
            <w:pPr>
              <w:widowControl w:val="0"/>
              <w:autoSpaceDE w:val="0"/>
              <w:autoSpaceDN w:val="0"/>
              <w:adjustRightInd w:val="0"/>
              <w:jc w:val="center"/>
            </w:pPr>
            <w:r w:rsidRPr="00037AD4">
              <w:t>0.447***</w:t>
            </w:r>
          </w:p>
        </w:tc>
      </w:tr>
      <w:tr w:rsidR="00B54D51" w:rsidRPr="00037AD4" w14:paraId="0018A98C" w14:textId="77777777" w:rsidTr="00401C67">
        <w:trPr>
          <w:jc w:val="center"/>
        </w:trPr>
        <w:tc>
          <w:tcPr>
            <w:tcW w:w="1577" w:type="pct"/>
            <w:tcBorders>
              <w:top w:val="nil"/>
              <w:left w:val="nil"/>
              <w:bottom w:val="nil"/>
              <w:right w:val="nil"/>
            </w:tcBorders>
          </w:tcPr>
          <w:p w14:paraId="6401488A" w14:textId="77777777" w:rsidR="00B54D51" w:rsidRPr="00037AD4" w:rsidRDefault="00B54D51" w:rsidP="00401C67">
            <w:pPr>
              <w:widowControl w:val="0"/>
              <w:autoSpaceDE w:val="0"/>
              <w:autoSpaceDN w:val="0"/>
              <w:adjustRightInd w:val="0"/>
            </w:pPr>
          </w:p>
        </w:tc>
        <w:tc>
          <w:tcPr>
            <w:tcW w:w="570" w:type="pct"/>
            <w:tcBorders>
              <w:top w:val="nil"/>
              <w:left w:val="nil"/>
              <w:bottom w:val="nil"/>
              <w:right w:val="nil"/>
            </w:tcBorders>
          </w:tcPr>
          <w:p w14:paraId="2048C075" w14:textId="77777777" w:rsidR="00B54D51" w:rsidRPr="00037AD4" w:rsidRDefault="00B54D51" w:rsidP="00401C67">
            <w:pPr>
              <w:widowControl w:val="0"/>
              <w:autoSpaceDE w:val="0"/>
              <w:autoSpaceDN w:val="0"/>
              <w:adjustRightInd w:val="0"/>
              <w:jc w:val="center"/>
            </w:pPr>
            <w:r w:rsidRPr="00037AD4">
              <w:t>(0.115 - 0.620)</w:t>
            </w:r>
          </w:p>
        </w:tc>
        <w:tc>
          <w:tcPr>
            <w:tcW w:w="570" w:type="pct"/>
            <w:tcBorders>
              <w:top w:val="nil"/>
              <w:left w:val="nil"/>
              <w:bottom w:val="nil"/>
              <w:right w:val="nil"/>
            </w:tcBorders>
          </w:tcPr>
          <w:p w14:paraId="220C18AE" w14:textId="77777777" w:rsidR="00B54D51" w:rsidRPr="00037AD4" w:rsidRDefault="00B54D51" w:rsidP="00401C67">
            <w:pPr>
              <w:widowControl w:val="0"/>
              <w:autoSpaceDE w:val="0"/>
              <w:autoSpaceDN w:val="0"/>
              <w:adjustRightInd w:val="0"/>
              <w:jc w:val="center"/>
            </w:pPr>
            <w:r w:rsidRPr="00037AD4">
              <w:t>(0.137 - 0.595)</w:t>
            </w:r>
          </w:p>
        </w:tc>
        <w:tc>
          <w:tcPr>
            <w:tcW w:w="570" w:type="pct"/>
            <w:tcBorders>
              <w:top w:val="nil"/>
              <w:left w:val="nil"/>
              <w:bottom w:val="nil"/>
              <w:right w:val="nil"/>
            </w:tcBorders>
          </w:tcPr>
          <w:p w14:paraId="451B8C53" w14:textId="77777777" w:rsidR="00B54D51" w:rsidRPr="00037AD4" w:rsidRDefault="00B54D51" w:rsidP="00401C67">
            <w:pPr>
              <w:widowControl w:val="0"/>
              <w:autoSpaceDE w:val="0"/>
              <w:autoSpaceDN w:val="0"/>
              <w:adjustRightInd w:val="0"/>
              <w:jc w:val="center"/>
            </w:pPr>
            <w:r w:rsidRPr="00037AD4">
              <w:t>(0.137 - 0.601)</w:t>
            </w:r>
          </w:p>
        </w:tc>
        <w:tc>
          <w:tcPr>
            <w:tcW w:w="570" w:type="pct"/>
            <w:tcBorders>
              <w:top w:val="nil"/>
              <w:left w:val="nil"/>
              <w:bottom w:val="nil"/>
              <w:right w:val="nil"/>
            </w:tcBorders>
          </w:tcPr>
          <w:p w14:paraId="4CE32012" w14:textId="77777777" w:rsidR="00B54D51" w:rsidRPr="00037AD4" w:rsidRDefault="00B54D51" w:rsidP="00401C67">
            <w:pPr>
              <w:widowControl w:val="0"/>
              <w:autoSpaceDE w:val="0"/>
              <w:autoSpaceDN w:val="0"/>
              <w:adjustRightInd w:val="0"/>
              <w:jc w:val="center"/>
            </w:pPr>
            <w:r w:rsidRPr="00037AD4">
              <w:t>(0.138 - 0.610)</w:t>
            </w:r>
          </w:p>
        </w:tc>
        <w:tc>
          <w:tcPr>
            <w:tcW w:w="570" w:type="pct"/>
            <w:tcBorders>
              <w:top w:val="nil"/>
              <w:left w:val="nil"/>
              <w:bottom w:val="nil"/>
              <w:right w:val="nil"/>
            </w:tcBorders>
          </w:tcPr>
          <w:p w14:paraId="40523D2A" w14:textId="77777777" w:rsidR="00B54D51" w:rsidRPr="00037AD4" w:rsidRDefault="00B54D51" w:rsidP="00401C67">
            <w:pPr>
              <w:widowControl w:val="0"/>
              <w:autoSpaceDE w:val="0"/>
              <w:autoSpaceDN w:val="0"/>
              <w:adjustRightInd w:val="0"/>
              <w:jc w:val="center"/>
            </w:pPr>
            <w:r w:rsidRPr="00037AD4">
              <w:t>(0.404 - 0.870)</w:t>
            </w:r>
          </w:p>
        </w:tc>
        <w:tc>
          <w:tcPr>
            <w:tcW w:w="570" w:type="pct"/>
            <w:tcBorders>
              <w:top w:val="nil"/>
              <w:left w:val="nil"/>
              <w:bottom w:val="nil"/>
              <w:right w:val="nil"/>
            </w:tcBorders>
          </w:tcPr>
          <w:p w14:paraId="2E0139F1" w14:textId="77777777" w:rsidR="00B54D51" w:rsidRPr="00037AD4" w:rsidRDefault="00B54D51" w:rsidP="00401C67">
            <w:pPr>
              <w:widowControl w:val="0"/>
              <w:autoSpaceDE w:val="0"/>
              <w:autoSpaceDN w:val="0"/>
              <w:adjustRightInd w:val="0"/>
              <w:jc w:val="center"/>
            </w:pPr>
            <w:r w:rsidRPr="00037AD4">
              <w:t>(0.228 - 0.666)</w:t>
            </w:r>
          </w:p>
        </w:tc>
      </w:tr>
      <w:tr w:rsidR="00B54D51" w:rsidRPr="00037AD4" w14:paraId="34B103F8" w14:textId="77777777" w:rsidTr="00401C67">
        <w:trPr>
          <w:jc w:val="center"/>
        </w:trPr>
        <w:tc>
          <w:tcPr>
            <w:tcW w:w="1577" w:type="pct"/>
            <w:tcBorders>
              <w:top w:val="nil"/>
              <w:left w:val="nil"/>
              <w:bottom w:val="nil"/>
              <w:right w:val="nil"/>
            </w:tcBorders>
          </w:tcPr>
          <w:p w14:paraId="4D2D0EEA" w14:textId="77777777" w:rsidR="00B54D51" w:rsidRPr="00037AD4" w:rsidRDefault="00B54D51" w:rsidP="00401C67">
            <w:pPr>
              <w:widowControl w:val="0"/>
              <w:autoSpaceDE w:val="0"/>
              <w:autoSpaceDN w:val="0"/>
              <w:adjustRightInd w:val="0"/>
            </w:pPr>
            <w:r w:rsidRPr="00037AD4">
              <w:t>3.eq2SR_</w:t>
            </w:r>
          </w:p>
        </w:tc>
        <w:tc>
          <w:tcPr>
            <w:tcW w:w="570" w:type="pct"/>
            <w:tcBorders>
              <w:top w:val="nil"/>
              <w:left w:val="nil"/>
              <w:bottom w:val="nil"/>
              <w:right w:val="nil"/>
            </w:tcBorders>
          </w:tcPr>
          <w:p w14:paraId="54A2038B" w14:textId="77777777" w:rsidR="00B54D51" w:rsidRPr="00037AD4" w:rsidRDefault="00B54D51" w:rsidP="00401C67">
            <w:pPr>
              <w:widowControl w:val="0"/>
              <w:autoSpaceDE w:val="0"/>
              <w:autoSpaceDN w:val="0"/>
              <w:adjustRightInd w:val="0"/>
              <w:jc w:val="center"/>
            </w:pPr>
            <w:r w:rsidRPr="00037AD4">
              <w:t>0.228</w:t>
            </w:r>
          </w:p>
        </w:tc>
        <w:tc>
          <w:tcPr>
            <w:tcW w:w="570" w:type="pct"/>
            <w:tcBorders>
              <w:top w:val="nil"/>
              <w:left w:val="nil"/>
              <w:bottom w:val="nil"/>
              <w:right w:val="nil"/>
            </w:tcBorders>
          </w:tcPr>
          <w:p w14:paraId="666EDF7C" w14:textId="77777777" w:rsidR="00B54D51" w:rsidRPr="00037AD4" w:rsidRDefault="00B54D51" w:rsidP="00401C67">
            <w:pPr>
              <w:widowControl w:val="0"/>
              <w:autoSpaceDE w:val="0"/>
              <w:autoSpaceDN w:val="0"/>
              <w:adjustRightInd w:val="0"/>
              <w:jc w:val="center"/>
            </w:pPr>
            <w:r w:rsidRPr="00037AD4">
              <w:t>0.344**</w:t>
            </w:r>
          </w:p>
        </w:tc>
        <w:tc>
          <w:tcPr>
            <w:tcW w:w="570" w:type="pct"/>
            <w:tcBorders>
              <w:top w:val="nil"/>
              <w:left w:val="nil"/>
              <w:bottom w:val="nil"/>
              <w:right w:val="nil"/>
            </w:tcBorders>
          </w:tcPr>
          <w:p w14:paraId="468078C7" w14:textId="77777777" w:rsidR="00B54D51" w:rsidRPr="00037AD4" w:rsidRDefault="00B54D51" w:rsidP="00401C67">
            <w:pPr>
              <w:widowControl w:val="0"/>
              <w:autoSpaceDE w:val="0"/>
              <w:autoSpaceDN w:val="0"/>
              <w:adjustRightInd w:val="0"/>
              <w:jc w:val="center"/>
            </w:pPr>
            <w:r w:rsidRPr="00037AD4">
              <w:t>0.331**</w:t>
            </w:r>
          </w:p>
        </w:tc>
        <w:tc>
          <w:tcPr>
            <w:tcW w:w="570" w:type="pct"/>
            <w:tcBorders>
              <w:top w:val="nil"/>
              <w:left w:val="nil"/>
              <w:bottom w:val="nil"/>
              <w:right w:val="nil"/>
            </w:tcBorders>
          </w:tcPr>
          <w:p w14:paraId="49A6573D" w14:textId="77777777" w:rsidR="00B54D51" w:rsidRPr="00037AD4" w:rsidRDefault="00B54D51" w:rsidP="00401C67">
            <w:pPr>
              <w:widowControl w:val="0"/>
              <w:autoSpaceDE w:val="0"/>
              <w:autoSpaceDN w:val="0"/>
              <w:adjustRightInd w:val="0"/>
              <w:jc w:val="center"/>
            </w:pPr>
            <w:r w:rsidRPr="00037AD4">
              <w:t>0.328**</w:t>
            </w:r>
          </w:p>
        </w:tc>
        <w:tc>
          <w:tcPr>
            <w:tcW w:w="570" w:type="pct"/>
            <w:tcBorders>
              <w:top w:val="nil"/>
              <w:left w:val="nil"/>
              <w:bottom w:val="nil"/>
              <w:right w:val="nil"/>
            </w:tcBorders>
          </w:tcPr>
          <w:p w14:paraId="0D6D9D0C" w14:textId="77777777" w:rsidR="00B54D51" w:rsidRPr="00037AD4" w:rsidRDefault="00B54D51" w:rsidP="00401C67">
            <w:pPr>
              <w:widowControl w:val="0"/>
              <w:autoSpaceDE w:val="0"/>
              <w:autoSpaceDN w:val="0"/>
              <w:adjustRightInd w:val="0"/>
              <w:jc w:val="center"/>
            </w:pPr>
            <w:r w:rsidRPr="00037AD4">
              <w:t>0.929***</w:t>
            </w:r>
          </w:p>
        </w:tc>
        <w:tc>
          <w:tcPr>
            <w:tcW w:w="570" w:type="pct"/>
            <w:tcBorders>
              <w:top w:val="nil"/>
              <w:left w:val="nil"/>
              <w:bottom w:val="nil"/>
              <w:right w:val="nil"/>
            </w:tcBorders>
          </w:tcPr>
          <w:p w14:paraId="412E9FB0" w14:textId="77777777" w:rsidR="00B54D51" w:rsidRPr="00037AD4" w:rsidRDefault="00B54D51" w:rsidP="00401C67">
            <w:pPr>
              <w:widowControl w:val="0"/>
              <w:autoSpaceDE w:val="0"/>
              <w:autoSpaceDN w:val="0"/>
              <w:adjustRightInd w:val="0"/>
              <w:jc w:val="center"/>
            </w:pPr>
            <w:r w:rsidRPr="00037AD4">
              <w:t>0.389***</w:t>
            </w:r>
          </w:p>
        </w:tc>
      </w:tr>
      <w:tr w:rsidR="00B54D51" w:rsidRPr="00037AD4" w14:paraId="6033A5F3" w14:textId="77777777" w:rsidTr="00401C67">
        <w:trPr>
          <w:jc w:val="center"/>
        </w:trPr>
        <w:tc>
          <w:tcPr>
            <w:tcW w:w="1577" w:type="pct"/>
            <w:tcBorders>
              <w:top w:val="nil"/>
              <w:left w:val="nil"/>
              <w:bottom w:val="nil"/>
              <w:right w:val="nil"/>
            </w:tcBorders>
          </w:tcPr>
          <w:p w14:paraId="05F2238E" w14:textId="77777777" w:rsidR="00B54D51" w:rsidRPr="00037AD4" w:rsidRDefault="00B54D51" w:rsidP="00401C67">
            <w:pPr>
              <w:widowControl w:val="0"/>
              <w:autoSpaceDE w:val="0"/>
              <w:autoSpaceDN w:val="0"/>
              <w:adjustRightInd w:val="0"/>
            </w:pPr>
          </w:p>
        </w:tc>
        <w:tc>
          <w:tcPr>
            <w:tcW w:w="570" w:type="pct"/>
            <w:tcBorders>
              <w:top w:val="nil"/>
              <w:left w:val="nil"/>
              <w:bottom w:val="nil"/>
              <w:right w:val="nil"/>
            </w:tcBorders>
          </w:tcPr>
          <w:p w14:paraId="354AA5A0" w14:textId="77777777" w:rsidR="00B54D51" w:rsidRPr="00037AD4" w:rsidRDefault="00B54D51" w:rsidP="00401C67">
            <w:pPr>
              <w:widowControl w:val="0"/>
              <w:autoSpaceDE w:val="0"/>
              <w:autoSpaceDN w:val="0"/>
              <w:adjustRightInd w:val="0"/>
              <w:jc w:val="center"/>
            </w:pPr>
            <w:r w:rsidRPr="00037AD4">
              <w:t>(-0.080 - 0.536)</w:t>
            </w:r>
          </w:p>
        </w:tc>
        <w:tc>
          <w:tcPr>
            <w:tcW w:w="570" w:type="pct"/>
            <w:tcBorders>
              <w:top w:val="nil"/>
              <w:left w:val="nil"/>
              <w:bottom w:val="nil"/>
              <w:right w:val="nil"/>
            </w:tcBorders>
          </w:tcPr>
          <w:p w14:paraId="0BC0B6F5" w14:textId="77777777" w:rsidR="00B54D51" w:rsidRPr="00037AD4" w:rsidRDefault="00B54D51" w:rsidP="00401C67">
            <w:pPr>
              <w:widowControl w:val="0"/>
              <w:autoSpaceDE w:val="0"/>
              <w:autoSpaceDN w:val="0"/>
              <w:adjustRightInd w:val="0"/>
              <w:jc w:val="center"/>
            </w:pPr>
            <w:r w:rsidRPr="00037AD4">
              <w:t>(0.061 - 0.626)</w:t>
            </w:r>
          </w:p>
        </w:tc>
        <w:tc>
          <w:tcPr>
            <w:tcW w:w="570" w:type="pct"/>
            <w:tcBorders>
              <w:top w:val="nil"/>
              <w:left w:val="nil"/>
              <w:bottom w:val="nil"/>
              <w:right w:val="nil"/>
            </w:tcBorders>
          </w:tcPr>
          <w:p w14:paraId="7B378195" w14:textId="77777777" w:rsidR="00B54D51" w:rsidRPr="00037AD4" w:rsidRDefault="00B54D51" w:rsidP="00401C67">
            <w:pPr>
              <w:widowControl w:val="0"/>
              <w:autoSpaceDE w:val="0"/>
              <w:autoSpaceDN w:val="0"/>
              <w:adjustRightInd w:val="0"/>
              <w:jc w:val="center"/>
            </w:pPr>
            <w:r w:rsidRPr="00037AD4">
              <w:t>(0.047 - 0.616)</w:t>
            </w:r>
          </w:p>
        </w:tc>
        <w:tc>
          <w:tcPr>
            <w:tcW w:w="570" w:type="pct"/>
            <w:tcBorders>
              <w:top w:val="nil"/>
              <w:left w:val="nil"/>
              <w:bottom w:val="nil"/>
              <w:right w:val="nil"/>
            </w:tcBorders>
          </w:tcPr>
          <w:p w14:paraId="1B733442" w14:textId="77777777" w:rsidR="00B54D51" w:rsidRPr="00037AD4" w:rsidRDefault="00B54D51" w:rsidP="00401C67">
            <w:pPr>
              <w:widowControl w:val="0"/>
              <w:autoSpaceDE w:val="0"/>
              <w:autoSpaceDN w:val="0"/>
              <w:adjustRightInd w:val="0"/>
              <w:jc w:val="center"/>
            </w:pPr>
            <w:r w:rsidRPr="00037AD4">
              <w:t>(0.056 - 0.599)</w:t>
            </w:r>
          </w:p>
        </w:tc>
        <w:tc>
          <w:tcPr>
            <w:tcW w:w="570" w:type="pct"/>
            <w:tcBorders>
              <w:top w:val="nil"/>
              <w:left w:val="nil"/>
              <w:bottom w:val="nil"/>
              <w:right w:val="nil"/>
            </w:tcBorders>
          </w:tcPr>
          <w:p w14:paraId="2DA876A9" w14:textId="77777777" w:rsidR="00B54D51" w:rsidRPr="00037AD4" w:rsidRDefault="00B54D51" w:rsidP="00401C67">
            <w:pPr>
              <w:widowControl w:val="0"/>
              <w:autoSpaceDE w:val="0"/>
              <w:autoSpaceDN w:val="0"/>
              <w:adjustRightInd w:val="0"/>
              <w:jc w:val="center"/>
            </w:pPr>
            <w:r w:rsidRPr="00037AD4">
              <w:t>(0.664 - 1.193)</w:t>
            </w:r>
          </w:p>
        </w:tc>
        <w:tc>
          <w:tcPr>
            <w:tcW w:w="570" w:type="pct"/>
            <w:tcBorders>
              <w:top w:val="nil"/>
              <w:left w:val="nil"/>
              <w:bottom w:val="nil"/>
              <w:right w:val="nil"/>
            </w:tcBorders>
          </w:tcPr>
          <w:p w14:paraId="32DCEB17" w14:textId="77777777" w:rsidR="00B54D51" w:rsidRPr="00037AD4" w:rsidRDefault="00B54D51" w:rsidP="00401C67">
            <w:pPr>
              <w:widowControl w:val="0"/>
              <w:autoSpaceDE w:val="0"/>
              <w:autoSpaceDN w:val="0"/>
              <w:adjustRightInd w:val="0"/>
              <w:jc w:val="center"/>
            </w:pPr>
            <w:r w:rsidRPr="00037AD4">
              <w:t>(0.140 - 0.638)</w:t>
            </w:r>
          </w:p>
        </w:tc>
      </w:tr>
      <w:tr w:rsidR="00B54D51" w:rsidRPr="00037AD4" w14:paraId="6FF6C905" w14:textId="77777777" w:rsidTr="00401C67">
        <w:trPr>
          <w:jc w:val="center"/>
        </w:trPr>
        <w:tc>
          <w:tcPr>
            <w:tcW w:w="1577" w:type="pct"/>
            <w:tcBorders>
              <w:top w:val="nil"/>
              <w:left w:val="nil"/>
              <w:bottom w:val="nil"/>
              <w:right w:val="nil"/>
            </w:tcBorders>
          </w:tcPr>
          <w:p w14:paraId="387237E4" w14:textId="77777777" w:rsidR="00B54D51" w:rsidRPr="00037AD4" w:rsidRDefault="00B54D51" w:rsidP="00401C67">
            <w:pPr>
              <w:widowControl w:val="0"/>
              <w:autoSpaceDE w:val="0"/>
              <w:autoSpaceDN w:val="0"/>
              <w:adjustRightInd w:val="0"/>
            </w:pPr>
            <w:r w:rsidRPr="00037AD4">
              <w:t>4.eq2SR_</w:t>
            </w:r>
          </w:p>
        </w:tc>
        <w:tc>
          <w:tcPr>
            <w:tcW w:w="570" w:type="pct"/>
            <w:tcBorders>
              <w:top w:val="nil"/>
              <w:left w:val="nil"/>
              <w:bottom w:val="nil"/>
              <w:right w:val="nil"/>
            </w:tcBorders>
          </w:tcPr>
          <w:p w14:paraId="10D6ECCA" w14:textId="77777777" w:rsidR="00B54D51" w:rsidRPr="00037AD4" w:rsidRDefault="00B54D51" w:rsidP="00401C67">
            <w:pPr>
              <w:widowControl w:val="0"/>
              <w:autoSpaceDE w:val="0"/>
              <w:autoSpaceDN w:val="0"/>
              <w:adjustRightInd w:val="0"/>
              <w:jc w:val="center"/>
            </w:pPr>
            <w:r w:rsidRPr="00037AD4">
              <w:t>1.286***</w:t>
            </w:r>
          </w:p>
        </w:tc>
        <w:tc>
          <w:tcPr>
            <w:tcW w:w="570" w:type="pct"/>
            <w:tcBorders>
              <w:top w:val="nil"/>
              <w:left w:val="nil"/>
              <w:bottom w:val="nil"/>
              <w:right w:val="nil"/>
            </w:tcBorders>
          </w:tcPr>
          <w:p w14:paraId="2046B563" w14:textId="77777777" w:rsidR="00B54D51" w:rsidRPr="00037AD4" w:rsidRDefault="00B54D51" w:rsidP="00401C67">
            <w:pPr>
              <w:widowControl w:val="0"/>
              <w:autoSpaceDE w:val="0"/>
              <w:autoSpaceDN w:val="0"/>
              <w:adjustRightInd w:val="0"/>
              <w:jc w:val="center"/>
            </w:pPr>
            <w:r w:rsidRPr="00037AD4">
              <w:t>1.205***</w:t>
            </w:r>
          </w:p>
        </w:tc>
        <w:tc>
          <w:tcPr>
            <w:tcW w:w="570" w:type="pct"/>
            <w:tcBorders>
              <w:top w:val="nil"/>
              <w:left w:val="nil"/>
              <w:bottom w:val="nil"/>
              <w:right w:val="nil"/>
            </w:tcBorders>
          </w:tcPr>
          <w:p w14:paraId="53A94CB0" w14:textId="77777777" w:rsidR="00B54D51" w:rsidRPr="00037AD4" w:rsidRDefault="00B54D51" w:rsidP="00401C67">
            <w:pPr>
              <w:widowControl w:val="0"/>
              <w:autoSpaceDE w:val="0"/>
              <w:autoSpaceDN w:val="0"/>
              <w:adjustRightInd w:val="0"/>
              <w:jc w:val="center"/>
            </w:pPr>
            <w:r w:rsidRPr="00037AD4">
              <w:t>1.198***</w:t>
            </w:r>
          </w:p>
        </w:tc>
        <w:tc>
          <w:tcPr>
            <w:tcW w:w="570" w:type="pct"/>
            <w:tcBorders>
              <w:top w:val="nil"/>
              <w:left w:val="nil"/>
              <w:bottom w:val="nil"/>
              <w:right w:val="nil"/>
            </w:tcBorders>
          </w:tcPr>
          <w:p w14:paraId="20EFDED8" w14:textId="77777777" w:rsidR="00B54D51" w:rsidRPr="00037AD4" w:rsidRDefault="00B54D51" w:rsidP="00401C67">
            <w:pPr>
              <w:widowControl w:val="0"/>
              <w:autoSpaceDE w:val="0"/>
              <w:autoSpaceDN w:val="0"/>
              <w:adjustRightInd w:val="0"/>
              <w:jc w:val="center"/>
            </w:pPr>
            <w:r w:rsidRPr="00037AD4">
              <w:t>1.242***</w:t>
            </w:r>
          </w:p>
        </w:tc>
        <w:tc>
          <w:tcPr>
            <w:tcW w:w="570" w:type="pct"/>
            <w:tcBorders>
              <w:top w:val="nil"/>
              <w:left w:val="nil"/>
              <w:bottom w:val="nil"/>
              <w:right w:val="nil"/>
            </w:tcBorders>
          </w:tcPr>
          <w:p w14:paraId="2D44D551" w14:textId="77777777" w:rsidR="00B54D51" w:rsidRPr="00037AD4" w:rsidRDefault="00B54D51" w:rsidP="00401C67">
            <w:pPr>
              <w:widowControl w:val="0"/>
              <w:autoSpaceDE w:val="0"/>
              <w:autoSpaceDN w:val="0"/>
              <w:adjustRightInd w:val="0"/>
              <w:jc w:val="center"/>
            </w:pPr>
            <w:r w:rsidRPr="00037AD4">
              <w:t>1.653***</w:t>
            </w:r>
          </w:p>
        </w:tc>
        <w:tc>
          <w:tcPr>
            <w:tcW w:w="570" w:type="pct"/>
            <w:tcBorders>
              <w:top w:val="nil"/>
              <w:left w:val="nil"/>
              <w:bottom w:val="nil"/>
              <w:right w:val="nil"/>
            </w:tcBorders>
          </w:tcPr>
          <w:p w14:paraId="44B85DE4" w14:textId="77777777" w:rsidR="00B54D51" w:rsidRPr="00037AD4" w:rsidRDefault="00B54D51" w:rsidP="00401C67">
            <w:pPr>
              <w:widowControl w:val="0"/>
              <w:autoSpaceDE w:val="0"/>
              <w:autoSpaceDN w:val="0"/>
              <w:adjustRightInd w:val="0"/>
              <w:jc w:val="center"/>
            </w:pPr>
            <w:r w:rsidRPr="00037AD4">
              <w:t>1.273***</w:t>
            </w:r>
          </w:p>
        </w:tc>
      </w:tr>
      <w:tr w:rsidR="00B54D51" w:rsidRPr="00037AD4" w14:paraId="64C09D72" w14:textId="77777777" w:rsidTr="00401C67">
        <w:trPr>
          <w:jc w:val="center"/>
        </w:trPr>
        <w:tc>
          <w:tcPr>
            <w:tcW w:w="1577" w:type="pct"/>
            <w:tcBorders>
              <w:top w:val="nil"/>
              <w:left w:val="nil"/>
              <w:bottom w:val="nil"/>
              <w:right w:val="nil"/>
            </w:tcBorders>
          </w:tcPr>
          <w:p w14:paraId="698AB2CF" w14:textId="77777777" w:rsidR="00B54D51" w:rsidRPr="00037AD4" w:rsidRDefault="00B54D51" w:rsidP="00401C67">
            <w:pPr>
              <w:widowControl w:val="0"/>
              <w:autoSpaceDE w:val="0"/>
              <w:autoSpaceDN w:val="0"/>
              <w:adjustRightInd w:val="0"/>
            </w:pPr>
          </w:p>
        </w:tc>
        <w:tc>
          <w:tcPr>
            <w:tcW w:w="570" w:type="pct"/>
            <w:tcBorders>
              <w:top w:val="nil"/>
              <w:left w:val="nil"/>
              <w:bottom w:val="nil"/>
              <w:right w:val="nil"/>
            </w:tcBorders>
          </w:tcPr>
          <w:p w14:paraId="08FAA1EB" w14:textId="77777777" w:rsidR="00B54D51" w:rsidRPr="00037AD4" w:rsidRDefault="00B54D51" w:rsidP="00401C67">
            <w:pPr>
              <w:widowControl w:val="0"/>
              <w:autoSpaceDE w:val="0"/>
              <w:autoSpaceDN w:val="0"/>
              <w:adjustRightInd w:val="0"/>
              <w:jc w:val="center"/>
            </w:pPr>
            <w:r w:rsidRPr="00037AD4">
              <w:t>(0.404 - 2.168)</w:t>
            </w:r>
          </w:p>
        </w:tc>
        <w:tc>
          <w:tcPr>
            <w:tcW w:w="570" w:type="pct"/>
            <w:tcBorders>
              <w:top w:val="nil"/>
              <w:left w:val="nil"/>
              <w:bottom w:val="nil"/>
              <w:right w:val="nil"/>
            </w:tcBorders>
          </w:tcPr>
          <w:p w14:paraId="12226B5F" w14:textId="77777777" w:rsidR="00B54D51" w:rsidRPr="00037AD4" w:rsidRDefault="00B54D51" w:rsidP="00401C67">
            <w:pPr>
              <w:widowControl w:val="0"/>
              <w:autoSpaceDE w:val="0"/>
              <w:autoSpaceDN w:val="0"/>
              <w:adjustRightInd w:val="0"/>
              <w:jc w:val="center"/>
            </w:pPr>
            <w:r w:rsidRPr="00037AD4">
              <w:t>(0.445 - 1.964)</w:t>
            </w:r>
          </w:p>
        </w:tc>
        <w:tc>
          <w:tcPr>
            <w:tcW w:w="570" w:type="pct"/>
            <w:tcBorders>
              <w:top w:val="nil"/>
              <w:left w:val="nil"/>
              <w:bottom w:val="nil"/>
              <w:right w:val="nil"/>
            </w:tcBorders>
          </w:tcPr>
          <w:p w14:paraId="4D7DDB6D" w14:textId="77777777" w:rsidR="00B54D51" w:rsidRPr="00037AD4" w:rsidRDefault="00B54D51" w:rsidP="00401C67">
            <w:pPr>
              <w:widowControl w:val="0"/>
              <w:autoSpaceDE w:val="0"/>
              <w:autoSpaceDN w:val="0"/>
              <w:adjustRightInd w:val="0"/>
              <w:jc w:val="center"/>
            </w:pPr>
            <w:r w:rsidRPr="00037AD4">
              <w:t>(0.444 - 1.952)</w:t>
            </w:r>
          </w:p>
        </w:tc>
        <w:tc>
          <w:tcPr>
            <w:tcW w:w="570" w:type="pct"/>
            <w:tcBorders>
              <w:top w:val="nil"/>
              <w:left w:val="nil"/>
              <w:bottom w:val="nil"/>
              <w:right w:val="nil"/>
            </w:tcBorders>
          </w:tcPr>
          <w:p w14:paraId="7057BC1C" w14:textId="77777777" w:rsidR="00B54D51" w:rsidRPr="00037AD4" w:rsidRDefault="00B54D51" w:rsidP="00401C67">
            <w:pPr>
              <w:widowControl w:val="0"/>
              <w:autoSpaceDE w:val="0"/>
              <w:autoSpaceDN w:val="0"/>
              <w:adjustRightInd w:val="0"/>
              <w:jc w:val="center"/>
            </w:pPr>
            <w:r w:rsidRPr="00037AD4">
              <w:t>(0.575 - 1.910)</w:t>
            </w:r>
          </w:p>
        </w:tc>
        <w:tc>
          <w:tcPr>
            <w:tcW w:w="570" w:type="pct"/>
            <w:tcBorders>
              <w:top w:val="nil"/>
              <w:left w:val="nil"/>
              <w:bottom w:val="nil"/>
              <w:right w:val="nil"/>
            </w:tcBorders>
          </w:tcPr>
          <w:p w14:paraId="70D8845E" w14:textId="77777777" w:rsidR="00B54D51" w:rsidRPr="00037AD4" w:rsidRDefault="00B54D51" w:rsidP="00401C67">
            <w:pPr>
              <w:widowControl w:val="0"/>
              <w:autoSpaceDE w:val="0"/>
              <w:autoSpaceDN w:val="0"/>
              <w:adjustRightInd w:val="0"/>
              <w:jc w:val="center"/>
            </w:pPr>
            <w:r w:rsidRPr="00037AD4">
              <w:t>(0.922 - 2.384)</w:t>
            </w:r>
          </w:p>
        </w:tc>
        <w:tc>
          <w:tcPr>
            <w:tcW w:w="570" w:type="pct"/>
            <w:tcBorders>
              <w:top w:val="nil"/>
              <w:left w:val="nil"/>
              <w:bottom w:val="nil"/>
              <w:right w:val="nil"/>
            </w:tcBorders>
          </w:tcPr>
          <w:p w14:paraId="3D5AF047" w14:textId="77777777" w:rsidR="00B54D51" w:rsidRPr="00037AD4" w:rsidRDefault="00B54D51" w:rsidP="00401C67">
            <w:pPr>
              <w:widowControl w:val="0"/>
              <w:autoSpaceDE w:val="0"/>
              <w:autoSpaceDN w:val="0"/>
              <w:adjustRightInd w:val="0"/>
              <w:jc w:val="center"/>
            </w:pPr>
            <w:r w:rsidRPr="00037AD4">
              <w:t>(0.694 - 1.852)</w:t>
            </w:r>
          </w:p>
        </w:tc>
      </w:tr>
      <w:tr w:rsidR="00B54D51" w:rsidRPr="00037AD4" w14:paraId="4AA8C2FA" w14:textId="77777777" w:rsidTr="00401C67">
        <w:trPr>
          <w:jc w:val="center"/>
        </w:trPr>
        <w:tc>
          <w:tcPr>
            <w:tcW w:w="1577" w:type="pct"/>
            <w:tcBorders>
              <w:top w:val="nil"/>
              <w:left w:val="nil"/>
              <w:bottom w:val="nil"/>
              <w:right w:val="nil"/>
            </w:tcBorders>
          </w:tcPr>
          <w:p w14:paraId="4C650D75" w14:textId="77777777" w:rsidR="00B54D51" w:rsidRPr="00037AD4" w:rsidRDefault="00B54D51" w:rsidP="00401C67">
            <w:pPr>
              <w:widowControl w:val="0"/>
              <w:autoSpaceDE w:val="0"/>
              <w:autoSpaceDN w:val="0"/>
              <w:adjustRightInd w:val="0"/>
            </w:pPr>
            <w:r w:rsidRPr="00037AD4">
              <w:t>5.eq2SR_</w:t>
            </w:r>
          </w:p>
        </w:tc>
        <w:tc>
          <w:tcPr>
            <w:tcW w:w="570" w:type="pct"/>
            <w:tcBorders>
              <w:top w:val="nil"/>
              <w:left w:val="nil"/>
              <w:bottom w:val="nil"/>
              <w:right w:val="nil"/>
            </w:tcBorders>
          </w:tcPr>
          <w:p w14:paraId="5BC222AF" w14:textId="77777777" w:rsidR="00B54D51" w:rsidRPr="00037AD4" w:rsidRDefault="00B54D51" w:rsidP="00401C67">
            <w:pPr>
              <w:widowControl w:val="0"/>
              <w:autoSpaceDE w:val="0"/>
              <w:autoSpaceDN w:val="0"/>
              <w:adjustRightInd w:val="0"/>
              <w:jc w:val="center"/>
            </w:pPr>
            <w:r w:rsidRPr="00037AD4">
              <w:t>0.766*</w:t>
            </w:r>
          </w:p>
        </w:tc>
        <w:tc>
          <w:tcPr>
            <w:tcW w:w="570" w:type="pct"/>
            <w:tcBorders>
              <w:top w:val="nil"/>
              <w:left w:val="nil"/>
              <w:bottom w:val="nil"/>
              <w:right w:val="nil"/>
            </w:tcBorders>
          </w:tcPr>
          <w:p w14:paraId="41B983F8" w14:textId="77777777" w:rsidR="00B54D51" w:rsidRPr="00037AD4" w:rsidRDefault="00B54D51" w:rsidP="00401C67">
            <w:pPr>
              <w:widowControl w:val="0"/>
              <w:autoSpaceDE w:val="0"/>
              <w:autoSpaceDN w:val="0"/>
              <w:adjustRightInd w:val="0"/>
              <w:jc w:val="center"/>
            </w:pPr>
            <w:r w:rsidRPr="00037AD4">
              <w:t>1.254***</w:t>
            </w:r>
          </w:p>
        </w:tc>
        <w:tc>
          <w:tcPr>
            <w:tcW w:w="570" w:type="pct"/>
            <w:tcBorders>
              <w:top w:val="nil"/>
              <w:left w:val="nil"/>
              <w:bottom w:val="nil"/>
              <w:right w:val="nil"/>
            </w:tcBorders>
          </w:tcPr>
          <w:p w14:paraId="05088642" w14:textId="77777777" w:rsidR="00B54D51" w:rsidRPr="00037AD4" w:rsidRDefault="00B54D51" w:rsidP="00401C67">
            <w:pPr>
              <w:widowControl w:val="0"/>
              <w:autoSpaceDE w:val="0"/>
              <w:autoSpaceDN w:val="0"/>
              <w:adjustRightInd w:val="0"/>
              <w:jc w:val="center"/>
            </w:pPr>
            <w:r w:rsidRPr="00037AD4">
              <w:t>1.276***</w:t>
            </w:r>
          </w:p>
        </w:tc>
        <w:tc>
          <w:tcPr>
            <w:tcW w:w="570" w:type="pct"/>
            <w:tcBorders>
              <w:top w:val="nil"/>
              <w:left w:val="nil"/>
              <w:bottom w:val="nil"/>
              <w:right w:val="nil"/>
            </w:tcBorders>
          </w:tcPr>
          <w:p w14:paraId="33133831" w14:textId="77777777" w:rsidR="00B54D51" w:rsidRPr="00037AD4" w:rsidRDefault="00B54D51" w:rsidP="00401C67">
            <w:pPr>
              <w:widowControl w:val="0"/>
              <w:autoSpaceDE w:val="0"/>
              <w:autoSpaceDN w:val="0"/>
              <w:adjustRightInd w:val="0"/>
              <w:jc w:val="center"/>
            </w:pPr>
            <w:r w:rsidRPr="00037AD4">
              <w:t>1.323***</w:t>
            </w:r>
          </w:p>
        </w:tc>
        <w:tc>
          <w:tcPr>
            <w:tcW w:w="570" w:type="pct"/>
            <w:tcBorders>
              <w:top w:val="nil"/>
              <w:left w:val="nil"/>
              <w:bottom w:val="nil"/>
              <w:right w:val="nil"/>
            </w:tcBorders>
          </w:tcPr>
          <w:p w14:paraId="035F7BB5" w14:textId="77777777" w:rsidR="00B54D51" w:rsidRPr="00037AD4" w:rsidRDefault="00B54D51" w:rsidP="00401C67">
            <w:pPr>
              <w:widowControl w:val="0"/>
              <w:autoSpaceDE w:val="0"/>
              <w:autoSpaceDN w:val="0"/>
              <w:adjustRightInd w:val="0"/>
              <w:jc w:val="center"/>
            </w:pPr>
            <w:r w:rsidRPr="00037AD4">
              <w:t>1.722***</w:t>
            </w:r>
          </w:p>
        </w:tc>
        <w:tc>
          <w:tcPr>
            <w:tcW w:w="570" w:type="pct"/>
            <w:tcBorders>
              <w:top w:val="nil"/>
              <w:left w:val="nil"/>
              <w:bottom w:val="nil"/>
              <w:right w:val="nil"/>
            </w:tcBorders>
          </w:tcPr>
          <w:p w14:paraId="0119824F" w14:textId="77777777" w:rsidR="00B54D51" w:rsidRPr="00037AD4" w:rsidRDefault="00B54D51" w:rsidP="00401C67">
            <w:pPr>
              <w:widowControl w:val="0"/>
              <w:autoSpaceDE w:val="0"/>
              <w:autoSpaceDN w:val="0"/>
              <w:adjustRightInd w:val="0"/>
              <w:jc w:val="center"/>
            </w:pPr>
            <w:r w:rsidRPr="00037AD4">
              <w:t>1.525***</w:t>
            </w:r>
          </w:p>
        </w:tc>
      </w:tr>
      <w:tr w:rsidR="00B54D51" w:rsidRPr="00037AD4" w14:paraId="77F19797" w14:textId="77777777" w:rsidTr="00401C67">
        <w:trPr>
          <w:jc w:val="center"/>
        </w:trPr>
        <w:tc>
          <w:tcPr>
            <w:tcW w:w="1577" w:type="pct"/>
            <w:tcBorders>
              <w:top w:val="nil"/>
              <w:left w:val="nil"/>
              <w:bottom w:val="nil"/>
              <w:right w:val="nil"/>
            </w:tcBorders>
          </w:tcPr>
          <w:p w14:paraId="474CC617" w14:textId="77777777" w:rsidR="00B54D51" w:rsidRPr="00037AD4" w:rsidRDefault="00B54D51" w:rsidP="00401C67">
            <w:pPr>
              <w:widowControl w:val="0"/>
              <w:autoSpaceDE w:val="0"/>
              <w:autoSpaceDN w:val="0"/>
              <w:adjustRightInd w:val="0"/>
            </w:pPr>
          </w:p>
        </w:tc>
        <w:tc>
          <w:tcPr>
            <w:tcW w:w="570" w:type="pct"/>
            <w:tcBorders>
              <w:top w:val="nil"/>
              <w:left w:val="nil"/>
              <w:bottom w:val="nil"/>
              <w:right w:val="nil"/>
            </w:tcBorders>
          </w:tcPr>
          <w:p w14:paraId="67583A6B" w14:textId="77777777" w:rsidR="00B54D51" w:rsidRPr="00037AD4" w:rsidRDefault="00B54D51" w:rsidP="00401C67">
            <w:pPr>
              <w:widowControl w:val="0"/>
              <w:autoSpaceDE w:val="0"/>
              <w:autoSpaceDN w:val="0"/>
              <w:adjustRightInd w:val="0"/>
              <w:jc w:val="center"/>
            </w:pPr>
            <w:r w:rsidRPr="00037AD4">
              <w:t>(-0.091 - 1.622)</w:t>
            </w:r>
          </w:p>
        </w:tc>
        <w:tc>
          <w:tcPr>
            <w:tcW w:w="570" w:type="pct"/>
            <w:tcBorders>
              <w:top w:val="nil"/>
              <w:left w:val="nil"/>
              <w:bottom w:val="nil"/>
              <w:right w:val="nil"/>
            </w:tcBorders>
          </w:tcPr>
          <w:p w14:paraId="3EC60173" w14:textId="77777777" w:rsidR="00B54D51" w:rsidRPr="00037AD4" w:rsidRDefault="00B54D51" w:rsidP="00401C67">
            <w:pPr>
              <w:widowControl w:val="0"/>
              <w:autoSpaceDE w:val="0"/>
              <w:autoSpaceDN w:val="0"/>
              <w:adjustRightInd w:val="0"/>
              <w:jc w:val="center"/>
            </w:pPr>
            <w:r w:rsidRPr="00037AD4">
              <w:t>(0.343 - 2.165)</w:t>
            </w:r>
          </w:p>
        </w:tc>
        <w:tc>
          <w:tcPr>
            <w:tcW w:w="570" w:type="pct"/>
            <w:tcBorders>
              <w:top w:val="nil"/>
              <w:left w:val="nil"/>
              <w:bottom w:val="nil"/>
              <w:right w:val="nil"/>
            </w:tcBorders>
          </w:tcPr>
          <w:p w14:paraId="4D3265CE" w14:textId="77777777" w:rsidR="00B54D51" w:rsidRPr="00037AD4" w:rsidRDefault="00B54D51" w:rsidP="00401C67">
            <w:pPr>
              <w:widowControl w:val="0"/>
              <w:autoSpaceDE w:val="0"/>
              <w:autoSpaceDN w:val="0"/>
              <w:adjustRightInd w:val="0"/>
              <w:jc w:val="center"/>
            </w:pPr>
            <w:r w:rsidRPr="00037AD4">
              <w:t>(0.390 - 2.161)</w:t>
            </w:r>
          </w:p>
        </w:tc>
        <w:tc>
          <w:tcPr>
            <w:tcW w:w="570" w:type="pct"/>
            <w:tcBorders>
              <w:top w:val="nil"/>
              <w:left w:val="nil"/>
              <w:bottom w:val="nil"/>
              <w:right w:val="nil"/>
            </w:tcBorders>
          </w:tcPr>
          <w:p w14:paraId="21785F30" w14:textId="77777777" w:rsidR="00B54D51" w:rsidRPr="00037AD4" w:rsidRDefault="00B54D51" w:rsidP="00401C67">
            <w:pPr>
              <w:widowControl w:val="0"/>
              <w:autoSpaceDE w:val="0"/>
              <w:autoSpaceDN w:val="0"/>
              <w:adjustRightInd w:val="0"/>
              <w:jc w:val="center"/>
            </w:pPr>
            <w:r w:rsidRPr="00037AD4">
              <w:t>(0.452 - 2.194)</w:t>
            </w:r>
          </w:p>
        </w:tc>
        <w:tc>
          <w:tcPr>
            <w:tcW w:w="570" w:type="pct"/>
            <w:tcBorders>
              <w:top w:val="nil"/>
              <w:left w:val="nil"/>
              <w:bottom w:val="nil"/>
              <w:right w:val="nil"/>
            </w:tcBorders>
          </w:tcPr>
          <w:p w14:paraId="21E875A1" w14:textId="77777777" w:rsidR="00B54D51" w:rsidRPr="00037AD4" w:rsidRDefault="00B54D51" w:rsidP="00401C67">
            <w:pPr>
              <w:widowControl w:val="0"/>
              <w:autoSpaceDE w:val="0"/>
              <w:autoSpaceDN w:val="0"/>
              <w:adjustRightInd w:val="0"/>
              <w:jc w:val="center"/>
            </w:pPr>
            <w:r w:rsidRPr="00037AD4">
              <w:t>(0.883 - 2.561)</w:t>
            </w:r>
          </w:p>
        </w:tc>
        <w:tc>
          <w:tcPr>
            <w:tcW w:w="570" w:type="pct"/>
            <w:tcBorders>
              <w:top w:val="nil"/>
              <w:left w:val="nil"/>
              <w:bottom w:val="nil"/>
              <w:right w:val="nil"/>
            </w:tcBorders>
          </w:tcPr>
          <w:p w14:paraId="6DF55603" w14:textId="77777777" w:rsidR="00B54D51" w:rsidRPr="00037AD4" w:rsidRDefault="00B54D51" w:rsidP="00401C67">
            <w:pPr>
              <w:widowControl w:val="0"/>
              <w:autoSpaceDE w:val="0"/>
              <w:autoSpaceDN w:val="0"/>
              <w:adjustRightInd w:val="0"/>
              <w:jc w:val="center"/>
            </w:pPr>
            <w:r w:rsidRPr="00037AD4">
              <w:t>(0.763 - 2.287)</w:t>
            </w:r>
          </w:p>
        </w:tc>
      </w:tr>
      <w:tr w:rsidR="00B54D51" w:rsidRPr="00037AD4" w14:paraId="6696F6B3" w14:textId="77777777" w:rsidTr="00401C67">
        <w:trPr>
          <w:jc w:val="center"/>
        </w:trPr>
        <w:tc>
          <w:tcPr>
            <w:tcW w:w="1577" w:type="pct"/>
            <w:tcBorders>
              <w:top w:val="nil"/>
              <w:left w:val="nil"/>
              <w:bottom w:val="nil"/>
              <w:right w:val="nil"/>
            </w:tcBorders>
          </w:tcPr>
          <w:p w14:paraId="0A516848" w14:textId="77777777" w:rsidR="00B54D51" w:rsidRPr="00037AD4" w:rsidRDefault="00B54D51" w:rsidP="00401C67">
            <w:pPr>
              <w:widowControl w:val="0"/>
              <w:autoSpaceDE w:val="0"/>
              <w:autoSpaceDN w:val="0"/>
              <w:adjustRightInd w:val="0"/>
            </w:pPr>
            <w:r w:rsidRPr="00037AD4">
              <w:t>2.eq1SR_</w:t>
            </w:r>
          </w:p>
        </w:tc>
        <w:tc>
          <w:tcPr>
            <w:tcW w:w="570" w:type="pct"/>
            <w:tcBorders>
              <w:top w:val="nil"/>
              <w:left w:val="nil"/>
              <w:bottom w:val="nil"/>
              <w:right w:val="nil"/>
            </w:tcBorders>
          </w:tcPr>
          <w:p w14:paraId="701A3F56" w14:textId="77777777" w:rsidR="00B54D51" w:rsidRPr="00037AD4" w:rsidRDefault="00B54D51" w:rsidP="00401C67">
            <w:pPr>
              <w:widowControl w:val="0"/>
              <w:autoSpaceDE w:val="0"/>
              <w:autoSpaceDN w:val="0"/>
              <w:adjustRightInd w:val="0"/>
              <w:jc w:val="center"/>
            </w:pPr>
            <w:r w:rsidRPr="00037AD4">
              <w:t>0.139</w:t>
            </w:r>
          </w:p>
        </w:tc>
        <w:tc>
          <w:tcPr>
            <w:tcW w:w="570" w:type="pct"/>
            <w:tcBorders>
              <w:top w:val="nil"/>
              <w:left w:val="nil"/>
              <w:bottom w:val="nil"/>
              <w:right w:val="nil"/>
            </w:tcBorders>
          </w:tcPr>
          <w:p w14:paraId="39FCB463"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2EA11468"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74989678"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1CD17EBE"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2BF81052" w14:textId="77777777" w:rsidR="00B54D51" w:rsidRPr="00037AD4" w:rsidRDefault="00B54D51" w:rsidP="00401C67">
            <w:pPr>
              <w:widowControl w:val="0"/>
              <w:autoSpaceDE w:val="0"/>
              <w:autoSpaceDN w:val="0"/>
              <w:adjustRightInd w:val="0"/>
              <w:jc w:val="center"/>
            </w:pPr>
          </w:p>
        </w:tc>
      </w:tr>
      <w:tr w:rsidR="00B54D51" w:rsidRPr="00037AD4" w14:paraId="6963A276" w14:textId="77777777" w:rsidTr="00401C67">
        <w:trPr>
          <w:jc w:val="center"/>
        </w:trPr>
        <w:tc>
          <w:tcPr>
            <w:tcW w:w="1577" w:type="pct"/>
            <w:tcBorders>
              <w:top w:val="nil"/>
              <w:left w:val="nil"/>
              <w:bottom w:val="nil"/>
              <w:right w:val="nil"/>
            </w:tcBorders>
          </w:tcPr>
          <w:p w14:paraId="488313DC" w14:textId="77777777" w:rsidR="00B54D51" w:rsidRPr="00037AD4" w:rsidRDefault="00B54D51" w:rsidP="00401C67">
            <w:pPr>
              <w:widowControl w:val="0"/>
              <w:autoSpaceDE w:val="0"/>
              <w:autoSpaceDN w:val="0"/>
              <w:adjustRightInd w:val="0"/>
            </w:pPr>
          </w:p>
        </w:tc>
        <w:tc>
          <w:tcPr>
            <w:tcW w:w="570" w:type="pct"/>
            <w:tcBorders>
              <w:top w:val="nil"/>
              <w:left w:val="nil"/>
              <w:bottom w:val="nil"/>
              <w:right w:val="nil"/>
            </w:tcBorders>
          </w:tcPr>
          <w:p w14:paraId="679DA8CD" w14:textId="77777777" w:rsidR="00B54D51" w:rsidRPr="00037AD4" w:rsidRDefault="00B54D51" w:rsidP="00401C67">
            <w:pPr>
              <w:widowControl w:val="0"/>
              <w:autoSpaceDE w:val="0"/>
              <w:autoSpaceDN w:val="0"/>
              <w:adjustRightInd w:val="0"/>
              <w:jc w:val="center"/>
            </w:pPr>
            <w:r w:rsidRPr="00037AD4">
              <w:t>(-0.083 - 0.361)</w:t>
            </w:r>
          </w:p>
        </w:tc>
        <w:tc>
          <w:tcPr>
            <w:tcW w:w="570" w:type="pct"/>
            <w:tcBorders>
              <w:top w:val="nil"/>
              <w:left w:val="nil"/>
              <w:bottom w:val="nil"/>
              <w:right w:val="nil"/>
            </w:tcBorders>
          </w:tcPr>
          <w:p w14:paraId="26619E0F"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09F97A46"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42D47438"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6B7B694C"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78838A75" w14:textId="77777777" w:rsidR="00B54D51" w:rsidRPr="00037AD4" w:rsidRDefault="00B54D51" w:rsidP="00401C67">
            <w:pPr>
              <w:widowControl w:val="0"/>
              <w:autoSpaceDE w:val="0"/>
              <w:autoSpaceDN w:val="0"/>
              <w:adjustRightInd w:val="0"/>
              <w:jc w:val="center"/>
            </w:pPr>
          </w:p>
        </w:tc>
      </w:tr>
      <w:tr w:rsidR="00B54D51" w:rsidRPr="00037AD4" w14:paraId="6B6C67D2" w14:textId="77777777" w:rsidTr="00401C67">
        <w:trPr>
          <w:jc w:val="center"/>
        </w:trPr>
        <w:tc>
          <w:tcPr>
            <w:tcW w:w="1577" w:type="pct"/>
            <w:tcBorders>
              <w:top w:val="nil"/>
              <w:left w:val="nil"/>
              <w:bottom w:val="nil"/>
              <w:right w:val="nil"/>
            </w:tcBorders>
          </w:tcPr>
          <w:p w14:paraId="2E5C81BA" w14:textId="77777777" w:rsidR="00B54D51" w:rsidRPr="00037AD4" w:rsidRDefault="00B54D51" w:rsidP="00401C67">
            <w:pPr>
              <w:widowControl w:val="0"/>
              <w:autoSpaceDE w:val="0"/>
              <w:autoSpaceDN w:val="0"/>
              <w:adjustRightInd w:val="0"/>
            </w:pPr>
            <w:r w:rsidRPr="00037AD4">
              <w:t>3.eq1SR_</w:t>
            </w:r>
          </w:p>
        </w:tc>
        <w:tc>
          <w:tcPr>
            <w:tcW w:w="570" w:type="pct"/>
            <w:tcBorders>
              <w:top w:val="nil"/>
              <w:left w:val="nil"/>
              <w:bottom w:val="nil"/>
              <w:right w:val="nil"/>
            </w:tcBorders>
          </w:tcPr>
          <w:p w14:paraId="2DE995E3" w14:textId="77777777" w:rsidR="00B54D51" w:rsidRPr="00037AD4" w:rsidRDefault="00B54D51" w:rsidP="00401C67">
            <w:pPr>
              <w:widowControl w:val="0"/>
              <w:autoSpaceDE w:val="0"/>
              <w:autoSpaceDN w:val="0"/>
              <w:adjustRightInd w:val="0"/>
              <w:jc w:val="center"/>
            </w:pPr>
            <w:r w:rsidRPr="00037AD4">
              <w:t>0.179</w:t>
            </w:r>
          </w:p>
        </w:tc>
        <w:tc>
          <w:tcPr>
            <w:tcW w:w="570" w:type="pct"/>
            <w:tcBorders>
              <w:top w:val="nil"/>
              <w:left w:val="nil"/>
              <w:bottom w:val="nil"/>
              <w:right w:val="nil"/>
            </w:tcBorders>
          </w:tcPr>
          <w:p w14:paraId="7527ECB8"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17B14515"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06B40263"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42CC3594"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2F304FA6" w14:textId="77777777" w:rsidR="00B54D51" w:rsidRPr="00037AD4" w:rsidRDefault="00B54D51" w:rsidP="00401C67">
            <w:pPr>
              <w:widowControl w:val="0"/>
              <w:autoSpaceDE w:val="0"/>
              <w:autoSpaceDN w:val="0"/>
              <w:adjustRightInd w:val="0"/>
              <w:jc w:val="center"/>
            </w:pPr>
          </w:p>
        </w:tc>
      </w:tr>
      <w:tr w:rsidR="00B54D51" w:rsidRPr="00037AD4" w14:paraId="22CCF568" w14:textId="77777777" w:rsidTr="00401C67">
        <w:trPr>
          <w:jc w:val="center"/>
        </w:trPr>
        <w:tc>
          <w:tcPr>
            <w:tcW w:w="1577" w:type="pct"/>
            <w:tcBorders>
              <w:top w:val="nil"/>
              <w:left w:val="nil"/>
              <w:bottom w:val="nil"/>
              <w:right w:val="nil"/>
            </w:tcBorders>
          </w:tcPr>
          <w:p w14:paraId="38D7DF4C" w14:textId="77777777" w:rsidR="00B54D51" w:rsidRPr="00037AD4" w:rsidRDefault="00B54D51" w:rsidP="00401C67">
            <w:pPr>
              <w:widowControl w:val="0"/>
              <w:autoSpaceDE w:val="0"/>
              <w:autoSpaceDN w:val="0"/>
              <w:adjustRightInd w:val="0"/>
            </w:pPr>
          </w:p>
        </w:tc>
        <w:tc>
          <w:tcPr>
            <w:tcW w:w="570" w:type="pct"/>
            <w:tcBorders>
              <w:top w:val="nil"/>
              <w:left w:val="nil"/>
              <w:bottom w:val="nil"/>
              <w:right w:val="nil"/>
            </w:tcBorders>
          </w:tcPr>
          <w:p w14:paraId="4C9E31C3" w14:textId="77777777" w:rsidR="00B54D51" w:rsidRPr="00037AD4" w:rsidRDefault="00B54D51" w:rsidP="00401C67">
            <w:pPr>
              <w:widowControl w:val="0"/>
              <w:autoSpaceDE w:val="0"/>
              <w:autoSpaceDN w:val="0"/>
              <w:adjustRightInd w:val="0"/>
              <w:jc w:val="center"/>
            </w:pPr>
            <w:r w:rsidRPr="00037AD4">
              <w:t>(-0.090 - 0.448)</w:t>
            </w:r>
          </w:p>
        </w:tc>
        <w:tc>
          <w:tcPr>
            <w:tcW w:w="570" w:type="pct"/>
            <w:tcBorders>
              <w:top w:val="nil"/>
              <w:left w:val="nil"/>
              <w:bottom w:val="nil"/>
              <w:right w:val="nil"/>
            </w:tcBorders>
          </w:tcPr>
          <w:p w14:paraId="6BE7E6CB"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3A8DFB99"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73F9EE2D"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56332D22"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045743B4" w14:textId="77777777" w:rsidR="00B54D51" w:rsidRPr="00037AD4" w:rsidRDefault="00B54D51" w:rsidP="00401C67">
            <w:pPr>
              <w:widowControl w:val="0"/>
              <w:autoSpaceDE w:val="0"/>
              <w:autoSpaceDN w:val="0"/>
              <w:adjustRightInd w:val="0"/>
              <w:jc w:val="center"/>
            </w:pPr>
          </w:p>
        </w:tc>
      </w:tr>
      <w:tr w:rsidR="00B54D51" w:rsidRPr="00037AD4" w14:paraId="28624410" w14:textId="77777777" w:rsidTr="00401C67">
        <w:trPr>
          <w:jc w:val="center"/>
        </w:trPr>
        <w:tc>
          <w:tcPr>
            <w:tcW w:w="1577" w:type="pct"/>
            <w:tcBorders>
              <w:top w:val="nil"/>
              <w:left w:val="nil"/>
              <w:bottom w:val="nil"/>
              <w:right w:val="nil"/>
            </w:tcBorders>
          </w:tcPr>
          <w:p w14:paraId="2BEF6648" w14:textId="77777777" w:rsidR="00B54D51" w:rsidRPr="00037AD4" w:rsidRDefault="00B54D51" w:rsidP="00401C67">
            <w:pPr>
              <w:widowControl w:val="0"/>
              <w:autoSpaceDE w:val="0"/>
              <w:autoSpaceDN w:val="0"/>
              <w:adjustRightInd w:val="0"/>
            </w:pPr>
            <w:r w:rsidRPr="00037AD4">
              <w:t>4.eq1SR_</w:t>
            </w:r>
          </w:p>
        </w:tc>
        <w:tc>
          <w:tcPr>
            <w:tcW w:w="570" w:type="pct"/>
            <w:tcBorders>
              <w:top w:val="nil"/>
              <w:left w:val="nil"/>
              <w:bottom w:val="nil"/>
              <w:right w:val="nil"/>
            </w:tcBorders>
          </w:tcPr>
          <w:p w14:paraId="1A33A748" w14:textId="77777777" w:rsidR="00B54D51" w:rsidRPr="00037AD4" w:rsidRDefault="00B54D51" w:rsidP="00401C67">
            <w:pPr>
              <w:widowControl w:val="0"/>
              <w:autoSpaceDE w:val="0"/>
              <w:autoSpaceDN w:val="0"/>
              <w:adjustRightInd w:val="0"/>
              <w:jc w:val="center"/>
            </w:pPr>
            <w:r w:rsidRPr="00037AD4">
              <w:t>0.501**</w:t>
            </w:r>
          </w:p>
        </w:tc>
        <w:tc>
          <w:tcPr>
            <w:tcW w:w="570" w:type="pct"/>
            <w:tcBorders>
              <w:top w:val="nil"/>
              <w:left w:val="nil"/>
              <w:bottom w:val="nil"/>
              <w:right w:val="nil"/>
            </w:tcBorders>
          </w:tcPr>
          <w:p w14:paraId="4AA547CD"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41C06AB9"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0DCB2097"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44ADEB1D"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5F21A275" w14:textId="77777777" w:rsidR="00B54D51" w:rsidRPr="00037AD4" w:rsidRDefault="00B54D51" w:rsidP="00401C67">
            <w:pPr>
              <w:widowControl w:val="0"/>
              <w:autoSpaceDE w:val="0"/>
              <w:autoSpaceDN w:val="0"/>
              <w:adjustRightInd w:val="0"/>
              <w:jc w:val="center"/>
            </w:pPr>
          </w:p>
        </w:tc>
      </w:tr>
      <w:tr w:rsidR="00B54D51" w:rsidRPr="00037AD4" w14:paraId="26B56D05" w14:textId="77777777" w:rsidTr="00401C67">
        <w:trPr>
          <w:jc w:val="center"/>
        </w:trPr>
        <w:tc>
          <w:tcPr>
            <w:tcW w:w="1577" w:type="pct"/>
            <w:tcBorders>
              <w:top w:val="nil"/>
              <w:left w:val="nil"/>
              <w:bottom w:val="nil"/>
              <w:right w:val="nil"/>
            </w:tcBorders>
          </w:tcPr>
          <w:p w14:paraId="5CD9E052" w14:textId="77777777" w:rsidR="00B54D51" w:rsidRPr="00037AD4" w:rsidRDefault="00B54D51" w:rsidP="00401C67">
            <w:pPr>
              <w:widowControl w:val="0"/>
              <w:autoSpaceDE w:val="0"/>
              <w:autoSpaceDN w:val="0"/>
              <w:adjustRightInd w:val="0"/>
            </w:pPr>
          </w:p>
        </w:tc>
        <w:tc>
          <w:tcPr>
            <w:tcW w:w="570" w:type="pct"/>
            <w:tcBorders>
              <w:top w:val="nil"/>
              <w:left w:val="nil"/>
              <w:bottom w:val="nil"/>
              <w:right w:val="nil"/>
            </w:tcBorders>
          </w:tcPr>
          <w:p w14:paraId="2D7F80B5" w14:textId="77777777" w:rsidR="00B54D51" w:rsidRPr="00037AD4" w:rsidRDefault="00B54D51" w:rsidP="00401C67">
            <w:pPr>
              <w:widowControl w:val="0"/>
              <w:autoSpaceDE w:val="0"/>
              <w:autoSpaceDN w:val="0"/>
              <w:adjustRightInd w:val="0"/>
              <w:jc w:val="center"/>
            </w:pPr>
            <w:r w:rsidRPr="00037AD4">
              <w:t>(0.014 - 0.989)</w:t>
            </w:r>
          </w:p>
        </w:tc>
        <w:tc>
          <w:tcPr>
            <w:tcW w:w="570" w:type="pct"/>
            <w:tcBorders>
              <w:top w:val="nil"/>
              <w:left w:val="nil"/>
              <w:bottom w:val="nil"/>
              <w:right w:val="nil"/>
            </w:tcBorders>
          </w:tcPr>
          <w:p w14:paraId="0F796E35"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4085A18C"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61935DD6"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6D83BCBF"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71ECDBB4" w14:textId="77777777" w:rsidR="00B54D51" w:rsidRPr="00037AD4" w:rsidRDefault="00B54D51" w:rsidP="00401C67">
            <w:pPr>
              <w:widowControl w:val="0"/>
              <w:autoSpaceDE w:val="0"/>
              <w:autoSpaceDN w:val="0"/>
              <w:adjustRightInd w:val="0"/>
              <w:jc w:val="center"/>
            </w:pPr>
          </w:p>
        </w:tc>
      </w:tr>
      <w:tr w:rsidR="00B54D51" w:rsidRPr="00037AD4" w14:paraId="1BD34358" w14:textId="77777777" w:rsidTr="00401C67">
        <w:trPr>
          <w:jc w:val="center"/>
        </w:trPr>
        <w:tc>
          <w:tcPr>
            <w:tcW w:w="1577" w:type="pct"/>
            <w:tcBorders>
              <w:top w:val="nil"/>
              <w:left w:val="nil"/>
              <w:bottom w:val="nil"/>
              <w:right w:val="nil"/>
            </w:tcBorders>
          </w:tcPr>
          <w:p w14:paraId="1924308F" w14:textId="77777777" w:rsidR="00B54D51" w:rsidRPr="00037AD4" w:rsidRDefault="00B54D51" w:rsidP="00401C67">
            <w:pPr>
              <w:widowControl w:val="0"/>
              <w:autoSpaceDE w:val="0"/>
              <w:autoSpaceDN w:val="0"/>
              <w:adjustRightInd w:val="0"/>
            </w:pPr>
            <w:r w:rsidRPr="00037AD4">
              <w:t>5.eq1SR_</w:t>
            </w:r>
          </w:p>
        </w:tc>
        <w:tc>
          <w:tcPr>
            <w:tcW w:w="570" w:type="pct"/>
            <w:tcBorders>
              <w:top w:val="nil"/>
              <w:left w:val="nil"/>
              <w:bottom w:val="nil"/>
              <w:right w:val="nil"/>
            </w:tcBorders>
          </w:tcPr>
          <w:p w14:paraId="1C67AC54" w14:textId="77777777" w:rsidR="00B54D51" w:rsidRPr="00037AD4" w:rsidRDefault="00B54D51" w:rsidP="00401C67">
            <w:pPr>
              <w:widowControl w:val="0"/>
              <w:autoSpaceDE w:val="0"/>
              <w:autoSpaceDN w:val="0"/>
              <w:adjustRightInd w:val="0"/>
              <w:jc w:val="center"/>
            </w:pPr>
            <w:r w:rsidRPr="00037AD4">
              <w:t>0.514</w:t>
            </w:r>
          </w:p>
        </w:tc>
        <w:tc>
          <w:tcPr>
            <w:tcW w:w="570" w:type="pct"/>
            <w:tcBorders>
              <w:top w:val="nil"/>
              <w:left w:val="nil"/>
              <w:bottom w:val="nil"/>
              <w:right w:val="nil"/>
            </w:tcBorders>
          </w:tcPr>
          <w:p w14:paraId="504AC5D7"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5F94B334"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66ABB385"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6412E927"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44877654" w14:textId="77777777" w:rsidR="00B54D51" w:rsidRPr="00037AD4" w:rsidRDefault="00B54D51" w:rsidP="00401C67">
            <w:pPr>
              <w:widowControl w:val="0"/>
              <w:autoSpaceDE w:val="0"/>
              <w:autoSpaceDN w:val="0"/>
              <w:adjustRightInd w:val="0"/>
              <w:jc w:val="center"/>
            </w:pPr>
          </w:p>
        </w:tc>
      </w:tr>
      <w:tr w:rsidR="00B54D51" w:rsidRPr="00037AD4" w14:paraId="7D56DF5F" w14:textId="77777777" w:rsidTr="00401C67">
        <w:trPr>
          <w:jc w:val="center"/>
        </w:trPr>
        <w:tc>
          <w:tcPr>
            <w:tcW w:w="1577" w:type="pct"/>
            <w:tcBorders>
              <w:top w:val="nil"/>
              <w:left w:val="nil"/>
              <w:bottom w:val="nil"/>
              <w:right w:val="nil"/>
            </w:tcBorders>
          </w:tcPr>
          <w:p w14:paraId="12CB3DBF" w14:textId="77777777" w:rsidR="00B54D51" w:rsidRPr="00037AD4" w:rsidRDefault="00B54D51" w:rsidP="00401C67">
            <w:pPr>
              <w:widowControl w:val="0"/>
              <w:autoSpaceDE w:val="0"/>
              <w:autoSpaceDN w:val="0"/>
              <w:adjustRightInd w:val="0"/>
            </w:pPr>
          </w:p>
        </w:tc>
        <w:tc>
          <w:tcPr>
            <w:tcW w:w="570" w:type="pct"/>
            <w:tcBorders>
              <w:top w:val="nil"/>
              <w:left w:val="nil"/>
              <w:bottom w:val="nil"/>
              <w:right w:val="nil"/>
            </w:tcBorders>
          </w:tcPr>
          <w:p w14:paraId="1A0C7366" w14:textId="77777777" w:rsidR="00B54D51" w:rsidRPr="00037AD4" w:rsidRDefault="00B54D51" w:rsidP="00401C67">
            <w:pPr>
              <w:widowControl w:val="0"/>
              <w:autoSpaceDE w:val="0"/>
              <w:autoSpaceDN w:val="0"/>
              <w:adjustRightInd w:val="0"/>
              <w:jc w:val="center"/>
            </w:pPr>
            <w:r w:rsidRPr="00037AD4">
              <w:t>(-0.696 - 1.724)</w:t>
            </w:r>
          </w:p>
        </w:tc>
        <w:tc>
          <w:tcPr>
            <w:tcW w:w="570" w:type="pct"/>
            <w:tcBorders>
              <w:top w:val="nil"/>
              <w:left w:val="nil"/>
              <w:bottom w:val="nil"/>
              <w:right w:val="nil"/>
            </w:tcBorders>
          </w:tcPr>
          <w:p w14:paraId="6AB3CD92"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0EE238C0"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17A7E802"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1F7C486E"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7DF3642C" w14:textId="77777777" w:rsidR="00B54D51" w:rsidRPr="00037AD4" w:rsidRDefault="00B54D51" w:rsidP="00401C67">
            <w:pPr>
              <w:widowControl w:val="0"/>
              <w:autoSpaceDE w:val="0"/>
              <w:autoSpaceDN w:val="0"/>
              <w:adjustRightInd w:val="0"/>
              <w:jc w:val="center"/>
            </w:pPr>
          </w:p>
        </w:tc>
      </w:tr>
      <w:tr w:rsidR="00B54D51" w:rsidRPr="00037AD4" w14:paraId="3AB50F57" w14:textId="77777777" w:rsidTr="00401C67">
        <w:trPr>
          <w:jc w:val="center"/>
        </w:trPr>
        <w:tc>
          <w:tcPr>
            <w:tcW w:w="1577" w:type="pct"/>
            <w:tcBorders>
              <w:top w:val="nil"/>
              <w:left w:val="nil"/>
              <w:bottom w:val="nil"/>
              <w:right w:val="nil"/>
            </w:tcBorders>
          </w:tcPr>
          <w:p w14:paraId="08C4353A" w14:textId="77777777" w:rsidR="00B54D51" w:rsidRPr="00037AD4" w:rsidRDefault="00B54D51" w:rsidP="00401C67">
            <w:pPr>
              <w:widowControl w:val="0"/>
              <w:autoSpaceDE w:val="0"/>
              <w:autoSpaceDN w:val="0"/>
              <w:adjustRightInd w:val="0"/>
            </w:pPr>
            <w:r w:rsidRPr="00037AD4">
              <w:t>2.eq3SR_</w:t>
            </w:r>
          </w:p>
        </w:tc>
        <w:tc>
          <w:tcPr>
            <w:tcW w:w="570" w:type="pct"/>
            <w:tcBorders>
              <w:top w:val="nil"/>
              <w:left w:val="nil"/>
              <w:bottom w:val="nil"/>
              <w:right w:val="nil"/>
            </w:tcBorders>
          </w:tcPr>
          <w:p w14:paraId="6A3AB355" w14:textId="77777777" w:rsidR="00B54D51" w:rsidRPr="00037AD4" w:rsidRDefault="00B54D51" w:rsidP="00401C67">
            <w:pPr>
              <w:widowControl w:val="0"/>
              <w:autoSpaceDE w:val="0"/>
              <w:autoSpaceDN w:val="0"/>
              <w:adjustRightInd w:val="0"/>
              <w:jc w:val="center"/>
            </w:pPr>
            <w:r w:rsidRPr="00037AD4">
              <w:t>-0.092</w:t>
            </w:r>
          </w:p>
        </w:tc>
        <w:tc>
          <w:tcPr>
            <w:tcW w:w="570" w:type="pct"/>
            <w:tcBorders>
              <w:top w:val="nil"/>
              <w:left w:val="nil"/>
              <w:bottom w:val="nil"/>
              <w:right w:val="nil"/>
            </w:tcBorders>
          </w:tcPr>
          <w:p w14:paraId="68FEA5BC"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0C28FFAE"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1BE57CA5"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4DEB95E4"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61E21E66" w14:textId="77777777" w:rsidR="00B54D51" w:rsidRPr="00037AD4" w:rsidRDefault="00B54D51" w:rsidP="00401C67">
            <w:pPr>
              <w:widowControl w:val="0"/>
              <w:autoSpaceDE w:val="0"/>
              <w:autoSpaceDN w:val="0"/>
              <w:adjustRightInd w:val="0"/>
              <w:jc w:val="center"/>
            </w:pPr>
          </w:p>
        </w:tc>
      </w:tr>
      <w:tr w:rsidR="00B54D51" w:rsidRPr="00037AD4" w14:paraId="1B38C736" w14:textId="77777777" w:rsidTr="00401C67">
        <w:trPr>
          <w:jc w:val="center"/>
        </w:trPr>
        <w:tc>
          <w:tcPr>
            <w:tcW w:w="1577" w:type="pct"/>
            <w:tcBorders>
              <w:top w:val="nil"/>
              <w:left w:val="nil"/>
              <w:bottom w:val="nil"/>
              <w:right w:val="nil"/>
            </w:tcBorders>
          </w:tcPr>
          <w:p w14:paraId="4F1A3FBE" w14:textId="77777777" w:rsidR="00B54D51" w:rsidRPr="00037AD4" w:rsidRDefault="00B54D51" w:rsidP="00401C67">
            <w:pPr>
              <w:widowControl w:val="0"/>
              <w:autoSpaceDE w:val="0"/>
              <w:autoSpaceDN w:val="0"/>
              <w:adjustRightInd w:val="0"/>
            </w:pPr>
          </w:p>
        </w:tc>
        <w:tc>
          <w:tcPr>
            <w:tcW w:w="570" w:type="pct"/>
            <w:tcBorders>
              <w:top w:val="nil"/>
              <w:left w:val="nil"/>
              <w:bottom w:val="nil"/>
              <w:right w:val="nil"/>
            </w:tcBorders>
          </w:tcPr>
          <w:p w14:paraId="3D0C2C46" w14:textId="77777777" w:rsidR="00B54D51" w:rsidRPr="00037AD4" w:rsidRDefault="00B54D51" w:rsidP="00401C67">
            <w:pPr>
              <w:widowControl w:val="0"/>
              <w:autoSpaceDE w:val="0"/>
              <w:autoSpaceDN w:val="0"/>
              <w:adjustRightInd w:val="0"/>
              <w:jc w:val="center"/>
            </w:pPr>
            <w:r w:rsidRPr="00037AD4">
              <w:t>(-0.315 - 0.132)</w:t>
            </w:r>
          </w:p>
        </w:tc>
        <w:tc>
          <w:tcPr>
            <w:tcW w:w="570" w:type="pct"/>
            <w:tcBorders>
              <w:top w:val="nil"/>
              <w:left w:val="nil"/>
              <w:bottom w:val="nil"/>
              <w:right w:val="nil"/>
            </w:tcBorders>
          </w:tcPr>
          <w:p w14:paraId="170B4183"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25DD0E64"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2C7DD6F7"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72AC83E4"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5F4CAA94" w14:textId="77777777" w:rsidR="00B54D51" w:rsidRPr="00037AD4" w:rsidRDefault="00B54D51" w:rsidP="00401C67">
            <w:pPr>
              <w:widowControl w:val="0"/>
              <w:autoSpaceDE w:val="0"/>
              <w:autoSpaceDN w:val="0"/>
              <w:adjustRightInd w:val="0"/>
              <w:jc w:val="center"/>
            </w:pPr>
          </w:p>
        </w:tc>
      </w:tr>
      <w:tr w:rsidR="00B54D51" w:rsidRPr="00037AD4" w14:paraId="0F88E049" w14:textId="77777777" w:rsidTr="00401C67">
        <w:trPr>
          <w:jc w:val="center"/>
        </w:trPr>
        <w:tc>
          <w:tcPr>
            <w:tcW w:w="1577" w:type="pct"/>
            <w:tcBorders>
              <w:top w:val="nil"/>
              <w:left w:val="nil"/>
              <w:bottom w:val="nil"/>
              <w:right w:val="nil"/>
            </w:tcBorders>
          </w:tcPr>
          <w:p w14:paraId="6C3F151E" w14:textId="77777777" w:rsidR="00B54D51" w:rsidRPr="00037AD4" w:rsidRDefault="00B54D51" w:rsidP="00401C67">
            <w:pPr>
              <w:widowControl w:val="0"/>
              <w:autoSpaceDE w:val="0"/>
              <w:autoSpaceDN w:val="0"/>
              <w:adjustRightInd w:val="0"/>
            </w:pPr>
            <w:r w:rsidRPr="00037AD4">
              <w:t>3.eq3SR_</w:t>
            </w:r>
          </w:p>
        </w:tc>
        <w:tc>
          <w:tcPr>
            <w:tcW w:w="570" w:type="pct"/>
            <w:tcBorders>
              <w:top w:val="nil"/>
              <w:left w:val="nil"/>
              <w:bottom w:val="nil"/>
              <w:right w:val="nil"/>
            </w:tcBorders>
          </w:tcPr>
          <w:p w14:paraId="4B1A0A12" w14:textId="77777777" w:rsidR="00B54D51" w:rsidRPr="00037AD4" w:rsidRDefault="00B54D51" w:rsidP="00401C67">
            <w:pPr>
              <w:widowControl w:val="0"/>
              <w:autoSpaceDE w:val="0"/>
              <w:autoSpaceDN w:val="0"/>
              <w:adjustRightInd w:val="0"/>
              <w:jc w:val="center"/>
            </w:pPr>
            <w:r w:rsidRPr="00037AD4">
              <w:t>0.073</w:t>
            </w:r>
          </w:p>
        </w:tc>
        <w:tc>
          <w:tcPr>
            <w:tcW w:w="570" w:type="pct"/>
            <w:tcBorders>
              <w:top w:val="nil"/>
              <w:left w:val="nil"/>
              <w:bottom w:val="nil"/>
              <w:right w:val="nil"/>
            </w:tcBorders>
          </w:tcPr>
          <w:p w14:paraId="41013D37"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6796374D"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08D47A64"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5A67F3A4"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60FAC5F3" w14:textId="77777777" w:rsidR="00B54D51" w:rsidRPr="00037AD4" w:rsidRDefault="00B54D51" w:rsidP="00401C67">
            <w:pPr>
              <w:widowControl w:val="0"/>
              <w:autoSpaceDE w:val="0"/>
              <w:autoSpaceDN w:val="0"/>
              <w:adjustRightInd w:val="0"/>
              <w:jc w:val="center"/>
            </w:pPr>
          </w:p>
        </w:tc>
      </w:tr>
      <w:tr w:rsidR="00B54D51" w:rsidRPr="00037AD4" w14:paraId="0E69DC2C" w14:textId="77777777" w:rsidTr="00401C67">
        <w:trPr>
          <w:jc w:val="center"/>
        </w:trPr>
        <w:tc>
          <w:tcPr>
            <w:tcW w:w="1577" w:type="pct"/>
            <w:tcBorders>
              <w:top w:val="nil"/>
              <w:left w:val="nil"/>
              <w:bottom w:val="nil"/>
              <w:right w:val="nil"/>
            </w:tcBorders>
          </w:tcPr>
          <w:p w14:paraId="1110FE4E" w14:textId="77777777" w:rsidR="00B54D51" w:rsidRPr="00037AD4" w:rsidRDefault="00B54D51" w:rsidP="00401C67">
            <w:pPr>
              <w:widowControl w:val="0"/>
              <w:autoSpaceDE w:val="0"/>
              <w:autoSpaceDN w:val="0"/>
              <w:adjustRightInd w:val="0"/>
            </w:pPr>
          </w:p>
        </w:tc>
        <w:tc>
          <w:tcPr>
            <w:tcW w:w="570" w:type="pct"/>
            <w:tcBorders>
              <w:top w:val="nil"/>
              <w:left w:val="nil"/>
              <w:bottom w:val="nil"/>
              <w:right w:val="nil"/>
            </w:tcBorders>
          </w:tcPr>
          <w:p w14:paraId="53F8A923" w14:textId="77777777" w:rsidR="00B54D51" w:rsidRPr="00037AD4" w:rsidRDefault="00B54D51" w:rsidP="00401C67">
            <w:pPr>
              <w:widowControl w:val="0"/>
              <w:autoSpaceDE w:val="0"/>
              <w:autoSpaceDN w:val="0"/>
              <w:adjustRightInd w:val="0"/>
              <w:jc w:val="center"/>
            </w:pPr>
            <w:r w:rsidRPr="00037AD4">
              <w:t>(-0.217 - 0.363)</w:t>
            </w:r>
          </w:p>
        </w:tc>
        <w:tc>
          <w:tcPr>
            <w:tcW w:w="570" w:type="pct"/>
            <w:tcBorders>
              <w:top w:val="nil"/>
              <w:left w:val="nil"/>
              <w:bottom w:val="nil"/>
              <w:right w:val="nil"/>
            </w:tcBorders>
          </w:tcPr>
          <w:p w14:paraId="057D8367"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3B26B82C"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57743AD6"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21020F31"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670D9068" w14:textId="77777777" w:rsidR="00B54D51" w:rsidRPr="00037AD4" w:rsidRDefault="00B54D51" w:rsidP="00401C67">
            <w:pPr>
              <w:widowControl w:val="0"/>
              <w:autoSpaceDE w:val="0"/>
              <w:autoSpaceDN w:val="0"/>
              <w:adjustRightInd w:val="0"/>
              <w:jc w:val="center"/>
            </w:pPr>
          </w:p>
        </w:tc>
      </w:tr>
      <w:tr w:rsidR="00B54D51" w:rsidRPr="00037AD4" w14:paraId="4809DA6F" w14:textId="77777777" w:rsidTr="00401C67">
        <w:trPr>
          <w:jc w:val="center"/>
        </w:trPr>
        <w:tc>
          <w:tcPr>
            <w:tcW w:w="1577" w:type="pct"/>
            <w:tcBorders>
              <w:top w:val="nil"/>
              <w:left w:val="nil"/>
              <w:bottom w:val="nil"/>
              <w:right w:val="nil"/>
            </w:tcBorders>
          </w:tcPr>
          <w:p w14:paraId="0E30372A" w14:textId="77777777" w:rsidR="00B54D51" w:rsidRPr="00037AD4" w:rsidRDefault="00B54D51" w:rsidP="00401C67">
            <w:pPr>
              <w:widowControl w:val="0"/>
              <w:autoSpaceDE w:val="0"/>
              <w:autoSpaceDN w:val="0"/>
              <w:adjustRightInd w:val="0"/>
            </w:pPr>
            <w:r w:rsidRPr="00037AD4">
              <w:t>4.eq3SR_</w:t>
            </w:r>
          </w:p>
        </w:tc>
        <w:tc>
          <w:tcPr>
            <w:tcW w:w="570" w:type="pct"/>
            <w:tcBorders>
              <w:top w:val="nil"/>
              <w:left w:val="nil"/>
              <w:bottom w:val="nil"/>
              <w:right w:val="nil"/>
            </w:tcBorders>
          </w:tcPr>
          <w:p w14:paraId="6AC0FC0E" w14:textId="77777777" w:rsidR="00B54D51" w:rsidRPr="00037AD4" w:rsidRDefault="00B54D51" w:rsidP="00401C67">
            <w:pPr>
              <w:widowControl w:val="0"/>
              <w:autoSpaceDE w:val="0"/>
              <w:autoSpaceDN w:val="0"/>
              <w:adjustRightInd w:val="0"/>
              <w:jc w:val="center"/>
            </w:pPr>
            <w:r w:rsidRPr="00037AD4">
              <w:t>0.284</w:t>
            </w:r>
          </w:p>
        </w:tc>
        <w:tc>
          <w:tcPr>
            <w:tcW w:w="570" w:type="pct"/>
            <w:tcBorders>
              <w:top w:val="nil"/>
              <w:left w:val="nil"/>
              <w:bottom w:val="nil"/>
              <w:right w:val="nil"/>
            </w:tcBorders>
          </w:tcPr>
          <w:p w14:paraId="08928EF7"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79834017"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3B3EB28F"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6F54E9B2"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27963206" w14:textId="77777777" w:rsidR="00B54D51" w:rsidRPr="00037AD4" w:rsidRDefault="00B54D51" w:rsidP="00401C67">
            <w:pPr>
              <w:widowControl w:val="0"/>
              <w:autoSpaceDE w:val="0"/>
              <w:autoSpaceDN w:val="0"/>
              <w:adjustRightInd w:val="0"/>
              <w:jc w:val="center"/>
            </w:pPr>
          </w:p>
        </w:tc>
      </w:tr>
      <w:tr w:rsidR="00B54D51" w:rsidRPr="00037AD4" w14:paraId="4849C3D3" w14:textId="77777777" w:rsidTr="00401C67">
        <w:trPr>
          <w:jc w:val="center"/>
        </w:trPr>
        <w:tc>
          <w:tcPr>
            <w:tcW w:w="1577" w:type="pct"/>
            <w:tcBorders>
              <w:top w:val="nil"/>
              <w:left w:val="nil"/>
              <w:bottom w:val="nil"/>
              <w:right w:val="nil"/>
            </w:tcBorders>
          </w:tcPr>
          <w:p w14:paraId="3D0DAE63" w14:textId="77777777" w:rsidR="00B54D51" w:rsidRPr="00037AD4" w:rsidRDefault="00B54D51" w:rsidP="00401C67">
            <w:pPr>
              <w:widowControl w:val="0"/>
              <w:autoSpaceDE w:val="0"/>
              <w:autoSpaceDN w:val="0"/>
              <w:adjustRightInd w:val="0"/>
            </w:pPr>
          </w:p>
        </w:tc>
        <w:tc>
          <w:tcPr>
            <w:tcW w:w="570" w:type="pct"/>
            <w:tcBorders>
              <w:top w:val="nil"/>
              <w:left w:val="nil"/>
              <w:bottom w:val="nil"/>
              <w:right w:val="nil"/>
            </w:tcBorders>
          </w:tcPr>
          <w:p w14:paraId="50E7F28A" w14:textId="77777777" w:rsidR="00B54D51" w:rsidRPr="00037AD4" w:rsidRDefault="00B54D51" w:rsidP="00401C67">
            <w:pPr>
              <w:widowControl w:val="0"/>
              <w:autoSpaceDE w:val="0"/>
              <w:autoSpaceDN w:val="0"/>
              <w:adjustRightInd w:val="0"/>
              <w:jc w:val="center"/>
            </w:pPr>
            <w:r w:rsidRPr="00037AD4">
              <w:t>(-0.224 - 0.792)</w:t>
            </w:r>
          </w:p>
        </w:tc>
        <w:tc>
          <w:tcPr>
            <w:tcW w:w="570" w:type="pct"/>
            <w:tcBorders>
              <w:top w:val="nil"/>
              <w:left w:val="nil"/>
              <w:bottom w:val="nil"/>
              <w:right w:val="nil"/>
            </w:tcBorders>
          </w:tcPr>
          <w:p w14:paraId="6D508B85"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46056307"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57B4EB2B"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52AEB27A"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1301D4B4" w14:textId="77777777" w:rsidR="00B54D51" w:rsidRPr="00037AD4" w:rsidRDefault="00B54D51" w:rsidP="00401C67">
            <w:pPr>
              <w:widowControl w:val="0"/>
              <w:autoSpaceDE w:val="0"/>
              <w:autoSpaceDN w:val="0"/>
              <w:adjustRightInd w:val="0"/>
              <w:jc w:val="center"/>
            </w:pPr>
          </w:p>
        </w:tc>
      </w:tr>
      <w:tr w:rsidR="00B54D51" w:rsidRPr="00037AD4" w14:paraId="049B6AE5" w14:textId="77777777" w:rsidTr="00401C67">
        <w:trPr>
          <w:jc w:val="center"/>
        </w:trPr>
        <w:tc>
          <w:tcPr>
            <w:tcW w:w="1577" w:type="pct"/>
            <w:tcBorders>
              <w:top w:val="nil"/>
              <w:left w:val="nil"/>
              <w:bottom w:val="nil"/>
              <w:right w:val="nil"/>
            </w:tcBorders>
          </w:tcPr>
          <w:p w14:paraId="50EA459A" w14:textId="77777777" w:rsidR="00B54D51" w:rsidRPr="00037AD4" w:rsidRDefault="00B54D51" w:rsidP="00401C67">
            <w:pPr>
              <w:widowControl w:val="0"/>
              <w:autoSpaceDE w:val="0"/>
              <w:autoSpaceDN w:val="0"/>
              <w:adjustRightInd w:val="0"/>
            </w:pPr>
            <w:r w:rsidRPr="00037AD4">
              <w:t>5.eq3SR_</w:t>
            </w:r>
          </w:p>
        </w:tc>
        <w:tc>
          <w:tcPr>
            <w:tcW w:w="570" w:type="pct"/>
            <w:tcBorders>
              <w:top w:val="nil"/>
              <w:left w:val="nil"/>
              <w:bottom w:val="nil"/>
              <w:right w:val="nil"/>
            </w:tcBorders>
          </w:tcPr>
          <w:p w14:paraId="467CF784" w14:textId="77777777" w:rsidR="00B54D51" w:rsidRPr="00037AD4" w:rsidRDefault="00B54D51" w:rsidP="00401C67">
            <w:pPr>
              <w:widowControl w:val="0"/>
              <w:autoSpaceDE w:val="0"/>
              <w:autoSpaceDN w:val="0"/>
              <w:adjustRightInd w:val="0"/>
              <w:jc w:val="center"/>
            </w:pPr>
            <w:r w:rsidRPr="00037AD4">
              <w:t>1.201***</w:t>
            </w:r>
          </w:p>
        </w:tc>
        <w:tc>
          <w:tcPr>
            <w:tcW w:w="570" w:type="pct"/>
            <w:tcBorders>
              <w:top w:val="nil"/>
              <w:left w:val="nil"/>
              <w:bottom w:val="nil"/>
              <w:right w:val="nil"/>
            </w:tcBorders>
          </w:tcPr>
          <w:p w14:paraId="4330633C"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325BDE4C"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096BD9DC"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09919502"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310E172A" w14:textId="77777777" w:rsidR="00B54D51" w:rsidRPr="00037AD4" w:rsidRDefault="00B54D51" w:rsidP="00401C67">
            <w:pPr>
              <w:widowControl w:val="0"/>
              <w:autoSpaceDE w:val="0"/>
              <w:autoSpaceDN w:val="0"/>
              <w:adjustRightInd w:val="0"/>
              <w:jc w:val="center"/>
            </w:pPr>
          </w:p>
        </w:tc>
      </w:tr>
      <w:tr w:rsidR="00B54D51" w:rsidRPr="00037AD4" w14:paraId="28EA635D" w14:textId="77777777" w:rsidTr="00401C67">
        <w:trPr>
          <w:jc w:val="center"/>
        </w:trPr>
        <w:tc>
          <w:tcPr>
            <w:tcW w:w="1577" w:type="pct"/>
            <w:tcBorders>
              <w:top w:val="nil"/>
              <w:left w:val="nil"/>
              <w:bottom w:val="nil"/>
              <w:right w:val="nil"/>
            </w:tcBorders>
          </w:tcPr>
          <w:p w14:paraId="5960955A" w14:textId="77777777" w:rsidR="00B54D51" w:rsidRPr="00037AD4" w:rsidRDefault="00B54D51" w:rsidP="00401C67">
            <w:pPr>
              <w:widowControl w:val="0"/>
              <w:autoSpaceDE w:val="0"/>
              <w:autoSpaceDN w:val="0"/>
              <w:adjustRightInd w:val="0"/>
            </w:pPr>
          </w:p>
        </w:tc>
        <w:tc>
          <w:tcPr>
            <w:tcW w:w="570" w:type="pct"/>
            <w:tcBorders>
              <w:top w:val="nil"/>
              <w:left w:val="nil"/>
              <w:bottom w:val="nil"/>
              <w:right w:val="nil"/>
            </w:tcBorders>
          </w:tcPr>
          <w:p w14:paraId="694E8671" w14:textId="77777777" w:rsidR="00B54D51" w:rsidRPr="00037AD4" w:rsidRDefault="00B54D51" w:rsidP="00401C67">
            <w:pPr>
              <w:widowControl w:val="0"/>
              <w:autoSpaceDE w:val="0"/>
              <w:autoSpaceDN w:val="0"/>
              <w:adjustRightInd w:val="0"/>
              <w:jc w:val="center"/>
            </w:pPr>
            <w:r w:rsidRPr="00037AD4">
              <w:t>(0.389 - 2.014)</w:t>
            </w:r>
          </w:p>
        </w:tc>
        <w:tc>
          <w:tcPr>
            <w:tcW w:w="570" w:type="pct"/>
            <w:tcBorders>
              <w:top w:val="nil"/>
              <w:left w:val="nil"/>
              <w:bottom w:val="nil"/>
              <w:right w:val="nil"/>
            </w:tcBorders>
          </w:tcPr>
          <w:p w14:paraId="04889AB6"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07A3DCB0"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3455F1A1"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60236EF9"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4A653D38" w14:textId="77777777" w:rsidR="00B54D51" w:rsidRPr="00037AD4" w:rsidRDefault="00B54D51" w:rsidP="00401C67">
            <w:pPr>
              <w:widowControl w:val="0"/>
              <w:autoSpaceDE w:val="0"/>
              <w:autoSpaceDN w:val="0"/>
              <w:adjustRightInd w:val="0"/>
              <w:jc w:val="center"/>
            </w:pPr>
          </w:p>
        </w:tc>
      </w:tr>
      <w:tr w:rsidR="00B54D51" w:rsidRPr="00037AD4" w14:paraId="2CFB60AA" w14:textId="77777777" w:rsidTr="00401C67">
        <w:trPr>
          <w:jc w:val="center"/>
        </w:trPr>
        <w:tc>
          <w:tcPr>
            <w:tcW w:w="1577" w:type="pct"/>
            <w:tcBorders>
              <w:top w:val="nil"/>
              <w:left w:val="nil"/>
              <w:bottom w:val="nil"/>
              <w:right w:val="nil"/>
            </w:tcBorders>
          </w:tcPr>
          <w:p w14:paraId="42F2AE58" w14:textId="77777777" w:rsidR="00B54D51" w:rsidRPr="00037AD4" w:rsidRDefault="00B54D51" w:rsidP="00401C67">
            <w:pPr>
              <w:widowControl w:val="0"/>
              <w:autoSpaceDE w:val="0"/>
              <w:autoSpaceDN w:val="0"/>
              <w:adjustRightInd w:val="0"/>
            </w:pPr>
            <w:r w:rsidRPr="00037AD4">
              <w:t>2.eq4SR_</w:t>
            </w:r>
          </w:p>
        </w:tc>
        <w:tc>
          <w:tcPr>
            <w:tcW w:w="570" w:type="pct"/>
            <w:tcBorders>
              <w:top w:val="nil"/>
              <w:left w:val="nil"/>
              <w:bottom w:val="nil"/>
              <w:right w:val="nil"/>
            </w:tcBorders>
          </w:tcPr>
          <w:p w14:paraId="73172B59" w14:textId="77777777" w:rsidR="00B54D51" w:rsidRPr="00037AD4" w:rsidRDefault="00B54D51" w:rsidP="00401C67">
            <w:pPr>
              <w:widowControl w:val="0"/>
              <w:autoSpaceDE w:val="0"/>
              <w:autoSpaceDN w:val="0"/>
              <w:adjustRightInd w:val="0"/>
              <w:jc w:val="center"/>
            </w:pPr>
            <w:r w:rsidRPr="00037AD4">
              <w:t>0.086</w:t>
            </w:r>
          </w:p>
        </w:tc>
        <w:tc>
          <w:tcPr>
            <w:tcW w:w="570" w:type="pct"/>
            <w:tcBorders>
              <w:top w:val="nil"/>
              <w:left w:val="nil"/>
              <w:bottom w:val="nil"/>
              <w:right w:val="nil"/>
            </w:tcBorders>
          </w:tcPr>
          <w:p w14:paraId="5AE6FD2D"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6A8B8D53"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06B98B2A"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171C6DDA"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38AF0263" w14:textId="77777777" w:rsidR="00B54D51" w:rsidRPr="00037AD4" w:rsidRDefault="00B54D51" w:rsidP="00401C67">
            <w:pPr>
              <w:widowControl w:val="0"/>
              <w:autoSpaceDE w:val="0"/>
              <w:autoSpaceDN w:val="0"/>
              <w:adjustRightInd w:val="0"/>
              <w:jc w:val="center"/>
            </w:pPr>
          </w:p>
        </w:tc>
      </w:tr>
      <w:tr w:rsidR="00B54D51" w:rsidRPr="00037AD4" w14:paraId="7B12EBD8" w14:textId="77777777" w:rsidTr="00401C67">
        <w:trPr>
          <w:jc w:val="center"/>
        </w:trPr>
        <w:tc>
          <w:tcPr>
            <w:tcW w:w="1577" w:type="pct"/>
            <w:tcBorders>
              <w:top w:val="nil"/>
              <w:left w:val="nil"/>
              <w:bottom w:val="nil"/>
              <w:right w:val="nil"/>
            </w:tcBorders>
          </w:tcPr>
          <w:p w14:paraId="42B82549" w14:textId="77777777" w:rsidR="00B54D51" w:rsidRPr="00037AD4" w:rsidRDefault="00B54D51" w:rsidP="00401C67">
            <w:pPr>
              <w:widowControl w:val="0"/>
              <w:autoSpaceDE w:val="0"/>
              <w:autoSpaceDN w:val="0"/>
              <w:adjustRightInd w:val="0"/>
            </w:pPr>
          </w:p>
        </w:tc>
        <w:tc>
          <w:tcPr>
            <w:tcW w:w="570" w:type="pct"/>
            <w:tcBorders>
              <w:top w:val="nil"/>
              <w:left w:val="nil"/>
              <w:bottom w:val="nil"/>
              <w:right w:val="nil"/>
            </w:tcBorders>
          </w:tcPr>
          <w:p w14:paraId="2D7B3EF5" w14:textId="77777777" w:rsidR="00B54D51" w:rsidRPr="00037AD4" w:rsidRDefault="00B54D51" w:rsidP="00401C67">
            <w:pPr>
              <w:widowControl w:val="0"/>
              <w:autoSpaceDE w:val="0"/>
              <w:autoSpaceDN w:val="0"/>
              <w:adjustRightInd w:val="0"/>
              <w:jc w:val="center"/>
            </w:pPr>
            <w:r w:rsidRPr="00037AD4">
              <w:t>(-0.120 - 0.292)</w:t>
            </w:r>
          </w:p>
        </w:tc>
        <w:tc>
          <w:tcPr>
            <w:tcW w:w="570" w:type="pct"/>
            <w:tcBorders>
              <w:top w:val="nil"/>
              <w:left w:val="nil"/>
              <w:bottom w:val="nil"/>
              <w:right w:val="nil"/>
            </w:tcBorders>
          </w:tcPr>
          <w:p w14:paraId="6C2B03E2"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4940EEDC"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5B184E34"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4E7D0A64"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2E046E94" w14:textId="77777777" w:rsidR="00B54D51" w:rsidRPr="00037AD4" w:rsidRDefault="00B54D51" w:rsidP="00401C67">
            <w:pPr>
              <w:widowControl w:val="0"/>
              <w:autoSpaceDE w:val="0"/>
              <w:autoSpaceDN w:val="0"/>
              <w:adjustRightInd w:val="0"/>
              <w:jc w:val="center"/>
            </w:pPr>
          </w:p>
        </w:tc>
      </w:tr>
      <w:tr w:rsidR="00B54D51" w:rsidRPr="00037AD4" w14:paraId="37F0ECEC" w14:textId="77777777" w:rsidTr="00401C67">
        <w:trPr>
          <w:jc w:val="center"/>
        </w:trPr>
        <w:tc>
          <w:tcPr>
            <w:tcW w:w="1577" w:type="pct"/>
            <w:tcBorders>
              <w:top w:val="nil"/>
              <w:left w:val="nil"/>
              <w:bottom w:val="nil"/>
              <w:right w:val="nil"/>
            </w:tcBorders>
          </w:tcPr>
          <w:p w14:paraId="1FEEB3A2" w14:textId="77777777" w:rsidR="00B54D51" w:rsidRPr="00037AD4" w:rsidRDefault="00B54D51" w:rsidP="00401C67">
            <w:pPr>
              <w:widowControl w:val="0"/>
              <w:autoSpaceDE w:val="0"/>
              <w:autoSpaceDN w:val="0"/>
              <w:adjustRightInd w:val="0"/>
            </w:pPr>
            <w:r w:rsidRPr="00037AD4">
              <w:t>3.eq4SR_</w:t>
            </w:r>
          </w:p>
        </w:tc>
        <w:tc>
          <w:tcPr>
            <w:tcW w:w="570" w:type="pct"/>
            <w:tcBorders>
              <w:top w:val="nil"/>
              <w:left w:val="nil"/>
              <w:bottom w:val="nil"/>
              <w:right w:val="nil"/>
            </w:tcBorders>
          </w:tcPr>
          <w:p w14:paraId="236E1290" w14:textId="77777777" w:rsidR="00B54D51" w:rsidRPr="00037AD4" w:rsidRDefault="00B54D51" w:rsidP="00401C67">
            <w:pPr>
              <w:widowControl w:val="0"/>
              <w:autoSpaceDE w:val="0"/>
              <w:autoSpaceDN w:val="0"/>
              <w:adjustRightInd w:val="0"/>
              <w:jc w:val="center"/>
            </w:pPr>
            <w:r w:rsidRPr="00037AD4">
              <w:t>-0.096</w:t>
            </w:r>
          </w:p>
        </w:tc>
        <w:tc>
          <w:tcPr>
            <w:tcW w:w="570" w:type="pct"/>
            <w:tcBorders>
              <w:top w:val="nil"/>
              <w:left w:val="nil"/>
              <w:bottom w:val="nil"/>
              <w:right w:val="nil"/>
            </w:tcBorders>
          </w:tcPr>
          <w:p w14:paraId="50CAE771"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131DBEAF"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7728F0E0"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78ADAF24"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3A24FC54" w14:textId="77777777" w:rsidR="00B54D51" w:rsidRPr="00037AD4" w:rsidRDefault="00B54D51" w:rsidP="00401C67">
            <w:pPr>
              <w:widowControl w:val="0"/>
              <w:autoSpaceDE w:val="0"/>
              <w:autoSpaceDN w:val="0"/>
              <w:adjustRightInd w:val="0"/>
              <w:jc w:val="center"/>
            </w:pPr>
          </w:p>
        </w:tc>
      </w:tr>
      <w:tr w:rsidR="00B54D51" w:rsidRPr="00037AD4" w14:paraId="24ACE5EA" w14:textId="77777777" w:rsidTr="00401C67">
        <w:trPr>
          <w:jc w:val="center"/>
        </w:trPr>
        <w:tc>
          <w:tcPr>
            <w:tcW w:w="1577" w:type="pct"/>
            <w:tcBorders>
              <w:top w:val="nil"/>
              <w:left w:val="nil"/>
              <w:bottom w:val="nil"/>
              <w:right w:val="nil"/>
            </w:tcBorders>
          </w:tcPr>
          <w:p w14:paraId="30BDDB5F" w14:textId="77777777" w:rsidR="00B54D51" w:rsidRPr="00037AD4" w:rsidRDefault="00B54D51" w:rsidP="00401C67">
            <w:pPr>
              <w:widowControl w:val="0"/>
              <w:autoSpaceDE w:val="0"/>
              <w:autoSpaceDN w:val="0"/>
              <w:adjustRightInd w:val="0"/>
            </w:pPr>
          </w:p>
        </w:tc>
        <w:tc>
          <w:tcPr>
            <w:tcW w:w="570" w:type="pct"/>
            <w:tcBorders>
              <w:top w:val="nil"/>
              <w:left w:val="nil"/>
              <w:bottom w:val="nil"/>
              <w:right w:val="nil"/>
            </w:tcBorders>
          </w:tcPr>
          <w:p w14:paraId="7E95A9D8" w14:textId="77777777" w:rsidR="00B54D51" w:rsidRPr="00037AD4" w:rsidRDefault="00B54D51" w:rsidP="00401C67">
            <w:pPr>
              <w:widowControl w:val="0"/>
              <w:autoSpaceDE w:val="0"/>
              <w:autoSpaceDN w:val="0"/>
              <w:adjustRightInd w:val="0"/>
              <w:jc w:val="center"/>
            </w:pPr>
            <w:r w:rsidRPr="00037AD4">
              <w:t>(-0.381 - 0.190)</w:t>
            </w:r>
          </w:p>
        </w:tc>
        <w:tc>
          <w:tcPr>
            <w:tcW w:w="570" w:type="pct"/>
            <w:tcBorders>
              <w:top w:val="nil"/>
              <w:left w:val="nil"/>
              <w:bottom w:val="nil"/>
              <w:right w:val="nil"/>
            </w:tcBorders>
          </w:tcPr>
          <w:p w14:paraId="4EA1B79B"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2D0DA421"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7F5E5243"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6086D118"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2F107031" w14:textId="77777777" w:rsidR="00B54D51" w:rsidRPr="00037AD4" w:rsidRDefault="00B54D51" w:rsidP="00401C67">
            <w:pPr>
              <w:widowControl w:val="0"/>
              <w:autoSpaceDE w:val="0"/>
              <w:autoSpaceDN w:val="0"/>
              <w:adjustRightInd w:val="0"/>
              <w:jc w:val="center"/>
            </w:pPr>
          </w:p>
        </w:tc>
      </w:tr>
      <w:tr w:rsidR="00B54D51" w:rsidRPr="00037AD4" w14:paraId="19920342" w14:textId="77777777" w:rsidTr="00401C67">
        <w:trPr>
          <w:jc w:val="center"/>
        </w:trPr>
        <w:tc>
          <w:tcPr>
            <w:tcW w:w="1577" w:type="pct"/>
            <w:tcBorders>
              <w:top w:val="nil"/>
              <w:left w:val="nil"/>
              <w:bottom w:val="nil"/>
              <w:right w:val="nil"/>
            </w:tcBorders>
          </w:tcPr>
          <w:p w14:paraId="17FCFAE2" w14:textId="77777777" w:rsidR="00B54D51" w:rsidRPr="00037AD4" w:rsidRDefault="00B54D51" w:rsidP="00401C67">
            <w:pPr>
              <w:widowControl w:val="0"/>
              <w:autoSpaceDE w:val="0"/>
              <w:autoSpaceDN w:val="0"/>
              <w:adjustRightInd w:val="0"/>
            </w:pPr>
            <w:r w:rsidRPr="00037AD4">
              <w:t>4.eq4SR_</w:t>
            </w:r>
          </w:p>
        </w:tc>
        <w:tc>
          <w:tcPr>
            <w:tcW w:w="570" w:type="pct"/>
            <w:tcBorders>
              <w:top w:val="nil"/>
              <w:left w:val="nil"/>
              <w:bottom w:val="nil"/>
              <w:right w:val="nil"/>
            </w:tcBorders>
          </w:tcPr>
          <w:p w14:paraId="5F315E68" w14:textId="77777777" w:rsidR="00B54D51" w:rsidRPr="00037AD4" w:rsidRDefault="00B54D51" w:rsidP="00401C67">
            <w:pPr>
              <w:widowControl w:val="0"/>
              <w:autoSpaceDE w:val="0"/>
              <w:autoSpaceDN w:val="0"/>
              <w:adjustRightInd w:val="0"/>
              <w:jc w:val="center"/>
            </w:pPr>
            <w:r w:rsidRPr="00037AD4">
              <w:t>-0.401</w:t>
            </w:r>
          </w:p>
        </w:tc>
        <w:tc>
          <w:tcPr>
            <w:tcW w:w="570" w:type="pct"/>
            <w:tcBorders>
              <w:top w:val="nil"/>
              <w:left w:val="nil"/>
              <w:bottom w:val="nil"/>
              <w:right w:val="nil"/>
            </w:tcBorders>
          </w:tcPr>
          <w:p w14:paraId="03FF9F5D"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009175A0"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675A2F7F"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09DD1A12"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023DD7F2" w14:textId="77777777" w:rsidR="00B54D51" w:rsidRPr="00037AD4" w:rsidRDefault="00B54D51" w:rsidP="00401C67">
            <w:pPr>
              <w:widowControl w:val="0"/>
              <w:autoSpaceDE w:val="0"/>
              <w:autoSpaceDN w:val="0"/>
              <w:adjustRightInd w:val="0"/>
              <w:jc w:val="center"/>
            </w:pPr>
          </w:p>
        </w:tc>
      </w:tr>
      <w:tr w:rsidR="00B54D51" w:rsidRPr="00037AD4" w14:paraId="23C5D1A6" w14:textId="77777777" w:rsidTr="00401C67">
        <w:trPr>
          <w:jc w:val="center"/>
        </w:trPr>
        <w:tc>
          <w:tcPr>
            <w:tcW w:w="1577" w:type="pct"/>
            <w:tcBorders>
              <w:top w:val="nil"/>
              <w:left w:val="nil"/>
              <w:bottom w:val="nil"/>
              <w:right w:val="nil"/>
            </w:tcBorders>
          </w:tcPr>
          <w:p w14:paraId="1193B221" w14:textId="77777777" w:rsidR="00B54D51" w:rsidRPr="00037AD4" w:rsidRDefault="00B54D51" w:rsidP="00401C67">
            <w:pPr>
              <w:widowControl w:val="0"/>
              <w:autoSpaceDE w:val="0"/>
              <w:autoSpaceDN w:val="0"/>
              <w:adjustRightInd w:val="0"/>
            </w:pPr>
          </w:p>
        </w:tc>
        <w:tc>
          <w:tcPr>
            <w:tcW w:w="570" w:type="pct"/>
            <w:tcBorders>
              <w:top w:val="nil"/>
              <w:left w:val="nil"/>
              <w:bottom w:val="nil"/>
              <w:right w:val="nil"/>
            </w:tcBorders>
          </w:tcPr>
          <w:p w14:paraId="6A255A7A" w14:textId="77777777" w:rsidR="00B54D51" w:rsidRPr="00037AD4" w:rsidRDefault="00B54D51" w:rsidP="00401C67">
            <w:pPr>
              <w:widowControl w:val="0"/>
              <w:autoSpaceDE w:val="0"/>
              <w:autoSpaceDN w:val="0"/>
              <w:adjustRightInd w:val="0"/>
              <w:jc w:val="center"/>
            </w:pPr>
            <w:r w:rsidRPr="00037AD4">
              <w:t>(-0.905 - 0.104)</w:t>
            </w:r>
          </w:p>
        </w:tc>
        <w:tc>
          <w:tcPr>
            <w:tcW w:w="570" w:type="pct"/>
            <w:tcBorders>
              <w:top w:val="nil"/>
              <w:left w:val="nil"/>
              <w:bottom w:val="nil"/>
              <w:right w:val="nil"/>
            </w:tcBorders>
          </w:tcPr>
          <w:p w14:paraId="360CE6E4"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28029A3D"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06E3CEBC"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6C7EBB17"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54DC556B" w14:textId="77777777" w:rsidR="00B54D51" w:rsidRPr="00037AD4" w:rsidRDefault="00B54D51" w:rsidP="00401C67">
            <w:pPr>
              <w:widowControl w:val="0"/>
              <w:autoSpaceDE w:val="0"/>
              <w:autoSpaceDN w:val="0"/>
              <w:adjustRightInd w:val="0"/>
              <w:jc w:val="center"/>
            </w:pPr>
          </w:p>
        </w:tc>
      </w:tr>
      <w:tr w:rsidR="00B54D51" w:rsidRPr="00037AD4" w14:paraId="5AB7A343" w14:textId="77777777" w:rsidTr="00401C67">
        <w:trPr>
          <w:jc w:val="center"/>
        </w:trPr>
        <w:tc>
          <w:tcPr>
            <w:tcW w:w="1577" w:type="pct"/>
            <w:tcBorders>
              <w:top w:val="nil"/>
              <w:left w:val="nil"/>
              <w:bottom w:val="nil"/>
              <w:right w:val="nil"/>
            </w:tcBorders>
          </w:tcPr>
          <w:p w14:paraId="770896BB" w14:textId="77777777" w:rsidR="00B54D51" w:rsidRPr="00037AD4" w:rsidRDefault="00B54D51" w:rsidP="00401C67">
            <w:pPr>
              <w:widowControl w:val="0"/>
              <w:autoSpaceDE w:val="0"/>
              <w:autoSpaceDN w:val="0"/>
              <w:adjustRightInd w:val="0"/>
            </w:pPr>
            <w:r w:rsidRPr="00037AD4">
              <w:lastRenderedPageBreak/>
              <w:t>5.eq4SR_</w:t>
            </w:r>
          </w:p>
        </w:tc>
        <w:tc>
          <w:tcPr>
            <w:tcW w:w="570" w:type="pct"/>
            <w:tcBorders>
              <w:top w:val="nil"/>
              <w:left w:val="nil"/>
              <w:bottom w:val="nil"/>
              <w:right w:val="nil"/>
            </w:tcBorders>
          </w:tcPr>
          <w:p w14:paraId="1F8B8470" w14:textId="77777777" w:rsidR="00B54D51" w:rsidRPr="00037AD4" w:rsidRDefault="00B54D51" w:rsidP="00401C67">
            <w:pPr>
              <w:widowControl w:val="0"/>
              <w:autoSpaceDE w:val="0"/>
              <w:autoSpaceDN w:val="0"/>
              <w:adjustRightInd w:val="0"/>
              <w:jc w:val="center"/>
            </w:pPr>
            <w:r w:rsidRPr="00037AD4">
              <w:t>-0.606</w:t>
            </w:r>
          </w:p>
        </w:tc>
        <w:tc>
          <w:tcPr>
            <w:tcW w:w="570" w:type="pct"/>
            <w:tcBorders>
              <w:top w:val="nil"/>
              <w:left w:val="nil"/>
              <w:bottom w:val="nil"/>
              <w:right w:val="nil"/>
            </w:tcBorders>
          </w:tcPr>
          <w:p w14:paraId="466483F2"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1926AACA"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7B72D2FB"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7F14F1F2"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6192E066" w14:textId="77777777" w:rsidR="00B54D51" w:rsidRPr="00037AD4" w:rsidRDefault="00B54D51" w:rsidP="00401C67">
            <w:pPr>
              <w:widowControl w:val="0"/>
              <w:autoSpaceDE w:val="0"/>
              <w:autoSpaceDN w:val="0"/>
              <w:adjustRightInd w:val="0"/>
              <w:jc w:val="center"/>
            </w:pPr>
          </w:p>
        </w:tc>
      </w:tr>
      <w:tr w:rsidR="00B54D51" w:rsidRPr="00037AD4" w14:paraId="07D2EAE4" w14:textId="77777777" w:rsidTr="00401C67">
        <w:trPr>
          <w:jc w:val="center"/>
        </w:trPr>
        <w:tc>
          <w:tcPr>
            <w:tcW w:w="1577" w:type="pct"/>
            <w:tcBorders>
              <w:top w:val="nil"/>
              <w:left w:val="nil"/>
              <w:bottom w:val="nil"/>
              <w:right w:val="nil"/>
            </w:tcBorders>
          </w:tcPr>
          <w:p w14:paraId="51FF24FE" w14:textId="77777777" w:rsidR="00B54D51" w:rsidRPr="00037AD4" w:rsidRDefault="00B54D51" w:rsidP="00401C67">
            <w:pPr>
              <w:widowControl w:val="0"/>
              <w:autoSpaceDE w:val="0"/>
              <w:autoSpaceDN w:val="0"/>
              <w:adjustRightInd w:val="0"/>
            </w:pPr>
          </w:p>
        </w:tc>
        <w:tc>
          <w:tcPr>
            <w:tcW w:w="570" w:type="pct"/>
            <w:tcBorders>
              <w:top w:val="nil"/>
              <w:left w:val="nil"/>
              <w:bottom w:val="nil"/>
              <w:right w:val="nil"/>
            </w:tcBorders>
          </w:tcPr>
          <w:p w14:paraId="443B1471" w14:textId="77777777" w:rsidR="00B54D51" w:rsidRPr="00037AD4" w:rsidRDefault="00B54D51" w:rsidP="00401C67">
            <w:pPr>
              <w:widowControl w:val="0"/>
              <w:autoSpaceDE w:val="0"/>
              <w:autoSpaceDN w:val="0"/>
              <w:adjustRightInd w:val="0"/>
              <w:jc w:val="center"/>
            </w:pPr>
            <w:r w:rsidRPr="00037AD4">
              <w:t>(-1.920 - 0.708)</w:t>
            </w:r>
          </w:p>
        </w:tc>
        <w:tc>
          <w:tcPr>
            <w:tcW w:w="570" w:type="pct"/>
            <w:tcBorders>
              <w:top w:val="nil"/>
              <w:left w:val="nil"/>
              <w:bottom w:val="nil"/>
              <w:right w:val="nil"/>
            </w:tcBorders>
          </w:tcPr>
          <w:p w14:paraId="298C09AB"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7C5BBE0F"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66973697"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5216237C"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365C23B7" w14:textId="77777777" w:rsidR="00B54D51" w:rsidRPr="00037AD4" w:rsidRDefault="00B54D51" w:rsidP="00401C67">
            <w:pPr>
              <w:widowControl w:val="0"/>
              <w:autoSpaceDE w:val="0"/>
              <w:autoSpaceDN w:val="0"/>
              <w:adjustRightInd w:val="0"/>
              <w:jc w:val="center"/>
            </w:pPr>
          </w:p>
        </w:tc>
      </w:tr>
      <w:tr w:rsidR="00B54D51" w:rsidRPr="00037AD4" w14:paraId="75B95299" w14:textId="77777777" w:rsidTr="00401C67">
        <w:trPr>
          <w:jc w:val="center"/>
        </w:trPr>
        <w:tc>
          <w:tcPr>
            <w:tcW w:w="1577" w:type="pct"/>
            <w:tcBorders>
              <w:top w:val="nil"/>
              <w:left w:val="nil"/>
              <w:bottom w:val="nil"/>
              <w:right w:val="nil"/>
            </w:tcBorders>
          </w:tcPr>
          <w:p w14:paraId="4189E446" w14:textId="77777777" w:rsidR="00B54D51" w:rsidRPr="00037AD4" w:rsidRDefault="00B54D51" w:rsidP="00401C67">
            <w:pPr>
              <w:widowControl w:val="0"/>
              <w:autoSpaceDE w:val="0"/>
              <w:autoSpaceDN w:val="0"/>
              <w:adjustRightInd w:val="0"/>
            </w:pPr>
            <w:r w:rsidRPr="00037AD4">
              <w:t>2.eq5SR_</w:t>
            </w:r>
          </w:p>
        </w:tc>
        <w:tc>
          <w:tcPr>
            <w:tcW w:w="570" w:type="pct"/>
            <w:tcBorders>
              <w:top w:val="nil"/>
              <w:left w:val="nil"/>
              <w:bottom w:val="nil"/>
              <w:right w:val="nil"/>
            </w:tcBorders>
          </w:tcPr>
          <w:p w14:paraId="62073B27" w14:textId="77777777" w:rsidR="00B54D51" w:rsidRPr="00037AD4" w:rsidRDefault="00B54D51" w:rsidP="00401C67">
            <w:pPr>
              <w:widowControl w:val="0"/>
              <w:autoSpaceDE w:val="0"/>
              <w:autoSpaceDN w:val="0"/>
              <w:adjustRightInd w:val="0"/>
              <w:jc w:val="center"/>
            </w:pPr>
            <w:r w:rsidRPr="00037AD4">
              <w:t>-0.104</w:t>
            </w:r>
          </w:p>
        </w:tc>
        <w:tc>
          <w:tcPr>
            <w:tcW w:w="570" w:type="pct"/>
            <w:tcBorders>
              <w:top w:val="nil"/>
              <w:left w:val="nil"/>
              <w:bottom w:val="nil"/>
              <w:right w:val="nil"/>
            </w:tcBorders>
          </w:tcPr>
          <w:p w14:paraId="4A752C52"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0C3227E0"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7B3066EE"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0AE9BF43"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445B1820" w14:textId="77777777" w:rsidR="00B54D51" w:rsidRPr="00037AD4" w:rsidRDefault="00B54D51" w:rsidP="00401C67">
            <w:pPr>
              <w:widowControl w:val="0"/>
              <w:autoSpaceDE w:val="0"/>
              <w:autoSpaceDN w:val="0"/>
              <w:adjustRightInd w:val="0"/>
              <w:jc w:val="center"/>
            </w:pPr>
          </w:p>
        </w:tc>
      </w:tr>
      <w:tr w:rsidR="00B54D51" w:rsidRPr="00037AD4" w14:paraId="74508BBB" w14:textId="77777777" w:rsidTr="00401C67">
        <w:trPr>
          <w:jc w:val="center"/>
        </w:trPr>
        <w:tc>
          <w:tcPr>
            <w:tcW w:w="1577" w:type="pct"/>
            <w:tcBorders>
              <w:top w:val="nil"/>
              <w:left w:val="nil"/>
              <w:bottom w:val="nil"/>
              <w:right w:val="nil"/>
            </w:tcBorders>
          </w:tcPr>
          <w:p w14:paraId="61A2A2A7" w14:textId="77777777" w:rsidR="00B54D51" w:rsidRPr="00037AD4" w:rsidRDefault="00B54D51" w:rsidP="00401C67">
            <w:pPr>
              <w:widowControl w:val="0"/>
              <w:autoSpaceDE w:val="0"/>
              <w:autoSpaceDN w:val="0"/>
              <w:adjustRightInd w:val="0"/>
            </w:pPr>
          </w:p>
        </w:tc>
        <w:tc>
          <w:tcPr>
            <w:tcW w:w="570" w:type="pct"/>
            <w:tcBorders>
              <w:top w:val="nil"/>
              <w:left w:val="nil"/>
              <w:bottom w:val="nil"/>
              <w:right w:val="nil"/>
            </w:tcBorders>
          </w:tcPr>
          <w:p w14:paraId="3746D03D" w14:textId="77777777" w:rsidR="00B54D51" w:rsidRPr="00037AD4" w:rsidRDefault="00B54D51" w:rsidP="00401C67">
            <w:pPr>
              <w:widowControl w:val="0"/>
              <w:autoSpaceDE w:val="0"/>
              <w:autoSpaceDN w:val="0"/>
              <w:adjustRightInd w:val="0"/>
              <w:jc w:val="center"/>
            </w:pPr>
            <w:r w:rsidRPr="00037AD4">
              <w:t>(-0.302 - 0.095)</w:t>
            </w:r>
          </w:p>
        </w:tc>
        <w:tc>
          <w:tcPr>
            <w:tcW w:w="570" w:type="pct"/>
            <w:tcBorders>
              <w:top w:val="nil"/>
              <w:left w:val="nil"/>
              <w:bottom w:val="nil"/>
              <w:right w:val="nil"/>
            </w:tcBorders>
          </w:tcPr>
          <w:p w14:paraId="32AF7965"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10D0EB3D"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39DD4AF1"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7990D9D6"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4501E239" w14:textId="77777777" w:rsidR="00B54D51" w:rsidRPr="00037AD4" w:rsidRDefault="00B54D51" w:rsidP="00401C67">
            <w:pPr>
              <w:widowControl w:val="0"/>
              <w:autoSpaceDE w:val="0"/>
              <w:autoSpaceDN w:val="0"/>
              <w:adjustRightInd w:val="0"/>
              <w:jc w:val="center"/>
            </w:pPr>
          </w:p>
        </w:tc>
      </w:tr>
      <w:tr w:rsidR="00B54D51" w:rsidRPr="00037AD4" w14:paraId="2823F733" w14:textId="77777777" w:rsidTr="00401C67">
        <w:trPr>
          <w:jc w:val="center"/>
        </w:trPr>
        <w:tc>
          <w:tcPr>
            <w:tcW w:w="1577" w:type="pct"/>
            <w:tcBorders>
              <w:top w:val="nil"/>
              <w:left w:val="nil"/>
              <w:bottom w:val="nil"/>
              <w:right w:val="nil"/>
            </w:tcBorders>
          </w:tcPr>
          <w:p w14:paraId="510D7BC5" w14:textId="77777777" w:rsidR="00B54D51" w:rsidRPr="00037AD4" w:rsidRDefault="00B54D51" w:rsidP="00401C67">
            <w:pPr>
              <w:widowControl w:val="0"/>
              <w:autoSpaceDE w:val="0"/>
              <w:autoSpaceDN w:val="0"/>
              <w:adjustRightInd w:val="0"/>
            </w:pPr>
            <w:r w:rsidRPr="00037AD4">
              <w:t>3.eq5SR_</w:t>
            </w:r>
          </w:p>
        </w:tc>
        <w:tc>
          <w:tcPr>
            <w:tcW w:w="570" w:type="pct"/>
            <w:tcBorders>
              <w:top w:val="nil"/>
              <w:left w:val="nil"/>
              <w:bottom w:val="nil"/>
              <w:right w:val="nil"/>
            </w:tcBorders>
          </w:tcPr>
          <w:p w14:paraId="0D5211B5" w14:textId="77777777" w:rsidR="00B54D51" w:rsidRPr="00037AD4" w:rsidRDefault="00B54D51" w:rsidP="00401C67">
            <w:pPr>
              <w:widowControl w:val="0"/>
              <w:autoSpaceDE w:val="0"/>
              <w:autoSpaceDN w:val="0"/>
              <w:adjustRightInd w:val="0"/>
              <w:jc w:val="center"/>
            </w:pPr>
            <w:r w:rsidRPr="00037AD4">
              <w:t>-0.159</w:t>
            </w:r>
          </w:p>
        </w:tc>
        <w:tc>
          <w:tcPr>
            <w:tcW w:w="570" w:type="pct"/>
            <w:tcBorders>
              <w:top w:val="nil"/>
              <w:left w:val="nil"/>
              <w:bottom w:val="nil"/>
              <w:right w:val="nil"/>
            </w:tcBorders>
          </w:tcPr>
          <w:p w14:paraId="207DF7C4"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1B96D7B9"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04DE8C8F"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68C2EDD6"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192B2B2C" w14:textId="77777777" w:rsidR="00B54D51" w:rsidRPr="00037AD4" w:rsidRDefault="00B54D51" w:rsidP="00401C67">
            <w:pPr>
              <w:widowControl w:val="0"/>
              <w:autoSpaceDE w:val="0"/>
              <w:autoSpaceDN w:val="0"/>
              <w:adjustRightInd w:val="0"/>
              <w:jc w:val="center"/>
            </w:pPr>
          </w:p>
        </w:tc>
      </w:tr>
      <w:tr w:rsidR="00B54D51" w:rsidRPr="00037AD4" w14:paraId="752B6243" w14:textId="77777777" w:rsidTr="00401C67">
        <w:trPr>
          <w:jc w:val="center"/>
        </w:trPr>
        <w:tc>
          <w:tcPr>
            <w:tcW w:w="1577" w:type="pct"/>
            <w:tcBorders>
              <w:top w:val="nil"/>
              <w:left w:val="nil"/>
              <w:bottom w:val="nil"/>
              <w:right w:val="nil"/>
            </w:tcBorders>
          </w:tcPr>
          <w:p w14:paraId="06CF2C8F" w14:textId="77777777" w:rsidR="00B54D51" w:rsidRPr="00037AD4" w:rsidRDefault="00B54D51" w:rsidP="00401C67">
            <w:pPr>
              <w:widowControl w:val="0"/>
              <w:autoSpaceDE w:val="0"/>
              <w:autoSpaceDN w:val="0"/>
              <w:adjustRightInd w:val="0"/>
            </w:pPr>
          </w:p>
        </w:tc>
        <w:tc>
          <w:tcPr>
            <w:tcW w:w="570" w:type="pct"/>
            <w:tcBorders>
              <w:top w:val="nil"/>
              <w:left w:val="nil"/>
              <w:bottom w:val="nil"/>
              <w:right w:val="nil"/>
            </w:tcBorders>
          </w:tcPr>
          <w:p w14:paraId="54ED12EF" w14:textId="77777777" w:rsidR="00B54D51" w:rsidRPr="00037AD4" w:rsidRDefault="00B54D51" w:rsidP="00401C67">
            <w:pPr>
              <w:widowControl w:val="0"/>
              <w:autoSpaceDE w:val="0"/>
              <w:autoSpaceDN w:val="0"/>
              <w:adjustRightInd w:val="0"/>
              <w:jc w:val="center"/>
            </w:pPr>
            <w:r w:rsidRPr="00037AD4">
              <w:t>(-0.431 - 0.113)</w:t>
            </w:r>
          </w:p>
        </w:tc>
        <w:tc>
          <w:tcPr>
            <w:tcW w:w="570" w:type="pct"/>
            <w:tcBorders>
              <w:top w:val="nil"/>
              <w:left w:val="nil"/>
              <w:bottom w:val="nil"/>
              <w:right w:val="nil"/>
            </w:tcBorders>
          </w:tcPr>
          <w:p w14:paraId="25FC4261"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598B37C3"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4CE71A57"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58EA6807"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33A5A804" w14:textId="77777777" w:rsidR="00B54D51" w:rsidRPr="00037AD4" w:rsidRDefault="00B54D51" w:rsidP="00401C67">
            <w:pPr>
              <w:widowControl w:val="0"/>
              <w:autoSpaceDE w:val="0"/>
              <w:autoSpaceDN w:val="0"/>
              <w:adjustRightInd w:val="0"/>
              <w:jc w:val="center"/>
            </w:pPr>
          </w:p>
        </w:tc>
      </w:tr>
      <w:tr w:rsidR="00B54D51" w:rsidRPr="00037AD4" w14:paraId="6BCDF45D" w14:textId="77777777" w:rsidTr="00401C67">
        <w:trPr>
          <w:jc w:val="center"/>
        </w:trPr>
        <w:tc>
          <w:tcPr>
            <w:tcW w:w="1577" w:type="pct"/>
            <w:tcBorders>
              <w:top w:val="nil"/>
              <w:left w:val="nil"/>
              <w:bottom w:val="nil"/>
              <w:right w:val="nil"/>
            </w:tcBorders>
          </w:tcPr>
          <w:p w14:paraId="1C65A91E" w14:textId="77777777" w:rsidR="00B54D51" w:rsidRPr="00037AD4" w:rsidRDefault="00B54D51" w:rsidP="00401C67">
            <w:pPr>
              <w:widowControl w:val="0"/>
              <w:autoSpaceDE w:val="0"/>
              <w:autoSpaceDN w:val="0"/>
              <w:adjustRightInd w:val="0"/>
            </w:pPr>
            <w:r w:rsidRPr="00037AD4">
              <w:t>4.eq5SR_</w:t>
            </w:r>
          </w:p>
        </w:tc>
        <w:tc>
          <w:tcPr>
            <w:tcW w:w="570" w:type="pct"/>
            <w:tcBorders>
              <w:top w:val="nil"/>
              <w:left w:val="nil"/>
              <w:bottom w:val="nil"/>
              <w:right w:val="nil"/>
            </w:tcBorders>
          </w:tcPr>
          <w:p w14:paraId="03159248" w14:textId="77777777" w:rsidR="00B54D51" w:rsidRPr="00037AD4" w:rsidRDefault="00B54D51" w:rsidP="00401C67">
            <w:pPr>
              <w:widowControl w:val="0"/>
              <w:autoSpaceDE w:val="0"/>
              <w:autoSpaceDN w:val="0"/>
              <w:adjustRightInd w:val="0"/>
              <w:jc w:val="center"/>
            </w:pPr>
            <w:r w:rsidRPr="00037AD4">
              <w:t>-0.092</w:t>
            </w:r>
          </w:p>
        </w:tc>
        <w:tc>
          <w:tcPr>
            <w:tcW w:w="570" w:type="pct"/>
            <w:tcBorders>
              <w:top w:val="nil"/>
              <w:left w:val="nil"/>
              <w:bottom w:val="nil"/>
              <w:right w:val="nil"/>
            </w:tcBorders>
          </w:tcPr>
          <w:p w14:paraId="6D999857"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387626B0"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27B6F9B1"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3195C747"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5A0ACFAD" w14:textId="77777777" w:rsidR="00B54D51" w:rsidRPr="00037AD4" w:rsidRDefault="00B54D51" w:rsidP="00401C67">
            <w:pPr>
              <w:widowControl w:val="0"/>
              <w:autoSpaceDE w:val="0"/>
              <w:autoSpaceDN w:val="0"/>
              <w:adjustRightInd w:val="0"/>
              <w:jc w:val="center"/>
            </w:pPr>
          </w:p>
        </w:tc>
      </w:tr>
      <w:tr w:rsidR="00B54D51" w:rsidRPr="00037AD4" w14:paraId="600EA0D2" w14:textId="77777777" w:rsidTr="00401C67">
        <w:trPr>
          <w:jc w:val="center"/>
        </w:trPr>
        <w:tc>
          <w:tcPr>
            <w:tcW w:w="1577" w:type="pct"/>
            <w:tcBorders>
              <w:top w:val="nil"/>
              <w:left w:val="nil"/>
              <w:bottom w:val="nil"/>
              <w:right w:val="nil"/>
            </w:tcBorders>
          </w:tcPr>
          <w:p w14:paraId="57248FCA" w14:textId="77777777" w:rsidR="00B54D51" w:rsidRPr="00037AD4" w:rsidRDefault="00B54D51" w:rsidP="00401C67">
            <w:pPr>
              <w:widowControl w:val="0"/>
              <w:autoSpaceDE w:val="0"/>
              <w:autoSpaceDN w:val="0"/>
              <w:adjustRightInd w:val="0"/>
            </w:pPr>
          </w:p>
        </w:tc>
        <w:tc>
          <w:tcPr>
            <w:tcW w:w="570" w:type="pct"/>
            <w:tcBorders>
              <w:top w:val="nil"/>
              <w:left w:val="nil"/>
              <w:bottom w:val="nil"/>
              <w:right w:val="nil"/>
            </w:tcBorders>
          </w:tcPr>
          <w:p w14:paraId="30AD29E7" w14:textId="77777777" w:rsidR="00B54D51" w:rsidRPr="00037AD4" w:rsidRDefault="00B54D51" w:rsidP="00401C67">
            <w:pPr>
              <w:widowControl w:val="0"/>
              <w:autoSpaceDE w:val="0"/>
              <w:autoSpaceDN w:val="0"/>
              <w:adjustRightInd w:val="0"/>
              <w:jc w:val="center"/>
            </w:pPr>
            <w:r w:rsidRPr="00037AD4">
              <w:t>(-0.638 - 0.454)</w:t>
            </w:r>
          </w:p>
        </w:tc>
        <w:tc>
          <w:tcPr>
            <w:tcW w:w="570" w:type="pct"/>
            <w:tcBorders>
              <w:top w:val="nil"/>
              <w:left w:val="nil"/>
              <w:bottom w:val="nil"/>
              <w:right w:val="nil"/>
            </w:tcBorders>
          </w:tcPr>
          <w:p w14:paraId="7E2D3D82"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289DA614"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42F91EDD"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6A21D6B4"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2F36B01A" w14:textId="77777777" w:rsidR="00B54D51" w:rsidRPr="00037AD4" w:rsidRDefault="00B54D51" w:rsidP="00401C67">
            <w:pPr>
              <w:widowControl w:val="0"/>
              <w:autoSpaceDE w:val="0"/>
              <w:autoSpaceDN w:val="0"/>
              <w:adjustRightInd w:val="0"/>
              <w:jc w:val="center"/>
            </w:pPr>
          </w:p>
        </w:tc>
      </w:tr>
      <w:tr w:rsidR="00B54D51" w:rsidRPr="00037AD4" w14:paraId="24845A6E" w14:textId="77777777" w:rsidTr="00401C67">
        <w:trPr>
          <w:jc w:val="center"/>
        </w:trPr>
        <w:tc>
          <w:tcPr>
            <w:tcW w:w="1577" w:type="pct"/>
            <w:tcBorders>
              <w:top w:val="nil"/>
              <w:left w:val="nil"/>
              <w:bottom w:val="nil"/>
              <w:right w:val="nil"/>
            </w:tcBorders>
          </w:tcPr>
          <w:p w14:paraId="2C3C8E27" w14:textId="77777777" w:rsidR="00B54D51" w:rsidRPr="00037AD4" w:rsidRDefault="00B54D51" w:rsidP="00401C67">
            <w:pPr>
              <w:widowControl w:val="0"/>
              <w:autoSpaceDE w:val="0"/>
              <w:autoSpaceDN w:val="0"/>
              <w:adjustRightInd w:val="0"/>
            </w:pPr>
            <w:r w:rsidRPr="00037AD4">
              <w:t>5.eq5SR_</w:t>
            </w:r>
          </w:p>
        </w:tc>
        <w:tc>
          <w:tcPr>
            <w:tcW w:w="570" w:type="pct"/>
            <w:tcBorders>
              <w:top w:val="nil"/>
              <w:left w:val="nil"/>
              <w:bottom w:val="nil"/>
              <w:right w:val="nil"/>
            </w:tcBorders>
          </w:tcPr>
          <w:p w14:paraId="2A263D4B" w14:textId="77777777" w:rsidR="00B54D51" w:rsidRPr="00037AD4" w:rsidRDefault="00B54D51" w:rsidP="00401C67">
            <w:pPr>
              <w:widowControl w:val="0"/>
              <w:autoSpaceDE w:val="0"/>
              <w:autoSpaceDN w:val="0"/>
              <w:adjustRightInd w:val="0"/>
              <w:jc w:val="center"/>
            </w:pPr>
            <w:r w:rsidRPr="00037AD4">
              <w:t>-0.028</w:t>
            </w:r>
          </w:p>
        </w:tc>
        <w:tc>
          <w:tcPr>
            <w:tcW w:w="570" w:type="pct"/>
            <w:tcBorders>
              <w:top w:val="nil"/>
              <w:left w:val="nil"/>
              <w:bottom w:val="nil"/>
              <w:right w:val="nil"/>
            </w:tcBorders>
          </w:tcPr>
          <w:p w14:paraId="180A38E5"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5B356A14"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2B3366A5"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6DF59890"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01EAB73D" w14:textId="77777777" w:rsidR="00B54D51" w:rsidRPr="00037AD4" w:rsidRDefault="00B54D51" w:rsidP="00401C67">
            <w:pPr>
              <w:widowControl w:val="0"/>
              <w:autoSpaceDE w:val="0"/>
              <w:autoSpaceDN w:val="0"/>
              <w:adjustRightInd w:val="0"/>
              <w:jc w:val="center"/>
            </w:pPr>
          </w:p>
        </w:tc>
      </w:tr>
      <w:tr w:rsidR="00B54D51" w:rsidRPr="00037AD4" w14:paraId="02470F55" w14:textId="77777777" w:rsidTr="00401C67">
        <w:trPr>
          <w:jc w:val="center"/>
        </w:trPr>
        <w:tc>
          <w:tcPr>
            <w:tcW w:w="1577" w:type="pct"/>
            <w:tcBorders>
              <w:top w:val="nil"/>
              <w:left w:val="nil"/>
              <w:bottom w:val="nil"/>
              <w:right w:val="nil"/>
            </w:tcBorders>
          </w:tcPr>
          <w:p w14:paraId="048DFB71" w14:textId="77777777" w:rsidR="00B54D51" w:rsidRPr="00037AD4" w:rsidRDefault="00B54D51" w:rsidP="00401C67">
            <w:pPr>
              <w:widowControl w:val="0"/>
              <w:autoSpaceDE w:val="0"/>
              <w:autoSpaceDN w:val="0"/>
              <w:adjustRightInd w:val="0"/>
            </w:pPr>
          </w:p>
        </w:tc>
        <w:tc>
          <w:tcPr>
            <w:tcW w:w="570" w:type="pct"/>
            <w:tcBorders>
              <w:top w:val="nil"/>
              <w:left w:val="nil"/>
              <w:bottom w:val="nil"/>
              <w:right w:val="nil"/>
            </w:tcBorders>
          </w:tcPr>
          <w:p w14:paraId="55F3E17C" w14:textId="77777777" w:rsidR="00B54D51" w:rsidRPr="00037AD4" w:rsidRDefault="00B54D51" w:rsidP="00401C67">
            <w:pPr>
              <w:widowControl w:val="0"/>
              <w:autoSpaceDE w:val="0"/>
              <w:autoSpaceDN w:val="0"/>
              <w:adjustRightInd w:val="0"/>
              <w:jc w:val="center"/>
            </w:pPr>
            <w:r w:rsidRPr="00037AD4">
              <w:t>(-2.528 - 2.472)</w:t>
            </w:r>
          </w:p>
        </w:tc>
        <w:tc>
          <w:tcPr>
            <w:tcW w:w="570" w:type="pct"/>
            <w:tcBorders>
              <w:top w:val="nil"/>
              <w:left w:val="nil"/>
              <w:bottom w:val="nil"/>
              <w:right w:val="nil"/>
            </w:tcBorders>
          </w:tcPr>
          <w:p w14:paraId="081E3E2C"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0B43D596"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4465866D"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05E2E083"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6BCBBE0E" w14:textId="77777777" w:rsidR="00B54D51" w:rsidRPr="00037AD4" w:rsidRDefault="00B54D51" w:rsidP="00401C67">
            <w:pPr>
              <w:widowControl w:val="0"/>
              <w:autoSpaceDE w:val="0"/>
              <w:autoSpaceDN w:val="0"/>
              <w:adjustRightInd w:val="0"/>
              <w:jc w:val="center"/>
            </w:pPr>
          </w:p>
        </w:tc>
      </w:tr>
      <w:tr w:rsidR="00B54D51" w:rsidRPr="00037AD4" w14:paraId="21C2880F" w14:textId="77777777" w:rsidTr="00401C67">
        <w:trPr>
          <w:jc w:val="center"/>
        </w:trPr>
        <w:tc>
          <w:tcPr>
            <w:tcW w:w="1577" w:type="pct"/>
            <w:tcBorders>
              <w:top w:val="nil"/>
              <w:left w:val="nil"/>
              <w:bottom w:val="nil"/>
              <w:right w:val="nil"/>
            </w:tcBorders>
          </w:tcPr>
          <w:p w14:paraId="7B23E73F" w14:textId="77777777" w:rsidR="00B54D51" w:rsidRPr="00037AD4" w:rsidRDefault="00B54D51" w:rsidP="00401C67">
            <w:pPr>
              <w:widowControl w:val="0"/>
              <w:autoSpaceDE w:val="0"/>
              <w:autoSpaceDN w:val="0"/>
              <w:adjustRightInd w:val="0"/>
            </w:pPr>
            <w:r w:rsidRPr="00037AD4">
              <w:t>1.CDR_new_</w:t>
            </w:r>
          </w:p>
        </w:tc>
        <w:tc>
          <w:tcPr>
            <w:tcW w:w="570" w:type="pct"/>
            <w:tcBorders>
              <w:top w:val="nil"/>
              <w:left w:val="nil"/>
              <w:bottom w:val="nil"/>
              <w:right w:val="nil"/>
            </w:tcBorders>
          </w:tcPr>
          <w:p w14:paraId="2B6B6502" w14:textId="77777777" w:rsidR="00B54D51" w:rsidRPr="00037AD4" w:rsidRDefault="00B54D51" w:rsidP="00401C67">
            <w:pPr>
              <w:widowControl w:val="0"/>
              <w:autoSpaceDE w:val="0"/>
              <w:autoSpaceDN w:val="0"/>
              <w:adjustRightInd w:val="0"/>
              <w:jc w:val="center"/>
            </w:pPr>
            <w:r w:rsidRPr="00037AD4">
              <w:t>0.350</w:t>
            </w:r>
          </w:p>
        </w:tc>
        <w:tc>
          <w:tcPr>
            <w:tcW w:w="570" w:type="pct"/>
            <w:tcBorders>
              <w:top w:val="nil"/>
              <w:left w:val="nil"/>
              <w:bottom w:val="nil"/>
              <w:right w:val="nil"/>
            </w:tcBorders>
          </w:tcPr>
          <w:p w14:paraId="520ED7B7"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1E766717"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3F5DAE81"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07FC59D7"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770F51D0" w14:textId="77777777" w:rsidR="00B54D51" w:rsidRPr="00037AD4" w:rsidRDefault="00B54D51" w:rsidP="00401C67">
            <w:pPr>
              <w:widowControl w:val="0"/>
              <w:autoSpaceDE w:val="0"/>
              <w:autoSpaceDN w:val="0"/>
              <w:adjustRightInd w:val="0"/>
              <w:jc w:val="center"/>
            </w:pPr>
          </w:p>
        </w:tc>
      </w:tr>
      <w:tr w:rsidR="00B54D51" w:rsidRPr="00037AD4" w14:paraId="798A0AC5" w14:textId="77777777" w:rsidTr="00401C67">
        <w:trPr>
          <w:jc w:val="center"/>
        </w:trPr>
        <w:tc>
          <w:tcPr>
            <w:tcW w:w="1577" w:type="pct"/>
            <w:tcBorders>
              <w:top w:val="nil"/>
              <w:left w:val="nil"/>
              <w:bottom w:val="nil"/>
              <w:right w:val="nil"/>
            </w:tcBorders>
          </w:tcPr>
          <w:p w14:paraId="3EEA65B7" w14:textId="77777777" w:rsidR="00B54D51" w:rsidRPr="00037AD4" w:rsidRDefault="00B54D51" w:rsidP="00401C67">
            <w:pPr>
              <w:widowControl w:val="0"/>
              <w:autoSpaceDE w:val="0"/>
              <w:autoSpaceDN w:val="0"/>
              <w:adjustRightInd w:val="0"/>
            </w:pPr>
          </w:p>
        </w:tc>
        <w:tc>
          <w:tcPr>
            <w:tcW w:w="570" w:type="pct"/>
            <w:tcBorders>
              <w:top w:val="nil"/>
              <w:left w:val="nil"/>
              <w:bottom w:val="nil"/>
              <w:right w:val="nil"/>
            </w:tcBorders>
          </w:tcPr>
          <w:p w14:paraId="414CF526" w14:textId="77777777" w:rsidR="00B54D51" w:rsidRPr="00037AD4" w:rsidRDefault="00B54D51" w:rsidP="00401C67">
            <w:pPr>
              <w:widowControl w:val="0"/>
              <w:autoSpaceDE w:val="0"/>
              <w:autoSpaceDN w:val="0"/>
              <w:adjustRightInd w:val="0"/>
              <w:jc w:val="center"/>
            </w:pPr>
            <w:r w:rsidRPr="00037AD4">
              <w:t>(-0.232 - 0.931)</w:t>
            </w:r>
          </w:p>
        </w:tc>
        <w:tc>
          <w:tcPr>
            <w:tcW w:w="570" w:type="pct"/>
            <w:tcBorders>
              <w:top w:val="nil"/>
              <w:left w:val="nil"/>
              <w:bottom w:val="nil"/>
              <w:right w:val="nil"/>
            </w:tcBorders>
          </w:tcPr>
          <w:p w14:paraId="40657A36"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100E476E"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0ED70A53"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6AB3D0F1"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0F638FA3" w14:textId="77777777" w:rsidR="00B54D51" w:rsidRPr="00037AD4" w:rsidRDefault="00B54D51" w:rsidP="00401C67">
            <w:pPr>
              <w:widowControl w:val="0"/>
              <w:autoSpaceDE w:val="0"/>
              <w:autoSpaceDN w:val="0"/>
              <w:adjustRightInd w:val="0"/>
              <w:jc w:val="center"/>
            </w:pPr>
          </w:p>
        </w:tc>
      </w:tr>
      <w:tr w:rsidR="00B54D51" w:rsidRPr="00037AD4" w14:paraId="4DF04CD3" w14:textId="77777777" w:rsidTr="00401C67">
        <w:trPr>
          <w:jc w:val="center"/>
        </w:trPr>
        <w:tc>
          <w:tcPr>
            <w:tcW w:w="1577" w:type="pct"/>
            <w:tcBorders>
              <w:top w:val="nil"/>
              <w:left w:val="nil"/>
              <w:bottom w:val="nil"/>
              <w:right w:val="nil"/>
            </w:tcBorders>
          </w:tcPr>
          <w:p w14:paraId="3FCC2E5D" w14:textId="77777777" w:rsidR="00B54D51" w:rsidRPr="00037AD4" w:rsidRDefault="00B54D51" w:rsidP="00401C67">
            <w:pPr>
              <w:widowControl w:val="0"/>
              <w:autoSpaceDE w:val="0"/>
              <w:autoSpaceDN w:val="0"/>
              <w:adjustRightInd w:val="0"/>
            </w:pPr>
            <w:r w:rsidRPr="00037AD4">
              <w:t>2.CDR_new_</w:t>
            </w:r>
          </w:p>
        </w:tc>
        <w:tc>
          <w:tcPr>
            <w:tcW w:w="570" w:type="pct"/>
            <w:tcBorders>
              <w:top w:val="nil"/>
              <w:left w:val="nil"/>
              <w:bottom w:val="nil"/>
              <w:right w:val="nil"/>
            </w:tcBorders>
          </w:tcPr>
          <w:p w14:paraId="171B76EF" w14:textId="77777777" w:rsidR="00B54D51" w:rsidRPr="00037AD4" w:rsidRDefault="00B54D51" w:rsidP="00401C67">
            <w:pPr>
              <w:widowControl w:val="0"/>
              <w:autoSpaceDE w:val="0"/>
              <w:autoSpaceDN w:val="0"/>
              <w:adjustRightInd w:val="0"/>
              <w:jc w:val="center"/>
            </w:pPr>
            <w:r w:rsidRPr="00037AD4">
              <w:t>0.578*</w:t>
            </w:r>
          </w:p>
        </w:tc>
        <w:tc>
          <w:tcPr>
            <w:tcW w:w="570" w:type="pct"/>
            <w:tcBorders>
              <w:top w:val="nil"/>
              <w:left w:val="nil"/>
              <w:bottom w:val="nil"/>
              <w:right w:val="nil"/>
            </w:tcBorders>
          </w:tcPr>
          <w:p w14:paraId="13AE7DCD"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281CE62F"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77B76233"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513F4985"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03F44B10" w14:textId="77777777" w:rsidR="00B54D51" w:rsidRPr="00037AD4" w:rsidRDefault="00B54D51" w:rsidP="00401C67">
            <w:pPr>
              <w:widowControl w:val="0"/>
              <w:autoSpaceDE w:val="0"/>
              <w:autoSpaceDN w:val="0"/>
              <w:adjustRightInd w:val="0"/>
              <w:jc w:val="center"/>
            </w:pPr>
          </w:p>
        </w:tc>
      </w:tr>
      <w:tr w:rsidR="00B54D51" w:rsidRPr="00037AD4" w14:paraId="54E563E5" w14:textId="77777777" w:rsidTr="00401C67">
        <w:trPr>
          <w:jc w:val="center"/>
        </w:trPr>
        <w:tc>
          <w:tcPr>
            <w:tcW w:w="1577" w:type="pct"/>
            <w:tcBorders>
              <w:top w:val="nil"/>
              <w:left w:val="nil"/>
              <w:bottom w:val="nil"/>
              <w:right w:val="nil"/>
            </w:tcBorders>
          </w:tcPr>
          <w:p w14:paraId="16C01458" w14:textId="77777777" w:rsidR="00B54D51" w:rsidRPr="00037AD4" w:rsidRDefault="00B54D51" w:rsidP="00401C67">
            <w:pPr>
              <w:widowControl w:val="0"/>
              <w:autoSpaceDE w:val="0"/>
              <w:autoSpaceDN w:val="0"/>
              <w:adjustRightInd w:val="0"/>
            </w:pPr>
          </w:p>
        </w:tc>
        <w:tc>
          <w:tcPr>
            <w:tcW w:w="570" w:type="pct"/>
            <w:tcBorders>
              <w:top w:val="nil"/>
              <w:left w:val="nil"/>
              <w:bottom w:val="nil"/>
              <w:right w:val="nil"/>
            </w:tcBorders>
          </w:tcPr>
          <w:p w14:paraId="61D937B4" w14:textId="77777777" w:rsidR="00B54D51" w:rsidRPr="00037AD4" w:rsidRDefault="00B54D51" w:rsidP="00401C67">
            <w:pPr>
              <w:widowControl w:val="0"/>
              <w:autoSpaceDE w:val="0"/>
              <w:autoSpaceDN w:val="0"/>
              <w:adjustRightInd w:val="0"/>
              <w:jc w:val="center"/>
            </w:pPr>
            <w:r w:rsidRPr="00037AD4">
              <w:t>(-0.063 - 1.218)</w:t>
            </w:r>
          </w:p>
        </w:tc>
        <w:tc>
          <w:tcPr>
            <w:tcW w:w="570" w:type="pct"/>
            <w:tcBorders>
              <w:top w:val="nil"/>
              <w:left w:val="nil"/>
              <w:bottom w:val="nil"/>
              <w:right w:val="nil"/>
            </w:tcBorders>
          </w:tcPr>
          <w:p w14:paraId="653AD605"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1D3171A8"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0CE20CD5"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5712EFD7"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0C87E83F" w14:textId="77777777" w:rsidR="00B54D51" w:rsidRPr="00037AD4" w:rsidRDefault="00B54D51" w:rsidP="00401C67">
            <w:pPr>
              <w:widowControl w:val="0"/>
              <w:autoSpaceDE w:val="0"/>
              <w:autoSpaceDN w:val="0"/>
              <w:adjustRightInd w:val="0"/>
              <w:jc w:val="center"/>
            </w:pPr>
          </w:p>
        </w:tc>
      </w:tr>
      <w:tr w:rsidR="00B54D51" w:rsidRPr="00037AD4" w14:paraId="1AAE943E" w14:textId="77777777" w:rsidTr="00401C67">
        <w:trPr>
          <w:jc w:val="center"/>
        </w:trPr>
        <w:tc>
          <w:tcPr>
            <w:tcW w:w="1577" w:type="pct"/>
            <w:tcBorders>
              <w:top w:val="nil"/>
              <w:left w:val="nil"/>
              <w:bottom w:val="nil"/>
              <w:right w:val="nil"/>
            </w:tcBorders>
          </w:tcPr>
          <w:p w14:paraId="7F362C11" w14:textId="77777777" w:rsidR="00B54D51" w:rsidRPr="00037AD4" w:rsidRDefault="00B54D51" w:rsidP="00401C67">
            <w:pPr>
              <w:widowControl w:val="0"/>
              <w:autoSpaceDE w:val="0"/>
              <w:autoSpaceDN w:val="0"/>
              <w:adjustRightInd w:val="0"/>
            </w:pPr>
            <w:r w:rsidRPr="00037AD4">
              <w:t>3.CDR_new_</w:t>
            </w:r>
          </w:p>
        </w:tc>
        <w:tc>
          <w:tcPr>
            <w:tcW w:w="570" w:type="pct"/>
            <w:tcBorders>
              <w:top w:val="nil"/>
              <w:left w:val="nil"/>
              <w:bottom w:val="nil"/>
              <w:right w:val="nil"/>
            </w:tcBorders>
          </w:tcPr>
          <w:p w14:paraId="5C458D3F" w14:textId="77777777" w:rsidR="00B54D51" w:rsidRPr="00037AD4" w:rsidRDefault="00B54D51" w:rsidP="00401C67">
            <w:pPr>
              <w:widowControl w:val="0"/>
              <w:autoSpaceDE w:val="0"/>
              <w:autoSpaceDN w:val="0"/>
              <w:adjustRightInd w:val="0"/>
              <w:jc w:val="center"/>
            </w:pPr>
            <w:r w:rsidRPr="00037AD4">
              <w:t>0.335</w:t>
            </w:r>
          </w:p>
        </w:tc>
        <w:tc>
          <w:tcPr>
            <w:tcW w:w="570" w:type="pct"/>
            <w:tcBorders>
              <w:top w:val="nil"/>
              <w:left w:val="nil"/>
              <w:bottom w:val="nil"/>
              <w:right w:val="nil"/>
            </w:tcBorders>
          </w:tcPr>
          <w:p w14:paraId="73489A80"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435C20ED"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40680AD3"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72741B9D"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6B544381" w14:textId="77777777" w:rsidR="00B54D51" w:rsidRPr="00037AD4" w:rsidRDefault="00B54D51" w:rsidP="00401C67">
            <w:pPr>
              <w:widowControl w:val="0"/>
              <w:autoSpaceDE w:val="0"/>
              <w:autoSpaceDN w:val="0"/>
              <w:adjustRightInd w:val="0"/>
              <w:jc w:val="center"/>
            </w:pPr>
          </w:p>
        </w:tc>
      </w:tr>
      <w:tr w:rsidR="00B54D51" w:rsidRPr="00037AD4" w14:paraId="064763B4" w14:textId="77777777" w:rsidTr="00401C67">
        <w:trPr>
          <w:jc w:val="center"/>
        </w:trPr>
        <w:tc>
          <w:tcPr>
            <w:tcW w:w="1577" w:type="pct"/>
            <w:tcBorders>
              <w:top w:val="nil"/>
              <w:left w:val="nil"/>
              <w:bottom w:val="nil"/>
              <w:right w:val="nil"/>
            </w:tcBorders>
          </w:tcPr>
          <w:p w14:paraId="3679C30D" w14:textId="77777777" w:rsidR="00B54D51" w:rsidRPr="00037AD4" w:rsidRDefault="00B54D51" w:rsidP="00401C67">
            <w:pPr>
              <w:widowControl w:val="0"/>
              <w:autoSpaceDE w:val="0"/>
              <w:autoSpaceDN w:val="0"/>
              <w:adjustRightInd w:val="0"/>
            </w:pPr>
          </w:p>
        </w:tc>
        <w:tc>
          <w:tcPr>
            <w:tcW w:w="570" w:type="pct"/>
            <w:tcBorders>
              <w:top w:val="nil"/>
              <w:left w:val="nil"/>
              <w:bottom w:val="nil"/>
              <w:right w:val="nil"/>
            </w:tcBorders>
          </w:tcPr>
          <w:p w14:paraId="783C89DC" w14:textId="77777777" w:rsidR="00B54D51" w:rsidRPr="00037AD4" w:rsidRDefault="00B54D51" w:rsidP="00401C67">
            <w:pPr>
              <w:widowControl w:val="0"/>
              <w:autoSpaceDE w:val="0"/>
              <w:autoSpaceDN w:val="0"/>
              <w:adjustRightInd w:val="0"/>
              <w:jc w:val="center"/>
            </w:pPr>
            <w:r w:rsidRPr="00037AD4">
              <w:t>(-0.608 - 1.279)</w:t>
            </w:r>
          </w:p>
        </w:tc>
        <w:tc>
          <w:tcPr>
            <w:tcW w:w="570" w:type="pct"/>
            <w:tcBorders>
              <w:top w:val="nil"/>
              <w:left w:val="nil"/>
              <w:bottom w:val="nil"/>
              <w:right w:val="nil"/>
            </w:tcBorders>
          </w:tcPr>
          <w:p w14:paraId="4581A958"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1A4A6884"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339857BC"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766AA195"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73C5CC9C" w14:textId="77777777" w:rsidR="00B54D51" w:rsidRPr="00037AD4" w:rsidRDefault="00B54D51" w:rsidP="00401C67">
            <w:pPr>
              <w:widowControl w:val="0"/>
              <w:autoSpaceDE w:val="0"/>
              <w:autoSpaceDN w:val="0"/>
              <w:adjustRightInd w:val="0"/>
              <w:jc w:val="center"/>
            </w:pPr>
          </w:p>
        </w:tc>
      </w:tr>
      <w:tr w:rsidR="00B54D51" w:rsidRPr="00037AD4" w14:paraId="1E2BE3F8" w14:textId="77777777" w:rsidTr="00401C67">
        <w:trPr>
          <w:jc w:val="center"/>
        </w:trPr>
        <w:tc>
          <w:tcPr>
            <w:tcW w:w="1577" w:type="pct"/>
            <w:tcBorders>
              <w:top w:val="nil"/>
              <w:left w:val="nil"/>
              <w:bottom w:val="nil"/>
              <w:right w:val="nil"/>
            </w:tcBorders>
          </w:tcPr>
          <w:p w14:paraId="7BC89A92" w14:textId="77777777" w:rsidR="00B54D51" w:rsidRPr="00037AD4" w:rsidRDefault="00B54D51" w:rsidP="00401C67">
            <w:pPr>
              <w:widowControl w:val="0"/>
              <w:autoSpaceDE w:val="0"/>
              <w:autoSpaceDN w:val="0"/>
              <w:adjustRightInd w:val="0"/>
            </w:pPr>
            <w:r w:rsidRPr="00037AD4">
              <w:t>MMSE_Total_</w:t>
            </w:r>
          </w:p>
        </w:tc>
        <w:tc>
          <w:tcPr>
            <w:tcW w:w="570" w:type="pct"/>
            <w:tcBorders>
              <w:top w:val="nil"/>
              <w:left w:val="nil"/>
              <w:bottom w:val="nil"/>
              <w:right w:val="nil"/>
            </w:tcBorders>
          </w:tcPr>
          <w:p w14:paraId="59DEDD5B" w14:textId="77777777" w:rsidR="00B54D51" w:rsidRPr="00037AD4" w:rsidRDefault="00B54D51" w:rsidP="00401C67">
            <w:pPr>
              <w:widowControl w:val="0"/>
              <w:autoSpaceDE w:val="0"/>
              <w:autoSpaceDN w:val="0"/>
              <w:adjustRightInd w:val="0"/>
              <w:jc w:val="center"/>
            </w:pPr>
            <w:r w:rsidRPr="00037AD4">
              <w:t>0.019*</w:t>
            </w:r>
          </w:p>
        </w:tc>
        <w:tc>
          <w:tcPr>
            <w:tcW w:w="570" w:type="pct"/>
            <w:tcBorders>
              <w:top w:val="nil"/>
              <w:left w:val="nil"/>
              <w:bottom w:val="nil"/>
              <w:right w:val="nil"/>
            </w:tcBorders>
          </w:tcPr>
          <w:p w14:paraId="55DED1E3" w14:textId="77777777" w:rsidR="00B54D51" w:rsidRPr="00037AD4" w:rsidRDefault="00B54D51" w:rsidP="00401C67">
            <w:pPr>
              <w:widowControl w:val="0"/>
              <w:autoSpaceDE w:val="0"/>
              <w:autoSpaceDN w:val="0"/>
              <w:adjustRightInd w:val="0"/>
              <w:jc w:val="center"/>
            </w:pPr>
            <w:r w:rsidRPr="00037AD4">
              <w:t>0.017</w:t>
            </w:r>
          </w:p>
        </w:tc>
        <w:tc>
          <w:tcPr>
            <w:tcW w:w="570" w:type="pct"/>
            <w:tcBorders>
              <w:top w:val="nil"/>
              <w:left w:val="nil"/>
              <w:bottom w:val="nil"/>
              <w:right w:val="nil"/>
            </w:tcBorders>
          </w:tcPr>
          <w:p w14:paraId="6026C588" w14:textId="77777777" w:rsidR="00B54D51" w:rsidRPr="00037AD4" w:rsidRDefault="00B54D51" w:rsidP="00401C67">
            <w:pPr>
              <w:widowControl w:val="0"/>
              <w:autoSpaceDE w:val="0"/>
              <w:autoSpaceDN w:val="0"/>
              <w:adjustRightInd w:val="0"/>
              <w:jc w:val="center"/>
            </w:pPr>
            <w:r w:rsidRPr="00037AD4">
              <w:t>0.015</w:t>
            </w:r>
          </w:p>
        </w:tc>
        <w:tc>
          <w:tcPr>
            <w:tcW w:w="570" w:type="pct"/>
            <w:tcBorders>
              <w:top w:val="nil"/>
              <w:left w:val="nil"/>
              <w:bottom w:val="nil"/>
              <w:right w:val="nil"/>
            </w:tcBorders>
          </w:tcPr>
          <w:p w14:paraId="4A74EAF7" w14:textId="77777777" w:rsidR="00B54D51" w:rsidRPr="00037AD4" w:rsidRDefault="00B54D51" w:rsidP="00401C67">
            <w:pPr>
              <w:widowControl w:val="0"/>
              <w:autoSpaceDE w:val="0"/>
              <w:autoSpaceDN w:val="0"/>
              <w:adjustRightInd w:val="0"/>
              <w:jc w:val="center"/>
            </w:pPr>
            <w:r w:rsidRPr="00037AD4">
              <w:t>-0.006</w:t>
            </w:r>
          </w:p>
        </w:tc>
        <w:tc>
          <w:tcPr>
            <w:tcW w:w="570" w:type="pct"/>
            <w:tcBorders>
              <w:top w:val="nil"/>
              <w:left w:val="nil"/>
              <w:bottom w:val="nil"/>
              <w:right w:val="nil"/>
            </w:tcBorders>
          </w:tcPr>
          <w:p w14:paraId="0266E98A" w14:textId="77777777" w:rsidR="00B54D51" w:rsidRPr="00037AD4" w:rsidRDefault="00B54D51" w:rsidP="00401C67">
            <w:pPr>
              <w:widowControl w:val="0"/>
              <w:autoSpaceDE w:val="0"/>
              <w:autoSpaceDN w:val="0"/>
              <w:adjustRightInd w:val="0"/>
              <w:jc w:val="center"/>
            </w:pPr>
            <w:r w:rsidRPr="00037AD4">
              <w:t>0.001</w:t>
            </w:r>
          </w:p>
        </w:tc>
        <w:tc>
          <w:tcPr>
            <w:tcW w:w="570" w:type="pct"/>
            <w:tcBorders>
              <w:top w:val="nil"/>
              <w:left w:val="nil"/>
              <w:bottom w:val="nil"/>
              <w:right w:val="nil"/>
            </w:tcBorders>
          </w:tcPr>
          <w:p w14:paraId="411A0483" w14:textId="77777777" w:rsidR="00B54D51" w:rsidRPr="00037AD4" w:rsidRDefault="00B54D51" w:rsidP="00401C67">
            <w:pPr>
              <w:widowControl w:val="0"/>
              <w:autoSpaceDE w:val="0"/>
              <w:autoSpaceDN w:val="0"/>
              <w:adjustRightInd w:val="0"/>
              <w:jc w:val="center"/>
            </w:pPr>
          </w:p>
        </w:tc>
      </w:tr>
      <w:tr w:rsidR="00B54D51" w:rsidRPr="00037AD4" w14:paraId="7D3630ED" w14:textId="77777777" w:rsidTr="00401C67">
        <w:trPr>
          <w:jc w:val="center"/>
        </w:trPr>
        <w:tc>
          <w:tcPr>
            <w:tcW w:w="1577" w:type="pct"/>
            <w:tcBorders>
              <w:top w:val="nil"/>
              <w:left w:val="nil"/>
              <w:bottom w:val="nil"/>
              <w:right w:val="nil"/>
            </w:tcBorders>
          </w:tcPr>
          <w:p w14:paraId="14D56B6D" w14:textId="77777777" w:rsidR="00B54D51" w:rsidRPr="00037AD4" w:rsidRDefault="00B54D51" w:rsidP="00401C67">
            <w:pPr>
              <w:widowControl w:val="0"/>
              <w:autoSpaceDE w:val="0"/>
              <w:autoSpaceDN w:val="0"/>
              <w:adjustRightInd w:val="0"/>
            </w:pPr>
          </w:p>
        </w:tc>
        <w:tc>
          <w:tcPr>
            <w:tcW w:w="570" w:type="pct"/>
            <w:tcBorders>
              <w:top w:val="nil"/>
              <w:left w:val="nil"/>
              <w:bottom w:val="nil"/>
              <w:right w:val="nil"/>
            </w:tcBorders>
          </w:tcPr>
          <w:p w14:paraId="5A86EF44" w14:textId="77777777" w:rsidR="00B54D51" w:rsidRPr="00037AD4" w:rsidRDefault="00B54D51" w:rsidP="00401C67">
            <w:pPr>
              <w:widowControl w:val="0"/>
              <w:autoSpaceDE w:val="0"/>
              <w:autoSpaceDN w:val="0"/>
              <w:adjustRightInd w:val="0"/>
              <w:jc w:val="center"/>
            </w:pPr>
            <w:r w:rsidRPr="00037AD4">
              <w:t>(-0.002 - 0.040)</w:t>
            </w:r>
          </w:p>
        </w:tc>
        <w:tc>
          <w:tcPr>
            <w:tcW w:w="570" w:type="pct"/>
            <w:tcBorders>
              <w:top w:val="nil"/>
              <w:left w:val="nil"/>
              <w:bottom w:val="nil"/>
              <w:right w:val="nil"/>
            </w:tcBorders>
          </w:tcPr>
          <w:p w14:paraId="0595E62A" w14:textId="77777777" w:rsidR="00B54D51" w:rsidRPr="00037AD4" w:rsidRDefault="00B54D51" w:rsidP="00401C67">
            <w:pPr>
              <w:widowControl w:val="0"/>
              <w:autoSpaceDE w:val="0"/>
              <w:autoSpaceDN w:val="0"/>
              <w:adjustRightInd w:val="0"/>
              <w:jc w:val="center"/>
            </w:pPr>
            <w:r w:rsidRPr="00037AD4">
              <w:t>(0.001 - 0.035)</w:t>
            </w:r>
          </w:p>
        </w:tc>
        <w:tc>
          <w:tcPr>
            <w:tcW w:w="570" w:type="pct"/>
            <w:tcBorders>
              <w:top w:val="nil"/>
              <w:left w:val="nil"/>
              <w:bottom w:val="nil"/>
              <w:right w:val="nil"/>
            </w:tcBorders>
          </w:tcPr>
          <w:p w14:paraId="62AB804B" w14:textId="77777777" w:rsidR="00B54D51" w:rsidRPr="00037AD4" w:rsidRDefault="00B54D51" w:rsidP="00401C67">
            <w:pPr>
              <w:widowControl w:val="0"/>
              <w:autoSpaceDE w:val="0"/>
              <w:autoSpaceDN w:val="0"/>
              <w:adjustRightInd w:val="0"/>
              <w:jc w:val="center"/>
            </w:pPr>
            <w:r w:rsidRPr="00037AD4">
              <w:t>(-0.003 - 0.033)</w:t>
            </w:r>
          </w:p>
        </w:tc>
        <w:tc>
          <w:tcPr>
            <w:tcW w:w="570" w:type="pct"/>
            <w:tcBorders>
              <w:top w:val="nil"/>
              <w:left w:val="nil"/>
              <w:bottom w:val="nil"/>
              <w:right w:val="nil"/>
            </w:tcBorders>
          </w:tcPr>
          <w:p w14:paraId="6865AF6F" w14:textId="77777777" w:rsidR="00B54D51" w:rsidRPr="00037AD4" w:rsidRDefault="00B54D51" w:rsidP="00401C67">
            <w:pPr>
              <w:widowControl w:val="0"/>
              <w:autoSpaceDE w:val="0"/>
              <w:autoSpaceDN w:val="0"/>
              <w:adjustRightInd w:val="0"/>
              <w:jc w:val="center"/>
            </w:pPr>
            <w:r w:rsidRPr="00037AD4">
              <w:t>(-0.023 - 0.012)</w:t>
            </w:r>
          </w:p>
        </w:tc>
        <w:tc>
          <w:tcPr>
            <w:tcW w:w="570" w:type="pct"/>
            <w:tcBorders>
              <w:top w:val="nil"/>
              <w:left w:val="nil"/>
              <w:bottom w:val="nil"/>
              <w:right w:val="nil"/>
            </w:tcBorders>
          </w:tcPr>
          <w:p w14:paraId="20082EA3" w14:textId="77777777" w:rsidR="00B54D51" w:rsidRPr="00037AD4" w:rsidRDefault="00B54D51" w:rsidP="00401C67">
            <w:pPr>
              <w:widowControl w:val="0"/>
              <w:autoSpaceDE w:val="0"/>
              <w:autoSpaceDN w:val="0"/>
              <w:adjustRightInd w:val="0"/>
              <w:jc w:val="center"/>
            </w:pPr>
            <w:r w:rsidRPr="00037AD4">
              <w:t>(-0.016 - 0.019)</w:t>
            </w:r>
          </w:p>
        </w:tc>
        <w:tc>
          <w:tcPr>
            <w:tcW w:w="570" w:type="pct"/>
            <w:tcBorders>
              <w:top w:val="nil"/>
              <w:left w:val="nil"/>
              <w:bottom w:val="nil"/>
              <w:right w:val="nil"/>
            </w:tcBorders>
          </w:tcPr>
          <w:p w14:paraId="74F1D99C" w14:textId="77777777" w:rsidR="00B54D51" w:rsidRPr="00037AD4" w:rsidRDefault="00B54D51" w:rsidP="00401C67">
            <w:pPr>
              <w:widowControl w:val="0"/>
              <w:autoSpaceDE w:val="0"/>
              <w:autoSpaceDN w:val="0"/>
              <w:adjustRightInd w:val="0"/>
              <w:jc w:val="center"/>
            </w:pPr>
          </w:p>
        </w:tc>
      </w:tr>
      <w:tr w:rsidR="00B54D51" w:rsidRPr="00037AD4" w14:paraId="43ABB498" w14:textId="77777777" w:rsidTr="00401C67">
        <w:trPr>
          <w:jc w:val="center"/>
        </w:trPr>
        <w:tc>
          <w:tcPr>
            <w:tcW w:w="1577" w:type="pct"/>
            <w:tcBorders>
              <w:top w:val="nil"/>
              <w:left w:val="nil"/>
              <w:bottom w:val="nil"/>
              <w:right w:val="nil"/>
            </w:tcBorders>
          </w:tcPr>
          <w:p w14:paraId="22FFECA9" w14:textId="77777777" w:rsidR="00B54D51" w:rsidRPr="00037AD4" w:rsidRDefault="00B54D51" w:rsidP="00401C67">
            <w:pPr>
              <w:widowControl w:val="0"/>
              <w:autoSpaceDE w:val="0"/>
              <w:autoSpaceDN w:val="0"/>
              <w:adjustRightInd w:val="0"/>
            </w:pPr>
            <w:r w:rsidRPr="00037AD4">
              <w:t>NPI_</w:t>
            </w:r>
          </w:p>
        </w:tc>
        <w:tc>
          <w:tcPr>
            <w:tcW w:w="570" w:type="pct"/>
            <w:tcBorders>
              <w:top w:val="nil"/>
              <w:left w:val="nil"/>
              <w:bottom w:val="nil"/>
              <w:right w:val="nil"/>
            </w:tcBorders>
          </w:tcPr>
          <w:p w14:paraId="4F26CCE9" w14:textId="77777777" w:rsidR="00B54D51" w:rsidRPr="00037AD4" w:rsidRDefault="00B54D51" w:rsidP="00401C67">
            <w:pPr>
              <w:widowControl w:val="0"/>
              <w:autoSpaceDE w:val="0"/>
              <w:autoSpaceDN w:val="0"/>
              <w:adjustRightInd w:val="0"/>
              <w:jc w:val="center"/>
            </w:pPr>
            <w:r w:rsidRPr="00037AD4">
              <w:t>0.006**</w:t>
            </w:r>
          </w:p>
        </w:tc>
        <w:tc>
          <w:tcPr>
            <w:tcW w:w="570" w:type="pct"/>
            <w:tcBorders>
              <w:top w:val="nil"/>
              <w:left w:val="nil"/>
              <w:bottom w:val="nil"/>
              <w:right w:val="nil"/>
            </w:tcBorders>
          </w:tcPr>
          <w:p w14:paraId="1E8FE55B" w14:textId="77777777" w:rsidR="00B54D51" w:rsidRPr="00037AD4" w:rsidRDefault="00B54D51" w:rsidP="00401C67">
            <w:pPr>
              <w:widowControl w:val="0"/>
              <w:autoSpaceDE w:val="0"/>
              <w:autoSpaceDN w:val="0"/>
              <w:adjustRightInd w:val="0"/>
            </w:pPr>
          </w:p>
        </w:tc>
        <w:tc>
          <w:tcPr>
            <w:tcW w:w="570" w:type="pct"/>
            <w:tcBorders>
              <w:top w:val="nil"/>
              <w:left w:val="nil"/>
              <w:bottom w:val="nil"/>
              <w:right w:val="nil"/>
            </w:tcBorders>
          </w:tcPr>
          <w:p w14:paraId="115E9E51"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75EC3D20"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02F1DB35"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137326FF" w14:textId="77777777" w:rsidR="00B54D51" w:rsidRPr="00037AD4" w:rsidRDefault="00B54D51" w:rsidP="00401C67">
            <w:pPr>
              <w:widowControl w:val="0"/>
              <w:autoSpaceDE w:val="0"/>
              <w:autoSpaceDN w:val="0"/>
              <w:adjustRightInd w:val="0"/>
              <w:jc w:val="center"/>
            </w:pPr>
          </w:p>
        </w:tc>
      </w:tr>
      <w:tr w:rsidR="00B54D51" w:rsidRPr="00037AD4" w14:paraId="4CC20957" w14:textId="77777777" w:rsidTr="00401C67">
        <w:trPr>
          <w:jc w:val="center"/>
        </w:trPr>
        <w:tc>
          <w:tcPr>
            <w:tcW w:w="1577" w:type="pct"/>
            <w:tcBorders>
              <w:top w:val="nil"/>
              <w:left w:val="nil"/>
              <w:bottom w:val="nil"/>
              <w:right w:val="nil"/>
            </w:tcBorders>
          </w:tcPr>
          <w:p w14:paraId="2D3BFF4A" w14:textId="77777777" w:rsidR="00B54D51" w:rsidRPr="00037AD4" w:rsidRDefault="00B54D51" w:rsidP="00401C67">
            <w:pPr>
              <w:widowControl w:val="0"/>
              <w:autoSpaceDE w:val="0"/>
              <w:autoSpaceDN w:val="0"/>
              <w:adjustRightInd w:val="0"/>
            </w:pPr>
          </w:p>
        </w:tc>
        <w:tc>
          <w:tcPr>
            <w:tcW w:w="570" w:type="pct"/>
            <w:tcBorders>
              <w:top w:val="nil"/>
              <w:left w:val="nil"/>
              <w:bottom w:val="nil"/>
              <w:right w:val="nil"/>
            </w:tcBorders>
          </w:tcPr>
          <w:p w14:paraId="71BD8C14" w14:textId="77777777" w:rsidR="00B54D51" w:rsidRPr="00037AD4" w:rsidRDefault="00B54D51" w:rsidP="00401C67">
            <w:pPr>
              <w:widowControl w:val="0"/>
              <w:autoSpaceDE w:val="0"/>
              <w:autoSpaceDN w:val="0"/>
              <w:adjustRightInd w:val="0"/>
              <w:jc w:val="center"/>
            </w:pPr>
            <w:r w:rsidRPr="00037AD4">
              <w:t>(0.001 - 0.010)</w:t>
            </w:r>
          </w:p>
        </w:tc>
        <w:tc>
          <w:tcPr>
            <w:tcW w:w="570" w:type="pct"/>
            <w:tcBorders>
              <w:top w:val="nil"/>
              <w:left w:val="nil"/>
              <w:bottom w:val="nil"/>
              <w:right w:val="nil"/>
            </w:tcBorders>
          </w:tcPr>
          <w:p w14:paraId="0FB3BF13"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7DB5ED47"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475CB188"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4A13883F"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6A5EAA8E" w14:textId="77777777" w:rsidR="00B54D51" w:rsidRPr="00037AD4" w:rsidRDefault="00B54D51" w:rsidP="00401C67">
            <w:pPr>
              <w:widowControl w:val="0"/>
              <w:autoSpaceDE w:val="0"/>
              <w:autoSpaceDN w:val="0"/>
              <w:adjustRightInd w:val="0"/>
              <w:jc w:val="center"/>
            </w:pPr>
          </w:p>
        </w:tc>
      </w:tr>
      <w:tr w:rsidR="00B54D51" w:rsidRPr="00037AD4" w14:paraId="3761F9D4" w14:textId="77777777" w:rsidTr="00401C67">
        <w:trPr>
          <w:jc w:val="center"/>
        </w:trPr>
        <w:tc>
          <w:tcPr>
            <w:tcW w:w="1577" w:type="pct"/>
            <w:tcBorders>
              <w:top w:val="nil"/>
              <w:left w:val="nil"/>
              <w:bottom w:val="nil"/>
              <w:right w:val="nil"/>
            </w:tcBorders>
          </w:tcPr>
          <w:p w14:paraId="4AED1CD5" w14:textId="77777777" w:rsidR="00B54D51" w:rsidRPr="00037AD4" w:rsidRDefault="00B54D51" w:rsidP="00401C67">
            <w:pPr>
              <w:widowControl w:val="0"/>
              <w:autoSpaceDE w:val="0"/>
              <w:autoSpaceDN w:val="0"/>
              <w:adjustRightInd w:val="0"/>
            </w:pPr>
            <w:r w:rsidRPr="00037AD4">
              <w:t>IADL_</w:t>
            </w:r>
          </w:p>
        </w:tc>
        <w:tc>
          <w:tcPr>
            <w:tcW w:w="570" w:type="pct"/>
            <w:tcBorders>
              <w:top w:val="nil"/>
              <w:left w:val="nil"/>
              <w:bottom w:val="nil"/>
              <w:right w:val="nil"/>
            </w:tcBorders>
          </w:tcPr>
          <w:p w14:paraId="0577E323" w14:textId="77777777" w:rsidR="00B54D51" w:rsidRPr="00037AD4" w:rsidRDefault="00B54D51" w:rsidP="00401C67">
            <w:pPr>
              <w:widowControl w:val="0"/>
              <w:autoSpaceDE w:val="0"/>
              <w:autoSpaceDN w:val="0"/>
              <w:adjustRightInd w:val="0"/>
              <w:jc w:val="center"/>
            </w:pPr>
            <w:r w:rsidRPr="00037AD4">
              <w:t>-0.198***</w:t>
            </w:r>
          </w:p>
        </w:tc>
        <w:tc>
          <w:tcPr>
            <w:tcW w:w="570" w:type="pct"/>
            <w:tcBorders>
              <w:top w:val="nil"/>
              <w:left w:val="nil"/>
              <w:bottom w:val="nil"/>
              <w:right w:val="nil"/>
            </w:tcBorders>
          </w:tcPr>
          <w:p w14:paraId="63515B54" w14:textId="77777777" w:rsidR="00B54D51" w:rsidRPr="00037AD4" w:rsidRDefault="00B54D51" w:rsidP="00401C67">
            <w:pPr>
              <w:widowControl w:val="0"/>
              <w:autoSpaceDE w:val="0"/>
              <w:autoSpaceDN w:val="0"/>
              <w:adjustRightInd w:val="0"/>
              <w:jc w:val="center"/>
            </w:pPr>
            <w:r w:rsidRPr="00037AD4">
              <w:t>-0.209***</w:t>
            </w:r>
          </w:p>
        </w:tc>
        <w:tc>
          <w:tcPr>
            <w:tcW w:w="570" w:type="pct"/>
            <w:tcBorders>
              <w:top w:val="nil"/>
              <w:left w:val="nil"/>
              <w:bottom w:val="nil"/>
              <w:right w:val="nil"/>
            </w:tcBorders>
          </w:tcPr>
          <w:p w14:paraId="43298666" w14:textId="77777777" w:rsidR="00B54D51" w:rsidRPr="00037AD4" w:rsidRDefault="00B54D51" w:rsidP="00401C67">
            <w:pPr>
              <w:widowControl w:val="0"/>
              <w:autoSpaceDE w:val="0"/>
              <w:autoSpaceDN w:val="0"/>
              <w:adjustRightInd w:val="0"/>
              <w:jc w:val="center"/>
            </w:pPr>
            <w:r w:rsidRPr="00037AD4">
              <w:t>-0.205***</w:t>
            </w:r>
          </w:p>
        </w:tc>
        <w:tc>
          <w:tcPr>
            <w:tcW w:w="570" w:type="pct"/>
            <w:tcBorders>
              <w:top w:val="nil"/>
              <w:left w:val="nil"/>
              <w:bottom w:val="nil"/>
              <w:right w:val="nil"/>
            </w:tcBorders>
          </w:tcPr>
          <w:p w14:paraId="2B15CB93"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7E2F9C0B" w14:textId="77777777" w:rsidR="00B54D51" w:rsidRPr="00037AD4" w:rsidRDefault="00B54D51" w:rsidP="00401C67">
            <w:pPr>
              <w:widowControl w:val="0"/>
              <w:autoSpaceDE w:val="0"/>
              <w:autoSpaceDN w:val="0"/>
              <w:adjustRightInd w:val="0"/>
              <w:jc w:val="center"/>
            </w:pPr>
            <w:r w:rsidRPr="00037AD4">
              <w:t>-0.365***</w:t>
            </w:r>
          </w:p>
        </w:tc>
        <w:tc>
          <w:tcPr>
            <w:tcW w:w="570" w:type="pct"/>
            <w:tcBorders>
              <w:top w:val="nil"/>
              <w:left w:val="nil"/>
              <w:bottom w:val="nil"/>
              <w:right w:val="nil"/>
            </w:tcBorders>
          </w:tcPr>
          <w:p w14:paraId="03824371" w14:textId="77777777" w:rsidR="00B54D51" w:rsidRPr="00037AD4" w:rsidRDefault="00B54D51" w:rsidP="00401C67">
            <w:pPr>
              <w:widowControl w:val="0"/>
              <w:autoSpaceDE w:val="0"/>
              <w:autoSpaceDN w:val="0"/>
              <w:adjustRightInd w:val="0"/>
              <w:jc w:val="center"/>
            </w:pPr>
          </w:p>
        </w:tc>
      </w:tr>
      <w:tr w:rsidR="00B54D51" w:rsidRPr="00037AD4" w14:paraId="3DF0E4AE" w14:textId="77777777" w:rsidTr="00401C67">
        <w:trPr>
          <w:jc w:val="center"/>
        </w:trPr>
        <w:tc>
          <w:tcPr>
            <w:tcW w:w="1577" w:type="pct"/>
            <w:tcBorders>
              <w:top w:val="nil"/>
              <w:left w:val="nil"/>
              <w:bottom w:val="nil"/>
              <w:right w:val="nil"/>
            </w:tcBorders>
          </w:tcPr>
          <w:p w14:paraId="44BA0133" w14:textId="77777777" w:rsidR="00B54D51" w:rsidRPr="00037AD4" w:rsidRDefault="00B54D51" w:rsidP="00401C67">
            <w:pPr>
              <w:widowControl w:val="0"/>
              <w:autoSpaceDE w:val="0"/>
              <w:autoSpaceDN w:val="0"/>
              <w:adjustRightInd w:val="0"/>
            </w:pPr>
          </w:p>
        </w:tc>
        <w:tc>
          <w:tcPr>
            <w:tcW w:w="570" w:type="pct"/>
            <w:tcBorders>
              <w:top w:val="nil"/>
              <w:left w:val="nil"/>
              <w:bottom w:val="nil"/>
              <w:right w:val="nil"/>
            </w:tcBorders>
          </w:tcPr>
          <w:p w14:paraId="2ECCCA6F" w14:textId="77777777" w:rsidR="00B54D51" w:rsidRPr="00037AD4" w:rsidRDefault="00B54D51" w:rsidP="00401C67">
            <w:pPr>
              <w:widowControl w:val="0"/>
              <w:autoSpaceDE w:val="0"/>
              <w:autoSpaceDN w:val="0"/>
              <w:adjustRightInd w:val="0"/>
              <w:jc w:val="center"/>
            </w:pPr>
            <w:r w:rsidRPr="00037AD4">
              <w:t>(-0.259 - -0.137)</w:t>
            </w:r>
          </w:p>
        </w:tc>
        <w:tc>
          <w:tcPr>
            <w:tcW w:w="570" w:type="pct"/>
            <w:tcBorders>
              <w:top w:val="nil"/>
              <w:left w:val="nil"/>
              <w:bottom w:val="nil"/>
              <w:right w:val="nil"/>
            </w:tcBorders>
          </w:tcPr>
          <w:p w14:paraId="017ED40D" w14:textId="77777777" w:rsidR="00B54D51" w:rsidRPr="00037AD4" w:rsidRDefault="00B54D51" w:rsidP="00401C67">
            <w:pPr>
              <w:widowControl w:val="0"/>
              <w:autoSpaceDE w:val="0"/>
              <w:autoSpaceDN w:val="0"/>
              <w:adjustRightInd w:val="0"/>
              <w:jc w:val="center"/>
            </w:pPr>
            <w:r w:rsidRPr="00037AD4">
              <w:t>(-0.266 - -0.153)</w:t>
            </w:r>
          </w:p>
        </w:tc>
        <w:tc>
          <w:tcPr>
            <w:tcW w:w="570" w:type="pct"/>
            <w:tcBorders>
              <w:top w:val="nil"/>
              <w:left w:val="nil"/>
              <w:bottom w:val="nil"/>
              <w:right w:val="nil"/>
            </w:tcBorders>
          </w:tcPr>
          <w:p w14:paraId="7999B463" w14:textId="77777777" w:rsidR="00B54D51" w:rsidRPr="00037AD4" w:rsidRDefault="00B54D51" w:rsidP="00401C67">
            <w:pPr>
              <w:widowControl w:val="0"/>
              <w:autoSpaceDE w:val="0"/>
              <w:autoSpaceDN w:val="0"/>
              <w:adjustRightInd w:val="0"/>
              <w:jc w:val="center"/>
            </w:pPr>
            <w:r w:rsidRPr="00037AD4">
              <w:t>(-0.262 - -0.148)</w:t>
            </w:r>
          </w:p>
        </w:tc>
        <w:tc>
          <w:tcPr>
            <w:tcW w:w="570" w:type="pct"/>
            <w:tcBorders>
              <w:top w:val="nil"/>
              <w:left w:val="nil"/>
              <w:bottom w:val="nil"/>
              <w:right w:val="nil"/>
            </w:tcBorders>
          </w:tcPr>
          <w:p w14:paraId="18AA269D"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52982296" w14:textId="77777777" w:rsidR="00B54D51" w:rsidRPr="00037AD4" w:rsidRDefault="00B54D51" w:rsidP="00401C67">
            <w:pPr>
              <w:widowControl w:val="0"/>
              <w:autoSpaceDE w:val="0"/>
              <w:autoSpaceDN w:val="0"/>
              <w:adjustRightInd w:val="0"/>
              <w:jc w:val="center"/>
            </w:pPr>
            <w:r w:rsidRPr="00037AD4">
              <w:t>(-0.414 - -0.316)</w:t>
            </w:r>
          </w:p>
        </w:tc>
        <w:tc>
          <w:tcPr>
            <w:tcW w:w="570" w:type="pct"/>
            <w:tcBorders>
              <w:top w:val="nil"/>
              <w:left w:val="nil"/>
              <w:bottom w:val="nil"/>
              <w:right w:val="nil"/>
            </w:tcBorders>
          </w:tcPr>
          <w:p w14:paraId="3173AE42" w14:textId="77777777" w:rsidR="00B54D51" w:rsidRPr="00037AD4" w:rsidRDefault="00B54D51" w:rsidP="00401C67">
            <w:pPr>
              <w:widowControl w:val="0"/>
              <w:autoSpaceDE w:val="0"/>
              <w:autoSpaceDN w:val="0"/>
              <w:adjustRightInd w:val="0"/>
              <w:jc w:val="center"/>
            </w:pPr>
          </w:p>
        </w:tc>
      </w:tr>
      <w:tr w:rsidR="00B54D51" w:rsidRPr="00037AD4" w14:paraId="0CF46FE9" w14:textId="77777777" w:rsidTr="00401C67">
        <w:trPr>
          <w:jc w:val="center"/>
        </w:trPr>
        <w:tc>
          <w:tcPr>
            <w:tcW w:w="1577" w:type="pct"/>
            <w:tcBorders>
              <w:top w:val="nil"/>
              <w:left w:val="nil"/>
              <w:bottom w:val="nil"/>
              <w:right w:val="nil"/>
            </w:tcBorders>
          </w:tcPr>
          <w:p w14:paraId="5D81C4B8" w14:textId="77777777" w:rsidR="00B54D51" w:rsidRPr="00037AD4" w:rsidRDefault="00B54D51" w:rsidP="00401C67">
            <w:pPr>
              <w:widowControl w:val="0"/>
              <w:autoSpaceDE w:val="0"/>
              <w:autoSpaceDN w:val="0"/>
              <w:adjustRightInd w:val="0"/>
            </w:pPr>
            <w:r w:rsidRPr="00037AD4">
              <w:t>PSMS_</w:t>
            </w:r>
          </w:p>
        </w:tc>
        <w:tc>
          <w:tcPr>
            <w:tcW w:w="570" w:type="pct"/>
            <w:tcBorders>
              <w:top w:val="nil"/>
              <w:left w:val="nil"/>
              <w:bottom w:val="nil"/>
              <w:right w:val="nil"/>
            </w:tcBorders>
          </w:tcPr>
          <w:p w14:paraId="5664BB0E" w14:textId="77777777" w:rsidR="00B54D51" w:rsidRPr="00037AD4" w:rsidRDefault="00B54D51" w:rsidP="00401C67">
            <w:pPr>
              <w:widowControl w:val="0"/>
              <w:autoSpaceDE w:val="0"/>
              <w:autoSpaceDN w:val="0"/>
              <w:adjustRightInd w:val="0"/>
              <w:jc w:val="center"/>
            </w:pPr>
            <w:r w:rsidRPr="00037AD4">
              <w:t>-0.478***</w:t>
            </w:r>
          </w:p>
        </w:tc>
        <w:tc>
          <w:tcPr>
            <w:tcW w:w="570" w:type="pct"/>
            <w:tcBorders>
              <w:top w:val="nil"/>
              <w:left w:val="nil"/>
              <w:bottom w:val="nil"/>
              <w:right w:val="nil"/>
            </w:tcBorders>
          </w:tcPr>
          <w:p w14:paraId="7168FDB8" w14:textId="77777777" w:rsidR="00B54D51" w:rsidRPr="00037AD4" w:rsidRDefault="00B54D51" w:rsidP="00401C67">
            <w:pPr>
              <w:widowControl w:val="0"/>
              <w:autoSpaceDE w:val="0"/>
              <w:autoSpaceDN w:val="0"/>
              <w:adjustRightInd w:val="0"/>
              <w:jc w:val="center"/>
            </w:pPr>
            <w:r w:rsidRPr="00037AD4">
              <w:t>-0.505***</w:t>
            </w:r>
          </w:p>
        </w:tc>
        <w:tc>
          <w:tcPr>
            <w:tcW w:w="570" w:type="pct"/>
            <w:tcBorders>
              <w:top w:val="nil"/>
              <w:left w:val="nil"/>
              <w:bottom w:val="nil"/>
              <w:right w:val="nil"/>
            </w:tcBorders>
          </w:tcPr>
          <w:p w14:paraId="63DA82CA" w14:textId="77777777" w:rsidR="00B54D51" w:rsidRPr="00037AD4" w:rsidRDefault="00B54D51" w:rsidP="00401C67">
            <w:pPr>
              <w:widowControl w:val="0"/>
              <w:autoSpaceDE w:val="0"/>
              <w:autoSpaceDN w:val="0"/>
              <w:adjustRightInd w:val="0"/>
              <w:jc w:val="center"/>
            </w:pPr>
            <w:r w:rsidRPr="00037AD4">
              <w:t>-0.500***</w:t>
            </w:r>
          </w:p>
        </w:tc>
        <w:tc>
          <w:tcPr>
            <w:tcW w:w="570" w:type="pct"/>
            <w:tcBorders>
              <w:top w:val="nil"/>
              <w:left w:val="nil"/>
              <w:bottom w:val="nil"/>
              <w:right w:val="nil"/>
            </w:tcBorders>
          </w:tcPr>
          <w:p w14:paraId="50D85E77" w14:textId="77777777" w:rsidR="00B54D51" w:rsidRPr="00037AD4" w:rsidRDefault="00B54D51" w:rsidP="00401C67">
            <w:pPr>
              <w:widowControl w:val="0"/>
              <w:autoSpaceDE w:val="0"/>
              <w:autoSpaceDN w:val="0"/>
              <w:adjustRightInd w:val="0"/>
              <w:jc w:val="center"/>
            </w:pPr>
            <w:r w:rsidRPr="00037AD4">
              <w:t>-0.599***</w:t>
            </w:r>
          </w:p>
        </w:tc>
        <w:tc>
          <w:tcPr>
            <w:tcW w:w="570" w:type="pct"/>
            <w:tcBorders>
              <w:top w:val="nil"/>
              <w:left w:val="nil"/>
              <w:bottom w:val="nil"/>
              <w:right w:val="nil"/>
            </w:tcBorders>
          </w:tcPr>
          <w:p w14:paraId="17ACE854"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5F59A3F9" w14:textId="77777777" w:rsidR="00B54D51" w:rsidRPr="00037AD4" w:rsidRDefault="00B54D51" w:rsidP="00401C67">
            <w:pPr>
              <w:widowControl w:val="0"/>
              <w:autoSpaceDE w:val="0"/>
              <w:autoSpaceDN w:val="0"/>
              <w:adjustRightInd w:val="0"/>
              <w:jc w:val="center"/>
            </w:pPr>
            <w:r w:rsidRPr="00037AD4">
              <w:t>-0.599***</w:t>
            </w:r>
          </w:p>
        </w:tc>
      </w:tr>
      <w:tr w:rsidR="00B54D51" w:rsidRPr="00037AD4" w14:paraId="5811871E" w14:textId="77777777" w:rsidTr="00401C67">
        <w:trPr>
          <w:jc w:val="center"/>
        </w:trPr>
        <w:tc>
          <w:tcPr>
            <w:tcW w:w="1577" w:type="pct"/>
            <w:tcBorders>
              <w:top w:val="nil"/>
              <w:left w:val="nil"/>
              <w:bottom w:val="nil"/>
              <w:right w:val="nil"/>
            </w:tcBorders>
          </w:tcPr>
          <w:p w14:paraId="1875F911" w14:textId="77777777" w:rsidR="00B54D51" w:rsidRPr="00037AD4" w:rsidRDefault="00B54D51" w:rsidP="00401C67">
            <w:pPr>
              <w:widowControl w:val="0"/>
              <w:autoSpaceDE w:val="0"/>
              <w:autoSpaceDN w:val="0"/>
              <w:adjustRightInd w:val="0"/>
            </w:pPr>
          </w:p>
        </w:tc>
        <w:tc>
          <w:tcPr>
            <w:tcW w:w="570" w:type="pct"/>
            <w:tcBorders>
              <w:top w:val="nil"/>
              <w:left w:val="nil"/>
              <w:bottom w:val="nil"/>
              <w:right w:val="nil"/>
            </w:tcBorders>
          </w:tcPr>
          <w:p w14:paraId="00E0B63B" w14:textId="77777777" w:rsidR="00B54D51" w:rsidRPr="00037AD4" w:rsidRDefault="00B54D51" w:rsidP="00401C67">
            <w:pPr>
              <w:widowControl w:val="0"/>
              <w:autoSpaceDE w:val="0"/>
              <w:autoSpaceDN w:val="0"/>
              <w:adjustRightInd w:val="0"/>
              <w:jc w:val="center"/>
            </w:pPr>
            <w:r w:rsidRPr="00037AD4">
              <w:t>(-0.571 - -0.385)</w:t>
            </w:r>
          </w:p>
        </w:tc>
        <w:tc>
          <w:tcPr>
            <w:tcW w:w="570" w:type="pct"/>
            <w:tcBorders>
              <w:top w:val="nil"/>
              <w:left w:val="nil"/>
              <w:bottom w:val="nil"/>
              <w:right w:val="nil"/>
            </w:tcBorders>
          </w:tcPr>
          <w:p w14:paraId="47BB99A0" w14:textId="77777777" w:rsidR="00B54D51" w:rsidRPr="00037AD4" w:rsidRDefault="00B54D51" w:rsidP="00401C67">
            <w:pPr>
              <w:widowControl w:val="0"/>
              <w:autoSpaceDE w:val="0"/>
              <w:autoSpaceDN w:val="0"/>
              <w:adjustRightInd w:val="0"/>
              <w:jc w:val="center"/>
            </w:pPr>
            <w:r w:rsidRPr="00037AD4">
              <w:t>(-0.587 - -0.422)</w:t>
            </w:r>
          </w:p>
        </w:tc>
        <w:tc>
          <w:tcPr>
            <w:tcW w:w="570" w:type="pct"/>
            <w:tcBorders>
              <w:top w:val="nil"/>
              <w:left w:val="nil"/>
              <w:bottom w:val="nil"/>
              <w:right w:val="nil"/>
            </w:tcBorders>
          </w:tcPr>
          <w:p w14:paraId="03015EB4" w14:textId="77777777" w:rsidR="00B54D51" w:rsidRPr="00037AD4" w:rsidRDefault="00B54D51" w:rsidP="00401C67">
            <w:pPr>
              <w:widowControl w:val="0"/>
              <w:autoSpaceDE w:val="0"/>
              <w:autoSpaceDN w:val="0"/>
              <w:adjustRightInd w:val="0"/>
              <w:jc w:val="center"/>
            </w:pPr>
            <w:r w:rsidRPr="00037AD4">
              <w:t>(-0.578 - -0.421)</w:t>
            </w:r>
          </w:p>
        </w:tc>
        <w:tc>
          <w:tcPr>
            <w:tcW w:w="570" w:type="pct"/>
            <w:tcBorders>
              <w:top w:val="nil"/>
              <w:left w:val="nil"/>
              <w:bottom w:val="nil"/>
              <w:right w:val="nil"/>
            </w:tcBorders>
          </w:tcPr>
          <w:p w14:paraId="669ADA95" w14:textId="77777777" w:rsidR="00B54D51" w:rsidRPr="00037AD4" w:rsidRDefault="00B54D51" w:rsidP="00401C67">
            <w:pPr>
              <w:widowControl w:val="0"/>
              <w:autoSpaceDE w:val="0"/>
              <w:autoSpaceDN w:val="0"/>
              <w:adjustRightInd w:val="0"/>
              <w:jc w:val="center"/>
            </w:pPr>
            <w:r w:rsidRPr="00037AD4">
              <w:t>(-0.678 - -0.521)</w:t>
            </w:r>
          </w:p>
        </w:tc>
        <w:tc>
          <w:tcPr>
            <w:tcW w:w="570" w:type="pct"/>
            <w:tcBorders>
              <w:top w:val="nil"/>
              <w:left w:val="nil"/>
              <w:bottom w:val="nil"/>
              <w:right w:val="nil"/>
            </w:tcBorders>
          </w:tcPr>
          <w:p w14:paraId="5DC07300"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3B08B4EC" w14:textId="77777777" w:rsidR="00B54D51" w:rsidRPr="00037AD4" w:rsidRDefault="00B54D51" w:rsidP="00401C67">
            <w:pPr>
              <w:widowControl w:val="0"/>
              <w:autoSpaceDE w:val="0"/>
              <w:autoSpaceDN w:val="0"/>
              <w:adjustRightInd w:val="0"/>
              <w:jc w:val="center"/>
            </w:pPr>
            <w:r w:rsidRPr="00037AD4">
              <w:t>(-0.669 - -0.528)</w:t>
            </w:r>
          </w:p>
        </w:tc>
      </w:tr>
      <w:tr w:rsidR="00B54D51" w:rsidRPr="00037AD4" w14:paraId="146B9512" w14:textId="77777777" w:rsidTr="00401C67">
        <w:trPr>
          <w:jc w:val="center"/>
        </w:trPr>
        <w:tc>
          <w:tcPr>
            <w:tcW w:w="1577" w:type="pct"/>
            <w:tcBorders>
              <w:top w:val="nil"/>
              <w:left w:val="nil"/>
              <w:bottom w:val="nil"/>
              <w:right w:val="nil"/>
            </w:tcBorders>
          </w:tcPr>
          <w:p w14:paraId="33796B62" w14:textId="77777777" w:rsidR="00B54D51" w:rsidRPr="00037AD4" w:rsidRDefault="00B54D51" w:rsidP="00401C67">
            <w:pPr>
              <w:widowControl w:val="0"/>
              <w:autoSpaceDE w:val="0"/>
              <w:autoSpaceDN w:val="0"/>
              <w:adjustRightInd w:val="0"/>
            </w:pPr>
            <w:r w:rsidRPr="00037AD4">
              <w:t>PwD_age_</w:t>
            </w:r>
          </w:p>
        </w:tc>
        <w:tc>
          <w:tcPr>
            <w:tcW w:w="570" w:type="pct"/>
            <w:tcBorders>
              <w:top w:val="nil"/>
              <w:left w:val="nil"/>
              <w:bottom w:val="nil"/>
              <w:right w:val="nil"/>
            </w:tcBorders>
          </w:tcPr>
          <w:p w14:paraId="54194E24" w14:textId="77777777" w:rsidR="00B54D51" w:rsidRPr="00037AD4" w:rsidRDefault="00B54D51" w:rsidP="00401C67">
            <w:pPr>
              <w:widowControl w:val="0"/>
              <w:autoSpaceDE w:val="0"/>
              <w:autoSpaceDN w:val="0"/>
              <w:adjustRightInd w:val="0"/>
              <w:jc w:val="center"/>
            </w:pPr>
            <w:r w:rsidRPr="00037AD4">
              <w:t>0.004</w:t>
            </w:r>
          </w:p>
        </w:tc>
        <w:tc>
          <w:tcPr>
            <w:tcW w:w="570" w:type="pct"/>
            <w:tcBorders>
              <w:top w:val="nil"/>
              <w:left w:val="nil"/>
              <w:bottom w:val="nil"/>
              <w:right w:val="nil"/>
            </w:tcBorders>
          </w:tcPr>
          <w:p w14:paraId="69D7961D" w14:textId="77777777" w:rsidR="00B54D51" w:rsidRPr="00037AD4" w:rsidRDefault="00B54D51" w:rsidP="00401C67">
            <w:pPr>
              <w:widowControl w:val="0"/>
              <w:autoSpaceDE w:val="0"/>
              <w:autoSpaceDN w:val="0"/>
              <w:adjustRightInd w:val="0"/>
              <w:jc w:val="center"/>
            </w:pPr>
            <w:r w:rsidRPr="00037AD4">
              <w:t>-0.008</w:t>
            </w:r>
          </w:p>
        </w:tc>
        <w:tc>
          <w:tcPr>
            <w:tcW w:w="570" w:type="pct"/>
            <w:tcBorders>
              <w:top w:val="nil"/>
              <w:left w:val="nil"/>
              <w:bottom w:val="nil"/>
              <w:right w:val="nil"/>
            </w:tcBorders>
          </w:tcPr>
          <w:p w14:paraId="0EA6CAFA"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2FC596A3" w14:textId="77777777" w:rsidR="00B54D51" w:rsidRPr="00037AD4" w:rsidRDefault="00B54D51" w:rsidP="00401C67">
            <w:pPr>
              <w:widowControl w:val="0"/>
              <w:autoSpaceDE w:val="0"/>
              <w:autoSpaceDN w:val="0"/>
              <w:adjustRightInd w:val="0"/>
              <w:jc w:val="center"/>
            </w:pPr>
            <w:r w:rsidRPr="00037AD4">
              <w:t>-0.002</w:t>
            </w:r>
          </w:p>
        </w:tc>
        <w:tc>
          <w:tcPr>
            <w:tcW w:w="570" w:type="pct"/>
            <w:tcBorders>
              <w:top w:val="nil"/>
              <w:left w:val="nil"/>
              <w:bottom w:val="nil"/>
              <w:right w:val="nil"/>
            </w:tcBorders>
          </w:tcPr>
          <w:p w14:paraId="4A30BF6F" w14:textId="77777777" w:rsidR="00B54D51" w:rsidRPr="00037AD4" w:rsidRDefault="00B54D51" w:rsidP="00401C67">
            <w:pPr>
              <w:widowControl w:val="0"/>
              <w:autoSpaceDE w:val="0"/>
              <w:autoSpaceDN w:val="0"/>
              <w:adjustRightInd w:val="0"/>
              <w:jc w:val="center"/>
            </w:pPr>
            <w:r w:rsidRPr="00037AD4">
              <w:t>0.003</w:t>
            </w:r>
          </w:p>
        </w:tc>
        <w:tc>
          <w:tcPr>
            <w:tcW w:w="570" w:type="pct"/>
            <w:tcBorders>
              <w:top w:val="nil"/>
              <w:left w:val="nil"/>
              <w:bottom w:val="nil"/>
              <w:right w:val="nil"/>
            </w:tcBorders>
          </w:tcPr>
          <w:p w14:paraId="4B2CE575" w14:textId="77777777" w:rsidR="00B54D51" w:rsidRPr="00037AD4" w:rsidRDefault="00B54D51" w:rsidP="00401C67">
            <w:pPr>
              <w:widowControl w:val="0"/>
              <w:autoSpaceDE w:val="0"/>
              <w:autoSpaceDN w:val="0"/>
              <w:adjustRightInd w:val="0"/>
              <w:jc w:val="center"/>
            </w:pPr>
            <w:r w:rsidRPr="00037AD4">
              <w:t>-0.000</w:t>
            </w:r>
          </w:p>
        </w:tc>
      </w:tr>
      <w:tr w:rsidR="00B54D51" w:rsidRPr="00037AD4" w14:paraId="1BF5541F" w14:textId="77777777" w:rsidTr="00401C67">
        <w:trPr>
          <w:jc w:val="center"/>
        </w:trPr>
        <w:tc>
          <w:tcPr>
            <w:tcW w:w="1577" w:type="pct"/>
            <w:tcBorders>
              <w:top w:val="nil"/>
              <w:left w:val="nil"/>
              <w:bottom w:val="nil"/>
              <w:right w:val="nil"/>
            </w:tcBorders>
          </w:tcPr>
          <w:p w14:paraId="7E4285AA" w14:textId="77777777" w:rsidR="00B54D51" w:rsidRPr="00037AD4" w:rsidRDefault="00B54D51" w:rsidP="00401C67">
            <w:pPr>
              <w:widowControl w:val="0"/>
              <w:autoSpaceDE w:val="0"/>
              <w:autoSpaceDN w:val="0"/>
              <w:adjustRightInd w:val="0"/>
            </w:pPr>
          </w:p>
        </w:tc>
        <w:tc>
          <w:tcPr>
            <w:tcW w:w="570" w:type="pct"/>
            <w:tcBorders>
              <w:top w:val="nil"/>
              <w:left w:val="nil"/>
              <w:bottom w:val="nil"/>
              <w:right w:val="nil"/>
            </w:tcBorders>
          </w:tcPr>
          <w:p w14:paraId="590EB874" w14:textId="77777777" w:rsidR="00B54D51" w:rsidRPr="00037AD4" w:rsidRDefault="00B54D51" w:rsidP="00401C67">
            <w:pPr>
              <w:widowControl w:val="0"/>
              <w:autoSpaceDE w:val="0"/>
              <w:autoSpaceDN w:val="0"/>
              <w:adjustRightInd w:val="0"/>
              <w:jc w:val="center"/>
            </w:pPr>
            <w:r w:rsidRPr="00037AD4">
              <w:t>(-0.014 - 0.022)</w:t>
            </w:r>
          </w:p>
        </w:tc>
        <w:tc>
          <w:tcPr>
            <w:tcW w:w="570" w:type="pct"/>
            <w:tcBorders>
              <w:top w:val="nil"/>
              <w:left w:val="nil"/>
              <w:bottom w:val="nil"/>
              <w:right w:val="nil"/>
            </w:tcBorders>
          </w:tcPr>
          <w:p w14:paraId="24C710FC" w14:textId="77777777" w:rsidR="00B54D51" w:rsidRPr="00037AD4" w:rsidRDefault="00B54D51" w:rsidP="00401C67">
            <w:pPr>
              <w:widowControl w:val="0"/>
              <w:autoSpaceDE w:val="0"/>
              <w:autoSpaceDN w:val="0"/>
              <w:adjustRightInd w:val="0"/>
              <w:jc w:val="center"/>
            </w:pPr>
            <w:r w:rsidRPr="00037AD4">
              <w:t>(-0.020 - 0.005)</w:t>
            </w:r>
          </w:p>
        </w:tc>
        <w:tc>
          <w:tcPr>
            <w:tcW w:w="570" w:type="pct"/>
            <w:tcBorders>
              <w:top w:val="nil"/>
              <w:left w:val="nil"/>
              <w:bottom w:val="nil"/>
              <w:right w:val="nil"/>
            </w:tcBorders>
          </w:tcPr>
          <w:p w14:paraId="03E35B08"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44280052" w14:textId="77777777" w:rsidR="00B54D51" w:rsidRPr="00037AD4" w:rsidRDefault="00B54D51" w:rsidP="00401C67">
            <w:pPr>
              <w:widowControl w:val="0"/>
              <w:autoSpaceDE w:val="0"/>
              <w:autoSpaceDN w:val="0"/>
              <w:adjustRightInd w:val="0"/>
              <w:jc w:val="center"/>
            </w:pPr>
            <w:r w:rsidRPr="00037AD4">
              <w:t>(-0.014 - 0.010)</w:t>
            </w:r>
          </w:p>
        </w:tc>
        <w:tc>
          <w:tcPr>
            <w:tcW w:w="570" w:type="pct"/>
            <w:tcBorders>
              <w:top w:val="nil"/>
              <w:left w:val="nil"/>
              <w:bottom w:val="nil"/>
              <w:right w:val="nil"/>
            </w:tcBorders>
          </w:tcPr>
          <w:p w14:paraId="4DA12F64" w14:textId="77777777" w:rsidR="00B54D51" w:rsidRPr="00037AD4" w:rsidRDefault="00B54D51" w:rsidP="00401C67">
            <w:pPr>
              <w:widowControl w:val="0"/>
              <w:autoSpaceDE w:val="0"/>
              <w:autoSpaceDN w:val="0"/>
              <w:adjustRightInd w:val="0"/>
              <w:jc w:val="center"/>
            </w:pPr>
            <w:r w:rsidRPr="00037AD4">
              <w:t>(-0.009 - 0.015)</w:t>
            </w:r>
          </w:p>
        </w:tc>
        <w:tc>
          <w:tcPr>
            <w:tcW w:w="570" w:type="pct"/>
            <w:tcBorders>
              <w:top w:val="nil"/>
              <w:left w:val="nil"/>
              <w:bottom w:val="nil"/>
              <w:right w:val="nil"/>
            </w:tcBorders>
          </w:tcPr>
          <w:p w14:paraId="3BA3F4DB" w14:textId="77777777" w:rsidR="00B54D51" w:rsidRPr="00037AD4" w:rsidRDefault="00B54D51" w:rsidP="00401C67">
            <w:pPr>
              <w:widowControl w:val="0"/>
              <w:autoSpaceDE w:val="0"/>
              <w:autoSpaceDN w:val="0"/>
              <w:adjustRightInd w:val="0"/>
              <w:jc w:val="center"/>
            </w:pPr>
            <w:r w:rsidRPr="00037AD4">
              <w:t>(-0.011 - 0.011)</w:t>
            </w:r>
          </w:p>
        </w:tc>
      </w:tr>
      <w:tr w:rsidR="00B54D51" w:rsidRPr="00037AD4" w14:paraId="5FE8BABA" w14:textId="77777777" w:rsidTr="00401C67">
        <w:trPr>
          <w:jc w:val="center"/>
        </w:trPr>
        <w:tc>
          <w:tcPr>
            <w:tcW w:w="1577" w:type="pct"/>
            <w:tcBorders>
              <w:top w:val="nil"/>
              <w:left w:val="nil"/>
              <w:bottom w:val="nil"/>
              <w:right w:val="nil"/>
            </w:tcBorders>
          </w:tcPr>
          <w:p w14:paraId="2DA8E595" w14:textId="77777777" w:rsidR="00B54D51" w:rsidRPr="00037AD4" w:rsidRDefault="00B54D51" w:rsidP="00401C67">
            <w:pPr>
              <w:widowControl w:val="0"/>
              <w:autoSpaceDE w:val="0"/>
              <w:autoSpaceDN w:val="0"/>
              <w:adjustRightInd w:val="0"/>
            </w:pPr>
            <w:r w:rsidRPr="00037AD4">
              <w:t>2.PwDs_sex_</w:t>
            </w:r>
          </w:p>
        </w:tc>
        <w:tc>
          <w:tcPr>
            <w:tcW w:w="570" w:type="pct"/>
            <w:tcBorders>
              <w:top w:val="nil"/>
              <w:left w:val="nil"/>
              <w:bottom w:val="nil"/>
              <w:right w:val="nil"/>
            </w:tcBorders>
          </w:tcPr>
          <w:p w14:paraId="437C4112" w14:textId="77777777" w:rsidR="00B54D51" w:rsidRPr="00037AD4" w:rsidRDefault="00B54D51" w:rsidP="00401C67">
            <w:pPr>
              <w:widowControl w:val="0"/>
              <w:autoSpaceDE w:val="0"/>
              <w:autoSpaceDN w:val="0"/>
              <w:adjustRightInd w:val="0"/>
              <w:jc w:val="center"/>
            </w:pPr>
            <w:r w:rsidRPr="00037AD4">
              <w:t>0.348*</w:t>
            </w:r>
          </w:p>
        </w:tc>
        <w:tc>
          <w:tcPr>
            <w:tcW w:w="570" w:type="pct"/>
            <w:tcBorders>
              <w:top w:val="nil"/>
              <w:left w:val="nil"/>
              <w:bottom w:val="nil"/>
              <w:right w:val="nil"/>
            </w:tcBorders>
          </w:tcPr>
          <w:p w14:paraId="10D9355F" w14:textId="77777777" w:rsidR="00B54D51" w:rsidRPr="00037AD4" w:rsidRDefault="00B54D51" w:rsidP="00401C67">
            <w:pPr>
              <w:widowControl w:val="0"/>
              <w:autoSpaceDE w:val="0"/>
              <w:autoSpaceDN w:val="0"/>
              <w:adjustRightInd w:val="0"/>
              <w:jc w:val="center"/>
            </w:pPr>
            <w:r w:rsidRPr="00037AD4">
              <w:t>0.399***</w:t>
            </w:r>
          </w:p>
        </w:tc>
        <w:tc>
          <w:tcPr>
            <w:tcW w:w="570" w:type="pct"/>
            <w:tcBorders>
              <w:top w:val="nil"/>
              <w:left w:val="nil"/>
              <w:bottom w:val="nil"/>
              <w:right w:val="nil"/>
            </w:tcBorders>
          </w:tcPr>
          <w:p w14:paraId="77E12B37" w14:textId="77777777" w:rsidR="00B54D51" w:rsidRPr="00037AD4" w:rsidRDefault="00B54D51" w:rsidP="00401C67">
            <w:pPr>
              <w:widowControl w:val="0"/>
              <w:autoSpaceDE w:val="0"/>
              <w:autoSpaceDN w:val="0"/>
              <w:adjustRightInd w:val="0"/>
              <w:jc w:val="center"/>
            </w:pPr>
            <w:r w:rsidRPr="00037AD4">
              <w:t>0.367***</w:t>
            </w:r>
          </w:p>
        </w:tc>
        <w:tc>
          <w:tcPr>
            <w:tcW w:w="570" w:type="pct"/>
            <w:tcBorders>
              <w:top w:val="nil"/>
              <w:left w:val="nil"/>
              <w:bottom w:val="nil"/>
              <w:right w:val="nil"/>
            </w:tcBorders>
          </w:tcPr>
          <w:p w14:paraId="1443D58B" w14:textId="77777777" w:rsidR="00B54D51" w:rsidRPr="00037AD4" w:rsidRDefault="00B54D51" w:rsidP="00401C67">
            <w:pPr>
              <w:widowControl w:val="0"/>
              <w:autoSpaceDE w:val="0"/>
              <w:autoSpaceDN w:val="0"/>
              <w:adjustRightInd w:val="0"/>
              <w:jc w:val="center"/>
            </w:pPr>
            <w:r w:rsidRPr="00037AD4">
              <w:t>0.139</w:t>
            </w:r>
          </w:p>
        </w:tc>
        <w:tc>
          <w:tcPr>
            <w:tcW w:w="570" w:type="pct"/>
            <w:tcBorders>
              <w:top w:val="nil"/>
              <w:left w:val="nil"/>
              <w:bottom w:val="nil"/>
              <w:right w:val="nil"/>
            </w:tcBorders>
          </w:tcPr>
          <w:p w14:paraId="0963F304" w14:textId="77777777" w:rsidR="00B54D51" w:rsidRPr="00037AD4" w:rsidRDefault="00B54D51" w:rsidP="00401C67">
            <w:pPr>
              <w:widowControl w:val="0"/>
              <w:autoSpaceDE w:val="0"/>
              <w:autoSpaceDN w:val="0"/>
              <w:adjustRightInd w:val="0"/>
              <w:jc w:val="center"/>
            </w:pPr>
            <w:r w:rsidRPr="00037AD4">
              <w:t>0.410***</w:t>
            </w:r>
          </w:p>
        </w:tc>
        <w:tc>
          <w:tcPr>
            <w:tcW w:w="570" w:type="pct"/>
            <w:tcBorders>
              <w:top w:val="nil"/>
              <w:left w:val="nil"/>
              <w:bottom w:val="nil"/>
              <w:right w:val="nil"/>
            </w:tcBorders>
          </w:tcPr>
          <w:p w14:paraId="5A6E98CC" w14:textId="77777777" w:rsidR="00B54D51" w:rsidRPr="00037AD4" w:rsidRDefault="00B54D51" w:rsidP="00401C67">
            <w:pPr>
              <w:widowControl w:val="0"/>
              <w:autoSpaceDE w:val="0"/>
              <w:autoSpaceDN w:val="0"/>
              <w:adjustRightInd w:val="0"/>
              <w:jc w:val="center"/>
            </w:pPr>
            <w:r w:rsidRPr="00037AD4">
              <w:t>0.090</w:t>
            </w:r>
          </w:p>
        </w:tc>
      </w:tr>
      <w:tr w:rsidR="00B54D51" w:rsidRPr="00037AD4" w14:paraId="2CE10DB2" w14:textId="77777777" w:rsidTr="00401C67">
        <w:trPr>
          <w:jc w:val="center"/>
        </w:trPr>
        <w:tc>
          <w:tcPr>
            <w:tcW w:w="1577" w:type="pct"/>
            <w:tcBorders>
              <w:top w:val="nil"/>
              <w:left w:val="nil"/>
              <w:bottom w:val="nil"/>
              <w:right w:val="nil"/>
            </w:tcBorders>
          </w:tcPr>
          <w:p w14:paraId="7E504BA1" w14:textId="77777777" w:rsidR="00B54D51" w:rsidRPr="00037AD4" w:rsidRDefault="00B54D51" w:rsidP="00401C67">
            <w:pPr>
              <w:widowControl w:val="0"/>
              <w:autoSpaceDE w:val="0"/>
              <w:autoSpaceDN w:val="0"/>
              <w:adjustRightInd w:val="0"/>
            </w:pPr>
          </w:p>
        </w:tc>
        <w:tc>
          <w:tcPr>
            <w:tcW w:w="570" w:type="pct"/>
            <w:tcBorders>
              <w:top w:val="nil"/>
              <w:left w:val="nil"/>
              <w:bottom w:val="nil"/>
              <w:right w:val="nil"/>
            </w:tcBorders>
          </w:tcPr>
          <w:p w14:paraId="69726C6D" w14:textId="77777777" w:rsidR="00B54D51" w:rsidRPr="00037AD4" w:rsidRDefault="00B54D51" w:rsidP="00401C67">
            <w:pPr>
              <w:widowControl w:val="0"/>
              <w:autoSpaceDE w:val="0"/>
              <w:autoSpaceDN w:val="0"/>
              <w:adjustRightInd w:val="0"/>
              <w:jc w:val="center"/>
            </w:pPr>
            <w:r w:rsidRPr="00037AD4">
              <w:t>(-0.018 - 0.714)</w:t>
            </w:r>
          </w:p>
        </w:tc>
        <w:tc>
          <w:tcPr>
            <w:tcW w:w="570" w:type="pct"/>
            <w:tcBorders>
              <w:top w:val="nil"/>
              <w:left w:val="nil"/>
              <w:bottom w:val="nil"/>
              <w:right w:val="nil"/>
            </w:tcBorders>
          </w:tcPr>
          <w:p w14:paraId="65B6850F" w14:textId="77777777" w:rsidR="00B54D51" w:rsidRPr="00037AD4" w:rsidRDefault="00B54D51" w:rsidP="00401C67">
            <w:pPr>
              <w:widowControl w:val="0"/>
              <w:autoSpaceDE w:val="0"/>
              <w:autoSpaceDN w:val="0"/>
              <w:adjustRightInd w:val="0"/>
              <w:jc w:val="center"/>
            </w:pPr>
            <w:r w:rsidRPr="00037AD4">
              <w:t>(0.173 - 0.606)</w:t>
            </w:r>
          </w:p>
        </w:tc>
        <w:tc>
          <w:tcPr>
            <w:tcW w:w="570" w:type="pct"/>
            <w:tcBorders>
              <w:top w:val="nil"/>
              <w:left w:val="nil"/>
              <w:bottom w:val="nil"/>
              <w:right w:val="nil"/>
            </w:tcBorders>
          </w:tcPr>
          <w:p w14:paraId="261B8D22" w14:textId="77777777" w:rsidR="00B54D51" w:rsidRPr="00037AD4" w:rsidRDefault="00B54D51" w:rsidP="00401C67">
            <w:pPr>
              <w:widowControl w:val="0"/>
              <w:autoSpaceDE w:val="0"/>
              <w:autoSpaceDN w:val="0"/>
              <w:adjustRightInd w:val="0"/>
              <w:jc w:val="center"/>
            </w:pPr>
            <w:r w:rsidRPr="00037AD4">
              <w:t>(0.154 - 0.580)</w:t>
            </w:r>
          </w:p>
        </w:tc>
        <w:tc>
          <w:tcPr>
            <w:tcW w:w="570" w:type="pct"/>
            <w:tcBorders>
              <w:top w:val="nil"/>
              <w:left w:val="nil"/>
              <w:bottom w:val="nil"/>
              <w:right w:val="nil"/>
            </w:tcBorders>
          </w:tcPr>
          <w:p w14:paraId="0A020E6C" w14:textId="77777777" w:rsidR="00B54D51" w:rsidRPr="00037AD4" w:rsidRDefault="00B54D51" w:rsidP="00401C67">
            <w:pPr>
              <w:widowControl w:val="0"/>
              <w:autoSpaceDE w:val="0"/>
              <w:autoSpaceDN w:val="0"/>
              <w:adjustRightInd w:val="0"/>
              <w:jc w:val="center"/>
            </w:pPr>
            <w:r w:rsidRPr="00037AD4">
              <w:t>(-0.063 - 0.340)</w:t>
            </w:r>
          </w:p>
        </w:tc>
        <w:tc>
          <w:tcPr>
            <w:tcW w:w="570" w:type="pct"/>
            <w:tcBorders>
              <w:top w:val="nil"/>
              <w:left w:val="nil"/>
              <w:bottom w:val="nil"/>
              <w:right w:val="nil"/>
            </w:tcBorders>
          </w:tcPr>
          <w:p w14:paraId="0BEFFA23" w14:textId="77777777" w:rsidR="00B54D51" w:rsidRPr="00037AD4" w:rsidRDefault="00B54D51" w:rsidP="00401C67">
            <w:pPr>
              <w:widowControl w:val="0"/>
              <w:autoSpaceDE w:val="0"/>
              <w:autoSpaceDN w:val="0"/>
              <w:adjustRightInd w:val="0"/>
              <w:jc w:val="center"/>
            </w:pPr>
            <w:r w:rsidRPr="00037AD4">
              <w:t>(0.205 - 0.614)</w:t>
            </w:r>
          </w:p>
        </w:tc>
        <w:tc>
          <w:tcPr>
            <w:tcW w:w="570" w:type="pct"/>
            <w:tcBorders>
              <w:top w:val="nil"/>
              <w:left w:val="nil"/>
              <w:bottom w:val="nil"/>
              <w:right w:val="nil"/>
            </w:tcBorders>
          </w:tcPr>
          <w:p w14:paraId="105BCD56" w14:textId="77777777" w:rsidR="00B54D51" w:rsidRPr="00037AD4" w:rsidRDefault="00B54D51" w:rsidP="00401C67">
            <w:pPr>
              <w:widowControl w:val="0"/>
              <w:autoSpaceDE w:val="0"/>
              <w:autoSpaceDN w:val="0"/>
              <w:adjustRightInd w:val="0"/>
              <w:jc w:val="center"/>
            </w:pPr>
            <w:r w:rsidRPr="00037AD4">
              <w:t>(-0.089 - 0.269)</w:t>
            </w:r>
          </w:p>
        </w:tc>
      </w:tr>
      <w:tr w:rsidR="00B54D51" w:rsidRPr="00037AD4" w14:paraId="40A861D7" w14:textId="77777777" w:rsidTr="00401C67">
        <w:trPr>
          <w:jc w:val="center"/>
        </w:trPr>
        <w:tc>
          <w:tcPr>
            <w:tcW w:w="1577" w:type="pct"/>
            <w:tcBorders>
              <w:top w:val="nil"/>
              <w:left w:val="nil"/>
              <w:bottom w:val="nil"/>
              <w:right w:val="nil"/>
            </w:tcBorders>
          </w:tcPr>
          <w:p w14:paraId="50D73B02" w14:textId="77777777" w:rsidR="00B54D51" w:rsidRPr="00037AD4" w:rsidRDefault="00B54D51" w:rsidP="00401C67">
            <w:pPr>
              <w:widowControl w:val="0"/>
              <w:autoSpaceDE w:val="0"/>
              <w:autoSpaceDN w:val="0"/>
              <w:adjustRightInd w:val="0"/>
            </w:pPr>
            <w:r w:rsidRPr="00037AD4">
              <w:t>carer_age_</w:t>
            </w:r>
          </w:p>
        </w:tc>
        <w:tc>
          <w:tcPr>
            <w:tcW w:w="570" w:type="pct"/>
            <w:tcBorders>
              <w:top w:val="nil"/>
              <w:left w:val="nil"/>
              <w:bottom w:val="nil"/>
              <w:right w:val="nil"/>
            </w:tcBorders>
          </w:tcPr>
          <w:p w14:paraId="6BFF914B" w14:textId="77777777" w:rsidR="00B54D51" w:rsidRPr="00037AD4" w:rsidRDefault="00B54D51" w:rsidP="00401C67">
            <w:pPr>
              <w:widowControl w:val="0"/>
              <w:autoSpaceDE w:val="0"/>
              <w:autoSpaceDN w:val="0"/>
              <w:adjustRightInd w:val="0"/>
              <w:jc w:val="center"/>
            </w:pPr>
            <w:r w:rsidRPr="00037AD4">
              <w:t>-0.012</w:t>
            </w:r>
          </w:p>
        </w:tc>
        <w:tc>
          <w:tcPr>
            <w:tcW w:w="570" w:type="pct"/>
            <w:tcBorders>
              <w:top w:val="nil"/>
              <w:left w:val="nil"/>
              <w:bottom w:val="nil"/>
              <w:right w:val="nil"/>
            </w:tcBorders>
          </w:tcPr>
          <w:p w14:paraId="4675D4B8"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316E7508"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758C73BE"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284136F0"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68E552DA" w14:textId="77777777" w:rsidR="00B54D51" w:rsidRPr="00037AD4" w:rsidRDefault="00B54D51" w:rsidP="00401C67">
            <w:pPr>
              <w:widowControl w:val="0"/>
              <w:autoSpaceDE w:val="0"/>
              <w:autoSpaceDN w:val="0"/>
              <w:adjustRightInd w:val="0"/>
              <w:jc w:val="center"/>
            </w:pPr>
          </w:p>
        </w:tc>
      </w:tr>
      <w:tr w:rsidR="00B54D51" w:rsidRPr="00037AD4" w14:paraId="0ECA6058" w14:textId="77777777" w:rsidTr="00401C67">
        <w:trPr>
          <w:jc w:val="center"/>
        </w:trPr>
        <w:tc>
          <w:tcPr>
            <w:tcW w:w="1577" w:type="pct"/>
            <w:tcBorders>
              <w:top w:val="nil"/>
              <w:left w:val="nil"/>
              <w:bottom w:val="nil"/>
              <w:right w:val="nil"/>
            </w:tcBorders>
          </w:tcPr>
          <w:p w14:paraId="16BE5D7C" w14:textId="77777777" w:rsidR="00B54D51" w:rsidRPr="00037AD4" w:rsidRDefault="00B54D51" w:rsidP="00401C67">
            <w:pPr>
              <w:widowControl w:val="0"/>
              <w:autoSpaceDE w:val="0"/>
              <w:autoSpaceDN w:val="0"/>
              <w:adjustRightInd w:val="0"/>
            </w:pPr>
          </w:p>
        </w:tc>
        <w:tc>
          <w:tcPr>
            <w:tcW w:w="570" w:type="pct"/>
            <w:tcBorders>
              <w:top w:val="nil"/>
              <w:left w:val="nil"/>
              <w:bottom w:val="nil"/>
              <w:right w:val="nil"/>
            </w:tcBorders>
          </w:tcPr>
          <w:p w14:paraId="20151280" w14:textId="77777777" w:rsidR="00B54D51" w:rsidRPr="00037AD4" w:rsidRDefault="00B54D51" w:rsidP="00401C67">
            <w:pPr>
              <w:widowControl w:val="0"/>
              <w:autoSpaceDE w:val="0"/>
              <w:autoSpaceDN w:val="0"/>
              <w:adjustRightInd w:val="0"/>
              <w:jc w:val="center"/>
            </w:pPr>
            <w:r w:rsidRPr="00037AD4">
              <w:t>(-0.028 - 0.004)</w:t>
            </w:r>
          </w:p>
        </w:tc>
        <w:tc>
          <w:tcPr>
            <w:tcW w:w="570" w:type="pct"/>
            <w:tcBorders>
              <w:top w:val="nil"/>
              <w:left w:val="nil"/>
              <w:bottom w:val="nil"/>
              <w:right w:val="nil"/>
            </w:tcBorders>
          </w:tcPr>
          <w:p w14:paraId="637371AB"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5EDC9DA9"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509955DA"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257F76E5"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2600FBD8" w14:textId="77777777" w:rsidR="00B54D51" w:rsidRPr="00037AD4" w:rsidRDefault="00B54D51" w:rsidP="00401C67">
            <w:pPr>
              <w:widowControl w:val="0"/>
              <w:autoSpaceDE w:val="0"/>
              <w:autoSpaceDN w:val="0"/>
              <w:adjustRightInd w:val="0"/>
              <w:jc w:val="center"/>
            </w:pPr>
          </w:p>
        </w:tc>
      </w:tr>
      <w:tr w:rsidR="00B54D51" w:rsidRPr="00037AD4" w14:paraId="2AD8C148" w14:textId="77777777" w:rsidTr="00401C67">
        <w:trPr>
          <w:jc w:val="center"/>
        </w:trPr>
        <w:tc>
          <w:tcPr>
            <w:tcW w:w="1577" w:type="pct"/>
            <w:tcBorders>
              <w:top w:val="nil"/>
              <w:left w:val="nil"/>
              <w:bottom w:val="nil"/>
              <w:right w:val="nil"/>
            </w:tcBorders>
          </w:tcPr>
          <w:p w14:paraId="04DEBF67" w14:textId="77777777" w:rsidR="00B54D51" w:rsidRPr="00037AD4" w:rsidRDefault="00B54D51" w:rsidP="00401C67">
            <w:pPr>
              <w:widowControl w:val="0"/>
              <w:autoSpaceDE w:val="0"/>
              <w:autoSpaceDN w:val="0"/>
              <w:adjustRightInd w:val="0"/>
            </w:pPr>
            <w:r w:rsidRPr="00037AD4">
              <w:t>2.proxy_sex_</w:t>
            </w:r>
          </w:p>
        </w:tc>
        <w:tc>
          <w:tcPr>
            <w:tcW w:w="570" w:type="pct"/>
            <w:tcBorders>
              <w:top w:val="nil"/>
              <w:left w:val="nil"/>
              <w:bottom w:val="nil"/>
              <w:right w:val="nil"/>
            </w:tcBorders>
          </w:tcPr>
          <w:p w14:paraId="70618511" w14:textId="77777777" w:rsidR="00B54D51" w:rsidRPr="00037AD4" w:rsidRDefault="00B54D51" w:rsidP="00401C67">
            <w:pPr>
              <w:widowControl w:val="0"/>
              <w:autoSpaceDE w:val="0"/>
              <w:autoSpaceDN w:val="0"/>
              <w:adjustRightInd w:val="0"/>
              <w:jc w:val="center"/>
            </w:pPr>
            <w:r w:rsidRPr="00037AD4">
              <w:t>-0.082</w:t>
            </w:r>
          </w:p>
        </w:tc>
        <w:tc>
          <w:tcPr>
            <w:tcW w:w="570" w:type="pct"/>
            <w:tcBorders>
              <w:top w:val="nil"/>
              <w:left w:val="nil"/>
              <w:bottom w:val="nil"/>
              <w:right w:val="nil"/>
            </w:tcBorders>
          </w:tcPr>
          <w:p w14:paraId="683AD549"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341531F4"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2C2A2EB7"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694EEA7C"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1386863E" w14:textId="77777777" w:rsidR="00B54D51" w:rsidRPr="00037AD4" w:rsidRDefault="00B54D51" w:rsidP="00401C67">
            <w:pPr>
              <w:widowControl w:val="0"/>
              <w:autoSpaceDE w:val="0"/>
              <w:autoSpaceDN w:val="0"/>
              <w:adjustRightInd w:val="0"/>
              <w:jc w:val="center"/>
            </w:pPr>
          </w:p>
        </w:tc>
      </w:tr>
      <w:tr w:rsidR="00B54D51" w:rsidRPr="00037AD4" w14:paraId="047DDF03" w14:textId="77777777" w:rsidTr="00401C67">
        <w:trPr>
          <w:jc w:val="center"/>
        </w:trPr>
        <w:tc>
          <w:tcPr>
            <w:tcW w:w="1577" w:type="pct"/>
            <w:tcBorders>
              <w:top w:val="nil"/>
              <w:left w:val="nil"/>
              <w:bottom w:val="nil"/>
              <w:right w:val="nil"/>
            </w:tcBorders>
          </w:tcPr>
          <w:p w14:paraId="587BA8F1" w14:textId="77777777" w:rsidR="00B54D51" w:rsidRPr="00037AD4" w:rsidRDefault="00B54D51" w:rsidP="00401C67">
            <w:pPr>
              <w:widowControl w:val="0"/>
              <w:autoSpaceDE w:val="0"/>
              <w:autoSpaceDN w:val="0"/>
              <w:adjustRightInd w:val="0"/>
            </w:pPr>
          </w:p>
        </w:tc>
        <w:tc>
          <w:tcPr>
            <w:tcW w:w="570" w:type="pct"/>
            <w:tcBorders>
              <w:top w:val="nil"/>
              <w:left w:val="nil"/>
              <w:bottom w:val="nil"/>
              <w:right w:val="nil"/>
            </w:tcBorders>
          </w:tcPr>
          <w:p w14:paraId="1B0D11D3" w14:textId="77777777" w:rsidR="00B54D51" w:rsidRPr="00037AD4" w:rsidRDefault="00B54D51" w:rsidP="00401C67">
            <w:pPr>
              <w:widowControl w:val="0"/>
              <w:autoSpaceDE w:val="0"/>
              <w:autoSpaceDN w:val="0"/>
              <w:adjustRightInd w:val="0"/>
              <w:jc w:val="center"/>
            </w:pPr>
            <w:r w:rsidRPr="00037AD4">
              <w:t>(-0.396 - 0.232)</w:t>
            </w:r>
          </w:p>
        </w:tc>
        <w:tc>
          <w:tcPr>
            <w:tcW w:w="570" w:type="pct"/>
            <w:tcBorders>
              <w:top w:val="nil"/>
              <w:left w:val="nil"/>
              <w:bottom w:val="nil"/>
              <w:right w:val="nil"/>
            </w:tcBorders>
          </w:tcPr>
          <w:p w14:paraId="5F71912F"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22DBA77F"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5FB56A6F"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4DC1001C"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002E1F92" w14:textId="77777777" w:rsidR="00B54D51" w:rsidRPr="00037AD4" w:rsidRDefault="00B54D51" w:rsidP="00401C67">
            <w:pPr>
              <w:widowControl w:val="0"/>
              <w:autoSpaceDE w:val="0"/>
              <w:autoSpaceDN w:val="0"/>
              <w:adjustRightInd w:val="0"/>
              <w:jc w:val="center"/>
            </w:pPr>
          </w:p>
        </w:tc>
      </w:tr>
      <w:tr w:rsidR="00B54D51" w:rsidRPr="00037AD4" w14:paraId="045D6920" w14:textId="77777777" w:rsidTr="00401C67">
        <w:trPr>
          <w:jc w:val="center"/>
        </w:trPr>
        <w:tc>
          <w:tcPr>
            <w:tcW w:w="1577" w:type="pct"/>
            <w:tcBorders>
              <w:top w:val="nil"/>
              <w:left w:val="nil"/>
              <w:bottom w:val="nil"/>
              <w:right w:val="nil"/>
            </w:tcBorders>
          </w:tcPr>
          <w:p w14:paraId="6BE127B1" w14:textId="77777777" w:rsidR="00B54D51" w:rsidRPr="00037AD4" w:rsidRDefault="00B54D51" w:rsidP="00401C67">
            <w:pPr>
              <w:widowControl w:val="0"/>
              <w:autoSpaceDE w:val="0"/>
              <w:autoSpaceDN w:val="0"/>
              <w:adjustRightInd w:val="0"/>
            </w:pPr>
            <w:r w:rsidRPr="00037AD4">
              <w:lastRenderedPageBreak/>
              <w:t>2.PwD_live_with_carer_</w:t>
            </w:r>
          </w:p>
        </w:tc>
        <w:tc>
          <w:tcPr>
            <w:tcW w:w="570" w:type="pct"/>
            <w:tcBorders>
              <w:top w:val="nil"/>
              <w:left w:val="nil"/>
              <w:bottom w:val="nil"/>
              <w:right w:val="nil"/>
            </w:tcBorders>
          </w:tcPr>
          <w:p w14:paraId="37BCA2F4" w14:textId="77777777" w:rsidR="00B54D51" w:rsidRPr="00037AD4" w:rsidRDefault="00B54D51" w:rsidP="00401C67">
            <w:pPr>
              <w:widowControl w:val="0"/>
              <w:autoSpaceDE w:val="0"/>
              <w:autoSpaceDN w:val="0"/>
              <w:adjustRightInd w:val="0"/>
              <w:jc w:val="center"/>
            </w:pPr>
            <w:r w:rsidRPr="00037AD4">
              <w:t>0.205</w:t>
            </w:r>
          </w:p>
        </w:tc>
        <w:tc>
          <w:tcPr>
            <w:tcW w:w="570" w:type="pct"/>
            <w:tcBorders>
              <w:top w:val="nil"/>
              <w:left w:val="nil"/>
              <w:bottom w:val="nil"/>
              <w:right w:val="nil"/>
            </w:tcBorders>
          </w:tcPr>
          <w:p w14:paraId="5AC442AE"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363EF776"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28A83313"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57BC2523"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67E98342" w14:textId="77777777" w:rsidR="00B54D51" w:rsidRPr="00037AD4" w:rsidRDefault="00B54D51" w:rsidP="00401C67">
            <w:pPr>
              <w:widowControl w:val="0"/>
              <w:autoSpaceDE w:val="0"/>
              <w:autoSpaceDN w:val="0"/>
              <w:adjustRightInd w:val="0"/>
              <w:jc w:val="center"/>
            </w:pPr>
          </w:p>
        </w:tc>
      </w:tr>
      <w:tr w:rsidR="00B54D51" w:rsidRPr="00037AD4" w14:paraId="024DB715" w14:textId="77777777" w:rsidTr="00401C67">
        <w:trPr>
          <w:jc w:val="center"/>
        </w:trPr>
        <w:tc>
          <w:tcPr>
            <w:tcW w:w="1577" w:type="pct"/>
            <w:tcBorders>
              <w:top w:val="nil"/>
              <w:left w:val="nil"/>
              <w:bottom w:val="nil"/>
              <w:right w:val="nil"/>
            </w:tcBorders>
          </w:tcPr>
          <w:p w14:paraId="0E96A48E" w14:textId="77777777" w:rsidR="00B54D51" w:rsidRPr="00037AD4" w:rsidRDefault="00B54D51" w:rsidP="00401C67">
            <w:pPr>
              <w:widowControl w:val="0"/>
              <w:autoSpaceDE w:val="0"/>
              <w:autoSpaceDN w:val="0"/>
              <w:adjustRightInd w:val="0"/>
            </w:pPr>
          </w:p>
        </w:tc>
        <w:tc>
          <w:tcPr>
            <w:tcW w:w="570" w:type="pct"/>
            <w:tcBorders>
              <w:top w:val="nil"/>
              <w:left w:val="nil"/>
              <w:bottom w:val="nil"/>
              <w:right w:val="nil"/>
            </w:tcBorders>
          </w:tcPr>
          <w:p w14:paraId="44338A57" w14:textId="77777777" w:rsidR="00B54D51" w:rsidRPr="00037AD4" w:rsidRDefault="00B54D51" w:rsidP="00401C67">
            <w:pPr>
              <w:widowControl w:val="0"/>
              <w:autoSpaceDE w:val="0"/>
              <w:autoSpaceDN w:val="0"/>
              <w:adjustRightInd w:val="0"/>
              <w:jc w:val="center"/>
            </w:pPr>
            <w:r w:rsidRPr="00037AD4">
              <w:t>(-0.166 - 0.577)</w:t>
            </w:r>
          </w:p>
        </w:tc>
        <w:tc>
          <w:tcPr>
            <w:tcW w:w="570" w:type="pct"/>
            <w:tcBorders>
              <w:top w:val="nil"/>
              <w:left w:val="nil"/>
              <w:bottom w:val="nil"/>
              <w:right w:val="nil"/>
            </w:tcBorders>
          </w:tcPr>
          <w:p w14:paraId="084F12A3"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5C8AA153"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4D5BCA23"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55668A83"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59DCAFB6" w14:textId="77777777" w:rsidR="00B54D51" w:rsidRPr="00037AD4" w:rsidRDefault="00B54D51" w:rsidP="00401C67">
            <w:pPr>
              <w:widowControl w:val="0"/>
              <w:autoSpaceDE w:val="0"/>
              <w:autoSpaceDN w:val="0"/>
              <w:adjustRightInd w:val="0"/>
              <w:jc w:val="center"/>
            </w:pPr>
          </w:p>
        </w:tc>
      </w:tr>
      <w:tr w:rsidR="00B54D51" w:rsidRPr="00037AD4" w14:paraId="21ADD599" w14:textId="77777777" w:rsidTr="00401C67">
        <w:trPr>
          <w:jc w:val="center"/>
        </w:trPr>
        <w:tc>
          <w:tcPr>
            <w:tcW w:w="1577" w:type="pct"/>
            <w:tcBorders>
              <w:top w:val="nil"/>
              <w:left w:val="nil"/>
              <w:bottom w:val="nil"/>
              <w:right w:val="nil"/>
            </w:tcBorders>
          </w:tcPr>
          <w:p w14:paraId="7A754B8F" w14:textId="77777777" w:rsidR="00B54D51" w:rsidRPr="00037AD4" w:rsidRDefault="00B54D51" w:rsidP="00401C67">
            <w:pPr>
              <w:widowControl w:val="0"/>
              <w:autoSpaceDE w:val="0"/>
              <w:autoSpaceDN w:val="0"/>
              <w:adjustRightInd w:val="0"/>
            </w:pPr>
            <w:r w:rsidRPr="00037AD4">
              <w:t>2.carer_relationship_merged</w:t>
            </w:r>
          </w:p>
        </w:tc>
        <w:tc>
          <w:tcPr>
            <w:tcW w:w="570" w:type="pct"/>
            <w:tcBorders>
              <w:top w:val="nil"/>
              <w:left w:val="nil"/>
              <w:bottom w:val="nil"/>
              <w:right w:val="nil"/>
            </w:tcBorders>
          </w:tcPr>
          <w:p w14:paraId="00E0B03B" w14:textId="77777777" w:rsidR="00B54D51" w:rsidRPr="00037AD4" w:rsidRDefault="00B54D51" w:rsidP="00401C67">
            <w:pPr>
              <w:widowControl w:val="0"/>
              <w:autoSpaceDE w:val="0"/>
              <w:autoSpaceDN w:val="0"/>
              <w:adjustRightInd w:val="0"/>
              <w:jc w:val="center"/>
            </w:pPr>
            <w:r w:rsidRPr="00037AD4">
              <w:t>-0.450</w:t>
            </w:r>
          </w:p>
        </w:tc>
        <w:tc>
          <w:tcPr>
            <w:tcW w:w="570" w:type="pct"/>
            <w:tcBorders>
              <w:top w:val="nil"/>
              <w:left w:val="nil"/>
              <w:bottom w:val="nil"/>
              <w:right w:val="nil"/>
            </w:tcBorders>
          </w:tcPr>
          <w:p w14:paraId="46D5749E"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05E7992F"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20EC5F77"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27172555"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3E000432" w14:textId="77777777" w:rsidR="00B54D51" w:rsidRPr="00037AD4" w:rsidRDefault="00B54D51" w:rsidP="00401C67">
            <w:pPr>
              <w:widowControl w:val="0"/>
              <w:autoSpaceDE w:val="0"/>
              <w:autoSpaceDN w:val="0"/>
              <w:adjustRightInd w:val="0"/>
              <w:jc w:val="center"/>
            </w:pPr>
          </w:p>
        </w:tc>
      </w:tr>
      <w:tr w:rsidR="00B54D51" w:rsidRPr="00037AD4" w14:paraId="56D1A31B" w14:textId="77777777" w:rsidTr="00401C67">
        <w:trPr>
          <w:jc w:val="center"/>
        </w:trPr>
        <w:tc>
          <w:tcPr>
            <w:tcW w:w="1577" w:type="pct"/>
            <w:tcBorders>
              <w:top w:val="nil"/>
              <w:left w:val="nil"/>
              <w:bottom w:val="nil"/>
              <w:right w:val="nil"/>
            </w:tcBorders>
          </w:tcPr>
          <w:p w14:paraId="24E8037C" w14:textId="77777777" w:rsidR="00B54D51" w:rsidRPr="00037AD4" w:rsidRDefault="00B54D51" w:rsidP="00401C67">
            <w:pPr>
              <w:widowControl w:val="0"/>
              <w:autoSpaceDE w:val="0"/>
              <w:autoSpaceDN w:val="0"/>
              <w:adjustRightInd w:val="0"/>
            </w:pPr>
          </w:p>
        </w:tc>
        <w:tc>
          <w:tcPr>
            <w:tcW w:w="570" w:type="pct"/>
            <w:tcBorders>
              <w:top w:val="nil"/>
              <w:left w:val="nil"/>
              <w:bottom w:val="nil"/>
              <w:right w:val="nil"/>
            </w:tcBorders>
          </w:tcPr>
          <w:p w14:paraId="73DA68A9" w14:textId="77777777" w:rsidR="00B54D51" w:rsidRPr="00037AD4" w:rsidRDefault="00B54D51" w:rsidP="00401C67">
            <w:pPr>
              <w:widowControl w:val="0"/>
              <w:autoSpaceDE w:val="0"/>
              <w:autoSpaceDN w:val="0"/>
              <w:adjustRightInd w:val="0"/>
              <w:jc w:val="center"/>
            </w:pPr>
            <w:r w:rsidRPr="00037AD4">
              <w:t>(-1.095 - 0.196)</w:t>
            </w:r>
          </w:p>
        </w:tc>
        <w:tc>
          <w:tcPr>
            <w:tcW w:w="570" w:type="pct"/>
            <w:tcBorders>
              <w:top w:val="nil"/>
              <w:left w:val="nil"/>
              <w:bottom w:val="nil"/>
              <w:right w:val="nil"/>
            </w:tcBorders>
          </w:tcPr>
          <w:p w14:paraId="1CEE1994"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7557F1BE"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49E201F4"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7E71D843"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70826E62" w14:textId="77777777" w:rsidR="00B54D51" w:rsidRPr="00037AD4" w:rsidRDefault="00B54D51" w:rsidP="00401C67">
            <w:pPr>
              <w:widowControl w:val="0"/>
              <w:autoSpaceDE w:val="0"/>
              <w:autoSpaceDN w:val="0"/>
              <w:adjustRightInd w:val="0"/>
              <w:jc w:val="center"/>
            </w:pPr>
          </w:p>
        </w:tc>
      </w:tr>
      <w:tr w:rsidR="00B54D51" w:rsidRPr="00037AD4" w14:paraId="51CC8340" w14:textId="77777777" w:rsidTr="00401C67">
        <w:trPr>
          <w:jc w:val="center"/>
        </w:trPr>
        <w:tc>
          <w:tcPr>
            <w:tcW w:w="1577" w:type="pct"/>
            <w:tcBorders>
              <w:top w:val="nil"/>
              <w:left w:val="nil"/>
              <w:bottom w:val="nil"/>
              <w:right w:val="nil"/>
            </w:tcBorders>
          </w:tcPr>
          <w:p w14:paraId="436B263D" w14:textId="77777777" w:rsidR="00B54D51" w:rsidRPr="00037AD4" w:rsidRDefault="00B54D51" w:rsidP="00401C67">
            <w:pPr>
              <w:widowControl w:val="0"/>
              <w:autoSpaceDE w:val="0"/>
              <w:autoSpaceDN w:val="0"/>
              <w:adjustRightInd w:val="0"/>
            </w:pPr>
            <w:r w:rsidRPr="00037AD4">
              <w:t>3.carer_relationship_merged</w:t>
            </w:r>
          </w:p>
        </w:tc>
        <w:tc>
          <w:tcPr>
            <w:tcW w:w="570" w:type="pct"/>
            <w:tcBorders>
              <w:top w:val="nil"/>
              <w:left w:val="nil"/>
              <w:bottom w:val="nil"/>
              <w:right w:val="nil"/>
            </w:tcBorders>
          </w:tcPr>
          <w:p w14:paraId="00A6CD6D" w14:textId="77777777" w:rsidR="00B54D51" w:rsidRPr="00037AD4" w:rsidRDefault="00B54D51" w:rsidP="00401C67">
            <w:pPr>
              <w:widowControl w:val="0"/>
              <w:autoSpaceDE w:val="0"/>
              <w:autoSpaceDN w:val="0"/>
              <w:adjustRightInd w:val="0"/>
              <w:jc w:val="center"/>
            </w:pPr>
            <w:r w:rsidRPr="00037AD4">
              <w:t>0.066</w:t>
            </w:r>
          </w:p>
        </w:tc>
        <w:tc>
          <w:tcPr>
            <w:tcW w:w="570" w:type="pct"/>
            <w:tcBorders>
              <w:top w:val="nil"/>
              <w:left w:val="nil"/>
              <w:bottom w:val="nil"/>
              <w:right w:val="nil"/>
            </w:tcBorders>
          </w:tcPr>
          <w:p w14:paraId="1A238B38"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60A094CC"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0B7936F5"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443E12E5"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1C67B662" w14:textId="77777777" w:rsidR="00B54D51" w:rsidRPr="00037AD4" w:rsidRDefault="00B54D51" w:rsidP="00401C67">
            <w:pPr>
              <w:widowControl w:val="0"/>
              <w:autoSpaceDE w:val="0"/>
              <w:autoSpaceDN w:val="0"/>
              <w:adjustRightInd w:val="0"/>
              <w:jc w:val="center"/>
            </w:pPr>
          </w:p>
        </w:tc>
      </w:tr>
      <w:tr w:rsidR="00B54D51" w:rsidRPr="00037AD4" w14:paraId="69514407" w14:textId="77777777" w:rsidTr="00401C67">
        <w:trPr>
          <w:jc w:val="center"/>
        </w:trPr>
        <w:tc>
          <w:tcPr>
            <w:tcW w:w="1577" w:type="pct"/>
            <w:tcBorders>
              <w:top w:val="nil"/>
              <w:left w:val="nil"/>
              <w:bottom w:val="nil"/>
              <w:right w:val="nil"/>
            </w:tcBorders>
          </w:tcPr>
          <w:p w14:paraId="2DD40A30" w14:textId="77777777" w:rsidR="00B54D51" w:rsidRPr="00037AD4" w:rsidRDefault="00B54D51" w:rsidP="00401C67">
            <w:pPr>
              <w:widowControl w:val="0"/>
              <w:autoSpaceDE w:val="0"/>
              <w:autoSpaceDN w:val="0"/>
              <w:adjustRightInd w:val="0"/>
            </w:pPr>
          </w:p>
        </w:tc>
        <w:tc>
          <w:tcPr>
            <w:tcW w:w="570" w:type="pct"/>
            <w:tcBorders>
              <w:top w:val="nil"/>
              <w:left w:val="nil"/>
              <w:bottom w:val="nil"/>
              <w:right w:val="nil"/>
            </w:tcBorders>
          </w:tcPr>
          <w:p w14:paraId="3A97A868" w14:textId="77777777" w:rsidR="00B54D51" w:rsidRPr="00037AD4" w:rsidRDefault="00B54D51" w:rsidP="00401C67">
            <w:pPr>
              <w:widowControl w:val="0"/>
              <w:autoSpaceDE w:val="0"/>
              <w:autoSpaceDN w:val="0"/>
              <w:adjustRightInd w:val="0"/>
              <w:jc w:val="center"/>
            </w:pPr>
            <w:r w:rsidRPr="00037AD4">
              <w:t>(-0.662 - 0.794)</w:t>
            </w:r>
          </w:p>
        </w:tc>
        <w:tc>
          <w:tcPr>
            <w:tcW w:w="570" w:type="pct"/>
            <w:tcBorders>
              <w:top w:val="nil"/>
              <w:left w:val="nil"/>
              <w:bottom w:val="nil"/>
              <w:right w:val="nil"/>
            </w:tcBorders>
          </w:tcPr>
          <w:p w14:paraId="672476DE"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7CF121B9"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49A7B8CF"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4269A7C1"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6A5566AF" w14:textId="77777777" w:rsidR="00B54D51" w:rsidRPr="00037AD4" w:rsidRDefault="00B54D51" w:rsidP="00401C67">
            <w:pPr>
              <w:widowControl w:val="0"/>
              <w:autoSpaceDE w:val="0"/>
              <w:autoSpaceDN w:val="0"/>
              <w:adjustRightInd w:val="0"/>
              <w:jc w:val="center"/>
            </w:pPr>
          </w:p>
        </w:tc>
      </w:tr>
      <w:tr w:rsidR="00B54D51" w:rsidRPr="00037AD4" w14:paraId="58CA08F6" w14:textId="77777777" w:rsidTr="00401C67">
        <w:trPr>
          <w:jc w:val="center"/>
        </w:trPr>
        <w:tc>
          <w:tcPr>
            <w:tcW w:w="1577" w:type="pct"/>
            <w:tcBorders>
              <w:top w:val="nil"/>
              <w:left w:val="nil"/>
              <w:bottom w:val="nil"/>
              <w:right w:val="nil"/>
            </w:tcBorders>
          </w:tcPr>
          <w:p w14:paraId="6DABB56E" w14:textId="77777777" w:rsidR="00B54D51" w:rsidRPr="00037AD4" w:rsidRDefault="00B54D51" w:rsidP="00401C67">
            <w:pPr>
              <w:widowControl w:val="0"/>
              <w:autoSpaceDE w:val="0"/>
              <w:autoSpaceDN w:val="0"/>
              <w:adjustRightInd w:val="0"/>
            </w:pPr>
            <w:r w:rsidRPr="00037AD4">
              <w:t>4.carer_relationship_merged</w:t>
            </w:r>
          </w:p>
        </w:tc>
        <w:tc>
          <w:tcPr>
            <w:tcW w:w="570" w:type="pct"/>
            <w:tcBorders>
              <w:top w:val="nil"/>
              <w:left w:val="nil"/>
              <w:bottom w:val="nil"/>
              <w:right w:val="nil"/>
            </w:tcBorders>
          </w:tcPr>
          <w:p w14:paraId="6F5C2496" w14:textId="77777777" w:rsidR="00B54D51" w:rsidRPr="00037AD4" w:rsidRDefault="00B54D51" w:rsidP="00401C67">
            <w:pPr>
              <w:widowControl w:val="0"/>
              <w:autoSpaceDE w:val="0"/>
              <w:autoSpaceDN w:val="0"/>
              <w:adjustRightInd w:val="0"/>
              <w:jc w:val="center"/>
            </w:pPr>
            <w:r w:rsidRPr="00037AD4">
              <w:t>-1.375</w:t>
            </w:r>
          </w:p>
        </w:tc>
        <w:tc>
          <w:tcPr>
            <w:tcW w:w="570" w:type="pct"/>
            <w:tcBorders>
              <w:top w:val="nil"/>
              <w:left w:val="nil"/>
              <w:bottom w:val="nil"/>
              <w:right w:val="nil"/>
            </w:tcBorders>
          </w:tcPr>
          <w:p w14:paraId="3CF4706D"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0889C8AA"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28E3C4AD"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44FCED0D"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361EDB26" w14:textId="77777777" w:rsidR="00B54D51" w:rsidRPr="00037AD4" w:rsidRDefault="00B54D51" w:rsidP="00401C67">
            <w:pPr>
              <w:widowControl w:val="0"/>
              <w:autoSpaceDE w:val="0"/>
              <w:autoSpaceDN w:val="0"/>
              <w:adjustRightInd w:val="0"/>
              <w:jc w:val="center"/>
            </w:pPr>
          </w:p>
        </w:tc>
      </w:tr>
      <w:tr w:rsidR="00B54D51" w:rsidRPr="00037AD4" w14:paraId="70E6B9AF" w14:textId="77777777" w:rsidTr="00401C67">
        <w:trPr>
          <w:jc w:val="center"/>
        </w:trPr>
        <w:tc>
          <w:tcPr>
            <w:tcW w:w="1577" w:type="pct"/>
            <w:tcBorders>
              <w:top w:val="nil"/>
              <w:left w:val="nil"/>
              <w:bottom w:val="nil"/>
              <w:right w:val="nil"/>
            </w:tcBorders>
          </w:tcPr>
          <w:p w14:paraId="59C69C22" w14:textId="77777777" w:rsidR="00B54D51" w:rsidRPr="00037AD4" w:rsidRDefault="00B54D51" w:rsidP="00401C67">
            <w:pPr>
              <w:widowControl w:val="0"/>
              <w:autoSpaceDE w:val="0"/>
              <w:autoSpaceDN w:val="0"/>
              <w:adjustRightInd w:val="0"/>
            </w:pPr>
          </w:p>
        </w:tc>
        <w:tc>
          <w:tcPr>
            <w:tcW w:w="570" w:type="pct"/>
            <w:tcBorders>
              <w:top w:val="nil"/>
              <w:left w:val="nil"/>
              <w:bottom w:val="nil"/>
              <w:right w:val="nil"/>
            </w:tcBorders>
          </w:tcPr>
          <w:p w14:paraId="3360AB3B" w14:textId="77777777" w:rsidR="00B54D51" w:rsidRPr="00037AD4" w:rsidRDefault="00B54D51" w:rsidP="00401C67">
            <w:pPr>
              <w:widowControl w:val="0"/>
              <w:autoSpaceDE w:val="0"/>
              <w:autoSpaceDN w:val="0"/>
              <w:adjustRightInd w:val="0"/>
              <w:jc w:val="center"/>
            </w:pPr>
            <w:r w:rsidRPr="00037AD4">
              <w:t>(-3.229 - 0.479)</w:t>
            </w:r>
          </w:p>
        </w:tc>
        <w:tc>
          <w:tcPr>
            <w:tcW w:w="570" w:type="pct"/>
            <w:tcBorders>
              <w:top w:val="nil"/>
              <w:left w:val="nil"/>
              <w:bottom w:val="nil"/>
              <w:right w:val="nil"/>
            </w:tcBorders>
          </w:tcPr>
          <w:p w14:paraId="1E95B8F9"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70E5E752"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3EE81DD7"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69CD8E0E"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0DCF9DD5" w14:textId="77777777" w:rsidR="00B54D51" w:rsidRPr="00037AD4" w:rsidRDefault="00B54D51" w:rsidP="00401C67">
            <w:pPr>
              <w:widowControl w:val="0"/>
              <w:autoSpaceDE w:val="0"/>
              <w:autoSpaceDN w:val="0"/>
              <w:adjustRightInd w:val="0"/>
              <w:jc w:val="center"/>
            </w:pPr>
          </w:p>
        </w:tc>
      </w:tr>
      <w:tr w:rsidR="00B54D51" w:rsidRPr="00037AD4" w14:paraId="1688113E" w14:textId="77777777" w:rsidTr="00401C67">
        <w:trPr>
          <w:jc w:val="center"/>
        </w:trPr>
        <w:tc>
          <w:tcPr>
            <w:tcW w:w="1577" w:type="pct"/>
            <w:tcBorders>
              <w:top w:val="nil"/>
              <w:left w:val="nil"/>
              <w:bottom w:val="nil"/>
              <w:right w:val="nil"/>
            </w:tcBorders>
          </w:tcPr>
          <w:p w14:paraId="5E6E6F73" w14:textId="77777777" w:rsidR="00B54D51" w:rsidRPr="00037AD4" w:rsidRDefault="00B54D51" w:rsidP="00401C67">
            <w:pPr>
              <w:widowControl w:val="0"/>
              <w:autoSpaceDE w:val="0"/>
              <w:autoSpaceDN w:val="0"/>
              <w:adjustRightInd w:val="0"/>
            </w:pPr>
            <w:r w:rsidRPr="00037AD4">
              <w:t>/cut1</w:t>
            </w:r>
          </w:p>
        </w:tc>
        <w:tc>
          <w:tcPr>
            <w:tcW w:w="570" w:type="pct"/>
            <w:tcBorders>
              <w:top w:val="nil"/>
              <w:left w:val="nil"/>
              <w:bottom w:val="nil"/>
              <w:right w:val="nil"/>
            </w:tcBorders>
          </w:tcPr>
          <w:p w14:paraId="4DB678CD" w14:textId="77777777" w:rsidR="00B54D51" w:rsidRPr="00037AD4" w:rsidRDefault="00B54D51" w:rsidP="00401C67">
            <w:pPr>
              <w:widowControl w:val="0"/>
              <w:autoSpaceDE w:val="0"/>
              <w:autoSpaceDN w:val="0"/>
              <w:adjustRightInd w:val="0"/>
              <w:jc w:val="center"/>
            </w:pPr>
            <w:r w:rsidRPr="00037AD4">
              <w:t>-2.281***</w:t>
            </w:r>
          </w:p>
        </w:tc>
        <w:tc>
          <w:tcPr>
            <w:tcW w:w="570" w:type="pct"/>
            <w:tcBorders>
              <w:top w:val="nil"/>
              <w:left w:val="nil"/>
              <w:bottom w:val="nil"/>
              <w:right w:val="nil"/>
            </w:tcBorders>
          </w:tcPr>
          <w:p w14:paraId="6C452B22" w14:textId="77777777" w:rsidR="00B54D51" w:rsidRPr="00037AD4" w:rsidRDefault="00B54D51" w:rsidP="00401C67">
            <w:pPr>
              <w:widowControl w:val="0"/>
              <w:autoSpaceDE w:val="0"/>
              <w:autoSpaceDN w:val="0"/>
              <w:adjustRightInd w:val="0"/>
              <w:jc w:val="center"/>
            </w:pPr>
            <w:r w:rsidRPr="00037AD4">
              <w:t>-2.599***</w:t>
            </w:r>
          </w:p>
        </w:tc>
        <w:tc>
          <w:tcPr>
            <w:tcW w:w="570" w:type="pct"/>
            <w:tcBorders>
              <w:top w:val="nil"/>
              <w:left w:val="nil"/>
              <w:bottom w:val="nil"/>
              <w:right w:val="nil"/>
            </w:tcBorders>
          </w:tcPr>
          <w:p w14:paraId="3494AF50" w14:textId="77777777" w:rsidR="00B54D51" w:rsidRPr="00037AD4" w:rsidRDefault="00B54D51" w:rsidP="00401C67">
            <w:pPr>
              <w:widowControl w:val="0"/>
              <w:autoSpaceDE w:val="0"/>
              <w:autoSpaceDN w:val="0"/>
              <w:adjustRightInd w:val="0"/>
              <w:jc w:val="center"/>
            </w:pPr>
            <w:r w:rsidRPr="00037AD4">
              <w:t>-2.112***</w:t>
            </w:r>
          </w:p>
        </w:tc>
        <w:tc>
          <w:tcPr>
            <w:tcW w:w="570" w:type="pct"/>
            <w:tcBorders>
              <w:top w:val="nil"/>
              <w:left w:val="nil"/>
              <w:bottom w:val="nil"/>
              <w:right w:val="nil"/>
            </w:tcBorders>
          </w:tcPr>
          <w:p w14:paraId="4716628F" w14:textId="77777777" w:rsidR="00B54D51" w:rsidRPr="00037AD4" w:rsidRDefault="00B54D51" w:rsidP="00401C67">
            <w:pPr>
              <w:widowControl w:val="0"/>
              <w:autoSpaceDE w:val="0"/>
              <w:autoSpaceDN w:val="0"/>
              <w:adjustRightInd w:val="0"/>
              <w:jc w:val="center"/>
            </w:pPr>
            <w:r w:rsidRPr="00037AD4">
              <w:t>-2.307***</w:t>
            </w:r>
          </w:p>
        </w:tc>
        <w:tc>
          <w:tcPr>
            <w:tcW w:w="570" w:type="pct"/>
            <w:tcBorders>
              <w:top w:val="nil"/>
              <w:left w:val="nil"/>
              <w:bottom w:val="nil"/>
              <w:right w:val="nil"/>
            </w:tcBorders>
          </w:tcPr>
          <w:p w14:paraId="40CFE144" w14:textId="77777777" w:rsidR="00B54D51" w:rsidRPr="00037AD4" w:rsidRDefault="00B54D51" w:rsidP="00401C67">
            <w:pPr>
              <w:widowControl w:val="0"/>
              <w:autoSpaceDE w:val="0"/>
              <w:autoSpaceDN w:val="0"/>
              <w:adjustRightInd w:val="0"/>
              <w:jc w:val="center"/>
            </w:pPr>
            <w:r w:rsidRPr="00037AD4">
              <w:t>-1.282***</w:t>
            </w:r>
          </w:p>
        </w:tc>
        <w:tc>
          <w:tcPr>
            <w:tcW w:w="570" w:type="pct"/>
            <w:tcBorders>
              <w:top w:val="nil"/>
              <w:left w:val="nil"/>
              <w:bottom w:val="nil"/>
              <w:right w:val="nil"/>
            </w:tcBorders>
          </w:tcPr>
          <w:p w14:paraId="0201B4F7" w14:textId="77777777" w:rsidR="00B54D51" w:rsidRPr="00037AD4" w:rsidRDefault="00B54D51" w:rsidP="00401C67">
            <w:pPr>
              <w:widowControl w:val="0"/>
              <w:autoSpaceDE w:val="0"/>
              <w:autoSpaceDN w:val="0"/>
              <w:adjustRightInd w:val="0"/>
              <w:jc w:val="center"/>
            </w:pPr>
            <w:r w:rsidRPr="00037AD4">
              <w:t>-2.098***</w:t>
            </w:r>
          </w:p>
        </w:tc>
      </w:tr>
      <w:tr w:rsidR="00B54D51" w:rsidRPr="00037AD4" w14:paraId="0B0AE7F9" w14:textId="77777777" w:rsidTr="00401C67">
        <w:trPr>
          <w:jc w:val="center"/>
        </w:trPr>
        <w:tc>
          <w:tcPr>
            <w:tcW w:w="1577" w:type="pct"/>
            <w:tcBorders>
              <w:top w:val="nil"/>
              <w:left w:val="nil"/>
              <w:bottom w:val="nil"/>
              <w:right w:val="nil"/>
            </w:tcBorders>
          </w:tcPr>
          <w:p w14:paraId="7D0A4320" w14:textId="77777777" w:rsidR="00B54D51" w:rsidRPr="00037AD4" w:rsidRDefault="00B54D51" w:rsidP="00401C67">
            <w:pPr>
              <w:widowControl w:val="0"/>
              <w:autoSpaceDE w:val="0"/>
              <w:autoSpaceDN w:val="0"/>
              <w:adjustRightInd w:val="0"/>
            </w:pPr>
          </w:p>
        </w:tc>
        <w:tc>
          <w:tcPr>
            <w:tcW w:w="570" w:type="pct"/>
            <w:tcBorders>
              <w:top w:val="nil"/>
              <w:left w:val="nil"/>
              <w:bottom w:val="nil"/>
              <w:right w:val="nil"/>
            </w:tcBorders>
          </w:tcPr>
          <w:p w14:paraId="0DBE1E09" w14:textId="77777777" w:rsidR="00B54D51" w:rsidRPr="00037AD4" w:rsidRDefault="00B54D51" w:rsidP="00401C67">
            <w:pPr>
              <w:widowControl w:val="0"/>
              <w:autoSpaceDE w:val="0"/>
              <w:autoSpaceDN w:val="0"/>
              <w:adjustRightInd w:val="0"/>
              <w:jc w:val="center"/>
            </w:pPr>
            <w:r w:rsidRPr="00037AD4">
              <w:t>(-3.654 - -0.909)</w:t>
            </w:r>
          </w:p>
        </w:tc>
        <w:tc>
          <w:tcPr>
            <w:tcW w:w="570" w:type="pct"/>
            <w:tcBorders>
              <w:top w:val="nil"/>
              <w:left w:val="nil"/>
              <w:bottom w:val="nil"/>
              <w:right w:val="nil"/>
            </w:tcBorders>
          </w:tcPr>
          <w:p w14:paraId="5192F90A" w14:textId="77777777" w:rsidR="00B54D51" w:rsidRPr="00037AD4" w:rsidRDefault="00B54D51" w:rsidP="00401C67">
            <w:pPr>
              <w:widowControl w:val="0"/>
              <w:autoSpaceDE w:val="0"/>
              <w:autoSpaceDN w:val="0"/>
              <w:adjustRightInd w:val="0"/>
              <w:jc w:val="center"/>
            </w:pPr>
            <w:r w:rsidRPr="00037AD4">
              <w:t>(-3.694 - -1.504)</w:t>
            </w:r>
          </w:p>
        </w:tc>
        <w:tc>
          <w:tcPr>
            <w:tcW w:w="570" w:type="pct"/>
            <w:tcBorders>
              <w:top w:val="nil"/>
              <w:left w:val="nil"/>
              <w:bottom w:val="nil"/>
              <w:right w:val="nil"/>
            </w:tcBorders>
          </w:tcPr>
          <w:p w14:paraId="0E68D033" w14:textId="77777777" w:rsidR="00B54D51" w:rsidRPr="00037AD4" w:rsidRDefault="00B54D51" w:rsidP="00401C67">
            <w:pPr>
              <w:widowControl w:val="0"/>
              <w:autoSpaceDE w:val="0"/>
              <w:autoSpaceDN w:val="0"/>
              <w:adjustRightInd w:val="0"/>
              <w:jc w:val="center"/>
            </w:pPr>
            <w:r w:rsidRPr="00037AD4">
              <w:t>(-2.540 - -1.684)</w:t>
            </w:r>
          </w:p>
        </w:tc>
        <w:tc>
          <w:tcPr>
            <w:tcW w:w="570" w:type="pct"/>
            <w:tcBorders>
              <w:top w:val="nil"/>
              <w:left w:val="nil"/>
              <w:bottom w:val="nil"/>
              <w:right w:val="nil"/>
            </w:tcBorders>
          </w:tcPr>
          <w:p w14:paraId="6607E6A7" w14:textId="77777777" w:rsidR="00B54D51" w:rsidRPr="00037AD4" w:rsidRDefault="00B54D51" w:rsidP="00401C67">
            <w:pPr>
              <w:widowControl w:val="0"/>
              <w:autoSpaceDE w:val="0"/>
              <w:autoSpaceDN w:val="0"/>
              <w:adjustRightInd w:val="0"/>
              <w:jc w:val="center"/>
            </w:pPr>
            <w:r w:rsidRPr="00037AD4">
              <w:t>(-3.374 - -1.241)</w:t>
            </w:r>
          </w:p>
        </w:tc>
        <w:tc>
          <w:tcPr>
            <w:tcW w:w="570" w:type="pct"/>
            <w:tcBorders>
              <w:top w:val="nil"/>
              <w:left w:val="nil"/>
              <w:bottom w:val="nil"/>
              <w:right w:val="nil"/>
            </w:tcBorders>
          </w:tcPr>
          <w:p w14:paraId="5828825D" w14:textId="77777777" w:rsidR="00B54D51" w:rsidRPr="00037AD4" w:rsidRDefault="00B54D51" w:rsidP="00401C67">
            <w:pPr>
              <w:widowControl w:val="0"/>
              <w:autoSpaceDE w:val="0"/>
              <w:autoSpaceDN w:val="0"/>
              <w:adjustRightInd w:val="0"/>
              <w:jc w:val="center"/>
            </w:pPr>
            <w:r w:rsidRPr="00037AD4">
              <w:t>(-2.246 - -0.319)</w:t>
            </w:r>
          </w:p>
        </w:tc>
        <w:tc>
          <w:tcPr>
            <w:tcW w:w="570" w:type="pct"/>
            <w:tcBorders>
              <w:top w:val="nil"/>
              <w:left w:val="nil"/>
              <w:bottom w:val="nil"/>
              <w:right w:val="nil"/>
            </w:tcBorders>
          </w:tcPr>
          <w:p w14:paraId="251E00A1" w14:textId="77777777" w:rsidR="00B54D51" w:rsidRPr="00037AD4" w:rsidRDefault="00B54D51" w:rsidP="00401C67">
            <w:pPr>
              <w:widowControl w:val="0"/>
              <w:autoSpaceDE w:val="0"/>
              <w:autoSpaceDN w:val="0"/>
              <w:adjustRightInd w:val="0"/>
              <w:jc w:val="center"/>
            </w:pPr>
            <w:r w:rsidRPr="00037AD4">
              <w:t>(-3.077 - -1.120)</w:t>
            </w:r>
          </w:p>
        </w:tc>
      </w:tr>
      <w:tr w:rsidR="00B54D51" w:rsidRPr="00037AD4" w14:paraId="0C15FE28" w14:textId="77777777" w:rsidTr="00401C67">
        <w:trPr>
          <w:jc w:val="center"/>
        </w:trPr>
        <w:tc>
          <w:tcPr>
            <w:tcW w:w="1577" w:type="pct"/>
            <w:tcBorders>
              <w:top w:val="nil"/>
              <w:left w:val="nil"/>
              <w:bottom w:val="nil"/>
              <w:right w:val="nil"/>
            </w:tcBorders>
          </w:tcPr>
          <w:p w14:paraId="3C71F9DF" w14:textId="77777777" w:rsidR="00B54D51" w:rsidRPr="00037AD4" w:rsidRDefault="00B54D51" w:rsidP="00401C67">
            <w:pPr>
              <w:widowControl w:val="0"/>
              <w:autoSpaceDE w:val="0"/>
              <w:autoSpaceDN w:val="0"/>
              <w:adjustRightInd w:val="0"/>
            </w:pPr>
            <w:r w:rsidRPr="00037AD4">
              <w:t>/cut2</w:t>
            </w:r>
          </w:p>
        </w:tc>
        <w:tc>
          <w:tcPr>
            <w:tcW w:w="570" w:type="pct"/>
            <w:tcBorders>
              <w:top w:val="nil"/>
              <w:left w:val="nil"/>
              <w:bottom w:val="nil"/>
              <w:right w:val="nil"/>
            </w:tcBorders>
          </w:tcPr>
          <w:p w14:paraId="7B8BC59C" w14:textId="77777777" w:rsidR="00B54D51" w:rsidRPr="00037AD4" w:rsidRDefault="00B54D51" w:rsidP="00401C67">
            <w:pPr>
              <w:widowControl w:val="0"/>
              <w:autoSpaceDE w:val="0"/>
              <w:autoSpaceDN w:val="0"/>
              <w:adjustRightInd w:val="0"/>
              <w:jc w:val="center"/>
            </w:pPr>
            <w:r w:rsidRPr="00037AD4">
              <w:t>-0.885</w:t>
            </w:r>
          </w:p>
        </w:tc>
        <w:tc>
          <w:tcPr>
            <w:tcW w:w="570" w:type="pct"/>
            <w:tcBorders>
              <w:top w:val="nil"/>
              <w:left w:val="nil"/>
              <w:bottom w:val="nil"/>
              <w:right w:val="nil"/>
            </w:tcBorders>
          </w:tcPr>
          <w:p w14:paraId="3C28FD90" w14:textId="77777777" w:rsidR="00B54D51" w:rsidRPr="00037AD4" w:rsidRDefault="00B54D51" w:rsidP="00401C67">
            <w:pPr>
              <w:widowControl w:val="0"/>
              <w:autoSpaceDE w:val="0"/>
              <w:autoSpaceDN w:val="0"/>
              <w:adjustRightInd w:val="0"/>
              <w:jc w:val="center"/>
            </w:pPr>
            <w:r w:rsidRPr="00037AD4">
              <w:t>-1.222**</w:t>
            </w:r>
          </w:p>
        </w:tc>
        <w:tc>
          <w:tcPr>
            <w:tcW w:w="570" w:type="pct"/>
            <w:tcBorders>
              <w:top w:val="nil"/>
              <w:left w:val="nil"/>
              <w:bottom w:val="nil"/>
              <w:right w:val="nil"/>
            </w:tcBorders>
          </w:tcPr>
          <w:p w14:paraId="0B945BF3" w14:textId="77777777" w:rsidR="00B54D51" w:rsidRPr="00037AD4" w:rsidRDefault="00B54D51" w:rsidP="00401C67">
            <w:pPr>
              <w:widowControl w:val="0"/>
              <w:autoSpaceDE w:val="0"/>
              <w:autoSpaceDN w:val="0"/>
              <w:adjustRightInd w:val="0"/>
              <w:jc w:val="center"/>
            </w:pPr>
            <w:r w:rsidRPr="00037AD4">
              <w:t>-0.736***</w:t>
            </w:r>
          </w:p>
        </w:tc>
        <w:tc>
          <w:tcPr>
            <w:tcW w:w="570" w:type="pct"/>
            <w:tcBorders>
              <w:top w:val="nil"/>
              <w:left w:val="nil"/>
              <w:bottom w:val="nil"/>
              <w:right w:val="nil"/>
            </w:tcBorders>
          </w:tcPr>
          <w:p w14:paraId="55983C90" w14:textId="77777777" w:rsidR="00B54D51" w:rsidRPr="00037AD4" w:rsidRDefault="00B54D51" w:rsidP="00401C67">
            <w:pPr>
              <w:widowControl w:val="0"/>
              <w:autoSpaceDE w:val="0"/>
              <w:autoSpaceDN w:val="0"/>
              <w:adjustRightInd w:val="0"/>
              <w:jc w:val="center"/>
            </w:pPr>
            <w:r w:rsidRPr="00037AD4">
              <w:t>-1.032**</w:t>
            </w:r>
          </w:p>
        </w:tc>
        <w:tc>
          <w:tcPr>
            <w:tcW w:w="570" w:type="pct"/>
            <w:tcBorders>
              <w:top w:val="nil"/>
              <w:left w:val="nil"/>
              <w:bottom w:val="nil"/>
              <w:right w:val="nil"/>
            </w:tcBorders>
          </w:tcPr>
          <w:p w14:paraId="4C583E7F" w14:textId="77777777" w:rsidR="00B54D51" w:rsidRPr="00037AD4" w:rsidRDefault="00B54D51" w:rsidP="00401C67">
            <w:pPr>
              <w:widowControl w:val="0"/>
              <w:autoSpaceDE w:val="0"/>
              <w:autoSpaceDN w:val="0"/>
              <w:adjustRightInd w:val="0"/>
              <w:jc w:val="center"/>
            </w:pPr>
            <w:r w:rsidRPr="00037AD4">
              <w:t>-0.201</w:t>
            </w:r>
          </w:p>
        </w:tc>
        <w:tc>
          <w:tcPr>
            <w:tcW w:w="570" w:type="pct"/>
            <w:tcBorders>
              <w:top w:val="nil"/>
              <w:left w:val="nil"/>
              <w:bottom w:val="nil"/>
              <w:right w:val="nil"/>
            </w:tcBorders>
          </w:tcPr>
          <w:p w14:paraId="70627456" w14:textId="77777777" w:rsidR="00B54D51" w:rsidRPr="00037AD4" w:rsidRDefault="00B54D51" w:rsidP="00401C67">
            <w:pPr>
              <w:widowControl w:val="0"/>
              <w:autoSpaceDE w:val="0"/>
              <w:autoSpaceDN w:val="0"/>
              <w:adjustRightInd w:val="0"/>
              <w:jc w:val="center"/>
            </w:pPr>
            <w:r w:rsidRPr="00037AD4">
              <w:t>-0.824*</w:t>
            </w:r>
          </w:p>
        </w:tc>
      </w:tr>
      <w:tr w:rsidR="00B54D51" w:rsidRPr="00037AD4" w14:paraId="0780D87C" w14:textId="77777777" w:rsidTr="00401C67">
        <w:trPr>
          <w:jc w:val="center"/>
        </w:trPr>
        <w:tc>
          <w:tcPr>
            <w:tcW w:w="1577" w:type="pct"/>
            <w:tcBorders>
              <w:top w:val="nil"/>
              <w:left w:val="nil"/>
              <w:bottom w:val="nil"/>
              <w:right w:val="nil"/>
            </w:tcBorders>
          </w:tcPr>
          <w:p w14:paraId="42C40233" w14:textId="77777777" w:rsidR="00B54D51" w:rsidRPr="00037AD4" w:rsidRDefault="00B54D51" w:rsidP="00401C67">
            <w:pPr>
              <w:widowControl w:val="0"/>
              <w:autoSpaceDE w:val="0"/>
              <w:autoSpaceDN w:val="0"/>
              <w:adjustRightInd w:val="0"/>
            </w:pPr>
          </w:p>
        </w:tc>
        <w:tc>
          <w:tcPr>
            <w:tcW w:w="570" w:type="pct"/>
            <w:tcBorders>
              <w:top w:val="nil"/>
              <w:left w:val="nil"/>
              <w:bottom w:val="nil"/>
              <w:right w:val="nil"/>
            </w:tcBorders>
          </w:tcPr>
          <w:p w14:paraId="749524CF" w14:textId="77777777" w:rsidR="00B54D51" w:rsidRPr="00037AD4" w:rsidRDefault="00B54D51" w:rsidP="00401C67">
            <w:pPr>
              <w:widowControl w:val="0"/>
              <w:autoSpaceDE w:val="0"/>
              <w:autoSpaceDN w:val="0"/>
              <w:adjustRightInd w:val="0"/>
              <w:jc w:val="center"/>
            </w:pPr>
            <w:r w:rsidRPr="00037AD4">
              <w:t>(-2.213 - 0.443)</w:t>
            </w:r>
          </w:p>
        </w:tc>
        <w:tc>
          <w:tcPr>
            <w:tcW w:w="570" w:type="pct"/>
            <w:tcBorders>
              <w:top w:val="nil"/>
              <w:left w:val="nil"/>
              <w:bottom w:val="nil"/>
              <w:right w:val="nil"/>
            </w:tcBorders>
          </w:tcPr>
          <w:p w14:paraId="18B20194" w14:textId="77777777" w:rsidR="00B54D51" w:rsidRPr="00037AD4" w:rsidRDefault="00B54D51" w:rsidP="00401C67">
            <w:pPr>
              <w:widowControl w:val="0"/>
              <w:autoSpaceDE w:val="0"/>
              <w:autoSpaceDN w:val="0"/>
              <w:adjustRightInd w:val="0"/>
              <w:jc w:val="center"/>
            </w:pPr>
            <w:r w:rsidRPr="00037AD4">
              <w:t>(-2.272 - -0.172)</w:t>
            </w:r>
          </w:p>
        </w:tc>
        <w:tc>
          <w:tcPr>
            <w:tcW w:w="570" w:type="pct"/>
            <w:tcBorders>
              <w:top w:val="nil"/>
              <w:left w:val="nil"/>
              <w:bottom w:val="nil"/>
              <w:right w:val="nil"/>
            </w:tcBorders>
          </w:tcPr>
          <w:p w14:paraId="7FF33F49" w14:textId="77777777" w:rsidR="00B54D51" w:rsidRPr="00037AD4" w:rsidRDefault="00B54D51" w:rsidP="00401C67">
            <w:pPr>
              <w:widowControl w:val="0"/>
              <w:autoSpaceDE w:val="0"/>
              <w:autoSpaceDN w:val="0"/>
              <w:adjustRightInd w:val="0"/>
              <w:jc w:val="center"/>
            </w:pPr>
            <w:r w:rsidRPr="00037AD4">
              <w:t>(-1.139 - -0.334)</w:t>
            </w:r>
          </w:p>
        </w:tc>
        <w:tc>
          <w:tcPr>
            <w:tcW w:w="570" w:type="pct"/>
            <w:tcBorders>
              <w:top w:val="nil"/>
              <w:left w:val="nil"/>
              <w:bottom w:val="nil"/>
              <w:right w:val="nil"/>
            </w:tcBorders>
          </w:tcPr>
          <w:p w14:paraId="31CFE063" w14:textId="77777777" w:rsidR="00B54D51" w:rsidRPr="00037AD4" w:rsidRDefault="00B54D51" w:rsidP="00401C67">
            <w:pPr>
              <w:widowControl w:val="0"/>
              <w:autoSpaceDE w:val="0"/>
              <w:autoSpaceDN w:val="0"/>
              <w:adjustRightInd w:val="0"/>
              <w:jc w:val="center"/>
            </w:pPr>
            <w:r w:rsidRPr="00037AD4">
              <w:t>(-2.041 - -0.024)</w:t>
            </w:r>
          </w:p>
        </w:tc>
        <w:tc>
          <w:tcPr>
            <w:tcW w:w="570" w:type="pct"/>
            <w:tcBorders>
              <w:top w:val="nil"/>
              <w:left w:val="nil"/>
              <w:bottom w:val="nil"/>
              <w:right w:val="nil"/>
            </w:tcBorders>
          </w:tcPr>
          <w:p w14:paraId="0EDFFC07" w14:textId="77777777" w:rsidR="00B54D51" w:rsidRPr="00037AD4" w:rsidRDefault="00B54D51" w:rsidP="00401C67">
            <w:pPr>
              <w:widowControl w:val="0"/>
              <w:autoSpaceDE w:val="0"/>
              <w:autoSpaceDN w:val="0"/>
              <w:adjustRightInd w:val="0"/>
              <w:jc w:val="center"/>
            </w:pPr>
            <w:r w:rsidRPr="00037AD4">
              <w:t>(-1.163 - 0.761)</w:t>
            </w:r>
          </w:p>
        </w:tc>
        <w:tc>
          <w:tcPr>
            <w:tcW w:w="570" w:type="pct"/>
            <w:tcBorders>
              <w:top w:val="nil"/>
              <w:left w:val="nil"/>
              <w:bottom w:val="nil"/>
              <w:right w:val="nil"/>
            </w:tcBorders>
          </w:tcPr>
          <w:p w14:paraId="41D445A6" w14:textId="77777777" w:rsidR="00B54D51" w:rsidRPr="00037AD4" w:rsidRDefault="00B54D51" w:rsidP="00401C67">
            <w:pPr>
              <w:widowControl w:val="0"/>
              <w:autoSpaceDE w:val="0"/>
              <w:autoSpaceDN w:val="0"/>
              <w:adjustRightInd w:val="0"/>
              <w:jc w:val="center"/>
            </w:pPr>
            <w:r w:rsidRPr="00037AD4">
              <w:t>(-1.755 - 0.106)</w:t>
            </w:r>
          </w:p>
        </w:tc>
      </w:tr>
      <w:tr w:rsidR="00B54D51" w:rsidRPr="00037AD4" w14:paraId="254CC99E" w14:textId="77777777" w:rsidTr="00401C67">
        <w:trPr>
          <w:jc w:val="center"/>
        </w:trPr>
        <w:tc>
          <w:tcPr>
            <w:tcW w:w="1577" w:type="pct"/>
            <w:tcBorders>
              <w:top w:val="nil"/>
              <w:left w:val="nil"/>
              <w:bottom w:val="nil"/>
              <w:right w:val="nil"/>
            </w:tcBorders>
          </w:tcPr>
          <w:p w14:paraId="74FDC517" w14:textId="77777777" w:rsidR="00B54D51" w:rsidRPr="00037AD4" w:rsidRDefault="00B54D51" w:rsidP="00401C67">
            <w:pPr>
              <w:widowControl w:val="0"/>
              <w:autoSpaceDE w:val="0"/>
              <w:autoSpaceDN w:val="0"/>
              <w:adjustRightInd w:val="0"/>
            </w:pPr>
            <w:r w:rsidRPr="00037AD4">
              <w:t>/cut3</w:t>
            </w:r>
          </w:p>
        </w:tc>
        <w:tc>
          <w:tcPr>
            <w:tcW w:w="570" w:type="pct"/>
            <w:tcBorders>
              <w:top w:val="nil"/>
              <w:left w:val="nil"/>
              <w:bottom w:val="nil"/>
              <w:right w:val="nil"/>
            </w:tcBorders>
          </w:tcPr>
          <w:p w14:paraId="467EFE76" w14:textId="77777777" w:rsidR="00B54D51" w:rsidRPr="00037AD4" w:rsidRDefault="00B54D51" w:rsidP="00401C67">
            <w:pPr>
              <w:widowControl w:val="0"/>
              <w:autoSpaceDE w:val="0"/>
              <w:autoSpaceDN w:val="0"/>
              <w:adjustRightInd w:val="0"/>
              <w:jc w:val="center"/>
            </w:pPr>
            <w:r w:rsidRPr="00037AD4">
              <w:t>0.420</w:t>
            </w:r>
          </w:p>
        </w:tc>
        <w:tc>
          <w:tcPr>
            <w:tcW w:w="570" w:type="pct"/>
            <w:tcBorders>
              <w:top w:val="nil"/>
              <w:left w:val="nil"/>
              <w:bottom w:val="nil"/>
              <w:right w:val="nil"/>
            </w:tcBorders>
          </w:tcPr>
          <w:p w14:paraId="10F4DF7E" w14:textId="77777777" w:rsidR="00B54D51" w:rsidRPr="00037AD4" w:rsidRDefault="00B54D51" w:rsidP="00401C67">
            <w:pPr>
              <w:widowControl w:val="0"/>
              <w:autoSpaceDE w:val="0"/>
              <w:autoSpaceDN w:val="0"/>
              <w:adjustRightInd w:val="0"/>
              <w:jc w:val="center"/>
            </w:pPr>
            <w:r w:rsidRPr="00037AD4">
              <w:t>0.007</w:t>
            </w:r>
          </w:p>
        </w:tc>
        <w:tc>
          <w:tcPr>
            <w:tcW w:w="570" w:type="pct"/>
            <w:tcBorders>
              <w:top w:val="nil"/>
              <w:left w:val="nil"/>
              <w:bottom w:val="nil"/>
              <w:right w:val="nil"/>
            </w:tcBorders>
          </w:tcPr>
          <w:p w14:paraId="1D2EAA76" w14:textId="77777777" w:rsidR="00B54D51" w:rsidRPr="00037AD4" w:rsidRDefault="00B54D51" w:rsidP="00401C67">
            <w:pPr>
              <w:widowControl w:val="0"/>
              <w:autoSpaceDE w:val="0"/>
              <w:autoSpaceDN w:val="0"/>
              <w:adjustRightInd w:val="0"/>
              <w:jc w:val="center"/>
            </w:pPr>
            <w:r w:rsidRPr="00037AD4">
              <w:t>0.490**</w:t>
            </w:r>
          </w:p>
        </w:tc>
        <w:tc>
          <w:tcPr>
            <w:tcW w:w="570" w:type="pct"/>
            <w:tcBorders>
              <w:top w:val="nil"/>
              <w:left w:val="nil"/>
              <w:bottom w:val="nil"/>
              <w:right w:val="nil"/>
            </w:tcBorders>
          </w:tcPr>
          <w:p w14:paraId="224E217F" w14:textId="77777777" w:rsidR="00B54D51" w:rsidRPr="00037AD4" w:rsidRDefault="00B54D51" w:rsidP="00401C67">
            <w:pPr>
              <w:widowControl w:val="0"/>
              <w:autoSpaceDE w:val="0"/>
              <w:autoSpaceDN w:val="0"/>
              <w:adjustRightInd w:val="0"/>
              <w:jc w:val="center"/>
            </w:pPr>
            <w:r w:rsidRPr="00037AD4">
              <w:t>0.089</w:t>
            </w:r>
          </w:p>
        </w:tc>
        <w:tc>
          <w:tcPr>
            <w:tcW w:w="570" w:type="pct"/>
            <w:tcBorders>
              <w:top w:val="nil"/>
              <w:left w:val="nil"/>
              <w:bottom w:val="nil"/>
              <w:right w:val="nil"/>
            </w:tcBorders>
          </w:tcPr>
          <w:p w14:paraId="2A67DA8E" w14:textId="77777777" w:rsidR="00B54D51" w:rsidRPr="00037AD4" w:rsidRDefault="00B54D51" w:rsidP="00401C67">
            <w:pPr>
              <w:widowControl w:val="0"/>
              <w:autoSpaceDE w:val="0"/>
              <w:autoSpaceDN w:val="0"/>
              <w:adjustRightInd w:val="0"/>
              <w:jc w:val="center"/>
            </w:pPr>
            <w:r w:rsidRPr="00037AD4">
              <w:t>0.819*</w:t>
            </w:r>
          </w:p>
        </w:tc>
        <w:tc>
          <w:tcPr>
            <w:tcW w:w="570" w:type="pct"/>
            <w:tcBorders>
              <w:top w:val="nil"/>
              <w:left w:val="nil"/>
              <w:bottom w:val="nil"/>
              <w:right w:val="nil"/>
            </w:tcBorders>
          </w:tcPr>
          <w:p w14:paraId="6D38561F" w14:textId="77777777" w:rsidR="00B54D51" w:rsidRPr="00037AD4" w:rsidRDefault="00B54D51" w:rsidP="00401C67">
            <w:pPr>
              <w:widowControl w:val="0"/>
              <w:autoSpaceDE w:val="0"/>
              <w:autoSpaceDN w:val="0"/>
              <w:adjustRightInd w:val="0"/>
              <w:jc w:val="center"/>
            </w:pPr>
            <w:r w:rsidRPr="00037AD4">
              <w:t>0.308</w:t>
            </w:r>
          </w:p>
        </w:tc>
      </w:tr>
      <w:tr w:rsidR="00B54D51" w:rsidRPr="00037AD4" w14:paraId="6FE54DE6" w14:textId="77777777" w:rsidTr="00401C67">
        <w:trPr>
          <w:jc w:val="center"/>
        </w:trPr>
        <w:tc>
          <w:tcPr>
            <w:tcW w:w="1577" w:type="pct"/>
            <w:tcBorders>
              <w:top w:val="nil"/>
              <w:left w:val="nil"/>
              <w:bottom w:val="nil"/>
              <w:right w:val="nil"/>
            </w:tcBorders>
          </w:tcPr>
          <w:p w14:paraId="0DDF6AAC" w14:textId="77777777" w:rsidR="00B54D51" w:rsidRPr="00037AD4" w:rsidRDefault="00B54D51" w:rsidP="00401C67">
            <w:pPr>
              <w:widowControl w:val="0"/>
              <w:autoSpaceDE w:val="0"/>
              <w:autoSpaceDN w:val="0"/>
              <w:adjustRightInd w:val="0"/>
            </w:pPr>
          </w:p>
        </w:tc>
        <w:tc>
          <w:tcPr>
            <w:tcW w:w="570" w:type="pct"/>
            <w:tcBorders>
              <w:top w:val="nil"/>
              <w:left w:val="nil"/>
              <w:bottom w:val="nil"/>
              <w:right w:val="nil"/>
            </w:tcBorders>
          </w:tcPr>
          <w:p w14:paraId="4F0C0BC5" w14:textId="77777777" w:rsidR="00B54D51" w:rsidRPr="00037AD4" w:rsidRDefault="00B54D51" w:rsidP="00401C67">
            <w:pPr>
              <w:widowControl w:val="0"/>
              <w:autoSpaceDE w:val="0"/>
              <w:autoSpaceDN w:val="0"/>
              <w:adjustRightInd w:val="0"/>
              <w:jc w:val="center"/>
            </w:pPr>
            <w:r w:rsidRPr="00037AD4">
              <w:t>(-0.912 - 1.752)</w:t>
            </w:r>
          </w:p>
        </w:tc>
        <w:tc>
          <w:tcPr>
            <w:tcW w:w="570" w:type="pct"/>
            <w:tcBorders>
              <w:top w:val="nil"/>
              <w:left w:val="nil"/>
              <w:bottom w:val="nil"/>
              <w:right w:val="nil"/>
            </w:tcBorders>
          </w:tcPr>
          <w:p w14:paraId="1C2C62C1" w14:textId="77777777" w:rsidR="00B54D51" w:rsidRPr="00037AD4" w:rsidRDefault="00B54D51" w:rsidP="00401C67">
            <w:pPr>
              <w:widowControl w:val="0"/>
              <w:autoSpaceDE w:val="0"/>
              <w:autoSpaceDN w:val="0"/>
              <w:adjustRightInd w:val="0"/>
              <w:jc w:val="center"/>
            </w:pPr>
            <w:r w:rsidRPr="00037AD4">
              <w:t>(-1.042 - 1.055)</w:t>
            </w:r>
          </w:p>
        </w:tc>
        <w:tc>
          <w:tcPr>
            <w:tcW w:w="570" w:type="pct"/>
            <w:tcBorders>
              <w:top w:val="nil"/>
              <w:left w:val="nil"/>
              <w:bottom w:val="nil"/>
              <w:right w:val="nil"/>
            </w:tcBorders>
          </w:tcPr>
          <w:p w14:paraId="6DD545F3" w14:textId="77777777" w:rsidR="00B54D51" w:rsidRPr="00037AD4" w:rsidRDefault="00B54D51" w:rsidP="00401C67">
            <w:pPr>
              <w:widowControl w:val="0"/>
              <w:autoSpaceDE w:val="0"/>
              <w:autoSpaceDN w:val="0"/>
              <w:adjustRightInd w:val="0"/>
              <w:jc w:val="center"/>
            </w:pPr>
            <w:r w:rsidRPr="00037AD4">
              <w:t>(0.072 - 0.909)</w:t>
            </w:r>
          </w:p>
        </w:tc>
        <w:tc>
          <w:tcPr>
            <w:tcW w:w="570" w:type="pct"/>
            <w:tcBorders>
              <w:top w:val="nil"/>
              <w:left w:val="nil"/>
              <w:bottom w:val="nil"/>
              <w:right w:val="nil"/>
            </w:tcBorders>
          </w:tcPr>
          <w:p w14:paraId="29E97231" w14:textId="77777777" w:rsidR="00B54D51" w:rsidRPr="00037AD4" w:rsidRDefault="00B54D51" w:rsidP="00401C67">
            <w:pPr>
              <w:widowControl w:val="0"/>
              <w:autoSpaceDE w:val="0"/>
              <w:autoSpaceDN w:val="0"/>
              <w:adjustRightInd w:val="0"/>
              <w:jc w:val="center"/>
            </w:pPr>
            <w:r w:rsidRPr="00037AD4">
              <w:t>(-0.907 - 1.085)</w:t>
            </w:r>
          </w:p>
        </w:tc>
        <w:tc>
          <w:tcPr>
            <w:tcW w:w="570" w:type="pct"/>
            <w:tcBorders>
              <w:top w:val="nil"/>
              <w:left w:val="nil"/>
              <w:bottom w:val="nil"/>
              <w:right w:val="nil"/>
            </w:tcBorders>
          </w:tcPr>
          <w:p w14:paraId="7BCE7F77" w14:textId="77777777" w:rsidR="00B54D51" w:rsidRPr="00037AD4" w:rsidRDefault="00B54D51" w:rsidP="00401C67">
            <w:pPr>
              <w:widowControl w:val="0"/>
              <w:autoSpaceDE w:val="0"/>
              <w:autoSpaceDN w:val="0"/>
              <w:adjustRightInd w:val="0"/>
              <w:jc w:val="center"/>
            </w:pPr>
            <w:r w:rsidRPr="00037AD4">
              <w:t>(-0.153 - 1.792)</w:t>
            </w:r>
          </w:p>
        </w:tc>
        <w:tc>
          <w:tcPr>
            <w:tcW w:w="570" w:type="pct"/>
            <w:tcBorders>
              <w:top w:val="nil"/>
              <w:left w:val="nil"/>
              <w:bottom w:val="nil"/>
              <w:right w:val="nil"/>
            </w:tcBorders>
          </w:tcPr>
          <w:p w14:paraId="3BFCE4E1" w14:textId="77777777" w:rsidR="00B54D51" w:rsidRPr="00037AD4" w:rsidRDefault="00B54D51" w:rsidP="00401C67">
            <w:pPr>
              <w:widowControl w:val="0"/>
              <w:autoSpaceDE w:val="0"/>
              <w:autoSpaceDN w:val="0"/>
              <w:adjustRightInd w:val="0"/>
              <w:jc w:val="center"/>
            </w:pPr>
            <w:r w:rsidRPr="00037AD4">
              <w:t>(-0.614 - 1.229)</w:t>
            </w:r>
          </w:p>
        </w:tc>
      </w:tr>
      <w:tr w:rsidR="00B54D51" w:rsidRPr="00037AD4" w14:paraId="7AF65EB2" w14:textId="77777777" w:rsidTr="00401C67">
        <w:trPr>
          <w:jc w:val="center"/>
        </w:trPr>
        <w:tc>
          <w:tcPr>
            <w:tcW w:w="1577" w:type="pct"/>
            <w:tcBorders>
              <w:top w:val="nil"/>
              <w:left w:val="nil"/>
              <w:bottom w:val="nil"/>
              <w:right w:val="nil"/>
            </w:tcBorders>
          </w:tcPr>
          <w:p w14:paraId="4AEA594E" w14:textId="77777777" w:rsidR="00B54D51" w:rsidRPr="00037AD4" w:rsidRDefault="00B54D51" w:rsidP="00401C67">
            <w:pPr>
              <w:widowControl w:val="0"/>
              <w:autoSpaceDE w:val="0"/>
              <w:autoSpaceDN w:val="0"/>
              <w:adjustRightInd w:val="0"/>
            </w:pPr>
            <w:r w:rsidRPr="00037AD4">
              <w:t>/cut4</w:t>
            </w:r>
          </w:p>
        </w:tc>
        <w:tc>
          <w:tcPr>
            <w:tcW w:w="570" w:type="pct"/>
            <w:tcBorders>
              <w:top w:val="nil"/>
              <w:left w:val="nil"/>
              <w:bottom w:val="nil"/>
              <w:right w:val="nil"/>
            </w:tcBorders>
          </w:tcPr>
          <w:p w14:paraId="1B70DCC8" w14:textId="77777777" w:rsidR="00B54D51" w:rsidRPr="00037AD4" w:rsidRDefault="00B54D51" w:rsidP="00401C67">
            <w:pPr>
              <w:widowControl w:val="0"/>
              <w:autoSpaceDE w:val="0"/>
              <w:autoSpaceDN w:val="0"/>
              <w:adjustRightInd w:val="0"/>
              <w:jc w:val="center"/>
            </w:pPr>
            <w:r w:rsidRPr="00037AD4">
              <w:t>1.248*</w:t>
            </w:r>
          </w:p>
        </w:tc>
        <w:tc>
          <w:tcPr>
            <w:tcW w:w="570" w:type="pct"/>
            <w:tcBorders>
              <w:top w:val="nil"/>
              <w:left w:val="nil"/>
              <w:bottom w:val="nil"/>
              <w:right w:val="nil"/>
            </w:tcBorders>
          </w:tcPr>
          <w:p w14:paraId="53D29728" w14:textId="77777777" w:rsidR="00B54D51" w:rsidRPr="00037AD4" w:rsidRDefault="00B54D51" w:rsidP="00401C67">
            <w:pPr>
              <w:widowControl w:val="0"/>
              <w:autoSpaceDE w:val="0"/>
              <w:autoSpaceDN w:val="0"/>
              <w:adjustRightInd w:val="0"/>
              <w:jc w:val="center"/>
            </w:pPr>
            <w:r w:rsidRPr="00037AD4">
              <w:t>0.775</w:t>
            </w:r>
          </w:p>
        </w:tc>
        <w:tc>
          <w:tcPr>
            <w:tcW w:w="570" w:type="pct"/>
            <w:tcBorders>
              <w:top w:val="nil"/>
              <w:left w:val="nil"/>
              <w:bottom w:val="nil"/>
              <w:right w:val="nil"/>
            </w:tcBorders>
          </w:tcPr>
          <w:p w14:paraId="50FDC3B4" w14:textId="77777777" w:rsidR="00B54D51" w:rsidRPr="00037AD4" w:rsidRDefault="00B54D51" w:rsidP="00401C67">
            <w:pPr>
              <w:widowControl w:val="0"/>
              <w:autoSpaceDE w:val="0"/>
              <w:autoSpaceDN w:val="0"/>
              <w:adjustRightInd w:val="0"/>
              <w:jc w:val="center"/>
            </w:pPr>
            <w:r w:rsidRPr="00037AD4">
              <w:t>1.258***</w:t>
            </w:r>
          </w:p>
        </w:tc>
        <w:tc>
          <w:tcPr>
            <w:tcW w:w="570" w:type="pct"/>
            <w:tcBorders>
              <w:top w:val="nil"/>
              <w:left w:val="nil"/>
              <w:bottom w:val="nil"/>
              <w:right w:val="nil"/>
            </w:tcBorders>
          </w:tcPr>
          <w:p w14:paraId="3249B8FE" w14:textId="77777777" w:rsidR="00B54D51" w:rsidRPr="00037AD4" w:rsidRDefault="00B54D51" w:rsidP="00401C67">
            <w:pPr>
              <w:widowControl w:val="0"/>
              <w:autoSpaceDE w:val="0"/>
              <w:autoSpaceDN w:val="0"/>
              <w:adjustRightInd w:val="0"/>
              <w:jc w:val="center"/>
            </w:pPr>
            <w:r w:rsidRPr="00037AD4">
              <w:t>0.837</w:t>
            </w:r>
          </w:p>
        </w:tc>
        <w:tc>
          <w:tcPr>
            <w:tcW w:w="570" w:type="pct"/>
            <w:tcBorders>
              <w:top w:val="nil"/>
              <w:left w:val="nil"/>
              <w:bottom w:val="nil"/>
              <w:right w:val="nil"/>
            </w:tcBorders>
          </w:tcPr>
          <w:p w14:paraId="514AB1A1" w14:textId="77777777" w:rsidR="00B54D51" w:rsidRPr="00037AD4" w:rsidRDefault="00B54D51" w:rsidP="00401C67">
            <w:pPr>
              <w:widowControl w:val="0"/>
              <w:autoSpaceDE w:val="0"/>
              <w:autoSpaceDN w:val="0"/>
              <w:adjustRightInd w:val="0"/>
              <w:jc w:val="center"/>
            </w:pPr>
            <w:r w:rsidRPr="00037AD4">
              <w:t>1.504***</w:t>
            </w:r>
          </w:p>
        </w:tc>
        <w:tc>
          <w:tcPr>
            <w:tcW w:w="570" w:type="pct"/>
            <w:tcBorders>
              <w:top w:val="nil"/>
              <w:left w:val="nil"/>
              <w:bottom w:val="nil"/>
              <w:right w:val="nil"/>
            </w:tcBorders>
          </w:tcPr>
          <w:p w14:paraId="398D40A9" w14:textId="77777777" w:rsidR="00B54D51" w:rsidRPr="00037AD4" w:rsidRDefault="00B54D51" w:rsidP="00401C67">
            <w:pPr>
              <w:widowControl w:val="0"/>
              <w:autoSpaceDE w:val="0"/>
              <w:autoSpaceDN w:val="0"/>
              <w:adjustRightInd w:val="0"/>
              <w:jc w:val="center"/>
            </w:pPr>
            <w:r w:rsidRPr="00037AD4">
              <w:t>1.112**</w:t>
            </w:r>
          </w:p>
        </w:tc>
      </w:tr>
      <w:tr w:rsidR="00B54D51" w:rsidRPr="00037AD4" w14:paraId="76A5F260" w14:textId="77777777" w:rsidTr="00401C67">
        <w:trPr>
          <w:jc w:val="center"/>
        </w:trPr>
        <w:tc>
          <w:tcPr>
            <w:tcW w:w="1577" w:type="pct"/>
            <w:tcBorders>
              <w:top w:val="nil"/>
              <w:left w:val="nil"/>
              <w:bottom w:val="nil"/>
              <w:right w:val="nil"/>
            </w:tcBorders>
          </w:tcPr>
          <w:p w14:paraId="589BC18F" w14:textId="77777777" w:rsidR="00B54D51" w:rsidRPr="00037AD4" w:rsidRDefault="00B54D51" w:rsidP="00401C67">
            <w:pPr>
              <w:widowControl w:val="0"/>
              <w:autoSpaceDE w:val="0"/>
              <w:autoSpaceDN w:val="0"/>
              <w:adjustRightInd w:val="0"/>
            </w:pPr>
          </w:p>
        </w:tc>
        <w:tc>
          <w:tcPr>
            <w:tcW w:w="570" w:type="pct"/>
            <w:tcBorders>
              <w:top w:val="nil"/>
              <w:left w:val="nil"/>
              <w:bottom w:val="nil"/>
              <w:right w:val="nil"/>
            </w:tcBorders>
          </w:tcPr>
          <w:p w14:paraId="6A5D5E31" w14:textId="77777777" w:rsidR="00B54D51" w:rsidRPr="00037AD4" w:rsidRDefault="00B54D51" w:rsidP="00401C67">
            <w:pPr>
              <w:widowControl w:val="0"/>
              <w:autoSpaceDE w:val="0"/>
              <w:autoSpaceDN w:val="0"/>
              <w:adjustRightInd w:val="0"/>
              <w:jc w:val="center"/>
            </w:pPr>
            <w:r w:rsidRPr="00037AD4">
              <w:t>(-0.112 - 2.609)</w:t>
            </w:r>
          </w:p>
        </w:tc>
        <w:tc>
          <w:tcPr>
            <w:tcW w:w="570" w:type="pct"/>
            <w:tcBorders>
              <w:top w:val="nil"/>
              <w:left w:val="nil"/>
              <w:bottom w:val="nil"/>
              <w:right w:val="nil"/>
            </w:tcBorders>
          </w:tcPr>
          <w:p w14:paraId="1AF37670" w14:textId="77777777" w:rsidR="00B54D51" w:rsidRPr="00037AD4" w:rsidRDefault="00B54D51" w:rsidP="00401C67">
            <w:pPr>
              <w:widowControl w:val="0"/>
              <w:autoSpaceDE w:val="0"/>
              <w:autoSpaceDN w:val="0"/>
              <w:adjustRightInd w:val="0"/>
              <w:jc w:val="center"/>
            </w:pPr>
            <w:r w:rsidRPr="00037AD4">
              <w:t>(-0.300 - 1.850)</w:t>
            </w:r>
          </w:p>
        </w:tc>
        <w:tc>
          <w:tcPr>
            <w:tcW w:w="570" w:type="pct"/>
            <w:tcBorders>
              <w:top w:val="nil"/>
              <w:left w:val="nil"/>
              <w:bottom w:val="nil"/>
              <w:right w:val="nil"/>
            </w:tcBorders>
          </w:tcPr>
          <w:p w14:paraId="09136B1A" w14:textId="77777777" w:rsidR="00B54D51" w:rsidRPr="00037AD4" w:rsidRDefault="00B54D51" w:rsidP="00401C67">
            <w:pPr>
              <w:widowControl w:val="0"/>
              <w:autoSpaceDE w:val="0"/>
              <w:autoSpaceDN w:val="0"/>
              <w:adjustRightInd w:val="0"/>
              <w:jc w:val="center"/>
            </w:pPr>
            <w:r w:rsidRPr="00037AD4">
              <w:t>(0.793 - 1.724)</w:t>
            </w:r>
          </w:p>
        </w:tc>
        <w:tc>
          <w:tcPr>
            <w:tcW w:w="570" w:type="pct"/>
            <w:tcBorders>
              <w:top w:val="nil"/>
              <w:left w:val="nil"/>
              <w:bottom w:val="nil"/>
              <w:right w:val="nil"/>
            </w:tcBorders>
          </w:tcPr>
          <w:p w14:paraId="490071B4" w14:textId="77777777" w:rsidR="00B54D51" w:rsidRPr="00037AD4" w:rsidRDefault="00B54D51" w:rsidP="00401C67">
            <w:pPr>
              <w:widowControl w:val="0"/>
              <w:autoSpaceDE w:val="0"/>
              <w:autoSpaceDN w:val="0"/>
              <w:adjustRightInd w:val="0"/>
              <w:jc w:val="center"/>
            </w:pPr>
            <w:r w:rsidRPr="00037AD4">
              <w:t>(-0.184 - 1.858)</w:t>
            </w:r>
          </w:p>
        </w:tc>
        <w:tc>
          <w:tcPr>
            <w:tcW w:w="570" w:type="pct"/>
            <w:tcBorders>
              <w:top w:val="nil"/>
              <w:left w:val="nil"/>
              <w:bottom w:val="nil"/>
              <w:right w:val="nil"/>
            </w:tcBorders>
          </w:tcPr>
          <w:p w14:paraId="3116D524" w14:textId="77777777" w:rsidR="00B54D51" w:rsidRPr="00037AD4" w:rsidRDefault="00B54D51" w:rsidP="00401C67">
            <w:pPr>
              <w:widowControl w:val="0"/>
              <w:autoSpaceDE w:val="0"/>
              <w:autoSpaceDN w:val="0"/>
              <w:adjustRightInd w:val="0"/>
              <w:jc w:val="center"/>
            </w:pPr>
            <w:r w:rsidRPr="00037AD4">
              <w:t>(0.511 - 2.496)</w:t>
            </w:r>
          </w:p>
        </w:tc>
        <w:tc>
          <w:tcPr>
            <w:tcW w:w="570" w:type="pct"/>
            <w:tcBorders>
              <w:top w:val="nil"/>
              <w:left w:val="nil"/>
              <w:bottom w:val="nil"/>
              <w:right w:val="nil"/>
            </w:tcBorders>
          </w:tcPr>
          <w:p w14:paraId="53FB9C3F" w14:textId="77777777" w:rsidR="00B54D51" w:rsidRPr="00037AD4" w:rsidRDefault="00B54D51" w:rsidP="00401C67">
            <w:pPr>
              <w:widowControl w:val="0"/>
              <w:autoSpaceDE w:val="0"/>
              <w:autoSpaceDN w:val="0"/>
              <w:adjustRightInd w:val="0"/>
              <w:jc w:val="center"/>
            </w:pPr>
            <w:r w:rsidRPr="00037AD4">
              <w:t>(0.176 - 2.048)</w:t>
            </w:r>
          </w:p>
        </w:tc>
      </w:tr>
      <w:tr w:rsidR="00B54D51" w:rsidRPr="00037AD4" w14:paraId="5C35CF20" w14:textId="77777777" w:rsidTr="00401C67">
        <w:trPr>
          <w:jc w:val="center"/>
        </w:trPr>
        <w:tc>
          <w:tcPr>
            <w:tcW w:w="1577" w:type="pct"/>
            <w:tcBorders>
              <w:top w:val="nil"/>
              <w:left w:val="nil"/>
              <w:bottom w:val="nil"/>
              <w:right w:val="nil"/>
            </w:tcBorders>
          </w:tcPr>
          <w:p w14:paraId="575056BE" w14:textId="77777777" w:rsidR="00B54D51" w:rsidRPr="00037AD4" w:rsidRDefault="00B54D51" w:rsidP="00401C67">
            <w:pPr>
              <w:widowControl w:val="0"/>
              <w:autoSpaceDE w:val="0"/>
              <w:autoSpaceDN w:val="0"/>
              <w:adjustRightInd w:val="0"/>
            </w:pPr>
          </w:p>
        </w:tc>
        <w:tc>
          <w:tcPr>
            <w:tcW w:w="570" w:type="pct"/>
            <w:tcBorders>
              <w:top w:val="nil"/>
              <w:left w:val="nil"/>
              <w:bottom w:val="nil"/>
              <w:right w:val="nil"/>
            </w:tcBorders>
          </w:tcPr>
          <w:p w14:paraId="401C9941"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24303179"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67E6C725"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1B72CEA1"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1E6DB774" w14:textId="77777777" w:rsidR="00B54D51" w:rsidRPr="00037AD4" w:rsidRDefault="00B54D51" w:rsidP="00401C67">
            <w:pPr>
              <w:widowControl w:val="0"/>
              <w:autoSpaceDE w:val="0"/>
              <w:autoSpaceDN w:val="0"/>
              <w:adjustRightInd w:val="0"/>
              <w:jc w:val="center"/>
            </w:pPr>
          </w:p>
        </w:tc>
        <w:tc>
          <w:tcPr>
            <w:tcW w:w="570" w:type="pct"/>
            <w:tcBorders>
              <w:top w:val="nil"/>
              <w:left w:val="nil"/>
              <w:bottom w:val="nil"/>
              <w:right w:val="nil"/>
            </w:tcBorders>
          </w:tcPr>
          <w:p w14:paraId="7223A31F" w14:textId="77777777" w:rsidR="00B54D51" w:rsidRPr="00037AD4" w:rsidRDefault="00B54D51" w:rsidP="00401C67">
            <w:pPr>
              <w:widowControl w:val="0"/>
              <w:autoSpaceDE w:val="0"/>
              <w:autoSpaceDN w:val="0"/>
              <w:adjustRightInd w:val="0"/>
              <w:jc w:val="center"/>
            </w:pPr>
          </w:p>
        </w:tc>
      </w:tr>
      <w:tr w:rsidR="00B54D51" w:rsidRPr="00037AD4" w14:paraId="350C2211" w14:textId="77777777" w:rsidTr="00401C67">
        <w:tblPrEx>
          <w:tblBorders>
            <w:bottom w:val="single" w:sz="6" w:space="0" w:color="auto"/>
          </w:tblBorders>
        </w:tblPrEx>
        <w:trPr>
          <w:jc w:val="center"/>
        </w:trPr>
        <w:tc>
          <w:tcPr>
            <w:tcW w:w="1577" w:type="pct"/>
            <w:tcBorders>
              <w:top w:val="nil"/>
              <w:left w:val="nil"/>
              <w:bottom w:val="nil"/>
              <w:right w:val="nil"/>
            </w:tcBorders>
          </w:tcPr>
          <w:p w14:paraId="1757EA00" w14:textId="77777777" w:rsidR="00B54D51" w:rsidRPr="00037AD4" w:rsidRDefault="00B54D51" w:rsidP="00401C67">
            <w:pPr>
              <w:widowControl w:val="0"/>
              <w:autoSpaceDE w:val="0"/>
              <w:autoSpaceDN w:val="0"/>
              <w:adjustRightInd w:val="0"/>
            </w:pPr>
            <w:r w:rsidRPr="00037AD4">
              <w:t>Observations</w:t>
            </w:r>
          </w:p>
        </w:tc>
        <w:tc>
          <w:tcPr>
            <w:tcW w:w="570" w:type="pct"/>
            <w:tcBorders>
              <w:top w:val="nil"/>
              <w:left w:val="nil"/>
              <w:bottom w:val="nil"/>
              <w:right w:val="nil"/>
            </w:tcBorders>
          </w:tcPr>
          <w:p w14:paraId="22B8C0A4" w14:textId="77777777" w:rsidR="00B54D51" w:rsidRPr="00037AD4" w:rsidRDefault="00B54D51" w:rsidP="00401C67">
            <w:pPr>
              <w:widowControl w:val="0"/>
              <w:autoSpaceDE w:val="0"/>
              <w:autoSpaceDN w:val="0"/>
              <w:adjustRightInd w:val="0"/>
              <w:jc w:val="center"/>
            </w:pPr>
            <w:r w:rsidRPr="00037AD4">
              <w:t>949</w:t>
            </w:r>
          </w:p>
        </w:tc>
        <w:tc>
          <w:tcPr>
            <w:tcW w:w="570" w:type="pct"/>
            <w:tcBorders>
              <w:top w:val="nil"/>
              <w:left w:val="nil"/>
              <w:bottom w:val="nil"/>
              <w:right w:val="nil"/>
            </w:tcBorders>
          </w:tcPr>
          <w:p w14:paraId="24C327B9" w14:textId="77777777" w:rsidR="00B54D51" w:rsidRPr="00037AD4" w:rsidRDefault="00B54D51" w:rsidP="00401C67">
            <w:pPr>
              <w:widowControl w:val="0"/>
              <w:autoSpaceDE w:val="0"/>
              <w:autoSpaceDN w:val="0"/>
              <w:adjustRightInd w:val="0"/>
              <w:jc w:val="center"/>
            </w:pPr>
            <w:r w:rsidRPr="00037AD4">
              <w:t>981</w:t>
            </w:r>
          </w:p>
        </w:tc>
        <w:tc>
          <w:tcPr>
            <w:tcW w:w="570" w:type="pct"/>
            <w:tcBorders>
              <w:top w:val="nil"/>
              <w:left w:val="nil"/>
              <w:bottom w:val="nil"/>
              <w:right w:val="nil"/>
            </w:tcBorders>
          </w:tcPr>
          <w:p w14:paraId="6DD7BD5F" w14:textId="77777777" w:rsidR="00B54D51" w:rsidRPr="00037AD4" w:rsidRDefault="00B54D51" w:rsidP="00401C67">
            <w:pPr>
              <w:widowControl w:val="0"/>
              <w:autoSpaceDE w:val="0"/>
              <w:autoSpaceDN w:val="0"/>
              <w:adjustRightInd w:val="0"/>
              <w:jc w:val="center"/>
            </w:pPr>
            <w:r w:rsidRPr="00037AD4">
              <w:t>981</w:t>
            </w:r>
          </w:p>
        </w:tc>
        <w:tc>
          <w:tcPr>
            <w:tcW w:w="570" w:type="pct"/>
            <w:tcBorders>
              <w:top w:val="nil"/>
              <w:left w:val="nil"/>
              <w:bottom w:val="nil"/>
              <w:right w:val="nil"/>
            </w:tcBorders>
          </w:tcPr>
          <w:p w14:paraId="0888C533" w14:textId="77777777" w:rsidR="00B54D51" w:rsidRPr="00037AD4" w:rsidRDefault="00B54D51" w:rsidP="00401C67">
            <w:pPr>
              <w:widowControl w:val="0"/>
              <w:autoSpaceDE w:val="0"/>
              <w:autoSpaceDN w:val="0"/>
              <w:adjustRightInd w:val="0"/>
              <w:jc w:val="center"/>
            </w:pPr>
            <w:r w:rsidRPr="00037AD4">
              <w:t>1,015</w:t>
            </w:r>
          </w:p>
        </w:tc>
        <w:tc>
          <w:tcPr>
            <w:tcW w:w="570" w:type="pct"/>
            <w:tcBorders>
              <w:top w:val="nil"/>
              <w:left w:val="nil"/>
              <w:bottom w:val="nil"/>
              <w:right w:val="nil"/>
            </w:tcBorders>
          </w:tcPr>
          <w:p w14:paraId="0201E75C" w14:textId="77777777" w:rsidR="00B54D51" w:rsidRPr="00037AD4" w:rsidRDefault="00B54D51" w:rsidP="00401C67">
            <w:pPr>
              <w:widowControl w:val="0"/>
              <w:autoSpaceDE w:val="0"/>
              <w:autoSpaceDN w:val="0"/>
              <w:adjustRightInd w:val="0"/>
              <w:jc w:val="center"/>
            </w:pPr>
            <w:r w:rsidRPr="00037AD4">
              <w:t>985</w:t>
            </w:r>
          </w:p>
        </w:tc>
        <w:tc>
          <w:tcPr>
            <w:tcW w:w="570" w:type="pct"/>
            <w:tcBorders>
              <w:top w:val="nil"/>
              <w:left w:val="nil"/>
              <w:bottom w:val="nil"/>
              <w:right w:val="nil"/>
            </w:tcBorders>
          </w:tcPr>
          <w:p w14:paraId="1E155FE2" w14:textId="77777777" w:rsidR="00B54D51" w:rsidRPr="00037AD4" w:rsidRDefault="00B54D51" w:rsidP="00401C67">
            <w:pPr>
              <w:widowControl w:val="0"/>
              <w:autoSpaceDE w:val="0"/>
              <w:autoSpaceDN w:val="0"/>
              <w:adjustRightInd w:val="0"/>
              <w:jc w:val="center"/>
            </w:pPr>
            <w:r w:rsidRPr="00037AD4">
              <w:t>1113</w:t>
            </w:r>
          </w:p>
        </w:tc>
      </w:tr>
      <w:tr w:rsidR="00B54D51" w:rsidRPr="00037AD4" w14:paraId="34928881" w14:textId="77777777" w:rsidTr="00401C67">
        <w:tblPrEx>
          <w:tblBorders>
            <w:bottom w:val="single" w:sz="6" w:space="0" w:color="auto"/>
          </w:tblBorders>
        </w:tblPrEx>
        <w:trPr>
          <w:jc w:val="center"/>
        </w:trPr>
        <w:tc>
          <w:tcPr>
            <w:tcW w:w="1577" w:type="pct"/>
            <w:tcBorders>
              <w:top w:val="nil"/>
              <w:left w:val="nil"/>
              <w:bottom w:val="nil"/>
              <w:right w:val="nil"/>
            </w:tcBorders>
          </w:tcPr>
          <w:p w14:paraId="2D83C32A" w14:textId="77777777" w:rsidR="00B54D51" w:rsidRPr="00037AD4" w:rsidRDefault="00B54D51" w:rsidP="00401C67">
            <w:pPr>
              <w:widowControl w:val="0"/>
              <w:autoSpaceDE w:val="0"/>
              <w:autoSpaceDN w:val="0"/>
              <w:adjustRightInd w:val="0"/>
            </w:pPr>
            <w:r w:rsidRPr="00037AD4">
              <w:t>Wald Chi</w:t>
            </w:r>
            <w:r w:rsidRPr="00037AD4">
              <w:rPr>
                <w:vertAlign w:val="superscript"/>
              </w:rPr>
              <w:t>2</w:t>
            </w:r>
          </w:p>
        </w:tc>
        <w:tc>
          <w:tcPr>
            <w:tcW w:w="570" w:type="pct"/>
            <w:tcBorders>
              <w:top w:val="nil"/>
              <w:left w:val="nil"/>
              <w:bottom w:val="nil"/>
              <w:right w:val="nil"/>
            </w:tcBorders>
          </w:tcPr>
          <w:p w14:paraId="32E2E5B2" w14:textId="77777777" w:rsidR="00B54D51" w:rsidRPr="00037AD4" w:rsidRDefault="00B54D51" w:rsidP="00401C67">
            <w:pPr>
              <w:widowControl w:val="0"/>
              <w:autoSpaceDE w:val="0"/>
              <w:autoSpaceDN w:val="0"/>
              <w:adjustRightInd w:val="0"/>
              <w:jc w:val="center"/>
            </w:pPr>
            <w:r w:rsidRPr="00037AD4">
              <w:t>574.19</w:t>
            </w:r>
          </w:p>
        </w:tc>
        <w:tc>
          <w:tcPr>
            <w:tcW w:w="570" w:type="pct"/>
            <w:tcBorders>
              <w:top w:val="nil"/>
              <w:left w:val="nil"/>
              <w:bottom w:val="nil"/>
              <w:right w:val="nil"/>
            </w:tcBorders>
          </w:tcPr>
          <w:p w14:paraId="4592A36C" w14:textId="77777777" w:rsidR="00B54D51" w:rsidRPr="00037AD4" w:rsidRDefault="00B54D51" w:rsidP="00401C67">
            <w:pPr>
              <w:widowControl w:val="0"/>
              <w:autoSpaceDE w:val="0"/>
              <w:autoSpaceDN w:val="0"/>
              <w:adjustRightInd w:val="0"/>
              <w:jc w:val="center"/>
            </w:pPr>
            <w:r w:rsidRPr="00037AD4">
              <w:t>481.61</w:t>
            </w:r>
          </w:p>
        </w:tc>
        <w:tc>
          <w:tcPr>
            <w:tcW w:w="570" w:type="pct"/>
            <w:tcBorders>
              <w:top w:val="nil"/>
              <w:left w:val="nil"/>
              <w:bottom w:val="nil"/>
              <w:right w:val="nil"/>
            </w:tcBorders>
          </w:tcPr>
          <w:p w14:paraId="25944432" w14:textId="77777777" w:rsidR="00B54D51" w:rsidRPr="00037AD4" w:rsidRDefault="00B54D51" w:rsidP="00401C67">
            <w:pPr>
              <w:widowControl w:val="0"/>
              <w:autoSpaceDE w:val="0"/>
              <w:autoSpaceDN w:val="0"/>
              <w:adjustRightInd w:val="0"/>
              <w:jc w:val="center"/>
            </w:pPr>
            <w:r w:rsidRPr="00037AD4">
              <w:t>472.35</w:t>
            </w:r>
          </w:p>
        </w:tc>
        <w:tc>
          <w:tcPr>
            <w:tcW w:w="570" w:type="pct"/>
            <w:tcBorders>
              <w:top w:val="nil"/>
              <w:left w:val="nil"/>
              <w:bottom w:val="nil"/>
              <w:right w:val="nil"/>
            </w:tcBorders>
          </w:tcPr>
          <w:p w14:paraId="44090376" w14:textId="77777777" w:rsidR="00B54D51" w:rsidRPr="00037AD4" w:rsidRDefault="00B54D51" w:rsidP="00401C67">
            <w:pPr>
              <w:widowControl w:val="0"/>
              <w:autoSpaceDE w:val="0"/>
              <w:autoSpaceDN w:val="0"/>
              <w:adjustRightInd w:val="0"/>
              <w:jc w:val="center"/>
            </w:pPr>
            <w:r w:rsidRPr="00037AD4">
              <w:t>441.12</w:t>
            </w:r>
          </w:p>
        </w:tc>
        <w:tc>
          <w:tcPr>
            <w:tcW w:w="570" w:type="pct"/>
            <w:tcBorders>
              <w:top w:val="nil"/>
              <w:left w:val="nil"/>
              <w:bottom w:val="nil"/>
              <w:right w:val="nil"/>
            </w:tcBorders>
          </w:tcPr>
          <w:p w14:paraId="28D6A2C8" w14:textId="77777777" w:rsidR="00B54D51" w:rsidRPr="00037AD4" w:rsidRDefault="00B54D51" w:rsidP="00401C67">
            <w:pPr>
              <w:widowControl w:val="0"/>
              <w:autoSpaceDE w:val="0"/>
              <w:autoSpaceDN w:val="0"/>
              <w:adjustRightInd w:val="0"/>
              <w:jc w:val="center"/>
            </w:pPr>
            <w:r w:rsidRPr="00037AD4">
              <w:t>452.74</w:t>
            </w:r>
          </w:p>
        </w:tc>
        <w:tc>
          <w:tcPr>
            <w:tcW w:w="570" w:type="pct"/>
            <w:tcBorders>
              <w:top w:val="nil"/>
              <w:left w:val="nil"/>
              <w:bottom w:val="nil"/>
              <w:right w:val="nil"/>
            </w:tcBorders>
          </w:tcPr>
          <w:p w14:paraId="4D2F8F1F" w14:textId="77777777" w:rsidR="00B54D51" w:rsidRPr="00037AD4" w:rsidRDefault="00B54D51" w:rsidP="00401C67">
            <w:pPr>
              <w:widowControl w:val="0"/>
              <w:autoSpaceDE w:val="0"/>
              <w:autoSpaceDN w:val="0"/>
              <w:adjustRightInd w:val="0"/>
              <w:jc w:val="center"/>
            </w:pPr>
            <w:r w:rsidRPr="00037AD4">
              <w:t>486.88</w:t>
            </w:r>
          </w:p>
        </w:tc>
      </w:tr>
      <w:tr w:rsidR="00B54D51" w:rsidRPr="00037AD4" w14:paraId="423B4638" w14:textId="77777777" w:rsidTr="00401C67">
        <w:tblPrEx>
          <w:tblBorders>
            <w:bottom w:val="single" w:sz="6" w:space="0" w:color="auto"/>
          </w:tblBorders>
        </w:tblPrEx>
        <w:trPr>
          <w:jc w:val="center"/>
        </w:trPr>
        <w:tc>
          <w:tcPr>
            <w:tcW w:w="1577" w:type="pct"/>
            <w:tcBorders>
              <w:top w:val="nil"/>
              <w:left w:val="nil"/>
              <w:bottom w:val="nil"/>
              <w:right w:val="nil"/>
            </w:tcBorders>
          </w:tcPr>
          <w:p w14:paraId="748B9A72" w14:textId="77777777" w:rsidR="00B54D51" w:rsidRPr="00037AD4" w:rsidRDefault="00B54D51" w:rsidP="00401C67">
            <w:pPr>
              <w:widowControl w:val="0"/>
              <w:autoSpaceDE w:val="0"/>
              <w:autoSpaceDN w:val="0"/>
              <w:adjustRightInd w:val="0"/>
              <w:rPr>
                <w:vertAlign w:val="superscript"/>
              </w:rPr>
            </w:pPr>
            <w:r w:rsidRPr="00037AD4">
              <w:t>Pseudo R</w:t>
            </w:r>
            <w:r w:rsidRPr="00037AD4">
              <w:rPr>
                <w:vertAlign w:val="superscript"/>
              </w:rPr>
              <w:t>2</w:t>
            </w:r>
          </w:p>
        </w:tc>
        <w:tc>
          <w:tcPr>
            <w:tcW w:w="570" w:type="pct"/>
            <w:tcBorders>
              <w:top w:val="nil"/>
              <w:left w:val="nil"/>
              <w:bottom w:val="nil"/>
              <w:right w:val="nil"/>
            </w:tcBorders>
          </w:tcPr>
          <w:p w14:paraId="2AB10299" w14:textId="77777777" w:rsidR="00B54D51" w:rsidRPr="00037AD4" w:rsidRDefault="00B54D51" w:rsidP="00401C67">
            <w:pPr>
              <w:widowControl w:val="0"/>
              <w:autoSpaceDE w:val="0"/>
              <w:autoSpaceDN w:val="0"/>
              <w:adjustRightInd w:val="0"/>
              <w:jc w:val="center"/>
            </w:pPr>
            <w:r w:rsidRPr="00037AD4">
              <w:t>0.3606</w:t>
            </w:r>
          </w:p>
        </w:tc>
        <w:tc>
          <w:tcPr>
            <w:tcW w:w="570" w:type="pct"/>
            <w:tcBorders>
              <w:top w:val="nil"/>
              <w:left w:val="nil"/>
              <w:bottom w:val="nil"/>
              <w:right w:val="nil"/>
            </w:tcBorders>
          </w:tcPr>
          <w:p w14:paraId="63BD72BC" w14:textId="77777777" w:rsidR="00B54D51" w:rsidRPr="00037AD4" w:rsidRDefault="00B54D51" w:rsidP="00401C67">
            <w:pPr>
              <w:widowControl w:val="0"/>
              <w:autoSpaceDE w:val="0"/>
              <w:autoSpaceDN w:val="0"/>
              <w:adjustRightInd w:val="0"/>
              <w:jc w:val="center"/>
            </w:pPr>
            <w:r w:rsidRPr="00037AD4">
              <w:t>0.3423</w:t>
            </w:r>
          </w:p>
        </w:tc>
        <w:tc>
          <w:tcPr>
            <w:tcW w:w="570" w:type="pct"/>
            <w:tcBorders>
              <w:top w:val="nil"/>
              <w:left w:val="nil"/>
              <w:bottom w:val="nil"/>
              <w:right w:val="nil"/>
            </w:tcBorders>
          </w:tcPr>
          <w:p w14:paraId="75E77740" w14:textId="77777777" w:rsidR="00B54D51" w:rsidRPr="00037AD4" w:rsidRDefault="00B54D51" w:rsidP="00401C67">
            <w:pPr>
              <w:widowControl w:val="0"/>
              <w:autoSpaceDE w:val="0"/>
              <w:autoSpaceDN w:val="0"/>
              <w:adjustRightInd w:val="0"/>
              <w:jc w:val="center"/>
            </w:pPr>
            <w:r w:rsidRPr="00037AD4">
              <w:t>0.3417</w:t>
            </w:r>
          </w:p>
        </w:tc>
        <w:tc>
          <w:tcPr>
            <w:tcW w:w="570" w:type="pct"/>
            <w:tcBorders>
              <w:top w:val="nil"/>
              <w:left w:val="nil"/>
              <w:bottom w:val="nil"/>
              <w:right w:val="nil"/>
            </w:tcBorders>
          </w:tcPr>
          <w:p w14:paraId="4BD6D41A" w14:textId="77777777" w:rsidR="00B54D51" w:rsidRPr="00037AD4" w:rsidRDefault="00B54D51" w:rsidP="00401C67">
            <w:pPr>
              <w:widowControl w:val="0"/>
              <w:autoSpaceDE w:val="0"/>
              <w:autoSpaceDN w:val="0"/>
              <w:adjustRightInd w:val="0"/>
              <w:jc w:val="center"/>
            </w:pPr>
            <w:r w:rsidRPr="00037AD4">
              <w:t>0.3154</w:t>
            </w:r>
          </w:p>
        </w:tc>
        <w:tc>
          <w:tcPr>
            <w:tcW w:w="570" w:type="pct"/>
            <w:tcBorders>
              <w:top w:val="nil"/>
              <w:left w:val="nil"/>
              <w:bottom w:val="nil"/>
              <w:right w:val="nil"/>
            </w:tcBorders>
          </w:tcPr>
          <w:p w14:paraId="0B93BB0C" w14:textId="77777777" w:rsidR="00B54D51" w:rsidRPr="00037AD4" w:rsidRDefault="00B54D51" w:rsidP="00401C67">
            <w:pPr>
              <w:widowControl w:val="0"/>
              <w:autoSpaceDE w:val="0"/>
              <w:autoSpaceDN w:val="0"/>
              <w:adjustRightInd w:val="0"/>
              <w:jc w:val="center"/>
            </w:pPr>
            <w:r w:rsidRPr="00037AD4">
              <w:t>0.2419</w:t>
            </w:r>
          </w:p>
        </w:tc>
        <w:tc>
          <w:tcPr>
            <w:tcW w:w="570" w:type="pct"/>
            <w:tcBorders>
              <w:top w:val="nil"/>
              <w:left w:val="nil"/>
              <w:bottom w:val="nil"/>
              <w:right w:val="nil"/>
            </w:tcBorders>
          </w:tcPr>
          <w:p w14:paraId="3D7B676B" w14:textId="77777777" w:rsidR="00B54D51" w:rsidRPr="00037AD4" w:rsidRDefault="00B54D51" w:rsidP="00401C67">
            <w:pPr>
              <w:widowControl w:val="0"/>
              <w:autoSpaceDE w:val="0"/>
              <w:autoSpaceDN w:val="0"/>
              <w:adjustRightInd w:val="0"/>
              <w:jc w:val="center"/>
            </w:pPr>
            <w:r w:rsidRPr="00037AD4">
              <w:t>0.3169</w:t>
            </w:r>
          </w:p>
        </w:tc>
      </w:tr>
      <w:tr w:rsidR="00B54D51" w:rsidRPr="00037AD4" w14:paraId="714AB302" w14:textId="77777777" w:rsidTr="00401C67">
        <w:tblPrEx>
          <w:tblBorders>
            <w:bottom w:val="single" w:sz="6" w:space="0" w:color="auto"/>
          </w:tblBorders>
        </w:tblPrEx>
        <w:trPr>
          <w:jc w:val="center"/>
        </w:trPr>
        <w:tc>
          <w:tcPr>
            <w:tcW w:w="1577" w:type="pct"/>
            <w:tcBorders>
              <w:top w:val="nil"/>
              <w:left w:val="nil"/>
              <w:bottom w:val="nil"/>
              <w:right w:val="nil"/>
            </w:tcBorders>
          </w:tcPr>
          <w:p w14:paraId="77019DB8" w14:textId="77777777" w:rsidR="00B54D51" w:rsidRPr="00037AD4" w:rsidRDefault="00B54D51" w:rsidP="00401C67">
            <w:pPr>
              <w:widowControl w:val="0"/>
              <w:autoSpaceDE w:val="0"/>
              <w:autoSpaceDN w:val="0"/>
              <w:adjustRightInd w:val="0"/>
            </w:pPr>
            <w:r w:rsidRPr="00037AD4">
              <w:t>AIC</w:t>
            </w:r>
          </w:p>
        </w:tc>
        <w:tc>
          <w:tcPr>
            <w:tcW w:w="570" w:type="pct"/>
            <w:tcBorders>
              <w:top w:val="nil"/>
              <w:left w:val="nil"/>
              <w:bottom w:val="nil"/>
              <w:right w:val="nil"/>
            </w:tcBorders>
          </w:tcPr>
          <w:p w14:paraId="140C91B5" w14:textId="77777777" w:rsidR="00B54D51" w:rsidRPr="00037AD4" w:rsidRDefault="00B54D51" w:rsidP="00401C67">
            <w:pPr>
              <w:widowControl w:val="0"/>
              <w:autoSpaceDE w:val="0"/>
              <w:autoSpaceDN w:val="0"/>
              <w:adjustRightInd w:val="0"/>
              <w:jc w:val="center"/>
            </w:pPr>
            <w:r w:rsidRPr="00037AD4">
              <w:t>1634.441</w:t>
            </w:r>
          </w:p>
        </w:tc>
        <w:tc>
          <w:tcPr>
            <w:tcW w:w="570" w:type="pct"/>
            <w:tcBorders>
              <w:top w:val="nil"/>
              <w:left w:val="nil"/>
              <w:bottom w:val="nil"/>
              <w:right w:val="nil"/>
            </w:tcBorders>
          </w:tcPr>
          <w:p w14:paraId="413E9BF4" w14:textId="77777777" w:rsidR="00B54D51" w:rsidRPr="00037AD4" w:rsidRDefault="00B54D51" w:rsidP="00401C67">
            <w:pPr>
              <w:widowControl w:val="0"/>
              <w:autoSpaceDE w:val="0"/>
              <w:autoSpaceDN w:val="0"/>
              <w:adjustRightInd w:val="0"/>
              <w:jc w:val="center"/>
            </w:pPr>
            <w:r w:rsidRPr="00037AD4">
              <w:t>1689.465</w:t>
            </w:r>
          </w:p>
        </w:tc>
        <w:tc>
          <w:tcPr>
            <w:tcW w:w="570" w:type="pct"/>
            <w:tcBorders>
              <w:top w:val="nil"/>
              <w:left w:val="nil"/>
              <w:bottom w:val="nil"/>
              <w:right w:val="nil"/>
            </w:tcBorders>
          </w:tcPr>
          <w:p w14:paraId="19F1B942" w14:textId="77777777" w:rsidR="00B54D51" w:rsidRPr="00037AD4" w:rsidRDefault="00B54D51" w:rsidP="00401C67">
            <w:pPr>
              <w:widowControl w:val="0"/>
              <w:autoSpaceDE w:val="0"/>
              <w:autoSpaceDN w:val="0"/>
              <w:adjustRightInd w:val="0"/>
              <w:jc w:val="center"/>
            </w:pPr>
            <w:r w:rsidRPr="00037AD4">
              <w:t>1688.835</w:t>
            </w:r>
          </w:p>
        </w:tc>
        <w:tc>
          <w:tcPr>
            <w:tcW w:w="570" w:type="pct"/>
            <w:tcBorders>
              <w:top w:val="nil"/>
              <w:left w:val="nil"/>
              <w:bottom w:val="nil"/>
              <w:right w:val="nil"/>
            </w:tcBorders>
          </w:tcPr>
          <w:p w14:paraId="695CD5BE" w14:textId="77777777" w:rsidR="00B54D51" w:rsidRPr="00037AD4" w:rsidRDefault="00B54D51" w:rsidP="00401C67">
            <w:pPr>
              <w:widowControl w:val="0"/>
              <w:autoSpaceDE w:val="0"/>
              <w:autoSpaceDN w:val="0"/>
              <w:adjustRightInd w:val="0"/>
              <w:jc w:val="center"/>
            </w:pPr>
            <w:r w:rsidRPr="00037AD4">
              <w:t>1820.145</w:t>
            </w:r>
          </w:p>
        </w:tc>
        <w:tc>
          <w:tcPr>
            <w:tcW w:w="570" w:type="pct"/>
            <w:tcBorders>
              <w:top w:val="nil"/>
              <w:left w:val="nil"/>
              <w:bottom w:val="nil"/>
              <w:right w:val="nil"/>
            </w:tcBorders>
          </w:tcPr>
          <w:p w14:paraId="2980BFC7" w14:textId="77777777" w:rsidR="00B54D51" w:rsidRPr="00037AD4" w:rsidRDefault="00B54D51" w:rsidP="00401C67">
            <w:pPr>
              <w:widowControl w:val="0"/>
              <w:autoSpaceDE w:val="0"/>
              <w:autoSpaceDN w:val="0"/>
              <w:adjustRightInd w:val="0"/>
              <w:jc w:val="center"/>
            </w:pPr>
            <w:r w:rsidRPr="00037AD4">
              <w:t>1978.914</w:t>
            </w:r>
          </w:p>
        </w:tc>
        <w:tc>
          <w:tcPr>
            <w:tcW w:w="570" w:type="pct"/>
            <w:tcBorders>
              <w:top w:val="nil"/>
              <w:left w:val="nil"/>
              <w:bottom w:val="nil"/>
              <w:right w:val="nil"/>
            </w:tcBorders>
          </w:tcPr>
          <w:p w14:paraId="4B4A0265" w14:textId="77777777" w:rsidR="00B54D51" w:rsidRPr="00037AD4" w:rsidRDefault="00B54D51" w:rsidP="00401C67">
            <w:pPr>
              <w:widowControl w:val="0"/>
              <w:autoSpaceDE w:val="0"/>
              <w:autoSpaceDN w:val="0"/>
              <w:adjustRightInd w:val="0"/>
              <w:jc w:val="center"/>
            </w:pPr>
            <w:r w:rsidRPr="00037AD4">
              <w:t>2010.698</w:t>
            </w:r>
          </w:p>
        </w:tc>
      </w:tr>
      <w:tr w:rsidR="00B54D51" w:rsidRPr="00037AD4" w14:paraId="275BBF7C" w14:textId="77777777" w:rsidTr="00401C67">
        <w:tblPrEx>
          <w:tblBorders>
            <w:bottom w:val="single" w:sz="6" w:space="0" w:color="auto"/>
          </w:tblBorders>
        </w:tblPrEx>
        <w:trPr>
          <w:jc w:val="center"/>
        </w:trPr>
        <w:tc>
          <w:tcPr>
            <w:tcW w:w="1577" w:type="pct"/>
            <w:tcBorders>
              <w:top w:val="nil"/>
              <w:left w:val="nil"/>
              <w:bottom w:val="nil"/>
              <w:right w:val="nil"/>
            </w:tcBorders>
          </w:tcPr>
          <w:p w14:paraId="59C23728" w14:textId="77777777" w:rsidR="00B54D51" w:rsidRPr="00037AD4" w:rsidRDefault="00B54D51" w:rsidP="00401C67">
            <w:pPr>
              <w:widowControl w:val="0"/>
              <w:autoSpaceDE w:val="0"/>
              <w:autoSpaceDN w:val="0"/>
              <w:adjustRightInd w:val="0"/>
            </w:pPr>
            <w:r w:rsidRPr="00037AD4">
              <w:t>BIC</w:t>
            </w:r>
          </w:p>
        </w:tc>
        <w:tc>
          <w:tcPr>
            <w:tcW w:w="570" w:type="pct"/>
            <w:tcBorders>
              <w:top w:val="nil"/>
              <w:left w:val="nil"/>
              <w:bottom w:val="nil"/>
              <w:right w:val="nil"/>
            </w:tcBorders>
          </w:tcPr>
          <w:p w14:paraId="0ACAD4DF" w14:textId="77777777" w:rsidR="00B54D51" w:rsidRPr="00037AD4" w:rsidRDefault="00B54D51" w:rsidP="00401C67">
            <w:pPr>
              <w:widowControl w:val="0"/>
              <w:autoSpaceDE w:val="0"/>
              <w:autoSpaceDN w:val="0"/>
              <w:adjustRightInd w:val="0"/>
              <w:jc w:val="center"/>
            </w:pPr>
            <w:r w:rsidRPr="00037AD4">
              <w:t>1823.802</w:t>
            </w:r>
          </w:p>
        </w:tc>
        <w:tc>
          <w:tcPr>
            <w:tcW w:w="570" w:type="pct"/>
            <w:tcBorders>
              <w:top w:val="nil"/>
              <w:left w:val="nil"/>
              <w:bottom w:val="nil"/>
              <w:right w:val="nil"/>
            </w:tcBorders>
          </w:tcPr>
          <w:p w14:paraId="22553299" w14:textId="77777777" w:rsidR="00B54D51" w:rsidRPr="00037AD4" w:rsidRDefault="00B54D51" w:rsidP="00401C67">
            <w:pPr>
              <w:widowControl w:val="0"/>
              <w:autoSpaceDE w:val="0"/>
              <w:autoSpaceDN w:val="0"/>
              <w:adjustRightInd w:val="0"/>
              <w:jc w:val="center"/>
            </w:pPr>
            <w:r w:rsidRPr="00037AD4">
              <w:t>1762.017</w:t>
            </w:r>
          </w:p>
        </w:tc>
        <w:tc>
          <w:tcPr>
            <w:tcW w:w="570" w:type="pct"/>
            <w:tcBorders>
              <w:top w:val="nil"/>
              <w:left w:val="nil"/>
              <w:bottom w:val="nil"/>
              <w:right w:val="nil"/>
            </w:tcBorders>
          </w:tcPr>
          <w:p w14:paraId="3982EB47" w14:textId="77777777" w:rsidR="00B54D51" w:rsidRPr="00037AD4" w:rsidRDefault="00B54D51" w:rsidP="00401C67">
            <w:pPr>
              <w:widowControl w:val="0"/>
              <w:autoSpaceDE w:val="0"/>
              <w:autoSpaceDN w:val="0"/>
              <w:adjustRightInd w:val="0"/>
              <w:jc w:val="center"/>
            </w:pPr>
            <w:r w:rsidRPr="00037AD4">
              <w:t>1752.387</w:t>
            </w:r>
          </w:p>
        </w:tc>
        <w:tc>
          <w:tcPr>
            <w:tcW w:w="570" w:type="pct"/>
            <w:tcBorders>
              <w:top w:val="nil"/>
              <w:left w:val="nil"/>
              <w:bottom w:val="nil"/>
              <w:right w:val="nil"/>
            </w:tcBorders>
          </w:tcPr>
          <w:p w14:paraId="6E88D882" w14:textId="77777777" w:rsidR="00B54D51" w:rsidRPr="00037AD4" w:rsidRDefault="00B54D51" w:rsidP="00401C67">
            <w:pPr>
              <w:widowControl w:val="0"/>
              <w:autoSpaceDE w:val="0"/>
              <w:autoSpaceDN w:val="0"/>
              <w:adjustRightInd w:val="0"/>
              <w:jc w:val="center"/>
            </w:pPr>
            <w:r w:rsidRPr="00037AD4">
              <w:t>1879.216</w:t>
            </w:r>
          </w:p>
        </w:tc>
        <w:tc>
          <w:tcPr>
            <w:tcW w:w="570" w:type="pct"/>
            <w:tcBorders>
              <w:top w:val="nil"/>
              <w:left w:val="nil"/>
              <w:bottom w:val="nil"/>
              <w:right w:val="nil"/>
            </w:tcBorders>
          </w:tcPr>
          <w:p w14:paraId="12E6EBA4" w14:textId="77777777" w:rsidR="00B54D51" w:rsidRPr="00037AD4" w:rsidRDefault="00B54D51" w:rsidP="00401C67">
            <w:pPr>
              <w:widowControl w:val="0"/>
              <w:autoSpaceDE w:val="0"/>
              <w:autoSpaceDN w:val="0"/>
              <w:adjustRightInd w:val="0"/>
              <w:jc w:val="center"/>
            </w:pPr>
            <w:r w:rsidRPr="00037AD4">
              <w:t>2037.626</w:t>
            </w:r>
          </w:p>
        </w:tc>
        <w:tc>
          <w:tcPr>
            <w:tcW w:w="570" w:type="pct"/>
            <w:tcBorders>
              <w:top w:val="nil"/>
              <w:left w:val="nil"/>
              <w:bottom w:val="nil"/>
              <w:right w:val="nil"/>
            </w:tcBorders>
          </w:tcPr>
          <w:p w14:paraId="3FEAA228" w14:textId="77777777" w:rsidR="00B54D51" w:rsidRPr="00037AD4" w:rsidRDefault="00B54D51" w:rsidP="00401C67">
            <w:pPr>
              <w:widowControl w:val="0"/>
              <w:autoSpaceDE w:val="0"/>
              <w:autoSpaceDN w:val="0"/>
              <w:adjustRightInd w:val="0"/>
              <w:jc w:val="center"/>
            </w:pPr>
            <w:r w:rsidRPr="00037AD4">
              <w:t>2065.861</w:t>
            </w:r>
          </w:p>
        </w:tc>
      </w:tr>
      <w:tr w:rsidR="00B54D51" w:rsidRPr="00037AD4" w14:paraId="3F5C90F0" w14:textId="77777777" w:rsidTr="00401C67">
        <w:tblPrEx>
          <w:tblBorders>
            <w:bottom w:val="single" w:sz="6" w:space="0" w:color="auto"/>
          </w:tblBorders>
        </w:tblPrEx>
        <w:trPr>
          <w:jc w:val="center"/>
        </w:trPr>
        <w:tc>
          <w:tcPr>
            <w:tcW w:w="1577" w:type="pct"/>
            <w:tcBorders>
              <w:top w:val="nil"/>
              <w:left w:val="nil"/>
              <w:bottom w:val="single" w:sz="6" w:space="0" w:color="auto"/>
              <w:right w:val="nil"/>
            </w:tcBorders>
          </w:tcPr>
          <w:p w14:paraId="05CDC18E" w14:textId="77777777" w:rsidR="00B54D51" w:rsidRPr="00037AD4" w:rsidRDefault="00B54D51" w:rsidP="00401C67">
            <w:pPr>
              <w:widowControl w:val="0"/>
              <w:autoSpaceDE w:val="0"/>
              <w:autoSpaceDN w:val="0"/>
              <w:adjustRightInd w:val="0"/>
            </w:pPr>
            <w:r w:rsidRPr="00037AD4">
              <w:t>Log likelihood (model)</w:t>
            </w:r>
          </w:p>
        </w:tc>
        <w:tc>
          <w:tcPr>
            <w:tcW w:w="570" w:type="pct"/>
            <w:tcBorders>
              <w:top w:val="nil"/>
              <w:left w:val="nil"/>
              <w:bottom w:val="single" w:sz="6" w:space="0" w:color="auto"/>
              <w:right w:val="nil"/>
            </w:tcBorders>
          </w:tcPr>
          <w:p w14:paraId="41871F54" w14:textId="77777777" w:rsidR="00B54D51" w:rsidRPr="00037AD4" w:rsidRDefault="00B54D51" w:rsidP="00401C67">
            <w:pPr>
              <w:widowControl w:val="0"/>
              <w:autoSpaceDE w:val="0"/>
              <w:autoSpaceDN w:val="0"/>
              <w:adjustRightInd w:val="0"/>
              <w:jc w:val="center"/>
            </w:pPr>
            <w:r w:rsidRPr="00037AD4">
              <w:t>-778.220</w:t>
            </w:r>
          </w:p>
        </w:tc>
        <w:tc>
          <w:tcPr>
            <w:tcW w:w="570" w:type="pct"/>
            <w:tcBorders>
              <w:top w:val="nil"/>
              <w:left w:val="nil"/>
              <w:bottom w:val="single" w:sz="6" w:space="0" w:color="auto"/>
              <w:right w:val="nil"/>
            </w:tcBorders>
          </w:tcPr>
          <w:p w14:paraId="77C9C2F0" w14:textId="77777777" w:rsidR="00B54D51" w:rsidRPr="00037AD4" w:rsidRDefault="00B54D51" w:rsidP="00401C67">
            <w:pPr>
              <w:widowControl w:val="0"/>
              <w:autoSpaceDE w:val="0"/>
              <w:autoSpaceDN w:val="0"/>
              <w:adjustRightInd w:val="0"/>
              <w:jc w:val="center"/>
            </w:pPr>
            <w:r w:rsidRPr="00037AD4">
              <w:t>-836.233</w:t>
            </w:r>
          </w:p>
        </w:tc>
        <w:tc>
          <w:tcPr>
            <w:tcW w:w="570" w:type="pct"/>
            <w:tcBorders>
              <w:top w:val="nil"/>
              <w:left w:val="nil"/>
              <w:bottom w:val="single" w:sz="6" w:space="0" w:color="auto"/>
              <w:right w:val="nil"/>
            </w:tcBorders>
          </w:tcPr>
          <w:p w14:paraId="124860D5" w14:textId="77777777" w:rsidR="00B54D51" w:rsidRPr="00037AD4" w:rsidRDefault="00B54D51" w:rsidP="00401C67">
            <w:pPr>
              <w:widowControl w:val="0"/>
              <w:autoSpaceDE w:val="0"/>
              <w:autoSpaceDN w:val="0"/>
              <w:adjustRightInd w:val="0"/>
              <w:jc w:val="center"/>
            </w:pPr>
            <w:r w:rsidRPr="00037AD4">
              <w:t>-831.418</w:t>
            </w:r>
          </w:p>
        </w:tc>
        <w:tc>
          <w:tcPr>
            <w:tcW w:w="570" w:type="pct"/>
            <w:tcBorders>
              <w:top w:val="nil"/>
              <w:left w:val="nil"/>
              <w:bottom w:val="single" w:sz="6" w:space="0" w:color="auto"/>
              <w:right w:val="nil"/>
            </w:tcBorders>
          </w:tcPr>
          <w:p w14:paraId="7DB797BA" w14:textId="77777777" w:rsidR="00B54D51" w:rsidRPr="00037AD4" w:rsidRDefault="00B54D51" w:rsidP="00401C67">
            <w:pPr>
              <w:widowControl w:val="0"/>
              <w:autoSpaceDE w:val="0"/>
              <w:autoSpaceDN w:val="0"/>
              <w:adjustRightInd w:val="0"/>
              <w:jc w:val="center"/>
            </w:pPr>
            <w:r w:rsidRPr="00037AD4">
              <w:t>-898.072</w:t>
            </w:r>
          </w:p>
        </w:tc>
        <w:tc>
          <w:tcPr>
            <w:tcW w:w="570" w:type="pct"/>
            <w:tcBorders>
              <w:top w:val="nil"/>
              <w:left w:val="nil"/>
              <w:bottom w:val="single" w:sz="6" w:space="0" w:color="auto"/>
              <w:right w:val="nil"/>
            </w:tcBorders>
          </w:tcPr>
          <w:p w14:paraId="0744BE4C" w14:textId="77777777" w:rsidR="00B54D51" w:rsidRPr="00037AD4" w:rsidRDefault="00B54D51" w:rsidP="00401C67">
            <w:pPr>
              <w:widowControl w:val="0"/>
              <w:autoSpaceDE w:val="0"/>
              <w:autoSpaceDN w:val="0"/>
              <w:adjustRightInd w:val="0"/>
              <w:jc w:val="center"/>
            </w:pPr>
            <w:r w:rsidRPr="00037AD4">
              <w:t>-977.914</w:t>
            </w:r>
          </w:p>
        </w:tc>
        <w:tc>
          <w:tcPr>
            <w:tcW w:w="570" w:type="pct"/>
            <w:tcBorders>
              <w:top w:val="nil"/>
              <w:left w:val="nil"/>
              <w:bottom w:val="single" w:sz="6" w:space="0" w:color="auto"/>
              <w:right w:val="nil"/>
            </w:tcBorders>
          </w:tcPr>
          <w:p w14:paraId="734529AC" w14:textId="77777777" w:rsidR="00B54D51" w:rsidRPr="00037AD4" w:rsidRDefault="00B54D51" w:rsidP="00401C67">
            <w:pPr>
              <w:widowControl w:val="0"/>
              <w:autoSpaceDE w:val="0"/>
              <w:autoSpaceDN w:val="0"/>
              <w:adjustRightInd w:val="0"/>
              <w:jc w:val="center"/>
            </w:pPr>
            <w:r w:rsidRPr="00037AD4">
              <w:t>-994.349</w:t>
            </w:r>
          </w:p>
        </w:tc>
      </w:tr>
    </w:tbl>
    <w:p w14:paraId="5D311EED" w14:textId="77777777" w:rsidR="00B54D51" w:rsidRPr="00037AD4" w:rsidRDefault="00B54D51" w:rsidP="001D7ACE">
      <w:pPr>
        <w:widowControl w:val="0"/>
        <w:autoSpaceDE w:val="0"/>
        <w:autoSpaceDN w:val="0"/>
        <w:adjustRightInd w:val="0"/>
        <w:jc w:val="center"/>
      </w:pPr>
      <w:r w:rsidRPr="00037AD4">
        <w:t>Robust ci in parentheses</w:t>
      </w:r>
    </w:p>
    <w:p w14:paraId="407C5ED6" w14:textId="77777777" w:rsidR="00B54D51" w:rsidRPr="00037AD4" w:rsidRDefault="00B54D51" w:rsidP="001D7ACE">
      <w:pPr>
        <w:widowControl w:val="0"/>
        <w:autoSpaceDE w:val="0"/>
        <w:autoSpaceDN w:val="0"/>
        <w:adjustRightInd w:val="0"/>
        <w:jc w:val="center"/>
      </w:pPr>
      <w:r w:rsidRPr="00037AD4">
        <w:t>*** p&lt;0.01, ** p&lt;0.05, * p&lt;0.1</w:t>
      </w:r>
    </w:p>
    <w:p w14:paraId="7E4F116E" w14:textId="77777777" w:rsidR="00B54D51" w:rsidRPr="00037AD4" w:rsidRDefault="00B54D51" w:rsidP="001D7ACE">
      <w:pPr>
        <w:rPr>
          <w:color w:val="FF0000"/>
          <w:u w:val="single"/>
        </w:rPr>
      </w:pPr>
    </w:p>
    <w:p w14:paraId="3A5C930F" w14:textId="77777777" w:rsidR="00B54D51" w:rsidRPr="00037AD4" w:rsidRDefault="00B54D51" w:rsidP="001D7ACE">
      <w:pPr>
        <w:rPr>
          <w:color w:val="FF0000"/>
          <w:u w:val="single"/>
        </w:rPr>
      </w:pPr>
    </w:p>
    <w:p w14:paraId="0C828816" w14:textId="77777777" w:rsidR="00B54D51" w:rsidRPr="00037AD4" w:rsidRDefault="00B54D51" w:rsidP="001D7ACE">
      <w:pPr>
        <w:rPr>
          <w:rFonts w:asciiTheme="minorHAnsi" w:hAnsiTheme="minorHAnsi" w:cstheme="minorHAnsi"/>
          <w:color w:val="000000" w:themeColor="text1"/>
          <w:u w:val="single"/>
        </w:rPr>
      </w:pPr>
      <w:r w:rsidRPr="00037AD4">
        <w:rPr>
          <w:rFonts w:asciiTheme="minorHAnsi" w:hAnsiTheme="minorHAnsi" w:cstheme="minorHAnsi"/>
          <w:color w:val="000000" w:themeColor="text1"/>
          <w:u w:val="single"/>
        </w:rPr>
        <w:t xml:space="preserve">Table A6.2e, “Self-care” dimension model iterations: EPIC </w:t>
      </w:r>
    </w:p>
    <w:p w14:paraId="06AB5B1C" w14:textId="77777777" w:rsidR="00B54D51" w:rsidRPr="00037AD4" w:rsidRDefault="00B54D51" w:rsidP="001D7ACE">
      <w:pPr>
        <w:rPr>
          <w:color w:val="FF0000"/>
          <w:u w:val="single"/>
        </w:rPr>
      </w:pPr>
    </w:p>
    <w:tbl>
      <w:tblPr>
        <w:tblW w:w="5000" w:type="pct"/>
        <w:jc w:val="center"/>
        <w:tblCellMar>
          <w:left w:w="75" w:type="dxa"/>
          <w:right w:w="75" w:type="dxa"/>
        </w:tblCellMar>
        <w:tblLook w:val="0000" w:firstRow="0" w:lastRow="0" w:firstColumn="0" w:lastColumn="0" w:noHBand="0" w:noVBand="0"/>
      </w:tblPr>
      <w:tblGrid>
        <w:gridCol w:w="1765"/>
        <w:gridCol w:w="1506"/>
        <w:gridCol w:w="1506"/>
        <w:gridCol w:w="1415"/>
        <w:gridCol w:w="1415"/>
        <w:gridCol w:w="1419"/>
      </w:tblGrid>
      <w:tr w:rsidR="00B54D51" w:rsidRPr="00037AD4" w14:paraId="5DD33DF0" w14:textId="77777777" w:rsidTr="00401C67">
        <w:trPr>
          <w:jc w:val="center"/>
        </w:trPr>
        <w:tc>
          <w:tcPr>
            <w:tcW w:w="977" w:type="pct"/>
            <w:tcBorders>
              <w:top w:val="single" w:sz="6" w:space="0" w:color="auto"/>
              <w:left w:val="nil"/>
              <w:bottom w:val="nil"/>
              <w:right w:val="nil"/>
            </w:tcBorders>
          </w:tcPr>
          <w:p w14:paraId="76D2ED9A" w14:textId="77777777" w:rsidR="00B54D51" w:rsidRPr="00037AD4" w:rsidRDefault="00B54D51" w:rsidP="00401C67">
            <w:pPr>
              <w:widowControl w:val="0"/>
              <w:autoSpaceDE w:val="0"/>
              <w:autoSpaceDN w:val="0"/>
              <w:adjustRightInd w:val="0"/>
            </w:pPr>
          </w:p>
        </w:tc>
        <w:tc>
          <w:tcPr>
            <w:tcW w:w="834" w:type="pct"/>
            <w:tcBorders>
              <w:top w:val="single" w:sz="6" w:space="0" w:color="auto"/>
              <w:left w:val="nil"/>
              <w:bottom w:val="nil"/>
              <w:right w:val="nil"/>
            </w:tcBorders>
          </w:tcPr>
          <w:p w14:paraId="14F22223" w14:textId="77777777" w:rsidR="00B54D51" w:rsidRPr="00037AD4" w:rsidRDefault="00B54D51" w:rsidP="00401C67">
            <w:pPr>
              <w:widowControl w:val="0"/>
              <w:autoSpaceDE w:val="0"/>
              <w:autoSpaceDN w:val="0"/>
              <w:adjustRightInd w:val="0"/>
              <w:jc w:val="center"/>
            </w:pPr>
            <w:r w:rsidRPr="00037AD4">
              <w:t>(1)</w:t>
            </w:r>
          </w:p>
        </w:tc>
        <w:tc>
          <w:tcPr>
            <w:tcW w:w="834" w:type="pct"/>
            <w:tcBorders>
              <w:top w:val="single" w:sz="6" w:space="0" w:color="auto"/>
              <w:left w:val="nil"/>
              <w:bottom w:val="nil"/>
              <w:right w:val="nil"/>
            </w:tcBorders>
          </w:tcPr>
          <w:p w14:paraId="28144F7D" w14:textId="77777777" w:rsidR="00B54D51" w:rsidRPr="00037AD4" w:rsidRDefault="00B54D51" w:rsidP="00401C67">
            <w:pPr>
              <w:widowControl w:val="0"/>
              <w:autoSpaceDE w:val="0"/>
              <w:autoSpaceDN w:val="0"/>
              <w:adjustRightInd w:val="0"/>
              <w:jc w:val="center"/>
            </w:pPr>
            <w:r w:rsidRPr="00037AD4">
              <w:t>(2)</w:t>
            </w:r>
          </w:p>
        </w:tc>
        <w:tc>
          <w:tcPr>
            <w:tcW w:w="784" w:type="pct"/>
            <w:tcBorders>
              <w:top w:val="single" w:sz="6" w:space="0" w:color="auto"/>
              <w:left w:val="nil"/>
              <w:bottom w:val="nil"/>
              <w:right w:val="nil"/>
            </w:tcBorders>
          </w:tcPr>
          <w:p w14:paraId="2E3A3FC9" w14:textId="77777777" w:rsidR="00B54D51" w:rsidRPr="00037AD4" w:rsidRDefault="00B54D51" w:rsidP="00401C67">
            <w:pPr>
              <w:widowControl w:val="0"/>
              <w:autoSpaceDE w:val="0"/>
              <w:autoSpaceDN w:val="0"/>
              <w:adjustRightInd w:val="0"/>
              <w:jc w:val="center"/>
            </w:pPr>
            <w:r w:rsidRPr="00037AD4">
              <w:t>(3)</w:t>
            </w:r>
          </w:p>
        </w:tc>
        <w:tc>
          <w:tcPr>
            <w:tcW w:w="784" w:type="pct"/>
            <w:tcBorders>
              <w:top w:val="single" w:sz="6" w:space="0" w:color="auto"/>
              <w:left w:val="nil"/>
              <w:bottom w:val="nil"/>
              <w:right w:val="nil"/>
            </w:tcBorders>
          </w:tcPr>
          <w:p w14:paraId="0BADBF8A" w14:textId="77777777" w:rsidR="00B54D51" w:rsidRPr="00037AD4" w:rsidRDefault="00B54D51" w:rsidP="00401C67">
            <w:pPr>
              <w:widowControl w:val="0"/>
              <w:autoSpaceDE w:val="0"/>
              <w:autoSpaceDN w:val="0"/>
              <w:adjustRightInd w:val="0"/>
              <w:jc w:val="center"/>
            </w:pPr>
            <w:r w:rsidRPr="00037AD4">
              <w:t>(4)</w:t>
            </w:r>
          </w:p>
        </w:tc>
        <w:tc>
          <w:tcPr>
            <w:tcW w:w="786" w:type="pct"/>
            <w:tcBorders>
              <w:top w:val="single" w:sz="6" w:space="0" w:color="auto"/>
              <w:left w:val="nil"/>
              <w:bottom w:val="nil"/>
              <w:right w:val="nil"/>
            </w:tcBorders>
          </w:tcPr>
          <w:p w14:paraId="2399C97B" w14:textId="77777777" w:rsidR="00B54D51" w:rsidRPr="00037AD4" w:rsidRDefault="00B54D51" w:rsidP="00401C67">
            <w:pPr>
              <w:widowControl w:val="0"/>
              <w:autoSpaceDE w:val="0"/>
              <w:autoSpaceDN w:val="0"/>
              <w:adjustRightInd w:val="0"/>
              <w:jc w:val="center"/>
            </w:pPr>
            <w:r w:rsidRPr="00037AD4">
              <w:t>(5)</w:t>
            </w:r>
          </w:p>
        </w:tc>
      </w:tr>
      <w:tr w:rsidR="00B54D51" w:rsidRPr="00037AD4" w14:paraId="7D756364" w14:textId="77777777" w:rsidTr="00401C67">
        <w:trPr>
          <w:jc w:val="center"/>
        </w:trPr>
        <w:tc>
          <w:tcPr>
            <w:tcW w:w="977" w:type="pct"/>
            <w:tcBorders>
              <w:top w:val="nil"/>
              <w:left w:val="nil"/>
              <w:bottom w:val="single" w:sz="6" w:space="0" w:color="auto"/>
              <w:right w:val="nil"/>
            </w:tcBorders>
          </w:tcPr>
          <w:p w14:paraId="0BFBFA41" w14:textId="77777777" w:rsidR="00B54D51" w:rsidRPr="00037AD4" w:rsidRDefault="00B54D51" w:rsidP="00401C67">
            <w:pPr>
              <w:widowControl w:val="0"/>
              <w:autoSpaceDE w:val="0"/>
              <w:autoSpaceDN w:val="0"/>
              <w:adjustRightInd w:val="0"/>
            </w:pPr>
            <w:r w:rsidRPr="00037AD4">
              <w:t>VARIABLES</w:t>
            </w:r>
          </w:p>
        </w:tc>
        <w:tc>
          <w:tcPr>
            <w:tcW w:w="834" w:type="pct"/>
            <w:tcBorders>
              <w:top w:val="nil"/>
              <w:left w:val="nil"/>
              <w:bottom w:val="single" w:sz="6" w:space="0" w:color="auto"/>
              <w:right w:val="nil"/>
            </w:tcBorders>
          </w:tcPr>
          <w:p w14:paraId="5CBC4FD3" w14:textId="77777777" w:rsidR="00B54D51" w:rsidRPr="00037AD4" w:rsidRDefault="00B54D51" w:rsidP="00401C67">
            <w:pPr>
              <w:widowControl w:val="0"/>
              <w:autoSpaceDE w:val="0"/>
              <w:autoSpaceDN w:val="0"/>
              <w:adjustRightInd w:val="0"/>
              <w:jc w:val="center"/>
            </w:pPr>
            <w:r w:rsidRPr="00037AD4">
              <w:t>Model 1</w:t>
            </w:r>
          </w:p>
        </w:tc>
        <w:tc>
          <w:tcPr>
            <w:tcW w:w="834" w:type="pct"/>
            <w:tcBorders>
              <w:top w:val="nil"/>
              <w:left w:val="nil"/>
              <w:bottom w:val="single" w:sz="6" w:space="0" w:color="auto"/>
              <w:right w:val="nil"/>
            </w:tcBorders>
          </w:tcPr>
          <w:p w14:paraId="3F4F450B" w14:textId="77777777" w:rsidR="00B54D51" w:rsidRPr="00037AD4" w:rsidRDefault="00B54D51" w:rsidP="00401C67">
            <w:pPr>
              <w:widowControl w:val="0"/>
              <w:autoSpaceDE w:val="0"/>
              <w:autoSpaceDN w:val="0"/>
              <w:adjustRightInd w:val="0"/>
              <w:jc w:val="center"/>
            </w:pPr>
            <w:r w:rsidRPr="00037AD4">
              <w:t>Model 2</w:t>
            </w:r>
          </w:p>
        </w:tc>
        <w:tc>
          <w:tcPr>
            <w:tcW w:w="784" w:type="pct"/>
            <w:tcBorders>
              <w:top w:val="nil"/>
              <w:left w:val="nil"/>
              <w:bottom w:val="single" w:sz="6" w:space="0" w:color="auto"/>
              <w:right w:val="nil"/>
            </w:tcBorders>
          </w:tcPr>
          <w:p w14:paraId="5F188658" w14:textId="77777777" w:rsidR="00B54D51" w:rsidRPr="00037AD4" w:rsidRDefault="00B54D51" w:rsidP="00401C67">
            <w:pPr>
              <w:widowControl w:val="0"/>
              <w:autoSpaceDE w:val="0"/>
              <w:autoSpaceDN w:val="0"/>
              <w:adjustRightInd w:val="0"/>
              <w:jc w:val="center"/>
            </w:pPr>
            <w:r w:rsidRPr="00037AD4">
              <w:t>Model 3</w:t>
            </w:r>
          </w:p>
        </w:tc>
        <w:tc>
          <w:tcPr>
            <w:tcW w:w="784" w:type="pct"/>
            <w:tcBorders>
              <w:top w:val="nil"/>
              <w:left w:val="nil"/>
              <w:bottom w:val="single" w:sz="6" w:space="0" w:color="auto"/>
              <w:right w:val="nil"/>
            </w:tcBorders>
          </w:tcPr>
          <w:p w14:paraId="4AE6C585" w14:textId="77777777" w:rsidR="00B54D51" w:rsidRPr="00037AD4" w:rsidRDefault="00B54D51" w:rsidP="00401C67">
            <w:pPr>
              <w:widowControl w:val="0"/>
              <w:autoSpaceDE w:val="0"/>
              <w:autoSpaceDN w:val="0"/>
              <w:adjustRightInd w:val="0"/>
              <w:jc w:val="center"/>
            </w:pPr>
            <w:r w:rsidRPr="00037AD4">
              <w:t>Model 4</w:t>
            </w:r>
          </w:p>
        </w:tc>
        <w:tc>
          <w:tcPr>
            <w:tcW w:w="786" w:type="pct"/>
            <w:tcBorders>
              <w:top w:val="nil"/>
              <w:left w:val="nil"/>
              <w:bottom w:val="single" w:sz="6" w:space="0" w:color="auto"/>
              <w:right w:val="nil"/>
            </w:tcBorders>
          </w:tcPr>
          <w:p w14:paraId="12345A35" w14:textId="77777777" w:rsidR="00B54D51" w:rsidRPr="00037AD4" w:rsidRDefault="00B54D51" w:rsidP="00401C67">
            <w:pPr>
              <w:widowControl w:val="0"/>
              <w:autoSpaceDE w:val="0"/>
              <w:autoSpaceDN w:val="0"/>
              <w:adjustRightInd w:val="0"/>
              <w:jc w:val="center"/>
            </w:pPr>
            <w:r w:rsidRPr="00037AD4">
              <w:t>Model 5</w:t>
            </w:r>
          </w:p>
        </w:tc>
      </w:tr>
      <w:tr w:rsidR="00B54D51" w:rsidRPr="00037AD4" w14:paraId="00936ABC" w14:textId="77777777" w:rsidTr="00401C67">
        <w:trPr>
          <w:jc w:val="center"/>
        </w:trPr>
        <w:tc>
          <w:tcPr>
            <w:tcW w:w="977" w:type="pct"/>
            <w:tcBorders>
              <w:top w:val="nil"/>
              <w:left w:val="nil"/>
              <w:bottom w:val="nil"/>
              <w:right w:val="nil"/>
            </w:tcBorders>
          </w:tcPr>
          <w:p w14:paraId="1B72DFC0" w14:textId="77777777" w:rsidR="00B54D51" w:rsidRPr="00037AD4" w:rsidRDefault="00B54D51" w:rsidP="00401C67">
            <w:pPr>
              <w:widowControl w:val="0"/>
              <w:autoSpaceDE w:val="0"/>
              <w:autoSpaceDN w:val="0"/>
              <w:adjustRightInd w:val="0"/>
            </w:pPr>
          </w:p>
        </w:tc>
        <w:tc>
          <w:tcPr>
            <w:tcW w:w="834" w:type="pct"/>
            <w:tcBorders>
              <w:top w:val="nil"/>
              <w:left w:val="nil"/>
              <w:bottom w:val="nil"/>
              <w:right w:val="nil"/>
            </w:tcBorders>
          </w:tcPr>
          <w:p w14:paraId="20FE9C4C" w14:textId="77777777" w:rsidR="00B54D51" w:rsidRPr="00037AD4" w:rsidRDefault="00B54D51" w:rsidP="00401C67">
            <w:pPr>
              <w:widowControl w:val="0"/>
              <w:autoSpaceDE w:val="0"/>
              <w:autoSpaceDN w:val="0"/>
              <w:adjustRightInd w:val="0"/>
              <w:jc w:val="center"/>
            </w:pPr>
          </w:p>
        </w:tc>
        <w:tc>
          <w:tcPr>
            <w:tcW w:w="834" w:type="pct"/>
            <w:tcBorders>
              <w:top w:val="nil"/>
              <w:left w:val="nil"/>
              <w:bottom w:val="nil"/>
              <w:right w:val="nil"/>
            </w:tcBorders>
          </w:tcPr>
          <w:p w14:paraId="62BED764" w14:textId="77777777" w:rsidR="00B54D51" w:rsidRPr="00037AD4" w:rsidRDefault="00B54D51" w:rsidP="00401C67">
            <w:pPr>
              <w:widowControl w:val="0"/>
              <w:autoSpaceDE w:val="0"/>
              <w:autoSpaceDN w:val="0"/>
              <w:adjustRightInd w:val="0"/>
              <w:jc w:val="center"/>
            </w:pPr>
          </w:p>
        </w:tc>
        <w:tc>
          <w:tcPr>
            <w:tcW w:w="784" w:type="pct"/>
            <w:tcBorders>
              <w:top w:val="nil"/>
              <w:left w:val="nil"/>
              <w:bottom w:val="nil"/>
              <w:right w:val="nil"/>
            </w:tcBorders>
          </w:tcPr>
          <w:p w14:paraId="4E59F19E" w14:textId="77777777" w:rsidR="00B54D51" w:rsidRPr="00037AD4" w:rsidRDefault="00B54D51" w:rsidP="00401C67">
            <w:pPr>
              <w:widowControl w:val="0"/>
              <w:autoSpaceDE w:val="0"/>
              <w:autoSpaceDN w:val="0"/>
              <w:adjustRightInd w:val="0"/>
              <w:jc w:val="center"/>
            </w:pPr>
          </w:p>
        </w:tc>
        <w:tc>
          <w:tcPr>
            <w:tcW w:w="784" w:type="pct"/>
            <w:tcBorders>
              <w:top w:val="nil"/>
              <w:left w:val="nil"/>
              <w:bottom w:val="nil"/>
              <w:right w:val="nil"/>
            </w:tcBorders>
          </w:tcPr>
          <w:p w14:paraId="6B970F84" w14:textId="77777777" w:rsidR="00B54D51" w:rsidRPr="00037AD4" w:rsidRDefault="00B54D51" w:rsidP="00401C67">
            <w:pPr>
              <w:widowControl w:val="0"/>
              <w:autoSpaceDE w:val="0"/>
              <w:autoSpaceDN w:val="0"/>
              <w:adjustRightInd w:val="0"/>
              <w:jc w:val="center"/>
            </w:pPr>
          </w:p>
        </w:tc>
        <w:tc>
          <w:tcPr>
            <w:tcW w:w="786" w:type="pct"/>
            <w:tcBorders>
              <w:top w:val="nil"/>
              <w:left w:val="nil"/>
              <w:bottom w:val="nil"/>
              <w:right w:val="nil"/>
            </w:tcBorders>
          </w:tcPr>
          <w:p w14:paraId="1D3B21FB" w14:textId="77777777" w:rsidR="00B54D51" w:rsidRPr="00037AD4" w:rsidRDefault="00B54D51" w:rsidP="00401C67">
            <w:pPr>
              <w:widowControl w:val="0"/>
              <w:autoSpaceDE w:val="0"/>
              <w:autoSpaceDN w:val="0"/>
              <w:adjustRightInd w:val="0"/>
              <w:jc w:val="center"/>
            </w:pPr>
          </w:p>
        </w:tc>
      </w:tr>
      <w:tr w:rsidR="00B54D51" w:rsidRPr="00037AD4" w14:paraId="3C09C479" w14:textId="77777777" w:rsidTr="00401C67">
        <w:trPr>
          <w:jc w:val="center"/>
        </w:trPr>
        <w:tc>
          <w:tcPr>
            <w:tcW w:w="977" w:type="pct"/>
            <w:tcBorders>
              <w:top w:val="nil"/>
              <w:left w:val="nil"/>
              <w:bottom w:val="nil"/>
              <w:right w:val="nil"/>
            </w:tcBorders>
          </w:tcPr>
          <w:p w14:paraId="32726BE4" w14:textId="77777777" w:rsidR="00B54D51" w:rsidRPr="00037AD4" w:rsidRDefault="00B54D51" w:rsidP="00401C67">
            <w:pPr>
              <w:widowControl w:val="0"/>
              <w:autoSpaceDE w:val="0"/>
              <w:autoSpaceDN w:val="0"/>
              <w:adjustRightInd w:val="0"/>
            </w:pPr>
            <w:r w:rsidRPr="00037AD4">
              <w:t>2.eq2SR_</w:t>
            </w:r>
          </w:p>
        </w:tc>
        <w:tc>
          <w:tcPr>
            <w:tcW w:w="834" w:type="pct"/>
            <w:tcBorders>
              <w:top w:val="nil"/>
              <w:left w:val="nil"/>
              <w:bottom w:val="nil"/>
              <w:right w:val="nil"/>
            </w:tcBorders>
          </w:tcPr>
          <w:p w14:paraId="6AA1C924" w14:textId="77777777" w:rsidR="00B54D51" w:rsidRPr="00037AD4" w:rsidRDefault="00B54D51" w:rsidP="00401C67">
            <w:pPr>
              <w:widowControl w:val="0"/>
              <w:autoSpaceDE w:val="0"/>
              <w:autoSpaceDN w:val="0"/>
              <w:adjustRightInd w:val="0"/>
              <w:jc w:val="center"/>
            </w:pPr>
            <w:r w:rsidRPr="00037AD4">
              <w:t>-0.019</w:t>
            </w:r>
          </w:p>
        </w:tc>
        <w:tc>
          <w:tcPr>
            <w:tcW w:w="834" w:type="pct"/>
            <w:tcBorders>
              <w:top w:val="nil"/>
              <w:left w:val="nil"/>
              <w:bottom w:val="nil"/>
              <w:right w:val="nil"/>
            </w:tcBorders>
          </w:tcPr>
          <w:p w14:paraId="5BAE6213" w14:textId="77777777" w:rsidR="00B54D51" w:rsidRPr="00037AD4" w:rsidRDefault="00B54D51" w:rsidP="00401C67">
            <w:pPr>
              <w:widowControl w:val="0"/>
              <w:autoSpaceDE w:val="0"/>
              <w:autoSpaceDN w:val="0"/>
              <w:adjustRightInd w:val="0"/>
              <w:jc w:val="center"/>
            </w:pPr>
            <w:r w:rsidRPr="00037AD4">
              <w:t>-0.009</w:t>
            </w:r>
          </w:p>
        </w:tc>
        <w:tc>
          <w:tcPr>
            <w:tcW w:w="784" w:type="pct"/>
            <w:tcBorders>
              <w:top w:val="nil"/>
              <w:left w:val="nil"/>
              <w:bottom w:val="nil"/>
              <w:right w:val="nil"/>
            </w:tcBorders>
          </w:tcPr>
          <w:p w14:paraId="4BF55BF4" w14:textId="77777777" w:rsidR="00B54D51" w:rsidRPr="00037AD4" w:rsidRDefault="00B54D51" w:rsidP="00401C67">
            <w:pPr>
              <w:widowControl w:val="0"/>
              <w:autoSpaceDE w:val="0"/>
              <w:autoSpaceDN w:val="0"/>
              <w:adjustRightInd w:val="0"/>
              <w:jc w:val="center"/>
            </w:pPr>
            <w:r w:rsidRPr="00037AD4">
              <w:t>-0.067</w:t>
            </w:r>
          </w:p>
        </w:tc>
        <w:tc>
          <w:tcPr>
            <w:tcW w:w="784" w:type="pct"/>
            <w:tcBorders>
              <w:top w:val="nil"/>
              <w:left w:val="nil"/>
              <w:bottom w:val="nil"/>
              <w:right w:val="nil"/>
            </w:tcBorders>
          </w:tcPr>
          <w:p w14:paraId="1ED56C72" w14:textId="77777777" w:rsidR="00B54D51" w:rsidRPr="00037AD4" w:rsidRDefault="00B54D51" w:rsidP="00401C67">
            <w:pPr>
              <w:widowControl w:val="0"/>
              <w:autoSpaceDE w:val="0"/>
              <w:autoSpaceDN w:val="0"/>
              <w:adjustRightInd w:val="0"/>
              <w:jc w:val="center"/>
            </w:pPr>
            <w:r w:rsidRPr="00037AD4">
              <w:t>-0.056</w:t>
            </w:r>
          </w:p>
        </w:tc>
        <w:tc>
          <w:tcPr>
            <w:tcW w:w="786" w:type="pct"/>
            <w:tcBorders>
              <w:top w:val="nil"/>
              <w:left w:val="nil"/>
              <w:bottom w:val="nil"/>
              <w:right w:val="nil"/>
            </w:tcBorders>
          </w:tcPr>
          <w:p w14:paraId="7CAE0BDB" w14:textId="77777777" w:rsidR="00B54D51" w:rsidRPr="00037AD4" w:rsidRDefault="00B54D51" w:rsidP="00401C67">
            <w:pPr>
              <w:widowControl w:val="0"/>
              <w:autoSpaceDE w:val="0"/>
              <w:autoSpaceDN w:val="0"/>
              <w:adjustRightInd w:val="0"/>
              <w:jc w:val="center"/>
            </w:pPr>
            <w:r w:rsidRPr="00037AD4">
              <w:t>-0.074</w:t>
            </w:r>
          </w:p>
        </w:tc>
      </w:tr>
      <w:tr w:rsidR="00B54D51" w:rsidRPr="00037AD4" w14:paraId="4FB4732B" w14:textId="77777777" w:rsidTr="00401C67">
        <w:trPr>
          <w:jc w:val="center"/>
        </w:trPr>
        <w:tc>
          <w:tcPr>
            <w:tcW w:w="977" w:type="pct"/>
            <w:tcBorders>
              <w:top w:val="nil"/>
              <w:left w:val="nil"/>
              <w:bottom w:val="nil"/>
              <w:right w:val="nil"/>
            </w:tcBorders>
          </w:tcPr>
          <w:p w14:paraId="5DC32FCB" w14:textId="77777777" w:rsidR="00B54D51" w:rsidRPr="00037AD4" w:rsidRDefault="00B54D51" w:rsidP="00401C67">
            <w:pPr>
              <w:widowControl w:val="0"/>
              <w:autoSpaceDE w:val="0"/>
              <w:autoSpaceDN w:val="0"/>
              <w:adjustRightInd w:val="0"/>
            </w:pPr>
          </w:p>
        </w:tc>
        <w:tc>
          <w:tcPr>
            <w:tcW w:w="834" w:type="pct"/>
            <w:tcBorders>
              <w:top w:val="nil"/>
              <w:left w:val="nil"/>
              <w:bottom w:val="nil"/>
              <w:right w:val="nil"/>
            </w:tcBorders>
          </w:tcPr>
          <w:p w14:paraId="240D76C9" w14:textId="77777777" w:rsidR="00B54D51" w:rsidRPr="00037AD4" w:rsidRDefault="00B54D51" w:rsidP="00401C67">
            <w:pPr>
              <w:widowControl w:val="0"/>
              <w:autoSpaceDE w:val="0"/>
              <w:autoSpaceDN w:val="0"/>
              <w:adjustRightInd w:val="0"/>
              <w:jc w:val="center"/>
            </w:pPr>
            <w:r w:rsidRPr="00037AD4">
              <w:t>(-0.262 - 0.223)</w:t>
            </w:r>
          </w:p>
        </w:tc>
        <w:tc>
          <w:tcPr>
            <w:tcW w:w="834" w:type="pct"/>
            <w:tcBorders>
              <w:top w:val="nil"/>
              <w:left w:val="nil"/>
              <w:bottom w:val="nil"/>
              <w:right w:val="nil"/>
            </w:tcBorders>
          </w:tcPr>
          <w:p w14:paraId="3392B00C" w14:textId="77777777" w:rsidR="00B54D51" w:rsidRPr="00037AD4" w:rsidRDefault="00B54D51" w:rsidP="00401C67">
            <w:pPr>
              <w:widowControl w:val="0"/>
              <w:autoSpaceDE w:val="0"/>
              <w:autoSpaceDN w:val="0"/>
              <w:adjustRightInd w:val="0"/>
              <w:jc w:val="center"/>
            </w:pPr>
            <w:r w:rsidRPr="00037AD4">
              <w:t>(-0.241 - 0.224)</w:t>
            </w:r>
          </w:p>
        </w:tc>
        <w:tc>
          <w:tcPr>
            <w:tcW w:w="784" w:type="pct"/>
            <w:tcBorders>
              <w:top w:val="nil"/>
              <w:left w:val="nil"/>
              <w:bottom w:val="nil"/>
              <w:right w:val="nil"/>
            </w:tcBorders>
          </w:tcPr>
          <w:p w14:paraId="1D788A96" w14:textId="77777777" w:rsidR="00B54D51" w:rsidRPr="00037AD4" w:rsidRDefault="00B54D51" w:rsidP="00401C67">
            <w:pPr>
              <w:widowControl w:val="0"/>
              <w:autoSpaceDE w:val="0"/>
              <w:autoSpaceDN w:val="0"/>
              <w:adjustRightInd w:val="0"/>
              <w:jc w:val="center"/>
            </w:pPr>
            <w:r w:rsidRPr="00037AD4">
              <w:t>(-0.279 - 0.145)</w:t>
            </w:r>
          </w:p>
        </w:tc>
        <w:tc>
          <w:tcPr>
            <w:tcW w:w="784" w:type="pct"/>
            <w:tcBorders>
              <w:top w:val="nil"/>
              <w:left w:val="nil"/>
              <w:bottom w:val="nil"/>
              <w:right w:val="nil"/>
            </w:tcBorders>
          </w:tcPr>
          <w:p w14:paraId="3469683F" w14:textId="77777777" w:rsidR="00B54D51" w:rsidRPr="00037AD4" w:rsidRDefault="00B54D51" w:rsidP="00401C67">
            <w:pPr>
              <w:widowControl w:val="0"/>
              <w:autoSpaceDE w:val="0"/>
              <w:autoSpaceDN w:val="0"/>
              <w:adjustRightInd w:val="0"/>
              <w:jc w:val="center"/>
            </w:pPr>
            <w:r w:rsidRPr="00037AD4">
              <w:t>(-0.270 - 0.158)</w:t>
            </w:r>
          </w:p>
        </w:tc>
        <w:tc>
          <w:tcPr>
            <w:tcW w:w="786" w:type="pct"/>
            <w:tcBorders>
              <w:top w:val="nil"/>
              <w:left w:val="nil"/>
              <w:bottom w:val="nil"/>
              <w:right w:val="nil"/>
            </w:tcBorders>
          </w:tcPr>
          <w:p w14:paraId="4AD104DD" w14:textId="77777777" w:rsidR="00B54D51" w:rsidRPr="00037AD4" w:rsidRDefault="00B54D51" w:rsidP="00401C67">
            <w:pPr>
              <w:widowControl w:val="0"/>
              <w:autoSpaceDE w:val="0"/>
              <w:autoSpaceDN w:val="0"/>
              <w:adjustRightInd w:val="0"/>
              <w:jc w:val="center"/>
            </w:pPr>
            <w:r w:rsidRPr="00037AD4">
              <w:t>(-0.285 - 0.138)</w:t>
            </w:r>
          </w:p>
        </w:tc>
      </w:tr>
      <w:tr w:rsidR="00B54D51" w:rsidRPr="00037AD4" w14:paraId="50DC6ACD" w14:textId="77777777" w:rsidTr="00401C67">
        <w:trPr>
          <w:jc w:val="center"/>
        </w:trPr>
        <w:tc>
          <w:tcPr>
            <w:tcW w:w="977" w:type="pct"/>
            <w:tcBorders>
              <w:top w:val="nil"/>
              <w:left w:val="nil"/>
              <w:bottom w:val="nil"/>
              <w:right w:val="nil"/>
            </w:tcBorders>
          </w:tcPr>
          <w:p w14:paraId="58B30D24" w14:textId="77777777" w:rsidR="00B54D51" w:rsidRPr="00037AD4" w:rsidRDefault="00B54D51" w:rsidP="00401C67">
            <w:pPr>
              <w:widowControl w:val="0"/>
              <w:autoSpaceDE w:val="0"/>
              <w:autoSpaceDN w:val="0"/>
              <w:adjustRightInd w:val="0"/>
            </w:pPr>
            <w:r w:rsidRPr="00037AD4">
              <w:t>3.eq2SR_</w:t>
            </w:r>
          </w:p>
        </w:tc>
        <w:tc>
          <w:tcPr>
            <w:tcW w:w="834" w:type="pct"/>
            <w:tcBorders>
              <w:top w:val="nil"/>
              <w:left w:val="nil"/>
              <w:bottom w:val="nil"/>
              <w:right w:val="nil"/>
            </w:tcBorders>
          </w:tcPr>
          <w:p w14:paraId="680BF3B8" w14:textId="77777777" w:rsidR="00B54D51" w:rsidRPr="00037AD4" w:rsidRDefault="00B54D51" w:rsidP="00401C67">
            <w:pPr>
              <w:widowControl w:val="0"/>
              <w:autoSpaceDE w:val="0"/>
              <w:autoSpaceDN w:val="0"/>
              <w:adjustRightInd w:val="0"/>
              <w:jc w:val="center"/>
            </w:pPr>
            <w:r w:rsidRPr="00037AD4">
              <w:t>0.110</w:t>
            </w:r>
          </w:p>
        </w:tc>
        <w:tc>
          <w:tcPr>
            <w:tcW w:w="834" w:type="pct"/>
            <w:tcBorders>
              <w:top w:val="nil"/>
              <w:left w:val="nil"/>
              <w:bottom w:val="nil"/>
              <w:right w:val="nil"/>
            </w:tcBorders>
          </w:tcPr>
          <w:p w14:paraId="2D91CB49" w14:textId="77777777" w:rsidR="00B54D51" w:rsidRPr="00037AD4" w:rsidRDefault="00B54D51" w:rsidP="00401C67">
            <w:pPr>
              <w:widowControl w:val="0"/>
              <w:autoSpaceDE w:val="0"/>
              <w:autoSpaceDN w:val="0"/>
              <w:adjustRightInd w:val="0"/>
              <w:jc w:val="center"/>
            </w:pPr>
            <w:r w:rsidRPr="00037AD4">
              <w:t>0.153</w:t>
            </w:r>
          </w:p>
        </w:tc>
        <w:tc>
          <w:tcPr>
            <w:tcW w:w="784" w:type="pct"/>
            <w:tcBorders>
              <w:top w:val="nil"/>
              <w:left w:val="nil"/>
              <w:bottom w:val="nil"/>
              <w:right w:val="nil"/>
            </w:tcBorders>
          </w:tcPr>
          <w:p w14:paraId="4D308982" w14:textId="77777777" w:rsidR="00B54D51" w:rsidRPr="00037AD4" w:rsidRDefault="00B54D51" w:rsidP="00401C67">
            <w:pPr>
              <w:widowControl w:val="0"/>
              <w:autoSpaceDE w:val="0"/>
              <w:autoSpaceDN w:val="0"/>
              <w:adjustRightInd w:val="0"/>
              <w:jc w:val="center"/>
            </w:pPr>
            <w:r w:rsidRPr="00037AD4">
              <w:t>0.283**</w:t>
            </w:r>
          </w:p>
        </w:tc>
        <w:tc>
          <w:tcPr>
            <w:tcW w:w="784" w:type="pct"/>
            <w:tcBorders>
              <w:top w:val="nil"/>
              <w:left w:val="nil"/>
              <w:bottom w:val="nil"/>
              <w:right w:val="nil"/>
            </w:tcBorders>
          </w:tcPr>
          <w:p w14:paraId="5A181FD5" w14:textId="77777777" w:rsidR="00B54D51" w:rsidRPr="00037AD4" w:rsidRDefault="00B54D51" w:rsidP="00401C67">
            <w:pPr>
              <w:widowControl w:val="0"/>
              <w:autoSpaceDE w:val="0"/>
              <w:autoSpaceDN w:val="0"/>
              <w:adjustRightInd w:val="0"/>
              <w:jc w:val="center"/>
            </w:pPr>
            <w:r w:rsidRPr="00037AD4">
              <w:t>0.248**</w:t>
            </w:r>
          </w:p>
        </w:tc>
        <w:tc>
          <w:tcPr>
            <w:tcW w:w="786" w:type="pct"/>
            <w:tcBorders>
              <w:top w:val="nil"/>
              <w:left w:val="nil"/>
              <w:bottom w:val="nil"/>
              <w:right w:val="nil"/>
            </w:tcBorders>
          </w:tcPr>
          <w:p w14:paraId="6A8A25E3" w14:textId="77777777" w:rsidR="00B54D51" w:rsidRPr="00037AD4" w:rsidRDefault="00B54D51" w:rsidP="00401C67">
            <w:pPr>
              <w:widowControl w:val="0"/>
              <w:autoSpaceDE w:val="0"/>
              <w:autoSpaceDN w:val="0"/>
              <w:adjustRightInd w:val="0"/>
              <w:jc w:val="center"/>
            </w:pPr>
            <w:r w:rsidRPr="00037AD4">
              <w:t>0.276**</w:t>
            </w:r>
          </w:p>
        </w:tc>
      </w:tr>
      <w:tr w:rsidR="00B54D51" w:rsidRPr="00037AD4" w14:paraId="38F4A796" w14:textId="77777777" w:rsidTr="00401C67">
        <w:trPr>
          <w:jc w:val="center"/>
        </w:trPr>
        <w:tc>
          <w:tcPr>
            <w:tcW w:w="977" w:type="pct"/>
            <w:tcBorders>
              <w:top w:val="nil"/>
              <w:left w:val="nil"/>
              <w:bottom w:val="nil"/>
              <w:right w:val="nil"/>
            </w:tcBorders>
          </w:tcPr>
          <w:p w14:paraId="32FA258C" w14:textId="77777777" w:rsidR="00B54D51" w:rsidRPr="00037AD4" w:rsidRDefault="00B54D51" w:rsidP="00401C67">
            <w:pPr>
              <w:widowControl w:val="0"/>
              <w:autoSpaceDE w:val="0"/>
              <w:autoSpaceDN w:val="0"/>
              <w:adjustRightInd w:val="0"/>
            </w:pPr>
          </w:p>
        </w:tc>
        <w:tc>
          <w:tcPr>
            <w:tcW w:w="834" w:type="pct"/>
            <w:tcBorders>
              <w:top w:val="nil"/>
              <w:left w:val="nil"/>
              <w:bottom w:val="nil"/>
              <w:right w:val="nil"/>
            </w:tcBorders>
          </w:tcPr>
          <w:p w14:paraId="417F34FD" w14:textId="77777777" w:rsidR="00B54D51" w:rsidRPr="00037AD4" w:rsidRDefault="00B54D51" w:rsidP="00401C67">
            <w:pPr>
              <w:widowControl w:val="0"/>
              <w:autoSpaceDE w:val="0"/>
              <w:autoSpaceDN w:val="0"/>
              <w:adjustRightInd w:val="0"/>
              <w:jc w:val="center"/>
            </w:pPr>
            <w:r w:rsidRPr="00037AD4">
              <w:t>(-0.176 - 0.396)</w:t>
            </w:r>
          </w:p>
        </w:tc>
        <w:tc>
          <w:tcPr>
            <w:tcW w:w="834" w:type="pct"/>
            <w:tcBorders>
              <w:top w:val="nil"/>
              <w:left w:val="nil"/>
              <w:bottom w:val="nil"/>
              <w:right w:val="nil"/>
            </w:tcBorders>
          </w:tcPr>
          <w:p w14:paraId="4820B28A" w14:textId="77777777" w:rsidR="00B54D51" w:rsidRPr="00037AD4" w:rsidRDefault="00B54D51" w:rsidP="00401C67">
            <w:pPr>
              <w:widowControl w:val="0"/>
              <w:autoSpaceDE w:val="0"/>
              <w:autoSpaceDN w:val="0"/>
              <w:adjustRightInd w:val="0"/>
              <w:jc w:val="center"/>
            </w:pPr>
            <w:r w:rsidRPr="00037AD4">
              <w:t>(-0.112 - 0.418)</w:t>
            </w:r>
          </w:p>
        </w:tc>
        <w:tc>
          <w:tcPr>
            <w:tcW w:w="784" w:type="pct"/>
            <w:tcBorders>
              <w:top w:val="nil"/>
              <w:left w:val="nil"/>
              <w:bottom w:val="nil"/>
              <w:right w:val="nil"/>
            </w:tcBorders>
          </w:tcPr>
          <w:p w14:paraId="296E2FCD" w14:textId="77777777" w:rsidR="00B54D51" w:rsidRPr="00037AD4" w:rsidRDefault="00B54D51" w:rsidP="00401C67">
            <w:pPr>
              <w:widowControl w:val="0"/>
              <w:autoSpaceDE w:val="0"/>
              <w:autoSpaceDN w:val="0"/>
              <w:adjustRightInd w:val="0"/>
              <w:jc w:val="center"/>
            </w:pPr>
            <w:r w:rsidRPr="00037AD4">
              <w:t>(0.062 - 0.504)</w:t>
            </w:r>
          </w:p>
        </w:tc>
        <w:tc>
          <w:tcPr>
            <w:tcW w:w="784" w:type="pct"/>
            <w:tcBorders>
              <w:top w:val="nil"/>
              <w:left w:val="nil"/>
              <w:bottom w:val="nil"/>
              <w:right w:val="nil"/>
            </w:tcBorders>
          </w:tcPr>
          <w:p w14:paraId="032C92E2" w14:textId="77777777" w:rsidR="00B54D51" w:rsidRPr="00037AD4" w:rsidRDefault="00B54D51" w:rsidP="00401C67">
            <w:pPr>
              <w:widowControl w:val="0"/>
              <w:autoSpaceDE w:val="0"/>
              <w:autoSpaceDN w:val="0"/>
              <w:adjustRightInd w:val="0"/>
              <w:jc w:val="center"/>
            </w:pPr>
            <w:r w:rsidRPr="00037AD4">
              <w:t>(0.011 - 0.486)</w:t>
            </w:r>
          </w:p>
        </w:tc>
        <w:tc>
          <w:tcPr>
            <w:tcW w:w="786" w:type="pct"/>
            <w:tcBorders>
              <w:top w:val="nil"/>
              <w:left w:val="nil"/>
              <w:bottom w:val="nil"/>
              <w:right w:val="nil"/>
            </w:tcBorders>
          </w:tcPr>
          <w:p w14:paraId="600B9F8C" w14:textId="77777777" w:rsidR="00B54D51" w:rsidRPr="00037AD4" w:rsidRDefault="00B54D51" w:rsidP="00401C67">
            <w:pPr>
              <w:widowControl w:val="0"/>
              <w:autoSpaceDE w:val="0"/>
              <w:autoSpaceDN w:val="0"/>
              <w:adjustRightInd w:val="0"/>
              <w:jc w:val="center"/>
            </w:pPr>
            <w:r w:rsidRPr="00037AD4">
              <w:t>(0.055 - 0.496)</w:t>
            </w:r>
          </w:p>
        </w:tc>
      </w:tr>
      <w:tr w:rsidR="00B54D51" w:rsidRPr="00037AD4" w14:paraId="24BB52FD" w14:textId="77777777" w:rsidTr="00401C67">
        <w:trPr>
          <w:jc w:val="center"/>
        </w:trPr>
        <w:tc>
          <w:tcPr>
            <w:tcW w:w="977" w:type="pct"/>
            <w:tcBorders>
              <w:top w:val="nil"/>
              <w:left w:val="nil"/>
              <w:bottom w:val="nil"/>
              <w:right w:val="nil"/>
            </w:tcBorders>
          </w:tcPr>
          <w:p w14:paraId="1CCDFB4A" w14:textId="77777777" w:rsidR="00B54D51" w:rsidRPr="00037AD4" w:rsidRDefault="00B54D51" w:rsidP="00401C67">
            <w:pPr>
              <w:widowControl w:val="0"/>
              <w:autoSpaceDE w:val="0"/>
              <w:autoSpaceDN w:val="0"/>
              <w:adjustRightInd w:val="0"/>
            </w:pPr>
            <w:r w:rsidRPr="00037AD4">
              <w:t>4.eq2SR_</w:t>
            </w:r>
          </w:p>
        </w:tc>
        <w:tc>
          <w:tcPr>
            <w:tcW w:w="834" w:type="pct"/>
            <w:tcBorders>
              <w:top w:val="nil"/>
              <w:left w:val="nil"/>
              <w:bottom w:val="nil"/>
              <w:right w:val="nil"/>
            </w:tcBorders>
          </w:tcPr>
          <w:p w14:paraId="252DF889" w14:textId="77777777" w:rsidR="00B54D51" w:rsidRPr="00037AD4" w:rsidRDefault="00B54D51" w:rsidP="00401C67">
            <w:pPr>
              <w:widowControl w:val="0"/>
              <w:autoSpaceDE w:val="0"/>
              <w:autoSpaceDN w:val="0"/>
              <w:adjustRightInd w:val="0"/>
              <w:jc w:val="center"/>
            </w:pPr>
            <w:r w:rsidRPr="00037AD4">
              <w:t>-0.047</w:t>
            </w:r>
          </w:p>
        </w:tc>
        <w:tc>
          <w:tcPr>
            <w:tcW w:w="834" w:type="pct"/>
            <w:tcBorders>
              <w:top w:val="nil"/>
              <w:left w:val="nil"/>
              <w:bottom w:val="nil"/>
              <w:right w:val="nil"/>
            </w:tcBorders>
          </w:tcPr>
          <w:p w14:paraId="6FA47184" w14:textId="77777777" w:rsidR="00B54D51" w:rsidRPr="00037AD4" w:rsidRDefault="00B54D51" w:rsidP="00401C67">
            <w:pPr>
              <w:widowControl w:val="0"/>
              <w:autoSpaceDE w:val="0"/>
              <w:autoSpaceDN w:val="0"/>
              <w:adjustRightInd w:val="0"/>
              <w:jc w:val="center"/>
            </w:pPr>
            <w:r w:rsidRPr="00037AD4">
              <w:t>0.025</w:t>
            </w:r>
          </w:p>
        </w:tc>
        <w:tc>
          <w:tcPr>
            <w:tcW w:w="784" w:type="pct"/>
            <w:tcBorders>
              <w:top w:val="nil"/>
              <w:left w:val="nil"/>
              <w:bottom w:val="nil"/>
              <w:right w:val="nil"/>
            </w:tcBorders>
          </w:tcPr>
          <w:p w14:paraId="12A3B550" w14:textId="77777777" w:rsidR="00B54D51" w:rsidRPr="00037AD4" w:rsidRDefault="00B54D51" w:rsidP="00401C67">
            <w:pPr>
              <w:widowControl w:val="0"/>
              <w:autoSpaceDE w:val="0"/>
              <w:autoSpaceDN w:val="0"/>
              <w:adjustRightInd w:val="0"/>
              <w:jc w:val="center"/>
            </w:pPr>
            <w:r w:rsidRPr="00037AD4">
              <w:t>0.419*</w:t>
            </w:r>
          </w:p>
        </w:tc>
        <w:tc>
          <w:tcPr>
            <w:tcW w:w="784" w:type="pct"/>
            <w:tcBorders>
              <w:top w:val="nil"/>
              <w:left w:val="nil"/>
              <w:bottom w:val="nil"/>
              <w:right w:val="nil"/>
            </w:tcBorders>
          </w:tcPr>
          <w:p w14:paraId="2D6F8851" w14:textId="77777777" w:rsidR="00B54D51" w:rsidRPr="00037AD4" w:rsidRDefault="00B54D51" w:rsidP="00401C67">
            <w:pPr>
              <w:widowControl w:val="0"/>
              <w:autoSpaceDE w:val="0"/>
              <w:autoSpaceDN w:val="0"/>
              <w:adjustRightInd w:val="0"/>
              <w:jc w:val="center"/>
            </w:pPr>
            <w:r w:rsidRPr="00037AD4">
              <w:t>0.492**</w:t>
            </w:r>
          </w:p>
        </w:tc>
        <w:tc>
          <w:tcPr>
            <w:tcW w:w="786" w:type="pct"/>
            <w:tcBorders>
              <w:top w:val="nil"/>
              <w:left w:val="nil"/>
              <w:bottom w:val="nil"/>
              <w:right w:val="nil"/>
            </w:tcBorders>
          </w:tcPr>
          <w:p w14:paraId="2ACD657E" w14:textId="77777777" w:rsidR="00B54D51" w:rsidRPr="00037AD4" w:rsidRDefault="00B54D51" w:rsidP="00401C67">
            <w:pPr>
              <w:widowControl w:val="0"/>
              <w:autoSpaceDE w:val="0"/>
              <w:autoSpaceDN w:val="0"/>
              <w:adjustRightInd w:val="0"/>
              <w:jc w:val="center"/>
            </w:pPr>
            <w:r w:rsidRPr="00037AD4">
              <w:t>0.411*</w:t>
            </w:r>
          </w:p>
        </w:tc>
      </w:tr>
      <w:tr w:rsidR="00B54D51" w:rsidRPr="00037AD4" w14:paraId="4EA9EF79" w14:textId="77777777" w:rsidTr="00401C67">
        <w:trPr>
          <w:jc w:val="center"/>
        </w:trPr>
        <w:tc>
          <w:tcPr>
            <w:tcW w:w="977" w:type="pct"/>
            <w:tcBorders>
              <w:top w:val="nil"/>
              <w:left w:val="nil"/>
              <w:bottom w:val="nil"/>
              <w:right w:val="nil"/>
            </w:tcBorders>
          </w:tcPr>
          <w:p w14:paraId="416B80F0" w14:textId="77777777" w:rsidR="00B54D51" w:rsidRPr="00037AD4" w:rsidRDefault="00B54D51" w:rsidP="00401C67">
            <w:pPr>
              <w:widowControl w:val="0"/>
              <w:autoSpaceDE w:val="0"/>
              <w:autoSpaceDN w:val="0"/>
              <w:adjustRightInd w:val="0"/>
            </w:pPr>
          </w:p>
        </w:tc>
        <w:tc>
          <w:tcPr>
            <w:tcW w:w="834" w:type="pct"/>
            <w:tcBorders>
              <w:top w:val="nil"/>
              <w:left w:val="nil"/>
              <w:bottom w:val="nil"/>
              <w:right w:val="nil"/>
            </w:tcBorders>
          </w:tcPr>
          <w:p w14:paraId="543E4689" w14:textId="77777777" w:rsidR="00B54D51" w:rsidRPr="00037AD4" w:rsidRDefault="00B54D51" w:rsidP="00401C67">
            <w:pPr>
              <w:widowControl w:val="0"/>
              <w:autoSpaceDE w:val="0"/>
              <w:autoSpaceDN w:val="0"/>
              <w:adjustRightInd w:val="0"/>
              <w:jc w:val="center"/>
            </w:pPr>
            <w:r w:rsidRPr="00037AD4">
              <w:t xml:space="preserve">(-0.602 - </w:t>
            </w:r>
            <w:r w:rsidRPr="00037AD4">
              <w:lastRenderedPageBreak/>
              <w:t>0.508)</w:t>
            </w:r>
          </w:p>
        </w:tc>
        <w:tc>
          <w:tcPr>
            <w:tcW w:w="834" w:type="pct"/>
            <w:tcBorders>
              <w:top w:val="nil"/>
              <w:left w:val="nil"/>
              <w:bottom w:val="nil"/>
              <w:right w:val="nil"/>
            </w:tcBorders>
          </w:tcPr>
          <w:p w14:paraId="7424DD51" w14:textId="77777777" w:rsidR="00B54D51" w:rsidRPr="00037AD4" w:rsidRDefault="00B54D51" w:rsidP="00401C67">
            <w:pPr>
              <w:widowControl w:val="0"/>
              <w:autoSpaceDE w:val="0"/>
              <w:autoSpaceDN w:val="0"/>
              <w:adjustRightInd w:val="0"/>
              <w:jc w:val="center"/>
            </w:pPr>
            <w:r w:rsidRPr="00037AD4">
              <w:lastRenderedPageBreak/>
              <w:t xml:space="preserve">(-0.503 - </w:t>
            </w:r>
            <w:r w:rsidRPr="00037AD4">
              <w:lastRenderedPageBreak/>
              <w:t>0.552)</w:t>
            </w:r>
          </w:p>
        </w:tc>
        <w:tc>
          <w:tcPr>
            <w:tcW w:w="784" w:type="pct"/>
            <w:tcBorders>
              <w:top w:val="nil"/>
              <w:left w:val="nil"/>
              <w:bottom w:val="nil"/>
              <w:right w:val="nil"/>
            </w:tcBorders>
          </w:tcPr>
          <w:p w14:paraId="454B6DAD" w14:textId="77777777" w:rsidR="00B54D51" w:rsidRPr="00037AD4" w:rsidRDefault="00B54D51" w:rsidP="00401C67">
            <w:pPr>
              <w:widowControl w:val="0"/>
              <w:autoSpaceDE w:val="0"/>
              <w:autoSpaceDN w:val="0"/>
              <w:adjustRightInd w:val="0"/>
              <w:jc w:val="center"/>
            </w:pPr>
            <w:r w:rsidRPr="00037AD4">
              <w:lastRenderedPageBreak/>
              <w:t xml:space="preserve">(-0.012 - </w:t>
            </w:r>
            <w:r w:rsidRPr="00037AD4">
              <w:lastRenderedPageBreak/>
              <w:t>0.851)</w:t>
            </w:r>
          </w:p>
        </w:tc>
        <w:tc>
          <w:tcPr>
            <w:tcW w:w="784" w:type="pct"/>
            <w:tcBorders>
              <w:top w:val="nil"/>
              <w:left w:val="nil"/>
              <w:bottom w:val="nil"/>
              <w:right w:val="nil"/>
            </w:tcBorders>
          </w:tcPr>
          <w:p w14:paraId="79BB6C6C" w14:textId="77777777" w:rsidR="00B54D51" w:rsidRPr="00037AD4" w:rsidRDefault="00B54D51" w:rsidP="00401C67">
            <w:pPr>
              <w:widowControl w:val="0"/>
              <w:autoSpaceDE w:val="0"/>
              <w:autoSpaceDN w:val="0"/>
              <w:adjustRightInd w:val="0"/>
              <w:jc w:val="center"/>
            </w:pPr>
            <w:r w:rsidRPr="00037AD4">
              <w:lastRenderedPageBreak/>
              <w:t xml:space="preserve">(0.073 - </w:t>
            </w:r>
            <w:r w:rsidRPr="00037AD4">
              <w:lastRenderedPageBreak/>
              <w:t>0.911)</w:t>
            </w:r>
          </w:p>
        </w:tc>
        <w:tc>
          <w:tcPr>
            <w:tcW w:w="786" w:type="pct"/>
            <w:tcBorders>
              <w:top w:val="nil"/>
              <w:left w:val="nil"/>
              <w:bottom w:val="nil"/>
              <w:right w:val="nil"/>
            </w:tcBorders>
          </w:tcPr>
          <w:p w14:paraId="263B5EA0" w14:textId="77777777" w:rsidR="00B54D51" w:rsidRPr="00037AD4" w:rsidRDefault="00B54D51" w:rsidP="00401C67">
            <w:pPr>
              <w:widowControl w:val="0"/>
              <w:autoSpaceDE w:val="0"/>
              <w:autoSpaceDN w:val="0"/>
              <w:adjustRightInd w:val="0"/>
              <w:jc w:val="center"/>
            </w:pPr>
            <w:r w:rsidRPr="00037AD4">
              <w:lastRenderedPageBreak/>
              <w:t xml:space="preserve">(-0.025 - </w:t>
            </w:r>
            <w:r w:rsidRPr="00037AD4">
              <w:lastRenderedPageBreak/>
              <w:t>0.846)</w:t>
            </w:r>
          </w:p>
        </w:tc>
      </w:tr>
      <w:tr w:rsidR="00B54D51" w:rsidRPr="00037AD4" w14:paraId="2E3BA032" w14:textId="77777777" w:rsidTr="00401C67">
        <w:trPr>
          <w:jc w:val="center"/>
        </w:trPr>
        <w:tc>
          <w:tcPr>
            <w:tcW w:w="977" w:type="pct"/>
            <w:tcBorders>
              <w:top w:val="nil"/>
              <w:left w:val="nil"/>
              <w:bottom w:val="nil"/>
              <w:right w:val="nil"/>
            </w:tcBorders>
          </w:tcPr>
          <w:p w14:paraId="6854DC81" w14:textId="77777777" w:rsidR="00B54D51" w:rsidRPr="00037AD4" w:rsidRDefault="00B54D51" w:rsidP="00401C67">
            <w:pPr>
              <w:widowControl w:val="0"/>
              <w:autoSpaceDE w:val="0"/>
              <w:autoSpaceDN w:val="0"/>
              <w:adjustRightInd w:val="0"/>
            </w:pPr>
            <w:r w:rsidRPr="00037AD4">
              <w:lastRenderedPageBreak/>
              <w:t>5.eq2SR_</w:t>
            </w:r>
          </w:p>
        </w:tc>
        <w:tc>
          <w:tcPr>
            <w:tcW w:w="834" w:type="pct"/>
            <w:tcBorders>
              <w:top w:val="nil"/>
              <w:left w:val="nil"/>
              <w:bottom w:val="nil"/>
              <w:right w:val="nil"/>
            </w:tcBorders>
          </w:tcPr>
          <w:p w14:paraId="1A9C421E" w14:textId="77777777" w:rsidR="00B54D51" w:rsidRPr="00037AD4" w:rsidRDefault="00B54D51" w:rsidP="00401C67">
            <w:pPr>
              <w:widowControl w:val="0"/>
              <w:autoSpaceDE w:val="0"/>
              <w:autoSpaceDN w:val="0"/>
              <w:adjustRightInd w:val="0"/>
              <w:jc w:val="center"/>
            </w:pPr>
            <w:r w:rsidRPr="00037AD4">
              <w:t>-0.161</w:t>
            </w:r>
          </w:p>
        </w:tc>
        <w:tc>
          <w:tcPr>
            <w:tcW w:w="834" w:type="pct"/>
            <w:tcBorders>
              <w:top w:val="nil"/>
              <w:left w:val="nil"/>
              <w:bottom w:val="nil"/>
              <w:right w:val="nil"/>
            </w:tcBorders>
          </w:tcPr>
          <w:p w14:paraId="77A13909" w14:textId="77777777" w:rsidR="00B54D51" w:rsidRPr="00037AD4" w:rsidRDefault="00B54D51" w:rsidP="00401C67">
            <w:pPr>
              <w:widowControl w:val="0"/>
              <w:autoSpaceDE w:val="0"/>
              <w:autoSpaceDN w:val="0"/>
              <w:adjustRightInd w:val="0"/>
              <w:jc w:val="center"/>
            </w:pPr>
            <w:r w:rsidRPr="00037AD4">
              <w:t>0.241</w:t>
            </w:r>
          </w:p>
        </w:tc>
        <w:tc>
          <w:tcPr>
            <w:tcW w:w="784" w:type="pct"/>
            <w:tcBorders>
              <w:top w:val="nil"/>
              <w:left w:val="nil"/>
              <w:bottom w:val="nil"/>
              <w:right w:val="nil"/>
            </w:tcBorders>
          </w:tcPr>
          <w:p w14:paraId="7F15FAB0" w14:textId="77777777" w:rsidR="00B54D51" w:rsidRPr="00037AD4" w:rsidRDefault="00B54D51" w:rsidP="00401C67">
            <w:pPr>
              <w:widowControl w:val="0"/>
              <w:autoSpaceDE w:val="0"/>
              <w:autoSpaceDN w:val="0"/>
              <w:adjustRightInd w:val="0"/>
              <w:jc w:val="center"/>
            </w:pPr>
            <w:r w:rsidRPr="00037AD4">
              <w:t>0.589*</w:t>
            </w:r>
          </w:p>
        </w:tc>
        <w:tc>
          <w:tcPr>
            <w:tcW w:w="784" w:type="pct"/>
            <w:tcBorders>
              <w:top w:val="nil"/>
              <w:left w:val="nil"/>
              <w:bottom w:val="nil"/>
              <w:right w:val="nil"/>
            </w:tcBorders>
          </w:tcPr>
          <w:p w14:paraId="093F2BD9" w14:textId="77777777" w:rsidR="00B54D51" w:rsidRPr="00037AD4" w:rsidRDefault="00B54D51" w:rsidP="00401C67">
            <w:pPr>
              <w:widowControl w:val="0"/>
              <w:autoSpaceDE w:val="0"/>
              <w:autoSpaceDN w:val="0"/>
              <w:adjustRightInd w:val="0"/>
              <w:jc w:val="center"/>
            </w:pPr>
            <w:r w:rsidRPr="00037AD4">
              <w:t>0.565*</w:t>
            </w:r>
          </w:p>
        </w:tc>
        <w:tc>
          <w:tcPr>
            <w:tcW w:w="786" w:type="pct"/>
            <w:tcBorders>
              <w:top w:val="nil"/>
              <w:left w:val="nil"/>
              <w:bottom w:val="nil"/>
              <w:right w:val="nil"/>
            </w:tcBorders>
          </w:tcPr>
          <w:p w14:paraId="5781EBB0" w14:textId="77777777" w:rsidR="00B54D51" w:rsidRPr="00037AD4" w:rsidRDefault="00B54D51" w:rsidP="00401C67">
            <w:pPr>
              <w:widowControl w:val="0"/>
              <w:autoSpaceDE w:val="0"/>
              <w:autoSpaceDN w:val="0"/>
              <w:adjustRightInd w:val="0"/>
              <w:jc w:val="center"/>
            </w:pPr>
            <w:r w:rsidRPr="00037AD4">
              <w:t>0.633*</w:t>
            </w:r>
          </w:p>
        </w:tc>
      </w:tr>
      <w:tr w:rsidR="00B54D51" w:rsidRPr="00037AD4" w14:paraId="5288FE1E" w14:textId="77777777" w:rsidTr="00401C67">
        <w:trPr>
          <w:jc w:val="center"/>
        </w:trPr>
        <w:tc>
          <w:tcPr>
            <w:tcW w:w="977" w:type="pct"/>
            <w:tcBorders>
              <w:top w:val="nil"/>
              <w:left w:val="nil"/>
              <w:bottom w:val="nil"/>
              <w:right w:val="nil"/>
            </w:tcBorders>
          </w:tcPr>
          <w:p w14:paraId="407D6F29" w14:textId="77777777" w:rsidR="00B54D51" w:rsidRPr="00037AD4" w:rsidRDefault="00B54D51" w:rsidP="00401C67">
            <w:pPr>
              <w:widowControl w:val="0"/>
              <w:autoSpaceDE w:val="0"/>
              <w:autoSpaceDN w:val="0"/>
              <w:adjustRightInd w:val="0"/>
            </w:pPr>
          </w:p>
        </w:tc>
        <w:tc>
          <w:tcPr>
            <w:tcW w:w="834" w:type="pct"/>
            <w:tcBorders>
              <w:top w:val="nil"/>
              <w:left w:val="nil"/>
              <w:bottom w:val="nil"/>
              <w:right w:val="nil"/>
            </w:tcBorders>
          </w:tcPr>
          <w:p w14:paraId="271E5F4C" w14:textId="77777777" w:rsidR="00B54D51" w:rsidRPr="00037AD4" w:rsidRDefault="00B54D51" w:rsidP="00401C67">
            <w:pPr>
              <w:widowControl w:val="0"/>
              <w:autoSpaceDE w:val="0"/>
              <w:autoSpaceDN w:val="0"/>
              <w:adjustRightInd w:val="0"/>
              <w:jc w:val="center"/>
            </w:pPr>
            <w:r w:rsidRPr="00037AD4">
              <w:t>(-0.903 - 0.581)</w:t>
            </w:r>
          </w:p>
        </w:tc>
        <w:tc>
          <w:tcPr>
            <w:tcW w:w="834" w:type="pct"/>
            <w:tcBorders>
              <w:top w:val="nil"/>
              <w:left w:val="nil"/>
              <w:bottom w:val="nil"/>
              <w:right w:val="nil"/>
            </w:tcBorders>
          </w:tcPr>
          <w:p w14:paraId="533AB38F" w14:textId="77777777" w:rsidR="00B54D51" w:rsidRPr="00037AD4" w:rsidRDefault="00B54D51" w:rsidP="00401C67">
            <w:pPr>
              <w:widowControl w:val="0"/>
              <w:autoSpaceDE w:val="0"/>
              <w:autoSpaceDN w:val="0"/>
              <w:adjustRightInd w:val="0"/>
              <w:jc w:val="center"/>
            </w:pPr>
            <w:r w:rsidRPr="00037AD4">
              <w:t>(-0.367 - 0.848)</w:t>
            </w:r>
          </w:p>
        </w:tc>
        <w:tc>
          <w:tcPr>
            <w:tcW w:w="784" w:type="pct"/>
            <w:tcBorders>
              <w:top w:val="nil"/>
              <w:left w:val="nil"/>
              <w:bottom w:val="nil"/>
              <w:right w:val="nil"/>
            </w:tcBorders>
          </w:tcPr>
          <w:p w14:paraId="0E0763B2" w14:textId="77777777" w:rsidR="00B54D51" w:rsidRPr="00037AD4" w:rsidRDefault="00B54D51" w:rsidP="00401C67">
            <w:pPr>
              <w:widowControl w:val="0"/>
              <w:autoSpaceDE w:val="0"/>
              <w:autoSpaceDN w:val="0"/>
              <w:adjustRightInd w:val="0"/>
              <w:jc w:val="center"/>
            </w:pPr>
            <w:r w:rsidRPr="00037AD4">
              <w:t>(-0.082 - 1.261)</w:t>
            </w:r>
          </w:p>
        </w:tc>
        <w:tc>
          <w:tcPr>
            <w:tcW w:w="784" w:type="pct"/>
            <w:tcBorders>
              <w:top w:val="nil"/>
              <w:left w:val="nil"/>
              <w:bottom w:val="nil"/>
              <w:right w:val="nil"/>
            </w:tcBorders>
          </w:tcPr>
          <w:p w14:paraId="4C8868F9" w14:textId="77777777" w:rsidR="00B54D51" w:rsidRPr="00037AD4" w:rsidRDefault="00B54D51" w:rsidP="00401C67">
            <w:pPr>
              <w:widowControl w:val="0"/>
              <w:autoSpaceDE w:val="0"/>
              <w:autoSpaceDN w:val="0"/>
              <w:adjustRightInd w:val="0"/>
              <w:jc w:val="center"/>
            </w:pPr>
            <w:r w:rsidRPr="00037AD4">
              <w:t>(-0.088 - 1.219)</w:t>
            </w:r>
          </w:p>
        </w:tc>
        <w:tc>
          <w:tcPr>
            <w:tcW w:w="786" w:type="pct"/>
            <w:tcBorders>
              <w:top w:val="nil"/>
              <w:left w:val="nil"/>
              <w:bottom w:val="nil"/>
              <w:right w:val="nil"/>
            </w:tcBorders>
          </w:tcPr>
          <w:p w14:paraId="282FF2F9" w14:textId="77777777" w:rsidR="00B54D51" w:rsidRPr="00037AD4" w:rsidRDefault="00B54D51" w:rsidP="00401C67">
            <w:pPr>
              <w:widowControl w:val="0"/>
              <w:autoSpaceDE w:val="0"/>
              <w:autoSpaceDN w:val="0"/>
              <w:adjustRightInd w:val="0"/>
              <w:jc w:val="center"/>
            </w:pPr>
            <w:r w:rsidRPr="00037AD4">
              <w:t>(-0.003 - 1.270)</w:t>
            </w:r>
          </w:p>
        </w:tc>
      </w:tr>
      <w:tr w:rsidR="00B54D51" w:rsidRPr="00037AD4" w14:paraId="7E3F81F8" w14:textId="77777777" w:rsidTr="00401C67">
        <w:trPr>
          <w:jc w:val="center"/>
        </w:trPr>
        <w:tc>
          <w:tcPr>
            <w:tcW w:w="977" w:type="pct"/>
            <w:tcBorders>
              <w:top w:val="nil"/>
              <w:left w:val="nil"/>
              <w:bottom w:val="nil"/>
              <w:right w:val="nil"/>
            </w:tcBorders>
          </w:tcPr>
          <w:p w14:paraId="6C899F8F" w14:textId="77777777" w:rsidR="00B54D51" w:rsidRPr="00037AD4" w:rsidRDefault="00B54D51" w:rsidP="00401C67">
            <w:pPr>
              <w:widowControl w:val="0"/>
              <w:autoSpaceDE w:val="0"/>
              <w:autoSpaceDN w:val="0"/>
              <w:adjustRightInd w:val="0"/>
            </w:pPr>
            <w:r w:rsidRPr="00037AD4">
              <w:t>2.eq1SR_</w:t>
            </w:r>
          </w:p>
        </w:tc>
        <w:tc>
          <w:tcPr>
            <w:tcW w:w="834" w:type="pct"/>
            <w:tcBorders>
              <w:top w:val="nil"/>
              <w:left w:val="nil"/>
              <w:bottom w:val="nil"/>
              <w:right w:val="nil"/>
            </w:tcBorders>
          </w:tcPr>
          <w:p w14:paraId="76BB28E8" w14:textId="77777777" w:rsidR="00B54D51" w:rsidRPr="00037AD4" w:rsidRDefault="00B54D51" w:rsidP="00401C67">
            <w:pPr>
              <w:widowControl w:val="0"/>
              <w:autoSpaceDE w:val="0"/>
              <w:autoSpaceDN w:val="0"/>
              <w:adjustRightInd w:val="0"/>
              <w:jc w:val="center"/>
            </w:pPr>
            <w:r w:rsidRPr="00037AD4">
              <w:t>-0.140</w:t>
            </w:r>
          </w:p>
        </w:tc>
        <w:tc>
          <w:tcPr>
            <w:tcW w:w="834" w:type="pct"/>
            <w:tcBorders>
              <w:top w:val="nil"/>
              <w:left w:val="nil"/>
              <w:bottom w:val="nil"/>
              <w:right w:val="nil"/>
            </w:tcBorders>
          </w:tcPr>
          <w:p w14:paraId="051D4525" w14:textId="77777777" w:rsidR="00B54D51" w:rsidRPr="00037AD4" w:rsidRDefault="00B54D51" w:rsidP="00401C67">
            <w:pPr>
              <w:widowControl w:val="0"/>
              <w:autoSpaceDE w:val="0"/>
              <w:autoSpaceDN w:val="0"/>
              <w:adjustRightInd w:val="0"/>
              <w:jc w:val="center"/>
            </w:pPr>
            <w:r w:rsidRPr="00037AD4">
              <w:t>-0.160</w:t>
            </w:r>
          </w:p>
        </w:tc>
        <w:tc>
          <w:tcPr>
            <w:tcW w:w="784" w:type="pct"/>
            <w:tcBorders>
              <w:top w:val="nil"/>
              <w:left w:val="nil"/>
              <w:bottom w:val="nil"/>
              <w:right w:val="nil"/>
            </w:tcBorders>
          </w:tcPr>
          <w:p w14:paraId="4EF24F78" w14:textId="77777777" w:rsidR="00B54D51" w:rsidRPr="00037AD4" w:rsidRDefault="00B54D51" w:rsidP="00401C67">
            <w:pPr>
              <w:widowControl w:val="0"/>
              <w:autoSpaceDE w:val="0"/>
              <w:autoSpaceDN w:val="0"/>
              <w:adjustRightInd w:val="0"/>
              <w:jc w:val="center"/>
            </w:pPr>
          </w:p>
        </w:tc>
        <w:tc>
          <w:tcPr>
            <w:tcW w:w="784" w:type="pct"/>
            <w:tcBorders>
              <w:top w:val="nil"/>
              <w:left w:val="nil"/>
              <w:bottom w:val="nil"/>
              <w:right w:val="nil"/>
            </w:tcBorders>
          </w:tcPr>
          <w:p w14:paraId="40DF7CD2" w14:textId="77777777" w:rsidR="00B54D51" w:rsidRPr="00037AD4" w:rsidRDefault="00B54D51" w:rsidP="00401C67">
            <w:pPr>
              <w:widowControl w:val="0"/>
              <w:autoSpaceDE w:val="0"/>
              <w:autoSpaceDN w:val="0"/>
              <w:adjustRightInd w:val="0"/>
              <w:jc w:val="center"/>
            </w:pPr>
          </w:p>
        </w:tc>
        <w:tc>
          <w:tcPr>
            <w:tcW w:w="786" w:type="pct"/>
            <w:tcBorders>
              <w:top w:val="nil"/>
              <w:left w:val="nil"/>
              <w:bottom w:val="nil"/>
              <w:right w:val="nil"/>
            </w:tcBorders>
          </w:tcPr>
          <w:p w14:paraId="58C4500A" w14:textId="77777777" w:rsidR="00B54D51" w:rsidRPr="00037AD4" w:rsidRDefault="00B54D51" w:rsidP="00401C67">
            <w:pPr>
              <w:widowControl w:val="0"/>
              <w:autoSpaceDE w:val="0"/>
              <w:autoSpaceDN w:val="0"/>
              <w:adjustRightInd w:val="0"/>
              <w:jc w:val="center"/>
            </w:pPr>
          </w:p>
        </w:tc>
      </w:tr>
      <w:tr w:rsidR="00B54D51" w:rsidRPr="00037AD4" w14:paraId="0D9C5019" w14:textId="77777777" w:rsidTr="00401C67">
        <w:trPr>
          <w:jc w:val="center"/>
        </w:trPr>
        <w:tc>
          <w:tcPr>
            <w:tcW w:w="977" w:type="pct"/>
            <w:tcBorders>
              <w:top w:val="nil"/>
              <w:left w:val="nil"/>
              <w:bottom w:val="nil"/>
              <w:right w:val="nil"/>
            </w:tcBorders>
          </w:tcPr>
          <w:p w14:paraId="656A0E56" w14:textId="77777777" w:rsidR="00B54D51" w:rsidRPr="00037AD4" w:rsidRDefault="00B54D51" w:rsidP="00401C67">
            <w:pPr>
              <w:widowControl w:val="0"/>
              <w:autoSpaceDE w:val="0"/>
              <w:autoSpaceDN w:val="0"/>
              <w:adjustRightInd w:val="0"/>
            </w:pPr>
          </w:p>
        </w:tc>
        <w:tc>
          <w:tcPr>
            <w:tcW w:w="834" w:type="pct"/>
            <w:tcBorders>
              <w:top w:val="nil"/>
              <w:left w:val="nil"/>
              <w:bottom w:val="nil"/>
              <w:right w:val="nil"/>
            </w:tcBorders>
          </w:tcPr>
          <w:p w14:paraId="30B4F433" w14:textId="77777777" w:rsidR="00B54D51" w:rsidRPr="00037AD4" w:rsidRDefault="00B54D51" w:rsidP="00401C67">
            <w:pPr>
              <w:widowControl w:val="0"/>
              <w:autoSpaceDE w:val="0"/>
              <w:autoSpaceDN w:val="0"/>
              <w:adjustRightInd w:val="0"/>
              <w:jc w:val="center"/>
            </w:pPr>
            <w:r w:rsidRPr="00037AD4">
              <w:t>(-0.380 - 0.100)</w:t>
            </w:r>
          </w:p>
        </w:tc>
        <w:tc>
          <w:tcPr>
            <w:tcW w:w="834" w:type="pct"/>
            <w:tcBorders>
              <w:top w:val="nil"/>
              <w:left w:val="nil"/>
              <w:bottom w:val="nil"/>
              <w:right w:val="nil"/>
            </w:tcBorders>
          </w:tcPr>
          <w:p w14:paraId="29092524" w14:textId="77777777" w:rsidR="00B54D51" w:rsidRPr="00037AD4" w:rsidRDefault="00B54D51" w:rsidP="00401C67">
            <w:pPr>
              <w:widowControl w:val="0"/>
              <w:autoSpaceDE w:val="0"/>
              <w:autoSpaceDN w:val="0"/>
              <w:adjustRightInd w:val="0"/>
              <w:jc w:val="center"/>
            </w:pPr>
            <w:r w:rsidRPr="00037AD4">
              <w:t>(-0.385 - 0.066)</w:t>
            </w:r>
          </w:p>
        </w:tc>
        <w:tc>
          <w:tcPr>
            <w:tcW w:w="784" w:type="pct"/>
            <w:tcBorders>
              <w:top w:val="nil"/>
              <w:left w:val="nil"/>
              <w:bottom w:val="nil"/>
              <w:right w:val="nil"/>
            </w:tcBorders>
          </w:tcPr>
          <w:p w14:paraId="5EE29D09" w14:textId="77777777" w:rsidR="00B54D51" w:rsidRPr="00037AD4" w:rsidRDefault="00B54D51" w:rsidP="00401C67">
            <w:pPr>
              <w:widowControl w:val="0"/>
              <w:autoSpaceDE w:val="0"/>
              <w:autoSpaceDN w:val="0"/>
              <w:adjustRightInd w:val="0"/>
              <w:jc w:val="center"/>
            </w:pPr>
          </w:p>
        </w:tc>
        <w:tc>
          <w:tcPr>
            <w:tcW w:w="784" w:type="pct"/>
            <w:tcBorders>
              <w:top w:val="nil"/>
              <w:left w:val="nil"/>
              <w:bottom w:val="nil"/>
              <w:right w:val="nil"/>
            </w:tcBorders>
          </w:tcPr>
          <w:p w14:paraId="36AF3CA2" w14:textId="77777777" w:rsidR="00B54D51" w:rsidRPr="00037AD4" w:rsidRDefault="00B54D51" w:rsidP="00401C67">
            <w:pPr>
              <w:widowControl w:val="0"/>
              <w:autoSpaceDE w:val="0"/>
              <w:autoSpaceDN w:val="0"/>
              <w:adjustRightInd w:val="0"/>
              <w:jc w:val="center"/>
            </w:pPr>
          </w:p>
        </w:tc>
        <w:tc>
          <w:tcPr>
            <w:tcW w:w="786" w:type="pct"/>
            <w:tcBorders>
              <w:top w:val="nil"/>
              <w:left w:val="nil"/>
              <w:bottom w:val="nil"/>
              <w:right w:val="nil"/>
            </w:tcBorders>
          </w:tcPr>
          <w:p w14:paraId="7BB5EEEF" w14:textId="77777777" w:rsidR="00B54D51" w:rsidRPr="00037AD4" w:rsidRDefault="00B54D51" w:rsidP="00401C67">
            <w:pPr>
              <w:widowControl w:val="0"/>
              <w:autoSpaceDE w:val="0"/>
              <w:autoSpaceDN w:val="0"/>
              <w:adjustRightInd w:val="0"/>
              <w:jc w:val="center"/>
            </w:pPr>
          </w:p>
        </w:tc>
      </w:tr>
      <w:tr w:rsidR="00B54D51" w:rsidRPr="00037AD4" w14:paraId="4E95E5AD" w14:textId="77777777" w:rsidTr="00401C67">
        <w:trPr>
          <w:jc w:val="center"/>
        </w:trPr>
        <w:tc>
          <w:tcPr>
            <w:tcW w:w="977" w:type="pct"/>
            <w:tcBorders>
              <w:top w:val="nil"/>
              <w:left w:val="nil"/>
              <w:bottom w:val="nil"/>
              <w:right w:val="nil"/>
            </w:tcBorders>
          </w:tcPr>
          <w:p w14:paraId="40B97991" w14:textId="77777777" w:rsidR="00B54D51" w:rsidRPr="00037AD4" w:rsidRDefault="00B54D51" w:rsidP="00401C67">
            <w:pPr>
              <w:widowControl w:val="0"/>
              <w:autoSpaceDE w:val="0"/>
              <w:autoSpaceDN w:val="0"/>
              <w:adjustRightInd w:val="0"/>
            </w:pPr>
            <w:r w:rsidRPr="00037AD4">
              <w:t>3.eq1SR_</w:t>
            </w:r>
          </w:p>
        </w:tc>
        <w:tc>
          <w:tcPr>
            <w:tcW w:w="834" w:type="pct"/>
            <w:tcBorders>
              <w:top w:val="nil"/>
              <w:left w:val="nil"/>
              <w:bottom w:val="nil"/>
              <w:right w:val="nil"/>
            </w:tcBorders>
          </w:tcPr>
          <w:p w14:paraId="26798924" w14:textId="77777777" w:rsidR="00B54D51" w:rsidRPr="00037AD4" w:rsidRDefault="00B54D51" w:rsidP="00401C67">
            <w:pPr>
              <w:widowControl w:val="0"/>
              <w:autoSpaceDE w:val="0"/>
              <w:autoSpaceDN w:val="0"/>
              <w:adjustRightInd w:val="0"/>
              <w:jc w:val="center"/>
            </w:pPr>
            <w:r w:rsidRPr="00037AD4">
              <w:t>-0.311*</w:t>
            </w:r>
          </w:p>
        </w:tc>
        <w:tc>
          <w:tcPr>
            <w:tcW w:w="834" w:type="pct"/>
            <w:tcBorders>
              <w:top w:val="nil"/>
              <w:left w:val="nil"/>
              <w:bottom w:val="nil"/>
              <w:right w:val="nil"/>
            </w:tcBorders>
          </w:tcPr>
          <w:p w14:paraId="1F8EFF46" w14:textId="77777777" w:rsidR="00B54D51" w:rsidRPr="00037AD4" w:rsidRDefault="00B54D51" w:rsidP="00401C67">
            <w:pPr>
              <w:widowControl w:val="0"/>
              <w:autoSpaceDE w:val="0"/>
              <w:autoSpaceDN w:val="0"/>
              <w:adjustRightInd w:val="0"/>
              <w:jc w:val="center"/>
            </w:pPr>
            <w:r w:rsidRPr="00037AD4">
              <w:t>-0.311**</w:t>
            </w:r>
          </w:p>
        </w:tc>
        <w:tc>
          <w:tcPr>
            <w:tcW w:w="784" w:type="pct"/>
            <w:tcBorders>
              <w:top w:val="nil"/>
              <w:left w:val="nil"/>
              <w:bottom w:val="nil"/>
              <w:right w:val="nil"/>
            </w:tcBorders>
          </w:tcPr>
          <w:p w14:paraId="4BE3E810" w14:textId="77777777" w:rsidR="00B54D51" w:rsidRPr="00037AD4" w:rsidRDefault="00B54D51" w:rsidP="00401C67">
            <w:pPr>
              <w:widowControl w:val="0"/>
              <w:autoSpaceDE w:val="0"/>
              <w:autoSpaceDN w:val="0"/>
              <w:adjustRightInd w:val="0"/>
              <w:jc w:val="center"/>
            </w:pPr>
          </w:p>
        </w:tc>
        <w:tc>
          <w:tcPr>
            <w:tcW w:w="784" w:type="pct"/>
            <w:tcBorders>
              <w:top w:val="nil"/>
              <w:left w:val="nil"/>
              <w:bottom w:val="nil"/>
              <w:right w:val="nil"/>
            </w:tcBorders>
          </w:tcPr>
          <w:p w14:paraId="014A7A2B" w14:textId="77777777" w:rsidR="00B54D51" w:rsidRPr="00037AD4" w:rsidRDefault="00B54D51" w:rsidP="00401C67">
            <w:pPr>
              <w:widowControl w:val="0"/>
              <w:autoSpaceDE w:val="0"/>
              <w:autoSpaceDN w:val="0"/>
              <w:adjustRightInd w:val="0"/>
              <w:jc w:val="center"/>
            </w:pPr>
          </w:p>
        </w:tc>
        <w:tc>
          <w:tcPr>
            <w:tcW w:w="786" w:type="pct"/>
            <w:tcBorders>
              <w:top w:val="nil"/>
              <w:left w:val="nil"/>
              <w:bottom w:val="nil"/>
              <w:right w:val="nil"/>
            </w:tcBorders>
          </w:tcPr>
          <w:p w14:paraId="213D7A9F" w14:textId="77777777" w:rsidR="00B54D51" w:rsidRPr="00037AD4" w:rsidRDefault="00B54D51" w:rsidP="00401C67">
            <w:pPr>
              <w:widowControl w:val="0"/>
              <w:autoSpaceDE w:val="0"/>
              <w:autoSpaceDN w:val="0"/>
              <w:adjustRightInd w:val="0"/>
              <w:jc w:val="center"/>
            </w:pPr>
          </w:p>
        </w:tc>
      </w:tr>
      <w:tr w:rsidR="00B54D51" w:rsidRPr="00037AD4" w14:paraId="45F95A2E" w14:textId="77777777" w:rsidTr="00401C67">
        <w:trPr>
          <w:jc w:val="center"/>
        </w:trPr>
        <w:tc>
          <w:tcPr>
            <w:tcW w:w="977" w:type="pct"/>
            <w:tcBorders>
              <w:top w:val="nil"/>
              <w:left w:val="nil"/>
              <w:bottom w:val="nil"/>
              <w:right w:val="nil"/>
            </w:tcBorders>
          </w:tcPr>
          <w:p w14:paraId="679900DD" w14:textId="77777777" w:rsidR="00B54D51" w:rsidRPr="00037AD4" w:rsidRDefault="00B54D51" w:rsidP="00401C67">
            <w:pPr>
              <w:widowControl w:val="0"/>
              <w:autoSpaceDE w:val="0"/>
              <w:autoSpaceDN w:val="0"/>
              <w:adjustRightInd w:val="0"/>
            </w:pPr>
          </w:p>
        </w:tc>
        <w:tc>
          <w:tcPr>
            <w:tcW w:w="834" w:type="pct"/>
            <w:tcBorders>
              <w:top w:val="nil"/>
              <w:left w:val="nil"/>
              <w:bottom w:val="nil"/>
              <w:right w:val="nil"/>
            </w:tcBorders>
          </w:tcPr>
          <w:p w14:paraId="73C30CBA" w14:textId="77777777" w:rsidR="00B54D51" w:rsidRPr="00037AD4" w:rsidRDefault="00B54D51" w:rsidP="00401C67">
            <w:pPr>
              <w:widowControl w:val="0"/>
              <w:autoSpaceDE w:val="0"/>
              <w:autoSpaceDN w:val="0"/>
              <w:adjustRightInd w:val="0"/>
              <w:jc w:val="center"/>
            </w:pPr>
            <w:r w:rsidRPr="00037AD4">
              <w:t>(-0.626 - 0.004)</w:t>
            </w:r>
          </w:p>
        </w:tc>
        <w:tc>
          <w:tcPr>
            <w:tcW w:w="834" w:type="pct"/>
            <w:tcBorders>
              <w:top w:val="nil"/>
              <w:left w:val="nil"/>
              <w:bottom w:val="nil"/>
              <w:right w:val="nil"/>
            </w:tcBorders>
          </w:tcPr>
          <w:p w14:paraId="1CCC31BC" w14:textId="77777777" w:rsidR="00B54D51" w:rsidRPr="00037AD4" w:rsidRDefault="00B54D51" w:rsidP="00401C67">
            <w:pPr>
              <w:widowControl w:val="0"/>
              <w:autoSpaceDE w:val="0"/>
              <w:autoSpaceDN w:val="0"/>
              <w:adjustRightInd w:val="0"/>
              <w:jc w:val="center"/>
            </w:pPr>
            <w:r w:rsidRPr="00037AD4">
              <w:t>(-0.599 - -0.022)</w:t>
            </w:r>
          </w:p>
        </w:tc>
        <w:tc>
          <w:tcPr>
            <w:tcW w:w="784" w:type="pct"/>
            <w:tcBorders>
              <w:top w:val="nil"/>
              <w:left w:val="nil"/>
              <w:bottom w:val="nil"/>
              <w:right w:val="nil"/>
            </w:tcBorders>
          </w:tcPr>
          <w:p w14:paraId="609CBE01" w14:textId="77777777" w:rsidR="00B54D51" w:rsidRPr="00037AD4" w:rsidRDefault="00B54D51" w:rsidP="00401C67">
            <w:pPr>
              <w:widowControl w:val="0"/>
              <w:autoSpaceDE w:val="0"/>
              <w:autoSpaceDN w:val="0"/>
              <w:adjustRightInd w:val="0"/>
              <w:jc w:val="center"/>
            </w:pPr>
          </w:p>
        </w:tc>
        <w:tc>
          <w:tcPr>
            <w:tcW w:w="784" w:type="pct"/>
            <w:tcBorders>
              <w:top w:val="nil"/>
              <w:left w:val="nil"/>
              <w:bottom w:val="nil"/>
              <w:right w:val="nil"/>
            </w:tcBorders>
          </w:tcPr>
          <w:p w14:paraId="78321BDA" w14:textId="77777777" w:rsidR="00B54D51" w:rsidRPr="00037AD4" w:rsidRDefault="00B54D51" w:rsidP="00401C67">
            <w:pPr>
              <w:widowControl w:val="0"/>
              <w:autoSpaceDE w:val="0"/>
              <w:autoSpaceDN w:val="0"/>
              <w:adjustRightInd w:val="0"/>
              <w:jc w:val="center"/>
            </w:pPr>
          </w:p>
        </w:tc>
        <w:tc>
          <w:tcPr>
            <w:tcW w:w="786" w:type="pct"/>
            <w:tcBorders>
              <w:top w:val="nil"/>
              <w:left w:val="nil"/>
              <w:bottom w:val="nil"/>
              <w:right w:val="nil"/>
            </w:tcBorders>
          </w:tcPr>
          <w:p w14:paraId="35638530" w14:textId="77777777" w:rsidR="00B54D51" w:rsidRPr="00037AD4" w:rsidRDefault="00B54D51" w:rsidP="00401C67">
            <w:pPr>
              <w:widowControl w:val="0"/>
              <w:autoSpaceDE w:val="0"/>
              <w:autoSpaceDN w:val="0"/>
              <w:adjustRightInd w:val="0"/>
              <w:jc w:val="center"/>
            </w:pPr>
          </w:p>
        </w:tc>
      </w:tr>
      <w:tr w:rsidR="00B54D51" w:rsidRPr="00037AD4" w14:paraId="57A7BE62" w14:textId="77777777" w:rsidTr="00401C67">
        <w:trPr>
          <w:jc w:val="center"/>
        </w:trPr>
        <w:tc>
          <w:tcPr>
            <w:tcW w:w="977" w:type="pct"/>
            <w:tcBorders>
              <w:top w:val="nil"/>
              <w:left w:val="nil"/>
              <w:bottom w:val="nil"/>
              <w:right w:val="nil"/>
            </w:tcBorders>
          </w:tcPr>
          <w:p w14:paraId="0A056517" w14:textId="77777777" w:rsidR="00B54D51" w:rsidRPr="00037AD4" w:rsidRDefault="00B54D51" w:rsidP="00401C67">
            <w:pPr>
              <w:widowControl w:val="0"/>
              <w:autoSpaceDE w:val="0"/>
              <w:autoSpaceDN w:val="0"/>
              <w:adjustRightInd w:val="0"/>
            </w:pPr>
            <w:r w:rsidRPr="00037AD4">
              <w:t>4.eq1SR_</w:t>
            </w:r>
          </w:p>
        </w:tc>
        <w:tc>
          <w:tcPr>
            <w:tcW w:w="834" w:type="pct"/>
            <w:tcBorders>
              <w:top w:val="nil"/>
              <w:left w:val="nil"/>
              <w:bottom w:val="nil"/>
              <w:right w:val="nil"/>
            </w:tcBorders>
          </w:tcPr>
          <w:p w14:paraId="0C03D6AF" w14:textId="77777777" w:rsidR="00B54D51" w:rsidRPr="00037AD4" w:rsidRDefault="00B54D51" w:rsidP="00401C67">
            <w:pPr>
              <w:widowControl w:val="0"/>
              <w:autoSpaceDE w:val="0"/>
              <w:autoSpaceDN w:val="0"/>
              <w:adjustRightInd w:val="0"/>
              <w:jc w:val="center"/>
            </w:pPr>
            <w:r w:rsidRPr="00037AD4">
              <w:t>0.449**</w:t>
            </w:r>
          </w:p>
        </w:tc>
        <w:tc>
          <w:tcPr>
            <w:tcW w:w="834" w:type="pct"/>
            <w:tcBorders>
              <w:top w:val="nil"/>
              <w:left w:val="nil"/>
              <w:bottom w:val="nil"/>
              <w:right w:val="nil"/>
            </w:tcBorders>
          </w:tcPr>
          <w:p w14:paraId="0A4FBB50" w14:textId="77777777" w:rsidR="00B54D51" w:rsidRPr="00037AD4" w:rsidRDefault="00B54D51" w:rsidP="00401C67">
            <w:pPr>
              <w:widowControl w:val="0"/>
              <w:autoSpaceDE w:val="0"/>
              <w:autoSpaceDN w:val="0"/>
              <w:adjustRightInd w:val="0"/>
              <w:jc w:val="center"/>
            </w:pPr>
            <w:r w:rsidRPr="00037AD4">
              <w:t>0.507***</w:t>
            </w:r>
          </w:p>
        </w:tc>
        <w:tc>
          <w:tcPr>
            <w:tcW w:w="784" w:type="pct"/>
            <w:tcBorders>
              <w:top w:val="nil"/>
              <w:left w:val="nil"/>
              <w:bottom w:val="nil"/>
              <w:right w:val="nil"/>
            </w:tcBorders>
          </w:tcPr>
          <w:p w14:paraId="2FD1A755" w14:textId="77777777" w:rsidR="00B54D51" w:rsidRPr="00037AD4" w:rsidRDefault="00B54D51" w:rsidP="00401C67">
            <w:pPr>
              <w:widowControl w:val="0"/>
              <w:autoSpaceDE w:val="0"/>
              <w:autoSpaceDN w:val="0"/>
              <w:adjustRightInd w:val="0"/>
              <w:jc w:val="center"/>
            </w:pPr>
          </w:p>
        </w:tc>
        <w:tc>
          <w:tcPr>
            <w:tcW w:w="784" w:type="pct"/>
            <w:tcBorders>
              <w:top w:val="nil"/>
              <w:left w:val="nil"/>
              <w:bottom w:val="nil"/>
              <w:right w:val="nil"/>
            </w:tcBorders>
          </w:tcPr>
          <w:p w14:paraId="190D355C" w14:textId="77777777" w:rsidR="00B54D51" w:rsidRPr="00037AD4" w:rsidRDefault="00B54D51" w:rsidP="00401C67">
            <w:pPr>
              <w:widowControl w:val="0"/>
              <w:autoSpaceDE w:val="0"/>
              <w:autoSpaceDN w:val="0"/>
              <w:adjustRightInd w:val="0"/>
              <w:jc w:val="center"/>
            </w:pPr>
          </w:p>
        </w:tc>
        <w:tc>
          <w:tcPr>
            <w:tcW w:w="786" w:type="pct"/>
            <w:tcBorders>
              <w:top w:val="nil"/>
              <w:left w:val="nil"/>
              <w:bottom w:val="nil"/>
              <w:right w:val="nil"/>
            </w:tcBorders>
          </w:tcPr>
          <w:p w14:paraId="2AC4B6DB" w14:textId="77777777" w:rsidR="00B54D51" w:rsidRPr="00037AD4" w:rsidRDefault="00B54D51" w:rsidP="00401C67">
            <w:pPr>
              <w:widowControl w:val="0"/>
              <w:autoSpaceDE w:val="0"/>
              <w:autoSpaceDN w:val="0"/>
              <w:adjustRightInd w:val="0"/>
              <w:jc w:val="center"/>
            </w:pPr>
          </w:p>
        </w:tc>
      </w:tr>
      <w:tr w:rsidR="00B54D51" w:rsidRPr="00037AD4" w14:paraId="4426315B" w14:textId="77777777" w:rsidTr="00401C67">
        <w:trPr>
          <w:jc w:val="center"/>
        </w:trPr>
        <w:tc>
          <w:tcPr>
            <w:tcW w:w="977" w:type="pct"/>
            <w:tcBorders>
              <w:top w:val="nil"/>
              <w:left w:val="nil"/>
              <w:bottom w:val="nil"/>
              <w:right w:val="nil"/>
            </w:tcBorders>
          </w:tcPr>
          <w:p w14:paraId="593F92BC" w14:textId="77777777" w:rsidR="00B54D51" w:rsidRPr="00037AD4" w:rsidRDefault="00B54D51" w:rsidP="00401C67">
            <w:pPr>
              <w:widowControl w:val="0"/>
              <w:autoSpaceDE w:val="0"/>
              <w:autoSpaceDN w:val="0"/>
              <w:adjustRightInd w:val="0"/>
            </w:pPr>
          </w:p>
        </w:tc>
        <w:tc>
          <w:tcPr>
            <w:tcW w:w="834" w:type="pct"/>
            <w:tcBorders>
              <w:top w:val="nil"/>
              <w:left w:val="nil"/>
              <w:bottom w:val="nil"/>
              <w:right w:val="nil"/>
            </w:tcBorders>
          </w:tcPr>
          <w:p w14:paraId="76ED2E07" w14:textId="77777777" w:rsidR="00B54D51" w:rsidRPr="00037AD4" w:rsidRDefault="00B54D51" w:rsidP="00401C67">
            <w:pPr>
              <w:widowControl w:val="0"/>
              <w:autoSpaceDE w:val="0"/>
              <w:autoSpaceDN w:val="0"/>
              <w:adjustRightInd w:val="0"/>
              <w:jc w:val="center"/>
            </w:pPr>
            <w:r w:rsidRPr="00037AD4">
              <w:t>(0.030 - 0.868)</w:t>
            </w:r>
          </w:p>
        </w:tc>
        <w:tc>
          <w:tcPr>
            <w:tcW w:w="834" w:type="pct"/>
            <w:tcBorders>
              <w:top w:val="nil"/>
              <w:left w:val="nil"/>
              <w:bottom w:val="nil"/>
              <w:right w:val="nil"/>
            </w:tcBorders>
          </w:tcPr>
          <w:p w14:paraId="040BCCCA" w14:textId="77777777" w:rsidR="00B54D51" w:rsidRPr="00037AD4" w:rsidRDefault="00B54D51" w:rsidP="00401C67">
            <w:pPr>
              <w:widowControl w:val="0"/>
              <w:autoSpaceDE w:val="0"/>
              <w:autoSpaceDN w:val="0"/>
              <w:adjustRightInd w:val="0"/>
              <w:jc w:val="center"/>
            </w:pPr>
            <w:r w:rsidRPr="00037AD4">
              <w:t>(0.129 - 0.886)</w:t>
            </w:r>
          </w:p>
        </w:tc>
        <w:tc>
          <w:tcPr>
            <w:tcW w:w="784" w:type="pct"/>
            <w:tcBorders>
              <w:top w:val="nil"/>
              <w:left w:val="nil"/>
              <w:bottom w:val="nil"/>
              <w:right w:val="nil"/>
            </w:tcBorders>
          </w:tcPr>
          <w:p w14:paraId="53BC19CE" w14:textId="77777777" w:rsidR="00B54D51" w:rsidRPr="00037AD4" w:rsidRDefault="00B54D51" w:rsidP="00401C67">
            <w:pPr>
              <w:widowControl w:val="0"/>
              <w:autoSpaceDE w:val="0"/>
              <w:autoSpaceDN w:val="0"/>
              <w:adjustRightInd w:val="0"/>
              <w:jc w:val="center"/>
            </w:pPr>
          </w:p>
        </w:tc>
        <w:tc>
          <w:tcPr>
            <w:tcW w:w="784" w:type="pct"/>
            <w:tcBorders>
              <w:top w:val="nil"/>
              <w:left w:val="nil"/>
              <w:bottom w:val="nil"/>
              <w:right w:val="nil"/>
            </w:tcBorders>
          </w:tcPr>
          <w:p w14:paraId="7236C50E" w14:textId="77777777" w:rsidR="00B54D51" w:rsidRPr="00037AD4" w:rsidRDefault="00B54D51" w:rsidP="00401C67">
            <w:pPr>
              <w:widowControl w:val="0"/>
              <w:autoSpaceDE w:val="0"/>
              <w:autoSpaceDN w:val="0"/>
              <w:adjustRightInd w:val="0"/>
              <w:jc w:val="center"/>
            </w:pPr>
          </w:p>
        </w:tc>
        <w:tc>
          <w:tcPr>
            <w:tcW w:w="786" w:type="pct"/>
            <w:tcBorders>
              <w:top w:val="nil"/>
              <w:left w:val="nil"/>
              <w:bottom w:val="nil"/>
              <w:right w:val="nil"/>
            </w:tcBorders>
          </w:tcPr>
          <w:p w14:paraId="3A32A665" w14:textId="77777777" w:rsidR="00B54D51" w:rsidRPr="00037AD4" w:rsidRDefault="00B54D51" w:rsidP="00401C67">
            <w:pPr>
              <w:widowControl w:val="0"/>
              <w:autoSpaceDE w:val="0"/>
              <w:autoSpaceDN w:val="0"/>
              <w:adjustRightInd w:val="0"/>
              <w:jc w:val="center"/>
            </w:pPr>
          </w:p>
        </w:tc>
      </w:tr>
      <w:tr w:rsidR="00B54D51" w:rsidRPr="00037AD4" w14:paraId="49814C66" w14:textId="77777777" w:rsidTr="00401C67">
        <w:trPr>
          <w:jc w:val="center"/>
        </w:trPr>
        <w:tc>
          <w:tcPr>
            <w:tcW w:w="977" w:type="pct"/>
            <w:tcBorders>
              <w:top w:val="nil"/>
              <w:left w:val="nil"/>
              <w:bottom w:val="nil"/>
              <w:right w:val="nil"/>
            </w:tcBorders>
          </w:tcPr>
          <w:p w14:paraId="08404089" w14:textId="77777777" w:rsidR="00B54D51" w:rsidRPr="00037AD4" w:rsidRDefault="00B54D51" w:rsidP="00401C67">
            <w:pPr>
              <w:widowControl w:val="0"/>
              <w:autoSpaceDE w:val="0"/>
              <w:autoSpaceDN w:val="0"/>
              <w:adjustRightInd w:val="0"/>
            </w:pPr>
            <w:r w:rsidRPr="00037AD4">
              <w:t>5.eq1SR_</w:t>
            </w:r>
          </w:p>
        </w:tc>
        <w:tc>
          <w:tcPr>
            <w:tcW w:w="834" w:type="pct"/>
            <w:tcBorders>
              <w:top w:val="nil"/>
              <w:left w:val="nil"/>
              <w:bottom w:val="nil"/>
              <w:right w:val="nil"/>
            </w:tcBorders>
          </w:tcPr>
          <w:p w14:paraId="23F87E65" w14:textId="77777777" w:rsidR="00B54D51" w:rsidRPr="00037AD4" w:rsidRDefault="00B54D51" w:rsidP="00401C67">
            <w:pPr>
              <w:widowControl w:val="0"/>
              <w:autoSpaceDE w:val="0"/>
              <w:autoSpaceDN w:val="0"/>
              <w:adjustRightInd w:val="0"/>
              <w:jc w:val="center"/>
            </w:pPr>
            <w:r w:rsidRPr="00037AD4">
              <w:t>0.810***</w:t>
            </w:r>
          </w:p>
        </w:tc>
        <w:tc>
          <w:tcPr>
            <w:tcW w:w="834" w:type="pct"/>
            <w:tcBorders>
              <w:top w:val="nil"/>
              <w:left w:val="nil"/>
              <w:bottom w:val="nil"/>
              <w:right w:val="nil"/>
            </w:tcBorders>
          </w:tcPr>
          <w:p w14:paraId="0F15AC21" w14:textId="77777777" w:rsidR="00B54D51" w:rsidRPr="00037AD4" w:rsidRDefault="00B54D51" w:rsidP="00401C67">
            <w:pPr>
              <w:widowControl w:val="0"/>
              <w:autoSpaceDE w:val="0"/>
              <w:autoSpaceDN w:val="0"/>
              <w:adjustRightInd w:val="0"/>
              <w:jc w:val="center"/>
            </w:pPr>
            <w:r w:rsidRPr="00037AD4">
              <w:t>0.817***</w:t>
            </w:r>
          </w:p>
        </w:tc>
        <w:tc>
          <w:tcPr>
            <w:tcW w:w="784" w:type="pct"/>
            <w:tcBorders>
              <w:top w:val="nil"/>
              <w:left w:val="nil"/>
              <w:bottom w:val="nil"/>
              <w:right w:val="nil"/>
            </w:tcBorders>
          </w:tcPr>
          <w:p w14:paraId="4D7933BF" w14:textId="77777777" w:rsidR="00B54D51" w:rsidRPr="00037AD4" w:rsidRDefault="00B54D51" w:rsidP="00401C67">
            <w:pPr>
              <w:widowControl w:val="0"/>
              <w:autoSpaceDE w:val="0"/>
              <w:autoSpaceDN w:val="0"/>
              <w:adjustRightInd w:val="0"/>
              <w:jc w:val="center"/>
            </w:pPr>
          </w:p>
        </w:tc>
        <w:tc>
          <w:tcPr>
            <w:tcW w:w="784" w:type="pct"/>
            <w:tcBorders>
              <w:top w:val="nil"/>
              <w:left w:val="nil"/>
              <w:bottom w:val="nil"/>
              <w:right w:val="nil"/>
            </w:tcBorders>
          </w:tcPr>
          <w:p w14:paraId="3DC30459" w14:textId="77777777" w:rsidR="00B54D51" w:rsidRPr="00037AD4" w:rsidRDefault="00B54D51" w:rsidP="00401C67">
            <w:pPr>
              <w:widowControl w:val="0"/>
              <w:autoSpaceDE w:val="0"/>
              <w:autoSpaceDN w:val="0"/>
              <w:adjustRightInd w:val="0"/>
              <w:jc w:val="center"/>
            </w:pPr>
          </w:p>
        </w:tc>
        <w:tc>
          <w:tcPr>
            <w:tcW w:w="786" w:type="pct"/>
            <w:tcBorders>
              <w:top w:val="nil"/>
              <w:left w:val="nil"/>
              <w:bottom w:val="nil"/>
              <w:right w:val="nil"/>
            </w:tcBorders>
          </w:tcPr>
          <w:p w14:paraId="7D8A9BA0" w14:textId="77777777" w:rsidR="00B54D51" w:rsidRPr="00037AD4" w:rsidRDefault="00B54D51" w:rsidP="00401C67">
            <w:pPr>
              <w:widowControl w:val="0"/>
              <w:autoSpaceDE w:val="0"/>
              <w:autoSpaceDN w:val="0"/>
              <w:adjustRightInd w:val="0"/>
              <w:jc w:val="center"/>
            </w:pPr>
          </w:p>
        </w:tc>
      </w:tr>
      <w:tr w:rsidR="00B54D51" w:rsidRPr="00037AD4" w14:paraId="62DD8CA8" w14:textId="77777777" w:rsidTr="00401C67">
        <w:trPr>
          <w:jc w:val="center"/>
        </w:trPr>
        <w:tc>
          <w:tcPr>
            <w:tcW w:w="977" w:type="pct"/>
            <w:tcBorders>
              <w:top w:val="nil"/>
              <w:left w:val="nil"/>
              <w:bottom w:val="nil"/>
              <w:right w:val="nil"/>
            </w:tcBorders>
          </w:tcPr>
          <w:p w14:paraId="005CC7E4" w14:textId="77777777" w:rsidR="00B54D51" w:rsidRPr="00037AD4" w:rsidRDefault="00B54D51" w:rsidP="00401C67">
            <w:pPr>
              <w:widowControl w:val="0"/>
              <w:autoSpaceDE w:val="0"/>
              <w:autoSpaceDN w:val="0"/>
              <w:adjustRightInd w:val="0"/>
            </w:pPr>
          </w:p>
        </w:tc>
        <w:tc>
          <w:tcPr>
            <w:tcW w:w="834" w:type="pct"/>
            <w:tcBorders>
              <w:top w:val="nil"/>
              <w:left w:val="nil"/>
              <w:bottom w:val="nil"/>
              <w:right w:val="nil"/>
            </w:tcBorders>
          </w:tcPr>
          <w:p w14:paraId="026D1959" w14:textId="77777777" w:rsidR="00B54D51" w:rsidRPr="00037AD4" w:rsidRDefault="00B54D51" w:rsidP="00401C67">
            <w:pPr>
              <w:widowControl w:val="0"/>
              <w:autoSpaceDE w:val="0"/>
              <w:autoSpaceDN w:val="0"/>
              <w:adjustRightInd w:val="0"/>
              <w:jc w:val="center"/>
            </w:pPr>
            <w:r w:rsidRPr="00037AD4">
              <w:t>(0.395 - 1.224)</w:t>
            </w:r>
          </w:p>
        </w:tc>
        <w:tc>
          <w:tcPr>
            <w:tcW w:w="834" w:type="pct"/>
            <w:tcBorders>
              <w:top w:val="nil"/>
              <w:left w:val="nil"/>
              <w:bottom w:val="nil"/>
              <w:right w:val="nil"/>
            </w:tcBorders>
          </w:tcPr>
          <w:p w14:paraId="2E72228F" w14:textId="77777777" w:rsidR="00B54D51" w:rsidRPr="00037AD4" w:rsidRDefault="00B54D51" w:rsidP="00401C67">
            <w:pPr>
              <w:widowControl w:val="0"/>
              <w:autoSpaceDE w:val="0"/>
              <w:autoSpaceDN w:val="0"/>
              <w:adjustRightInd w:val="0"/>
              <w:jc w:val="center"/>
            </w:pPr>
            <w:r w:rsidRPr="00037AD4">
              <w:t>(0.431 - 1.203)</w:t>
            </w:r>
          </w:p>
        </w:tc>
        <w:tc>
          <w:tcPr>
            <w:tcW w:w="784" w:type="pct"/>
            <w:tcBorders>
              <w:top w:val="nil"/>
              <w:left w:val="nil"/>
              <w:bottom w:val="nil"/>
              <w:right w:val="nil"/>
            </w:tcBorders>
          </w:tcPr>
          <w:p w14:paraId="6BA484C7" w14:textId="77777777" w:rsidR="00B54D51" w:rsidRPr="00037AD4" w:rsidRDefault="00B54D51" w:rsidP="00401C67">
            <w:pPr>
              <w:widowControl w:val="0"/>
              <w:autoSpaceDE w:val="0"/>
              <w:autoSpaceDN w:val="0"/>
              <w:adjustRightInd w:val="0"/>
              <w:jc w:val="center"/>
            </w:pPr>
          </w:p>
        </w:tc>
        <w:tc>
          <w:tcPr>
            <w:tcW w:w="784" w:type="pct"/>
            <w:tcBorders>
              <w:top w:val="nil"/>
              <w:left w:val="nil"/>
              <w:bottom w:val="nil"/>
              <w:right w:val="nil"/>
            </w:tcBorders>
          </w:tcPr>
          <w:p w14:paraId="2186B321" w14:textId="77777777" w:rsidR="00B54D51" w:rsidRPr="00037AD4" w:rsidRDefault="00B54D51" w:rsidP="00401C67">
            <w:pPr>
              <w:widowControl w:val="0"/>
              <w:autoSpaceDE w:val="0"/>
              <w:autoSpaceDN w:val="0"/>
              <w:adjustRightInd w:val="0"/>
              <w:jc w:val="center"/>
            </w:pPr>
          </w:p>
        </w:tc>
        <w:tc>
          <w:tcPr>
            <w:tcW w:w="786" w:type="pct"/>
            <w:tcBorders>
              <w:top w:val="nil"/>
              <w:left w:val="nil"/>
              <w:bottom w:val="nil"/>
              <w:right w:val="nil"/>
            </w:tcBorders>
          </w:tcPr>
          <w:p w14:paraId="4792B95A" w14:textId="77777777" w:rsidR="00B54D51" w:rsidRPr="00037AD4" w:rsidRDefault="00B54D51" w:rsidP="00401C67">
            <w:pPr>
              <w:widowControl w:val="0"/>
              <w:autoSpaceDE w:val="0"/>
              <w:autoSpaceDN w:val="0"/>
              <w:adjustRightInd w:val="0"/>
              <w:jc w:val="center"/>
            </w:pPr>
          </w:p>
        </w:tc>
      </w:tr>
      <w:tr w:rsidR="00B54D51" w:rsidRPr="00037AD4" w14:paraId="4C26BC38" w14:textId="77777777" w:rsidTr="00401C67">
        <w:trPr>
          <w:jc w:val="center"/>
        </w:trPr>
        <w:tc>
          <w:tcPr>
            <w:tcW w:w="977" w:type="pct"/>
            <w:tcBorders>
              <w:top w:val="nil"/>
              <w:left w:val="nil"/>
              <w:bottom w:val="nil"/>
              <w:right w:val="nil"/>
            </w:tcBorders>
          </w:tcPr>
          <w:p w14:paraId="6869F680" w14:textId="77777777" w:rsidR="00B54D51" w:rsidRPr="00037AD4" w:rsidRDefault="00B54D51" w:rsidP="00401C67">
            <w:pPr>
              <w:widowControl w:val="0"/>
              <w:autoSpaceDE w:val="0"/>
              <w:autoSpaceDN w:val="0"/>
              <w:adjustRightInd w:val="0"/>
            </w:pPr>
            <w:r w:rsidRPr="00037AD4">
              <w:t>2.eq3SR_</w:t>
            </w:r>
          </w:p>
        </w:tc>
        <w:tc>
          <w:tcPr>
            <w:tcW w:w="834" w:type="pct"/>
            <w:tcBorders>
              <w:top w:val="nil"/>
              <w:left w:val="nil"/>
              <w:bottom w:val="nil"/>
              <w:right w:val="nil"/>
            </w:tcBorders>
          </w:tcPr>
          <w:p w14:paraId="442274CD" w14:textId="77777777" w:rsidR="00B54D51" w:rsidRPr="00037AD4" w:rsidRDefault="00B54D51" w:rsidP="00401C67">
            <w:pPr>
              <w:widowControl w:val="0"/>
              <w:autoSpaceDE w:val="0"/>
              <w:autoSpaceDN w:val="0"/>
              <w:adjustRightInd w:val="0"/>
              <w:jc w:val="center"/>
            </w:pPr>
            <w:r w:rsidRPr="00037AD4">
              <w:t>0.024</w:t>
            </w:r>
          </w:p>
        </w:tc>
        <w:tc>
          <w:tcPr>
            <w:tcW w:w="834" w:type="pct"/>
            <w:tcBorders>
              <w:top w:val="nil"/>
              <w:left w:val="nil"/>
              <w:bottom w:val="nil"/>
              <w:right w:val="nil"/>
            </w:tcBorders>
          </w:tcPr>
          <w:p w14:paraId="78E7B050" w14:textId="77777777" w:rsidR="00B54D51" w:rsidRPr="00037AD4" w:rsidRDefault="00B54D51" w:rsidP="00401C67">
            <w:pPr>
              <w:widowControl w:val="0"/>
              <w:autoSpaceDE w:val="0"/>
              <w:autoSpaceDN w:val="0"/>
              <w:adjustRightInd w:val="0"/>
              <w:jc w:val="center"/>
            </w:pPr>
          </w:p>
        </w:tc>
        <w:tc>
          <w:tcPr>
            <w:tcW w:w="784" w:type="pct"/>
            <w:tcBorders>
              <w:top w:val="nil"/>
              <w:left w:val="nil"/>
              <w:bottom w:val="nil"/>
              <w:right w:val="nil"/>
            </w:tcBorders>
          </w:tcPr>
          <w:p w14:paraId="6B63F714" w14:textId="77777777" w:rsidR="00B54D51" w:rsidRPr="00037AD4" w:rsidRDefault="00B54D51" w:rsidP="00401C67">
            <w:pPr>
              <w:widowControl w:val="0"/>
              <w:autoSpaceDE w:val="0"/>
              <w:autoSpaceDN w:val="0"/>
              <w:adjustRightInd w:val="0"/>
              <w:jc w:val="center"/>
            </w:pPr>
          </w:p>
        </w:tc>
        <w:tc>
          <w:tcPr>
            <w:tcW w:w="784" w:type="pct"/>
            <w:tcBorders>
              <w:top w:val="nil"/>
              <w:left w:val="nil"/>
              <w:bottom w:val="nil"/>
              <w:right w:val="nil"/>
            </w:tcBorders>
          </w:tcPr>
          <w:p w14:paraId="750AAA95" w14:textId="77777777" w:rsidR="00B54D51" w:rsidRPr="00037AD4" w:rsidRDefault="00B54D51" w:rsidP="00401C67">
            <w:pPr>
              <w:widowControl w:val="0"/>
              <w:autoSpaceDE w:val="0"/>
              <w:autoSpaceDN w:val="0"/>
              <w:adjustRightInd w:val="0"/>
              <w:jc w:val="center"/>
            </w:pPr>
          </w:p>
        </w:tc>
        <w:tc>
          <w:tcPr>
            <w:tcW w:w="786" w:type="pct"/>
            <w:tcBorders>
              <w:top w:val="nil"/>
              <w:left w:val="nil"/>
              <w:bottom w:val="nil"/>
              <w:right w:val="nil"/>
            </w:tcBorders>
          </w:tcPr>
          <w:p w14:paraId="353EFAC2" w14:textId="77777777" w:rsidR="00B54D51" w:rsidRPr="00037AD4" w:rsidRDefault="00B54D51" w:rsidP="00401C67">
            <w:pPr>
              <w:widowControl w:val="0"/>
              <w:autoSpaceDE w:val="0"/>
              <w:autoSpaceDN w:val="0"/>
              <w:adjustRightInd w:val="0"/>
              <w:jc w:val="center"/>
            </w:pPr>
          </w:p>
        </w:tc>
      </w:tr>
      <w:tr w:rsidR="00B54D51" w:rsidRPr="00037AD4" w14:paraId="79A1DF33" w14:textId="77777777" w:rsidTr="00401C67">
        <w:trPr>
          <w:jc w:val="center"/>
        </w:trPr>
        <w:tc>
          <w:tcPr>
            <w:tcW w:w="977" w:type="pct"/>
            <w:tcBorders>
              <w:top w:val="nil"/>
              <w:left w:val="nil"/>
              <w:bottom w:val="nil"/>
              <w:right w:val="nil"/>
            </w:tcBorders>
          </w:tcPr>
          <w:p w14:paraId="050F7EB9" w14:textId="77777777" w:rsidR="00B54D51" w:rsidRPr="00037AD4" w:rsidRDefault="00B54D51" w:rsidP="00401C67">
            <w:pPr>
              <w:widowControl w:val="0"/>
              <w:autoSpaceDE w:val="0"/>
              <w:autoSpaceDN w:val="0"/>
              <w:adjustRightInd w:val="0"/>
            </w:pPr>
          </w:p>
        </w:tc>
        <w:tc>
          <w:tcPr>
            <w:tcW w:w="834" w:type="pct"/>
            <w:tcBorders>
              <w:top w:val="nil"/>
              <w:left w:val="nil"/>
              <w:bottom w:val="nil"/>
              <w:right w:val="nil"/>
            </w:tcBorders>
          </w:tcPr>
          <w:p w14:paraId="3E7D3289" w14:textId="77777777" w:rsidR="00B54D51" w:rsidRPr="00037AD4" w:rsidRDefault="00B54D51" w:rsidP="00401C67">
            <w:pPr>
              <w:widowControl w:val="0"/>
              <w:autoSpaceDE w:val="0"/>
              <w:autoSpaceDN w:val="0"/>
              <w:adjustRightInd w:val="0"/>
              <w:jc w:val="center"/>
            </w:pPr>
            <w:r w:rsidRPr="00037AD4">
              <w:t>(-0.207 - 0.256)</w:t>
            </w:r>
          </w:p>
        </w:tc>
        <w:tc>
          <w:tcPr>
            <w:tcW w:w="834" w:type="pct"/>
            <w:tcBorders>
              <w:top w:val="nil"/>
              <w:left w:val="nil"/>
              <w:bottom w:val="nil"/>
              <w:right w:val="nil"/>
            </w:tcBorders>
          </w:tcPr>
          <w:p w14:paraId="64087581" w14:textId="77777777" w:rsidR="00B54D51" w:rsidRPr="00037AD4" w:rsidRDefault="00B54D51" w:rsidP="00401C67">
            <w:pPr>
              <w:widowControl w:val="0"/>
              <w:autoSpaceDE w:val="0"/>
              <w:autoSpaceDN w:val="0"/>
              <w:adjustRightInd w:val="0"/>
              <w:jc w:val="center"/>
            </w:pPr>
          </w:p>
        </w:tc>
        <w:tc>
          <w:tcPr>
            <w:tcW w:w="784" w:type="pct"/>
            <w:tcBorders>
              <w:top w:val="nil"/>
              <w:left w:val="nil"/>
              <w:bottom w:val="nil"/>
              <w:right w:val="nil"/>
            </w:tcBorders>
          </w:tcPr>
          <w:p w14:paraId="3390B77F" w14:textId="77777777" w:rsidR="00B54D51" w:rsidRPr="00037AD4" w:rsidRDefault="00B54D51" w:rsidP="00401C67">
            <w:pPr>
              <w:widowControl w:val="0"/>
              <w:autoSpaceDE w:val="0"/>
              <w:autoSpaceDN w:val="0"/>
              <w:adjustRightInd w:val="0"/>
              <w:jc w:val="center"/>
            </w:pPr>
          </w:p>
        </w:tc>
        <w:tc>
          <w:tcPr>
            <w:tcW w:w="784" w:type="pct"/>
            <w:tcBorders>
              <w:top w:val="nil"/>
              <w:left w:val="nil"/>
              <w:bottom w:val="nil"/>
              <w:right w:val="nil"/>
            </w:tcBorders>
          </w:tcPr>
          <w:p w14:paraId="51DC509D" w14:textId="77777777" w:rsidR="00B54D51" w:rsidRPr="00037AD4" w:rsidRDefault="00B54D51" w:rsidP="00401C67">
            <w:pPr>
              <w:widowControl w:val="0"/>
              <w:autoSpaceDE w:val="0"/>
              <w:autoSpaceDN w:val="0"/>
              <w:adjustRightInd w:val="0"/>
              <w:jc w:val="center"/>
            </w:pPr>
          </w:p>
        </w:tc>
        <w:tc>
          <w:tcPr>
            <w:tcW w:w="786" w:type="pct"/>
            <w:tcBorders>
              <w:top w:val="nil"/>
              <w:left w:val="nil"/>
              <w:bottom w:val="nil"/>
              <w:right w:val="nil"/>
            </w:tcBorders>
          </w:tcPr>
          <w:p w14:paraId="0C0D69D6" w14:textId="77777777" w:rsidR="00B54D51" w:rsidRPr="00037AD4" w:rsidRDefault="00B54D51" w:rsidP="00401C67">
            <w:pPr>
              <w:widowControl w:val="0"/>
              <w:autoSpaceDE w:val="0"/>
              <w:autoSpaceDN w:val="0"/>
              <w:adjustRightInd w:val="0"/>
              <w:jc w:val="center"/>
            </w:pPr>
          </w:p>
        </w:tc>
      </w:tr>
      <w:tr w:rsidR="00B54D51" w:rsidRPr="00037AD4" w14:paraId="7C2C0D19" w14:textId="77777777" w:rsidTr="00401C67">
        <w:trPr>
          <w:jc w:val="center"/>
        </w:trPr>
        <w:tc>
          <w:tcPr>
            <w:tcW w:w="977" w:type="pct"/>
            <w:tcBorders>
              <w:top w:val="nil"/>
              <w:left w:val="nil"/>
              <w:bottom w:val="nil"/>
              <w:right w:val="nil"/>
            </w:tcBorders>
          </w:tcPr>
          <w:p w14:paraId="51FCAB07" w14:textId="77777777" w:rsidR="00B54D51" w:rsidRPr="00037AD4" w:rsidRDefault="00B54D51" w:rsidP="00401C67">
            <w:pPr>
              <w:widowControl w:val="0"/>
              <w:autoSpaceDE w:val="0"/>
              <w:autoSpaceDN w:val="0"/>
              <w:adjustRightInd w:val="0"/>
            </w:pPr>
            <w:r w:rsidRPr="00037AD4">
              <w:t>3.eq3SR_</w:t>
            </w:r>
          </w:p>
        </w:tc>
        <w:tc>
          <w:tcPr>
            <w:tcW w:w="834" w:type="pct"/>
            <w:tcBorders>
              <w:top w:val="nil"/>
              <w:left w:val="nil"/>
              <w:bottom w:val="nil"/>
              <w:right w:val="nil"/>
            </w:tcBorders>
          </w:tcPr>
          <w:p w14:paraId="6539FCFD" w14:textId="77777777" w:rsidR="00B54D51" w:rsidRPr="00037AD4" w:rsidRDefault="00B54D51" w:rsidP="00401C67">
            <w:pPr>
              <w:widowControl w:val="0"/>
              <w:autoSpaceDE w:val="0"/>
              <w:autoSpaceDN w:val="0"/>
              <w:adjustRightInd w:val="0"/>
              <w:jc w:val="center"/>
            </w:pPr>
            <w:r w:rsidRPr="00037AD4">
              <w:t>-0.022</w:t>
            </w:r>
          </w:p>
        </w:tc>
        <w:tc>
          <w:tcPr>
            <w:tcW w:w="834" w:type="pct"/>
            <w:tcBorders>
              <w:top w:val="nil"/>
              <w:left w:val="nil"/>
              <w:bottom w:val="nil"/>
              <w:right w:val="nil"/>
            </w:tcBorders>
          </w:tcPr>
          <w:p w14:paraId="7CAB60C1" w14:textId="77777777" w:rsidR="00B54D51" w:rsidRPr="00037AD4" w:rsidRDefault="00B54D51" w:rsidP="00401C67">
            <w:pPr>
              <w:widowControl w:val="0"/>
              <w:autoSpaceDE w:val="0"/>
              <w:autoSpaceDN w:val="0"/>
              <w:adjustRightInd w:val="0"/>
              <w:jc w:val="center"/>
            </w:pPr>
          </w:p>
        </w:tc>
        <w:tc>
          <w:tcPr>
            <w:tcW w:w="784" w:type="pct"/>
            <w:tcBorders>
              <w:top w:val="nil"/>
              <w:left w:val="nil"/>
              <w:bottom w:val="nil"/>
              <w:right w:val="nil"/>
            </w:tcBorders>
          </w:tcPr>
          <w:p w14:paraId="55ABCD10" w14:textId="77777777" w:rsidR="00B54D51" w:rsidRPr="00037AD4" w:rsidRDefault="00B54D51" w:rsidP="00401C67">
            <w:pPr>
              <w:widowControl w:val="0"/>
              <w:autoSpaceDE w:val="0"/>
              <w:autoSpaceDN w:val="0"/>
              <w:adjustRightInd w:val="0"/>
              <w:jc w:val="center"/>
            </w:pPr>
          </w:p>
        </w:tc>
        <w:tc>
          <w:tcPr>
            <w:tcW w:w="784" w:type="pct"/>
            <w:tcBorders>
              <w:top w:val="nil"/>
              <w:left w:val="nil"/>
              <w:bottom w:val="nil"/>
              <w:right w:val="nil"/>
            </w:tcBorders>
          </w:tcPr>
          <w:p w14:paraId="3AE6CFE1" w14:textId="77777777" w:rsidR="00B54D51" w:rsidRPr="00037AD4" w:rsidRDefault="00B54D51" w:rsidP="00401C67">
            <w:pPr>
              <w:widowControl w:val="0"/>
              <w:autoSpaceDE w:val="0"/>
              <w:autoSpaceDN w:val="0"/>
              <w:adjustRightInd w:val="0"/>
              <w:jc w:val="center"/>
            </w:pPr>
          </w:p>
        </w:tc>
        <w:tc>
          <w:tcPr>
            <w:tcW w:w="786" w:type="pct"/>
            <w:tcBorders>
              <w:top w:val="nil"/>
              <w:left w:val="nil"/>
              <w:bottom w:val="nil"/>
              <w:right w:val="nil"/>
            </w:tcBorders>
          </w:tcPr>
          <w:p w14:paraId="43C1C840" w14:textId="77777777" w:rsidR="00B54D51" w:rsidRPr="00037AD4" w:rsidRDefault="00B54D51" w:rsidP="00401C67">
            <w:pPr>
              <w:widowControl w:val="0"/>
              <w:autoSpaceDE w:val="0"/>
              <w:autoSpaceDN w:val="0"/>
              <w:adjustRightInd w:val="0"/>
              <w:jc w:val="center"/>
            </w:pPr>
          </w:p>
        </w:tc>
      </w:tr>
      <w:tr w:rsidR="00B54D51" w:rsidRPr="00037AD4" w14:paraId="06CCC76A" w14:textId="77777777" w:rsidTr="00401C67">
        <w:trPr>
          <w:jc w:val="center"/>
        </w:trPr>
        <w:tc>
          <w:tcPr>
            <w:tcW w:w="977" w:type="pct"/>
            <w:tcBorders>
              <w:top w:val="nil"/>
              <w:left w:val="nil"/>
              <w:bottom w:val="nil"/>
              <w:right w:val="nil"/>
            </w:tcBorders>
          </w:tcPr>
          <w:p w14:paraId="40FF6DB8" w14:textId="77777777" w:rsidR="00B54D51" w:rsidRPr="00037AD4" w:rsidRDefault="00B54D51" w:rsidP="00401C67">
            <w:pPr>
              <w:widowControl w:val="0"/>
              <w:autoSpaceDE w:val="0"/>
              <w:autoSpaceDN w:val="0"/>
              <w:adjustRightInd w:val="0"/>
            </w:pPr>
          </w:p>
        </w:tc>
        <w:tc>
          <w:tcPr>
            <w:tcW w:w="834" w:type="pct"/>
            <w:tcBorders>
              <w:top w:val="nil"/>
              <w:left w:val="nil"/>
              <w:bottom w:val="nil"/>
              <w:right w:val="nil"/>
            </w:tcBorders>
          </w:tcPr>
          <w:p w14:paraId="22210C94" w14:textId="77777777" w:rsidR="00B54D51" w:rsidRPr="00037AD4" w:rsidRDefault="00B54D51" w:rsidP="00401C67">
            <w:pPr>
              <w:widowControl w:val="0"/>
              <w:autoSpaceDE w:val="0"/>
              <w:autoSpaceDN w:val="0"/>
              <w:adjustRightInd w:val="0"/>
              <w:jc w:val="center"/>
            </w:pPr>
            <w:r w:rsidRPr="00037AD4">
              <w:t>(-0.345 - 0.300)</w:t>
            </w:r>
          </w:p>
        </w:tc>
        <w:tc>
          <w:tcPr>
            <w:tcW w:w="834" w:type="pct"/>
            <w:tcBorders>
              <w:top w:val="nil"/>
              <w:left w:val="nil"/>
              <w:bottom w:val="nil"/>
              <w:right w:val="nil"/>
            </w:tcBorders>
          </w:tcPr>
          <w:p w14:paraId="68EC5059" w14:textId="77777777" w:rsidR="00B54D51" w:rsidRPr="00037AD4" w:rsidRDefault="00B54D51" w:rsidP="00401C67">
            <w:pPr>
              <w:widowControl w:val="0"/>
              <w:autoSpaceDE w:val="0"/>
              <w:autoSpaceDN w:val="0"/>
              <w:adjustRightInd w:val="0"/>
              <w:jc w:val="center"/>
            </w:pPr>
          </w:p>
        </w:tc>
        <w:tc>
          <w:tcPr>
            <w:tcW w:w="784" w:type="pct"/>
            <w:tcBorders>
              <w:top w:val="nil"/>
              <w:left w:val="nil"/>
              <w:bottom w:val="nil"/>
              <w:right w:val="nil"/>
            </w:tcBorders>
          </w:tcPr>
          <w:p w14:paraId="4CD34437" w14:textId="77777777" w:rsidR="00B54D51" w:rsidRPr="00037AD4" w:rsidRDefault="00B54D51" w:rsidP="00401C67">
            <w:pPr>
              <w:widowControl w:val="0"/>
              <w:autoSpaceDE w:val="0"/>
              <w:autoSpaceDN w:val="0"/>
              <w:adjustRightInd w:val="0"/>
              <w:jc w:val="center"/>
            </w:pPr>
          </w:p>
        </w:tc>
        <w:tc>
          <w:tcPr>
            <w:tcW w:w="784" w:type="pct"/>
            <w:tcBorders>
              <w:top w:val="nil"/>
              <w:left w:val="nil"/>
              <w:bottom w:val="nil"/>
              <w:right w:val="nil"/>
            </w:tcBorders>
          </w:tcPr>
          <w:p w14:paraId="5FECE2AC" w14:textId="77777777" w:rsidR="00B54D51" w:rsidRPr="00037AD4" w:rsidRDefault="00B54D51" w:rsidP="00401C67">
            <w:pPr>
              <w:widowControl w:val="0"/>
              <w:autoSpaceDE w:val="0"/>
              <w:autoSpaceDN w:val="0"/>
              <w:adjustRightInd w:val="0"/>
              <w:jc w:val="center"/>
            </w:pPr>
          </w:p>
        </w:tc>
        <w:tc>
          <w:tcPr>
            <w:tcW w:w="786" w:type="pct"/>
            <w:tcBorders>
              <w:top w:val="nil"/>
              <w:left w:val="nil"/>
              <w:bottom w:val="nil"/>
              <w:right w:val="nil"/>
            </w:tcBorders>
          </w:tcPr>
          <w:p w14:paraId="1DC0C185" w14:textId="77777777" w:rsidR="00B54D51" w:rsidRPr="00037AD4" w:rsidRDefault="00B54D51" w:rsidP="00401C67">
            <w:pPr>
              <w:widowControl w:val="0"/>
              <w:autoSpaceDE w:val="0"/>
              <w:autoSpaceDN w:val="0"/>
              <w:adjustRightInd w:val="0"/>
              <w:jc w:val="center"/>
            </w:pPr>
          </w:p>
        </w:tc>
      </w:tr>
      <w:tr w:rsidR="00B54D51" w:rsidRPr="00037AD4" w14:paraId="38272737" w14:textId="77777777" w:rsidTr="00401C67">
        <w:trPr>
          <w:jc w:val="center"/>
        </w:trPr>
        <w:tc>
          <w:tcPr>
            <w:tcW w:w="977" w:type="pct"/>
            <w:tcBorders>
              <w:top w:val="nil"/>
              <w:left w:val="nil"/>
              <w:bottom w:val="nil"/>
              <w:right w:val="nil"/>
            </w:tcBorders>
          </w:tcPr>
          <w:p w14:paraId="790AD48B" w14:textId="77777777" w:rsidR="00B54D51" w:rsidRPr="00037AD4" w:rsidRDefault="00B54D51" w:rsidP="00401C67">
            <w:pPr>
              <w:widowControl w:val="0"/>
              <w:autoSpaceDE w:val="0"/>
              <w:autoSpaceDN w:val="0"/>
              <w:adjustRightInd w:val="0"/>
            </w:pPr>
            <w:r w:rsidRPr="00037AD4">
              <w:t>4.eq3SR_</w:t>
            </w:r>
          </w:p>
        </w:tc>
        <w:tc>
          <w:tcPr>
            <w:tcW w:w="834" w:type="pct"/>
            <w:tcBorders>
              <w:top w:val="nil"/>
              <w:left w:val="nil"/>
              <w:bottom w:val="nil"/>
              <w:right w:val="nil"/>
            </w:tcBorders>
          </w:tcPr>
          <w:p w14:paraId="2F88CAB0" w14:textId="77777777" w:rsidR="00B54D51" w:rsidRPr="00037AD4" w:rsidRDefault="00B54D51" w:rsidP="00401C67">
            <w:pPr>
              <w:widowControl w:val="0"/>
              <w:autoSpaceDE w:val="0"/>
              <w:autoSpaceDN w:val="0"/>
              <w:adjustRightInd w:val="0"/>
              <w:jc w:val="center"/>
            </w:pPr>
            <w:r w:rsidRPr="00037AD4">
              <w:t>0.474</w:t>
            </w:r>
          </w:p>
        </w:tc>
        <w:tc>
          <w:tcPr>
            <w:tcW w:w="834" w:type="pct"/>
            <w:tcBorders>
              <w:top w:val="nil"/>
              <w:left w:val="nil"/>
              <w:bottom w:val="nil"/>
              <w:right w:val="nil"/>
            </w:tcBorders>
          </w:tcPr>
          <w:p w14:paraId="2DD494E2" w14:textId="77777777" w:rsidR="00B54D51" w:rsidRPr="00037AD4" w:rsidRDefault="00B54D51" w:rsidP="00401C67">
            <w:pPr>
              <w:widowControl w:val="0"/>
              <w:autoSpaceDE w:val="0"/>
              <w:autoSpaceDN w:val="0"/>
              <w:adjustRightInd w:val="0"/>
              <w:jc w:val="center"/>
            </w:pPr>
          </w:p>
        </w:tc>
        <w:tc>
          <w:tcPr>
            <w:tcW w:w="784" w:type="pct"/>
            <w:tcBorders>
              <w:top w:val="nil"/>
              <w:left w:val="nil"/>
              <w:bottom w:val="nil"/>
              <w:right w:val="nil"/>
            </w:tcBorders>
          </w:tcPr>
          <w:p w14:paraId="4F607EDD" w14:textId="77777777" w:rsidR="00B54D51" w:rsidRPr="00037AD4" w:rsidRDefault="00B54D51" w:rsidP="00401C67">
            <w:pPr>
              <w:widowControl w:val="0"/>
              <w:autoSpaceDE w:val="0"/>
              <w:autoSpaceDN w:val="0"/>
              <w:adjustRightInd w:val="0"/>
              <w:jc w:val="center"/>
            </w:pPr>
          </w:p>
        </w:tc>
        <w:tc>
          <w:tcPr>
            <w:tcW w:w="784" w:type="pct"/>
            <w:tcBorders>
              <w:top w:val="nil"/>
              <w:left w:val="nil"/>
              <w:bottom w:val="nil"/>
              <w:right w:val="nil"/>
            </w:tcBorders>
          </w:tcPr>
          <w:p w14:paraId="43EFB92E" w14:textId="77777777" w:rsidR="00B54D51" w:rsidRPr="00037AD4" w:rsidRDefault="00B54D51" w:rsidP="00401C67">
            <w:pPr>
              <w:widowControl w:val="0"/>
              <w:autoSpaceDE w:val="0"/>
              <w:autoSpaceDN w:val="0"/>
              <w:adjustRightInd w:val="0"/>
              <w:jc w:val="center"/>
            </w:pPr>
          </w:p>
        </w:tc>
        <w:tc>
          <w:tcPr>
            <w:tcW w:w="786" w:type="pct"/>
            <w:tcBorders>
              <w:top w:val="nil"/>
              <w:left w:val="nil"/>
              <w:bottom w:val="nil"/>
              <w:right w:val="nil"/>
            </w:tcBorders>
          </w:tcPr>
          <w:p w14:paraId="5E9FEBD5" w14:textId="77777777" w:rsidR="00B54D51" w:rsidRPr="00037AD4" w:rsidRDefault="00B54D51" w:rsidP="00401C67">
            <w:pPr>
              <w:widowControl w:val="0"/>
              <w:autoSpaceDE w:val="0"/>
              <w:autoSpaceDN w:val="0"/>
              <w:adjustRightInd w:val="0"/>
              <w:jc w:val="center"/>
            </w:pPr>
          </w:p>
        </w:tc>
      </w:tr>
      <w:tr w:rsidR="00B54D51" w:rsidRPr="00037AD4" w14:paraId="597FAF1C" w14:textId="77777777" w:rsidTr="00401C67">
        <w:trPr>
          <w:jc w:val="center"/>
        </w:trPr>
        <w:tc>
          <w:tcPr>
            <w:tcW w:w="977" w:type="pct"/>
            <w:tcBorders>
              <w:top w:val="nil"/>
              <w:left w:val="nil"/>
              <w:bottom w:val="nil"/>
              <w:right w:val="nil"/>
            </w:tcBorders>
          </w:tcPr>
          <w:p w14:paraId="511844D8" w14:textId="77777777" w:rsidR="00B54D51" w:rsidRPr="00037AD4" w:rsidRDefault="00B54D51" w:rsidP="00401C67">
            <w:pPr>
              <w:widowControl w:val="0"/>
              <w:autoSpaceDE w:val="0"/>
              <w:autoSpaceDN w:val="0"/>
              <w:adjustRightInd w:val="0"/>
            </w:pPr>
          </w:p>
        </w:tc>
        <w:tc>
          <w:tcPr>
            <w:tcW w:w="834" w:type="pct"/>
            <w:tcBorders>
              <w:top w:val="nil"/>
              <w:left w:val="nil"/>
              <w:bottom w:val="nil"/>
              <w:right w:val="nil"/>
            </w:tcBorders>
          </w:tcPr>
          <w:p w14:paraId="2B15E079" w14:textId="77777777" w:rsidR="00B54D51" w:rsidRPr="00037AD4" w:rsidRDefault="00B54D51" w:rsidP="00401C67">
            <w:pPr>
              <w:widowControl w:val="0"/>
              <w:autoSpaceDE w:val="0"/>
              <w:autoSpaceDN w:val="0"/>
              <w:adjustRightInd w:val="0"/>
              <w:jc w:val="center"/>
            </w:pPr>
            <w:r w:rsidRPr="00037AD4">
              <w:t>(-0.142 - 1.091)</w:t>
            </w:r>
          </w:p>
        </w:tc>
        <w:tc>
          <w:tcPr>
            <w:tcW w:w="834" w:type="pct"/>
            <w:tcBorders>
              <w:top w:val="nil"/>
              <w:left w:val="nil"/>
              <w:bottom w:val="nil"/>
              <w:right w:val="nil"/>
            </w:tcBorders>
          </w:tcPr>
          <w:p w14:paraId="015138CF" w14:textId="77777777" w:rsidR="00B54D51" w:rsidRPr="00037AD4" w:rsidRDefault="00B54D51" w:rsidP="00401C67">
            <w:pPr>
              <w:widowControl w:val="0"/>
              <w:autoSpaceDE w:val="0"/>
              <w:autoSpaceDN w:val="0"/>
              <w:adjustRightInd w:val="0"/>
              <w:jc w:val="center"/>
            </w:pPr>
          </w:p>
        </w:tc>
        <w:tc>
          <w:tcPr>
            <w:tcW w:w="784" w:type="pct"/>
            <w:tcBorders>
              <w:top w:val="nil"/>
              <w:left w:val="nil"/>
              <w:bottom w:val="nil"/>
              <w:right w:val="nil"/>
            </w:tcBorders>
          </w:tcPr>
          <w:p w14:paraId="23FD0F2E" w14:textId="77777777" w:rsidR="00B54D51" w:rsidRPr="00037AD4" w:rsidRDefault="00B54D51" w:rsidP="00401C67">
            <w:pPr>
              <w:widowControl w:val="0"/>
              <w:autoSpaceDE w:val="0"/>
              <w:autoSpaceDN w:val="0"/>
              <w:adjustRightInd w:val="0"/>
              <w:jc w:val="center"/>
            </w:pPr>
          </w:p>
        </w:tc>
        <w:tc>
          <w:tcPr>
            <w:tcW w:w="784" w:type="pct"/>
            <w:tcBorders>
              <w:top w:val="nil"/>
              <w:left w:val="nil"/>
              <w:bottom w:val="nil"/>
              <w:right w:val="nil"/>
            </w:tcBorders>
          </w:tcPr>
          <w:p w14:paraId="3E3C111C" w14:textId="77777777" w:rsidR="00B54D51" w:rsidRPr="00037AD4" w:rsidRDefault="00B54D51" w:rsidP="00401C67">
            <w:pPr>
              <w:widowControl w:val="0"/>
              <w:autoSpaceDE w:val="0"/>
              <w:autoSpaceDN w:val="0"/>
              <w:adjustRightInd w:val="0"/>
              <w:jc w:val="center"/>
            </w:pPr>
          </w:p>
        </w:tc>
        <w:tc>
          <w:tcPr>
            <w:tcW w:w="786" w:type="pct"/>
            <w:tcBorders>
              <w:top w:val="nil"/>
              <w:left w:val="nil"/>
              <w:bottom w:val="nil"/>
              <w:right w:val="nil"/>
            </w:tcBorders>
          </w:tcPr>
          <w:p w14:paraId="21692365" w14:textId="77777777" w:rsidR="00B54D51" w:rsidRPr="00037AD4" w:rsidRDefault="00B54D51" w:rsidP="00401C67">
            <w:pPr>
              <w:widowControl w:val="0"/>
              <w:autoSpaceDE w:val="0"/>
              <w:autoSpaceDN w:val="0"/>
              <w:adjustRightInd w:val="0"/>
              <w:jc w:val="center"/>
            </w:pPr>
          </w:p>
        </w:tc>
      </w:tr>
      <w:tr w:rsidR="00B54D51" w:rsidRPr="00037AD4" w14:paraId="59341090" w14:textId="77777777" w:rsidTr="00401C67">
        <w:trPr>
          <w:jc w:val="center"/>
        </w:trPr>
        <w:tc>
          <w:tcPr>
            <w:tcW w:w="977" w:type="pct"/>
            <w:tcBorders>
              <w:top w:val="nil"/>
              <w:left w:val="nil"/>
              <w:bottom w:val="nil"/>
              <w:right w:val="nil"/>
            </w:tcBorders>
          </w:tcPr>
          <w:p w14:paraId="126DA1B6" w14:textId="77777777" w:rsidR="00B54D51" w:rsidRPr="00037AD4" w:rsidRDefault="00B54D51" w:rsidP="00401C67">
            <w:pPr>
              <w:widowControl w:val="0"/>
              <w:autoSpaceDE w:val="0"/>
              <w:autoSpaceDN w:val="0"/>
              <w:adjustRightInd w:val="0"/>
            </w:pPr>
            <w:r w:rsidRPr="00037AD4">
              <w:t>5.eq3SR_</w:t>
            </w:r>
          </w:p>
        </w:tc>
        <w:tc>
          <w:tcPr>
            <w:tcW w:w="834" w:type="pct"/>
            <w:tcBorders>
              <w:top w:val="nil"/>
              <w:left w:val="nil"/>
              <w:bottom w:val="nil"/>
              <w:right w:val="nil"/>
            </w:tcBorders>
          </w:tcPr>
          <w:p w14:paraId="12E1831C" w14:textId="77777777" w:rsidR="00B54D51" w:rsidRPr="00037AD4" w:rsidRDefault="00B54D51" w:rsidP="00401C67">
            <w:pPr>
              <w:widowControl w:val="0"/>
              <w:autoSpaceDE w:val="0"/>
              <w:autoSpaceDN w:val="0"/>
              <w:adjustRightInd w:val="0"/>
              <w:jc w:val="center"/>
            </w:pPr>
            <w:r w:rsidRPr="00037AD4">
              <w:t>0.906***</w:t>
            </w:r>
          </w:p>
        </w:tc>
        <w:tc>
          <w:tcPr>
            <w:tcW w:w="834" w:type="pct"/>
            <w:tcBorders>
              <w:top w:val="nil"/>
              <w:left w:val="nil"/>
              <w:bottom w:val="nil"/>
              <w:right w:val="nil"/>
            </w:tcBorders>
          </w:tcPr>
          <w:p w14:paraId="706F814A" w14:textId="77777777" w:rsidR="00B54D51" w:rsidRPr="00037AD4" w:rsidRDefault="00B54D51" w:rsidP="00401C67">
            <w:pPr>
              <w:widowControl w:val="0"/>
              <w:autoSpaceDE w:val="0"/>
              <w:autoSpaceDN w:val="0"/>
              <w:adjustRightInd w:val="0"/>
              <w:jc w:val="center"/>
            </w:pPr>
          </w:p>
        </w:tc>
        <w:tc>
          <w:tcPr>
            <w:tcW w:w="784" w:type="pct"/>
            <w:tcBorders>
              <w:top w:val="nil"/>
              <w:left w:val="nil"/>
              <w:bottom w:val="nil"/>
              <w:right w:val="nil"/>
            </w:tcBorders>
          </w:tcPr>
          <w:p w14:paraId="00BFF5F6" w14:textId="77777777" w:rsidR="00B54D51" w:rsidRPr="00037AD4" w:rsidRDefault="00B54D51" w:rsidP="00401C67">
            <w:pPr>
              <w:widowControl w:val="0"/>
              <w:autoSpaceDE w:val="0"/>
              <w:autoSpaceDN w:val="0"/>
              <w:adjustRightInd w:val="0"/>
              <w:jc w:val="center"/>
            </w:pPr>
          </w:p>
        </w:tc>
        <w:tc>
          <w:tcPr>
            <w:tcW w:w="784" w:type="pct"/>
            <w:tcBorders>
              <w:top w:val="nil"/>
              <w:left w:val="nil"/>
              <w:bottom w:val="nil"/>
              <w:right w:val="nil"/>
            </w:tcBorders>
          </w:tcPr>
          <w:p w14:paraId="5F4B9E6E" w14:textId="77777777" w:rsidR="00B54D51" w:rsidRPr="00037AD4" w:rsidRDefault="00B54D51" w:rsidP="00401C67">
            <w:pPr>
              <w:widowControl w:val="0"/>
              <w:autoSpaceDE w:val="0"/>
              <w:autoSpaceDN w:val="0"/>
              <w:adjustRightInd w:val="0"/>
              <w:jc w:val="center"/>
            </w:pPr>
          </w:p>
        </w:tc>
        <w:tc>
          <w:tcPr>
            <w:tcW w:w="786" w:type="pct"/>
            <w:tcBorders>
              <w:top w:val="nil"/>
              <w:left w:val="nil"/>
              <w:bottom w:val="nil"/>
              <w:right w:val="nil"/>
            </w:tcBorders>
          </w:tcPr>
          <w:p w14:paraId="7309C76A" w14:textId="77777777" w:rsidR="00B54D51" w:rsidRPr="00037AD4" w:rsidRDefault="00B54D51" w:rsidP="00401C67">
            <w:pPr>
              <w:widowControl w:val="0"/>
              <w:autoSpaceDE w:val="0"/>
              <w:autoSpaceDN w:val="0"/>
              <w:adjustRightInd w:val="0"/>
              <w:jc w:val="center"/>
            </w:pPr>
          </w:p>
        </w:tc>
      </w:tr>
      <w:tr w:rsidR="00B54D51" w:rsidRPr="00037AD4" w14:paraId="30F724C3" w14:textId="77777777" w:rsidTr="00401C67">
        <w:trPr>
          <w:jc w:val="center"/>
        </w:trPr>
        <w:tc>
          <w:tcPr>
            <w:tcW w:w="977" w:type="pct"/>
            <w:tcBorders>
              <w:top w:val="nil"/>
              <w:left w:val="nil"/>
              <w:bottom w:val="nil"/>
              <w:right w:val="nil"/>
            </w:tcBorders>
          </w:tcPr>
          <w:p w14:paraId="3D6C433F" w14:textId="77777777" w:rsidR="00B54D51" w:rsidRPr="00037AD4" w:rsidRDefault="00B54D51" w:rsidP="00401C67">
            <w:pPr>
              <w:widowControl w:val="0"/>
              <w:autoSpaceDE w:val="0"/>
              <w:autoSpaceDN w:val="0"/>
              <w:adjustRightInd w:val="0"/>
            </w:pPr>
          </w:p>
        </w:tc>
        <w:tc>
          <w:tcPr>
            <w:tcW w:w="834" w:type="pct"/>
            <w:tcBorders>
              <w:top w:val="nil"/>
              <w:left w:val="nil"/>
              <w:bottom w:val="nil"/>
              <w:right w:val="nil"/>
            </w:tcBorders>
          </w:tcPr>
          <w:p w14:paraId="7D5CA70B" w14:textId="77777777" w:rsidR="00B54D51" w:rsidRPr="00037AD4" w:rsidRDefault="00B54D51" w:rsidP="00401C67">
            <w:pPr>
              <w:widowControl w:val="0"/>
              <w:autoSpaceDE w:val="0"/>
              <w:autoSpaceDN w:val="0"/>
              <w:adjustRightInd w:val="0"/>
              <w:jc w:val="center"/>
            </w:pPr>
            <w:r w:rsidRPr="00037AD4">
              <w:t>(0.248 - 1.565)</w:t>
            </w:r>
          </w:p>
        </w:tc>
        <w:tc>
          <w:tcPr>
            <w:tcW w:w="834" w:type="pct"/>
            <w:tcBorders>
              <w:top w:val="nil"/>
              <w:left w:val="nil"/>
              <w:bottom w:val="nil"/>
              <w:right w:val="nil"/>
            </w:tcBorders>
          </w:tcPr>
          <w:p w14:paraId="6681450F" w14:textId="77777777" w:rsidR="00B54D51" w:rsidRPr="00037AD4" w:rsidRDefault="00B54D51" w:rsidP="00401C67">
            <w:pPr>
              <w:widowControl w:val="0"/>
              <w:autoSpaceDE w:val="0"/>
              <w:autoSpaceDN w:val="0"/>
              <w:adjustRightInd w:val="0"/>
              <w:jc w:val="center"/>
            </w:pPr>
          </w:p>
        </w:tc>
        <w:tc>
          <w:tcPr>
            <w:tcW w:w="784" w:type="pct"/>
            <w:tcBorders>
              <w:top w:val="nil"/>
              <w:left w:val="nil"/>
              <w:bottom w:val="nil"/>
              <w:right w:val="nil"/>
            </w:tcBorders>
          </w:tcPr>
          <w:p w14:paraId="0843383B" w14:textId="77777777" w:rsidR="00B54D51" w:rsidRPr="00037AD4" w:rsidRDefault="00B54D51" w:rsidP="00401C67">
            <w:pPr>
              <w:widowControl w:val="0"/>
              <w:autoSpaceDE w:val="0"/>
              <w:autoSpaceDN w:val="0"/>
              <w:adjustRightInd w:val="0"/>
              <w:jc w:val="center"/>
            </w:pPr>
          </w:p>
        </w:tc>
        <w:tc>
          <w:tcPr>
            <w:tcW w:w="784" w:type="pct"/>
            <w:tcBorders>
              <w:top w:val="nil"/>
              <w:left w:val="nil"/>
              <w:bottom w:val="nil"/>
              <w:right w:val="nil"/>
            </w:tcBorders>
          </w:tcPr>
          <w:p w14:paraId="15D0D281" w14:textId="77777777" w:rsidR="00B54D51" w:rsidRPr="00037AD4" w:rsidRDefault="00B54D51" w:rsidP="00401C67">
            <w:pPr>
              <w:widowControl w:val="0"/>
              <w:autoSpaceDE w:val="0"/>
              <w:autoSpaceDN w:val="0"/>
              <w:adjustRightInd w:val="0"/>
              <w:jc w:val="center"/>
            </w:pPr>
          </w:p>
        </w:tc>
        <w:tc>
          <w:tcPr>
            <w:tcW w:w="786" w:type="pct"/>
            <w:tcBorders>
              <w:top w:val="nil"/>
              <w:left w:val="nil"/>
              <w:bottom w:val="nil"/>
              <w:right w:val="nil"/>
            </w:tcBorders>
          </w:tcPr>
          <w:p w14:paraId="072852A4" w14:textId="77777777" w:rsidR="00B54D51" w:rsidRPr="00037AD4" w:rsidRDefault="00B54D51" w:rsidP="00401C67">
            <w:pPr>
              <w:widowControl w:val="0"/>
              <w:autoSpaceDE w:val="0"/>
              <w:autoSpaceDN w:val="0"/>
              <w:adjustRightInd w:val="0"/>
              <w:jc w:val="center"/>
            </w:pPr>
          </w:p>
        </w:tc>
      </w:tr>
      <w:tr w:rsidR="00B54D51" w:rsidRPr="00037AD4" w14:paraId="01DEDC8A" w14:textId="77777777" w:rsidTr="00401C67">
        <w:trPr>
          <w:jc w:val="center"/>
        </w:trPr>
        <w:tc>
          <w:tcPr>
            <w:tcW w:w="977" w:type="pct"/>
            <w:tcBorders>
              <w:top w:val="nil"/>
              <w:left w:val="nil"/>
              <w:bottom w:val="nil"/>
              <w:right w:val="nil"/>
            </w:tcBorders>
          </w:tcPr>
          <w:p w14:paraId="144A15C0" w14:textId="77777777" w:rsidR="00B54D51" w:rsidRPr="00037AD4" w:rsidRDefault="00B54D51" w:rsidP="00401C67">
            <w:pPr>
              <w:widowControl w:val="0"/>
              <w:autoSpaceDE w:val="0"/>
              <w:autoSpaceDN w:val="0"/>
              <w:adjustRightInd w:val="0"/>
            </w:pPr>
            <w:r w:rsidRPr="00037AD4">
              <w:t>2.eq4SR_</w:t>
            </w:r>
          </w:p>
        </w:tc>
        <w:tc>
          <w:tcPr>
            <w:tcW w:w="834" w:type="pct"/>
            <w:tcBorders>
              <w:top w:val="nil"/>
              <w:left w:val="nil"/>
              <w:bottom w:val="nil"/>
              <w:right w:val="nil"/>
            </w:tcBorders>
          </w:tcPr>
          <w:p w14:paraId="7931101B" w14:textId="77777777" w:rsidR="00B54D51" w:rsidRPr="00037AD4" w:rsidRDefault="00B54D51" w:rsidP="00401C67">
            <w:pPr>
              <w:widowControl w:val="0"/>
              <w:autoSpaceDE w:val="0"/>
              <w:autoSpaceDN w:val="0"/>
              <w:adjustRightInd w:val="0"/>
              <w:jc w:val="center"/>
            </w:pPr>
            <w:r w:rsidRPr="00037AD4">
              <w:t>0.194*</w:t>
            </w:r>
          </w:p>
        </w:tc>
        <w:tc>
          <w:tcPr>
            <w:tcW w:w="834" w:type="pct"/>
            <w:tcBorders>
              <w:top w:val="nil"/>
              <w:left w:val="nil"/>
              <w:bottom w:val="nil"/>
              <w:right w:val="nil"/>
            </w:tcBorders>
          </w:tcPr>
          <w:p w14:paraId="6A43E633" w14:textId="77777777" w:rsidR="00B54D51" w:rsidRPr="00037AD4" w:rsidRDefault="00B54D51" w:rsidP="00401C67">
            <w:pPr>
              <w:widowControl w:val="0"/>
              <w:autoSpaceDE w:val="0"/>
              <w:autoSpaceDN w:val="0"/>
              <w:adjustRightInd w:val="0"/>
              <w:jc w:val="center"/>
            </w:pPr>
          </w:p>
        </w:tc>
        <w:tc>
          <w:tcPr>
            <w:tcW w:w="784" w:type="pct"/>
            <w:tcBorders>
              <w:top w:val="nil"/>
              <w:left w:val="nil"/>
              <w:bottom w:val="nil"/>
              <w:right w:val="nil"/>
            </w:tcBorders>
          </w:tcPr>
          <w:p w14:paraId="49E31F3F" w14:textId="77777777" w:rsidR="00B54D51" w:rsidRPr="00037AD4" w:rsidRDefault="00B54D51" w:rsidP="00401C67">
            <w:pPr>
              <w:widowControl w:val="0"/>
              <w:autoSpaceDE w:val="0"/>
              <w:autoSpaceDN w:val="0"/>
              <w:adjustRightInd w:val="0"/>
              <w:jc w:val="center"/>
            </w:pPr>
          </w:p>
        </w:tc>
        <w:tc>
          <w:tcPr>
            <w:tcW w:w="784" w:type="pct"/>
            <w:tcBorders>
              <w:top w:val="nil"/>
              <w:left w:val="nil"/>
              <w:bottom w:val="nil"/>
              <w:right w:val="nil"/>
            </w:tcBorders>
          </w:tcPr>
          <w:p w14:paraId="2932A33B" w14:textId="77777777" w:rsidR="00B54D51" w:rsidRPr="00037AD4" w:rsidRDefault="00B54D51" w:rsidP="00401C67">
            <w:pPr>
              <w:widowControl w:val="0"/>
              <w:autoSpaceDE w:val="0"/>
              <w:autoSpaceDN w:val="0"/>
              <w:adjustRightInd w:val="0"/>
              <w:jc w:val="center"/>
            </w:pPr>
          </w:p>
        </w:tc>
        <w:tc>
          <w:tcPr>
            <w:tcW w:w="786" w:type="pct"/>
            <w:tcBorders>
              <w:top w:val="nil"/>
              <w:left w:val="nil"/>
              <w:bottom w:val="nil"/>
              <w:right w:val="nil"/>
            </w:tcBorders>
          </w:tcPr>
          <w:p w14:paraId="16ACE521" w14:textId="77777777" w:rsidR="00B54D51" w:rsidRPr="00037AD4" w:rsidRDefault="00B54D51" w:rsidP="00401C67">
            <w:pPr>
              <w:widowControl w:val="0"/>
              <w:autoSpaceDE w:val="0"/>
              <w:autoSpaceDN w:val="0"/>
              <w:adjustRightInd w:val="0"/>
              <w:jc w:val="center"/>
            </w:pPr>
          </w:p>
        </w:tc>
      </w:tr>
      <w:tr w:rsidR="00B54D51" w:rsidRPr="00037AD4" w14:paraId="42BE7B39" w14:textId="77777777" w:rsidTr="00401C67">
        <w:trPr>
          <w:jc w:val="center"/>
        </w:trPr>
        <w:tc>
          <w:tcPr>
            <w:tcW w:w="977" w:type="pct"/>
            <w:tcBorders>
              <w:top w:val="nil"/>
              <w:left w:val="nil"/>
              <w:bottom w:val="nil"/>
              <w:right w:val="nil"/>
            </w:tcBorders>
          </w:tcPr>
          <w:p w14:paraId="5DBF3A6D" w14:textId="77777777" w:rsidR="00B54D51" w:rsidRPr="00037AD4" w:rsidRDefault="00B54D51" w:rsidP="00401C67">
            <w:pPr>
              <w:widowControl w:val="0"/>
              <w:autoSpaceDE w:val="0"/>
              <w:autoSpaceDN w:val="0"/>
              <w:adjustRightInd w:val="0"/>
            </w:pPr>
          </w:p>
        </w:tc>
        <w:tc>
          <w:tcPr>
            <w:tcW w:w="834" w:type="pct"/>
            <w:tcBorders>
              <w:top w:val="nil"/>
              <w:left w:val="nil"/>
              <w:bottom w:val="nil"/>
              <w:right w:val="nil"/>
            </w:tcBorders>
          </w:tcPr>
          <w:p w14:paraId="0C314C75" w14:textId="77777777" w:rsidR="00B54D51" w:rsidRPr="00037AD4" w:rsidRDefault="00B54D51" w:rsidP="00401C67">
            <w:pPr>
              <w:widowControl w:val="0"/>
              <w:autoSpaceDE w:val="0"/>
              <w:autoSpaceDN w:val="0"/>
              <w:adjustRightInd w:val="0"/>
              <w:jc w:val="center"/>
            </w:pPr>
            <w:r w:rsidRPr="00037AD4">
              <w:t>(-0.027 - 0.415)</w:t>
            </w:r>
          </w:p>
        </w:tc>
        <w:tc>
          <w:tcPr>
            <w:tcW w:w="834" w:type="pct"/>
            <w:tcBorders>
              <w:top w:val="nil"/>
              <w:left w:val="nil"/>
              <w:bottom w:val="nil"/>
              <w:right w:val="nil"/>
            </w:tcBorders>
          </w:tcPr>
          <w:p w14:paraId="5A4EDB5A" w14:textId="77777777" w:rsidR="00B54D51" w:rsidRPr="00037AD4" w:rsidRDefault="00B54D51" w:rsidP="00401C67">
            <w:pPr>
              <w:widowControl w:val="0"/>
              <w:autoSpaceDE w:val="0"/>
              <w:autoSpaceDN w:val="0"/>
              <w:adjustRightInd w:val="0"/>
              <w:jc w:val="center"/>
            </w:pPr>
          </w:p>
        </w:tc>
        <w:tc>
          <w:tcPr>
            <w:tcW w:w="784" w:type="pct"/>
            <w:tcBorders>
              <w:top w:val="nil"/>
              <w:left w:val="nil"/>
              <w:bottom w:val="nil"/>
              <w:right w:val="nil"/>
            </w:tcBorders>
          </w:tcPr>
          <w:p w14:paraId="1E41E40A" w14:textId="77777777" w:rsidR="00B54D51" w:rsidRPr="00037AD4" w:rsidRDefault="00B54D51" w:rsidP="00401C67">
            <w:pPr>
              <w:widowControl w:val="0"/>
              <w:autoSpaceDE w:val="0"/>
              <w:autoSpaceDN w:val="0"/>
              <w:adjustRightInd w:val="0"/>
              <w:jc w:val="center"/>
            </w:pPr>
          </w:p>
        </w:tc>
        <w:tc>
          <w:tcPr>
            <w:tcW w:w="784" w:type="pct"/>
            <w:tcBorders>
              <w:top w:val="nil"/>
              <w:left w:val="nil"/>
              <w:bottom w:val="nil"/>
              <w:right w:val="nil"/>
            </w:tcBorders>
          </w:tcPr>
          <w:p w14:paraId="60D60D07" w14:textId="77777777" w:rsidR="00B54D51" w:rsidRPr="00037AD4" w:rsidRDefault="00B54D51" w:rsidP="00401C67">
            <w:pPr>
              <w:widowControl w:val="0"/>
              <w:autoSpaceDE w:val="0"/>
              <w:autoSpaceDN w:val="0"/>
              <w:adjustRightInd w:val="0"/>
              <w:jc w:val="center"/>
            </w:pPr>
          </w:p>
        </w:tc>
        <w:tc>
          <w:tcPr>
            <w:tcW w:w="786" w:type="pct"/>
            <w:tcBorders>
              <w:top w:val="nil"/>
              <w:left w:val="nil"/>
              <w:bottom w:val="nil"/>
              <w:right w:val="nil"/>
            </w:tcBorders>
          </w:tcPr>
          <w:p w14:paraId="0EBEA4A1" w14:textId="77777777" w:rsidR="00B54D51" w:rsidRPr="00037AD4" w:rsidRDefault="00B54D51" w:rsidP="00401C67">
            <w:pPr>
              <w:widowControl w:val="0"/>
              <w:autoSpaceDE w:val="0"/>
              <w:autoSpaceDN w:val="0"/>
              <w:adjustRightInd w:val="0"/>
              <w:jc w:val="center"/>
            </w:pPr>
          </w:p>
        </w:tc>
      </w:tr>
      <w:tr w:rsidR="00B54D51" w:rsidRPr="00037AD4" w14:paraId="7AE086E7" w14:textId="77777777" w:rsidTr="00401C67">
        <w:trPr>
          <w:jc w:val="center"/>
        </w:trPr>
        <w:tc>
          <w:tcPr>
            <w:tcW w:w="977" w:type="pct"/>
            <w:tcBorders>
              <w:top w:val="nil"/>
              <w:left w:val="nil"/>
              <w:bottom w:val="nil"/>
              <w:right w:val="nil"/>
            </w:tcBorders>
          </w:tcPr>
          <w:p w14:paraId="2089FF2B" w14:textId="77777777" w:rsidR="00B54D51" w:rsidRPr="00037AD4" w:rsidRDefault="00B54D51" w:rsidP="00401C67">
            <w:pPr>
              <w:widowControl w:val="0"/>
              <w:autoSpaceDE w:val="0"/>
              <w:autoSpaceDN w:val="0"/>
              <w:adjustRightInd w:val="0"/>
            </w:pPr>
            <w:r w:rsidRPr="00037AD4">
              <w:t>3.eq4SR_</w:t>
            </w:r>
          </w:p>
        </w:tc>
        <w:tc>
          <w:tcPr>
            <w:tcW w:w="834" w:type="pct"/>
            <w:tcBorders>
              <w:top w:val="nil"/>
              <w:left w:val="nil"/>
              <w:bottom w:val="nil"/>
              <w:right w:val="nil"/>
            </w:tcBorders>
          </w:tcPr>
          <w:p w14:paraId="690ED6B5" w14:textId="77777777" w:rsidR="00B54D51" w:rsidRPr="00037AD4" w:rsidRDefault="00B54D51" w:rsidP="00401C67">
            <w:pPr>
              <w:widowControl w:val="0"/>
              <w:autoSpaceDE w:val="0"/>
              <w:autoSpaceDN w:val="0"/>
              <w:adjustRightInd w:val="0"/>
              <w:jc w:val="center"/>
            </w:pPr>
            <w:r w:rsidRPr="00037AD4">
              <w:t>0.091</w:t>
            </w:r>
          </w:p>
        </w:tc>
        <w:tc>
          <w:tcPr>
            <w:tcW w:w="834" w:type="pct"/>
            <w:tcBorders>
              <w:top w:val="nil"/>
              <w:left w:val="nil"/>
              <w:bottom w:val="nil"/>
              <w:right w:val="nil"/>
            </w:tcBorders>
          </w:tcPr>
          <w:p w14:paraId="794FBF88" w14:textId="77777777" w:rsidR="00B54D51" w:rsidRPr="00037AD4" w:rsidRDefault="00B54D51" w:rsidP="00401C67">
            <w:pPr>
              <w:widowControl w:val="0"/>
              <w:autoSpaceDE w:val="0"/>
              <w:autoSpaceDN w:val="0"/>
              <w:adjustRightInd w:val="0"/>
              <w:jc w:val="center"/>
            </w:pPr>
          </w:p>
        </w:tc>
        <w:tc>
          <w:tcPr>
            <w:tcW w:w="784" w:type="pct"/>
            <w:tcBorders>
              <w:top w:val="nil"/>
              <w:left w:val="nil"/>
              <w:bottom w:val="nil"/>
              <w:right w:val="nil"/>
            </w:tcBorders>
          </w:tcPr>
          <w:p w14:paraId="0373C630" w14:textId="77777777" w:rsidR="00B54D51" w:rsidRPr="00037AD4" w:rsidRDefault="00B54D51" w:rsidP="00401C67">
            <w:pPr>
              <w:widowControl w:val="0"/>
              <w:autoSpaceDE w:val="0"/>
              <w:autoSpaceDN w:val="0"/>
              <w:adjustRightInd w:val="0"/>
              <w:jc w:val="center"/>
            </w:pPr>
          </w:p>
        </w:tc>
        <w:tc>
          <w:tcPr>
            <w:tcW w:w="784" w:type="pct"/>
            <w:tcBorders>
              <w:top w:val="nil"/>
              <w:left w:val="nil"/>
              <w:bottom w:val="nil"/>
              <w:right w:val="nil"/>
            </w:tcBorders>
          </w:tcPr>
          <w:p w14:paraId="0B86C3A2" w14:textId="77777777" w:rsidR="00B54D51" w:rsidRPr="00037AD4" w:rsidRDefault="00B54D51" w:rsidP="00401C67">
            <w:pPr>
              <w:widowControl w:val="0"/>
              <w:autoSpaceDE w:val="0"/>
              <w:autoSpaceDN w:val="0"/>
              <w:adjustRightInd w:val="0"/>
              <w:jc w:val="center"/>
            </w:pPr>
          </w:p>
        </w:tc>
        <w:tc>
          <w:tcPr>
            <w:tcW w:w="786" w:type="pct"/>
            <w:tcBorders>
              <w:top w:val="nil"/>
              <w:left w:val="nil"/>
              <w:bottom w:val="nil"/>
              <w:right w:val="nil"/>
            </w:tcBorders>
          </w:tcPr>
          <w:p w14:paraId="4C0BC710" w14:textId="77777777" w:rsidR="00B54D51" w:rsidRPr="00037AD4" w:rsidRDefault="00B54D51" w:rsidP="00401C67">
            <w:pPr>
              <w:widowControl w:val="0"/>
              <w:autoSpaceDE w:val="0"/>
              <w:autoSpaceDN w:val="0"/>
              <w:adjustRightInd w:val="0"/>
              <w:jc w:val="center"/>
            </w:pPr>
          </w:p>
        </w:tc>
      </w:tr>
      <w:tr w:rsidR="00B54D51" w:rsidRPr="00037AD4" w14:paraId="22954FF4" w14:textId="77777777" w:rsidTr="00401C67">
        <w:trPr>
          <w:jc w:val="center"/>
        </w:trPr>
        <w:tc>
          <w:tcPr>
            <w:tcW w:w="977" w:type="pct"/>
            <w:tcBorders>
              <w:top w:val="nil"/>
              <w:left w:val="nil"/>
              <w:bottom w:val="nil"/>
              <w:right w:val="nil"/>
            </w:tcBorders>
          </w:tcPr>
          <w:p w14:paraId="12A440CF" w14:textId="77777777" w:rsidR="00B54D51" w:rsidRPr="00037AD4" w:rsidRDefault="00B54D51" w:rsidP="00401C67">
            <w:pPr>
              <w:widowControl w:val="0"/>
              <w:autoSpaceDE w:val="0"/>
              <w:autoSpaceDN w:val="0"/>
              <w:adjustRightInd w:val="0"/>
            </w:pPr>
          </w:p>
        </w:tc>
        <w:tc>
          <w:tcPr>
            <w:tcW w:w="834" w:type="pct"/>
            <w:tcBorders>
              <w:top w:val="nil"/>
              <w:left w:val="nil"/>
              <w:bottom w:val="nil"/>
              <w:right w:val="nil"/>
            </w:tcBorders>
          </w:tcPr>
          <w:p w14:paraId="42570676" w14:textId="77777777" w:rsidR="00B54D51" w:rsidRPr="00037AD4" w:rsidRDefault="00B54D51" w:rsidP="00401C67">
            <w:pPr>
              <w:widowControl w:val="0"/>
              <w:autoSpaceDE w:val="0"/>
              <w:autoSpaceDN w:val="0"/>
              <w:adjustRightInd w:val="0"/>
              <w:jc w:val="center"/>
            </w:pPr>
            <w:r w:rsidRPr="00037AD4">
              <w:t>(-0.201 - 0.384)</w:t>
            </w:r>
          </w:p>
        </w:tc>
        <w:tc>
          <w:tcPr>
            <w:tcW w:w="834" w:type="pct"/>
            <w:tcBorders>
              <w:top w:val="nil"/>
              <w:left w:val="nil"/>
              <w:bottom w:val="nil"/>
              <w:right w:val="nil"/>
            </w:tcBorders>
          </w:tcPr>
          <w:p w14:paraId="1F9FBEBA" w14:textId="77777777" w:rsidR="00B54D51" w:rsidRPr="00037AD4" w:rsidRDefault="00B54D51" w:rsidP="00401C67">
            <w:pPr>
              <w:widowControl w:val="0"/>
              <w:autoSpaceDE w:val="0"/>
              <w:autoSpaceDN w:val="0"/>
              <w:adjustRightInd w:val="0"/>
              <w:jc w:val="center"/>
            </w:pPr>
          </w:p>
        </w:tc>
        <w:tc>
          <w:tcPr>
            <w:tcW w:w="784" w:type="pct"/>
            <w:tcBorders>
              <w:top w:val="nil"/>
              <w:left w:val="nil"/>
              <w:bottom w:val="nil"/>
              <w:right w:val="nil"/>
            </w:tcBorders>
          </w:tcPr>
          <w:p w14:paraId="4E64A196" w14:textId="77777777" w:rsidR="00B54D51" w:rsidRPr="00037AD4" w:rsidRDefault="00B54D51" w:rsidP="00401C67">
            <w:pPr>
              <w:widowControl w:val="0"/>
              <w:autoSpaceDE w:val="0"/>
              <w:autoSpaceDN w:val="0"/>
              <w:adjustRightInd w:val="0"/>
              <w:jc w:val="center"/>
            </w:pPr>
          </w:p>
        </w:tc>
        <w:tc>
          <w:tcPr>
            <w:tcW w:w="784" w:type="pct"/>
            <w:tcBorders>
              <w:top w:val="nil"/>
              <w:left w:val="nil"/>
              <w:bottom w:val="nil"/>
              <w:right w:val="nil"/>
            </w:tcBorders>
          </w:tcPr>
          <w:p w14:paraId="0597E44B" w14:textId="77777777" w:rsidR="00B54D51" w:rsidRPr="00037AD4" w:rsidRDefault="00B54D51" w:rsidP="00401C67">
            <w:pPr>
              <w:widowControl w:val="0"/>
              <w:autoSpaceDE w:val="0"/>
              <w:autoSpaceDN w:val="0"/>
              <w:adjustRightInd w:val="0"/>
              <w:jc w:val="center"/>
            </w:pPr>
          </w:p>
        </w:tc>
        <w:tc>
          <w:tcPr>
            <w:tcW w:w="786" w:type="pct"/>
            <w:tcBorders>
              <w:top w:val="nil"/>
              <w:left w:val="nil"/>
              <w:bottom w:val="nil"/>
              <w:right w:val="nil"/>
            </w:tcBorders>
          </w:tcPr>
          <w:p w14:paraId="2F1DBAD5" w14:textId="77777777" w:rsidR="00B54D51" w:rsidRPr="00037AD4" w:rsidRDefault="00B54D51" w:rsidP="00401C67">
            <w:pPr>
              <w:widowControl w:val="0"/>
              <w:autoSpaceDE w:val="0"/>
              <w:autoSpaceDN w:val="0"/>
              <w:adjustRightInd w:val="0"/>
              <w:jc w:val="center"/>
            </w:pPr>
          </w:p>
        </w:tc>
      </w:tr>
      <w:tr w:rsidR="00B54D51" w:rsidRPr="00037AD4" w14:paraId="45B6EB3D" w14:textId="77777777" w:rsidTr="00401C67">
        <w:trPr>
          <w:jc w:val="center"/>
        </w:trPr>
        <w:tc>
          <w:tcPr>
            <w:tcW w:w="977" w:type="pct"/>
            <w:tcBorders>
              <w:top w:val="nil"/>
              <w:left w:val="nil"/>
              <w:bottom w:val="nil"/>
              <w:right w:val="nil"/>
            </w:tcBorders>
          </w:tcPr>
          <w:p w14:paraId="5528FD8F" w14:textId="77777777" w:rsidR="00B54D51" w:rsidRPr="00037AD4" w:rsidRDefault="00B54D51" w:rsidP="00401C67">
            <w:pPr>
              <w:widowControl w:val="0"/>
              <w:autoSpaceDE w:val="0"/>
              <w:autoSpaceDN w:val="0"/>
              <w:adjustRightInd w:val="0"/>
            </w:pPr>
            <w:r w:rsidRPr="00037AD4">
              <w:t>4.eq4SR_</w:t>
            </w:r>
          </w:p>
        </w:tc>
        <w:tc>
          <w:tcPr>
            <w:tcW w:w="834" w:type="pct"/>
            <w:tcBorders>
              <w:top w:val="nil"/>
              <w:left w:val="nil"/>
              <w:bottom w:val="nil"/>
              <w:right w:val="nil"/>
            </w:tcBorders>
          </w:tcPr>
          <w:p w14:paraId="20944073" w14:textId="77777777" w:rsidR="00B54D51" w:rsidRPr="00037AD4" w:rsidRDefault="00B54D51" w:rsidP="00401C67">
            <w:pPr>
              <w:widowControl w:val="0"/>
              <w:autoSpaceDE w:val="0"/>
              <w:autoSpaceDN w:val="0"/>
              <w:adjustRightInd w:val="0"/>
              <w:jc w:val="center"/>
            </w:pPr>
            <w:r w:rsidRPr="00037AD4">
              <w:t>0.138</w:t>
            </w:r>
          </w:p>
        </w:tc>
        <w:tc>
          <w:tcPr>
            <w:tcW w:w="834" w:type="pct"/>
            <w:tcBorders>
              <w:top w:val="nil"/>
              <w:left w:val="nil"/>
              <w:bottom w:val="nil"/>
              <w:right w:val="nil"/>
            </w:tcBorders>
          </w:tcPr>
          <w:p w14:paraId="72794C06" w14:textId="77777777" w:rsidR="00B54D51" w:rsidRPr="00037AD4" w:rsidRDefault="00B54D51" w:rsidP="00401C67">
            <w:pPr>
              <w:widowControl w:val="0"/>
              <w:autoSpaceDE w:val="0"/>
              <w:autoSpaceDN w:val="0"/>
              <w:adjustRightInd w:val="0"/>
              <w:jc w:val="center"/>
            </w:pPr>
          </w:p>
        </w:tc>
        <w:tc>
          <w:tcPr>
            <w:tcW w:w="784" w:type="pct"/>
            <w:tcBorders>
              <w:top w:val="nil"/>
              <w:left w:val="nil"/>
              <w:bottom w:val="nil"/>
              <w:right w:val="nil"/>
            </w:tcBorders>
          </w:tcPr>
          <w:p w14:paraId="326670A0" w14:textId="77777777" w:rsidR="00B54D51" w:rsidRPr="00037AD4" w:rsidRDefault="00B54D51" w:rsidP="00401C67">
            <w:pPr>
              <w:widowControl w:val="0"/>
              <w:autoSpaceDE w:val="0"/>
              <w:autoSpaceDN w:val="0"/>
              <w:adjustRightInd w:val="0"/>
              <w:jc w:val="center"/>
            </w:pPr>
          </w:p>
        </w:tc>
        <w:tc>
          <w:tcPr>
            <w:tcW w:w="784" w:type="pct"/>
            <w:tcBorders>
              <w:top w:val="nil"/>
              <w:left w:val="nil"/>
              <w:bottom w:val="nil"/>
              <w:right w:val="nil"/>
            </w:tcBorders>
          </w:tcPr>
          <w:p w14:paraId="1EFB7A13" w14:textId="77777777" w:rsidR="00B54D51" w:rsidRPr="00037AD4" w:rsidRDefault="00B54D51" w:rsidP="00401C67">
            <w:pPr>
              <w:widowControl w:val="0"/>
              <w:autoSpaceDE w:val="0"/>
              <w:autoSpaceDN w:val="0"/>
              <w:adjustRightInd w:val="0"/>
              <w:jc w:val="center"/>
            </w:pPr>
          </w:p>
        </w:tc>
        <w:tc>
          <w:tcPr>
            <w:tcW w:w="786" w:type="pct"/>
            <w:tcBorders>
              <w:top w:val="nil"/>
              <w:left w:val="nil"/>
              <w:bottom w:val="nil"/>
              <w:right w:val="nil"/>
            </w:tcBorders>
          </w:tcPr>
          <w:p w14:paraId="3086FD79" w14:textId="77777777" w:rsidR="00B54D51" w:rsidRPr="00037AD4" w:rsidRDefault="00B54D51" w:rsidP="00401C67">
            <w:pPr>
              <w:widowControl w:val="0"/>
              <w:autoSpaceDE w:val="0"/>
              <w:autoSpaceDN w:val="0"/>
              <w:adjustRightInd w:val="0"/>
              <w:jc w:val="center"/>
            </w:pPr>
          </w:p>
        </w:tc>
      </w:tr>
      <w:tr w:rsidR="00B54D51" w:rsidRPr="00037AD4" w14:paraId="4BCFFD87" w14:textId="77777777" w:rsidTr="00401C67">
        <w:trPr>
          <w:jc w:val="center"/>
        </w:trPr>
        <w:tc>
          <w:tcPr>
            <w:tcW w:w="977" w:type="pct"/>
            <w:tcBorders>
              <w:top w:val="nil"/>
              <w:left w:val="nil"/>
              <w:bottom w:val="nil"/>
              <w:right w:val="nil"/>
            </w:tcBorders>
          </w:tcPr>
          <w:p w14:paraId="156B6CAA" w14:textId="77777777" w:rsidR="00B54D51" w:rsidRPr="00037AD4" w:rsidRDefault="00B54D51" w:rsidP="00401C67">
            <w:pPr>
              <w:widowControl w:val="0"/>
              <w:autoSpaceDE w:val="0"/>
              <w:autoSpaceDN w:val="0"/>
              <w:adjustRightInd w:val="0"/>
            </w:pPr>
          </w:p>
        </w:tc>
        <w:tc>
          <w:tcPr>
            <w:tcW w:w="834" w:type="pct"/>
            <w:tcBorders>
              <w:top w:val="nil"/>
              <w:left w:val="nil"/>
              <w:bottom w:val="nil"/>
              <w:right w:val="nil"/>
            </w:tcBorders>
          </w:tcPr>
          <w:p w14:paraId="55345FA4" w14:textId="77777777" w:rsidR="00B54D51" w:rsidRPr="00037AD4" w:rsidRDefault="00B54D51" w:rsidP="00401C67">
            <w:pPr>
              <w:widowControl w:val="0"/>
              <w:autoSpaceDE w:val="0"/>
              <w:autoSpaceDN w:val="0"/>
              <w:adjustRightInd w:val="0"/>
              <w:jc w:val="center"/>
            </w:pPr>
            <w:r w:rsidRPr="00037AD4">
              <w:t>(-0.386 - 0.662)</w:t>
            </w:r>
          </w:p>
        </w:tc>
        <w:tc>
          <w:tcPr>
            <w:tcW w:w="834" w:type="pct"/>
            <w:tcBorders>
              <w:top w:val="nil"/>
              <w:left w:val="nil"/>
              <w:bottom w:val="nil"/>
              <w:right w:val="nil"/>
            </w:tcBorders>
          </w:tcPr>
          <w:p w14:paraId="55460505" w14:textId="77777777" w:rsidR="00B54D51" w:rsidRPr="00037AD4" w:rsidRDefault="00B54D51" w:rsidP="00401C67">
            <w:pPr>
              <w:widowControl w:val="0"/>
              <w:autoSpaceDE w:val="0"/>
              <w:autoSpaceDN w:val="0"/>
              <w:adjustRightInd w:val="0"/>
              <w:jc w:val="center"/>
            </w:pPr>
          </w:p>
        </w:tc>
        <w:tc>
          <w:tcPr>
            <w:tcW w:w="784" w:type="pct"/>
            <w:tcBorders>
              <w:top w:val="nil"/>
              <w:left w:val="nil"/>
              <w:bottom w:val="nil"/>
              <w:right w:val="nil"/>
            </w:tcBorders>
          </w:tcPr>
          <w:p w14:paraId="7A3B86FA" w14:textId="77777777" w:rsidR="00B54D51" w:rsidRPr="00037AD4" w:rsidRDefault="00B54D51" w:rsidP="00401C67">
            <w:pPr>
              <w:widowControl w:val="0"/>
              <w:autoSpaceDE w:val="0"/>
              <w:autoSpaceDN w:val="0"/>
              <w:adjustRightInd w:val="0"/>
              <w:jc w:val="center"/>
            </w:pPr>
          </w:p>
        </w:tc>
        <w:tc>
          <w:tcPr>
            <w:tcW w:w="784" w:type="pct"/>
            <w:tcBorders>
              <w:top w:val="nil"/>
              <w:left w:val="nil"/>
              <w:bottom w:val="nil"/>
              <w:right w:val="nil"/>
            </w:tcBorders>
          </w:tcPr>
          <w:p w14:paraId="58B60FD1" w14:textId="77777777" w:rsidR="00B54D51" w:rsidRPr="00037AD4" w:rsidRDefault="00B54D51" w:rsidP="00401C67">
            <w:pPr>
              <w:widowControl w:val="0"/>
              <w:autoSpaceDE w:val="0"/>
              <w:autoSpaceDN w:val="0"/>
              <w:adjustRightInd w:val="0"/>
              <w:jc w:val="center"/>
            </w:pPr>
          </w:p>
        </w:tc>
        <w:tc>
          <w:tcPr>
            <w:tcW w:w="786" w:type="pct"/>
            <w:tcBorders>
              <w:top w:val="nil"/>
              <w:left w:val="nil"/>
              <w:bottom w:val="nil"/>
              <w:right w:val="nil"/>
            </w:tcBorders>
          </w:tcPr>
          <w:p w14:paraId="5B89AD73" w14:textId="77777777" w:rsidR="00B54D51" w:rsidRPr="00037AD4" w:rsidRDefault="00B54D51" w:rsidP="00401C67">
            <w:pPr>
              <w:widowControl w:val="0"/>
              <w:autoSpaceDE w:val="0"/>
              <w:autoSpaceDN w:val="0"/>
              <w:adjustRightInd w:val="0"/>
              <w:jc w:val="center"/>
            </w:pPr>
          </w:p>
        </w:tc>
      </w:tr>
      <w:tr w:rsidR="00B54D51" w:rsidRPr="00037AD4" w14:paraId="32D0EE11" w14:textId="77777777" w:rsidTr="00401C67">
        <w:trPr>
          <w:jc w:val="center"/>
        </w:trPr>
        <w:tc>
          <w:tcPr>
            <w:tcW w:w="977" w:type="pct"/>
            <w:tcBorders>
              <w:top w:val="nil"/>
              <w:left w:val="nil"/>
              <w:bottom w:val="nil"/>
              <w:right w:val="nil"/>
            </w:tcBorders>
          </w:tcPr>
          <w:p w14:paraId="053DFB57" w14:textId="77777777" w:rsidR="00B54D51" w:rsidRPr="00037AD4" w:rsidRDefault="00B54D51" w:rsidP="00401C67">
            <w:pPr>
              <w:widowControl w:val="0"/>
              <w:autoSpaceDE w:val="0"/>
              <w:autoSpaceDN w:val="0"/>
              <w:adjustRightInd w:val="0"/>
            </w:pPr>
            <w:r w:rsidRPr="00037AD4">
              <w:t>5.eq4SR_</w:t>
            </w:r>
          </w:p>
        </w:tc>
        <w:tc>
          <w:tcPr>
            <w:tcW w:w="834" w:type="pct"/>
            <w:tcBorders>
              <w:top w:val="nil"/>
              <w:left w:val="nil"/>
              <w:bottom w:val="nil"/>
              <w:right w:val="nil"/>
            </w:tcBorders>
          </w:tcPr>
          <w:p w14:paraId="35DFDD2C" w14:textId="77777777" w:rsidR="00B54D51" w:rsidRPr="00037AD4" w:rsidRDefault="00B54D51" w:rsidP="00401C67">
            <w:pPr>
              <w:widowControl w:val="0"/>
              <w:autoSpaceDE w:val="0"/>
              <w:autoSpaceDN w:val="0"/>
              <w:adjustRightInd w:val="0"/>
              <w:jc w:val="center"/>
            </w:pPr>
            <w:r w:rsidRPr="00037AD4">
              <w:t>5.043***</w:t>
            </w:r>
          </w:p>
        </w:tc>
        <w:tc>
          <w:tcPr>
            <w:tcW w:w="834" w:type="pct"/>
            <w:tcBorders>
              <w:top w:val="nil"/>
              <w:left w:val="nil"/>
              <w:bottom w:val="nil"/>
              <w:right w:val="nil"/>
            </w:tcBorders>
          </w:tcPr>
          <w:p w14:paraId="6834AD09" w14:textId="77777777" w:rsidR="00B54D51" w:rsidRPr="00037AD4" w:rsidRDefault="00B54D51" w:rsidP="00401C67">
            <w:pPr>
              <w:widowControl w:val="0"/>
              <w:autoSpaceDE w:val="0"/>
              <w:autoSpaceDN w:val="0"/>
              <w:adjustRightInd w:val="0"/>
              <w:jc w:val="center"/>
            </w:pPr>
          </w:p>
        </w:tc>
        <w:tc>
          <w:tcPr>
            <w:tcW w:w="784" w:type="pct"/>
            <w:tcBorders>
              <w:top w:val="nil"/>
              <w:left w:val="nil"/>
              <w:bottom w:val="nil"/>
              <w:right w:val="nil"/>
            </w:tcBorders>
          </w:tcPr>
          <w:p w14:paraId="47DF1A1F" w14:textId="77777777" w:rsidR="00B54D51" w:rsidRPr="00037AD4" w:rsidRDefault="00B54D51" w:rsidP="00401C67">
            <w:pPr>
              <w:widowControl w:val="0"/>
              <w:autoSpaceDE w:val="0"/>
              <w:autoSpaceDN w:val="0"/>
              <w:adjustRightInd w:val="0"/>
              <w:jc w:val="center"/>
            </w:pPr>
          </w:p>
        </w:tc>
        <w:tc>
          <w:tcPr>
            <w:tcW w:w="784" w:type="pct"/>
            <w:tcBorders>
              <w:top w:val="nil"/>
              <w:left w:val="nil"/>
              <w:bottom w:val="nil"/>
              <w:right w:val="nil"/>
            </w:tcBorders>
          </w:tcPr>
          <w:p w14:paraId="54F9E7A9" w14:textId="77777777" w:rsidR="00B54D51" w:rsidRPr="00037AD4" w:rsidRDefault="00B54D51" w:rsidP="00401C67">
            <w:pPr>
              <w:widowControl w:val="0"/>
              <w:autoSpaceDE w:val="0"/>
              <w:autoSpaceDN w:val="0"/>
              <w:adjustRightInd w:val="0"/>
              <w:jc w:val="center"/>
            </w:pPr>
          </w:p>
        </w:tc>
        <w:tc>
          <w:tcPr>
            <w:tcW w:w="786" w:type="pct"/>
            <w:tcBorders>
              <w:top w:val="nil"/>
              <w:left w:val="nil"/>
              <w:bottom w:val="nil"/>
              <w:right w:val="nil"/>
            </w:tcBorders>
          </w:tcPr>
          <w:p w14:paraId="1239146A" w14:textId="77777777" w:rsidR="00B54D51" w:rsidRPr="00037AD4" w:rsidRDefault="00B54D51" w:rsidP="00401C67">
            <w:pPr>
              <w:widowControl w:val="0"/>
              <w:autoSpaceDE w:val="0"/>
              <w:autoSpaceDN w:val="0"/>
              <w:adjustRightInd w:val="0"/>
              <w:jc w:val="center"/>
            </w:pPr>
          </w:p>
        </w:tc>
      </w:tr>
      <w:tr w:rsidR="00B54D51" w:rsidRPr="00037AD4" w14:paraId="5509243B" w14:textId="77777777" w:rsidTr="00401C67">
        <w:trPr>
          <w:jc w:val="center"/>
        </w:trPr>
        <w:tc>
          <w:tcPr>
            <w:tcW w:w="977" w:type="pct"/>
            <w:tcBorders>
              <w:top w:val="nil"/>
              <w:left w:val="nil"/>
              <w:bottom w:val="nil"/>
              <w:right w:val="nil"/>
            </w:tcBorders>
          </w:tcPr>
          <w:p w14:paraId="1449C790" w14:textId="77777777" w:rsidR="00B54D51" w:rsidRPr="00037AD4" w:rsidRDefault="00B54D51" w:rsidP="00401C67">
            <w:pPr>
              <w:widowControl w:val="0"/>
              <w:autoSpaceDE w:val="0"/>
              <w:autoSpaceDN w:val="0"/>
              <w:adjustRightInd w:val="0"/>
            </w:pPr>
          </w:p>
        </w:tc>
        <w:tc>
          <w:tcPr>
            <w:tcW w:w="834" w:type="pct"/>
            <w:tcBorders>
              <w:top w:val="nil"/>
              <w:left w:val="nil"/>
              <w:bottom w:val="nil"/>
              <w:right w:val="nil"/>
            </w:tcBorders>
          </w:tcPr>
          <w:p w14:paraId="6D799A6E" w14:textId="77777777" w:rsidR="00B54D51" w:rsidRPr="00037AD4" w:rsidRDefault="00B54D51" w:rsidP="00401C67">
            <w:pPr>
              <w:widowControl w:val="0"/>
              <w:autoSpaceDE w:val="0"/>
              <w:autoSpaceDN w:val="0"/>
              <w:adjustRightInd w:val="0"/>
              <w:jc w:val="center"/>
            </w:pPr>
            <w:r w:rsidRPr="00037AD4">
              <w:t>(4.371 - 5.716)</w:t>
            </w:r>
          </w:p>
        </w:tc>
        <w:tc>
          <w:tcPr>
            <w:tcW w:w="834" w:type="pct"/>
            <w:tcBorders>
              <w:top w:val="nil"/>
              <w:left w:val="nil"/>
              <w:bottom w:val="nil"/>
              <w:right w:val="nil"/>
            </w:tcBorders>
          </w:tcPr>
          <w:p w14:paraId="6D2653DC" w14:textId="77777777" w:rsidR="00B54D51" w:rsidRPr="00037AD4" w:rsidRDefault="00B54D51" w:rsidP="00401C67">
            <w:pPr>
              <w:widowControl w:val="0"/>
              <w:autoSpaceDE w:val="0"/>
              <w:autoSpaceDN w:val="0"/>
              <w:adjustRightInd w:val="0"/>
              <w:jc w:val="center"/>
            </w:pPr>
          </w:p>
        </w:tc>
        <w:tc>
          <w:tcPr>
            <w:tcW w:w="784" w:type="pct"/>
            <w:tcBorders>
              <w:top w:val="nil"/>
              <w:left w:val="nil"/>
              <w:bottom w:val="nil"/>
              <w:right w:val="nil"/>
            </w:tcBorders>
          </w:tcPr>
          <w:p w14:paraId="726C2052" w14:textId="77777777" w:rsidR="00B54D51" w:rsidRPr="00037AD4" w:rsidRDefault="00B54D51" w:rsidP="00401C67">
            <w:pPr>
              <w:widowControl w:val="0"/>
              <w:autoSpaceDE w:val="0"/>
              <w:autoSpaceDN w:val="0"/>
              <w:adjustRightInd w:val="0"/>
              <w:jc w:val="center"/>
            </w:pPr>
          </w:p>
        </w:tc>
        <w:tc>
          <w:tcPr>
            <w:tcW w:w="784" w:type="pct"/>
            <w:tcBorders>
              <w:top w:val="nil"/>
              <w:left w:val="nil"/>
              <w:bottom w:val="nil"/>
              <w:right w:val="nil"/>
            </w:tcBorders>
          </w:tcPr>
          <w:p w14:paraId="3920DE4E" w14:textId="77777777" w:rsidR="00B54D51" w:rsidRPr="00037AD4" w:rsidRDefault="00B54D51" w:rsidP="00401C67">
            <w:pPr>
              <w:widowControl w:val="0"/>
              <w:autoSpaceDE w:val="0"/>
              <w:autoSpaceDN w:val="0"/>
              <w:adjustRightInd w:val="0"/>
              <w:jc w:val="center"/>
            </w:pPr>
          </w:p>
        </w:tc>
        <w:tc>
          <w:tcPr>
            <w:tcW w:w="786" w:type="pct"/>
            <w:tcBorders>
              <w:top w:val="nil"/>
              <w:left w:val="nil"/>
              <w:bottom w:val="nil"/>
              <w:right w:val="nil"/>
            </w:tcBorders>
          </w:tcPr>
          <w:p w14:paraId="3CFD1B32" w14:textId="77777777" w:rsidR="00B54D51" w:rsidRPr="00037AD4" w:rsidRDefault="00B54D51" w:rsidP="00401C67">
            <w:pPr>
              <w:widowControl w:val="0"/>
              <w:autoSpaceDE w:val="0"/>
              <w:autoSpaceDN w:val="0"/>
              <w:adjustRightInd w:val="0"/>
              <w:jc w:val="center"/>
            </w:pPr>
          </w:p>
        </w:tc>
      </w:tr>
      <w:tr w:rsidR="00B54D51" w:rsidRPr="00037AD4" w14:paraId="76F5B154" w14:textId="77777777" w:rsidTr="00401C67">
        <w:trPr>
          <w:jc w:val="center"/>
        </w:trPr>
        <w:tc>
          <w:tcPr>
            <w:tcW w:w="977" w:type="pct"/>
            <w:tcBorders>
              <w:top w:val="nil"/>
              <w:left w:val="nil"/>
              <w:bottom w:val="nil"/>
              <w:right w:val="nil"/>
            </w:tcBorders>
          </w:tcPr>
          <w:p w14:paraId="5ABFC7D2" w14:textId="77777777" w:rsidR="00B54D51" w:rsidRPr="00037AD4" w:rsidRDefault="00B54D51" w:rsidP="00401C67">
            <w:pPr>
              <w:widowControl w:val="0"/>
              <w:autoSpaceDE w:val="0"/>
              <w:autoSpaceDN w:val="0"/>
              <w:adjustRightInd w:val="0"/>
            </w:pPr>
            <w:r w:rsidRPr="00037AD4">
              <w:t>2.eq5SR_</w:t>
            </w:r>
          </w:p>
        </w:tc>
        <w:tc>
          <w:tcPr>
            <w:tcW w:w="834" w:type="pct"/>
            <w:tcBorders>
              <w:top w:val="nil"/>
              <w:left w:val="nil"/>
              <w:bottom w:val="nil"/>
              <w:right w:val="nil"/>
            </w:tcBorders>
          </w:tcPr>
          <w:p w14:paraId="0A619BB5" w14:textId="77777777" w:rsidR="00B54D51" w:rsidRPr="00037AD4" w:rsidRDefault="00B54D51" w:rsidP="00401C67">
            <w:pPr>
              <w:widowControl w:val="0"/>
              <w:autoSpaceDE w:val="0"/>
              <w:autoSpaceDN w:val="0"/>
              <w:adjustRightInd w:val="0"/>
              <w:jc w:val="center"/>
            </w:pPr>
            <w:r w:rsidRPr="00037AD4">
              <w:t>-0.404***</w:t>
            </w:r>
          </w:p>
        </w:tc>
        <w:tc>
          <w:tcPr>
            <w:tcW w:w="834" w:type="pct"/>
            <w:tcBorders>
              <w:top w:val="nil"/>
              <w:left w:val="nil"/>
              <w:bottom w:val="nil"/>
              <w:right w:val="nil"/>
            </w:tcBorders>
          </w:tcPr>
          <w:p w14:paraId="5D9F2F1E" w14:textId="77777777" w:rsidR="00B54D51" w:rsidRPr="00037AD4" w:rsidRDefault="00B54D51" w:rsidP="00401C67">
            <w:pPr>
              <w:widowControl w:val="0"/>
              <w:autoSpaceDE w:val="0"/>
              <w:autoSpaceDN w:val="0"/>
              <w:adjustRightInd w:val="0"/>
              <w:jc w:val="center"/>
            </w:pPr>
          </w:p>
        </w:tc>
        <w:tc>
          <w:tcPr>
            <w:tcW w:w="784" w:type="pct"/>
            <w:tcBorders>
              <w:top w:val="nil"/>
              <w:left w:val="nil"/>
              <w:bottom w:val="nil"/>
              <w:right w:val="nil"/>
            </w:tcBorders>
          </w:tcPr>
          <w:p w14:paraId="3EDF6CDD" w14:textId="77777777" w:rsidR="00B54D51" w:rsidRPr="00037AD4" w:rsidRDefault="00B54D51" w:rsidP="00401C67">
            <w:pPr>
              <w:widowControl w:val="0"/>
              <w:autoSpaceDE w:val="0"/>
              <w:autoSpaceDN w:val="0"/>
              <w:adjustRightInd w:val="0"/>
              <w:jc w:val="center"/>
            </w:pPr>
          </w:p>
        </w:tc>
        <w:tc>
          <w:tcPr>
            <w:tcW w:w="784" w:type="pct"/>
            <w:tcBorders>
              <w:top w:val="nil"/>
              <w:left w:val="nil"/>
              <w:bottom w:val="nil"/>
              <w:right w:val="nil"/>
            </w:tcBorders>
          </w:tcPr>
          <w:p w14:paraId="1C602165" w14:textId="77777777" w:rsidR="00B54D51" w:rsidRPr="00037AD4" w:rsidRDefault="00B54D51" w:rsidP="00401C67">
            <w:pPr>
              <w:widowControl w:val="0"/>
              <w:autoSpaceDE w:val="0"/>
              <w:autoSpaceDN w:val="0"/>
              <w:adjustRightInd w:val="0"/>
              <w:jc w:val="center"/>
            </w:pPr>
          </w:p>
        </w:tc>
        <w:tc>
          <w:tcPr>
            <w:tcW w:w="786" w:type="pct"/>
            <w:tcBorders>
              <w:top w:val="nil"/>
              <w:left w:val="nil"/>
              <w:bottom w:val="nil"/>
              <w:right w:val="nil"/>
            </w:tcBorders>
          </w:tcPr>
          <w:p w14:paraId="2EEDE1A1" w14:textId="77777777" w:rsidR="00B54D51" w:rsidRPr="00037AD4" w:rsidRDefault="00B54D51" w:rsidP="00401C67">
            <w:pPr>
              <w:widowControl w:val="0"/>
              <w:autoSpaceDE w:val="0"/>
              <w:autoSpaceDN w:val="0"/>
              <w:adjustRightInd w:val="0"/>
              <w:jc w:val="center"/>
            </w:pPr>
          </w:p>
        </w:tc>
      </w:tr>
      <w:tr w:rsidR="00B54D51" w:rsidRPr="00037AD4" w14:paraId="29919F43" w14:textId="77777777" w:rsidTr="00401C67">
        <w:trPr>
          <w:jc w:val="center"/>
        </w:trPr>
        <w:tc>
          <w:tcPr>
            <w:tcW w:w="977" w:type="pct"/>
            <w:tcBorders>
              <w:top w:val="nil"/>
              <w:left w:val="nil"/>
              <w:bottom w:val="nil"/>
              <w:right w:val="nil"/>
            </w:tcBorders>
          </w:tcPr>
          <w:p w14:paraId="4AA0ED89" w14:textId="77777777" w:rsidR="00B54D51" w:rsidRPr="00037AD4" w:rsidRDefault="00B54D51" w:rsidP="00401C67">
            <w:pPr>
              <w:widowControl w:val="0"/>
              <w:autoSpaceDE w:val="0"/>
              <w:autoSpaceDN w:val="0"/>
              <w:adjustRightInd w:val="0"/>
            </w:pPr>
          </w:p>
        </w:tc>
        <w:tc>
          <w:tcPr>
            <w:tcW w:w="834" w:type="pct"/>
            <w:tcBorders>
              <w:top w:val="nil"/>
              <w:left w:val="nil"/>
              <w:bottom w:val="nil"/>
              <w:right w:val="nil"/>
            </w:tcBorders>
          </w:tcPr>
          <w:p w14:paraId="1AC56ABA" w14:textId="77777777" w:rsidR="00B54D51" w:rsidRPr="00037AD4" w:rsidRDefault="00B54D51" w:rsidP="00401C67">
            <w:pPr>
              <w:widowControl w:val="0"/>
              <w:autoSpaceDE w:val="0"/>
              <w:autoSpaceDN w:val="0"/>
              <w:adjustRightInd w:val="0"/>
              <w:jc w:val="center"/>
            </w:pPr>
            <w:r w:rsidRPr="00037AD4">
              <w:t>(-0.630 - -0.177)</w:t>
            </w:r>
          </w:p>
        </w:tc>
        <w:tc>
          <w:tcPr>
            <w:tcW w:w="834" w:type="pct"/>
            <w:tcBorders>
              <w:top w:val="nil"/>
              <w:left w:val="nil"/>
              <w:bottom w:val="nil"/>
              <w:right w:val="nil"/>
            </w:tcBorders>
          </w:tcPr>
          <w:p w14:paraId="229C1FC3" w14:textId="77777777" w:rsidR="00B54D51" w:rsidRPr="00037AD4" w:rsidRDefault="00B54D51" w:rsidP="00401C67">
            <w:pPr>
              <w:widowControl w:val="0"/>
              <w:autoSpaceDE w:val="0"/>
              <w:autoSpaceDN w:val="0"/>
              <w:adjustRightInd w:val="0"/>
              <w:jc w:val="center"/>
            </w:pPr>
          </w:p>
        </w:tc>
        <w:tc>
          <w:tcPr>
            <w:tcW w:w="784" w:type="pct"/>
            <w:tcBorders>
              <w:top w:val="nil"/>
              <w:left w:val="nil"/>
              <w:bottom w:val="nil"/>
              <w:right w:val="nil"/>
            </w:tcBorders>
          </w:tcPr>
          <w:p w14:paraId="5A7B4C89" w14:textId="77777777" w:rsidR="00B54D51" w:rsidRPr="00037AD4" w:rsidRDefault="00B54D51" w:rsidP="00401C67">
            <w:pPr>
              <w:widowControl w:val="0"/>
              <w:autoSpaceDE w:val="0"/>
              <w:autoSpaceDN w:val="0"/>
              <w:adjustRightInd w:val="0"/>
              <w:jc w:val="center"/>
            </w:pPr>
          </w:p>
        </w:tc>
        <w:tc>
          <w:tcPr>
            <w:tcW w:w="784" w:type="pct"/>
            <w:tcBorders>
              <w:top w:val="nil"/>
              <w:left w:val="nil"/>
              <w:bottom w:val="nil"/>
              <w:right w:val="nil"/>
            </w:tcBorders>
          </w:tcPr>
          <w:p w14:paraId="473415A9" w14:textId="77777777" w:rsidR="00B54D51" w:rsidRPr="00037AD4" w:rsidRDefault="00B54D51" w:rsidP="00401C67">
            <w:pPr>
              <w:widowControl w:val="0"/>
              <w:autoSpaceDE w:val="0"/>
              <w:autoSpaceDN w:val="0"/>
              <w:adjustRightInd w:val="0"/>
              <w:jc w:val="center"/>
            </w:pPr>
          </w:p>
        </w:tc>
        <w:tc>
          <w:tcPr>
            <w:tcW w:w="786" w:type="pct"/>
            <w:tcBorders>
              <w:top w:val="nil"/>
              <w:left w:val="nil"/>
              <w:bottom w:val="nil"/>
              <w:right w:val="nil"/>
            </w:tcBorders>
          </w:tcPr>
          <w:p w14:paraId="342FD1D5" w14:textId="77777777" w:rsidR="00B54D51" w:rsidRPr="00037AD4" w:rsidRDefault="00B54D51" w:rsidP="00401C67">
            <w:pPr>
              <w:widowControl w:val="0"/>
              <w:autoSpaceDE w:val="0"/>
              <w:autoSpaceDN w:val="0"/>
              <w:adjustRightInd w:val="0"/>
              <w:jc w:val="center"/>
            </w:pPr>
          </w:p>
        </w:tc>
      </w:tr>
      <w:tr w:rsidR="00B54D51" w:rsidRPr="00037AD4" w14:paraId="1E652E75" w14:textId="77777777" w:rsidTr="00401C67">
        <w:trPr>
          <w:jc w:val="center"/>
        </w:trPr>
        <w:tc>
          <w:tcPr>
            <w:tcW w:w="977" w:type="pct"/>
            <w:tcBorders>
              <w:top w:val="nil"/>
              <w:left w:val="nil"/>
              <w:bottom w:val="nil"/>
              <w:right w:val="nil"/>
            </w:tcBorders>
          </w:tcPr>
          <w:p w14:paraId="5297A0BC" w14:textId="77777777" w:rsidR="00B54D51" w:rsidRPr="00037AD4" w:rsidRDefault="00B54D51" w:rsidP="00401C67">
            <w:pPr>
              <w:widowControl w:val="0"/>
              <w:autoSpaceDE w:val="0"/>
              <w:autoSpaceDN w:val="0"/>
              <w:adjustRightInd w:val="0"/>
            </w:pPr>
            <w:r w:rsidRPr="00037AD4">
              <w:t>3.eq5SR_</w:t>
            </w:r>
          </w:p>
        </w:tc>
        <w:tc>
          <w:tcPr>
            <w:tcW w:w="834" w:type="pct"/>
            <w:tcBorders>
              <w:top w:val="nil"/>
              <w:left w:val="nil"/>
              <w:bottom w:val="nil"/>
              <w:right w:val="nil"/>
            </w:tcBorders>
          </w:tcPr>
          <w:p w14:paraId="1DFE2C82" w14:textId="77777777" w:rsidR="00B54D51" w:rsidRPr="00037AD4" w:rsidRDefault="00B54D51" w:rsidP="00401C67">
            <w:pPr>
              <w:widowControl w:val="0"/>
              <w:autoSpaceDE w:val="0"/>
              <w:autoSpaceDN w:val="0"/>
              <w:adjustRightInd w:val="0"/>
              <w:jc w:val="center"/>
            </w:pPr>
            <w:r w:rsidRPr="00037AD4">
              <w:t>-0.281</w:t>
            </w:r>
          </w:p>
        </w:tc>
        <w:tc>
          <w:tcPr>
            <w:tcW w:w="834" w:type="pct"/>
            <w:tcBorders>
              <w:top w:val="nil"/>
              <w:left w:val="nil"/>
              <w:bottom w:val="nil"/>
              <w:right w:val="nil"/>
            </w:tcBorders>
          </w:tcPr>
          <w:p w14:paraId="3AFE3365" w14:textId="77777777" w:rsidR="00B54D51" w:rsidRPr="00037AD4" w:rsidRDefault="00B54D51" w:rsidP="00401C67">
            <w:pPr>
              <w:widowControl w:val="0"/>
              <w:autoSpaceDE w:val="0"/>
              <w:autoSpaceDN w:val="0"/>
              <w:adjustRightInd w:val="0"/>
              <w:jc w:val="center"/>
            </w:pPr>
          </w:p>
        </w:tc>
        <w:tc>
          <w:tcPr>
            <w:tcW w:w="784" w:type="pct"/>
            <w:tcBorders>
              <w:top w:val="nil"/>
              <w:left w:val="nil"/>
              <w:bottom w:val="nil"/>
              <w:right w:val="nil"/>
            </w:tcBorders>
          </w:tcPr>
          <w:p w14:paraId="45067E10" w14:textId="77777777" w:rsidR="00B54D51" w:rsidRPr="00037AD4" w:rsidRDefault="00B54D51" w:rsidP="00401C67">
            <w:pPr>
              <w:widowControl w:val="0"/>
              <w:autoSpaceDE w:val="0"/>
              <w:autoSpaceDN w:val="0"/>
              <w:adjustRightInd w:val="0"/>
              <w:jc w:val="center"/>
            </w:pPr>
          </w:p>
        </w:tc>
        <w:tc>
          <w:tcPr>
            <w:tcW w:w="784" w:type="pct"/>
            <w:tcBorders>
              <w:top w:val="nil"/>
              <w:left w:val="nil"/>
              <w:bottom w:val="nil"/>
              <w:right w:val="nil"/>
            </w:tcBorders>
          </w:tcPr>
          <w:p w14:paraId="251EF385" w14:textId="77777777" w:rsidR="00B54D51" w:rsidRPr="00037AD4" w:rsidRDefault="00B54D51" w:rsidP="00401C67">
            <w:pPr>
              <w:widowControl w:val="0"/>
              <w:autoSpaceDE w:val="0"/>
              <w:autoSpaceDN w:val="0"/>
              <w:adjustRightInd w:val="0"/>
              <w:jc w:val="center"/>
            </w:pPr>
          </w:p>
        </w:tc>
        <w:tc>
          <w:tcPr>
            <w:tcW w:w="786" w:type="pct"/>
            <w:tcBorders>
              <w:top w:val="nil"/>
              <w:left w:val="nil"/>
              <w:bottom w:val="nil"/>
              <w:right w:val="nil"/>
            </w:tcBorders>
          </w:tcPr>
          <w:p w14:paraId="2F7108A3" w14:textId="77777777" w:rsidR="00B54D51" w:rsidRPr="00037AD4" w:rsidRDefault="00B54D51" w:rsidP="00401C67">
            <w:pPr>
              <w:widowControl w:val="0"/>
              <w:autoSpaceDE w:val="0"/>
              <w:autoSpaceDN w:val="0"/>
              <w:adjustRightInd w:val="0"/>
              <w:jc w:val="center"/>
            </w:pPr>
          </w:p>
        </w:tc>
      </w:tr>
      <w:tr w:rsidR="00B54D51" w:rsidRPr="00037AD4" w14:paraId="7E44F42A" w14:textId="77777777" w:rsidTr="00401C67">
        <w:trPr>
          <w:jc w:val="center"/>
        </w:trPr>
        <w:tc>
          <w:tcPr>
            <w:tcW w:w="977" w:type="pct"/>
            <w:tcBorders>
              <w:top w:val="nil"/>
              <w:left w:val="nil"/>
              <w:bottom w:val="nil"/>
              <w:right w:val="nil"/>
            </w:tcBorders>
          </w:tcPr>
          <w:p w14:paraId="2AB3FECB" w14:textId="77777777" w:rsidR="00B54D51" w:rsidRPr="00037AD4" w:rsidRDefault="00B54D51" w:rsidP="00401C67">
            <w:pPr>
              <w:widowControl w:val="0"/>
              <w:autoSpaceDE w:val="0"/>
              <w:autoSpaceDN w:val="0"/>
              <w:adjustRightInd w:val="0"/>
            </w:pPr>
          </w:p>
        </w:tc>
        <w:tc>
          <w:tcPr>
            <w:tcW w:w="834" w:type="pct"/>
            <w:tcBorders>
              <w:top w:val="nil"/>
              <w:left w:val="nil"/>
              <w:bottom w:val="nil"/>
              <w:right w:val="nil"/>
            </w:tcBorders>
          </w:tcPr>
          <w:p w14:paraId="564285BD" w14:textId="77777777" w:rsidR="00B54D51" w:rsidRPr="00037AD4" w:rsidRDefault="00B54D51" w:rsidP="00401C67">
            <w:pPr>
              <w:widowControl w:val="0"/>
              <w:autoSpaceDE w:val="0"/>
              <w:autoSpaceDN w:val="0"/>
              <w:adjustRightInd w:val="0"/>
              <w:jc w:val="center"/>
            </w:pPr>
            <w:r w:rsidRPr="00037AD4">
              <w:t>(-0.635 - 0.074)</w:t>
            </w:r>
          </w:p>
        </w:tc>
        <w:tc>
          <w:tcPr>
            <w:tcW w:w="834" w:type="pct"/>
            <w:tcBorders>
              <w:top w:val="nil"/>
              <w:left w:val="nil"/>
              <w:bottom w:val="nil"/>
              <w:right w:val="nil"/>
            </w:tcBorders>
          </w:tcPr>
          <w:p w14:paraId="51119540" w14:textId="77777777" w:rsidR="00B54D51" w:rsidRPr="00037AD4" w:rsidRDefault="00B54D51" w:rsidP="00401C67">
            <w:pPr>
              <w:widowControl w:val="0"/>
              <w:autoSpaceDE w:val="0"/>
              <w:autoSpaceDN w:val="0"/>
              <w:adjustRightInd w:val="0"/>
              <w:jc w:val="center"/>
            </w:pPr>
          </w:p>
        </w:tc>
        <w:tc>
          <w:tcPr>
            <w:tcW w:w="784" w:type="pct"/>
            <w:tcBorders>
              <w:top w:val="nil"/>
              <w:left w:val="nil"/>
              <w:bottom w:val="nil"/>
              <w:right w:val="nil"/>
            </w:tcBorders>
          </w:tcPr>
          <w:p w14:paraId="2A97A02D" w14:textId="77777777" w:rsidR="00B54D51" w:rsidRPr="00037AD4" w:rsidRDefault="00B54D51" w:rsidP="00401C67">
            <w:pPr>
              <w:widowControl w:val="0"/>
              <w:autoSpaceDE w:val="0"/>
              <w:autoSpaceDN w:val="0"/>
              <w:adjustRightInd w:val="0"/>
              <w:jc w:val="center"/>
            </w:pPr>
          </w:p>
        </w:tc>
        <w:tc>
          <w:tcPr>
            <w:tcW w:w="784" w:type="pct"/>
            <w:tcBorders>
              <w:top w:val="nil"/>
              <w:left w:val="nil"/>
              <w:bottom w:val="nil"/>
              <w:right w:val="nil"/>
            </w:tcBorders>
          </w:tcPr>
          <w:p w14:paraId="15E8B5B8" w14:textId="77777777" w:rsidR="00B54D51" w:rsidRPr="00037AD4" w:rsidRDefault="00B54D51" w:rsidP="00401C67">
            <w:pPr>
              <w:widowControl w:val="0"/>
              <w:autoSpaceDE w:val="0"/>
              <w:autoSpaceDN w:val="0"/>
              <w:adjustRightInd w:val="0"/>
              <w:jc w:val="center"/>
            </w:pPr>
          </w:p>
        </w:tc>
        <w:tc>
          <w:tcPr>
            <w:tcW w:w="786" w:type="pct"/>
            <w:tcBorders>
              <w:top w:val="nil"/>
              <w:left w:val="nil"/>
              <w:bottom w:val="nil"/>
              <w:right w:val="nil"/>
            </w:tcBorders>
          </w:tcPr>
          <w:p w14:paraId="1B8FFF61" w14:textId="77777777" w:rsidR="00B54D51" w:rsidRPr="00037AD4" w:rsidRDefault="00B54D51" w:rsidP="00401C67">
            <w:pPr>
              <w:widowControl w:val="0"/>
              <w:autoSpaceDE w:val="0"/>
              <w:autoSpaceDN w:val="0"/>
              <w:adjustRightInd w:val="0"/>
              <w:jc w:val="center"/>
            </w:pPr>
          </w:p>
        </w:tc>
      </w:tr>
      <w:tr w:rsidR="00B54D51" w:rsidRPr="00037AD4" w14:paraId="753DAB54" w14:textId="77777777" w:rsidTr="00401C67">
        <w:trPr>
          <w:jc w:val="center"/>
        </w:trPr>
        <w:tc>
          <w:tcPr>
            <w:tcW w:w="977" w:type="pct"/>
            <w:tcBorders>
              <w:top w:val="nil"/>
              <w:left w:val="nil"/>
              <w:bottom w:val="nil"/>
              <w:right w:val="nil"/>
            </w:tcBorders>
          </w:tcPr>
          <w:p w14:paraId="3657FDD9" w14:textId="77777777" w:rsidR="00B54D51" w:rsidRPr="00037AD4" w:rsidRDefault="00B54D51" w:rsidP="00401C67">
            <w:pPr>
              <w:widowControl w:val="0"/>
              <w:autoSpaceDE w:val="0"/>
              <w:autoSpaceDN w:val="0"/>
              <w:adjustRightInd w:val="0"/>
            </w:pPr>
            <w:r w:rsidRPr="00037AD4">
              <w:t>4.eq5SR_</w:t>
            </w:r>
          </w:p>
        </w:tc>
        <w:tc>
          <w:tcPr>
            <w:tcW w:w="834" w:type="pct"/>
            <w:tcBorders>
              <w:top w:val="nil"/>
              <w:left w:val="nil"/>
              <w:bottom w:val="nil"/>
              <w:right w:val="nil"/>
            </w:tcBorders>
          </w:tcPr>
          <w:p w14:paraId="68B23AC8" w14:textId="77777777" w:rsidR="00B54D51" w:rsidRPr="00037AD4" w:rsidRDefault="00B54D51" w:rsidP="00401C67">
            <w:pPr>
              <w:widowControl w:val="0"/>
              <w:autoSpaceDE w:val="0"/>
              <w:autoSpaceDN w:val="0"/>
              <w:adjustRightInd w:val="0"/>
              <w:jc w:val="center"/>
            </w:pPr>
            <w:r w:rsidRPr="00037AD4">
              <w:t>-0.331</w:t>
            </w:r>
          </w:p>
        </w:tc>
        <w:tc>
          <w:tcPr>
            <w:tcW w:w="834" w:type="pct"/>
            <w:tcBorders>
              <w:top w:val="nil"/>
              <w:left w:val="nil"/>
              <w:bottom w:val="nil"/>
              <w:right w:val="nil"/>
            </w:tcBorders>
          </w:tcPr>
          <w:p w14:paraId="1885F967" w14:textId="77777777" w:rsidR="00B54D51" w:rsidRPr="00037AD4" w:rsidRDefault="00B54D51" w:rsidP="00401C67">
            <w:pPr>
              <w:widowControl w:val="0"/>
              <w:autoSpaceDE w:val="0"/>
              <w:autoSpaceDN w:val="0"/>
              <w:adjustRightInd w:val="0"/>
              <w:jc w:val="center"/>
            </w:pPr>
          </w:p>
        </w:tc>
        <w:tc>
          <w:tcPr>
            <w:tcW w:w="784" w:type="pct"/>
            <w:tcBorders>
              <w:top w:val="nil"/>
              <w:left w:val="nil"/>
              <w:bottom w:val="nil"/>
              <w:right w:val="nil"/>
            </w:tcBorders>
          </w:tcPr>
          <w:p w14:paraId="66BDA9B9" w14:textId="77777777" w:rsidR="00B54D51" w:rsidRPr="00037AD4" w:rsidRDefault="00B54D51" w:rsidP="00401C67">
            <w:pPr>
              <w:widowControl w:val="0"/>
              <w:autoSpaceDE w:val="0"/>
              <w:autoSpaceDN w:val="0"/>
              <w:adjustRightInd w:val="0"/>
              <w:jc w:val="center"/>
            </w:pPr>
          </w:p>
        </w:tc>
        <w:tc>
          <w:tcPr>
            <w:tcW w:w="784" w:type="pct"/>
            <w:tcBorders>
              <w:top w:val="nil"/>
              <w:left w:val="nil"/>
              <w:bottom w:val="nil"/>
              <w:right w:val="nil"/>
            </w:tcBorders>
          </w:tcPr>
          <w:p w14:paraId="15251F16" w14:textId="77777777" w:rsidR="00B54D51" w:rsidRPr="00037AD4" w:rsidRDefault="00B54D51" w:rsidP="00401C67">
            <w:pPr>
              <w:widowControl w:val="0"/>
              <w:autoSpaceDE w:val="0"/>
              <w:autoSpaceDN w:val="0"/>
              <w:adjustRightInd w:val="0"/>
              <w:jc w:val="center"/>
            </w:pPr>
          </w:p>
        </w:tc>
        <w:tc>
          <w:tcPr>
            <w:tcW w:w="786" w:type="pct"/>
            <w:tcBorders>
              <w:top w:val="nil"/>
              <w:left w:val="nil"/>
              <w:bottom w:val="nil"/>
              <w:right w:val="nil"/>
            </w:tcBorders>
          </w:tcPr>
          <w:p w14:paraId="4C2652A7" w14:textId="77777777" w:rsidR="00B54D51" w:rsidRPr="00037AD4" w:rsidRDefault="00B54D51" w:rsidP="00401C67">
            <w:pPr>
              <w:widowControl w:val="0"/>
              <w:autoSpaceDE w:val="0"/>
              <w:autoSpaceDN w:val="0"/>
              <w:adjustRightInd w:val="0"/>
              <w:jc w:val="center"/>
            </w:pPr>
          </w:p>
        </w:tc>
      </w:tr>
      <w:tr w:rsidR="00B54D51" w:rsidRPr="00037AD4" w14:paraId="14AFF922" w14:textId="77777777" w:rsidTr="00401C67">
        <w:trPr>
          <w:jc w:val="center"/>
        </w:trPr>
        <w:tc>
          <w:tcPr>
            <w:tcW w:w="977" w:type="pct"/>
            <w:tcBorders>
              <w:top w:val="nil"/>
              <w:left w:val="nil"/>
              <w:bottom w:val="nil"/>
              <w:right w:val="nil"/>
            </w:tcBorders>
          </w:tcPr>
          <w:p w14:paraId="59E2AD79" w14:textId="77777777" w:rsidR="00B54D51" w:rsidRPr="00037AD4" w:rsidRDefault="00B54D51" w:rsidP="00401C67">
            <w:pPr>
              <w:widowControl w:val="0"/>
              <w:autoSpaceDE w:val="0"/>
              <w:autoSpaceDN w:val="0"/>
              <w:adjustRightInd w:val="0"/>
            </w:pPr>
          </w:p>
        </w:tc>
        <w:tc>
          <w:tcPr>
            <w:tcW w:w="834" w:type="pct"/>
            <w:tcBorders>
              <w:top w:val="nil"/>
              <w:left w:val="nil"/>
              <w:bottom w:val="nil"/>
              <w:right w:val="nil"/>
            </w:tcBorders>
          </w:tcPr>
          <w:p w14:paraId="6825F3D0" w14:textId="77777777" w:rsidR="00B54D51" w:rsidRPr="00037AD4" w:rsidRDefault="00B54D51" w:rsidP="00401C67">
            <w:pPr>
              <w:widowControl w:val="0"/>
              <w:autoSpaceDE w:val="0"/>
              <w:autoSpaceDN w:val="0"/>
              <w:adjustRightInd w:val="0"/>
              <w:jc w:val="center"/>
            </w:pPr>
            <w:r w:rsidRPr="00037AD4">
              <w:t>(-1.051 - 0.389)</w:t>
            </w:r>
          </w:p>
        </w:tc>
        <w:tc>
          <w:tcPr>
            <w:tcW w:w="834" w:type="pct"/>
            <w:tcBorders>
              <w:top w:val="nil"/>
              <w:left w:val="nil"/>
              <w:bottom w:val="nil"/>
              <w:right w:val="nil"/>
            </w:tcBorders>
          </w:tcPr>
          <w:p w14:paraId="1307723E" w14:textId="77777777" w:rsidR="00B54D51" w:rsidRPr="00037AD4" w:rsidRDefault="00B54D51" w:rsidP="00401C67">
            <w:pPr>
              <w:widowControl w:val="0"/>
              <w:autoSpaceDE w:val="0"/>
              <w:autoSpaceDN w:val="0"/>
              <w:adjustRightInd w:val="0"/>
              <w:jc w:val="center"/>
            </w:pPr>
          </w:p>
        </w:tc>
        <w:tc>
          <w:tcPr>
            <w:tcW w:w="784" w:type="pct"/>
            <w:tcBorders>
              <w:top w:val="nil"/>
              <w:left w:val="nil"/>
              <w:bottom w:val="nil"/>
              <w:right w:val="nil"/>
            </w:tcBorders>
          </w:tcPr>
          <w:p w14:paraId="1FB67BC8" w14:textId="77777777" w:rsidR="00B54D51" w:rsidRPr="00037AD4" w:rsidRDefault="00B54D51" w:rsidP="00401C67">
            <w:pPr>
              <w:widowControl w:val="0"/>
              <w:autoSpaceDE w:val="0"/>
              <w:autoSpaceDN w:val="0"/>
              <w:adjustRightInd w:val="0"/>
              <w:jc w:val="center"/>
            </w:pPr>
          </w:p>
        </w:tc>
        <w:tc>
          <w:tcPr>
            <w:tcW w:w="784" w:type="pct"/>
            <w:tcBorders>
              <w:top w:val="nil"/>
              <w:left w:val="nil"/>
              <w:bottom w:val="nil"/>
              <w:right w:val="nil"/>
            </w:tcBorders>
          </w:tcPr>
          <w:p w14:paraId="36B77788" w14:textId="77777777" w:rsidR="00B54D51" w:rsidRPr="00037AD4" w:rsidRDefault="00B54D51" w:rsidP="00401C67">
            <w:pPr>
              <w:widowControl w:val="0"/>
              <w:autoSpaceDE w:val="0"/>
              <w:autoSpaceDN w:val="0"/>
              <w:adjustRightInd w:val="0"/>
              <w:jc w:val="center"/>
            </w:pPr>
          </w:p>
        </w:tc>
        <w:tc>
          <w:tcPr>
            <w:tcW w:w="786" w:type="pct"/>
            <w:tcBorders>
              <w:top w:val="nil"/>
              <w:left w:val="nil"/>
              <w:bottom w:val="nil"/>
              <w:right w:val="nil"/>
            </w:tcBorders>
          </w:tcPr>
          <w:p w14:paraId="37716802" w14:textId="77777777" w:rsidR="00B54D51" w:rsidRPr="00037AD4" w:rsidRDefault="00B54D51" w:rsidP="00401C67">
            <w:pPr>
              <w:widowControl w:val="0"/>
              <w:autoSpaceDE w:val="0"/>
              <w:autoSpaceDN w:val="0"/>
              <w:adjustRightInd w:val="0"/>
              <w:jc w:val="center"/>
            </w:pPr>
          </w:p>
        </w:tc>
      </w:tr>
      <w:tr w:rsidR="00B54D51" w:rsidRPr="00037AD4" w14:paraId="301FBC76" w14:textId="77777777" w:rsidTr="00401C67">
        <w:trPr>
          <w:jc w:val="center"/>
        </w:trPr>
        <w:tc>
          <w:tcPr>
            <w:tcW w:w="977" w:type="pct"/>
            <w:tcBorders>
              <w:top w:val="nil"/>
              <w:left w:val="nil"/>
              <w:bottom w:val="nil"/>
              <w:right w:val="nil"/>
            </w:tcBorders>
          </w:tcPr>
          <w:p w14:paraId="3DF5501D" w14:textId="77777777" w:rsidR="00B54D51" w:rsidRPr="00037AD4" w:rsidRDefault="00B54D51" w:rsidP="00401C67">
            <w:pPr>
              <w:widowControl w:val="0"/>
              <w:autoSpaceDE w:val="0"/>
              <w:autoSpaceDN w:val="0"/>
              <w:adjustRightInd w:val="0"/>
            </w:pPr>
            <w:r w:rsidRPr="00037AD4">
              <w:t>5.eq5SR_</w:t>
            </w:r>
          </w:p>
        </w:tc>
        <w:tc>
          <w:tcPr>
            <w:tcW w:w="834" w:type="pct"/>
            <w:tcBorders>
              <w:top w:val="nil"/>
              <w:left w:val="nil"/>
              <w:bottom w:val="nil"/>
              <w:right w:val="nil"/>
            </w:tcBorders>
          </w:tcPr>
          <w:p w14:paraId="070F3C4F" w14:textId="77777777" w:rsidR="00B54D51" w:rsidRPr="00037AD4" w:rsidRDefault="00B54D51" w:rsidP="00401C67">
            <w:pPr>
              <w:widowControl w:val="0"/>
              <w:autoSpaceDE w:val="0"/>
              <w:autoSpaceDN w:val="0"/>
              <w:adjustRightInd w:val="0"/>
              <w:jc w:val="center"/>
            </w:pPr>
            <w:r w:rsidRPr="00037AD4">
              <w:t>0.633**</w:t>
            </w:r>
          </w:p>
        </w:tc>
        <w:tc>
          <w:tcPr>
            <w:tcW w:w="834" w:type="pct"/>
            <w:tcBorders>
              <w:top w:val="nil"/>
              <w:left w:val="nil"/>
              <w:bottom w:val="nil"/>
              <w:right w:val="nil"/>
            </w:tcBorders>
          </w:tcPr>
          <w:p w14:paraId="6E895905" w14:textId="77777777" w:rsidR="00B54D51" w:rsidRPr="00037AD4" w:rsidRDefault="00B54D51" w:rsidP="00401C67">
            <w:pPr>
              <w:widowControl w:val="0"/>
              <w:autoSpaceDE w:val="0"/>
              <w:autoSpaceDN w:val="0"/>
              <w:adjustRightInd w:val="0"/>
              <w:jc w:val="center"/>
            </w:pPr>
          </w:p>
        </w:tc>
        <w:tc>
          <w:tcPr>
            <w:tcW w:w="784" w:type="pct"/>
            <w:tcBorders>
              <w:top w:val="nil"/>
              <w:left w:val="nil"/>
              <w:bottom w:val="nil"/>
              <w:right w:val="nil"/>
            </w:tcBorders>
          </w:tcPr>
          <w:p w14:paraId="2629091B" w14:textId="77777777" w:rsidR="00B54D51" w:rsidRPr="00037AD4" w:rsidRDefault="00B54D51" w:rsidP="00401C67">
            <w:pPr>
              <w:widowControl w:val="0"/>
              <w:autoSpaceDE w:val="0"/>
              <w:autoSpaceDN w:val="0"/>
              <w:adjustRightInd w:val="0"/>
              <w:jc w:val="center"/>
            </w:pPr>
          </w:p>
        </w:tc>
        <w:tc>
          <w:tcPr>
            <w:tcW w:w="784" w:type="pct"/>
            <w:tcBorders>
              <w:top w:val="nil"/>
              <w:left w:val="nil"/>
              <w:bottom w:val="nil"/>
              <w:right w:val="nil"/>
            </w:tcBorders>
          </w:tcPr>
          <w:p w14:paraId="0F4F270E" w14:textId="77777777" w:rsidR="00B54D51" w:rsidRPr="00037AD4" w:rsidRDefault="00B54D51" w:rsidP="00401C67">
            <w:pPr>
              <w:widowControl w:val="0"/>
              <w:autoSpaceDE w:val="0"/>
              <w:autoSpaceDN w:val="0"/>
              <w:adjustRightInd w:val="0"/>
              <w:jc w:val="center"/>
            </w:pPr>
          </w:p>
        </w:tc>
        <w:tc>
          <w:tcPr>
            <w:tcW w:w="786" w:type="pct"/>
            <w:tcBorders>
              <w:top w:val="nil"/>
              <w:left w:val="nil"/>
              <w:bottom w:val="nil"/>
              <w:right w:val="nil"/>
            </w:tcBorders>
          </w:tcPr>
          <w:p w14:paraId="6A99FA2F" w14:textId="77777777" w:rsidR="00B54D51" w:rsidRPr="00037AD4" w:rsidRDefault="00B54D51" w:rsidP="00401C67">
            <w:pPr>
              <w:widowControl w:val="0"/>
              <w:autoSpaceDE w:val="0"/>
              <w:autoSpaceDN w:val="0"/>
              <w:adjustRightInd w:val="0"/>
              <w:jc w:val="center"/>
            </w:pPr>
          </w:p>
        </w:tc>
      </w:tr>
      <w:tr w:rsidR="00B54D51" w:rsidRPr="00037AD4" w14:paraId="3E1D0151" w14:textId="77777777" w:rsidTr="00401C67">
        <w:trPr>
          <w:jc w:val="center"/>
        </w:trPr>
        <w:tc>
          <w:tcPr>
            <w:tcW w:w="977" w:type="pct"/>
            <w:tcBorders>
              <w:top w:val="nil"/>
              <w:left w:val="nil"/>
              <w:bottom w:val="nil"/>
              <w:right w:val="nil"/>
            </w:tcBorders>
          </w:tcPr>
          <w:p w14:paraId="4C8DB71C" w14:textId="77777777" w:rsidR="00B54D51" w:rsidRPr="00037AD4" w:rsidRDefault="00B54D51" w:rsidP="00401C67">
            <w:pPr>
              <w:widowControl w:val="0"/>
              <w:autoSpaceDE w:val="0"/>
              <w:autoSpaceDN w:val="0"/>
              <w:adjustRightInd w:val="0"/>
            </w:pPr>
          </w:p>
        </w:tc>
        <w:tc>
          <w:tcPr>
            <w:tcW w:w="834" w:type="pct"/>
            <w:tcBorders>
              <w:top w:val="nil"/>
              <w:left w:val="nil"/>
              <w:bottom w:val="nil"/>
              <w:right w:val="nil"/>
            </w:tcBorders>
          </w:tcPr>
          <w:p w14:paraId="73B68882" w14:textId="77777777" w:rsidR="00B54D51" w:rsidRPr="00037AD4" w:rsidRDefault="00B54D51" w:rsidP="00401C67">
            <w:pPr>
              <w:widowControl w:val="0"/>
              <w:autoSpaceDE w:val="0"/>
              <w:autoSpaceDN w:val="0"/>
              <w:adjustRightInd w:val="0"/>
              <w:jc w:val="center"/>
            </w:pPr>
            <w:r w:rsidRPr="00037AD4">
              <w:t>(0.006 - 1.259)</w:t>
            </w:r>
          </w:p>
        </w:tc>
        <w:tc>
          <w:tcPr>
            <w:tcW w:w="834" w:type="pct"/>
            <w:tcBorders>
              <w:top w:val="nil"/>
              <w:left w:val="nil"/>
              <w:bottom w:val="nil"/>
              <w:right w:val="nil"/>
            </w:tcBorders>
          </w:tcPr>
          <w:p w14:paraId="3C9FCD2D" w14:textId="77777777" w:rsidR="00B54D51" w:rsidRPr="00037AD4" w:rsidRDefault="00B54D51" w:rsidP="00401C67">
            <w:pPr>
              <w:widowControl w:val="0"/>
              <w:autoSpaceDE w:val="0"/>
              <w:autoSpaceDN w:val="0"/>
              <w:adjustRightInd w:val="0"/>
              <w:jc w:val="center"/>
            </w:pPr>
          </w:p>
        </w:tc>
        <w:tc>
          <w:tcPr>
            <w:tcW w:w="784" w:type="pct"/>
            <w:tcBorders>
              <w:top w:val="nil"/>
              <w:left w:val="nil"/>
              <w:bottom w:val="nil"/>
              <w:right w:val="nil"/>
            </w:tcBorders>
          </w:tcPr>
          <w:p w14:paraId="598F0B31" w14:textId="77777777" w:rsidR="00B54D51" w:rsidRPr="00037AD4" w:rsidRDefault="00B54D51" w:rsidP="00401C67">
            <w:pPr>
              <w:widowControl w:val="0"/>
              <w:autoSpaceDE w:val="0"/>
              <w:autoSpaceDN w:val="0"/>
              <w:adjustRightInd w:val="0"/>
              <w:jc w:val="center"/>
            </w:pPr>
          </w:p>
        </w:tc>
        <w:tc>
          <w:tcPr>
            <w:tcW w:w="784" w:type="pct"/>
            <w:tcBorders>
              <w:top w:val="nil"/>
              <w:left w:val="nil"/>
              <w:bottom w:val="nil"/>
              <w:right w:val="nil"/>
            </w:tcBorders>
          </w:tcPr>
          <w:p w14:paraId="5FAD3A74" w14:textId="77777777" w:rsidR="00B54D51" w:rsidRPr="00037AD4" w:rsidRDefault="00B54D51" w:rsidP="00401C67">
            <w:pPr>
              <w:widowControl w:val="0"/>
              <w:autoSpaceDE w:val="0"/>
              <w:autoSpaceDN w:val="0"/>
              <w:adjustRightInd w:val="0"/>
              <w:jc w:val="center"/>
            </w:pPr>
          </w:p>
        </w:tc>
        <w:tc>
          <w:tcPr>
            <w:tcW w:w="786" w:type="pct"/>
            <w:tcBorders>
              <w:top w:val="nil"/>
              <w:left w:val="nil"/>
              <w:bottom w:val="nil"/>
              <w:right w:val="nil"/>
            </w:tcBorders>
          </w:tcPr>
          <w:p w14:paraId="13A86450" w14:textId="77777777" w:rsidR="00B54D51" w:rsidRPr="00037AD4" w:rsidRDefault="00B54D51" w:rsidP="00401C67">
            <w:pPr>
              <w:widowControl w:val="0"/>
              <w:autoSpaceDE w:val="0"/>
              <w:autoSpaceDN w:val="0"/>
              <w:adjustRightInd w:val="0"/>
              <w:jc w:val="center"/>
            </w:pPr>
          </w:p>
        </w:tc>
      </w:tr>
      <w:tr w:rsidR="00B54D51" w:rsidRPr="00037AD4" w14:paraId="3757C5C6" w14:textId="77777777" w:rsidTr="00401C67">
        <w:trPr>
          <w:jc w:val="center"/>
        </w:trPr>
        <w:tc>
          <w:tcPr>
            <w:tcW w:w="977" w:type="pct"/>
            <w:tcBorders>
              <w:top w:val="nil"/>
              <w:left w:val="nil"/>
              <w:bottom w:val="nil"/>
              <w:right w:val="nil"/>
            </w:tcBorders>
          </w:tcPr>
          <w:p w14:paraId="79C8595D" w14:textId="77777777" w:rsidR="00B54D51" w:rsidRPr="00037AD4" w:rsidRDefault="00B54D51" w:rsidP="00401C67">
            <w:pPr>
              <w:widowControl w:val="0"/>
              <w:autoSpaceDE w:val="0"/>
              <w:autoSpaceDN w:val="0"/>
              <w:adjustRightInd w:val="0"/>
            </w:pPr>
            <w:r w:rsidRPr="00037AD4">
              <w:t>NPItotal_</w:t>
            </w:r>
          </w:p>
        </w:tc>
        <w:tc>
          <w:tcPr>
            <w:tcW w:w="834" w:type="pct"/>
            <w:tcBorders>
              <w:top w:val="nil"/>
              <w:left w:val="nil"/>
              <w:bottom w:val="nil"/>
              <w:right w:val="nil"/>
            </w:tcBorders>
          </w:tcPr>
          <w:p w14:paraId="161935EE" w14:textId="77777777" w:rsidR="00B54D51" w:rsidRPr="00037AD4" w:rsidRDefault="00B54D51" w:rsidP="00401C67">
            <w:pPr>
              <w:widowControl w:val="0"/>
              <w:autoSpaceDE w:val="0"/>
              <w:autoSpaceDN w:val="0"/>
              <w:adjustRightInd w:val="0"/>
              <w:jc w:val="center"/>
            </w:pPr>
            <w:r w:rsidRPr="00037AD4">
              <w:t>0.001</w:t>
            </w:r>
          </w:p>
        </w:tc>
        <w:tc>
          <w:tcPr>
            <w:tcW w:w="834" w:type="pct"/>
            <w:tcBorders>
              <w:top w:val="nil"/>
              <w:left w:val="nil"/>
              <w:bottom w:val="nil"/>
              <w:right w:val="nil"/>
            </w:tcBorders>
          </w:tcPr>
          <w:p w14:paraId="6036A9BA" w14:textId="77777777" w:rsidR="00B54D51" w:rsidRPr="00037AD4" w:rsidRDefault="00B54D51" w:rsidP="00401C67">
            <w:pPr>
              <w:widowControl w:val="0"/>
              <w:autoSpaceDE w:val="0"/>
              <w:autoSpaceDN w:val="0"/>
              <w:adjustRightInd w:val="0"/>
              <w:jc w:val="center"/>
            </w:pPr>
          </w:p>
        </w:tc>
        <w:tc>
          <w:tcPr>
            <w:tcW w:w="784" w:type="pct"/>
            <w:tcBorders>
              <w:top w:val="nil"/>
              <w:left w:val="nil"/>
              <w:bottom w:val="nil"/>
              <w:right w:val="nil"/>
            </w:tcBorders>
          </w:tcPr>
          <w:p w14:paraId="2C1A1C3D" w14:textId="77777777" w:rsidR="00B54D51" w:rsidRPr="00037AD4" w:rsidRDefault="00B54D51" w:rsidP="00401C67">
            <w:pPr>
              <w:widowControl w:val="0"/>
              <w:autoSpaceDE w:val="0"/>
              <w:autoSpaceDN w:val="0"/>
              <w:adjustRightInd w:val="0"/>
              <w:jc w:val="center"/>
            </w:pPr>
          </w:p>
        </w:tc>
        <w:tc>
          <w:tcPr>
            <w:tcW w:w="784" w:type="pct"/>
            <w:tcBorders>
              <w:top w:val="nil"/>
              <w:left w:val="nil"/>
              <w:bottom w:val="nil"/>
              <w:right w:val="nil"/>
            </w:tcBorders>
          </w:tcPr>
          <w:p w14:paraId="00BA1792" w14:textId="77777777" w:rsidR="00B54D51" w:rsidRPr="00037AD4" w:rsidRDefault="00B54D51" w:rsidP="00401C67">
            <w:pPr>
              <w:widowControl w:val="0"/>
              <w:autoSpaceDE w:val="0"/>
              <w:autoSpaceDN w:val="0"/>
              <w:adjustRightInd w:val="0"/>
              <w:jc w:val="center"/>
            </w:pPr>
          </w:p>
        </w:tc>
        <w:tc>
          <w:tcPr>
            <w:tcW w:w="786" w:type="pct"/>
            <w:tcBorders>
              <w:top w:val="nil"/>
              <w:left w:val="nil"/>
              <w:bottom w:val="nil"/>
              <w:right w:val="nil"/>
            </w:tcBorders>
          </w:tcPr>
          <w:p w14:paraId="7E26F37C" w14:textId="77777777" w:rsidR="00B54D51" w:rsidRPr="00037AD4" w:rsidRDefault="00B54D51" w:rsidP="00401C67">
            <w:pPr>
              <w:widowControl w:val="0"/>
              <w:autoSpaceDE w:val="0"/>
              <w:autoSpaceDN w:val="0"/>
              <w:adjustRightInd w:val="0"/>
              <w:jc w:val="center"/>
            </w:pPr>
          </w:p>
        </w:tc>
      </w:tr>
      <w:tr w:rsidR="00B54D51" w:rsidRPr="00037AD4" w14:paraId="1D0617FE" w14:textId="77777777" w:rsidTr="00401C67">
        <w:trPr>
          <w:jc w:val="center"/>
        </w:trPr>
        <w:tc>
          <w:tcPr>
            <w:tcW w:w="977" w:type="pct"/>
            <w:tcBorders>
              <w:top w:val="nil"/>
              <w:left w:val="nil"/>
              <w:bottom w:val="nil"/>
              <w:right w:val="nil"/>
            </w:tcBorders>
          </w:tcPr>
          <w:p w14:paraId="3D4B0755" w14:textId="77777777" w:rsidR="00B54D51" w:rsidRPr="00037AD4" w:rsidRDefault="00B54D51" w:rsidP="00401C67">
            <w:pPr>
              <w:widowControl w:val="0"/>
              <w:autoSpaceDE w:val="0"/>
              <w:autoSpaceDN w:val="0"/>
              <w:adjustRightInd w:val="0"/>
            </w:pPr>
          </w:p>
        </w:tc>
        <w:tc>
          <w:tcPr>
            <w:tcW w:w="834" w:type="pct"/>
            <w:tcBorders>
              <w:top w:val="nil"/>
              <w:left w:val="nil"/>
              <w:bottom w:val="nil"/>
              <w:right w:val="nil"/>
            </w:tcBorders>
          </w:tcPr>
          <w:p w14:paraId="02652FE2" w14:textId="77777777" w:rsidR="00B54D51" w:rsidRPr="00037AD4" w:rsidRDefault="00B54D51" w:rsidP="00401C67">
            <w:pPr>
              <w:widowControl w:val="0"/>
              <w:autoSpaceDE w:val="0"/>
              <w:autoSpaceDN w:val="0"/>
              <w:adjustRightInd w:val="0"/>
              <w:jc w:val="center"/>
            </w:pPr>
            <w:r w:rsidRPr="00037AD4">
              <w:t>(-0.007 - 0.009)</w:t>
            </w:r>
          </w:p>
        </w:tc>
        <w:tc>
          <w:tcPr>
            <w:tcW w:w="834" w:type="pct"/>
            <w:tcBorders>
              <w:top w:val="nil"/>
              <w:left w:val="nil"/>
              <w:bottom w:val="nil"/>
              <w:right w:val="nil"/>
            </w:tcBorders>
          </w:tcPr>
          <w:p w14:paraId="7EEAA912" w14:textId="77777777" w:rsidR="00B54D51" w:rsidRPr="00037AD4" w:rsidRDefault="00B54D51" w:rsidP="00401C67">
            <w:pPr>
              <w:widowControl w:val="0"/>
              <w:autoSpaceDE w:val="0"/>
              <w:autoSpaceDN w:val="0"/>
              <w:adjustRightInd w:val="0"/>
              <w:jc w:val="center"/>
            </w:pPr>
          </w:p>
        </w:tc>
        <w:tc>
          <w:tcPr>
            <w:tcW w:w="784" w:type="pct"/>
            <w:tcBorders>
              <w:top w:val="nil"/>
              <w:left w:val="nil"/>
              <w:bottom w:val="nil"/>
              <w:right w:val="nil"/>
            </w:tcBorders>
          </w:tcPr>
          <w:p w14:paraId="0B650BAF" w14:textId="77777777" w:rsidR="00B54D51" w:rsidRPr="00037AD4" w:rsidRDefault="00B54D51" w:rsidP="00401C67">
            <w:pPr>
              <w:widowControl w:val="0"/>
              <w:autoSpaceDE w:val="0"/>
              <w:autoSpaceDN w:val="0"/>
              <w:adjustRightInd w:val="0"/>
              <w:jc w:val="center"/>
            </w:pPr>
          </w:p>
        </w:tc>
        <w:tc>
          <w:tcPr>
            <w:tcW w:w="784" w:type="pct"/>
            <w:tcBorders>
              <w:top w:val="nil"/>
              <w:left w:val="nil"/>
              <w:bottom w:val="nil"/>
              <w:right w:val="nil"/>
            </w:tcBorders>
          </w:tcPr>
          <w:p w14:paraId="3E7DF198" w14:textId="77777777" w:rsidR="00B54D51" w:rsidRPr="00037AD4" w:rsidRDefault="00B54D51" w:rsidP="00401C67">
            <w:pPr>
              <w:widowControl w:val="0"/>
              <w:autoSpaceDE w:val="0"/>
              <w:autoSpaceDN w:val="0"/>
              <w:adjustRightInd w:val="0"/>
              <w:jc w:val="center"/>
            </w:pPr>
          </w:p>
        </w:tc>
        <w:tc>
          <w:tcPr>
            <w:tcW w:w="786" w:type="pct"/>
            <w:tcBorders>
              <w:top w:val="nil"/>
              <w:left w:val="nil"/>
              <w:bottom w:val="nil"/>
              <w:right w:val="nil"/>
            </w:tcBorders>
          </w:tcPr>
          <w:p w14:paraId="00AA36D4" w14:textId="77777777" w:rsidR="00B54D51" w:rsidRPr="00037AD4" w:rsidRDefault="00B54D51" w:rsidP="00401C67">
            <w:pPr>
              <w:widowControl w:val="0"/>
              <w:autoSpaceDE w:val="0"/>
              <w:autoSpaceDN w:val="0"/>
              <w:adjustRightInd w:val="0"/>
              <w:jc w:val="center"/>
            </w:pPr>
          </w:p>
        </w:tc>
      </w:tr>
      <w:tr w:rsidR="00B54D51" w:rsidRPr="00037AD4" w14:paraId="1191B072" w14:textId="77777777" w:rsidTr="00401C67">
        <w:trPr>
          <w:jc w:val="center"/>
        </w:trPr>
        <w:tc>
          <w:tcPr>
            <w:tcW w:w="977" w:type="pct"/>
            <w:tcBorders>
              <w:top w:val="nil"/>
              <w:left w:val="nil"/>
              <w:bottom w:val="nil"/>
              <w:right w:val="nil"/>
            </w:tcBorders>
          </w:tcPr>
          <w:p w14:paraId="0DD32EDD" w14:textId="77777777" w:rsidR="00B54D51" w:rsidRPr="00037AD4" w:rsidRDefault="00B54D51" w:rsidP="00401C67">
            <w:pPr>
              <w:widowControl w:val="0"/>
              <w:autoSpaceDE w:val="0"/>
              <w:autoSpaceDN w:val="0"/>
              <w:adjustRightInd w:val="0"/>
            </w:pPr>
            <w:r w:rsidRPr="00037AD4">
              <w:t>1.CDR_new_</w:t>
            </w:r>
          </w:p>
        </w:tc>
        <w:tc>
          <w:tcPr>
            <w:tcW w:w="834" w:type="pct"/>
            <w:tcBorders>
              <w:top w:val="nil"/>
              <w:left w:val="nil"/>
              <w:bottom w:val="nil"/>
              <w:right w:val="nil"/>
            </w:tcBorders>
          </w:tcPr>
          <w:p w14:paraId="79B98D1D" w14:textId="77777777" w:rsidR="00B54D51" w:rsidRPr="00037AD4" w:rsidRDefault="00B54D51" w:rsidP="00401C67">
            <w:pPr>
              <w:widowControl w:val="0"/>
              <w:autoSpaceDE w:val="0"/>
              <w:autoSpaceDN w:val="0"/>
              <w:adjustRightInd w:val="0"/>
              <w:jc w:val="center"/>
            </w:pPr>
            <w:r w:rsidRPr="00037AD4">
              <w:t>0.031</w:t>
            </w:r>
          </w:p>
        </w:tc>
        <w:tc>
          <w:tcPr>
            <w:tcW w:w="834" w:type="pct"/>
            <w:tcBorders>
              <w:top w:val="nil"/>
              <w:left w:val="nil"/>
              <w:bottom w:val="nil"/>
              <w:right w:val="nil"/>
            </w:tcBorders>
          </w:tcPr>
          <w:p w14:paraId="5E679C43" w14:textId="77777777" w:rsidR="00B54D51" w:rsidRPr="00037AD4" w:rsidRDefault="00B54D51" w:rsidP="00401C67">
            <w:pPr>
              <w:widowControl w:val="0"/>
              <w:autoSpaceDE w:val="0"/>
              <w:autoSpaceDN w:val="0"/>
              <w:adjustRightInd w:val="0"/>
              <w:jc w:val="center"/>
            </w:pPr>
            <w:r w:rsidRPr="00037AD4">
              <w:t>0.011</w:t>
            </w:r>
          </w:p>
        </w:tc>
        <w:tc>
          <w:tcPr>
            <w:tcW w:w="784" w:type="pct"/>
            <w:tcBorders>
              <w:top w:val="nil"/>
              <w:left w:val="nil"/>
              <w:bottom w:val="nil"/>
              <w:right w:val="nil"/>
            </w:tcBorders>
          </w:tcPr>
          <w:p w14:paraId="47E2AF33" w14:textId="77777777" w:rsidR="00B54D51" w:rsidRPr="00037AD4" w:rsidRDefault="00B54D51" w:rsidP="00401C67">
            <w:pPr>
              <w:widowControl w:val="0"/>
              <w:autoSpaceDE w:val="0"/>
              <w:autoSpaceDN w:val="0"/>
              <w:adjustRightInd w:val="0"/>
              <w:jc w:val="center"/>
            </w:pPr>
          </w:p>
        </w:tc>
        <w:tc>
          <w:tcPr>
            <w:tcW w:w="784" w:type="pct"/>
            <w:tcBorders>
              <w:top w:val="nil"/>
              <w:left w:val="nil"/>
              <w:bottom w:val="nil"/>
              <w:right w:val="nil"/>
            </w:tcBorders>
          </w:tcPr>
          <w:p w14:paraId="5E6810D7" w14:textId="77777777" w:rsidR="00B54D51" w:rsidRPr="00037AD4" w:rsidRDefault="00B54D51" w:rsidP="00401C67">
            <w:pPr>
              <w:widowControl w:val="0"/>
              <w:autoSpaceDE w:val="0"/>
              <w:autoSpaceDN w:val="0"/>
              <w:adjustRightInd w:val="0"/>
              <w:jc w:val="center"/>
            </w:pPr>
            <w:r w:rsidRPr="00037AD4">
              <w:t>0.008</w:t>
            </w:r>
          </w:p>
        </w:tc>
        <w:tc>
          <w:tcPr>
            <w:tcW w:w="786" w:type="pct"/>
            <w:tcBorders>
              <w:top w:val="nil"/>
              <w:left w:val="nil"/>
              <w:bottom w:val="nil"/>
              <w:right w:val="nil"/>
            </w:tcBorders>
          </w:tcPr>
          <w:p w14:paraId="595AF5B9" w14:textId="77777777" w:rsidR="00B54D51" w:rsidRPr="00037AD4" w:rsidRDefault="00B54D51" w:rsidP="00401C67">
            <w:pPr>
              <w:widowControl w:val="0"/>
              <w:autoSpaceDE w:val="0"/>
              <w:autoSpaceDN w:val="0"/>
              <w:adjustRightInd w:val="0"/>
              <w:jc w:val="center"/>
            </w:pPr>
          </w:p>
        </w:tc>
      </w:tr>
      <w:tr w:rsidR="00B54D51" w:rsidRPr="00037AD4" w14:paraId="49C61F40" w14:textId="77777777" w:rsidTr="00401C67">
        <w:trPr>
          <w:jc w:val="center"/>
        </w:trPr>
        <w:tc>
          <w:tcPr>
            <w:tcW w:w="977" w:type="pct"/>
            <w:tcBorders>
              <w:top w:val="nil"/>
              <w:left w:val="nil"/>
              <w:bottom w:val="nil"/>
              <w:right w:val="nil"/>
            </w:tcBorders>
          </w:tcPr>
          <w:p w14:paraId="1D2AD105" w14:textId="77777777" w:rsidR="00B54D51" w:rsidRPr="00037AD4" w:rsidRDefault="00B54D51" w:rsidP="00401C67">
            <w:pPr>
              <w:widowControl w:val="0"/>
              <w:autoSpaceDE w:val="0"/>
              <w:autoSpaceDN w:val="0"/>
              <w:adjustRightInd w:val="0"/>
            </w:pPr>
          </w:p>
        </w:tc>
        <w:tc>
          <w:tcPr>
            <w:tcW w:w="834" w:type="pct"/>
            <w:tcBorders>
              <w:top w:val="nil"/>
              <w:left w:val="nil"/>
              <w:bottom w:val="nil"/>
              <w:right w:val="nil"/>
            </w:tcBorders>
          </w:tcPr>
          <w:p w14:paraId="0EA16ADC" w14:textId="77777777" w:rsidR="00B54D51" w:rsidRPr="00037AD4" w:rsidRDefault="00B54D51" w:rsidP="00401C67">
            <w:pPr>
              <w:widowControl w:val="0"/>
              <w:autoSpaceDE w:val="0"/>
              <w:autoSpaceDN w:val="0"/>
              <w:adjustRightInd w:val="0"/>
              <w:jc w:val="center"/>
            </w:pPr>
            <w:r w:rsidRPr="00037AD4">
              <w:t>(-0.258 - 0.320)</w:t>
            </w:r>
          </w:p>
        </w:tc>
        <w:tc>
          <w:tcPr>
            <w:tcW w:w="834" w:type="pct"/>
            <w:tcBorders>
              <w:top w:val="nil"/>
              <w:left w:val="nil"/>
              <w:bottom w:val="nil"/>
              <w:right w:val="nil"/>
            </w:tcBorders>
          </w:tcPr>
          <w:p w14:paraId="618D3CAE" w14:textId="77777777" w:rsidR="00B54D51" w:rsidRPr="00037AD4" w:rsidRDefault="00B54D51" w:rsidP="00401C67">
            <w:pPr>
              <w:widowControl w:val="0"/>
              <w:autoSpaceDE w:val="0"/>
              <w:autoSpaceDN w:val="0"/>
              <w:adjustRightInd w:val="0"/>
              <w:jc w:val="center"/>
            </w:pPr>
            <w:r w:rsidRPr="00037AD4">
              <w:t>(-0.273 - 0.295)</w:t>
            </w:r>
          </w:p>
        </w:tc>
        <w:tc>
          <w:tcPr>
            <w:tcW w:w="784" w:type="pct"/>
            <w:tcBorders>
              <w:top w:val="nil"/>
              <w:left w:val="nil"/>
              <w:bottom w:val="nil"/>
              <w:right w:val="nil"/>
            </w:tcBorders>
          </w:tcPr>
          <w:p w14:paraId="025DD959" w14:textId="77777777" w:rsidR="00B54D51" w:rsidRPr="00037AD4" w:rsidRDefault="00B54D51" w:rsidP="00401C67">
            <w:pPr>
              <w:widowControl w:val="0"/>
              <w:autoSpaceDE w:val="0"/>
              <w:autoSpaceDN w:val="0"/>
              <w:adjustRightInd w:val="0"/>
              <w:jc w:val="center"/>
            </w:pPr>
          </w:p>
        </w:tc>
        <w:tc>
          <w:tcPr>
            <w:tcW w:w="784" w:type="pct"/>
            <w:tcBorders>
              <w:top w:val="nil"/>
              <w:left w:val="nil"/>
              <w:bottom w:val="nil"/>
              <w:right w:val="nil"/>
            </w:tcBorders>
          </w:tcPr>
          <w:p w14:paraId="6567E1A7" w14:textId="77777777" w:rsidR="00B54D51" w:rsidRPr="00037AD4" w:rsidRDefault="00B54D51" w:rsidP="00401C67">
            <w:pPr>
              <w:widowControl w:val="0"/>
              <w:autoSpaceDE w:val="0"/>
              <w:autoSpaceDN w:val="0"/>
              <w:adjustRightInd w:val="0"/>
              <w:jc w:val="center"/>
            </w:pPr>
            <w:r w:rsidRPr="00037AD4">
              <w:t>(-0.269 - 0.285)</w:t>
            </w:r>
          </w:p>
        </w:tc>
        <w:tc>
          <w:tcPr>
            <w:tcW w:w="786" w:type="pct"/>
            <w:tcBorders>
              <w:top w:val="nil"/>
              <w:left w:val="nil"/>
              <w:bottom w:val="nil"/>
              <w:right w:val="nil"/>
            </w:tcBorders>
          </w:tcPr>
          <w:p w14:paraId="5D48B7F5" w14:textId="77777777" w:rsidR="00B54D51" w:rsidRPr="00037AD4" w:rsidRDefault="00B54D51" w:rsidP="00401C67">
            <w:pPr>
              <w:widowControl w:val="0"/>
              <w:autoSpaceDE w:val="0"/>
              <w:autoSpaceDN w:val="0"/>
              <w:adjustRightInd w:val="0"/>
              <w:jc w:val="center"/>
            </w:pPr>
          </w:p>
        </w:tc>
      </w:tr>
      <w:tr w:rsidR="00B54D51" w:rsidRPr="00037AD4" w14:paraId="79B2C135" w14:textId="77777777" w:rsidTr="00401C67">
        <w:trPr>
          <w:jc w:val="center"/>
        </w:trPr>
        <w:tc>
          <w:tcPr>
            <w:tcW w:w="977" w:type="pct"/>
            <w:tcBorders>
              <w:top w:val="nil"/>
              <w:left w:val="nil"/>
              <w:bottom w:val="nil"/>
              <w:right w:val="nil"/>
            </w:tcBorders>
          </w:tcPr>
          <w:p w14:paraId="50A9ADA5" w14:textId="77777777" w:rsidR="00B54D51" w:rsidRPr="00037AD4" w:rsidRDefault="00B54D51" w:rsidP="00401C67">
            <w:pPr>
              <w:widowControl w:val="0"/>
              <w:autoSpaceDE w:val="0"/>
              <w:autoSpaceDN w:val="0"/>
              <w:adjustRightInd w:val="0"/>
            </w:pPr>
            <w:r w:rsidRPr="00037AD4">
              <w:t>2.CDR_new_</w:t>
            </w:r>
          </w:p>
        </w:tc>
        <w:tc>
          <w:tcPr>
            <w:tcW w:w="834" w:type="pct"/>
            <w:tcBorders>
              <w:top w:val="nil"/>
              <w:left w:val="nil"/>
              <w:bottom w:val="nil"/>
              <w:right w:val="nil"/>
            </w:tcBorders>
          </w:tcPr>
          <w:p w14:paraId="18777327" w14:textId="77777777" w:rsidR="00B54D51" w:rsidRPr="00037AD4" w:rsidRDefault="00B54D51" w:rsidP="00401C67">
            <w:pPr>
              <w:widowControl w:val="0"/>
              <w:autoSpaceDE w:val="0"/>
              <w:autoSpaceDN w:val="0"/>
              <w:adjustRightInd w:val="0"/>
              <w:jc w:val="center"/>
            </w:pPr>
            <w:r w:rsidRPr="00037AD4">
              <w:t>0.565***</w:t>
            </w:r>
          </w:p>
        </w:tc>
        <w:tc>
          <w:tcPr>
            <w:tcW w:w="834" w:type="pct"/>
            <w:tcBorders>
              <w:top w:val="nil"/>
              <w:left w:val="nil"/>
              <w:bottom w:val="nil"/>
              <w:right w:val="nil"/>
            </w:tcBorders>
          </w:tcPr>
          <w:p w14:paraId="39895B56" w14:textId="77777777" w:rsidR="00B54D51" w:rsidRPr="00037AD4" w:rsidRDefault="00B54D51" w:rsidP="00401C67">
            <w:pPr>
              <w:widowControl w:val="0"/>
              <w:autoSpaceDE w:val="0"/>
              <w:autoSpaceDN w:val="0"/>
              <w:adjustRightInd w:val="0"/>
              <w:jc w:val="center"/>
            </w:pPr>
            <w:r w:rsidRPr="00037AD4">
              <w:t>0.551***</w:t>
            </w:r>
          </w:p>
        </w:tc>
        <w:tc>
          <w:tcPr>
            <w:tcW w:w="784" w:type="pct"/>
            <w:tcBorders>
              <w:top w:val="nil"/>
              <w:left w:val="nil"/>
              <w:bottom w:val="nil"/>
              <w:right w:val="nil"/>
            </w:tcBorders>
          </w:tcPr>
          <w:p w14:paraId="6581C69C" w14:textId="77777777" w:rsidR="00B54D51" w:rsidRPr="00037AD4" w:rsidRDefault="00B54D51" w:rsidP="00401C67">
            <w:pPr>
              <w:widowControl w:val="0"/>
              <w:autoSpaceDE w:val="0"/>
              <w:autoSpaceDN w:val="0"/>
              <w:adjustRightInd w:val="0"/>
              <w:jc w:val="center"/>
            </w:pPr>
          </w:p>
        </w:tc>
        <w:tc>
          <w:tcPr>
            <w:tcW w:w="784" w:type="pct"/>
            <w:tcBorders>
              <w:top w:val="nil"/>
              <w:left w:val="nil"/>
              <w:bottom w:val="nil"/>
              <w:right w:val="nil"/>
            </w:tcBorders>
          </w:tcPr>
          <w:p w14:paraId="3EAD3CBE" w14:textId="77777777" w:rsidR="00B54D51" w:rsidRPr="00037AD4" w:rsidRDefault="00B54D51" w:rsidP="00401C67">
            <w:pPr>
              <w:widowControl w:val="0"/>
              <w:autoSpaceDE w:val="0"/>
              <w:autoSpaceDN w:val="0"/>
              <w:adjustRightInd w:val="0"/>
              <w:jc w:val="center"/>
            </w:pPr>
            <w:r w:rsidRPr="00037AD4">
              <w:t>0.502***</w:t>
            </w:r>
          </w:p>
        </w:tc>
        <w:tc>
          <w:tcPr>
            <w:tcW w:w="786" w:type="pct"/>
            <w:tcBorders>
              <w:top w:val="nil"/>
              <w:left w:val="nil"/>
              <w:bottom w:val="nil"/>
              <w:right w:val="nil"/>
            </w:tcBorders>
          </w:tcPr>
          <w:p w14:paraId="17001859" w14:textId="77777777" w:rsidR="00B54D51" w:rsidRPr="00037AD4" w:rsidRDefault="00B54D51" w:rsidP="00401C67">
            <w:pPr>
              <w:widowControl w:val="0"/>
              <w:autoSpaceDE w:val="0"/>
              <w:autoSpaceDN w:val="0"/>
              <w:adjustRightInd w:val="0"/>
              <w:jc w:val="center"/>
            </w:pPr>
          </w:p>
        </w:tc>
      </w:tr>
      <w:tr w:rsidR="00B54D51" w:rsidRPr="00037AD4" w14:paraId="463812D0" w14:textId="77777777" w:rsidTr="00401C67">
        <w:trPr>
          <w:jc w:val="center"/>
        </w:trPr>
        <w:tc>
          <w:tcPr>
            <w:tcW w:w="977" w:type="pct"/>
            <w:tcBorders>
              <w:top w:val="nil"/>
              <w:left w:val="nil"/>
              <w:bottom w:val="nil"/>
              <w:right w:val="nil"/>
            </w:tcBorders>
          </w:tcPr>
          <w:p w14:paraId="59AAF4E8" w14:textId="77777777" w:rsidR="00B54D51" w:rsidRPr="00037AD4" w:rsidRDefault="00B54D51" w:rsidP="00401C67">
            <w:pPr>
              <w:widowControl w:val="0"/>
              <w:autoSpaceDE w:val="0"/>
              <w:autoSpaceDN w:val="0"/>
              <w:adjustRightInd w:val="0"/>
            </w:pPr>
          </w:p>
        </w:tc>
        <w:tc>
          <w:tcPr>
            <w:tcW w:w="834" w:type="pct"/>
            <w:tcBorders>
              <w:top w:val="nil"/>
              <w:left w:val="nil"/>
              <w:bottom w:val="nil"/>
              <w:right w:val="nil"/>
            </w:tcBorders>
          </w:tcPr>
          <w:p w14:paraId="0E823C6E" w14:textId="77777777" w:rsidR="00B54D51" w:rsidRPr="00037AD4" w:rsidRDefault="00B54D51" w:rsidP="00401C67">
            <w:pPr>
              <w:widowControl w:val="0"/>
              <w:autoSpaceDE w:val="0"/>
              <w:autoSpaceDN w:val="0"/>
              <w:adjustRightInd w:val="0"/>
              <w:jc w:val="center"/>
            </w:pPr>
            <w:r w:rsidRPr="00037AD4">
              <w:t>(0.261 - 0.870)</w:t>
            </w:r>
          </w:p>
        </w:tc>
        <w:tc>
          <w:tcPr>
            <w:tcW w:w="834" w:type="pct"/>
            <w:tcBorders>
              <w:top w:val="nil"/>
              <w:left w:val="nil"/>
              <w:bottom w:val="nil"/>
              <w:right w:val="nil"/>
            </w:tcBorders>
          </w:tcPr>
          <w:p w14:paraId="3554FAC3" w14:textId="77777777" w:rsidR="00B54D51" w:rsidRPr="00037AD4" w:rsidRDefault="00B54D51" w:rsidP="00401C67">
            <w:pPr>
              <w:widowControl w:val="0"/>
              <w:autoSpaceDE w:val="0"/>
              <w:autoSpaceDN w:val="0"/>
              <w:adjustRightInd w:val="0"/>
              <w:jc w:val="center"/>
            </w:pPr>
            <w:r w:rsidRPr="00037AD4">
              <w:t>(0.260 - 0.841)</w:t>
            </w:r>
          </w:p>
        </w:tc>
        <w:tc>
          <w:tcPr>
            <w:tcW w:w="784" w:type="pct"/>
            <w:tcBorders>
              <w:top w:val="nil"/>
              <w:left w:val="nil"/>
              <w:bottom w:val="nil"/>
              <w:right w:val="nil"/>
            </w:tcBorders>
          </w:tcPr>
          <w:p w14:paraId="1824EA87" w14:textId="77777777" w:rsidR="00B54D51" w:rsidRPr="00037AD4" w:rsidRDefault="00B54D51" w:rsidP="00401C67">
            <w:pPr>
              <w:widowControl w:val="0"/>
              <w:autoSpaceDE w:val="0"/>
              <w:autoSpaceDN w:val="0"/>
              <w:adjustRightInd w:val="0"/>
              <w:jc w:val="center"/>
            </w:pPr>
          </w:p>
        </w:tc>
        <w:tc>
          <w:tcPr>
            <w:tcW w:w="784" w:type="pct"/>
            <w:tcBorders>
              <w:top w:val="nil"/>
              <w:left w:val="nil"/>
              <w:bottom w:val="nil"/>
              <w:right w:val="nil"/>
            </w:tcBorders>
          </w:tcPr>
          <w:p w14:paraId="5B45EECB" w14:textId="77777777" w:rsidR="00B54D51" w:rsidRPr="00037AD4" w:rsidRDefault="00B54D51" w:rsidP="00401C67">
            <w:pPr>
              <w:widowControl w:val="0"/>
              <w:autoSpaceDE w:val="0"/>
              <w:autoSpaceDN w:val="0"/>
              <w:adjustRightInd w:val="0"/>
              <w:jc w:val="center"/>
            </w:pPr>
            <w:r w:rsidRPr="00037AD4">
              <w:t>(0.210 - 0.794)</w:t>
            </w:r>
          </w:p>
        </w:tc>
        <w:tc>
          <w:tcPr>
            <w:tcW w:w="786" w:type="pct"/>
            <w:tcBorders>
              <w:top w:val="nil"/>
              <w:left w:val="nil"/>
              <w:bottom w:val="nil"/>
              <w:right w:val="nil"/>
            </w:tcBorders>
          </w:tcPr>
          <w:p w14:paraId="24E6D2F7" w14:textId="77777777" w:rsidR="00B54D51" w:rsidRPr="00037AD4" w:rsidRDefault="00B54D51" w:rsidP="00401C67">
            <w:pPr>
              <w:widowControl w:val="0"/>
              <w:autoSpaceDE w:val="0"/>
              <w:autoSpaceDN w:val="0"/>
              <w:adjustRightInd w:val="0"/>
              <w:jc w:val="center"/>
            </w:pPr>
          </w:p>
        </w:tc>
      </w:tr>
      <w:tr w:rsidR="00B54D51" w:rsidRPr="00037AD4" w14:paraId="555E18C6" w14:textId="77777777" w:rsidTr="00401C67">
        <w:trPr>
          <w:jc w:val="center"/>
        </w:trPr>
        <w:tc>
          <w:tcPr>
            <w:tcW w:w="977" w:type="pct"/>
            <w:tcBorders>
              <w:top w:val="nil"/>
              <w:left w:val="nil"/>
              <w:bottom w:val="nil"/>
              <w:right w:val="nil"/>
            </w:tcBorders>
          </w:tcPr>
          <w:p w14:paraId="7036A188" w14:textId="77777777" w:rsidR="00B54D51" w:rsidRPr="00037AD4" w:rsidRDefault="00B54D51" w:rsidP="00401C67">
            <w:pPr>
              <w:widowControl w:val="0"/>
              <w:autoSpaceDE w:val="0"/>
              <w:autoSpaceDN w:val="0"/>
              <w:adjustRightInd w:val="0"/>
            </w:pPr>
            <w:r w:rsidRPr="00037AD4">
              <w:t>3.CDR_new_</w:t>
            </w:r>
          </w:p>
        </w:tc>
        <w:tc>
          <w:tcPr>
            <w:tcW w:w="834" w:type="pct"/>
            <w:tcBorders>
              <w:top w:val="nil"/>
              <w:left w:val="nil"/>
              <w:bottom w:val="nil"/>
              <w:right w:val="nil"/>
            </w:tcBorders>
          </w:tcPr>
          <w:p w14:paraId="7ADFD4CA" w14:textId="77777777" w:rsidR="00B54D51" w:rsidRPr="00037AD4" w:rsidRDefault="00B54D51" w:rsidP="00401C67">
            <w:pPr>
              <w:widowControl w:val="0"/>
              <w:autoSpaceDE w:val="0"/>
              <w:autoSpaceDN w:val="0"/>
              <w:adjustRightInd w:val="0"/>
              <w:jc w:val="center"/>
            </w:pPr>
            <w:r w:rsidRPr="00037AD4">
              <w:t>1.449***</w:t>
            </w:r>
          </w:p>
        </w:tc>
        <w:tc>
          <w:tcPr>
            <w:tcW w:w="834" w:type="pct"/>
            <w:tcBorders>
              <w:top w:val="nil"/>
              <w:left w:val="nil"/>
              <w:bottom w:val="nil"/>
              <w:right w:val="nil"/>
            </w:tcBorders>
          </w:tcPr>
          <w:p w14:paraId="77F34948" w14:textId="77777777" w:rsidR="00B54D51" w:rsidRPr="00037AD4" w:rsidRDefault="00B54D51" w:rsidP="00401C67">
            <w:pPr>
              <w:widowControl w:val="0"/>
              <w:autoSpaceDE w:val="0"/>
              <w:autoSpaceDN w:val="0"/>
              <w:adjustRightInd w:val="0"/>
              <w:jc w:val="center"/>
            </w:pPr>
            <w:r w:rsidRPr="00037AD4">
              <w:t>1.431***</w:t>
            </w:r>
          </w:p>
        </w:tc>
        <w:tc>
          <w:tcPr>
            <w:tcW w:w="784" w:type="pct"/>
            <w:tcBorders>
              <w:top w:val="nil"/>
              <w:left w:val="nil"/>
              <w:bottom w:val="nil"/>
              <w:right w:val="nil"/>
            </w:tcBorders>
          </w:tcPr>
          <w:p w14:paraId="4B4F51C2" w14:textId="77777777" w:rsidR="00B54D51" w:rsidRPr="00037AD4" w:rsidRDefault="00B54D51" w:rsidP="00401C67">
            <w:pPr>
              <w:widowControl w:val="0"/>
              <w:autoSpaceDE w:val="0"/>
              <w:autoSpaceDN w:val="0"/>
              <w:adjustRightInd w:val="0"/>
              <w:jc w:val="center"/>
            </w:pPr>
          </w:p>
        </w:tc>
        <w:tc>
          <w:tcPr>
            <w:tcW w:w="784" w:type="pct"/>
            <w:tcBorders>
              <w:top w:val="nil"/>
              <w:left w:val="nil"/>
              <w:bottom w:val="nil"/>
              <w:right w:val="nil"/>
            </w:tcBorders>
          </w:tcPr>
          <w:p w14:paraId="3D004A08" w14:textId="77777777" w:rsidR="00B54D51" w:rsidRPr="00037AD4" w:rsidRDefault="00B54D51" w:rsidP="00401C67">
            <w:pPr>
              <w:widowControl w:val="0"/>
              <w:autoSpaceDE w:val="0"/>
              <w:autoSpaceDN w:val="0"/>
              <w:adjustRightInd w:val="0"/>
              <w:jc w:val="center"/>
            </w:pPr>
            <w:r w:rsidRPr="00037AD4">
              <w:t>1.352***</w:t>
            </w:r>
          </w:p>
        </w:tc>
        <w:tc>
          <w:tcPr>
            <w:tcW w:w="786" w:type="pct"/>
            <w:tcBorders>
              <w:top w:val="nil"/>
              <w:left w:val="nil"/>
              <w:bottom w:val="nil"/>
              <w:right w:val="nil"/>
            </w:tcBorders>
          </w:tcPr>
          <w:p w14:paraId="4F24E47B" w14:textId="77777777" w:rsidR="00B54D51" w:rsidRPr="00037AD4" w:rsidRDefault="00B54D51" w:rsidP="00401C67">
            <w:pPr>
              <w:widowControl w:val="0"/>
              <w:autoSpaceDE w:val="0"/>
              <w:autoSpaceDN w:val="0"/>
              <w:adjustRightInd w:val="0"/>
              <w:jc w:val="center"/>
            </w:pPr>
          </w:p>
        </w:tc>
      </w:tr>
      <w:tr w:rsidR="00B54D51" w:rsidRPr="00037AD4" w14:paraId="7566183D" w14:textId="77777777" w:rsidTr="00401C67">
        <w:trPr>
          <w:jc w:val="center"/>
        </w:trPr>
        <w:tc>
          <w:tcPr>
            <w:tcW w:w="977" w:type="pct"/>
            <w:tcBorders>
              <w:top w:val="nil"/>
              <w:left w:val="nil"/>
              <w:bottom w:val="nil"/>
              <w:right w:val="nil"/>
            </w:tcBorders>
          </w:tcPr>
          <w:p w14:paraId="15E958D2" w14:textId="77777777" w:rsidR="00B54D51" w:rsidRPr="00037AD4" w:rsidRDefault="00B54D51" w:rsidP="00401C67">
            <w:pPr>
              <w:widowControl w:val="0"/>
              <w:autoSpaceDE w:val="0"/>
              <w:autoSpaceDN w:val="0"/>
              <w:adjustRightInd w:val="0"/>
            </w:pPr>
          </w:p>
        </w:tc>
        <w:tc>
          <w:tcPr>
            <w:tcW w:w="834" w:type="pct"/>
            <w:tcBorders>
              <w:top w:val="nil"/>
              <w:left w:val="nil"/>
              <w:bottom w:val="nil"/>
              <w:right w:val="nil"/>
            </w:tcBorders>
          </w:tcPr>
          <w:p w14:paraId="3401318D" w14:textId="77777777" w:rsidR="00B54D51" w:rsidRPr="00037AD4" w:rsidRDefault="00B54D51" w:rsidP="00401C67">
            <w:pPr>
              <w:widowControl w:val="0"/>
              <w:autoSpaceDE w:val="0"/>
              <w:autoSpaceDN w:val="0"/>
              <w:adjustRightInd w:val="0"/>
              <w:jc w:val="center"/>
            </w:pPr>
            <w:r w:rsidRPr="00037AD4">
              <w:t>(1.050 - 1.848)</w:t>
            </w:r>
          </w:p>
        </w:tc>
        <w:tc>
          <w:tcPr>
            <w:tcW w:w="834" w:type="pct"/>
            <w:tcBorders>
              <w:top w:val="nil"/>
              <w:left w:val="nil"/>
              <w:bottom w:val="nil"/>
              <w:right w:val="nil"/>
            </w:tcBorders>
          </w:tcPr>
          <w:p w14:paraId="2CD6D015" w14:textId="77777777" w:rsidR="00B54D51" w:rsidRPr="00037AD4" w:rsidRDefault="00B54D51" w:rsidP="00401C67">
            <w:pPr>
              <w:widowControl w:val="0"/>
              <w:autoSpaceDE w:val="0"/>
              <w:autoSpaceDN w:val="0"/>
              <w:adjustRightInd w:val="0"/>
              <w:jc w:val="center"/>
            </w:pPr>
            <w:r w:rsidRPr="00037AD4">
              <w:t>(1.054 - 1.808)</w:t>
            </w:r>
          </w:p>
        </w:tc>
        <w:tc>
          <w:tcPr>
            <w:tcW w:w="784" w:type="pct"/>
            <w:tcBorders>
              <w:top w:val="nil"/>
              <w:left w:val="nil"/>
              <w:bottom w:val="nil"/>
              <w:right w:val="nil"/>
            </w:tcBorders>
          </w:tcPr>
          <w:p w14:paraId="47F971A5" w14:textId="77777777" w:rsidR="00B54D51" w:rsidRPr="00037AD4" w:rsidRDefault="00B54D51" w:rsidP="00401C67">
            <w:pPr>
              <w:widowControl w:val="0"/>
              <w:autoSpaceDE w:val="0"/>
              <w:autoSpaceDN w:val="0"/>
              <w:adjustRightInd w:val="0"/>
              <w:jc w:val="center"/>
            </w:pPr>
          </w:p>
        </w:tc>
        <w:tc>
          <w:tcPr>
            <w:tcW w:w="784" w:type="pct"/>
            <w:tcBorders>
              <w:top w:val="nil"/>
              <w:left w:val="nil"/>
              <w:bottom w:val="nil"/>
              <w:right w:val="nil"/>
            </w:tcBorders>
          </w:tcPr>
          <w:p w14:paraId="4789B3BD" w14:textId="77777777" w:rsidR="00B54D51" w:rsidRPr="00037AD4" w:rsidRDefault="00B54D51" w:rsidP="00401C67">
            <w:pPr>
              <w:widowControl w:val="0"/>
              <w:autoSpaceDE w:val="0"/>
              <w:autoSpaceDN w:val="0"/>
              <w:adjustRightInd w:val="0"/>
              <w:jc w:val="center"/>
            </w:pPr>
            <w:r w:rsidRPr="00037AD4">
              <w:t>(0.984 - 1.719)</w:t>
            </w:r>
          </w:p>
        </w:tc>
        <w:tc>
          <w:tcPr>
            <w:tcW w:w="786" w:type="pct"/>
            <w:tcBorders>
              <w:top w:val="nil"/>
              <w:left w:val="nil"/>
              <w:bottom w:val="nil"/>
              <w:right w:val="nil"/>
            </w:tcBorders>
          </w:tcPr>
          <w:p w14:paraId="08C1299D" w14:textId="77777777" w:rsidR="00B54D51" w:rsidRPr="00037AD4" w:rsidRDefault="00B54D51" w:rsidP="00401C67">
            <w:pPr>
              <w:widowControl w:val="0"/>
              <w:autoSpaceDE w:val="0"/>
              <w:autoSpaceDN w:val="0"/>
              <w:adjustRightInd w:val="0"/>
              <w:jc w:val="center"/>
            </w:pPr>
          </w:p>
        </w:tc>
      </w:tr>
      <w:tr w:rsidR="00B54D51" w:rsidRPr="00037AD4" w14:paraId="1305AD43" w14:textId="77777777" w:rsidTr="00401C67">
        <w:trPr>
          <w:jc w:val="center"/>
        </w:trPr>
        <w:tc>
          <w:tcPr>
            <w:tcW w:w="977" w:type="pct"/>
            <w:tcBorders>
              <w:top w:val="nil"/>
              <w:left w:val="nil"/>
              <w:bottom w:val="nil"/>
              <w:right w:val="nil"/>
            </w:tcBorders>
          </w:tcPr>
          <w:p w14:paraId="68BCE2CE" w14:textId="77777777" w:rsidR="00B54D51" w:rsidRPr="00037AD4" w:rsidRDefault="00B54D51" w:rsidP="00401C67">
            <w:pPr>
              <w:widowControl w:val="0"/>
              <w:autoSpaceDE w:val="0"/>
              <w:autoSpaceDN w:val="0"/>
              <w:adjustRightInd w:val="0"/>
            </w:pPr>
            <w:r w:rsidRPr="00037AD4">
              <w:t>numeric_FAST_</w:t>
            </w:r>
          </w:p>
        </w:tc>
        <w:tc>
          <w:tcPr>
            <w:tcW w:w="834" w:type="pct"/>
            <w:tcBorders>
              <w:top w:val="nil"/>
              <w:left w:val="nil"/>
              <w:bottom w:val="nil"/>
              <w:right w:val="nil"/>
            </w:tcBorders>
          </w:tcPr>
          <w:p w14:paraId="3155E269" w14:textId="77777777" w:rsidR="00B54D51" w:rsidRPr="00037AD4" w:rsidRDefault="00B54D51" w:rsidP="00401C67">
            <w:pPr>
              <w:widowControl w:val="0"/>
              <w:autoSpaceDE w:val="0"/>
              <w:autoSpaceDN w:val="0"/>
              <w:adjustRightInd w:val="0"/>
              <w:jc w:val="center"/>
            </w:pPr>
            <w:r w:rsidRPr="00037AD4">
              <w:t>0.445***</w:t>
            </w:r>
          </w:p>
        </w:tc>
        <w:tc>
          <w:tcPr>
            <w:tcW w:w="834" w:type="pct"/>
            <w:tcBorders>
              <w:top w:val="nil"/>
              <w:left w:val="nil"/>
              <w:bottom w:val="nil"/>
              <w:right w:val="nil"/>
            </w:tcBorders>
          </w:tcPr>
          <w:p w14:paraId="46DBAD5C" w14:textId="77777777" w:rsidR="00B54D51" w:rsidRPr="00037AD4" w:rsidRDefault="00B54D51" w:rsidP="00401C67">
            <w:pPr>
              <w:widowControl w:val="0"/>
              <w:autoSpaceDE w:val="0"/>
              <w:autoSpaceDN w:val="0"/>
              <w:adjustRightInd w:val="0"/>
              <w:jc w:val="center"/>
            </w:pPr>
            <w:r w:rsidRPr="00037AD4">
              <w:t>0.454***</w:t>
            </w:r>
          </w:p>
        </w:tc>
        <w:tc>
          <w:tcPr>
            <w:tcW w:w="784" w:type="pct"/>
            <w:tcBorders>
              <w:top w:val="nil"/>
              <w:left w:val="nil"/>
              <w:bottom w:val="nil"/>
              <w:right w:val="nil"/>
            </w:tcBorders>
          </w:tcPr>
          <w:p w14:paraId="74968CBE" w14:textId="77777777" w:rsidR="00B54D51" w:rsidRPr="00037AD4" w:rsidRDefault="00B54D51" w:rsidP="00401C67">
            <w:pPr>
              <w:widowControl w:val="0"/>
              <w:autoSpaceDE w:val="0"/>
              <w:autoSpaceDN w:val="0"/>
              <w:adjustRightInd w:val="0"/>
              <w:jc w:val="center"/>
            </w:pPr>
            <w:r w:rsidRPr="00037AD4">
              <w:t>0.603***</w:t>
            </w:r>
          </w:p>
        </w:tc>
        <w:tc>
          <w:tcPr>
            <w:tcW w:w="784" w:type="pct"/>
            <w:tcBorders>
              <w:top w:val="nil"/>
              <w:left w:val="nil"/>
              <w:bottom w:val="nil"/>
              <w:right w:val="nil"/>
            </w:tcBorders>
          </w:tcPr>
          <w:p w14:paraId="4EA24B8F" w14:textId="77777777" w:rsidR="00B54D51" w:rsidRPr="00037AD4" w:rsidRDefault="00B54D51" w:rsidP="00401C67">
            <w:pPr>
              <w:widowControl w:val="0"/>
              <w:autoSpaceDE w:val="0"/>
              <w:autoSpaceDN w:val="0"/>
              <w:adjustRightInd w:val="0"/>
              <w:jc w:val="center"/>
            </w:pPr>
            <w:r w:rsidRPr="00037AD4">
              <w:t>0.463***</w:t>
            </w:r>
          </w:p>
        </w:tc>
        <w:tc>
          <w:tcPr>
            <w:tcW w:w="786" w:type="pct"/>
            <w:tcBorders>
              <w:top w:val="nil"/>
              <w:left w:val="nil"/>
              <w:bottom w:val="nil"/>
              <w:right w:val="nil"/>
            </w:tcBorders>
          </w:tcPr>
          <w:p w14:paraId="43399493" w14:textId="77777777" w:rsidR="00B54D51" w:rsidRPr="00037AD4" w:rsidRDefault="00B54D51" w:rsidP="00401C67">
            <w:pPr>
              <w:widowControl w:val="0"/>
              <w:autoSpaceDE w:val="0"/>
              <w:autoSpaceDN w:val="0"/>
              <w:adjustRightInd w:val="0"/>
              <w:jc w:val="center"/>
            </w:pPr>
            <w:r w:rsidRPr="00037AD4">
              <w:t>0.597***</w:t>
            </w:r>
          </w:p>
        </w:tc>
      </w:tr>
      <w:tr w:rsidR="00B54D51" w:rsidRPr="00037AD4" w14:paraId="13F22444" w14:textId="77777777" w:rsidTr="00401C67">
        <w:trPr>
          <w:jc w:val="center"/>
        </w:trPr>
        <w:tc>
          <w:tcPr>
            <w:tcW w:w="977" w:type="pct"/>
            <w:tcBorders>
              <w:top w:val="nil"/>
              <w:left w:val="nil"/>
              <w:bottom w:val="nil"/>
              <w:right w:val="nil"/>
            </w:tcBorders>
          </w:tcPr>
          <w:p w14:paraId="5BD49F5B" w14:textId="77777777" w:rsidR="00B54D51" w:rsidRPr="00037AD4" w:rsidRDefault="00B54D51" w:rsidP="00401C67">
            <w:pPr>
              <w:widowControl w:val="0"/>
              <w:autoSpaceDE w:val="0"/>
              <w:autoSpaceDN w:val="0"/>
              <w:adjustRightInd w:val="0"/>
            </w:pPr>
          </w:p>
        </w:tc>
        <w:tc>
          <w:tcPr>
            <w:tcW w:w="834" w:type="pct"/>
            <w:tcBorders>
              <w:top w:val="nil"/>
              <w:left w:val="nil"/>
              <w:bottom w:val="nil"/>
              <w:right w:val="nil"/>
            </w:tcBorders>
          </w:tcPr>
          <w:p w14:paraId="06F252DC" w14:textId="77777777" w:rsidR="00B54D51" w:rsidRPr="00037AD4" w:rsidRDefault="00B54D51" w:rsidP="00401C67">
            <w:pPr>
              <w:widowControl w:val="0"/>
              <w:autoSpaceDE w:val="0"/>
              <w:autoSpaceDN w:val="0"/>
              <w:adjustRightInd w:val="0"/>
              <w:jc w:val="center"/>
            </w:pPr>
            <w:r w:rsidRPr="00037AD4">
              <w:t>(0.335 - 0.555)</w:t>
            </w:r>
          </w:p>
        </w:tc>
        <w:tc>
          <w:tcPr>
            <w:tcW w:w="834" w:type="pct"/>
            <w:tcBorders>
              <w:top w:val="nil"/>
              <w:left w:val="nil"/>
              <w:bottom w:val="nil"/>
              <w:right w:val="nil"/>
            </w:tcBorders>
          </w:tcPr>
          <w:p w14:paraId="19616B82" w14:textId="77777777" w:rsidR="00B54D51" w:rsidRPr="00037AD4" w:rsidRDefault="00B54D51" w:rsidP="00401C67">
            <w:pPr>
              <w:widowControl w:val="0"/>
              <w:autoSpaceDE w:val="0"/>
              <w:autoSpaceDN w:val="0"/>
              <w:adjustRightInd w:val="0"/>
              <w:jc w:val="center"/>
            </w:pPr>
            <w:r w:rsidRPr="00037AD4">
              <w:t>(0.348 - 0.560)</w:t>
            </w:r>
          </w:p>
        </w:tc>
        <w:tc>
          <w:tcPr>
            <w:tcW w:w="784" w:type="pct"/>
            <w:tcBorders>
              <w:top w:val="nil"/>
              <w:left w:val="nil"/>
              <w:bottom w:val="nil"/>
              <w:right w:val="nil"/>
            </w:tcBorders>
          </w:tcPr>
          <w:p w14:paraId="49662CCC" w14:textId="77777777" w:rsidR="00B54D51" w:rsidRPr="00037AD4" w:rsidRDefault="00B54D51" w:rsidP="00401C67">
            <w:pPr>
              <w:widowControl w:val="0"/>
              <w:autoSpaceDE w:val="0"/>
              <w:autoSpaceDN w:val="0"/>
              <w:adjustRightInd w:val="0"/>
              <w:jc w:val="center"/>
            </w:pPr>
            <w:r w:rsidRPr="00037AD4">
              <w:t>(0.500 - 0.706)</w:t>
            </w:r>
          </w:p>
        </w:tc>
        <w:tc>
          <w:tcPr>
            <w:tcW w:w="784" w:type="pct"/>
            <w:tcBorders>
              <w:top w:val="nil"/>
              <w:left w:val="nil"/>
              <w:bottom w:val="nil"/>
              <w:right w:val="nil"/>
            </w:tcBorders>
          </w:tcPr>
          <w:p w14:paraId="6FD16E64" w14:textId="77777777" w:rsidR="00B54D51" w:rsidRPr="00037AD4" w:rsidRDefault="00B54D51" w:rsidP="00401C67">
            <w:pPr>
              <w:widowControl w:val="0"/>
              <w:autoSpaceDE w:val="0"/>
              <w:autoSpaceDN w:val="0"/>
              <w:adjustRightInd w:val="0"/>
              <w:jc w:val="center"/>
            </w:pPr>
            <w:r w:rsidRPr="00037AD4">
              <w:t>(0.355 - 0.570)</w:t>
            </w:r>
          </w:p>
        </w:tc>
        <w:tc>
          <w:tcPr>
            <w:tcW w:w="786" w:type="pct"/>
            <w:tcBorders>
              <w:top w:val="nil"/>
              <w:left w:val="nil"/>
              <w:bottom w:val="nil"/>
              <w:right w:val="nil"/>
            </w:tcBorders>
          </w:tcPr>
          <w:p w14:paraId="5084DBD4" w14:textId="77777777" w:rsidR="00B54D51" w:rsidRPr="00037AD4" w:rsidRDefault="00B54D51" w:rsidP="00401C67">
            <w:pPr>
              <w:widowControl w:val="0"/>
              <w:autoSpaceDE w:val="0"/>
              <w:autoSpaceDN w:val="0"/>
              <w:adjustRightInd w:val="0"/>
              <w:jc w:val="center"/>
            </w:pPr>
            <w:r w:rsidRPr="00037AD4">
              <w:t>(0.495 - 0.699)</w:t>
            </w:r>
          </w:p>
        </w:tc>
      </w:tr>
      <w:tr w:rsidR="00B54D51" w:rsidRPr="00037AD4" w14:paraId="319E0F37" w14:textId="77777777" w:rsidTr="00401C67">
        <w:trPr>
          <w:jc w:val="center"/>
        </w:trPr>
        <w:tc>
          <w:tcPr>
            <w:tcW w:w="977" w:type="pct"/>
            <w:tcBorders>
              <w:top w:val="nil"/>
              <w:left w:val="nil"/>
              <w:bottom w:val="nil"/>
              <w:right w:val="nil"/>
            </w:tcBorders>
          </w:tcPr>
          <w:p w14:paraId="4B660CC9" w14:textId="77777777" w:rsidR="00B54D51" w:rsidRPr="00037AD4" w:rsidRDefault="00B54D51" w:rsidP="00401C67">
            <w:pPr>
              <w:widowControl w:val="0"/>
              <w:autoSpaceDE w:val="0"/>
              <w:autoSpaceDN w:val="0"/>
              <w:adjustRightInd w:val="0"/>
            </w:pPr>
            <w:r w:rsidRPr="00037AD4">
              <w:t>age_</w:t>
            </w:r>
          </w:p>
        </w:tc>
        <w:tc>
          <w:tcPr>
            <w:tcW w:w="834" w:type="pct"/>
            <w:tcBorders>
              <w:top w:val="nil"/>
              <w:left w:val="nil"/>
              <w:bottom w:val="nil"/>
              <w:right w:val="nil"/>
            </w:tcBorders>
          </w:tcPr>
          <w:p w14:paraId="25054AD2" w14:textId="77777777" w:rsidR="00B54D51" w:rsidRPr="00037AD4" w:rsidRDefault="00B54D51" w:rsidP="00401C67">
            <w:pPr>
              <w:widowControl w:val="0"/>
              <w:autoSpaceDE w:val="0"/>
              <w:autoSpaceDN w:val="0"/>
              <w:adjustRightInd w:val="0"/>
              <w:jc w:val="center"/>
            </w:pPr>
            <w:r w:rsidRPr="00037AD4">
              <w:t>-0.003</w:t>
            </w:r>
          </w:p>
        </w:tc>
        <w:tc>
          <w:tcPr>
            <w:tcW w:w="834" w:type="pct"/>
            <w:tcBorders>
              <w:top w:val="nil"/>
              <w:left w:val="nil"/>
              <w:bottom w:val="nil"/>
              <w:right w:val="nil"/>
            </w:tcBorders>
          </w:tcPr>
          <w:p w14:paraId="57141EEC" w14:textId="77777777" w:rsidR="00B54D51" w:rsidRPr="00037AD4" w:rsidRDefault="00B54D51" w:rsidP="00401C67">
            <w:pPr>
              <w:widowControl w:val="0"/>
              <w:autoSpaceDE w:val="0"/>
              <w:autoSpaceDN w:val="0"/>
              <w:adjustRightInd w:val="0"/>
              <w:jc w:val="center"/>
            </w:pPr>
            <w:r w:rsidRPr="00037AD4">
              <w:t>-0.004</w:t>
            </w:r>
          </w:p>
        </w:tc>
        <w:tc>
          <w:tcPr>
            <w:tcW w:w="784" w:type="pct"/>
            <w:tcBorders>
              <w:top w:val="nil"/>
              <w:left w:val="nil"/>
              <w:bottom w:val="nil"/>
              <w:right w:val="nil"/>
            </w:tcBorders>
          </w:tcPr>
          <w:p w14:paraId="39F32C43" w14:textId="77777777" w:rsidR="00B54D51" w:rsidRPr="00037AD4" w:rsidRDefault="00B54D51" w:rsidP="00401C67">
            <w:pPr>
              <w:widowControl w:val="0"/>
              <w:autoSpaceDE w:val="0"/>
              <w:autoSpaceDN w:val="0"/>
              <w:adjustRightInd w:val="0"/>
              <w:jc w:val="center"/>
            </w:pPr>
            <w:r w:rsidRPr="00037AD4">
              <w:t>0.001</w:t>
            </w:r>
          </w:p>
        </w:tc>
        <w:tc>
          <w:tcPr>
            <w:tcW w:w="784" w:type="pct"/>
            <w:tcBorders>
              <w:top w:val="nil"/>
              <w:left w:val="nil"/>
              <w:bottom w:val="nil"/>
              <w:right w:val="nil"/>
            </w:tcBorders>
          </w:tcPr>
          <w:p w14:paraId="40F5C8BA" w14:textId="77777777" w:rsidR="00B54D51" w:rsidRPr="00037AD4" w:rsidRDefault="00B54D51" w:rsidP="00401C67">
            <w:pPr>
              <w:widowControl w:val="0"/>
              <w:autoSpaceDE w:val="0"/>
              <w:autoSpaceDN w:val="0"/>
              <w:adjustRightInd w:val="0"/>
              <w:jc w:val="center"/>
            </w:pPr>
            <w:r w:rsidRPr="00037AD4">
              <w:t>-0.003</w:t>
            </w:r>
          </w:p>
        </w:tc>
        <w:tc>
          <w:tcPr>
            <w:tcW w:w="786" w:type="pct"/>
            <w:tcBorders>
              <w:top w:val="nil"/>
              <w:left w:val="nil"/>
              <w:bottom w:val="nil"/>
              <w:right w:val="nil"/>
            </w:tcBorders>
          </w:tcPr>
          <w:p w14:paraId="30225EDD" w14:textId="77777777" w:rsidR="00B54D51" w:rsidRPr="00037AD4" w:rsidRDefault="00B54D51" w:rsidP="00401C67">
            <w:pPr>
              <w:widowControl w:val="0"/>
              <w:autoSpaceDE w:val="0"/>
              <w:autoSpaceDN w:val="0"/>
              <w:adjustRightInd w:val="0"/>
              <w:jc w:val="center"/>
            </w:pPr>
          </w:p>
        </w:tc>
      </w:tr>
      <w:tr w:rsidR="00B54D51" w:rsidRPr="00037AD4" w14:paraId="0E07FA35" w14:textId="77777777" w:rsidTr="00401C67">
        <w:trPr>
          <w:jc w:val="center"/>
        </w:trPr>
        <w:tc>
          <w:tcPr>
            <w:tcW w:w="977" w:type="pct"/>
            <w:tcBorders>
              <w:top w:val="nil"/>
              <w:left w:val="nil"/>
              <w:bottom w:val="nil"/>
              <w:right w:val="nil"/>
            </w:tcBorders>
          </w:tcPr>
          <w:p w14:paraId="17BA7D09" w14:textId="77777777" w:rsidR="00B54D51" w:rsidRPr="00037AD4" w:rsidRDefault="00B54D51" w:rsidP="00401C67">
            <w:pPr>
              <w:widowControl w:val="0"/>
              <w:autoSpaceDE w:val="0"/>
              <w:autoSpaceDN w:val="0"/>
              <w:adjustRightInd w:val="0"/>
            </w:pPr>
          </w:p>
        </w:tc>
        <w:tc>
          <w:tcPr>
            <w:tcW w:w="834" w:type="pct"/>
            <w:tcBorders>
              <w:top w:val="nil"/>
              <w:left w:val="nil"/>
              <w:bottom w:val="nil"/>
              <w:right w:val="nil"/>
            </w:tcBorders>
          </w:tcPr>
          <w:p w14:paraId="685B83C1" w14:textId="77777777" w:rsidR="00B54D51" w:rsidRPr="00037AD4" w:rsidRDefault="00B54D51" w:rsidP="00401C67">
            <w:pPr>
              <w:widowControl w:val="0"/>
              <w:autoSpaceDE w:val="0"/>
              <w:autoSpaceDN w:val="0"/>
              <w:adjustRightInd w:val="0"/>
              <w:jc w:val="center"/>
            </w:pPr>
            <w:r w:rsidRPr="00037AD4">
              <w:t>(-0.018 - 0.012)</w:t>
            </w:r>
          </w:p>
        </w:tc>
        <w:tc>
          <w:tcPr>
            <w:tcW w:w="834" w:type="pct"/>
            <w:tcBorders>
              <w:top w:val="nil"/>
              <w:left w:val="nil"/>
              <w:bottom w:val="nil"/>
              <w:right w:val="nil"/>
            </w:tcBorders>
          </w:tcPr>
          <w:p w14:paraId="19DA79E1" w14:textId="77777777" w:rsidR="00B54D51" w:rsidRPr="00037AD4" w:rsidRDefault="00B54D51" w:rsidP="00401C67">
            <w:pPr>
              <w:widowControl w:val="0"/>
              <w:autoSpaceDE w:val="0"/>
              <w:autoSpaceDN w:val="0"/>
              <w:adjustRightInd w:val="0"/>
              <w:jc w:val="center"/>
            </w:pPr>
            <w:r w:rsidRPr="00037AD4">
              <w:t>(-0.017 - 0.010)</w:t>
            </w:r>
          </w:p>
        </w:tc>
        <w:tc>
          <w:tcPr>
            <w:tcW w:w="784" w:type="pct"/>
            <w:tcBorders>
              <w:top w:val="nil"/>
              <w:left w:val="nil"/>
              <w:bottom w:val="nil"/>
              <w:right w:val="nil"/>
            </w:tcBorders>
          </w:tcPr>
          <w:p w14:paraId="6D825C64" w14:textId="77777777" w:rsidR="00B54D51" w:rsidRPr="00037AD4" w:rsidRDefault="00B54D51" w:rsidP="00401C67">
            <w:pPr>
              <w:widowControl w:val="0"/>
              <w:autoSpaceDE w:val="0"/>
              <w:autoSpaceDN w:val="0"/>
              <w:adjustRightInd w:val="0"/>
              <w:jc w:val="center"/>
            </w:pPr>
            <w:r w:rsidRPr="00037AD4">
              <w:t>(-0.013 - 0.015)</w:t>
            </w:r>
          </w:p>
        </w:tc>
        <w:tc>
          <w:tcPr>
            <w:tcW w:w="784" w:type="pct"/>
            <w:tcBorders>
              <w:top w:val="nil"/>
              <w:left w:val="nil"/>
              <w:bottom w:val="nil"/>
              <w:right w:val="nil"/>
            </w:tcBorders>
          </w:tcPr>
          <w:p w14:paraId="3D1F5640" w14:textId="77777777" w:rsidR="00B54D51" w:rsidRPr="00037AD4" w:rsidRDefault="00B54D51" w:rsidP="00401C67">
            <w:pPr>
              <w:widowControl w:val="0"/>
              <w:autoSpaceDE w:val="0"/>
              <w:autoSpaceDN w:val="0"/>
              <w:adjustRightInd w:val="0"/>
              <w:jc w:val="center"/>
            </w:pPr>
            <w:r w:rsidRPr="00037AD4">
              <w:t>(-0.018 - 0.011)</w:t>
            </w:r>
          </w:p>
        </w:tc>
        <w:tc>
          <w:tcPr>
            <w:tcW w:w="786" w:type="pct"/>
            <w:tcBorders>
              <w:top w:val="nil"/>
              <w:left w:val="nil"/>
              <w:bottom w:val="nil"/>
              <w:right w:val="nil"/>
            </w:tcBorders>
          </w:tcPr>
          <w:p w14:paraId="763C9AB5" w14:textId="77777777" w:rsidR="00B54D51" w:rsidRPr="00037AD4" w:rsidRDefault="00B54D51" w:rsidP="00401C67">
            <w:pPr>
              <w:widowControl w:val="0"/>
              <w:autoSpaceDE w:val="0"/>
              <w:autoSpaceDN w:val="0"/>
              <w:adjustRightInd w:val="0"/>
              <w:jc w:val="center"/>
            </w:pPr>
          </w:p>
        </w:tc>
      </w:tr>
      <w:tr w:rsidR="00B54D51" w:rsidRPr="00037AD4" w14:paraId="2AF75B49" w14:textId="77777777" w:rsidTr="00401C67">
        <w:trPr>
          <w:jc w:val="center"/>
        </w:trPr>
        <w:tc>
          <w:tcPr>
            <w:tcW w:w="977" w:type="pct"/>
            <w:tcBorders>
              <w:top w:val="nil"/>
              <w:left w:val="nil"/>
              <w:bottom w:val="nil"/>
              <w:right w:val="nil"/>
            </w:tcBorders>
          </w:tcPr>
          <w:p w14:paraId="63167ED2" w14:textId="77777777" w:rsidR="00B54D51" w:rsidRPr="00037AD4" w:rsidRDefault="00B54D51" w:rsidP="00401C67">
            <w:pPr>
              <w:widowControl w:val="0"/>
              <w:autoSpaceDE w:val="0"/>
              <w:autoSpaceDN w:val="0"/>
              <w:adjustRightInd w:val="0"/>
            </w:pPr>
            <w:r w:rsidRPr="00037AD4">
              <w:t>2.sex_</w:t>
            </w:r>
          </w:p>
        </w:tc>
        <w:tc>
          <w:tcPr>
            <w:tcW w:w="834" w:type="pct"/>
            <w:tcBorders>
              <w:top w:val="nil"/>
              <w:left w:val="nil"/>
              <w:bottom w:val="nil"/>
              <w:right w:val="nil"/>
            </w:tcBorders>
          </w:tcPr>
          <w:p w14:paraId="710C27A3" w14:textId="77777777" w:rsidR="00B54D51" w:rsidRPr="00037AD4" w:rsidRDefault="00B54D51" w:rsidP="00401C67">
            <w:pPr>
              <w:widowControl w:val="0"/>
              <w:autoSpaceDE w:val="0"/>
              <w:autoSpaceDN w:val="0"/>
              <w:adjustRightInd w:val="0"/>
              <w:jc w:val="center"/>
            </w:pPr>
            <w:r w:rsidRPr="00037AD4">
              <w:t>-0.028</w:t>
            </w:r>
          </w:p>
        </w:tc>
        <w:tc>
          <w:tcPr>
            <w:tcW w:w="834" w:type="pct"/>
            <w:tcBorders>
              <w:top w:val="nil"/>
              <w:left w:val="nil"/>
              <w:bottom w:val="nil"/>
              <w:right w:val="nil"/>
            </w:tcBorders>
          </w:tcPr>
          <w:p w14:paraId="7A5980E3" w14:textId="77777777" w:rsidR="00B54D51" w:rsidRPr="00037AD4" w:rsidRDefault="00B54D51" w:rsidP="00401C67">
            <w:pPr>
              <w:widowControl w:val="0"/>
              <w:autoSpaceDE w:val="0"/>
              <w:autoSpaceDN w:val="0"/>
              <w:adjustRightInd w:val="0"/>
              <w:jc w:val="center"/>
            </w:pPr>
            <w:r w:rsidRPr="00037AD4">
              <w:t>-0.055</w:t>
            </w:r>
          </w:p>
        </w:tc>
        <w:tc>
          <w:tcPr>
            <w:tcW w:w="784" w:type="pct"/>
            <w:tcBorders>
              <w:top w:val="nil"/>
              <w:left w:val="nil"/>
              <w:bottom w:val="nil"/>
              <w:right w:val="nil"/>
            </w:tcBorders>
          </w:tcPr>
          <w:p w14:paraId="56B27B3A" w14:textId="77777777" w:rsidR="00B54D51" w:rsidRPr="00037AD4" w:rsidRDefault="00B54D51" w:rsidP="00401C67">
            <w:pPr>
              <w:widowControl w:val="0"/>
              <w:autoSpaceDE w:val="0"/>
              <w:autoSpaceDN w:val="0"/>
              <w:adjustRightInd w:val="0"/>
              <w:jc w:val="center"/>
            </w:pPr>
            <w:r w:rsidRPr="00037AD4">
              <w:t>0.005</w:t>
            </w:r>
          </w:p>
        </w:tc>
        <w:tc>
          <w:tcPr>
            <w:tcW w:w="784" w:type="pct"/>
            <w:tcBorders>
              <w:top w:val="nil"/>
              <w:left w:val="nil"/>
              <w:bottom w:val="nil"/>
              <w:right w:val="nil"/>
            </w:tcBorders>
          </w:tcPr>
          <w:p w14:paraId="182E362A" w14:textId="77777777" w:rsidR="00B54D51" w:rsidRPr="00037AD4" w:rsidRDefault="00B54D51" w:rsidP="00401C67">
            <w:pPr>
              <w:widowControl w:val="0"/>
              <w:autoSpaceDE w:val="0"/>
              <w:autoSpaceDN w:val="0"/>
              <w:adjustRightInd w:val="0"/>
              <w:jc w:val="center"/>
            </w:pPr>
            <w:r w:rsidRPr="00037AD4">
              <w:t>-0.046</w:t>
            </w:r>
          </w:p>
        </w:tc>
        <w:tc>
          <w:tcPr>
            <w:tcW w:w="786" w:type="pct"/>
            <w:tcBorders>
              <w:top w:val="nil"/>
              <w:left w:val="nil"/>
              <w:bottom w:val="nil"/>
              <w:right w:val="nil"/>
            </w:tcBorders>
          </w:tcPr>
          <w:p w14:paraId="3FE0B7C8" w14:textId="77777777" w:rsidR="00B54D51" w:rsidRPr="00037AD4" w:rsidRDefault="00B54D51" w:rsidP="00401C67">
            <w:pPr>
              <w:widowControl w:val="0"/>
              <w:autoSpaceDE w:val="0"/>
              <w:autoSpaceDN w:val="0"/>
              <w:adjustRightInd w:val="0"/>
              <w:jc w:val="center"/>
            </w:pPr>
          </w:p>
        </w:tc>
      </w:tr>
      <w:tr w:rsidR="00B54D51" w:rsidRPr="00037AD4" w14:paraId="4188DB0B" w14:textId="77777777" w:rsidTr="00401C67">
        <w:trPr>
          <w:jc w:val="center"/>
        </w:trPr>
        <w:tc>
          <w:tcPr>
            <w:tcW w:w="977" w:type="pct"/>
            <w:tcBorders>
              <w:top w:val="nil"/>
              <w:left w:val="nil"/>
              <w:bottom w:val="nil"/>
              <w:right w:val="nil"/>
            </w:tcBorders>
          </w:tcPr>
          <w:p w14:paraId="6E75BB03" w14:textId="77777777" w:rsidR="00B54D51" w:rsidRPr="00037AD4" w:rsidRDefault="00B54D51" w:rsidP="00401C67">
            <w:pPr>
              <w:widowControl w:val="0"/>
              <w:autoSpaceDE w:val="0"/>
              <w:autoSpaceDN w:val="0"/>
              <w:adjustRightInd w:val="0"/>
            </w:pPr>
          </w:p>
        </w:tc>
        <w:tc>
          <w:tcPr>
            <w:tcW w:w="834" w:type="pct"/>
            <w:tcBorders>
              <w:top w:val="nil"/>
              <w:left w:val="nil"/>
              <w:bottom w:val="nil"/>
              <w:right w:val="nil"/>
            </w:tcBorders>
          </w:tcPr>
          <w:p w14:paraId="35944479" w14:textId="77777777" w:rsidR="00B54D51" w:rsidRPr="00037AD4" w:rsidRDefault="00B54D51" w:rsidP="00401C67">
            <w:pPr>
              <w:widowControl w:val="0"/>
              <w:autoSpaceDE w:val="0"/>
              <w:autoSpaceDN w:val="0"/>
              <w:adjustRightInd w:val="0"/>
              <w:jc w:val="center"/>
            </w:pPr>
            <w:r w:rsidRPr="00037AD4">
              <w:t>(-0.237 - 0.180)</w:t>
            </w:r>
          </w:p>
        </w:tc>
        <w:tc>
          <w:tcPr>
            <w:tcW w:w="834" w:type="pct"/>
            <w:tcBorders>
              <w:top w:val="nil"/>
              <w:left w:val="nil"/>
              <w:bottom w:val="nil"/>
              <w:right w:val="nil"/>
            </w:tcBorders>
          </w:tcPr>
          <w:p w14:paraId="14139C78" w14:textId="77777777" w:rsidR="00B54D51" w:rsidRPr="00037AD4" w:rsidRDefault="00B54D51" w:rsidP="00401C67">
            <w:pPr>
              <w:widowControl w:val="0"/>
              <w:autoSpaceDE w:val="0"/>
              <w:autoSpaceDN w:val="0"/>
              <w:adjustRightInd w:val="0"/>
              <w:jc w:val="center"/>
            </w:pPr>
            <w:r w:rsidRPr="00037AD4">
              <w:t>(-0.256 - 0.146)</w:t>
            </w:r>
          </w:p>
        </w:tc>
        <w:tc>
          <w:tcPr>
            <w:tcW w:w="784" w:type="pct"/>
            <w:tcBorders>
              <w:top w:val="nil"/>
              <w:left w:val="nil"/>
              <w:bottom w:val="nil"/>
              <w:right w:val="nil"/>
            </w:tcBorders>
          </w:tcPr>
          <w:p w14:paraId="4F665826" w14:textId="77777777" w:rsidR="00B54D51" w:rsidRPr="00037AD4" w:rsidRDefault="00B54D51" w:rsidP="00401C67">
            <w:pPr>
              <w:widowControl w:val="0"/>
              <w:autoSpaceDE w:val="0"/>
              <w:autoSpaceDN w:val="0"/>
              <w:adjustRightInd w:val="0"/>
              <w:jc w:val="center"/>
            </w:pPr>
            <w:r w:rsidRPr="00037AD4">
              <w:t>(-0.192 - 0.203)</w:t>
            </w:r>
          </w:p>
        </w:tc>
        <w:tc>
          <w:tcPr>
            <w:tcW w:w="784" w:type="pct"/>
            <w:tcBorders>
              <w:top w:val="nil"/>
              <w:left w:val="nil"/>
              <w:bottom w:val="nil"/>
              <w:right w:val="nil"/>
            </w:tcBorders>
          </w:tcPr>
          <w:p w14:paraId="24507842" w14:textId="77777777" w:rsidR="00B54D51" w:rsidRPr="00037AD4" w:rsidRDefault="00B54D51" w:rsidP="00401C67">
            <w:pPr>
              <w:widowControl w:val="0"/>
              <w:autoSpaceDE w:val="0"/>
              <w:autoSpaceDN w:val="0"/>
              <w:adjustRightInd w:val="0"/>
              <w:jc w:val="center"/>
            </w:pPr>
            <w:r w:rsidRPr="00037AD4">
              <w:t>(-0.250 - 0.158)</w:t>
            </w:r>
          </w:p>
        </w:tc>
        <w:tc>
          <w:tcPr>
            <w:tcW w:w="786" w:type="pct"/>
            <w:tcBorders>
              <w:top w:val="nil"/>
              <w:left w:val="nil"/>
              <w:bottom w:val="nil"/>
              <w:right w:val="nil"/>
            </w:tcBorders>
          </w:tcPr>
          <w:p w14:paraId="3E223645" w14:textId="77777777" w:rsidR="00B54D51" w:rsidRPr="00037AD4" w:rsidRDefault="00B54D51" w:rsidP="00401C67">
            <w:pPr>
              <w:widowControl w:val="0"/>
              <w:autoSpaceDE w:val="0"/>
              <w:autoSpaceDN w:val="0"/>
              <w:adjustRightInd w:val="0"/>
              <w:jc w:val="center"/>
            </w:pPr>
          </w:p>
        </w:tc>
      </w:tr>
      <w:tr w:rsidR="00B54D51" w:rsidRPr="00037AD4" w14:paraId="02D01627" w14:textId="77777777" w:rsidTr="00401C67">
        <w:trPr>
          <w:jc w:val="center"/>
        </w:trPr>
        <w:tc>
          <w:tcPr>
            <w:tcW w:w="977" w:type="pct"/>
            <w:tcBorders>
              <w:top w:val="nil"/>
              <w:left w:val="nil"/>
              <w:bottom w:val="nil"/>
              <w:right w:val="nil"/>
            </w:tcBorders>
          </w:tcPr>
          <w:p w14:paraId="3A481701" w14:textId="77777777" w:rsidR="00B54D51" w:rsidRPr="00037AD4" w:rsidRDefault="00B54D51" w:rsidP="00401C67">
            <w:pPr>
              <w:widowControl w:val="0"/>
              <w:autoSpaceDE w:val="0"/>
              <w:autoSpaceDN w:val="0"/>
              <w:adjustRightInd w:val="0"/>
            </w:pPr>
            <w:r w:rsidRPr="00037AD4">
              <w:t>/cut1</w:t>
            </w:r>
          </w:p>
        </w:tc>
        <w:tc>
          <w:tcPr>
            <w:tcW w:w="834" w:type="pct"/>
            <w:tcBorders>
              <w:top w:val="nil"/>
              <w:left w:val="nil"/>
              <w:bottom w:val="nil"/>
              <w:right w:val="nil"/>
            </w:tcBorders>
          </w:tcPr>
          <w:p w14:paraId="7AA74B50" w14:textId="77777777" w:rsidR="00B54D51" w:rsidRPr="00037AD4" w:rsidRDefault="00B54D51" w:rsidP="00401C67">
            <w:pPr>
              <w:widowControl w:val="0"/>
              <w:autoSpaceDE w:val="0"/>
              <w:autoSpaceDN w:val="0"/>
              <w:adjustRightInd w:val="0"/>
              <w:jc w:val="center"/>
            </w:pPr>
            <w:r w:rsidRPr="00037AD4">
              <w:t>1.647**</w:t>
            </w:r>
          </w:p>
        </w:tc>
        <w:tc>
          <w:tcPr>
            <w:tcW w:w="834" w:type="pct"/>
            <w:tcBorders>
              <w:top w:val="nil"/>
              <w:left w:val="nil"/>
              <w:bottom w:val="nil"/>
              <w:right w:val="nil"/>
            </w:tcBorders>
          </w:tcPr>
          <w:p w14:paraId="7F0146FA" w14:textId="77777777" w:rsidR="00B54D51" w:rsidRPr="00037AD4" w:rsidRDefault="00B54D51" w:rsidP="00401C67">
            <w:pPr>
              <w:widowControl w:val="0"/>
              <w:autoSpaceDE w:val="0"/>
              <w:autoSpaceDN w:val="0"/>
              <w:adjustRightInd w:val="0"/>
              <w:jc w:val="center"/>
            </w:pPr>
            <w:r w:rsidRPr="00037AD4">
              <w:t>1.620**</w:t>
            </w:r>
          </w:p>
        </w:tc>
        <w:tc>
          <w:tcPr>
            <w:tcW w:w="784" w:type="pct"/>
            <w:tcBorders>
              <w:top w:val="nil"/>
              <w:left w:val="nil"/>
              <w:bottom w:val="nil"/>
              <w:right w:val="nil"/>
            </w:tcBorders>
          </w:tcPr>
          <w:p w14:paraId="6F0CDC07" w14:textId="77777777" w:rsidR="00B54D51" w:rsidRPr="00037AD4" w:rsidRDefault="00B54D51" w:rsidP="00401C67">
            <w:pPr>
              <w:widowControl w:val="0"/>
              <w:autoSpaceDE w:val="0"/>
              <w:autoSpaceDN w:val="0"/>
              <w:adjustRightInd w:val="0"/>
              <w:jc w:val="center"/>
            </w:pPr>
            <w:r w:rsidRPr="00037AD4">
              <w:t>2.521***</w:t>
            </w:r>
          </w:p>
        </w:tc>
        <w:tc>
          <w:tcPr>
            <w:tcW w:w="784" w:type="pct"/>
            <w:tcBorders>
              <w:top w:val="nil"/>
              <w:left w:val="nil"/>
              <w:bottom w:val="nil"/>
              <w:right w:val="nil"/>
            </w:tcBorders>
          </w:tcPr>
          <w:p w14:paraId="5B61F872" w14:textId="77777777" w:rsidR="00B54D51" w:rsidRPr="00037AD4" w:rsidRDefault="00B54D51" w:rsidP="00401C67">
            <w:pPr>
              <w:widowControl w:val="0"/>
              <w:autoSpaceDE w:val="0"/>
              <w:autoSpaceDN w:val="0"/>
              <w:adjustRightInd w:val="0"/>
              <w:jc w:val="center"/>
            </w:pPr>
            <w:r w:rsidRPr="00037AD4">
              <w:t>1.689**</w:t>
            </w:r>
          </w:p>
        </w:tc>
        <w:tc>
          <w:tcPr>
            <w:tcW w:w="786" w:type="pct"/>
            <w:tcBorders>
              <w:top w:val="nil"/>
              <w:left w:val="nil"/>
              <w:bottom w:val="nil"/>
              <w:right w:val="nil"/>
            </w:tcBorders>
          </w:tcPr>
          <w:p w14:paraId="588509A6" w14:textId="77777777" w:rsidR="00B54D51" w:rsidRPr="00037AD4" w:rsidRDefault="00B54D51" w:rsidP="00401C67">
            <w:pPr>
              <w:widowControl w:val="0"/>
              <w:autoSpaceDE w:val="0"/>
              <w:autoSpaceDN w:val="0"/>
              <w:adjustRightInd w:val="0"/>
              <w:jc w:val="center"/>
            </w:pPr>
            <w:r w:rsidRPr="00037AD4">
              <w:t>2.429***</w:t>
            </w:r>
          </w:p>
        </w:tc>
      </w:tr>
      <w:tr w:rsidR="00B54D51" w:rsidRPr="00037AD4" w14:paraId="6F731F06" w14:textId="77777777" w:rsidTr="00401C67">
        <w:trPr>
          <w:jc w:val="center"/>
        </w:trPr>
        <w:tc>
          <w:tcPr>
            <w:tcW w:w="977" w:type="pct"/>
            <w:tcBorders>
              <w:top w:val="nil"/>
              <w:left w:val="nil"/>
              <w:bottom w:val="nil"/>
              <w:right w:val="nil"/>
            </w:tcBorders>
          </w:tcPr>
          <w:p w14:paraId="03EE786A" w14:textId="77777777" w:rsidR="00B54D51" w:rsidRPr="00037AD4" w:rsidRDefault="00B54D51" w:rsidP="00401C67">
            <w:pPr>
              <w:widowControl w:val="0"/>
              <w:autoSpaceDE w:val="0"/>
              <w:autoSpaceDN w:val="0"/>
              <w:adjustRightInd w:val="0"/>
            </w:pPr>
          </w:p>
        </w:tc>
        <w:tc>
          <w:tcPr>
            <w:tcW w:w="834" w:type="pct"/>
            <w:tcBorders>
              <w:top w:val="nil"/>
              <w:left w:val="nil"/>
              <w:bottom w:val="nil"/>
              <w:right w:val="nil"/>
            </w:tcBorders>
          </w:tcPr>
          <w:p w14:paraId="6E8E2E5C" w14:textId="77777777" w:rsidR="00B54D51" w:rsidRPr="00037AD4" w:rsidRDefault="00B54D51" w:rsidP="00401C67">
            <w:pPr>
              <w:widowControl w:val="0"/>
              <w:autoSpaceDE w:val="0"/>
              <w:autoSpaceDN w:val="0"/>
              <w:adjustRightInd w:val="0"/>
              <w:jc w:val="center"/>
            </w:pPr>
            <w:r w:rsidRPr="00037AD4">
              <w:t>(0.318 - 2.977)</w:t>
            </w:r>
          </w:p>
        </w:tc>
        <w:tc>
          <w:tcPr>
            <w:tcW w:w="834" w:type="pct"/>
            <w:tcBorders>
              <w:top w:val="nil"/>
              <w:left w:val="nil"/>
              <w:bottom w:val="nil"/>
              <w:right w:val="nil"/>
            </w:tcBorders>
          </w:tcPr>
          <w:p w14:paraId="5F956490" w14:textId="77777777" w:rsidR="00B54D51" w:rsidRPr="00037AD4" w:rsidRDefault="00B54D51" w:rsidP="00401C67">
            <w:pPr>
              <w:widowControl w:val="0"/>
              <w:autoSpaceDE w:val="0"/>
              <w:autoSpaceDN w:val="0"/>
              <w:adjustRightInd w:val="0"/>
              <w:jc w:val="center"/>
            </w:pPr>
            <w:r w:rsidRPr="00037AD4">
              <w:t>(0.357 - 2.884)</w:t>
            </w:r>
          </w:p>
        </w:tc>
        <w:tc>
          <w:tcPr>
            <w:tcW w:w="784" w:type="pct"/>
            <w:tcBorders>
              <w:top w:val="nil"/>
              <w:left w:val="nil"/>
              <w:bottom w:val="nil"/>
              <w:right w:val="nil"/>
            </w:tcBorders>
          </w:tcPr>
          <w:p w14:paraId="013FE1A0" w14:textId="77777777" w:rsidR="00B54D51" w:rsidRPr="00037AD4" w:rsidRDefault="00B54D51" w:rsidP="00401C67">
            <w:pPr>
              <w:widowControl w:val="0"/>
              <w:autoSpaceDE w:val="0"/>
              <w:autoSpaceDN w:val="0"/>
              <w:adjustRightInd w:val="0"/>
              <w:jc w:val="center"/>
            </w:pPr>
            <w:r w:rsidRPr="00037AD4">
              <w:t>(1.228 - 3.814)</w:t>
            </w:r>
          </w:p>
        </w:tc>
        <w:tc>
          <w:tcPr>
            <w:tcW w:w="784" w:type="pct"/>
            <w:tcBorders>
              <w:top w:val="nil"/>
              <w:left w:val="nil"/>
              <w:bottom w:val="nil"/>
              <w:right w:val="nil"/>
            </w:tcBorders>
          </w:tcPr>
          <w:p w14:paraId="0ABF6D87" w14:textId="77777777" w:rsidR="00B54D51" w:rsidRPr="00037AD4" w:rsidRDefault="00B54D51" w:rsidP="00401C67">
            <w:pPr>
              <w:widowControl w:val="0"/>
              <w:autoSpaceDE w:val="0"/>
              <w:autoSpaceDN w:val="0"/>
              <w:adjustRightInd w:val="0"/>
              <w:jc w:val="center"/>
            </w:pPr>
            <w:r w:rsidRPr="00037AD4">
              <w:t>(0.381 - 2.996)</w:t>
            </w:r>
          </w:p>
        </w:tc>
        <w:tc>
          <w:tcPr>
            <w:tcW w:w="786" w:type="pct"/>
            <w:tcBorders>
              <w:top w:val="nil"/>
              <w:left w:val="nil"/>
              <w:bottom w:val="nil"/>
              <w:right w:val="nil"/>
            </w:tcBorders>
          </w:tcPr>
          <w:p w14:paraId="6CD98292" w14:textId="77777777" w:rsidR="00B54D51" w:rsidRPr="00037AD4" w:rsidRDefault="00B54D51" w:rsidP="00401C67">
            <w:pPr>
              <w:widowControl w:val="0"/>
              <w:autoSpaceDE w:val="0"/>
              <w:autoSpaceDN w:val="0"/>
              <w:adjustRightInd w:val="0"/>
              <w:jc w:val="center"/>
            </w:pPr>
            <w:r w:rsidRPr="00037AD4">
              <w:t>(1.870 - 2.987)</w:t>
            </w:r>
          </w:p>
        </w:tc>
      </w:tr>
      <w:tr w:rsidR="00B54D51" w:rsidRPr="00037AD4" w14:paraId="2551CB18" w14:textId="77777777" w:rsidTr="00401C67">
        <w:trPr>
          <w:jc w:val="center"/>
        </w:trPr>
        <w:tc>
          <w:tcPr>
            <w:tcW w:w="977" w:type="pct"/>
            <w:tcBorders>
              <w:top w:val="nil"/>
              <w:left w:val="nil"/>
              <w:bottom w:val="nil"/>
              <w:right w:val="nil"/>
            </w:tcBorders>
          </w:tcPr>
          <w:p w14:paraId="2E7A14B4" w14:textId="77777777" w:rsidR="00B54D51" w:rsidRPr="00037AD4" w:rsidRDefault="00B54D51" w:rsidP="00401C67">
            <w:pPr>
              <w:widowControl w:val="0"/>
              <w:autoSpaceDE w:val="0"/>
              <w:autoSpaceDN w:val="0"/>
              <w:adjustRightInd w:val="0"/>
            </w:pPr>
            <w:r w:rsidRPr="00037AD4">
              <w:t>/cut2</w:t>
            </w:r>
          </w:p>
        </w:tc>
        <w:tc>
          <w:tcPr>
            <w:tcW w:w="834" w:type="pct"/>
            <w:tcBorders>
              <w:top w:val="nil"/>
              <w:left w:val="nil"/>
              <w:bottom w:val="nil"/>
              <w:right w:val="nil"/>
            </w:tcBorders>
          </w:tcPr>
          <w:p w14:paraId="1C790A0B" w14:textId="77777777" w:rsidR="00B54D51" w:rsidRPr="00037AD4" w:rsidRDefault="00B54D51" w:rsidP="00401C67">
            <w:pPr>
              <w:widowControl w:val="0"/>
              <w:autoSpaceDE w:val="0"/>
              <w:autoSpaceDN w:val="0"/>
              <w:adjustRightInd w:val="0"/>
              <w:jc w:val="center"/>
            </w:pPr>
            <w:r w:rsidRPr="00037AD4">
              <w:t>2.383***</w:t>
            </w:r>
          </w:p>
        </w:tc>
        <w:tc>
          <w:tcPr>
            <w:tcW w:w="834" w:type="pct"/>
            <w:tcBorders>
              <w:top w:val="nil"/>
              <w:left w:val="nil"/>
              <w:bottom w:val="nil"/>
              <w:right w:val="nil"/>
            </w:tcBorders>
          </w:tcPr>
          <w:p w14:paraId="6A831ADD" w14:textId="77777777" w:rsidR="00B54D51" w:rsidRPr="00037AD4" w:rsidRDefault="00B54D51" w:rsidP="00401C67">
            <w:pPr>
              <w:widowControl w:val="0"/>
              <w:autoSpaceDE w:val="0"/>
              <w:autoSpaceDN w:val="0"/>
              <w:adjustRightInd w:val="0"/>
              <w:jc w:val="center"/>
            </w:pPr>
            <w:r w:rsidRPr="00037AD4">
              <w:t>2.345***</w:t>
            </w:r>
          </w:p>
        </w:tc>
        <w:tc>
          <w:tcPr>
            <w:tcW w:w="784" w:type="pct"/>
            <w:tcBorders>
              <w:top w:val="nil"/>
              <w:left w:val="nil"/>
              <w:bottom w:val="nil"/>
              <w:right w:val="nil"/>
            </w:tcBorders>
          </w:tcPr>
          <w:p w14:paraId="42AA8C71" w14:textId="77777777" w:rsidR="00B54D51" w:rsidRPr="00037AD4" w:rsidRDefault="00B54D51" w:rsidP="00401C67">
            <w:pPr>
              <w:widowControl w:val="0"/>
              <w:autoSpaceDE w:val="0"/>
              <w:autoSpaceDN w:val="0"/>
              <w:adjustRightInd w:val="0"/>
              <w:jc w:val="center"/>
            </w:pPr>
            <w:r w:rsidRPr="00037AD4">
              <w:t>3.181***</w:t>
            </w:r>
          </w:p>
        </w:tc>
        <w:tc>
          <w:tcPr>
            <w:tcW w:w="784" w:type="pct"/>
            <w:tcBorders>
              <w:top w:val="nil"/>
              <w:left w:val="nil"/>
              <w:bottom w:val="nil"/>
              <w:right w:val="nil"/>
            </w:tcBorders>
          </w:tcPr>
          <w:p w14:paraId="23DAA411" w14:textId="77777777" w:rsidR="00B54D51" w:rsidRPr="00037AD4" w:rsidRDefault="00B54D51" w:rsidP="00401C67">
            <w:pPr>
              <w:widowControl w:val="0"/>
              <w:autoSpaceDE w:val="0"/>
              <w:autoSpaceDN w:val="0"/>
              <w:adjustRightInd w:val="0"/>
              <w:jc w:val="center"/>
            </w:pPr>
            <w:r w:rsidRPr="00037AD4">
              <w:t>2.385***</w:t>
            </w:r>
          </w:p>
        </w:tc>
        <w:tc>
          <w:tcPr>
            <w:tcW w:w="786" w:type="pct"/>
            <w:tcBorders>
              <w:top w:val="nil"/>
              <w:left w:val="nil"/>
              <w:bottom w:val="nil"/>
              <w:right w:val="nil"/>
            </w:tcBorders>
          </w:tcPr>
          <w:p w14:paraId="15D4F1ED" w14:textId="77777777" w:rsidR="00B54D51" w:rsidRPr="00037AD4" w:rsidRDefault="00B54D51" w:rsidP="00401C67">
            <w:pPr>
              <w:widowControl w:val="0"/>
              <w:autoSpaceDE w:val="0"/>
              <w:autoSpaceDN w:val="0"/>
              <w:adjustRightInd w:val="0"/>
              <w:jc w:val="center"/>
            </w:pPr>
            <w:r w:rsidRPr="00037AD4">
              <w:t>3.085***</w:t>
            </w:r>
          </w:p>
        </w:tc>
      </w:tr>
      <w:tr w:rsidR="00B54D51" w:rsidRPr="00037AD4" w14:paraId="58AF428E" w14:textId="77777777" w:rsidTr="00401C67">
        <w:trPr>
          <w:jc w:val="center"/>
        </w:trPr>
        <w:tc>
          <w:tcPr>
            <w:tcW w:w="977" w:type="pct"/>
            <w:tcBorders>
              <w:top w:val="nil"/>
              <w:left w:val="nil"/>
              <w:bottom w:val="nil"/>
              <w:right w:val="nil"/>
            </w:tcBorders>
          </w:tcPr>
          <w:p w14:paraId="4DE921D3" w14:textId="77777777" w:rsidR="00B54D51" w:rsidRPr="00037AD4" w:rsidRDefault="00B54D51" w:rsidP="00401C67">
            <w:pPr>
              <w:widowControl w:val="0"/>
              <w:autoSpaceDE w:val="0"/>
              <w:autoSpaceDN w:val="0"/>
              <w:adjustRightInd w:val="0"/>
            </w:pPr>
          </w:p>
        </w:tc>
        <w:tc>
          <w:tcPr>
            <w:tcW w:w="834" w:type="pct"/>
            <w:tcBorders>
              <w:top w:val="nil"/>
              <w:left w:val="nil"/>
              <w:bottom w:val="nil"/>
              <w:right w:val="nil"/>
            </w:tcBorders>
          </w:tcPr>
          <w:p w14:paraId="03C367C9" w14:textId="77777777" w:rsidR="00B54D51" w:rsidRPr="00037AD4" w:rsidRDefault="00B54D51" w:rsidP="00401C67">
            <w:pPr>
              <w:widowControl w:val="0"/>
              <w:autoSpaceDE w:val="0"/>
              <w:autoSpaceDN w:val="0"/>
              <w:adjustRightInd w:val="0"/>
              <w:jc w:val="center"/>
            </w:pPr>
            <w:r w:rsidRPr="00037AD4">
              <w:t>(1.037 - 3.728)</w:t>
            </w:r>
          </w:p>
        </w:tc>
        <w:tc>
          <w:tcPr>
            <w:tcW w:w="834" w:type="pct"/>
            <w:tcBorders>
              <w:top w:val="nil"/>
              <w:left w:val="nil"/>
              <w:bottom w:val="nil"/>
              <w:right w:val="nil"/>
            </w:tcBorders>
          </w:tcPr>
          <w:p w14:paraId="7A712C1C" w14:textId="77777777" w:rsidR="00B54D51" w:rsidRPr="00037AD4" w:rsidRDefault="00B54D51" w:rsidP="00401C67">
            <w:pPr>
              <w:widowControl w:val="0"/>
              <w:autoSpaceDE w:val="0"/>
              <w:autoSpaceDN w:val="0"/>
              <w:adjustRightInd w:val="0"/>
              <w:jc w:val="center"/>
            </w:pPr>
            <w:r w:rsidRPr="00037AD4">
              <w:t>(1.067 - 3.623)</w:t>
            </w:r>
          </w:p>
        </w:tc>
        <w:tc>
          <w:tcPr>
            <w:tcW w:w="784" w:type="pct"/>
            <w:tcBorders>
              <w:top w:val="nil"/>
              <w:left w:val="nil"/>
              <w:bottom w:val="nil"/>
              <w:right w:val="nil"/>
            </w:tcBorders>
          </w:tcPr>
          <w:p w14:paraId="62B620CF" w14:textId="77777777" w:rsidR="00B54D51" w:rsidRPr="00037AD4" w:rsidRDefault="00B54D51" w:rsidP="00401C67">
            <w:pPr>
              <w:widowControl w:val="0"/>
              <w:autoSpaceDE w:val="0"/>
              <w:autoSpaceDN w:val="0"/>
              <w:adjustRightInd w:val="0"/>
              <w:jc w:val="center"/>
            </w:pPr>
            <w:r w:rsidRPr="00037AD4">
              <w:t>(1.877 - 4.485)</w:t>
            </w:r>
          </w:p>
        </w:tc>
        <w:tc>
          <w:tcPr>
            <w:tcW w:w="784" w:type="pct"/>
            <w:tcBorders>
              <w:top w:val="nil"/>
              <w:left w:val="nil"/>
              <w:bottom w:val="nil"/>
              <w:right w:val="nil"/>
            </w:tcBorders>
          </w:tcPr>
          <w:p w14:paraId="0015A21C" w14:textId="77777777" w:rsidR="00B54D51" w:rsidRPr="00037AD4" w:rsidRDefault="00B54D51" w:rsidP="00401C67">
            <w:pPr>
              <w:widowControl w:val="0"/>
              <w:autoSpaceDE w:val="0"/>
              <w:autoSpaceDN w:val="0"/>
              <w:adjustRightInd w:val="0"/>
              <w:jc w:val="center"/>
            </w:pPr>
            <w:r w:rsidRPr="00037AD4">
              <w:t>(1.063 - 3.707)</w:t>
            </w:r>
          </w:p>
        </w:tc>
        <w:tc>
          <w:tcPr>
            <w:tcW w:w="786" w:type="pct"/>
            <w:tcBorders>
              <w:top w:val="nil"/>
              <w:left w:val="nil"/>
              <w:bottom w:val="nil"/>
              <w:right w:val="nil"/>
            </w:tcBorders>
          </w:tcPr>
          <w:p w14:paraId="58F8B7C7" w14:textId="77777777" w:rsidR="00B54D51" w:rsidRPr="00037AD4" w:rsidRDefault="00B54D51" w:rsidP="00401C67">
            <w:pPr>
              <w:widowControl w:val="0"/>
              <w:autoSpaceDE w:val="0"/>
              <w:autoSpaceDN w:val="0"/>
              <w:adjustRightInd w:val="0"/>
              <w:jc w:val="center"/>
            </w:pPr>
            <w:r w:rsidRPr="00037AD4">
              <w:t>(2.507 - 3.662)</w:t>
            </w:r>
          </w:p>
        </w:tc>
      </w:tr>
      <w:tr w:rsidR="00B54D51" w:rsidRPr="00037AD4" w14:paraId="019176E8" w14:textId="77777777" w:rsidTr="00401C67">
        <w:trPr>
          <w:jc w:val="center"/>
        </w:trPr>
        <w:tc>
          <w:tcPr>
            <w:tcW w:w="977" w:type="pct"/>
            <w:tcBorders>
              <w:top w:val="nil"/>
              <w:left w:val="nil"/>
              <w:bottom w:val="nil"/>
              <w:right w:val="nil"/>
            </w:tcBorders>
          </w:tcPr>
          <w:p w14:paraId="56993353" w14:textId="77777777" w:rsidR="00B54D51" w:rsidRPr="00037AD4" w:rsidRDefault="00B54D51" w:rsidP="00401C67">
            <w:pPr>
              <w:widowControl w:val="0"/>
              <w:autoSpaceDE w:val="0"/>
              <w:autoSpaceDN w:val="0"/>
              <w:adjustRightInd w:val="0"/>
            </w:pPr>
            <w:r w:rsidRPr="00037AD4">
              <w:t>/cut3</w:t>
            </w:r>
          </w:p>
        </w:tc>
        <w:tc>
          <w:tcPr>
            <w:tcW w:w="834" w:type="pct"/>
            <w:tcBorders>
              <w:top w:val="nil"/>
              <w:left w:val="nil"/>
              <w:bottom w:val="nil"/>
              <w:right w:val="nil"/>
            </w:tcBorders>
          </w:tcPr>
          <w:p w14:paraId="4E52ED04" w14:textId="77777777" w:rsidR="00B54D51" w:rsidRPr="00037AD4" w:rsidRDefault="00B54D51" w:rsidP="00401C67">
            <w:pPr>
              <w:widowControl w:val="0"/>
              <w:autoSpaceDE w:val="0"/>
              <w:autoSpaceDN w:val="0"/>
              <w:adjustRightInd w:val="0"/>
              <w:jc w:val="center"/>
            </w:pPr>
            <w:r w:rsidRPr="00037AD4">
              <w:t>2.940***</w:t>
            </w:r>
          </w:p>
        </w:tc>
        <w:tc>
          <w:tcPr>
            <w:tcW w:w="834" w:type="pct"/>
            <w:tcBorders>
              <w:top w:val="nil"/>
              <w:left w:val="nil"/>
              <w:bottom w:val="nil"/>
              <w:right w:val="nil"/>
            </w:tcBorders>
          </w:tcPr>
          <w:p w14:paraId="5E5B8193" w14:textId="77777777" w:rsidR="00B54D51" w:rsidRPr="00037AD4" w:rsidRDefault="00B54D51" w:rsidP="00401C67">
            <w:pPr>
              <w:widowControl w:val="0"/>
              <w:autoSpaceDE w:val="0"/>
              <w:autoSpaceDN w:val="0"/>
              <w:adjustRightInd w:val="0"/>
              <w:jc w:val="center"/>
            </w:pPr>
            <w:r w:rsidRPr="00037AD4">
              <w:t>2.898***</w:t>
            </w:r>
          </w:p>
        </w:tc>
        <w:tc>
          <w:tcPr>
            <w:tcW w:w="784" w:type="pct"/>
            <w:tcBorders>
              <w:top w:val="nil"/>
              <w:left w:val="nil"/>
              <w:bottom w:val="nil"/>
              <w:right w:val="nil"/>
            </w:tcBorders>
          </w:tcPr>
          <w:p w14:paraId="7786DD69" w14:textId="77777777" w:rsidR="00B54D51" w:rsidRPr="00037AD4" w:rsidRDefault="00B54D51" w:rsidP="00401C67">
            <w:pPr>
              <w:widowControl w:val="0"/>
              <w:autoSpaceDE w:val="0"/>
              <w:autoSpaceDN w:val="0"/>
              <w:adjustRightInd w:val="0"/>
              <w:jc w:val="center"/>
            </w:pPr>
            <w:r w:rsidRPr="00037AD4">
              <w:t>3.672***</w:t>
            </w:r>
          </w:p>
        </w:tc>
        <w:tc>
          <w:tcPr>
            <w:tcW w:w="784" w:type="pct"/>
            <w:tcBorders>
              <w:top w:val="nil"/>
              <w:left w:val="nil"/>
              <w:bottom w:val="nil"/>
              <w:right w:val="nil"/>
            </w:tcBorders>
          </w:tcPr>
          <w:p w14:paraId="0BE8EC66" w14:textId="77777777" w:rsidR="00B54D51" w:rsidRPr="00037AD4" w:rsidRDefault="00B54D51" w:rsidP="00401C67">
            <w:pPr>
              <w:widowControl w:val="0"/>
              <w:autoSpaceDE w:val="0"/>
              <w:autoSpaceDN w:val="0"/>
              <w:adjustRightInd w:val="0"/>
              <w:jc w:val="center"/>
            </w:pPr>
            <w:r w:rsidRPr="00037AD4">
              <w:t>2.919***</w:t>
            </w:r>
          </w:p>
        </w:tc>
        <w:tc>
          <w:tcPr>
            <w:tcW w:w="786" w:type="pct"/>
            <w:tcBorders>
              <w:top w:val="nil"/>
              <w:left w:val="nil"/>
              <w:bottom w:val="nil"/>
              <w:right w:val="nil"/>
            </w:tcBorders>
          </w:tcPr>
          <w:p w14:paraId="01C1C439" w14:textId="77777777" w:rsidR="00B54D51" w:rsidRPr="00037AD4" w:rsidRDefault="00B54D51" w:rsidP="00401C67">
            <w:pPr>
              <w:widowControl w:val="0"/>
              <w:autoSpaceDE w:val="0"/>
              <w:autoSpaceDN w:val="0"/>
              <w:adjustRightInd w:val="0"/>
              <w:jc w:val="center"/>
            </w:pPr>
            <w:r w:rsidRPr="00037AD4">
              <w:t>3.572***</w:t>
            </w:r>
          </w:p>
        </w:tc>
      </w:tr>
      <w:tr w:rsidR="00B54D51" w:rsidRPr="00037AD4" w14:paraId="6B3392AC" w14:textId="77777777" w:rsidTr="00401C67">
        <w:trPr>
          <w:jc w:val="center"/>
        </w:trPr>
        <w:tc>
          <w:tcPr>
            <w:tcW w:w="977" w:type="pct"/>
            <w:tcBorders>
              <w:top w:val="nil"/>
              <w:left w:val="nil"/>
              <w:bottom w:val="nil"/>
              <w:right w:val="nil"/>
            </w:tcBorders>
          </w:tcPr>
          <w:p w14:paraId="448B5E9A" w14:textId="77777777" w:rsidR="00B54D51" w:rsidRPr="00037AD4" w:rsidRDefault="00B54D51" w:rsidP="00401C67">
            <w:pPr>
              <w:widowControl w:val="0"/>
              <w:autoSpaceDE w:val="0"/>
              <w:autoSpaceDN w:val="0"/>
              <w:adjustRightInd w:val="0"/>
            </w:pPr>
          </w:p>
        </w:tc>
        <w:tc>
          <w:tcPr>
            <w:tcW w:w="834" w:type="pct"/>
            <w:tcBorders>
              <w:top w:val="nil"/>
              <w:left w:val="nil"/>
              <w:bottom w:val="nil"/>
              <w:right w:val="nil"/>
            </w:tcBorders>
          </w:tcPr>
          <w:p w14:paraId="31B90CE3" w14:textId="77777777" w:rsidR="00B54D51" w:rsidRPr="00037AD4" w:rsidRDefault="00B54D51" w:rsidP="00401C67">
            <w:pPr>
              <w:widowControl w:val="0"/>
              <w:autoSpaceDE w:val="0"/>
              <w:autoSpaceDN w:val="0"/>
              <w:adjustRightInd w:val="0"/>
              <w:jc w:val="center"/>
            </w:pPr>
            <w:r w:rsidRPr="00037AD4">
              <w:t>(1.591 - 4.289)</w:t>
            </w:r>
          </w:p>
        </w:tc>
        <w:tc>
          <w:tcPr>
            <w:tcW w:w="834" w:type="pct"/>
            <w:tcBorders>
              <w:top w:val="nil"/>
              <w:left w:val="nil"/>
              <w:bottom w:val="nil"/>
              <w:right w:val="nil"/>
            </w:tcBorders>
          </w:tcPr>
          <w:p w14:paraId="23302A1F" w14:textId="77777777" w:rsidR="00B54D51" w:rsidRPr="00037AD4" w:rsidRDefault="00B54D51" w:rsidP="00401C67">
            <w:pPr>
              <w:widowControl w:val="0"/>
              <w:autoSpaceDE w:val="0"/>
              <w:autoSpaceDN w:val="0"/>
              <w:adjustRightInd w:val="0"/>
              <w:jc w:val="center"/>
            </w:pPr>
            <w:r w:rsidRPr="00037AD4">
              <w:t>(1.618 - 4.178)</w:t>
            </w:r>
          </w:p>
        </w:tc>
        <w:tc>
          <w:tcPr>
            <w:tcW w:w="784" w:type="pct"/>
            <w:tcBorders>
              <w:top w:val="nil"/>
              <w:left w:val="nil"/>
              <w:bottom w:val="nil"/>
              <w:right w:val="nil"/>
            </w:tcBorders>
          </w:tcPr>
          <w:p w14:paraId="09CCAFF2" w14:textId="77777777" w:rsidR="00B54D51" w:rsidRPr="00037AD4" w:rsidRDefault="00B54D51" w:rsidP="00401C67">
            <w:pPr>
              <w:widowControl w:val="0"/>
              <w:autoSpaceDE w:val="0"/>
              <w:autoSpaceDN w:val="0"/>
              <w:adjustRightInd w:val="0"/>
              <w:jc w:val="center"/>
            </w:pPr>
            <w:r w:rsidRPr="00037AD4">
              <w:t>(2.365 - 4.979)</w:t>
            </w:r>
          </w:p>
        </w:tc>
        <w:tc>
          <w:tcPr>
            <w:tcW w:w="784" w:type="pct"/>
            <w:tcBorders>
              <w:top w:val="nil"/>
              <w:left w:val="nil"/>
              <w:bottom w:val="nil"/>
              <w:right w:val="nil"/>
            </w:tcBorders>
          </w:tcPr>
          <w:p w14:paraId="0C8691BC" w14:textId="77777777" w:rsidR="00B54D51" w:rsidRPr="00037AD4" w:rsidRDefault="00B54D51" w:rsidP="00401C67">
            <w:pPr>
              <w:widowControl w:val="0"/>
              <w:autoSpaceDE w:val="0"/>
              <w:autoSpaceDN w:val="0"/>
              <w:adjustRightInd w:val="0"/>
              <w:jc w:val="center"/>
            </w:pPr>
            <w:r w:rsidRPr="00037AD4">
              <w:t>(1.595 - 4.244)</w:t>
            </w:r>
          </w:p>
        </w:tc>
        <w:tc>
          <w:tcPr>
            <w:tcW w:w="786" w:type="pct"/>
            <w:tcBorders>
              <w:top w:val="nil"/>
              <w:left w:val="nil"/>
              <w:bottom w:val="nil"/>
              <w:right w:val="nil"/>
            </w:tcBorders>
          </w:tcPr>
          <w:p w14:paraId="2191A354" w14:textId="77777777" w:rsidR="00B54D51" w:rsidRPr="00037AD4" w:rsidRDefault="00B54D51" w:rsidP="00401C67">
            <w:pPr>
              <w:widowControl w:val="0"/>
              <w:autoSpaceDE w:val="0"/>
              <w:autoSpaceDN w:val="0"/>
              <w:adjustRightInd w:val="0"/>
              <w:jc w:val="center"/>
            </w:pPr>
            <w:r w:rsidRPr="00037AD4">
              <w:t>(2.992 - 4.152)</w:t>
            </w:r>
          </w:p>
        </w:tc>
      </w:tr>
      <w:tr w:rsidR="00B54D51" w:rsidRPr="00037AD4" w14:paraId="687E7DCC" w14:textId="77777777" w:rsidTr="00401C67">
        <w:trPr>
          <w:jc w:val="center"/>
        </w:trPr>
        <w:tc>
          <w:tcPr>
            <w:tcW w:w="977" w:type="pct"/>
            <w:tcBorders>
              <w:top w:val="nil"/>
              <w:left w:val="nil"/>
              <w:bottom w:val="nil"/>
              <w:right w:val="nil"/>
            </w:tcBorders>
          </w:tcPr>
          <w:p w14:paraId="348EC36D" w14:textId="77777777" w:rsidR="00B54D51" w:rsidRPr="00037AD4" w:rsidRDefault="00B54D51" w:rsidP="00401C67">
            <w:pPr>
              <w:widowControl w:val="0"/>
              <w:autoSpaceDE w:val="0"/>
              <w:autoSpaceDN w:val="0"/>
              <w:adjustRightInd w:val="0"/>
            </w:pPr>
            <w:r w:rsidRPr="00037AD4">
              <w:t>/cut4</w:t>
            </w:r>
          </w:p>
        </w:tc>
        <w:tc>
          <w:tcPr>
            <w:tcW w:w="834" w:type="pct"/>
            <w:tcBorders>
              <w:top w:val="nil"/>
              <w:left w:val="nil"/>
              <w:bottom w:val="nil"/>
              <w:right w:val="nil"/>
            </w:tcBorders>
          </w:tcPr>
          <w:p w14:paraId="63EBF8A6" w14:textId="77777777" w:rsidR="00B54D51" w:rsidRPr="00037AD4" w:rsidRDefault="00B54D51" w:rsidP="00401C67">
            <w:pPr>
              <w:widowControl w:val="0"/>
              <w:autoSpaceDE w:val="0"/>
              <w:autoSpaceDN w:val="0"/>
              <w:adjustRightInd w:val="0"/>
              <w:jc w:val="center"/>
            </w:pPr>
            <w:r w:rsidRPr="00037AD4">
              <w:t>3.272***</w:t>
            </w:r>
          </w:p>
        </w:tc>
        <w:tc>
          <w:tcPr>
            <w:tcW w:w="834" w:type="pct"/>
            <w:tcBorders>
              <w:top w:val="nil"/>
              <w:left w:val="nil"/>
              <w:bottom w:val="nil"/>
              <w:right w:val="nil"/>
            </w:tcBorders>
          </w:tcPr>
          <w:p w14:paraId="6EAEE027" w14:textId="77777777" w:rsidR="00B54D51" w:rsidRPr="00037AD4" w:rsidRDefault="00B54D51" w:rsidP="00401C67">
            <w:pPr>
              <w:widowControl w:val="0"/>
              <w:autoSpaceDE w:val="0"/>
              <w:autoSpaceDN w:val="0"/>
              <w:adjustRightInd w:val="0"/>
              <w:jc w:val="center"/>
            </w:pPr>
            <w:r w:rsidRPr="00037AD4">
              <w:t>3.229***</w:t>
            </w:r>
          </w:p>
        </w:tc>
        <w:tc>
          <w:tcPr>
            <w:tcW w:w="784" w:type="pct"/>
            <w:tcBorders>
              <w:top w:val="nil"/>
              <w:left w:val="nil"/>
              <w:bottom w:val="nil"/>
              <w:right w:val="nil"/>
            </w:tcBorders>
          </w:tcPr>
          <w:p w14:paraId="45DA2EEE" w14:textId="77777777" w:rsidR="00B54D51" w:rsidRPr="00037AD4" w:rsidRDefault="00B54D51" w:rsidP="00401C67">
            <w:pPr>
              <w:widowControl w:val="0"/>
              <w:autoSpaceDE w:val="0"/>
              <w:autoSpaceDN w:val="0"/>
              <w:adjustRightInd w:val="0"/>
              <w:jc w:val="center"/>
            </w:pPr>
            <w:r w:rsidRPr="00037AD4">
              <w:t>3.960***</w:t>
            </w:r>
          </w:p>
        </w:tc>
        <w:tc>
          <w:tcPr>
            <w:tcW w:w="784" w:type="pct"/>
            <w:tcBorders>
              <w:top w:val="nil"/>
              <w:left w:val="nil"/>
              <w:bottom w:val="nil"/>
              <w:right w:val="nil"/>
            </w:tcBorders>
          </w:tcPr>
          <w:p w14:paraId="5E47368D" w14:textId="77777777" w:rsidR="00B54D51" w:rsidRPr="00037AD4" w:rsidRDefault="00B54D51" w:rsidP="00401C67">
            <w:pPr>
              <w:widowControl w:val="0"/>
              <w:autoSpaceDE w:val="0"/>
              <w:autoSpaceDN w:val="0"/>
              <w:adjustRightInd w:val="0"/>
              <w:jc w:val="center"/>
            </w:pPr>
            <w:r w:rsidRPr="00037AD4">
              <w:t>3.236***</w:t>
            </w:r>
          </w:p>
        </w:tc>
        <w:tc>
          <w:tcPr>
            <w:tcW w:w="786" w:type="pct"/>
            <w:tcBorders>
              <w:top w:val="nil"/>
              <w:left w:val="nil"/>
              <w:bottom w:val="nil"/>
              <w:right w:val="nil"/>
            </w:tcBorders>
          </w:tcPr>
          <w:p w14:paraId="6D04B41C" w14:textId="77777777" w:rsidR="00B54D51" w:rsidRPr="00037AD4" w:rsidRDefault="00B54D51" w:rsidP="00401C67">
            <w:pPr>
              <w:widowControl w:val="0"/>
              <w:autoSpaceDE w:val="0"/>
              <w:autoSpaceDN w:val="0"/>
              <w:adjustRightInd w:val="0"/>
              <w:jc w:val="center"/>
            </w:pPr>
            <w:r w:rsidRPr="00037AD4">
              <w:t>3.865***</w:t>
            </w:r>
          </w:p>
        </w:tc>
      </w:tr>
      <w:tr w:rsidR="00B54D51" w:rsidRPr="00037AD4" w14:paraId="5BB954A8" w14:textId="77777777" w:rsidTr="00401C67">
        <w:trPr>
          <w:jc w:val="center"/>
        </w:trPr>
        <w:tc>
          <w:tcPr>
            <w:tcW w:w="977" w:type="pct"/>
            <w:tcBorders>
              <w:top w:val="nil"/>
              <w:left w:val="nil"/>
              <w:bottom w:val="nil"/>
              <w:right w:val="nil"/>
            </w:tcBorders>
          </w:tcPr>
          <w:p w14:paraId="57ACDD0A" w14:textId="77777777" w:rsidR="00B54D51" w:rsidRPr="00037AD4" w:rsidRDefault="00B54D51" w:rsidP="00401C67">
            <w:pPr>
              <w:widowControl w:val="0"/>
              <w:autoSpaceDE w:val="0"/>
              <w:autoSpaceDN w:val="0"/>
              <w:adjustRightInd w:val="0"/>
            </w:pPr>
          </w:p>
        </w:tc>
        <w:tc>
          <w:tcPr>
            <w:tcW w:w="834" w:type="pct"/>
            <w:tcBorders>
              <w:top w:val="nil"/>
              <w:left w:val="nil"/>
              <w:bottom w:val="nil"/>
              <w:right w:val="nil"/>
            </w:tcBorders>
          </w:tcPr>
          <w:p w14:paraId="1DA8B1FC" w14:textId="77777777" w:rsidR="00B54D51" w:rsidRPr="00037AD4" w:rsidRDefault="00B54D51" w:rsidP="00401C67">
            <w:pPr>
              <w:widowControl w:val="0"/>
              <w:autoSpaceDE w:val="0"/>
              <w:autoSpaceDN w:val="0"/>
              <w:adjustRightInd w:val="0"/>
              <w:jc w:val="center"/>
            </w:pPr>
            <w:r w:rsidRPr="00037AD4">
              <w:t>(1.917 - 4.627)</w:t>
            </w:r>
          </w:p>
        </w:tc>
        <w:tc>
          <w:tcPr>
            <w:tcW w:w="834" w:type="pct"/>
            <w:tcBorders>
              <w:top w:val="nil"/>
              <w:left w:val="nil"/>
              <w:bottom w:val="nil"/>
              <w:right w:val="nil"/>
            </w:tcBorders>
          </w:tcPr>
          <w:p w14:paraId="6BC0D2DB" w14:textId="77777777" w:rsidR="00B54D51" w:rsidRPr="00037AD4" w:rsidRDefault="00B54D51" w:rsidP="00401C67">
            <w:pPr>
              <w:widowControl w:val="0"/>
              <w:autoSpaceDE w:val="0"/>
              <w:autoSpaceDN w:val="0"/>
              <w:adjustRightInd w:val="0"/>
              <w:jc w:val="center"/>
            </w:pPr>
            <w:r w:rsidRPr="00037AD4">
              <w:t>(1.941 - 4.517)</w:t>
            </w:r>
          </w:p>
        </w:tc>
        <w:tc>
          <w:tcPr>
            <w:tcW w:w="784" w:type="pct"/>
            <w:tcBorders>
              <w:top w:val="nil"/>
              <w:left w:val="nil"/>
              <w:bottom w:val="nil"/>
              <w:right w:val="nil"/>
            </w:tcBorders>
          </w:tcPr>
          <w:p w14:paraId="5F66123E" w14:textId="77777777" w:rsidR="00B54D51" w:rsidRPr="00037AD4" w:rsidRDefault="00B54D51" w:rsidP="00401C67">
            <w:pPr>
              <w:widowControl w:val="0"/>
              <w:autoSpaceDE w:val="0"/>
              <w:autoSpaceDN w:val="0"/>
              <w:adjustRightInd w:val="0"/>
              <w:jc w:val="center"/>
            </w:pPr>
            <w:r w:rsidRPr="00037AD4">
              <w:t>(2.648 - 5.272)</w:t>
            </w:r>
          </w:p>
        </w:tc>
        <w:tc>
          <w:tcPr>
            <w:tcW w:w="784" w:type="pct"/>
            <w:tcBorders>
              <w:top w:val="nil"/>
              <w:left w:val="nil"/>
              <w:bottom w:val="nil"/>
              <w:right w:val="nil"/>
            </w:tcBorders>
          </w:tcPr>
          <w:p w14:paraId="69D6C9EF" w14:textId="77777777" w:rsidR="00B54D51" w:rsidRPr="00037AD4" w:rsidRDefault="00B54D51" w:rsidP="00401C67">
            <w:pPr>
              <w:widowControl w:val="0"/>
              <w:autoSpaceDE w:val="0"/>
              <w:autoSpaceDN w:val="0"/>
              <w:adjustRightInd w:val="0"/>
              <w:jc w:val="center"/>
            </w:pPr>
            <w:r w:rsidRPr="00037AD4">
              <w:t>(1.903 - 4.568)</w:t>
            </w:r>
          </w:p>
        </w:tc>
        <w:tc>
          <w:tcPr>
            <w:tcW w:w="786" w:type="pct"/>
            <w:tcBorders>
              <w:top w:val="nil"/>
              <w:left w:val="nil"/>
              <w:bottom w:val="nil"/>
              <w:right w:val="nil"/>
            </w:tcBorders>
          </w:tcPr>
          <w:p w14:paraId="700DC7DD" w14:textId="77777777" w:rsidR="00B54D51" w:rsidRPr="00037AD4" w:rsidRDefault="00B54D51" w:rsidP="00401C67">
            <w:pPr>
              <w:widowControl w:val="0"/>
              <w:autoSpaceDE w:val="0"/>
              <w:autoSpaceDN w:val="0"/>
              <w:adjustRightInd w:val="0"/>
              <w:jc w:val="center"/>
            </w:pPr>
            <w:r w:rsidRPr="00037AD4">
              <w:t>(3.280 - 4.451)</w:t>
            </w:r>
          </w:p>
        </w:tc>
      </w:tr>
      <w:tr w:rsidR="00B54D51" w:rsidRPr="00037AD4" w14:paraId="53425F31" w14:textId="77777777" w:rsidTr="00401C67">
        <w:trPr>
          <w:jc w:val="center"/>
        </w:trPr>
        <w:tc>
          <w:tcPr>
            <w:tcW w:w="977" w:type="pct"/>
            <w:tcBorders>
              <w:top w:val="nil"/>
              <w:left w:val="nil"/>
              <w:bottom w:val="nil"/>
              <w:right w:val="nil"/>
            </w:tcBorders>
          </w:tcPr>
          <w:p w14:paraId="6FF1961B" w14:textId="77777777" w:rsidR="00B54D51" w:rsidRPr="00037AD4" w:rsidRDefault="00B54D51" w:rsidP="00401C67">
            <w:pPr>
              <w:widowControl w:val="0"/>
              <w:autoSpaceDE w:val="0"/>
              <w:autoSpaceDN w:val="0"/>
              <w:adjustRightInd w:val="0"/>
            </w:pPr>
          </w:p>
        </w:tc>
        <w:tc>
          <w:tcPr>
            <w:tcW w:w="834" w:type="pct"/>
            <w:tcBorders>
              <w:top w:val="nil"/>
              <w:left w:val="nil"/>
              <w:bottom w:val="nil"/>
              <w:right w:val="nil"/>
            </w:tcBorders>
          </w:tcPr>
          <w:p w14:paraId="22188B49" w14:textId="77777777" w:rsidR="00B54D51" w:rsidRPr="00037AD4" w:rsidRDefault="00B54D51" w:rsidP="00401C67">
            <w:pPr>
              <w:widowControl w:val="0"/>
              <w:autoSpaceDE w:val="0"/>
              <w:autoSpaceDN w:val="0"/>
              <w:adjustRightInd w:val="0"/>
              <w:jc w:val="center"/>
            </w:pPr>
          </w:p>
        </w:tc>
        <w:tc>
          <w:tcPr>
            <w:tcW w:w="834" w:type="pct"/>
            <w:tcBorders>
              <w:top w:val="nil"/>
              <w:left w:val="nil"/>
              <w:bottom w:val="nil"/>
              <w:right w:val="nil"/>
            </w:tcBorders>
          </w:tcPr>
          <w:p w14:paraId="22A44491" w14:textId="77777777" w:rsidR="00B54D51" w:rsidRPr="00037AD4" w:rsidRDefault="00B54D51" w:rsidP="00401C67">
            <w:pPr>
              <w:widowControl w:val="0"/>
              <w:autoSpaceDE w:val="0"/>
              <w:autoSpaceDN w:val="0"/>
              <w:adjustRightInd w:val="0"/>
              <w:jc w:val="center"/>
            </w:pPr>
          </w:p>
        </w:tc>
        <w:tc>
          <w:tcPr>
            <w:tcW w:w="784" w:type="pct"/>
            <w:tcBorders>
              <w:top w:val="nil"/>
              <w:left w:val="nil"/>
              <w:bottom w:val="nil"/>
              <w:right w:val="nil"/>
            </w:tcBorders>
          </w:tcPr>
          <w:p w14:paraId="12E72860" w14:textId="77777777" w:rsidR="00B54D51" w:rsidRPr="00037AD4" w:rsidRDefault="00B54D51" w:rsidP="00401C67">
            <w:pPr>
              <w:widowControl w:val="0"/>
              <w:autoSpaceDE w:val="0"/>
              <w:autoSpaceDN w:val="0"/>
              <w:adjustRightInd w:val="0"/>
              <w:jc w:val="center"/>
            </w:pPr>
          </w:p>
        </w:tc>
        <w:tc>
          <w:tcPr>
            <w:tcW w:w="784" w:type="pct"/>
            <w:tcBorders>
              <w:top w:val="nil"/>
              <w:left w:val="nil"/>
              <w:bottom w:val="nil"/>
              <w:right w:val="nil"/>
            </w:tcBorders>
          </w:tcPr>
          <w:p w14:paraId="4904991B" w14:textId="77777777" w:rsidR="00B54D51" w:rsidRPr="00037AD4" w:rsidRDefault="00B54D51" w:rsidP="00401C67">
            <w:pPr>
              <w:widowControl w:val="0"/>
              <w:autoSpaceDE w:val="0"/>
              <w:autoSpaceDN w:val="0"/>
              <w:adjustRightInd w:val="0"/>
              <w:jc w:val="center"/>
            </w:pPr>
          </w:p>
        </w:tc>
        <w:tc>
          <w:tcPr>
            <w:tcW w:w="786" w:type="pct"/>
            <w:tcBorders>
              <w:top w:val="nil"/>
              <w:left w:val="nil"/>
              <w:bottom w:val="nil"/>
              <w:right w:val="nil"/>
            </w:tcBorders>
          </w:tcPr>
          <w:p w14:paraId="50727D6B" w14:textId="77777777" w:rsidR="00B54D51" w:rsidRPr="00037AD4" w:rsidRDefault="00B54D51" w:rsidP="00401C67">
            <w:pPr>
              <w:widowControl w:val="0"/>
              <w:autoSpaceDE w:val="0"/>
              <w:autoSpaceDN w:val="0"/>
              <w:adjustRightInd w:val="0"/>
              <w:jc w:val="center"/>
            </w:pPr>
          </w:p>
        </w:tc>
      </w:tr>
      <w:tr w:rsidR="00B54D51" w:rsidRPr="00037AD4" w14:paraId="60A92D57" w14:textId="77777777" w:rsidTr="00401C67">
        <w:tblPrEx>
          <w:tblBorders>
            <w:bottom w:val="single" w:sz="6" w:space="0" w:color="auto"/>
          </w:tblBorders>
        </w:tblPrEx>
        <w:trPr>
          <w:jc w:val="center"/>
        </w:trPr>
        <w:tc>
          <w:tcPr>
            <w:tcW w:w="977" w:type="pct"/>
            <w:tcBorders>
              <w:top w:val="nil"/>
              <w:left w:val="nil"/>
              <w:bottom w:val="nil"/>
              <w:right w:val="nil"/>
            </w:tcBorders>
          </w:tcPr>
          <w:p w14:paraId="344AB52A" w14:textId="77777777" w:rsidR="00B54D51" w:rsidRPr="00037AD4" w:rsidRDefault="00B54D51" w:rsidP="00401C67">
            <w:pPr>
              <w:widowControl w:val="0"/>
              <w:autoSpaceDE w:val="0"/>
              <w:autoSpaceDN w:val="0"/>
              <w:adjustRightInd w:val="0"/>
            </w:pPr>
            <w:r w:rsidRPr="00037AD4">
              <w:t>Observations</w:t>
            </w:r>
          </w:p>
        </w:tc>
        <w:tc>
          <w:tcPr>
            <w:tcW w:w="834" w:type="pct"/>
            <w:tcBorders>
              <w:top w:val="nil"/>
              <w:left w:val="nil"/>
              <w:bottom w:val="nil"/>
              <w:right w:val="nil"/>
            </w:tcBorders>
          </w:tcPr>
          <w:p w14:paraId="3114E859" w14:textId="77777777" w:rsidR="00B54D51" w:rsidRPr="00037AD4" w:rsidRDefault="00B54D51" w:rsidP="00401C67">
            <w:pPr>
              <w:widowControl w:val="0"/>
              <w:autoSpaceDE w:val="0"/>
              <w:autoSpaceDN w:val="0"/>
              <w:adjustRightInd w:val="0"/>
              <w:jc w:val="center"/>
            </w:pPr>
            <w:r w:rsidRPr="00037AD4">
              <w:t>748</w:t>
            </w:r>
          </w:p>
        </w:tc>
        <w:tc>
          <w:tcPr>
            <w:tcW w:w="834" w:type="pct"/>
            <w:tcBorders>
              <w:top w:val="nil"/>
              <w:left w:val="nil"/>
              <w:bottom w:val="nil"/>
              <w:right w:val="nil"/>
            </w:tcBorders>
          </w:tcPr>
          <w:p w14:paraId="0A225AE1" w14:textId="77777777" w:rsidR="00B54D51" w:rsidRPr="00037AD4" w:rsidRDefault="00B54D51" w:rsidP="00401C67">
            <w:pPr>
              <w:widowControl w:val="0"/>
              <w:autoSpaceDE w:val="0"/>
              <w:autoSpaceDN w:val="0"/>
              <w:adjustRightInd w:val="0"/>
              <w:jc w:val="center"/>
            </w:pPr>
            <w:r w:rsidRPr="00037AD4">
              <w:t>770</w:t>
            </w:r>
          </w:p>
        </w:tc>
        <w:tc>
          <w:tcPr>
            <w:tcW w:w="784" w:type="pct"/>
            <w:tcBorders>
              <w:top w:val="nil"/>
              <w:left w:val="nil"/>
              <w:bottom w:val="nil"/>
              <w:right w:val="nil"/>
            </w:tcBorders>
          </w:tcPr>
          <w:p w14:paraId="63051439" w14:textId="77777777" w:rsidR="00B54D51" w:rsidRPr="00037AD4" w:rsidRDefault="00B54D51" w:rsidP="00401C67">
            <w:pPr>
              <w:widowControl w:val="0"/>
              <w:autoSpaceDE w:val="0"/>
              <w:autoSpaceDN w:val="0"/>
              <w:adjustRightInd w:val="0"/>
              <w:jc w:val="center"/>
            </w:pPr>
            <w:r w:rsidRPr="00037AD4">
              <w:t>786</w:t>
            </w:r>
          </w:p>
        </w:tc>
        <w:tc>
          <w:tcPr>
            <w:tcW w:w="784" w:type="pct"/>
            <w:tcBorders>
              <w:top w:val="nil"/>
              <w:left w:val="nil"/>
              <w:bottom w:val="nil"/>
              <w:right w:val="nil"/>
            </w:tcBorders>
          </w:tcPr>
          <w:p w14:paraId="54E5A82C" w14:textId="77777777" w:rsidR="00B54D51" w:rsidRPr="00037AD4" w:rsidRDefault="00B54D51" w:rsidP="00401C67">
            <w:pPr>
              <w:widowControl w:val="0"/>
              <w:autoSpaceDE w:val="0"/>
              <w:autoSpaceDN w:val="0"/>
              <w:adjustRightInd w:val="0"/>
              <w:jc w:val="center"/>
            </w:pPr>
            <w:r w:rsidRPr="00037AD4">
              <w:t>782</w:t>
            </w:r>
          </w:p>
        </w:tc>
        <w:tc>
          <w:tcPr>
            <w:tcW w:w="786" w:type="pct"/>
            <w:tcBorders>
              <w:top w:val="nil"/>
              <w:left w:val="nil"/>
              <w:bottom w:val="nil"/>
              <w:right w:val="nil"/>
            </w:tcBorders>
          </w:tcPr>
          <w:p w14:paraId="0971752E" w14:textId="77777777" w:rsidR="00B54D51" w:rsidRPr="00037AD4" w:rsidRDefault="00B54D51" w:rsidP="00401C67">
            <w:pPr>
              <w:widowControl w:val="0"/>
              <w:autoSpaceDE w:val="0"/>
              <w:autoSpaceDN w:val="0"/>
              <w:adjustRightInd w:val="0"/>
              <w:jc w:val="center"/>
            </w:pPr>
            <w:r w:rsidRPr="00037AD4">
              <w:t>790</w:t>
            </w:r>
          </w:p>
        </w:tc>
      </w:tr>
      <w:tr w:rsidR="00B54D51" w:rsidRPr="00037AD4" w14:paraId="1E0DC2A9" w14:textId="77777777" w:rsidTr="00401C67">
        <w:tblPrEx>
          <w:tblBorders>
            <w:bottom w:val="single" w:sz="6" w:space="0" w:color="auto"/>
          </w:tblBorders>
        </w:tblPrEx>
        <w:trPr>
          <w:jc w:val="center"/>
        </w:trPr>
        <w:tc>
          <w:tcPr>
            <w:tcW w:w="977" w:type="pct"/>
            <w:tcBorders>
              <w:top w:val="nil"/>
              <w:left w:val="nil"/>
              <w:bottom w:val="nil"/>
              <w:right w:val="nil"/>
            </w:tcBorders>
          </w:tcPr>
          <w:p w14:paraId="553D5552" w14:textId="77777777" w:rsidR="00B54D51" w:rsidRPr="00037AD4" w:rsidRDefault="00B54D51" w:rsidP="00401C67">
            <w:pPr>
              <w:widowControl w:val="0"/>
              <w:autoSpaceDE w:val="0"/>
              <w:autoSpaceDN w:val="0"/>
              <w:adjustRightInd w:val="0"/>
              <w:rPr>
                <w:vertAlign w:val="superscript"/>
              </w:rPr>
            </w:pPr>
            <w:r w:rsidRPr="00037AD4">
              <w:t>Wald Chi2</w:t>
            </w:r>
          </w:p>
        </w:tc>
        <w:tc>
          <w:tcPr>
            <w:tcW w:w="834" w:type="pct"/>
            <w:tcBorders>
              <w:top w:val="nil"/>
              <w:left w:val="nil"/>
              <w:bottom w:val="nil"/>
              <w:right w:val="nil"/>
            </w:tcBorders>
          </w:tcPr>
          <w:p w14:paraId="2CFF0827" w14:textId="77777777" w:rsidR="00B54D51" w:rsidRPr="00037AD4" w:rsidRDefault="00B54D51" w:rsidP="00401C67">
            <w:pPr>
              <w:widowControl w:val="0"/>
              <w:autoSpaceDE w:val="0"/>
              <w:autoSpaceDN w:val="0"/>
              <w:adjustRightInd w:val="0"/>
              <w:jc w:val="center"/>
            </w:pPr>
            <w:r w:rsidRPr="00037AD4">
              <w:t>16.28</w:t>
            </w:r>
          </w:p>
        </w:tc>
        <w:tc>
          <w:tcPr>
            <w:tcW w:w="834" w:type="pct"/>
            <w:tcBorders>
              <w:top w:val="nil"/>
              <w:left w:val="nil"/>
              <w:bottom w:val="nil"/>
              <w:right w:val="nil"/>
            </w:tcBorders>
          </w:tcPr>
          <w:p w14:paraId="4EE88015" w14:textId="77777777" w:rsidR="00B54D51" w:rsidRPr="00037AD4" w:rsidRDefault="00B54D51" w:rsidP="00401C67">
            <w:pPr>
              <w:widowControl w:val="0"/>
              <w:autoSpaceDE w:val="0"/>
              <w:autoSpaceDN w:val="0"/>
              <w:adjustRightInd w:val="0"/>
              <w:jc w:val="center"/>
            </w:pPr>
            <w:r w:rsidRPr="00037AD4">
              <w:t>280.30</w:t>
            </w:r>
          </w:p>
        </w:tc>
        <w:tc>
          <w:tcPr>
            <w:tcW w:w="784" w:type="pct"/>
            <w:tcBorders>
              <w:top w:val="nil"/>
              <w:left w:val="nil"/>
              <w:bottom w:val="nil"/>
              <w:right w:val="nil"/>
            </w:tcBorders>
          </w:tcPr>
          <w:p w14:paraId="48867D25" w14:textId="77777777" w:rsidR="00B54D51" w:rsidRPr="00037AD4" w:rsidRDefault="00B54D51" w:rsidP="00401C67">
            <w:pPr>
              <w:widowControl w:val="0"/>
              <w:autoSpaceDE w:val="0"/>
              <w:autoSpaceDN w:val="0"/>
              <w:adjustRightInd w:val="0"/>
              <w:jc w:val="center"/>
            </w:pPr>
            <w:r w:rsidRPr="00037AD4">
              <w:t>151.64</w:t>
            </w:r>
          </w:p>
        </w:tc>
        <w:tc>
          <w:tcPr>
            <w:tcW w:w="784" w:type="pct"/>
            <w:tcBorders>
              <w:top w:val="nil"/>
              <w:left w:val="nil"/>
              <w:bottom w:val="nil"/>
              <w:right w:val="nil"/>
            </w:tcBorders>
          </w:tcPr>
          <w:p w14:paraId="6A7BD446" w14:textId="77777777" w:rsidR="00B54D51" w:rsidRPr="00037AD4" w:rsidRDefault="00B54D51" w:rsidP="00401C67">
            <w:pPr>
              <w:widowControl w:val="0"/>
              <w:autoSpaceDE w:val="0"/>
              <w:autoSpaceDN w:val="0"/>
              <w:adjustRightInd w:val="0"/>
              <w:jc w:val="center"/>
            </w:pPr>
            <w:r w:rsidRPr="00037AD4">
              <w:t>243.12</w:t>
            </w:r>
          </w:p>
        </w:tc>
        <w:tc>
          <w:tcPr>
            <w:tcW w:w="786" w:type="pct"/>
            <w:tcBorders>
              <w:top w:val="nil"/>
              <w:left w:val="nil"/>
              <w:bottom w:val="nil"/>
              <w:right w:val="nil"/>
            </w:tcBorders>
          </w:tcPr>
          <w:p w14:paraId="2B8B677C" w14:textId="77777777" w:rsidR="00B54D51" w:rsidRPr="00037AD4" w:rsidRDefault="00B54D51" w:rsidP="00401C67">
            <w:pPr>
              <w:widowControl w:val="0"/>
              <w:autoSpaceDE w:val="0"/>
              <w:autoSpaceDN w:val="0"/>
              <w:adjustRightInd w:val="0"/>
              <w:jc w:val="center"/>
            </w:pPr>
            <w:r w:rsidRPr="00037AD4">
              <w:t>151.29</w:t>
            </w:r>
          </w:p>
        </w:tc>
      </w:tr>
      <w:tr w:rsidR="00B54D51" w:rsidRPr="00037AD4" w14:paraId="6D1B1DC1" w14:textId="77777777" w:rsidTr="00401C67">
        <w:tblPrEx>
          <w:tblBorders>
            <w:bottom w:val="single" w:sz="6" w:space="0" w:color="auto"/>
          </w:tblBorders>
        </w:tblPrEx>
        <w:trPr>
          <w:jc w:val="center"/>
        </w:trPr>
        <w:tc>
          <w:tcPr>
            <w:tcW w:w="977" w:type="pct"/>
            <w:tcBorders>
              <w:top w:val="nil"/>
              <w:left w:val="nil"/>
              <w:bottom w:val="nil"/>
              <w:right w:val="nil"/>
            </w:tcBorders>
          </w:tcPr>
          <w:p w14:paraId="10F1933B" w14:textId="77777777" w:rsidR="00B54D51" w:rsidRPr="00037AD4" w:rsidRDefault="00B54D51" w:rsidP="00401C67">
            <w:pPr>
              <w:widowControl w:val="0"/>
              <w:autoSpaceDE w:val="0"/>
              <w:autoSpaceDN w:val="0"/>
              <w:adjustRightInd w:val="0"/>
            </w:pPr>
            <w:r w:rsidRPr="00037AD4">
              <w:t>Pseudo R2</w:t>
            </w:r>
          </w:p>
        </w:tc>
        <w:tc>
          <w:tcPr>
            <w:tcW w:w="834" w:type="pct"/>
            <w:tcBorders>
              <w:top w:val="nil"/>
              <w:left w:val="nil"/>
              <w:bottom w:val="nil"/>
              <w:right w:val="nil"/>
            </w:tcBorders>
          </w:tcPr>
          <w:p w14:paraId="1EA9FD00" w14:textId="77777777" w:rsidR="00B54D51" w:rsidRPr="00037AD4" w:rsidRDefault="00B54D51" w:rsidP="00401C67">
            <w:pPr>
              <w:widowControl w:val="0"/>
              <w:autoSpaceDE w:val="0"/>
              <w:autoSpaceDN w:val="0"/>
              <w:adjustRightInd w:val="0"/>
              <w:jc w:val="center"/>
            </w:pPr>
            <w:r w:rsidRPr="00037AD4">
              <w:t>0.1280</w:t>
            </w:r>
          </w:p>
        </w:tc>
        <w:tc>
          <w:tcPr>
            <w:tcW w:w="834" w:type="pct"/>
            <w:tcBorders>
              <w:top w:val="nil"/>
              <w:left w:val="nil"/>
              <w:bottom w:val="nil"/>
              <w:right w:val="nil"/>
            </w:tcBorders>
          </w:tcPr>
          <w:p w14:paraId="7A5BB62C" w14:textId="77777777" w:rsidR="00B54D51" w:rsidRPr="00037AD4" w:rsidRDefault="00B54D51" w:rsidP="00401C67">
            <w:pPr>
              <w:widowControl w:val="0"/>
              <w:autoSpaceDE w:val="0"/>
              <w:autoSpaceDN w:val="0"/>
              <w:adjustRightInd w:val="0"/>
              <w:jc w:val="center"/>
            </w:pPr>
            <w:r w:rsidRPr="00037AD4">
              <w:t>0.1294</w:t>
            </w:r>
          </w:p>
        </w:tc>
        <w:tc>
          <w:tcPr>
            <w:tcW w:w="784" w:type="pct"/>
            <w:tcBorders>
              <w:top w:val="nil"/>
              <w:left w:val="nil"/>
              <w:bottom w:val="nil"/>
              <w:right w:val="nil"/>
            </w:tcBorders>
          </w:tcPr>
          <w:p w14:paraId="2B68B9A3" w14:textId="77777777" w:rsidR="00B54D51" w:rsidRPr="00037AD4" w:rsidRDefault="00B54D51" w:rsidP="00401C67">
            <w:pPr>
              <w:widowControl w:val="0"/>
              <w:autoSpaceDE w:val="0"/>
              <w:autoSpaceDN w:val="0"/>
              <w:adjustRightInd w:val="0"/>
              <w:jc w:val="center"/>
            </w:pPr>
            <w:r w:rsidRPr="00037AD4">
              <w:t>0.0717</w:t>
            </w:r>
          </w:p>
        </w:tc>
        <w:tc>
          <w:tcPr>
            <w:tcW w:w="784" w:type="pct"/>
            <w:tcBorders>
              <w:top w:val="nil"/>
              <w:left w:val="nil"/>
              <w:bottom w:val="nil"/>
              <w:right w:val="nil"/>
            </w:tcBorders>
          </w:tcPr>
          <w:p w14:paraId="6BA65B3C" w14:textId="77777777" w:rsidR="00B54D51" w:rsidRPr="00037AD4" w:rsidRDefault="00B54D51" w:rsidP="00401C67">
            <w:pPr>
              <w:widowControl w:val="0"/>
              <w:autoSpaceDE w:val="0"/>
              <w:autoSpaceDN w:val="0"/>
              <w:adjustRightInd w:val="0"/>
              <w:jc w:val="center"/>
            </w:pPr>
            <w:r w:rsidRPr="00037AD4">
              <w:t>0.1123</w:t>
            </w:r>
          </w:p>
        </w:tc>
        <w:tc>
          <w:tcPr>
            <w:tcW w:w="786" w:type="pct"/>
            <w:tcBorders>
              <w:top w:val="nil"/>
              <w:left w:val="nil"/>
              <w:bottom w:val="nil"/>
              <w:right w:val="nil"/>
            </w:tcBorders>
          </w:tcPr>
          <w:p w14:paraId="6806EF66" w14:textId="77777777" w:rsidR="00B54D51" w:rsidRPr="00037AD4" w:rsidRDefault="00B54D51" w:rsidP="00401C67">
            <w:pPr>
              <w:widowControl w:val="0"/>
              <w:autoSpaceDE w:val="0"/>
              <w:autoSpaceDN w:val="0"/>
              <w:adjustRightInd w:val="0"/>
              <w:jc w:val="center"/>
            </w:pPr>
            <w:r w:rsidRPr="00037AD4">
              <w:t>0.0708</w:t>
            </w:r>
          </w:p>
        </w:tc>
      </w:tr>
      <w:tr w:rsidR="00B54D51" w:rsidRPr="00037AD4" w14:paraId="33FD2E5E" w14:textId="77777777" w:rsidTr="00401C67">
        <w:tblPrEx>
          <w:tblBorders>
            <w:bottom w:val="single" w:sz="6" w:space="0" w:color="auto"/>
          </w:tblBorders>
        </w:tblPrEx>
        <w:trPr>
          <w:jc w:val="center"/>
        </w:trPr>
        <w:tc>
          <w:tcPr>
            <w:tcW w:w="977" w:type="pct"/>
            <w:tcBorders>
              <w:top w:val="nil"/>
              <w:left w:val="nil"/>
              <w:bottom w:val="nil"/>
              <w:right w:val="nil"/>
            </w:tcBorders>
          </w:tcPr>
          <w:p w14:paraId="44515F10" w14:textId="77777777" w:rsidR="00B54D51" w:rsidRPr="00037AD4" w:rsidRDefault="00B54D51" w:rsidP="00401C67">
            <w:pPr>
              <w:widowControl w:val="0"/>
              <w:autoSpaceDE w:val="0"/>
              <w:autoSpaceDN w:val="0"/>
              <w:adjustRightInd w:val="0"/>
            </w:pPr>
            <w:r w:rsidRPr="00037AD4">
              <w:t>AIC</w:t>
            </w:r>
          </w:p>
        </w:tc>
        <w:tc>
          <w:tcPr>
            <w:tcW w:w="834" w:type="pct"/>
            <w:tcBorders>
              <w:top w:val="nil"/>
              <w:left w:val="nil"/>
              <w:bottom w:val="nil"/>
              <w:right w:val="nil"/>
            </w:tcBorders>
          </w:tcPr>
          <w:p w14:paraId="00B8BCA9" w14:textId="77777777" w:rsidR="00B54D51" w:rsidRPr="00037AD4" w:rsidRDefault="00B54D51" w:rsidP="00401C67">
            <w:pPr>
              <w:widowControl w:val="0"/>
              <w:autoSpaceDE w:val="0"/>
              <w:autoSpaceDN w:val="0"/>
              <w:adjustRightInd w:val="0"/>
              <w:jc w:val="center"/>
            </w:pPr>
            <w:r w:rsidRPr="00037AD4">
              <w:t>2042.389</w:t>
            </w:r>
          </w:p>
        </w:tc>
        <w:tc>
          <w:tcPr>
            <w:tcW w:w="834" w:type="pct"/>
            <w:tcBorders>
              <w:top w:val="nil"/>
              <w:left w:val="nil"/>
              <w:bottom w:val="nil"/>
              <w:right w:val="nil"/>
            </w:tcBorders>
          </w:tcPr>
          <w:p w14:paraId="4A2A5CB0" w14:textId="77777777" w:rsidR="00B54D51" w:rsidRPr="00037AD4" w:rsidRDefault="00B54D51" w:rsidP="00401C67">
            <w:pPr>
              <w:widowControl w:val="0"/>
              <w:autoSpaceDE w:val="0"/>
              <w:autoSpaceDN w:val="0"/>
              <w:adjustRightInd w:val="0"/>
              <w:jc w:val="center"/>
            </w:pPr>
            <w:r w:rsidRPr="00037AD4">
              <w:t>2095.274</w:t>
            </w:r>
          </w:p>
        </w:tc>
        <w:tc>
          <w:tcPr>
            <w:tcW w:w="784" w:type="pct"/>
            <w:tcBorders>
              <w:top w:val="nil"/>
              <w:left w:val="nil"/>
              <w:bottom w:val="nil"/>
              <w:right w:val="nil"/>
            </w:tcBorders>
          </w:tcPr>
          <w:p w14:paraId="563295BE" w14:textId="77777777" w:rsidR="00B54D51" w:rsidRPr="00037AD4" w:rsidRDefault="00B54D51" w:rsidP="00401C67">
            <w:pPr>
              <w:widowControl w:val="0"/>
              <w:autoSpaceDE w:val="0"/>
              <w:autoSpaceDN w:val="0"/>
              <w:adjustRightInd w:val="0"/>
              <w:jc w:val="center"/>
            </w:pPr>
            <w:r w:rsidRPr="00037AD4">
              <w:t>2260.686</w:t>
            </w:r>
          </w:p>
        </w:tc>
        <w:tc>
          <w:tcPr>
            <w:tcW w:w="784" w:type="pct"/>
            <w:tcBorders>
              <w:top w:val="nil"/>
              <w:left w:val="nil"/>
              <w:bottom w:val="nil"/>
              <w:right w:val="nil"/>
            </w:tcBorders>
          </w:tcPr>
          <w:p w14:paraId="6DA77C1A" w14:textId="77777777" w:rsidR="00B54D51" w:rsidRPr="00037AD4" w:rsidRDefault="00B54D51" w:rsidP="00401C67">
            <w:pPr>
              <w:widowControl w:val="0"/>
              <w:autoSpaceDE w:val="0"/>
              <w:autoSpaceDN w:val="0"/>
              <w:adjustRightInd w:val="0"/>
              <w:jc w:val="center"/>
            </w:pPr>
            <w:r w:rsidRPr="00037AD4">
              <w:t>2157.658</w:t>
            </w:r>
          </w:p>
        </w:tc>
        <w:tc>
          <w:tcPr>
            <w:tcW w:w="786" w:type="pct"/>
            <w:tcBorders>
              <w:top w:val="nil"/>
              <w:left w:val="nil"/>
              <w:bottom w:val="nil"/>
              <w:right w:val="nil"/>
            </w:tcBorders>
          </w:tcPr>
          <w:p w14:paraId="4D50E8BB" w14:textId="77777777" w:rsidR="00B54D51" w:rsidRPr="00037AD4" w:rsidRDefault="00B54D51" w:rsidP="00401C67">
            <w:pPr>
              <w:widowControl w:val="0"/>
              <w:autoSpaceDE w:val="0"/>
              <w:autoSpaceDN w:val="0"/>
              <w:adjustRightInd w:val="0"/>
              <w:jc w:val="center"/>
            </w:pPr>
            <w:r w:rsidRPr="00037AD4">
              <w:t>2271.441</w:t>
            </w:r>
          </w:p>
        </w:tc>
      </w:tr>
      <w:tr w:rsidR="00B54D51" w:rsidRPr="00037AD4" w14:paraId="0B734528" w14:textId="77777777" w:rsidTr="00401C67">
        <w:tblPrEx>
          <w:tblBorders>
            <w:bottom w:val="single" w:sz="6" w:space="0" w:color="auto"/>
          </w:tblBorders>
        </w:tblPrEx>
        <w:trPr>
          <w:jc w:val="center"/>
        </w:trPr>
        <w:tc>
          <w:tcPr>
            <w:tcW w:w="977" w:type="pct"/>
            <w:tcBorders>
              <w:top w:val="nil"/>
              <w:left w:val="nil"/>
              <w:bottom w:val="nil"/>
              <w:right w:val="nil"/>
            </w:tcBorders>
          </w:tcPr>
          <w:p w14:paraId="12E89D39" w14:textId="77777777" w:rsidR="00B54D51" w:rsidRPr="00037AD4" w:rsidRDefault="00B54D51" w:rsidP="00401C67">
            <w:pPr>
              <w:widowControl w:val="0"/>
              <w:autoSpaceDE w:val="0"/>
              <w:autoSpaceDN w:val="0"/>
              <w:adjustRightInd w:val="0"/>
            </w:pPr>
            <w:r w:rsidRPr="00037AD4">
              <w:t>BIC</w:t>
            </w:r>
          </w:p>
        </w:tc>
        <w:tc>
          <w:tcPr>
            <w:tcW w:w="834" w:type="pct"/>
            <w:tcBorders>
              <w:top w:val="nil"/>
              <w:left w:val="nil"/>
              <w:bottom w:val="nil"/>
              <w:right w:val="nil"/>
            </w:tcBorders>
          </w:tcPr>
          <w:p w14:paraId="00E45BB8" w14:textId="77777777" w:rsidR="00B54D51" w:rsidRPr="00037AD4" w:rsidRDefault="00B54D51" w:rsidP="00401C67">
            <w:pPr>
              <w:widowControl w:val="0"/>
              <w:autoSpaceDE w:val="0"/>
              <w:autoSpaceDN w:val="0"/>
              <w:adjustRightInd w:val="0"/>
              <w:jc w:val="center"/>
            </w:pPr>
            <w:r w:rsidRPr="00037AD4">
              <w:t>2185.528</w:t>
            </w:r>
          </w:p>
        </w:tc>
        <w:tc>
          <w:tcPr>
            <w:tcW w:w="834" w:type="pct"/>
            <w:tcBorders>
              <w:top w:val="nil"/>
              <w:left w:val="nil"/>
              <w:bottom w:val="nil"/>
              <w:right w:val="nil"/>
            </w:tcBorders>
          </w:tcPr>
          <w:p w14:paraId="539F444F" w14:textId="77777777" w:rsidR="00B54D51" w:rsidRPr="00037AD4" w:rsidRDefault="00B54D51" w:rsidP="00401C67">
            <w:pPr>
              <w:widowControl w:val="0"/>
              <w:autoSpaceDE w:val="0"/>
              <w:autoSpaceDN w:val="0"/>
              <w:adjustRightInd w:val="0"/>
              <w:jc w:val="center"/>
            </w:pPr>
            <w:r w:rsidRPr="00037AD4">
              <w:t>2178.909</w:t>
            </w:r>
          </w:p>
        </w:tc>
        <w:tc>
          <w:tcPr>
            <w:tcW w:w="784" w:type="pct"/>
            <w:tcBorders>
              <w:top w:val="nil"/>
              <w:left w:val="nil"/>
              <w:bottom w:val="nil"/>
              <w:right w:val="nil"/>
            </w:tcBorders>
          </w:tcPr>
          <w:p w14:paraId="200C79D2" w14:textId="77777777" w:rsidR="00B54D51" w:rsidRPr="00037AD4" w:rsidRDefault="00B54D51" w:rsidP="00401C67">
            <w:pPr>
              <w:widowControl w:val="0"/>
              <w:autoSpaceDE w:val="0"/>
              <w:autoSpaceDN w:val="0"/>
              <w:adjustRightInd w:val="0"/>
              <w:jc w:val="center"/>
            </w:pPr>
            <w:r w:rsidRPr="00037AD4">
              <w:t>2312.023</w:t>
            </w:r>
          </w:p>
        </w:tc>
        <w:tc>
          <w:tcPr>
            <w:tcW w:w="784" w:type="pct"/>
            <w:tcBorders>
              <w:top w:val="nil"/>
              <w:left w:val="nil"/>
              <w:bottom w:val="nil"/>
              <w:right w:val="nil"/>
            </w:tcBorders>
          </w:tcPr>
          <w:p w14:paraId="19AA3A8B" w14:textId="77777777" w:rsidR="00B54D51" w:rsidRPr="00037AD4" w:rsidRDefault="00B54D51" w:rsidP="00401C67">
            <w:pPr>
              <w:widowControl w:val="0"/>
              <w:autoSpaceDE w:val="0"/>
              <w:autoSpaceDN w:val="0"/>
              <w:adjustRightInd w:val="0"/>
              <w:jc w:val="center"/>
            </w:pPr>
            <w:r w:rsidRPr="00037AD4">
              <w:t>2222.924</w:t>
            </w:r>
          </w:p>
        </w:tc>
        <w:tc>
          <w:tcPr>
            <w:tcW w:w="786" w:type="pct"/>
            <w:tcBorders>
              <w:top w:val="nil"/>
              <w:left w:val="nil"/>
              <w:bottom w:val="nil"/>
              <w:right w:val="nil"/>
            </w:tcBorders>
          </w:tcPr>
          <w:p w14:paraId="3294A463" w14:textId="77777777" w:rsidR="00B54D51" w:rsidRPr="00037AD4" w:rsidRDefault="00B54D51" w:rsidP="00401C67">
            <w:pPr>
              <w:widowControl w:val="0"/>
              <w:autoSpaceDE w:val="0"/>
              <w:autoSpaceDN w:val="0"/>
              <w:adjustRightInd w:val="0"/>
              <w:jc w:val="center"/>
            </w:pPr>
            <w:r w:rsidRPr="00037AD4">
              <w:t>2313.489</w:t>
            </w:r>
          </w:p>
        </w:tc>
      </w:tr>
      <w:tr w:rsidR="00B54D51" w:rsidRPr="00037AD4" w14:paraId="086B8EED" w14:textId="77777777" w:rsidTr="00401C67">
        <w:tblPrEx>
          <w:tblBorders>
            <w:bottom w:val="single" w:sz="6" w:space="0" w:color="auto"/>
          </w:tblBorders>
        </w:tblPrEx>
        <w:trPr>
          <w:jc w:val="center"/>
        </w:trPr>
        <w:tc>
          <w:tcPr>
            <w:tcW w:w="977" w:type="pct"/>
            <w:tcBorders>
              <w:top w:val="nil"/>
              <w:left w:val="nil"/>
              <w:bottom w:val="single" w:sz="6" w:space="0" w:color="auto"/>
              <w:right w:val="nil"/>
            </w:tcBorders>
          </w:tcPr>
          <w:p w14:paraId="6030C52E" w14:textId="77777777" w:rsidR="00B54D51" w:rsidRPr="00037AD4" w:rsidRDefault="00B54D51" w:rsidP="00401C67">
            <w:pPr>
              <w:widowControl w:val="0"/>
              <w:autoSpaceDE w:val="0"/>
              <w:autoSpaceDN w:val="0"/>
              <w:adjustRightInd w:val="0"/>
            </w:pPr>
            <w:r w:rsidRPr="00037AD4">
              <w:t xml:space="preserve">Log likelihood (model) </w:t>
            </w:r>
          </w:p>
        </w:tc>
        <w:tc>
          <w:tcPr>
            <w:tcW w:w="834" w:type="pct"/>
            <w:tcBorders>
              <w:top w:val="nil"/>
              <w:left w:val="nil"/>
              <w:bottom w:val="single" w:sz="6" w:space="0" w:color="auto"/>
              <w:right w:val="nil"/>
            </w:tcBorders>
          </w:tcPr>
          <w:p w14:paraId="4A0951A6" w14:textId="77777777" w:rsidR="00B54D51" w:rsidRPr="00037AD4" w:rsidRDefault="00B54D51" w:rsidP="00401C67">
            <w:pPr>
              <w:widowControl w:val="0"/>
              <w:autoSpaceDE w:val="0"/>
              <w:autoSpaceDN w:val="0"/>
              <w:adjustRightInd w:val="0"/>
              <w:jc w:val="center"/>
            </w:pPr>
            <w:r w:rsidRPr="00037AD4">
              <w:t>-990.194</w:t>
            </w:r>
          </w:p>
        </w:tc>
        <w:tc>
          <w:tcPr>
            <w:tcW w:w="834" w:type="pct"/>
            <w:tcBorders>
              <w:top w:val="nil"/>
              <w:left w:val="nil"/>
              <w:bottom w:val="single" w:sz="6" w:space="0" w:color="auto"/>
              <w:right w:val="nil"/>
            </w:tcBorders>
          </w:tcPr>
          <w:p w14:paraId="628E2246" w14:textId="77777777" w:rsidR="00B54D51" w:rsidRPr="00037AD4" w:rsidRDefault="00B54D51" w:rsidP="00401C67">
            <w:pPr>
              <w:widowControl w:val="0"/>
              <w:autoSpaceDE w:val="0"/>
              <w:autoSpaceDN w:val="0"/>
              <w:adjustRightInd w:val="0"/>
              <w:jc w:val="center"/>
            </w:pPr>
            <w:r w:rsidRPr="00037AD4">
              <w:t>-1029.637</w:t>
            </w:r>
          </w:p>
        </w:tc>
        <w:tc>
          <w:tcPr>
            <w:tcW w:w="784" w:type="pct"/>
            <w:tcBorders>
              <w:top w:val="nil"/>
              <w:left w:val="nil"/>
              <w:bottom w:val="single" w:sz="6" w:space="0" w:color="auto"/>
              <w:right w:val="nil"/>
            </w:tcBorders>
          </w:tcPr>
          <w:p w14:paraId="01C5B086" w14:textId="77777777" w:rsidR="00B54D51" w:rsidRPr="00037AD4" w:rsidRDefault="00B54D51" w:rsidP="00401C67">
            <w:pPr>
              <w:widowControl w:val="0"/>
              <w:autoSpaceDE w:val="0"/>
              <w:autoSpaceDN w:val="0"/>
              <w:adjustRightInd w:val="0"/>
              <w:jc w:val="center"/>
            </w:pPr>
            <w:r w:rsidRPr="00037AD4">
              <w:t>-1119.343</w:t>
            </w:r>
          </w:p>
        </w:tc>
        <w:tc>
          <w:tcPr>
            <w:tcW w:w="784" w:type="pct"/>
            <w:tcBorders>
              <w:top w:val="nil"/>
              <w:left w:val="nil"/>
              <w:bottom w:val="single" w:sz="6" w:space="0" w:color="auto"/>
              <w:right w:val="nil"/>
            </w:tcBorders>
          </w:tcPr>
          <w:p w14:paraId="1811B709" w14:textId="77777777" w:rsidR="00B54D51" w:rsidRPr="00037AD4" w:rsidRDefault="00B54D51" w:rsidP="00401C67">
            <w:pPr>
              <w:widowControl w:val="0"/>
              <w:autoSpaceDE w:val="0"/>
              <w:autoSpaceDN w:val="0"/>
              <w:adjustRightInd w:val="0"/>
              <w:jc w:val="center"/>
            </w:pPr>
            <w:r w:rsidRPr="00037AD4">
              <w:t>-1064.829</w:t>
            </w:r>
          </w:p>
        </w:tc>
        <w:tc>
          <w:tcPr>
            <w:tcW w:w="786" w:type="pct"/>
            <w:tcBorders>
              <w:top w:val="nil"/>
              <w:left w:val="nil"/>
              <w:bottom w:val="single" w:sz="6" w:space="0" w:color="auto"/>
              <w:right w:val="nil"/>
            </w:tcBorders>
          </w:tcPr>
          <w:p w14:paraId="7AA78A24" w14:textId="77777777" w:rsidR="00B54D51" w:rsidRPr="00037AD4" w:rsidRDefault="00B54D51" w:rsidP="00401C67">
            <w:pPr>
              <w:widowControl w:val="0"/>
              <w:autoSpaceDE w:val="0"/>
              <w:autoSpaceDN w:val="0"/>
              <w:adjustRightInd w:val="0"/>
              <w:jc w:val="center"/>
            </w:pPr>
            <w:r w:rsidRPr="00037AD4">
              <w:t>-1126.72</w:t>
            </w:r>
          </w:p>
        </w:tc>
      </w:tr>
    </w:tbl>
    <w:p w14:paraId="2156D9B7" w14:textId="77777777" w:rsidR="00B54D51" w:rsidRPr="00037AD4" w:rsidRDefault="00B54D51" w:rsidP="001D7ACE">
      <w:pPr>
        <w:widowControl w:val="0"/>
        <w:autoSpaceDE w:val="0"/>
        <w:autoSpaceDN w:val="0"/>
        <w:adjustRightInd w:val="0"/>
        <w:jc w:val="center"/>
      </w:pPr>
      <w:r w:rsidRPr="00037AD4">
        <w:t>Robust ci in parentheses</w:t>
      </w:r>
    </w:p>
    <w:p w14:paraId="1BEAFD20" w14:textId="77777777" w:rsidR="00B54D51" w:rsidRPr="00037AD4" w:rsidRDefault="00B54D51" w:rsidP="001D7ACE">
      <w:pPr>
        <w:widowControl w:val="0"/>
        <w:autoSpaceDE w:val="0"/>
        <w:autoSpaceDN w:val="0"/>
        <w:adjustRightInd w:val="0"/>
        <w:jc w:val="center"/>
      </w:pPr>
      <w:r w:rsidRPr="00037AD4">
        <w:t>*** p&lt;0.01, ** p&lt;0.05, * p&lt;0.1</w:t>
      </w:r>
    </w:p>
    <w:p w14:paraId="20FD7E95" w14:textId="77777777" w:rsidR="00B54D51" w:rsidRPr="00037AD4" w:rsidRDefault="00B54D51" w:rsidP="001D7ACE">
      <w:pPr>
        <w:rPr>
          <w:color w:val="FF0000"/>
          <w:u w:val="single"/>
        </w:rPr>
      </w:pPr>
    </w:p>
    <w:p w14:paraId="37EDD852" w14:textId="77777777" w:rsidR="00B54D51" w:rsidRPr="00037AD4" w:rsidRDefault="00B54D51" w:rsidP="001D7ACE">
      <w:pPr>
        <w:rPr>
          <w:color w:val="FF0000"/>
          <w:u w:val="single"/>
        </w:rPr>
      </w:pPr>
    </w:p>
    <w:p w14:paraId="3A90927D" w14:textId="77777777" w:rsidR="00B54D51" w:rsidRPr="00037AD4" w:rsidRDefault="00B54D51" w:rsidP="001D7ACE">
      <w:pPr>
        <w:rPr>
          <w:color w:val="FF0000"/>
          <w:u w:val="single"/>
        </w:rPr>
      </w:pPr>
    </w:p>
    <w:p w14:paraId="575090F0" w14:textId="77777777" w:rsidR="00B54D51" w:rsidRPr="00037AD4" w:rsidRDefault="00B54D51" w:rsidP="001D7ACE">
      <w:pPr>
        <w:rPr>
          <w:color w:val="FF0000"/>
          <w:u w:val="single"/>
        </w:rPr>
      </w:pPr>
    </w:p>
    <w:p w14:paraId="48D5249F" w14:textId="77777777" w:rsidR="00B54D51" w:rsidRPr="00037AD4" w:rsidRDefault="00B54D51" w:rsidP="001D7ACE">
      <w:pPr>
        <w:rPr>
          <w:color w:val="FF0000"/>
          <w:u w:val="single"/>
        </w:rPr>
      </w:pPr>
    </w:p>
    <w:p w14:paraId="33EAD502" w14:textId="77777777" w:rsidR="00B54D51" w:rsidRPr="00037AD4" w:rsidRDefault="00B54D51" w:rsidP="001D7ACE">
      <w:pPr>
        <w:rPr>
          <w:rFonts w:asciiTheme="minorHAnsi" w:hAnsiTheme="minorHAnsi" w:cstheme="minorHAnsi"/>
          <w:u w:val="single"/>
        </w:rPr>
      </w:pPr>
      <w:r w:rsidRPr="00037AD4">
        <w:rPr>
          <w:rFonts w:asciiTheme="minorHAnsi" w:hAnsiTheme="minorHAnsi" w:cstheme="minorHAnsi"/>
          <w:u w:val="single"/>
        </w:rPr>
        <w:lastRenderedPageBreak/>
        <w:t xml:space="preserve">Table </w:t>
      </w:r>
      <w:r w:rsidRPr="00037AD4">
        <w:rPr>
          <w:rFonts w:asciiTheme="minorHAnsi" w:hAnsiTheme="minorHAnsi" w:cstheme="minorHAnsi"/>
          <w:color w:val="000000" w:themeColor="text1"/>
          <w:u w:val="single"/>
        </w:rPr>
        <w:t>A6.2f</w:t>
      </w:r>
      <w:r w:rsidRPr="00037AD4">
        <w:rPr>
          <w:rFonts w:asciiTheme="minorHAnsi" w:hAnsiTheme="minorHAnsi" w:cstheme="minorHAnsi"/>
          <w:u w:val="single"/>
        </w:rPr>
        <w:t>, Summary table of coefficients for the selected “self-care” models</w:t>
      </w:r>
    </w:p>
    <w:p w14:paraId="52FA811F" w14:textId="77777777" w:rsidR="00B54D51" w:rsidRPr="00037AD4" w:rsidRDefault="00B54D51" w:rsidP="001D7ACE">
      <w:pPr>
        <w:rPr>
          <w:rFonts w:asciiTheme="minorHAnsi" w:hAnsiTheme="minorHAnsi" w:cstheme="minorHAnsi"/>
          <w:color w:val="FF0000"/>
          <w:u w:val="single"/>
        </w:rPr>
      </w:pPr>
    </w:p>
    <w:tbl>
      <w:tblPr>
        <w:tblStyle w:val="TableGrid"/>
        <w:tblW w:w="0" w:type="auto"/>
        <w:tblLook w:val="04A0" w:firstRow="1" w:lastRow="0" w:firstColumn="1" w:lastColumn="0" w:noHBand="0" w:noVBand="1"/>
      </w:tblPr>
      <w:tblGrid>
        <w:gridCol w:w="3005"/>
        <w:gridCol w:w="3005"/>
        <w:gridCol w:w="3006"/>
      </w:tblGrid>
      <w:tr w:rsidR="00B54D51" w:rsidRPr="00037AD4" w14:paraId="4402D937" w14:textId="77777777" w:rsidTr="00401C67">
        <w:tc>
          <w:tcPr>
            <w:tcW w:w="3005" w:type="dxa"/>
          </w:tcPr>
          <w:p w14:paraId="6F38627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Regression variables </w:t>
            </w:r>
          </w:p>
        </w:tc>
        <w:tc>
          <w:tcPr>
            <w:tcW w:w="3005" w:type="dxa"/>
          </w:tcPr>
          <w:p w14:paraId="6126781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ACTIFCARE</w:t>
            </w:r>
          </w:p>
        </w:tc>
        <w:tc>
          <w:tcPr>
            <w:tcW w:w="3006" w:type="dxa"/>
          </w:tcPr>
          <w:p w14:paraId="1BDB381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EPIC</w:t>
            </w:r>
          </w:p>
        </w:tc>
      </w:tr>
      <w:tr w:rsidR="00B54D51" w:rsidRPr="00037AD4" w14:paraId="49966EFC" w14:textId="77777777" w:rsidTr="00401C67">
        <w:tc>
          <w:tcPr>
            <w:tcW w:w="3005" w:type="dxa"/>
          </w:tcPr>
          <w:p w14:paraId="3C53E22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Self-care (2)</w:t>
            </w:r>
          </w:p>
        </w:tc>
        <w:tc>
          <w:tcPr>
            <w:tcW w:w="3005" w:type="dxa"/>
          </w:tcPr>
          <w:p w14:paraId="7918D85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0.374*</w:t>
            </w:r>
          </w:p>
        </w:tc>
        <w:tc>
          <w:tcPr>
            <w:tcW w:w="3006" w:type="dxa"/>
          </w:tcPr>
          <w:p w14:paraId="492FCB4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-0.067</w:t>
            </w:r>
          </w:p>
        </w:tc>
      </w:tr>
      <w:tr w:rsidR="00B54D51" w:rsidRPr="00037AD4" w14:paraId="21D654EC" w14:textId="77777777" w:rsidTr="00401C67">
        <w:tc>
          <w:tcPr>
            <w:tcW w:w="3005" w:type="dxa"/>
          </w:tcPr>
          <w:p w14:paraId="2B2C8D9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Self-care (3)</w:t>
            </w:r>
          </w:p>
        </w:tc>
        <w:tc>
          <w:tcPr>
            <w:tcW w:w="3005" w:type="dxa"/>
          </w:tcPr>
          <w:p w14:paraId="6741B89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0.328*</w:t>
            </w:r>
          </w:p>
        </w:tc>
        <w:tc>
          <w:tcPr>
            <w:tcW w:w="3006" w:type="dxa"/>
          </w:tcPr>
          <w:p w14:paraId="5F53830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0.283*</w:t>
            </w:r>
          </w:p>
        </w:tc>
      </w:tr>
      <w:tr w:rsidR="00B54D51" w:rsidRPr="00037AD4" w14:paraId="1EDCCE73" w14:textId="77777777" w:rsidTr="00401C67">
        <w:tc>
          <w:tcPr>
            <w:tcW w:w="3005" w:type="dxa"/>
          </w:tcPr>
          <w:p w14:paraId="3684B01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Self-care (4)</w:t>
            </w:r>
          </w:p>
        </w:tc>
        <w:tc>
          <w:tcPr>
            <w:tcW w:w="3005" w:type="dxa"/>
          </w:tcPr>
          <w:p w14:paraId="1B64FBD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1.242*</w:t>
            </w:r>
          </w:p>
        </w:tc>
        <w:tc>
          <w:tcPr>
            <w:tcW w:w="3006" w:type="dxa"/>
          </w:tcPr>
          <w:p w14:paraId="0C1F110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0.419*</w:t>
            </w:r>
          </w:p>
        </w:tc>
      </w:tr>
      <w:tr w:rsidR="00B54D51" w:rsidRPr="00037AD4" w14:paraId="40D7943B" w14:textId="77777777" w:rsidTr="00401C67">
        <w:tc>
          <w:tcPr>
            <w:tcW w:w="3005" w:type="dxa"/>
          </w:tcPr>
          <w:p w14:paraId="17E8DF4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Self-care (5)</w:t>
            </w:r>
          </w:p>
        </w:tc>
        <w:tc>
          <w:tcPr>
            <w:tcW w:w="3005" w:type="dxa"/>
          </w:tcPr>
          <w:p w14:paraId="5BC9936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1.323*</w:t>
            </w:r>
          </w:p>
        </w:tc>
        <w:tc>
          <w:tcPr>
            <w:tcW w:w="3006" w:type="dxa"/>
          </w:tcPr>
          <w:p w14:paraId="5F28F1F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0.589*</w:t>
            </w:r>
          </w:p>
        </w:tc>
      </w:tr>
      <w:tr w:rsidR="00B54D51" w:rsidRPr="00037AD4" w14:paraId="6CA6CF0D" w14:textId="77777777" w:rsidTr="00401C67">
        <w:tc>
          <w:tcPr>
            <w:tcW w:w="3005" w:type="dxa"/>
          </w:tcPr>
          <w:p w14:paraId="295E6CC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Function</w:t>
            </w:r>
          </w:p>
        </w:tc>
        <w:tc>
          <w:tcPr>
            <w:tcW w:w="3005" w:type="dxa"/>
          </w:tcPr>
          <w:p w14:paraId="2680FEB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-0.599*</w:t>
            </w:r>
          </w:p>
        </w:tc>
        <w:tc>
          <w:tcPr>
            <w:tcW w:w="3006" w:type="dxa"/>
          </w:tcPr>
          <w:p w14:paraId="3DB8913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0.603*</w:t>
            </w:r>
          </w:p>
        </w:tc>
      </w:tr>
      <w:tr w:rsidR="00B54D51" w:rsidRPr="00037AD4" w14:paraId="7881E59E" w14:textId="77777777" w:rsidTr="00401C67">
        <w:tc>
          <w:tcPr>
            <w:tcW w:w="3005" w:type="dxa"/>
          </w:tcPr>
          <w:p w14:paraId="5662262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PwD age</w:t>
            </w:r>
          </w:p>
        </w:tc>
        <w:tc>
          <w:tcPr>
            <w:tcW w:w="3005" w:type="dxa"/>
          </w:tcPr>
          <w:p w14:paraId="0E5E668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-0.002</w:t>
            </w:r>
          </w:p>
        </w:tc>
        <w:tc>
          <w:tcPr>
            <w:tcW w:w="3006" w:type="dxa"/>
          </w:tcPr>
          <w:p w14:paraId="56904A5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0.001</w:t>
            </w:r>
          </w:p>
        </w:tc>
      </w:tr>
      <w:tr w:rsidR="00B54D51" w:rsidRPr="00037AD4" w14:paraId="7C89F3EC" w14:textId="77777777" w:rsidTr="00401C67">
        <w:tc>
          <w:tcPr>
            <w:tcW w:w="3005" w:type="dxa"/>
          </w:tcPr>
          <w:p w14:paraId="2A52C6B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PwD sex </w:t>
            </w:r>
          </w:p>
        </w:tc>
        <w:tc>
          <w:tcPr>
            <w:tcW w:w="3005" w:type="dxa"/>
          </w:tcPr>
          <w:p w14:paraId="449D94D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0.139</w:t>
            </w:r>
          </w:p>
        </w:tc>
        <w:tc>
          <w:tcPr>
            <w:tcW w:w="3006" w:type="dxa"/>
          </w:tcPr>
          <w:p w14:paraId="6C6512A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0.005</w:t>
            </w:r>
          </w:p>
        </w:tc>
      </w:tr>
      <w:tr w:rsidR="00B54D51" w:rsidRPr="00037AD4" w14:paraId="457835A9" w14:textId="77777777" w:rsidTr="00401C67">
        <w:tc>
          <w:tcPr>
            <w:tcW w:w="3005" w:type="dxa"/>
          </w:tcPr>
          <w:p w14:paraId="535FA1C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MMSE</w:t>
            </w:r>
          </w:p>
        </w:tc>
        <w:tc>
          <w:tcPr>
            <w:tcW w:w="3005" w:type="dxa"/>
          </w:tcPr>
          <w:p w14:paraId="16CEA25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-0.006</w:t>
            </w:r>
          </w:p>
        </w:tc>
        <w:tc>
          <w:tcPr>
            <w:tcW w:w="3006" w:type="dxa"/>
          </w:tcPr>
          <w:p w14:paraId="1037BDC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w:t>
            </w:r>
          </w:p>
        </w:tc>
      </w:tr>
      <w:tr w:rsidR="00B54D51" w:rsidRPr="00037AD4" w14:paraId="1E5DB7B2" w14:textId="77777777" w:rsidTr="00401C67">
        <w:tc>
          <w:tcPr>
            <w:tcW w:w="3005" w:type="dxa"/>
          </w:tcPr>
          <w:p w14:paraId="2FAF815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Model fit statistics </w:t>
            </w:r>
          </w:p>
        </w:tc>
        <w:tc>
          <w:tcPr>
            <w:tcW w:w="3005" w:type="dxa"/>
          </w:tcPr>
          <w:p w14:paraId="7B01C47D" w14:textId="77777777" w:rsidR="00B54D51" w:rsidRPr="00037AD4" w:rsidRDefault="00B54D51" w:rsidP="00401C67">
            <w:pPr>
              <w:pStyle w:val="ListParagraph"/>
              <w:ind w:left="0"/>
              <w:rPr>
                <w:rFonts w:cstheme="minorHAnsi"/>
                <w:sz w:val="22"/>
                <w:szCs w:val="22"/>
              </w:rPr>
            </w:pPr>
            <w:r w:rsidRPr="00037AD4">
              <w:rPr>
                <w:rFonts w:cstheme="minorHAnsi"/>
                <w:sz w:val="22"/>
                <w:szCs w:val="22"/>
              </w:rPr>
              <w:t>AIC: 1820.145; BIC: 1879.216</w:t>
            </w:r>
          </w:p>
          <w:p w14:paraId="0DDBE01B" w14:textId="77777777" w:rsidR="00B54D51" w:rsidRPr="00037AD4" w:rsidRDefault="00B54D51" w:rsidP="00401C67">
            <w:pPr>
              <w:pStyle w:val="ListParagraph"/>
              <w:ind w:left="0"/>
              <w:rPr>
                <w:rFonts w:cstheme="minorHAnsi"/>
                <w:sz w:val="22"/>
                <w:szCs w:val="22"/>
              </w:rPr>
            </w:pPr>
            <w:r w:rsidRPr="00037AD4">
              <w:rPr>
                <w:rFonts w:cstheme="minorHAnsi"/>
                <w:sz w:val="22"/>
                <w:szCs w:val="22"/>
              </w:rPr>
              <w:t>Ll(model): -898.072</w:t>
            </w:r>
          </w:p>
        </w:tc>
        <w:tc>
          <w:tcPr>
            <w:tcW w:w="3006" w:type="dxa"/>
          </w:tcPr>
          <w:p w14:paraId="4731267A" w14:textId="77777777" w:rsidR="00B54D51" w:rsidRPr="00037AD4" w:rsidRDefault="00B54D51" w:rsidP="00401C67">
            <w:pPr>
              <w:pStyle w:val="ListParagraph"/>
              <w:ind w:left="0"/>
              <w:rPr>
                <w:rFonts w:cstheme="minorHAnsi"/>
                <w:sz w:val="22"/>
                <w:szCs w:val="22"/>
              </w:rPr>
            </w:pPr>
            <w:r w:rsidRPr="00037AD4">
              <w:rPr>
                <w:rFonts w:cstheme="minorHAnsi"/>
                <w:sz w:val="22"/>
                <w:szCs w:val="22"/>
              </w:rPr>
              <w:t>AIC: 2260.686; BIC: 2312.023</w:t>
            </w:r>
          </w:p>
          <w:p w14:paraId="439DF8C7" w14:textId="77777777" w:rsidR="00B54D51" w:rsidRPr="00037AD4" w:rsidRDefault="00B54D51" w:rsidP="00401C67">
            <w:pPr>
              <w:pStyle w:val="ListParagraph"/>
              <w:ind w:left="0"/>
              <w:rPr>
                <w:rFonts w:cstheme="minorHAnsi"/>
                <w:sz w:val="22"/>
                <w:szCs w:val="22"/>
              </w:rPr>
            </w:pPr>
            <w:r w:rsidRPr="00037AD4">
              <w:rPr>
                <w:rFonts w:cstheme="minorHAnsi"/>
                <w:sz w:val="22"/>
                <w:szCs w:val="22"/>
              </w:rPr>
              <w:t>Ll(model): -1119.343</w:t>
            </w:r>
          </w:p>
        </w:tc>
      </w:tr>
    </w:tbl>
    <w:p w14:paraId="0C5CF37F" w14:textId="77777777" w:rsidR="00B54D51" w:rsidRPr="00037AD4" w:rsidRDefault="00B54D51" w:rsidP="001D7ACE">
      <w:pPr>
        <w:rPr>
          <w:rFonts w:asciiTheme="minorHAnsi" w:hAnsiTheme="minorHAnsi" w:cstheme="minorHAnsi"/>
          <w:color w:val="FF0000"/>
          <w:u w:val="single"/>
        </w:rPr>
      </w:pPr>
    </w:p>
    <w:p w14:paraId="64F5FBB8" w14:textId="77777777" w:rsidR="00B54D51" w:rsidRPr="00037AD4" w:rsidRDefault="00B54D51" w:rsidP="001D7ACE">
      <w:pPr>
        <w:rPr>
          <w:rFonts w:asciiTheme="minorHAnsi" w:hAnsiTheme="minorHAnsi" w:cstheme="minorHAnsi"/>
          <w:color w:val="FF0000"/>
          <w:u w:val="single"/>
        </w:rPr>
      </w:pPr>
    </w:p>
    <w:p w14:paraId="4BC69E9B" w14:textId="77777777" w:rsidR="00B54D51" w:rsidRPr="00037AD4" w:rsidRDefault="00B54D51" w:rsidP="001D7ACE">
      <w:pPr>
        <w:rPr>
          <w:rFonts w:asciiTheme="minorHAnsi" w:hAnsiTheme="minorHAnsi" w:cstheme="minorHAnsi"/>
          <w:color w:val="FF0000"/>
          <w:u w:val="single"/>
        </w:rPr>
      </w:pPr>
    </w:p>
    <w:p w14:paraId="1DBF7534" w14:textId="77777777" w:rsidR="00B54D51" w:rsidRPr="00037AD4" w:rsidRDefault="00B54D51" w:rsidP="001D7ACE">
      <w:pPr>
        <w:rPr>
          <w:rFonts w:asciiTheme="minorHAnsi" w:hAnsiTheme="minorHAnsi" w:cstheme="minorHAnsi"/>
          <w:color w:val="FF0000"/>
          <w:u w:val="single"/>
        </w:rPr>
      </w:pPr>
    </w:p>
    <w:p w14:paraId="55001E03" w14:textId="77777777" w:rsidR="00B54D51" w:rsidRPr="00037AD4" w:rsidRDefault="00B54D51" w:rsidP="001D7ACE">
      <w:pPr>
        <w:rPr>
          <w:color w:val="FF0000"/>
          <w:u w:val="single"/>
        </w:rPr>
      </w:pPr>
    </w:p>
    <w:p w14:paraId="008C35EE" w14:textId="77777777" w:rsidR="00B54D51" w:rsidRPr="00037AD4" w:rsidRDefault="00B54D51" w:rsidP="001D7ACE">
      <w:pPr>
        <w:rPr>
          <w:color w:val="FF0000"/>
          <w:u w:val="single"/>
        </w:rPr>
      </w:pPr>
    </w:p>
    <w:p w14:paraId="1DFDA0F6" w14:textId="77777777" w:rsidR="00B54D51" w:rsidRPr="00037AD4" w:rsidRDefault="00B54D51" w:rsidP="001D7ACE">
      <w:pPr>
        <w:rPr>
          <w:color w:val="FF0000"/>
          <w:u w:val="single"/>
        </w:rPr>
      </w:pPr>
    </w:p>
    <w:p w14:paraId="2614CB5F" w14:textId="77777777" w:rsidR="00B54D51" w:rsidRPr="00037AD4" w:rsidRDefault="00B54D51" w:rsidP="001D7ACE">
      <w:pPr>
        <w:rPr>
          <w:color w:val="FF0000"/>
          <w:u w:val="single"/>
        </w:rPr>
      </w:pPr>
    </w:p>
    <w:p w14:paraId="06CABDDD" w14:textId="77777777" w:rsidR="00B54D51" w:rsidRPr="00037AD4" w:rsidRDefault="00B54D51" w:rsidP="001D7ACE">
      <w:pPr>
        <w:rPr>
          <w:color w:val="FF0000"/>
          <w:u w:val="single"/>
        </w:rPr>
      </w:pPr>
    </w:p>
    <w:p w14:paraId="2AE287EA" w14:textId="77777777" w:rsidR="00B54D51" w:rsidRPr="00037AD4" w:rsidRDefault="00B54D51" w:rsidP="001D7ACE">
      <w:pPr>
        <w:rPr>
          <w:color w:val="FF0000"/>
          <w:u w:val="single"/>
        </w:rPr>
      </w:pPr>
    </w:p>
    <w:p w14:paraId="4F84D5D0" w14:textId="77777777" w:rsidR="00B54D51" w:rsidRPr="00037AD4" w:rsidRDefault="00B54D51" w:rsidP="001D7ACE">
      <w:pPr>
        <w:rPr>
          <w:color w:val="FF0000"/>
          <w:u w:val="single"/>
        </w:rPr>
      </w:pPr>
    </w:p>
    <w:p w14:paraId="360B7ECB" w14:textId="77777777" w:rsidR="00B54D51" w:rsidRPr="00037AD4" w:rsidRDefault="00B54D51" w:rsidP="001D7ACE">
      <w:pPr>
        <w:rPr>
          <w:color w:val="FF0000"/>
          <w:u w:val="single"/>
        </w:rPr>
      </w:pPr>
    </w:p>
    <w:p w14:paraId="720BF507" w14:textId="77777777" w:rsidR="00B54D51" w:rsidRPr="00037AD4" w:rsidRDefault="00B54D51" w:rsidP="001D7ACE">
      <w:pPr>
        <w:rPr>
          <w:color w:val="FF0000"/>
          <w:u w:val="single"/>
        </w:rPr>
      </w:pPr>
    </w:p>
    <w:p w14:paraId="4FC41217" w14:textId="77777777" w:rsidR="00B54D51" w:rsidRPr="00037AD4" w:rsidRDefault="00B54D51" w:rsidP="001D7ACE">
      <w:pPr>
        <w:rPr>
          <w:color w:val="FF0000"/>
          <w:u w:val="single"/>
        </w:rPr>
      </w:pPr>
    </w:p>
    <w:p w14:paraId="2FF6E2A2" w14:textId="77777777" w:rsidR="00B54D51" w:rsidRPr="00037AD4" w:rsidRDefault="00B54D51" w:rsidP="001D7ACE">
      <w:pPr>
        <w:rPr>
          <w:color w:val="FF0000"/>
          <w:u w:val="single"/>
        </w:rPr>
      </w:pPr>
    </w:p>
    <w:p w14:paraId="2D61385F" w14:textId="77777777" w:rsidR="00B54D51" w:rsidRPr="00037AD4" w:rsidRDefault="00B54D51" w:rsidP="001D7ACE">
      <w:pPr>
        <w:rPr>
          <w:color w:val="FF0000"/>
          <w:u w:val="single"/>
        </w:rPr>
      </w:pPr>
    </w:p>
    <w:p w14:paraId="05BC4DFC" w14:textId="77777777" w:rsidR="00B54D51" w:rsidRPr="00037AD4" w:rsidRDefault="00B54D51" w:rsidP="001D7ACE">
      <w:pPr>
        <w:rPr>
          <w:color w:val="FF0000"/>
          <w:u w:val="single"/>
        </w:rPr>
      </w:pPr>
    </w:p>
    <w:p w14:paraId="24087C3D" w14:textId="77777777" w:rsidR="00B54D51" w:rsidRPr="00037AD4" w:rsidRDefault="00B54D51" w:rsidP="001D7ACE">
      <w:pPr>
        <w:rPr>
          <w:color w:val="FF0000"/>
          <w:u w:val="single"/>
        </w:rPr>
      </w:pPr>
    </w:p>
    <w:p w14:paraId="7492F2C5" w14:textId="77777777" w:rsidR="00B54D51" w:rsidRPr="00037AD4" w:rsidRDefault="00B54D51" w:rsidP="001D7ACE">
      <w:pPr>
        <w:rPr>
          <w:color w:val="FF0000"/>
          <w:u w:val="single"/>
        </w:rPr>
      </w:pPr>
    </w:p>
    <w:p w14:paraId="44785BC3" w14:textId="77777777" w:rsidR="00B54D51" w:rsidRPr="00037AD4" w:rsidRDefault="00B54D51" w:rsidP="001D7ACE">
      <w:pPr>
        <w:rPr>
          <w:color w:val="FF0000"/>
          <w:u w:val="single"/>
        </w:rPr>
      </w:pPr>
    </w:p>
    <w:p w14:paraId="58652CC4" w14:textId="77777777" w:rsidR="00B54D51" w:rsidRPr="00037AD4" w:rsidRDefault="00B54D51" w:rsidP="001D7ACE">
      <w:pPr>
        <w:rPr>
          <w:color w:val="FF0000"/>
          <w:u w:val="single"/>
        </w:rPr>
      </w:pPr>
    </w:p>
    <w:p w14:paraId="3C734EBE" w14:textId="77777777" w:rsidR="00B54D51" w:rsidRPr="00037AD4" w:rsidRDefault="00B54D51" w:rsidP="001D7ACE">
      <w:pPr>
        <w:rPr>
          <w:color w:val="FF0000"/>
          <w:u w:val="single"/>
        </w:rPr>
      </w:pPr>
    </w:p>
    <w:p w14:paraId="2EA0AC4F" w14:textId="77777777" w:rsidR="00B54D51" w:rsidRPr="00037AD4" w:rsidRDefault="00B54D51" w:rsidP="001D7ACE">
      <w:pPr>
        <w:rPr>
          <w:color w:val="FF0000"/>
          <w:u w:val="single"/>
        </w:rPr>
      </w:pPr>
    </w:p>
    <w:p w14:paraId="64FF3202" w14:textId="77777777" w:rsidR="00B54D51" w:rsidRPr="00037AD4" w:rsidRDefault="00B54D51" w:rsidP="001D7ACE">
      <w:pPr>
        <w:rPr>
          <w:color w:val="FF0000"/>
          <w:u w:val="single"/>
        </w:rPr>
      </w:pPr>
    </w:p>
    <w:p w14:paraId="2D2E525E" w14:textId="77777777" w:rsidR="00B54D51" w:rsidRPr="00037AD4" w:rsidRDefault="00B54D51" w:rsidP="001D7ACE">
      <w:pPr>
        <w:rPr>
          <w:color w:val="FF0000"/>
          <w:u w:val="single"/>
        </w:rPr>
      </w:pPr>
    </w:p>
    <w:p w14:paraId="651A993E" w14:textId="77777777" w:rsidR="00B54D51" w:rsidRPr="00037AD4" w:rsidRDefault="00B54D51" w:rsidP="001D7ACE">
      <w:pPr>
        <w:rPr>
          <w:color w:val="FF0000"/>
          <w:u w:val="single"/>
        </w:rPr>
      </w:pPr>
    </w:p>
    <w:p w14:paraId="4875C919" w14:textId="77777777" w:rsidR="00B54D51" w:rsidRPr="00037AD4" w:rsidRDefault="00B54D51" w:rsidP="001D7ACE">
      <w:pPr>
        <w:rPr>
          <w:color w:val="FF0000"/>
          <w:u w:val="single"/>
        </w:rPr>
      </w:pPr>
    </w:p>
    <w:p w14:paraId="69B09B4C" w14:textId="77777777" w:rsidR="00B54D51" w:rsidRPr="00037AD4" w:rsidRDefault="00B54D51" w:rsidP="001D7ACE">
      <w:pPr>
        <w:rPr>
          <w:color w:val="FF0000"/>
          <w:u w:val="single"/>
        </w:rPr>
      </w:pPr>
    </w:p>
    <w:p w14:paraId="37429CEF" w14:textId="77777777" w:rsidR="00B54D51" w:rsidRPr="00037AD4" w:rsidRDefault="00B54D51" w:rsidP="001D7ACE">
      <w:pPr>
        <w:rPr>
          <w:color w:val="FF0000"/>
          <w:u w:val="single"/>
        </w:rPr>
      </w:pPr>
    </w:p>
    <w:p w14:paraId="118B4D00" w14:textId="77777777" w:rsidR="00B54D51" w:rsidRPr="00037AD4" w:rsidRDefault="00B54D51" w:rsidP="001D7ACE">
      <w:pPr>
        <w:rPr>
          <w:color w:val="FF0000"/>
          <w:u w:val="single"/>
        </w:rPr>
      </w:pPr>
    </w:p>
    <w:p w14:paraId="2815BA1D" w14:textId="77777777" w:rsidR="00B54D51" w:rsidRPr="00037AD4" w:rsidRDefault="00B54D51" w:rsidP="001D7ACE">
      <w:pPr>
        <w:rPr>
          <w:color w:val="FF0000"/>
          <w:u w:val="single"/>
        </w:rPr>
      </w:pPr>
    </w:p>
    <w:p w14:paraId="6491BE74" w14:textId="77777777" w:rsidR="00B54D51" w:rsidRPr="00037AD4" w:rsidRDefault="00B54D51" w:rsidP="001D7ACE">
      <w:pPr>
        <w:rPr>
          <w:color w:val="FF0000"/>
          <w:u w:val="single"/>
        </w:rPr>
      </w:pPr>
    </w:p>
    <w:p w14:paraId="464452C3" w14:textId="77777777" w:rsidR="00B54D51" w:rsidRPr="00037AD4" w:rsidRDefault="00B54D51" w:rsidP="001D7ACE">
      <w:pPr>
        <w:rPr>
          <w:color w:val="FF0000"/>
          <w:u w:val="single"/>
        </w:rPr>
      </w:pPr>
    </w:p>
    <w:p w14:paraId="4627EEE3" w14:textId="77777777" w:rsidR="00B54D51" w:rsidRPr="00037AD4" w:rsidRDefault="00B54D51" w:rsidP="001D7ACE">
      <w:pPr>
        <w:rPr>
          <w:color w:val="FF0000"/>
          <w:u w:val="single"/>
        </w:rPr>
      </w:pPr>
    </w:p>
    <w:p w14:paraId="05045176" w14:textId="77777777" w:rsidR="00B54D51" w:rsidRPr="00037AD4" w:rsidRDefault="00B54D51" w:rsidP="001D7ACE">
      <w:pPr>
        <w:rPr>
          <w:rFonts w:asciiTheme="minorHAnsi" w:hAnsiTheme="minorHAnsi" w:cstheme="minorHAnsi"/>
          <w:color w:val="FF0000"/>
          <w:u w:val="single"/>
        </w:rPr>
      </w:pPr>
    </w:p>
    <w:p w14:paraId="11B5CAED" w14:textId="77777777" w:rsidR="00B54D51" w:rsidRPr="00037AD4" w:rsidRDefault="00B54D51" w:rsidP="001D7ACE">
      <w:pPr>
        <w:rPr>
          <w:rFonts w:asciiTheme="minorHAnsi" w:hAnsiTheme="minorHAnsi" w:cstheme="minorHAnsi"/>
          <w:color w:val="000000" w:themeColor="text1"/>
          <w:u w:val="single"/>
        </w:rPr>
      </w:pPr>
      <w:bookmarkStart w:id="536" w:name="A62UA"/>
      <w:r w:rsidRPr="00037AD4">
        <w:rPr>
          <w:rFonts w:asciiTheme="minorHAnsi" w:hAnsiTheme="minorHAnsi" w:cstheme="minorHAnsi"/>
          <w:color w:val="000000" w:themeColor="text1"/>
          <w:u w:val="single"/>
        </w:rPr>
        <w:lastRenderedPageBreak/>
        <w:t xml:space="preserve">Table A6.2g, “Usual activities” dimension model iterations: ACTIFCARE </w:t>
      </w:r>
    </w:p>
    <w:bookmarkEnd w:id="536"/>
    <w:p w14:paraId="06369C46" w14:textId="77777777" w:rsidR="00B54D51" w:rsidRPr="00037AD4" w:rsidRDefault="00B54D51" w:rsidP="001D7ACE">
      <w:pPr>
        <w:rPr>
          <w:color w:val="FF0000"/>
          <w:u w:val="single"/>
        </w:rPr>
      </w:pPr>
    </w:p>
    <w:tbl>
      <w:tblPr>
        <w:tblW w:w="5685" w:type="pct"/>
        <w:jc w:val="center"/>
        <w:tblCellMar>
          <w:left w:w="75" w:type="dxa"/>
          <w:right w:w="75" w:type="dxa"/>
        </w:tblCellMar>
        <w:tblLook w:val="0000" w:firstRow="0" w:lastRow="0" w:firstColumn="0" w:lastColumn="0" w:noHBand="0" w:noVBand="0"/>
      </w:tblPr>
      <w:tblGrid>
        <w:gridCol w:w="2903"/>
        <w:gridCol w:w="1050"/>
        <w:gridCol w:w="1051"/>
        <w:gridCol w:w="1051"/>
        <w:gridCol w:w="1051"/>
        <w:gridCol w:w="1053"/>
        <w:gridCol w:w="1053"/>
        <w:gridCol w:w="1051"/>
      </w:tblGrid>
      <w:tr w:rsidR="00B54D51" w:rsidRPr="00037AD4" w14:paraId="72EB5DA0" w14:textId="77777777" w:rsidTr="00401C67">
        <w:trPr>
          <w:jc w:val="center"/>
        </w:trPr>
        <w:tc>
          <w:tcPr>
            <w:tcW w:w="1414" w:type="pct"/>
            <w:tcBorders>
              <w:top w:val="single" w:sz="6" w:space="0" w:color="auto"/>
              <w:left w:val="nil"/>
              <w:bottom w:val="nil"/>
              <w:right w:val="nil"/>
            </w:tcBorders>
          </w:tcPr>
          <w:p w14:paraId="7815E96A" w14:textId="77777777" w:rsidR="00B54D51" w:rsidRPr="00037AD4" w:rsidRDefault="00B54D51" w:rsidP="00401C67">
            <w:pPr>
              <w:widowControl w:val="0"/>
              <w:autoSpaceDE w:val="0"/>
              <w:autoSpaceDN w:val="0"/>
              <w:adjustRightInd w:val="0"/>
            </w:pPr>
          </w:p>
        </w:tc>
        <w:tc>
          <w:tcPr>
            <w:tcW w:w="512" w:type="pct"/>
            <w:tcBorders>
              <w:top w:val="single" w:sz="6" w:space="0" w:color="auto"/>
              <w:left w:val="nil"/>
              <w:bottom w:val="nil"/>
              <w:right w:val="nil"/>
            </w:tcBorders>
          </w:tcPr>
          <w:p w14:paraId="7BA88C5A" w14:textId="77777777" w:rsidR="00B54D51" w:rsidRPr="00037AD4" w:rsidRDefault="00B54D51" w:rsidP="00401C67">
            <w:pPr>
              <w:widowControl w:val="0"/>
              <w:autoSpaceDE w:val="0"/>
              <w:autoSpaceDN w:val="0"/>
              <w:adjustRightInd w:val="0"/>
              <w:jc w:val="center"/>
            </w:pPr>
            <w:r w:rsidRPr="00037AD4">
              <w:t>(1)</w:t>
            </w:r>
          </w:p>
        </w:tc>
        <w:tc>
          <w:tcPr>
            <w:tcW w:w="512" w:type="pct"/>
            <w:tcBorders>
              <w:top w:val="single" w:sz="6" w:space="0" w:color="auto"/>
              <w:left w:val="nil"/>
              <w:bottom w:val="nil"/>
              <w:right w:val="nil"/>
            </w:tcBorders>
          </w:tcPr>
          <w:p w14:paraId="0C1D5AD9" w14:textId="77777777" w:rsidR="00B54D51" w:rsidRPr="00037AD4" w:rsidRDefault="00B54D51" w:rsidP="00401C67">
            <w:pPr>
              <w:widowControl w:val="0"/>
              <w:autoSpaceDE w:val="0"/>
              <w:autoSpaceDN w:val="0"/>
              <w:adjustRightInd w:val="0"/>
              <w:jc w:val="center"/>
            </w:pPr>
            <w:r w:rsidRPr="00037AD4">
              <w:t>(2)</w:t>
            </w:r>
          </w:p>
        </w:tc>
        <w:tc>
          <w:tcPr>
            <w:tcW w:w="512" w:type="pct"/>
            <w:tcBorders>
              <w:top w:val="single" w:sz="6" w:space="0" w:color="auto"/>
              <w:left w:val="nil"/>
              <w:bottom w:val="nil"/>
              <w:right w:val="nil"/>
            </w:tcBorders>
          </w:tcPr>
          <w:p w14:paraId="5D32FDF0" w14:textId="77777777" w:rsidR="00B54D51" w:rsidRPr="00037AD4" w:rsidRDefault="00B54D51" w:rsidP="00401C67">
            <w:pPr>
              <w:widowControl w:val="0"/>
              <w:autoSpaceDE w:val="0"/>
              <w:autoSpaceDN w:val="0"/>
              <w:adjustRightInd w:val="0"/>
              <w:jc w:val="center"/>
            </w:pPr>
            <w:r w:rsidRPr="00037AD4">
              <w:t>(3)</w:t>
            </w:r>
          </w:p>
        </w:tc>
        <w:tc>
          <w:tcPr>
            <w:tcW w:w="512" w:type="pct"/>
            <w:tcBorders>
              <w:top w:val="single" w:sz="6" w:space="0" w:color="auto"/>
              <w:left w:val="nil"/>
              <w:bottom w:val="nil"/>
              <w:right w:val="nil"/>
            </w:tcBorders>
          </w:tcPr>
          <w:p w14:paraId="0844C87E" w14:textId="77777777" w:rsidR="00B54D51" w:rsidRPr="00037AD4" w:rsidRDefault="00B54D51" w:rsidP="00401C67">
            <w:pPr>
              <w:widowControl w:val="0"/>
              <w:autoSpaceDE w:val="0"/>
              <w:autoSpaceDN w:val="0"/>
              <w:adjustRightInd w:val="0"/>
              <w:jc w:val="center"/>
            </w:pPr>
            <w:r w:rsidRPr="00037AD4">
              <w:t>(4)</w:t>
            </w:r>
          </w:p>
        </w:tc>
        <w:tc>
          <w:tcPr>
            <w:tcW w:w="513" w:type="pct"/>
            <w:tcBorders>
              <w:top w:val="single" w:sz="6" w:space="0" w:color="auto"/>
              <w:left w:val="nil"/>
              <w:bottom w:val="nil"/>
              <w:right w:val="nil"/>
            </w:tcBorders>
          </w:tcPr>
          <w:p w14:paraId="51CC3741" w14:textId="77777777" w:rsidR="00B54D51" w:rsidRPr="00037AD4" w:rsidRDefault="00B54D51" w:rsidP="00401C67">
            <w:pPr>
              <w:widowControl w:val="0"/>
              <w:autoSpaceDE w:val="0"/>
              <w:autoSpaceDN w:val="0"/>
              <w:adjustRightInd w:val="0"/>
              <w:jc w:val="center"/>
            </w:pPr>
            <w:r w:rsidRPr="00037AD4">
              <w:t>(5)</w:t>
            </w:r>
          </w:p>
        </w:tc>
        <w:tc>
          <w:tcPr>
            <w:tcW w:w="513" w:type="pct"/>
            <w:tcBorders>
              <w:top w:val="single" w:sz="6" w:space="0" w:color="auto"/>
              <w:left w:val="nil"/>
              <w:bottom w:val="nil"/>
              <w:right w:val="nil"/>
            </w:tcBorders>
          </w:tcPr>
          <w:p w14:paraId="22709C45" w14:textId="77777777" w:rsidR="00B54D51" w:rsidRPr="00037AD4" w:rsidRDefault="00B54D51" w:rsidP="00401C67">
            <w:pPr>
              <w:widowControl w:val="0"/>
              <w:autoSpaceDE w:val="0"/>
              <w:autoSpaceDN w:val="0"/>
              <w:adjustRightInd w:val="0"/>
              <w:jc w:val="center"/>
            </w:pPr>
            <w:r w:rsidRPr="00037AD4">
              <w:t>(6)</w:t>
            </w:r>
          </w:p>
        </w:tc>
        <w:tc>
          <w:tcPr>
            <w:tcW w:w="512" w:type="pct"/>
            <w:tcBorders>
              <w:top w:val="single" w:sz="6" w:space="0" w:color="auto"/>
              <w:left w:val="nil"/>
              <w:bottom w:val="nil"/>
              <w:right w:val="nil"/>
            </w:tcBorders>
          </w:tcPr>
          <w:p w14:paraId="5527CCDF" w14:textId="77777777" w:rsidR="00B54D51" w:rsidRPr="00037AD4" w:rsidRDefault="00B54D51" w:rsidP="00401C67">
            <w:pPr>
              <w:widowControl w:val="0"/>
              <w:autoSpaceDE w:val="0"/>
              <w:autoSpaceDN w:val="0"/>
              <w:adjustRightInd w:val="0"/>
              <w:jc w:val="center"/>
            </w:pPr>
            <w:r w:rsidRPr="00037AD4">
              <w:t>(7)</w:t>
            </w:r>
          </w:p>
        </w:tc>
      </w:tr>
      <w:tr w:rsidR="00B54D51" w:rsidRPr="00037AD4" w14:paraId="327D8B2D" w14:textId="77777777" w:rsidTr="00401C67">
        <w:trPr>
          <w:jc w:val="center"/>
        </w:trPr>
        <w:tc>
          <w:tcPr>
            <w:tcW w:w="1414" w:type="pct"/>
            <w:tcBorders>
              <w:top w:val="nil"/>
              <w:left w:val="nil"/>
              <w:bottom w:val="single" w:sz="6" w:space="0" w:color="auto"/>
              <w:right w:val="nil"/>
            </w:tcBorders>
          </w:tcPr>
          <w:p w14:paraId="4A73C26E" w14:textId="77777777" w:rsidR="00B54D51" w:rsidRPr="00037AD4" w:rsidRDefault="00B54D51" w:rsidP="00401C67">
            <w:pPr>
              <w:widowControl w:val="0"/>
              <w:autoSpaceDE w:val="0"/>
              <w:autoSpaceDN w:val="0"/>
              <w:adjustRightInd w:val="0"/>
            </w:pPr>
            <w:r w:rsidRPr="00037AD4">
              <w:t>VARIABLES</w:t>
            </w:r>
          </w:p>
        </w:tc>
        <w:tc>
          <w:tcPr>
            <w:tcW w:w="512" w:type="pct"/>
            <w:tcBorders>
              <w:top w:val="nil"/>
              <w:left w:val="nil"/>
              <w:bottom w:val="single" w:sz="6" w:space="0" w:color="auto"/>
              <w:right w:val="nil"/>
            </w:tcBorders>
          </w:tcPr>
          <w:p w14:paraId="55F6C0D0" w14:textId="77777777" w:rsidR="00B54D51" w:rsidRPr="00037AD4" w:rsidRDefault="00B54D51" w:rsidP="00401C67">
            <w:pPr>
              <w:widowControl w:val="0"/>
              <w:autoSpaceDE w:val="0"/>
              <w:autoSpaceDN w:val="0"/>
              <w:adjustRightInd w:val="0"/>
              <w:jc w:val="center"/>
            </w:pPr>
            <w:r w:rsidRPr="00037AD4">
              <w:t>Model 1</w:t>
            </w:r>
          </w:p>
        </w:tc>
        <w:tc>
          <w:tcPr>
            <w:tcW w:w="512" w:type="pct"/>
            <w:tcBorders>
              <w:top w:val="nil"/>
              <w:left w:val="nil"/>
              <w:bottom w:val="single" w:sz="6" w:space="0" w:color="auto"/>
              <w:right w:val="nil"/>
            </w:tcBorders>
          </w:tcPr>
          <w:p w14:paraId="764FD702" w14:textId="77777777" w:rsidR="00B54D51" w:rsidRPr="00037AD4" w:rsidRDefault="00B54D51" w:rsidP="00401C67">
            <w:pPr>
              <w:widowControl w:val="0"/>
              <w:autoSpaceDE w:val="0"/>
              <w:autoSpaceDN w:val="0"/>
              <w:adjustRightInd w:val="0"/>
              <w:jc w:val="center"/>
            </w:pPr>
            <w:r w:rsidRPr="00037AD4">
              <w:t>Model 2</w:t>
            </w:r>
          </w:p>
        </w:tc>
        <w:tc>
          <w:tcPr>
            <w:tcW w:w="512" w:type="pct"/>
            <w:tcBorders>
              <w:top w:val="nil"/>
              <w:left w:val="nil"/>
              <w:bottom w:val="single" w:sz="6" w:space="0" w:color="auto"/>
              <w:right w:val="nil"/>
            </w:tcBorders>
          </w:tcPr>
          <w:p w14:paraId="6FF853B2" w14:textId="77777777" w:rsidR="00B54D51" w:rsidRPr="00037AD4" w:rsidRDefault="00B54D51" w:rsidP="00401C67">
            <w:pPr>
              <w:widowControl w:val="0"/>
              <w:autoSpaceDE w:val="0"/>
              <w:autoSpaceDN w:val="0"/>
              <w:adjustRightInd w:val="0"/>
              <w:jc w:val="center"/>
            </w:pPr>
            <w:r w:rsidRPr="00037AD4">
              <w:t>Model 3</w:t>
            </w:r>
          </w:p>
        </w:tc>
        <w:tc>
          <w:tcPr>
            <w:tcW w:w="512" w:type="pct"/>
            <w:tcBorders>
              <w:top w:val="nil"/>
              <w:left w:val="nil"/>
              <w:bottom w:val="single" w:sz="6" w:space="0" w:color="auto"/>
              <w:right w:val="nil"/>
            </w:tcBorders>
          </w:tcPr>
          <w:p w14:paraId="24AFCA21" w14:textId="77777777" w:rsidR="00B54D51" w:rsidRPr="00037AD4" w:rsidRDefault="00B54D51" w:rsidP="00401C67">
            <w:pPr>
              <w:widowControl w:val="0"/>
              <w:autoSpaceDE w:val="0"/>
              <w:autoSpaceDN w:val="0"/>
              <w:adjustRightInd w:val="0"/>
              <w:jc w:val="center"/>
            </w:pPr>
            <w:r w:rsidRPr="00037AD4">
              <w:t>Model 4</w:t>
            </w:r>
          </w:p>
        </w:tc>
        <w:tc>
          <w:tcPr>
            <w:tcW w:w="513" w:type="pct"/>
            <w:tcBorders>
              <w:top w:val="nil"/>
              <w:left w:val="nil"/>
              <w:bottom w:val="single" w:sz="6" w:space="0" w:color="auto"/>
              <w:right w:val="nil"/>
            </w:tcBorders>
          </w:tcPr>
          <w:p w14:paraId="06EA0E36" w14:textId="77777777" w:rsidR="00B54D51" w:rsidRPr="00037AD4" w:rsidRDefault="00B54D51" w:rsidP="00401C67">
            <w:pPr>
              <w:widowControl w:val="0"/>
              <w:autoSpaceDE w:val="0"/>
              <w:autoSpaceDN w:val="0"/>
              <w:adjustRightInd w:val="0"/>
              <w:jc w:val="center"/>
            </w:pPr>
            <w:r w:rsidRPr="00037AD4">
              <w:t>Model 5</w:t>
            </w:r>
          </w:p>
        </w:tc>
        <w:tc>
          <w:tcPr>
            <w:tcW w:w="513" w:type="pct"/>
            <w:tcBorders>
              <w:top w:val="nil"/>
              <w:left w:val="nil"/>
              <w:bottom w:val="single" w:sz="6" w:space="0" w:color="auto"/>
              <w:right w:val="nil"/>
            </w:tcBorders>
          </w:tcPr>
          <w:p w14:paraId="5C2FE643" w14:textId="77777777" w:rsidR="00B54D51" w:rsidRPr="00037AD4" w:rsidRDefault="00B54D51" w:rsidP="00401C67">
            <w:pPr>
              <w:widowControl w:val="0"/>
              <w:autoSpaceDE w:val="0"/>
              <w:autoSpaceDN w:val="0"/>
              <w:adjustRightInd w:val="0"/>
              <w:jc w:val="center"/>
            </w:pPr>
            <w:r w:rsidRPr="00037AD4">
              <w:t xml:space="preserve">Model 6 </w:t>
            </w:r>
          </w:p>
        </w:tc>
        <w:tc>
          <w:tcPr>
            <w:tcW w:w="512" w:type="pct"/>
            <w:tcBorders>
              <w:top w:val="nil"/>
              <w:left w:val="nil"/>
              <w:bottom w:val="single" w:sz="6" w:space="0" w:color="auto"/>
              <w:right w:val="nil"/>
            </w:tcBorders>
          </w:tcPr>
          <w:p w14:paraId="34A17E78" w14:textId="77777777" w:rsidR="00B54D51" w:rsidRPr="00037AD4" w:rsidRDefault="00B54D51" w:rsidP="00401C67">
            <w:pPr>
              <w:widowControl w:val="0"/>
              <w:autoSpaceDE w:val="0"/>
              <w:autoSpaceDN w:val="0"/>
              <w:adjustRightInd w:val="0"/>
              <w:jc w:val="center"/>
            </w:pPr>
            <w:r w:rsidRPr="00037AD4">
              <w:t xml:space="preserve">Model 7 </w:t>
            </w:r>
          </w:p>
        </w:tc>
      </w:tr>
      <w:tr w:rsidR="00B54D51" w:rsidRPr="00037AD4" w14:paraId="09B37D74" w14:textId="77777777" w:rsidTr="00401C67">
        <w:trPr>
          <w:jc w:val="center"/>
        </w:trPr>
        <w:tc>
          <w:tcPr>
            <w:tcW w:w="1414" w:type="pct"/>
            <w:tcBorders>
              <w:top w:val="nil"/>
              <w:left w:val="nil"/>
              <w:bottom w:val="nil"/>
              <w:right w:val="nil"/>
            </w:tcBorders>
          </w:tcPr>
          <w:p w14:paraId="1550FF10" w14:textId="77777777" w:rsidR="00B54D51" w:rsidRPr="00037AD4" w:rsidRDefault="00B54D51" w:rsidP="00401C67">
            <w:pPr>
              <w:widowControl w:val="0"/>
              <w:autoSpaceDE w:val="0"/>
              <w:autoSpaceDN w:val="0"/>
              <w:adjustRightInd w:val="0"/>
            </w:pPr>
          </w:p>
        </w:tc>
        <w:tc>
          <w:tcPr>
            <w:tcW w:w="512" w:type="pct"/>
            <w:tcBorders>
              <w:top w:val="nil"/>
              <w:left w:val="nil"/>
              <w:bottom w:val="nil"/>
              <w:right w:val="nil"/>
            </w:tcBorders>
          </w:tcPr>
          <w:p w14:paraId="5F55C7C0"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78DD00C4"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51734E3F"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4F8DA838"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087B4450"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7BF86DFA"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04A00383" w14:textId="77777777" w:rsidR="00B54D51" w:rsidRPr="00037AD4" w:rsidRDefault="00B54D51" w:rsidP="00401C67">
            <w:pPr>
              <w:widowControl w:val="0"/>
              <w:autoSpaceDE w:val="0"/>
              <w:autoSpaceDN w:val="0"/>
              <w:adjustRightInd w:val="0"/>
              <w:jc w:val="center"/>
            </w:pPr>
          </w:p>
        </w:tc>
      </w:tr>
      <w:tr w:rsidR="00B54D51" w:rsidRPr="00037AD4" w14:paraId="5AD6E929" w14:textId="77777777" w:rsidTr="00401C67">
        <w:trPr>
          <w:jc w:val="center"/>
        </w:trPr>
        <w:tc>
          <w:tcPr>
            <w:tcW w:w="1414" w:type="pct"/>
            <w:tcBorders>
              <w:top w:val="nil"/>
              <w:left w:val="nil"/>
              <w:bottom w:val="nil"/>
              <w:right w:val="nil"/>
            </w:tcBorders>
          </w:tcPr>
          <w:p w14:paraId="45E07BD8" w14:textId="77777777" w:rsidR="00B54D51" w:rsidRPr="00037AD4" w:rsidRDefault="00B54D51" w:rsidP="00401C67">
            <w:pPr>
              <w:widowControl w:val="0"/>
              <w:autoSpaceDE w:val="0"/>
              <w:autoSpaceDN w:val="0"/>
              <w:adjustRightInd w:val="0"/>
            </w:pPr>
            <w:r w:rsidRPr="00037AD4">
              <w:t>2.eq3SR_</w:t>
            </w:r>
          </w:p>
        </w:tc>
        <w:tc>
          <w:tcPr>
            <w:tcW w:w="512" w:type="pct"/>
            <w:tcBorders>
              <w:top w:val="nil"/>
              <w:left w:val="nil"/>
              <w:bottom w:val="nil"/>
              <w:right w:val="nil"/>
            </w:tcBorders>
          </w:tcPr>
          <w:p w14:paraId="4FFBE9DB" w14:textId="77777777" w:rsidR="00B54D51" w:rsidRPr="00037AD4" w:rsidRDefault="00B54D51" w:rsidP="00401C67">
            <w:pPr>
              <w:widowControl w:val="0"/>
              <w:autoSpaceDE w:val="0"/>
              <w:autoSpaceDN w:val="0"/>
              <w:adjustRightInd w:val="0"/>
              <w:jc w:val="center"/>
            </w:pPr>
            <w:r w:rsidRPr="00037AD4">
              <w:t>0.232**</w:t>
            </w:r>
          </w:p>
        </w:tc>
        <w:tc>
          <w:tcPr>
            <w:tcW w:w="512" w:type="pct"/>
            <w:tcBorders>
              <w:top w:val="nil"/>
              <w:left w:val="nil"/>
              <w:bottom w:val="nil"/>
              <w:right w:val="nil"/>
            </w:tcBorders>
          </w:tcPr>
          <w:p w14:paraId="0E474EFA" w14:textId="77777777" w:rsidR="00B54D51" w:rsidRPr="00037AD4" w:rsidRDefault="00B54D51" w:rsidP="00401C67">
            <w:pPr>
              <w:widowControl w:val="0"/>
              <w:autoSpaceDE w:val="0"/>
              <w:autoSpaceDN w:val="0"/>
              <w:adjustRightInd w:val="0"/>
              <w:jc w:val="center"/>
            </w:pPr>
            <w:r w:rsidRPr="00037AD4">
              <w:t>0.300***</w:t>
            </w:r>
          </w:p>
        </w:tc>
        <w:tc>
          <w:tcPr>
            <w:tcW w:w="512" w:type="pct"/>
            <w:tcBorders>
              <w:top w:val="nil"/>
              <w:left w:val="nil"/>
              <w:bottom w:val="nil"/>
              <w:right w:val="nil"/>
            </w:tcBorders>
          </w:tcPr>
          <w:p w14:paraId="60AD8D2F" w14:textId="77777777" w:rsidR="00B54D51" w:rsidRPr="00037AD4" w:rsidRDefault="00B54D51" w:rsidP="00401C67">
            <w:pPr>
              <w:widowControl w:val="0"/>
              <w:autoSpaceDE w:val="0"/>
              <w:autoSpaceDN w:val="0"/>
              <w:adjustRightInd w:val="0"/>
              <w:jc w:val="center"/>
            </w:pPr>
            <w:r w:rsidRPr="00037AD4">
              <w:t>0.305***</w:t>
            </w:r>
          </w:p>
        </w:tc>
        <w:tc>
          <w:tcPr>
            <w:tcW w:w="512" w:type="pct"/>
            <w:tcBorders>
              <w:top w:val="nil"/>
              <w:left w:val="nil"/>
              <w:bottom w:val="nil"/>
              <w:right w:val="nil"/>
            </w:tcBorders>
          </w:tcPr>
          <w:p w14:paraId="7D0E1F09" w14:textId="77777777" w:rsidR="00B54D51" w:rsidRPr="00037AD4" w:rsidRDefault="00B54D51" w:rsidP="00401C67">
            <w:pPr>
              <w:widowControl w:val="0"/>
              <w:autoSpaceDE w:val="0"/>
              <w:autoSpaceDN w:val="0"/>
              <w:adjustRightInd w:val="0"/>
              <w:jc w:val="center"/>
            </w:pPr>
            <w:r w:rsidRPr="00037AD4">
              <w:t>0.307***</w:t>
            </w:r>
          </w:p>
        </w:tc>
        <w:tc>
          <w:tcPr>
            <w:tcW w:w="513" w:type="pct"/>
            <w:tcBorders>
              <w:top w:val="nil"/>
              <w:left w:val="nil"/>
              <w:bottom w:val="nil"/>
              <w:right w:val="nil"/>
            </w:tcBorders>
          </w:tcPr>
          <w:p w14:paraId="21C989BE" w14:textId="77777777" w:rsidR="00B54D51" w:rsidRPr="00037AD4" w:rsidRDefault="00B54D51" w:rsidP="00401C67">
            <w:pPr>
              <w:widowControl w:val="0"/>
              <w:autoSpaceDE w:val="0"/>
              <w:autoSpaceDN w:val="0"/>
              <w:adjustRightInd w:val="0"/>
              <w:jc w:val="center"/>
            </w:pPr>
            <w:r w:rsidRPr="00037AD4">
              <w:t>0.277***</w:t>
            </w:r>
          </w:p>
        </w:tc>
        <w:tc>
          <w:tcPr>
            <w:tcW w:w="513" w:type="pct"/>
            <w:tcBorders>
              <w:top w:val="nil"/>
              <w:left w:val="nil"/>
              <w:bottom w:val="nil"/>
              <w:right w:val="nil"/>
            </w:tcBorders>
          </w:tcPr>
          <w:p w14:paraId="4BB60009" w14:textId="77777777" w:rsidR="00B54D51" w:rsidRPr="00037AD4" w:rsidRDefault="00B54D51" w:rsidP="00401C67">
            <w:pPr>
              <w:widowControl w:val="0"/>
              <w:autoSpaceDE w:val="0"/>
              <w:autoSpaceDN w:val="0"/>
              <w:adjustRightInd w:val="0"/>
              <w:jc w:val="center"/>
            </w:pPr>
            <w:r w:rsidRPr="00037AD4">
              <w:t>0.321***</w:t>
            </w:r>
          </w:p>
        </w:tc>
        <w:tc>
          <w:tcPr>
            <w:tcW w:w="512" w:type="pct"/>
            <w:tcBorders>
              <w:top w:val="nil"/>
              <w:left w:val="nil"/>
              <w:bottom w:val="nil"/>
              <w:right w:val="nil"/>
            </w:tcBorders>
          </w:tcPr>
          <w:p w14:paraId="202C3416" w14:textId="77777777" w:rsidR="00B54D51" w:rsidRPr="00037AD4" w:rsidRDefault="00B54D51" w:rsidP="00401C67">
            <w:pPr>
              <w:widowControl w:val="0"/>
              <w:autoSpaceDE w:val="0"/>
              <w:autoSpaceDN w:val="0"/>
              <w:adjustRightInd w:val="0"/>
              <w:jc w:val="center"/>
            </w:pPr>
            <w:r w:rsidRPr="00037AD4">
              <w:t>0.323***</w:t>
            </w:r>
          </w:p>
        </w:tc>
      </w:tr>
      <w:tr w:rsidR="00B54D51" w:rsidRPr="00037AD4" w14:paraId="302596AE" w14:textId="77777777" w:rsidTr="00401C67">
        <w:trPr>
          <w:jc w:val="center"/>
        </w:trPr>
        <w:tc>
          <w:tcPr>
            <w:tcW w:w="1414" w:type="pct"/>
            <w:tcBorders>
              <w:top w:val="nil"/>
              <w:left w:val="nil"/>
              <w:bottom w:val="nil"/>
              <w:right w:val="nil"/>
            </w:tcBorders>
          </w:tcPr>
          <w:p w14:paraId="01BBBA71" w14:textId="77777777" w:rsidR="00B54D51" w:rsidRPr="00037AD4" w:rsidRDefault="00B54D51" w:rsidP="00401C67">
            <w:pPr>
              <w:widowControl w:val="0"/>
              <w:autoSpaceDE w:val="0"/>
              <w:autoSpaceDN w:val="0"/>
              <w:adjustRightInd w:val="0"/>
            </w:pPr>
          </w:p>
        </w:tc>
        <w:tc>
          <w:tcPr>
            <w:tcW w:w="512" w:type="pct"/>
            <w:tcBorders>
              <w:top w:val="nil"/>
              <w:left w:val="nil"/>
              <w:bottom w:val="nil"/>
              <w:right w:val="nil"/>
            </w:tcBorders>
          </w:tcPr>
          <w:p w14:paraId="19EC2DC9" w14:textId="77777777" w:rsidR="00B54D51" w:rsidRPr="00037AD4" w:rsidRDefault="00B54D51" w:rsidP="00401C67">
            <w:pPr>
              <w:widowControl w:val="0"/>
              <w:autoSpaceDE w:val="0"/>
              <w:autoSpaceDN w:val="0"/>
              <w:adjustRightInd w:val="0"/>
              <w:jc w:val="center"/>
            </w:pPr>
            <w:r w:rsidRPr="00037AD4">
              <w:t>(0.049 - 0.416)</w:t>
            </w:r>
          </w:p>
        </w:tc>
        <w:tc>
          <w:tcPr>
            <w:tcW w:w="512" w:type="pct"/>
            <w:tcBorders>
              <w:top w:val="nil"/>
              <w:left w:val="nil"/>
              <w:bottom w:val="nil"/>
              <w:right w:val="nil"/>
            </w:tcBorders>
          </w:tcPr>
          <w:p w14:paraId="14A53C5C" w14:textId="77777777" w:rsidR="00B54D51" w:rsidRPr="00037AD4" w:rsidRDefault="00B54D51" w:rsidP="00401C67">
            <w:pPr>
              <w:widowControl w:val="0"/>
              <w:autoSpaceDE w:val="0"/>
              <w:autoSpaceDN w:val="0"/>
              <w:adjustRightInd w:val="0"/>
              <w:jc w:val="center"/>
            </w:pPr>
            <w:r w:rsidRPr="00037AD4">
              <w:t>(0.129 - 0.471)</w:t>
            </w:r>
          </w:p>
        </w:tc>
        <w:tc>
          <w:tcPr>
            <w:tcW w:w="512" w:type="pct"/>
            <w:tcBorders>
              <w:top w:val="nil"/>
              <w:left w:val="nil"/>
              <w:bottom w:val="nil"/>
              <w:right w:val="nil"/>
            </w:tcBorders>
          </w:tcPr>
          <w:p w14:paraId="220952B7" w14:textId="77777777" w:rsidR="00B54D51" w:rsidRPr="00037AD4" w:rsidRDefault="00B54D51" w:rsidP="00401C67">
            <w:pPr>
              <w:widowControl w:val="0"/>
              <w:autoSpaceDE w:val="0"/>
              <w:autoSpaceDN w:val="0"/>
              <w:adjustRightInd w:val="0"/>
              <w:jc w:val="center"/>
            </w:pPr>
            <w:r w:rsidRPr="00037AD4">
              <w:t>(0.133 - 0.477)</w:t>
            </w:r>
          </w:p>
        </w:tc>
        <w:tc>
          <w:tcPr>
            <w:tcW w:w="512" w:type="pct"/>
            <w:tcBorders>
              <w:top w:val="nil"/>
              <w:left w:val="nil"/>
              <w:bottom w:val="nil"/>
              <w:right w:val="nil"/>
            </w:tcBorders>
          </w:tcPr>
          <w:p w14:paraId="5AB70049" w14:textId="77777777" w:rsidR="00B54D51" w:rsidRPr="00037AD4" w:rsidRDefault="00B54D51" w:rsidP="00401C67">
            <w:pPr>
              <w:widowControl w:val="0"/>
              <w:autoSpaceDE w:val="0"/>
              <w:autoSpaceDN w:val="0"/>
              <w:adjustRightInd w:val="0"/>
              <w:jc w:val="center"/>
            </w:pPr>
            <w:r w:rsidRPr="00037AD4">
              <w:t>(0.135 - 0.478)</w:t>
            </w:r>
          </w:p>
        </w:tc>
        <w:tc>
          <w:tcPr>
            <w:tcW w:w="513" w:type="pct"/>
            <w:tcBorders>
              <w:top w:val="nil"/>
              <w:left w:val="nil"/>
              <w:bottom w:val="nil"/>
              <w:right w:val="nil"/>
            </w:tcBorders>
          </w:tcPr>
          <w:p w14:paraId="3992C723" w14:textId="77777777" w:rsidR="00B54D51" w:rsidRPr="00037AD4" w:rsidRDefault="00B54D51" w:rsidP="00401C67">
            <w:pPr>
              <w:widowControl w:val="0"/>
              <w:autoSpaceDE w:val="0"/>
              <w:autoSpaceDN w:val="0"/>
              <w:adjustRightInd w:val="0"/>
              <w:jc w:val="center"/>
            </w:pPr>
            <w:r w:rsidRPr="00037AD4">
              <w:t>(0.100 - 0.455)</w:t>
            </w:r>
          </w:p>
        </w:tc>
        <w:tc>
          <w:tcPr>
            <w:tcW w:w="513" w:type="pct"/>
            <w:tcBorders>
              <w:top w:val="nil"/>
              <w:left w:val="nil"/>
              <w:bottom w:val="nil"/>
              <w:right w:val="nil"/>
            </w:tcBorders>
          </w:tcPr>
          <w:p w14:paraId="4EEE62A7" w14:textId="77777777" w:rsidR="00B54D51" w:rsidRPr="00037AD4" w:rsidRDefault="00B54D51" w:rsidP="00401C67">
            <w:pPr>
              <w:widowControl w:val="0"/>
              <w:autoSpaceDE w:val="0"/>
              <w:autoSpaceDN w:val="0"/>
              <w:adjustRightInd w:val="0"/>
              <w:jc w:val="center"/>
            </w:pPr>
            <w:r w:rsidRPr="00037AD4">
              <w:t>(0.143 - 0.499)</w:t>
            </w:r>
          </w:p>
        </w:tc>
        <w:tc>
          <w:tcPr>
            <w:tcW w:w="512" w:type="pct"/>
            <w:tcBorders>
              <w:top w:val="nil"/>
              <w:left w:val="nil"/>
              <w:bottom w:val="nil"/>
              <w:right w:val="nil"/>
            </w:tcBorders>
          </w:tcPr>
          <w:p w14:paraId="2A4B91D0" w14:textId="77777777" w:rsidR="00B54D51" w:rsidRPr="00037AD4" w:rsidRDefault="00B54D51" w:rsidP="00401C67">
            <w:pPr>
              <w:widowControl w:val="0"/>
              <w:autoSpaceDE w:val="0"/>
              <w:autoSpaceDN w:val="0"/>
              <w:adjustRightInd w:val="0"/>
              <w:jc w:val="center"/>
            </w:pPr>
            <w:r w:rsidRPr="00037AD4">
              <w:t>(0.154 - 0.492)</w:t>
            </w:r>
          </w:p>
        </w:tc>
      </w:tr>
      <w:tr w:rsidR="00B54D51" w:rsidRPr="00037AD4" w14:paraId="25731112" w14:textId="77777777" w:rsidTr="00401C67">
        <w:trPr>
          <w:jc w:val="center"/>
        </w:trPr>
        <w:tc>
          <w:tcPr>
            <w:tcW w:w="1414" w:type="pct"/>
            <w:tcBorders>
              <w:top w:val="nil"/>
              <w:left w:val="nil"/>
              <w:bottom w:val="nil"/>
              <w:right w:val="nil"/>
            </w:tcBorders>
          </w:tcPr>
          <w:p w14:paraId="2D125AF1" w14:textId="77777777" w:rsidR="00B54D51" w:rsidRPr="00037AD4" w:rsidRDefault="00B54D51" w:rsidP="00401C67">
            <w:pPr>
              <w:widowControl w:val="0"/>
              <w:autoSpaceDE w:val="0"/>
              <w:autoSpaceDN w:val="0"/>
              <w:adjustRightInd w:val="0"/>
            </w:pPr>
            <w:r w:rsidRPr="00037AD4">
              <w:t>3.eq3SR_</w:t>
            </w:r>
          </w:p>
        </w:tc>
        <w:tc>
          <w:tcPr>
            <w:tcW w:w="512" w:type="pct"/>
            <w:tcBorders>
              <w:top w:val="nil"/>
              <w:left w:val="nil"/>
              <w:bottom w:val="nil"/>
              <w:right w:val="nil"/>
            </w:tcBorders>
          </w:tcPr>
          <w:p w14:paraId="34379F33" w14:textId="77777777" w:rsidR="00B54D51" w:rsidRPr="00037AD4" w:rsidRDefault="00B54D51" w:rsidP="00401C67">
            <w:pPr>
              <w:widowControl w:val="0"/>
              <w:autoSpaceDE w:val="0"/>
              <w:autoSpaceDN w:val="0"/>
              <w:adjustRightInd w:val="0"/>
              <w:jc w:val="center"/>
            </w:pPr>
            <w:r w:rsidRPr="00037AD4">
              <w:t>0.471***</w:t>
            </w:r>
          </w:p>
        </w:tc>
        <w:tc>
          <w:tcPr>
            <w:tcW w:w="512" w:type="pct"/>
            <w:tcBorders>
              <w:top w:val="nil"/>
              <w:left w:val="nil"/>
              <w:bottom w:val="nil"/>
              <w:right w:val="nil"/>
            </w:tcBorders>
          </w:tcPr>
          <w:p w14:paraId="54E34496" w14:textId="77777777" w:rsidR="00B54D51" w:rsidRPr="00037AD4" w:rsidRDefault="00B54D51" w:rsidP="00401C67">
            <w:pPr>
              <w:widowControl w:val="0"/>
              <w:autoSpaceDE w:val="0"/>
              <w:autoSpaceDN w:val="0"/>
              <w:adjustRightInd w:val="0"/>
              <w:jc w:val="center"/>
            </w:pPr>
            <w:r w:rsidRPr="00037AD4">
              <w:t>0.485***</w:t>
            </w:r>
          </w:p>
        </w:tc>
        <w:tc>
          <w:tcPr>
            <w:tcW w:w="512" w:type="pct"/>
            <w:tcBorders>
              <w:top w:val="nil"/>
              <w:left w:val="nil"/>
              <w:bottom w:val="nil"/>
              <w:right w:val="nil"/>
            </w:tcBorders>
          </w:tcPr>
          <w:p w14:paraId="2DCB1F43" w14:textId="77777777" w:rsidR="00B54D51" w:rsidRPr="00037AD4" w:rsidRDefault="00B54D51" w:rsidP="00401C67">
            <w:pPr>
              <w:widowControl w:val="0"/>
              <w:autoSpaceDE w:val="0"/>
              <w:autoSpaceDN w:val="0"/>
              <w:adjustRightInd w:val="0"/>
              <w:jc w:val="center"/>
            </w:pPr>
            <w:r w:rsidRPr="00037AD4">
              <w:t>0.474***</w:t>
            </w:r>
          </w:p>
        </w:tc>
        <w:tc>
          <w:tcPr>
            <w:tcW w:w="512" w:type="pct"/>
            <w:tcBorders>
              <w:top w:val="nil"/>
              <w:left w:val="nil"/>
              <w:bottom w:val="nil"/>
              <w:right w:val="nil"/>
            </w:tcBorders>
          </w:tcPr>
          <w:p w14:paraId="647B0EFA" w14:textId="77777777" w:rsidR="00B54D51" w:rsidRPr="00037AD4" w:rsidRDefault="00B54D51" w:rsidP="00401C67">
            <w:pPr>
              <w:widowControl w:val="0"/>
              <w:autoSpaceDE w:val="0"/>
              <w:autoSpaceDN w:val="0"/>
              <w:adjustRightInd w:val="0"/>
              <w:jc w:val="center"/>
            </w:pPr>
            <w:r w:rsidRPr="00037AD4">
              <w:t>0.477***</w:t>
            </w:r>
          </w:p>
        </w:tc>
        <w:tc>
          <w:tcPr>
            <w:tcW w:w="513" w:type="pct"/>
            <w:tcBorders>
              <w:top w:val="nil"/>
              <w:left w:val="nil"/>
              <w:bottom w:val="nil"/>
              <w:right w:val="nil"/>
            </w:tcBorders>
          </w:tcPr>
          <w:p w14:paraId="5FFA6B27" w14:textId="77777777" w:rsidR="00B54D51" w:rsidRPr="00037AD4" w:rsidRDefault="00B54D51" w:rsidP="00401C67">
            <w:pPr>
              <w:widowControl w:val="0"/>
              <w:autoSpaceDE w:val="0"/>
              <w:autoSpaceDN w:val="0"/>
              <w:adjustRightInd w:val="0"/>
              <w:jc w:val="center"/>
            </w:pPr>
            <w:r w:rsidRPr="00037AD4">
              <w:t>0.473***</w:t>
            </w:r>
          </w:p>
        </w:tc>
        <w:tc>
          <w:tcPr>
            <w:tcW w:w="513" w:type="pct"/>
            <w:tcBorders>
              <w:top w:val="nil"/>
              <w:left w:val="nil"/>
              <w:bottom w:val="nil"/>
              <w:right w:val="nil"/>
            </w:tcBorders>
          </w:tcPr>
          <w:p w14:paraId="24EDAB4F" w14:textId="77777777" w:rsidR="00B54D51" w:rsidRPr="00037AD4" w:rsidRDefault="00B54D51" w:rsidP="00401C67">
            <w:pPr>
              <w:widowControl w:val="0"/>
              <w:autoSpaceDE w:val="0"/>
              <w:autoSpaceDN w:val="0"/>
              <w:adjustRightInd w:val="0"/>
              <w:jc w:val="center"/>
            </w:pPr>
            <w:r w:rsidRPr="00037AD4">
              <w:t>0.542***</w:t>
            </w:r>
          </w:p>
        </w:tc>
        <w:tc>
          <w:tcPr>
            <w:tcW w:w="512" w:type="pct"/>
            <w:tcBorders>
              <w:top w:val="nil"/>
              <w:left w:val="nil"/>
              <w:bottom w:val="nil"/>
              <w:right w:val="nil"/>
            </w:tcBorders>
          </w:tcPr>
          <w:p w14:paraId="4CD1BE01" w14:textId="77777777" w:rsidR="00B54D51" w:rsidRPr="00037AD4" w:rsidRDefault="00B54D51" w:rsidP="00401C67">
            <w:pPr>
              <w:widowControl w:val="0"/>
              <w:autoSpaceDE w:val="0"/>
              <w:autoSpaceDN w:val="0"/>
              <w:adjustRightInd w:val="0"/>
              <w:jc w:val="center"/>
            </w:pPr>
            <w:r w:rsidRPr="00037AD4">
              <w:t>0.489***</w:t>
            </w:r>
          </w:p>
        </w:tc>
      </w:tr>
      <w:tr w:rsidR="00B54D51" w:rsidRPr="00037AD4" w14:paraId="0344C719" w14:textId="77777777" w:rsidTr="00401C67">
        <w:trPr>
          <w:jc w:val="center"/>
        </w:trPr>
        <w:tc>
          <w:tcPr>
            <w:tcW w:w="1414" w:type="pct"/>
            <w:tcBorders>
              <w:top w:val="nil"/>
              <w:left w:val="nil"/>
              <w:bottom w:val="nil"/>
              <w:right w:val="nil"/>
            </w:tcBorders>
          </w:tcPr>
          <w:p w14:paraId="4A6297CF" w14:textId="77777777" w:rsidR="00B54D51" w:rsidRPr="00037AD4" w:rsidRDefault="00B54D51" w:rsidP="00401C67">
            <w:pPr>
              <w:widowControl w:val="0"/>
              <w:autoSpaceDE w:val="0"/>
              <w:autoSpaceDN w:val="0"/>
              <w:adjustRightInd w:val="0"/>
            </w:pPr>
          </w:p>
        </w:tc>
        <w:tc>
          <w:tcPr>
            <w:tcW w:w="512" w:type="pct"/>
            <w:tcBorders>
              <w:top w:val="nil"/>
              <w:left w:val="nil"/>
              <w:bottom w:val="nil"/>
              <w:right w:val="nil"/>
            </w:tcBorders>
          </w:tcPr>
          <w:p w14:paraId="4366C9D9" w14:textId="77777777" w:rsidR="00B54D51" w:rsidRPr="00037AD4" w:rsidRDefault="00B54D51" w:rsidP="00401C67">
            <w:pPr>
              <w:widowControl w:val="0"/>
              <w:autoSpaceDE w:val="0"/>
              <w:autoSpaceDN w:val="0"/>
              <w:adjustRightInd w:val="0"/>
              <w:jc w:val="center"/>
            </w:pPr>
            <w:r w:rsidRPr="00037AD4">
              <w:t>(0.231 - 0.711)</w:t>
            </w:r>
          </w:p>
        </w:tc>
        <w:tc>
          <w:tcPr>
            <w:tcW w:w="512" w:type="pct"/>
            <w:tcBorders>
              <w:top w:val="nil"/>
              <w:left w:val="nil"/>
              <w:bottom w:val="nil"/>
              <w:right w:val="nil"/>
            </w:tcBorders>
          </w:tcPr>
          <w:p w14:paraId="595A6804" w14:textId="77777777" w:rsidR="00B54D51" w:rsidRPr="00037AD4" w:rsidRDefault="00B54D51" w:rsidP="00401C67">
            <w:pPr>
              <w:widowControl w:val="0"/>
              <w:autoSpaceDE w:val="0"/>
              <w:autoSpaceDN w:val="0"/>
              <w:adjustRightInd w:val="0"/>
              <w:jc w:val="center"/>
            </w:pPr>
            <w:r w:rsidRPr="00037AD4">
              <w:t>(0.266 - 0.704)</w:t>
            </w:r>
          </w:p>
        </w:tc>
        <w:tc>
          <w:tcPr>
            <w:tcW w:w="512" w:type="pct"/>
            <w:tcBorders>
              <w:top w:val="nil"/>
              <w:left w:val="nil"/>
              <w:bottom w:val="nil"/>
              <w:right w:val="nil"/>
            </w:tcBorders>
          </w:tcPr>
          <w:p w14:paraId="7C5547A7" w14:textId="77777777" w:rsidR="00B54D51" w:rsidRPr="00037AD4" w:rsidRDefault="00B54D51" w:rsidP="00401C67">
            <w:pPr>
              <w:widowControl w:val="0"/>
              <w:autoSpaceDE w:val="0"/>
              <w:autoSpaceDN w:val="0"/>
              <w:adjustRightInd w:val="0"/>
              <w:jc w:val="center"/>
            </w:pPr>
            <w:r w:rsidRPr="00037AD4">
              <w:t>(0.256 - 0.692)</w:t>
            </w:r>
          </w:p>
        </w:tc>
        <w:tc>
          <w:tcPr>
            <w:tcW w:w="512" w:type="pct"/>
            <w:tcBorders>
              <w:top w:val="nil"/>
              <w:left w:val="nil"/>
              <w:bottom w:val="nil"/>
              <w:right w:val="nil"/>
            </w:tcBorders>
          </w:tcPr>
          <w:p w14:paraId="6EAAC894" w14:textId="77777777" w:rsidR="00B54D51" w:rsidRPr="00037AD4" w:rsidRDefault="00B54D51" w:rsidP="00401C67">
            <w:pPr>
              <w:widowControl w:val="0"/>
              <w:autoSpaceDE w:val="0"/>
              <w:autoSpaceDN w:val="0"/>
              <w:adjustRightInd w:val="0"/>
              <w:jc w:val="center"/>
            </w:pPr>
            <w:r w:rsidRPr="00037AD4">
              <w:t>(0.260 - 0.695)</w:t>
            </w:r>
          </w:p>
        </w:tc>
        <w:tc>
          <w:tcPr>
            <w:tcW w:w="513" w:type="pct"/>
            <w:tcBorders>
              <w:top w:val="nil"/>
              <w:left w:val="nil"/>
              <w:bottom w:val="nil"/>
              <w:right w:val="nil"/>
            </w:tcBorders>
          </w:tcPr>
          <w:p w14:paraId="28DDB9CC" w14:textId="77777777" w:rsidR="00B54D51" w:rsidRPr="00037AD4" w:rsidRDefault="00B54D51" w:rsidP="00401C67">
            <w:pPr>
              <w:widowControl w:val="0"/>
              <w:autoSpaceDE w:val="0"/>
              <w:autoSpaceDN w:val="0"/>
              <w:adjustRightInd w:val="0"/>
              <w:jc w:val="center"/>
            </w:pPr>
            <w:r w:rsidRPr="00037AD4">
              <w:t>(0.254 - 0.693)</w:t>
            </w:r>
          </w:p>
        </w:tc>
        <w:tc>
          <w:tcPr>
            <w:tcW w:w="513" w:type="pct"/>
            <w:tcBorders>
              <w:top w:val="nil"/>
              <w:left w:val="nil"/>
              <w:bottom w:val="nil"/>
              <w:right w:val="nil"/>
            </w:tcBorders>
          </w:tcPr>
          <w:p w14:paraId="5D2D8D77" w14:textId="77777777" w:rsidR="00B54D51" w:rsidRPr="00037AD4" w:rsidRDefault="00B54D51" w:rsidP="00401C67">
            <w:pPr>
              <w:widowControl w:val="0"/>
              <w:autoSpaceDE w:val="0"/>
              <w:autoSpaceDN w:val="0"/>
              <w:adjustRightInd w:val="0"/>
              <w:jc w:val="center"/>
            </w:pPr>
            <w:r w:rsidRPr="00037AD4">
              <w:t>(0.326 - 0.759)</w:t>
            </w:r>
          </w:p>
        </w:tc>
        <w:tc>
          <w:tcPr>
            <w:tcW w:w="512" w:type="pct"/>
            <w:tcBorders>
              <w:top w:val="nil"/>
              <w:left w:val="nil"/>
              <w:bottom w:val="nil"/>
              <w:right w:val="nil"/>
            </w:tcBorders>
          </w:tcPr>
          <w:p w14:paraId="3798FD93" w14:textId="77777777" w:rsidR="00B54D51" w:rsidRPr="00037AD4" w:rsidRDefault="00B54D51" w:rsidP="00401C67">
            <w:pPr>
              <w:widowControl w:val="0"/>
              <w:autoSpaceDE w:val="0"/>
              <w:autoSpaceDN w:val="0"/>
              <w:adjustRightInd w:val="0"/>
              <w:jc w:val="center"/>
            </w:pPr>
            <w:r w:rsidRPr="00037AD4">
              <w:t>(0.271 - 0.707)</w:t>
            </w:r>
          </w:p>
        </w:tc>
      </w:tr>
      <w:tr w:rsidR="00B54D51" w:rsidRPr="00037AD4" w14:paraId="1A9AE78C" w14:textId="77777777" w:rsidTr="00401C67">
        <w:trPr>
          <w:jc w:val="center"/>
        </w:trPr>
        <w:tc>
          <w:tcPr>
            <w:tcW w:w="1414" w:type="pct"/>
            <w:tcBorders>
              <w:top w:val="nil"/>
              <w:left w:val="nil"/>
              <w:bottom w:val="nil"/>
              <w:right w:val="nil"/>
            </w:tcBorders>
          </w:tcPr>
          <w:p w14:paraId="0096C3A2" w14:textId="77777777" w:rsidR="00B54D51" w:rsidRPr="00037AD4" w:rsidRDefault="00B54D51" w:rsidP="00401C67">
            <w:pPr>
              <w:widowControl w:val="0"/>
              <w:autoSpaceDE w:val="0"/>
              <w:autoSpaceDN w:val="0"/>
              <w:adjustRightInd w:val="0"/>
            </w:pPr>
            <w:r w:rsidRPr="00037AD4">
              <w:t>4.eq3SR_</w:t>
            </w:r>
          </w:p>
        </w:tc>
        <w:tc>
          <w:tcPr>
            <w:tcW w:w="512" w:type="pct"/>
            <w:tcBorders>
              <w:top w:val="nil"/>
              <w:left w:val="nil"/>
              <w:bottom w:val="nil"/>
              <w:right w:val="nil"/>
            </w:tcBorders>
          </w:tcPr>
          <w:p w14:paraId="32DBBE26" w14:textId="77777777" w:rsidR="00B54D51" w:rsidRPr="00037AD4" w:rsidRDefault="00B54D51" w:rsidP="00401C67">
            <w:pPr>
              <w:widowControl w:val="0"/>
              <w:autoSpaceDE w:val="0"/>
              <w:autoSpaceDN w:val="0"/>
              <w:adjustRightInd w:val="0"/>
              <w:jc w:val="center"/>
            </w:pPr>
            <w:r w:rsidRPr="00037AD4">
              <w:t>1.027***</w:t>
            </w:r>
          </w:p>
        </w:tc>
        <w:tc>
          <w:tcPr>
            <w:tcW w:w="512" w:type="pct"/>
            <w:tcBorders>
              <w:top w:val="nil"/>
              <w:left w:val="nil"/>
              <w:bottom w:val="nil"/>
              <w:right w:val="nil"/>
            </w:tcBorders>
          </w:tcPr>
          <w:p w14:paraId="331A8D4B" w14:textId="77777777" w:rsidR="00B54D51" w:rsidRPr="00037AD4" w:rsidRDefault="00B54D51" w:rsidP="00401C67">
            <w:pPr>
              <w:widowControl w:val="0"/>
              <w:autoSpaceDE w:val="0"/>
              <w:autoSpaceDN w:val="0"/>
              <w:adjustRightInd w:val="0"/>
              <w:jc w:val="center"/>
            </w:pPr>
            <w:r w:rsidRPr="00037AD4">
              <w:t>1.017***</w:t>
            </w:r>
          </w:p>
        </w:tc>
        <w:tc>
          <w:tcPr>
            <w:tcW w:w="512" w:type="pct"/>
            <w:tcBorders>
              <w:top w:val="nil"/>
              <w:left w:val="nil"/>
              <w:bottom w:val="nil"/>
              <w:right w:val="nil"/>
            </w:tcBorders>
          </w:tcPr>
          <w:p w14:paraId="1CAB469C" w14:textId="77777777" w:rsidR="00B54D51" w:rsidRPr="00037AD4" w:rsidRDefault="00B54D51" w:rsidP="00401C67">
            <w:pPr>
              <w:widowControl w:val="0"/>
              <w:autoSpaceDE w:val="0"/>
              <w:autoSpaceDN w:val="0"/>
              <w:adjustRightInd w:val="0"/>
              <w:jc w:val="center"/>
            </w:pPr>
            <w:r w:rsidRPr="00037AD4">
              <w:t>1.012***</w:t>
            </w:r>
          </w:p>
        </w:tc>
        <w:tc>
          <w:tcPr>
            <w:tcW w:w="512" w:type="pct"/>
            <w:tcBorders>
              <w:top w:val="nil"/>
              <w:left w:val="nil"/>
              <w:bottom w:val="nil"/>
              <w:right w:val="nil"/>
            </w:tcBorders>
          </w:tcPr>
          <w:p w14:paraId="71C08E05" w14:textId="77777777" w:rsidR="00B54D51" w:rsidRPr="00037AD4" w:rsidRDefault="00B54D51" w:rsidP="00401C67">
            <w:pPr>
              <w:widowControl w:val="0"/>
              <w:autoSpaceDE w:val="0"/>
              <w:autoSpaceDN w:val="0"/>
              <w:adjustRightInd w:val="0"/>
              <w:jc w:val="center"/>
            </w:pPr>
            <w:r w:rsidRPr="00037AD4">
              <w:t>1.014***</w:t>
            </w:r>
          </w:p>
        </w:tc>
        <w:tc>
          <w:tcPr>
            <w:tcW w:w="513" w:type="pct"/>
            <w:tcBorders>
              <w:top w:val="nil"/>
              <w:left w:val="nil"/>
              <w:bottom w:val="nil"/>
              <w:right w:val="nil"/>
            </w:tcBorders>
          </w:tcPr>
          <w:p w14:paraId="031558FC" w14:textId="77777777" w:rsidR="00B54D51" w:rsidRPr="00037AD4" w:rsidRDefault="00B54D51" w:rsidP="00401C67">
            <w:pPr>
              <w:widowControl w:val="0"/>
              <w:autoSpaceDE w:val="0"/>
              <w:autoSpaceDN w:val="0"/>
              <w:adjustRightInd w:val="0"/>
              <w:jc w:val="center"/>
            </w:pPr>
            <w:r w:rsidRPr="00037AD4">
              <w:t>0.925***</w:t>
            </w:r>
          </w:p>
        </w:tc>
        <w:tc>
          <w:tcPr>
            <w:tcW w:w="513" w:type="pct"/>
            <w:tcBorders>
              <w:top w:val="nil"/>
              <w:left w:val="nil"/>
              <w:bottom w:val="nil"/>
              <w:right w:val="nil"/>
            </w:tcBorders>
          </w:tcPr>
          <w:p w14:paraId="65035A7E" w14:textId="77777777" w:rsidR="00B54D51" w:rsidRPr="00037AD4" w:rsidRDefault="00B54D51" w:rsidP="00401C67">
            <w:pPr>
              <w:widowControl w:val="0"/>
              <w:autoSpaceDE w:val="0"/>
              <w:autoSpaceDN w:val="0"/>
              <w:adjustRightInd w:val="0"/>
              <w:jc w:val="center"/>
            </w:pPr>
            <w:r w:rsidRPr="00037AD4">
              <w:t>1.038***</w:t>
            </w:r>
          </w:p>
        </w:tc>
        <w:tc>
          <w:tcPr>
            <w:tcW w:w="512" w:type="pct"/>
            <w:tcBorders>
              <w:top w:val="nil"/>
              <w:left w:val="nil"/>
              <w:bottom w:val="nil"/>
              <w:right w:val="nil"/>
            </w:tcBorders>
          </w:tcPr>
          <w:p w14:paraId="4CB36E4A" w14:textId="77777777" w:rsidR="00B54D51" w:rsidRPr="00037AD4" w:rsidRDefault="00B54D51" w:rsidP="00401C67">
            <w:pPr>
              <w:widowControl w:val="0"/>
              <w:autoSpaceDE w:val="0"/>
              <w:autoSpaceDN w:val="0"/>
              <w:adjustRightInd w:val="0"/>
              <w:jc w:val="center"/>
            </w:pPr>
            <w:r w:rsidRPr="00037AD4">
              <w:t>1.054***</w:t>
            </w:r>
          </w:p>
        </w:tc>
      </w:tr>
      <w:tr w:rsidR="00B54D51" w:rsidRPr="00037AD4" w14:paraId="09B30940" w14:textId="77777777" w:rsidTr="00401C67">
        <w:trPr>
          <w:jc w:val="center"/>
        </w:trPr>
        <w:tc>
          <w:tcPr>
            <w:tcW w:w="1414" w:type="pct"/>
            <w:tcBorders>
              <w:top w:val="nil"/>
              <w:left w:val="nil"/>
              <w:bottom w:val="nil"/>
              <w:right w:val="nil"/>
            </w:tcBorders>
          </w:tcPr>
          <w:p w14:paraId="43B1B775" w14:textId="77777777" w:rsidR="00B54D51" w:rsidRPr="00037AD4" w:rsidRDefault="00B54D51" w:rsidP="00401C67">
            <w:pPr>
              <w:widowControl w:val="0"/>
              <w:autoSpaceDE w:val="0"/>
              <w:autoSpaceDN w:val="0"/>
              <w:adjustRightInd w:val="0"/>
            </w:pPr>
          </w:p>
        </w:tc>
        <w:tc>
          <w:tcPr>
            <w:tcW w:w="512" w:type="pct"/>
            <w:tcBorders>
              <w:top w:val="nil"/>
              <w:left w:val="nil"/>
              <w:bottom w:val="nil"/>
              <w:right w:val="nil"/>
            </w:tcBorders>
          </w:tcPr>
          <w:p w14:paraId="13D7D5EE" w14:textId="77777777" w:rsidR="00B54D51" w:rsidRPr="00037AD4" w:rsidRDefault="00B54D51" w:rsidP="00401C67">
            <w:pPr>
              <w:widowControl w:val="0"/>
              <w:autoSpaceDE w:val="0"/>
              <w:autoSpaceDN w:val="0"/>
              <w:adjustRightInd w:val="0"/>
              <w:jc w:val="center"/>
            </w:pPr>
            <w:r w:rsidRPr="00037AD4">
              <w:t>(0.609 - 1.445)</w:t>
            </w:r>
          </w:p>
        </w:tc>
        <w:tc>
          <w:tcPr>
            <w:tcW w:w="512" w:type="pct"/>
            <w:tcBorders>
              <w:top w:val="nil"/>
              <w:left w:val="nil"/>
              <w:bottom w:val="nil"/>
              <w:right w:val="nil"/>
            </w:tcBorders>
          </w:tcPr>
          <w:p w14:paraId="5A36B771" w14:textId="77777777" w:rsidR="00B54D51" w:rsidRPr="00037AD4" w:rsidRDefault="00B54D51" w:rsidP="00401C67">
            <w:pPr>
              <w:widowControl w:val="0"/>
              <w:autoSpaceDE w:val="0"/>
              <w:autoSpaceDN w:val="0"/>
              <w:adjustRightInd w:val="0"/>
              <w:jc w:val="center"/>
            </w:pPr>
            <w:r w:rsidRPr="00037AD4">
              <w:t>(0.659 - 1.375)</w:t>
            </w:r>
          </w:p>
        </w:tc>
        <w:tc>
          <w:tcPr>
            <w:tcW w:w="512" w:type="pct"/>
            <w:tcBorders>
              <w:top w:val="nil"/>
              <w:left w:val="nil"/>
              <w:bottom w:val="nil"/>
              <w:right w:val="nil"/>
            </w:tcBorders>
          </w:tcPr>
          <w:p w14:paraId="00285BCC" w14:textId="77777777" w:rsidR="00B54D51" w:rsidRPr="00037AD4" w:rsidRDefault="00B54D51" w:rsidP="00401C67">
            <w:pPr>
              <w:widowControl w:val="0"/>
              <w:autoSpaceDE w:val="0"/>
              <w:autoSpaceDN w:val="0"/>
              <w:adjustRightInd w:val="0"/>
              <w:jc w:val="center"/>
            </w:pPr>
            <w:r w:rsidRPr="00037AD4">
              <w:t>(0.655 - 1.370)</w:t>
            </w:r>
          </w:p>
        </w:tc>
        <w:tc>
          <w:tcPr>
            <w:tcW w:w="512" w:type="pct"/>
            <w:tcBorders>
              <w:top w:val="nil"/>
              <w:left w:val="nil"/>
              <w:bottom w:val="nil"/>
              <w:right w:val="nil"/>
            </w:tcBorders>
          </w:tcPr>
          <w:p w14:paraId="27564A3F" w14:textId="77777777" w:rsidR="00B54D51" w:rsidRPr="00037AD4" w:rsidRDefault="00B54D51" w:rsidP="00401C67">
            <w:pPr>
              <w:widowControl w:val="0"/>
              <w:autoSpaceDE w:val="0"/>
              <w:autoSpaceDN w:val="0"/>
              <w:adjustRightInd w:val="0"/>
              <w:jc w:val="center"/>
            </w:pPr>
            <w:r w:rsidRPr="00037AD4">
              <w:t>(0.657 - 1.371)</w:t>
            </w:r>
          </w:p>
        </w:tc>
        <w:tc>
          <w:tcPr>
            <w:tcW w:w="513" w:type="pct"/>
            <w:tcBorders>
              <w:top w:val="nil"/>
              <w:left w:val="nil"/>
              <w:bottom w:val="nil"/>
              <w:right w:val="nil"/>
            </w:tcBorders>
          </w:tcPr>
          <w:p w14:paraId="346B2203" w14:textId="77777777" w:rsidR="00B54D51" w:rsidRPr="00037AD4" w:rsidRDefault="00B54D51" w:rsidP="00401C67">
            <w:pPr>
              <w:widowControl w:val="0"/>
              <w:autoSpaceDE w:val="0"/>
              <w:autoSpaceDN w:val="0"/>
              <w:adjustRightInd w:val="0"/>
              <w:jc w:val="center"/>
            </w:pPr>
            <w:r w:rsidRPr="00037AD4">
              <w:t>(0.544 - 1.307)</w:t>
            </w:r>
          </w:p>
        </w:tc>
        <w:tc>
          <w:tcPr>
            <w:tcW w:w="513" w:type="pct"/>
            <w:tcBorders>
              <w:top w:val="nil"/>
              <w:left w:val="nil"/>
              <w:bottom w:val="nil"/>
              <w:right w:val="nil"/>
            </w:tcBorders>
          </w:tcPr>
          <w:p w14:paraId="0D04AE20" w14:textId="77777777" w:rsidR="00B54D51" w:rsidRPr="00037AD4" w:rsidRDefault="00B54D51" w:rsidP="00401C67">
            <w:pPr>
              <w:widowControl w:val="0"/>
              <w:autoSpaceDE w:val="0"/>
              <w:autoSpaceDN w:val="0"/>
              <w:adjustRightInd w:val="0"/>
              <w:jc w:val="center"/>
            </w:pPr>
            <w:r w:rsidRPr="00037AD4">
              <w:t>(0.659 - 1.418)</w:t>
            </w:r>
          </w:p>
        </w:tc>
        <w:tc>
          <w:tcPr>
            <w:tcW w:w="512" w:type="pct"/>
            <w:tcBorders>
              <w:top w:val="nil"/>
              <w:left w:val="nil"/>
              <w:bottom w:val="nil"/>
              <w:right w:val="nil"/>
            </w:tcBorders>
          </w:tcPr>
          <w:p w14:paraId="0798BDB9" w14:textId="77777777" w:rsidR="00B54D51" w:rsidRPr="00037AD4" w:rsidRDefault="00B54D51" w:rsidP="00401C67">
            <w:pPr>
              <w:widowControl w:val="0"/>
              <w:autoSpaceDE w:val="0"/>
              <w:autoSpaceDN w:val="0"/>
              <w:adjustRightInd w:val="0"/>
              <w:jc w:val="center"/>
            </w:pPr>
            <w:r w:rsidRPr="00037AD4">
              <w:t>(0.680 - 1.427)</w:t>
            </w:r>
          </w:p>
        </w:tc>
      </w:tr>
      <w:tr w:rsidR="00B54D51" w:rsidRPr="00037AD4" w14:paraId="27AE3C35" w14:textId="77777777" w:rsidTr="00401C67">
        <w:trPr>
          <w:jc w:val="center"/>
        </w:trPr>
        <w:tc>
          <w:tcPr>
            <w:tcW w:w="1414" w:type="pct"/>
            <w:tcBorders>
              <w:top w:val="nil"/>
              <w:left w:val="nil"/>
              <w:bottom w:val="nil"/>
              <w:right w:val="nil"/>
            </w:tcBorders>
          </w:tcPr>
          <w:p w14:paraId="347681B7" w14:textId="77777777" w:rsidR="00B54D51" w:rsidRPr="00037AD4" w:rsidRDefault="00B54D51" w:rsidP="00401C67">
            <w:pPr>
              <w:widowControl w:val="0"/>
              <w:autoSpaceDE w:val="0"/>
              <w:autoSpaceDN w:val="0"/>
              <w:adjustRightInd w:val="0"/>
            </w:pPr>
            <w:r w:rsidRPr="00037AD4">
              <w:t>5.eq3SR_</w:t>
            </w:r>
          </w:p>
        </w:tc>
        <w:tc>
          <w:tcPr>
            <w:tcW w:w="512" w:type="pct"/>
            <w:tcBorders>
              <w:top w:val="nil"/>
              <w:left w:val="nil"/>
              <w:bottom w:val="nil"/>
              <w:right w:val="nil"/>
            </w:tcBorders>
          </w:tcPr>
          <w:p w14:paraId="415B1C6D" w14:textId="77777777" w:rsidR="00B54D51" w:rsidRPr="00037AD4" w:rsidRDefault="00B54D51" w:rsidP="00401C67">
            <w:pPr>
              <w:widowControl w:val="0"/>
              <w:autoSpaceDE w:val="0"/>
              <w:autoSpaceDN w:val="0"/>
              <w:adjustRightInd w:val="0"/>
              <w:jc w:val="center"/>
            </w:pPr>
            <w:r w:rsidRPr="00037AD4">
              <w:t>0.966**</w:t>
            </w:r>
          </w:p>
        </w:tc>
        <w:tc>
          <w:tcPr>
            <w:tcW w:w="512" w:type="pct"/>
            <w:tcBorders>
              <w:top w:val="nil"/>
              <w:left w:val="nil"/>
              <w:bottom w:val="nil"/>
              <w:right w:val="nil"/>
            </w:tcBorders>
          </w:tcPr>
          <w:p w14:paraId="5F5E5E5B" w14:textId="77777777" w:rsidR="00B54D51" w:rsidRPr="00037AD4" w:rsidRDefault="00B54D51" w:rsidP="00401C67">
            <w:pPr>
              <w:widowControl w:val="0"/>
              <w:autoSpaceDE w:val="0"/>
              <w:autoSpaceDN w:val="0"/>
              <w:adjustRightInd w:val="0"/>
              <w:jc w:val="center"/>
            </w:pPr>
            <w:r w:rsidRPr="00037AD4">
              <w:t>0.723**</w:t>
            </w:r>
          </w:p>
        </w:tc>
        <w:tc>
          <w:tcPr>
            <w:tcW w:w="512" w:type="pct"/>
            <w:tcBorders>
              <w:top w:val="nil"/>
              <w:left w:val="nil"/>
              <w:bottom w:val="nil"/>
              <w:right w:val="nil"/>
            </w:tcBorders>
          </w:tcPr>
          <w:p w14:paraId="4256C451" w14:textId="77777777" w:rsidR="00B54D51" w:rsidRPr="00037AD4" w:rsidRDefault="00B54D51" w:rsidP="00401C67">
            <w:pPr>
              <w:widowControl w:val="0"/>
              <w:autoSpaceDE w:val="0"/>
              <w:autoSpaceDN w:val="0"/>
              <w:adjustRightInd w:val="0"/>
              <w:jc w:val="center"/>
            </w:pPr>
            <w:r w:rsidRPr="00037AD4">
              <w:t>0.677**</w:t>
            </w:r>
          </w:p>
        </w:tc>
        <w:tc>
          <w:tcPr>
            <w:tcW w:w="512" w:type="pct"/>
            <w:tcBorders>
              <w:top w:val="nil"/>
              <w:left w:val="nil"/>
              <w:bottom w:val="nil"/>
              <w:right w:val="nil"/>
            </w:tcBorders>
          </w:tcPr>
          <w:p w14:paraId="15B6298D" w14:textId="77777777" w:rsidR="00B54D51" w:rsidRPr="00037AD4" w:rsidRDefault="00B54D51" w:rsidP="00401C67">
            <w:pPr>
              <w:widowControl w:val="0"/>
              <w:autoSpaceDE w:val="0"/>
              <w:autoSpaceDN w:val="0"/>
              <w:adjustRightInd w:val="0"/>
              <w:jc w:val="center"/>
            </w:pPr>
            <w:r w:rsidRPr="00037AD4">
              <w:t>0.682**</w:t>
            </w:r>
          </w:p>
        </w:tc>
        <w:tc>
          <w:tcPr>
            <w:tcW w:w="513" w:type="pct"/>
            <w:tcBorders>
              <w:top w:val="nil"/>
              <w:left w:val="nil"/>
              <w:bottom w:val="nil"/>
              <w:right w:val="nil"/>
            </w:tcBorders>
          </w:tcPr>
          <w:p w14:paraId="0864BCB3" w14:textId="77777777" w:rsidR="00B54D51" w:rsidRPr="00037AD4" w:rsidRDefault="00B54D51" w:rsidP="00401C67">
            <w:pPr>
              <w:widowControl w:val="0"/>
              <w:autoSpaceDE w:val="0"/>
              <w:autoSpaceDN w:val="0"/>
              <w:adjustRightInd w:val="0"/>
              <w:jc w:val="center"/>
            </w:pPr>
            <w:r w:rsidRPr="00037AD4">
              <w:t>0.759***</w:t>
            </w:r>
          </w:p>
        </w:tc>
        <w:tc>
          <w:tcPr>
            <w:tcW w:w="513" w:type="pct"/>
            <w:tcBorders>
              <w:top w:val="nil"/>
              <w:left w:val="nil"/>
              <w:bottom w:val="nil"/>
              <w:right w:val="nil"/>
            </w:tcBorders>
          </w:tcPr>
          <w:p w14:paraId="1BA7D487" w14:textId="77777777" w:rsidR="00B54D51" w:rsidRPr="00037AD4" w:rsidRDefault="00B54D51" w:rsidP="00401C67">
            <w:pPr>
              <w:widowControl w:val="0"/>
              <w:autoSpaceDE w:val="0"/>
              <w:autoSpaceDN w:val="0"/>
              <w:adjustRightInd w:val="0"/>
              <w:jc w:val="center"/>
            </w:pPr>
            <w:r w:rsidRPr="00037AD4">
              <w:t>0.980***</w:t>
            </w:r>
          </w:p>
        </w:tc>
        <w:tc>
          <w:tcPr>
            <w:tcW w:w="512" w:type="pct"/>
            <w:tcBorders>
              <w:top w:val="nil"/>
              <w:left w:val="nil"/>
              <w:bottom w:val="nil"/>
              <w:right w:val="nil"/>
            </w:tcBorders>
          </w:tcPr>
          <w:p w14:paraId="10910D0C" w14:textId="77777777" w:rsidR="00B54D51" w:rsidRPr="00037AD4" w:rsidRDefault="00B54D51" w:rsidP="00401C67">
            <w:pPr>
              <w:widowControl w:val="0"/>
              <w:autoSpaceDE w:val="0"/>
              <w:autoSpaceDN w:val="0"/>
              <w:adjustRightInd w:val="0"/>
              <w:jc w:val="center"/>
            </w:pPr>
            <w:r w:rsidRPr="00037AD4">
              <w:t>0.828***</w:t>
            </w:r>
          </w:p>
        </w:tc>
      </w:tr>
      <w:tr w:rsidR="00B54D51" w:rsidRPr="00037AD4" w14:paraId="05441691" w14:textId="77777777" w:rsidTr="00401C67">
        <w:trPr>
          <w:jc w:val="center"/>
        </w:trPr>
        <w:tc>
          <w:tcPr>
            <w:tcW w:w="1414" w:type="pct"/>
            <w:tcBorders>
              <w:top w:val="nil"/>
              <w:left w:val="nil"/>
              <w:bottom w:val="nil"/>
              <w:right w:val="nil"/>
            </w:tcBorders>
          </w:tcPr>
          <w:p w14:paraId="62489598" w14:textId="77777777" w:rsidR="00B54D51" w:rsidRPr="00037AD4" w:rsidRDefault="00B54D51" w:rsidP="00401C67">
            <w:pPr>
              <w:widowControl w:val="0"/>
              <w:autoSpaceDE w:val="0"/>
              <w:autoSpaceDN w:val="0"/>
              <w:adjustRightInd w:val="0"/>
            </w:pPr>
          </w:p>
        </w:tc>
        <w:tc>
          <w:tcPr>
            <w:tcW w:w="512" w:type="pct"/>
            <w:tcBorders>
              <w:top w:val="nil"/>
              <w:left w:val="nil"/>
              <w:bottom w:val="nil"/>
              <w:right w:val="nil"/>
            </w:tcBorders>
          </w:tcPr>
          <w:p w14:paraId="159FC7FB" w14:textId="77777777" w:rsidR="00B54D51" w:rsidRPr="00037AD4" w:rsidRDefault="00B54D51" w:rsidP="00401C67">
            <w:pPr>
              <w:widowControl w:val="0"/>
              <w:autoSpaceDE w:val="0"/>
              <w:autoSpaceDN w:val="0"/>
              <w:adjustRightInd w:val="0"/>
              <w:jc w:val="center"/>
            </w:pPr>
            <w:r w:rsidRPr="00037AD4">
              <w:t>(0.228 - 1.704)</w:t>
            </w:r>
          </w:p>
        </w:tc>
        <w:tc>
          <w:tcPr>
            <w:tcW w:w="512" w:type="pct"/>
            <w:tcBorders>
              <w:top w:val="nil"/>
              <w:left w:val="nil"/>
              <w:bottom w:val="nil"/>
              <w:right w:val="nil"/>
            </w:tcBorders>
          </w:tcPr>
          <w:p w14:paraId="2DC7A0E8" w14:textId="77777777" w:rsidR="00B54D51" w:rsidRPr="00037AD4" w:rsidRDefault="00B54D51" w:rsidP="00401C67">
            <w:pPr>
              <w:widowControl w:val="0"/>
              <w:autoSpaceDE w:val="0"/>
              <w:autoSpaceDN w:val="0"/>
              <w:adjustRightInd w:val="0"/>
              <w:jc w:val="center"/>
            </w:pPr>
            <w:r w:rsidRPr="00037AD4">
              <w:t>(0.069 - 1.378)</w:t>
            </w:r>
          </w:p>
        </w:tc>
        <w:tc>
          <w:tcPr>
            <w:tcW w:w="512" w:type="pct"/>
            <w:tcBorders>
              <w:top w:val="nil"/>
              <w:left w:val="nil"/>
              <w:bottom w:val="nil"/>
              <w:right w:val="nil"/>
            </w:tcBorders>
          </w:tcPr>
          <w:p w14:paraId="5E74AB03" w14:textId="77777777" w:rsidR="00B54D51" w:rsidRPr="00037AD4" w:rsidRDefault="00B54D51" w:rsidP="00401C67">
            <w:pPr>
              <w:widowControl w:val="0"/>
              <w:autoSpaceDE w:val="0"/>
              <w:autoSpaceDN w:val="0"/>
              <w:adjustRightInd w:val="0"/>
              <w:jc w:val="center"/>
            </w:pPr>
            <w:r w:rsidRPr="00037AD4">
              <w:t>(0.090 - 1.265)</w:t>
            </w:r>
          </w:p>
        </w:tc>
        <w:tc>
          <w:tcPr>
            <w:tcW w:w="512" w:type="pct"/>
            <w:tcBorders>
              <w:top w:val="nil"/>
              <w:left w:val="nil"/>
              <w:bottom w:val="nil"/>
              <w:right w:val="nil"/>
            </w:tcBorders>
          </w:tcPr>
          <w:p w14:paraId="3CD17DEA" w14:textId="77777777" w:rsidR="00B54D51" w:rsidRPr="00037AD4" w:rsidRDefault="00B54D51" w:rsidP="00401C67">
            <w:pPr>
              <w:widowControl w:val="0"/>
              <w:autoSpaceDE w:val="0"/>
              <w:autoSpaceDN w:val="0"/>
              <w:adjustRightInd w:val="0"/>
              <w:jc w:val="center"/>
            </w:pPr>
            <w:r w:rsidRPr="00037AD4">
              <w:t>(0.097 - 1.268)</w:t>
            </w:r>
          </w:p>
        </w:tc>
        <w:tc>
          <w:tcPr>
            <w:tcW w:w="513" w:type="pct"/>
            <w:tcBorders>
              <w:top w:val="nil"/>
              <w:left w:val="nil"/>
              <w:bottom w:val="nil"/>
              <w:right w:val="nil"/>
            </w:tcBorders>
          </w:tcPr>
          <w:p w14:paraId="4BD83C18" w14:textId="77777777" w:rsidR="00B54D51" w:rsidRPr="00037AD4" w:rsidRDefault="00B54D51" w:rsidP="00401C67">
            <w:pPr>
              <w:widowControl w:val="0"/>
              <w:autoSpaceDE w:val="0"/>
              <w:autoSpaceDN w:val="0"/>
              <w:adjustRightInd w:val="0"/>
              <w:jc w:val="center"/>
            </w:pPr>
            <w:r w:rsidRPr="00037AD4">
              <w:t>(0.202 - 1.317)</w:t>
            </w:r>
          </w:p>
        </w:tc>
        <w:tc>
          <w:tcPr>
            <w:tcW w:w="513" w:type="pct"/>
            <w:tcBorders>
              <w:top w:val="nil"/>
              <w:left w:val="nil"/>
              <w:bottom w:val="nil"/>
              <w:right w:val="nil"/>
            </w:tcBorders>
          </w:tcPr>
          <w:p w14:paraId="41864680" w14:textId="77777777" w:rsidR="00B54D51" w:rsidRPr="00037AD4" w:rsidRDefault="00B54D51" w:rsidP="00401C67">
            <w:pPr>
              <w:widowControl w:val="0"/>
              <w:autoSpaceDE w:val="0"/>
              <w:autoSpaceDN w:val="0"/>
              <w:adjustRightInd w:val="0"/>
              <w:jc w:val="center"/>
            </w:pPr>
            <w:r w:rsidRPr="00037AD4">
              <w:t>(0.407 - 1.554)</w:t>
            </w:r>
          </w:p>
        </w:tc>
        <w:tc>
          <w:tcPr>
            <w:tcW w:w="512" w:type="pct"/>
            <w:tcBorders>
              <w:top w:val="nil"/>
              <w:left w:val="nil"/>
              <w:bottom w:val="nil"/>
              <w:right w:val="nil"/>
            </w:tcBorders>
          </w:tcPr>
          <w:p w14:paraId="574B77E9" w14:textId="77777777" w:rsidR="00B54D51" w:rsidRPr="00037AD4" w:rsidRDefault="00B54D51" w:rsidP="00401C67">
            <w:pPr>
              <w:widowControl w:val="0"/>
              <w:autoSpaceDE w:val="0"/>
              <w:autoSpaceDN w:val="0"/>
              <w:adjustRightInd w:val="0"/>
              <w:jc w:val="center"/>
            </w:pPr>
            <w:r w:rsidRPr="00037AD4">
              <w:t>(0.287 - 1.369)</w:t>
            </w:r>
          </w:p>
        </w:tc>
      </w:tr>
      <w:tr w:rsidR="00B54D51" w:rsidRPr="00037AD4" w14:paraId="7E6A8E04" w14:textId="77777777" w:rsidTr="00401C67">
        <w:trPr>
          <w:jc w:val="center"/>
        </w:trPr>
        <w:tc>
          <w:tcPr>
            <w:tcW w:w="1414" w:type="pct"/>
            <w:tcBorders>
              <w:top w:val="nil"/>
              <w:left w:val="nil"/>
              <w:bottom w:val="nil"/>
              <w:right w:val="nil"/>
            </w:tcBorders>
          </w:tcPr>
          <w:p w14:paraId="202261E3" w14:textId="77777777" w:rsidR="00B54D51" w:rsidRPr="00037AD4" w:rsidRDefault="00B54D51" w:rsidP="00401C67">
            <w:pPr>
              <w:widowControl w:val="0"/>
              <w:autoSpaceDE w:val="0"/>
              <w:autoSpaceDN w:val="0"/>
              <w:adjustRightInd w:val="0"/>
            </w:pPr>
            <w:r w:rsidRPr="00037AD4">
              <w:t>2.eq1SR_</w:t>
            </w:r>
          </w:p>
        </w:tc>
        <w:tc>
          <w:tcPr>
            <w:tcW w:w="512" w:type="pct"/>
            <w:tcBorders>
              <w:top w:val="nil"/>
              <w:left w:val="nil"/>
              <w:bottom w:val="nil"/>
              <w:right w:val="nil"/>
            </w:tcBorders>
          </w:tcPr>
          <w:p w14:paraId="6212178E" w14:textId="77777777" w:rsidR="00B54D51" w:rsidRPr="00037AD4" w:rsidRDefault="00B54D51" w:rsidP="00401C67">
            <w:pPr>
              <w:widowControl w:val="0"/>
              <w:autoSpaceDE w:val="0"/>
              <w:autoSpaceDN w:val="0"/>
              <w:adjustRightInd w:val="0"/>
              <w:jc w:val="center"/>
            </w:pPr>
            <w:r w:rsidRPr="00037AD4">
              <w:t>0.116</w:t>
            </w:r>
          </w:p>
        </w:tc>
        <w:tc>
          <w:tcPr>
            <w:tcW w:w="512" w:type="pct"/>
            <w:tcBorders>
              <w:top w:val="nil"/>
              <w:left w:val="nil"/>
              <w:bottom w:val="nil"/>
              <w:right w:val="nil"/>
            </w:tcBorders>
          </w:tcPr>
          <w:p w14:paraId="6B1E9779"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0FA5E496"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6A3F0A0F"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0F71CACD"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1B7DDCC9"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468BDB58" w14:textId="77777777" w:rsidR="00B54D51" w:rsidRPr="00037AD4" w:rsidRDefault="00B54D51" w:rsidP="00401C67">
            <w:pPr>
              <w:widowControl w:val="0"/>
              <w:autoSpaceDE w:val="0"/>
              <w:autoSpaceDN w:val="0"/>
              <w:adjustRightInd w:val="0"/>
              <w:jc w:val="center"/>
            </w:pPr>
          </w:p>
        </w:tc>
      </w:tr>
      <w:tr w:rsidR="00B54D51" w:rsidRPr="00037AD4" w14:paraId="60872F23" w14:textId="77777777" w:rsidTr="00401C67">
        <w:trPr>
          <w:jc w:val="center"/>
        </w:trPr>
        <w:tc>
          <w:tcPr>
            <w:tcW w:w="1414" w:type="pct"/>
            <w:tcBorders>
              <w:top w:val="nil"/>
              <w:left w:val="nil"/>
              <w:bottom w:val="nil"/>
              <w:right w:val="nil"/>
            </w:tcBorders>
          </w:tcPr>
          <w:p w14:paraId="58D7217E" w14:textId="77777777" w:rsidR="00B54D51" w:rsidRPr="00037AD4" w:rsidRDefault="00B54D51" w:rsidP="00401C67">
            <w:pPr>
              <w:widowControl w:val="0"/>
              <w:autoSpaceDE w:val="0"/>
              <w:autoSpaceDN w:val="0"/>
              <w:adjustRightInd w:val="0"/>
            </w:pPr>
          </w:p>
        </w:tc>
        <w:tc>
          <w:tcPr>
            <w:tcW w:w="512" w:type="pct"/>
            <w:tcBorders>
              <w:top w:val="nil"/>
              <w:left w:val="nil"/>
              <w:bottom w:val="nil"/>
              <w:right w:val="nil"/>
            </w:tcBorders>
          </w:tcPr>
          <w:p w14:paraId="502CCA4B" w14:textId="77777777" w:rsidR="00B54D51" w:rsidRPr="00037AD4" w:rsidRDefault="00B54D51" w:rsidP="00401C67">
            <w:pPr>
              <w:widowControl w:val="0"/>
              <w:autoSpaceDE w:val="0"/>
              <w:autoSpaceDN w:val="0"/>
              <w:adjustRightInd w:val="0"/>
              <w:jc w:val="center"/>
            </w:pPr>
            <w:r w:rsidRPr="00037AD4">
              <w:t>(-0.077 - 0.310)</w:t>
            </w:r>
          </w:p>
        </w:tc>
        <w:tc>
          <w:tcPr>
            <w:tcW w:w="512" w:type="pct"/>
            <w:tcBorders>
              <w:top w:val="nil"/>
              <w:left w:val="nil"/>
              <w:bottom w:val="nil"/>
              <w:right w:val="nil"/>
            </w:tcBorders>
          </w:tcPr>
          <w:p w14:paraId="6159922F"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444A0757"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67086E84"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4984BCF5"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0451D847"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52E2C407" w14:textId="77777777" w:rsidR="00B54D51" w:rsidRPr="00037AD4" w:rsidRDefault="00B54D51" w:rsidP="00401C67">
            <w:pPr>
              <w:widowControl w:val="0"/>
              <w:autoSpaceDE w:val="0"/>
              <w:autoSpaceDN w:val="0"/>
              <w:adjustRightInd w:val="0"/>
              <w:jc w:val="center"/>
            </w:pPr>
          </w:p>
        </w:tc>
      </w:tr>
      <w:tr w:rsidR="00B54D51" w:rsidRPr="00037AD4" w14:paraId="124AA638" w14:textId="77777777" w:rsidTr="00401C67">
        <w:trPr>
          <w:jc w:val="center"/>
        </w:trPr>
        <w:tc>
          <w:tcPr>
            <w:tcW w:w="1414" w:type="pct"/>
            <w:tcBorders>
              <w:top w:val="nil"/>
              <w:left w:val="nil"/>
              <w:bottom w:val="nil"/>
              <w:right w:val="nil"/>
            </w:tcBorders>
          </w:tcPr>
          <w:p w14:paraId="3D282F73" w14:textId="77777777" w:rsidR="00B54D51" w:rsidRPr="00037AD4" w:rsidRDefault="00B54D51" w:rsidP="00401C67">
            <w:pPr>
              <w:widowControl w:val="0"/>
              <w:autoSpaceDE w:val="0"/>
              <w:autoSpaceDN w:val="0"/>
              <w:adjustRightInd w:val="0"/>
            </w:pPr>
            <w:r w:rsidRPr="00037AD4">
              <w:t>3.eq1SR_</w:t>
            </w:r>
          </w:p>
        </w:tc>
        <w:tc>
          <w:tcPr>
            <w:tcW w:w="512" w:type="pct"/>
            <w:tcBorders>
              <w:top w:val="nil"/>
              <w:left w:val="nil"/>
              <w:bottom w:val="nil"/>
              <w:right w:val="nil"/>
            </w:tcBorders>
          </w:tcPr>
          <w:p w14:paraId="49B13188" w14:textId="77777777" w:rsidR="00B54D51" w:rsidRPr="00037AD4" w:rsidRDefault="00B54D51" w:rsidP="00401C67">
            <w:pPr>
              <w:widowControl w:val="0"/>
              <w:autoSpaceDE w:val="0"/>
              <w:autoSpaceDN w:val="0"/>
              <w:adjustRightInd w:val="0"/>
              <w:jc w:val="center"/>
            </w:pPr>
            <w:r w:rsidRPr="00037AD4">
              <w:t>0.096</w:t>
            </w:r>
          </w:p>
        </w:tc>
        <w:tc>
          <w:tcPr>
            <w:tcW w:w="512" w:type="pct"/>
            <w:tcBorders>
              <w:top w:val="nil"/>
              <w:left w:val="nil"/>
              <w:bottom w:val="nil"/>
              <w:right w:val="nil"/>
            </w:tcBorders>
          </w:tcPr>
          <w:p w14:paraId="2DC617AF"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23874FEB"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1911BED1"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58D22699"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111FB126"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07DBB20F" w14:textId="77777777" w:rsidR="00B54D51" w:rsidRPr="00037AD4" w:rsidRDefault="00B54D51" w:rsidP="00401C67">
            <w:pPr>
              <w:widowControl w:val="0"/>
              <w:autoSpaceDE w:val="0"/>
              <w:autoSpaceDN w:val="0"/>
              <w:adjustRightInd w:val="0"/>
              <w:jc w:val="center"/>
            </w:pPr>
          </w:p>
        </w:tc>
      </w:tr>
      <w:tr w:rsidR="00B54D51" w:rsidRPr="00037AD4" w14:paraId="6B66213D" w14:textId="77777777" w:rsidTr="00401C67">
        <w:trPr>
          <w:jc w:val="center"/>
        </w:trPr>
        <w:tc>
          <w:tcPr>
            <w:tcW w:w="1414" w:type="pct"/>
            <w:tcBorders>
              <w:top w:val="nil"/>
              <w:left w:val="nil"/>
              <w:bottom w:val="nil"/>
              <w:right w:val="nil"/>
            </w:tcBorders>
          </w:tcPr>
          <w:p w14:paraId="54D771BB" w14:textId="77777777" w:rsidR="00B54D51" w:rsidRPr="00037AD4" w:rsidRDefault="00B54D51" w:rsidP="00401C67">
            <w:pPr>
              <w:widowControl w:val="0"/>
              <w:autoSpaceDE w:val="0"/>
              <w:autoSpaceDN w:val="0"/>
              <w:adjustRightInd w:val="0"/>
            </w:pPr>
          </w:p>
        </w:tc>
        <w:tc>
          <w:tcPr>
            <w:tcW w:w="512" w:type="pct"/>
            <w:tcBorders>
              <w:top w:val="nil"/>
              <w:left w:val="nil"/>
              <w:bottom w:val="nil"/>
              <w:right w:val="nil"/>
            </w:tcBorders>
          </w:tcPr>
          <w:p w14:paraId="68330665" w14:textId="77777777" w:rsidR="00B54D51" w:rsidRPr="00037AD4" w:rsidRDefault="00B54D51" w:rsidP="00401C67">
            <w:pPr>
              <w:widowControl w:val="0"/>
              <w:autoSpaceDE w:val="0"/>
              <w:autoSpaceDN w:val="0"/>
              <w:adjustRightInd w:val="0"/>
              <w:jc w:val="center"/>
            </w:pPr>
            <w:r w:rsidRPr="00037AD4">
              <w:t>(-0.166 - 0.357)</w:t>
            </w:r>
          </w:p>
        </w:tc>
        <w:tc>
          <w:tcPr>
            <w:tcW w:w="512" w:type="pct"/>
            <w:tcBorders>
              <w:top w:val="nil"/>
              <w:left w:val="nil"/>
              <w:bottom w:val="nil"/>
              <w:right w:val="nil"/>
            </w:tcBorders>
          </w:tcPr>
          <w:p w14:paraId="08894D60"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166A18F2"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7F4BB0CF"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15CAFE8C"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2793F264"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71C69C46" w14:textId="77777777" w:rsidR="00B54D51" w:rsidRPr="00037AD4" w:rsidRDefault="00B54D51" w:rsidP="00401C67">
            <w:pPr>
              <w:widowControl w:val="0"/>
              <w:autoSpaceDE w:val="0"/>
              <w:autoSpaceDN w:val="0"/>
              <w:adjustRightInd w:val="0"/>
              <w:jc w:val="center"/>
            </w:pPr>
          </w:p>
        </w:tc>
      </w:tr>
      <w:tr w:rsidR="00B54D51" w:rsidRPr="00037AD4" w14:paraId="1071F641" w14:textId="77777777" w:rsidTr="00401C67">
        <w:trPr>
          <w:jc w:val="center"/>
        </w:trPr>
        <w:tc>
          <w:tcPr>
            <w:tcW w:w="1414" w:type="pct"/>
            <w:tcBorders>
              <w:top w:val="nil"/>
              <w:left w:val="nil"/>
              <w:bottom w:val="nil"/>
              <w:right w:val="nil"/>
            </w:tcBorders>
          </w:tcPr>
          <w:p w14:paraId="48160C15" w14:textId="77777777" w:rsidR="00B54D51" w:rsidRPr="00037AD4" w:rsidRDefault="00B54D51" w:rsidP="00401C67">
            <w:pPr>
              <w:widowControl w:val="0"/>
              <w:autoSpaceDE w:val="0"/>
              <w:autoSpaceDN w:val="0"/>
              <w:adjustRightInd w:val="0"/>
            </w:pPr>
            <w:r w:rsidRPr="00037AD4">
              <w:t>4.eq1SR_</w:t>
            </w:r>
          </w:p>
        </w:tc>
        <w:tc>
          <w:tcPr>
            <w:tcW w:w="512" w:type="pct"/>
            <w:tcBorders>
              <w:top w:val="nil"/>
              <w:left w:val="nil"/>
              <w:bottom w:val="nil"/>
              <w:right w:val="nil"/>
            </w:tcBorders>
          </w:tcPr>
          <w:p w14:paraId="10DA6344" w14:textId="77777777" w:rsidR="00B54D51" w:rsidRPr="00037AD4" w:rsidRDefault="00B54D51" w:rsidP="00401C67">
            <w:pPr>
              <w:widowControl w:val="0"/>
              <w:autoSpaceDE w:val="0"/>
              <w:autoSpaceDN w:val="0"/>
              <w:adjustRightInd w:val="0"/>
              <w:jc w:val="center"/>
            </w:pPr>
            <w:r w:rsidRPr="00037AD4">
              <w:t>0.278</w:t>
            </w:r>
          </w:p>
        </w:tc>
        <w:tc>
          <w:tcPr>
            <w:tcW w:w="512" w:type="pct"/>
            <w:tcBorders>
              <w:top w:val="nil"/>
              <w:left w:val="nil"/>
              <w:bottom w:val="nil"/>
              <w:right w:val="nil"/>
            </w:tcBorders>
          </w:tcPr>
          <w:p w14:paraId="251ECED1"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29F0FAB9"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1CCF5A09"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59BDC20A"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5FC9F15E"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613D8707" w14:textId="77777777" w:rsidR="00B54D51" w:rsidRPr="00037AD4" w:rsidRDefault="00B54D51" w:rsidP="00401C67">
            <w:pPr>
              <w:widowControl w:val="0"/>
              <w:autoSpaceDE w:val="0"/>
              <w:autoSpaceDN w:val="0"/>
              <w:adjustRightInd w:val="0"/>
              <w:jc w:val="center"/>
            </w:pPr>
          </w:p>
        </w:tc>
      </w:tr>
      <w:tr w:rsidR="00B54D51" w:rsidRPr="00037AD4" w14:paraId="28C1CCBD" w14:textId="77777777" w:rsidTr="00401C67">
        <w:trPr>
          <w:jc w:val="center"/>
        </w:trPr>
        <w:tc>
          <w:tcPr>
            <w:tcW w:w="1414" w:type="pct"/>
            <w:tcBorders>
              <w:top w:val="nil"/>
              <w:left w:val="nil"/>
              <w:bottom w:val="nil"/>
              <w:right w:val="nil"/>
            </w:tcBorders>
          </w:tcPr>
          <w:p w14:paraId="7F00E5DD" w14:textId="77777777" w:rsidR="00B54D51" w:rsidRPr="00037AD4" w:rsidRDefault="00B54D51" w:rsidP="00401C67">
            <w:pPr>
              <w:widowControl w:val="0"/>
              <w:autoSpaceDE w:val="0"/>
              <w:autoSpaceDN w:val="0"/>
              <w:adjustRightInd w:val="0"/>
            </w:pPr>
          </w:p>
        </w:tc>
        <w:tc>
          <w:tcPr>
            <w:tcW w:w="512" w:type="pct"/>
            <w:tcBorders>
              <w:top w:val="nil"/>
              <w:left w:val="nil"/>
              <w:bottom w:val="nil"/>
              <w:right w:val="nil"/>
            </w:tcBorders>
          </w:tcPr>
          <w:p w14:paraId="607F4FB6" w14:textId="77777777" w:rsidR="00B54D51" w:rsidRPr="00037AD4" w:rsidRDefault="00B54D51" w:rsidP="00401C67">
            <w:pPr>
              <w:widowControl w:val="0"/>
              <w:autoSpaceDE w:val="0"/>
              <w:autoSpaceDN w:val="0"/>
              <w:adjustRightInd w:val="0"/>
              <w:jc w:val="center"/>
            </w:pPr>
            <w:r w:rsidRPr="00037AD4">
              <w:t>(-0.195 - 0.751)</w:t>
            </w:r>
          </w:p>
        </w:tc>
        <w:tc>
          <w:tcPr>
            <w:tcW w:w="512" w:type="pct"/>
            <w:tcBorders>
              <w:top w:val="nil"/>
              <w:left w:val="nil"/>
              <w:bottom w:val="nil"/>
              <w:right w:val="nil"/>
            </w:tcBorders>
          </w:tcPr>
          <w:p w14:paraId="0F21DFD9"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21953C6F"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753C356E"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21DAA543"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5C02CF2F"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72D321BA" w14:textId="77777777" w:rsidR="00B54D51" w:rsidRPr="00037AD4" w:rsidRDefault="00B54D51" w:rsidP="00401C67">
            <w:pPr>
              <w:widowControl w:val="0"/>
              <w:autoSpaceDE w:val="0"/>
              <w:autoSpaceDN w:val="0"/>
              <w:adjustRightInd w:val="0"/>
              <w:jc w:val="center"/>
            </w:pPr>
          </w:p>
        </w:tc>
      </w:tr>
      <w:tr w:rsidR="00B54D51" w:rsidRPr="00037AD4" w14:paraId="6A02D7AA" w14:textId="77777777" w:rsidTr="00401C67">
        <w:trPr>
          <w:jc w:val="center"/>
        </w:trPr>
        <w:tc>
          <w:tcPr>
            <w:tcW w:w="1414" w:type="pct"/>
            <w:tcBorders>
              <w:top w:val="nil"/>
              <w:left w:val="nil"/>
              <w:bottom w:val="nil"/>
              <w:right w:val="nil"/>
            </w:tcBorders>
          </w:tcPr>
          <w:p w14:paraId="2DD8455B" w14:textId="77777777" w:rsidR="00B54D51" w:rsidRPr="00037AD4" w:rsidRDefault="00B54D51" w:rsidP="00401C67">
            <w:pPr>
              <w:widowControl w:val="0"/>
              <w:autoSpaceDE w:val="0"/>
              <w:autoSpaceDN w:val="0"/>
              <w:adjustRightInd w:val="0"/>
            </w:pPr>
            <w:r w:rsidRPr="00037AD4">
              <w:t>5.eq1SR_</w:t>
            </w:r>
          </w:p>
        </w:tc>
        <w:tc>
          <w:tcPr>
            <w:tcW w:w="512" w:type="pct"/>
            <w:tcBorders>
              <w:top w:val="nil"/>
              <w:left w:val="nil"/>
              <w:bottom w:val="nil"/>
              <w:right w:val="nil"/>
            </w:tcBorders>
          </w:tcPr>
          <w:p w14:paraId="5CE96D9A" w14:textId="77777777" w:rsidR="00B54D51" w:rsidRPr="00037AD4" w:rsidRDefault="00B54D51" w:rsidP="00401C67">
            <w:pPr>
              <w:widowControl w:val="0"/>
              <w:autoSpaceDE w:val="0"/>
              <w:autoSpaceDN w:val="0"/>
              <w:adjustRightInd w:val="0"/>
              <w:jc w:val="center"/>
            </w:pPr>
            <w:r w:rsidRPr="00037AD4">
              <w:t>1.060</w:t>
            </w:r>
          </w:p>
        </w:tc>
        <w:tc>
          <w:tcPr>
            <w:tcW w:w="512" w:type="pct"/>
            <w:tcBorders>
              <w:top w:val="nil"/>
              <w:left w:val="nil"/>
              <w:bottom w:val="nil"/>
              <w:right w:val="nil"/>
            </w:tcBorders>
          </w:tcPr>
          <w:p w14:paraId="021E99F8"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6B057D95"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4CAFA9B4"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0A0E3071"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5D650E8E"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08EC3D93" w14:textId="77777777" w:rsidR="00B54D51" w:rsidRPr="00037AD4" w:rsidRDefault="00B54D51" w:rsidP="00401C67">
            <w:pPr>
              <w:widowControl w:val="0"/>
              <w:autoSpaceDE w:val="0"/>
              <w:autoSpaceDN w:val="0"/>
              <w:adjustRightInd w:val="0"/>
              <w:jc w:val="center"/>
            </w:pPr>
          </w:p>
        </w:tc>
      </w:tr>
      <w:tr w:rsidR="00B54D51" w:rsidRPr="00037AD4" w14:paraId="204D000D" w14:textId="77777777" w:rsidTr="00401C67">
        <w:trPr>
          <w:jc w:val="center"/>
        </w:trPr>
        <w:tc>
          <w:tcPr>
            <w:tcW w:w="1414" w:type="pct"/>
            <w:tcBorders>
              <w:top w:val="nil"/>
              <w:left w:val="nil"/>
              <w:bottom w:val="nil"/>
              <w:right w:val="nil"/>
            </w:tcBorders>
          </w:tcPr>
          <w:p w14:paraId="0A18757E" w14:textId="77777777" w:rsidR="00B54D51" w:rsidRPr="00037AD4" w:rsidRDefault="00B54D51" w:rsidP="00401C67">
            <w:pPr>
              <w:widowControl w:val="0"/>
              <w:autoSpaceDE w:val="0"/>
              <w:autoSpaceDN w:val="0"/>
              <w:adjustRightInd w:val="0"/>
            </w:pPr>
          </w:p>
        </w:tc>
        <w:tc>
          <w:tcPr>
            <w:tcW w:w="512" w:type="pct"/>
            <w:tcBorders>
              <w:top w:val="nil"/>
              <w:left w:val="nil"/>
              <w:bottom w:val="nil"/>
              <w:right w:val="nil"/>
            </w:tcBorders>
          </w:tcPr>
          <w:p w14:paraId="6760295B" w14:textId="77777777" w:rsidR="00B54D51" w:rsidRPr="00037AD4" w:rsidRDefault="00B54D51" w:rsidP="00401C67">
            <w:pPr>
              <w:widowControl w:val="0"/>
              <w:autoSpaceDE w:val="0"/>
              <w:autoSpaceDN w:val="0"/>
              <w:adjustRightInd w:val="0"/>
              <w:jc w:val="center"/>
            </w:pPr>
            <w:r w:rsidRPr="00037AD4">
              <w:t>(-0.600 - 2.720)</w:t>
            </w:r>
          </w:p>
        </w:tc>
        <w:tc>
          <w:tcPr>
            <w:tcW w:w="512" w:type="pct"/>
            <w:tcBorders>
              <w:top w:val="nil"/>
              <w:left w:val="nil"/>
              <w:bottom w:val="nil"/>
              <w:right w:val="nil"/>
            </w:tcBorders>
          </w:tcPr>
          <w:p w14:paraId="6F1F65F1"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2296BF3F"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0C338E8F"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30F0C00B"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1F043366"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7F349BE1" w14:textId="77777777" w:rsidR="00B54D51" w:rsidRPr="00037AD4" w:rsidRDefault="00B54D51" w:rsidP="00401C67">
            <w:pPr>
              <w:widowControl w:val="0"/>
              <w:autoSpaceDE w:val="0"/>
              <w:autoSpaceDN w:val="0"/>
              <w:adjustRightInd w:val="0"/>
              <w:jc w:val="center"/>
            </w:pPr>
          </w:p>
        </w:tc>
      </w:tr>
      <w:tr w:rsidR="00B54D51" w:rsidRPr="00037AD4" w14:paraId="0F543A6A" w14:textId="77777777" w:rsidTr="00401C67">
        <w:trPr>
          <w:jc w:val="center"/>
        </w:trPr>
        <w:tc>
          <w:tcPr>
            <w:tcW w:w="1414" w:type="pct"/>
            <w:tcBorders>
              <w:top w:val="nil"/>
              <w:left w:val="nil"/>
              <w:bottom w:val="nil"/>
              <w:right w:val="nil"/>
            </w:tcBorders>
          </w:tcPr>
          <w:p w14:paraId="4507A932" w14:textId="77777777" w:rsidR="00B54D51" w:rsidRPr="00037AD4" w:rsidRDefault="00B54D51" w:rsidP="00401C67">
            <w:pPr>
              <w:widowControl w:val="0"/>
              <w:autoSpaceDE w:val="0"/>
              <w:autoSpaceDN w:val="0"/>
              <w:adjustRightInd w:val="0"/>
            </w:pPr>
            <w:r w:rsidRPr="00037AD4">
              <w:t>2.eq2SR_</w:t>
            </w:r>
          </w:p>
        </w:tc>
        <w:tc>
          <w:tcPr>
            <w:tcW w:w="512" w:type="pct"/>
            <w:tcBorders>
              <w:top w:val="nil"/>
              <w:left w:val="nil"/>
              <w:bottom w:val="nil"/>
              <w:right w:val="nil"/>
            </w:tcBorders>
          </w:tcPr>
          <w:p w14:paraId="51F2BF06" w14:textId="77777777" w:rsidR="00B54D51" w:rsidRPr="00037AD4" w:rsidRDefault="00B54D51" w:rsidP="00401C67">
            <w:pPr>
              <w:widowControl w:val="0"/>
              <w:autoSpaceDE w:val="0"/>
              <w:autoSpaceDN w:val="0"/>
              <w:adjustRightInd w:val="0"/>
              <w:jc w:val="center"/>
            </w:pPr>
            <w:r w:rsidRPr="00037AD4">
              <w:t>0.151</w:t>
            </w:r>
          </w:p>
        </w:tc>
        <w:tc>
          <w:tcPr>
            <w:tcW w:w="512" w:type="pct"/>
            <w:tcBorders>
              <w:top w:val="nil"/>
              <w:left w:val="nil"/>
              <w:bottom w:val="nil"/>
              <w:right w:val="nil"/>
            </w:tcBorders>
          </w:tcPr>
          <w:p w14:paraId="68973D8B"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0D20DAB6"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40732A18"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1D22BA7B"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5858B967"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5ECD9183" w14:textId="77777777" w:rsidR="00B54D51" w:rsidRPr="00037AD4" w:rsidRDefault="00B54D51" w:rsidP="00401C67">
            <w:pPr>
              <w:widowControl w:val="0"/>
              <w:autoSpaceDE w:val="0"/>
              <w:autoSpaceDN w:val="0"/>
              <w:adjustRightInd w:val="0"/>
              <w:jc w:val="center"/>
            </w:pPr>
          </w:p>
        </w:tc>
      </w:tr>
      <w:tr w:rsidR="00B54D51" w:rsidRPr="00037AD4" w14:paraId="5421EBDA" w14:textId="77777777" w:rsidTr="00401C67">
        <w:trPr>
          <w:jc w:val="center"/>
        </w:trPr>
        <w:tc>
          <w:tcPr>
            <w:tcW w:w="1414" w:type="pct"/>
            <w:tcBorders>
              <w:top w:val="nil"/>
              <w:left w:val="nil"/>
              <w:bottom w:val="nil"/>
              <w:right w:val="nil"/>
            </w:tcBorders>
          </w:tcPr>
          <w:p w14:paraId="2D51B699" w14:textId="77777777" w:rsidR="00B54D51" w:rsidRPr="00037AD4" w:rsidRDefault="00B54D51" w:rsidP="00401C67">
            <w:pPr>
              <w:widowControl w:val="0"/>
              <w:autoSpaceDE w:val="0"/>
              <w:autoSpaceDN w:val="0"/>
              <w:adjustRightInd w:val="0"/>
            </w:pPr>
          </w:p>
        </w:tc>
        <w:tc>
          <w:tcPr>
            <w:tcW w:w="512" w:type="pct"/>
            <w:tcBorders>
              <w:top w:val="nil"/>
              <w:left w:val="nil"/>
              <w:bottom w:val="nil"/>
              <w:right w:val="nil"/>
            </w:tcBorders>
          </w:tcPr>
          <w:p w14:paraId="32D6C700" w14:textId="77777777" w:rsidR="00B54D51" w:rsidRPr="00037AD4" w:rsidRDefault="00B54D51" w:rsidP="00401C67">
            <w:pPr>
              <w:widowControl w:val="0"/>
              <w:autoSpaceDE w:val="0"/>
              <w:autoSpaceDN w:val="0"/>
              <w:adjustRightInd w:val="0"/>
              <w:jc w:val="center"/>
            </w:pPr>
            <w:r w:rsidRPr="00037AD4">
              <w:t>(-0.069 - 0.372)</w:t>
            </w:r>
          </w:p>
        </w:tc>
        <w:tc>
          <w:tcPr>
            <w:tcW w:w="512" w:type="pct"/>
            <w:tcBorders>
              <w:top w:val="nil"/>
              <w:left w:val="nil"/>
              <w:bottom w:val="nil"/>
              <w:right w:val="nil"/>
            </w:tcBorders>
          </w:tcPr>
          <w:p w14:paraId="749D2669"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4BD77B10"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2498E477"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18815FEE"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3649F7DE"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4EB6C149" w14:textId="77777777" w:rsidR="00B54D51" w:rsidRPr="00037AD4" w:rsidRDefault="00B54D51" w:rsidP="00401C67">
            <w:pPr>
              <w:widowControl w:val="0"/>
              <w:autoSpaceDE w:val="0"/>
              <w:autoSpaceDN w:val="0"/>
              <w:adjustRightInd w:val="0"/>
              <w:jc w:val="center"/>
            </w:pPr>
          </w:p>
        </w:tc>
      </w:tr>
      <w:tr w:rsidR="00B54D51" w:rsidRPr="00037AD4" w14:paraId="3D82D91F" w14:textId="77777777" w:rsidTr="00401C67">
        <w:trPr>
          <w:jc w:val="center"/>
        </w:trPr>
        <w:tc>
          <w:tcPr>
            <w:tcW w:w="1414" w:type="pct"/>
            <w:tcBorders>
              <w:top w:val="nil"/>
              <w:left w:val="nil"/>
              <w:bottom w:val="nil"/>
              <w:right w:val="nil"/>
            </w:tcBorders>
          </w:tcPr>
          <w:p w14:paraId="3461FE56" w14:textId="77777777" w:rsidR="00B54D51" w:rsidRPr="00037AD4" w:rsidRDefault="00B54D51" w:rsidP="00401C67">
            <w:pPr>
              <w:widowControl w:val="0"/>
              <w:autoSpaceDE w:val="0"/>
              <w:autoSpaceDN w:val="0"/>
              <w:adjustRightInd w:val="0"/>
            </w:pPr>
            <w:r w:rsidRPr="00037AD4">
              <w:t>3.eq2SR_</w:t>
            </w:r>
          </w:p>
        </w:tc>
        <w:tc>
          <w:tcPr>
            <w:tcW w:w="512" w:type="pct"/>
            <w:tcBorders>
              <w:top w:val="nil"/>
              <w:left w:val="nil"/>
              <w:bottom w:val="nil"/>
              <w:right w:val="nil"/>
            </w:tcBorders>
          </w:tcPr>
          <w:p w14:paraId="2E66F18D" w14:textId="77777777" w:rsidR="00B54D51" w:rsidRPr="00037AD4" w:rsidRDefault="00B54D51" w:rsidP="00401C67">
            <w:pPr>
              <w:widowControl w:val="0"/>
              <w:autoSpaceDE w:val="0"/>
              <w:autoSpaceDN w:val="0"/>
              <w:adjustRightInd w:val="0"/>
              <w:jc w:val="center"/>
            </w:pPr>
            <w:r w:rsidRPr="00037AD4">
              <w:t>-0.269*</w:t>
            </w:r>
          </w:p>
        </w:tc>
        <w:tc>
          <w:tcPr>
            <w:tcW w:w="512" w:type="pct"/>
            <w:tcBorders>
              <w:top w:val="nil"/>
              <w:left w:val="nil"/>
              <w:bottom w:val="nil"/>
              <w:right w:val="nil"/>
            </w:tcBorders>
          </w:tcPr>
          <w:p w14:paraId="3E4D6C90"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3B4AAEF3"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3B266390"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4AC6697F"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38CA1357"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3B54C127" w14:textId="77777777" w:rsidR="00B54D51" w:rsidRPr="00037AD4" w:rsidRDefault="00B54D51" w:rsidP="00401C67">
            <w:pPr>
              <w:widowControl w:val="0"/>
              <w:autoSpaceDE w:val="0"/>
              <w:autoSpaceDN w:val="0"/>
              <w:adjustRightInd w:val="0"/>
              <w:jc w:val="center"/>
            </w:pPr>
          </w:p>
        </w:tc>
      </w:tr>
      <w:tr w:rsidR="00B54D51" w:rsidRPr="00037AD4" w14:paraId="636583D5" w14:textId="77777777" w:rsidTr="00401C67">
        <w:trPr>
          <w:jc w:val="center"/>
        </w:trPr>
        <w:tc>
          <w:tcPr>
            <w:tcW w:w="1414" w:type="pct"/>
            <w:tcBorders>
              <w:top w:val="nil"/>
              <w:left w:val="nil"/>
              <w:bottom w:val="nil"/>
              <w:right w:val="nil"/>
            </w:tcBorders>
          </w:tcPr>
          <w:p w14:paraId="5FD05FF0" w14:textId="77777777" w:rsidR="00B54D51" w:rsidRPr="00037AD4" w:rsidRDefault="00B54D51" w:rsidP="00401C67">
            <w:pPr>
              <w:widowControl w:val="0"/>
              <w:autoSpaceDE w:val="0"/>
              <w:autoSpaceDN w:val="0"/>
              <w:adjustRightInd w:val="0"/>
            </w:pPr>
          </w:p>
        </w:tc>
        <w:tc>
          <w:tcPr>
            <w:tcW w:w="512" w:type="pct"/>
            <w:tcBorders>
              <w:top w:val="nil"/>
              <w:left w:val="nil"/>
              <w:bottom w:val="nil"/>
              <w:right w:val="nil"/>
            </w:tcBorders>
          </w:tcPr>
          <w:p w14:paraId="57FD66AF" w14:textId="77777777" w:rsidR="00B54D51" w:rsidRPr="00037AD4" w:rsidRDefault="00B54D51" w:rsidP="00401C67">
            <w:pPr>
              <w:widowControl w:val="0"/>
              <w:autoSpaceDE w:val="0"/>
              <w:autoSpaceDN w:val="0"/>
              <w:adjustRightInd w:val="0"/>
              <w:jc w:val="center"/>
            </w:pPr>
            <w:r w:rsidRPr="00037AD4">
              <w:t>(-0.544 - 0.007)</w:t>
            </w:r>
          </w:p>
        </w:tc>
        <w:tc>
          <w:tcPr>
            <w:tcW w:w="512" w:type="pct"/>
            <w:tcBorders>
              <w:top w:val="nil"/>
              <w:left w:val="nil"/>
              <w:bottom w:val="nil"/>
              <w:right w:val="nil"/>
            </w:tcBorders>
          </w:tcPr>
          <w:p w14:paraId="2F592204"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097AB026"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42C45A3A"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01C6344C"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2BD0F731"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0AA7D365" w14:textId="77777777" w:rsidR="00B54D51" w:rsidRPr="00037AD4" w:rsidRDefault="00B54D51" w:rsidP="00401C67">
            <w:pPr>
              <w:widowControl w:val="0"/>
              <w:autoSpaceDE w:val="0"/>
              <w:autoSpaceDN w:val="0"/>
              <w:adjustRightInd w:val="0"/>
              <w:jc w:val="center"/>
            </w:pPr>
          </w:p>
        </w:tc>
      </w:tr>
      <w:tr w:rsidR="00B54D51" w:rsidRPr="00037AD4" w14:paraId="4483F0DB" w14:textId="77777777" w:rsidTr="00401C67">
        <w:trPr>
          <w:jc w:val="center"/>
        </w:trPr>
        <w:tc>
          <w:tcPr>
            <w:tcW w:w="1414" w:type="pct"/>
            <w:tcBorders>
              <w:top w:val="nil"/>
              <w:left w:val="nil"/>
              <w:bottom w:val="nil"/>
              <w:right w:val="nil"/>
            </w:tcBorders>
          </w:tcPr>
          <w:p w14:paraId="487F80C8" w14:textId="77777777" w:rsidR="00B54D51" w:rsidRPr="00037AD4" w:rsidRDefault="00B54D51" w:rsidP="00401C67">
            <w:pPr>
              <w:widowControl w:val="0"/>
              <w:autoSpaceDE w:val="0"/>
              <w:autoSpaceDN w:val="0"/>
              <w:adjustRightInd w:val="0"/>
            </w:pPr>
            <w:r w:rsidRPr="00037AD4">
              <w:t>4.eq2SR_</w:t>
            </w:r>
          </w:p>
        </w:tc>
        <w:tc>
          <w:tcPr>
            <w:tcW w:w="512" w:type="pct"/>
            <w:tcBorders>
              <w:top w:val="nil"/>
              <w:left w:val="nil"/>
              <w:bottom w:val="nil"/>
              <w:right w:val="nil"/>
            </w:tcBorders>
          </w:tcPr>
          <w:p w14:paraId="5E7C62E7" w14:textId="77777777" w:rsidR="00B54D51" w:rsidRPr="00037AD4" w:rsidRDefault="00B54D51" w:rsidP="00401C67">
            <w:pPr>
              <w:widowControl w:val="0"/>
              <w:autoSpaceDE w:val="0"/>
              <w:autoSpaceDN w:val="0"/>
              <w:adjustRightInd w:val="0"/>
              <w:jc w:val="center"/>
            </w:pPr>
            <w:r w:rsidRPr="00037AD4">
              <w:t>-0.181</w:t>
            </w:r>
          </w:p>
        </w:tc>
        <w:tc>
          <w:tcPr>
            <w:tcW w:w="512" w:type="pct"/>
            <w:tcBorders>
              <w:top w:val="nil"/>
              <w:left w:val="nil"/>
              <w:bottom w:val="nil"/>
              <w:right w:val="nil"/>
            </w:tcBorders>
          </w:tcPr>
          <w:p w14:paraId="64EB277C"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2C56ABA5"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1403AC7D"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6BFCFF30"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63D6D516"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43B9A88D" w14:textId="77777777" w:rsidR="00B54D51" w:rsidRPr="00037AD4" w:rsidRDefault="00B54D51" w:rsidP="00401C67">
            <w:pPr>
              <w:widowControl w:val="0"/>
              <w:autoSpaceDE w:val="0"/>
              <w:autoSpaceDN w:val="0"/>
              <w:adjustRightInd w:val="0"/>
              <w:jc w:val="center"/>
            </w:pPr>
          </w:p>
        </w:tc>
      </w:tr>
      <w:tr w:rsidR="00B54D51" w:rsidRPr="00037AD4" w14:paraId="78723BF6" w14:textId="77777777" w:rsidTr="00401C67">
        <w:trPr>
          <w:jc w:val="center"/>
        </w:trPr>
        <w:tc>
          <w:tcPr>
            <w:tcW w:w="1414" w:type="pct"/>
            <w:tcBorders>
              <w:top w:val="nil"/>
              <w:left w:val="nil"/>
              <w:bottom w:val="nil"/>
              <w:right w:val="nil"/>
            </w:tcBorders>
          </w:tcPr>
          <w:p w14:paraId="14BBCDEA" w14:textId="77777777" w:rsidR="00B54D51" w:rsidRPr="00037AD4" w:rsidRDefault="00B54D51" w:rsidP="00401C67">
            <w:pPr>
              <w:widowControl w:val="0"/>
              <w:autoSpaceDE w:val="0"/>
              <w:autoSpaceDN w:val="0"/>
              <w:adjustRightInd w:val="0"/>
            </w:pPr>
          </w:p>
        </w:tc>
        <w:tc>
          <w:tcPr>
            <w:tcW w:w="512" w:type="pct"/>
            <w:tcBorders>
              <w:top w:val="nil"/>
              <w:left w:val="nil"/>
              <w:bottom w:val="nil"/>
              <w:right w:val="nil"/>
            </w:tcBorders>
          </w:tcPr>
          <w:p w14:paraId="03D74102" w14:textId="77777777" w:rsidR="00B54D51" w:rsidRPr="00037AD4" w:rsidRDefault="00B54D51" w:rsidP="00401C67">
            <w:pPr>
              <w:widowControl w:val="0"/>
              <w:autoSpaceDE w:val="0"/>
              <w:autoSpaceDN w:val="0"/>
              <w:adjustRightInd w:val="0"/>
              <w:jc w:val="center"/>
            </w:pPr>
            <w:r w:rsidRPr="00037AD4">
              <w:t>(-0.556 - 0.194)</w:t>
            </w:r>
          </w:p>
        </w:tc>
        <w:tc>
          <w:tcPr>
            <w:tcW w:w="512" w:type="pct"/>
            <w:tcBorders>
              <w:top w:val="nil"/>
              <w:left w:val="nil"/>
              <w:bottom w:val="nil"/>
              <w:right w:val="nil"/>
            </w:tcBorders>
          </w:tcPr>
          <w:p w14:paraId="73E5A9A3"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4CA9D018"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29A1088E"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21D1EF47"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0DD53968"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4808109D" w14:textId="77777777" w:rsidR="00B54D51" w:rsidRPr="00037AD4" w:rsidRDefault="00B54D51" w:rsidP="00401C67">
            <w:pPr>
              <w:widowControl w:val="0"/>
              <w:autoSpaceDE w:val="0"/>
              <w:autoSpaceDN w:val="0"/>
              <w:adjustRightInd w:val="0"/>
              <w:jc w:val="center"/>
            </w:pPr>
          </w:p>
        </w:tc>
      </w:tr>
      <w:tr w:rsidR="00B54D51" w:rsidRPr="00037AD4" w14:paraId="3DB6C242" w14:textId="77777777" w:rsidTr="00401C67">
        <w:trPr>
          <w:jc w:val="center"/>
        </w:trPr>
        <w:tc>
          <w:tcPr>
            <w:tcW w:w="1414" w:type="pct"/>
            <w:tcBorders>
              <w:top w:val="nil"/>
              <w:left w:val="nil"/>
              <w:bottom w:val="nil"/>
              <w:right w:val="nil"/>
            </w:tcBorders>
          </w:tcPr>
          <w:p w14:paraId="51733FE8" w14:textId="77777777" w:rsidR="00B54D51" w:rsidRPr="00037AD4" w:rsidRDefault="00B54D51" w:rsidP="00401C67">
            <w:pPr>
              <w:widowControl w:val="0"/>
              <w:autoSpaceDE w:val="0"/>
              <w:autoSpaceDN w:val="0"/>
              <w:adjustRightInd w:val="0"/>
            </w:pPr>
            <w:r w:rsidRPr="00037AD4">
              <w:t>5.eq2SR_</w:t>
            </w:r>
          </w:p>
        </w:tc>
        <w:tc>
          <w:tcPr>
            <w:tcW w:w="512" w:type="pct"/>
            <w:tcBorders>
              <w:top w:val="nil"/>
              <w:left w:val="nil"/>
              <w:bottom w:val="nil"/>
              <w:right w:val="nil"/>
            </w:tcBorders>
          </w:tcPr>
          <w:p w14:paraId="4D6784B7" w14:textId="77777777" w:rsidR="00B54D51" w:rsidRPr="00037AD4" w:rsidRDefault="00B54D51" w:rsidP="00401C67">
            <w:pPr>
              <w:widowControl w:val="0"/>
              <w:autoSpaceDE w:val="0"/>
              <w:autoSpaceDN w:val="0"/>
              <w:adjustRightInd w:val="0"/>
              <w:jc w:val="center"/>
            </w:pPr>
            <w:r w:rsidRPr="00037AD4">
              <w:t>-0.897*</w:t>
            </w:r>
          </w:p>
        </w:tc>
        <w:tc>
          <w:tcPr>
            <w:tcW w:w="512" w:type="pct"/>
            <w:tcBorders>
              <w:top w:val="nil"/>
              <w:left w:val="nil"/>
              <w:bottom w:val="nil"/>
              <w:right w:val="nil"/>
            </w:tcBorders>
          </w:tcPr>
          <w:p w14:paraId="175B4DBB"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24C1ABF8"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34EF02F0"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505093B8"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3E3FCE37"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30D6DBB0" w14:textId="77777777" w:rsidR="00B54D51" w:rsidRPr="00037AD4" w:rsidRDefault="00B54D51" w:rsidP="00401C67">
            <w:pPr>
              <w:widowControl w:val="0"/>
              <w:autoSpaceDE w:val="0"/>
              <w:autoSpaceDN w:val="0"/>
              <w:adjustRightInd w:val="0"/>
              <w:jc w:val="center"/>
            </w:pPr>
          </w:p>
        </w:tc>
      </w:tr>
      <w:tr w:rsidR="00B54D51" w:rsidRPr="00037AD4" w14:paraId="75154B63" w14:textId="77777777" w:rsidTr="00401C67">
        <w:trPr>
          <w:jc w:val="center"/>
        </w:trPr>
        <w:tc>
          <w:tcPr>
            <w:tcW w:w="1414" w:type="pct"/>
            <w:tcBorders>
              <w:top w:val="nil"/>
              <w:left w:val="nil"/>
              <w:bottom w:val="nil"/>
              <w:right w:val="nil"/>
            </w:tcBorders>
          </w:tcPr>
          <w:p w14:paraId="27473738" w14:textId="77777777" w:rsidR="00B54D51" w:rsidRPr="00037AD4" w:rsidRDefault="00B54D51" w:rsidP="00401C67">
            <w:pPr>
              <w:widowControl w:val="0"/>
              <w:autoSpaceDE w:val="0"/>
              <w:autoSpaceDN w:val="0"/>
              <w:adjustRightInd w:val="0"/>
            </w:pPr>
          </w:p>
        </w:tc>
        <w:tc>
          <w:tcPr>
            <w:tcW w:w="512" w:type="pct"/>
            <w:tcBorders>
              <w:top w:val="nil"/>
              <w:left w:val="nil"/>
              <w:bottom w:val="nil"/>
              <w:right w:val="nil"/>
            </w:tcBorders>
          </w:tcPr>
          <w:p w14:paraId="721E1FA1" w14:textId="77777777" w:rsidR="00B54D51" w:rsidRPr="00037AD4" w:rsidRDefault="00B54D51" w:rsidP="00401C67">
            <w:pPr>
              <w:widowControl w:val="0"/>
              <w:autoSpaceDE w:val="0"/>
              <w:autoSpaceDN w:val="0"/>
              <w:adjustRightInd w:val="0"/>
              <w:jc w:val="center"/>
            </w:pPr>
            <w:r w:rsidRPr="00037AD4">
              <w:t>(-1.826 - 0.033)</w:t>
            </w:r>
          </w:p>
        </w:tc>
        <w:tc>
          <w:tcPr>
            <w:tcW w:w="512" w:type="pct"/>
            <w:tcBorders>
              <w:top w:val="nil"/>
              <w:left w:val="nil"/>
              <w:bottom w:val="nil"/>
              <w:right w:val="nil"/>
            </w:tcBorders>
          </w:tcPr>
          <w:p w14:paraId="08B05DDA"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710D1922"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1E8A1C3F"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336A7022"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155C9AA0"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1CA4B089" w14:textId="77777777" w:rsidR="00B54D51" w:rsidRPr="00037AD4" w:rsidRDefault="00B54D51" w:rsidP="00401C67">
            <w:pPr>
              <w:widowControl w:val="0"/>
              <w:autoSpaceDE w:val="0"/>
              <w:autoSpaceDN w:val="0"/>
              <w:adjustRightInd w:val="0"/>
              <w:jc w:val="center"/>
            </w:pPr>
          </w:p>
        </w:tc>
      </w:tr>
      <w:tr w:rsidR="00B54D51" w:rsidRPr="00037AD4" w14:paraId="1F7C2F50" w14:textId="77777777" w:rsidTr="00401C67">
        <w:trPr>
          <w:jc w:val="center"/>
        </w:trPr>
        <w:tc>
          <w:tcPr>
            <w:tcW w:w="1414" w:type="pct"/>
            <w:tcBorders>
              <w:top w:val="nil"/>
              <w:left w:val="nil"/>
              <w:bottom w:val="nil"/>
              <w:right w:val="nil"/>
            </w:tcBorders>
          </w:tcPr>
          <w:p w14:paraId="4CFA0A14" w14:textId="77777777" w:rsidR="00B54D51" w:rsidRPr="00037AD4" w:rsidRDefault="00B54D51" w:rsidP="00401C67">
            <w:pPr>
              <w:widowControl w:val="0"/>
              <w:autoSpaceDE w:val="0"/>
              <w:autoSpaceDN w:val="0"/>
              <w:adjustRightInd w:val="0"/>
            </w:pPr>
            <w:r w:rsidRPr="00037AD4">
              <w:t>2.eq4SR_</w:t>
            </w:r>
          </w:p>
        </w:tc>
        <w:tc>
          <w:tcPr>
            <w:tcW w:w="512" w:type="pct"/>
            <w:tcBorders>
              <w:top w:val="nil"/>
              <w:left w:val="nil"/>
              <w:bottom w:val="nil"/>
              <w:right w:val="nil"/>
            </w:tcBorders>
          </w:tcPr>
          <w:p w14:paraId="2F617782" w14:textId="77777777" w:rsidR="00B54D51" w:rsidRPr="00037AD4" w:rsidRDefault="00B54D51" w:rsidP="00401C67">
            <w:pPr>
              <w:widowControl w:val="0"/>
              <w:autoSpaceDE w:val="0"/>
              <w:autoSpaceDN w:val="0"/>
              <w:adjustRightInd w:val="0"/>
              <w:jc w:val="center"/>
            </w:pPr>
            <w:r w:rsidRPr="00037AD4">
              <w:t>-0.073</w:t>
            </w:r>
          </w:p>
        </w:tc>
        <w:tc>
          <w:tcPr>
            <w:tcW w:w="512" w:type="pct"/>
            <w:tcBorders>
              <w:top w:val="nil"/>
              <w:left w:val="nil"/>
              <w:bottom w:val="nil"/>
              <w:right w:val="nil"/>
            </w:tcBorders>
          </w:tcPr>
          <w:p w14:paraId="493292B0"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34324952"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0833B166"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42294B07"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4530357E"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6580F677" w14:textId="77777777" w:rsidR="00B54D51" w:rsidRPr="00037AD4" w:rsidRDefault="00B54D51" w:rsidP="00401C67">
            <w:pPr>
              <w:widowControl w:val="0"/>
              <w:autoSpaceDE w:val="0"/>
              <w:autoSpaceDN w:val="0"/>
              <w:adjustRightInd w:val="0"/>
              <w:jc w:val="center"/>
            </w:pPr>
          </w:p>
        </w:tc>
      </w:tr>
      <w:tr w:rsidR="00B54D51" w:rsidRPr="00037AD4" w14:paraId="118F3C3E" w14:textId="77777777" w:rsidTr="00401C67">
        <w:trPr>
          <w:jc w:val="center"/>
        </w:trPr>
        <w:tc>
          <w:tcPr>
            <w:tcW w:w="1414" w:type="pct"/>
            <w:tcBorders>
              <w:top w:val="nil"/>
              <w:left w:val="nil"/>
              <w:bottom w:val="nil"/>
              <w:right w:val="nil"/>
            </w:tcBorders>
          </w:tcPr>
          <w:p w14:paraId="7A2FE21B" w14:textId="77777777" w:rsidR="00B54D51" w:rsidRPr="00037AD4" w:rsidRDefault="00B54D51" w:rsidP="00401C67">
            <w:pPr>
              <w:widowControl w:val="0"/>
              <w:autoSpaceDE w:val="0"/>
              <w:autoSpaceDN w:val="0"/>
              <w:adjustRightInd w:val="0"/>
            </w:pPr>
          </w:p>
        </w:tc>
        <w:tc>
          <w:tcPr>
            <w:tcW w:w="512" w:type="pct"/>
            <w:tcBorders>
              <w:top w:val="nil"/>
              <w:left w:val="nil"/>
              <w:bottom w:val="nil"/>
              <w:right w:val="nil"/>
            </w:tcBorders>
          </w:tcPr>
          <w:p w14:paraId="1A02220B" w14:textId="77777777" w:rsidR="00B54D51" w:rsidRPr="00037AD4" w:rsidRDefault="00B54D51" w:rsidP="00401C67">
            <w:pPr>
              <w:widowControl w:val="0"/>
              <w:autoSpaceDE w:val="0"/>
              <w:autoSpaceDN w:val="0"/>
              <w:adjustRightInd w:val="0"/>
              <w:jc w:val="center"/>
            </w:pPr>
            <w:r w:rsidRPr="00037AD4">
              <w:t>(-0.258 - 0.113)</w:t>
            </w:r>
          </w:p>
        </w:tc>
        <w:tc>
          <w:tcPr>
            <w:tcW w:w="512" w:type="pct"/>
            <w:tcBorders>
              <w:top w:val="nil"/>
              <w:left w:val="nil"/>
              <w:bottom w:val="nil"/>
              <w:right w:val="nil"/>
            </w:tcBorders>
          </w:tcPr>
          <w:p w14:paraId="5EE0B9C4"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6E436FC3"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2C238AB2"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6A8C9612"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2E660E5A"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1C41560F" w14:textId="77777777" w:rsidR="00B54D51" w:rsidRPr="00037AD4" w:rsidRDefault="00B54D51" w:rsidP="00401C67">
            <w:pPr>
              <w:widowControl w:val="0"/>
              <w:autoSpaceDE w:val="0"/>
              <w:autoSpaceDN w:val="0"/>
              <w:adjustRightInd w:val="0"/>
              <w:jc w:val="center"/>
            </w:pPr>
          </w:p>
        </w:tc>
      </w:tr>
      <w:tr w:rsidR="00B54D51" w:rsidRPr="00037AD4" w14:paraId="0AEC3AED" w14:textId="77777777" w:rsidTr="00401C67">
        <w:trPr>
          <w:jc w:val="center"/>
        </w:trPr>
        <w:tc>
          <w:tcPr>
            <w:tcW w:w="1414" w:type="pct"/>
            <w:tcBorders>
              <w:top w:val="nil"/>
              <w:left w:val="nil"/>
              <w:bottom w:val="nil"/>
              <w:right w:val="nil"/>
            </w:tcBorders>
          </w:tcPr>
          <w:p w14:paraId="3F06D23E" w14:textId="77777777" w:rsidR="00B54D51" w:rsidRPr="00037AD4" w:rsidRDefault="00B54D51" w:rsidP="00401C67">
            <w:pPr>
              <w:widowControl w:val="0"/>
              <w:autoSpaceDE w:val="0"/>
              <w:autoSpaceDN w:val="0"/>
              <w:adjustRightInd w:val="0"/>
            </w:pPr>
            <w:r w:rsidRPr="00037AD4">
              <w:t>3.eq4SR_</w:t>
            </w:r>
          </w:p>
        </w:tc>
        <w:tc>
          <w:tcPr>
            <w:tcW w:w="512" w:type="pct"/>
            <w:tcBorders>
              <w:top w:val="nil"/>
              <w:left w:val="nil"/>
              <w:bottom w:val="nil"/>
              <w:right w:val="nil"/>
            </w:tcBorders>
          </w:tcPr>
          <w:p w14:paraId="03BC6573" w14:textId="77777777" w:rsidR="00B54D51" w:rsidRPr="00037AD4" w:rsidRDefault="00B54D51" w:rsidP="00401C67">
            <w:pPr>
              <w:widowControl w:val="0"/>
              <w:autoSpaceDE w:val="0"/>
              <w:autoSpaceDN w:val="0"/>
              <w:adjustRightInd w:val="0"/>
              <w:jc w:val="center"/>
            </w:pPr>
            <w:r w:rsidRPr="00037AD4">
              <w:t>-0.082</w:t>
            </w:r>
          </w:p>
        </w:tc>
        <w:tc>
          <w:tcPr>
            <w:tcW w:w="512" w:type="pct"/>
            <w:tcBorders>
              <w:top w:val="nil"/>
              <w:left w:val="nil"/>
              <w:bottom w:val="nil"/>
              <w:right w:val="nil"/>
            </w:tcBorders>
          </w:tcPr>
          <w:p w14:paraId="6D8CA6D8"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47E9A3E8"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6941C36F"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1AF37675"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09142705"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6529AD5A" w14:textId="77777777" w:rsidR="00B54D51" w:rsidRPr="00037AD4" w:rsidRDefault="00B54D51" w:rsidP="00401C67">
            <w:pPr>
              <w:widowControl w:val="0"/>
              <w:autoSpaceDE w:val="0"/>
              <w:autoSpaceDN w:val="0"/>
              <w:adjustRightInd w:val="0"/>
              <w:jc w:val="center"/>
            </w:pPr>
          </w:p>
        </w:tc>
      </w:tr>
      <w:tr w:rsidR="00B54D51" w:rsidRPr="00037AD4" w14:paraId="4041C321" w14:textId="77777777" w:rsidTr="00401C67">
        <w:trPr>
          <w:jc w:val="center"/>
        </w:trPr>
        <w:tc>
          <w:tcPr>
            <w:tcW w:w="1414" w:type="pct"/>
            <w:tcBorders>
              <w:top w:val="nil"/>
              <w:left w:val="nil"/>
              <w:bottom w:val="nil"/>
              <w:right w:val="nil"/>
            </w:tcBorders>
          </w:tcPr>
          <w:p w14:paraId="239D58C9" w14:textId="77777777" w:rsidR="00B54D51" w:rsidRPr="00037AD4" w:rsidRDefault="00B54D51" w:rsidP="00401C67">
            <w:pPr>
              <w:widowControl w:val="0"/>
              <w:autoSpaceDE w:val="0"/>
              <w:autoSpaceDN w:val="0"/>
              <w:adjustRightInd w:val="0"/>
            </w:pPr>
          </w:p>
        </w:tc>
        <w:tc>
          <w:tcPr>
            <w:tcW w:w="512" w:type="pct"/>
            <w:tcBorders>
              <w:top w:val="nil"/>
              <w:left w:val="nil"/>
              <w:bottom w:val="nil"/>
              <w:right w:val="nil"/>
            </w:tcBorders>
          </w:tcPr>
          <w:p w14:paraId="6663E3D2" w14:textId="77777777" w:rsidR="00B54D51" w:rsidRPr="00037AD4" w:rsidRDefault="00B54D51" w:rsidP="00401C67">
            <w:pPr>
              <w:widowControl w:val="0"/>
              <w:autoSpaceDE w:val="0"/>
              <w:autoSpaceDN w:val="0"/>
              <w:adjustRightInd w:val="0"/>
              <w:jc w:val="center"/>
            </w:pPr>
            <w:r w:rsidRPr="00037AD4">
              <w:t>(-0.322 - 0.158)</w:t>
            </w:r>
          </w:p>
        </w:tc>
        <w:tc>
          <w:tcPr>
            <w:tcW w:w="512" w:type="pct"/>
            <w:tcBorders>
              <w:top w:val="nil"/>
              <w:left w:val="nil"/>
              <w:bottom w:val="nil"/>
              <w:right w:val="nil"/>
            </w:tcBorders>
          </w:tcPr>
          <w:p w14:paraId="2127D019"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0F671CA3"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01C24C9F"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1602141B"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68CA06F5"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2979C9DC" w14:textId="77777777" w:rsidR="00B54D51" w:rsidRPr="00037AD4" w:rsidRDefault="00B54D51" w:rsidP="00401C67">
            <w:pPr>
              <w:widowControl w:val="0"/>
              <w:autoSpaceDE w:val="0"/>
              <w:autoSpaceDN w:val="0"/>
              <w:adjustRightInd w:val="0"/>
              <w:jc w:val="center"/>
            </w:pPr>
          </w:p>
        </w:tc>
      </w:tr>
      <w:tr w:rsidR="00B54D51" w:rsidRPr="00037AD4" w14:paraId="2A7B7513" w14:textId="77777777" w:rsidTr="00401C67">
        <w:trPr>
          <w:jc w:val="center"/>
        </w:trPr>
        <w:tc>
          <w:tcPr>
            <w:tcW w:w="1414" w:type="pct"/>
            <w:tcBorders>
              <w:top w:val="nil"/>
              <w:left w:val="nil"/>
              <w:bottom w:val="nil"/>
              <w:right w:val="nil"/>
            </w:tcBorders>
          </w:tcPr>
          <w:p w14:paraId="35E7AA65" w14:textId="77777777" w:rsidR="00B54D51" w:rsidRPr="00037AD4" w:rsidRDefault="00B54D51" w:rsidP="00401C67">
            <w:pPr>
              <w:widowControl w:val="0"/>
              <w:autoSpaceDE w:val="0"/>
              <w:autoSpaceDN w:val="0"/>
              <w:adjustRightInd w:val="0"/>
            </w:pPr>
            <w:r w:rsidRPr="00037AD4">
              <w:t>4.eq4SR_</w:t>
            </w:r>
          </w:p>
        </w:tc>
        <w:tc>
          <w:tcPr>
            <w:tcW w:w="512" w:type="pct"/>
            <w:tcBorders>
              <w:top w:val="nil"/>
              <w:left w:val="nil"/>
              <w:bottom w:val="nil"/>
              <w:right w:val="nil"/>
            </w:tcBorders>
          </w:tcPr>
          <w:p w14:paraId="1380C3A1" w14:textId="77777777" w:rsidR="00B54D51" w:rsidRPr="00037AD4" w:rsidRDefault="00B54D51" w:rsidP="00401C67">
            <w:pPr>
              <w:widowControl w:val="0"/>
              <w:autoSpaceDE w:val="0"/>
              <w:autoSpaceDN w:val="0"/>
              <w:adjustRightInd w:val="0"/>
              <w:jc w:val="center"/>
            </w:pPr>
            <w:r w:rsidRPr="00037AD4">
              <w:t>0.098</w:t>
            </w:r>
          </w:p>
        </w:tc>
        <w:tc>
          <w:tcPr>
            <w:tcW w:w="512" w:type="pct"/>
            <w:tcBorders>
              <w:top w:val="nil"/>
              <w:left w:val="nil"/>
              <w:bottom w:val="nil"/>
              <w:right w:val="nil"/>
            </w:tcBorders>
          </w:tcPr>
          <w:p w14:paraId="4DDDB049"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4CC0AE38"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16E8820C"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70D1C8D1"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3B11FE8D"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3C5F2E2E" w14:textId="77777777" w:rsidR="00B54D51" w:rsidRPr="00037AD4" w:rsidRDefault="00B54D51" w:rsidP="00401C67">
            <w:pPr>
              <w:widowControl w:val="0"/>
              <w:autoSpaceDE w:val="0"/>
              <w:autoSpaceDN w:val="0"/>
              <w:adjustRightInd w:val="0"/>
              <w:jc w:val="center"/>
            </w:pPr>
          </w:p>
        </w:tc>
      </w:tr>
      <w:tr w:rsidR="00B54D51" w:rsidRPr="00037AD4" w14:paraId="056B8CDB" w14:textId="77777777" w:rsidTr="00401C67">
        <w:trPr>
          <w:jc w:val="center"/>
        </w:trPr>
        <w:tc>
          <w:tcPr>
            <w:tcW w:w="1414" w:type="pct"/>
            <w:tcBorders>
              <w:top w:val="nil"/>
              <w:left w:val="nil"/>
              <w:bottom w:val="nil"/>
              <w:right w:val="nil"/>
            </w:tcBorders>
          </w:tcPr>
          <w:p w14:paraId="5D4735FD" w14:textId="77777777" w:rsidR="00B54D51" w:rsidRPr="00037AD4" w:rsidRDefault="00B54D51" w:rsidP="00401C67">
            <w:pPr>
              <w:widowControl w:val="0"/>
              <w:autoSpaceDE w:val="0"/>
              <w:autoSpaceDN w:val="0"/>
              <w:adjustRightInd w:val="0"/>
            </w:pPr>
          </w:p>
        </w:tc>
        <w:tc>
          <w:tcPr>
            <w:tcW w:w="512" w:type="pct"/>
            <w:tcBorders>
              <w:top w:val="nil"/>
              <w:left w:val="nil"/>
              <w:bottom w:val="nil"/>
              <w:right w:val="nil"/>
            </w:tcBorders>
          </w:tcPr>
          <w:p w14:paraId="0FEF0DD2" w14:textId="77777777" w:rsidR="00B54D51" w:rsidRPr="00037AD4" w:rsidRDefault="00B54D51" w:rsidP="00401C67">
            <w:pPr>
              <w:widowControl w:val="0"/>
              <w:autoSpaceDE w:val="0"/>
              <w:autoSpaceDN w:val="0"/>
              <w:adjustRightInd w:val="0"/>
              <w:jc w:val="center"/>
            </w:pPr>
            <w:r w:rsidRPr="00037AD4">
              <w:t>(-0.308 - 0.504)</w:t>
            </w:r>
          </w:p>
        </w:tc>
        <w:tc>
          <w:tcPr>
            <w:tcW w:w="512" w:type="pct"/>
            <w:tcBorders>
              <w:top w:val="nil"/>
              <w:left w:val="nil"/>
              <w:bottom w:val="nil"/>
              <w:right w:val="nil"/>
            </w:tcBorders>
          </w:tcPr>
          <w:p w14:paraId="60F1DBC6"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39891465"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5AE03BE2"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67663B18"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57F5FA6F"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129551B0" w14:textId="77777777" w:rsidR="00B54D51" w:rsidRPr="00037AD4" w:rsidRDefault="00B54D51" w:rsidP="00401C67">
            <w:pPr>
              <w:widowControl w:val="0"/>
              <w:autoSpaceDE w:val="0"/>
              <w:autoSpaceDN w:val="0"/>
              <w:adjustRightInd w:val="0"/>
              <w:jc w:val="center"/>
            </w:pPr>
          </w:p>
        </w:tc>
      </w:tr>
      <w:tr w:rsidR="00B54D51" w:rsidRPr="00037AD4" w14:paraId="44B5F93E" w14:textId="77777777" w:rsidTr="00401C67">
        <w:trPr>
          <w:jc w:val="center"/>
        </w:trPr>
        <w:tc>
          <w:tcPr>
            <w:tcW w:w="1414" w:type="pct"/>
            <w:tcBorders>
              <w:top w:val="nil"/>
              <w:left w:val="nil"/>
              <w:bottom w:val="nil"/>
              <w:right w:val="nil"/>
            </w:tcBorders>
          </w:tcPr>
          <w:p w14:paraId="0A075EB7" w14:textId="77777777" w:rsidR="00B54D51" w:rsidRPr="00037AD4" w:rsidRDefault="00B54D51" w:rsidP="00401C67">
            <w:pPr>
              <w:widowControl w:val="0"/>
              <w:autoSpaceDE w:val="0"/>
              <w:autoSpaceDN w:val="0"/>
              <w:adjustRightInd w:val="0"/>
            </w:pPr>
            <w:r w:rsidRPr="00037AD4">
              <w:lastRenderedPageBreak/>
              <w:t>5.eq4SR_</w:t>
            </w:r>
          </w:p>
        </w:tc>
        <w:tc>
          <w:tcPr>
            <w:tcW w:w="512" w:type="pct"/>
            <w:tcBorders>
              <w:top w:val="nil"/>
              <w:left w:val="nil"/>
              <w:bottom w:val="nil"/>
              <w:right w:val="nil"/>
            </w:tcBorders>
          </w:tcPr>
          <w:p w14:paraId="57C94BF3" w14:textId="77777777" w:rsidR="00B54D51" w:rsidRPr="00037AD4" w:rsidRDefault="00B54D51" w:rsidP="00401C67">
            <w:pPr>
              <w:widowControl w:val="0"/>
              <w:autoSpaceDE w:val="0"/>
              <w:autoSpaceDN w:val="0"/>
              <w:adjustRightInd w:val="0"/>
              <w:jc w:val="center"/>
            </w:pPr>
            <w:r w:rsidRPr="00037AD4">
              <w:t>1.336***</w:t>
            </w:r>
          </w:p>
        </w:tc>
        <w:tc>
          <w:tcPr>
            <w:tcW w:w="512" w:type="pct"/>
            <w:tcBorders>
              <w:top w:val="nil"/>
              <w:left w:val="nil"/>
              <w:bottom w:val="nil"/>
              <w:right w:val="nil"/>
            </w:tcBorders>
          </w:tcPr>
          <w:p w14:paraId="60738F54"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4C4E727D"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788B119A"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0A2F4C3E"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538C8D69"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5219D966" w14:textId="77777777" w:rsidR="00B54D51" w:rsidRPr="00037AD4" w:rsidRDefault="00B54D51" w:rsidP="00401C67">
            <w:pPr>
              <w:widowControl w:val="0"/>
              <w:autoSpaceDE w:val="0"/>
              <w:autoSpaceDN w:val="0"/>
              <w:adjustRightInd w:val="0"/>
              <w:jc w:val="center"/>
            </w:pPr>
          </w:p>
        </w:tc>
      </w:tr>
      <w:tr w:rsidR="00B54D51" w:rsidRPr="00037AD4" w14:paraId="5B33B80C" w14:textId="77777777" w:rsidTr="00401C67">
        <w:trPr>
          <w:jc w:val="center"/>
        </w:trPr>
        <w:tc>
          <w:tcPr>
            <w:tcW w:w="1414" w:type="pct"/>
            <w:tcBorders>
              <w:top w:val="nil"/>
              <w:left w:val="nil"/>
              <w:bottom w:val="nil"/>
              <w:right w:val="nil"/>
            </w:tcBorders>
          </w:tcPr>
          <w:p w14:paraId="14279B8A" w14:textId="77777777" w:rsidR="00B54D51" w:rsidRPr="00037AD4" w:rsidRDefault="00B54D51" w:rsidP="00401C67">
            <w:pPr>
              <w:widowControl w:val="0"/>
              <w:autoSpaceDE w:val="0"/>
              <w:autoSpaceDN w:val="0"/>
              <w:adjustRightInd w:val="0"/>
            </w:pPr>
          </w:p>
        </w:tc>
        <w:tc>
          <w:tcPr>
            <w:tcW w:w="512" w:type="pct"/>
            <w:tcBorders>
              <w:top w:val="nil"/>
              <w:left w:val="nil"/>
              <w:bottom w:val="nil"/>
              <w:right w:val="nil"/>
            </w:tcBorders>
          </w:tcPr>
          <w:p w14:paraId="4E86B2B5" w14:textId="77777777" w:rsidR="00B54D51" w:rsidRPr="00037AD4" w:rsidRDefault="00B54D51" w:rsidP="00401C67">
            <w:pPr>
              <w:widowControl w:val="0"/>
              <w:autoSpaceDE w:val="0"/>
              <w:autoSpaceDN w:val="0"/>
              <w:adjustRightInd w:val="0"/>
              <w:jc w:val="center"/>
            </w:pPr>
            <w:r w:rsidRPr="00037AD4">
              <w:t>(0.548 - 2.125)</w:t>
            </w:r>
          </w:p>
        </w:tc>
        <w:tc>
          <w:tcPr>
            <w:tcW w:w="512" w:type="pct"/>
            <w:tcBorders>
              <w:top w:val="nil"/>
              <w:left w:val="nil"/>
              <w:bottom w:val="nil"/>
              <w:right w:val="nil"/>
            </w:tcBorders>
          </w:tcPr>
          <w:p w14:paraId="20829EBA"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4E0FF84C"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55B55453"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2870D064"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0AF756CF"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4DCA0BCE" w14:textId="77777777" w:rsidR="00B54D51" w:rsidRPr="00037AD4" w:rsidRDefault="00B54D51" w:rsidP="00401C67">
            <w:pPr>
              <w:widowControl w:val="0"/>
              <w:autoSpaceDE w:val="0"/>
              <w:autoSpaceDN w:val="0"/>
              <w:adjustRightInd w:val="0"/>
              <w:jc w:val="center"/>
            </w:pPr>
          </w:p>
        </w:tc>
      </w:tr>
      <w:tr w:rsidR="00B54D51" w:rsidRPr="00037AD4" w14:paraId="26748E4F" w14:textId="77777777" w:rsidTr="00401C67">
        <w:trPr>
          <w:jc w:val="center"/>
        </w:trPr>
        <w:tc>
          <w:tcPr>
            <w:tcW w:w="1414" w:type="pct"/>
            <w:tcBorders>
              <w:top w:val="nil"/>
              <w:left w:val="nil"/>
              <w:bottom w:val="nil"/>
              <w:right w:val="nil"/>
            </w:tcBorders>
          </w:tcPr>
          <w:p w14:paraId="6A2898DF" w14:textId="77777777" w:rsidR="00B54D51" w:rsidRPr="00037AD4" w:rsidRDefault="00B54D51" w:rsidP="00401C67">
            <w:pPr>
              <w:widowControl w:val="0"/>
              <w:autoSpaceDE w:val="0"/>
              <w:autoSpaceDN w:val="0"/>
              <w:adjustRightInd w:val="0"/>
            </w:pPr>
            <w:r w:rsidRPr="00037AD4">
              <w:t>2.eq5SR_</w:t>
            </w:r>
          </w:p>
        </w:tc>
        <w:tc>
          <w:tcPr>
            <w:tcW w:w="512" w:type="pct"/>
            <w:tcBorders>
              <w:top w:val="nil"/>
              <w:left w:val="nil"/>
              <w:bottom w:val="nil"/>
              <w:right w:val="nil"/>
            </w:tcBorders>
          </w:tcPr>
          <w:p w14:paraId="327D8E29" w14:textId="77777777" w:rsidR="00B54D51" w:rsidRPr="00037AD4" w:rsidRDefault="00B54D51" w:rsidP="00401C67">
            <w:pPr>
              <w:widowControl w:val="0"/>
              <w:autoSpaceDE w:val="0"/>
              <w:autoSpaceDN w:val="0"/>
              <w:adjustRightInd w:val="0"/>
              <w:jc w:val="center"/>
            </w:pPr>
            <w:r w:rsidRPr="00037AD4">
              <w:t>0.123</w:t>
            </w:r>
          </w:p>
        </w:tc>
        <w:tc>
          <w:tcPr>
            <w:tcW w:w="512" w:type="pct"/>
            <w:tcBorders>
              <w:top w:val="nil"/>
              <w:left w:val="nil"/>
              <w:bottom w:val="nil"/>
              <w:right w:val="nil"/>
            </w:tcBorders>
          </w:tcPr>
          <w:p w14:paraId="15C38AFF"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09B812C9"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75B55AB2"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496548EA"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4DAB025D"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34867CF5" w14:textId="77777777" w:rsidR="00B54D51" w:rsidRPr="00037AD4" w:rsidRDefault="00B54D51" w:rsidP="00401C67">
            <w:pPr>
              <w:widowControl w:val="0"/>
              <w:autoSpaceDE w:val="0"/>
              <w:autoSpaceDN w:val="0"/>
              <w:adjustRightInd w:val="0"/>
              <w:jc w:val="center"/>
            </w:pPr>
          </w:p>
        </w:tc>
      </w:tr>
      <w:tr w:rsidR="00B54D51" w:rsidRPr="00037AD4" w14:paraId="7CE64CEA" w14:textId="77777777" w:rsidTr="00401C67">
        <w:trPr>
          <w:jc w:val="center"/>
        </w:trPr>
        <w:tc>
          <w:tcPr>
            <w:tcW w:w="1414" w:type="pct"/>
            <w:tcBorders>
              <w:top w:val="nil"/>
              <w:left w:val="nil"/>
              <w:bottom w:val="nil"/>
              <w:right w:val="nil"/>
            </w:tcBorders>
          </w:tcPr>
          <w:p w14:paraId="6084353A" w14:textId="77777777" w:rsidR="00B54D51" w:rsidRPr="00037AD4" w:rsidRDefault="00B54D51" w:rsidP="00401C67">
            <w:pPr>
              <w:widowControl w:val="0"/>
              <w:autoSpaceDE w:val="0"/>
              <w:autoSpaceDN w:val="0"/>
              <w:adjustRightInd w:val="0"/>
            </w:pPr>
          </w:p>
        </w:tc>
        <w:tc>
          <w:tcPr>
            <w:tcW w:w="512" w:type="pct"/>
            <w:tcBorders>
              <w:top w:val="nil"/>
              <w:left w:val="nil"/>
              <w:bottom w:val="nil"/>
              <w:right w:val="nil"/>
            </w:tcBorders>
          </w:tcPr>
          <w:p w14:paraId="4AFAEBAE" w14:textId="77777777" w:rsidR="00B54D51" w:rsidRPr="00037AD4" w:rsidRDefault="00B54D51" w:rsidP="00401C67">
            <w:pPr>
              <w:widowControl w:val="0"/>
              <w:autoSpaceDE w:val="0"/>
              <w:autoSpaceDN w:val="0"/>
              <w:adjustRightInd w:val="0"/>
              <w:jc w:val="center"/>
            </w:pPr>
            <w:r w:rsidRPr="00037AD4">
              <w:t>(-0.062 - 0.308)</w:t>
            </w:r>
          </w:p>
        </w:tc>
        <w:tc>
          <w:tcPr>
            <w:tcW w:w="512" w:type="pct"/>
            <w:tcBorders>
              <w:top w:val="nil"/>
              <w:left w:val="nil"/>
              <w:bottom w:val="nil"/>
              <w:right w:val="nil"/>
            </w:tcBorders>
          </w:tcPr>
          <w:p w14:paraId="1730447C"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31C00D75"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2FD11520"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03243B61"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2006A80B"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3A69837E" w14:textId="77777777" w:rsidR="00B54D51" w:rsidRPr="00037AD4" w:rsidRDefault="00B54D51" w:rsidP="00401C67">
            <w:pPr>
              <w:widowControl w:val="0"/>
              <w:autoSpaceDE w:val="0"/>
              <w:autoSpaceDN w:val="0"/>
              <w:adjustRightInd w:val="0"/>
              <w:jc w:val="center"/>
            </w:pPr>
          </w:p>
        </w:tc>
      </w:tr>
      <w:tr w:rsidR="00B54D51" w:rsidRPr="00037AD4" w14:paraId="1270857D" w14:textId="77777777" w:rsidTr="00401C67">
        <w:trPr>
          <w:jc w:val="center"/>
        </w:trPr>
        <w:tc>
          <w:tcPr>
            <w:tcW w:w="1414" w:type="pct"/>
            <w:tcBorders>
              <w:top w:val="nil"/>
              <w:left w:val="nil"/>
              <w:bottom w:val="nil"/>
              <w:right w:val="nil"/>
            </w:tcBorders>
          </w:tcPr>
          <w:p w14:paraId="2A21AC8A" w14:textId="77777777" w:rsidR="00B54D51" w:rsidRPr="00037AD4" w:rsidRDefault="00B54D51" w:rsidP="00401C67">
            <w:pPr>
              <w:widowControl w:val="0"/>
              <w:autoSpaceDE w:val="0"/>
              <w:autoSpaceDN w:val="0"/>
              <w:adjustRightInd w:val="0"/>
            </w:pPr>
            <w:r w:rsidRPr="00037AD4">
              <w:t>3.eq5SR_</w:t>
            </w:r>
          </w:p>
        </w:tc>
        <w:tc>
          <w:tcPr>
            <w:tcW w:w="512" w:type="pct"/>
            <w:tcBorders>
              <w:top w:val="nil"/>
              <w:left w:val="nil"/>
              <w:bottom w:val="nil"/>
              <w:right w:val="nil"/>
            </w:tcBorders>
          </w:tcPr>
          <w:p w14:paraId="68E4E39A" w14:textId="77777777" w:rsidR="00B54D51" w:rsidRPr="00037AD4" w:rsidRDefault="00B54D51" w:rsidP="00401C67">
            <w:pPr>
              <w:widowControl w:val="0"/>
              <w:autoSpaceDE w:val="0"/>
              <w:autoSpaceDN w:val="0"/>
              <w:adjustRightInd w:val="0"/>
              <w:jc w:val="center"/>
            </w:pPr>
            <w:r w:rsidRPr="00037AD4">
              <w:t>-0.140</w:t>
            </w:r>
          </w:p>
        </w:tc>
        <w:tc>
          <w:tcPr>
            <w:tcW w:w="512" w:type="pct"/>
            <w:tcBorders>
              <w:top w:val="nil"/>
              <w:left w:val="nil"/>
              <w:bottom w:val="nil"/>
              <w:right w:val="nil"/>
            </w:tcBorders>
          </w:tcPr>
          <w:p w14:paraId="2FFC7100"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0287CF9E"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2F347FDF"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0C1A4C95"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67F8ADF1"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4A35F122" w14:textId="77777777" w:rsidR="00B54D51" w:rsidRPr="00037AD4" w:rsidRDefault="00B54D51" w:rsidP="00401C67">
            <w:pPr>
              <w:widowControl w:val="0"/>
              <w:autoSpaceDE w:val="0"/>
              <w:autoSpaceDN w:val="0"/>
              <w:adjustRightInd w:val="0"/>
              <w:jc w:val="center"/>
            </w:pPr>
          </w:p>
        </w:tc>
      </w:tr>
      <w:tr w:rsidR="00B54D51" w:rsidRPr="00037AD4" w14:paraId="562DDBD0" w14:textId="77777777" w:rsidTr="00401C67">
        <w:trPr>
          <w:jc w:val="center"/>
        </w:trPr>
        <w:tc>
          <w:tcPr>
            <w:tcW w:w="1414" w:type="pct"/>
            <w:tcBorders>
              <w:top w:val="nil"/>
              <w:left w:val="nil"/>
              <w:bottom w:val="nil"/>
              <w:right w:val="nil"/>
            </w:tcBorders>
          </w:tcPr>
          <w:p w14:paraId="01BDC19D" w14:textId="77777777" w:rsidR="00B54D51" w:rsidRPr="00037AD4" w:rsidRDefault="00B54D51" w:rsidP="00401C67">
            <w:pPr>
              <w:widowControl w:val="0"/>
              <w:autoSpaceDE w:val="0"/>
              <w:autoSpaceDN w:val="0"/>
              <w:adjustRightInd w:val="0"/>
            </w:pPr>
          </w:p>
        </w:tc>
        <w:tc>
          <w:tcPr>
            <w:tcW w:w="512" w:type="pct"/>
            <w:tcBorders>
              <w:top w:val="nil"/>
              <w:left w:val="nil"/>
              <w:bottom w:val="nil"/>
              <w:right w:val="nil"/>
            </w:tcBorders>
          </w:tcPr>
          <w:p w14:paraId="67B95629" w14:textId="77777777" w:rsidR="00B54D51" w:rsidRPr="00037AD4" w:rsidRDefault="00B54D51" w:rsidP="00401C67">
            <w:pPr>
              <w:widowControl w:val="0"/>
              <w:autoSpaceDE w:val="0"/>
              <w:autoSpaceDN w:val="0"/>
              <w:adjustRightInd w:val="0"/>
              <w:jc w:val="center"/>
            </w:pPr>
            <w:r w:rsidRPr="00037AD4">
              <w:t>(-0.389 - 0.108)</w:t>
            </w:r>
          </w:p>
        </w:tc>
        <w:tc>
          <w:tcPr>
            <w:tcW w:w="512" w:type="pct"/>
            <w:tcBorders>
              <w:top w:val="nil"/>
              <w:left w:val="nil"/>
              <w:bottom w:val="nil"/>
              <w:right w:val="nil"/>
            </w:tcBorders>
          </w:tcPr>
          <w:p w14:paraId="4C2B5097"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34BF9EB4"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36381DCF"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21DC4D71"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1B93A738"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0A82C78B" w14:textId="77777777" w:rsidR="00B54D51" w:rsidRPr="00037AD4" w:rsidRDefault="00B54D51" w:rsidP="00401C67">
            <w:pPr>
              <w:widowControl w:val="0"/>
              <w:autoSpaceDE w:val="0"/>
              <w:autoSpaceDN w:val="0"/>
              <w:adjustRightInd w:val="0"/>
              <w:jc w:val="center"/>
            </w:pPr>
          </w:p>
        </w:tc>
      </w:tr>
      <w:tr w:rsidR="00B54D51" w:rsidRPr="00037AD4" w14:paraId="4C51F62B" w14:textId="77777777" w:rsidTr="00401C67">
        <w:trPr>
          <w:jc w:val="center"/>
        </w:trPr>
        <w:tc>
          <w:tcPr>
            <w:tcW w:w="1414" w:type="pct"/>
            <w:tcBorders>
              <w:top w:val="nil"/>
              <w:left w:val="nil"/>
              <w:bottom w:val="nil"/>
              <w:right w:val="nil"/>
            </w:tcBorders>
          </w:tcPr>
          <w:p w14:paraId="38569CDF" w14:textId="77777777" w:rsidR="00B54D51" w:rsidRPr="00037AD4" w:rsidRDefault="00B54D51" w:rsidP="00401C67">
            <w:pPr>
              <w:widowControl w:val="0"/>
              <w:autoSpaceDE w:val="0"/>
              <w:autoSpaceDN w:val="0"/>
              <w:adjustRightInd w:val="0"/>
            </w:pPr>
            <w:r w:rsidRPr="00037AD4">
              <w:t>4.eq5SR_</w:t>
            </w:r>
          </w:p>
        </w:tc>
        <w:tc>
          <w:tcPr>
            <w:tcW w:w="512" w:type="pct"/>
            <w:tcBorders>
              <w:top w:val="nil"/>
              <w:left w:val="nil"/>
              <w:bottom w:val="nil"/>
              <w:right w:val="nil"/>
            </w:tcBorders>
          </w:tcPr>
          <w:p w14:paraId="6DCCD679" w14:textId="77777777" w:rsidR="00B54D51" w:rsidRPr="00037AD4" w:rsidRDefault="00B54D51" w:rsidP="00401C67">
            <w:pPr>
              <w:widowControl w:val="0"/>
              <w:autoSpaceDE w:val="0"/>
              <w:autoSpaceDN w:val="0"/>
              <w:adjustRightInd w:val="0"/>
              <w:jc w:val="center"/>
            </w:pPr>
            <w:r w:rsidRPr="00037AD4">
              <w:t>-0.136</w:t>
            </w:r>
          </w:p>
        </w:tc>
        <w:tc>
          <w:tcPr>
            <w:tcW w:w="512" w:type="pct"/>
            <w:tcBorders>
              <w:top w:val="nil"/>
              <w:left w:val="nil"/>
              <w:bottom w:val="nil"/>
              <w:right w:val="nil"/>
            </w:tcBorders>
          </w:tcPr>
          <w:p w14:paraId="664CDA63"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2D6300AD"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4A1DB83A"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71315891"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0D1FA82B"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128325E8" w14:textId="77777777" w:rsidR="00B54D51" w:rsidRPr="00037AD4" w:rsidRDefault="00B54D51" w:rsidP="00401C67">
            <w:pPr>
              <w:widowControl w:val="0"/>
              <w:autoSpaceDE w:val="0"/>
              <w:autoSpaceDN w:val="0"/>
              <w:adjustRightInd w:val="0"/>
              <w:jc w:val="center"/>
            </w:pPr>
          </w:p>
        </w:tc>
      </w:tr>
      <w:tr w:rsidR="00B54D51" w:rsidRPr="00037AD4" w14:paraId="6AD62480" w14:textId="77777777" w:rsidTr="00401C67">
        <w:trPr>
          <w:jc w:val="center"/>
        </w:trPr>
        <w:tc>
          <w:tcPr>
            <w:tcW w:w="1414" w:type="pct"/>
            <w:tcBorders>
              <w:top w:val="nil"/>
              <w:left w:val="nil"/>
              <w:bottom w:val="nil"/>
              <w:right w:val="nil"/>
            </w:tcBorders>
          </w:tcPr>
          <w:p w14:paraId="7F5DB4FF" w14:textId="77777777" w:rsidR="00B54D51" w:rsidRPr="00037AD4" w:rsidRDefault="00B54D51" w:rsidP="00401C67">
            <w:pPr>
              <w:widowControl w:val="0"/>
              <w:autoSpaceDE w:val="0"/>
              <w:autoSpaceDN w:val="0"/>
              <w:adjustRightInd w:val="0"/>
            </w:pPr>
          </w:p>
        </w:tc>
        <w:tc>
          <w:tcPr>
            <w:tcW w:w="512" w:type="pct"/>
            <w:tcBorders>
              <w:top w:val="nil"/>
              <w:left w:val="nil"/>
              <w:bottom w:val="nil"/>
              <w:right w:val="nil"/>
            </w:tcBorders>
          </w:tcPr>
          <w:p w14:paraId="48F5919F" w14:textId="77777777" w:rsidR="00B54D51" w:rsidRPr="00037AD4" w:rsidRDefault="00B54D51" w:rsidP="00401C67">
            <w:pPr>
              <w:widowControl w:val="0"/>
              <w:autoSpaceDE w:val="0"/>
              <w:autoSpaceDN w:val="0"/>
              <w:adjustRightInd w:val="0"/>
              <w:jc w:val="center"/>
            </w:pPr>
            <w:r w:rsidRPr="00037AD4">
              <w:t>(-0.834 - 0.562)</w:t>
            </w:r>
          </w:p>
        </w:tc>
        <w:tc>
          <w:tcPr>
            <w:tcW w:w="512" w:type="pct"/>
            <w:tcBorders>
              <w:top w:val="nil"/>
              <w:left w:val="nil"/>
              <w:bottom w:val="nil"/>
              <w:right w:val="nil"/>
            </w:tcBorders>
          </w:tcPr>
          <w:p w14:paraId="0FE06BB0"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2F8FFA22"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417BB0DC"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413CBED7"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52720C8E"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7C58843D" w14:textId="77777777" w:rsidR="00B54D51" w:rsidRPr="00037AD4" w:rsidRDefault="00B54D51" w:rsidP="00401C67">
            <w:pPr>
              <w:widowControl w:val="0"/>
              <w:autoSpaceDE w:val="0"/>
              <w:autoSpaceDN w:val="0"/>
              <w:adjustRightInd w:val="0"/>
              <w:jc w:val="center"/>
            </w:pPr>
          </w:p>
        </w:tc>
      </w:tr>
      <w:tr w:rsidR="00B54D51" w:rsidRPr="00037AD4" w14:paraId="126269D4" w14:textId="77777777" w:rsidTr="00401C67">
        <w:trPr>
          <w:jc w:val="center"/>
        </w:trPr>
        <w:tc>
          <w:tcPr>
            <w:tcW w:w="1414" w:type="pct"/>
            <w:tcBorders>
              <w:top w:val="nil"/>
              <w:left w:val="nil"/>
              <w:bottom w:val="nil"/>
              <w:right w:val="nil"/>
            </w:tcBorders>
          </w:tcPr>
          <w:p w14:paraId="34432495" w14:textId="77777777" w:rsidR="00B54D51" w:rsidRPr="00037AD4" w:rsidRDefault="00B54D51" w:rsidP="00401C67">
            <w:pPr>
              <w:widowControl w:val="0"/>
              <w:autoSpaceDE w:val="0"/>
              <w:autoSpaceDN w:val="0"/>
              <w:adjustRightInd w:val="0"/>
            </w:pPr>
            <w:r w:rsidRPr="00037AD4">
              <w:t>5.eq5SR_</w:t>
            </w:r>
          </w:p>
        </w:tc>
        <w:tc>
          <w:tcPr>
            <w:tcW w:w="512" w:type="pct"/>
            <w:tcBorders>
              <w:top w:val="nil"/>
              <w:left w:val="nil"/>
              <w:bottom w:val="nil"/>
              <w:right w:val="nil"/>
            </w:tcBorders>
          </w:tcPr>
          <w:p w14:paraId="0EDF3921" w14:textId="77777777" w:rsidR="00B54D51" w:rsidRPr="00037AD4" w:rsidRDefault="00B54D51" w:rsidP="00401C67">
            <w:pPr>
              <w:widowControl w:val="0"/>
              <w:autoSpaceDE w:val="0"/>
              <w:autoSpaceDN w:val="0"/>
              <w:adjustRightInd w:val="0"/>
              <w:jc w:val="center"/>
            </w:pPr>
            <w:r w:rsidRPr="00037AD4">
              <w:t>0.193</w:t>
            </w:r>
          </w:p>
        </w:tc>
        <w:tc>
          <w:tcPr>
            <w:tcW w:w="512" w:type="pct"/>
            <w:tcBorders>
              <w:top w:val="nil"/>
              <w:left w:val="nil"/>
              <w:bottom w:val="nil"/>
              <w:right w:val="nil"/>
            </w:tcBorders>
          </w:tcPr>
          <w:p w14:paraId="249F6807"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1266A17F"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064E4D85"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0500ACA1"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05EB50A4"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2F81673D" w14:textId="77777777" w:rsidR="00B54D51" w:rsidRPr="00037AD4" w:rsidRDefault="00B54D51" w:rsidP="00401C67">
            <w:pPr>
              <w:widowControl w:val="0"/>
              <w:autoSpaceDE w:val="0"/>
              <w:autoSpaceDN w:val="0"/>
              <w:adjustRightInd w:val="0"/>
              <w:jc w:val="center"/>
            </w:pPr>
          </w:p>
        </w:tc>
      </w:tr>
      <w:tr w:rsidR="00B54D51" w:rsidRPr="00037AD4" w14:paraId="5A161A5C" w14:textId="77777777" w:rsidTr="00401C67">
        <w:trPr>
          <w:jc w:val="center"/>
        </w:trPr>
        <w:tc>
          <w:tcPr>
            <w:tcW w:w="1414" w:type="pct"/>
            <w:tcBorders>
              <w:top w:val="nil"/>
              <w:left w:val="nil"/>
              <w:bottom w:val="nil"/>
              <w:right w:val="nil"/>
            </w:tcBorders>
          </w:tcPr>
          <w:p w14:paraId="6482953F" w14:textId="77777777" w:rsidR="00B54D51" w:rsidRPr="00037AD4" w:rsidRDefault="00B54D51" w:rsidP="00401C67">
            <w:pPr>
              <w:widowControl w:val="0"/>
              <w:autoSpaceDE w:val="0"/>
              <w:autoSpaceDN w:val="0"/>
              <w:adjustRightInd w:val="0"/>
            </w:pPr>
          </w:p>
        </w:tc>
        <w:tc>
          <w:tcPr>
            <w:tcW w:w="512" w:type="pct"/>
            <w:tcBorders>
              <w:top w:val="nil"/>
              <w:left w:val="nil"/>
              <w:bottom w:val="nil"/>
              <w:right w:val="nil"/>
            </w:tcBorders>
          </w:tcPr>
          <w:p w14:paraId="00A48AAD" w14:textId="77777777" w:rsidR="00B54D51" w:rsidRPr="00037AD4" w:rsidRDefault="00B54D51" w:rsidP="00401C67">
            <w:pPr>
              <w:widowControl w:val="0"/>
              <w:autoSpaceDE w:val="0"/>
              <w:autoSpaceDN w:val="0"/>
              <w:adjustRightInd w:val="0"/>
              <w:jc w:val="center"/>
            </w:pPr>
            <w:r w:rsidRPr="00037AD4">
              <w:t>(-1.156 - 1.541)</w:t>
            </w:r>
          </w:p>
        </w:tc>
        <w:tc>
          <w:tcPr>
            <w:tcW w:w="512" w:type="pct"/>
            <w:tcBorders>
              <w:top w:val="nil"/>
              <w:left w:val="nil"/>
              <w:bottom w:val="nil"/>
              <w:right w:val="nil"/>
            </w:tcBorders>
          </w:tcPr>
          <w:p w14:paraId="4368BAD5"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23D448C3"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21F81571"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455B5728"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5C2B81D4"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0C209C3A" w14:textId="77777777" w:rsidR="00B54D51" w:rsidRPr="00037AD4" w:rsidRDefault="00B54D51" w:rsidP="00401C67">
            <w:pPr>
              <w:widowControl w:val="0"/>
              <w:autoSpaceDE w:val="0"/>
              <w:autoSpaceDN w:val="0"/>
              <w:adjustRightInd w:val="0"/>
              <w:jc w:val="center"/>
            </w:pPr>
          </w:p>
        </w:tc>
      </w:tr>
      <w:tr w:rsidR="00B54D51" w:rsidRPr="00037AD4" w14:paraId="69352B50" w14:textId="77777777" w:rsidTr="00401C67">
        <w:trPr>
          <w:jc w:val="center"/>
        </w:trPr>
        <w:tc>
          <w:tcPr>
            <w:tcW w:w="1414" w:type="pct"/>
            <w:tcBorders>
              <w:top w:val="nil"/>
              <w:left w:val="nil"/>
              <w:bottom w:val="nil"/>
              <w:right w:val="nil"/>
            </w:tcBorders>
          </w:tcPr>
          <w:p w14:paraId="1CFE2B98" w14:textId="77777777" w:rsidR="00B54D51" w:rsidRPr="00037AD4" w:rsidRDefault="00B54D51" w:rsidP="00401C67">
            <w:pPr>
              <w:widowControl w:val="0"/>
              <w:autoSpaceDE w:val="0"/>
              <w:autoSpaceDN w:val="0"/>
              <w:adjustRightInd w:val="0"/>
            </w:pPr>
            <w:r w:rsidRPr="00037AD4">
              <w:t>1.CDR_new_</w:t>
            </w:r>
          </w:p>
        </w:tc>
        <w:tc>
          <w:tcPr>
            <w:tcW w:w="512" w:type="pct"/>
            <w:tcBorders>
              <w:top w:val="nil"/>
              <w:left w:val="nil"/>
              <w:bottom w:val="nil"/>
              <w:right w:val="nil"/>
            </w:tcBorders>
          </w:tcPr>
          <w:p w14:paraId="5DDB1679" w14:textId="77777777" w:rsidR="00B54D51" w:rsidRPr="00037AD4" w:rsidRDefault="00B54D51" w:rsidP="00401C67">
            <w:pPr>
              <w:widowControl w:val="0"/>
              <w:autoSpaceDE w:val="0"/>
              <w:autoSpaceDN w:val="0"/>
              <w:adjustRightInd w:val="0"/>
              <w:jc w:val="center"/>
            </w:pPr>
            <w:r w:rsidRPr="00037AD4">
              <w:t>0.058</w:t>
            </w:r>
          </w:p>
        </w:tc>
        <w:tc>
          <w:tcPr>
            <w:tcW w:w="512" w:type="pct"/>
            <w:tcBorders>
              <w:top w:val="nil"/>
              <w:left w:val="nil"/>
              <w:bottom w:val="nil"/>
              <w:right w:val="nil"/>
            </w:tcBorders>
          </w:tcPr>
          <w:p w14:paraId="38F9F8E6"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68CE5A55"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4F6C535B"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09C6BA28"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27E039D2"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6016E3FC" w14:textId="77777777" w:rsidR="00B54D51" w:rsidRPr="00037AD4" w:rsidRDefault="00B54D51" w:rsidP="00401C67">
            <w:pPr>
              <w:widowControl w:val="0"/>
              <w:autoSpaceDE w:val="0"/>
              <w:autoSpaceDN w:val="0"/>
              <w:adjustRightInd w:val="0"/>
              <w:jc w:val="center"/>
            </w:pPr>
          </w:p>
        </w:tc>
      </w:tr>
      <w:tr w:rsidR="00B54D51" w:rsidRPr="00037AD4" w14:paraId="235F7A7E" w14:textId="77777777" w:rsidTr="00401C67">
        <w:trPr>
          <w:jc w:val="center"/>
        </w:trPr>
        <w:tc>
          <w:tcPr>
            <w:tcW w:w="1414" w:type="pct"/>
            <w:tcBorders>
              <w:top w:val="nil"/>
              <w:left w:val="nil"/>
              <w:bottom w:val="nil"/>
              <w:right w:val="nil"/>
            </w:tcBorders>
          </w:tcPr>
          <w:p w14:paraId="37CB8410" w14:textId="77777777" w:rsidR="00B54D51" w:rsidRPr="00037AD4" w:rsidRDefault="00B54D51" w:rsidP="00401C67">
            <w:pPr>
              <w:widowControl w:val="0"/>
              <w:autoSpaceDE w:val="0"/>
              <w:autoSpaceDN w:val="0"/>
              <w:adjustRightInd w:val="0"/>
            </w:pPr>
          </w:p>
        </w:tc>
        <w:tc>
          <w:tcPr>
            <w:tcW w:w="512" w:type="pct"/>
            <w:tcBorders>
              <w:top w:val="nil"/>
              <w:left w:val="nil"/>
              <w:bottom w:val="nil"/>
              <w:right w:val="nil"/>
            </w:tcBorders>
          </w:tcPr>
          <w:p w14:paraId="15963826" w14:textId="77777777" w:rsidR="00B54D51" w:rsidRPr="00037AD4" w:rsidRDefault="00B54D51" w:rsidP="00401C67">
            <w:pPr>
              <w:widowControl w:val="0"/>
              <w:autoSpaceDE w:val="0"/>
              <w:autoSpaceDN w:val="0"/>
              <w:adjustRightInd w:val="0"/>
              <w:jc w:val="center"/>
            </w:pPr>
            <w:r w:rsidRPr="00037AD4">
              <w:t>(-0.403 - 0.519)</w:t>
            </w:r>
          </w:p>
        </w:tc>
        <w:tc>
          <w:tcPr>
            <w:tcW w:w="512" w:type="pct"/>
            <w:tcBorders>
              <w:top w:val="nil"/>
              <w:left w:val="nil"/>
              <w:bottom w:val="nil"/>
              <w:right w:val="nil"/>
            </w:tcBorders>
          </w:tcPr>
          <w:p w14:paraId="3EF4D795"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51FF376F"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46FE8207"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2CCF252E"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21D21900"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1415CCD3" w14:textId="77777777" w:rsidR="00B54D51" w:rsidRPr="00037AD4" w:rsidRDefault="00B54D51" w:rsidP="00401C67">
            <w:pPr>
              <w:widowControl w:val="0"/>
              <w:autoSpaceDE w:val="0"/>
              <w:autoSpaceDN w:val="0"/>
              <w:adjustRightInd w:val="0"/>
              <w:jc w:val="center"/>
            </w:pPr>
          </w:p>
        </w:tc>
      </w:tr>
      <w:tr w:rsidR="00B54D51" w:rsidRPr="00037AD4" w14:paraId="2F5C7FF5" w14:textId="77777777" w:rsidTr="00401C67">
        <w:trPr>
          <w:jc w:val="center"/>
        </w:trPr>
        <w:tc>
          <w:tcPr>
            <w:tcW w:w="1414" w:type="pct"/>
            <w:tcBorders>
              <w:top w:val="nil"/>
              <w:left w:val="nil"/>
              <w:bottom w:val="nil"/>
              <w:right w:val="nil"/>
            </w:tcBorders>
          </w:tcPr>
          <w:p w14:paraId="20EB0453" w14:textId="77777777" w:rsidR="00B54D51" w:rsidRPr="00037AD4" w:rsidRDefault="00B54D51" w:rsidP="00401C67">
            <w:pPr>
              <w:widowControl w:val="0"/>
              <w:autoSpaceDE w:val="0"/>
              <w:autoSpaceDN w:val="0"/>
              <w:adjustRightInd w:val="0"/>
            </w:pPr>
            <w:r w:rsidRPr="00037AD4">
              <w:t>2.CDR_new_</w:t>
            </w:r>
          </w:p>
        </w:tc>
        <w:tc>
          <w:tcPr>
            <w:tcW w:w="512" w:type="pct"/>
            <w:tcBorders>
              <w:top w:val="nil"/>
              <w:left w:val="nil"/>
              <w:bottom w:val="nil"/>
              <w:right w:val="nil"/>
            </w:tcBorders>
          </w:tcPr>
          <w:p w14:paraId="7311A1BE" w14:textId="77777777" w:rsidR="00B54D51" w:rsidRPr="00037AD4" w:rsidRDefault="00B54D51" w:rsidP="00401C67">
            <w:pPr>
              <w:widowControl w:val="0"/>
              <w:autoSpaceDE w:val="0"/>
              <w:autoSpaceDN w:val="0"/>
              <w:adjustRightInd w:val="0"/>
              <w:jc w:val="center"/>
            </w:pPr>
            <w:r w:rsidRPr="00037AD4">
              <w:t>0.413</w:t>
            </w:r>
          </w:p>
        </w:tc>
        <w:tc>
          <w:tcPr>
            <w:tcW w:w="512" w:type="pct"/>
            <w:tcBorders>
              <w:top w:val="nil"/>
              <w:left w:val="nil"/>
              <w:bottom w:val="nil"/>
              <w:right w:val="nil"/>
            </w:tcBorders>
          </w:tcPr>
          <w:p w14:paraId="0676DBB4"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18D74E9A"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16EF24FE"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6F6ADCD7"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71A729A0"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34F4D357" w14:textId="77777777" w:rsidR="00B54D51" w:rsidRPr="00037AD4" w:rsidRDefault="00B54D51" w:rsidP="00401C67">
            <w:pPr>
              <w:widowControl w:val="0"/>
              <w:autoSpaceDE w:val="0"/>
              <w:autoSpaceDN w:val="0"/>
              <w:adjustRightInd w:val="0"/>
              <w:jc w:val="center"/>
            </w:pPr>
          </w:p>
        </w:tc>
      </w:tr>
      <w:tr w:rsidR="00B54D51" w:rsidRPr="00037AD4" w14:paraId="4EB3CBC8" w14:textId="77777777" w:rsidTr="00401C67">
        <w:trPr>
          <w:jc w:val="center"/>
        </w:trPr>
        <w:tc>
          <w:tcPr>
            <w:tcW w:w="1414" w:type="pct"/>
            <w:tcBorders>
              <w:top w:val="nil"/>
              <w:left w:val="nil"/>
              <w:bottom w:val="nil"/>
              <w:right w:val="nil"/>
            </w:tcBorders>
          </w:tcPr>
          <w:p w14:paraId="0AA59B32" w14:textId="77777777" w:rsidR="00B54D51" w:rsidRPr="00037AD4" w:rsidRDefault="00B54D51" w:rsidP="00401C67">
            <w:pPr>
              <w:widowControl w:val="0"/>
              <w:autoSpaceDE w:val="0"/>
              <w:autoSpaceDN w:val="0"/>
              <w:adjustRightInd w:val="0"/>
            </w:pPr>
          </w:p>
        </w:tc>
        <w:tc>
          <w:tcPr>
            <w:tcW w:w="512" w:type="pct"/>
            <w:tcBorders>
              <w:top w:val="nil"/>
              <w:left w:val="nil"/>
              <w:bottom w:val="nil"/>
              <w:right w:val="nil"/>
            </w:tcBorders>
          </w:tcPr>
          <w:p w14:paraId="0E3F81B1" w14:textId="77777777" w:rsidR="00B54D51" w:rsidRPr="00037AD4" w:rsidRDefault="00B54D51" w:rsidP="00401C67">
            <w:pPr>
              <w:widowControl w:val="0"/>
              <w:autoSpaceDE w:val="0"/>
              <w:autoSpaceDN w:val="0"/>
              <w:adjustRightInd w:val="0"/>
              <w:jc w:val="center"/>
            </w:pPr>
            <w:r w:rsidRPr="00037AD4">
              <w:t>(-0.104 - 0.931)</w:t>
            </w:r>
          </w:p>
        </w:tc>
        <w:tc>
          <w:tcPr>
            <w:tcW w:w="512" w:type="pct"/>
            <w:tcBorders>
              <w:top w:val="nil"/>
              <w:left w:val="nil"/>
              <w:bottom w:val="nil"/>
              <w:right w:val="nil"/>
            </w:tcBorders>
          </w:tcPr>
          <w:p w14:paraId="355F2371"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1DDF6C1C"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1F4341A5"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723A17C0"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39AE2586"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68E25A6C" w14:textId="77777777" w:rsidR="00B54D51" w:rsidRPr="00037AD4" w:rsidRDefault="00B54D51" w:rsidP="00401C67">
            <w:pPr>
              <w:widowControl w:val="0"/>
              <w:autoSpaceDE w:val="0"/>
              <w:autoSpaceDN w:val="0"/>
              <w:adjustRightInd w:val="0"/>
              <w:jc w:val="center"/>
            </w:pPr>
          </w:p>
        </w:tc>
      </w:tr>
      <w:tr w:rsidR="00B54D51" w:rsidRPr="00037AD4" w14:paraId="227EF2D8" w14:textId="77777777" w:rsidTr="00401C67">
        <w:trPr>
          <w:jc w:val="center"/>
        </w:trPr>
        <w:tc>
          <w:tcPr>
            <w:tcW w:w="1414" w:type="pct"/>
            <w:tcBorders>
              <w:top w:val="nil"/>
              <w:left w:val="nil"/>
              <w:bottom w:val="nil"/>
              <w:right w:val="nil"/>
            </w:tcBorders>
          </w:tcPr>
          <w:p w14:paraId="629D9CBC" w14:textId="77777777" w:rsidR="00B54D51" w:rsidRPr="00037AD4" w:rsidRDefault="00B54D51" w:rsidP="00401C67">
            <w:pPr>
              <w:widowControl w:val="0"/>
              <w:autoSpaceDE w:val="0"/>
              <w:autoSpaceDN w:val="0"/>
              <w:adjustRightInd w:val="0"/>
            </w:pPr>
            <w:r w:rsidRPr="00037AD4">
              <w:t>3.CDR_new_</w:t>
            </w:r>
          </w:p>
        </w:tc>
        <w:tc>
          <w:tcPr>
            <w:tcW w:w="512" w:type="pct"/>
            <w:tcBorders>
              <w:top w:val="nil"/>
              <w:left w:val="nil"/>
              <w:bottom w:val="nil"/>
              <w:right w:val="nil"/>
            </w:tcBorders>
          </w:tcPr>
          <w:p w14:paraId="5392B369" w14:textId="77777777" w:rsidR="00B54D51" w:rsidRPr="00037AD4" w:rsidRDefault="00B54D51" w:rsidP="00401C67">
            <w:pPr>
              <w:widowControl w:val="0"/>
              <w:autoSpaceDE w:val="0"/>
              <w:autoSpaceDN w:val="0"/>
              <w:adjustRightInd w:val="0"/>
              <w:jc w:val="center"/>
            </w:pPr>
            <w:r w:rsidRPr="00037AD4">
              <w:t>1.070*</w:t>
            </w:r>
          </w:p>
        </w:tc>
        <w:tc>
          <w:tcPr>
            <w:tcW w:w="512" w:type="pct"/>
            <w:tcBorders>
              <w:top w:val="nil"/>
              <w:left w:val="nil"/>
              <w:bottom w:val="nil"/>
              <w:right w:val="nil"/>
            </w:tcBorders>
          </w:tcPr>
          <w:p w14:paraId="3DF99830"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2B50497F"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422061BB"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6F521F8B"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3C9104D1"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2272A05E" w14:textId="77777777" w:rsidR="00B54D51" w:rsidRPr="00037AD4" w:rsidRDefault="00B54D51" w:rsidP="00401C67">
            <w:pPr>
              <w:widowControl w:val="0"/>
              <w:autoSpaceDE w:val="0"/>
              <w:autoSpaceDN w:val="0"/>
              <w:adjustRightInd w:val="0"/>
              <w:jc w:val="center"/>
            </w:pPr>
          </w:p>
        </w:tc>
      </w:tr>
      <w:tr w:rsidR="00B54D51" w:rsidRPr="00037AD4" w14:paraId="7D48A646" w14:textId="77777777" w:rsidTr="00401C67">
        <w:trPr>
          <w:jc w:val="center"/>
        </w:trPr>
        <w:tc>
          <w:tcPr>
            <w:tcW w:w="1414" w:type="pct"/>
            <w:tcBorders>
              <w:top w:val="nil"/>
              <w:left w:val="nil"/>
              <w:bottom w:val="nil"/>
              <w:right w:val="nil"/>
            </w:tcBorders>
          </w:tcPr>
          <w:p w14:paraId="7B3700E3" w14:textId="77777777" w:rsidR="00B54D51" w:rsidRPr="00037AD4" w:rsidRDefault="00B54D51" w:rsidP="00401C67">
            <w:pPr>
              <w:widowControl w:val="0"/>
              <w:autoSpaceDE w:val="0"/>
              <w:autoSpaceDN w:val="0"/>
              <w:adjustRightInd w:val="0"/>
            </w:pPr>
          </w:p>
        </w:tc>
        <w:tc>
          <w:tcPr>
            <w:tcW w:w="512" w:type="pct"/>
            <w:tcBorders>
              <w:top w:val="nil"/>
              <w:left w:val="nil"/>
              <w:bottom w:val="nil"/>
              <w:right w:val="nil"/>
            </w:tcBorders>
          </w:tcPr>
          <w:p w14:paraId="0829FC0E" w14:textId="77777777" w:rsidR="00B54D51" w:rsidRPr="00037AD4" w:rsidRDefault="00B54D51" w:rsidP="00401C67">
            <w:pPr>
              <w:widowControl w:val="0"/>
              <w:autoSpaceDE w:val="0"/>
              <w:autoSpaceDN w:val="0"/>
              <w:adjustRightInd w:val="0"/>
              <w:jc w:val="center"/>
            </w:pPr>
            <w:r w:rsidRPr="00037AD4">
              <w:t>(-0.004 - 2.144)</w:t>
            </w:r>
          </w:p>
        </w:tc>
        <w:tc>
          <w:tcPr>
            <w:tcW w:w="512" w:type="pct"/>
            <w:tcBorders>
              <w:top w:val="nil"/>
              <w:left w:val="nil"/>
              <w:bottom w:val="nil"/>
              <w:right w:val="nil"/>
            </w:tcBorders>
          </w:tcPr>
          <w:p w14:paraId="4DB754AA"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0D37E4B6"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344DE39F"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2B222BDF"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58F9CD12"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023D1B30" w14:textId="77777777" w:rsidR="00B54D51" w:rsidRPr="00037AD4" w:rsidRDefault="00B54D51" w:rsidP="00401C67">
            <w:pPr>
              <w:widowControl w:val="0"/>
              <w:autoSpaceDE w:val="0"/>
              <w:autoSpaceDN w:val="0"/>
              <w:adjustRightInd w:val="0"/>
              <w:jc w:val="center"/>
            </w:pPr>
          </w:p>
        </w:tc>
      </w:tr>
      <w:tr w:rsidR="00B54D51" w:rsidRPr="00037AD4" w14:paraId="6EC6D4E3" w14:textId="77777777" w:rsidTr="00401C67">
        <w:trPr>
          <w:jc w:val="center"/>
        </w:trPr>
        <w:tc>
          <w:tcPr>
            <w:tcW w:w="1414" w:type="pct"/>
            <w:tcBorders>
              <w:top w:val="nil"/>
              <w:left w:val="nil"/>
              <w:bottom w:val="nil"/>
              <w:right w:val="nil"/>
            </w:tcBorders>
          </w:tcPr>
          <w:p w14:paraId="671FC138" w14:textId="77777777" w:rsidR="00B54D51" w:rsidRPr="00037AD4" w:rsidRDefault="00B54D51" w:rsidP="00401C67">
            <w:pPr>
              <w:widowControl w:val="0"/>
              <w:autoSpaceDE w:val="0"/>
              <w:autoSpaceDN w:val="0"/>
              <w:adjustRightInd w:val="0"/>
            </w:pPr>
            <w:r w:rsidRPr="00037AD4">
              <w:t>MMSE_Total_</w:t>
            </w:r>
          </w:p>
        </w:tc>
        <w:tc>
          <w:tcPr>
            <w:tcW w:w="512" w:type="pct"/>
            <w:tcBorders>
              <w:top w:val="nil"/>
              <w:left w:val="nil"/>
              <w:bottom w:val="nil"/>
              <w:right w:val="nil"/>
            </w:tcBorders>
          </w:tcPr>
          <w:p w14:paraId="48446094" w14:textId="77777777" w:rsidR="00B54D51" w:rsidRPr="00037AD4" w:rsidRDefault="00B54D51" w:rsidP="00401C67">
            <w:pPr>
              <w:widowControl w:val="0"/>
              <w:autoSpaceDE w:val="0"/>
              <w:autoSpaceDN w:val="0"/>
              <w:adjustRightInd w:val="0"/>
              <w:jc w:val="center"/>
            </w:pPr>
            <w:r w:rsidRPr="00037AD4">
              <w:t>0.011</w:t>
            </w:r>
          </w:p>
        </w:tc>
        <w:tc>
          <w:tcPr>
            <w:tcW w:w="512" w:type="pct"/>
            <w:tcBorders>
              <w:top w:val="nil"/>
              <w:left w:val="nil"/>
              <w:bottom w:val="nil"/>
              <w:right w:val="nil"/>
            </w:tcBorders>
          </w:tcPr>
          <w:p w14:paraId="0239E270"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01B09FE8"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6FF34A1E"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636F52A2" w14:textId="77777777" w:rsidR="00B54D51" w:rsidRPr="00037AD4" w:rsidRDefault="00B54D51" w:rsidP="00401C67">
            <w:pPr>
              <w:widowControl w:val="0"/>
              <w:autoSpaceDE w:val="0"/>
              <w:autoSpaceDN w:val="0"/>
              <w:adjustRightInd w:val="0"/>
              <w:jc w:val="center"/>
            </w:pPr>
            <w:r w:rsidRPr="00037AD4">
              <w:t>0.003</w:t>
            </w:r>
          </w:p>
        </w:tc>
        <w:tc>
          <w:tcPr>
            <w:tcW w:w="513" w:type="pct"/>
            <w:tcBorders>
              <w:top w:val="nil"/>
              <w:left w:val="nil"/>
              <w:bottom w:val="nil"/>
              <w:right w:val="nil"/>
            </w:tcBorders>
          </w:tcPr>
          <w:p w14:paraId="40C1FF39" w14:textId="77777777" w:rsidR="00B54D51" w:rsidRPr="00037AD4" w:rsidRDefault="00B54D51" w:rsidP="00401C67">
            <w:pPr>
              <w:widowControl w:val="0"/>
              <w:autoSpaceDE w:val="0"/>
              <w:autoSpaceDN w:val="0"/>
              <w:adjustRightInd w:val="0"/>
              <w:jc w:val="center"/>
            </w:pPr>
            <w:r w:rsidRPr="00037AD4">
              <w:t>-0.001</w:t>
            </w:r>
          </w:p>
        </w:tc>
        <w:tc>
          <w:tcPr>
            <w:tcW w:w="512" w:type="pct"/>
            <w:tcBorders>
              <w:top w:val="nil"/>
              <w:left w:val="nil"/>
              <w:bottom w:val="nil"/>
              <w:right w:val="nil"/>
            </w:tcBorders>
          </w:tcPr>
          <w:p w14:paraId="6D68F689" w14:textId="77777777" w:rsidR="00B54D51" w:rsidRPr="00037AD4" w:rsidRDefault="00B54D51" w:rsidP="00401C67">
            <w:pPr>
              <w:widowControl w:val="0"/>
              <w:autoSpaceDE w:val="0"/>
              <w:autoSpaceDN w:val="0"/>
              <w:adjustRightInd w:val="0"/>
              <w:jc w:val="center"/>
            </w:pPr>
            <w:r w:rsidRPr="00037AD4">
              <w:t>-0.019**</w:t>
            </w:r>
          </w:p>
        </w:tc>
      </w:tr>
      <w:tr w:rsidR="00B54D51" w:rsidRPr="00037AD4" w14:paraId="1EE5ED96" w14:textId="77777777" w:rsidTr="00401C67">
        <w:trPr>
          <w:jc w:val="center"/>
        </w:trPr>
        <w:tc>
          <w:tcPr>
            <w:tcW w:w="1414" w:type="pct"/>
            <w:tcBorders>
              <w:top w:val="nil"/>
              <w:left w:val="nil"/>
              <w:bottom w:val="nil"/>
              <w:right w:val="nil"/>
            </w:tcBorders>
          </w:tcPr>
          <w:p w14:paraId="5CE1F0B0" w14:textId="77777777" w:rsidR="00B54D51" w:rsidRPr="00037AD4" w:rsidRDefault="00B54D51" w:rsidP="00401C67">
            <w:pPr>
              <w:widowControl w:val="0"/>
              <w:autoSpaceDE w:val="0"/>
              <w:autoSpaceDN w:val="0"/>
              <w:adjustRightInd w:val="0"/>
            </w:pPr>
          </w:p>
        </w:tc>
        <w:tc>
          <w:tcPr>
            <w:tcW w:w="512" w:type="pct"/>
            <w:tcBorders>
              <w:top w:val="nil"/>
              <w:left w:val="nil"/>
              <w:bottom w:val="nil"/>
              <w:right w:val="nil"/>
            </w:tcBorders>
          </w:tcPr>
          <w:p w14:paraId="62DB8340" w14:textId="77777777" w:rsidR="00B54D51" w:rsidRPr="00037AD4" w:rsidRDefault="00B54D51" w:rsidP="00401C67">
            <w:pPr>
              <w:widowControl w:val="0"/>
              <w:autoSpaceDE w:val="0"/>
              <w:autoSpaceDN w:val="0"/>
              <w:adjustRightInd w:val="0"/>
              <w:jc w:val="center"/>
            </w:pPr>
            <w:r w:rsidRPr="00037AD4">
              <w:t>(-0.009 - 0.031)</w:t>
            </w:r>
          </w:p>
        </w:tc>
        <w:tc>
          <w:tcPr>
            <w:tcW w:w="512" w:type="pct"/>
            <w:tcBorders>
              <w:top w:val="nil"/>
              <w:left w:val="nil"/>
              <w:bottom w:val="nil"/>
              <w:right w:val="nil"/>
            </w:tcBorders>
          </w:tcPr>
          <w:p w14:paraId="1A471CFF"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353027F2"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1379496E"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2F02C49F" w14:textId="77777777" w:rsidR="00B54D51" w:rsidRPr="00037AD4" w:rsidRDefault="00B54D51" w:rsidP="00401C67">
            <w:pPr>
              <w:widowControl w:val="0"/>
              <w:autoSpaceDE w:val="0"/>
              <w:autoSpaceDN w:val="0"/>
              <w:adjustRightInd w:val="0"/>
              <w:jc w:val="center"/>
            </w:pPr>
            <w:r w:rsidRPr="00037AD4">
              <w:t>(-0.015 - 0.022)</w:t>
            </w:r>
          </w:p>
        </w:tc>
        <w:tc>
          <w:tcPr>
            <w:tcW w:w="513" w:type="pct"/>
            <w:tcBorders>
              <w:top w:val="nil"/>
              <w:left w:val="nil"/>
              <w:bottom w:val="nil"/>
              <w:right w:val="nil"/>
            </w:tcBorders>
          </w:tcPr>
          <w:p w14:paraId="183DE26D" w14:textId="77777777" w:rsidR="00B54D51" w:rsidRPr="00037AD4" w:rsidRDefault="00B54D51" w:rsidP="00401C67">
            <w:pPr>
              <w:widowControl w:val="0"/>
              <w:autoSpaceDE w:val="0"/>
              <w:autoSpaceDN w:val="0"/>
              <w:adjustRightInd w:val="0"/>
              <w:jc w:val="center"/>
            </w:pPr>
            <w:r w:rsidRPr="00037AD4">
              <w:t>(-0.019 - 0.017)</w:t>
            </w:r>
          </w:p>
        </w:tc>
        <w:tc>
          <w:tcPr>
            <w:tcW w:w="512" w:type="pct"/>
            <w:tcBorders>
              <w:top w:val="nil"/>
              <w:left w:val="nil"/>
              <w:bottom w:val="nil"/>
              <w:right w:val="nil"/>
            </w:tcBorders>
          </w:tcPr>
          <w:p w14:paraId="19244132" w14:textId="77777777" w:rsidR="00B54D51" w:rsidRPr="00037AD4" w:rsidRDefault="00B54D51" w:rsidP="00401C67">
            <w:pPr>
              <w:widowControl w:val="0"/>
              <w:autoSpaceDE w:val="0"/>
              <w:autoSpaceDN w:val="0"/>
              <w:adjustRightInd w:val="0"/>
              <w:jc w:val="center"/>
            </w:pPr>
            <w:r w:rsidRPr="00037AD4">
              <w:t>(-0.037 - -0.002)</w:t>
            </w:r>
          </w:p>
        </w:tc>
      </w:tr>
      <w:tr w:rsidR="00B54D51" w:rsidRPr="00037AD4" w14:paraId="66D3FB68" w14:textId="77777777" w:rsidTr="00401C67">
        <w:trPr>
          <w:jc w:val="center"/>
        </w:trPr>
        <w:tc>
          <w:tcPr>
            <w:tcW w:w="1414" w:type="pct"/>
            <w:tcBorders>
              <w:top w:val="nil"/>
              <w:left w:val="nil"/>
              <w:bottom w:val="nil"/>
              <w:right w:val="nil"/>
            </w:tcBorders>
          </w:tcPr>
          <w:p w14:paraId="75D865D6" w14:textId="77777777" w:rsidR="00B54D51" w:rsidRPr="00037AD4" w:rsidRDefault="00B54D51" w:rsidP="00401C67">
            <w:pPr>
              <w:widowControl w:val="0"/>
              <w:autoSpaceDE w:val="0"/>
              <w:autoSpaceDN w:val="0"/>
              <w:adjustRightInd w:val="0"/>
            </w:pPr>
            <w:r w:rsidRPr="00037AD4">
              <w:t>NPI_</w:t>
            </w:r>
          </w:p>
        </w:tc>
        <w:tc>
          <w:tcPr>
            <w:tcW w:w="512" w:type="pct"/>
            <w:tcBorders>
              <w:top w:val="nil"/>
              <w:left w:val="nil"/>
              <w:bottom w:val="nil"/>
              <w:right w:val="nil"/>
            </w:tcBorders>
          </w:tcPr>
          <w:p w14:paraId="09C7B47D" w14:textId="77777777" w:rsidR="00B54D51" w:rsidRPr="00037AD4" w:rsidRDefault="00B54D51" w:rsidP="00401C67">
            <w:pPr>
              <w:widowControl w:val="0"/>
              <w:autoSpaceDE w:val="0"/>
              <w:autoSpaceDN w:val="0"/>
              <w:adjustRightInd w:val="0"/>
              <w:jc w:val="center"/>
            </w:pPr>
            <w:r w:rsidRPr="00037AD4">
              <w:t>0.006**</w:t>
            </w:r>
          </w:p>
        </w:tc>
        <w:tc>
          <w:tcPr>
            <w:tcW w:w="512" w:type="pct"/>
            <w:tcBorders>
              <w:top w:val="nil"/>
              <w:left w:val="nil"/>
              <w:bottom w:val="nil"/>
              <w:right w:val="nil"/>
            </w:tcBorders>
          </w:tcPr>
          <w:p w14:paraId="4D63C8B2" w14:textId="77777777" w:rsidR="00B54D51" w:rsidRPr="00037AD4" w:rsidRDefault="00B54D51" w:rsidP="00401C67">
            <w:pPr>
              <w:widowControl w:val="0"/>
              <w:autoSpaceDE w:val="0"/>
              <w:autoSpaceDN w:val="0"/>
              <w:adjustRightInd w:val="0"/>
              <w:jc w:val="center"/>
            </w:pPr>
            <w:r w:rsidRPr="00037AD4">
              <w:t>0.008***</w:t>
            </w:r>
          </w:p>
        </w:tc>
        <w:tc>
          <w:tcPr>
            <w:tcW w:w="512" w:type="pct"/>
            <w:tcBorders>
              <w:top w:val="nil"/>
              <w:left w:val="nil"/>
              <w:bottom w:val="nil"/>
              <w:right w:val="nil"/>
            </w:tcBorders>
          </w:tcPr>
          <w:p w14:paraId="081731BB" w14:textId="77777777" w:rsidR="00B54D51" w:rsidRPr="00037AD4" w:rsidRDefault="00B54D51" w:rsidP="00401C67">
            <w:pPr>
              <w:widowControl w:val="0"/>
              <w:autoSpaceDE w:val="0"/>
              <w:autoSpaceDN w:val="0"/>
              <w:adjustRightInd w:val="0"/>
              <w:jc w:val="center"/>
            </w:pPr>
            <w:r w:rsidRPr="00037AD4">
              <w:t>0.008***</w:t>
            </w:r>
          </w:p>
        </w:tc>
        <w:tc>
          <w:tcPr>
            <w:tcW w:w="512" w:type="pct"/>
            <w:tcBorders>
              <w:top w:val="nil"/>
              <w:left w:val="nil"/>
              <w:bottom w:val="nil"/>
              <w:right w:val="nil"/>
            </w:tcBorders>
          </w:tcPr>
          <w:p w14:paraId="7CDB76F9" w14:textId="77777777" w:rsidR="00B54D51" w:rsidRPr="00037AD4" w:rsidRDefault="00B54D51" w:rsidP="00401C67">
            <w:pPr>
              <w:widowControl w:val="0"/>
              <w:autoSpaceDE w:val="0"/>
              <w:autoSpaceDN w:val="0"/>
              <w:adjustRightInd w:val="0"/>
              <w:jc w:val="center"/>
            </w:pPr>
            <w:r w:rsidRPr="00037AD4">
              <w:t>0.008***</w:t>
            </w:r>
          </w:p>
        </w:tc>
        <w:tc>
          <w:tcPr>
            <w:tcW w:w="513" w:type="pct"/>
            <w:tcBorders>
              <w:top w:val="nil"/>
              <w:left w:val="nil"/>
              <w:bottom w:val="nil"/>
              <w:right w:val="nil"/>
            </w:tcBorders>
          </w:tcPr>
          <w:p w14:paraId="0A701676" w14:textId="77777777" w:rsidR="00B54D51" w:rsidRPr="00037AD4" w:rsidRDefault="00B54D51" w:rsidP="00401C67">
            <w:pPr>
              <w:widowControl w:val="0"/>
              <w:autoSpaceDE w:val="0"/>
              <w:autoSpaceDN w:val="0"/>
              <w:adjustRightInd w:val="0"/>
              <w:jc w:val="center"/>
            </w:pPr>
            <w:r w:rsidRPr="00037AD4">
              <w:t>0.008***</w:t>
            </w:r>
          </w:p>
        </w:tc>
        <w:tc>
          <w:tcPr>
            <w:tcW w:w="513" w:type="pct"/>
            <w:tcBorders>
              <w:top w:val="nil"/>
              <w:left w:val="nil"/>
              <w:bottom w:val="nil"/>
              <w:right w:val="nil"/>
            </w:tcBorders>
          </w:tcPr>
          <w:p w14:paraId="091A64D8" w14:textId="77777777" w:rsidR="00B54D51" w:rsidRPr="00037AD4" w:rsidRDefault="00B54D51" w:rsidP="00401C67">
            <w:pPr>
              <w:widowControl w:val="0"/>
              <w:autoSpaceDE w:val="0"/>
              <w:autoSpaceDN w:val="0"/>
              <w:adjustRightInd w:val="0"/>
              <w:jc w:val="center"/>
            </w:pPr>
            <w:r w:rsidRPr="00037AD4">
              <w:t>0.009***</w:t>
            </w:r>
          </w:p>
        </w:tc>
        <w:tc>
          <w:tcPr>
            <w:tcW w:w="512" w:type="pct"/>
            <w:tcBorders>
              <w:top w:val="nil"/>
              <w:left w:val="nil"/>
              <w:bottom w:val="nil"/>
              <w:right w:val="nil"/>
            </w:tcBorders>
          </w:tcPr>
          <w:p w14:paraId="549B59E1" w14:textId="77777777" w:rsidR="00B54D51" w:rsidRPr="00037AD4" w:rsidRDefault="00B54D51" w:rsidP="00401C67">
            <w:pPr>
              <w:widowControl w:val="0"/>
              <w:autoSpaceDE w:val="0"/>
              <w:autoSpaceDN w:val="0"/>
              <w:adjustRightInd w:val="0"/>
              <w:jc w:val="center"/>
            </w:pPr>
            <w:r w:rsidRPr="00037AD4">
              <w:t>0.009***</w:t>
            </w:r>
          </w:p>
        </w:tc>
      </w:tr>
      <w:tr w:rsidR="00B54D51" w:rsidRPr="00037AD4" w14:paraId="78E045FF" w14:textId="77777777" w:rsidTr="00401C67">
        <w:trPr>
          <w:jc w:val="center"/>
        </w:trPr>
        <w:tc>
          <w:tcPr>
            <w:tcW w:w="1414" w:type="pct"/>
            <w:tcBorders>
              <w:top w:val="nil"/>
              <w:left w:val="nil"/>
              <w:bottom w:val="nil"/>
              <w:right w:val="nil"/>
            </w:tcBorders>
          </w:tcPr>
          <w:p w14:paraId="6D60A97C" w14:textId="77777777" w:rsidR="00B54D51" w:rsidRPr="00037AD4" w:rsidRDefault="00B54D51" w:rsidP="00401C67">
            <w:pPr>
              <w:widowControl w:val="0"/>
              <w:autoSpaceDE w:val="0"/>
              <w:autoSpaceDN w:val="0"/>
              <w:adjustRightInd w:val="0"/>
            </w:pPr>
          </w:p>
        </w:tc>
        <w:tc>
          <w:tcPr>
            <w:tcW w:w="512" w:type="pct"/>
            <w:tcBorders>
              <w:top w:val="nil"/>
              <w:left w:val="nil"/>
              <w:bottom w:val="nil"/>
              <w:right w:val="nil"/>
            </w:tcBorders>
          </w:tcPr>
          <w:p w14:paraId="3052D8AF" w14:textId="77777777" w:rsidR="00B54D51" w:rsidRPr="00037AD4" w:rsidRDefault="00B54D51" w:rsidP="00401C67">
            <w:pPr>
              <w:widowControl w:val="0"/>
              <w:autoSpaceDE w:val="0"/>
              <w:autoSpaceDN w:val="0"/>
              <w:adjustRightInd w:val="0"/>
              <w:jc w:val="center"/>
            </w:pPr>
            <w:r w:rsidRPr="00037AD4">
              <w:t>(0.001 - 0.011)</w:t>
            </w:r>
          </w:p>
        </w:tc>
        <w:tc>
          <w:tcPr>
            <w:tcW w:w="512" w:type="pct"/>
            <w:tcBorders>
              <w:top w:val="nil"/>
              <w:left w:val="nil"/>
              <w:bottom w:val="nil"/>
              <w:right w:val="nil"/>
            </w:tcBorders>
          </w:tcPr>
          <w:p w14:paraId="754F74EF" w14:textId="77777777" w:rsidR="00B54D51" w:rsidRPr="00037AD4" w:rsidRDefault="00B54D51" w:rsidP="00401C67">
            <w:pPr>
              <w:widowControl w:val="0"/>
              <w:autoSpaceDE w:val="0"/>
              <w:autoSpaceDN w:val="0"/>
              <w:adjustRightInd w:val="0"/>
              <w:jc w:val="center"/>
            </w:pPr>
            <w:r w:rsidRPr="00037AD4">
              <w:t>(0.003 - 0.013)</w:t>
            </w:r>
          </w:p>
        </w:tc>
        <w:tc>
          <w:tcPr>
            <w:tcW w:w="512" w:type="pct"/>
            <w:tcBorders>
              <w:top w:val="nil"/>
              <w:left w:val="nil"/>
              <w:bottom w:val="nil"/>
              <w:right w:val="nil"/>
            </w:tcBorders>
          </w:tcPr>
          <w:p w14:paraId="0445D9FB" w14:textId="77777777" w:rsidR="00B54D51" w:rsidRPr="00037AD4" w:rsidRDefault="00B54D51" w:rsidP="00401C67">
            <w:pPr>
              <w:widowControl w:val="0"/>
              <w:autoSpaceDE w:val="0"/>
              <w:autoSpaceDN w:val="0"/>
              <w:adjustRightInd w:val="0"/>
              <w:jc w:val="center"/>
            </w:pPr>
            <w:r w:rsidRPr="00037AD4">
              <w:t>(0.003 - 0.013)</w:t>
            </w:r>
          </w:p>
        </w:tc>
        <w:tc>
          <w:tcPr>
            <w:tcW w:w="512" w:type="pct"/>
            <w:tcBorders>
              <w:top w:val="nil"/>
              <w:left w:val="nil"/>
              <w:bottom w:val="nil"/>
              <w:right w:val="nil"/>
            </w:tcBorders>
          </w:tcPr>
          <w:p w14:paraId="06C82E0E" w14:textId="77777777" w:rsidR="00B54D51" w:rsidRPr="00037AD4" w:rsidRDefault="00B54D51" w:rsidP="00401C67">
            <w:pPr>
              <w:widowControl w:val="0"/>
              <w:autoSpaceDE w:val="0"/>
              <w:autoSpaceDN w:val="0"/>
              <w:adjustRightInd w:val="0"/>
              <w:jc w:val="center"/>
            </w:pPr>
            <w:r w:rsidRPr="00037AD4">
              <w:t>(0.003 - 0.012)</w:t>
            </w:r>
          </w:p>
        </w:tc>
        <w:tc>
          <w:tcPr>
            <w:tcW w:w="513" w:type="pct"/>
            <w:tcBorders>
              <w:top w:val="nil"/>
              <w:left w:val="nil"/>
              <w:bottom w:val="nil"/>
              <w:right w:val="nil"/>
            </w:tcBorders>
          </w:tcPr>
          <w:p w14:paraId="489B8795" w14:textId="77777777" w:rsidR="00B54D51" w:rsidRPr="00037AD4" w:rsidRDefault="00B54D51" w:rsidP="00401C67">
            <w:pPr>
              <w:widowControl w:val="0"/>
              <w:autoSpaceDE w:val="0"/>
              <w:autoSpaceDN w:val="0"/>
              <w:adjustRightInd w:val="0"/>
              <w:jc w:val="center"/>
            </w:pPr>
            <w:r w:rsidRPr="00037AD4">
              <w:t>(0.002 - 0.013)</w:t>
            </w:r>
          </w:p>
        </w:tc>
        <w:tc>
          <w:tcPr>
            <w:tcW w:w="513" w:type="pct"/>
            <w:tcBorders>
              <w:top w:val="nil"/>
              <w:left w:val="nil"/>
              <w:bottom w:val="nil"/>
              <w:right w:val="nil"/>
            </w:tcBorders>
          </w:tcPr>
          <w:p w14:paraId="11AD3753" w14:textId="77777777" w:rsidR="00B54D51" w:rsidRPr="00037AD4" w:rsidRDefault="00B54D51" w:rsidP="00401C67">
            <w:pPr>
              <w:widowControl w:val="0"/>
              <w:autoSpaceDE w:val="0"/>
              <w:autoSpaceDN w:val="0"/>
              <w:adjustRightInd w:val="0"/>
              <w:jc w:val="center"/>
            </w:pPr>
            <w:r w:rsidRPr="00037AD4">
              <w:t>(0.004 - 0.014)</w:t>
            </w:r>
          </w:p>
        </w:tc>
        <w:tc>
          <w:tcPr>
            <w:tcW w:w="512" w:type="pct"/>
            <w:tcBorders>
              <w:top w:val="nil"/>
              <w:left w:val="nil"/>
              <w:bottom w:val="nil"/>
              <w:right w:val="nil"/>
            </w:tcBorders>
          </w:tcPr>
          <w:p w14:paraId="3D30169C" w14:textId="77777777" w:rsidR="00B54D51" w:rsidRPr="00037AD4" w:rsidRDefault="00B54D51" w:rsidP="00401C67">
            <w:pPr>
              <w:widowControl w:val="0"/>
              <w:autoSpaceDE w:val="0"/>
              <w:autoSpaceDN w:val="0"/>
              <w:adjustRightInd w:val="0"/>
              <w:jc w:val="center"/>
            </w:pPr>
            <w:r w:rsidRPr="00037AD4">
              <w:t>(0.004 - 0.013)</w:t>
            </w:r>
          </w:p>
        </w:tc>
      </w:tr>
      <w:tr w:rsidR="00B54D51" w:rsidRPr="00037AD4" w14:paraId="1CB993CE" w14:textId="77777777" w:rsidTr="00401C67">
        <w:trPr>
          <w:jc w:val="center"/>
        </w:trPr>
        <w:tc>
          <w:tcPr>
            <w:tcW w:w="1414" w:type="pct"/>
            <w:tcBorders>
              <w:top w:val="nil"/>
              <w:left w:val="nil"/>
              <w:bottom w:val="nil"/>
              <w:right w:val="nil"/>
            </w:tcBorders>
          </w:tcPr>
          <w:p w14:paraId="4EEA33FC" w14:textId="77777777" w:rsidR="00B54D51" w:rsidRPr="00037AD4" w:rsidRDefault="00B54D51" w:rsidP="00401C67">
            <w:pPr>
              <w:widowControl w:val="0"/>
              <w:autoSpaceDE w:val="0"/>
              <w:autoSpaceDN w:val="0"/>
              <w:adjustRightInd w:val="0"/>
            </w:pPr>
            <w:r w:rsidRPr="00037AD4">
              <w:t>IADL_</w:t>
            </w:r>
          </w:p>
        </w:tc>
        <w:tc>
          <w:tcPr>
            <w:tcW w:w="512" w:type="pct"/>
            <w:tcBorders>
              <w:top w:val="nil"/>
              <w:left w:val="nil"/>
              <w:bottom w:val="nil"/>
              <w:right w:val="nil"/>
            </w:tcBorders>
          </w:tcPr>
          <w:p w14:paraId="09D91734" w14:textId="77777777" w:rsidR="00B54D51" w:rsidRPr="00037AD4" w:rsidRDefault="00B54D51" w:rsidP="00401C67">
            <w:pPr>
              <w:widowControl w:val="0"/>
              <w:autoSpaceDE w:val="0"/>
              <w:autoSpaceDN w:val="0"/>
              <w:adjustRightInd w:val="0"/>
              <w:jc w:val="center"/>
            </w:pPr>
            <w:r w:rsidRPr="00037AD4">
              <w:t>-0.183***</w:t>
            </w:r>
          </w:p>
        </w:tc>
        <w:tc>
          <w:tcPr>
            <w:tcW w:w="512" w:type="pct"/>
            <w:tcBorders>
              <w:top w:val="nil"/>
              <w:left w:val="nil"/>
              <w:bottom w:val="nil"/>
              <w:right w:val="nil"/>
            </w:tcBorders>
          </w:tcPr>
          <w:p w14:paraId="685BD265" w14:textId="77777777" w:rsidR="00B54D51" w:rsidRPr="00037AD4" w:rsidRDefault="00B54D51" w:rsidP="00401C67">
            <w:pPr>
              <w:widowControl w:val="0"/>
              <w:autoSpaceDE w:val="0"/>
              <w:autoSpaceDN w:val="0"/>
              <w:adjustRightInd w:val="0"/>
              <w:jc w:val="center"/>
            </w:pPr>
            <w:r w:rsidRPr="00037AD4">
              <w:t>-0.207***</w:t>
            </w:r>
          </w:p>
        </w:tc>
        <w:tc>
          <w:tcPr>
            <w:tcW w:w="512" w:type="pct"/>
            <w:tcBorders>
              <w:top w:val="nil"/>
              <w:left w:val="nil"/>
              <w:bottom w:val="nil"/>
              <w:right w:val="nil"/>
            </w:tcBorders>
          </w:tcPr>
          <w:p w14:paraId="25A368D9" w14:textId="77777777" w:rsidR="00B54D51" w:rsidRPr="00037AD4" w:rsidRDefault="00B54D51" w:rsidP="00401C67">
            <w:pPr>
              <w:widowControl w:val="0"/>
              <w:autoSpaceDE w:val="0"/>
              <w:autoSpaceDN w:val="0"/>
              <w:adjustRightInd w:val="0"/>
              <w:jc w:val="center"/>
            </w:pPr>
            <w:r w:rsidRPr="00037AD4">
              <w:t>-0.206***</w:t>
            </w:r>
          </w:p>
        </w:tc>
        <w:tc>
          <w:tcPr>
            <w:tcW w:w="512" w:type="pct"/>
            <w:tcBorders>
              <w:top w:val="nil"/>
              <w:left w:val="nil"/>
              <w:bottom w:val="nil"/>
              <w:right w:val="nil"/>
            </w:tcBorders>
          </w:tcPr>
          <w:p w14:paraId="08FA25DA" w14:textId="77777777" w:rsidR="00B54D51" w:rsidRPr="00037AD4" w:rsidRDefault="00B54D51" w:rsidP="00401C67">
            <w:pPr>
              <w:widowControl w:val="0"/>
              <w:autoSpaceDE w:val="0"/>
              <w:autoSpaceDN w:val="0"/>
              <w:adjustRightInd w:val="0"/>
              <w:jc w:val="center"/>
            </w:pPr>
            <w:r w:rsidRPr="00037AD4">
              <w:t>-0.206***</w:t>
            </w:r>
          </w:p>
        </w:tc>
        <w:tc>
          <w:tcPr>
            <w:tcW w:w="513" w:type="pct"/>
            <w:tcBorders>
              <w:top w:val="nil"/>
              <w:left w:val="nil"/>
              <w:bottom w:val="nil"/>
              <w:right w:val="nil"/>
            </w:tcBorders>
          </w:tcPr>
          <w:p w14:paraId="7F8AC793" w14:textId="77777777" w:rsidR="00B54D51" w:rsidRPr="00037AD4" w:rsidRDefault="00B54D51" w:rsidP="00401C67">
            <w:pPr>
              <w:widowControl w:val="0"/>
              <w:autoSpaceDE w:val="0"/>
              <w:autoSpaceDN w:val="0"/>
              <w:adjustRightInd w:val="0"/>
              <w:jc w:val="center"/>
            </w:pPr>
            <w:r w:rsidRPr="00037AD4">
              <w:t>-0.204***</w:t>
            </w:r>
          </w:p>
        </w:tc>
        <w:tc>
          <w:tcPr>
            <w:tcW w:w="513" w:type="pct"/>
            <w:tcBorders>
              <w:top w:val="nil"/>
              <w:left w:val="nil"/>
              <w:bottom w:val="nil"/>
              <w:right w:val="nil"/>
            </w:tcBorders>
          </w:tcPr>
          <w:p w14:paraId="0A175921" w14:textId="77777777" w:rsidR="00B54D51" w:rsidRPr="00037AD4" w:rsidRDefault="00B54D51" w:rsidP="00401C67">
            <w:pPr>
              <w:widowControl w:val="0"/>
              <w:autoSpaceDE w:val="0"/>
              <w:autoSpaceDN w:val="0"/>
              <w:adjustRightInd w:val="0"/>
              <w:jc w:val="center"/>
            </w:pPr>
            <w:r w:rsidRPr="00037AD4">
              <w:t>-0.258***</w:t>
            </w:r>
          </w:p>
        </w:tc>
        <w:tc>
          <w:tcPr>
            <w:tcW w:w="512" w:type="pct"/>
            <w:tcBorders>
              <w:top w:val="nil"/>
              <w:left w:val="nil"/>
              <w:bottom w:val="nil"/>
              <w:right w:val="nil"/>
            </w:tcBorders>
          </w:tcPr>
          <w:p w14:paraId="3CC2EAE1" w14:textId="77777777" w:rsidR="00B54D51" w:rsidRPr="00037AD4" w:rsidRDefault="00B54D51" w:rsidP="00401C67">
            <w:pPr>
              <w:widowControl w:val="0"/>
              <w:autoSpaceDE w:val="0"/>
              <w:autoSpaceDN w:val="0"/>
              <w:adjustRightInd w:val="0"/>
              <w:jc w:val="center"/>
            </w:pPr>
          </w:p>
        </w:tc>
      </w:tr>
      <w:tr w:rsidR="00B54D51" w:rsidRPr="00037AD4" w14:paraId="491F1233" w14:textId="77777777" w:rsidTr="00401C67">
        <w:trPr>
          <w:jc w:val="center"/>
        </w:trPr>
        <w:tc>
          <w:tcPr>
            <w:tcW w:w="1414" w:type="pct"/>
            <w:tcBorders>
              <w:top w:val="nil"/>
              <w:left w:val="nil"/>
              <w:bottom w:val="nil"/>
              <w:right w:val="nil"/>
            </w:tcBorders>
          </w:tcPr>
          <w:p w14:paraId="1668060D" w14:textId="77777777" w:rsidR="00B54D51" w:rsidRPr="00037AD4" w:rsidRDefault="00B54D51" w:rsidP="00401C67">
            <w:pPr>
              <w:widowControl w:val="0"/>
              <w:autoSpaceDE w:val="0"/>
              <w:autoSpaceDN w:val="0"/>
              <w:adjustRightInd w:val="0"/>
            </w:pPr>
          </w:p>
        </w:tc>
        <w:tc>
          <w:tcPr>
            <w:tcW w:w="512" w:type="pct"/>
            <w:tcBorders>
              <w:top w:val="nil"/>
              <w:left w:val="nil"/>
              <w:bottom w:val="nil"/>
              <w:right w:val="nil"/>
            </w:tcBorders>
          </w:tcPr>
          <w:p w14:paraId="2FBCEDC0" w14:textId="77777777" w:rsidR="00B54D51" w:rsidRPr="00037AD4" w:rsidRDefault="00B54D51" w:rsidP="00401C67">
            <w:pPr>
              <w:widowControl w:val="0"/>
              <w:autoSpaceDE w:val="0"/>
              <w:autoSpaceDN w:val="0"/>
              <w:adjustRightInd w:val="0"/>
              <w:jc w:val="center"/>
            </w:pPr>
            <w:r w:rsidRPr="00037AD4">
              <w:t>(-0.242 - -0.124)</w:t>
            </w:r>
          </w:p>
        </w:tc>
        <w:tc>
          <w:tcPr>
            <w:tcW w:w="512" w:type="pct"/>
            <w:tcBorders>
              <w:top w:val="nil"/>
              <w:left w:val="nil"/>
              <w:bottom w:val="nil"/>
              <w:right w:val="nil"/>
            </w:tcBorders>
          </w:tcPr>
          <w:p w14:paraId="7DF9AE18" w14:textId="77777777" w:rsidR="00B54D51" w:rsidRPr="00037AD4" w:rsidRDefault="00B54D51" w:rsidP="00401C67">
            <w:pPr>
              <w:widowControl w:val="0"/>
              <w:autoSpaceDE w:val="0"/>
              <w:autoSpaceDN w:val="0"/>
              <w:adjustRightInd w:val="0"/>
              <w:jc w:val="center"/>
            </w:pPr>
            <w:r w:rsidRPr="00037AD4">
              <w:t>(-0.255 - -0.160)</w:t>
            </w:r>
          </w:p>
        </w:tc>
        <w:tc>
          <w:tcPr>
            <w:tcW w:w="512" w:type="pct"/>
            <w:tcBorders>
              <w:top w:val="nil"/>
              <w:left w:val="nil"/>
              <w:bottom w:val="nil"/>
              <w:right w:val="nil"/>
            </w:tcBorders>
          </w:tcPr>
          <w:p w14:paraId="6E98DCA1" w14:textId="77777777" w:rsidR="00B54D51" w:rsidRPr="00037AD4" w:rsidRDefault="00B54D51" w:rsidP="00401C67">
            <w:pPr>
              <w:widowControl w:val="0"/>
              <w:autoSpaceDE w:val="0"/>
              <w:autoSpaceDN w:val="0"/>
              <w:adjustRightInd w:val="0"/>
              <w:jc w:val="center"/>
            </w:pPr>
            <w:r w:rsidRPr="00037AD4">
              <w:t>(-0.253 - -0.158)</w:t>
            </w:r>
          </w:p>
        </w:tc>
        <w:tc>
          <w:tcPr>
            <w:tcW w:w="512" w:type="pct"/>
            <w:tcBorders>
              <w:top w:val="nil"/>
              <w:left w:val="nil"/>
              <w:bottom w:val="nil"/>
              <w:right w:val="nil"/>
            </w:tcBorders>
          </w:tcPr>
          <w:p w14:paraId="79550DE3" w14:textId="77777777" w:rsidR="00B54D51" w:rsidRPr="00037AD4" w:rsidRDefault="00B54D51" w:rsidP="00401C67">
            <w:pPr>
              <w:widowControl w:val="0"/>
              <w:autoSpaceDE w:val="0"/>
              <w:autoSpaceDN w:val="0"/>
              <w:adjustRightInd w:val="0"/>
              <w:jc w:val="center"/>
            </w:pPr>
            <w:r w:rsidRPr="00037AD4">
              <w:t>(-0.254 - -0.159)</w:t>
            </w:r>
          </w:p>
        </w:tc>
        <w:tc>
          <w:tcPr>
            <w:tcW w:w="513" w:type="pct"/>
            <w:tcBorders>
              <w:top w:val="nil"/>
              <w:left w:val="nil"/>
              <w:bottom w:val="nil"/>
              <w:right w:val="nil"/>
            </w:tcBorders>
          </w:tcPr>
          <w:p w14:paraId="4F02B1FA" w14:textId="77777777" w:rsidR="00B54D51" w:rsidRPr="00037AD4" w:rsidRDefault="00B54D51" w:rsidP="00401C67">
            <w:pPr>
              <w:widowControl w:val="0"/>
              <w:autoSpaceDE w:val="0"/>
              <w:autoSpaceDN w:val="0"/>
              <w:adjustRightInd w:val="0"/>
              <w:jc w:val="center"/>
            </w:pPr>
            <w:r w:rsidRPr="00037AD4">
              <w:t>(-0.258 - -0.150)</w:t>
            </w:r>
          </w:p>
        </w:tc>
        <w:tc>
          <w:tcPr>
            <w:tcW w:w="513" w:type="pct"/>
            <w:tcBorders>
              <w:top w:val="nil"/>
              <w:left w:val="nil"/>
              <w:bottom w:val="nil"/>
              <w:right w:val="nil"/>
            </w:tcBorders>
          </w:tcPr>
          <w:p w14:paraId="3572AF0B" w14:textId="77777777" w:rsidR="00B54D51" w:rsidRPr="00037AD4" w:rsidRDefault="00B54D51" w:rsidP="00401C67">
            <w:pPr>
              <w:widowControl w:val="0"/>
              <w:autoSpaceDE w:val="0"/>
              <w:autoSpaceDN w:val="0"/>
              <w:adjustRightInd w:val="0"/>
              <w:jc w:val="center"/>
            </w:pPr>
            <w:r w:rsidRPr="00037AD4">
              <w:t>(-0.305 - -0.212)</w:t>
            </w:r>
          </w:p>
        </w:tc>
        <w:tc>
          <w:tcPr>
            <w:tcW w:w="512" w:type="pct"/>
            <w:tcBorders>
              <w:top w:val="nil"/>
              <w:left w:val="nil"/>
              <w:bottom w:val="nil"/>
              <w:right w:val="nil"/>
            </w:tcBorders>
          </w:tcPr>
          <w:p w14:paraId="0BB21011" w14:textId="77777777" w:rsidR="00B54D51" w:rsidRPr="00037AD4" w:rsidRDefault="00B54D51" w:rsidP="00401C67">
            <w:pPr>
              <w:widowControl w:val="0"/>
              <w:autoSpaceDE w:val="0"/>
              <w:autoSpaceDN w:val="0"/>
              <w:adjustRightInd w:val="0"/>
              <w:jc w:val="center"/>
            </w:pPr>
          </w:p>
        </w:tc>
      </w:tr>
      <w:tr w:rsidR="00B54D51" w:rsidRPr="00037AD4" w14:paraId="2F324976" w14:textId="77777777" w:rsidTr="00401C67">
        <w:trPr>
          <w:jc w:val="center"/>
        </w:trPr>
        <w:tc>
          <w:tcPr>
            <w:tcW w:w="1414" w:type="pct"/>
            <w:tcBorders>
              <w:top w:val="nil"/>
              <w:left w:val="nil"/>
              <w:bottom w:val="nil"/>
              <w:right w:val="nil"/>
            </w:tcBorders>
          </w:tcPr>
          <w:p w14:paraId="480A06F1" w14:textId="77777777" w:rsidR="00B54D51" w:rsidRPr="00037AD4" w:rsidRDefault="00B54D51" w:rsidP="00401C67">
            <w:pPr>
              <w:widowControl w:val="0"/>
              <w:autoSpaceDE w:val="0"/>
              <w:autoSpaceDN w:val="0"/>
              <w:adjustRightInd w:val="0"/>
            </w:pPr>
            <w:r w:rsidRPr="00037AD4">
              <w:t>PSMS_</w:t>
            </w:r>
          </w:p>
        </w:tc>
        <w:tc>
          <w:tcPr>
            <w:tcW w:w="512" w:type="pct"/>
            <w:tcBorders>
              <w:top w:val="nil"/>
              <w:left w:val="nil"/>
              <w:bottom w:val="nil"/>
              <w:right w:val="nil"/>
            </w:tcBorders>
          </w:tcPr>
          <w:p w14:paraId="43B93247" w14:textId="77777777" w:rsidR="00B54D51" w:rsidRPr="00037AD4" w:rsidRDefault="00B54D51" w:rsidP="00401C67">
            <w:pPr>
              <w:widowControl w:val="0"/>
              <w:autoSpaceDE w:val="0"/>
              <w:autoSpaceDN w:val="0"/>
              <w:adjustRightInd w:val="0"/>
              <w:jc w:val="center"/>
            </w:pPr>
            <w:r w:rsidRPr="00037AD4">
              <w:t>-0.141***</w:t>
            </w:r>
          </w:p>
        </w:tc>
        <w:tc>
          <w:tcPr>
            <w:tcW w:w="512" w:type="pct"/>
            <w:tcBorders>
              <w:top w:val="nil"/>
              <w:left w:val="nil"/>
              <w:bottom w:val="nil"/>
              <w:right w:val="nil"/>
            </w:tcBorders>
          </w:tcPr>
          <w:p w14:paraId="32CAA8C2" w14:textId="77777777" w:rsidR="00B54D51" w:rsidRPr="00037AD4" w:rsidRDefault="00B54D51" w:rsidP="00401C67">
            <w:pPr>
              <w:widowControl w:val="0"/>
              <w:autoSpaceDE w:val="0"/>
              <w:autoSpaceDN w:val="0"/>
              <w:adjustRightInd w:val="0"/>
              <w:jc w:val="center"/>
            </w:pPr>
            <w:r w:rsidRPr="00037AD4">
              <w:t>-0.126***</w:t>
            </w:r>
          </w:p>
        </w:tc>
        <w:tc>
          <w:tcPr>
            <w:tcW w:w="512" w:type="pct"/>
            <w:tcBorders>
              <w:top w:val="nil"/>
              <w:left w:val="nil"/>
              <w:bottom w:val="nil"/>
              <w:right w:val="nil"/>
            </w:tcBorders>
          </w:tcPr>
          <w:p w14:paraId="23B8E196" w14:textId="77777777" w:rsidR="00B54D51" w:rsidRPr="00037AD4" w:rsidRDefault="00B54D51" w:rsidP="00401C67">
            <w:pPr>
              <w:widowControl w:val="0"/>
              <w:autoSpaceDE w:val="0"/>
              <w:autoSpaceDN w:val="0"/>
              <w:adjustRightInd w:val="0"/>
              <w:jc w:val="center"/>
            </w:pPr>
            <w:r w:rsidRPr="00037AD4">
              <w:t>-0.127***</w:t>
            </w:r>
          </w:p>
        </w:tc>
        <w:tc>
          <w:tcPr>
            <w:tcW w:w="512" w:type="pct"/>
            <w:tcBorders>
              <w:top w:val="nil"/>
              <w:left w:val="nil"/>
              <w:bottom w:val="nil"/>
              <w:right w:val="nil"/>
            </w:tcBorders>
          </w:tcPr>
          <w:p w14:paraId="06B2F96F" w14:textId="77777777" w:rsidR="00B54D51" w:rsidRPr="00037AD4" w:rsidRDefault="00B54D51" w:rsidP="00401C67">
            <w:pPr>
              <w:widowControl w:val="0"/>
              <w:autoSpaceDE w:val="0"/>
              <w:autoSpaceDN w:val="0"/>
              <w:adjustRightInd w:val="0"/>
              <w:jc w:val="center"/>
            </w:pPr>
            <w:r w:rsidRPr="00037AD4">
              <w:t>-0.128***</w:t>
            </w:r>
          </w:p>
        </w:tc>
        <w:tc>
          <w:tcPr>
            <w:tcW w:w="513" w:type="pct"/>
            <w:tcBorders>
              <w:top w:val="nil"/>
              <w:left w:val="nil"/>
              <w:bottom w:val="nil"/>
              <w:right w:val="nil"/>
            </w:tcBorders>
          </w:tcPr>
          <w:p w14:paraId="1B17C4CF" w14:textId="77777777" w:rsidR="00B54D51" w:rsidRPr="00037AD4" w:rsidRDefault="00B54D51" w:rsidP="00401C67">
            <w:pPr>
              <w:widowControl w:val="0"/>
              <w:autoSpaceDE w:val="0"/>
              <w:autoSpaceDN w:val="0"/>
              <w:adjustRightInd w:val="0"/>
              <w:jc w:val="center"/>
            </w:pPr>
            <w:r w:rsidRPr="00037AD4">
              <w:t>-0.129***</w:t>
            </w:r>
          </w:p>
        </w:tc>
        <w:tc>
          <w:tcPr>
            <w:tcW w:w="513" w:type="pct"/>
            <w:tcBorders>
              <w:top w:val="nil"/>
              <w:left w:val="nil"/>
              <w:bottom w:val="nil"/>
              <w:right w:val="nil"/>
            </w:tcBorders>
          </w:tcPr>
          <w:p w14:paraId="79E5F67D"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062E0995" w14:textId="77777777" w:rsidR="00B54D51" w:rsidRPr="00037AD4" w:rsidRDefault="00B54D51" w:rsidP="00401C67">
            <w:pPr>
              <w:widowControl w:val="0"/>
              <w:autoSpaceDE w:val="0"/>
              <w:autoSpaceDN w:val="0"/>
              <w:adjustRightInd w:val="0"/>
              <w:jc w:val="center"/>
            </w:pPr>
            <w:r w:rsidRPr="00037AD4">
              <w:t>-0.233***</w:t>
            </w:r>
          </w:p>
        </w:tc>
      </w:tr>
      <w:tr w:rsidR="00B54D51" w:rsidRPr="00037AD4" w14:paraId="7DA40FE8" w14:textId="77777777" w:rsidTr="00401C67">
        <w:trPr>
          <w:jc w:val="center"/>
        </w:trPr>
        <w:tc>
          <w:tcPr>
            <w:tcW w:w="1414" w:type="pct"/>
            <w:tcBorders>
              <w:top w:val="nil"/>
              <w:left w:val="nil"/>
              <w:bottom w:val="nil"/>
              <w:right w:val="nil"/>
            </w:tcBorders>
          </w:tcPr>
          <w:p w14:paraId="3738ED6A" w14:textId="77777777" w:rsidR="00B54D51" w:rsidRPr="00037AD4" w:rsidRDefault="00B54D51" w:rsidP="00401C67">
            <w:pPr>
              <w:widowControl w:val="0"/>
              <w:autoSpaceDE w:val="0"/>
              <w:autoSpaceDN w:val="0"/>
              <w:adjustRightInd w:val="0"/>
            </w:pPr>
          </w:p>
        </w:tc>
        <w:tc>
          <w:tcPr>
            <w:tcW w:w="512" w:type="pct"/>
            <w:tcBorders>
              <w:top w:val="nil"/>
              <w:left w:val="nil"/>
              <w:bottom w:val="nil"/>
              <w:right w:val="nil"/>
            </w:tcBorders>
          </w:tcPr>
          <w:p w14:paraId="1DF8C22B" w14:textId="77777777" w:rsidR="00B54D51" w:rsidRPr="00037AD4" w:rsidRDefault="00B54D51" w:rsidP="00401C67">
            <w:pPr>
              <w:widowControl w:val="0"/>
              <w:autoSpaceDE w:val="0"/>
              <w:autoSpaceDN w:val="0"/>
              <w:adjustRightInd w:val="0"/>
              <w:jc w:val="center"/>
            </w:pPr>
            <w:r w:rsidRPr="00037AD4">
              <w:t>(-0.207 - -0.075)</w:t>
            </w:r>
          </w:p>
        </w:tc>
        <w:tc>
          <w:tcPr>
            <w:tcW w:w="512" w:type="pct"/>
            <w:tcBorders>
              <w:top w:val="nil"/>
              <w:left w:val="nil"/>
              <w:bottom w:val="nil"/>
              <w:right w:val="nil"/>
            </w:tcBorders>
          </w:tcPr>
          <w:p w14:paraId="6B3DAA1C" w14:textId="77777777" w:rsidR="00B54D51" w:rsidRPr="00037AD4" w:rsidRDefault="00B54D51" w:rsidP="00401C67">
            <w:pPr>
              <w:widowControl w:val="0"/>
              <w:autoSpaceDE w:val="0"/>
              <w:autoSpaceDN w:val="0"/>
              <w:adjustRightInd w:val="0"/>
              <w:jc w:val="center"/>
            </w:pPr>
            <w:r w:rsidRPr="00037AD4">
              <w:t>(-0.185 - -0.067)</w:t>
            </w:r>
          </w:p>
        </w:tc>
        <w:tc>
          <w:tcPr>
            <w:tcW w:w="512" w:type="pct"/>
            <w:tcBorders>
              <w:top w:val="nil"/>
              <w:left w:val="nil"/>
              <w:bottom w:val="nil"/>
              <w:right w:val="nil"/>
            </w:tcBorders>
          </w:tcPr>
          <w:p w14:paraId="37B3E0BE" w14:textId="77777777" w:rsidR="00B54D51" w:rsidRPr="00037AD4" w:rsidRDefault="00B54D51" w:rsidP="00401C67">
            <w:pPr>
              <w:widowControl w:val="0"/>
              <w:autoSpaceDE w:val="0"/>
              <w:autoSpaceDN w:val="0"/>
              <w:adjustRightInd w:val="0"/>
              <w:jc w:val="center"/>
            </w:pPr>
            <w:r w:rsidRPr="00037AD4">
              <w:t>(-0.186 - -0.068)</w:t>
            </w:r>
          </w:p>
        </w:tc>
        <w:tc>
          <w:tcPr>
            <w:tcW w:w="512" w:type="pct"/>
            <w:tcBorders>
              <w:top w:val="nil"/>
              <w:left w:val="nil"/>
              <w:bottom w:val="nil"/>
              <w:right w:val="nil"/>
            </w:tcBorders>
          </w:tcPr>
          <w:p w14:paraId="0AC1BA82" w14:textId="77777777" w:rsidR="00B54D51" w:rsidRPr="00037AD4" w:rsidRDefault="00B54D51" w:rsidP="00401C67">
            <w:pPr>
              <w:widowControl w:val="0"/>
              <w:autoSpaceDE w:val="0"/>
              <w:autoSpaceDN w:val="0"/>
              <w:adjustRightInd w:val="0"/>
              <w:jc w:val="center"/>
            </w:pPr>
            <w:r w:rsidRPr="00037AD4">
              <w:t>(-0.186 - -0.070)</w:t>
            </w:r>
          </w:p>
        </w:tc>
        <w:tc>
          <w:tcPr>
            <w:tcW w:w="513" w:type="pct"/>
            <w:tcBorders>
              <w:top w:val="nil"/>
              <w:left w:val="nil"/>
              <w:bottom w:val="nil"/>
              <w:right w:val="nil"/>
            </w:tcBorders>
          </w:tcPr>
          <w:p w14:paraId="451CCCC4" w14:textId="77777777" w:rsidR="00B54D51" w:rsidRPr="00037AD4" w:rsidRDefault="00B54D51" w:rsidP="00401C67">
            <w:pPr>
              <w:widowControl w:val="0"/>
              <w:autoSpaceDE w:val="0"/>
              <w:autoSpaceDN w:val="0"/>
              <w:adjustRightInd w:val="0"/>
              <w:jc w:val="center"/>
            </w:pPr>
            <w:r w:rsidRPr="00037AD4">
              <w:t>(-0.191 - -0.068)</w:t>
            </w:r>
          </w:p>
        </w:tc>
        <w:tc>
          <w:tcPr>
            <w:tcW w:w="513" w:type="pct"/>
            <w:tcBorders>
              <w:top w:val="nil"/>
              <w:left w:val="nil"/>
              <w:bottom w:val="nil"/>
              <w:right w:val="nil"/>
            </w:tcBorders>
          </w:tcPr>
          <w:p w14:paraId="7CE8563D"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78415698" w14:textId="77777777" w:rsidR="00B54D51" w:rsidRPr="00037AD4" w:rsidRDefault="00B54D51" w:rsidP="00401C67">
            <w:pPr>
              <w:widowControl w:val="0"/>
              <w:autoSpaceDE w:val="0"/>
              <w:autoSpaceDN w:val="0"/>
              <w:adjustRightInd w:val="0"/>
              <w:jc w:val="center"/>
            </w:pPr>
            <w:r w:rsidRPr="00037AD4">
              <w:t>(-0.286 - -0.180)</w:t>
            </w:r>
          </w:p>
        </w:tc>
      </w:tr>
      <w:tr w:rsidR="00B54D51" w:rsidRPr="00037AD4" w14:paraId="42B17FB0" w14:textId="77777777" w:rsidTr="00401C67">
        <w:trPr>
          <w:jc w:val="center"/>
        </w:trPr>
        <w:tc>
          <w:tcPr>
            <w:tcW w:w="1414" w:type="pct"/>
            <w:tcBorders>
              <w:top w:val="nil"/>
              <w:left w:val="nil"/>
              <w:bottom w:val="nil"/>
              <w:right w:val="nil"/>
            </w:tcBorders>
          </w:tcPr>
          <w:p w14:paraId="1A033FE1" w14:textId="77777777" w:rsidR="00B54D51" w:rsidRPr="00037AD4" w:rsidRDefault="00B54D51" w:rsidP="00401C67">
            <w:pPr>
              <w:widowControl w:val="0"/>
              <w:autoSpaceDE w:val="0"/>
              <w:autoSpaceDN w:val="0"/>
              <w:adjustRightInd w:val="0"/>
            </w:pPr>
            <w:r w:rsidRPr="00037AD4">
              <w:t>PwD_age_</w:t>
            </w:r>
          </w:p>
        </w:tc>
        <w:tc>
          <w:tcPr>
            <w:tcW w:w="512" w:type="pct"/>
            <w:tcBorders>
              <w:top w:val="nil"/>
              <w:left w:val="nil"/>
              <w:bottom w:val="nil"/>
              <w:right w:val="nil"/>
            </w:tcBorders>
          </w:tcPr>
          <w:p w14:paraId="09B65350" w14:textId="77777777" w:rsidR="00B54D51" w:rsidRPr="00037AD4" w:rsidRDefault="00B54D51" w:rsidP="00401C67">
            <w:pPr>
              <w:widowControl w:val="0"/>
              <w:autoSpaceDE w:val="0"/>
              <w:autoSpaceDN w:val="0"/>
              <w:adjustRightInd w:val="0"/>
              <w:jc w:val="center"/>
            </w:pPr>
            <w:r w:rsidRPr="00037AD4">
              <w:t>0.002</w:t>
            </w:r>
          </w:p>
        </w:tc>
        <w:tc>
          <w:tcPr>
            <w:tcW w:w="512" w:type="pct"/>
            <w:tcBorders>
              <w:top w:val="nil"/>
              <w:left w:val="nil"/>
              <w:bottom w:val="nil"/>
              <w:right w:val="nil"/>
            </w:tcBorders>
          </w:tcPr>
          <w:p w14:paraId="32A6DCDC" w14:textId="77777777" w:rsidR="00B54D51" w:rsidRPr="00037AD4" w:rsidRDefault="00B54D51" w:rsidP="00401C67">
            <w:pPr>
              <w:widowControl w:val="0"/>
              <w:autoSpaceDE w:val="0"/>
              <w:autoSpaceDN w:val="0"/>
              <w:adjustRightInd w:val="0"/>
              <w:jc w:val="center"/>
            </w:pPr>
            <w:r w:rsidRPr="00037AD4">
              <w:t>0.001</w:t>
            </w:r>
          </w:p>
        </w:tc>
        <w:tc>
          <w:tcPr>
            <w:tcW w:w="512" w:type="pct"/>
            <w:tcBorders>
              <w:top w:val="nil"/>
              <w:left w:val="nil"/>
              <w:bottom w:val="nil"/>
              <w:right w:val="nil"/>
            </w:tcBorders>
          </w:tcPr>
          <w:p w14:paraId="4673B19F" w14:textId="77777777" w:rsidR="00B54D51" w:rsidRPr="00037AD4" w:rsidRDefault="00B54D51" w:rsidP="00401C67">
            <w:pPr>
              <w:widowControl w:val="0"/>
              <w:autoSpaceDE w:val="0"/>
              <w:autoSpaceDN w:val="0"/>
              <w:adjustRightInd w:val="0"/>
              <w:jc w:val="center"/>
            </w:pPr>
            <w:r w:rsidRPr="00037AD4">
              <w:t>0.002</w:t>
            </w:r>
          </w:p>
        </w:tc>
        <w:tc>
          <w:tcPr>
            <w:tcW w:w="512" w:type="pct"/>
            <w:tcBorders>
              <w:top w:val="nil"/>
              <w:left w:val="nil"/>
              <w:bottom w:val="nil"/>
              <w:right w:val="nil"/>
            </w:tcBorders>
          </w:tcPr>
          <w:p w14:paraId="5F720876"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34BB7FB1" w14:textId="77777777" w:rsidR="00B54D51" w:rsidRPr="00037AD4" w:rsidRDefault="00B54D51" w:rsidP="00401C67">
            <w:pPr>
              <w:widowControl w:val="0"/>
              <w:autoSpaceDE w:val="0"/>
              <w:autoSpaceDN w:val="0"/>
              <w:adjustRightInd w:val="0"/>
              <w:jc w:val="center"/>
            </w:pPr>
            <w:r w:rsidRPr="00037AD4">
              <w:t>-0.001</w:t>
            </w:r>
          </w:p>
        </w:tc>
        <w:tc>
          <w:tcPr>
            <w:tcW w:w="513" w:type="pct"/>
            <w:tcBorders>
              <w:top w:val="nil"/>
              <w:left w:val="nil"/>
              <w:bottom w:val="nil"/>
              <w:right w:val="nil"/>
            </w:tcBorders>
          </w:tcPr>
          <w:p w14:paraId="181E8790" w14:textId="77777777" w:rsidR="00B54D51" w:rsidRPr="00037AD4" w:rsidRDefault="00B54D51" w:rsidP="00401C67">
            <w:pPr>
              <w:widowControl w:val="0"/>
              <w:autoSpaceDE w:val="0"/>
              <w:autoSpaceDN w:val="0"/>
              <w:adjustRightInd w:val="0"/>
              <w:jc w:val="center"/>
            </w:pPr>
            <w:r w:rsidRPr="00037AD4">
              <w:t>0.002</w:t>
            </w:r>
          </w:p>
        </w:tc>
        <w:tc>
          <w:tcPr>
            <w:tcW w:w="512" w:type="pct"/>
            <w:tcBorders>
              <w:top w:val="nil"/>
              <w:left w:val="nil"/>
              <w:bottom w:val="nil"/>
              <w:right w:val="nil"/>
            </w:tcBorders>
          </w:tcPr>
          <w:p w14:paraId="6643661E" w14:textId="77777777" w:rsidR="00B54D51" w:rsidRPr="00037AD4" w:rsidRDefault="00B54D51" w:rsidP="00401C67">
            <w:pPr>
              <w:widowControl w:val="0"/>
              <w:autoSpaceDE w:val="0"/>
              <w:autoSpaceDN w:val="0"/>
              <w:adjustRightInd w:val="0"/>
              <w:jc w:val="center"/>
            </w:pPr>
            <w:r w:rsidRPr="00037AD4">
              <w:t>0.003</w:t>
            </w:r>
          </w:p>
        </w:tc>
      </w:tr>
      <w:tr w:rsidR="00B54D51" w:rsidRPr="00037AD4" w14:paraId="76013D73" w14:textId="77777777" w:rsidTr="00401C67">
        <w:trPr>
          <w:jc w:val="center"/>
        </w:trPr>
        <w:tc>
          <w:tcPr>
            <w:tcW w:w="1414" w:type="pct"/>
            <w:tcBorders>
              <w:top w:val="nil"/>
              <w:left w:val="nil"/>
              <w:bottom w:val="nil"/>
              <w:right w:val="nil"/>
            </w:tcBorders>
          </w:tcPr>
          <w:p w14:paraId="2E7C6745" w14:textId="77777777" w:rsidR="00B54D51" w:rsidRPr="00037AD4" w:rsidRDefault="00B54D51" w:rsidP="00401C67">
            <w:pPr>
              <w:widowControl w:val="0"/>
              <w:autoSpaceDE w:val="0"/>
              <w:autoSpaceDN w:val="0"/>
              <w:adjustRightInd w:val="0"/>
            </w:pPr>
          </w:p>
        </w:tc>
        <w:tc>
          <w:tcPr>
            <w:tcW w:w="512" w:type="pct"/>
            <w:tcBorders>
              <w:top w:val="nil"/>
              <w:left w:val="nil"/>
              <w:bottom w:val="nil"/>
              <w:right w:val="nil"/>
            </w:tcBorders>
          </w:tcPr>
          <w:p w14:paraId="75927DDB" w14:textId="77777777" w:rsidR="00B54D51" w:rsidRPr="00037AD4" w:rsidRDefault="00B54D51" w:rsidP="00401C67">
            <w:pPr>
              <w:widowControl w:val="0"/>
              <w:autoSpaceDE w:val="0"/>
              <w:autoSpaceDN w:val="0"/>
              <w:adjustRightInd w:val="0"/>
              <w:jc w:val="center"/>
            </w:pPr>
            <w:r w:rsidRPr="00037AD4">
              <w:t>(-0.014 - 0.018)</w:t>
            </w:r>
          </w:p>
        </w:tc>
        <w:tc>
          <w:tcPr>
            <w:tcW w:w="512" w:type="pct"/>
            <w:tcBorders>
              <w:top w:val="nil"/>
              <w:left w:val="nil"/>
              <w:bottom w:val="nil"/>
              <w:right w:val="nil"/>
            </w:tcBorders>
          </w:tcPr>
          <w:p w14:paraId="0FF338D1" w14:textId="77777777" w:rsidR="00B54D51" w:rsidRPr="00037AD4" w:rsidRDefault="00B54D51" w:rsidP="00401C67">
            <w:pPr>
              <w:widowControl w:val="0"/>
              <w:autoSpaceDE w:val="0"/>
              <w:autoSpaceDN w:val="0"/>
              <w:adjustRightInd w:val="0"/>
              <w:jc w:val="center"/>
            </w:pPr>
            <w:r w:rsidRPr="00037AD4">
              <w:t>(-0.010 - 0.011)</w:t>
            </w:r>
          </w:p>
        </w:tc>
        <w:tc>
          <w:tcPr>
            <w:tcW w:w="512" w:type="pct"/>
            <w:tcBorders>
              <w:top w:val="nil"/>
              <w:left w:val="nil"/>
              <w:bottom w:val="nil"/>
              <w:right w:val="nil"/>
            </w:tcBorders>
          </w:tcPr>
          <w:p w14:paraId="00D75FF4" w14:textId="77777777" w:rsidR="00B54D51" w:rsidRPr="00037AD4" w:rsidRDefault="00B54D51" w:rsidP="00401C67">
            <w:pPr>
              <w:widowControl w:val="0"/>
              <w:autoSpaceDE w:val="0"/>
              <w:autoSpaceDN w:val="0"/>
              <w:adjustRightInd w:val="0"/>
              <w:jc w:val="center"/>
            </w:pPr>
            <w:r w:rsidRPr="00037AD4">
              <w:t>(-0.008 - 0.012)</w:t>
            </w:r>
          </w:p>
        </w:tc>
        <w:tc>
          <w:tcPr>
            <w:tcW w:w="512" w:type="pct"/>
            <w:tcBorders>
              <w:top w:val="nil"/>
              <w:left w:val="nil"/>
              <w:bottom w:val="nil"/>
              <w:right w:val="nil"/>
            </w:tcBorders>
          </w:tcPr>
          <w:p w14:paraId="6188C5B1"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5714FE07" w14:textId="77777777" w:rsidR="00B54D51" w:rsidRPr="00037AD4" w:rsidRDefault="00B54D51" w:rsidP="00401C67">
            <w:pPr>
              <w:widowControl w:val="0"/>
              <w:autoSpaceDE w:val="0"/>
              <w:autoSpaceDN w:val="0"/>
              <w:adjustRightInd w:val="0"/>
              <w:jc w:val="center"/>
            </w:pPr>
            <w:r w:rsidRPr="00037AD4">
              <w:t>(-0.012 - 0.010)</w:t>
            </w:r>
          </w:p>
        </w:tc>
        <w:tc>
          <w:tcPr>
            <w:tcW w:w="513" w:type="pct"/>
            <w:tcBorders>
              <w:top w:val="nil"/>
              <w:left w:val="nil"/>
              <w:bottom w:val="nil"/>
              <w:right w:val="nil"/>
            </w:tcBorders>
          </w:tcPr>
          <w:p w14:paraId="5B6238F8" w14:textId="77777777" w:rsidR="00B54D51" w:rsidRPr="00037AD4" w:rsidRDefault="00B54D51" w:rsidP="00401C67">
            <w:pPr>
              <w:widowControl w:val="0"/>
              <w:autoSpaceDE w:val="0"/>
              <w:autoSpaceDN w:val="0"/>
              <w:adjustRightInd w:val="0"/>
              <w:jc w:val="center"/>
            </w:pPr>
            <w:r w:rsidRPr="00037AD4">
              <w:t>(-0.009 - 0.013)</w:t>
            </w:r>
          </w:p>
        </w:tc>
        <w:tc>
          <w:tcPr>
            <w:tcW w:w="512" w:type="pct"/>
            <w:tcBorders>
              <w:top w:val="nil"/>
              <w:left w:val="nil"/>
              <w:bottom w:val="nil"/>
              <w:right w:val="nil"/>
            </w:tcBorders>
          </w:tcPr>
          <w:p w14:paraId="6230678B" w14:textId="77777777" w:rsidR="00B54D51" w:rsidRPr="00037AD4" w:rsidRDefault="00B54D51" w:rsidP="00401C67">
            <w:pPr>
              <w:widowControl w:val="0"/>
              <w:autoSpaceDE w:val="0"/>
              <w:autoSpaceDN w:val="0"/>
              <w:adjustRightInd w:val="0"/>
              <w:jc w:val="center"/>
            </w:pPr>
            <w:r w:rsidRPr="00037AD4">
              <w:t>(-0.008 - 0.013)</w:t>
            </w:r>
          </w:p>
        </w:tc>
      </w:tr>
      <w:tr w:rsidR="00B54D51" w:rsidRPr="00037AD4" w14:paraId="279E0719" w14:textId="77777777" w:rsidTr="00401C67">
        <w:trPr>
          <w:jc w:val="center"/>
        </w:trPr>
        <w:tc>
          <w:tcPr>
            <w:tcW w:w="1414" w:type="pct"/>
            <w:tcBorders>
              <w:top w:val="nil"/>
              <w:left w:val="nil"/>
              <w:bottom w:val="nil"/>
              <w:right w:val="nil"/>
            </w:tcBorders>
          </w:tcPr>
          <w:p w14:paraId="289F4B95" w14:textId="77777777" w:rsidR="00B54D51" w:rsidRPr="00037AD4" w:rsidRDefault="00B54D51" w:rsidP="00401C67">
            <w:pPr>
              <w:widowControl w:val="0"/>
              <w:autoSpaceDE w:val="0"/>
              <w:autoSpaceDN w:val="0"/>
              <w:adjustRightInd w:val="0"/>
            </w:pPr>
            <w:r w:rsidRPr="00037AD4">
              <w:t>2.PwDs_sex_</w:t>
            </w:r>
          </w:p>
        </w:tc>
        <w:tc>
          <w:tcPr>
            <w:tcW w:w="512" w:type="pct"/>
            <w:tcBorders>
              <w:top w:val="nil"/>
              <w:left w:val="nil"/>
              <w:bottom w:val="nil"/>
              <w:right w:val="nil"/>
            </w:tcBorders>
          </w:tcPr>
          <w:p w14:paraId="02234EB3" w14:textId="77777777" w:rsidR="00B54D51" w:rsidRPr="00037AD4" w:rsidRDefault="00B54D51" w:rsidP="00401C67">
            <w:pPr>
              <w:widowControl w:val="0"/>
              <w:autoSpaceDE w:val="0"/>
              <w:autoSpaceDN w:val="0"/>
              <w:adjustRightInd w:val="0"/>
              <w:jc w:val="center"/>
            </w:pPr>
            <w:r w:rsidRPr="00037AD4">
              <w:t>0.269*</w:t>
            </w:r>
          </w:p>
        </w:tc>
        <w:tc>
          <w:tcPr>
            <w:tcW w:w="512" w:type="pct"/>
            <w:tcBorders>
              <w:top w:val="nil"/>
              <w:left w:val="nil"/>
              <w:bottom w:val="nil"/>
              <w:right w:val="nil"/>
            </w:tcBorders>
          </w:tcPr>
          <w:p w14:paraId="1F8EEC04" w14:textId="77777777" w:rsidR="00B54D51" w:rsidRPr="00037AD4" w:rsidRDefault="00B54D51" w:rsidP="00401C67">
            <w:pPr>
              <w:widowControl w:val="0"/>
              <w:autoSpaceDE w:val="0"/>
              <w:autoSpaceDN w:val="0"/>
              <w:adjustRightInd w:val="0"/>
              <w:jc w:val="center"/>
            </w:pPr>
            <w:r w:rsidRPr="00037AD4">
              <w:t>0.235**</w:t>
            </w:r>
          </w:p>
        </w:tc>
        <w:tc>
          <w:tcPr>
            <w:tcW w:w="512" w:type="pct"/>
            <w:tcBorders>
              <w:top w:val="nil"/>
              <w:left w:val="nil"/>
              <w:bottom w:val="nil"/>
              <w:right w:val="nil"/>
            </w:tcBorders>
          </w:tcPr>
          <w:p w14:paraId="490117C4" w14:textId="77777777" w:rsidR="00B54D51" w:rsidRPr="00037AD4" w:rsidRDefault="00B54D51" w:rsidP="00401C67">
            <w:pPr>
              <w:widowControl w:val="0"/>
              <w:autoSpaceDE w:val="0"/>
              <w:autoSpaceDN w:val="0"/>
              <w:adjustRightInd w:val="0"/>
              <w:jc w:val="center"/>
            </w:pPr>
            <w:r w:rsidRPr="00037AD4">
              <w:t>0.251***</w:t>
            </w:r>
          </w:p>
        </w:tc>
        <w:tc>
          <w:tcPr>
            <w:tcW w:w="512" w:type="pct"/>
            <w:tcBorders>
              <w:top w:val="nil"/>
              <w:left w:val="nil"/>
              <w:bottom w:val="nil"/>
              <w:right w:val="nil"/>
            </w:tcBorders>
          </w:tcPr>
          <w:p w14:paraId="49F9A187" w14:textId="77777777" w:rsidR="00B54D51" w:rsidRPr="00037AD4" w:rsidRDefault="00B54D51" w:rsidP="00401C67">
            <w:pPr>
              <w:widowControl w:val="0"/>
              <w:autoSpaceDE w:val="0"/>
              <w:autoSpaceDN w:val="0"/>
              <w:adjustRightInd w:val="0"/>
              <w:jc w:val="center"/>
            </w:pPr>
            <w:r w:rsidRPr="00037AD4">
              <w:t>0.254***</w:t>
            </w:r>
          </w:p>
        </w:tc>
        <w:tc>
          <w:tcPr>
            <w:tcW w:w="513" w:type="pct"/>
            <w:tcBorders>
              <w:top w:val="nil"/>
              <w:left w:val="nil"/>
              <w:bottom w:val="nil"/>
              <w:right w:val="nil"/>
            </w:tcBorders>
          </w:tcPr>
          <w:p w14:paraId="08B6A465" w14:textId="77777777" w:rsidR="00B54D51" w:rsidRPr="00037AD4" w:rsidRDefault="00B54D51" w:rsidP="00401C67">
            <w:pPr>
              <w:widowControl w:val="0"/>
              <w:autoSpaceDE w:val="0"/>
              <w:autoSpaceDN w:val="0"/>
              <w:adjustRightInd w:val="0"/>
              <w:jc w:val="center"/>
            </w:pPr>
            <w:r w:rsidRPr="00037AD4">
              <w:t>0.239**</w:t>
            </w:r>
          </w:p>
        </w:tc>
        <w:tc>
          <w:tcPr>
            <w:tcW w:w="513" w:type="pct"/>
            <w:tcBorders>
              <w:top w:val="nil"/>
              <w:left w:val="nil"/>
              <w:bottom w:val="nil"/>
              <w:right w:val="nil"/>
            </w:tcBorders>
          </w:tcPr>
          <w:p w14:paraId="61CD5CD4" w14:textId="77777777" w:rsidR="00B54D51" w:rsidRPr="00037AD4" w:rsidRDefault="00B54D51" w:rsidP="00401C67">
            <w:pPr>
              <w:widowControl w:val="0"/>
              <w:autoSpaceDE w:val="0"/>
              <w:autoSpaceDN w:val="0"/>
              <w:adjustRightInd w:val="0"/>
              <w:jc w:val="center"/>
            </w:pPr>
            <w:r w:rsidRPr="00037AD4">
              <w:t>0.262***</w:t>
            </w:r>
          </w:p>
        </w:tc>
        <w:tc>
          <w:tcPr>
            <w:tcW w:w="512" w:type="pct"/>
            <w:tcBorders>
              <w:top w:val="nil"/>
              <w:left w:val="nil"/>
              <w:bottom w:val="nil"/>
              <w:right w:val="nil"/>
            </w:tcBorders>
          </w:tcPr>
          <w:p w14:paraId="1E6F1C51" w14:textId="77777777" w:rsidR="00B54D51" w:rsidRPr="00037AD4" w:rsidRDefault="00B54D51" w:rsidP="00401C67">
            <w:pPr>
              <w:widowControl w:val="0"/>
              <w:autoSpaceDE w:val="0"/>
              <w:autoSpaceDN w:val="0"/>
              <w:adjustRightInd w:val="0"/>
              <w:jc w:val="center"/>
            </w:pPr>
            <w:r w:rsidRPr="00037AD4">
              <w:t>0.002</w:t>
            </w:r>
          </w:p>
        </w:tc>
      </w:tr>
      <w:tr w:rsidR="00B54D51" w:rsidRPr="00037AD4" w14:paraId="58EAFC36" w14:textId="77777777" w:rsidTr="00401C67">
        <w:trPr>
          <w:jc w:val="center"/>
        </w:trPr>
        <w:tc>
          <w:tcPr>
            <w:tcW w:w="1414" w:type="pct"/>
            <w:tcBorders>
              <w:top w:val="nil"/>
              <w:left w:val="nil"/>
              <w:bottom w:val="nil"/>
              <w:right w:val="nil"/>
            </w:tcBorders>
          </w:tcPr>
          <w:p w14:paraId="74832258" w14:textId="77777777" w:rsidR="00B54D51" w:rsidRPr="00037AD4" w:rsidRDefault="00B54D51" w:rsidP="00401C67">
            <w:pPr>
              <w:widowControl w:val="0"/>
              <w:autoSpaceDE w:val="0"/>
              <w:autoSpaceDN w:val="0"/>
              <w:adjustRightInd w:val="0"/>
            </w:pPr>
          </w:p>
        </w:tc>
        <w:tc>
          <w:tcPr>
            <w:tcW w:w="512" w:type="pct"/>
            <w:tcBorders>
              <w:top w:val="nil"/>
              <w:left w:val="nil"/>
              <w:bottom w:val="nil"/>
              <w:right w:val="nil"/>
            </w:tcBorders>
          </w:tcPr>
          <w:p w14:paraId="65C9891F" w14:textId="77777777" w:rsidR="00B54D51" w:rsidRPr="00037AD4" w:rsidRDefault="00B54D51" w:rsidP="00401C67">
            <w:pPr>
              <w:widowControl w:val="0"/>
              <w:autoSpaceDE w:val="0"/>
              <w:autoSpaceDN w:val="0"/>
              <w:adjustRightInd w:val="0"/>
              <w:jc w:val="center"/>
            </w:pPr>
            <w:r w:rsidRPr="00037AD4">
              <w:t>(-0.005 - 0.542)</w:t>
            </w:r>
          </w:p>
        </w:tc>
        <w:tc>
          <w:tcPr>
            <w:tcW w:w="512" w:type="pct"/>
            <w:tcBorders>
              <w:top w:val="nil"/>
              <w:left w:val="nil"/>
              <w:bottom w:val="nil"/>
              <w:right w:val="nil"/>
            </w:tcBorders>
          </w:tcPr>
          <w:p w14:paraId="7F9E4D8A" w14:textId="77777777" w:rsidR="00B54D51" w:rsidRPr="00037AD4" w:rsidRDefault="00B54D51" w:rsidP="00401C67">
            <w:pPr>
              <w:widowControl w:val="0"/>
              <w:autoSpaceDE w:val="0"/>
              <w:autoSpaceDN w:val="0"/>
              <w:adjustRightInd w:val="0"/>
              <w:jc w:val="center"/>
            </w:pPr>
            <w:r w:rsidRPr="00037AD4">
              <w:t>(0.054 - 0.415)</w:t>
            </w:r>
          </w:p>
        </w:tc>
        <w:tc>
          <w:tcPr>
            <w:tcW w:w="512" w:type="pct"/>
            <w:tcBorders>
              <w:top w:val="nil"/>
              <w:left w:val="nil"/>
              <w:bottom w:val="nil"/>
              <w:right w:val="nil"/>
            </w:tcBorders>
          </w:tcPr>
          <w:p w14:paraId="77119AD2" w14:textId="77777777" w:rsidR="00B54D51" w:rsidRPr="00037AD4" w:rsidRDefault="00B54D51" w:rsidP="00401C67">
            <w:pPr>
              <w:widowControl w:val="0"/>
              <w:autoSpaceDE w:val="0"/>
              <w:autoSpaceDN w:val="0"/>
              <w:adjustRightInd w:val="0"/>
              <w:jc w:val="center"/>
            </w:pPr>
            <w:r w:rsidRPr="00037AD4">
              <w:t>(0.080 - 0.421)</w:t>
            </w:r>
          </w:p>
        </w:tc>
        <w:tc>
          <w:tcPr>
            <w:tcW w:w="512" w:type="pct"/>
            <w:tcBorders>
              <w:top w:val="nil"/>
              <w:left w:val="nil"/>
              <w:bottom w:val="nil"/>
              <w:right w:val="nil"/>
            </w:tcBorders>
          </w:tcPr>
          <w:p w14:paraId="796D5582" w14:textId="77777777" w:rsidR="00B54D51" w:rsidRPr="00037AD4" w:rsidRDefault="00B54D51" w:rsidP="00401C67">
            <w:pPr>
              <w:widowControl w:val="0"/>
              <w:autoSpaceDE w:val="0"/>
              <w:autoSpaceDN w:val="0"/>
              <w:adjustRightInd w:val="0"/>
              <w:jc w:val="center"/>
            </w:pPr>
            <w:r w:rsidRPr="00037AD4">
              <w:t>(0.083 - 0.424)</w:t>
            </w:r>
          </w:p>
        </w:tc>
        <w:tc>
          <w:tcPr>
            <w:tcW w:w="513" w:type="pct"/>
            <w:tcBorders>
              <w:top w:val="nil"/>
              <w:left w:val="nil"/>
              <w:bottom w:val="nil"/>
              <w:right w:val="nil"/>
            </w:tcBorders>
          </w:tcPr>
          <w:p w14:paraId="727659BB" w14:textId="77777777" w:rsidR="00B54D51" w:rsidRPr="00037AD4" w:rsidRDefault="00B54D51" w:rsidP="00401C67">
            <w:pPr>
              <w:widowControl w:val="0"/>
              <w:autoSpaceDE w:val="0"/>
              <w:autoSpaceDN w:val="0"/>
              <w:adjustRightInd w:val="0"/>
              <w:jc w:val="center"/>
            </w:pPr>
            <w:r w:rsidRPr="00037AD4">
              <w:t>(0.049 - 0.429)</w:t>
            </w:r>
          </w:p>
        </w:tc>
        <w:tc>
          <w:tcPr>
            <w:tcW w:w="513" w:type="pct"/>
            <w:tcBorders>
              <w:top w:val="nil"/>
              <w:left w:val="nil"/>
              <w:bottom w:val="nil"/>
              <w:right w:val="nil"/>
            </w:tcBorders>
          </w:tcPr>
          <w:p w14:paraId="415D3E5D" w14:textId="77777777" w:rsidR="00B54D51" w:rsidRPr="00037AD4" w:rsidRDefault="00B54D51" w:rsidP="00401C67">
            <w:pPr>
              <w:widowControl w:val="0"/>
              <w:autoSpaceDE w:val="0"/>
              <w:autoSpaceDN w:val="0"/>
              <w:adjustRightInd w:val="0"/>
              <w:jc w:val="center"/>
            </w:pPr>
            <w:r w:rsidRPr="00037AD4">
              <w:t>(0.073 - 0.451)</w:t>
            </w:r>
          </w:p>
        </w:tc>
        <w:tc>
          <w:tcPr>
            <w:tcW w:w="512" w:type="pct"/>
            <w:tcBorders>
              <w:top w:val="nil"/>
              <w:left w:val="nil"/>
              <w:bottom w:val="nil"/>
              <w:right w:val="nil"/>
            </w:tcBorders>
          </w:tcPr>
          <w:p w14:paraId="312E5120" w14:textId="77777777" w:rsidR="00B54D51" w:rsidRPr="00037AD4" w:rsidRDefault="00B54D51" w:rsidP="00401C67">
            <w:pPr>
              <w:widowControl w:val="0"/>
              <w:autoSpaceDE w:val="0"/>
              <w:autoSpaceDN w:val="0"/>
              <w:adjustRightInd w:val="0"/>
              <w:jc w:val="center"/>
            </w:pPr>
            <w:r w:rsidRPr="00037AD4">
              <w:t>(-0.180 - 0.184)</w:t>
            </w:r>
          </w:p>
        </w:tc>
      </w:tr>
      <w:tr w:rsidR="00B54D51" w:rsidRPr="00037AD4" w14:paraId="353CA775" w14:textId="77777777" w:rsidTr="00401C67">
        <w:trPr>
          <w:jc w:val="center"/>
        </w:trPr>
        <w:tc>
          <w:tcPr>
            <w:tcW w:w="1414" w:type="pct"/>
            <w:tcBorders>
              <w:top w:val="nil"/>
              <w:left w:val="nil"/>
              <w:bottom w:val="nil"/>
              <w:right w:val="nil"/>
            </w:tcBorders>
          </w:tcPr>
          <w:p w14:paraId="49DA7750" w14:textId="77777777" w:rsidR="00B54D51" w:rsidRPr="00037AD4" w:rsidRDefault="00B54D51" w:rsidP="00401C67">
            <w:pPr>
              <w:widowControl w:val="0"/>
              <w:autoSpaceDE w:val="0"/>
              <w:autoSpaceDN w:val="0"/>
              <w:adjustRightInd w:val="0"/>
            </w:pPr>
            <w:r w:rsidRPr="00037AD4">
              <w:t>carer_age_</w:t>
            </w:r>
          </w:p>
        </w:tc>
        <w:tc>
          <w:tcPr>
            <w:tcW w:w="512" w:type="pct"/>
            <w:tcBorders>
              <w:top w:val="nil"/>
              <w:left w:val="nil"/>
              <w:bottom w:val="nil"/>
              <w:right w:val="nil"/>
            </w:tcBorders>
          </w:tcPr>
          <w:p w14:paraId="5D200DC7" w14:textId="77777777" w:rsidR="00B54D51" w:rsidRPr="00037AD4" w:rsidRDefault="00B54D51" w:rsidP="00401C67">
            <w:pPr>
              <w:widowControl w:val="0"/>
              <w:autoSpaceDE w:val="0"/>
              <w:autoSpaceDN w:val="0"/>
              <w:adjustRightInd w:val="0"/>
              <w:jc w:val="center"/>
            </w:pPr>
            <w:r w:rsidRPr="00037AD4">
              <w:t>-0.004</w:t>
            </w:r>
          </w:p>
        </w:tc>
        <w:tc>
          <w:tcPr>
            <w:tcW w:w="512" w:type="pct"/>
            <w:tcBorders>
              <w:top w:val="nil"/>
              <w:left w:val="nil"/>
              <w:bottom w:val="nil"/>
              <w:right w:val="nil"/>
            </w:tcBorders>
          </w:tcPr>
          <w:p w14:paraId="31BD83B4"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4E726642"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15C9D1F6"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7A8897FD"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653BCC01"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420E2F62" w14:textId="77777777" w:rsidR="00B54D51" w:rsidRPr="00037AD4" w:rsidRDefault="00B54D51" w:rsidP="00401C67">
            <w:pPr>
              <w:widowControl w:val="0"/>
              <w:autoSpaceDE w:val="0"/>
              <w:autoSpaceDN w:val="0"/>
              <w:adjustRightInd w:val="0"/>
              <w:jc w:val="center"/>
            </w:pPr>
          </w:p>
        </w:tc>
      </w:tr>
      <w:tr w:rsidR="00B54D51" w:rsidRPr="00037AD4" w14:paraId="776B39BC" w14:textId="77777777" w:rsidTr="00401C67">
        <w:trPr>
          <w:jc w:val="center"/>
        </w:trPr>
        <w:tc>
          <w:tcPr>
            <w:tcW w:w="1414" w:type="pct"/>
            <w:tcBorders>
              <w:top w:val="nil"/>
              <w:left w:val="nil"/>
              <w:bottom w:val="nil"/>
              <w:right w:val="nil"/>
            </w:tcBorders>
          </w:tcPr>
          <w:p w14:paraId="72F0F9B5" w14:textId="77777777" w:rsidR="00B54D51" w:rsidRPr="00037AD4" w:rsidRDefault="00B54D51" w:rsidP="00401C67">
            <w:pPr>
              <w:widowControl w:val="0"/>
              <w:autoSpaceDE w:val="0"/>
              <w:autoSpaceDN w:val="0"/>
              <w:adjustRightInd w:val="0"/>
            </w:pPr>
          </w:p>
        </w:tc>
        <w:tc>
          <w:tcPr>
            <w:tcW w:w="512" w:type="pct"/>
            <w:tcBorders>
              <w:top w:val="nil"/>
              <w:left w:val="nil"/>
              <w:bottom w:val="nil"/>
              <w:right w:val="nil"/>
            </w:tcBorders>
          </w:tcPr>
          <w:p w14:paraId="21A89C87" w14:textId="77777777" w:rsidR="00B54D51" w:rsidRPr="00037AD4" w:rsidRDefault="00B54D51" w:rsidP="00401C67">
            <w:pPr>
              <w:widowControl w:val="0"/>
              <w:autoSpaceDE w:val="0"/>
              <w:autoSpaceDN w:val="0"/>
              <w:adjustRightInd w:val="0"/>
              <w:jc w:val="center"/>
            </w:pPr>
            <w:r w:rsidRPr="00037AD4">
              <w:t>(-0.018 - 0.010)</w:t>
            </w:r>
          </w:p>
        </w:tc>
        <w:tc>
          <w:tcPr>
            <w:tcW w:w="512" w:type="pct"/>
            <w:tcBorders>
              <w:top w:val="nil"/>
              <w:left w:val="nil"/>
              <w:bottom w:val="nil"/>
              <w:right w:val="nil"/>
            </w:tcBorders>
          </w:tcPr>
          <w:p w14:paraId="5C899F9D"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26BD2932"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41E230DD"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1D7975FD"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57B02D5F"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1CC973C6" w14:textId="77777777" w:rsidR="00B54D51" w:rsidRPr="00037AD4" w:rsidRDefault="00B54D51" w:rsidP="00401C67">
            <w:pPr>
              <w:widowControl w:val="0"/>
              <w:autoSpaceDE w:val="0"/>
              <w:autoSpaceDN w:val="0"/>
              <w:adjustRightInd w:val="0"/>
              <w:jc w:val="center"/>
            </w:pPr>
          </w:p>
        </w:tc>
      </w:tr>
      <w:tr w:rsidR="00B54D51" w:rsidRPr="00037AD4" w14:paraId="5C39E81D" w14:textId="77777777" w:rsidTr="00401C67">
        <w:trPr>
          <w:jc w:val="center"/>
        </w:trPr>
        <w:tc>
          <w:tcPr>
            <w:tcW w:w="1414" w:type="pct"/>
            <w:tcBorders>
              <w:top w:val="nil"/>
              <w:left w:val="nil"/>
              <w:bottom w:val="nil"/>
              <w:right w:val="nil"/>
            </w:tcBorders>
          </w:tcPr>
          <w:p w14:paraId="6792D416" w14:textId="77777777" w:rsidR="00B54D51" w:rsidRPr="00037AD4" w:rsidRDefault="00B54D51" w:rsidP="00401C67">
            <w:pPr>
              <w:widowControl w:val="0"/>
              <w:autoSpaceDE w:val="0"/>
              <w:autoSpaceDN w:val="0"/>
              <w:adjustRightInd w:val="0"/>
            </w:pPr>
            <w:r w:rsidRPr="00037AD4">
              <w:t>2.proxy_sex_</w:t>
            </w:r>
          </w:p>
        </w:tc>
        <w:tc>
          <w:tcPr>
            <w:tcW w:w="512" w:type="pct"/>
            <w:tcBorders>
              <w:top w:val="nil"/>
              <w:left w:val="nil"/>
              <w:bottom w:val="nil"/>
              <w:right w:val="nil"/>
            </w:tcBorders>
          </w:tcPr>
          <w:p w14:paraId="06DF3453" w14:textId="77777777" w:rsidR="00B54D51" w:rsidRPr="00037AD4" w:rsidRDefault="00B54D51" w:rsidP="00401C67">
            <w:pPr>
              <w:widowControl w:val="0"/>
              <w:autoSpaceDE w:val="0"/>
              <w:autoSpaceDN w:val="0"/>
              <w:adjustRightInd w:val="0"/>
              <w:jc w:val="center"/>
            </w:pPr>
            <w:r w:rsidRPr="00037AD4">
              <w:t>-0.017</w:t>
            </w:r>
          </w:p>
        </w:tc>
        <w:tc>
          <w:tcPr>
            <w:tcW w:w="512" w:type="pct"/>
            <w:tcBorders>
              <w:top w:val="nil"/>
              <w:left w:val="nil"/>
              <w:bottom w:val="nil"/>
              <w:right w:val="nil"/>
            </w:tcBorders>
          </w:tcPr>
          <w:p w14:paraId="3BE70FF2"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2A5B8ECE"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15825127"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436FF040"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3860B219"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709D43AB" w14:textId="77777777" w:rsidR="00B54D51" w:rsidRPr="00037AD4" w:rsidRDefault="00B54D51" w:rsidP="00401C67">
            <w:pPr>
              <w:widowControl w:val="0"/>
              <w:autoSpaceDE w:val="0"/>
              <w:autoSpaceDN w:val="0"/>
              <w:adjustRightInd w:val="0"/>
              <w:jc w:val="center"/>
            </w:pPr>
          </w:p>
        </w:tc>
      </w:tr>
      <w:tr w:rsidR="00B54D51" w:rsidRPr="00037AD4" w14:paraId="4BCB3BB2" w14:textId="77777777" w:rsidTr="00401C67">
        <w:trPr>
          <w:jc w:val="center"/>
        </w:trPr>
        <w:tc>
          <w:tcPr>
            <w:tcW w:w="1414" w:type="pct"/>
            <w:tcBorders>
              <w:top w:val="nil"/>
              <w:left w:val="nil"/>
              <w:bottom w:val="nil"/>
              <w:right w:val="nil"/>
            </w:tcBorders>
          </w:tcPr>
          <w:p w14:paraId="348A7714" w14:textId="77777777" w:rsidR="00B54D51" w:rsidRPr="00037AD4" w:rsidRDefault="00B54D51" w:rsidP="00401C67">
            <w:pPr>
              <w:widowControl w:val="0"/>
              <w:autoSpaceDE w:val="0"/>
              <w:autoSpaceDN w:val="0"/>
              <w:adjustRightInd w:val="0"/>
            </w:pPr>
          </w:p>
        </w:tc>
        <w:tc>
          <w:tcPr>
            <w:tcW w:w="512" w:type="pct"/>
            <w:tcBorders>
              <w:top w:val="nil"/>
              <w:left w:val="nil"/>
              <w:bottom w:val="nil"/>
              <w:right w:val="nil"/>
            </w:tcBorders>
          </w:tcPr>
          <w:p w14:paraId="3F070C3D" w14:textId="77777777" w:rsidR="00B54D51" w:rsidRPr="00037AD4" w:rsidRDefault="00B54D51" w:rsidP="00401C67">
            <w:pPr>
              <w:widowControl w:val="0"/>
              <w:autoSpaceDE w:val="0"/>
              <w:autoSpaceDN w:val="0"/>
              <w:adjustRightInd w:val="0"/>
              <w:jc w:val="center"/>
            </w:pPr>
            <w:r w:rsidRPr="00037AD4">
              <w:t>(-0.269 - 0.234)</w:t>
            </w:r>
          </w:p>
        </w:tc>
        <w:tc>
          <w:tcPr>
            <w:tcW w:w="512" w:type="pct"/>
            <w:tcBorders>
              <w:top w:val="nil"/>
              <w:left w:val="nil"/>
              <w:bottom w:val="nil"/>
              <w:right w:val="nil"/>
            </w:tcBorders>
          </w:tcPr>
          <w:p w14:paraId="0C6D4F10"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587ED68D"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14F9D2D7"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4F1A3FFF"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3D15F4D3"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0E5E1EAB" w14:textId="77777777" w:rsidR="00B54D51" w:rsidRPr="00037AD4" w:rsidRDefault="00B54D51" w:rsidP="00401C67">
            <w:pPr>
              <w:widowControl w:val="0"/>
              <w:autoSpaceDE w:val="0"/>
              <w:autoSpaceDN w:val="0"/>
              <w:adjustRightInd w:val="0"/>
              <w:jc w:val="center"/>
            </w:pPr>
          </w:p>
        </w:tc>
      </w:tr>
      <w:tr w:rsidR="00B54D51" w:rsidRPr="00037AD4" w14:paraId="03E9B816" w14:textId="77777777" w:rsidTr="00401C67">
        <w:trPr>
          <w:jc w:val="center"/>
        </w:trPr>
        <w:tc>
          <w:tcPr>
            <w:tcW w:w="1414" w:type="pct"/>
            <w:tcBorders>
              <w:top w:val="nil"/>
              <w:left w:val="nil"/>
              <w:bottom w:val="nil"/>
              <w:right w:val="nil"/>
            </w:tcBorders>
          </w:tcPr>
          <w:p w14:paraId="4EBDF0A2" w14:textId="77777777" w:rsidR="00B54D51" w:rsidRPr="00037AD4" w:rsidRDefault="00B54D51" w:rsidP="00401C67">
            <w:pPr>
              <w:widowControl w:val="0"/>
              <w:autoSpaceDE w:val="0"/>
              <w:autoSpaceDN w:val="0"/>
              <w:adjustRightInd w:val="0"/>
            </w:pPr>
            <w:r w:rsidRPr="00037AD4">
              <w:lastRenderedPageBreak/>
              <w:t>2.PwD_live_with_carer_</w:t>
            </w:r>
          </w:p>
        </w:tc>
        <w:tc>
          <w:tcPr>
            <w:tcW w:w="512" w:type="pct"/>
            <w:tcBorders>
              <w:top w:val="nil"/>
              <w:left w:val="nil"/>
              <w:bottom w:val="nil"/>
              <w:right w:val="nil"/>
            </w:tcBorders>
          </w:tcPr>
          <w:p w14:paraId="67C54FF0" w14:textId="77777777" w:rsidR="00B54D51" w:rsidRPr="00037AD4" w:rsidRDefault="00B54D51" w:rsidP="00401C67">
            <w:pPr>
              <w:widowControl w:val="0"/>
              <w:autoSpaceDE w:val="0"/>
              <w:autoSpaceDN w:val="0"/>
              <w:adjustRightInd w:val="0"/>
              <w:jc w:val="center"/>
            </w:pPr>
            <w:r w:rsidRPr="00037AD4">
              <w:t>0.389***</w:t>
            </w:r>
          </w:p>
        </w:tc>
        <w:tc>
          <w:tcPr>
            <w:tcW w:w="512" w:type="pct"/>
            <w:tcBorders>
              <w:top w:val="nil"/>
              <w:left w:val="nil"/>
              <w:bottom w:val="nil"/>
              <w:right w:val="nil"/>
            </w:tcBorders>
          </w:tcPr>
          <w:p w14:paraId="1798A945" w14:textId="77777777" w:rsidR="00B54D51" w:rsidRPr="00037AD4" w:rsidRDefault="00B54D51" w:rsidP="00401C67">
            <w:pPr>
              <w:widowControl w:val="0"/>
              <w:autoSpaceDE w:val="0"/>
              <w:autoSpaceDN w:val="0"/>
              <w:adjustRightInd w:val="0"/>
              <w:jc w:val="center"/>
            </w:pPr>
            <w:r w:rsidRPr="00037AD4">
              <w:t>0.055</w:t>
            </w:r>
          </w:p>
        </w:tc>
        <w:tc>
          <w:tcPr>
            <w:tcW w:w="512" w:type="pct"/>
            <w:tcBorders>
              <w:top w:val="nil"/>
              <w:left w:val="nil"/>
              <w:bottom w:val="nil"/>
              <w:right w:val="nil"/>
            </w:tcBorders>
          </w:tcPr>
          <w:p w14:paraId="56A271F0"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30F9F508"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0039FC84"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4B9907CE"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48CD37FD" w14:textId="77777777" w:rsidR="00B54D51" w:rsidRPr="00037AD4" w:rsidRDefault="00B54D51" w:rsidP="00401C67">
            <w:pPr>
              <w:widowControl w:val="0"/>
              <w:autoSpaceDE w:val="0"/>
              <w:autoSpaceDN w:val="0"/>
              <w:adjustRightInd w:val="0"/>
              <w:jc w:val="center"/>
            </w:pPr>
          </w:p>
        </w:tc>
      </w:tr>
      <w:tr w:rsidR="00B54D51" w:rsidRPr="00037AD4" w14:paraId="6B58621D" w14:textId="77777777" w:rsidTr="00401C67">
        <w:trPr>
          <w:jc w:val="center"/>
        </w:trPr>
        <w:tc>
          <w:tcPr>
            <w:tcW w:w="1414" w:type="pct"/>
            <w:tcBorders>
              <w:top w:val="nil"/>
              <w:left w:val="nil"/>
              <w:bottom w:val="nil"/>
              <w:right w:val="nil"/>
            </w:tcBorders>
          </w:tcPr>
          <w:p w14:paraId="3847C8EF" w14:textId="77777777" w:rsidR="00B54D51" w:rsidRPr="00037AD4" w:rsidRDefault="00B54D51" w:rsidP="00401C67">
            <w:pPr>
              <w:widowControl w:val="0"/>
              <w:autoSpaceDE w:val="0"/>
              <w:autoSpaceDN w:val="0"/>
              <w:adjustRightInd w:val="0"/>
            </w:pPr>
          </w:p>
        </w:tc>
        <w:tc>
          <w:tcPr>
            <w:tcW w:w="512" w:type="pct"/>
            <w:tcBorders>
              <w:top w:val="nil"/>
              <w:left w:val="nil"/>
              <w:bottom w:val="nil"/>
              <w:right w:val="nil"/>
            </w:tcBorders>
          </w:tcPr>
          <w:p w14:paraId="34F4415B" w14:textId="77777777" w:rsidR="00B54D51" w:rsidRPr="00037AD4" w:rsidRDefault="00B54D51" w:rsidP="00401C67">
            <w:pPr>
              <w:widowControl w:val="0"/>
              <w:autoSpaceDE w:val="0"/>
              <w:autoSpaceDN w:val="0"/>
              <w:adjustRightInd w:val="0"/>
              <w:jc w:val="center"/>
            </w:pPr>
            <w:r w:rsidRPr="00037AD4">
              <w:t>(0.111 - 0.668)</w:t>
            </w:r>
          </w:p>
        </w:tc>
        <w:tc>
          <w:tcPr>
            <w:tcW w:w="512" w:type="pct"/>
            <w:tcBorders>
              <w:top w:val="nil"/>
              <w:left w:val="nil"/>
              <w:bottom w:val="nil"/>
              <w:right w:val="nil"/>
            </w:tcBorders>
          </w:tcPr>
          <w:p w14:paraId="197C134E" w14:textId="77777777" w:rsidR="00B54D51" w:rsidRPr="00037AD4" w:rsidRDefault="00B54D51" w:rsidP="00401C67">
            <w:pPr>
              <w:widowControl w:val="0"/>
              <w:autoSpaceDE w:val="0"/>
              <w:autoSpaceDN w:val="0"/>
              <w:adjustRightInd w:val="0"/>
              <w:jc w:val="center"/>
            </w:pPr>
            <w:r w:rsidRPr="00037AD4">
              <w:t>(-0.134 - 0.243)</w:t>
            </w:r>
          </w:p>
        </w:tc>
        <w:tc>
          <w:tcPr>
            <w:tcW w:w="512" w:type="pct"/>
            <w:tcBorders>
              <w:top w:val="nil"/>
              <w:left w:val="nil"/>
              <w:bottom w:val="nil"/>
              <w:right w:val="nil"/>
            </w:tcBorders>
          </w:tcPr>
          <w:p w14:paraId="47FD699B"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5FC94A14"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482BDB40"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5586F500"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3571D72B" w14:textId="77777777" w:rsidR="00B54D51" w:rsidRPr="00037AD4" w:rsidRDefault="00B54D51" w:rsidP="00401C67">
            <w:pPr>
              <w:widowControl w:val="0"/>
              <w:autoSpaceDE w:val="0"/>
              <w:autoSpaceDN w:val="0"/>
              <w:adjustRightInd w:val="0"/>
              <w:jc w:val="center"/>
            </w:pPr>
          </w:p>
        </w:tc>
      </w:tr>
      <w:tr w:rsidR="00B54D51" w:rsidRPr="00037AD4" w14:paraId="7AE418B7" w14:textId="77777777" w:rsidTr="00401C67">
        <w:trPr>
          <w:jc w:val="center"/>
        </w:trPr>
        <w:tc>
          <w:tcPr>
            <w:tcW w:w="1414" w:type="pct"/>
            <w:tcBorders>
              <w:top w:val="nil"/>
              <w:left w:val="nil"/>
              <w:bottom w:val="nil"/>
              <w:right w:val="nil"/>
            </w:tcBorders>
          </w:tcPr>
          <w:p w14:paraId="38B8D60A" w14:textId="77777777" w:rsidR="00B54D51" w:rsidRPr="00037AD4" w:rsidRDefault="00B54D51" w:rsidP="00401C67">
            <w:pPr>
              <w:widowControl w:val="0"/>
              <w:autoSpaceDE w:val="0"/>
              <w:autoSpaceDN w:val="0"/>
              <w:adjustRightInd w:val="0"/>
            </w:pPr>
            <w:r w:rsidRPr="00037AD4">
              <w:t>2.carer_relationship_merged</w:t>
            </w:r>
          </w:p>
        </w:tc>
        <w:tc>
          <w:tcPr>
            <w:tcW w:w="512" w:type="pct"/>
            <w:tcBorders>
              <w:top w:val="nil"/>
              <w:left w:val="nil"/>
              <w:bottom w:val="nil"/>
              <w:right w:val="nil"/>
            </w:tcBorders>
          </w:tcPr>
          <w:p w14:paraId="25F81FDE" w14:textId="77777777" w:rsidR="00B54D51" w:rsidRPr="00037AD4" w:rsidRDefault="00B54D51" w:rsidP="00401C67">
            <w:pPr>
              <w:widowControl w:val="0"/>
              <w:autoSpaceDE w:val="0"/>
              <w:autoSpaceDN w:val="0"/>
              <w:adjustRightInd w:val="0"/>
              <w:jc w:val="center"/>
            </w:pPr>
            <w:r w:rsidRPr="00037AD4">
              <w:t>-0.526**</w:t>
            </w:r>
          </w:p>
        </w:tc>
        <w:tc>
          <w:tcPr>
            <w:tcW w:w="512" w:type="pct"/>
            <w:tcBorders>
              <w:top w:val="nil"/>
              <w:left w:val="nil"/>
              <w:bottom w:val="nil"/>
              <w:right w:val="nil"/>
            </w:tcBorders>
          </w:tcPr>
          <w:p w14:paraId="3AEB4025"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6E08A3A1"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5C7A4FAC"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5B4F60CF"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0F41D18C"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6B10B45C" w14:textId="77777777" w:rsidR="00B54D51" w:rsidRPr="00037AD4" w:rsidRDefault="00B54D51" w:rsidP="00401C67">
            <w:pPr>
              <w:widowControl w:val="0"/>
              <w:autoSpaceDE w:val="0"/>
              <w:autoSpaceDN w:val="0"/>
              <w:adjustRightInd w:val="0"/>
              <w:jc w:val="center"/>
            </w:pPr>
          </w:p>
        </w:tc>
      </w:tr>
      <w:tr w:rsidR="00B54D51" w:rsidRPr="00037AD4" w14:paraId="151A586E" w14:textId="77777777" w:rsidTr="00401C67">
        <w:trPr>
          <w:jc w:val="center"/>
        </w:trPr>
        <w:tc>
          <w:tcPr>
            <w:tcW w:w="1414" w:type="pct"/>
            <w:tcBorders>
              <w:top w:val="nil"/>
              <w:left w:val="nil"/>
              <w:bottom w:val="nil"/>
              <w:right w:val="nil"/>
            </w:tcBorders>
          </w:tcPr>
          <w:p w14:paraId="1B9528E2" w14:textId="77777777" w:rsidR="00B54D51" w:rsidRPr="00037AD4" w:rsidRDefault="00B54D51" w:rsidP="00401C67">
            <w:pPr>
              <w:widowControl w:val="0"/>
              <w:autoSpaceDE w:val="0"/>
              <w:autoSpaceDN w:val="0"/>
              <w:adjustRightInd w:val="0"/>
            </w:pPr>
          </w:p>
        </w:tc>
        <w:tc>
          <w:tcPr>
            <w:tcW w:w="512" w:type="pct"/>
            <w:tcBorders>
              <w:top w:val="nil"/>
              <w:left w:val="nil"/>
              <w:bottom w:val="nil"/>
              <w:right w:val="nil"/>
            </w:tcBorders>
          </w:tcPr>
          <w:p w14:paraId="444E1814" w14:textId="77777777" w:rsidR="00B54D51" w:rsidRPr="00037AD4" w:rsidRDefault="00B54D51" w:rsidP="00401C67">
            <w:pPr>
              <w:widowControl w:val="0"/>
              <w:autoSpaceDE w:val="0"/>
              <w:autoSpaceDN w:val="0"/>
              <w:adjustRightInd w:val="0"/>
              <w:jc w:val="center"/>
            </w:pPr>
            <w:r w:rsidRPr="00037AD4">
              <w:t>(-1.015 - -0.037)</w:t>
            </w:r>
          </w:p>
        </w:tc>
        <w:tc>
          <w:tcPr>
            <w:tcW w:w="512" w:type="pct"/>
            <w:tcBorders>
              <w:top w:val="nil"/>
              <w:left w:val="nil"/>
              <w:bottom w:val="nil"/>
              <w:right w:val="nil"/>
            </w:tcBorders>
          </w:tcPr>
          <w:p w14:paraId="02FE9707"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7BF4A043"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72B5176F"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2851003A"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46827122"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153B0ACF" w14:textId="77777777" w:rsidR="00B54D51" w:rsidRPr="00037AD4" w:rsidRDefault="00B54D51" w:rsidP="00401C67">
            <w:pPr>
              <w:widowControl w:val="0"/>
              <w:autoSpaceDE w:val="0"/>
              <w:autoSpaceDN w:val="0"/>
              <w:adjustRightInd w:val="0"/>
              <w:jc w:val="center"/>
            </w:pPr>
          </w:p>
        </w:tc>
      </w:tr>
      <w:tr w:rsidR="00B54D51" w:rsidRPr="00037AD4" w14:paraId="6B0CE2C6" w14:textId="77777777" w:rsidTr="00401C67">
        <w:trPr>
          <w:jc w:val="center"/>
        </w:trPr>
        <w:tc>
          <w:tcPr>
            <w:tcW w:w="1414" w:type="pct"/>
            <w:tcBorders>
              <w:top w:val="nil"/>
              <w:left w:val="nil"/>
              <w:bottom w:val="nil"/>
              <w:right w:val="nil"/>
            </w:tcBorders>
          </w:tcPr>
          <w:p w14:paraId="2EBF3467" w14:textId="77777777" w:rsidR="00B54D51" w:rsidRPr="00037AD4" w:rsidRDefault="00B54D51" w:rsidP="00401C67">
            <w:pPr>
              <w:widowControl w:val="0"/>
              <w:autoSpaceDE w:val="0"/>
              <w:autoSpaceDN w:val="0"/>
              <w:adjustRightInd w:val="0"/>
            </w:pPr>
            <w:r w:rsidRPr="00037AD4">
              <w:t>3.carer_relationship_merged</w:t>
            </w:r>
          </w:p>
        </w:tc>
        <w:tc>
          <w:tcPr>
            <w:tcW w:w="512" w:type="pct"/>
            <w:tcBorders>
              <w:top w:val="nil"/>
              <w:left w:val="nil"/>
              <w:bottom w:val="nil"/>
              <w:right w:val="nil"/>
            </w:tcBorders>
          </w:tcPr>
          <w:p w14:paraId="784A0EFC" w14:textId="77777777" w:rsidR="00B54D51" w:rsidRPr="00037AD4" w:rsidRDefault="00B54D51" w:rsidP="00401C67">
            <w:pPr>
              <w:widowControl w:val="0"/>
              <w:autoSpaceDE w:val="0"/>
              <w:autoSpaceDN w:val="0"/>
              <w:adjustRightInd w:val="0"/>
              <w:jc w:val="center"/>
            </w:pPr>
            <w:r w:rsidRPr="00037AD4">
              <w:t>-0.599*</w:t>
            </w:r>
          </w:p>
        </w:tc>
        <w:tc>
          <w:tcPr>
            <w:tcW w:w="512" w:type="pct"/>
            <w:tcBorders>
              <w:top w:val="nil"/>
              <w:left w:val="nil"/>
              <w:bottom w:val="nil"/>
              <w:right w:val="nil"/>
            </w:tcBorders>
          </w:tcPr>
          <w:p w14:paraId="4C2DC2E5"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129AB405"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53F8DBB6"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0D11C24B"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7D575D4E"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1BA38408" w14:textId="77777777" w:rsidR="00B54D51" w:rsidRPr="00037AD4" w:rsidRDefault="00B54D51" w:rsidP="00401C67">
            <w:pPr>
              <w:widowControl w:val="0"/>
              <w:autoSpaceDE w:val="0"/>
              <w:autoSpaceDN w:val="0"/>
              <w:adjustRightInd w:val="0"/>
              <w:jc w:val="center"/>
            </w:pPr>
          </w:p>
        </w:tc>
      </w:tr>
      <w:tr w:rsidR="00B54D51" w:rsidRPr="00037AD4" w14:paraId="515D0C41" w14:textId="77777777" w:rsidTr="00401C67">
        <w:trPr>
          <w:jc w:val="center"/>
        </w:trPr>
        <w:tc>
          <w:tcPr>
            <w:tcW w:w="1414" w:type="pct"/>
            <w:tcBorders>
              <w:top w:val="nil"/>
              <w:left w:val="nil"/>
              <w:bottom w:val="nil"/>
              <w:right w:val="nil"/>
            </w:tcBorders>
          </w:tcPr>
          <w:p w14:paraId="6864A4C9" w14:textId="77777777" w:rsidR="00B54D51" w:rsidRPr="00037AD4" w:rsidRDefault="00B54D51" w:rsidP="00401C67">
            <w:pPr>
              <w:widowControl w:val="0"/>
              <w:autoSpaceDE w:val="0"/>
              <w:autoSpaceDN w:val="0"/>
              <w:adjustRightInd w:val="0"/>
            </w:pPr>
          </w:p>
        </w:tc>
        <w:tc>
          <w:tcPr>
            <w:tcW w:w="512" w:type="pct"/>
            <w:tcBorders>
              <w:top w:val="nil"/>
              <w:left w:val="nil"/>
              <w:bottom w:val="nil"/>
              <w:right w:val="nil"/>
            </w:tcBorders>
          </w:tcPr>
          <w:p w14:paraId="7812B1B8" w14:textId="77777777" w:rsidR="00B54D51" w:rsidRPr="00037AD4" w:rsidRDefault="00B54D51" w:rsidP="00401C67">
            <w:pPr>
              <w:widowControl w:val="0"/>
              <w:autoSpaceDE w:val="0"/>
              <w:autoSpaceDN w:val="0"/>
              <w:adjustRightInd w:val="0"/>
              <w:jc w:val="center"/>
            </w:pPr>
            <w:r w:rsidRPr="00037AD4">
              <w:t>(-1.273 - 0.074)</w:t>
            </w:r>
          </w:p>
        </w:tc>
        <w:tc>
          <w:tcPr>
            <w:tcW w:w="512" w:type="pct"/>
            <w:tcBorders>
              <w:top w:val="nil"/>
              <w:left w:val="nil"/>
              <w:bottom w:val="nil"/>
              <w:right w:val="nil"/>
            </w:tcBorders>
          </w:tcPr>
          <w:p w14:paraId="0038E5F8"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21DB13F7"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6C99BF66"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61509E05"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6CCB0A4B"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4456CF57" w14:textId="77777777" w:rsidR="00B54D51" w:rsidRPr="00037AD4" w:rsidRDefault="00B54D51" w:rsidP="00401C67">
            <w:pPr>
              <w:widowControl w:val="0"/>
              <w:autoSpaceDE w:val="0"/>
              <w:autoSpaceDN w:val="0"/>
              <w:adjustRightInd w:val="0"/>
              <w:jc w:val="center"/>
            </w:pPr>
          </w:p>
        </w:tc>
      </w:tr>
      <w:tr w:rsidR="00B54D51" w:rsidRPr="00037AD4" w14:paraId="4A9C19D7" w14:textId="77777777" w:rsidTr="00401C67">
        <w:trPr>
          <w:jc w:val="center"/>
        </w:trPr>
        <w:tc>
          <w:tcPr>
            <w:tcW w:w="1414" w:type="pct"/>
            <w:tcBorders>
              <w:top w:val="nil"/>
              <w:left w:val="nil"/>
              <w:bottom w:val="nil"/>
              <w:right w:val="nil"/>
            </w:tcBorders>
          </w:tcPr>
          <w:p w14:paraId="79ABF6AC" w14:textId="77777777" w:rsidR="00B54D51" w:rsidRPr="00037AD4" w:rsidRDefault="00B54D51" w:rsidP="00401C67">
            <w:pPr>
              <w:widowControl w:val="0"/>
              <w:autoSpaceDE w:val="0"/>
              <w:autoSpaceDN w:val="0"/>
              <w:adjustRightInd w:val="0"/>
            </w:pPr>
            <w:r w:rsidRPr="00037AD4">
              <w:t>4.carer_relationship_merged</w:t>
            </w:r>
          </w:p>
        </w:tc>
        <w:tc>
          <w:tcPr>
            <w:tcW w:w="512" w:type="pct"/>
            <w:tcBorders>
              <w:top w:val="nil"/>
              <w:left w:val="nil"/>
              <w:bottom w:val="nil"/>
              <w:right w:val="nil"/>
            </w:tcBorders>
          </w:tcPr>
          <w:p w14:paraId="55231540" w14:textId="77777777" w:rsidR="00B54D51" w:rsidRPr="00037AD4" w:rsidRDefault="00B54D51" w:rsidP="00401C67">
            <w:pPr>
              <w:widowControl w:val="0"/>
              <w:autoSpaceDE w:val="0"/>
              <w:autoSpaceDN w:val="0"/>
              <w:adjustRightInd w:val="0"/>
              <w:jc w:val="center"/>
            </w:pPr>
            <w:r w:rsidRPr="00037AD4">
              <w:t>-0.671*</w:t>
            </w:r>
          </w:p>
        </w:tc>
        <w:tc>
          <w:tcPr>
            <w:tcW w:w="512" w:type="pct"/>
            <w:tcBorders>
              <w:top w:val="nil"/>
              <w:left w:val="nil"/>
              <w:bottom w:val="nil"/>
              <w:right w:val="nil"/>
            </w:tcBorders>
          </w:tcPr>
          <w:p w14:paraId="3DF32053"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332BF575"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38745329"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61A71493"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61CD2C95"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17344086" w14:textId="77777777" w:rsidR="00B54D51" w:rsidRPr="00037AD4" w:rsidRDefault="00B54D51" w:rsidP="00401C67">
            <w:pPr>
              <w:widowControl w:val="0"/>
              <w:autoSpaceDE w:val="0"/>
              <w:autoSpaceDN w:val="0"/>
              <w:adjustRightInd w:val="0"/>
              <w:jc w:val="center"/>
            </w:pPr>
          </w:p>
        </w:tc>
      </w:tr>
      <w:tr w:rsidR="00B54D51" w:rsidRPr="00037AD4" w14:paraId="1DC4FA4C" w14:textId="77777777" w:rsidTr="00401C67">
        <w:trPr>
          <w:jc w:val="center"/>
        </w:trPr>
        <w:tc>
          <w:tcPr>
            <w:tcW w:w="1414" w:type="pct"/>
            <w:tcBorders>
              <w:top w:val="nil"/>
              <w:left w:val="nil"/>
              <w:bottom w:val="nil"/>
              <w:right w:val="nil"/>
            </w:tcBorders>
          </w:tcPr>
          <w:p w14:paraId="619819AE" w14:textId="77777777" w:rsidR="00B54D51" w:rsidRPr="00037AD4" w:rsidRDefault="00B54D51" w:rsidP="00401C67">
            <w:pPr>
              <w:widowControl w:val="0"/>
              <w:autoSpaceDE w:val="0"/>
              <w:autoSpaceDN w:val="0"/>
              <w:adjustRightInd w:val="0"/>
            </w:pPr>
          </w:p>
        </w:tc>
        <w:tc>
          <w:tcPr>
            <w:tcW w:w="512" w:type="pct"/>
            <w:tcBorders>
              <w:top w:val="nil"/>
              <w:left w:val="nil"/>
              <w:bottom w:val="nil"/>
              <w:right w:val="nil"/>
            </w:tcBorders>
          </w:tcPr>
          <w:p w14:paraId="231E1A7B" w14:textId="77777777" w:rsidR="00B54D51" w:rsidRPr="00037AD4" w:rsidRDefault="00B54D51" w:rsidP="00401C67">
            <w:pPr>
              <w:widowControl w:val="0"/>
              <w:autoSpaceDE w:val="0"/>
              <w:autoSpaceDN w:val="0"/>
              <w:adjustRightInd w:val="0"/>
              <w:jc w:val="center"/>
            </w:pPr>
            <w:r w:rsidRPr="00037AD4">
              <w:t>(-1.383 - 0.042)</w:t>
            </w:r>
          </w:p>
        </w:tc>
        <w:tc>
          <w:tcPr>
            <w:tcW w:w="512" w:type="pct"/>
            <w:tcBorders>
              <w:top w:val="nil"/>
              <w:left w:val="nil"/>
              <w:bottom w:val="nil"/>
              <w:right w:val="nil"/>
            </w:tcBorders>
          </w:tcPr>
          <w:p w14:paraId="54EA943C"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46459A70"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77428FF4"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4F99789A"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4DB49A9D"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249C5DBE" w14:textId="77777777" w:rsidR="00B54D51" w:rsidRPr="00037AD4" w:rsidRDefault="00B54D51" w:rsidP="00401C67">
            <w:pPr>
              <w:widowControl w:val="0"/>
              <w:autoSpaceDE w:val="0"/>
              <w:autoSpaceDN w:val="0"/>
              <w:adjustRightInd w:val="0"/>
              <w:jc w:val="center"/>
            </w:pPr>
          </w:p>
        </w:tc>
      </w:tr>
      <w:tr w:rsidR="00B54D51" w:rsidRPr="00037AD4" w14:paraId="532509D7" w14:textId="77777777" w:rsidTr="00401C67">
        <w:trPr>
          <w:jc w:val="center"/>
        </w:trPr>
        <w:tc>
          <w:tcPr>
            <w:tcW w:w="1414" w:type="pct"/>
            <w:tcBorders>
              <w:top w:val="nil"/>
              <w:left w:val="nil"/>
              <w:bottom w:val="nil"/>
              <w:right w:val="nil"/>
            </w:tcBorders>
          </w:tcPr>
          <w:p w14:paraId="28C2F8E6" w14:textId="77777777" w:rsidR="00B54D51" w:rsidRPr="00037AD4" w:rsidRDefault="00B54D51" w:rsidP="00401C67">
            <w:pPr>
              <w:widowControl w:val="0"/>
              <w:autoSpaceDE w:val="0"/>
              <w:autoSpaceDN w:val="0"/>
              <w:adjustRightInd w:val="0"/>
            </w:pPr>
            <w:r w:rsidRPr="00037AD4">
              <w:t>/cut1</w:t>
            </w:r>
          </w:p>
        </w:tc>
        <w:tc>
          <w:tcPr>
            <w:tcW w:w="512" w:type="pct"/>
            <w:tcBorders>
              <w:top w:val="nil"/>
              <w:left w:val="nil"/>
              <w:bottom w:val="nil"/>
              <w:right w:val="nil"/>
            </w:tcBorders>
          </w:tcPr>
          <w:p w14:paraId="5AD34760" w14:textId="77777777" w:rsidR="00B54D51" w:rsidRPr="00037AD4" w:rsidRDefault="00B54D51" w:rsidP="00401C67">
            <w:pPr>
              <w:widowControl w:val="0"/>
              <w:autoSpaceDE w:val="0"/>
              <w:autoSpaceDN w:val="0"/>
              <w:adjustRightInd w:val="0"/>
              <w:jc w:val="center"/>
            </w:pPr>
            <w:r w:rsidRPr="00037AD4">
              <w:t>-1.753***</w:t>
            </w:r>
          </w:p>
        </w:tc>
        <w:tc>
          <w:tcPr>
            <w:tcW w:w="512" w:type="pct"/>
            <w:tcBorders>
              <w:top w:val="nil"/>
              <w:left w:val="nil"/>
              <w:bottom w:val="nil"/>
              <w:right w:val="nil"/>
            </w:tcBorders>
          </w:tcPr>
          <w:p w14:paraId="76661413" w14:textId="77777777" w:rsidR="00B54D51" w:rsidRPr="00037AD4" w:rsidRDefault="00B54D51" w:rsidP="00401C67">
            <w:pPr>
              <w:widowControl w:val="0"/>
              <w:autoSpaceDE w:val="0"/>
              <w:autoSpaceDN w:val="0"/>
              <w:adjustRightInd w:val="0"/>
              <w:jc w:val="center"/>
            </w:pPr>
            <w:r w:rsidRPr="00037AD4">
              <w:t>-1.911***</w:t>
            </w:r>
          </w:p>
        </w:tc>
        <w:tc>
          <w:tcPr>
            <w:tcW w:w="512" w:type="pct"/>
            <w:tcBorders>
              <w:top w:val="nil"/>
              <w:left w:val="nil"/>
              <w:bottom w:val="nil"/>
              <w:right w:val="nil"/>
            </w:tcBorders>
          </w:tcPr>
          <w:p w14:paraId="451D13D0" w14:textId="77777777" w:rsidR="00B54D51" w:rsidRPr="00037AD4" w:rsidRDefault="00B54D51" w:rsidP="00401C67">
            <w:pPr>
              <w:widowControl w:val="0"/>
              <w:autoSpaceDE w:val="0"/>
              <w:autoSpaceDN w:val="0"/>
              <w:adjustRightInd w:val="0"/>
              <w:jc w:val="center"/>
            </w:pPr>
            <w:r w:rsidRPr="00037AD4">
              <w:t>-1.817***</w:t>
            </w:r>
          </w:p>
        </w:tc>
        <w:tc>
          <w:tcPr>
            <w:tcW w:w="512" w:type="pct"/>
            <w:tcBorders>
              <w:top w:val="nil"/>
              <w:left w:val="nil"/>
              <w:bottom w:val="nil"/>
              <w:right w:val="nil"/>
            </w:tcBorders>
          </w:tcPr>
          <w:p w14:paraId="078DF698" w14:textId="77777777" w:rsidR="00B54D51" w:rsidRPr="00037AD4" w:rsidRDefault="00B54D51" w:rsidP="00401C67">
            <w:pPr>
              <w:widowControl w:val="0"/>
              <w:autoSpaceDE w:val="0"/>
              <w:autoSpaceDN w:val="0"/>
              <w:adjustRightInd w:val="0"/>
              <w:jc w:val="center"/>
            </w:pPr>
            <w:r w:rsidRPr="00037AD4">
              <w:t>-1.971***</w:t>
            </w:r>
          </w:p>
        </w:tc>
        <w:tc>
          <w:tcPr>
            <w:tcW w:w="513" w:type="pct"/>
            <w:tcBorders>
              <w:top w:val="nil"/>
              <w:left w:val="nil"/>
              <w:bottom w:val="nil"/>
              <w:right w:val="nil"/>
            </w:tcBorders>
          </w:tcPr>
          <w:p w14:paraId="6C39EB80" w14:textId="77777777" w:rsidR="00B54D51" w:rsidRPr="00037AD4" w:rsidRDefault="00B54D51" w:rsidP="00401C67">
            <w:pPr>
              <w:widowControl w:val="0"/>
              <w:autoSpaceDE w:val="0"/>
              <w:autoSpaceDN w:val="0"/>
              <w:adjustRightInd w:val="0"/>
              <w:jc w:val="center"/>
            </w:pPr>
            <w:r w:rsidRPr="00037AD4">
              <w:t>-1.990***</w:t>
            </w:r>
          </w:p>
        </w:tc>
        <w:tc>
          <w:tcPr>
            <w:tcW w:w="513" w:type="pct"/>
            <w:tcBorders>
              <w:top w:val="nil"/>
              <w:left w:val="nil"/>
              <w:bottom w:val="nil"/>
              <w:right w:val="nil"/>
            </w:tcBorders>
          </w:tcPr>
          <w:p w14:paraId="050C75E1" w14:textId="77777777" w:rsidR="00B54D51" w:rsidRPr="00037AD4" w:rsidRDefault="00B54D51" w:rsidP="00401C67">
            <w:pPr>
              <w:widowControl w:val="0"/>
              <w:autoSpaceDE w:val="0"/>
              <w:autoSpaceDN w:val="0"/>
              <w:adjustRightInd w:val="0"/>
              <w:jc w:val="center"/>
            </w:pPr>
            <w:r w:rsidRPr="00037AD4">
              <w:t>-1.586***</w:t>
            </w:r>
          </w:p>
        </w:tc>
        <w:tc>
          <w:tcPr>
            <w:tcW w:w="512" w:type="pct"/>
            <w:tcBorders>
              <w:top w:val="nil"/>
              <w:left w:val="nil"/>
              <w:bottom w:val="nil"/>
              <w:right w:val="nil"/>
            </w:tcBorders>
          </w:tcPr>
          <w:p w14:paraId="4A12ED43" w14:textId="77777777" w:rsidR="00B54D51" w:rsidRPr="00037AD4" w:rsidRDefault="00B54D51" w:rsidP="00401C67">
            <w:pPr>
              <w:widowControl w:val="0"/>
              <w:autoSpaceDE w:val="0"/>
              <w:autoSpaceDN w:val="0"/>
              <w:adjustRightInd w:val="0"/>
              <w:jc w:val="center"/>
            </w:pPr>
            <w:r w:rsidRPr="00037AD4">
              <w:t>-1.520***</w:t>
            </w:r>
          </w:p>
        </w:tc>
      </w:tr>
      <w:tr w:rsidR="00B54D51" w:rsidRPr="00037AD4" w14:paraId="6B15407B" w14:textId="77777777" w:rsidTr="00401C67">
        <w:trPr>
          <w:jc w:val="center"/>
        </w:trPr>
        <w:tc>
          <w:tcPr>
            <w:tcW w:w="1414" w:type="pct"/>
            <w:tcBorders>
              <w:top w:val="nil"/>
              <w:left w:val="nil"/>
              <w:bottom w:val="nil"/>
              <w:right w:val="nil"/>
            </w:tcBorders>
          </w:tcPr>
          <w:p w14:paraId="4EF76987" w14:textId="77777777" w:rsidR="00B54D51" w:rsidRPr="00037AD4" w:rsidRDefault="00B54D51" w:rsidP="00401C67">
            <w:pPr>
              <w:widowControl w:val="0"/>
              <w:autoSpaceDE w:val="0"/>
              <w:autoSpaceDN w:val="0"/>
              <w:adjustRightInd w:val="0"/>
            </w:pPr>
          </w:p>
        </w:tc>
        <w:tc>
          <w:tcPr>
            <w:tcW w:w="512" w:type="pct"/>
            <w:tcBorders>
              <w:top w:val="nil"/>
              <w:left w:val="nil"/>
              <w:bottom w:val="nil"/>
              <w:right w:val="nil"/>
            </w:tcBorders>
          </w:tcPr>
          <w:p w14:paraId="04983384" w14:textId="77777777" w:rsidR="00B54D51" w:rsidRPr="00037AD4" w:rsidRDefault="00B54D51" w:rsidP="00401C67">
            <w:pPr>
              <w:widowControl w:val="0"/>
              <w:autoSpaceDE w:val="0"/>
              <w:autoSpaceDN w:val="0"/>
              <w:adjustRightInd w:val="0"/>
              <w:jc w:val="center"/>
            </w:pPr>
            <w:r w:rsidRPr="00037AD4">
              <w:t>(-2.852 - -0.653)</w:t>
            </w:r>
          </w:p>
        </w:tc>
        <w:tc>
          <w:tcPr>
            <w:tcW w:w="512" w:type="pct"/>
            <w:tcBorders>
              <w:top w:val="nil"/>
              <w:left w:val="nil"/>
              <w:bottom w:val="nil"/>
              <w:right w:val="nil"/>
            </w:tcBorders>
          </w:tcPr>
          <w:p w14:paraId="5DFD0FC4" w14:textId="77777777" w:rsidR="00B54D51" w:rsidRPr="00037AD4" w:rsidRDefault="00B54D51" w:rsidP="00401C67">
            <w:pPr>
              <w:widowControl w:val="0"/>
              <w:autoSpaceDE w:val="0"/>
              <w:autoSpaceDN w:val="0"/>
              <w:adjustRightInd w:val="0"/>
              <w:jc w:val="center"/>
            </w:pPr>
            <w:r w:rsidRPr="00037AD4">
              <w:t>(-2.783 - -1.039)</w:t>
            </w:r>
          </w:p>
        </w:tc>
        <w:tc>
          <w:tcPr>
            <w:tcW w:w="512" w:type="pct"/>
            <w:tcBorders>
              <w:top w:val="nil"/>
              <w:left w:val="nil"/>
              <w:bottom w:val="nil"/>
              <w:right w:val="nil"/>
            </w:tcBorders>
          </w:tcPr>
          <w:p w14:paraId="5052B09D" w14:textId="77777777" w:rsidR="00B54D51" w:rsidRPr="00037AD4" w:rsidRDefault="00B54D51" w:rsidP="00401C67">
            <w:pPr>
              <w:widowControl w:val="0"/>
              <w:autoSpaceDE w:val="0"/>
              <w:autoSpaceDN w:val="0"/>
              <w:adjustRightInd w:val="0"/>
              <w:jc w:val="center"/>
            </w:pPr>
            <w:r w:rsidRPr="00037AD4">
              <w:t>(-2.666 - -0.969)</w:t>
            </w:r>
          </w:p>
        </w:tc>
        <w:tc>
          <w:tcPr>
            <w:tcW w:w="512" w:type="pct"/>
            <w:tcBorders>
              <w:top w:val="nil"/>
              <w:left w:val="nil"/>
              <w:bottom w:val="nil"/>
              <w:right w:val="nil"/>
            </w:tcBorders>
          </w:tcPr>
          <w:p w14:paraId="0F4E4BC8" w14:textId="77777777" w:rsidR="00B54D51" w:rsidRPr="00037AD4" w:rsidRDefault="00B54D51" w:rsidP="00401C67">
            <w:pPr>
              <w:widowControl w:val="0"/>
              <w:autoSpaceDE w:val="0"/>
              <w:autoSpaceDN w:val="0"/>
              <w:adjustRightInd w:val="0"/>
              <w:jc w:val="center"/>
            </w:pPr>
            <w:r w:rsidRPr="00037AD4">
              <w:t>(-2.254 - -1.687)</w:t>
            </w:r>
          </w:p>
        </w:tc>
        <w:tc>
          <w:tcPr>
            <w:tcW w:w="513" w:type="pct"/>
            <w:tcBorders>
              <w:top w:val="nil"/>
              <w:left w:val="nil"/>
              <w:bottom w:val="nil"/>
              <w:right w:val="nil"/>
            </w:tcBorders>
          </w:tcPr>
          <w:p w14:paraId="49BDFBD7" w14:textId="77777777" w:rsidR="00B54D51" w:rsidRPr="00037AD4" w:rsidRDefault="00B54D51" w:rsidP="00401C67">
            <w:pPr>
              <w:widowControl w:val="0"/>
              <w:autoSpaceDE w:val="0"/>
              <w:autoSpaceDN w:val="0"/>
              <w:adjustRightInd w:val="0"/>
              <w:jc w:val="center"/>
            </w:pPr>
            <w:r w:rsidRPr="00037AD4">
              <w:t>(-2.847 - -1.133)</w:t>
            </w:r>
          </w:p>
        </w:tc>
        <w:tc>
          <w:tcPr>
            <w:tcW w:w="513" w:type="pct"/>
            <w:tcBorders>
              <w:top w:val="nil"/>
              <w:left w:val="nil"/>
              <w:bottom w:val="nil"/>
              <w:right w:val="nil"/>
            </w:tcBorders>
          </w:tcPr>
          <w:p w14:paraId="18734C30" w14:textId="77777777" w:rsidR="00B54D51" w:rsidRPr="00037AD4" w:rsidRDefault="00B54D51" w:rsidP="00401C67">
            <w:pPr>
              <w:widowControl w:val="0"/>
              <w:autoSpaceDE w:val="0"/>
              <w:autoSpaceDN w:val="0"/>
              <w:adjustRightInd w:val="0"/>
              <w:jc w:val="center"/>
            </w:pPr>
            <w:r w:rsidRPr="00037AD4">
              <w:t>(-2.427 - -0.745)</w:t>
            </w:r>
          </w:p>
        </w:tc>
        <w:tc>
          <w:tcPr>
            <w:tcW w:w="512" w:type="pct"/>
            <w:tcBorders>
              <w:top w:val="nil"/>
              <w:left w:val="nil"/>
              <w:bottom w:val="nil"/>
              <w:right w:val="nil"/>
            </w:tcBorders>
          </w:tcPr>
          <w:p w14:paraId="1A3E8231" w14:textId="77777777" w:rsidR="00B54D51" w:rsidRPr="00037AD4" w:rsidRDefault="00B54D51" w:rsidP="00401C67">
            <w:pPr>
              <w:widowControl w:val="0"/>
              <w:autoSpaceDE w:val="0"/>
              <w:autoSpaceDN w:val="0"/>
              <w:adjustRightInd w:val="0"/>
              <w:jc w:val="center"/>
            </w:pPr>
            <w:r w:rsidRPr="00037AD4">
              <w:t>(-2.377 - -0.663)</w:t>
            </w:r>
          </w:p>
        </w:tc>
      </w:tr>
      <w:tr w:rsidR="00B54D51" w:rsidRPr="00037AD4" w14:paraId="761C8BC3" w14:textId="77777777" w:rsidTr="00401C67">
        <w:trPr>
          <w:jc w:val="center"/>
        </w:trPr>
        <w:tc>
          <w:tcPr>
            <w:tcW w:w="1414" w:type="pct"/>
            <w:tcBorders>
              <w:top w:val="nil"/>
              <w:left w:val="nil"/>
              <w:bottom w:val="nil"/>
              <w:right w:val="nil"/>
            </w:tcBorders>
          </w:tcPr>
          <w:p w14:paraId="29578EBE" w14:textId="77777777" w:rsidR="00B54D51" w:rsidRPr="00037AD4" w:rsidRDefault="00B54D51" w:rsidP="00401C67">
            <w:pPr>
              <w:widowControl w:val="0"/>
              <w:autoSpaceDE w:val="0"/>
              <w:autoSpaceDN w:val="0"/>
              <w:adjustRightInd w:val="0"/>
            </w:pPr>
            <w:r w:rsidRPr="00037AD4">
              <w:t>/cut2</w:t>
            </w:r>
          </w:p>
        </w:tc>
        <w:tc>
          <w:tcPr>
            <w:tcW w:w="512" w:type="pct"/>
            <w:tcBorders>
              <w:top w:val="nil"/>
              <w:left w:val="nil"/>
              <w:bottom w:val="nil"/>
              <w:right w:val="nil"/>
            </w:tcBorders>
          </w:tcPr>
          <w:p w14:paraId="1F0BE3C5" w14:textId="77777777" w:rsidR="00B54D51" w:rsidRPr="00037AD4" w:rsidRDefault="00B54D51" w:rsidP="00401C67">
            <w:pPr>
              <w:widowControl w:val="0"/>
              <w:autoSpaceDE w:val="0"/>
              <w:autoSpaceDN w:val="0"/>
              <w:adjustRightInd w:val="0"/>
              <w:jc w:val="center"/>
            </w:pPr>
            <w:r w:rsidRPr="00037AD4">
              <w:t>-0.875</w:t>
            </w:r>
          </w:p>
        </w:tc>
        <w:tc>
          <w:tcPr>
            <w:tcW w:w="512" w:type="pct"/>
            <w:tcBorders>
              <w:top w:val="nil"/>
              <w:left w:val="nil"/>
              <w:bottom w:val="nil"/>
              <w:right w:val="nil"/>
            </w:tcBorders>
          </w:tcPr>
          <w:p w14:paraId="262DC0C1" w14:textId="77777777" w:rsidR="00B54D51" w:rsidRPr="00037AD4" w:rsidRDefault="00B54D51" w:rsidP="00401C67">
            <w:pPr>
              <w:widowControl w:val="0"/>
              <w:autoSpaceDE w:val="0"/>
              <w:autoSpaceDN w:val="0"/>
              <w:adjustRightInd w:val="0"/>
              <w:jc w:val="center"/>
            </w:pPr>
            <w:r w:rsidRPr="00037AD4">
              <w:t>-1.043**</w:t>
            </w:r>
          </w:p>
        </w:tc>
        <w:tc>
          <w:tcPr>
            <w:tcW w:w="512" w:type="pct"/>
            <w:tcBorders>
              <w:top w:val="nil"/>
              <w:left w:val="nil"/>
              <w:bottom w:val="nil"/>
              <w:right w:val="nil"/>
            </w:tcBorders>
          </w:tcPr>
          <w:p w14:paraId="44486AD4" w14:textId="77777777" w:rsidR="00B54D51" w:rsidRPr="00037AD4" w:rsidRDefault="00B54D51" w:rsidP="00401C67">
            <w:pPr>
              <w:widowControl w:val="0"/>
              <w:autoSpaceDE w:val="0"/>
              <w:autoSpaceDN w:val="0"/>
              <w:adjustRightInd w:val="0"/>
              <w:jc w:val="center"/>
            </w:pPr>
            <w:r w:rsidRPr="00037AD4">
              <w:t>-0.948**</w:t>
            </w:r>
          </w:p>
        </w:tc>
        <w:tc>
          <w:tcPr>
            <w:tcW w:w="512" w:type="pct"/>
            <w:tcBorders>
              <w:top w:val="nil"/>
              <w:left w:val="nil"/>
              <w:bottom w:val="nil"/>
              <w:right w:val="nil"/>
            </w:tcBorders>
          </w:tcPr>
          <w:p w14:paraId="29372221" w14:textId="77777777" w:rsidR="00B54D51" w:rsidRPr="00037AD4" w:rsidRDefault="00B54D51" w:rsidP="00401C67">
            <w:pPr>
              <w:widowControl w:val="0"/>
              <w:autoSpaceDE w:val="0"/>
              <w:autoSpaceDN w:val="0"/>
              <w:adjustRightInd w:val="0"/>
              <w:jc w:val="center"/>
            </w:pPr>
            <w:r w:rsidRPr="00037AD4">
              <w:t>-1.101***</w:t>
            </w:r>
          </w:p>
        </w:tc>
        <w:tc>
          <w:tcPr>
            <w:tcW w:w="513" w:type="pct"/>
            <w:tcBorders>
              <w:top w:val="nil"/>
              <w:left w:val="nil"/>
              <w:bottom w:val="nil"/>
              <w:right w:val="nil"/>
            </w:tcBorders>
          </w:tcPr>
          <w:p w14:paraId="43252108" w14:textId="77777777" w:rsidR="00B54D51" w:rsidRPr="00037AD4" w:rsidRDefault="00B54D51" w:rsidP="00401C67">
            <w:pPr>
              <w:widowControl w:val="0"/>
              <w:autoSpaceDE w:val="0"/>
              <w:autoSpaceDN w:val="0"/>
              <w:adjustRightInd w:val="0"/>
              <w:jc w:val="center"/>
            </w:pPr>
            <w:r w:rsidRPr="00037AD4">
              <w:t>-1.128***</w:t>
            </w:r>
          </w:p>
        </w:tc>
        <w:tc>
          <w:tcPr>
            <w:tcW w:w="513" w:type="pct"/>
            <w:tcBorders>
              <w:top w:val="nil"/>
              <w:left w:val="nil"/>
              <w:bottom w:val="nil"/>
              <w:right w:val="nil"/>
            </w:tcBorders>
          </w:tcPr>
          <w:p w14:paraId="02710FF8" w14:textId="77777777" w:rsidR="00B54D51" w:rsidRPr="00037AD4" w:rsidRDefault="00B54D51" w:rsidP="00401C67">
            <w:pPr>
              <w:widowControl w:val="0"/>
              <w:autoSpaceDE w:val="0"/>
              <w:autoSpaceDN w:val="0"/>
              <w:adjustRightInd w:val="0"/>
              <w:jc w:val="center"/>
            </w:pPr>
            <w:r w:rsidRPr="00037AD4">
              <w:t>-0.741*</w:t>
            </w:r>
          </w:p>
        </w:tc>
        <w:tc>
          <w:tcPr>
            <w:tcW w:w="512" w:type="pct"/>
            <w:tcBorders>
              <w:top w:val="nil"/>
              <w:left w:val="nil"/>
              <w:bottom w:val="nil"/>
              <w:right w:val="nil"/>
            </w:tcBorders>
          </w:tcPr>
          <w:p w14:paraId="467E4B53" w14:textId="77777777" w:rsidR="00B54D51" w:rsidRPr="00037AD4" w:rsidRDefault="00B54D51" w:rsidP="00401C67">
            <w:pPr>
              <w:widowControl w:val="0"/>
              <w:autoSpaceDE w:val="0"/>
              <w:autoSpaceDN w:val="0"/>
              <w:adjustRightInd w:val="0"/>
              <w:jc w:val="center"/>
            </w:pPr>
            <w:r w:rsidRPr="00037AD4">
              <w:t>-0.679</w:t>
            </w:r>
          </w:p>
        </w:tc>
      </w:tr>
      <w:tr w:rsidR="00B54D51" w:rsidRPr="00037AD4" w14:paraId="7DBA5B96" w14:textId="77777777" w:rsidTr="00401C67">
        <w:trPr>
          <w:jc w:val="center"/>
        </w:trPr>
        <w:tc>
          <w:tcPr>
            <w:tcW w:w="1414" w:type="pct"/>
            <w:tcBorders>
              <w:top w:val="nil"/>
              <w:left w:val="nil"/>
              <w:bottom w:val="nil"/>
              <w:right w:val="nil"/>
            </w:tcBorders>
          </w:tcPr>
          <w:p w14:paraId="402ABC2A" w14:textId="77777777" w:rsidR="00B54D51" w:rsidRPr="00037AD4" w:rsidRDefault="00B54D51" w:rsidP="00401C67">
            <w:pPr>
              <w:widowControl w:val="0"/>
              <w:autoSpaceDE w:val="0"/>
              <w:autoSpaceDN w:val="0"/>
              <w:adjustRightInd w:val="0"/>
            </w:pPr>
          </w:p>
        </w:tc>
        <w:tc>
          <w:tcPr>
            <w:tcW w:w="512" w:type="pct"/>
            <w:tcBorders>
              <w:top w:val="nil"/>
              <w:left w:val="nil"/>
              <w:bottom w:val="nil"/>
              <w:right w:val="nil"/>
            </w:tcBorders>
          </w:tcPr>
          <w:p w14:paraId="428168B4" w14:textId="77777777" w:rsidR="00B54D51" w:rsidRPr="00037AD4" w:rsidRDefault="00B54D51" w:rsidP="00401C67">
            <w:pPr>
              <w:widowControl w:val="0"/>
              <w:autoSpaceDE w:val="0"/>
              <w:autoSpaceDN w:val="0"/>
              <w:adjustRightInd w:val="0"/>
              <w:jc w:val="center"/>
            </w:pPr>
            <w:r w:rsidRPr="00037AD4">
              <w:t>(-1.961 - 0.211)</w:t>
            </w:r>
          </w:p>
        </w:tc>
        <w:tc>
          <w:tcPr>
            <w:tcW w:w="512" w:type="pct"/>
            <w:tcBorders>
              <w:top w:val="nil"/>
              <w:left w:val="nil"/>
              <w:bottom w:val="nil"/>
              <w:right w:val="nil"/>
            </w:tcBorders>
          </w:tcPr>
          <w:p w14:paraId="799AAC3C" w14:textId="77777777" w:rsidR="00B54D51" w:rsidRPr="00037AD4" w:rsidRDefault="00B54D51" w:rsidP="00401C67">
            <w:pPr>
              <w:widowControl w:val="0"/>
              <w:autoSpaceDE w:val="0"/>
              <w:autoSpaceDN w:val="0"/>
              <w:adjustRightInd w:val="0"/>
              <w:jc w:val="center"/>
            </w:pPr>
            <w:r w:rsidRPr="00037AD4">
              <w:t>(-1.913 - -0.173)</w:t>
            </w:r>
          </w:p>
        </w:tc>
        <w:tc>
          <w:tcPr>
            <w:tcW w:w="512" w:type="pct"/>
            <w:tcBorders>
              <w:top w:val="nil"/>
              <w:left w:val="nil"/>
              <w:bottom w:val="nil"/>
              <w:right w:val="nil"/>
            </w:tcBorders>
          </w:tcPr>
          <w:p w14:paraId="3DCE7AC0" w14:textId="77777777" w:rsidR="00B54D51" w:rsidRPr="00037AD4" w:rsidRDefault="00B54D51" w:rsidP="00401C67">
            <w:pPr>
              <w:widowControl w:val="0"/>
              <w:autoSpaceDE w:val="0"/>
              <w:autoSpaceDN w:val="0"/>
              <w:adjustRightInd w:val="0"/>
              <w:jc w:val="center"/>
            </w:pPr>
            <w:r w:rsidRPr="00037AD4">
              <w:t>(-1.795 - -0.101)</w:t>
            </w:r>
          </w:p>
        </w:tc>
        <w:tc>
          <w:tcPr>
            <w:tcW w:w="512" w:type="pct"/>
            <w:tcBorders>
              <w:top w:val="nil"/>
              <w:left w:val="nil"/>
              <w:bottom w:val="nil"/>
              <w:right w:val="nil"/>
            </w:tcBorders>
          </w:tcPr>
          <w:p w14:paraId="3547E274" w14:textId="77777777" w:rsidR="00B54D51" w:rsidRPr="00037AD4" w:rsidRDefault="00B54D51" w:rsidP="00401C67">
            <w:pPr>
              <w:widowControl w:val="0"/>
              <w:autoSpaceDE w:val="0"/>
              <w:autoSpaceDN w:val="0"/>
              <w:adjustRightInd w:val="0"/>
              <w:jc w:val="center"/>
            </w:pPr>
            <w:r w:rsidRPr="00037AD4">
              <w:t>(-1.368 - -0.835)</w:t>
            </w:r>
          </w:p>
        </w:tc>
        <w:tc>
          <w:tcPr>
            <w:tcW w:w="513" w:type="pct"/>
            <w:tcBorders>
              <w:top w:val="nil"/>
              <w:left w:val="nil"/>
              <w:bottom w:val="nil"/>
              <w:right w:val="nil"/>
            </w:tcBorders>
          </w:tcPr>
          <w:p w14:paraId="21C759A7" w14:textId="77777777" w:rsidR="00B54D51" w:rsidRPr="00037AD4" w:rsidRDefault="00B54D51" w:rsidP="00401C67">
            <w:pPr>
              <w:widowControl w:val="0"/>
              <w:autoSpaceDE w:val="0"/>
              <w:autoSpaceDN w:val="0"/>
              <w:adjustRightInd w:val="0"/>
              <w:jc w:val="center"/>
            </w:pPr>
            <w:r w:rsidRPr="00037AD4">
              <w:t>(-1.981 - -0.275)</w:t>
            </w:r>
          </w:p>
        </w:tc>
        <w:tc>
          <w:tcPr>
            <w:tcW w:w="513" w:type="pct"/>
            <w:tcBorders>
              <w:top w:val="nil"/>
              <w:left w:val="nil"/>
              <w:bottom w:val="nil"/>
              <w:right w:val="nil"/>
            </w:tcBorders>
          </w:tcPr>
          <w:p w14:paraId="77C72984" w14:textId="77777777" w:rsidR="00B54D51" w:rsidRPr="00037AD4" w:rsidRDefault="00B54D51" w:rsidP="00401C67">
            <w:pPr>
              <w:widowControl w:val="0"/>
              <w:autoSpaceDE w:val="0"/>
              <w:autoSpaceDN w:val="0"/>
              <w:adjustRightInd w:val="0"/>
              <w:jc w:val="center"/>
            </w:pPr>
            <w:r w:rsidRPr="00037AD4">
              <w:t>(-1.583 - 0.101)</w:t>
            </w:r>
          </w:p>
        </w:tc>
        <w:tc>
          <w:tcPr>
            <w:tcW w:w="512" w:type="pct"/>
            <w:tcBorders>
              <w:top w:val="nil"/>
              <w:left w:val="nil"/>
              <w:bottom w:val="nil"/>
              <w:right w:val="nil"/>
            </w:tcBorders>
          </w:tcPr>
          <w:p w14:paraId="2E90A298" w14:textId="77777777" w:rsidR="00B54D51" w:rsidRPr="00037AD4" w:rsidRDefault="00B54D51" w:rsidP="00401C67">
            <w:pPr>
              <w:widowControl w:val="0"/>
              <w:autoSpaceDE w:val="0"/>
              <w:autoSpaceDN w:val="0"/>
              <w:adjustRightInd w:val="0"/>
              <w:jc w:val="center"/>
            </w:pPr>
            <w:r w:rsidRPr="00037AD4">
              <w:t>(-1.526 - 0.169)</w:t>
            </w:r>
          </w:p>
        </w:tc>
      </w:tr>
      <w:tr w:rsidR="00B54D51" w:rsidRPr="00037AD4" w14:paraId="73BDD532" w14:textId="77777777" w:rsidTr="00401C67">
        <w:trPr>
          <w:jc w:val="center"/>
        </w:trPr>
        <w:tc>
          <w:tcPr>
            <w:tcW w:w="1414" w:type="pct"/>
            <w:tcBorders>
              <w:top w:val="nil"/>
              <w:left w:val="nil"/>
              <w:bottom w:val="nil"/>
              <w:right w:val="nil"/>
            </w:tcBorders>
          </w:tcPr>
          <w:p w14:paraId="7158766F" w14:textId="77777777" w:rsidR="00B54D51" w:rsidRPr="00037AD4" w:rsidRDefault="00B54D51" w:rsidP="00401C67">
            <w:pPr>
              <w:widowControl w:val="0"/>
              <w:autoSpaceDE w:val="0"/>
              <w:autoSpaceDN w:val="0"/>
              <w:adjustRightInd w:val="0"/>
            </w:pPr>
            <w:r w:rsidRPr="00037AD4">
              <w:t>/cut3</w:t>
            </w:r>
          </w:p>
        </w:tc>
        <w:tc>
          <w:tcPr>
            <w:tcW w:w="512" w:type="pct"/>
            <w:tcBorders>
              <w:top w:val="nil"/>
              <w:left w:val="nil"/>
              <w:bottom w:val="nil"/>
              <w:right w:val="nil"/>
            </w:tcBorders>
          </w:tcPr>
          <w:p w14:paraId="69C484B8" w14:textId="77777777" w:rsidR="00B54D51" w:rsidRPr="00037AD4" w:rsidRDefault="00B54D51" w:rsidP="00401C67">
            <w:pPr>
              <w:widowControl w:val="0"/>
              <w:autoSpaceDE w:val="0"/>
              <w:autoSpaceDN w:val="0"/>
              <w:adjustRightInd w:val="0"/>
              <w:jc w:val="center"/>
            </w:pPr>
            <w:r w:rsidRPr="00037AD4">
              <w:t>0.157</w:t>
            </w:r>
          </w:p>
        </w:tc>
        <w:tc>
          <w:tcPr>
            <w:tcW w:w="512" w:type="pct"/>
            <w:tcBorders>
              <w:top w:val="nil"/>
              <w:left w:val="nil"/>
              <w:bottom w:val="nil"/>
              <w:right w:val="nil"/>
            </w:tcBorders>
          </w:tcPr>
          <w:p w14:paraId="3324858C" w14:textId="77777777" w:rsidR="00B54D51" w:rsidRPr="00037AD4" w:rsidRDefault="00B54D51" w:rsidP="00401C67">
            <w:pPr>
              <w:widowControl w:val="0"/>
              <w:autoSpaceDE w:val="0"/>
              <w:autoSpaceDN w:val="0"/>
              <w:adjustRightInd w:val="0"/>
              <w:jc w:val="center"/>
            </w:pPr>
            <w:r w:rsidRPr="00037AD4">
              <w:t>-0.034</w:t>
            </w:r>
          </w:p>
        </w:tc>
        <w:tc>
          <w:tcPr>
            <w:tcW w:w="512" w:type="pct"/>
            <w:tcBorders>
              <w:top w:val="nil"/>
              <w:left w:val="nil"/>
              <w:bottom w:val="nil"/>
              <w:right w:val="nil"/>
            </w:tcBorders>
          </w:tcPr>
          <w:p w14:paraId="1B242B9F" w14:textId="77777777" w:rsidR="00B54D51" w:rsidRPr="00037AD4" w:rsidRDefault="00B54D51" w:rsidP="00401C67">
            <w:pPr>
              <w:widowControl w:val="0"/>
              <w:autoSpaceDE w:val="0"/>
              <w:autoSpaceDN w:val="0"/>
              <w:adjustRightInd w:val="0"/>
              <w:jc w:val="center"/>
            </w:pPr>
            <w:r w:rsidRPr="00037AD4">
              <w:t>0.064</w:t>
            </w:r>
          </w:p>
        </w:tc>
        <w:tc>
          <w:tcPr>
            <w:tcW w:w="512" w:type="pct"/>
            <w:tcBorders>
              <w:top w:val="nil"/>
              <w:left w:val="nil"/>
              <w:bottom w:val="nil"/>
              <w:right w:val="nil"/>
            </w:tcBorders>
          </w:tcPr>
          <w:p w14:paraId="55AA2B7B" w14:textId="77777777" w:rsidR="00B54D51" w:rsidRPr="00037AD4" w:rsidRDefault="00B54D51" w:rsidP="00401C67">
            <w:pPr>
              <w:widowControl w:val="0"/>
              <w:autoSpaceDE w:val="0"/>
              <w:autoSpaceDN w:val="0"/>
              <w:adjustRightInd w:val="0"/>
              <w:jc w:val="center"/>
            </w:pPr>
            <w:r w:rsidRPr="00037AD4">
              <w:t>-0.090</w:t>
            </w:r>
          </w:p>
        </w:tc>
        <w:tc>
          <w:tcPr>
            <w:tcW w:w="513" w:type="pct"/>
            <w:tcBorders>
              <w:top w:val="nil"/>
              <w:left w:val="nil"/>
              <w:bottom w:val="nil"/>
              <w:right w:val="nil"/>
            </w:tcBorders>
          </w:tcPr>
          <w:p w14:paraId="7C52FAC7" w14:textId="77777777" w:rsidR="00B54D51" w:rsidRPr="00037AD4" w:rsidRDefault="00B54D51" w:rsidP="00401C67">
            <w:pPr>
              <w:widowControl w:val="0"/>
              <w:autoSpaceDE w:val="0"/>
              <w:autoSpaceDN w:val="0"/>
              <w:adjustRightInd w:val="0"/>
              <w:jc w:val="center"/>
            </w:pPr>
            <w:r w:rsidRPr="00037AD4">
              <w:t>-0.128</w:t>
            </w:r>
          </w:p>
        </w:tc>
        <w:tc>
          <w:tcPr>
            <w:tcW w:w="513" w:type="pct"/>
            <w:tcBorders>
              <w:top w:val="nil"/>
              <w:left w:val="nil"/>
              <w:bottom w:val="nil"/>
              <w:right w:val="nil"/>
            </w:tcBorders>
          </w:tcPr>
          <w:p w14:paraId="166B901E" w14:textId="77777777" w:rsidR="00B54D51" w:rsidRPr="00037AD4" w:rsidRDefault="00B54D51" w:rsidP="00401C67">
            <w:pPr>
              <w:widowControl w:val="0"/>
              <w:autoSpaceDE w:val="0"/>
              <w:autoSpaceDN w:val="0"/>
              <w:adjustRightInd w:val="0"/>
              <w:jc w:val="center"/>
            </w:pPr>
            <w:r w:rsidRPr="00037AD4">
              <w:t>0.246</w:t>
            </w:r>
          </w:p>
        </w:tc>
        <w:tc>
          <w:tcPr>
            <w:tcW w:w="512" w:type="pct"/>
            <w:tcBorders>
              <w:top w:val="nil"/>
              <w:left w:val="nil"/>
              <w:bottom w:val="nil"/>
              <w:right w:val="nil"/>
            </w:tcBorders>
          </w:tcPr>
          <w:p w14:paraId="37849110" w14:textId="77777777" w:rsidR="00B54D51" w:rsidRPr="00037AD4" w:rsidRDefault="00B54D51" w:rsidP="00401C67">
            <w:pPr>
              <w:widowControl w:val="0"/>
              <w:autoSpaceDE w:val="0"/>
              <w:autoSpaceDN w:val="0"/>
              <w:adjustRightInd w:val="0"/>
              <w:jc w:val="center"/>
            </w:pPr>
            <w:r w:rsidRPr="00037AD4">
              <w:t>0.254</w:t>
            </w:r>
          </w:p>
        </w:tc>
      </w:tr>
      <w:tr w:rsidR="00B54D51" w:rsidRPr="00037AD4" w14:paraId="47B656BE" w14:textId="77777777" w:rsidTr="00401C67">
        <w:trPr>
          <w:jc w:val="center"/>
        </w:trPr>
        <w:tc>
          <w:tcPr>
            <w:tcW w:w="1414" w:type="pct"/>
            <w:tcBorders>
              <w:top w:val="nil"/>
              <w:left w:val="nil"/>
              <w:bottom w:val="nil"/>
              <w:right w:val="nil"/>
            </w:tcBorders>
          </w:tcPr>
          <w:p w14:paraId="54A8DCD1" w14:textId="77777777" w:rsidR="00B54D51" w:rsidRPr="00037AD4" w:rsidRDefault="00B54D51" w:rsidP="00401C67">
            <w:pPr>
              <w:widowControl w:val="0"/>
              <w:autoSpaceDE w:val="0"/>
              <w:autoSpaceDN w:val="0"/>
              <w:adjustRightInd w:val="0"/>
            </w:pPr>
          </w:p>
        </w:tc>
        <w:tc>
          <w:tcPr>
            <w:tcW w:w="512" w:type="pct"/>
            <w:tcBorders>
              <w:top w:val="nil"/>
              <w:left w:val="nil"/>
              <w:bottom w:val="nil"/>
              <w:right w:val="nil"/>
            </w:tcBorders>
          </w:tcPr>
          <w:p w14:paraId="6D2C2F4A" w14:textId="77777777" w:rsidR="00B54D51" w:rsidRPr="00037AD4" w:rsidRDefault="00B54D51" w:rsidP="00401C67">
            <w:pPr>
              <w:widowControl w:val="0"/>
              <w:autoSpaceDE w:val="0"/>
              <w:autoSpaceDN w:val="0"/>
              <w:adjustRightInd w:val="0"/>
              <w:jc w:val="center"/>
            </w:pPr>
            <w:r w:rsidRPr="00037AD4">
              <w:t>(-0.929 - 1.244)</w:t>
            </w:r>
          </w:p>
        </w:tc>
        <w:tc>
          <w:tcPr>
            <w:tcW w:w="512" w:type="pct"/>
            <w:tcBorders>
              <w:top w:val="nil"/>
              <w:left w:val="nil"/>
              <w:bottom w:val="nil"/>
              <w:right w:val="nil"/>
            </w:tcBorders>
          </w:tcPr>
          <w:p w14:paraId="531F2344" w14:textId="77777777" w:rsidR="00B54D51" w:rsidRPr="00037AD4" w:rsidRDefault="00B54D51" w:rsidP="00401C67">
            <w:pPr>
              <w:widowControl w:val="0"/>
              <w:autoSpaceDE w:val="0"/>
              <w:autoSpaceDN w:val="0"/>
              <w:adjustRightInd w:val="0"/>
              <w:jc w:val="center"/>
            </w:pPr>
            <w:r w:rsidRPr="00037AD4">
              <w:t>(-0.901 - 0.834)</w:t>
            </w:r>
          </w:p>
        </w:tc>
        <w:tc>
          <w:tcPr>
            <w:tcW w:w="512" w:type="pct"/>
            <w:tcBorders>
              <w:top w:val="nil"/>
              <w:left w:val="nil"/>
              <w:bottom w:val="nil"/>
              <w:right w:val="nil"/>
            </w:tcBorders>
          </w:tcPr>
          <w:p w14:paraId="6C98CB6E" w14:textId="77777777" w:rsidR="00B54D51" w:rsidRPr="00037AD4" w:rsidRDefault="00B54D51" w:rsidP="00401C67">
            <w:pPr>
              <w:widowControl w:val="0"/>
              <w:autoSpaceDE w:val="0"/>
              <w:autoSpaceDN w:val="0"/>
              <w:adjustRightInd w:val="0"/>
              <w:jc w:val="center"/>
            </w:pPr>
            <w:r w:rsidRPr="00037AD4">
              <w:t>(-0.784 - 0.911)</w:t>
            </w:r>
          </w:p>
        </w:tc>
        <w:tc>
          <w:tcPr>
            <w:tcW w:w="512" w:type="pct"/>
            <w:tcBorders>
              <w:top w:val="nil"/>
              <w:left w:val="nil"/>
              <w:bottom w:val="nil"/>
              <w:right w:val="nil"/>
            </w:tcBorders>
          </w:tcPr>
          <w:p w14:paraId="3CC13219" w14:textId="77777777" w:rsidR="00B54D51" w:rsidRPr="00037AD4" w:rsidRDefault="00B54D51" w:rsidP="00401C67">
            <w:pPr>
              <w:widowControl w:val="0"/>
              <w:autoSpaceDE w:val="0"/>
              <w:autoSpaceDN w:val="0"/>
              <w:adjustRightInd w:val="0"/>
              <w:jc w:val="center"/>
            </w:pPr>
            <w:r w:rsidRPr="00037AD4">
              <w:t>(-0.359 - 0.179)</w:t>
            </w:r>
          </w:p>
        </w:tc>
        <w:tc>
          <w:tcPr>
            <w:tcW w:w="513" w:type="pct"/>
            <w:tcBorders>
              <w:top w:val="nil"/>
              <w:left w:val="nil"/>
              <w:bottom w:val="nil"/>
              <w:right w:val="nil"/>
            </w:tcBorders>
          </w:tcPr>
          <w:p w14:paraId="5AABBBBA" w14:textId="77777777" w:rsidR="00B54D51" w:rsidRPr="00037AD4" w:rsidRDefault="00B54D51" w:rsidP="00401C67">
            <w:pPr>
              <w:widowControl w:val="0"/>
              <w:autoSpaceDE w:val="0"/>
              <w:autoSpaceDN w:val="0"/>
              <w:adjustRightInd w:val="0"/>
              <w:jc w:val="center"/>
            </w:pPr>
            <w:r w:rsidRPr="00037AD4">
              <w:t>(-0.977 - 0.722)</w:t>
            </w:r>
          </w:p>
        </w:tc>
        <w:tc>
          <w:tcPr>
            <w:tcW w:w="513" w:type="pct"/>
            <w:tcBorders>
              <w:top w:val="nil"/>
              <w:left w:val="nil"/>
              <w:bottom w:val="nil"/>
              <w:right w:val="nil"/>
            </w:tcBorders>
          </w:tcPr>
          <w:p w14:paraId="094DB5D3" w14:textId="77777777" w:rsidR="00B54D51" w:rsidRPr="00037AD4" w:rsidRDefault="00B54D51" w:rsidP="00401C67">
            <w:pPr>
              <w:widowControl w:val="0"/>
              <w:autoSpaceDE w:val="0"/>
              <w:autoSpaceDN w:val="0"/>
              <w:adjustRightInd w:val="0"/>
              <w:jc w:val="center"/>
            </w:pPr>
            <w:r w:rsidRPr="00037AD4">
              <w:t>(-0.597 - 1.088)</w:t>
            </w:r>
          </w:p>
        </w:tc>
        <w:tc>
          <w:tcPr>
            <w:tcW w:w="512" w:type="pct"/>
            <w:tcBorders>
              <w:top w:val="nil"/>
              <w:left w:val="nil"/>
              <w:bottom w:val="nil"/>
              <w:right w:val="nil"/>
            </w:tcBorders>
          </w:tcPr>
          <w:p w14:paraId="05451EAC" w14:textId="77777777" w:rsidR="00B54D51" w:rsidRPr="00037AD4" w:rsidRDefault="00B54D51" w:rsidP="00401C67">
            <w:pPr>
              <w:widowControl w:val="0"/>
              <w:autoSpaceDE w:val="0"/>
              <w:autoSpaceDN w:val="0"/>
              <w:adjustRightInd w:val="0"/>
              <w:jc w:val="center"/>
            </w:pPr>
            <w:r w:rsidRPr="00037AD4">
              <w:t>(-0.588 - 1.096)</w:t>
            </w:r>
          </w:p>
        </w:tc>
      </w:tr>
      <w:tr w:rsidR="00B54D51" w:rsidRPr="00037AD4" w14:paraId="1E9C0152" w14:textId="77777777" w:rsidTr="00401C67">
        <w:trPr>
          <w:jc w:val="center"/>
        </w:trPr>
        <w:tc>
          <w:tcPr>
            <w:tcW w:w="1414" w:type="pct"/>
            <w:tcBorders>
              <w:top w:val="nil"/>
              <w:left w:val="nil"/>
              <w:bottom w:val="nil"/>
              <w:right w:val="nil"/>
            </w:tcBorders>
          </w:tcPr>
          <w:p w14:paraId="392AA1F2" w14:textId="77777777" w:rsidR="00B54D51" w:rsidRPr="00037AD4" w:rsidRDefault="00B54D51" w:rsidP="00401C67">
            <w:pPr>
              <w:widowControl w:val="0"/>
              <w:autoSpaceDE w:val="0"/>
              <w:autoSpaceDN w:val="0"/>
              <w:adjustRightInd w:val="0"/>
            </w:pPr>
            <w:r w:rsidRPr="00037AD4">
              <w:t>/cut4</w:t>
            </w:r>
          </w:p>
        </w:tc>
        <w:tc>
          <w:tcPr>
            <w:tcW w:w="512" w:type="pct"/>
            <w:tcBorders>
              <w:top w:val="nil"/>
              <w:left w:val="nil"/>
              <w:bottom w:val="nil"/>
              <w:right w:val="nil"/>
            </w:tcBorders>
          </w:tcPr>
          <w:p w14:paraId="3393A279" w14:textId="77777777" w:rsidR="00B54D51" w:rsidRPr="00037AD4" w:rsidRDefault="00B54D51" w:rsidP="00401C67">
            <w:pPr>
              <w:widowControl w:val="0"/>
              <w:autoSpaceDE w:val="0"/>
              <w:autoSpaceDN w:val="0"/>
              <w:adjustRightInd w:val="0"/>
              <w:jc w:val="center"/>
            </w:pPr>
            <w:r w:rsidRPr="00037AD4">
              <w:t>1.265**</w:t>
            </w:r>
          </w:p>
        </w:tc>
        <w:tc>
          <w:tcPr>
            <w:tcW w:w="512" w:type="pct"/>
            <w:tcBorders>
              <w:top w:val="nil"/>
              <w:left w:val="nil"/>
              <w:bottom w:val="nil"/>
              <w:right w:val="nil"/>
            </w:tcBorders>
          </w:tcPr>
          <w:p w14:paraId="41CCC277" w14:textId="77777777" w:rsidR="00B54D51" w:rsidRPr="00037AD4" w:rsidRDefault="00B54D51" w:rsidP="00401C67">
            <w:pPr>
              <w:widowControl w:val="0"/>
              <w:autoSpaceDE w:val="0"/>
              <w:autoSpaceDN w:val="0"/>
              <w:adjustRightInd w:val="0"/>
              <w:jc w:val="center"/>
            </w:pPr>
            <w:r w:rsidRPr="00037AD4">
              <w:t>1.020**</w:t>
            </w:r>
          </w:p>
        </w:tc>
        <w:tc>
          <w:tcPr>
            <w:tcW w:w="512" w:type="pct"/>
            <w:tcBorders>
              <w:top w:val="nil"/>
              <w:left w:val="nil"/>
              <w:bottom w:val="nil"/>
              <w:right w:val="nil"/>
            </w:tcBorders>
          </w:tcPr>
          <w:p w14:paraId="674D2625" w14:textId="77777777" w:rsidR="00B54D51" w:rsidRPr="00037AD4" w:rsidRDefault="00B54D51" w:rsidP="00401C67">
            <w:pPr>
              <w:widowControl w:val="0"/>
              <w:autoSpaceDE w:val="0"/>
              <w:autoSpaceDN w:val="0"/>
              <w:adjustRightInd w:val="0"/>
              <w:jc w:val="center"/>
            </w:pPr>
            <w:r w:rsidRPr="00037AD4">
              <w:t>1.118**</w:t>
            </w:r>
          </w:p>
        </w:tc>
        <w:tc>
          <w:tcPr>
            <w:tcW w:w="512" w:type="pct"/>
            <w:tcBorders>
              <w:top w:val="nil"/>
              <w:left w:val="nil"/>
              <w:bottom w:val="nil"/>
              <w:right w:val="nil"/>
            </w:tcBorders>
          </w:tcPr>
          <w:p w14:paraId="15BD4E42" w14:textId="77777777" w:rsidR="00B54D51" w:rsidRPr="00037AD4" w:rsidRDefault="00B54D51" w:rsidP="00401C67">
            <w:pPr>
              <w:widowControl w:val="0"/>
              <w:autoSpaceDE w:val="0"/>
              <w:autoSpaceDN w:val="0"/>
              <w:adjustRightInd w:val="0"/>
              <w:jc w:val="center"/>
            </w:pPr>
            <w:r w:rsidRPr="00037AD4">
              <w:t>0.964***</w:t>
            </w:r>
          </w:p>
        </w:tc>
        <w:tc>
          <w:tcPr>
            <w:tcW w:w="513" w:type="pct"/>
            <w:tcBorders>
              <w:top w:val="nil"/>
              <w:left w:val="nil"/>
              <w:bottom w:val="nil"/>
              <w:right w:val="nil"/>
            </w:tcBorders>
          </w:tcPr>
          <w:p w14:paraId="1A6FF446" w14:textId="77777777" w:rsidR="00B54D51" w:rsidRPr="00037AD4" w:rsidRDefault="00B54D51" w:rsidP="00401C67">
            <w:pPr>
              <w:widowControl w:val="0"/>
              <w:autoSpaceDE w:val="0"/>
              <w:autoSpaceDN w:val="0"/>
              <w:adjustRightInd w:val="0"/>
              <w:jc w:val="center"/>
            </w:pPr>
            <w:r w:rsidRPr="00037AD4">
              <w:t>0.910**</w:t>
            </w:r>
          </w:p>
        </w:tc>
        <w:tc>
          <w:tcPr>
            <w:tcW w:w="513" w:type="pct"/>
            <w:tcBorders>
              <w:top w:val="nil"/>
              <w:left w:val="nil"/>
              <w:bottom w:val="nil"/>
              <w:right w:val="nil"/>
            </w:tcBorders>
          </w:tcPr>
          <w:p w14:paraId="53FAE10B" w14:textId="77777777" w:rsidR="00B54D51" w:rsidRPr="00037AD4" w:rsidRDefault="00B54D51" w:rsidP="00401C67">
            <w:pPr>
              <w:widowControl w:val="0"/>
              <w:autoSpaceDE w:val="0"/>
              <w:autoSpaceDN w:val="0"/>
              <w:adjustRightInd w:val="0"/>
              <w:jc w:val="center"/>
            </w:pPr>
            <w:r w:rsidRPr="00037AD4">
              <w:t>1.280***</w:t>
            </w:r>
          </w:p>
        </w:tc>
        <w:tc>
          <w:tcPr>
            <w:tcW w:w="512" w:type="pct"/>
            <w:tcBorders>
              <w:top w:val="nil"/>
              <w:left w:val="nil"/>
              <w:bottom w:val="nil"/>
              <w:right w:val="nil"/>
            </w:tcBorders>
          </w:tcPr>
          <w:p w14:paraId="5A984500" w14:textId="77777777" w:rsidR="00B54D51" w:rsidRPr="00037AD4" w:rsidRDefault="00B54D51" w:rsidP="00401C67">
            <w:pPr>
              <w:widowControl w:val="0"/>
              <w:autoSpaceDE w:val="0"/>
              <w:autoSpaceDN w:val="0"/>
              <w:adjustRightInd w:val="0"/>
              <w:jc w:val="center"/>
            </w:pPr>
            <w:r w:rsidRPr="00037AD4">
              <w:t>1.236***</w:t>
            </w:r>
          </w:p>
        </w:tc>
      </w:tr>
      <w:tr w:rsidR="00B54D51" w:rsidRPr="00037AD4" w14:paraId="50C04647" w14:textId="77777777" w:rsidTr="00401C67">
        <w:trPr>
          <w:jc w:val="center"/>
        </w:trPr>
        <w:tc>
          <w:tcPr>
            <w:tcW w:w="1414" w:type="pct"/>
            <w:tcBorders>
              <w:top w:val="nil"/>
              <w:left w:val="nil"/>
              <w:bottom w:val="nil"/>
              <w:right w:val="nil"/>
            </w:tcBorders>
          </w:tcPr>
          <w:p w14:paraId="61EB64FA" w14:textId="77777777" w:rsidR="00B54D51" w:rsidRPr="00037AD4" w:rsidRDefault="00B54D51" w:rsidP="00401C67">
            <w:pPr>
              <w:widowControl w:val="0"/>
              <w:autoSpaceDE w:val="0"/>
              <w:autoSpaceDN w:val="0"/>
              <w:adjustRightInd w:val="0"/>
            </w:pPr>
          </w:p>
        </w:tc>
        <w:tc>
          <w:tcPr>
            <w:tcW w:w="512" w:type="pct"/>
            <w:tcBorders>
              <w:top w:val="nil"/>
              <w:left w:val="nil"/>
              <w:bottom w:val="nil"/>
              <w:right w:val="nil"/>
            </w:tcBorders>
          </w:tcPr>
          <w:p w14:paraId="1E8DC1E2" w14:textId="77777777" w:rsidR="00B54D51" w:rsidRPr="00037AD4" w:rsidRDefault="00B54D51" w:rsidP="00401C67">
            <w:pPr>
              <w:widowControl w:val="0"/>
              <w:autoSpaceDE w:val="0"/>
              <w:autoSpaceDN w:val="0"/>
              <w:adjustRightInd w:val="0"/>
              <w:jc w:val="center"/>
            </w:pPr>
            <w:r w:rsidRPr="00037AD4">
              <w:t>(0.170 - 2.360)</w:t>
            </w:r>
          </w:p>
        </w:tc>
        <w:tc>
          <w:tcPr>
            <w:tcW w:w="512" w:type="pct"/>
            <w:tcBorders>
              <w:top w:val="nil"/>
              <w:left w:val="nil"/>
              <w:bottom w:val="nil"/>
              <w:right w:val="nil"/>
            </w:tcBorders>
          </w:tcPr>
          <w:p w14:paraId="3F53C6A1" w14:textId="77777777" w:rsidR="00B54D51" w:rsidRPr="00037AD4" w:rsidRDefault="00B54D51" w:rsidP="00401C67">
            <w:pPr>
              <w:widowControl w:val="0"/>
              <w:autoSpaceDE w:val="0"/>
              <w:autoSpaceDN w:val="0"/>
              <w:adjustRightInd w:val="0"/>
              <w:jc w:val="center"/>
            </w:pPr>
            <w:r w:rsidRPr="00037AD4">
              <w:t>(0.145 - 1.894)</w:t>
            </w:r>
          </w:p>
        </w:tc>
        <w:tc>
          <w:tcPr>
            <w:tcW w:w="512" w:type="pct"/>
            <w:tcBorders>
              <w:top w:val="nil"/>
              <w:left w:val="nil"/>
              <w:bottom w:val="nil"/>
              <w:right w:val="nil"/>
            </w:tcBorders>
          </w:tcPr>
          <w:p w14:paraId="0BF7EBED" w14:textId="77777777" w:rsidR="00B54D51" w:rsidRPr="00037AD4" w:rsidRDefault="00B54D51" w:rsidP="00401C67">
            <w:pPr>
              <w:widowControl w:val="0"/>
              <w:autoSpaceDE w:val="0"/>
              <w:autoSpaceDN w:val="0"/>
              <w:adjustRightInd w:val="0"/>
              <w:jc w:val="center"/>
            </w:pPr>
            <w:r w:rsidRPr="00037AD4">
              <w:t>(0.265 - 1.970)</w:t>
            </w:r>
          </w:p>
        </w:tc>
        <w:tc>
          <w:tcPr>
            <w:tcW w:w="512" w:type="pct"/>
            <w:tcBorders>
              <w:top w:val="nil"/>
              <w:left w:val="nil"/>
              <w:bottom w:val="nil"/>
              <w:right w:val="nil"/>
            </w:tcBorders>
          </w:tcPr>
          <w:p w14:paraId="4122A9FB" w14:textId="77777777" w:rsidR="00B54D51" w:rsidRPr="00037AD4" w:rsidRDefault="00B54D51" w:rsidP="00401C67">
            <w:pPr>
              <w:widowControl w:val="0"/>
              <w:autoSpaceDE w:val="0"/>
              <w:autoSpaceDN w:val="0"/>
              <w:adjustRightInd w:val="0"/>
              <w:jc w:val="center"/>
            </w:pPr>
            <w:r w:rsidRPr="00037AD4">
              <w:t>(0.665 - 1.263)</w:t>
            </w:r>
          </w:p>
        </w:tc>
        <w:tc>
          <w:tcPr>
            <w:tcW w:w="513" w:type="pct"/>
            <w:tcBorders>
              <w:top w:val="nil"/>
              <w:left w:val="nil"/>
              <w:bottom w:val="nil"/>
              <w:right w:val="nil"/>
            </w:tcBorders>
          </w:tcPr>
          <w:p w14:paraId="69DFD594" w14:textId="77777777" w:rsidR="00B54D51" w:rsidRPr="00037AD4" w:rsidRDefault="00B54D51" w:rsidP="00401C67">
            <w:pPr>
              <w:widowControl w:val="0"/>
              <w:autoSpaceDE w:val="0"/>
              <w:autoSpaceDN w:val="0"/>
              <w:adjustRightInd w:val="0"/>
              <w:jc w:val="center"/>
            </w:pPr>
            <w:r w:rsidRPr="00037AD4">
              <w:t>(0.058 - 1.761)</w:t>
            </w:r>
          </w:p>
        </w:tc>
        <w:tc>
          <w:tcPr>
            <w:tcW w:w="513" w:type="pct"/>
            <w:tcBorders>
              <w:top w:val="nil"/>
              <w:left w:val="nil"/>
              <w:bottom w:val="nil"/>
              <w:right w:val="nil"/>
            </w:tcBorders>
          </w:tcPr>
          <w:p w14:paraId="4B116EF9" w14:textId="77777777" w:rsidR="00B54D51" w:rsidRPr="00037AD4" w:rsidRDefault="00B54D51" w:rsidP="00401C67">
            <w:pPr>
              <w:widowControl w:val="0"/>
              <w:autoSpaceDE w:val="0"/>
              <w:autoSpaceDN w:val="0"/>
              <w:adjustRightInd w:val="0"/>
              <w:jc w:val="center"/>
            </w:pPr>
            <w:r w:rsidRPr="00037AD4">
              <w:t>(0.439 - 2.120)</w:t>
            </w:r>
          </w:p>
        </w:tc>
        <w:tc>
          <w:tcPr>
            <w:tcW w:w="512" w:type="pct"/>
            <w:tcBorders>
              <w:top w:val="nil"/>
              <w:left w:val="nil"/>
              <w:bottom w:val="nil"/>
              <w:right w:val="nil"/>
            </w:tcBorders>
          </w:tcPr>
          <w:p w14:paraId="76DB28FC" w14:textId="77777777" w:rsidR="00B54D51" w:rsidRPr="00037AD4" w:rsidRDefault="00B54D51" w:rsidP="00401C67">
            <w:pPr>
              <w:widowControl w:val="0"/>
              <w:autoSpaceDE w:val="0"/>
              <w:autoSpaceDN w:val="0"/>
              <w:adjustRightInd w:val="0"/>
              <w:jc w:val="center"/>
            </w:pPr>
            <w:r w:rsidRPr="00037AD4">
              <w:t>(0.387 - 2.086)</w:t>
            </w:r>
          </w:p>
        </w:tc>
      </w:tr>
      <w:tr w:rsidR="00B54D51" w:rsidRPr="00037AD4" w14:paraId="00AF7590" w14:textId="77777777" w:rsidTr="00401C67">
        <w:trPr>
          <w:jc w:val="center"/>
        </w:trPr>
        <w:tc>
          <w:tcPr>
            <w:tcW w:w="1414" w:type="pct"/>
            <w:tcBorders>
              <w:top w:val="nil"/>
              <w:left w:val="nil"/>
              <w:bottom w:val="nil"/>
              <w:right w:val="nil"/>
            </w:tcBorders>
          </w:tcPr>
          <w:p w14:paraId="7B550002" w14:textId="77777777" w:rsidR="00B54D51" w:rsidRPr="00037AD4" w:rsidRDefault="00B54D51" w:rsidP="00401C67">
            <w:pPr>
              <w:widowControl w:val="0"/>
              <w:autoSpaceDE w:val="0"/>
              <w:autoSpaceDN w:val="0"/>
              <w:adjustRightInd w:val="0"/>
            </w:pPr>
          </w:p>
        </w:tc>
        <w:tc>
          <w:tcPr>
            <w:tcW w:w="512" w:type="pct"/>
            <w:tcBorders>
              <w:top w:val="nil"/>
              <w:left w:val="nil"/>
              <w:bottom w:val="nil"/>
              <w:right w:val="nil"/>
            </w:tcBorders>
          </w:tcPr>
          <w:p w14:paraId="06EE545A"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0026AB7C"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668D5CA8"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5828841B"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2560D754" w14:textId="77777777" w:rsidR="00B54D51" w:rsidRPr="00037AD4" w:rsidRDefault="00B54D51" w:rsidP="00401C67">
            <w:pPr>
              <w:widowControl w:val="0"/>
              <w:autoSpaceDE w:val="0"/>
              <w:autoSpaceDN w:val="0"/>
              <w:adjustRightInd w:val="0"/>
              <w:jc w:val="center"/>
            </w:pPr>
          </w:p>
        </w:tc>
        <w:tc>
          <w:tcPr>
            <w:tcW w:w="513" w:type="pct"/>
            <w:tcBorders>
              <w:top w:val="nil"/>
              <w:left w:val="nil"/>
              <w:bottom w:val="nil"/>
              <w:right w:val="nil"/>
            </w:tcBorders>
          </w:tcPr>
          <w:p w14:paraId="0F316AFD" w14:textId="77777777" w:rsidR="00B54D51" w:rsidRPr="00037AD4" w:rsidRDefault="00B54D51" w:rsidP="00401C67">
            <w:pPr>
              <w:widowControl w:val="0"/>
              <w:autoSpaceDE w:val="0"/>
              <w:autoSpaceDN w:val="0"/>
              <w:adjustRightInd w:val="0"/>
              <w:jc w:val="center"/>
            </w:pPr>
          </w:p>
        </w:tc>
        <w:tc>
          <w:tcPr>
            <w:tcW w:w="512" w:type="pct"/>
            <w:tcBorders>
              <w:top w:val="nil"/>
              <w:left w:val="nil"/>
              <w:bottom w:val="nil"/>
              <w:right w:val="nil"/>
            </w:tcBorders>
          </w:tcPr>
          <w:p w14:paraId="75E22B99" w14:textId="77777777" w:rsidR="00B54D51" w:rsidRPr="00037AD4" w:rsidRDefault="00B54D51" w:rsidP="00401C67">
            <w:pPr>
              <w:widowControl w:val="0"/>
              <w:autoSpaceDE w:val="0"/>
              <w:autoSpaceDN w:val="0"/>
              <w:adjustRightInd w:val="0"/>
              <w:jc w:val="center"/>
            </w:pPr>
          </w:p>
        </w:tc>
      </w:tr>
      <w:tr w:rsidR="00B54D51" w:rsidRPr="00037AD4" w14:paraId="5F6A8CDF" w14:textId="77777777" w:rsidTr="00401C67">
        <w:tblPrEx>
          <w:tblBorders>
            <w:bottom w:val="single" w:sz="6" w:space="0" w:color="auto"/>
          </w:tblBorders>
        </w:tblPrEx>
        <w:trPr>
          <w:jc w:val="center"/>
        </w:trPr>
        <w:tc>
          <w:tcPr>
            <w:tcW w:w="1414" w:type="pct"/>
            <w:tcBorders>
              <w:top w:val="nil"/>
              <w:left w:val="nil"/>
              <w:bottom w:val="nil"/>
              <w:right w:val="nil"/>
            </w:tcBorders>
          </w:tcPr>
          <w:p w14:paraId="663DB4DB" w14:textId="77777777" w:rsidR="00B54D51" w:rsidRPr="00037AD4" w:rsidRDefault="00B54D51" w:rsidP="00401C67">
            <w:pPr>
              <w:widowControl w:val="0"/>
              <w:autoSpaceDE w:val="0"/>
              <w:autoSpaceDN w:val="0"/>
              <w:adjustRightInd w:val="0"/>
            </w:pPr>
            <w:r w:rsidRPr="00037AD4">
              <w:t>Observations</w:t>
            </w:r>
          </w:p>
        </w:tc>
        <w:tc>
          <w:tcPr>
            <w:tcW w:w="512" w:type="pct"/>
            <w:tcBorders>
              <w:top w:val="nil"/>
              <w:left w:val="nil"/>
              <w:bottom w:val="nil"/>
              <w:right w:val="nil"/>
            </w:tcBorders>
          </w:tcPr>
          <w:p w14:paraId="68502174" w14:textId="77777777" w:rsidR="00B54D51" w:rsidRPr="00037AD4" w:rsidRDefault="00B54D51" w:rsidP="00401C67">
            <w:pPr>
              <w:widowControl w:val="0"/>
              <w:autoSpaceDE w:val="0"/>
              <w:autoSpaceDN w:val="0"/>
              <w:adjustRightInd w:val="0"/>
              <w:jc w:val="center"/>
            </w:pPr>
            <w:r w:rsidRPr="00037AD4">
              <w:t>949</w:t>
            </w:r>
          </w:p>
        </w:tc>
        <w:tc>
          <w:tcPr>
            <w:tcW w:w="512" w:type="pct"/>
            <w:tcBorders>
              <w:top w:val="nil"/>
              <w:left w:val="nil"/>
              <w:bottom w:val="nil"/>
              <w:right w:val="nil"/>
            </w:tcBorders>
          </w:tcPr>
          <w:p w14:paraId="65205A05" w14:textId="77777777" w:rsidR="00B54D51" w:rsidRPr="00037AD4" w:rsidRDefault="00B54D51" w:rsidP="00401C67">
            <w:pPr>
              <w:widowControl w:val="0"/>
              <w:autoSpaceDE w:val="0"/>
              <w:autoSpaceDN w:val="0"/>
              <w:adjustRightInd w:val="0"/>
              <w:jc w:val="center"/>
            </w:pPr>
            <w:r w:rsidRPr="00037AD4">
              <w:t>1,046</w:t>
            </w:r>
          </w:p>
        </w:tc>
        <w:tc>
          <w:tcPr>
            <w:tcW w:w="512" w:type="pct"/>
            <w:tcBorders>
              <w:top w:val="nil"/>
              <w:left w:val="nil"/>
              <w:bottom w:val="nil"/>
              <w:right w:val="nil"/>
            </w:tcBorders>
          </w:tcPr>
          <w:p w14:paraId="252A6DD3" w14:textId="77777777" w:rsidR="00B54D51" w:rsidRPr="00037AD4" w:rsidRDefault="00B54D51" w:rsidP="00401C67">
            <w:pPr>
              <w:widowControl w:val="0"/>
              <w:autoSpaceDE w:val="0"/>
              <w:autoSpaceDN w:val="0"/>
              <w:adjustRightInd w:val="0"/>
              <w:jc w:val="center"/>
            </w:pPr>
            <w:r w:rsidRPr="00037AD4">
              <w:t>1,056</w:t>
            </w:r>
          </w:p>
        </w:tc>
        <w:tc>
          <w:tcPr>
            <w:tcW w:w="512" w:type="pct"/>
            <w:tcBorders>
              <w:top w:val="nil"/>
              <w:left w:val="nil"/>
              <w:bottom w:val="nil"/>
              <w:right w:val="nil"/>
            </w:tcBorders>
          </w:tcPr>
          <w:p w14:paraId="67C402BA" w14:textId="77777777" w:rsidR="00B54D51" w:rsidRPr="00037AD4" w:rsidRDefault="00B54D51" w:rsidP="00401C67">
            <w:pPr>
              <w:widowControl w:val="0"/>
              <w:autoSpaceDE w:val="0"/>
              <w:autoSpaceDN w:val="0"/>
              <w:adjustRightInd w:val="0"/>
              <w:jc w:val="center"/>
            </w:pPr>
            <w:r w:rsidRPr="00037AD4">
              <w:t>1,056</w:t>
            </w:r>
          </w:p>
        </w:tc>
        <w:tc>
          <w:tcPr>
            <w:tcW w:w="513" w:type="pct"/>
            <w:tcBorders>
              <w:top w:val="nil"/>
              <w:left w:val="nil"/>
              <w:bottom w:val="nil"/>
              <w:right w:val="nil"/>
            </w:tcBorders>
          </w:tcPr>
          <w:p w14:paraId="65A999EC" w14:textId="77777777" w:rsidR="00B54D51" w:rsidRPr="00037AD4" w:rsidRDefault="00B54D51" w:rsidP="00401C67">
            <w:pPr>
              <w:widowControl w:val="0"/>
              <w:autoSpaceDE w:val="0"/>
              <w:autoSpaceDN w:val="0"/>
              <w:adjustRightInd w:val="0"/>
              <w:jc w:val="center"/>
            </w:pPr>
            <w:r w:rsidRPr="00037AD4">
              <w:t>968</w:t>
            </w:r>
          </w:p>
        </w:tc>
        <w:tc>
          <w:tcPr>
            <w:tcW w:w="513" w:type="pct"/>
            <w:tcBorders>
              <w:top w:val="nil"/>
              <w:left w:val="nil"/>
              <w:bottom w:val="nil"/>
              <w:right w:val="nil"/>
            </w:tcBorders>
          </w:tcPr>
          <w:p w14:paraId="3682D258" w14:textId="77777777" w:rsidR="00B54D51" w:rsidRPr="00037AD4" w:rsidRDefault="00B54D51" w:rsidP="00401C67">
            <w:pPr>
              <w:widowControl w:val="0"/>
              <w:autoSpaceDE w:val="0"/>
              <w:autoSpaceDN w:val="0"/>
              <w:adjustRightInd w:val="0"/>
              <w:jc w:val="center"/>
            </w:pPr>
            <w:r w:rsidRPr="00037AD4">
              <w:t>972</w:t>
            </w:r>
          </w:p>
        </w:tc>
        <w:tc>
          <w:tcPr>
            <w:tcW w:w="512" w:type="pct"/>
            <w:tcBorders>
              <w:top w:val="nil"/>
              <w:left w:val="nil"/>
              <w:bottom w:val="nil"/>
              <w:right w:val="nil"/>
            </w:tcBorders>
          </w:tcPr>
          <w:p w14:paraId="53CC4B1D" w14:textId="77777777" w:rsidR="00B54D51" w:rsidRPr="00037AD4" w:rsidRDefault="00B54D51" w:rsidP="00401C67">
            <w:pPr>
              <w:widowControl w:val="0"/>
              <w:autoSpaceDE w:val="0"/>
              <w:autoSpaceDN w:val="0"/>
              <w:adjustRightInd w:val="0"/>
              <w:jc w:val="center"/>
            </w:pPr>
            <w:r w:rsidRPr="00037AD4">
              <w:t>1,001</w:t>
            </w:r>
          </w:p>
        </w:tc>
      </w:tr>
      <w:tr w:rsidR="00B54D51" w:rsidRPr="00037AD4" w14:paraId="27A2D307" w14:textId="77777777" w:rsidTr="00401C67">
        <w:tblPrEx>
          <w:tblBorders>
            <w:bottom w:val="single" w:sz="6" w:space="0" w:color="auto"/>
          </w:tblBorders>
        </w:tblPrEx>
        <w:trPr>
          <w:jc w:val="center"/>
        </w:trPr>
        <w:tc>
          <w:tcPr>
            <w:tcW w:w="1414" w:type="pct"/>
            <w:tcBorders>
              <w:top w:val="nil"/>
              <w:left w:val="nil"/>
              <w:bottom w:val="nil"/>
              <w:right w:val="nil"/>
            </w:tcBorders>
          </w:tcPr>
          <w:p w14:paraId="15AB3216" w14:textId="77777777" w:rsidR="00B54D51" w:rsidRPr="00037AD4" w:rsidRDefault="00B54D51" w:rsidP="00401C67">
            <w:pPr>
              <w:widowControl w:val="0"/>
              <w:autoSpaceDE w:val="0"/>
              <w:autoSpaceDN w:val="0"/>
              <w:adjustRightInd w:val="0"/>
            </w:pPr>
            <w:r w:rsidRPr="00037AD4">
              <w:t>Wald Chi</w:t>
            </w:r>
            <w:r w:rsidRPr="00037AD4">
              <w:rPr>
                <w:vertAlign w:val="superscript"/>
              </w:rPr>
              <w:t>2</w:t>
            </w:r>
          </w:p>
        </w:tc>
        <w:tc>
          <w:tcPr>
            <w:tcW w:w="512" w:type="pct"/>
            <w:tcBorders>
              <w:top w:val="nil"/>
              <w:left w:val="nil"/>
              <w:bottom w:val="nil"/>
              <w:right w:val="nil"/>
            </w:tcBorders>
          </w:tcPr>
          <w:p w14:paraId="63AD3F1F" w14:textId="77777777" w:rsidR="00B54D51" w:rsidRPr="00037AD4" w:rsidRDefault="00B54D51" w:rsidP="00401C67">
            <w:pPr>
              <w:widowControl w:val="0"/>
              <w:autoSpaceDE w:val="0"/>
              <w:autoSpaceDN w:val="0"/>
              <w:adjustRightInd w:val="0"/>
              <w:jc w:val="center"/>
            </w:pPr>
            <w:r w:rsidRPr="00037AD4">
              <w:t>410.38</w:t>
            </w:r>
          </w:p>
        </w:tc>
        <w:tc>
          <w:tcPr>
            <w:tcW w:w="512" w:type="pct"/>
            <w:tcBorders>
              <w:top w:val="nil"/>
              <w:left w:val="nil"/>
              <w:bottom w:val="nil"/>
              <w:right w:val="nil"/>
            </w:tcBorders>
          </w:tcPr>
          <w:p w14:paraId="085B6CE5" w14:textId="77777777" w:rsidR="00B54D51" w:rsidRPr="00037AD4" w:rsidRDefault="00B54D51" w:rsidP="00401C67">
            <w:pPr>
              <w:widowControl w:val="0"/>
              <w:autoSpaceDE w:val="0"/>
              <w:autoSpaceDN w:val="0"/>
              <w:adjustRightInd w:val="0"/>
              <w:jc w:val="center"/>
            </w:pPr>
            <w:r w:rsidRPr="00037AD4">
              <w:t>320.96</w:t>
            </w:r>
          </w:p>
        </w:tc>
        <w:tc>
          <w:tcPr>
            <w:tcW w:w="512" w:type="pct"/>
            <w:tcBorders>
              <w:top w:val="nil"/>
              <w:left w:val="nil"/>
              <w:bottom w:val="nil"/>
              <w:right w:val="nil"/>
            </w:tcBorders>
          </w:tcPr>
          <w:p w14:paraId="366D3E7F" w14:textId="77777777" w:rsidR="00B54D51" w:rsidRPr="00037AD4" w:rsidRDefault="00B54D51" w:rsidP="00401C67">
            <w:pPr>
              <w:widowControl w:val="0"/>
              <w:autoSpaceDE w:val="0"/>
              <w:autoSpaceDN w:val="0"/>
              <w:adjustRightInd w:val="0"/>
              <w:jc w:val="center"/>
            </w:pPr>
            <w:r w:rsidRPr="00037AD4">
              <w:t>320.20</w:t>
            </w:r>
          </w:p>
        </w:tc>
        <w:tc>
          <w:tcPr>
            <w:tcW w:w="512" w:type="pct"/>
            <w:tcBorders>
              <w:top w:val="nil"/>
              <w:left w:val="nil"/>
              <w:bottom w:val="nil"/>
              <w:right w:val="nil"/>
            </w:tcBorders>
          </w:tcPr>
          <w:p w14:paraId="1803558C" w14:textId="77777777" w:rsidR="00B54D51" w:rsidRPr="00037AD4" w:rsidRDefault="00B54D51" w:rsidP="00401C67">
            <w:pPr>
              <w:widowControl w:val="0"/>
              <w:autoSpaceDE w:val="0"/>
              <w:autoSpaceDN w:val="0"/>
              <w:adjustRightInd w:val="0"/>
              <w:jc w:val="center"/>
            </w:pPr>
            <w:r w:rsidRPr="00037AD4">
              <w:t>320.09</w:t>
            </w:r>
          </w:p>
        </w:tc>
        <w:tc>
          <w:tcPr>
            <w:tcW w:w="513" w:type="pct"/>
            <w:tcBorders>
              <w:top w:val="nil"/>
              <w:left w:val="nil"/>
              <w:bottom w:val="nil"/>
              <w:right w:val="nil"/>
            </w:tcBorders>
          </w:tcPr>
          <w:p w14:paraId="52F5934E" w14:textId="77777777" w:rsidR="00B54D51" w:rsidRPr="00037AD4" w:rsidRDefault="00B54D51" w:rsidP="00401C67">
            <w:pPr>
              <w:widowControl w:val="0"/>
              <w:autoSpaceDE w:val="0"/>
              <w:autoSpaceDN w:val="0"/>
              <w:adjustRightInd w:val="0"/>
              <w:jc w:val="center"/>
            </w:pPr>
            <w:r w:rsidRPr="00037AD4">
              <w:t>286.32</w:t>
            </w:r>
          </w:p>
        </w:tc>
        <w:tc>
          <w:tcPr>
            <w:tcW w:w="513" w:type="pct"/>
            <w:tcBorders>
              <w:top w:val="nil"/>
              <w:left w:val="nil"/>
              <w:bottom w:val="nil"/>
              <w:right w:val="nil"/>
            </w:tcBorders>
          </w:tcPr>
          <w:p w14:paraId="32210110" w14:textId="77777777" w:rsidR="00B54D51" w:rsidRPr="00037AD4" w:rsidRDefault="00B54D51" w:rsidP="00401C67">
            <w:pPr>
              <w:widowControl w:val="0"/>
              <w:autoSpaceDE w:val="0"/>
              <w:autoSpaceDN w:val="0"/>
              <w:adjustRightInd w:val="0"/>
              <w:jc w:val="center"/>
            </w:pPr>
            <w:r w:rsidRPr="00037AD4">
              <w:t>261.62</w:t>
            </w:r>
          </w:p>
        </w:tc>
        <w:tc>
          <w:tcPr>
            <w:tcW w:w="512" w:type="pct"/>
            <w:tcBorders>
              <w:top w:val="nil"/>
              <w:left w:val="nil"/>
              <w:bottom w:val="nil"/>
              <w:right w:val="nil"/>
            </w:tcBorders>
          </w:tcPr>
          <w:p w14:paraId="3732819A" w14:textId="77777777" w:rsidR="00B54D51" w:rsidRPr="00037AD4" w:rsidRDefault="00B54D51" w:rsidP="00401C67">
            <w:pPr>
              <w:widowControl w:val="0"/>
              <w:autoSpaceDE w:val="0"/>
              <w:autoSpaceDN w:val="0"/>
              <w:adjustRightInd w:val="0"/>
              <w:jc w:val="center"/>
            </w:pPr>
            <w:r w:rsidRPr="00037AD4">
              <w:t>232.29</w:t>
            </w:r>
          </w:p>
        </w:tc>
      </w:tr>
      <w:tr w:rsidR="00B54D51" w:rsidRPr="00037AD4" w14:paraId="27D78D1E" w14:textId="77777777" w:rsidTr="00401C67">
        <w:tblPrEx>
          <w:tblBorders>
            <w:bottom w:val="single" w:sz="6" w:space="0" w:color="auto"/>
          </w:tblBorders>
        </w:tblPrEx>
        <w:trPr>
          <w:jc w:val="center"/>
        </w:trPr>
        <w:tc>
          <w:tcPr>
            <w:tcW w:w="1414" w:type="pct"/>
            <w:tcBorders>
              <w:top w:val="nil"/>
              <w:left w:val="nil"/>
              <w:bottom w:val="nil"/>
              <w:right w:val="nil"/>
            </w:tcBorders>
          </w:tcPr>
          <w:p w14:paraId="2C868478" w14:textId="77777777" w:rsidR="00B54D51" w:rsidRPr="00037AD4" w:rsidRDefault="00B54D51" w:rsidP="00401C67">
            <w:pPr>
              <w:widowControl w:val="0"/>
              <w:autoSpaceDE w:val="0"/>
              <w:autoSpaceDN w:val="0"/>
              <w:adjustRightInd w:val="0"/>
            </w:pPr>
            <w:r w:rsidRPr="00037AD4">
              <w:t>Pseudo R</w:t>
            </w:r>
            <w:r w:rsidRPr="00037AD4">
              <w:rPr>
                <w:vertAlign w:val="superscript"/>
              </w:rPr>
              <w:t>2</w:t>
            </w:r>
          </w:p>
        </w:tc>
        <w:tc>
          <w:tcPr>
            <w:tcW w:w="512" w:type="pct"/>
            <w:tcBorders>
              <w:top w:val="nil"/>
              <w:left w:val="nil"/>
              <w:bottom w:val="nil"/>
              <w:right w:val="nil"/>
            </w:tcBorders>
          </w:tcPr>
          <w:p w14:paraId="3F94A9AA" w14:textId="77777777" w:rsidR="00B54D51" w:rsidRPr="00037AD4" w:rsidRDefault="00B54D51" w:rsidP="00401C67">
            <w:pPr>
              <w:widowControl w:val="0"/>
              <w:autoSpaceDE w:val="0"/>
              <w:autoSpaceDN w:val="0"/>
              <w:adjustRightInd w:val="0"/>
              <w:jc w:val="center"/>
            </w:pPr>
            <w:r w:rsidRPr="00037AD4">
              <w:t>0.1625</w:t>
            </w:r>
          </w:p>
        </w:tc>
        <w:tc>
          <w:tcPr>
            <w:tcW w:w="512" w:type="pct"/>
            <w:tcBorders>
              <w:top w:val="nil"/>
              <w:left w:val="nil"/>
              <w:bottom w:val="nil"/>
              <w:right w:val="nil"/>
            </w:tcBorders>
          </w:tcPr>
          <w:p w14:paraId="453DAFD5" w14:textId="77777777" w:rsidR="00B54D51" w:rsidRPr="00037AD4" w:rsidRDefault="00B54D51" w:rsidP="00401C67">
            <w:pPr>
              <w:widowControl w:val="0"/>
              <w:autoSpaceDE w:val="0"/>
              <w:autoSpaceDN w:val="0"/>
              <w:adjustRightInd w:val="0"/>
              <w:jc w:val="center"/>
            </w:pPr>
            <w:r w:rsidRPr="00037AD4">
              <w:t>0.1523</w:t>
            </w:r>
          </w:p>
        </w:tc>
        <w:tc>
          <w:tcPr>
            <w:tcW w:w="512" w:type="pct"/>
            <w:tcBorders>
              <w:top w:val="nil"/>
              <w:left w:val="nil"/>
              <w:bottom w:val="nil"/>
              <w:right w:val="nil"/>
            </w:tcBorders>
          </w:tcPr>
          <w:p w14:paraId="6A8F4662" w14:textId="77777777" w:rsidR="00B54D51" w:rsidRPr="00037AD4" w:rsidRDefault="00B54D51" w:rsidP="00401C67">
            <w:pPr>
              <w:widowControl w:val="0"/>
              <w:autoSpaceDE w:val="0"/>
              <w:autoSpaceDN w:val="0"/>
              <w:adjustRightInd w:val="0"/>
              <w:jc w:val="center"/>
            </w:pPr>
            <w:r w:rsidRPr="00037AD4">
              <w:t>0.1523</w:t>
            </w:r>
          </w:p>
        </w:tc>
        <w:tc>
          <w:tcPr>
            <w:tcW w:w="512" w:type="pct"/>
            <w:tcBorders>
              <w:top w:val="nil"/>
              <w:left w:val="nil"/>
              <w:bottom w:val="nil"/>
              <w:right w:val="nil"/>
            </w:tcBorders>
          </w:tcPr>
          <w:p w14:paraId="158C0CCC" w14:textId="77777777" w:rsidR="00B54D51" w:rsidRPr="00037AD4" w:rsidRDefault="00B54D51" w:rsidP="00401C67">
            <w:pPr>
              <w:widowControl w:val="0"/>
              <w:autoSpaceDE w:val="0"/>
              <w:autoSpaceDN w:val="0"/>
              <w:adjustRightInd w:val="0"/>
              <w:jc w:val="center"/>
            </w:pPr>
            <w:r w:rsidRPr="00037AD4">
              <w:t>0.1522</w:t>
            </w:r>
          </w:p>
        </w:tc>
        <w:tc>
          <w:tcPr>
            <w:tcW w:w="513" w:type="pct"/>
            <w:tcBorders>
              <w:top w:val="nil"/>
              <w:left w:val="nil"/>
              <w:bottom w:val="nil"/>
              <w:right w:val="nil"/>
            </w:tcBorders>
          </w:tcPr>
          <w:p w14:paraId="38D3B6DE" w14:textId="77777777" w:rsidR="00B54D51" w:rsidRPr="00037AD4" w:rsidRDefault="00B54D51" w:rsidP="00401C67">
            <w:pPr>
              <w:widowControl w:val="0"/>
              <w:autoSpaceDE w:val="0"/>
              <w:autoSpaceDN w:val="0"/>
              <w:adjustRightInd w:val="0"/>
              <w:jc w:val="center"/>
            </w:pPr>
            <w:r w:rsidRPr="00037AD4">
              <w:t>0.1430</w:t>
            </w:r>
          </w:p>
        </w:tc>
        <w:tc>
          <w:tcPr>
            <w:tcW w:w="513" w:type="pct"/>
            <w:tcBorders>
              <w:top w:val="nil"/>
              <w:left w:val="nil"/>
              <w:bottom w:val="nil"/>
              <w:right w:val="nil"/>
            </w:tcBorders>
          </w:tcPr>
          <w:p w14:paraId="2D1B2470" w14:textId="77777777" w:rsidR="00B54D51" w:rsidRPr="00037AD4" w:rsidRDefault="00B54D51" w:rsidP="00401C67">
            <w:pPr>
              <w:widowControl w:val="0"/>
              <w:autoSpaceDE w:val="0"/>
              <w:autoSpaceDN w:val="0"/>
              <w:adjustRightInd w:val="0"/>
              <w:jc w:val="center"/>
            </w:pPr>
            <w:r w:rsidRPr="00037AD4">
              <w:t>0.1353</w:t>
            </w:r>
          </w:p>
        </w:tc>
        <w:tc>
          <w:tcPr>
            <w:tcW w:w="512" w:type="pct"/>
            <w:tcBorders>
              <w:top w:val="nil"/>
              <w:left w:val="nil"/>
              <w:bottom w:val="nil"/>
              <w:right w:val="nil"/>
            </w:tcBorders>
          </w:tcPr>
          <w:p w14:paraId="0551A299" w14:textId="77777777" w:rsidR="00B54D51" w:rsidRPr="00037AD4" w:rsidRDefault="00B54D51" w:rsidP="00401C67">
            <w:pPr>
              <w:widowControl w:val="0"/>
              <w:autoSpaceDE w:val="0"/>
              <w:autoSpaceDN w:val="0"/>
              <w:adjustRightInd w:val="0"/>
              <w:jc w:val="center"/>
            </w:pPr>
            <w:r w:rsidRPr="00037AD4">
              <w:t>0.1262</w:t>
            </w:r>
          </w:p>
        </w:tc>
      </w:tr>
      <w:tr w:rsidR="00B54D51" w:rsidRPr="00037AD4" w14:paraId="4136D193" w14:textId="77777777" w:rsidTr="00401C67">
        <w:tblPrEx>
          <w:tblBorders>
            <w:bottom w:val="single" w:sz="6" w:space="0" w:color="auto"/>
          </w:tblBorders>
        </w:tblPrEx>
        <w:trPr>
          <w:jc w:val="center"/>
        </w:trPr>
        <w:tc>
          <w:tcPr>
            <w:tcW w:w="1414" w:type="pct"/>
            <w:tcBorders>
              <w:top w:val="nil"/>
              <w:left w:val="nil"/>
              <w:bottom w:val="nil"/>
              <w:right w:val="nil"/>
            </w:tcBorders>
          </w:tcPr>
          <w:p w14:paraId="134D80F5" w14:textId="77777777" w:rsidR="00B54D51" w:rsidRPr="00037AD4" w:rsidRDefault="00B54D51" w:rsidP="00401C67">
            <w:pPr>
              <w:widowControl w:val="0"/>
              <w:autoSpaceDE w:val="0"/>
              <w:autoSpaceDN w:val="0"/>
              <w:adjustRightInd w:val="0"/>
            </w:pPr>
            <w:r w:rsidRPr="00037AD4">
              <w:t>AIC</w:t>
            </w:r>
          </w:p>
        </w:tc>
        <w:tc>
          <w:tcPr>
            <w:tcW w:w="512" w:type="pct"/>
            <w:tcBorders>
              <w:top w:val="nil"/>
              <w:left w:val="nil"/>
              <w:bottom w:val="nil"/>
              <w:right w:val="nil"/>
            </w:tcBorders>
          </w:tcPr>
          <w:p w14:paraId="1F58EE4E" w14:textId="77777777" w:rsidR="00B54D51" w:rsidRPr="00037AD4" w:rsidRDefault="00B54D51" w:rsidP="00401C67">
            <w:pPr>
              <w:widowControl w:val="0"/>
              <w:autoSpaceDE w:val="0"/>
              <w:autoSpaceDN w:val="0"/>
              <w:adjustRightInd w:val="0"/>
              <w:jc w:val="center"/>
            </w:pPr>
            <w:r w:rsidRPr="00037AD4">
              <w:t>2503.634</w:t>
            </w:r>
          </w:p>
        </w:tc>
        <w:tc>
          <w:tcPr>
            <w:tcW w:w="512" w:type="pct"/>
            <w:tcBorders>
              <w:top w:val="nil"/>
              <w:left w:val="nil"/>
              <w:bottom w:val="nil"/>
              <w:right w:val="nil"/>
            </w:tcBorders>
          </w:tcPr>
          <w:p w14:paraId="31BADBC3" w14:textId="77777777" w:rsidR="00B54D51" w:rsidRPr="00037AD4" w:rsidRDefault="00B54D51" w:rsidP="00401C67">
            <w:pPr>
              <w:widowControl w:val="0"/>
              <w:autoSpaceDE w:val="0"/>
              <w:autoSpaceDN w:val="0"/>
              <w:adjustRightInd w:val="0"/>
              <w:jc w:val="center"/>
            </w:pPr>
            <w:r w:rsidRPr="00037AD4">
              <w:t>2747.017</w:t>
            </w:r>
          </w:p>
        </w:tc>
        <w:tc>
          <w:tcPr>
            <w:tcW w:w="512" w:type="pct"/>
            <w:tcBorders>
              <w:top w:val="nil"/>
              <w:left w:val="nil"/>
              <w:bottom w:val="nil"/>
              <w:right w:val="nil"/>
            </w:tcBorders>
          </w:tcPr>
          <w:p w14:paraId="688D8EDF" w14:textId="77777777" w:rsidR="00B54D51" w:rsidRPr="00037AD4" w:rsidRDefault="00B54D51" w:rsidP="00401C67">
            <w:pPr>
              <w:widowControl w:val="0"/>
              <w:autoSpaceDE w:val="0"/>
              <w:autoSpaceDN w:val="0"/>
              <w:adjustRightInd w:val="0"/>
              <w:jc w:val="center"/>
            </w:pPr>
            <w:r w:rsidRPr="00037AD4">
              <w:t>2772.010</w:t>
            </w:r>
          </w:p>
        </w:tc>
        <w:tc>
          <w:tcPr>
            <w:tcW w:w="512" w:type="pct"/>
            <w:tcBorders>
              <w:top w:val="nil"/>
              <w:left w:val="nil"/>
              <w:bottom w:val="nil"/>
              <w:right w:val="nil"/>
            </w:tcBorders>
          </w:tcPr>
          <w:p w14:paraId="19AEE259" w14:textId="77777777" w:rsidR="00B54D51" w:rsidRPr="00037AD4" w:rsidRDefault="00B54D51" w:rsidP="00401C67">
            <w:pPr>
              <w:widowControl w:val="0"/>
              <w:autoSpaceDE w:val="0"/>
              <w:autoSpaceDN w:val="0"/>
              <w:adjustRightInd w:val="0"/>
              <w:jc w:val="center"/>
            </w:pPr>
            <w:r w:rsidRPr="00037AD4">
              <w:t>2771.197</w:t>
            </w:r>
          </w:p>
        </w:tc>
        <w:tc>
          <w:tcPr>
            <w:tcW w:w="513" w:type="pct"/>
            <w:tcBorders>
              <w:top w:val="nil"/>
              <w:left w:val="nil"/>
              <w:bottom w:val="nil"/>
              <w:right w:val="nil"/>
            </w:tcBorders>
          </w:tcPr>
          <w:p w14:paraId="652E21EF" w14:textId="77777777" w:rsidR="00B54D51" w:rsidRPr="00037AD4" w:rsidRDefault="00B54D51" w:rsidP="00401C67">
            <w:pPr>
              <w:widowControl w:val="0"/>
              <w:autoSpaceDE w:val="0"/>
              <w:autoSpaceDN w:val="0"/>
              <w:adjustRightInd w:val="0"/>
              <w:jc w:val="center"/>
            </w:pPr>
            <w:r w:rsidRPr="00037AD4">
              <w:t>2561.749</w:t>
            </w:r>
          </w:p>
        </w:tc>
        <w:tc>
          <w:tcPr>
            <w:tcW w:w="513" w:type="pct"/>
            <w:tcBorders>
              <w:top w:val="nil"/>
              <w:left w:val="nil"/>
              <w:bottom w:val="nil"/>
              <w:right w:val="nil"/>
            </w:tcBorders>
          </w:tcPr>
          <w:p w14:paraId="35D8B11B" w14:textId="77777777" w:rsidR="00B54D51" w:rsidRPr="00037AD4" w:rsidRDefault="00B54D51" w:rsidP="00401C67">
            <w:pPr>
              <w:widowControl w:val="0"/>
              <w:autoSpaceDE w:val="0"/>
              <w:autoSpaceDN w:val="0"/>
              <w:adjustRightInd w:val="0"/>
              <w:jc w:val="center"/>
            </w:pPr>
            <w:r w:rsidRPr="00037AD4">
              <w:t>2594.979</w:t>
            </w:r>
          </w:p>
        </w:tc>
        <w:tc>
          <w:tcPr>
            <w:tcW w:w="512" w:type="pct"/>
            <w:tcBorders>
              <w:top w:val="nil"/>
              <w:left w:val="nil"/>
              <w:bottom w:val="nil"/>
              <w:right w:val="nil"/>
            </w:tcBorders>
          </w:tcPr>
          <w:p w14:paraId="550F2622" w14:textId="77777777" w:rsidR="00B54D51" w:rsidRPr="00037AD4" w:rsidRDefault="00B54D51" w:rsidP="00401C67">
            <w:pPr>
              <w:widowControl w:val="0"/>
              <w:autoSpaceDE w:val="0"/>
              <w:autoSpaceDN w:val="0"/>
              <w:adjustRightInd w:val="0"/>
              <w:jc w:val="center"/>
            </w:pPr>
            <w:r w:rsidRPr="00037AD4">
              <w:t>2725.516</w:t>
            </w:r>
          </w:p>
        </w:tc>
      </w:tr>
      <w:tr w:rsidR="00B54D51" w:rsidRPr="00037AD4" w14:paraId="521B32EC" w14:textId="77777777" w:rsidTr="00401C67">
        <w:tblPrEx>
          <w:tblBorders>
            <w:bottom w:val="single" w:sz="6" w:space="0" w:color="auto"/>
          </w:tblBorders>
        </w:tblPrEx>
        <w:trPr>
          <w:jc w:val="center"/>
        </w:trPr>
        <w:tc>
          <w:tcPr>
            <w:tcW w:w="1414" w:type="pct"/>
            <w:tcBorders>
              <w:top w:val="nil"/>
              <w:left w:val="nil"/>
              <w:bottom w:val="nil"/>
              <w:right w:val="nil"/>
            </w:tcBorders>
          </w:tcPr>
          <w:p w14:paraId="6F12CB77" w14:textId="77777777" w:rsidR="00B54D51" w:rsidRPr="00037AD4" w:rsidRDefault="00B54D51" w:rsidP="00401C67">
            <w:pPr>
              <w:widowControl w:val="0"/>
              <w:autoSpaceDE w:val="0"/>
              <w:autoSpaceDN w:val="0"/>
              <w:adjustRightInd w:val="0"/>
            </w:pPr>
            <w:r w:rsidRPr="00037AD4">
              <w:t>BIC</w:t>
            </w:r>
          </w:p>
        </w:tc>
        <w:tc>
          <w:tcPr>
            <w:tcW w:w="512" w:type="pct"/>
            <w:tcBorders>
              <w:top w:val="nil"/>
              <w:left w:val="nil"/>
              <w:bottom w:val="nil"/>
              <w:right w:val="nil"/>
            </w:tcBorders>
          </w:tcPr>
          <w:p w14:paraId="3F1496FB" w14:textId="77777777" w:rsidR="00B54D51" w:rsidRPr="00037AD4" w:rsidRDefault="00B54D51" w:rsidP="00401C67">
            <w:pPr>
              <w:widowControl w:val="0"/>
              <w:autoSpaceDE w:val="0"/>
              <w:autoSpaceDN w:val="0"/>
              <w:adjustRightInd w:val="0"/>
              <w:jc w:val="center"/>
            </w:pPr>
            <w:r w:rsidRPr="00037AD4">
              <w:t>2692.995</w:t>
            </w:r>
          </w:p>
        </w:tc>
        <w:tc>
          <w:tcPr>
            <w:tcW w:w="512" w:type="pct"/>
            <w:tcBorders>
              <w:top w:val="nil"/>
              <w:left w:val="nil"/>
              <w:bottom w:val="nil"/>
              <w:right w:val="nil"/>
            </w:tcBorders>
          </w:tcPr>
          <w:p w14:paraId="13F0F3AD" w14:textId="77777777" w:rsidR="00B54D51" w:rsidRPr="00037AD4" w:rsidRDefault="00B54D51" w:rsidP="00401C67">
            <w:pPr>
              <w:widowControl w:val="0"/>
              <w:autoSpaceDE w:val="0"/>
              <w:autoSpaceDN w:val="0"/>
              <w:adjustRightInd w:val="0"/>
              <w:jc w:val="center"/>
            </w:pPr>
            <w:r w:rsidRPr="00037AD4">
              <w:t>2816.355</w:t>
            </w:r>
          </w:p>
        </w:tc>
        <w:tc>
          <w:tcPr>
            <w:tcW w:w="512" w:type="pct"/>
            <w:tcBorders>
              <w:top w:val="nil"/>
              <w:left w:val="nil"/>
              <w:bottom w:val="nil"/>
              <w:right w:val="nil"/>
            </w:tcBorders>
          </w:tcPr>
          <w:p w14:paraId="1DC0FB2F" w14:textId="77777777" w:rsidR="00B54D51" w:rsidRPr="00037AD4" w:rsidRDefault="00B54D51" w:rsidP="00401C67">
            <w:pPr>
              <w:widowControl w:val="0"/>
              <w:autoSpaceDE w:val="0"/>
              <w:autoSpaceDN w:val="0"/>
              <w:adjustRightInd w:val="0"/>
              <w:jc w:val="center"/>
            </w:pPr>
            <w:r w:rsidRPr="00037AD4">
              <w:t>2836.579</w:t>
            </w:r>
          </w:p>
        </w:tc>
        <w:tc>
          <w:tcPr>
            <w:tcW w:w="512" w:type="pct"/>
            <w:tcBorders>
              <w:top w:val="nil"/>
              <w:left w:val="nil"/>
              <w:bottom w:val="nil"/>
              <w:right w:val="nil"/>
            </w:tcBorders>
          </w:tcPr>
          <w:p w14:paraId="0F70EA8E" w14:textId="77777777" w:rsidR="00B54D51" w:rsidRPr="00037AD4" w:rsidRDefault="00B54D51" w:rsidP="00401C67">
            <w:pPr>
              <w:widowControl w:val="0"/>
              <w:autoSpaceDE w:val="0"/>
              <w:autoSpaceDN w:val="0"/>
              <w:adjustRightInd w:val="0"/>
              <w:jc w:val="center"/>
            </w:pPr>
            <w:r w:rsidRPr="00037AD4">
              <w:t>2892.744</w:t>
            </w:r>
          </w:p>
        </w:tc>
        <w:tc>
          <w:tcPr>
            <w:tcW w:w="513" w:type="pct"/>
            <w:tcBorders>
              <w:top w:val="nil"/>
              <w:left w:val="nil"/>
              <w:bottom w:val="nil"/>
              <w:right w:val="nil"/>
            </w:tcBorders>
          </w:tcPr>
          <w:p w14:paraId="79E31110" w14:textId="77777777" w:rsidR="00B54D51" w:rsidRPr="00037AD4" w:rsidRDefault="00B54D51" w:rsidP="00401C67">
            <w:pPr>
              <w:widowControl w:val="0"/>
              <w:autoSpaceDE w:val="0"/>
              <w:autoSpaceDN w:val="0"/>
              <w:adjustRightInd w:val="0"/>
              <w:jc w:val="center"/>
            </w:pPr>
            <w:r w:rsidRPr="00037AD4">
              <w:t>2630.082</w:t>
            </w:r>
          </w:p>
        </w:tc>
        <w:tc>
          <w:tcPr>
            <w:tcW w:w="513" w:type="pct"/>
            <w:tcBorders>
              <w:top w:val="nil"/>
              <w:left w:val="nil"/>
              <w:bottom w:val="nil"/>
              <w:right w:val="nil"/>
            </w:tcBorders>
          </w:tcPr>
          <w:p w14:paraId="17129DF5" w14:textId="77777777" w:rsidR="00B54D51" w:rsidRPr="00037AD4" w:rsidRDefault="00B54D51" w:rsidP="00401C67">
            <w:pPr>
              <w:widowControl w:val="0"/>
              <w:autoSpaceDE w:val="0"/>
              <w:autoSpaceDN w:val="0"/>
              <w:adjustRightInd w:val="0"/>
              <w:jc w:val="center"/>
            </w:pPr>
            <w:r w:rsidRPr="00037AD4">
              <w:t>2658.41</w:t>
            </w:r>
          </w:p>
        </w:tc>
        <w:tc>
          <w:tcPr>
            <w:tcW w:w="512" w:type="pct"/>
            <w:tcBorders>
              <w:top w:val="nil"/>
              <w:left w:val="nil"/>
              <w:bottom w:val="nil"/>
              <w:right w:val="nil"/>
            </w:tcBorders>
          </w:tcPr>
          <w:p w14:paraId="40427F52" w14:textId="77777777" w:rsidR="00B54D51" w:rsidRPr="00037AD4" w:rsidRDefault="00B54D51" w:rsidP="00401C67">
            <w:pPr>
              <w:widowControl w:val="0"/>
              <w:autoSpaceDE w:val="0"/>
              <w:autoSpaceDN w:val="0"/>
              <w:adjustRightInd w:val="0"/>
              <w:jc w:val="center"/>
            </w:pPr>
            <w:r w:rsidRPr="00037AD4">
              <w:t>2789.329</w:t>
            </w:r>
          </w:p>
        </w:tc>
      </w:tr>
      <w:tr w:rsidR="00B54D51" w:rsidRPr="00037AD4" w14:paraId="39CB1B79" w14:textId="77777777" w:rsidTr="00401C67">
        <w:tblPrEx>
          <w:tblBorders>
            <w:bottom w:val="single" w:sz="6" w:space="0" w:color="auto"/>
          </w:tblBorders>
        </w:tblPrEx>
        <w:trPr>
          <w:jc w:val="center"/>
        </w:trPr>
        <w:tc>
          <w:tcPr>
            <w:tcW w:w="1414" w:type="pct"/>
            <w:tcBorders>
              <w:top w:val="nil"/>
              <w:left w:val="nil"/>
              <w:bottom w:val="single" w:sz="6" w:space="0" w:color="auto"/>
              <w:right w:val="nil"/>
            </w:tcBorders>
          </w:tcPr>
          <w:p w14:paraId="787D622B" w14:textId="77777777" w:rsidR="00B54D51" w:rsidRPr="00037AD4" w:rsidRDefault="00B54D51" w:rsidP="00401C67">
            <w:pPr>
              <w:widowControl w:val="0"/>
              <w:autoSpaceDE w:val="0"/>
              <w:autoSpaceDN w:val="0"/>
              <w:adjustRightInd w:val="0"/>
            </w:pPr>
            <w:r w:rsidRPr="00037AD4">
              <w:t>Log likelihood (model)</w:t>
            </w:r>
          </w:p>
        </w:tc>
        <w:tc>
          <w:tcPr>
            <w:tcW w:w="512" w:type="pct"/>
            <w:tcBorders>
              <w:top w:val="nil"/>
              <w:left w:val="nil"/>
              <w:bottom w:val="single" w:sz="6" w:space="0" w:color="auto"/>
              <w:right w:val="nil"/>
            </w:tcBorders>
          </w:tcPr>
          <w:p w14:paraId="7D2C1509" w14:textId="77777777" w:rsidR="00B54D51" w:rsidRPr="00037AD4" w:rsidRDefault="00B54D51" w:rsidP="00401C67">
            <w:pPr>
              <w:widowControl w:val="0"/>
              <w:autoSpaceDE w:val="0"/>
              <w:autoSpaceDN w:val="0"/>
              <w:adjustRightInd w:val="0"/>
              <w:jc w:val="center"/>
            </w:pPr>
            <w:r w:rsidRPr="00037AD4">
              <w:t>-1212.817</w:t>
            </w:r>
          </w:p>
        </w:tc>
        <w:tc>
          <w:tcPr>
            <w:tcW w:w="512" w:type="pct"/>
            <w:tcBorders>
              <w:top w:val="nil"/>
              <w:left w:val="nil"/>
              <w:bottom w:val="single" w:sz="6" w:space="0" w:color="auto"/>
              <w:right w:val="nil"/>
            </w:tcBorders>
          </w:tcPr>
          <w:p w14:paraId="1F2FFF92" w14:textId="77777777" w:rsidR="00B54D51" w:rsidRPr="00037AD4" w:rsidRDefault="00B54D51" w:rsidP="00401C67">
            <w:pPr>
              <w:widowControl w:val="0"/>
              <w:autoSpaceDE w:val="0"/>
              <w:autoSpaceDN w:val="0"/>
              <w:adjustRightInd w:val="0"/>
              <w:jc w:val="center"/>
            </w:pPr>
            <w:r w:rsidRPr="00037AD4">
              <w:t>-1359.509</w:t>
            </w:r>
          </w:p>
        </w:tc>
        <w:tc>
          <w:tcPr>
            <w:tcW w:w="512" w:type="pct"/>
            <w:tcBorders>
              <w:top w:val="nil"/>
              <w:left w:val="nil"/>
              <w:bottom w:val="single" w:sz="6" w:space="0" w:color="auto"/>
              <w:right w:val="nil"/>
            </w:tcBorders>
          </w:tcPr>
          <w:p w14:paraId="0F6C3CEA" w14:textId="77777777" w:rsidR="00B54D51" w:rsidRPr="00037AD4" w:rsidRDefault="00B54D51" w:rsidP="00401C67">
            <w:pPr>
              <w:widowControl w:val="0"/>
              <w:autoSpaceDE w:val="0"/>
              <w:autoSpaceDN w:val="0"/>
              <w:adjustRightInd w:val="0"/>
              <w:jc w:val="center"/>
            </w:pPr>
            <w:r w:rsidRPr="00037AD4">
              <w:t>-1373.005</w:t>
            </w:r>
          </w:p>
        </w:tc>
        <w:tc>
          <w:tcPr>
            <w:tcW w:w="512" w:type="pct"/>
            <w:tcBorders>
              <w:top w:val="nil"/>
              <w:left w:val="nil"/>
              <w:bottom w:val="single" w:sz="6" w:space="0" w:color="auto"/>
              <w:right w:val="nil"/>
            </w:tcBorders>
          </w:tcPr>
          <w:p w14:paraId="46698B50" w14:textId="77777777" w:rsidR="00B54D51" w:rsidRPr="00037AD4" w:rsidRDefault="00B54D51" w:rsidP="00401C67">
            <w:pPr>
              <w:widowControl w:val="0"/>
              <w:autoSpaceDE w:val="0"/>
              <w:autoSpaceDN w:val="0"/>
              <w:adjustRightInd w:val="0"/>
              <w:jc w:val="center"/>
            </w:pPr>
            <w:r w:rsidRPr="00037AD4">
              <w:t>-1373.009</w:t>
            </w:r>
          </w:p>
        </w:tc>
        <w:tc>
          <w:tcPr>
            <w:tcW w:w="513" w:type="pct"/>
            <w:tcBorders>
              <w:top w:val="nil"/>
              <w:left w:val="nil"/>
              <w:bottom w:val="single" w:sz="6" w:space="0" w:color="auto"/>
              <w:right w:val="nil"/>
            </w:tcBorders>
          </w:tcPr>
          <w:p w14:paraId="5A125FA4" w14:textId="77777777" w:rsidR="00B54D51" w:rsidRPr="00037AD4" w:rsidRDefault="00B54D51" w:rsidP="00401C67">
            <w:pPr>
              <w:widowControl w:val="0"/>
              <w:autoSpaceDE w:val="0"/>
              <w:autoSpaceDN w:val="0"/>
              <w:adjustRightInd w:val="0"/>
              <w:jc w:val="center"/>
            </w:pPr>
            <w:r w:rsidRPr="00037AD4">
              <w:t>-1266.875</w:t>
            </w:r>
          </w:p>
        </w:tc>
        <w:tc>
          <w:tcPr>
            <w:tcW w:w="513" w:type="pct"/>
            <w:tcBorders>
              <w:top w:val="nil"/>
              <w:left w:val="nil"/>
              <w:bottom w:val="single" w:sz="6" w:space="0" w:color="auto"/>
              <w:right w:val="nil"/>
            </w:tcBorders>
          </w:tcPr>
          <w:p w14:paraId="0DEBFFC8" w14:textId="77777777" w:rsidR="00B54D51" w:rsidRPr="00037AD4" w:rsidRDefault="00B54D51" w:rsidP="00401C67">
            <w:pPr>
              <w:widowControl w:val="0"/>
              <w:autoSpaceDE w:val="0"/>
              <w:autoSpaceDN w:val="0"/>
              <w:adjustRightInd w:val="0"/>
              <w:jc w:val="center"/>
            </w:pPr>
            <w:r w:rsidRPr="00037AD4">
              <w:t>-1248.489</w:t>
            </w:r>
          </w:p>
        </w:tc>
        <w:tc>
          <w:tcPr>
            <w:tcW w:w="512" w:type="pct"/>
            <w:tcBorders>
              <w:top w:val="nil"/>
              <w:left w:val="nil"/>
              <w:bottom w:val="single" w:sz="6" w:space="0" w:color="auto"/>
              <w:right w:val="nil"/>
            </w:tcBorders>
          </w:tcPr>
          <w:p w14:paraId="31C05008" w14:textId="77777777" w:rsidR="00B54D51" w:rsidRPr="00037AD4" w:rsidRDefault="00B54D51" w:rsidP="00401C67">
            <w:pPr>
              <w:widowControl w:val="0"/>
              <w:autoSpaceDE w:val="0"/>
              <w:autoSpaceDN w:val="0"/>
              <w:adjustRightInd w:val="0"/>
              <w:jc w:val="center"/>
            </w:pPr>
            <w:r w:rsidRPr="00037AD4">
              <w:t>-1349.758</w:t>
            </w:r>
          </w:p>
        </w:tc>
      </w:tr>
    </w:tbl>
    <w:p w14:paraId="3FE9BF42" w14:textId="77777777" w:rsidR="00B54D51" w:rsidRPr="00037AD4" w:rsidRDefault="00B54D51" w:rsidP="001D7ACE">
      <w:pPr>
        <w:widowControl w:val="0"/>
        <w:autoSpaceDE w:val="0"/>
        <w:autoSpaceDN w:val="0"/>
        <w:adjustRightInd w:val="0"/>
        <w:jc w:val="center"/>
      </w:pPr>
      <w:r w:rsidRPr="00037AD4">
        <w:t>Robust ci in parentheses</w:t>
      </w:r>
    </w:p>
    <w:p w14:paraId="055B19B4" w14:textId="77777777" w:rsidR="00B54D51" w:rsidRPr="00037AD4" w:rsidRDefault="00B54D51" w:rsidP="001D7ACE">
      <w:pPr>
        <w:widowControl w:val="0"/>
        <w:autoSpaceDE w:val="0"/>
        <w:autoSpaceDN w:val="0"/>
        <w:adjustRightInd w:val="0"/>
        <w:jc w:val="center"/>
      </w:pPr>
      <w:r w:rsidRPr="00037AD4">
        <w:t>*** p&lt;0.01, ** p&lt;0.05, * p&lt;0.1</w:t>
      </w:r>
    </w:p>
    <w:p w14:paraId="12F5AFE3" w14:textId="77777777" w:rsidR="00B54D51" w:rsidRPr="00037AD4" w:rsidRDefault="00B54D51" w:rsidP="001D7ACE">
      <w:pPr>
        <w:rPr>
          <w:color w:val="FF0000"/>
          <w:u w:val="single"/>
        </w:rPr>
      </w:pPr>
    </w:p>
    <w:p w14:paraId="7669525B" w14:textId="77777777" w:rsidR="00B54D51" w:rsidRPr="00037AD4" w:rsidRDefault="00B54D51" w:rsidP="001D7ACE">
      <w:pPr>
        <w:rPr>
          <w:color w:val="FF0000"/>
          <w:u w:val="single"/>
        </w:rPr>
      </w:pPr>
    </w:p>
    <w:p w14:paraId="4189646B" w14:textId="77777777" w:rsidR="00B54D51" w:rsidRPr="00037AD4" w:rsidRDefault="00B54D51" w:rsidP="001D7ACE">
      <w:pPr>
        <w:rPr>
          <w:rFonts w:asciiTheme="minorHAnsi" w:hAnsiTheme="minorHAnsi" w:cstheme="minorHAnsi"/>
          <w:color w:val="000000" w:themeColor="text1"/>
          <w:u w:val="single"/>
        </w:rPr>
      </w:pPr>
      <w:r w:rsidRPr="00037AD4">
        <w:rPr>
          <w:rFonts w:asciiTheme="minorHAnsi" w:hAnsiTheme="minorHAnsi" w:cstheme="minorHAnsi"/>
          <w:color w:val="000000" w:themeColor="text1"/>
          <w:u w:val="single"/>
        </w:rPr>
        <w:t xml:space="preserve">Table A6.2h, “Usual activities” dimension model iterations: EPIC </w:t>
      </w:r>
    </w:p>
    <w:p w14:paraId="4EDE4459" w14:textId="77777777" w:rsidR="00B54D51" w:rsidRPr="00037AD4" w:rsidRDefault="00B54D51" w:rsidP="001D7ACE">
      <w:pPr>
        <w:rPr>
          <w:color w:val="FF0000"/>
          <w:u w:val="single"/>
        </w:rPr>
      </w:pPr>
    </w:p>
    <w:tbl>
      <w:tblPr>
        <w:tblW w:w="5000" w:type="pct"/>
        <w:jc w:val="center"/>
        <w:tblCellMar>
          <w:left w:w="75" w:type="dxa"/>
          <w:right w:w="75" w:type="dxa"/>
        </w:tblCellMar>
        <w:tblLook w:val="0000" w:firstRow="0" w:lastRow="0" w:firstColumn="0" w:lastColumn="0" w:noHBand="0" w:noVBand="0"/>
      </w:tblPr>
      <w:tblGrid>
        <w:gridCol w:w="1764"/>
        <w:gridCol w:w="1844"/>
        <w:gridCol w:w="1844"/>
        <w:gridCol w:w="1844"/>
        <w:gridCol w:w="1730"/>
      </w:tblGrid>
      <w:tr w:rsidR="00B54D51" w:rsidRPr="00037AD4" w14:paraId="614BBC00" w14:textId="77777777" w:rsidTr="00401C67">
        <w:trPr>
          <w:jc w:val="center"/>
        </w:trPr>
        <w:tc>
          <w:tcPr>
            <w:tcW w:w="891" w:type="pct"/>
            <w:tcBorders>
              <w:top w:val="single" w:sz="6" w:space="0" w:color="auto"/>
              <w:left w:val="nil"/>
              <w:bottom w:val="nil"/>
              <w:right w:val="nil"/>
            </w:tcBorders>
          </w:tcPr>
          <w:p w14:paraId="3FF0DE41" w14:textId="77777777" w:rsidR="00B54D51" w:rsidRPr="00037AD4" w:rsidRDefault="00B54D51" w:rsidP="00401C67">
            <w:pPr>
              <w:widowControl w:val="0"/>
              <w:autoSpaceDE w:val="0"/>
              <w:autoSpaceDN w:val="0"/>
              <w:adjustRightInd w:val="0"/>
            </w:pPr>
          </w:p>
        </w:tc>
        <w:tc>
          <w:tcPr>
            <w:tcW w:w="1043" w:type="pct"/>
            <w:tcBorders>
              <w:top w:val="single" w:sz="6" w:space="0" w:color="auto"/>
              <w:left w:val="nil"/>
              <w:bottom w:val="nil"/>
              <w:right w:val="nil"/>
            </w:tcBorders>
          </w:tcPr>
          <w:p w14:paraId="168B27E0" w14:textId="77777777" w:rsidR="00B54D51" w:rsidRPr="00037AD4" w:rsidRDefault="00B54D51" w:rsidP="00401C67">
            <w:pPr>
              <w:widowControl w:val="0"/>
              <w:autoSpaceDE w:val="0"/>
              <w:autoSpaceDN w:val="0"/>
              <w:adjustRightInd w:val="0"/>
              <w:jc w:val="center"/>
            </w:pPr>
            <w:r w:rsidRPr="00037AD4">
              <w:t>(1)</w:t>
            </w:r>
          </w:p>
        </w:tc>
        <w:tc>
          <w:tcPr>
            <w:tcW w:w="1043" w:type="pct"/>
            <w:tcBorders>
              <w:top w:val="single" w:sz="6" w:space="0" w:color="auto"/>
              <w:left w:val="nil"/>
              <w:bottom w:val="nil"/>
              <w:right w:val="nil"/>
            </w:tcBorders>
          </w:tcPr>
          <w:p w14:paraId="7385820E" w14:textId="77777777" w:rsidR="00B54D51" w:rsidRPr="00037AD4" w:rsidRDefault="00B54D51" w:rsidP="00401C67">
            <w:pPr>
              <w:widowControl w:val="0"/>
              <w:autoSpaceDE w:val="0"/>
              <w:autoSpaceDN w:val="0"/>
              <w:adjustRightInd w:val="0"/>
              <w:jc w:val="center"/>
            </w:pPr>
            <w:r w:rsidRPr="00037AD4">
              <w:t>(2)</w:t>
            </w:r>
          </w:p>
        </w:tc>
        <w:tc>
          <w:tcPr>
            <w:tcW w:w="1043" w:type="pct"/>
            <w:tcBorders>
              <w:top w:val="single" w:sz="6" w:space="0" w:color="auto"/>
              <w:left w:val="nil"/>
              <w:bottom w:val="nil"/>
              <w:right w:val="nil"/>
            </w:tcBorders>
          </w:tcPr>
          <w:p w14:paraId="63DB5070" w14:textId="77777777" w:rsidR="00B54D51" w:rsidRPr="00037AD4" w:rsidRDefault="00B54D51" w:rsidP="00401C67">
            <w:pPr>
              <w:widowControl w:val="0"/>
              <w:autoSpaceDE w:val="0"/>
              <w:autoSpaceDN w:val="0"/>
              <w:adjustRightInd w:val="0"/>
              <w:jc w:val="center"/>
            </w:pPr>
            <w:r w:rsidRPr="00037AD4">
              <w:t>(3)</w:t>
            </w:r>
          </w:p>
        </w:tc>
        <w:tc>
          <w:tcPr>
            <w:tcW w:w="981" w:type="pct"/>
            <w:tcBorders>
              <w:top w:val="single" w:sz="6" w:space="0" w:color="auto"/>
              <w:left w:val="nil"/>
              <w:bottom w:val="nil"/>
              <w:right w:val="nil"/>
            </w:tcBorders>
          </w:tcPr>
          <w:p w14:paraId="6FA9D48B" w14:textId="77777777" w:rsidR="00B54D51" w:rsidRPr="00037AD4" w:rsidRDefault="00B54D51" w:rsidP="00401C67">
            <w:pPr>
              <w:widowControl w:val="0"/>
              <w:autoSpaceDE w:val="0"/>
              <w:autoSpaceDN w:val="0"/>
              <w:adjustRightInd w:val="0"/>
              <w:jc w:val="center"/>
            </w:pPr>
            <w:r w:rsidRPr="00037AD4">
              <w:t>(4)</w:t>
            </w:r>
          </w:p>
        </w:tc>
      </w:tr>
      <w:tr w:rsidR="00B54D51" w:rsidRPr="00037AD4" w14:paraId="61402691" w14:textId="77777777" w:rsidTr="00401C67">
        <w:trPr>
          <w:jc w:val="center"/>
        </w:trPr>
        <w:tc>
          <w:tcPr>
            <w:tcW w:w="891" w:type="pct"/>
            <w:tcBorders>
              <w:top w:val="nil"/>
              <w:left w:val="nil"/>
              <w:bottom w:val="single" w:sz="6" w:space="0" w:color="auto"/>
              <w:right w:val="nil"/>
            </w:tcBorders>
          </w:tcPr>
          <w:p w14:paraId="31782E3B" w14:textId="77777777" w:rsidR="00B54D51" w:rsidRPr="00037AD4" w:rsidRDefault="00B54D51" w:rsidP="00401C67">
            <w:pPr>
              <w:widowControl w:val="0"/>
              <w:autoSpaceDE w:val="0"/>
              <w:autoSpaceDN w:val="0"/>
              <w:adjustRightInd w:val="0"/>
            </w:pPr>
            <w:r w:rsidRPr="00037AD4">
              <w:t>VARIABLES</w:t>
            </w:r>
          </w:p>
        </w:tc>
        <w:tc>
          <w:tcPr>
            <w:tcW w:w="1043" w:type="pct"/>
            <w:tcBorders>
              <w:top w:val="nil"/>
              <w:left w:val="nil"/>
              <w:bottom w:val="single" w:sz="6" w:space="0" w:color="auto"/>
              <w:right w:val="nil"/>
            </w:tcBorders>
          </w:tcPr>
          <w:p w14:paraId="6A926C4A" w14:textId="77777777" w:rsidR="00B54D51" w:rsidRPr="00037AD4" w:rsidRDefault="00B54D51" w:rsidP="00401C67">
            <w:pPr>
              <w:widowControl w:val="0"/>
              <w:autoSpaceDE w:val="0"/>
              <w:autoSpaceDN w:val="0"/>
              <w:adjustRightInd w:val="0"/>
              <w:jc w:val="center"/>
            </w:pPr>
            <w:r w:rsidRPr="00037AD4">
              <w:t>Model 1</w:t>
            </w:r>
          </w:p>
        </w:tc>
        <w:tc>
          <w:tcPr>
            <w:tcW w:w="1043" w:type="pct"/>
            <w:tcBorders>
              <w:top w:val="nil"/>
              <w:left w:val="nil"/>
              <w:bottom w:val="single" w:sz="6" w:space="0" w:color="auto"/>
              <w:right w:val="nil"/>
            </w:tcBorders>
          </w:tcPr>
          <w:p w14:paraId="0E515171" w14:textId="77777777" w:rsidR="00B54D51" w:rsidRPr="00037AD4" w:rsidRDefault="00B54D51" w:rsidP="00401C67">
            <w:pPr>
              <w:widowControl w:val="0"/>
              <w:autoSpaceDE w:val="0"/>
              <w:autoSpaceDN w:val="0"/>
              <w:adjustRightInd w:val="0"/>
              <w:jc w:val="center"/>
            </w:pPr>
            <w:r w:rsidRPr="00037AD4">
              <w:t>Model 2</w:t>
            </w:r>
          </w:p>
        </w:tc>
        <w:tc>
          <w:tcPr>
            <w:tcW w:w="1043" w:type="pct"/>
            <w:tcBorders>
              <w:top w:val="nil"/>
              <w:left w:val="nil"/>
              <w:bottom w:val="single" w:sz="6" w:space="0" w:color="auto"/>
              <w:right w:val="nil"/>
            </w:tcBorders>
          </w:tcPr>
          <w:p w14:paraId="60AE0782" w14:textId="77777777" w:rsidR="00B54D51" w:rsidRPr="00037AD4" w:rsidRDefault="00B54D51" w:rsidP="00401C67">
            <w:pPr>
              <w:widowControl w:val="0"/>
              <w:autoSpaceDE w:val="0"/>
              <w:autoSpaceDN w:val="0"/>
              <w:adjustRightInd w:val="0"/>
              <w:jc w:val="center"/>
            </w:pPr>
            <w:r w:rsidRPr="00037AD4">
              <w:t>Model 3</w:t>
            </w:r>
          </w:p>
        </w:tc>
        <w:tc>
          <w:tcPr>
            <w:tcW w:w="981" w:type="pct"/>
            <w:tcBorders>
              <w:top w:val="nil"/>
              <w:left w:val="nil"/>
              <w:bottom w:val="single" w:sz="6" w:space="0" w:color="auto"/>
              <w:right w:val="nil"/>
            </w:tcBorders>
          </w:tcPr>
          <w:p w14:paraId="0F62ED8E" w14:textId="77777777" w:rsidR="00B54D51" w:rsidRPr="00037AD4" w:rsidRDefault="00B54D51" w:rsidP="00401C67">
            <w:pPr>
              <w:widowControl w:val="0"/>
              <w:autoSpaceDE w:val="0"/>
              <w:autoSpaceDN w:val="0"/>
              <w:adjustRightInd w:val="0"/>
              <w:jc w:val="center"/>
            </w:pPr>
            <w:r w:rsidRPr="00037AD4">
              <w:t>Model 4</w:t>
            </w:r>
          </w:p>
        </w:tc>
      </w:tr>
      <w:tr w:rsidR="00B54D51" w:rsidRPr="00037AD4" w14:paraId="28B763F6" w14:textId="77777777" w:rsidTr="00401C67">
        <w:trPr>
          <w:jc w:val="center"/>
        </w:trPr>
        <w:tc>
          <w:tcPr>
            <w:tcW w:w="891" w:type="pct"/>
            <w:tcBorders>
              <w:top w:val="nil"/>
              <w:left w:val="nil"/>
              <w:bottom w:val="nil"/>
              <w:right w:val="nil"/>
            </w:tcBorders>
          </w:tcPr>
          <w:p w14:paraId="75147B8A" w14:textId="77777777" w:rsidR="00B54D51" w:rsidRPr="00037AD4" w:rsidRDefault="00B54D51" w:rsidP="00401C67">
            <w:pPr>
              <w:widowControl w:val="0"/>
              <w:autoSpaceDE w:val="0"/>
              <w:autoSpaceDN w:val="0"/>
              <w:adjustRightInd w:val="0"/>
            </w:pPr>
          </w:p>
        </w:tc>
        <w:tc>
          <w:tcPr>
            <w:tcW w:w="1043" w:type="pct"/>
            <w:tcBorders>
              <w:top w:val="nil"/>
              <w:left w:val="nil"/>
              <w:bottom w:val="nil"/>
              <w:right w:val="nil"/>
            </w:tcBorders>
          </w:tcPr>
          <w:p w14:paraId="2DD4486E" w14:textId="77777777" w:rsidR="00B54D51" w:rsidRPr="00037AD4" w:rsidRDefault="00B54D51" w:rsidP="00401C67">
            <w:pPr>
              <w:widowControl w:val="0"/>
              <w:autoSpaceDE w:val="0"/>
              <w:autoSpaceDN w:val="0"/>
              <w:adjustRightInd w:val="0"/>
              <w:jc w:val="center"/>
            </w:pPr>
          </w:p>
        </w:tc>
        <w:tc>
          <w:tcPr>
            <w:tcW w:w="1043" w:type="pct"/>
            <w:tcBorders>
              <w:top w:val="nil"/>
              <w:left w:val="nil"/>
              <w:bottom w:val="nil"/>
              <w:right w:val="nil"/>
            </w:tcBorders>
          </w:tcPr>
          <w:p w14:paraId="43EB81FF" w14:textId="77777777" w:rsidR="00B54D51" w:rsidRPr="00037AD4" w:rsidRDefault="00B54D51" w:rsidP="00401C67">
            <w:pPr>
              <w:widowControl w:val="0"/>
              <w:autoSpaceDE w:val="0"/>
              <w:autoSpaceDN w:val="0"/>
              <w:adjustRightInd w:val="0"/>
              <w:jc w:val="center"/>
            </w:pPr>
          </w:p>
        </w:tc>
        <w:tc>
          <w:tcPr>
            <w:tcW w:w="1043" w:type="pct"/>
            <w:tcBorders>
              <w:top w:val="nil"/>
              <w:left w:val="nil"/>
              <w:bottom w:val="nil"/>
              <w:right w:val="nil"/>
            </w:tcBorders>
          </w:tcPr>
          <w:p w14:paraId="3CE6EBE7" w14:textId="77777777" w:rsidR="00B54D51" w:rsidRPr="00037AD4" w:rsidRDefault="00B54D51" w:rsidP="00401C67">
            <w:pPr>
              <w:widowControl w:val="0"/>
              <w:autoSpaceDE w:val="0"/>
              <w:autoSpaceDN w:val="0"/>
              <w:adjustRightInd w:val="0"/>
              <w:jc w:val="center"/>
            </w:pPr>
          </w:p>
        </w:tc>
        <w:tc>
          <w:tcPr>
            <w:tcW w:w="981" w:type="pct"/>
            <w:tcBorders>
              <w:top w:val="nil"/>
              <w:left w:val="nil"/>
              <w:bottom w:val="nil"/>
              <w:right w:val="nil"/>
            </w:tcBorders>
          </w:tcPr>
          <w:p w14:paraId="01F4D5B6" w14:textId="77777777" w:rsidR="00B54D51" w:rsidRPr="00037AD4" w:rsidRDefault="00B54D51" w:rsidP="00401C67">
            <w:pPr>
              <w:widowControl w:val="0"/>
              <w:autoSpaceDE w:val="0"/>
              <w:autoSpaceDN w:val="0"/>
              <w:adjustRightInd w:val="0"/>
              <w:jc w:val="center"/>
            </w:pPr>
          </w:p>
        </w:tc>
      </w:tr>
      <w:tr w:rsidR="00B54D51" w:rsidRPr="00037AD4" w14:paraId="5C527AD4" w14:textId="77777777" w:rsidTr="00401C67">
        <w:trPr>
          <w:jc w:val="center"/>
        </w:trPr>
        <w:tc>
          <w:tcPr>
            <w:tcW w:w="891" w:type="pct"/>
            <w:tcBorders>
              <w:top w:val="nil"/>
              <w:left w:val="nil"/>
              <w:bottom w:val="nil"/>
              <w:right w:val="nil"/>
            </w:tcBorders>
          </w:tcPr>
          <w:p w14:paraId="1E829ABB" w14:textId="77777777" w:rsidR="00B54D51" w:rsidRPr="00037AD4" w:rsidRDefault="00B54D51" w:rsidP="00401C67">
            <w:pPr>
              <w:widowControl w:val="0"/>
              <w:autoSpaceDE w:val="0"/>
              <w:autoSpaceDN w:val="0"/>
              <w:adjustRightInd w:val="0"/>
            </w:pPr>
            <w:r w:rsidRPr="00037AD4">
              <w:t>2.eq3SR_</w:t>
            </w:r>
          </w:p>
        </w:tc>
        <w:tc>
          <w:tcPr>
            <w:tcW w:w="1043" w:type="pct"/>
            <w:tcBorders>
              <w:top w:val="nil"/>
              <w:left w:val="nil"/>
              <w:bottom w:val="nil"/>
              <w:right w:val="nil"/>
            </w:tcBorders>
          </w:tcPr>
          <w:p w14:paraId="1376B18E" w14:textId="77777777" w:rsidR="00B54D51" w:rsidRPr="00037AD4" w:rsidRDefault="00B54D51" w:rsidP="00401C67">
            <w:pPr>
              <w:widowControl w:val="0"/>
              <w:autoSpaceDE w:val="0"/>
              <w:autoSpaceDN w:val="0"/>
              <w:adjustRightInd w:val="0"/>
              <w:jc w:val="center"/>
            </w:pPr>
            <w:r w:rsidRPr="00037AD4">
              <w:t>0.300**</w:t>
            </w:r>
          </w:p>
        </w:tc>
        <w:tc>
          <w:tcPr>
            <w:tcW w:w="1043" w:type="pct"/>
            <w:tcBorders>
              <w:top w:val="nil"/>
              <w:left w:val="nil"/>
              <w:bottom w:val="nil"/>
              <w:right w:val="nil"/>
            </w:tcBorders>
          </w:tcPr>
          <w:p w14:paraId="4B866236" w14:textId="77777777" w:rsidR="00B54D51" w:rsidRPr="00037AD4" w:rsidRDefault="00B54D51" w:rsidP="00401C67">
            <w:pPr>
              <w:widowControl w:val="0"/>
              <w:autoSpaceDE w:val="0"/>
              <w:autoSpaceDN w:val="0"/>
              <w:adjustRightInd w:val="0"/>
              <w:jc w:val="center"/>
            </w:pPr>
            <w:r w:rsidRPr="00037AD4">
              <w:t>0.278**</w:t>
            </w:r>
          </w:p>
        </w:tc>
        <w:tc>
          <w:tcPr>
            <w:tcW w:w="1043" w:type="pct"/>
            <w:tcBorders>
              <w:top w:val="nil"/>
              <w:left w:val="nil"/>
              <w:bottom w:val="nil"/>
              <w:right w:val="nil"/>
            </w:tcBorders>
          </w:tcPr>
          <w:p w14:paraId="7D729259" w14:textId="77777777" w:rsidR="00B54D51" w:rsidRPr="00037AD4" w:rsidRDefault="00B54D51" w:rsidP="00401C67">
            <w:pPr>
              <w:widowControl w:val="0"/>
              <w:autoSpaceDE w:val="0"/>
              <w:autoSpaceDN w:val="0"/>
              <w:adjustRightInd w:val="0"/>
              <w:jc w:val="center"/>
            </w:pPr>
            <w:r w:rsidRPr="00037AD4">
              <w:t>0.277**</w:t>
            </w:r>
          </w:p>
        </w:tc>
        <w:tc>
          <w:tcPr>
            <w:tcW w:w="981" w:type="pct"/>
            <w:tcBorders>
              <w:top w:val="nil"/>
              <w:left w:val="nil"/>
              <w:bottom w:val="nil"/>
              <w:right w:val="nil"/>
            </w:tcBorders>
          </w:tcPr>
          <w:p w14:paraId="2F654D47" w14:textId="77777777" w:rsidR="00B54D51" w:rsidRPr="00037AD4" w:rsidRDefault="00B54D51" w:rsidP="00401C67">
            <w:pPr>
              <w:widowControl w:val="0"/>
              <w:autoSpaceDE w:val="0"/>
              <w:autoSpaceDN w:val="0"/>
              <w:adjustRightInd w:val="0"/>
              <w:jc w:val="center"/>
            </w:pPr>
            <w:r w:rsidRPr="00037AD4">
              <w:t>0.266**</w:t>
            </w:r>
          </w:p>
        </w:tc>
      </w:tr>
      <w:tr w:rsidR="00B54D51" w:rsidRPr="00037AD4" w14:paraId="58B182E6" w14:textId="77777777" w:rsidTr="00401C67">
        <w:trPr>
          <w:jc w:val="center"/>
        </w:trPr>
        <w:tc>
          <w:tcPr>
            <w:tcW w:w="891" w:type="pct"/>
            <w:tcBorders>
              <w:top w:val="nil"/>
              <w:left w:val="nil"/>
              <w:bottom w:val="nil"/>
              <w:right w:val="nil"/>
            </w:tcBorders>
          </w:tcPr>
          <w:p w14:paraId="633EEF48" w14:textId="77777777" w:rsidR="00B54D51" w:rsidRPr="00037AD4" w:rsidRDefault="00B54D51" w:rsidP="00401C67">
            <w:pPr>
              <w:widowControl w:val="0"/>
              <w:autoSpaceDE w:val="0"/>
              <w:autoSpaceDN w:val="0"/>
              <w:adjustRightInd w:val="0"/>
            </w:pPr>
          </w:p>
        </w:tc>
        <w:tc>
          <w:tcPr>
            <w:tcW w:w="1043" w:type="pct"/>
            <w:tcBorders>
              <w:top w:val="nil"/>
              <w:left w:val="nil"/>
              <w:bottom w:val="nil"/>
              <w:right w:val="nil"/>
            </w:tcBorders>
          </w:tcPr>
          <w:p w14:paraId="006E75F3" w14:textId="77777777" w:rsidR="00B54D51" w:rsidRPr="00037AD4" w:rsidRDefault="00B54D51" w:rsidP="00401C67">
            <w:pPr>
              <w:widowControl w:val="0"/>
              <w:autoSpaceDE w:val="0"/>
              <w:autoSpaceDN w:val="0"/>
              <w:adjustRightInd w:val="0"/>
              <w:jc w:val="center"/>
            </w:pPr>
            <w:r w:rsidRPr="00037AD4">
              <w:t>(0.016 - 0.584)</w:t>
            </w:r>
          </w:p>
        </w:tc>
        <w:tc>
          <w:tcPr>
            <w:tcW w:w="1043" w:type="pct"/>
            <w:tcBorders>
              <w:top w:val="nil"/>
              <w:left w:val="nil"/>
              <w:bottom w:val="nil"/>
              <w:right w:val="nil"/>
            </w:tcBorders>
          </w:tcPr>
          <w:p w14:paraId="28AFA81F" w14:textId="77777777" w:rsidR="00B54D51" w:rsidRPr="00037AD4" w:rsidRDefault="00B54D51" w:rsidP="00401C67">
            <w:pPr>
              <w:widowControl w:val="0"/>
              <w:autoSpaceDE w:val="0"/>
              <w:autoSpaceDN w:val="0"/>
              <w:adjustRightInd w:val="0"/>
              <w:jc w:val="center"/>
            </w:pPr>
            <w:r w:rsidRPr="00037AD4">
              <w:t>(0.034 - 0.522)</w:t>
            </w:r>
          </w:p>
        </w:tc>
        <w:tc>
          <w:tcPr>
            <w:tcW w:w="1043" w:type="pct"/>
            <w:tcBorders>
              <w:top w:val="nil"/>
              <w:left w:val="nil"/>
              <w:bottom w:val="nil"/>
              <w:right w:val="nil"/>
            </w:tcBorders>
          </w:tcPr>
          <w:p w14:paraId="75D1739E" w14:textId="77777777" w:rsidR="00B54D51" w:rsidRPr="00037AD4" w:rsidRDefault="00B54D51" w:rsidP="00401C67">
            <w:pPr>
              <w:widowControl w:val="0"/>
              <w:autoSpaceDE w:val="0"/>
              <w:autoSpaceDN w:val="0"/>
              <w:adjustRightInd w:val="0"/>
              <w:jc w:val="center"/>
            </w:pPr>
            <w:r w:rsidRPr="00037AD4">
              <w:t>(0.033 - 0.521)</w:t>
            </w:r>
          </w:p>
        </w:tc>
        <w:tc>
          <w:tcPr>
            <w:tcW w:w="981" w:type="pct"/>
            <w:tcBorders>
              <w:top w:val="nil"/>
              <w:left w:val="nil"/>
              <w:bottom w:val="nil"/>
              <w:right w:val="nil"/>
            </w:tcBorders>
          </w:tcPr>
          <w:p w14:paraId="7F4D6F3D" w14:textId="77777777" w:rsidR="00B54D51" w:rsidRPr="00037AD4" w:rsidRDefault="00B54D51" w:rsidP="00401C67">
            <w:pPr>
              <w:widowControl w:val="0"/>
              <w:autoSpaceDE w:val="0"/>
              <w:autoSpaceDN w:val="0"/>
              <w:adjustRightInd w:val="0"/>
              <w:jc w:val="center"/>
            </w:pPr>
            <w:r w:rsidRPr="00037AD4">
              <w:t>(0.024 - 0.508)</w:t>
            </w:r>
          </w:p>
        </w:tc>
      </w:tr>
      <w:tr w:rsidR="00B54D51" w:rsidRPr="00037AD4" w14:paraId="78561B04" w14:textId="77777777" w:rsidTr="00401C67">
        <w:trPr>
          <w:jc w:val="center"/>
        </w:trPr>
        <w:tc>
          <w:tcPr>
            <w:tcW w:w="891" w:type="pct"/>
            <w:tcBorders>
              <w:top w:val="nil"/>
              <w:left w:val="nil"/>
              <w:bottom w:val="nil"/>
              <w:right w:val="nil"/>
            </w:tcBorders>
          </w:tcPr>
          <w:p w14:paraId="2CF7A89E" w14:textId="77777777" w:rsidR="00B54D51" w:rsidRPr="00037AD4" w:rsidRDefault="00B54D51" w:rsidP="00401C67">
            <w:pPr>
              <w:widowControl w:val="0"/>
              <w:autoSpaceDE w:val="0"/>
              <w:autoSpaceDN w:val="0"/>
              <w:adjustRightInd w:val="0"/>
            </w:pPr>
            <w:r w:rsidRPr="00037AD4">
              <w:t>3.eq3SR_</w:t>
            </w:r>
          </w:p>
        </w:tc>
        <w:tc>
          <w:tcPr>
            <w:tcW w:w="1043" w:type="pct"/>
            <w:tcBorders>
              <w:top w:val="nil"/>
              <w:left w:val="nil"/>
              <w:bottom w:val="nil"/>
              <w:right w:val="nil"/>
            </w:tcBorders>
          </w:tcPr>
          <w:p w14:paraId="340C80ED" w14:textId="77777777" w:rsidR="00B54D51" w:rsidRPr="00037AD4" w:rsidRDefault="00B54D51" w:rsidP="00401C67">
            <w:pPr>
              <w:widowControl w:val="0"/>
              <w:autoSpaceDE w:val="0"/>
              <w:autoSpaceDN w:val="0"/>
              <w:adjustRightInd w:val="0"/>
              <w:jc w:val="center"/>
            </w:pPr>
            <w:r w:rsidRPr="00037AD4">
              <w:t>0.473**</w:t>
            </w:r>
          </w:p>
        </w:tc>
        <w:tc>
          <w:tcPr>
            <w:tcW w:w="1043" w:type="pct"/>
            <w:tcBorders>
              <w:top w:val="nil"/>
              <w:left w:val="nil"/>
              <w:bottom w:val="nil"/>
              <w:right w:val="nil"/>
            </w:tcBorders>
          </w:tcPr>
          <w:p w14:paraId="5EBAE188" w14:textId="77777777" w:rsidR="00B54D51" w:rsidRPr="00037AD4" w:rsidRDefault="00B54D51" w:rsidP="00401C67">
            <w:pPr>
              <w:widowControl w:val="0"/>
              <w:autoSpaceDE w:val="0"/>
              <w:autoSpaceDN w:val="0"/>
              <w:adjustRightInd w:val="0"/>
              <w:jc w:val="center"/>
            </w:pPr>
            <w:r w:rsidRPr="00037AD4">
              <w:t>0.500***</w:t>
            </w:r>
          </w:p>
        </w:tc>
        <w:tc>
          <w:tcPr>
            <w:tcW w:w="1043" w:type="pct"/>
            <w:tcBorders>
              <w:top w:val="nil"/>
              <w:left w:val="nil"/>
              <w:bottom w:val="nil"/>
              <w:right w:val="nil"/>
            </w:tcBorders>
          </w:tcPr>
          <w:p w14:paraId="426B0BA7" w14:textId="77777777" w:rsidR="00B54D51" w:rsidRPr="00037AD4" w:rsidRDefault="00B54D51" w:rsidP="00401C67">
            <w:pPr>
              <w:widowControl w:val="0"/>
              <w:autoSpaceDE w:val="0"/>
              <w:autoSpaceDN w:val="0"/>
              <w:adjustRightInd w:val="0"/>
              <w:jc w:val="center"/>
            </w:pPr>
            <w:r w:rsidRPr="00037AD4">
              <w:t>0.501***</w:t>
            </w:r>
          </w:p>
        </w:tc>
        <w:tc>
          <w:tcPr>
            <w:tcW w:w="981" w:type="pct"/>
            <w:tcBorders>
              <w:top w:val="nil"/>
              <w:left w:val="nil"/>
              <w:bottom w:val="nil"/>
              <w:right w:val="nil"/>
            </w:tcBorders>
          </w:tcPr>
          <w:p w14:paraId="1FAAD911" w14:textId="77777777" w:rsidR="00B54D51" w:rsidRPr="00037AD4" w:rsidRDefault="00B54D51" w:rsidP="00401C67">
            <w:pPr>
              <w:widowControl w:val="0"/>
              <w:autoSpaceDE w:val="0"/>
              <w:autoSpaceDN w:val="0"/>
              <w:adjustRightInd w:val="0"/>
              <w:jc w:val="center"/>
            </w:pPr>
            <w:r w:rsidRPr="00037AD4">
              <w:t>0.489**</w:t>
            </w:r>
          </w:p>
        </w:tc>
      </w:tr>
      <w:tr w:rsidR="00B54D51" w:rsidRPr="00037AD4" w14:paraId="104A610E" w14:textId="77777777" w:rsidTr="00401C67">
        <w:trPr>
          <w:jc w:val="center"/>
        </w:trPr>
        <w:tc>
          <w:tcPr>
            <w:tcW w:w="891" w:type="pct"/>
            <w:tcBorders>
              <w:top w:val="nil"/>
              <w:left w:val="nil"/>
              <w:bottom w:val="nil"/>
              <w:right w:val="nil"/>
            </w:tcBorders>
          </w:tcPr>
          <w:p w14:paraId="1A57715A" w14:textId="77777777" w:rsidR="00B54D51" w:rsidRPr="00037AD4" w:rsidRDefault="00B54D51" w:rsidP="00401C67">
            <w:pPr>
              <w:widowControl w:val="0"/>
              <w:autoSpaceDE w:val="0"/>
              <w:autoSpaceDN w:val="0"/>
              <w:adjustRightInd w:val="0"/>
            </w:pPr>
          </w:p>
        </w:tc>
        <w:tc>
          <w:tcPr>
            <w:tcW w:w="1043" w:type="pct"/>
            <w:tcBorders>
              <w:top w:val="nil"/>
              <w:left w:val="nil"/>
              <w:bottom w:val="nil"/>
              <w:right w:val="nil"/>
            </w:tcBorders>
          </w:tcPr>
          <w:p w14:paraId="27A437C7" w14:textId="77777777" w:rsidR="00B54D51" w:rsidRPr="00037AD4" w:rsidRDefault="00B54D51" w:rsidP="00401C67">
            <w:pPr>
              <w:widowControl w:val="0"/>
              <w:autoSpaceDE w:val="0"/>
              <w:autoSpaceDN w:val="0"/>
              <w:adjustRightInd w:val="0"/>
              <w:jc w:val="center"/>
            </w:pPr>
            <w:r w:rsidRPr="00037AD4">
              <w:t>(0.049 - 0.896)</w:t>
            </w:r>
          </w:p>
        </w:tc>
        <w:tc>
          <w:tcPr>
            <w:tcW w:w="1043" w:type="pct"/>
            <w:tcBorders>
              <w:top w:val="nil"/>
              <w:left w:val="nil"/>
              <w:bottom w:val="nil"/>
              <w:right w:val="nil"/>
            </w:tcBorders>
          </w:tcPr>
          <w:p w14:paraId="61FC9BF7" w14:textId="77777777" w:rsidR="00B54D51" w:rsidRPr="00037AD4" w:rsidRDefault="00B54D51" w:rsidP="00401C67">
            <w:pPr>
              <w:widowControl w:val="0"/>
              <w:autoSpaceDE w:val="0"/>
              <w:autoSpaceDN w:val="0"/>
              <w:adjustRightInd w:val="0"/>
              <w:jc w:val="center"/>
            </w:pPr>
            <w:r w:rsidRPr="00037AD4">
              <w:t>(0.126 - 0.874)</w:t>
            </w:r>
          </w:p>
        </w:tc>
        <w:tc>
          <w:tcPr>
            <w:tcW w:w="1043" w:type="pct"/>
            <w:tcBorders>
              <w:top w:val="nil"/>
              <w:left w:val="nil"/>
              <w:bottom w:val="nil"/>
              <w:right w:val="nil"/>
            </w:tcBorders>
          </w:tcPr>
          <w:p w14:paraId="32F8484B" w14:textId="77777777" w:rsidR="00B54D51" w:rsidRPr="00037AD4" w:rsidRDefault="00B54D51" w:rsidP="00401C67">
            <w:pPr>
              <w:widowControl w:val="0"/>
              <w:autoSpaceDE w:val="0"/>
              <w:autoSpaceDN w:val="0"/>
              <w:adjustRightInd w:val="0"/>
              <w:jc w:val="center"/>
            </w:pPr>
            <w:r w:rsidRPr="00037AD4">
              <w:t>(0.126 - 0.875)</w:t>
            </w:r>
          </w:p>
        </w:tc>
        <w:tc>
          <w:tcPr>
            <w:tcW w:w="981" w:type="pct"/>
            <w:tcBorders>
              <w:top w:val="nil"/>
              <w:left w:val="nil"/>
              <w:bottom w:val="nil"/>
              <w:right w:val="nil"/>
            </w:tcBorders>
          </w:tcPr>
          <w:p w14:paraId="79FA3EDB" w14:textId="77777777" w:rsidR="00B54D51" w:rsidRPr="00037AD4" w:rsidRDefault="00B54D51" w:rsidP="00401C67">
            <w:pPr>
              <w:widowControl w:val="0"/>
              <w:autoSpaceDE w:val="0"/>
              <w:autoSpaceDN w:val="0"/>
              <w:adjustRightInd w:val="0"/>
              <w:jc w:val="center"/>
            </w:pPr>
            <w:r w:rsidRPr="00037AD4">
              <w:t>(0.115 - 0.862)</w:t>
            </w:r>
          </w:p>
        </w:tc>
      </w:tr>
      <w:tr w:rsidR="00B54D51" w:rsidRPr="00037AD4" w14:paraId="0D26605A" w14:textId="77777777" w:rsidTr="00401C67">
        <w:trPr>
          <w:jc w:val="center"/>
        </w:trPr>
        <w:tc>
          <w:tcPr>
            <w:tcW w:w="891" w:type="pct"/>
            <w:tcBorders>
              <w:top w:val="nil"/>
              <w:left w:val="nil"/>
              <w:bottom w:val="nil"/>
              <w:right w:val="nil"/>
            </w:tcBorders>
          </w:tcPr>
          <w:p w14:paraId="107A158E" w14:textId="77777777" w:rsidR="00B54D51" w:rsidRPr="00037AD4" w:rsidRDefault="00B54D51" w:rsidP="00401C67">
            <w:pPr>
              <w:widowControl w:val="0"/>
              <w:autoSpaceDE w:val="0"/>
              <w:autoSpaceDN w:val="0"/>
              <w:adjustRightInd w:val="0"/>
            </w:pPr>
            <w:r w:rsidRPr="00037AD4">
              <w:t>4.eq3SR_</w:t>
            </w:r>
          </w:p>
        </w:tc>
        <w:tc>
          <w:tcPr>
            <w:tcW w:w="1043" w:type="pct"/>
            <w:tcBorders>
              <w:top w:val="nil"/>
              <w:left w:val="nil"/>
              <w:bottom w:val="nil"/>
              <w:right w:val="nil"/>
            </w:tcBorders>
          </w:tcPr>
          <w:p w14:paraId="3699964B" w14:textId="77777777" w:rsidR="00B54D51" w:rsidRPr="00037AD4" w:rsidRDefault="00B54D51" w:rsidP="00401C67">
            <w:pPr>
              <w:widowControl w:val="0"/>
              <w:autoSpaceDE w:val="0"/>
              <w:autoSpaceDN w:val="0"/>
              <w:adjustRightInd w:val="0"/>
              <w:jc w:val="center"/>
            </w:pPr>
            <w:r w:rsidRPr="00037AD4">
              <w:t>1.154***</w:t>
            </w:r>
          </w:p>
        </w:tc>
        <w:tc>
          <w:tcPr>
            <w:tcW w:w="1043" w:type="pct"/>
            <w:tcBorders>
              <w:top w:val="nil"/>
              <w:left w:val="nil"/>
              <w:bottom w:val="nil"/>
              <w:right w:val="nil"/>
            </w:tcBorders>
          </w:tcPr>
          <w:p w14:paraId="3D278D71" w14:textId="77777777" w:rsidR="00B54D51" w:rsidRPr="00037AD4" w:rsidRDefault="00B54D51" w:rsidP="00401C67">
            <w:pPr>
              <w:widowControl w:val="0"/>
              <w:autoSpaceDE w:val="0"/>
              <w:autoSpaceDN w:val="0"/>
              <w:adjustRightInd w:val="0"/>
              <w:jc w:val="center"/>
            </w:pPr>
            <w:r w:rsidRPr="00037AD4">
              <w:t>1.251***</w:t>
            </w:r>
          </w:p>
        </w:tc>
        <w:tc>
          <w:tcPr>
            <w:tcW w:w="1043" w:type="pct"/>
            <w:tcBorders>
              <w:top w:val="nil"/>
              <w:left w:val="nil"/>
              <w:bottom w:val="nil"/>
              <w:right w:val="nil"/>
            </w:tcBorders>
          </w:tcPr>
          <w:p w14:paraId="316A0BDB" w14:textId="77777777" w:rsidR="00B54D51" w:rsidRPr="00037AD4" w:rsidRDefault="00B54D51" w:rsidP="00401C67">
            <w:pPr>
              <w:widowControl w:val="0"/>
              <w:autoSpaceDE w:val="0"/>
              <w:autoSpaceDN w:val="0"/>
              <w:adjustRightInd w:val="0"/>
              <w:jc w:val="center"/>
            </w:pPr>
            <w:r w:rsidRPr="00037AD4">
              <w:t>1.249***</w:t>
            </w:r>
          </w:p>
        </w:tc>
        <w:tc>
          <w:tcPr>
            <w:tcW w:w="981" w:type="pct"/>
            <w:tcBorders>
              <w:top w:val="nil"/>
              <w:left w:val="nil"/>
              <w:bottom w:val="nil"/>
              <w:right w:val="nil"/>
            </w:tcBorders>
          </w:tcPr>
          <w:p w14:paraId="4C55A84D" w14:textId="77777777" w:rsidR="00B54D51" w:rsidRPr="00037AD4" w:rsidRDefault="00B54D51" w:rsidP="00401C67">
            <w:pPr>
              <w:widowControl w:val="0"/>
              <w:autoSpaceDE w:val="0"/>
              <w:autoSpaceDN w:val="0"/>
              <w:adjustRightInd w:val="0"/>
              <w:jc w:val="center"/>
            </w:pPr>
            <w:r w:rsidRPr="00037AD4">
              <w:t>1.239***</w:t>
            </w:r>
          </w:p>
        </w:tc>
      </w:tr>
      <w:tr w:rsidR="00B54D51" w:rsidRPr="00037AD4" w14:paraId="5FD5B7ED" w14:textId="77777777" w:rsidTr="00401C67">
        <w:trPr>
          <w:jc w:val="center"/>
        </w:trPr>
        <w:tc>
          <w:tcPr>
            <w:tcW w:w="891" w:type="pct"/>
            <w:tcBorders>
              <w:top w:val="nil"/>
              <w:left w:val="nil"/>
              <w:bottom w:val="nil"/>
              <w:right w:val="nil"/>
            </w:tcBorders>
          </w:tcPr>
          <w:p w14:paraId="144B1006" w14:textId="77777777" w:rsidR="00B54D51" w:rsidRPr="00037AD4" w:rsidRDefault="00B54D51" w:rsidP="00401C67">
            <w:pPr>
              <w:widowControl w:val="0"/>
              <w:autoSpaceDE w:val="0"/>
              <w:autoSpaceDN w:val="0"/>
              <w:adjustRightInd w:val="0"/>
            </w:pPr>
          </w:p>
        </w:tc>
        <w:tc>
          <w:tcPr>
            <w:tcW w:w="1043" w:type="pct"/>
            <w:tcBorders>
              <w:top w:val="nil"/>
              <w:left w:val="nil"/>
              <w:bottom w:val="nil"/>
              <w:right w:val="nil"/>
            </w:tcBorders>
          </w:tcPr>
          <w:p w14:paraId="1EB279EB" w14:textId="77777777" w:rsidR="00B54D51" w:rsidRPr="00037AD4" w:rsidRDefault="00B54D51" w:rsidP="00401C67">
            <w:pPr>
              <w:widowControl w:val="0"/>
              <w:autoSpaceDE w:val="0"/>
              <w:autoSpaceDN w:val="0"/>
              <w:adjustRightInd w:val="0"/>
              <w:jc w:val="center"/>
            </w:pPr>
            <w:r w:rsidRPr="00037AD4">
              <w:t>(0.344 - 1.964)</w:t>
            </w:r>
          </w:p>
        </w:tc>
        <w:tc>
          <w:tcPr>
            <w:tcW w:w="1043" w:type="pct"/>
            <w:tcBorders>
              <w:top w:val="nil"/>
              <w:left w:val="nil"/>
              <w:bottom w:val="nil"/>
              <w:right w:val="nil"/>
            </w:tcBorders>
          </w:tcPr>
          <w:p w14:paraId="3FFBE7A4" w14:textId="77777777" w:rsidR="00B54D51" w:rsidRPr="00037AD4" w:rsidRDefault="00B54D51" w:rsidP="00401C67">
            <w:pPr>
              <w:widowControl w:val="0"/>
              <w:autoSpaceDE w:val="0"/>
              <w:autoSpaceDN w:val="0"/>
              <w:adjustRightInd w:val="0"/>
              <w:jc w:val="center"/>
            </w:pPr>
            <w:r w:rsidRPr="00037AD4">
              <w:t>(0.458 - 2.044)</w:t>
            </w:r>
          </w:p>
        </w:tc>
        <w:tc>
          <w:tcPr>
            <w:tcW w:w="1043" w:type="pct"/>
            <w:tcBorders>
              <w:top w:val="nil"/>
              <w:left w:val="nil"/>
              <w:bottom w:val="nil"/>
              <w:right w:val="nil"/>
            </w:tcBorders>
          </w:tcPr>
          <w:p w14:paraId="3DF24C0E" w14:textId="77777777" w:rsidR="00B54D51" w:rsidRPr="00037AD4" w:rsidRDefault="00B54D51" w:rsidP="00401C67">
            <w:pPr>
              <w:widowControl w:val="0"/>
              <w:autoSpaceDE w:val="0"/>
              <w:autoSpaceDN w:val="0"/>
              <w:adjustRightInd w:val="0"/>
              <w:jc w:val="center"/>
            </w:pPr>
            <w:r w:rsidRPr="00037AD4">
              <w:t>(0.458 - 2.040)</w:t>
            </w:r>
          </w:p>
        </w:tc>
        <w:tc>
          <w:tcPr>
            <w:tcW w:w="981" w:type="pct"/>
            <w:tcBorders>
              <w:top w:val="nil"/>
              <w:left w:val="nil"/>
              <w:bottom w:val="nil"/>
              <w:right w:val="nil"/>
            </w:tcBorders>
          </w:tcPr>
          <w:p w14:paraId="135C87E2" w14:textId="77777777" w:rsidR="00B54D51" w:rsidRPr="00037AD4" w:rsidRDefault="00B54D51" w:rsidP="00401C67">
            <w:pPr>
              <w:widowControl w:val="0"/>
              <w:autoSpaceDE w:val="0"/>
              <w:autoSpaceDN w:val="0"/>
              <w:adjustRightInd w:val="0"/>
              <w:jc w:val="center"/>
            </w:pPr>
            <w:r w:rsidRPr="00037AD4">
              <w:t>(0.454 - 2.024)</w:t>
            </w:r>
          </w:p>
        </w:tc>
      </w:tr>
      <w:tr w:rsidR="00B54D51" w:rsidRPr="00037AD4" w14:paraId="5C618B26" w14:textId="77777777" w:rsidTr="00401C67">
        <w:trPr>
          <w:jc w:val="center"/>
        </w:trPr>
        <w:tc>
          <w:tcPr>
            <w:tcW w:w="891" w:type="pct"/>
            <w:tcBorders>
              <w:top w:val="nil"/>
              <w:left w:val="nil"/>
              <w:bottom w:val="nil"/>
              <w:right w:val="nil"/>
            </w:tcBorders>
          </w:tcPr>
          <w:p w14:paraId="24FDDC3C" w14:textId="77777777" w:rsidR="00B54D51" w:rsidRPr="00037AD4" w:rsidRDefault="00B54D51" w:rsidP="00401C67">
            <w:pPr>
              <w:widowControl w:val="0"/>
              <w:autoSpaceDE w:val="0"/>
              <w:autoSpaceDN w:val="0"/>
              <w:adjustRightInd w:val="0"/>
            </w:pPr>
            <w:r w:rsidRPr="00037AD4">
              <w:t>5.eq3SR_</w:t>
            </w:r>
          </w:p>
        </w:tc>
        <w:tc>
          <w:tcPr>
            <w:tcW w:w="1043" w:type="pct"/>
            <w:tcBorders>
              <w:top w:val="nil"/>
              <w:left w:val="nil"/>
              <w:bottom w:val="nil"/>
              <w:right w:val="nil"/>
            </w:tcBorders>
          </w:tcPr>
          <w:p w14:paraId="39F6BB2B" w14:textId="77777777" w:rsidR="00B54D51" w:rsidRPr="00037AD4" w:rsidRDefault="00B54D51" w:rsidP="00401C67">
            <w:pPr>
              <w:widowControl w:val="0"/>
              <w:autoSpaceDE w:val="0"/>
              <w:autoSpaceDN w:val="0"/>
              <w:adjustRightInd w:val="0"/>
              <w:jc w:val="center"/>
            </w:pPr>
            <w:r w:rsidRPr="00037AD4">
              <w:t>0.916***</w:t>
            </w:r>
          </w:p>
        </w:tc>
        <w:tc>
          <w:tcPr>
            <w:tcW w:w="1043" w:type="pct"/>
            <w:tcBorders>
              <w:top w:val="nil"/>
              <w:left w:val="nil"/>
              <w:bottom w:val="nil"/>
              <w:right w:val="nil"/>
            </w:tcBorders>
          </w:tcPr>
          <w:p w14:paraId="49774480" w14:textId="77777777" w:rsidR="00B54D51" w:rsidRPr="00037AD4" w:rsidRDefault="00B54D51" w:rsidP="00401C67">
            <w:pPr>
              <w:widowControl w:val="0"/>
              <w:autoSpaceDE w:val="0"/>
              <w:autoSpaceDN w:val="0"/>
              <w:adjustRightInd w:val="0"/>
              <w:jc w:val="center"/>
            </w:pPr>
            <w:r w:rsidRPr="00037AD4">
              <w:t>1.141***</w:t>
            </w:r>
          </w:p>
        </w:tc>
        <w:tc>
          <w:tcPr>
            <w:tcW w:w="1043" w:type="pct"/>
            <w:tcBorders>
              <w:top w:val="nil"/>
              <w:left w:val="nil"/>
              <w:bottom w:val="nil"/>
              <w:right w:val="nil"/>
            </w:tcBorders>
          </w:tcPr>
          <w:p w14:paraId="7F8BC135" w14:textId="77777777" w:rsidR="00B54D51" w:rsidRPr="00037AD4" w:rsidRDefault="00B54D51" w:rsidP="00401C67">
            <w:pPr>
              <w:widowControl w:val="0"/>
              <w:autoSpaceDE w:val="0"/>
              <w:autoSpaceDN w:val="0"/>
              <w:adjustRightInd w:val="0"/>
              <w:jc w:val="center"/>
            </w:pPr>
            <w:r w:rsidRPr="00037AD4">
              <w:t>1.150***</w:t>
            </w:r>
          </w:p>
        </w:tc>
        <w:tc>
          <w:tcPr>
            <w:tcW w:w="981" w:type="pct"/>
            <w:tcBorders>
              <w:top w:val="nil"/>
              <w:left w:val="nil"/>
              <w:bottom w:val="nil"/>
              <w:right w:val="nil"/>
            </w:tcBorders>
          </w:tcPr>
          <w:p w14:paraId="2F7FFEDF" w14:textId="77777777" w:rsidR="00B54D51" w:rsidRPr="00037AD4" w:rsidRDefault="00B54D51" w:rsidP="00401C67">
            <w:pPr>
              <w:widowControl w:val="0"/>
              <w:autoSpaceDE w:val="0"/>
              <w:autoSpaceDN w:val="0"/>
              <w:adjustRightInd w:val="0"/>
              <w:jc w:val="center"/>
            </w:pPr>
            <w:r w:rsidRPr="00037AD4">
              <w:t>1.129***</w:t>
            </w:r>
          </w:p>
        </w:tc>
      </w:tr>
      <w:tr w:rsidR="00B54D51" w:rsidRPr="00037AD4" w14:paraId="39BFB827" w14:textId="77777777" w:rsidTr="00401C67">
        <w:trPr>
          <w:jc w:val="center"/>
        </w:trPr>
        <w:tc>
          <w:tcPr>
            <w:tcW w:w="891" w:type="pct"/>
            <w:tcBorders>
              <w:top w:val="nil"/>
              <w:left w:val="nil"/>
              <w:bottom w:val="nil"/>
              <w:right w:val="nil"/>
            </w:tcBorders>
          </w:tcPr>
          <w:p w14:paraId="25241E5A" w14:textId="77777777" w:rsidR="00B54D51" w:rsidRPr="00037AD4" w:rsidRDefault="00B54D51" w:rsidP="00401C67">
            <w:pPr>
              <w:widowControl w:val="0"/>
              <w:autoSpaceDE w:val="0"/>
              <w:autoSpaceDN w:val="0"/>
              <w:adjustRightInd w:val="0"/>
            </w:pPr>
          </w:p>
        </w:tc>
        <w:tc>
          <w:tcPr>
            <w:tcW w:w="1043" w:type="pct"/>
            <w:tcBorders>
              <w:top w:val="nil"/>
              <w:left w:val="nil"/>
              <w:bottom w:val="nil"/>
              <w:right w:val="nil"/>
            </w:tcBorders>
          </w:tcPr>
          <w:p w14:paraId="75AD2B99" w14:textId="77777777" w:rsidR="00B54D51" w:rsidRPr="00037AD4" w:rsidRDefault="00B54D51" w:rsidP="00401C67">
            <w:pPr>
              <w:widowControl w:val="0"/>
              <w:autoSpaceDE w:val="0"/>
              <w:autoSpaceDN w:val="0"/>
              <w:adjustRightInd w:val="0"/>
              <w:jc w:val="center"/>
            </w:pPr>
            <w:r w:rsidRPr="00037AD4">
              <w:t>(0.227 - 1.605)</w:t>
            </w:r>
          </w:p>
        </w:tc>
        <w:tc>
          <w:tcPr>
            <w:tcW w:w="1043" w:type="pct"/>
            <w:tcBorders>
              <w:top w:val="nil"/>
              <w:left w:val="nil"/>
              <w:bottom w:val="nil"/>
              <w:right w:val="nil"/>
            </w:tcBorders>
          </w:tcPr>
          <w:p w14:paraId="0F6E82AC" w14:textId="77777777" w:rsidR="00B54D51" w:rsidRPr="00037AD4" w:rsidRDefault="00B54D51" w:rsidP="00401C67">
            <w:pPr>
              <w:widowControl w:val="0"/>
              <w:autoSpaceDE w:val="0"/>
              <w:autoSpaceDN w:val="0"/>
              <w:adjustRightInd w:val="0"/>
              <w:jc w:val="center"/>
            </w:pPr>
            <w:r w:rsidRPr="00037AD4">
              <w:t>(0.600 - 1.682)</w:t>
            </w:r>
          </w:p>
        </w:tc>
        <w:tc>
          <w:tcPr>
            <w:tcW w:w="1043" w:type="pct"/>
            <w:tcBorders>
              <w:top w:val="nil"/>
              <w:left w:val="nil"/>
              <w:bottom w:val="nil"/>
              <w:right w:val="nil"/>
            </w:tcBorders>
          </w:tcPr>
          <w:p w14:paraId="1D97BE27" w14:textId="77777777" w:rsidR="00B54D51" w:rsidRPr="00037AD4" w:rsidRDefault="00B54D51" w:rsidP="00401C67">
            <w:pPr>
              <w:widowControl w:val="0"/>
              <w:autoSpaceDE w:val="0"/>
              <w:autoSpaceDN w:val="0"/>
              <w:adjustRightInd w:val="0"/>
              <w:jc w:val="center"/>
            </w:pPr>
            <w:r w:rsidRPr="00037AD4">
              <w:t>(0.615 - 1.685)</w:t>
            </w:r>
          </w:p>
        </w:tc>
        <w:tc>
          <w:tcPr>
            <w:tcW w:w="981" w:type="pct"/>
            <w:tcBorders>
              <w:top w:val="nil"/>
              <w:left w:val="nil"/>
              <w:bottom w:val="nil"/>
              <w:right w:val="nil"/>
            </w:tcBorders>
          </w:tcPr>
          <w:p w14:paraId="6166A473" w14:textId="77777777" w:rsidR="00B54D51" w:rsidRPr="00037AD4" w:rsidRDefault="00B54D51" w:rsidP="00401C67">
            <w:pPr>
              <w:widowControl w:val="0"/>
              <w:autoSpaceDE w:val="0"/>
              <w:autoSpaceDN w:val="0"/>
              <w:adjustRightInd w:val="0"/>
              <w:jc w:val="center"/>
            </w:pPr>
            <w:r w:rsidRPr="00037AD4">
              <w:t>(0.593 - 1.665)</w:t>
            </w:r>
          </w:p>
        </w:tc>
      </w:tr>
      <w:tr w:rsidR="00B54D51" w:rsidRPr="00037AD4" w14:paraId="562A96A4" w14:textId="77777777" w:rsidTr="00401C67">
        <w:trPr>
          <w:jc w:val="center"/>
        </w:trPr>
        <w:tc>
          <w:tcPr>
            <w:tcW w:w="891" w:type="pct"/>
            <w:tcBorders>
              <w:top w:val="nil"/>
              <w:left w:val="nil"/>
              <w:bottom w:val="nil"/>
              <w:right w:val="nil"/>
            </w:tcBorders>
          </w:tcPr>
          <w:p w14:paraId="0B088AFC" w14:textId="77777777" w:rsidR="00B54D51" w:rsidRPr="00037AD4" w:rsidRDefault="00B54D51" w:rsidP="00401C67">
            <w:pPr>
              <w:widowControl w:val="0"/>
              <w:autoSpaceDE w:val="0"/>
              <w:autoSpaceDN w:val="0"/>
              <w:adjustRightInd w:val="0"/>
            </w:pPr>
            <w:r w:rsidRPr="00037AD4">
              <w:t>2.eq1SR_</w:t>
            </w:r>
          </w:p>
        </w:tc>
        <w:tc>
          <w:tcPr>
            <w:tcW w:w="1043" w:type="pct"/>
            <w:tcBorders>
              <w:top w:val="nil"/>
              <w:left w:val="nil"/>
              <w:bottom w:val="nil"/>
              <w:right w:val="nil"/>
            </w:tcBorders>
          </w:tcPr>
          <w:p w14:paraId="61C89EB7" w14:textId="77777777" w:rsidR="00B54D51" w:rsidRPr="00037AD4" w:rsidRDefault="00B54D51" w:rsidP="00401C67">
            <w:pPr>
              <w:widowControl w:val="0"/>
              <w:autoSpaceDE w:val="0"/>
              <w:autoSpaceDN w:val="0"/>
              <w:adjustRightInd w:val="0"/>
              <w:jc w:val="center"/>
            </w:pPr>
            <w:r w:rsidRPr="00037AD4">
              <w:t>0.147</w:t>
            </w:r>
          </w:p>
        </w:tc>
        <w:tc>
          <w:tcPr>
            <w:tcW w:w="1043" w:type="pct"/>
            <w:tcBorders>
              <w:top w:val="nil"/>
              <w:left w:val="nil"/>
              <w:bottom w:val="nil"/>
              <w:right w:val="nil"/>
            </w:tcBorders>
          </w:tcPr>
          <w:p w14:paraId="687DC305" w14:textId="77777777" w:rsidR="00B54D51" w:rsidRPr="00037AD4" w:rsidRDefault="00B54D51" w:rsidP="00401C67">
            <w:pPr>
              <w:widowControl w:val="0"/>
              <w:autoSpaceDE w:val="0"/>
              <w:autoSpaceDN w:val="0"/>
              <w:adjustRightInd w:val="0"/>
              <w:jc w:val="center"/>
            </w:pPr>
          </w:p>
        </w:tc>
        <w:tc>
          <w:tcPr>
            <w:tcW w:w="1043" w:type="pct"/>
            <w:tcBorders>
              <w:top w:val="nil"/>
              <w:left w:val="nil"/>
              <w:bottom w:val="nil"/>
              <w:right w:val="nil"/>
            </w:tcBorders>
          </w:tcPr>
          <w:p w14:paraId="3BAF9047" w14:textId="77777777" w:rsidR="00B54D51" w:rsidRPr="00037AD4" w:rsidRDefault="00B54D51" w:rsidP="00401C67">
            <w:pPr>
              <w:widowControl w:val="0"/>
              <w:autoSpaceDE w:val="0"/>
              <w:autoSpaceDN w:val="0"/>
              <w:adjustRightInd w:val="0"/>
              <w:jc w:val="center"/>
            </w:pPr>
          </w:p>
        </w:tc>
        <w:tc>
          <w:tcPr>
            <w:tcW w:w="981" w:type="pct"/>
            <w:tcBorders>
              <w:top w:val="nil"/>
              <w:left w:val="nil"/>
              <w:bottom w:val="nil"/>
              <w:right w:val="nil"/>
            </w:tcBorders>
          </w:tcPr>
          <w:p w14:paraId="593EB820" w14:textId="77777777" w:rsidR="00B54D51" w:rsidRPr="00037AD4" w:rsidRDefault="00B54D51" w:rsidP="00401C67">
            <w:pPr>
              <w:widowControl w:val="0"/>
              <w:autoSpaceDE w:val="0"/>
              <w:autoSpaceDN w:val="0"/>
              <w:adjustRightInd w:val="0"/>
              <w:jc w:val="center"/>
            </w:pPr>
          </w:p>
        </w:tc>
      </w:tr>
      <w:tr w:rsidR="00B54D51" w:rsidRPr="00037AD4" w14:paraId="29F92CC4" w14:textId="77777777" w:rsidTr="00401C67">
        <w:trPr>
          <w:jc w:val="center"/>
        </w:trPr>
        <w:tc>
          <w:tcPr>
            <w:tcW w:w="891" w:type="pct"/>
            <w:tcBorders>
              <w:top w:val="nil"/>
              <w:left w:val="nil"/>
              <w:bottom w:val="nil"/>
              <w:right w:val="nil"/>
            </w:tcBorders>
          </w:tcPr>
          <w:p w14:paraId="3AE1E473" w14:textId="77777777" w:rsidR="00B54D51" w:rsidRPr="00037AD4" w:rsidRDefault="00B54D51" w:rsidP="00401C67">
            <w:pPr>
              <w:widowControl w:val="0"/>
              <w:autoSpaceDE w:val="0"/>
              <w:autoSpaceDN w:val="0"/>
              <w:adjustRightInd w:val="0"/>
            </w:pPr>
          </w:p>
        </w:tc>
        <w:tc>
          <w:tcPr>
            <w:tcW w:w="1043" w:type="pct"/>
            <w:tcBorders>
              <w:top w:val="nil"/>
              <w:left w:val="nil"/>
              <w:bottom w:val="nil"/>
              <w:right w:val="nil"/>
            </w:tcBorders>
          </w:tcPr>
          <w:p w14:paraId="0705E593" w14:textId="77777777" w:rsidR="00B54D51" w:rsidRPr="00037AD4" w:rsidRDefault="00B54D51" w:rsidP="00401C67">
            <w:pPr>
              <w:widowControl w:val="0"/>
              <w:autoSpaceDE w:val="0"/>
              <w:autoSpaceDN w:val="0"/>
              <w:adjustRightInd w:val="0"/>
              <w:jc w:val="center"/>
            </w:pPr>
            <w:r w:rsidRPr="00037AD4">
              <w:t>(-0.119 - 0.414)</w:t>
            </w:r>
          </w:p>
        </w:tc>
        <w:tc>
          <w:tcPr>
            <w:tcW w:w="1043" w:type="pct"/>
            <w:tcBorders>
              <w:top w:val="nil"/>
              <w:left w:val="nil"/>
              <w:bottom w:val="nil"/>
              <w:right w:val="nil"/>
            </w:tcBorders>
          </w:tcPr>
          <w:p w14:paraId="0844EB0F" w14:textId="77777777" w:rsidR="00B54D51" w:rsidRPr="00037AD4" w:rsidRDefault="00B54D51" w:rsidP="00401C67">
            <w:pPr>
              <w:widowControl w:val="0"/>
              <w:autoSpaceDE w:val="0"/>
              <w:autoSpaceDN w:val="0"/>
              <w:adjustRightInd w:val="0"/>
              <w:jc w:val="center"/>
            </w:pPr>
          </w:p>
        </w:tc>
        <w:tc>
          <w:tcPr>
            <w:tcW w:w="1043" w:type="pct"/>
            <w:tcBorders>
              <w:top w:val="nil"/>
              <w:left w:val="nil"/>
              <w:bottom w:val="nil"/>
              <w:right w:val="nil"/>
            </w:tcBorders>
          </w:tcPr>
          <w:p w14:paraId="56FA49D5" w14:textId="77777777" w:rsidR="00B54D51" w:rsidRPr="00037AD4" w:rsidRDefault="00B54D51" w:rsidP="00401C67">
            <w:pPr>
              <w:widowControl w:val="0"/>
              <w:autoSpaceDE w:val="0"/>
              <w:autoSpaceDN w:val="0"/>
              <w:adjustRightInd w:val="0"/>
              <w:jc w:val="center"/>
            </w:pPr>
          </w:p>
        </w:tc>
        <w:tc>
          <w:tcPr>
            <w:tcW w:w="981" w:type="pct"/>
            <w:tcBorders>
              <w:top w:val="nil"/>
              <w:left w:val="nil"/>
              <w:bottom w:val="nil"/>
              <w:right w:val="nil"/>
            </w:tcBorders>
          </w:tcPr>
          <w:p w14:paraId="5AEF50BC" w14:textId="77777777" w:rsidR="00B54D51" w:rsidRPr="00037AD4" w:rsidRDefault="00B54D51" w:rsidP="00401C67">
            <w:pPr>
              <w:widowControl w:val="0"/>
              <w:autoSpaceDE w:val="0"/>
              <w:autoSpaceDN w:val="0"/>
              <w:adjustRightInd w:val="0"/>
              <w:jc w:val="center"/>
            </w:pPr>
          </w:p>
        </w:tc>
      </w:tr>
      <w:tr w:rsidR="00B54D51" w:rsidRPr="00037AD4" w14:paraId="1A592418" w14:textId="77777777" w:rsidTr="00401C67">
        <w:trPr>
          <w:jc w:val="center"/>
        </w:trPr>
        <w:tc>
          <w:tcPr>
            <w:tcW w:w="891" w:type="pct"/>
            <w:tcBorders>
              <w:top w:val="nil"/>
              <w:left w:val="nil"/>
              <w:bottom w:val="nil"/>
              <w:right w:val="nil"/>
            </w:tcBorders>
          </w:tcPr>
          <w:p w14:paraId="57372754" w14:textId="77777777" w:rsidR="00B54D51" w:rsidRPr="00037AD4" w:rsidRDefault="00B54D51" w:rsidP="00401C67">
            <w:pPr>
              <w:widowControl w:val="0"/>
              <w:autoSpaceDE w:val="0"/>
              <w:autoSpaceDN w:val="0"/>
              <w:adjustRightInd w:val="0"/>
            </w:pPr>
            <w:r w:rsidRPr="00037AD4">
              <w:t>3.eq1SR_</w:t>
            </w:r>
          </w:p>
        </w:tc>
        <w:tc>
          <w:tcPr>
            <w:tcW w:w="1043" w:type="pct"/>
            <w:tcBorders>
              <w:top w:val="nil"/>
              <w:left w:val="nil"/>
              <w:bottom w:val="nil"/>
              <w:right w:val="nil"/>
            </w:tcBorders>
          </w:tcPr>
          <w:p w14:paraId="79ECB055" w14:textId="77777777" w:rsidR="00B54D51" w:rsidRPr="00037AD4" w:rsidRDefault="00B54D51" w:rsidP="00401C67">
            <w:pPr>
              <w:widowControl w:val="0"/>
              <w:autoSpaceDE w:val="0"/>
              <w:autoSpaceDN w:val="0"/>
              <w:adjustRightInd w:val="0"/>
              <w:jc w:val="center"/>
            </w:pPr>
            <w:r w:rsidRPr="00037AD4">
              <w:t>0.019</w:t>
            </w:r>
          </w:p>
        </w:tc>
        <w:tc>
          <w:tcPr>
            <w:tcW w:w="1043" w:type="pct"/>
            <w:tcBorders>
              <w:top w:val="nil"/>
              <w:left w:val="nil"/>
              <w:bottom w:val="nil"/>
              <w:right w:val="nil"/>
            </w:tcBorders>
          </w:tcPr>
          <w:p w14:paraId="08359F86" w14:textId="77777777" w:rsidR="00B54D51" w:rsidRPr="00037AD4" w:rsidRDefault="00B54D51" w:rsidP="00401C67">
            <w:pPr>
              <w:widowControl w:val="0"/>
              <w:autoSpaceDE w:val="0"/>
              <w:autoSpaceDN w:val="0"/>
              <w:adjustRightInd w:val="0"/>
              <w:jc w:val="center"/>
            </w:pPr>
          </w:p>
        </w:tc>
        <w:tc>
          <w:tcPr>
            <w:tcW w:w="1043" w:type="pct"/>
            <w:tcBorders>
              <w:top w:val="nil"/>
              <w:left w:val="nil"/>
              <w:bottom w:val="nil"/>
              <w:right w:val="nil"/>
            </w:tcBorders>
          </w:tcPr>
          <w:p w14:paraId="0C3587DD" w14:textId="77777777" w:rsidR="00B54D51" w:rsidRPr="00037AD4" w:rsidRDefault="00B54D51" w:rsidP="00401C67">
            <w:pPr>
              <w:widowControl w:val="0"/>
              <w:autoSpaceDE w:val="0"/>
              <w:autoSpaceDN w:val="0"/>
              <w:adjustRightInd w:val="0"/>
              <w:jc w:val="center"/>
            </w:pPr>
          </w:p>
        </w:tc>
        <w:tc>
          <w:tcPr>
            <w:tcW w:w="981" w:type="pct"/>
            <w:tcBorders>
              <w:top w:val="nil"/>
              <w:left w:val="nil"/>
              <w:bottom w:val="nil"/>
              <w:right w:val="nil"/>
            </w:tcBorders>
          </w:tcPr>
          <w:p w14:paraId="7CA9D4E4" w14:textId="77777777" w:rsidR="00B54D51" w:rsidRPr="00037AD4" w:rsidRDefault="00B54D51" w:rsidP="00401C67">
            <w:pPr>
              <w:widowControl w:val="0"/>
              <w:autoSpaceDE w:val="0"/>
              <w:autoSpaceDN w:val="0"/>
              <w:adjustRightInd w:val="0"/>
              <w:jc w:val="center"/>
            </w:pPr>
          </w:p>
        </w:tc>
      </w:tr>
      <w:tr w:rsidR="00B54D51" w:rsidRPr="00037AD4" w14:paraId="1A77CC63" w14:textId="77777777" w:rsidTr="00401C67">
        <w:trPr>
          <w:jc w:val="center"/>
        </w:trPr>
        <w:tc>
          <w:tcPr>
            <w:tcW w:w="891" w:type="pct"/>
            <w:tcBorders>
              <w:top w:val="nil"/>
              <w:left w:val="nil"/>
              <w:bottom w:val="nil"/>
              <w:right w:val="nil"/>
            </w:tcBorders>
          </w:tcPr>
          <w:p w14:paraId="68CA6A88" w14:textId="77777777" w:rsidR="00B54D51" w:rsidRPr="00037AD4" w:rsidRDefault="00B54D51" w:rsidP="00401C67">
            <w:pPr>
              <w:widowControl w:val="0"/>
              <w:autoSpaceDE w:val="0"/>
              <w:autoSpaceDN w:val="0"/>
              <w:adjustRightInd w:val="0"/>
            </w:pPr>
          </w:p>
        </w:tc>
        <w:tc>
          <w:tcPr>
            <w:tcW w:w="1043" w:type="pct"/>
            <w:tcBorders>
              <w:top w:val="nil"/>
              <w:left w:val="nil"/>
              <w:bottom w:val="nil"/>
              <w:right w:val="nil"/>
            </w:tcBorders>
          </w:tcPr>
          <w:p w14:paraId="3865DDFD" w14:textId="77777777" w:rsidR="00B54D51" w:rsidRPr="00037AD4" w:rsidRDefault="00B54D51" w:rsidP="00401C67">
            <w:pPr>
              <w:widowControl w:val="0"/>
              <w:autoSpaceDE w:val="0"/>
              <w:autoSpaceDN w:val="0"/>
              <w:adjustRightInd w:val="0"/>
              <w:jc w:val="center"/>
            </w:pPr>
            <w:r w:rsidRPr="00037AD4">
              <w:t>(-0.354 - 0.392)</w:t>
            </w:r>
          </w:p>
        </w:tc>
        <w:tc>
          <w:tcPr>
            <w:tcW w:w="1043" w:type="pct"/>
            <w:tcBorders>
              <w:top w:val="nil"/>
              <w:left w:val="nil"/>
              <w:bottom w:val="nil"/>
              <w:right w:val="nil"/>
            </w:tcBorders>
          </w:tcPr>
          <w:p w14:paraId="3702130B" w14:textId="77777777" w:rsidR="00B54D51" w:rsidRPr="00037AD4" w:rsidRDefault="00B54D51" w:rsidP="00401C67">
            <w:pPr>
              <w:widowControl w:val="0"/>
              <w:autoSpaceDE w:val="0"/>
              <w:autoSpaceDN w:val="0"/>
              <w:adjustRightInd w:val="0"/>
              <w:jc w:val="center"/>
            </w:pPr>
          </w:p>
        </w:tc>
        <w:tc>
          <w:tcPr>
            <w:tcW w:w="1043" w:type="pct"/>
            <w:tcBorders>
              <w:top w:val="nil"/>
              <w:left w:val="nil"/>
              <w:bottom w:val="nil"/>
              <w:right w:val="nil"/>
            </w:tcBorders>
          </w:tcPr>
          <w:p w14:paraId="65A1688E" w14:textId="77777777" w:rsidR="00B54D51" w:rsidRPr="00037AD4" w:rsidRDefault="00B54D51" w:rsidP="00401C67">
            <w:pPr>
              <w:widowControl w:val="0"/>
              <w:autoSpaceDE w:val="0"/>
              <w:autoSpaceDN w:val="0"/>
              <w:adjustRightInd w:val="0"/>
              <w:jc w:val="center"/>
            </w:pPr>
          </w:p>
        </w:tc>
        <w:tc>
          <w:tcPr>
            <w:tcW w:w="981" w:type="pct"/>
            <w:tcBorders>
              <w:top w:val="nil"/>
              <w:left w:val="nil"/>
              <w:bottom w:val="nil"/>
              <w:right w:val="nil"/>
            </w:tcBorders>
          </w:tcPr>
          <w:p w14:paraId="7C350E70" w14:textId="77777777" w:rsidR="00B54D51" w:rsidRPr="00037AD4" w:rsidRDefault="00B54D51" w:rsidP="00401C67">
            <w:pPr>
              <w:widowControl w:val="0"/>
              <w:autoSpaceDE w:val="0"/>
              <w:autoSpaceDN w:val="0"/>
              <w:adjustRightInd w:val="0"/>
              <w:jc w:val="center"/>
            </w:pPr>
          </w:p>
        </w:tc>
      </w:tr>
      <w:tr w:rsidR="00B54D51" w:rsidRPr="00037AD4" w14:paraId="26B1C36A" w14:textId="77777777" w:rsidTr="00401C67">
        <w:trPr>
          <w:jc w:val="center"/>
        </w:trPr>
        <w:tc>
          <w:tcPr>
            <w:tcW w:w="891" w:type="pct"/>
            <w:tcBorders>
              <w:top w:val="nil"/>
              <w:left w:val="nil"/>
              <w:bottom w:val="nil"/>
              <w:right w:val="nil"/>
            </w:tcBorders>
          </w:tcPr>
          <w:p w14:paraId="00E8A273" w14:textId="77777777" w:rsidR="00B54D51" w:rsidRPr="00037AD4" w:rsidRDefault="00B54D51" w:rsidP="00401C67">
            <w:pPr>
              <w:widowControl w:val="0"/>
              <w:autoSpaceDE w:val="0"/>
              <w:autoSpaceDN w:val="0"/>
              <w:adjustRightInd w:val="0"/>
            </w:pPr>
            <w:r w:rsidRPr="00037AD4">
              <w:t>4.eq1SR_</w:t>
            </w:r>
          </w:p>
        </w:tc>
        <w:tc>
          <w:tcPr>
            <w:tcW w:w="1043" w:type="pct"/>
            <w:tcBorders>
              <w:top w:val="nil"/>
              <w:left w:val="nil"/>
              <w:bottom w:val="nil"/>
              <w:right w:val="nil"/>
            </w:tcBorders>
          </w:tcPr>
          <w:p w14:paraId="77ACB6E5" w14:textId="77777777" w:rsidR="00B54D51" w:rsidRPr="00037AD4" w:rsidRDefault="00B54D51" w:rsidP="00401C67">
            <w:pPr>
              <w:widowControl w:val="0"/>
              <w:autoSpaceDE w:val="0"/>
              <w:autoSpaceDN w:val="0"/>
              <w:adjustRightInd w:val="0"/>
              <w:jc w:val="center"/>
            </w:pPr>
            <w:r w:rsidRPr="00037AD4">
              <w:t>0.562**</w:t>
            </w:r>
          </w:p>
        </w:tc>
        <w:tc>
          <w:tcPr>
            <w:tcW w:w="1043" w:type="pct"/>
            <w:tcBorders>
              <w:top w:val="nil"/>
              <w:left w:val="nil"/>
              <w:bottom w:val="nil"/>
              <w:right w:val="nil"/>
            </w:tcBorders>
          </w:tcPr>
          <w:p w14:paraId="37F153F9" w14:textId="77777777" w:rsidR="00B54D51" w:rsidRPr="00037AD4" w:rsidRDefault="00B54D51" w:rsidP="00401C67">
            <w:pPr>
              <w:widowControl w:val="0"/>
              <w:autoSpaceDE w:val="0"/>
              <w:autoSpaceDN w:val="0"/>
              <w:adjustRightInd w:val="0"/>
              <w:jc w:val="center"/>
            </w:pPr>
          </w:p>
        </w:tc>
        <w:tc>
          <w:tcPr>
            <w:tcW w:w="1043" w:type="pct"/>
            <w:tcBorders>
              <w:top w:val="nil"/>
              <w:left w:val="nil"/>
              <w:bottom w:val="nil"/>
              <w:right w:val="nil"/>
            </w:tcBorders>
          </w:tcPr>
          <w:p w14:paraId="402F4250" w14:textId="77777777" w:rsidR="00B54D51" w:rsidRPr="00037AD4" w:rsidRDefault="00B54D51" w:rsidP="00401C67">
            <w:pPr>
              <w:widowControl w:val="0"/>
              <w:autoSpaceDE w:val="0"/>
              <w:autoSpaceDN w:val="0"/>
              <w:adjustRightInd w:val="0"/>
              <w:jc w:val="center"/>
            </w:pPr>
          </w:p>
        </w:tc>
        <w:tc>
          <w:tcPr>
            <w:tcW w:w="981" w:type="pct"/>
            <w:tcBorders>
              <w:top w:val="nil"/>
              <w:left w:val="nil"/>
              <w:bottom w:val="nil"/>
              <w:right w:val="nil"/>
            </w:tcBorders>
          </w:tcPr>
          <w:p w14:paraId="700FBC25" w14:textId="77777777" w:rsidR="00B54D51" w:rsidRPr="00037AD4" w:rsidRDefault="00B54D51" w:rsidP="00401C67">
            <w:pPr>
              <w:widowControl w:val="0"/>
              <w:autoSpaceDE w:val="0"/>
              <w:autoSpaceDN w:val="0"/>
              <w:adjustRightInd w:val="0"/>
              <w:jc w:val="center"/>
            </w:pPr>
          </w:p>
        </w:tc>
      </w:tr>
      <w:tr w:rsidR="00B54D51" w:rsidRPr="00037AD4" w14:paraId="6FA9804D" w14:textId="77777777" w:rsidTr="00401C67">
        <w:trPr>
          <w:jc w:val="center"/>
        </w:trPr>
        <w:tc>
          <w:tcPr>
            <w:tcW w:w="891" w:type="pct"/>
            <w:tcBorders>
              <w:top w:val="nil"/>
              <w:left w:val="nil"/>
              <w:bottom w:val="nil"/>
              <w:right w:val="nil"/>
            </w:tcBorders>
          </w:tcPr>
          <w:p w14:paraId="0CA2899C" w14:textId="77777777" w:rsidR="00B54D51" w:rsidRPr="00037AD4" w:rsidRDefault="00B54D51" w:rsidP="00401C67">
            <w:pPr>
              <w:widowControl w:val="0"/>
              <w:autoSpaceDE w:val="0"/>
              <w:autoSpaceDN w:val="0"/>
              <w:adjustRightInd w:val="0"/>
            </w:pPr>
          </w:p>
        </w:tc>
        <w:tc>
          <w:tcPr>
            <w:tcW w:w="1043" w:type="pct"/>
            <w:tcBorders>
              <w:top w:val="nil"/>
              <w:left w:val="nil"/>
              <w:bottom w:val="nil"/>
              <w:right w:val="nil"/>
            </w:tcBorders>
          </w:tcPr>
          <w:p w14:paraId="5285DFD1" w14:textId="77777777" w:rsidR="00B54D51" w:rsidRPr="00037AD4" w:rsidRDefault="00B54D51" w:rsidP="00401C67">
            <w:pPr>
              <w:widowControl w:val="0"/>
              <w:autoSpaceDE w:val="0"/>
              <w:autoSpaceDN w:val="0"/>
              <w:adjustRightInd w:val="0"/>
              <w:jc w:val="center"/>
            </w:pPr>
            <w:r w:rsidRPr="00037AD4">
              <w:t>(0.096 - 1.028)</w:t>
            </w:r>
          </w:p>
        </w:tc>
        <w:tc>
          <w:tcPr>
            <w:tcW w:w="1043" w:type="pct"/>
            <w:tcBorders>
              <w:top w:val="nil"/>
              <w:left w:val="nil"/>
              <w:bottom w:val="nil"/>
              <w:right w:val="nil"/>
            </w:tcBorders>
          </w:tcPr>
          <w:p w14:paraId="74E82CF7" w14:textId="77777777" w:rsidR="00B54D51" w:rsidRPr="00037AD4" w:rsidRDefault="00B54D51" w:rsidP="00401C67">
            <w:pPr>
              <w:widowControl w:val="0"/>
              <w:autoSpaceDE w:val="0"/>
              <w:autoSpaceDN w:val="0"/>
              <w:adjustRightInd w:val="0"/>
              <w:jc w:val="center"/>
            </w:pPr>
          </w:p>
        </w:tc>
        <w:tc>
          <w:tcPr>
            <w:tcW w:w="1043" w:type="pct"/>
            <w:tcBorders>
              <w:top w:val="nil"/>
              <w:left w:val="nil"/>
              <w:bottom w:val="nil"/>
              <w:right w:val="nil"/>
            </w:tcBorders>
          </w:tcPr>
          <w:p w14:paraId="0A11E9FB" w14:textId="77777777" w:rsidR="00B54D51" w:rsidRPr="00037AD4" w:rsidRDefault="00B54D51" w:rsidP="00401C67">
            <w:pPr>
              <w:widowControl w:val="0"/>
              <w:autoSpaceDE w:val="0"/>
              <w:autoSpaceDN w:val="0"/>
              <w:adjustRightInd w:val="0"/>
              <w:jc w:val="center"/>
            </w:pPr>
          </w:p>
        </w:tc>
        <w:tc>
          <w:tcPr>
            <w:tcW w:w="981" w:type="pct"/>
            <w:tcBorders>
              <w:top w:val="nil"/>
              <w:left w:val="nil"/>
              <w:bottom w:val="nil"/>
              <w:right w:val="nil"/>
            </w:tcBorders>
          </w:tcPr>
          <w:p w14:paraId="6C4A0B89" w14:textId="77777777" w:rsidR="00B54D51" w:rsidRPr="00037AD4" w:rsidRDefault="00B54D51" w:rsidP="00401C67">
            <w:pPr>
              <w:widowControl w:val="0"/>
              <w:autoSpaceDE w:val="0"/>
              <w:autoSpaceDN w:val="0"/>
              <w:adjustRightInd w:val="0"/>
              <w:jc w:val="center"/>
            </w:pPr>
          </w:p>
        </w:tc>
      </w:tr>
      <w:tr w:rsidR="00B54D51" w:rsidRPr="00037AD4" w14:paraId="299F1600" w14:textId="77777777" w:rsidTr="00401C67">
        <w:trPr>
          <w:jc w:val="center"/>
        </w:trPr>
        <w:tc>
          <w:tcPr>
            <w:tcW w:w="891" w:type="pct"/>
            <w:tcBorders>
              <w:top w:val="nil"/>
              <w:left w:val="nil"/>
              <w:bottom w:val="nil"/>
              <w:right w:val="nil"/>
            </w:tcBorders>
          </w:tcPr>
          <w:p w14:paraId="54ABFBCA" w14:textId="77777777" w:rsidR="00B54D51" w:rsidRPr="00037AD4" w:rsidRDefault="00B54D51" w:rsidP="00401C67">
            <w:pPr>
              <w:widowControl w:val="0"/>
              <w:autoSpaceDE w:val="0"/>
              <w:autoSpaceDN w:val="0"/>
              <w:adjustRightInd w:val="0"/>
            </w:pPr>
            <w:r w:rsidRPr="00037AD4">
              <w:t>5.eq1SR_</w:t>
            </w:r>
          </w:p>
        </w:tc>
        <w:tc>
          <w:tcPr>
            <w:tcW w:w="1043" w:type="pct"/>
            <w:tcBorders>
              <w:top w:val="nil"/>
              <w:left w:val="nil"/>
              <w:bottom w:val="nil"/>
              <w:right w:val="nil"/>
            </w:tcBorders>
          </w:tcPr>
          <w:p w14:paraId="64E74AEC" w14:textId="77777777" w:rsidR="00B54D51" w:rsidRPr="00037AD4" w:rsidRDefault="00B54D51" w:rsidP="00401C67">
            <w:pPr>
              <w:widowControl w:val="0"/>
              <w:autoSpaceDE w:val="0"/>
              <w:autoSpaceDN w:val="0"/>
              <w:adjustRightInd w:val="0"/>
              <w:jc w:val="center"/>
            </w:pPr>
            <w:r w:rsidRPr="00037AD4">
              <w:t>0.425**</w:t>
            </w:r>
          </w:p>
        </w:tc>
        <w:tc>
          <w:tcPr>
            <w:tcW w:w="1043" w:type="pct"/>
            <w:tcBorders>
              <w:top w:val="nil"/>
              <w:left w:val="nil"/>
              <w:bottom w:val="nil"/>
              <w:right w:val="nil"/>
            </w:tcBorders>
          </w:tcPr>
          <w:p w14:paraId="18323812" w14:textId="77777777" w:rsidR="00B54D51" w:rsidRPr="00037AD4" w:rsidRDefault="00B54D51" w:rsidP="00401C67">
            <w:pPr>
              <w:widowControl w:val="0"/>
              <w:autoSpaceDE w:val="0"/>
              <w:autoSpaceDN w:val="0"/>
              <w:adjustRightInd w:val="0"/>
              <w:jc w:val="center"/>
            </w:pPr>
          </w:p>
        </w:tc>
        <w:tc>
          <w:tcPr>
            <w:tcW w:w="1043" w:type="pct"/>
            <w:tcBorders>
              <w:top w:val="nil"/>
              <w:left w:val="nil"/>
              <w:bottom w:val="nil"/>
              <w:right w:val="nil"/>
            </w:tcBorders>
          </w:tcPr>
          <w:p w14:paraId="599DD970" w14:textId="77777777" w:rsidR="00B54D51" w:rsidRPr="00037AD4" w:rsidRDefault="00B54D51" w:rsidP="00401C67">
            <w:pPr>
              <w:widowControl w:val="0"/>
              <w:autoSpaceDE w:val="0"/>
              <w:autoSpaceDN w:val="0"/>
              <w:adjustRightInd w:val="0"/>
              <w:jc w:val="center"/>
            </w:pPr>
          </w:p>
        </w:tc>
        <w:tc>
          <w:tcPr>
            <w:tcW w:w="981" w:type="pct"/>
            <w:tcBorders>
              <w:top w:val="nil"/>
              <w:left w:val="nil"/>
              <w:bottom w:val="nil"/>
              <w:right w:val="nil"/>
            </w:tcBorders>
          </w:tcPr>
          <w:p w14:paraId="17AB81CB" w14:textId="77777777" w:rsidR="00B54D51" w:rsidRPr="00037AD4" w:rsidRDefault="00B54D51" w:rsidP="00401C67">
            <w:pPr>
              <w:widowControl w:val="0"/>
              <w:autoSpaceDE w:val="0"/>
              <w:autoSpaceDN w:val="0"/>
              <w:adjustRightInd w:val="0"/>
              <w:jc w:val="center"/>
            </w:pPr>
          </w:p>
        </w:tc>
      </w:tr>
      <w:tr w:rsidR="00B54D51" w:rsidRPr="00037AD4" w14:paraId="42C72F18" w14:textId="77777777" w:rsidTr="00401C67">
        <w:trPr>
          <w:jc w:val="center"/>
        </w:trPr>
        <w:tc>
          <w:tcPr>
            <w:tcW w:w="891" w:type="pct"/>
            <w:tcBorders>
              <w:top w:val="nil"/>
              <w:left w:val="nil"/>
              <w:bottom w:val="nil"/>
              <w:right w:val="nil"/>
            </w:tcBorders>
          </w:tcPr>
          <w:p w14:paraId="571BBBE4" w14:textId="77777777" w:rsidR="00B54D51" w:rsidRPr="00037AD4" w:rsidRDefault="00B54D51" w:rsidP="00401C67">
            <w:pPr>
              <w:widowControl w:val="0"/>
              <w:autoSpaceDE w:val="0"/>
              <w:autoSpaceDN w:val="0"/>
              <w:adjustRightInd w:val="0"/>
            </w:pPr>
          </w:p>
        </w:tc>
        <w:tc>
          <w:tcPr>
            <w:tcW w:w="1043" w:type="pct"/>
            <w:tcBorders>
              <w:top w:val="nil"/>
              <w:left w:val="nil"/>
              <w:bottom w:val="nil"/>
              <w:right w:val="nil"/>
            </w:tcBorders>
          </w:tcPr>
          <w:p w14:paraId="5E03F504" w14:textId="77777777" w:rsidR="00B54D51" w:rsidRPr="00037AD4" w:rsidRDefault="00B54D51" w:rsidP="00401C67">
            <w:pPr>
              <w:widowControl w:val="0"/>
              <w:autoSpaceDE w:val="0"/>
              <w:autoSpaceDN w:val="0"/>
              <w:adjustRightInd w:val="0"/>
              <w:jc w:val="center"/>
            </w:pPr>
            <w:r w:rsidRPr="00037AD4">
              <w:t>(0.053 - 0.797)</w:t>
            </w:r>
          </w:p>
        </w:tc>
        <w:tc>
          <w:tcPr>
            <w:tcW w:w="1043" w:type="pct"/>
            <w:tcBorders>
              <w:top w:val="nil"/>
              <w:left w:val="nil"/>
              <w:bottom w:val="nil"/>
              <w:right w:val="nil"/>
            </w:tcBorders>
          </w:tcPr>
          <w:p w14:paraId="58DB7677" w14:textId="77777777" w:rsidR="00B54D51" w:rsidRPr="00037AD4" w:rsidRDefault="00B54D51" w:rsidP="00401C67">
            <w:pPr>
              <w:widowControl w:val="0"/>
              <w:autoSpaceDE w:val="0"/>
              <w:autoSpaceDN w:val="0"/>
              <w:adjustRightInd w:val="0"/>
              <w:jc w:val="center"/>
            </w:pPr>
          </w:p>
        </w:tc>
        <w:tc>
          <w:tcPr>
            <w:tcW w:w="1043" w:type="pct"/>
            <w:tcBorders>
              <w:top w:val="nil"/>
              <w:left w:val="nil"/>
              <w:bottom w:val="nil"/>
              <w:right w:val="nil"/>
            </w:tcBorders>
          </w:tcPr>
          <w:p w14:paraId="765C8F2A" w14:textId="77777777" w:rsidR="00B54D51" w:rsidRPr="00037AD4" w:rsidRDefault="00B54D51" w:rsidP="00401C67">
            <w:pPr>
              <w:widowControl w:val="0"/>
              <w:autoSpaceDE w:val="0"/>
              <w:autoSpaceDN w:val="0"/>
              <w:adjustRightInd w:val="0"/>
              <w:jc w:val="center"/>
            </w:pPr>
          </w:p>
        </w:tc>
        <w:tc>
          <w:tcPr>
            <w:tcW w:w="981" w:type="pct"/>
            <w:tcBorders>
              <w:top w:val="nil"/>
              <w:left w:val="nil"/>
              <w:bottom w:val="nil"/>
              <w:right w:val="nil"/>
            </w:tcBorders>
          </w:tcPr>
          <w:p w14:paraId="57ED3997" w14:textId="77777777" w:rsidR="00B54D51" w:rsidRPr="00037AD4" w:rsidRDefault="00B54D51" w:rsidP="00401C67">
            <w:pPr>
              <w:widowControl w:val="0"/>
              <w:autoSpaceDE w:val="0"/>
              <w:autoSpaceDN w:val="0"/>
              <w:adjustRightInd w:val="0"/>
              <w:jc w:val="center"/>
            </w:pPr>
          </w:p>
        </w:tc>
      </w:tr>
      <w:tr w:rsidR="00B54D51" w:rsidRPr="00037AD4" w14:paraId="406E097D" w14:textId="77777777" w:rsidTr="00401C67">
        <w:trPr>
          <w:jc w:val="center"/>
        </w:trPr>
        <w:tc>
          <w:tcPr>
            <w:tcW w:w="891" w:type="pct"/>
            <w:tcBorders>
              <w:top w:val="nil"/>
              <w:left w:val="nil"/>
              <w:bottom w:val="nil"/>
              <w:right w:val="nil"/>
            </w:tcBorders>
          </w:tcPr>
          <w:p w14:paraId="6E66925E" w14:textId="77777777" w:rsidR="00B54D51" w:rsidRPr="00037AD4" w:rsidRDefault="00B54D51" w:rsidP="00401C67">
            <w:pPr>
              <w:widowControl w:val="0"/>
              <w:autoSpaceDE w:val="0"/>
              <w:autoSpaceDN w:val="0"/>
              <w:adjustRightInd w:val="0"/>
            </w:pPr>
            <w:r w:rsidRPr="00037AD4">
              <w:t>2.eq2SR_</w:t>
            </w:r>
          </w:p>
        </w:tc>
        <w:tc>
          <w:tcPr>
            <w:tcW w:w="1043" w:type="pct"/>
            <w:tcBorders>
              <w:top w:val="nil"/>
              <w:left w:val="nil"/>
              <w:bottom w:val="nil"/>
              <w:right w:val="nil"/>
            </w:tcBorders>
          </w:tcPr>
          <w:p w14:paraId="700A1A81" w14:textId="77777777" w:rsidR="00B54D51" w:rsidRPr="00037AD4" w:rsidRDefault="00B54D51" w:rsidP="00401C67">
            <w:pPr>
              <w:widowControl w:val="0"/>
              <w:autoSpaceDE w:val="0"/>
              <w:autoSpaceDN w:val="0"/>
              <w:adjustRightInd w:val="0"/>
              <w:jc w:val="center"/>
            </w:pPr>
            <w:r w:rsidRPr="00037AD4">
              <w:t>-0.079</w:t>
            </w:r>
          </w:p>
        </w:tc>
        <w:tc>
          <w:tcPr>
            <w:tcW w:w="1043" w:type="pct"/>
            <w:tcBorders>
              <w:top w:val="nil"/>
              <w:left w:val="nil"/>
              <w:bottom w:val="nil"/>
              <w:right w:val="nil"/>
            </w:tcBorders>
          </w:tcPr>
          <w:p w14:paraId="4EA7B887" w14:textId="77777777" w:rsidR="00B54D51" w:rsidRPr="00037AD4" w:rsidRDefault="00B54D51" w:rsidP="00401C67">
            <w:pPr>
              <w:widowControl w:val="0"/>
              <w:autoSpaceDE w:val="0"/>
              <w:autoSpaceDN w:val="0"/>
              <w:adjustRightInd w:val="0"/>
              <w:jc w:val="center"/>
            </w:pPr>
          </w:p>
        </w:tc>
        <w:tc>
          <w:tcPr>
            <w:tcW w:w="1043" w:type="pct"/>
            <w:tcBorders>
              <w:top w:val="nil"/>
              <w:left w:val="nil"/>
              <w:bottom w:val="nil"/>
              <w:right w:val="nil"/>
            </w:tcBorders>
          </w:tcPr>
          <w:p w14:paraId="135F0204" w14:textId="77777777" w:rsidR="00B54D51" w:rsidRPr="00037AD4" w:rsidRDefault="00B54D51" w:rsidP="00401C67">
            <w:pPr>
              <w:widowControl w:val="0"/>
              <w:autoSpaceDE w:val="0"/>
              <w:autoSpaceDN w:val="0"/>
              <w:adjustRightInd w:val="0"/>
              <w:jc w:val="center"/>
            </w:pPr>
          </w:p>
        </w:tc>
        <w:tc>
          <w:tcPr>
            <w:tcW w:w="981" w:type="pct"/>
            <w:tcBorders>
              <w:top w:val="nil"/>
              <w:left w:val="nil"/>
              <w:bottom w:val="nil"/>
              <w:right w:val="nil"/>
            </w:tcBorders>
          </w:tcPr>
          <w:p w14:paraId="3EDD074E" w14:textId="77777777" w:rsidR="00B54D51" w:rsidRPr="00037AD4" w:rsidRDefault="00B54D51" w:rsidP="00401C67">
            <w:pPr>
              <w:widowControl w:val="0"/>
              <w:autoSpaceDE w:val="0"/>
              <w:autoSpaceDN w:val="0"/>
              <w:adjustRightInd w:val="0"/>
              <w:jc w:val="center"/>
            </w:pPr>
          </w:p>
        </w:tc>
      </w:tr>
      <w:tr w:rsidR="00B54D51" w:rsidRPr="00037AD4" w14:paraId="438391B2" w14:textId="77777777" w:rsidTr="00401C67">
        <w:trPr>
          <w:jc w:val="center"/>
        </w:trPr>
        <w:tc>
          <w:tcPr>
            <w:tcW w:w="891" w:type="pct"/>
            <w:tcBorders>
              <w:top w:val="nil"/>
              <w:left w:val="nil"/>
              <w:bottom w:val="nil"/>
              <w:right w:val="nil"/>
            </w:tcBorders>
          </w:tcPr>
          <w:p w14:paraId="586EC531" w14:textId="77777777" w:rsidR="00B54D51" w:rsidRPr="00037AD4" w:rsidRDefault="00B54D51" w:rsidP="00401C67">
            <w:pPr>
              <w:widowControl w:val="0"/>
              <w:autoSpaceDE w:val="0"/>
              <w:autoSpaceDN w:val="0"/>
              <w:adjustRightInd w:val="0"/>
            </w:pPr>
          </w:p>
        </w:tc>
        <w:tc>
          <w:tcPr>
            <w:tcW w:w="1043" w:type="pct"/>
            <w:tcBorders>
              <w:top w:val="nil"/>
              <w:left w:val="nil"/>
              <w:bottom w:val="nil"/>
              <w:right w:val="nil"/>
            </w:tcBorders>
          </w:tcPr>
          <w:p w14:paraId="2C8FDF44" w14:textId="77777777" w:rsidR="00B54D51" w:rsidRPr="00037AD4" w:rsidRDefault="00B54D51" w:rsidP="00401C67">
            <w:pPr>
              <w:widowControl w:val="0"/>
              <w:autoSpaceDE w:val="0"/>
              <w:autoSpaceDN w:val="0"/>
              <w:adjustRightInd w:val="0"/>
              <w:jc w:val="center"/>
            </w:pPr>
            <w:r w:rsidRPr="00037AD4">
              <w:t>(-0.356 - 0.199)</w:t>
            </w:r>
          </w:p>
        </w:tc>
        <w:tc>
          <w:tcPr>
            <w:tcW w:w="1043" w:type="pct"/>
            <w:tcBorders>
              <w:top w:val="nil"/>
              <w:left w:val="nil"/>
              <w:bottom w:val="nil"/>
              <w:right w:val="nil"/>
            </w:tcBorders>
          </w:tcPr>
          <w:p w14:paraId="2674EDD9" w14:textId="77777777" w:rsidR="00B54D51" w:rsidRPr="00037AD4" w:rsidRDefault="00B54D51" w:rsidP="00401C67">
            <w:pPr>
              <w:widowControl w:val="0"/>
              <w:autoSpaceDE w:val="0"/>
              <w:autoSpaceDN w:val="0"/>
              <w:adjustRightInd w:val="0"/>
              <w:jc w:val="center"/>
            </w:pPr>
          </w:p>
        </w:tc>
        <w:tc>
          <w:tcPr>
            <w:tcW w:w="1043" w:type="pct"/>
            <w:tcBorders>
              <w:top w:val="nil"/>
              <w:left w:val="nil"/>
              <w:bottom w:val="nil"/>
              <w:right w:val="nil"/>
            </w:tcBorders>
          </w:tcPr>
          <w:p w14:paraId="6ED575DF" w14:textId="77777777" w:rsidR="00B54D51" w:rsidRPr="00037AD4" w:rsidRDefault="00B54D51" w:rsidP="00401C67">
            <w:pPr>
              <w:widowControl w:val="0"/>
              <w:autoSpaceDE w:val="0"/>
              <w:autoSpaceDN w:val="0"/>
              <w:adjustRightInd w:val="0"/>
              <w:jc w:val="center"/>
            </w:pPr>
          </w:p>
        </w:tc>
        <w:tc>
          <w:tcPr>
            <w:tcW w:w="981" w:type="pct"/>
            <w:tcBorders>
              <w:top w:val="nil"/>
              <w:left w:val="nil"/>
              <w:bottom w:val="nil"/>
              <w:right w:val="nil"/>
            </w:tcBorders>
          </w:tcPr>
          <w:p w14:paraId="0E17D643" w14:textId="77777777" w:rsidR="00B54D51" w:rsidRPr="00037AD4" w:rsidRDefault="00B54D51" w:rsidP="00401C67">
            <w:pPr>
              <w:widowControl w:val="0"/>
              <w:autoSpaceDE w:val="0"/>
              <w:autoSpaceDN w:val="0"/>
              <w:adjustRightInd w:val="0"/>
              <w:jc w:val="center"/>
            </w:pPr>
          </w:p>
        </w:tc>
      </w:tr>
      <w:tr w:rsidR="00B54D51" w:rsidRPr="00037AD4" w14:paraId="5B86FCA0" w14:textId="77777777" w:rsidTr="00401C67">
        <w:trPr>
          <w:jc w:val="center"/>
        </w:trPr>
        <w:tc>
          <w:tcPr>
            <w:tcW w:w="891" w:type="pct"/>
            <w:tcBorders>
              <w:top w:val="nil"/>
              <w:left w:val="nil"/>
              <w:bottom w:val="nil"/>
              <w:right w:val="nil"/>
            </w:tcBorders>
          </w:tcPr>
          <w:p w14:paraId="29792CD6" w14:textId="77777777" w:rsidR="00B54D51" w:rsidRPr="00037AD4" w:rsidRDefault="00B54D51" w:rsidP="00401C67">
            <w:pPr>
              <w:widowControl w:val="0"/>
              <w:autoSpaceDE w:val="0"/>
              <w:autoSpaceDN w:val="0"/>
              <w:adjustRightInd w:val="0"/>
            </w:pPr>
            <w:r w:rsidRPr="00037AD4">
              <w:t>3.eq2SR_</w:t>
            </w:r>
          </w:p>
        </w:tc>
        <w:tc>
          <w:tcPr>
            <w:tcW w:w="1043" w:type="pct"/>
            <w:tcBorders>
              <w:top w:val="nil"/>
              <w:left w:val="nil"/>
              <w:bottom w:val="nil"/>
              <w:right w:val="nil"/>
            </w:tcBorders>
          </w:tcPr>
          <w:p w14:paraId="28B9D90C" w14:textId="77777777" w:rsidR="00B54D51" w:rsidRPr="00037AD4" w:rsidRDefault="00B54D51" w:rsidP="00401C67">
            <w:pPr>
              <w:widowControl w:val="0"/>
              <w:autoSpaceDE w:val="0"/>
              <w:autoSpaceDN w:val="0"/>
              <w:adjustRightInd w:val="0"/>
              <w:jc w:val="center"/>
            </w:pPr>
            <w:r w:rsidRPr="00037AD4">
              <w:t>-0.066</w:t>
            </w:r>
          </w:p>
        </w:tc>
        <w:tc>
          <w:tcPr>
            <w:tcW w:w="1043" w:type="pct"/>
            <w:tcBorders>
              <w:top w:val="nil"/>
              <w:left w:val="nil"/>
              <w:bottom w:val="nil"/>
              <w:right w:val="nil"/>
            </w:tcBorders>
          </w:tcPr>
          <w:p w14:paraId="7CC869E3" w14:textId="77777777" w:rsidR="00B54D51" w:rsidRPr="00037AD4" w:rsidRDefault="00B54D51" w:rsidP="00401C67">
            <w:pPr>
              <w:widowControl w:val="0"/>
              <w:autoSpaceDE w:val="0"/>
              <w:autoSpaceDN w:val="0"/>
              <w:adjustRightInd w:val="0"/>
              <w:jc w:val="center"/>
            </w:pPr>
          </w:p>
        </w:tc>
        <w:tc>
          <w:tcPr>
            <w:tcW w:w="1043" w:type="pct"/>
            <w:tcBorders>
              <w:top w:val="nil"/>
              <w:left w:val="nil"/>
              <w:bottom w:val="nil"/>
              <w:right w:val="nil"/>
            </w:tcBorders>
          </w:tcPr>
          <w:p w14:paraId="2F932313" w14:textId="77777777" w:rsidR="00B54D51" w:rsidRPr="00037AD4" w:rsidRDefault="00B54D51" w:rsidP="00401C67">
            <w:pPr>
              <w:widowControl w:val="0"/>
              <w:autoSpaceDE w:val="0"/>
              <w:autoSpaceDN w:val="0"/>
              <w:adjustRightInd w:val="0"/>
              <w:jc w:val="center"/>
            </w:pPr>
          </w:p>
        </w:tc>
        <w:tc>
          <w:tcPr>
            <w:tcW w:w="981" w:type="pct"/>
            <w:tcBorders>
              <w:top w:val="nil"/>
              <w:left w:val="nil"/>
              <w:bottom w:val="nil"/>
              <w:right w:val="nil"/>
            </w:tcBorders>
          </w:tcPr>
          <w:p w14:paraId="3AB56240" w14:textId="77777777" w:rsidR="00B54D51" w:rsidRPr="00037AD4" w:rsidRDefault="00B54D51" w:rsidP="00401C67">
            <w:pPr>
              <w:widowControl w:val="0"/>
              <w:autoSpaceDE w:val="0"/>
              <w:autoSpaceDN w:val="0"/>
              <w:adjustRightInd w:val="0"/>
              <w:jc w:val="center"/>
            </w:pPr>
          </w:p>
        </w:tc>
      </w:tr>
      <w:tr w:rsidR="00B54D51" w:rsidRPr="00037AD4" w14:paraId="0F9A5993" w14:textId="77777777" w:rsidTr="00401C67">
        <w:trPr>
          <w:jc w:val="center"/>
        </w:trPr>
        <w:tc>
          <w:tcPr>
            <w:tcW w:w="891" w:type="pct"/>
            <w:tcBorders>
              <w:top w:val="nil"/>
              <w:left w:val="nil"/>
              <w:bottom w:val="nil"/>
              <w:right w:val="nil"/>
            </w:tcBorders>
          </w:tcPr>
          <w:p w14:paraId="64967BFC" w14:textId="77777777" w:rsidR="00B54D51" w:rsidRPr="00037AD4" w:rsidRDefault="00B54D51" w:rsidP="00401C67">
            <w:pPr>
              <w:widowControl w:val="0"/>
              <w:autoSpaceDE w:val="0"/>
              <w:autoSpaceDN w:val="0"/>
              <w:adjustRightInd w:val="0"/>
            </w:pPr>
          </w:p>
        </w:tc>
        <w:tc>
          <w:tcPr>
            <w:tcW w:w="1043" w:type="pct"/>
            <w:tcBorders>
              <w:top w:val="nil"/>
              <w:left w:val="nil"/>
              <w:bottom w:val="nil"/>
              <w:right w:val="nil"/>
            </w:tcBorders>
          </w:tcPr>
          <w:p w14:paraId="7C1F6808" w14:textId="77777777" w:rsidR="00B54D51" w:rsidRPr="00037AD4" w:rsidRDefault="00B54D51" w:rsidP="00401C67">
            <w:pPr>
              <w:widowControl w:val="0"/>
              <w:autoSpaceDE w:val="0"/>
              <w:autoSpaceDN w:val="0"/>
              <w:adjustRightInd w:val="0"/>
              <w:jc w:val="center"/>
            </w:pPr>
            <w:r w:rsidRPr="00037AD4">
              <w:t>(-0.398 - 0.267)</w:t>
            </w:r>
          </w:p>
        </w:tc>
        <w:tc>
          <w:tcPr>
            <w:tcW w:w="1043" w:type="pct"/>
            <w:tcBorders>
              <w:top w:val="nil"/>
              <w:left w:val="nil"/>
              <w:bottom w:val="nil"/>
              <w:right w:val="nil"/>
            </w:tcBorders>
          </w:tcPr>
          <w:p w14:paraId="5BE6F3EA" w14:textId="77777777" w:rsidR="00B54D51" w:rsidRPr="00037AD4" w:rsidRDefault="00B54D51" w:rsidP="00401C67">
            <w:pPr>
              <w:widowControl w:val="0"/>
              <w:autoSpaceDE w:val="0"/>
              <w:autoSpaceDN w:val="0"/>
              <w:adjustRightInd w:val="0"/>
              <w:jc w:val="center"/>
            </w:pPr>
          </w:p>
        </w:tc>
        <w:tc>
          <w:tcPr>
            <w:tcW w:w="1043" w:type="pct"/>
            <w:tcBorders>
              <w:top w:val="nil"/>
              <w:left w:val="nil"/>
              <w:bottom w:val="nil"/>
              <w:right w:val="nil"/>
            </w:tcBorders>
          </w:tcPr>
          <w:p w14:paraId="46283F55" w14:textId="77777777" w:rsidR="00B54D51" w:rsidRPr="00037AD4" w:rsidRDefault="00B54D51" w:rsidP="00401C67">
            <w:pPr>
              <w:widowControl w:val="0"/>
              <w:autoSpaceDE w:val="0"/>
              <w:autoSpaceDN w:val="0"/>
              <w:adjustRightInd w:val="0"/>
              <w:jc w:val="center"/>
            </w:pPr>
          </w:p>
        </w:tc>
        <w:tc>
          <w:tcPr>
            <w:tcW w:w="981" w:type="pct"/>
            <w:tcBorders>
              <w:top w:val="nil"/>
              <w:left w:val="nil"/>
              <w:bottom w:val="nil"/>
              <w:right w:val="nil"/>
            </w:tcBorders>
          </w:tcPr>
          <w:p w14:paraId="11128C3A" w14:textId="77777777" w:rsidR="00B54D51" w:rsidRPr="00037AD4" w:rsidRDefault="00B54D51" w:rsidP="00401C67">
            <w:pPr>
              <w:widowControl w:val="0"/>
              <w:autoSpaceDE w:val="0"/>
              <w:autoSpaceDN w:val="0"/>
              <w:adjustRightInd w:val="0"/>
              <w:jc w:val="center"/>
            </w:pPr>
          </w:p>
        </w:tc>
      </w:tr>
      <w:tr w:rsidR="00B54D51" w:rsidRPr="00037AD4" w14:paraId="3423C982" w14:textId="77777777" w:rsidTr="00401C67">
        <w:trPr>
          <w:jc w:val="center"/>
        </w:trPr>
        <w:tc>
          <w:tcPr>
            <w:tcW w:w="891" w:type="pct"/>
            <w:tcBorders>
              <w:top w:val="nil"/>
              <w:left w:val="nil"/>
              <w:bottom w:val="nil"/>
              <w:right w:val="nil"/>
            </w:tcBorders>
          </w:tcPr>
          <w:p w14:paraId="2F6B2156" w14:textId="77777777" w:rsidR="00B54D51" w:rsidRPr="00037AD4" w:rsidRDefault="00B54D51" w:rsidP="00401C67">
            <w:pPr>
              <w:widowControl w:val="0"/>
              <w:autoSpaceDE w:val="0"/>
              <w:autoSpaceDN w:val="0"/>
              <w:adjustRightInd w:val="0"/>
            </w:pPr>
            <w:r w:rsidRPr="00037AD4">
              <w:t>4.eq2SR_</w:t>
            </w:r>
          </w:p>
        </w:tc>
        <w:tc>
          <w:tcPr>
            <w:tcW w:w="1043" w:type="pct"/>
            <w:tcBorders>
              <w:top w:val="nil"/>
              <w:left w:val="nil"/>
              <w:bottom w:val="nil"/>
              <w:right w:val="nil"/>
            </w:tcBorders>
          </w:tcPr>
          <w:p w14:paraId="3BEABE47" w14:textId="77777777" w:rsidR="00B54D51" w:rsidRPr="00037AD4" w:rsidRDefault="00B54D51" w:rsidP="00401C67">
            <w:pPr>
              <w:widowControl w:val="0"/>
              <w:autoSpaceDE w:val="0"/>
              <w:autoSpaceDN w:val="0"/>
              <w:adjustRightInd w:val="0"/>
              <w:jc w:val="center"/>
            </w:pPr>
            <w:r w:rsidRPr="00037AD4">
              <w:t>-0.099</w:t>
            </w:r>
          </w:p>
        </w:tc>
        <w:tc>
          <w:tcPr>
            <w:tcW w:w="1043" w:type="pct"/>
            <w:tcBorders>
              <w:top w:val="nil"/>
              <w:left w:val="nil"/>
              <w:bottom w:val="nil"/>
              <w:right w:val="nil"/>
            </w:tcBorders>
          </w:tcPr>
          <w:p w14:paraId="3792820F" w14:textId="77777777" w:rsidR="00B54D51" w:rsidRPr="00037AD4" w:rsidRDefault="00B54D51" w:rsidP="00401C67">
            <w:pPr>
              <w:widowControl w:val="0"/>
              <w:autoSpaceDE w:val="0"/>
              <w:autoSpaceDN w:val="0"/>
              <w:adjustRightInd w:val="0"/>
              <w:jc w:val="center"/>
            </w:pPr>
          </w:p>
        </w:tc>
        <w:tc>
          <w:tcPr>
            <w:tcW w:w="1043" w:type="pct"/>
            <w:tcBorders>
              <w:top w:val="nil"/>
              <w:left w:val="nil"/>
              <w:bottom w:val="nil"/>
              <w:right w:val="nil"/>
            </w:tcBorders>
          </w:tcPr>
          <w:p w14:paraId="0A94523E" w14:textId="77777777" w:rsidR="00B54D51" w:rsidRPr="00037AD4" w:rsidRDefault="00B54D51" w:rsidP="00401C67">
            <w:pPr>
              <w:widowControl w:val="0"/>
              <w:autoSpaceDE w:val="0"/>
              <w:autoSpaceDN w:val="0"/>
              <w:adjustRightInd w:val="0"/>
              <w:jc w:val="center"/>
            </w:pPr>
          </w:p>
        </w:tc>
        <w:tc>
          <w:tcPr>
            <w:tcW w:w="981" w:type="pct"/>
            <w:tcBorders>
              <w:top w:val="nil"/>
              <w:left w:val="nil"/>
              <w:bottom w:val="nil"/>
              <w:right w:val="nil"/>
            </w:tcBorders>
          </w:tcPr>
          <w:p w14:paraId="7723D15D" w14:textId="77777777" w:rsidR="00B54D51" w:rsidRPr="00037AD4" w:rsidRDefault="00B54D51" w:rsidP="00401C67">
            <w:pPr>
              <w:widowControl w:val="0"/>
              <w:autoSpaceDE w:val="0"/>
              <w:autoSpaceDN w:val="0"/>
              <w:adjustRightInd w:val="0"/>
              <w:jc w:val="center"/>
            </w:pPr>
          </w:p>
        </w:tc>
      </w:tr>
      <w:tr w:rsidR="00B54D51" w:rsidRPr="00037AD4" w14:paraId="19A547B4" w14:textId="77777777" w:rsidTr="00401C67">
        <w:trPr>
          <w:jc w:val="center"/>
        </w:trPr>
        <w:tc>
          <w:tcPr>
            <w:tcW w:w="891" w:type="pct"/>
            <w:tcBorders>
              <w:top w:val="nil"/>
              <w:left w:val="nil"/>
              <w:bottom w:val="nil"/>
              <w:right w:val="nil"/>
            </w:tcBorders>
          </w:tcPr>
          <w:p w14:paraId="5BF64948" w14:textId="77777777" w:rsidR="00B54D51" w:rsidRPr="00037AD4" w:rsidRDefault="00B54D51" w:rsidP="00401C67">
            <w:pPr>
              <w:widowControl w:val="0"/>
              <w:autoSpaceDE w:val="0"/>
              <w:autoSpaceDN w:val="0"/>
              <w:adjustRightInd w:val="0"/>
            </w:pPr>
          </w:p>
        </w:tc>
        <w:tc>
          <w:tcPr>
            <w:tcW w:w="1043" w:type="pct"/>
            <w:tcBorders>
              <w:top w:val="nil"/>
              <w:left w:val="nil"/>
              <w:bottom w:val="nil"/>
              <w:right w:val="nil"/>
            </w:tcBorders>
          </w:tcPr>
          <w:p w14:paraId="12662CD2" w14:textId="77777777" w:rsidR="00B54D51" w:rsidRPr="00037AD4" w:rsidRDefault="00B54D51" w:rsidP="00401C67">
            <w:pPr>
              <w:widowControl w:val="0"/>
              <w:autoSpaceDE w:val="0"/>
              <w:autoSpaceDN w:val="0"/>
              <w:adjustRightInd w:val="0"/>
              <w:jc w:val="center"/>
            </w:pPr>
            <w:r w:rsidRPr="00037AD4">
              <w:t>(-0.703 - 0.505)</w:t>
            </w:r>
          </w:p>
        </w:tc>
        <w:tc>
          <w:tcPr>
            <w:tcW w:w="1043" w:type="pct"/>
            <w:tcBorders>
              <w:top w:val="nil"/>
              <w:left w:val="nil"/>
              <w:bottom w:val="nil"/>
              <w:right w:val="nil"/>
            </w:tcBorders>
          </w:tcPr>
          <w:p w14:paraId="74D229B6" w14:textId="77777777" w:rsidR="00B54D51" w:rsidRPr="00037AD4" w:rsidRDefault="00B54D51" w:rsidP="00401C67">
            <w:pPr>
              <w:widowControl w:val="0"/>
              <w:autoSpaceDE w:val="0"/>
              <w:autoSpaceDN w:val="0"/>
              <w:adjustRightInd w:val="0"/>
              <w:jc w:val="center"/>
            </w:pPr>
          </w:p>
        </w:tc>
        <w:tc>
          <w:tcPr>
            <w:tcW w:w="1043" w:type="pct"/>
            <w:tcBorders>
              <w:top w:val="nil"/>
              <w:left w:val="nil"/>
              <w:bottom w:val="nil"/>
              <w:right w:val="nil"/>
            </w:tcBorders>
          </w:tcPr>
          <w:p w14:paraId="3D971883" w14:textId="77777777" w:rsidR="00B54D51" w:rsidRPr="00037AD4" w:rsidRDefault="00B54D51" w:rsidP="00401C67">
            <w:pPr>
              <w:widowControl w:val="0"/>
              <w:autoSpaceDE w:val="0"/>
              <w:autoSpaceDN w:val="0"/>
              <w:adjustRightInd w:val="0"/>
              <w:jc w:val="center"/>
            </w:pPr>
          </w:p>
        </w:tc>
        <w:tc>
          <w:tcPr>
            <w:tcW w:w="981" w:type="pct"/>
            <w:tcBorders>
              <w:top w:val="nil"/>
              <w:left w:val="nil"/>
              <w:bottom w:val="nil"/>
              <w:right w:val="nil"/>
            </w:tcBorders>
          </w:tcPr>
          <w:p w14:paraId="68943AEB" w14:textId="77777777" w:rsidR="00B54D51" w:rsidRPr="00037AD4" w:rsidRDefault="00B54D51" w:rsidP="00401C67">
            <w:pPr>
              <w:widowControl w:val="0"/>
              <w:autoSpaceDE w:val="0"/>
              <w:autoSpaceDN w:val="0"/>
              <w:adjustRightInd w:val="0"/>
              <w:jc w:val="center"/>
            </w:pPr>
          </w:p>
        </w:tc>
      </w:tr>
      <w:tr w:rsidR="00B54D51" w:rsidRPr="00037AD4" w14:paraId="3F5D4DA1" w14:textId="77777777" w:rsidTr="00401C67">
        <w:trPr>
          <w:jc w:val="center"/>
        </w:trPr>
        <w:tc>
          <w:tcPr>
            <w:tcW w:w="891" w:type="pct"/>
            <w:tcBorders>
              <w:top w:val="nil"/>
              <w:left w:val="nil"/>
              <w:bottom w:val="nil"/>
              <w:right w:val="nil"/>
            </w:tcBorders>
          </w:tcPr>
          <w:p w14:paraId="74BC814E" w14:textId="77777777" w:rsidR="00B54D51" w:rsidRPr="00037AD4" w:rsidRDefault="00B54D51" w:rsidP="00401C67">
            <w:pPr>
              <w:widowControl w:val="0"/>
              <w:autoSpaceDE w:val="0"/>
              <w:autoSpaceDN w:val="0"/>
              <w:adjustRightInd w:val="0"/>
            </w:pPr>
            <w:r w:rsidRPr="00037AD4">
              <w:t>5.eq2SR_</w:t>
            </w:r>
          </w:p>
        </w:tc>
        <w:tc>
          <w:tcPr>
            <w:tcW w:w="1043" w:type="pct"/>
            <w:tcBorders>
              <w:top w:val="nil"/>
              <w:left w:val="nil"/>
              <w:bottom w:val="nil"/>
              <w:right w:val="nil"/>
            </w:tcBorders>
          </w:tcPr>
          <w:p w14:paraId="7EB98106" w14:textId="77777777" w:rsidR="00B54D51" w:rsidRPr="00037AD4" w:rsidRDefault="00B54D51" w:rsidP="00401C67">
            <w:pPr>
              <w:widowControl w:val="0"/>
              <w:autoSpaceDE w:val="0"/>
              <w:autoSpaceDN w:val="0"/>
              <w:adjustRightInd w:val="0"/>
              <w:jc w:val="center"/>
            </w:pPr>
            <w:r w:rsidRPr="00037AD4">
              <w:t>0.236</w:t>
            </w:r>
          </w:p>
        </w:tc>
        <w:tc>
          <w:tcPr>
            <w:tcW w:w="1043" w:type="pct"/>
            <w:tcBorders>
              <w:top w:val="nil"/>
              <w:left w:val="nil"/>
              <w:bottom w:val="nil"/>
              <w:right w:val="nil"/>
            </w:tcBorders>
          </w:tcPr>
          <w:p w14:paraId="2D97AE67" w14:textId="77777777" w:rsidR="00B54D51" w:rsidRPr="00037AD4" w:rsidRDefault="00B54D51" w:rsidP="00401C67">
            <w:pPr>
              <w:widowControl w:val="0"/>
              <w:autoSpaceDE w:val="0"/>
              <w:autoSpaceDN w:val="0"/>
              <w:adjustRightInd w:val="0"/>
              <w:jc w:val="center"/>
            </w:pPr>
          </w:p>
        </w:tc>
        <w:tc>
          <w:tcPr>
            <w:tcW w:w="1043" w:type="pct"/>
            <w:tcBorders>
              <w:top w:val="nil"/>
              <w:left w:val="nil"/>
              <w:bottom w:val="nil"/>
              <w:right w:val="nil"/>
            </w:tcBorders>
          </w:tcPr>
          <w:p w14:paraId="2F0A7C90" w14:textId="77777777" w:rsidR="00B54D51" w:rsidRPr="00037AD4" w:rsidRDefault="00B54D51" w:rsidP="00401C67">
            <w:pPr>
              <w:widowControl w:val="0"/>
              <w:autoSpaceDE w:val="0"/>
              <w:autoSpaceDN w:val="0"/>
              <w:adjustRightInd w:val="0"/>
              <w:jc w:val="center"/>
            </w:pPr>
          </w:p>
        </w:tc>
        <w:tc>
          <w:tcPr>
            <w:tcW w:w="981" w:type="pct"/>
            <w:tcBorders>
              <w:top w:val="nil"/>
              <w:left w:val="nil"/>
              <w:bottom w:val="nil"/>
              <w:right w:val="nil"/>
            </w:tcBorders>
          </w:tcPr>
          <w:p w14:paraId="40595D4E" w14:textId="77777777" w:rsidR="00B54D51" w:rsidRPr="00037AD4" w:rsidRDefault="00B54D51" w:rsidP="00401C67">
            <w:pPr>
              <w:widowControl w:val="0"/>
              <w:autoSpaceDE w:val="0"/>
              <w:autoSpaceDN w:val="0"/>
              <w:adjustRightInd w:val="0"/>
              <w:jc w:val="center"/>
            </w:pPr>
          </w:p>
        </w:tc>
      </w:tr>
      <w:tr w:rsidR="00B54D51" w:rsidRPr="00037AD4" w14:paraId="31327C6A" w14:textId="77777777" w:rsidTr="00401C67">
        <w:trPr>
          <w:jc w:val="center"/>
        </w:trPr>
        <w:tc>
          <w:tcPr>
            <w:tcW w:w="891" w:type="pct"/>
            <w:tcBorders>
              <w:top w:val="nil"/>
              <w:left w:val="nil"/>
              <w:bottom w:val="nil"/>
              <w:right w:val="nil"/>
            </w:tcBorders>
          </w:tcPr>
          <w:p w14:paraId="79780096" w14:textId="77777777" w:rsidR="00B54D51" w:rsidRPr="00037AD4" w:rsidRDefault="00B54D51" w:rsidP="00401C67">
            <w:pPr>
              <w:widowControl w:val="0"/>
              <w:autoSpaceDE w:val="0"/>
              <w:autoSpaceDN w:val="0"/>
              <w:adjustRightInd w:val="0"/>
            </w:pPr>
          </w:p>
        </w:tc>
        <w:tc>
          <w:tcPr>
            <w:tcW w:w="1043" w:type="pct"/>
            <w:tcBorders>
              <w:top w:val="nil"/>
              <w:left w:val="nil"/>
              <w:bottom w:val="nil"/>
              <w:right w:val="nil"/>
            </w:tcBorders>
          </w:tcPr>
          <w:p w14:paraId="0BBB784D" w14:textId="77777777" w:rsidR="00B54D51" w:rsidRPr="00037AD4" w:rsidRDefault="00B54D51" w:rsidP="00401C67">
            <w:pPr>
              <w:widowControl w:val="0"/>
              <w:autoSpaceDE w:val="0"/>
              <w:autoSpaceDN w:val="0"/>
              <w:adjustRightInd w:val="0"/>
              <w:jc w:val="center"/>
            </w:pPr>
            <w:r w:rsidRPr="00037AD4">
              <w:t>(-0.400 - 0.872)</w:t>
            </w:r>
          </w:p>
        </w:tc>
        <w:tc>
          <w:tcPr>
            <w:tcW w:w="1043" w:type="pct"/>
            <w:tcBorders>
              <w:top w:val="nil"/>
              <w:left w:val="nil"/>
              <w:bottom w:val="nil"/>
              <w:right w:val="nil"/>
            </w:tcBorders>
          </w:tcPr>
          <w:p w14:paraId="3202D48D" w14:textId="77777777" w:rsidR="00B54D51" w:rsidRPr="00037AD4" w:rsidRDefault="00B54D51" w:rsidP="00401C67">
            <w:pPr>
              <w:widowControl w:val="0"/>
              <w:autoSpaceDE w:val="0"/>
              <w:autoSpaceDN w:val="0"/>
              <w:adjustRightInd w:val="0"/>
              <w:jc w:val="center"/>
            </w:pPr>
          </w:p>
        </w:tc>
        <w:tc>
          <w:tcPr>
            <w:tcW w:w="1043" w:type="pct"/>
            <w:tcBorders>
              <w:top w:val="nil"/>
              <w:left w:val="nil"/>
              <w:bottom w:val="nil"/>
              <w:right w:val="nil"/>
            </w:tcBorders>
          </w:tcPr>
          <w:p w14:paraId="31A0F001" w14:textId="77777777" w:rsidR="00B54D51" w:rsidRPr="00037AD4" w:rsidRDefault="00B54D51" w:rsidP="00401C67">
            <w:pPr>
              <w:widowControl w:val="0"/>
              <w:autoSpaceDE w:val="0"/>
              <w:autoSpaceDN w:val="0"/>
              <w:adjustRightInd w:val="0"/>
              <w:jc w:val="center"/>
            </w:pPr>
          </w:p>
        </w:tc>
        <w:tc>
          <w:tcPr>
            <w:tcW w:w="981" w:type="pct"/>
            <w:tcBorders>
              <w:top w:val="nil"/>
              <w:left w:val="nil"/>
              <w:bottom w:val="nil"/>
              <w:right w:val="nil"/>
            </w:tcBorders>
          </w:tcPr>
          <w:p w14:paraId="0624147C" w14:textId="77777777" w:rsidR="00B54D51" w:rsidRPr="00037AD4" w:rsidRDefault="00B54D51" w:rsidP="00401C67">
            <w:pPr>
              <w:widowControl w:val="0"/>
              <w:autoSpaceDE w:val="0"/>
              <w:autoSpaceDN w:val="0"/>
              <w:adjustRightInd w:val="0"/>
              <w:jc w:val="center"/>
            </w:pPr>
          </w:p>
        </w:tc>
      </w:tr>
      <w:tr w:rsidR="00B54D51" w:rsidRPr="00037AD4" w14:paraId="7DB8E09A" w14:textId="77777777" w:rsidTr="00401C67">
        <w:trPr>
          <w:jc w:val="center"/>
        </w:trPr>
        <w:tc>
          <w:tcPr>
            <w:tcW w:w="891" w:type="pct"/>
            <w:tcBorders>
              <w:top w:val="nil"/>
              <w:left w:val="nil"/>
              <w:bottom w:val="nil"/>
              <w:right w:val="nil"/>
            </w:tcBorders>
          </w:tcPr>
          <w:p w14:paraId="78DBBE27" w14:textId="77777777" w:rsidR="00B54D51" w:rsidRPr="00037AD4" w:rsidRDefault="00B54D51" w:rsidP="00401C67">
            <w:pPr>
              <w:widowControl w:val="0"/>
              <w:autoSpaceDE w:val="0"/>
              <w:autoSpaceDN w:val="0"/>
              <w:adjustRightInd w:val="0"/>
            </w:pPr>
            <w:r w:rsidRPr="00037AD4">
              <w:t>2.eq4SR_</w:t>
            </w:r>
          </w:p>
        </w:tc>
        <w:tc>
          <w:tcPr>
            <w:tcW w:w="1043" w:type="pct"/>
            <w:tcBorders>
              <w:top w:val="nil"/>
              <w:left w:val="nil"/>
              <w:bottom w:val="nil"/>
              <w:right w:val="nil"/>
            </w:tcBorders>
          </w:tcPr>
          <w:p w14:paraId="211AE198" w14:textId="77777777" w:rsidR="00B54D51" w:rsidRPr="00037AD4" w:rsidRDefault="00B54D51" w:rsidP="00401C67">
            <w:pPr>
              <w:widowControl w:val="0"/>
              <w:autoSpaceDE w:val="0"/>
              <w:autoSpaceDN w:val="0"/>
              <w:adjustRightInd w:val="0"/>
              <w:jc w:val="center"/>
            </w:pPr>
            <w:r w:rsidRPr="00037AD4">
              <w:t>0.123</w:t>
            </w:r>
          </w:p>
        </w:tc>
        <w:tc>
          <w:tcPr>
            <w:tcW w:w="1043" w:type="pct"/>
            <w:tcBorders>
              <w:top w:val="nil"/>
              <w:left w:val="nil"/>
              <w:bottom w:val="nil"/>
              <w:right w:val="nil"/>
            </w:tcBorders>
          </w:tcPr>
          <w:p w14:paraId="1F4D4EC6" w14:textId="77777777" w:rsidR="00B54D51" w:rsidRPr="00037AD4" w:rsidRDefault="00B54D51" w:rsidP="00401C67">
            <w:pPr>
              <w:widowControl w:val="0"/>
              <w:autoSpaceDE w:val="0"/>
              <w:autoSpaceDN w:val="0"/>
              <w:adjustRightInd w:val="0"/>
              <w:jc w:val="center"/>
            </w:pPr>
          </w:p>
        </w:tc>
        <w:tc>
          <w:tcPr>
            <w:tcW w:w="1043" w:type="pct"/>
            <w:tcBorders>
              <w:top w:val="nil"/>
              <w:left w:val="nil"/>
              <w:bottom w:val="nil"/>
              <w:right w:val="nil"/>
            </w:tcBorders>
          </w:tcPr>
          <w:p w14:paraId="73D3D180" w14:textId="77777777" w:rsidR="00B54D51" w:rsidRPr="00037AD4" w:rsidRDefault="00B54D51" w:rsidP="00401C67">
            <w:pPr>
              <w:widowControl w:val="0"/>
              <w:autoSpaceDE w:val="0"/>
              <w:autoSpaceDN w:val="0"/>
              <w:adjustRightInd w:val="0"/>
              <w:jc w:val="center"/>
            </w:pPr>
          </w:p>
        </w:tc>
        <w:tc>
          <w:tcPr>
            <w:tcW w:w="981" w:type="pct"/>
            <w:tcBorders>
              <w:top w:val="nil"/>
              <w:left w:val="nil"/>
              <w:bottom w:val="nil"/>
              <w:right w:val="nil"/>
            </w:tcBorders>
          </w:tcPr>
          <w:p w14:paraId="201917F5" w14:textId="77777777" w:rsidR="00B54D51" w:rsidRPr="00037AD4" w:rsidRDefault="00B54D51" w:rsidP="00401C67">
            <w:pPr>
              <w:widowControl w:val="0"/>
              <w:autoSpaceDE w:val="0"/>
              <w:autoSpaceDN w:val="0"/>
              <w:adjustRightInd w:val="0"/>
              <w:jc w:val="center"/>
            </w:pPr>
          </w:p>
        </w:tc>
      </w:tr>
      <w:tr w:rsidR="00B54D51" w:rsidRPr="00037AD4" w14:paraId="3B90F92C" w14:textId="77777777" w:rsidTr="00401C67">
        <w:trPr>
          <w:jc w:val="center"/>
        </w:trPr>
        <w:tc>
          <w:tcPr>
            <w:tcW w:w="891" w:type="pct"/>
            <w:tcBorders>
              <w:top w:val="nil"/>
              <w:left w:val="nil"/>
              <w:bottom w:val="nil"/>
              <w:right w:val="nil"/>
            </w:tcBorders>
          </w:tcPr>
          <w:p w14:paraId="388D628A" w14:textId="77777777" w:rsidR="00B54D51" w:rsidRPr="00037AD4" w:rsidRDefault="00B54D51" w:rsidP="00401C67">
            <w:pPr>
              <w:widowControl w:val="0"/>
              <w:autoSpaceDE w:val="0"/>
              <w:autoSpaceDN w:val="0"/>
              <w:adjustRightInd w:val="0"/>
            </w:pPr>
          </w:p>
        </w:tc>
        <w:tc>
          <w:tcPr>
            <w:tcW w:w="1043" w:type="pct"/>
            <w:tcBorders>
              <w:top w:val="nil"/>
              <w:left w:val="nil"/>
              <w:bottom w:val="nil"/>
              <w:right w:val="nil"/>
            </w:tcBorders>
          </w:tcPr>
          <w:p w14:paraId="230A25DF" w14:textId="77777777" w:rsidR="00B54D51" w:rsidRPr="00037AD4" w:rsidRDefault="00B54D51" w:rsidP="00401C67">
            <w:pPr>
              <w:widowControl w:val="0"/>
              <w:autoSpaceDE w:val="0"/>
              <w:autoSpaceDN w:val="0"/>
              <w:adjustRightInd w:val="0"/>
              <w:jc w:val="center"/>
            </w:pPr>
            <w:r w:rsidRPr="00037AD4">
              <w:t>(-0.123 - 0.369)</w:t>
            </w:r>
          </w:p>
        </w:tc>
        <w:tc>
          <w:tcPr>
            <w:tcW w:w="1043" w:type="pct"/>
            <w:tcBorders>
              <w:top w:val="nil"/>
              <w:left w:val="nil"/>
              <w:bottom w:val="nil"/>
              <w:right w:val="nil"/>
            </w:tcBorders>
          </w:tcPr>
          <w:p w14:paraId="575B9867" w14:textId="77777777" w:rsidR="00B54D51" w:rsidRPr="00037AD4" w:rsidRDefault="00B54D51" w:rsidP="00401C67">
            <w:pPr>
              <w:widowControl w:val="0"/>
              <w:autoSpaceDE w:val="0"/>
              <w:autoSpaceDN w:val="0"/>
              <w:adjustRightInd w:val="0"/>
              <w:jc w:val="center"/>
            </w:pPr>
          </w:p>
        </w:tc>
        <w:tc>
          <w:tcPr>
            <w:tcW w:w="1043" w:type="pct"/>
            <w:tcBorders>
              <w:top w:val="nil"/>
              <w:left w:val="nil"/>
              <w:bottom w:val="nil"/>
              <w:right w:val="nil"/>
            </w:tcBorders>
          </w:tcPr>
          <w:p w14:paraId="6FF290B1" w14:textId="77777777" w:rsidR="00B54D51" w:rsidRPr="00037AD4" w:rsidRDefault="00B54D51" w:rsidP="00401C67">
            <w:pPr>
              <w:widowControl w:val="0"/>
              <w:autoSpaceDE w:val="0"/>
              <w:autoSpaceDN w:val="0"/>
              <w:adjustRightInd w:val="0"/>
              <w:jc w:val="center"/>
            </w:pPr>
          </w:p>
        </w:tc>
        <w:tc>
          <w:tcPr>
            <w:tcW w:w="981" w:type="pct"/>
            <w:tcBorders>
              <w:top w:val="nil"/>
              <w:left w:val="nil"/>
              <w:bottom w:val="nil"/>
              <w:right w:val="nil"/>
            </w:tcBorders>
          </w:tcPr>
          <w:p w14:paraId="47A5B802" w14:textId="77777777" w:rsidR="00B54D51" w:rsidRPr="00037AD4" w:rsidRDefault="00B54D51" w:rsidP="00401C67">
            <w:pPr>
              <w:widowControl w:val="0"/>
              <w:autoSpaceDE w:val="0"/>
              <w:autoSpaceDN w:val="0"/>
              <w:adjustRightInd w:val="0"/>
              <w:jc w:val="center"/>
            </w:pPr>
          </w:p>
        </w:tc>
      </w:tr>
      <w:tr w:rsidR="00B54D51" w:rsidRPr="00037AD4" w14:paraId="7B53893A" w14:textId="77777777" w:rsidTr="00401C67">
        <w:trPr>
          <w:jc w:val="center"/>
        </w:trPr>
        <w:tc>
          <w:tcPr>
            <w:tcW w:w="891" w:type="pct"/>
            <w:tcBorders>
              <w:top w:val="nil"/>
              <w:left w:val="nil"/>
              <w:bottom w:val="nil"/>
              <w:right w:val="nil"/>
            </w:tcBorders>
          </w:tcPr>
          <w:p w14:paraId="43B3DBA9" w14:textId="77777777" w:rsidR="00B54D51" w:rsidRPr="00037AD4" w:rsidRDefault="00B54D51" w:rsidP="00401C67">
            <w:pPr>
              <w:widowControl w:val="0"/>
              <w:autoSpaceDE w:val="0"/>
              <w:autoSpaceDN w:val="0"/>
              <w:adjustRightInd w:val="0"/>
            </w:pPr>
            <w:r w:rsidRPr="00037AD4">
              <w:t>3.eq4SR_</w:t>
            </w:r>
          </w:p>
        </w:tc>
        <w:tc>
          <w:tcPr>
            <w:tcW w:w="1043" w:type="pct"/>
            <w:tcBorders>
              <w:top w:val="nil"/>
              <w:left w:val="nil"/>
              <w:bottom w:val="nil"/>
              <w:right w:val="nil"/>
            </w:tcBorders>
          </w:tcPr>
          <w:p w14:paraId="65FEB197" w14:textId="77777777" w:rsidR="00B54D51" w:rsidRPr="00037AD4" w:rsidRDefault="00B54D51" w:rsidP="00401C67">
            <w:pPr>
              <w:widowControl w:val="0"/>
              <w:autoSpaceDE w:val="0"/>
              <w:autoSpaceDN w:val="0"/>
              <w:adjustRightInd w:val="0"/>
              <w:jc w:val="center"/>
            </w:pPr>
            <w:r w:rsidRPr="00037AD4">
              <w:t>-0.003</w:t>
            </w:r>
          </w:p>
        </w:tc>
        <w:tc>
          <w:tcPr>
            <w:tcW w:w="1043" w:type="pct"/>
            <w:tcBorders>
              <w:top w:val="nil"/>
              <w:left w:val="nil"/>
              <w:bottom w:val="nil"/>
              <w:right w:val="nil"/>
            </w:tcBorders>
          </w:tcPr>
          <w:p w14:paraId="76EFEDD4" w14:textId="77777777" w:rsidR="00B54D51" w:rsidRPr="00037AD4" w:rsidRDefault="00B54D51" w:rsidP="00401C67">
            <w:pPr>
              <w:widowControl w:val="0"/>
              <w:autoSpaceDE w:val="0"/>
              <w:autoSpaceDN w:val="0"/>
              <w:adjustRightInd w:val="0"/>
              <w:jc w:val="center"/>
            </w:pPr>
          </w:p>
        </w:tc>
        <w:tc>
          <w:tcPr>
            <w:tcW w:w="1043" w:type="pct"/>
            <w:tcBorders>
              <w:top w:val="nil"/>
              <w:left w:val="nil"/>
              <w:bottom w:val="nil"/>
              <w:right w:val="nil"/>
            </w:tcBorders>
          </w:tcPr>
          <w:p w14:paraId="6D83E782" w14:textId="77777777" w:rsidR="00B54D51" w:rsidRPr="00037AD4" w:rsidRDefault="00B54D51" w:rsidP="00401C67">
            <w:pPr>
              <w:widowControl w:val="0"/>
              <w:autoSpaceDE w:val="0"/>
              <w:autoSpaceDN w:val="0"/>
              <w:adjustRightInd w:val="0"/>
              <w:jc w:val="center"/>
            </w:pPr>
          </w:p>
        </w:tc>
        <w:tc>
          <w:tcPr>
            <w:tcW w:w="981" w:type="pct"/>
            <w:tcBorders>
              <w:top w:val="nil"/>
              <w:left w:val="nil"/>
              <w:bottom w:val="nil"/>
              <w:right w:val="nil"/>
            </w:tcBorders>
          </w:tcPr>
          <w:p w14:paraId="78554C0D" w14:textId="77777777" w:rsidR="00B54D51" w:rsidRPr="00037AD4" w:rsidRDefault="00B54D51" w:rsidP="00401C67">
            <w:pPr>
              <w:widowControl w:val="0"/>
              <w:autoSpaceDE w:val="0"/>
              <w:autoSpaceDN w:val="0"/>
              <w:adjustRightInd w:val="0"/>
              <w:jc w:val="center"/>
            </w:pPr>
          </w:p>
        </w:tc>
      </w:tr>
      <w:tr w:rsidR="00B54D51" w:rsidRPr="00037AD4" w14:paraId="7D1B9BEC" w14:textId="77777777" w:rsidTr="00401C67">
        <w:trPr>
          <w:jc w:val="center"/>
        </w:trPr>
        <w:tc>
          <w:tcPr>
            <w:tcW w:w="891" w:type="pct"/>
            <w:tcBorders>
              <w:top w:val="nil"/>
              <w:left w:val="nil"/>
              <w:bottom w:val="nil"/>
              <w:right w:val="nil"/>
            </w:tcBorders>
          </w:tcPr>
          <w:p w14:paraId="4EC475AC" w14:textId="77777777" w:rsidR="00B54D51" w:rsidRPr="00037AD4" w:rsidRDefault="00B54D51" w:rsidP="00401C67">
            <w:pPr>
              <w:widowControl w:val="0"/>
              <w:autoSpaceDE w:val="0"/>
              <w:autoSpaceDN w:val="0"/>
              <w:adjustRightInd w:val="0"/>
            </w:pPr>
          </w:p>
        </w:tc>
        <w:tc>
          <w:tcPr>
            <w:tcW w:w="1043" w:type="pct"/>
            <w:tcBorders>
              <w:top w:val="nil"/>
              <w:left w:val="nil"/>
              <w:bottom w:val="nil"/>
              <w:right w:val="nil"/>
            </w:tcBorders>
          </w:tcPr>
          <w:p w14:paraId="61E32E36" w14:textId="77777777" w:rsidR="00B54D51" w:rsidRPr="00037AD4" w:rsidRDefault="00B54D51" w:rsidP="00401C67">
            <w:pPr>
              <w:widowControl w:val="0"/>
              <w:autoSpaceDE w:val="0"/>
              <w:autoSpaceDN w:val="0"/>
              <w:adjustRightInd w:val="0"/>
              <w:jc w:val="center"/>
            </w:pPr>
            <w:r w:rsidRPr="00037AD4">
              <w:t>(-0.387 - 0.381)</w:t>
            </w:r>
          </w:p>
        </w:tc>
        <w:tc>
          <w:tcPr>
            <w:tcW w:w="1043" w:type="pct"/>
            <w:tcBorders>
              <w:top w:val="nil"/>
              <w:left w:val="nil"/>
              <w:bottom w:val="nil"/>
              <w:right w:val="nil"/>
            </w:tcBorders>
          </w:tcPr>
          <w:p w14:paraId="6370A894" w14:textId="77777777" w:rsidR="00B54D51" w:rsidRPr="00037AD4" w:rsidRDefault="00B54D51" w:rsidP="00401C67">
            <w:pPr>
              <w:widowControl w:val="0"/>
              <w:autoSpaceDE w:val="0"/>
              <w:autoSpaceDN w:val="0"/>
              <w:adjustRightInd w:val="0"/>
              <w:jc w:val="center"/>
            </w:pPr>
          </w:p>
        </w:tc>
        <w:tc>
          <w:tcPr>
            <w:tcW w:w="1043" w:type="pct"/>
            <w:tcBorders>
              <w:top w:val="nil"/>
              <w:left w:val="nil"/>
              <w:bottom w:val="nil"/>
              <w:right w:val="nil"/>
            </w:tcBorders>
          </w:tcPr>
          <w:p w14:paraId="7400233C" w14:textId="77777777" w:rsidR="00B54D51" w:rsidRPr="00037AD4" w:rsidRDefault="00B54D51" w:rsidP="00401C67">
            <w:pPr>
              <w:widowControl w:val="0"/>
              <w:autoSpaceDE w:val="0"/>
              <w:autoSpaceDN w:val="0"/>
              <w:adjustRightInd w:val="0"/>
              <w:jc w:val="center"/>
            </w:pPr>
          </w:p>
        </w:tc>
        <w:tc>
          <w:tcPr>
            <w:tcW w:w="981" w:type="pct"/>
            <w:tcBorders>
              <w:top w:val="nil"/>
              <w:left w:val="nil"/>
              <w:bottom w:val="nil"/>
              <w:right w:val="nil"/>
            </w:tcBorders>
          </w:tcPr>
          <w:p w14:paraId="44549D19" w14:textId="77777777" w:rsidR="00B54D51" w:rsidRPr="00037AD4" w:rsidRDefault="00B54D51" w:rsidP="00401C67">
            <w:pPr>
              <w:widowControl w:val="0"/>
              <w:autoSpaceDE w:val="0"/>
              <w:autoSpaceDN w:val="0"/>
              <w:adjustRightInd w:val="0"/>
              <w:jc w:val="center"/>
            </w:pPr>
          </w:p>
        </w:tc>
      </w:tr>
      <w:tr w:rsidR="00B54D51" w:rsidRPr="00037AD4" w14:paraId="7A040E9A" w14:textId="77777777" w:rsidTr="00401C67">
        <w:trPr>
          <w:jc w:val="center"/>
        </w:trPr>
        <w:tc>
          <w:tcPr>
            <w:tcW w:w="891" w:type="pct"/>
            <w:tcBorders>
              <w:top w:val="nil"/>
              <w:left w:val="nil"/>
              <w:bottom w:val="nil"/>
              <w:right w:val="nil"/>
            </w:tcBorders>
          </w:tcPr>
          <w:p w14:paraId="2739B6C1" w14:textId="77777777" w:rsidR="00B54D51" w:rsidRPr="00037AD4" w:rsidRDefault="00B54D51" w:rsidP="00401C67">
            <w:pPr>
              <w:widowControl w:val="0"/>
              <w:autoSpaceDE w:val="0"/>
              <w:autoSpaceDN w:val="0"/>
              <w:adjustRightInd w:val="0"/>
            </w:pPr>
            <w:r w:rsidRPr="00037AD4">
              <w:t>4.eq4SR_</w:t>
            </w:r>
          </w:p>
        </w:tc>
        <w:tc>
          <w:tcPr>
            <w:tcW w:w="1043" w:type="pct"/>
            <w:tcBorders>
              <w:top w:val="nil"/>
              <w:left w:val="nil"/>
              <w:bottom w:val="nil"/>
              <w:right w:val="nil"/>
            </w:tcBorders>
          </w:tcPr>
          <w:p w14:paraId="6C24D411" w14:textId="77777777" w:rsidR="00B54D51" w:rsidRPr="00037AD4" w:rsidRDefault="00B54D51" w:rsidP="00401C67">
            <w:pPr>
              <w:widowControl w:val="0"/>
              <w:autoSpaceDE w:val="0"/>
              <w:autoSpaceDN w:val="0"/>
              <w:adjustRightInd w:val="0"/>
              <w:jc w:val="center"/>
            </w:pPr>
            <w:r w:rsidRPr="00037AD4">
              <w:t>0.089</w:t>
            </w:r>
          </w:p>
        </w:tc>
        <w:tc>
          <w:tcPr>
            <w:tcW w:w="1043" w:type="pct"/>
            <w:tcBorders>
              <w:top w:val="nil"/>
              <w:left w:val="nil"/>
              <w:bottom w:val="nil"/>
              <w:right w:val="nil"/>
            </w:tcBorders>
          </w:tcPr>
          <w:p w14:paraId="5BE874BA" w14:textId="77777777" w:rsidR="00B54D51" w:rsidRPr="00037AD4" w:rsidRDefault="00B54D51" w:rsidP="00401C67">
            <w:pPr>
              <w:widowControl w:val="0"/>
              <w:autoSpaceDE w:val="0"/>
              <w:autoSpaceDN w:val="0"/>
              <w:adjustRightInd w:val="0"/>
              <w:jc w:val="center"/>
            </w:pPr>
          </w:p>
        </w:tc>
        <w:tc>
          <w:tcPr>
            <w:tcW w:w="1043" w:type="pct"/>
            <w:tcBorders>
              <w:top w:val="nil"/>
              <w:left w:val="nil"/>
              <w:bottom w:val="nil"/>
              <w:right w:val="nil"/>
            </w:tcBorders>
          </w:tcPr>
          <w:p w14:paraId="7FD2FAC7" w14:textId="77777777" w:rsidR="00B54D51" w:rsidRPr="00037AD4" w:rsidRDefault="00B54D51" w:rsidP="00401C67">
            <w:pPr>
              <w:widowControl w:val="0"/>
              <w:autoSpaceDE w:val="0"/>
              <w:autoSpaceDN w:val="0"/>
              <w:adjustRightInd w:val="0"/>
              <w:jc w:val="center"/>
            </w:pPr>
          </w:p>
        </w:tc>
        <w:tc>
          <w:tcPr>
            <w:tcW w:w="981" w:type="pct"/>
            <w:tcBorders>
              <w:top w:val="nil"/>
              <w:left w:val="nil"/>
              <w:bottom w:val="nil"/>
              <w:right w:val="nil"/>
            </w:tcBorders>
          </w:tcPr>
          <w:p w14:paraId="5BEBA41F" w14:textId="77777777" w:rsidR="00B54D51" w:rsidRPr="00037AD4" w:rsidRDefault="00B54D51" w:rsidP="00401C67">
            <w:pPr>
              <w:widowControl w:val="0"/>
              <w:autoSpaceDE w:val="0"/>
              <w:autoSpaceDN w:val="0"/>
              <w:adjustRightInd w:val="0"/>
              <w:jc w:val="center"/>
            </w:pPr>
          </w:p>
        </w:tc>
      </w:tr>
      <w:tr w:rsidR="00B54D51" w:rsidRPr="00037AD4" w14:paraId="3EA4AB41" w14:textId="77777777" w:rsidTr="00401C67">
        <w:trPr>
          <w:jc w:val="center"/>
        </w:trPr>
        <w:tc>
          <w:tcPr>
            <w:tcW w:w="891" w:type="pct"/>
            <w:tcBorders>
              <w:top w:val="nil"/>
              <w:left w:val="nil"/>
              <w:bottom w:val="nil"/>
              <w:right w:val="nil"/>
            </w:tcBorders>
          </w:tcPr>
          <w:p w14:paraId="08B125E1" w14:textId="77777777" w:rsidR="00B54D51" w:rsidRPr="00037AD4" w:rsidRDefault="00B54D51" w:rsidP="00401C67">
            <w:pPr>
              <w:widowControl w:val="0"/>
              <w:autoSpaceDE w:val="0"/>
              <w:autoSpaceDN w:val="0"/>
              <w:adjustRightInd w:val="0"/>
            </w:pPr>
          </w:p>
        </w:tc>
        <w:tc>
          <w:tcPr>
            <w:tcW w:w="1043" w:type="pct"/>
            <w:tcBorders>
              <w:top w:val="nil"/>
              <w:left w:val="nil"/>
              <w:bottom w:val="nil"/>
              <w:right w:val="nil"/>
            </w:tcBorders>
          </w:tcPr>
          <w:p w14:paraId="0F06ED00" w14:textId="77777777" w:rsidR="00B54D51" w:rsidRPr="00037AD4" w:rsidRDefault="00B54D51" w:rsidP="00401C67">
            <w:pPr>
              <w:widowControl w:val="0"/>
              <w:autoSpaceDE w:val="0"/>
              <w:autoSpaceDN w:val="0"/>
              <w:adjustRightInd w:val="0"/>
              <w:jc w:val="center"/>
            </w:pPr>
            <w:r w:rsidRPr="00037AD4">
              <w:t>(-0.572 - 0.750)</w:t>
            </w:r>
          </w:p>
        </w:tc>
        <w:tc>
          <w:tcPr>
            <w:tcW w:w="1043" w:type="pct"/>
            <w:tcBorders>
              <w:top w:val="nil"/>
              <w:left w:val="nil"/>
              <w:bottom w:val="nil"/>
              <w:right w:val="nil"/>
            </w:tcBorders>
          </w:tcPr>
          <w:p w14:paraId="17BEDEB0" w14:textId="77777777" w:rsidR="00B54D51" w:rsidRPr="00037AD4" w:rsidRDefault="00B54D51" w:rsidP="00401C67">
            <w:pPr>
              <w:widowControl w:val="0"/>
              <w:autoSpaceDE w:val="0"/>
              <w:autoSpaceDN w:val="0"/>
              <w:adjustRightInd w:val="0"/>
              <w:jc w:val="center"/>
            </w:pPr>
          </w:p>
        </w:tc>
        <w:tc>
          <w:tcPr>
            <w:tcW w:w="1043" w:type="pct"/>
            <w:tcBorders>
              <w:top w:val="nil"/>
              <w:left w:val="nil"/>
              <w:bottom w:val="nil"/>
              <w:right w:val="nil"/>
            </w:tcBorders>
          </w:tcPr>
          <w:p w14:paraId="1071B692" w14:textId="77777777" w:rsidR="00B54D51" w:rsidRPr="00037AD4" w:rsidRDefault="00B54D51" w:rsidP="00401C67">
            <w:pPr>
              <w:widowControl w:val="0"/>
              <w:autoSpaceDE w:val="0"/>
              <w:autoSpaceDN w:val="0"/>
              <w:adjustRightInd w:val="0"/>
              <w:jc w:val="center"/>
            </w:pPr>
          </w:p>
        </w:tc>
        <w:tc>
          <w:tcPr>
            <w:tcW w:w="981" w:type="pct"/>
            <w:tcBorders>
              <w:top w:val="nil"/>
              <w:left w:val="nil"/>
              <w:bottom w:val="nil"/>
              <w:right w:val="nil"/>
            </w:tcBorders>
          </w:tcPr>
          <w:p w14:paraId="7575AE17" w14:textId="77777777" w:rsidR="00B54D51" w:rsidRPr="00037AD4" w:rsidRDefault="00B54D51" w:rsidP="00401C67">
            <w:pPr>
              <w:widowControl w:val="0"/>
              <w:autoSpaceDE w:val="0"/>
              <w:autoSpaceDN w:val="0"/>
              <w:adjustRightInd w:val="0"/>
              <w:jc w:val="center"/>
            </w:pPr>
          </w:p>
        </w:tc>
      </w:tr>
      <w:tr w:rsidR="00B54D51" w:rsidRPr="00037AD4" w14:paraId="3077F6AE" w14:textId="77777777" w:rsidTr="00401C67">
        <w:trPr>
          <w:jc w:val="center"/>
        </w:trPr>
        <w:tc>
          <w:tcPr>
            <w:tcW w:w="891" w:type="pct"/>
            <w:tcBorders>
              <w:top w:val="nil"/>
              <w:left w:val="nil"/>
              <w:bottom w:val="nil"/>
              <w:right w:val="nil"/>
            </w:tcBorders>
          </w:tcPr>
          <w:p w14:paraId="4E4AC30A" w14:textId="77777777" w:rsidR="00B54D51" w:rsidRPr="00037AD4" w:rsidRDefault="00B54D51" w:rsidP="00401C67">
            <w:pPr>
              <w:widowControl w:val="0"/>
              <w:autoSpaceDE w:val="0"/>
              <w:autoSpaceDN w:val="0"/>
              <w:adjustRightInd w:val="0"/>
            </w:pPr>
            <w:r w:rsidRPr="00037AD4">
              <w:t>5.eq4SR_</w:t>
            </w:r>
          </w:p>
        </w:tc>
        <w:tc>
          <w:tcPr>
            <w:tcW w:w="1043" w:type="pct"/>
            <w:tcBorders>
              <w:top w:val="nil"/>
              <w:left w:val="nil"/>
              <w:bottom w:val="nil"/>
              <w:right w:val="nil"/>
            </w:tcBorders>
          </w:tcPr>
          <w:p w14:paraId="25293C16" w14:textId="77777777" w:rsidR="00B54D51" w:rsidRPr="00037AD4" w:rsidRDefault="00B54D51" w:rsidP="00401C67">
            <w:pPr>
              <w:widowControl w:val="0"/>
              <w:autoSpaceDE w:val="0"/>
              <w:autoSpaceDN w:val="0"/>
              <w:adjustRightInd w:val="0"/>
              <w:jc w:val="center"/>
            </w:pPr>
            <w:r w:rsidRPr="00037AD4">
              <w:t>0.441</w:t>
            </w:r>
          </w:p>
        </w:tc>
        <w:tc>
          <w:tcPr>
            <w:tcW w:w="1043" w:type="pct"/>
            <w:tcBorders>
              <w:top w:val="nil"/>
              <w:left w:val="nil"/>
              <w:bottom w:val="nil"/>
              <w:right w:val="nil"/>
            </w:tcBorders>
          </w:tcPr>
          <w:p w14:paraId="39F2EF96" w14:textId="77777777" w:rsidR="00B54D51" w:rsidRPr="00037AD4" w:rsidRDefault="00B54D51" w:rsidP="00401C67">
            <w:pPr>
              <w:widowControl w:val="0"/>
              <w:autoSpaceDE w:val="0"/>
              <w:autoSpaceDN w:val="0"/>
              <w:adjustRightInd w:val="0"/>
              <w:jc w:val="center"/>
            </w:pPr>
          </w:p>
        </w:tc>
        <w:tc>
          <w:tcPr>
            <w:tcW w:w="1043" w:type="pct"/>
            <w:tcBorders>
              <w:top w:val="nil"/>
              <w:left w:val="nil"/>
              <w:bottom w:val="nil"/>
              <w:right w:val="nil"/>
            </w:tcBorders>
          </w:tcPr>
          <w:p w14:paraId="37DE0DEE" w14:textId="77777777" w:rsidR="00B54D51" w:rsidRPr="00037AD4" w:rsidRDefault="00B54D51" w:rsidP="00401C67">
            <w:pPr>
              <w:widowControl w:val="0"/>
              <w:autoSpaceDE w:val="0"/>
              <w:autoSpaceDN w:val="0"/>
              <w:adjustRightInd w:val="0"/>
              <w:jc w:val="center"/>
            </w:pPr>
          </w:p>
        </w:tc>
        <w:tc>
          <w:tcPr>
            <w:tcW w:w="981" w:type="pct"/>
            <w:tcBorders>
              <w:top w:val="nil"/>
              <w:left w:val="nil"/>
              <w:bottom w:val="nil"/>
              <w:right w:val="nil"/>
            </w:tcBorders>
          </w:tcPr>
          <w:p w14:paraId="5CC94564" w14:textId="77777777" w:rsidR="00B54D51" w:rsidRPr="00037AD4" w:rsidRDefault="00B54D51" w:rsidP="00401C67">
            <w:pPr>
              <w:widowControl w:val="0"/>
              <w:autoSpaceDE w:val="0"/>
              <w:autoSpaceDN w:val="0"/>
              <w:adjustRightInd w:val="0"/>
              <w:jc w:val="center"/>
            </w:pPr>
          </w:p>
        </w:tc>
      </w:tr>
      <w:tr w:rsidR="00B54D51" w:rsidRPr="00037AD4" w14:paraId="3679EB6B" w14:textId="77777777" w:rsidTr="00401C67">
        <w:trPr>
          <w:jc w:val="center"/>
        </w:trPr>
        <w:tc>
          <w:tcPr>
            <w:tcW w:w="891" w:type="pct"/>
            <w:tcBorders>
              <w:top w:val="nil"/>
              <w:left w:val="nil"/>
              <w:bottom w:val="nil"/>
              <w:right w:val="nil"/>
            </w:tcBorders>
          </w:tcPr>
          <w:p w14:paraId="053F3387" w14:textId="77777777" w:rsidR="00B54D51" w:rsidRPr="00037AD4" w:rsidRDefault="00B54D51" w:rsidP="00401C67">
            <w:pPr>
              <w:widowControl w:val="0"/>
              <w:autoSpaceDE w:val="0"/>
              <w:autoSpaceDN w:val="0"/>
              <w:adjustRightInd w:val="0"/>
            </w:pPr>
          </w:p>
        </w:tc>
        <w:tc>
          <w:tcPr>
            <w:tcW w:w="1043" w:type="pct"/>
            <w:tcBorders>
              <w:top w:val="nil"/>
              <w:left w:val="nil"/>
              <w:bottom w:val="nil"/>
              <w:right w:val="nil"/>
            </w:tcBorders>
          </w:tcPr>
          <w:p w14:paraId="64A86C00" w14:textId="77777777" w:rsidR="00B54D51" w:rsidRPr="00037AD4" w:rsidRDefault="00B54D51" w:rsidP="00401C67">
            <w:pPr>
              <w:widowControl w:val="0"/>
              <w:autoSpaceDE w:val="0"/>
              <w:autoSpaceDN w:val="0"/>
              <w:adjustRightInd w:val="0"/>
              <w:jc w:val="center"/>
            </w:pPr>
            <w:r w:rsidRPr="00037AD4">
              <w:t>(-0.180 - 1.062)</w:t>
            </w:r>
          </w:p>
        </w:tc>
        <w:tc>
          <w:tcPr>
            <w:tcW w:w="1043" w:type="pct"/>
            <w:tcBorders>
              <w:top w:val="nil"/>
              <w:left w:val="nil"/>
              <w:bottom w:val="nil"/>
              <w:right w:val="nil"/>
            </w:tcBorders>
          </w:tcPr>
          <w:p w14:paraId="2C44316A" w14:textId="77777777" w:rsidR="00B54D51" w:rsidRPr="00037AD4" w:rsidRDefault="00B54D51" w:rsidP="00401C67">
            <w:pPr>
              <w:widowControl w:val="0"/>
              <w:autoSpaceDE w:val="0"/>
              <w:autoSpaceDN w:val="0"/>
              <w:adjustRightInd w:val="0"/>
              <w:jc w:val="center"/>
            </w:pPr>
          </w:p>
        </w:tc>
        <w:tc>
          <w:tcPr>
            <w:tcW w:w="1043" w:type="pct"/>
            <w:tcBorders>
              <w:top w:val="nil"/>
              <w:left w:val="nil"/>
              <w:bottom w:val="nil"/>
              <w:right w:val="nil"/>
            </w:tcBorders>
          </w:tcPr>
          <w:p w14:paraId="4F287B2F" w14:textId="77777777" w:rsidR="00B54D51" w:rsidRPr="00037AD4" w:rsidRDefault="00B54D51" w:rsidP="00401C67">
            <w:pPr>
              <w:widowControl w:val="0"/>
              <w:autoSpaceDE w:val="0"/>
              <w:autoSpaceDN w:val="0"/>
              <w:adjustRightInd w:val="0"/>
              <w:jc w:val="center"/>
            </w:pPr>
          </w:p>
        </w:tc>
        <w:tc>
          <w:tcPr>
            <w:tcW w:w="981" w:type="pct"/>
            <w:tcBorders>
              <w:top w:val="nil"/>
              <w:left w:val="nil"/>
              <w:bottom w:val="nil"/>
              <w:right w:val="nil"/>
            </w:tcBorders>
          </w:tcPr>
          <w:p w14:paraId="5F0AA572" w14:textId="77777777" w:rsidR="00B54D51" w:rsidRPr="00037AD4" w:rsidRDefault="00B54D51" w:rsidP="00401C67">
            <w:pPr>
              <w:widowControl w:val="0"/>
              <w:autoSpaceDE w:val="0"/>
              <w:autoSpaceDN w:val="0"/>
              <w:adjustRightInd w:val="0"/>
              <w:jc w:val="center"/>
            </w:pPr>
          </w:p>
        </w:tc>
      </w:tr>
      <w:tr w:rsidR="00B54D51" w:rsidRPr="00037AD4" w14:paraId="7B603602" w14:textId="77777777" w:rsidTr="00401C67">
        <w:trPr>
          <w:jc w:val="center"/>
        </w:trPr>
        <w:tc>
          <w:tcPr>
            <w:tcW w:w="891" w:type="pct"/>
            <w:tcBorders>
              <w:top w:val="nil"/>
              <w:left w:val="nil"/>
              <w:bottom w:val="nil"/>
              <w:right w:val="nil"/>
            </w:tcBorders>
          </w:tcPr>
          <w:p w14:paraId="7E493C03" w14:textId="77777777" w:rsidR="00B54D51" w:rsidRPr="00037AD4" w:rsidRDefault="00B54D51" w:rsidP="00401C67">
            <w:pPr>
              <w:widowControl w:val="0"/>
              <w:autoSpaceDE w:val="0"/>
              <w:autoSpaceDN w:val="0"/>
              <w:adjustRightInd w:val="0"/>
            </w:pPr>
            <w:r w:rsidRPr="00037AD4">
              <w:t>2.eq5SR_</w:t>
            </w:r>
          </w:p>
        </w:tc>
        <w:tc>
          <w:tcPr>
            <w:tcW w:w="1043" w:type="pct"/>
            <w:tcBorders>
              <w:top w:val="nil"/>
              <w:left w:val="nil"/>
              <w:bottom w:val="nil"/>
              <w:right w:val="nil"/>
            </w:tcBorders>
          </w:tcPr>
          <w:p w14:paraId="5A903E9E" w14:textId="77777777" w:rsidR="00B54D51" w:rsidRPr="00037AD4" w:rsidRDefault="00B54D51" w:rsidP="00401C67">
            <w:pPr>
              <w:widowControl w:val="0"/>
              <w:autoSpaceDE w:val="0"/>
              <w:autoSpaceDN w:val="0"/>
              <w:adjustRightInd w:val="0"/>
              <w:jc w:val="center"/>
            </w:pPr>
            <w:r w:rsidRPr="00037AD4">
              <w:t>-0.178</w:t>
            </w:r>
          </w:p>
        </w:tc>
        <w:tc>
          <w:tcPr>
            <w:tcW w:w="1043" w:type="pct"/>
            <w:tcBorders>
              <w:top w:val="nil"/>
              <w:left w:val="nil"/>
              <w:bottom w:val="nil"/>
              <w:right w:val="nil"/>
            </w:tcBorders>
          </w:tcPr>
          <w:p w14:paraId="6ABF133B" w14:textId="77777777" w:rsidR="00B54D51" w:rsidRPr="00037AD4" w:rsidRDefault="00B54D51" w:rsidP="00401C67">
            <w:pPr>
              <w:widowControl w:val="0"/>
              <w:autoSpaceDE w:val="0"/>
              <w:autoSpaceDN w:val="0"/>
              <w:adjustRightInd w:val="0"/>
              <w:jc w:val="center"/>
            </w:pPr>
          </w:p>
        </w:tc>
        <w:tc>
          <w:tcPr>
            <w:tcW w:w="1043" w:type="pct"/>
            <w:tcBorders>
              <w:top w:val="nil"/>
              <w:left w:val="nil"/>
              <w:bottom w:val="nil"/>
              <w:right w:val="nil"/>
            </w:tcBorders>
          </w:tcPr>
          <w:p w14:paraId="3F51A47C" w14:textId="77777777" w:rsidR="00B54D51" w:rsidRPr="00037AD4" w:rsidRDefault="00B54D51" w:rsidP="00401C67">
            <w:pPr>
              <w:widowControl w:val="0"/>
              <w:autoSpaceDE w:val="0"/>
              <w:autoSpaceDN w:val="0"/>
              <w:adjustRightInd w:val="0"/>
              <w:jc w:val="center"/>
            </w:pPr>
          </w:p>
        </w:tc>
        <w:tc>
          <w:tcPr>
            <w:tcW w:w="981" w:type="pct"/>
            <w:tcBorders>
              <w:top w:val="nil"/>
              <w:left w:val="nil"/>
              <w:bottom w:val="nil"/>
              <w:right w:val="nil"/>
            </w:tcBorders>
          </w:tcPr>
          <w:p w14:paraId="3A201206" w14:textId="77777777" w:rsidR="00B54D51" w:rsidRPr="00037AD4" w:rsidRDefault="00B54D51" w:rsidP="00401C67">
            <w:pPr>
              <w:widowControl w:val="0"/>
              <w:autoSpaceDE w:val="0"/>
              <w:autoSpaceDN w:val="0"/>
              <w:adjustRightInd w:val="0"/>
              <w:jc w:val="center"/>
            </w:pPr>
          </w:p>
        </w:tc>
      </w:tr>
      <w:tr w:rsidR="00B54D51" w:rsidRPr="00037AD4" w14:paraId="0CF3C0DE" w14:textId="77777777" w:rsidTr="00401C67">
        <w:trPr>
          <w:jc w:val="center"/>
        </w:trPr>
        <w:tc>
          <w:tcPr>
            <w:tcW w:w="891" w:type="pct"/>
            <w:tcBorders>
              <w:top w:val="nil"/>
              <w:left w:val="nil"/>
              <w:bottom w:val="nil"/>
              <w:right w:val="nil"/>
            </w:tcBorders>
          </w:tcPr>
          <w:p w14:paraId="3504F605" w14:textId="77777777" w:rsidR="00B54D51" w:rsidRPr="00037AD4" w:rsidRDefault="00B54D51" w:rsidP="00401C67">
            <w:pPr>
              <w:widowControl w:val="0"/>
              <w:autoSpaceDE w:val="0"/>
              <w:autoSpaceDN w:val="0"/>
              <w:adjustRightInd w:val="0"/>
            </w:pPr>
          </w:p>
        </w:tc>
        <w:tc>
          <w:tcPr>
            <w:tcW w:w="1043" w:type="pct"/>
            <w:tcBorders>
              <w:top w:val="nil"/>
              <w:left w:val="nil"/>
              <w:bottom w:val="nil"/>
              <w:right w:val="nil"/>
            </w:tcBorders>
          </w:tcPr>
          <w:p w14:paraId="1A5EEB12" w14:textId="77777777" w:rsidR="00B54D51" w:rsidRPr="00037AD4" w:rsidRDefault="00B54D51" w:rsidP="00401C67">
            <w:pPr>
              <w:widowControl w:val="0"/>
              <w:autoSpaceDE w:val="0"/>
              <w:autoSpaceDN w:val="0"/>
              <w:adjustRightInd w:val="0"/>
              <w:jc w:val="center"/>
            </w:pPr>
            <w:r w:rsidRPr="00037AD4">
              <w:t>(-0.481 - 0.125)</w:t>
            </w:r>
          </w:p>
        </w:tc>
        <w:tc>
          <w:tcPr>
            <w:tcW w:w="1043" w:type="pct"/>
            <w:tcBorders>
              <w:top w:val="nil"/>
              <w:left w:val="nil"/>
              <w:bottom w:val="nil"/>
              <w:right w:val="nil"/>
            </w:tcBorders>
          </w:tcPr>
          <w:p w14:paraId="466CCF6E" w14:textId="77777777" w:rsidR="00B54D51" w:rsidRPr="00037AD4" w:rsidRDefault="00B54D51" w:rsidP="00401C67">
            <w:pPr>
              <w:widowControl w:val="0"/>
              <w:autoSpaceDE w:val="0"/>
              <w:autoSpaceDN w:val="0"/>
              <w:adjustRightInd w:val="0"/>
              <w:jc w:val="center"/>
            </w:pPr>
          </w:p>
        </w:tc>
        <w:tc>
          <w:tcPr>
            <w:tcW w:w="1043" w:type="pct"/>
            <w:tcBorders>
              <w:top w:val="nil"/>
              <w:left w:val="nil"/>
              <w:bottom w:val="nil"/>
              <w:right w:val="nil"/>
            </w:tcBorders>
          </w:tcPr>
          <w:p w14:paraId="575E8A26" w14:textId="77777777" w:rsidR="00B54D51" w:rsidRPr="00037AD4" w:rsidRDefault="00B54D51" w:rsidP="00401C67">
            <w:pPr>
              <w:widowControl w:val="0"/>
              <w:autoSpaceDE w:val="0"/>
              <w:autoSpaceDN w:val="0"/>
              <w:adjustRightInd w:val="0"/>
              <w:jc w:val="center"/>
            </w:pPr>
          </w:p>
        </w:tc>
        <w:tc>
          <w:tcPr>
            <w:tcW w:w="981" w:type="pct"/>
            <w:tcBorders>
              <w:top w:val="nil"/>
              <w:left w:val="nil"/>
              <w:bottom w:val="nil"/>
              <w:right w:val="nil"/>
            </w:tcBorders>
          </w:tcPr>
          <w:p w14:paraId="60E6AFD1" w14:textId="77777777" w:rsidR="00B54D51" w:rsidRPr="00037AD4" w:rsidRDefault="00B54D51" w:rsidP="00401C67">
            <w:pPr>
              <w:widowControl w:val="0"/>
              <w:autoSpaceDE w:val="0"/>
              <w:autoSpaceDN w:val="0"/>
              <w:adjustRightInd w:val="0"/>
              <w:jc w:val="center"/>
            </w:pPr>
          </w:p>
        </w:tc>
      </w:tr>
      <w:tr w:rsidR="00B54D51" w:rsidRPr="00037AD4" w14:paraId="40053DEA" w14:textId="77777777" w:rsidTr="00401C67">
        <w:trPr>
          <w:jc w:val="center"/>
        </w:trPr>
        <w:tc>
          <w:tcPr>
            <w:tcW w:w="891" w:type="pct"/>
            <w:tcBorders>
              <w:top w:val="nil"/>
              <w:left w:val="nil"/>
              <w:bottom w:val="nil"/>
              <w:right w:val="nil"/>
            </w:tcBorders>
          </w:tcPr>
          <w:p w14:paraId="7E3AB340" w14:textId="77777777" w:rsidR="00B54D51" w:rsidRPr="00037AD4" w:rsidRDefault="00B54D51" w:rsidP="00401C67">
            <w:pPr>
              <w:widowControl w:val="0"/>
              <w:autoSpaceDE w:val="0"/>
              <w:autoSpaceDN w:val="0"/>
              <w:adjustRightInd w:val="0"/>
            </w:pPr>
            <w:r w:rsidRPr="00037AD4">
              <w:t>3.eq5SR_</w:t>
            </w:r>
          </w:p>
        </w:tc>
        <w:tc>
          <w:tcPr>
            <w:tcW w:w="1043" w:type="pct"/>
            <w:tcBorders>
              <w:top w:val="nil"/>
              <w:left w:val="nil"/>
              <w:bottom w:val="nil"/>
              <w:right w:val="nil"/>
            </w:tcBorders>
          </w:tcPr>
          <w:p w14:paraId="2CFB9DB4" w14:textId="77777777" w:rsidR="00B54D51" w:rsidRPr="00037AD4" w:rsidRDefault="00B54D51" w:rsidP="00401C67">
            <w:pPr>
              <w:widowControl w:val="0"/>
              <w:autoSpaceDE w:val="0"/>
              <w:autoSpaceDN w:val="0"/>
              <w:adjustRightInd w:val="0"/>
              <w:jc w:val="center"/>
            </w:pPr>
            <w:r w:rsidRPr="00037AD4">
              <w:t>0.368*</w:t>
            </w:r>
          </w:p>
        </w:tc>
        <w:tc>
          <w:tcPr>
            <w:tcW w:w="1043" w:type="pct"/>
            <w:tcBorders>
              <w:top w:val="nil"/>
              <w:left w:val="nil"/>
              <w:bottom w:val="nil"/>
              <w:right w:val="nil"/>
            </w:tcBorders>
          </w:tcPr>
          <w:p w14:paraId="4BDDDB2E" w14:textId="77777777" w:rsidR="00B54D51" w:rsidRPr="00037AD4" w:rsidRDefault="00B54D51" w:rsidP="00401C67">
            <w:pPr>
              <w:widowControl w:val="0"/>
              <w:autoSpaceDE w:val="0"/>
              <w:autoSpaceDN w:val="0"/>
              <w:adjustRightInd w:val="0"/>
              <w:jc w:val="center"/>
            </w:pPr>
          </w:p>
        </w:tc>
        <w:tc>
          <w:tcPr>
            <w:tcW w:w="1043" w:type="pct"/>
            <w:tcBorders>
              <w:top w:val="nil"/>
              <w:left w:val="nil"/>
              <w:bottom w:val="nil"/>
              <w:right w:val="nil"/>
            </w:tcBorders>
          </w:tcPr>
          <w:p w14:paraId="192E56EB" w14:textId="77777777" w:rsidR="00B54D51" w:rsidRPr="00037AD4" w:rsidRDefault="00B54D51" w:rsidP="00401C67">
            <w:pPr>
              <w:widowControl w:val="0"/>
              <w:autoSpaceDE w:val="0"/>
              <w:autoSpaceDN w:val="0"/>
              <w:adjustRightInd w:val="0"/>
              <w:jc w:val="center"/>
            </w:pPr>
          </w:p>
        </w:tc>
        <w:tc>
          <w:tcPr>
            <w:tcW w:w="981" w:type="pct"/>
            <w:tcBorders>
              <w:top w:val="nil"/>
              <w:left w:val="nil"/>
              <w:bottom w:val="nil"/>
              <w:right w:val="nil"/>
            </w:tcBorders>
          </w:tcPr>
          <w:p w14:paraId="21C93BBB" w14:textId="77777777" w:rsidR="00B54D51" w:rsidRPr="00037AD4" w:rsidRDefault="00B54D51" w:rsidP="00401C67">
            <w:pPr>
              <w:widowControl w:val="0"/>
              <w:autoSpaceDE w:val="0"/>
              <w:autoSpaceDN w:val="0"/>
              <w:adjustRightInd w:val="0"/>
              <w:jc w:val="center"/>
            </w:pPr>
          </w:p>
        </w:tc>
      </w:tr>
      <w:tr w:rsidR="00B54D51" w:rsidRPr="00037AD4" w14:paraId="43F9B6E7" w14:textId="77777777" w:rsidTr="00401C67">
        <w:trPr>
          <w:jc w:val="center"/>
        </w:trPr>
        <w:tc>
          <w:tcPr>
            <w:tcW w:w="891" w:type="pct"/>
            <w:tcBorders>
              <w:top w:val="nil"/>
              <w:left w:val="nil"/>
              <w:bottom w:val="nil"/>
              <w:right w:val="nil"/>
            </w:tcBorders>
          </w:tcPr>
          <w:p w14:paraId="242510B4" w14:textId="77777777" w:rsidR="00B54D51" w:rsidRPr="00037AD4" w:rsidRDefault="00B54D51" w:rsidP="00401C67">
            <w:pPr>
              <w:widowControl w:val="0"/>
              <w:autoSpaceDE w:val="0"/>
              <w:autoSpaceDN w:val="0"/>
              <w:adjustRightInd w:val="0"/>
            </w:pPr>
          </w:p>
        </w:tc>
        <w:tc>
          <w:tcPr>
            <w:tcW w:w="1043" w:type="pct"/>
            <w:tcBorders>
              <w:top w:val="nil"/>
              <w:left w:val="nil"/>
              <w:bottom w:val="nil"/>
              <w:right w:val="nil"/>
            </w:tcBorders>
          </w:tcPr>
          <w:p w14:paraId="3CFE82F0" w14:textId="77777777" w:rsidR="00B54D51" w:rsidRPr="00037AD4" w:rsidRDefault="00B54D51" w:rsidP="00401C67">
            <w:pPr>
              <w:widowControl w:val="0"/>
              <w:autoSpaceDE w:val="0"/>
              <w:autoSpaceDN w:val="0"/>
              <w:adjustRightInd w:val="0"/>
              <w:jc w:val="center"/>
            </w:pPr>
            <w:r w:rsidRPr="00037AD4">
              <w:t>(-0.007 - 0.742)</w:t>
            </w:r>
          </w:p>
        </w:tc>
        <w:tc>
          <w:tcPr>
            <w:tcW w:w="1043" w:type="pct"/>
            <w:tcBorders>
              <w:top w:val="nil"/>
              <w:left w:val="nil"/>
              <w:bottom w:val="nil"/>
              <w:right w:val="nil"/>
            </w:tcBorders>
          </w:tcPr>
          <w:p w14:paraId="0AF1F7D9" w14:textId="77777777" w:rsidR="00B54D51" w:rsidRPr="00037AD4" w:rsidRDefault="00B54D51" w:rsidP="00401C67">
            <w:pPr>
              <w:widowControl w:val="0"/>
              <w:autoSpaceDE w:val="0"/>
              <w:autoSpaceDN w:val="0"/>
              <w:adjustRightInd w:val="0"/>
              <w:jc w:val="center"/>
            </w:pPr>
          </w:p>
        </w:tc>
        <w:tc>
          <w:tcPr>
            <w:tcW w:w="1043" w:type="pct"/>
            <w:tcBorders>
              <w:top w:val="nil"/>
              <w:left w:val="nil"/>
              <w:bottom w:val="nil"/>
              <w:right w:val="nil"/>
            </w:tcBorders>
          </w:tcPr>
          <w:p w14:paraId="7FBDFE52" w14:textId="77777777" w:rsidR="00B54D51" w:rsidRPr="00037AD4" w:rsidRDefault="00B54D51" w:rsidP="00401C67">
            <w:pPr>
              <w:widowControl w:val="0"/>
              <w:autoSpaceDE w:val="0"/>
              <w:autoSpaceDN w:val="0"/>
              <w:adjustRightInd w:val="0"/>
              <w:jc w:val="center"/>
            </w:pPr>
          </w:p>
        </w:tc>
        <w:tc>
          <w:tcPr>
            <w:tcW w:w="981" w:type="pct"/>
            <w:tcBorders>
              <w:top w:val="nil"/>
              <w:left w:val="nil"/>
              <w:bottom w:val="nil"/>
              <w:right w:val="nil"/>
            </w:tcBorders>
          </w:tcPr>
          <w:p w14:paraId="36D27C5C" w14:textId="77777777" w:rsidR="00B54D51" w:rsidRPr="00037AD4" w:rsidRDefault="00B54D51" w:rsidP="00401C67">
            <w:pPr>
              <w:widowControl w:val="0"/>
              <w:autoSpaceDE w:val="0"/>
              <w:autoSpaceDN w:val="0"/>
              <w:adjustRightInd w:val="0"/>
              <w:jc w:val="center"/>
            </w:pPr>
          </w:p>
        </w:tc>
      </w:tr>
      <w:tr w:rsidR="00B54D51" w:rsidRPr="00037AD4" w14:paraId="29AF258B" w14:textId="77777777" w:rsidTr="00401C67">
        <w:trPr>
          <w:jc w:val="center"/>
        </w:trPr>
        <w:tc>
          <w:tcPr>
            <w:tcW w:w="891" w:type="pct"/>
            <w:tcBorders>
              <w:top w:val="nil"/>
              <w:left w:val="nil"/>
              <w:bottom w:val="nil"/>
              <w:right w:val="nil"/>
            </w:tcBorders>
          </w:tcPr>
          <w:p w14:paraId="5DEAA1D2" w14:textId="77777777" w:rsidR="00B54D51" w:rsidRPr="00037AD4" w:rsidRDefault="00B54D51" w:rsidP="00401C67">
            <w:pPr>
              <w:widowControl w:val="0"/>
              <w:autoSpaceDE w:val="0"/>
              <w:autoSpaceDN w:val="0"/>
              <w:adjustRightInd w:val="0"/>
            </w:pPr>
            <w:r w:rsidRPr="00037AD4">
              <w:t>4.eq5SR_</w:t>
            </w:r>
          </w:p>
        </w:tc>
        <w:tc>
          <w:tcPr>
            <w:tcW w:w="1043" w:type="pct"/>
            <w:tcBorders>
              <w:top w:val="nil"/>
              <w:left w:val="nil"/>
              <w:bottom w:val="nil"/>
              <w:right w:val="nil"/>
            </w:tcBorders>
          </w:tcPr>
          <w:p w14:paraId="0D4ED055" w14:textId="77777777" w:rsidR="00B54D51" w:rsidRPr="00037AD4" w:rsidRDefault="00B54D51" w:rsidP="00401C67">
            <w:pPr>
              <w:widowControl w:val="0"/>
              <w:autoSpaceDE w:val="0"/>
              <w:autoSpaceDN w:val="0"/>
              <w:adjustRightInd w:val="0"/>
              <w:jc w:val="center"/>
            </w:pPr>
            <w:r w:rsidRPr="00037AD4">
              <w:t>-0.195</w:t>
            </w:r>
          </w:p>
        </w:tc>
        <w:tc>
          <w:tcPr>
            <w:tcW w:w="1043" w:type="pct"/>
            <w:tcBorders>
              <w:top w:val="nil"/>
              <w:left w:val="nil"/>
              <w:bottom w:val="nil"/>
              <w:right w:val="nil"/>
            </w:tcBorders>
          </w:tcPr>
          <w:p w14:paraId="239AF498" w14:textId="77777777" w:rsidR="00B54D51" w:rsidRPr="00037AD4" w:rsidRDefault="00B54D51" w:rsidP="00401C67">
            <w:pPr>
              <w:widowControl w:val="0"/>
              <w:autoSpaceDE w:val="0"/>
              <w:autoSpaceDN w:val="0"/>
              <w:adjustRightInd w:val="0"/>
              <w:jc w:val="center"/>
            </w:pPr>
          </w:p>
        </w:tc>
        <w:tc>
          <w:tcPr>
            <w:tcW w:w="1043" w:type="pct"/>
            <w:tcBorders>
              <w:top w:val="nil"/>
              <w:left w:val="nil"/>
              <w:bottom w:val="nil"/>
              <w:right w:val="nil"/>
            </w:tcBorders>
          </w:tcPr>
          <w:p w14:paraId="0AA6290A" w14:textId="77777777" w:rsidR="00B54D51" w:rsidRPr="00037AD4" w:rsidRDefault="00B54D51" w:rsidP="00401C67">
            <w:pPr>
              <w:widowControl w:val="0"/>
              <w:autoSpaceDE w:val="0"/>
              <w:autoSpaceDN w:val="0"/>
              <w:adjustRightInd w:val="0"/>
              <w:jc w:val="center"/>
            </w:pPr>
          </w:p>
        </w:tc>
        <w:tc>
          <w:tcPr>
            <w:tcW w:w="981" w:type="pct"/>
            <w:tcBorders>
              <w:top w:val="nil"/>
              <w:left w:val="nil"/>
              <w:bottom w:val="nil"/>
              <w:right w:val="nil"/>
            </w:tcBorders>
          </w:tcPr>
          <w:p w14:paraId="2381127E" w14:textId="77777777" w:rsidR="00B54D51" w:rsidRPr="00037AD4" w:rsidRDefault="00B54D51" w:rsidP="00401C67">
            <w:pPr>
              <w:widowControl w:val="0"/>
              <w:autoSpaceDE w:val="0"/>
              <w:autoSpaceDN w:val="0"/>
              <w:adjustRightInd w:val="0"/>
              <w:jc w:val="center"/>
            </w:pPr>
          </w:p>
        </w:tc>
      </w:tr>
      <w:tr w:rsidR="00B54D51" w:rsidRPr="00037AD4" w14:paraId="26602279" w14:textId="77777777" w:rsidTr="00401C67">
        <w:trPr>
          <w:jc w:val="center"/>
        </w:trPr>
        <w:tc>
          <w:tcPr>
            <w:tcW w:w="891" w:type="pct"/>
            <w:tcBorders>
              <w:top w:val="nil"/>
              <w:left w:val="nil"/>
              <w:bottom w:val="nil"/>
              <w:right w:val="nil"/>
            </w:tcBorders>
          </w:tcPr>
          <w:p w14:paraId="3F40210F" w14:textId="77777777" w:rsidR="00B54D51" w:rsidRPr="00037AD4" w:rsidRDefault="00B54D51" w:rsidP="00401C67">
            <w:pPr>
              <w:widowControl w:val="0"/>
              <w:autoSpaceDE w:val="0"/>
              <w:autoSpaceDN w:val="0"/>
              <w:adjustRightInd w:val="0"/>
            </w:pPr>
          </w:p>
        </w:tc>
        <w:tc>
          <w:tcPr>
            <w:tcW w:w="1043" w:type="pct"/>
            <w:tcBorders>
              <w:top w:val="nil"/>
              <w:left w:val="nil"/>
              <w:bottom w:val="nil"/>
              <w:right w:val="nil"/>
            </w:tcBorders>
          </w:tcPr>
          <w:p w14:paraId="1A4114F1" w14:textId="77777777" w:rsidR="00B54D51" w:rsidRPr="00037AD4" w:rsidRDefault="00B54D51" w:rsidP="00401C67">
            <w:pPr>
              <w:widowControl w:val="0"/>
              <w:autoSpaceDE w:val="0"/>
              <w:autoSpaceDN w:val="0"/>
              <w:adjustRightInd w:val="0"/>
              <w:jc w:val="center"/>
            </w:pPr>
            <w:r w:rsidRPr="00037AD4">
              <w:t>(-1.217 - 0.827)</w:t>
            </w:r>
          </w:p>
        </w:tc>
        <w:tc>
          <w:tcPr>
            <w:tcW w:w="1043" w:type="pct"/>
            <w:tcBorders>
              <w:top w:val="nil"/>
              <w:left w:val="nil"/>
              <w:bottom w:val="nil"/>
              <w:right w:val="nil"/>
            </w:tcBorders>
          </w:tcPr>
          <w:p w14:paraId="4DCD28E2" w14:textId="77777777" w:rsidR="00B54D51" w:rsidRPr="00037AD4" w:rsidRDefault="00B54D51" w:rsidP="00401C67">
            <w:pPr>
              <w:widowControl w:val="0"/>
              <w:autoSpaceDE w:val="0"/>
              <w:autoSpaceDN w:val="0"/>
              <w:adjustRightInd w:val="0"/>
              <w:jc w:val="center"/>
            </w:pPr>
          </w:p>
        </w:tc>
        <w:tc>
          <w:tcPr>
            <w:tcW w:w="1043" w:type="pct"/>
            <w:tcBorders>
              <w:top w:val="nil"/>
              <w:left w:val="nil"/>
              <w:bottom w:val="nil"/>
              <w:right w:val="nil"/>
            </w:tcBorders>
          </w:tcPr>
          <w:p w14:paraId="52A63CF1" w14:textId="77777777" w:rsidR="00B54D51" w:rsidRPr="00037AD4" w:rsidRDefault="00B54D51" w:rsidP="00401C67">
            <w:pPr>
              <w:widowControl w:val="0"/>
              <w:autoSpaceDE w:val="0"/>
              <w:autoSpaceDN w:val="0"/>
              <w:adjustRightInd w:val="0"/>
              <w:jc w:val="center"/>
            </w:pPr>
          </w:p>
        </w:tc>
        <w:tc>
          <w:tcPr>
            <w:tcW w:w="981" w:type="pct"/>
            <w:tcBorders>
              <w:top w:val="nil"/>
              <w:left w:val="nil"/>
              <w:bottom w:val="nil"/>
              <w:right w:val="nil"/>
            </w:tcBorders>
          </w:tcPr>
          <w:p w14:paraId="4E7CD765" w14:textId="77777777" w:rsidR="00B54D51" w:rsidRPr="00037AD4" w:rsidRDefault="00B54D51" w:rsidP="00401C67">
            <w:pPr>
              <w:widowControl w:val="0"/>
              <w:autoSpaceDE w:val="0"/>
              <w:autoSpaceDN w:val="0"/>
              <w:adjustRightInd w:val="0"/>
              <w:jc w:val="center"/>
            </w:pPr>
          </w:p>
        </w:tc>
      </w:tr>
      <w:tr w:rsidR="00B54D51" w:rsidRPr="00037AD4" w14:paraId="4D43E360" w14:textId="77777777" w:rsidTr="00401C67">
        <w:trPr>
          <w:jc w:val="center"/>
        </w:trPr>
        <w:tc>
          <w:tcPr>
            <w:tcW w:w="891" w:type="pct"/>
            <w:tcBorders>
              <w:top w:val="nil"/>
              <w:left w:val="nil"/>
              <w:bottom w:val="nil"/>
              <w:right w:val="nil"/>
            </w:tcBorders>
          </w:tcPr>
          <w:p w14:paraId="51173B32" w14:textId="77777777" w:rsidR="00B54D51" w:rsidRPr="00037AD4" w:rsidRDefault="00B54D51" w:rsidP="00401C67">
            <w:pPr>
              <w:widowControl w:val="0"/>
              <w:autoSpaceDE w:val="0"/>
              <w:autoSpaceDN w:val="0"/>
              <w:adjustRightInd w:val="0"/>
            </w:pPr>
            <w:r w:rsidRPr="00037AD4">
              <w:t>5.eq5SR_</w:t>
            </w:r>
          </w:p>
        </w:tc>
        <w:tc>
          <w:tcPr>
            <w:tcW w:w="1043" w:type="pct"/>
            <w:tcBorders>
              <w:top w:val="nil"/>
              <w:left w:val="nil"/>
              <w:bottom w:val="nil"/>
              <w:right w:val="nil"/>
            </w:tcBorders>
          </w:tcPr>
          <w:p w14:paraId="0346D2B2" w14:textId="77777777" w:rsidR="00B54D51" w:rsidRPr="00037AD4" w:rsidRDefault="00B54D51" w:rsidP="00401C67">
            <w:pPr>
              <w:widowControl w:val="0"/>
              <w:autoSpaceDE w:val="0"/>
              <w:autoSpaceDN w:val="0"/>
              <w:adjustRightInd w:val="0"/>
              <w:jc w:val="center"/>
            </w:pPr>
            <w:r w:rsidRPr="00037AD4">
              <w:t>0.896**</w:t>
            </w:r>
          </w:p>
        </w:tc>
        <w:tc>
          <w:tcPr>
            <w:tcW w:w="1043" w:type="pct"/>
            <w:tcBorders>
              <w:top w:val="nil"/>
              <w:left w:val="nil"/>
              <w:bottom w:val="nil"/>
              <w:right w:val="nil"/>
            </w:tcBorders>
          </w:tcPr>
          <w:p w14:paraId="4F0DAEDC" w14:textId="77777777" w:rsidR="00B54D51" w:rsidRPr="00037AD4" w:rsidRDefault="00B54D51" w:rsidP="00401C67">
            <w:pPr>
              <w:widowControl w:val="0"/>
              <w:autoSpaceDE w:val="0"/>
              <w:autoSpaceDN w:val="0"/>
              <w:adjustRightInd w:val="0"/>
              <w:jc w:val="center"/>
            </w:pPr>
          </w:p>
        </w:tc>
        <w:tc>
          <w:tcPr>
            <w:tcW w:w="1043" w:type="pct"/>
            <w:tcBorders>
              <w:top w:val="nil"/>
              <w:left w:val="nil"/>
              <w:bottom w:val="nil"/>
              <w:right w:val="nil"/>
            </w:tcBorders>
          </w:tcPr>
          <w:p w14:paraId="5AFA109A" w14:textId="77777777" w:rsidR="00B54D51" w:rsidRPr="00037AD4" w:rsidRDefault="00B54D51" w:rsidP="00401C67">
            <w:pPr>
              <w:widowControl w:val="0"/>
              <w:autoSpaceDE w:val="0"/>
              <w:autoSpaceDN w:val="0"/>
              <w:adjustRightInd w:val="0"/>
              <w:jc w:val="center"/>
            </w:pPr>
          </w:p>
        </w:tc>
        <w:tc>
          <w:tcPr>
            <w:tcW w:w="981" w:type="pct"/>
            <w:tcBorders>
              <w:top w:val="nil"/>
              <w:left w:val="nil"/>
              <w:bottom w:val="nil"/>
              <w:right w:val="nil"/>
            </w:tcBorders>
          </w:tcPr>
          <w:p w14:paraId="465BDD41" w14:textId="77777777" w:rsidR="00B54D51" w:rsidRPr="00037AD4" w:rsidRDefault="00B54D51" w:rsidP="00401C67">
            <w:pPr>
              <w:widowControl w:val="0"/>
              <w:autoSpaceDE w:val="0"/>
              <w:autoSpaceDN w:val="0"/>
              <w:adjustRightInd w:val="0"/>
              <w:jc w:val="center"/>
            </w:pPr>
          </w:p>
        </w:tc>
      </w:tr>
      <w:tr w:rsidR="00B54D51" w:rsidRPr="00037AD4" w14:paraId="2A3F7999" w14:textId="77777777" w:rsidTr="00401C67">
        <w:trPr>
          <w:jc w:val="center"/>
        </w:trPr>
        <w:tc>
          <w:tcPr>
            <w:tcW w:w="891" w:type="pct"/>
            <w:tcBorders>
              <w:top w:val="nil"/>
              <w:left w:val="nil"/>
              <w:bottom w:val="nil"/>
              <w:right w:val="nil"/>
            </w:tcBorders>
          </w:tcPr>
          <w:p w14:paraId="4076AEC5" w14:textId="77777777" w:rsidR="00B54D51" w:rsidRPr="00037AD4" w:rsidRDefault="00B54D51" w:rsidP="00401C67">
            <w:pPr>
              <w:widowControl w:val="0"/>
              <w:autoSpaceDE w:val="0"/>
              <w:autoSpaceDN w:val="0"/>
              <w:adjustRightInd w:val="0"/>
            </w:pPr>
          </w:p>
        </w:tc>
        <w:tc>
          <w:tcPr>
            <w:tcW w:w="1043" w:type="pct"/>
            <w:tcBorders>
              <w:top w:val="nil"/>
              <w:left w:val="nil"/>
              <w:bottom w:val="nil"/>
              <w:right w:val="nil"/>
            </w:tcBorders>
          </w:tcPr>
          <w:p w14:paraId="241B8DB1" w14:textId="77777777" w:rsidR="00B54D51" w:rsidRPr="00037AD4" w:rsidRDefault="00B54D51" w:rsidP="00401C67">
            <w:pPr>
              <w:widowControl w:val="0"/>
              <w:autoSpaceDE w:val="0"/>
              <w:autoSpaceDN w:val="0"/>
              <w:adjustRightInd w:val="0"/>
              <w:jc w:val="center"/>
            </w:pPr>
            <w:r w:rsidRPr="00037AD4">
              <w:t>(0.074 - 1.719)</w:t>
            </w:r>
          </w:p>
        </w:tc>
        <w:tc>
          <w:tcPr>
            <w:tcW w:w="1043" w:type="pct"/>
            <w:tcBorders>
              <w:top w:val="nil"/>
              <w:left w:val="nil"/>
              <w:bottom w:val="nil"/>
              <w:right w:val="nil"/>
            </w:tcBorders>
          </w:tcPr>
          <w:p w14:paraId="501775C6" w14:textId="77777777" w:rsidR="00B54D51" w:rsidRPr="00037AD4" w:rsidRDefault="00B54D51" w:rsidP="00401C67">
            <w:pPr>
              <w:widowControl w:val="0"/>
              <w:autoSpaceDE w:val="0"/>
              <w:autoSpaceDN w:val="0"/>
              <w:adjustRightInd w:val="0"/>
              <w:jc w:val="center"/>
            </w:pPr>
          </w:p>
        </w:tc>
        <w:tc>
          <w:tcPr>
            <w:tcW w:w="1043" w:type="pct"/>
            <w:tcBorders>
              <w:top w:val="nil"/>
              <w:left w:val="nil"/>
              <w:bottom w:val="nil"/>
              <w:right w:val="nil"/>
            </w:tcBorders>
          </w:tcPr>
          <w:p w14:paraId="2F0E08CB" w14:textId="77777777" w:rsidR="00B54D51" w:rsidRPr="00037AD4" w:rsidRDefault="00B54D51" w:rsidP="00401C67">
            <w:pPr>
              <w:widowControl w:val="0"/>
              <w:autoSpaceDE w:val="0"/>
              <w:autoSpaceDN w:val="0"/>
              <w:adjustRightInd w:val="0"/>
              <w:jc w:val="center"/>
            </w:pPr>
          </w:p>
        </w:tc>
        <w:tc>
          <w:tcPr>
            <w:tcW w:w="981" w:type="pct"/>
            <w:tcBorders>
              <w:top w:val="nil"/>
              <w:left w:val="nil"/>
              <w:bottom w:val="nil"/>
              <w:right w:val="nil"/>
            </w:tcBorders>
          </w:tcPr>
          <w:p w14:paraId="487421BF" w14:textId="77777777" w:rsidR="00B54D51" w:rsidRPr="00037AD4" w:rsidRDefault="00B54D51" w:rsidP="00401C67">
            <w:pPr>
              <w:widowControl w:val="0"/>
              <w:autoSpaceDE w:val="0"/>
              <w:autoSpaceDN w:val="0"/>
              <w:adjustRightInd w:val="0"/>
              <w:jc w:val="center"/>
            </w:pPr>
          </w:p>
        </w:tc>
      </w:tr>
      <w:tr w:rsidR="00B54D51" w:rsidRPr="00037AD4" w14:paraId="22DC7ADD" w14:textId="77777777" w:rsidTr="00401C67">
        <w:trPr>
          <w:jc w:val="center"/>
        </w:trPr>
        <w:tc>
          <w:tcPr>
            <w:tcW w:w="891" w:type="pct"/>
            <w:tcBorders>
              <w:top w:val="nil"/>
              <w:left w:val="nil"/>
              <w:bottom w:val="nil"/>
              <w:right w:val="nil"/>
            </w:tcBorders>
          </w:tcPr>
          <w:p w14:paraId="6028BAEC" w14:textId="77777777" w:rsidR="00B54D51" w:rsidRPr="00037AD4" w:rsidRDefault="00B54D51" w:rsidP="00401C67">
            <w:pPr>
              <w:widowControl w:val="0"/>
              <w:autoSpaceDE w:val="0"/>
              <w:autoSpaceDN w:val="0"/>
              <w:adjustRightInd w:val="0"/>
            </w:pPr>
            <w:r w:rsidRPr="00037AD4">
              <w:t>NPItotal_</w:t>
            </w:r>
          </w:p>
        </w:tc>
        <w:tc>
          <w:tcPr>
            <w:tcW w:w="1043" w:type="pct"/>
            <w:tcBorders>
              <w:top w:val="nil"/>
              <w:left w:val="nil"/>
              <w:bottom w:val="nil"/>
              <w:right w:val="nil"/>
            </w:tcBorders>
          </w:tcPr>
          <w:p w14:paraId="1597CF7F" w14:textId="77777777" w:rsidR="00B54D51" w:rsidRPr="00037AD4" w:rsidRDefault="00B54D51" w:rsidP="00401C67">
            <w:pPr>
              <w:widowControl w:val="0"/>
              <w:autoSpaceDE w:val="0"/>
              <w:autoSpaceDN w:val="0"/>
              <w:adjustRightInd w:val="0"/>
              <w:jc w:val="center"/>
            </w:pPr>
            <w:r w:rsidRPr="00037AD4">
              <w:t>0.015***</w:t>
            </w:r>
          </w:p>
        </w:tc>
        <w:tc>
          <w:tcPr>
            <w:tcW w:w="1043" w:type="pct"/>
            <w:tcBorders>
              <w:top w:val="nil"/>
              <w:left w:val="nil"/>
              <w:bottom w:val="nil"/>
              <w:right w:val="nil"/>
            </w:tcBorders>
          </w:tcPr>
          <w:p w14:paraId="7BFFF3DB" w14:textId="77777777" w:rsidR="00B54D51" w:rsidRPr="00037AD4" w:rsidRDefault="00B54D51" w:rsidP="00401C67">
            <w:pPr>
              <w:widowControl w:val="0"/>
              <w:autoSpaceDE w:val="0"/>
              <w:autoSpaceDN w:val="0"/>
              <w:adjustRightInd w:val="0"/>
              <w:jc w:val="center"/>
            </w:pPr>
            <w:r w:rsidRPr="00037AD4">
              <w:t>0.018***</w:t>
            </w:r>
          </w:p>
        </w:tc>
        <w:tc>
          <w:tcPr>
            <w:tcW w:w="1043" w:type="pct"/>
            <w:tcBorders>
              <w:top w:val="nil"/>
              <w:left w:val="nil"/>
              <w:bottom w:val="nil"/>
              <w:right w:val="nil"/>
            </w:tcBorders>
          </w:tcPr>
          <w:p w14:paraId="253B05A8" w14:textId="77777777" w:rsidR="00B54D51" w:rsidRPr="00037AD4" w:rsidRDefault="00B54D51" w:rsidP="00401C67">
            <w:pPr>
              <w:widowControl w:val="0"/>
              <w:autoSpaceDE w:val="0"/>
              <w:autoSpaceDN w:val="0"/>
              <w:adjustRightInd w:val="0"/>
              <w:jc w:val="center"/>
            </w:pPr>
            <w:r w:rsidRPr="00037AD4">
              <w:t>0.018***</w:t>
            </w:r>
          </w:p>
        </w:tc>
        <w:tc>
          <w:tcPr>
            <w:tcW w:w="981" w:type="pct"/>
            <w:tcBorders>
              <w:top w:val="nil"/>
              <w:left w:val="nil"/>
              <w:bottom w:val="nil"/>
              <w:right w:val="nil"/>
            </w:tcBorders>
          </w:tcPr>
          <w:p w14:paraId="6454C37D" w14:textId="77777777" w:rsidR="00B54D51" w:rsidRPr="00037AD4" w:rsidRDefault="00B54D51" w:rsidP="00401C67">
            <w:pPr>
              <w:widowControl w:val="0"/>
              <w:autoSpaceDE w:val="0"/>
              <w:autoSpaceDN w:val="0"/>
              <w:adjustRightInd w:val="0"/>
              <w:jc w:val="center"/>
            </w:pPr>
            <w:r w:rsidRPr="00037AD4">
              <w:t>0.018***</w:t>
            </w:r>
          </w:p>
        </w:tc>
      </w:tr>
      <w:tr w:rsidR="00B54D51" w:rsidRPr="00037AD4" w14:paraId="17A54274" w14:textId="77777777" w:rsidTr="00401C67">
        <w:trPr>
          <w:jc w:val="center"/>
        </w:trPr>
        <w:tc>
          <w:tcPr>
            <w:tcW w:w="891" w:type="pct"/>
            <w:tcBorders>
              <w:top w:val="nil"/>
              <w:left w:val="nil"/>
              <w:bottom w:val="nil"/>
              <w:right w:val="nil"/>
            </w:tcBorders>
          </w:tcPr>
          <w:p w14:paraId="7F622BB3" w14:textId="77777777" w:rsidR="00B54D51" w:rsidRPr="00037AD4" w:rsidRDefault="00B54D51" w:rsidP="00401C67">
            <w:pPr>
              <w:widowControl w:val="0"/>
              <w:autoSpaceDE w:val="0"/>
              <w:autoSpaceDN w:val="0"/>
              <w:adjustRightInd w:val="0"/>
            </w:pPr>
          </w:p>
        </w:tc>
        <w:tc>
          <w:tcPr>
            <w:tcW w:w="1043" w:type="pct"/>
            <w:tcBorders>
              <w:top w:val="nil"/>
              <w:left w:val="nil"/>
              <w:bottom w:val="nil"/>
              <w:right w:val="nil"/>
            </w:tcBorders>
          </w:tcPr>
          <w:p w14:paraId="743373CD" w14:textId="77777777" w:rsidR="00B54D51" w:rsidRPr="00037AD4" w:rsidRDefault="00B54D51" w:rsidP="00401C67">
            <w:pPr>
              <w:widowControl w:val="0"/>
              <w:autoSpaceDE w:val="0"/>
              <w:autoSpaceDN w:val="0"/>
              <w:adjustRightInd w:val="0"/>
              <w:jc w:val="center"/>
            </w:pPr>
            <w:r w:rsidRPr="00037AD4">
              <w:t>(0.007 - 0.024)</w:t>
            </w:r>
          </w:p>
        </w:tc>
        <w:tc>
          <w:tcPr>
            <w:tcW w:w="1043" w:type="pct"/>
            <w:tcBorders>
              <w:top w:val="nil"/>
              <w:left w:val="nil"/>
              <w:bottom w:val="nil"/>
              <w:right w:val="nil"/>
            </w:tcBorders>
          </w:tcPr>
          <w:p w14:paraId="74EE7063" w14:textId="77777777" w:rsidR="00B54D51" w:rsidRPr="00037AD4" w:rsidRDefault="00B54D51" w:rsidP="00401C67">
            <w:pPr>
              <w:widowControl w:val="0"/>
              <w:autoSpaceDE w:val="0"/>
              <w:autoSpaceDN w:val="0"/>
              <w:adjustRightInd w:val="0"/>
              <w:jc w:val="center"/>
            </w:pPr>
            <w:r w:rsidRPr="00037AD4">
              <w:t>(0.010 - 0.026)</w:t>
            </w:r>
          </w:p>
        </w:tc>
        <w:tc>
          <w:tcPr>
            <w:tcW w:w="1043" w:type="pct"/>
            <w:tcBorders>
              <w:top w:val="nil"/>
              <w:left w:val="nil"/>
              <w:bottom w:val="nil"/>
              <w:right w:val="nil"/>
            </w:tcBorders>
          </w:tcPr>
          <w:p w14:paraId="7A5A7BF9" w14:textId="77777777" w:rsidR="00B54D51" w:rsidRPr="00037AD4" w:rsidRDefault="00B54D51" w:rsidP="00401C67">
            <w:pPr>
              <w:widowControl w:val="0"/>
              <w:autoSpaceDE w:val="0"/>
              <w:autoSpaceDN w:val="0"/>
              <w:adjustRightInd w:val="0"/>
              <w:jc w:val="center"/>
            </w:pPr>
            <w:r w:rsidRPr="00037AD4">
              <w:t>(0.010 - 0.026)</w:t>
            </w:r>
          </w:p>
        </w:tc>
        <w:tc>
          <w:tcPr>
            <w:tcW w:w="981" w:type="pct"/>
            <w:tcBorders>
              <w:top w:val="nil"/>
              <w:left w:val="nil"/>
              <w:bottom w:val="nil"/>
              <w:right w:val="nil"/>
            </w:tcBorders>
          </w:tcPr>
          <w:p w14:paraId="7C5302F4" w14:textId="77777777" w:rsidR="00B54D51" w:rsidRPr="00037AD4" w:rsidRDefault="00B54D51" w:rsidP="00401C67">
            <w:pPr>
              <w:widowControl w:val="0"/>
              <w:autoSpaceDE w:val="0"/>
              <w:autoSpaceDN w:val="0"/>
              <w:adjustRightInd w:val="0"/>
              <w:jc w:val="center"/>
            </w:pPr>
            <w:r w:rsidRPr="00037AD4">
              <w:t>(0.010 - 0.026)</w:t>
            </w:r>
          </w:p>
        </w:tc>
      </w:tr>
      <w:tr w:rsidR="00B54D51" w:rsidRPr="00037AD4" w14:paraId="395108F3" w14:textId="77777777" w:rsidTr="00401C67">
        <w:trPr>
          <w:jc w:val="center"/>
        </w:trPr>
        <w:tc>
          <w:tcPr>
            <w:tcW w:w="891" w:type="pct"/>
            <w:tcBorders>
              <w:top w:val="nil"/>
              <w:left w:val="nil"/>
              <w:bottom w:val="nil"/>
              <w:right w:val="nil"/>
            </w:tcBorders>
          </w:tcPr>
          <w:p w14:paraId="39F320B3" w14:textId="77777777" w:rsidR="00B54D51" w:rsidRPr="00037AD4" w:rsidRDefault="00B54D51" w:rsidP="00401C67">
            <w:pPr>
              <w:widowControl w:val="0"/>
              <w:autoSpaceDE w:val="0"/>
              <w:autoSpaceDN w:val="0"/>
              <w:adjustRightInd w:val="0"/>
            </w:pPr>
            <w:r w:rsidRPr="00037AD4">
              <w:t>1.CDR_new_</w:t>
            </w:r>
          </w:p>
        </w:tc>
        <w:tc>
          <w:tcPr>
            <w:tcW w:w="1043" w:type="pct"/>
            <w:tcBorders>
              <w:top w:val="nil"/>
              <w:left w:val="nil"/>
              <w:bottom w:val="nil"/>
              <w:right w:val="nil"/>
            </w:tcBorders>
          </w:tcPr>
          <w:p w14:paraId="3F3A5496" w14:textId="77777777" w:rsidR="00B54D51" w:rsidRPr="00037AD4" w:rsidRDefault="00B54D51" w:rsidP="00401C67">
            <w:pPr>
              <w:widowControl w:val="0"/>
              <w:autoSpaceDE w:val="0"/>
              <w:autoSpaceDN w:val="0"/>
              <w:adjustRightInd w:val="0"/>
              <w:jc w:val="center"/>
            </w:pPr>
            <w:r w:rsidRPr="00037AD4">
              <w:t>-0.315</w:t>
            </w:r>
          </w:p>
        </w:tc>
        <w:tc>
          <w:tcPr>
            <w:tcW w:w="1043" w:type="pct"/>
            <w:tcBorders>
              <w:top w:val="nil"/>
              <w:left w:val="nil"/>
              <w:bottom w:val="nil"/>
              <w:right w:val="nil"/>
            </w:tcBorders>
          </w:tcPr>
          <w:p w14:paraId="3BCBC500" w14:textId="77777777" w:rsidR="00B54D51" w:rsidRPr="00037AD4" w:rsidRDefault="00B54D51" w:rsidP="00401C67">
            <w:pPr>
              <w:widowControl w:val="0"/>
              <w:autoSpaceDE w:val="0"/>
              <w:autoSpaceDN w:val="0"/>
              <w:adjustRightInd w:val="0"/>
              <w:jc w:val="center"/>
            </w:pPr>
          </w:p>
        </w:tc>
        <w:tc>
          <w:tcPr>
            <w:tcW w:w="1043" w:type="pct"/>
            <w:tcBorders>
              <w:top w:val="nil"/>
              <w:left w:val="nil"/>
              <w:bottom w:val="nil"/>
              <w:right w:val="nil"/>
            </w:tcBorders>
          </w:tcPr>
          <w:p w14:paraId="135167EB" w14:textId="77777777" w:rsidR="00B54D51" w:rsidRPr="00037AD4" w:rsidRDefault="00B54D51" w:rsidP="00401C67">
            <w:pPr>
              <w:widowControl w:val="0"/>
              <w:autoSpaceDE w:val="0"/>
              <w:autoSpaceDN w:val="0"/>
              <w:adjustRightInd w:val="0"/>
              <w:jc w:val="center"/>
            </w:pPr>
          </w:p>
        </w:tc>
        <w:tc>
          <w:tcPr>
            <w:tcW w:w="981" w:type="pct"/>
            <w:tcBorders>
              <w:top w:val="nil"/>
              <w:left w:val="nil"/>
              <w:bottom w:val="nil"/>
              <w:right w:val="nil"/>
            </w:tcBorders>
          </w:tcPr>
          <w:p w14:paraId="350C70D2" w14:textId="77777777" w:rsidR="00B54D51" w:rsidRPr="00037AD4" w:rsidRDefault="00B54D51" w:rsidP="00401C67">
            <w:pPr>
              <w:widowControl w:val="0"/>
              <w:autoSpaceDE w:val="0"/>
              <w:autoSpaceDN w:val="0"/>
              <w:adjustRightInd w:val="0"/>
              <w:jc w:val="center"/>
            </w:pPr>
          </w:p>
        </w:tc>
      </w:tr>
      <w:tr w:rsidR="00B54D51" w:rsidRPr="00037AD4" w14:paraId="3DFC5B86" w14:textId="77777777" w:rsidTr="00401C67">
        <w:trPr>
          <w:jc w:val="center"/>
        </w:trPr>
        <w:tc>
          <w:tcPr>
            <w:tcW w:w="891" w:type="pct"/>
            <w:tcBorders>
              <w:top w:val="nil"/>
              <w:left w:val="nil"/>
              <w:bottom w:val="nil"/>
              <w:right w:val="nil"/>
            </w:tcBorders>
          </w:tcPr>
          <w:p w14:paraId="74D111E3" w14:textId="77777777" w:rsidR="00B54D51" w:rsidRPr="00037AD4" w:rsidRDefault="00B54D51" w:rsidP="00401C67">
            <w:pPr>
              <w:widowControl w:val="0"/>
              <w:autoSpaceDE w:val="0"/>
              <w:autoSpaceDN w:val="0"/>
              <w:adjustRightInd w:val="0"/>
            </w:pPr>
          </w:p>
        </w:tc>
        <w:tc>
          <w:tcPr>
            <w:tcW w:w="1043" w:type="pct"/>
            <w:tcBorders>
              <w:top w:val="nil"/>
              <w:left w:val="nil"/>
              <w:bottom w:val="nil"/>
              <w:right w:val="nil"/>
            </w:tcBorders>
          </w:tcPr>
          <w:p w14:paraId="13A839D6" w14:textId="77777777" w:rsidR="00B54D51" w:rsidRPr="00037AD4" w:rsidRDefault="00B54D51" w:rsidP="00401C67">
            <w:pPr>
              <w:widowControl w:val="0"/>
              <w:autoSpaceDE w:val="0"/>
              <w:autoSpaceDN w:val="0"/>
              <w:adjustRightInd w:val="0"/>
              <w:jc w:val="center"/>
            </w:pPr>
            <w:r w:rsidRPr="00037AD4">
              <w:t>(-0.709 - 0.078)</w:t>
            </w:r>
          </w:p>
        </w:tc>
        <w:tc>
          <w:tcPr>
            <w:tcW w:w="1043" w:type="pct"/>
            <w:tcBorders>
              <w:top w:val="nil"/>
              <w:left w:val="nil"/>
              <w:bottom w:val="nil"/>
              <w:right w:val="nil"/>
            </w:tcBorders>
          </w:tcPr>
          <w:p w14:paraId="37BF90B2" w14:textId="77777777" w:rsidR="00B54D51" w:rsidRPr="00037AD4" w:rsidRDefault="00B54D51" w:rsidP="00401C67">
            <w:pPr>
              <w:widowControl w:val="0"/>
              <w:autoSpaceDE w:val="0"/>
              <w:autoSpaceDN w:val="0"/>
              <w:adjustRightInd w:val="0"/>
              <w:jc w:val="center"/>
            </w:pPr>
          </w:p>
        </w:tc>
        <w:tc>
          <w:tcPr>
            <w:tcW w:w="1043" w:type="pct"/>
            <w:tcBorders>
              <w:top w:val="nil"/>
              <w:left w:val="nil"/>
              <w:bottom w:val="nil"/>
              <w:right w:val="nil"/>
            </w:tcBorders>
          </w:tcPr>
          <w:p w14:paraId="4B1EE138" w14:textId="77777777" w:rsidR="00B54D51" w:rsidRPr="00037AD4" w:rsidRDefault="00B54D51" w:rsidP="00401C67">
            <w:pPr>
              <w:widowControl w:val="0"/>
              <w:autoSpaceDE w:val="0"/>
              <w:autoSpaceDN w:val="0"/>
              <w:adjustRightInd w:val="0"/>
              <w:jc w:val="center"/>
            </w:pPr>
          </w:p>
        </w:tc>
        <w:tc>
          <w:tcPr>
            <w:tcW w:w="981" w:type="pct"/>
            <w:tcBorders>
              <w:top w:val="nil"/>
              <w:left w:val="nil"/>
              <w:bottom w:val="nil"/>
              <w:right w:val="nil"/>
            </w:tcBorders>
          </w:tcPr>
          <w:p w14:paraId="7AB2F20A" w14:textId="77777777" w:rsidR="00B54D51" w:rsidRPr="00037AD4" w:rsidRDefault="00B54D51" w:rsidP="00401C67">
            <w:pPr>
              <w:widowControl w:val="0"/>
              <w:autoSpaceDE w:val="0"/>
              <w:autoSpaceDN w:val="0"/>
              <w:adjustRightInd w:val="0"/>
              <w:jc w:val="center"/>
            </w:pPr>
          </w:p>
        </w:tc>
      </w:tr>
      <w:tr w:rsidR="00B54D51" w:rsidRPr="00037AD4" w14:paraId="7F29E0A4" w14:textId="77777777" w:rsidTr="00401C67">
        <w:trPr>
          <w:jc w:val="center"/>
        </w:trPr>
        <w:tc>
          <w:tcPr>
            <w:tcW w:w="891" w:type="pct"/>
            <w:tcBorders>
              <w:top w:val="nil"/>
              <w:left w:val="nil"/>
              <w:bottom w:val="nil"/>
              <w:right w:val="nil"/>
            </w:tcBorders>
          </w:tcPr>
          <w:p w14:paraId="1550011E" w14:textId="77777777" w:rsidR="00B54D51" w:rsidRPr="00037AD4" w:rsidRDefault="00B54D51" w:rsidP="00401C67">
            <w:pPr>
              <w:widowControl w:val="0"/>
              <w:autoSpaceDE w:val="0"/>
              <w:autoSpaceDN w:val="0"/>
              <w:adjustRightInd w:val="0"/>
            </w:pPr>
            <w:r w:rsidRPr="00037AD4">
              <w:t>2.CDR_new_</w:t>
            </w:r>
          </w:p>
        </w:tc>
        <w:tc>
          <w:tcPr>
            <w:tcW w:w="1043" w:type="pct"/>
            <w:tcBorders>
              <w:top w:val="nil"/>
              <w:left w:val="nil"/>
              <w:bottom w:val="nil"/>
              <w:right w:val="nil"/>
            </w:tcBorders>
          </w:tcPr>
          <w:p w14:paraId="3947A2C8" w14:textId="77777777" w:rsidR="00B54D51" w:rsidRPr="00037AD4" w:rsidRDefault="00B54D51" w:rsidP="00401C67">
            <w:pPr>
              <w:widowControl w:val="0"/>
              <w:autoSpaceDE w:val="0"/>
              <w:autoSpaceDN w:val="0"/>
              <w:adjustRightInd w:val="0"/>
              <w:jc w:val="center"/>
            </w:pPr>
            <w:r w:rsidRPr="00037AD4">
              <w:t>-0.091</w:t>
            </w:r>
          </w:p>
        </w:tc>
        <w:tc>
          <w:tcPr>
            <w:tcW w:w="1043" w:type="pct"/>
            <w:tcBorders>
              <w:top w:val="nil"/>
              <w:left w:val="nil"/>
              <w:bottom w:val="nil"/>
              <w:right w:val="nil"/>
            </w:tcBorders>
          </w:tcPr>
          <w:p w14:paraId="0C3CA60E" w14:textId="77777777" w:rsidR="00B54D51" w:rsidRPr="00037AD4" w:rsidRDefault="00B54D51" w:rsidP="00401C67">
            <w:pPr>
              <w:widowControl w:val="0"/>
              <w:autoSpaceDE w:val="0"/>
              <w:autoSpaceDN w:val="0"/>
              <w:adjustRightInd w:val="0"/>
              <w:jc w:val="center"/>
            </w:pPr>
          </w:p>
        </w:tc>
        <w:tc>
          <w:tcPr>
            <w:tcW w:w="1043" w:type="pct"/>
            <w:tcBorders>
              <w:top w:val="nil"/>
              <w:left w:val="nil"/>
              <w:bottom w:val="nil"/>
              <w:right w:val="nil"/>
            </w:tcBorders>
          </w:tcPr>
          <w:p w14:paraId="0DBB20EF" w14:textId="77777777" w:rsidR="00B54D51" w:rsidRPr="00037AD4" w:rsidRDefault="00B54D51" w:rsidP="00401C67">
            <w:pPr>
              <w:widowControl w:val="0"/>
              <w:autoSpaceDE w:val="0"/>
              <w:autoSpaceDN w:val="0"/>
              <w:adjustRightInd w:val="0"/>
              <w:jc w:val="center"/>
            </w:pPr>
          </w:p>
        </w:tc>
        <w:tc>
          <w:tcPr>
            <w:tcW w:w="981" w:type="pct"/>
            <w:tcBorders>
              <w:top w:val="nil"/>
              <w:left w:val="nil"/>
              <w:bottom w:val="nil"/>
              <w:right w:val="nil"/>
            </w:tcBorders>
          </w:tcPr>
          <w:p w14:paraId="5EEB2CFD" w14:textId="77777777" w:rsidR="00B54D51" w:rsidRPr="00037AD4" w:rsidRDefault="00B54D51" w:rsidP="00401C67">
            <w:pPr>
              <w:widowControl w:val="0"/>
              <w:autoSpaceDE w:val="0"/>
              <w:autoSpaceDN w:val="0"/>
              <w:adjustRightInd w:val="0"/>
              <w:jc w:val="center"/>
            </w:pPr>
          </w:p>
        </w:tc>
      </w:tr>
      <w:tr w:rsidR="00B54D51" w:rsidRPr="00037AD4" w14:paraId="38A91D2C" w14:textId="77777777" w:rsidTr="00401C67">
        <w:trPr>
          <w:jc w:val="center"/>
        </w:trPr>
        <w:tc>
          <w:tcPr>
            <w:tcW w:w="891" w:type="pct"/>
            <w:tcBorders>
              <w:top w:val="nil"/>
              <w:left w:val="nil"/>
              <w:bottom w:val="nil"/>
              <w:right w:val="nil"/>
            </w:tcBorders>
          </w:tcPr>
          <w:p w14:paraId="049BE1A7" w14:textId="77777777" w:rsidR="00B54D51" w:rsidRPr="00037AD4" w:rsidRDefault="00B54D51" w:rsidP="00401C67">
            <w:pPr>
              <w:widowControl w:val="0"/>
              <w:autoSpaceDE w:val="0"/>
              <w:autoSpaceDN w:val="0"/>
              <w:adjustRightInd w:val="0"/>
            </w:pPr>
          </w:p>
        </w:tc>
        <w:tc>
          <w:tcPr>
            <w:tcW w:w="1043" w:type="pct"/>
            <w:tcBorders>
              <w:top w:val="nil"/>
              <w:left w:val="nil"/>
              <w:bottom w:val="nil"/>
              <w:right w:val="nil"/>
            </w:tcBorders>
          </w:tcPr>
          <w:p w14:paraId="6B2C70B3" w14:textId="77777777" w:rsidR="00B54D51" w:rsidRPr="00037AD4" w:rsidRDefault="00B54D51" w:rsidP="00401C67">
            <w:pPr>
              <w:widowControl w:val="0"/>
              <w:autoSpaceDE w:val="0"/>
              <w:autoSpaceDN w:val="0"/>
              <w:adjustRightInd w:val="0"/>
              <w:jc w:val="center"/>
            </w:pPr>
            <w:r w:rsidRPr="00037AD4">
              <w:t>(-0.488 - 0.306)</w:t>
            </w:r>
          </w:p>
        </w:tc>
        <w:tc>
          <w:tcPr>
            <w:tcW w:w="1043" w:type="pct"/>
            <w:tcBorders>
              <w:top w:val="nil"/>
              <w:left w:val="nil"/>
              <w:bottom w:val="nil"/>
              <w:right w:val="nil"/>
            </w:tcBorders>
          </w:tcPr>
          <w:p w14:paraId="22EC633D" w14:textId="77777777" w:rsidR="00B54D51" w:rsidRPr="00037AD4" w:rsidRDefault="00B54D51" w:rsidP="00401C67">
            <w:pPr>
              <w:widowControl w:val="0"/>
              <w:autoSpaceDE w:val="0"/>
              <w:autoSpaceDN w:val="0"/>
              <w:adjustRightInd w:val="0"/>
              <w:jc w:val="center"/>
            </w:pPr>
          </w:p>
        </w:tc>
        <w:tc>
          <w:tcPr>
            <w:tcW w:w="1043" w:type="pct"/>
            <w:tcBorders>
              <w:top w:val="nil"/>
              <w:left w:val="nil"/>
              <w:bottom w:val="nil"/>
              <w:right w:val="nil"/>
            </w:tcBorders>
          </w:tcPr>
          <w:p w14:paraId="61A7D753" w14:textId="77777777" w:rsidR="00B54D51" w:rsidRPr="00037AD4" w:rsidRDefault="00B54D51" w:rsidP="00401C67">
            <w:pPr>
              <w:widowControl w:val="0"/>
              <w:autoSpaceDE w:val="0"/>
              <w:autoSpaceDN w:val="0"/>
              <w:adjustRightInd w:val="0"/>
              <w:jc w:val="center"/>
            </w:pPr>
          </w:p>
        </w:tc>
        <w:tc>
          <w:tcPr>
            <w:tcW w:w="981" w:type="pct"/>
            <w:tcBorders>
              <w:top w:val="nil"/>
              <w:left w:val="nil"/>
              <w:bottom w:val="nil"/>
              <w:right w:val="nil"/>
            </w:tcBorders>
          </w:tcPr>
          <w:p w14:paraId="7EFC85E2" w14:textId="77777777" w:rsidR="00B54D51" w:rsidRPr="00037AD4" w:rsidRDefault="00B54D51" w:rsidP="00401C67">
            <w:pPr>
              <w:widowControl w:val="0"/>
              <w:autoSpaceDE w:val="0"/>
              <w:autoSpaceDN w:val="0"/>
              <w:adjustRightInd w:val="0"/>
              <w:jc w:val="center"/>
            </w:pPr>
          </w:p>
        </w:tc>
      </w:tr>
      <w:tr w:rsidR="00B54D51" w:rsidRPr="00037AD4" w14:paraId="5516A464" w14:textId="77777777" w:rsidTr="00401C67">
        <w:trPr>
          <w:jc w:val="center"/>
        </w:trPr>
        <w:tc>
          <w:tcPr>
            <w:tcW w:w="891" w:type="pct"/>
            <w:tcBorders>
              <w:top w:val="nil"/>
              <w:left w:val="nil"/>
              <w:bottom w:val="nil"/>
              <w:right w:val="nil"/>
            </w:tcBorders>
          </w:tcPr>
          <w:p w14:paraId="4AD0F461" w14:textId="77777777" w:rsidR="00B54D51" w:rsidRPr="00037AD4" w:rsidRDefault="00B54D51" w:rsidP="00401C67">
            <w:pPr>
              <w:widowControl w:val="0"/>
              <w:autoSpaceDE w:val="0"/>
              <w:autoSpaceDN w:val="0"/>
              <w:adjustRightInd w:val="0"/>
            </w:pPr>
            <w:r w:rsidRPr="00037AD4">
              <w:t>3.CDR_new_</w:t>
            </w:r>
          </w:p>
        </w:tc>
        <w:tc>
          <w:tcPr>
            <w:tcW w:w="1043" w:type="pct"/>
            <w:tcBorders>
              <w:top w:val="nil"/>
              <w:left w:val="nil"/>
              <w:bottom w:val="nil"/>
              <w:right w:val="nil"/>
            </w:tcBorders>
          </w:tcPr>
          <w:p w14:paraId="4D3C0D72" w14:textId="77777777" w:rsidR="00B54D51" w:rsidRPr="00037AD4" w:rsidRDefault="00B54D51" w:rsidP="00401C67">
            <w:pPr>
              <w:widowControl w:val="0"/>
              <w:autoSpaceDE w:val="0"/>
              <w:autoSpaceDN w:val="0"/>
              <w:adjustRightInd w:val="0"/>
              <w:jc w:val="center"/>
            </w:pPr>
            <w:r w:rsidRPr="00037AD4">
              <w:t>0.539**</w:t>
            </w:r>
          </w:p>
        </w:tc>
        <w:tc>
          <w:tcPr>
            <w:tcW w:w="1043" w:type="pct"/>
            <w:tcBorders>
              <w:top w:val="nil"/>
              <w:left w:val="nil"/>
              <w:bottom w:val="nil"/>
              <w:right w:val="nil"/>
            </w:tcBorders>
          </w:tcPr>
          <w:p w14:paraId="13DCB0F3" w14:textId="77777777" w:rsidR="00B54D51" w:rsidRPr="00037AD4" w:rsidRDefault="00B54D51" w:rsidP="00401C67">
            <w:pPr>
              <w:widowControl w:val="0"/>
              <w:autoSpaceDE w:val="0"/>
              <w:autoSpaceDN w:val="0"/>
              <w:adjustRightInd w:val="0"/>
              <w:jc w:val="center"/>
            </w:pPr>
          </w:p>
        </w:tc>
        <w:tc>
          <w:tcPr>
            <w:tcW w:w="1043" w:type="pct"/>
            <w:tcBorders>
              <w:top w:val="nil"/>
              <w:left w:val="nil"/>
              <w:bottom w:val="nil"/>
              <w:right w:val="nil"/>
            </w:tcBorders>
          </w:tcPr>
          <w:p w14:paraId="147D0849" w14:textId="77777777" w:rsidR="00B54D51" w:rsidRPr="00037AD4" w:rsidRDefault="00B54D51" w:rsidP="00401C67">
            <w:pPr>
              <w:widowControl w:val="0"/>
              <w:autoSpaceDE w:val="0"/>
              <w:autoSpaceDN w:val="0"/>
              <w:adjustRightInd w:val="0"/>
              <w:jc w:val="center"/>
            </w:pPr>
          </w:p>
        </w:tc>
        <w:tc>
          <w:tcPr>
            <w:tcW w:w="981" w:type="pct"/>
            <w:tcBorders>
              <w:top w:val="nil"/>
              <w:left w:val="nil"/>
              <w:bottom w:val="nil"/>
              <w:right w:val="nil"/>
            </w:tcBorders>
          </w:tcPr>
          <w:p w14:paraId="1BB3A03A" w14:textId="77777777" w:rsidR="00B54D51" w:rsidRPr="00037AD4" w:rsidRDefault="00B54D51" w:rsidP="00401C67">
            <w:pPr>
              <w:widowControl w:val="0"/>
              <w:autoSpaceDE w:val="0"/>
              <w:autoSpaceDN w:val="0"/>
              <w:adjustRightInd w:val="0"/>
              <w:jc w:val="center"/>
            </w:pPr>
          </w:p>
        </w:tc>
      </w:tr>
      <w:tr w:rsidR="00B54D51" w:rsidRPr="00037AD4" w14:paraId="772D2573" w14:textId="77777777" w:rsidTr="00401C67">
        <w:trPr>
          <w:jc w:val="center"/>
        </w:trPr>
        <w:tc>
          <w:tcPr>
            <w:tcW w:w="891" w:type="pct"/>
            <w:tcBorders>
              <w:top w:val="nil"/>
              <w:left w:val="nil"/>
              <w:bottom w:val="nil"/>
              <w:right w:val="nil"/>
            </w:tcBorders>
          </w:tcPr>
          <w:p w14:paraId="60AD6991" w14:textId="77777777" w:rsidR="00B54D51" w:rsidRPr="00037AD4" w:rsidRDefault="00B54D51" w:rsidP="00401C67">
            <w:pPr>
              <w:widowControl w:val="0"/>
              <w:autoSpaceDE w:val="0"/>
              <w:autoSpaceDN w:val="0"/>
              <w:adjustRightInd w:val="0"/>
            </w:pPr>
          </w:p>
        </w:tc>
        <w:tc>
          <w:tcPr>
            <w:tcW w:w="1043" w:type="pct"/>
            <w:tcBorders>
              <w:top w:val="nil"/>
              <w:left w:val="nil"/>
              <w:bottom w:val="nil"/>
              <w:right w:val="nil"/>
            </w:tcBorders>
          </w:tcPr>
          <w:p w14:paraId="77B7C653" w14:textId="77777777" w:rsidR="00B54D51" w:rsidRPr="00037AD4" w:rsidRDefault="00B54D51" w:rsidP="00401C67">
            <w:pPr>
              <w:widowControl w:val="0"/>
              <w:autoSpaceDE w:val="0"/>
              <w:autoSpaceDN w:val="0"/>
              <w:adjustRightInd w:val="0"/>
              <w:jc w:val="center"/>
            </w:pPr>
            <w:r w:rsidRPr="00037AD4">
              <w:t>(0.056 - 1.022)</w:t>
            </w:r>
          </w:p>
        </w:tc>
        <w:tc>
          <w:tcPr>
            <w:tcW w:w="1043" w:type="pct"/>
            <w:tcBorders>
              <w:top w:val="nil"/>
              <w:left w:val="nil"/>
              <w:bottom w:val="nil"/>
              <w:right w:val="nil"/>
            </w:tcBorders>
          </w:tcPr>
          <w:p w14:paraId="60405882" w14:textId="77777777" w:rsidR="00B54D51" w:rsidRPr="00037AD4" w:rsidRDefault="00B54D51" w:rsidP="00401C67">
            <w:pPr>
              <w:widowControl w:val="0"/>
              <w:autoSpaceDE w:val="0"/>
              <w:autoSpaceDN w:val="0"/>
              <w:adjustRightInd w:val="0"/>
              <w:jc w:val="center"/>
            </w:pPr>
          </w:p>
        </w:tc>
        <w:tc>
          <w:tcPr>
            <w:tcW w:w="1043" w:type="pct"/>
            <w:tcBorders>
              <w:top w:val="nil"/>
              <w:left w:val="nil"/>
              <w:bottom w:val="nil"/>
              <w:right w:val="nil"/>
            </w:tcBorders>
          </w:tcPr>
          <w:p w14:paraId="1F9064E5" w14:textId="77777777" w:rsidR="00B54D51" w:rsidRPr="00037AD4" w:rsidRDefault="00B54D51" w:rsidP="00401C67">
            <w:pPr>
              <w:widowControl w:val="0"/>
              <w:autoSpaceDE w:val="0"/>
              <w:autoSpaceDN w:val="0"/>
              <w:adjustRightInd w:val="0"/>
              <w:jc w:val="center"/>
            </w:pPr>
          </w:p>
        </w:tc>
        <w:tc>
          <w:tcPr>
            <w:tcW w:w="981" w:type="pct"/>
            <w:tcBorders>
              <w:top w:val="nil"/>
              <w:left w:val="nil"/>
              <w:bottom w:val="nil"/>
              <w:right w:val="nil"/>
            </w:tcBorders>
          </w:tcPr>
          <w:p w14:paraId="017B6DBA" w14:textId="77777777" w:rsidR="00B54D51" w:rsidRPr="00037AD4" w:rsidRDefault="00B54D51" w:rsidP="00401C67">
            <w:pPr>
              <w:widowControl w:val="0"/>
              <w:autoSpaceDE w:val="0"/>
              <w:autoSpaceDN w:val="0"/>
              <w:adjustRightInd w:val="0"/>
              <w:jc w:val="center"/>
            </w:pPr>
          </w:p>
        </w:tc>
      </w:tr>
      <w:tr w:rsidR="00B54D51" w:rsidRPr="00037AD4" w14:paraId="7F6E6A6E" w14:textId="77777777" w:rsidTr="00401C67">
        <w:trPr>
          <w:jc w:val="center"/>
        </w:trPr>
        <w:tc>
          <w:tcPr>
            <w:tcW w:w="891" w:type="pct"/>
            <w:tcBorders>
              <w:top w:val="nil"/>
              <w:left w:val="nil"/>
              <w:bottom w:val="nil"/>
              <w:right w:val="nil"/>
            </w:tcBorders>
          </w:tcPr>
          <w:p w14:paraId="1A02A56A" w14:textId="77777777" w:rsidR="00B54D51" w:rsidRPr="00037AD4" w:rsidRDefault="00B54D51" w:rsidP="00401C67">
            <w:pPr>
              <w:widowControl w:val="0"/>
              <w:autoSpaceDE w:val="0"/>
              <w:autoSpaceDN w:val="0"/>
              <w:adjustRightInd w:val="0"/>
            </w:pPr>
            <w:r w:rsidRPr="00037AD4">
              <w:t>numeric_FAST_</w:t>
            </w:r>
          </w:p>
        </w:tc>
        <w:tc>
          <w:tcPr>
            <w:tcW w:w="1043" w:type="pct"/>
            <w:tcBorders>
              <w:top w:val="nil"/>
              <w:left w:val="nil"/>
              <w:bottom w:val="nil"/>
              <w:right w:val="nil"/>
            </w:tcBorders>
          </w:tcPr>
          <w:p w14:paraId="7290A374" w14:textId="77777777" w:rsidR="00B54D51" w:rsidRPr="00037AD4" w:rsidRDefault="00B54D51" w:rsidP="00401C67">
            <w:pPr>
              <w:widowControl w:val="0"/>
              <w:autoSpaceDE w:val="0"/>
              <w:autoSpaceDN w:val="0"/>
              <w:adjustRightInd w:val="0"/>
              <w:jc w:val="center"/>
            </w:pPr>
            <w:r w:rsidRPr="00037AD4">
              <w:t>0.199***</w:t>
            </w:r>
          </w:p>
        </w:tc>
        <w:tc>
          <w:tcPr>
            <w:tcW w:w="1043" w:type="pct"/>
            <w:tcBorders>
              <w:top w:val="nil"/>
              <w:left w:val="nil"/>
              <w:bottom w:val="nil"/>
              <w:right w:val="nil"/>
            </w:tcBorders>
          </w:tcPr>
          <w:p w14:paraId="31DB9213" w14:textId="77777777" w:rsidR="00B54D51" w:rsidRPr="00037AD4" w:rsidRDefault="00B54D51" w:rsidP="00401C67">
            <w:pPr>
              <w:widowControl w:val="0"/>
              <w:autoSpaceDE w:val="0"/>
              <w:autoSpaceDN w:val="0"/>
              <w:adjustRightInd w:val="0"/>
              <w:jc w:val="center"/>
            </w:pPr>
            <w:r w:rsidRPr="00037AD4">
              <w:t>0.302***</w:t>
            </w:r>
          </w:p>
        </w:tc>
        <w:tc>
          <w:tcPr>
            <w:tcW w:w="1043" w:type="pct"/>
            <w:tcBorders>
              <w:top w:val="nil"/>
              <w:left w:val="nil"/>
              <w:bottom w:val="nil"/>
              <w:right w:val="nil"/>
            </w:tcBorders>
          </w:tcPr>
          <w:p w14:paraId="4F7FC356" w14:textId="77777777" w:rsidR="00B54D51" w:rsidRPr="00037AD4" w:rsidRDefault="00B54D51" w:rsidP="00401C67">
            <w:pPr>
              <w:widowControl w:val="0"/>
              <w:autoSpaceDE w:val="0"/>
              <w:autoSpaceDN w:val="0"/>
              <w:adjustRightInd w:val="0"/>
              <w:jc w:val="center"/>
            </w:pPr>
            <w:r w:rsidRPr="00037AD4">
              <w:t>0.300***</w:t>
            </w:r>
          </w:p>
        </w:tc>
        <w:tc>
          <w:tcPr>
            <w:tcW w:w="981" w:type="pct"/>
            <w:tcBorders>
              <w:top w:val="nil"/>
              <w:left w:val="nil"/>
              <w:bottom w:val="nil"/>
              <w:right w:val="nil"/>
            </w:tcBorders>
          </w:tcPr>
          <w:p w14:paraId="73758B50" w14:textId="77777777" w:rsidR="00B54D51" w:rsidRPr="00037AD4" w:rsidRDefault="00B54D51" w:rsidP="00401C67">
            <w:pPr>
              <w:widowControl w:val="0"/>
              <w:autoSpaceDE w:val="0"/>
              <w:autoSpaceDN w:val="0"/>
              <w:adjustRightInd w:val="0"/>
              <w:jc w:val="center"/>
            </w:pPr>
            <w:r w:rsidRPr="00037AD4">
              <w:t>0.304***</w:t>
            </w:r>
          </w:p>
        </w:tc>
      </w:tr>
      <w:tr w:rsidR="00B54D51" w:rsidRPr="00037AD4" w14:paraId="03A4E08E" w14:textId="77777777" w:rsidTr="00401C67">
        <w:trPr>
          <w:jc w:val="center"/>
        </w:trPr>
        <w:tc>
          <w:tcPr>
            <w:tcW w:w="891" w:type="pct"/>
            <w:tcBorders>
              <w:top w:val="nil"/>
              <w:left w:val="nil"/>
              <w:bottom w:val="nil"/>
              <w:right w:val="nil"/>
            </w:tcBorders>
          </w:tcPr>
          <w:p w14:paraId="49F5ED3B" w14:textId="77777777" w:rsidR="00B54D51" w:rsidRPr="00037AD4" w:rsidRDefault="00B54D51" w:rsidP="00401C67">
            <w:pPr>
              <w:widowControl w:val="0"/>
              <w:autoSpaceDE w:val="0"/>
              <w:autoSpaceDN w:val="0"/>
              <w:adjustRightInd w:val="0"/>
            </w:pPr>
          </w:p>
        </w:tc>
        <w:tc>
          <w:tcPr>
            <w:tcW w:w="1043" w:type="pct"/>
            <w:tcBorders>
              <w:top w:val="nil"/>
              <w:left w:val="nil"/>
              <w:bottom w:val="nil"/>
              <w:right w:val="nil"/>
            </w:tcBorders>
          </w:tcPr>
          <w:p w14:paraId="7A9AC03B" w14:textId="77777777" w:rsidR="00B54D51" w:rsidRPr="00037AD4" w:rsidRDefault="00B54D51" w:rsidP="00401C67">
            <w:pPr>
              <w:widowControl w:val="0"/>
              <w:autoSpaceDE w:val="0"/>
              <w:autoSpaceDN w:val="0"/>
              <w:adjustRightInd w:val="0"/>
              <w:jc w:val="center"/>
            </w:pPr>
            <w:r w:rsidRPr="00037AD4">
              <w:t>(0.066 - 0.331)</w:t>
            </w:r>
          </w:p>
        </w:tc>
        <w:tc>
          <w:tcPr>
            <w:tcW w:w="1043" w:type="pct"/>
            <w:tcBorders>
              <w:top w:val="nil"/>
              <w:left w:val="nil"/>
              <w:bottom w:val="nil"/>
              <w:right w:val="nil"/>
            </w:tcBorders>
          </w:tcPr>
          <w:p w14:paraId="1DCD826F" w14:textId="77777777" w:rsidR="00B54D51" w:rsidRPr="00037AD4" w:rsidRDefault="00B54D51" w:rsidP="00401C67">
            <w:pPr>
              <w:widowControl w:val="0"/>
              <w:autoSpaceDE w:val="0"/>
              <w:autoSpaceDN w:val="0"/>
              <w:adjustRightInd w:val="0"/>
              <w:jc w:val="center"/>
            </w:pPr>
            <w:r w:rsidRPr="00037AD4">
              <w:t>(0.179 - 0.424)</w:t>
            </w:r>
          </w:p>
        </w:tc>
        <w:tc>
          <w:tcPr>
            <w:tcW w:w="1043" w:type="pct"/>
            <w:tcBorders>
              <w:top w:val="nil"/>
              <w:left w:val="nil"/>
              <w:bottom w:val="nil"/>
              <w:right w:val="nil"/>
            </w:tcBorders>
          </w:tcPr>
          <w:p w14:paraId="70119E7C" w14:textId="77777777" w:rsidR="00B54D51" w:rsidRPr="00037AD4" w:rsidRDefault="00B54D51" w:rsidP="00401C67">
            <w:pPr>
              <w:widowControl w:val="0"/>
              <w:autoSpaceDE w:val="0"/>
              <w:autoSpaceDN w:val="0"/>
              <w:adjustRightInd w:val="0"/>
              <w:jc w:val="center"/>
            </w:pPr>
            <w:r w:rsidRPr="00037AD4">
              <w:t>(0.178 - 0.423)</w:t>
            </w:r>
          </w:p>
        </w:tc>
        <w:tc>
          <w:tcPr>
            <w:tcW w:w="981" w:type="pct"/>
            <w:tcBorders>
              <w:top w:val="nil"/>
              <w:left w:val="nil"/>
              <w:bottom w:val="nil"/>
              <w:right w:val="nil"/>
            </w:tcBorders>
          </w:tcPr>
          <w:p w14:paraId="6EF9E3CB" w14:textId="77777777" w:rsidR="00B54D51" w:rsidRPr="00037AD4" w:rsidRDefault="00B54D51" w:rsidP="00401C67">
            <w:pPr>
              <w:widowControl w:val="0"/>
              <w:autoSpaceDE w:val="0"/>
              <w:autoSpaceDN w:val="0"/>
              <w:adjustRightInd w:val="0"/>
              <w:jc w:val="center"/>
            </w:pPr>
            <w:r w:rsidRPr="00037AD4">
              <w:t>(0.182 - 0.427)</w:t>
            </w:r>
          </w:p>
        </w:tc>
      </w:tr>
      <w:tr w:rsidR="00B54D51" w:rsidRPr="00037AD4" w14:paraId="715FDFF0" w14:textId="77777777" w:rsidTr="00401C67">
        <w:trPr>
          <w:jc w:val="center"/>
        </w:trPr>
        <w:tc>
          <w:tcPr>
            <w:tcW w:w="891" w:type="pct"/>
            <w:tcBorders>
              <w:top w:val="nil"/>
              <w:left w:val="nil"/>
              <w:bottom w:val="nil"/>
              <w:right w:val="nil"/>
            </w:tcBorders>
          </w:tcPr>
          <w:p w14:paraId="67475A29" w14:textId="77777777" w:rsidR="00B54D51" w:rsidRPr="00037AD4" w:rsidRDefault="00B54D51" w:rsidP="00401C67">
            <w:pPr>
              <w:widowControl w:val="0"/>
              <w:autoSpaceDE w:val="0"/>
              <w:autoSpaceDN w:val="0"/>
              <w:adjustRightInd w:val="0"/>
            </w:pPr>
            <w:r w:rsidRPr="00037AD4">
              <w:t>age_</w:t>
            </w:r>
          </w:p>
        </w:tc>
        <w:tc>
          <w:tcPr>
            <w:tcW w:w="1043" w:type="pct"/>
            <w:tcBorders>
              <w:top w:val="nil"/>
              <w:left w:val="nil"/>
              <w:bottom w:val="nil"/>
              <w:right w:val="nil"/>
            </w:tcBorders>
          </w:tcPr>
          <w:p w14:paraId="375AC809" w14:textId="77777777" w:rsidR="00B54D51" w:rsidRPr="00037AD4" w:rsidRDefault="00B54D51" w:rsidP="00401C67">
            <w:pPr>
              <w:widowControl w:val="0"/>
              <w:autoSpaceDE w:val="0"/>
              <w:autoSpaceDN w:val="0"/>
              <w:adjustRightInd w:val="0"/>
              <w:jc w:val="center"/>
            </w:pPr>
            <w:r w:rsidRPr="00037AD4">
              <w:t>-0.005</w:t>
            </w:r>
          </w:p>
        </w:tc>
        <w:tc>
          <w:tcPr>
            <w:tcW w:w="1043" w:type="pct"/>
            <w:tcBorders>
              <w:top w:val="nil"/>
              <w:left w:val="nil"/>
              <w:bottom w:val="nil"/>
              <w:right w:val="nil"/>
            </w:tcBorders>
          </w:tcPr>
          <w:p w14:paraId="30B8E5C0" w14:textId="77777777" w:rsidR="00B54D51" w:rsidRPr="00037AD4" w:rsidRDefault="00B54D51" w:rsidP="00401C67">
            <w:pPr>
              <w:widowControl w:val="0"/>
              <w:autoSpaceDE w:val="0"/>
              <w:autoSpaceDN w:val="0"/>
              <w:adjustRightInd w:val="0"/>
              <w:jc w:val="center"/>
            </w:pPr>
            <w:r w:rsidRPr="00037AD4">
              <w:t>-0.004</w:t>
            </w:r>
          </w:p>
        </w:tc>
        <w:tc>
          <w:tcPr>
            <w:tcW w:w="1043" w:type="pct"/>
            <w:tcBorders>
              <w:top w:val="nil"/>
              <w:left w:val="nil"/>
              <w:bottom w:val="nil"/>
              <w:right w:val="nil"/>
            </w:tcBorders>
          </w:tcPr>
          <w:p w14:paraId="4052C07B" w14:textId="77777777" w:rsidR="00B54D51" w:rsidRPr="00037AD4" w:rsidRDefault="00B54D51" w:rsidP="00401C67">
            <w:pPr>
              <w:widowControl w:val="0"/>
              <w:autoSpaceDE w:val="0"/>
              <w:autoSpaceDN w:val="0"/>
              <w:adjustRightInd w:val="0"/>
              <w:jc w:val="center"/>
            </w:pPr>
          </w:p>
        </w:tc>
        <w:tc>
          <w:tcPr>
            <w:tcW w:w="981" w:type="pct"/>
            <w:tcBorders>
              <w:top w:val="nil"/>
              <w:left w:val="nil"/>
              <w:bottom w:val="nil"/>
              <w:right w:val="nil"/>
            </w:tcBorders>
          </w:tcPr>
          <w:p w14:paraId="41AEFE55" w14:textId="77777777" w:rsidR="00B54D51" w:rsidRPr="00037AD4" w:rsidRDefault="00B54D51" w:rsidP="00401C67">
            <w:pPr>
              <w:widowControl w:val="0"/>
              <w:autoSpaceDE w:val="0"/>
              <w:autoSpaceDN w:val="0"/>
              <w:adjustRightInd w:val="0"/>
              <w:jc w:val="center"/>
            </w:pPr>
          </w:p>
        </w:tc>
      </w:tr>
      <w:tr w:rsidR="00B54D51" w:rsidRPr="00037AD4" w14:paraId="203A3461" w14:textId="77777777" w:rsidTr="00401C67">
        <w:trPr>
          <w:jc w:val="center"/>
        </w:trPr>
        <w:tc>
          <w:tcPr>
            <w:tcW w:w="891" w:type="pct"/>
            <w:tcBorders>
              <w:top w:val="nil"/>
              <w:left w:val="nil"/>
              <w:bottom w:val="nil"/>
              <w:right w:val="nil"/>
            </w:tcBorders>
          </w:tcPr>
          <w:p w14:paraId="061EEAF5" w14:textId="77777777" w:rsidR="00B54D51" w:rsidRPr="00037AD4" w:rsidRDefault="00B54D51" w:rsidP="00401C67">
            <w:pPr>
              <w:widowControl w:val="0"/>
              <w:autoSpaceDE w:val="0"/>
              <w:autoSpaceDN w:val="0"/>
              <w:adjustRightInd w:val="0"/>
            </w:pPr>
          </w:p>
        </w:tc>
        <w:tc>
          <w:tcPr>
            <w:tcW w:w="1043" w:type="pct"/>
            <w:tcBorders>
              <w:top w:val="nil"/>
              <w:left w:val="nil"/>
              <w:bottom w:val="nil"/>
              <w:right w:val="nil"/>
            </w:tcBorders>
          </w:tcPr>
          <w:p w14:paraId="6B287AB7" w14:textId="77777777" w:rsidR="00B54D51" w:rsidRPr="00037AD4" w:rsidRDefault="00B54D51" w:rsidP="00401C67">
            <w:pPr>
              <w:widowControl w:val="0"/>
              <w:autoSpaceDE w:val="0"/>
              <w:autoSpaceDN w:val="0"/>
              <w:adjustRightInd w:val="0"/>
              <w:jc w:val="center"/>
            </w:pPr>
            <w:r w:rsidRPr="00037AD4">
              <w:t>(-0.019 - 0.009)</w:t>
            </w:r>
          </w:p>
        </w:tc>
        <w:tc>
          <w:tcPr>
            <w:tcW w:w="1043" w:type="pct"/>
            <w:tcBorders>
              <w:top w:val="nil"/>
              <w:left w:val="nil"/>
              <w:bottom w:val="nil"/>
              <w:right w:val="nil"/>
            </w:tcBorders>
          </w:tcPr>
          <w:p w14:paraId="0AF8A3C9" w14:textId="77777777" w:rsidR="00B54D51" w:rsidRPr="00037AD4" w:rsidRDefault="00B54D51" w:rsidP="00401C67">
            <w:pPr>
              <w:widowControl w:val="0"/>
              <w:autoSpaceDE w:val="0"/>
              <w:autoSpaceDN w:val="0"/>
              <w:adjustRightInd w:val="0"/>
              <w:jc w:val="center"/>
            </w:pPr>
            <w:r w:rsidRPr="00037AD4">
              <w:t>(-0.017 - 0.009)</w:t>
            </w:r>
          </w:p>
        </w:tc>
        <w:tc>
          <w:tcPr>
            <w:tcW w:w="1043" w:type="pct"/>
            <w:tcBorders>
              <w:top w:val="nil"/>
              <w:left w:val="nil"/>
              <w:bottom w:val="nil"/>
              <w:right w:val="nil"/>
            </w:tcBorders>
          </w:tcPr>
          <w:p w14:paraId="7FB01FAC" w14:textId="77777777" w:rsidR="00B54D51" w:rsidRPr="00037AD4" w:rsidRDefault="00B54D51" w:rsidP="00401C67">
            <w:pPr>
              <w:widowControl w:val="0"/>
              <w:autoSpaceDE w:val="0"/>
              <w:autoSpaceDN w:val="0"/>
              <w:adjustRightInd w:val="0"/>
              <w:jc w:val="center"/>
            </w:pPr>
          </w:p>
        </w:tc>
        <w:tc>
          <w:tcPr>
            <w:tcW w:w="981" w:type="pct"/>
            <w:tcBorders>
              <w:top w:val="nil"/>
              <w:left w:val="nil"/>
              <w:bottom w:val="nil"/>
              <w:right w:val="nil"/>
            </w:tcBorders>
          </w:tcPr>
          <w:p w14:paraId="22BBF888" w14:textId="77777777" w:rsidR="00B54D51" w:rsidRPr="00037AD4" w:rsidRDefault="00B54D51" w:rsidP="00401C67">
            <w:pPr>
              <w:widowControl w:val="0"/>
              <w:autoSpaceDE w:val="0"/>
              <w:autoSpaceDN w:val="0"/>
              <w:adjustRightInd w:val="0"/>
              <w:jc w:val="center"/>
            </w:pPr>
          </w:p>
        </w:tc>
      </w:tr>
      <w:tr w:rsidR="00B54D51" w:rsidRPr="00037AD4" w14:paraId="16CA69F8" w14:textId="77777777" w:rsidTr="00401C67">
        <w:trPr>
          <w:jc w:val="center"/>
        </w:trPr>
        <w:tc>
          <w:tcPr>
            <w:tcW w:w="891" w:type="pct"/>
            <w:tcBorders>
              <w:top w:val="nil"/>
              <w:left w:val="nil"/>
              <w:bottom w:val="nil"/>
              <w:right w:val="nil"/>
            </w:tcBorders>
          </w:tcPr>
          <w:p w14:paraId="73F81ED7" w14:textId="77777777" w:rsidR="00B54D51" w:rsidRPr="00037AD4" w:rsidRDefault="00B54D51" w:rsidP="00401C67">
            <w:pPr>
              <w:widowControl w:val="0"/>
              <w:autoSpaceDE w:val="0"/>
              <w:autoSpaceDN w:val="0"/>
              <w:adjustRightInd w:val="0"/>
            </w:pPr>
            <w:r w:rsidRPr="00037AD4">
              <w:t>2.sex_</w:t>
            </w:r>
          </w:p>
        </w:tc>
        <w:tc>
          <w:tcPr>
            <w:tcW w:w="1043" w:type="pct"/>
            <w:tcBorders>
              <w:top w:val="nil"/>
              <w:left w:val="nil"/>
              <w:bottom w:val="nil"/>
              <w:right w:val="nil"/>
            </w:tcBorders>
          </w:tcPr>
          <w:p w14:paraId="10C40163" w14:textId="77777777" w:rsidR="00B54D51" w:rsidRPr="00037AD4" w:rsidRDefault="00B54D51" w:rsidP="00401C67">
            <w:pPr>
              <w:widowControl w:val="0"/>
              <w:autoSpaceDE w:val="0"/>
              <w:autoSpaceDN w:val="0"/>
              <w:adjustRightInd w:val="0"/>
              <w:jc w:val="center"/>
            </w:pPr>
            <w:r w:rsidRPr="00037AD4">
              <w:t>0.158</w:t>
            </w:r>
          </w:p>
        </w:tc>
        <w:tc>
          <w:tcPr>
            <w:tcW w:w="1043" w:type="pct"/>
            <w:tcBorders>
              <w:top w:val="nil"/>
              <w:left w:val="nil"/>
              <w:bottom w:val="nil"/>
              <w:right w:val="nil"/>
            </w:tcBorders>
          </w:tcPr>
          <w:p w14:paraId="4A76005E" w14:textId="77777777" w:rsidR="00B54D51" w:rsidRPr="00037AD4" w:rsidRDefault="00B54D51" w:rsidP="00401C67">
            <w:pPr>
              <w:widowControl w:val="0"/>
              <w:autoSpaceDE w:val="0"/>
              <w:autoSpaceDN w:val="0"/>
              <w:adjustRightInd w:val="0"/>
              <w:jc w:val="center"/>
            </w:pPr>
            <w:r w:rsidRPr="00037AD4">
              <w:t>0.128</w:t>
            </w:r>
          </w:p>
        </w:tc>
        <w:tc>
          <w:tcPr>
            <w:tcW w:w="1043" w:type="pct"/>
            <w:tcBorders>
              <w:top w:val="nil"/>
              <w:left w:val="nil"/>
              <w:bottom w:val="nil"/>
              <w:right w:val="nil"/>
            </w:tcBorders>
          </w:tcPr>
          <w:p w14:paraId="2BF8E1FA" w14:textId="77777777" w:rsidR="00B54D51" w:rsidRPr="00037AD4" w:rsidRDefault="00B54D51" w:rsidP="00401C67">
            <w:pPr>
              <w:widowControl w:val="0"/>
              <w:autoSpaceDE w:val="0"/>
              <w:autoSpaceDN w:val="0"/>
              <w:adjustRightInd w:val="0"/>
              <w:jc w:val="center"/>
            </w:pPr>
            <w:r w:rsidRPr="00037AD4">
              <w:t>0.115</w:t>
            </w:r>
          </w:p>
        </w:tc>
        <w:tc>
          <w:tcPr>
            <w:tcW w:w="981" w:type="pct"/>
            <w:tcBorders>
              <w:top w:val="nil"/>
              <w:left w:val="nil"/>
              <w:bottom w:val="nil"/>
              <w:right w:val="nil"/>
            </w:tcBorders>
          </w:tcPr>
          <w:p w14:paraId="060206C5" w14:textId="77777777" w:rsidR="00B54D51" w:rsidRPr="00037AD4" w:rsidRDefault="00B54D51" w:rsidP="00401C67">
            <w:pPr>
              <w:widowControl w:val="0"/>
              <w:autoSpaceDE w:val="0"/>
              <w:autoSpaceDN w:val="0"/>
              <w:adjustRightInd w:val="0"/>
              <w:jc w:val="center"/>
            </w:pPr>
          </w:p>
        </w:tc>
      </w:tr>
      <w:tr w:rsidR="00B54D51" w:rsidRPr="00037AD4" w14:paraId="66304E57" w14:textId="77777777" w:rsidTr="00401C67">
        <w:trPr>
          <w:jc w:val="center"/>
        </w:trPr>
        <w:tc>
          <w:tcPr>
            <w:tcW w:w="891" w:type="pct"/>
            <w:tcBorders>
              <w:top w:val="nil"/>
              <w:left w:val="nil"/>
              <w:bottom w:val="nil"/>
              <w:right w:val="nil"/>
            </w:tcBorders>
          </w:tcPr>
          <w:p w14:paraId="6E4FFD9F" w14:textId="77777777" w:rsidR="00B54D51" w:rsidRPr="00037AD4" w:rsidRDefault="00B54D51" w:rsidP="00401C67">
            <w:pPr>
              <w:widowControl w:val="0"/>
              <w:autoSpaceDE w:val="0"/>
              <w:autoSpaceDN w:val="0"/>
              <w:adjustRightInd w:val="0"/>
            </w:pPr>
          </w:p>
        </w:tc>
        <w:tc>
          <w:tcPr>
            <w:tcW w:w="1043" w:type="pct"/>
            <w:tcBorders>
              <w:top w:val="nil"/>
              <w:left w:val="nil"/>
              <w:bottom w:val="nil"/>
              <w:right w:val="nil"/>
            </w:tcBorders>
          </w:tcPr>
          <w:p w14:paraId="0DC1B540" w14:textId="77777777" w:rsidR="00B54D51" w:rsidRPr="00037AD4" w:rsidRDefault="00B54D51" w:rsidP="00401C67">
            <w:pPr>
              <w:widowControl w:val="0"/>
              <w:autoSpaceDE w:val="0"/>
              <w:autoSpaceDN w:val="0"/>
              <w:adjustRightInd w:val="0"/>
              <w:jc w:val="center"/>
            </w:pPr>
            <w:r w:rsidRPr="00037AD4">
              <w:t>(-0.070 - 0.386)</w:t>
            </w:r>
          </w:p>
        </w:tc>
        <w:tc>
          <w:tcPr>
            <w:tcW w:w="1043" w:type="pct"/>
            <w:tcBorders>
              <w:top w:val="nil"/>
              <w:left w:val="nil"/>
              <w:bottom w:val="nil"/>
              <w:right w:val="nil"/>
            </w:tcBorders>
          </w:tcPr>
          <w:p w14:paraId="5B530EB9" w14:textId="77777777" w:rsidR="00B54D51" w:rsidRPr="00037AD4" w:rsidRDefault="00B54D51" w:rsidP="00401C67">
            <w:pPr>
              <w:widowControl w:val="0"/>
              <w:autoSpaceDE w:val="0"/>
              <w:autoSpaceDN w:val="0"/>
              <w:adjustRightInd w:val="0"/>
              <w:jc w:val="center"/>
            </w:pPr>
            <w:r w:rsidRPr="00037AD4">
              <w:t>(-0.089 - 0.346)</w:t>
            </w:r>
          </w:p>
        </w:tc>
        <w:tc>
          <w:tcPr>
            <w:tcW w:w="1043" w:type="pct"/>
            <w:tcBorders>
              <w:top w:val="nil"/>
              <w:left w:val="nil"/>
              <w:bottom w:val="nil"/>
              <w:right w:val="nil"/>
            </w:tcBorders>
          </w:tcPr>
          <w:p w14:paraId="1C68AB12" w14:textId="77777777" w:rsidR="00B54D51" w:rsidRPr="00037AD4" w:rsidRDefault="00B54D51" w:rsidP="00401C67">
            <w:pPr>
              <w:widowControl w:val="0"/>
              <w:autoSpaceDE w:val="0"/>
              <w:autoSpaceDN w:val="0"/>
              <w:adjustRightInd w:val="0"/>
              <w:jc w:val="center"/>
            </w:pPr>
            <w:r w:rsidRPr="00037AD4">
              <w:t>(-0.100 - 0.330)</w:t>
            </w:r>
          </w:p>
        </w:tc>
        <w:tc>
          <w:tcPr>
            <w:tcW w:w="981" w:type="pct"/>
            <w:tcBorders>
              <w:top w:val="nil"/>
              <w:left w:val="nil"/>
              <w:bottom w:val="nil"/>
              <w:right w:val="nil"/>
            </w:tcBorders>
          </w:tcPr>
          <w:p w14:paraId="76779F89" w14:textId="77777777" w:rsidR="00B54D51" w:rsidRPr="00037AD4" w:rsidRDefault="00B54D51" w:rsidP="00401C67">
            <w:pPr>
              <w:widowControl w:val="0"/>
              <w:autoSpaceDE w:val="0"/>
              <w:autoSpaceDN w:val="0"/>
              <w:adjustRightInd w:val="0"/>
              <w:jc w:val="center"/>
            </w:pPr>
          </w:p>
        </w:tc>
      </w:tr>
      <w:tr w:rsidR="00B54D51" w:rsidRPr="00037AD4" w14:paraId="65777183" w14:textId="77777777" w:rsidTr="00401C67">
        <w:trPr>
          <w:jc w:val="center"/>
        </w:trPr>
        <w:tc>
          <w:tcPr>
            <w:tcW w:w="891" w:type="pct"/>
            <w:tcBorders>
              <w:top w:val="nil"/>
              <w:left w:val="nil"/>
              <w:bottom w:val="nil"/>
              <w:right w:val="nil"/>
            </w:tcBorders>
          </w:tcPr>
          <w:p w14:paraId="663A5E4F" w14:textId="77777777" w:rsidR="00B54D51" w:rsidRPr="00037AD4" w:rsidRDefault="00B54D51" w:rsidP="00401C67">
            <w:pPr>
              <w:widowControl w:val="0"/>
              <w:autoSpaceDE w:val="0"/>
              <w:autoSpaceDN w:val="0"/>
              <w:adjustRightInd w:val="0"/>
            </w:pPr>
            <w:r w:rsidRPr="00037AD4">
              <w:t>/cut1</w:t>
            </w:r>
          </w:p>
        </w:tc>
        <w:tc>
          <w:tcPr>
            <w:tcW w:w="1043" w:type="pct"/>
            <w:tcBorders>
              <w:top w:val="nil"/>
              <w:left w:val="nil"/>
              <w:bottom w:val="nil"/>
              <w:right w:val="nil"/>
            </w:tcBorders>
          </w:tcPr>
          <w:p w14:paraId="6840DC75" w14:textId="77777777" w:rsidR="00B54D51" w:rsidRPr="00037AD4" w:rsidRDefault="00B54D51" w:rsidP="00401C67">
            <w:pPr>
              <w:widowControl w:val="0"/>
              <w:autoSpaceDE w:val="0"/>
              <w:autoSpaceDN w:val="0"/>
              <w:adjustRightInd w:val="0"/>
              <w:jc w:val="center"/>
            </w:pPr>
            <w:r w:rsidRPr="00037AD4">
              <w:t>1.704**</w:t>
            </w:r>
          </w:p>
        </w:tc>
        <w:tc>
          <w:tcPr>
            <w:tcW w:w="1043" w:type="pct"/>
            <w:tcBorders>
              <w:top w:val="nil"/>
              <w:left w:val="nil"/>
              <w:bottom w:val="nil"/>
              <w:right w:val="nil"/>
            </w:tcBorders>
          </w:tcPr>
          <w:p w14:paraId="1B565397" w14:textId="77777777" w:rsidR="00B54D51" w:rsidRPr="00037AD4" w:rsidRDefault="00B54D51" w:rsidP="00401C67">
            <w:pPr>
              <w:widowControl w:val="0"/>
              <w:autoSpaceDE w:val="0"/>
              <w:autoSpaceDN w:val="0"/>
              <w:adjustRightInd w:val="0"/>
              <w:jc w:val="center"/>
            </w:pPr>
            <w:r w:rsidRPr="00037AD4">
              <w:t>2.323***</w:t>
            </w:r>
          </w:p>
        </w:tc>
        <w:tc>
          <w:tcPr>
            <w:tcW w:w="1043" w:type="pct"/>
            <w:tcBorders>
              <w:top w:val="nil"/>
              <w:left w:val="nil"/>
              <w:bottom w:val="nil"/>
              <w:right w:val="nil"/>
            </w:tcBorders>
          </w:tcPr>
          <w:p w14:paraId="59D18E96" w14:textId="77777777" w:rsidR="00B54D51" w:rsidRPr="00037AD4" w:rsidRDefault="00B54D51" w:rsidP="00401C67">
            <w:pPr>
              <w:widowControl w:val="0"/>
              <w:autoSpaceDE w:val="0"/>
              <w:autoSpaceDN w:val="0"/>
              <w:adjustRightInd w:val="0"/>
              <w:jc w:val="center"/>
            </w:pPr>
            <w:r w:rsidRPr="00037AD4">
              <w:t>2.638***</w:t>
            </w:r>
          </w:p>
        </w:tc>
        <w:tc>
          <w:tcPr>
            <w:tcW w:w="981" w:type="pct"/>
            <w:tcBorders>
              <w:top w:val="nil"/>
              <w:left w:val="nil"/>
              <w:bottom w:val="nil"/>
              <w:right w:val="nil"/>
            </w:tcBorders>
          </w:tcPr>
          <w:p w14:paraId="5757FC50" w14:textId="77777777" w:rsidR="00B54D51" w:rsidRPr="00037AD4" w:rsidRDefault="00B54D51" w:rsidP="00401C67">
            <w:pPr>
              <w:widowControl w:val="0"/>
              <w:autoSpaceDE w:val="0"/>
              <w:autoSpaceDN w:val="0"/>
              <w:adjustRightInd w:val="0"/>
              <w:jc w:val="center"/>
            </w:pPr>
            <w:r w:rsidRPr="00037AD4">
              <w:t>2.563***</w:t>
            </w:r>
          </w:p>
        </w:tc>
      </w:tr>
      <w:tr w:rsidR="00B54D51" w:rsidRPr="00037AD4" w14:paraId="39F208AF" w14:textId="77777777" w:rsidTr="00401C67">
        <w:trPr>
          <w:jc w:val="center"/>
        </w:trPr>
        <w:tc>
          <w:tcPr>
            <w:tcW w:w="891" w:type="pct"/>
            <w:tcBorders>
              <w:top w:val="nil"/>
              <w:left w:val="nil"/>
              <w:bottom w:val="nil"/>
              <w:right w:val="nil"/>
            </w:tcBorders>
          </w:tcPr>
          <w:p w14:paraId="324A905F" w14:textId="77777777" w:rsidR="00B54D51" w:rsidRPr="00037AD4" w:rsidRDefault="00B54D51" w:rsidP="00401C67">
            <w:pPr>
              <w:widowControl w:val="0"/>
              <w:autoSpaceDE w:val="0"/>
              <w:autoSpaceDN w:val="0"/>
              <w:adjustRightInd w:val="0"/>
            </w:pPr>
          </w:p>
        </w:tc>
        <w:tc>
          <w:tcPr>
            <w:tcW w:w="1043" w:type="pct"/>
            <w:tcBorders>
              <w:top w:val="nil"/>
              <w:left w:val="nil"/>
              <w:bottom w:val="nil"/>
              <w:right w:val="nil"/>
            </w:tcBorders>
          </w:tcPr>
          <w:p w14:paraId="719167EC" w14:textId="77777777" w:rsidR="00B54D51" w:rsidRPr="00037AD4" w:rsidRDefault="00B54D51" w:rsidP="00401C67">
            <w:pPr>
              <w:widowControl w:val="0"/>
              <w:autoSpaceDE w:val="0"/>
              <w:autoSpaceDN w:val="0"/>
              <w:adjustRightInd w:val="0"/>
              <w:jc w:val="center"/>
            </w:pPr>
            <w:r w:rsidRPr="00037AD4">
              <w:t>(0.374 - 3.033)</w:t>
            </w:r>
          </w:p>
        </w:tc>
        <w:tc>
          <w:tcPr>
            <w:tcW w:w="1043" w:type="pct"/>
            <w:tcBorders>
              <w:top w:val="nil"/>
              <w:left w:val="nil"/>
              <w:bottom w:val="nil"/>
              <w:right w:val="nil"/>
            </w:tcBorders>
          </w:tcPr>
          <w:p w14:paraId="724CB9A6" w14:textId="77777777" w:rsidR="00B54D51" w:rsidRPr="00037AD4" w:rsidRDefault="00B54D51" w:rsidP="00401C67">
            <w:pPr>
              <w:widowControl w:val="0"/>
              <w:autoSpaceDE w:val="0"/>
              <w:autoSpaceDN w:val="0"/>
              <w:adjustRightInd w:val="0"/>
              <w:jc w:val="center"/>
            </w:pPr>
            <w:r w:rsidRPr="00037AD4">
              <w:t>(1.056 - 3.590)</w:t>
            </w:r>
          </w:p>
        </w:tc>
        <w:tc>
          <w:tcPr>
            <w:tcW w:w="1043" w:type="pct"/>
            <w:tcBorders>
              <w:top w:val="nil"/>
              <w:left w:val="nil"/>
              <w:bottom w:val="nil"/>
              <w:right w:val="nil"/>
            </w:tcBorders>
          </w:tcPr>
          <w:p w14:paraId="047B0B52" w14:textId="77777777" w:rsidR="00B54D51" w:rsidRPr="00037AD4" w:rsidRDefault="00B54D51" w:rsidP="00401C67">
            <w:pPr>
              <w:widowControl w:val="0"/>
              <w:autoSpaceDE w:val="0"/>
              <w:autoSpaceDN w:val="0"/>
              <w:adjustRightInd w:val="0"/>
              <w:jc w:val="center"/>
            </w:pPr>
            <w:r w:rsidRPr="00037AD4">
              <w:t>(1.917 - 3.360)</w:t>
            </w:r>
          </w:p>
        </w:tc>
        <w:tc>
          <w:tcPr>
            <w:tcW w:w="981" w:type="pct"/>
            <w:tcBorders>
              <w:top w:val="nil"/>
              <w:left w:val="nil"/>
              <w:bottom w:val="nil"/>
              <w:right w:val="nil"/>
            </w:tcBorders>
          </w:tcPr>
          <w:p w14:paraId="7F6DFF8F" w14:textId="77777777" w:rsidR="00B54D51" w:rsidRPr="00037AD4" w:rsidRDefault="00B54D51" w:rsidP="00401C67">
            <w:pPr>
              <w:widowControl w:val="0"/>
              <w:autoSpaceDE w:val="0"/>
              <w:autoSpaceDN w:val="0"/>
              <w:adjustRightInd w:val="0"/>
              <w:jc w:val="center"/>
            </w:pPr>
            <w:r w:rsidRPr="00037AD4">
              <w:t>(1.853 - 3.272)</w:t>
            </w:r>
          </w:p>
        </w:tc>
      </w:tr>
      <w:tr w:rsidR="00B54D51" w:rsidRPr="00037AD4" w14:paraId="2A96632D" w14:textId="77777777" w:rsidTr="00401C67">
        <w:trPr>
          <w:jc w:val="center"/>
        </w:trPr>
        <w:tc>
          <w:tcPr>
            <w:tcW w:w="891" w:type="pct"/>
            <w:tcBorders>
              <w:top w:val="nil"/>
              <w:left w:val="nil"/>
              <w:bottom w:val="nil"/>
              <w:right w:val="nil"/>
            </w:tcBorders>
          </w:tcPr>
          <w:p w14:paraId="1544059B" w14:textId="77777777" w:rsidR="00B54D51" w:rsidRPr="00037AD4" w:rsidRDefault="00B54D51" w:rsidP="00401C67">
            <w:pPr>
              <w:widowControl w:val="0"/>
              <w:autoSpaceDE w:val="0"/>
              <w:autoSpaceDN w:val="0"/>
              <w:adjustRightInd w:val="0"/>
            </w:pPr>
            <w:r w:rsidRPr="00037AD4">
              <w:t>/cut2</w:t>
            </w:r>
          </w:p>
        </w:tc>
        <w:tc>
          <w:tcPr>
            <w:tcW w:w="1043" w:type="pct"/>
            <w:tcBorders>
              <w:top w:val="nil"/>
              <w:left w:val="nil"/>
              <w:bottom w:val="nil"/>
              <w:right w:val="nil"/>
            </w:tcBorders>
          </w:tcPr>
          <w:p w14:paraId="6D97D197" w14:textId="77777777" w:rsidR="00B54D51" w:rsidRPr="00037AD4" w:rsidRDefault="00B54D51" w:rsidP="00401C67">
            <w:pPr>
              <w:widowControl w:val="0"/>
              <w:autoSpaceDE w:val="0"/>
              <w:autoSpaceDN w:val="0"/>
              <w:adjustRightInd w:val="0"/>
              <w:jc w:val="center"/>
            </w:pPr>
            <w:r w:rsidRPr="00037AD4">
              <w:t>2.140***</w:t>
            </w:r>
          </w:p>
        </w:tc>
        <w:tc>
          <w:tcPr>
            <w:tcW w:w="1043" w:type="pct"/>
            <w:tcBorders>
              <w:top w:val="nil"/>
              <w:left w:val="nil"/>
              <w:bottom w:val="nil"/>
              <w:right w:val="nil"/>
            </w:tcBorders>
          </w:tcPr>
          <w:p w14:paraId="7450763A" w14:textId="77777777" w:rsidR="00B54D51" w:rsidRPr="00037AD4" w:rsidRDefault="00B54D51" w:rsidP="00401C67">
            <w:pPr>
              <w:widowControl w:val="0"/>
              <w:autoSpaceDE w:val="0"/>
              <w:autoSpaceDN w:val="0"/>
              <w:adjustRightInd w:val="0"/>
              <w:jc w:val="center"/>
            </w:pPr>
            <w:r w:rsidRPr="00037AD4">
              <w:t>2.728***</w:t>
            </w:r>
          </w:p>
        </w:tc>
        <w:tc>
          <w:tcPr>
            <w:tcW w:w="1043" w:type="pct"/>
            <w:tcBorders>
              <w:top w:val="nil"/>
              <w:left w:val="nil"/>
              <w:bottom w:val="nil"/>
              <w:right w:val="nil"/>
            </w:tcBorders>
          </w:tcPr>
          <w:p w14:paraId="4DD49052" w14:textId="77777777" w:rsidR="00B54D51" w:rsidRPr="00037AD4" w:rsidRDefault="00B54D51" w:rsidP="00401C67">
            <w:pPr>
              <w:widowControl w:val="0"/>
              <w:autoSpaceDE w:val="0"/>
              <w:autoSpaceDN w:val="0"/>
              <w:adjustRightInd w:val="0"/>
              <w:jc w:val="center"/>
            </w:pPr>
            <w:r w:rsidRPr="00037AD4">
              <w:t>3.043***</w:t>
            </w:r>
          </w:p>
        </w:tc>
        <w:tc>
          <w:tcPr>
            <w:tcW w:w="981" w:type="pct"/>
            <w:tcBorders>
              <w:top w:val="nil"/>
              <w:left w:val="nil"/>
              <w:bottom w:val="nil"/>
              <w:right w:val="nil"/>
            </w:tcBorders>
          </w:tcPr>
          <w:p w14:paraId="6EB1805D" w14:textId="77777777" w:rsidR="00B54D51" w:rsidRPr="00037AD4" w:rsidRDefault="00B54D51" w:rsidP="00401C67">
            <w:pPr>
              <w:widowControl w:val="0"/>
              <w:autoSpaceDE w:val="0"/>
              <w:autoSpaceDN w:val="0"/>
              <w:adjustRightInd w:val="0"/>
              <w:jc w:val="center"/>
            </w:pPr>
            <w:r w:rsidRPr="00037AD4">
              <w:t>2.964***</w:t>
            </w:r>
          </w:p>
        </w:tc>
      </w:tr>
      <w:tr w:rsidR="00B54D51" w:rsidRPr="00037AD4" w14:paraId="23162D8B" w14:textId="77777777" w:rsidTr="00401C67">
        <w:trPr>
          <w:jc w:val="center"/>
        </w:trPr>
        <w:tc>
          <w:tcPr>
            <w:tcW w:w="891" w:type="pct"/>
            <w:tcBorders>
              <w:top w:val="nil"/>
              <w:left w:val="nil"/>
              <w:bottom w:val="nil"/>
              <w:right w:val="nil"/>
            </w:tcBorders>
          </w:tcPr>
          <w:p w14:paraId="666784B2" w14:textId="77777777" w:rsidR="00B54D51" w:rsidRPr="00037AD4" w:rsidRDefault="00B54D51" w:rsidP="00401C67">
            <w:pPr>
              <w:widowControl w:val="0"/>
              <w:autoSpaceDE w:val="0"/>
              <w:autoSpaceDN w:val="0"/>
              <w:adjustRightInd w:val="0"/>
            </w:pPr>
          </w:p>
        </w:tc>
        <w:tc>
          <w:tcPr>
            <w:tcW w:w="1043" w:type="pct"/>
            <w:tcBorders>
              <w:top w:val="nil"/>
              <w:left w:val="nil"/>
              <w:bottom w:val="nil"/>
              <w:right w:val="nil"/>
            </w:tcBorders>
          </w:tcPr>
          <w:p w14:paraId="2C5A8837" w14:textId="77777777" w:rsidR="00B54D51" w:rsidRPr="00037AD4" w:rsidRDefault="00B54D51" w:rsidP="00401C67">
            <w:pPr>
              <w:widowControl w:val="0"/>
              <w:autoSpaceDE w:val="0"/>
              <w:autoSpaceDN w:val="0"/>
              <w:adjustRightInd w:val="0"/>
              <w:jc w:val="center"/>
            </w:pPr>
            <w:r w:rsidRPr="00037AD4">
              <w:t>(0.815 - 3.465)</w:t>
            </w:r>
          </w:p>
        </w:tc>
        <w:tc>
          <w:tcPr>
            <w:tcW w:w="1043" w:type="pct"/>
            <w:tcBorders>
              <w:top w:val="nil"/>
              <w:left w:val="nil"/>
              <w:bottom w:val="nil"/>
              <w:right w:val="nil"/>
            </w:tcBorders>
          </w:tcPr>
          <w:p w14:paraId="282880DF" w14:textId="77777777" w:rsidR="00B54D51" w:rsidRPr="00037AD4" w:rsidRDefault="00B54D51" w:rsidP="00401C67">
            <w:pPr>
              <w:widowControl w:val="0"/>
              <w:autoSpaceDE w:val="0"/>
              <w:autoSpaceDN w:val="0"/>
              <w:adjustRightInd w:val="0"/>
              <w:jc w:val="center"/>
            </w:pPr>
            <w:r w:rsidRPr="00037AD4">
              <w:t>(1.469 - 3.987)</w:t>
            </w:r>
          </w:p>
        </w:tc>
        <w:tc>
          <w:tcPr>
            <w:tcW w:w="1043" w:type="pct"/>
            <w:tcBorders>
              <w:top w:val="nil"/>
              <w:left w:val="nil"/>
              <w:bottom w:val="nil"/>
              <w:right w:val="nil"/>
            </w:tcBorders>
          </w:tcPr>
          <w:p w14:paraId="34E4AB27" w14:textId="77777777" w:rsidR="00B54D51" w:rsidRPr="00037AD4" w:rsidRDefault="00B54D51" w:rsidP="00401C67">
            <w:pPr>
              <w:widowControl w:val="0"/>
              <w:autoSpaceDE w:val="0"/>
              <w:autoSpaceDN w:val="0"/>
              <w:adjustRightInd w:val="0"/>
              <w:jc w:val="center"/>
            </w:pPr>
            <w:r w:rsidRPr="00037AD4">
              <w:t>(2.329 - 3.757)</w:t>
            </w:r>
          </w:p>
        </w:tc>
        <w:tc>
          <w:tcPr>
            <w:tcW w:w="981" w:type="pct"/>
            <w:tcBorders>
              <w:top w:val="nil"/>
              <w:left w:val="nil"/>
              <w:bottom w:val="nil"/>
              <w:right w:val="nil"/>
            </w:tcBorders>
          </w:tcPr>
          <w:p w14:paraId="4386BD3A" w14:textId="77777777" w:rsidR="00B54D51" w:rsidRPr="00037AD4" w:rsidRDefault="00B54D51" w:rsidP="00401C67">
            <w:pPr>
              <w:widowControl w:val="0"/>
              <w:autoSpaceDE w:val="0"/>
              <w:autoSpaceDN w:val="0"/>
              <w:adjustRightInd w:val="0"/>
              <w:jc w:val="center"/>
            </w:pPr>
            <w:r w:rsidRPr="00037AD4">
              <w:t>(2.262 - 3.665)</w:t>
            </w:r>
          </w:p>
        </w:tc>
      </w:tr>
      <w:tr w:rsidR="00B54D51" w:rsidRPr="00037AD4" w14:paraId="579DE6A1" w14:textId="77777777" w:rsidTr="00401C67">
        <w:trPr>
          <w:jc w:val="center"/>
        </w:trPr>
        <w:tc>
          <w:tcPr>
            <w:tcW w:w="891" w:type="pct"/>
            <w:tcBorders>
              <w:top w:val="nil"/>
              <w:left w:val="nil"/>
              <w:bottom w:val="nil"/>
              <w:right w:val="nil"/>
            </w:tcBorders>
          </w:tcPr>
          <w:p w14:paraId="24DDEE50" w14:textId="77777777" w:rsidR="00B54D51" w:rsidRPr="00037AD4" w:rsidRDefault="00B54D51" w:rsidP="00401C67">
            <w:pPr>
              <w:widowControl w:val="0"/>
              <w:autoSpaceDE w:val="0"/>
              <w:autoSpaceDN w:val="0"/>
              <w:adjustRightInd w:val="0"/>
            </w:pPr>
            <w:r w:rsidRPr="00037AD4">
              <w:t>/cut3</w:t>
            </w:r>
          </w:p>
        </w:tc>
        <w:tc>
          <w:tcPr>
            <w:tcW w:w="1043" w:type="pct"/>
            <w:tcBorders>
              <w:top w:val="nil"/>
              <w:left w:val="nil"/>
              <w:bottom w:val="nil"/>
              <w:right w:val="nil"/>
            </w:tcBorders>
          </w:tcPr>
          <w:p w14:paraId="710C2B1B" w14:textId="77777777" w:rsidR="00B54D51" w:rsidRPr="00037AD4" w:rsidRDefault="00B54D51" w:rsidP="00401C67">
            <w:pPr>
              <w:widowControl w:val="0"/>
              <w:autoSpaceDE w:val="0"/>
              <w:autoSpaceDN w:val="0"/>
              <w:adjustRightInd w:val="0"/>
              <w:jc w:val="center"/>
            </w:pPr>
            <w:r w:rsidRPr="00037AD4">
              <w:t>2.642***</w:t>
            </w:r>
          </w:p>
        </w:tc>
        <w:tc>
          <w:tcPr>
            <w:tcW w:w="1043" w:type="pct"/>
            <w:tcBorders>
              <w:top w:val="nil"/>
              <w:left w:val="nil"/>
              <w:bottom w:val="nil"/>
              <w:right w:val="nil"/>
            </w:tcBorders>
          </w:tcPr>
          <w:p w14:paraId="7ADEA5EA" w14:textId="77777777" w:rsidR="00B54D51" w:rsidRPr="00037AD4" w:rsidRDefault="00B54D51" w:rsidP="00401C67">
            <w:pPr>
              <w:widowControl w:val="0"/>
              <w:autoSpaceDE w:val="0"/>
              <w:autoSpaceDN w:val="0"/>
              <w:adjustRightInd w:val="0"/>
              <w:jc w:val="center"/>
            </w:pPr>
            <w:r w:rsidRPr="00037AD4">
              <w:t>3.167***</w:t>
            </w:r>
          </w:p>
        </w:tc>
        <w:tc>
          <w:tcPr>
            <w:tcW w:w="1043" w:type="pct"/>
            <w:tcBorders>
              <w:top w:val="nil"/>
              <w:left w:val="nil"/>
              <w:bottom w:val="nil"/>
              <w:right w:val="nil"/>
            </w:tcBorders>
          </w:tcPr>
          <w:p w14:paraId="4A8FECA1" w14:textId="77777777" w:rsidR="00B54D51" w:rsidRPr="00037AD4" w:rsidRDefault="00B54D51" w:rsidP="00401C67">
            <w:pPr>
              <w:widowControl w:val="0"/>
              <w:autoSpaceDE w:val="0"/>
              <w:autoSpaceDN w:val="0"/>
              <w:adjustRightInd w:val="0"/>
              <w:jc w:val="center"/>
            </w:pPr>
            <w:r w:rsidRPr="00037AD4">
              <w:t>3.482***</w:t>
            </w:r>
          </w:p>
        </w:tc>
        <w:tc>
          <w:tcPr>
            <w:tcW w:w="981" w:type="pct"/>
            <w:tcBorders>
              <w:top w:val="nil"/>
              <w:left w:val="nil"/>
              <w:bottom w:val="nil"/>
              <w:right w:val="nil"/>
            </w:tcBorders>
          </w:tcPr>
          <w:p w14:paraId="0E75C89D" w14:textId="77777777" w:rsidR="00B54D51" w:rsidRPr="00037AD4" w:rsidRDefault="00B54D51" w:rsidP="00401C67">
            <w:pPr>
              <w:widowControl w:val="0"/>
              <w:autoSpaceDE w:val="0"/>
              <w:autoSpaceDN w:val="0"/>
              <w:adjustRightInd w:val="0"/>
              <w:jc w:val="center"/>
            </w:pPr>
            <w:r w:rsidRPr="00037AD4">
              <w:t>3.403***</w:t>
            </w:r>
          </w:p>
        </w:tc>
      </w:tr>
      <w:tr w:rsidR="00B54D51" w:rsidRPr="00037AD4" w14:paraId="7416295E" w14:textId="77777777" w:rsidTr="00401C67">
        <w:trPr>
          <w:jc w:val="center"/>
        </w:trPr>
        <w:tc>
          <w:tcPr>
            <w:tcW w:w="891" w:type="pct"/>
            <w:tcBorders>
              <w:top w:val="nil"/>
              <w:left w:val="nil"/>
              <w:bottom w:val="nil"/>
              <w:right w:val="nil"/>
            </w:tcBorders>
          </w:tcPr>
          <w:p w14:paraId="5FA5A626" w14:textId="77777777" w:rsidR="00B54D51" w:rsidRPr="00037AD4" w:rsidRDefault="00B54D51" w:rsidP="00401C67">
            <w:pPr>
              <w:widowControl w:val="0"/>
              <w:autoSpaceDE w:val="0"/>
              <w:autoSpaceDN w:val="0"/>
              <w:adjustRightInd w:val="0"/>
            </w:pPr>
          </w:p>
        </w:tc>
        <w:tc>
          <w:tcPr>
            <w:tcW w:w="1043" w:type="pct"/>
            <w:tcBorders>
              <w:top w:val="nil"/>
              <w:left w:val="nil"/>
              <w:bottom w:val="nil"/>
              <w:right w:val="nil"/>
            </w:tcBorders>
          </w:tcPr>
          <w:p w14:paraId="70E3DCB7" w14:textId="77777777" w:rsidR="00B54D51" w:rsidRPr="00037AD4" w:rsidRDefault="00B54D51" w:rsidP="00401C67">
            <w:pPr>
              <w:widowControl w:val="0"/>
              <w:autoSpaceDE w:val="0"/>
              <w:autoSpaceDN w:val="0"/>
              <w:adjustRightInd w:val="0"/>
              <w:jc w:val="center"/>
            </w:pPr>
            <w:r w:rsidRPr="00037AD4">
              <w:t>(1.304 - 3.979)</w:t>
            </w:r>
          </w:p>
        </w:tc>
        <w:tc>
          <w:tcPr>
            <w:tcW w:w="1043" w:type="pct"/>
            <w:tcBorders>
              <w:top w:val="nil"/>
              <w:left w:val="nil"/>
              <w:bottom w:val="nil"/>
              <w:right w:val="nil"/>
            </w:tcBorders>
          </w:tcPr>
          <w:p w14:paraId="70973B4F" w14:textId="77777777" w:rsidR="00B54D51" w:rsidRPr="00037AD4" w:rsidRDefault="00B54D51" w:rsidP="00401C67">
            <w:pPr>
              <w:widowControl w:val="0"/>
              <w:autoSpaceDE w:val="0"/>
              <w:autoSpaceDN w:val="0"/>
              <w:adjustRightInd w:val="0"/>
              <w:jc w:val="center"/>
            </w:pPr>
            <w:r w:rsidRPr="00037AD4">
              <w:t>(1.902 - 4.432)</w:t>
            </w:r>
          </w:p>
        </w:tc>
        <w:tc>
          <w:tcPr>
            <w:tcW w:w="1043" w:type="pct"/>
            <w:tcBorders>
              <w:top w:val="nil"/>
              <w:left w:val="nil"/>
              <w:bottom w:val="nil"/>
              <w:right w:val="nil"/>
            </w:tcBorders>
          </w:tcPr>
          <w:p w14:paraId="74CB3604" w14:textId="77777777" w:rsidR="00B54D51" w:rsidRPr="00037AD4" w:rsidRDefault="00B54D51" w:rsidP="00401C67">
            <w:pPr>
              <w:widowControl w:val="0"/>
              <w:autoSpaceDE w:val="0"/>
              <w:autoSpaceDN w:val="0"/>
              <w:adjustRightInd w:val="0"/>
              <w:jc w:val="center"/>
            </w:pPr>
            <w:r w:rsidRPr="00037AD4">
              <w:t>(2.754 - 4.210)</w:t>
            </w:r>
          </w:p>
        </w:tc>
        <w:tc>
          <w:tcPr>
            <w:tcW w:w="981" w:type="pct"/>
            <w:tcBorders>
              <w:top w:val="nil"/>
              <w:left w:val="nil"/>
              <w:bottom w:val="nil"/>
              <w:right w:val="nil"/>
            </w:tcBorders>
          </w:tcPr>
          <w:p w14:paraId="32E41C15" w14:textId="77777777" w:rsidR="00B54D51" w:rsidRPr="00037AD4" w:rsidRDefault="00B54D51" w:rsidP="00401C67">
            <w:pPr>
              <w:widowControl w:val="0"/>
              <w:autoSpaceDE w:val="0"/>
              <w:autoSpaceDN w:val="0"/>
              <w:adjustRightInd w:val="0"/>
              <w:jc w:val="center"/>
            </w:pPr>
            <w:r w:rsidRPr="00037AD4">
              <w:t>(2.686 - 4.120)</w:t>
            </w:r>
          </w:p>
        </w:tc>
      </w:tr>
      <w:tr w:rsidR="00B54D51" w:rsidRPr="00037AD4" w14:paraId="51A37160" w14:textId="77777777" w:rsidTr="00401C67">
        <w:trPr>
          <w:jc w:val="center"/>
        </w:trPr>
        <w:tc>
          <w:tcPr>
            <w:tcW w:w="891" w:type="pct"/>
            <w:tcBorders>
              <w:top w:val="nil"/>
              <w:left w:val="nil"/>
              <w:bottom w:val="nil"/>
              <w:right w:val="nil"/>
            </w:tcBorders>
          </w:tcPr>
          <w:p w14:paraId="113DEFE4" w14:textId="77777777" w:rsidR="00B54D51" w:rsidRPr="00037AD4" w:rsidRDefault="00B54D51" w:rsidP="00401C67">
            <w:pPr>
              <w:widowControl w:val="0"/>
              <w:autoSpaceDE w:val="0"/>
              <w:autoSpaceDN w:val="0"/>
              <w:adjustRightInd w:val="0"/>
            </w:pPr>
            <w:r w:rsidRPr="00037AD4">
              <w:t>/cut4</w:t>
            </w:r>
          </w:p>
        </w:tc>
        <w:tc>
          <w:tcPr>
            <w:tcW w:w="1043" w:type="pct"/>
            <w:tcBorders>
              <w:top w:val="nil"/>
              <w:left w:val="nil"/>
              <w:bottom w:val="nil"/>
              <w:right w:val="nil"/>
            </w:tcBorders>
          </w:tcPr>
          <w:p w14:paraId="1028B14F" w14:textId="77777777" w:rsidR="00B54D51" w:rsidRPr="00037AD4" w:rsidRDefault="00B54D51" w:rsidP="00401C67">
            <w:pPr>
              <w:widowControl w:val="0"/>
              <w:autoSpaceDE w:val="0"/>
              <w:autoSpaceDN w:val="0"/>
              <w:adjustRightInd w:val="0"/>
              <w:jc w:val="center"/>
            </w:pPr>
            <w:r w:rsidRPr="00037AD4">
              <w:t>2.928***</w:t>
            </w:r>
          </w:p>
        </w:tc>
        <w:tc>
          <w:tcPr>
            <w:tcW w:w="1043" w:type="pct"/>
            <w:tcBorders>
              <w:top w:val="nil"/>
              <w:left w:val="nil"/>
              <w:bottom w:val="nil"/>
              <w:right w:val="nil"/>
            </w:tcBorders>
          </w:tcPr>
          <w:p w14:paraId="0426CF03" w14:textId="77777777" w:rsidR="00B54D51" w:rsidRPr="00037AD4" w:rsidRDefault="00B54D51" w:rsidP="00401C67">
            <w:pPr>
              <w:widowControl w:val="0"/>
              <w:autoSpaceDE w:val="0"/>
              <w:autoSpaceDN w:val="0"/>
              <w:adjustRightInd w:val="0"/>
              <w:jc w:val="center"/>
            </w:pPr>
            <w:r w:rsidRPr="00037AD4">
              <w:t>3.408***</w:t>
            </w:r>
          </w:p>
        </w:tc>
        <w:tc>
          <w:tcPr>
            <w:tcW w:w="1043" w:type="pct"/>
            <w:tcBorders>
              <w:top w:val="nil"/>
              <w:left w:val="nil"/>
              <w:bottom w:val="nil"/>
              <w:right w:val="nil"/>
            </w:tcBorders>
          </w:tcPr>
          <w:p w14:paraId="5FE0591D" w14:textId="77777777" w:rsidR="00B54D51" w:rsidRPr="00037AD4" w:rsidRDefault="00B54D51" w:rsidP="00401C67">
            <w:pPr>
              <w:widowControl w:val="0"/>
              <w:autoSpaceDE w:val="0"/>
              <w:autoSpaceDN w:val="0"/>
              <w:adjustRightInd w:val="0"/>
              <w:jc w:val="center"/>
            </w:pPr>
            <w:r w:rsidRPr="00037AD4">
              <w:t>3.722***</w:t>
            </w:r>
          </w:p>
        </w:tc>
        <w:tc>
          <w:tcPr>
            <w:tcW w:w="981" w:type="pct"/>
            <w:tcBorders>
              <w:top w:val="nil"/>
              <w:left w:val="nil"/>
              <w:bottom w:val="nil"/>
              <w:right w:val="nil"/>
            </w:tcBorders>
          </w:tcPr>
          <w:p w14:paraId="3CC7A220" w14:textId="77777777" w:rsidR="00B54D51" w:rsidRPr="00037AD4" w:rsidRDefault="00B54D51" w:rsidP="00401C67">
            <w:pPr>
              <w:widowControl w:val="0"/>
              <w:autoSpaceDE w:val="0"/>
              <w:autoSpaceDN w:val="0"/>
              <w:adjustRightInd w:val="0"/>
              <w:jc w:val="center"/>
            </w:pPr>
            <w:r w:rsidRPr="00037AD4">
              <w:t>3.639***</w:t>
            </w:r>
          </w:p>
        </w:tc>
      </w:tr>
      <w:tr w:rsidR="00B54D51" w:rsidRPr="00037AD4" w14:paraId="25F10DD5" w14:textId="77777777" w:rsidTr="00401C67">
        <w:trPr>
          <w:jc w:val="center"/>
        </w:trPr>
        <w:tc>
          <w:tcPr>
            <w:tcW w:w="891" w:type="pct"/>
            <w:tcBorders>
              <w:top w:val="nil"/>
              <w:left w:val="nil"/>
              <w:bottom w:val="nil"/>
              <w:right w:val="nil"/>
            </w:tcBorders>
          </w:tcPr>
          <w:p w14:paraId="06416238" w14:textId="77777777" w:rsidR="00B54D51" w:rsidRPr="00037AD4" w:rsidRDefault="00B54D51" w:rsidP="00401C67">
            <w:pPr>
              <w:widowControl w:val="0"/>
              <w:autoSpaceDE w:val="0"/>
              <w:autoSpaceDN w:val="0"/>
              <w:adjustRightInd w:val="0"/>
            </w:pPr>
          </w:p>
        </w:tc>
        <w:tc>
          <w:tcPr>
            <w:tcW w:w="1043" w:type="pct"/>
            <w:tcBorders>
              <w:top w:val="nil"/>
              <w:left w:val="nil"/>
              <w:bottom w:val="nil"/>
              <w:right w:val="nil"/>
            </w:tcBorders>
          </w:tcPr>
          <w:p w14:paraId="1561B8DE" w14:textId="77777777" w:rsidR="00B54D51" w:rsidRPr="00037AD4" w:rsidRDefault="00B54D51" w:rsidP="00401C67">
            <w:pPr>
              <w:widowControl w:val="0"/>
              <w:autoSpaceDE w:val="0"/>
              <w:autoSpaceDN w:val="0"/>
              <w:adjustRightInd w:val="0"/>
              <w:jc w:val="center"/>
            </w:pPr>
            <w:r w:rsidRPr="00037AD4">
              <w:t>(1.583 - 4.272)</w:t>
            </w:r>
          </w:p>
        </w:tc>
        <w:tc>
          <w:tcPr>
            <w:tcW w:w="1043" w:type="pct"/>
            <w:tcBorders>
              <w:top w:val="nil"/>
              <w:left w:val="nil"/>
              <w:bottom w:val="nil"/>
              <w:right w:val="nil"/>
            </w:tcBorders>
          </w:tcPr>
          <w:p w14:paraId="60FDCACD" w14:textId="77777777" w:rsidR="00B54D51" w:rsidRPr="00037AD4" w:rsidRDefault="00B54D51" w:rsidP="00401C67">
            <w:pPr>
              <w:widowControl w:val="0"/>
              <w:autoSpaceDE w:val="0"/>
              <w:autoSpaceDN w:val="0"/>
              <w:adjustRightInd w:val="0"/>
              <w:jc w:val="center"/>
            </w:pPr>
            <w:r w:rsidRPr="00037AD4">
              <w:t>(2.136 - 4.679)</w:t>
            </w:r>
          </w:p>
        </w:tc>
        <w:tc>
          <w:tcPr>
            <w:tcW w:w="1043" w:type="pct"/>
            <w:tcBorders>
              <w:top w:val="nil"/>
              <w:left w:val="nil"/>
              <w:bottom w:val="nil"/>
              <w:right w:val="nil"/>
            </w:tcBorders>
          </w:tcPr>
          <w:p w14:paraId="035A167C" w14:textId="77777777" w:rsidR="00B54D51" w:rsidRPr="00037AD4" w:rsidRDefault="00B54D51" w:rsidP="00401C67">
            <w:pPr>
              <w:widowControl w:val="0"/>
              <w:autoSpaceDE w:val="0"/>
              <w:autoSpaceDN w:val="0"/>
              <w:adjustRightInd w:val="0"/>
              <w:jc w:val="center"/>
            </w:pPr>
            <w:r w:rsidRPr="00037AD4">
              <w:t>(2.991 - 4.454)</w:t>
            </w:r>
          </w:p>
        </w:tc>
        <w:tc>
          <w:tcPr>
            <w:tcW w:w="981" w:type="pct"/>
            <w:tcBorders>
              <w:top w:val="nil"/>
              <w:left w:val="nil"/>
              <w:bottom w:val="nil"/>
              <w:right w:val="nil"/>
            </w:tcBorders>
          </w:tcPr>
          <w:p w14:paraId="321D37C3" w14:textId="77777777" w:rsidR="00B54D51" w:rsidRPr="00037AD4" w:rsidRDefault="00B54D51" w:rsidP="00401C67">
            <w:pPr>
              <w:widowControl w:val="0"/>
              <w:autoSpaceDE w:val="0"/>
              <w:autoSpaceDN w:val="0"/>
              <w:adjustRightInd w:val="0"/>
              <w:jc w:val="center"/>
            </w:pPr>
            <w:r w:rsidRPr="00037AD4">
              <w:t>(2.917 - 4.361)</w:t>
            </w:r>
          </w:p>
        </w:tc>
      </w:tr>
      <w:tr w:rsidR="00B54D51" w:rsidRPr="00037AD4" w14:paraId="750A3E8C" w14:textId="77777777" w:rsidTr="00401C67">
        <w:trPr>
          <w:jc w:val="center"/>
        </w:trPr>
        <w:tc>
          <w:tcPr>
            <w:tcW w:w="891" w:type="pct"/>
            <w:tcBorders>
              <w:top w:val="nil"/>
              <w:left w:val="nil"/>
              <w:bottom w:val="nil"/>
              <w:right w:val="nil"/>
            </w:tcBorders>
          </w:tcPr>
          <w:p w14:paraId="2BAC5DA0" w14:textId="77777777" w:rsidR="00B54D51" w:rsidRPr="00037AD4" w:rsidRDefault="00B54D51" w:rsidP="00401C67">
            <w:pPr>
              <w:widowControl w:val="0"/>
              <w:autoSpaceDE w:val="0"/>
              <w:autoSpaceDN w:val="0"/>
              <w:adjustRightInd w:val="0"/>
            </w:pPr>
          </w:p>
        </w:tc>
        <w:tc>
          <w:tcPr>
            <w:tcW w:w="1043" w:type="pct"/>
            <w:tcBorders>
              <w:top w:val="nil"/>
              <w:left w:val="nil"/>
              <w:bottom w:val="nil"/>
              <w:right w:val="nil"/>
            </w:tcBorders>
          </w:tcPr>
          <w:p w14:paraId="0E909447" w14:textId="77777777" w:rsidR="00B54D51" w:rsidRPr="00037AD4" w:rsidRDefault="00B54D51" w:rsidP="00401C67">
            <w:pPr>
              <w:widowControl w:val="0"/>
              <w:autoSpaceDE w:val="0"/>
              <w:autoSpaceDN w:val="0"/>
              <w:adjustRightInd w:val="0"/>
              <w:jc w:val="center"/>
            </w:pPr>
          </w:p>
        </w:tc>
        <w:tc>
          <w:tcPr>
            <w:tcW w:w="1043" w:type="pct"/>
            <w:tcBorders>
              <w:top w:val="nil"/>
              <w:left w:val="nil"/>
              <w:bottom w:val="nil"/>
              <w:right w:val="nil"/>
            </w:tcBorders>
          </w:tcPr>
          <w:p w14:paraId="5B951067" w14:textId="77777777" w:rsidR="00B54D51" w:rsidRPr="00037AD4" w:rsidRDefault="00B54D51" w:rsidP="00401C67">
            <w:pPr>
              <w:widowControl w:val="0"/>
              <w:autoSpaceDE w:val="0"/>
              <w:autoSpaceDN w:val="0"/>
              <w:adjustRightInd w:val="0"/>
              <w:jc w:val="center"/>
            </w:pPr>
          </w:p>
        </w:tc>
        <w:tc>
          <w:tcPr>
            <w:tcW w:w="1043" w:type="pct"/>
            <w:tcBorders>
              <w:top w:val="nil"/>
              <w:left w:val="nil"/>
              <w:bottom w:val="nil"/>
              <w:right w:val="nil"/>
            </w:tcBorders>
          </w:tcPr>
          <w:p w14:paraId="00A32A7F" w14:textId="77777777" w:rsidR="00B54D51" w:rsidRPr="00037AD4" w:rsidRDefault="00B54D51" w:rsidP="00401C67">
            <w:pPr>
              <w:widowControl w:val="0"/>
              <w:autoSpaceDE w:val="0"/>
              <w:autoSpaceDN w:val="0"/>
              <w:adjustRightInd w:val="0"/>
              <w:jc w:val="center"/>
            </w:pPr>
          </w:p>
        </w:tc>
        <w:tc>
          <w:tcPr>
            <w:tcW w:w="981" w:type="pct"/>
            <w:tcBorders>
              <w:top w:val="nil"/>
              <w:left w:val="nil"/>
              <w:bottom w:val="nil"/>
              <w:right w:val="nil"/>
            </w:tcBorders>
          </w:tcPr>
          <w:p w14:paraId="0EA1ECE8" w14:textId="77777777" w:rsidR="00B54D51" w:rsidRPr="00037AD4" w:rsidRDefault="00B54D51" w:rsidP="00401C67">
            <w:pPr>
              <w:widowControl w:val="0"/>
              <w:autoSpaceDE w:val="0"/>
              <w:autoSpaceDN w:val="0"/>
              <w:adjustRightInd w:val="0"/>
              <w:jc w:val="center"/>
            </w:pPr>
          </w:p>
        </w:tc>
      </w:tr>
      <w:tr w:rsidR="00B54D51" w:rsidRPr="00037AD4" w14:paraId="07F75669" w14:textId="77777777" w:rsidTr="00401C67">
        <w:tblPrEx>
          <w:tblBorders>
            <w:bottom w:val="single" w:sz="6" w:space="0" w:color="auto"/>
          </w:tblBorders>
        </w:tblPrEx>
        <w:trPr>
          <w:jc w:val="center"/>
        </w:trPr>
        <w:tc>
          <w:tcPr>
            <w:tcW w:w="891" w:type="pct"/>
            <w:tcBorders>
              <w:top w:val="nil"/>
              <w:left w:val="nil"/>
              <w:bottom w:val="nil"/>
              <w:right w:val="nil"/>
            </w:tcBorders>
          </w:tcPr>
          <w:p w14:paraId="250E6407" w14:textId="77777777" w:rsidR="00B54D51" w:rsidRPr="00037AD4" w:rsidRDefault="00B54D51" w:rsidP="00401C67">
            <w:pPr>
              <w:widowControl w:val="0"/>
              <w:autoSpaceDE w:val="0"/>
              <w:autoSpaceDN w:val="0"/>
              <w:adjustRightInd w:val="0"/>
            </w:pPr>
            <w:r w:rsidRPr="00037AD4">
              <w:t>Observations</w:t>
            </w:r>
          </w:p>
        </w:tc>
        <w:tc>
          <w:tcPr>
            <w:tcW w:w="1043" w:type="pct"/>
            <w:tcBorders>
              <w:top w:val="nil"/>
              <w:left w:val="nil"/>
              <w:bottom w:val="nil"/>
              <w:right w:val="nil"/>
            </w:tcBorders>
          </w:tcPr>
          <w:p w14:paraId="342036A3" w14:textId="77777777" w:rsidR="00B54D51" w:rsidRPr="00037AD4" w:rsidRDefault="00B54D51" w:rsidP="00401C67">
            <w:pPr>
              <w:widowControl w:val="0"/>
              <w:autoSpaceDE w:val="0"/>
              <w:autoSpaceDN w:val="0"/>
              <w:adjustRightInd w:val="0"/>
              <w:jc w:val="center"/>
            </w:pPr>
            <w:r w:rsidRPr="00037AD4">
              <w:t>749</w:t>
            </w:r>
          </w:p>
        </w:tc>
        <w:tc>
          <w:tcPr>
            <w:tcW w:w="1043" w:type="pct"/>
            <w:tcBorders>
              <w:top w:val="nil"/>
              <w:left w:val="nil"/>
              <w:bottom w:val="nil"/>
              <w:right w:val="nil"/>
            </w:tcBorders>
          </w:tcPr>
          <w:p w14:paraId="52DCD9BD" w14:textId="77777777" w:rsidR="00B54D51" w:rsidRPr="00037AD4" w:rsidRDefault="00B54D51" w:rsidP="00401C67">
            <w:pPr>
              <w:widowControl w:val="0"/>
              <w:autoSpaceDE w:val="0"/>
              <w:autoSpaceDN w:val="0"/>
              <w:adjustRightInd w:val="0"/>
              <w:jc w:val="center"/>
            </w:pPr>
            <w:r w:rsidRPr="00037AD4">
              <w:t>771</w:t>
            </w:r>
          </w:p>
        </w:tc>
        <w:tc>
          <w:tcPr>
            <w:tcW w:w="1043" w:type="pct"/>
            <w:tcBorders>
              <w:top w:val="nil"/>
              <w:left w:val="nil"/>
              <w:bottom w:val="nil"/>
              <w:right w:val="nil"/>
            </w:tcBorders>
          </w:tcPr>
          <w:p w14:paraId="7D9A0F48" w14:textId="77777777" w:rsidR="00B54D51" w:rsidRPr="00037AD4" w:rsidRDefault="00B54D51" w:rsidP="00401C67">
            <w:pPr>
              <w:widowControl w:val="0"/>
              <w:autoSpaceDE w:val="0"/>
              <w:autoSpaceDN w:val="0"/>
              <w:adjustRightInd w:val="0"/>
              <w:jc w:val="center"/>
            </w:pPr>
            <w:r w:rsidRPr="00037AD4">
              <w:t>771</w:t>
            </w:r>
          </w:p>
        </w:tc>
        <w:tc>
          <w:tcPr>
            <w:tcW w:w="981" w:type="pct"/>
            <w:tcBorders>
              <w:top w:val="nil"/>
              <w:left w:val="nil"/>
              <w:bottom w:val="nil"/>
              <w:right w:val="nil"/>
            </w:tcBorders>
          </w:tcPr>
          <w:p w14:paraId="1A494561" w14:textId="77777777" w:rsidR="00B54D51" w:rsidRPr="00037AD4" w:rsidRDefault="00B54D51" w:rsidP="00401C67">
            <w:pPr>
              <w:widowControl w:val="0"/>
              <w:autoSpaceDE w:val="0"/>
              <w:autoSpaceDN w:val="0"/>
              <w:adjustRightInd w:val="0"/>
              <w:jc w:val="center"/>
            </w:pPr>
            <w:r w:rsidRPr="00037AD4">
              <w:t>775</w:t>
            </w:r>
          </w:p>
        </w:tc>
      </w:tr>
      <w:tr w:rsidR="00B54D51" w:rsidRPr="00037AD4" w14:paraId="5B986108" w14:textId="77777777" w:rsidTr="00401C67">
        <w:tblPrEx>
          <w:tblBorders>
            <w:bottom w:val="single" w:sz="6" w:space="0" w:color="auto"/>
          </w:tblBorders>
        </w:tblPrEx>
        <w:trPr>
          <w:jc w:val="center"/>
        </w:trPr>
        <w:tc>
          <w:tcPr>
            <w:tcW w:w="891" w:type="pct"/>
            <w:tcBorders>
              <w:top w:val="nil"/>
              <w:left w:val="nil"/>
              <w:bottom w:val="nil"/>
              <w:right w:val="nil"/>
            </w:tcBorders>
          </w:tcPr>
          <w:p w14:paraId="36BAA827" w14:textId="77777777" w:rsidR="00B54D51" w:rsidRPr="00037AD4" w:rsidRDefault="00B54D51" w:rsidP="00401C67">
            <w:pPr>
              <w:widowControl w:val="0"/>
              <w:autoSpaceDE w:val="0"/>
              <w:autoSpaceDN w:val="0"/>
              <w:adjustRightInd w:val="0"/>
            </w:pPr>
            <w:r w:rsidRPr="00037AD4">
              <w:t>Wald Chi</w:t>
            </w:r>
            <w:r w:rsidRPr="00037AD4">
              <w:rPr>
                <w:vertAlign w:val="superscript"/>
              </w:rPr>
              <w:t>2</w:t>
            </w:r>
          </w:p>
        </w:tc>
        <w:tc>
          <w:tcPr>
            <w:tcW w:w="1043" w:type="pct"/>
            <w:tcBorders>
              <w:top w:val="nil"/>
              <w:left w:val="nil"/>
              <w:bottom w:val="nil"/>
              <w:right w:val="nil"/>
            </w:tcBorders>
          </w:tcPr>
          <w:p w14:paraId="31D1A7E0" w14:textId="77777777" w:rsidR="00B54D51" w:rsidRPr="00037AD4" w:rsidRDefault="00B54D51" w:rsidP="00401C67">
            <w:pPr>
              <w:widowControl w:val="0"/>
              <w:autoSpaceDE w:val="0"/>
              <w:autoSpaceDN w:val="0"/>
              <w:adjustRightInd w:val="0"/>
              <w:jc w:val="center"/>
            </w:pPr>
            <w:r w:rsidRPr="00037AD4">
              <w:t>318.29</w:t>
            </w:r>
          </w:p>
        </w:tc>
        <w:tc>
          <w:tcPr>
            <w:tcW w:w="1043" w:type="pct"/>
            <w:tcBorders>
              <w:top w:val="nil"/>
              <w:left w:val="nil"/>
              <w:bottom w:val="nil"/>
              <w:right w:val="nil"/>
            </w:tcBorders>
          </w:tcPr>
          <w:p w14:paraId="53220FB2" w14:textId="77777777" w:rsidR="00B54D51" w:rsidRPr="00037AD4" w:rsidRDefault="00B54D51" w:rsidP="00401C67">
            <w:pPr>
              <w:widowControl w:val="0"/>
              <w:autoSpaceDE w:val="0"/>
              <w:autoSpaceDN w:val="0"/>
              <w:adjustRightInd w:val="0"/>
              <w:jc w:val="center"/>
            </w:pPr>
            <w:r w:rsidRPr="00037AD4">
              <w:t>82.53</w:t>
            </w:r>
          </w:p>
        </w:tc>
        <w:tc>
          <w:tcPr>
            <w:tcW w:w="1043" w:type="pct"/>
            <w:tcBorders>
              <w:top w:val="nil"/>
              <w:left w:val="nil"/>
              <w:bottom w:val="nil"/>
              <w:right w:val="nil"/>
            </w:tcBorders>
          </w:tcPr>
          <w:p w14:paraId="5CC0F8E7" w14:textId="77777777" w:rsidR="00B54D51" w:rsidRPr="00037AD4" w:rsidRDefault="00B54D51" w:rsidP="00401C67">
            <w:pPr>
              <w:widowControl w:val="0"/>
              <w:autoSpaceDE w:val="0"/>
              <w:autoSpaceDN w:val="0"/>
              <w:adjustRightInd w:val="0"/>
              <w:jc w:val="center"/>
            </w:pPr>
            <w:r w:rsidRPr="00037AD4">
              <w:t>82.93</w:t>
            </w:r>
          </w:p>
        </w:tc>
        <w:tc>
          <w:tcPr>
            <w:tcW w:w="981" w:type="pct"/>
            <w:tcBorders>
              <w:top w:val="nil"/>
              <w:left w:val="nil"/>
              <w:bottom w:val="nil"/>
              <w:right w:val="nil"/>
            </w:tcBorders>
          </w:tcPr>
          <w:p w14:paraId="72199C91" w14:textId="77777777" w:rsidR="00B54D51" w:rsidRPr="00037AD4" w:rsidRDefault="00B54D51" w:rsidP="00401C67">
            <w:pPr>
              <w:widowControl w:val="0"/>
              <w:autoSpaceDE w:val="0"/>
              <w:autoSpaceDN w:val="0"/>
              <w:adjustRightInd w:val="0"/>
              <w:jc w:val="center"/>
            </w:pPr>
            <w:r w:rsidRPr="00037AD4">
              <w:t>79.02</w:t>
            </w:r>
          </w:p>
        </w:tc>
      </w:tr>
      <w:tr w:rsidR="00B54D51" w:rsidRPr="00037AD4" w14:paraId="784A5AD1" w14:textId="77777777" w:rsidTr="00401C67">
        <w:tblPrEx>
          <w:tblBorders>
            <w:bottom w:val="single" w:sz="6" w:space="0" w:color="auto"/>
          </w:tblBorders>
        </w:tblPrEx>
        <w:trPr>
          <w:jc w:val="center"/>
        </w:trPr>
        <w:tc>
          <w:tcPr>
            <w:tcW w:w="891" w:type="pct"/>
            <w:tcBorders>
              <w:top w:val="nil"/>
              <w:left w:val="nil"/>
              <w:bottom w:val="nil"/>
              <w:right w:val="nil"/>
            </w:tcBorders>
          </w:tcPr>
          <w:p w14:paraId="7FCF6192" w14:textId="77777777" w:rsidR="00B54D51" w:rsidRPr="00037AD4" w:rsidRDefault="00B54D51" w:rsidP="00401C67">
            <w:pPr>
              <w:widowControl w:val="0"/>
              <w:autoSpaceDE w:val="0"/>
              <w:autoSpaceDN w:val="0"/>
              <w:adjustRightInd w:val="0"/>
            </w:pPr>
            <w:r w:rsidRPr="00037AD4">
              <w:t>Pseudo R</w:t>
            </w:r>
            <w:r w:rsidRPr="00037AD4">
              <w:rPr>
                <w:vertAlign w:val="superscript"/>
              </w:rPr>
              <w:t>2</w:t>
            </w:r>
          </w:p>
        </w:tc>
        <w:tc>
          <w:tcPr>
            <w:tcW w:w="1043" w:type="pct"/>
            <w:tcBorders>
              <w:top w:val="nil"/>
              <w:left w:val="nil"/>
              <w:bottom w:val="nil"/>
              <w:right w:val="nil"/>
            </w:tcBorders>
          </w:tcPr>
          <w:p w14:paraId="51DF0CEF" w14:textId="77777777" w:rsidR="00B54D51" w:rsidRPr="00037AD4" w:rsidRDefault="00B54D51" w:rsidP="00401C67">
            <w:pPr>
              <w:widowControl w:val="0"/>
              <w:autoSpaceDE w:val="0"/>
              <w:autoSpaceDN w:val="0"/>
              <w:adjustRightInd w:val="0"/>
              <w:jc w:val="center"/>
            </w:pPr>
            <w:r w:rsidRPr="00037AD4">
              <w:t>0.0941</w:t>
            </w:r>
          </w:p>
        </w:tc>
        <w:tc>
          <w:tcPr>
            <w:tcW w:w="1043" w:type="pct"/>
            <w:tcBorders>
              <w:top w:val="nil"/>
              <w:left w:val="nil"/>
              <w:bottom w:val="nil"/>
              <w:right w:val="nil"/>
            </w:tcBorders>
          </w:tcPr>
          <w:p w14:paraId="75000011" w14:textId="77777777" w:rsidR="00B54D51" w:rsidRPr="00037AD4" w:rsidRDefault="00B54D51" w:rsidP="00401C67">
            <w:pPr>
              <w:widowControl w:val="0"/>
              <w:autoSpaceDE w:val="0"/>
              <w:autoSpaceDN w:val="0"/>
              <w:adjustRightInd w:val="0"/>
              <w:jc w:val="center"/>
            </w:pPr>
            <w:r w:rsidRPr="00037AD4">
              <w:t>0.0576</w:t>
            </w:r>
          </w:p>
        </w:tc>
        <w:tc>
          <w:tcPr>
            <w:tcW w:w="1043" w:type="pct"/>
            <w:tcBorders>
              <w:top w:val="nil"/>
              <w:left w:val="nil"/>
              <w:bottom w:val="nil"/>
              <w:right w:val="nil"/>
            </w:tcBorders>
          </w:tcPr>
          <w:p w14:paraId="1C0F84D0" w14:textId="77777777" w:rsidR="00B54D51" w:rsidRPr="00037AD4" w:rsidRDefault="00B54D51" w:rsidP="00401C67">
            <w:pPr>
              <w:widowControl w:val="0"/>
              <w:autoSpaceDE w:val="0"/>
              <w:autoSpaceDN w:val="0"/>
              <w:adjustRightInd w:val="0"/>
              <w:jc w:val="center"/>
            </w:pPr>
            <w:r w:rsidRPr="00037AD4">
              <w:t>0.0574</w:t>
            </w:r>
          </w:p>
        </w:tc>
        <w:tc>
          <w:tcPr>
            <w:tcW w:w="981" w:type="pct"/>
            <w:tcBorders>
              <w:top w:val="nil"/>
              <w:left w:val="nil"/>
              <w:bottom w:val="nil"/>
              <w:right w:val="nil"/>
            </w:tcBorders>
          </w:tcPr>
          <w:p w14:paraId="1A66E420" w14:textId="77777777" w:rsidR="00B54D51" w:rsidRPr="00037AD4" w:rsidRDefault="00B54D51" w:rsidP="00401C67">
            <w:pPr>
              <w:widowControl w:val="0"/>
              <w:autoSpaceDE w:val="0"/>
              <w:autoSpaceDN w:val="0"/>
              <w:adjustRightInd w:val="0"/>
              <w:jc w:val="center"/>
            </w:pPr>
            <w:r w:rsidRPr="00037AD4">
              <w:t>0.0502</w:t>
            </w:r>
          </w:p>
        </w:tc>
      </w:tr>
      <w:tr w:rsidR="00B54D51" w:rsidRPr="00037AD4" w14:paraId="3F166D10" w14:textId="77777777" w:rsidTr="00401C67">
        <w:tblPrEx>
          <w:tblBorders>
            <w:bottom w:val="single" w:sz="6" w:space="0" w:color="auto"/>
          </w:tblBorders>
        </w:tblPrEx>
        <w:trPr>
          <w:jc w:val="center"/>
        </w:trPr>
        <w:tc>
          <w:tcPr>
            <w:tcW w:w="891" w:type="pct"/>
            <w:tcBorders>
              <w:top w:val="nil"/>
              <w:left w:val="nil"/>
              <w:bottom w:val="nil"/>
              <w:right w:val="nil"/>
            </w:tcBorders>
          </w:tcPr>
          <w:p w14:paraId="578AF0CC" w14:textId="77777777" w:rsidR="00B54D51" w:rsidRPr="00037AD4" w:rsidRDefault="00B54D51" w:rsidP="00401C67">
            <w:pPr>
              <w:widowControl w:val="0"/>
              <w:autoSpaceDE w:val="0"/>
              <w:autoSpaceDN w:val="0"/>
              <w:adjustRightInd w:val="0"/>
            </w:pPr>
            <w:r w:rsidRPr="00037AD4">
              <w:t>AIC</w:t>
            </w:r>
          </w:p>
        </w:tc>
        <w:tc>
          <w:tcPr>
            <w:tcW w:w="1043" w:type="pct"/>
            <w:tcBorders>
              <w:top w:val="nil"/>
              <w:left w:val="nil"/>
              <w:bottom w:val="nil"/>
              <w:right w:val="nil"/>
            </w:tcBorders>
          </w:tcPr>
          <w:p w14:paraId="0844991B" w14:textId="77777777" w:rsidR="00B54D51" w:rsidRPr="00037AD4" w:rsidRDefault="00B54D51" w:rsidP="00401C67">
            <w:pPr>
              <w:widowControl w:val="0"/>
              <w:autoSpaceDE w:val="0"/>
              <w:autoSpaceDN w:val="0"/>
              <w:adjustRightInd w:val="0"/>
              <w:jc w:val="center"/>
            </w:pPr>
            <w:r w:rsidRPr="00037AD4">
              <w:t>1358.359</w:t>
            </w:r>
          </w:p>
        </w:tc>
        <w:tc>
          <w:tcPr>
            <w:tcW w:w="1043" w:type="pct"/>
            <w:tcBorders>
              <w:top w:val="nil"/>
              <w:left w:val="nil"/>
              <w:bottom w:val="nil"/>
              <w:right w:val="nil"/>
            </w:tcBorders>
          </w:tcPr>
          <w:p w14:paraId="4AB24FDD" w14:textId="77777777" w:rsidR="00B54D51" w:rsidRPr="00037AD4" w:rsidRDefault="00B54D51" w:rsidP="00401C67">
            <w:pPr>
              <w:widowControl w:val="0"/>
              <w:autoSpaceDE w:val="0"/>
              <w:autoSpaceDN w:val="0"/>
              <w:adjustRightInd w:val="0"/>
              <w:jc w:val="center"/>
            </w:pPr>
            <w:r w:rsidRPr="00037AD4">
              <w:t>1443.861</w:t>
            </w:r>
          </w:p>
        </w:tc>
        <w:tc>
          <w:tcPr>
            <w:tcW w:w="1043" w:type="pct"/>
            <w:tcBorders>
              <w:top w:val="nil"/>
              <w:left w:val="nil"/>
              <w:bottom w:val="nil"/>
              <w:right w:val="nil"/>
            </w:tcBorders>
          </w:tcPr>
          <w:p w14:paraId="35AEADD3" w14:textId="77777777" w:rsidR="00B54D51" w:rsidRPr="00037AD4" w:rsidRDefault="00B54D51" w:rsidP="00401C67">
            <w:pPr>
              <w:widowControl w:val="0"/>
              <w:autoSpaceDE w:val="0"/>
              <w:autoSpaceDN w:val="0"/>
              <w:adjustRightInd w:val="0"/>
              <w:jc w:val="center"/>
            </w:pPr>
            <w:r w:rsidRPr="00037AD4">
              <w:t>1442.202</w:t>
            </w:r>
          </w:p>
        </w:tc>
        <w:tc>
          <w:tcPr>
            <w:tcW w:w="981" w:type="pct"/>
            <w:tcBorders>
              <w:top w:val="nil"/>
              <w:left w:val="nil"/>
              <w:bottom w:val="nil"/>
              <w:right w:val="nil"/>
            </w:tcBorders>
          </w:tcPr>
          <w:p w14:paraId="094F37A5" w14:textId="77777777" w:rsidR="00B54D51" w:rsidRPr="00037AD4" w:rsidRDefault="00B54D51" w:rsidP="00401C67">
            <w:pPr>
              <w:widowControl w:val="0"/>
              <w:autoSpaceDE w:val="0"/>
              <w:autoSpaceDN w:val="0"/>
              <w:adjustRightInd w:val="0"/>
              <w:jc w:val="center"/>
            </w:pPr>
            <w:r w:rsidRPr="00037AD4">
              <w:t>1453.083</w:t>
            </w:r>
          </w:p>
        </w:tc>
      </w:tr>
      <w:tr w:rsidR="00B54D51" w:rsidRPr="00037AD4" w14:paraId="5C7A9424" w14:textId="77777777" w:rsidTr="00401C67">
        <w:tblPrEx>
          <w:tblBorders>
            <w:bottom w:val="single" w:sz="6" w:space="0" w:color="auto"/>
          </w:tblBorders>
        </w:tblPrEx>
        <w:trPr>
          <w:jc w:val="center"/>
        </w:trPr>
        <w:tc>
          <w:tcPr>
            <w:tcW w:w="891" w:type="pct"/>
            <w:tcBorders>
              <w:top w:val="nil"/>
              <w:left w:val="nil"/>
              <w:bottom w:val="nil"/>
              <w:right w:val="nil"/>
            </w:tcBorders>
          </w:tcPr>
          <w:p w14:paraId="5A62DA86" w14:textId="77777777" w:rsidR="00B54D51" w:rsidRPr="00037AD4" w:rsidRDefault="00B54D51" w:rsidP="00401C67">
            <w:pPr>
              <w:widowControl w:val="0"/>
              <w:autoSpaceDE w:val="0"/>
              <w:autoSpaceDN w:val="0"/>
              <w:adjustRightInd w:val="0"/>
            </w:pPr>
            <w:r w:rsidRPr="00037AD4">
              <w:t>BIC</w:t>
            </w:r>
          </w:p>
        </w:tc>
        <w:tc>
          <w:tcPr>
            <w:tcW w:w="1043" w:type="pct"/>
            <w:tcBorders>
              <w:top w:val="nil"/>
              <w:left w:val="nil"/>
              <w:bottom w:val="nil"/>
              <w:right w:val="nil"/>
            </w:tcBorders>
          </w:tcPr>
          <w:p w14:paraId="1D662D1C" w14:textId="77777777" w:rsidR="00B54D51" w:rsidRPr="00037AD4" w:rsidRDefault="00B54D51" w:rsidP="00401C67">
            <w:pPr>
              <w:widowControl w:val="0"/>
              <w:autoSpaceDE w:val="0"/>
              <w:autoSpaceDN w:val="0"/>
              <w:adjustRightInd w:val="0"/>
              <w:jc w:val="center"/>
            </w:pPr>
            <w:r w:rsidRPr="00037AD4">
              <w:t>1501.54</w:t>
            </w:r>
          </w:p>
        </w:tc>
        <w:tc>
          <w:tcPr>
            <w:tcW w:w="1043" w:type="pct"/>
            <w:tcBorders>
              <w:top w:val="nil"/>
              <w:left w:val="nil"/>
              <w:bottom w:val="nil"/>
              <w:right w:val="nil"/>
            </w:tcBorders>
          </w:tcPr>
          <w:p w14:paraId="73DD4A42" w14:textId="77777777" w:rsidR="00B54D51" w:rsidRPr="00037AD4" w:rsidRDefault="00B54D51" w:rsidP="00401C67">
            <w:pPr>
              <w:widowControl w:val="0"/>
              <w:autoSpaceDE w:val="0"/>
              <w:autoSpaceDN w:val="0"/>
              <w:adjustRightInd w:val="0"/>
              <w:jc w:val="center"/>
            </w:pPr>
            <w:r w:rsidRPr="00037AD4">
              <w:t>1499.633</w:t>
            </w:r>
          </w:p>
        </w:tc>
        <w:tc>
          <w:tcPr>
            <w:tcW w:w="1043" w:type="pct"/>
            <w:tcBorders>
              <w:top w:val="nil"/>
              <w:left w:val="nil"/>
              <w:bottom w:val="nil"/>
              <w:right w:val="nil"/>
            </w:tcBorders>
          </w:tcPr>
          <w:p w14:paraId="0B76C3EF" w14:textId="77777777" w:rsidR="00B54D51" w:rsidRPr="00037AD4" w:rsidRDefault="00B54D51" w:rsidP="00401C67">
            <w:pPr>
              <w:widowControl w:val="0"/>
              <w:autoSpaceDE w:val="0"/>
              <w:autoSpaceDN w:val="0"/>
              <w:adjustRightInd w:val="0"/>
              <w:jc w:val="center"/>
            </w:pPr>
            <w:r w:rsidRPr="00037AD4">
              <w:t>1493.326</w:t>
            </w:r>
          </w:p>
        </w:tc>
        <w:tc>
          <w:tcPr>
            <w:tcW w:w="981" w:type="pct"/>
            <w:tcBorders>
              <w:top w:val="nil"/>
              <w:left w:val="nil"/>
              <w:bottom w:val="nil"/>
              <w:right w:val="nil"/>
            </w:tcBorders>
          </w:tcPr>
          <w:p w14:paraId="66476856" w14:textId="77777777" w:rsidR="00B54D51" w:rsidRPr="00037AD4" w:rsidRDefault="00B54D51" w:rsidP="00401C67">
            <w:pPr>
              <w:widowControl w:val="0"/>
              <w:autoSpaceDE w:val="0"/>
              <w:autoSpaceDN w:val="0"/>
              <w:adjustRightInd w:val="0"/>
              <w:jc w:val="center"/>
            </w:pPr>
            <w:r w:rsidRPr="00037AD4">
              <w:t>1499.612</w:t>
            </w:r>
          </w:p>
        </w:tc>
      </w:tr>
      <w:tr w:rsidR="00B54D51" w:rsidRPr="00037AD4" w14:paraId="431EF658" w14:textId="77777777" w:rsidTr="00401C67">
        <w:tblPrEx>
          <w:tblBorders>
            <w:bottom w:val="single" w:sz="6" w:space="0" w:color="auto"/>
          </w:tblBorders>
        </w:tblPrEx>
        <w:trPr>
          <w:jc w:val="center"/>
        </w:trPr>
        <w:tc>
          <w:tcPr>
            <w:tcW w:w="891" w:type="pct"/>
            <w:tcBorders>
              <w:top w:val="nil"/>
              <w:left w:val="nil"/>
              <w:bottom w:val="single" w:sz="6" w:space="0" w:color="auto"/>
              <w:right w:val="nil"/>
            </w:tcBorders>
          </w:tcPr>
          <w:p w14:paraId="65920E4E" w14:textId="77777777" w:rsidR="00B54D51" w:rsidRPr="00037AD4" w:rsidRDefault="00B54D51" w:rsidP="00401C67">
            <w:pPr>
              <w:widowControl w:val="0"/>
              <w:autoSpaceDE w:val="0"/>
              <w:autoSpaceDN w:val="0"/>
              <w:adjustRightInd w:val="0"/>
            </w:pPr>
            <w:r w:rsidRPr="00037AD4">
              <w:t xml:space="preserve">Log likelihood (model) </w:t>
            </w:r>
          </w:p>
        </w:tc>
        <w:tc>
          <w:tcPr>
            <w:tcW w:w="1043" w:type="pct"/>
            <w:tcBorders>
              <w:top w:val="nil"/>
              <w:left w:val="nil"/>
              <w:bottom w:val="single" w:sz="6" w:space="0" w:color="auto"/>
              <w:right w:val="nil"/>
            </w:tcBorders>
          </w:tcPr>
          <w:p w14:paraId="2F3BAF63" w14:textId="77777777" w:rsidR="00B54D51" w:rsidRPr="00037AD4" w:rsidRDefault="00B54D51" w:rsidP="00401C67">
            <w:pPr>
              <w:widowControl w:val="0"/>
              <w:autoSpaceDE w:val="0"/>
              <w:autoSpaceDN w:val="0"/>
              <w:adjustRightInd w:val="0"/>
              <w:jc w:val="center"/>
            </w:pPr>
            <w:r w:rsidRPr="00037AD4">
              <w:t>-648.180</w:t>
            </w:r>
          </w:p>
        </w:tc>
        <w:tc>
          <w:tcPr>
            <w:tcW w:w="1043" w:type="pct"/>
            <w:tcBorders>
              <w:top w:val="nil"/>
              <w:left w:val="nil"/>
              <w:bottom w:val="single" w:sz="6" w:space="0" w:color="auto"/>
              <w:right w:val="nil"/>
            </w:tcBorders>
          </w:tcPr>
          <w:p w14:paraId="1FC435C5" w14:textId="77777777" w:rsidR="00B54D51" w:rsidRPr="00037AD4" w:rsidRDefault="00B54D51" w:rsidP="00401C67">
            <w:pPr>
              <w:widowControl w:val="0"/>
              <w:autoSpaceDE w:val="0"/>
              <w:autoSpaceDN w:val="0"/>
              <w:adjustRightInd w:val="0"/>
              <w:jc w:val="center"/>
            </w:pPr>
            <w:r w:rsidRPr="00037AD4">
              <w:t>-709.931</w:t>
            </w:r>
          </w:p>
        </w:tc>
        <w:tc>
          <w:tcPr>
            <w:tcW w:w="1043" w:type="pct"/>
            <w:tcBorders>
              <w:top w:val="nil"/>
              <w:left w:val="nil"/>
              <w:bottom w:val="single" w:sz="6" w:space="0" w:color="auto"/>
              <w:right w:val="nil"/>
            </w:tcBorders>
          </w:tcPr>
          <w:p w14:paraId="454F8103" w14:textId="77777777" w:rsidR="00B54D51" w:rsidRPr="00037AD4" w:rsidRDefault="00B54D51" w:rsidP="00401C67">
            <w:pPr>
              <w:widowControl w:val="0"/>
              <w:autoSpaceDE w:val="0"/>
              <w:autoSpaceDN w:val="0"/>
              <w:adjustRightInd w:val="0"/>
              <w:jc w:val="center"/>
            </w:pPr>
            <w:r w:rsidRPr="00037AD4">
              <w:t>-710.101</w:t>
            </w:r>
          </w:p>
        </w:tc>
        <w:tc>
          <w:tcPr>
            <w:tcW w:w="981" w:type="pct"/>
            <w:tcBorders>
              <w:top w:val="nil"/>
              <w:left w:val="nil"/>
              <w:bottom w:val="single" w:sz="6" w:space="0" w:color="auto"/>
              <w:right w:val="nil"/>
            </w:tcBorders>
          </w:tcPr>
          <w:p w14:paraId="16151DA5" w14:textId="77777777" w:rsidR="00B54D51" w:rsidRPr="00037AD4" w:rsidRDefault="00B54D51" w:rsidP="00401C67">
            <w:pPr>
              <w:widowControl w:val="0"/>
              <w:autoSpaceDE w:val="0"/>
              <w:autoSpaceDN w:val="0"/>
              <w:adjustRightInd w:val="0"/>
              <w:jc w:val="center"/>
            </w:pPr>
            <w:r w:rsidRPr="00037AD4">
              <w:t>-716.542</w:t>
            </w:r>
          </w:p>
        </w:tc>
      </w:tr>
    </w:tbl>
    <w:p w14:paraId="15DD58AD" w14:textId="77777777" w:rsidR="00B54D51" w:rsidRPr="00037AD4" w:rsidRDefault="00B54D51" w:rsidP="001D7ACE">
      <w:pPr>
        <w:widowControl w:val="0"/>
        <w:autoSpaceDE w:val="0"/>
        <w:autoSpaceDN w:val="0"/>
        <w:adjustRightInd w:val="0"/>
        <w:jc w:val="center"/>
      </w:pPr>
      <w:r w:rsidRPr="00037AD4">
        <w:t>Robust ci in parentheses</w:t>
      </w:r>
    </w:p>
    <w:p w14:paraId="679F9BFE" w14:textId="77777777" w:rsidR="00B54D51" w:rsidRPr="00037AD4" w:rsidRDefault="00B54D51" w:rsidP="001D7ACE">
      <w:pPr>
        <w:widowControl w:val="0"/>
        <w:autoSpaceDE w:val="0"/>
        <w:autoSpaceDN w:val="0"/>
        <w:adjustRightInd w:val="0"/>
        <w:jc w:val="center"/>
      </w:pPr>
      <w:r w:rsidRPr="00037AD4">
        <w:t>*** p&lt;0.01, ** p&lt;0.05, * p&lt;0.1</w:t>
      </w:r>
    </w:p>
    <w:p w14:paraId="7130537C" w14:textId="77777777" w:rsidR="00B54D51" w:rsidRPr="00037AD4" w:rsidRDefault="00B54D51" w:rsidP="001D7ACE">
      <w:pPr>
        <w:rPr>
          <w:rFonts w:asciiTheme="minorHAnsi" w:hAnsiTheme="minorHAnsi" w:cstheme="minorHAnsi"/>
          <w:color w:val="FF0000"/>
          <w:u w:val="single"/>
        </w:rPr>
      </w:pPr>
    </w:p>
    <w:p w14:paraId="65FFB1AF" w14:textId="77777777" w:rsidR="00B54D51" w:rsidRPr="00037AD4" w:rsidRDefault="00B54D51" w:rsidP="001D7ACE">
      <w:pPr>
        <w:rPr>
          <w:rFonts w:asciiTheme="minorHAnsi" w:hAnsiTheme="minorHAnsi" w:cstheme="minorHAnsi"/>
          <w:u w:val="single"/>
        </w:rPr>
      </w:pPr>
      <w:bookmarkStart w:id="537" w:name="Tablea62i"/>
      <w:r w:rsidRPr="00037AD4">
        <w:rPr>
          <w:rFonts w:asciiTheme="minorHAnsi" w:hAnsiTheme="minorHAnsi" w:cstheme="minorHAnsi"/>
          <w:u w:val="single"/>
        </w:rPr>
        <w:t xml:space="preserve">Table </w:t>
      </w:r>
      <w:r w:rsidRPr="00037AD4">
        <w:rPr>
          <w:rFonts w:asciiTheme="minorHAnsi" w:hAnsiTheme="minorHAnsi" w:cstheme="minorHAnsi"/>
          <w:color w:val="000000" w:themeColor="text1"/>
          <w:u w:val="single"/>
        </w:rPr>
        <w:t>A6.2i</w:t>
      </w:r>
      <w:r w:rsidRPr="00037AD4">
        <w:rPr>
          <w:rFonts w:asciiTheme="minorHAnsi" w:hAnsiTheme="minorHAnsi" w:cstheme="minorHAnsi"/>
          <w:u w:val="single"/>
        </w:rPr>
        <w:t>, Summary table of coefficients for the selected “usual activities” models</w:t>
      </w:r>
      <w:bookmarkEnd w:id="537"/>
    </w:p>
    <w:p w14:paraId="1D50674F" w14:textId="77777777" w:rsidR="00B54D51" w:rsidRPr="00037AD4" w:rsidRDefault="00B54D51" w:rsidP="001D7ACE">
      <w:pPr>
        <w:rPr>
          <w:rFonts w:asciiTheme="minorHAnsi" w:hAnsiTheme="minorHAnsi" w:cstheme="minorHAnsi"/>
          <w:color w:val="FF0000"/>
          <w:u w:val="single"/>
        </w:rPr>
      </w:pPr>
    </w:p>
    <w:tbl>
      <w:tblPr>
        <w:tblStyle w:val="TableGrid"/>
        <w:tblW w:w="0" w:type="auto"/>
        <w:tblLook w:val="04A0" w:firstRow="1" w:lastRow="0" w:firstColumn="1" w:lastColumn="0" w:noHBand="0" w:noVBand="1"/>
      </w:tblPr>
      <w:tblGrid>
        <w:gridCol w:w="3005"/>
        <w:gridCol w:w="3005"/>
        <w:gridCol w:w="3006"/>
      </w:tblGrid>
      <w:tr w:rsidR="00B54D51" w:rsidRPr="00037AD4" w14:paraId="79CB112E" w14:textId="77777777" w:rsidTr="00401C67">
        <w:tc>
          <w:tcPr>
            <w:tcW w:w="3005" w:type="dxa"/>
          </w:tcPr>
          <w:p w14:paraId="3098084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Regression variables </w:t>
            </w:r>
          </w:p>
        </w:tc>
        <w:tc>
          <w:tcPr>
            <w:tcW w:w="3005" w:type="dxa"/>
          </w:tcPr>
          <w:p w14:paraId="5382900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ACTIFCARE</w:t>
            </w:r>
          </w:p>
        </w:tc>
        <w:tc>
          <w:tcPr>
            <w:tcW w:w="3006" w:type="dxa"/>
          </w:tcPr>
          <w:p w14:paraId="52DCC05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EPIC</w:t>
            </w:r>
          </w:p>
        </w:tc>
      </w:tr>
      <w:tr w:rsidR="00B54D51" w:rsidRPr="00037AD4" w14:paraId="27BD2024" w14:textId="77777777" w:rsidTr="00401C67">
        <w:tc>
          <w:tcPr>
            <w:tcW w:w="3005" w:type="dxa"/>
          </w:tcPr>
          <w:p w14:paraId="7E5F1A8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Usual activities (2)</w:t>
            </w:r>
          </w:p>
        </w:tc>
        <w:tc>
          <w:tcPr>
            <w:tcW w:w="3005" w:type="dxa"/>
          </w:tcPr>
          <w:p w14:paraId="2189A0F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0.321*</w:t>
            </w:r>
          </w:p>
        </w:tc>
        <w:tc>
          <w:tcPr>
            <w:tcW w:w="3006" w:type="dxa"/>
          </w:tcPr>
          <w:p w14:paraId="37F0B0D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0.278*</w:t>
            </w:r>
          </w:p>
        </w:tc>
      </w:tr>
      <w:tr w:rsidR="00B54D51" w:rsidRPr="00037AD4" w14:paraId="73DE4CF8" w14:textId="77777777" w:rsidTr="00401C67">
        <w:tc>
          <w:tcPr>
            <w:tcW w:w="3005" w:type="dxa"/>
          </w:tcPr>
          <w:p w14:paraId="1D86DE7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Usual activities (3)</w:t>
            </w:r>
          </w:p>
        </w:tc>
        <w:tc>
          <w:tcPr>
            <w:tcW w:w="3005" w:type="dxa"/>
          </w:tcPr>
          <w:p w14:paraId="5A116FD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0.542*</w:t>
            </w:r>
          </w:p>
        </w:tc>
        <w:tc>
          <w:tcPr>
            <w:tcW w:w="3006" w:type="dxa"/>
          </w:tcPr>
          <w:p w14:paraId="69FB970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0.500*</w:t>
            </w:r>
          </w:p>
        </w:tc>
      </w:tr>
      <w:tr w:rsidR="00B54D51" w:rsidRPr="00037AD4" w14:paraId="29335809" w14:textId="77777777" w:rsidTr="00401C67">
        <w:tc>
          <w:tcPr>
            <w:tcW w:w="3005" w:type="dxa"/>
          </w:tcPr>
          <w:p w14:paraId="323BCD5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Usual activities (4)</w:t>
            </w:r>
          </w:p>
        </w:tc>
        <w:tc>
          <w:tcPr>
            <w:tcW w:w="3005" w:type="dxa"/>
          </w:tcPr>
          <w:p w14:paraId="3B41573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1.038*</w:t>
            </w:r>
          </w:p>
        </w:tc>
        <w:tc>
          <w:tcPr>
            <w:tcW w:w="3006" w:type="dxa"/>
          </w:tcPr>
          <w:p w14:paraId="54BB1C2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1.251*</w:t>
            </w:r>
          </w:p>
        </w:tc>
      </w:tr>
      <w:tr w:rsidR="00B54D51" w:rsidRPr="00037AD4" w14:paraId="47DF2491" w14:textId="77777777" w:rsidTr="00401C67">
        <w:tc>
          <w:tcPr>
            <w:tcW w:w="3005" w:type="dxa"/>
          </w:tcPr>
          <w:p w14:paraId="31C52BA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Usual activities (5)</w:t>
            </w:r>
          </w:p>
        </w:tc>
        <w:tc>
          <w:tcPr>
            <w:tcW w:w="3005" w:type="dxa"/>
          </w:tcPr>
          <w:p w14:paraId="7427C1F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0.980*</w:t>
            </w:r>
          </w:p>
        </w:tc>
        <w:tc>
          <w:tcPr>
            <w:tcW w:w="3006" w:type="dxa"/>
          </w:tcPr>
          <w:p w14:paraId="3447F71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1.141*</w:t>
            </w:r>
          </w:p>
        </w:tc>
      </w:tr>
      <w:tr w:rsidR="00B54D51" w:rsidRPr="00037AD4" w14:paraId="5ED8152A" w14:textId="77777777" w:rsidTr="00401C67">
        <w:tc>
          <w:tcPr>
            <w:tcW w:w="3005" w:type="dxa"/>
          </w:tcPr>
          <w:p w14:paraId="568AA82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Function</w:t>
            </w:r>
          </w:p>
        </w:tc>
        <w:tc>
          <w:tcPr>
            <w:tcW w:w="3005" w:type="dxa"/>
          </w:tcPr>
          <w:p w14:paraId="2061424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-0.258*</w:t>
            </w:r>
          </w:p>
        </w:tc>
        <w:tc>
          <w:tcPr>
            <w:tcW w:w="3006" w:type="dxa"/>
          </w:tcPr>
          <w:p w14:paraId="4E383F1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0.302*</w:t>
            </w:r>
          </w:p>
        </w:tc>
      </w:tr>
      <w:tr w:rsidR="00B54D51" w:rsidRPr="00037AD4" w14:paraId="2C025B9F" w14:textId="77777777" w:rsidTr="00401C67">
        <w:tc>
          <w:tcPr>
            <w:tcW w:w="3005" w:type="dxa"/>
          </w:tcPr>
          <w:p w14:paraId="22B0C99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NPI</w:t>
            </w:r>
          </w:p>
        </w:tc>
        <w:tc>
          <w:tcPr>
            <w:tcW w:w="3005" w:type="dxa"/>
          </w:tcPr>
          <w:p w14:paraId="733398A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0.009</w:t>
            </w:r>
          </w:p>
        </w:tc>
        <w:tc>
          <w:tcPr>
            <w:tcW w:w="3006" w:type="dxa"/>
          </w:tcPr>
          <w:p w14:paraId="1D74FC5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0.018*</w:t>
            </w:r>
          </w:p>
        </w:tc>
      </w:tr>
      <w:tr w:rsidR="00B54D51" w:rsidRPr="00037AD4" w14:paraId="14F5C3B7" w14:textId="77777777" w:rsidTr="00401C67">
        <w:tc>
          <w:tcPr>
            <w:tcW w:w="3005" w:type="dxa"/>
          </w:tcPr>
          <w:p w14:paraId="7181A27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PwD age</w:t>
            </w:r>
          </w:p>
        </w:tc>
        <w:tc>
          <w:tcPr>
            <w:tcW w:w="3005" w:type="dxa"/>
          </w:tcPr>
          <w:p w14:paraId="1541FEC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0.002</w:t>
            </w:r>
          </w:p>
        </w:tc>
        <w:tc>
          <w:tcPr>
            <w:tcW w:w="3006" w:type="dxa"/>
          </w:tcPr>
          <w:p w14:paraId="1FD6F80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-0.004</w:t>
            </w:r>
          </w:p>
        </w:tc>
      </w:tr>
      <w:tr w:rsidR="00B54D51" w:rsidRPr="00037AD4" w14:paraId="1DCFB0C9" w14:textId="77777777" w:rsidTr="00401C67">
        <w:tc>
          <w:tcPr>
            <w:tcW w:w="3005" w:type="dxa"/>
          </w:tcPr>
          <w:p w14:paraId="33620C8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PwD sex </w:t>
            </w:r>
          </w:p>
        </w:tc>
        <w:tc>
          <w:tcPr>
            <w:tcW w:w="3005" w:type="dxa"/>
          </w:tcPr>
          <w:p w14:paraId="5387C16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0.262*</w:t>
            </w:r>
          </w:p>
        </w:tc>
        <w:tc>
          <w:tcPr>
            <w:tcW w:w="3006" w:type="dxa"/>
          </w:tcPr>
          <w:p w14:paraId="1A1474C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0.128</w:t>
            </w:r>
          </w:p>
        </w:tc>
      </w:tr>
      <w:tr w:rsidR="00B54D51" w:rsidRPr="00037AD4" w14:paraId="7551945B" w14:textId="77777777" w:rsidTr="00401C67">
        <w:tc>
          <w:tcPr>
            <w:tcW w:w="3005" w:type="dxa"/>
          </w:tcPr>
          <w:p w14:paraId="43BDC9F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MMSE</w:t>
            </w:r>
          </w:p>
        </w:tc>
        <w:tc>
          <w:tcPr>
            <w:tcW w:w="3005" w:type="dxa"/>
          </w:tcPr>
          <w:p w14:paraId="62FAC6E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-0.001</w:t>
            </w:r>
          </w:p>
        </w:tc>
        <w:tc>
          <w:tcPr>
            <w:tcW w:w="3006" w:type="dxa"/>
          </w:tcPr>
          <w:p w14:paraId="49AC62A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w:t>
            </w:r>
          </w:p>
        </w:tc>
      </w:tr>
      <w:tr w:rsidR="00B54D51" w:rsidRPr="00037AD4" w14:paraId="77736B98" w14:textId="77777777" w:rsidTr="00401C67">
        <w:tc>
          <w:tcPr>
            <w:tcW w:w="3005" w:type="dxa"/>
          </w:tcPr>
          <w:p w14:paraId="55B5524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Model fit statistics </w:t>
            </w:r>
          </w:p>
        </w:tc>
        <w:tc>
          <w:tcPr>
            <w:tcW w:w="3005" w:type="dxa"/>
          </w:tcPr>
          <w:p w14:paraId="28226B4D" w14:textId="77777777" w:rsidR="00B54D51" w:rsidRPr="00037AD4" w:rsidRDefault="00B54D51" w:rsidP="00401C67">
            <w:pPr>
              <w:pStyle w:val="ListParagraph"/>
              <w:ind w:left="0"/>
              <w:rPr>
                <w:rFonts w:cstheme="minorHAnsi"/>
                <w:sz w:val="22"/>
                <w:szCs w:val="22"/>
              </w:rPr>
            </w:pPr>
            <w:r w:rsidRPr="00037AD4">
              <w:rPr>
                <w:rFonts w:cstheme="minorHAnsi"/>
                <w:sz w:val="22"/>
                <w:szCs w:val="22"/>
              </w:rPr>
              <w:t>AIC: 2594.979; BIC: 2658.41</w:t>
            </w:r>
          </w:p>
          <w:p w14:paraId="4B7B25F7" w14:textId="77777777" w:rsidR="00B54D51" w:rsidRPr="00037AD4" w:rsidRDefault="00B54D51" w:rsidP="00401C67">
            <w:pPr>
              <w:pStyle w:val="ListParagraph"/>
              <w:ind w:left="0"/>
              <w:rPr>
                <w:rFonts w:cstheme="minorHAnsi"/>
                <w:sz w:val="22"/>
                <w:szCs w:val="22"/>
              </w:rPr>
            </w:pPr>
            <w:r w:rsidRPr="00037AD4">
              <w:rPr>
                <w:rFonts w:cstheme="minorHAnsi"/>
                <w:sz w:val="22"/>
                <w:szCs w:val="22"/>
              </w:rPr>
              <w:t>Ll(model): -1248.489</w:t>
            </w:r>
          </w:p>
        </w:tc>
        <w:tc>
          <w:tcPr>
            <w:tcW w:w="3006" w:type="dxa"/>
          </w:tcPr>
          <w:p w14:paraId="4E6C4906" w14:textId="77777777" w:rsidR="00B54D51" w:rsidRPr="00037AD4" w:rsidRDefault="00B54D51" w:rsidP="00401C67">
            <w:pPr>
              <w:pStyle w:val="ListParagraph"/>
              <w:ind w:left="0"/>
              <w:rPr>
                <w:rFonts w:cstheme="minorHAnsi"/>
                <w:sz w:val="22"/>
                <w:szCs w:val="22"/>
              </w:rPr>
            </w:pPr>
            <w:r w:rsidRPr="00037AD4">
              <w:rPr>
                <w:rFonts w:cstheme="minorHAnsi"/>
                <w:sz w:val="22"/>
                <w:szCs w:val="22"/>
              </w:rPr>
              <w:t>AIC: 1443.861; BIC: 1499.633</w:t>
            </w:r>
          </w:p>
          <w:p w14:paraId="2B3A5248" w14:textId="77777777" w:rsidR="00B54D51" w:rsidRPr="00037AD4" w:rsidRDefault="00B54D51" w:rsidP="00401C67">
            <w:pPr>
              <w:pStyle w:val="ListParagraph"/>
              <w:ind w:left="0"/>
              <w:rPr>
                <w:rFonts w:cstheme="minorHAnsi"/>
                <w:sz w:val="22"/>
                <w:szCs w:val="22"/>
              </w:rPr>
            </w:pPr>
            <w:r w:rsidRPr="00037AD4">
              <w:rPr>
                <w:rFonts w:cstheme="minorHAnsi"/>
                <w:sz w:val="22"/>
                <w:szCs w:val="22"/>
              </w:rPr>
              <w:t>Ll(model): -709.931</w:t>
            </w:r>
          </w:p>
        </w:tc>
      </w:tr>
    </w:tbl>
    <w:p w14:paraId="21F3A573" w14:textId="77777777" w:rsidR="00B54D51" w:rsidRPr="00037AD4" w:rsidRDefault="00B54D51" w:rsidP="001D7ACE">
      <w:pPr>
        <w:rPr>
          <w:rFonts w:asciiTheme="minorHAnsi" w:hAnsiTheme="minorHAnsi" w:cstheme="minorHAnsi"/>
          <w:color w:val="FF0000"/>
          <w:u w:val="single"/>
        </w:rPr>
      </w:pPr>
    </w:p>
    <w:p w14:paraId="1B1EF0BD" w14:textId="77777777" w:rsidR="00B54D51" w:rsidRPr="00037AD4" w:rsidRDefault="00B54D51" w:rsidP="001D7ACE">
      <w:pPr>
        <w:rPr>
          <w:rFonts w:asciiTheme="minorHAnsi" w:hAnsiTheme="minorHAnsi" w:cstheme="minorHAnsi"/>
          <w:color w:val="FF0000"/>
          <w:u w:val="single"/>
        </w:rPr>
      </w:pPr>
    </w:p>
    <w:p w14:paraId="0D0652D6" w14:textId="77777777" w:rsidR="00B54D51" w:rsidRPr="00037AD4" w:rsidRDefault="00B54D51" w:rsidP="001D7ACE">
      <w:pPr>
        <w:rPr>
          <w:rFonts w:asciiTheme="minorHAnsi" w:hAnsiTheme="minorHAnsi" w:cstheme="minorHAnsi"/>
          <w:color w:val="FF0000"/>
          <w:u w:val="single"/>
        </w:rPr>
      </w:pPr>
    </w:p>
    <w:p w14:paraId="46A49CDB" w14:textId="77777777" w:rsidR="00B54D51" w:rsidRPr="00037AD4" w:rsidRDefault="00B54D51" w:rsidP="001D7ACE">
      <w:pPr>
        <w:rPr>
          <w:rFonts w:asciiTheme="minorHAnsi" w:hAnsiTheme="minorHAnsi" w:cstheme="minorHAnsi"/>
          <w:color w:val="FF0000"/>
          <w:u w:val="single"/>
        </w:rPr>
      </w:pPr>
    </w:p>
    <w:p w14:paraId="3422517B" w14:textId="77777777" w:rsidR="00B54D51" w:rsidRPr="00037AD4" w:rsidRDefault="00B54D51" w:rsidP="001D7ACE">
      <w:pPr>
        <w:rPr>
          <w:rFonts w:asciiTheme="minorHAnsi" w:hAnsiTheme="minorHAnsi" w:cstheme="minorHAnsi"/>
          <w:color w:val="FF0000"/>
          <w:u w:val="single"/>
        </w:rPr>
      </w:pPr>
    </w:p>
    <w:p w14:paraId="239C9FF2" w14:textId="77777777" w:rsidR="00B54D51" w:rsidRPr="00037AD4" w:rsidRDefault="00B54D51" w:rsidP="001D7ACE">
      <w:pPr>
        <w:rPr>
          <w:rFonts w:asciiTheme="minorHAnsi" w:hAnsiTheme="minorHAnsi" w:cstheme="minorHAnsi"/>
          <w:color w:val="FF0000"/>
          <w:u w:val="single"/>
        </w:rPr>
      </w:pPr>
    </w:p>
    <w:p w14:paraId="4AB0CC99" w14:textId="77777777" w:rsidR="00B54D51" w:rsidRPr="00037AD4" w:rsidRDefault="00B54D51" w:rsidP="001D7ACE">
      <w:pPr>
        <w:rPr>
          <w:rFonts w:asciiTheme="minorHAnsi" w:hAnsiTheme="minorHAnsi" w:cstheme="minorHAnsi"/>
          <w:color w:val="FF0000"/>
          <w:u w:val="single"/>
        </w:rPr>
      </w:pPr>
    </w:p>
    <w:p w14:paraId="7BA5E092" w14:textId="77777777" w:rsidR="00B54D51" w:rsidRPr="00037AD4" w:rsidRDefault="00B54D51" w:rsidP="001D7ACE">
      <w:pPr>
        <w:rPr>
          <w:rFonts w:asciiTheme="minorHAnsi" w:hAnsiTheme="minorHAnsi" w:cstheme="minorHAnsi"/>
          <w:color w:val="FF0000"/>
          <w:u w:val="single"/>
        </w:rPr>
      </w:pPr>
    </w:p>
    <w:p w14:paraId="25A53CD3" w14:textId="77777777" w:rsidR="00B54D51" w:rsidRPr="00037AD4" w:rsidRDefault="00B54D51" w:rsidP="001D7ACE">
      <w:pPr>
        <w:rPr>
          <w:rFonts w:asciiTheme="minorHAnsi" w:hAnsiTheme="minorHAnsi" w:cstheme="minorHAnsi"/>
          <w:color w:val="FF0000"/>
          <w:u w:val="single"/>
        </w:rPr>
      </w:pPr>
    </w:p>
    <w:p w14:paraId="4F1B20D3" w14:textId="77777777" w:rsidR="00B54D51" w:rsidRPr="00037AD4" w:rsidRDefault="00B54D51" w:rsidP="001D7ACE">
      <w:pPr>
        <w:rPr>
          <w:rFonts w:asciiTheme="minorHAnsi" w:hAnsiTheme="minorHAnsi" w:cstheme="minorHAnsi"/>
          <w:color w:val="FF0000"/>
          <w:u w:val="single"/>
        </w:rPr>
      </w:pPr>
    </w:p>
    <w:p w14:paraId="5EC72501" w14:textId="77777777" w:rsidR="00B54D51" w:rsidRPr="00037AD4" w:rsidRDefault="00B54D51" w:rsidP="001D7ACE">
      <w:pPr>
        <w:rPr>
          <w:rFonts w:asciiTheme="minorHAnsi" w:hAnsiTheme="minorHAnsi" w:cstheme="minorHAnsi"/>
          <w:color w:val="FF0000"/>
          <w:u w:val="single"/>
        </w:rPr>
      </w:pPr>
    </w:p>
    <w:p w14:paraId="18E375DA" w14:textId="77777777" w:rsidR="00B54D51" w:rsidRPr="00037AD4" w:rsidRDefault="00B54D51" w:rsidP="001D7ACE">
      <w:pPr>
        <w:rPr>
          <w:rFonts w:asciiTheme="minorHAnsi" w:hAnsiTheme="minorHAnsi" w:cstheme="minorHAnsi"/>
          <w:color w:val="FF0000"/>
          <w:u w:val="single"/>
        </w:rPr>
      </w:pPr>
    </w:p>
    <w:p w14:paraId="692CE18B" w14:textId="77777777" w:rsidR="00B54D51" w:rsidRPr="00037AD4" w:rsidRDefault="00B54D51" w:rsidP="001D7ACE">
      <w:pPr>
        <w:rPr>
          <w:rFonts w:asciiTheme="minorHAnsi" w:hAnsiTheme="minorHAnsi" w:cstheme="minorHAnsi"/>
          <w:color w:val="FF0000"/>
          <w:u w:val="single"/>
        </w:rPr>
      </w:pPr>
    </w:p>
    <w:p w14:paraId="79D577EB" w14:textId="77777777" w:rsidR="00B54D51" w:rsidRPr="00037AD4" w:rsidRDefault="00B54D51" w:rsidP="001D7ACE">
      <w:pPr>
        <w:rPr>
          <w:rFonts w:asciiTheme="minorHAnsi" w:hAnsiTheme="minorHAnsi" w:cstheme="minorHAnsi"/>
          <w:color w:val="FF0000"/>
          <w:u w:val="single"/>
        </w:rPr>
      </w:pPr>
    </w:p>
    <w:p w14:paraId="0D667E31" w14:textId="77777777" w:rsidR="00B54D51" w:rsidRPr="00037AD4" w:rsidRDefault="00B54D51" w:rsidP="001D7ACE">
      <w:pPr>
        <w:rPr>
          <w:rFonts w:asciiTheme="minorHAnsi" w:hAnsiTheme="minorHAnsi" w:cstheme="minorHAnsi"/>
          <w:color w:val="FF0000"/>
          <w:u w:val="single"/>
        </w:rPr>
      </w:pPr>
    </w:p>
    <w:p w14:paraId="3003CF2E" w14:textId="77777777" w:rsidR="00B54D51" w:rsidRPr="00037AD4" w:rsidRDefault="00B54D51" w:rsidP="001D7ACE">
      <w:pPr>
        <w:rPr>
          <w:rFonts w:asciiTheme="minorHAnsi" w:hAnsiTheme="minorHAnsi" w:cstheme="minorHAnsi"/>
          <w:color w:val="FF0000"/>
          <w:u w:val="single"/>
        </w:rPr>
      </w:pPr>
    </w:p>
    <w:p w14:paraId="1D2FE617" w14:textId="77777777" w:rsidR="00B54D51" w:rsidRPr="00037AD4" w:rsidRDefault="00B54D51" w:rsidP="001D7ACE">
      <w:pPr>
        <w:rPr>
          <w:rFonts w:asciiTheme="minorHAnsi" w:hAnsiTheme="minorHAnsi" w:cstheme="minorHAnsi"/>
          <w:color w:val="FF0000"/>
          <w:u w:val="single"/>
        </w:rPr>
      </w:pPr>
    </w:p>
    <w:p w14:paraId="519AB3AE" w14:textId="77777777" w:rsidR="00B54D51" w:rsidRPr="00037AD4" w:rsidRDefault="00B54D51" w:rsidP="001D7ACE">
      <w:pPr>
        <w:rPr>
          <w:rFonts w:asciiTheme="minorHAnsi" w:hAnsiTheme="minorHAnsi" w:cstheme="minorHAnsi"/>
          <w:color w:val="FF0000"/>
          <w:u w:val="single"/>
        </w:rPr>
      </w:pPr>
      <w:bookmarkStart w:id="538" w:name="A62pd"/>
    </w:p>
    <w:p w14:paraId="36EC044F" w14:textId="77777777" w:rsidR="00B54D51" w:rsidRPr="00037AD4" w:rsidRDefault="00B54D51" w:rsidP="001D7ACE">
      <w:pPr>
        <w:rPr>
          <w:rFonts w:asciiTheme="minorHAnsi" w:hAnsiTheme="minorHAnsi" w:cstheme="minorHAnsi"/>
          <w:color w:val="000000" w:themeColor="text1"/>
          <w:u w:val="single"/>
        </w:rPr>
      </w:pPr>
      <w:r w:rsidRPr="00037AD4">
        <w:rPr>
          <w:rFonts w:asciiTheme="minorHAnsi" w:hAnsiTheme="minorHAnsi" w:cstheme="minorHAnsi"/>
          <w:color w:val="000000" w:themeColor="text1"/>
          <w:u w:val="single"/>
        </w:rPr>
        <w:t xml:space="preserve">Table A6.2j, “Pain/discomfort” dimension model iterations: ACTIFCARE </w:t>
      </w:r>
    </w:p>
    <w:bookmarkEnd w:id="538"/>
    <w:p w14:paraId="176E2C55" w14:textId="77777777" w:rsidR="00B54D51" w:rsidRPr="00037AD4" w:rsidRDefault="00B54D51" w:rsidP="001D7ACE">
      <w:pPr>
        <w:rPr>
          <w:color w:val="FF0000"/>
          <w:u w:val="single"/>
        </w:rPr>
      </w:pPr>
    </w:p>
    <w:tbl>
      <w:tblPr>
        <w:tblW w:w="5000" w:type="pct"/>
        <w:jc w:val="center"/>
        <w:tblCellMar>
          <w:left w:w="75" w:type="dxa"/>
          <w:right w:w="75" w:type="dxa"/>
        </w:tblCellMar>
        <w:tblLook w:val="0000" w:firstRow="0" w:lastRow="0" w:firstColumn="0" w:lastColumn="0" w:noHBand="0" w:noVBand="0"/>
      </w:tblPr>
      <w:tblGrid>
        <w:gridCol w:w="2904"/>
        <w:gridCol w:w="1287"/>
        <w:gridCol w:w="1209"/>
        <w:gridCol w:w="1209"/>
        <w:gridCol w:w="1209"/>
        <w:gridCol w:w="1208"/>
      </w:tblGrid>
      <w:tr w:rsidR="00B54D51" w:rsidRPr="00037AD4" w14:paraId="273EDA1A" w14:textId="77777777" w:rsidTr="00401C67">
        <w:trPr>
          <w:jc w:val="center"/>
        </w:trPr>
        <w:tc>
          <w:tcPr>
            <w:tcW w:w="1608" w:type="pct"/>
            <w:tcBorders>
              <w:top w:val="single" w:sz="6" w:space="0" w:color="auto"/>
              <w:left w:val="nil"/>
              <w:bottom w:val="nil"/>
              <w:right w:val="nil"/>
            </w:tcBorders>
          </w:tcPr>
          <w:p w14:paraId="78A7865A" w14:textId="77777777" w:rsidR="00B54D51" w:rsidRPr="00037AD4" w:rsidRDefault="00B54D51" w:rsidP="00401C67">
            <w:pPr>
              <w:widowControl w:val="0"/>
              <w:autoSpaceDE w:val="0"/>
              <w:autoSpaceDN w:val="0"/>
              <w:adjustRightInd w:val="0"/>
            </w:pPr>
          </w:p>
        </w:tc>
        <w:tc>
          <w:tcPr>
            <w:tcW w:w="713" w:type="pct"/>
            <w:tcBorders>
              <w:top w:val="single" w:sz="6" w:space="0" w:color="auto"/>
              <w:left w:val="nil"/>
              <w:bottom w:val="nil"/>
              <w:right w:val="nil"/>
            </w:tcBorders>
          </w:tcPr>
          <w:p w14:paraId="4DDA23DB" w14:textId="77777777" w:rsidR="00B54D51" w:rsidRPr="00037AD4" w:rsidRDefault="00B54D51" w:rsidP="00401C67">
            <w:pPr>
              <w:widowControl w:val="0"/>
              <w:autoSpaceDE w:val="0"/>
              <w:autoSpaceDN w:val="0"/>
              <w:adjustRightInd w:val="0"/>
              <w:jc w:val="center"/>
            </w:pPr>
            <w:r w:rsidRPr="00037AD4">
              <w:t>(1)</w:t>
            </w:r>
          </w:p>
        </w:tc>
        <w:tc>
          <w:tcPr>
            <w:tcW w:w="670" w:type="pct"/>
            <w:tcBorders>
              <w:top w:val="single" w:sz="6" w:space="0" w:color="auto"/>
              <w:left w:val="nil"/>
              <w:bottom w:val="nil"/>
              <w:right w:val="nil"/>
            </w:tcBorders>
          </w:tcPr>
          <w:p w14:paraId="449E5775" w14:textId="77777777" w:rsidR="00B54D51" w:rsidRPr="00037AD4" w:rsidRDefault="00B54D51" w:rsidP="00401C67">
            <w:pPr>
              <w:widowControl w:val="0"/>
              <w:autoSpaceDE w:val="0"/>
              <w:autoSpaceDN w:val="0"/>
              <w:adjustRightInd w:val="0"/>
              <w:jc w:val="center"/>
            </w:pPr>
            <w:r w:rsidRPr="00037AD4">
              <w:t>(2)</w:t>
            </w:r>
          </w:p>
        </w:tc>
        <w:tc>
          <w:tcPr>
            <w:tcW w:w="670" w:type="pct"/>
            <w:tcBorders>
              <w:top w:val="single" w:sz="6" w:space="0" w:color="auto"/>
              <w:left w:val="nil"/>
              <w:bottom w:val="nil"/>
              <w:right w:val="nil"/>
            </w:tcBorders>
          </w:tcPr>
          <w:p w14:paraId="098E079D" w14:textId="77777777" w:rsidR="00B54D51" w:rsidRPr="00037AD4" w:rsidRDefault="00B54D51" w:rsidP="00401C67">
            <w:pPr>
              <w:widowControl w:val="0"/>
              <w:autoSpaceDE w:val="0"/>
              <w:autoSpaceDN w:val="0"/>
              <w:adjustRightInd w:val="0"/>
              <w:jc w:val="center"/>
            </w:pPr>
            <w:r w:rsidRPr="00037AD4">
              <w:t>(3)</w:t>
            </w:r>
          </w:p>
        </w:tc>
        <w:tc>
          <w:tcPr>
            <w:tcW w:w="670" w:type="pct"/>
            <w:tcBorders>
              <w:top w:val="single" w:sz="6" w:space="0" w:color="auto"/>
              <w:left w:val="nil"/>
              <w:bottom w:val="nil"/>
              <w:right w:val="nil"/>
            </w:tcBorders>
          </w:tcPr>
          <w:p w14:paraId="28C6B8ED" w14:textId="77777777" w:rsidR="00B54D51" w:rsidRPr="00037AD4" w:rsidRDefault="00B54D51" w:rsidP="00401C67">
            <w:pPr>
              <w:widowControl w:val="0"/>
              <w:autoSpaceDE w:val="0"/>
              <w:autoSpaceDN w:val="0"/>
              <w:adjustRightInd w:val="0"/>
              <w:jc w:val="center"/>
            </w:pPr>
            <w:r w:rsidRPr="00037AD4">
              <w:t>(4)</w:t>
            </w:r>
          </w:p>
        </w:tc>
        <w:tc>
          <w:tcPr>
            <w:tcW w:w="670" w:type="pct"/>
            <w:tcBorders>
              <w:top w:val="single" w:sz="6" w:space="0" w:color="auto"/>
              <w:left w:val="nil"/>
              <w:bottom w:val="nil"/>
              <w:right w:val="nil"/>
            </w:tcBorders>
          </w:tcPr>
          <w:p w14:paraId="6AB119FC" w14:textId="77777777" w:rsidR="00B54D51" w:rsidRPr="00037AD4" w:rsidRDefault="00B54D51" w:rsidP="00401C67">
            <w:pPr>
              <w:widowControl w:val="0"/>
              <w:autoSpaceDE w:val="0"/>
              <w:autoSpaceDN w:val="0"/>
              <w:adjustRightInd w:val="0"/>
              <w:jc w:val="center"/>
            </w:pPr>
            <w:r w:rsidRPr="00037AD4">
              <w:t>(5)</w:t>
            </w:r>
          </w:p>
        </w:tc>
      </w:tr>
      <w:tr w:rsidR="00B54D51" w:rsidRPr="00037AD4" w14:paraId="5E155DC5" w14:textId="77777777" w:rsidTr="00401C67">
        <w:trPr>
          <w:jc w:val="center"/>
        </w:trPr>
        <w:tc>
          <w:tcPr>
            <w:tcW w:w="1608" w:type="pct"/>
            <w:tcBorders>
              <w:top w:val="nil"/>
              <w:left w:val="nil"/>
              <w:bottom w:val="single" w:sz="6" w:space="0" w:color="auto"/>
              <w:right w:val="nil"/>
            </w:tcBorders>
          </w:tcPr>
          <w:p w14:paraId="3141CD18" w14:textId="77777777" w:rsidR="00B54D51" w:rsidRPr="00037AD4" w:rsidRDefault="00B54D51" w:rsidP="00401C67">
            <w:pPr>
              <w:widowControl w:val="0"/>
              <w:autoSpaceDE w:val="0"/>
              <w:autoSpaceDN w:val="0"/>
              <w:adjustRightInd w:val="0"/>
            </w:pPr>
            <w:r w:rsidRPr="00037AD4">
              <w:t>VARIABLES</w:t>
            </w:r>
          </w:p>
        </w:tc>
        <w:tc>
          <w:tcPr>
            <w:tcW w:w="713" w:type="pct"/>
            <w:tcBorders>
              <w:top w:val="nil"/>
              <w:left w:val="nil"/>
              <w:bottom w:val="single" w:sz="6" w:space="0" w:color="auto"/>
              <w:right w:val="nil"/>
            </w:tcBorders>
          </w:tcPr>
          <w:p w14:paraId="4465EDA8" w14:textId="77777777" w:rsidR="00B54D51" w:rsidRPr="00037AD4" w:rsidRDefault="00B54D51" w:rsidP="00401C67">
            <w:pPr>
              <w:widowControl w:val="0"/>
              <w:autoSpaceDE w:val="0"/>
              <w:autoSpaceDN w:val="0"/>
              <w:adjustRightInd w:val="0"/>
              <w:jc w:val="center"/>
            </w:pPr>
            <w:r w:rsidRPr="00037AD4">
              <w:t>Model 1</w:t>
            </w:r>
          </w:p>
        </w:tc>
        <w:tc>
          <w:tcPr>
            <w:tcW w:w="670" w:type="pct"/>
            <w:tcBorders>
              <w:top w:val="nil"/>
              <w:left w:val="nil"/>
              <w:bottom w:val="single" w:sz="6" w:space="0" w:color="auto"/>
              <w:right w:val="nil"/>
            </w:tcBorders>
          </w:tcPr>
          <w:p w14:paraId="155B1B01" w14:textId="77777777" w:rsidR="00B54D51" w:rsidRPr="00037AD4" w:rsidRDefault="00B54D51" w:rsidP="00401C67">
            <w:pPr>
              <w:widowControl w:val="0"/>
              <w:autoSpaceDE w:val="0"/>
              <w:autoSpaceDN w:val="0"/>
              <w:adjustRightInd w:val="0"/>
              <w:jc w:val="center"/>
            </w:pPr>
            <w:r w:rsidRPr="00037AD4">
              <w:t>Model 2</w:t>
            </w:r>
          </w:p>
        </w:tc>
        <w:tc>
          <w:tcPr>
            <w:tcW w:w="670" w:type="pct"/>
            <w:tcBorders>
              <w:top w:val="nil"/>
              <w:left w:val="nil"/>
              <w:bottom w:val="single" w:sz="6" w:space="0" w:color="auto"/>
              <w:right w:val="nil"/>
            </w:tcBorders>
          </w:tcPr>
          <w:p w14:paraId="6327A817" w14:textId="77777777" w:rsidR="00B54D51" w:rsidRPr="00037AD4" w:rsidRDefault="00B54D51" w:rsidP="00401C67">
            <w:pPr>
              <w:widowControl w:val="0"/>
              <w:autoSpaceDE w:val="0"/>
              <w:autoSpaceDN w:val="0"/>
              <w:adjustRightInd w:val="0"/>
              <w:jc w:val="center"/>
            </w:pPr>
            <w:r w:rsidRPr="00037AD4">
              <w:t>Model 3</w:t>
            </w:r>
          </w:p>
        </w:tc>
        <w:tc>
          <w:tcPr>
            <w:tcW w:w="670" w:type="pct"/>
            <w:tcBorders>
              <w:top w:val="nil"/>
              <w:left w:val="nil"/>
              <w:bottom w:val="single" w:sz="6" w:space="0" w:color="auto"/>
              <w:right w:val="nil"/>
            </w:tcBorders>
          </w:tcPr>
          <w:p w14:paraId="03685313" w14:textId="77777777" w:rsidR="00B54D51" w:rsidRPr="00037AD4" w:rsidRDefault="00B54D51" w:rsidP="00401C67">
            <w:pPr>
              <w:widowControl w:val="0"/>
              <w:autoSpaceDE w:val="0"/>
              <w:autoSpaceDN w:val="0"/>
              <w:adjustRightInd w:val="0"/>
              <w:jc w:val="center"/>
            </w:pPr>
            <w:r w:rsidRPr="00037AD4">
              <w:t>Model 4</w:t>
            </w:r>
          </w:p>
        </w:tc>
        <w:tc>
          <w:tcPr>
            <w:tcW w:w="670" w:type="pct"/>
            <w:tcBorders>
              <w:top w:val="nil"/>
              <w:left w:val="nil"/>
              <w:bottom w:val="single" w:sz="6" w:space="0" w:color="auto"/>
              <w:right w:val="nil"/>
            </w:tcBorders>
          </w:tcPr>
          <w:p w14:paraId="5447B5C6" w14:textId="77777777" w:rsidR="00B54D51" w:rsidRPr="00037AD4" w:rsidRDefault="00B54D51" w:rsidP="00401C67">
            <w:pPr>
              <w:widowControl w:val="0"/>
              <w:autoSpaceDE w:val="0"/>
              <w:autoSpaceDN w:val="0"/>
              <w:adjustRightInd w:val="0"/>
              <w:jc w:val="center"/>
            </w:pPr>
            <w:r w:rsidRPr="00037AD4">
              <w:t>Model 5</w:t>
            </w:r>
          </w:p>
        </w:tc>
      </w:tr>
      <w:tr w:rsidR="00B54D51" w:rsidRPr="00037AD4" w14:paraId="15D225F6" w14:textId="77777777" w:rsidTr="00401C67">
        <w:trPr>
          <w:jc w:val="center"/>
        </w:trPr>
        <w:tc>
          <w:tcPr>
            <w:tcW w:w="1608" w:type="pct"/>
            <w:tcBorders>
              <w:top w:val="nil"/>
              <w:left w:val="nil"/>
              <w:bottom w:val="nil"/>
              <w:right w:val="nil"/>
            </w:tcBorders>
          </w:tcPr>
          <w:p w14:paraId="74BB3D88" w14:textId="77777777" w:rsidR="00B54D51" w:rsidRPr="00037AD4" w:rsidRDefault="00B54D51" w:rsidP="00401C67">
            <w:pPr>
              <w:widowControl w:val="0"/>
              <w:autoSpaceDE w:val="0"/>
              <w:autoSpaceDN w:val="0"/>
              <w:adjustRightInd w:val="0"/>
            </w:pPr>
          </w:p>
        </w:tc>
        <w:tc>
          <w:tcPr>
            <w:tcW w:w="713" w:type="pct"/>
            <w:tcBorders>
              <w:top w:val="nil"/>
              <w:left w:val="nil"/>
              <w:bottom w:val="nil"/>
              <w:right w:val="nil"/>
            </w:tcBorders>
          </w:tcPr>
          <w:p w14:paraId="4E348AFC"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50C4B3B2"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252E9ED0"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088F61AA"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7FA270E6" w14:textId="77777777" w:rsidR="00B54D51" w:rsidRPr="00037AD4" w:rsidRDefault="00B54D51" w:rsidP="00401C67">
            <w:pPr>
              <w:widowControl w:val="0"/>
              <w:autoSpaceDE w:val="0"/>
              <w:autoSpaceDN w:val="0"/>
              <w:adjustRightInd w:val="0"/>
              <w:jc w:val="center"/>
            </w:pPr>
          </w:p>
        </w:tc>
      </w:tr>
      <w:tr w:rsidR="00B54D51" w:rsidRPr="00037AD4" w14:paraId="6311B843" w14:textId="77777777" w:rsidTr="00401C67">
        <w:trPr>
          <w:jc w:val="center"/>
        </w:trPr>
        <w:tc>
          <w:tcPr>
            <w:tcW w:w="1608" w:type="pct"/>
            <w:tcBorders>
              <w:top w:val="nil"/>
              <w:left w:val="nil"/>
              <w:bottom w:val="nil"/>
              <w:right w:val="nil"/>
            </w:tcBorders>
          </w:tcPr>
          <w:p w14:paraId="3A071254" w14:textId="77777777" w:rsidR="00B54D51" w:rsidRPr="00037AD4" w:rsidRDefault="00B54D51" w:rsidP="00401C67">
            <w:pPr>
              <w:widowControl w:val="0"/>
              <w:autoSpaceDE w:val="0"/>
              <w:autoSpaceDN w:val="0"/>
              <w:adjustRightInd w:val="0"/>
            </w:pPr>
            <w:r w:rsidRPr="00037AD4">
              <w:t>2.eq4RP_</w:t>
            </w:r>
          </w:p>
        </w:tc>
        <w:tc>
          <w:tcPr>
            <w:tcW w:w="713" w:type="pct"/>
            <w:tcBorders>
              <w:top w:val="nil"/>
              <w:left w:val="nil"/>
              <w:bottom w:val="nil"/>
              <w:right w:val="nil"/>
            </w:tcBorders>
          </w:tcPr>
          <w:p w14:paraId="3C56F0B0" w14:textId="77777777" w:rsidR="00B54D51" w:rsidRPr="00037AD4" w:rsidRDefault="00B54D51" w:rsidP="00401C67">
            <w:pPr>
              <w:widowControl w:val="0"/>
              <w:autoSpaceDE w:val="0"/>
              <w:autoSpaceDN w:val="0"/>
              <w:adjustRightInd w:val="0"/>
              <w:jc w:val="center"/>
            </w:pPr>
            <w:r w:rsidRPr="00037AD4">
              <w:t>0.223**</w:t>
            </w:r>
          </w:p>
        </w:tc>
        <w:tc>
          <w:tcPr>
            <w:tcW w:w="670" w:type="pct"/>
            <w:tcBorders>
              <w:top w:val="nil"/>
              <w:left w:val="nil"/>
              <w:bottom w:val="nil"/>
              <w:right w:val="nil"/>
            </w:tcBorders>
          </w:tcPr>
          <w:p w14:paraId="6E5C7769" w14:textId="77777777" w:rsidR="00B54D51" w:rsidRPr="00037AD4" w:rsidRDefault="00B54D51" w:rsidP="00401C67">
            <w:pPr>
              <w:widowControl w:val="0"/>
              <w:autoSpaceDE w:val="0"/>
              <w:autoSpaceDN w:val="0"/>
              <w:adjustRightInd w:val="0"/>
              <w:jc w:val="center"/>
            </w:pPr>
            <w:r w:rsidRPr="00037AD4">
              <w:t>0.243**</w:t>
            </w:r>
          </w:p>
        </w:tc>
        <w:tc>
          <w:tcPr>
            <w:tcW w:w="670" w:type="pct"/>
            <w:tcBorders>
              <w:top w:val="nil"/>
              <w:left w:val="nil"/>
              <w:bottom w:val="nil"/>
              <w:right w:val="nil"/>
            </w:tcBorders>
          </w:tcPr>
          <w:p w14:paraId="6C5DF16D" w14:textId="77777777" w:rsidR="00B54D51" w:rsidRPr="00037AD4" w:rsidRDefault="00B54D51" w:rsidP="00401C67">
            <w:pPr>
              <w:widowControl w:val="0"/>
              <w:autoSpaceDE w:val="0"/>
              <w:autoSpaceDN w:val="0"/>
              <w:adjustRightInd w:val="0"/>
              <w:jc w:val="center"/>
            </w:pPr>
            <w:r w:rsidRPr="00037AD4">
              <w:t>0.259***</w:t>
            </w:r>
          </w:p>
        </w:tc>
        <w:tc>
          <w:tcPr>
            <w:tcW w:w="670" w:type="pct"/>
            <w:tcBorders>
              <w:top w:val="nil"/>
              <w:left w:val="nil"/>
              <w:bottom w:val="nil"/>
              <w:right w:val="nil"/>
            </w:tcBorders>
          </w:tcPr>
          <w:p w14:paraId="6B03CD38"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0BE4C978" w14:textId="77777777" w:rsidR="00B54D51" w:rsidRPr="00037AD4" w:rsidRDefault="00B54D51" w:rsidP="00401C67">
            <w:pPr>
              <w:widowControl w:val="0"/>
              <w:autoSpaceDE w:val="0"/>
              <w:autoSpaceDN w:val="0"/>
              <w:adjustRightInd w:val="0"/>
              <w:jc w:val="center"/>
            </w:pPr>
          </w:p>
        </w:tc>
      </w:tr>
      <w:tr w:rsidR="00B54D51" w:rsidRPr="00037AD4" w14:paraId="47635493" w14:textId="77777777" w:rsidTr="00401C67">
        <w:trPr>
          <w:jc w:val="center"/>
        </w:trPr>
        <w:tc>
          <w:tcPr>
            <w:tcW w:w="1608" w:type="pct"/>
            <w:tcBorders>
              <w:top w:val="nil"/>
              <w:left w:val="nil"/>
              <w:bottom w:val="nil"/>
              <w:right w:val="nil"/>
            </w:tcBorders>
          </w:tcPr>
          <w:p w14:paraId="39D6E0F8" w14:textId="77777777" w:rsidR="00B54D51" w:rsidRPr="00037AD4" w:rsidRDefault="00B54D51" w:rsidP="00401C67">
            <w:pPr>
              <w:widowControl w:val="0"/>
              <w:autoSpaceDE w:val="0"/>
              <w:autoSpaceDN w:val="0"/>
              <w:adjustRightInd w:val="0"/>
            </w:pPr>
          </w:p>
        </w:tc>
        <w:tc>
          <w:tcPr>
            <w:tcW w:w="713" w:type="pct"/>
            <w:tcBorders>
              <w:top w:val="nil"/>
              <w:left w:val="nil"/>
              <w:bottom w:val="nil"/>
              <w:right w:val="nil"/>
            </w:tcBorders>
          </w:tcPr>
          <w:p w14:paraId="038162E3" w14:textId="77777777" w:rsidR="00B54D51" w:rsidRPr="00037AD4" w:rsidRDefault="00B54D51" w:rsidP="00401C67">
            <w:pPr>
              <w:widowControl w:val="0"/>
              <w:autoSpaceDE w:val="0"/>
              <w:autoSpaceDN w:val="0"/>
              <w:adjustRightInd w:val="0"/>
              <w:jc w:val="center"/>
            </w:pPr>
            <w:r w:rsidRPr="00037AD4">
              <w:t>(0.020 - 0.427)</w:t>
            </w:r>
          </w:p>
        </w:tc>
        <w:tc>
          <w:tcPr>
            <w:tcW w:w="670" w:type="pct"/>
            <w:tcBorders>
              <w:top w:val="nil"/>
              <w:left w:val="nil"/>
              <w:bottom w:val="nil"/>
              <w:right w:val="nil"/>
            </w:tcBorders>
          </w:tcPr>
          <w:p w14:paraId="15BB5B4F" w14:textId="77777777" w:rsidR="00B54D51" w:rsidRPr="00037AD4" w:rsidRDefault="00B54D51" w:rsidP="00401C67">
            <w:pPr>
              <w:widowControl w:val="0"/>
              <w:autoSpaceDE w:val="0"/>
              <w:autoSpaceDN w:val="0"/>
              <w:adjustRightInd w:val="0"/>
              <w:jc w:val="center"/>
            </w:pPr>
            <w:r w:rsidRPr="00037AD4">
              <w:t>(0.046 - 0.440)</w:t>
            </w:r>
          </w:p>
        </w:tc>
        <w:tc>
          <w:tcPr>
            <w:tcW w:w="670" w:type="pct"/>
            <w:tcBorders>
              <w:top w:val="nil"/>
              <w:left w:val="nil"/>
              <w:bottom w:val="nil"/>
              <w:right w:val="nil"/>
            </w:tcBorders>
          </w:tcPr>
          <w:p w14:paraId="4FAAAC0E" w14:textId="77777777" w:rsidR="00B54D51" w:rsidRPr="00037AD4" w:rsidRDefault="00B54D51" w:rsidP="00401C67">
            <w:pPr>
              <w:widowControl w:val="0"/>
              <w:autoSpaceDE w:val="0"/>
              <w:autoSpaceDN w:val="0"/>
              <w:adjustRightInd w:val="0"/>
              <w:jc w:val="center"/>
            </w:pPr>
            <w:r w:rsidRPr="00037AD4">
              <w:t>(0.065 - 0.452)</w:t>
            </w:r>
          </w:p>
        </w:tc>
        <w:tc>
          <w:tcPr>
            <w:tcW w:w="670" w:type="pct"/>
            <w:tcBorders>
              <w:top w:val="nil"/>
              <w:left w:val="nil"/>
              <w:bottom w:val="nil"/>
              <w:right w:val="nil"/>
            </w:tcBorders>
          </w:tcPr>
          <w:p w14:paraId="6197846D"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0CC046A8" w14:textId="77777777" w:rsidR="00B54D51" w:rsidRPr="00037AD4" w:rsidRDefault="00B54D51" w:rsidP="00401C67">
            <w:pPr>
              <w:widowControl w:val="0"/>
              <w:autoSpaceDE w:val="0"/>
              <w:autoSpaceDN w:val="0"/>
              <w:adjustRightInd w:val="0"/>
              <w:jc w:val="center"/>
            </w:pPr>
          </w:p>
        </w:tc>
      </w:tr>
      <w:tr w:rsidR="00B54D51" w:rsidRPr="00037AD4" w14:paraId="2D4572D8" w14:textId="77777777" w:rsidTr="00401C67">
        <w:trPr>
          <w:jc w:val="center"/>
        </w:trPr>
        <w:tc>
          <w:tcPr>
            <w:tcW w:w="1608" w:type="pct"/>
            <w:tcBorders>
              <w:top w:val="nil"/>
              <w:left w:val="nil"/>
              <w:bottom w:val="nil"/>
              <w:right w:val="nil"/>
            </w:tcBorders>
          </w:tcPr>
          <w:p w14:paraId="48B0786C" w14:textId="77777777" w:rsidR="00B54D51" w:rsidRPr="00037AD4" w:rsidRDefault="00B54D51" w:rsidP="00401C67">
            <w:pPr>
              <w:widowControl w:val="0"/>
              <w:autoSpaceDE w:val="0"/>
              <w:autoSpaceDN w:val="0"/>
              <w:adjustRightInd w:val="0"/>
            </w:pPr>
            <w:r w:rsidRPr="00037AD4">
              <w:t>3.eq4RP_</w:t>
            </w:r>
          </w:p>
        </w:tc>
        <w:tc>
          <w:tcPr>
            <w:tcW w:w="713" w:type="pct"/>
            <w:tcBorders>
              <w:top w:val="nil"/>
              <w:left w:val="nil"/>
              <w:bottom w:val="nil"/>
              <w:right w:val="nil"/>
            </w:tcBorders>
          </w:tcPr>
          <w:p w14:paraId="3508AC17" w14:textId="77777777" w:rsidR="00B54D51" w:rsidRPr="00037AD4" w:rsidRDefault="00B54D51" w:rsidP="00401C67">
            <w:pPr>
              <w:widowControl w:val="0"/>
              <w:autoSpaceDE w:val="0"/>
              <w:autoSpaceDN w:val="0"/>
              <w:adjustRightInd w:val="0"/>
              <w:jc w:val="center"/>
            </w:pPr>
            <w:r w:rsidRPr="00037AD4">
              <w:t>0.424***</w:t>
            </w:r>
          </w:p>
        </w:tc>
        <w:tc>
          <w:tcPr>
            <w:tcW w:w="670" w:type="pct"/>
            <w:tcBorders>
              <w:top w:val="nil"/>
              <w:left w:val="nil"/>
              <w:bottom w:val="nil"/>
              <w:right w:val="nil"/>
            </w:tcBorders>
          </w:tcPr>
          <w:p w14:paraId="28BEB491" w14:textId="77777777" w:rsidR="00B54D51" w:rsidRPr="00037AD4" w:rsidRDefault="00B54D51" w:rsidP="00401C67">
            <w:pPr>
              <w:widowControl w:val="0"/>
              <w:autoSpaceDE w:val="0"/>
              <w:autoSpaceDN w:val="0"/>
              <w:adjustRightInd w:val="0"/>
              <w:jc w:val="center"/>
            </w:pPr>
            <w:r w:rsidRPr="00037AD4">
              <w:t>0.415***</w:t>
            </w:r>
          </w:p>
        </w:tc>
        <w:tc>
          <w:tcPr>
            <w:tcW w:w="670" w:type="pct"/>
            <w:tcBorders>
              <w:top w:val="nil"/>
              <w:left w:val="nil"/>
              <w:bottom w:val="nil"/>
              <w:right w:val="nil"/>
            </w:tcBorders>
          </w:tcPr>
          <w:p w14:paraId="3721D9B8" w14:textId="77777777" w:rsidR="00B54D51" w:rsidRPr="00037AD4" w:rsidRDefault="00B54D51" w:rsidP="00401C67">
            <w:pPr>
              <w:widowControl w:val="0"/>
              <w:autoSpaceDE w:val="0"/>
              <w:autoSpaceDN w:val="0"/>
              <w:adjustRightInd w:val="0"/>
              <w:jc w:val="center"/>
            </w:pPr>
            <w:r w:rsidRPr="00037AD4">
              <w:t>0.397***</w:t>
            </w:r>
          </w:p>
        </w:tc>
        <w:tc>
          <w:tcPr>
            <w:tcW w:w="670" w:type="pct"/>
            <w:tcBorders>
              <w:top w:val="nil"/>
              <w:left w:val="nil"/>
              <w:bottom w:val="nil"/>
              <w:right w:val="nil"/>
            </w:tcBorders>
          </w:tcPr>
          <w:p w14:paraId="28AA46C8"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276A1F74" w14:textId="77777777" w:rsidR="00B54D51" w:rsidRPr="00037AD4" w:rsidRDefault="00B54D51" w:rsidP="00401C67">
            <w:pPr>
              <w:widowControl w:val="0"/>
              <w:autoSpaceDE w:val="0"/>
              <w:autoSpaceDN w:val="0"/>
              <w:adjustRightInd w:val="0"/>
              <w:jc w:val="center"/>
            </w:pPr>
          </w:p>
        </w:tc>
      </w:tr>
      <w:tr w:rsidR="00B54D51" w:rsidRPr="00037AD4" w14:paraId="33679F74" w14:textId="77777777" w:rsidTr="00401C67">
        <w:trPr>
          <w:jc w:val="center"/>
        </w:trPr>
        <w:tc>
          <w:tcPr>
            <w:tcW w:w="1608" w:type="pct"/>
            <w:tcBorders>
              <w:top w:val="nil"/>
              <w:left w:val="nil"/>
              <w:bottom w:val="nil"/>
              <w:right w:val="nil"/>
            </w:tcBorders>
          </w:tcPr>
          <w:p w14:paraId="5C5389CE" w14:textId="77777777" w:rsidR="00B54D51" w:rsidRPr="00037AD4" w:rsidRDefault="00B54D51" w:rsidP="00401C67">
            <w:pPr>
              <w:widowControl w:val="0"/>
              <w:autoSpaceDE w:val="0"/>
              <w:autoSpaceDN w:val="0"/>
              <w:adjustRightInd w:val="0"/>
            </w:pPr>
          </w:p>
        </w:tc>
        <w:tc>
          <w:tcPr>
            <w:tcW w:w="713" w:type="pct"/>
            <w:tcBorders>
              <w:top w:val="nil"/>
              <w:left w:val="nil"/>
              <w:bottom w:val="nil"/>
              <w:right w:val="nil"/>
            </w:tcBorders>
          </w:tcPr>
          <w:p w14:paraId="0BDA8CAA" w14:textId="77777777" w:rsidR="00B54D51" w:rsidRPr="00037AD4" w:rsidRDefault="00B54D51" w:rsidP="00401C67">
            <w:pPr>
              <w:widowControl w:val="0"/>
              <w:autoSpaceDE w:val="0"/>
              <w:autoSpaceDN w:val="0"/>
              <w:adjustRightInd w:val="0"/>
              <w:jc w:val="center"/>
            </w:pPr>
            <w:r w:rsidRPr="00037AD4">
              <w:t>(0.194 - 0.655)</w:t>
            </w:r>
          </w:p>
        </w:tc>
        <w:tc>
          <w:tcPr>
            <w:tcW w:w="670" w:type="pct"/>
            <w:tcBorders>
              <w:top w:val="nil"/>
              <w:left w:val="nil"/>
              <w:bottom w:val="nil"/>
              <w:right w:val="nil"/>
            </w:tcBorders>
          </w:tcPr>
          <w:p w14:paraId="5A530DA7" w14:textId="77777777" w:rsidR="00B54D51" w:rsidRPr="00037AD4" w:rsidRDefault="00B54D51" w:rsidP="00401C67">
            <w:pPr>
              <w:widowControl w:val="0"/>
              <w:autoSpaceDE w:val="0"/>
              <w:autoSpaceDN w:val="0"/>
              <w:adjustRightInd w:val="0"/>
              <w:jc w:val="center"/>
            </w:pPr>
            <w:r w:rsidRPr="00037AD4">
              <w:t>(0.199 - 0.631)</w:t>
            </w:r>
          </w:p>
        </w:tc>
        <w:tc>
          <w:tcPr>
            <w:tcW w:w="670" w:type="pct"/>
            <w:tcBorders>
              <w:top w:val="nil"/>
              <w:left w:val="nil"/>
              <w:bottom w:val="nil"/>
              <w:right w:val="nil"/>
            </w:tcBorders>
          </w:tcPr>
          <w:p w14:paraId="3F3FACD7" w14:textId="77777777" w:rsidR="00B54D51" w:rsidRPr="00037AD4" w:rsidRDefault="00B54D51" w:rsidP="00401C67">
            <w:pPr>
              <w:widowControl w:val="0"/>
              <w:autoSpaceDE w:val="0"/>
              <w:autoSpaceDN w:val="0"/>
              <w:adjustRightInd w:val="0"/>
              <w:jc w:val="center"/>
            </w:pPr>
            <w:r w:rsidRPr="00037AD4">
              <w:t>(0.192 - 0.602)</w:t>
            </w:r>
          </w:p>
        </w:tc>
        <w:tc>
          <w:tcPr>
            <w:tcW w:w="670" w:type="pct"/>
            <w:tcBorders>
              <w:top w:val="nil"/>
              <w:left w:val="nil"/>
              <w:bottom w:val="nil"/>
              <w:right w:val="nil"/>
            </w:tcBorders>
          </w:tcPr>
          <w:p w14:paraId="08D68089"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280DC5BD" w14:textId="77777777" w:rsidR="00B54D51" w:rsidRPr="00037AD4" w:rsidRDefault="00B54D51" w:rsidP="00401C67">
            <w:pPr>
              <w:widowControl w:val="0"/>
              <w:autoSpaceDE w:val="0"/>
              <w:autoSpaceDN w:val="0"/>
              <w:adjustRightInd w:val="0"/>
              <w:jc w:val="center"/>
            </w:pPr>
          </w:p>
        </w:tc>
      </w:tr>
      <w:tr w:rsidR="00B54D51" w:rsidRPr="00037AD4" w14:paraId="44ABAAF2" w14:textId="77777777" w:rsidTr="00401C67">
        <w:trPr>
          <w:jc w:val="center"/>
        </w:trPr>
        <w:tc>
          <w:tcPr>
            <w:tcW w:w="1608" w:type="pct"/>
            <w:tcBorders>
              <w:top w:val="nil"/>
              <w:left w:val="nil"/>
              <w:bottom w:val="nil"/>
              <w:right w:val="nil"/>
            </w:tcBorders>
          </w:tcPr>
          <w:p w14:paraId="295CFD09" w14:textId="77777777" w:rsidR="00B54D51" w:rsidRPr="00037AD4" w:rsidRDefault="00B54D51" w:rsidP="00401C67">
            <w:pPr>
              <w:widowControl w:val="0"/>
              <w:autoSpaceDE w:val="0"/>
              <w:autoSpaceDN w:val="0"/>
              <w:adjustRightInd w:val="0"/>
            </w:pPr>
            <w:r w:rsidRPr="00037AD4">
              <w:t>4.eq4RP_</w:t>
            </w:r>
          </w:p>
        </w:tc>
        <w:tc>
          <w:tcPr>
            <w:tcW w:w="713" w:type="pct"/>
            <w:tcBorders>
              <w:top w:val="nil"/>
              <w:left w:val="nil"/>
              <w:bottom w:val="nil"/>
              <w:right w:val="nil"/>
            </w:tcBorders>
          </w:tcPr>
          <w:p w14:paraId="6F63F837" w14:textId="77777777" w:rsidR="00B54D51" w:rsidRPr="00037AD4" w:rsidRDefault="00B54D51" w:rsidP="00401C67">
            <w:pPr>
              <w:widowControl w:val="0"/>
              <w:autoSpaceDE w:val="0"/>
              <w:autoSpaceDN w:val="0"/>
              <w:adjustRightInd w:val="0"/>
              <w:jc w:val="center"/>
            </w:pPr>
            <w:r w:rsidRPr="00037AD4">
              <w:t>0.420**</w:t>
            </w:r>
          </w:p>
        </w:tc>
        <w:tc>
          <w:tcPr>
            <w:tcW w:w="670" w:type="pct"/>
            <w:tcBorders>
              <w:top w:val="nil"/>
              <w:left w:val="nil"/>
              <w:bottom w:val="nil"/>
              <w:right w:val="nil"/>
            </w:tcBorders>
          </w:tcPr>
          <w:p w14:paraId="69364DCA" w14:textId="77777777" w:rsidR="00B54D51" w:rsidRPr="00037AD4" w:rsidRDefault="00B54D51" w:rsidP="00401C67">
            <w:pPr>
              <w:widowControl w:val="0"/>
              <w:autoSpaceDE w:val="0"/>
              <w:autoSpaceDN w:val="0"/>
              <w:adjustRightInd w:val="0"/>
              <w:jc w:val="center"/>
            </w:pPr>
            <w:r w:rsidRPr="00037AD4">
              <w:t>0.370**</w:t>
            </w:r>
          </w:p>
        </w:tc>
        <w:tc>
          <w:tcPr>
            <w:tcW w:w="670" w:type="pct"/>
            <w:tcBorders>
              <w:top w:val="nil"/>
              <w:left w:val="nil"/>
              <w:bottom w:val="nil"/>
              <w:right w:val="nil"/>
            </w:tcBorders>
          </w:tcPr>
          <w:p w14:paraId="6353294E" w14:textId="77777777" w:rsidR="00B54D51" w:rsidRPr="00037AD4" w:rsidRDefault="00B54D51" w:rsidP="00401C67">
            <w:pPr>
              <w:widowControl w:val="0"/>
              <w:autoSpaceDE w:val="0"/>
              <w:autoSpaceDN w:val="0"/>
              <w:adjustRightInd w:val="0"/>
              <w:jc w:val="center"/>
            </w:pPr>
            <w:r w:rsidRPr="00037AD4">
              <w:t>0.273</w:t>
            </w:r>
          </w:p>
        </w:tc>
        <w:tc>
          <w:tcPr>
            <w:tcW w:w="670" w:type="pct"/>
            <w:tcBorders>
              <w:top w:val="nil"/>
              <w:left w:val="nil"/>
              <w:bottom w:val="nil"/>
              <w:right w:val="nil"/>
            </w:tcBorders>
          </w:tcPr>
          <w:p w14:paraId="086476E5"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1131F5B4" w14:textId="77777777" w:rsidR="00B54D51" w:rsidRPr="00037AD4" w:rsidRDefault="00B54D51" w:rsidP="00401C67">
            <w:pPr>
              <w:widowControl w:val="0"/>
              <w:autoSpaceDE w:val="0"/>
              <w:autoSpaceDN w:val="0"/>
              <w:adjustRightInd w:val="0"/>
              <w:jc w:val="center"/>
            </w:pPr>
          </w:p>
        </w:tc>
      </w:tr>
      <w:tr w:rsidR="00B54D51" w:rsidRPr="00037AD4" w14:paraId="07BC12EB" w14:textId="77777777" w:rsidTr="00401C67">
        <w:trPr>
          <w:jc w:val="center"/>
        </w:trPr>
        <w:tc>
          <w:tcPr>
            <w:tcW w:w="1608" w:type="pct"/>
            <w:tcBorders>
              <w:top w:val="nil"/>
              <w:left w:val="nil"/>
              <w:bottom w:val="nil"/>
              <w:right w:val="nil"/>
            </w:tcBorders>
          </w:tcPr>
          <w:p w14:paraId="08C9D45E" w14:textId="77777777" w:rsidR="00B54D51" w:rsidRPr="00037AD4" w:rsidRDefault="00B54D51" w:rsidP="00401C67">
            <w:pPr>
              <w:widowControl w:val="0"/>
              <w:autoSpaceDE w:val="0"/>
              <w:autoSpaceDN w:val="0"/>
              <w:adjustRightInd w:val="0"/>
            </w:pPr>
          </w:p>
        </w:tc>
        <w:tc>
          <w:tcPr>
            <w:tcW w:w="713" w:type="pct"/>
            <w:tcBorders>
              <w:top w:val="nil"/>
              <w:left w:val="nil"/>
              <w:bottom w:val="nil"/>
              <w:right w:val="nil"/>
            </w:tcBorders>
          </w:tcPr>
          <w:p w14:paraId="41E4D471" w14:textId="77777777" w:rsidR="00B54D51" w:rsidRPr="00037AD4" w:rsidRDefault="00B54D51" w:rsidP="00401C67">
            <w:pPr>
              <w:widowControl w:val="0"/>
              <w:autoSpaceDE w:val="0"/>
              <w:autoSpaceDN w:val="0"/>
              <w:adjustRightInd w:val="0"/>
              <w:jc w:val="center"/>
            </w:pPr>
            <w:r w:rsidRPr="00037AD4">
              <w:t>(0.032 - 0.809)</w:t>
            </w:r>
          </w:p>
        </w:tc>
        <w:tc>
          <w:tcPr>
            <w:tcW w:w="670" w:type="pct"/>
            <w:tcBorders>
              <w:top w:val="nil"/>
              <w:left w:val="nil"/>
              <w:bottom w:val="nil"/>
              <w:right w:val="nil"/>
            </w:tcBorders>
          </w:tcPr>
          <w:p w14:paraId="02B6D908" w14:textId="77777777" w:rsidR="00B54D51" w:rsidRPr="00037AD4" w:rsidRDefault="00B54D51" w:rsidP="00401C67">
            <w:pPr>
              <w:widowControl w:val="0"/>
              <w:autoSpaceDE w:val="0"/>
              <w:autoSpaceDN w:val="0"/>
              <w:adjustRightInd w:val="0"/>
              <w:jc w:val="center"/>
            </w:pPr>
            <w:r w:rsidRPr="00037AD4">
              <w:t>(0.011 - 0.730)</w:t>
            </w:r>
          </w:p>
        </w:tc>
        <w:tc>
          <w:tcPr>
            <w:tcW w:w="670" w:type="pct"/>
            <w:tcBorders>
              <w:top w:val="nil"/>
              <w:left w:val="nil"/>
              <w:bottom w:val="nil"/>
              <w:right w:val="nil"/>
            </w:tcBorders>
          </w:tcPr>
          <w:p w14:paraId="3BB0C38D" w14:textId="77777777" w:rsidR="00B54D51" w:rsidRPr="00037AD4" w:rsidRDefault="00B54D51" w:rsidP="00401C67">
            <w:pPr>
              <w:widowControl w:val="0"/>
              <w:autoSpaceDE w:val="0"/>
              <w:autoSpaceDN w:val="0"/>
              <w:adjustRightInd w:val="0"/>
              <w:jc w:val="center"/>
            </w:pPr>
            <w:r w:rsidRPr="00037AD4">
              <w:t>(-0.073 - 0.620)</w:t>
            </w:r>
          </w:p>
        </w:tc>
        <w:tc>
          <w:tcPr>
            <w:tcW w:w="670" w:type="pct"/>
            <w:tcBorders>
              <w:top w:val="nil"/>
              <w:left w:val="nil"/>
              <w:bottom w:val="nil"/>
              <w:right w:val="nil"/>
            </w:tcBorders>
          </w:tcPr>
          <w:p w14:paraId="074AC22F"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5A0833E7" w14:textId="77777777" w:rsidR="00B54D51" w:rsidRPr="00037AD4" w:rsidRDefault="00B54D51" w:rsidP="00401C67">
            <w:pPr>
              <w:widowControl w:val="0"/>
              <w:autoSpaceDE w:val="0"/>
              <w:autoSpaceDN w:val="0"/>
              <w:adjustRightInd w:val="0"/>
              <w:jc w:val="center"/>
            </w:pPr>
          </w:p>
        </w:tc>
      </w:tr>
      <w:tr w:rsidR="00B54D51" w:rsidRPr="00037AD4" w14:paraId="55BEF5D6" w14:textId="77777777" w:rsidTr="00401C67">
        <w:trPr>
          <w:jc w:val="center"/>
        </w:trPr>
        <w:tc>
          <w:tcPr>
            <w:tcW w:w="1608" w:type="pct"/>
            <w:tcBorders>
              <w:top w:val="nil"/>
              <w:left w:val="nil"/>
              <w:bottom w:val="nil"/>
              <w:right w:val="nil"/>
            </w:tcBorders>
          </w:tcPr>
          <w:p w14:paraId="552E675C" w14:textId="77777777" w:rsidR="00B54D51" w:rsidRPr="00037AD4" w:rsidRDefault="00B54D51" w:rsidP="00401C67">
            <w:pPr>
              <w:widowControl w:val="0"/>
              <w:autoSpaceDE w:val="0"/>
              <w:autoSpaceDN w:val="0"/>
              <w:adjustRightInd w:val="0"/>
            </w:pPr>
            <w:r w:rsidRPr="00037AD4">
              <w:t>5.eq4RP_</w:t>
            </w:r>
          </w:p>
        </w:tc>
        <w:tc>
          <w:tcPr>
            <w:tcW w:w="713" w:type="pct"/>
            <w:tcBorders>
              <w:top w:val="nil"/>
              <w:left w:val="nil"/>
              <w:bottom w:val="nil"/>
              <w:right w:val="nil"/>
            </w:tcBorders>
          </w:tcPr>
          <w:p w14:paraId="704011C8" w14:textId="77777777" w:rsidR="00B54D51" w:rsidRPr="00037AD4" w:rsidRDefault="00B54D51" w:rsidP="00401C67">
            <w:pPr>
              <w:widowControl w:val="0"/>
              <w:autoSpaceDE w:val="0"/>
              <w:autoSpaceDN w:val="0"/>
              <w:adjustRightInd w:val="0"/>
              <w:jc w:val="center"/>
            </w:pPr>
            <w:r w:rsidRPr="00037AD4">
              <w:t>-0.082</w:t>
            </w:r>
          </w:p>
        </w:tc>
        <w:tc>
          <w:tcPr>
            <w:tcW w:w="670" w:type="pct"/>
            <w:tcBorders>
              <w:top w:val="nil"/>
              <w:left w:val="nil"/>
              <w:bottom w:val="nil"/>
              <w:right w:val="nil"/>
            </w:tcBorders>
          </w:tcPr>
          <w:p w14:paraId="64F70BEE" w14:textId="77777777" w:rsidR="00B54D51" w:rsidRPr="00037AD4" w:rsidRDefault="00B54D51" w:rsidP="00401C67">
            <w:pPr>
              <w:widowControl w:val="0"/>
              <w:autoSpaceDE w:val="0"/>
              <w:autoSpaceDN w:val="0"/>
              <w:adjustRightInd w:val="0"/>
              <w:jc w:val="center"/>
            </w:pPr>
            <w:r w:rsidRPr="00037AD4">
              <w:t>-0.089</w:t>
            </w:r>
          </w:p>
        </w:tc>
        <w:tc>
          <w:tcPr>
            <w:tcW w:w="670" w:type="pct"/>
            <w:tcBorders>
              <w:top w:val="nil"/>
              <w:left w:val="nil"/>
              <w:bottom w:val="nil"/>
              <w:right w:val="nil"/>
            </w:tcBorders>
          </w:tcPr>
          <w:p w14:paraId="7491A76A" w14:textId="77777777" w:rsidR="00B54D51" w:rsidRPr="00037AD4" w:rsidRDefault="00B54D51" w:rsidP="00401C67">
            <w:pPr>
              <w:widowControl w:val="0"/>
              <w:autoSpaceDE w:val="0"/>
              <w:autoSpaceDN w:val="0"/>
              <w:adjustRightInd w:val="0"/>
              <w:jc w:val="center"/>
            </w:pPr>
            <w:r w:rsidRPr="00037AD4">
              <w:t>-0.306</w:t>
            </w:r>
          </w:p>
        </w:tc>
        <w:tc>
          <w:tcPr>
            <w:tcW w:w="670" w:type="pct"/>
            <w:tcBorders>
              <w:top w:val="nil"/>
              <w:left w:val="nil"/>
              <w:bottom w:val="nil"/>
              <w:right w:val="nil"/>
            </w:tcBorders>
          </w:tcPr>
          <w:p w14:paraId="12D07450"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620ADCA1" w14:textId="77777777" w:rsidR="00B54D51" w:rsidRPr="00037AD4" w:rsidRDefault="00B54D51" w:rsidP="00401C67">
            <w:pPr>
              <w:widowControl w:val="0"/>
              <w:autoSpaceDE w:val="0"/>
              <w:autoSpaceDN w:val="0"/>
              <w:adjustRightInd w:val="0"/>
              <w:jc w:val="center"/>
            </w:pPr>
          </w:p>
        </w:tc>
      </w:tr>
      <w:tr w:rsidR="00B54D51" w:rsidRPr="00037AD4" w14:paraId="1B59D162" w14:textId="77777777" w:rsidTr="00401C67">
        <w:trPr>
          <w:jc w:val="center"/>
        </w:trPr>
        <w:tc>
          <w:tcPr>
            <w:tcW w:w="1608" w:type="pct"/>
            <w:tcBorders>
              <w:top w:val="nil"/>
              <w:left w:val="nil"/>
              <w:bottom w:val="nil"/>
              <w:right w:val="nil"/>
            </w:tcBorders>
          </w:tcPr>
          <w:p w14:paraId="19E9FB6B" w14:textId="77777777" w:rsidR="00B54D51" w:rsidRPr="00037AD4" w:rsidRDefault="00B54D51" w:rsidP="00401C67">
            <w:pPr>
              <w:widowControl w:val="0"/>
              <w:autoSpaceDE w:val="0"/>
              <w:autoSpaceDN w:val="0"/>
              <w:adjustRightInd w:val="0"/>
            </w:pPr>
          </w:p>
        </w:tc>
        <w:tc>
          <w:tcPr>
            <w:tcW w:w="713" w:type="pct"/>
            <w:tcBorders>
              <w:top w:val="nil"/>
              <w:left w:val="nil"/>
              <w:bottom w:val="nil"/>
              <w:right w:val="nil"/>
            </w:tcBorders>
          </w:tcPr>
          <w:p w14:paraId="405F0832" w14:textId="77777777" w:rsidR="00B54D51" w:rsidRPr="00037AD4" w:rsidRDefault="00B54D51" w:rsidP="00401C67">
            <w:pPr>
              <w:widowControl w:val="0"/>
              <w:autoSpaceDE w:val="0"/>
              <w:autoSpaceDN w:val="0"/>
              <w:adjustRightInd w:val="0"/>
              <w:jc w:val="center"/>
            </w:pPr>
            <w:r w:rsidRPr="00037AD4">
              <w:t>(-1.040 - 0.877)</w:t>
            </w:r>
          </w:p>
        </w:tc>
        <w:tc>
          <w:tcPr>
            <w:tcW w:w="670" w:type="pct"/>
            <w:tcBorders>
              <w:top w:val="nil"/>
              <w:left w:val="nil"/>
              <w:bottom w:val="nil"/>
              <w:right w:val="nil"/>
            </w:tcBorders>
          </w:tcPr>
          <w:p w14:paraId="18CA3537" w14:textId="77777777" w:rsidR="00B54D51" w:rsidRPr="00037AD4" w:rsidRDefault="00B54D51" w:rsidP="00401C67">
            <w:pPr>
              <w:widowControl w:val="0"/>
              <w:autoSpaceDE w:val="0"/>
              <w:autoSpaceDN w:val="0"/>
              <w:adjustRightInd w:val="0"/>
              <w:jc w:val="center"/>
            </w:pPr>
            <w:r w:rsidRPr="00037AD4">
              <w:t>(-0.816 - 0.638)</w:t>
            </w:r>
          </w:p>
        </w:tc>
        <w:tc>
          <w:tcPr>
            <w:tcW w:w="670" w:type="pct"/>
            <w:tcBorders>
              <w:top w:val="nil"/>
              <w:left w:val="nil"/>
              <w:bottom w:val="nil"/>
              <w:right w:val="nil"/>
            </w:tcBorders>
          </w:tcPr>
          <w:p w14:paraId="20684AA9" w14:textId="77777777" w:rsidR="00B54D51" w:rsidRPr="00037AD4" w:rsidRDefault="00B54D51" w:rsidP="00401C67">
            <w:pPr>
              <w:widowControl w:val="0"/>
              <w:autoSpaceDE w:val="0"/>
              <w:autoSpaceDN w:val="0"/>
              <w:adjustRightInd w:val="0"/>
              <w:jc w:val="center"/>
            </w:pPr>
            <w:r w:rsidRPr="00037AD4">
              <w:t>(-1.096 - 0.484)</w:t>
            </w:r>
          </w:p>
        </w:tc>
        <w:tc>
          <w:tcPr>
            <w:tcW w:w="670" w:type="pct"/>
            <w:tcBorders>
              <w:top w:val="nil"/>
              <w:left w:val="nil"/>
              <w:bottom w:val="nil"/>
              <w:right w:val="nil"/>
            </w:tcBorders>
          </w:tcPr>
          <w:p w14:paraId="5C04FA67"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4607266C" w14:textId="77777777" w:rsidR="00B54D51" w:rsidRPr="00037AD4" w:rsidRDefault="00B54D51" w:rsidP="00401C67">
            <w:pPr>
              <w:widowControl w:val="0"/>
              <w:autoSpaceDE w:val="0"/>
              <w:autoSpaceDN w:val="0"/>
              <w:adjustRightInd w:val="0"/>
              <w:jc w:val="center"/>
            </w:pPr>
          </w:p>
        </w:tc>
      </w:tr>
      <w:tr w:rsidR="00B54D51" w:rsidRPr="00037AD4" w14:paraId="1D8658D0" w14:textId="77777777" w:rsidTr="00401C67">
        <w:trPr>
          <w:jc w:val="center"/>
        </w:trPr>
        <w:tc>
          <w:tcPr>
            <w:tcW w:w="1608" w:type="pct"/>
            <w:tcBorders>
              <w:top w:val="nil"/>
              <w:left w:val="nil"/>
              <w:bottom w:val="nil"/>
              <w:right w:val="nil"/>
            </w:tcBorders>
          </w:tcPr>
          <w:p w14:paraId="5FC24F67" w14:textId="77777777" w:rsidR="00B54D51" w:rsidRPr="00037AD4" w:rsidRDefault="00B54D51" w:rsidP="00401C67">
            <w:pPr>
              <w:widowControl w:val="0"/>
              <w:autoSpaceDE w:val="0"/>
              <w:autoSpaceDN w:val="0"/>
              <w:adjustRightInd w:val="0"/>
            </w:pPr>
            <w:r w:rsidRPr="00037AD4">
              <w:t>2.eq1RP_</w:t>
            </w:r>
          </w:p>
        </w:tc>
        <w:tc>
          <w:tcPr>
            <w:tcW w:w="713" w:type="pct"/>
            <w:tcBorders>
              <w:top w:val="nil"/>
              <w:left w:val="nil"/>
              <w:bottom w:val="nil"/>
              <w:right w:val="nil"/>
            </w:tcBorders>
          </w:tcPr>
          <w:p w14:paraId="3C6D021A" w14:textId="77777777" w:rsidR="00B54D51" w:rsidRPr="00037AD4" w:rsidRDefault="00B54D51" w:rsidP="00401C67">
            <w:pPr>
              <w:widowControl w:val="0"/>
              <w:autoSpaceDE w:val="0"/>
              <w:autoSpaceDN w:val="0"/>
              <w:adjustRightInd w:val="0"/>
              <w:jc w:val="center"/>
            </w:pPr>
            <w:r w:rsidRPr="00037AD4">
              <w:t>0.253**</w:t>
            </w:r>
          </w:p>
        </w:tc>
        <w:tc>
          <w:tcPr>
            <w:tcW w:w="670" w:type="pct"/>
            <w:tcBorders>
              <w:top w:val="nil"/>
              <w:left w:val="nil"/>
              <w:bottom w:val="nil"/>
              <w:right w:val="nil"/>
            </w:tcBorders>
          </w:tcPr>
          <w:p w14:paraId="3CF67790"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56559A2A"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2D0828B5"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2D0E6D5D" w14:textId="77777777" w:rsidR="00B54D51" w:rsidRPr="00037AD4" w:rsidRDefault="00B54D51" w:rsidP="00401C67">
            <w:pPr>
              <w:widowControl w:val="0"/>
              <w:autoSpaceDE w:val="0"/>
              <w:autoSpaceDN w:val="0"/>
              <w:adjustRightInd w:val="0"/>
              <w:jc w:val="center"/>
            </w:pPr>
          </w:p>
        </w:tc>
      </w:tr>
      <w:tr w:rsidR="00B54D51" w:rsidRPr="00037AD4" w14:paraId="7B33AF5B" w14:textId="77777777" w:rsidTr="00401C67">
        <w:trPr>
          <w:jc w:val="center"/>
        </w:trPr>
        <w:tc>
          <w:tcPr>
            <w:tcW w:w="1608" w:type="pct"/>
            <w:tcBorders>
              <w:top w:val="nil"/>
              <w:left w:val="nil"/>
              <w:bottom w:val="nil"/>
              <w:right w:val="nil"/>
            </w:tcBorders>
          </w:tcPr>
          <w:p w14:paraId="4609D6BD" w14:textId="77777777" w:rsidR="00B54D51" w:rsidRPr="00037AD4" w:rsidRDefault="00B54D51" w:rsidP="00401C67">
            <w:pPr>
              <w:widowControl w:val="0"/>
              <w:autoSpaceDE w:val="0"/>
              <w:autoSpaceDN w:val="0"/>
              <w:adjustRightInd w:val="0"/>
            </w:pPr>
          </w:p>
        </w:tc>
        <w:tc>
          <w:tcPr>
            <w:tcW w:w="713" w:type="pct"/>
            <w:tcBorders>
              <w:top w:val="nil"/>
              <w:left w:val="nil"/>
              <w:bottom w:val="nil"/>
              <w:right w:val="nil"/>
            </w:tcBorders>
          </w:tcPr>
          <w:p w14:paraId="027FECD3" w14:textId="77777777" w:rsidR="00B54D51" w:rsidRPr="00037AD4" w:rsidRDefault="00B54D51" w:rsidP="00401C67">
            <w:pPr>
              <w:widowControl w:val="0"/>
              <w:autoSpaceDE w:val="0"/>
              <w:autoSpaceDN w:val="0"/>
              <w:adjustRightInd w:val="0"/>
              <w:jc w:val="center"/>
            </w:pPr>
            <w:r w:rsidRPr="00037AD4">
              <w:t>(0.048 - 0.459)</w:t>
            </w:r>
          </w:p>
        </w:tc>
        <w:tc>
          <w:tcPr>
            <w:tcW w:w="670" w:type="pct"/>
            <w:tcBorders>
              <w:top w:val="nil"/>
              <w:left w:val="nil"/>
              <w:bottom w:val="nil"/>
              <w:right w:val="nil"/>
            </w:tcBorders>
          </w:tcPr>
          <w:p w14:paraId="00AD1E2B"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0C6AFDFD"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7F9E9D61"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03089473" w14:textId="77777777" w:rsidR="00B54D51" w:rsidRPr="00037AD4" w:rsidRDefault="00B54D51" w:rsidP="00401C67">
            <w:pPr>
              <w:widowControl w:val="0"/>
              <w:autoSpaceDE w:val="0"/>
              <w:autoSpaceDN w:val="0"/>
              <w:adjustRightInd w:val="0"/>
              <w:jc w:val="center"/>
            </w:pPr>
          </w:p>
        </w:tc>
      </w:tr>
      <w:tr w:rsidR="00B54D51" w:rsidRPr="00037AD4" w14:paraId="4EDE0FBC" w14:textId="77777777" w:rsidTr="00401C67">
        <w:trPr>
          <w:jc w:val="center"/>
        </w:trPr>
        <w:tc>
          <w:tcPr>
            <w:tcW w:w="1608" w:type="pct"/>
            <w:tcBorders>
              <w:top w:val="nil"/>
              <w:left w:val="nil"/>
              <w:bottom w:val="nil"/>
              <w:right w:val="nil"/>
            </w:tcBorders>
          </w:tcPr>
          <w:p w14:paraId="08DB1D04" w14:textId="77777777" w:rsidR="00B54D51" w:rsidRPr="00037AD4" w:rsidRDefault="00B54D51" w:rsidP="00401C67">
            <w:pPr>
              <w:widowControl w:val="0"/>
              <w:autoSpaceDE w:val="0"/>
              <w:autoSpaceDN w:val="0"/>
              <w:adjustRightInd w:val="0"/>
            </w:pPr>
            <w:r w:rsidRPr="00037AD4">
              <w:t>3.eq1RP_</w:t>
            </w:r>
          </w:p>
        </w:tc>
        <w:tc>
          <w:tcPr>
            <w:tcW w:w="713" w:type="pct"/>
            <w:tcBorders>
              <w:top w:val="nil"/>
              <w:left w:val="nil"/>
              <w:bottom w:val="nil"/>
              <w:right w:val="nil"/>
            </w:tcBorders>
          </w:tcPr>
          <w:p w14:paraId="58F4DCAC" w14:textId="77777777" w:rsidR="00B54D51" w:rsidRPr="00037AD4" w:rsidRDefault="00B54D51" w:rsidP="00401C67">
            <w:pPr>
              <w:widowControl w:val="0"/>
              <w:autoSpaceDE w:val="0"/>
              <w:autoSpaceDN w:val="0"/>
              <w:adjustRightInd w:val="0"/>
              <w:jc w:val="center"/>
            </w:pPr>
            <w:r w:rsidRPr="00037AD4">
              <w:t>0.195</w:t>
            </w:r>
          </w:p>
        </w:tc>
        <w:tc>
          <w:tcPr>
            <w:tcW w:w="670" w:type="pct"/>
            <w:tcBorders>
              <w:top w:val="nil"/>
              <w:left w:val="nil"/>
              <w:bottom w:val="nil"/>
              <w:right w:val="nil"/>
            </w:tcBorders>
          </w:tcPr>
          <w:p w14:paraId="44C2917E"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775474E6"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7E158B7E"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1B956F5D" w14:textId="77777777" w:rsidR="00B54D51" w:rsidRPr="00037AD4" w:rsidRDefault="00B54D51" w:rsidP="00401C67">
            <w:pPr>
              <w:widowControl w:val="0"/>
              <w:autoSpaceDE w:val="0"/>
              <w:autoSpaceDN w:val="0"/>
              <w:adjustRightInd w:val="0"/>
              <w:jc w:val="center"/>
            </w:pPr>
          </w:p>
        </w:tc>
      </w:tr>
      <w:tr w:rsidR="00B54D51" w:rsidRPr="00037AD4" w14:paraId="5E75B7D5" w14:textId="77777777" w:rsidTr="00401C67">
        <w:trPr>
          <w:jc w:val="center"/>
        </w:trPr>
        <w:tc>
          <w:tcPr>
            <w:tcW w:w="1608" w:type="pct"/>
            <w:tcBorders>
              <w:top w:val="nil"/>
              <w:left w:val="nil"/>
              <w:bottom w:val="nil"/>
              <w:right w:val="nil"/>
            </w:tcBorders>
          </w:tcPr>
          <w:p w14:paraId="380E8E0B" w14:textId="77777777" w:rsidR="00B54D51" w:rsidRPr="00037AD4" w:rsidRDefault="00B54D51" w:rsidP="00401C67">
            <w:pPr>
              <w:widowControl w:val="0"/>
              <w:autoSpaceDE w:val="0"/>
              <w:autoSpaceDN w:val="0"/>
              <w:adjustRightInd w:val="0"/>
            </w:pPr>
          </w:p>
        </w:tc>
        <w:tc>
          <w:tcPr>
            <w:tcW w:w="713" w:type="pct"/>
            <w:tcBorders>
              <w:top w:val="nil"/>
              <w:left w:val="nil"/>
              <w:bottom w:val="nil"/>
              <w:right w:val="nil"/>
            </w:tcBorders>
          </w:tcPr>
          <w:p w14:paraId="216C014F" w14:textId="77777777" w:rsidR="00B54D51" w:rsidRPr="00037AD4" w:rsidRDefault="00B54D51" w:rsidP="00401C67">
            <w:pPr>
              <w:widowControl w:val="0"/>
              <w:autoSpaceDE w:val="0"/>
              <w:autoSpaceDN w:val="0"/>
              <w:adjustRightInd w:val="0"/>
              <w:jc w:val="center"/>
            </w:pPr>
            <w:r w:rsidRPr="00037AD4">
              <w:t>(-0.060 - 0.450)</w:t>
            </w:r>
          </w:p>
        </w:tc>
        <w:tc>
          <w:tcPr>
            <w:tcW w:w="670" w:type="pct"/>
            <w:tcBorders>
              <w:top w:val="nil"/>
              <w:left w:val="nil"/>
              <w:bottom w:val="nil"/>
              <w:right w:val="nil"/>
            </w:tcBorders>
          </w:tcPr>
          <w:p w14:paraId="477AE7D9"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511D59DB"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6E0D0138"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03F4B94F" w14:textId="77777777" w:rsidR="00B54D51" w:rsidRPr="00037AD4" w:rsidRDefault="00B54D51" w:rsidP="00401C67">
            <w:pPr>
              <w:widowControl w:val="0"/>
              <w:autoSpaceDE w:val="0"/>
              <w:autoSpaceDN w:val="0"/>
              <w:adjustRightInd w:val="0"/>
              <w:jc w:val="center"/>
            </w:pPr>
          </w:p>
        </w:tc>
      </w:tr>
      <w:tr w:rsidR="00B54D51" w:rsidRPr="00037AD4" w14:paraId="7F178CB4" w14:textId="77777777" w:rsidTr="00401C67">
        <w:trPr>
          <w:jc w:val="center"/>
        </w:trPr>
        <w:tc>
          <w:tcPr>
            <w:tcW w:w="1608" w:type="pct"/>
            <w:tcBorders>
              <w:top w:val="nil"/>
              <w:left w:val="nil"/>
              <w:bottom w:val="nil"/>
              <w:right w:val="nil"/>
            </w:tcBorders>
          </w:tcPr>
          <w:p w14:paraId="651A3FB1" w14:textId="77777777" w:rsidR="00B54D51" w:rsidRPr="00037AD4" w:rsidRDefault="00B54D51" w:rsidP="00401C67">
            <w:pPr>
              <w:widowControl w:val="0"/>
              <w:autoSpaceDE w:val="0"/>
              <w:autoSpaceDN w:val="0"/>
              <w:adjustRightInd w:val="0"/>
            </w:pPr>
            <w:r w:rsidRPr="00037AD4">
              <w:t>4.eq1RP_</w:t>
            </w:r>
          </w:p>
        </w:tc>
        <w:tc>
          <w:tcPr>
            <w:tcW w:w="713" w:type="pct"/>
            <w:tcBorders>
              <w:top w:val="nil"/>
              <w:left w:val="nil"/>
              <w:bottom w:val="nil"/>
              <w:right w:val="nil"/>
            </w:tcBorders>
          </w:tcPr>
          <w:p w14:paraId="3B0A56EC" w14:textId="77777777" w:rsidR="00B54D51" w:rsidRPr="00037AD4" w:rsidRDefault="00B54D51" w:rsidP="00401C67">
            <w:pPr>
              <w:widowControl w:val="0"/>
              <w:autoSpaceDE w:val="0"/>
              <w:autoSpaceDN w:val="0"/>
              <w:adjustRightInd w:val="0"/>
              <w:jc w:val="center"/>
            </w:pPr>
            <w:r w:rsidRPr="00037AD4">
              <w:t>0.389**</w:t>
            </w:r>
          </w:p>
        </w:tc>
        <w:tc>
          <w:tcPr>
            <w:tcW w:w="670" w:type="pct"/>
            <w:tcBorders>
              <w:top w:val="nil"/>
              <w:left w:val="nil"/>
              <w:bottom w:val="nil"/>
              <w:right w:val="nil"/>
            </w:tcBorders>
          </w:tcPr>
          <w:p w14:paraId="16B56B9C"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48EE0B46"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6F3360D5"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2116B481" w14:textId="77777777" w:rsidR="00B54D51" w:rsidRPr="00037AD4" w:rsidRDefault="00B54D51" w:rsidP="00401C67">
            <w:pPr>
              <w:widowControl w:val="0"/>
              <w:autoSpaceDE w:val="0"/>
              <w:autoSpaceDN w:val="0"/>
              <w:adjustRightInd w:val="0"/>
              <w:jc w:val="center"/>
            </w:pPr>
          </w:p>
        </w:tc>
      </w:tr>
      <w:tr w:rsidR="00B54D51" w:rsidRPr="00037AD4" w14:paraId="570B3E23" w14:textId="77777777" w:rsidTr="00401C67">
        <w:trPr>
          <w:jc w:val="center"/>
        </w:trPr>
        <w:tc>
          <w:tcPr>
            <w:tcW w:w="1608" w:type="pct"/>
            <w:tcBorders>
              <w:top w:val="nil"/>
              <w:left w:val="nil"/>
              <w:bottom w:val="nil"/>
              <w:right w:val="nil"/>
            </w:tcBorders>
          </w:tcPr>
          <w:p w14:paraId="457DDF69" w14:textId="77777777" w:rsidR="00B54D51" w:rsidRPr="00037AD4" w:rsidRDefault="00B54D51" w:rsidP="00401C67">
            <w:pPr>
              <w:widowControl w:val="0"/>
              <w:autoSpaceDE w:val="0"/>
              <w:autoSpaceDN w:val="0"/>
              <w:adjustRightInd w:val="0"/>
            </w:pPr>
          </w:p>
        </w:tc>
        <w:tc>
          <w:tcPr>
            <w:tcW w:w="713" w:type="pct"/>
            <w:tcBorders>
              <w:top w:val="nil"/>
              <w:left w:val="nil"/>
              <w:bottom w:val="nil"/>
              <w:right w:val="nil"/>
            </w:tcBorders>
          </w:tcPr>
          <w:p w14:paraId="08F0891A" w14:textId="77777777" w:rsidR="00B54D51" w:rsidRPr="00037AD4" w:rsidRDefault="00B54D51" w:rsidP="00401C67">
            <w:pPr>
              <w:widowControl w:val="0"/>
              <w:autoSpaceDE w:val="0"/>
              <w:autoSpaceDN w:val="0"/>
              <w:adjustRightInd w:val="0"/>
              <w:jc w:val="center"/>
            </w:pPr>
            <w:r w:rsidRPr="00037AD4">
              <w:t>(0.055 - 0.723)</w:t>
            </w:r>
          </w:p>
        </w:tc>
        <w:tc>
          <w:tcPr>
            <w:tcW w:w="670" w:type="pct"/>
            <w:tcBorders>
              <w:top w:val="nil"/>
              <w:left w:val="nil"/>
              <w:bottom w:val="nil"/>
              <w:right w:val="nil"/>
            </w:tcBorders>
          </w:tcPr>
          <w:p w14:paraId="0EC868A4"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396305EA"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26E6AD8A"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7A9C3E34" w14:textId="77777777" w:rsidR="00B54D51" w:rsidRPr="00037AD4" w:rsidRDefault="00B54D51" w:rsidP="00401C67">
            <w:pPr>
              <w:widowControl w:val="0"/>
              <w:autoSpaceDE w:val="0"/>
              <w:autoSpaceDN w:val="0"/>
              <w:adjustRightInd w:val="0"/>
              <w:jc w:val="center"/>
            </w:pPr>
          </w:p>
        </w:tc>
      </w:tr>
      <w:tr w:rsidR="00B54D51" w:rsidRPr="00037AD4" w14:paraId="278FD74A" w14:textId="77777777" w:rsidTr="00401C67">
        <w:trPr>
          <w:jc w:val="center"/>
        </w:trPr>
        <w:tc>
          <w:tcPr>
            <w:tcW w:w="1608" w:type="pct"/>
            <w:tcBorders>
              <w:top w:val="nil"/>
              <w:left w:val="nil"/>
              <w:bottom w:val="nil"/>
              <w:right w:val="nil"/>
            </w:tcBorders>
          </w:tcPr>
          <w:p w14:paraId="655B9842" w14:textId="77777777" w:rsidR="00B54D51" w:rsidRPr="00037AD4" w:rsidRDefault="00B54D51" w:rsidP="00401C67">
            <w:pPr>
              <w:widowControl w:val="0"/>
              <w:autoSpaceDE w:val="0"/>
              <w:autoSpaceDN w:val="0"/>
              <w:adjustRightInd w:val="0"/>
            </w:pPr>
            <w:r w:rsidRPr="00037AD4">
              <w:t>5.eq1RP_</w:t>
            </w:r>
          </w:p>
        </w:tc>
        <w:tc>
          <w:tcPr>
            <w:tcW w:w="713" w:type="pct"/>
            <w:tcBorders>
              <w:top w:val="nil"/>
              <w:left w:val="nil"/>
              <w:bottom w:val="nil"/>
              <w:right w:val="nil"/>
            </w:tcBorders>
          </w:tcPr>
          <w:p w14:paraId="05ED0A20" w14:textId="77777777" w:rsidR="00B54D51" w:rsidRPr="00037AD4" w:rsidRDefault="00B54D51" w:rsidP="00401C67">
            <w:pPr>
              <w:widowControl w:val="0"/>
              <w:autoSpaceDE w:val="0"/>
              <w:autoSpaceDN w:val="0"/>
              <w:adjustRightInd w:val="0"/>
              <w:jc w:val="center"/>
            </w:pPr>
            <w:r w:rsidRPr="00037AD4">
              <w:t>1.347**</w:t>
            </w:r>
          </w:p>
        </w:tc>
        <w:tc>
          <w:tcPr>
            <w:tcW w:w="670" w:type="pct"/>
            <w:tcBorders>
              <w:top w:val="nil"/>
              <w:left w:val="nil"/>
              <w:bottom w:val="nil"/>
              <w:right w:val="nil"/>
            </w:tcBorders>
          </w:tcPr>
          <w:p w14:paraId="71AA218C"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26D5F358"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78E537A1"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0C941254" w14:textId="77777777" w:rsidR="00B54D51" w:rsidRPr="00037AD4" w:rsidRDefault="00B54D51" w:rsidP="00401C67">
            <w:pPr>
              <w:widowControl w:val="0"/>
              <w:autoSpaceDE w:val="0"/>
              <w:autoSpaceDN w:val="0"/>
              <w:adjustRightInd w:val="0"/>
              <w:jc w:val="center"/>
            </w:pPr>
          </w:p>
        </w:tc>
      </w:tr>
      <w:tr w:rsidR="00B54D51" w:rsidRPr="00037AD4" w14:paraId="0ED9ABDD" w14:textId="77777777" w:rsidTr="00401C67">
        <w:trPr>
          <w:jc w:val="center"/>
        </w:trPr>
        <w:tc>
          <w:tcPr>
            <w:tcW w:w="1608" w:type="pct"/>
            <w:tcBorders>
              <w:top w:val="nil"/>
              <w:left w:val="nil"/>
              <w:bottom w:val="nil"/>
              <w:right w:val="nil"/>
            </w:tcBorders>
          </w:tcPr>
          <w:p w14:paraId="54430341" w14:textId="77777777" w:rsidR="00B54D51" w:rsidRPr="00037AD4" w:rsidRDefault="00B54D51" w:rsidP="00401C67">
            <w:pPr>
              <w:widowControl w:val="0"/>
              <w:autoSpaceDE w:val="0"/>
              <w:autoSpaceDN w:val="0"/>
              <w:adjustRightInd w:val="0"/>
            </w:pPr>
          </w:p>
        </w:tc>
        <w:tc>
          <w:tcPr>
            <w:tcW w:w="713" w:type="pct"/>
            <w:tcBorders>
              <w:top w:val="nil"/>
              <w:left w:val="nil"/>
              <w:bottom w:val="nil"/>
              <w:right w:val="nil"/>
            </w:tcBorders>
          </w:tcPr>
          <w:p w14:paraId="29E0B87F" w14:textId="77777777" w:rsidR="00B54D51" w:rsidRPr="00037AD4" w:rsidRDefault="00B54D51" w:rsidP="00401C67">
            <w:pPr>
              <w:widowControl w:val="0"/>
              <w:autoSpaceDE w:val="0"/>
              <w:autoSpaceDN w:val="0"/>
              <w:adjustRightInd w:val="0"/>
              <w:jc w:val="center"/>
            </w:pPr>
            <w:r w:rsidRPr="00037AD4">
              <w:t>(0.144 - 2.550)</w:t>
            </w:r>
          </w:p>
        </w:tc>
        <w:tc>
          <w:tcPr>
            <w:tcW w:w="670" w:type="pct"/>
            <w:tcBorders>
              <w:top w:val="nil"/>
              <w:left w:val="nil"/>
              <w:bottom w:val="nil"/>
              <w:right w:val="nil"/>
            </w:tcBorders>
          </w:tcPr>
          <w:p w14:paraId="2D12987C"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3D70974D"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23693F0A"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17A422D9" w14:textId="77777777" w:rsidR="00B54D51" w:rsidRPr="00037AD4" w:rsidRDefault="00B54D51" w:rsidP="00401C67">
            <w:pPr>
              <w:widowControl w:val="0"/>
              <w:autoSpaceDE w:val="0"/>
              <w:autoSpaceDN w:val="0"/>
              <w:adjustRightInd w:val="0"/>
              <w:jc w:val="center"/>
            </w:pPr>
          </w:p>
        </w:tc>
      </w:tr>
      <w:tr w:rsidR="00B54D51" w:rsidRPr="00037AD4" w14:paraId="0053C58A" w14:textId="77777777" w:rsidTr="00401C67">
        <w:trPr>
          <w:jc w:val="center"/>
        </w:trPr>
        <w:tc>
          <w:tcPr>
            <w:tcW w:w="1608" w:type="pct"/>
            <w:tcBorders>
              <w:top w:val="nil"/>
              <w:left w:val="nil"/>
              <w:bottom w:val="nil"/>
              <w:right w:val="nil"/>
            </w:tcBorders>
          </w:tcPr>
          <w:p w14:paraId="4FA2E645" w14:textId="77777777" w:rsidR="00B54D51" w:rsidRPr="00037AD4" w:rsidRDefault="00B54D51" w:rsidP="00401C67">
            <w:pPr>
              <w:widowControl w:val="0"/>
              <w:autoSpaceDE w:val="0"/>
              <w:autoSpaceDN w:val="0"/>
              <w:adjustRightInd w:val="0"/>
            </w:pPr>
            <w:r w:rsidRPr="00037AD4">
              <w:t>2.eq2RP_</w:t>
            </w:r>
          </w:p>
        </w:tc>
        <w:tc>
          <w:tcPr>
            <w:tcW w:w="713" w:type="pct"/>
            <w:tcBorders>
              <w:top w:val="nil"/>
              <w:left w:val="nil"/>
              <w:bottom w:val="nil"/>
              <w:right w:val="nil"/>
            </w:tcBorders>
          </w:tcPr>
          <w:p w14:paraId="3768CC9E" w14:textId="77777777" w:rsidR="00B54D51" w:rsidRPr="00037AD4" w:rsidRDefault="00B54D51" w:rsidP="00401C67">
            <w:pPr>
              <w:widowControl w:val="0"/>
              <w:autoSpaceDE w:val="0"/>
              <w:autoSpaceDN w:val="0"/>
              <w:adjustRightInd w:val="0"/>
              <w:jc w:val="center"/>
            </w:pPr>
            <w:r w:rsidRPr="00037AD4">
              <w:t>-0.091</w:t>
            </w:r>
          </w:p>
        </w:tc>
        <w:tc>
          <w:tcPr>
            <w:tcW w:w="670" w:type="pct"/>
            <w:tcBorders>
              <w:top w:val="nil"/>
              <w:left w:val="nil"/>
              <w:bottom w:val="nil"/>
              <w:right w:val="nil"/>
            </w:tcBorders>
          </w:tcPr>
          <w:p w14:paraId="4A7EA449"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77716B05"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55238B3D"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4FA176B4" w14:textId="77777777" w:rsidR="00B54D51" w:rsidRPr="00037AD4" w:rsidRDefault="00B54D51" w:rsidP="00401C67">
            <w:pPr>
              <w:widowControl w:val="0"/>
              <w:autoSpaceDE w:val="0"/>
              <w:autoSpaceDN w:val="0"/>
              <w:adjustRightInd w:val="0"/>
              <w:jc w:val="center"/>
            </w:pPr>
          </w:p>
        </w:tc>
      </w:tr>
      <w:tr w:rsidR="00B54D51" w:rsidRPr="00037AD4" w14:paraId="3684D188" w14:textId="77777777" w:rsidTr="00401C67">
        <w:trPr>
          <w:jc w:val="center"/>
        </w:trPr>
        <w:tc>
          <w:tcPr>
            <w:tcW w:w="1608" w:type="pct"/>
            <w:tcBorders>
              <w:top w:val="nil"/>
              <w:left w:val="nil"/>
              <w:bottom w:val="nil"/>
              <w:right w:val="nil"/>
            </w:tcBorders>
          </w:tcPr>
          <w:p w14:paraId="28CDF30F" w14:textId="77777777" w:rsidR="00B54D51" w:rsidRPr="00037AD4" w:rsidRDefault="00B54D51" w:rsidP="00401C67">
            <w:pPr>
              <w:widowControl w:val="0"/>
              <w:autoSpaceDE w:val="0"/>
              <w:autoSpaceDN w:val="0"/>
              <w:adjustRightInd w:val="0"/>
            </w:pPr>
          </w:p>
        </w:tc>
        <w:tc>
          <w:tcPr>
            <w:tcW w:w="713" w:type="pct"/>
            <w:tcBorders>
              <w:top w:val="nil"/>
              <w:left w:val="nil"/>
              <w:bottom w:val="nil"/>
              <w:right w:val="nil"/>
            </w:tcBorders>
          </w:tcPr>
          <w:p w14:paraId="7FF25B91" w14:textId="77777777" w:rsidR="00B54D51" w:rsidRPr="00037AD4" w:rsidRDefault="00B54D51" w:rsidP="00401C67">
            <w:pPr>
              <w:widowControl w:val="0"/>
              <w:autoSpaceDE w:val="0"/>
              <w:autoSpaceDN w:val="0"/>
              <w:adjustRightInd w:val="0"/>
              <w:jc w:val="center"/>
            </w:pPr>
            <w:r w:rsidRPr="00037AD4">
              <w:t>(-0.343 - 0.161)</w:t>
            </w:r>
          </w:p>
        </w:tc>
        <w:tc>
          <w:tcPr>
            <w:tcW w:w="670" w:type="pct"/>
            <w:tcBorders>
              <w:top w:val="nil"/>
              <w:left w:val="nil"/>
              <w:bottom w:val="nil"/>
              <w:right w:val="nil"/>
            </w:tcBorders>
          </w:tcPr>
          <w:p w14:paraId="0FAFBF17"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6442A11B"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6B2B7B26"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7E2041AF" w14:textId="77777777" w:rsidR="00B54D51" w:rsidRPr="00037AD4" w:rsidRDefault="00B54D51" w:rsidP="00401C67">
            <w:pPr>
              <w:widowControl w:val="0"/>
              <w:autoSpaceDE w:val="0"/>
              <w:autoSpaceDN w:val="0"/>
              <w:adjustRightInd w:val="0"/>
              <w:jc w:val="center"/>
            </w:pPr>
          </w:p>
        </w:tc>
      </w:tr>
      <w:tr w:rsidR="00B54D51" w:rsidRPr="00037AD4" w14:paraId="0868AC45" w14:textId="77777777" w:rsidTr="00401C67">
        <w:trPr>
          <w:jc w:val="center"/>
        </w:trPr>
        <w:tc>
          <w:tcPr>
            <w:tcW w:w="1608" w:type="pct"/>
            <w:tcBorders>
              <w:top w:val="nil"/>
              <w:left w:val="nil"/>
              <w:bottom w:val="nil"/>
              <w:right w:val="nil"/>
            </w:tcBorders>
          </w:tcPr>
          <w:p w14:paraId="20672B18" w14:textId="77777777" w:rsidR="00B54D51" w:rsidRPr="00037AD4" w:rsidRDefault="00B54D51" w:rsidP="00401C67">
            <w:pPr>
              <w:widowControl w:val="0"/>
              <w:autoSpaceDE w:val="0"/>
              <w:autoSpaceDN w:val="0"/>
              <w:adjustRightInd w:val="0"/>
            </w:pPr>
            <w:r w:rsidRPr="00037AD4">
              <w:t>3.eq2RP_</w:t>
            </w:r>
          </w:p>
        </w:tc>
        <w:tc>
          <w:tcPr>
            <w:tcW w:w="713" w:type="pct"/>
            <w:tcBorders>
              <w:top w:val="nil"/>
              <w:left w:val="nil"/>
              <w:bottom w:val="nil"/>
              <w:right w:val="nil"/>
            </w:tcBorders>
          </w:tcPr>
          <w:p w14:paraId="30ED05A5" w14:textId="77777777" w:rsidR="00B54D51" w:rsidRPr="00037AD4" w:rsidRDefault="00B54D51" w:rsidP="00401C67">
            <w:pPr>
              <w:widowControl w:val="0"/>
              <w:autoSpaceDE w:val="0"/>
              <w:autoSpaceDN w:val="0"/>
              <w:adjustRightInd w:val="0"/>
              <w:jc w:val="center"/>
            </w:pPr>
            <w:r w:rsidRPr="00037AD4">
              <w:t>0.070</w:t>
            </w:r>
          </w:p>
        </w:tc>
        <w:tc>
          <w:tcPr>
            <w:tcW w:w="670" w:type="pct"/>
            <w:tcBorders>
              <w:top w:val="nil"/>
              <w:left w:val="nil"/>
              <w:bottom w:val="nil"/>
              <w:right w:val="nil"/>
            </w:tcBorders>
          </w:tcPr>
          <w:p w14:paraId="0FFE6130"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2CE3248A"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20FD7B28"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376A69C6" w14:textId="77777777" w:rsidR="00B54D51" w:rsidRPr="00037AD4" w:rsidRDefault="00B54D51" w:rsidP="00401C67">
            <w:pPr>
              <w:widowControl w:val="0"/>
              <w:autoSpaceDE w:val="0"/>
              <w:autoSpaceDN w:val="0"/>
              <w:adjustRightInd w:val="0"/>
              <w:jc w:val="center"/>
            </w:pPr>
          </w:p>
        </w:tc>
      </w:tr>
      <w:tr w:rsidR="00B54D51" w:rsidRPr="00037AD4" w14:paraId="23F27D08" w14:textId="77777777" w:rsidTr="00401C67">
        <w:trPr>
          <w:jc w:val="center"/>
        </w:trPr>
        <w:tc>
          <w:tcPr>
            <w:tcW w:w="1608" w:type="pct"/>
            <w:tcBorders>
              <w:top w:val="nil"/>
              <w:left w:val="nil"/>
              <w:bottom w:val="nil"/>
              <w:right w:val="nil"/>
            </w:tcBorders>
          </w:tcPr>
          <w:p w14:paraId="32A596A7" w14:textId="77777777" w:rsidR="00B54D51" w:rsidRPr="00037AD4" w:rsidRDefault="00B54D51" w:rsidP="00401C67">
            <w:pPr>
              <w:widowControl w:val="0"/>
              <w:autoSpaceDE w:val="0"/>
              <w:autoSpaceDN w:val="0"/>
              <w:adjustRightInd w:val="0"/>
            </w:pPr>
          </w:p>
        </w:tc>
        <w:tc>
          <w:tcPr>
            <w:tcW w:w="713" w:type="pct"/>
            <w:tcBorders>
              <w:top w:val="nil"/>
              <w:left w:val="nil"/>
              <w:bottom w:val="nil"/>
              <w:right w:val="nil"/>
            </w:tcBorders>
          </w:tcPr>
          <w:p w14:paraId="1591585E" w14:textId="77777777" w:rsidR="00B54D51" w:rsidRPr="00037AD4" w:rsidRDefault="00B54D51" w:rsidP="00401C67">
            <w:pPr>
              <w:widowControl w:val="0"/>
              <w:autoSpaceDE w:val="0"/>
              <w:autoSpaceDN w:val="0"/>
              <w:adjustRightInd w:val="0"/>
              <w:jc w:val="center"/>
            </w:pPr>
            <w:r w:rsidRPr="00037AD4">
              <w:t>(-0.258 - 0.397)</w:t>
            </w:r>
          </w:p>
        </w:tc>
        <w:tc>
          <w:tcPr>
            <w:tcW w:w="670" w:type="pct"/>
            <w:tcBorders>
              <w:top w:val="nil"/>
              <w:left w:val="nil"/>
              <w:bottom w:val="nil"/>
              <w:right w:val="nil"/>
            </w:tcBorders>
          </w:tcPr>
          <w:p w14:paraId="03F7BD82"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522DCFE9"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428DF383"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5AC3C892" w14:textId="77777777" w:rsidR="00B54D51" w:rsidRPr="00037AD4" w:rsidRDefault="00B54D51" w:rsidP="00401C67">
            <w:pPr>
              <w:widowControl w:val="0"/>
              <w:autoSpaceDE w:val="0"/>
              <w:autoSpaceDN w:val="0"/>
              <w:adjustRightInd w:val="0"/>
              <w:jc w:val="center"/>
            </w:pPr>
          </w:p>
        </w:tc>
      </w:tr>
      <w:tr w:rsidR="00B54D51" w:rsidRPr="00037AD4" w14:paraId="13EEBD39" w14:textId="77777777" w:rsidTr="00401C67">
        <w:trPr>
          <w:jc w:val="center"/>
        </w:trPr>
        <w:tc>
          <w:tcPr>
            <w:tcW w:w="1608" w:type="pct"/>
            <w:tcBorders>
              <w:top w:val="nil"/>
              <w:left w:val="nil"/>
              <w:bottom w:val="nil"/>
              <w:right w:val="nil"/>
            </w:tcBorders>
          </w:tcPr>
          <w:p w14:paraId="28B35647" w14:textId="77777777" w:rsidR="00B54D51" w:rsidRPr="00037AD4" w:rsidRDefault="00B54D51" w:rsidP="00401C67">
            <w:pPr>
              <w:widowControl w:val="0"/>
              <w:autoSpaceDE w:val="0"/>
              <w:autoSpaceDN w:val="0"/>
              <w:adjustRightInd w:val="0"/>
            </w:pPr>
            <w:r w:rsidRPr="00037AD4">
              <w:t>4.eq2RP_</w:t>
            </w:r>
          </w:p>
        </w:tc>
        <w:tc>
          <w:tcPr>
            <w:tcW w:w="713" w:type="pct"/>
            <w:tcBorders>
              <w:top w:val="nil"/>
              <w:left w:val="nil"/>
              <w:bottom w:val="nil"/>
              <w:right w:val="nil"/>
            </w:tcBorders>
          </w:tcPr>
          <w:p w14:paraId="0301A861" w14:textId="77777777" w:rsidR="00B54D51" w:rsidRPr="00037AD4" w:rsidRDefault="00B54D51" w:rsidP="00401C67">
            <w:pPr>
              <w:widowControl w:val="0"/>
              <w:autoSpaceDE w:val="0"/>
              <w:autoSpaceDN w:val="0"/>
              <w:adjustRightInd w:val="0"/>
              <w:jc w:val="center"/>
            </w:pPr>
            <w:r w:rsidRPr="00037AD4">
              <w:t>-0.085</w:t>
            </w:r>
          </w:p>
        </w:tc>
        <w:tc>
          <w:tcPr>
            <w:tcW w:w="670" w:type="pct"/>
            <w:tcBorders>
              <w:top w:val="nil"/>
              <w:left w:val="nil"/>
              <w:bottom w:val="nil"/>
              <w:right w:val="nil"/>
            </w:tcBorders>
          </w:tcPr>
          <w:p w14:paraId="71A548C2"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6CE52B2B"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2EB608BC"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1879CE5E" w14:textId="77777777" w:rsidR="00B54D51" w:rsidRPr="00037AD4" w:rsidRDefault="00B54D51" w:rsidP="00401C67">
            <w:pPr>
              <w:widowControl w:val="0"/>
              <w:autoSpaceDE w:val="0"/>
              <w:autoSpaceDN w:val="0"/>
              <w:adjustRightInd w:val="0"/>
              <w:jc w:val="center"/>
            </w:pPr>
          </w:p>
        </w:tc>
      </w:tr>
      <w:tr w:rsidR="00B54D51" w:rsidRPr="00037AD4" w14:paraId="60F57628" w14:textId="77777777" w:rsidTr="00401C67">
        <w:trPr>
          <w:jc w:val="center"/>
        </w:trPr>
        <w:tc>
          <w:tcPr>
            <w:tcW w:w="1608" w:type="pct"/>
            <w:tcBorders>
              <w:top w:val="nil"/>
              <w:left w:val="nil"/>
              <w:bottom w:val="nil"/>
              <w:right w:val="nil"/>
            </w:tcBorders>
          </w:tcPr>
          <w:p w14:paraId="48DDFBB7" w14:textId="77777777" w:rsidR="00B54D51" w:rsidRPr="00037AD4" w:rsidRDefault="00B54D51" w:rsidP="00401C67">
            <w:pPr>
              <w:widowControl w:val="0"/>
              <w:autoSpaceDE w:val="0"/>
              <w:autoSpaceDN w:val="0"/>
              <w:adjustRightInd w:val="0"/>
            </w:pPr>
          </w:p>
        </w:tc>
        <w:tc>
          <w:tcPr>
            <w:tcW w:w="713" w:type="pct"/>
            <w:tcBorders>
              <w:top w:val="nil"/>
              <w:left w:val="nil"/>
              <w:bottom w:val="nil"/>
              <w:right w:val="nil"/>
            </w:tcBorders>
          </w:tcPr>
          <w:p w14:paraId="070E6451" w14:textId="77777777" w:rsidR="00B54D51" w:rsidRPr="00037AD4" w:rsidRDefault="00B54D51" w:rsidP="00401C67">
            <w:pPr>
              <w:widowControl w:val="0"/>
              <w:autoSpaceDE w:val="0"/>
              <w:autoSpaceDN w:val="0"/>
              <w:adjustRightInd w:val="0"/>
              <w:jc w:val="center"/>
            </w:pPr>
            <w:r w:rsidRPr="00037AD4">
              <w:t>(-0.633 - 0.463)</w:t>
            </w:r>
          </w:p>
        </w:tc>
        <w:tc>
          <w:tcPr>
            <w:tcW w:w="670" w:type="pct"/>
            <w:tcBorders>
              <w:top w:val="nil"/>
              <w:left w:val="nil"/>
              <w:bottom w:val="nil"/>
              <w:right w:val="nil"/>
            </w:tcBorders>
          </w:tcPr>
          <w:p w14:paraId="4E2B19D1"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668A4F13"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6308782C"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56F71BE1" w14:textId="77777777" w:rsidR="00B54D51" w:rsidRPr="00037AD4" w:rsidRDefault="00B54D51" w:rsidP="00401C67">
            <w:pPr>
              <w:widowControl w:val="0"/>
              <w:autoSpaceDE w:val="0"/>
              <w:autoSpaceDN w:val="0"/>
              <w:adjustRightInd w:val="0"/>
              <w:jc w:val="center"/>
            </w:pPr>
          </w:p>
        </w:tc>
      </w:tr>
      <w:tr w:rsidR="00B54D51" w:rsidRPr="00037AD4" w14:paraId="76814F79" w14:textId="77777777" w:rsidTr="00401C67">
        <w:trPr>
          <w:jc w:val="center"/>
        </w:trPr>
        <w:tc>
          <w:tcPr>
            <w:tcW w:w="1608" w:type="pct"/>
            <w:tcBorders>
              <w:top w:val="nil"/>
              <w:left w:val="nil"/>
              <w:bottom w:val="nil"/>
              <w:right w:val="nil"/>
            </w:tcBorders>
          </w:tcPr>
          <w:p w14:paraId="43C2BA31" w14:textId="77777777" w:rsidR="00B54D51" w:rsidRPr="00037AD4" w:rsidRDefault="00B54D51" w:rsidP="00401C67">
            <w:pPr>
              <w:widowControl w:val="0"/>
              <w:autoSpaceDE w:val="0"/>
              <w:autoSpaceDN w:val="0"/>
              <w:adjustRightInd w:val="0"/>
            </w:pPr>
            <w:r w:rsidRPr="00037AD4">
              <w:t>5.eq2RP_</w:t>
            </w:r>
          </w:p>
        </w:tc>
        <w:tc>
          <w:tcPr>
            <w:tcW w:w="713" w:type="pct"/>
            <w:tcBorders>
              <w:top w:val="nil"/>
              <w:left w:val="nil"/>
              <w:bottom w:val="nil"/>
              <w:right w:val="nil"/>
            </w:tcBorders>
          </w:tcPr>
          <w:p w14:paraId="206DC597" w14:textId="77777777" w:rsidR="00B54D51" w:rsidRPr="00037AD4" w:rsidRDefault="00B54D51" w:rsidP="00401C67">
            <w:pPr>
              <w:widowControl w:val="0"/>
              <w:autoSpaceDE w:val="0"/>
              <w:autoSpaceDN w:val="0"/>
              <w:adjustRightInd w:val="0"/>
              <w:jc w:val="center"/>
            </w:pPr>
            <w:r w:rsidRPr="00037AD4">
              <w:t>0.016</w:t>
            </w:r>
          </w:p>
        </w:tc>
        <w:tc>
          <w:tcPr>
            <w:tcW w:w="670" w:type="pct"/>
            <w:tcBorders>
              <w:top w:val="nil"/>
              <w:left w:val="nil"/>
              <w:bottom w:val="nil"/>
              <w:right w:val="nil"/>
            </w:tcBorders>
          </w:tcPr>
          <w:p w14:paraId="2E41F8E4"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33F5FDCC"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7F165312"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167DE32F" w14:textId="77777777" w:rsidR="00B54D51" w:rsidRPr="00037AD4" w:rsidRDefault="00B54D51" w:rsidP="00401C67">
            <w:pPr>
              <w:widowControl w:val="0"/>
              <w:autoSpaceDE w:val="0"/>
              <w:autoSpaceDN w:val="0"/>
              <w:adjustRightInd w:val="0"/>
              <w:jc w:val="center"/>
            </w:pPr>
          </w:p>
        </w:tc>
      </w:tr>
      <w:tr w:rsidR="00B54D51" w:rsidRPr="00037AD4" w14:paraId="40BFE35C" w14:textId="77777777" w:rsidTr="00401C67">
        <w:trPr>
          <w:jc w:val="center"/>
        </w:trPr>
        <w:tc>
          <w:tcPr>
            <w:tcW w:w="1608" w:type="pct"/>
            <w:tcBorders>
              <w:top w:val="nil"/>
              <w:left w:val="nil"/>
              <w:bottom w:val="nil"/>
              <w:right w:val="nil"/>
            </w:tcBorders>
          </w:tcPr>
          <w:p w14:paraId="59D2C726" w14:textId="77777777" w:rsidR="00B54D51" w:rsidRPr="00037AD4" w:rsidRDefault="00B54D51" w:rsidP="00401C67">
            <w:pPr>
              <w:widowControl w:val="0"/>
              <w:autoSpaceDE w:val="0"/>
              <w:autoSpaceDN w:val="0"/>
              <w:adjustRightInd w:val="0"/>
            </w:pPr>
          </w:p>
        </w:tc>
        <w:tc>
          <w:tcPr>
            <w:tcW w:w="713" w:type="pct"/>
            <w:tcBorders>
              <w:top w:val="nil"/>
              <w:left w:val="nil"/>
              <w:bottom w:val="nil"/>
              <w:right w:val="nil"/>
            </w:tcBorders>
          </w:tcPr>
          <w:p w14:paraId="062ECFC1" w14:textId="77777777" w:rsidR="00B54D51" w:rsidRPr="00037AD4" w:rsidRDefault="00B54D51" w:rsidP="00401C67">
            <w:pPr>
              <w:widowControl w:val="0"/>
              <w:autoSpaceDE w:val="0"/>
              <w:autoSpaceDN w:val="0"/>
              <w:adjustRightInd w:val="0"/>
              <w:jc w:val="center"/>
            </w:pPr>
            <w:r w:rsidRPr="00037AD4">
              <w:t>(-0.564 - 0.597)</w:t>
            </w:r>
          </w:p>
        </w:tc>
        <w:tc>
          <w:tcPr>
            <w:tcW w:w="670" w:type="pct"/>
            <w:tcBorders>
              <w:top w:val="nil"/>
              <w:left w:val="nil"/>
              <w:bottom w:val="nil"/>
              <w:right w:val="nil"/>
            </w:tcBorders>
          </w:tcPr>
          <w:p w14:paraId="4CE4D583"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01DFD77D"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035A822C"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42408876" w14:textId="77777777" w:rsidR="00B54D51" w:rsidRPr="00037AD4" w:rsidRDefault="00B54D51" w:rsidP="00401C67">
            <w:pPr>
              <w:widowControl w:val="0"/>
              <w:autoSpaceDE w:val="0"/>
              <w:autoSpaceDN w:val="0"/>
              <w:adjustRightInd w:val="0"/>
              <w:jc w:val="center"/>
            </w:pPr>
          </w:p>
        </w:tc>
      </w:tr>
      <w:tr w:rsidR="00B54D51" w:rsidRPr="00037AD4" w14:paraId="2406CD45" w14:textId="77777777" w:rsidTr="00401C67">
        <w:trPr>
          <w:jc w:val="center"/>
        </w:trPr>
        <w:tc>
          <w:tcPr>
            <w:tcW w:w="1608" w:type="pct"/>
            <w:tcBorders>
              <w:top w:val="nil"/>
              <w:left w:val="nil"/>
              <w:bottom w:val="nil"/>
              <w:right w:val="nil"/>
            </w:tcBorders>
          </w:tcPr>
          <w:p w14:paraId="1C821C70" w14:textId="77777777" w:rsidR="00B54D51" w:rsidRPr="00037AD4" w:rsidRDefault="00B54D51" w:rsidP="00401C67">
            <w:pPr>
              <w:widowControl w:val="0"/>
              <w:autoSpaceDE w:val="0"/>
              <w:autoSpaceDN w:val="0"/>
              <w:adjustRightInd w:val="0"/>
            </w:pPr>
            <w:r w:rsidRPr="00037AD4">
              <w:t>2.eq3RP_</w:t>
            </w:r>
          </w:p>
        </w:tc>
        <w:tc>
          <w:tcPr>
            <w:tcW w:w="713" w:type="pct"/>
            <w:tcBorders>
              <w:top w:val="nil"/>
              <w:left w:val="nil"/>
              <w:bottom w:val="nil"/>
              <w:right w:val="nil"/>
            </w:tcBorders>
          </w:tcPr>
          <w:p w14:paraId="4689AA43" w14:textId="77777777" w:rsidR="00B54D51" w:rsidRPr="00037AD4" w:rsidRDefault="00B54D51" w:rsidP="00401C67">
            <w:pPr>
              <w:widowControl w:val="0"/>
              <w:autoSpaceDE w:val="0"/>
              <w:autoSpaceDN w:val="0"/>
              <w:adjustRightInd w:val="0"/>
              <w:jc w:val="center"/>
            </w:pPr>
            <w:r w:rsidRPr="00037AD4">
              <w:t>-0.153</w:t>
            </w:r>
          </w:p>
        </w:tc>
        <w:tc>
          <w:tcPr>
            <w:tcW w:w="670" w:type="pct"/>
            <w:tcBorders>
              <w:top w:val="nil"/>
              <w:left w:val="nil"/>
              <w:bottom w:val="nil"/>
              <w:right w:val="nil"/>
            </w:tcBorders>
          </w:tcPr>
          <w:p w14:paraId="2A55A14F"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321A2CCA"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31351A19"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5D370D51" w14:textId="77777777" w:rsidR="00B54D51" w:rsidRPr="00037AD4" w:rsidRDefault="00B54D51" w:rsidP="00401C67">
            <w:pPr>
              <w:widowControl w:val="0"/>
              <w:autoSpaceDE w:val="0"/>
              <w:autoSpaceDN w:val="0"/>
              <w:adjustRightInd w:val="0"/>
              <w:jc w:val="center"/>
            </w:pPr>
          </w:p>
        </w:tc>
      </w:tr>
      <w:tr w:rsidR="00B54D51" w:rsidRPr="00037AD4" w14:paraId="6A8B5C3F" w14:textId="77777777" w:rsidTr="00401C67">
        <w:trPr>
          <w:jc w:val="center"/>
        </w:trPr>
        <w:tc>
          <w:tcPr>
            <w:tcW w:w="1608" w:type="pct"/>
            <w:tcBorders>
              <w:top w:val="nil"/>
              <w:left w:val="nil"/>
              <w:bottom w:val="nil"/>
              <w:right w:val="nil"/>
            </w:tcBorders>
          </w:tcPr>
          <w:p w14:paraId="33FD98AC" w14:textId="77777777" w:rsidR="00B54D51" w:rsidRPr="00037AD4" w:rsidRDefault="00B54D51" w:rsidP="00401C67">
            <w:pPr>
              <w:widowControl w:val="0"/>
              <w:autoSpaceDE w:val="0"/>
              <w:autoSpaceDN w:val="0"/>
              <w:adjustRightInd w:val="0"/>
            </w:pPr>
          </w:p>
        </w:tc>
        <w:tc>
          <w:tcPr>
            <w:tcW w:w="713" w:type="pct"/>
            <w:tcBorders>
              <w:top w:val="nil"/>
              <w:left w:val="nil"/>
              <w:bottom w:val="nil"/>
              <w:right w:val="nil"/>
            </w:tcBorders>
          </w:tcPr>
          <w:p w14:paraId="22D6D8B3" w14:textId="77777777" w:rsidR="00B54D51" w:rsidRPr="00037AD4" w:rsidRDefault="00B54D51" w:rsidP="00401C67">
            <w:pPr>
              <w:widowControl w:val="0"/>
              <w:autoSpaceDE w:val="0"/>
              <w:autoSpaceDN w:val="0"/>
              <w:adjustRightInd w:val="0"/>
              <w:jc w:val="center"/>
            </w:pPr>
            <w:r w:rsidRPr="00037AD4">
              <w:t>(-0.384 - 0.078)</w:t>
            </w:r>
          </w:p>
        </w:tc>
        <w:tc>
          <w:tcPr>
            <w:tcW w:w="670" w:type="pct"/>
            <w:tcBorders>
              <w:top w:val="nil"/>
              <w:left w:val="nil"/>
              <w:bottom w:val="nil"/>
              <w:right w:val="nil"/>
            </w:tcBorders>
          </w:tcPr>
          <w:p w14:paraId="2744192E"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7A86BE7E"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1E46DE3D"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1FC88462" w14:textId="77777777" w:rsidR="00B54D51" w:rsidRPr="00037AD4" w:rsidRDefault="00B54D51" w:rsidP="00401C67">
            <w:pPr>
              <w:widowControl w:val="0"/>
              <w:autoSpaceDE w:val="0"/>
              <w:autoSpaceDN w:val="0"/>
              <w:adjustRightInd w:val="0"/>
              <w:jc w:val="center"/>
            </w:pPr>
          </w:p>
        </w:tc>
      </w:tr>
      <w:tr w:rsidR="00B54D51" w:rsidRPr="00037AD4" w14:paraId="210518C2" w14:textId="77777777" w:rsidTr="00401C67">
        <w:trPr>
          <w:jc w:val="center"/>
        </w:trPr>
        <w:tc>
          <w:tcPr>
            <w:tcW w:w="1608" w:type="pct"/>
            <w:tcBorders>
              <w:top w:val="nil"/>
              <w:left w:val="nil"/>
              <w:bottom w:val="nil"/>
              <w:right w:val="nil"/>
            </w:tcBorders>
          </w:tcPr>
          <w:p w14:paraId="7F5EC303" w14:textId="77777777" w:rsidR="00B54D51" w:rsidRPr="00037AD4" w:rsidRDefault="00B54D51" w:rsidP="00401C67">
            <w:pPr>
              <w:widowControl w:val="0"/>
              <w:autoSpaceDE w:val="0"/>
              <w:autoSpaceDN w:val="0"/>
              <w:adjustRightInd w:val="0"/>
            </w:pPr>
            <w:r w:rsidRPr="00037AD4">
              <w:t>3.eq3RP_</w:t>
            </w:r>
          </w:p>
        </w:tc>
        <w:tc>
          <w:tcPr>
            <w:tcW w:w="713" w:type="pct"/>
            <w:tcBorders>
              <w:top w:val="nil"/>
              <w:left w:val="nil"/>
              <w:bottom w:val="nil"/>
              <w:right w:val="nil"/>
            </w:tcBorders>
          </w:tcPr>
          <w:p w14:paraId="716C3A08" w14:textId="77777777" w:rsidR="00B54D51" w:rsidRPr="00037AD4" w:rsidRDefault="00B54D51" w:rsidP="00401C67">
            <w:pPr>
              <w:widowControl w:val="0"/>
              <w:autoSpaceDE w:val="0"/>
              <w:autoSpaceDN w:val="0"/>
              <w:adjustRightInd w:val="0"/>
              <w:jc w:val="center"/>
            </w:pPr>
            <w:r w:rsidRPr="00037AD4">
              <w:t>-0.158</w:t>
            </w:r>
          </w:p>
        </w:tc>
        <w:tc>
          <w:tcPr>
            <w:tcW w:w="670" w:type="pct"/>
            <w:tcBorders>
              <w:top w:val="nil"/>
              <w:left w:val="nil"/>
              <w:bottom w:val="nil"/>
              <w:right w:val="nil"/>
            </w:tcBorders>
          </w:tcPr>
          <w:p w14:paraId="5FFB2D21"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41FF3E4E"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7805FEB7"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19099E28" w14:textId="77777777" w:rsidR="00B54D51" w:rsidRPr="00037AD4" w:rsidRDefault="00B54D51" w:rsidP="00401C67">
            <w:pPr>
              <w:widowControl w:val="0"/>
              <w:autoSpaceDE w:val="0"/>
              <w:autoSpaceDN w:val="0"/>
              <w:adjustRightInd w:val="0"/>
              <w:jc w:val="center"/>
            </w:pPr>
          </w:p>
        </w:tc>
      </w:tr>
      <w:tr w:rsidR="00B54D51" w:rsidRPr="00037AD4" w14:paraId="51A6EEB1" w14:textId="77777777" w:rsidTr="00401C67">
        <w:trPr>
          <w:jc w:val="center"/>
        </w:trPr>
        <w:tc>
          <w:tcPr>
            <w:tcW w:w="1608" w:type="pct"/>
            <w:tcBorders>
              <w:top w:val="nil"/>
              <w:left w:val="nil"/>
              <w:bottom w:val="nil"/>
              <w:right w:val="nil"/>
            </w:tcBorders>
          </w:tcPr>
          <w:p w14:paraId="5B93951B" w14:textId="77777777" w:rsidR="00B54D51" w:rsidRPr="00037AD4" w:rsidRDefault="00B54D51" w:rsidP="00401C67">
            <w:pPr>
              <w:widowControl w:val="0"/>
              <w:autoSpaceDE w:val="0"/>
              <w:autoSpaceDN w:val="0"/>
              <w:adjustRightInd w:val="0"/>
            </w:pPr>
          </w:p>
        </w:tc>
        <w:tc>
          <w:tcPr>
            <w:tcW w:w="713" w:type="pct"/>
            <w:tcBorders>
              <w:top w:val="nil"/>
              <w:left w:val="nil"/>
              <w:bottom w:val="nil"/>
              <w:right w:val="nil"/>
            </w:tcBorders>
          </w:tcPr>
          <w:p w14:paraId="47CC035A" w14:textId="77777777" w:rsidR="00B54D51" w:rsidRPr="00037AD4" w:rsidRDefault="00B54D51" w:rsidP="00401C67">
            <w:pPr>
              <w:widowControl w:val="0"/>
              <w:autoSpaceDE w:val="0"/>
              <w:autoSpaceDN w:val="0"/>
              <w:adjustRightInd w:val="0"/>
              <w:jc w:val="center"/>
            </w:pPr>
            <w:r w:rsidRPr="00037AD4">
              <w:t>(-0.411 - 0.094)</w:t>
            </w:r>
          </w:p>
        </w:tc>
        <w:tc>
          <w:tcPr>
            <w:tcW w:w="670" w:type="pct"/>
            <w:tcBorders>
              <w:top w:val="nil"/>
              <w:left w:val="nil"/>
              <w:bottom w:val="nil"/>
              <w:right w:val="nil"/>
            </w:tcBorders>
          </w:tcPr>
          <w:p w14:paraId="78A965AA"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15AE2006"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540F43FF"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68B061DB" w14:textId="77777777" w:rsidR="00B54D51" w:rsidRPr="00037AD4" w:rsidRDefault="00B54D51" w:rsidP="00401C67">
            <w:pPr>
              <w:widowControl w:val="0"/>
              <w:autoSpaceDE w:val="0"/>
              <w:autoSpaceDN w:val="0"/>
              <w:adjustRightInd w:val="0"/>
              <w:jc w:val="center"/>
            </w:pPr>
          </w:p>
        </w:tc>
      </w:tr>
      <w:tr w:rsidR="00B54D51" w:rsidRPr="00037AD4" w14:paraId="3883350E" w14:textId="77777777" w:rsidTr="00401C67">
        <w:trPr>
          <w:jc w:val="center"/>
        </w:trPr>
        <w:tc>
          <w:tcPr>
            <w:tcW w:w="1608" w:type="pct"/>
            <w:tcBorders>
              <w:top w:val="nil"/>
              <w:left w:val="nil"/>
              <w:bottom w:val="nil"/>
              <w:right w:val="nil"/>
            </w:tcBorders>
          </w:tcPr>
          <w:p w14:paraId="0C1FD7DE" w14:textId="77777777" w:rsidR="00B54D51" w:rsidRPr="00037AD4" w:rsidRDefault="00B54D51" w:rsidP="00401C67">
            <w:pPr>
              <w:widowControl w:val="0"/>
              <w:autoSpaceDE w:val="0"/>
              <w:autoSpaceDN w:val="0"/>
              <w:adjustRightInd w:val="0"/>
            </w:pPr>
            <w:r w:rsidRPr="00037AD4">
              <w:t>4.eq3RP_</w:t>
            </w:r>
          </w:p>
        </w:tc>
        <w:tc>
          <w:tcPr>
            <w:tcW w:w="713" w:type="pct"/>
            <w:tcBorders>
              <w:top w:val="nil"/>
              <w:left w:val="nil"/>
              <w:bottom w:val="nil"/>
              <w:right w:val="nil"/>
            </w:tcBorders>
          </w:tcPr>
          <w:p w14:paraId="3CA911C7" w14:textId="77777777" w:rsidR="00B54D51" w:rsidRPr="00037AD4" w:rsidRDefault="00B54D51" w:rsidP="00401C67">
            <w:pPr>
              <w:widowControl w:val="0"/>
              <w:autoSpaceDE w:val="0"/>
              <w:autoSpaceDN w:val="0"/>
              <w:adjustRightInd w:val="0"/>
              <w:jc w:val="center"/>
            </w:pPr>
            <w:r w:rsidRPr="00037AD4">
              <w:t>-0.158</w:t>
            </w:r>
          </w:p>
        </w:tc>
        <w:tc>
          <w:tcPr>
            <w:tcW w:w="670" w:type="pct"/>
            <w:tcBorders>
              <w:top w:val="nil"/>
              <w:left w:val="nil"/>
              <w:bottom w:val="nil"/>
              <w:right w:val="nil"/>
            </w:tcBorders>
          </w:tcPr>
          <w:p w14:paraId="3D1BC6A0"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6D9FBEF7"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246DF794"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29BFA755" w14:textId="77777777" w:rsidR="00B54D51" w:rsidRPr="00037AD4" w:rsidRDefault="00B54D51" w:rsidP="00401C67">
            <w:pPr>
              <w:widowControl w:val="0"/>
              <w:autoSpaceDE w:val="0"/>
              <w:autoSpaceDN w:val="0"/>
              <w:adjustRightInd w:val="0"/>
              <w:jc w:val="center"/>
            </w:pPr>
          </w:p>
        </w:tc>
      </w:tr>
      <w:tr w:rsidR="00B54D51" w:rsidRPr="00037AD4" w14:paraId="47EF81B3" w14:textId="77777777" w:rsidTr="00401C67">
        <w:trPr>
          <w:jc w:val="center"/>
        </w:trPr>
        <w:tc>
          <w:tcPr>
            <w:tcW w:w="1608" w:type="pct"/>
            <w:tcBorders>
              <w:top w:val="nil"/>
              <w:left w:val="nil"/>
              <w:bottom w:val="nil"/>
              <w:right w:val="nil"/>
            </w:tcBorders>
          </w:tcPr>
          <w:p w14:paraId="1C973760" w14:textId="77777777" w:rsidR="00B54D51" w:rsidRPr="00037AD4" w:rsidRDefault="00B54D51" w:rsidP="00401C67">
            <w:pPr>
              <w:widowControl w:val="0"/>
              <w:autoSpaceDE w:val="0"/>
              <w:autoSpaceDN w:val="0"/>
              <w:adjustRightInd w:val="0"/>
            </w:pPr>
          </w:p>
        </w:tc>
        <w:tc>
          <w:tcPr>
            <w:tcW w:w="713" w:type="pct"/>
            <w:tcBorders>
              <w:top w:val="nil"/>
              <w:left w:val="nil"/>
              <w:bottom w:val="nil"/>
              <w:right w:val="nil"/>
            </w:tcBorders>
          </w:tcPr>
          <w:p w14:paraId="703416D1" w14:textId="77777777" w:rsidR="00B54D51" w:rsidRPr="00037AD4" w:rsidRDefault="00B54D51" w:rsidP="00401C67">
            <w:pPr>
              <w:widowControl w:val="0"/>
              <w:autoSpaceDE w:val="0"/>
              <w:autoSpaceDN w:val="0"/>
              <w:adjustRightInd w:val="0"/>
              <w:jc w:val="center"/>
            </w:pPr>
            <w:r w:rsidRPr="00037AD4">
              <w:t>(-0.501 - 0.186)</w:t>
            </w:r>
          </w:p>
        </w:tc>
        <w:tc>
          <w:tcPr>
            <w:tcW w:w="670" w:type="pct"/>
            <w:tcBorders>
              <w:top w:val="nil"/>
              <w:left w:val="nil"/>
              <w:bottom w:val="nil"/>
              <w:right w:val="nil"/>
            </w:tcBorders>
          </w:tcPr>
          <w:p w14:paraId="195C51EE"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05BFD0A3"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2AB3A108"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48358300" w14:textId="77777777" w:rsidR="00B54D51" w:rsidRPr="00037AD4" w:rsidRDefault="00B54D51" w:rsidP="00401C67">
            <w:pPr>
              <w:widowControl w:val="0"/>
              <w:autoSpaceDE w:val="0"/>
              <w:autoSpaceDN w:val="0"/>
              <w:adjustRightInd w:val="0"/>
              <w:jc w:val="center"/>
            </w:pPr>
          </w:p>
        </w:tc>
      </w:tr>
      <w:tr w:rsidR="00B54D51" w:rsidRPr="00037AD4" w14:paraId="77ADC3BD" w14:textId="77777777" w:rsidTr="00401C67">
        <w:trPr>
          <w:jc w:val="center"/>
        </w:trPr>
        <w:tc>
          <w:tcPr>
            <w:tcW w:w="1608" w:type="pct"/>
            <w:tcBorders>
              <w:top w:val="nil"/>
              <w:left w:val="nil"/>
              <w:bottom w:val="nil"/>
              <w:right w:val="nil"/>
            </w:tcBorders>
          </w:tcPr>
          <w:p w14:paraId="4A4F7CAE" w14:textId="77777777" w:rsidR="00B54D51" w:rsidRPr="00037AD4" w:rsidRDefault="00B54D51" w:rsidP="00401C67">
            <w:pPr>
              <w:widowControl w:val="0"/>
              <w:autoSpaceDE w:val="0"/>
              <w:autoSpaceDN w:val="0"/>
              <w:adjustRightInd w:val="0"/>
            </w:pPr>
            <w:r w:rsidRPr="00037AD4">
              <w:t>5.eq3RP_</w:t>
            </w:r>
          </w:p>
        </w:tc>
        <w:tc>
          <w:tcPr>
            <w:tcW w:w="713" w:type="pct"/>
            <w:tcBorders>
              <w:top w:val="nil"/>
              <w:left w:val="nil"/>
              <w:bottom w:val="nil"/>
              <w:right w:val="nil"/>
            </w:tcBorders>
          </w:tcPr>
          <w:p w14:paraId="666EF214" w14:textId="77777777" w:rsidR="00B54D51" w:rsidRPr="00037AD4" w:rsidRDefault="00B54D51" w:rsidP="00401C67">
            <w:pPr>
              <w:widowControl w:val="0"/>
              <w:autoSpaceDE w:val="0"/>
              <w:autoSpaceDN w:val="0"/>
              <w:adjustRightInd w:val="0"/>
              <w:jc w:val="center"/>
            </w:pPr>
            <w:r w:rsidRPr="00037AD4">
              <w:t>-0.236</w:t>
            </w:r>
          </w:p>
        </w:tc>
        <w:tc>
          <w:tcPr>
            <w:tcW w:w="670" w:type="pct"/>
            <w:tcBorders>
              <w:top w:val="nil"/>
              <w:left w:val="nil"/>
              <w:bottom w:val="nil"/>
              <w:right w:val="nil"/>
            </w:tcBorders>
          </w:tcPr>
          <w:p w14:paraId="4949E56C"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32F33940"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37E81DFF"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5ED39FFE" w14:textId="77777777" w:rsidR="00B54D51" w:rsidRPr="00037AD4" w:rsidRDefault="00B54D51" w:rsidP="00401C67">
            <w:pPr>
              <w:widowControl w:val="0"/>
              <w:autoSpaceDE w:val="0"/>
              <w:autoSpaceDN w:val="0"/>
              <w:adjustRightInd w:val="0"/>
              <w:jc w:val="center"/>
            </w:pPr>
          </w:p>
        </w:tc>
      </w:tr>
      <w:tr w:rsidR="00B54D51" w:rsidRPr="00037AD4" w14:paraId="03995291" w14:textId="77777777" w:rsidTr="00401C67">
        <w:trPr>
          <w:jc w:val="center"/>
        </w:trPr>
        <w:tc>
          <w:tcPr>
            <w:tcW w:w="1608" w:type="pct"/>
            <w:tcBorders>
              <w:top w:val="nil"/>
              <w:left w:val="nil"/>
              <w:bottom w:val="nil"/>
              <w:right w:val="nil"/>
            </w:tcBorders>
          </w:tcPr>
          <w:p w14:paraId="603B1C26" w14:textId="77777777" w:rsidR="00B54D51" w:rsidRPr="00037AD4" w:rsidRDefault="00B54D51" w:rsidP="00401C67">
            <w:pPr>
              <w:widowControl w:val="0"/>
              <w:autoSpaceDE w:val="0"/>
              <w:autoSpaceDN w:val="0"/>
              <w:adjustRightInd w:val="0"/>
            </w:pPr>
          </w:p>
        </w:tc>
        <w:tc>
          <w:tcPr>
            <w:tcW w:w="713" w:type="pct"/>
            <w:tcBorders>
              <w:top w:val="nil"/>
              <w:left w:val="nil"/>
              <w:bottom w:val="nil"/>
              <w:right w:val="nil"/>
            </w:tcBorders>
          </w:tcPr>
          <w:p w14:paraId="56B3CC9F" w14:textId="77777777" w:rsidR="00B54D51" w:rsidRPr="00037AD4" w:rsidRDefault="00B54D51" w:rsidP="00401C67">
            <w:pPr>
              <w:widowControl w:val="0"/>
              <w:autoSpaceDE w:val="0"/>
              <w:autoSpaceDN w:val="0"/>
              <w:adjustRightInd w:val="0"/>
              <w:jc w:val="center"/>
            </w:pPr>
            <w:r w:rsidRPr="00037AD4">
              <w:t>(-0.736 - 0.265)</w:t>
            </w:r>
          </w:p>
        </w:tc>
        <w:tc>
          <w:tcPr>
            <w:tcW w:w="670" w:type="pct"/>
            <w:tcBorders>
              <w:top w:val="nil"/>
              <w:left w:val="nil"/>
              <w:bottom w:val="nil"/>
              <w:right w:val="nil"/>
            </w:tcBorders>
          </w:tcPr>
          <w:p w14:paraId="4ABDE267"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71A35FCF"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239F7299"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36FC2EB9" w14:textId="77777777" w:rsidR="00B54D51" w:rsidRPr="00037AD4" w:rsidRDefault="00B54D51" w:rsidP="00401C67">
            <w:pPr>
              <w:widowControl w:val="0"/>
              <w:autoSpaceDE w:val="0"/>
              <w:autoSpaceDN w:val="0"/>
              <w:adjustRightInd w:val="0"/>
              <w:jc w:val="center"/>
            </w:pPr>
          </w:p>
        </w:tc>
      </w:tr>
      <w:tr w:rsidR="00B54D51" w:rsidRPr="00037AD4" w14:paraId="21D4A8A0" w14:textId="77777777" w:rsidTr="00401C67">
        <w:trPr>
          <w:jc w:val="center"/>
        </w:trPr>
        <w:tc>
          <w:tcPr>
            <w:tcW w:w="1608" w:type="pct"/>
            <w:tcBorders>
              <w:top w:val="nil"/>
              <w:left w:val="nil"/>
              <w:bottom w:val="nil"/>
              <w:right w:val="nil"/>
            </w:tcBorders>
          </w:tcPr>
          <w:p w14:paraId="2C01329C" w14:textId="77777777" w:rsidR="00B54D51" w:rsidRPr="00037AD4" w:rsidRDefault="00B54D51" w:rsidP="00401C67">
            <w:pPr>
              <w:widowControl w:val="0"/>
              <w:autoSpaceDE w:val="0"/>
              <w:autoSpaceDN w:val="0"/>
              <w:adjustRightInd w:val="0"/>
            </w:pPr>
            <w:r w:rsidRPr="00037AD4">
              <w:t>2.eq5RP_</w:t>
            </w:r>
          </w:p>
        </w:tc>
        <w:tc>
          <w:tcPr>
            <w:tcW w:w="713" w:type="pct"/>
            <w:tcBorders>
              <w:top w:val="nil"/>
              <w:left w:val="nil"/>
              <w:bottom w:val="nil"/>
              <w:right w:val="nil"/>
            </w:tcBorders>
          </w:tcPr>
          <w:p w14:paraId="44FF4B69" w14:textId="77777777" w:rsidR="00B54D51" w:rsidRPr="00037AD4" w:rsidRDefault="00B54D51" w:rsidP="00401C67">
            <w:pPr>
              <w:widowControl w:val="0"/>
              <w:autoSpaceDE w:val="0"/>
              <w:autoSpaceDN w:val="0"/>
              <w:adjustRightInd w:val="0"/>
              <w:jc w:val="center"/>
            </w:pPr>
            <w:r w:rsidRPr="00037AD4">
              <w:t>0.575***</w:t>
            </w:r>
          </w:p>
        </w:tc>
        <w:tc>
          <w:tcPr>
            <w:tcW w:w="670" w:type="pct"/>
            <w:tcBorders>
              <w:top w:val="nil"/>
              <w:left w:val="nil"/>
              <w:bottom w:val="nil"/>
              <w:right w:val="nil"/>
            </w:tcBorders>
          </w:tcPr>
          <w:p w14:paraId="10FCD297" w14:textId="77777777" w:rsidR="00B54D51" w:rsidRPr="00037AD4" w:rsidRDefault="00B54D51" w:rsidP="00401C67">
            <w:pPr>
              <w:widowControl w:val="0"/>
              <w:autoSpaceDE w:val="0"/>
              <w:autoSpaceDN w:val="0"/>
              <w:adjustRightInd w:val="0"/>
              <w:jc w:val="center"/>
            </w:pPr>
            <w:r w:rsidRPr="00037AD4">
              <w:t>0.559***</w:t>
            </w:r>
          </w:p>
        </w:tc>
        <w:tc>
          <w:tcPr>
            <w:tcW w:w="670" w:type="pct"/>
            <w:tcBorders>
              <w:top w:val="nil"/>
              <w:left w:val="nil"/>
              <w:bottom w:val="nil"/>
              <w:right w:val="nil"/>
            </w:tcBorders>
          </w:tcPr>
          <w:p w14:paraId="4E279D5B" w14:textId="77777777" w:rsidR="00B54D51" w:rsidRPr="00037AD4" w:rsidRDefault="00B54D51" w:rsidP="00401C67">
            <w:pPr>
              <w:widowControl w:val="0"/>
              <w:autoSpaceDE w:val="0"/>
              <w:autoSpaceDN w:val="0"/>
              <w:adjustRightInd w:val="0"/>
              <w:jc w:val="center"/>
            </w:pPr>
            <w:r w:rsidRPr="00037AD4">
              <w:t>0.541***</w:t>
            </w:r>
          </w:p>
        </w:tc>
        <w:tc>
          <w:tcPr>
            <w:tcW w:w="670" w:type="pct"/>
            <w:tcBorders>
              <w:top w:val="nil"/>
              <w:left w:val="nil"/>
              <w:bottom w:val="nil"/>
              <w:right w:val="nil"/>
            </w:tcBorders>
          </w:tcPr>
          <w:p w14:paraId="60CC963B" w14:textId="77777777" w:rsidR="00B54D51" w:rsidRPr="00037AD4" w:rsidRDefault="00B54D51" w:rsidP="00401C67">
            <w:pPr>
              <w:widowControl w:val="0"/>
              <w:autoSpaceDE w:val="0"/>
              <w:autoSpaceDN w:val="0"/>
              <w:adjustRightInd w:val="0"/>
              <w:jc w:val="center"/>
            </w:pPr>
            <w:r w:rsidRPr="00037AD4">
              <w:t>0.596***</w:t>
            </w:r>
          </w:p>
        </w:tc>
        <w:tc>
          <w:tcPr>
            <w:tcW w:w="670" w:type="pct"/>
            <w:tcBorders>
              <w:top w:val="nil"/>
              <w:left w:val="nil"/>
              <w:bottom w:val="nil"/>
              <w:right w:val="nil"/>
            </w:tcBorders>
          </w:tcPr>
          <w:p w14:paraId="23AC3E09" w14:textId="77777777" w:rsidR="00B54D51" w:rsidRPr="00037AD4" w:rsidRDefault="00B54D51" w:rsidP="00401C67">
            <w:pPr>
              <w:widowControl w:val="0"/>
              <w:autoSpaceDE w:val="0"/>
              <w:autoSpaceDN w:val="0"/>
              <w:adjustRightInd w:val="0"/>
              <w:jc w:val="center"/>
            </w:pPr>
          </w:p>
        </w:tc>
      </w:tr>
      <w:tr w:rsidR="00B54D51" w:rsidRPr="00037AD4" w14:paraId="54AE1CDC" w14:textId="77777777" w:rsidTr="00401C67">
        <w:trPr>
          <w:jc w:val="center"/>
        </w:trPr>
        <w:tc>
          <w:tcPr>
            <w:tcW w:w="1608" w:type="pct"/>
            <w:tcBorders>
              <w:top w:val="nil"/>
              <w:left w:val="nil"/>
              <w:bottom w:val="nil"/>
              <w:right w:val="nil"/>
            </w:tcBorders>
          </w:tcPr>
          <w:p w14:paraId="7655D54B" w14:textId="77777777" w:rsidR="00B54D51" w:rsidRPr="00037AD4" w:rsidRDefault="00B54D51" w:rsidP="00401C67">
            <w:pPr>
              <w:widowControl w:val="0"/>
              <w:autoSpaceDE w:val="0"/>
              <w:autoSpaceDN w:val="0"/>
              <w:adjustRightInd w:val="0"/>
            </w:pPr>
          </w:p>
        </w:tc>
        <w:tc>
          <w:tcPr>
            <w:tcW w:w="713" w:type="pct"/>
            <w:tcBorders>
              <w:top w:val="nil"/>
              <w:left w:val="nil"/>
              <w:bottom w:val="nil"/>
              <w:right w:val="nil"/>
            </w:tcBorders>
          </w:tcPr>
          <w:p w14:paraId="55E48FE9" w14:textId="77777777" w:rsidR="00B54D51" w:rsidRPr="00037AD4" w:rsidRDefault="00B54D51" w:rsidP="00401C67">
            <w:pPr>
              <w:widowControl w:val="0"/>
              <w:autoSpaceDE w:val="0"/>
              <w:autoSpaceDN w:val="0"/>
              <w:adjustRightInd w:val="0"/>
              <w:jc w:val="center"/>
            </w:pPr>
            <w:r w:rsidRPr="00037AD4">
              <w:t>(0.377 - 0.772)</w:t>
            </w:r>
          </w:p>
        </w:tc>
        <w:tc>
          <w:tcPr>
            <w:tcW w:w="670" w:type="pct"/>
            <w:tcBorders>
              <w:top w:val="nil"/>
              <w:left w:val="nil"/>
              <w:bottom w:val="nil"/>
              <w:right w:val="nil"/>
            </w:tcBorders>
          </w:tcPr>
          <w:p w14:paraId="3C71CC9D" w14:textId="77777777" w:rsidR="00B54D51" w:rsidRPr="00037AD4" w:rsidRDefault="00B54D51" w:rsidP="00401C67">
            <w:pPr>
              <w:widowControl w:val="0"/>
              <w:autoSpaceDE w:val="0"/>
              <w:autoSpaceDN w:val="0"/>
              <w:adjustRightInd w:val="0"/>
              <w:jc w:val="center"/>
            </w:pPr>
            <w:r w:rsidRPr="00037AD4">
              <w:t>(0.363 - 0.754)</w:t>
            </w:r>
          </w:p>
        </w:tc>
        <w:tc>
          <w:tcPr>
            <w:tcW w:w="670" w:type="pct"/>
            <w:tcBorders>
              <w:top w:val="nil"/>
              <w:left w:val="nil"/>
              <w:bottom w:val="nil"/>
              <w:right w:val="nil"/>
            </w:tcBorders>
          </w:tcPr>
          <w:p w14:paraId="74C37D3F" w14:textId="77777777" w:rsidR="00B54D51" w:rsidRPr="00037AD4" w:rsidRDefault="00B54D51" w:rsidP="00401C67">
            <w:pPr>
              <w:widowControl w:val="0"/>
              <w:autoSpaceDE w:val="0"/>
              <w:autoSpaceDN w:val="0"/>
              <w:adjustRightInd w:val="0"/>
              <w:jc w:val="center"/>
            </w:pPr>
            <w:r w:rsidRPr="00037AD4">
              <w:t>(0.351 - 0.731)</w:t>
            </w:r>
          </w:p>
        </w:tc>
        <w:tc>
          <w:tcPr>
            <w:tcW w:w="670" w:type="pct"/>
            <w:tcBorders>
              <w:top w:val="nil"/>
              <w:left w:val="nil"/>
              <w:bottom w:val="nil"/>
              <w:right w:val="nil"/>
            </w:tcBorders>
          </w:tcPr>
          <w:p w14:paraId="0AA8CE67" w14:textId="77777777" w:rsidR="00B54D51" w:rsidRPr="00037AD4" w:rsidRDefault="00B54D51" w:rsidP="00401C67">
            <w:pPr>
              <w:widowControl w:val="0"/>
              <w:autoSpaceDE w:val="0"/>
              <w:autoSpaceDN w:val="0"/>
              <w:adjustRightInd w:val="0"/>
              <w:jc w:val="center"/>
            </w:pPr>
            <w:r w:rsidRPr="00037AD4">
              <w:t>(0.406 - 0.785)</w:t>
            </w:r>
          </w:p>
        </w:tc>
        <w:tc>
          <w:tcPr>
            <w:tcW w:w="670" w:type="pct"/>
            <w:tcBorders>
              <w:top w:val="nil"/>
              <w:left w:val="nil"/>
              <w:bottom w:val="nil"/>
              <w:right w:val="nil"/>
            </w:tcBorders>
          </w:tcPr>
          <w:p w14:paraId="09030A48" w14:textId="77777777" w:rsidR="00B54D51" w:rsidRPr="00037AD4" w:rsidRDefault="00B54D51" w:rsidP="00401C67">
            <w:pPr>
              <w:widowControl w:val="0"/>
              <w:autoSpaceDE w:val="0"/>
              <w:autoSpaceDN w:val="0"/>
              <w:adjustRightInd w:val="0"/>
              <w:jc w:val="center"/>
            </w:pPr>
          </w:p>
        </w:tc>
      </w:tr>
      <w:tr w:rsidR="00B54D51" w:rsidRPr="00037AD4" w14:paraId="71B7C58A" w14:textId="77777777" w:rsidTr="00401C67">
        <w:trPr>
          <w:jc w:val="center"/>
        </w:trPr>
        <w:tc>
          <w:tcPr>
            <w:tcW w:w="1608" w:type="pct"/>
            <w:tcBorders>
              <w:top w:val="nil"/>
              <w:left w:val="nil"/>
              <w:bottom w:val="nil"/>
              <w:right w:val="nil"/>
            </w:tcBorders>
          </w:tcPr>
          <w:p w14:paraId="3696004F" w14:textId="77777777" w:rsidR="00B54D51" w:rsidRPr="00037AD4" w:rsidRDefault="00B54D51" w:rsidP="00401C67">
            <w:pPr>
              <w:widowControl w:val="0"/>
              <w:autoSpaceDE w:val="0"/>
              <w:autoSpaceDN w:val="0"/>
              <w:adjustRightInd w:val="0"/>
            </w:pPr>
            <w:r w:rsidRPr="00037AD4">
              <w:t>3.eq5RP_</w:t>
            </w:r>
          </w:p>
        </w:tc>
        <w:tc>
          <w:tcPr>
            <w:tcW w:w="713" w:type="pct"/>
            <w:tcBorders>
              <w:top w:val="nil"/>
              <w:left w:val="nil"/>
              <w:bottom w:val="nil"/>
              <w:right w:val="nil"/>
            </w:tcBorders>
          </w:tcPr>
          <w:p w14:paraId="3396AF1E" w14:textId="77777777" w:rsidR="00B54D51" w:rsidRPr="00037AD4" w:rsidRDefault="00B54D51" w:rsidP="00401C67">
            <w:pPr>
              <w:widowControl w:val="0"/>
              <w:autoSpaceDE w:val="0"/>
              <w:autoSpaceDN w:val="0"/>
              <w:adjustRightInd w:val="0"/>
              <w:jc w:val="center"/>
            </w:pPr>
            <w:r w:rsidRPr="00037AD4">
              <w:t>0.970***</w:t>
            </w:r>
          </w:p>
        </w:tc>
        <w:tc>
          <w:tcPr>
            <w:tcW w:w="670" w:type="pct"/>
            <w:tcBorders>
              <w:top w:val="nil"/>
              <w:left w:val="nil"/>
              <w:bottom w:val="nil"/>
              <w:right w:val="nil"/>
            </w:tcBorders>
          </w:tcPr>
          <w:p w14:paraId="36C8D243" w14:textId="77777777" w:rsidR="00B54D51" w:rsidRPr="00037AD4" w:rsidRDefault="00B54D51" w:rsidP="00401C67">
            <w:pPr>
              <w:widowControl w:val="0"/>
              <w:autoSpaceDE w:val="0"/>
              <w:autoSpaceDN w:val="0"/>
              <w:adjustRightInd w:val="0"/>
              <w:jc w:val="center"/>
            </w:pPr>
            <w:r w:rsidRPr="00037AD4">
              <w:t>0.982***</w:t>
            </w:r>
          </w:p>
        </w:tc>
        <w:tc>
          <w:tcPr>
            <w:tcW w:w="670" w:type="pct"/>
            <w:tcBorders>
              <w:top w:val="nil"/>
              <w:left w:val="nil"/>
              <w:bottom w:val="nil"/>
              <w:right w:val="nil"/>
            </w:tcBorders>
          </w:tcPr>
          <w:p w14:paraId="51372F4D" w14:textId="77777777" w:rsidR="00B54D51" w:rsidRPr="00037AD4" w:rsidRDefault="00B54D51" w:rsidP="00401C67">
            <w:pPr>
              <w:widowControl w:val="0"/>
              <w:autoSpaceDE w:val="0"/>
              <w:autoSpaceDN w:val="0"/>
              <w:adjustRightInd w:val="0"/>
              <w:jc w:val="center"/>
            </w:pPr>
            <w:r w:rsidRPr="00037AD4">
              <w:t>0.932***</w:t>
            </w:r>
          </w:p>
        </w:tc>
        <w:tc>
          <w:tcPr>
            <w:tcW w:w="670" w:type="pct"/>
            <w:tcBorders>
              <w:top w:val="nil"/>
              <w:left w:val="nil"/>
              <w:bottom w:val="nil"/>
              <w:right w:val="nil"/>
            </w:tcBorders>
          </w:tcPr>
          <w:p w14:paraId="4D1E8A71" w14:textId="77777777" w:rsidR="00B54D51" w:rsidRPr="00037AD4" w:rsidRDefault="00B54D51" w:rsidP="00401C67">
            <w:pPr>
              <w:widowControl w:val="0"/>
              <w:autoSpaceDE w:val="0"/>
              <w:autoSpaceDN w:val="0"/>
              <w:adjustRightInd w:val="0"/>
              <w:jc w:val="center"/>
            </w:pPr>
            <w:r w:rsidRPr="00037AD4">
              <w:t>1.022***</w:t>
            </w:r>
          </w:p>
        </w:tc>
        <w:tc>
          <w:tcPr>
            <w:tcW w:w="670" w:type="pct"/>
            <w:tcBorders>
              <w:top w:val="nil"/>
              <w:left w:val="nil"/>
              <w:bottom w:val="nil"/>
              <w:right w:val="nil"/>
            </w:tcBorders>
          </w:tcPr>
          <w:p w14:paraId="27B1F95A" w14:textId="77777777" w:rsidR="00B54D51" w:rsidRPr="00037AD4" w:rsidRDefault="00B54D51" w:rsidP="00401C67">
            <w:pPr>
              <w:widowControl w:val="0"/>
              <w:autoSpaceDE w:val="0"/>
              <w:autoSpaceDN w:val="0"/>
              <w:adjustRightInd w:val="0"/>
              <w:jc w:val="center"/>
            </w:pPr>
          </w:p>
        </w:tc>
      </w:tr>
      <w:tr w:rsidR="00B54D51" w:rsidRPr="00037AD4" w14:paraId="3739A29C" w14:textId="77777777" w:rsidTr="00401C67">
        <w:trPr>
          <w:jc w:val="center"/>
        </w:trPr>
        <w:tc>
          <w:tcPr>
            <w:tcW w:w="1608" w:type="pct"/>
            <w:tcBorders>
              <w:top w:val="nil"/>
              <w:left w:val="nil"/>
              <w:bottom w:val="nil"/>
              <w:right w:val="nil"/>
            </w:tcBorders>
          </w:tcPr>
          <w:p w14:paraId="322222CA" w14:textId="77777777" w:rsidR="00B54D51" w:rsidRPr="00037AD4" w:rsidRDefault="00B54D51" w:rsidP="00401C67">
            <w:pPr>
              <w:widowControl w:val="0"/>
              <w:autoSpaceDE w:val="0"/>
              <w:autoSpaceDN w:val="0"/>
              <w:adjustRightInd w:val="0"/>
            </w:pPr>
          </w:p>
        </w:tc>
        <w:tc>
          <w:tcPr>
            <w:tcW w:w="713" w:type="pct"/>
            <w:tcBorders>
              <w:top w:val="nil"/>
              <w:left w:val="nil"/>
              <w:bottom w:val="nil"/>
              <w:right w:val="nil"/>
            </w:tcBorders>
          </w:tcPr>
          <w:p w14:paraId="629D6956" w14:textId="77777777" w:rsidR="00B54D51" w:rsidRPr="00037AD4" w:rsidRDefault="00B54D51" w:rsidP="00401C67">
            <w:pPr>
              <w:widowControl w:val="0"/>
              <w:autoSpaceDE w:val="0"/>
              <w:autoSpaceDN w:val="0"/>
              <w:adjustRightInd w:val="0"/>
              <w:jc w:val="center"/>
            </w:pPr>
            <w:r w:rsidRPr="00037AD4">
              <w:t>(0.744 - 1.195)</w:t>
            </w:r>
          </w:p>
        </w:tc>
        <w:tc>
          <w:tcPr>
            <w:tcW w:w="670" w:type="pct"/>
            <w:tcBorders>
              <w:top w:val="nil"/>
              <w:left w:val="nil"/>
              <w:bottom w:val="nil"/>
              <w:right w:val="nil"/>
            </w:tcBorders>
          </w:tcPr>
          <w:p w14:paraId="4BDEECCC" w14:textId="77777777" w:rsidR="00B54D51" w:rsidRPr="00037AD4" w:rsidRDefault="00B54D51" w:rsidP="00401C67">
            <w:pPr>
              <w:widowControl w:val="0"/>
              <w:autoSpaceDE w:val="0"/>
              <w:autoSpaceDN w:val="0"/>
              <w:adjustRightInd w:val="0"/>
              <w:jc w:val="center"/>
            </w:pPr>
            <w:r w:rsidRPr="00037AD4">
              <w:t>(0.764 - 1.200)</w:t>
            </w:r>
          </w:p>
        </w:tc>
        <w:tc>
          <w:tcPr>
            <w:tcW w:w="670" w:type="pct"/>
            <w:tcBorders>
              <w:top w:val="nil"/>
              <w:left w:val="nil"/>
              <w:bottom w:val="nil"/>
              <w:right w:val="nil"/>
            </w:tcBorders>
          </w:tcPr>
          <w:p w14:paraId="422F1ECF" w14:textId="77777777" w:rsidR="00B54D51" w:rsidRPr="00037AD4" w:rsidRDefault="00B54D51" w:rsidP="00401C67">
            <w:pPr>
              <w:widowControl w:val="0"/>
              <w:autoSpaceDE w:val="0"/>
              <w:autoSpaceDN w:val="0"/>
              <w:adjustRightInd w:val="0"/>
              <w:jc w:val="center"/>
            </w:pPr>
            <w:r w:rsidRPr="00037AD4">
              <w:t>(0.726 - 1.138)</w:t>
            </w:r>
          </w:p>
        </w:tc>
        <w:tc>
          <w:tcPr>
            <w:tcW w:w="670" w:type="pct"/>
            <w:tcBorders>
              <w:top w:val="nil"/>
              <w:left w:val="nil"/>
              <w:bottom w:val="nil"/>
              <w:right w:val="nil"/>
            </w:tcBorders>
          </w:tcPr>
          <w:p w14:paraId="24BDB6BB" w14:textId="77777777" w:rsidR="00B54D51" w:rsidRPr="00037AD4" w:rsidRDefault="00B54D51" w:rsidP="00401C67">
            <w:pPr>
              <w:widowControl w:val="0"/>
              <w:autoSpaceDE w:val="0"/>
              <w:autoSpaceDN w:val="0"/>
              <w:adjustRightInd w:val="0"/>
              <w:jc w:val="center"/>
            </w:pPr>
            <w:r w:rsidRPr="00037AD4">
              <w:t>(0.816 - 1.227)</w:t>
            </w:r>
          </w:p>
        </w:tc>
        <w:tc>
          <w:tcPr>
            <w:tcW w:w="670" w:type="pct"/>
            <w:tcBorders>
              <w:top w:val="nil"/>
              <w:left w:val="nil"/>
              <w:bottom w:val="nil"/>
              <w:right w:val="nil"/>
            </w:tcBorders>
          </w:tcPr>
          <w:p w14:paraId="1D17DB02" w14:textId="77777777" w:rsidR="00B54D51" w:rsidRPr="00037AD4" w:rsidRDefault="00B54D51" w:rsidP="00401C67">
            <w:pPr>
              <w:widowControl w:val="0"/>
              <w:autoSpaceDE w:val="0"/>
              <w:autoSpaceDN w:val="0"/>
              <w:adjustRightInd w:val="0"/>
              <w:jc w:val="center"/>
            </w:pPr>
          </w:p>
        </w:tc>
      </w:tr>
      <w:tr w:rsidR="00B54D51" w:rsidRPr="00037AD4" w14:paraId="03B8CBA1" w14:textId="77777777" w:rsidTr="00401C67">
        <w:trPr>
          <w:jc w:val="center"/>
        </w:trPr>
        <w:tc>
          <w:tcPr>
            <w:tcW w:w="1608" w:type="pct"/>
            <w:tcBorders>
              <w:top w:val="nil"/>
              <w:left w:val="nil"/>
              <w:bottom w:val="nil"/>
              <w:right w:val="nil"/>
            </w:tcBorders>
          </w:tcPr>
          <w:p w14:paraId="39200E11" w14:textId="77777777" w:rsidR="00B54D51" w:rsidRPr="00037AD4" w:rsidRDefault="00B54D51" w:rsidP="00401C67">
            <w:pPr>
              <w:widowControl w:val="0"/>
              <w:autoSpaceDE w:val="0"/>
              <w:autoSpaceDN w:val="0"/>
              <w:adjustRightInd w:val="0"/>
            </w:pPr>
            <w:r w:rsidRPr="00037AD4">
              <w:t>4.eq5RP_</w:t>
            </w:r>
          </w:p>
        </w:tc>
        <w:tc>
          <w:tcPr>
            <w:tcW w:w="713" w:type="pct"/>
            <w:tcBorders>
              <w:top w:val="nil"/>
              <w:left w:val="nil"/>
              <w:bottom w:val="nil"/>
              <w:right w:val="nil"/>
            </w:tcBorders>
          </w:tcPr>
          <w:p w14:paraId="1DC88263" w14:textId="77777777" w:rsidR="00B54D51" w:rsidRPr="00037AD4" w:rsidRDefault="00B54D51" w:rsidP="00401C67">
            <w:pPr>
              <w:widowControl w:val="0"/>
              <w:autoSpaceDE w:val="0"/>
              <w:autoSpaceDN w:val="0"/>
              <w:adjustRightInd w:val="0"/>
              <w:jc w:val="center"/>
            </w:pPr>
            <w:r w:rsidRPr="00037AD4">
              <w:t>1.317***</w:t>
            </w:r>
          </w:p>
        </w:tc>
        <w:tc>
          <w:tcPr>
            <w:tcW w:w="670" w:type="pct"/>
            <w:tcBorders>
              <w:top w:val="nil"/>
              <w:left w:val="nil"/>
              <w:bottom w:val="nil"/>
              <w:right w:val="nil"/>
            </w:tcBorders>
          </w:tcPr>
          <w:p w14:paraId="303ECC22" w14:textId="77777777" w:rsidR="00B54D51" w:rsidRPr="00037AD4" w:rsidRDefault="00B54D51" w:rsidP="00401C67">
            <w:pPr>
              <w:widowControl w:val="0"/>
              <w:autoSpaceDE w:val="0"/>
              <w:autoSpaceDN w:val="0"/>
              <w:adjustRightInd w:val="0"/>
              <w:jc w:val="center"/>
            </w:pPr>
            <w:r w:rsidRPr="00037AD4">
              <w:t>1.351***</w:t>
            </w:r>
          </w:p>
        </w:tc>
        <w:tc>
          <w:tcPr>
            <w:tcW w:w="670" w:type="pct"/>
            <w:tcBorders>
              <w:top w:val="nil"/>
              <w:left w:val="nil"/>
              <w:bottom w:val="nil"/>
              <w:right w:val="nil"/>
            </w:tcBorders>
          </w:tcPr>
          <w:p w14:paraId="742A08B8" w14:textId="77777777" w:rsidR="00B54D51" w:rsidRPr="00037AD4" w:rsidRDefault="00B54D51" w:rsidP="00401C67">
            <w:pPr>
              <w:widowControl w:val="0"/>
              <w:autoSpaceDE w:val="0"/>
              <w:autoSpaceDN w:val="0"/>
              <w:adjustRightInd w:val="0"/>
              <w:jc w:val="center"/>
            </w:pPr>
            <w:r w:rsidRPr="00037AD4">
              <w:t>1.311***</w:t>
            </w:r>
          </w:p>
        </w:tc>
        <w:tc>
          <w:tcPr>
            <w:tcW w:w="670" w:type="pct"/>
            <w:tcBorders>
              <w:top w:val="nil"/>
              <w:left w:val="nil"/>
              <w:bottom w:val="nil"/>
              <w:right w:val="nil"/>
            </w:tcBorders>
          </w:tcPr>
          <w:p w14:paraId="0B9D68EB" w14:textId="77777777" w:rsidR="00B54D51" w:rsidRPr="00037AD4" w:rsidRDefault="00B54D51" w:rsidP="00401C67">
            <w:pPr>
              <w:widowControl w:val="0"/>
              <w:autoSpaceDE w:val="0"/>
              <w:autoSpaceDN w:val="0"/>
              <w:adjustRightInd w:val="0"/>
              <w:jc w:val="center"/>
            </w:pPr>
            <w:r w:rsidRPr="00037AD4">
              <w:t>1.415***</w:t>
            </w:r>
          </w:p>
        </w:tc>
        <w:tc>
          <w:tcPr>
            <w:tcW w:w="670" w:type="pct"/>
            <w:tcBorders>
              <w:top w:val="nil"/>
              <w:left w:val="nil"/>
              <w:bottom w:val="nil"/>
              <w:right w:val="nil"/>
            </w:tcBorders>
          </w:tcPr>
          <w:p w14:paraId="30CEAC67" w14:textId="77777777" w:rsidR="00B54D51" w:rsidRPr="00037AD4" w:rsidRDefault="00B54D51" w:rsidP="00401C67">
            <w:pPr>
              <w:widowControl w:val="0"/>
              <w:autoSpaceDE w:val="0"/>
              <w:autoSpaceDN w:val="0"/>
              <w:adjustRightInd w:val="0"/>
              <w:jc w:val="center"/>
            </w:pPr>
          </w:p>
        </w:tc>
      </w:tr>
      <w:tr w:rsidR="00B54D51" w:rsidRPr="00037AD4" w14:paraId="4C2C2449" w14:textId="77777777" w:rsidTr="00401C67">
        <w:trPr>
          <w:jc w:val="center"/>
        </w:trPr>
        <w:tc>
          <w:tcPr>
            <w:tcW w:w="1608" w:type="pct"/>
            <w:tcBorders>
              <w:top w:val="nil"/>
              <w:left w:val="nil"/>
              <w:bottom w:val="nil"/>
              <w:right w:val="nil"/>
            </w:tcBorders>
          </w:tcPr>
          <w:p w14:paraId="63689BA7" w14:textId="77777777" w:rsidR="00B54D51" w:rsidRPr="00037AD4" w:rsidRDefault="00B54D51" w:rsidP="00401C67">
            <w:pPr>
              <w:widowControl w:val="0"/>
              <w:autoSpaceDE w:val="0"/>
              <w:autoSpaceDN w:val="0"/>
              <w:adjustRightInd w:val="0"/>
            </w:pPr>
          </w:p>
        </w:tc>
        <w:tc>
          <w:tcPr>
            <w:tcW w:w="713" w:type="pct"/>
            <w:tcBorders>
              <w:top w:val="nil"/>
              <w:left w:val="nil"/>
              <w:bottom w:val="nil"/>
              <w:right w:val="nil"/>
            </w:tcBorders>
          </w:tcPr>
          <w:p w14:paraId="3F285067" w14:textId="77777777" w:rsidR="00B54D51" w:rsidRPr="00037AD4" w:rsidRDefault="00B54D51" w:rsidP="00401C67">
            <w:pPr>
              <w:widowControl w:val="0"/>
              <w:autoSpaceDE w:val="0"/>
              <w:autoSpaceDN w:val="0"/>
              <w:adjustRightInd w:val="0"/>
              <w:jc w:val="center"/>
            </w:pPr>
            <w:r w:rsidRPr="00037AD4">
              <w:t>(0.958 - 1.676)</w:t>
            </w:r>
          </w:p>
        </w:tc>
        <w:tc>
          <w:tcPr>
            <w:tcW w:w="670" w:type="pct"/>
            <w:tcBorders>
              <w:top w:val="nil"/>
              <w:left w:val="nil"/>
              <w:bottom w:val="nil"/>
              <w:right w:val="nil"/>
            </w:tcBorders>
          </w:tcPr>
          <w:p w14:paraId="08A14721" w14:textId="77777777" w:rsidR="00B54D51" w:rsidRPr="00037AD4" w:rsidRDefault="00B54D51" w:rsidP="00401C67">
            <w:pPr>
              <w:widowControl w:val="0"/>
              <w:autoSpaceDE w:val="0"/>
              <w:autoSpaceDN w:val="0"/>
              <w:adjustRightInd w:val="0"/>
              <w:jc w:val="center"/>
            </w:pPr>
            <w:r w:rsidRPr="00037AD4">
              <w:t>(1.010 - 1.693)</w:t>
            </w:r>
          </w:p>
        </w:tc>
        <w:tc>
          <w:tcPr>
            <w:tcW w:w="670" w:type="pct"/>
            <w:tcBorders>
              <w:top w:val="nil"/>
              <w:left w:val="nil"/>
              <w:bottom w:val="nil"/>
              <w:right w:val="nil"/>
            </w:tcBorders>
          </w:tcPr>
          <w:p w14:paraId="2E3269F2" w14:textId="77777777" w:rsidR="00B54D51" w:rsidRPr="00037AD4" w:rsidRDefault="00B54D51" w:rsidP="00401C67">
            <w:pPr>
              <w:widowControl w:val="0"/>
              <w:autoSpaceDE w:val="0"/>
              <w:autoSpaceDN w:val="0"/>
              <w:adjustRightInd w:val="0"/>
              <w:jc w:val="center"/>
            </w:pPr>
            <w:r w:rsidRPr="00037AD4">
              <w:t>(0.980 - 1.642)</w:t>
            </w:r>
          </w:p>
        </w:tc>
        <w:tc>
          <w:tcPr>
            <w:tcW w:w="670" w:type="pct"/>
            <w:tcBorders>
              <w:top w:val="nil"/>
              <w:left w:val="nil"/>
              <w:bottom w:val="nil"/>
              <w:right w:val="nil"/>
            </w:tcBorders>
          </w:tcPr>
          <w:p w14:paraId="5F174227" w14:textId="77777777" w:rsidR="00B54D51" w:rsidRPr="00037AD4" w:rsidRDefault="00B54D51" w:rsidP="00401C67">
            <w:pPr>
              <w:widowControl w:val="0"/>
              <w:autoSpaceDE w:val="0"/>
              <w:autoSpaceDN w:val="0"/>
              <w:adjustRightInd w:val="0"/>
              <w:jc w:val="center"/>
            </w:pPr>
            <w:r w:rsidRPr="00037AD4">
              <w:t>(1.091 - 1.740)</w:t>
            </w:r>
          </w:p>
        </w:tc>
        <w:tc>
          <w:tcPr>
            <w:tcW w:w="670" w:type="pct"/>
            <w:tcBorders>
              <w:top w:val="nil"/>
              <w:left w:val="nil"/>
              <w:bottom w:val="nil"/>
              <w:right w:val="nil"/>
            </w:tcBorders>
          </w:tcPr>
          <w:p w14:paraId="1A51B8D3" w14:textId="77777777" w:rsidR="00B54D51" w:rsidRPr="00037AD4" w:rsidRDefault="00B54D51" w:rsidP="00401C67">
            <w:pPr>
              <w:widowControl w:val="0"/>
              <w:autoSpaceDE w:val="0"/>
              <w:autoSpaceDN w:val="0"/>
              <w:adjustRightInd w:val="0"/>
              <w:jc w:val="center"/>
            </w:pPr>
          </w:p>
        </w:tc>
      </w:tr>
      <w:tr w:rsidR="00B54D51" w:rsidRPr="00037AD4" w14:paraId="3549211D" w14:textId="77777777" w:rsidTr="00401C67">
        <w:trPr>
          <w:jc w:val="center"/>
        </w:trPr>
        <w:tc>
          <w:tcPr>
            <w:tcW w:w="1608" w:type="pct"/>
            <w:tcBorders>
              <w:top w:val="nil"/>
              <w:left w:val="nil"/>
              <w:bottom w:val="nil"/>
              <w:right w:val="nil"/>
            </w:tcBorders>
          </w:tcPr>
          <w:p w14:paraId="5478CFBF" w14:textId="77777777" w:rsidR="00B54D51" w:rsidRPr="00037AD4" w:rsidRDefault="00B54D51" w:rsidP="00401C67">
            <w:pPr>
              <w:widowControl w:val="0"/>
              <w:autoSpaceDE w:val="0"/>
              <w:autoSpaceDN w:val="0"/>
              <w:adjustRightInd w:val="0"/>
            </w:pPr>
            <w:r w:rsidRPr="00037AD4">
              <w:t>5.eq5RP_</w:t>
            </w:r>
          </w:p>
        </w:tc>
        <w:tc>
          <w:tcPr>
            <w:tcW w:w="713" w:type="pct"/>
            <w:tcBorders>
              <w:top w:val="nil"/>
              <w:left w:val="nil"/>
              <w:bottom w:val="nil"/>
              <w:right w:val="nil"/>
            </w:tcBorders>
          </w:tcPr>
          <w:p w14:paraId="39C6BA50" w14:textId="77777777" w:rsidR="00B54D51" w:rsidRPr="00037AD4" w:rsidRDefault="00B54D51" w:rsidP="00401C67">
            <w:pPr>
              <w:widowControl w:val="0"/>
              <w:autoSpaceDE w:val="0"/>
              <w:autoSpaceDN w:val="0"/>
              <w:adjustRightInd w:val="0"/>
              <w:jc w:val="center"/>
            </w:pPr>
            <w:r w:rsidRPr="00037AD4">
              <w:t>2.171***</w:t>
            </w:r>
          </w:p>
        </w:tc>
        <w:tc>
          <w:tcPr>
            <w:tcW w:w="670" w:type="pct"/>
            <w:tcBorders>
              <w:top w:val="nil"/>
              <w:left w:val="nil"/>
              <w:bottom w:val="nil"/>
              <w:right w:val="nil"/>
            </w:tcBorders>
          </w:tcPr>
          <w:p w14:paraId="17E6666F" w14:textId="77777777" w:rsidR="00B54D51" w:rsidRPr="00037AD4" w:rsidRDefault="00B54D51" w:rsidP="00401C67">
            <w:pPr>
              <w:widowControl w:val="0"/>
              <w:autoSpaceDE w:val="0"/>
              <w:autoSpaceDN w:val="0"/>
              <w:adjustRightInd w:val="0"/>
              <w:jc w:val="center"/>
            </w:pPr>
            <w:r w:rsidRPr="00037AD4">
              <w:t>2.144***</w:t>
            </w:r>
          </w:p>
        </w:tc>
        <w:tc>
          <w:tcPr>
            <w:tcW w:w="670" w:type="pct"/>
            <w:tcBorders>
              <w:top w:val="nil"/>
              <w:left w:val="nil"/>
              <w:bottom w:val="nil"/>
              <w:right w:val="nil"/>
            </w:tcBorders>
          </w:tcPr>
          <w:p w14:paraId="7CF45BDB" w14:textId="77777777" w:rsidR="00B54D51" w:rsidRPr="00037AD4" w:rsidRDefault="00B54D51" w:rsidP="00401C67">
            <w:pPr>
              <w:widowControl w:val="0"/>
              <w:autoSpaceDE w:val="0"/>
              <w:autoSpaceDN w:val="0"/>
              <w:adjustRightInd w:val="0"/>
              <w:jc w:val="center"/>
            </w:pPr>
            <w:r w:rsidRPr="00037AD4">
              <w:t>2.076***</w:t>
            </w:r>
          </w:p>
        </w:tc>
        <w:tc>
          <w:tcPr>
            <w:tcW w:w="670" w:type="pct"/>
            <w:tcBorders>
              <w:top w:val="nil"/>
              <w:left w:val="nil"/>
              <w:bottom w:val="nil"/>
              <w:right w:val="nil"/>
            </w:tcBorders>
          </w:tcPr>
          <w:p w14:paraId="4574CEDA" w14:textId="77777777" w:rsidR="00B54D51" w:rsidRPr="00037AD4" w:rsidRDefault="00B54D51" w:rsidP="00401C67">
            <w:pPr>
              <w:widowControl w:val="0"/>
              <w:autoSpaceDE w:val="0"/>
              <w:autoSpaceDN w:val="0"/>
              <w:adjustRightInd w:val="0"/>
              <w:jc w:val="center"/>
            </w:pPr>
            <w:r w:rsidRPr="00037AD4">
              <w:t>2.073***</w:t>
            </w:r>
          </w:p>
        </w:tc>
        <w:tc>
          <w:tcPr>
            <w:tcW w:w="670" w:type="pct"/>
            <w:tcBorders>
              <w:top w:val="nil"/>
              <w:left w:val="nil"/>
              <w:bottom w:val="nil"/>
              <w:right w:val="nil"/>
            </w:tcBorders>
          </w:tcPr>
          <w:p w14:paraId="2D30696C" w14:textId="77777777" w:rsidR="00B54D51" w:rsidRPr="00037AD4" w:rsidRDefault="00B54D51" w:rsidP="00401C67">
            <w:pPr>
              <w:widowControl w:val="0"/>
              <w:autoSpaceDE w:val="0"/>
              <w:autoSpaceDN w:val="0"/>
              <w:adjustRightInd w:val="0"/>
              <w:jc w:val="center"/>
            </w:pPr>
          </w:p>
        </w:tc>
      </w:tr>
      <w:tr w:rsidR="00B54D51" w:rsidRPr="00037AD4" w14:paraId="2C5D4679" w14:textId="77777777" w:rsidTr="00401C67">
        <w:trPr>
          <w:jc w:val="center"/>
        </w:trPr>
        <w:tc>
          <w:tcPr>
            <w:tcW w:w="1608" w:type="pct"/>
            <w:tcBorders>
              <w:top w:val="nil"/>
              <w:left w:val="nil"/>
              <w:bottom w:val="nil"/>
              <w:right w:val="nil"/>
            </w:tcBorders>
          </w:tcPr>
          <w:p w14:paraId="518816F2" w14:textId="77777777" w:rsidR="00B54D51" w:rsidRPr="00037AD4" w:rsidRDefault="00B54D51" w:rsidP="00401C67">
            <w:pPr>
              <w:widowControl w:val="0"/>
              <w:autoSpaceDE w:val="0"/>
              <w:autoSpaceDN w:val="0"/>
              <w:adjustRightInd w:val="0"/>
            </w:pPr>
          </w:p>
        </w:tc>
        <w:tc>
          <w:tcPr>
            <w:tcW w:w="713" w:type="pct"/>
            <w:tcBorders>
              <w:top w:val="nil"/>
              <w:left w:val="nil"/>
              <w:bottom w:val="nil"/>
              <w:right w:val="nil"/>
            </w:tcBorders>
          </w:tcPr>
          <w:p w14:paraId="6CE531B4" w14:textId="77777777" w:rsidR="00B54D51" w:rsidRPr="00037AD4" w:rsidRDefault="00B54D51" w:rsidP="00401C67">
            <w:pPr>
              <w:widowControl w:val="0"/>
              <w:autoSpaceDE w:val="0"/>
              <w:autoSpaceDN w:val="0"/>
              <w:adjustRightInd w:val="0"/>
              <w:jc w:val="center"/>
            </w:pPr>
            <w:r w:rsidRPr="00037AD4">
              <w:t>(1.340 - 3.001)</w:t>
            </w:r>
          </w:p>
        </w:tc>
        <w:tc>
          <w:tcPr>
            <w:tcW w:w="670" w:type="pct"/>
            <w:tcBorders>
              <w:top w:val="nil"/>
              <w:left w:val="nil"/>
              <w:bottom w:val="nil"/>
              <w:right w:val="nil"/>
            </w:tcBorders>
          </w:tcPr>
          <w:p w14:paraId="2FB0C6E5" w14:textId="77777777" w:rsidR="00B54D51" w:rsidRPr="00037AD4" w:rsidRDefault="00B54D51" w:rsidP="00401C67">
            <w:pPr>
              <w:widowControl w:val="0"/>
              <w:autoSpaceDE w:val="0"/>
              <w:autoSpaceDN w:val="0"/>
              <w:adjustRightInd w:val="0"/>
              <w:jc w:val="center"/>
            </w:pPr>
            <w:r w:rsidRPr="00037AD4">
              <w:t>(1.211 - 3.077)</w:t>
            </w:r>
          </w:p>
        </w:tc>
        <w:tc>
          <w:tcPr>
            <w:tcW w:w="670" w:type="pct"/>
            <w:tcBorders>
              <w:top w:val="nil"/>
              <w:left w:val="nil"/>
              <w:bottom w:val="nil"/>
              <w:right w:val="nil"/>
            </w:tcBorders>
          </w:tcPr>
          <w:p w14:paraId="2BCB0673" w14:textId="77777777" w:rsidR="00B54D51" w:rsidRPr="00037AD4" w:rsidRDefault="00B54D51" w:rsidP="00401C67">
            <w:pPr>
              <w:widowControl w:val="0"/>
              <w:autoSpaceDE w:val="0"/>
              <w:autoSpaceDN w:val="0"/>
              <w:adjustRightInd w:val="0"/>
              <w:jc w:val="center"/>
            </w:pPr>
            <w:r w:rsidRPr="00037AD4">
              <w:t>(1.060 - 3.092)</w:t>
            </w:r>
          </w:p>
        </w:tc>
        <w:tc>
          <w:tcPr>
            <w:tcW w:w="670" w:type="pct"/>
            <w:tcBorders>
              <w:top w:val="nil"/>
              <w:left w:val="nil"/>
              <w:bottom w:val="nil"/>
              <w:right w:val="nil"/>
            </w:tcBorders>
          </w:tcPr>
          <w:p w14:paraId="26C339A7" w14:textId="77777777" w:rsidR="00B54D51" w:rsidRPr="00037AD4" w:rsidRDefault="00B54D51" w:rsidP="00401C67">
            <w:pPr>
              <w:widowControl w:val="0"/>
              <w:autoSpaceDE w:val="0"/>
              <w:autoSpaceDN w:val="0"/>
              <w:adjustRightInd w:val="0"/>
              <w:jc w:val="center"/>
            </w:pPr>
            <w:r w:rsidRPr="00037AD4">
              <w:t>(1.203 - 2.943)</w:t>
            </w:r>
          </w:p>
        </w:tc>
        <w:tc>
          <w:tcPr>
            <w:tcW w:w="670" w:type="pct"/>
            <w:tcBorders>
              <w:top w:val="nil"/>
              <w:left w:val="nil"/>
              <w:bottom w:val="nil"/>
              <w:right w:val="nil"/>
            </w:tcBorders>
          </w:tcPr>
          <w:p w14:paraId="2A878746" w14:textId="77777777" w:rsidR="00B54D51" w:rsidRPr="00037AD4" w:rsidRDefault="00B54D51" w:rsidP="00401C67">
            <w:pPr>
              <w:widowControl w:val="0"/>
              <w:autoSpaceDE w:val="0"/>
              <w:autoSpaceDN w:val="0"/>
              <w:adjustRightInd w:val="0"/>
              <w:jc w:val="center"/>
            </w:pPr>
          </w:p>
        </w:tc>
      </w:tr>
      <w:tr w:rsidR="00B54D51" w:rsidRPr="00037AD4" w14:paraId="3A013DCC" w14:textId="77777777" w:rsidTr="00401C67">
        <w:trPr>
          <w:jc w:val="center"/>
        </w:trPr>
        <w:tc>
          <w:tcPr>
            <w:tcW w:w="1608" w:type="pct"/>
            <w:tcBorders>
              <w:top w:val="nil"/>
              <w:left w:val="nil"/>
              <w:bottom w:val="nil"/>
              <w:right w:val="nil"/>
            </w:tcBorders>
          </w:tcPr>
          <w:p w14:paraId="116552B9" w14:textId="77777777" w:rsidR="00B54D51" w:rsidRPr="00037AD4" w:rsidRDefault="00B54D51" w:rsidP="00401C67">
            <w:pPr>
              <w:widowControl w:val="0"/>
              <w:autoSpaceDE w:val="0"/>
              <w:autoSpaceDN w:val="0"/>
              <w:adjustRightInd w:val="0"/>
            </w:pPr>
            <w:r w:rsidRPr="00037AD4">
              <w:t>1.CDR_new_</w:t>
            </w:r>
          </w:p>
        </w:tc>
        <w:tc>
          <w:tcPr>
            <w:tcW w:w="713" w:type="pct"/>
            <w:tcBorders>
              <w:top w:val="nil"/>
              <w:left w:val="nil"/>
              <w:bottom w:val="nil"/>
              <w:right w:val="nil"/>
            </w:tcBorders>
          </w:tcPr>
          <w:p w14:paraId="7723309C" w14:textId="77777777" w:rsidR="00B54D51" w:rsidRPr="00037AD4" w:rsidRDefault="00B54D51" w:rsidP="00401C67">
            <w:pPr>
              <w:widowControl w:val="0"/>
              <w:autoSpaceDE w:val="0"/>
              <w:autoSpaceDN w:val="0"/>
              <w:adjustRightInd w:val="0"/>
              <w:jc w:val="center"/>
            </w:pPr>
            <w:r w:rsidRPr="00037AD4">
              <w:t>0.300</w:t>
            </w:r>
          </w:p>
        </w:tc>
        <w:tc>
          <w:tcPr>
            <w:tcW w:w="670" w:type="pct"/>
            <w:tcBorders>
              <w:top w:val="nil"/>
              <w:left w:val="nil"/>
              <w:bottom w:val="nil"/>
              <w:right w:val="nil"/>
            </w:tcBorders>
          </w:tcPr>
          <w:p w14:paraId="1C0CD3B9"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33232E35"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67B08476"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79D6A191" w14:textId="77777777" w:rsidR="00B54D51" w:rsidRPr="00037AD4" w:rsidRDefault="00B54D51" w:rsidP="00401C67">
            <w:pPr>
              <w:widowControl w:val="0"/>
              <w:autoSpaceDE w:val="0"/>
              <w:autoSpaceDN w:val="0"/>
              <w:adjustRightInd w:val="0"/>
              <w:jc w:val="center"/>
            </w:pPr>
          </w:p>
        </w:tc>
      </w:tr>
      <w:tr w:rsidR="00B54D51" w:rsidRPr="00037AD4" w14:paraId="15C80F40" w14:textId="77777777" w:rsidTr="00401C67">
        <w:trPr>
          <w:jc w:val="center"/>
        </w:trPr>
        <w:tc>
          <w:tcPr>
            <w:tcW w:w="1608" w:type="pct"/>
            <w:tcBorders>
              <w:top w:val="nil"/>
              <w:left w:val="nil"/>
              <w:bottom w:val="nil"/>
              <w:right w:val="nil"/>
            </w:tcBorders>
          </w:tcPr>
          <w:p w14:paraId="5CAC9A58" w14:textId="77777777" w:rsidR="00B54D51" w:rsidRPr="00037AD4" w:rsidRDefault="00B54D51" w:rsidP="00401C67">
            <w:pPr>
              <w:widowControl w:val="0"/>
              <w:autoSpaceDE w:val="0"/>
              <w:autoSpaceDN w:val="0"/>
              <w:adjustRightInd w:val="0"/>
            </w:pPr>
          </w:p>
        </w:tc>
        <w:tc>
          <w:tcPr>
            <w:tcW w:w="713" w:type="pct"/>
            <w:tcBorders>
              <w:top w:val="nil"/>
              <w:left w:val="nil"/>
              <w:bottom w:val="nil"/>
              <w:right w:val="nil"/>
            </w:tcBorders>
          </w:tcPr>
          <w:p w14:paraId="64A9F6A3" w14:textId="77777777" w:rsidR="00B54D51" w:rsidRPr="00037AD4" w:rsidRDefault="00B54D51" w:rsidP="00401C67">
            <w:pPr>
              <w:widowControl w:val="0"/>
              <w:autoSpaceDE w:val="0"/>
              <w:autoSpaceDN w:val="0"/>
              <w:adjustRightInd w:val="0"/>
              <w:jc w:val="center"/>
            </w:pPr>
            <w:r w:rsidRPr="00037AD4">
              <w:t>(-0.382 - 0.981)</w:t>
            </w:r>
          </w:p>
        </w:tc>
        <w:tc>
          <w:tcPr>
            <w:tcW w:w="670" w:type="pct"/>
            <w:tcBorders>
              <w:top w:val="nil"/>
              <w:left w:val="nil"/>
              <w:bottom w:val="nil"/>
              <w:right w:val="nil"/>
            </w:tcBorders>
          </w:tcPr>
          <w:p w14:paraId="6767AECB"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0FA98AF3"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764440A6"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33711F3C" w14:textId="77777777" w:rsidR="00B54D51" w:rsidRPr="00037AD4" w:rsidRDefault="00B54D51" w:rsidP="00401C67">
            <w:pPr>
              <w:widowControl w:val="0"/>
              <w:autoSpaceDE w:val="0"/>
              <w:autoSpaceDN w:val="0"/>
              <w:adjustRightInd w:val="0"/>
              <w:jc w:val="center"/>
            </w:pPr>
          </w:p>
        </w:tc>
      </w:tr>
      <w:tr w:rsidR="00B54D51" w:rsidRPr="00037AD4" w14:paraId="3EC3FD8A" w14:textId="77777777" w:rsidTr="00401C67">
        <w:trPr>
          <w:jc w:val="center"/>
        </w:trPr>
        <w:tc>
          <w:tcPr>
            <w:tcW w:w="1608" w:type="pct"/>
            <w:tcBorders>
              <w:top w:val="nil"/>
              <w:left w:val="nil"/>
              <w:bottom w:val="nil"/>
              <w:right w:val="nil"/>
            </w:tcBorders>
          </w:tcPr>
          <w:p w14:paraId="36FDC48C" w14:textId="77777777" w:rsidR="00B54D51" w:rsidRPr="00037AD4" w:rsidRDefault="00B54D51" w:rsidP="00401C67">
            <w:pPr>
              <w:widowControl w:val="0"/>
              <w:autoSpaceDE w:val="0"/>
              <w:autoSpaceDN w:val="0"/>
              <w:adjustRightInd w:val="0"/>
            </w:pPr>
            <w:r w:rsidRPr="00037AD4">
              <w:t>2.CDR_new_</w:t>
            </w:r>
          </w:p>
        </w:tc>
        <w:tc>
          <w:tcPr>
            <w:tcW w:w="713" w:type="pct"/>
            <w:tcBorders>
              <w:top w:val="nil"/>
              <w:left w:val="nil"/>
              <w:bottom w:val="nil"/>
              <w:right w:val="nil"/>
            </w:tcBorders>
          </w:tcPr>
          <w:p w14:paraId="4069EE79" w14:textId="77777777" w:rsidR="00B54D51" w:rsidRPr="00037AD4" w:rsidRDefault="00B54D51" w:rsidP="00401C67">
            <w:pPr>
              <w:widowControl w:val="0"/>
              <w:autoSpaceDE w:val="0"/>
              <w:autoSpaceDN w:val="0"/>
              <w:adjustRightInd w:val="0"/>
              <w:jc w:val="center"/>
            </w:pPr>
            <w:r w:rsidRPr="00037AD4">
              <w:t>0.260</w:t>
            </w:r>
          </w:p>
        </w:tc>
        <w:tc>
          <w:tcPr>
            <w:tcW w:w="670" w:type="pct"/>
            <w:tcBorders>
              <w:top w:val="nil"/>
              <w:left w:val="nil"/>
              <w:bottom w:val="nil"/>
              <w:right w:val="nil"/>
            </w:tcBorders>
          </w:tcPr>
          <w:p w14:paraId="3AEE79F7"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69C9C2AF"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7C3E9820"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085EFAB1" w14:textId="77777777" w:rsidR="00B54D51" w:rsidRPr="00037AD4" w:rsidRDefault="00B54D51" w:rsidP="00401C67">
            <w:pPr>
              <w:widowControl w:val="0"/>
              <w:autoSpaceDE w:val="0"/>
              <w:autoSpaceDN w:val="0"/>
              <w:adjustRightInd w:val="0"/>
              <w:jc w:val="center"/>
            </w:pPr>
          </w:p>
        </w:tc>
      </w:tr>
      <w:tr w:rsidR="00B54D51" w:rsidRPr="00037AD4" w14:paraId="13260DB6" w14:textId="77777777" w:rsidTr="00401C67">
        <w:trPr>
          <w:jc w:val="center"/>
        </w:trPr>
        <w:tc>
          <w:tcPr>
            <w:tcW w:w="1608" w:type="pct"/>
            <w:tcBorders>
              <w:top w:val="nil"/>
              <w:left w:val="nil"/>
              <w:bottom w:val="nil"/>
              <w:right w:val="nil"/>
            </w:tcBorders>
          </w:tcPr>
          <w:p w14:paraId="7FE27B88" w14:textId="77777777" w:rsidR="00B54D51" w:rsidRPr="00037AD4" w:rsidRDefault="00B54D51" w:rsidP="00401C67">
            <w:pPr>
              <w:widowControl w:val="0"/>
              <w:autoSpaceDE w:val="0"/>
              <w:autoSpaceDN w:val="0"/>
              <w:adjustRightInd w:val="0"/>
            </w:pPr>
          </w:p>
        </w:tc>
        <w:tc>
          <w:tcPr>
            <w:tcW w:w="713" w:type="pct"/>
            <w:tcBorders>
              <w:top w:val="nil"/>
              <w:left w:val="nil"/>
              <w:bottom w:val="nil"/>
              <w:right w:val="nil"/>
            </w:tcBorders>
          </w:tcPr>
          <w:p w14:paraId="2EAA1FE5" w14:textId="77777777" w:rsidR="00B54D51" w:rsidRPr="00037AD4" w:rsidRDefault="00B54D51" w:rsidP="00401C67">
            <w:pPr>
              <w:widowControl w:val="0"/>
              <w:autoSpaceDE w:val="0"/>
              <w:autoSpaceDN w:val="0"/>
              <w:adjustRightInd w:val="0"/>
              <w:jc w:val="center"/>
            </w:pPr>
            <w:r w:rsidRPr="00037AD4">
              <w:t>(-0.471 - 0.990)</w:t>
            </w:r>
          </w:p>
        </w:tc>
        <w:tc>
          <w:tcPr>
            <w:tcW w:w="670" w:type="pct"/>
            <w:tcBorders>
              <w:top w:val="nil"/>
              <w:left w:val="nil"/>
              <w:bottom w:val="nil"/>
              <w:right w:val="nil"/>
            </w:tcBorders>
          </w:tcPr>
          <w:p w14:paraId="4F966809"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582204EC"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2C23C1E7"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72D29188" w14:textId="77777777" w:rsidR="00B54D51" w:rsidRPr="00037AD4" w:rsidRDefault="00B54D51" w:rsidP="00401C67">
            <w:pPr>
              <w:widowControl w:val="0"/>
              <w:autoSpaceDE w:val="0"/>
              <w:autoSpaceDN w:val="0"/>
              <w:adjustRightInd w:val="0"/>
              <w:jc w:val="center"/>
            </w:pPr>
          </w:p>
        </w:tc>
      </w:tr>
      <w:tr w:rsidR="00B54D51" w:rsidRPr="00037AD4" w14:paraId="6AEA2947" w14:textId="77777777" w:rsidTr="00401C67">
        <w:trPr>
          <w:jc w:val="center"/>
        </w:trPr>
        <w:tc>
          <w:tcPr>
            <w:tcW w:w="1608" w:type="pct"/>
            <w:tcBorders>
              <w:top w:val="nil"/>
              <w:left w:val="nil"/>
              <w:bottom w:val="nil"/>
              <w:right w:val="nil"/>
            </w:tcBorders>
          </w:tcPr>
          <w:p w14:paraId="35E8C9F9" w14:textId="77777777" w:rsidR="00B54D51" w:rsidRPr="00037AD4" w:rsidRDefault="00B54D51" w:rsidP="00401C67">
            <w:pPr>
              <w:widowControl w:val="0"/>
              <w:autoSpaceDE w:val="0"/>
              <w:autoSpaceDN w:val="0"/>
              <w:adjustRightInd w:val="0"/>
            </w:pPr>
            <w:r w:rsidRPr="00037AD4">
              <w:t>3.CDR_new_</w:t>
            </w:r>
          </w:p>
        </w:tc>
        <w:tc>
          <w:tcPr>
            <w:tcW w:w="713" w:type="pct"/>
            <w:tcBorders>
              <w:top w:val="nil"/>
              <w:left w:val="nil"/>
              <w:bottom w:val="nil"/>
              <w:right w:val="nil"/>
            </w:tcBorders>
          </w:tcPr>
          <w:p w14:paraId="3E991A8B" w14:textId="77777777" w:rsidR="00B54D51" w:rsidRPr="00037AD4" w:rsidRDefault="00B54D51" w:rsidP="00401C67">
            <w:pPr>
              <w:widowControl w:val="0"/>
              <w:autoSpaceDE w:val="0"/>
              <w:autoSpaceDN w:val="0"/>
              <w:adjustRightInd w:val="0"/>
              <w:jc w:val="center"/>
            </w:pPr>
            <w:r w:rsidRPr="00037AD4">
              <w:t>0.875*</w:t>
            </w:r>
          </w:p>
        </w:tc>
        <w:tc>
          <w:tcPr>
            <w:tcW w:w="670" w:type="pct"/>
            <w:tcBorders>
              <w:top w:val="nil"/>
              <w:left w:val="nil"/>
              <w:bottom w:val="nil"/>
              <w:right w:val="nil"/>
            </w:tcBorders>
          </w:tcPr>
          <w:p w14:paraId="129C0C1C"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078937D6"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362FBFEB"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60E27688" w14:textId="77777777" w:rsidR="00B54D51" w:rsidRPr="00037AD4" w:rsidRDefault="00B54D51" w:rsidP="00401C67">
            <w:pPr>
              <w:widowControl w:val="0"/>
              <w:autoSpaceDE w:val="0"/>
              <w:autoSpaceDN w:val="0"/>
              <w:adjustRightInd w:val="0"/>
              <w:jc w:val="center"/>
            </w:pPr>
          </w:p>
        </w:tc>
      </w:tr>
      <w:tr w:rsidR="00B54D51" w:rsidRPr="00037AD4" w14:paraId="52893E31" w14:textId="77777777" w:rsidTr="00401C67">
        <w:trPr>
          <w:jc w:val="center"/>
        </w:trPr>
        <w:tc>
          <w:tcPr>
            <w:tcW w:w="1608" w:type="pct"/>
            <w:tcBorders>
              <w:top w:val="nil"/>
              <w:left w:val="nil"/>
              <w:bottom w:val="nil"/>
              <w:right w:val="nil"/>
            </w:tcBorders>
          </w:tcPr>
          <w:p w14:paraId="343E7BE2" w14:textId="77777777" w:rsidR="00B54D51" w:rsidRPr="00037AD4" w:rsidRDefault="00B54D51" w:rsidP="00401C67">
            <w:pPr>
              <w:widowControl w:val="0"/>
              <w:autoSpaceDE w:val="0"/>
              <w:autoSpaceDN w:val="0"/>
              <w:adjustRightInd w:val="0"/>
            </w:pPr>
          </w:p>
        </w:tc>
        <w:tc>
          <w:tcPr>
            <w:tcW w:w="713" w:type="pct"/>
            <w:tcBorders>
              <w:top w:val="nil"/>
              <w:left w:val="nil"/>
              <w:bottom w:val="nil"/>
              <w:right w:val="nil"/>
            </w:tcBorders>
          </w:tcPr>
          <w:p w14:paraId="5C2366F0" w14:textId="77777777" w:rsidR="00B54D51" w:rsidRPr="00037AD4" w:rsidRDefault="00B54D51" w:rsidP="00401C67">
            <w:pPr>
              <w:widowControl w:val="0"/>
              <w:autoSpaceDE w:val="0"/>
              <w:autoSpaceDN w:val="0"/>
              <w:adjustRightInd w:val="0"/>
              <w:jc w:val="center"/>
            </w:pPr>
            <w:r w:rsidRPr="00037AD4">
              <w:t>(-0.032 - 1.782)</w:t>
            </w:r>
          </w:p>
        </w:tc>
        <w:tc>
          <w:tcPr>
            <w:tcW w:w="670" w:type="pct"/>
            <w:tcBorders>
              <w:top w:val="nil"/>
              <w:left w:val="nil"/>
              <w:bottom w:val="nil"/>
              <w:right w:val="nil"/>
            </w:tcBorders>
          </w:tcPr>
          <w:p w14:paraId="5530FD39"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536F4D18"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6FED864E"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06465075" w14:textId="77777777" w:rsidR="00B54D51" w:rsidRPr="00037AD4" w:rsidRDefault="00B54D51" w:rsidP="00401C67">
            <w:pPr>
              <w:widowControl w:val="0"/>
              <w:autoSpaceDE w:val="0"/>
              <w:autoSpaceDN w:val="0"/>
              <w:adjustRightInd w:val="0"/>
              <w:jc w:val="center"/>
            </w:pPr>
          </w:p>
        </w:tc>
      </w:tr>
      <w:tr w:rsidR="00B54D51" w:rsidRPr="00037AD4" w14:paraId="418276FA" w14:textId="77777777" w:rsidTr="00401C67">
        <w:trPr>
          <w:jc w:val="center"/>
        </w:trPr>
        <w:tc>
          <w:tcPr>
            <w:tcW w:w="1608" w:type="pct"/>
            <w:tcBorders>
              <w:top w:val="nil"/>
              <w:left w:val="nil"/>
              <w:bottom w:val="nil"/>
              <w:right w:val="nil"/>
            </w:tcBorders>
          </w:tcPr>
          <w:p w14:paraId="7623C5A6" w14:textId="77777777" w:rsidR="00B54D51" w:rsidRPr="00037AD4" w:rsidRDefault="00B54D51" w:rsidP="00401C67">
            <w:pPr>
              <w:widowControl w:val="0"/>
              <w:autoSpaceDE w:val="0"/>
              <w:autoSpaceDN w:val="0"/>
              <w:adjustRightInd w:val="0"/>
            </w:pPr>
            <w:r w:rsidRPr="00037AD4">
              <w:t>MMSE_Total_</w:t>
            </w:r>
          </w:p>
        </w:tc>
        <w:tc>
          <w:tcPr>
            <w:tcW w:w="713" w:type="pct"/>
            <w:tcBorders>
              <w:top w:val="nil"/>
              <w:left w:val="nil"/>
              <w:bottom w:val="nil"/>
              <w:right w:val="nil"/>
            </w:tcBorders>
          </w:tcPr>
          <w:p w14:paraId="55626811" w14:textId="77777777" w:rsidR="00B54D51" w:rsidRPr="00037AD4" w:rsidRDefault="00B54D51" w:rsidP="00401C67">
            <w:pPr>
              <w:widowControl w:val="0"/>
              <w:autoSpaceDE w:val="0"/>
              <w:autoSpaceDN w:val="0"/>
              <w:adjustRightInd w:val="0"/>
              <w:jc w:val="center"/>
            </w:pPr>
            <w:r w:rsidRPr="00037AD4">
              <w:t>0.014</w:t>
            </w:r>
          </w:p>
        </w:tc>
        <w:tc>
          <w:tcPr>
            <w:tcW w:w="670" w:type="pct"/>
            <w:tcBorders>
              <w:top w:val="nil"/>
              <w:left w:val="nil"/>
              <w:bottom w:val="nil"/>
              <w:right w:val="nil"/>
            </w:tcBorders>
          </w:tcPr>
          <w:p w14:paraId="3B3F2A45" w14:textId="77777777" w:rsidR="00B54D51" w:rsidRPr="00037AD4" w:rsidRDefault="00B54D51" w:rsidP="00401C67">
            <w:pPr>
              <w:widowControl w:val="0"/>
              <w:autoSpaceDE w:val="0"/>
              <w:autoSpaceDN w:val="0"/>
              <w:adjustRightInd w:val="0"/>
              <w:jc w:val="center"/>
            </w:pPr>
            <w:r w:rsidRPr="00037AD4">
              <w:t>0.018*</w:t>
            </w:r>
          </w:p>
        </w:tc>
        <w:tc>
          <w:tcPr>
            <w:tcW w:w="670" w:type="pct"/>
            <w:tcBorders>
              <w:top w:val="nil"/>
              <w:left w:val="nil"/>
              <w:bottom w:val="nil"/>
              <w:right w:val="nil"/>
            </w:tcBorders>
          </w:tcPr>
          <w:p w14:paraId="01456798" w14:textId="77777777" w:rsidR="00B54D51" w:rsidRPr="00037AD4" w:rsidRDefault="00B54D51" w:rsidP="00401C67">
            <w:pPr>
              <w:widowControl w:val="0"/>
              <w:autoSpaceDE w:val="0"/>
              <w:autoSpaceDN w:val="0"/>
              <w:adjustRightInd w:val="0"/>
              <w:jc w:val="center"/>
            </w:pPr>
            <w:r w:rsidRPr="00037AD4">
              <w:t>0.019**</w:t>
            </w:r>
          </w:p>
        </w:tc>
        <w:tc>
          <w:tcPr>
            <w:tcW w:w="670" w:type="pct"/>
            <w:tcBorders>
              <w:top w:val="nil"/>
              <w:left w:val="nil"/>
              <w:bottom w:val="nil"/>
              <w:right w:val="nil"/>
            </w:tcBorders>
          </w:tcPr>
          <w:p w14:paraId="5EA3F37B" w14:textId="77777777" w:rsidR="00B54D51" w:rsidRPr="00037AD4" w:rsidRDefault="00B54D51" w:rsidP="00401C67">
            <w:pPr>
              <w:widowControl w:val="0"/>
              <w:autoSpaceDE w:val="0"/>
              <w:autoSpaceDN w:val="0"/>
              <w:adjustRightInd w:val="0"/>
              <w:jc w:val="center"/>
            </w:pPr>
            <w:r w:rsidRPr="00037AD4">
              <w:t>0.020**</w:t>
            </w:r>
          </w:p>
        </w:tc>
        <w:tc>
          <w:tcPr>
            <w:tcW w:w="670" w:type="pct"/>
            <w:tcBorders>
              <w:top w:val="nil"/>
              <w:left w:val="nil"/>
              <w:bottom w:val="nil"/>
              <w:right w:val="nil"/>
            </w:tcBorders>
          </w:tcPr>
          <w:p w14:paraId="52C0978A" w14:textId="77777777" w:rsidR="00B54D51" w:rsidRPr="00037AD4" w:rsidRDefault="00B54D51" w:rsidP="00401C67">
            <w:pPr>
              <w:widowControl w:val="0"/>
              <w:autoSpaceDE w:val="0"/>
              <w:autoSpaceDN w:val="0"/>
              <w:adjustRightInd w:val="0"/>
              <w:jc w:val="center"/>
            </w:pPr>
            <w:r w:rsidRPr="00037AD4">
              <w:t>0.024***</w:t>
            </w:r>
          </w:p>
        </w:tc>
      </w:tr>
      <w:tr w:rsidR="00B54D51" w:rsidRPr="00037AD4" w14:paraId="1D067D4D" w14:textId="77777777" w:rsidTr="00401C67">
        <w:trPr>
          <w:jc w:val="center"/>
        </w:trPr>
        <w:tc>
          <w:tcPr>
            <w:tcW w:w="1608" w:type="pct"/>
            <w:tcBorders>
              <w:top w:val="nil"/>
              <w:left w:val="nil"/>
              <w:bottom w:val="nil"/>
              <w:right w:val="nil"/>
            </w:tcBorders>
          </w:tcPr>
          <w:p w14:paraId="451B3999" w14:textId="77777777" w:rsidR="00B54D51" w:rsidRPr="00037AD4" w:rsidRDefault="00B54D51" w:rsidP="00401C67">
            <w:pPr>
              <w:widowControl w:val="0"/>
              <w:autoSpaceDE w:val="0"/>
              <w:autoSpaceDN w:val="0"/>
              <w:adjustRightInd w:val="0"/>
            </w:pPr>
          </w:p>
        </w:tc>
        <w:tc>
          <w:tcPr>
            <w:tcW w:w="713" w:type="pct"/>
            <w:tcBorders>
              <w:top w:val="nil"/>
              <w:left w:val="nil"/>
              <w:bottom w:val="nil"/>
              <w:right w:val="nil"/>
            </w:tcBorders>
          </w:tcPr>
          <w:p w14:paraId="407D882F" w14:textId="77777777" w:rsidR="00B54D51" w:rsidRPr="00037AD4" w:rsidRDefault="00B54D51" w:rsidP="00401C67">
            <w:pPr>
              <w:widowControl w:val="0"/>
              <w:autoSpaceDE w:val="0"/>
              <w:autoSpaceDN w:val="0"/>
              <w:adjustRightInd w:val="0"/>
              <w:jc w:val="center"/>
            </w:pPr>
            <w:r w:rsidRPr="00037AD4">
              <w:t>(-0.007 - 0.036)</w:t>
            </w:r>
          </w:p>
        </w:tc>
        <w:tc>
          <w:tcPr>
            <w:tcW w:w="670" w:type="pct"/>
            <w:tcBorders>
              <w:top w:val="nil"/>
              <w:left w:val="nil"/>
              <w:bottom w:val="nil"/>
              <w:right w:val="nil"/>
            </w:tcBorders>
          </w:tcPr>
          <w:p w14:paraId="2ADE589B" w14:textId="77777777" w:rsidR="00B54D51" w:rsidRPr="00037AD4" w:rsidRDefault="00B54D51" w:rsidP="00401C67">
            <w:pPr>
              <w:widowControl w:val="0"/>
              <w:autoSpaceDE w:val="0"/>
              <w:autoSpaceDN w:val="0"/>
              <w:adjustRightInd w:val="0"/>
              <w:jc w:val="center"/>
            </w:pPr>
            <w:r w:rsidRPr="00037AD4">
              <w:t>(-0.002 - 0.037)</w:t>
            </w:r>
          </w:p>
        </w:tc>
        <w:tc>
          <w:tcPr>
            <w:tcW w:w="670" w:type="pct"/>
            <w:tcBorders>
              <w:top w:val="nil"/>
              <w:left w:val="nil"/>
              <w:bottom w:val="nil"/>
              <w:right w:val="nil"/>
            </w:tcBorders>
          </w:tcPr>
          <w:p w14:paraId="2EF9EA82" w14:textId="77777777" w:rsidR="00B54D51" w:rsidRPr="00037AD4" w:rsidRDefault="00B54D51" w:rsidP="00401C67">
            <w:pPr>
              <w:widowControl w:val="0"/>
              <w:autoSpaceDE w:val="0"/>
              <w:autoSpaceDN w:val="0"/>
              <w:adjustRightInd w:val="0"/>
              <w:jc w:val="center"/>
            </w:pPr>
            <w:r w:rsidRPr="00037AD4">
              <w:t>(0.002 - 0.037)</w:t>
            </w:r>
          </w:p>
        </w:tc>
        <w:tc>
          <w:tcPr>
            <w:tcW w:w="670" w:type="pct"/>
            <w:tcBorders>
              <w:top w:val="nil"/>
              <w:left w:val="nil"/>
              <w:bottom w:val="nil"/>
              <w:right w:val="nil"/>
            </w:tcBorders>
          </w:tcPr>
          <w:p w14:paraId="44A6398B" w14:textId="77777777" w:rsidR="00B54D51" w:rsidRPr="00037AD4" w:rsidRDefault="00B54D51" w:rsidP="00401C67">
            <w:pPr>
              <w:widowControl w:val="0"/>
              <w:autoSpaceDE w:val="0"/>
              <w:autoSpaceDN w:val="0"/>
              <w:adjustRightInd w:val="0"/>
              <w:jc w:val="center"/>
            </w:pPr>
            <w:r w:rsidRPr="00037AD4">
              <w:t>(0.002 - 0.037)</w:t>
            </w:r>
          </w:p>
        </w:tc>
        <w:tc>
          <w:tcPr>
            <w:tcW w:w="670" w:type="pct"/>
            <w:tcBorders>
              <w:top w:val="nil"/>
              <w:left w:val="nil"/>
              <w:bottom w:val="nil"/>
              <w:right w:val="nil"/>
            </w:tcBorders>
          </w:tcPr>
          <w:p w14:paraId="37FA6BCE" w14:textId="77777777" w:rsidR="00B54D51" w:rsidRPr="00037AD4" w:rsidRDefault="00B54D51" w:rsidP="00401C67">
            <w:pPr>
              <w:widowControl w:val="0"/>
              <w:autoSpaceDE w:val="0"/>
              <w:autoSpaceDN w:val="0"/>
              <w:adjustRightInd w:val="0"/>
              <w:jc w:val="center"/>
            </w:pPr>
            <w:r w:rsidRPr="00037AD4">
              <w:t>(0.006 - 0.041)</w:t>
            </w:r>
          </w:p>
        </w:tc>
      </w:tr>
      <w:tr w:rsidR="00B54D51" w:rsidRPr="00037AD4" w14:paraId="1A3B3CAB" w14:textId="77777777" w:rsidTr="00401C67">
        <w:trPr>
          <w:jc w:val="center"/>
        </w:trPr>
        <w:tc>
          <w:tcPr>
            <w:tcW w:w="1608" w:type="pct"/>
            <w:tcBorders>
              <w:top w:val="nil"/>
              <w:left w:val="nil"/>
              <w:bottom w:val="nil"/>
              <w:right w:val="nil"/>
            </w:tcBorders>
          </w:tcPr>
          <w:p w14:paraId="1D01C70B" w14:textId="77777777" w:rsidR="00B54D51" w:rsidRPr="00037AD4" w:rsidRDefault="00B54D51" w:rsidP="00401C67">
            <w:pPr>
              <w:widowControl w:val="0"/>
              <w:autoSpaceDE w:val="0"/>
              <w:autoSpaceDN w:val="0"/>
              <w:adjustRightInd w:val="0"/>
            </w:pPr>
            <w:r w:rsidRPr="00037AD4">
              <w:t>NPI_</w:t>
            </w:r>
          </w:p>
        </w:tc>
        <w:tc>
          <w:tcPr>
            <w:tcW w:w="713" w:type="pct"/>
            <w:tcBorders>
              <w:top w:val="nil"/>
              <w:left w:val="nil"/>
              <w:bottom w:val="nil"/>
              <w:right w:val="nil"/>
            </w:tcBorders>
          </w:tcPr>
          <w:p w14:paraId="683DC331" w14:textId="77777777" w:rsidR="00B54D51" w:rsidRPr="00037AD4" w:rsidRDefault="00B54D51" w:rsidP="00401C67">
            <w:pPr>
              <w:widowControl w:val="0"/>
              <w:autoSpaceDE w:val="0"/>
              <w:autoSpaceDN w:val="0"/>
              <w:adjustRightInd w:val="0"/>
              <w:jc w:val="center"/>
            </w:pPr>
            <w:r w:rsidRPr="00037AD4">
              <w:t>-0.004</w:t>
            </w:r>
          </w:p>
        </w:tc>
        <w:tc>
          <w:tcPr>
            <w:tcW w:w="670" w:type="pct"/>
            <w:tcBorders>
              <w:top w:val="nil"/>
              <w:left w:val="nil"/>
              <w:bottom w:val="nil"/>
              <w:right w:val="nil"/>
            </w:tcBorders>
          </w:tcPr>
          <w:p w14:paraId="2476129B" w14:textId="77777777" w:rsidR="00B54D51" w:rsidRPr="00037AD4" w:rsidRDefault="00B54D51" w:rsidP="00401C67">
            <w:pPr>
              <w:widowControl w:val="0"/>
              <w:autoSpaceDE w:val="0"/>
              <w:autoSpaceDN w:val="0"/>
              <w:adjustRightInd w:val="0"/>
              <w:jc w:val="center"/>
            </w:pPr>
            <w:r w:rsidRPr="00037AD4">
              <w:t>-0.004</w:t>
            </w:r>
          </w:p>
        </w:tc>
        <w:tc>
          <w:tcPr>
            <w:tcW w:w="670" w:type="pct"/>
            <w:tcBorders>
              <w:top w:val="nil"/>
              <w:left w:val="nil"/>
              <w:bottom w:val="nil"/>
              <w:right w:val="nil"/>
            </w:tcBorders>
          </w:tcPr>
          <w:p w14:paraId="60B49C0C"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0BD36D1A"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490D31C5" w14:textId="77777777" w:rsidR="00B54D51" w:rsidRPr="00037AD4" w:rsidRDefault="00B54D51" w:rsidP="00401C67">
            <w:pPr>
              <w:widowControl w:val="0"/>
              <w:autoSpaceDE w:val="0"/>
              <w:autoSpaceDN w:val="0"/>
              <w:adjustRightInd w:val="0"/>
              <w:jc w:val="center"/>
            </w:pPr>
          </w:p>
        </w:tc>
      </w:tr>
      <w:tr w:rsidR="00B54D51" w:rsidRPr="00037AD4" w14:paraId="4D0D0CEF" w14:textId="77777777" w:rsidTr="00401C67">
        <w:trPr>
          <w:jc w:val="center"/>
        </w:trPr>
        <w:tc>
          <w:tcPr>
            <w:tcW w:w="1608" w:type="pct"/>
            <w:tcBorders>
              <w:top w:val="nil"/>
              <w:left w:val="nil"/>
              <w:bottom w:val="nil"/>
              <w:right w:val="nil"/>
            </w:tcBorders>
          </w:tcPr>
          <w:p w14:paraId="6D932763" w14:textId="77777777" w:rsidR="00B54D51" w:rsidRPr="00037AD4" w:rsidRDefault="00B54D51" w:rsidP="00401C67">
            <w:pPr>
              <w:widowControl w:val="0"/>
              <w:autoSpaceDE w:val="0"/>
              <w:autoSpaceDN w:val="0"/>
              <w:adjustRightInd w:val="0"/>
            </w:pPr>
          </w:p>
        </w:tc>
        <w:tc>
          <w:tcPr>
            <w:tcW w:w="713" w:type="pct"/>
            <w:tcBorders>
              <w:top w:val="nil"/>
              <w:left w:val="nil"/>
              <w:bottom w:val="nil"/>
              <w:right w:val="nil"/>
            </w:tcBorders>
          </w:tcPr>
          <w:p w14:paraId="415AF4CE" w14:textId="77777777" w:rsidR="00B54D51" w:rsidRPr="00037AD4" w:rsidRDefault="00B54D51" w:rsidP="00401C67">
            <w:pPr>
              <w:widowControl w:val="0"/>
              <w:autoSpaceDE w:val="0"/>
              <w:autoSpaceDN w:val="0"/>
              <w:adjustRightInd w:val="0"/>
              <w:jc w:val="center"/>
            </w:pPr>
            <w:r w:rsidRPr="00037AD4">
              <w:t>(-0.011 - 0.002)</w:t>
            </w:r>
          </w:p>
        </w:tc>
        <w:tc>
          <w:tcPr>
            <w:tcW w:w="670" w:type="pct"/>
            <w:tcBorders>
              <w:top w:val="nil"/>
              <w:left w:val="nil"/>
              <w:bottom w:val="nil"/>
              <w:right w:val="nil"/>
            </w:tcBorders>
          </w:tcPr>
          <w:p w14:paraId="596E55C8" w14:textId="77777777" w:rsidR="00B54D51" w:rsidRPr="00037AD4" w:rsidRDefault="00B54D51" w:rsidP="00401C67">
            <w:pPr>
              <w:widowControl w:val="0"/>
              <w:autoSpaceDE w:val="0"/>
              <w:autoSpaceDN w:val="0"/>
              <w:adjustRightInd w:val="0"/>
              <w:jc w:val="center"/>
            </w:pPr>
            <w:r w:rsidRPr="00037AD4">
              <w:t>(-0.011 - 0.002)</w:t>
            </w:r>
          </w:p>
        </w:tc>
        <w:tc>
          <w:tcPr>
            <w:tcW w:w="670" w:type="pct"/>
            <w:tcBorders>
              <w:top w:val="nil"/>
              <w:left w:val="nil"/>
              <w:bottom w:val="nil"/>
              <w:right w:val="nil"/>
            </w:tcBorders>
          </w:tcPr>
          <w:p w14:paraId="78DDB66A"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6CABFBC3"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1CE66067" w14:textId="77777777" w:rsidR="00B54D51" w:rsidRPr="00037AD4" w:rsidRDefault="00B54D51" w:rsidP="00401C67">
            <w:pPr>
              <w:widowControl w:val="0"/>
              <w:autoSpaceDE w:val="0"/>
              <w:autoSpaceDN w:val="0"/>
              <w:adjustRightInd w:val="0"/>
              <w:jc w:val="center"/>
            </w:pPr>
          </w:p>
        </w:tc>
      </w:tr>
      <w:tr w:rsidR="00B54D51" w:rsidRPr="00037AD4" w14:paraId="199A98E4" w14:textId="77777777" w:rsidTr="00401C67">
        <w:trPr>
          <w:jc w:val="center"/>
        </w:trPr>
        <w:tc>
          <w:tcPr>
            <w:tcW w:w="1608" w:type="pct"/>
            <w:tcBorders>
              <w:top w:val="nil"/>
              <w:left w:val="nil"/>
              <w:bottom w:val="nil"/>
              <w:right w:val="nil"/>
            </w:tcBorders>
          </w:tcPr>
          <w:p w14:paraId="08B60B8A" w14:textId="77777777" w:rsidR="00B54D51" w:rsidRPr="00037AD4" w:rsidRDefault="00B54D51" w:rsidP="00401C67">
            <w:pPr>
              <w:widowControl w:val="0"/>
              <w:autoSpaceDE w:val="0"/>
              <w:autoSpaceDN w:val="0"/>
              <w:adjustRightInd w:val="0"/>
            </w:pPr>
            <w:r w:rsidRPr="00037AD4">
              <w:t>IADL_</w:t>
            </w:r>
          </w:p>
        </w:tc>
        <w:tc>
          <w:tcPr>
            <w:tcW w:w="713" w:type="pct"/>
            <w:tcBorders>
              <w:top w:val="nil"/>
              <w:left w:val="nil"/>
              <w:bottom w:val="nil"/>
              <w:right w:val="nil"/>
            </w:tcBorders>
          </w:tcPr>
          <w:p w14:paraId="4AE55106" w14:textId="77777777" w:rsidR="00B54D51" w:rsidRPr="00037AD4" w:rsidRDefault="00B54D51" w:rsidP="00401C67">
            <w:pPr>
              <w:widowControl w:val="0"/>
              <w:autoSpaceDE w:val="0"/>
              <w:autoSpaceDN w:val="0"/>
              <w:adjustRightInd w:val="0"/>
              <w:jc w:val="center"/>
            </w:pPr>
            <w:r w:rsidRPr="00037AD4">
              <w:t>0.045</w:t>
            </w:r>
          </w:p>
        </w:tc>
        <w:tc>
          <w:tcPr>
            <w:tcW w:w="670" w:type="pct"/>
            <w:tcBorders>
              <w:top w:val="nil"/>
              <w:left w:val="nil"/>
              <w:bottom w:val="nil"/>
              <w:right w:val="nil"/>
            </w:tcBorders>
          </w:tcPr>
          <w:p w14:paraId="5A622D3E" w14:textId="77777777" w:rsidR="00B54D51" w:rsidRPr="00037AD4" w:rsidRDefault="00B54D51" w:rsidP="00401C67">
            <w:pPr>
              <w:widowControl w:val="0"/>
              <w:autoSpaceDE w:val="0"/>
              <w:autoSpaceDN w:val="0"/>
              <w:adjustRightInd w:val="0"/>
              <w:jc w:val="center"/>
            </w:pPr>
            <w:r w:rsidRPr="00037AD4">
              <w:t>0.028</w:t>
            </w:r>
          </w:p>
        </w:tc>
        <w:tc>
          <w:tcPr>
            <w:tcW w:w="670" w:type="pct"/>
            <w:tcBorders>
              <w:top w:val="nil"/>
              <w:left w:val="nil"/>
              <w:bottom w:val="nil"/>
              <w:right w:val="nil"/>
            </w:tcBorders>
          </w:tcPr>
          <w:p w14:paraId="036E8A1B"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42B4D479"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2E47F54F" w14:textId="77777777" w:rsidR="00B54D51" w:rsidRPr="00037AD4" w:rsidRDefault="00B54D51" w:rsidP="00401C67">
            <w:pPr>
              <w:widowControl w:val="0"/>
              <w:autoSpaceDE w:val="0"/>
              <w:autoSpaceDN w:val="0"/>
              <w:adjustRightInd w:val="0"/>
              <w:jc w:val="center"/>
            </w:pPr>
          </w:p>
        </w:tc>
      </w:tr>
      <w:tr w:rsidR="00B54D51" w:rsidRPr="00037AD4" w14:paraId="18451807" w14:textId="77777777" w:rsidTr="00401C67">
        <w:trPr>
          <w:jc w:val="center"/>
        </w:trPr>
        <w:tc>
          <w:tcPr>
            <w:tcW w:w="1608" w:type="pct"/>
            <w:tcBorders>
              <w:top w:val="nil"/>
              <w:left w:val="nil"/>
              <w:bottom w:val="nil"/>
              <w:right w:val="nil"/>
            </w:tcBorders>
          </w:tcPr>
          <w:p w14:paraId="5AE8175A" w14:textId="77777777" w:rsidR="00B54D51" w:rsidRPr="00037AD4" w:rsidRDefault="00B54D51" w:rsidP="00401C67">
            <w:pPr>
              <w:widowControl w:val="0"/>
              <w:autoSpaceDE w:val="0"/>
              <w:autoSpaceDN w:val="0"/>
              <w:adjustRightInd w:val="0"/>
            </w:pPr>
          </w:p>
        </w:tc>
        <w:tc>
          <w:tcPr>
            <w:tcW w:w="713" w:type="pct"/>
            <w:tcBorders>
              <w:top w:val="nil"/>
              <w:left w:val="nil"/>
              <w:bottom w:val="nil"/>
              <w:right w:val="nil"/>
            </w:tcBorders>
          </w:tcPr>
          <w:p w14:paraId="14D4BE33" w14:textId="77777777" w:rsidR="00B54D51" w:rsidRPr="00037AD4" w:rsidRDefault="00B54D51" w:rsidP="00401C67">
            <w:pPr>
              <w:widowControl w:val="0"/>
              <w:autoSpaceDE w:val="0"/>
              <w:autoSpaceDN w:val="0"/>
              <w:adjustRightInd w:val="0"/>
              <w:jc w:val="center"/>
            </w:pPr>
            <w:r w:rsidRPr="00037AD4">
              <w:t>(-0.011 - 0.100)</w:t>
            </w:r>
          </w:p>
        </w:tc>
        <w:tc>
          <w:tcPr>
            <w:tcW w:w="670" w:type="pct"/>
            <w:tcBorders>
              <w:top w:val="nil"/>
              <w:left w:val="nil"/>
              <w:bottom w:val="nil"/>
              <w:right w:val="nil"/>
            </w:tcBorders>
          </w:tcPr>
          <w:p w14:paraId="40917096" w14:textId="77777777" w:rsidR="00B54D51" w:rsidRPr="00037AD4" w:rsidRDefault="00B54D51" w:rsidP="00401C67">
            <w:pPr>
              <w:widowControl w:val="0"/>
              <w:autoSpaceDE w:val="0"/>
              <w:autoSpaceDN w:val="0"/>
              <w:adjustRightInd w:val="0"/>
              <w:jc w:val="center"/>
            </w:pPr>
            <w:r w:rsidRPr="00037AD4">
              <w:t>(-0.023 - 0.078)</w:t>
            </w:r>
          </w:p>
        </w:tc>
        <w:tc>
          <w:tcPr>
            <w:tcW w:w="670" w:type="pct"/>
            <w:tcBorders>
              <w:top w:val="nil"/>
              <w:left w:val="nil"/>
              <w:bottom w:val="nil"/>
              <w:right w:val="nil"/>
            </w:tcBorders>
          </w:tcPr>
          <w:p w14:paraId="2698FDF7"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5653AD8B"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63358BE7" w14:textId="77777777" w:rsidR="00B54D51" w:rsidRPr="00037AD4" w:rsidRDefault="00B54D51" w:rsidP="00401C67">
            <w:pPr>
              <w:widowControl w:val="0"/>
              <w:autoSpaceDE w:val="0"/>
              <w:autoSpaceDN w:val="0"/>
              <w:adjustRightInd w:val="0"/>
              <w:jc w:val="center"/>
            </w:pPr>
          </w:p>
        </w:tc>
      </w:tr>
      <w:tr w:rsidR="00B54D51" w:rsidRPr="00037AD4" w14:paraId="41EE332E" w14:textId="77777777" w:rsidTr="00401C67">
        <w:trPr>
          <w:jc w:val="center"/>
        </w:trPr>
        <w:tc>
          <w:tcPr>
            <w:tcW w:w="1608" w:type="pct"/>
            <w:tcBorders>
              <w:top w:val="nil"/>
              <w:left w:val="nil"/>
              <w:bottom w:val="nil"/>
              <w:right w:val="nil"/>
            </w:tcBorders>
          </w:tcPr>
          <w:p w14:paraId="2DB788BB" w14:textId="77777777" w:rsidR="00B54D51" w:rsidRPr="00037AD4" w:rsidRDefault="00B54D51" w:rsidP="00401C67">
            <w:pPr>
              <w:widowControl w:val="0"/>
              <w:autoSpaceDE w:val="0"/>
              <w:autoSpaceDN w:val="0"/>
              <w:adjustRightInd w:val="0"/>
            </w:pPr>
            <w:r w:rsidRPr="00037AD4">
              <w:t>PSMS_</w:t>
            </w:r>
          </w:p>
        </w:tc>
        <w:tc>
          <w:tcPr>
            <w:tcW w:w="713" w:type="pct"/>
            <w:tcBorders>
              <w:top w:val="nil"/>
              <w:left w:val="nil"/>
              <w:bottom w:val="nil"/>
              <w:right w:val="nil"/>
            </w:tcBorders>
          </w:tcPr>
          <w:p w14:paraId="75052CA5" w14:textId="77777777" w:rsidR="00B54D51" w:rsidRPr="00037AD4" w:rsidRDefault="00B54D51" w:rsidP="00401C67">
            <w:pPr>
              <w:widowControl w:val="0"/>
              <w:autoSpaceDE w:val="0"/>
              <w:autoSpaceDN w:val="0"/>
              <w:adjustRightInd w:val="0"/>
              <w:jc w:val="center"/>
            </w:pPr>
            <w:r w:rsidRPr="00037AD4">
              <w:t>-0.035</w:t>
            </w:r>
          </w:p>
        </w:tc>
        <w:tc>
          <w:tcPr>
            <w:tcW w:w="670" w:type="pct"/>
            <w:tcBorders>
              <w:top w:val="nil"/>
              <w:left w:val="nil"/>
              <w:bottom w:val="nil"/>
              <w:right w:val="nil"/>
            </w:tcBorders>
          </w:tcPr>
          <w:p w14:paraId="628EB76A" w14:textId="77777777" w:rsidR="00B54D51" w:rsidRPr="00037AD4" w:rsidRDefault="00B54D51" w:rsidP="00401C67">
            <w:pPr>
              <w:widowControl w:val="0"/>
              <w:autoSpaceDE w:val="0"/>
              <w:autoSpaceDN w:val="0"/>
              <w:adjustRightInd w:val="0"/>
              <w:jc w:val="center"/>
            </w:pPr>
            <w:r w:rsidRPr="00037AD4">
              <w:t>-0.051</w:t>
            </w:r>
          </w:p>
        </w:tc>
        <w:tc>
          <w:tcPr>
            <w:tcW w:w="670" w:type="pct"/>
            <w:tcBorders>
              <w:top w:val="nil"/>
              <w:left w:val="nil"/>
              <w:bottom w:val="nil"/>
              <w:right w:val="nil"/>
            </w:tcBorders>
          </w:tcPr>
          <w:p w14:paraId="181F58EB"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05A2E912"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55D405C5" w14:textId="77777777" w:rsidR="00B54D51" w:rsidRPr="00037AD4" w:rsidRDefault="00B54D51" w:rsidP="00401C67">
            <w:pPr>
              <w:widowControl w:val="0"/>
              <w:autoSpaceDE w:val="0"/>
              <w:autoSpaceDN w:val="0"/>
              <w:adjustRightInd w:val="0"/>
              <w:jc w:val="center"/>
            </w:pPr>
          </w:p>
        </w:tc>
      </w:tr>
      <w:tr w:rsidR="00B54D51" w:rsidRPr="00037AD4" w14:paraId="78AE3C17" w14:textId="77777777" w:rsidTr="00401C67">
        <w:trPr>
          <w:jc w:val="center"/>
        </w:trPr>
        <w:tc>
          <w:tcPr>
            <w:tcW w:w="1608" w:type="pct"/>
            <w:tcBorders>
              <w:top w:val="nil"/>
              <w:left w:val="nil"/>
              <w:bottom w:val="nil"/>
              <w:right w:val="nil"/>
            </w:tcBorders>
          </w:tcPr>
          <w:p w14:paraId="6A2E32AA" w14:textId="77777777" w:rsidR="00B54D51" w:rsidRPr="00037AD4" w:rsidRDefault="00B54D51" w:rsidP="00401C67">
            <w:pPr>
              <w:widowControl w:val="0"/>
              <w:autoSpaceDE w:val="0"/>
              <w:autoSpaceDN w:val="0"/>
              <w:adjustRightInd w:val="0"/>
            </w:pPr>
          </w:p>
        </w:tc>
        <w:tc>
          <w:tcPr>
            <w:tcW w:w="713" w:type="pct"/>
            <w:tcBorders>
              <w:top w:val="nil"/>
              <w:left w:val="nil"/>
              <w:bottom w:val="nil"/>
              <w:right w:val="nil"/>
            </w:tcBorders>
          </w:tcPr>
          <w:p w14:paraId="095AA47D" w14:textId="77777777" w:rsidR="00B54D51" w:rsidRPr="00037AD4" w:rsidRDefault="00B54D51" w:rsidP="00401C67">
            <w:pPr>
              <w:widowControl w:val="0"/>
              <w:autoSpaceDE w:val="0"/>
              <w:autoSpaceDN w:val="0"/>
              <w:adjustRightInd w:val="0"/>
              <w:jc w:val="center"/>
            </w:pPr>
            <w:r w:rsidRPr="00037AD4">
              <w:t>(-0.116 - 0.046)</w:t>
            </w:r>
          </w:p>
        </w:tc>
        <w:tc>
          <w:tcPr>
            <w:tcW w:w="670" w:type="pct"/>
            <w:tcBorders>
              <w:top w:val="nil"/>
              <w:left w:val="nil"/>
              <w:bottom w:val="nil"/>
              <w:right w:val="nil"/>
            </w:tcBorders>
          </w:tcPr>
          <w:p w14:paraId="75650521" w14:textId="77777777" w:rsidR="00B54D51" w:rsidRPr="00037AD4" w:rsidRDefault="00B54D51" w:rsidP="00401C67">
            <w:pPr>
              <w:widowControl w:val="0"/>
              <w:autoSpaceDE w:val="0"/>
              <w:autoSpaceDN w:val="0"/>
              <w:adjustRightInd w:val="0"/>
              <w:jc w:val="center"/>
            </w:pPr>
            <w:r w:rsidRPr="00037AD4">
              <w:t>(-0.113 - 0.011)</w:t>
            </w:r>
          </w:p>
        </w:tc>
        <w:tc>
          <w:tcPr>
            <w:tcW w:w="670" w:type="pct"/>
            <w:tcBorders>
              <w:top w:val="nil"/>
              <w:left w:val="nil"/>
              <w:bottom w:val="nil"/>
              <w:right w:val="nil"/>
            </w:tcBorders>
          </w:tcPr>
          <w:p w14:paraId="3F82CC42"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17E2D0D4"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7372081D" w14:textId="77777777" w:rsidR="00B54D51" w:rsidRPr="00037AD4" w:rsidRDefault="00B54D51" w:rsidP="00401C67">
            <w:pPr>
              <w:widowControl w:val="0"/>
              <w:autoSpaceDE w:val="0"/>
              <w:autoSpaceDN w:val="0"/>
              <w:adjustRightInd w:val="0"/>
              <w:jc w:val="center"/>
            </w:pPr>
          </w:p>
        </w:tc>
      </w:tr>
      <w:tr w:rsidR="00B54D51" w:rsidRPr="00037AD4" w14:paraId="3F64F1BD" w14:textId="77777777" w:rsidTr="00401C67">
        <w:trPr>
          <w:jc w:val="center"/>
        </w:trPr>
        <w:tc>
          <w:tcPr>
            <w:tcW w:w="1608" w:type="pct"/>
            <w:tcBorders>
              <w:top w:val="nil"/>
              <w:left w:val="nil"/>
              <w:bottom w:val="nil"/>
              <w:right w:val="nil"/>
            </w:tcBorders>
          </w:tcPr>
          <w:p w14:paraId="4F442C6D" w14:textId="77777777" w:rsidR="00B54D51" w:rsidRPr="00037AD4" w:rsidRDefault="00B54D51" w:rsidP="00401C67">
            <w:pPr>
              <w:widowControl w:val="0"/>
              <w:autoSpaceDE w:val="0"/>
              <w:autoSpaceDN w:val="0"/>
              <w:adjustRightInd w:val="0"/>
            </w:pPr>
            <w:r w:rsidRPr="00037AD4">
              <w:t>PwD_age_</w:t>
            </w:r>
          </w:p>
        </w:tc>
        <w:tc>
          <w:tcPr>
            <w:tcW w:w="713" w:type="pct"/>
            <w:tcBorders>
              <w:top w:val="nil"/>
              <w:left w:val="nil"/>
              <w:bottom w:val="nil"/>
              <w:right w:val="nil"/>
            </w:tcBorders>
          </w:tcPr>
          <w:p w14:paraId="056924FF" w14:textId="77777777" w:rsidR="00B54D51" w:rsidRPr="00037AD4" w:rsidRDefault="00B54D51" w:rsidP="00401C67">
            <w:pPr>
              <w:widowControl w:val="0"/>
              <w:autoSpaceDE w:val="0"/>
              <w:autoSpaceDN w:val="0"/>
              <w:adjustRightInd w:val="0"/>
              <w:jc w:val="center"/>
            </w:pPr>
            <w:r w:rsidRPr="00037AD4">
              <w:t>0.001</w:t>
            </w:r>
          </w:p>
        </w:tc>
        <w:tc>
          <w:tcPr>
            <w:tcW w:w="670" w:type="pct"/>
            <w:tcBorders>
              <w:top w:val="nil"/>
              <w:left w:val="nil"/>
              <w:bottom w:val="nil"/>
              <w:right w:val="nil"/>
            </w:tcBorders>
          </w:tcPr>
          <w:p w14:paraId="2DBD047C" w14:textId="77777777" w:rsidR="00B54D51" w:rsidRPr="00037AD4" w:rsidRDefault="00B54D51" w:rsidP="00401C67">
            <w:pPr>
              <w:widowControl w:val="0"/>
              <w:autoSpaceDE w:val="0"/>
              <w:autoSpaceDN w:val="0"/>
              <w:adjustRightInd w:val="0"/>
              <w:jc w:val="center"/>
            </w:pPr>
            <w:r w:rsidRPr="00037AD4">
              <w:t>0.010</w:t>
            </w:r>
          </w:p>
        </w:tc>
        <w:tc>
          <w:tcPr>
            <w:tcW w:w="670" w:type="pct"/>
            <w:tcBorders>
              <w:top w:val="nil"/>
              <w:left w:val="nil"/>
              <w:bottom w:val="nil"/>
              <w:right w:val="nil"/>
            </w:tcBorders>
          </w:tcPr>
          <w:p w14:paraId="4761C537" w14:textId="77777777" w:rsidR="00B54D51" w:rsidRPr="00037AD4" w:rsidRDefault="00B54D51" w:rsidP="00401C67">
            <w:pPr>
              <w:widowControl w:val="0"/>
              <w:autoSpaceDE w:val="0"/>
              <w:autoSpaceDN w:val="0"/>
              <w:adjustRightInd w:val="0"/>
              <w:jc w:val="center"/>
            </w:pPr>
            <w:r w:rsidRPr="00037AD4">
              <w:t>0.012**</w:t>
            </w:r>
          </w:p>
        </w:tc>
        <w:tc>
          <w:tcPr>
            <w:tcW w:w="670" w:type="pct"/>
            <w:tcBorders>
              <w:top w:val="nil"/>
              <w:left w:val="nil"/>
              <w:bottom w:val="nil"/>
              <w:right w:val="nil"/>
            </w:tcBorders>
          </w:tcPr>
          <w:p w14:paraId="0CD7A35A" w14:textId="77777777" w:rsidR="00B54D51" w:rsidRPr="00037AD4" w:rsidRDefault="00B54D51" w:rsidP="00401C67">
            <w:pPr>
              <w:widowControl w:val="0"/>
              <w:autoSpaceDE w:val="0"/>
              <w:autoSpaceDN w:val="0"/>
              <w:adjustRightInd w:val="0"/>
              <w:jc w:val="center"/>
            </w:pPr>
            <w:r w:rsidRPr="00037AD4">
              <w:t>0.012**</w:t>
            </w:r>
          </w:p>
        </w:tc>
        <w:tc>
          <w:tcPr>
            <w:tcW w:w="670" w:type="pct"/>
            <w:tcBorders>
              <w:top w:val="nil"/>
              <w:left w:val="nil"/>
              <w:bottom w:val="nil"/>
              <w:right w:val="nil"/>
            </w:tcBorders>
          </w:tcPr>
          <w:p w14:paraId="47A27B67" w14:textId="77777777" w:rsidR="00B54D51" w:rsidRPr="00037AD4" w:rsidRDefault="00B54D51" w:rsidP="00401C67">
            <w:pPr>
              <w:widowControl w:val="0"/>
              <w:autoSpaceDE w:val="0"/>
              <w:autoSpaceDN w:val="0"/>
              <w:adjustRightInd w:val="0"/>
              <w:jc w:val="center"/>
            </w:pPr>
            <w:r w:rsidRPr="00037AD4">
              <w:t>0.016***</w:t>
            </w:r>
          </w:p>
        </w:tc>
      </w:tr>
      <w:tr w:rsidR="00B54D51" w:rsidRPr="00037AD4" w14:paraId="66812482" w14:textId="77777777" w:rsidTr="00401C67">
        <w:trPr>
          <w:jc w:val="center"/>
        </w:trPr>
        <w:tc>
          <w:tcPr>
            <w:tcW w:w="1608" w:type="pct"/>
            <w:tcBorders>
              <w:top w:val="nil"/>
              <w:left w:val="nil"/>
              <w:bottom w:val="nil"/>
              <w:right w:val="nil"/>
            </w:tcBorders>
          </w:tcPr>
          <w:p w14:paraId="1E9AB8E7" w14:textId="77777777" w:rsidR="00B54D51" w:rsidRPr="00037AD4" w:rsidRDefault="00B54D51" w:rsidP="00401C67">
            <w:pPr>
              <w:widowControl w:val="0"/>
              <w:autoSpaceDE w:val="0"/>
              <w:autoSpaceDN w:val="0"/>
              <w:adjustRightInd w:val="0"/>
            </w:pPr>
          </w:p>
        </w:tc>
        <w:tc>
          <w:tcPr>
            <w:tcW w:w="713" w:type="pct"/>
            <w:tcBorders>
              <w:top w:val="nil"/>
              <w:left w:val="nil"/>
              <w:bottom w:val="nil"/>
              <w:right w:val="nil"/>
            </w:tcBorders>
          </w:tcPr>
          <w:p w14:paraId="30B43635" w14:textId="77777777" w:rsidR="00B54D51" w:rsidRPr="00037AD4" w:rsidRDefault="00B54D51" w:rsidP="00401C67">
            <w:pPr>
              <w:widowControl w:val="0"/>
              <w:autoSpaceDE w:val="0"/>
              <w:autoSpaceDN w:val="0"/>
              <w:adjustRightInd w:val="0"/>
              <w:jc w:val="center"/>
            </w:pPr>
            <w:r w:rsidRPr="00037AD4">
              <w:t>(-0.018 - 0.019)</w:t>
            </w:r>
          </w:p>
        </w:tc>
        <w:tc>
          <w:tcPr>
            <w:tcW w:w="670" w:type="pct"/>
            <w:tcBorders>
              <w:top w:val="nil"/>
              <w:left w:val="nil"/>
              <w:bottom w:val="nil"/>
              <w:right w:val="nil"/>
            </w:tcBorders>
          </w:tcPr>
          <w:p w14:paraId="0C906341" w14:textId="77777777" w:rsidR="00B54D51" w:rsidRPr="00037AD4" w:rsidRDefault="00B54D51" w:rsidP="00401C67">
            <w:pPr>
              <w:widowControl w:val="0"/>
              <w:autoSpaceDE w:val="0"/>
              <w:autoSpaceDN w:val="0"/>
              <w:adjustRightInd w:val="0"/>
              <w:jc w:val="center"/>
            </w:pPr>
            <w:r w:rsidRPr="00037AD4">
              <w:t>(-0.002 - 0.023)</w:t>
            </w:r>
          </w:p>
        </w:tc>
        <w:tc>
          <w:tcPr>
            <w:tcW w:w="670" w:type="pct"/>
            <w:tcBorders>
              <w:top w:val="nil"/>
              <w:left w:val="nil"/>
              <w:bottom w:val="nil"/>
              <w:right w:val="nil"/>
            </w:tcBorders>
          </w:tcPr>
          <w:p w14:paraId="1A3C597B" w14:textId="77777777" w:rsidR="00B54D51" w:rsidRPr="00037AD4" w:rsidRDefault="00B54D51" w:rsidP="00401C67">
            <w:pPr>
              <w:widowControl w:val="0"/>
              <w:autoSpaceDE w:val="0"/>
              <w:autoSpaceDN w:val="0"/>
              <w:adjustRightInd w:val="0"/>
              <w:jc w:val="center"/>
            </w:pPr>
            <w:r w:rsidRPr="00037AD4">
              <w:t>(0.000 - 0.024)</w:t>
            </w:r>
          </w:p>
        </w:tc>
        <w:tc>
          <w:tcPr>
            <w:tcW w:w="670" w:type="pct"/>
            <w:tcBorders>
              <w:top w:val="nil"/>
              <w:left w:val="nil"/>
              <w:bottom w:val="nil"/>
              <w:right w:val="nil"/>
            </w:tcBorders>
          </w:tcPr>
          <w:p w14:paraId="18418540" w14:textId="77777777" w:rsidR="00B54D51" w:rsidRPr="00037AD4" w:rsidRDefault="00B54D51" w:rsidP="00401C67">
            <w:pPr>
              <w:widowControl w:val="0"/>
              <w:autoSpaceDE w:val="0"/>
              <w:autoSpaceDN w:val="0"/>
              <w:adjustRightInd w:val="0"/>
              <w:jc w:val="center"/>
            </w:pPr>
            <w:r w:rsidRPr="00037AD4">
              <w:t>(0.000 - 0.024)</w:t>
            </w:r>
          </w:p>
        </w:tc>
        <w:tc>
          <w:tcPr>
            <w:tcW w:w="670" w:type="pct"/>
            <w:tcBorders>
              <w:top w:val="nil"/>
              <w:left w:val="nil"/>
              <w:bottom w:val="nil"/>
              <w:right w:val="nil"/>
            </w:tcBorders>
          </w:tcPr>
          <w:p w14:paraId="24A19941" w14:textId="77777777" w:rsidR="00B54D51" w:rsidRPr="00037AD4" w:rsidRDefault="00B54D51" w:rsidP="00401C67">
            <w:pPr>
              <w:widowControl w:val="0"/>
              <w:autoSpaceDE w:val="0"/>
              <w:autoSpaceDN w:val="0"/>
              <w:adjustRightInd w:val="0"/>
              <w:jc w:val="center"/>
            </w:pPr>
            <w:r w:rsidRPr="00037AD4">
              <w:t>(0.004 - 0.027)</w:t>
            </w:r>
          </w:p>
        </w:tc>
      </w:tr>
      <w:tr w:rsidR="00B54D51" w:rsidRPr="00037AD4" w14:paraId="4DA20F5E" w14:textId="77777777" w:rsidTr="00401C67">
        <w:trPr>
          <w:jc w:val="center"/>
        </w:trPr>
        <w:tc>
          <w:tcPr>
            <w:tcW w:w="1608" w:type="pct"/>
            <w:tcBorders>
              <w:top w:val="nil"/>
              <w:left w:val="nil"/>
              <w:bottom w:val="nil"/>
              <w:right w:val="nil"/>
            </w:tcBorders>
          </w:tcPr>
          <w:p w14:paraId="03627D86" w14:textId="77777777" w:rsidR="00B54D51" w:rsidRPr="00037AD4" w:rsidRDefault="00B54D51" w:rsidP="00401C67">
            <w:pPr>
              <w:widowControl w:val="0"/>
              <w:autoSpaceDE w:val="0"/>
              <w:autoSpaceDN w:val="0"/>
              <w:adjustRightInd w:val="0"/>
            </w:pPr>
            <w:r w:rsidRPr="00037AD4">
              <w:t>2.PwDs_sex_</w:t>
            </w:r>
          </w:p>
        </w:tc>
        <w:tc>
          <w:tcPr>
            <w:tcW w:w="713" w:type="pct"/>
            <w:tcBorders>
              <w:top w:val="nil"/>
              <w:left w:val="nil"/>
              <w:bottom w:val="nil"/>
              <w:right w:val="nil"/>
            </w:tcBorders>
          </w:tcPr>
          <w:p w14:paraId="74763F8A" w14:textId="77777777" w:rsidR="00B54D51" w:rsidRPr="00037AD4" w:rsidRDefault="00B54D51" w:rsidP="00401C67">
            <w:pPr>
              <w:widowControl w:val="0"/>
              <w:autoSpaceDE w:val="0"/>
              <w:autoSpaceDN w:val="0"/>
              <w:adjustRightInd w:val="0"/>
              <w:jc w:val="center"/>
            </w:pPr>
            <w:r w:rsidRPr="00037AD4">
              <w:t>0.093</w:t>
            </w:r>
          </w:p>
        </w:tc>
        <w:tc>
          <w:tcPr>
            <w:tcW w:w="670" w:type="pct"/>
            <w:tcBorders>
              <w:top w:val="nil"/>
              <w:left w:val="nil"/>
              <w:bottom w:val="nil"/>
              <w:right w:val="nil"/>
            </w:tcBorders>
          </w:tcPr>
          <w:p w14:paraId="7770845F" w14:textId="77777777" w:rsidR="00B54D51" w:rsidRPr="00037AD4" w:rsidRDefault="00B54D51" w:rsidP="00401C67">
            <w:pPr>
              <w:widowControl w:val="0"/>
              <w:autoSpaceDE w:val="0"/>
              <w:autoSpaceDN w:val="0"/>
              <w:adjustRightInd w:val="0"/>
              <w:jc w:val="center"/>
            </w:pPr>
            <w:r w:rsidRPr="00037AD4">
              <w:t>-0.003</w:t>
            </w:r>
          </w:p>
        </w:tc>
        <w:tc>
          <w:tcPr>
            <w:tcW w:w="670" w:type="pct"/>
            <w:tcBorders>
              <w:top w:val="nil"/>
              <w:left w:val="nil"/>
              <w:bottom w:val="nil"/>
              <w:right w:val="nil"/>
            </w:tcBorders>
          </w:tcPr>
          <w:p w14:paraId="32931870" w14:textId="77777777" w:rsidR="00B54D51" w:rsidRPr="00037AD4" w:rsidRDefault="00B54D51" w:rsidP="00401C67">
            <w:pPr>
              <w:widowControl w:val="0"/>
              <w:autoSpaceDE w:val="0"/>
              <w:autoSpaceDN w:val="0"/>
              <w:adjustRightInd w:val="0"/>
              <w:jc w:val="center"/>
            </w:pPr>
            <w:r w:rsidRPr="00037AD4">
              <w:t>0.011</w:t>
            </w:r>
          </w:p>
        </w:tc>
        <w:tc>
          <w:tcPr>
            <w:tcW w:w="670" w:type="pct"/>
            <w:tcBorders>
              <w:top w:val="nil"/>
              <w:left w:val="nil"/>
              <w:bottom w:val="nil"/>
              <w:right w:val="nil"/>
            </w:tcBorders>
          </w:tcPr>
          <w:p w14:paraId="501D5821" w14:textId="77777777" w:rsidR="00B54D51" w:rsidRPr="00037AD4" w:rsidRDefault="00B54D51" w:rsidP="00401C67">
            <w:pPr>
              <w:widowControl w:val="0"/>
              <w:autoSpaceDE w:val="0"/>
              <w:autoSpaceDN w:val="0"/>
              <w:adjustRightInd w:val="0"/>
              <w:jc w:val="center"/>
            </w:pPr>
            <w:r w:rsidRPr="00037AD4">
              <w:t>0.017</w:t>
            </w:r>
          </w:p>
        </w:tc>
        <w:tc>
          <w:tcPr>
            <w:tcW w:w="670" w:type="pct"/>
            <w:tcBorders>
              <w:top w:val="nil"/>
              <w:left w:val="nil"/>
              <w:bottom w:val="nil"/>
              <w:right w:val="nil"/>
            </w:tcBorders>
          </w:tcPr>
          <w:p w14:paraId="10CAC2DB" w14:textId="77777777" w:rsidR="00B54D51" w:rsidRPr="00037AD4" w:rsidRDefault="00B54D51" w:rsidP="00401C67">
            <w:pPr>
              <w:widowControl w:val="0"/>
              <w:autoSpaceDE w:val="0"/>
              <w:autoSpaceDN w:val="0"/>
              <w:adjustRightInd w:val="0"/>
              <w:jc w:val="center"/>
            </w:pPr>
            <w:r w:rsidRPr="00037AD4">
              <w:t>-0.006</w:t>
            </w:r>
          </w:p>
        </w:tc>
      </w:tr>
      <w:tr w:rsidR="00B54D51" w:rsidRPr="00037AD4" w14:paraId="16C72175" w14:textId="77777777" w:rsidTr="00401C67">
        <w:trPr>
          <w:jc w:val="center"/>
        </w:trPr>
        <w:tc>
          <w:tcPr>
            <w:tcW w:w="1608" w:type="pct"/>
            <w:tcBorders>
              <w:top w:val="nil"/>
              <w:left w:val="nil"/>
              <w:bottom w:val="nil"/>
              <w:right w:val="nil"/>
            </w:tcBorders>
          </w:tcPr>
          <w:p w14:paraId="5D3471BF" w14:textId="77777777" w:rsidR="00B54D51" w:rsidRPr="00037AD4" w:rsidRDefault="00B54D51" w:rsidP="00401C67">
            <w:pPr>
              <w:widowControl w:val="0"/>
              <w:autoSpaceDE w:val="0"/>
              <w:autoSpaceDN w:val="0"/>
              <w:adjustRightInd w:val="0"/>
            </w:pPr>
          </w:p>
        </w:tc>
        <w:tc>
          <w:tcPr>
            <w:tcW w:w="713" w:type="pct"/>
            <w:tcBorders>
              <w:top w:val="nil"/>
              <w:left w:val="nil"/>
              <w:bottom w:val="nil"/>
              <w:right w:val="nil"/>
            </w:tcBorders>
          </w:tcPr>
          <w:p w14:paraId="3FFC9C1B" w14:textId="77777777" w:rsidR="00B54D51" w:rsidRPr="00037AD4" w:rsidRDefault="00B54D51" w:rsidP="00401C67">
            <w:pPr>
              <w:widowControl w:val="0"/>
              <w:autoSpaceDE w:val="0"/>
              <w:autoSpaceDN w:val="0"/>
              <w:adjustRightInd w:val="0"/>
              <w:jc w:val="center"/>
            </w:pPr>
            <w:r w:rsidRPr="00037AD4">
              <w:t>(-0.213 - 0.399)</w:t>
            </w:r>
          </w:p>
        </w:tc>
        <w:tc>
          <w:tcPr>
            <w:tcW w:w="670" w:type="pct"/>
            <w:tcBorders>
              <w:top w:val="nil"/>
              <w:left w:val="nil"/>
              <w:bottom w:val="nil"/>
              <w:right w:val="nil"/>
            </w:tcBorders>
          </w:tcPr>
          <w:p w14:paraId="58FD8AFA" w14:textId="77777777" w:rsidR="00B54D51" w:rsidRPr="00037AD4" w:rsidRDefault="00B54D51" w:rsidP="00401C67">
            <w:pPr>
              <w:widowControl w:val="0"/>
              <w:autoSpaceDE w:val="0"/>
              <w:autoSpaceDN w:val="0"/>
              <w:adjustRightInd w:val="0"/>
              <w:jc w:val="center"/>
            </w:pPr>
            <w:r w:rsidRPr="00037AD4">
              <w:t>(-0.199 - 0.193)</w:t>
            </w:r>
          </w:p>
        </w:tc>
        <w:tc>
          <w:tcPr>
            <w:tcW w:w="670" w:type="pct"/>
            <w:tcBorders>
              <w:top w:val="nil"/>
              <w:left w:val="nil"/>
              <w:bottom w:val="nil"/>
              <w:right w:val="nil"/>
            </w:tcBorders>
          </w:tcPr>
          <w:p w14:paraId="11C98A7D" w14:textId="77777777" w:rsidR="00B54D51" w:rsidRPr="00037AD4" w:rsidRDefault="00B54D51" w:rsidP="00401C67">
            <w:pPr>
              <w:widowControl w:val="0"/>
              <w:autoSpaceDE w:val="0"/>
              <w:autoSpaceDN w:val="0"/>
              <w:adjustRightInd w:val="0"/>
              <w:jc w:val="center"/>
            </w:pPr>
            <w:r w:rsidRPr="00037AD4">
              <w:t>(-0.174 - 0.195)</w:t>
            </w:r>
          </w:p>
        </w:tc>
        <w:tc>
          <w:tcPr>
            <w:tcW w:w="670" w:type="pct"/>
            <w:tcBorders>
              <w:top w:val="nil"/>
              <w:left w:val="nil"/>
              <w:bottom w:val="nil"/>
              <w:right w:val="nil"/>
            </w:tcBorders>
          </w:tcPr>
          <w:p w14:paraId="7BD2A5F0" w14:textId="77777777" w:rsidR="00B54D51" w:rsidRPr="00037AD4" w:rsidRDefault="00B54D51" w:rsidP="00401C67">
            <w:pPr>
              <w:widowControl w:val="0"/>
              <w:autoSpaceDE w:val="0"/>
              <w:autoSpaceDN w:val="0"/>
              <w:adjustRightInd w:val="0"/>
              <w:jc w:val="center"/>
            </w:pPr>
            <w:r w:rsidRPr="00037AD4">
              <w:t>(-0.169 - 0.202)</w:t>
            </w:r>
          </w:p>
        </w:tc>
        <w:tc>
          <w:tcPr>
            <w:tcW w:w="670" w:type="pct"/>
            <w:tcBorders>
              <w:top w:val="nil"/>
              <w:left w:val="nil"/>
              <w:bottom w:val="nil"/>
              <w:right w:val="nil"/>
            </w:tcBorders>
          </w:tcPr>
          <w:p w14:paraId="5B34E1CB" w14:textId="77777777" w:rsidR="00B54D51" w:rsidRPr="00037AD4" w:rsidRDefault="00B54D51" w:rsidP="00401C67">
            <w:pPr>
              <w:widowControl w:val="0"/>
              <w:autoSpaceDE w:val="0"/>
              <w:autoSpaceDN w:val="0"/>
              <w:adjustRightInd w:val="0"/>
              <w:jc w:val="center"/>
            </w:pPr>
            <w:r w:rsidRPr="00037AD4">
              <w:t>(-0.192 - 0.181)</w:t>
            </w:r>
          </w:p>
        </w:tc>
      </w:tr>
      <w:tr w:rsidR="00B54D51" w:rsidRPr="00037AD4" w14:paraId="4A37219A" w14:textId="77777777" w:rsidTr="00401C67">
        <w:trPr>
          <w:jc w:val="center"/>
        </w:trPr>
        <w:tc>
          <w:tcPr>
            <w:tcW w:w="1608" w:type="pct"/>
            <w:tcBorders>
              <w:top w:val="nil"/>
              <w:left w:val="nil"/>
              <w:bottom w:val="nil"/>
              <w:right w:val="nil"/>
            </w:tcBorders>
          </w:tcPr>
          <w:p w14:paraId="705B50E1" w14:textId="77777777" w:rsidR="00B54D51" w:rsidRPr="00037AD4" w:rsidRDefault="00B54D51" w:rsidP="00401C67">
            <w:pPr>
              <w:widowControl w:val="0"/>
              <w:autoSpaceDE w:val="0"/>
              <w:autoSpaceDN w:val="0"/>
              <w:adjustRightInd w:val="0"/>
            </w:pPr>
            <w:r w:rsidRPr="00037AD4">
              <w:t>carer_age_</w:t>
            </w:r>
          </w:p>
        </w:tc>
        <w:tc>
          <w:tcPr>
            <w:tcW w:w="713" w:type="pct"/>
            <w:tcBorders>
              <w:top w:val="nil"/>
              <w:left w:val="nil"/>
              <w:bottom w:val="nil"/>
              <w:right w:val="nil"/>
            </w:tcBorders>
          </w:tcPr>
          <w:p w14:paraId="7A3ABD99" w14:textId="77777777" w:rsidR="00B54D51" w:rsidRPr="00037AD4" w:rsidRDefault="00B54D51" w:rsidP="00401C67">
            <w:pPr>
              <w:widowControl w:val="0"/>
              <w:autoSpaceDE w:val="0"/>
              <w:autoSpaceDN w:val="0"/>
              <w:adjustRightInd w:val="0"/>
              <w:jc w:val="center"/>
            </w:pPr>
            <w:r w:rsidRPr="00037AD4">
              <w:t>0.011</w:t>
            </w:r>
          </w:p>
        </w:tc>
        <w:tc>
          <w:tcPr>
            <w:tcW w:w="670" w:type="pct"/>
            <w:tcBorders>
              <w:top w:val="nil"/>
              <w:left w:val="nil"/>
              <w:bottom w:val="nil"/>
              <w:right w:val="nil"/>
            </w:tcBorders>
          </w:tcPr>
          <w:p w14:paraId="3A888C25"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23754122"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64507916"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7E42229F" w14:textId="77777777" w:rsidR="00B54D51" w:rsidRPr="00037AD4" w:rsidRDefault="00B54D51" w:rsidP="00401C67">
            <w:pPr>
              <w:widowControl w:val="0"/>
              <w:autoSpaceDE w:val="0"/>
              <w:autoSpaceDN w:val="0"/>
              <w:adjustRightInd w:val="0"/>
              <w:jc w:val="center"/>
            </w:pPr>
          </w:p>
        </w:tc>
      </w:tr>
      <w:tr w:rsidR="00B54D51" w:rsidRPr="00037AD4" w14:paraId="173537D1" w14:textId="77777777" w:rsidTr="00401C67">
        <w:trPr>
          <w:jc w:val="center"/>
        </w:trPr>
        <w:tc>
          <w:tcPr>
            <w:tcW w:w="1608" w:type="pct"/>
            <w:tcBorders>
              <w:top w:val="nil"/>
              <w:left w:val="nil"/>
              <w:bottom w:val="nil"/>
              <w:right w:val="nil"/>
            </w:tcBorders>
          </w:tcPr>
          <w:p w14:paraId="4010E3E4" w14:textId="77777777" w:rsidR="00B54D51" w:rsidRPr="00037AD4" w:rsidRDefault="00B54D51" w:rsidP="00401C67">
            <w:pPr>
              <w:widowControl w:val="0"/>
              <w:autoSpaceDE w:val="0"/>
              <w:autoSpaceDN w:val="0"/>
              <w:adjustRightInd w:val="0"/>
            </w:pPr>
          </w:p>
        </w:tc>
        <w:tc>
          <w:tcPr>
            <w:tcW w:w="713" w:type="pct"/>
            <w:tcBorders>
              <w:top w:val="nil"/>
              <w:left w:val="nil"/>
              <w:bottom w:val="nil"/>
              <w:right w:val="nil"/>
            </w:tcBorders>
          </w:tcPr>
          <w:p w14:paraId="63037E96" w14:textId="77777777" w:rsidR="00B54D51" w:rsidRPr="00037AD4" w:rsidRDefault="00B54D51" w:rsidP="00401C67">
            <w:pPr>
              <w:widowControl w:val="0"/>
              <w:autoSpaceDE w:val="0"/>
              <w:autoSpaceDN w:val="0"/>
              <w:adjustRightInd w:val="0"/>
              <w:jc w:val="center"/>
            </w:pPr>
            <w:r w:rsidRPr="00037AD4">
              <w:t>(-0.004 - 0.026)</w:t>
            </w:r>
          </w:p>
        </w:tc>
        <w:tc>
          <w:tcPr>
            <w:tcW w:w="670" w:type="pct"/>
            <w:tcBorders>
              <w:top w:val="nil"/>
              <w:left w:val="nil"/>
              <w:bottom w:val="nil"/>
              <w:right w:val="nil"/>
            </w:tcBorders>
          </w:tcPr>
          <w:p w14:paraId="181C3BC1"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0E2D06E0"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706D75D8"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324EE1B2" w14:textId="77777777" w:rsidR="00B54D51" w:rsidRPr="00037AD4" w:rsidRDefault="00B54D51" w:rsidP="00401C67">
            <w:pPr>
              <w:widowControl w:val="0"/>
              <w:autoSpaceDE w:val="0"/>
              <w:autoSpaceDN w:val="0"/>
              <w:adjustRightInd w:val="0"/>
              <w:jc w:val="center"/>
            </w:pPr>
          </w:p>
        </w:tc>
      </w:tr>
      <w:tr w:rsidR="00B54D51" w:rsidRPr="00037AD4" w14:paraId="63B6FD5A" w14:textId="77777777" w:rsidTr="00401C67">
        <w:trPr>
          <w:jc w:val="center"/>
        </w:trPr>
        <w:tc>
          <w:tcPr>
            <w:tcW w:w="1608" w:type="pct"/>
            <w:tcBorders>
              <w:top w:val="nil"/>
              <w:left w:val="nil"/>
              <w:bottom w:val="nil"/>
              <w:right w:val="nil"/>
            </w:tcBorders>
          </w:tcPr>
          <w:p w14:paraId="6FAB11B5" w14:textId="77777777" w:rsidR="00B54D51" w:rsidRPr="00037AD4" w:rsidRDefault="00B54D51" w:rsidP="00401C67">
            <w:pPr>
              <w:widowControl w:val="0"/>
              <w:autoSpaceDE w:val="0"/>
              <w:autoSpaceDN w:val="0"/>
              <w:adjustRightInd w:val="0"/>
            </w:pPr>
            <w:r w:rsidRPr="00037AD4">
              <w:t>2.proxy_sex_</w:t>
            </w:r>
          </w:p>
        </w:tc>
        <w:tc>
          <w:tcPr>
            <w:tcW w:w="713" w:type="pct"/>
            <w:tcBorders>
              <w:top w:val="nil"/>
              <w:left w:val="nil"/>
              <w:bottom w:val="nil"/>
              <w:right w:val="nil"/>
            </w:tcBorders>
          </w:tcPr>
          <w:p w14:paraId="10D34338" w14:textId="77777777" w:rsidR="00B54D51" w:rsidRPr="00037AD4" w:rsidRDefault="00B54D51" w:rsidP="00401C67">
            <w:pPr>
              <w:widowControl w:val="0"/>
              <w:autoSpaceDE w:val="0"/>
              <w:autoSpaceDN w:val="0"/>
              <w:adjustRightInd w:val="0"/>
              <w:jc w:val="center"/>
            </w:pPr>
            <w:r w:rsidRPr="00037AD4">
              <w:t>0.123</w:t>
            </w:r>
          </w:p>
        </w:tc>
        <w:tc>
          <w:tcPr>
            <w:tcW w:w="670" w:type="pct"/>
            <w:tcBorders>
              <w:top w:val="nil"/>
              <w:left w:val="nil"/>
              <w:bottom w:val="nil"/>
              <w:right w:val="nil"/>
            </w:tcBorders>
          </w:tcPr>
          <w:p w14:paraId="13C67591"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3F98F452"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69E1D3EA"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178BA7F4" w14:textId="77777777" w:rsidR="00B54D51" w:rsidRPr="00037AD4" w:rsidRDefault="00B54D51" w:rsidP="00401C67">
            <w:pPr>
              <w:widowControl w:val="0"/>
              <w:autoSpaceDE w:val="0"/>
              <w:autoSpaceDN w:val="0"/>
              <w:adjustRightInd w:val="0"/>
              <w:jc w:val="center"/>
            </w:pPr>
          </w:p>
        </w:tc>
      </w:tr>
      <w:tr w:rsidR="00B54D51" w:rsidRPr="00037AD4" w14:paraId="14FF3BA1" w14:textId="77777777" w:rsidTr="00401C67">
        <w:trPr>
          <w:jc w:val="center"/>
        </w:trPr>
        <w:tc>
          <w:tcPr>
            <w:tcW w:w="1608" w:type="pct"/>
            <w:tcBorders>
              <w:top w:val="nil"/>
              <w:left w:val="nil"/>
              <w:bottom w:val="nil"/>
              <w:right w:val="nil"/>
            </w:tcBorders>
          </w:tcPr>
          <w:p w14:paraId="7E224AFF" w14:textId="77777777" w:rsidR="00B54D51" w:rsidRPr="00037AD4" w:rsidRDefault="00B54D51" w:rsidP="00401C67">
            <w:pPr>
              <w:widowControl w:val="0"/>
              <w:autoSpaceDE w:val="0"/>
              <w:autoSpaceDN w:val="0"/>
              <w:adjustRightInd w:val="0"/>
            </w:pPr>
          </w:p>
        </w:tc>
        <w:tc>
          <w:tcPr>
            <w:tcW w:w="713" w:type="pct"/>
            <w:tcBorders>
              <w:top w:val="nil"/>
              <w:left w:val="nil"/>
              <w:bottom w:val="nil"/>
              <w:right w:val="nil"/>
            </w:tcBorders>
          </w:tcPr>
          <w:p w14:paraId="04A408A9" w14:textId="77777777" w:rsidR="00B54D51" w:rsidRPr="00037AD4" w:rsidRDefault="00B54D51" w:rsidP="00401C67">
            <w:pPr>
              <w:widowControl w:val="0"/>
              <w:autoSpaceDE w:val="0"/>
              <w:autoSpaceDN w:val="0"/>
              <w:adjustRightInd w:val="0"/>
              <w:jc w:val="center"/>
            </w:pPr>
            <w:r w:rsidRPr="00037AD4">
              <w:t>(-0.162 - 0.409)</w:t>
            </w:r>
          </w:p>
        </w:tc>
        <w:tc>
          <w:tcPr>
            <w:tcW w:w="670" w:type="pct"/>
            <w:tcBorders>
              <w:top w:val="nil"/>
              <w:left w:val="nil"/>
              <w:bottom w:val="nil"/>
              <w:right w:val="nil"/>
            </w:tcBorders>
          </w:tcPr>
          <w:p w14:paraId="23ECDDCA"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5105502B"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53E16DE4"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0A41AFBA" w14:textId="77777777" w:rsidR="00B54D51" w:rsidRPr="00037AD4" w:rsidRDefault="00B54D51" w:rsidP="00401C67">
            <w:pPr>
              <w:widowControl w:val="0"/>
              <w:autoSpaceDE w:val="0"/>
              <w:autoSpaceDN w:val="0"/>
              <w:adjustRightInd w:val="0"/>
              <w:jc w:val="center"/>
            </w:pPr>
          </w:p>
        </w:tc>
      </w:tr>
      <w:tr w:rsidR="00B54D51" w:rsidRPr="00037AD4" w14:paraId="333E8A3F" w14:textId="77777777" w:rsidTr="00401C67">
        <w:trPr>
          <w:jc w:val="center"/>
        </w:trPr>
        <w:tc>
          <w:tcPr>
            <w:tcW w:w="1608" w:type="pct"/>
            <w:tcBorders>
              <w:top w:val="nil"/>
              <w:left w:val="nil"/>
              <w:bottom w:val="nil"/>
              <w:right w:val="nil"/>
            </w:tcBorders>
          </w:tcPr>
          <w:p w14:paraId="1E9F46CA" w14:textId="77777777" w:rsidR="00B54D51" w:rsidRPr="00037AD4" w:rsidRDefault="00B54D51" w:rsidP="00401C67">
            <w:pPr>
              <w:widowControl w:val="0"/>
              <w:autoSpaceDE w:val="0"/>
              <w:autoSpaceDN w:val="0"/>
              <w:adjustRightInd w:val="0"/>
            </w:pPr>
            <w:r w:rsidRPr="00037AD4">
              <w:lastRenderedPageBreak/>
              <w:t>2.PwD_live_with_carer_</w:t>
            </w:r>
          </w:p>
        </w:tc>
        <w:tc>
          <w:tcPr>
            <w:tcW w:w="713" w:type="pct"/>
            <w:tcBorders>
              <w:top w:val="nil"/>
              <w:left w:val="nil"/>
              <w:bottom w:val="nil"/>
              <w:right w:val="nil"/>
            </w:tcBorders>
          </w:tcPr>
          <w:p w14:paraId="5F6B68CE" w14:textId="77777777" w:rsidR="00B54D51" w:rsidRPr="00037AD4" w:rsidRDefault="00B54D51" w:rsidP="00401C67">
            <w:pPr>
              <w:widowControl w:val="0"/>
              <w:autoSpaceDE w:val="0"/>
              <w:autoSpaceDN w:val="0"/>
              <w:adjustRightInd w:val="0"/>
              <w:jc w:val="center"/>
            </w:pPr>
            <w:r w:rsidRPr="00037AD4">
              <w:t>0.024</w:t>
            </w:r>
          </w:p>
        </w:tc>
        <w:tc>
          <w:tcPr>
            <w:tcW w:w="670" w:type="pct"/>
            <w:tcBorders>
              <w:top w:val="nil"/>
              <w:left w:val="nil"/>
              <w:bottom w:val="nil"/>
              <w:right w:val="nil"/>
            </w:tcBorders>
          </w:tcPr>
          <w:p w14:paraId="36A0943B"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49637CC4"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08B6432C"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533BABE6" w14:textId="77777777" w:rsidR="00B54D51" w:rsidRPr="00037AD4" w:rsidRDefault="00B54D51" w:rsidP="00401C67">
            <w:pPr>
              <w:widowControl w:val="0"/>
              <w:autoSpaceDE w:val="0"/>
              <w:autoSpaceDN w:val="0"/>
              <w:adjustRightInd w:val="0"/>
              <w:jc w:val="center"/>
            </w:pPr>
          </w:p>
        </w:tc>
      </w:tr>
      <w:tr w:rsidR="00B54D51" w:rsidRPr="00037AD4" w14:paraId="4BC3E73B" w14:textId="77777777" w:rsidTr="00401C67">
        <w:trPr>
          <w:jc w:val="center"/>
        </w:trPr>
        <w:tc>
          <w:tcPr>
            <w:tcW w:w="1608" w:type="pct"/>
            <w:tcBorders>
              <w:top w:val="nil"/>
              <w:left w:val="nil"/>
              <w:bottom w:val="nil"/>
              <w:right w:val="nil"/>
            </w:tcBorders>
          </w:tcPr>
          <w:p w14:paraId="014A57C0" w14:textId="77777777" w:rsidR="00B54D51" w:rsidRPr="00037AD4" w:rsidRDefault="00B54D51" w:rsidP="00401C67">
            <w:pPr>
              <w:widowControl w:val="0"/>
              <w:autoSpaceDE w:val="0"/>
              <w:autoSpaceDN w:val="0"/>
              <w:adjustRightInd w:val="0"/>
            </w:pPr>
          </w:p>
        </w:tc>
        <w:tc>
          <w:tcPr>
            <w:tcW w:w="713" w:type="pct"/>
            <w:tcBorders>
              <w:top w:val="nil"/>
              <w:left w:val="nil"/>
              <w:bottom w:val="nil"/>
              <w:right w:val="nil"/>
            </w:tcBorders>
          </w:tcPr>
          <w:p w14:paraId="1C151175" w14:textId="77777777" w:rsidR="00B54D51" w:rsidRPr="00037AD4" w:rsidRDefault="00B54D51" w:rsidP="00401C67">
            <w:pPr>
              <w:widowControl w:val="0"/>
              <w:autoSpaceDE w:val="0"/>
              <w:autoSpaceDN w:val="0"/>
              <w:adjustRightInd w:val="0"/>
              <w:jc w:val="center"/>
            </w:pPr>
            <w:r w:rsidRPr="00037AD4">
              <w:t>(-0.324 - 0.371)</w:t>
            </w:r>
          </w:p>
        </w:tc>
        <w:tc>
          <w:tcPr>
            <w:tcW w:w="670" w:type="pct"/>
            <w:tcBorders>
              <w:top w:val="nil"/>
              <w:left w:val="nil"/>
              <w:bottom w:val="nil"/>
              <w:right w:val="nil"/>
            </w:tcBorders>
          </w:tcPr>
          <w:p w14:paraId="6F4B6B87"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3B68FDF6"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45E3956B"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46E7F58C" w14:textId="77777777" w:rsidR="00B54D51" w:rsidRPr="00037AD4" w:rsidRDefault="00B54D51" w:rsidP="00401C67">
            <w:pPr>
              <w:widowControl w:val="0"/>
              <w:autoSpaceDE w:val="0"/>
              <w:autoSpaceDN w:val="0"/>
              <w:adjustRightInd w:val="0"/>
              <w:jc w:val="center"/>
            </w:pPr>
          </w:p>
        </w:tc>
      </w:tr>
      <w:tr w:rsidR="00B54D51" w:rsidRPr="00037AD4" w14:paraId="20C70219" w14:textId="77777777" w:rsidTr="00401C67">
        <w:trPr>
          <w:jc w:val="center"/>
        </w:trPr>
        <w:tc>
          <w:tcPr>
            <w:tcW w:w="1608" w:type="pct"/>
            <w:tcBorders>
              <w:top w:val="nil"/>
              <w:left w:val="nil"/>
              <w:bottom w:val="nil"/>
              <w:right w:val="nil"/>
            </w:tcBorders>
          </w:tcPr>
          <w:p w14:paraId="358AA770" w14:textId="77777777" w:rsidR="00B54D51" w:rsidRPr="00037AD4" w:rsidRDefault="00B54D51" w:rsidP="00401C67">
            <w:pPr>
              <w:widowControl w:val="0"/>
              <w:autoSpaceDE w:val="0"/>
              <w:autoSpaceDN w:val="0"/>
              <w:adjustRightInd w:val="0"/>
            </w:pPr>
            <w:r w:rsidRPr="00037AD4">
              <w:t>2.carer_relationship_merged</w:t>
            </w:r>
          </w:p>
        </w:tc>
        <w:tc>
          <w:tcPr>
            <w:tcW w:w="713" w:type="pct"/>
            <w:tcBorders>
              <w:top w:val="nil"/>
              <w:left w:val="nil"/>
              <w:bottom w:val="nil"/>
              <w:right w:val="nil"/>
            </w:tcBorders>
          </w:tcPr>
          <w:p w14:paraId="234647D6" w14:textId="77777777" w:rsidR="00B54D51" w:rsidRPr="00037AD4" w:rsidRDefault="00B54D51" w:rsidP="00401C67">
            <w:pPr>
              <w:widowControl w:val="0"/>
              <w:autoSpaceDE w:val="0"/>
              <w:autoSpaceDN w:val="0"/>
              <w:adjustRightInd w:val="0"/>
              <w:jc w:val="center"/>
            </w:pPr>
            <w:r w:rsidRPr="00037AD4">
              <w:t>0.044</w:t>
            </w:r>
          </w:p>
        </w:tc>
        <w:tc>
          <w:tcPr>
            <w:tcW w:w="670" w:type="pct"/>
            <w:tcBorders>
              <w:top w:val="nil"/>
              <w:left w:val="nil"/>
              <w:bottom w:val="nil"/>
              <w:right w:val="nil"/>
            </w:tcBorders>
          </w:tcPr>
          <w:p w14:paraId="5A3E8F8B"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2D15A72E"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32BB67D4"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5A8AFADE" w14:textId="77777777" w:rsidR="00B54D51" w:rsidRPr="00037AD4" w:rsidRDefault="00B54D51" w:rsidP="00401C67">
            <w:pPr>
              <w:widowControl w:val="0"/>
              <w:autoSpaceDE w:val="0"/>
              <w:autoSpaceDN w:val="0"/>
              <w:adjustRightInd w:val="0"/>
              <w:jc w:val="center"/>
            </w:pPr>
          </w:p>
        </w:tc>
      </w:tr>
      <w:tr w:rsidR="00B54D51" w:rsidRPr="00037AD4" w14:paraId="1B681814" w14:textId="77777777" w:rsidTr="00401C67">
        <w:trPr>
          <w:jc w:val="center"/>
        </w:trPr>
        <w:tc>
          <w:tcPr>
            <w:tcW w:w="1608" w:type="pct"/>
            <w:tcBorders>
              <w:top w:val="nil"/>
              <w:left w:val="nil"/>
              <w:bottom w:val="nil"/>
              <w:right w:val="nil"/>
            </w:tcBorders>
          </w:tcPr>
          <w:p w14:paraId="0DA83EB2" w14:textId="77777777" w:rsidR="00B54D51" w:rsidRPr="00037AD4" w:rsidRDefault="00B54D51" w:rsidP="00401C67">
            <w:pPr>
              <w:widowControl w:val="0"/>
              <w:autoSpaceDE w:val="0"/>
              <w:autoSpaceDN w:val="0"/>
              <w:adjustRightInd w:val="0"/>
            </w:pPr>
          </w:p>
        </w:tc>
        <w:tc>
          <w:tcPr>
            <w:tcW w:w="713" w:type="pct"/>
            <w:tcBorders>
              <w:top w:val="nil"/>
              <w:left w:val="nil"/>
              <w:bottom w:val="nil"/>
              <w:right w:val="nil"/>
            </w:tcBorders>
          </w:tcPr>
          <w:p w14:paraId="0A79DC54" w14:textId="77777777" w:rsidR="00B54D51" w:rsidRPr="00037AD4" w:rsidRDefault="00B54D51" w:rsidP="00401C67">
            <w:pPr>
              <w:widowControl w:val="0"/>
              <w:autoSpaceDE w:val="0"/>
              <w:autoSpaceDN w:val="0"/>
              <w:adjustRightInd w:val="0"/>
              <w:jc w:val="center"/>
            </w:pPr>
            <w:r w:rsidRPr="00037AD4">
              <w:t>(-0.530 - 0.618)</w:t>
            </w:r>
          </w:p>
        </w:tc>
        <w:tc>
          <w:tcPr>
            <w:tcW w:w="670" w:type="pct"/>
            <w:tcBorders>
              <w:top w:val="nil"/>
              <w:left w:val="nil"/>
              <w:bottom w:val="nil"/>
              <w:right w:val="nil"/>
            </w:tcBorders>
          </w:tcPr>
          <w:p w14:paraId="000635B2"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0946A377"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75F9CFBD"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0BA38669" w14:textId="77777777" w:rsidR="00B54D51" w:rsidRPr="00037AD4" w:rsidRDefault="00B54D51" w:rsidP="00401C67">
            <w:pPr>
              <w:widowControl w:val="0"/>
              <w:autoSpaceDE w:val="0"/>
              <w:autoSpaceDN w:val="0"/>
              <w:adjustRightInd w:val="0"/>
              <w:jc w:val="center"/>
            </w:pPr>
          </w:p>
        </w:tc>
      </w:tr>
      <w:tr w:rsidR="00B54D51" w:rsidRPr="00037AD4" w14:paraId="4E96B023" w14:textId="77777777" w:rsidTr="00401C67">
        <w:trPr>
          <w:jc w:val="center"/>
        </w:trPr>
        <w:tc>
          <w:tcPr>
            <w:tcW w:w="1608" w:type="pct"/>
            <w:tcBorders>
              <w:top w:val="nil"/>
              <w:left w:val="nil"/>
              <w:bottom w:val="nil"/>
              <w:right w:val="nil"/>
            </w:tcBorders>
          </w:tcPr>
          <w:p w14:paraId="03707802" w14:textId="77777777" w:rsidR="00B54D51" w:rsidRPr="00037AD4" w:rsidRDefault="00B54D51" w:rsidP="00401C67">
            <w:pPr>
              <w:widowControl w:val="0"/>
              <w:autoSpaceDE w:val="0"/>
              <w:autoSpaceDN w:val="0"/>
              <w:adjustRightInd w:val="0"/>
            </w:pPr>
            <w:r w:rsidRPr="00037AD4">
              <w:t>3.carer_relationship_merged</w:t>
            </w:r>
          </w:p>
        </w:tc>
        <w:tc>
          <w:tcPr>
            <w:tcW w:w="713" w:type="pct"/>
            <w:tcBorders>
              <w:top w:val="nil"/>
              <w:left w:val="nil"/>
              <w:bottom w:val="nil"/>
              <w:right w:val="nil"/>
            </w:tcBorders>
          </w:tcPr>
          <w:p w14:paraId="0CB895CF" w14:textId="77777777" w:rsidR="00B54D51" w:rsidRPr="00037AD4" w:rsidRDefault="00B54D51" w:rsidP="00401C67">
            <w:pPr>
              <w:widowControl w:val="0"/>
              <w:autoSpaceDE w:val="0"/>
              <w:autoSpaceDN w:val="0"/>
              <w:adjustRightInd w:val="0"/>
              <w:jc w:val="center"/>
            </w:pPr>
            <w:r w:rsidRPr="00037AD4">
              <w:t>-0.031</w:t>
            </w:r>
          </w:p>
        </w:tc>
        <w:tc>
          <w:tcPr>
            <w:tcW w:w="670" w:type="pct"/>
            <w:tcBorders>
              <w:top w:val="nil"/>
              <w:left w:val="nil"/>
              <w:bottom w:val="nil"/>
              <w:right w:val="nil"/>
            </w:tcBorders>
          </w:tcPr>
          <w:p w14:paraId="2057D8B4"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65213533"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4602CE21"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74AA9157" w14:textId="77777777" w:rsidR="00B54D51" w:rsidRPr="00037AD4" w:rsidRDefault="00B54D51" w:rsidP="00401C67">
            <w:pPr>
              <w:widowControl w:val="0"/>
              <w:autoSpaceDE w:val="0"/>
              <w:autoSpaceDN w:val="0"/>
              <w:adjustRightInd w:val="0"/>
              <w:jc w:val="center"/>
            </w:pPr>
          </w:p>
        </w:tc>
      </w:tr>
      <w:tr w:rsidR="00B54D51" w:rsidRPr="00037AD4" w14:paraId="3AED6FB1" w14:textId="77777777" w:rsidTr="00401C67">
        <w:trPr>
          <w:jc w:val="center"/>
        </w:trPr>
        <w:tc>
          <w:tcPr>
            <w:tcW w:w="1608" w:type="pct"/>
            <w:tcBorders>
              <w:top w:val="nil"/>
              <w:left w:val="nil"/>
              <w:bottom w:val="nil"/>
              <w:right w:val="nil"/>
            </w:tcBorders>
          </w:tcPr>
          <w:p w14:paraId="05F02089" w14:textId="77777777" w:rsidR="00B54D51" w:rsidRPr="00037AD4" w:rsidRDefault="00B54D51" w:rsidP="00401C67">
            <w:pPr>
              <w:widowControl w:val="0"/>
              <w:autoSpaceDE w:val="0"/>
              <w:autoSpaceDN w:val="0"/>
              <w:adjustRightInd w:val="0"/>
            </w:pPr>
          </w:p>
        </w:tc>
        <w:tc>
          <w:tcPr>
            <w:tcW w:w="713" w:type="pct"/>
            <w:tcBorders>
              <w:top w:val="nil"/>
              <w:left w:val="nil"/>
              <w:bottom w:val="nil"/>
              <w:right w:val="nil"/>
            </w:tcBorders>
          </w:tcPr>
          <w:p w14:paraId="681CD7DF" w14:textId="77777777" w:rsidR="00B54D51" w:rsidRPr="00037AD4" w:rsidRDefault="00B54D51" w:rsidP="00401C67">
            <w:pPr>
              <w:widowControl w:val="0"/>
              <w:autoSpaceDE w:val="0"/>
              <w:autoSpaceDN w:val="0"/>
              <w:adjustRightInd w:val="0"/>
              <w:jc w:val="center"/>
            </w:pPr>
            <w:r w:rsidRPr="00037AD4">
              <w:t>(-0.743 - 0.682)</w:t>
            </w:r>
          </w:p>
        </w:tc>
        <w:tc>
          <w:tcPr>
            <w:tcW w:w="670" w:type="pct"/>
            <w:tcBorders>
              <w:top w:val="nil"/>
              <w:left w:val="nil"/>
              <w:bottom w:val="nil"/>
              <w:right w:val="nil"/>
            </w:tcBorders>
          </w:tcPr>
          <w:p w14:paraId="35927761"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4EFA9742"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7E89A2B4"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0133CA88" w14:textId="77777777" w:rsidR="00B54D51" w:rsidRPr="00037AD4" w:rsidRDefault="00B54D51" w:rsidP="00401C67">
            <w:pPr>
              <w:widowControl w:val="0"/>
              <w:autoSpaceDE w:val="0"/>
              <w:autoSpaceDN w:val="0"/>
              <w:adjustRightInd w:val="0"/>
              <w:jc w:val="center"/>
            </w:pPr>
          </w:p>
        </w:tc>
      </w:tr>
      <w:tr w:rsidR="00B54D51" w:rsidRPr="00037AD4" w14:paraId="3957D003" w14:textId="77777777" w:rsidTr="00401C67">
        <w:trPr>
          <w:jc w:val="center"/>
        </w:trPr>
        <w:tc>
          <w:tcPr>
            <w:tcW w:w="1608" w:type="pct"/>
            <w:tcBorders>
              <w:top w:val="nil"/>
              <w:left w:val="nil"/>
              <w:bottom w:val="nil"/>
              <w:right w:val="nil"/>
            </w:tcBorders>
          </w:tcPr>
          <w:p w14:paraId="41E29A31" w14:textId="77777777" w:rsidR="00B54D51" w:rsidRPr="00037AD4" w:rsidRDefault="00B54D51" w:rsidP="00401C67">
            <w:pPr>
              <w:widowControl w:val="0"/>
              <w:autoSpaceDE w:val="0"/>
              <w:autoSpaceDN w:val="0"/>
              <w:adjustRightInd w:val="0"/>
            </w:pPr>
            <w:r w:rsidRPr="00037AD4">
              <w:t>4.carer_relationship_merged</w:t>
            </w:r>
          </w:p>
        </w:tc>
        <w:tc>
          <w:tcPr>
            <w:tcW w:w="713" w:type="pct"/>
            <w:tcBorders>
              <w:top w:val="nil"/>
              <w:left w:val="nil"/>
              <w:bottom w:val="nil"/>
              <w:right w:val="nil"/>
            </w:tcBorders>
          </w:tcPr>
          <w:p w14:paraId="2D421448" w14:textId="77777777" w:rsidR="00B54D51" w:rsidRPr="00037AD4" w:rsidRDefault="00B54D51" w:rsidP="00401C67">
            <w:pPr>
              <w:widowControl w:val="0"/>
              <w:autoSpaceDE w:val="0"/>
              <w:autoSpaceDN w:val="0"/>
              <w:adjustRightInd w:val="0"/>
              <w:jc w:val="center"/>
            </w:pPr>
            <w:r w:rsidRPr="00037AD4">
              <w:t>-1.199**</w:t>
            </w:r>
          </w:p>
        </w:tc>
        <w:tc>
          <w:tcPr>
            <w:tcW w:w="670" w:type="pct"/>
            <w:tcBorders>
              <w:top w:val="nil"/>
              <w:left w:val="nil"/>
              <w:bottom w:val="nil"/>
              <w:right w:val="nil"/>
            </w:tcBorders>
          </w:tcPr>
          <w:p w14:paraId="5B10D6C3"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300BD10E"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505FD43C"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075DECF3" w14:textId="77777777" w:rsidR="00B54D51" w:rsidRPr="00037AD4" w:rsidRDefault="00B54D51" w:rsidP="00401C67">
            <w:pPr>
              <w:widowControl w:val="0"/>
              <w:autoSpaceDE w:val="0"/>
              <w:autoSpaceDN w:val="0"/>
              <w:adjustRightInd w:val="0"/>
              <w:jc w:val="center"/>
            </w:pPr>
          </w:p>
        </w:tc>
      </w:tr>
      <w:tr w:rsidR="00B54D51" w:rsidRPr="00037AD4" w14:paraId="4E155AB2" w14:textId="77777777" w:rsidTr="00401C67">
        <w:trPr>
          <w:jc w:val="center"/>
        </w:trPr>
        <w:tc>
          <w:tcPr>
            <w:tcW w:w="1608" w:type="pct"/>
            <w:tcBorders>
              <w:top w:val="nil"/>
              <w:left w:val="nil"/>
              <w:bottom w:val="nil"/>
              <w:right w:val="nil"/>
            </w:tcBorders>
          </w:tcPr>
          <w:p w14:paraId="78D3E398" w14:textId="77777777" w:rsidR="00B54D51" w:rsidRPr="00037AD4" w:rsidRDefault="00B54D51" w:rsidP="00401C67">
            <w:pPr>
              <w:widowControl w:val="0"/>
              <w:autoSpaceDE w:val="0"/>
              <w:autoSpaceDN w:val="0"/>
              <w:adjustRightInd w:val="0"/>
            </w:pPr>
          </w:p>
        </w:tc>
        <w:tc>
          <w:tcPr>
            <w:tcW w:w="713" w:type="pct"/>
            <w:tcBorders>
              <w:top w:val="nil"/>
              <w:left w:val="nil"/>
              <w:bottom w:val="nil"/>
              <w:right w:val="nil"/>
            </w:tcBorders>
          </w:tcPr>
          <w:p w14:paraId="73CF3C9F" w14:textId="77777777" w:rsidR="00B54D51" w:rsidRPr="00037AD4" w:rsidRDefault="00B54D51" w:rsidP="00401C67">
            <w:pPr>
              <w:widowControl w:val="0"/>
              <w:autoSpaceDE w:val="0"/>
              <w:autoSpaceDN w:val="0"/>
              <w:adjustRightInd w:val="0"/>
              <w:jc w:val="center"/>
            </w:pPr>
            <w:r w:rsidRPr="00037AD4">
              <w:t>(-2.316 - -0.083)</w:t>
            </w:r>
          </w:p>
        </w:tc>
        <w:tc>
          <w:tcPr>
            <w:tcW w:w="670" w:type="pct"/>
            <w:tcBorders>
              <w:top w:val="nil"/>
              <w:left w:val="nil"/>
              <w:bottom w:val="nil"/>
              <w:right w:val="nil"/>
            </w:tcBorders>
          </w:tcPr>
          <w:p w14:paraId="70558A15"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1C9F3E3E"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242398AE"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04A521FB" w14:textId="77777777" w:rsidR="00B54D51" w:rsidRPr="00037AD4" w:rsidRDefault="00B54D51" w:rsidP="00401C67">
            <w:pPr>
              <w:widowControl w:val="0"/>
              <w:autoSpaceDE w:val="0"/>
              <w:autoSpaceDN w:val="0"/>
              <w:adjustRightInd w:val="0"/>
              <w:jc w:val="center"/>
            </w:pPr>
          </w:p>
        </w:tc>
      </w:tr>
      <w:tr w:rsidR="00B54D51" w:rsidRPr="00037AD4" w14:paraId="3ECE3BE4" w14:textId="77777777" w:rsidTr="00401C67">
        <w:trPr>
          <w:jc w:val="center"/>
        </w:trPr>
        <w:tc>
          <w:tcPr>
            <w:tcW w:w="1608" w:type="pct"/>
            <w:tcBorders>
              <w:top w:val="nil"/>
              <w:left w:val="nil"/>
              <w:bottom w:val="nil"/>
              <w:right w:val="nil"/>
            </w:tcBorders>
          </w:tcPr>
          <w:p w14:paraId="24454791" w14:textId="77777777" w:rsidR="00B54D51" w:rsidRPr="00037AD4" w:rsidRDefault="00B54D51" w:rsidP="00401C67">
            <w:pPr>
              <w:widowControl w:val="0"/>
              <w:autoSpaceDE w:val="0"/>
              <w:autoSpaceDN w:val="0"/>
              <w:adjustRightInd w:val="0"/>
            </w:pPr>
            <w:r w:rsidRPr="00037AD4">
              <w:t>/cut1</w:t>
            </w:r>
          </w:p>
        </w:tc>
        <w:tc>
          <w:tcPr>
            <w:tcW w:w="713" w:type="pct"/>
            <w:tcBorders>
              <w:top w:val="nil"/>
              <w:left w:val="nil"/>
              <w:bottom w:val="nil"/>
              <w:right w:val="nil"/>
            </w:tcBorders>
          </w:tcPr>
          <w:p w14:paraId="10D7448B" w14:textId="77777777" w:rsidR="00B54D51" w:rsidRPr="00037AD4" w:rsidRDefault="00B54D51" w:rsidP="00401C67">
            <w:pPr>
              <w:widowControl w:val="0"/>
              <w:autoSpaceDE w:val="0"/>
              <w:autoSpaceDN w:val="0"/>
              <w:adjustRightInd w:val="0"/>
              <w:jc w:val="center"/>
            </w:pPr>
            <w:r w:rsidRPr="00037AD4">
              <w:t>2.406***</w:t>
            </w:r>
          </w:p>
        </w:tc>
        <w:tc>
          <w:tcPr>
            <w:tcW w:w="670" w:type="pct"/>
            <w:tcBorders>
              <w:top w:val="nil"/>
              <w:left w:val="nil"/>
              <w:bottom w:val="nil"/>
              <w:right w:val="nil"/>
            </w:tcBorders>
          </w:tcPr>
          <w:p w14:paraId="2D6D4B2F" w14:textId="77777777" w:rsidR="00B54D51" w:rsidRPr="00037AD4" w:rsidRDefault="00B54D51" w:rsidP="00401C67">
            <w:pPr>
              <w:widowControl w:val="0"/>
              <w:autoSpaceDE w:val="0"/>
              <w:autoSpaceDN w:val="0"/>
              <w:adjustRightInd w:val="0"/>
              <w:jc w:val="center"/>
            </w:pPr>
            <w:r w:rsidRPr="00037AD4">
              <w:t>1.899***</w:t>
            </w:r>
          </w:p>
        </w:tc>
        <w:tc>
          <w:tcPr>
            <w:tcW w:w="670" w:type="pct"/>
            <w:tcBorders>
              <w:top w:val="nil"/>
              <w:left w:val="nil"/>
              <w:bottom w:val="nil"/>
              <w:right w:val="nil"/>
            </w:tcBorders>
          </w:tcPr>
          <w:p w14:paraId="54EA16E0" w14:textId="77777777" w:rsidR="00B54D51" w:rsidRPr="00037AD4" w:rsidRDefault="00B54D51" w:rsidP="00401C67">
            <w:pPr>
              <w:widowControl w:val="0"/>
              <w:autoSpaceDE w:val="0"/>
              <w:autoSpaceDN w:val="0"/>
              <w:adjustRightInd w:val="0"/>
              <w:jc w:val="center"/>
            </w:pPr>
            <w:r w:rsidRPr="00037AD4">
              <w:t>2.194***</w:t>
            </w:r>
          </w:p>
        </w:tc>
        <w:tc>
          <w:tcPr>
            <w:tcW w:w="670" w:type="pct"/>
            <w:tcBorders>
              <w:top w:val="nil"/>
              <w:left w:val="nil"/>
              <w:bottom w:val="nil"/>
              <w:right w:val="nil"/>
            </w:tcBorders>
          </w:tcPr>
          <w:p w14:paraId="337C702F" w14:textId="77777777" w:rsidR="00B54D51" w:rsidRPr="00037AD4" w:rsidRDefault="00B54D51" w:rsidP="00401C67">
            <w:pPr>
              <w:widowControl w:val="0"/>
              <w:autoSpaceDE w:val="0"/>
              <w:autoSpaceDN w:val="0"/>
              <w:adjustRightInd w:val="0"/>
              <w:jc w:val="center"/>
            </w:pPr>
            <w:r w:rsidRPr="00037AD4">
              <w:t>2.032***</w:t>
            </w:r>
          </w:p>
        </w:tc>
        <w:tc>
          <w:tcPr>
            <w:tcW w:w="670" w:type="pct"/>
            <w:tcBorders>
              <w:top w:val="nil"/>
              <w:left w:val="nil"/>
              <w:bottom w:val="nil"/>
              <w:right w:val="nil"/>
            </w:tcBorders>
          </w:tcPr>
          <w:p w14:paraId="47E888A0" w14:textId="77777777" w:rsidR="00B54D51" w:rsidRPr="00037AD4" w:rsidRDefault="00B54D51" w:rsidP="00401C67">
            <w:pPr>
              <w:widowControl w:val="0"/>
              <w:autoSpaceDE w:val="0"/>
              <w:autoSpaceDN w:val="0"/>
              <w:adjustRightInd w:val="0"/>
              <w:jc w:val="center"/>
            </w:pPr>
            <w:r w:rsidRPr="00037AD4">
              <w:t>2.151***</w:t>
            </w:r>
          </w:p>
        </w:tc>
      </w:tr>
      <w:tr w:rsidR="00B54D51" w:rsidRPr="00037AD4" w14:paraId="64CF849D" w14:textId="77777777" w:rsidTr="00401C67">
        <w:trPr>
          <w:jc w:val="center"/>
        </w:trPr>
        <w:tc>
          <w:tcPr>
            <w:tcW w:w="1608" w:type="pct"/>
            <w:tcBorders>
              <w:top w:val="nil"/>
              <w:left w:val="nil"/>
              <w:bottom w:val="nil"/>
              <w:right w:val="nil"/>
            </w:tcBorders>
          </w:tcPr>
          <w:p w14:paraId="08DC6489" w14:textId="77777777" w:rsidR="00B54D51" w:rsidRPr="00037AD4" w:rsidRDefault="00B54D51" w:rsidP="00401C67">
            <w:pPr>
              <w:widowControl w:val="0"/>
              <w:autoSpaceDE w:val="0"/>
              <w:autoSpaceDN w:val="0"/>
              <w:adjustRightInd w:val="0"/>
            </w:pPr>
          </w:p>
        </w:tc>
        <w:tc>
          <w:tcPr>
            <w:tcW w:w="713" w:type="pct"/>
            <w:tcBorders>
              <w:top w:val="nil"/>
              <w:left w:val="nil"/>
              <w:bottom w:val="nil"/>
              <w:right w:val="nil"/>
            </w:tcBorders>
          </w:tcPr>
          <w:p w14:paraId="0A0992EC" w14:textId="77777777" w:rsidR="00B54D51" w:rsidRPr="00037AD4" w:rsidRDefault="00B54D51" w:rsidP="00401C67">
            <w:pPr>
              <w:widowControl w:val="0"/>
              <w:autoSpaceDE w:val="0"/>
              <w:autoSpaceDN w:val="0"/>
              <w:adjustRightInd w:val="0"/>
              <w:jc w:val="center"/>
            </w:pPr>
            <w:r w:rsidRPr="00037AD4">
              <w:t>(0.920 - 3.892)</w:t>
            </w:r>
          </w:p>
        </w:tc>
        <w:tc>
          <w:tcPr>
            <w:tcW w:w="670" w:type="pct"/>
            <w:tcBorders>
              <w:top w:val="nil"/>
              <w:left w:val="nil"/>
              <w:bottom w:val="nil"/>
              <w:right w:val="nil"/>
            </w:tcBorders>
          </w:tcPr>
          <w:p w14:paraId="2C560F39" w14:textId="77777777" w:rsidR="00B54D51" w:rsidRPr="00037AD4" w:rsidRDefault="00B54D51" w:rsidP="00401C67">
            <w:pPr>
              <w:widowControl w:val="0"/>
              <w:autoSpaceDE w:val="0"/>
              <w:autoSpaceDN w:val="0"/>
              <w:adjustRightInd w:val="0"/>
              <w:jc w:val="center"/>
            </w:pPr>
            <w:r w:rsidRPr="00037AD4">
              <w:t>(0.848 - 2.950)</w:t>
            </w:r>
          </w:p>
        </w:tc>
        <w:tc>
          <w:tcPr>
            <w:tcW w:w="670" w:type="pct"/>
            <w:tcBorders>
              <w:top w:val="nil"/>
              <w:left w:val="nil"/>
              <w:bottom w:val="nil"/>
              <w:right w:val="nil"/>
            </w:tcBorders>
          </w:tcPr>
          <w:p w14:paraId="7C92CCFA" w14:textId="77777777" w:rsidR="00B54D51" w:rsidRPr="00037AD4" w:rsidRDefault="00B54D51" w:rsidP="00401C67">
            <w:pPr>
              <w:widowControl w:val="0"/>
              <w:autoSpaceDE w:val="0"/>
              <w:autoSpaceDN w:val="0"/>
              <w:adjustRightInd w:val="0"/>
              <w:jc w:val="center"/>
            </w:pPr>
            <w:r w:rsidRPr="00037AD4">
              <w:t>(1.220 - 3.167)</w:t>
            </w:r>
          </w:p>
        </w:tc>
        <w:tc>
          <w:tcPr>
            <w:tcW w:w="670" w:type="pct"/>
            <w:tcBorders>
              <w:top w:val="nil"/>
              <w:left w:val="nil"/>
              <w:bottom w:val="nil"/>
              <w:right w:val="nil"/>
            </w:tcBorders>
          </w:tcPr>
          <w:p w14:paraId="26CE99C5" w14:textId="77777777" w:rsidR="00B54D51" w:rsidRPr="00037AD4" w:rsidRDefault="00B54D51" w:rsidP="00401C67">
            <w:pPr>
              <w:widowControl w:val="0"/>
              <w:autoSpaceDE w:val="0"/>
              <w:autoSpaceDN w:val="0"/>
              <w:adjustRightInd w:val="0"/>
              <w:jc w:val="center"/>
            </w:pPr>
            <w:r w:rsidRPr="00037AD4">
              <w:t>(1.072 - 2.992)</w:t>
            </w:r>
          </w:p>
        </w:tc>
        <w:tc>
          <w:tcPr>
            <w:tcW w:w="670" w:type="pct"/>
            <w:tcBorders>
              <w:top w:val="nil"/>
              <w:left w:val="nil"/>
              <w:bottom w:val="nil"/>
              <w:right w:val="nil"/>
            </w:tcBorders>
          </w:tcPr>
          <w:p w14:paraId="5EEDD349" w14:textId="77777777" w:rsidR="00B54D51" w:rsidRPr="00037AD4" w:rsidRDefault="00B54D51" w:rsidP="00401C67">
            <w:pPr>
              <w:widowControl w:val="0"/>
              <w:autoSpaceDE w:val="0"/>
              <w:autoSpaceDN w:val="0"/>
              <w:adjustRightInd w:val="0"/>
              <w:jc w:val="center"/>
            </w:pPr>
            <w:r w:rsidRPr="00037AD4">
              <w:t>(1.196 - 3.105)</w:t>
            </w:r>
          </w:p>
        </w:tc>
      </w:tr>
      <w:tr w:rsidR="00B54D51" w:rsidRPr="00037AD4" w14:paraId="67AC7730" w14:textId="77777777" w:rsidTr="00401C67">
        <w:trPr>
          <w:jc w:val="center"/>
        </w:trPr>
        <w:tc>
          <w:tcPr>
            <w:tcW w:w="1608" w:type="pct"/>
            <w:tcBorders>
              <w:top w:val="nil"/>
              <w:left w:val="nil"/>
              <w:bottom w:val="nil"/>
              <w:right w:val="nil"/>
            </w:tcBorders>
          </w:tcPr>
          <w:p w14:paraId="081F66DC" w14:textId="77777777" w:rsidR="00B54D51" w:rsidRPr="00037AD4" w:rsidRDefault="00B54D51" w:rsidP="00401C67">
            <w:pPr>
              <w:widowControl w:val="0"/>
              <w:autoSpaceDE w:val="0"/>
              <w:autoSpaceDN w:val="0"/>
              <w:adjustRightInd w:val="0"/>
            </w:pPr>
            <w:r w:rsidRPr="00037AD4">
              <w:t>/cut2</w:t>
            </w:r>
          </w:p>
        </w:tc>
        <w:tc>
          <w:tcPr>
            <w:tcW w:w="713" w:type="pct"/>
            <w:tcBorders>
              <w:top w:val="nil"/>
              <w:left w:val="nil"/>
              <w:bottom w:val="nil"/>
              <w:right w:val="nil"/>
            </w:tcBorders>
          </w:tcPr>
          <w:p w14:paraId="37B9C802" w14:textId="77777777" w:rsidR="00B54D51" w:rsidRPr="00037AD4" w:rsidRDefault="00B54D51" w:rsidP="00401C67">
            <w:pPr>
              <w:widowControl w:val="0"/>
              <w:autoSpaceDE w:val="0"/>
              <w:autoSpaceDN w:val="0"/>
              <w:adjustRightInd w:val="0"/>
              <w:jc w:val="center"/>
            </w:pPr>
            <w:r w:rsidRPr="00037AD4">
              <w:t>3.191***</w:t>
            </w:r>
          </w:p>
        </w:tc>
        <w:tc>
          <w:tcPr>
            <w:tcW w:w="670" w:type="pct"/>
            <w:tcBorders>
              <w:top w:val="nil"/>
              <w:left w:val="nil"/>
              <w:bottom w:val="nil"/>
              <w:right w:val="nil"/>
            </w:tcBorders>
          </w:tcPr>
          <w:p w14:paraId="6D3AD681" w14:textId="77777777" w:rsidR="00B54D51" w:rsidRPr="00037AD4" w:rsidRDefault="00B54D51" w:rsidP="00401C67">
            <w:pPr>
              <w:widowControl w:val="0"/>
              <w:autoSpaceDE w:val="0"/>
              <w:autoSpaceDN w:val="0"/>
              <w:adjustRightInd w:val="0"/>
              <w:jc w:val="center"/>
            </w:pPr>
            <w:r w:rsidRPr="00037AD4">
              <w:t>2.670***</w:t>
            </w:r>
          </w:p>
        </w:tc>
        <w:tc>
          <w:tcPr>
            <w:tcW w:w="670" w:type="pct"/>
            <w:tcBorders>
              <w:top w:val="nil"/>
              <w:left w:val="nil"/>
              <w:bottom w:val="nil"/>
              <w:right w:val="nil"/>
            </w:tcBorders>
          </w:tcPr>
          <w:p w14:paraId="054414A5" w14:textId="77777777" w:rsidR="00B54D51" w:rsidRPr="00037AD4" w:rsidRDefault="00B54D51" w:rsidP="00401C67">
            <w:pPr>
              <w:widowControl w:val="0"/>
              <w:autoSpaceDE w:val="0"/>
              <w:autoSpaceDN w:val="0"/>
              <w:adjustRightInd w:val="0"/>
              <w:jc w:val="center"/>
            </w:pPr>
            <w:r w:rsidRPr="00037AD4">
              <w:t>2.964***</w:t>
            </w:r>
          </w:p>
        </w:tc>
        <w:tc>
          <w:tcPr>
            <w:tcW w:w="670" w:type="pct"/>
            <w:tcBorders>
              <w:top w:val="nil"/>
              <w:left w:val="nil"/>
              <w:bottom w:val="nil"/>
              <w:right w:val="nil"/>
            </w:tcBorders>
          </w:tcPr>
          <w:p w14:paraId="1FD8A222" w14:textId="77777777" w:rsidR="00B54D51" w:rsidRPr="00037AD4" w:rsidRDefault="00B54D51" w:rsidP="00401C67">
            <w:pPr>
              <w:widowControl w:val="0"/>
              <w:autoSpaceDE w:val="0"/>
              <w:autoSpaceDN w:val="0"/>
              <w:adjustRightInd w:val="0"/>
              <w:jc w:val="center"/>
            </w:pPr>
            <w:r w:rsidRPr="00037AD4">
              <w:t>2.792***</w:t>
            </w:r>
          </w:p>
        </w:tc>
        <w:tc>
          <w:tcPr>
            <w:tcW w:w="670" w:type="pct"/>
            <w:tcBorders>
              <w:top w:val="nil"/>
              <w:left w:val="nil"/>
              <w:bottom w:val="nil"/>
              <w:right w:val="nil"/>
            </w:tcBorders>
          </w:tcPr>
          <w:p w14:paraId="54D0C1ED" w14:textId="77777777" w:rsidR="00B54D51" w:rsidRPr="00037AD4" w:rsidRDefault="00B54D51" w:rsidP="00401C67">
            <w:pPr>
              <w:widowControl w:val="0"/>
              <w:autoSpaceDE w:val="0"/>
              <w:autoSpaceDN w:val="0"/>
              <w:adjustRightInd w:val="0"/>
              <w:jc w:val="center"/>
            </w:pPr>
            <w:r w:rsidRPr="00037AD4">
              <w:t>2.858***</w:t>
            </w:r>
          </w:p>
        </w:tc>
      </w:tr>
      <w:tr w:rsidR="00B54D51" w:rsidRPr="00037AD4" w14:paraId="5A8F2D58" w14:textId="77777777" w:rsidTr="00401C67">
        <w:trPr>
          <w:jc w:val="center"/>
        </w:trPr>
        <w:tc>
          <w:tcPr>
            <w:tcW w:w="1608" w:type="pct"/>
            <w:tcBorders>
              <w:top w:val="nil"/>
              <w:left w:val="nil"/>
              <w:bottom w:val="nil"/>
              <w:right w:val="nil"/>
            </w:tcBorders>
          </w:tcPr>
          <w:p w14:paraId="5E656153" w14:textId="77777777" w:rsidR="00B54D51" w:rsidRPr="00037AD4" w:rsidRDefault="00B54D51" w:rsidP="00401C67">
            <w:pPr>
              <w:widowControl w:val="0"/>
              <w:autoSpaceDE w:val="0"/>
              <w:autoSpaceDN w:val="0"/>
              <w:adjustRightInd w:val="0"/>
            </w:pPr>
          </w:p>
        </w:tc>
        <w:tc>
          <w:tcPr>
            <w:tcW w:w="713" w:type="pct"/>
            <w:tcBorders>
              <w:top w:val="nil"/>
              <w:left w:val="nil"/>
              <w:bottom w:val="nil"/>
              <w:right w:val="nil"/>
            </w:tcBorders>
          </w:tcPr>
          <w:p w14:paraId="725394C7" w14:textId="77777777" w:rsidR="00B54D51" w:rsidRPr="00037AD4" w:rsidRDefault="00B54D51" w:rsidP="00401C67">
            <w:pPr>
              <w:widowControl w:val="0"/>
              <w:autoSpaceDE w:val="0"/>
              <w:autoSpaceDN w:val="0"/>
              <w:adjustRightInd w:val="0"/>
              <w:jc w:val="center"/>
            </w:pPr>
            <w:r w:rsidRPr="00037AD4">
              <w:t>(1.695 - 4.688)</w:t>
            </w:r>
          </w:p>
        </w:tc>
        <w:tc>
          <w:tcPr>
            <w:tcW w:w="670" w:type="pct"/>
            <w:tcBorders>
              <w:top w:val="nil"/>
              <w:left w:val="nil"/>
              <w:bottom w:val="nil"/>
              <w:right w:val="nil"/>
            </w:tcBorders>
          </w:tcPr>
          <w:p w14:paraId="0B7F7827" w14:textId="77777777" w:rsidR="00B54D51" w:rsidRPr="00037AD4" w:rsidRDefault="00B54D51" w:rsidP="00401C67">
            <w:pPr>
              <w:widowControl w:val="0"/>
              <w:autoSpaceDE w:val="0"/>
              <w:autoSpaceDN w:val="0"/>
              <w:adjustRightInd w:val="0"/>
              <w:jc w:val="center"/>
            </w:pPr>
            <w:r w:rsidRPr="00037AD4">
              <w:t>(1.605 - 3.735)</w:t>
            </w:r>
          </w:p>
        </w:tc>
        <w:tc>
          <w:tcPr>
            <w:tcW w:w="670" w:type="pct"/>
            <w:tcBorders>
              <w:top w:val="nil"/>
              <w:left w:val="nil"/>
              <w:bottom w:val="nil"/>
              <w:right w:val="nil"/>
            </w:tcBorders>
          </w:tcPr>
          <w:p w14:paraId="34312C56" w14:textId="77777777" w:rsidR="00B54D51" w:rsidRPr="00037AD4" w:rsidRDefault="00B54D51" w:rsidP="00401C67">
            <w:pPr>
              <w:widowControl w:val="0"/>
              <w:autoSpaceDE w:val="0"/>
              <w:autoSpaceDN w:val="0"/>
              <w:adjustRightInd w:val="0"/>
              <w:jc w:val="center"/>
            </w:pPr>
            <w:r w:rsidRPr="00037AD4">
              <w:t>(1.975 - 3.954)</w:t>
            </w:r>
          </w:p>
        </w:tc>
        <w:tc>
          <w:tcPr>
            <w:tcW w:w="670" w:type="pct"/>
            <w:tcBorders>
              <w:top w:val="nil"/>
              <w:left w:val="nil"/>
              <w:bottom w:val="nil"/>
              <w:right w:val="nil"/>
            </w:tcBorders>
          </w:tcPr>
          <w:p w14:paraId="5D7EB39C" w14:textId="77777777" w:rsidR="00B54D51" w:rsidRPr="00037AD4" w:rsidRDefault="00B54D51" w:rsidP="00401C67">
            <w:pPr>
              <w:widowControl w:val="0"/>
              <w:autoSpaceDE w:val="0"/>
              <w:autoSpaceDN w:val="0"/>
              <w:adjustRightInd w:val="0"/>
              <w:jc w:val="center"/>
            </w:pPr>
            <w:r w:rsidRPr="00037AD4">
              <w:t>(1.816 - 3.768)</w:t>
            </w:r>
          </w:p>
        </w:tc>
        <w:tc>
          <w:tcPr>
            <w:tcW w:w="670" w:type="pct"/>
            <w:tcBorders>
              <w:top w:val="nil"/>
              <w:left w:val="nil"/>
              <w:bottom w:val="nil"/>
              <w:right w:val="nil"/>
            </w:tcBorders>
          </w:tcPr>
          <w:p w14:paraId="60BD55BD" w14:textId="77777777" w:rsidR="00B54D51" w:rsidRPr="00037AD4" w:rsidRDefault="00B54D51" w:rsidP="00401C67">
            <w:pPr>
              <w:widowControl w:val="0"/>
              <w:autoSpaceDE w:val="0"/>
              <w:autoSpaceDN w:val="0"/>
              <w:adjustRightInd w:val="0"/>
              <w:jc w:val="center"/>
            </w:pPr>
            <w:r w:rsidRPr="00037AD4">
              <w:t>(1.892 - 3.823)</w:t>
            </w:r>
          </w:p>
        </w:tc>
      </w:tr>
      <w:tr w:rsidR="00B54D51" w:rsidRPr="00037AD4" w14:paraId="49DCDD39" w14:textId="77777777" w:rsidTr="00401C67">
        <w:trPr>
          <w:jc w:val="center"/>
        </w:trPr>
        <w:tc>
          <w:tcPr>
            <w:tcW w:w="1608" w:type="pct"/>
            <w:tcBorders>
              <w:top w:val="nil"/>
              <w:left w:val="nil"/>
              <w:bottom w:val="nil"/>
              <w:right w:val="nil"/>
            </w:tcBorders>
          </w:tcPr>
          <w:p w14:paraId="41CB6235" w14:textId="77777777" w:rsidR="00B54D51" w:rsidRPr="00037AD4" w:rsidRDefault="00B54D51" w:rsidP="00401C67">
            <w:pPr>
              <w:widowControl w:val="0"/>
              <w:autoSpaceDE w:val="0"/>
              <w:autoSpaceDN w:val="0"/>
              <w:adjustRightInd w:val="0"/>
            </w:pPr>
            <w:r w:rsidRPr="00037AD4">
              <w:t>/cut3</w:t>
            </w:r>
          </w:p>
        </w:tc>
        <w:tc>
          <w:tcPr>
            <w:tcW w:w="713" w:type="pct"/>
            <w:tcBorders>
              <w:top w:val="nil"/>
              <w:left w:val="nil"/>
              <w:bottom w:val="nil"/>
              <w:right w:val="nil"/>
            </w:tcBorders>
          </w:tcPr>
          <w:p w14:paraId="328371E8" w14:textId="77777777" w:rsidR="00B54D51" w:rsidRPr="00037AD4" w:rsidRDefault="00B54D51" w:rsidP="00401C67">
            <w:pPr>
              <w:widowControl w:val="0"/>
              <w:autoSpaceDE w:val="0"/>
              <w:autoSpaceDN w:val="0"/>
              <w:adjustRightInd w:val="0"/>
              <w:jc w:val="center"/>
            </w:pPr>
            <w:r w:rsidRPr="00037AD4">
              <w:t>4.205***</w:t>
            </w:r>
          </w:p>
        </w:tc>
        <w:tc>
          <w:tcPr>
            <w:tcW w:w="670" w:type="pct"/>
            <w:tcBorders>
              <w:top w:val="nil"/>
              <w:left w:val="nil"/>
              <w:bottom w:val="nil"/>
              <w:right w:val="nil"/>
            </w:tcBorders>
          </w:tcPr>
          <w:p w14:paraId="77B5A546" w14:textId="77777777" w:rsidR="00B54D51" w:rsidRPr="00037AD4" w:rsidRDefault="00B54D51" w:rsidP="00401C67">
            <w:pPr>
              <w:widowControl w:val="0"/>
              <w:autoSpaceDE w:val="0"/>
              <w:autoSpaceDN w:val="0"/>
              <w:adjustRightInd w:val="0"/>
              <w:jc w:val="center"/>
            </w:pPr>
            <w:r w:rsidRPr="00037AD4">
              <w:t>3.642***</w:t>
            </w:r>
          </w:p>
        </w:tc>
        <w:tc>
          <w:tcPr>
            <w:tcW w:w="670" w:type="pct"/>
            <w:tcBorders>
              <w:top w:val="nil"/>
              <w:left w:val="nil"/>
              <w:bottom w:val="nil"/>
              <w:right w:val="nil"/>
            </w:tcBorders>
          </w:tcPr>
          <w:p w14:paraId="0E926006" w14:textId="77777777" w:rsidR="00B54D51" w:rsidRPr="00037AD4" w:rsidRDefault="00B54D51" w:rsidP="00401C67">
            <w:pPr>
              <w:widowControl w:val="0"/>
              <w:autoSpaceDE w:val="0"/>
              <w:autoSpaceDN w:val="0"/>
              <w:adjustRightInd w:val="0"/>
              <w:jc w:val="center"/>
            </w:pPr>
            <w:r w:rsidRPr="00037AD4">
              <w:t>3.938***</w:t>
            </w:r>
          </w:p>
        </w:tc>
        <w:tc>
          <w:tcPr>
            <w:tcW w:w="670" w:type="pct"/>
            <w:tcBorders>
              <w:top w:val="nil"/>
              <w:left w:val="nil"/>
              <w:bottom w:val="nil"/>
              <w:right w:val="nil"/>
            </w:tcBorders>
          </w:tcPr>
          <w:p w14:paraId="207A87BF" w14:textId="77777777" w:rsidR="00B54D51" w:rsidRPr="00037AD4" w:rsidRDefault="00B54D51" w:rsidP="00401C67">
            <w:pPr>
              <w:widowControl w:val="0"/>
              <w:autoSpaceDE w:val="0"/>
              <w:autoSpaceDN w:val="0"/>
              <w:adjustRightInd w:val="0"/>
              <w:jc w:val="center"/>
            </w:pPr>
            <w:r w:rsidRPr="00037AD4">
              <w:t>3.748***</w:t>
            </w:r>
          </w:p>
        </w:tc>
        <w:tc>
          <w:tcPr>
            <w:tcW w:w="670" w:type="pct"/>
            <w:tcBorders>
              <w:top w:val="nil"/>
              <w:left w:val="nil"/>
              <w:bottom w:val="nil"/>
              <w:right w:val="nil"/>
            </w:tcBorders>
          </w:tcPr>
          <w:p w14:paraId="17B65B65" w14:textId="77777777" w:rsidR="00B54D51" w:rsidRPr="00037AD4" w:rsidRDefault="00B54D51" w:rsidP="00401C67">
            <w:pPr>
              <w:widowControl w:val="0"/>
              <w:autoSpaceDE w:val="0"/>
              <w:autoSpaceDN w:val="0"/>
              <w:adjustRightInd w:val="0"/>
              <w:jc w:val="center"/>
            </w:pPr>
            <w:r w:rsidRPr="00037AD4">
              <w:t>3.774***</w:t>
            </w:r>
          </w:p>
        </w:tc>
      </w:tr>
      <w:tr w:rsidR="00B54D51" w:rsidRPr="00037AD4" w14:paraId="77C9A515" w14:textId="77777777" w:rsidTr="00401C67">
        <w:trPr>
          <w:jc w:val="center"/>
        </w:trPr>
        <w:tc>
          <w:tcPr>
            <w:tcW w:w="1608" w:type="pct"/>
            <w:tcBorders>
              <w:top w:val="nil"/>
              <w:left w:val="nil"/>
              <w:bottom w:val="nil"/>
              <w:right w:val="nil"/>
            </w:tcBorders>
          </w:tcPr>
          <w:p w14:paraId="391FC201" w14:textId="77777777" w:rsidR="00B54D51" w:rsidRPr="00037AD4" w:rsidRDefault="00B54D51" w:rsidP="00401C67">
            <w:pPr>
              <w:widowControl w:val="0"/>
              <w:autoSpaceDE w:val="0"/>
              <w:autoSpaceDN w:val="0"/>
              <w:adjustRightInd w:val="0"/>
            </w:pPr>
          </w:p>
        </w:tc>
        <w:tc>
          <w:tcPr>
            <w:tcW w:w="713" w:type="pct"/>
            <w:tcBorders>
              <w:top w:val="nil"/>
              <w:left w:val="nil"/>
              <w:bottom w:val="nil"/>
              <w:right w:val="nil"/>
            </w:tcBorders>
          </w:tcPr>
          <w:p w14:paraId="1262623A" w14:textId="77777777" w:rsidR="00B54D51" w:rsidRPr="00037AD4" w:rsidRDefault="00B54D51" w:rsidP="00401C67">
            <w:pPr>
              <w:widowControl w:val="0"/>
              <w:autoSpaceDE w:val="0"/>
              <w:autoSpaceDN w:val="0"/>
              <w:adjustRightInd w:val="0"/>
              <w:jc w:val="center"/>
            </w:pPr>
            <w:r w:rsidRPr="00037AD4">
              <w:t>(2.701 - 5.710)</w:t>
            </w:r>
          </w:p>
        </w:tc>
        <w:tc>
          <w:tcPr>
            <w:tcW w:w="670" w:type="pct"/>
            <w:tcBorders>
              <w:top w:val="nil"/>
              <w:left w:val="nil"/>
              <w:bottom w:val="nil"/>
              <w:right w:val="nil"/>
            </w:tcBorders>
          </w:tcPr>
          <w:p w14:paraId="635F17F2" w14:textId="77777777" w:rsidR="00B54D51" w:rsidRPr="00037AD4" w:rsidRDefault="00B54D51" w:rsidP="00401C67">
            <w:pPr>
              <w:widowControl w:val="0"/>
              <w:autoSpaceDE w:val="0"/>
              <w:autoSpaceDN w:val="0"/>
              <w:adjustRightInd w:val="0"/>
              <w:jc w:val="center"/>
            </w:pPr>
            <w:r w:rsidRPr="00037AD4">
              <w:t>(2.568 - 4.717)</w:t>
            </w:r>
          </w:p>
        </w:tc>
        <w:tc>
          <w:tcPr>
            <w:tcW w:w="670" w:type="pct"/>
            <w:tcBorders>
              <w:top w:val="nil"/>
              <w:left w:val="nil"/>
              <w:bottom w:val="nil"/>
              <w:right w:val="nil"/>
            </w:tcBorders>
          </w:tcPr>
          <w:p w14:paraId="522686B0" w14:textId="77777777" w:rsidR="00B54D51" w:rsidRPr="00037AD4" w:rsidRDefault="00B54D51" w:rsidP="00401C67">
            <w:pPr>
              <w:widowControl w:val="0"/>
              <w:autoSpaceDE w:val="0"/>
              <w:autoSpaceDN w:val="0"/>
              <w:adjustRightInd w:val="0"/>
              <w:jc w:val="center"/>
            </w:pPr>
            <w:r w:rsidRPr="00037AD4">
              <w:t>(2.940 - 4.937)</w:t>
            </w:r>
          </w:p>
        </w:tc>
        <w:tc>
          <w:tcPr>
            <w:tcW w:w="670" w:type="pct"/>
            <w:tcBorders>
              <w:top w:val="nil"/>
              <w:left w:val="nil"/>
              <w:bottom w:val="nil"/>
              <w:right w:val="nil"/>
            </w:tcBorders>
          </w:tcPr>
          <w:p w14:paraId="2B09FDBB" w14:textId="77777777" w:rsidR="00B54D51" w:rsidRPr="00037AD4" w:rsidRDefault="00B54D51" w:rsidP="00401C67">
            <w:pPr>
              <w:widowControl w:val="0"/>
              <w:autoSpaceDE w:val="0"/>
              <w:autoSpaceDN w:val="0"/>
              <w:adjustRightInd w:val="0"/>
              <w:jc w:val="center"/>
            </w:pPr>
            <w:r w:rsidRPr="00037AD4">
              <w:t>(2.762 - 4.735)</w:t>
            </w:r>
          </w:p>
        </w:tc>
        <w:tc>
          <w:tcPr>
            <w:tcW w:w="670" w:type="pct"/>
            <w:tcBorders>
              <w:top w:val="nil"/>
              <w:left w:val="nil"/>
              <w:bottom w:val="nil"/>
              <w:right w:val="nil"/>
            </w:tcBorders>
          </w:tcPr>
          <w:p w14:paraId="3957C913" w14:textId="77777777" w:rsidR="00B54D51" w:rsidRPr="00037AD4" w:rsidRDefault="00B54D51" w:rsidP="00401C67">
            <w:pPr>
              <w:widowControl w:val="0"/>
              <w:autoSpaceDE w:val="0"/>
              <w:autoSpaceDN w:val="0"/>
              <w:adjustRightInd w:val="0"/>
              <w:jc w:val="center"/>
            </w:pPr>
            <w:r w:rsidRPr="00037AD4">
              <w:t>(2.801 - 4.746)</w:t>
            </w:r>
          </w:p>
        </w:tc>
      </w:tr>
      <w:tr w:rsidR="00B54D51" w:rsidRPr="00037AD4" w14:paraId="0056F30D" w14:textId="77777777" w:rsidTr="00401C67">
        <w:trPr>
          <w:jc w:val="center"/>
        </w:trPr>
        <w:tc>
          <w:tcPr>
            <w:tcW w:w="1608" w:type="pct"/>
            <w:tcBorders>
              <w:top w:val="nil"/>
              <w:left w:val="nil"/>
              <w:bottom w:val="nil"/>
              <w:right w:val="nil"/>
            </w:tcBorders>
          </w:tcPr>
          <w:p w14:paraId="0DCF05E7" w14:textId="77777777" w:rsidR="00B54D51" w:rsidRPr="00037AD4" w:rsidRDefault="00B54D51" w:rsidP="00401C67">
            <w:pPr>
              <w:widowControl w:val="0"/>
              <w:autoSpaceDE w:val="0"/>
              <w:autoSpaceDN w:val="0"/>
              <w:adjustRightInd w:val="0"/>
            </w:pPr>
            <w:r w:rsidRPr="00037AD4">
              <w:t>/cut4</w:t>
            </w:r>
          </w:p>
        </w:tc>
        <w:tc>
          <w:tcPr>
            <w:tcW w:w="713" w:type="pct"/>
            <w:tcBorders>
              <w:top w:val="nil"/>
              <w:left w:val="nil"/>
              <w:bottom w:val="nil"/>
              <w:right w:val="nil"/>
            </w:tcBorders>
          </w:tcPr>
          <w:p w14:paraId="5A22185A" w14:textId="77777777" w:rsidR="00B54D51" w:rsidRPr="00037AD4" w:rsidRDefault="00B54D51" w:rsidP="00401C67">
            <w:pPr>
              <w:widowControl w:val="0"/>
              <w:autoSpaceDE w:val="0"/>
              <w:autoSpaceDN w:val="0"/>
              <w:adjustRightInd w:val="0"/>
              <w:jc w:val="center"/>
            </w:pPr>
            <w:r w:rsidRPr="00037AD4">
              <w:t>5.091***</w:t>
            </w:r>
          </w:p>
        </w:tc>
        <w:tc>
          <w:tcPr>
            <w:tcW w:w="670" w:type="pct"/>
            <w:tcBorders>
              <w:top w:val="nil"/>
              <w:left w:val="nil"/>
              <w:bottom w:val="nil"/>
              <w:right w:val="nil"/>
            </w:tcBorders>
          </w:tcPr>
          <w:p w14:paraId="690D1FB1" w14:textId="77777777" w:rsidR="00B54D51" w:rsidRPr="00037AD4" w:rsidRDefault="00B54D51" w:rsidP="00401C67">
            <w:pPr>
              <w:widowControl w:val="0"/>
              <w:autoSpaceDE w:val="0"/>
              <w:autoSpaceDN w:val="0"/>
              <w:adjustRightInd w:val="0"/>
              <w:jc w:val="center"/>
            </w:pPr>
            <w:r w:rsidRPr="00037AD4">
              <w:t>4.549***</w:t>
            </w:r>
          </w:p>
        </w:tc>
        <w:tc>
          <w:tcPr>
            <w:tcW w:w="670" w:type="pct"/>
            <w:tcBorders>
              <w:top w:val="nil"/>
              <w:left w:val="nil"/>
              <w:bottom w:val="nil"/>
              <w:right w:val="nil"/>
            </w:tcBorders>
          </w:tcPr>
          <w:p w14:paraId="3785B1D4" w14:textId="77777777" w:rsidR="00B54D51" w:rsidRPr="00037AD4" w:rsidRDefault="00B54D51" w:rsidP="00401C67">
            <w:pPr>
              <w:widowControl w:val="0"/>
              <w:autoSpaceDE w:val="0"/>
              <w:autoSpaceDN w:val="0"/>
              <w:adjustRightInd w:val="0"/>
              <w:jc w:val="center"/>
            </w:pPr>
            <w:r w:rsidRPr="00037AD4">
              <w:t>4.840***</w:t>
            </w:r>
          </w:p>
        </w:tc>
        <w:tc>
          <w:tcPr>
            <w:tcW w:w="670" w:type="pct"/>
            <w:tcBorders>
              <w:top w:val="nil"/>
              <w:left w:val="nil"/>
              <w:bottom w:val="nil"/>
              <w:right w:val="nil"/>
            </w:tcBorders>
          </w:tcPr>
          <w:p w14:paraId="1F03D468" w14:textId="77777777" w:rsidR="00B54D51" w:rsidRPr="00037AD4" w:rsidRDefault="00B54D51" w:rsidP="00401C67">
            <w:pPr>
              <w:widowControl w:val="0"/>
              <w:autoSpaceDE w:val="0"/>
              <w:autoSpaceDN w:val="0"/>
              <w:adjustRightInd w:val="0"/>
              <w:jc w:val="center"/>
            </w:pPr>
            <w:r w:rsidRPr="00037AD4">
              <w:t>4.663***</w:t>
            </w:r>
          </w:p>
        </w:tc>
        <w:tc>
          <w:tcPr>
            <w:tcW w:w="670" w:type="pct"/>
            <w:tcBorders>
              <w:top w:val="nil"/>
              <w:left w:val="nil"/>
              <w:bottom w:val="nil"/>
              <w:right w:val="nil"/>
            </w:tcBorders>
          </w:tcPr>
          <w:p w14:paraId="70F84AB5" w14:textId="77777777" w:rsidR="00B54D51" w:rsidRPr="00037AD4" w:rsidRDefault="00B54D51" w:rsidP="00401C67">
            <w:pPr>
              <w:widowControl w:val="0"/>
              <w:autoSpaceDE w:val="0"/>
              <w:autoSpaceDN w:val="0"/>
              <w:adjustRightInd w:val="0"/>
              <w:jc w:val="center"/>
            </w:pPr>
            <w:r w:rsidRPr="00037AD4">
              <w:t>4.590***</w:t>
            </w:r>
          </w:p>
        </w:tc>
      </w:tr>
      <w:tr w:rsidR="00B54D51" w:rsidRPr="00037AD4" w14:paraId="11A2EC87" w14:textId="77777777" w:rsidTr="00401C67">
        <w:trPr>
          <w:jc w:val="center"/>
        </w:trPr>
        <w:tc>
          <w:tcPr>
            <w:tcW w:w="1608" w:type="pct"/>
            <w:tcBorders>
              <w:top w:val="nil"/>
              <w:left w:val="nil"/>
              <w:bottom w:val="nil"/>
              <w:right w:val="nil"/>
            </w:tcBorders>
          </w:tcPr>
          <w:p w14:paraId="22B6DF6A" w14:textId="77777777" w:rsidR="00B54D51" w:rsidRPr="00037AD4" w:rsidRDefault="00B54D51" w:rsidP="00401C67">
            <w:pPr>
              <w:widowControl w:val="0"/>
              <w:autoSpaceDE w:val="0"/>
              <w:autoSpaceDN w:val="0"/>
              <w:adjustRightInd w:val="0"/>
            </w:pPr>
          </w:p>
        </w:tc>
        <w:tc>
          <w:tcPr>
            <w:tcW w:w="713" w:type="pct"/>
            <w:tcBorders>
              <w:top w:val="nil"/>
              <w:left w:val="nil"/>
              <w:bottom w:val="nil"/>
              <w:right w:val="nil"/>
            </w:tcBorders>
          </w:tcPr>
          <w:p w14:paraId="5CA5A6FF" w14:textId="77777777" w:rsidR="00B54D51" w:rsidRPr="00037AD4" w:rsidRDefault="00B54D51" w:rsidP="00401C67">
            <w:pPr>
              <w:widowControl w:val="0"/>
              <w:autoSpaceDE w:val="0"/>
              <w:autoSpaceDN w:val="0"/>
              <w:adjustRightInd w:val="0"/>
              <w:jc w:val="center"/>
            </w:pPr>
            <w:r w:rsidRPr="00037AD4">
              <w:t>(3.574 - 6.608)</w:t>
            </w:r>
          </w:p>
        </w:tc>
        <w:tc>
          <w:tcPr>
            <w:tcW w:w="670" w:type="pct"/>
            <w:tcBorders>
              <w:top w:val="nil"/>
              <w:left w:val="nil"/>
              <w:bottom w:val="nil"/>
              <w:right w:val="nil"/>
            </w:tcBorders>
          </w:tcPr>
          <w:p w14:paraId="5A04636B" w14:textId="77777777" w:rsidR="00B54D51" w:rsidRPr="00037AD4" w:rsidRDefault="00B54D51" w:rsidP="00401C67">
            <w:pPr>
              <w:widowControl w:val="0"/>
              <w:autoSpaceDE w:val="0"/>
              <w:autoSpaceDN w:val="0"/>
              <w:adjustRightInd w:val="0"/>
              <w:jc w:val="center"/>
            </w:pPr>
            <w:r w:rsidRPr="00037AD4">
              <w:t>(3.471 - 5.627)</w:t>
            </w:r>
          </w:p>
        </w:tc>
        <w:tc>
          <w:tcPr>
            <w:tcW w:w="670" w:type="pct"/>
            <w:tcBorders>
              <w:top w:val="nil"/>
              <w:left w:val="nil"/>
              <w:bottom w:val="nil"/>
              <w:right w:val="nil"/>
            </w:tcBorders>
          </w:tcPr>
          <w:p w14:paraId="7566F774" w14:textId="77777777" w:rsidR="00B54D51" w:rsidRPr="00037AD4" w:rsidRDefault="00B54D51" w:rsidP="00401C67">
            <w:pPr>
              <w:widowControl w:val="0"/>
              <w:autoSpaceDE w:val="0"/>
              <w:autoSpaceDN w:val="0"/>
              <w:adjustRightInd w:val="0"/>
              <w:jc w:val="center"/>
            </w:pPr>
            <w:r w:rsidRPr="00037AD4">
              <w:t>(3.826 - 5.854)</w:t>
            </w:r>
          </w:p>
        </w:tc>
        <w:tc>
          <w:tcPr>
            <w:tcW w:w="670" w:type="pct"/>
            <w:tcBorders>
              <w:top w:val="nil"/>
              <w:left w:val="nil"/>
              <w:bottom w:val="nil"/>
              <w:right w:val="nil"/>
            </w:tcBorders>
          </w:tcPr>
          <w:p w14:paraId="0A301973" w14:textId="77777777" w:rsidR="00B54D51" w:rsidRPr="00037AD4" w:rsidRDefault="00B54D51" w:rsidP="00401C67">
            <w:pPr>
              <w:widowControl w:val="0"/>
              <w:autoSpaceDE w:val="0"/>
              <w:autoSpaceDN w:val="0"/>
              <w:adjustRightInd w:val="0"/>
              <w:jc w:val="center"/>
            </w:pPr>
            <w:r w:rsidRPr="00037AD4">
              <w:t>(3.662 - 5.664)</w:t>
            </w:r>
          </w:p>
        </w:tc>
        <w:tc>
          <w:tcPr>
            <w:tcW w:w="670" w:type="pct"/>
            <w:tcBorders>
              <w:top w:val="nil"/>
              <w:left w:val="nil"/>
              <w:bottom w:val="nil"/>
              <w:right w:val="nil"/>
            </w:tcBorders>
          </w:tcPr>
          <w:p w14:paraId="724D1170" w14:textId="77777777" w:rsidR="00B54D51" w:rsidRPr="00037AD4" w:rsidRDefault="00B54D51" w:rsidP="00401C67">
            <w:pPr>
              <w:widowControl w:val="0"/>
              <w:autoSpaceDE w:val="0"/>
              <w:autoSpaceDN w:val="0"/>
              <w:adjustRightInd w:val="0"/>
              <w:jc w:val="center"/>
            </w:pPr>
            <w:r w:rsidRPr="00037AD4">
              <w:t>(3.606 - 5.573)</w:t>
            </w:r>
          </w:p>
        </w:tc>
      </w:tr>
      <w:tr w:rsidR="00B54D51" w:rsidRPr="00037AD4" w14:paraId="5BB4A5E6" w14:textId="77777777" w:rsidTr="00401C67">
        <w:trPr>
          <w:jc w:val="center"/>
        </w:trPr>
        <w:tc>
          <w:tcPr>
            <w:tcW w:w="1608" w:type="pct"/>
            <w:tcBorders>
              <w:top w:val="nil"/>
              <w:left w:val="nil"/>
              <w:bottom w:val="nil"/>
              <w:right w:val="nil"/>
            </w:tcBorders>
          </w:tcPr>
          <w:p w14:paraId="3258ADD1" w14:textId="77777777" w:rsidR="00B54D51" w:rsidRPr="00037AD4" w:rsidRDefault="00B54D51" w:rsidP="00401C67">
            <w:pPr>
              <w:widowControl w:val="0"/>
              <w:autoSpaceDE w:val="0"/>
              <w:autoSpaceDN w:val="0"/>
              <w:adjustRightInd w:val="0"/>
            </w:pPr>
            <w:r w:rsidRPr="00037AD4">
              <w:t>2.merg_eq4RP</w:t>
            </w:r>
          </w:p>
        </w:tc>
        <w:tc>
          <w:tcPr>
            <w:tcW w:w="713" w:type="pct"/>
            <w:tcBorders>
              <w:top w:val="nil"/>
              <w:left w:val="nil"/>
              <w:bottom w:val="nil"/>
              <w:right w:val="nil"/>
            </w:tcBorders>
          </w:tcPr>
          <w:p w14:paraId="0F10FC4D"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19ABD37E"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6FDD411E"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16180C85"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33A4FE18" w14:textId="77777777" w:rsidR="00B54D51" w:rsidRPr="00037AD4" w:rsidRDefault="00B54D51" w:rsidP="00401C67">
            <w:pPr>
              <w:widowControl w:val="0"/>
              <w:autoSpaceDE w:val="0"/>
              <w:autoSpaceDN w:val="0"/>
              <w:adjustRightInd w:val="0"/>
              <w:jc w:val="center"/>
            </w:pPr>
            <w:r w:rsidRPr="00037AD4">
              <w:t>0.394***</w:t>
            </w:r>
          </w:p>
        </w:tc>
      </w:tr>
      <w:tr w:rsidR="00B54D51" w:rsidRPr="00037AD4" w14:paraId="428AFA61" w14:textId="77777777" w:rsidTr="00401C67">
        <w:trPr>
          <w:jc w:val="center"/>
        </w:trPr>
        <w:tc>
          <w:tcPr>
            <w:tcW w:w="1608" w:type="pct"/>
            <w:tcBorders>
              <w:top w:val="nil"/>
              <w:left w:val="nil"/>
              <w:bottom w:val="nil"/>
              <w:right w:val="nil"/>
            </w:tcBorders>
          </w:tcPr>
          <w:p w14:paraId="3C4D57D3" w14:textId="77777777" w:rsidR="00B54D51" w:rsidRPr="00037AD4" w:rsidRDefault="00B54D51" w:rsidP="00401C67">
            <w:pPr>
              <w:widowControl w:val="0"/>
              <w:autoSpaceDE w:val="0"/>
              <w:autoSpaceDN w:val="0"/>
              <w:adjustRightInd w:val="0"/>
            </w:pPr>
          </w:p>
        </w:tc>
        <w:tc>
          <w:tcPr>
            <w:tcW w:w="713" w:type="pct"/>
            <w:tcBorders>
              <w:top w:val="nil"/>
              <w:left w:val="nil"/>
              <w:bottom w:val="nil"/>
              <w:right w:val="nil"/>
            </w:tcBorders>
          </w:tcPr>
          <w:p w14:paraId="7E2F095F"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6D878BE7"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040F09A5"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4FF1A1A2"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03D2A184" w14:textId="77777777" w:rsidR="00B54D51" w:rsidRPr="00037AD4" w:rsidRDefault="00B54D51" w:rsidP="00401C67">
            <w:pPr>
              <w:widowControl w:val="0"/>
              <w:autoSpaceDE w:val="0"/>
              <w:autoSpaceDN w:val="0"/>
              <w:adjustRightInd w:val="0"/>
              <w:jc w:val="center"/>
            </w:pPr>
            <w:r w:rsidRPr="00037AD4">
              <w:t>(0.204 - 0.583)</w:t>
            </w:r>
          </w:p>
        </w:tc>
      </w:tr>
      <w:tr w:rsidR="00B54D51" w:rsidRPr="00037AD4" w14:paraId="14DE7A53" w14:textId="77777777" w:rsidTr="00401C67">
        <w:trPr>
          <w:jc w:val="center"/>
        </w:trPr>
        <w:tc>
          <w:tcPr>
            <w:tcW w:w="1608" w:type="pct"/>
            <w:tcBorders>
              <w:top w:val="nil"/>
              <w:left w:val="nil"/>
              <w:bottom w:val="nil"/>
              <w:right w:val="nil"/>
            </w:tcBorders>
          </w:tcPr>
          <w:p w14:paraId="68B42245" w14:textId="77777777" w:rsidR="00B54D51" w:rsidRPr="00037AD4" w:rsidRDefault="00B54D51" w:rsidP="00401C67">
            <w:pPr>
              <w:widowControl w:val="0"/>
              <w:autoSpaceDE w:val="0"/>
              <w:autoSpaceDN w:val="0"/>
              <w:adjustRightInd w:val="0"/>
            </w:pPr>
            <w:r w:rsidRPr="00037AD4">
              <w:t>3.merg_eq4RP</w:t>
            </w:r>
          </w:p>
        </w:tc>
        <w:tc>
          <w:tcPr>
            <w:tcW w:w="713" w:type="pct"/>
            <w:tcBorders>
              <w:top w:val="nil"/>
              <w:left w:val="nil"/>
              <w:bottom w:val="nil"/>
              <w:right w:val="nil"/>
            </w:tcBorders>
          </w:tcPr>
          <w:p w14:paraId="61939266"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75642B04"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1ED34219"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299B867C"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4E830EE0" w14:textId="77777777" w:rsidR="00B54D51" w:rsidRPr="00037AD4" w:rsidRDefault="00B54D51" w:rsidP="00401C67">
            <w:pPr>
              <w:widowControl w:val="0"/>
              <w:autoSpaceDE w:val="0"/>
              <w:autoSpaceDN w:val="0"/>
              <w:adjustRightInd w:val="0"/>
              <w:jc w:val="center"/>
            </w:pPr>
            <w:r w:rsidRPr="00037AD4">
              <w:t>0.660***</w:t>
            </w:r>
          </w:p>
        </w:tc>
      </w:tr>
      <w:tr w:rsidR="00B54D51" w:rsidRPr="00037AD4" w14:paraId="193504E3" w14:textId="77777777" w:rsidTr="00401C67">
        <w:trPr>
          <w:jc w:val="center"/>
        </w:trPr>
        <w:tc>
          <w:tcPr>
            <w:tcW w:w="1608" w:type="pct"/>
            <w:tcBorders>
              <w:top w:val="nil"/>
              <w:left w:val="nil"/>
              <w:bottom w:val="nil"/>
              <w:right w:val="nil"/>
            </w:tcBorders>
          </w:tcPr>
          <w:p w14:paraId="3607788D" w14:textId="77777777" w:rsidR="00B54D51" w:rsidRPr="00037AD4" w:rsidRDefault="00B54D51" w:rsidP="00401C67">
            <w:pPr>
              <w:widowControl w:val="0"/>
              <w:autoSpaceDE w:val="0"/>
              <w:autoSpaceDN w:val="0"/>
              <w:adjustRightInd w:val="0"/>
            </w:pPr>
          </w:p>
        </w:tc>
        <w:tc>
          <w:tcPr>
            <w:tcW w:w="713" w:type="pct"/>
            <w:tcBorders>
              <w:top w:val="nil"/>
              <w:left w:val="nil"/>
              <w:bottom w:val="nil"/>
              <w:right w:val="nil"/>
            </w:tcBorders>
          </w:tcPr>
          <w:p w14:paraId="57A88E1E"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7860E704"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388B87A7"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5BDFED9B"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38AB2847" w14:textId="77777777" w:rsidR="00B54D51" w:rsidRPr="00037AD4" w:rsidRDefault="00B54D51" w:rsidP="00401C67">
            <w:pPr>
              <w:widowControl w:val="0"/>
              <w:autoSpaceDE w:val="0"/>
              <w:autoSpaceDN w:val="0"/>
              <w:adjustRightInd w:val="0"/>
              <w:jc w:val="center"/>
            </w:pPr>
            <w:r w:rsidRPr="00037AD4">
              <w:t>(0.452 - 0.867)</w:t>
            </w:r>
          </w:p>
        </w:tc>
      </w:tr>
      <w:tr w:rsidR="00B54D51" w:rsidRPr="00037AD4" w14:paraId="1C69E077" w14:textId="77777777" w:rsidTr="00401C67">
        <w:trPr>
          <w:jc w:val="center"/>
        </w:trPr>
        <w:tc>
          <w:tcPr>
            <w:tcW w:w="1608" w:type="pct"/>
            <w:tcBorders>
              <w:top w:val="nil"/>
              <w:left w:val="nil"/>
              <w:bottom w:val="nil"/>
              <w:right w:val="nil"/>
            </w:tcBorders>
          </w:tcPr>
          <w:p w14:paraId="22092AD2" w14:textId="77777777" w:rsidR="00B54D51" w:rsidRPr="00037AD4" w:rsidRDefault="00B54D51" w:rsidP="00401C67">
            <w:pPr>
              <w:widowControl w:val="0"/>
              <w:autoSpaceDE w:val="0"/>
              <w:autoSpaceDN w:val="0"/>
              <w:adjustRightInd w:val="0"/>
            </w:pPr>
            <w:r w:rsidRPr="00037AD4">
              <w:t>4.merg_eq4RP</w:t>
            </w:r>
          </w:p>
        </w:tc>
        <w:tc>
          <w:tcPr>
            <w:tcW w:w="713" w:type="pct"/>
            <w:tcBorders>
              <w:top w:val="nil"/>
              <w:left w:val="nil"/>
              <w:bottom w:val="nil"/>
              <w:right w:val="nil"/>
            </w:tcBorders>
          </w:tcPr>
          <w:p w14:paraId="54BC7029"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5C27C5BC"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7CD9AC43"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45B286EB"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6CEEB385" w14:textId="77777777" w:rsidR="00B54D51" w:rsidRPr="00037AD4" w:rsidRDefault="00B54D51" w:rsidP="00401C67">
            <w:pPr>
              <w:widowControl w:val="0"/>
              <w:autoSpaceDE w:val="0"/>
              <w:autoSpaceDN w:val="0"/>
              <w:adjustRightInd w:val="0"/>
              <w:jc w:val="center"/>
            </w:pPr>
            <w:r w:rsidRPr="00037AD4">
              <w:t>0.591***</w:t>
            </w:r>
          </w:p>
        </w:tc>
      </w:tr>
      <w:tr w:rsidR="00B54D51" w:rsidRPr="00037AD4" w14:paraId="064C8589" w14:textId="77777777" w:rsidTr="00401C67">
        <w:trPr>
          <w:jc w:val="center"/>
        </w:trPr>
        <w:tc>
          <w:tcPr>
            <w:tcW w:w="1608" w:type="pct"/>
            <w:tcBorders>
              <w:top w:val="nil"/>
              <w:left w:val="nil"/>
              <w:bottom w:val="nil"/>
              <w:right w:val="nil"/>
            </w:tcBorders>
          </w:tcPr>
          <w:p w14:paraId="24D5057B" w14:textId="77777777" w:rsidR="00B54D51" w:rsidRPr="00037AD4" w:rsidRDefault="00B54D51" w:rsidP="00401C67">
            <w:pPr>
              <w:widowControl w:val="0"/>
              <w:autoSpaceDE w:val="0"/>
              <w:autoSpaceDN w:val="0"/>
              <w:adjustRightInd w:val="0"/>
            </w:pPr>
          </w:p>
        </w:tc>
        <w:tc>
          <w:tcPr>
            <w:tcW w:w="713" w:type="pct"/>
            <w:tcBorders>
              <w:top w:val="nil"/>
              <w:left w:val="nil"/>
              <w:bottom w:val="nil"/>
              <w:right w:val="nil"/>
            </w:tcBorders>
          </w:tcPr>
          <w:p w14:paraId="1B4007C4"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0276BA01"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1FCA7D00"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362A2B2A"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0AC6C3A7" w14:textId="77777777" w:rsidR="00B54D51" w:rsidRPr="00037AD4" w:rsidRDefault="00B54D51" w:rsidP="00401C67">
            <w:pPr>
              <w:widowControl w:val="0"/>
              <w:autoSpaceDE w:val="0"/>
              <w:autoSpaceDN w:val="0"/>
              <w:adjustRightInd w:val="0"/>
              <w:jc w:val="center"/>
            </w:pPr>
            <w:r w:rsidRPr="00037AD4">
              <w:t>(0.262 - 0.919)</w:t>
            </w:r>
          </w:p>
        </w:tc>
      </w:tr>
      <w:tr w:rsidR="00B54D51" w:rsidRPr="00037AD4" w14:paraId="0C04CD5D" w14:textId="77777777" w:rsidTr="00401C67">
        <w:trPr>
          <w:jc w:val="center"/>
        </w:trPr>
        <w:tc>
          <w:tcPr>
            <w:tcW w:w="1608" w:type="pct"/>
            <w:tcBorders>
              <w:top w:val="nil"/>
              <w:left w:val="nil"/>
              <w:bottom w:val="nil"/>
              <w:right w:val="nil"/>
            </w:tcBorders>
          </w:tcPr>
          <w:p w14:paraId="40AB7E29" w14:textId="77777777" w:rsidR="00B54D51" w:rsidRPr="00037AD4" w:rsidRDefault="00B54D51" w:rsidP="00401C67">
            <w:pPr>
              <w:widowControl w:val="0"/>
              <w:autoSpaceDE w:val="0"/>
              <w:autoSpaceDN w:val="0"/>
              <w:adjustRightInd w:val="0"/>
            </w:pPr>
          </w:p>
        </w:tc>
        <w:tc>
          <w:tcPr>
            <w:tcW w:w="713" w:type="pct"/>
            <w:tcBorders>
              <w:top w:val="nil"/>
              <w:left w:val="nil"/>
              <w:bottom w:val="nil"/>
              <w:right w:val="nil"/>
            </w:tcBorders>
          </w:tcPr>
          <w:p w14:paraId="0E13B6E0"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255B69E5"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3EFA4AB6"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2310FDC3" w14:textId="77777777" w:rsidR="00B54D51" w:rsidRPr="00037AD4" w:rsidRDefault="00B54D51" w:rsidP="00401C67">
            <w:pPr>
              <w:widowControl w:val="0"/>
              <w:autoSpaceDE w:val="0"/>
              <w:autoSpaceDN w:val="0"/>
              <w:adjustRightInd w:val="0"/>
              <w:jc w:val="center"/>
            </w:pPr>
          </w:p>
        </w:tc>
        <w:tc>
          <w:tcPr>
            <w:tcW w:w="670" w:type="pct"/>
            <w:tcBorders>
              <w:top w:val="nil"/>
              <w:left w:val="nil"/>
              <w:bottom w:val="nil"/>
              <w:right w:val="nil"/>
            </w:tcBorders>
          </w:tcPr>
          <w:p w14:paraId="5DE3ECEB" w14:textId="77777777" w:rsidR="00B54D51" w:rsidRPr="00037AD4" w:rsidRDefault="00B54D51" w:rsidP="00401C67">
            <w:pPr>
              <w:widowControl w:val="0"/>
              <w:autoSpaceDE w:val="0"/>
              <w:autoSpaceDN w:val="0"/>
              <w:adjustRightInd w:val="0"/>
              <w:jc w:val="center"/>
            </w:pPr>
          </w:p>
        </w:tc>
      </w:tr>
      <w:tr w:rsidR="00B54D51" w:rsidRPr="00037AD4" w14:paraId="28C806AF" w14:textId="77777777" w:rsidTr="00401C67">
        <w:tblPrEx>
          <w:tblBorders>
            <w:bottom w:val="single" w:sz="6" w:space="0" w:color="auto"/>
          </w:tblBorders>
        </w:tblPrEx>
        <w:trPr>
          <w:jc w:val="center"/>
        </w:trPr>
        <w:tc>
          <w:tcPr>
            <w:tcW w:w="1608" w:type="pct"/>
            <w:tcBorders>
              <w:top w:val="nil"/>
              <w:left w:val="nil"/>
              <w:bottom w:val="nil"/>
              <w:right w:val="nil"/>
            </w:tcBorders>
          </w:tcPr>
          <w:p w14:paraId="2F472208" w14:textId="77777777" w:rsidR="00B54D51" w:rsidRPr="00037AD4" w:rsidRDefault="00B54D51" w:rsidP="00401C67">
            <w:pPr>
              <w:widowControl w:val="0"/>
              <w:autoSpaceDE w:val="0"/>
              <w:autoSpaceDN w:val="0"/>
              <w:adjustRightInd w:val="0"/>
            </w:pPr>
            <w:r w:rsidRPr="00037AD4">
              <w:t>Observations</w:t>
            </w:r>
          </w:p>
        </w:tc>
        <w:tc>
          <w:tcPr>
            <w:tcW w:w="713" w:type="pct"/>
            <w:tcBorders>
              <w:top w:val="nil"/>
              <w:left w:val="nil"/>
              <w:bottom w:val="nil"/>
              <w:right w:val="nil"/>
            </w:tcBorders>
          </w:tcPr>
          <w:p w14:paraId="56F15E0D" w14:textId="77777777" w:rsidR="00B54D51" w:rsidRPr="00037AD4" w:rsidRDefault="00B54D51" w:rsidP="00401C67">
            <w:pPr>
              <w:widowControl w:val="0"/>
              <w:autoSpaceDE w:val="0"/>
              <w:autoSpaceDN w:val="0"/>
              <w:adjustRightInd w:val="0"/>
              <w:jc w:val="center"/>
            </w:pPr>
            <w:r w:rsidRPr="00037AD4">
              <w:t>956</w:t>
            </w:r>
          </w:p>
        </w:tc>
        <w:tc>
          <w:tcPr>
            <w:tcW w:w="670" w:type="pct"/>
            <w:tcBorders>
              <w:top w:val="nil"/>
              <w:left w:val="nil"/>
              <w:bottom w:val="nil"/>
              <w:right w:val="nil"/>
            </w:tcBorders>
          </w:tcPr>
          <w:p w14:paraId="04B20E10" w14:textId="77777777" w:rsidR="00B54D51" w:rsidRPr="00037AD4" w:rsidRDefault="00B54D51" w:rsidP="00401C67">
            <w:pPr>
              <w:widowControl w:val="0"/>
              <w:autoSpaceDE w:val="0"/>
              <w:autoSpaceDN w:val="0"/>
              <w:adjustRightInd w:val="0"/>
              <w:jc w:val="center"/>
            </w:pPr>
            <w:r w:rsidRPr="00037AD4">
              <w:t>972</w:t>
            </w:r>
          </w:p>
        </w:tc>
        <w:tc>
          <w:tcPr>
            <w:tcW w:w="670" w:type="pct"/>
            <w:tcBorders>
              <w:top w:val="nil"/>
              <w:left w:val="nil"/>
              <w:bottom w:val="nil"/>
              <w:right w:val="nil"/>
            </w:tcBorders>
          </w:tcPr>
          <w:p w14:paraId="3DD24086" w14:textId="77777777" w:rsidR="00B54D51" w:rsidRPr="00037AD4" w:rsidRDefault="00B54D51" w:rsidP="00401C67">
            <w:pPr>
              <w:widowControl w:val="0"/>
              <w:autoSpaceDE w:val="0"/>
              <w:autoSpaceDN w:val="0"/>
              <w:adjustRightInd w:val="0"/>
              <w:jc w:val="center"/>
            </w:pPr>
            <w:r w:rsidRPr="00037AD4">
              <w:t>1,012</w:t>
            </w:r>
          </w:p>
        </w:tc>
        <w:tc>
          <w:tcPr>
            <w:tcW w:w="670" w:type="pct"/>
            <w:tcBorders>
              <w:top w:val="nil"/>
              <w:left w:val="nil"/>
              <w:bottom w:val="nil"/>
              <w:right w:val="nil"/>
            </w:tcBorders>
          </w:tcPr>
          <w:p w14:paraId="46021DCF" w14:textId="77777777" w:rsidR="00B54D51" w:rsidRPr="00037AD4" w:rsidRDefault="00B54D51" w:rsidP="00401C67">
            <w:pPr>
              <w:widowControl w:val="0"/>
              <w:autoSpaceDE w:val="0"/>
              <w:autoSpaceDN w:val="0"/>
              <w:adjustRightInd w:val="0"/>
              <w:jc w:val="center"/>
            </w:pPr>
            <w:r w:rsidRPr="00037AD4">
              <w:t>1,013</w:t>
            </w:r>
          </w:p>
        </w:tc>
        <w:tc>
          <w:tcPr>
            <w:tcW w:w="670" w:type="pct"/>
            <w:tcBorders>
              <w:top w:val="nil"/>
              <w:left w:val="nil"/>
              <w:bottom w:val="nil"/>
              <w:right w:val="nil"/>
            </w:tcBorders>
          </w:tcPr>
          <w:p w14:paraId="5A3E72D4" w14:textId="77777777" w:rsidR="00B54D51" w:rsidRPr="00037AD4" w:rsidRDefault="00B54D51" w:rsidP="00401C67">
            <w:pPr>
              <w:widowControl w:val="0"/>
              <w:autoSpaceDE w:val="0"/>
              <w:autoSpaceDN w:val="0"/>
              <w:adjustRightInd w:val="0"/>
              <w:jc w:val="center"/>
            </w:pPr>
            <w:r w:rsidRPr="00037AD4">
              <w:t>1,018</w:t>
            </w:r>
          </w:p>
        </w:tc>
      </w:tr>
      <w:tr w:rsidR="00B54D51" w:rsidRPr="00037AD4" w14:paraId="701A35E0" w14:textId="77777777" w:rsidTr="00401C67">
        <w:tblPrEx>
          <w:tblBorders>
            <w:bottom w:val="single" w:sz="6" w:space="0" w:color="auto"/>
          </w:tblBorders>
        </w:tblPrEx>
        <w:trPr>
          <w:jc w:val="center"/>
        </w:trPr>
        <w:tc>
          <w:tcPr>
            <w:tcW w:w="1608" w:type="pct"/>
            <w:tcBorders>
              <w:top w:val="nil"/>
              <w:left w:val="nil"/>
              <w:bottom w:val="nil"/>
              <w:right w:val="nil"/>
            </w:tcBorders>
          </w:tcPr>
          <w:p w14:paraId="1CB52EFC" w14:textId="77777777" w:rsidR="00B54D51" w:rsidRPr="00037AD4" w:rsidRDefault="00B54D51" w:rsidP="00401C67">
            <w:pPr>
              <w:widowControl w:val="0"/>
              <w:autoSpaceDE w:val="0"/>
              <w:autoSpaceDN w:val="0"/>
              <w:adjustRightInd w:val="0"/>
            </w:pPr>
            <w:r w:rsidRPr="00037AD4">
              <w:t>Wald Chi</w:t>
            </w:r>
            <w:r w:rsidRPr="00037AD4">
              <w:rPr>
                <w:vertAlign w:val="superscript"/>
              </w:rPr>
              <w:t>2</w:t>
            </w:r>
          </w:p>
        </w:tc>
        <w:tc>
          <w:tcPr>
            <w:tcW w:w="713" w:type="pct"/>
            <w:tcBorders>
              <w:top w:val="nil"/>
              <w:left w:val="nil"/>
              <w:bottom w:val="nil"/>
              <w:right w:val="nil"/>
            </w:tcBorders>
          </w:tcPr>
          <w:p w14:paraId="6DD830FE" w14:textId="77777777" w:rsidR="00B54D51" w:rsidRPr="00037AD4" w:rsidRDefault="00B54D51" w:rsidP="00401C67">
            <w:pPr>
              <w:widowControl w:val="0"/>
              <w:autoSpaceDE w:val="0"/>
              <w:autoSpaceDN w:val="0"/>
              <w:adjustRightInd w:val="0"/>
              <w:jc w:val="center"/>
            </w:pPr>
            <w:r w:rsidRPr="00037AD4">
              <w:t>235.81</w:t>
            </w:r>
          </w:p>
        </w:tc>
        <w:tc>
          <w:tcPr>
            <w:tcW w:w="670" w:type="pct"/>
            <w:tcBorders>
              <w:top w:val="nil"/>
              <w:left w:val="nil"/>
              <w:bottom w:val="nil"/>
              <w:right w:val="nil"/>
            </w:tcBorders>
          </w:tcPr>
          <w:p w14:paraId="19DC6A00" w14:textId="77777777" w:rsidR="00B54D51" w:rsidRPr="00037AD4" w:rsidRDefault="00B54D51" w:rsidP="00401C67">
            <w:pPr>
              <w:widowControl w:val="0"/>
              <w:autoSpaceDE w:val="0"/>
              <w:autoSpaceDN w:val="0"/>
              <w:adjustRightInd w:val="0"/>
              <w:jc w:val="center"/>
            </w:pPr>
            <w:r w:rsidRPr="00037AD4">
              <w:t>152.15</w:t>
            </w:r>
          </w:p>
        </w:tc>
        <w:tc>
          <w:tcPr>
            <w:tcW w:w="670" w:type="pct"/>
            <w:tcBorders>
              <w:top w:val="nil"/>
              <w:left w:val="nil"/>
              <w:bottom w:val="nil"/>
              <w:right w:val="nil"/>
            </w:tcBorders>
          </w:tcPr>
          <w:p w14:paraId="37DB40DE" w14:textId="77777777" w:rsidR="00B54D51" w:rsidRPr="00037AD4" w:rsidRDefault="00B54D51" w:rsidP="00401C67">
            <w:pPr>
              <w:widowControl w:val="0"/>
              <w:autoSpaceDE w:val="0"/>
              <w:autoSpaceDN w:val="0"/>
              <w:adjustRightInd w:val="0"/>
              <w:jc w:val="center"/>
            </w:pPr>
            <w:r w:rsidRPr="00037AD4">
              <w:t>152.48</w:t>
            </w:r>
          </w:p>
        </w:tc>
        <w:tc>
          <w:tcPr>
            <w:tcW w:w="670" w:type="pct"/>
            <w:tcBorders>
              <w:top w:val="nil"/>
              <w:left w:val="nil"/>
              <w:bottom w:val="nil"/>
              <w:right w:val="nil"/>
            </w:tcBorders>
          </w:tcPr>
          <w:p w14:paraId="71544755" w14:textId="77777777" w:rsidR="00B54D51" w:rsidRPr="00037AD4" w:rsidRDefault="00B54D51" w:rsidP="00401C67">
            <w:pPr>
              <w:widowControl w:val="0"/>
              <w:autoSpaceDE w:val="0"/>
              <w:autoSpaceDN w:val="0"/>
              <w:adjustRightInd w:val="0"/>
              <w:jc w:val="center"/>
            </w:pPr>
            <w:r w:rsidRPr="00037AD4">
              <w:t>142.79</w:t>
            </w:r>
          </w:p>
        </w:tc>
        <w:tc>
          <w:tcPr>
            <w:tcW w:w="670" w:type="pct"/>
            <w:tcBorders>
              <w:top w:val="nil"/>
              <w:left w:val="nil"/>
              <w:bottom w:val="nil"/>
              <w:right w:val="nil"/>
            </w:tcBorders>
          </w:tcPr>
          <w:p w14:paraId="49417B0B" w14:textId="77777777" w:rsidR="00B54D51" w:rsidRPr="00037AD4" w:rsidRDefault="00B54D51" w:rsidP="00401C67">
            <w:pPr>
              <w:widowControl w:val="0"/>
              <w:autoSpaceDE w:val="0"/>
              <w:autoSpaceDN w:val="0"/>
              <w:adjustRightInd w:val="0"/>
              <w:jc w:val="center"/>
            </w:pPr>
            <w:r w:rsidRPr="00037AD4">
              <w:t>56.52</w:t>
            </w:r>
          </w:p>
        </w:tc>
      </w:tr>
      <w:tr w:rsidR="00B54D51" w:rsidRPr="00037AD4" w14:paraId="614B8DBB" w14:textId="77777777" w:rsidTr="00401C67">
        <w:tblPrEx>
          <w:tblBorders>
            <w:bottom w:val="single" w:sz="6" w:space="0" w:color="auto"/>
          </w:tblBorders>
        </w:tblPrEx>
        <w:trPr>
          <w:jc w:val="center"/>
        </w:trPr>
        <w:tc>
          <w:tcPr>
            <w:tcW w:w="1608" w:type="pct"/>
            <w:tcBorders>
              <w:top w:val="nil"/>
              <w:left w:val="nil"/>
              <w:bottom w:val="nil"/>
              <w:right w:val="nil"/>
            </w:tcBorders>
          </w:tcPr>
          <w:p w14:paraId="3891CD42" w14:textId="77777777" w:rsidR="00B54D51" w:rsidRPr="00037AD4" w:rsidRDefault="00B54D51" w:rsidP="00401C67">
            <w:pPr>
              <w:widowControl w:val="0"/>
              <w:autoSpaceDE w:val="0"/>
              <w:autoSpaceDN w:val="0"/>
              <w:adjustRightInd w:val="0"/>
            </w:pPr>
            <w:r w:rsidRPr="00037AD4">
              <w:t>Pseudo Chi</w:t>
            </w:r>
            <w:r w:rsidRPr="00037AD4">
              <w:rPr>
                <w:vertAlign w:val="superscript"/>
              </w:rPr>
              <w:t>2</w:t>
            </w:r>
          </w:p>
        </w:tc>
        <w:tc>
          <w:tcPr>
            <w:tcW w:w="713" w:type="pct"/>
            <w:tcBorders>
              <w:top w:val="nil"/>
              <w:left w:val="nil"/>
              <w:bottom w:val="nil"/>
              <w:right w:val="nil"/>
            </w:tcBorders>
          </w:tcPr>
          <w:p w14:paraId="4C7C329F" w14:textId="77777777" w:rsidR="00B54D51" w:rsidRPr="00037AD4" w:rsidRDefault="00B54D51" w:rsidP="00401C67">
            <w:pPr>
              <w:widowControl w:val="0"/>
              <w:autoSpaceDE w:val="0"/>
              <w:autoSpaceDN w:val="0"/>
              <w:adjustRightInd w:val="0"/>
              <w:jc w:val="center"/>
            </w:pPr>
            <w:r w:rsidRPr="00037AD4">
              <w:t>0.1089</w:t>
            </w:r>
          </w:p>
        </w:tc>
        <w:tc>
          <w:tcPr>
            <w:tcW w:w="670" w:type="pct"/>
            <w:tcBorders>
              <w:top w:val="nil"/>
              <w:left w:val="nil"/>
              <w:bottom w:val="nil"/>
              <w:right w:val="nil"/>
            </w:tcBorders>
          </w:tcPr>
          <w:p w14:paraId="53AEC8D7" w14:textId="77777777" w:rsidR="00B54D51" w:rsidRPr="00037AD4" w:rsidRDefault="00B54D51" w:rsidP="00401C67">
            <w:pPr>
              <w:widowControl w:val="0"/>
              <w:autoSpaceDE w:val="0"/>
              <w:autoSpaceDN w:val="0"/>
              <w:adjustRightInd w:val="0"/>
              <w:jc w:val="center"/>
            </w:pPr>
            <w:r w:rsidRPr="00037AD4">
              <w:t>0.0931</w:t>
            </w:r>
          </w:p>
        </w:tc>
        <w:tc>
          <w:tcPr>
            <w:tcW w:w="670" w:type="pct"/>
            <w:tcBorders>
              <w:top w:val="nil"/>
              <w:left w:val="nil"/>
              <w:bottom w:val="nil"/>
              <w:right w:val="nil"/>
            </w:tcBorders>
          </w:tcPr>
          <w:p w14:paraId="735BBA17" w14:textId="77777777" w:rsidR="00B54D51" w:rsidRPr="00037AD4" w:rsidRDefault="00B54D51" w:rsidP="00401C67">
            <w:pPr>
              <w:widowControl w:val="0"/>
              <w:autoSpaceDE w:val="0"/>
              <w:autoSpaceDN w:val="0"/>
              <w:adjustRightInd w:val="0"/>
              <w:jc w:val="center"/>
            </w:pPr>
            <w:r w:rsidRPr="00037AD4">
              <w:t>0.0885</w:t>
            </w:r>
          </w:p>
        </w:tc>
        <w:tc>
          <w:tcPr>
            <w:tcW w:w="670" w:type="pct"/>
            <w:tcBorders>
              <w:top w:val="nil"/>
              <w:left w:val="nil"/>
              <w:bottom w:val="nil"/>
              <w:right w:val="nil"/>
            </w:tcBorders>
          </w:tcPr>
          <w:p w14:paraId="20FF0A54" w14:textId="77777777" w:rsidR="00B54D51" w:rsidRPr="00037AD4" w:rsidRDefault="00B54D51" w:rsidP="00401C67">
            <w:pPr>
              <w:widowControl w:val="0"/>
              <w:autoSpaceDE w:val="0"/>
              <w:autoSpaceDN w:val="0"/>
              <w:adjustRightInd w:val="0"/>
              <w:jc w:val="center"/>
            </w:pPr>
            <w:r w:rsidRPr="00037AD4">
              <w:t>0.0813</w:t>
            </w:r>
          </w:p>
        </w:tc>
        <w:tc>
          <w:tcPr>
            <w:tcW w:w="670" w:type="pct"/>
            <w:tcBorders>
              <w:top w:val="nil"/>
              <w:left w:val="nil"/>
              <w:bottom w:val="nil"/>
              <w:right w:val="nil"/>
            </w:tcBorders>
          </w:tcPr>
          <w:p w14:paraId="733C09A9" w14:textId="77777777" w:rsidR="00B54D51" w:rsidRPr="00037AD4" w:rsidRDefault="00B54D51" w:rsidP="00401C67">
            <w:pPr>
              <w:widowControl w:val="0"/>
              <w:autoSpaceDE w:val="0"/>
              <w:autoSpaceDN w:val="0"/>
              <w:adjustRightInd w:val="0"/>
              <w:jc w:val="center"/>
            </w:pPr>
            <w:r w:rsidRPr="00037AD4">
              <w:t>0.0341</w:t>
            </w:r>
          </w:p>
        </w:tc>
      </w:tr>
      <w:tr w:rsidR="00B54D51" w:rsidRPr="00037AD4" w14:paraId="6C4FC79E" w14:textId="77777777" w:rsidTr="00401C67">
        <w:tblPrEx>
          <w:tblBorders>
            <w:bottom w:val="single" w:sz="6" w:space="0" w:color="auto"/>
          </w:tblBorders>
        </w:tblPrEx>
        <w:trPr>
          <w:jc w:val="center"/>
        </w:trPr>
        <w:tc>
          <w:tcPr>
            <w:tcW w:w="1608" w:type="pct"/>
            <w:tcBorders>
              <w:top w:val="nil"/>
              <w:left w:val="nil"/>
              <w:bottom w:val="nil"/>
              <w:right w:val="nil"/>
            </w:tcBorders>
          </w:tcPr>
          <w:p w14:paraId="2A892A28" w14:textId="77777777" w:rsidR="00B54D51" w:rsidRPr="00037AD4" w:rsidRDefault="00B54D51" w:rsidP="00401C67">
            <w:pPr>
              <w:widowControl w:val="0"/>
              <w:autoSpaceDE w:val="0"/>
              <w:autoSpaceDN w:val="0"/>
              <w:adjustRightInd w:val="0"/>
            </w:pPr>
            <w:r w:rsidRPr="00037AD4">
              <w:t>AIC</w:t>
            </w:r>
          </w:p>
        </w:tc>
        <w:tc>
          <w:tcPr>
            <w:tcW w:w="713" w:type="pct"/>
            <w:tcBorders>
              <w:top w:val="nil"/>
              <w:left w:val="nil"/>
              <w:bottom w:val="nil"/>
              <w:right w:val="nil"/>
            </w:tcBorders>
          </w:tcPr>
          <w:p w14:paraId="6B231798" w14:textId="77777777" w:rsidR="00B54D51" w:rsidRPr="00037AD4" w:rsidRDefault="00B54D51" w:rsidP="00401C67">
            <w:pPr>
              <w:widowControl w:val="0"/>
              <w:autoSpaceDE w:val="0"/>
              <w:autoSpaceDN w:val="0"/>
              <w:adjustRightInd w:val="0"/>
              <w:jc w:val="center"/>
            </w:pPr>
            <w:r w:rsidRPr="00037AD4">
              <w:t>1950.047</w:t>
            </w:r>
          </w:p>
        </w:tc>
        <w:tc>
          <w:tcPr>
            <w:tcW w:w="670" w:type="pct"/>
            <w:tcBorders>
              <w:top w:val="nil"/>
              <w:left w:val="nil"/>
              <w:bottom w:val="nil"/>
              <w:right w:val="nil"/>
            </w:tcBorders>
          </w:tcPr>
          <w:p w14:paraId="3C4D24F8" w14:textId="77777777" w:rsidR="00B54D51" w:rsidRPr="00037AD4" w:rsidRDefault="00B54D51" w:rsidP="00401C67">
            <w:pPr>
              <w:widowControl w:val="0"/>
              <w:autoSpaceDE w:val="0"/>
              <w:autoSpaceDN w:val="0"/>
              <w:adjustRightInd w:val="0"/>
              <w:jc w:val="center"/>
            </w:pPr>
            <w:r w:rsidRPr="00037AD4">
              <w:t>1979.47</w:t>
            </w:r>
          </w:p>
        </w:tc>
        <w:tc>
          <w:tcPr>
            <w:tcW w:w="670" w:type="pct"/>
            <w:tcBorders>
              <w:top w:val="nil"/>
              <w:left w:val="nil"/>
              <w:bottom w:val="nil"/>
              <w:right w:val="nil"/>
            </w:tcBorders>
          </w:tcPr>
          <w:p w14:paraId="76901695" w14:textId="77777777" w:rsidR="00B54D51" w:rsidRPr="00037AD4" w:rsidRDefault="00B54D51" w:rsidP="00401C67">
            <w:pPr>
              <w:widowControl w:val="0"/>
              <w:autoSpaceDE w:val="0"/>
              <w:autoSpaceDN w:val="0"/>
              <w:adjustRightInd w:val="0"/>
              <w:jc w:val="center"/>
            </w:pPr>
            <w:r w:rsidRPr="00037AD4">
              <w:t>2056.784</w:t>
            </w:r>
          </w:p>
        </w:tc>
        <w:tc>
          <w:tcPr>
            <w:tcW w:w="670" w:type="pct"/>
            <w:tcBorders>
              <w:top w:val="nil"/>
              <w:left w:val="nil"/>
              <w:bottom w:val="nil"/>
              <w:right w:val="nil"/>
            </w:tcBorders>
          </w:tcPr>
          <w:p w14:paraId="10BF3FD4" w14:textId="77777777" w:rsidR="00B54D51" w:rsidRPr="00037AD4" w:rsidRDefault="00B54D51" w:rsidP="00401C67">
            <w:pPr>
              <w:widowControl w:val="0"/>
              <w:autoSpaceDE w:val="0"/>
              <w:autoSpaceDN w:val="0"/>
              <w:adjustRightInd w:val="0"/>
              <w:jc w:val="center"/>
            </w:pPr>
            <w:r w:rsidRPr="00037AD4">
              <w:t>2070.851</w:t>
            </w:r>
          </w:p>
        </w:tc>
        <w:tc>
          <w:tcPr>
            <w:tcW w:w="670" w:type="pct"/>
            <w:tcBorders>
              <w:top w:val="nil"/>
              <w:left w:val="nil"/>
              <w:bottom w:val="nil"/>
              <w:right w:val="nil"/>
            </w:tcBorders>
          </w:tcPr>
          <w:p w14:paraId="1400587F" w14:textId="77777777" w:rsidR="00B54D51" w:rsidRPr="00037AD4" w:rsidRDefault="00B54D51" w:rsidP="00401C67">
            <w:pPr>
              <w:widowControl w:val="0"/>
              <w:autoSpaceDE w:val="0"/>
              <w:autoSpaceDN w:val="0"/>
              <w:adjustRightInd w:val="0"/>
              <w:jc w:val="center"/>
            </w:pPr>
            <w:r w:rsidRPr="00037AD4">
              <w:t>2183.568</w:t>
            </w:r>
          </w:p>
        </w:tc>
      </w:tr>
      <w:tr w:rsidR="00B54D51" w:rsidRPr="00037AD4" w14:paraId="5A2CB966" w14:textId="77777777" w:rsidTr="00401C67">
        <w:tblPrEx>
          <w:tblBorders>
            <w:bottom w:val="single" w:sz="6" w:space="0" w:color="auto"/>
          </w:tblBorders>
        </w:tblPrEx>
        <w:trPr>
          <w:jc w:val="center"/>
        </w:trPr>
        <w:tc>
          <w:tcPr>
            <w:tcW w:w="1608" w:type="pct"/>
            <w:tcBorders>
              <w:top w:val="nil"/>
              <w:left w:val="nil"/>
              <w:bottom w:val="nil"/>
              <w:right w:val="nil"/>
            </w:tcBorders>
          </w:tcPr>
          <w:p w14:paraId="4BA9DD2D" w14:textId="77777777" w:rsidR="00B54D51" w:rsidRPr="00037AD4" w:rsidRDefault="00B54D51" w:rsidP="00401C67">
            <w:pPr>
              <w:widowControl w:val="0"/>
              <w:autoSpaceDE w:val="0"/>
              <w:autoSpaceDN w:val="0"/>
              <w:adjustRightInd w:val="0"/>
            </w:pPr>
            <w:r w:rsidRPr="00037AD4">
              <w:t>BIC</w:t>
            </w:r>
          </w:p>
        </w:tc>
        <w:tc>
          <w:tcPr>
            <w:tcW w:w="713" w:type="pct"/>
            <w:tcBorders>
              <w:top w:val="nil"/>
              <w:left w:val="nil"/>
              <w:bottom w:val="nil"/>
              <w:right w:val="nil"/>
            </w:tcBorders>
          </w:tcPr>
          <w:p w14:paraId="4E96ED06" w14:textId="77777777" w:rsidR="00B54D51" w:rsidRPr="00037AD4" w:rsidRDefault="00B54D51" w:rsidP="00401C67">
            <w:pPr>
              <w:widowControl w:val="0"/>
              <w:autoSpaceDE w:val="0"/>
              <w:autoSpaceDN w:val="0"/>
              <w:adjustRightInd w:val="0"/>
              <w:jc w:val="center"/>
            </w:pPr>
            <w:r w:rsidRPr="00037AD4">
              <w:t>2139.694</w:t>
            </w:r>
          </w:p>
        </w:tc>
        <w:tc>
          <w:tcPr>
            <w:tcW w:w="670" w:type="pct"/>
            <w:tcBorders>
              <w:top w:val="nil"/>
              <w:left w:val="nil"/>
              <w:bottom w:val="nil"/>
              <w:right w:val="nil"/>
            </w:tcBorders>
          </w:tcPr>
          <w:p w14:paraId="0F0FEBAE" w14:textId="77777777" w:rsidR="00B54D51" w:rsidRPr="00037AD4" w:rsidRDefault="00B54D51" w:rsidP="00401C67">
            <w:pPr>
              <w:widowControl w:val="0"/>
              <w:autoSpaceDE w:val="0"/>
              <w:autoSpaceDN w:val="0"/>
              <w:adjustRightInd w:val="0"/>
              <w:jc w:val="center"/>
            </w:pPr>
            <w:r w:rsidRPr="00037AD4">
              <w:t>2067.298</w:t>
            </w:r>
          </w:p>
        </w:tc>
        <w:tc>
          <w:tcPr>
            <w:tcW w:w="670" w:type="pct"/>
            <w:tcBorders>
              <w:top w:val="nil"/>
              <w:left w:val="nil"/>
              <w:bottom w:val="nil"/>
              <w:right w:val="nil"/>
            </w:tcBorders>
          </w:tcPr>
          <w:p w14:paraId="70D12649" w14:textId="77777777" w:rsidR="00B54D51" w:rsidRPr="00037AD4" w:rsidRDefault="00B54D51" w:rsidP="00401C67">
            <w:pPr>
              <w:widowControl w:val="0"/>
              <w:autoSpaceDE w:val="0"/>
              <w:autoSpaceDN w:val="0"/>
              <w:adjustRightInd w:val="0"/>
              <w:jc w:val="center"/>
            </w:pPr>
            <w:r w:rsidRPr="00037AD4">
              <w:t>2130.579</w:t>
            </w:r>
          </w:p>
        </w:tc>
        <w:tc>
          <w:tcPr>
            <w:tcW w:w="670" w:type="pct"/>
            <w:tcBorders>
              <w:top w:val="nil"/>
              <w:left w:val="nil"/>
              <w:bottom w:val="nil"/>
              <w:right w:val="nil"/>
            </w:tcBorders>
          </w:tcPr>
          <w:p w14:paraId="22B6A194" w14:textId="77777777" w:rsidR="00B54D51" w:rsidRPr="00037AD4" w:rsidRDefault="00B54D51" w:rsidP="00401C67">
            <w:pPr>
              <w:widowControl w:val="0"/>
              <w:autoSpaceDE w:val="0"/>
              <w:autoSpaceDN w:val="0"/>
              <w:adjustRightInd w:val="0"/>
              <w:jc w:val="center"/>
            </w:pPr>
            <w:r w:rsidRPr="00037AD4">
              <w:t>2124.978</w:t>
            </w:r>
          </w:p>
        </w:tc>
        <w:tc>
          <w:tcPr>
            <w:tcW w:w="670" w:type="pct"/>
            <w:tcBorders>
              <w:top w:val="nil"/>
              <w:left w:val="nil"/>
              <w:bottom w:val="nil"/>
              <w:right w:val="nil"/>
            </w:tcBorders>
          </w:tcPr>
          <w:p w14:paraId="53616356" w14:textId="77777777" w:rsidR="00B54D51" w:rsidRPr="00037AD4" w:rsidRDefault="00B54D51" w:rsidP="00401C67">
            <w:pPr>
              <w:widowControl w:val="0"/>
              <w:autoSpaceDE w:val="0"/>
              <w:autoSpaceDN w:val="0"/>
              <w:adjustRightInd w:val="0"/>
              <w:jc w:val="center"/>
            </w:pPr>
            <w:r w:rsidRPr="00037AD4">
              <w:t>2232.824</w:t>
            </w:r>
          </w:p>
        </w:tc>
      </w:tr>
      <w:tr w:rsidR="00B54D51" w:rsidRPr="00037AD4" w14:paraId="433AF32C" w14:textId="77777777" w:rsidTr="00401C67">
        <w:tblPrEx>
          <w:tblBorders>
            <w:bottom w:val="single" w:sz="6" w:space="0" w:color="auto"/>
          </w:tblBorders>
        </w:tblPrEx>
        <w:trPr>
          <w:jc w:val="center"/>
        </w:trPr>
        <w:tc>
          <w:tcPr>
            <w:tcW w:w="1608" w:type="pct"/>
            <w:tcBorders>
              <w:top w:val="nil"/>
              <w:left w:val="nil"/>
              <w:bottom w:val="single" w:sz="6" w:space="0" w:color="auto"/>
              <w:right w:val="nil"/>
            </w:tcBorders>
          </w:tcPr>
          <w:p w14:paraId="00D1721F" w14:textId="77777777" w:rsidR="00B54D51" w:rsidRPr="00037AD4" w:rsidRDefault="00B54D51" w:rsidP="00401C67">
            <w:pPr>
              <w:widowControl w:val="0"/>
              <w:autoSpaceDE w:val="0"/>
              <w:autoSpaceDN w:val="0"/>
              <w:adjustRightInd w:val="0"/>
            </w:pPr>
            <w:r w:rsidRPr="00037AD4">
              <w:t>Log likelihood (model)</w:t>
            </w:r>
          </w:p>
        </w:tc>
        <w:tc>
          <w:tcPr>
            <w:tcW w:w="713" w:type="pct"/>
            <w:tcBorders>
              <w:top w:val="nil"/>
              <w:left w:val="nil"/>
              <w:bottom w:val="single" w:sz="6" w:space="0" w:color="auto"/>
              <w:right w:val="nil"/>
            </w:tcBorders>
          </w:tcPr>
          <w:p w14:paraId="7E13D099" w14:textId="77777777" w:rsidR="00B54D51" w:rsidRPr="00037AD4" w:rsidRDefault="00B54D51" w:rsidP="00401C67">
            <w:pPr>
              <w:widowControl w:val="0"/>
              <w:autoSpaceDE w:val="0"/>
              <w:autoSpaceDN w:val="0"/>
              <w:adjustRightInd w:val="0"/>
              <w:jc w:val="center"/>
            </w:pPr>
            <w:r w:rsidRPr="00037AD4">
              <w:t>-936.0233</w:t>
            </w:r>
          </w:p>
        </w:tc>
        <w:tc>
          <w:tcPr>
            <w:tcW w:w="670" w:type="pct"/>
            <w:tcBorders>
              <w:top w:val="nil"/>
              <w:left w:val="nil"/>
              <w:bottom w:val="single" w:sz="6" w:space="0" w:color="auto"/>
              <w:right w:val="nil"/>
            </w:tcBorders>
          </w:tcPr>
          <w:p w14:paraId="59366668" w14:textId="77777777" w:rsidR="00B54D51" w:rsidRPr="00037AD4" w:rsidRDefault="00B54D51" w:rsidP="00401C67">
            <w:pPr>
              <w:widowControl w:val="0"/>
              <w:autoSpaceDE w:val="0"/>
              <w:autoSpaceDN w:val="0"/>
              <w:adjustRightInd w:val="0"/>
              <w:jc w:val="center"/>
            </w:pPr>
            <w:r w:rsidRPr="00037AD4">
              <w:t>-971.349</w:t>
            </w:r>
          </w:p>
        </w:tc>
        <w:tc>
          <w:tcPr>
            <w:tcW w:w="670" w:type="pct"/>
            <w:tcBorders>
              <w:top w:val="nil"/>
              <w:left w:val="nil"/>
              <w:bottom w:val="single" w:sz="6" w:space="0" w:color="auto"/>
              <w:right w:val="nil"/>
            </w:tcBorders>
          </w:tcPr>
          <w:p w14:paraId="17038DA8" w14:textId="77777777" w:rsidR="00B54D51" w:rsidRPr="00037AD4" w:rsidRDefault="00B54D51" w:rsidP="00401C67">
            <w:pPr>
              <w:widowControl w:val="0"/>
              <w:autoSpaceDE w:val="0"/>
              <w:autoSpaceDN w:val="0"/>
              <w:adjustRightInd w:val="0"/>
              <w:jc w:val="center"/>
            </w:pPr>
            <w:r w:rsidRPr="00037AD4">
              <w:t>-1013.392</w:t>
            </w:r>
          </w:p>
        </w:tc>
        <w:tc>
          <w:tcPr>
            <w:tcW w:w="670" w:type="pct"/>
            <w:tcBorders>
              <w:top w:val="nil"/>
              <w:left w:val="nil"/>
              <w:bottom w:val="single" w:sz="6" w:space="0" w:color="auto"/>
              <w:right w:val="nil"/>
            </w:tcBorders>
          </w:tcPr>
          <w:p w14:paraId="7E5E32C1" w14:textId="77777777" w:rsidR="00B54D51" w:rsidRPr="00037AD4" w:rsidRDefault="00B54D51" w:rsidP="00401C67">
            <w:pPr>
              <w:widowControl w:val="0"/>
              <w:autoSpaceDE w:val="0"/>
              <w:autoSpaceDN w:val="0"/>
              <w:adjustRightInd w:val="0"/>
              <w:jc w:val="center"/>
            </w:pPr>
            <w:r w:rsidRPr="00037AD4">
              <w:t>-1024.425</w:t>
            </w:r>
          </w:p>
        </w:tc>
        <w:tc>
          <w:tcPr>
            <w:tcW w:w="670" w:type="pct"/>
            <w:tcBorders>
              <w:top w:val="nil"/>
              <w:left w:val="nil"/>
              <w:bottom w:val="single" w:sz="6" w:space="0" w:color="auto"/>
              <w:right w:val="nil"/>
            </w:tcBorders>
          </w:tcPr>
          <w:p w14:paraId="7ECE1650" w14:textId="77777777" w:rsidR="00B54D51" w:rsidRPr="00037AD4" w:rsidRDefault="00B54D51" w:rsidP="00401C67">
            <w:pPr>
              <w:widowControl w:val="0"/>
              <w:autoSpaceDE w:val="0"/>
              <w:autoSpaceDN w:val="0"/>
              <w:adjustRightInd w:val="0"/>
              <w:jc w:val="center"/>
            </w:pPr>
            <w:r w:rsidRPr="00037AD4">
              <w:t>-1081.784</w:t>
            </w:r>
          </w:p>
        </w:tc>
      </w:tr>
    </w:tbl>
    <w:p w14:paraId="478FBF6B" w14:textId="77777777" w:rsidR="00B54D51" w:rsidRPr="00037AD4" w:rsidRDefault="00B54D51" w:rsidP="001D7ACE">
      <w:pPr>
        <w:widowControl w:val="0"/>
        <w:autoSpaceDE w:val="0"/>
        <w:autoSpaceDN w:val="0"/>
        <w:adjustRightInd w:val="0"/>
        <w:jc w:val="center"/>
      </w:pPr>
      <w:r w:rsidRPr="00037AD4">
        <w:t>Robust ci in parentheses</w:t>
      </w:r>
    </w:p>
    <w:p w14:paraId="70AF3CF1" w14:textId="77777777" w:rsidR="00B54D51" w:rsidRPr="00037AD4" w:rsidRDefault="00B54D51" w:rsidP="001D7ACE">
      <w:pPr>
        <w:widowControl w:val="0"/>
        <w:autoSpaceDE w:val="0"/>
        <w:autoSpaceDN w:val="0"/>
        <w:adjustRightInd w:val="0"/>
        <w:jc w:val="center"/>
      </w:pPr>
      <w:r w:rsidRPr="00037AD4">
        <w:t>*** p&lt;0.01, ** p&lt;0.05, * p&lt;0.1</w:t>
      </w:r>
    </w:p>
    <w:p w14:paraId="0DC1D7EC" w14:textId="77777777" w:rsidR="00B54D51" w:rsidRPr="00037AD4" w:rsidRDefault="00B54D51" w:rsidP="001D7ACE">
      <w:pPr>
        <w:rPr>
          <w:color w:val="FF0000"/>
          <w:u w:val="single"/>
        </w:rPr>
      </w:pPr>
    </w:p>
    <w:p w14:paraId="608541A3" w14:textId="77777777" w:rsidR="00B54D51" w:rsidRPr="00037AD4" w:rsidRDefault="00B54D51" w:rsidP="001D7ACE">
      <w:pPr>
        <w:rPr>
          <w:color w:val="FF0000"/>
          <w:u w:val="single"/>
        </w:rPr>
      </w:pPr>
    </w:p>
    <w:p w14:paraId="7334004D" w14:textId="77777777" w:rsidR="00B54D51" w:rsidRPr="00037AD4" w:rsidRDefault="00B54D51" w:rsidP="001D7ACE">
      <w:pPr>
        <w:rPr>
          <w:color w:val="FF0000"/>
          <w:u w:val="single"/>
        </w:rPr>
      </w:pPr>
    </w:p>
    <w:p w14:paraId="2CFC6E01" w14:textId="77777777" w:rsidR="00B54D51" w:rsidRPr="00037AD4" w:rsidRDefault="00B54D51" w:rsidP="001D7ACE">
      <w:pPr>
        <w:rPr>
          <w:color w:val="FF0000"/>
          <w:u w:val="single"/>
        </w:rPr>
      </w:pPr>
    </w:p>
    <w:p w14:paraId="6B14E2B8" w14:textId="77777777" w:rsidR="00B54D51" w:rsidRPr="00037AD4" w:rsidRDefault="00B54D51" w:rsidP="001D7ACE">
      <w:pPr>
        <w:rPr>
          <w:color w:val="FF0000"/>
          <w:u w:val="single"/>
        </w:rPr>
      </w:pPr>
    </w:p>
    <w:p w14:paraId="1B4A9C31" w14:textId="77777777" w:rsidR="00B54D51" w:rsidRPr="00037AD4" w:rsidRDefault="00B54D51" w:rsidP="001D7ACE">
      <w:pPr>
        <w:rPr>
          <w:color w:val="FF0000"/>
          <w:u w:val="single"/>
        </w:rPr>
      </w:pPr>
    </w:p>
    <w:p w14:paraId="1856B448" w14:textId="77777777" w:rsidR="00B54D51" w:rsidRPr="00037AD4" w:rsidRDefault="00B54D51" w:rsidP="001D7ACE">
      <w:pPr>
        <w:rPr>
          <w:color w:val="FF0000"/>
          <w:u w:val="single"/>
        </w:rPr>
      </w:pPr>
    </w:p>
    <w:p w14:paraId="514EF5A3" w14:textId="77777777" w:rsidR="00B54D51" w:rsidRPr="00037AD4" w:rsidRDefault="00B54D51" w:rsidP="001D7ACE">
      <w:pPr>
        <w:rPr>
          <w:color w:val="FF0000"/>
          <w:u w:val="single"/>
        </w:rPr>
      </w:pPr>
    </w:p>
    <w:p w14:paraId="5D3252FE" w14:textId="77777777" w:rsidR="00B54D51" w:rsidRPr="00037AD4" w:rsidRDefault="00B54D51" w:rsidP="001D7ACE">
      <w:pPr>
        <w:rPr>
          <w:rFonts w:asciiTheme="minorHAnsi" w:hAnsiTheme="minorHAnsi" w:cstheme="minorHAnsi"/>
          <w:color w:val="000000" w:themeColor="text1"/>
          <w:u w:val="single"/>
        </w:rPr>
      </w:pPr>
      <w:r w:rsidRPr="00037AD4">
        <w:rPr>
          <w:rFonts w:asciiTheme="minorHAnsi" w:hAnsiTheme="minorHAnsi" w:cstheme="minorHAnsi"/>
          <w:color w:val="000000" w:themeColor="text1"/>
          <w:u w:val="single"/>
        </w:rPr>
        <w:lastRenderedPageBreak/>
        <w:t xml:space="preserve">Table A6.2k, “Pain/discomfort” dimension model iterations: EPIC </w:t>
      </w:r>
    </w:p>
    <w:p w14:paraId="6EA6BFE0" w14:textId="77777777" w:rsidR="00B54D51" w:rsidRPr="00037AD4" w:rsidRDefault="00B54D51" w:rsidP="001D7ACE">
      <w:pPr>
        <w:rPr>
          <w:color w:val="FF0000"/>
          <w:u w:val="single"/>
        </w:rPr>
      </w:pPr>
    </w:p>
    <w:tbl>
      <w:tblPr>
        <w:tblW w:w="5000" w:type="pct"/>
        <w:jc w:val="center"/>
        <w:tblCellMar>
          <w:left w:w="75" w:type="dxa"/>
          <w:right w:w="75" w:type="dxa"/>
        </w:tblCellMar>
        <w:tblLook w:val="0000" w:firstRow="0" w:lastRow="0" w:firstColumn="0" w:lastColumn="0" w:noHBand="0" w:noVBand="0"/>
      </w:tblPr>
      <w:tblGrid>
        <w:gridCol w:w="1764"/>
        <w:gridCol w:w="1214"/>
        <w:gridCol w:w="1215"/>
        <w:gridCol w:w="1215"/>
        <w:gridCol w:w="1215"/>
        <w:gridCol w:w="1215"/>
        <w:gridCol w:w="1188"/>
      </w:tblGrid>
      <w:tr w:rsidR="00B54D51" w:rsidRPr="00037AD4" w14:paraId="3A0010F3" w14:textId="77777777" w:rsidTr="00401C67">
        <w:trPr>
          <w:jc w:val="center"/>
        </w:trPr>
        <w:tc>
          <w:tcPr>
            <w:tcW w:w="977" w:type="pct"/>
            <w:tcBorders>
              <w:top w:val="single" w:sz="6" w:space="0" w:color="auto"/>
              <w:left w:val="nil"/>
              <w:bottom w:val="nil"/>
              <w:right w:val="nil"/>
            </w:tcBorders>
          </w:tcPr>
          <w:p w14:paraId="0E1BD9E8" w14:textId="77777777" w:rsidR="00B54D51" w:rsidRPr="00037AD4" w:rsidRDefault="00B54D51" w:rsidP="00401C67">
            <w:pPr>
              <w:widowControl w:val="0"/>
              <w:autoSpaceDE w:val="0"/>
              <w:autoSpaceDN w:val="0"/>
              <w:adjustRightInd w:val="0"/>
            </w:pPr>
          </w:p>
        </w:tc>
        <w:tc>
          <w:tcPr>
            <w:tcW w:w="673" w:type="pct"/>
            <w:tcBorders>
              <w:top w:val="single" w:sz="6" w:space="0" w:color="auto"/>
              <w:left w:val="nil"/>
              <w:bottom w:val="nil"/>
              <w:right w:val="nil"/>
            </w:tcBorders>
          </w:tcPr>
          <w:p w14:paraId="5D83518D" w14:textId="77777777" w:rsidR="00B54D51" w:rsidRPr="00037AD4" w:rsidRDefault="00B54D51" w:rsidP="00401C67">
            <w:pPr>
              <w:widowControl w:val="0"/>
              <w:autoSpaceDE w:val="0"/>
              <w:autoSpaceDN w:val="0"/>
              <w:adjustRightInd w:val="0"/>
              <w:jc w:val="center"/>
            </w:pPr>
            <w:r w:rsidRPr="00037AD4">
              <w:t>(1)</w:t>
            </w:r>
          </w:p>
        </w:tc>
        <w:tc>
          <w:tcPr>
            <w:tcW w:w="673" w:type="pct"/>
            <w:tcBorders>
              <w:top w:val="single" w:sz="6" w:space="0" w:color="auto"/>
              <w:left w:val="nil"/>
              <w:bottom w:val="nil"/>
              <w:right w:val="nil"/>
            </w:tcBorders>
          </w:tcPr>
          <w:p w14:paraId="11DC77E0" w14:textId="77777777" w:rsidR="00B54D51" w:rsidRPr="00037AD4" w:rsidRDefault="00B54D51" w:rsidP="00401C67">
            <w:pPr>
              <w:widowControl w:val="0"/>
              <w:autoSpaceDE w:val="0"/>
              <w:autoSpaceDN w:val="0"/>
              <w:adjustRightInd w:val="0"/>
              <w:jc w:val="center"/>
            </w:pPr>
            <w:r w:rsidRPr="00037AD4">
              <w:t>(2)</w:t>
            </w:r>
          </w:p>
        </w:tc>
        <w:tc>
          <w:tcPr>
            <w:tcW w:w="673" w:type="pct"/>
            <w:tcBorders>
              <w:top w:val="single" w:sz="6" w:space="0" w:color="auto"/>
              <w:left w:val="nil"/>
              <w:bottom w:val="nil"/>
              <w:right w:val="nil"/>
            </w:tcBorders>
          </w:tcPr>
          <w:p w14:paraId="51EF8432" w14:textId="77777777" w:rsidR="00B54D51" w:rsidRPr="00037AD4" w:rsidRDefault="00B54D51" w:rsidP="00401C67">
            <w:pPr>
              <w:widowControl w:val="0"/>
              <w:autoSpaceDE w:val="0"/>
              <w:autoSpaceDN w:val="0"/>
              <w:adjustRightInd w:val="0"/>
              <w:jc w:val="center"/>
            </w:pPr>
            <w:r w:rsidRPr="00037AD4">
              <w:t>(3)</w:t>
            </w:r>
          </w:p>
        </w:tc>
        <w:tc>
          <w:tcPr>
            <w:tcW w:w="673" w:type="pct"/>
            <w:tcBorders>
              <w:top w:val="single" w:sz="6" w:space="0" w:color="auto"/>
              <w:left w:val="nil"/>
              <w:bottom w:val="nil"/>
              <w:right w:val="nil"/>
            </w:tcBorders>
          </w:tcPr>
          <w:p w14:paraId="6CAF585D" w14:textId="77777777" w:rsidR="00B54D51" w:rsidRPr="00037AD4" w:rsidRDefault="00B54D51" w:rsidP="00401C67">
            <w:pPr>
              <w:widowControl w:val="0"/>
              <w:autoSpaceDE w:val="0"/>
              <w:autoSpaceDN w:val="0"/>
              <w:adjustRightInd w:val="0"/>
              <w:jc w:val="center"/>
            </w:pPr>
            <w:r w:rsidRPr="00037AD4">
              <w:t>(4)</w:t>
            </w:r>
          </w:p>
        </w:tc>
        <w:tc>
          <w:tcPr>
            <w:tcW w:w="673" w:type="pct"/>
            <w:tcBorders>
              <w:top w:val="single" w:sz="6" w:space="0" w:color="auto"/>
              <w:left w:val="nil"/>
              <w:bottom w:val="nil"/>
              <w:right w:val="nil"/>
            </w:tcBorders>
          </w:tcPr>
          <w:p w14:paraId="1DDDDEB3" w14:textId="77777777" w:rsidR="00B54D51" w:rsidRPr="00037AD4" w:rsidRDefault="00B54D51" w:rsidP="00401C67">
            <w:pPr>
              <w:widowControl w:val="0"/>
              <w:autoSpaceDE w:val="0"/>
              <w:autoSpaceDN w:val="0"/>
              <w:adjustRightInd w:val="0"/>
              <w:jc w:val="center"/>
            </w:pPr>
            <w:r w:rsidRPr="00037AD4">
              <w:t>(5)</w:t>
            </w:r>
          </w:p>
        </w:tc>
        <w:tc>
          <w:tcPr>
            <w:tcW w:w="658" w:type="pct"/>
            <w:tcBorders>
              <w:top w:val="single" w:sz="6" w:space="0" w:color="auto"/>
              <w:left w:val="nil"/>
              <w:bottom w:val="nil"/>
              <w:right w:val="nil"/>
            </w:tcBorders>
          </w:tcPr>
          <w:p w14:paraId="63B536B1" w14:textId="77777777" w:rsidR="00B54D51" w:rsidRPr="00037AD4" w:rsidRDefault="00B54D51" w:rsidP="00401C67">
            <w:pPr>
              <w:widowControl w:val="0"/>
              <w:autoSpaceDE w:val="0"/>
              <w:autoSpaceDN w:val="0"/>
              <w:adjustRightInd w:val="0"/>
              <w:jc w:val="center"/>
            </w:pPr>
            <w:r w:rsidRPr="00037AD4">
              <w:t>(6)</w:t>
            </w:r>
          </w:p>
        </w:tc>
      </w:tr>
      <w:tr w:rsidR="00B54D51" w:rsidRPr="00037AD4" w14:paraId="00114853" w14:textId="77777777" w:rsidTr="00401C67">
        <w:trPr>
          <w:jc w:val="center"/>
        </w:trPr>
        <w:tc>
          <w:tcPr>
            <w:tcW w:w="977" w:type="pct"/>
            <w:tcBorders>
              <w:top w:val="nil"/>
              <w:left w:val="nil"/>
              <w:bottom w:val="single" w:sz="6" w:space="0" w:color="auto"/>
              <w:right w:val="nil"/>
            </w:tcBorders>
          </w:tcPr>
          <w:p w14:paraId="2F96FC4A" w14:textId="77777777" w:rsidR="00B54D51" w:rsidRPr="00037AD4" w:rsidRDefault="00B54D51" w:rsidP="00401C67">
            <w:pPr>
              <w:widowControl w:val="0"/>
              <w:autoSpaceDE w:val="0"/>
              <w:autoSpaceDN w:val="0"/>
              <w:adjustRightInd w:val="0"/>
            </w:pPr>
            <w:r w:rsidRPr="00037AD4">
              <w:t>VARIABLES</w:t>
            </w:r>
          </w:p>
        </w:tc>
        <w:tc>
          <w:tcPr>
            <w:tcW w:w="673" w:type="pct"/>
            <w:tcBorders>
              <w:top w:val="nil"/>
              <w:left w:val="nil"/>
              <w:bottom w:val="single" w:sz="6" w:space="0" w:color="auto"/>
              <w:right w:val="nil"/>
            </w:tcBorders>
          </w:tcPr>
          <w:p w14:paraId="4E597DB2" w14:textId="77777777" w:rsidR="00B54D51" w:rsidRPr="00037AD4" w:rsidRDefault="00B54D51" w:rsidP="00401C67">
            <w:pPr>
              <w:widowControl w:val="0"/>
              <w:autoSpaceDE w:val="0"/>
              <w:autoSpaceDN w:val="0"/>
              <w:adjustRightInd w:val="0"/>
              <w:jc w:val="center"/>
            </w:pPr>
            <w:r w:rsidRPr="00037AD4">
              <w:t>Model 1</w:t>
            </w:r>
          </w:p>
        </w:tc>
        <w:tc>
          <w:tcPr>
            <w:tcW w:w="673" w:type="pct"/>
            <w:tcBorders>
              <w:top w:val="nil"/>
              <w:left w:val="nil"/>
              <w:bottom w:val="single" w:sz="6" w:space="0" w:color="auto"/>
              <w:right w:val="nil"/>
            </w:tcBorders>
          </w:tcPr>
          <w:p w14:paraId="5A37F532" w14:textId="77777777" w:rsidR="00B54D51" w:rsidRPr="00037AD4" w:rsidRDefault="00B54D51" w:rsidP="00401C67">
            <w:pPr>
              <w:widowControl w:val="0"/>
              <w:autoSpaceDE w:val="0"/>
              <w:autoSpaceDN w:val="0"/>
              <w:adjustRightInd w:val="0"/>
              <w:jc w:val="center"/>
            </w:pPr>
            <w:r w:rsidRPr="00037AD4">
              <w:t>Model 2</w:t>
            </w:r>
          </w:p>
        </w:tc>
        <w:tc>
          <w:tcPr>
            <w:tcW w:w="673" w:type="pct"/>
            <w:tcBorders>
              <w:top w:val="nil"/>
              <w:left w:val="nil"/>
              <w:bottom w:val="single" w:sz="6" w:space="0" w:color="auto"/>
              <w:right w:val="nil"/>
            </w:tcBorders>
          </w:tcPr>
          <w:p w14:paraId="2FC66FB5" w14:textId="77777777" w:rsidR="00B54D51" w:rsidRPr="00037AD4" w:rsidRDefault="00B54D51" w:rsidP="00401C67">
            <w:pPr>
              <w:widowControl w:val="0"/>
              <w:autoSpaceDE w:val="0"/>
              <w:autoSpaceDN w:val="0"/>
              <w:adjustRightInd w:val="0"/>
              <w:jc w:val="center"/>
            </w:pPr>
            <w:r w:rsidRPr="00037AD4">
              <w:t>Model 3</w:t>
            </w:r>
          </w:p>
        </w:tc>
        <w:tc>
          <w:tcPr>
            <w:tcW w:w="673" w:type="pct"/>
            <w:tcBorders>
              <w:top w:val="nil"/>
              <w:left w:val="nil"/>
              <w:bottom w:val="single" w:sz="6" w:space="0" w:color="auto"/>
              <w:right w:val="nil"/>
            </w:tcBorders>
          </w:tcPr>
          <w:p w14:paraId="6AB845D9" w14:textId="77777777" w:rsidR="00B54D51" w:rsidRPr="00037AD4" w:rsidRDefault="00B54D51" w:rsidP="00401C67">
            <w:pPr>
              <w:widowControl w:val="0"/>
              <w:autoSpaceDE w:val="0"/>
              <w:autoSpaceDN w:val="0"/>
              <w:adjustRightInd w:val="0"/>
              <w:jc w:val="center"/>
            </w:pPr>
            <w:r w:rsidRPr="00037AD4">
              <w:t>Model 4</w:t>
            </w:r>
          </w:p>
        </w:tc>
        <w:tc>
          <w:tcPr>
            <w:tcW w:w="673" w:type="pct"/>
            <w:tcBorders>
              <w:top w:val="nil"/>
              <w:left w:val="nil"/>
              <w:bottom w:val="single" w:sz="6" w:space="0" w:color="auto"/>
              <w:right w:val="nil"/>
            </w:tcBorders>
          </w:tcPr>
          <w:p w14:paraId="3A5C8088" w14:textId="77777777" w:rsidR="00B54D51" w:rsidRPr="00037AD4" w:rsidRDefault="00B54D51" w:rsidP="00401C67">
            <w:pPr>
              <w:widowControl w:val="0"/>
              <w:autoSpaceDE w:val="0"/>
              <w:autoSpaceDN w:val="0"/>
              <w:adjustRightInd w:val="0"/>
              <w:jc w:val="center"/>
            </w:pPr>
            <w:r w:rsidRPr="00037AD4">
              <w:t>Model 5</w:t>
            </w:r>
          </w:p>
        </w:tc>
        <w:tc>
          <w:tcPr>
            <w:tcW w:w="658" w:type="pct"/>
            <w:tcBorders>
              <w:top w:val="nil"/>
              <w:left w:val="nil"/>
              <w:bottom w:val="single" w:sz="6" w:space="0" w:color="auto"/>
              <w:right w:val="nil"/>
            </w:tcBorders>
          </w:tcPr>
          <w:p w14:paraId="09BBAE10" w14:textId="77777777" w:rsidR="00B54D51" w:rsidRPr="00037AD4" w:rsidRDefault="00B54D51" w:rsidP="00401C67">
            <w:pPr>
              <w:widowControl w:val="0"/>
              <w:autoSpaceDE w:val="0"/>
              <w:autoSpaceDN w:val="0"/>
              <w:adjustRightInd w:val="0"/>
              <w:jc w:val="center"/>
            </w:pPr>
            <w:r w:rsidRPr="00037AD4">
              <w:t>Model 6</w:t>
            </w:r>
          </w:p>
        </w:tc>
      </w:tr>
      <w:tr w:rsidR="00B54D51" w:rsidRPr="00037AD4" w14:paraId="3987E77B" w14:textId="77777777" w:rsidTr="00401C67">
        <w:trPr>
          <w:jc w:val="center"/>
        </w:trPr>
        <w:tc>
          <w:tcPr>
            <w:tcW w:w="977" w:type="pct"/>
            <w:tcBorders>
              <w:top w:val="nil"/>
              <w:left w:val="nil"/>
              <w:bottom w:val="nil"/>
              <w:right w:val="nil"/>
            </w:tcBorders>
          </w:tcPr>
          <w:p w14:paraId="32104795" w14:textId="77777777" w:rsidR="00B54D51" w:rsidRPr="00037AD4" w:rsidRDefault="00B54D51" w:rsidP="00401C67">
            <w:pPr>
              <w:widowControl w:val="0"/>
              <w:autoSpaceDE w:val="0"/>
              <w:autoSpaceDN w:val="0"/>
              <w:adjustRightInd w:val="0"/>
            </w:pPr>
          </w:p>
        </w:tc>
        <w:tc>
          <w:tcPr>
            <w:tcW w:w="673" w:type="pct"/>
            <w:tcBorders>
              <w:top w:val="nil"/>
              <w:left w:val="nil"/>
              <w:bottom w:val="nil"/>
              <w:right w:val="nil"/>
            </w:tcBorders>
          </w:tcPr>
          <w:p w14:paraId="3596F825"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7BBA82D2"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3D39BB42"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6AD1AE50"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09191D04" w14:textId="77777777" w:rsidR="00B54D51" w:rsidRPr="00037AD4" w:rsidRDefault="00B54D51" w:rsidP="00401C67">
            <w:pPr>
              <w:widowControl w:val="0"/>
              <w:autoSpaceDE w:val="0"/>
              <w:autoSpaceDN w:val="0"/>
              <w:adjustRightInd w:val="0"/>
              <w:jc w:val="center"/>
            </w:pPr>
          </w:p>
        </w:tc>
        <w:tc>
          <w:tcPr>
            <w:tcW w:w="658" w:type="pct"/>
            <w:tcBorders>
              <w:top w:val="nil"/>
              <w:left w:val="nil"/>
              <w:bottom w:val="nil"/>
              <w:right w:val="nil"/>
            </w:tcBorders>
          </w:tcPr>
          <w:p w14:paraId="237ACFF0" w14:textId="77777777" w:rsidR="00B54D51" w:rsidRPr="00037AD4" w:rsidRDefault="00B54D51" w:rsidP="00401C67">
            <w:pPr>
              <w:widowControl w:val="0"/>
              <w:autoSpaceDE w:val="0"/>
              <w:autoSpaceDN w:val="0"/>
              <w:adjustRightInd w:val="0"/>
              <w:jc w:val="center"/>
            </w:pPr>
          </w:p>
        </w:tc>
      </w:tr>
      <w:tr w:rsidR="00B54D51" w:rsidRPr="00037AD4" w14:paraId="67155B6C" w14:textId="77777777" w:rsidTr="00401C67">
        <w:trPr>
          <w:jc w:val="center"/>
        </w:trPr>
        <w:tc>
          <w:tcPr>
            <w:tcW w:w="977" w:type="pct"/>
            <w:tcBorders>
              <w:top w:val="nil"/>
              <w:left w:val="nil"/>
              <w:bottom w:val="nil"/>
              <w:right w:val="nil"/>
            </w:tcBorders>
          </w:tcPr>
          <w:p w14:paraId="2DC8237D" w14:textId="77777777" w:rsidR="00B54D51" w:rsidRPr="00037AD4" w:rsidRDefault="00B54D51" w:rsidP="00401C67">
            <w:pPr>
              <w:widowControl w:val="0"/>
              <w:autoSpaceDE w:val="0"/>
              <w:autoSpaceDN w:val="0"/>
              <w:adjustRightInd w:val="0"/>
            </w:pPr>
            <w:r w:rsidRPr="00037AD4">
              <w:t>2.eq4staff_</w:t>
            </w:r>
          </w:p>
        </w:tc>
        <w:tc>
          <w:tcPr>
            <w:tcW w:w="673" w:type="pct"/>
            <w:tcBorders>
              <w:top w:val="nil"/>
              <w:left w:val="nil"/>
              <w:bottom w:val="nil"/>
              <w:right w:val="nil"/>
            </w:tcBorders>
          </w:tcPr>
          <w:p w14:paraId="72064906" w14:textId="77777777" w:rsidR="00B54D51" w:rsidRPr="00037AD4" w:rsidRDefault="00B54D51" w:rsidP="00401C67">
            <w:pPr>
              <w:widowControl w:val="0"/>
              <w:autoSpaceDE w:val="0"/>
              <w:autoSpaceDN w:val="0"/>
              <w:adjustRightInd w:val="0"/>
              <w:jc w:val="center"/>
            </w:pPr>
            <w:r w:rsidRPr="00037AD4">
              <w:t>0.214</w:t>
            </w:r>
          </w:p>
        </w:tc>
        <w:tc>
          <w:tcPr>
            <w:tcW w:w="673" w:type="pct"/>
            <w:tcBorders>
              <w:top w:val="nil"/>
              <w:left w:val="nil"/>
              <w:bottom w:val="nil"/>
              <w:right w:val="nil"/>
            </w:tcBorders>
          </w:tcPr>
          <w:p w14:paraId="762C6A7B"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20FDE1E7"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46D02014"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396B6BD8" w14:textId="77777777" w:rsidR="00B54D51" w:rsidRPr="00037AD4" w:rsidRDefault="00B54D51" w:rsidP="00401C67">
            <w:pPr>
              <w:widowControl w:val="0"/>
              <w:autoSpaceDE w:val="0"/>
              <w:autoSpaceDN w:val="0"/>
              <w:adjustRightInd w:val="0"/>
              <w:jc w:val="center"/>
            </w:pPr>
          </w:p>
        </w:tc>
        <w:tc>
          <w:tcPr>
            <w:tcW w:w="658" w:type="pct"/>
            <w:tcBorders>
              <w:top w:val="nil"/>
              <w:left w:val="nil"/>
              <w:bottom w:val="nil"/>
              <w:right w:val="nil"/>
            </w:tcBorders>
          </w:tcPr>
          <w:p w14:paraId="6915095E" w14:textId="77777777" w:rsidR="00B54D51" w:rsidRPr="00037AD4" w:rsidRDefault="00B54D51" w:rsidP="00401C67">
            <w:pPr>
              <w:widowControl w:val="0"/>
              <w:autoSpaceDE w:val="0"/>
              <w:autoSpaceDN w:val="0"/>
              <w:adjustRightInd w:val="0"/>
              <w:jc w:val="center"/>
            </w:pPr>
          </w:p>
        </w:tc>
      </w:tr>
      <w:tr w:rsidR="00B54D51" w:rsidRPr="00037AD4" w14:paraId="767A77B6" w14:textId="77777777" w:rsidTr="00401C67">
        <w:trPr>
          <w:jc w:val="center"/>
        </w:trPr>
        <w:tc>
          <w:tcPr>
            <w:tcW w:w="977" w:type="pct"/>
            <w:tcBorders>
              <w:top w:val="nil"/>
              <w:left w:val="nil"/>
              <w:bottom w:val="nil"/>
              <w:right w:val="nil"/>
            </w:tcBorders>
          </w:tcPr>
          <w:p w14:paraId="39613D3D" w14:textId="77777777" w:rsidR="00B54D51" w:rsidRPr="00037AD4" w:rsidRDefault="00B54D51" w:rsidP="00401C67">
            <w:pPr>
              <w:widowControl w:val="0"/>
              <w:autoSpaceDE w:val="0"/>
              <w:autoSpaceDN w:val="0"/>
              <w:adjustRightInd w:val="0"/>
            </w:pPr>
          </w:p>
        </w:tc>
        <w:tc>
          <w:tcPr>
            <w:tcW w:w="673" w:type="pct"/>
            <w:tcBorders>
              <w:top w:val="nil"/>
              <w:left w:val="nil"/>
              <w:bottom w:val="nil"/>
              <w:right w:val="nil"/>
            </w:tcBorders>
          </w:tcPr>
          <w:p w14:paraId="6277226D" w14:textId="77777777" w:rsidR="00B54D51" w:rsidRPr="00037AD4" w:rsidRDefault="00B54D51" w:rsidP="00401C67">
            <w:pPr>
              <w:widowControl w:val="0"/>
              <w:autoSpaceDE w:val="0"/>
              <w:autoSpaceDN w:val="0"/>
              <w:adjustRightInd w:val="0"/>
              <w:jc w:val="center"/>
            </w:pPr>
            <w:r w:rsidRPr="00037AD4">
              <w:t>(-0.065 - 0.492)</w:t>
            </w:r>
          </w:p>
        </w:tc>
        <w:tc>
          <w:tcPr>
            <w:tcW w:w="673" w:type="pct"/>
            <w:tcBorders>
              <w:top w:val="nil"/>
              <w:left w:val="nil"/>
              <w:bottom w:val="nil"/>
              <w:right w:val="nil"/>
            </w:tcBorders>
          </w:tcPr>
          <w:p w14:paraId="0F70A490"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6F65F08A"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34C9E23B"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3FF8D444" w14:textId="77777777" w:rsidR="00B54D51" w:rsidRPr="00037AD4" w:rsidRDefault="00B54D51" w:rsidP="00401C67">
            <w:pPr>
              <w:widowControl w:val="0"/>
              <w:autoSpaceDE w:val="0"/>
              <w:autoSpaceDN w:val="0"/>
              <w:adjustRightInd w:val="0"/>
              <w:jc w:val="center"/>
            </w:pPr>
          </w:p>
        </w:tc>
        <w:tc>
          <w:tcPr>
            <w:tcW w:w="658" w:type="pct"/>
            <w:tcBorders>
              <w:top w:val="nil"/>
              <w:left w:val="nil"/>
              <w:bottom w:val="nil"/>
              <w:right w:val="nil"/>
            </w:tcBorders>
          </w:tcPr>
          <w:p w14:paraId="47F3FE95" w14:textId="77777777" w:rsidR="00B54D51" w:rsidRPr="00037AD4" w:rsidRDefault="00B54D51" w:rsidP="00401C67">
            <w:pPr>
              <w:widowControl w:val="0"/>
              <w:autoSpaceDE w:val="0"/>
              <w:autoSpaceDN w:val="0"/>
              <w:adjustRightInd w:val="0"/>
              <w:jc w:val="center"/>
            </w:pPr>
          </w:p>
        </w:tc>
      </w:tr>
      <w:tr w:rsidR="00B54D51" w:rsidRPr="00037AD4" w14:paraId="5E43D548" w14:textId="77777777" w:rsidTr="00401C67">
        <w:trPr>
          <w:jc w:val="center"/>
        </w:trPr>
        <w:tc>
          <w:tcPr>
            <w:tcW w:w="977" w:type="pct"/>
            <w:tcBorders>
              <w:top w:val="nil"/>
              <w:left w:val="nil"/>
              <w:bottom w:val="nil"/>
              <w:right w:val="nil"/>
            </w:tcBorders>
          </w:tcPr>
          <w:p w14:paraId="534F7C4C" w14:textId="77777777" w:rsidR="00B54D51" w:rsidRPr="00037AD4" w:rsidRDefault="00B54D51" w:rsidP="00401C67">
            <w:pPr>
              <w:widowControl w:val="0"/>
              <w:autoSpaceDE w:val="0"/>
              <w:autoSpaceDN w:val="0"/>
              <w:adjustRightInd w:val="0"/>
            </w:pPr>
            <w:r w:rsidRPr="00037AD4">
              <w:t>3.eq4staff_</w:t>
            </w:r>
          </w:p>
        </w:tc>
        <w:tc>
          <w:tcPr>
            <w:tcW w:w="673" w:type="pct"/>
            <w:tcBorders>
              <w:top w:val="nil"/>
              <w:left w:val="nil"/>
              <w:bottom w:val="nil"/>
              <w:right w:val="nil"/>
            </w:tcBorders>
          </w:tcPr>
          <w:p w14:paraId="2B606121" w14:textId="77777777" w:rsidR="00B54D51" w:rsidRPr="00037AD4" w:rsidRDefault="00B54D51" w:rsidP="00401C67">
            <w:pPr>
              <w:widowControl w:val="0"/>
              <w:autoSpaceDE w:val="0"/>
              <w:autoSpaceDN w:val="0"/>
              <w:adjustRightInd w:val="0"/>
              <w:jc w:val="center"/>
            </w:pPr>
            <w:r w:rsidRPr="00037AD4">
              <w:t>0.616***</w:t>
            </w:r>
          </w:p>
        </w:tc>
        <w:tc>
          <w:tcPr>
            <w:tcW w:w="673" w:type="pct"/>
            <w:tcBorders>
              <w:top w:val="nil"/>
              <w:left w:val="nil"/>
              <w:bottom w:val="nil"/>
              <w:right w:val="nil"/>
            </w:tcBorders>
          </w:tcPr>
          <w:p w14:paraId="2B7AE995"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255FD49E"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686C82EB"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25E76330" w14:textId="77777777" w:rsidR="00B54D51" w:rsidRPr="00037AD4" w:rsidRDefault="00B54D51" w:rsidP="00401C67">
            <w:pPr>
              <w:widowControl w:val="0"/>
              <w:autoSpaceDE w:val="0"/>
              <w:autoSpaceDN w:val="0"/>
              <w:adjustRightInd w:val="0"/>
              <w:jc w:val="center"/>
            </w:pPr>
          </w:p>
        </w:tc>
        <w:tc>
          <w:tcPr>
            <w:tcW w:w="658" w:type="pct"/>
            <w:tcBorders>
              <w:top w:val="nil"/>
              <w:left w:val="nil"/>
              <w:bottom w:val="nil"/>
              <w:right w:val="nil"/>
            </w:tcBorders>
          </w:tcPr>
          <w:p w14:paraId="38D4FEE8" w14:textId="77777777" w:rsidR="00B54D51" w:rsidRPr="00037AD4" w:rsidRDefault="00B54D51" w:rsidP="00401C67">
            <w:pPr>
              <w:widowControl w:val="0"/>
              <w:autoSpaceDE w:val="0"/>
              <w:autoSpaceDN w:val="0"/>
              <w:adjustRightInd w:val="0"/>
              <w:jc w:val="center"/>
            </w:pPr>
          </w:p>
        </w:tc>
      </w:tr>
      <w:tr w:rsidR="00B54D51" w:rsidRPr="00037AD4" w14:paraId="062BC23B" w14:textId="77777777" w:rsidTr="00401C67">
        <w:trPr>
          <w:jc w:val="center"/>
        </w:trPr>
        <w:tc>
          <w:tcPr>
            <w:tcW w:w="977" w:type="pct"/>
            <w:tcBorders>
              <w:top w:val="nil"/>
              <w:left w:val="nil"/>
              <w:bottom w:val="nil"/>
              <w:right w:val="nil"/>
            </w:tcBorders>
          </w:tcPr>
          <w:p w14:paraId="6B5A248A" w14:textId="77777777" w:rsidR="00B54D51" w:rsidRPr="00037AD4" w:rsidRDefault="00B54D51" w:rsidP="00401C67">
            <w:pPr>
              <w:widowControl w:val="0"/>
              <w:autoSpaceDE w:val="0"/>
              <w:autoSpaceDN w:val="0"/>
              <w:adjustRightInd w:val="0"/>
            </w:pPr>
          </w:p>
        </w:tc>
        <w:tc>
          <w:tcPr>
            <w:tcW w:w="673" w:type="pct"/>
            <w:tcBorders>
              <w:top w:val="nil"/>
              <w:left w:val="nil"/>
              <w:bottom w:val="nil"/>
              <w:right w:val="nil"/>
            </w:tcBorders>
          </w:tcPr>
          <w:p w14:paraId="7C38A5DC" w14:textId="77777777" w:rsidR="00B54D51" w:rsidRPr="00037AD4" w:rsidRDefault="00B54D51" w:rsidP="00401C67">
            <w:pPr>
              <w:widowControl w:val="0"/>
              <w:autoSpaceDE w:val="0"/>
              <w:autoSpaceDN w:val="0"/>
              <w:adjustRightInd w:val="0"/>
              <w:jc w:val="center"/>
            </w:pPr>
            <w:r w:rsidRPr="00037AD4">
              <w:t>(0.291 - 0.940)</w:t>
            </w:r>
          </w:p>
        </w:tc>
        <w:tc>
          <w:tcPr>
            <w:tcW w:w="673" w:type="pct"/>
            <w:tcBorders>
              <w:top w:val="nil"/>
              <w:left w:val="nil"/>
              <w:bottom w:val="nil"/>
              <w:right w:val="nil"/>
            </w:tcBorders>
          </w:tcPr>
          <w:p w14:paraId="243FE023"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418651E4"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590073FD"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016E9ACA" w14:textId="77777777" w:rsidR="00B54D51" w:rsidRPr="00037AD4" w:rsidRDefault="00B54D51" w:rsidP="00401C67">
            <w:pPr>
              <w:widowControl w:val="0"/>
              <w:autoSpaceDE w:val="0"/>
              <w:autoSpaceDN w:val="0"/>
              <w:adjustRightInd w:val="0"/>
              <w:jc w:val="center"/>
            </w:pPr>
          </w:p>
        </w:tc>
        <w:tc>
          <w:tcPr>
            <w:tcW w:w="658" w:type="pct"/>
            <w:tcBorders>
              <w:top w:val="nil"/>
              <w:left w:val="nil"/>
              <w:bottom w:val="nil"/>
              <w:right w:val="nil"/>
            </w:tcBorders>
          </w:tcPr>
          <w:p w14:paraId="0B34DDC0" w14:textId="77777777" w:rsidR="00B54D51" w:rsidRPr="00037AD4" w:rsidRDefault="00B54D51" w:rsidP="00401C67">
            <w:pPr>
              <w:widowControl w:val="0"/>
              <w:autoSpaceDE w:val="0"/>
              <w:autoSpaceDN w:val="0"/>
              <w:adjustRightInd w:val="0"/>
              <w:jc w:val="center"/>
            </w:pPr>
          </w:p>
        </w:tc>
      </w:tr>
      <w:tr w:rsidR="00B54D51" w:rsidRPr="00037AD4" w14:paraId="2DB42C0D" w14:textId="77777777" w:rsidTr="00401C67">
        <w:trPr>
          <w:jc w:val="center"/>
        </w:trPr>
        <w:tc>
          <w:tcPr>
            <w:tcW w:w="977" w:type="pct"/>
            <w:tcBorders>
              <w:top w:val="nil"/>
              <w:left w:val="nil"/>
              <w:bottom w:val="nil"/>
              <w:right w:val="nil"/>
            </w:tcBorders>
          </w:tcPr>
          <w:p w14:paraId="57C7083E" w14:textId="77777777" w:rsidR="00B54D51" w:rsidRPr="00037AD4" w:rsidRDefault="00B54D51" w:rsidP="00401C67">
            <w:pPr>
              <w:widowControl w:val="0"/>
              <w:autoSpaceDE w:val="0"/>
              <w:autoSpaceDN w:val="0"/>
              <w:adjustRightInd w:val="0"/>
            </w:pPr>
            <w:r w:rsidRPr="00037AD4">
              <w:t>4.eq4staff_</w:t>
            </w:r>
          </w:p>
        </w:tc>
        <w:tc>
          <w:tcPr>
            <w:tcW w:w="673" w:type="pct"/>
            <w:tcBorders>
              <w:top w:val="nil"/>
              <w:left w:val="nil"/>
              <w:bottom w:val="nil"/>
              <w:right w:val="nil"/>
            </w:tcBorders>
          </w:tcPr>
          <w:p w14:paraId="09941A91" w14:textId="77777777" w:rsidR="00B54D51" w:rsidRPr="00037AD4" w:rsidRDefault="00B54D51" w:rsidP="00401C67">
            <w:pPr>
              <w:widowControl w:val="0"/>
              <w:autoSpaceDE w:val="0"/>
              <w:autoSpaceDN w:val="0"/>
              <w:adjustRightInd w:val="0"/>
              <w:jc w:val="center"/>
            </w:pPr>
            <w:r w:rsidRPr="00037AD4">
              <w:t>0.970***</w:t>
            </w:r>
          </w:p>
        </w:tc>
        <w:tc>
          <w:tcPr>
            <w:tcW w:w="673" w:type="pct"/>
            <w:tcBorders>
              <w:top w:val="nil"/>
              <w:left w:val="nil"/>
              <w:bottom w:val="nil"/>
              <w:right w:val="nil"/>
            </w:tcBorders>
          </w:tcPr>
          <w:p w14:paraId="11CBD4FE"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53B6BD1C"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2481B4CA"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1F016627" w14:textId="77777777" w:rsidR="00B54D51" w:rsidRPr="00037AD4" w:rsidRDefault="00B54D51" w:rsidP="00401C67">
            <w:pPr>
              <w:widowControl w:val="0"/>
              <w:autoSpaceDE w:val="0"/>
              <w:autoSpaceDN w:val="0"/>
              <w:adjustRightInd w:val="0"/>
              <w:jc w:val="center"/>
            </w:pPr>
          </w:p>
        </w:tc>
        <w:tc>
          <w:tcPr>
            <w:tcW w:w="658" w:type="pct"/>
            <w:tcBorders>
              <w:top w:val="nil"/>
              <w:left w:val="nil"/>
              <w:bottom w:val="nil"/>
              <w:right w:val="nil"/>
            </w:tcBorders>
          </w:tcPr>
          <w:p w14:paraId="13B8A58F" w14:textId="77777777" w:rsidR="00B54D51" w:rsidRPr="00037AD4" w:rsidRDefault="00B54D51" w:rsidP="00401C67">
            <w:pPr>
              <w:widowControl w:val="0"/>
              <w:autoSpaceDE w:val="0"/>
              <w:autoSpaceDN w:val="0"/>
              <w:adjustRightInd w:val="0"/>
              <w:jc w:val="center"/>
            </w:pPr>
          </w:p>
        </w:tc>
      </w:tr>
      <w:tr w:rsidR="00B54D51" w:rsidRPr="00037AD4" w14:paraId="7982FEA0" w14:textId="77777777" w:rsidTr="00401C67">
        <w:trPr>
          <w:jc w:val="center"/>
        </w:trPr>
        <w:tc>
          <w:tcPr>
            <w:tcW w:w="977" w:type="pct"/>
            <w:tcBorders>
              <w:top w:val="nil"/>
              <w:left w:val="nil"/>
              <w:bottom w:val="nil"/>
              <w:right w:val="nil"/>
            </w:tcBorders>
          </w:tcPr>
          <w:p w14:paraId="740AC50A" w14:textId="77777777" w:rsidR="00B54D51" w:rsidRPr="00037AD4" w:rsidRDefault="00B54D51" w:rsidP="00401C67">
            <w:pPr>
              <w:widowControl w:val="0"/>
              <w:autoSpaceDE w:val="0"/>
              <w:autoSpaceDN w:val="0"/>
              <w:adjustRightInd w:val="0"/>
            </w:pPr>
          </w:p>
        </w:tc>
        <w:tc>
          <w:tcPr>
            <w:tcW w:w="673" w:type="pct"/>
            <w:tcBorders>
              <w:top w:val="nil"/>
              <w:left w:val="nil"/>
              <w:bottom w:val="nil"/>
              <w:right w:val="nil"/>
            </w:tcBorders>
          </w:tcPr>
          <w:p w14:paraId="5C35F410" w14:textId="77777777" w:rsidR="00B54D51" w:rsidRPr="00037AD4" w:rsidRDefault="00B54D51" w:rsidP="00401C67">
            <w:pPr>
              <w:widowControl w:val="0"/>
              <w:autoSpaceDE w:val="0"/>
              <w:autoSpaceDN w:val="0"/>
              <w:adjustRightInd w:val="0"/>
              <w:jc w:val="center"/>
            </w:pPr>
            <w:r w:rsidRPr="00037AD4">
              <w:t>(0.331 - 1.610)</w:t>
            </w:r>
          </w:p>
        </w:tc>
        <w:tc>
          <w:tcPr>
            <w:tcW w:w="673" w:type="pct"/>
            <w:tcBorders>
              <w:top w:val="nil"/>
              <w:left w:val="nil"/>
              <w:bottom w:val="nil"/>
              <w:right w:val="nil"/>
            </w:tcBorders>
          </w:tcPr>
          <w:p w14:paraId="1CE0E527"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7AC3CCC0"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4492DBCF"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510769FE" w14:textId="77777777" w:rsidR="00B54D51" w:rsidRPr="00037AD4" w:rsidRDefault="00B54D51" w:rsidP="00401C67">
            <w:pPr>
              <w:widowControl w:val="0"/>
              <w:autoSpaceDE w:val="0"/>
              <w:autoSpaceDN w:val="0"/>
              <w:adjustRightInd w:val="0"/>
              <w:jc w:val="center"/>
            </w:pPr>
          </w:p>
        </w:tc>
        <w:tc>
          <w:tcPr>
            <w:tcW w:w="658" w:type="pct"/>
            <w:tcBorders>
              <w:top w:val="nil"/>
              <w:left w:val="nil"/>
              <w:bottom w:val="nil"/>
              <w:right w:val="nil"/>
            </w:tcBorders>
          </w:tcPr>
          <w:p w14:paraId="247A0E4A" w14:textId="77777777" w:rsidR="00B54D51" w:rsidRPr="00037AD4" w:rsidRDefault="00B54D51" w:rsidP="00401C67">
            <w:pPr>
              <w:widowControl w:val="0"/>
              <w:autoSpaceDE w:val="0"/>
              <w:autoSpaceDN w:val="0"/>
              <w:adjustRightInd w:val="0"/>
              <w:jc w:val="center"/>
            </w:pPr>
          </w:p>
        </w:tc>
      </w:tr>
      <w:tr w:rsidR="00B54D51" w:rsidRPr="00037AD4" w14:paraId="5367A4EA" w14:textId="77777777" w:rsidTr="00401C67">
        <w:trPr>
          <w:jc w:val="center"/>
        </w:trPr>
        <w:tc>
          <w:tcPr>
            <w:tcW w:w="977" w:type="pct"/>
            <w:tcBorders>
              <w:top w:val="nil"/>
              <w:left w:val="nil"/>
              <w:bottom w:val="nil"/>
              <w:right w:val="nil"/>
            </w:tcBorders>
          </w:tcPr>
          <w:p w14:paraId="316F46D9" w14:textId="77777777" w:rsidR="00B54D51" w:rsidRPr="00037AD4" w:rsidRDefault="00B54D51" w:rsidP="00401C67">
            <w:pPr>
              <w:widowControl w:val="0"/>
              <w:autoSpaceDE w:val="0"/>
              <w:autoSpaceDN w:val="0"/>
              <w:adjustRightInd w:val="0"/>
            </w:pPr>
            <w:r w:rsidRPr="00037AD4">
              <w:t>5.eq4staff_</w:t>
            </w:r>
          </w:p>
        </w:tc>
        <w:tc>
          <w:tcPr>
            <w:tcW w:w="673" w:type="pct"/>
            <w:tcBorders>
              <w:top w:val="nil"/>
              <w:left w:val="nil"/>
              <w:bottom w:val="nil"/>
              <w:right w:val="nil"/>
            </w:tcBorders>
          </w:tcPr>
          <w:p w14:paraId="14FDBD17" w14:textId="77777777" w:rsidR="00B54D51" w:rsidRPr="00037AD4" w:rsidRDefault="00B54D51" w:rsidP="00401C67">
            <w:pPr>
              <w:widowControl w:val="0"/>
              <w:autoSpaceDE w:val="0"/>
              <w:autoSpaceDN w:val="0"/>
              <w:adjustRightInd w:val="0"/>
              <w:jc w:val="center"/>
            </w:pPr>
            <w:r w:rsidRPr="00037AD4">
              <w:t>0.130</w:t>
            </w:r>
          </w:p>
        </w:tc>
        <w:tc>
          <w:tcPr>
            <w:tcW w:w="673" w:type="pct"/>
            <w:tcBorders>
              <w:top w:val="nil"/>
              <w:left w:val="nil"/>
              <w:bottom w:val="nil"/>
              <w:right w:val="nil"/>
            </w:tcBorders>
          </w:tcPr>
          <w:p w14:paraId="654BCF0E"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285332AA"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1ACB70C9"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09B29E5F" w14:textId="77777777" w:rsidR="00B54D51" w:rsidRPr="00037AD4" w:rsidRDefault="00B54D51" w:rsidP="00401C67">
            <w:pPr>
              <w:widowControl w:val="0"/>
              <w:autoSpaceDE w:val="0"/>
              <w:autoSpaceDN w:val="0"/>
              <w:adjustRightInd w:val="0"/>
              <w:jc w:val="center"/>
            </w:pPr>
          </w:p>
        </w:tc>
        <w:tc>
          <w:tcPr>
            <w:tcW w:w="658" w:type="pct"/>
            <w:tcBorders>
              <w:top w:val="nil"/>
              <w:left w:val="nil"/>
              <w:bottom w:val="nil"/>
              <w:right w:val="nil"/>
            </w:tcBorders>
          </w:tcPr>
          <w:p w14:paraId="247263B4" w14:textId="77777777" w:rsidR="00B54D51" w:rsidRPr="00037AD4" w:rsidRDefault="00B54D51" w:rsidP="00401C67">
            <w:pPr>
              <w:widowControl w:val="0"/>
              <w:autoSpaceDE w:val="0"/>
              <w:autoSpaceDN w:val="0"/>
              <w:adjustRightInd w:val="0"/>
              <w:jc w:val="center"/>
            </w:pPr>
          </w:p>
        </w:tc>
      </w:tr>
      <w:tr w:rsidR="00B54D51" w:rsidRPr="00037AD4" w14:paraId="1472DB40" w14:textId="77777777" w:rsidTr="00401C67">
        <w:trPr>
          <w:jc w:val="center"/>
        </w:trPr>
        <w:tc>
          <w:tcPr>
            <w:tcW w:w="977" w:type="pct"/>
            <w:tcBorders>
              <w:top w:val="nil"/>
              <w:left w:val="nil"/>
              <w:bottom w:val="nil"/>
              <w:right w:val="nil"/>
            </w:tcBorders>
          </w:tcPr>
          <w:p w14:paraId="4A2E8B82" w14:textId="77777777" w:rsidR="00B54D51" w:rsidRPr="00037AD4" w:rsidRDefault="00B54D51" w:rsidP="00401C67">
            <w:pPr>
              <w:widowControl w:val="0"/>
              <w:autoSpaceDE w:val="0"/>
              <w:autoSpaceDN w:val="0"/>
              <w:adjustRightInd w:val="0"/>
            </w:pPr>
          </w:p>
        </w:tc>
        <w:tc>
          <w:tcPr>
            <w:tcW w:w="673" w:type="pct"/>
            <w:tcBorders>
              <w:top w:val="nil"/>
              <w:left w:val="nil"/>
              <w:bottom w:val="nil"/>
              <w:right w:val="nil"/>
            </w:tcBorders>
          </w:tcPr>
          <w:p w14:paraId="76AAE6A5" w14:textId="77777777" w:rsidR="00B54D51" w:rsidRPr="00037AD4" w:rsidRDefault="00B54D51" w:rsidP="00401C67">
            <w:pPr>
              <w:widowControl w:val="0"/>
              <w:autoSpaceDE w:val="0"/>
              <w:autoSpaceDN w:val="0"/>
              <w:adjustRightInd w:val="0"/>
              <w:jc w:val="center"/>
            </w:pPr>
            <w:r w:rsidRPr="00037AD4">
              <w:t>(-1.428 - 1.687)</w:t>
            </w:r>
          </w:p>
        </w:tc>
        <w:tc>
          <w:tcPr>
            <w:tcW w:w="673" w:type="pct"/>
            <w:tcBorders>
              <w:top w:val="nil"/>
              <w:left w:val="nil"/>
              <w:bottom w:val="nil"/>
              <w:right w:val="nil"/>
            </w:tcBorders>
          </w:tcPr>
          <w:p w14:paraId="155F41C7"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026B3043"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652719F5"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281BBEE0" w14:textId="77777777" w:rsidR="00B54D51" w:rsidRPr="00037AD4" w:rsidRDefault="00B54D51" w:rsidP="00401C67">
            <w:pPr>
              <w:widowControl w:val="0"/>
              <w:autoSpaceDE w:val="0"/>
              <w:autoSpaceDN w:val="0"/>
              <w:adjustRightInd w:val="0"/>
              <w:jc w:val="center"/>
            </w:pPr>
          </w:p>
        </w:tc>
        <w:tc>
          <w:tcPr>
            <w:tcW w:w="658" w:type="pct"/>
            <w:tcBorders>
              <w:top w:val="nil"/>
              <w:left w:val="nil"/>
              <w:bottom w:val="nil"/>
              <w:right w:val="nil"/>
            </w:tcBorders>
          </w:tcPr>
          <w:p w14:paraId="4B764CF3" w14:textId="77777777" w:rsidR="00B54D51" w:rsidRPr="00037AD4" w:rsidRDefault="00B54D51" w:rsidP="00401C67">
            <w:pPr>
              <w:widowControl w:val="0"/>
              <w:autoSpaceDE w:val="0"/>
              <w:autoSpaceDN w:val="0"/>
              <w:adjustRightInd w:val="0"/>
              <w:jc w:val="center"/>
            </w:pPr>
          </w:p>
        </w:tc>
      </w:tr>
      <w:tr w:rsidR="00B54D51" w:rsidRPr="00037AD4" w14:paraId="1ADB85CE" w14:textId="77777777" w:rsidTr="00401C67">
        <w:trPr>
          <w:jc w:val="center"/>
        </w:trPr>
        <w:tc>
          <w:tcPr>
            <w:tcW w:w="977" w:type="pct"/>
            <w:tcBorders>
              <w:top w:val="nil"/>
              <w:left w:val="nil"/>
              <w:bottom w:val="nil"/>
              <w:right w:val="nil"/>
            </w:tcBorders>
          </w:tcPr>
          <w:p w14:paraId="1551D8FB" w14:textId="77777777" w:rsidR="00B54D51" w:rsidRPr="00037AD4" w:rsidRDefault="00B54D51" w:rsidP="00401C67">
            <w:pPr>
              <w:widowControl w:val="0"/>
              <w:autoSpaceDE w:val="0"/>
              <w:autoSpaceDN w:val="0"/>
              <w:adjustRightInd w:val="0"/>
            </w:pPr>
            <w:r w:rsidRPr="00037AD4">
              <w:t>2.eq1staff_</w:t>
            </w:r>
          </w:p>
        </w:tc>
        <w:tc>
          <w:tcPr>
            <w:tcW w:w="673" w:type="pct"/>
            <w:tcBorders>
              <w:top w:val="nil"/>
              <w:left w:val="nil"/>
              <w:bottom w:val="nil"/>
              <w:right w:val="nil"/>
            </w:tcBorders>
          </w:tcPr>
          <w:p w14:paraId="7FFDC788" w14:textId="77777777" w:rsidR="00B54D51" w:rsidRPr="00037AD4" w:rsidRDefault="00B54D51" w:rsidP="00401C67">
            <w:pPr>
              <w:widowControl w:val="0"/>
              <w:autoSpaceDE w:val="0"/>
              <w:autoSpaceDN w:val="0"/>
              <w:adjustRightInd w:val="0"/>
              <w:jc w:val="center"/>
            </w:pPr>
            <w:r w:rsidRPr="00037AD4">
              <w:t>0.029</w:t>
            </w:r>
          </w:p>
        </w:tc>
        <w:tc>
          <w:tcPr>
            <w:tcW w:w="673" w:type="pct"/>
            <w:tcBorders>
              <w:top w:val="nil"/>
              <w:left w:val="nil"/>
              <w:bottom w:val="nil"/>
              <w:right w:val="nil"/>
            </w:tcBorders>
          </w:tcPr>
          <w:p w14:paraId="45DCAF02"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3E32AA48"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38BB5BBB"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06BAEB08" w14:textId="77777777" w:rsidR="00B54D51" w:rsidRPr="00037AD4" w:rsidRDefault="00B54D51" w:rsidP="00401C67">
            <w:pPr>
              <w:widowControl w:val="0"/>
              <w:autoSpaceDE w:val="0"/>
              <w:autoSpaceDN w:val="0"/>
              <w:adjustRightInd w:val="0"/>
              <w:jc w:val="center"/>
            </w:pPr>
          </w:p>
        </w:tc>
        <w:tc>
          <w:tcPr>
            <w:tcW w:w="658" w:type="pct"/>
            <w:tcBorders>
              <w:top w:val="nil"/>
              <w:left w:val="nil"/>
              <w:bottom w:val="nil"/>
              <w:right w:val="nil"/>
            </w:tcBorders>
          </w:tcPr>
          <w:p w14:paraId="4BD73A11" w14:textId="77777777" w:rsidR="00B54D51" w:rsidRPr="00037AD4" w:rsidRDefault="00B54D51" w:rsidP="00401C67">
            <w:pPr>
              <w:widowControl w:val="0"/>
              <w:autoSpaceDE w:val="0"/>
              <w:autoSpaceDN w:val="0"/>
              <w:adjustRightInd w:val="0"/>
              <w:jc w:val="center"/>
            </w:pPr>
          </w:p>
        </w:tc>
      </w:tr>
      <w:tr w:rsidR="00B54D51" w:rsidRPr="00037AD4" w14:paraId="019EB8BC" w14:textId="77777777" w:rsidTr="00401C67">
        <w:trPr>
          <w:jc w:val="center"/>
        </w:trPr>
        <w:tc>
          <w:tcPr>
            <w:tcW w:w="977" w:type="pct"/>
            <w:tcBorders>
              <w:top w:val="nil"/>
              <w:left w:val="nil"/>
              <w:bottom w:val="nil"/>
              <w:right w:val="nil"/>
            </w:tcBorders>
          </w:tcPr>
          <w:p w14:paraId="72A8EB54" w14:textId="77777777" w:rsidR="00B54D51" w:rsidRPr="00037AD4" w:rsidRDefault="00B54D51" w:rsidP="00401C67">
            <w:pPr>
              <w:widowControl w:val="0"/>
              <w:autoSpaceDE w:val="0"/>
              <w:autoSpaceDN w:val="0"/>
              <w:adjustRightInd w:val="0"/>
            </w:pPr>
          </w:p>
        </w:tc>
        <w:tc>
          <w:tcPr>
            <w:tcW w:w="673" w:type="pct"/>
            <w:tcBorders>
              <w:top w:val="nil"/>
              <w:left w:val="nil"/>
              <w:bottom w:val="nil"/>
              <w:right w:val="nil"/>
            </w:tcBorders>
          </w:tcPr>
          <w:p w14:paraId="5558D7E5" w14:textId="77777777" w:rsidR="00B54D51" w:rsidRPr="00037AD4" w:rsidRDefault="00B54D51" w:rsidP="00401C67">
            <w:pPr>
              <w:widowControl w:val="0"/>
              <w:autoSpaceDE w:val="0"/>
              <w:autoSpaceDN w:val="0"/>
              <w:adjustRightInd w:val="0"/>
              <w:jc w:val="center"/>
            </w:pPr>
            <w:r w:rsidRPr="00037AD4">
              <w:t>(-0.268 - 0.327)</w:t>
            </w:r>
          </w:p>
        </w:tc>
        <w:tc>
          <w:tcPr>
            <w:tcW w:w="673" w:type="pct"/>
            <w:tcBorders>
              <w:top w:val="nil"/>
              <w:left w:val="nil"/>
              <w:bottom w:val="nil"/>
              <w:right w:val="nil"/>
            </w:tcBorders>
          </w:tcPr>
          <w:p w14:paraId="4C5F5910"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00E891BC"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752B8161"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210F6D43" w14:textId="77777777" w:rsidR="00B54D51" w:rsidRPr="00037AD4" w:rsidRDefault="00B54D51" w:rsidP="00401C67">
            <w:pPr>
              <w:widowControl w:val="0"/>
              <w:autoSpaceDE w:val="0"/>
              <w:autoSpaceDN w:val="0"/>
              <w:adjustRightInd w:val="0"/>
              <w:jc w:val="center"/>
            </w:pPr>
          </w:p>
        </w:tc>
        <w:tc>
          <w:tcPr>
            <w:tcW w:w="658" w:type="pct"/>
            <w:tcBorders>
              <w:top w:val="nil"/>
              <w:left w:val="nil"/>
              <w:bottom w:val="nil"/>
              <w:right w:val="nil"/>
            </w:tcBorders>
          </w:tcPr>
          <w:p w14:paraId="67DF6E7E" w14:textId="77777777" w:rsidR="00B54D51" w:rsidRPr="00037AD4" w:rsidRDefault="00B54D51" w:rsidP="00401C67">
            <w:pPr>
              <w:widowControl w:val="0"/>
              <w:autoSpaceDE w:val="0"/>
              <w:autoSpaceDN w:val="0"/>
              <w:adjustRightInd w:val="0"/>
              <w:jc w:val="center"/>
            </w:pPr>
          </w:p>
        </w:tc>
      </w:tr>
      <w:tr w:rsidR="00B54D51" w:rsidRPr="00037AD4" w14:paraId="476E076C" w14:textId="77777777" w:rsidTr="00401C67">
        <w:trPr>
          <w:jc w:val="center"/>
        </w:trPr>
        <w:tc>
          <w:tcPr>
            <w:tcW w:w="977" w:type="pct"/>
            <w:tcBorders>
              <w:top w:val="nil"/>
              <w:left w:val="nil"/>
              <w:bottom w:val="nil"/>
              <w:right w:val="nil"/>
            </w:tcBorders>
          </w:tcPr>
          <w:p w14:paraId="4121B96C" w14:textId="77777777" w:rsidR="00B54D51" w:rsidRPr="00037AD4" w:rsidRDefault="00B54D51" w:rsidP="00401C67">
            <w:pPr>
              <w:widowControl w:val="0"/>
              <w:autoSpaceDE w:val="0"/>
              <w:autoSpaceDN w:val="0"/>
              <w:adjustRightInd w:val="0"/>
            </w:pPr>
            <w:r w:rsidRPr="00037AD4">
              <w:t>3.eq1staff_</w:t>
            </w:r>
          </w:p>
        </w:tc>
        <w:tc>
          <w:tcPr>
            <w:tcW w:w="673" w:type="pct"/>
            <w:tcBorders>
              <w:top w:val="nil"/>
              <w:left w:val="nil"/>
              <w:bottom w:val="nil"/>
              <w:right w:val="nil"/>
            </w:tcBorders>
          </w:tcPr>
          <w:p w14:paraId="45D335C2" w14:textId="77777777" w:rsidR="00B54D51" w:rsidRPr="00037AD4" w:rsidRDefault="00B54D51" w:rsidP="00401C67">
            <w:pPr>
              <w:widowControl w:val="0"/>
              <w:autoSpaceDE w:val="0"/>
              <w:autoSpaceDN w:val="0"/>
              <w:adjustRightInd w:val="0"/>
              <w:jc w:val="center"/>
            </w:pPr>
            <w:r w:rsidRPr="00037AD4">
              <w:t>0.329**</w:t>
            </w:r>
          </w:p>
        </w:tc>
        <w:tc>
          <w:tcPr>
            <w:tcW w:w="673" w:type="pct"/>
            <w:tcBorders>
              <w:top w:val="nil"/>
              <w:left w:val="nil"/>
              <w:bottom w:val="nil"/>
              <w:right w:val="nil"/>
            </w:tcBorders>
          </w:tcPr>
          <w:p w14:paraId="52C22A64"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7DE13323"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4373CCBC"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4C822E6C" w14:textId="77777777" w:rsidR="00B54D51" w:rsidRPr="00037AD4" w:rsidRDefault="00B54D51" w:rsidP="00401C67">
            <w:pPr>
              <w:widowControl w:val="0"/>
              <w:autoSpaceDE w:val="0"/>
              <w:autoSpaceDN w:val="0"/>
              <w:adjustRightInd w:val="0"/>
              <w:jc w:val="center"/>
            </w:pPr>
          </w:p>
        </w:tc>
        <w:tc>
          <w:tcPr>
            <w:tcW w:w="658" w:type="pct"/>
            <w:tcBorders>
              <w:top w:val="nil"/>
              <w:left w:val="nil"/>
              <w:bottom w:val="nil"/>
              <w:right w:val="nil"/>
            </w:tcBorders>
          </w:tcPr>
          <w:p w14:paraId="393BD52E" w14:textId="77777777" w:rsidR="00B54D51" w:rsidRPr="00037AD4" w:rsidRDefault="00B54D51" w:rsidP="00401C67">
            <w:pPr>
              <w:widowControl w:val="0"/>
              <w:autoSpaceDE w:val="0"/>
              <w:autoSpaceDN w:val="0"/>
              <w:adjustRightInd w:val="0"/>
              <w:jc w:val="center"/>
            </w:pPr>
          </w:p>
        </w:tc>
      </w:tr>
      <w:tr w:rsidR="00B54D51" w:rsidRPr="00037AD4" w14:paraId="2B178933" w14:textId="77777777" w:rsidTr="00401C67">
        <w:trPr>
          <w:jc w:val="center"/>
        </w:trPr>
        <w:tc>
          <w:tcPr>
            <w:tcW w:w="977" w:type="pct"/>
            <w:tcBorders>
              <w:top w:val="nil"/>
              <w:left w:val="nil"/>
              <w:bottom w:val="nil"/>
              <w:right w:val="nil"/>
            </w:tcBorders>
          </w:tcPr>
          <w:p w14:paraId="631F9F89" w14:textId="77777777" w:rsidR="00B54D51" w:rsidRPr="00037AD4" w:rsidRDefault="00B54D51" w:rsidP="00401C67">
            <w:pPr>
              <w:widowControl w:val="0"/>
              <w:autoSpaceDE w:val="0"/>
              <w:autoSpaceDN w:val="0"/>
              <w:adjustRightInd w:val="0"/>
            </w:pPr>
          </w:p>
        </w:tc>
        <w:tc>
          <w:tcPr>
            <w:tcW w:w="673" w:type="pct"/>
            <w:tcBorders>
              <w:top w:val="nil"/>
              <w:left w:val="nil"/>
              <w:bottom w:val="nil"/>
              <w:right w:val="nil"/>
            </w:tcBorders>
          </w:tcPr>
          <w:p w14:paraId="4F383AC9" w14:textId="77777777" w:rsidR="00B54D51" w:rsidRPr="00037AD4" w:rsidRDefault="00B54D51" w:rsidP="00401C67">
            <w:pPr>
              <w:widowControl w:val="0"/>
              <w:autoSpaceDE w:val="0"/>
              <w:autoSpaceDN w:val="0"/>
              <w:adjustRightInd w:val="0"/>
              <w:jc w:val="center"/>
            </w:pPr>
            <w:r w:rsidRPr="00037AD4">
              <w:t>(0.043 - 0.614)</w:t>
            </w:r>
          </w:p>
        </w:tc>
        <w:tc>
          <w:tcPr>
            <w:tcW w:w="673" w:type="pct"/>
            <w:tcBorders>
              <w:top w:val="nil"/>
              <w:left w:val="nil"/>
              <w:bottom w:val="nil"/>
              <w:right w:val="nil"/>
            </w:tcBorders>
          </w:tcPr>
          <w:p w14:paraId="3B342010"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59BEE6FE"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0BB08EAB"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0F5DFB49" w14:textId="77777777" w:rsidR="00B54D51" w:rsidRPr="00037AD4" w:rsidRDefault="00B54D51" w:rsidP="00401C67">
            <w:pPr>
              <w:widowControl w:val="0"/>
              <w:autoSpaceDE w:val="0"/>
              <w:autoSpaceDN w:val="0"/>
              <w:adjustRightInd w:val="0"/>
              <w:jc w:val="center"/>
            </w:pPr>
          </w:p>
        </w:tc>
        <w:tc>
          <w:tcPr>
            <w:tcW w:w="658" w:type="pct"/>
            <w:tcBorders>
              <w:top w:val="nil"/>
              <w:left w:val="nil"/>
              <w:bottom w:val="nil"/>
              <w:right w:val="nil"/>
            </w:tcBorders>
          </w:tcPr>
          <w:p w14:paraId="237DC5BC" w14:textId="77777777" w:rsidR="00B54D51" w:rsidRPr="00037AD4" w:rsidRDefault="00B54D51" w:rsidP="00401C67">
            <w:pPr>
              <w:widowControl w:val="0"/>
              <w:autoSpaceDE w:val="0"/>
              <w:autoSpaceDN w:val="0"/>
              <w:adjustRightInd w:val="0"/>
              <w:jc w:val="center"/>
            </w:pPr>
          </w:p>
        </w:tc>
      </w:tr>
      <w:tr w:rsidR="00B54D51" w:rsidRPr="00037AD4" w14:paraId="075EB33F" w14:textId="77777777" w:rsidTr="00401C67">
        <w:trPr>
          <w:jc w:val="center"/>
        </w:trPr>
        <w:tc>
          <w:tcPr>
            <w:tcW w:w="977" w:type="pct"/>
            <w:tcBorders>
              <w:top w:val="nil"/>
              <w:left w:val="nil"/>
              <w:bottom w:val="nil"/>
              <w:right w:val="nil"/>
            </w:tcBorders>
          </w:tcPr>
          <w:p w14:paraId="40F74371" w14:textId="77777777" w:rsidR="00B54D51" w:rsidRPr="00037AD4" w:rsidRDefault="00B54D51" w:rsidP="00401C67">
            <w:pPr>
              <w:widowControl w:val="0"/>
              <w:autoSpaceDE w:val="0"/>
              <w:autoSpaceDN w:val="0"/>
              <w:adjustRightInd w:val="0"/>
            </w:pPr>
            <w:r w:rsidRPr="00037AD4">
              <w:t>4.eq1staff_</w:t>
            </w:r>
          </w:p>
        </w:tc>
        <w:tc>
          <w:tcPr>
            <w:tcW w:w="673" w:type="pct"/>
            <w:tcBorders>
              <w:top w:val="nil"/>
              <w:left w:val="nil"/>
              <w:bottom w:val="nil"/>
              <w:right w:val="nil"/>
            </w:tcBorders>
          </w:tcPr>
          <w:p w14:paraId="68E31EB0" w14:textId="77777777" w:rsidR="00B54D51" w:rsidRPr="00037AD4" w:rsidRDefault="00B54D51" w:rsidP="00401C67">
            <w:pPr>
              <w:widowControl w:val="0"/>
              <w:autoSpaceDE w:val="0"/>
              <w:autoSpaceDN w:val="0"/>
              <w:adjustRightInd w:val="0"/>
              <w:jc w:val="center"/>
            </w:pPr>
            <w:r w:rsidRPr="00037AD4">
              <w:t>0.033</w:t>
            </w:r>
          </w:p>
        </w:tc>
        <w:tc>
          <w:tcPr>
            <w:tcW w:w="673" w:type="pct"/>
            <w:tcBorders>
              <w:top w:val="nil"/>
              <w:left w:val="nil"/>
              <w:bottom w:val="nil"/>
              <w:right w:val="nil"/>
            </w:tcBorders>
          </w:tcPr>
          <w:p w14:paraId="6C1D4191"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39694CA4"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17ADF7E3"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080B7DCF" w14:textId="77777777" w:rsidR="00B54D51" w:rsidRPr="00037AD4" w:rsidRDefault="00B54D51" w:rsidP="00401C67">
            <w:pPr>
              <w:widowControl w:val="0"/>
              <w:autoSpaceDE w:val="0"/>
              <w:autoSpaceDN w:val="0"/>
              <w:adjustRightInd w:val="0"/>
              <w:jc w:val="center"/>
            </w:pPr>
          </w:p>
        </w:tc>
        <w:tc>
          <w:tcPr>
            <w:tcW w:w="658" w:type="pct"/>
            <w:tcBorders>
              <w:top w:val="nil"/>
              <w:left w:val="nil"/>
              <w:bottom w:val="nil"/>
              <w:right w:val="nil"/>
            </w:tcBorders>
          </w:tcPr>
          <w:p w14:paraId="3BE62679" w14:textId="77777777" w:rsidR="00B54D51" w:rsidRPr="00037AD4" w:rsidRDefault="00B54D51" w:rsidP="00401C67">
            <w:pPr>
              <w:widowControl w:val="0"/>
              <w:autoSpaceDE w:val="0"/>
              <w:autoSpaceDN w:val="0"/>
              <w:adjustRightInd w:val="0"/>
              <w:jc w:val="center"/>
            </w:pPr>
          </w:p>
        </w:tc>
      </w:tr>
      <w:tr w:rsidR="00B54D51" w:rsidRPr="00037AD4" w14:paraId="483E73F2" w14:textId="77777777" w:rsidTr="00401C67">
        <w:trPr>
          <w:jc w:val="center"/>
        </w:trPr>
        <w:tc>
          <w:tcPr>
            <w:tcW w:w="977" w:type="pct"/>
            <w:tcBorders>
              <w:top w:val="nil"/>
              <w:left w:val="nil"/>
              <w:bottom w:val="nil"/>
              <w:right w:val="nil"/>
            </w:tcBorders>
          </w:tcPr>
          <w:p w14:paraId="570F2FB5" w14:textId="77777777" w:rsidR="00B54D51" w:rsidRPr="00037AD4" w:rsidRDefault="00B54D51" w:rsidP="00401C67">
            <w:pPr>
              <w:widowControl w:val="0"/>
              <w:autoSpaceDE w:val="0"/>
              <w:autoSpaceDN w:val="0"/>
              <w:adjustRightInd w:val="0"/>
            </w:pPr>
          </w:p>
        </w:tc>
        <w:tc>
          <w:tcPr>
            <w:tcW w:w="673" w:type="pct"/>
            <w:tcBorders>
              <w:top w:val="nil"/>
              <w:left w:val="nil"/>
              <w:bottom w:val="nil"/>
              <w:right w:val="nil"/>
            </w:tcBorders>
          </w:tcPr>
          <w:p w14:paraId="7CA618F4" w14:textId="77777777" w:rsidR="00B54D51" w:rsidRPr="00037AD4" w:rsidRDefault="00B54D51" w:rsidP="00401C67">
            <w:pPr>
              <w:widowControl w:val="0"/>
              <w:autoSpaceDE w:val="0"/>
              <w:autoSpaceDN w:val="0"/>
              <w:adjustRightInd w:val="0"/>
              <w:jc w:val="center"/>
            </w:pPr>
            <w:r w:rsidRPr="00037AD4">
              <w:t>(-0.403 - 0.469)</w:t>
            </w:r>
          </w:p>
        </w:tc>
        <w:tc>
          <w:tcPr>
            <w:tcW w:w="673" w:type="pct"/>
            <w:tcBorders>
              <w:top w:val="nil"/>
              <w:left w:val="nil"/>
              <w:bottom w:val="nil"/>
              <w:right w:val="nil"/>
            </w:tcBorders>
          </w:tcPr>
          <w:p w14:paraId="0B183F8E"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3C4AE841"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20BCCBE6"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05E6F892" w14:textId="77777777" w:rsidR="00B54D51" w:rsidRPr="00037AD4" w:rsidRDefault="00B54D51" w:rsidP="00401C67">
            <w:pPr>
              <w:widowControl w:val="0"/>
              <w:autoSpaceDE w:val="0"/>
              <w:autoSpaceDN w:val="0"/>
              <w:adjustRightInd w:val="0"/>
              <w:jc w:val="center"/>
            </w:pPr>
          </w:p>
        </w:tc>
        <w:tc>
          <w:tcPr>
            <w:tcW w:w="658" w:type="pct"/>
            <w:tcBorders>
              <w:top w:val="nil"/>
              <w:left w:val="nil"/>
              <w:bottom w:val="nil"/>
              <w:right w:val="nil"/>
            </w:tcBorders>
          </w:tcPr>
          <w:p w14:paraId="08DAAD7E" w14:textId="77777777" w:rsidR="00B54D51" w:rsidRPr="00037AD4" w:rsidRDefault="00B54D51" w:rsidP="00401C67">
            <w:pPr>
              <w:widowControl w:val="0"/>
              <w:autoSpaceDE w:val="0"/>
              <w:autoSpaceDN w:val="0"/>
              <w:adjustRightInd w:val="0"/>
              <w:jc w:val="center"/>
            </w:pPr>
          </w:p>
        </w:tc>
      </w:tr>
      <w:tr w:rsidR="00B54D51" w:rsidRPr="00037AD4" w14:paraId="5A28534F" w14:textId="77777777" w:rsidTr="00401C67">
        <w:trPr>
          <w:jc w:val="center"/>
        </w:trPr>
        <w:tc>
          <w:tcPr>
            <w:tcW w:w="977" w:type="pct"/>
            <w:tcBorders>
              <w:top w:val="nil"/>
              <w:left w:val="nil"/>
              <w:bottom w:val="nil"/>
              <w:right w:val="nil"/>
            </w:tcBorders>
          </w:tcPr>
          <w:p w14:paraId="1EF2D518" w14:textId="77777777" w:rsidR="00B54D51" w:rsidRPr="00037AD4" w:rsidRDefault="00B54D51" w:rsidP="00401C67">
            <w:pPr>
              <w:widowControl w:val="0"/>
              <w:autoSpaceDE w:val="0"/>
              <w:autoSpaceDN w:val="0"/>
              <w:adjustRightInd w:val="0"/>
            </w:pPr>
            <w:r w:rsidRPr="00037AD4">
              <w:t>5.eq1staff_</w:t>
            </w:r>
          </w:p>
        </w:tc>
        <w:tc>
          <w:tcPr>
            <w:tcW w:w="673" w:type="pct"/>
            <w:tcBorders>
              <w:top w:val="nil"/>
              <w:left w:val="nil"/>
              <w:bottom w:val="nil"/>
              <w:right w:val="nil"/>
            </w:tcBorders>
          </w:tcPr>
          <w:p w14:paraId="64E5CCD0" w14:textId="77777777" w:rsidR="00B54D51" w:rsidRPr="00037AD4" w:rsidRDefault="00B54D51" w:rsidP="00401C67">
            <w:pPr>
              <w:widowControl w:val="0"/>
              <w:autoSpaceDE w:val="0"/>
              <w:autoSpaceDN w:val="0"/>
              <w:adjustRightInd w:val="0"/>
              <w:jc w:val="center"/>
            </w:pPr>
            <w:r w:rsidRPr="00037AD4">
              <w:t>0.364**</w:t>
            </w:r>
          </w:p>
        </w:tc>
        <w:tc>
          <w:tcPr>
            <w:tcW w:w="673" w:type="pct"/>
            <w:tcBorders>
              <w:top w:val="nil"/>
              <w:left w:val="nil"/>
              <w:bottom w:val="nil"/>
              <w:right w:val="nil"/>
            </w:tcBorders>
          </w:tcPr>
          <w:p w14:paraId="5EEF3242"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196800FF"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45FAE325"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44E8D83C" w14:textId="77777777" w:rsidR="00B54D51" w:rsidRPr="00037AD4" w:rsidRDefault="00B54D51" w:rsidP="00401C67">
            <w:pPr>
              <w:widowControl w:val="0"/>
              <w:autoSpaceDE w:val="0"/>
              <w:autoSpaceDN w:val="0"/>
              <w:adjustRightInd w:val="0"/>
              <w:jc w:val="center"/>
            </w:pPr>
          </w:p>
        </w:tc>
        <w:tc>
          <w:tcPr>
            <w:tcW w:w="658" w:type="pct"/>
            <w:tcBorders>
              <w:top w:val="nil"/>
              <w:left w:val="nil"/>
              <w:bottom w:val="nil"/>
              <w:right w:val="nil"/>
            </w:tcBorders>
          </w:tcPr>
          <w:p w14:paraId="33BC4ED0" w14:textId="77777777" w:rsidR="00B54D51" w:rsidRPr="00037AD4" w:rsidRDefault="00B54D51" w:rsidP="00401C67">
            <w:pPr>
              <w:widowControl w:val="0"/>
              <w:autoSpaceDE w:val="0"/>
              <w:autoSpaceDN w:val="0"/>
              <w:adjustRightInd w:val="0"/>
              <w:jc w:val="center"/>
            </w:pPr>
          </w:p>
        </w:tc>
      </w:tr>
      <w:tr w:rsidR="00B54D51" w:rsidRPr="00037AD4" w14:paraId="03B609D2" w14:textId="77777777" w:rsidTr="00401C67">
        <w:trPr>
          <w:jc w:val="center"/>
        </w:trPr>
        <w:tc>
          <w:tcPr>
            <w:tcW w:w="977" w:type="pct"/>
            <w:tcBorders>
              <w:top w:val="nil"/>
              <w:left w:val="nil"/>
              <w:bottom w:val="nil"/>
              <w:right w:val="nil"/>
            </w:tcBorders>
          </w:tcPr>
          <w:p w14:paraId="5810DE0E" w14:textId="77777777" w:rsidR="00B54D51" w:rsidRPr="00037AD4" w:rsidRDefault="00B54D51" w:rsidP="00401C67">
            <w:pPr>
              <w:widowControl w:val="0"/>
              <w:autoSpaceDE w:val="0"/>
              <w:autoSpaceDN w:val="0"/>
              <w:adjustRightInd w:val="0"/>
            </w:pPr>
          </w:p>
        </w:tc>
        <w:tc>
          <w:tcPr>
            <w:tcW w:w="673" w:type="pct"/>
            <w:tcBorders>
              <w:top w:val="nil"/>
              <w:left w:val="nil"/>
              <w:bottom w:val="nil"/>
              <w:right w:val="nil"/>
            </w:tcBorders>
          </w:tcPr>
          <w:p w14:paraId="1A23AF8E" w14:textId="77777777" w:rsidR="00B54D51" w:rsidRPr="00037AD4" w:rsidRDefault="00B54D51" w:rsidP="00401C67">
            <w:pPr>
              <w:widowControl w:val="0"/>
              <w:autoSpaceDE w:val="0"/>
              <w:autoSpaceDN w:val="0"/>
              <w:adjustRightInd w:val="0"/>
              <w:jc w:val="center"/>
            </w:pPr>
            <w:r w:rsidRPr="00037AD4">
              <w:t>(0.055 - 0.672)</w:t>
            </w:r>
          </w:p>
        </w:tc>
        <w:tc>
          <w:tcPr>
            <w:tcW w:w="673" w:type="pct"/>
            <w:tcBorders>
              <w:top w:val="nil"/>
              <w:left w:val="nil"/>
              <w:bottom w:val="nil"/>
              <w:right w:val="nil"/>
            </w:tcBorders>
          </w:tcPr>
          <w:p w14:paraId="6612A6B6"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749282EF"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33B5FD77"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67C994C5" w14:textId="77777777" w:rsidR="00B54D51" w:rsidRPr="00037AD4" w:rsidRDefault="00B54D51" w:rsidP="00401C67">
            <w:pPr>
              <w:widowControl w:val="0"/>
              <w:autoSpaceDE w:val="0"/>
              <w:autoSpaceDN w:val="0"/>
              <w:adjustRightInd w:val="0"/>
              <w:jc w:val="center"/>
            </w:pPr>
          </w:p>
        </w:tc>
        <w:tc>
          <w:tcPr>
            <w:tcW w:w="658" w:type="pct"/>
            <w:tcBorders>
              <w:top w:val="nil"/>
              <w:left w:val="nil"/>
              <w:bottom w:val="nil"/>
              <w:right w:val="nil"/>
            </w:tcBorders>
          </w:tcPr>
          <w:p w14:paraId="3B5D41E7" w14:textId="77777777" w:rsidR="00B54D51" w:rsidRPr="00037AD4" w:rsidRDefault="00B54D51" w:rsidP="00401C67">
            <w:pPr>
              <w:widowControl w:val="0"/>
              <w:autoSpaceDE w:val="0"/>
              <w:autoSpaceDN w:val="0"/>
              <w:adjustRightInd w:val="0"/>
              <w:jc w:val="center"/>
            </w:pPr>
          </w:p>
        </w:tc>
      </w:tr>
      <w:tr w:rsidR="00B54D51" w:rsidRPr="00037AD4" w14:paraId="04875744" w14:textId="77777777" w:rsidTr="00401C67">
        <w:trPr>
          <w:jc w:val="center"/>
        </w:trPr>
        <w:tc>
          <w:tcPr>
            <w:tcW w:w="977" w:type="pct"/>
            <w:tcBorders>
              <w:top w:val="nil"/>
              <w:left w:val="nil"/>
              <w:bottom w:val="nil"/>
              <w:right w:val="nil"/>
            </w:tcBorders>
          </w:tcPr>
          <w:p w14:paraId="79A37B07" w14:textId="77777777" w:rsidR="00B54D51" w:rsidRPr="00037AD4" w:rsidRDefault="00B54D51" w:rsidP="00401C67">
            <w:pPr>
              <w:widowControl w:val="0"/>
              <w:autoSpaceDE w:val="0"/>
              <w:autoSpaceDN w:val="0"/>
              <w:adjustRightInd w:val="0"/>
            </w:pPr>
            <w:r w:rsidRPr="00037AD4">
              <w:t>2.eq2staff_</w:t>
            </w:r>
          </w:p>
        </w:tc>
        <w:tc>
          <w:tcPr>
            <w:tcW w:w="673" w:type="pct"/>
            <w:tcBorders>
              <w:top w:val="nil"/>
              <w:left w:val="nil"/>
              <w:bottom w:val="nil"/>
              <w:right w:val="nil"/>
            </w:tcBorders>
          </w:tcPr>
          <w:p w14:paraId="0FB3AF29" w14:textId="77777777" w:rsidR="00B54D51" w:rsidRPr="00037AD4" w:rsidRDefault="00B54D51" w:rsidP="00401C67">
            <w:pPr>
              <w:widowControl w:val="0"/>
              <w:autoSpaceDE w:val="0"/>
              <w:autoSpaceDN w:val="0"/>
              <w:adjustRightInd w:val="0"/>
              <w:jc w:val="center"/>
            </w:pPr>
            <w:r w:rsidRPr="00037AD4">
              <w:t>0.296*</w:t>
            </w:r>
          </w:p>
        </w:tc>
        <w:tc>
          <w:tcPr>
            <w:tcW w:w="673" w:type="pct"/>
            <w:tcBorders>
              <w:top w:val="nil"/>
              <w:left w:val="nil"/>
              <w:bottom w:val="nil"/>
              <w:right w:val="nil"/>
            </w:tcBorders>
          </w:tcPr>
          <w:p w14:paraId="7B5375DB"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4BDD5B14"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05FBE64F"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2BBF2896" w14:textId="77777777" w:rsidR="00B54D51" w:rsidRPr="00037AD4" w:rsidRDefault="00B54D51" w:rsidP="00401C67">
            <w:pPr>
              <w:widowControl w:val="0"/>
              <w:autoSpaceDE w:val="0"/>
              <w:autoSpaceDN w:val="0"/>
              <w:adjustRightInd w:val="0"/>
              <w:jc w:val="center"/>
            </w:pPr>
          </w:p>
        </w:tc>
        <w:tc>
          <w:tcPr>
            <w:tcW w:w="658" w:type="pct"/>
            <w:tcBorders>
              <w:top w:val="nil"/>
              <w:left w:val="nil"/>
              <w:bottom w:val="nil"/>
              <w:right w:val="nil"/>
            </w:tcBorders>
          </w:tcPr>
          <w:p w14:paraId="5F84CBB2" w14:textId="77777777" w:rsidR="00B54D51" w:rsidRPr="00037AD4" w:rsidRDefault="00B54D51" w:rsidP="00401C67">
            <w:pPr>
              <w:widowControl w:val="0"/>
              <w:autoSpaceDE w:val="0"/>
              <w:autoSpaceDN w:val="0"/>
              <w:adjustRightInd w:val="0"/>
              <w:jc w:val="center"/>
            </w:pPr>
          </w:p>
        </w:tc>
      </w:tr>
      <w:tr w:rsidR="00B54D51" w:rsidRPr="00037AD4" w14:paraId="2EE55A67" w14:textId="77777777" w:rsidTr="00401C67">
        <w:trPr>
          <w:jc w:val="center"/>
        </w:trPr>
        <w:tc>
          <w:tcPr>
            <w:tcW w:w="977" w:type="pct"/>
            <w:tcBorders>
              <w:top w:val="nil"/>
              <w:left w:val="nil"/>
              <w:bottom w:val="nil"/>
              <w:right w:val="nil"/>
            </w:tcBorders>
          </w:tcPr>
          <w:p w14:paraId="572B78E2" w14:textId="77777777" w:rsidR="00B54D51" w:rsidRPr="00037AD4" w:rsidRDefault="00B54D51" w:rsidP="00401C67">
            <w:pPr>
              <w:widowControl w:val="0"/>
              <w:autoSpaceDE w:val="0"/>
              <w:autoSpaceDN w:val="0"/>
              <w:adjustRightInd w:val="0"/>
            </w:pPr>
          </w:p>
        </w:tc>
        <w:tc>
          <w:tcPr>
            <w:tcW w:w="673" w:type="pct"/>
            <w:tcBorders>
              <w:top w:val="nil"/>
              <w:left w:val="nil"/>
              <w:bottom w:val="nil"/>
              <w:right w:val="nil"/>
            </w:tcBorders>
          </w:tcPr>
          <w:p w14:paraId="39C9643F" w14:textId="77777777" w:rsidR="00B54D51" w:rsidRPr="00037AD4" w:rsidRDefault="00B54D51" w:rsidP="00401C67">
            <w:pPr>
              <w:widowControl w:val="0"/>
              <w:autoSpaceDE w:val="0"/>
              <w:autoSpaceDN w:val="0"/>
              <w:adjustRightInd w:val="0"/>
              <w:jc w:val="center"/>
            </w:pPr>
            <w:r w:rsidRPr="00037AD4">
              <w:t>(-0.031 - 0.623)</w:t>
            </w:r>
          </w:p>
        </w:tc>
        <w:tc>
          <w:tcPr>
            <w:tcW w:w="673" w:type="pct"/>
            <w:tcBorders>
              <w:top w:val="nil"/>
              <w:left w:val="nil"/>
              <w:bottom w:val="nil"/>
              <w:right w:val="nil"/>
            </w:tcBorders>
          </w:tcPr>
          <w:p w14:paraId="7E179F2C"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6B425677"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6AFBFA41"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5FBC8686" w14:textId="77777777" w:rsidR="00B54D51" w:rsidRPr="00037AD4" w:rsidRDefault="00B54D51" w:rsidP="00401C67">
            <w:pPr>
              <w:widowControl w:val="0"/>
              <w:autoSpaceDE w:val="0"/>
              <w:autoSpaceDN w:val="0"/>
              <w:adjustRightInd w:val="0"/>
              <w:jc w:val="center"/>
            </w:pPr>
          </w:p>
        </w:tc>
        <w:tc>
          <w:tcPr>
            <w:tcW w:w="658" w:type="pct"/>
            <w:tcBorders>
              <w:top w:val="nil"/>
              <w:left w:val="nil"/>
              <w:bottom w:val="nil"/>
              <w:right w:val="nil"/>
            </w:tcBorders>
          </w:tcPr>
          <w:p w14:paraId="5E81A6B5" w14:textId="77777777" w:rsidR="00B54D51" w:rsidRPr="00037AD4" w:rsidRDefault="00B54D51" w:rsidP="00401C67">
            <w:pPr>
              <w:widowControl w:val="0"/>
              <w:autoSpaceDE w:val="0"/>
              <w:autoSpaceDN w:val="0"/>
              <w:adjustRightInd w:val="0"/>
              <w:jc w:val="center"/>
            </w:pPr>
          </w:p>
        </w:tc>
      </w:tr>
      <w:tr w:rsidR="00B54D51" w:rsidRPr="00037AD4" w14:paraId="163331A5" w14:textId="77777777" w:rsidTr="00401C67">
        <w:trPr>
          <w:jc w:val="center"/>
        </w:trPr>
        <w:tc>
          <w:tcPr>
            <w:tcW w:w="977" w:type="pct"/>
            <w:tcBorders>
              <w:top w:val="nil"/>
              <w:left w:val="nil"/>
              <w:bottom w:val="nil"/>
              <w:right w:val="nil"/>
            </w:tcBorders>
          </w:tcPr>
          <w:p w14:paraId="2FC9E36E" w14:textId="77777777" w:rsidR="00B54D51" w:rsidRPr="00037AD4" w:rsidRDefault="00B54D51" w:rsidP="00401C67">
            <w:pPr>
              <w:widowControl w:val="0"/>
              <w:autoSpaceDE w:val="0"/>
              <w:autoSpaceDN w:val="0"/>
              <w:adjustRightInd w:val="0"/>
            </w:pPr>
            <w:r w:rsidRPr="00037AD4">
              <w:t>3.eq2staff_</w:t>
            </w:r>
          </w:p>
        </w:tc>
        <w:tc>
          <w:tcPr>
            <w:tcW w:w="673" w:type="pct"/>
            <w:tcBorders>
              <w:top w:val="nil"/>
              <w:left w:val="nil"/>
              <w:bottom w:val="nil"/>
              <w:right w:val="nil"/>
            </w:tcBorders>
          </w:tcPr>
          <w:p w14:paraId="6F26CDC5" w14:textId="77777777" w:rsidR="00B54D51" w:rsidRPr="00037AD4" w:rsidRDefault="00B54D51" w:rsidP="00401C67">
            <w:pPr>
              <w:widowControl w:val="0"/>
              <w:autoSpaceDE w:val="0"/>
              <w:autoSpaceDN w:val="0"/>
              <w:adjustRightInd w:val="0"/>
              <w:jc w:val="center"/>
            </w:pPr>
            <w:r w:rsidRPr="00037AD4">
              <w:t>0.372**</w:t>
            </w:r>
          </w:p>
        </w:tc>
        <w:tc>
          <w:tcPr>
            <w:tcW w:w="673" w:type="pct"/>
            <w:tcBorders>
              <w:top w:val="nil"/>
              <w:left w:val="nil"/>
              <w:bottom w:val="nil"/>
              <w:right w:val="nil"/>
            </w:tcBorders>
          </w:tcPr>
          <w:p w14:paraId="3EB10477"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2805137C"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65C9561C"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77F956BF" w14:textId="77777777" w:rsidR="00B54D51" w:rsidRPr="00037AD4" w:rsidRDefault="00B54D51" w:rsidP="00401C67">
            <w:pPr>
              <w:widowControl w:val="0"/>
              <w:autoSpaceDE w:val="0"/>
              <w:autoSpaceDN w:val="0"/>
              <w:adjustRightInd w:val="0"/>
              <w:jc w:val="center"/>
            </w:pPr>
          </w:p>
        </w:tc>
        <w:tc>
          <w:tcPr>
            <w:tcW w:w="658" w:type="pct"/>
            <w:tcBorders>
              <w:top w:val="nil"/>
              <w:left w:val="nil"/>
              <w:bottom w:val="nil"/>
              <w:right w:val="nil"/>
            </w:tcBorders>
          </w:tcPr>
          <w:p w14:paraId="3381D0C7" w14:textId="77777777" w:rsidR="00B54D51" w:rsidRPr="00037AD4" w:rsidRDefault="00B54D51" w:rsidP="00401C67">
            <w:pPr>
              <w:widowControl w:val="0"/>
              <w:autoSpaceDE w:val="0"/>
              <w:autoSpaceDN w:val="0"/>
              <w:adjustRightInd w:val="0"/>
              <w:jc w:val="center"/>
            </w:pPr>
          </w:p>
        </w:tc>
      </w:tr>
      <w:tr w:rsidR="00B54D51" w:rsidRPr="00037AD4" w14:paraId="5577127B" w14:textId="77777777" w:rsidTr="00401C67">
        <w:trPr>
          <w:jc w:val="center"/>
        </w:trPr>
        <w:tc>
          <w:tcPr>
            <w:tcW w:w="977" w:type="pct"/>
            <w:tcBorders>
              <w:top w:val="nil"/>
              <w:left w:val="nil"/>
              <w:bottom w:val="nil"/>
              <w:right w:val="nil"/>
            </w:tcBorders>
          </w:tcPr>
          <w:p w14:paraId="45044821" w14:textId="77777777" w:rsidR="00B54D51" w:rsidRPr="00037AD4" w:rsidRDefault="00B54D51" w:rsidP="00401C67">
            <w:pPr>
              <w:widowControl w:val="0"/>
              <w:autoSpaceDE w:val="0"/>
              <w:autoSpaceDN w:val="0"/>
              <w:adjustRightInd w:val="0"/>
            </w:pPr>
          </w:p>
        </w:tc>
        <w:tc>
          <w:tcPr>
            <w:tcW w:w="673" w:type="pct"/>
            <w:tcBorders>
              <w:top w:val="nil"/>
              <w:left w:val="nil"/>
              <w:bottom w:val="nil"/>
              <w:right w:val="nil"/>
            </w:tcBorders>
          </w:tcPr>
          <w:p w14:paraId="504FF4E0" w14:textId="77777777" w:rsidR="00B54D51" w:rsidRPr="00037AD4" w:rsidRDefault="00B54D51" w:rsidP="00401C67">
            <w:pPr>
              <w:widowControl w:val="0"/>
              <w:autoSpaceDE w:val="0"/>
              <w:autoSpaceDN w:val="0"/>
              <w:adjustRightInd w:val="0"/>
              <w:jc w:val="center"/>
            </w:pPr>
            <w:r w:rsidRPr="00037AD4">
              <w:t>(0.025 - 0.719)</w:t>
            </w:r>
          </w:p>
        </w:tc>
        <w:tc>
          <w:tcPr>
            <w:tcW w:w="673" w:type="pct"/>
            <w:tcBorders>
              <w:top w:val="nil"/>
              <w:left w:val="nil"/>
              <w:bottom w:val="nil"/>
              <w:right w:val="nil"/>
            </w:tcBorders>
          </w:tcPr>
          <w:p w14:paraId="26721BE1"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02A44CCD"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74230194"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7E0071F1" w14:textId="77777777" w:rsidR="00B54D51" w:rsidRPr="00037AD4" w:rsidRDefault="00B54D51" w:rsidP="00401C67">
            <w:pPr>
              <w:widowControl w:val="0"/>
              <w:autoSpaceDE w:val="0"/>
              <w:autoSpaceDN w:val="0"/>
              <w:adjustRightInd w:val="0"/>
              <w:jc w:val="center"/>
            </w:pPr>
          </w:p>
        </w:tc>
        <w:tc>
          <w:tcPr>
            <w:tcW w:w="658" w:type="pct"/>
            <w:tcBorders>
              <w:top w:val="nil"/>
              <w:left w:val="nil"/>
              <w:bottom w:val="nil"/>
              <w:right w:val="nil"/>
            </w:tcBorders>
          </w:tcPr>
          <w:p w14:paraId="72201FF6" w14:textId="77777777" w:rsidR="00B54D51" w:rsidRPr="00037AD4" w:rsidRDefault="00B54D51" w:rsidP="00401C67">
            <w:pPr>
              <w:widowControl w:val="0"/>
              <w:autoSpaceDE w:val="0"/>
              <w:autoSpaceDN w:val="0"/>
              <w:adjustRightInd w:val="0"/>
              <w:jc w:val="center"/>
            </w:pPr>
          </w:p>
        </w:tc>
      </w:tr>
      <w:tr w:rsidR="00B54D51" w:rsidRPr="00037AD4" w14:paraId="190A5B41" w14:textId="77777777" w:rsidTr="00401C67">
        <w:trPr>
          <w:jc w:val="center"/>
        </w:trPr>
        <w:tc>
          <w:tcPr>
            <w:tcW w:w="977" w:type="pct"/>
            <w:tcBorders>
              <w:top w:val="nil"/>
              <w:left w:val="nil"/>
              <w:bottom w:val="nil"/>
              <w:right w:val="nil"/>
            </w:tcBorders>
          </w:tcPr>
          <w:p w14:paraId="540CEB19" w14:textId="77777777" w:rsidR="00B54D51" w:rsidRPr="00037AD4" w:rsidRDefault="00B54D51" w:rsidP="00401C67">
            <w:pPr>
              <w:widowControl w:val="0"/>
              <w:autoSpaceDE w:val="0"/>
              <w:autoSpaceDN w:val="0"/>
              <w:adjustRightInd w:val="0"/>
            </w:pPr>
            <w:r w:rsidRPr="00037AD4">
              <w:t>4.eq2staff_</w:t>
            </w:r>
          </w:p>
        </w:tc>
        <w:tc>
          <w:tcPr>
            <w:tcW w:w="673" w:type="pct"/>
            <w:tcBorders>
              <w:top w:val="nil"/>
              <w:left w:val="nil"/>
              <w:bottom w:val="nil"/>
              <w:right w:val="nil"/>
            </w:tcBorders>
          </w:tcPr>
          <w:p w14:paraId="0EA405F0" w14:textId="77777777" w:rsidR="00B54D51" w:rsidRPr="00037AD4" w:rsidRDefault="00B54D51" w:rsidP="00401C67">
            <w:pPr>
              <w:widowControl w:val="0"/>
              <w:autoSpaceDE w:val="0"/>
              <w:autoSpaceDN w:val="0"/>
              <w:adjustRightInd w:val="0"/>
              <w:jc w:val="center"/>
            </w:pPr>
            <w:r w:rsidRPr="00037AD4">
              <w:t>0.177</w:t>
            </w:r>
          </w:p>
        </w:tc>
        <w:tc>
          <w:tcPr>
            <w:tcW w:w="673" w:type="pct"/>
            <w:tcBorders>
              <w:top w:val="nil"/>
              <w:left w:val="nil"/>
              <w:bottom w:val="nil"/>
              <w:right w:val="nil"/>
            </w:tcBorders>
          </w:tcPr>
          <w:p w14:paraId="45847239"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051ECABB"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09540921"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77EEFC5E" w14:textId="77777777" w:rsidR="00B54D51" w:rsidRPr="00037AD4" w:rsidRDefault="00B54D51" w:rsidP="00401C67">
            <w:pPr>
              <w:widowControl w:val="0"/>
              <w:autoSpaceDE w:val="0"/>
              <w:autoSpaceDN w:val="0"/>
              <w:adjustRightInd w:val="0"/>
              <w:jc w:val="center"/>
            </w:pPr>
          </w:p>
        </w:tc>
        <w:tc>
          <w:tcPr>
            <w:tcW w:w="658" w:type="pct"/>
            <w:tcBorders>
              <w:top w:val="nil"/>
              <w:left w:val="nil"/>
              <w:bottom w:val="nil"/>
              <w:right w:val="nil"/>
            </w:tcBorders>
          </w:tcPr>
          <w:p w14:paraId="2654A9FF" w14:textId="77777777" w:rsidR="00B54D51" w:rsidRPr="00037AD4" w:rsidRDefault="00B54D51" w:rsidP="00401C67">
            <w:pPr>
              <w:widowControl w:val="0"/>
              <w:autoSpaceDE w:val="0"/>
              <w:autoSpaceDN w:val="0"/>
              <w:adjustRightInd w:val="0"/>
              <w:jc w:val="center"/>
            </w:pPr>
          </w:p>
        </w:tc>
      </w:tr>
      <w:tr w:rsidR="00B54D51" w:rsidRPr="00037AD4" w14:paraId="5C6717A6" w14:textId="77777777" w:rsidTr="00401C67">
        <w:trPr>
          <w:jc w:val="center"/>
        </w:trPr>
        <w:tc>
          <w:tcPr>
            <w:tcW w:w="977" w:type="pct"/>
            <w:tcBorders>
              <w:top w:val="nil"/>
              <w:left w:val="nil"/>
              <w:bottom w:val="nil"/>
              <w:right w:val="nil"/>
            </w:tcBorders>
          </w:tcPr>
          <w:p w14:paraId="3D5B8842" w14:textId="77777777" w:rsidR="00B54D51" w:rsidRPr="00037AD4" w:rsidRDefault="00B54D51" w:rsidP="00401C67">
            <w:pPr>
              <w:widowControl w:val="0"/>
              <w:autoSpaceDE w:val="0"/>
              <w:autoSpaceDN w:val="0"/>
              <w:adjustRightInd w:val="0"/>
            </w:pPr>
          </w:p>
        </w:tc>
        <w:tc>
          <w:tcPr>
            <w:tcW w:w="673" w:type="pct"/>
            <w:tcBorders>
              <w:top w:val="nil"/>
              <w:left w:val="nil"/>
              <w:bottom w:val="nil"/>
              <w:right w:val="nil"/>
            </w:tcBorders>
          </w:tcPr>
          <w:p w14:paraId="7B8715ED" w14:textId="77777777" w:rsidR="00B54D51" w:rsidRPr="00037AD4" w:rsidRDefault="00B54D51" w:rsidP="00401C67">
            <w:pPr>
              <w:widowControl w:val="0"/>
              <w:autoSpaceDE w:val="0"/>
              <w:autoSpaceDN w:val="0"/>
              <w:adjustRightInd w:val="0"/>
              <w:jc w:val="center"/>
            </w:pPr>
            <w:r w:rsidRPr="00037AD4">
              <w:t>(-0.255 - 0.609)</w:t>
            </w:r>
          </w:p>
        </w:tc>
        <w:tc>
          <w:tcPr>
            <w:tcW w:w="673" w:type="pct"/>
            <w:tcBorders>
              <w:top w:val="nil"/>
              <w:left w:val="nil"/>
              <w:bottom w:val="nil"/>
              <w:right w:val="nil"/>
            </w:tcBorders>
          </w:tcPr>
          <w:p w14:paraId="08613005"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137BDA4E"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11729571"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73DBBEE1" w14:textId="77777777" w:rsidR="00B54D51" w:rsidRPr="00037AD4" w:rsidRDefault="00B54D51" w:rsidP="00401C67">
            <w:pPr>
              <w:widowControl w:val="0"/>
              <w:autoSpaceDE w:val="0"/>
              <w:autoSpaceDN w:val="0"/>
              <w:adjustRightInd w:val="0"/>
              <w:jc w:val="center"/>
            </w:pPr>
          </w:p>
        </w:tc>
        <w:tc>
          <w:tcPr>
            <w:tcW w:w="658" w:type="pct"/>
            <w:tcBorders>
              <w:top w:val="nil"/>
              <w:left w:val="nil"/>
              <w:bottom w:val="nil"/>
              <w:right w:val="nil"/>
            </w:tcBorders>
          </w:tcPr>
          <w:p w14:paraId="5036ABBB" w14:textId="77777777" w:rsidR="00B54D51" w:rsidRPr="00037AD4" w:rsidRDefault="00B54D51" w:rsidP="00401C67">
            <w:pPr>
              <w:widowControl w:val="0"/>
              <w:autoSpaceDE w:val="0"/>
              <w:autoSpaceDN w:val="0"/>
              <w:adjustRightInd w:val="0"/>
              <w:jc w:val="center"/>
            </w:pPr>
          </w:p>
        </w:tc>
      </w:tr>
      <w:tr w:rsidR="00B54D51" w:rsidRPr="00037AD4" w14:paraId="5F7E56BB" w14:textId="77777777" w:rsidTr="00401C67">
        <w:trPr>
          <w:jc w:val="center"/>
        </w:trPr>
        <w:tc>
          <w:tcPr>
            <w:tcW w:w="977" w:type="pct"/>
            <w:tcBorders>
              <w:top w:val="nil"/>
              <w:left w:val="nil"/>
              <w:bottom w:val="nil"/>
              <w:right w:val="nil"/>
            </w:tcBorders>
          </w:tcPr>
          <w:p w14:paraId="7A0318AA" w14:textId="77777777" w:rsidR="00B54D51" w:rsidRPr="00037AD4" w:rsidRDefault="00B54D51" w:rsidP="00401C67">
            <w:pPr>
              <w:widowControl w:val="0"/>
              <w:autoSpaceDE w:val="0"/>
              <w:autoSpaceDN w:val="0"/>
              <w:adjustRightInd w:val="0"/>
            </w:pPr>
            <w:r w:rsidRPr="00037AD4">
              <w:t>5.eq2staff_</w:t>
            </w:r>
          </w:p>
        </w:tc>
        <w:tc>
          <w:tcPr>
            <w:tcW w:w="673" w:type="pct"/>
            <w:tcBorders>
              <w:top w:val="nil"/>
              <w:left w:val="nil"/>
              <w:bottom w:val="nil"/>
              <w:right w:val="nil"/>
            </w:tcBorders>
          </w:tcPr>
          <w:p w14:paraId="63D61808" w14:textId="77777777" w:rsidR="00B54D51" w:rsidRPr="00037AD4" w:rsidRDefault="00B54D51" w:rsidP="00401C67">
            <w:pPr>
              <w:widowControl w:val="0"/>
              <w:autoSpaceDE w:val="0"/>
              <w:autoSpaceDN w:val="0"/>
              <w:adjustRightInd w:val="0"/>
              <w:jc w:val="center"/>
            </w:pPr>
            <w:r w:rsidRPr="00037AD4">
              <w:t>0.083</w:t>
            </w:r>
          </w:p>
        </w:tc>
        <w:tc>
          <w:tcPr>
            <w:tcW w:w="673" w:type="pct"/>
            <w:tcBorders>
              <w:top w:val="nil"/>
              <w:left w:val="nil"/>
              <w:bottom w:val="nil"/>
              <w:right w:val="nil"/>
            </w:tcBorders>
          </w:tcPr>
          <w:p w14:paraId="2764E8DD"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654626B9"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4F486923"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27F64D11" w14:textId="77777777" w:rsidR="00B54D51" w:rsidRPr="00037AD4" w:rsidRDefault="00B54D51" w:rsidP="00401C67">
            <w:pPr>
              <w:widowControl w:val="0"/>
              <w:autoSpaceDE w:val="0"/>
              <w:autoSpaceDN w:val="0"/>
              <w:adjustRightInd w:val="0"/>
              <w:jc w:val="center"/>
            </w:pPr>
          </w:p>
        </w:tc>
        <w:tc>
          <w:tcPr>
            <w:tcW w:w="658" w:type="pct"/>
            <w:tcBorders>
              <w:top w:val="nil"/>
              <w:left w:val="nil"/>
              <w:bottom w:val="nil"/>
              <w:right w:val="nil"/>
            </w:tcBorders>
          </w:tcPr>
          <w:p w14:paraId="2EF7477D" w14:textId="77777777" w:rsidR="00B54D51" w:rsidRPr="00037AD4" w:rsidRDefault="00B54D51" w:rsidP="00401C67">
            <w:pPr>
              <w:widowControl w:val="0"/>
              <w:autoSpaceDE w:val="0"/>
              <w:autoSpaceDN w:val="0"/>
              <w:adjustRightInd w:val="0"/>
              <w:jc w:val="center"/>
            </w:pPr>
          </w:p>
        </w:tc>
      </w:tr>
      <w:tr w:rsidR="00B54D51" w:rsidRPr="00037AD4" w14:paraId="448623B8" w14:textId="77777777" w:rsidTr="00401C67">
        <w:trPr>
          <w:jc w:val="center"/>
        </w:trPr>
        <w:tc>
          <w:tcPr>
            <w:tcW w:w="977" w:type="pct"/>
            <w:tcBorders>
              <w:top w:val="nil"/>
              <w:left w:val="nil"/>
              <w:bottom w:val="nil"/>
              <w:right w:val="nil"/>
            </w:tcBorders>
          </w:tcPr>
          <w:p w14:paraId="0CD2395A" w14:textId="77777777" w:rsidR="00B54D51" w:rsidRPr="00037AD4" w:rsidRDefault="00B54D51" w:rsidP="00401C67">
            <w:pPr>
              <w:widowControl w:val="0"/>
              <w:autoSpaceDE w:val="0"/>
              <w:autoSpaceDN w:val="0"/>
              <w:adjustRightInd w:val="0"/>
            </w:pPr>
          </w:p>
        </w:tc>
        <w:tc>
          <w:tcPr>
            <w:tcW w:w="673" w:type="pct"/>
            <w:tcBorders>
              <w:top w:val="nil"/>
              <w:left w:val="nil"/>
              <w:bottom w:val="nil"/>
              <w:right w:val="nil"/>
            </w:tcBorders>
          </w:tcPr>
          <w:p w14:paraId="77EED702" w14:textId="77777777" w:rsidR="00B54D51" w:rsidRPr="00037AD4" w:rsidRDefault="00B54D51" w:rsidP="00401C67">
            <w:pPr>
              <w:widowControl w:val="0"/>
              <w:autoSpaceDE w:val="0"/>
              <w:autoSpaceDN w:val="0"/>
              <w:adjustRightInd w:val="0"/>
              <w:jc w:val="center"/>
            </w:pPr>
            <w:r w:rsidRPr="00037AD4">
              <w:t>(-0.310 - 0.476)</w:t>
            </w:r>
          </w:p>
        </w:tc>
        <w:tc>
          <w:tcPr>
            <w:tcW w:w="673" w:type="pct"/>
            <w:tcBorders>
              <w:top w:val="nil"/>
              <w:left w:val="nil"/>
              <w:bottom w:val="nil"/>
              <w:right w:val="nil"/>
            </w:tcBorders>
          </w:tcPr>
          <w:p w14:paraId="20BB531A"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4D6FCB29"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54D1BF02"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0D9984C6" w14:textId="77777777" w:rsidR="00B54D51" w:rsidRPr="00037AD4" w:rsidRDefault="00B54D51" w:rsidP="00401C67">
            <w:pPr>
              <w:widowControl w:val="0"/>
              <w:autoSpaceDE w:val="0"/>
              <w:autoSpaceDN w:val="0"/>
              <w:adjustRightInd w:val="0"/>
              <w:jc w:val="center"/>
            </w:pPr>
          </w:p>
        </w:tc>
        <w:tc>
          <w:tcPr>
            <w:tcW w:w="658" w:type="pct"/>
            <w:tcBorders>
              <w:top w:val="nil"/>
              <w:left w:val="nil"/>
              <w:bottom w:val="nil"/>
              <w:right w:val="nil"/>
            </w:tcBorders>
          </w:tcPr>
          <w:p w14:paraId="558759A0" w14:textId="77777777" w:rsidR="00B54D51" w:rsidRPr="00037AD4" w:rsidRDefault="00B54D51" w:rsidP="00401C67">
            <w:pPr>
              <w:widowControl w:val="0"/>
              <w:autoSpaceDE w:val="0"/>
              <w:autoSpaceDN w:val="0"/>
              <w:adjustRightInd w:val="0"/>
              <w:jc w:val="center"/>
            </w:pPr>
          </w:p>
        </w:tc>
      </w:tr>
      <w:tr w:rsidR="00B54D51" w:rsidRPr="00037AD4" w14:paraId="354782C0" w14:textId="77777777" w:rsidTr="00401C67">
        <w:trPr>
          <w:jc w:val="center"/>
        </w:trPr>
        <w:tc>
          <w:tcPr>
            <w:tcW w:w="977" w:type="pct"/>
            <w:tcBorders>
              <w:top w:val="nil"/>
              <w:left w:val="nil"/>
              <w:bottom w:val="nil"/>
              <w:right w:val="nil"/>
            </w:tcBorders>
          </w:tcPr>
          <w:p w14:paraId="69152674" w14:textId="77777777" w:rsidR="00B54D51" w:rsidRPr="00037AD4" w:rsidRDefault="00B54D51" w:rsidP="00401C67">
            <w:pPr>
              <w:widowControl w:val="0"/>
              <w:autoSpaceDE w:val="0"/>
              <w:autoSpaceDN w:val="0"/>
              <w:adjustRightInd w:val="0"/>
            </w:pPr>
            <w:r w:rsidRPr="00037AD4">
              <w:t>2.eq3staff_</w:t>
            </w:r>
          </w:p>
        </w:tc>
        <w:tc>
          <w:tcPr>
            <w:tcW w:w="673" w:type="pct"/>
            <w:tcBorders>
              <w:top w:val="nil"/>
              <w:left w:val="nil"/>
              <w:bottom w:val="nil"/>
              <w:right w:val="nil"/>
            </w:tcBorders>
          </w:tcPr>
          <w:p w14:paraId="6B711D75" w14:textId="77777777" w:rsidR="00B54D51" w:rsidRPr="00037AD4" w:rsidRDefault="00B54D51" w:rsidP="00401C67">
            <w:pPr>
              <w:widowControl w:val="0"/>
              <w:autoSpaceDE w:val="0"/>
              <w:autoSpaceDN w:val="0"/>
              <w:adjustRightInd w:val="0"/>
              <w:jc w:val="center"/>
            </w:pPr>
            <w:r w:rsidRPr="00037AD4">
              <w:t>-0.121</w:t>
            </w:r>
          </w:p>
        </w:tc>
        <w:tc>
          <w:tcPr>
            <w:tcW w:w="673" w:type="pct"/>
            <w:tcBorders>
              <w:top w:val="nil"/>
              <w:left w:val="nil"/>
              <w:bottom w:val="nil"/>
              <w:right w:val="nil"/>
            </w:tcBorders>
          </w:tcPr>
          <w:p w14:paraId="6D84123A"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7EBC3DAB"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1696BA0A"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2F6BE148" w14:textId="77777777" w:rsidR="00B54D51" w:rsidRPr="00037AD4" w:rsidRDefault="00B54D51" w:rsidP="00401C67">
            <w:pPr>
              <w:widowControl w:val="0"/>
              <w:autoSpaceDE w:val="0"/>
              <w:autoSpaceDN w:val="0"/>
              <w:adjustRightInd w:val="0"/>
              <w:jc w:val="center"/>
            </w:pPr>
          </w:p>
        </w:tc>
        <w:tc>
          <w:tcPr>
            <w:tcW w:w="658" w:type="pct"/>
            <w:tcBorders>
              <w:top w:val="nil"/>
              <w:left w:val="nil"/>
              <w:bottom w:val="nil"/>
              <w:right w:val="nil"/>
            </w:tcBorders>
          </w:tcPr>
          <w:p w14:paraId="58AE6437" w14:textId="77777777" w:rsidR="00B54D51" w:rsidRPr="00037AD4" w:rsidRDefault="00B54D51" w:rsidP="00401C67">
            <w:pPr>
              <w:widowControl w:val="0"/>
              <w:autoSpaceDE w:val="0"/>
              <w:autoSpaceDN w:val="0"/>
              <w:adjustRightInd w:val="0"/>
              <w:jc w:val="center"/>
            </w:pPr>
          </w:p>
        </w:tc>
      </w:tr>
      <w:tr w:rsidR="00B54D51" w:rsidRPr="00037AD4" w14:paraId="3BFB71A1" w14:textId="77777777" w:rsidTr="00401C67">
        <w:trPr>
          <w:jc w:val="center"/>
        </w:trPr>
        <w:tc>
          <w:tcPr>
            <w:tcW w:w="977" w:type="pct"/>
            <w:tcBorders>
              <w:top w:val="nil"/>
              <w:left w:val="nil"/>
              <w:bottom w:val="nil"/>
              <w:right w:val="nil"/>
            </w:tcBorders>
          </w:tcPr>
          <w:p w14:paraId="136FC164" w14:textId="77777777" w:rsidR="00B54D51" w:rsidRPr="00037AD4" w:rsidRDefault="00B54D51" w:rsidP="00401C67">
            <w:pPr>
              <w:widowControl w:val="0"/>
              <w:autoSpaceDE w:val="0"/>
              <w:autoSpaceDN w:val="0"/>
              <w:adjustRightInd w:val="0"/>
            </w:pPr>
          </w:p>
        </w:tc>
        <w:tc>
          <w:tcPr>
            <w:tcW w:w="673" w:type="pct"/>
            <w:tcBorders>
              <w:top w:val="nil"/>
              <w:left w:val="nil"/>
              <w:bottom w:val="nil"/>
              <w:right w:val="nil"/>
            </w:tcBorders>
          </w:tcPr>
          <w:p w14:paraId="415AD14D" w14:textId="77777777" w:rsidR="00B54D51" w:rsidRPr="00037AD4" w:rsidRDefault="00B54D51" w:rsidP="00401C67">
            <w:pPr>
              <w:widowControl w:val="0"/>
              <w:autoSpaceDE w:val="0"/>
              <w:autoSpaceDN w:val="0"/>
              <w:adjustRightInd w:val="0"/>
              <w:jc w:val="center"/>
            </w:pPr>
            <w:r w:rsidRPr="00037AD4">
              <w:t>(-0.420 - 0.177)</w:t>
            </w:r>
          </w:p>
        </w:tc>
        <w:tc>
          <w:tcPr>
            <w:tcW w:w="673" w:type="pct"/>
            <w:tcBorders>
              <w:top w:val="nil"/>
              <w:left w:val="nil"/>
              <w:bottom w:val="nil"/>
              <w:right w:val="nil"/>
            </w:tcBorders>
          </w:tcPr>
          <w:p w14:paraId="541C44BF"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5B86420E"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48A0F7CA"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624EDF04" w14:textId="77777777" w:rsidR="00B54D51" w:rsidRPr="00037AD4" w:rsidRDefault="00B54D51" w:rsidP="00401C67">
            <w:pPr>
              <w:widowControl w:val="0"/>
              <w:autoSpaceDE w:val="0"/>
              <w:autoSpaceDN w:val="0"/>
              <w:adjustRightInd w:val="0"/>
              <w:jc w:val="center"/>
            </w:pPr>
          </w:p>
        </w:tc>
        <w:tc>
          <w:tcPr>
            <w:tcW w:w="658" w:type="pct"/>
            <w:tcBorders>
              <w:top w:val="nil"/>
              <w:left w:val="nil"/>
              <w:bottom w:val="nil"/>
              <w:right w:val="nil"/>
            </w:tcBorders>
          </w:tcPr>
          <w:p w14:paraId="06CE861B" w14:textId="77777777" w:rsidR="00B54D51" w:rsidRPr="00037AD4" w:rsidRDefault="00B54D51" w:rsidP="00401C67">
            <w:pPr>
              <w:widowControl w:val="0"/>
              <w:autoSpaceDE w:val="0"/>
              <w:autoSpaceDN w:val="0"/>
              <w:adjustRightInd w:val="0"/>
              <w:jc w:val="center"/>
            </w:pPr>
          </w:p>
        </w:tc>
      </w:tr>
      <w:tr w:rsidR="00B54D51" w:rsidRPr="00037AD4" w14:paraId="1F094E8B" w14:textId="77777777" w:rsidTr="00401C67">
        <w:trPr>
          <w:jc w:val="center"/>
        </w:trPr>
        <w:tc>
          <w:tcPr>
            <w:tcW w:w="977" w:type="pct"/>
            <w:tcBorders>
              <w:top w:val="nil"/>
              <w:left w:val="nil"/>
              <w:bottom w:val="nil"/>
              <w:right w:val="nil"/>
            </w:tcBorders>
          </w:tcPr>
          <w:p w14:paraId="384313B1" w14:textId="77777777" w:rsidR="00B54D51" w:rsidRPr="00037AD4" w:rsidRDefault="00B54D51" w:rsidP="00401C67">
            <w:pPr>
              <w:widowControl w:val="0"/>
              <w:autoSpaceDE w:val="0"/>
              <w:autoSpaceDN w:val="0"/>
              <w:adjustRightInd w:val="0"/>
            </w:pPr>
            <w:r w:rsidRPr="00037AD4">
              <w:t>3.eq3staff_</w:t>
            </w:r>
          </w:p>
        </w:tc>
        <w:tc>
          <w:tcPr>
            <w:tcW w:w="673" w:type="pct"/>
            <w:tcBorders>
              <w:top w:val="nil"/>
              <w:left w:val="nil"/>
              <w:bottom w:val="nil"/>
              <w:right w:val="nil"/>
            </w:tcBorders>
          </w:tcPr>
          <w:p w14:paraId="00573DDA" w14:textId="77777777" w:rsidR="00B54D51" w:rsidRPr="00037AD4" w:rsidRDefault="00B54D51" w:rsidP="00401C67">
            <w:pPr>
              <w:widowControl w:val="0"/>
              <w:autoSpaceDE w:val="0"/>
              <w:autoSpaceDN w:val="0"/>
              <w:adjustRightInd w:val="0"/>
              <w:jc w:val="center"/>
            </w:pPr>
            <w:r w:rsidRPr="00037AD4">
              <w:t>0.057</w:t>
            </w:r>
          </w:p>
        </w:tc>
        <w:tc>
          <w:tcPr>
            <w:tcW w:w="673" w:type="pct"/>
            <w:tcBorders>
              <w:top w:val="nil"/>
              <w:left w:val="nil"/>
              <w:bottom w:val="nil"/>
              <w:right w:val="nil"/>
            </w:tcBorders>
          </w:tcPr>
          <w:p w14:paraId="2DEC91CA"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67A1B1B2"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412AF48C"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27F47481" w14:textId="77777777" w:rsidR="00B54D51" w:rsidRPr="00037AD4" w:rsidRDefault="00B54D51" w:rsidP="00401C67">
            <w:pPr>
              <w:widowControl w:val="0"/>
              <w:autoSpaceDE w:val="0"/>
              <w:autoSpaceDN w:val="0"/>
              <w:adjustRightInd w:val="0"/>
              <w:jc w:val="center"/>
            </w:pPr>
          </w:p>
        </w:tc>
        <w:tc>
          <w:tcPr>
            <w:tcW w:w="658" w:type="pct"/>
            <w:tcBorders>
              <w:top w:val="nil"/>
              <w:left w:val="nil"/>
              <w:bottom w:val="nil"/>
              <w:right w:val="nil"/>
            </w:tcBorders>
          </w:tcPr>
          <w:p w14:paraId="682643F0" w14:textId="77777777" w:rsidR="00B54D51" w:rsidRPr="00037AD4" w:rsidRDefault="00B54D51" w:rsidP="00401C67">
            <w:pPr>
              <w:widowControl w:val="0"/>
              <w:autoSpaceDE w:val="0"/>
              <w:autoSpaceDN w:val="0"/>
              <w:adjustRightInd w:val="0"/>
              <w:jc w:val="center"/>
            </w:pPr>
          </w:p>
        </w:tc>
      </w:tr>
      <w:tr w:rsidR="00B54D51" w:rsidRPr="00037AD4" w14:paraId="5A873CE9" w14:textId="77777777" w:rsidTr="00401C67">
        <w:trPr>
          <w:jc w:val="center"/>
        </w:trPr>
        <w:tc>
          <w:tcPr>
            <w:tcW w:w="977" w:type="pct"/>
            <w:tcBorders>
              <w:top w:val="nil"/>
              <w:left w:val="nil"/>
              <w:bottom w:val="nil"/>
              <w:right w:val="nil"/>
            </w:tcBorders>
          </w:tcPr>
          <w:p w14:paraId="4316E3BE" w14:textId="77777777" w:rsidR="00B54D51" w:rsidRPr="00037AD4" w:rsidRDefault="00B54D51" w:rsidP="00401C67">
            <w:pPr>
              <w:widowControl w:val="0"/>
              <w:autoSpaceDE w:val="0"/>
              <w:autoSpaceDN w:val="0"/>
              <w:adjustRightInd w:val="0"/>
            </w:pPr>
          </w:p>
        </w:tc>
        <w:tc>
          <w:tcPr>
            <w:tcW w:w="673" w:type="pct"/>
            <w:tcBorders>
              <w:top w:val="nil"/>
              <w:left w:val="nil"/>
              <w:bottom w:val="nil"/>
              <w:right w:val="nil"/>
            </w:tcBorders>
          </w:tcPr>
          <w:p w14:paraId="602BC12B" w14:textId="77777777" w:rsidR="00B54D51" w:rsidRPr="00037AD4" w:rsidRDefault="00B54D51" w:rsidP="00401C67">
            <w:pPr>
              <w:widowControl w:val="0"/>
              <w:autoSpaceDE w:val="0"/>
              <w:autoSpaceDN w:val="0"/>
              <w:adjustRightInd w:val="0"/>
              <w:jc w:val="center"/>
            </w:pPr>
            <w:r w:rsidRPr="00037AD4">
              <w:t>(-0.275 - 0.390)</w:t>
            </w:r>
          </w:p>
        </w:tc>
        <w:tc>
          <w:tcPr>
            <w:tcW w:w="673" w:type="pct"/>
            <w:tcBorders>
              <w:top w:val="nil"/>
              <w:left w:val="nil"/>
              <w:bottom w:val="nil"/>
              <w:right w:val="nil"/>
            </w:tcBorders>
          </w:tcPr>
          <w:p w14:paraId="099E83F6"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21393914"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2B4F7D66"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238A7052" w14:textId="77777777" w:rsidR="00B54D51" w:rsidRPr="00037AD4" w:rsidRDefault="00B54D51" w:rsidP="00401C67">
            <w:pPr>
              <w:widowControl w:val="0"/>
              <w:autoSpaceDE w:val="0"/>
              <w:autoSpaceDN w:val="0"/>
              <w:adjustRightInd w:val="0"/>
              <w:jc w:val="center"/>
            </w:pPr>
          </w:p>
        </w:tc>
        <w:tc>
          <w:tcPr>
            <w:tcW w:w="658" w:type="pct"/>
            <w:tcBorders>
              <w:top w:val="nil"/>
              <w:left w:val="nil"/>
              <w:bottom w:val="nil"/>
              <w:right w:val="nil"/>
            </w:tcBorders>
          </w:tcPr>
          <w:p w14:paraId="1103D175" w14:textId="77777777" w:rsidR="00B54D51" w:rsidRPr="00037AD4" w:rsidRDefault="00B54D51" w:rsidP="00401C67">
            <w:pPr>
              <w:widowControl w:val="0"/>
              <w:autoSpaceDE w:val="0"/>
              <w:autoSpaceDN w:val="0"/>
              <w:adjustRightInd w:val="0"/>
              <w:jc w:val="center"/>
            </w:pPr>
          </w:p>
        </w:tc>
      </w:tr>
      <w:tr w:rsidR="00B54D51" w:rsidRPr="00037AD4" w14:paraId="5C691880" w14:textId="77777777" w:rsidTr="00401C67">
        <w:trPr>
          <w:jc w:val="center"/>
        </w:trPr>
        <w:tc>
          <w:tcPr>
            <w:tcW w:w="977" w:type="pct"/>
            <w:tcBorders>
              <w:top w:val="nil"/>
              <w:left w:val="nil"/>
              <w:bottom w:val="nil"/>
              <w:right w:val="nil"/>
            </w:tcBorders>
          </w:tcPr>
          <w:p w14:paraId="11389475" w14:textId="77777777" w:rsidR="00B54D51" w:rsidRPr="00037AD4" w:rsidRDefault="00B54D51" w:rsidP="00401C67">
            <w:pPr>
              <w:widowControl w:val="0"/>
              <w:autoSpaceDE w:val="0"/>
              <w:autoSpaceDN w:val="0"/>
              <w:adjustRightInd w:val="0"/>
            </w:pPr>
            <w:r w:rsidRPr="00037AD4">
              <w:t>4.eq3staff_</w:t>
            </w:r>
          </w:p>
        </w:tc>
        <w:tc>
          <w:tcPr>
            <w:tcW w:w="673" w:type="pct"/>
            <w:tcBorders>
              <w:top w:val="nil"/>
              <w:left w:val="nil"/>
              <w:bottom w:val="nil"/>
              <w:right w:val="nil"/>
            </w:tcBorders>
          </w:tcPr>
          <w:p w14:paraId="42A40FDD" w14:textId="77777777" w:rsidR="00B54D51" w:rsidRPr="00037AD4" w:rsidRDefault="00B54D51" w:rsidP="00401C67">
            <w:pPr>
              <w:widowControl w:val="0"/>
              <w:autoSpaceDE w:val="0"/>
              <w:autoSpaceDN w:val="0"/>
              <w:adjustRightInd w:val="0"/>
              <w:jc w:val="center"/>
            </w:pPr>
            <w:r w:rsidRPr="00037AD4">
              <w:t>0.063</w:t>
            </w:r>
          </w:p>
        </w:tc>
        <w:tc>
          <w:tcPr>
            <w:tcW w:w="673" w:type="pct"/>
            <w:tcBorders>
              <w:top w:val="nil"/>
              <w:left w:val="nil"/>
              <w:bottom w:val="nil"/>
              <w:right w:val="nil"/>
            </w:tcBorders>
          </w:tcPr>
          <w:p w14:paraId="2B017671"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722988C4"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3E70BE7D"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0648A1D9" w14:textId="77777777" w:rsidR="00B54D51" w:rsidRPr="00037AD4" w:rsidRDefault="00B54D51" w:rsidP="00401C67">
            <w:pPr>
              <w:widowControl w:val="0"/>
              <w:autoSpaceDE w:val="0"/>
              <w:autoSpaceDN w:val="0"/>
              <w:adjustRightInd w:val="0"/>
              <w:jc w:val="center"/>
            </w:pPr>
          </w:p>
        </w:tc>
        <w:tc>
          <w:tcPr>
            <w:tcW w:w="658" w:type="pct"/>
            <w:tcBorders>
              <w:top w:val="nil"/>
              <w:left w:val="nil"/>
              <w:bottom w:val="nil"/>
              <w:right w:val="nil"/>
            </w:tcBorders>
          </w:tcPr>
          <w:p w14:paraId="2B75AC8B" w14:textId="77777777" w:rsidR="00B54D51" w:rsidRPr="00037AD4" w:rsidRDefault="00B54D51" w:rsidP="00401C67">
            <w:pPr>
              <w:widowControl w:val="0"/>
              <w:autoSpaceDE w:val="0"/>
              <w:autoSpaceDN w:val="0"/>
              <w:adjustRightInd w:val="0"/>
              <w:jc w:val="center"/>
            </w:pPr>
          </w:p>
        </w:tc>
      </w:tr>
      <w:tr w:rsidR="00B54D51" w:rsidRPr="00037AD4" w14:paraId="4372307F" w14:textId="77777777" w:rsidTr="00401C67">
        <w:trPr>
          <w:jc w:val="center"/>
        </w:trPr>
        <w:tc>
          <w:tcPr>
            <w:tcW w:w="977" w:type="pct"/>
            <w:tcBorders>
              <w:top w:val="nil"/>
              <w:left w:val="nil"/>
              <w:bottom w:val="nil"/>
              <w:right w:val="nil"/>
            </w:tcBorders>
          </w:tcPr>
          <w:p w14:paraId="46DDD5B2" w14:textId="77777777" w:rsidR="00B54D51" w:rsidRPr="00037AD4" w:rsidRDefault="00B54D51" w:rsidP="00401C67">
            <w:pPr>
              <w:widowControl w:val="0"/>
              <w:autoSpaceDE w:val="0"/>
              <w:autoSpaceDN w:val="0"/>
              <w:adjustRightInd w:val="0"/>
            </w:pPr>
          </w:p>
        </w:tc>
        <w:tc>
          <w:tcPr>
            <w:tcW w:w="673" w:type="pct"/>
            <w:tcBorders>
              <w:top w:val="nil"/>
              <w:left w:val="nil"/>
              <w:bottom w:val="nil"/>
              <w:right w:val="nil"/>
            </w:tcBorders>
          </w:tcPr>
          <w:p w14:paraId="475BD66B" w14:textId="77777777" w:rsidR="00B54D51" w:rsidRPr="00037AD4" w:rsidRDefault="00B54D51" w:rsidP="00401C67">
            <w:pPr>
              <w:widowControl w:val="0"/>
              <w:autoSpaceDE w:val="0"/>
              <w:autoSpaceDN w:val="0"/>
              <w:adjustRightInd w:val="0"/>
              <w:jc w:val="center"/>
            </w:pPr>
            <w:r w:rsidRPr="00037AD4">
              <w:t>(-0.497 - 0.623)</w:t>
            </w:r>
          </w:p>
        </w:tc>
        <w:tc>
          <w:tcPr>
            <w:tcW w:w="673" w:type="pct"/>
            <w:tcBorders>
              <w:top w:val="nil"/>
              <w:left w:val="nil"/>
              <w:bottom w:val="nil"/>
              <w:right w:val="nil"/>
            </w:tcBorders>
          </w:tcPr>
          <w:p w14:paraId="293DAF06"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3E703F17"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73311AE3"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3DE165E2" w14:textId="77777777" w:rsidR="00B54D51" w:rsidRPr="00037AD4" w:rsidRDefault="00B54D51" w:rsidP="00401C67">
            <w:pPr>
              <w:widowControl w:val="0"/>
              <w:autoSpaceDE w:val="0"/>
              <w:autoSpaceDN w:val="0"/>
              <w:adjustRightInd w:val="0"/>
              <w:jc w:val="center"/>
            </w:pPr>
          </w:p>
        </w:tc>
        <w:tc>
          <w:tcPr>
            <w:tcW w:w="658" w:type="pct"/>
            <w:tcBorders>
              <w:top w:val="nil"/>
              <w:left w:val="nil"/>
              <w:bottom w:val="nil"/>
              <w:right w:val="nil"/>
            </w:tcBorders>
          </w:tcPr>
          <w:p w14:paraId="0B0E6CD7" w14:textId="77777777" w:rsidR="00B54D51" w:rsidRPr="00037AD4" w:rsidRDefault="00B54D51" w:rsidP="00401C67">
            <w:pPr>
              <w:widowControl w:val="0"/>
              <w:autoSpaceDE w:val="0"/>
              <w:autoSpaceDN w:val="0"/>
              <w:adjustRightInd w:val="0"/>
              <w:jc w:val="center"/>
            </w:pPr>
          </w:p>
        </w:tc>
      </w:tr>
      <w:tr w:rsidR="00B54D51" w:rsidRPr="00037AD4" w14:paraId="51CFD37A" w14:textId="77777777" w:rsidTr="00401C67">
        <w:trPr>
          <w:jc w:val="center"/>
        </w:trPr>
        <w:tc>
          <w:tcPr>
            <w:tcW w:w="977" w:type="pct"/>
            <w:tcBorders>
              <w:top w:val="nil"/>
              <w:left w:val="nil"/>
              <w:bottom w:val="nil"/>
              <w:right w:val="nil"/>
            </w:tcBorders>
          </w:tcPr>
          <w:p w14:paraId="0EBB616A" w14:textId="77777777" w:rsidR="00B54D51" w:rsidRPr="00037AD4" w:rsidRDefault="00B54D51" w:rsidP="00401C67">
            <w:pPr>
              <w:widowControl w:val="0"/>
              <w:autoSpaceDE w:val="0"/>
              <w:autoSpaceDN w:val="0"/>
              <w:adjustRightInd w:val="0"/>
            </w:pPr>
            <w:r w:rsidRPr="00037AD4">
              <w:lastRenderedPageBreak/>
              <w:t>5.eq3staff_</w:t>
            </w:r>
          </w:p>
        </w:tc>
        <w:tc>
          <w:tcPr>
            <w:tcW w:w="673" w:type="pct"/>
            <w:tcBorders>
              <w:top w:val="nil"/>
              <w:left w:val="nil"/>
              <w:bottom w:val="nil"/>
              <w:right w:val="nil"/>
            </w:tcBorders>
          </w:tcPr>
          <w:p w14:paraId="4594DADA" w14:textId="77777777" w:rsidR="00B54D51" w:rsidRPr="00037AD4" w:rsidRDefault="00B54D51" w:rsidP="00401C67">
            <w:pPr>
              <w:widowControl w:val="0"/>
              <w:autoSpaceDE w:val="0"/>
              <w:autoSpaceDN w:val="0"/>
              <w:adjustRightInd w:val="0"/>
              <w:jc w:val="center"/>
            </w:pPr>
            <w:r w:rsidRPr="00037AD4">
              <w:t>0.119</w:t>
            </w:r>
          </w:p>
        </w:tc>
        <w:tc>
          <w:tcPr>
            <w:tcW w:w="673" w:type="pct"/>
            <w:tcBorders>
              <w:top w:val="nil"/>
              <w:left w:val="nil"/>
              <w:bottom w:val="nil"/>
              <w:right w:val="nil"/>
            </w:tcBorders>
          </w:tcPr>
          <w:p w14:paraId="7A9CB1A3"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6857AF40"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06EB1FF7"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053607EC" w14:textId="77777777" w:rsidR="00B54D51" w:rsidRPr="00037AD4" w:rsidRDefault="00B54D51" w:rsidP="00401C67">
            <w:pPr>
              <w:widowControl w:val="0"/>
              <w:autoSpaceDE w:val="0"/>
              <w:autoSpaceDN w:val="0"/>
              <w:adjustRightInd w:val="0"/>
              <w:jc w:val="center"/>
            </w:pPr>
          </w:p>
        </w:tc>
        <w:tc>
          <w:tcPr>
            <w:tcW w:w="658" w:type="pct"/>
            <w:tcBorders>
              <w:top w:val="nil"/>
              <w:left w:val="nil"/>
              <w:bottom w:val="nil"/>
              <w:right w:val="nil"/>
            </w:tcBorders>
          </w:tcPr>
          <w:p w14:paraId="04DA9D43" w14:textId="77777777" w:rsidR="00B54D51" w:rsidRPr="00037AD4" w:rsidRDefault="00B54D51" w:rsidP="00401C67">
            <w:pPr>
              <w:widowControl w:val="0"/>
              <w:autoSpaceDE w:val="0"/>
              <w:autoSpaceDN w:val="0"/>
              <w:adjustRightInd w:val="0"/>
              <w:jc w:val="center"/>
            </w:pPr>
          </w:p>
        </w:tc>
      </w:tr>
      <w:tr w:rsidR="00B54D51" w:rsidRPr="00037AD4" w14:paraId="3473D9B3" w14:textId="77777777" w:rsidTr="00401C67">
        <w:trPr>
          <w:jc w:val="center"/>
        </w:trPr>
        <w:tc>
          <w:tcPr>
            <w:tcW w:w="977" w:type="pct"/>
            <w:tcBorders>
              <w:top w:val="nil"/>
              <w:left w:val="nil"/>
              <w:bottom w:val="nil"/>
              <w:right w:val="nil"/>
            </w:tcBorders>
          </w:tcPr>
          <w:p w14:paraId="2CF0DBBE" w14:textId="77777777" w:rsidR="00B54D51" w:rsidRPr="00037AD4" w:rsidRDefault="00B54D51" w:rsidP="00401C67">
            <w:pPr>
              <w:widowControl w:val="0"/>
              <w:autoSpaceDE w:val="0"/>
              <w:autoSpaceDN w:val="0"/>
              <w:adjustRightInd w:val="0"/>
            </w:pPr>
          </w:p>
        </w:tc>
        <w:tc>
          <w:tcPr>
            <w:tcW w:w="673" w:type="pct"/>
            <w:tcBorders>
              <w:top w:val="nil"/>
              <w:left w:val="nil"/>
              <w:bottom w:val="nil"/>
              <w:right w:val="nil"/>
            </w:tcBorders>
          </w:tcPr>
          <w:p w14:paraId="2F2ADB7F" w14:textId="77777777" w:rsidR="00B54D51" w:rsidRPr="00037AD4" w:rsidRDefault="00B54D51" w:rsidP="00401C67">
            <w:pPr>
              <w:widowControl w:val="0"/>
              <w:autoSpaceDE w:val="0"/>
              <w:autoSpaceDN w:val="0"/>
              <w:adjustRightInd w:val="0"/>
              <w:jc w:val="center"/>
            </w:pPr>
            <w:r w:rsidRPr="00037AD4">
              <w:t>(-0.314 - 0.553)</w:t>
            </w:r>
          </w:p>
        </w:tc>
        <w:tc>
          <w:tcPr>
            <w:tcW w:w="673" w:type="pct"/>
            <w:tcBorders>
              <w:top w:val="nil"/>
              <w:left w:val="nil"/>
              <w:bottom w:val="nil"/>
              <w:right w:val="nil"/>
            </w:tcBorders>
          </w:tcPr>
          <w:p w14:paraId="1A3357F4"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3EC1E3B0"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2F48ABAF"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11EF1CC3" w14:textId="77777777" w:rsidR="00B54D51" w:rsidRPr="00037AD4" w:rsidRDefault="00B54D51" w:rsidP="00401C67">
            <w:pPr>
              <w:widowControl w:val="0"/>
              <w:autoSpaceDE w:val="0"/>
              <w:autoSpaceDN w:val="0"/>
              <w:adjustRightInd w:val="0"/>
              <w:jc w:val="center"/>
            </w:pPr>
          </w:p>
        </w:tc>
        <w:tc>
          <w:tcPr>
            <w:tcW w:w="658" w:type="pct"/>
            <w:tcBorders>
              <w:top w:val="nil"/>
              <w:left w:val="nil"/>
              <w:bottom w:val="nil"/>
              <w:right w:val="nil"/>
            </w:tcBorders>
          </w:tcPr>
          <w:p w14:paraId="1D2F238F" w14:textId="77777777" w:rsidR="00B54D51" w:rsidRPr="00037AD4" w:rsidRDefault="00B54D51" w:rsidP="00401C67">
            <w:pPr>
              <w:widowControl w:val="0"/>
              <w:autoSpaceDE w:val="0"/>
              <w:autoSpaceDN w:val="0"/>
              <w:adjustRightInd w:val="0"/>
              <w:jc w:val="center"/>
            </w:pPr>
          </w:p>
        </w:tc>
      </w:tr>
      <w:tr w:rsidR="00B54D51" w:rsidRPr="00037AD4" w14:paraId="3F32F2E8" w14:textId="77777777" w:rsidTr="00401C67">
        <w:trPr>
          <w:jc w:val="center"/>
        </w:trPr>
        <w:tc>
          <w:tcPr>
            <w:tcW w:w="977" w:type="pct"/>
            <w:tcBorders>
              <w:top w:val="nil"/>
              <w:left w:val="nil"/>
              <w:bottom w:val="nil"/>
              <w:right w:val="nil"/>
            </w:tcBorders>
          </w:tcPr>
          <w:p w14:paraId="5B737D12" w14:textId="77777777" w:rsidR="00B54D51" w:rsidRPr="00037AD4" w:rsidRDefault="00B54D51" w:rsidP="00401C67">
            <w:pPr>
              <w:widowControl w:val="0"/>
              <w:autoSpaceDE w:val="0"/>
              <w:autoSpaceDN w:val="0"/>
              <w:adjustRightInd w:val="0"/>
            </w:pPr>
            <w:r w:rsidRPr="00037AD4">
              <w:t>2.eq5staff_</w:t>
            </w:r>
          </w:p>
        </w:tc>
        <w:tc>
          <w:tcPr>
            <w:tcW w:w="673" w:type="pct"/>
            <w:tcBorders>
              <w:top w:val="nil"/>
              <w:left w:val="nil"/>
              <w:bottom w:val="nil"/>
              <w:right w:val="nil"/>
            </w:tcBorders>
          </w:tcPr>
          <w:p w14:paraId="7891FB98" w14:textId="77777777" w:rsidR="00B54D51" w:rsidRPr="00037AD4" w:rsidRDefault="00B54D51" w:rsidP="00401C67">
            <w:pPr>
              <w:widowControl w:val="0"/>
              <w:autoSpaceDE w:val="0"/>
              <w:autoSpaceDN w:val="0"/>
              <w:adjustRightInd w:val="0"/>
              <w:jc w:val="center"/>
            </w:pPr>
            <w:r w:rsidRPr="00037AD4">
              <w:t>0.166</w:t>
            </w:r>
          </w:p>
        </w:tc>
        <w:tc>
          <w:tcPr>
            <w:tcW w:w="673" w:type="pct"/>
            <w:tcBorders>
              <w:top w:val="nil"/>
              <w:left w:val="nil"/>
              <w:bottom w:val="nil"/>
              <w:right w:val="nil"/>
            </w:tcBorders>
          </w:tcPr>
          <w:p w14:paraId="136DF12E"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7BCA2808"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156EAF33"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5243E768" w14:textId="77777777" w:rsidR="00B54D51" w:rsidRPr="00037AD4" w:rsidRDefault="00B54D51" w:rsidP="00401C67">
            <w:pPr>
              <w:widowControl w:val="0"/>
              <w:autoSpaceDE w:val="0"/>
              <w:autoSpaceDN w:val="0"/>
              <w:adjustRightInd w:val="0"/>
              <w:jc w:val="center"/>
            </w:pPr>
          </w:p>
        </w:tc>
        <w:tc>
          <w:tcPr>
            <w:tcW w:w="658" w:type="pct"/>
            <w:tcBorders>
              <w:top w:val="nil"/>
              <w:left w:val="nil"/>
              <w:bottom w:val="nil"/>
              <w:right w:val="nil"/>
            </w:tcBorders>
          </w:tcPr>
          <w:p w14:paraId="12115D3F" w14:textId="77777777" w:rsidR="00B54D51" w:rsidRPr="00037AD4" w:rsidRDefault="00B54D51" w:rsidP="00401C67">
            <w:pPr>
              <w:widowControl w:val="0"/>
              <w:autoSpaceDE w:val="0"/>
              <w:autoSpaceDN w:val="0"/>
              <w:adjustRightInd w:val="0"/>
              <w:jc w:val="center"/>
            </w:pPr>
          </w:p>
        </w:tc>
      </w:tr>
      <w:tr w:rsidR="00B54D51" w:rsidRPr="00037AD4" w14:paraId="7887F0F3" w14:textId="77777777" w:rsidTr="00401C67">
        <w:trPr>
          <w:jc w:val="center"/>
        </w:trPr>
        <w:tc>
          <w:tcPr>
            <w:tcW w:w="977" w:type="pct"/>
            <w:tcBorders>
              <w:top w:val="nil"/>
              <w:left w:val="nil"/>
              <w:bottom w:val="nil"/>
              <w:right w:val="nil"/>
            </w:tcBorders>
          </w:tcPr>
          <w:p w14:paraId="209D90E4" w14:textId="77777777" w:rsidR="00B54D51" w:rsidRPr="00037AD4" w:rsidRDefault="00B54D51" w:rsidP="00401C67">
            <w:pPr>
              <w:widowControl w:val="0"/>
              <w:autoSpaceDE w:val="0"/>
              <w:autoSpaceDN w:val="0"/>
              <w:adjustRightInd w:val="0"/>
            </w:pPr>
          </w:p>
        </w:tc>
        <w:tc>
          <w:tcPr>
            <w:tcW w:w="673" w:type="pct"/>
            <w:tcBorders>
              <w:top w:val="nil"/>
              <w:left w:val="nil"/>
              <w:bottom w:val="nil"/>
              <w:right w:val="nil"/>
            </w:tcBorders>
          </w:tcPr>
          <w:p w14:paraId="57CC2FCD" w14:textId="77777777" w:rsidR="00B54D51" w:rsidRPr="00037AD4" w:rsidRDefault="00B54D51" w:rsidP="00401C67">
            <w:pPr>
              <w:widowControl w:val="0"/>
              <w:autoSpaceDE w:val="0"/>
              <w:autoSpaceDN w:val="0"/>
              <w:adjustRightInd w:val="0"/>
              <w:jc w:val="center"/>
            </w:pPr>
            <w:r w:rsidRPr="00037AD4">
              <w:t>(-0.084 - 0.415)</w:t>
            </w:r>
          </w:p>
        </w:tc>
        <w:tc>
          <w:tcPr>
            <w:tcW w:w="673" w:type="pct"/>
            <w:tcBorders>
              <w:top w:val="nil"/>
              <w:left w:val="nil"/>
              <w:bottom w:val="nil"/>
              <w:right w:val="nil"/>
            </w:tcBorders>
          </w:tcPr>
          <w:p w14:paraId="4F52B56C"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3306C3EE"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2597572E"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39F851C2" w14:textId="77777777" w:rsidR="00B54D51" w:rsidRPr="00037AD4" w:rsidRDefault="00B54D51" w:rsidP="00401C67">
            <w:pPr>
              <w:widowControl w:val="0"/>
              <w:autoSpaceDE w:val="0"/>
              <w:autoSpaceDN w:val="0"/>
              <w:adjustRightInd w:val="0"/>
              <w:jc w:val="center"/>
            </w:pPr>
          </w:p>
        </w:tc>
        <w:tc>
          <w:tcPr>
            <w:tcW w:w="658" w:type="pct"/>
            <w:tcBorders>
              <w:top w:val="nil"/>
              <w:left w:val="nil"/>
              <w:bottom w:val="nil"/>
              <w:right w:val="nil"/>
            </w:tcBorders>
          </w:tcPr>
          <w:p w14:paraId="06655559" w14:textId="77777777" w:rsidR="00B54D51" w:rsidRPr="00037AD4" w:rsidRDefault="00B54D51" w:rsidP="00401C67">
            <w:pPr>
              <w:widowControl w:val="0"/>
              <w:autoSpaceDE w:val="0"/>
              <w:autoSpaceDN w:val="0"/>
              <w:adjustRightInd w:val="0"/>
              <w:jc w:val="center"/>
            </w:pPr>
          </w:p>
        </w:tc>
      </w:tr>
      <w:tr w:rsidR="00B54D51" w:rsidRPr="00037AD4" w14:paraId="6A5CB407" w14:textId="77777777" w:rsidTr="00401C67">
        <w:trPr>
          <w:jc w:val="center"/>
        </w:trPr>
        <w:tc>
          <w:tcPr>
            <w:tcW w:w="977" w:type="pct"/>
            <w:tcBorders>
              <w:top w:val="nil"/>
              <w:left w:val="nil"/>
              <w:bottom w:val="nil"/>
              <w:right w:val="nil"/>
            </w:tcBorders>
          </w:tcPr>
          <w:p w14:paraId="12338E45" w14:textId="77777777" w:rsidR="00B54D51" w:rsidRPr="00037AD4" w:rsidRDefault="00B54D51" w:rsidP="00401C67">
            <w:pPr>
              <w:widowControl w:val="0"/>
              <w:autoSpaceDE w:val="0"/>
              <w:autoSpaceDN w:val="0"/>
              <w:adjustRightInd w:val="0"/>
            </w:pPr>
            <w:r w:rsidRPr="00037AD4">
              <w:t>3.eq5staff_</w:t>
            </w:r>
          </w:p>
        </w:tc>
        <w:tc>
          <w:tcPr>
            <w:tcW w:w="673" w:type="pct"/>
            <w:tcBorders>
              <w:top w:val="nil"/>
              <w:left w:val="nil"/>
              <w:bottom w:val="nil"/>
              <w:right w:val="nil"/>
            </w:tcBorders>
          </w:tcPr>
          <w:p w14:paraId="5EE5A76F" w14:textId="77777777" w:rsidR="00B54D51" w:rsidRPr="00037AD4" w:rsidRDefault="00B54D51" w:rsidP="00401C67">
            <w:pPr>
              <w:widowControl w:val="0"/>
              <w:autoSpaceDE w:val="0"/>
              <w:autoSpaceDN w:val="0"/>
              <w:adjustRightInd w:val="0"/>
              <w:jc w:val="center"/>
            </w:pPr>
            <w:r w:rsidRPr="00037AD4">
              <w:t>0.598***</w:t>
            </w:r>
          </w:p>
        </w:tc>
        <w:tc>
          <w:tcPr>
            <w:tcW w:w="673" w:type="pct"/>
            <w:tcBorders>
              <w:top w:val="nil"/>
              <w:left w:val="nil"/>
              <w:bottom w:val="nil"/>
              <w:right w:val="nil"/>
            </w:tcBorders>
          </w:tcPr>
          <w:p w14:paraId="2B553A46"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7FA946F3"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1C13C8F9"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3E11B320" w14:textId="77777777" w:rsidR="00B54D51" w:rsidRPr="00037AD4" w:rsidRDefault="00B54D51" w:rsidP="00401C67">
            <w:pPr>
              <w:widowControl w:val="0"/>
              <w:autoSpaceDE w:val="0"/>
              <w:autoSpaceDN w:val="0"/>
              <w:adjustRightInd w:val="0"/>
              <w:jc w:val="center"/>
            </w:pPr>
          </w:p>
        </w:tc>
        <w:tc>
          <w:tcPr>
            <w:tcW w:w="658" w:type="pct"/>
            <w:tcBorders>
              <w:top w:val="nil"/>
              <w:left w:val="nil"/>
              <w:bottom w:val="nil"/>
              <w:right w:val="nil"/>
            </w:tcBorders>
          </w:tcPr>
          <w:p w14:paraId="4811B515" w14:textId="77777777" w:rsidR="00B54D51" w:rsidRPr="00037AD4" w:rsidRDefault="00B54D51" w:rsidP="00401C67">
            <w:pPr>
              <w:widowControl w:val="0"/>
              <w:autoSpaceDE w:val="0"/>
              <w:autoSpaceDN w:val="0"/>
              <w:adjustRightInd w:val="0"/>
              <w:jc w:val="center"/>
            </w:pPr>
          </w:p>
        </w:tc>
      </w:tr>
      <w:tr w:rsidR="00B54D51" w:rsidRPr="00037AD4" w14:paraId="36F96551" w14:textId="77777777" w:rsidTr="00401C67">
        <w:trPr>
          <w:jc w:val="center"/>
        </w:trPr>
        <w:tc>
          <w:tcPr>
            <w:tcW w:w="977" w:type="pct"/>
            <w:tcBorders>
              <w:top w:val="nil"/>
              <w:left w:val="nil"/>
              <w:bottom w:val="nil"/>
              <w:right w:val="nil"/>
            </w:tcBorders>
          </w:tcPr>
          <w:p w14:paraId="017362BD" w14:textId="77777777" w:rsidR="00B54D51" w:rsidRPr="00037AD4" w:rsidRDefault="00B54D51" w:rsidP="00401C67">
            <w:pPr>
              <w:widowControl w:val="0"/>
              <w:autoSpaceDE w:val="0"/>
              <w:autoSpaceDN w:val="0"/>
              <w:adjustRightInd w:val="0"/>
            </w:pPr>
          </w:p>
        </w:tc>
        <w:tc>
          <w:tcPr>
            <w:tcW w:w="673" w:type="pct"/>
            <w:tcBorders>
              <w:top w:val="nil"/>
              <w:left w:val="nil"/>
              <w:bottom w:val="nil"/>
              <w:right w:val="nil"/>
            </w:tcBorders>
          </w:tcPr>
          <w:p w14:paraId="429F993E" w14:textId="77777777" w:rsidR="00B54D51" w:rsidRPr="00037AD4" w:rsidRDefault="00B54D51" w:rsidP="00401C67">
            <w:pPr>
              <w:widowControl w:val="0"/>
              <w:autoSpaceDE w:val="0"/>
              <w:autoSpaceDN w:val="0"/>
              <w:adjustRightInd w:val="0"/>
              <w:jc w:val="center"/>
            </w:pPr>
            <w:r w:rsidRPr="00037AD4">
              <w:t>(0.204 - 0.993)</w:t>
            </w:r>
          </w:p>
        </w:tc>
        <w:tc>
          <w:tcPr>
            <w:tcW w:w="673" w:type="pct"/>
            <w:tcBorders>
              <w:top w:val="nil"/>
              <w:left w:val="nil"/>
              <w:bottom w:val="nil"/>
              <w:right w:val="nil"/>
            </w:tcBorders>
          </w:tcPr>
          <w:p w14:paraId="7FC6BC48"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06321CE2"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4B8AADFE"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2241C357" w14:textId="77777777" w:rsidR="00B54D51" w:rsidRPr="00037AD4" w:rsidRDefault="00B54D51" w:rsidP="00401C67">
            <w:pPr>
              <w:widowControl w:val="0"/>
              <w:autoSpaceDE w:val="0"/>
              <w:autoSpaceDN w:val="0"/>
              <w:adjustRightInd w:val="0"/>
              <w:jc w:val="center"/>
            </w:pPr>
          </w:p>
        </w:tc>
        <w:tc>
          <w:tcPr>
            <w:tcW w:w="658" w:type="pct"/>
            <w:tcBorders>
              <w:top w:val="nil"/>
              <w:left w:val="nil"/>
              <w:bottom w:val="nil"/>
              <w:right w:val="nil"/>
            </w:tcBorders>
          </w:tcPr>
          <w:p w14:paraId="4FEFA0D2" w14:textId="77777777" w:rsidR="00B54D51" w:rsidRPr="00037AD4" w:rsidRDefault="00B54D51" w:rsidP="00401C67">
            <w:pPr>
              <w:widowControl w:val="0"/>
              <w:autoSpaceDE w:val="0"/>
              <w:autoSpaceDN w:val="0"/>
              <w:adjustRightInd w:val="0"/>
              <w:jc w:val="center"/>
            </w:pPr>
          </w:p>
        </w:tc>
      </w:tr>
      <w:tr w:rsidR="00B54D51" w:rsidRPr="00037AD4" w14:paraId="5FA2E3BF" w14:textId="77777777" w:rsidTr="00401C67">
        <w:trPr>
          <w:jc w:val="center"/>
        </w:trPr>
        <w:tc>
          <w:tcPr>
            <w:tcW w:w="977" w:type="pct"/>
            <w:tcBorders>
              <w:top w:val="nil"/>
              <w:left w:val="nil"/>
              <w:bottom w:val="nil"/>
              <w:right w:val="nil"/>
            </w:tcBorders>
          </w:tcPr>
          <w:p w14:paraId="18B0A3C7" w14:textId="77777777" w:rsidR="00B54D51" w:rsidRPr="00037AD4" w:rsidRDefault="00B54D51" w:rsidP="00401C67">
            <w:pPr>
              <w:widowControl w:val="0"/>
              <w:autoSpaceDE w:val="0"/>
              <w:autoSpaceDN w:val="0"/>
              <w:adjustRightInd w:val="0"/>
            </w:pPr>
            <w:r w:rsidRPr="00037AD4">
              <w:t>4.eq5staff_</w:t>
            </w:r>
          </w:p>
        </w:tc>
        <w:tc>
          <w:tcPr>
            <w:tcW w:w="673" w:type="pct"/>
            <w:tcBorders>
              <w:top w:val="nil"/>
              <w:left w:val="nil"/>
              <w:bottom w:val="nil"/>
              <w:right w:val="nil"/>
            </w:tcBorders>
          </w:tcPr>
          <w:p w14:paraId="4B87CA7B" w14:textId="77777777" w:rsidR="00B54D51" w:rsidRPr="00037AD4" w:rsidRDefault="00B54D51" w:rsidP="00401C67">
            <w:pPr>
              <w:widowControl w:val="0"/>
              <w:autoSpaceDE w:val="0"/>
              <w:autoSpaceDN w:val="0"/>
              <w:adjustRightInd w:val="0"/>
              <w:jc w:val="center"/>
            </w:pPr>
            <w:r w:rsidRPr="00037AD4">
              <w:t>-0.188</w:t>
            </w:r>
          </w:p>
        </w:tc>
        <w:tc>
          <w:tcPr>
            <w:tcW w:w="673" w:type="pct"/>
            <w:tcBorders>
              <w:top w:val="nil"/>
              <w:left w:val="nil"/>
              <w:bottom w:val="nil"/>
              <w:right w:val="nil"/>
            </w:tcBorders>
          </w:tcPr>
          <w:p w14:paraId="336FAB93"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5E15E68A"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093A288F"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1732A30F" w14:textId="77777777" w:rsidR="00B54D51" w:rsidRPr="00037AD4" w:rsidRDefault="00B54D51" w:rsidP="00401C67">
            <w:pPr>
              <w:widowControl w:val="0"/>
              <w:autoSpaceDE w:val="0"/>
              <w:autoSpaceDN w:val="0"/>
              <w:adjustRightInd w:val="0"/>
              <w:jc w:val="center"/>
            </w:pPr>
          </w:p>
        </w:tc>
        <w:tc>
          <w:tcPr>
            <w:tcW w:w="658" w:type="pct"/>
            <w:tcBorders>
              <w:top w:val="nil"/>
              <w:left w:val="nil"/>
              <w:bottom w:val="nil"/>
              <w:right w:val="nil"/>
            </w:tcBorders>
          </w:tcPr>
          <w:p w14:paraId="0CA63744" w14:textId="77777777" w:rsidR="00B54D51" w:rsidRPr="00037AD4" w:rsidRDefault="00B54D51" w:rsidP="00401C67">
            <w:pPr>
              <w:widowControl w:val="0"/>
              <w:autoSpaceDE w:val="0"/>
              <w:autoSpaceDN w:val="0"/>
              <w:adjustRightInd w:val="0"/>
              <w:jc w:val="center"/>
            </w:pPr>
          </w:p>
        </w:tc>
      </w:tr>
      <w:tr w:rsidR="00B54D51" w:rsidRPr="00037AD4" w14:paraId="76E8B205" w14:textId="77777777" w:rsidTr="00401C67">
        <w:trPr>
          <w:jc w:val="center"/>
        </w:trPr>
        <w:tc>
          <w:tcPr>
            <w:tcW w:w="977" w:type="pct"/>
            <w:tcBorders>
              <w:top w:val="nil"/>
              <w:left w:val="nil"/>
              <w:bottom w:val="nil"/>
              <w:right w:val="nil"/>
            </w:tcBorders>
          </w:tcPr>
          <w:p w14:paraId="0708117F" w14:textId="77777777" w:rsidR="00B54D51" w:rsidRPr="00037AD4" w:rsidRDefault="00B54D51" w:rsidP="00401C67">
            <w:pPr>
              <w:widowControl w:val="0"/>
              <w:autoSpaceDE w:val="0"/>
              <w:autoSpaceDN w:val="0"/>
              <w:adjustRightInd w:val="0"/>
            </w:pPr>
          </w:p>
        </w:tc>
        <w:tc>
          <w:tcPr>
            <w:tcW w:w="673" w:type="pct"/>
            <w:tcBorders>
              <w:top w:val="nil"/>
              <w:left w:val="nil"/>
              <w:bottom w:val="nil"/>
              <w:right w:val="nil"/>
            </w:tcBorders>
          </w:tcPr>
          <w:p w14:paraId="5B93F952" w14:textId="77777777" w:rsidR="00B54D51" w:rsidRPr="00037AD4" w:rsidRDefault="00B54D51" w:rsidP="00401C67">
            <w:pPr>
              <w:widowControl w:val="0"/>
              <w:autoSpaceDE w:val="0"/>
              <w:autoSpaceDN w:val="0"/>
              <w:adjustRightInd w:val="0"/>
              <w:jc w:val="center"/>
            </w:pPr>
            <w:r w:rsidRPr="00037AD4">
              <w:t>(-0.874 - 0.499)</w:t>
            </w:r>
          </w:p>
        </w:tc>
        <w:tc>
          <w:tcPr>
            <w:tcW w:w="673" w:type="pct"/>
            <w:tcBorders>
              <w:top w:val="nil"/>
              <w:left w:val="nil"/>
              <w:bottom w:val="nil"/>
              <w:right w:val="nil"/>
            </w:tcBorders>
          </w:tcPr>
          <w:p w14:paraId="56D0A3DE"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1D2B56C4"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22AC4BE3"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46E7FD29" w14:textId="77777777" w:rsidR="00B54D51" w:rsidRPr="00037AD4" w:rsidRDefault="00B54D51" w:rsidP="00401C67">
            <w:pPr>
              <w:widowControl w:val="0"/>
              <w:autoSpaceDE w:val="0"/>
              <w:autoSpaceDN w:val="0"/>
              <w:adjustRightInd w:val="0"/>
              <w:jc w:val="center"/>
            </w:pPr>
          </w:p>
        </w:tc>
        <w:tc>
          <w:tcPr>
            <w:tcW w:w="658" w:type="pct"/>
            <w:tcBorders>
              <w:top w:val="nil"/>
              <w:left w:val="nil"/>
              <w:bottom w:val="nil"/>
              <w:right w:val="nil"/>
            </w:tcBorders>
          </w:tcPr>
          <w:p w14:paraId="4CE7E27D" w14:textId="77777777" w:rsidR="00B54D51" w:rsidRPr="00037AD4" w:rsidRDefault="00B54D51" w:rsidP="00401C67">
            <w:pPr>
              <w:widowControl w:val="0"/>
              <w:autoSpaceDE w:val="0"/>
              <w:autoSpaceDN w:val="0"/>
              <w:adjustRightInd w:val="0"/>
              <w:jc w:val="center"/>
            </w:pPr>
          </w:p>
        </w:tc>
      </w:tr>
      <w:tr w:rsidR="00B54D51" w:rsidRPr="00037AD4" w14:paraId="4542A116" w14:textId="77777777" w:rsidTr="00401C67">
        <w:trPr>
          <w:jc w:val="center"/>
        </w:trPr>
        <w:tc>
          <w:tcPr>
            <w:tcW w:w="977" w:type="pct"/>
            <w:tcBorders>
              <w:top w:val="nil"/>
              <w:left w:val="nil"/>
              <w:bottom w:val="nil"/>
              <w:right w:val="nil"/>
            </w:tcBorders>
          </w:tcPr>
          <w:p w14:paraId="58025723" w14:textId="77777777" w:rsidR="00B54D51" w:rsidRPr="00037AD4" w:rsidRDefault="00B54D51" w:rsidP="00401C67">
            <w:pPr>
              <w:widowControl w:val="0"/>
              <w:autoSpaceDE w:val="0"/>
              <w:autoSpaceDN w:val="0"/>
              <w:adjustRightInd w:val="0"/>
            </w:pPr>
            <w:r w:rsidRPr="00037AD4">
              <w:t>5.eq5staff_</w:t>
            </w:r>
          </w:p>
        </w:tc>
        <w:tc>
          <w:tcPr>
            <w:tcW w:w="673" w:type="pct"/>
            <w:tcBorders>
              <w:top w:val="nil"/>
              <w:left w:val="nil"/>
              <w:bottom w:val="nil"/>
              <w:right w:val="nil"/>
            </w:tcBorders>
          </w:tcPr>
          <w:p w14:paraId="6CD5B427" w14:textId="77777777" w:rsidR="00B54D51" w:rsidRPr="00037AD4" w:rsidRDefault="00B54D51" w:rsidP="00401C67">
            <w:pPr>
              <w:widowControl w:val="0"/>
              <w:autoSpaceDE w:val="0"/>
              <w:autoSpaceDN w:val="0"/>
              <w:adjustRightInd w:val="0"/>
              <w:jc w:val="center"/>
            </w:pPr>
            <w:r w:rsidRPr="00037AD4">
              <w:t>0.973</w:t>
            </w:r>
          </w:p>
        </w:tc>
        <w:tc>
          <w:tcPr>
            <w:tcW w:w="673" w:type="pct"/>
            <w:tcBorders>
              <w:top w:val="nil"/>
              <w:left w:val="nil"/>
              <w:bottom w:val="nil"/>
              <w:right w:val="nil"/>
            </w:tcBorders>
          </w:tcPr>
          <w:p w14:paraId="5D6D1F39"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3E53ACA4"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2B12EEBD"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105D965D" w14:textId="77777777" w:rsidR="00B54D51" w:rsidRPr="00037AD4" w:rsidRDefault="00B54D51" w:rsidP="00401C67">
            <w:pPr>
              <w:widowControl w:val="0"/>
              <w:autoSpaceDE w:val="0"/>
              <w:autoSpaceDN w:val="0"/>
              <w:adjustRightInd w:val="0"/>
              <w:jc w:val="center"/>
            </w:pPr>
          </w:p>
        </w:tc>
        <w:tc>
          <w:tcPr>
            <w:tcW w:w="658" w:type="pct"/>
            <w:tcBorders>
              <w:top w:val="nil"/>
              <w:left w:val="nil"/>
              <w:bottom w:val="nil"/>
              <w:right w:val="nil"/>
            </w:tcBorders>
          </w:tcPr>
          <w:p w14:paraId="715E2F1F" w14:textId="77777777" w:rsidR="00B54D51" w:rsidRPr="00037AD4" w:rsidRDefault="00B54D51" w:rsidP="00401C67">
            <w:pPr>
              <w:widowControl w:val="0"/>
              <w:autoSpaceDE w:val="0"/>
              <w:autoSpaceDN w:val="0"/>
              <w:adjustRightInd w:val="0"/>
              <w:jc w:val="center"/>
            </w:pPr>
          </w:p>
        </w:tc>
      </w:tr>
      <w:tr w:rsidR="00B54D51" w:rsidRPr="00037AD4" w14:paraId="6CDBCB43" w14:textId="77777777" w:rsidTr="00401C67">
        <w:trPr>
          <w:jc w:val="center"/>
        </w:trPr>
        <w:tc>
          <w:tcPr>
            <w:tcW w:w="977" w:type="pct"/>
            <w:tcBorders>
              <w:top w:val="nil"/>
              <w:left w:val="nil"/>
              <w:bottom w:val="nil"/>
              <w:right w:val="nil"/>
            </w:tcBorders>
          </w:tcPr>
          <w:p w14:paraId="282AA754" w14:textId="77777777" w:rsidR="00B54D51" w:rsidRPr="00037AD4" w:rsidRDefault="00B54D51" w:rsidP="00401C67">
            <w:pPr>
              <w:widowControl w:val="0"/>
              <w:autoSpaceDE w:val="0"/>
              <w:autoSpaceDN w:val="0"/>
              <w:adjustRightInd w:val="0"/>
            </w:pPr>
          </w:p>
        </w:tc>
        <w:tc>
          <w:tcPr>
            <w:tcW w:w="673" w:type="pct"/>
            <w:tcBorders>
              <w:top w:val="nil"/>
              <w:left w:val="nil"/>
              <w:bottom w:val="nil"/>
              <w:right w:val="nil"/>
            </w:tcBorders>
          </w:tcPr>
          <w:p w14:paraId="07620F4C" w14:textId="77777777" w:rsidR="00B54D51" w:rsidRPr="00037AD4" w:rsidRDefault="00B54D51" w:rsidP="00401C67">
            <w:pPr>
              <w:widowControl w:val="0"/>
              <w:autoSpaceDE w:val="0"/>
              <w:autoSpaceDN w:val="0"/>
              <w:adjustRightInd w:val="0"/>
              <w:jc w:val="center"/>
            </w:pPr>
            <w:r w:rsidRPr="00037AD4">
              <w:t>(-0.464 - 2.411)</w:t>
            </w:r>
          </w:p>
        </w:tc>
        <w:tc>
          <w:tcPr>
            <w:tcW w:w="673" w:type="pct"/>
            <w:tcBorders>
              <w:top w:val="nil"/>
              <w:left w:val="nil"/>
              <w:bottom w:val="nil"/>
              <w:right w:val="nil"/>
            </w:tcBorders>
          </w:tcPr>
          <w:p w14:paraId="57F1788D"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65AA9DED"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5D796BBB"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1626CE96" w14:textId="77777777" w:rsidR="00B54D51" w:rsidRPr="00037AD4" w:rsidRDefault="00B54D51" w:rsidP="00401C67">
            <w:pPr>
              <w:widowControl w:val="0"/>
              <w:autoSpaceDE w:val="0"/>
              <w:autoSpaceDN w:val="0"/>
              <w:adjustRightInd w:val="0"/>
              <w:jc w:val="center"/>
            </w:pPr>
          </w:p>
        </w:tc>
        <w:tc>
          <w:tcPr>
            <w:tcW w:w="658" w:type="pct"/>
            <w:tcBorders>
              <w:top w:val="nil"/>
              <w:left w:val="nil"/>
              <w:bottom w:val="nil"/>
              <w:right w:val="nil"/>
            </w:tcBorders>
          </w:tcPr>
          <w:p w14:paraId="69D00850" w14:textId="77777777" w:rsidR="00B54D51" w:rsidRPr="00037AD4" w:rsidRDefault="00B54D51" w:rsidP="00401C67">
            <w:pPr>
              <w:widowControl w:val="0"/>
              <w:autoSpaceDE w:val="0"/>
              <w:autoSpaceDN w:val="0"/>
              <w:adjustRightInd w:val="0"/>
              <w:jc w:val="center"/>
            </w:pPr>
          </w:p>
        </w:tc>
      </w:tr>
      <w:tr w:rsidR="00B54D51" w:rsidRPr="00037AD4" w14:paraId="56E0E8C6" w14:textId="77777777" w:rsidTr="00401C67">
        <w:trPr>
          <w:jc w:val="center"/>
        </w:trPr>
        <w:tc>
          <w:tcPr>
            <w:tcW w:w="977" w:type="pct"/>
            <w:tcBorders>
              <w:top w:val="nil"/>
              <w:left w:val="nil"/>
              <w:bottom w:val="nil"/>
              <w:right w:val="nil"/>
            </w:tcBorders>
          </w:tcPr>
          <w:p w14:paraId="4711C040" w14:textId="77777777" w:rsidR="00B54D51" w:rsidRPr="00037AD4" w:rsidRDefault="00B54D51" w:rsidP="00401C67">
            <w:pPr>
              <w:widowControl w:val="0"/>
              <w:autoSpaceDE w:val="0"/>
              <w:autoSpaceDN w:val="0"/>
              <w:adjustRightInd w:val="0"/>
            </w:pPr>
            <w:r w:rsidRPr="00037AD4">
              <w:t>numeric_FAST_</w:t>
            </w:r>
          </w:p>
        </w:tc>
        <w:tc>
          <w:tcPr>
            <w:tcW w:w="673" w:type="pct"/>
            <w:tcBorders>
              <w:top w:val="nil"/>
              <w:left w:val="nil"/>
              <w:bottom w:val="nil"/>
              <w:right w:val="nil"/>
            </w:tcBorders>
          </w:tcPr>
          <w:p w14:paraId="0F093B48" w14:textId="77777777" w:rsidR="00B54D51" w:rsidRPr="00037AD4" w:rsidRDefault="00B54D51" w:rsidP="00401C67">
            <w:pPr>
              <w:widowControl w:val="0"/>
              <w:autoSpaceDE w:val="0"/>
              <w:autoSpaceDN w:val="0"/>
              <w:adjustRightInd w:val="0"/>
              <w:jc w:val="center"/>
            </w:pPr>
            <w:r w:rsidRPr="00037AD4">
              <w:t>-0.038</w:t>
            </w:r>
          </w:p>
        </w:tc>
        <w:tc>
          <w:tcPr>
            <w:tcW w:w="673" w:type="pct"/>
            <w:tcBorders>
              <w:top w:val="nil"/>
              <w:left w:val="nil"/>
              <w:bottom w:val="nil"/>
              <w:right w:val="nil"/>
            </w:tcBorders>
          </w:tcPr>
          <w:p w14:paraId="7033FF70"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15DB5411"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1A34C4B4"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756AED87" w14:textId="77777777" w:rsidR="00B54D51" w:rsidRPr="00037AD4" w:rsidRDefault="00B54D51" w:rsidP="00401C67">
            <w:pPr>
              <w:widowControl w:val="0"/>
              <w:autoSpaceDE w:val="0"/>
              <w:autoSpaceDN w:val="0"/>
              <w:adjustRightInd w:val="0"/>
              <w:jc w:val="center"/>
            </w:pPr>
          </w:p>
        </w:tc>
        <w:tc>
          <w:tcPr>
            <w:tcW w:w="658" w:type="pct"/>
            <w:tcBorders>
              <w:top w:val="nil"/>
              <w:left w:val="nil"/>
              <w:bottom w:val="nil"/>
              <w:right w:val="nil"/>
            </w:tcBorders>
          </w:tcPr>
          <w:p w14:paraId="22274077" w14:textId="77777777" w:rsidR="00B54D51" w:rsidRPr="00037AD4" w:rsidRDefault="00B54D51" w:rsidP="00401C67">
            <w:pPr>
              <w:widowControl w:val="0"/>
              <w:autoSpaceDE w:val="0"/>
              <w:autoSpaceDN w:val="0"/>
              <w:adjustRightInd w:val="0"/>
              <w:jc w:val="center"/>
            </w:pPr>
          </w:p>
        </w:tc>
      </w:tr>
      <w:tr w:rsidR="00B54D51" w:rsidRPr="00037AD4" w14:paraId="048BBB83" w14:textId="77777777" w:rsidTr="00401C67">
        <w:trPr>
          <w:jc w:val="center"/>
        </w:trPr>
        <w:tc>
          <w:tcPr>
            <w:tcW w:w="977" w:type="pct"/>
            <w:tcBorders>
              <w:top w:val="nil"/>
              <w:left w:val="nil"/>
              <w:bottom w:val="nil"/>
              <w:right w:val="nil"/>
            </w:tcBorders>
          </w:tcPr>
          <w:p w14:paraId="0D4EE214" w14:textId="77777777" w:rsidR="00B54D51" w:rsidRPr="00037AD4" w:rsidRDefault="00B54D51" w:rsidP="00401C67">
            <w:pPr>
              <w:widowControl w:val="0"/>
              <w:autoSpaceDE w:val="0"/>
              <w:autoSpaceDN w:val="0"/>
              <w:adjustRightInd w:val="0"/>
            </w:pPr>
          </w:p>
        </w:tc>
        <w:tc>
          <w:tcPr>
            <w:tcW w:w="673" w:type="pct"/>
            <w:tcBorders>
              <w:top w:val="nil"/>
              <w:left w:val="nil"/>
              <w:bottom w:val="nil"/>
              <w:right w:val="nil"/>
            </w:tcBorders>
          </w:tcPr>
          <w:p w14:paraId="2643CD31" w14:textId="77777777" w:rsidR="00B54D51" w:rsidRPr="00037AD4" w:rsidRDefault="00B54D51" w:rsidP="00401C67">
            <w:pPr>
              <w:widowControl w:val="0"/>
              <w:autoSpaceDE w:val="0"/>
              <w:autoSpaceDN w:val="0"/>
              <w:adjustRightInd w:val="0"/>
              <w:jc w:val="center"/>
            </w:pPr>
            <w:r w:rsidRPr="00037AD4">
              <w:t>(-0.172 - 0.097)</w:t>
            </w:r>
          </w:p>
        </w:tc>
        <w:tc>
          <w:tcPr>
            <w:tcW w:w="673" w:type="pct"/>
            <w:tcBorders>
              <w:top w:val="nil"/>
              <w:left w:val="nil"/>
              <w:bottom w:val="nil"/>
              <w:right w:val="nil"/>
            </w:tcBorders>
          </w:tcPr>
          <w:p w14:paraId="1223A5EC"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7CA10F65"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49D88C87"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1393F42F" w14:textId="77777777" w:rsidR="00B54D51" w:rsidRPr="00037AD4" w:rsidRDefault="00B54D51" w:rsidP="00401C67">
            <w:pPr>
              <w:widowControl w:val="0"/>
              <w:autoSpaceDE w:val="0"/>
              <w:autoSpaceDN w:val="0"/>
              <w:adjustRightInd w:val="0"/>
              <w:jc w:val="center"/>
            </w:pPr>
          </w:p>
        </w:tc>
        <w:tc>
          <w:tcPr>
            <w:tcW w:w="658" w:type="pct"/>
            <w:tcBorders>
              <w:top w:val="nil"/>
              <w:left w:val="nil"/>
              <w:bottom w:val="nil"/>
              <w:right w:val="nil"/>
            </w:tcBorders>
          </w:tcPr>
          <w:p w14:paraId="2E0B5A16" w14:textId="77777777" w:rsidR="00B54D51" w:rsidRPr="00037AD4" w:rsidRDefault="00B54D51" w:rsidP="00401C67">
            <w:pPr>
              <w:widowControl w:val="0"/>
              <w:autoSpaceDE w:val="0"/>
              <w:autoSpaceDN w:val="0"/>
              <w:adjustRightInd w:val="0"/>
              <w:jc w:val="center"/>
            </w:pPr>
          </w:p>
        </w:tc>
      </w:tr>
      <w:tr w:rsidR="00B54D51" w:rsidRPr="00037AD4" w14:paraId="5FE55AF5" w14:textId="77777777" w:rsidTr="00401C67">
        <w:trPr>
          <w:jc w:val="center"/>
        </w:trPr>
        <w:tc>
          <w:tcPr>
            <w:tcW w:w="977" w:type="pct"/>
            <w:tcBorders>
              <w:top w:val="nil"/>
              <w:left w:val="nil"/>
              <w:bottom w:val="nil"/>
              <w:right w:val="nil"/>
            </w:tcBorders>
          </w:tcPr>
          <w:p w14:paraId="7FA548EF" w14:textId="77777777" w:rsidR="00B54D51" w:rsidRPr="00037AD4" w:rsidRDefault="00B54D51" w:rsidP="00401C67">
            <w:pPr>
              <w:widowControl w:val="0"/>
              <w:autoSpaceDE w:val="0"/>
              <w:autoSpaceDN w:val="0"/>
              <w:adjustRightInd w:val="0"/>
            </w:pPr>
            <w:r w:rsidRPr="00037AD4">
              <w:t>NPItotal_</w:t>
            </w:r>
          </w:p>
        </w:tc>
        <w:tc>
          <w:tcPr>
            <w:tcW w:w="673" w:type="pct"/>
            <w:tcBorders>
              <w:top w:val="nil"/>
              <w:left w:val="nil"/>
              <w:bottom w:val="nil"/>
              <w:right w:val="nil"/>
            </w:tcBorders>
          </w:tcPr>
          <w:p w14:paraId="02EBE972" w14:textId="77777777" w:rsidR="00B54D51" w:rsidRPr="00037AD4" w:rsidRDefault="00B54D51" w:rsidP="00401C67">
            <w:pPr>
              <w:widowControl w:val="0"/>
              <w:autoSpaceDE w:val="0"/>
              <w:autoSpaceDN w:val="0"/>
              <w:adjustRightInd w:val="0"/>
              <w:jc w:val="center"/>
            </w:pPr>
            <w:r w:rsidRPr="00037AD4">
              <w:t>0.003</w:t>
            </w:r>
          </w:p>
        </w:tc>
        <w:tc>
          <w:tcPr>
            <w:tcW w:w="673" w:type="pct"/>
            <w:tcBorders>
              <w:top w:val="nil"/>
              <w:left w:val="nil"/>
              <w:bottom w:val="nil"/>
              <w:right w:val="nil"/>
            </w:tcBorders>
          </w:tcPr>
          <w:p w14:paraId="2F676E31"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2DFB14FD"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1460E775"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649C3A29" w14:textId="77777777" w:rsidR="00B54D51" w:rsidRPr="00037AD4" w:rsidRDefault="00B54D51" w:rsidP="00401C67">
            <w:pPr>
              <w:widowControl w:val="0"/>
              <w:autoSpaceDE w:val="0"/>
              <w:autoSpaceDN w:val="0"/>
              <w:adjustRightInd w:val="0"/>
              <w:jc w:val="center"/>
            </w:pPr>
          </w:p>
        </w:tc>
        <w:tc>
          <w:tcPr>
            <w:tcW w:w="658" w:type="pct"/>
            <w:tcBorders>
              <w:top w:val="nil"/>
              <w:left w:val="nil"/>
              <w:bottom w:val="nil"/>
              <w:right w:val="nil"/>
            </w:tcBorders>
          </w:tcPr>
          <w:p w14:paraId="58701BBF" w14:textId="77777777" w:rsidR="00B54D51" w:rsidRPr="00037AD4" w:rsidRDefault="00B54D51" w:rsidP="00401C67">
            <w:pPr>
              <w:widowControl w:val="0"/>
              <w:autoSpaceDE w:val="0"/>
              <w:autoSpaceDN w:val="0"/>
              <w:adjustRightInd w:val="0"/>
              <w:jc w:val="center"/>
            </w:pPr>
          </w:p>
        </w:tc>
      </w:tr>
      <w:tr w:rsidR="00B54D51" w:rsidRPr="00037AD4" w14:paraId="6776CD43" w14:textId="77777777" w:rsidTr="00401C67">
        <w:trPr>
          <w:jc w:val="center"/>
        </w:trPr>
        <w:tc>
          <w:tcPr>
            <w:tcW w:w="977" w:type="pct"/>
            <w:tcBorders>
              <w:top w:val="nil"/>
              <w:left w:val="nil"/>
              <w:bottom w:val="nil"/>
              <w:right w:val="nil"/>
            </w:tcBorders>
          </w:tcPr>
          <w:p w14:paraId="7CDF4A68" w14:textId="77777777" w:rsidR="00B54D51" w:rsidRPr="00037AD4" w:rsidRDefault="00B54D51" w:rsidP="00401C67">
            <w:pPr>
              <w:widowControl w:val="0"/>
              <w:autoSpaceDE w:val="0"/>
              <w:autoSpaceDN w:val="0"/>
              <w:adjustRightInd w:val="0"/>
            </w:pPr>
          </w:p>
        </w:tc>
        <w:tc>
          <w:tcPr>
            <w:tcW w:w="673" w:type="pct"/>
            <w:tcBorders>
              <w:top w:val="nil"/>
              <w:left w:val="nil"/>
              <w:bottom w:val="nil"/>
              <w:right w:val="nil"/>
            </w:tcBorders>
          </w:tcPr>
          <w:p w14:paraId="1D367D15" w14:textId="77777777" w:rsidR="00B54D51" w:rsidRPr="00037AD4" w:rsidRDefault="00B54D51" w:rsidP="00401C67">
            <w:pPr>
              <w:widowControl w:val="0"/>
              <w:autoSpaceDE w:val="0"/>
              <w:autoSpaceDN w:val="0"/>
              <w:adjustRightInd w:val="0"/>
              <w:jc w:val="center"/>
            </w:pPr>
            <w:r w:rsidRPr="00037AD4">
              <w:t>(-0.007 - 0.014)</w:t>
            </w:r>
          </w:p>
        </w:tc>
        <w:tc>
          <w:tcPr>
            <w:tcW w:w="673" w:type="pct"/>
            <w:tcBorders>
              <w:top w:val="nil"/>
              <w:left w:val="nil"/>
              <w:bottom w:val="nil"/>
              <w:right w:val="nil"/>
            </w:tcBorders>
          </w:tcPr>
          <w:p w14:paraId="4E694780"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37E8CE2B"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793A2B33"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47982CBA" w14:textId="77777777" w:rsidR="00B54D51" w:rsidRPr="00037AD4" w:rsidRDefault="00B54D51" w:rsidP="00401C67">
            <w:pPr>
              <w:widowControl w:val="0"/>
              <w:autoSpaceDE w:val="0"/>
              <w:autoSpaceDN w:val="0"/>
              <w:adjustRightInd w:val="0"/>
              <w:jc w:val="center"/>
            </w:pPr>
          </w:p>
        </w:tc>
        <w:tc>
          <w:tcPr>
            <w:tcW w:w="658" w:type="pct"/>
            <w:tcBorders>
              <w:top w:val="nil"/>
              <w:left w:val="nil"/>
              <w:bottom w:val="nil"/>
              <w:right w:val="nil"/>
            </w:tcBorders>
          </w:tcPr>
          <w:p w14:paraId="33F8B64F" w14:textId="77777777" w:rsidR="00B54D51" w:rsidRPr="00037AD4" w:rsidRDefault="00B54D51" w:rsidP="00401C67">
            <w:pPr>
              <w:widowControl w:val="0"/>
              <w:autoSpaceDE w:val="0"/>
              <w:autoSpaceDN w:val="0"/>
              <w:adjustRightInd w:val="0"/>
              <w:jc w:val="center"/>
            </w:pPr>
          </w:p>
        </w:tc>
      </w:tr>
      <w:tr w:rsidR="00B54D51" w:rsidRPr="00037AD4" w14:paraId="121C578C" w14:textId="77777777" w:rsidTr="00401C67">
        <w:trPr>
          <w:jc w:val="center"/>
        </w:trPr>
        <w:tc>
          <w:tcPr>
            <w:tcW w:w="977" w:type="pct"/>
            <w:tcBorders>
              <w:top w:val="nil"/>
              <w:left w:val="nil"/>
              <w:bottom w:val="nil"/>
              <w:right w:val="nil"/>
            </w:tcBorders>
          </w:tcPr>
          <w:p w14:paraId="53AD7801" w14:textId="77777777" w:rsidR="00B54D51" w:rsidRPr="00037AD4" w:rsidRDefault="00B54D51" w:rsidP="00401C67">
            <w:pPr>
              <w:widowControl w:val="0"/>
              <w:autoSpaceDE w:val="0"/>
              <w:autoSpaceDN w:val="0"/>
              <w:adjustRightInd w:val="0"/>
            </w:pPr>
            <w:r w:rsidRPr="00037AD4">
              <w:t>2.sex_</w:t>
            </w:r>
          </w:p>
        </w:tc>
        <w:tc>
          <w:tcPr>
            <w:tcW w:w="673" w:type="pct"/>
            <w:tcBorders>
              <w:top w:val="nil"/>
              <w:left w:val="nil"/>
              <w:bottom w:val="nil"/>
              <w:right w:val="nil"/>
            </w:tcBorders>
          </w:tcPr>
          <w:p w14:paraId="40E19116" w14:textId="77777777" w:rsidR="00B54D51" w:rsidRPr="00037AD4" w:rsidRDefault="00B54D51" w:rsidP="00401C67">
            <w:pPr>
              <w:widowControl w:val="0"/>
              <w:autoSpaceDE w:val="0"/>
              <w:autoSpaceDN w:val="0"/>
              <w:adjustRightInd w:val="0"/>
              <w:jc w:val="center"/>
            </w:pPr>
            <w:r w:rsidRPr="00037AD4">
              <w:t>-0.095</w:t>
            </w:r>
          </w:p>
        </w:tc>
        <w:tc>
          <w:tcPr>
            <w:tcW w:w="673" w:type="pct"/>
            <w:tcBorders>
              <w:top w:val="nil"/>
              <w:left w:val="nil"/>
              <w:bottom w:val="nil"/>
              <w:right w:val="nil"/>
            </w:tcBorders>
          </w:tcPr>
          <w:p w14:paraId="2887C0DA" w14:textId="77777777" w:rsidR="00B54D51" w:rsidRPr="00037AD4" w:rsidRDefault="00B54D51" w:rsidP="00401C67">
            <w:pPr>
              <w:widowControl w:val="0"/>
              <w:autoSpaceDE w:val="0"/>
              <w:autoSpaceDN w:val="0"/>
              <w:adjustRightInd w:val="0"/>
              <w:jc w:val="center"/>
            </w:pPr>
            <w:r w:rsidRPr="00037AD4">
              <w:t>-0.121</w:t>
            </w:r>
          </w:p>
        </w:tc>
        <w:tc>
          <w:tcPr>
            <w:tcW w:w="673" w:type="pct"/>
            <w:tcBorders>
              <w:top w:val="nil"/>
              <w:left w:val="nil"/>
              <w:bottom w:val="nil"/>
              <w:right w:val="nil"/>
            </w:tcBorders>
          </w:tcPr>
          <w:p w14:paraId="7AFE2616" w14:textId="77777777" w:rsidR="00B54D51" w:rsidRPr="00037AD4" w:rsidRDefault="00B54D51" w:rsidP="00401C67">
            <w:pPr>
              <w:widowControl w:val="0"/>
              <w:autoSpaceDE w:val="0"/>
              <w:autoSpaceDN w:val="0"/>
              <w:adjustRightInd w:val="0"/>
              <w:jc w:val="center"/>
            </w:pPr>
            <w:r w:rsidRPr="00037AD4">
              <w:t>-0.110</w:t>
            </w:r>
          </w:p>
        </w:tc>
        <w:tc>
          <w:tcPr>
            <w:tcW w:w="673" w:type="pct"/>
            <w:tcBorders>
              <w:top w:val="nil"/>
              <w:left w:val="nil"/>
              <w:bottom w:val="nil"/>
              <w:right w:val="nil"/>
            </w:tcBorders>
          </w:tcPr>
          <w:p w14:paraId="0308115B" w14:textId="77777777" w:rsidR="00B54D51" w:rsidRPr="00037AD4" w:rsidRDefault="00B54D51" w:rsidP="00401C67">
            <w:pPr>
              <w:widowControl w:val="0"/>
              <w:autoSpaceDE w:val="0"/>
              <w:autoSpaceDN w:val="0"/>
              <w:adjustRightInd w:val="0"/>
              <w:jc w:val="center"/>
            </w:pPr>
            <w:r w:rsidRPr="00037AD4">
              <w:t>-0.140</w:t>
            </w:r>
          </w:p>
        </w:tc>
        <w:tc>
          <w:tcPr>
            <w:tcW w:w="673" w:type="pct"/>
            <w:tcBorders>
              <w:top w:val="nil"/>
              <w:left w:val="nil"/>
              <w:bottom w:val="nil"/>
              <w:right w:val="nil"/>
            </w:tcBorders>
          </w:tcPr>
          <w:p w14:paraId="678E912B" w14:textId="77777777" w:rsidR="00B54D51" w:rsidRPr="00037AD4" w:rsidRDefault="00B54D51" w:rsidP="00401C67">
            <w:pPr>
              <w:widowControl w:val="0"/>
              <w:autoSpaceDE w:val="0"/>
              <w:autoSpaceDN w:val="0"/>
              <w:adjustRightInd w:val="0"/>
              <w:jc w:val="center"/>
            </w:pPr>
          </w:p>
        </w:tc>
        <w:tc>
          <w:tcPr>
            <w:tcW w:w="658" w:type="pct"/>
            <w:tcBorders>
              <w:top w:val="nil"/>
              <w:left w:val="nil"/>
              <w:bottom w:val="nil"/>
              <w:right w:val="nil"/>
            </w:tcBorders>
          </w:tcPr>
          <w:p w14:paraId="636418E8" w14:textId="77777777" w:rsidR="00B54D51" w:rsidRPr="00037AD4" w:rsidRDefault="00B54D51" w:rsidP="00401C67">
            <w:pPr>
              <w:widowControl w:val="0"/>
              <w:autoSpaceDE w:val="0"/>
              <w:autoSpaceDN w:val="0"/>
              <w:adjustRightInd w:val="0"/>
              <w:jc w:val="center"/>
            </w:pPr>
          </w:p>
        </w:tc>
      </w:tr>
      <w:tr w:rsidR="00B54D51" w:rsidRPr="00037AD4" w14:paraId="6BDA3F53" w14:textId="77777777" w:rsidTr="00401C67">
        <w:trPr>
          <w:jc w:val="center"/>
        </w:trPr>
        <w:tc>
          <w:tcPr>
            <w:tcW w:w="977" w:type="pct"/>
            <w:tcBorders>
              <w:top w:val="nil"/>
              <w:left w:val="nil"/>
              <w:bottom w:val="nil"/>
              <w:right w:val="nil"/>
            </w:tcBorders>
          </w:tcPr>
          <w:p w14:paraId="64575279" w14:textId="77777777" w:rsidR="00B54D51" w:rsidRPr="00037AD4" w:rsidRDefault="00B54D51" w:rsidP="00401C67">
            <w:pPr>
              <w:widowControl w:val="0"/>
              <w:autoSpaceDE w:val="0"/>
              <w:autoSpaceDN w:val="0"/>
              <w:adjustRightInd w:val="0"/>
            </w:pPr>
          </w:p>
        </w:tc>
        <w:tc>
          <w:tcPr>
            <w:tcW w:w="673" w:type="pct"/>
            <w:tcBorders>
              <w:top w:val="nil"/>
              <w:left w:val="nil"/>
              <w:bottom w:val="nil"/>
              <w:right w:val="nil"/>
            </w:tcBorders>
          </w:tcPr>
          <w:p w14:paraId="0503EA24" w14:textId="77777777" w:rsidR="00B54D51" w:rsidRPr="00037AD4" w:rsidRDefault="00B54D51" w:rsidP="00401C67">
            <w:pPr>
              <w:widowControl w:val="0"/>
              <w:autoSpaceDE w:val="0"/>
              <w:autoSpaceDN w:val="0"/>
              <w:adjustRightInd w:val="0"/>
              <w:jc w:val="center"/>
            </w:pPr>
            <w:r w:rsidRPr="00037AD4">
              <w:t>(-0.333 - 0.142)</w:t>
            </w:r>
          </w:p>
        </w:tc>
        <w:tc>
          <w:tcPr>
            <w:tcW w:w="673" w:type="pct"/>
            <w:tcBorders>
              <w:top w:val="nil"/>
              <w:left w:val="nil"/>
              <w:bottom w:val="nil"/>
              <w:right w:val="nil"/>
            </w:tcBorders>
          </w:tcPr>
          <w:p w14:paraId="023A1610" w14:textId="77777777" w:rsidR="00B54D51" w:rsidRPr="00037AD4" w:rsidRDefault="00B54D51" w:rsidP="00401C67">
            <w:pPr>
              <w:widowControl w:val="0"/>
              <w:autoSpaceDE w:val="0"/>
              <w:autoSpaceDN w:val="0"/>
              <w:adjustRightInd w:val="0"/>
              <w:jc w:val="center"/>
            </w:pPr>
            <w:r w:rsidRPr="00037AD4">
              <w:t>(-0.352 - 0.110)</w:t>
            </w:r>
          </w:p>
        </w:tc>
        <w:tc>
          <w:tcPr>
            <w:tcW w:w="673" w:type="pct"/>
            <w:tcBorders>
              <w:top w:val="nil"/>
              <w:left w:val="nil"/>
              <w:bottom w:val="nil"/>
              <w:right w:val="nil"/>
            </w:tcBorders>
          </w:tcPr>
          <w:p w14:paraId="096D1305" w14:textId="77777777" w:rsidR="00B54D51" w:rsidRPr="00037AD4" w:rsidRDefault="00B54D51" w:rsidP="00401C67">
            <w:pPr>
              <w:widowControl w:val="0"/>
              <w:autoSpaceDE w:val="0"/>
              <w:autoSpaceDN w:val="0"/>
              <w:adjustRightInd w:val="0"/>
              <w:jc w:val="center"/>
            </w:pPr>
            <w:r w:rsidRPr="00037AD4">
              <w:t>(-0.338 - 0.118)</w:t>
            </w:r>
          </w:p>
        </w:tc>
        <w:tc>
          <w:tcPr>
            <w:tcW w:w="673" w:type="pct"/>
            <w:tcBorders>
              <w:top w:val="nil"/>
              <w:left w:val="nil"/>
              <w:bottom w:val="nil"/>
              <w:right w:val="nil"/>
            </w:tcBorders>
          </w:tcPr>
          <w:p w14:paraId="387F6AEE" w14:textId="77777777" w:rsidR="00B54D51" w:rsidRPr="00037AD4" w:rsidRDefault="00B54D51" w:rsidP="00401C67">
            <w:pPr>
              <w:widowControl w:val="0"/>
              <w:autoSpaceDE w:val="0"/>
              <w:autoSpaceDN w:val="0"/>
              <w:adjustRightInd w:val="0"/>
              <w:jc w:val="center"/>
            </w:pPr>
            <w:r w:rsidRPr="00037AD4">
              <w:t>(-0.361 - 0.082)</w:t>
            </w:r>
          </w:p>
        </w:tc>
        <w:tc>
          <w:tcPr>
            <w:tcW w:w="673" w:type="pct"/>
            <w:tcBorders>
              <w:top w:val="nil"/>
              <w:left w:val="nil"/>
              <w:bottom w:val="nil"/>
              <w:right w:val="nil"/>
            </w:tcBorders>
          </w:tcPr>
          <w:p w14:paraId="0B35FB34" w14:textId="77777777" w:rsidR="00B54D51" w:rsidRPr="00037AD4" w:rsidRDefault="00B54D51" w:rsidP="00401C67">
            <w:pPr>
              <w:widowControl w:val="0"/>
              <w:autoSpaceDE w:val="0"/>
              <w:autoSpaceDN w:val="0"/>
              <w:adjustRightInd w:val="0"/>
              <w:jc w:val="center"/>
            </w:pPr>
          </w:p>
        </w:tc>
        <w:tc>
          <w:tcPr>
            <w:tcW w:w="658" w:type="pct"/>
            <w:tcBorders>
              <w:top w:val="nil"/>
              <w:left w:val="nil"/>
              <w:bottom w:val="nil"/>
              <w:right w:val="nil"/>
            </w:tcBorders>
          </w:tcPr>
          <w:p w14:paraId="30F2C0C6" w14:textId="77777777" w:rsidR="00B54D51" w:rsidRPr="00037AD4" w:rsidRDefault="00B54D51" w:rsidP="00401C67">
            <w:pPr>
              <w:widowControl w:val="0"/>
              <w:autoSpaceDE w:val="0"/>
              <w:autoSpaceDN w:val="0"/>
              <w:adjustRightInd w:val="0"/>
              <w:jc w:val="center"/>
            </w:pPr>
          </w:p>
        </w:tc>
      </w:tr>
      <w:tr w:rsidR="00B54D51" w:rsidRPr="00037AD4" w14:paraId="5A76AADB" w14:textId="77777777" w:rsidTr="00401C67">
        <w:trPr>
          <w:jc w:val="center"/>
        </w:trPr>
        <w:tc>
          <w:tcPr>
            <w:tcW w:w="977" w:type="pct"/>
            <w:tcBorders>
              <w:top w:val="nil"/>
              <w:left w:val="nil"/>
              <w:bottom w:val="nil"/>
              <w:right w:val="nil"/>
            </w:tcBorders>
          </w:tcPr>
          <w:p w14:paraId="2EBC335D" w14:textId="77777777" w:rsidR="00B54D51" w:rsidRPr="00037AD4" w:rsidRDefault="00B54D51" w:rsidP="00401C67">
            <w:pPr>
              <w:widowControl w:val="0"/>
              <w:autoSpaceDE w:val="0"/>
              <w:autoSpaceDN w:val="0"/>
              <w:adjustRightInd w:val="0"/>
            </w:pPr>
            <w:r w:rsidRPr="00037AD4">
              <w:t>age_</w:t>
            </w:r>
          </w:p>
        </w:tc>
        <w:tc>
          <w:tcPr>
            <w:tcW w:w="673" w:type="pct"/>
            <w:tcBorders>
              <w:top w:val="nil"/>
              <w:left w:val="nil"/>
              <w:bottom w:val="nil"/>
              <w:right w:val="nil"/>
            </w:tcBorders>
          </w:tcPr>
          <w:p w14:paraId="050B32F5" w14:textId="77777777" w:rsidR="00B54D51" w:rsidRPr="00037AD4" w:rsidRDefault="00B54D51" w:rsidP="00401C67">
            <w:pPr>
              <w:widowControl w:val="0"/>
              <w:autoSpaceDE w:val="0"/>
              <w:autoSpaceDN w:val="0"/>
              <w:adjustRightInd w:val="0"/>
              <w:jc w:val="center"/>
            </w:pPr>
            <w:r w:rsidRPr="00037AD4">
              <w:t>-0.012</w:t>
            </w:r>
          </w:p>
        </w:tc>
        <w:tc>
          <w:tcPr>
            <w:tcW w:w="673" w:type="pct"/>
            <w:tcBorders>
              <w:top w:val="nil"/>
              <w:left w:val="nil"/>
              <w:bottom w:val="nil"/>
              <w:right w:val="nil"/>
            </w:tcBorders>
          </w:tcPr>
          <w:p w14:paraId="19AE8F03" w14:textId="77777777" w:rsidR="00B54D51" w:rsidRPr="00037AD4" w:rsidRDefault="00B54D51" w:rsidP="00401C67">
            <w:pPr>
              <w:widowControl w:val="0"/>
              <w:autoSpaceDE w:val="0"/>
              <w:autoSpaceDN w:val="0"/>
              <w:adjustRightInd w:val="0"/>
              <w:jc w:val="center"/>
            </w:pPr>
            <w:r w:rsidRPr="00037AD4">
              <w:t>-0.008</w:t>
            </w:r>
          </w:p>
        </w:tc>
        <w:tc>
          <w:tcPr>
            <w:tcW w:w="673" w:type="pct"/>
            <w:tcBorders>
              <w:top w:val="nil"/>
              <w:left w:val="nil"/>
              <w:bottom w:val="nil"/>
              <w:right w:val="nil"/>
            </w:tcBorders>
          </w:tcPr>
          <w:p w14:paraId="58B12DCC" w14:textId="77777777" w:rsidR="00B54D51" w:rsidRPr="00037AD4" w:rsidRDefault="00B54D51" w:rsidP="00401C67">
            <w:pPr>
              <w:widowControl w:val="0"/>
              <w:autoSpaceDE w:val="0"/>
              <w:autoSpaceDN w:val="0"/>
              <w:adjustRightInd w:val="0"/>
              <w:jc w:val="center"/>
            </w:pPr>
            <w:r w:rsidRPr="00037AD4">
              <w:t>-0.009</w:t>
            </w:r>
          </w:p>
        </w:tc>
        <w:tc>
          <w:tcPr>
            <w:tcW w:w="673" w:type="pct"/>
            <w:tcBorders>
              <w:top w:val="nil"/>
              <w:left w:val="nil"/>
              <w:bottom w:val="nil"/>
              <w:right w:val="nil"/>
            </w:tcBorders>
          </w:tcPr>
          <w:p w14:paraId="2036BE6F"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6F345B33" w14:textId="77777777" w:rsidR="00B54D51" w:rsidRPr="00037AD4" w:rsidRDefault="00B54D51" w:rsidP="00401C67">
            <w:pPr>
              <w:widowControl w:val="0"/>
              <w:autoSpaceDE w:val="0"/>
              <w:autoSpaceDN w:val="0"/>
              <w:adjustRightInd w:val="0"/>
              <w:jc w:val="center"/>
            </w:pPr>
            <w:r w:rsidRPr="00037AD4">
              <w:t>-0.010</w:t>
            </w:r>
          </w:p>
        </w:tc>
        <w:tc>
          <w:tcPr>
            <w:tcW w:w="658" w:type="pct"/>
            <w:tcBorders>
              <w:top w:val="nil"/>
              <w:left w:val="nil"/>
              <w:bottom w:val="nil"/>
              <w:right w:val="nil"/>
            </w:tcBorders>
          </w:tcPr>
          <w:p w14:paraId="469B9A2E" w14:textId="77777777" w:rsidR="00B54D51" w:rsidRPr="00037AD4" w:rsidRDefault="00B54D51" w:rsidP="00401C67">
            <w:pPr>
              <w:widowControl w:val="0"/>
              <w:autoSpaceDE w:val="0"/>
              <w:autoSpaceDN w:val="0"/>
              <w:adjustRightInd w:val="0"/>
              <w:jc w:val="center"/>
            </w:pPr>
          </w:p>
        </w:tc>
      </w:tr>
      <w:tr w:rsidR="00B54D51" w:rsidRPr="00037AD4" w14:paraId="3363DCBE" w14:textId="77777777" w:rsidTr="00401C67">
        <w:trPr>
          <w:jc w:val="center"/>
        </w:trPr>
        <w:tc>
          <w:tcPr>
            <w:tcW w:w="977" w:type="pct"/>
            <w:tcBorders>
              <w:top w:val="nil"/>
              <w:left w:val="nil"/>
              <w:bottom w:val="nil"/>
              <w:right w:val="nil"/>
            </w:tcBorders>
          </w:tcPr>
          <w:p w14:paraId="15856CBA" w14:textId="77777777" w:rsidR="00B54D51" w:rsidRPr="00037AD4" w:rsidRDefault="00B54D51" w:rsidP="00401C67">
            <w:pPr>
              <w:widowControl w:val="0"/>
              <w:autoSpaceDE w:val="0"/>
              <w:autoSpaceDN w:val="0"/>
              <w:adjustRightInd w:val="0"/>
            </w:pPr>
          </w:p>
        </w:tc>
        <w:tc>
          <w:tcPr>
            <w:tcW w:w="673" w:type="pct"/>
            <w:tcBorders>
              <w:top w:val="nil"/>
              <w:left w:val="nil"/>
              <w:bottom w:val="nil"/>
              <w:right w:val="nil"/>
            </w:tcBorders>
          </w:tcPr>
          <w:p w14:paraId="3AA8D4E4" w14:textId="77777777" w:rsidR="00B54D51" w:rsidRPr="00037AD4" w:rsidRDefault="00B54D51" w:rsidP="00401C67">
            <w:pPr>
              <w:widowControl w:val="0"/>
              <w:autoSpaceDE w:val="0"/>
              <w:autoSpaceDN w:val="0"/>
              <w:adjustRightInd w:val="0"/>
              <w:jc w:val="center"/>
            </w:pPr>
            <w:r w:rsidRPr="00037AD4">
              <w:t>(-0.027 - 0.003)</w:t>
            </w:r>
          </w:p>
        </w:tc>
        <w:tc>
          <w:tcPr>
            <w:tcW w:w="673" w:type="pct"/>
            <w:tcBorders>
              <w:top w:val="nil"/>
              <w:left w:val="nil"/>
              <w:bottom w:val="nil"/>
              <w:right w:val="nil"/>
            </w:tcBorders>
          </w:tcPr>
          <w:p w14:paraId="79FC06F1" w14:textId="77777777" w:rsidR="00B54D51" w:rsidRPr="00037AD4" w:rsidRDefault="00B54D51" w:rsidP="00401C67">
            <w:pPr>
              <w:widowControl w:val="0"/>
              <w:autoSpaceDE w:val="0"/>
              <w:autoSpaceDN w:val="0"/>
              <w:adjustRightInd w:val="0"/>
              <w:jc w:val="center"/>
            </w:pPr>
            <w:r w:rsidRPr="00037AD4">
              <w:t>(-0.022 - 0.007)</w:t>
            </w:r>
          </w:p>
        </w:tc>
        <w:tc>
          <w:tcPr>
            <w:tcW w:w="673" w:type="pct"/>
            <w:tcBorders>
              <w:top w:val="nil"/>
              <w:left w:val="nil"/>
              <w:bottom w:val="nil"/>
              <w:right w:val="nil"/>
            </w:tcBorders>
          </w:tcPr>
          <w:p w14:paraId="54A33CC4" w14:textId="77777777" w:rsidR="00B54D51" w:rsidRPr="00037AD4" w:rsidRDefault="00B54D51" w:rsidP="00401C67">
            <w:pPr>
              <w:widowControl w:val="0"/>
              <w:autoSpaceDE w:val="0"/>
              <w:autoSpaceDN w:val="0"/>
              <w:adjustRightInd w:val="0"/>
              <w:jc w:val="center"/>
            </w:pPr>
            <w:r w:rsidRPr="00037AD4">
              <w:t>(-0.024 - 0.005)</w:t>
            </w:r>
          </w:p>
        </w:tc>
        <w:tc>
          <w:tcPr>
            <w:tcW w:w="673" w:type="pct"/>
            <w:tcBorders>
              <w:top w:val="nil"/>
              <w:left w:val="nil"/>
              <w:bottom w:val="nil"/>
              <w:right w:val="nil"/>
            </w:tcBorders>
          </w:tcPr>
          <w:p w14:paraId="155F16BA"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7BF7AA25" w14:textId="77777777" w:rsidR="00B54D51" w:rsidRPr="00037AD4" w:rsidRDefault="00B54D51" w:rsidP="00401C67">
            <w:pPr>
              <w:widowControl w:val="0"/>
              <w:autoSpaceDE w:val="0"/>
              <w:autoSpaceDN w:val="0"/>
              <w:adjustRightInd w:val="0"/>
              <w:jc w:val="center"/>
            </w:pPr>
            <w:r w:rsidRPr="00037AD4">
              <w:t>(-0.025 - 0.004)</w:t>
            </w:r>
          </w:p>
        </w:tc>
        <w:tc>
          <w:tcPr>
            <w:tcW w:w="658" w:type="pct"/>
            <w:tcBorders>
              <w:top w:val="nil"/>
              <w:left w:val="nil"/>
              <w:bottom w:val="nil"/>
              <w:right w:val="nil"/>
            </w:tcBorders>
          </w:tcPr>
          <w:p w14:paraId="67473FB4" w14:textId="77777777" w:rsidR="00B54D51" w:rsidRPr="00037AD4" w:rsidRDefault="00B54D51" w:rsidP="00401C67">
            <w:pPr>
              <w:widowControl w:val="0"/>
              <w:autoSpaceDE w:val="0"/>
              <w:autoSpaceDN w:val="0"/>
              <w:adjustRightInd w:val="0"/>
              <w:jc w:val="center"/>
            </w:pPr>
          </w:p>
        </w:tc>
      </w:tr>
      <w:tr w:rsidR="00B54D51" w:rsidRPr="00037AD4" w14:paraId="4B8A8B9D" w14:textId="77777777" w:rsidTr="00401C67">
        <w:trPr>
          <w:jc w:val="center"/>
        </w:trPr>
        <w:tc>
          <w:tcPr>
            <w:tcW w:w="977" w:type="pct"/>
            <w:tcBorders>
              <w:top w:val="nil"/>
              <w:left w:val="nil"/>
              <w:bottom w:val="nil"/>
              <w:right w:val="nil"/>
            </w:tcBorders>
          </w:tcPr>
          <w:p w14:paraId="191844A2" w14:textId="77777777" w:rsidR="00B54D51" w:rsidRPr="00037AD4" w:rsidRDefault="00B54D51" w:rsidP="00401C67">
            <w:pPr>
              <w:widowControl w:val="0"/>
              <w:autoSpaceDE w:val="0"/>
              <w:autoSpaceDN w:val="0"/>
              <w:adjustRightInd w:val="0"/>
            </w:pPr>
            <w:r w:rsidRPr="00037AD4">
              <w:t>1.CDR_new_</w:t>
            </w:r>
          </w:p>
        </w:tc>
        <w:tc>
          <w:tcPr>
            <w:tcW w:w="673" w:type="pct"/>
            <w:tcBorders>
              <w:top w:val="nil"/>
              <w:left w:val="nil"/>
              <w:bottom w:val="nil"/>
              <w:right w:val="nil"/>
            </w:tcBorders>
          </w:tcPr>
          <w:p w14:paraId="530DCC00" w14:textId="77777777" w:rsidR="00B54D51" w:rsidRPr="00037AD4" w:rsidRDefault="00B54D51" w:rsidP="00401C67">
            <w:pPr>
              <w:widowControl w:val="0"/>
              <w:autoSpaceDE w:val="0"/>
              <w:autoSpaceDN w:val="0"/>
              <w:adjustRightInd w:val="0"/>
              <w:jc w:val="center"/>
            </w:pPr>
            <w:r w:rsidRPr="00037AD4">
              <w:t>-0.059</w:t>
            </w:r>
          </w:p>
        </w:tc>
        <w:tc>
          <w:tcPr>
            <w:tcW w:w="673" w:type="pct"/>
            <w:tcBorders>
              <w:top w:val="nil"/>
              <w:left w:val="nil"/>
              <w:bottom w:val="nil"/>
              <w:right w:val="nil"/>
            </w:tcBorders>
          </w:tcPr>
          <w:p w14:paraId="5357EAF9"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6EDE3D87"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5EEB5389"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04F09367" w14:textId="77777777" w:rsidR="00B54D51" w:rsidRPr="00037AD4" w:rsidRDefault="00B54D51" w:rsidP="00401C67">
            <w:pPr>
              <w:widowControl w:val="0"/>
              <w:autoSpaceDE w:val="0"/>
              <w:autoSpaceDN w:val="0"/>
              <w:adjustRightInd w:val="0"/>
              <w:jc w:val="center"/>
            </w:pPr>
          </w:p>
        </w:tc>
        <w:tc>
          <w:tcPr>
            <w:tcW w:w="658" w:type="pct"/>
            <w:tcBorders>
              <w:top w:val="nil"/>
              <w:left w:val="nil"/>
              <w:bottom w:val="nil"/>
              <w:right w:val="nil"/>
            </w:tcBorders>
          </w:tcPr>
          <w:p w14:paraId="1C5387B9" w14:textId="77777777" w:rsidR="00B54D51" w:rsidRPr="00037AD4" w:rsidRDefault="00B54D51" w:rsidP="00401C67">
            <w:pPr>
              <w:widowControl w:val="0"/>
              <w:autoSpaceDE w:val="0"/>
              <w:autoSpaceDN w:val="0"/>
              <w:adjustRightInd w:val="0"/>
              <w:jc w:val="center"/>
            </w:pPr>
          </w:p>
        </w:tc>
      </w:tr>
      <w:tr w:rsidR="00B54D51" w:rsidRPr="00037AD4" w14:paraId="627C5793" w14:textId="77777777" w:rsidTr="00401C67">
        <w:trPr>
          <w:jc w:val="center"/>
        </w:trPr>
        <w:tc>
          <w:tcPr>
            <w:tcW w:w="977" w:type="pct"/>
            <w:tcBorders>
              <w:top w:val="nil"/>
              <w:left w:val="nil"/>
              <w:bottom w:val="nil"/>
              <w:right w:val="nil"/>
            </w:tcBorders>
          </w:tcPr>
          <w:p w14:paraId="1D1AE3D9" w14:textId="77777777" w:rsidR="00B54D51" w:rsidRPr="00037AD4" w:rsidRDefault="00B54D51" w:rsidP="00401C67">
            <w:pPr>
              <w:widowControl w:val="0"/>
              <w:autoSpaceDE w:val="0"/>
              <w:autoSpaceDN w:val="0"/>
              <w:adjustRightInd w:val="0"/>
            </w:pPr>
          </w:p>
        </w:tc>
        <w:tc>
          <w:tcPr>
            <w:tcW w:w="673" w:type="pct"/>
            <w:tcBorders>
              <w:top w:val="nil"/>
              <w:left w:val="nil"/>
              <w:bottom w:val="nil"/>
              <w:right w:val="nil"/>
            </w:tcBorders>
          </w:tcPr>
          <w:p w14:paraId="2BA3BF32" w14:textId="77777777" w:rsidR="00B54D51" w:rsidRPr="00037AD4" w:rsidRDefault="00B54D51" w:rsidP="00401C67">
            <w:pPr>
              <w:widowControl w:val="0"/>
              <w:autoSpaceDE w:val="0"/>
              <w:autoSpaceDN w:val="0"/>
              <w:adjustRightInd w:val="0"/>
              <w:jc w:val="center"/>
            </w:pPr>
            <w:r w:rsidRPr="00037AD4">
              <w:t>(-0.461 - 0.342)</w:t>
            </w:r>
          </w:p>
        </w:tc>
        <w:tc>
          <w:tcPr>
            <w:tcW w:w="673" w:type="pct"/>
            <w:tcBorders>
              <w:top w:val="nil"/>
              <w:left w:val="nil"/>
              <w:bottom w:val="nil"/>
              <w:right w:val="nil"/>
            </w:tcBorders>
          </w:tcPr>
          <w:p w14:paraId="43EA9FF4"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1B0735B9"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7EA4CB20"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1311916D" w14:textId="77777777" w:rsidR="00B54D51" w:rsidRPr="00037AD4" w:rsidRDefault="00B54D51" w:rsidP="00401C67">
            <w:pPr>
              <w:widowControl w:val="0"/>
              <w:autoSpaceDE w:val="0"/>
              <w:autoSpaceDN w:val="0"/>
              <w:adjustRightInd w:val="0"/>
              <w:jc w:val="center"/>
            </w:pPr>
          </w:p>
        </w:tc>
        <w:tc>
          <w:tcPr>
            <w:tcW w:w="658" w:type="pct"/>
            <w:tcBorders>
              <w:top w:val="nil"/>
              <w:left w:val="nil"/>
              <w:bottom w:val="nil"/>
              <w:right w:val="nil"/>
            </w:tcBorders>
          </w:tcPr>
          <w:p w14:paraId="2404AD62" w14:textId="77777777" w:rsidR="00B54D51" w:rsidRPr="00037AD4" w:rsidRDefault="00B54D51" w:rsidP="00401C67">
            <w:pPr>
              <w:widowControl w:val="0"/>
              <w:autoSpaceDE w:val="0"/>
              <w:autoSpaceDN w:val="0"/>
              <w:adjustRightInd w:val="0"/>
              <w:jc w:val="center"/>
            </w:pPr>
          </w:p>
        </w:tc>
      </w:tr>
      <w:tr w:rsidR="00B54D51" w:rsidRPr="00037AD4" w14:paraId="31A3D9BB" w14:textId="77777777" w:rsidTr="00401C67">
        <w:trPr>
          <w:jc w:val="center"/>
        </w:trPr>
        <w:tc>
          <w:tcPr>
            <w:tcW w:w="977" w:type="pct"/>
            <w:tcBorders>
              <w:top w:val="nil"/>
              <w:left w:val="nil"/>
              <w:bottom w:val="nil"/>
              <w:right w:val="nil"/>
            </w:tcBorders>
          </w:tcPr>
          <w:p w14:paraId="57388D79" w14:textId="77777777" w:rsidR="00B54D51" w:rsidRPr="00037AD4" w:rsidRDefault="00B54D51" w:rsidP="00401C67">
            <w:pPr>
              <w:widowControl w:val="0"/>
              <w:autoSpaceDE w:val="0"/>
              <w:autoSpaceDN w:val="0"/>
              <w:adjustRightInd w:val="0"/>
            </w:pPr>
            <w:r w:rsidRPr="00037AD4">
              <w:t>2.CDR_new_</w:t>
            </w:r>
          </w:p>
        </w:tc>
        <w:tc>
          <w:tcPr>
            <w:tcW w:w="673" w:type="pct"/>
            <w:tcBorders>
              <w:top w:val="nil"/>
              <w:left w:val="nil"/>
              <w:bottom w:val="nil"/>
              <w:right w:val="nil"/>
            </w:tcBorders>
          </w:tcPr>
          <w:p w14:paraId="2F984A74" w14:textId="77777777" w:rsidR="00B54D51" w:rsidRPr="00037AD4" w:rsidRDefault="00B54D51" w:rsidP="00401C67">
            <w:pPr>
              <w:widowControl w:val="0"/>
              <w:autoSpaceDE w:val="0"/>
              <w:autoSpaceDN w:val="0"/>
              <w:adjustRightInd w:val="0"/>
              <w:jc w:val="center"/>
            </w:pPr>
            <w:r w:rsidRPr="00037AD4">
              <w:t>-0.147</w:t>
            </w:r>
          </w:p>
        </w:tc>
        <w:tc>
          <w:tcPr>
            <w:tcW w:w="673" w:type="pct"/>
            <w:tcBorders>
              <w:top w:val="nil"/>
              <w:left w:val="nil"/>
              <w:bottom w:val="nil"/>
              <w:right w:val="nil"/>
            </w:tcBorders>
          </w:tcPr>
          <w:p w14:paraId="006D0269"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71022772"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7AB02E2F"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53E8AA7F" w14:textId="77777777" w:rsidR="00B54D51" w:rsidRPr="00037AD4" w:rsidRDefault="00B54D51" w:rsidP="00401C67">
            <w:pPr>
              <w:widowControl w:val="0"/>
              <w:autoSpaceDE w:val="0"/>
              <w:autoSpaceDN w:val="0"/>
              <w:adjustRightInd w:val="0"/>
              <w:jc w:val="center"/>
            </w:pPr>
          </w:p>
        </w:tc>
        <w:tc>
          <w:tcPr>
            <w:tcW w:w="658" w:type="pct"/>
            <w:tcBorders>
              <w:top w:val="nil"/>
              <w:left w:val="nil"/>
              <w:bottom w:val="nil"/>
              <w:right w:val="nil"/>
            </w:tcBorders>
          </w:tcPr>
          <w:p w14:paraId="1FE1B9DB" w14:textId="77777777" w:rsidR="00B54D51" w:rsidRPr="00037AD4" w:rsidRDefault="00B54D51" w:rsidP="00401C67">
            <w:pPr>
              <w:widowControl w:val="0"/>
              <w:autoSpaceDE w:val="0"/>
              <w:autoSpaceDN w:val="0"/>
              <w:adjustRightInd w:val="0"/>
              <w:jc w:val="center"/>
            </w:pPr>
          </w:p>
        </w:tc>
      </w:tr>
      <w:tr w:rsidR="00B54D51" w:rsidRPr="00037AD4" w14:paraId="5733B0F8" w14:textId="77777777" w:rsidTr="00401C67">
        <w:trPr>
          <w:jc w:val="center"/>
        </w:trPr>
        <w:tc>
          <w:tcPr>
            <w:tcW w:w="977" w:type="pct"/>
            <w:tcBorders>
              <w:top w:val="nil"/>
              <w:left w:val="nil"/>
              <w:bottom w:val="nil"/>
              <w:right w:val="nil"/>
            </w:tcBorders>
          </w:tcPr>
          <w:p w14:paraId="75E4A63C" w14:textId="77777777" w:rsidR="00B54D51" w:rsidRPr="00037AD4" w:rsidRDefault="00B54D51" w:rsidP="00401C67">
            <w:pPr>
              <w:widowControl w:val="0"/>
              <w:autoSpaceDE w:val="0"/>
              <w:autoSpaceDN w:val="0"/>
              <w:adjustRightInd w:val="0"/>
            </w:pPr>
          </w:p>
        </w:tc>
        <w:tc>
          <w:tcPr>
            <w:tcW w:w="673" w:type="pct"/>
            <w:tcBorders>
              <w:top w:val="nil"/>
              <w:left w:val="nil"/>
              <w:bottom w:val="nil"/>
              <w:right w:val="nil"/>
            </w:tcBorders>
          </w:tcPr>
          <w:p w14:paraId="5FCA3AB0" w14:textId="77777777" w:rsidR="00B54D51" w:rsidRPr="00037AD4" w:rsidRDefault="00B54D51" w:rsidP="00401C67">
            <w:pPr>
              <w:widowControl w:val="0"/>
              <w:autoSpaceDE w:val="0"/>
              <w:autoSpaceDN w:val="0"/>
              <w:adjustRightInd w:val="0"/>
              <w:jc w:val="center"/>
            </w:pPr>
            <w:r w:rsidRPr="00037AD4">
              <w:t>(-0.573 - 0.278)</w:t>
            </w:r>
          </w:p>
        </w:tc>
        <w:tc>
          <w:tcPr>
            <w:tcW w:w="673" w:type="pct"/>
            <w:tcBorders>
              <w:top w:val="nil"/>
              <w:left w:val="nil"/>
              <w:bottom w:val="nil"/>
              <w:right w:val="nil"/>
            </w:tcBorders>
          </w:tcPr>
          <w:p w14:paraId="6C3A6B8B"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183CAC22"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6AA458E9"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3DF3C434" w14:textId="77777777" w:rsidR="00B54D51" w:rsidRPr="00037AD4" w:rsidRDefault="00B54D51" w:rsidP="00401C67">
            <w:pPr>
              <w:widowControl w:val="0"/>
              <w:autoSpaceDE w:val="0"/>
              <w:autoSpaceDN w:val="0"/>
              <w:adjustRightInd w:val="0"/>
              <w:jc w:val="center"/>
            </w:pPr>
          </w:p>
        </w:tc>
        <w:tc>
          <w:tcPr>
            <w:tcW w:w="658" w:type="pct"/>
            <w:tcBorders>
              <w:top w:val="nil"/>
              <w:left w:val="nil"/>
              <w:bottom w:val="nil"/>
              <w:right w:val="nil"/>
            </w:tcBorders>
          </w:tcPr>
          <w:p w14:paraId="4BBAC566" w14:textId="77777777" w:rsidR="00B54D51" w:rsidRPr="00037AD4" w:rsidRDefault="00B54D51" w:rsidP="00401C67">
            <w:pPr>
              <w:widowControl w:val="0"/>
              <w:autoSpaceDE w:val="0"/>
              <w:autoSpaceDN w:val="0"/>
              <w:adjustRightInd w:val="0"/>
              <w:jc w:val="center"/>
            </w:pPr>
          </w:p>
        </w:tc>
      </w:tr>
      <w:tr w:rsidR="00B54D51" w:rsidRPr="00037AD4" w14:paraId="0C33438D" w14:textId="77777777" w:rsidTr="00401C67">
        <w:trPr>
          <w:jc w:val="center"/>
        </w:trPr>
        <w:tc>
          <w:tcPr>
            <w:tcW w:w="977" w:type="pct"/>
            <w:tcBorders>
              <w:top w:val="nil"/>
              <w:left w:val="nil"/>
              <w:bottom w:val="nil"/>
              <w:right w:val="nil"/>
            </w:tcBorders>
          </w:tcPr>
          <w:p w14:paraId="75190EE7" w14:textId="77777777" w:rsidR="00B54D51" w:rsidRPr="00037AD4" w:rsidRDefault="00B54D51" w:rsidP="00401C67">
            <w:pPr>
              <w:widowControl w:val="0"/>
              <w:autoSpaceDE w:val="0"/>
              <w:autoSpaceDN w:val="0"/>
              <w:adjustRightInd w:val="0"/>
            </w:pPr>
            <w:r w:rsidRPr="00037AD4">
              <w:t>3.CDR_new_</w:t>
            </w:r>
          </w:p>
        </w:tc>
        <w:tc>
          <w:tcPr>
            <w:tcW w:w="673" w:type="pct"/>
            <w:tcBorders>
              <w:top w:val="nil"/>
              <w:left w:val="nil"/>
              <w:bottom w:val="nil"/>
              <w:right w:val="nil"/>
            </w:tcBorders>
          </w:tcPr>
          <w:p w14:paraId="5D5DBAF0" w14:textId="77777777" w:rsidR="00B54D51" w:rsidRPr="00037AD4" w:rsidRDefault="00B54D51" w:rsidP="00401C67">
            <w:pPr>
              <w:widowControl w:val="0"/>
              <w:autoSpaceDE w:val="0"/>
              <w:autoSpaceDN w:val="0"/>
              <w:adjustRightInd w:val="0"/>
              <w:jc w:val="center"/>
            </w:pPr>
            <w:r w:rsidRPr="00037AD4">
              <w:t>-0.190</w:t>
            </w:r>
          </w:p>
        </w:tc>
        <w:tc>
          <w:tcPr>
            <w:tcW w:w="673" w:type="pct"/>
            <w:tcBorders>
              <w:top w:val="nil"/>
              <w:left w:val="nil"/>
              <w:bottom w:val="nil"/>
              <w:right w:val="nil"/>
            </w:tcBorders>
          </w:tcPr>
          <w:p w14:paraId="6FD96F50"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03904002"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4FF44E96"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6A77C3BB" w14:textId="77777777" w:rsidR="00B54D51" w:rsidRPr="00037AD4" w:rsidRDefault="00B54D51" w:rsidP="00401C67">
            <w:pPr>
              <w:widowControl w:val="0"/>
              <w:autoSpaceDE w:val="0"/>
              <w:autoSpaceDN w:val="0"/>
              <w:adjustRightInd w:val="0"/>
              <w:jc w:val="center"/>
            </w:pPr>
          </w:p>
        </w:tc>
        <w:tc>
          <w:tcPr>
            <w:tcW w:w="658" w:type="pct"/>
            <w:tcBorders>
              <w:top w:val="nil"/>
              <w:left w:val="nil"/>
              <w:bottom w:val="nil"/>
              <w:right w:val="nil"/>
            </w:tcBorders>
          </w:tcPr>
          <w:p w14:paraId="0F9CC4B6" w14:textId="77777777" w:rsidR="00B54D51" w:rsidRPr="00037AD4" w:rsidRDefault="00B54D51" w:rsidP="00401C67">
            <w:pPr>
              <w:widowControl w:val="0"/>
              <w:autoSpaceDE w:val="0"/>
              <w:autoSpaceDN w:val="0"/>
              <w:adjustRightInd w:val="0"/>
              <w:jc w:val="center"/>
            </w:pPr>
          </w:p>
        </w:tc>
      </w:tr>
      <w:tr w:rsidR="00B54D51" w:rsidRPr="00037AD4" w14:paraId="70502C14" w14:textId="77777777" w:rsidTr="00401C67">
        <w:trPr>
          <w:jc w:val="center"/>
        </w:trPr>
        <w:tc>
          <w:tcPr>
            <w:tcW w:w="977" w:type="pct"/>
            <w:tcBorders>
              <w:top w:val="nil"/>
              <w:left w:val="nil"/>
              <w:bottom w:val="nil"/>
              <w:right w:val="nil"/>
            </w:tcBorders>
          </w:tcPr>
          <w:p w14:paraId="25B32C00" w14:textId="77777777" w:rsidR="00B54D51" w:rsidRPr="00037AD4" w:rsidRDefault="00B54D51" w:rsidP="00401C67">
            <w:pPr>
              <w:widowControl w:val="0"/>
              <w:autoSpaceDE w:val="0"/>
              <w:autoSpaceDN w:val="0"/>
              <w:adjustRightInd w:val="0"/>
            </w:pPr>
          </w:p>
        </w:tc>
        <w:tc>
          <w:tcPr>
            <w:tcW w:w="673" w:type="pct"/>
            <w:tcBorders>
              <w:top w:val="nil"/>
              <w:left w:val="nil"/>
              <w:bottom w:val="nil"/>
              <w:right w:val="nil"/>
            </w:tcBorders>
          </w:tcPr>
          <w:p w14:paraId="65ABC32E" w14:textId="77777777" w:rsidR="00B54D51" w:rsidRPr="00037AD4" w:rsidRDefault="00B54D51" w:rsidP="00401C67">
            <w:pPr>
              <w:widowControl w:val="0"/>
              <w:autoSpaceDE w:val="0"/>
              <w:autoSpaceDN w:val="0"/>
              <w:adjustRightInd w:val="0"/>
              <w:jc w:val="center"/>
            </w:pPr>
            <w:r w:rsidRPr="00037AD4">
              <w:t>(-0.707 - 0.327)</w:t>
            </w:r>
          </w:p>
        </w:tc>
        <w:tc>
          <w:tcPr>
            <w:tcW w:w="673" w:type="pct"/>
            <w:tcBorders>
              <w:top w:val="nil"/>
              <w:left w:val="nil"/>
              <w:bottom w:val="nil"/>
              <w:right w:val="nil"/>
            </w:tcBorders>
          </w:tcPr>
          <w:p w14:paraId="096BAAFC"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028B2EE9"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30935E50"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2095E95A" w14:textId="77777777" w:rsidR="00B54D51" w:rsidRPr="00037AD4" w:rsidRDefault="00B54D51" w:rsidP="00401C67">
            <w:pPr>
              <w:widowControl w:val="0"/>
              <w:autoSpaceDE w:val="0"/>
              <w:autoSpaceDN w:val="0"/>
              <w:adjustRightInd w:val="0"/>
              <w:jc w:val="center"/>
            </w:pPr>
          </w:p>
        </w:tc>
        <w:tc>
          <w:tcPr>
            <w:tcW w:w="658" w:type="pct"/>
            <w:tcBorders>
              <w:top w:val="nil"/>
              <w:left w:val="nil"/>
              <w:bottom w:val="nil"/>
              <w:right w:val="nil"/>
            </w:tcBorders>
          </w:tcPr>
          <w:p w14:paraId="3225D459" w14:textId="77777777" w:rsidR="00B54D51" w:rsidRPr="00037AD4" w:rsidRDefault="00B54D51" w:rsidP="00401C67">
            <w:pPr>
              <w:widowControl w:val="0"/>
              <w:autoSpaceDE w:val="0"/>
              <w:autoSpaceDN w:val="0"/>
              <w:adjustRightInd w:val="0"/>
              <w:jc w:val="center"/>
            </w:pPr>
          </w:p>
        </w:tc>
      </w:tr>
      <w:tr w:rsidR="00B54D51" w:rsidRPr="00037AD4" w14:paraId="7006F0FA" w14:textId="77777777" w:rsidTr="00401C67">
        <w:trPr>
          <w:jc w:val="center"/>
        </w:trPr>
        <w:tc>
          <w:tcPr>
            <w:tcW w:w="977" w:type="pct"/>
            <w:tcBorders>
              <w:top w:val="nil"/>
              <w:left w:val="nil"/>
              <w:bottom w:val="nil"/>
              <w:right w:val="nil"/>
            </w:tcBorders>
          </w:tcPr>
          <w:p w14:paraId="4EB7DB9F" w14:textId="77777777" w:rsidR="00B54D51" w:rsidRPr="00037AD4" w:rsidRDefault="00B54D51" w:rsidP="00401C67">
            <w:pPr>
              <w:widowControl w:val="0"/>
              <w:autoSpaceDE w:val="0"/>
              <w:autoSpaceDN w:val="0"/>
              <w:adjustRightInd w:val="0"/>
            </w:pPr>
            <w:r w:rsidRPr="00037AD4">
              <w:t>/cut1</w:t>
            </w:r>
          </w:p>
        </w:tc>
        <w:tc>
          <w:tcPr>
            <w:tcW w:w="673" w:type="pct"/>
            <w:tcBorders>
              <w:top w:val="nil"/>
              <w:left w:val="nil"/>
              <w:bottom w:val="nil"/>
              <w:right w:val="nil"/>
            </w:tcBorders>
          </w:tcPr>
          <w:p w14:paraId="7E715360" w14:textId="77777777" w:rsidR="00B54D51" w:rsidRPr="00037AD4" w:rsidRDefault="00B54D51" w:rsidP="00401C67">
            <w:pPr>
              <w:widowControl w:val="0"/>
              <w:autoSpaceDE w:val="0"/>
              <w:autoSpaceDN w:val="0"/>
              <w:adjustRightInd w:val="0"/>
              <w:jc w:val="center"/>
            </w:pPr>
            <w:r w:rsidRPr="00037AD4">
              <w:t>-0.310</w:t>
            </w:r>
          </w:p>
        </w:tc>
        <w:tc>
          <w:tcPr>
            <w:tcW w:w="673" w:type="pct"/>
            <w:tcBorders>
              <w:top w:val="nil"/>
              <w:left w:val="nil"/>
              <w:bottom w:val="nil"/>
              <w:right w:val="nil"/>
            </w:tcBorders>
          </w:tcPr>
          <w:p w14:paraId="5C988A4D" w14:textId="77777777" w:rsidR="00B54D51" w:rsidRPr="00037AD4" w:rsidRDefault="00B54D51" w:rsidP="00401C67">
            <w:pPr>
              <w:widowControl w:val="0"/>
              <w:autoSpaceDE w:val="0"/>
              <w:autoSpaceDN w:val="0"/>
              <w:adjustRightInd w:val="0"/>
              <w:jc w:val="center"/>
            </w:pPr>
            <w:r w:rsidRPr="00037AD4">
              <w:t>0.041</w:t>
            </w:r>
          </w:p>
        </w:tc>
        <w:tc>
          <w:tcPr>
            <w:tcW w:w="673" w:type="pct"/>
            <w:tcBorders>
              <w:top w:val="nil"/>
              <w:left w:val="nil"/>
              <w:bottom w:val="nil"/>
              <w:right w:val="nil"/>
            </w:tcBorders>
          </w:tcPr>
          <w:p w14:paraId="62FE92B3" w14:textId="77777777" w:rsidR="00B54D51" w:rsidRPr="00037AD4" w:rsidRDefault="00B54D51" w:rsidP="00401C67">
            <w:pPr>
              <w:widowControl w:val="0"/>
              <w:autoSpaceDE w:val="0"/>
              <w:autoSpaceDN w:val="0"/>
              <w:adjustRightInd w:val="0"/>
              <w:jc w:val="center"/>
            </w:pPr>
            <w:r w:rsidRPr="00037AD4">
              <w:t>-0.132</w:t>
            </w:r>
          </w:p>
        </w:tc>
        <w:tc>
          <w:tcPr>
            <w:tcW w:w="673" w:type="pct"/>
            <w:tcBorders>
              <w:top w:val="nil"/>
              <w:left w:val="nil"/>
              <w:bottom w:val="nil"/>
              <w:right w:val="nil"/>
            </w:tcBorders>
          </w:tcPr>
          <w:p w14:paraId="5B4EB7FD" w14:textId="77777777" w:rsidR="00B54D51" w:rsidRPr="00037AD4" w:rsidRDefault="00B54D51" w:rsidP="00401C67">
            <w:pPr>
              <w:widowControl w:val="0"/>
              <w:autoSpaceDE w:val="0"/>
              <w:autoSpaceDN w:val="0"/>
              <w:adjustRightInd w:val="0"/>
              <w:jc w:val="center"/>
            </w:pPr>
            <w:r w:rsidRPr="00037AD4">
              <w:t>0.630***</w:t>
            </w:r>
          </w:p>
        </w:tc>
        <w:tc>
          <w:tcPr>
            <w:tcW w:w="673" w:type="pct"/>
            <w:tcBorders>
              <w:top w:val="nil"/>
              <w:left w:val="nil"/>
              <w:bottom w:val="nil"/>
              <w:right w:val="nil"/>
            </w:tcBorders>
          </w:tcPr>
          <w:p w14:paraId="75F55261" w14:textId="77777777" w:rsidR="00B54D51" w:rsidRPr="00037AD4" w:rsidRDefault="00B54D51" w:rsidP="00401C67">
            <w:pPr>
              <w:widowControl w:val="0"/>
              <w:autoSpaceDE w:val="0"/>
              <w:autoSpaceDN w:val="0"/>
              <w:adjustRightInd w:val="0"/>
              <w:jc w:val="center"/>
            </w:pPr>
            <w:r w:rsidRPr="00037AD4">
              <w:t>-0.161</w:t>
            </w:r>
          </w:p>
        </w:tc>
        <w:tc>
          <w:tcPr>
            <w:tcW w:w="658" w:type="pct"/>
            <w:tcBorders>
              <w:top w:val="nil"/>
              <w:left w:val="nil"/>
              <w:bottom w:val="nil"/>
              <w:right w:val="nil"/>
            </w:tcBorders>
          </w:tcPr>
          <w:p w14:paraId="5F663B89" w14:textId="77777777" w:rsidR="00B54D51" w:rsidRPr="00037AD4" w:rsidRDefault="00B54D51" w:rsidP="00401C67">
            <w:pPr>
              <w:widowControl w:val="0"/>
              <w:autoSpaceDE w:val="0"/>
              <w:autoSpaceDN w:val="0"/>
              <w:adjustRightInd w:val="0"/>
              <w:jc w:val="center"/>
            </w:pPr>
            <w:r w:rsidRPr="00037AD4">
              <w:t>0.731***</w:t>
            </w:r>
          </w:p>
        </w:tc>
      </w:tr>
      <w:tr w:rsidR="00B54D51" w:rsidRPr="00037AD4" w14:paraId="1F80DF82" w14:textId="77777777" w:rsidTr="00401C67">
        <w:trPr>
          <w:jc w:val="center"/>
        </w:trPr>
        <w:tc>
          <w:tcPr>
            <w:tcW w:w="977" w:type="pct"/>
            <w:tcBorders>
              <w:top w:val="nil"/>
              <w:left w:val="nil"/>
              <w:bottom w:val="nil"/>
              <w:right w:val="nil"/>
            </w:tcBorders>
          </w:tcPr>
          <w:p w14:paraId="55578A79" w14:textId="77777777" w:rsidR="00B54D51" w:rsidRPr="00037AD4" w:rsidRDefault="00B54D51" w:rsidP="00401C67">
            <w:pPr>
              <w:widowControl w:val="0"/>
              <w:autoSpaceDE w:val="0"/>
              <w:autoSpaceDN w:val="0"/>
              <w:adjustRightInd w:val="0"/>
            </w:pPr>
          </w:p>
        </w:tc>
        <w:tc>
          <w:tcPr>
            <w:tcW w:w="673" w:type="pct"/>
            <w:tcBorders>
              <w:top w:val="nil"/>
              <w:left w:val="nil"/>
              <w:bottom w:val="nil"/>
              <w:right w:val="nil"/>
            </w:tcBorders>
          </w:tcPr>
          <w:p w14:paraId="1A683447" w14:textId="77777777" w:rsidR="00B54D51" w:rsidRPr="00037AD4" w:rsidRDefault="00B54D51" w:rsidP="00401C67">
            <w:pPr>
              <w:widowControl w:val="0"/>
              <w:autoSpaceDE w:val="0"/>
              <w:autoSpaceDN w:val="0"/>
              <w:adjustRightInd w:val="0"/>
              <w:jc w:val="center"/>
            </w:pPr>
            <w:r w:rsidRPr="00037AD4">
              <w:t>(-1.708 - 1.088)</w:t>
            </w:r>
          </w:p>
        </w:tc>
        <w:tc>
          <w:tcPr>
            <w:tcW w:w="673" w:type="pct"/>
            <w:tcBorders>
              <w:top w:val="nil"/>
              <w:left w:val="nil"/>
              <w:bottom w:val="nil"/>
              <w:right w:val="nil"/>
            </w:tcBorders>
          </w:tcPr>
          <w:p w14:paraId="2AAA45FC" w14:textId="77777777" w:rsidR="00B54D51" w:rsidRPr="00037AD4" w:rsidRDefault="00B54D51" w:rsidP="00401C67">
            <w:pPr>
              <w:widowControl w:val="0"/>
              <w:autoSpaceDE w:val="0"/>
              <w:autoSpaceDN w:val="0"/>
              <w:adjustRightInd w:val="0"/>
              <w:jc w:val="center"/>
            </w:pPr>
            <w:r w:rsidRPr="00037AD4">
              <w:t>(-1.179 - 1.261)</w:t>
            </w:r>
          </w:p>
        </w:tc>
        <w:tc>
          <w:tcPr>
            <w:tcW w:w="673" w:type="pct"/>
            <w:tcBorders>
              <w:top w:val="nil"/>
              <w:left w:val="nil"/>
              <w:bottom w:val="nil"/>
              <w:right w:val="nil"/>
            </w:tcBorders>
          </w:tcPr>
          <w:p w14:paraId="614BA53E" w14:textId="77777777" w:rsidR="00B54D51" w:rsidRPr="00037AD4" w:rsidRDefault="00B54D51" w:rsidP="00401C67">
            <w:pPr>
              <w:widowControl w:val="0"/>
              <w:autoSpaceDE w:val="0"/>
              <w:autoSpaceDN w:val="0"/>
              <w:adjustRightInd w:val="0"/>
              <w:jc w:val="center"/>
            </w:pPr>
            <w:r w:rsidRPr="00037AD4">
              <w:t>(-1.356 - 1.093)</w:t>
            </w:r>
          </w:p>
        </w:tc>
        <w:tc>
          <w:tcPr>
            <w:tcW w:w="673" w:type="pct"/>
            <w:tcBorders>
              <w:top w:val="nil"/>
              <w:left w:val="nil"/>
              <w:bottom w:val="nil"/>
              <w:right w:val="nil"/>
            </w:tcBorders>
          </w:tcPr>
          <w:p w14:paraId="2E0F2D6A" w14:textId="77777777" w:rsidR="00B54D51" w:rsidRPr="00037AD4" w:rsidRDefault="00B54D51" w:rsidP="00401C67">
            <w:pPr>
              <w:widowControl w:val="0"/>
              <w:autoSpaceDE w:val="0"/>
              <w:autoSpaceDN w:val="0"/>
              <w:adjustRightInd w:val="0"/>
              <w:jc w:val="center"/>
            </w:pPr>
            <w:r w:rsidRPr="00037AD4">
              <w:t>(0.426 - 0.833)</w:t>
            </w:r>
          </w:p>
        </w:tc>
        <w:tc>
          <w:tcPr>
            <w:tcW w:w="673" w:type="pct"/>
            <w:tcBorders>
              <w:top w:val="nil"/>
              <w:left w:val="nil"/>
              <w:bottom w:val="nil"/>
              <w:right w:val="nil"/>
            </w:tcBorders>
          </w:tcPr>
          <w:p w14:paraId="174E18F2" w14:textId="77777777" w:rsidR="00B54D51" w:rsidRPr="00037AD4" w:rsidRDefault="00B54D51" w:rsidP="00401C67">
            <w:pPr>
              <w:widowControl w:val="0"/>
              <w:autoSpaceDE w:val="0"/>
              <w:autoSpaceDN w:val="0"/>
              <w:adjustRightInd w:val="0"/>
              <w:jc w:val="center"/>
            </w:pPr>
            <w:r w:rsidRPr="00037AD4">
              <w:t>(-1.395 - 1.072)</w:t>
            </w:r>
          </w:p>
        </w:tc>
        <w:tc>
          <w:tcPr>
            <w:tcW w:w="658" w:type="pct"/>
            <w:tcBorders>
              <w:top w:val="nil"/>
              <w:left w:val="nil"/>
              <w:bottom w:val="nil"/>
              <w:right w:val="nil"/>
            </w:tcBorders>
          </w:tcPr>
          <w:p w14:paraId="2A1FC2CC" w14:textId="77777777" w:rsidR="00B54D51" w:rsidRPr="00037AD4" w:rsidRDefault="00B54D51" w:rsidP="00401C67">
            <w:pPr>
              <w:widowControl w:val="0"/>
              <w:autoSpaceDE w:val="0"/>
              <w:autoSpaceDN w:val="0"/>
              <w:adjustRightInd w:val="0"/>
              <w:jc w:val="center"/>
            </w:pPr>
            <w:r w:rsidRPr="00037AD4">
              <w:t>(0.614 - 0.848)</w:t>
            </w:r>
          </w:p>
        </w:tc>
      </w:tr>
      <w:tr w:rsidR="00B54D51" w:rsidRPr="00037AD4" w14:paraId="2E3AA078" w14:textId="77777777" w:rsidTr="00401C67">
        <w:trPr>
          <w:jc w:val="center"/>
        </w:trPr>
        <w:tc>
          <w:tcPr>
            <w:tcW w:w="977" w:type="pct"/>
            <w:tcBorders>
              <w:top w:val="nil"/>
              <w:left w:val="nil"/>
              <w:bottom w:val="nil"/>
              <w:right w:val="nil"/>
            </w:tcBorders>
          </w:tcPr>
          <w:p w14:paraId="2E0B3813" w14:textId="77777777" w:rsidR="00B54D51" w:rsidRPr="00037AD4" w:rsidRDefault="00B54D51" w:rsidP="00401C67">
            <w:pPr>
              <w:widowControl w:val="0"/>
              <w:autoSpaceDE w:val="0"/>
              <w:autoSpaceDN w:val="0"/>
              <w:adjustRightInd w:val="0"/>
            </w:pPr>
            <w:r w:rsidRPr="00037AD4">
              <w:t>/cut2</w:t>
            </w:r>
          </w:p>
        </w:tc>
        <w:tc>
          <w:tcPr>
            <w:tcW w:w="673" w:type="pct"/>
            <w:tcBorders>
              <w:top w:val="nil"/>
              <w:left w:val="nil"/>
              <w:bottom w:val="nil"/>
              <w:right w:val="nil"/>
            </w:tcBorders>
          </w:tcPr>
          <w:p w14:paraId="7F72ED11" w14:textId="77777777" w:rsidR="00B54D51" w:rsidRPr="00037AD4" w:rsidRDefault="00B54D51" w:rsidP="00401C67">
            <w:pPr>
              <w:widowControl w:val="0"/>
              <w:autoSpaceDE w:val="0"/>
              <w:autoSpaceDN w:val="0"/>
              <w:adjustRightInd w:val="0"/>
              <w:jc w:val="center"/>
            </w:pPr>
            <w:r w:rsidRPr="00037AD4">
              <w:t>0.416</w:t>
            </w:r>
          </w:p>
        </w:tc>
        <w:tc>
          <w:tcPr>
            <w:tcW w:w="673" w:type="pct"/>
            <w:tcBorders>
              <w:top w:val="nil"/>
              <w:left w:val="nil"/>
              <w:bottom w:val="nil"/>
              <w:right w:val="nil"/>
            </w:tcBorders>
          </w:tcPr>
          <w:p w14:paraId="76FD9FE8" w14:textId="77777777" w:rsidR="00B54D51" w:rsidRPr="00037AD4" w:rsidRDefault="00B54D51" w:rsidP="00401C67">
            <w:pPr>
              <w:widowControl w:val="0"/>
              <w:autoSpaceDE w:val="0"/>
              <w:autoSpaceDN w:val="0"/>
              <w:adjustRightInd w:val="0"/>
              <w:jc w:val="center"/>
            </w:pPr>
            <w:r w:rsidRPr="00037AD4">
              <w:t>0.741</w:t>
            </w:r>
          </w:p>
        </w:tc>
        <w:tc>
          <w:tcPr>
            <w:tcW w:w="673" w:type="pct"/>
            <w:tcBorders>
              <w:top w:val="nil"/>
              <w:left w:val="nil"/>
              <w:bottom w:val="nil"/>
              <w:right w:val="nil"/>
            </w:tcBorders>
          </w:tcPr>
          <w:p w14:paraId="7AEC757F" w14:textId="77777777" w:rsidR="00B54D51" w:rsidRPr="00037AD4" w:rsidRDefault="00B54D51" w:rsidP="00401C67">
            <w:pPr>
              <w:widowControl w:val="0"/>
              <w:autoSpaceDE w:val="0"/>
              <w:autoSpaceDN w:val="0"/>
              <w:adjustRightInd w:val="0"/>
              <w:jc w:val="center"/>
            </w:pPr>
            <w:r w:rsidRPr="00037AD4">
              <w:t>0.559</w:t>
            </w:r>
          </w:p>
        </w:tc>
        <w:tc>
          <w:tcPr>
            <w:tcW w:w="673" w:type="pct"/>
            <w:tcBorders>
              <w:top w:val="nil"/>
              <w:left w:val="nil"/>
              <w:bottom w:val="nil"/>
              <w:right w:val="nil"/>
            </w:tcBorders>
          </w:tcPr>
          <w:p w14:paraId="5C6490D5" w14:textId="77777777" w:rsidR="00B54D51" w:rsidRPr="00037AD4" w:rsidRDefault="00B54D51" w:rsidP="00401C67">
            <w:pPr>
              <w:widowControl w:val="0"/>
              <w:autoSpaceDE w:val="0"/>
              <w:autoSpaceDN w:val="0"/>
              <w:adjustRightInd w:val="0"/>
              <w:jc w:val="center"/>
            </w:pPr>
            <w:r w:rsidRPr="00037AD4">
              <w:t>1.319***</w:t>
            </w:r>
          </w:p>
        </w:tc>
        <w:tc>
          <w:tcPr>
            <w:tcW w:w="673" w:type="pct"/>
            <w:tcBorders>
              <w:top w:val="nil"/>
              <w:left w:val="nil"/>
              <w:bottom w:val="nil"/>
              <w:right w:val="nil"/>
            </w:tcBorders>
          </w:tcPr>
          <w:p w14:paraId="1915136C" w14:textId="77777777" w:rsidR="00B54D51" w:rsidRPr="00037AD4" w:rsidRDefault="00B54D51" w:rsidP="00401C67">
            <w:pPr>
              <w:widowControl w:val="0"/>
              <w:autoSpaceDE w:val="0"/>
              <w:autoSpaceDN w:val="0"/>
              <w:adjustRightInd w:val="0"/>
              <w:jc w:val="center"/>
            </w:pPr>
            <w:r w:rsidRPr="00037AD4">
              <w:t>0.529</w:t>
            </w:r>
          </w:p>
        </w:tc>
        <w:tc>
          <w:tcPr>
            <w:tcW w:w="658" w:type="pct"/>
            <w:tcBorders>
              <w:top w:val="nil"/>
              <w:left w:val="nil"/>
              <w:bottom w:val="nil"/>
              <w:right w:val="nil"/>
            </w:tcBorders>
          </w:tcPr>
          <w:p w14:paraId="5896DA1E" w14:textId="77777777" w:rsidR="00B54D51" w:rsidRPr="00037AD4" w:rsidRDefault="00B54D51" w:rsidP="00401C67">
            <w:pPr>
              <w:widowControl w:val="0"/>
              <w:autoSpaceDE w:val="0"/>
              <w:autoSpaceDN w:val="0"/>
              <w:adjustRightInd w:val="0"/>
              <w:jc w:val="center"/>
            </w:pPr>
            <w:r w:rsidRPr="00037AD4">
              <w:t>1.421***</w:t>
            </w:r>
          </w:p>
        </w:tc>
      </w:tr>
      <w:tr w:rsidR="00B54D51" w:rsidRPr="00037AD4" w14:paraId="2E708D57" w14:textId="77777777" w:rsidTr="00401C67">
        <w:trPr>
          <w:jc w:val="center"/>
        </w:trPr>
        <w:tc>
          <w:tcPr>
            <w:tcW w:w="977" w:type="pct"/>
            <w:tcBorders>
              <w:top w:val="nil"/>
              <w:left w:val="nil"/>
              <w:bottom w:val="nil"/>
              <w:right w:val="nil"/>
            </w:tcBorders>
          </w:tcPr>
          <w:p w14:paraId="1A2AE0D5" w14:textId="77777777" w:rsidR="00B54D51" w:rsidRPr="00037AD4" w:rsidRDefault="00B54D51" w:rsidP="00401C67">
            <w:pPr>
              <w:widowControl w:val="0"/>
              <w:autoSpaceDE w:val="0"/>
              <w:autoSpaceDN w:val="0"/>
              <w:adjustRightInd w:val="0"/>
            </w:pPr>
          </w:p>
        </w:tc>
        <w:tc>
          <w:tcPr>
            <w:tcW w:w="673" w:type="pct"/>
            <w:tcBorders>
              <w:top w:val="nil"/>
              <w:left w:val="nil"/>
              <w:bottom w:val="nil"/>
              <w:right w:val="nil"/>
            </w:tcBorders>
          </w:tcPr>
          <w:p w14:paraId="79FFF88F" w14:textId="77777777" w:rsidR="00B54D51" w:rsidRPr="00037AD4" w:rsidRDefault="00B54D51" w:rsidP="00401C67">
            <w:pPr>
              <w:widowControl w:val="0"/>
              <w:autoSpaceDE w:val="0"/>
              <w:autoSpaceDN w:val="0"/>
              <w:adjustRightInd w:val="0"/>
              <w:jc w:val="center"/>
            </w:pPr>
            <w:r w:rsidRPr="00037AD4">
              <w:t>(-1.000 - 1.832)</w:t>
            </w:r>
          </w:p>
        </w:tc>
        <w:tc>
          <w:tcPr>
            <w:tcW w:w="673" w:type="pct"/>
            <w:tcBorders>
              <w:top w:val="nil"/>
              <w:left w:val="nil"/>
              <w:bottom w:val="nil"/>
              <w:right w:val="nil"/>
            </w:tcBorders>
          </w:tcPr>
          <w:p w14:paraId="6BEF7417" w14:textId="77777777" w:rsidR="00B54D51" w:rsidRPr="00037AD4" w:rsidRDefault="00B54D51" w:rsidP="00401C67">
            <w:pPr>
              <w:widowControl w:val="0"/>
              <w:autoSpaceDE w:val="0"/>
              <w:autoSpaceDN w:val="0"/>
              <w:adjustRightInd w:val="0"/>
              <w:jc w:val="center"/>
            </w:pPr>
            <w:r w:rsidRPr="00037AD4">
              <w:t>(-0.492 - 1.974)</w:t>
            </w:r>
          </w:p>
        </w:tc>
        <w:tc>
          <w:tcPr>
            <w:tcW w:w="673" w:type="pct"/>
            <w:tcBorders>
              <w:top w:val="nil"/>
              <w:left w:val="nil"/>
              <w:bottom w:val="nil"/>
              <w:right w:val="nil"/>
            </w:tcBorders>
          </w:tcPr>
          <w:p w14:paraId="5C459728" w14:textId="77777777" w:rsidR="00B54D51" w:rsidRPr="00037AD4" w:rsidRDefault="00B54D51" w:rsidP="00401C67">
            <w:pPr>
              <w:widowControl w:val="0"/>
              <w:autoSpaceDE w:val="0"/>
              <w:autoSpaceDN w:val="0"/>
              <w:adjustRightInd w:val="0"/>
              <w:jc w:val="center"/>
            </w:pPr>
            <w:r w:rsidRPr="00037AD4">
              <w:t>(-0.679 - 1.797)</w:t>
            </w:r>
          </w:p>
        </w:tc>
        <w:tc>
          <w:tcPr>
            <w:tcW w:w="673" w:type="pct"/>
            <w:tcBorders>
              <w:top w:val="nil"/>
              <w:left w:val="nil"/>
              <w:bottom w:val="nil"/>
              <w:right w:val="nil"/>
            </w:tcBorders>
          </w:tcPr>
          <w:p w14:paraId="74C4BCA9" w14:textId="77777777" w:rsidR="00B54D51" w:rsidRPr="00037AD4" w:rsidRDefault="00B54D51" w:rsidP="00401C67">
            <w:pPr>
              <w:widowControl w:val="0"/>
              <w:autoSpaceDE w:val="0"/>
              <w:autoSpaceDN w:val="0"/>
              <w:adjustRightInd w:val="0"/>
              <w:jc w:val="center"/>
            </w:pPr>
            <w:r w:rsidRPr="00037AD4">
              <w:t>(1.092 - 1.545)</w:t>
            </w:r>
          </w:p>
        </w:tc>
        <w:tc>
          <w:tcPr>
            <w:tcW w:w="673" w:type="pct"/>
            <w:tcBorders>
              <w:top w:val="nil"/>
              <w:left w:val="nil"/>
              <w:bottom w:val="nil"/>
              <w:right w:val="nil"/>
            </w:tcBorders>
          </w:tcPr>
          <w:p w14:paraId="3A868526" w14:textId="77777777" w:rsidR="00B54D51" w:rsidRPr="00037AD4" w:rsidRDefault="00B54D51" w:rsidP="00401C67">
            <w:pPr>
              <w:widowControl w:val="0"/>
              <w:autoSpaceDE w:val="0"/>
              <w:autoSpaceDN w:val="0"/>
              <w:adjustRightInd w:val="0"/>
              <w:jc w:val="center"/>
            </w:pPr>
            <w:r w:rsidRPr="00037AD4">
              <w:t>(-0.719 - 1.776)</w:t>
            </w:r>
          </w:p>
        </w:tc>
        <w:tc>
          <w:tcPr>
            <w:tcW w:w="658" w:type="pct"/>
            <w:tcBorders>
              <w:top w:val="nil"/>
              <w:left w:val="nil"/>
              <w:bottom w:val="nil"/>
              <w:right w:val="nil"/>
            </w:tcBorders>
          </w:tcPr>
          <w:p w14:paraId="55AED00E" w14:textId="77777777" w:rsidR="00B54D51" w:rsidRPr="00037AD4" w:rsidRDefault="00B54D51" w:rsidP="00401C67">
            <w:pPr>
              <w:widowControl w:val="0"/>
              <w:autoSpaceDE w:val="0"/>
              <w:autoSpaceDN w:val="0"/>
              <w:adjustRightInd w:val="0"/>
              <w:jc w:val="center"/>
            </w:pPr>
            <w:r w:rsidRPr="00037AD4">
              <w:t>(1.281 - 1.560)</w:t>
            </w:r>
          </w:p>
        </w:tc>
      </w:tr>
      <w:tr w:rsidR="00B54D51" w:rsidRPr="00037AD4" w14:paraId="77FCC389" w14:textId="77777777" w:rsidTr="00401C67">
        <w:trPr>
          <w:jc w:val="center"/>
        </w:trPr>
        <w:tc>
          <w:tcPr>
            <w:tcW w:w="977" w:type="pct"/>
            <w:tcBorders>
              <w:top w:val="nil"/>
              <w:left w:val="nil"/>
              <w:bottom w:val="nil"/>
              <w:right w:val="nil"/>
            </w:tcBorders>
          </w:tcPr>
          <w:p w14:paraId="2EEB1DCB" w14:textId="77777777" w:rsidR="00B54D51" w:rsidRPr="00037AD4" w:rsidRDefault="00B54D51" w:rsidP="00401C67">
            <w:pPr>
              <w:widowControl w:val="0"/>
              <w:autoSpaceDE w:val="0"/>
              <w:autoSpaceDN w:val="0"/>
              <w:adjustRightInd w:val="0"/>
            </w:pPr>
            <w:r w:rsidRPr="00037AD4">
              <w:t>/cut3</w:t>
            </w:r>
          </w:p>
        </w:tc>
        <w:tc>
          <w:tcPr>
            <w:tcW w:w="673" w:type="pct"/>
            <w:tcBorders>
              <w:top w:val="nil"/>
              <w:left w:val="nil"/>
              <w:bottom w:val="nil"/>
              <w:right w:val="nil"/>
            </w:tcBorders>
          </w:tcPr>
          <w:p w14:paraId="0CE2D0C3" w14:textId="77777777" w:rsidR="00B54D51" w:rsidRPr="00037AD4" w:rsidRDefault="00B54D51" w:rsidP="00401C67">
            <w:pPr>
              <w:widowControl w:val="0"/>
              <w:autoSpaceDE w:val="0"/>
              <w:autoSpaceDN w:val="0"/>
              <w:adjustRightInd w:val="0"/>
              <w:jc w:val="center"/>
            </w:pPr>
            <w:r w:rsidRPr="00037AD4">
              <w:t>1.036</w:t>
            </w:r>
          </w:p>
        </w:tc>
        <w:tc>
          <w:tcPr>
            <w:tcW w:w="673" w:type="pct"/>
            <w:tcBorders>
              <w:top w:val="nil"/>
              <w:left w:val="nil"/>
              <w:bottom w:val="nil"/>
              <w:right w:val="nil"/>
            </w:tcBorders>
          </w:tcPr>
          <w:p w14:paraId="746F7E69" w14:textId="77777777" w:rsidR="00B54D51" w:rsidRPr="00037AD4" w:rsidRDefault="00B54D51" w:rsidP="00401C67">
            <w:pPr>
              <w:widowControl w:val="0"/>
              <w:autoSpaceDE w:val="0"/>
              <w:autoSpaceDN w:val="0"/>
              <w:adjustRightInd w:val="0"/>
              <w:jc w:val="center"/>
            </w:pPr>
            <w:r w:rsidRPr="00037AD4">
              <w:t>1.332**</w:t>
            </w:r>
          </w:p>
        </w:tc>
        <w:tc>
          <w:tcPr>
            <w:tcW w:w="673" w:type="pct"/>
            <w:tcBorders>
              <w:top w:val="nil"/>
              <w:left w:val="nil"/>
              <w:bottom w:val="nil"/>
              <w:right w:val="nil"/>
            </w:tcBorders>
          </w:tcPr>
          <w:p w14:paraId="74517D79" w14:textId="77777777" w:rsidR="00B54D51" w:rsidRPr="00037AD4" w:rsidRDefault="00B54D51" w:rsidP="00401C67">
            <w:pPr>
              <w:widowControl w:val="0"/>
              <w:autoSpaceDE w:val="0"/>
              <w:autoSpaceDN w:val="0"/>
              <w:adjustRightInd w:val="0"/>
              <w:jc w:val="center"/>
            </w:pPr>
            <w:r w:rsidRPr="00037AD4">
              <w:t>1.139*</w:t>
            </w:r>
          </w:p>
        </w:tc>
        <w:tc>
          <w:tcPr>
            <w:tcW w:w="673" w:type="pct"/>
            <w:tcBorders>
              <w:top w:val="nil"/>
              <w:left w:val="nil"/>
              <w:bottom w:val="nil"/>
              <w:right w:val="nil"/>
            </w:tcBorders>
          </w:tcPr>
          <w:p w14:paraId="75478A8F" w14:textId="77777777" w:rsidR="00B54D51" w:rsidRPr="00037AD4" w:rsidRDefault="00B54D51" w:rsidP="00401C67">
            <w:pPr>
              <w:widowControl w:val="0"/>
              <w:autoSpaceDE w:val="0"/>
              <w:autoSpaceDN w:val="0"/>
              <w:adjustRightInd w:val="0"/>
              <w:jc w:val="center"/>
            </w:pPr>
            <w:r w:rsidRPr="00037AD4">
              <w:t>1.895***</w:t>
            </w:r>
          </w:p>
        </w:tc>
        <w:tc>
          <w:tcPr>
            <w:tcW w:w="673" w:type="pct"/>
            <w:tcBorders>
              <w:top w:val="nil"/>
              <w:left w:val="nil"/>
              <w:bottom w:val="nil"/>
              <w:right w:val="nil"/>
            </w:tcBorders>
          </w:tcPr>
          <w:p w14:paraId="549B76AD" w14:textId="77777777" w:rsidR="00B54D51" w:rsidRPr="00037AD4" w:rsidRDefault="00B54D51" w:rsidP="00401C67">
            <w:pPr>
              <w:widowControl w:val="0"/>
              <w:autoSpaceDE w:val="0"/>
              <w:autoSpaceDN w:val="0"/>
              <w:adjustRightInd w:val="0"/>
              <w:jc w:val="center"/>
            </w:pPr>
            <w:r w:rsidRPr="00037AD4">
              <w:t>1.107*</w:t>
            </w:r>
          </w:p>
        </w:tc>
        <w:tc>
          <w:tcPr>
            <w:tcW w:w="658" w:type="pct"/>
            <w:tcBorders>
              <w:top w:val="nil"/>
              <w:left w:val="nil"/>
              <w:bottom w:val="nil"/>
              <w:right w:val="nil"/>
            </w:tcBorders>
          </w:tcPr>
          <w:p w14:paraId="6B24A5E2" w14:textId="77777777" w:rsidR="00B54D51" w:rsidRPr="00037AD4" w:rsidRDefault="00B54D51" w:rsidP="00401C67">
            <w:pPr>
              <w:widowControl w:val="0"/>
              <w:autoSpaceDE w:val="0"/>
              <w:autoSpaceDN w:val="0"/>
              <w:adjustRightInd w:val="0"/>
              <w:jc w:val="center"/>
            </w:pPr>
            <w:r w:rsidRPr="00037AD4">
              <w:t>1.994***</w:t>
            </w:r>
          </w:p>
        </w:tc>
      </w:tr>
      <w:tr w:rsidR="00B54D51" w:rsidRPr="00037AD4" w14:paraId="574F0017" w14:textId="77777777" w:rsidTr="00401C67">
        <w:trPr>
          <w:jc w:val="center"/>
        </w:trPr>
        <w:tc>
          <w:tcPr>
            <w:tcW w:w="977" w:type="pct"/>
            <w:tcBorders>
              <w:top w:val="nil"/>
              <w:left w:val="nil"/>
              <w:bottom w:val="nil"/>
              <w:right w:val="nil"/>
            </w:tcBorders>
          </w:tcPr>
          <w:p w14:paraId="36E66976" w14:textId="77777777" w:rsidR="00B54D51" w:rsidRPr="00037AD4" w:rsidRDefault="00B54D51" w:rsidP="00401C67">
            <w:pPr>
              <w:widowControl w:val="0"/>
              <w:autoSpaceDE w:val="0"/>
              <w:autoSpaceDN w:val="0"/>
              <w:adjustRightInd w:val="0"/>
            </w:pPr>
          </w:p>
        </w:tc>
        <w:tc>
          <w:tcPr>
            <w:tcW w:w="673" w:type="pct"/>
            <w:tcBorders>
              <w:top w:val="nil"/>
              <w:left w:val="nil"/>
              <w:bottom w:val="nil"/>
              <w:right w:val="nil"/>
            </w:tcBorders>
          </w:tcPr>
          <w:p w14:paraId="4068B619" w14:textId="77777777" w:rsidR="00B54D51" w:rsidRPr="00037AD4" w:rsidRDefault="00B54D51" w:rsidP="00401C67">
            <w:pPr>
              <w:widowControl w:val="0"/>
              <w:autoSpaceDE w:val="0"/>
              <w:autoSpaceDN w:val="0"/>
              <w:adjustRightInd w:val="0"/>
              <w:jc w:val="center"/>
            </w:pPr>
            <w:r w:rsidRPr="00037AD4">
              <w:t>(-0.380 - 2.453)</w:t>
            </w:r>
          </w:p>
        </w:tc>
        <w:tc>
          <w:tcPr>
            <w:tcW w:w="673" w:type="pct"/>
            <w:tcBorders>
              <w:top w:val="nil"/>
              <w:left w:val="nil"/>
              <w:bottom w:val="nil"/>
              <w:right w:val="nil"/>
            </w:tcBorders>
          </w:tcPr>
          <w:p w14:paraId="0C1EBBF2" w14:textId="77777777" w:rsidR="00B54D51" w:rsidRPr="00037AD4" w:rsidRDefault="00B54D51" w:rsidP="00401C67">
            <w:pPr>
              <w:widowControl w:val="0"/>
              <w:autoSpaceDE w:val="0"/>
              <w:autoSpaceDN w:val="0"/>
              <w:adjustRightInd w:val="0"/>
              <w:jc w:val="center"/>
            </w:pPr>
            <w:r w:rsidRPr="00037AD4">
              <w:t>(0.098 - 2.565)</w:t>
            </w:r>
          </w:p>
        </w:tc>
        <w:tc>
          <w:tcPr>
            <w:tcW w:w="673" w:type="pct"/>
            <w:tcBorders>
              <w:top w:val="nil"/>
              <w:left w:val="nil"/>
              <w:bottom w:val="nil"/>
              <w:right w:val="nil"/>
            </w:tcBorders>
          </w:tcPr>
          <w:p w14:paraId="121CE4BF" w14:textId="77777777" w:rsidR="00B54D51" w:rsidRPr="00037AD4" w:rsidRDefault="00B54D51" w:rsidP="00401C67">
            <w:pPr>
              <w:widowControl w:val="0"/>
              <w:autoSpaceDE w:val="0"/>
              <w:autoSpaceDN w:val="0"/>
              <w:adjustRightInd w:val="0"/>
              <w:jc w:val="center"/>
            </w:pPr>
            <w:r w:rsidRPr="00037AD4">
              <w:t>(-0.101 - 2.379)</w:t>
            </w:r>
          </w:p>
        </w:tc>
        <w:tc>
          <w:tcPr>
            <w:tcW w:w="673" w:type="pct"/>
            <w:tcBorders>
              <w:top w:val="nil"/>
              <w:left w:val="nil"/>
              <w:bottom w:val="nil"/>
              <w:right w:val="nil"/>
            </w:tcBorders>
          </w:tcPr>
          <w:p w14:paraId="79801ED8" w14:textId="77777777" w:rsidR="00B54D51" w:rsidRPr="00037AD4" w:rsidRDefault="00B54D51" w:rsidP="00401C67">
            <w:pPr>
              <w:widowControl w:val="0"/>
              <w:autoSpaceDE w:val="0"/>
              <w:autoSpaceDN w:val="0"/>
              <w:adjustRightInd w:val="0"/>
              <w:jc w:val="center"/>
            </w:pPr>
            <w:r w:rsidRPr="00037AD4">
              <w:t>(1.634 - 2.157)</w:t>
            </w:r>
          </w:p>
        </w:tc>
        <w:tc>
          <w:tcPr>
            <w:tcW w:w="673" w:type="pct"/>
            <w:tcBorders>
              <w:top w:val="nil"/>
              <w:left w:val="nil"/>
              <w:bottom w:val="nil"/>
              <w:right w:val="nil"/>
            </w:tcBorders>
          </w:tcPr>
          <w:p w14:paraId="432C2BCC" w14:textId="77777777" w:rsidR="00B54D51" w:rsidRPr="00037AD4" w:rsidRDefault="00B54D51" w:rsidP="00401C67">
            <w:pPr>
              <w:widowControl w:val="0"/>
              <w:autoSpaceDE w:val="0"/>
              <w:autoSpaceDN w:val="0"/>
              <w:adjustRightInd w:val="0"/>
              <w:jc w:val="center"/>
            </w:pPr>
            <w:r w:rsidRPr="00037AD4">
              <w:t>(-0.142 - 2.357)</w:t>
            </w:r>
          </w:p>
        </w:tc>
        <w:tc>
          <w:tcPr>
            <w:tcW w:w="658" w:type="pct"/>
            <w:tcBorders>
              <w:top w:val="nil"/>
              <w:left w:val="nil"/>
              <w:bottom w:val="nil"/>
              <w:right w:val="nil"/>
            </w:tcBorders>
          </w:tcPr>
          <w:p w14:paraId="1098F72C" w14:textId="77777777" w:rsidR="00B54D51" w:rsidRPr="00037AD4" w:rsidRDefault="00B54D51" w:rsidP="00401C67">
            <w:pPr>
              <w:widowControl w:val="0"/>
              <w:autoSpaceDE w:val="0"/>
              <w:autoSpaceDN w:val="0"/>
              <w:adjustRightInd w:val="0"/>
              <w:jc w:val="center"/>
            </w:pPr>
            <w:r w:rsidRPr="00037AD4">
              <w:t>(1.804 - 2.184)</w:t>
            </w:r>
          </w:p>
        </w:tc>
      </w:tr>
      <w:tr w:rsidR="00B54D51" w:rsidRPr="00037AD4" w14:paraId="765F17E4" w14:textId="77777777" w:rsidTr="00401C67">
        <w:trPr>
          <w:jc w:val="center"/>
        </w:trPr>
        <w:tc>
          <w:tcPr>
            <w:tcW w:w="977" w:type="pct"/>
            <w:tcBorders>
              <w:top w:val="nil"/>
              <w:left w:val="nil"/>
              <w:bottom w:val="nil"/>
              <w:right w:val="nil"/>
            </w:tcBorders>
          </w:tcPr>
          <w:p w14:paraId="0CC35989" w14:textId="77777777" w:rsidR="00B54D51" w:rsidRPr="00037AD4" w:rsidRDefault="00B54D51" w:rsidP="00401C67">
            <w:pPr>
              <w:widowControl w:val="0"/>
              <w:autoSpaceDE w:val="0"/>
              <w:autoSpaceDN w:val="0"/>
              <w:adjustRightInd w:val="0"/>
            </w:pPr>
            <w:r w:rsidRPr="00037AD4">
              <w:t>/cut4</w:t>
            </w:r>
          </w:p>
        </w:tc>
        <w:tc>
          <w:tcPr>
            <w:tcW w:w="673" w:type="pct"/>
            <w:tcBorders>
              <w:top w:val="nil"/>
              <w:left w:val="nil"/>
              <w:bottom w:val="nil"/>
              <w:right w:val="nil"/>
            </w:tcBorders>
          </w:tcPr>
          <w:p w14:paraId="3D4E94D1" w14:textId="77777777" w:rsidR="00B54D51" w:rsidRPr="00037AD4" w:rsidRDefault="00B54D51" w:rsidP="00401C67">
            <w:pPr>
              <w:widowControl w:val="0"/>
              <w:autoSpaceDE w:val="0"/>
              <w:autoSpaceDN w:val="0"/>
              <w:adjustRightInd w:val="0"/>
              <w:jc w:val="center"/>
            </w:pPr>
            <w:r w:rsidRPr="00037AD4">
              <w:t>2.010***</w:t>
            </w:r>
          </w:p>
        </w:tc>
        <w:tc>
          <w:tcPr>
            <w:tcW w:w="673" w:type="pct"/>
            <w:tcBorders>
              <w:top w:val="nil"/>
              <w:left w:val="nil"/>
              <w:bottom w:val="nil"/>
              <w:right w:val="nil"/>
            </w:tcBorders>
          </w:tcPr>
          <w:p w14:paraId="0AAFEAAC" w14:textId="77777777" w:rsidR="00B54D51" w:rsidRPr="00037AD4" w:rsidRDefault="00B54D51" w:rsidP="00401C67">
            <w:pPr>
              <w:widowControl w:val="0"/>
              <w:autoSpaceDE w:val="0"/>
              <w:autoSpaceDN w:val="0"/>
              <w:adjustRightInd w:val="0"/>
              <w:jc w:val="center"/>
            </w:pPr>
            <w:r w:rsidRPr="00037AD4">
              <w:t>2.297***</w:t>
            </w:r>
          </w:p>
        </w:tc>
        <w:tc>
          <w:tcPr>
            <w:tcW w:w="673" w:type="pct"/>
            <w:tcBorders>
              <w:top w:val="nil"/>
              <w:left w:val="nil"/>
              <w:bottom w:val="nil"/>
              <w:right w:val="nil"/>
            </w:tcBorders>
          </w:tcPr>
          <w:p w14:paraId="19CA8CAC" w14:textId="77777777" w:rsidR="00B54D51" w:rsidRPr="00037AD4" w:rsidRDefault="00B54D51" w:rsidP="00401C67">
            <w:pPr>
              <w:widowControl w:val="0"/>
              <w:autoSpaceDE w:val="0"/>
              <w:autoSpaceDN w:val="0"/>
              <w:adjustRightInd w:val="0"/>
              <w:jc w:val="center"/>
            </w:pPr>
            <w:r w:rsidRPr="00037AD4">
              <w:t>2.078***</w:t>
            </w:r>
          </w:p>
        </w:tc>
        <w:tc>
          <w:tcPr>
            <w:tcW w:w="673" w:type="pct"/>
            <w:tcBorders>
              <w:top w:val="nil"/>
              <w:left w:val="nil"/>
              <w:bottom w:val="nil"/>
              <w:right w:val="nil"/>
            </w:tcBorders>
          </w:tcPr>
          <w:p w14:paraId="0A836134" w14:textId="77777777" w:rsidR="00B54D51" w:rsidRPr="00037AD4" w:rsidRDefault="00B54D51" w:rsidP="00401C67">
            <w:pPr>
              <w:widowControl w:val="0"/>
              <w:autoSpaceDE w:val="0"/>
              <w:autoSpaceDN w:val="0"/>
              <w:adjustRightInd w:val="0"/>
              <w:jc w:val="center"/>
            </w:pPr>
            <w:r w:rsidRPr="00037AD4">
              <w:t>2.824***</w:t>
            </w:r>
          </w:p>
        </w:tc>
        <w:tc>
          <w:tcPr>
            <w:tcW w:w="673" w:type="pct"/>
            <w:tcBorders>
              <w:top w:val="nil"/>
              <w:left w:val="nil"/>
              <w:bottom w:val="nil"/>
              <w:right w:val="nil"/>
            </w:tcBorders>
          </w:tcPr>
          <w:p w14:paraId="6D34BCA3" w14:textId="77777777" w:rsidR="00B54D51" w:rsidRPr="00037AD4" w:rsidRDefault="00B54D51" w:rsidP="00401C67">
            <w:pPr>
              <w:widowControl w:val="0"/>
              <w:autoSpaceDE w:val="0"/>
              <w:autoSpaceDN w:val="0"/>
              <w:adjustRightInd w:val="0"/>
              <w:jc w:val="center"/>
            </w:pPr>
            <w:r w:rsidRPr="00037AD4">
              <w:t>2.045***</w:t>
            </w:r>
          </w:p>
        </w:tc>
        <w:tc>
          <w:tcPr>
            <w:tcW w:w="658" w:type="pct"/>
            <w:tcBorders>
              <w:top w:val="nil"/>
              <w:left w:val="nil"/>
              <w:bottom w:val="nil"/>
              <w:right w:val="nil"/>
            </w:tcBorders>
          </w:tcPr>
          <w:p w14:paraId="1B35B4A0" w14:textId="77777777" w:rsidR="00B54D51" w:rsidRPr="00037AD4" w:rsidRDefault="00B54D51" w:rsidP="00401C67">
            <w:pPr>
              <w:widowControl w:val="0"/>
              <w:autoSpaceDE w:val="0"/>
              <w:autoSpaceDN w:val="0"/>
              <w:adjustRightInd w:val="0"/>
              <w:jc w:val="center"/>
            </w:pPr>
            <w:r w:rsidRPr="00037AD4">
              <w:t>2.918***</w:t>
            </w:r>
          </w:p>
        </w:tc>
      </w:tr>
      <w:tr w:rsidR="00B54D51" w:rsidRPr="00037AD4" w14:paraId="4FDDAD9A" w14:textId="77777777" w:rsidTr="00401C67">
        <w:trPr>
          <w:jc w:val="center"/>
        </w:trPr>
        <w:tc>
          <w:tcPr>
            <w:tcW w:w="977" w:type="pct"/>
            <w:tcBorders>
              <w:top w:val="nil"/>
              <w:left w:val="nil"/>
              <w:bottom w:val="nil"/>
              <w:right w:val="nil"/>
            </w:tcBorders>
          </w:tcPr>
          <w:p w14:paraId="392487C1" w14:textId="77777777" w:rsidR="00B54D51" w:rsidRPr="00037AD4" w:rsidRDefault="00B54D51" w:rsidP="00401C67">
            <w:pPr>
              <w:widowControl w:val="0"/>
              <w:autoSpaceDE w:val="0"/>
              <w:autoSpaceDN w:val="0"/>
              <w:adjustRightInd w:val="0"/>
            </w:pPr>
          </w:p>
        </w:tc>
        <w:tc>
          <w:tcPr>
            <w:tcW w:w="673" w:type="pct"/>
            <w:tcBorders>
              <w:top w:val="nil"/>
              <w:left w:val="nil"/>
              <w:bottom w:val="nil"/>
              <w:right w:val="nil"/>
            </w:tcBorders>
          </w:tcPr>
          <w:p w14:paraId="4978CFC1" w14:textId="77777777" w:rsidR="00B54D51" w:rsidRPr="00037AD4" w:rsidRDefault="00B54D51" w:rsidP="00401C67">
            <w:pPr>
              <w:widowControl w:val="0"/>
              <w:autoSpaceDE w:val="0"/>
              <w:autoSpaceDN w:val="0"/>
              <w:adjustRightInd w:val="0"/>
              <w:jc w:val="center"/>
            </w:pPr>
            <w:r w:rsidRPr="00037AD4">
              <w:t>(0.565 - 3.454)</w:t>
            </w:r>
          </w:p>
        </w:tc>
        <w:tc>
          <w:tcPr>
            <w:tcW w:w="673" w:type="pct"/>
            <w:tcBorders>
              <w:top w:val="nil"/>
              <w:left w:val="nil"/>
              <w:bottom w:val="nil"/>
              <w:right w:val="nil"/>
            </w:tcBorders>
          </w:tcPr>
          <w:p w14:paraId="3AC6F462" w14:textId="77777777" w:rsidR="00B54D51" w:rsidRPr="00037AD4" w:rsidRDefault="00B54D51" w:rsidP="00401C67">
            <w:pPr>
              <w:widowControl w:val="0"/>
              <w:autoSpaceDE w:val="0"/>
              <w:autoSpaceDN w:val="0"/>
              <w:adjustRightInd w:val="0"/>
              <w:jc w:val="center"/>
            </w:pPr>
            <w:r w:rsidRPr="00037AD4">
              <w:t>(0.991 - 3.603)</w:t>
            </w:r>
          </w:p>
        </w:tc>
        <w:tc>
          <w:tcPr>
            <w:tcW w:w="673" w:type="pct"/>
            <w:tcBorders>
              <w:top w:val="nil"/>
              <w:left w:val="nil"/>
              <w:bottom w:val="nil"/>
              <w:right w:val="nil"/>
            </w:tcBorders>
          </w:tcPr>
          <w:p w14:paraId="7D9A2233" w14:textId="77777777" w:rsidR="00B54D51" w:rsidRPr="00037AD4" w:rsidRDefault="00B54D51" w:rsidP="00401C67">
            <w:pPr>
              <w:widowControl w:val="0"/>
              <w:autoSpaceDE w:val="0"/>
              <w:autoSpaceDN w:val="0"/>
              <w:adjustRightInd w:val="0"/>
              <w:jc w:val="center"/>
            </w:pPr>
            <w:r w:rsidRPr="00037AD4">
              <w:t>(0.746 - 3.410)</w:t>
            </w:r>
          </w:p>
        </w:tc>
        <w:tc>
          <w:tcPr>
            <w:tcW w:w="673" w:type="pct"/>
            <w:tcBorders>
              <w:top w:val="nil"/>
              <w:left w:val="nil"/>
              <w:bottom w:val="nil"/>
              <w:right w:val="nil"/>
            </w:tcBorders>
          </w:tcPr>
          <w:p w14:paraId="1D1EED20" w14:textId="77777777" w:rsidR="00B54D51" w:rsidRPr="00037AD4" w:rsidRDefault="00B54D51" w:rsidP="00401C67">
            <w:pPr>
              <w:widowControl w:val="0"/>
              <w:autoSpaceDE w:val="0"/>
              <w:autoSpaceDN w:val="0"/>
              <w:adjustRightInd w:val="0"/>
              <w:jc w:val="center"/>
            </w:pPr>
            <w:r w:rsidRPr="00037AD4">
              <w:t>(2.386 - 3.262)</w:t>
            </w:r>
          </w:p>
        </w:tc>
        <w:tc>
          <w:tcPr>
            <w:tcW w:w="673" w:type="pct"/>
            <w:tcBorders>
              <w:top w:val="nil"/>
              <w:left w:val="nil"/>
              <w:bottom w:val="nil"/>
              <w:right w:val="nil"/>
            </w:tcBorders>
          </w:tcPr>
          <w:p w14:paraId="467B9BFF" w14:textId="77777777" w:rsidR="00B54D51" w:rsidRPr="00037AD4" w:rsidRDefault="00B54D51" w:rsidP="00401C67">
            <w:pPr>
              <w:widowControl w:val="0"/>
              <w:autoSpaceDE w:val="0"/>
              <w:autoSpaceDN w:val="0"/>
              <w:adjustRightInd w:val="0"/>
              <w:jc w:val="center"/>
            </w:pPr>
            <w:r w:rsidRPr="00037AD4">
              <w:t>(0.704 - 3.386)</w:t>
            </w:r>
          </w:p>
        </w:tc>
        <w:tc>
          <w:tcPr>
            <w:tcW w:w="658" w:type="pct"/>
            <w:tcBorders>
              <w:top w:val="nil"/>
              <w:left w:val="nil"/>
              <w:bottom w:val="nil"/>
              <w:right w:val="nil"/>
            </w:tcBorders>
          </w:tcPr>
          <w:p w14:paraId="0F1C6865" w14:textId="77777777" w:rsidR="00B54D51" w:rsidRPr="00037AD4" w:rsidRDefault="00B54D51" w:rsidP="00401C67">
            <w:pPr>
              <w:widowControl w:val="0"/>
              <w:autoSpaceDE w:val="0"/>
              <w:autoSpaceDN w:val="0"/>
              <w:adjustRightInd w:val="0"/>
              <w:jc w:val="center"/>
            </w:pPr>
            <w:r w:rsidRPr="00037AD4">
              <w:t>(2.515 - 3.321)</w:t>
            </w:r>
          </w:p>
        </w:tc>
      </w:tr>
      <w:tr w:rsidR="00B54D51" w:rsidRPr="00037AD4" w14:paraId="72936FD1" w14:textId="77777777" w:rsidTr="00401C67">
        <w:trPr>
          <w:jc w:val="center"/>
        </w:trPr>
        <w:tc>
          <w:tcPr>
            <w:tcW w:w="977" w:type="pct"/>
            <w:tcBorders>
              <w:top w:val="nil"/>
              <w:left w:val="nil"/>
              <w:bottom w:val="nil"/>
              <w:right w:val="nil"/>
            </w:tcBorders>
          </w:tcPr>
          <w:p w14:paraId="0659CEA8" w14:textId="77777777" w:rsidR="00B54D51" w:rsidRPr="00037AD4" w:rsidRDefault="00B54D51" w:rsidP="00401C67">
            <w:pPr>
              <w:widowControl w:val="0"/>
              <w:autoSpaceDE w:val="0"/>
              <w:autoSpaceDN w:val="0"/>
              <w:adjustRightInd w:val="0"/>
            </w:pPr>
            <w:r w:rsidRPr="00037AD4">
              <w:t>2.merg_eq4staff</w:t>
            </w:r>
          </w:p>
        </w:tc>
        <w:tc>
          <w:tcPr>
            <w:tcW w:w="673" w:type="pct"/>
            <w:tcBorders>
              <w:top w:val="nil"/>
              <w:left w:val="nil"/>
              <w:bottom w:val="nil"/>
              <w:right w:val="nil"/>
            </w:tcBorders>
          </w:tcPr>
          <w:p w14:paraId="3E59B11D"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11EC7437" w14:textId="77777777" w:rsidR="00B54D51" w:rsidRPr="00037AD4" w:rsidRDefault="00B54D51" w:rsidP="00401C67">
            <w:pPr>
              <w:widowControl w:val="0"/>
              <w:autoSpaceDE w:val="0"/>
              <w:autoSpaceDN w:val="0"/>
              <w:adjustRightInd w:val="0"/>
              <w:jc w:val="center"/>
            </w:pPr>
            <w:r w:rsidRPr="00037AD4">
              <w:t>0.279**</w:t>
            </w:r>
          </w:p>
        </w:tc>
        <w:tc>
          <w:tcPr>
            <w:tcW w:w="673" w:type="pct"/>
            <w:tcBorders>
              <w:top w:val="nil"/>
              <w:left w:val="nil"/>
              <w:bottom w:val="nil"/>
              <w:right w:val="nil"/>
            </w:tcBorders>
          </w:tcPr>
          <w:p w14:paraId="37330AD1" w14:textId="77777777" w:rsidR="00B54D51" w:rsidRPr="00037AD4" w:rsidRDefault="00B54D51" w:rsidP="00401C67">
            <w:pPr>
              <w:widowControl w:val="0"/>
              <w:autoSpaceDE w:val="0"/>
              <w:autoSpaceDN w:val="0"/>
              <w:adjustRightInd w:val="0"/>
              <w:jc w:val="center"/>
            </w:pPr>
            <w:r w:rsidRPr="00037AD4">
              <w:t>0.320**</w:t>
            </w:r>
          </w:p>
        </w:tc>
        <w:tc>
          <w:tcPr>
            <w:tcW w:w="673" w:type="pct"/>
            <w:tcBorders>
              <w:top w:val="nil"/>
              <w:left w:val="nil"/>
              <w:bottom w:val="nil"/>
              <w:right w:val="nil"/>
            </w:tcBorders>
          </w:tcPr>
          <w:p w14:paraId="3C32CD8A" w14:textId="77777777" w:rsidR="00B54D51" w:rsidRPr="00037AD4" w:rsidRDefault="00B54D51" w:rsidP="00401C67">
            <w:pPr>
              <w:widowControl w:val="0"/>
              <w:autoSpaceDE w:val="0"/>
              <w:autoSpaceDN w:val="0"/>
              <w:adjustRightInd w:val="0"/>
              <w:jc w:val="center"/>
            </w:pPr>
            <w:r w:rsidRPr="00037AD4">
              <w:t>0.317**</w:t>
            </w:r>
          </w:p>
        </w:tc>
        <w:tc>
          <w:tcPr>
            <w:tcW w:w="673" w:type="pct"/>
            <w:tcBorders>
              <w:top w:val="nil"/>
              <w:left w:val="nil"/>
              <w:bottom w:val="nil"/>
              <w:right w:val="nil"/>
            </w:tcBorders>
          </w:tcPr>
          <w:p w14:paraId="04040A44" w14:textId="77777777" w:rsidR="00B54D51" w:rsidRPr="00037AD4" w:rsidRDefault="00B54D51" w:rsidP="00401C67">
            <w:pPr>
              <w:widowControl w:val="0"/>
              <w:autoSpaceDE w:val="0"/>
              <w:autoSpaceDN w:val="0"/>
              <w:adjustRightInd w:val="0"/>
              <w:jc w:val="center"/>
            </w:pPr>
            <w:r w:rsidRPr="00037AD4">
              <w:t>0.319**</w:t>
            </w:r>
          </w:p>
        </w:tc>
        <w:tc>
          <w:tcPr>
            <w:tcW w:w="658" w:type="pct"/>
            <w:tcBorders>
              <w:top w:val="nil"/>
              <w:left w:val="nil"/>
              <w:bottom w:val="nil"/>
              <w:right w:val="nil"/>
            </w:tcBorders>
          </w:tcPr>
          <w:p w14:paraId="2A0A9218" w14:textId="77777777" w:rsidR="00B54D51" w:rsidRPr="00037AD4" w:rsidRDefault="00B54D51" w:rsidP="00401C67">
            <w:pPr>
              <w:widowControl w:val="0"/>
              <w:autoSpaceDE w:val="0"/>
              <w:autoSpaceDN w:val="0"/>
              <w:adjustRightInd w:val="0"/>
              <w:jc w:val="center"/>
            </w:pPr>
            <w:r w:rsidRPr="00037AD4">
              <w:t>0.315**</w:t>
            </w:r>
          </w:p>
        </w:tc>
      </w:tr>
      <w:tr w:rsidR="00B54D51" w:rsidRPr="00037AD4" w14:paraId="623778EE" w14:textId="77777777" w:rsidTr="00401C67">
        <w:trPr>
          <w:jc w:val="center"/>
        </w:trPr>
        <w:tc>
          <w:tcPr>
            <w:tcW w:w="977" w:type="pct"/>
            <w:tcBorders>
              <w:top w:val="nil"/>
              <w:left w:val="nil"/>
              <w:bottom w:val="nil"/>
              <w:right w:val="nil"/>
            </w:tcBorders>
          </w:tcPr>
          <w:p w14:paraId="1D35A19C" w14:textId="77777777" w:rsidR="00B54D51" w:rsidRPr="00037AD4" w:rsidRDefault="00B54D51" w:rsidP="00401C67">
            <w:pPr>
              <w:widowControl w:val="0"/>
              <w:autoSpaceDE w:val="0"/>
              <w:autoSpaceDN w:val="0"/>
              <w:adjustRightInd w:val="0"/>
            </w:pPr>
          </w:p>
        </w:tc>
        <w:tc>
          <w:tcPr>
            <w:tcW w:w="673" w:type="pct"/>
            <w:tcBorders>
              <w:top w:val="nil"/>
              <w:left w:val="nil"/>
              <w:bottom w:val="nil"/>
              <w:right w:val="nil"/>
            </w:tcBorders>
          </w:tcPr>
          <w:p w14:paraId="2D859ABD"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798E1FEB" w14:textId="77777777" w:rsidR="00B54D51" w:rsidRPr="00037AD4" w:rsidRDefault="00B54D51" w:rsidP="00401C67">
            <w:pPr>
              <w:widowControl w:val="0"/>
              <w:autoSpaceDE w:val="0"/>
              <w:autoSpaceDN w:val="0"/>
              <w:adjustRightInd w:val="0"/>
              <w:jc w:val="center"/>
            </w:pPr>
            <w:r w:rsidRPr="00037AD4">
              <w:t xml:space="preserve">(0.008 - </w:t>
            </w:r>
            <w:r w:rsidRPr="00037AD4">
              <w:lastRenderedPageBreak/>
              <w:t>0.550)</w:t>
            </w:r>
          </w:p>
        </w:tc>
        <w:tc>
          <w:tcPr>
            <w:tcW w:w="673" w:type="pct"/>
            <w:tcBorders>
              <w:top w:val="nil"/>
              <w:left w:val="nil"/>
              <w:bottom w:val="nil"/>
              <w:right w:val="nil"/>
            </w:tcBorders>
          </w:tcPr>
          <w:p w14:paraId="5C6B83B7" w14:textId="77777777" w:rsidR="00B54D51" w:rsidRPr="00037AD4" w:rsidRDefault="00B54D51" w:rsidP="00401C67">
            <w:pPr>
              <w:widowControl w:val="0"/>
              <w:autoSpaceDE w:val="0"/>
              <w:autoSpaceDN w:val="0"/>
              <w:adjustRightInd w:val="0"/>
              <w:jc w:val="center"/>
            </w:pPr>
            <w:r w:rsidRPr="00037AD4">
              <w:lastRenderedPageBreak/>
              <w:t xml:space="preserve">(0.059 - </w:t>
            </w:r>
            <w:r w:rsidRPr="00037AD4">
              <w:lastRenderedPageBreak/>
              <w:t>0.580)</w:t>
            </w:r>
          </w:p>
        </w:tc>
        <w:tc>
          <w:tcPr>
            <w:tcW w:w="673" w:type="pct"/>
            <w:tcBorders>
              <w:top w:val="nil"/>
              <w:left w:val="nil"/>
              <w:bottom w:val="nil"/>
              <w:right w:val="nil"/>
            </w:tcBorders>
          </w:tcPr>
          <w:p w14:paraId="23A8DB60" w14:textId="77777777" w:rsidR="00B54D51" w:rsidRPr="00037AD4" w:rsidRDefault="00B54D51" w:rsidP="00401C67">
            <w:pPr>
              <w:widowControl w:val="0"/>
              <w:autoSpaceDE w:val="0"/>
              <w:autoSpaceDN w:val="0"/>
              <w:adjustRightInd w:val="0"/>
              <w:jc w:val="center"/>
            </w:pPr>
            <w:r w:rsidRPr="00037AD4">
              <w:lastRenderedPageBreak/>
              <w:t xml:space="preserve">(0.057 - </w:t>
            </w:r>
            <w:r w:rsidRPr="00037AD4">
              <w:lastRenderedPageBreak/>
              <w:t>0.577)</w:t>
            </w:r>
          </w:p>
        </w:tc>
        <w:tc>
          <w:tcPr>
            <w:tcW w:w="673" w:type="pct"/>
            <w:tcBorders>
              <w:top w:val="nil"/>
              <w:left w:val="nil"/>
              <w:bottom w:val="nil"/>
              <w:right w:val="nil"/>
            </w:tcBorders>
          </w:tcPr>
          <w:p w14:paraId="1FF4A7D3" w14:textId="77777777" w:rsidR="00B54D51" w:rsidRPr="00037AD4" w:rsidRDefault="00B54D51" w:rsidP="00401C67">
            <w:pPr>
              <w:widowControl w:val="0"/>
              <w:autoSpaceDE w:val="0"/>
              <w:autoSpaceDN w:val="0"/>
              <w:adjustRightInd w:val="0"/>
              <w:jc w:val="center"/>
            </w:pPr>
            <w:r w:rsidRPr="00037AD4">
              <w:lastRenderedPageBreak/>
              <w:t xml:space="preserve">(0.058 - </w:t>
            </w:r>
            <w:r w:rsidRPr="00037AD4">
              <w:lastRenderedPageBreak/>
              <w:t>0.580)</w:t>
            </w:r>
          </w:p>
        </w:tc>
        <w:tc>
          <w:tcPr>
            <w:tcW w:w="658" w:type="pct"/>
            <w:tcBorders>
              <w:top w:val="nil"/>
              <w:left w:val="nil"/>
              <w:bottom w:val="nil"/>
              <w:right w:val="nil"/>
            </w:tcBorders>
          </w:tcPr>
          <w:p w14:paraId="07D71B1A" w14:textId="77777777" w:rsidR="00B54D51" w:rsidRPr="00037AD4" w:rsidRDefault="00B54D51" w:rsidP="00401C67">
            <w:pPr>
              <w:widowControl w:val="0"/>
              <w:autoSpaceDE w:val="0"/>
              <w:autoSpaceDN w:val="0"/>
              <w:adjustRightInd w:val="0"/>
              <w:jc w:val="center"/>
            </w:pPr>
            <w:r w:rsidRPr="00037AD4">
              <w:lastRenderedPageBreak/>
              <w:t xml:space="preserve">(0.054 - </w:t>
            </w:r>
            <w:r w:rsidRPr="00037AD4">
              <w:lastRenderedPageBreak/>
              <w:t>0.576)</w:t>
            </w:r>
          </w:p>
        </w:tc>
      </w:tr>
      <w:tr w:rsidR="00B54D51" w:rsidRPr="00037AD4" w14:paraId="41FE0407" w14:textId="77777777" w:rsidTr="00401C67">
        <w:trPr>
          <w:jc w:val="center"/>
        </w:trPr>
        <w:tc>
          <w:tcPr>
            <w:tcW w:w="977" w:type="pct"/>
            <w:tcBorders>
              <w:top w:val="nil"/>
              <w:left w:val="nil"/>
              <w:bottom w:val="nil"/>
              <w:right w:val="nil"/>
            </w:tcBorders>
          </w:tcPr>
          <w:p w14:paraId="05271D0E" w14:textId="77777777" w:rsidR="00B54D51" w:rsidRPr="00037AD4" w:rsidRDefault="00B54D51" w:rsidP="00401C67">
            <w:pPr>
              <w:widowControl w:val="0"/>
              <w:autoSpaceDE w:val="0"/>
              <w:autoSpaceDN w:val="0"/>
              <w:adjustRightInd w:val="0"/>
            </w:pPr>
            <w:r w:rsidRPr="00037AD4">
              <w:lastRenderedPageBreak/>
              <w:t>3.merg_eq4staff</w:t>
            </w:r>
          </w:p>
        </w:tc>
        <w:tc>
          <w:tcPr>
            <w:tcW w:w="673" w:type="pct"/>
            <w:tcBorders>
              <w:top w:val="nil"/>
              <w:left w:val="nil"/>
              <w:bottom w:val="nil"/>
              <w:right w:val="nil"/>
            </w:tcBorders>
          </w:tcPr>
          <w:p w14:paraId="4892465A"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2EA1C13D" w14:textId="77777777" w:rsidR="00B54D51" w:rsidRPr="00037AD4" w:rsidRDefault="00B54D51" w:rsidP="00401C67">
            <w:pPr>
              <w:widowControl w:val="0"/>
              <w:autoSpaceDE w:val="0"/>
              <w:autoSpaceDN w:val="0"/>
              <w:adjustRightInd w:val="0"/>
              <w:jc w:val="center"/>
            </w:pPr>
            <w:r w:rsidRPr="00037AD4">
              <w:t>0.681***</w:t>
            </w:r>
          </w:p>
        </w:tc>
        <w:tc>
          <w:tcPr>
            <w:tcW w:w="673" w:type="pct"/>
            <w:tcBorders>
              <w:top w:val="nil"/>
              <w:left w:val="nil"/>
              <w:bottom w:val="nil"/>
              <w:right w:val="nil"/>
            </w:tcBorders>
          </w:tcPr>
          <w:p w14:paraId="0E7F1323" w14:textId="77777777" w:rsidR="00B54D51" w:rsidRPr="00037AD4" w:rsidRDefault="00B54D51" w:rsidP="00401C67">
            <w:pPr>
              <w:widowControl w:val="0"/>
              <w:autoSpaceDE w:val="0"/>
              <w:autoSpaceDN w:val="0"/>
              <w:adjustRightInd w:val="0"/>
              <w:jc w:val="center"/>
            </w:pPr>
            <w:r w:rsidRPr="00037AD4">
              <w:t>0.795***</w:t>
            </w:r>
          </w:p>
        </w:tc>
        <w:tc>
          <w:tcPr>
            <w:tcW w:w="673" w:type="pct"/>
            <w:tcBorders>
              <w:top w:val="nil"/>
              <w:left w:val="nil"/>
              <w:bottom w:val="nil"/>
              <w:right w:val="nil"/>
            </w:tcBorders>
          </w:tcPr>
          <w:p w14:paraId="3C0DCE40" w14:textId="77777777" w:rsidR="00B54D51" w:rsidRPr="00037AD4" w:rsidRDefault="00B54D51" w:rsidP="00401C67">
            <w:pPr>
              <w:widowControl w:val="0"/>
              <w:autoSpaceDE w:val="0"/>
              <w:autoSpaceDN w:val="0"/>
              <w:adjustRightInd w:val="0"/>
              <w:jc w:val="center"/>
            </w:pPr>
            <w:r w:rsidRPr="00037AD4">
              <w:t>0.782***</w:t>
            </w:r>
          </w:p>
        </w:tc>
        <w:tc>
          <w:tcPr>
            <w:tcW w:w="673" w:type="pct"/>
            <w:tcBorders>
              <w:top w:val="nil"/>
              <w:left w:val="nil"/>
              <w:bottom w:val="nil"/>
              <w:right w:val="nil"/>
            </w:tcBorders>
          </w:tcPr>
          <w:p w14:paraId="78AE515A" w14:textId="77777777" w:rsidR="00B54D51" w:rsidRPr="00037AD4" w:rsidRDefault="00B54D51" w:rsidP="00401C67">
            <w:pPr>
              <w:widowControl w:val="0"/>
              <w:autoSpaceDE w:val="0"/>
              <w:autoSpaceDN w:val="0"/>
              <w:adjustRightInd w:val="0"/>
              <w:jc w:val="center"/>
            </w:pPr>
            <w:r w:rsidRPr="00037AD4">
              <w:t>0.790***</w:t>
            </w:r>
          </w:p>
        </w:tc>
        <w:tc>
          <w:tcPr>
            <w:tcW w:w="658" w:type="pct"/>
            <w:tcBorders>
              <w:top w:val="nil"/>
              <w:left w:val="nil"/>
              <w:bottom w:val="nil"/>
              <w:right w:val="nil"/>
            </w:tcBorders>
          </w:tcPr>
          <w:p w14:paraId="5273DD4F" w14:textId="77777777" w:rsidR="00B54D51" w:rsidRPr="00037AD4" w:rsidRDefault="00B54D51" w:rsidP="00401C67">
            <w:pPr>
              <w:widowControl w:val="0"/>
              <w:autoSpaceDE w:val="0"/>
              <w:autoSpaceDN w:val="0"/>
              <w:adjustRightInd w:val="0"/>
              <w:jc w:val="center"/>
            </w:pPr>
            <w:r w:rsidRPr="00037AD4">
              <w:t>0.759***</w:t>
            </w:r>
          </w:p>
        </w:tc>
      </w:tr>
      <w:tr w:rsidR="00B54D51" w:rsidRPr="00037AD4" w14:paraId="0665201E" w14:textId="77777777" w:rsidTr="00401C67">
        <w:trPr>
          <w:jc w:val="center"/>
        </w:trPr>
        <w:tc>
          <w:tcPr>
            <w:tcW w:w="977" w:type="pct"/>
            <w:tcBorders>
              <w:top w:val="nil"/>
              <w:left w:val="nil"/>
              <w:bottom w:val="nil"/>
              <w:right w:val="nil"/>
            </w:tcBorders>
          </w:tcPr>
          <w:p w14:paraId="48ED62B3" w14:textId="77777777" w:rsidR="00B54D51" w:rsidRPr="00037AD4" w:rsidRDefault="00B54D51" w:rsidP="00401C67">
            <w:pPr>
              <w:widowControl w:val="0"/>
              <w:autoSpaceDE w:val="0"/>
              <w:autoSpaceDN w:val="0"/>
              <w:adjustRightInd w:val="0"/>
            </w:pPr>
          </w:p>
        </w:tc>
        <w:tc>
          <w:tcPr>
            <w:tcW w:w="673" w:type="pct"/>
            <w:tcBorders>
              <w:top w:val="nil"/>
              <w:left w:val="nil"/>
              <w:bottom w:val="nil"/>
              <w:right w:val="nil"/>
            </w:tcBorders>
          </w:tcPr>
          <w:p w14:paraId="55F044EB"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7D90C7AE" w14:textId="77777777" w:rsidR="00B54D51" w:rsidRPr="00037AD4" w:rsidRDefault="00B54D51" w:rsidP="00401C67">
            <w:pPr>
              <w:widowControl w:val="0"/>
              <w:autoSpaceDE w:val="0"/>
              <w:autoSpaceDN w:val="0"/>
              <w:adjustRightInd w:val="0"/>
              <w:jc w:val="center"/>
            </w:pPr>
            <w:r w:rsidRPr="00037AD4">
              <w:t>(0.394 - 0.968)</w:t>
            </w:r>
          </w:p>
        </w:tc>
        <w:tc>
          <w:tcPr>
            <w:tcW w:w="673" w:type="pct"/>
            <w:tcBorders>
              <w:top w:val="nil"/>
              <w:left w:val="nil"/>
              <w:bottom w:val="nil"/>
              <w:right w:val="nil"/>
            </w:tcBorders>
          </w:tcPr>
          <w:p w14:paraId="36495606" w14:textId="77777777" w:rsidR="00B54D51" w:rsidRPr="00037AD4" w:rsidRDefault="00B54D51" w:rsidP="00401C67">
            <w:pPr>
              <w:widowControl w:val="0"/>
              <w:autoSpaceDE w:val="0"/>
              <w:autoSpaceDN w:val="0"/>
              <w:adjustRightInd w:val="0"/>
              <w:jc w:val="center"/>
            </w:pPr>
            <w:r w:rsidRPr="00037AD4">
              <w:t>(0.519 - 1.070)</w:t>
            </w:r>
          </w:p>
        </w:tc>
        <w:tc>
          <w:tcPr>
            <w:tcW w:w="673" w:type="pct"/>
            <w:tcBorders>
              <w:top w:val="nil"/>
              <w:left w:val="nil"/>
              <w:bottom w:val="nil"/>
              <w:right w:val="nil"/>
            </w:tcBorders>
          </w:tcPr>
          <w:p w14:paraId="3675E8BD" w14:textId="77777777" w:rsidR="00B54D51" w:rsidRPr="00037AD4" w:rsidRDefault="00B54D51" w:rsidP="00401C67">
            <w:pPr>
              <w:widowControl w:val="0"/>
              <w:autoSpaceDE w:val="0"/>
              <w:autoSpaceDN w:val="0"/>
              <w:adjustRightInd w:val="0"/>
              <w:jc w:val="center"/>
            </w:pPr>
            <w:r w:rsidRPr="00037AD4">
              <w:t>(0.506 - 1.057)</w:t>
            </w:r>
          </w:p>
        </w:tc>
        <w:tc>
          <w:tcPr>
            <w:tcW w:w="673" w:type="pct"/>
            <w:tcBorders>
              <w:top w:val="nil"/>
              <w:left w:val="nil"/>
              <w:bottom w:val="nil"/>
              <w:right w:val="nil"/>
            </w:tcBorders>
          </w:tcPr>
          <w:p w14:paraId="646E7C37" w14:textId="77777777" w:rsidR="00B54D51" w:rsidRPr="00037AD4" w:rsidRDefault="00B54D51" w:rsidP="00401C67">
            <w:pPr>
              <w:widowControl w:val="0"/>
              <w:autoSpaceDE w:val="0"/>
              <w:autoSpaceDN w:val="0"/>
              <w:adjustRightInd w:val="0"/>
              <w:jc w:val="center"/>
            </w:pPr>
            <w:r w:rsidRPr="00037AD4">
              <w:t>(0.516 - 1.065)</w:t>
            </w:r>
          </w:p>
        </w:tc>
        <w:tc>
          <w:tcPr>
            <w:tcW w:w="658" w:type="pct"/>
            <w:tcBorders>
              <w:top w:val="nil"/>
              <w:left w:val="nil"/>
              <w:bottom w:val="nil"/>
              <w:right w:val="nil"/>
            </w:tcBorders>
          </w:tcPr>
          <w:p w14:paraId="7DA036D9" w14:textId="77777777" w:rsidR="00B54D51" w:rsidRPr="00037AD4" w:rsidRDefault="00B54D51" w:rsidP="00401C67">
            <w:pPr>
              <w:widowControl w:val="0"/>
              <w:autoSpaceDE w:val="0"/>
              <w:autoSpaceDN w:val="0"/>
              <w:adjustRightInd w:val="0"/>
              <w:jc w:val="center"/>
            </w:pPr>
            <w:r w:rsidRPr="00037AD4">
              <w:t>(0.485 - 1.033)</w:t>
            </w:r>
          </w:p>
        </w:tc>
      </w:tr>
      <w:tr w:rsidR="00B54D51" w:rsidRPr="00037AD4" w14:paraId="68FBE8C8" w14:textId="77777777" w:rsidTr="00401C67">
        <w:trPr>
          <w:jc w:val="center"/>
        </w:trPr>
        <w:tc>
          <w:tcPr>
            <w:tcW w:w="977" w:type="pct"/>
            <w:tcBorders>
              <w:top w:val="nil"/>
              <w:left w:val="nil"/>
              <w:bottom w:val="nil"/>
              <w:right w:val="nil"/>
            </w:tcBorders>
          </w:tcPr>
          <w:p w14:paraId="708DC6FC" w14:textId="77777777" w:rsidR="00B54D51" w:rsidRPr="00037AD4" w:rsidRDefault="00B54D51" w:rsidP="00401C67">
            <w:pPr>
              <w:widowControl w:val="0"/>
              <w:autoSpaceDE w:val="0"/>
              <w:autoSpaceDN w:val="0"/>
              <w:adjustRightInd w:val="0"/>
            </w:pPr>
            <w:r w:rsidRPr="00037AD4">
              <w:t>4.merg_eq4staff</w:t>
            </w:r>
          </w:p>
        </w:tc>
        <w:tc>
          <w:tcPr>
            <w:tcW w:w="673" w:type="pct"/>
            <w:tcBorders>
              <w:top w:val="nil"/>
              <w:left w:val="nil"/>
              <w:bottom w:val="nil"/>
              <w:right w:val="nil"/>
            </w:tcBorders>
          </w:tcPr>
          <w:p w14:paraId="0A179235"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4550BB05" w14:textId="77777777" w:rsidR="00B54D51" w:rsidRPr="00037AD4" w:rsidRDefault="00B54D51" w:rsidP="00401C67">
            <w:pPr>
              <w:widowControl w:val="0"/>
              <w:autoSpaceDE w:val="0"/>
              <w:autoSpaceDN w:val="0"/>
              <w:adjustRightInd w:val="0"/>
              <w:jc w:val="center"/>
            </w:pPr>
            <w:r w:rsidRPr="00037AD4">
              <w:t>0.973***</w:t>
            </w:r>
          </w:p>
        </w:tc>
        <w:tc>
          <w:tcPr>
            <w:tcW w:w="673" w:type="pct"/>
            <w:tcBorders>
              <w:top w:val="nil"/>
              <w:left w:val="nil"/>
              <w:bottom w:val="nil"/>
              <w:right w:val="nil"/>
            </w:tcBorders>
          </w:tcPr>
          <w:p w14:paraId="45237865" w14:textId="77777777" w:rsidR="00B54D51" w:rsidRPr="00037AD4" w:rsidRDefault="00B54D51" w:rsidP="00401C67">
            <w:pPr>
              <w:widowControl w:val="0"/>
              <w:autoSpaceDE w:val="0"/>
              <w:autoSpaceDN w:val="0"/>
              <w:adjustRightInd w:val="0"/>
              <w:jc w:val="center"/>
            </w:pPr>
            <w:r w:rsidRPr="00037AD4">
              <w:t>1.122***</w:t>
            </w:r>
          </w:p>
        </w:tc>
        <w:tc>
          <w:tcPr>
            <w:tcW w:w="673" w:type="pct"/>
            <w:tcBorders>
              <w:top w:val="nil"/>
              <w:left w:val="nil"/>
              <w:bottom w:val="nil"/>
              <w:right w:val="nil"/>
            </w:tcBorders>
          </w:tcPr>
          <w:p w14:paraId="7CCEA2C3" w14:textId="77777777" w:rsidR="00B54D51" w:rsidRPr="00037AD4" w:rsidRDefault="00B54D51" w:rsidP="00401C67">
            <w:pPr>
              <w:widowControl w:val="0"/>
              <w:autoSpaceDE w:val="0"/>
              <w:autoSpaceDN w:val="0"/>
              <w:adjustRightInd w:val="0"/>
              <w:jc w:val="center"/>
            </w:pPr>
            <w:r w:rsidRPr="00037AD4">
              <w:t>1.104***</w:t>
            </w:r>
          </w:p>
        </w:tc>
        <w:tc>
          <w:tcPr>
            <w:tcW w:w="673" w:type="pct"/>
            <w:tcBorders>
              <w:top w:val="nil"/>
              <w:left w:val="nil"/>
              <w:bottom w:val="nil"/>
              <w:right w:val="nil"/>
            </w:tcBorders>
          </w:tcPr>
          <w:p w14:paraId="1E471E82" w14:textId="77777777" w:rsidR="00B54D51" w:rsidRPr="00037AD4" w:rsidRDefault="00B54D51" w:rsidP="00401C67">
            <w:pPr>
              <w:widowControl w:val="0"/>
              <w:autoSpaceDE w:val="0"/>
              <w:autoSpaceDN w:val="0"/>
              <w:adjustRightInd w:val="0"/>
              <w:jc w:val="center"/>
            </w:pPr>
            <w:r w:rsidRPr="00037AD4">
              <w:t>1.117***</w:t>
            </w:r>
          </w:p>
        </w:tc>
        <w:tc>
          <w:tcPr>
            <w:tcW w:w="658" w:type="pct"/>
            <w:tcBorders>
              <w:top w:val="nil"/>
              <w:left w:val="nil"/>
              <w:bottom w:val="nil"/>
              <w:right w:val="nil"/>
            </w:tcBorders>
          </w:tcPr>
          <w:p w14:paraId="296A2AE2" w14:textId="77777777" w:rsidR="00B54D51" w:rsidRPr="00037AD4" w:rsidRDefault="00B54D51" w:rsidP="00401C67">
            <w:pPr>
              <w:widowControl w:val="0"/>
              <w:autoSpaceDE w:val="0"/>
              <w:autoSpaceDN w:val="0"/>
              <w:adjustRightInd w:val="0"/>
              <w:jc w:val="center"/>
            </w:pPr>
            <w:r w:rsidRPr="00037AD4">
              <w:t>1.095***</w:t>
            </w:r>
          </w:p>
        </w:tc>
      </w:tr>
      <w:tr w:rsidR="00B54D51" w:rsidRPr="00037AD4" w14:paraId="5815BD5D" w14:textId="77777777" w:rsidTr="00401C67">
        <w:trPr>
          <w:jc w:val="center"/>
        </w:trPr>
        <w:tc>
          <w:tcPr>
            <w:tcW w:w="977" w:type="pct"/>
            <w:tcBorders>
              <w:top w:val="nil"/>
              <w:left w:val="nil"/>
              <w:bottom w:val="nil"/>
              <w:right w:val="nil"/>
            </w:tcBorders>
          </w:tcPr>
          <w:p w14:paraId="231E21D7" w14:textId="77777777" w:rsidR="00B54D51" w:rsidRPr="00037AD4" w:rsidRDefault="00B54D51" w:rsidP="00401C67">
            <w:pPr>
              <w:widowControl w:val="0"/>
              <w:autoSpaceDE w:val="0"/>
              <w:autoSpaceDN w:val="0"/>
              <w:adjustRightInd w:val="0"/>
            </w:pPr>
          </w:p>
        </w:tc>
        <w:tc>
          <w:tcPr>
            <w:tcW w:w="673" w:type="pct"/>
            <w:tcBorders>
              <w:top w:val="nil"/>
              <w:left w:val="nil"/>
              <w:bottom w:val="nil"/>
              <w:right w:val="nil"/>
            </w:tcBorders>
          </w:tcPr>
          <w:p w14:paraId="5604FF22"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18BCA6E0" w14:textId="77777777" w:rsidR="00B54D51" w:rsidRPr="00037AD4" w:rsidRDefault="00B54D51" w:rsidP="00401C67">
            <w:pPr>
              <w:widowControl w:val="0"/>
              <w:autoSpaceDE w:val="0"/>
              <w:autoSpaceDN w:val="0"/>
              <w:adjustRightInd w:val="0"/>
              <w:jc w:val="center"/>
            </w:pPr>
            <w:r w:rsidRPr="00037AD4">
              <w:t>(0.455 - 1.491)</w:t>
            </w:r>
          </w:p>
        </w:tc>
        <w:tc>
          <w:tcPr>
            <w:tcW w:w="673" w:type="pct"/>
            <w:tcBorders>
              <w:top w:val="nil"/>
              <w:left w:val="nil"/>
              <w:bottom w:val="nil"/>
              <w:right w:val="nil"/>
            </w:tcBorders>
          </w:tcPr>
          <w:p w14:paraId="185AABF4" w14:textId="77777777" w:rsidR="00B54D51" w:rsidRPr="00037AD4" w:rsidRDefault="00B54D51" w:rsidP="00401C67">
            <w:pPr>
              <w:widowControl w:val="0"/>
              <w:autoSpaceDE w:val="0"/>
              <w:autoSpaceDN w:val="0"/>
              <w:adjustRightInd w:val="0"/>
              <w:jc w:val="center"/>
            </w:pPr>
            <w:r w:rsidRPr="00037AD4">
              <w:t>(0.653 - 1.590)</w:t>
            </w:r>
          </w:p>
        </w:tc>
        <w:tc>
          <w:tcPr>
            <w:tcW w:w="673" w:type="pct"/>
            <w:tcBorders>
              <w:top w:val="nil"/>
              <w:left w:val="nil"/>
              <w:bottom w:val="nil"/>
              <w:right w:val="nil"/>
            </w:tcBorders>
          </w:tcPr>
          <w:p w14:paraId="69837B8A" w14:textId="77777777" w:rsidR="00B54D51" w:rsidRPr="00037AD4" w:rsidRDefault="00B54D51" w:rsidP="00401C67">
            <w:pPr>
              <w:widowControl w:val="0"/>
              <w:autoSpaceDE w:val="0"/>
              <w:autoSpaceDN w:val="0"/>
              <w:adjustRightInd w:val="0"/>
              <w:jc w:val="center"/>
            </w:pPr>
            <w:r w:rsidRPr="00037AD4">
              <w:t>(0.646 - 1.562)</w:t>
            </w:r>
          </w:p>
        </w:tc>
        <w:tc>
          <w:tcPr>
            <w:tcW w:w="673" w:type="pct"/>
            <w:tcBorders>
              <w:top w:val="nil"/>
              <w:left w:val="nil"/>
              <w:bottom w:val="nil"/>
              <w:right w:val="nil"/>
            </w:tcBorders>
          </w:tcPr>
          <w:p w14:paraId="74275D68" w14:textId="77777777" w:rsidR="00B54D51" w:rsidRPr="00037AD4" w:rsidRDefault="00B54D51" w:rsidP="00401C67">
            <w:pPr>
              <w:widowControl w:val="0"/>
              <w:autoSpaceDE w:val="0"/>
              <w:autoSpaceDN w:val="0"/>
              <w:adjustRightInd w:val="0"/>
              <w:jc w:val="center"/>
            </w:pPr>
            <w:r w:rsidRPr="00037AD4">
              <w:t>(0.646 - 1.588)</w:t>
            </w:r>
          </w:p>
        </w:tc>
        <w:tc>
          <w:tcPr>
            <w:tcW w:w="658" w:type="pct"/>
            <w:tcBorders>
              <w:top w:val="nil"/>
              <w:left w:val="nil"/>
              <w:bottom w:val="nil"/>
              <w:right w:val="nil"/>
            </w:tcBorders>
          </w:tcPr>
          <w:p w14:paraId="25375DC9" w14:textId="77777777" w:rsidR="00B54D51" w:rsidRPr="00037AD4" w:rsidRDefault="00B54D51" w:rsidP="00401C67">
            <w:pPr>
              <w:widowControl w:val="0"/>
              <w:autoSpaceDE w:val="0"/>
              <w:autoSpaceDN w:val="0"/>
              <w:adjustRightInd w:val="0"/>
              <w:jc w:val="center"/>
            </w:pPr>
            <w:r w:rsidRPr="00037AD4">
              <w:t>(0.636 - 1.554)</w:t>
            </w:r>
          </w:p>
        </w:tc>
      </w:tr>
      <w:tr w:rsidR="00B54D51" w:rsidRPr="00037AD4" w14:paraId="030173EB" w14:textId="77777777" w:rsidTr="00401C67">
        <w:trPr>
          <w:jc w:val="center"/>
        </w:trPr>
        <w:tc>
          <w:tcPr>
            <w:tcW w:w="977" w:type="pct"/>
            <w:tcBorders>
              <w:top w:val="nil"/>
              <w:left w:val="nil"/>
              <w:bottom w:val="nil"/>
              <w:right w:val="nil"/>
            </w:tcBorders>
          </w:tcPr>
          <w:p w14:paraId="550E6E5A" w14:textId="77777777" w:rsidR="00B54D51" w:rsidRPr="00037AD4" w:rsidRDefault="00B54D51" w:rsidP="00401C67">
            <w:pPr>
              <w:widowControl w:val="0"/>
              <w:autoSpaceDE w:val="0"/>
              <w:autoSpaceDN w:val="0"/>
              <w:adjustRightInd w:val="0"/>
            </w:pPr>
            <w:r w:rsidRPr="00037AD4">
              <w:t>2.merg_eq5staff</w:t>
            </w:r>
          </w:p>
        </w:tc>
        <w:tc>
          <w:tcPr>
            <w:tcW w:w="673" w:type="pct"/>
            <w:tcBorders>
              <w:top w:val="nil"/>
              <w:left w:val="nil"/>
              <w:bottom w:val="nil"/>
              <w:right w:val="nil"/>
            </w:tcBorders>
          </w:tcPr>
          <w:p w14:paraId="25AC5D2C"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607F18BB" w14:textId="77777777" w:rsidR="00B54D51" w:rsidRPr="00037AD4" w:rsidRDefault="00B54D51" w:rsidP="00401C67">
            <w:pPr>
              <w:widowControl w:val="0"/>
              <w:autoSpaceDE w:val="0"/>
              <w:autoSpaceDN w:val="0"/>
              <w:adjustRightInd w:val="0"/>
              <w:jc w:val="center"/>
            </w:pPr>
            <w:r w:rsidRPr="00037AD4">
              <w:t>0.146</w:t>
            </w:r>
          </w:p>
        </w:tc>
        <w:tc>
          <w:tcPr>
            <w:tcW w:w="673" w:type="pct"/>
            <w:tcBorders>
              <w:top w:val="nil"/>
              <w:left w:val="nil"/>
              <w:bottom w:val="nil"/>
              <w:right w:val="nil"/>
            </w:tcBorders>
          </w:tcPr>
          <w:p w14:paraId="06E49D2C"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0B6E4F4B"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21E4AD77" w14:textId="77777777" w:rsidR="00B54D51" w:rsidRPr="00037AD4" w:rsidRDefault="00B54D51" w:rsidP="00401C67">
            <w:pPr>
              <w:widowControl w:val="0"/>
              <w:autoSpaceDE w:val="0"/>
              <w:autoSpaceDN w:val="0"/>
              <w:adjustRightInd w:val="0"/>
              <w:jc w:val="center"/>
            </w:pPr>
          </w:p>
        </w:tc>
        <w:tc>
          <w:tcPr>
            <w:tcW w:w="658" w:type="pct"/>
            <w:tcBorders>
              <w:top w:val="nil"/>
              <w:left w:val="nil"/>
              <w:bottom w:val="nil"/>
              <w:right w:val="nil"/>
            </w:tcBorders>
          </w:tcPr>
          <w:p w14:paraId="5CDF7111" w14:textId="77777777" w:rsidR="00B54D51" w:rsidRPr="00037AD4" w:rsidRDefault="00B54D51" w:rsidP="00401C67">
            <w:pPr>
              <w:widowControl w:val="0"/>
              <w:autoSpaceDE w:val="0"/>
              <w:autoSpaceDN w:val="0"/>
              <w:adjustRightInd w:val="0"/>
              <w:jc w:val="center"/>
            </w:pPr>
          </w:p>
        </w:tc>
      </w:tr>
      <w:tr w:rsidR="00B54D51" w:rsidRPr="00037AD4" w14:paraId="7A607BCA" w14:textId="77777777" w:rsidTr="00401C67">
        <w:trPr>
          <w:jc w:val="center"/>
        </w:trPr>
        <w:tc>
          <w:tcPr>
            <w:tcW w:w="977" w:type="pct"/>
            <w:tcBorders>
              <w:top w:val="nil"/>
              <w:left w:val="nil"/>
              <w:bottom w:val="nil"/>
              <w:right w:val="nil"/>
            </w:tcBorders>
          </w:tcPr>
          <w:p w14:paraId="69C8B092" w14:textId="77777777" w:rsidR="00B54D51" w:rsidRPr="00037AD4" w:rsidRDefault="00B54D51" w:rsidP="00401C67">
            <w:pPr>
              <w:widowControl w:val="0"/>
              <w:autoSpaceDE w:val="0"/>
              <w:autoSpaceDN w:val="0"/>
              <w:adjustRightInd w:val="0"/>
            </w:pPr>
          </w:p>
        </w:tc>
        <w:tc>
          <w:tcPr>
            <w:tcW w:w="673" w:type="pct"/>
            <w:tcBorders>
              <w:top w:val="nil"/>
              <w:left w:val="nil"/>
              <w:bottom w:val="nil"/>
              <w:right w:val="nil"/>
            </w:tcBorders>
          </w:tcPr>
          <w:p w14:paraId="532AC5B4"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2AEF741E" w14:textId="77777777" w:rsidR="00B54D51" w:rsidRPr="00037AD4" w:rsidRDefault="00B54D51" w:rsidP="00401C67">
            <w:pPr>
              <w:widowControl w:val="0"/>
              <w:autoSpaceDE w:val="0"/>
              <w:autoSpaceDN w:val="0"/>
              <w:adjustRightInd w:val="0"/>
              <w:jc w:val="center"/>
            </w:pPr>
            <w:r w:rsidRPr="00037AD4">
              <w:t>(-0.093 - 0.386)</w:t>
            </w:r>
          </w:p>
        </w:tc>
        <w:tc>
          <w:tcPr>
            <w:tcW w:w="673" w:type="pct"/>
            <w:tcBorders>
              <w:top w:val="nil"/>
              <w:left w:val="nil"/>
              <w:bottom w:val="nil"/>
              <w:right w:val="nil"/>
            </w:tcBorders>
          </w:tcPr>
          <w:p w14:paraId="3F4661B0"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0A1E7F06"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4EFBB3BD" w14:textId="77777777" w:rsidR="00B54D51" w:rsidRPr="00037AD4" w:rsidRDefault="00B54D51" w:rsidP="00401C67">
            <w:pPr>
              <w:widowControl w:val="0"/>
              <w:autoSpaceDE w:val="0"/>
              <w:autoSpaceDN w:val="0"/>
              <w:adjustRightInd w:val="0"/>
              <w:jc w:val="center"/>
            </w:pPr>
          </w:p>
        </w:tc>
        <w:tc>
          <w:tcPr>
            <w:tcW w:w="658" w:type="pct"/>
            <w:tcBorders>
              <w:top w:val="nil"/>
              <w:left w:val="nil"/>
              <w:bottom w:val="nil"/>
              <w:right w:val="nil"/>
            </w:tcBorders>
          </w:tcPr>
          <w:p w14:paraId="292B3A18" w14:textId="77777777" w:rsidR="00B54D51" w:rsidRPr="00037AD4" w:rsidRDefault="00B54D51" w:rsidP="00401C67">
            <w:pPr>
              <w:widowControl w:val="0"/>
              <w:autoSpaceDE w:val="0"/>
              <w:autoSpaceDN w:val="0"/>
              <w:adjustRightInd w:val="0"/>
              <w:jc w:val="center"/>
            </w:pPr>
          </w:p>
        </w:tc>
      </w:tr>
      <w:tr w:rsidR="00B54D51" w:rsidRPr="00037AD4" w14:paraId="13ED842B" w14:textId="77777777" w:rsidTr="00401C67">
        <w:trPr>
          <w:jc w:val="center"/>
        </w:trPr>
        <w:tc>
          <w:tcPr>
            <w:tcW w:w="977" w:type="pct"/>
            <w:tcBorders>
              <w:top w:val="nil"/>
              <w:left w:val="nil"/>
              <w:bottom w:val="nil"/>
              <w:right w:val="nil"/>
            </w:tcBorders>
          </w:tcPr>
          <w:p w14:paraId="6279E2C0" w14:textId="77777777" w:rsidR="00B54D51" w:rsidRPr="00037AD4" w:rsidRDefault="00B54D51" w:rsidP="00401C67">
            <w:pPr>
              <w:widowControl w:val="0"/>
              <w:autoSpaceDE w:val="0"/>
              <w:autoSpaceDN w:val="0"/>
              <w:adjustRightInd w:val="0"/>
            </w:pPr>
            <w:r w:rsidRPr="00037AD4">
              <w:t>3.merg_eq5staff</w:t>
            </w:r>
          </w:p>
        </w:tc>
        <w:tc>
          <w:tcPr>
            <w:tcW w:w="673" w:type="pct"/>
            <w:tcBorders>
              <w:top w:val="nil"/>
              <w:left w:val="nil"/>
              <w:bottom w:val="nil"/>
              <w:right w:val="nil"/>
            </w:tcBorders>
          </w:tcPr>
          <w:p w14:paraId="78FCCF04"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159EC28B" w14:textId="77777777" w:rsidR="00B54D51" w:rsidRPr="00037AD4" w:rsidRDefault="00B54D51" w:rsidP="00401C67">
            <w:pPr>
              <w:widowControl w:val="0"/>
              <w:autoSpaceDE w:val="0"/>
              <w:autoSpaceDN w:val="0"/>
              <w:adjustRightInd w:val="0"/>
              <w:jc w:val="center"/>
            </w:pPr>
            <w:r w:rsidRPr="00037AD4">
              <w:t>0.562***</w:t>
            </w:r>
          </w:p>
        </w:tc>
        <w:tc>
          <w:tcPr>
            <w:tcW w:w="673" w:type="pct"/>
            <w:tcBorders>
              <w:top w:val="nil"/>
              <w:left w:val="nil"/>
              <w:bottom w:val="nil"/>
              <w:right w:val="nil"/>
            </w:tcBorders>
          </w:tcPr>
          <w:p w14:paraId="069A0C2A"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5ED16D8A"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23642F83" w14:textId="77777777" w:rsidR="00B54D51" w:rsidRPr="00037AD4" w:rsidRDefault="00B54D51" w:rsidP="00401C67">
            <w:pPr>
              <w:widowControl w:val="0"/>
              <w:autoSpaceDE w:val="0"/>
              <w:autoSpaceDN w:val="0"/>
              <w:adjustRightInd w:val="0"/>
              <w:jc w:val="center"/>
            </w:pPr>
          </w:p>
        </w:tc>
        <w:tc>
          <w:tcPr>
            <w:tcW w:w="658" w:type="pct"/>
            <w:tcBorders>
              <w:top w:val="nil"/>
              <w:left w:val="nil"/>
              <w:bottom w:val="nil"/>
              <w:right w:val="nil"/>
            </w:tcBorders>
          </w:tcPr>
          <w:p w14:paraId="557F690A" w14:textId="77777777" w:rsidR="00B54D51" w:rsidRPr="00037AD4" w:rsidRDefault="00B54D51" w:rsidP="00401C67">
            <w:pPr>
              <w:widowControl w:val="0"/>
              <w:autoSpaceDE w:val="0"/>
              <w:autoSpaceDN w:val="0"/>
              <w:adjustRightInd w:val="0"/>
              <w:jc w:val="center"/>
            </w:pPr>
          </w:p>
        </w:tc>
      </w:tr>
      <w:tr w:rsidR="00B54D51" w:rsidRPr="00037AD4" w14:paraId="33C29F28" w14:textId="77777777" w:rsidTr="00401C67">
        <w:trPr>
          <w:jc w:val="center"/>
        </w:trPr>
        <w:tc>
          <w:tcPr>
            <w:tcW w:w="977" w:type="pct"/>
            <w:tcBorders>
              <w:top w:val="nil"/>
              <w:left w:val="nil"/>
              <w:bottom w:val="nil"/>
              <w:right w:val="nil"/>
            </w:tcBorders>
          </w:tcPr>
          <w:p w14:paraId="19F42FCE" w14:textId="77777777" w:rsidR="00B54D51" w:rsidRPr="00037AD4" w:rsidRDefault="00B54D51" w:rsidP="00401C67">
            <w:pPr>
              <w:widowControl w:val="0"/>
              <w:autoSpaceDE w:val="0"/>
              <w:autoSpaceDN w:val="0"/>
              <w:adjustRightInd w:val="0"/>
            </w:pPr>
          </w:p>
        </w:tc>
        <w:tc>
          <w:tcPr>
            <w:tcW w:w="673" w:type="pct"/>
            <w:tcBorders>
              <w:top w:val="nil"/>
              <w:left w:val="nil"/>
              <w:bottom w:val="nil"/>
              <w:right w:val="nil"/>
            </w:tcBorders>
          </w:tcPr>
          <w:p w14:paraId="47DA9E91"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29020B60" w14:textId="77777777" w:rsidR="00B54D51" w:rsidRPr="00037AD4" w:rsidRDefault="00B54D51" w:rsidP="00401C67">
            <w:pPr>
              <w:widowControl w:val="0"/>
              <w:autoSpaceDE w:val="0"/>
              <w:autoSpaceDN w:val="0"/>
              <w:adjustRightInd w:val="0"/>
              <w:jc w:val="center"/>
            </w:pPr>
            <w:r w:rsidRPr="00037AD4">
              <w:t>(0.203 - 0.920)</w:t>
            </w:r>
          </w:p>
        </w:tc>
        <w:tc>
          <w:tcPr>
            <w:tcW w:w="673" w:type="pct"/>
            <w:tcBorders>
              <w:top w:val="nil"/>
              <w:left w:val="nil"/>
              <w:bottom w:val="nil"/>
              <w:right w:val="nil"/>
            </w:tcBorders>
          </w:tcPr>
          <w:p w14:paraId="4E7B2E87"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66B4C3E9"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3FCCBDCD" w14:textId="77777777" w:rsidR="00B54D51" w:rsidRPr="00037AD4" w:rsidRDefault="00B54D51" w:rsidP="00401C67">
            <w:pPr>
              <w:widowControl w:val="0"/>
              <w:autoSpaceDE w:val="0"/>
              <w:autoSpaceDN w:val="0"/>
              <w:adjustRightInd w:val="0"/>
              <w:jc w:val="center"/>
            </w:pPr>
          </w:p>
        </w:tc>
        <w:tc>
          <w:tcPr>
            <w:tcW w:w="658" w:type="pct"/>
            <w:tcBorders>
              <w:top w:val="nil"/>
              <w:left w:val="nil"/>
              <w:bottom w:val="nil"/>
              <w:right w:val="nil"/>
            </w:tcBorders>
          </w:tcPr>
          <w:p w14:paraId="2C9A3A7D" w14:textId="77777777" w:rsidR="00B54D51" w:rsidRPr="00037AD4" w:rsidRDefault="00B54D51" w:rsidP="00401C67">
            <w:pPr>
              <w:widowControl w:val="0"/>
              <w:autoSpaceDE w:val="0"/>
              <w:autoSpaceDN w:val="0"/>
              <w:adjustRightInd w:val="0"/>
              <w:jc w:val="center"/>
            </w:pPr>
          </w:p>
        </w:tc>
      </w:tr>
      <w:tr w:rsidR="00B54D51" w:rsidRPr="00037AD4" w14:paraId="332FD54B" w14:textId="77777777" w:rsidTr="00401C67">
        <w:trPr>
          <w:jc w:val="center"/>
        </w:trPr>
        <w:tc>
          <w:tcPr>
            <w:tcW w:w="977" w:type="pct"/>
            <w:tcBorders>
              <w:top w:val="nil"/>
              <w:left w:val="nil"/>
              <w:bottom w:val="nil"/>
              <w:right w:val="nil"/>
            </w:tcBorders>
          </w:tcPr>
          <w:p w14:paraId="4C60A1E3" w14:textId="77777777" w:rsidR="00B54D51" w:rsidRPr="00037AD4" w:rsidRDefault="00B54D51" w:rsidP="00401C67">
            <w:pPr>
              <w:widowControl w:val="0"/>
              <w:autoSpaceDE w:val="0"/>
              <w:autoSpaceDN w:val="0"/>
              <w:adjustRightInd w:val="0"/>
            </w:pPr>
            <w:r w:rsidRPr="00037AD4">
              <w:t>4.merg_eq5staff</w:t>
            </w:r>
          </w:p>
        </w:tc>
        <w:tc>
          <w:tcPr>
            <w:tcW w:w="673" w:type="pct"/>
            <w:tcBorders>
              <w:top w:val="nil"/>
              <w:left w:val="nil"/>
              <w:bottom w:val="nil"/>
              <w:right w:val="nil"/>
            </w:tcBorders>
          </w:tcPr>
          <w:p w14:paraId="322F71EF"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6132A9F3" w14:textId="77777777" w:rsidR="00B54D51" w:rsidRPr="00037AD4" w:rsidRDefault="00B54D51" w:rsidP="00401C67">
            <w:pPr>
              <w:widowControl w:val="0"/>
              <w:autoSpaceDE w:val="0"/>
              <w:autoSpaceDN w:val="0"/>
              <w:adjustRightInd w:val="0"/>
              <w:jc w:val="center"/>
            </w:pPr>
            <w:r w:rsidRPr="00037AD4">
              <w:t>0.280</w:t>
            </w:r>
          </w:p>
        </w:tc>
        <w:tc>
          <w:tcPr>
            <w:tcW w:w="673" w:type="pct"/>
            <w:tcBorders>
              <w:top w:val="nil"/>
              <w:left w:val="nil"/>
              <w:bottom w:val="nil"/>
              <w:right w:val="nil"/>
            </w:tcBorders>
          </w:tcPr>
          <w:p w14:paraId="6FAEBE18"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1DBF915D"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59384CF6" w14:textId="77777777" w:rsidR="00B54D51" w:rsidRPr="00037AD4" w:rsidRDefault="00B54D51" w:rsidP="00401C67">
            <w:pPr>
              <w:widowControl w:val="0"/>
              <w:autoSpaceDE w:val="0"/>
              <w:autoSpaceDN w:val="0"/>
              <w:adjustRightInd w:val="0"/>
              <w:jc w:val="center"/>
            </w:pPr>
          </w:p>
        </w:tc>
        <w:tc>
          <w:tcPr>
            <w:tcW w:w="658" w:type="pct"/>
            <w:tcBorders>
              <w:top w:val="nil"/>
              <w:left w:val="nil"/>
              <w:bottom w:val="nil"/>
              <w:right w:val="nil"/>
            </w:tcBorders>
          </w:tcPr>
          <w:p w14:paraId="5FED71B3" w14:textId="77777777" w:rsidR="00B54D51" w:rsidRPr="00037AD4" w:rsidRDefault="00B54D51" w:rsidP="00401C67">
            <w:pPr>
              <w:widowControl w:val="0"/>
              <w:autoSpaceDE w:val="0"/>
              <w:autoSpaceDN w:val="0"/>
              <w:adjustRightInd w:val="0"/>
              <w:jc w:val="center"/>
            </w:pPr>
          </w:p>
        </w:tc>
      </w:tr>
      <w:tr w:rsidR="00B54D51" w:rsidRPr="00037AD4" w14:paraId="496E98FE" w14:textId="77777777" w:rsidTr="00401C67">
        <w:trPr>
          <w:jc w:val="center"/>
        </w:trPr>
        <w:tc>
          <w:tcPr>
            <w:tcW w:w="977" w:type="pct"/>
            <w:tcBorders>
              <w:top w:val="nil"/>
              <w:left w:val="nil"/>
              <w:bottom w:val="nil"/>
              <w:right w:val="nil"/>
            </w:tcBorders>
          </w:tcPr>
          <w:p w14:paraId="4D165BFD" w14:textId="77777777" w:rsidR="00B54D51" w:rsidRPr="00037AD4" w:rsidRDefault="00B54D51" w:rsidP="00401C67">
            <w:pPr>
              <w:widowControl w:val="0"/>
              <w:autoSpaceDE w:val="0"/>
              <w:autoSpaceDN w:val="0"/>
              <w:adjustRightInd w:val="0"/>
            </w:pPr>
          </w:p>
        </w:tc>
        <w:tc>
          <w:tcPr>
            <w:tcW w:w="673" w:type="pct"/>
            <w:tcBorders>
              <w:top w:val="nil"/>
              <w:left w:val="nil"/>
              <w:bottom w:val="nil"/>
              <w:right w:val="nil"/>
            </w:tcBorders>
          </w:tcPr>
          <w:p w14:paraId="6DD3C629"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7065F725" w14:textId="77777777" w:rsidR="00B54D51" w:rsidRPr="00037AD4" w:rsidRDefault="00B54D51" w:rsidP="00401C67">
            <w:pPr>
              <w:widowControl w:val="0"/>
              <w:autoSpaceDE w:val="0"/>
              <w:autoSpaceDN w:val="0"/>
              <w:adjustRightInd w:val="0"/>
              <w:jc w:val="center"/>
            </w:pPr>
            <w:r w:rsidRPr="00037AD4">
              <w:t>(-0.381 - 0.941)</w:t>
            </w:r>
          </w:p>
        </w:tc>
        <w:tc>
          <w:tcPr>
            <w:tcW w:w="673" w:type="pct"/>
            <w:tcBorders>
              <w:top w:val="nil"/>
              <w:left w:val="nil"/>
              <w:bottom w:val="nil"/>
              <w:right w:val="nil"/>
            </w:tcBorders>
          </w:tcPr>
          <w:p w14:paraId="12C74825"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0227771B"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3F10FB1C" w14:textId="77777777" w:rsidR="00B54D51" w:rsidRPr="00037AD4" w:rsidRDefault="00B54D51" w:rsidP="00401C67">
            <w:pPr>
              <w:widowControl w:val="0"/>
              <w:autoSpaceDE w:val="0"/>
              <w:autoSpaceDN w:val="0"/>
              <w:adjustRightInd w:val="0"/>
              <w:jc w:val="center"/>
            </w:pPr>
          </w:p>
        </w:tc>
        <w:tc>
          <w:tcPr>
            <w:tcW w:w="658" w:type="pct"/>
            <w:tcBorders>
              <w:top w:val="nil"/>
              <w:left w:val="nil"/>
              <w:bottom w:val="nil"/>
              <w:right w:val="nil"/>
            </w:tcBorders>
          </w:tcPr>
          <w:p w14:paraId="097E32C6" w14:textId="77777777" w:rsidR="00B54D51" w:rsidRPr="00037AD4" w:rsidRDefault="00B54D51" w:rsidP="00401C67">
            <w:pPr>
              <w:widowControl w:val="0"/>
              <w:autoSpaceDE w:val="0"/>
              <w:autoSpaceDN w:val="0"/>
              <w:adjustRightInd w:val="0"/>
              <w:jc w:val="center"/>
            </w:pPr>
          </w:p>
        </w:tc>
      </w:tr>
      <w:tr w:rsidR="00B54D51" w:rsidRPr="00037AD4" w14:paraId="0C6DF50F" w14:textId="77777777" w:rsidTr="00401C67">
        <w:trPr>
          <w:jc w:val="center"/>
        </w:trPr>
        <w:tc>
          <w:tcPr>
            <w:tcW w:w="977" w:type="pct"/>
            <w:tcBorders>
              <w:top w:val="nil"/>
              <w:left w:val="nil"/>
              <w:bottom w:val="nil"/>
              <w:right w:val="nil"/>
            </w:tcBorders>
          </w:tcPr>
          <w:p w14:paraId="32F0118E" w14:textId="77777777" w:rsidR="00B54D51" w:rsidRPr="00037AD4" w:rsidRDefault="00B54D51" w:rsidP="00401C67">
            <w:pPr>
              <w:widowControl w:val="0"/>
              <w:autoSpaceDE w:val="0"/>
              <w:autoSpaceDN w:val="0"/>
              <w:adjustRightInd w:val="0"/>
            </w:pPr>
          </w:p>
        </w:tc>
        <w:tc>
          <w:tcPr>
            <w:tcW w:w="673" w:type="pct"/>
            <w:tcBorders>
              <w:top w:val="nil"/>
              <w:left w:val="nil"/>
              <w:bottom w:val="nil"/>
              <w:right w:val="nil"/>
            </w:tcBorders>
          </w:tcPr>
          <w:p w14:paraId="3EDE40CA"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6F6854CE"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108A515C"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255FE6E7" w14:textId="77777777" w:rsidR="00B54D51" w:rsidRPr="00037AD4" w:rsidRDefault="00B54D51" w:rsidP="00401C67">
            <w:pPr>
              <w:widowControl w:val="0"/>
              <w:autoSpaceDE w:val="0"/>
              <w:autoSpaceDN w:val="0"/>
              <w:adjustRightInd w:val="0"/>
              <w:jc w:val="center"/>
            </w:pPr>
          </w:p>
        </w:tc>
        <w:tc>
          <w:tcPr>
            <w:tcW w:w="673" w:type="pct"/>
            <w:tcBorders>
              <w:top w:val="nil"/>
              <w:left w:val="nil"/>
              <w:bottom w:val="nil"/>
              <w:right w:val="nil"/>
            </w:tcBorders>
          </w:tcPr>
          <w:p w14:paraId="6B29F366" w14:textId="77777777" w:rsidR="00B54D51" w:rsidRPr="00037AD4" w:rsidRDefault="00B54D51" w:rsidP="00401C67">
            <w:pPr>
              <w:widowControl w:val="0"/>
              <w:autoSpaceDE w:val="0"/>
              <w:autoSpaceDN w:val="0"/>
              <w:adjustRightInd w:val="0"/>
              <w:jc w:val="center"/>
            </w:pPr>
          </w:p>
        </w:tc>
        <w:tc>
          <w:tcPr>
            <w:tcW w:w="658" w:type="pct"/>
            <w:tcBorders>
              <w:top w:val="nil"/>
              <w:left w:val="nil"/>
              <w:bottom w:val="nil"/>
              <w:right w:val="nil"/>
            </w:tcBorders>
          </w:tcPr>
          <w:p w14:paraId="436B74D5" w14:textId="77777777" w:rsidR="00B54D51" w:rsidRPr="00037AD4" w:rsidRDefault="00B54D51" w:rsidP="00401C67">
            <w:pPr>
              <w:widowControl w:val="0"/>
              <w:autoSpaceDE w:val="0"/>
              <w:autoSpaceDN w:val="0"/>
              <w:adjustRightInd w:val="0"/>
              <w:jc w:val="center"/>
            </w:pPr>
          </w:p>
        </w:tc>
      </w:tr>
      <w:tr w:rsidR="00B54D51" w:rsidRPr="00037AD4" w14:paraId="2A25C7AF" w14:textId="77777777" w:rsidTr="00401C67">
        <w:tblPrEx>
          <w:tblBorders>
            <w:bottom w:val="single" w:sz="6" w:space="0" w:color="auto"/>
          </w:tblBorders>
        </w:tblPrEx>
        <w:trPr>
          <w:jc w:val="center"/>
        </w:trPr>
        <w:tc>
          <w:tcPr>
            <w:tcW w:w="977" w:type="pct"/>
            <w:tcBorders>
              <w:top w:val="nil"/>
              <w:left w:val="nil"/>
              <w:bottom w:val="nil"/>
              <w:right w:val="nil"/>
            </w:tcBorders>
          </w:tcPr>
          <w:p w14:paraId="715F0694" w14:textId="77777777" w:rsidR="00B54D51" w:rsidRPr="00037AD4" w:rsidRDefault="00B54D51" w:rsidP="00401C67">
            <w:pPr>
              <w:widowControl w:val="0"/>
              <w:autoSpaceDE w:val="0"/>
              <w:autoSpaceDN w:val="0"/>
              <w:adjustRightInd w:val="0"/>
            </w:pPr>
            <w:r w:rsidRPr="00037AD4">
              <w:t>Observations</w:t>
            </w:r>
          </w:p>
        </w:tc>
        <w:tc>
          <w:tcPr>
            <w:tcW w:w="673" w:type="pct"/>
            <w:tcBorders>
              <w:top w:val="nil"/>
              <w:left w:val="nil"/>
              <w:bottom w:val="nil"/>
              <w:right w:val="nil"/>
            </w:tcBorders>
          </w:tcPr>
          <w:p w14:paraId="658C5C91" w14:textId="77777777" w:rsidR="00B54D51" w:rsidRPr="00037AD4" w:rsidRDefault="00B54D51" w:rsidP="00401C67">
            <w:pPr>
              <w:widowControl w:val="0"/>
              <w:autoSpaceDE w:val="0"/>
              <w:autoSpaceDN w:val="0"/>
              <w:adjustRightInd w:val="0"/>
              <w:jc w:val="center"/>
            </w:pPr>
            <w:r w:rsidRPr="00037AD4">
              <w:t>784</w:t>
            </w:r>
          </w:p>
        </w:tc>
        <w:tc>
          <w:tcPr>
            <w:tcW w:w="673" w:type="pct"/>
            <w:tcBorders>
              <w:top w:val="nil"/>
              <w:left w:val="nil"/>
              <w:bottom w:val="nil"/>
              <w:right w:val="nil"/>
            </w:tcBorders>
          </w:tcPr>
          <w:p w14:paraId="54C809CE" w14:textId="77777777" w:rsidR="00B54D51" w:rsidRPr="00037AD4" w:rsidRDefault="00B54D51" w:rsidP="00401C67">
            <w:pPr>
              <w:widowControl w:val="0"/>
              <w:autoSpaceDE w:val="0"/>
              <w:autoSpaceDN w:val="0"/>
              <w:adjustRightInd w:val="0"/>
              <w:jc w:val="center"/>
            </w:pPr>
            <w:r w:rsidRPr="00037AD4">
              <w:t>800</w:t>
            </w:r>
          </w:p>
        </w:tc>
        <w:tc>
          <w:tcPr>
            <w:tcW w:w="673" w:type="pct"/>
            <w:tcBorders>
              <w:top w:val="nil"/>
              <w:left w:val="nil"/>
              <w:bottom w:val="nil"/>
              <w:right w:val="nil"/>
            </w:tcBorders>
          </w:tcPr>
          <w:p w14:paraId="192D0997" w14:textId="77777777" w:rsidR="00B54D51" w:rsidRPr="00037AD4" w:rsidRDefault="00B54D51" w:rsidP="00401C67">
            <w:pPr>
              <w:widowControl w:val="0"/>
              <w:autoSpaceDE w:val="0"/>
              <w:autoSpaceDN w:val="0"/>
              <w:adjustRightInd w:val="0"/>
              <w:jc w:val="center"/>
            </w:pPr>
            <w:r w:rsidRPr="00037AD4">
              <w:t>801</w:t>
            </w:r>
          </w:p>
        </w:tc>
        <w:tc>
          <w:tcPr>
            <w:tcW w:w="673" w:type="pct"/>
            <w:tcBorders>
              <w:top w:val="nil"/>
              <w:left w:val="nil"/>
              <w:bottom w:val="nil"/>
              <w:right w:val="nil"/>
            </w:tcBorders>
          </w:tcPr>
          <w:p w14:paraId="6FD5B2F4" w14:textId="77777777" w:rsidR="00B54D51" w:rsidRPr="00037AD4" w:rsidRDefault="00B54D51" w:rsidP="00401C67">
            <w:pPr>
              <w:widowControl w:val="0"/>
              <w:autoSpaceDE w:val="0"/>
              <w:autoSpaceDN w:val="0"/>
              <w:adjustRightInd w:val="0"/>
              <w:jc w:val="center"/>
            </w:pPr>
            <w:r w:rsidRPr="00037AD4">
              <w:t>801</w:t>
            </w:r>
          </w:p>
        </w:tc>
        <w:tc>
          <w:tcPr>
            <w:tcW w:w="673" w:type="pct"/>
            <w:tcBorders>
              <w:top w:val="nil"/>
              <w:left w:val="nil"/>
              <w:bottom w:val="nil"/>
              <w:right w:val="nil"/>
            </w:tcBorders>
          </w:tcPr>
          <w:p w14:paraId="743F3752" w14:textId="77777777" w:rsidR="00B54D51" w:rsidRPr="00037AD4" w:rsidRDefault="00B54D51" w:rsidP="00401C67">
            <w:pPr>
              <w:widowControl w:val="0"/>
              <w:autoSpaceDE w:val="0"/>
              <w:autoSpaceDN w:val="0"/>
              <w:adjustRightInd w:val="0"/>
              <w:jc w:val="center"/>
            </w:pPr>
            <w:r w:rsidRPr="00037AD4">
              <w:t>801</w:t>
            </w:r>
          </w:p>
        </w:tc>
        <w:tc>
          <w:tcPr>
            <w:tcW w:w="658" w:type="pct"/>
            <w:tcBorders>
              <w:top w:val="nil"/>
              <w:left w:val="nil"/>
              <w:bottom w:val="nil"/>
              <w:right w:val="nil"/>
            </w:tcBorders>
          </w:tcPr>
          <w:p w14:paraId="383A2838" w14:textId="77777777" w:rsidR="00B54D51" w:rsidRPr="00037AD4" w:rsidRDefault="00B54D51" w:rsidP="00401C67">
            <w:pPr>
              <w:widowControl w:val="0"/>
              <w:autoSpaceDE w:val="0"/>
              <w:autoSpaceDN w:val="0"/>
              <w:adjustRightInd w:val="0"/>
              <w:jc w:val="center"/>
            </w:pPr>
            <w:r w:rsidRPr="00037AD4">
              <w:t>805</w:t>
            </w:r>
          </w:p>
        </w:tc>
      </w:tr>
      <w:tr w:rsidR="00B54D51" w:rsidRPr="00037AD4" w14:paraId="50EF13E3" w14:textId="77777777" w:rsidTr="00401C67">
        <w:tblPrEx>
          <w:tblBorders>
            <w:bottom w:val="single" w:sz="6" w:space="0" w:color="auto"/>
          </w:tblBorders>
        </w:tblPrEx>
        <w:trPr>
          <w:jc w:val="center"/>
        </w:trPr>
        <w:tc>
          <w:tcPr>
            <w:tcW w:w="977" w:type="pct"/>
            <w:tcBorders>
              <w:top w:val="nil"/>
              <w:left w:val="nil"/>
              <w:bottom w:val="nil"/>
              <w:right w:val="nil"/>
            </w:tcBorders>
          </w:tcPr>
          <w:p w14:paraId="066A482A" w14:textId="77777777" w:rsidR="00B54D51" w:rsidRPr="00037AD4" w:rsidRDefault="00B54D51" w:rsidP="00401C67">
            <w:pPr>
              <w:widowControl w:val="0"/>
              <w:autoSpaceDE w:val="0"/>
              <w:autoSpaceDN w:val="0"/>
              <w:adjustRightInd w:val="0"/>
            </w:pPr>
            <w:r w:rsidRPr="00037AD4">
              <w:t>Wald Chi2</w:t>
            </w:r>
          </w:p>
        </w:tc>
        <w:tc>
          <w:tcPr>
            <w:tcW w:w="673" w:type="pct"/>
            <w:tcBorders>
              <w:top w:val="nil"/>
              <w:left w:val="nil"/>
              <w:bottom w:val="nil"/>
              <w:right w:val="nil"/>
            </w:tcBorders>
          </w:tcPr>
          <w:p w14:paraId="365F2097" w14:textId="77777777" w:rsidR="00B54D51" w:rsidRPr="00037AD4" w:rsidRDefault="00B54D51" w:rsidP="00401C67">
            <w:pPr>
              <w:widowControl w:val="0"/>
              <w:autoSpaceDE w:val="0"/>
              <w:autoSpaceDN w:val="0"/>
              <w:adjustRightInd w:val="0"/>
              <w:jc w:val="center"/>
            </w:pPr>
            <w:r w:rsidRPr="00037AD4">
              <w:t>81.99</w:t>
            </w:r>
          </w:p>
        </w:tc>
        <w:tc>
          <w:tcPr>
            <w:tcW w:w="673" w:type="pct"/>
            <w:tcBorders>
              <w:top w:val="nil"/>
              <w:left w:val="nil"/>
              <w:bottom w:val="nil"/>
              <w:right w:val="nil"/>
            </w:tcBorders>
          </w:tcPr>
          <w:p w14:paraId="7A721692" w14:textId="77777777" w:rsidR="00B54D51" w:rsidRPr="00037AD4" w:rsidRDefault="00B54D51" w:rsidP="00401C67">
            <w:pPr>
              <w:widowControl w:val="0"/>
              <w:autoSpaceDE w:val="0"/>
              <w:autoSpaceDN w:val="0"/>
              <w:adjustRightInd w:val="0"/>
              <w:jc w:val="center"/>
            </w:pPr>
            <w:r w:rsidRPr="00037AD4">
              <w:t>58.62</w:t>
            </w:r>
          </w:p>
        </w:tc>
        <w:tc>
          <w:tcPr>
            <w:tcW w:w="673" w:type="pct"/>
            <w:tcBorders>
              <w:top w:val="nil"/>
              <w:left w:val="nil"/>
              <w:bottom w:val="nil"/>
              <w:right w:val="nil"/>
            </w:tcBorders>
          </w:tcPr>
          <w:p w14:paraId="05D8D774" w14:textId="77777777" w:rsidR="00B54D51" w:rsidRPr="00037AD4" w:rsidRDefault="00B54D51" w:rsidP="00401C67">
            <w:pPr>
              <w:widowControl w:val="0"/>
              <w:autoSpaceDE w:val="0"/>
              <w:autoSpaceDN w:val="0"/>
              <w:adjustRightInd w:val="0"/>
              <w:jc w:val="center"/>
            </w:pPr>
            <w:r w:rsidRPr="00037AD4">
              <w:t>51.64</w:t>
            </w:r>
          </w:p>
        </w:tc>
        <w:tc>
          <w:tcPr>
            <w:tcW w:w="673" w:type="pct"/>
            <w:tcBorders>
              <w:top w:val="nil"/>
              <w:left w:val="nil"/>
              <w:bottom w:val="nil"/>
              <w:right w:val="nil"/>
            </w:tcBorders>
          </w:tcPr>
          <w:p w14:paraId="6ACE2CB8" w14:textId="77777777" w:rsidR="00B54D51" w:rsidRPr="00037AD4" w:rsidRDefault="00B54D51" w:rsidP="00401C67">
            <w:pPr>
              <w:widowControl w:val="0"/>
              <w:autoSpaceDE w:val="0"/>
              <w:autoSpaceDN w:val="0"/>
              <w:adjustRightInd w:val="0"/>
              <w:jc w:val="center"/>
            </w:pPr>
            <w:r w:rsidRPr="00037AD4">
              <w:t>51.50</w:t>
            </w:r>
          </w:p>
        </w:tc>
        <w:tc>
          <w:tcPr>
            <w:tcW w:w="673" w:type="pct"/>
            <w:tcBorders>
              <w:top w:val="nil"/>
              <w:left w:val="nil"/>
              <w:bottom w:val="nil"/>
              <w:right w:val="nil"/>
            </w:tcBorders>
          </w:tcPr>
          <w:p w14:paraId="029675CD" w14:textId="77777777" w:rsidR="00B54D51" w:rsidRPr="00037AD4" w:rsidRDefault="00B54D51" w:rsidP="00401C67">
            <w:pPr>
              <w:widowControl w:val="0"/>
              <w:autoSpaceDE w:val="0"/>
              <w:autoSpaceDN w:val="0"/>
              <w:adjustRightInd w:val="0"/>
              <w:jc w:val="center"/>
            </w:pPr>
            <w:r w:rsidRPr="00037AD4">
              <w:t>48.91</w:t>
            </w:r>
          </w:p>
        </w:tc>
        <w:tc>
          <w:tcPr>
            <w:tcW w:w="658" w:type="pct"/>
            <w:tcBorders>
              <w:top w:val="nil"/>
              <w:left w:val="nil"/>
              <w:bottom w:val="nil"/>
              <w:right w:val="nil"/>
            </w:tcBorders>
          </w:tcPr>
          <w:p w14:paraId="6131DCC3" w14:textId="77777777" w:rsidR="00B54D51" w:rsidRPr="00037AD4" w:rsidRDefault="00B54D51" w:rsidP="00401C67">
            <w:pPr>
              <w:widowControl w:val="0"/>
              <w:autoSpaceDE w:val="0"/>
              <w:autoSpaceDN w:val="0"/>
              <w:adjustRightInd w:val="0"/>
              <w:jc w:val="center"/>
            </w:pPr>
            <w:r w:rsidRPr="00037AD4">
              <w:t>47.26</w:t>
            </w:r>
          </w:p>
        </w:tc>
      </w:tr>
      <w:tr w:rsidR="00B54D51" w:rsidRPr="00037AD4" w14:paraId="529E7953" w14:textId="77777777" w:rsidTr="00401C67">
        <w:tblPrEx>
          <w:tblBorders>
            <w:bottom w:val="single" w:sz="6" w:space="0" w:color="auto"/>
          </w:tblBorders>
        </w:tblPrEx>
        <w:trPr>
          <w:jc w:val="center"/>
        </w:trPr>
        <w:tc>
          <w:tcPr>
            <w:tcW w:w="977" w:type="pct"/>
            <w:tcBorders>
              <w:top w:val="nil"/>
              <w:left w:val="nil"/>
              <w:bottom w:val="nil"/>
              <w:right w:val="nil"/>
            </w:tcBorders>
          </w:tcPr>
          <w:p w14:paraId="7EDABD48" w14:textId="77777777" w:rsidR="00B54D51" w:rsidRPr="00037AD4" w:rsidRDefault="00B54D51" w:rsidP="00401C67">
            <w:pPr>
              <w:widowControl w:val="0"/>
              <w:autoSpaceDE w:val="0"/>
              <w:autoSpaceDN w:val="0"/>
              <w:adjustRightInd w:val="0"/>
            </w:pPr>
            <w:r w:rsidRPr="00037AD4">
              <w:t>Pseudo R2</w:t>
            </w:r>
          </w:p>
        </w:tc>
        <w:tc>
          <w:tcPr>
            <w:tcW w:w="673" w:type="pct"/>
            <w:tcBorders>
              <w:top w:val="nil"/>
              <w:left w:val="nil"/>
              <w:bottom w:val="nil"/>
              <w:right w:val="nil"/>
            </w:tcBorders>
          </w:tcPr>
          <w:p w14:paraId="289C80D9" w14:textId="77777777" w:rsidR="00B54D51" w:rsidRPr="00037AD4" w:rsidRDefault="00B54D51" w:rsidP="00401C67">
            <w:pPr>
              <w:widowControl w:val="0"/>
              <w:autoSpaceDE w:val="0"/>
              <w:autoSpaceDN w:val="0"/>
              <w:adjustRightInd w:val="0"/>
              <w:jc w:val="center"/>
            </w:pPr>
            <w:r w:rsidRPr="00037AD4">
              <w:t>0.0603</w:t>
            </w:r>
          </w:p>
        </w:tc>
        <w:tc>
          <w:tcPr>
            <w:tcW w:w="673" w:type="pct"/>
            <w:tcBorders>
              <w:top w:val="nil"/>
              <w:left w:val="nil"/>
              <w:bottom w:val="nil"/>
              <w:right w:val="nil"/>
            </w:tcBorders>
          </w:tcPr>
          <w:p w14:paraId="1707CAE5" w14:textId="77777777" w:rsidR="00B54D51" w:rsidRPr="00037AD4" w:rsidRDefault="00B54D51" w:rsidP="00401C67">
            <w:pPr>
              <w:widowControl w:val="0"/>
              <w:autoSpaceDE w:val="0"/>
              <w:autoSpaceDN w:val="0"/>
              <w:adjustRightInd w:val="0"/>
              <w:jc w:val="center"/>
            </w:pPr>
            <w:r w:rsidRPr="00037AD4">
              <w:t>0.0411</w:t>
            </w:r>
          </w:p>
        </w:tc>
        <w:tc>
          <w:tcPr>
            <w:tcW w:w="673" w:type="pct"/>
            <w:tcBorders>
              <w:top w:val="nil"/>
              <w:left w:val="nil"/>
              <w:bottom w:val="nil"/>
              <w:right w:val="nil"/>
            </w:tcBorders>
          </w:tcPr>
          <w:p w14:paraId="20FF604D" w14:textId="77777777" w:rsidR="00B54D51" w:rsidRPr="00037AD4" w:rsidRDefault="00B54D51" w:rsidP="00401C67">
            <w:pPr>
              <w:widowControl w:val="0"/>
              <w:autoSpaceDE w:val="0"/>
              <w:autoSpaceDN w:val="0"/>
              <w:adjustRightInd w:val="0"/>
              <w:jc w:val="center"/>
            </w:pPr>
            <w:r w:rsidRPr="00037AD4">
              <w:t>0.0331</w:t>
            </w:r>
          </w:p>
        </w:tc>
        <w:tc>
          <w:tcPr>
            <w:tcW w:w="673" w:type="pct"/>
            <w:tcBorders>
              <w:top w:val="nil"/>
              <w:left w:val="nil"/>
              <w:bottom w:val="nil"/>
              <w:right w:val="nil"/>
            </w:tcBorders>
          </w:tcPr>
          <w:p w14:paraId="001E2ACA" w14:textId="77777777" w:rsidR="00B54D51" w:rsidRPr="00037AD4" w:rsidRDefault="00B54D51" w:rsidP="00401C67">
            <w:pPr>
              <w:widowControl w:val="0"/>
              <w:autoSpaceDE w:val="0"/>
              <w:autoSpaceDN w:val="0"/>
              <w:adjustRightInd w:val="0"/>
              <w:jc w:val="center"/>
            </w:pPr>
            <w:r w:rsidRPr="00037AD4">
              <w:t>0.0316</w:t>
            </w:r>
          </w:p>
        </w:tc>
        <w:tc>
          <w:tcPr>
            <w:tcW w:w="673" w:type="pct"/>
            <w:tcBorders>
              <w:top w:val="nil"/>
              <w:left w:val="nil"/>
              <w:bottom w:val="nil"/>
              <w:right w:val="nil"/>
            </w:tcBorders>
          </w:tcPr>
          <w:p w14:paraId="205C3F6E" w14:textId="77777777" w:rsidR="00B54D51" w:rsidRPr="00037AD4" w:rsidRDefault="00B54D51" w:rsidP="00401C67">
            <w:pPr>
              <w:widowControl w:val="0"/>
              <w:autoSpaceDE w:val="0"/>
              <w:autoSpaceDN w:val="0"/>
              <w:adjustRightInd w:val="0"/>
              <w:jc w:val="center"/>
            </w:pPr>
            <w:r w:rsidRPr="00037AD4">
              <w:t>0.0323</w:t>
            </w:r>
          </w:p>
        </w:tc>
        <w:tc>
          <w:tcPr>
            <w:tcW w:w="658" w:type="pct"/>
            <w:tcBorders>
              <w:top w:val="nil"/>
              <w:left w:val="nil"/>
              <w:bottom w:val="nil"/>
              <w:right w:val="nil"/>
            </w:tcBorders>
          </w:tcPr>
          <w:p w14:paraId="0DFA33B6" w14:textId="77777777" w:rsidR="00B54D51" w:rsidRPr="00037AD4" w:rsidRDefault="00B54D51" w:rsidP="00401C67">
            <w:pPr>
              <w:widowControl w:val="0"/>
              <w:autoSpaceDE w:val="0"/>
              <w:autoSpaceDN w:val="0"/>
              <w:adjustRightInd w:val="0"/>
              <w:jc w:val="center"/>
            </w:pPr>
            <w:r w:rsidRPr="00037AD4">
              <w:t>0.0296</w:t>
            </w:r>
          </w:p>
        </w:tc>
      </w:tr>
      <w:tr w:rsidR="00B54D51" w:rsidRPr="00037AD4" w14:paraId="70253B84" w14:textId="77777777" w:rsidTr="00401C67">
        <w:tblPrEx>
          <w:tblBorders>
            <w:bottom w:val="single" w:sz="6" w:space="0" w:color="auto"/>
          </w:tblBorders>
        </w:tblPrEx>
        <w:trPr>
          <w:jc w:val="center"/>
        </w:trPr>
        <w:tc>
          <w:tcPr>
            <w:tcW w:w="977" w:type="pct"/>
            <w:tcBorders>
              <w:top w:val="nil"/>
              <w:left w:val="nil"/>
              <w:bottom w:val="nil"/>
              <w:right w:val="nil"/>
            </w:tcBorders>
          </w:tcPr>
          <w:p w14:paraId="24A14570" w14:textId="77777777" w:rsidR="00B54D51" w:rsidRPr="00037AD4" w:rsidRDefault="00B54D51" w:rsidP="00401C67">
            <w:pPr>
              <w:widowControl w:val="0"/>
              <w:autoSpaceDE w:val="0"/>
              <w:autoSpaceDN w:val="0"/>
              <w:adjustRightInd w:val="0"/>
            </w:pPr>
            <w:r w:rsidRPr="00037AD4">
              <w:t>AIC</w:t>
            </w:r>
          </w:p>
        </w:tc>
        <w:tc>
          <w:tcPr>
            <w:tcW w:w="673" w:type="pct"/>
            <w:tcBorders>
              <w:top w:val="nil"/>
              <w:left w:val="nil"/>
              <w:bottom w:val="nil"/>
              <w:right w:val="nil"/>
            </w:tcBorders>
          </w:tcPr>
          <w:p w14:paraId="59F19CD2" w14:textId="77777777" w:rsidR="00B54D51" w:rsidRPr="00037AD4" w:rsidRDefault="00B54D51" w:rsidP="00401C67">
            <w:pPr>
              <w:widowControl w:val="0"/>
              <w:autoSpaceDE w:val="0"/>
              <w:autoSpaceDN w:val="0"/>
              <w:adjustRightInd w:val="0"/>
              <w:jc w:val="center"/>
            </w:pPr>
            <w:r w:rsidRPr="00037AD4">
              <w:t>1329.866</w:t>
            </w:r>
          </w:p>
        </w:tc>
        <w:tc>
          <w:tcPr>
            <w:tcW w:w="673" w:type="pct"/>
            <w:tcBorders>
              <w:top w:val="nil"/>
              <w:left w:val="nil"/>
              <w:bottom w:val="nil"/>
              <w:right w:val="nil"/>
            </w:tcBorders>
          </w:tcPr>
          <w:p w14:paraId="251A1AE7" w14:textId="77777777" w:rsidR="00B54D51" w:rsidRPr="00037AD4" w:rsidRDefault="00B54D51" w:rsidP="00401C67">
            <w:pPr>
              <w:widowControl w:val="0"/>
              <w:autoSpaceDE w:val="0"/>
              <w:autoSpaceDN w:val="0"/>
              <w:adjustRightInd w:val="0"/>
              <w:jc w:val="center"/>
            </w:pPr>
            <w:r w:rsidRPr="00037AD4">
              <w:t>1349.602</w:t>
            </w:r>
          </w:p>
        </w:tc>
        <w:tc>
          <w:tcPr>
            <w:tcW w:w="673" w:type="pct"/>
            <w:tcBorders>
              <w:top w:val="nil"/>
              <w:left w:val="nil"/>
              <w:bottom w:val="nil"/>
              <w:right w:val="nil"/>
            </w:tcBorders>
          </w:tcPr>
          <w:p w14:paraId="7586D7FF" w14:textId="77777777" w:rsidR="00B54D51" w:rsidRPr="00037AD4" w:rsidRDefault="00B54D51" w:rsidP="00401C67">
            <w:pPr>
              <w:widowControl w:val="0"/>
              <w:autoSpaceDE w:val="0"/>
              <w:autoSpaceDN w:val="0"/>
              <w:adjustRightInd w:val="0"/>
              <w:jc w:val="center"/>
            </w:pPr>
            <w:r w:rsidRPr="00037AD4">
              <w:t>1355.341</w:t>
            </w:r>
          </w:p>
        </w:tc>
        <w:tc>
          <w:tcPr>
            <w:tcW w:w="673" w:type="pct"/>
            <w:tcBorders>
              <w:top w:val="nil"/>
              <w:left w:val="nil"/>
              <w:bottom w:val="nil"/>
              <w:right w:val="nil"/>
            </w:tcBorders>
          </w:tcPr>
          <w:p w14:paraId="511947CC" w14:textId="77777777" w:rsidR="00B54D51" w:rsidRPr="00037AD4" w:rsidRDefault="00B54D51" w:rsidP="00401C67">
            <w:pPr>
              <w:widowControl w:val="0"/>
              <w:autoSpaceDE w:val="0"/>
              <w:autoSpaceDN w:val="0"/>
              <w:adjustRightInd w:val="0"/>
              <w:jc w:val="center"/>
            </w:pPr>
            <w:r w:rsidRPr="00037AD4">
              <w:t>1355.442</w:t>
            </w:r>
          </w:p>
        </w:tc>
        <w:tc>
          <w:tcPr>
            <w:tcW w:w="673" w:type="pct"/>
            <w:tcBorders>
              <w:top w:val="nil"/>
              <w:left w:val="nil"/>
              <w:bottom w:val="nil"/>
              <w:right w:val="nil"/>
            </w:tcBorders>
          </w:tcPr>
          <w:p w14:paraId="51E4482E" w14:textId="77777777" w:rsidR="00B54D51" w:rsidRPr="00037AD4" w:rsidRDefault="00B54D51" w:rsidP="00401C67">
            <w:pPr>
              <w:widowControl w:val="0"/>
              <w:autoSpaceDE w:val="0"/>
              <w:autoSpaceDN w:val="0"/>
              <w:adjustRightInd w:val="0"/>
              <w:jc w:val="center"/>
            </w:pPr>
            <w:r w:rsidRPr="00037AD4">
              <w:t>1354.449</w:t>
            </w:r>
          </w:p>
        </w:tc>
        <w:tc>
          <w:tcPr>
            <w:tcW w:w="658" w:type="pct"/>
            <w:tcBorders>
              <w:top w:val="nil"/>
              <w:left w:val="nil"/>
              <w:bottom w:val="nil"/>
              <w:right w:val="nil"/>
            </w:tcBorders>
          </w:tcPr>
          <w:p w14:paraId="3DB1FC34" w14:textId="77777777" w:rsidR="00B54D51" w:rsidRPr="00037AD4" w:rsidRDefault="00B54D51" w:rsidP="00401C67">
            <w:pPr>
              <w:widowControl w:val="0"/>
              <w:autoSpaceDE w:val="0"/>
              <w:autoSpaceDN w:val="0"/>
              <w:adjustRightInd w:val="0"/>
              <w:jc w:val="center"/>
            </w:pPr>
            <w:r w:rsidRPr="00037AD4">
              <w:t>1361.531</w:t>
            </w:r>
          </w:p>
        </w:tc>
      </w:tr>
      <w:tr w:rsidR="00B54D51" w:rsidRPr="00037AD4" w14:paraId="16F9F561" w14:textId="77777777" w:rsidTr="00401C67">
        <w:tblPrEx>
          <w:tblBorders>
            <w:bottom w:val="single" w:sz="6" w:space="0" w:color="auto"/>
          </w:tblBorders>
        </w:tblPrEx>
        <w:trPr>
          <w:jc w:val="center"/>
        </w:trPr>
        <w:tc>
          <w:tcPr>
            <w:tcW w:w="977" w:type="pct"/>
            <w:tcBorders>
              <w:top w:val="nil"/>
              <w:left w:val="nil"/>
              <w:bottom w:val="nil"/>
              <w:right w:val="nil"/>
            </w:tcBorders>
          </w:tcPr>
          <w:p w14:paraId="5F6934FB" w14:textId="77777777" w:rsidR="00B54D51" w:rsidRPr="00037AD4" w:rsidRDefault="00B54D51" w:rsidP="00401C67">
            <w:pPr>
              <w:widowControl w:val="0"/>
              <w:autoSpaceDE w:val="0"/>
              <w:autoSpaceDN w:val="0"/>
              <w:adjustRightInd w:val="0"/>
            </w:pPr>
            <w:r w:rsidRPr="00037AD4">
              <w:t>BIC</w:t>
            </w:r>
          </w:p>
        </w:tc>
        <w:tc>
          <w:tcPr>
            <w:tcW w:w="673" w:type="pct"/>
            <w:tcBorders>
              <w:top w:val="nil"/>
              <w:left w:val="nil"/>
              <w:bottom w:val="nil"/>
              <w:right w:val="nil"/>
            </w:tcBorders>
          </w:tcPr>
          <w:p w14:paraId="62226F1A" w14:textId="77777777" w:rsidR="00B54D51" w:rsidRPr="00037AD4" w:rsidRDefault="00B54D51" w:rsidP="00401C67">
            <w:pPr>
              <w:widowControl w:val="0"/>
              <w:autoSpaceDE w:val="0"/>
              <w:autoSpaceDN w:val="0"/>
              <w:adjustRightInd w:val="0"/>
              <w:jc w:val="center"/>
            </w:pPr>
            <w:r w:rsidRPr="00037AD4">
              <w:t>1474.463</w:t>
            </w:r>
          </w:p>
        </w:tc>
        <w:tc>
          <w:tcPr>
            <w:tcW w:w="673" w:type="pct"/>
            <w:tcBorders>
              <w:top w:val="nil"/>
              <w:left w:val="nil"/>
              <w:bottom w:val="nil"/>
              <w:right w:val="nil"/>
            </w:tcBorders>
          </w:tcPr>
          <w:p w14:paraId="5E0D2431" w14:textId="77777777" w:rsidR="00B54D51" w:rsidRPr="00037AD4" w:rsidRDefault="00B54D51" w:rsidP="00401C67">
            <w:pPr>
              <w:widowControl w:val="0"/>
              <w:autoSpaceDE w:val="0"/>
              <w:autoSpaceDN w:val="0"/>
              <w:adjustRightInd w:val="0"/>
              <w:jc w:val="center"/>
            </w:pPr>
            <w:r w:rsidRPr="00037AD4">
              <w:t>1405.817</w:t>
            </w:r>
          </w:p>
        </w:tc>
        <w:tc>
          <w:tcPr>
            <w:tcW w:w="673" w:type="pct"/>
            <w:tcBorders>
              <w:top w:val="nil"/>
              <w:left w:val="nil"/>
              <w:bottom w:val="nil"/>
              <w:right w:val="nil"/>
            </w:tcBorders>
          </w:tcPr>
          <w:p w14:paraId="39324D49" w14:textId="77777777" w:rsidR="00B54D51" w:rsidRPr="00037AD4" w:rsidRDefault="00B54D51" w:rsidP="00401C67">
            <w:pPr>
              <w:widowControl w:val="0"/>
              <w:autoSpaceDE w:val="0"/>
              <w:autoSpaceDN w:val="0"/>
              <w:adjustRightInd w:val="0"/>
              <w:jc w:val="center"/>
            </w:pPr>
            <w:r w:rsidRPr="00037AD4">
              <w:t>1392.514</w:t>
            </w:r>
          </w:p>
        </w:tc>
        <w:tc>
          <w:tcPr>
            <w:tcW w:w="673" w:type="pct"/>
            <w:tcBorders>
              <w:top w:val="nil"/>
              <w:left w:val="nil"/>
              <w:bottom w:val="nil"/>
              <w:right w:val="nil"/>
            </w:tcBorders>
          </w:tcPr>
          <w:p w14:paraId="59CBA90F" w14:textId="77777777" w:rsidR="00B54D51" w:rsidRPr="00037AD4" w:rsidRDefault="00B54D51" w:rsidP="00401C67">
            <w:pPr>
              <w:widowControl w:val="0"/>
              <w:autoSpaceDE w:val="0"/>
              <w:autoSpaceDN w:val="0"/>
              <w:adjustRightInd w:val="0"/>
              <w:jc w:val="center"/>
            </w:pPr>
            <w:r w:rsidRPr="00037AD4">
              <w:t>1392.929</w:t>
            </w:r>
          </w:p>
        </w:tc>
        <w:tc>
          <w:tcPr>
            <w:tcW w:w="673" w:type="pct"/>
            <w:tcBorders>
              <w:top w:val="nil"/>
              <w:left w:val="nil"/>
              <w:bottom w:val="nil"/>
              <w:right w:val="nil"/>
            </w:tcBorders>
          </w:tcPr>
          <w:p w14:paraId="75217F7C" w14:textId="77777777" w:rsidR="00B54D51" w:rsidRPr="00037AD4" w:rsidRDefault="00B54D51" w:rsidP="00401C67">
            <w:pPr>
              <w:widowControl w:val="0"/>
              <w:autoSpaceDE w:val="0"/>
              <w:autoSpaceDN w:val="0"/>
              <w:adjustRightInd w:val="0"/>
              <w:jc w:val="center"/>
            </w:pPr>
            <w:r w:rsidRPr="00037AD4">
              <w:t>1391.936</w:t>
            </w:r>
          </w:p>
        </w:tc>
        <w:tc>
          <w:tcPr>
            <w:tcW w:w="658" w:type="pct"/>
            <w:tcBorders>
              <w:top w:val="nil"/>
              <w:left w:val="nil"/>
              <w:bottom w:val="nil"/>
              <w:right w:val="nil"/>
            </w:tcBorders>
          </w:tcPr>
          <w:p w14:paraId="2124AC7D" w14:textId="77777777" w:rsidR="00B54D51" w:rsidRPr="00037AD4" w:rsidRDefault="00B54D51" w:rsidP="00401C67">
            <w:pPr>
              <w:widowControl w:val="0"/>
              <w:autoSpaceDE w:val="0"/>
              <w:autoSpaceDN w:val="0"/>
              <w:adjustRightInd w:val="0"/>
              <w:jc w:val="center"/>
            </w:pPr>
            <w:r w:rsidRPr="00037AD4">
              <w:t>1394.366</w:t>
            </w:r>
          </w:p>
        </w:tc>
      </w:tr>
      <w:tr w:rsidR="00B54D51" w:rsidRPr="00037AD4" w14:paraId="381FB0E2" w14:textId="77777777" w:rsidTr="00401C67">
        <w:tblPrEx>
          <w:tblBorders>
            <w:bottom w:val="single" w:sz="6" w:space="0" w:color="auto"/>
          </w:tblBorders>
        </w:tblPrEx>
        <w:trPr>
          <w:jc w:val="center"/>
        </w:trPr>
        <w:tc>
          <w:tcPr>
            <w:tcW w:w="977" w:type="pct"/>
            <w:tcBorders>
              <w:top w:val="nil"/>
              <w:left w:val="nil"/>
              <w:bottom w:val="single" w:sz="6" w:space="0" w:color="auto"/>
              <w:right w:val="nil"/>
            </w:tcBorders>
          </w:tcPr>
          <w:p w14:paraId="0E474609" w14:textId="77777777" w:rsidR="00B54D51" w:rsidRPr="00037AD4" w:rsidRDefault="00B54D51" w:rsidP="00401C67">
            <w:pPr>
              <w:widowControl w:val="0"/>
              <w:autoSpaceDE w:val="0"/>
              <w:autoSpaceDN w:val="0"/>
              <w:adjustRightInd w:val="0"/>
            </w:pPr>
            <w:r w:rsidRPr="00037AD4">
              <w:t>Log likelihood (model)</w:t>
            </w:r>
          </w:p>
        </w:tc>
        <w:tc>
          <w:tcPr>
            <w:tcW w:w="673" w:type="pct"/>
            <w:tcBorders>
              <w:top w:val="nil"/>
              <w:left w:val="nil"/>
              <w:bottom w:val="single" w:sz="6" w:space="0" w:color="auto"/>
              <w:right w:val="nil"/>
            </w:tcBorders>
          </w:tcPr>
          <w:p w14:paraId="5F5678CC" w14:textId="77777777" w:rsidR="00B54D51" w:rsidRPr="00037AD4" w:rsidRDefault="00B54D51" w:rsidP="00401C67">
            <w:pPr>
              <w:widowControl w:val="0"/>
              <w:autoSpaceDE w:val="0"/>
              <w:autoSpaceDN w:val="0"/>
              <w:adjustRightInd w:val="0"/>
              <w:jc w:val="center"/>
            </w:pPr>
            <w:r w:rsidRPr="00037AD4">
              <w:t>-633.933</w:t>
            </w:r>
          </w:p>
        </w:tc>
        <w:tc>
          <w:tcPr>
            <w:tcW w:w="673" w:type="pct"/>
            <w:tcBorders>
              <w:top w:val="nil"/>
              <w:left w:val="nil"/>
              <w:bottom w:val="single" w:sz="6" w:space="0" w:color="auto"/>
              <w:right w:val="nil"/>
            </w:tcBorders>
          </w:tcPr>
          <w:p w14:paraId="1365066D" w14:textId="77777777" w:rsidR="00B54D51" w:rsidRPr="00037AD4" w:rsidRDefault="00B54D51" w:rsidP="00401C67">
            <w:pPr>
              <w:widowControl w:val="0"/>
              <w:autoSpaceDE w:val="0"/>
              <w:autoSpaceDN w:val="0"/>
              <w:adjustRightInd w:val="0"/>
              <w:jc w:val="center"/>
            </w:pPr>
            <w:r w:rsidRPr="00037AD4">
              <w:t>-662.801</w:t>
            </w:r>
          </w:p>
        </w:tc>
        <w:tc>
          <w:tcPr>
            <w:tcW w:w="673" w:type="pct"/>
            <w:tcBorders>
              <w:top w:val="nil"/>
              <w:left w:val="nil"/>
              <w:bottom w:val="single" w:sz="6" w:space="0" w:color="auto"/>
              <w:right w:val="nil"/>
            </w:tcBorders>
          </w:tcPr>
          <w:p w14:paraId="25B42EAF" w14:textId="77777777" w:rsidR="00B54D51" w:rsidRPr="00037AD4" w:rsidRDefault="00B54D51" w:rsidP="00401C67">
            <w:pPr>
              <w:widowControl w:val="0"/>
              <w:autoSpaceDE w:val="0"/>
              <w:autoSpaceDN w:val="0"/>
              <w:adjustRightInd w:val="0"/>
              <w:jc w:val="center"/>
            </w:pPr>
            <w:r w:rsidRPr="00037AD4">
              <w:t>-668.671</w:t>
            </w:r>
          </w:p>
        </w:tc>
        <w:tc>
          <w:tcPr>
            <w:tcW w:w="673" w:type="pct"/>
            <w:tcBorders>
              <w:top w:val="nil"/>
              <w:left w:val="nil"/>
              <w:bottom w:val="single" w:sz="6" w:space="0" w:color="auto"/>
              <w:right w:val="nil"/>
            </w:tcBorders>
          </w:tcPr>
          <w:p w14:paraId="0C6FB410" w14:textId="77777777" w:rsidR="00B54D51" w:rsidRPr="00037AD4" w:rsidRDefault="00B54D51" w:rsidP="00401C67">
            <w:pPr>
              <w:widowControl w:val="0"/>
              <w:autoSpaceDE w:val="0"/>
              <w:autoSpaceDN w:val="0"/>
              <w:adjustRightInd w:val="0"/>
              <w:jc w:val="center"/>
            </w:pPr>
            <w:r w:rsidRPr="00037AD4">
              <w:t>-669.721</w:t>
            </w:r>
          </w:p>
        </w:tc>
        <w:tc>
          <w:tcPr>
            <w:tcW w:w="673" w:type="pct"/>
            <w:tcBorders>
              <w:top w:val="nil"/>
              <w:left w:val="nil"/>
              <w:bottom w:val="single" w:sz="6" w:space="0" w:color="auto"/>
              <w:right w:val="nil"/>
            </w:tcBorders>
          </w:tcPr>
          <w:p w14:paraId="345B7E0A" w14:textId="77777777" w:rsidR="00B54D51" w:rsidRPr="00037AD4" w:rsidRDefault="00B54D51" w:rsidP="00401C67">
            <w:pPr>
              <w:widowControl w:val="0"/>
              <w:autoSpaceDE w:val="0"/>
              <w:autoSpaceDN w:val="0"/>
              <w:adjustRightInd w:val="0"/>
              <w:jc w:val="center"/>
            </w:pPr>
            <w:r w:rsidRPr="00037AD4">
              <w:t>-669.225</w:t>
            </w:r>
          </w:p>
        </w:tc>
        <w:tc>
          <w:tcPr>
            <w:tcW w:w="658" w:type="pct"/>
            <w:tcBorders>
              <w:top w:val="nil"/>
              <w:left w:val="nil"/>
              <w:bottom w:val="single" w:sz="6" w:space="0" w:color="auto"/>
              <w:right w:val="nil"/>
            </w:tcBorders>
          </w:tcPr>
          <w:p w14:paraId="34FF1043" w14:textId="77777777" w:rsidR="00B54D51" w:rsidRPr="00037AD4" w:rsidRDefault="00B54D51" w:rsidP="00401C67">
            <w:pPr>
              <w:widowControl w:val="0"/>
              <w:autoSpaceDE w:val="0"/>
              <w:autoSpaceDN w:val="0"/>
              <w:adjustRightInd w:val="0"/>
              <w:jc w:val="center"/>
            </w:pPr>
            <w:r w:rsidRPr="00037AD4">
              <w:t>-673.765</w:t>
            </w:r>
          </w:p>
        </w:tc>
      </w:tr>
    </w:tbl>
    <w:p w14:paraId="32D1A013" w14:textId="77777777" w:rsidR="00B54D51" w:rsidRPr="00037AD4" w:rsidRDefault="00B54D51" w:rsidP="001D7ACE">
      <w:pPr>
        <w:widowControl w:val="0"/>
        <w:autoSpaceDE w:val="0"/>
        <w:autoSpaceDN w:val="0"/>
        <w:adjustRightInd w:val="0"/>
        <w:jc w:val="center"/>
      </w:pPr>
      <w:r w:rsidRPr="00037AD4">
        <w:t>Robust ci in parentheses</w:t>
      </w:r>
    </w:p>
    <w:p w14:paraId="2EF6C7CE" w14:textId="77777777" w:rsidR="00B54D51" w:rsidRPr="00037AD4" w:rsidRDefault="00B54D51" w:rsidP="001D7ACE">
      <w:pPr>
        <w:widowControl w:val="0"/>
        <w:autoSpaceDE w:val="0"/>
        <w:autoSpaceDN w:val="0"/>
        <w:adjustRightInd w:val="0"/>
        <w:jc w:val="center"/>
      </w:pPr>
      <w:r w:rsidRPr="00037AD4">
        <w:t>*** p&lt;0.01, ** p&lt;0.05, * p&lt;0.1</w:t>
      </w:r>
    </w:p>
    <w:p w14:paraId="4C5BE794" w14:textId="77777777" w:rsidR="00B54D51" w:rsidRPr="00037AD4" w:rsidRDefault="00B54D51" w:rsidP="001D7ACE">
      <w:pPr>
        <w:rPr>
          <w:color w:val="FF0000"/>
          <w:u w:val="single"/>
        </w:rPr>
      </w:pPr>
    </w:p>
    <w:p w14:paraId="7CCFE603" w14:textId="77777777" w:rsidR="00B54D51" w:rsidRPr="00037AD4" w:rsidRDefault="00B54D51" w:rsidP="001D7ACE">
      <w:pPr>
        <w:rPr>
          <w:rFonts w:asciiTheme="minorHAnsi" w:hAnsiTheme="minorHAnsi" w:cstheme="minorHAnsi"/>
          <w:color w:val="FF0000"/>
          <w:u w:val="single"/>
        </w:rPr>
      </w:pPr>
    </w:p>
    <w:p w14:paraId="4EB80BB5" w14:textId="77777777" w:rsidR="00B54D51" w:rsidRPr="00037AD4" w:rsidRDefault="00B54D51" w:rsidP="001D7ACE">
      <w:pPr>
        <w:rPr>
          <w:rFonts w:asciiTheme="minorHAnsi" w:hAnsiTheme="minorHAnsi" w:cstheme="minorHAnsi"/>
          <w:u w:val="single"/>
        </w:rPr>
      </w:pPr>
      <w:r w:rsidRPr="00037AD4">
        <w:rPr>
          <w:rFonts w:asciiTheme="minorHAnsi" w:hAnsiTheme="minorHAnsi" w:cstheme="minorHAnsi"/>
          <w:u w:val="single"/>
        </w:rPr>
        <w:t xml:space="preserve">Table </w:t>
      </w:r>
      <w:r w:rsidRPr="00037AD4">
        <w:rPr>
          <w:rFonts w:asciiTheme="minorHAnsi" w:hAnsiTheme="minorHAnsi" w:cstheme="minorHAnsi"/>
          <w:color w:val="000000" w:themeColor="text1"/>
          <w:u w:val="single"/>
        </w:rPr>
        <w:t>A6.2l</w:t>
      </w:r>
      <w:r w:rsidRPr="00037AD4">
        <w:rPr>
          <w:rFonts w:asciiTheme="minorHAnsi" w:hAnsiTheme="minorHAnsi" w:cstheme="minorHAnsi"/>
          <w:u w:val="single"/>
        </w:rPr>
        <w:t>, Summary table of coefficients for the selected “pain/discomfort” models</w:t>
      </w:r>
    </w:p>
    <w:p w14:paraId="05A5FA18" w14:textId="77777777" w:rsidR="00B54D51" w:rsidRPr="00037AD4" w:rsidRDefault="00B54D51" w:rsidP="001D7ACE">
      <w:pPr>
        <w:rPr>
          <w:rFonts w:asciiTheme="minorHAnsi" w:hAnsiTheme="minorHAnsi" w:cstheme="minorHAnsi"/>
          <w:color w:val="FF0000"/>
          <w:u w:val="single"/>
        </w:rPr>
      </w:pPr>
    </w:p>
    <w:tbl>
      <w:tblPr>
        <w:tblStyle w:val="TableGrid"/>
        <w:tblW w:w="0" w:type="auto"/>
        <w:tblLook w:val="04A0" w:firstRow="1" w:lastRow="0" w:firstColumn="1" w:lastColumn="0" w:noHBand="0" w:noVBand="1"/>
      </w:tblPr>
      <w:tblGrid>
        <w:gridCol w:w="3005"/>
        <w:gridCol w:w="3005"/>
        <w:gridCol w:w="3006"/>
      </w:tblGrid>
      <w:tr w:rsidR="00B54D51" w:rsidRPr="00037AD4" w14:paraId="276A3E2C" w14:textId="77777777" w:rsidTr="00401C67">
        <w:tc>
          <w:tcPr>
            <w:tcW w:w="3005" w:type="dxa"/>
          </w:tcPr>
          <w:p w14:paraId="4B782E4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Regression variables </w:t>
            </w:r>
          </w:p>
        </w:tc>
        <w:tc>
          <w:tcPr>
            <w:tcW w:w="3005" w:type="dxa"/>
          </w:tcPr>
          <w:p w14:paraId="5C953A0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ACTIFCARE (target PwD)</w:t>
            </w:r>
          </w:p>
        </w:tc>
        <w:tc>
          <w:tcPr>
            <w:tcW w:w="3006" w:type="dxa"/>
          </w:tcPr>
          <w:p w14:paraId="63E01A9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EPIC (target PwD)</w:t>
            </w:r>
          </w:p>
        </w:tc>
      </w:tr>
      <w:tr w:rsidR="00B54D51" w:rsidRPr="00037AD4" w14:paraId="41464FFA" w14:textId="77777777" w:rsidTr="00401C67">
        <w:tc>
          <w:tcPr>
            <w:tcW w:w="3005" w:type="dxa"/>
          </w:tcPr>
          <w:p w14:paraId="31DFF3D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Pain/discomfort (2)</w:t>
            </w:r>
          </w:p>
        </w:tc>
        <w:tc>
          <w:tcPr>
            <w:tcW w:w="3005" w:type="dxa"/>
          </w:tcPr>
          <w:p w14:paraId="779AD22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w:t>
            </w:r>
          </w:p>
        </w:tc>
        <w:tc>
          <w:tcPr>
            <w:tcW w:w="3006" w:type="dxa"/>
          </w:tcPr>
          <w:p w14:paraId="097DFC5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0.320*</w:t>
            </w:r>
          </w:p>
        </w:tc>
      </w:tr>
      <w:tr w:rsidR="00B54D51" w:rsidRPr="00037AD4" w14:paraId="390AD1CA" w14:textId="77777777" w:rsidTr="00401C67">
        <w:tc>
          <w:tcPr>
            <w:tcW w:w="3005" w:type="dxa"/>
          </w:tcPr>
          <w:p w14:paraId="4176F06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Pain/discomfort (3)</w:t>
            </w:r>
          </w:p>
        </w:tc>
        <w:tc>
          <w:tcPr>
            <w:tcW w:w="3005" w:type="dxa"/>
          </w:tcPr>
          <w:p w14:paraId="0AF17D4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w:t>
            </w:r>
          </w:p>
        </w:tc>
        <w:tc>
          <w:tcPr>
            <w:tcW w:w="3006" w:type="dxa"/>
          </w:tcPr>
          <w:p w14:paraId="6D60E3A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0.795*</w:t>
            </w:r>
          </w:p>
        </w:tc>
      </w:tr>
      <w:tr w:rsidR="00B54D51" w:rsidRPr="00037AD4" w14:paraId="2FA6A2D2" w14:textId="77777777" w:rsidTr="00401C67">
        <w:tc>
          <w:tcPr>
            <w:tcW w:w="3005" w:type="dxa"/>
            <w:vMerge w:val="restart"/>
          </w:tcPr>
          <w:p w14:paraId="6F1F14E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Pain/discomfort (4/5)</w:t>
            </w:r>
          </w:p>
          <w:p w14:paraId="16722961" w14:textId="77777777" w:rsidR="00B54D51" w:rsidRPr="00037AD4" w:rsidRDefault="00B54D51" w:rsidP="00401C67">
            <w:pPr>
              <w:rPr>
                <w:rFonts w:asciiTheme="minorHAnsi" w:hAnsiTheme="minorHAnsi" w:cstheme="minorHAnsi"/>
              </w:rPr>
            </w:pPr>
          </w:p>
        </w:tc>
        <w:tc>
          <w:tcPr>
            <w:tcW w:w="3005" w:type="dxa"/>
          </w:tcPr>
          <w:p w14:paraId="34AA361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w:t>
            </w:r>
          </w:p>
        </w:tc>
        <w:tc>
          <w:tcPr>
            <w:tcW w:w="3006" w:type="dxa"/>
            <w:vMerge w:val="restart"/>
          </w:tcPr>
          <w:p w14:paraId="00EA17F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1.122*</w:t>
            </w:r>
          </w:p>
        </w:tc>
      </w:tr>
      <w:tr w:rsidR="00B54D51" w:rsidRPr="00037AD4" w14:paraId="492CAB4F" w14:textId="77777777" w:rsidTr="00401C67">
        <w:tc>
          <w:tcPr>
            <w:tcW w:w="3005" w:type="dxa"/>
            <w:vMerge/>
          </w:tcPr>
          <w:p w14:paraId="26C11354" w14:textId="77777777" w:rsidR="00B54D51" w:rsidRPr="00037AD4" w:rsidRDefault="00B54D51" w:rsidP="00401C67">
            <w:pPr>
              <w:rPr>
                <w:rFonts w:asciiTheme="minorHAnsi" w:hAnsiTheme="minorHAnsi" w:cstheme="minorHAnsi"/>
              </w:rPr>
            </w:pPr>
          </w:p>
        </w:tc>
        <w:tc>
          <w:tcPr>
            <w:tcW w:w="3005" w:type="dxa"/>
          </w:tcPr>
          <w:p w14:paraId="580F55F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w:t>
            </w:r>
          </w:p>
        </w:tc>
        <w:tc>
          <w:tcPr>
            <w:tcW w:w="3006" w:type="dxa"/>
            <w:vMerge/>
          </w:tcPr>
          <w:p w14:paraId="5F61E21F" w14:textId="77777777" w:rsidR="00B54D51" w:rsidRPr="00037AD4" w:rsidRDefault="00B54D51" w:rsidP="00401C67">
            <w:pPr>
              <w:rPr>
                <w:rFonts w:asciiTheme="minorHAnsi" w:hAnsiTheme="minorHAnsi" w:cstheme="minorHAnsi"/>
              </w:rPr>
            </w:pPr>
          </w:p>
        </w:tc>
      </w:tr>
      <w:tr w:rsidR="00B54D51" w:rsidRPr="00037AD4" w14:paraId="3A433197" w14:textId="77777777" w:rsidTr="00401C67">
        <w:tc>
          <w:tcPr>
            <w:tcW w:w="3005" w:type="dxa"/>
          </w:tcPr>
          <w:p w14:paraId="51B4CCB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Anxiety/depression (2)</w:t>
            </w:r>
          </w:p>
        </w:tc>
        <w:tc>
          <w:tcPr>
            <w:tcW w:w="3005" w:type="dxa"/>
          </w:tcPr>
          <w:p w14:paraId="201D77B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0.596*</w:t>
            </w:r>
          </w:p>
        </w:tc>
        <w:tc>
          <w:tcPr>
            <w:tcW w:w="3006" w:type="dxa"/>
          </w:tcPr>
          <w:p w14:paraId="2586AA6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w:t>
            </w:r>
          </w:p>
        </w:tc>
      </w:tr>
      <w:tr w:rsidR="00B54D51" w:rsidRPr="00037AD4" w14:paraId="147D1EA7" w14:textId="77777777" w:rsidTr="00401C67">
        <w:tc>
          <w:tcPr>
            <w:tcW w:w="3005" w:type="dxa"/>
          </w:tcPr>
          <w:p w14:paraId="3ED24C5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Anxiety/depression (3)</w:t>
            </w:r>
          </w:p>
        </w:tc>
        <w:tc>
          <w:tcPr>
            <w:tcW w:w="3005" w:type="dxa"/>
          </w:tcPr>
          <w:p w14:paraId="24C7815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1.022*</w:t>
            </w:r>
          </w:p>
        </w:tc>
        <w:tc>
          <w:tcPr>
            <w:tcW w:w="3006" w:type="dxa"/>
          </w:tcPr>
          <w:p w14:paraId="14B8E6D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w:t>
            </w:r>
          </w:p>
        </w:tc>
      </w:tr>
      <w:tr w:rsidR="00B54D51" w:rsidRPr="00037AD4" w14:paraId="6E1BDE3D" w14:textId="77777777" w:rsidTr="00401C67">
        <w:tc>
          <w:tcPr>
            <w:tcW w:w="3005" w:type="dxa"/>
          </w:tcPr>
          <w:p w14:paraId="1F0D9DE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Anxiety/depression (4)</w:t>
            </w:r>
          </w:p>
        </w:tc>
        <w:tc>
          <w:tcPr>
            <w:tcW w:w="3005" w:type="dxa"/>
          </w:tcPr>
          <w:p w14:paraId="686F40F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1.415*</w:t>
            </w:r>
          </w:p>
        </w:tc>
        <w:tc>
          <w:tcPr>
            <w:tcW w:w="3006" w:type="dxa"/>
          </w:tcPr>
          <w:p w14:paraId="0F1D323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w:t>
            </w:r>
          </w:p>
        </w:tc>
      </w:tr>
      <w:tr w:rsidR="00B54D51" w:rsidRPr="00037AD4" w14:paraId="3C69E1A4" w14:textId="77777777" w:rsidTr="00401C67">
        <w:tc>
          <w:tcPr>
            <w:tcW w:w="3005" w:type="dxa"/>
          </w:tcPr>
          <w:p w14:paraId="3E29B2D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Anxiety/depression (5)</w:t>
            </w:r>
          </w:p>
        </w:tc>
        <w:tc>
          <w:tcPr>
            <w:tcW w:w="3005" w:type="dxa"/>
          </w:tcPr>
          <w:p w14:paraId="60BE8C2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2.073*</w:t>
            </w:r>
          </w:p>
        </w:tc>
        <w:tc>
          <w:tcPr>
            <w:tcW w:w="3006" w:type="dxa"/>
          </w:tcPr>
          <w:p w14:paraId="0913171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w:t>
            </w:r>
          </w:p>
        </w:tc>
      </w:tr>
      <w:tr w:rsidR="00B54D51" w:rsidRPr="00037AD4" w14:paraId="562B2055" w14:textId="77777777" w:rsidTr="00401C67">
        <w:tc>
          <w:tcPr>
            <w:tcW w:w="3005" w:type="dxa"/>
          </w:tcPr>
          <w:p w14:paraId="450215F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PwD age</w:t>
            </w:r>
          </w:p>
        </w:tc>
        <w:tc>
          <w:tcPr>
            <w:tcW w:w="3005" w:type="dxa"/>
          </w:tcPr>
          <w:p w14:paraId="7C115FD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0.012*</w:t>
            </w:r>
          </w:p>
        </w:tc>
        <w:tc>
          <w:tcPr>
            <w:tcW w:w="3006" w:type="dxa"/>
          </w:tcPr>
          <w:p w14:paraId="4196EDB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-0.009</w:t>
            </w:r>
          </w:p>
        </w:tc>
      </w:tr>
      <w:tr w:rsidR="00B54D51" w:rsidRPr="00037AD4" w14:paraId="7AFD452C" w14:textId="77777777" w:rsidTr="00401C67">
        <w:tc>
          <w:tcPr>
            <w:tcW w:w="3005" w:type="dxa"/>
          </w:tcPr>
          <w:p w14:paraId="4F84515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PwD sex </w:t>
            </w:r>
          </w:p>
        </w:tc>
        <w:tc>
          <w:tcPr>
            <w:tcW w:w="3005" w:type="dxa"/>
          </w:tcPr>
          <w:p w14:paraId="2230749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0.017</w:t>
            </w:r>
          </w:p>
        </w:tc>
        <w:tc>
          <w:tcPr>
            <w:tcW w:w="3006" w:type="dxa"/>
          </w:tcPr>
          <w:p w14:paraId="37F6328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-0.110</w:t>
            </w:r>
          </w:p>
        </w:tc>
      </w:tr>
      <w:tr w:rsidR="00B54D51" w:rsidRPr="00037AD4" w14:paraId="73F511FB" w14:textId="77777777" w:rsidTr="00401C67">
        <w:tc>
          <w:tcPr>
            <w:tcW w:w="3005" w:type="dxa"/>
          </w:tcPr>
          <w:p w14:paraId="6153AAE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MMSE</w:t>
            </w:r>
          </w:p>
        </w:tc>
        <w:tc>
          <w:tcPr>
            <w:tcW w:w="3005" w:type="dxa"/>
          </w:tcPr>
          <w:p w14:paraId="61D0854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0.020*</w:t>
            </w:r>
          </w:p>
        </w:tc>
        <w:tc>
          <w:tcPr>
            <w:tcW w:w="3006" w:type="dxa"/>
          </w:tcPr>
          <w:p w14:paraId="179616CA" w14:textId="77777777" w:rsidR="00B54D51" w:rsidRPr="00037AD4" w:rsidRDefault="00B54D51" w:rsidP="00401C67">
            <w:pPr>
              <w:rPr>
                <w:rFonts w:asciiTheme="minorHAnsi" w:hAnsiTheme="minorHAnsi" w:cstheme="minorHAnsi"/>
                <w:color w:val="FF0000"/>
              </w:rPr>
            </w:pPr>
            <w:r w:rsidRPr="00037AD4">
              <w:rPr>
                <w:rFonts w:asciiTheme="minorHAnsi" w:hAnsiTheme="minorHAnsi" w:cstheme="minorHAnsi"/>
                <w:color w:val="FF0000"/>
              </w:rPr>
              <w:t>-</w:t>
            </w:r>
          </w:p>
        </w:tc>
      </w:tr>
      <w:tr w:rsidR="00B54D51" w:rsidRPr="00037AD4" w14:paraId="22F87B84" w14:textId="77777777" w:rsidTr="00401C67">
        <w:tc>
          <w:tcPr>
            <w:tcW w:w="3005" w:type="dxa"/>
          </w:tcPr>
          <w:p w14:paraId="1BBFB8C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Model fit statistics </w:t>
            </w:r>
          </w:p>
        </w:tc>
        <w:tc>
          <w:tcPr>
            <w:tcW w:w="3005" w:type="dxa"/>
          </w:tcPr>
          <w:p w14:paraId="25208808" w14:textId="77777777" w:rsidR="00B54D51" w:rsidRPr="00037AD4" w:rsidRDefault="00B54D51" w:rsidP="00401C67">
            <w:pPr>
              <w:pStyle w:val="ListParagraph"/>
              <w:ind w:left="0"/>
              <w:rPr>
                <w:rFonts w:cstheme="minorHAnsi"/>
                <w:sz w:val="22"/>
                <w:szCs w:val="22"/>
              </w:rPr>
            </w:pPr>
            <w:r w:rsidRPr="00037AD4">
              <w:rPr>
                <w:rFonts w:cstheme="minorHAnsi"/>
                <w:sz w:val="22"/>
                <w:szCs w:val="22"/>
              </w:rPr>
              <w:t>AIC: 2070.851; BIC: 2124.978</w:t>
            </w:r>
          </w:p>
          <w:p w14:paraId="6C0F574C" w14:textId="77777777" w:rsidR="00B54D51" w:rsidRPr="00037AD4" w:rsidRDefault="00B54D51" w:rsidP="00401C67">
            <w:pPr>
              <w:pStyle w:val="ListParagraph"/>
              <w:ind w:left="0"/>
              <w:rPr>
                <w:rFonts w:cstheme="minorHAnsi"/>
                <w:sz w:val="22"/>
                <w:szCs w:val="22"/>
              </w:rPr>
            </w:pPr>
            <w:r w:rsidRPr="00037AD4">
              <w:rPr>
                <w:rFonts w:cstheme="minorHAnsi"/>
                <w:sz w:val="22"/>
                <w:szCs w:val="22"/>
              </w:rPr>
              <w:t>Ll(model): -1024.425</w:t>
            </w:r>
          </w:p>
        </w:tc>
        <w:tc>
          <w:tcPr>
            <w:tcW w:w="3006" w:type="dxa"/>
          </w:tcPr>
          <w:p w14:paraId="2394E7E3" w14:textId="77777777" w:rsidR="00B54D51" w:rsidRPr="00037AD4" w:rsidRDefault="00B54D51" w:rsidP="00401C67">
            <w:pPr>
              <w:pStyle w:val="ListParagraph"/>
              <w:ind w:left="0"/>
              <w:rPr>
                <w:rFonts w:cstheme="minorHAnsi"/>
                <w:sz w:val="22"/>
                <w:szCs w:val="22"/>
              </w:rPr>
            </w:pPr>
            <w:r w:rsidRPr="00037AD4">
              <w:rPr>
                <w:rFonts w:cstheme="minorHAnsi"/>
                <w:sz w:val="22"/>
                <w:szCs w:val="22"/>
              </w:rPr>
              <w:t>AIC: 1355.341; BIC: 1392.514</w:t>
            </w:r>
          </w:p>
          <w:p w14:paraId="2290AAE3" w14:textId="77777777" w:rsidR="00B54D51" w:rsidRPr="00037AD4" w:rsidRDefault="00B54D51" w:rsidP="00401C67">
            <w:pPr>
              <w:pStyle w:val="ListParagraph"/>
              <w:ind w:left="0"/>
              <w:rPr>
                <w:rFonts w:cstheme="minorHAnsi"/>
                <w:sz w:val="22"/>
                <w:szCs w:val="22"/>
              </w:rPr>
            </w:pPr>
            <w:r w:rsidRPr="00037AD4">
              <w:rPr>
                <w:rFonts w:cstheme="minorHAnsi"/>
                <w:sz w:val="22"/>
                <w:szCs w:val="22"/>
              </w:rPr>
              <w:t>Ll(model): -668.671</w:t>
            </w:r>
          </w:p>
        </w:tc>
      </w:tr>
    </w:tbl>
    <w:p w14:paraId="31A74182" w14:textId="77777777" w:rsidR="00B54D51" w:rsidRPr="00037AD4" w:rsidRDefault="00B54D51" w:rsidP="001D7ACE">
      <w:pPr>
        <w:rPr>
          <w:rFonts w:asciiTheme="minorHAnsi" w:hAnsiTheme="minorHAnsi" w:cstheme="minorHAnsi"/>
          <w:color w:val="FF0000"/>
          <w:u w:val="single"/>
        </w:rPr>
      </w:pPr>
    </w:p>
    <w:p w14:paraId="7888E7CC" w14:textId="77777777" w:rsidR="00B54D51" w:rsidRPr="00037AD4" w:rsidRDefault="00B54D51" w:rsidP="001D7ACE">
      <w:pPr>
        <w:rPr>
          <w:rFonts w:asciiTheme="minorHAnsi" w:hAnsiTheme="minorHAnsi" w:cstheme="minorHAnsi"/>
          <w:color w:val="FF0000"/>
          <w:u w:val="single"/>
        </w:rPr>
      </w:pPr>
    </w:p>
    <w:p w14:paraId="37317991" w14:textId="77777777" w:rsidR="00B54D51" w:rsidRPr="00037AD4" w:rsidRDefault="00B54D51" w:rsidP="001D7ACE">
      <w:pPr>
        <w:rPr>
          <w:rFonts w:asciiTheme="minorHAnsi" w:hAnsiTheme="minorHAnsi" w:cstheme="minorHAnsi"/>
          <w:color w:val="FF0000"/>
          <w:u w:val="single"/>
        </w:rPr>
      </w:pPr>
    </w:p>
    <w:p w14:paraId="00117E48" w14:textId="77777777" w:rsidR="00B54D51" w:rsidRPr="00037AD4" w:rsidRDefault="00B54D51" w:rsidP="001D7ACE">
      <w:pPr>
        <w:rPr>
          <w:color w:val="FF0000"/>
          <w:u w:val="single"/>
        </w:rPr>
      </w:pPr>
    </w:p>
    <w:p w14:paraId="3A263206" w14:textId="77777777" w:rsidR="00B54D51" w:rsidRPr="00037AD4" w:rsidRDefault="00B54D51" w:rsidP="001D7ACE">
      <w:pPr>
        <w:rPr>
          <w:rFonts w:asciiTheme="minorHAnsi" w:hAnsiTheme="minorHAnsi" w:cstheme="minorHAnsi"/>
          <w:color w:val="000000" w:themeColor="text1"/>
          <w:u w:val="single"/>
        </w:rPr>
      </w:pPr>
      <w:bookmarkStart w:id="539" w:name="A62AD"/>
      <w:r w:rsidRPr="00037AD4">
        <w:rPr>
          <w:rFonts w:asciiTheme="minorHAnsi" w:hAnsiTheme="minorHAnsi" w:cstheme="minorHAnsi"/>
          <w:color w:val="000000" w:themeColor="text1"/>
          <w:u w:val="single"/>
        </w:rPr>
        <w:lastRenderedPageBreak/>
        <w:t xml:space="preserve">Table A6.2m, “Anxiety/depression” dimension model iterations: ACTIFCARE </w:t>
      </w:r>
    </w:p>
    <w:bookmarkEnd w:id="539"/>
    <w:p w14:paraId="6659EDEA" w14:textId="77777777" w:rsidR="00B54D51" w:rsidRPr="00037AD4" w:rsidRDefault="00B54D51" w:rsidP="001D7ACE">
      <w:pPr>
        <w:rPr>
          <w:color w:val="FF0000"/>
          <w:u w:val="single"/>
        </w:rPr>
      </w:pPr>
    </w:p>
    <w:tbl>
      <w:tblPr>
        <w:tblW w:w="5000" w:type="pct"/>
        <w:jc w:val="center"/>
        <w:tblCellMar>
          <w:left w:w="75" w:type="dxa"/>
          <w:right w:w="75" w:type="dxa"/>
        </w:tblCellMar>
        <w:tblLook w:val="0000" w:firstRow="0" w:lastRow="0" w:firstColumn="0" w:lastColumn="0" w:noHBand="0" w:noVBand="0"/>
      </w:tblPr>
      <w:tblGrid>
        <w:gridCol w:w="2903"/>
        <w:gridCol w:w="1254"/>
        <w:gridCol w:w="1255"/>
        <w:gridCol w:w="1256"/>
        <w:gridCol w:w="1181"/>
        <w:gridCol w:w="1177"/>
      </w:tblGrid>
      <w:tr w:rsidR="00B54D51" w:rsidRPr="00037AD4" w14:paraId="0DF7A6EF" w14:textId="77777777" w:rsidTr="00401C67">
        <w:trPr>
          <w:jc w:val="center"/>
        </w:trPr>
        <w:tc>
          <w:tcPr>
            <w:tcW w:w="1608" w:type="pct"/>
            <w:tcBorders>
              <w:top w:val="single" w:sz="6" w:space="0" w:color="auto"/>
              <w:left w:val="nil"/>
              <w:bottom w:val="nil"/>
              <w:right w:val="nil"/>
            </w:tcBorders>
          </w:tcPr>
          <w:p w14:paraId="23091A67" w14:textId="77777777" w:rsidR="00B54D51" w:rsidRPr="00037AD4" w:rsidRDefault="00B54D51" w:rsidP="00401C67">
            <w:pPr>
              <w:widowControl w:val="0"/>
              <w:autoSpaceDE w:val="0"/>
              <w:autoSpaceDN w:val="0"/>
              <w:adjustRightInd w:val="0"/>
            </w:pPr>
          </w:p>
        </w:tc>
        <w:tc>
          <w:tcPr>
            <w:tcW w:w="695" w:type="pct"/>
            <w:tcBorders>
              <w:top w:val="single" w:sz="6" w:space="0" w:color="auto"/>
              <w:left w:val="nil"/>
              <w:bottom w:val="nil"/>
              <w:right w:val="nil"/>
            </w:tcBorders>
          </w:tcPr>
          <w:p w14:paraId="2F46A694" w14:textId="77777777" w:rsidR="00B54D51" w:rsidRPr="00037AD4" w:rsidRDefault="00B54D51" w:rsidP="00401C67">
            <w:pPr>
              <w:widowControl w:val="0"/>
              <w:autoSpaceDE w:val="0"/>
              <w:autoSpaceDN w:val="0"/>
              <w:adjustRightInd w:val="0"/>
              <w:jc w:val="center"/>
            </w:pPr>
            <w:r w:rsidRPr="00037AD4">
              <w:t>(1)</w:t>
            </w:r>
          </w:p>
        </w:tc>
        <w:tc>
          <w:tcPr>
            <w:tcW w:w="695" w:type="pct"/>
            <w:tcBorders>
              <w:top w:val="single" w:sz="6" w:space="0" w:color="auto"/>
              <w:left w:val="nil"/>
              <w:bottom w:val="nil"/>
              <w:right w:val="nil"/>
            </w:tcBorders>
          </w:tcPr>
          <w:p w14:paraId="44714858" w14:textId="77777777" w:rsidR="00B54D51" w:rsidRPr="00037AD4" w:rsidRDefault="00B54D51" w:rsidP="00401C67">
            <w:pPr>
              <w:widowControl w:val="0"/>
              <w:autoSpaceDE w:val="0"/>
              <w:autoSpaceDN w:val="0"/>
              <w:adjustRightInd w:val="0"/>
              <w:jc w:val="center"/>
            </w:pPr>
            <w:r w:rsidRPr="00037AD4">
              <w:t>(2)</w:t>
            </w:r>
          </w:p>
        </w:tc>
        <w:tc>
          <w:tcPr>
            <w:tcW w:w="696" w:type="pct"/>
            <w:tcBorders>
              <w:top w:val="single" w:sz="6" w:space="0" w:color="auto"/>
              <w:left w:val="nil"/>
              <w:bottom w:val="nil"/>
              <w:right w:val="nil"/>
            </w:tcBorders>
          </w:tcPr>
          <w:p w14:paraId="48F123DF" w14:textId="77777777" w:rsidR="00B54D51" w:rsidRPr="00037AD4" w:rsidRDefault="00B54D51" w:rsidP="00401C67">
            <w:pPr>
              <w:widowControl w:val="0"/>
              <w:autoSpaceDE w:val="0"/>
              <w:autoSpaceDN w:val="0"/>
              <w:adjustRightInd w:val="0"/>
              <w:jc w:val="center"/>
            </w:pPr>
            <w:r w:rsidRPr="00037AD4">
              <w:t>(3)</w:t>
            </w:r>
          </w:p>
        </w:tc>
        <w:tc>
          <w:tcPr>
            <w:tcW w:w="654" w:type="pct"/>
            <w:tcBorders>
              <w:top w:val="single" w:sz="6" w:space="0" w:color="auto"/>
              <w:left w:val="nil"/>
              <w:bottom w:val="nil"/>
              <w:right w:val="nil"/>
            </w:tcBorders>
          </w:tcPr>
          <w:p w14:paraId="65F9FBEC" w14:textId="77777777" w:rsidR="00B54D51" w:rsidRPr="00037AD4" w:rsidRDefault="00B54D51" w:rsidP="00401C67">
            <w:pPr>
              <w:widowControl w:val="0"/>
              <w:autoSpaceDE w:val="0"/>
              <w:autoSpaceDN w:val="0"/>
              <w:adjustRightInd w:val="0"/>
              <w:jc w:val="center"/>
            </w:pPr>
            <w:r w:rsidRPr="00037AD4">
              <w:t>(4)</w:t>
            </w:r>
          </w:p>
        </w:tc>
        <w:tc>
          <w:tcPr>
            <w:tcW w:w="653" w:type="pct"/>
            <w:tcBorders>
              <w:top w:val="single" w:sz="6" w:space="0" w:color="auto"/>
              <w:left w:val="nil"/>
              <w:bottom w:val="nil"/>
              <w:right w:val="nil"/>
            </w:tcBorders>
          </w:tcPr>
          <w:p w14:paraId="42428BBD" w14:textId="77777777" w:rsidR="00B54D51" w:rsidRPr="00037AD4" w:rsidRDefault="00B54D51" w:rsidP="00401C67">
            <w:pPr>
              <w:widowControl w:val="0"/>
              <w:autoSpaceDE w:val="0"/>
              <w:autoSpaceDN w:val="0"/>
              <w:adjustRightInd w:val="0"/>
              <w:jc w:val="center"/>
            </w:pPr>
            <w:r w:rsidRPr="00037AD4">
              <w:t>(5)</w:t>
            </w:r>
          </w:p>
        </w:tc>
      </w:tr>
      <w:tr w:rsidR="00B54D51" w:rsidRPr="00037AD4" w14:paraId="4A718A99" w14:textId="77777777" w:rsidTr="00401C67">
        <w:trPr>
          <w:jc w:val="center"/>
        </w:trPr>
        <w:tc>
          <w:tcPr>
            <w:tcW w:w="1608" w:type="pct"/>
            <w:tcBorders>
              <w:top w:val="nil"/>
              <w:left w:val="nil"/>
              <w:bottom w:val="single" w:sz="6" w:space="0" w:color="auto"/>
              <w:right w:val="nil"/>
            </w:tcBorders>
          </w:tcPr>
          <w:p w14:paraId="70CBC70F" w14:textId="77777777" w:rsidR="00B54D51" w:rsidRPr="00037AD4" w:rsidRDefault="00B54D51" w:rsidP="00401C67">
            <w:pPr>
              <w:widowControl w:val="0"/>
              <w:autoSpaceDE w:val="0"/>
              <w:autoSpaceDN w:val="0"/>
              <w:adjustRightInd w:val="0"/>
            </w:pPr>
            <w:r w:rsidRPr="00037AD4">
              <w:t>VARIABLES</w:t>
            </w:r>
          </w:p>
        </w:tc>
        <w:tc>
          <w:tcPr>
            <w:tcW w:w="695" w:type="pct"/>
            <w:tcBorders>
              <w:top w:val="nil"/>
              <w:left w:val="nil"/>
              <w:bottom w:val="single" w:sz="6" w:space="0" w:color="auto"/>
              <w:right w:val="nil"/>
            </w:tcBorders>
          </w:tcPr>
          <w:p w14:paraId="54A0790B" w14:textId="77777777" w:rsidR="00B54D51" w:rsidRPr="00037AD4" w:rsidRDefault="00B54D51" w:rsidP="00401C67">
            <w:pPr>
              <w:widowControl w:val="0"/>
              <w:autoSpaceDE w:val="0"/>
              <w:autoSpaceDN w:val="0"/>
              <w:adjustRightInd w:val="0"/>
              <w:jc w:val="center"/>
            </w:pPr>
            <w:r w:rsidRPr="00037AD4">
              <w:t>Model 1</w:t>
            </w:r>
          </w:p>
        </w:tc>
        <w:tc>
          <w:tcPr>
            <w:tcW w:w="695" w:type="pct"/>
            <w:tcBorders>
              <w:top w:val="nil"/>
              <w:left w:val="nil"/>
              <w:bottom w:val="single" w:sz="6" w:space="0" w:color="auto"/>
              <w:right w:val="nil"/>
            </w:tcBorders>
          </w:tcPr>
          <w:p w14:paraId="2B5078BC" w14:textId="77777777" w:rsidR="00B54D51" w:rsidRPr="00037AD4" w:rsidRDefault="00B54D51" w:rsidP="00401C67">
            <w:pPr>
              <w:widowControl w:val="0"/>
              <w:autoSpaceDE w:val="0"/>
              <w:autoSpaceDN w:val="0"/>
              <w:adjustRightInd w:val="0"/>
              <w:jc w:val="center"/>
            </w:pPr>
            <w:r w:rsidRPr="00037AD4">
              <w:t>Model 2</w:t>
            </w:r>
          </w:p>
        </w:tc>
        <w:tc>
          <w:tcPr>
            <w:tcW w:w="696" w:type="pct"/>
            <w:tcBorders>
              <w:top w:val="nil"/>
              <w:left w:val="nil"/>
              <w:bottom w:val="single" w:sz="6" w:space="0" w:color="auto"/>
              <w:right w:val="nil"/>
            </w:tcBorders>
          </w:tcPr>
          <w:p w14:paraId="493480B0" w14:textId="77777777" w:rsidR="00B54D51" w:rsidRPr="00037AD4" w:rsidRDefault="00B54D51" w:rsidP="00401C67">
            <w:pPr>
              <w:widowControl w:val="0"/>
              <w:autoSpaceDE w:val="0"/>
              <w:autoSpaceDN w:val="0"/>
              <w:adjustRightInd w:val="0"/>
              <w:jc w:val="center"/>
            </w:pPr>
            <w:r w:rsidRPr="00037AD4">
              <w:t>Model 3</w:t>
            </w:r>
          </w:p>
        </w:tc>
        <w:tc>
          <w:tcPr>
            <w:tcW w:w="654" w:type="pct"/>
            <w:tcBorders>
              <w:top w:val="nil"/>
              <w:left w:val="nil"/>
              <w:bottom w:val="single" w:sz="6" w:space="0" w:color="auto"/>
              <w:right w:val="nil"/>
            </w:tcBorders>
          </w:tcPr>
          <w:p w14:paraId="7E39C935" w14:textId="77777777" w:rsidR="00B54D51" w:rsidRPr="00037AD4" w:rsidRDefault="00B54D51" w:rsidP="00401C67">
            <w:pPr>
              <w:widowControl w:val="0"/>
              <w:autoSpaceDE w:val="0"/>
              <w:autoSpaceDN w:val="0"/>
              <w:adjustRightInd w:val="0"/>
              <w:jc w:val="center"/>
            </w:pPr>
            <w:r w:rsidRPr="00037AD4">
              <w:t>Model 4</w:t>
            </w:r>
          </w:p>
        </w:tc>
        <w:tc>
          <w:tcPr>
            <w:tcW w:w="653" w:type="pct"/>
            <w:tcBorders>
              <w:top w:val="nil"/>
              <w:left w:val="nil"/>
              <w:bottom w:val="single" w:sz="6" w:space="0" w:color="auto"/>
              <w:right w:val="nil"/>
            </w:tcBorders>
          </w:tcPr>
          <w:p w14:paraId="09E8FE54" w14:textId="77777777" w:rsidR="00B54D51" w:rsidRPr="00037AD4" w:rsidRDefault="00B54D51" w:rsidP="00401C67">
            <w:pPr>
              <w:widowControl w:val="0"/>
              <w:autoSpaceDE w:val="0"/>
              <w:autoSpaceDN w:val="0"/>
              <w:adjustRightInd w:val="0"/>
              <w:jc w:val="center"/>
            </w:pPr>
            <w:r w:rsidRPr="00037AD4">
              <w:t>Model 5</w:t>
            </w:r>
          </w:p>
        </w:tc>
      </w:tr>
      <w:tr w:rsidR="00B54D51" w:rsidRPr="00037AD4" w14:paraId="0D18D779" w14:textId="77777777" w:rsidTr="00401C67">
        <w:trPr>
          <w:jc w:val="center"/>
        </w:trPr>
        <w:tc>
          <w:tcPr>
            <w:tcW w:w="1608" w:type="pct"/>
            <w:tcBorders>
              <w:top w:val="nil"/>
              <w:left w:val="nil"/>
              <w:bottom w:val="nil"/>
              <w:right w:val="nil"/>
            </w:tcBorders>
          </w:tcPr>
          <w:p w14:paraId="00DEDE43" w14:textId="77777777" w:rsidR="00B54D51" w:rsidRPr="00037AD4" w:rsidRDefault="00B54D51" w:rsidP="00401C67">
            <w:pPr>
              <w:widowControl w:val="0"/>
              <w:autoSpaceDE w:val="0"/>
              <w:autoSpaceDN w:val="0"/>
              <w:adjustRightInd w:val="0"/>
            </w:pPr>
          </w:p>
        </w:tc>
        <w:tc>
          <w:tcPr>
            <w:tcW w:w="695" w:type="pct"/>
            <w:tcBorders>
              <w:top w:val="nil"/>
              <w:left w:val="nil"/>
              <w:bottom w:val="nil"/>
              <w:right w:val="nil"/>
            </w:tcBorders>
          </w:tcPr>
          <w:p w14:paraId="0101592E" w14:textId="77777777" w:rsidR="00B54D51" w:rsidRPr="00037AD4" w:rsidRDefault="00B54D51" w:rsidP="00401C67">
            <w:pPr>
              <w:widowControl w:val="0"/>
              <w:autoSpaceDE w:val="0"/>
              <w:autoSpaceDN w:val="0"/>
              <w:adjustRightInd w:val="0"/>
              <w:jc w:val="center"/>
            </w:pPr>
          </w:p>
        </w:tc>
        <w:tc>
          <w:tcPr>
            <w:tcW w:w="695" w:type="pct"/>
            <w:tcBorders>
              <w:top w:val="nil"/>
              <w:left w:val="nil"/>
              <w:bottom w:val="nil"/>
              <w:right w:val="nil"/>
            </w:tcBorders>
          </w:tcPr>
          <w:p w14:paraId="2BC6ECF7" w14:textId="77777777" w:rsidR="00B54D51" w:rsidRPr="00037AD4" w:rsidRDefault="00B54D51" w:rsidP="00401C67">
            <w:pPr>
              <w:widowControl w:val="0"/>
              <w:autoSpaceDE w:val="0"/>
              <w:autoSpaceDN w:val="0"/>
              <w:adjustRightInd w:val="0"/>
              <w:jc w:val="center"/>
              <w:rPr>
                <w:highlight w:val="yellow"/>
              </w:rPr>
            </w:pPr>
          </w:p>
        </w:tc>
        <w:tc>
          <w:tcPr>
            <w:tcW w:w="696" w:type="pct"/>
            <w:tcBorders>
              <w:top w:val="nil"/>
              <w:left w:val="nil"/>
              <w:bottom w:val="nil"/>
              <w:right w:val="nil"/>
            </w:tcBorders>
          </w:tcPr>
          <w:p w14:paraId="097D8800" w14:textId="77777777" w:rsidR="00B54D51" w:rsidRPr="00037AD4" w:rsidRDefault="00B54D51" w:rsidP="00401C67">
            <w:pPr>
              <w:widowControl w:val="0"/>
              <w:autoSpaceDE w:val="0"/>
              <w:autoSpaceDN w:val="0"/>
              <w:adjustRightInd w:val="0"/>
              <w:jc w:val="center"/>
              <w:rPr>
                <w:highlight w:val="yellow"/>
              </w:rPr>
            </w:pPr>
          </w:p>
        </w:tc>
        <w:tc>
          <w:tcPr>
            <w:tcW w:w="654" w:type="pct"/>
            <w:tcBorders>
              <w:top w:val="nil"/>
              <w:left w:val="nil"/>
              <w:bottom w:val="nil"/>
              <w:right w:val="nil"/>
            </w:tcBorders>
          </w:tcPr>
          <w:p w14:paraId="2FD71F09" w14:textId="77777777" w:rsidR="00B54D51" w:rsidRPr="00037AD4" w:rsidRDefault="00B54D51" w:rsidP="00401C67">
            <w:pPr>
              <w:widowControl w:val="0"/>
              <w:autoSpaceDE w:val="0"/>
              <w:autoSpaceDN w:val="0"/>
              <w:adjustRightInd w:val="0"/>
              <w:jc w:val="center"/>
              <w:rPr>
                <w:highlight w:val="yellow"/>
              </w:rPr>
            </w:pPr>
          </w:p>
        </w:tc>
        <w:tc>
          <w:tcPr>
            <w:tcW w:w="653" w:type="pct"/>
            <w:tcBorders>
              <w:top w:val="nil"/>
              <w:left w:val="nil"/>
              <w:bottom w:val="nil"/>
              <w:right w:val="nil"/>
            </w:tcBorders>
          </w:tcPr>
          <w:p w14:paraId="6ACE72D9" w14:textId="77777777" w:rsidR="00B54D51" w:rsidRPr="00037AD4" w:rsidRDefault="00B54D51" w:rsidP="00401C67">
            <w:pPr>
              <w:widowControl w:val="0"/>
              <w:autoSpaceDE w:val="0"/>
              <w:autoSpaceDN w:val="0"/>
              <w:adjustRightInd w:val="0"/>
              <w:jc w:val="center"/>
              <w:rPr>
                <w:highlight w:val="yellow"/>
              </w:rPr>
            </w:pPr>
          </w:p>
        </w:tc>
      </w:tr>
      <w:tr w:rsidR="00B54D51" w:rsidRPr="00037AD4" w14:paraId="561CC00F" w14:textId="77777777" w:rsidTr="00401C67">
        <w:trPr>
          <w:jc w:val="center"/>
        </w:trPr>
        <w:tc>
          <w:tcPr>
            <w:tcW w:w="1608" w:type="pct"/>
            <w:tcBorders>
              <w:top w:val="nil"/>
              <w:left w:val="nil"/>
              <w:bottom w:val="nil"/>
              <w:right w:val="nil"/>
            </w:tcBorders>
          </w:tcPr>
          <w:p w14:paraId="0D0EF6BB" w14:textId="77777777" w:rsidR="00B54D51" w:rsidRPr="00037AD4" w:rsidRDefault="00B54D51" w:rsidP="00401C67">
            <w:pPr>
              <w:widowControl w:val="0"/>
              <w:autoSpaceDE w:val="0"/>
              <w:autoSpaceDN w:val="0"/>
              <w:adjustRightInd w:val="0"/>
            </w:pPr>
            <w:r w:rsidRPr="00037AD4">
              <w:t>2.eq5RP_</w:t>
            </w:r>
          </w:p>
        </w:tc>
        <w:tc>
          <w:tcPr>
            <w:tcW w:w="695" w:type="pct"/>
            <w:tcBorders>
              <w:top w:val="nil"/>
              <w:left w:val="nil"/>
              <w:bottom w:val="nil"/>
              <w:right w:val="nil"/>
            </w:tcBorders>
          </w:tcPr>
          <w:p w14:paraId="121C1923" w14:textId="77777777" w:rsidR="00B54D51" w:rsidRPr="00037AD4" w:rsidRDefault="00B54D51" w:rsidP="00401C67">
            <w:pPr>
              <w:widowControl w:val="0"/>
              <w:autoSpaceDE w:val="0"/>
              <w:autoSpaceDN w:val="0"/>
              <w:adjustRightInd w:val="0"/>
              <w:jc w:val="center"/>
            </w:pPr>
            <w:r w:rsidRPr="00037AD4">
              <w:t>0.259***</w:t>
            </w:r>
          </w:p>
        </w:tc>
        <w:tc>
          <w:tcPr>
            <w:tcW w:w="695" w:type="pct"/>
            <w:tcBorders>
              <w:top w:val="nil"/>
              <w:left w:val="nil"/>
              <w:bottom w:val="nil"/>
              <w:right w:val="nil"/>
            </w:tcBorders>
          </w:tcPr>
          <w:p w14:paraId="5AFD05D7" w14:textId="77777777" w:rsidR="00B54D51" w:rsidRPr="00037AD4" w:rsidRDefault="00B54D51" w:rsidP="00401C67">
            <w:pPr>
              <w:widowControl w:val="0"/>
              <w:autoSpaceDE w:val="0"/>
              <w:autoSpaceDN w:val="0"/>
              <w:adjustRightInd w:val="0"/>
              <w:jc w:val="center"/>
              <w:rPr>
                <w:highlight w:val="yellow"/>
              </w:rPr>
            </w:pPr>
            <w:r w:rsidRPr="00037AD4">
              <w:t>0.361***</w:t>
            </w:r>
          </w:p>
        </w:tc>
        <w:tc>
          <w:tcPr>
            <w:tcW w:w="696" w:type="pct"/>
            <w:tcBorders>
              <w:top w:val="nil"/>
              <w:left w:val="nil"/>
              <w:bottom w:val="nil"/>
              <w:right w:val="nil"/>
            </w:tcBorders>
          </w:tcPr>
          <w:p w14:paraId="37D5F6CD" w14:textId="77777777" w:rsidR="00B54D51" w:rsidRPr="00037AD4" w:rsidRDefault="00B54D51" w:rsidP="00401C67">
            <w:pPr>
              <w:widowControl w:val="0"/>
              <w:autoSpaceDE w:val="0"/>
              <w:autoSpaceDN w:val="0"/>
              <w:adjustRightInd w:val="0"/>
              <w:jc w:val="center"/>
              <w:rPr>
                <w:highlight w:val="yellow"/>
              </w:rPr>
            </w:pPr>
          </w:p>
        </w:tc>
        <w:tc>
          <w:tcPr>
            <w:tcW w:w="654" w:type="pct"/>
            <w:tcBorders>
              <w:top w:val="nil"/>
              <w:left w:val="nil"/>
              <w:bottom w:val="nil"/>
              <w:right w:val="nil"/>
            </w:tcBorders>
          </w:tcPr>
          <w:p w14:paraId="2669ED51" w14:textId="77777777" w:rsidR="00B54D51" w:rsidRPr="00037AD4" w:rsidRDefault="00B54D51" w:rsidP="00401C67">
            <w:pPr>
              <w:widowControl w:val="0"/>
              <w:autoSpaceDE w:val="0"/>
              <w:autoSpaceDN w:val="0"/>
              <w:adjustRightInd w:val="0"/>
              <w:jc w:val="center"/>
              <w:rPr>
                <w:highlight w:val="yellow"/>
              </w:rPr>
            </w:pPr>
            <w:r w:rsidRPr="00037AD4">
              <w:t>0.359***</w:t>
            </w:r>
          </w:p>
        </w:tc>
        <w:tc>
          <w:tcPr>
            <w:tcW w:w="653" w:type="pct"/>
            <w:tcBorders>
              <w:top w:val="nil"/>
              <w:left w:val="nil"/>
              <w:bottom w:val="nil"/>
              <w:right w:val="nil"/>
            </w:tcBorders>
          </w:tcPr>
          <w:p w14:paraId="48C203E8" w14:textId="77777777" w:rsidR="00B54D51" w:rsidRPr="00037AD4" w:rsidRDefault="00B54D51" w:rsidP="00401C67">
            <w:pPr>
              <w:widowControl w:val="0"/>
              <w:autoSpaceDE w:val="0"/>
              <w:autoSpaceDN w:val="0"/>
              <w:adjustRightInd w:val="0"/>
              <w:jc w:val="center"/>
            </w:pPr>
            <w:r w:rsidRPr="00037AD4">
              <w:t>0.327***</w:t>
            </w:r>
          </w:p>
        </w:tc>
      </w:tr>
      <w:tr w:rsidR="00B54D51" w:rsidRPr="00037AD4" w14:paraId="1BA038CD" w14:textId="77777777" w:rsidTr="00401C67">
        <w:trPr>
          <w:jc w:val="center"/>
        </w:trPr>
        <w:tc>
          <w:tcPr>
            <w:tcW w:w="1608" w:type="pct"/>
            <w:tcBorders>
              <w:top w:val="nil"/>
              <w:left w:val="nil"/>
              <w:bottom w:val="nil"/>
              <w:right w:val="nil"/>
            </w:tcBorders>
          </w:tcPr>
          <w:p w14:paraId="2800E50E" w14:textId="77777777" w:rsidR="00B54D51" w:rsidRPr="00037AD4" w:rsidRDefault="00B54D51" w:rsidP="00401C67">
            <w:pPr>
              <w:widowControl w:val="0"/>
              <w:autoSpaceDE w:val="0"/>
              <w:autoSpaceDN w:val="0"/>
              <w:adjustRightInd w:val="0"/>
            </w:pPr>
          </w:p>
        </w:tc>
        <w:tc>
          <w:tcPr>
            <w:tcW w:w="695" w:type="pct"/>
            <w:tcBorders>
              <w:top w:val="nil"/>
              <w:left w:val="nil"/>
              <w:bottom w:val="nil"/>
              <w:right w:val="nil"/>
            </w:tcBorders>
          </w:tcPr>
          <w:p w14:paraId="45600940" w14:textId="77777777" w:rsidR="00B54D51" w:rsidRPr="00037AD4" w:rsidRDefault="00B54D51" w:rsidP="00401C67">
            <w:pPr>
              <w:widowControl w:val="0"/>
              <w:autoSpaceDE w:val="0"/>
              <w:autoSpaceDN w:val="0"/>
              <w:adjustRightInd w:val="0"/>
              <w:jc w:val="center"/>
            </w:pPr>
            <w:r w:rsidRPr="00037AD4">
              <w:t>(0.065 - 0.453)</w:t>
            </w:r>
          </w:p>
        </w:tc>
        <w:tc>
          <w:tcPr>
            <w:tcW w:w="695" w:type="pct"/>
            <w:tcBorders>
              <w:top w:val="nil"/>
              <w:left w:val="nil"/>
              <w:bottom w:val="nil"/>
              <w:right w:val="nil"/>
            </w:tcBorders>
          </w:tcPr>
          <w:p w14:paraId="104FBAD0" w14:textId="77777777" w:rsidR="00B54D51" w:rsidRPr="00037AD4" w:rsidRDefault="00B54D51" w:rsidP="00401C67">
            <w:pPr>
              <w:widowControl w:val="0"/>
              <w:autoSpaceDE w:val="0"/>
              <w:autoSpaceDN w:val="0"/>
              <w:adjustRightInd w:val="0"/>
              <w:jc w:val="center"/>
              <w:rPr>
                <w:highlight w:val="yellow"/>
              </w:rPr>
            </w:pPr>
            <w:r w:rsidRPr="00037AD4">
              <w:t>(0.179 - 0.543)</w:t>
            </w:r>
          </w:p>
        </w:tc>
        <w:tc>
          <w:tcPr>
            <w:tcW w:w="696" w:type="pct"/>
            <w:tcBorders>
              <w:top w:val="nil"/>
              <w:left w:val="nil"/>
              <w:bottom w:val="nil"/>
              <w:right w:val="nil"/>
            </w:tcBorders>
          </w:tcPr>
          <w:p w14:paraId="5DBE79E1" w14:textId="77777777" w:rsidR="00B54D51" w:rsidRPr="00037AD4" w:rsidRDefault="00B54D51" w:rsidP="00401C67">
            <w:pPr>
              <w:widowControl w:val="0"/>
              <w:autoSpaceDE w:val="0"/>
              <w:autoSpaceDN w:val="0"/>
              <w:adjustRightInd w:val="0"/>
              <w:jc w:val="center"/>
              <w:rPr>
                <w:highlight w:val="yellow"/>
              </w:rPr>
            </w:pPr>
          </w:p>
        </w:tc>
        <w:tc>
          <w:tcPr>
            <w:tcW w:w="654" w:type="pct"/>
            <w:tcBorders>
              <w:top w:val="nil"/>
              <w:left w:val="nil"/>
              <w:bottom w:val="nil"/>
              <w:right w:val="nil"/>
            </w:tcBorders>
          </w:tcPr>
          <w:p w14:paraId="6F568F0B" w14:textId="77777777" w:rsidR="00B54D51" w:rsidRPr="00037AD4" w:rsidRDefault="00B54D51" w:rsidP="00401C67">
            <w:pPr>
              <w:widowControl w:val="0"/>
              <w:autoSpaceDE w:val="0"/>
              <w:autoSpaceDN w:val="0"/>
              <w:adjustRightInd w:val="0"/>
              <w:jc w:val="center"/>
              <w:rPr>
                <w:highlight w:val="yellow"/>
              </w:rPr>
            </w:pPr>
            <w:r w:rsidRPr="00037AD4">
              <w:t>(0.174 - 0.544)</w:t>
            </w:r>
          </w:p>
        </w:tc>
        <w:tc>
          <w:tcPr>
            <w:tcW w:w="653" w:type="pct"/>
            <w:tcBorders>
              <w:top w:val="nil"/>
              <w:left w:val="nil"/>
              <w:bottom w:val="nil"/>
              <w:right w:val="nil"/>
            </w:tcBorders>
          </w:tcPr>
          <w:p w14:paraId="66BA7ED2" w14:textId="77777777" w:rsidR="00B54D51" w:rsidRPr="00037AD4" w:rsidRDefault="00B54D51" w:rsidP="00401C67">
            <w:pPr>
              <w:widowControl w:val="0"/>
              <w:autoSpaceDE w:val="0"/>
              <w:autoSpaceDN w:val="0"/>
              <w:adjustRightInd w:val="0"/>
              <w:jc w:val="center"/>
            </w:pPr>
            <w:r w:rsidRPr="00037AD4">
              <w:t>(0.151 - 0.503)</w:t>
            </w:r>
          </w:p>
        </w:tc>
      </w:tr>
      <w:tr w:rsidR="00B54D51" w:rsidRPr="00037AD4" w14:paraId="3E7EE028" w14:textId="77777777" w:rsidTr="00401C67">
        <w:trPr>
          <w:jc w:val="center"/>
        </w:trPr>
        <w:tc>
          <w:tcPr>
            <w:tcW w:w="1608" w:type="pct"/>
            <w:tcBorders>
              <w:top w:val="nil"/>
              <w:left w:val="nil"/>
              <w:bottom w:val="nil"/>
              <w:right w:val="nil"/>
            </w:tcBorders>
          </w:tcPr>
          <w:p w14:paraId="6CAFC346" w14:textId="77777777" w:rsidR="00B54D51" w:rsidRPr="00037AD4" w:rsidRDefault="00B54D51" w:rsidP="00401C67">
            <w:pPr>
              <w:widowControl w:val="0"/>
              <w:autoSpaceDE w:val="0"/>
              <w:autoSpaceDN w:val="0"/>
              <w:adjustRightInd w:val="0"/>
            </w:pPr>
            <w:r w:rsidRPr="00037AD4">
              <w:t>3.eq5RP_</w:t>
            </w:r>
          </w:p>
        </w:tc>
        <w:tc>
          <w:tcPr>
            <w:tcW w:w="695" w:type="pct"/>
            <w:tcBorders>
              <w:top w:val="nil"/>
              <w:left w:val="nil"/>
              <w:bottom w:val="nil"/>
              <w:right w:val="nil"/>
            </w:tcBorders>
          </w:tcPr>
          <w:p w14:paraId="2DE3341D" w14:textId="77777777" w:rsidR="00B54D51" w:rsidRPr="00037AD4" w:rsidRDefault="00B54D51" w:rsidP="00401C67">
            <w:pPr>
              <w:widowControl w:val="0"/>
              <w:autoSpaceDE w:val="0"/>
              <w:autoSpaceDN w:val="0"/>
              <w:adjustRightInd w:val="0"/>
              <w:jc w:val="center"/>
            </w:pPr>
            <w:r w:rsidRPr="00037AD4">
              <w:t>0.569***</w:t>
            </w:r>
          </w:p>
        </w:tc>
        <w:tc>
          <w:tcPr>
            <w:tcW w:w="695" w:type="pct"/>
            <w:tcBorders>
              <w:top w:val="nil"/>
              <w:left w:val="nil"/>
              <w:bottom w:val="nil"/>
              <w:right w:val="nil"/>
            </w:tcBorders>
          </w:tcPr>
          <w:p w14:paraId="005314BB" w14:textId="77777777" w:rsidR="00B54D51" w:rsidRPr="00037AD4" w:rsidRDefault="00B54D51" w:rsidP="00401C67">
            <w:pPr>
              <w:widowControl w:val="0"/>
              <w:autoSpaceDE w:val="0"/>
              <w:autoSpaceDN w:val="0"/>
              <w:adjustRightInd w:val="0"/>
              <w:jc w:val="center"/>
              <w:rPr>
                <w:highlight w:val="yellow"/>
              </w:rPr>
            </w:pPr>
            <w:r w:rsidRPr="00037AD4">
              <w:t>0.710***</w:t>
            </w:r>
          </w:p>
        </w:tc>
        <w:tc>
          <w:tcPr>
            <w:tcW w:w="696" w:type="pct"/>
            <w:tcBorders>
              <w:top w:val="nil"/>
              <w:left w:val="nil"/>
              <w:bottom w:val="nil"/>
              <w:right w:val="nil"/>
            </w:tcBorders>
          </w:tcPr>
          <w:p w14:paraId="0E4EF565" w14:textId="77777777" w:rsidR="00B54D51" w:rsidRPr="00037AD4" w:rsidRDefault="00B54D51" w:rsidP="00401C67">
            <w:pPr>
              <w:widowControl w:val="0"/>
              <w:autoSpaceDE w:val="0"/>
              <w:autoSpaceDN w:val="0"/>
              <w:adjustRightInd w:val="0"/>
              <w:jc w:val="center"/>
              <w:rPr>
                <w:highlight w:val="yellow"/>
              </w:rPr>
            </w:pPr>
          </w:p>
        </w:tc>
        <w:tc>
          <w:tcPr>
            <w:tcW w:w="654" w:type="pct"/>
            <w:tcBorders>
              <w:top w:val="nil"/>
              <w:left w:val="nil"/>
              <w:bottom w:val="nil"/>
              <w:right w:val="nil"/>
            </w:tcBorders>
          </w:tcPr>
          <w:p w14:paraId="0628E4A9" w14:textId="77777777" w:rsidR="00B54D51" w:rsidRPr="00037AD4" w:rsidRDefault="00B54D51" w:rsidP="00401C67">
            <w:pPr>
              <w:widowControl w:val="0"/>
              <w:autoSpaceDE w:val="0"/>
              <w:autoSpaceDN w:val="0"/>
              <w:adjustRightInd w:val="0"/>
              <w:jc w:val="center"/>
              <w:rPr>
                <w:highlight w:val="yellow"/>
              </w:rPr>
            </w:pPr>
            <w:r w:rsidRPr="00037AD4">
              <w:t>0.707***</w:t>
            </w:r>
          </w:p>
        </w:tc>
        <w:tc>
          <w:tcPr>
            <w:tcW w:w="653" w:type="pct"/>
            <w:tcBorders>
              <w:top w:val="nil"/>
              <w:left w:val="nil"/>
              <w:bottom w:val="nil"/>
              <w:right w:val="nil"/>
            </w:tcBorders>
          </w:tcPr>
          <w:p w14:paraId="69D8D561" w14:textId="77777777" w:rsidR="00B54D51" w:rsidRPr="00037AD4" w:rsidRDefault="00B54D51" w:rsidP="00401C67">
            <w:pPr>
              <w:widowControl w:val="0"/>
              <w:autoSpaceDE w:val="0"/>
              <w:autoSpaceDN w:val="0"/>
              <w:adjustRightInd w:val="0"/>
              <w:jc w:val="center"/>
            </w:pPr>
            <w:r w:rsidRPr="00037AD4">
              <w:t>0.672***</w:t>
            </w:r>
          </w:p>
        </w:tc>
      </w:tr>
      <w:tr w:rsidR="00B54D51" w:rsidRPr="00037AD4" w14:paraId="65166BE8" w14:textId="77777777" w:rsidTr="00401C67">
        <w:trPr>
          <w:jc w:val="center"/>
        </w:trPr>
        <w:tc>
          <w:tcPr>
            <w:tcW w:w="1608" w:type="pct"/>
            <w:tcBorders>
              <w:top w:val="nil"/>
              <w:left w:val="nil"/>
              <w:bottom w:val="nil"/>
              <w:right w:val="nil"/>
            </w:tcBorders>
          </w:tcPr>
          <w:p w14:paraId="246A3C7E" w14:textId="77777777" w:rsidR="00B54D51" w:rsidRPr="00037AD4" w:rsidRDefault="00B54D51" w:rsidP="00401C67">
            <w:pPr>
              <w:widowControl w:val="0"/>
              <w:autoSpaceDE w:val="0"/>
              <w:autoSpaceDN w:val="0"/>
              <w:adjustRightInd w:val="0"/>
            </w:pPr>
          </w:p>
        </w:tc>
        <w:tc>
          <w:tcPr>
            <w:tcW w:w="695" w:type="pct"/>
            <w:tcBorders>
              <w:top w:val="nil"/>
              <w:left w:val="nil"/>
              <w:bottom w:val="nil"/>
              <w:right w:val="nil"/>
            </w:tcBorders>
          </w:tcPr>
          <w:p w14:paraId="1A9F7F13" w14:textId="77777777" w:rsidR="00B54D51" w:rsidRPr="00037AD4" w:rsidRDefault="00B54D51" w:rsidP="00401C67">
            <w:pPr>
              <w:widowControl w:val="0"/>
              <w:autoSpaceDE w:val="0"/>
              <w:autoSpaceDN w:val="0"/>
              <w:adjustRightInd w:val="0"/>
              <w:jc w:val="center"/>
            </w:pPr>
            <w:r w:rsidRPr="00037AD4">
              <w:t>(0.355 - 0.783)</w:t>
            </w:r>
          </w:p>
        </w:tc>
        <w:tc>
          <w:tcPr>
            <w:tcW w:w="695" w:type="pct"/>
            <w:tcBorders>
              <w:top w:val="nil"/>
              <w:left w:val="nil"/>
              <w:bottom w:val="nil"/>
              <w:right w:val="nil"/>
            </w:tcBorders>
          </w:tcPr>
          <w:p w14:paraId="73DAB273" w14:textId="77777777" w:rsidR="00B54D51" w:rsidRPr="00037AD4" w:rsidRDefault="00B54D51" w:rsidP="00401C67">
            <w:pPr>
              <w:widowControl w:val="0"/>
              <w:autoSpaceDE w:val="0"/>
              <w:autoSpaceDN w:val="0"/>
              <w:adjustRightInd w:val="0"/>
              <w:jc w:val="center"/>
              <w:rPr>
                <w:highlight w:val="yellow"/>
              </w:rPr>
            </w:pPr>
            <w:r w:rsidRPr="00037AD4">
              <w:t>(0.514 - 0.906)</w:t>
            </w:r>
          </w:p>
        </w:tc>
        <w:tc>
          <w:tcPr>
            <w:tcW w:w="696" w:type="pct"/>
            <w:tcBorders>
              <w:top w:val="nil"/>
              <w:left w:val="nil"/>
              <w:bottom w:val="nil"/>
              <w:right w:val="nil"/>
            </w:tcBorders>
          </w:tcPr>
          <w:p w14:paraId="27FCC89C" w14:textId="77777777" w:rsidR="00B54D51" w:rsidRPr="00037AD4" w:rsidRDefault="00B54D51" w:rsidP="00401C67">
            <w:pPr>
              <w:widowControl w:val="0"/>
              <w:autoSpaceDE w:val="0"/>
              <w:autoSpaceDN w:val="0"/>
              <w:adjustRightInd w:val="0"/>
              <w:jc w:val="center"/>
              <w:rPr>
                <w:highlight w:val="yellow"/>
              </w:rPr>
            </w:pPr>
          </w:p>
        </w:tc>
        <w:tc>
          <w:tcPr>
            <w:tcW w:w="654" w:type="pct"/>
            <w:tcBorders>
              <w:top w:val="nil"/>
              <w:left w:val="nil"/>
              <w:bottom w:val="nil"/>
              <w:right w:val="nil"/>
            </w:tcBorders>
          </w:tcPr>
          <w:p w14:paraId="27A8D2A1" w14:textId="77777777" w:rsidR="00B54D51" w:rsidRPr="00037AD4" w:rsidRDefault="00B54D51" w:rsidP="00401C67">
            <w:pPr>
              <w:widowControl w:val="0"/>
              <w:autoSpaceDE w:val="0"/>
              <w:autoSpaceDN w:val="0"/>
              <w:adjustRightInd w:val="0"/>
              <w:jc w:val="center"/>
              <w:rPr>
                <w:highlight w:val="yellow"/>
              </w:rPr>
            </w:pPr>
            <w:r w:rsidRPr="00037AD4">
              <w:t>(0.511 - 0.903)</w:t>
            </w:r>
          </w:p>
        </w:tc>
        <w:tc>
          <w:tcPr>
            <w:tcW w:w="653" w:type="pct"/>
            <w:tcBorders>
              <w:top w:val="nil"/>
              <w:left w:val="nil"/>
              <w:bottom w:val="nil"/>
              <w:right w:val="nil"/>
            </w:tcBorders>
          </w:tcPr>
          <w:p w14:paraId="12A528AF" w14:textId="77777777" w:rsidR="00B54D51" w:rsidRPr="00037AD4" w:rsidRDefault="00B54D51" w:rsidP="00401C67">
            <w:pPr>
              <w:widowControl w:val="0"/>
              <w:autoSpaceDE w:val="0"/>
              <w:autoSpaceDN w:val="0"/>
              <w:adjustRightInd w:val="0"/>
              <w:jc w:val="center"/>
            </w:pPr>
            <w:r w:rsidRPr="00037AD4">
              <w:t>(0.486 - 0.858)</w:t>
            </w:r>
          </w:p>
        </w:tc>
      </w:tr>
      <w:tr w:rsidR="00B54D51" w:rsidRPr="00037AD4" w14:paraId="68EE61DA" w14:textId="77777777" w:rsidTr="00401C67">
        <w:trPr>
          <w:jc w:val="center"/>
        </w:trPr>
        <w:tc>
          <w:tcPr>
            <w:tcW w:w="1608" w:type="pct"/>
            <w:tcBorders>
              <w:top w:val="nil"/>
              <w:left w:val="nil"/>
              <w:bottom w:val="nil"/>
              <w:right w:val="nil"/>
            </w:tcBorders>
          </w:tcPr>
          <w:p w14:paraId="2836952D" w14:textId="77777777" w:rsidR="00B54D51" w:rsidRPr="00037AD4" w:rsidRDefault="00B54D51" w:rsidP="00401C67">
            <w:pPr>
              <w:widowControl w:val="0"/>
              <w:autoSpaceDE w:val="0"/>
              <w:autoSpaceDN w:val="0"/>
              <w:adjustRightInd w:val="0"/>
            </w:pPr>
            <w:r w:rsidRPr="00037AD4">
              <w:t>4.eq5RP_</w:t>
            </w:r>
          </w:p>
        </w:tc>
        <w:tc>
          <w:tcPr>
            <w:tcW w:w="695" w:type="pct"/>
            <w:tcBorders>
              <w:top w:val="nil"/>
              <w:left w:val="nil"/>
              <w:bottom w:val="nil"/>
              <w:right w:val="nil"/>
            </w:tcBorders>
          </w:tcPr>
          <w:p w14:paraId="5105966B" w14:textId="77777777" w:rsidR="00B54D51" w:rsidRPr="00037AD4" w:rsidRDefault="00B54D51" w:rsidP="00401C67">
            <w:pPr>
              <w:widowControl w:val="0"/>
              <w:autoSpaceDE w:val="0"/>
              <w:autoSpaceDN w:val="0"/>
              <w:adjustRightInd w:val="0"/>
              <w:jc w:val="center"/>
            </w:pPr>
            <w:r w:rsidRPr="00037AD4">
              <w:t>0.514***</w:t>
            </w:r>
          </w:p>
        </w:tc>
        <w:tc>
          <w:tcPr>
            <w:tcW w:w="695" w:type="pct"/>
            <w:tcBorders>
              <w:top w:val="nil"/>
              <w:left w:val="nil"/>
              <w:bottom w:val="nil"/>
              <w:right w:val="nil"/>
            </w:tcBorders>
          </w:tcPr>
          <w:p w14:paraId="5E68741D" w14:textId="77777777" w:rsidR="00B54D51" w:rsidRPr="00037AD4" w:rsidRDefault="00B54D51" w:rsidP="00401C67">
            <w:pPr>
              <w:widowControl w:val="0"/>
              <w:autoSpaceDE w:val="0"/>
              <w:autoSpaceDN w:val="0"/>
              <w:adjustRightInd w:val="0"/>
              <w:jc w:val="center"/>
              <w:rPr>
                <w:highlight w:val="yellow"/>
              </w:rPr>
            </w:pPr>
            <w:r w:rsidRPr="00037AD4">
              <w:t>0.586***</w:t>
            </w:r>
          </w:p>
        </w:tc>
        <w:tc>
          <w:tcPr>
            <w:tcW w:w="696" w:type="pct"/>
            <w:tcBorders>
              <w:top w:val="nil"/>
              <w:left w:val="nil"/>
              <w:bottom w:val="nil"/>
              <w:right w:val="nil"/>
            </w:tcBorders>
          </w:tcPr>
          <w:p w14:paraId="683B764B" w14:textId="77777777" w:rsidR="00B54D51" w:rsidRPr="00037AD4" w:rsidRDefault="00B54D51" w:rsidP="00401C67">
            <w:pPr>
              <w:widowControl w:val="0"/>
              <w:autoSpaceDE w:val="0"/>
              <w:autoSpaceDN w:val="0"/>
              <w:adjustRightInd w:val="0"/>
              <w:jc w:val="center"/>
              <w:rPr>
                <w:highlight w:val="yellow"/>
              </w:rPr>
            </w:pPr>
          </w:p>
        </w:tc>
        <w:tc>
          <w:tcPr>
            <w:tcW w:w="654" w:type="pct"/>
            <w:tcBorders>
              <w:top w:val="nil"/>
              <w:left w:val="nil"/>
              <w:bottom w:val="nil"/>
              <w:right w:val="nil"/>
            </w:tcBorders>
          </w:tcPr>
          <w:p w14:paraId="4C35FB74" w14:textId="77777777" w:rsidR="00B54D51" w:rsidRPr="00037AD4" w:rsidRDefault="00B54D51" w:rsidP="00401C67">
            <w:pPr>
              <w:widowControl w:val="0"/>
              <w:autoSpaceDE w:val="0"/>
              <w:autoSpaceDN w:val="0"/>
              <w:adjustRightInd w:val="0"/>
              <w:jc w:val="center"/>
              <w:rPr>
                <w:highlight w:val="yellow"/>
              </w:rPr>
            </w:pPr>
            <w:r w:rsidRPr="00037AD4">
              <w:t>0.583***</w:t>
            </w:r>
          </w:p>
        </w:tc>
        <w:tc>
          <w:tcPr>
            <w:tcW w:w="653" w:type="pct"/>
            <w:tcBorders>
              <w:top w:val="nil"/>
              <w:left w:val="nil"/>
              <w:bottom w:val="nil"/>
              <w:right w:val="nil"/>
            </w:tcBorders>
          </w:tcPr>
          <w:p w14:paraId="4DFC73AC" w14:textId="77777777" w:rsidR="00B54D51" w:rsidRPr="00037AD4" w:rsidRDefault="00B54D51" w:rsidP="00401C67">
            <w:pPr>
              <w:widowControl w:val="0"/>
              <w:autoSpaceDE w:val="0"/>
              <w:autoSpaceDN w:val="0"/>
              <w:adjustRightInd w:val="0"/>
              <w:jc w:val="center"/>
            </w:pPr>
            <w:r w:rsidRPr="00037AD4">
              <w:t>0.596***</w:t>
            </w:r>
          </w:p>
        </w:tc>
      </w:tr>
      <w:tr w:rsidR="00B54D51" w:rsidRPr="00037AD4" w14:paraId="17B54509" w14:textId="77777777" w:rsidTr="00401C67">
        <w:trPr>
          <w:jc w:val="center"/>
        </w:trPr>
        <w:tc>
          <w:tcPr>
            <w:tcW w:w="1608" w:type="pct"/>
            <w:tcBorders>
              <w:top w:val="nil"/>
              <w:left w:val="nil"/>
              <w:bottom w:val="nil"/>
              <w:right w:val="nil"/>
            </w:tcBorders>
          </w:tcPr>
          <w:p w14:paraId="1C2CD644" w14:textId="77777777" w:rsidR="00B54D51" w:rsidRPr="00037AD4" w:rsidRDefault="00B54D51" w:rsidP="00401C67">
            <w:pPr>
              <w:widowControl w:val="0"/>
              <w:autoSpaceDE w:val="0"/>
              <w:autoSpaceDN w:val="0"/>
              <w:adjustRightInd w:val="0"/>
            </w:pPr>
          </w:p>
        </w:tc>
        <w:tc>
          <w:tcPr>
            <w:tcW w:w="695" w:type="pct"/>
            <w:tcBorders>
              <w:top w:val="nil"/>
              <w:left w:val="nil"/>
              <w:bottom w:val="nil"/>
              <w:right w:val="nil"/>
            </w:tcBorders>
          </w:tcPr>
          <w:p w14:paraId="7F24C205" w14:textId="77777777" w:rsidR="00B54D51" w:rsidRPr="00037AD4" w:rsidRDefault="00B54D51" w:rsidP="00401C67">
            <w:pPr>
              <w:widowControl w:val="0"/>
              <w:autoSpaceDE w:val="0"/>
              <w:autoSpaceDN w:val="0"/>
              <w:adjustRightInd w:val="0"/>
              <w:jc w:val="center"/>
            </w:pPr>
            <w:r w:rsidRPr="00037AD4">
              <w:t>(0.162 - 0.866)</w:t>
            </w:r>
          </w:p>
        </w:tc>
        <w:tc>
          <w:tcPr>
            <w:tcW w:w="695" w:type="pct"/>
            <w:tcBorders>
              <w:top w:val="nil"/>
              <w:left w:val="nil"/>
              <w:bottom w:val="nil"/>
              <w:right w:val="nil"/>
            </w:tcBorders>
          </w:tcPr>
          <w:p w14:paraId="4034396B" w14:textId="77777777" w:rsidR="00B54D51" w:rsidRPr="00037AD4" w:rsidRDefault="00B54D51" w:rsidP="00401C67">
            <w:pPr>
              <w:widowControl w:val="0"/>
              <w:autoSpaceDE w:val="0"/>
              <w:autoSpaceDN w:val="0"/>
              <w:adjustRightInd w:val="0"/>
              <w:jc w:val="center"/>
              <w:rPr>
                <w:highlight w:val="yellow"/>
              </w:rPr>
            </w:pPr>
            <w:r w:rsidRPr="00037AD4">
              <w:t>(0.257 - 0.915)</w:t>
            </w:r>
          </w:p>
        </w:tc>
        <w:tc>
          <w:tcPr>
            <w:tcW w:w="696" w:type="pct"/>
            <w:tcBorders>
              <w:top w:val="nil"/>
              <w:left w:val="nil"/>
              <w:bottom w:val="nil"/>
              <w:right w:val="nil"/>
            </w:tcBorders>
          </w:tcPr>
          <w:p w14:paraId="2E8BA499" w14:textId="77777777" w:rsidR="00B54D51" w:rsidRPr="00037AD4" w:rsidRDefault="00B54D51" w:rsidP="00401C67">
            <w:pPr>
              <w:widowControl w:val="0"/>
              <w:autoSpaceDE w:val="0"/>
              <w:autoSpaceDN w:val="0"/>
              <w:adjustRightInd w:val="0"/>
              <w:jc w:val="center"/>
              <w:rPr>
                <w:highlight w:val="yellow"/>
              </w:rPr>
            </w:pPr>
          </w:p>
        </w:tc>
        <w:tc>
          <w:tcPr>
            <w:tcW w:w="654" w:type="pct"/>
            <w:tcBorders>
              <w:top w:val="nil"/>
              <w:left w:val="nil"/>
              <w:bottom w:val="nil"/>
              <w:right w:val="nil"/>
            </w:tcBorders>
          </w:tcPr>
          <w:p w14:paraId="3E365C8C" w14:textId="77777777" w:rsidR="00B54D51" w:rsidRPr="00037AD4" w:rsidRDefault="00B54D51" w:rsidP="00401C67">
            <w:pPr>
              <w:widowControl w:val="0"/>
              <w:autoSpaceDE w:val="0"/>
              <w:autoSpaceDN w:val="0"/>
              <w:adjustRightInd w:val="0"/>
              <w:jc w:val="center"/>
              <w:rPr>
                <w:highlight w:val="yellow"/>
              </w:rPr>
            </w:pPr>
            <w:r w:rsidRPr="00037AD4">
              <w:t>(0.252 - 0.914)</w:t>
            </w:r>
          </w:p>
        </w:tc>
        <w:tc>
          <w:tcPr>
            <w:tcW w:w="653" w:type="pct"/>
            <w:tcBorders>
              <w:top w:val="nil"/>
              <w:left w:val="nil"/>
              <w:bottom w:val="nil"/>
              <w:right w:val="nil"/>
            </w:tcBorders>
          </w:tcPr>
          <w:p w14:paraId="46892DF7" w14:textId="77777777" w:rsidR="00B54D51" w:rsidRPr="00037AD4" w:rsidRDefault="00B54D51" w:rsidP="00401C67">
            <w:pPr>
              <w:widowControl w:val="0"/>
              <w:autoSpaceDE w:val="0"/>
              <w:autoSpaceDN w:val="0"/>
              <w:adjustRightInd w:val="0"/>
              <w:jc w:val="center"/>
            </w:pPr>
            <w:r w:rsidRPr="00037AD4">
              <w:t>(0.282 - 0.910)</w:t>
            </w:r>
          </w:p>
        </w:tc>
      </w:tr>
      <w:tr w:rsidR="00B54D51" w:rsidRPr="00037AD4" w14:paraId="7CC263BE" w14:textId="77777777" w:rsidTr="00401C67">
        <w:trPr>
          <w:jc w:val="center"/>
        </w:trPr>
        <w:tc>
          <w:tcPr>
            <w:tcW w:w="1608" w:type="pct"/>
            <w:tcBorders>
              <w:top w:val="nil"/>
              <w:left w:val="nil"/>
              <w:bottom w:val="nil"/>
              <w:right w:val="nil"/>
            </w:tcBorders>
          </w:tcPr>
          <w:p w14:paraId="202617C1" w14:textId="77777777" w:rsidR="00B54D51" w:rsidRPr="00037AD4" w:rsidRDefault="00B54D51" w:rsidP="00401C67">
            <w:pPr>
              <w:widowControl w:val="0"/>
              <w:autoSpaceDE w:val="0"/>
              <w:autoSpaceDN w:val="0"/>
              <w:adjustRightInd w:val="0"/>
            </w:pPr>
            <w:r w:rsidRPr="00037AD4">
              <w:t>5.eq5RP_</w:t>
            </w:r>
          </w:p>
        </w:tc>
        <w:tc>
          <w:tcPr>
            <w:tcW w:w="695" w:type="pct"/>
            <w:tcBorders>
              <w:top w:val="nil"/>
              <w:left w:val="nil"/>
              <w:bottom w:val="nil"/>
              <w:right w:val="nil"/>
            </w:tcBorders>
          </w:tcPr>
          <w:p w14:paraId="706A0467" w14:textId="77777777" w:rsidR="00B54D51" w:rsidRPr="00037AD4" w:rsidRDefault="00B54D51" w:rsidP="00401C67">
            <w:pPr>
              <w:widowControl w:val="0"/>
              <w:autoSpaceDE w:val="0"/>
              <w:autoSpaceDN w:val="0"/>
              <w:adjustRightInd w:val="0"/>
              <w:jc w:val="center"/>
            </w:pPr>
            <w:r w:rsidRPr="00037AD4">
              <w:t>1.075***</w:t>
            </w:r>
          </w:p>
        </w:tc>
        <w:tc>
          <w:tcPr>
            <w:tcW w:w="695" w:type="pct"/>
            <w:tcBorders>
              <w:top w:val="nil"/>
              <w:left w:val="nil"/>
              <w:bottom w:val="nil"/>
              <w:right w:val="nil"/>
            </w:tcBorders>
          </w:tcPr>
          <w:p w14:paraId="2E37D396" w14:textId="77777777" w:rsidR="00B54D51" w:rsidRPr="00037AD4" w:rsidRDefault="00B54D51" w:rsidP="00401C67">
            <w:pPr>
              <w:widowControl w:val="0"/>
              <w:autoSpaceDE w:val="0"/>
              <w:autoSpaceDN w:val="0"/>
              <w:adjustRightInd w:val="0"/>
              <w:jc w:val="center"/>
              <w:rPr>
                <w:highlight w:val="yellow"/>
              </w:rPr>
            </w:pPr>
            <w:r w:rsidRPr="00037AD4">
              <w:t>1.297***</w:t>
            </w:r>
          </w:p>
        </w:tc>
        <w:tc>
          <w:tcPr>
            <w:tcW w:w="696" w:type="pct"/>
            <w:tcBorders>
              <w:top w:val="nil"/>
              <w:left w:val="nil"/>
              <w:bottom w:val="nil"/>
              <w:right w:val="nil"/>
            </w:tcBorders>
          </w:tcPr>
          <w:p w14:paraId="2EBCF830" w14:textId="77777777" w:rsidR="00B54D51" w:rsidRPr="00037AD4" w:rsidRDefault="00B54D51" w:rsidP="00401C67">
            <w:pPr>
              <w:widowControl w:val="0"/>
              <w:autoSpaceDE w:val="0"/>
              <w:autoSpaceDN w:val="0"/>
              <w:adjustRightInd w:val="0"/>
              <w:jc w:val="center"/>
              <w:rPr>
                <w:highlight w:val="yellow"/>
              </w:rPr>
            </w:pPr>
          </w:p>
        </w:tc>
        <w:tc>
          <w:tcPr>
            <w:tcW w:w="654" w:type="pct"/>
            <w:tcBorders>
              <w:top w:val="nil"/>
              <w:left w:val="nil"/>
              <w:bottom w:val="nil"/>
              <w:right w:val="nil"/>
            </w:tcBorders>
          </w:tcPr>
          <w:p w14:paraId="228A02FC" w14:textId="77777777" w:rsidR="00B54D51" w:rsidRPr="00037AD4" w:rsidRDefault="00B54D51" w:rsidP="00401C67">
            <w:pPr>
              <w:widowControl w:val="0"/>
              <w:autoSpaceDE w:val="0"/>
              <w:autoSpaceDN w:val="0"/>
              <w:adjustRightInd w:val="0"/>
              <w:jc w:val="center"/>
              <w:rPr>
                <w:highlight w:val="yellow"/>
              </w:rPr>
            </w:pPr>
            <w:r w:rsidRPr="00037AD4">
              <w:t>1.300***</w:t>
            </w:r>
          </w:p>
        </w:tc>
        <w:tc>
          <w:tcPr>
            <w:tcW w:w="653" w:type="pct"/>
            <w:tcBorders>
              <w:top w:val="nil"/>
              <w:left w:val="nil"/>
              <w:bottom w:val="nil"/>
              <w:right w:val="nil"/>
            </w:tcBorders>
          </w:tcPr>
          <w:p w14:paraId="23A14435" w14:textId="77777777" w:rsidR="00B54D51" w:rsidRPr="00037AD4" w:rsidRDefault="00B54D51" w:rsidP="00401C67">
            <w:pPr>
              <w:widowControl w:val="0"/>
              <w:autoSpaceDE w:val="0"/>
              <w:autoSpaceDN w:val="0"/>
              <w:adjustRightInd w:val="0"/>
              <w:jc w:val="center"/>
            </w:pPr>
            <w:r w:rsidRPr="00037AD4">
              <w:t>1.229***</w:t>
            </w:r>
          </w:p>
        </w:tc>
      </w:tr>
      <w:tr w:rsidR="00B54D51" w:rsidRPr="00037AD4" w14:paraId="4229B86C" w14:textId="77777777" w:rsidTr="00401C67">
        <w:trPr>
          <w:jc w:val="center"/>
        </w:trPr>
        <w:tc>
          <w:tcPr>
            <w:tcW w:w="1608" w:type="pct"/>
            <w:tcBorders>
              <w:top w:val="nil"/>
              <w:left w:val="nil"/>
              <w:bottom w:val="nil"/>
              <w:right w:val="nil"/>
            </w:tcBorders>
          </w:tcPr>
          <w:p w14:paraId="48795C98" w14:textId="77777777" w:rsidR="00B54D51" w:rsidRPr="00037AD4" w:rsidRDefault="00B54D51" w:rsidP="00401C67">
            <w:pPr>
              <w:widowControl w:val="0"/>
              <w:autoSpaceDE w:val="0"/>
              <w:autoSpaceDN w:val="0"/>
              <w:adjustRightInd w:val="0"/>
            </w:pPr>
          </w:p>
        </w:tc>
        <w:tc>
          <w:tcPr>
            <w:tcW w:w="695" w:type="pct"/>
            <w:tcBorders>
              <w:top w:val="nil"/>
              <w:left w:val="nil"/>
              <w:bottom w:val="nil"/>
              <w:right w:val="nil"/>
            </w:tcBorders>
          </w:tcPr>
          <w:p w14:paraId="72E214B3" w14:textId="77777777" w:rsidR="00B54D51" w:rsidRPr="00037AD4" w:rsidRDefault="00B54D51" w:rsidP="00401C67">
            <w:pPr>
              <w:widowControl w:val="0"/>
              <w:autoSpaceDE w:val="0"/>
              <w:autoSpaceDN w:val="0"/>
              <w:adjustRightInd w:val="0"/>
              <w:jc w:val="center"/>
            </w:pPr>
            <w:r w:rsidRPr="00037AD4">
              <w:t>(0.406 - 1.743)</w:t>
            </w:r>
          </w:p>
        </w:tc>
        <w:tc>
          <w:tcPr>
            <w:tcW w:w="695" w:type="pct"/>
            <w:tcBorders>
              <w:top w:val="nil"/>
              <w:left w:val="nil"/>
              <w:bottom w:val="nil"/>
              <w:right w:val="nil"/>
            </w:tcBorders>
          </w:tcPr>
          <w:p w14:paraId="6640FCEE" w14:textId="77777777" w:rsidR="00B54D51" w:rsidRPr="00037AD4" w:rsidRDefault="00B54D51" w:rsidP="00401C67">
            <w:pPr>
              <w:widowControl w:val="0"/>
              <w:autoSpaceDE w:val="0"/>
              <w:autoSpaceDN w:val="0"/>
              <w:adjustRightInd w:val="0"/>
              <w:jc w:val="center"/>
              <w:rPr>
                <w:highlight w:val="yellow"/>
              </w:rPr>
            </w:pPr>
            <w:r w:rsidRPr="00037AD4">
              <w:t>(0.792 - 1.802)</w:t>
            </w:r>
          </w:p>
        </w:tc>
        <w:tc>
          <w:tcPr>
            <w:tcW w:w="696" w:type="pct"/>
            <w:tcBorders>
              <w:top w:val="nil"/>
              <w:left w:val="nil"/>
              <w:bottom w:val="nil"/>
              <w:right w:val="nil"/>
            </w:tcBorders>
          </w:tcPr>
          <w:p w14:paraId="6634117F" w14:textId="77777777" w:rsidR="00B54D51" w:rsidRPr="00037AD4" w:rsidRDefault="00B54D51" w:rsidP="00401C67">
            <w:pPr>
              <w:widowControl w:val="0"/>
              <w:autoSpaceDE w:val="0"/>
              <w:autoSpaceDN w:val="0"/>
              <w:adjustRightInd w:val="0"/>
              <w:jc w:val="center"/>
              <w:rPr>
                <w:highlight w:val="yellow"/>
              </w:rPr>
            </w:pPr>
          </w:p>
        </w:tc>
        <w:tc>
          <w:tcPr>
            <w:tcW w:w="654" w:type="pct"/>
            <w:tcBorders>
              <w:top w:val="nil"/>
              <w:left w:val="nil"/>
              <w:bottom w:val="nil"/>
              <w:right w:val="nil"/>
            </w:tcBorders>
          </w:tcPr>
          <w:p w14:paraId="76902993" w14:textId="77777777" w:rsidR="00B54D51" w:rsidRPr="00037AD4" w:rsidRDefault="00B54D51" w:rsidP="00401C67">
            <w:pPr>
              <w:widowControl w:val="0"/>
              <w:autoSpaceDE w:val="0"/>
              <w:autoSpaceDN w:val="0"/>
              <w:adjustRightInd w:val="0"/>
              <w:jc w:val="center"/>
              <w:rPr>
                <w:highlight w:val="yellow"/>
              </w:rPr>
            </w:pPr>
            <w:r w:rsidRPr="00037AD4">
              <w:t>(0.788 - 1.811)</w:t>
            </w:r>
          </w:p>
        </w:tc>
        <w:tc>
          <w:tcPr>
            <w:tcW w:w="653" w:type="pct"/>
            <w:tcBorders>
              <w:top w:val="nil"/>
              <w:left w:val="nil"/>
              <w:bottom w:val="nil"/>
              <w:right w:val="nil"/>
            </w:tcBorders>
          </w:tcPr>
          <w:p w14:paraId="1397D096" w14:textId="77777777" w:rsidR="00B54D51" w:rsidRPr="00037AD4" w:rsidRDefault="00B54D51" w:rsidP="00401C67">
            <w:pPr>
              <w:widowControl w:val="0"/>
              <w:autoSpaceDE w:val="0"/>
              <w:autoSpaceDN w:val="0"/>
              <w:adjustRightInd w:val="0"/>
              <w:jc w:val="center"/>
            </w:pPr>
            <w:r w:rsidRPr="00037AD4">
              <w:t>(0.812 - 1.646)</w:t>
            </w:r>
          </w:p>
        </w:tc>
      </w:tr>
      <w:tr w:rsidR="00B54D51" w:rsidRPr="00037AD4" w14:paraId="18BAC6B8" w14:textId="77777777" w:rsidTr="00401C67">
        <w:trPr>
          <w:jc w:val="center"/>
        </w:trPr>
        <w:tc>
          <w:tcPr>
            <w:tcW w:w="1608" w:type="pct"/>
            <w:tcBorders>
              <w:top w:val="nil"/>
              <w:left w:val="nil"/>
              <w:bottom w:val="nil"/>
              <w:right w:val="nil"/>
            </w:tcBorders>
          </w:tcPr>
          <w:p w14:paraId="5594EE56" w14:textId="77777777" w:rsidR="00B54D51" w:rsidRPr="00037AD4" w:rsidRDefault="00B54D51" w:rsidP="00401C67">
            <w:pPr>
              <w:widowControl w:val="0"/>
              <w:autoSpaceDE w:val="0"/>
              <w:autoSpaceDN w:val="0"/>
              <w:adjustRightInd w:val="0"/>
            </w:pPr>
            <w:r w:rsidRPr="00037AD4">
              <w:t>2.eq1RP_</w:t>
            </w:r>
          </w:p>
        </w:tc>
        <w:tc>
          <w:tcPr>
            <w:tcW w:w="695" w:type="pct"/>
            <w:tcBorders>
              <w:top w:val="nil"/>
              <w:left w:val="nil"/>
              <w:bottom w:val="nil"/>
              <w:right w:val="nil"/>
            </w:tcBorders>
          </w:tcPr>
          <w:p w14:paraId="4D8830AF" w14:textId="77777777" w:rsidR="00B54D51" w:rsidRPr="00037AD4" w:rsidRDefault="00B54D51" w:rsidP="00401C67">
            <w:pPr>
              <w:widowControl w:val="0"/>
              <w:autoSpaceDE w:val="0"/>
              <w:autoSpaceDN w:val="0"/>
              <w:adjustRightInd w:val="0"/>
              <w:jc w:val="center"/>
            </w:pPr>
            <w:r w:rsidRPr="00037AD4">
              <w:t>0.014</w:t>
            </w:r>
          </w:p>
        </w:tc>
        <w:tc>
          <w:tcPr>
            <w:tcW w:w="695" w:type="pct"/>
            <w:tcBorders>
              <w:top w:val="nil"/>
              <w:left w:val="nil"/>
              <w:bottom w:val="nil"/>
              <w:right w:val="nil"/>
            </w:tcBorders>
          </w:tcPr>
          <w:p w14:paraId="7CC08270" w14:textId="77777777" w:rsidR="00B54D51" w:rsidRPr="00037AD4" w:rsidRDefault="00B54D51" w:rsidP="00401C67">
            <w:pPr>
              <w:widowControl w:val="0"/>
              <w:autoSpaceDE w:val="0"/>
              <w:autoSpaceDN w:val="0"/>
              <w:adjustRightInd w:val="0"/>
              <w:jc w:val="center"/>
              <w:rPr>
                <w:highlight w:val="yellow"/>
              </w:rPr>
            </w:pPr>
          </w:p>
        </w:tc>
        <w:tc>
          <w:tcPr>
            <w:tcW w:w="696" w:type="pct"/>
            <w:tcBorders>
              <w:top w:val="nil"/>
              <w:left w:val="nil"/>
              <w:bottom w:val="nil"/>
              <w:right w:val="nil"/>
            </w:tcBorders>
          </w:tcPr>
          <w:p w14:paraId="0058ECDD" w14:textId="77777777" w:rsidR="00B54D51" w:rsidRPr="00037AD4" w:rsidRDefault="00B54D51" w:rsidP="00401C67">
            <w:pPr>
              <w:widowControl w:val="0"/>
              <w:autoSpaceDE w:val="0"/>
              <w:autoSpaceDN w:val="0"/>
              <w:adjustRightInd w:val="0"/>
              <w:jc w:val="center"/>
              <w:rPr>
                <w:highlight w:val="yellow"/>
              </w:rPr>
            </w:pPr>
          </w:p>
        </w:tc>
        <w:tc>
          <w:tcPr>
            <w:tcW w:w="654" w:type="pct"/>
            <w:tcBorders>
              <w:top w:val="nil"/>
              <w:left w:val="nil"/>
              <w:bottom w:val="nil"/>
              <w:right w:val="nil"/>
            </w:tcBorders>
          </w:tcPr>
          <w:p w14:paraId="6E839C98" w14:textId="77777777" w:rsidR="00B54D51" w:rsidRPr="00037AD4" w:rsidRDefault="00B54D51" w:rsidP="00401C67">
            <w:pPr>
              <w:widowControl w:val="0"/>
              <w:autoSpaceDE w:val="0"/>
              <w:autoSpaceDN w:val="0"/>
              <w:adjustRightInd w:val="0"/>
              <w:jc w:val="center"/>
              <w:rPr>
                <w:highlight w:val="yellow"/>
              </w:rPr>
            </w:pPr>
          </w:p>
        </w:tc>
        <w:tc>
          <w:tcPr>
            <w:tcW w:w="653" w:type="pct"/>
            <w:tcBorders>
              <w:top w:val="nil"/>
              <w:left w:val="nil"/>
              <w:bottom w:val="nil"/>
              <w:right w:val="nil"/>
            </w:tcBorders>
          </w:tcPr>
          <w:p w14:paraId="4A1B69E8" w14:textId="77777777" w:rsidR="00B54D51" w:rsidRPr="00037AD4" w:rsidRDefault="00B54D51" w:rsidP="00401C67">
            <w:pPr>
              <w:widowControl w:val="0"/>
              <w:autoSpaceDE w:val="0"/>
              <w:autoSpaceDN w:val="0"/>
              <w:adjustRightInd w:val="0"/>
              <w:jc w:val="center"/>
              <w:rPr>
                <w:highlight w:val="yellow"/>
              </w:rPr>
            </w:pPr>
          </w:p>
        </w:tc>
      </w:tr>
      <w:tr w:rsidR="00B54D51" w:rsidRPr="00037AD4" w14:paraId="1CE92C56" w14:textId="77777777" w:rsidTr="00401C67">
        <w:trPr>
          <w:jc w:val="center"/>
        </w:trPr>
        <w:tc>
          <w:tcPr>
            <w:tcW w:w="1608" w:type="pct"/>
            <w:tcBorders>
              <w:top w:val="nil"/>
              <w:left w:val="nil"/>
              <w:bottom w:val="nil"/>
              <w:right w:val="nil"/>
            </w:tcBorders>
          </w:tcPr>
          <w:p w14:paraId="506647BA" w14:textId="77777777" w:rsidR="00B54D51" w:rsidRPr="00037AD4" w:rsidRDefault="00B54D51" w:rsidP="00401C67">
            <w:pPr>
              <w:widowControl w:val="0"/>
              <w:autoSpaceDE w:val="0"/>
              <w:autoSpaceDN w:val="0"/>
              <w:adjustRightInd w:val="0"/>
            </w:pPr>
          </w:p>
        </w:tc>
        <w:tc>
          <w:tcPr>
            <w:tcW w:w="695" w:type="pct"/>
            <w:tcBorders>
              <w:top w:val="nil"/>
              <w:left w:val="nil"/>
              <w:bottom w:val="nil"/>
              <w:right w:val="nil"/>
            </w:tcBorders>
          </w:tcPr>
          <w:p w14:paraId="7EDA7DF6" w14:textId="77777777" w:rsidR="00B54D51" w:rsidRPr="00037AD4" w:rsidRDefault="00B54D51" w:rsidP="00401C67">
            <w:pPr>
              <w:widowControl w:val="0"/>
              <w:autoSpaceDE w:val="0"/>
              <w:autoSpaceDN w:val="0"/>
              <w:adjustRightInd w:val="0"/>
              <w:jc w:val="center"/>
            </w:pPr>
            <w:r w:rsidRPr="00037AD4">
              <w:t>(-0.190 - 0.217)</w:t>
            </w:r>
          </w:p>
        </w:tc>
        <w:tc>
          <w:tcPr>
            <w:tcW w:w="695" w:type="pct"/>
            <w:tcBorders>
              <w:top w:val="nil"/>
              <w:left w:val="nil"/>
              <w:bottom w:val="nil"/>
              <w:right w:val="nil"/>
            </w:tcBorders>
          </w:tcPr>
          <w:p w14:paraId="1F1F4CF1" w14:textId="77777777" w:rsidR="00B54D51" w:rsidRPr="00037AD4" w:rsidRDefault="00B54D51" w:rsidP="00401C67">
            <w:pPr>
              <w:widowControl w:val="0"/>
              <w:autoSpaceDE w:val="0"/>
              <w:autoSpaceDN w:val="0"/>
              <w:adjustRightInd w:val="0"/>
              <w:jc w:val="center"/>
              <w:rPr>
                <w:highlight w:val="yellow"/>
              </w:rPr>
            </w:pPr>
          </w:p>
        </w:tc>
        <w:tc>
          <w:tcPr>
            <w:tcW w:w="696" w:type="pct"/>
            <w:tcBorders>
              <w:top w:val="nil"/>
              <w:left w:val="nil"/>
              <w:bottom w:val="nil"/>
              <w:right w:val="nil"/>
            </w:tcBorders>
          </w:tcPr>
          <w:p w14:paraId="0ED775B9" w14:textId="77777777" w:rsidR="00B54D51" w:rsidRPr="00037AD4" w:rsidRDefault="00B54D51" w:rsidP="00401C67">
            <w:pPr>
              <w:widowControl w:val="0"/>
              <w:autoSpaceDE w:val="0"/>
              <w:autoSpaceDN w:val="0"/>
              <w:adjustRightInd w:val="0"/>
              <w:jc w:val="center"/>
              <w:rPr>
                <w:highlight w:val="yellow"/>
              </w:rPr>
            </w:pPr>
          </w:p>
        </w:tc>
        <w:tc>
          <w:tcPr>
            <w:tcW w:w="654" w:type="pct"/>
            <w:tcBorders>
              <w:top w:val="nil"/>
              <w:left w:val="nil"/>
              <w:bottom w:val="nil"/>
              <w:right w:val="nil"/>
            </w:tcBorders>
          </w:tcPr>
          <w:p w14:paraId="7ACBE836" w14:textId="77777777" w:rsidR="00B54D51" w:rsidRPr="00037AD4" w:rsidRDefault="00B54D51" w:rsidP="00401C67">
            <w:pPr>
              <w:widowControl w:val="0"/>
              <w:autoSpaceDE w:val="0"/>
              <w:autoSpaceDN w:val="0"/>
              <w:adjustRightInd w:val="0"/>
              <w:jc w:val="center"/>
              <w:rPr>
                <w:highlight w:val="yellow"/>
              </w:rPr>
            </w:pPr>
          </w:p>
        </w:tc>
        <w:tc>
          <w:tcPr>
            <w:tcW w:w="653" w:type="pct"/>
            <w:tcBorders>
              <w:top w:val="nil"/>
              <w:left w:val="nil"/>
              <w:bottom w:val="nil"/>
              <w:right w:val="nil"/>
            </w:tcBorders>
          </w:tcPr>
          <w:p w14:paraId="7B984DAF" w14:textId="77777777" w:rsidR="00B54D51" w:rsidRPr="00037AD4" w:rsidRDefault="00B54D51" w:rsidP="00401C67">
            <w:pPr>
              <w:widowControl w:val="0"/>
              <w:autoSpaceDE w:val="0"/>
              <w:autoSpaceDN w:val="0"/>
              <w:adjustRightInd w:val="0"/>
              <w:jc w:val="center"/>
              <w:rPr>
                <w:highlight w:val="yellow"/>
              </w:rPr>
            </w:pPr>
          </w:p>
        </w:tc>
      </w:tr>
      <w:tr w:rsidR="00B54D51" w:rsidRPr="00037AD4" w14:paraId="3959B9B3" w14:textId="77777777" w:rsidTr="00401C67">
        <w:trPr>
          <w:jc w:val="center"/>
        </w:trPr>
        <w:tc>
          <w:tcPr>
            <w:tcW w:w="1608" w:type="pct"/>
            <w:tcBorders>
              <w:top w:val="nil"/>
              <w:left w:val="nil"/>
              <w:bottom w:val="nil"/>
              <w:right w:val="nil"/>
            </w:tcBorders>
          </w:tcPr>
          <w:p w14:paraId="3856992A" w14:textId="77777777" w:rsidR="00B54D51" w:rsidRPr="00037AD4" w:rsidRDefault="00B54D51" w:rsidP="00401C67">
            <w:pPr>
              <w:widowControl w:val="0"/>
              <w:autoSpaceDE w:val="0"/>
              <w:autoSpaceDN w:val="0"/>
              <w:adjustRightInd w:val="0"/>
            </w:pPr>
            <w:r w:rsidRPr="00037AD4">
              <w:t>3.eq1RP_</w:t>
            </w:r>
          </w:p>
        </w:tc>
        <w:tc>
          <w:tcPr>
            <w:tcW w:w="695" w:type="pct"/>
            <w:tcBorders>
              <w:top w:val="nil"/>
              <w:left w:val="nil"/>
              <w:bottom w:val="nil"/>
              <w:right w:val="nil"/>
            </w:tcBorders>
          </w:tcPr>
          <w:p w14:paraId="6D3EA364" w14:textId="77777777" w:rsidR="00B54D51" w:rsidRPr="00037AD4" w:rsidRDefault="00B54D51" w:rsidP="00401C67">
            <w:pPr>
              <w:widowControl w:val="0"/>
              <w:autoSpaceDE w:val="0"/>
              <w:autoSpaceDN w:val="0"/>
              <w:adjustRightInd w:val="0"/>
              <w:jc w:val="center"/>
            </w:pPr>
            <w:r w:rsidRPr="00037AD4">
              <w:t>0.082</w:t>
            </w:r>
          </w:p>
        </w:tc>
        <w:tc>
          <w:tcPr>
            <w:tcW w:w="695" w:type="pct"/>
            <w:tcBorders>
              <w:top w:val="nil"/>
              <w:left w:val="nil"/>
              <w:bottom w:val="nil"/>
              <w:right w:val="nil"/>
            </w:tcBorders>
          </w:tcPr>
          <w:p w14:paraId="170F29F1" w14:textId="77777777" w:rsidR="00B54D51" w:rsidRPr="00037AD4" w:rsidRDefault="00B54D51" w:rsidP="00401C67">
            <w:pPr>
              <w:widowControl w:val="0"/>
              <w:autoSpaceDE w:val="0"/>
              <w:autoSpaceDN w:val="0"/>
              <w:adjustRightInd w:val="0"/>
              <w:jc w:val="center"/>
              <w:rPr>
                <w:highlight w:val="yellow"/>
              </w:rPr>
            </w:pPr>
          </w:p>
        </w:tc>
        <w:tc>
          <w:tcPr>
            <w:tcW w:w="696" w:type="pct"/>
            <w:tcBorders>
              <w:top w:val="nil"/>
              <w:left w:val="nil"/>
              <w:bottom w:val="nil"/>
              <w:right w:val="nil"/>
            </w:tcBorders>
          </w:tcPr>
          <w:p w14:paraId="3BC8CAB5" w14:textId="77777777" w:rsidR="00B54D51" w:rsidRPr="00037AD4" w:rsidRDefault="00B54D51" w:rsidP="00401C67">
            <w:pPr>
              <w:widowControl w:val="0"/>
              <w:autoSpaceDE w:val="0"/>
              <w:autoSpaceDN w:val="0"/>
              <w:adjustRightInd w:val="0"/>
              <w:jc w:val="center"/>
              <w:rPr>
                <w:highlight w:val="yellow"/>
              </w:rPr>
            </w:pPr>
          </w:p>
        </w:tc>
        <w:tc>
          <w:tcPr>
            <w:tcW w:w="654" w:type="pct"/>
            <w:tcBorders>
              <w:top w:val="nil"/>
              <w:left w:val="nil"/>
              <w:bottom w:val="nil"/>
              <w:right w:val="nil"/>
            </w:tcBorders>
          </w:tcPr>
          <w:p w14:paraId="21155886" w14:textId="77777777" w:rsidR="00B54D51" w:rsidRPr="00037AD4" w:rsidRDefault="00B54D51" w:rsidP="00401C67">
            <w:pPr>
              <w:widowControl w:val="0"/>
              <w:autoSpaceDE w:val="0"/>
              <w:autoSpaceDN w:val="0"/>
              <w:adjustRightInd w:val="0"/>
              <w:jc w:val="center"/>
              <w:rPr>
                <w:highlight w:val="yellow"/>
              </w:rPr>
            </w:pPr>
          </w:p>
        </w:tc>
        <w:tc>
          <w:tcPr>
            <w:tcW w:w="653" w:type="pct"/>
            <w:tcBorders>
              <w:top w:val="nil"/>
              <w:left w:val="nil"/>
              <w:bottom w:val="nil"/>
              <w:right w:val="nil"/>
            </w:tcBorders>
          </w:tcPr>
          <w:p w14:paraId="4AF1CD31" w14:textId="77777777" w:rsidR="00B54D51" w:rsidRPr="00037AD4" w:rsidRDefault="00B54D51" w:rsidP="00401C67">
            <w:pPr>
              <w:widowControl w:val="0"/>
              <w:autoSpaceDE w:val="0"/>
              <w:autoSpaceDN w:val="0"/>
              <w:adjustRightInd w:val="0"/>
              <w:jc w:val="center"/>
              <w:rPr>
                <w:highlight w:val="yellow"/>
              </w:rPr>
            </w:pPr>
          </w:p>
        </w:tc>
      </w:tr>
      <w:tr w:rsidR="00B54D51" w:rsidRPr="00037AD4" w14:paraId="3F428E67" w14:textId="77777777" w:rsidTr="00401C67">
        <w:trPr>
          <w:jc w:val="center"/>
        </w:trPr>
        <w:tc>
          <w:tcPr>
            <w:tcW w:w="1608" w:type="pct"/>
            <w:tcBorders>
              <w:top w:val="nil"/>
              <w:left w:val="nil"/>
              <w:bottom w:val="nil"/>
              <w:right w:val="nil"/>
            </w:tcBorders>
          </w:tcPr>
          <w:p w14:paraId="4235ED41" w14:textId="77777777" w:rsidR="00B54D51" w:rsidRPr="00037AD4" w:rsidRDefault="00B54D51" w:rsidP="00401C67">
            <w:pPr>
              <w:widowControl w:val="0"/>
              <w:autoSpaceDE w:val="0"/>
              <w:autoSpaceDN w:val="0"/>
              <w:adjustRightInd w:val="0"/>
            </w:pPr>
          </w:p>
        </w:tc>
        <w:tc>
          <w:tcPr>
            <w:tcW w:w="695" w:type="pct"/>
            <w:tcBorders>
              <w:top w:val="nil"/>
              <w:left w:val="nil"/>
              <w:bottom w:val="nil"/>
              <w:right w:val="nil"/>
            </w:tcBorders>
          </w:tcPr>
          <w:p w14:paraId="29DBBFAA" w14:textId="77777777" w:rsidR="00B54D51" w:rsidRPr="00037AD4" w:rsidRDefault="00B54D51" w:rsidP="00401C67">
            <w:pPr>
              <w:widowControl w:val="0"/>
              <w:autoSpaceDE w:val="0"/>
              <w:autoSpaceDN w:val="0"/>
              <w:adjustRightInd w:val="0"/>
              <w:jc w:val="center"/>
            </w:pPr>
            <w:r w:rsidRPr="00037AD4">
              <w:t>(-0.168 - 0.331)</w:t>
            </w:r>
          </w:p>
        </w:tc>
        <w:tc>
          <w:tcPr>
            <w:tcW w:w="695" w:type="pct"/>
            <w:tcBorders>
              <w:top w:val="nil"/>
              <w:left w:val="nil"/>
              <w:bottom w:val="nil"/>
              <w:right w:val="nil"/>
            </w:tcBorders>
          </w:tcPr>
          <w:p w14:paraId="6E54A98F" w14:textId="77777777" w:rsidR="00B54D51" w:rsidRPr="00037AD4" w:rsidRDefault="00B54D51" w:rsidP="00401C67">
            <w:pPr>
              <w:widowControl w:val="0"/>
              <w:autoSpaceDE w:val="0"/>
              <w:autoSpaceDN w:val="0"/>
              <w:adjustRightInd w:val="0"/>
              <w:jc w:val="center"/>
              <w:rPr>
                <w:highlight w:val="yellow"/>
              </w:rPr>
            </w:pPr>
          </w:p>
        </w:tc>
        <w:tc>
          <w:tcPr>
            <w:tcW w:w="696" w:type="pct"/>
            <w:tcBorders>
              <w:top w:val="nil"/>
              <w:left w:val="nil"/>
              <w:bottom w:val="nil"/>
              <w:right w:val="nil"/>
            </w:tcBorders>
          </w:tcPr>
          <w:p w14:paraId="40F9B3C2" w14:textId="77777777" w:rsidR="00B54D51" w:rsidRPr="00037AD4" w:rsidRDefault="00B54D51" w:rsidP="00401C67">
            <w:pPr>
              <w:widowControl w:val="0"/>
              <w:autoSpaceDE w:val="0"/>
              <w:autoSpaceDN w:val="0"/>
              <w:adjustRightInd w:val="0"/>
              <w:jc w:val="center"/>
              <w:rPr>
                <w:highlight w:val="yellow"/>
              </w:rPr>
            </w:pPr>
          </w:p>
        </w:tc>
        <w:tc>
          <w:tcPr>
            <w:tcW w:w="654" w:type="pct"/>
            <w:tcBorders>
              <w:top w:val="nil"/>
              <w:left w:val="nil"/>
              <w:bottom w:val="nil"/>
              <w:right w:val="nil"/>
            </w:tcBorders>
          </w:tcPr>
          <w:p w14:paraId="4671E707" w14:textId="77777777" w:rsidR="00B54D51" w:rsidRPr="00037AD4" w:rsidRDefault="00B54D51" w:rsidP="00401C67">
            <w:pPr>
              <w:widowControl w:val="0"/>
              <w:autoSpaceDE w:val="0"/>
              <w:autoSpaceDN w:val="0"/>
              <w:adjustRightInd w:val="0"/>
              <w:jc w:val="center"/>
              <w:rPr>
                <w:highlight w:val="yellow"/>
              </w:rPr>
            </w:pPr>
          </w:p>
        </w:tc>
        <w:tc>
          <w:tcPr>
            <w:tcW w:w="653" w:type="pct"/>
            <w:tcBorders>
              <w:top w:val="nil"/>
              <w:left w:val="nil"/>
              <w:bottom w:val="nil"/>
              <w:right w:val="nil"/>
            </w:tcBorders>
          </w:tcPr>
          <w:p w14:paraId="1AB8D14F" w14:textId="77777777" w:rsidR="00B54D51" w:rsidRPr="00037AD4" w:rsidRDefault="00B54D51" w:rsidP="00401C67">
            <w:pPr>
              <w:widowControl w:val="0"/>
              <w:autoSpaceDE w:val="0"/>
              <w:autoSpaceDN w:val="0"/>
              <w:adjustRightInd w:val="0"/>
              <w:jc w:val="center"/>
              <w:rPr>
                <w:highlight w:val="yellow"/>
              </w:rPr>
            </w:pPr>
          </w:p>
        </w:tc>
      </w:tr>
      <w:tr w:rsidR="00B54D51" w:rsidRPr="00037AD4" w14:paraId="444714A1" w14:textId="77777777" w:rsidTr="00401C67">
        <w:trPr>
          <w:jc w:val="center"/>
        </w:trPr>
        <w:tc>
          <w:tcPr>
            <w:tcW w:w="1608" w:type="pct"/>
            <w:tcBorders>
              <w:top w:val="nil"/>
              <w:left w:val="nil"/>
              <w:bottom w:val="nil"/>
              <w:right w:val="nil"/>
            </w:tcBorders>
          </w:tcPr>
          <w:p w14:paraId="775DE2ED" w14:textId="77777777" w:rsidR="00B54D51" w:rsidRPr="00037AD4" w:rsidRDefault="00B54D51" w:rsidP="00401C67">
            <w:pPr>
              <w:widowControl w:val="0"/>
              <w:autoSpaceDE w:val="0"/>
              <w:autoSpaceDN w:val="0"/>
              <w:adjustRightInd w:val="0"/>
            </w:pPr>
            <w:r w:rsidRPr="00037AD4">
              <w:t>4.eq1RP_</w:t>
            </w:r>
          </w:p>
        </w:tc>
        <w:tc>
          <w:tcPr>
            <w:tcW w:w="695" w:type="pct"/>
            <w:tcBorders>
              <w:top w:val="nil"/>
              <w:left w:val="nil"/>
              <w:bottom w:val="nil"/>
              <w:right w:val="nil"/>
            </w:tcBorders>
          </w:tcPr>
          <w:p w14:paraId="67D7924F" w14:textId="77777777" w:rsidR="00B54D51" w:rsidRPr="00037AD4" w:rsidRDefault="00B54D51" w:rsidP="00401C67">
            <w:pPr>
              <w:widowControl w:val="0"/>
              <w:autoSpaceDE w:val="0"/>
              <w:autoSpaceDN w:val="0"/>
              <w:adjustRightInd w:val="0"/>
              <w:jc w:val="center"/>
            </w:pPr>
            <w:r w:rsidRPr="00037AD4">
              <w:t>-0.124</w:t>
            </w:r>
          </w:p>
        </w:tc>
        <w:tc>
          <w:tcPr>
            <w:tcW w:w="695" w:type="pct"/>
            <w:tcBorders>
              <w:top w:val="nil"/>
              <w:left w:val="nil"/>
              <w:bottom w:val="nil"/>
              <w:right w:val="nil"/>
            </w:tcBorders>
          </w:tcPr>
          <w:p w14:paraId="5414D669" w14:textId="77777777" w:rsidR="00B54D51" w:rsidRPr="00037AD4" w:rsidRDefault="00B54D51" w:rsidP="00401C67">
            <w:pPr>
              <w:widowControl w:val="0"/>
              <w:autoSpaceDE w:val="0"/>
              <w:autoSpaceDN w:val="0"/>
              <w:adjustRightInd w:val="0"/>
              <w:jc w:val="center"/>
              <w:rPr>
                <w:highlight w:val="yellow"/>
              </w:rPr>
            </w:pPr>
          </w:p>
        </w:tc>
        <w:tc>
          <w:tcPr>
            <w:tcW w:w="696" w:type="pct"/>
            <w:tcBorders>
              <w:top w:val="nil"/>
              <w:left w:val="nil"/>
              <w:bottom w:val="nil"/>
              <w:right w:val="nil"/>
            </w:tcBorders>
          </w:tcPr>
          <w:p w14:paraId="3E7261B2" w14:textId="77777777" w:rsidR="00B54D51" w:rsidRPr="00037AD4" w:rsidRDefault="00B54D51" w:rsidP="00401C67">
            <w:pPr>
              <w:widowControl w:val="0"/>
              <w:autoSpaceDE w:val="0"/>
              <w:autoSpaceDN w:val="0"/>
              <w:adjustRightInd w:val="0"/>
              <w:jc w:val="center"/>
              <w:rPr>
                <w:highlight w:val="yellow"/>
              </w:rPr>
            </w:pPr>
          </w:p>
        </w:tc>
        <w:tc>
          <w:tcPr>
            <w:tcW w:w="654" w:type="pct"/>
            <w:tcBorders>
              <w:top w:val="nil"/>
              <w:left w:val="nil"/>
              <w:bottom w:val="nil"/>
              <w:right w:val="nil"/>
            </w:tcBorders>
          </w:tcPr>
          <w:p w14:paraId="451AC48D" w14:textId="77777777" w:rsidR="00B54D51" w:rsidRPr="00037AD4" w:rsidRDefault="00B54D51" w:rsidP="00401C67">
            <w:pPr>
              <w:widowControl w:val="0"/>
              <w:autoSpaceDE w:val="0"/>
              <w:autoSpaceDN w:val="0"/>
              <w:adjustRightInd w:val="0"/>
              <w:jc w:val="center"/>
              <w:rPr>
                <w:highlight w:val="yellow"/>
              </w:rPr>
            </w:pPr>
          </w:p>
        </w:tc>
        <w:tc>
          <w:tcPr>
            <w:tcW w:w="653" w:type="pct"/>
            <w:tcBorders>
              <w:top w:val="nil"/>
              <w:left w:val="nil"/>
              <w:bottom w:val="nil"/>
              <w:right w:val="nil"/>
            </w:tcBorders>
          </w:tcPr>
          <w:p w14:paraId="2EF33BBA" w14:textId="77777777" w:rsidR="00B54D51" w:rsidRPr="00037AD4" w:rsidRDefault="00B54D51" w:rsidP="00401C67">
            <w:pPr>
              <w:widowControl w:val="0"/>
              <w:autoSpaceDE w:val="0"/>
              <w:autoSpaceDN w:val="0"/>
              <w:adjustRightInd w:val="0"/>
              <w:jc w:val="center"/>
              <w:rPr>
                <w:highlight w:val="yellow"/>
              </w:rPr>
            </w:pPr>
          </w:p>
        </w:tc>
      </w:tr>
      <w:tr w:rsidR="00B54D51" w:rsidRPr="00037AD4" w14:paraId="1081B8E5" w14:textId="77777777" w:rsidTr="00401C67">
        <w:trPr>
          <w:jc w:val="center"/>
        </w:trPr>
        <w:tc>
          <w:tcPr>
            <w:tcW w:w="1608" w:type="pct"/>
            <w:tcBorders>
              <w:top w:val="nil"/>
              <w:left w:val="nil"/>
              <w:bottom w:val="nil"/>
              <w:right w:val="nil"/>
            </w:tcBorders>
          </w:tcPr>
          <w:p w14:paraId="75EF37F5" w14:textId="77777777" w:rsidR="00B54D51" w:rsidRPr="00037AD4" w:rsidRDefault="00B54D51" w:rsidP="00401C67">
            <w:pPr>
              <w:widowControl w:val="0"/>
              <w:autoSpaceDE w:val="0"/>
              <w:autoSpaceDN w:val="0"/>
              <w:adjustRightInd w:val="0"/>
            </w:pPr>
          </w:p>
        </w:tc>
        <w:tc>
          <w:tcPr>
            <w:tcW w:w="695" w:type="pct"/>
            <w:tcBorders>
              <w:top w:val="nil"/>
              <w:left w:val="nil"/>
              <w:bottom w:val="nil"/>
              <w:right w:val="nil"/>
            </w:tcBorders>
          </w:tcPr>
          <w:p w14:paraId="7542992D" w14:textId="77777777" w:rsidR="00B54D51" w:rsidRPr="00037AD4" w:rsidRDefault="00B54D51" w:rsidP="00401C67">
            <w:pPr>
              <w:widowControl w:val="0"/>
              <w:autoSpaceDE w:val="0"/>
              <w:autoSpaceDN w:val="0"/>
              <w:adjustRightInd w:val="0"/>
              <w:jc w:val="center"/>
            </w:pPr>
            <w:r w:rsidRPr="00037AD4">
              <w:t>(-0.448 - 0.201)</w:t>
            </w:r>
          </w:p>
        </w:tc>
        <w:tc>
          <w:tcPr>
            <w:tcW w:w="695" w:type="pct"/>
            <w:tcBorders>
              <w:top w:val="nil"/>
              <w:left w:val="nil"/>
              <w:bottom w:val="nil"/>
              <w:right w:val="nil"/>
            </w:tcBorders>
          </w:tcPr>
          <w:p w14:paraId="16FB5833" w14:textId="77777777" w:rsidR="00B54D51" w:rsidRPr="00037AD4" w:rsidRDefault="00B54D51" w:rsidP="00401C67">
            <w:pPr>
              <w:widowControl w:val="0"/>
              <w:autoSpaceDE w:val="0"/>
              <w:autoSpaceDN w:val="0"/>
              <w:adjustRightInd w:val="0"/>
              <w:jc w:val="center"/>
              <w:rPr>
                <w:highlight w:val="yellow"/>
              </w:rPr>
            </w:pPr>
          </w:p>
        </w:tc>
        <w:tc>
          <w:tcPr>
            <w:tcW w:w="696" w:type="pct"/>
            <w:tcBorders>
              <w:top w:val="nil"/>
              <w:left w:val="nil"/>
              <w:bottom w:val="nil"/>
              <w:right w:val="nil"/>
            </w:tcBorders>
          </w:tcPr>
          <w:p w14:paraId="437351F4" w14:textId="77777777" w:rsidR="00B54D51" w:rsidRPr="00037AD4" w:rsidRDefault="00B54D51" w:rsidP="00401C67">
            <w:pPr>
              <w:widowControl w:val="0"/>
              <w:autoSpaceDE w:val="0"/>
              <w:autoSpaceDN w:val="0"/>
              <w:adjustRightInd w:val="0"/>
              <w:jc w:val="center"/>
              <w:rPr>
                <w:highlight w:val="yellow"/>
              </w:rPr>
            </w:pPr>
          </w:p>
        </w:tc>
        <w:tc>
          <w:tcPr>
            <w:tcW w:w="654" w:type="pct"/>
            <w:tcBorders>
              <w:top w:val="nil"/>
              <w:left w:val="nil"/>
              <w:bottom w:val="nil"/>
              <w:right w:val="nil"/>
            </w:tcBorders>
          </w:tcPr>
          <w:p w14:paraId="3A1BC4AC" w14:textId="77777777" w:rsidR="00B54D51" w:rsidRPr="00037AD4" w:rsidRDefault="00B54D51" w:rsidP="00401C67">
            <w:pPr>
              <w:widowControl w:val="0"/>
              <w:autoSpaceDE w:val="0"/>
              <w:autoSpaceDN w:val="0"/>
              <w:adjustRightInd w:val="0"/>
              <w:jc w:val="center"/>
              <w:rPr>
                <w:highlight w:val="yellow"/>
              </w:rPr>
            </w:pPr>
          </w:p>
        </w:tc>
        <w:tc>
          <w:tcPr>
            <w:tcW w:w="653" w:type="pct"/>
            <w:tcBorders>
              <w:top w:val="nil"/>
              <w:left w:val="nil"/>
              <w:bottom w:val="nil"/>
              <w:right w:val="nil"/>
            </w:tcBorders>
          </w:tcPr>
          <w:p w14:paraId="5654DBD1" w14:textId="77777777" w:rsidR="00B54D51" w:rsidRPr="00037AD4" w:rsidRDefault="00B54D51" w:rsidP="00401C67">
            <w:pPr>
              <w:widowControl w:val="0"/>
              <w:autoSpaceDE w:val="0"/>
              <w:autoSpaceDN w:val="0"/>
              <w:adjustRightInd w:val="0"/>
              <w:jc w:val="center"/>
              <w:rPr>
                <w:highlight w:val="yellow"/>
              </w:rPr>
            </w:pPr>
          </w:p>
        </w:tc>
      </w:tr>
      <w:tr w:rsidR="00B54D51" w:rsidRPr="00037AD4" w14:paraId="31FB689C" w14:textId="77777777" w:rsidTr="00401C67">
        <w:trPr>
          <w:jc w:val="center"/>
        </w:trPr>
        <w:tc>
          <w:tcPr>
            <w:tcW w:w="1608" w:type="pct"/>
            <w:tcBorders>
              <w:top w:val="nil"/>
              <w:left w:val="nil"/>
              <w:bottom w:val="nil"/>
              <w:right w:val="nil"/>
            </w:tcBorders>
          </w:tcPr>
          <w:p w14:paraId="5B9EE61B" w14:textId="77777777" w:rsidR="00B54D51" w:rsidRPr="00037AD4" w:rsidRDefault="00B54D51" w:rsidP="00401C67">
            <w:pPr>
              <w:widowControl w:val="0"/>
              <w:autoSpaceDE w:val="0"/>
              <w:autoSpaceDN w:val="0"/>
              <w:adjustRightInd w:val="0"/>
            </w:pPr>
            <w:r w:rsidRPr="00037AD4">
              <w:t>5.eq1RP_</w:t>
            </w:r>
          </w:p>
        </w:tc>
        <w:tc>
          <w:tcPr>
            <w:tcW w:w="695" w:type="pct"/>
            <w:tcBorders>
              <w:top w:val="nil"/>
              <w:left w:val="nil"/>
              <w:bottom w:val="nil"/>
              <w:right w:val="nil"/>
            </w:tcBorders>
          </w:tcPr>
          <w:p w14:paraId="79EE8D7F" w14:textId="77777777" w:rsidR="00B54D51" w:rsidRPr="00037AD4" w:rsidRDefault="00B54D51" w:rsidP="00401C67">
            <w:pPr>
              <w:widowControl w:val="0"/>
              <w:autoSpaceDE w:val="0"/>
              <w:autoSpaceDN w:val="0"/>
              <w:adjustRightInd w:val="0"/>
              <w:jc w:val="center"/>
            </w:pPr>
            <w:r w:rsidRPr="00037AD4">
              <w:t>1.080***</w:t>
            </w:r>
          </w:p>
        </w:tc>
        <w:tc>
          <w:tcPr>
            <w:tcW w:w="695" w:type="pct"/>
            <w:tcBorders>
              <w:top w:val="nil"/>
              <w:left w:val="nil"/>
              <w:bottom w:val="nil"/>
              <w:right w:val="nil"/>
            </w:tcBorders>
          </w:tcPr>
          <w:p w14:paraId="4FB72C5C" w14:textId="77777777" w:rsidR="00B54D51" w:rsidRPr="00037AD4" w:rsidRDefault="00B54D51" w:rsidP="00401C67">
            <w:pPr>
              <w:widowControl w:val="0"/>
              <w:autoSpaceDE w:val="0"/>
              <w:autoSpaceDN w:val="0"/>
              <w:adjustRightInd w:val="0"/>
              <w:jc w:val="center"/>
              <w:rPr>
                <w:highlight w:val="yellow"/>
              </w:rPr>
            </w:pPr>
          </w:p>
        </w:tc>
        <w:tc>
          <w:tcPr>
            <w:tcW w:w="696" w:type="pct"/>
            <w:tcBorders>
              <w:top w:val="nil"/>
              <w:left w:val="nil"/>
              <w:bottom w:val="nil"/>
              <w:right w:val="nil"/>
            </w:tcBorders>
          </w:tcPr>
          <w:p w14:paraId="412D9C90" w14:textId="77777777" w:rsidR="00B54D51" w:rsidRPr="00037AD4" w:rsidRDefault="00B54D51" w:rsidP="00401C67">
            <w:pPr>
              <w:widowControl w:val="0"/>
              <w:autoSpaceDE w:val="0"/>
              <w:autoSpaceDN w:val="0"/>
              <w:adjustRightInd w:val="0"/>
              <w:jc w:val="center"/>
              <w:rPr>
                <w:highlight w:val="yellow"/>
              </w:rPr>
            </w:pPr>
          </w:p>
        </w:tc>
        <w:tc>
          <w:tcPr>
            <w:tcW w:w="654" w:type="pct"/>
            <w:tcBorders>
              <w:top w:val="nil"/>
              <w:left w:val="nil"/>
              <w:bottom w:val="nil"/>
              <w:right w:val="nil"/>
            </w:tcBorders>
          </w:tcPr>
          <w:p w14:paraId="0DDC23AC" w14:textId="77777777" w:rsidR="00B54D51" w:rsidRPr="00037AD4" w:rsidRDefault="00B54D51" w:rsidP="00401C67">
            <w:pPr>
              <w:widowControl w:val="0"/>
              <w:autoSpaceDE w:val="0"/>
              <w:autoSpaceDN w:val="0"/>
              <w:adjustRightInd w:val="0"/>
              <w:jc w:val="center"/>
              <w:rPr>
                <w:highlight w:val="yellow"/>
              </w:rPr>
            </w:pPr>
          </w:p>
        </w:tc>
        <w:tc>
          <w:tcPr>
            <w:tcW w:w="653" w:type="pct"/>
            <w:tcBorders>
              <w:top w:val="nil"/>
              <w:left w:val="nil"/>
              <w:bottom w:val="nil"/>
              <w:right w:val="nil"/>
            </w:tcBorders>
          </w:tcPr>
          <w:p w14:paraId="51512B6A" w14:textId="77777777" w:rsidR="00B54D51" w:rsidRPr="00037AD4" w:rsidRDefault="00B54D51" w:rsidP="00401C67">
            <w:pPr>
              <w:widowControl w:val="0"/>
              <w:autoSpaceDE w:val="0"/>
              <w:autoSpaceDN w:val="0"/>
              <w:adjustRightInd w:val="0"/>
              <w:jc w:val="center"/>
              <w:rPr>
                <w:highlight w:val="yellow"/>
              </w:rPr>
            </w:pPr>
          </w:p>
        </w:tc>
      </w:tr>
      <w:tr w:rsidR="00B54D51" w:rsidRPr="00037AD4" w14:paraId="5815B23F" w14:textId="77777777" w:rsidTr="00401C67">
        <w:trPr>
          <w:jc w:val="center"/>
        </w:trPr>
        <w:tc>
          <w:tcPr>
            <w:tcW w:w="1608" w:type="pct"/>
            <w:tcBorders>
              <w:top w:val="nil"/>
              <w:left w:val="nil"/>
              <w:bottom w:val="nil"/>
              <w:right w:val="nil"/>
            </w:tcBorders>
          </w:tcPr>
          <w:p w14:paraId="14E9001E" w14:textId="77777777" w:rsidR="00B54D51" w:rsidRPr="00037AD4" w:rsidRDefault="00B54D51" w:rsidP="00401C67">
            <w:pPr>
              <w:widowControl w:val="0"/>
              <w:autoSpaceDE w:val="0"/>
              <w:autoSpaceDN w:val="0"/>
              <w:adjustRightInd w:val="0"/>
            </w:pPr>
          </w:p>
        </w:tc>
        <w:tc>
          <w:tcPr>
            <w:tcW w:w="695" w:type="pct"/>
            <w:tcBorders>
              <w:top w:val="nil"/>
              <w:left w:val="nil"/>
              <w:bottom w:val="nil"/>
              <w:right w:val="nil"/>
            </w:tcBorders>
          </w:tcPr>
          <w:p w14:paraId="49B63166" w14:textId="77777777" w:rsidR="00B54D51" w:rsidRPr="00037AD4" w:rsidRDefault="00B54D51" w:rsidP="00401C67">
            <w:pPr>
              <w:widowControl w:val="0"/>
              <w:autoSpaceDE w:val="0"/>
              <w:autoSpaceDN w:val="0"/>
              <w:adjustRightInd w:val="0"/>
              <w:jc w:val="center"/>
            </w:pPr>
            <w:r w:rsidRPr="00037AD4">
              <w:t>(0.460 - 1.699)</w:t>
            </w:r>
          </w:p>
        </w:tc>
        <w:tc>
          <w:tcPr>
            <w:tcW w:w="695" w:type="pct"/>
            <w:tcBorders>
              <w:top w:val="nil"/>
              <w:left w:val="nil"/>
              <w:bottom w:val="nil"/>
              <w:right w:val="nil"/>
            </w:tcBorders>
          </w:tcPr>
          <w:p w14:paraId="6D92003A" w14:textId="77777777" w:rsidR="00B54D51" w:rsidRPr="00037AD4" w:rsidRDefault="00B54D51" w:rsidP="00401C67">
            <w:pPr>
              <w:widowControl w:val="0"/>
              <w:autoSpaceDE w:val="0"/>
              <w:autoSpaceDN w:val="0"/>
              <w:adjustRightInd w:val="0"/>
              <w:jc w:val="center"/>
              <w:rPr>
                <w:highlight w:val="yellow"/>
              </w:rPr>
            </w:pPr>
          </w:p>
        </w:tc>
        <w:tc>
          <w:tcPr>
            <w:tcW w:w="696" w:type="pct"/>
            <w:tcBorders>
              <w:top w:val="nil"/>
              <w:left w:val="nil"/>
              <w:bottom w:val="nil"/>
              <w:right w:val="nil"/>
            </w:tcBorders>
          </w:tcPr>
          <w:p w14:paraId="151F99AC" w14:textId="77777777" w:rsidR="00B54D51" w:rsidRPr="00037AD4" w:rsidRDefault="00B54D51" w:rsidP="00401C67">
            <w:pPr>
              <w:widowControl w:val="0"/>
              <w:autoSpaceDE w:val="0"/>
              <w:autoSpaceDN w:val="0"/>
              <w:adjustRightInd w:val="0"/>
              <w:jc w:val="center"/>
              <w:rPr>
                <w:highlight w:val="yellow"/>
              </w:rPr>
            </w:pPr>
          </w:p>
        </w:tc>
        <w:tc>
          <w:tcPr>
            <w:tcW w:w="654" w:type="pct"/>
            <w:tcBorders>
              <w:top w:val="nil"/>
              <w:left w:val="nil"/>
              <w:bottom w:val="nil"/>
              <w:right w:val="nil"/>
            </w:tcBorders>
          </w:tcPr>
          <w:p w14:paraId="785724D6" w14:textId="77777777" w:rsidR="00B54D51" w:rsidRPr="00037AD4" w:rsidRDefault="00B54D51" w:rsidP="00401C67">
            <w:pPr>
              <w:widowControl w:val="0"/>
              <w:autoSpaceDE w:val="0"/>
              <w:autoSpaceDN w:val="0"/>
              <w:adjustRightInd w:val="0"/>
              <w:jc w:val="center"/>
              <w:rPr>
                <w:highlight w:val="yellow"/>
              </w:rPr>
            </w:pPr>
          </w:p>
        </w:tc>
        <w:tc>
          <w:tcPr>
            <w:tcW w:w="653" w:type="pct"/>
            <w:tcBorders>
              <w:top w:val="nil"/>
              <w:left w:val="nil"/>
              <w:bottom w:val="nil"/>
              <w:right w:val="nil"/>
            </w:tcBorders>
          </w:tcPr>
          <w:p w14:paraId="422D1F47" w14:textId="77777777" w:rsidR="00B54D51" w:rsidRPr="00037AD4" w:rsidRDefault="00B54D51" w:rsidP="00401C67">
            <w:pPr>
              <w:widowControl w:val="0"/>
              <w:autoSpaceDE w:val="0"/>
              <w:autoSpaceDN w:val="0"/>
              <w:adjustRightInd w:val="0"/>
              <w:jc w:val="center"/>
              <w:rPr>
                <w:highlight w:val="yellow"/>
              </w:rPr>
            </w:pPr>
          </w:p>
        </w:tc>
      </w:tr>
      <w:tr w:rsidR="00B54D51" w:rsidRPr="00037AD4" w14:paraId="2FAFB15A" w14:textId="77777777" w:rsidTr="00401C67">
        <w:trPr>
          <w:jc w:val="center"/>
        </w:trPr>
        <w:tc>
          <w:tcPr>
            <w:tcW w:w="1608" w:type="pct"/>
            <w:tcBorders>
              <w:top w:val="nil"/>
              <w:left w:val="nil"/>
              <w:bottom w:val="nil"/>
              <w:right w:val="nil"/>
            </w:tcBorders>
          </w:tcPr>
          <w:p w14:paraId="5363F15A" w14:textId="77777777" w:rsidR="00B54D51" w:rsidRPr="00037AD4" w:rsidRDefault="00B54D51" w:rsidP="00401C67">
            <w:pPr>
              <w:widowControl w:val="0"/>
              <w:autoSpaceDE w:val="0"/>
              <w:autoSpaceDN w:val="0"/>
              <w:adjustRightInd w:val="0"/>
            </w:pPr>
            <w:r w:rsidRPr="00037AD4">
              <w:t>2.eq2RP_</w:t>
            </w:r>
          </w:p>
        </w:tc>
        <w:tc>
          <w:tcPr>
            <w:tcW w:w="695" w:type="pct"/>
            <w:tcBorders>
              <w:top w:val="nil"/>
              <w:left w:val="nil"/>
              <w:bottom w:val="nil"/>
              <w:right w:val="nil"/>
            </w:tcBorders>
          </w:tcPr>
          <w:p w14:paraId="3C2EFB10" w14:textId="77777777" w:rsidR="00B54D51" w:rsidRPr="00037AD4" w:rsidRDefault="00B54D51" w:rsidP="00401C67">
            <w:pPr>
              <w:widowControl w:val="0"/>
              <w:autoSpaceDE w:val="0"/>
              <w:autoSpaceDN w:val="0"/>
              <w:adjustRightInd w:val="0"/>
              <w:jc w:val="center"/>
            </w:pPr>
            <w:r w:rsidRPr="00037AD4">
              <w:t>-0.115</w:t>
            </w:r>
          </w:p>
        </w:tc>
        <w:tc>
          <w:tcPr>
            <w:tcW w:w="695" w:type="pct"/>
            <w:tcBorders>
              <w:top w:val="nil"/>
              <w:left w:val="nil"/>
              <w:bottom w:val="nil"/>
              <w:right w:val="nil"/>
            </w:tcBorders>
          </w:tcPr>
          <w:p w14:paraId="716267D5" w14:textId="77777777" w:rsidR="00B54D51" w:rsidRPr="00037AD4" w:rsidRDefault="00B54D51" w:rsidP="00401C67">
            <w:pPr>
              <w:widowControl w:val="0"/>
              <w:autoSpaceDE w:val="0"/>
              <w:autoSpaceDN w:val="0"/>
              <w:adjustRightInd w:val="0"/>
              <w:jc w:val="center"/>
              <w:rPr>
                <w:highlight w:val="yellow"/>
              </w:rPr>
            </w:pPr>
          </w:p>
        </w:tc>
        <w:tc>
          <w:tcPr>
            <w:tcW w:w="696" w:type="pct"/>
            <w:tcBorders>
              <w:top w:val="nil"/>
              <w:left w:val="nil"/>
              <w:bottom w:val="nil"/>
              <w:right w:val="nil"/>
            </w:tcBorders>
          </w:tcPr>
          <w:p w14:paraId="67363A1B" w14:textId="77777777" w:rsidR="00B54D51" w:rsidRPr="00037AD4" w:rsidRDefault="00B54D51" w:rsidP="00401C67">
            <w:pPr>
              <w:widowControl w:val="0"/>
              <w:autoSpaceDE w:val="0"/>
              <w:autoSpaceDN w:val="0"/>
              <w:adjustRightInd w:val="0"/>
              <w:jc w:val="center"/>
              <w:rPr>
                <w:highlight w:val="yellow"/>
              </w:rPr>
            </w:pPr>
          </w:p>
        </w:tc>
        <w:tc>
          <w:tcPr>
            <w:tcW w:w="654" w:type="pct"/>
            <w:tcBorders>
              <w:top w:val="nil"/>
              <w:left w:val="nil"/>
              <w:bottom w:val="nil"/>
              <w:right w:val="nil"/>
            </w:tcBorders>
          </w:tcPr>
          <w:p w14:paraId="26601505" w14:textId="77777777" w:rsidR="00B54D51" w:rsidRPr="00037AD4" w:rsidRDefault="00B54D51" w:rsidP="00401C67">
            <w:pPr>
              <w:widowControl w:val="0"/>
              <w:autoSpaceDE w:val="0"/>
              <w:autoSpaceDN w:val="0"/>
              <w:adjustRightInd w:val="0"/>
              <w:jc w:val="center"/>
              <w:rPr>
                <w:highlight w:val="yellow"/>
              </w:rPr>
            </w:pPr>
          </w:p>
        </w:tc>
        <w:tc>
          <w:tcPr>
            <w:tcW w:w="653" w:type="pct"/>
            <w:tcBorders>
              <w:top w:val="nil"/>
              <w:left w:val="nil"/>
              <w:bottom w:val="nil"/>
              <w:right w:val="nil"/>
            </w:tcBorders>
          </w:tcPr>
          <w:p w14:paraId="4F133A48" w14:textId="77777777" w:rsidR="00B54D51" w:rsidRPr="00037AD4" w:rsidRDefault="00B54D51" w:rsidP="00401C67">
            <w:pPr>
              <w:widowControl w:val="0"/>
              <w:autoSpaceDE w:val="0"/>
              <w:autoSpaceDN w:val="0"/>
              <w:adjustRightInd w:val="0"/>
              <w:jc w:val="center"/>
              <w:rPr>
                <w:highlight w:val="yellow"/>
              </w:rPr>
            </w:pPr>
          </w:p>
        </w:tc>
      </w:tr>
      <w:tr w:rsidR="00B54D51" w:rsidRPr="00037AD4" w14:paraId="19BC197E" w14:textId="77777777" w:rsidTr="00401C67">
        <w:trPr>
          <w:jc w:val="center"/>
        </w:trPr>
        <w:tc>
          <w:tcPr>
            <w:tcW w:w="1608" w:type="pct"/>
            <w:tcBorders>
              <w:top w:val="nil"/>
              <w:left w:val="nil"/>
              <w:bottom w:val="nil"/>
              <w:right w:val="nil"/>
            </w:tcBorders>
          </w:tcPr>
          <w:p w14:paraId="02339155" w14:textId="77777777" w:rsidR="00B54D51" w:rsidRPr="00037AD4" w:rsidRDefault="00B54D51" w:rsidP="00401C67">
            <w:pPr>
              <w:widowControl w:val="0"/>
              <w:autoSpaceDE w:val="0"/>
              <w:autoSpaceDN w:val="0"/>
              <w:adjustRightInd w:val="0"/>
            </w:pPr>
          </w:p>
        </w:tc>
        <w:tc>
          <w:tcPr>
            <w:tcW w:w="695" w:type="pct"/>
            <w:tcBorders>
              <w:top w:val="nil"/>
              <w:left w:val="nil"/>
              <w:bottom w:val="nil"/>
              <w:right w:val="nil"/>
            </w:tcBorders>
          </w:tcPr>
          <w:p w14:paraId="0F5B0FDF" w14:textId="77777777" w:rsidR="00B54D51" w:rsidRPr="00037AD4" w:rsidRDefault="00B54D51" w:rsidP="00401C67">
            <w:pPr>
              <w:widowControl w:val="0"/>
              <w:autoSpaceDE w:val="0"/>
              <w:autoSpaceDN w:val="0"/>
              <w:adjustRightInd w:val="0"/>
              <w:jc w:val="center"/>
            </w:pPr>
            <w:r w:rsidRPr="00037AD4">
              <w:t>(-0.363 - 0.133)</w:t>
            </w:r>
          </w:p>
        </w:tc>
        <w:tc>
          <w:tcPr>
            <w:tcW w:w="695" w:type="pct"/>
            <w:tcBorders>
              <w:top w:val="nil"/>
              <w:left w:val="nil"/>
              <w:bottom w:val="nil"/>
              <w:right w:val="nil"/>
            </w:tcBorders>
          </w:tcPr>
          <w:p w14:paraId="337C9503" w14:textId="77777777" w:rsidR="00B54D51" w:rsidRPr="00037AD4" w:rsidRDefault="00B54D51" w:rsidP="00401C67">
            <w:pPr>
              <w:widowControl w:val="0"/>
              <w:autoSpaceDE w:val="0"/>
              <w:autoSpaceDN w:val="0"/>
              <w:adjustRightInd w:val="0"/>
              <w:jc w:val="center"/>
              <w:rPr>
                <w:highlight w:val="yellow"/>
              </w:rPr>
            </w:pPr>
          </w:p>
        </w:tc>
        <w:tc>
          <w:tcPr>
            <w:tcW w:w="696" w:type="pct"/>
            <w:tcBorders>
              <w:top w:val="nil"/>
              <w:left w:val="nil"/>
              <w:bottom w:val="nil"/>
              <w:right w:val="nil"/>
            </w:tcBorders>
          </w:tcPr>
          <w:p w14:paraId="4D6D6B02" w14:textId="77777777" w:rsidR="00B54D51" w:rsidRPr="00037AD4" w:rsidRDefault="00B54D51" w:rsidP="00401C67">
            <w:pPr>
              <w:widowControl w:val="0"/>
              <w:autoSpaceDE w:val="0"/>
              <w:autoSpaceDN w:val="0"/>
              <w:adjustRightInd w:val="0"/>
              <w:jc w:val="center"/>
              <w:rPr>
                <w:highlight w:val="yellow"/>
              </w:rPr>
            </w:pPr>
          </w:p>
        </w:tc>
        <w:tc>
          <w:tcPr>
            <w:tcW w:w="654" w:type="pct"/>
            <w:tcBorders>
              <w:top w:val="nil"/>
              <w:left w:val="nil"/>
              <w:bottom w:val="nil"/>
              <w:right w:val="nil"/>
            </w:tcBorders>
          </w:tcPr>
          <w:p w14:paraId="79AEFA2C" w14:textId="77777777" w:rsidR="00B54D51" w:rsidRPr="00037AD4" w:rsidRDefault="00B54D51" w:rsidP="00401C67">
            <w:pPr>
              <w:widowControl w:val="0"/>
              <w:autoSpaceDE w:val="0"/>
              <w:autoSpaceDN w:val="0"/>
              <w:adjustRightInd w:val="0"/>
              <w:jc w:val="center"/>
              <w:rPr>
                <w:highlight w:val="yellow"/>
              </w:rPr>
            </w:pPr>
          </w:p>
        </w:tc>
        <w:tc>
          <w:tcPr>
            <w:tcW w:w="653" w:type="pct"/>
            <w:tcBorders>
              <w:top w:val="nil"/>
              <w:left w:val="nil"/>
              <w:bottom w:val="nil"/>
              <w:right w:val="nil"/>
            </w:tcBorders>
          </w:tcPr>
          <w:p w14:paraId="48C07101" w14:textId="77777777" w:rsidR="00B54D51" w:rsidRPr="00037AD4" w:rsidRDefault="00B54D51" w:rsidP="00401C67">
            <w:pPr>
              <w:widowControl w:val="0"/>
              <w:autoSpaceDE w:val="0"/>
              <w:autoSpaceDN w:val="0"/>
              <w:adjustRightInd w:val="0"/>
              <w:jc w:val="center"/>
              <w:rPr>
                <w:highlight w:val="yellow"/>
              </w:rPr>
            </w:pPr>
          </w:p>
        </w:tc>
      </w:tr>
      <w:tr w:rsidR="00B54D51" w:rsidRPr="00037AD4" w14:paraId="027B1611" w14:textId="77777777" w:rsidTr="00401C67">
        <w:trPr>
          <w:jc w:val="center"/>
        </w:trPr>
        <w:tc>
          <w:tcPr>
            <w:tcW w:w="1608" w:type="pct"/>
            <w:tcBorders>
              <w:top w:val="nil"/>
              <w:left w:val="nil"/>
              <w:bottom w:val="nil"/>
              <w:right w:val="nil"/>
            </w:tcBorders>
          </w:tcPr>
          <w:p w14:paraId="602AC05A" w14:textId="77777777" w:rsidR="00B54D51" w:rsidRPr="00037AD4" w:rsidRDefault="00B54D51" w:rsidP="00401C67">
            <w:pPr>
              <w:widowControl w:val="0"/>
              <w:autoSpaceDE w:val="0"/>
              <w:autoSpaceDN w:val="0"/>
              <w:adjustRightInd w:val="0"/>
            </w:pPr>
            <w:r w:rsidRPr="00037AD4">
              <w:t>3.eq2RP_</w:t>
            </w:r>
          </w:p>
        </w:tc>
        <w:tc>
          <w:tcPr>
            <w:tcW w:w="695" w:type="pct"/>
            <w:tcBorders>
              <w:top w:val="nil"/>
              <w:left w:val="nil"/>
              <w:bottom w:val="nil"/>
              <w:right w:val="nil"/>
            </w:tcBorders>
          </w:tcPr>
          <w:p w14:paraId="632224C5" w14:textId="77777777" w:rsidR="00B54D51" w:rsidRPr="00037AD4" w:rsidRDefault="00B54D51" w:rsidP="00401C67">
            <w:pPr>
              <w:widowControl w:val="0"/>
              <w:autoSpaceDE w:val="0"/>
              <w:autoSpaceDN w:val="0"/>
              <w:adjustRightInd w:val="0"/>
              <w:jc w:val="center"/>
            </w:pPr>
            <w:r w:rsidRPr="00037AD4">
              <w:t>0.078</w:t>
            </w:r>
          </w:p>
        </w:tc>
        <w:tc>
          <w:tcPr>
            <w:tcW w:w="695" w:type="pct"/>
            <w:tcBorders>
              <w:top w:val="nil"/>
              <w:left w:val="nil"/>
              <w:bottom w:val="nil"/>
              <w:right w:val="nil"/>
            </w:tcBorders>
          </w:tcPr>
          <w:p w14:paraId="2FE97EDF" w14:textId="77777777" w:rsidR="00B54D51" w:rsidRPr="00037AD4" w:rsidRDefault="00B54D51" w:rsidP="00401C67">
            <w:pPr>
              <w:widowControl w:val="0"/>
              <w:autoSpaceDE w:val="0"/>
              <w:autoSpaceDN w:val="0"/>
              <w:adjustRightInd w:val="0"/>
              <w:jc w:val="center"/>
              <w:rPr>
                <w:highlight w:val="yellow"/>
              </w:rPr>
            </w:pPr>
          </w:p>
        </w:tc>
        <w:tc>
          <w:tcPr>
            <w:tcW w:w="696" w:type="pct"/>
            <w:tcBorders>
              <w:top w:val="nil"/>
              <w:left w:val="nil"/>
              <w:bottom w:val="nil"/>
              <w:right w:val="nil"/>
            </w:tcBorders>
          </w:tcPr>
          <w:p w14:paraId="2BB4FAAB" w14:textId="77777777" w:rsidR="00B54D51" w:rsidRPr="00037AD4" w:rsidRDefault="00B54D51" w:rsidP="00401C67">
            <w:pPr>
              <w:widowControl w:val="0"/>
              <w:autoSpaceDE w:val="0"/>
              <w:autoSpaceDN w:val="0"/>
              <w:adjustRightInd w:val="0"/>
              <w:jc w:val="center"/>
              <w:rPr>
                <w:highlight w:val="yellow"/>
              </w:rPr>
            </w:pPr>
          </w:p>
        </w:tc>
        <w:tc>
          <w:tcPr>
            <w:tcW w:w="654" w:type="pct"/>
            <w:tcBorders>
              <w:top w:val="nil"/>
              <w:left w:val="nil"/>
              <w:bottom w:val="nil"/>
              <w:right w:val="nil"/>
            </w:tcBorders>
          </w:tcPr>
          <w:p w14:paraId="59013ACD" w14:textId="77777777" w:rsidR="00B54D51" w:rsidRPr="00037AD4" w:rsidRDefault="00B54D51" w:rsidP="00401C67">
            <w:pPr>
              <w:widowControl w:val="0"/>
              <w:autoSpaceDE w:val="0"/>
              <w:autoSpaceDN w:val="0"/>
              <w:adjustRightInd w:val="0"/>
              <w:jc w:val="center"/>
              <w:rPr>
                <w:highlight w:val="yellow"/>
              </w:rPr>
            </w:pPr>
          </w:p>
        </w:tc>
        <w:tc>
          <w:tcPr>
            <w:tcW w:w="653" w:type="pct"/>
            <w:tcBorders>
              <w:top w:val="nil"/>
              <w:left w:val="nil"/>
              <w:bottom w:val="nil"/>
              <w:right w:val="nil"/>
            </w:tcBorders>
          </w:tcPr>
          <w:p w14:paraId="1F39ABA8" w14:textId="77777777" w:rsidR="00B54D51" w:rsidRPr="00037AD4" w:rsidRDefault="00B54D51" w:rsidP="00401C67">
            <w:pPr>
              <w:widowControl w:val="0"/>
              <w:autoSpaceDE w:val="0"/>
              <w:autoSpaceDN w:val="0"/>
              <w:adjustRightInd w:val="0"/>
              <w:jc w:val="center"/>
              <w:rPr>
                <w:highlight w:val="yellow"/>
              </w:rPr>
            </w:pPr>
          </w:p>
        </w:tc>
      </w:tr>
      <w:tr w:rsidR="00B54D51" w:rsidRPr="00037AD4" w14:paraId="4A30D935" w14:textId="77777777" w:rsidTr="00401C67">
        <w:trPr>
          <w:jc w:val="center"/>
        </w:trPr>
        <w:tc>
          <w:tcPr>
            <w:tcW w:w="1608" w:type="pct"/>
            <w:tcBorders>
              <w:top w:val="nil"/>
              <w:left w:val="nil"/>
              <w:bottom w:val="nil"/>
              <w:right w:val="nil"/>
            </w:tcBorders>
          </w:tcPr>
          <w:p w14:paraId="470A28F9" w14:textId="77777777" w:rsidR="00B54D51" w:rsidRPr="00037AD4" w:rsidRDefault="00B54D51" w:rsidP="00401C67">
            <w:pPr>
              <w:widowControl w:val="0"/>
              <w:autoSpaceDE w:val="0"/>
              <w:autoSpaceDN w:val="0"/>
              <w:adjustRightInd w:val="0"/>
            </w:pPr>
          </w:p>
        </w:tc>
        <w:tc>
          <w:tcPr>
            <w:tcW w:w="695" w:type="pct"/>
            <w:tcBorders>
              <w:top w:val="nil"/>
              <w:left w:val="nil"/>
              <w:bottom w:val="nil"/>
              <w:right w:val="nil"/>
            </w:tcBorders>
          </w:tcPr>
          <w:p w14:paraId="6BD2A509" w14:textId="77777777" w:rsidR="00B54D51" w:rsidRPr="00037AD4" w:rsidRDefault="00B54D51" w:rsidP="00401C67">
            <w:pPr>
              <w:widowControl w:val="0"/>
              <w:autoSpaceDE w:val="0"/>
              <w:autoSpaceDN w:val="0"/>
              <w:adjustRightInd w:val="0"/>
              <w:jc w:val="center"/>
            </w:pPr>
            <w:r w:rsidRPr="00037AD4">
              <w:t>(-0.257 - 0.413)</w:t>
            </w:r>
          </w:p>
        </w:tc>
        <w:tc>
          <w:tcPr>
            <w:tcW w:w="695" w:type="pct"/>
            <w:tcBorders>
              <w:top w:val="nil"/>
              <w:left w:val="nil"/>
              <w:bottom w:val="nil"/>
              <w:right w:val="nil"/>
            </w:tcBorders>
          </w:tcPr>
          <w:p w14:paraId="0B122D2E" w14:textId="77777777" w:rsidR="00B54D51" w:rsidRPr="00037AD4" w:rsidRDefault="00B54D51" w:rsidP="00401C67">
            <w:pPr>
              <w:widowControl w:val="0"/>
              <w:autoSpaceDE w:val="0"/>
              <w:autoSpaceDN w:val="0"/>
              <w:adjustRightInd w:val="0"/>
              <w:jc w:val="center"/>
              <w:rPr>
                <w:highlight w:val="yellow"/>
              </w:rPr>
            </w:pPr>
          </w:p>
        </w:tc>
        <w:tc>
          <w:tcPr>
            <w:tcW w:w="696" w:type="pct"/>
            <w:tcBorders>
              <w:top w:val="nil"/>
              <w:left w:val="nil"/>
              <w:bottom w:val="nil"/>
              <w:right w:val="nil"/>
            </w:tcBorders>
          </w:tcPr>
          <w:p w14:paraId="535BE832" w14:textId="77777777" w:rsidR="00B54D51" w:rsidRPr="00037AD4" w:rsidRDefault="00B54D51" w:rsidP="00401C67">
            <w:pPr>
              <w:widowControl w:val="0"/>
              <w:autoSpaceDE w:val="0"/>
              <w:autoSpaceDN w:val="0"/>
              <w:adjustRightInd w:val="0"/>
              <w:jc w:val="center"/>
              <w:rPr>
                <w:highlight w:val="yellow"/>
              </w:rPr>
            </w:pPr>
          </w:p>
        </w:tc>
        <w:tc>
          <w:tcPr>
            <w:tcW w:w="654" w:type="pct"/>
            <w:tcBorders>
              <w:top w:val="nil"/>
              <w:left w:val="nil"/>
              <w:bottom w:val="nil"/>
              <w:right w:val="nil"/>
            </w:tcBorders>
          </w:tcPr>
          <w:p w14:paraId="07E79FA2" w14:textId="77777777" w:rsidR="00B54D51" w:rsidRPr="00037AD4" w:rsidRDefault="00B54D51" w:rsidP="00401C67">
            <w:pPr>
              <w:widowControl w:val="0"/>
              <w:autoSpaceDE w:val="0"/>
              <w:autoSpaceDN w:val="0"/>
              <w:adjustRightInd w:val="0"/>
              <w:jc w:val="center"/>
              <w:rPr>
                <w:highlight w:val="yellow"/>
              </w:rPr>
            </w:pPr>
          </w:p>
        </w:tc>
        <w:tc>
          <w:tcPr>
            <w:tcW w:w="653" w:type="pct"/>
            <w:tcBorders>
              <w:top w:val="nil"/>
              <w:left w:val="nil"/>
              <w:bottom w:val="nil"/>
              <w:right w:val="nil"/>
            </w:tcBorders>
          </w:tcPr>
          <w:p w14:paraId="5BE3B8AE" w14:textId="77777777" w:rsidR="00B54D51" w:rsidRPr="00037AD4" w:rsidRDefault="00B54D51" w:rsidP="00401C67">
            <w:pPr>
              <w:widowControl w:val="0"/>
              <w:autoSpaceDE w:val="0"/>
              <w:autoSpaceDN w:val="0"/>
              <w:adjustRightInd w:val="0"/>
              <w:jc w:val="center"/>
              <w:rPr>
                <w:highlight w:val="yellow"/>
              </w:rPr>
            </w:pPr>
          </w:p>
        </w:tc>
      </w:tr>
      <w:tr w:rsidR="00B54D51" w:rsidRPr="00037AD4" w14:paraId="77B80EC9" w14:textId="77777777" w:rsidTr="00401C67">
        <w:trPr>
          <w:jc w:val="center"/>
        </w:trPr>
        <w:tc>
          <w:tcPr>
            <w:tcW w:w="1608" w:type="pct"/>
            <w:tcBorders>
              <w:top w:val="nil"/>
              <w:left w:val="nil"/>
              <w:bottom w:val="nil"/>
              <w:right w:val="nil"/>
            </w:tcBorders>
          </w:tcPr>
          <w:p w14:paraId="4F09929B" w14:textId="77777777" w:rsidR="00B54D51" w:rsidRPr="00037AD4" w:rsidRDefault="00B54D51" w:rsidP="00401C67">
            <w:pPr>
              <w:widowControl w:val="0"/>
              <w:autoSpaceDE w:val="0"/>
              <w:autoSpaceDN w:val="0"/>
              <w:adjustRightInd w:val="0"/>
            </w:pPr>
            <w:r w:rsidRPr="00037AD4">
              <w:t>4.eq2RP_</w:t>
            </w:r>
          </w:p>
        </w:tc>
        <w:tc>
          <w:tcPr>
            <w:tcW w:w="695" w:type="pct"/>
            <w:tcBorders>
              <w:top w:val="nil"/>
              <w:left w:val="nil"/>
              <w:bottom w:val="nil"/>
              <w:right w:val="nil"/>
            </w:tcBorders>
          </w:tcPr>
          <w:p w14:paraId="3D4A21AB" w14:textId="77777777" w:rsidR="00B54D51" w:rsidRPr="00037AD4" w:rsidRDefault="00B54D51" w:rsidP="00401C67">
            <w:pPr>
              <w:widowControl w:val="0"/>
              <w:autoSpaceDE w:val="0"/>
              <w:autoSpaceDN w:val="0"/>
              <w:adjustRightInd w:val="0"/>
              <w:jc w:val="center"/>
            </w:pPr>
            <w:r w:rsidRPr="00037AD4">
              <w:t>0.048</w:t>
            </w:r>
          </w:p>
        </w:tc>
        <w:tc>
          <w:tcPr>
            <w:tcW w:w="695" w:type="pct"/>
            <w:tcBorders>
              <w:top w:val="nil"/>
              <w:left w:val="nil"/>
              <w:bottom w:val="nil"/>
              <w:right w:val="nil"/>
            </w:tcBorders>
          </w:tcPr>
          <w:p w14:paraId="5FFA8366" w14:textId="77777777" w:rsidR="00B54D51" w:rsidRPr="00037AD4" w:rsidRDefault="00B54D51" w:rsidP="00401C67">
            <w:pPr>
              <w:widowControl w:val="0"/>
              <w:autoSpaceDE w:val="0"/>
              <w:autoSpaceDN w:val="0"/>
              <w:adjustRightInd w:val="0"/>
              <w:jc w:val="center"/>
              <w:rPr>
                <w:highlight w:val="yellow"/>
              </w:rPr>
            </w:pPr>
          </w:p>
        </w:tc>
        <w:tc>
          <w:tcPr>
            <w:tcW w:w="696" w:type="pct"/>
            <w:tcBorders>
              <w:top w:val="nil"/>
              <w:left w:val="nil"/>
              <w:bottom w:val="nil"/>
              <w:right w:val="nil"/>
            </w:tcBorders>
          </w:tcPr>
          <w:p w14:paraId="288FB793" w14:textId="77777777" w:rsidR="00B54D51" w:rsidRPr="00037AD4" w:rsidRDefault="00B54D51" w:rsidP="00401C67">
            <w:pPr>
              <w:widowControl w:val="0"/>
              <w:autoSpaceDE w:val="0"/>
              <w:autoSpaceDN w:val="0"/>
              <w:adjustRightInd w:val="0"/>
              <w:jc w:val="center"/>
              <w:rPr>
                <w:highlight w:val="yellow"/>
              </w:rPr>
            </w:pPr>
          </w:p>
        </w:tc>
        <w:tc>
          <w:tcPr>
            <w:tcW w:w="654" w:type="pct"/>
            <w:tcBorders>
              <w:top w:val="nil"/>
              <w:left w:val="nil"/>
              <w:bottom w:val="nil"/>
              <w:right w:val="nil"/>
            </w:tcBorders>
          </w:tcPr>
          <w:p w14:paraId="2C823BE0" w14:textId="77777777" w:rsidR="00B54D51" w:rsidRPr="00037AD4" w:rsidRDefault="00B54D51" w:rsidP="00401C67">
            <w:pPr>
              <w:widowControl w:val="0"/>
              <w:autoSpaceDE w:val="0"/>
              <w:autoSpaceDN w:val="0"/>
              <w:adjustRightInd w:val="0"/>
              <w:jc w:val="center"/>
              <w:rPr>
                <w:highlight w:val="yellow"/>
              </w:rPr>
            </w:pPr>
          </w:p>
        </w:tc>
        <w:tc>
          <w:tcPr>
            <w:tcW w:w="653" w:type="pct"/>
            <w:tcBorders>
              <w:top w:val="nil"/>
              <w:left w:val="nil"/>
              <w:bottom w:val="nil"/>
              <w:right w:val="nil"/>
            </w:tcBorders>
          </w:tcPr>
          <w:p w14:paraId="1B3FC011" w14:textId="77777777" w:rsidR="00B54D51" w:rsidRPr="00037AD4" w:rsidRDefault="00B54D51" w:rsidP="00401C67">
            <w:pPr>
              <w:widowControl w:val="0"/>
              <w:autoSpaceDE w:val="0"/>
              <w:autoSpaceDN w:val="0"/>
              <w:adjustRightInd w:val="0"/>
              <w:jc w:val="center"/>
              <w:rPr>
                <w:highlight w:val="yellow"/>
              </w:rPr>
            </w:pPr>
          </w:p>
        </w:tc>
      </w:tr>
      <w:tr w:rsidR="00B54D51" w:rsidRPr="00037AD4" w14:paraId="476BF8F1" w14:textId="77777777" w:rsidTr="00401C67">
        <w:trPr>
          <w:jc w:val="center"/>
        </w:trPr>
        <w:tc>
          <w:tcPr>
            <w:tcW w:w="1608" w:type="pct"/>
            <w:tcBorders>
              <w:top w:val="nil"/>
              <w:left w:val="nil"/>
              <w:bottom w:val="nil"/>
              <w:right w:val="nil"/>
            </w:tcBorders>
          </w:tcPr>
          <w:p w14:paraId="6B1C2137" w14:textId="77777777" w:rsidR="00B54D51" w:rsidRPr="00037AD4" w:rsidRDefault="00B54D51" w:rsidP="00401C67">
            <w:pPr>
              <w:widowControl w:val="0"/>
              <w:autoSpaceDE w:val="0"/>
              <w:autoSpaceDN w:val="0"/>
              <w:adjustRightInd w:val="0"/>
            </w:pPr>
          </w:p>
        </w:tc>
        <w:tc>
          <w:tcPr>
            <w:tcW w:w="695" w:type="pct"/>
            <w:tcBorders>
              <w:top w:val="nil"/>
              <w:left w:val="nil"/>
              <w:bottom w:val="nil"/>
              <w:right w:val="nil"/>
            </w:tcBorders>
          </w:tcPr>
          <w:p w14:paraId="31331FE9" w14:textId="77777777" w:rsidR="00B54D51" w:rsidRPr="00037AD4" w:rsidRDefault="00B54D51" w:rsidP="00401C67">
            <w:pPr>
              <w:widowControl w:val="0"/>
              <w:autoSpaceDE w:val="0"/>
              <w:autoSpaceDN w:val="0"/>
              <w:adjustRightInd w:val="0"/>
              <w:jc w:val="center"/>
            </w:pPr>
            <w:r w:rsidRPr="00037AD4">
              <w:t>(-0.418 - 0.514)</w:t>
            </w:r>
          </w:p>
        </w:tc>
        <w:tc>
          <w:tcPr>
            <w:tcW w:w="695" w:type="pct"/>
            <w:tcBorders>
              <w:top w:val="nil"/>
              <w:left w:val="nil"/>
              <w:bottom w:val="nil"/>
              <w:right w:val="nil"/>
            </w:tcBorders>
          </w:tcPr>
          <w:p w14:paraId="115BFAE6" w14:textId="77777777" w:rsidR="00B54D51" w:rsidRPr="00037AD4" w:rsidRDefault="00B54D51" w:rsidP="00401C67">
            <w:pPr>
              <w:widowControl w:val="0"/>
              <w:autoSpaceDE w:val="0"/>
              <w:autoSpaceDN w:val="0"/>
              <w:adjustRightInd w:val="0"/>
              <w:jc w:val="center"/>
              <w:rPr>
                <w:highlight w:val="yellow"/>
              </w:rPr>
            </w:pPr>
          </w:p>
        </w:tc>
        <w:tc>
          <w:tcPr>
            <w:tcW w:w="696" w:type="pct"/>
            <w:tcBorders>
              <w:top w:val="nil"/>
              <w:left w:val="nil"/>
              <w:bottom w:val="nil"/>
              <w:right w:val="nil"/>
            </w:tcBorders>
          </w:tcPr>
          <w:p w14:paraId="10B50773" w14:textId="77777777" w:rsidR="00B54D51" w:rsidRPr="00037AD4" w:rsidRDefault="00B54D51" w:rsidP="00401C67">
            <w:pPr>
              <w:widowControl w:val="0"/>
              <w:autoSpaceDE w:val="0"/>
              <w:autoSpaceDN w:val="0"/>
              <w:adjustRightInd w:val="0"/>
              <w:jc w:val="center"/>
              <w:rPr>
                <w:highlight w:val="yellow"/>
              </w:rPr>
            </w:pPr>
          </w:p>
        </w:tc>
        <w:tc>
          <w:tcPr>
            <w:tcW w:w="654" w:type="pct"/>
            <w:tcBorders>
              <w:top w:val="nil"/>
              <w:left w:val="nil"/>
              <w:bottom w:val="nil"/>
              <w:right w:val="nil"/>
            </w:tcBorders>
          </w:tcPr>
          <w:p w14:paraId="0BEB7B9B" w14:textId="77777777" w:rsidR="00B54D51" w:rsidRPr="00037AD4" w:rsidRDefault="00B54D51" w:rsidP="00401C67">
            <w:pPr>
              <w:widowControl w:val="0"/>
              <w:autoSpaceDE w:val="0"/>
              <w:autoSpaceDN w:val="0"/>
              <w:adjustRightInd w:val="0"/>
              <w:jc w:val="center"/>
              <w:rPr>
                <w:highlight w:val="yellow"/>
              </w:rPr>
            </w:pPr>
          </w:p>
        </w:tc>
        <w:tc>
          <w:tcPr>
            <w:tcW w:w="653" w:type="pct"/>
            <w:tcBorders>
              <w:top w:val="nil"/>
              <w:left w:val="nil"/>
              <w:bottom w:val="nil"/>
              <w:right w:val="nil"/>
            </w:tcBorders>
          </w:tcPr>
          <w:p w14:paraId="63F19EF5" w14:textId="77777777" w:rsidR="00B54D51" w:rsidRPr="00037AD4" w:rsidRDefault="00B54D51" w:rsidP="00401C67">
            <w:pPr>
              <w:widowControl w:val="0"/>
              <w:autoSpaceDE w:val="0"/>
              <w:autoSpaceDN w:val="0"/>
              <w:adjustRightInd w:val="0"/>
              <w:jc w:val="center"/>
              <w:rPr>
                <w:highlight w:val="yellow"/>
              </w:rPr>
            </w:pPr>
          </w:p>
        </w:tc>
      </w:tr>
      <w:tr w:rsidR="00B54D51" w:rsidRPr="00037AD4" w14:paraId="40AEFEF9" w14:textId="77777777" w:rsidTr="00401C67">
        <w:trPr>
          <w:jc w:val="center"/>
        </w:trPr>
        <w:tc>
          <w:tcPr>
            <w:tcW w:w="1608" w:type="pct"/>
            <w:tcBorders>
              <w:top w:val="nil"/>
              <w:left w:val="nil"/>
              <w:bottom w:val="nil"/>
              <w:right w:val="nil"/>
            </w:tcBorders>
          </w:tcPr>
          <w:p w14:paraId="143A0A86" w14:textId="77777777" w:rsidR="00B54D51" w:rsidRPr="00037AD4" w:rsidRDefault="00B54D51" w:rsidP="00401C67">
            <w:pPr>
              <w:widowControl w:val="0"/>
              <w:autoSpaceDE w:val="0"/>
              <w:autoSpaceDN w:val="0"/>
              <w:adjustRightInd w:val="0"/>
            </w:pPr>
            <w:r w:rsidRPr="00037AD4">
              <w:t>5.eq2RP_</w:t>
            </w:r>
          </w:p>
        </w:tc>
        <w:tc>
          <w:tcPr>
            <w:tcW w:w="695" w:type="pct"/>
            <w:tcBorders>
              <w:top w:val="nil"/>
              <w:left w:val="nil"/>
              <w:bottom w:val="nil"/>
              <w:right w:val="nil"/>
            </w:tcBorders>
          </w:tcPr>
          <w:p w14:paraId="11B26969" w14:textId="77777777" w:rsidR="00B54D51" w:rsidRPr="00037AD4" w:rsidRDefault="00B54D51" w:rsidP="00401C67">
            <w:pPr>
              <w:widowControl w:val="0"/>
              <w:autoSpaceDE w:val="0"/>
              <w:autoSpaceDN w:val="0"/>
              <w:adjustRightInd w:val="0"/>
              <w:jc w:val="center"/>
            </w:pPr>
            <w:r w:rsidRPr="00037AD4">
              <w:t>0.169</w:t>
            </w:r>
          </w:p>
        </w:tc>
        <w:tc>
          <w:tcPr>
            <w:tcW w:w="695" w:type="pct"/>
            <w:tcBorders>
              <w:top w:val="nil"/>
              <w:left w:val="nil"/>
              <w:bottom w:val="nil"/>
              <w:right w:val="nil"/>
            </w:tcBorders>
          </w:tcPr>
          <w:p w14:paraId="04829380" w14:textId="77777777" w:rsidR="00B54D51" w:rsidRPr="00037AD4" w:rsidRDefault="00B54D51" w:rsidP="00401C67">
            <w:pPr>
              <w:widowControl w:val="0"/>
              <w:autoSpaceDE w:val="0"/>
              <w:autoSpaceDN w:val="0"/>
              <w:adjustRightInd w:val="0"/>
              <w:jc w:val="center"/>
              <w:rPr>
                <w:highlight w:val="yellow"/>
              </w:rPr>
            </w:pPr>
          </w:p>
        </w:tc>
        <w:tc>
          <w:tcPr>
            <w:tcW w:w="696" w:type="pct"/>
            <w:tcBorders>
              <w:top w:val="nil"/>
              <w:left w:val="nil"/>
              <w:bottom w:val="nil"/>
              <w:right w:val="nil"/>
            </w:tcBorders>
          </w:tcPr>
          <w:p w14:paraId="20614B60" w14:textId="77777777" w:rsidR="00B54D51" w:rsidRPr="00037AD4" w:rsidRDefault="00B54D51" w:rsidP="00401C67">
            <w:pPr>
              <w:widowControl w:val="0"/>
              <w:autoSpaceDE w:val="0"/>
              <w:autoSpaceDN w:val="0"/>
              <w:adjustRightInd w:val="0"/>
              <w:jc w:val="center"/>
              <w:rPr>
                <w:highlight w:val="yellow"/>
              </w:rPr>
            </w:pPr>
          </w:p>
        </w:tc>
        <w:tc>
          <w:tcPr>
            <w:tcW w:w="654" w:type="pct"/>
            <w:tcBorders>
              <w:top w:val="nil"/>
              <w:left w:val="nil"/>
              <w:bottom w:val="nil"/>
              <w:right w:val="nil"/>
            </w:tcBorders>
          </w:tcPr>
          <w:p w14:paraId="4F956C5A" w14:textId="77777777" w:rsidR="00B54D51" w:rsidRPr="00037AD4" w:rsidRDefault="00B54D51" w:rsidP="00401C67">
            <w:pPr>
              <w:widowControl w:val="0"/>
              <w:autoSpaceDE w:val="0"/>
              <w:autoSpaceDN w:val="0"/>
              <w:adjustRightInd w:val="0"/>
              <w:jc w:val="center"/>
              <w:rPr>
                <w:highlight w:val="yellow"/>
              </w:rPr>
            </w:pPr>
          </w:p>
        </w:tc>
        <w:tc>
          <w:tcPr>
            <w:tcW w:w="653" w:type="pct"/>
            <w:tcBorders>
              <w:top w:val="nil"/>
              <w:left w:val="nil"/>
              <w:bottom w:val="nil"/>
              <w:right w:val="nil"/>
            </w:tcBorders>
          </w:tcPr>
          <w:p w14:paraId="326AA7AA" w14:textId="77777777" w:rsidR="00B54D51" w:rsidRPr="00037AD4" w:rsidRDefault="00B54D51" w:rsidP="00401C67">
            <w:pPr>
              <w:widowControl w:val="0"/>
              <w:autoSpaceDE w:val="0"/>
              <w:autoSpaceDN w:val="0"/>
              <w:adjustRightInd w:val="0"/>
              <w:jc w:val="center"/>
              <w:rPr>
                <w:highlight w:val="yellow"/>
              </w:rPr>
            </w:pPr>
          </w:p>
        </w:tc>
      </w:tr>
      <w:tr w:rsidR="00B54D51" w:rsidRPr="00037AD4" w14:paraId="6DAD8771" w14:textId="77777777" w:rsidTr="00401C67">
        <w:trPr>
          <w:jc w:val="center"/>
        </w:trPr>
        <w:tc>
          <w:tcPr>
            <w:tcW w:w="1608" w:type="pct"/>
            <w:tcBorders>
              <w:top w:val="nil"/>
              <w:left w:val="nil"/>
              <w:bottom w:val="nil"/>
              <w:right w:val="nil"/>
            </w:tcBorders>
          </w:tcPr>
          <w:p w14:paraId="1478649C" w14:textId="77777777" w:rsidR="00B54D51" w:rsidRPr="00037AD4" w:rsidRDefault="00B54D51" w:rsidP="00401C67">
            <w:pPr>
              <w:widowControl w:val="0"/>
              <w:autoSpaceDE w:val="0"/>
              <w:autoSpaceDN w:val="0"/>
              <w:adjustRightInd w:val="0"/>
            </w:pPr>
          </w:p>
        </w:tc>
        <w:tc>
          <w:tcPr>
            <w:tcW w:w="695" w:type="pct"/>
            <w:tcBorders>
              <w:top w:val="nil"/>
              <w:left w:val="nil"/>
              <w:bottom w:val="nil"/>
              <w:right w:val="nil"/>
            </w:tcBorders>
          </w:tcPr>
          <w:p w14:paraId="69B87974" w14:textId="77777777" w:rsidR="00B54D51" w:rsidRPr="00037AD4" w:rsidRDefault="00B54D51" w:rsidP="00401C67">
            <w:pPr>
              <w:widowControl w:val="0"/>
              <w:autoSpaceDE w:val="0"/>
              <w:autoSpaceDN w:val="0"/>
              <w:adjustRightInd w:val="0"/>
              <w:jc w:val="center"/>
            </w:pPr>
            <w:r w:rsidRPr="00037AD4">
              <w:t>(-0.404 - 0.742)</w:t>
            </w:r>
          </w:p>
        </w:tc>
        <w:tc>
          <w:tcPr>
            <w:tcW w:w="695" w:type="pct"/>
            <w:tcBorders>
              <w:top w:val="nil"/>
              <w:left w:val="nil"/>
              <w:bottom w:val="nil"/>
              <w:right w:val="nil"/>
            </w:tcBorders>
          </w:tcPr>
          <w:p w14:paraId="65184D9A" w14:textId="77777777" w:rsidR="00B54D51" w:rsidRPr="00037AD4" w:rsidRDefault="00B54D51" w:rsidP="00401C67">
            <w:pPr>
              <w:widowControl w:val="0"/>
              <w:autoSpaceDE w:val="0"/>
              <w:autoSpaceDN w:val="0"/>
              <w:adjustRightInd w:val="0"/>
              <w:jc w:val="center"/>
              <w:rPr>
                <w:highlight w:val="yellow"/>
              </w:rPr>
            </w:pPr>
          </w:p>
        </w:tc>
        <w:tc>
          <w:tcPr>
            <w:tcW w:w="696" w:type="pct"/>
            <w:tcBorders>
              <w:top w:val="nil"/>
              <w:left w:val="nil"/>
              <w:bottom w:val="nil"/>
              <w:right w:val="nil"/>
            </w:tcBorders>
          </w:tcPr>
          <w:p w14:paraId="7065ED73" w14:textId="77777777" w:rsidR="00B54D51" w:rsidRPr="00037AD4" w:rsidRDefault="00B54D51" w:rsidP="00401C67">
            <w:pPr>
              <w:widowControl w:val="0"/>
              <w:autoSpaceDE w:val="0"/>
              <w:autoSpaceDN w:val="0"/>
              <w:adjustRightInd w:val="0"/>
              <w:jc w:val="center"/>
              <w:rPr>
                <w:highlight w:val="yellow"/>
              </w:rPr>
            </w:pPr>
          </w:p>
        </w:tc>
        <w:tc>
          <w:tcPr>
            <w:tcW w:w="654" w:type="pct"/>
            <w:tcBorders>
              <w:top w:val="nil"/>
              <w:left w:val="nil"/>
              <w:bottom w:val="nil"/>
              <w:right w:val="nil"/>
            </w:tcBorders>
          </w:tcPr>
          <w:p w14:paraId="1153532F" w14:textId="77777777" w:rsidR="00B54D51" w:rsidRPr="00037AD4" w:rsidRDefault="00B54D51" w:rsidP="00401C67">
            <w:pPr>
              <w:widowControl w:val="0"/>
              <w:autoSpaceDE w:val="0"/>
              <w:autoSpaceDN w:val="0"/>
              <w:adjustRightInd w:val="0"/>
              <w:jc w:val="center"/>
              <w:rPr>
                <w:highlight w:val="yellow"/>
              </w:rPr>
            </w:pPr>
          </w:p>
        </w:tc>
        <w:tc>
          <w:tcPr>
            <w:tcW w:w="653" w:type="pct"/>
            <w:tcBorders>
              <w:top w:val="nil"/>
              <w:left w:val="nil"/>
              <w:bottom w:val="nil"/>
              <w:right w:val="nil"/>
            </w:tcBorders>
          </w:tcPr>
          <w:p w14:paraId="44AAF609" w14:textId="77777777" w:rsidR="00B54D51" w:rsidRPr="00037AD4" w:rsidRDefault="00B54D51" w:rsidP="00401C67">
            <w:pPr>
              <w:widowControl w:val="0"/>
              <w:autoSpaceDE w:val="0"/>
              <w:autoSpaceDN w:val="0"/>
              <w:adjustRightInd w:val="0"/>
              <w:jc w:val="center"/>
              <w:rPr>
                <w:highlight w:val="yellow"/>
              </w:rPr>
            </w:pPr>
          </w:p>
        </w:tc>
      </w:tr>
      <w:tr w:rsidR="00B54D51" w:rsidRPr="00037AD4" w14:paraId="6874D887" w14:textId="77777777" w:rsidTr="00401C67">
        <w:trPr>
          <w:jc w:val="center"/>
        </w:trPr>
        <w:tc>
          <w:tcPr>
            <w:tcW w:w="1608" w:type="pct"/>
            <w:tcBorders>
              <w:top w:val="nil"/>
              <w:left w:val="nil"/>
              <w:bottom w:val="nil"/>
              <w:right w:val="nil"/>
            </w:tcBorders>
          </w:tcPr>
          <w:p w14:paraId="3531E187" w14:textId="77777777" w:rsidR="00B54D51" w:rsidRPr="00037AD4" w:rsidRDefault="00B54D51" w:rsidP="00401C67">
            <w:pPr>
              <w:widowControl w:val="0"/>
              <w:autoSpaceDE w:val="0"/>
              <w:autoSpaceDN w:val="0"/>
              <w:adjustRightInd w:val="0"/>
            </w:pPr>
            <w:r w:rsidRPr="00037AD4">
              <w:t>2.eq3RP_</w:t>
            </w:r>
          </w:p>
        </w:tc>
        <w:tc>
          <w:tcPr>
            <w:tcW w:w="695" w:type="pct"/>
            <w:tcBorders>
              <w:top w:val="nil"/>
              <w:left w:val="nil"/>
              <w:bottom w:val="nil"/>
              <w:right w:val="nil"/>
            </w:tcBorders>
          </w:tcPr>
          <w:p w14:paraId="55A5CC09" w14:textId="77777777" w:rsidR="00B54D51" w:rsidRPr="00037AD4" w:rsidRDefault="00B54D51" w:rsidP="00401C67">
            <w:pPr>
              <w:widowControl w:val="0"/>
              <w:autoSpaceDE w:val="0"/>
              <w:autoSpaceDN w:val="0"/>
              <w:adjustRightInd w:val="0"/>
              <w:jc w:val="center"/>
            </w:pPr>
            <w:r w:rsidRPr="00037AD4">
              <w:t>0.033</w:t>
            </w:r>
          </w:p>
        </w:tc>
        <w:tc>
          <w:tcPr>
            <w:tcW w:w="695" w:type="pct"/>
            <w:tcBorders>
              <w:top w:val="nil"/>
              <w:left w:val="nil"/>
              <w:bottom w:val="nil"/>
              <w:right w:val="nil"/>
            </w:tcBorders>
          </w:tcPr>
          <w:p w14:paraId="549166DC" w14:textId="77777777" w:rsidR="00B54D51" w:rsidRPr="00037AD4" w:rsidRDefault="00B54D51" w:rsidP="00401C67">
            <w:pPr>
              <w:widowControl w:val="0"/>
              <w:autoSpaceDE w:val="0"/>
              <w:autoSpaceDN w:val="0"/>
              <w:adjustRightInd w:val="0"/>
              <w:jc w:val="center"/>
              <w:rPr>
                <w:highlight w:val="yellow"/>
              </w:rPr>
            </w:pPr>
          </w:p>
        </w:tc>
        <w:tc>
          <w:tcPr>
            <w:tcW w:w="696" w:type="pct"/>
            <w:tcBorders>
              <w:top w:val="nil"/>
              <w:left w:val="nil"/>
              <w:bottom w:val="nil"/>
              <w:right w:val="nil"/>
            </w:tcBorders>
          </w:tcPr>
          <w:p w14:paraId="6923EDD8" w14:textId="77777777" w:rsidR="00B54D51" w:rsidRPr="00037AD4" w:rsidRDefault="00B54D51" w:rsidP="00401C67">
            <w:pPr>
              <w:widowControl w:val="0"/>
              <w:autoSpaceDE w:val="0"/>
              <w:autoSpaceDN w:val="0"/>
              <w:adjustRightInd w:val="0"/>
              <w:jc w:val="center"/>
              <w:rPr>
                <w:highlight w:val="yellow"/>
              </w:rPr>
            </w:pPr>
          </w:p>
        </w:tc>
        <w:tc>
          <w:tcPr>
            <w:tcW w:w="654" w:type="pct"/>
            <w:tcBorders>
              <w:top w:val="nil"/>
              <w:left w:val="nil"/>
              <w:bottom w:val="nil"/>
              <w:right w:val="nil"/>
            </w:tcBorders>
          </w:tcPr>
          <w:p w14:paraId="22687533" w14:textId="77777777" w:rsidR="00B54D51" w:rsidRPr="00037AD4" w:rsidRDefault="00B54D51" w:rsidP="00401C67">
            <w:pPr>
              <w:widowControl w:val="0"/>
              <w:autoSpaceDE w:val="0"/>
              <w:autoSpaceDN w:val="0"/>
              <w:adjustRightInd w:val="0"/>
              <w:jc w:val="center"/>
              <w:rPr>
                <w:highlight w:val="yellow"/>
              </w:rPr>
            </w:pPr>
          </w:p>
        </w:tc>
        <w:tc>
          <w:tcPr>
            <w:tcW w:w="653" w:type="pct"/>
            <w:tcBorders>
              <w:top w:val="nil"/>
              <w:left w:val="nil"/>
              <w:bottom w:val="nil"/>
              <w:right w:val="nil"/>
            </w:tcBorders>
          </w:tcPr>
          <w:p w14:paraId="1C64F76D" w14:textId="77777777" w:rsidR="00B54D51" w:rsidRPr="00037AD4" w:rsidRDefault="00B54D51" w:rsidP="00401C67">
            <w:pPr>
              <w:widowControl w:val="0"/>
              <w:autoSpaceDE w:val="0"/>
              <w:autoSpaceDN w:val="0"/>
              <w:adjustRightInd w:val="0"/>
              <w:jc w:val="center"/>
              <w:rPr>
                <w:highlight w:val="yellow"/>
              </w:rPr>
            </w:pPr>
          </w:p>
        </w:tc>
      </w:tr>
      <w:tr w:rsidR="00B54D51" w:rsidRPr="00037AD4" w14:paraId="143D87FA" w14:textId="77777777" w:rsidTr="00401C67">
        <w:trPr>
          <w:jc w:val="center"/>
        </w:trPr>
        <w:tc>
          <w:tcPr>
            <w:tcW w:w="1608" w:type="pct"/>
            <w:tcBorders>
              <w:top w:val="nil"/>
              <w:left w:val="nil"/>
              <w:bottom w:val="nil"/>
              <w:right w:val="nil"/>
            </w:tcBorders>
          </w:tcPr>
          <w:p w14:paraId="65A39B44" w14:textId="77777777" w:rsidR="00B54D51" w:rsidRPr="00037AD4" w:rsidRDefault="00B54D51" w:rsidP="00401C67">
            <w:pPr>
              <w:widowControl w:val="0"/>
              <w:autoSpaceDE w:val="0"/>
              <w:autoSpaceDN w:val="0"/>
              <w:adjustRightInd w:val="0"/>
            </w:pPr>
          </w:p>
        </w:tc>
        <w:tc>
          <w:tcPr>
            <w:tcW w:w="695" w:type="pct"/>
            <w:tcBorders>
              <w:top w:val="nil"/>
              <w:left w:val="nil"/>
              <w:bottom w:val="nil"/>
              <w:right w:val="nil"/>
            </w:tcBorders>
          </w:tcPr>
          <w:p w14:paraId="508872F1" w14:textId="77777777" w:rsidR="00B54D51" w:rsidRPr="00037AD4" w:rsidRDefault="00B54D51" w:rsidP="00401C67">
            <w:pPr>
              <w:widowControl w:val="0"/>
              <w:autoSpaceDE w:val="0"/>
              <w:autoSpaceDN w:val="0"/>
              <w:adjustRightInd w:val="0"/>
              <w:jc w:val="center"/>
            </w:pPr>
            <w:r w:rsidRPr="00037AD4">
              <w:t>(-0.179 - 0.245)</w:t>
            </w:r>
          </w:p>
        </w:tc>
        <w:tc>
          <w:tcPr>
            <w:tcW w:w="695" w:type="pct"/>
            <w:tcBorders>
              <w:top w:val="nil"/>
              <w:left w:val="nil"/>
              <w:bottom w:val="nil"/>
              <w:right w:val="nil"/>
            </w:tcBorders>
          </w:tcPr>
          <w:p w14:paraId="1DAE6F54" w14:textId="77777777" w:rsidR="00B54D51" w:rsidRPr="00037AD4" w:rsidRDefault="00B54D51" w:rsidP="00401C67">
            <w:pPr>
              <w:widowControl w:val="0"/>
              <w:autoSpaceDE w:val="0"/>
              <w:autoSpaceDN w:val="0"/>
              <w:adjustRightInd w:val="0"/>
              <w:jc w:val="center"/>
              <w:rPr>
                <w:highlight w:val="yellow"/>
              </w:rPr>
            </w:pPr>
          </w:p>
        </w:tc>
        <w:tc>
          <w:tcPr>
            <w:tcW w:w="696" w:type="pct"/>
            <w:tcBorders>
              <w:top w:val="nil"/>
              <w:left w:val="nil"/>
              <w:bottom w:val="nil"/>
              <w:right w:val="nil"/>
            </w:tcBorders>
          </w:tcPr>
          <w:p w14:paraId="47F1B2F2" w14:textId="77777777" w:rsidR="00B54D51" w:rsidRPr="00037AD4" w:rsidRDefault="00B54D51" w:rsidP="00401C67">
            <w:pPr>
              <w:widowControl w:val="0"/>
              <w:autoSpaceDE w:val="0"/>
              <w:autoSpaceDN w:val="0"/>
              <w:adjustRightInd w:val="0"/>
              <w:jc w:val="center"/>
              <w:rPr>
                <w:highlight w:val="yellow"/>
              </w:rPr>
            </w:pPr>
          </w:p>
        </w:tc>
        <w:tc>
          <w:tcPr>
            <w:tcW w:w="654" w:type="pct"/>
            <w:tcBorders>
              <w:top w:val="nil"/>
              <w:left w:val="nil"/>
              <w:bottom w:val="nil"/>
              <w:right w:val="nil"/>
            </w:tcBorders>
          </w:tcPr>
          <w:p w14:paraId="1E6AC80E" w14:textId="77777777" w:rsidR="00B54D51" w:rsidRPr="00037AD4" w:rsidRDefault="00B54D51" w:rsidP="00401C67">
            <w:pPr>
              <w:widowControl w:val="0"/>
              <w:autoSpaceDE w:val="0"/>
              <w:autoSpaceDN w:val="0"/>
              <w:adjustRightInd w:val="0"/>
              <w:jc w:val="center"/>
              <w:rPr>
                <w:highlight w:val="yellow"/>
              </w:rPr>
            </w:pPr>
          </w:p>
        </w:tc>
        <w:tc>
          <w:tcPr>
            <w:tcW w:w="653" w:type="pct"/>
            <w:tcBorders>
              <w:top w:val="nil"/>
              <w:left w:val="nil"/>
              <w:bottom w:val="nil"/>
              <w:right w:val="nil"/>
            </w:tcBorders>
          </w:tcPr>
          <w:p w14:paraId="01898846" w14:textId="77777777" w:rsidR="00B54D51" w:rsidRPr="00037AD4" w:rsidRDefault="00B54D51" w:rsidP="00401C67">
            <w:pPr>
              <w:widowControl w:val="0"/>
              <w:autoSpaceDE w:val="0"/>
              <w:autoSpaceDN w:val="0"/>
              <w:adjustRightInd w:val="0"/>
              <w:jc w:val="center"/>
              <w:rPr>
                <w:highlight w:val="yellow"/>
              </w:rPr>
            </w:pPr>
          </w:p>
        </w:tc>
      </w:tr>
      <w:tr w:rsidR="00B54D51" w:rsidRPr="00037AD4" w14:paraId="084DEE22" w14:textId="77777777" w:rsidTr="00401C67">
        <w:trPr>
          <w:jc w:val="center"/>
        </w:trPr>
        <w:tc>
          <w:tcPr>
            <w:tcW w:w="1608" w:type="pct"/>
            <w:tcBorders>
              <w:top w:val="nil"/>
              <w:left w:val="nil"/>
              <w:bottom w:val="nil"/>
              <w:right w:val="nil"/>
            </w:tcBorders>
          </w:tcPr>
          <w:p w14:paraId="17962B2F" w14:textId="77777777" w:rsidR="00B54D51" w:rsidRPr="00037AD4" w:rsidRDefault="00B54D51" w:rsidP="00401C67">
            <w:pPr>
              <w:widowControl w:val="0"/>
              <w:autoSpaceDE w:val="0"/>
              <w:autoSpaceDN w:val="0"/>
              <w:adjustRightInd w:val="0"/>
            </w:pPr>
            <w:r w:rsidRPr="00037AD4">
              <w:t>3.eq3RP_</w:t>
            </w:r>
          </w:p>
        </w:tc>
        <w:tc>
          <w:tcPr>
            <w:tcW w:w="695" w:type="pct"/>
            <w:tcBorders>
              <w:top w:val="nil"/>
              <w:left w:val="nil"/>
              <w:bottom w:val="nil"/>
              <w:right w:val="nil"/>
            </w:tcBorders>
          </w:tcPr>
          <w:p w14:paraId="7703733D" w14:textId="77777777" w:rsidR="00B54D51" w:rsidRPr="00037AD4" w:rsidRDefault="00B54D51" w:rsidP="00401C67">
            <w:pPr>
              <w:widowControl w:val="0"/>
              <w:autoSpaceDE w:val="0"/>
              <w:autoSpaceDN w:val="0"/>
              <w:adjustRightInd w:val="0"/>
              <w:jc w:val="center"/>
            </w:pPr>
            <w:r w:rsidRPr="00037AD4">
              <w:t>-0.133</w:t>
            </w:r>
          </w:p>
        </w:tc>
        <w:tc>
          <w:tcPr>
            <w:tcW w:w="695" w:type="pct"/>
            <w:tcBorders>
              <w:top w:val="nil"/>
              <w:left w:val="nil"/>
              <w:bottom w:val="nil"/>
              <w:right w:val="nil"/>
            </w:tcBorders>
          </w:tcPr>
          <w:p w14:paraId="5A68E674" w14:textId="77777777" w:rsidR="00B54D51" w:rsidRPr="00037AD4" w:rsidRDefault="00B54D51" w:rsidP="00401C67">
            <w:pPr>
              <w:widowControl w:val="0"/>
              <w:autoSpaceDE w:val="0"/>
              <w:autoSpaceDN w:val="0"/>
              <w:adjustRightInd w:val="0"/>
              <w:jc w:val="center"/>
              <w:rPr>
                <w:highlight w:val="yellow"/>
              </w:rPr>
            </w:pPr>
          </w:p>
        </w:tc>
        <w:tc>
          <w:tcPr>
            <w:tcW w:w="696" w:type="pct"/>
            <w:tcBorders>
              <w:top w:val="nil"/>
              <w:left w:val="nil"/>
              <w:bottom w:val="nil"/>
              <w:right w:val="nil"/>
            </w:tcBorders>
          </w:tcPr>
          <w:p w14:paraId="055DD8F8" w14:textId="77777777" w:rsidR="00B54D51" w:rsidRPr="00037AD4" w:rsidRDefault="00B54D51" w:rsidP="00401C67">
            <w:pPr>
              <w:widowControl w:val="0"/>
              <w:autoSpaceDE w:val="0"/>
              <w:autoSpaceDN w:val="0"/>
              <w:adjustRightInd w:val="0"/>
              <w:jc w:val="center"/>
              <w:rPr>
                <w:highlight w:val="yellow"/>
              </w:rPr>
            </w:pPr>
          </w:p>
        </w:tc>
        <w:tc>
          <w:tcPr>
            <w:tcW w:w="654" w:type="pct"/>
            <w:tcBorders>
              <w:top w:val="nil"/>
              <w:left w:val="nil"/>
              <w:bottom w:val="nil"/>
              <w:right w:val="nil"/>
            </w:tcBorders>
          </w:tcPr>
          <w:p w14:paraId="7C5959FD" w14:textId="77777777" w:rsidR="00B54D51" w:rsidRPr="00037AD4" w:rsidRDefault="00B54D51" w:rsidP="00401C67">
            <w:pPr>
              <w:widowControl w:val="0"/>
              <w:autoSpaceDE w:val="0"/>
              <w:autoSpaceDN w:val="0"/>
              <w:adjustRightInd w:val="0"/>
              <w:jc w:val="center"/>
              <w:rPr>
                <w:highlight w:val="yellow"/>
              </w:rPr>
            </w:pPr>
          </w:p>
        </w:tc>
        <w:tc>
          <w:tcPr>
            <w:tcW w:w="653" w:type="pct"/>
            <w:tcBorders>
              <w:top w:val="nil"/>
              <w:left w:val="nil"/>
              <w:bottom w:val="nil"/>
              <w:right w:val="nil"/>
            </w:tcBorders>
          </w:tcPr>
          <w:p w14:paraId="0ADE2C16" w14:textId="77777777" w:rsidR="00B54D51" w:rsidRPr="00037AD4" w:rsidRDefault="00B54D51" w:rsidP="00401C67">
            <w:pPr>
              <w:widowControl w:val="0"/>
              <w:autoSpaceDE w:val="0"/>
              <w:autoSpaceDN w:val="0"/>
              <w:adjustRightInd w:val="0"/>
              <w:jc w:val="center"/>
              <w:rPr>
                <w:highlight w:val="yellow"/>
              </w:rPr>
            </w:pPr>
          </w:p>
        </w:tc>
      </w:tr>
      <w:tr w:rsidR="00B54D51" w:rsidRPr="00037AD4" w14:paraId="5C0999F0" w14:textId="77777777" w:rsidTr="00401C67">
        <w:trPr>
          <w:jc w:val="center"/>
        </w:trPr>
        <w:tc>
          <w:tcPr>
            <w:tcW w:w="1608" w:type="pct"/>
            <w:tcBorders>
              <w:top w:val="nil"/>
              <w:left w:val="nil"/>
              <w:bottom w:val="nil"/>
              <w:right w:val="nil"/>
            </w:tcBorders>
          </w:tcPr>
          <w:p w14:paraId="30B55349" w14:textId="77777777" w:rsidR="00B54D51" w:rsidRPr="00037AD4" w:rsidRDefault="00B54D51" w:rsidP="00401C67">
            <w:pPr>
              <w:widowControl w:val="0"/>
              <w:autoSpaceDE w:val="0"/>
              <w:autoSpaceDN w:val="0"/>
              <w:adjustRightInd w:val="0"/>
            </w:pPr>
          </w:p>
        </w:tc>
        <w:tc>
          <w:tcPr>
            <w:tcW w:w="695" w:type="pct"/>
            <w:tcBorders>
              <w:top w:val="nil"/>
              <w:left w:val="nil"/>
              <w:bottom w:val="nil"/>
              <w:right w:val="nil"/>
            </w:tcBorders>
          </w:tcPr>
          <w:p w14:paraId="3748F58E" w14:textId="77777777" w:rsidR="00B54D51" w:rsidRPr="00037AD4" w:rsidRDefault="00B54D51" w:rsidP="00401C67">
            <w:pPr>
              <w:widowControl w:val="0"/>
              <w:autoSpaceDE w:val="0"/>
              <w:autoSpaceDN w:val="0"/>
              <w:adjustRightInd w:val="0"/>
              <w:jc w:val="center"/>
            </w:pPr>
            <w:r w:rsidRPr="00037AD4">
              <w:t>(-0.374 - 0.107)</w:t>
            </w:r>
          </w:p>
        </w:tc>
        <w:tc>
          <w:tcPr>
            <w:tcW w:w="695" w:type="pct"/>
            <w:tcBorders>
              <w:top w:val="nil"/>
              <w:left w:val="nil"/>
              <w:bottom w:val="nil"/>
              <w:right w:val="nil"/>
            </w:tcBorders>
          </w:tcPr>
          <w:p w14:paraId="050120DB" w14:textId="77777777" w:rsidR="00B54D51" w:rsidRPr="00037AD4" w:rsidRDefault="00B54D51" w:rsidP="00401C67">
            <w:pPr>
              <w:widowControl w:val="0"/>
              <w:autoSpaceDE w:val="0"/>
              <w:autoSpaceDN w:val="0"/>
              <w:adjustRightInd w:val="0"/>
              <w:jc w:val="center"/>
              <w:rPr>
                <w:highlight w:val="yellow"/>
              </w:rPr>
            </w:pPr>
          </w:p>
        </w:tc>
        <w:tc>
          <w:tcPr>
            <w:tcW w:w="696" w:type="pct"/>
            <w:tcBorders>
              <w:top w:val="nil"/>
              <w:left w:val="nil"/>
              <w:bottom w:val="nil"/>
              <w:right w:val="nil"/>
            </w:tcBorders>
          </w:tcPr>
          <w:p w14:paraId="175623FD" w14:textId="77777777" w:rsidR="00B54D51" w:rsidRPr="00037AD4" w:rsidRDefault="00B54D51" w:rsidP="00401C67">
            <w:pPr>
              <w:widowControl w:val="0"/>
              <w:autoSpaceDE w:val="0"/>
              <w:autoSpaceDN w:val="0"/>
              <w:adjustRightInd w:val="0"/>
              <w:jc w:val="center"/>
              <w:rPr>
                <w:highlight w:val="yellow"/>
              </w:rPr>
            </w:pPr>
          </w:p>
        </w:tc>
        <w:tc>
          <w:tcPr>
            <w:tcW w:w="654" w:type="pct"/>
            <w:tcBorders>
              <w:top w:val="nil"/>
              <w:left w:val="nil"/>
              <w:bottom w:val="nil"/>
              <w:right w:val="nil"/>
            </w:tcBorders>
          </w:tcPr>
          <w:p w14:paraId="5EAF5DC0" w14:textId="77777777" w:rsidR="00B54D51" w:rsidRPr="00037AD4" w:rsidRDefault="00B54D51" w:rsidP="00401C67">
            <w:pPr>
              <w:widowControl w:val="0"/>
              <w:autoSpaceDE w:val="0"/>
              <w:autoSpaceDN w:val="0"/>
              <w:adjustRightInd w:val="0"/>
              <w:jc w:val="center"/>
              <w:rPr>
                <w:highlight w:val="yellow"/>
              </w:rPr>
            </w:pPr>
          </w:p>
        </w:tc>
        <w:tc>
          <w:tcPr>
            <w:tcW w:w="653" w:type="pct"/>
            <w:tcBorders>
              <w:top w:val="nil"/>
              <w:left w:val="nil"/>
              <w:bottom w:val="nil"/>
              <w:right w:val="nil"/>
            </w:tcBorders>
          </w:tcPr>
          <w:p w14:paraId="08AC7B7A" w14:textId="77777777" w:rsidR="00B54D51" w:rsidRPr="00037AD4" w:rsidRDefault="00B54D51" w:rsidP="00401C67">
            <w:pPr>
              <w:widowControl w:val="0"/>
              <w:autoSpaceDE w:val="0"/>
              <w:autoSpaceDN w:val="0"/>
              <w:adjustRightInd w:val="0"/>
              <w:jc w:val="center"/>
              <w:rPr>
                <w:highlight w:val="yellow"/>
              </w:rPr>
            </w:pPr>
          </w:p>
        </w:tc>
      </w:tr>
      <w:tr w:rsidR="00B54D51" w:rsidRPr="00037AD4" w14:paraId="7BA92870" w14:textId="77777777" w:rsidTr="00401C67">
        <w:trPr>
          <w:jc w:val="center"/>
        </w:trPr>
        <w:tc>
          <w:tcPr>
            <w:tcW w:w="1608" w:type="pct"/>
            <w:tcBorders>
              <w:top w:val="nil"/>
              <w:left w:val="nil"/>
              <w:bottom w:val="nil"/>
              <w:right w:val="nil"/>
            </w:tcBorders>
          </w:tcPr>
          <w:p w14:paraId="776362E0" w14:textId="77777777" w:rsidR="00B54D51" w:rsidRPr="00037AD4" w:rsidRDefault="00B54D51" w:rsidP="00401C67">
            <w:pPr>
              <w:widowControl w:val="0"/>
              <w:autoSpaceDE w:val="0"/>
              <w:autoSpaceDN w:val="0"/>
              <w:adjustRightInd w:val="0"/>
            </w:pPr>
            <w:r w:rsidRPr="00037AD4">
              <w:t>4.eq3RP_</w:t>
            </w:r>
          </w:p>
        </w:tc>
        <w:tc>
          <w:tcPr>
            <w:tcW w:w="695" w:type="pct"/>
            <w:tcBorders>
              <w:top w:val="nil"/>
              <w:left w:val="nil"/>
              <w:bottom w:val="nil"/>
              <w:right w:val="nil"/>
            </w:tcBorders>
          </w:tcPr>
          <w:p w14:paraId="3AD531A6" w14:textId="77777777" w:rsidR="00B54D51" w:rsidRPr="00037AD4" w:rsidRDefault="00B54D51" w:rsidP="00401C67">
            <w:pPr>
              <w:widowControl w:val="0"/>
              <w:autoSpaceDE w:val="0"/>
              <w:autoSpaceDN w:val="0"/>
              <w:adjustRightInd w:val="0"/>
              <w:jc w:val="center"/>
            </w:pPr>
            <w:r w:rsidRPr="00037AD4">
              <w:t>-0.139</w:t>
            </w:r>
          </w:p>
        </w:tc>
        <w:tc>
          <w:tcPr>
            <w:tcW w:w="695" w:type="pct"/>
            <w:tcBorders>
              <w:top w:val="nil"/>
              <w:left w:val="nil"/>
              <w:bottom w:val="nil"/>
              <w:right w:val="nil"/>
            </w:tcBorders>
          </w:tcPr>
          <w:p w14:paraId="1FDE73F7" w14:textId="77777777" w:rsidR="00B54D51" w:rsidRPr="00037AD4" w:rsidRDefault="00B54D51" w:rsidP="00401C67">
            <w:pPr>
              <w:widowControl w:val="0"/>
              <w:autoSpaceDE w:val="0"/>
              <w:autoSpaceDN w:val="0"/>
              <w:adjustRightInd w:val="0"/>
              <w:jc w:val="center"/>
              <w:rPr>
                <w:highlight w:val="yellow"/>
              </w:rPr>
            </w:pPr>
          </w:p>
        </w:tc>
        <w:tc>
          <w:tcPr>
            <w:tcW w:w="696" w:type="pct"/>
            <w:tcBorders>
              <w:top w:val="nil"/>
              <w:left w:val="nil"/>
              <w:bottom w:val="nil"/>
              <w:right w:val="nil"/>
            </w:tcBorders>
          </w:tcPr>
          <w:p w14:paraId="34138939" w14:textId="77777777" w:rsidR="00B54D51" w:rsidRPr="00037AD4" w:rsidRDefault="00B54D51" w:rsidP="00401C67">
            <w:pPr>
              <w:widowControl w:val="0"/>
              <w:autoSpaceDE w:val="0"/>
              <w:autoSpaceDN w:val="0"/>
              <w:adjustRightInd w:val="0"/>
              <w:jc w:val="center"/>
              <w:rPr>
                <w:highlight w:val="yellow"/>
              </w:rPr>
            </w:pPr>
          </w:p>
        </w:tc>
        <w:tc>
          <w:tcPr>
            <w:tcW w:w="654" w:type="pct"/>
            <w:tcBorders>
              <w:top w:val="nil"/>
              <w:left w:val="nil"/>
              <w:bottom w:val="nil"/>
              <w:right w:val="nil"/>
            </w:tcBorders>
          </w:tcPr>
          <w:p w14:paraId="6C8415EA" w14:textId="77777777" w:rsidR="00B54D51" w:rsidRPr="00037AD4" w:rsidRDefault="00B54D51" w:rsidP="00401C67">
            <w:pPr>
              <w:widowControl w:val="0"/>
              <w:autoSpaceDE w:val="0"/>
              <w:autoSpaceDN w:val="0"/>
              <w:adjustRightInd w:val="0"/>
              <w:jc w:val="center"/>
              <w:rPr>
                <w:highlight w:val="yellow"/>
              </w:rPr>
            </w:pPr>
          </w:p>
        </w:tc>
        <w:tc>
          <w:tcPr>
            <w:tcW w:w="653" w:type="pct"/>
            <w:tcBorders>
              <w:top w:val="nil"/>
              <w:left w:val="nil"/>
              <w:bottom w:val="nil"/>
              <w:right w:val="nil"/>
            </w:tcBorders>
          </w:tcPr>
          <w:p w14:paraId="2249936B" w14:textId="77777777" w:rsidR="00B54D51" w:rsidRPr="00037AD4" w:rsidRDefault="00B54D51" w:rsidP="00401C67">
            <w:pPr>
              <w:widowControl w:val="0"/>
              <w:autoSpaceDE w:val="0"/>
              <w:autoSpaceDN w:val="0"/>
              <w:adjustRightInd w:val="0"/>
              <w:jc w:val="center"/>
              <w:rPr>
                <w:highlight w:val="yellow"/>
              </w:rPr>
            </w:pPr>
          </w:p>
        </w:tc>
      </w:tr>
      <w:tr w:rsidR="00B54D51" w:rsidRPr="00037AD4" w14:paraId="1F2EFF5E" w14:textId="77777777" w:rsidTr="00401C67">
        <w:trPr>
          <w:jc w:val="center"/>
        </w:trPr>
        <w:tc>
          <w:tcPr>
            <w:tcW w:w="1608" w:type="pct"/>
            <w:tcBorders>
              <w:top w:val="nil"/>
              <w:left w:val="nil"/>
              <w:bottom w:val="nil"/>
              <w:right w:val="nil"/>
            </w:tcBorders>
          </w:tcPr>
          <w:p w14:paraId="23815636" w14:textId="77777777" w:rsidR="00B54D51" w:rsidRPr="00037AD4" w:rsidRDefault="00B54D51" w:rsidP="00401C67">
            <w:pPr>
              <w:widowControl w:val="0"/>
              <w:autoSpaceDE w:val="0"/>
              <w:autoSpaceDN w:val="0"/>
              <w:adjustRightInd w:val="0"/>
            </w:pPr>
          </w:p>
        </w:tc>
        <w:tc>
          <w:tcPr>
            <w:tcW w:w="695" w:type="pct"/>
            <w:tcBorders>
              <w:top w:val="nil"/>
              <w:left w:val="nil"/>
              <w:bottom w:val="nil"/>
              <w:right w:val="nil"/>
            </w:tcBorders>
          </w:tcPr>
          <w:p w14:paraId="33D52378" w14:textId="77777777" w:rsidR="00B54D51" w:rsidRPr="00037AD4" w:rsidRDefault="00B54D51" w:rsidP="00401C67">
            <w:pPr>
              <w:widowControl w:val="0"/>
              <w:autoSpaceDE w:val="0"/>
              <w:autoSpaceDN w:val="0"/>
              <w:adjustRightInd w:val="0"/>
              <w:jc w:val="center"/>
            </w:pPr>
            <w:r w:rsidRPr="00037AD4">
              <w:t>(-0.467 - 0.189)</w:t>
            </w:r>
          </w:p>
        </w:tc>
        <w:tc>
          <w:tcPr>
            <w:tcW w:w="695" w:type="pct"/>
            <w:tcBorders>
              <w:top w:val="nil"/>
              <w:left w:val="nil"/>
              <w:bottom w:val="nil"/>
              <w:right w:val="nil"/>
            </w:tcBorders>
          </w:tcPr>
          <w:p w14:paraId="12BE81DF" w14:textId="77777777" w:rsidR="00B54D51" w:rsidRPr="00037AD4" w:rsidRDefault="00B54D51" w:rsidP="00401C67">
            <w:pPr>
              <w:widowControl w:val="0"/>
              <w:autoSpaceDE w:val="0"/>
              <w:autoSpaceDN w:val="0"/>
              <w:adjustRightInd w:val="0"/>
              <w:jc w:val="center"/>
              <w:rPr>
                <w:highlight w:val="yellow"/>
              </w:rPr>
            </w:pPr>
          </w:p>
        </w:tc>
        <w:tc>
          <w:tcPr>
            <w:tcW w:w="696" w:type="pct"/>
            <w:tcBorders>
              <w:top w:val="nil"/>
              <w:left w:val="nil"/>
              <w:bottom w:val="nil"/>
              <w:right w:val="nil"/>
            </w:tcBorders>
          </w:tcPr>
          <w:p w14:paraId="3189023B" w14:textId="77777777" w:rsidR="00B54D51" w:rsidRPr="00037AD4" w:rsidRDefault="00B54D51" w:rsidP="00401C67">
            <w:pPr>
              <w:widowControl w:val="0"/>
              <w:autoSpaceDE w:val="0"/>
              <w:autoSpaceDN w:val="0"/>
              <w:adjustRightInd w:val="0"/>
              <w:jc w:val="center"/>
              <w:rPr>
                <w:highlight w:val="yellow"/>
              </w:rPr>
            </w:pPr>
          </w:p>
        </w:tc>
        <w:tc>
          <w:tcPr>
            <w:tcW w:w="654" w:type="pct"/>
            <w:tcBorders>
              <w:top w:val="nil"/>
              <w:left w:val="nil"/>
              <w:bottom w:val="nil"/>
              <w:right w:val="nil"/>
            </w:tcBorders>
          </w:tcPr>
          <w:p w14:paraId="70277071" w14:textId="77777777" w:rsidR="00B54D51" w:rsidRPr="00037AD4" w:rsidRDefault="00B54D51" w:rsidP="00401C67">
            <w:pPr>
              <w:widowControl w:val="0"/>
              <w:autoSpaceDE w:val="0"/>
              <w:autoSpaceDN w:val="0"/>
              <w:adjustRightInd w:val="0"/>
              <w:jc w:val="center"/>
              <w:rPr>
                <w:highlight w:val="yellow"/>
              </w:rPr>
            </w:pPr>
          </w:p>
        </w:tc>
        <w:tc>
          <w:tcPr>
            <w:tcW w:w="653" w:type="pct"/>
            <w:tcBorders>
              <w:top w:val="nil"/>
              <w:left w:val="nil"/>
              <w:bottom w:val="nil"/>
              <w:right w:val="nil"/>
            </w:tcBorders>
          </w:tcPr>
          <w:p w14:paraId="3411852E" w14:textId="77777777" w:rsidR="00B54D51" w:rsidRPr="00037AD4" w:rsidRDefault="00B54D51" w:rsidP="00401C67">
            <w:pPr>
              <w:widowControl w:val="0"/>
              <w:autoSpaceDE w:val="0"/>
              <w:autoSpaceDN w:val="0"/>
              <w:adjustRightInd w:val="0"/>
              <w:jc w:val="center"/>
              <w:rPr>
                <w:highlight w:val="yellow"/>
              </w:rPr>
            </w:pPr>
          </w:p>
        </w:tc>
      </w:tr>
      <w:tr w:rsidR="00B54D51" w:rsidRPr="00037AD4" w14:paraId="74DF0F94" w14:textId="77777777" w:rsidTr="00401C67">
        <w:trPr>
          <w:jc w:val="center"/>
        </w:trPr>
        <w:tc>
          <w:tcPr>
            <w:tcW w:w="1608" w:type="pct"/>
            <w:tcBorders>
              <w:top w:val="nil"/>
              <w:left w:val="nil"/>
              <w:bottom w:val="nil"/>
              <w:right w:val="nil"/>
            </w:tcBorders>
          </w:tcPr>
          <w:p w14:paraId="690781D4" w14:textId="77777777" w:rsidR="00B54D51" w:rsidRPr="00037AD4" w:rsidRDefault="00B54D51" w:rsidP="00401C67">
            <w:pPr>
              <w:widowControl w:val="0"/>
              <w:autoSpaceDE w:val="0"/>
              <w:autoSpaceDN w:val="0"/>
              <w:adjustRightInd w:val="0"/>
            </w:pPr>
            <w:r w:rsidRPr="00037AD4">
              <w:lastRenderedPageBreak/>
              <w:t>5.eq3RP_</w:t>
            </w:r>
          </w:p>
        </w:tc>
        <w:tc>
          <w:tcPr>
            <w:tcW w:w="695" w:type="pct"/>
            <w:tcBorders>
              <w:top w:val="nil"/>
              <w:left w:val="nil"/>
              <w:bottom w:val="nil"/>
              <w:right w:val="nil"/>
            </w:tcBorders>
          </w:tcPr>
          <w:p w14:paraId="600C8332" w14:textId="77777777" w:rsidR="00B54D51" w:rsidRPr="00037AD4" w:rsidRDefault="00B54D51" w:rsidP="00401C67">
            <w:pPr>
              <w:widowControl w:val="0"/>
              <w:autoSpaceDE w:val="0"/>
              <w:autoSpaceDN w:val="0"/>
              <w:adjustRightInd w:val="0"/>
              <w:jc w:val="center"/>
            </w:pPr>
            <w:r w:rsidRPr="00037AD4">
              <w:t>-0.018</w:t>
            </w:r>
          </w:p>
        </w:tc>
        <w:tc>
          <w:tcPr>
            <w:tcW w:w="695" w:type="pct"/>
            <w:tcBorders>
              <w:top w:val="nil"/>
              <w:left w:val="nil"/>
              <w:bottom w:val="nil"/>
              <w:right w:val="nil"/>
            </w:tcBorders>
          </w:tcPr>
          <w:p w14:paraId="5B12058E" w14:textId="77777777" w:rsidR="00B54D51" w:rsidRPr="00037AD4" w:rsidRDefault="00B54D51" w:rsidP="00401C67">
            <w:pPr>
              <w:widowControl w:val="0"/>
              <w:autoSpaceDE w:val="0"/>
              <w:autoSpaceDN w:val="0"/>
              <w:adjustRightInd w:val="0"/>
              <w:jc w:val="center"/>
              <w:rPr>
                <w:highlight w:val="yellow"/>
              </w:rPr>
            </w:pPr>
          </w:p>
        </w:tc>
        <w:tc>
          <w:tcPr>
            <w:tcW w:w="696" w:type="pct"/>
            <w:tcBorders>
              <w:top w:val="nil"/>
              <w:left w:val="nil"/>
              <w:bottom w:val="nil"/>
              <w:right w:val="nil"/>
            </w:tcBorders>
          </w:tcPr>
          <w:p w14:paraId="5D6C041B" w14:textId="77777777" w:rsidR="00B54D51" w:rsidRPr="00037AD4" w:rsidRDefault="00B54D51" w:rsidP="00401C67">
            <w:pPr>
              <w:widowControl w:val="0"/>
              <w:autoSpaceDE w:val="0"/>
              <w:autoSpaceDN w:val="0"/>
              <w:adjustRightInd w:val="0"/>
              <w:jc w:val="center"/>
              <w:rPr>
                <w:highlight w:val="yellow"/>
              </w:rPr>
            </w:pPr>
          </w:p>
        </w:tc>
        <w:tc>
          <w:tcPr>
            <w:tcW w:w="654" w:type="pct"/>
            <w:tcBorders>
              <w:top w:val="nil"/>
              <w:left w:val="nil"/>
              <w:bottom w:val="nil"/>
              <w:right w:val="nil"/>
            </w:tcBorders>
          </w:tcPr>
          <w:p w14:paraId="13E672C0" w14:textId="77777777" w:rsidR="00B54D51" w:rsidRPr="00037AD4" w:rsidRDefault="00B54D51" w:rsidP="00401C67">
            <w:pPr>
              <w:widowControl w:val="0"/>
              <w:autoSpaceDE w:val="0"/>
              <w:autoSpaceDN w:val="0"/>
              <w:adjustRightInd w:val="0"/>
              <w:jc w:val="center"/>
              <w:rPr>
                <w:highlight w:val="yellow"/>
              </w:rPr>
            </w:pPr>
          </w:p>
        </w:tc>
        <w:tc>
          <w:tcPr>
            <w:tcW w:w="653" w:type="pct"/>
            <w:tcBorders>
              <w:top w:val="nil"/>
              <w:left w:val="nil"/>
              <w:bottom w:val="nil"/>
              <w:right w:val="nil"/>
            </w:tcBorders>
          </w:tcPr>
          <w:p w14:paraId="0ACCFBA8" w14:textId="77777777" w:rsidR="00B54D51" w:rsidRPr="00037AD4" w:rsidRDefault="00B54D51" w:rsidP="00401C67">
            <w:pPr>
              <w:widowControl w:val="0"/>
              <w:autoSpaceDE w:val="0"/>
              <w:autoSpaceDN w:val="0"/>
              <w:adjustRightInd w:val="0"/>
              <w:jc w:val="center"/>
              <w:rPr>
                <w:highlight w:val="yellow"/>
              </w:rPr>
            </w:pPr>
          </w:p>
        </w:tc>
      </w:tr>
      <w:tr w:rsidR="00B54D51" w:rsidRPr="00037AD4" w14:paraId="6C7B80E6" w14:textId="77777777" w:rsidTr="00401C67">
        <w:trPr>
          <w:jc w:val="center"/>
        </w:trPr>
        <w:tc>
          <w:tcPr>
            <w:tcW w:w="1608" w:type="pct"/>
            <w:tcBorders>
              <w:top w:val="nil"/>
              <w:left w:val="nil"/>
              <w:bottom w:val="nil"/>
              <w:right w:val="nil"/>
            </w:tcBorders>
          </w:tcPr>
          <w:p w14:paraId="2C659FC5" w14:textId="77777777" w:rsidR="00B54D51" w:rsidRPr="00037AD4" w:rsidRDefault="00B54D51" w:rsidP="00401C67">
            <w:pPr>
              <w:widowControl w:val="0"/>
              <w:autoSpaceDE w:val="0"/>
              <w:autoSpaceDN w:val="0"/>
              <w:adjustRightInd w:val="0"/>
            </w:pPr>
          </w:p>
        </w:tc>
        <w:tc>
          <w:tcPr>
            <w:tcW w:w="695" w:type="pct"/>
            <w:tcBorders>
              <w:top w:val="nil"/>
              <w:left w:val="nil"/>
              <w:bottom w:val="nil"/>
              <w:right w:val="nil"/>
            </w:tcBorders>
          </w:tcPr>
          <w:p w14:paraId="51AF1DE9" w14:textId="77777777" w:rsidR="00B54D51" w:rsidRPr="00037AD4" w:rsidRDefault="00B54D51" w:rsidP="00401C67">
            <w:pPr>
              <w:widowControl w:val="0"/>
              <w:autoSpaceDE w:val="0"/>
              <w:autoSpaceDN w:val="0"/>
              <w:adjustRightInd w:val="0"/>
              <w:jc w:val="center"/>
            </w:pPr>
            <w:r w:rsidRPr="00037AD4">
              <w:t>(-0.448 - 0.412)</w:t>
            </w:r>
          </w:p>
        </w:tc>
        <w:tc>
          <w:tcPr>
            <w:tcW w:w="695" w:type="pct"/>
            <w:tcBorders>
              <w:top w:val="nil"/>
              <w:left w:val="nil"/>
              <w:bottom w:val="nil"/>
              <w:right w:val="nil"/>
            </w:tcBorders>
          </w:tcPr>
          <w:p w14:paraId="461B4936" w14:textId="77777777" w:rsidR="00B54D51" w:rsidRPr="00037AD4" w:rsidRDefault="00B54D51" w:rsidP="00401C67">
            <w:pPr>
              <w:widowControl w:val="0"/>
              <w:autoSpaceDE w:val="0"/>
              <w:autoSpaceDN w:val="0"/>
              <w:adjustRightInd w:val="0"/>
              <w:jc w:val="center"/>
              <w:rPr>
                <w:highlight w:val="yellow"/>
              </w:rPr>
            </w:pPr>
          </w:p>
        </w:tc>
        <w:tc>
          <w:tcPr>
            <w:tcW w:w="696" w:type="pct"/>
            <w:tcBorders>
              <w:top w:val="nil"/>
              <w:left w:val="nil"/>
              <w:bottom w:val="nil"/>
              <w:right w:val="nil"/>
            </w:tcBorders>
          </w:tcPr>
          <w:p w14:paraId="1FD48718" w14:textId="77777777" w:rsidR="00B54D51" w:rsidRPr="00037AD4" w:rsidRDefault="00B54D51" w:rsidP="00401C67">
            <w:pPr>
              <w:widowControl w:val="0"/>
              <w:autoSpaceDE w:val="0"/>
              <w:autoSpaceDN w:val="0"/>
              <w:adjustRightInd w:val="0"/>
              <w:jc w:val="center"/>
              <w:rPr>
                <w:highlight w:val="yellow"/>
              </w:rPr>
            </w:pPr>
          </w:p>
        </w:tc>
        <w:tc>
          <w:tcPr>
            <w:tcW w:w="654" w:type="pct"/>
            <w:tcBorders>
              <w:top w:val="nil"/>
              <w:left w:val="nil"/>
              <w:bottom w:val="nil"/>
              <w:right w:val="nil"/>
            </w:tcBorders>
          </w:tcPr>
          <w:p w14:paraId="374F5B77" w14:textId="77777777" w:rsidR="00B54D51" w:rsidRPr="00037AD4" w:rsidRDefault="00B54D51" w:rsidP="00401C67">
            <w:pPr>
              <w:widowControl w:val="0"/>
              <w:autoSpaceDE w:val="0"/>
              <w:autoSpaceDN w:val="0"/>
              <w:adjustRightInd w:val="0"/>
              <w:jc w:val="center"/>
              <w:rPr>
                <w:highlight w:val="yellow"/>
              </w:rPr>
            </w:pPr>
          </w:p>
        </w:tc>
        <w:tc>
          <w:tcPr>
            <w:tcW w:w="653" w:type="pct"/>
            <w:tcBorders>
              <w:top w:val="nil"/>
              <w:left w:val="nil"/>
              <w:bottom w:val="nil"/>
              <w:right w:val="nil"/>
            </w:tcBorders>
          </w:tcPr>
          <w:p w14:paraId="7A74C376" w14:textId="77777777" w:rsidR="00B54D51" w:rsidRPr="00037AD4" w:rsidRDefault="00B54D51" w:rsidP="00401C67">
            <w:pPr>
              <w:widowControl w:val="0"/>
              <w:autoSpaceDE w:val="0"/>
              <w:autoSpaceDN w:val="0"/>
              <w:adjustRightInd w:val="0"/>
              <w:jc w:val="center"/>
              <w:rPr>
                <w:highlight w:val="yellow"/>
              </w:rPr>
            </w:pPr>
          </w:p>
        </w:tc>
      </w:tr>
      <w:tr w:rsidR="00B54D51" w:rsidRPr="00037AD4" w14:paraId="4CC7E267" w14:textId="77777777" w:rsidTr="00401C67">
        <w:trPr>
          <w:jc w:val="center"/>
        </w:trPr>
        <w:tc>
          <w:tcPr>
            <w:tcW w:w="1608" w:type="pct"/>
            <w:tcBorders>
              <w:top w:val="nil"/>
              <w:left w:val="nil"/>
              <w:bottom w:val="nil"/>
              <w:right w:val="nil"/>
            </w:tcBorders>
          </w:tcPr>
          <w:p w14:paraId="590CDB48" w14:textId="77777777" w:rsidR="00B54D51" w:rsidRPr="00037AD4" w:rsidRDefault="00B54D51" w:rsidP="00401C67">
            <w:pPr>
              <w:widowControl w:val="0"/>
              <w:autoSpaceDE w:val="0"/>
              <w:autoSpaceDN w:val="0"/>
              <w:adjustRightInd w:val="0"/>
            </w:pPr>
            <w:r w:rsidRPr="00037AD4">
              <w:t>2.eq4RP_</w:t>
            </w:r>
          </w:p>
        </w:tc>
        <w:tc>
          <w:tcPr>
            <w:tcW w:w="695" w:type="pct"/>
            <w:tcBorders>
              <w:top w:val="nil"/>
              <w:left w:val="nil"/>
              <w:bottom w:val="nil"/>
              <w:right w:val="nil"/>
            </w:tcBorders>
          </w:tcPr>
          <w:p w14:paraId="5D45505E" w14:textId="77777777" w:rsidR="00B54D51" w:rsidRPr="00037AD4" w:rsidRDefault="00B54D51" w:rsidP="00401C67">
            <w:pPr>
              <w:widowControl w:val="0"/>
              <w:autoSpaceDE w:val="0"/>
              <w:autoSpaceDN w:val="0"/>
              <w:adjustRightInd w:val="0"/>
              <w:jc w:val="center"/>
            </w:pPr>
            <w:r w:rsidRPr="00037AD4">
              <w:t>0.322***</w:t>
            </w:r>
          </w:p>
        </w:tc>
        <w:tc>
          <w:tcPr>
            <w:tcW w:w="695" w:type="pct"/>
            <w:tcBorders>
              <w:top w:val="nil"/>
              <w:left w:val="nil"/>
              <w:bottom w:val="nil"/>
              <w:right w:val="nil"/>
            </w:tcBorders>
          </w:tcPr>
          <w:p w14:paraId="4728FF9D" w14:textId="77777777" w:rsidR="00B54D51" w:rsidRPr="00037AD4" w:rsidRDefault="00B54D51" w:rsidP="00401C67">
            <w:pPr>
              <w:widowControl w:val="0"/>
              <w:autoSpaceDE w:val="0"/>
              <w:autoSpaceDN w:val="0"/>
              <w:adjustRightInd w:val="0"/>
              <w:jc w:val="center"/>
              <w:rPr>
                <w:highlight w:val="yellow"/>
              </w:rPr>
            </w:pPr>
          </w:p>
        </w:tc>
        <w:tc>
          <w:tcPr>
            <w:tcW w:w="696" w:type="pct"/>
            <w:tcBorders>
              <w:top w:val="nil"/>
              <w:left w:val="nil"/>
              <w:bottom w:val="nil"/>
              <w:right w:val="nil"/>
            </w:tcBorders>
          </w:tcPr>
          <w:p w14:paraId="0AE2FF3B" w14:textId="77777777" w:rsidR="00B54D51" w:rsidRPr="00037AD4" w:rsidRDefault="00B54D51" w:rsidP="00401C67">
            <w:pPr>
              <w:widowControl w:val="0"/>
              <w:autoSpaceDE w:val="0"/>
              <w:autoSpaceDN w:val="0"/>
              <w:adjustRightInd w:val="0"/>
              <w:jc w:val="center"/>
              <w:rPr>
                <w:highlight w:val="yellow"/>
              </w:rPr>
            </w:pPr>
          </w:p>
        </w:tc>
        <w:tc>
          <w:tcPr>
            <w:tcW w:w="654" w:type="pct"/>
            <w:tcBorders>
              <w:top w:val="nil"/>
              <w:left w:val="nil"/>
              <w:bottom w:val="nil"/>
              <w:right w:val="nil"/>
            </w:tcBorders>
          </w:tcPr>
          <w:p w14:paraId="41664211" w14:textId="77777777" w:rsidR="00B54D51" w:rsidRPr="00037AD4" w:rsidRDefault="00B54D51" w:rsidP="00401C67">
            <w:pPr>
              <w:widowControl w:val="0"/>
              <w:autoSpaceDE w:val="0"/>
              <w:autoSpaceDN w:val="0"/>
              <w:adjustRightInd w:val="0"/>
              <w:jc w:val="center"/>
              <w:rPr>
                <w:highlight w:val="yellow"/>
              </w:rPr>
            </w:pPr>
          </w:p>
        </w:tc>
        <w:tc>
          <w:tcPr>
            <w:tcW w:w="653" w:type="pct"/>
            <w:tcBorders>
              <w:top w:val="nil"/>
              <w:left w:val="nil"/>
              <w:bottom w:val="nil"/>
              <w:right w:val="nil"/>
            </w:tcBorders>
          </w:tcPr>
          <w:p w14:paraId="0B015288" w14:textId="77777777" w:rsidR="00B54D51" w:rsidRPr="00037AD4" w:rsidRDefault="00B54D51" w:rsidP="00401C67">
            <w:pPr>
              <w:widowControl w:val="0"/>
              <w:autoSpaceDE w:val="0"/>
              <w:autoSpaceDN w:val="0"/>
              <w:adjustRightInd w:val="0"/>
              <w:jc w:val="center"/>
              <w:rPr>
                <w:highlight w:val="yellow"/>
              </w:rPr>
            </w:pPr>
          </w:p>
        </w:tc>
      </w:tr>
      <w:tr w:rsidR="00B54D51" w:rsidRPr="00037AD4" w14:paraId="3F00D334" w14:textId="77777777" w:rsidTr="00401C67">
        <w:trPr>
          <w:jc w:val="center"/>
        </w:trPr>
        <w:tc>
          <w:tcPr>
            <w:tcW w:w="1608" w:type="pct"/>
            <w:tcBorders>
              <w:top w:val="nil"/>
              <w:left w:val="nil"/>
              <w:bottom w:val="nil"/>
              <w:right w:val="nil"/>
            </w:tcBorders>
          </w:tcPr>
          <w:p w14:paraId="2B456FB2" w14:textId="77777777" w:rsidR="00B54D51" w:rsidRPr="00037AD4" w:rsidRDefault="00B54D51" w:rsidP="00401C67">
            <w:pPr>
              <w:widowControl w:val="0"/>
              <w:autoSpaceDE w:val="0"/>
              <w:autoSpaceDN w:val="0"/>
              <w:adjustRightInd w:val="0"/>
            </w:pPr>
          </w:p>
        </w:tc>
        <w:tc>
          <w:tcPr>
            <w:tcW w:w="695" w:type="pct"/>
            <w:tcBorders>
              <w:top w:val="nil"/>
              <w:left w:val="nil"/>
              <w:bottom w:val="nil"/>
              <w:right w:val="nil"/>
            </w:tcBorders>
          </w:tcPr>
          <w:p w14:paraId="21DAD72F" w14:textId="77777777" w:rsidR="00B54D51" w:rsidRPr="00037AD4" w:rsidRDefault="00B54D51" w:rsidP="00401C67">
            <w:pPr>
              <w:widowControl w:val="0"/>
              <w:autoSpaceDE w:val="0"/>
              <w:autoSpaceDN w:val="0"/>
              <w:adjustRightInd w:val="0"/>
              <w:jc w:val="center"/>
            </w:pPr>
            <w:r w:rsidRPr="00037AD4">
              <w:t>(0.117 - 0.527)</w:t>
            </w:r>
          </w:p>
        </w:tc>
        <w:tc>
          <w:tcPr>
            <w:tcW w:w="695" w:type="pct"/>
            <w:tcBorders>
              <w:top w:val="nil"/>
              <w:left w:val="nil"/>
              <w:bottom w:val="nil"/>
              <w:right w:val="nil"/>
            </w:tcBorders>
          </w:tcPr>
          <w:p w14:paraId="637DDF8B" w14:textId="77777777" w:rsidR="00B54D51" w:rsidRPr="00037AD4" w:rsidRDefault="00B54D51" w:rsidP="00401C67">
            <w:pPr>
              <w:widowControl w:val="0"/>
              <w:autoSpaceDE w:val="0"/>
              <w:autoSpaceDN w:val="0"/>
              <w:adjustRightInd w:val="0"/>
              <w:jc w:val="center"/>
              <w:rPr>
                <w:highlight w:val="yellow"/>
              </w:rPr>
            </w:pPr>
          </w:p>
        </w:tc>
        <w:tc>
          <w:tcPr>
            <w:tcW w:w="696" w:type="pct"/>
            <w:tcBorders>
              <w:top w:val="nil"/>
              <w:left w:val="nil"/>
              <w:bottom w:val="nil"/>
              <w:right w:val="nil"/>
            </w:tcBorders>
          </w:tcPr>
          <w:p w14:paraId="6EF5BD8C" w14:textId="77777777" w:rsidR="00B54D51" w:rsidRPr="00037AD4" w:rsidRDefault="00B54D51" w:rsidP="00401C67">
            <w:pPr>
              <w:widowControl w:val="0"/>
              <w:autoSpaceDE w:val="0"/>
              <w:autoSpaceDN w:val="0"/>
              <w:adjustRightInd w:val="0"/>
              <w:jc w:val="center"/>
              <w:rPr>
                <w:highlight w:val="yellow"/>
              </w:rPr>
            </w:pPr>
          </w:p>
        </w:tc>
        <w:tc>
          <w:tcPr>
            <w:tcW w:w="654" w:type="pct"/>
            <w:tcBorders>
              <w:top w:val="nil"/>
              <w:left w:val="nil"/>
              <w:bottom w:val="nil"/>
              <w:right w:val="nil"/>
            </w:tcBorders>
          </w:tcPr>
          <w:p w14:paraId="64758CD5" w14:textId="77777777" w:rsidR="00B54D51" w:rsidRPr="00037AD4" w:rsidRDefault="00B54D51" w:rsidP="00401C67">
            <w:pPr>
              <w:widowControl w:val="0"/>
              <w:autoSpaceDE w:val="0"/>
              <w:autoSpaceDN w:val="0"/>
              <w:adjustRightInd w:val="0"/>
              <w:jc w:val="center"/>
              <w:rPr>
                <w:highlight w:val="yellow"/>
              </w:rPr>
            </w:pPr>
          </w:p>
        </w:tc>
        <w:tc>
          <w:tcPr>
            <w:tcW w:w="653" w:type="pct"/>
            <w:tcBorders>
              <w:top w:val="nil"/>
              <w:left w:val="nil"/>
              <w:bottom w:val="nil"/>
              <w:right w:val="nil"/>
            </w:tcBorders>
          </w:tcPr>
          <w:p w14:paraId="0CA8B3A7" w14:textId="77777777" w:rsidR="00B54D51" w:rsidRPr="00037AD4" w:rsidRDefault="00B54D51" w:rsidP="00401C67">
            <w:pPr>
              <w:widowControl w:val="0"/>
              <w:autoSpaceDE w:val="0"/>
              <w:autoSpaceDN w:val="0"/>
              <w:adjustRightInd w:val="0"/>
              <w:jc w:val="center"/>
              <w:rPr>
                <w:highlight w:val="yellow"/>
              </w:rPr>
            </w:pPr>
          </w:p>
        </w:tc>
      </w:tr>
      <w:tr w:rsidR="00B54D51" w:rsidRPr="00037AD4" w14:paraId="6D288B1C" w14:textId="77777777" w:rsidTr="00401C67">
        <w:trPr>
          <w:jc w:val="center"/>
        </w:trPr>
        <w:tc>
          <w:tcPr>
            <w:tcW w:w="1608" w:type="pct"/>
            <w:tcBorders>
              <w:top w:val="nil"/>
              <w:left w:val="nil"/>
              <w:bottom w:val="nil"/>
              <w:right w:val="nil"/>
            </w:tcBorders>
          </w:tcPr>
          <w:p w14:paraId="1DB33AF3" w14:textId="77777777" w:rsidR="00B54D51" w:rsidRPr="00037AD4" w:rsidRDefault="00B54D51" w:rsidP="00401C67">
            <w:pPr>
              <w:widowControl w:val="0"/>
              <w:autoSpaceDE w:val="0"/>
              <w:autoSpaceDN w:val="0"/>
              <w:adjustRightInd w:val="0"/>
            </w:pPr>
            <w:r w:rsidRPr="00037AD4">
              <w:t>3.eq4RP_</w:t>
            </w:r>
          </w:p>
        </w:tc>
        <w:tc>
          <w:tcPr>
            <w:tcW w:w="695" w:type="pct"/>
            <w:tcBorders>
              <w:top w:val="nil"/>
              <w:left w:val="nil"/>
              <w:bottom w:val="nil"/>
              <w:right w:val="nil"/>
            </w:tcBorders>
          </w:tcPr>
          <w:p w14:paraId="7FE93392" w14:textId="77777777" w:rsidR="00B54D51" w:rsidRPr="00037AD4" w:rsidRDefault="00B54D51" w:rsidP="00401C67">
            <w:pPr>
              <w:widowControl w:val="0"/>
              <w:autoSpaceDE w:val="0"/>
              <w:autoSpaceDN w:val="0"/>
              <w:adjustRightInd w:val="0"/>
              <w:jc w:val="center"/>
            </w:pPr>
            <w:r w:rsidRPr="00037AD4">
              <w:t>0.647***</w:t>
            </w:r>
          </w:p>
        </w:tc>
        <w:tc>
          <w:tcPr>
            <w:tcW w:w="695" w:type="pct"/>
            <w:tcBorders>
              <w:top w:val="nil"/>
              <w:left w:val="nil"/>
              <w:bottom w:val="nil"/>
              <w:right w:val="nil"/>
            </w:tcBorders>
          </w:tcPr>
          <w:p w14:paraId="306C6A31" w14:textId="77777777" w:rsidR="00B54D51" w:rsidRPr="00037AD4" w:rsidRDefault="00B54D51" w:rsidP="00401C67">
            <w:pPr>
              <w:widowControl w:val="0"/>
              <w:autoSpaceDE w:val="0"/>
              <w:autoSpaceDN w:val="0"/>
              <w:adjustRightInd w:val="0"/>
              <w:jc w:val="center"/>
              <w:rPr>
                <w:highlight w:val="yellow"/>
              </w:rPr>
            </w:pPr>
          </w:p>
        </w:tc>
        <w:tc>
          <w:tcPr>
            <w:tcW w:w="696" w:type="pct"/>
            <w:tcBorders>
              <w:top w:val="nil"/>
              <w:left w:val="nil"/>
              <w:bottom w:val="nil"/>
              <w:right w:val="nil"/>
            </w:tcBorders>
          </w:tcPr>
          <w:p w14:paraId="4A32A0E8" w14:textId="77777777" w:rsidR="00B54D51" w:rsidRPr="00037AD4" w:rsidRDefault="00B54D51" w:rsidP="00401C67">
            <w:pPr>
              <w:widowControl w:val="0"/>
              <w:autoSpaceDE w:val="0"/>
              <w:autoSpaceDN w:val="0"/>
              <w:adjustRightInd w:val="0"/>
              <w:jc w:val="center"/>
              <w:rPr>
                <w:highlight w:val="yellow"/>
              </w:rPr>
            </w:pPr>
          </w:p>
        </w:tc>
        <w:tc>
          <w:tcPr>
            <w:tcW w:w="654" w:type="pct"/>
            <w:tcBorders>
              <w:top w:val="nil"/>
              <w:left w:val="nil"/>
              <w:bottom w:val="nil"/>
              <w:right w:val="nil"/>
            </w:tcBorders>
          </w:tcPr>
          <w:p w14:paraId="1353CC96" w14:textId="77777777" w:rsidR="00B54D51" w:rsidRPr="00037AD4" w:rsidRDefault="00B54D51" w:rsidP="00401C67">
            <w:pPr>
              <w:widowControl w:val="0"/>
              <w:autoSpaceDE w:val="0"/>
              <w:autoSpaceDN w:val="0"/>
              <w:adjustRightInd w:val="0"/>
              <w:jc w:val="center"/>
              <w:rPr>
                <w:highlight w:val="yellow"/>
              </w:rPr>
            </w:pPr>
          </w:p>
        </w:tc>
        <w:tc>
          <w:tcPr>
            <w:tcW w:w="653" w:type="pct"/>
            <w:tcBorders>
              <w:top w:val="nil"/>
              <w:left w:val="nil"/>
              <w:bottom w:val="nil"/>
              <w:right w:val="nil"/>
            </w:tcBorders>
          </w:tcPr>
          <w:p w14:paraId="10DC43FA" w14:textId="77777777" w:rsidR="00B54D51" w:rsidRPr="00037AD4" w:rsidRDefault="00B54D51" w:rsidP="00401C67">
            <w:pPr>
              <w:widowControl w:val="0"/>
              <w:autoSpaceDE w:val="0"/>
              <w:autoSpaceDN w:val="0"/>
              <w:adjustRightInd w:val="0"/>
              <w:jc w:val="center"/>
              <w:rPr>
                <w:highlight w:val="yellow"/>
              </w:rPr>
            </w:pPr>
          </w:p>
        </w:tc>
      </w:tr>
      <w:tr w:rsidR="00B54D51" w:rsidRPr="00037AD4" w14:paraId="3FDB665D" w14:textId="77777777" w:rsidTr="00401C67">
        <w:trPr>
          <w:jc w:val="center"/>
        </w:trPr>
        <w:tc>
          <w:tcPr>
            <w:tcW w:w="1608" w:type="pct"/>
            <w:tcBorders>
              <w:top w:val="nil"/>
              <w:left w:val="nil"/>
              <w:bottom w:val="nil"/>
              <w:right w:val="nil"/>
            </w:tcBorders>
          </w:tcPr>
          <w:p w14:paraId="476DA157" w14:textId="77777777" w:rsidR="00B54D51" w:rsidRPr="00037AD4" w:rsidRDefault="00B54D51" w:rsidP="00401C67">
            <w:pPr>
              <w:widowControl w:val="0"/>
              <w:autoSpaceDE w:val="0"/>
              <w:autoSpaceDN w:val="0"/>
              <w:adjustRightInd w:val="0"/>
            </w:pPr>
          </w:p>
        </w:tc>
        <w:tc>
          <w:tcPr>
            <w:tcW w:w="695" w:type="pct"/>
            <w:tcBorders>
              <w:top w:val="nil"/>
              <w:left w:val="nil"/>
              <w:bottom w:val="nil"/>
              <w:right w:val="nil"/>
            </w:tcBorders>
          </w:tcPr>
          <w:p w14:paraId="53D35D4C" w14:textId="77777777" w:rsidR="00B54D51" w:rsidRPr="00037AD4" w:rsidRDefault="00B54D51" w:rsidP="00401C67">
            <w:pPr>
              <w:widowControl w:val="0"/>
              <w:autoSpaceDE w:val="0"/>
              <w:autoSpaceDN w:val="0"/>
              <w:adjustRightInd w:val="0"/>
              <w:jc w:val="center"/>
            </w:pPr>
            <w:r w:rsidRPr="00037AD4">
              <w:t>(0.413 - 0.882)</w:t>
            </w:r>
          </w:p>
        </w:tc>
        <w:tc>
          <w:tcPr>
            <w:tcW w:w="695" w:type="pct"/>
            <w:tcBorders>
              <w:top w:val="nil"/>
              <w:left w:val="nil"/>
              <w:bottom w:val="nil"/>
              <w:right w:val="nil"/>
            </w:tcBorders>
          </w:tcPr>
          <w:p w14:paraId="6EAF0C84" w14:textId="77777777" w:rsidR="00B54D51" w:rsidRPr="00037AD4" w:rsidRDefault="00B54D51" w:rsidP="00401C67">
            <w:pPr>
              <w:widowControl w:val="0"/>
              <w:autoSpaceDE w:val="0"/>
              <w:autoSpaceDN w:val="0"/>
              <w:adjustRightInd w:val="0"/>
              <w:jc w:val="center"/>
              <w:rPr>
                <w:highlight w:val="yellow"/>
              </w:rPr>
            </w:pPr>
          </w:p>
        </w:tc>
        <w:tc>
          <w:tcPr>
            <w:tcW w:w="696" w:type="pct"/>
            <w:tcBorders>
              <w:top w:val="nil"/>
              <w:left w:val="nil"/>
              <w:bottom w:val="nil"/>
              <w:right w:val="nil"/>
            </w:tcBorders>
          </w:tcPr>
          <w:p w14:paraId="4C8010F9" w14:textId="77777777" w:rsidR="00B54D51" w:rsidRPr="00037AD4" w:rsidRDefault="00B54D51" w:rsidP="00401C67">
            <w:pPr>
              <w:widowControl w:val="0"/>
              <w:autoSpaceDE w:val="0"/>
              <w:autoSpaceDN w:val="0"/>
              <w:adjustRightInd w:val="0"/>
              <w:jc w:val="center"/>
              <w:rPr>
                <w:highlight w:val="yellow"/>
              </w:rPr>
            </w:pPr>
          </w:p>
        </w:tc>
        <w:tc>
          <w:tcPr>
            <w:tcW w:w="654" w:type="pct"/>
            <w:tcBorders>
              <w:top w:val="nil"/>
              <w:left w:val="nil"/>
              <w:bottom w:val="nil"/>
              <w:right w:val="nil"/>
            </w:tcBorders>
          </w:tcPr>
          <w:p w14:paraId="68180562" w14:textId="77777777" w:rsidR="00B54D51" w:rsidRPr="00037AD4" w:rsidRDefault="00B54D51" w:rsidP="00401C67">
            <w:pPr>
              <w:widowControl w:val="0"/>
              <w:autoSpaceDE w:val="0"/>
              <w:autoSpaceDN w:val="0"/>
              <w:adjustRightInd w:val="0"/>
              <w:jc w:val="center"/>
              <w:rPr>
                <w:highlight w:val="yellow"/>
              </w:rPr>
            </w:pPr>
          </w:p>
        </w:tc>
        <w:tc>
          <w:tcPr>
            <w:tcW w:w="653" w:type="pct"/>
            <w:tcBorders>
              <w:top w:val="nil"/>
              <w:left w:val="nil"/>
              <w:bottom w:val="nil"/>
              <w:right w:val="nil"/>
            </w:tcBorders>
          </w:tcPr>
          <w:p w14:paraId="7C937423" w14:textId="77777777" w:rsidR="00B54D51" w:rsidRPr="00037AD4" w:rsidRDefault="00B54D51" w:rsidP="00401C67">
            <w:pPr>
              <w:widowControl w:val="0"/>
              <w:autoSpaceDE w:val="0"/>
              <w:autoSpaceDN w:val="0"/>
              <w:adjustRightInd w:val="0"/>
              <w:jc w:val="center"/>
              <w:rPr>
                <w:highlight w:val="yellow"/>
              </w:rPr>
            </w:pPr>
          </w:p>
        </w:tc>
      </w:tr>
      <w:tr w:rsidR="00B54D51" w:rsidRPr="00037AD4" w14:paraId="5ADBA24D" w14:textId="77777777" w:rsidTr="00401C67">
        <w:trPr>
          <w:jc w:val="center"/>
        </w:trPr>
        <w:tc>
          <w:tcPr>
            <w:tcW w:w="1608" w:type="pct"/>
            <w:tcBorders>
              <w:top w:val="nil"/>
              <w:left w:val="nil"/>
              <w:bottom w:val="nil"/>
              <w:right w:val="nil"/>
            </w:tcBorders>
          </w:tcPr>
          <w:p w14:paraId="5EF2DD2B" w14:textId="77777777" w:rsidR="00B54D51" w:rsidRPr="00037AD4" w:rsidRDefault="00B54D51" w:rsidP="00401C67">
            <w:pPr>
              <w:widowControl w:val="0"/>
              <w:autoSpaceDE w:val="0"/>
              <w:autoSpaceDN w:val="0"/>
              <w:adjustRightInd w:val="0"/>
            </w:pPr>
            <w:r w:rsidRPr="00037AD4">
              <w:t>4.eq4RP_</w:t>
            </w:r>
          </w:p>
        </w:tc>
        <w:tc>
          <w:tcPr>
            <w:tcW w:w="695" w:type="pct"/>
            <w:tcBorders>
              <w:top w:val="nil"/>
              <w:left w:val="nil"/>
              <w:bottom w:val="nil"/>
              <w:right w:val="nil"/>
            </w:tcBorders>
          </w:tcPr>
          <w:p w14:paraId="261B9D3B" w14:textId="77777777" w:rsidR="00B54D51" w:rsidRPr="00037AD4" w:rsidRDefault="00B54D51" w:rsidP="00401C67">
            <w:pPr>
              <w:widowControl w:val="0"/>
              <w:autoSpaceDE w:val="0"/>
              <w:autoSpaceDN w:val="0"/>
              <w:adjustRightInd w:val="0"/>
              <w:jc w:val="center"/>
            </w:pPr>
            <w:r w:rsidRPr="00037AD4">
              <w:t>1.148***</w:t>
            </w:r>
          </w:p>
        </w:tc>
        <w:tc>
          <w:tcPr>
            <w:tcW w:w="695" w:type="pct"/>
            <w:tcBorders>
              <w:top w:val="nil"/>
              <w:left w:val="nil"/>
              <w:bottom w:val="nil"/>
              <w:right w:val="nil"/>
            </w:tcBorders>
          </w:tcPr>
          <w:p w14:paraId="0C6B9569" w14:textId="77777777" w:rsidR="00B54D51" w:rsidRPr="00037AD4" w:rsidRDefault="00B54D51" w:rsidP="00401C67">
            <w:pPr>
              <w:widowControl w:val="0"/>
              <w:autoSpaceDE w:val="0"/>
              <w:autoSpaceDN w:val="0"/>
              <w:adjustRightInd w:val="0"/>
              <w:jc w:val="center"/>
              <w:rPr>
                <w:highlight w:val="yellow"/>
              </w:rPr>
            </w:pPr>
          </w:p>
        </w:tc>
        <w:tc>
          <w:tcPr>
            <w:tcW w:w="696" w:type="pct"/>
            <w:tcBorders>
              <w:top w:val="nil"/>
              <w:left w:val="nil"/>
              <w:bottom w:val="nil"/>
              <w:right w:val="nil"/>
            </w:tcBorders>
          </w:tcPr>
          <w:p w14:paraId="164FA0BC" w14:textId="77777777" w:rsidR="00B54D51" w:rsidRPr="00037AD4" w:rsidRDefault="00B54D51" w:rsidP="00401C67">
            <w:pPr>
              <w:widowControl w:val="0"/>
              <w:autoSpaceDE w:val="0"/>
              <w:autoSpaceDN w:val="0"/>
              <w:adjustRightInd w:val="0"/>
              <w:jc w:val="center"/>
              <w:rPr>
                <w:highlight w:val="yellow"/>
              </w:rPr>
            </w:pPr>
          </w:p>
        </w:tc>
        <w:tc>
          <w:tcPr>
            <w:tcW w:w="654" w:type="pct"/>
            <w:tcBorders>
              <w:top w:val="nil"/>
              <w:left w:val="nil"/>
              <w:bottom w:val="nil"/>
              <w:right w:val="nil"/>
            </w:tcBorders>
          </w:tcPr>
          <w:p w14:paraId="07D5F9A2" w14:textId="77777777" w:rsidR="00B54D51" w:rsidRPr="00037AD4" w:rsidRDefault="00B54D51" w:rsidP="00401C67">
            <w:pPr>
              <w:widowControl w:val="0"/>
              <w:autoSpaceDE w:val="0"/>
              <w:autoSpaceDN w:val="0"/>
              <w:adjustRightInd w:val="0"/>
              <w:jc w:val="center"/>
              <w:rPr>
                <w:highlight w:val="yellow"/>
              </w:rPr>
            </w:pPr>
          </w:p>
        </w:tc>
        <w:tc>
          <w:tcPr>
            <w:tcW w:w="653" w:type="pct"/>
            <w:tcBorders>
              <w:top w:val="nil"/>
              <w:left w:val="nil"/>
              <w:bottom w:val="nil"/>
              <w:right w:val="nil"/>
            </w:tcBorders>
          </w:tcPr>
          <w:p w14:paraId="36D66B35" w14:textId="77777777" w:rsidR="00B54D51" w:rsidRPr="00037AD4" w:rsidRDefault="00B54D51" w:rsidP="00401C67">
            <w:pPr>
              <w:widowControl w:val="0"/>
              <w:autoSpaceDE w:val="0"/>
              <w:autoSpaceDN w:val="0"/>
              <w:adjustRightInd w:val="0"/>
              <w:jc w:val="center"/>
              <w:rPr>
                <w:highlight w:val="yellow"/>
              </w:rPr>
            </w:pPr>
          </w:p>
        </w:tc>
      </w:tr>
      <w:tr w:rsidR="00B54D51" w:rsidRPr="00037AD4" w14:paraId="7D14495E" w14:textId="77777777" w:rsidTr="00401C67">
        <w:trPr>
          <w:jc w:val="center"/>
        </w:trPr>
        <w:tc>
          <w:tcPr>
            <w:tcW w:w="1608" w:type="pct"/>
            <w:tcBorders>
              <w:top w:val="nil"/>
              <w:left w:val="nil"/>
              <w:bottom w:val="nil"/>
              <w:right w:val="nil"/>
            </w:tcBorders>
          </w:tcPr>
          <w:p w14:paraId="36EE39D7" w14:textId="77777777" w:rsidR="00B54D51" w:rsidRPr="00037AD4" w:rsidRDefault="00B54D51" w:rsidP="00401C67">
            <w:pPr>
              <w:widowControl w:val="0"/>
              <w:autoSpaceDE w:val="0"/>
              <w:autoSpaceDN w:val="0"/>
              <w:adjustRightInd w:val="0"/>
            </w:pPr>
          </w:p>
        </w:tc>
        <w:tc>
          <w:tcPr>
            <w:tcW w:w="695" w:type="pct"/>
            <w:tcBorders>
              <w:top w:val="nil"/>
              <w:left w:val="nil"/>
              <w:bottom w:val="nil"/>
              <w:right w:val="nil"/>
            </w:tcBorders>
          </w:tcPr>
          <w:p w14:paraId="6C2DCD16" w14:textId="77777777" w:rsidR="00B54D51" w:rsidRPr="00037AD4" w:rsidRDefault="00B54D51" w:rsidP="00401C67">
            <w:pPr>
              <w:widowControl w:val="0"/>
              <w:autoSpaceDE w:val="0"/>
              <w:autoSpaceDN w:val="0"/>
              <w:adjustRightInd w:val="0"/>
              <w:jc w:val="center"/>
            </w:pPr>
            <w:r w:rsidRPr="00037AD4">
              <w:t>(0.808 - 1.488)</w:t>
            </w:r>
          </w:p>
        </w:tc>
        <w:tc>
          <w:tcPr>
            <w:tcW w:w="695" w:type="pct"/>
            <w:tcBorders>
              <w:top w:val="nil"/>
              <w:left w:val="nil"/>
              <w:bottom w:val="nil"/>
              <w:right w:val="nil"/>
            </w:tcBorders>
          </w:tcPr>
          <w:p w14:paraId="3421B8FB" w14:textId="77777777" w:rsidR="00B54D51" w:rsidRPr="00037AD4" w:rsidRDefault="00B54D51" w:rsidP="00401C67">
            <w:pPr>
              <w:widowControl w:val="0"/>
              <w:autoSpaceDE w:val="0"/>
              <w:autoSpaceDN w:val="0"/>
              <w:adjustRightInd w:val="0"/>
              <w:jc w:val="center"/>
              <w:rPr>
                <w:highlight w:val="yellow"/>
              </w:rPr>
            </w:pPr>
          </w:p>
        </w:tc>
        <w:tc>
          <w:tcPr>
            <w:tcW w:w="696" w:type="pct"/>
            <w:tcBorders>
              <w:top w:val="nil"/>
              <w:left w:val="nil"/>
              <w:bottom w:val="nil"/>
              <w:right w:val="nil"/>
            </w:tcBorders>
          </w:tcPr>
          <w:p w14:paraId="0CC255EB" w14:textId="77777777" w:rsidR="00B54D51" w:rsidRPr="00037AD4" w:rsidRDefault="00B54D51" w:rsidP="00401C67">
            <w:pPr>
              <w:widowControl w:val="0"/>
              <w:autoSpaceDE w:val="0"/>
              <w:autoSpaceDN w:val="0"/>
              <w:adjustRightInd w:val="0"/>
              <w:jc w:val="center"/>
              <w:rPr>
                <w:highlight w:val="yellow"/>
              </w:rPr>
            </w:pPr>
          </w:p>
        </w:tc>
        <w:tc>
          <w:tcPr>
            <w:tcW w:w="654" w:type="pct"/>
            <w:tcBorders>
              <w:top w:val="nil"/>
              <w:left w:val="nil"/>
              <w:bottom w:val="nil"/>
              <w:right w:val="nil"/>
            </w:tcBorders>
          </w:tcPr>
          <w:p w14:paraId="1666DEF5" w14:textId="77777777" w:rsidR="00B54D51" w:rsidRPr="00037AD4" w:rsidRDefault="00B54D51" w:rsidP="00401C67">
            <w:pPr>
              <w:widowControl w:val="0"/>
              <w:autoSpaceDE w:val="0"/>
              <w:autoSpaceDN w:val="0"/>
              <w:adjustRightInd w:val="0"/>
              <w:jc w:val="center"/>
              <w:rPr>
                <w:highlight w:val="yellow"/>
              </w:rPr>
            </w:pPr>
          </w:p>
        </w:tc>
        <w:tc>
          <w:tcPr>
            <w:tcW w:w="653" w:type="pct"/>
            <w:tcBorders>
              <w:top w:val="nil"/>
              <w:left w:val="nil"/>
              <w:bottom w:val="nil"/>
              <w:right w:val="nil"/>
            </w:tcBorders>
          </w:tcPr>
          <w:p w14:paraId="03841488" w14:textId="77777777" w:rsidR="00B54D51" w:rsidRPr="00037AD4" w:rsidRDefault="00B54D51" w:rsidP="00401C67">
            <w:pPr>
              <w:widowControl w:val="0"/>
              <w:autoSpaceDE w:val="0"/>
              <w:autoSpaceDN w:val="0"/>
              <w:adjustRightInd w:val="0"/>
              <w:jc w:val="center"/>
              <w:rPr>
                <w:highlight w:val="yellow"/>
              </w:rPr>
            </w:pPr>
          </w:p>
        </w:tc>
      </w:tr>
      <w:tr w:rsidR="00B54D51" w:rsidRPr="00037AD4" w14:paraId="1DC2A5C5" w14:textId="77777777" w:rsidTr="00401C67">
        <w:trPr>
          <w:jc w:val="center"/>
        </w:trPr>
        <w:tc>
          <w:tcPr>
            <w:tcW w:w="1608" w:type="pct"/>
            <w:tcBorders>
              <w:top w:val="nil"/>
              <w:left w:val="nil"/>
              <w:bottom w:val="nil"/>
              <w:right w:val="nil"/>
            </w:tcBorders>
          </w:tcPr>
          <w:p w14:paraId="0E4FA28C" w14:textId="77777777" w:rsidR="00B54D51" w:rsidRPr="00037AD4" w:rsidRDefault="00B54D51" w:rsidP="00401C67">
            <w:pPr>
              <w:widowControl w:val="0"/>
              <w:autoSpaceDE w:val="0"/>
              <w:autoSpaceDN w:val="0"/>
              <w:adjustRightInd w:val="0"/>
            </w:pPr>
            <w:r w:rsidRPr="00037AD4">
              <w:t>5.eq4RP_</w:t>
            </w:r>
          </w:p>
        </w:tc>
        <w:tc>
          <w:tcPr>
            <w:tcW w:w="695" w:type="pct"/>
            <w:tcBorders>
              <w:top w:val="nil"/>
              <w:left w:val="nil"/>
              <w:bottom w:val="nil"/>
              <w:right w:val="nil"/>
            </w:tcBorders>
          </w:tcPr>
          <w:p w14:paraId="201B9107" w14:textId="77777777" w:rsidR="00B54D51" w:rsidRPr="00037AD4" w:rsidRDefault="00B54D51" w:rsidP="00401C67">
            <w:pPr>
              <w:widowControl w:val="0"/>
              <w:autoSpaceDE w:val="0"/>
              <w:autoSpaceDN w:val="0"/>
              <w:adjustRightInd w:val="0"/>
              <w:jc w:val="center"/>
            </w:pPr>
            <w:r w:rsidRPr="00037AD4">
              <w:t>0.729</w:t>
            </w:r>
          </w:p>
        </w:tc>
        <w:tc>
          <w:tcPr>
            <w:tcW w:w="695" w:type="pct"/>
            <w:tcBorders>
              <w:top w:val="nil"/>
              <w:left w:val="nil"/>
              <w:bottom w:val="nil"/>
              <w:right w:val="nil"/>
            </w:tcBorders>
          </w:tcPr>
          <w:p w14:paraId="5C978DE9" w14:textId="77777777" w:rsidR="00B54D51" w:rsidRPr="00037AD4" w:rsidRDefault="00B54D51" w:rsidP="00401C67">
            <w:pPr>
              <w:widowControl w:val="0"/>
              <w:autoSpaceDE w:val="0"/>
              <w:autoSpaceDN w:val="0"/>
              <w:adjustRightInd w:val="0"/>
              <w:jc w:val="center"/>
              <w:rPr>
                <w:highlight w:val="yellow"/>
              </w:rPr>
            </w:pPr>
          </w:p>
        </w:tc>
        <w:tc>
          <w:tcPr>
            <w:tcW w:w="696" w:type="pct"/>
            <w:tcBorders>
              <w:top w:val="nil"/>
              <w:left w:val="nil"/>
              <w:bottom w:val="nil"/>
              <w:right w:val="nil"/>
            </w:tcBorders>
          </w:tcPr>
          <w:p w14:paraId="3D2C11B7" w14:textId="77777777" w:rsidR="00B54D51" w:rsidRPr="00037AD4" w:rsidRDefault="00B54D51" w:rsidP="00401C67">
            <w:pPr>
              <w:widowControl w:val="0"/>
              <w:autoSpaceDE w:val="0"/>
              <w:autoSpaceDN w:val="0"/>
              <w:adjustRightInd w:val="0"/>
              <w:jc w:val="center"/>
              <w:rPr>
                <w:highlight w:val="yellow"/>
              </w:rPr>
            </w:pPr>
          </w:p>
        </w:tc>
        <w:tc>
          <w:tcPr>
            <w:tcW w:w="654" w:type="pct"/>
            <w:tcBorders>
              <w:top w:val="nil"/>
              <w:left w:val="nil"/>
              <w:bottom w:val="nil"/>
              <w:right w:val="nil"/>
            </w:tcBorders>
          </w:tcPr>
          <w:p w14:paraId="5EB06CCD" w14:textId="77777777" w:rsidR="00B54D51" w:rsidRPr="00037AD4" w:rsidRDefault="00B54D51" w:rsidP="00401C67">
            <w:pPr>
              <w:widowControl w:val="0"/>
              <w:autoSpaceDE w:val="0"/>
              <w:autoSpaceDN w:val="0"/>
              <w:adjustRightInd w:val="0"/>
              <w:jc w:val="center"/>
              <w:rPr>
                <w:highlight w:val="yellow"/>
              </w:rPr>
            </w:pPr>
          </w:p>
        </w:tc>
        <w:tc>
          <w:tcPr>
            <w:tcW w:w="653" w:type="pct"/>
            <w:tcBorders>
              <w:top w:val="nil"/>
              <w:left w:val="nil"/>
              <w:bottom w:val="nil"/>
              <w:right w:val="nil"/>
            </w:tcBorders>
          </w:tcPr>
          <w:p w14:paraId="314ACDB7" w14:textId="77777777" w:rsidR="00B54D51" w:rsidRPr="00037AD4" w:rsidRDefault="00B54D51" w:rsidP="00401C67">
            <w:pPr>
              <w:widowControl w:val="0"/>
              <w:autoSpaceDE w:val="0"/>
              <w:autoSpaceDN w:val="0"/>
              <w:adjustRightInd w:val="0"/>
              <w:jc w:val="center"/>
              <w:rPr>
                <w:highlight w:val="yellow"/>
              </w:rPr>
            </w:pPr>
          </w:p>
        </w:tc>
      </w:tr>
      <w:tr w:rsidR="00B54D51" w:rsidRPr="00037AD4" w14:paraId="365F268F" w14:textId="77777777" w:rsidTr="00401C67">
        <w:trPr>
          <w:jc w:val="center"/>
        </w:trPr>
        <w:tc>
          <w:tcPr>
            <w:tcW w:w="1608" w:type="pct"/>
            <w:tcBorders>
              <w:top w:val="nil"/>
              <w:left w:val="nil"/>
              <w:bottom w:val="nil"/>
              <w:right w:val="nil"/>
            </w:tcBorders>
          </w:tcPr>
          <w:p w14:paraId="4F5E4A8F" w14:textId="77777777" w:rsidR="00B54D51" w:rsidRPr="00037AD4" w:rsidRDefault="00B54D51" w:rsidP="00401C67">
            <w:pPr>
              <w:widowControl w:val="0"/>
              <w:autoSpaceDE w:val="0"/>
              <w:autoSpaceDN w:val="0"/>
              <w:adjustRightInd w:val="0"/>
            </w:pPr>
          </w:p>
        </w:tc>
        <w:tc>
          <w:tcPr>
            <w:tcW w:w="695" w:type="pct"/>
            <w:tcBorders>
              <w:top w:val="nil"/>
              <w:left w:val="nil"/>
              <w:bottom w:val="nil"/>
              <w:right w:val="nil"/>
            </w:tcBorders>
          </w:tcPr>
          <w:p w14:paraId="6F5F418A" w14:textId="77777777" w:rsidR="00B54D51" w:rsidRPr="00037AD4" w:rsidRDefault="00B54D51" w:rsidP="00401C67">
            <w:pPr>
              <w:widowControl w:val="0"/>
              <w:autoSpaceDE w:val="0"/>
              <w:autoSpaceDN w:val="0"/>
              <w:adjustRightInd w:val="0"/>
              <w:jc w:val="center"/>
            </w:pPr>
            <w:r w:rsidRPr="00037AD4">
              <w:t>(-0.396 - 1.854)</w:t>
            </w:r>
          </w:p>
        </w:tc>
        <w:tc>
          <w:tcPr>
            <w:tcW w:w="695" w:type="pct"/>
            <w:tcBorders>
              <w:top w:val="nil"/>
              <w:left w:val="nil"/>
              <w:bottom w:val="nil"/>
              <w:right w:val="nil"/>
            </w:tcBorders>
          </w:tcPr>
          <w:p w14:paraId="3462330F" w14:textId="77777777" w:rsidR="00B54D51" w:rsidRPr="00037AD4" w:rsidRDefault="00B54D51" w:rsidP="00401C67">
            <w:pPr>
              <w:widowControl w:val="0"/>
              <w:autoSpaceDE w:val="0"/>
              <w:autoSpaceDN w:val="0"/>
              <w:adjustRightInd w:val="0"/>
              <w:jc w:val="center"/>
              <w:rPr>
                <w:highlight w:val="yellow"/>
              </w:rPr>
            </w:pPr>
          </w:p>
        </w:tc>
        <w:tc>
          <w:tcPr>
            <w:tcW w:w="696" w:type="pct"/>
            <w:tcBorders>
              <w:top w:val="nil"/>
              <w:left w:val="nil"/>
              <w:bottom w:val="nil"/>
              <w:right w:val="nil"/>
            </w:tcBorders>
          </w:tcPr>
          <w:p w14:paraId="364D9DE4" w14:textId="77777777" w:rsidR="00B54D51" w:rsidRPr="00037AD4" w:rsidRDefault="00B54D51" w:rsidP="00401C67">
            <w:pPr>
              <w:widowControl w:val="0"/>
              <w:autoSpaceDE w:val="0"/>
              <w:autoSpaceDN w:val="0"/>
              <w:adjustRightInd w:val="0"/>
              <w:jc w:val="center"/>
              <w:rPr>
                <w:highlight w:val="yellow"/>
              </w:rPr>
            </w:pPr>
          </w:p>
        </w:tc>
        <w:tc>
          <w:tcPr>
            <w:tcW w:w="654" w:type="pct"/>
            <w:tcBorders>
              <w:top w:val="nil"/>
              <w:left w:val="nil"/>
              <w:bottom w:val="nil"/>
              <w:right w:val="nil"/>
            </w:tcBorders>
          </w:tcPr>
          <w:p w14:paraId="5AAF0CB1" w14:textId="77777777" w:rsidR="00B54D51" w:rsidRPr="00037AD4" w:rsidRDefault="00B54D51" w:rsidP="00401C67">
            <w:pPr>
              <w:widowControl w:val="0"/>
              <w:autoSpaceDE w:val="0"/>
              <w:autoSpaceDN w:val="0"/>
              <w:adjustRightInd w:val="0"/>
              <w:jc w:val="center"/>
              <w:rPr>
                <w:highlight w:val="yellow"/>
              </w:rPr>
            </w:pPr>
          </w:p>
        </w:tc>
        <w:tc>
          <w:tcPr>
            <w:tcW w:w="653" w:type="pct"/>
            <w:tcBorders>
              <w:top w:val="nil"/>
              <w:left w:val="nil"/>
              <w:bottom w:val="nil"/>
              <w:right w:val="nil"/>
            </w:tcBorders>
          </w:tcPr>
          <w:p w14:paraId="0886CC7A" w14:textId="77777777" w:rsidR="00B54D51" w:rsidRPr="00037AD4" w:rsidRDefault="00B54D51" w:rsidP="00401C67">
            <w:pPr>
              <w:widowControl w:val="0"/>
              <w:autoSpaceDE w:val="0"/>
              <w:autoSpaceDN w:val="0"/>
              <w:adjustRightInd w:val="0"/>
              <w:jc w:val="center"/>
              <w:rPr>
                <w:highlight w:val="yellow"/>
              </w:rPr>
            </w:pPr>
          </w:p>
        </w:tc>
      </w:tr>
      <w:tr w:rsidR="00B54D51" w:rsidRPr="00037AD4" w14:paraId="0A66D5BC" w14:textId="77777777" w:rsidTr="00401C67">
        <w:trPr>
          <w:jc w:val="center"/>
        </w:trPr>
        <w:tc>
          <w:tcPr>
            <w:tcW w:w="1608" w:type="pct"/>
            <w:tcBorders>
              <w:top w:val="nil"/>
              <w:left w:val="nil"/>
              <w:bottom w:val="nil"/>
              <w:right w:val="nil"/>
            </w:tcBorders>
          </w:tcPr>
          <w:p w14:paraId="7B57054D" w14:textId="77777777" w:rsidR="00B54D51" w:rsidRPr="00037AD4" w:rsidRDefault="00B54D51" w:rsidP="00401C67">
            <w:pPr>
              <w:widowControl w:val="0"/>
              <w:autoSpaceDE w:val="0"/>
              <w:autoSpaceDN w:val="0"/>
              <w:adjustRightInd w:val="0"/>
            </w:pPr>
            <w:r w:rsidRPr="00037AD4">
              <w:t>1.CDR_new_</w:t>
            </w:r>
          </w:p>
        </w:tc>
        <w:tc>
          <w:tcPr>
            <w:tcW w:w="695" w:type="pct"/>
            <w:tcBorders>
              <w:top w:val="nil"/>
              <w:left w:val="nil"/>
              <w:bottom w:val="nil"/>
              <w:right w:val="nil"/>
            </w:tcBorders>
          </w:tcPr>
          <w:p w14:paraId="54735481" w14:textId="77777777" w:rsidR="00B54D51" w:rsidRPr="00037AD4" w:rsidRDefault="00B54D51" w:rsidP="00401C67">
            <w:pPr>
              <w:widowControl w:val="0"/>
              <w:autoSpaceDE w:val="0"/>
              <w:autoSpaceDN w:val="0"/>
              <w:adjustRightInd w:val="0"/>
              <w:jc w:val="center"/>
            </w:pPr>
            <w:r w:rsidRPr="00037AD4">
              <w:t>0.146</w:t>
            </w:r>
          </w:p>
        </w:tc>
        <w:tc>
          <w:tcPr>
            <w:tcW w:w="695" w:type="pct"/>
            <w:tcBorders>
              <w:top w:val="nil"/>
              <w:left w:val="nil"/>
              <w:bottom w:val="nil"/>
              <w:right w:val="nil"/>
            </w:tcBorders>
          </w:tcPr>
          <w:p w14:paraId="677DCAAD" w14:textId="77777777" w:rsidR="00B54D51" w:rsidRPr="00037AD4" w:rsidRDefault="00B54D51" w:rsidP="00401C67">
            <w:pPr>
              <w:widowControl w:val="0"/>
              <w:autoSpaceDE w:val="0"/>
              <w:autoSpaceDN w:val="0"/>
              <w:adjustRightInd w:val="0"/>
              <w:jc w:val="center"/>
              <w:rPr>
                <w:highlight w:val="yellow"/>
              </w:rPr>
            </w:pPr>
          </w:p>
        </w:tc>
        <w:tc>
          <w:tcPr>
            <w:tcW w:w="696" w:type="pct"/>
            <w:tcBorders>
              <w:top w:val="nil"/>
              <w:left w:val="nil"/>
              <w:bottom w:val="nil"/>
              <w:right w:val="nil"/>
            </w:tcBorders>
          </w:tcPr>
          <w:p w14:paraId="5FD54BAD" w14:textId="77777777" w:rsidR="00B54D51" w:rsidRPr="00037AD4" w:rsidRDefault="00B54D51" w:rsidP="00401C67">
            <w:pPr>
              <w:widowControl w:val="0"/>
              <w:autoSpaceDE w:val="0"/>
              <w:autoSpaceDN w:val="0"/>
              <w:adjustRightInd w:val="0"/>
              <w:jc w:val="center"/>
              <w:rPr>
                <w:highlight w:val="yellow"/>
              </w:rPr>
            </w:pPr>
          </w:p>
        </w:tc>
        <w:tc>
          <w:tcPr>
            <w:tcW w:w="654" w:type="pct"/>
            <w:tcBorders>
              <w:top w:val="nil"/>
              <w:left w:val="nil"/>
              <w:bottom w:val="nil"/>
              <w:right w:val="nil"/>
            </w:tcBorders>
          </w:tcPr>
          <w:p w14:paraId="14C51D38" w14:textId="77777777" w:rsidR="00B54D51" w:rsidRPr="00037AD4" w:rsidRDefault="00B54D51" w:rsidP="00401C67">
            <w:pPr>
              <w:widowControl w:val="0"/>
              <w:autoSpaceDE w:val="0"/>
              <w:autoSpaceDN w:val="0"/>
              <w:adjustRightInd w:val="0"/>
              <w:jc w:val="center"/>
              <w:rPr>
                <w:highlight w:val="yellow"/>
              </w:rPr>
            </w:pPr>
          </w:p>
        </w:tc>
        <w:tc>
          <w:tcPr>
            <w:tcW w:w="653" w:type="pct"/>
            <w:tcBorders>
              <w:top w:val="nil"/>
              <w:left w:val="nil"/>
              <w:bottom w:val="nil"/>
              <w:right w:val="nil"/>
            </w:tcBorders>
          </w:tcPr>
          <w:p w14:paraId="68FE9A00" w14:textId="77777777" w:rsidR="00B54D51" w:rsidRPr="00037AD4" w:rsidRDefault="00B54D51" w:rsidP="00401C67">
            <w:pPr>
              <w:widowControl w:val="0"/>
              <w:autoSpaceDE w:val="0"/>
              <w:autoSpaceDN w:val="0"/>
              <w:adjustRightInd w:val="0"/>
              <w:jc w:val="center"/>
              <w:rPr>
                <w:highlight w:val="yellow"/>
              </w:rPr>
            </w:pPr>
          </w:p>
        </w:tc>
      </w:tr>
      <w:tr w:rsidR="00B54D51" w:rsidRPr="00037AD4" w14:paraId="7BE128B5" w14:textId="77777777" w:rsidTr="00401C67">
        <w:trPr>
          <w:jc w:val="center"/>
        </w:trPr>
        <w:tc>
          <w:tcPr>
            <w:tcW w:w="1608" w:type="pct"/>
            <w:tcBorders>
              <w:top w:val="nil"/>
              <w:left w:val="nil"/>
              <w:bottom w:val="nil"/>
              <w:right w:val="nil"/>
            </w:tcBorders>
          </w:tcPr>
          <w:p w14:paraId="262237B5" w14:textId="77777777" w:rsidR="00B54D51" w:rsidRPr="00037AD4" w:rsidRDefault="00B54D51" w:rsidP="00401C67">
            <w:pPr>
              <w:widowControl w:val="0"/>
              <w:autoSpaceDE w:val="0"/>
              <w:autoSpaceDN w:val="0"/>
              <w:adjustRightInd w:val="0"/>
            </w:pPr>
          </w:p>
        </w:tc>
        <w:tc>
          <w:tcPr>
            <w:tcW w:w="695" w:type="pct"/>
            <w:tcBorders>
              <w:top w:val="nil"/>
              <w:left w:val="nil"/>
              <w:bottom w:val="nil"/>
              <w:right w:val="nil"/>
            </w:tcBorders>
          </w:tcPr>
          <w:p w14:paraId="09BFED41" w14:textId="77777777" w:rsidR="00B54D51" w:rsidRPr="00037AD4" w:rsidRDefault="00B54D51" w:rsidP="00401C67">
            <w:pPr>
              <w:widowControl w:val="0"/>
              <w:autoSpaceDE w:val="0"/>
              <w:autoSpaceDN w:val="0"/>
              <w:adjustRightInd w:val="0"/>
              <w:jc w:val="center"/>
            </w:pPr>
            <w:r w:rsidRPr="00037AD4">
              <w:t>(-0.272 - 0.564)</w:t>
            </w:r>
          </w:p>
        </w:tc>
        <w:tc>
          <w:tcPr>
            <w:tcW w:w="695" w:type="pct"/>
            <w:tcBorders>
              <w:top w:val="nil"/>
              <w:left w:val="nil"/>
              <w:bottom w:val="nil"/>
              <w:right w:val="nil"/>
            </w:tcBorders>
          </w:tcPr>
          <w:p w14:paraId="22FD8991" w14:textId="77777777" w:rsidR="00B54D51" w:rsidRPr="00037AD4" w:rsidRDefault="00B54D51" w:rsidP="00401C67">
            <w:pPr>
              <w:widowControl w:val="0"/>
              <w:autoSpaceDE w:val="0"/>
              <w:autoSpaceDN w:val="0"/>
              <w:adjustRightInd w:val="0"/>
              <w:jc w:val="center"/>
              <w:rPr>
                <w:highlight w:val="yellow"/>
              </w:rPr>
            </w:pPr>
          </w:p>
        </w:tc>
        <w:tc>
          <w:tcPr>
            <w:tcW w:w="696" w:type="pct"/>
            <w:tcBorders>
              <w:top w:val="nil"/>
              <w:left w:val="nil"/>
              <w:bottom w:val="nil"/>
              <w:right w:val="nil"/>
            </w:tcBorders>
          </w:tcPr>
          <w:p w14:paraId="739346EE" w14:textId="77777777" w:rsidR="00B54D51" w:rsidRPr="00037AD4" w:rsidRDefault="00B54D51" w:rsidP="00401C67">
            <w:pPr>
              <w:widowControl w:val="0"/>
              <w:autoSpaceDE w:val="0"/>
              <w:autoSpaceDN w:val="0"/>
              <w:adjustRightInd w:val="0"/>
              <w:jc w:val="center"/>
              <w:rPr>
                <w:highlight w:val="yellow"/>
              </w:rPr>
            </w:pPr>
          </w:p>
        </w:tc>
        <w:tc>
          <w:tcPr>
            <w:tcW w:w="654" w:type="pct"/>
            <w:tcBorders>
              <w:top w:val="nil"/>
              <w:left w:val="nil"/>
              <w:bottom w:val="nil"/>
              <w:right w:val="nil"/>
            </w:tcBorders>
          </w:tcPr>
          <w:p w14:paraId="74150EB2" w14:textId="77777777" w:rsidR="00B54D51" w:rsidRPr="00037AD4" w:rsidRDefault="00B54D51" w:rsidP="00401C67">
            <w:pPr>
              <w:widowControl w:val="0"/>
              <w:autoSpaceDE w:val="0"/>
              <w:autoSpaceDN w:val="0"/>
              <w:adjustRightInd w:val="0"/>
              <w:jc w:val="center"/>
              <w:rPr>
                <w:highlight w:val="yellow"/>
              </w:rPr>
            </w:pPr>
          </w:p>
        </w:tc>
        <w:tc>
          <w:tcPr>
            <w:tcW w:w="653" w:type="pct"/>
            <w:tcBorders>
              <w:top w:val="nil"/>
              <w:left w:val="nil"/>
              <w:bottom w:val="nil"/>
              <w:right w:val="nil"/>
            </w:tcBorders>
          </w:tcPr>
          <w:p w14:paraId="66E1B4C7" w14:textId="77777777" w:rsidR="00B54D51" w:rsidRPr="00037AD4" w:rsidRDefault="00B54D51" w:rsidP="00401C67">
            <w:pPr>
              <w:widowControl w:val="0"/>
              <w:autoSpaceDE w:val="0"/>
              <w:autoSpaceDN w:val="0"/>
              <w:adjustRightInd w:val="0"/>
              <w:jc w:val="center"/>
              <w:rPr>
                <w:highlight w:val="yellow"/>
              </w:rPr>
            </w:pPr>
          </w:p>
        </w:tc>
      </w:tr>
      <w:tr w:rsidR="00B54D51" w:rsidRPr="00037AD4" w14:paraId="374312C9" w14:textId="77777777" w:rsidTr="00401C67">
        <w:trPr>
          <w:jc w:val="center"/>
        </w:trPr>
        <w:tc>
          <w:tcPr>
            <w:tcW w:w="1608" w:type="pct"/>
            <w:tcBorders>
              <w:top w:val="nil"/>
              <w:left w:val="nil"/>
              <w:bottom w:val="nil"/>
              <w:right w:val="nil"/>
            </w:tcBorders>
          </w:tcPr>
          <w:p w14:paraId="07E38F9C" w14:textId="77777777" w:rsidR="00B54D51" w:rsidRPr="00037AD4" w:rsidRDefault="00B54D51" w:rsidP="00401C67">
            <w:pPr>
              <w:widowControl w:val="0"/>
              <w:autoSpaceDE w:val="0"/>
              <w:autoSpaceDN w:val="0"/>
              <w:adjustRightInd w:val="0"/>
            </w:pPr>
            <w:r w:rsidRPr="00037AD4">
              <w:t>2.CDR_new_</w:t>
            </w:r>
          </w:p>
        </w:tc>
        <w:tc>
          <w:tcPr>
            <w:tcW w:w="695" w:type="pct"/>
            <w:tcBorders>
              <w:top w:val="nil"/>
              <w:left w:val="nil"/>
              <w:bottom w:val="nil"/>
              <w:right w:val="nil"/>
            </w:tcBorders>
          </w:tcPr>
          <w:p w14:paraId="4008FDDB" w14:textId="77777777" w:rsidR="00B54D51" w:rsidRPr="00037AD4" w:rsidRDefault="00B54D51" w:rsidP="00401C67">
            <w:pPr>
              <w:widowControl w:val="0"/>
              <w:autoSpaceDE w:val="0"/>
              <w:autoSpaceDN w:val="0"/>
              <w:adjustRightInd w:val="0"/>
              <w:jc w:val="center"/>
            </w:pPr>
            <w:r w:rsidRPr="00037AD4">
              <w:t>0.078</w:t>
            </w:r>
          </w:p>
        </w:tc>
        <w:tc>
          <w:tcPr>
            <w:tcW w:w="695" w:type="pct"/>
            <w:tcBorders>
              <w:top w:val="nil"/>
              <w:left w:val="nil"/>
              <w:bottom w:val="nil"/>
              <w:right w:val="nil"/>
            </w:tcBorders>
          </w:tcPr>
          <w:p w14:paraId="33FF9E84" w14:textId="77777777" w:rsidR="00B54D51" w:rsidRPr="00037AD4" w:rsidRDefault="00B54D51" w:rsidP="00401C67">
            <w:pPr>
              <w:widowControl w:val="0"/>
              <w:autoSpaceDE w:val="0"/>
              <w:autoSpaceDN w:val="0"/>
              <w:adjustRightInd w:val="0"/>
              <w:jc w:val="center"/>
              <w:rPr>
                <w:highlight w:val="yellow"/>
              </w:rPr>
            </w:pPr>
          </w:p>
        </w:tc>
        <w:tc>
          <w:tcPr>
            <w:tcW w:w="696" w:type="pct"/>
            <w:tcBorders>
              <w:top w:val="nil"/>
              <w:left w:val="nil"/>
              <w:bottom w:val="nil"/>
              <w:right w:val="nil"/>
            </w:tcBorders>
          </w:tcPr>
          <w:p w14:paraId="7070ED44" w14:textId="77777777" w:rsidR="00B54D51" w:rsidRPr="00037AD4" w:rsidRDefault="00B54D51" w:rsidP="00401C67">
            <w:pPr>
              <w:widowControl w:val="0"/>
              <w:autoSpaceDE w:val="0"/>
              <w:autoSpaceDN w:val="0"/>
              <w:adjustRightInd w:val="0"/>
              <w:jc w:val="center"/>
              <w:rPr>
                <w:highlight w:val="yellow"/>
              </w:rPr>
            </w:pPr>
          </w:p>
        </w:tc>
        <w:tc>
          <w:tcPr>
            <w:tcW w:w="654" w:type="pct"/>
            <w:tcBorders>
              <w:top w:val="nil"/>
              <w:left w:val="nil"/>
              <w:bottom w:val="nil"/>
              <w:right w:val="nil"/>
            </w:tcBorders>
          </w:tcPr>
          <w:p w14:paraId="374B3633" w14:textId="77777777" w:rsidR="00B54D51" w:rsidRPr="00037AD4" w:rsidRDefault="00B54D51" w:rsidP="00401C67">
            <w:pPr>
              <w:widowControl w:val="0"/>
              <w:autoSpaceDE w:val="0"/>
              <w:autoSpaceDN w:val="0"/>
              <w:adjustRightInd w:val="0"/>
              <w:jc w:val="center"/>
              <w:rPr>
                <w:highlight w:val="yellow"/>
              </w:rPr>
            </w:pPr>
          </w:p>
        </w:tc>
        <w:tc>
          <w:tcPr>
            <w:tcW w:w="653" w:type="pct"/>
            <w:tcBorders>
              <w:top w:val="nil"/>
              <w:left w:val="nil"/>
              <w:bottom w:val="nil"/>
              <w:right w:val="nil"/>
            </w:tcBorders>
          </w:tcPr>
          <w:p w14:paraId="5B6B1CF7" w14:textId="77777777" w:rsidR="00B54D51" w:rsidRPr="00037AD4" w:rsidRDefault="00B54D51" w:rsidP="00401C67">
            <w:pPr>
              <w:widowControl w:val="0"/>
              <w:autoSpaceDE w:val="0"/>
              <w:autoSpaceDN w:val="0"/>
              <w:adjustRightInd w:val="0"/>
              <w:jc w:val="center"/>
              <w:rPr>
                <w:highlight w:val="yellow"/>
              </w:rPr>
            </w:pPr>
          </w:p>
        </w:tc>
      </w:tr>
      <w:tr w:rsidR="00B54D51" w:rsidRPr="00037AD4" w14:paraId="4DEC19EC" w14:textId="77777777" w:rsidTr="00401C67">
        <w:trPr>
          <w:jc w:val="center"/>
        </w:trPr>
        <w:tc>
          <w:tcPr>
            <w:tcW w:w="1608" w:type="pct"/>
            <w:tcBorders>
              <w:top w:val="nil"/>
              <w:left w:val="nil"/>
              <w:bottom w:val="nil"/>
              <w:right w:val="nil"/>
            </w:tcBorders>
          </w:tcPr>
          <w:p w14:paraId="233487CE" w14:textId="77777777" w:rsidR="00B54D51" w:rsidRPr="00037AD4" w:rsidRDefault="00B54D51" w:rsidP="00401C67">
            <w:pPr>
              <w:widowControl w:val="0"/>
              <w:autoSpaceDE w:val="0"/>
              <w:autoSpaceDN w:val="0"/>
              <w:adjustRightInd w:val="0"/>
            </w:pPr>
          </w:p>
        </w:tc>
        <w:tc>
          <w:tcPr>
            <w:tcW w:w="695" w:type="pct"/>
            <w:tcBorders>
              <w:top w:val="nil"/>
              <w:left w:val="nil"/>
              <w:bottom w:val="nil"/>
              <w:right w:val="nil"/>
            </w:tcBorders>
          </w:tcPr>
          <w:p w14:paraId="314ABB0F" w14:textId="77777777" w:rsidR="00B54D51" w:rsidRPr="00037AD4" w:rsidRDefault="00B54D51" w:rsidP="00401C67">
            <w:pPr>
              <w:widowControl w:val="0"/>
              <w:autoSpaceDE w:val="0"/>
              <w:autoSpaceDN w:val="0"/>
              <w:adjustRightInd w:val="0"/>
              <w:jc w:val="center"/>
            </w:pPr>
            <w:r w:rsidRPr="00037AD4">
              <w:t>(-0.419 - 0.575)</w:t>
            </w:r>
          </w:p>
        </w:tc>
        <w:tc>
          <w:tcPr>
            <w:tcW w:w="695" w:type="pct"/>
            <w:tcBorders>
              <w:top w:val="nil"/>
              <w:left w:val="nil"/>
              <w:bottom w:val="nil"/>
              <w:right w:val="nil"/>
            </w:tcBorders>
          </w:tcPr>
          <w:p w14:paraId="1AF70465" w14:textId="77777777" w:rsidR="00B54D51" w:rsidRPr="00037AD4" w:rsidRDefault="00B54D51" w:rsidP="00401C67">
            <w:pPr>
              <w:widowControl w:val="0"/>
              <w:autoSpaceDE w:val="0"/>
              <w:autoSpaceDN w:val="0"/>
              <w:adjustRightInd w:val="0"/>
              <w:jc w:val="center"/>
              <w:rPr>
                <w:highlight w:val="yellow"/>
              </w:rPr>
            </w:pPr>
          </w:p>
        </w:tc>
        <w:tc>
          <w:tcPr>
            <w:tcW w:w="696" w:type="pct"/>
            <w:tcBorders>
              <w:top w:val="nil"/>
              <w:left w:val="nil"/>
              <w:bottom w:val="nil"/>
              <w:right w:val="nil"/>
            </w:tcBorders>
          </w:tcPr>
          <w:p w14:paraId="11705748" w14:textId="77777777" w:rsidR="00B54D51" w:rsidRPr="00037AD4" w:rsidRDefault="00B54D51" w:rsidP="00401C67">
            <w:pPr>
              <w:widowControl w:val="0"/>
              <w:autoSpaceDE w:val="0"/>
              <w:autoSpaceDN w:val="0"/>
              <w:adjustRightInd w:val="0"/>
              <w:jc w:val="center"/>
              <w:rPr>
                <w:highlight w:val="yellow"/>
              </w:rPr>
            </w:pPr>
          </w:p>
        </w:tc>
        <w:tc>
          <w:tcPr>
            <w:tcW w:w="654" w:type="pct"/>
            <w:tcBorders>
              <w:top w:val="nil"/>
              <w:left w:val="nil"/>
              <w:bottom w:val="nil"/>
              <w:right w:val="nil"/>
            </w:tcBorders>
          </w:tcPr>
          <w:p w14:paraId="1DD12EAA" w14:textId="77777777" w:rsidR="00B54D51" w:rsidRPr="00037AD4" w:rsidRDefault="00B54D51" w:rsidP="00401C67">
            <w:pPr>
              <w:widowControl w:val="0"/>
              <w:autoSpaceDE w:val="0"/>
              <w:autoSpaceDN w:val="0"/>
              <w:adjustRightInd w:val="0"/>
              <w:jc w:val="center"/>
              <w:rPr>
                <w:highlight w:val="yellow"/>
              </w:rPr>
            </w:pPr>
          </w:p>
        </w:tc>
        <w:tc>
          <w:tcPr>
            <w:tcW w:w="653" w:type="pct"/>
            <w:tcBorders>
              <w:top w:val="nil"/>
              <w:left w:val="nil"/>
              <w:bottom w:val="nil"/>
              <w:right w:val="nil"/>
            </w:tcBorders>
          </w:tcPr>
          <w:p w14:paraId="7CF7EA80" w14:textId="77777777" w:rsidR="00B54D51" w:rsidRPr="00037AD4" w:rsidRDefault="00B54D51" w:rsidP="00401C67">
            <w:pPr>
              <w:widowControl w:val="0"/>
              <w:autoSpaceDE w:val="0"/>
              <w:autoSpaceDN w:val="0"/>
              <w:adjustRightInd w:val="0"/>
              <w:jc w:val="center"/>
              <w:rPr>
                <w:highlight w:val="yellow"/>
              </w:rPr>
            </w:pPr>
          </w:p>
        </w:tc>
      </w:tr>
      <w:tr w:rsidR="00B54D51" w:rsidRPr="00037AD4" w14:paraId="119DA23A" w14:textId="77777777" w:rsidTr="00401C67">
        <w:trPr>
          <w:jc w:val="center"/>
        </w:trPr>
        <w:tc>
          <w:tcPr>
            <w:tcW w:w="1608" w:type="pct"/>
            <w:tcBorders>
              <w:top w:val="nil"/>
              <w:left w:val="nil"/>
              <w:bottom w:val="nil"/>
              <w:right w:val="nil"/>
            </w:tcBorders>
          </w:tcPr>
          <w:p w14:paraId="75AB6273" w14:textId="77777777" w:rsidR="00B54D51" w:rsidRPr="00037AD4" w:rsidRDefault="00B54D51" w:rsidP="00401C67">
            <w:pPr>
              <w:widowControl w:val="0"/>
              <w:autoSpaceDE w:val="0"/>
              <w:autoSpaceDN w:val="0"/>
              <w:adjustRightInd w:val="0"/>
            </w:pPr>
            <w:r w:rsidRPr="00037AD4">
              <w:t>3.CDR_new_</w:t>
            </w:r>
          </w:p>
        </w:tc>
        <w:tc>
          <w:tcPr>
            <w:tcW w:w="695" w:type="pct"/>
            <w:tcBorders>
              <w:top w:val="nil"/>
              <w:left w:val="nil"/>
              <w:bottom w:val="nil"/>
              <w:right w:val="nil"/>
            </w:tcBorders>
          </w:tcPr>
          <w:p w14:paraId="4AECCF50" w14:textId="77777777" w:rsidR="00B54D51" w:rsidRPr="00037AD4" w:rsidRDefault="00B54D51" w:rsidP="00401C67">
            <w:pPr>
              <w:widowControl w:val="0"/>
              <w:autoSpaceDE w:val="0"/>
              <w:autoSpaceDN w:val="0"/>
              <w:adjustRightInd w:val="0"/>
              <w:jc w:val="center"/>
            </w:pPr>
            <w:r w:rsidRPr="00037AD4">
              <w:t>-0.497</w:t>
            </w:r>
          </w:p>
        </w:tc>
        <w:tc>
          <w:tcPr>
            <w:tcW w:w="695" w:type="pct"/>
            <w:tcBorders>
              <w:top w:val="nil"/>
              <w:left w:val="nil"/>
              <w:bottom w:val="nil"/>
              <w:right w:val="nil"/>
            </w:tcBorders>
          </w:tcPr>
          <w:p w14:paraId="79D9FB83" w14:textId="77777777" w:rsidR="00B54D51" w:rsidRPr="00037AD4" w:rsidRDefault="00B54D51" w:rsidP="00401C67">
            <w:pPr>
              <w:widowControl w:val="0"/>
              <w:autoSpaceDE w:val="0"/>
              <w:autoSpaceDN w:val="0"/>
              <w:adjustRightInd w:val="0"/>
              <w:jc w:val="center"/>
              <w:rPr>
                <w:highlight w:val="yellow"/>
              </w:rPr>
            </w:pPr>
          </w:p>
        </w:tc>
        <w:tc>
          <w:tcPr>
            <w:tcW w:w="696" w:type="pct"/>
            <w:tcBorders>
              <w:top w:val="nil"/>
              <w:left w:val="nil"/>
              <w:bottom w:val="nil"/>
              <w:right w:val="nil"/>
            </w:tcBorders>
          </w:tcPr>
          <w:p w14:paraId="3A92CD6C" w14:textId="77777777" w:rsidR="00B54D51" w:rsidRPr="00037AD4" w:rsidRDefault="00B54D51" w:rsidP="00401C67">
            <w:pPr>
              <w:widowControl w:val="0"/>
              <w:autoSpaceDE w:val="0"/>
              <w:autoSpaceDN w:val="0"/>
              <w:adjustRightInd w:val="0"/>
              <w:jc w:val="center"/>
              <w:rPr>
                <w:highlight w:val="yellow"/>
              </w:rPr>
            </w:pPr>
          </w:p>
        </w:tc>
        <w:tc>
          <w:tcPr>
            <w:tcW w:w="654" w:type="pct"/>
            <w:tcBorders>
              <w:top w:val="nil"/>
              <w:left w:val="nil"/>
              <w:bottom w:val="nil"/>
              <w:right w:val="nil"/>
            </w:tcBorders>
          </w:tcPr>
          <w:p w14:paraId="2CDF7364" w14:textId="77777777" w:rsidR="00B54D51" w:rsidRPr="00037AD4" w:rsidRDefault="00B54D51" w:rsidP="00401C67">
            <w:pPr>
              <w:widowControl w:val="0"/>
              <w:autoSpaceDE w:val="0"/>
              <w:autoSpaceDN w:val="0"/>
              <w:adjustRightInd w:val="0"/>
              <w:jc w:val="center"/>
              <w:rPr>
                <w:highlight w:val="yellow"/>
              </w:rPr>
            </w:pPr>
          </w:p>
        </w:tc>
        <w:tc>
          <w:tcPr>
            <w:tcW w:w="653" w:type="pct"/>
            <w:tcBorders>
              <w:top w:val="nil"/>
              <w:left w:val="nil"/>
              <w:bottom w:val="nil"/>
              <w:right w:val="nil"/>
            </w:tcBorders>
          </w:tcPr>
          <w:p w14:paraId="135A7DED" w14:textId="77777777" w:rsidR="00B54D51" w:rsidRPr="00037AD4" w:rsidRDefault="00B54D51" w:rsidP="00401C67">
            <w:pPr>
              <w:widowControl w:val="0"/>
              <w:autoSpaceDE w:val="0"/>
              <w:autoSpaceDN w:val="0"/>
              <w:adjustRightInd w:val="0"/>
              <w:jc w:val="center"/>
              <w:rPr>
                <w:highlight w:val="yellow"/>
              </w:rPr>
            </w:pPr>
          </w:p>
        </w:tc>
      </w:tr>
      <w:tr w:rsidR="00B54D51" w:rsidRPr="00037AD4" w14:paraId="384492C6" w14:textId="77777777" w:rsidTr="00401C67">
        <w:trPr>
          <w:jc w:val="center"/>
        </w:trPr>
        <w:tc>
          <w:tcPr>
            <w:tcW w:w="1608" w:type="pct"/>
            <w:tcBorders>
              <w:top w:val="nil"/>
              <w:left w:val="nil"/>
              <w:bottom w:val="nil"/>
              <w:right w:val="nil"/>
            </w:tcBorders>
          </w:tcPr>
          <w:p w14:paraId="6765363A" w14:textId="77777777" w:rsidR="00B54D51" w:rsidRPr="00037AD4" w:rsidRDefault="00B54D51" w:rsidP="00401C67">
            <w:pPr>
              <w:widowControl w:val="0"/>
              <w:autoSpaceDE w:val="0"/>
              <w:autoSpaceDN w:val="0"/>
              <w:adjustRightInd w:val="0"/>
            </w:pPr>
          </w:p>
        </w:tc>
        <w:tc>
          <w:tcPr>
            <w:tcW w:w="695" w:type="pct"/>
            <w:tcBorders>
              <w:top w:val="nil"/>
              <w:left w:val="nil"/>
              <w:bottom w:val="nil"/>
              <w:right w:val="nil"/>
            </w:tcBorders>
          </w:tcPr>
          <w:p w14:paraId="30DE40E3" w14:textId="77777777" w:rsidR="00B54D51" w:rsidRPr="00037AD4" w:rsidRDefault="00B54D51" w:rsidP="00401C67">
            <w:pPr>
              <w:widowControl w:val="0"/>
              <w:autoSpaceDE w:val="0"/>
              <w:autoSpaceDN w:val="0"/>
              <w:adjustRightInd w:val="0"/>
              <w:jc w:val="center"/>
            </w:pPr>
            <w:r w:rsidRPr="00037AD4">
              <w:t>(-1.453 - 0.460)</w:t>
            </w:r>
          </w:p>
        </w:tc>
        <w:tc>
          <w:tcPr>
            <w:tcW w:w="695" w:type="pct"/>
            <w:tcBorders>
              <w:top w:val="nil"/>
              <w:left w:val="nil"/>
              <w:bottom w:val="nil"/>
              <w:right w:val="nil"/>
            </w:tcBorders>
          </w:tcPr>
          <w:p w14:paraId="596C1AEE" w14:textId="77777777" w:rsidR="00B54D51" w:rsidRPr="00037AD4" w:rsidRDefault="00B54D51" w:rsidP="00401C67">
            <w:pPr>
              <w:widowControl w:val="0"/>
              <w:autoSpaceDE w:val="0"/>
              <w:autoSpaceDN w:val="0"/>
              <w:adjustRightInd w:val="0"/>
              <w:jc w:val="center"/>
              <w:rPr>
                <w:highlight w:val="yellow"/>
              </w:rPr>
            </w:pPr>
          </w:p>
        </w:tc>
        <w:tc>
          <w:tcPr>
            <w:tcW w:w="696" w:type="pct"/>
            <w:tcBorders>
              <w:top w:val="nil"/>
              <w:left w:val="nil"/>
              <w:bottom w:val="nil"/>
              <w:right w:val="nil"/>
            </w:tcBorders>
          </w:tcPr>
          <w:p w14:paraId="23520DD4" w14:textId="77777777" w:rsidR="00B54D51" w:rsidRPr="00037AD4" w:rsidRDefault="00B54D51" w:rsidP="00401C67">
            <w:pPr>
              <w:widowControl w:val="0"/>
              <w:autoSpaceDE w:val="0"/>
              <w:autoSpaceDN w:val="0"/>
              <w:adjustRightInd w:val="0"/>
              <w:jc w:val="center"/>
              <w:rPr>
                <w:highlight w:val="yellow"/>
              </w:rPr>
            </w:pPr>
          </w:p>
        </w:tc>
        <w:tc>
          <w:tcPr>
            <w:tcW w:w="654" w:type="pct"/>
            <w:tcBorders>
              <w:top w:val="nil"/>
              <w:left w:val="nil"/>
              <w:bottom w:val="nil"/>
              <w:right w:val="nil"/>
            </w:tcBorders>
          </w:tcPr>
          <w:p w14:paraId="1DE9510A" w14:textId="77777777" w:rsidR="00B54D51" w:rsidRPr="00037AD4" w:rsidRDefault="00B54D51" w:rsidP="00401C67">
            <w:pPr>
              <w:widowControl w:val="0"/>
              <w:autoSpaceDE w:val="0"/>
              <w:autoSpaceDN w:val="0"/>
              <w:adjustRightInd w:val="0"/>
              <w:jc w:val="center"/>
              <w:rPr>
                <w:highlight w:val="yellow"/>
              </w:rPr>
            </w:pPr>
          </w:p>
        </w:tc>
        <w:tc>
          <w:tcPr>
            <w:tcW w:w="653" w:type="pct"/>
            <w:tcBorders>
              <w:top w:val="nil"/>
              <w:left w:val="nil"/>
              <w:bottom w:val="nil"/>
              <w:right w:val="nil"/>
            </w:tcBorders>
          </w:tcPr>
          <w:p w14:paraId="1AD6AA00" w14:textId="77777777" w:rsidR="00B54D51" w:rsidRPr="00037AD4" w:rsidRDefault="00B54D51" w:rsidP="00401C67">
            <w:pPr>
              <w:widowControl w:val="0"/>
              <w:autoSpaceDE w:val="0"/>
              <w:autoSpaceDN w:val="0"/>
              <w:adjustRightInd w:val="0"/>
              <w:jc w:val="center"/>
              <w:rPr>
                <w:highlight w:val="yellow"/>
              </w:rPr>
            </w:pPr>
          </w:p>
        </w:tc>
      </w:tr>
      <w:tr w:rsidR="00B54D51" w:rsidRPr="00037AD4" w14:paraId="05E6C292" w14:textId="77777777" w:rsidTr="00401C67">
        <w:trPr>
          <w:jc w:val="center"/>
        </w:trPr>
        <w:tc>
          <w:tcPr>
            <w:tcW w:w="1608" w:type="pct"/>
            <w:tcBorders>
              <w:top w:val="nil"/>
              <w:left w:val="nil"/>
              <w:bottom w:val="nil"/>
              <w:right w:val="nil"/>
            </w:tcBorders>
          </w:tcPr>
          <w:p w14:paraId="39BF886D" w14:textId="77777777" w:rsidR="00B54D51" w:rsidRPr="00037AD4" w:rsidRDefault="00B54D51" w:rsidP="00401C67">
            <w:pPr>
              <w:widowControl w:val="0"/>
              <w:autoSpaceDE w:val="0"/>
              <w:autoSpaceDN w:val="0"/>
              <w:adjustRightInd w:val="0"/>
            </w:pPr>
            <w:r w:rsidRPr="00037AD4">
              <w:t>MMSE_Total_</w:t>
            </w:r>
          </w:p>
        </w:tc>
        <w:tc>
          <w:tcPr>
            <w:tcW w:w="695" w:type="pct"/>
            <w:tcBorders>
              <w:top w:val="nil"/>
              <w:left w:val="nil"/>
              <w:bottom w:val="nil"/>
              <w:right w:val="nil"/>
            </w:tcBorders>
          </w:tcPr>
          <w:p w14:paraId="03E196EB" w14:textId="77777777" w:rsidR="00B54D51" w:rsidRPr="00037AD4" w:rsidRDefault="00B54D51" w:rsidP="00401C67">
            <w:pPr>
              <w:widowControl w:val="0"/>
              <w:autoSpaceDE w:val="0"/>
              <w:autoSpaceDN w:val="0"/>
              <w:adjustRightInd w:val="0"/>
              <w:jc w:val="center"/>
            </w:pPr>
            <w:r w:rsidRPr="00037AD4">
              <w:t>-0.011</w:t>
            </w:r>
          </w:p>
        </w:tc>
        <w:tc>
          <w:tcPr>
            <w:tcW w:w="695" w:type="pct"/>
            <w:tcBorders>
              <w:top w:val="nil"/>
              <w:left w:val="nil"/>
              <w:bottom w:val="nil"/>
              <w:right w:val="nil"/>
            </w:tcBorders>
          </w:tcPr>
          <w:p w14:paraId="00675645" w14:textId="77777777" w:rsidR="00B54D51" w:rsidRPr="00037AD4" w:rsidRDefault="00B54D51" w:rsidP="00401C67">
            <w:pPr>
              <w:widowControl w:val="0"/>
              <w:autoSpaceDE w:val="0"/>
              <w:autoSpaceDN w:val="0"/>
              <w:adjustRightInd w:val="0"/>
              <w:jc w:val="center"/>
              <w:rPr>
                <w:highlight w:val="yellow"/>
              </w:rPr>
            </w:pPr>
            <w:r w:rsidRPr="00037AD4">
              <w:t>-0.005</w:t>
            </w:r>
          </w:p>
        </w:tc>
        <w:tc>
          <w:tcPr>
            <w:tcW w:w="696" w:type="pct"/>
            <w:tcBorders>
              <w:top w:val="nil"/>
              <w:left w:val="nil"/>
              <w:bottom w:val="nil"/>
              <w:right w:val="nil"/>
            </w:tcBorders>
          </w:tcPr>
          <w:p w14:paraId="17653E94" w14:textId="77777777" w:rsidR="00B54D51" w:rsidRPr="00037AD4" w:rsidRDefault="00B54D51" w:rsidP="00401C67">
            <w:pPr>
              <w:widowControl w:val="0"/>
              <w:autoSpaceDE w:val="0"/>
              <w:autoSpaceDN w:val="0"/>
              <w:adjustRightInd w:val="0"/>
              <w:jc w:val="center"/>
              <w:rPr>
                <w:highlight w:val="yellow"/>
              </w:rPr>
            </w:pPr>
            <w:r w:rsidRPr="00037AD4">
              <w:t>-0.005</w:t>
            </w:r>
          </w:p>
        </w:tc>
        <w:tc>
          <w:tcPr>
            <w:tcW w:w="654" w:type="pct"/>
            <w:tcBorders>
              <w:top w:val="nil"/>
              <w:left w:val="nil"/>
              <w:bottom w:val="nil"/>
              <w:right w:val="nil"/>
            </w:tcBorders>
          </w:tcPr>
          <w:p w14:paraId="221E7F5F" w14:textId="77777777" w:rsidR="00B54D51" w:rsidRPr="00037AD4" w:rsidRDefault="00B54D51" w:rsidP="00401C67">
            <w:pPr>
              <w:widowControl w:val="0"/>
              <w:autoSpaceDE w:val="0"/>
              <w:autoSpaceDN w:val="0"/>
              <w:adjustRightInd w:val="0"/>
              <w:rPr>
                <w:highlight w:val="yellow"/>
              </w:rPr>
            </w:pPr>
            <w:r w:rsidRPr="00037AD4">
              <w:t>-0.005</w:t>
            </w:r>
          </w:p>
        </w:tc>
        <w:tc>
          <w:tcPr>
            <w:tcW w:w="653" w:type="pct"/>
            <w:tcBorders>
              <w:top w:val="nil"/>
              <w:left w:val="nil"/>
              <w:bottom w:val="nil"/>
              <w:right w:val="nil"/>
            </w:tcBorders>
          </w:tcPr>
          <w:p w14:paraId="07092BEC" w14:textId="77777777" w:rsidR="00B54D51" w:rsidRPr="00037AD4" w:rsidRDefault="00B54D51" w:rsidP="00401C67">
            <w:pPr>
              <w:widowControl w:val="0"/>
              <w:autoSpaceDE w:val="0"/>
              <w:autoSpaceDN w:val="0"/>
              <w:adjustRightInd w:val="0"/>
            </w:pPr>
          </w:p>
        </w:tc>
      </w:tr>
      <w:tr w:rsidR="00B54D51" w:rsidRPr="00037AD4" w14:paraId="15D9B906" w14:textId="77777777" w:rsidTr="00401C67">
        <w:trPr>
          <w:jc w:val="center"/>
        </w:trPr>
        <w:tc>
          <w:tcPr>
            <w:tcW w:w="1608" w:type="pct"/>
            <w:tcBorders>
              <w:top w:val="nil"/>
              <w:left w:val="nil"/>
              <w:bottom w:val="nil"/>
              <w:right w:val="nil"/>
            </w:tcBorders>
          </w:tcPr>
          <w:p w14:paraId="00C3199C" w14:textId="77777777" w:rsidR="00B54D51" w:rsidRPr="00037AD4" w:rsidRDefault="00B54D51" w:rsidP="00401C67">
            <w:pPr>
              <w:widowControl w:val="0"/>
              <w:autoSpaceDE w:val="0"/>
              <w:autoSpaceDN w:val="0"/>
              <w:adjustRightInd w:val="0"/>
            </w:pPr>
          </w:p>
        </w:tc>
        <w:tc>
          <w:tcPr>
            <w:tcW w:w="695" w:type="pct"/>
            <w:tcBorders>
              <w:top w:val="nil"/>
              <w:left w:val="nil"/>
              <w:bottom w:val="nil"/>
              <w:right w:val="nil"/>
            </w:tcBorders>
          </w:tcPr>
          <w:p w14:paraId="57BA1C7C" w14:textId="77777777" w:rsidR="00B54D51" w:rsidRPr="00037AD4" w:rsidRDefault="00B54D51" w:rsidP="00401C67">
            <w:pPr>
              <w:widowControl w:val="0"/>
              <w:autoSpaceDE w:val="0"/>
              <w:autoSpaceDN w:val="0"/>
              <w:adjustRightInd w:val="0"/>
              <w:jc w:val="center"/>
            </w:pPr>
            <w:r w:rsidRPr="00037AD4">
              <w:t>(-0.031 - 0.008)</w:t>
            </w:r>
          </w:p>
        </w:tc>
        <w:tc>
          <w:tcPr>
            <w:tcW w:w="695" w:type="pct"/>
            <w:tcBorders>
              <w:top w:val="nil"/>
              <w:left w:val="nil"/>
              <w:bottom w:val="nil"/>
              <w:right w:val="nil"/>
            </w:tcBorders>
          </w:tcPr>
          <w:p w14:paraId="19E39E56" w14:textId="77777777" w:rsidR="00B54D51" w:rsidRPr="00037AD4" w:rsidRDefault="00B54D51" w:rsidP="00401C67">
            <w:pPr>
              <w:widowControl w:val="0"/>
              <w:autoSpaceDE w:val="0"/>
              <w:autoSpaceDN w:val="0"/>
              <w:adjustRightInd w:val="0"/>
              <w:jc w:val="center"/>
              <w:rPr>
                <w:highlight w:val="yellow"/>
              </w:rPr>
            </w:pPr>
            <w:r w:rsidRPr="00037AD4">
              <w:t>(-0.021 - 0.012)</w:t>
            </w:r>
          </w:p>
        </w:tc>
        <w:tc>
          <w:tcPr>
            <w:tcW w:w="696" w:type="pct"/>
            <w:tcBorders>
              <w:top w:val="nil"/>
              <w:left w:val="nil"/>
              <w:bottom w:val="nil"/>
              <w:right w:val="nil"/>
            </w:tcBorders>
          </w:tcPr>
          <w:p w14:paraId="4C3E0DA7" w14:textId="77777777" w:rsidR="00B54D51" w:rsidRPr="00037AD4" w:rsidRDefault="00B54D51" w:rsidP="00401C67">
            <w:pPr>
              <w:widowControl w:val="0"/>
              <w:autoSpaceDE w:val="0"/>
              <w:autoSpaceDN w:val="0"/>
              <w:adjustRightInd w:val="0"/>
              <w:jc w:val="center"/>
              <w:rPr>
                <w:highlight w:val="yellow"/>
              </w:rPr>
            </w:pPr>
            <w:r w:rsidRPr="00037AD4">
              <w:t>(-0.021 - 0.011)</w:t>
            </w:r>
          </w:p>
        </w:tc>
        <w:tc>
          <w:tcPr>
            <w:tcW w:w="654" w:type="pct"/>
            <w:tcBorders>
              <w:top w:val="nil"/>
              <w:left w:val="nil"/>
              <w:bottom w:val="nil"/>
              <w:right w:val="nil"/>
            </w:tcBorders>
          </w:tcPr>
          <w:p w14:paraId="039E934B" w14:textId="77777777" w:rsidR="00B54D51" w:rsidRPr="00037AD4" w:rsidRDefault="00B54D51" w:rsidP="00401C67">
            <w:pPr>
              <w:widowControl w:val="0"/>
              <w:autoSpaceDE w:val="0"/>
              <w:autoSpaceDN w:val="0"/>
              <w:adjustRightInd w:val="0"/>
              <w:rPr>
                <w:highlight w:val="yellow"/>
              </w:rPr>
            </w:pPr>
            <w:r w:rsidRPr="00037AD4">
              <w:t>(-0.021 - 0.011)</w:t>
            </w:r>
          </w:p>
        </w:tc>
        <w:tc>
          <w:tcPr>
            <w:tcW w:w="653" w:type="pct"/>
            <w:tcBorders>
              <w:top w:val="nil"/>
              <w:left w:val="nil"/>
              <w:bottom w:val="nil"/>
              <w:right w:val="nil"/>
            </w:tcBorders>
          </w:tcPr>
          <w:p w14:paraId="75854CA1" w14:textId="77777777" w:rsidR="00B54D51" w:rsidRPr="00037AD4" w:rsidRDefault="00B54D51" w:rsidP="00401C67">
            <w:pPr>
              <w:widowControl w:val="0"/>
              <w:autoSpaceDE w:val="0"/>
              <w:autoSpaceDN w:val="0"/>
              <w:adjustRightInd w:val="0"/>
            </w:pPr>
          </w:p>
        </w:tc>
      </w:tr>
      <w:tr w:rsidR="00B54D51" w:rsidRPr="00037AD4" w14:paraId="1FB0AE01" w14:textId="77777777" w:rsidTr="00401C67">
        <w:trPr>
          <w:jc w:val="center"/>
        </w:trPr>
        <w:tc>
          <w:tcPr>
            <w:tcW w:w="1608" w:type="pct"/>
            <w:tcBorders>
              <w:top w:val="nil"/>
              <w:left w:val="nil"/>
              <w:bottom w:val="nil"/>
              <w:right w:val="nil"/>
            </w:tcBorders>
          </w:tcPr>
          <w:p w14:paraId="5C9BCA75" w14:textId="77777777" w:rsidR="00B54D51" w:rsidRPr="00037AD4" w:rsidRDefault="00B54D51" w:rsidP="00401C67">
            <w:pPr>
              <w:widowControl w:val="0"/>
              <w:autoSpaceDE w:val="0"/>
              <w:autoSpaceDN w:val="0"/>
              <w:adjustRightInd w:val="0"/>
            </w:pPr>
            <w:r w:rsidRPr="00037AD4">
              <w:t>NPI_</w:t>
            </w:r>
          </w:p>
        </w:tc>
        <w:tc>
          <w:tcPr>
            <w:tcW w:w="695" w:type="pct"/>
            <w:tcBorders>
              <w:top w:val="nil"/>
              <w:left w:val="nil"/>
              <w:bottom w:val="nil"/>
              <w:right w:val="nil"/>
            </w:tcBorders>
          </w:tcPr>
          <w:p w14:paraId="5FB2DBF2" w14:textId="77777777" w:rsidR="00B54D51" w:rsidRPr="00037AD4" w:rsidRDefault="00B54D51" w:rsidP="00401C67">
            <w:pPr>
              <w:widowControl w:val="0"/>
              <w:autoSpaceDE w:val="0"/>
              <w:autoSpaceDN w:val="0"/>
              <w:adjustRightInd w:val="0"/>
              <w:jc w:val="center"/>
            </w:pPr>
            <w:r w:rsidRPr="00037AD4">
              <w:t>-0.006**</w:t>
            </w:r>
          </w:p>
        </w:tc>
        <w:tc>
          <w:tcPr>
            <w:tcW w:w="695" w:type="pct"/>
            <w:tcBorders>
              <w:top w:val="nil"/>
              <w:left w:val="nil"/>
              <w:bottom w:val="nil"/>
              <w:right w:val="nil"/>
            </w:tcBorders>
          </w:tcPr>
          <w:p w14:paraId="6BACACE7" w14:textId="77777777" w:rsidR="00B54D51" w:rsidRPr="00037AD4" w:rsidRDefault="00B54D51" w:rsidP="00401C67">
            <w:pPr>
              <w:widowControl w:val="0"/>
              <w:autoSpaceDE w:val="0"/>
              <w:autoSpaceDN w:val="0"/>
              <w:adjustRightInd w:val="0"/>
              <w:jc w:val="center"/>
              <w:rPr>
                <w:highlight w:val="yellow"/>
              </w:rPr>
            </w:pPr>
            <w:r w:rsidRPr="00037AD4">
              <w:t>-0.001</w:t>
            </w:r>
          </w:p>
        </w:tc>
        <w:tc>
          <w:tcPr>
            <w:tcW w:w="696" w:type="pct"/>
            <w:tcBorders>
              <w:top w:val="nil"/>
              <w:left w:val="nil"/>
              <w:bottom w:val="nil"/>
              <w:right w:val="nil"/>
            </w:tcBorders>
          </w:tcPr>
          <w:p w14:paraId="5A71F986" w14:textId="77777777" w:rsidR="00B54D51" w:rsidRPr="00037AD4" w:rsidRDefault="00B54D51" w:rsidP="00401C67">
            <w:pPr>
              <w:widowControl w:val="0"/>
              <w:autoSpaceDE w:val="0"/>
              <w:autoSpaceDN w:val="0"/>
              <w:adjustRightInd w:val="0"/>
              <w:jc w:val="center"/>
              <w:rPr>
                <w:highlight w:val="yellow"/>
              </w:rPr>
            </w:pPr>
            <w:r w:rsidRPr="00037AD4">
              <w:t>-0.001</w:t>
            </w:r>
          </w:p>
        </w:tc>
        <w:tc>
          <w:tcPr>
            <w:tcW w:w="654" w:type="pct"/>
            <w:tcBorders>
              <w:top w:val="nil"/>
              <w:left w:val="nil"/>
              <w:bottom w:val="nil"/>
              <w:right w:val="nil"/>
            </w:tcBorders>
          </w:tcPr>
          <w:p w14:paraId="617E8130" w14:textId="77777777" w:rsidR="00B54D51" w:rsidRPr="00037AD4" w:rsidRDefault="00B54D51" w:rsidP="00401C67">
            <w:pPr>
              <w:widowControl w:val="0"/>
              <w:autoSpaceDE w:val="0"/>
              <w:autoSpaceDN w:val="0"/>
              <w:adjustRightInd w:val="0"/>
              <w:rPr>
                <w:highlight w:val="yellow"/>
              </w:rPr>
            </w:pPr>
            <w:r w:rsidRPr="00037AD4">
              <w:t>-0.001</w:t>
            </w:r>
          </w:p>
        </w:tc>
        <w:tc>
          <w:tcPr>
            <w:tcW w:w="653" w:type="pct"/>
            <w:tcBorders>
              <w:top w:val="nil"/>
              <w:left w:val="nil"/>
              <w:bottom w:val="nil"/>
              <w:right w:val="nil"/>
            </w:tcBorders>
          </w:tcPr>
          <w:p w14:paraId="4D2F03C6" w14:textId="77777777" w:rsidR="00B54D51" w:rsidRPr="00037AD4" w:rsidRDefault="00B54D51" w:rsidP="00401C67">
            <w:pPr>
              <w:widowControl w:val="0"/>
              <w:autoSpaceDE w:val="0"/>
              <w:autoSpaceDN w:val="0"/>
              <w:adjustRightInd w:val="0"/>
            </w:pPr>
            <w:r w:rsidRPr="00037AD4">
              <w:t>-0.001</w:t>
            </w:r>
          </w:p>
        </w:tc>
      </w:tr>
      <w:tr w:rsidR="00B54D51" w:rsidRPr="00037AD4" w14:paraId="5A019106" w14:textId="77777777" w:rsidTr="00401C67">
        <w:trPr>
          <w:jc w:val="center"/>
        </w:trPr>
        <w:tc>
          <w:tcPr>
            <w:tcW w:w="1608" w:type="pct"/>
            <w:tcBorders>
              <w:top w:val="nil"/>
              <w:left w:val="nil"/>
              <w:bottom w:val="nil"/>
              <w:right w:val="nil"/>
            </w:tcBorders>
          </w:tcPr>
          <w:p w14:paraId="5810257E" w14:textId="77777777" w:rsidR="00B54D51" w:rsidRPr="00037AD4" w:rsidRDefault="00B54D51" w:rsidP="00401C67">
            <w:pPr>
              <w:widowControl w:val="0"/>
              <w:autoSpaceDE w:val="0"/>
              <w:autoSpaceDN w:val="0"/>
              <w:adjustRightInd w:val="0"/>
            </w:pPr>
          </w:p>
        </w:tc>
        <w:tc>
          <w:tcPr>
            <w:tcW w:w="695" w:type="pct"/>
            <w:tcBorders>
              <w:top w:val="nil"/>
              <w:left w:val="nil"/>
              <w:bottom w:val="nil"/>
              <w:right w:val="nil"/>
            </w:tcBorders>
          </w:tcPr>
          <w:p w14:paraId="7E7B3766" w14:textId="77777777" w:rsidR="00B54D51" w:rsidRPr="00037AD4" w:rsidRDefault="00B54D51" w:rsidP="00401C67">
            <w:pPr>
              <w:widowControl w:val="0"/>
              <w:autoSpaceDE w:val="0"/>
              <w:autoSpaceDN w:val="0"/>
              <w:adjustRightInd w:val="0"/>
              <w:jc w:val="center"/>
            </w:pPr>
            <w:r w:rsidRPr="00037AD4">
              <w:t>(-0.011 - -0.001)</w:t>
            </w:r>
          </w:p>
        </w:tc>
        <w:tc>
          <w:tcPr>
            <w:tcW w:w="695" w:type="pct"/>
            <w:tcBorders>
              <w:top w:val="nil"/>
              <w:left w:val="nil"/>
              <w:bottom w:val="nil"/>
              <w:right w:val="nil"/>
            </w:tcBorders>
          </w:tcPr>
          <w:p w14:paraId="58094215" w14:textId="77777777" w:rsidR="00B54D51" w:rsidRPr="00037AD4" w:rsidRDefault="00B54D51" w:rsidP="00401C67">
            <w:pPr>
              <w:widowControl w:val="0"/>
              <w:autoSpaceDE w:val="0"/>
              <w:autoSpaceDN w:val="0"/>
              <w:adjustRightInd w:val="0"/>
              <w:jc w:val="center"/>
              <w:rPr>
                <w:highlight w:val="yellow"/>
              </w:rPr>
            </w:pPr>
            <w:r w:rsidRPr="00037AD4">
              <w:t>(-0.005 - 0.003)</w:t>
            </w:r>
          </w:p>
        </w:tc>
        <w:tc>
          <w:tcPr>
            <w:tcW w:w="696" w:type="pct"/>
            <w:tcBorders>
              <w:top w:val="nil"/>
              <w:left w:val="nil"/>
              <w:bottom w:val="nil"/>
              <w:right w:val="nil"/>
            </w:tcBorders>
          </w:tcPr>
          <w:p w14:paraId="76390D8C" w14:textId="77777777" w:rsidR="00B54D51" w:rsidRPr="00037AD4" w:rsidRDefault="00B54D51" w:rsidP="00401C67">
            <w:pPr>
              <w:widowControl w:val="0"/>
              <w:autoSpaceDE w:val="0"/>
              <w:autoSpaceDN w:val="0"/>
              <w:adjustRightInd w:val="0"/>
              <w:jc w:val="center"/>
              <w:rPr>
                <w:highlight w:val="yellow"/>
              </w:rPr>
            </w:pPr>
            <w:r w:rsidRPr="00037AD4">
              <w:t>(-0.005 - 0.003)</w:t>
            </w:r>
          </w:p>
        </w:tc>
        <w:tc>
          <w:tcPr>
            <w:tcW w:w="654" w:type="pct"/>
            <w:tcBorders>
              <w:top w:val="nil"/>
              <w:left w:val="nil"/>
              <w:bottom w:val="nil"/>
              <w:right w:val="nil"/>
            </w:tcBorders>
          </w:tcPr>
          <w:p w14:paraId="05C99F9C" w14:textId="77777777" w:rsidR="00B54D51" w:rsidRPr="00037AD4" w:rsidRDefault="00B54D51" w:rsidP="00401C67">
            <w:pPr>
              <w:widowControl w:val="0"/>
              <w:autoSpaceDE w:val="0"/>
              <w:autoSpaceDN w:val="0"/>
              <w:adjustRightInd w:val="0"/>
              <w:rPr>
                <w:highlight w:val="yellow"/>
              </w:rPr>
            </w:pPr>
            <w:r w:rsidRPr="00037AD4">
              <w:t>(-0.006 - 0.003)</w:t>
            </w:r>
          </w:p>
        </w:tc>
        <w:tc>
          <w:tcPr>
            <w:tcW w:w="653" w:type="pct"/>
            <w:tcBorders>
              <w:top w:val="nil"/>
              <w:left w:val="nil"/>
              <w:bottom w:val="nil"/>
              <w:right w:val="nil"/>
            </w:tcBorders>
          </w:tcPr>
          <w:p w14:paraId="22FCDEF1" w14:textId="77777777" w:rsidR="00B54D51" w:rsidRPr="00037AD4" w:rsidRDefault="00B54D51" w:rsidP="00401C67">
            <w:pPr>
              <w:widowControl w:val="0"/>
              <w:autoSpaceDE w:val="0"/>
              <w:autoSpaceDN w:val="0"/>
              <w:adjustRightInd w:val="0"/>
            </w:pPr>
            <w:r w:rsidRPr="00037AD4">
              <w:t>(-0.005 - 0.003)</w:t>
            </w:r>
          </w:p>
        </w:tc>
      </w:tr>
      <w:tr w:rsidR="00B54D51" w:rsidRPr="00037AD4" w14:paraId="2FC36C73" w14:textId="77777777" w:rsidTr="00401C67">
        <w:trPr>
          <w:jc w:val="center"/>
        </w:trPr>
        <w:tc>
          <w:tcPr>
            <w:tcW w:w="1608" w:type="pct"/>
            <w:tcBorders>
              <w:top w:val="nil"/>
              <w:left w:val="nil"/>
              <w:bottom w:val="nil"/>
              <w:right w:val="nil"/>
            </w:tcBorders>
          </w:tcPr>
          <w:p w14:paraId="09258C58" w14:textId="77777777" w:rsidR="00B54D51" w:rsidRPr="00037AD4" w:rsidRDefault="00B54D51" w:rsidP="00401C67">
            <w:pPr>
              <w:widowControl w:val="0"/>
              <w:autoSpaceDE w:val="0"/>
              <w:autoSpaceDN w:val="0"/>
              <w:adjustRightInd w:val="0"/>
            </w:pPr>
            <w:r w:rsidRPr="00037AD4">
              <w:t>IADL_</w:t>
            </w:r>
          </w:p>
        </w:tc>
        <w:tc>
          <w:tcPr>
            <w:tcW w:w="695" w:type="pct"/>
            <w:tcBorders>
              <w:top w:val="nil"/>
              <w:left w:val="nil"/>
              <w:bottom w:val="nil"/>
              <w:right w:val="nil"/>
            </w:tcBorders>
          </w:tcPr>
          <w:p w14:paraId="0085B46F" w14:textId="77777777" w:rsidR="00B54D51" w:rsidRPr="00037AD4" w:rsidRDefault="00B54D51" w:rsidP="00401C67">
            <w:pPr>
              <w:widowControl w:val="0"/>
              <w:autoSpaceDE w:val="0"/>
              <w:autoSpaceDN w:val="0"/>
              <w:adjustRightInd w:val="0"/>
              <w:jc w:val="center"/>
            </w:pPr>
            <w:r w:rsidRPr="00037AD4">
              <w:t>0.016</w:t>
            </w:r>
          </w:p>
        </w:tc>
        <w:tc>
          <w:tcPr>
            <w:tcW w:w="695" w:type="pct"/>
            <w:tcBorders>
              <w:top w:val="nil"/>
              <w:left w:val="nil"/>
              <w:bottom w:val="nil"/>
              <w:right w:val="nil"/>
            </w:tcBorders>
          </w:tcPr>
          <w:p w14:paraId="2467BD19" w14:textId="77777777" w:rsidR="00B54D51" w:rsidRPr="00037AD4" w:rsidRDefault="00B54D51" w:rsidP="00401C67">
            <w:pPr>
              <w:widowControl w:val="0"/>
              <w:autoSpaceDE w:val="0"/>
              <w:autoSpaceDN w:val="0"/>
              <w:adjustRightInd w:val="0"/>
              <w:jc w:val="center"/>
              <w:rPr>
                <w:highlight w:val="yellow"/>
              </w:rPr>
            </w:pPr>
          </w:p>
        </w:tc>
        <w:tc>
          <w:tcPr>
            <w:tcW w:w="696" w:type="pct"/>
            <w:tcBorders>
              <w:top w:val="nil"/>
              <w:left w:val="nil"/>
              <w:bottom w:val="nil"/>
              <w:right w:val="nil"/>
            </w:tcBorders>
          </w:tcPr>
          <w:p w14:paraId="3ACE3975" w14:textId="77777777" w:rsidR="00B54D51" w:rsidRPr="00037AD4" w:rsidRDefault="00B54D51" w:rsidP="00401C67">
            <w:pPr>
              <w:widowControl w:val="0"/>
              <w:autoSpaceDE w:val="0"/>
              <w:autoSpaceDN w:val="0"/>
              <w:adjustRightInd w:val="0"/>
              <w:jc w:val="center"/>
              <w:rPr>
                <w:highlight w:val="yellow"/>
              </w:rPr>
            </w:pPr>
          </w:p>
        </w:tc>
        <w:tc>
          <w:tcPr>
            <w:tcW w:w="654" w:type="pct"/>
            <w:tcBorders>
              <w:top w:val="nil"/>
              <w:left w:val="nil"/>
              <w:bottom w:val="nil"/>
              <w:right w:val="nil"/>
            </w:tcBorders>
          </w:tcPr>
          <w:p w14:paraId="147F0686" w14:textId="77777777" w:rsidR="00B54D51" w:rsidRPr="00037AD4" w:rsidRDefault="00B54D51" w:rsidP="00401C67">
            <w:pPr>
              <w:widowControl w:val="0"/>
              <w:autoSpaceDE w:val="0"/>
              <w:autoSpaceDN w:val="0"/>
              <w:adjustRightInd w:val="0"/>
              <w:jc w:val="center"/>
              <w:rPr>
                <w:highlight w:val="yellow"/>
              </w:rPr>
            </w:pPr>
          </w:p>
        </w:tc>
        <w:tc>
          <w:tcPr>
            <w:tcW w:w="653" w:type="pct"/>
            <w:tcBorders>
              <w:top w:val="nil"/>
              <w:left w:val="nil"/>
              <w:bottom w:val="nil"/>
              <w:right w:val="nil"/>
            </w:tcBorders>
          </w:tcPr>
          <w:p w14:paraId="682A09B6" w14:textId="77777777" w:rsidR="00B54D51" w:rsidRPr="00037AD4" w:rsidRDefault="00B54D51" w:rsidP="00401C67">
            <w:pPr>
              <w:widowControl w:val="0"/>
              <w:autoSpaceDE w:val="0"/>
              <w:autoSpaceDN w:val="0"/>
              <w:adjustRightInd w:val="0"/>
              <w:jc w:val="center"/>
              <w:rPr>
                <w:highlight w:val="yellow"/>
              </w:rPr>
            </w:pPr>
          </w:p>
        </w:tc>
      </w:tr>
      <w:tr w:rsidR="00B54D51" w:rsidRPr="00037AD4" w14:paraId="215F742F" w14:textId="77777777" w:rsidTr="00401C67">
        <w:trPr>
          <w:jc w:val="center"/>
        </w:trPr>
        <w:tc>
          <w:tcPr>
            <w:tcW w:w="1608" w:type="pct"/>
            <w:tcBorders>
              <w:top w:val="nil"/>
              <w:left w:val="nil"/>
              <w:bottom w:val="nil"/>
              <w:right w:val="nil"/>
            </w:tcBorders>
          </w:tcPr>
          <w:p w14:paraId="77244FBD" w14:textId="77777777" w:rsidR="00B54D51" w:rsidRPr="00037AD4" w:rsidRDefault="00B54D51" w:rsidP="00401C67">
            <w:pPr>
              <w:widowControl w:val="0"/>
              <w:autoSpaceDE w:val="0"/>
              <w:autoSpaceDN w:val="0"/>
              <w:adjustRightInd w:val="0"/>
            </w:pPr>
          </w:p>
        </w:tc>
        <w:tc>
          <w:tcPr>
            <w:tcW w:w="695" w:type="pct"/>
            <w:tcBorders>
              <w:top w:val="nil"/>
              <w:left w:val="nil"/>
              <w:bottom w:val="nil"/>
              <w:right w:val="nil"/>
            </w:tcBorders>
          </w:tcPr>
          <w:p w14:paraId="47140F4E" w14:textId="77777777" w:rsidR="00B54D51" w:rsidRPr="00037AD4" w:rsidRDefault="00B54D51" w:rsidP="00401C67">
            <w:pPr>
              <w:widowControl w:val="0"/>
              <w:autoSpaceDE w:val="0"/>
              <w:autoSpaceDN w:val="0"/>
              <w:adjustRightInd w:val="0"/>
              <w:jc w:val="center"/>
            </w:pPr>
            <w:r w:rsidRPr="00037AD4">
              <w:t>(-0.048 - 0.080)</w:t>
            </w:r>
          </w:p>
        </w:tc>
        <w:tc>
          <w:tcPr>
            <w:tcW w:w="695" w:type="pct"/>
            <w:tcBorders>
              <w:top w:val="nil"/>
              <w:left w:val="nil"/>
              <w:bottom w:val="nil"/>
              <w:right w:val="nil"/>
            </w:tcBorders>
          </w:tcPr>
          <w:p w14:paraId="679BF0BC" w14:textId="77777777" w:rsidR="00B54D51" w:rsidRPr="00037AD4" w:rsidRDefault="00B54D51" w:rsidP="00401C67">
            <w:pPr>
              <w:widowControl w:val="0"/>
              <w:autoSpaceDE w:val="0"/>
              <w:autoSpaceDN w:val="0"/>
              <w:adjustRightInd w:val="0"/>
              <w:jc w:val="center"/>
              <w:rPr>
                <w:highlight w:val="yellow"/>
              </w:rPr>
            </w:pPr>
          </w:p>
        </w:tc>
        <w:tc>
          <w:tcPr>
            <w:tcW w:w="696" w:type="pct"/>
            <w:tcBorders>
              <w:top w:val="nil"/>
              <w:left w:val="nil"/>
              <w:bottom w:val="nil"/>
              <w:right w:val="nil"/>
            </w:tcBorders>
          </w:tcPr>
          <w:p w14:paraId="646F4E7C" w14:textId="77777777" w:rsidR="00B54D51" w:rsidRPr="00037AD4" w:rsidRDefault="00B54D51" w:rsidP="00401C67">
            <w:pPr>
              <w:widowControl w:val="0"/>
              <w:autoSpaceDE w:val="0"/>
              <w:autoSpaceDN w:val="0"/>
              <w:adjustRightInd w:val="0"/>
              <w:jc w:val="center"/>
              <w:rPr>
                <w:highlight w:val="yellow"/>
              </w:rPr>
            </w:pPr>
          </w:p>
        </w:tc>
        <w:tc>
          <w:tcPr>
            <w:tcW w:w="654" w:type="pct"/>
            <w:tcBorders>
              <w:top w:val="nil"/>
              <w:left w:val="nil"/>
              <w:bottom w:val="nil"/>
              <w:right w:val="nil"/>
            </w:tcBorders>
          </w:tcPr>
          <w:p w14:paraId="1D22E45C" w14:textId="77777777" w:rsidR="00B54D51" w:rsidRPr="00037AD4" w:rsidRDefault="00B54D51" w:rsidP="00401C67">
            <w:pPr>
              <w:widowControl w:val="0"/>
              <w:autoSpaceDE w:val="0"/>
              <w:autoSpaceDN w:val="0"/>
              <w:adjustRightInd w:val="0"/>
              <w:jc w:val="center"/>
              <w:rPr>
                <w:highlight w:val="yellow"/>
              </w:rPr>
            </w:pPr>
          </w:p>
        </w:tc>
        <w:tc>
          <w:tcPr>
            <w:tcW w:w="653" w:type="pct"/>
            <w:tcBorders>
              <w:top w:val="nil"/>
              <w:left w:val="nil"/>
              <w:bottom w:val="nil"/>
              <w:right w:val="nil"/>
            </w:tcBorders>
          </w:tcPr>
          <w:p w14:paraId="5E9F53D1" w14:textId="77777777" w:rsidR="00B54D51" w:rsidRPr="00037AD4" w:rsidRDefault="00B54D51" w:rsidP="00401C67">
            <w:pPr>
              <w:widowControl w:val="0"/>
              <w:autoSpaceDE w:val="0"/>
              <w:autoSpaceDN w:val="0"/>
              <w:adjustRightInd w:val="0"/>
              <w:jc w:val="center"/>
              <w:rPr>
                <w:highlight w:val="yellow"/>
              </w:rPr>
            </w:pPr>
          </w:p>
        </w:tc>
      </w:tr>
      <w:tr w:rsidR="00B54D51" w:rsidRPr="00037AD4" w14:paraId="0C9BB731" w14:textId="77777777" w:rsidTr="00401C67">
        <w:trPr>
          <w:jc w:val="center"/>
        </w:trPr>
        <w:tc>
          <w:tcPr>
            <w:tcW w:w="1608" w:type="pct"/>
            <w:tcBorders>
              <w:top w:val="nil"/>
              <w:left w:val="nil"/>
              <w:bottom w:val="nil"/>
              <w:right w:val="nil"/>
            </w:tcBorders>
          </w:tcPr>
          <w:p w14:paraId="65F90132" w14:textId="77777777" w:rsidR="00B54D51" w:rsidRPr="00037AD4" w:rsidRDefault="00B54D51" w:rsidP="00401C67">
            <w:pPr>
              <w:widowControl w:val="0"/>
              <w:autoSpaceDE w:val="0"/>
              <w:autoSpaceDN w:val="0"/>
              <w:adjustRightInd w:val="0"/>
            </w:pPr>
            <w:r w:rsidRPr="00037AD4">
              <w:t>PSMS_</w:t>
            </w:r>
          </w:p>
        </w:tc>
        <w:tc>
          <w:tcPr>
            <w:tcW w:w="695" w:type="pct"/>
            <w:tcBorders>
              <w:top w:val="nil"/>
              <w:left w:val="nil"/>
              <w:bottom w:val="nil"/>
              <w:right w:val="nil"/>
            </w:tcBorders>
          </w:tcPr>
          <w:p w14:paraId="1CAFB801" w14:textId="77777777" w:rsidR="00B54D51" w:rsidRPr="00037AD4" w:rsidRDefault="00B54D51" w:rsidP="00401C67">
            <w:pPr>
              <w:widowControl w:val="0"/>
              <w:autoSpaceDE w:val="0"/>
              <w:autoSpaceDN w:val="0"/>
              <w:adjustRightInd w:val="0"/>
              <w:jc w:val="center"/>
            </w:pPr>
            <w:r w:rsidRPr="00037AD4">
              <w:t>-0.030</w:t>
            </w:r>
          </w:p>
        </w:tc>
        <w:tc>
          <w:tcPr>
            <w:tcW w:w="695" w:type="pct"/>
            <w:tcBorders>
              <w:top w:val="nil"/>
              <w:left w:val="nil"/>
              <w:bottom w:val="nil"/>
              <w:right w:val="nil"/>
            </w:tcBorders>
          </w:tcPr>
          <w:p w14:paraId="1C32B3DD" w14:textId="77777777" w:rsidR="00B54D51" w:rsidRPr="00037AD4" w:rsidRDefault="00B54D51" w:rsidP="00401C67">
            <w:pPr>
              <w:widowControl w:val="0"/>
              <w:autoSpaceDE w:val="0"/>
              <w:autoSpaceDN w:val="0"/>
              <w:adjustRightInd w:val="0"/>
              <w:jc w:val="center"/>
              <w:rPr>
                <w:highlight w:val="yellow"/>
              </w:rPr>
            </w:pPr>
          </w:p>
        </w:tc>
        <w:tc>
          <w:tcPr>
            <w:tcW w:w="696" w:type="pct"/>
            <w:tcBorders>
              <w:top w:val="nil"/>
              <w:left w:val="nil"/>
              <w:bottom w:val="nil"/>
              <w:right w:val="nil"/>
            </w:tcBorders>
          </w:tcPr>
          <w:p w14:paraId="602AF349" w14:textId="77777777" w:rsidR="00B54D51" w:rsidRPr="00037AD4" w:rsidRDefault="00B54D51" w:rsidP="00401C67">
            <w:pPr>
              <w:widowControl w:val="0"/>
              <w:autoSpaceDE w:val="0"/>
              <w:autoSpaceDN w:val="0"/>
              <w:adjustRightInd w:val="0"/>
              <w:jc w:val="center"/>
              <w:rPr>
                <w:highlight w:val="yellow"/>
              </w:rPr>
            </w:pPr>
          </w:p>
        </w:tc>
        <w:tc>
          <w:tcPr>
            <w:tcW w:w="654" w:type="pct"/>
            <w:tcBorders>
              <w:top w:val="nil"/>
              <w:left w:val="nil"/>
              <w:bottom w:val="nil"/>
              <w:right w:val="nil"/>
            </w:tcBorders>
          </w:tcPr>
          <w:p w14:paraId="6AC414BA" w14:textId="77777777" w:rsidR="00B54D51" w:rsidRPr="00037AD4" w:rsidRDefault="00B54D51" w:rsidP="00401C67">
            <w:pPr>
              <w:widowControl w:val="0"/>
              <w:autoSpaceDE w:val="0"/>
              <w:autoSpaceDN w:val="0"/>
              <w:adjustRightInd w:val="0"/>
              <w:jc w:val="center"/>
              <w:rPr>
                <w:highlight w:val="yellow"/>
              </w:rPr>
            </w:pPr>
          </w:p>
        </w:tc>
        <w:tc>
          <w:tcPr>
            <w:tcW w:w="653" w:type="pct"/>
            <w:tcBorders>
              <w:top w:val="nil"/>
              <w:left w:val="nil"/>
              <w:bottom w:val="nil"/>
              <w:right w:val="nil"/>
            </w:tcBorders>
          </w:tcPr>
          <w:p w14:paraId="7F5C2245" w14:textId="77777777" w:rsidR="00B54D51" w:rsidRPr="00037AD4" w:rsidRDefault="00B54D51" w:rsidP="00401C67">
            <w:pPr>
              <w:widowControl w:val="0"/>
              <w:autoSpaceDE w:val="0"/>
              <w:autoSpaceDN w:val="0"/>
              <w:adjustRightInd w:val="0"/>
              <w:jc w:val="center"/>
              <w:rPr>
                <w:highlight w:val="yellow"/>
              </w:rPr>
            </w:pPr>
          </w:p>
        </w:tc>
      </w:tr>
      <w:tr w:rsidR="00B54D51" w:rsidRPr="00037AD4" w14:paraId="3DE9E04D" w14:textId="77777777" w:rsidTr="00401C67">
        <w:trPr>
          <w:jc w:val="center"/>
        </w:trPr>
        <w:tc>
          <w:tcPr>
            <w:tcW w:w="1608" w:type="pct"/>
            <w:tcBorders>
              <w:top w:val="nil"/>
              <w:left w:val="nil"/>
              <w:bottom w:val="nil"/>
              <w:right w:val="nil"/>
            </w:tcBorders>
          </w:tcPr>
          <w:p w14:paraId="4CCF8BAC" w14:textId="77777777" w:rsidR="00B54D51" w:rsidRPr="00037AD4" w:rsidRDefault="00B54D51" w:rsidP="00401C67">
            <w:pPr>
              <w:widowControl w:val="0"/>
              <w:autoSpaceDE w:val="0"/>
              <w:autoSpaceDN w:val="0"/>
              <w:adjustRightInd w:val="0"/>
            </w:pPr>
          </w:p>
        </w:tc>
        <w:tc>
          <w:tcPr>
            <w:tcW w:w="695" w:type="pct"/>
            <w:tcBorders>
              <w:top w:val="nil"/>
              <w:left w:val="nil"/>
              <w:bottom w:val="nil"/>
              <w:right w:val="nil"/>
            </w:tcBorders>
          </w:tcPr>
          <w:p w14:paraId="512E1A27" w14:textId="77777777" w:rsidR="00B54D51" w:rsidRPr="00037AD4" w:rsidRDefault="00B54D51" w:rsidP="00401C67">
            <w:pPr>
              <w:widowControl w:val="0"/>
              <w:autoSpaceDE w:val="0"/>
              <w:autoSpaceDN w:val="0"/>
              <w:adjustRightInd w:val="0"/>
              <w:jc w:val="center"/>
            </w:pPr>
            <w:r w:rsidRPr="00037AD4">
              <w:t>(-0.108 - 0.049)</w:t>
            </w:r>
          </w:p>
        </w:tc>
        <w:tc>
          <w:tcPr>
            <w:tcW w:w="695" w:type="pct"/>
            <w:tcBorders>
              <w:top w:val="nil"/>
              <w:left w:val="nil"/>
              <w:bottom w:val="nil"/>
              <w:right w:val="nil"/>
            </w:tcBorders>
          </w:tcPr>
          <w:p w14:paraId="70AE2DBF" w14:textId="77777777" w:rsidR="00B54D51" w:rsidRPr="00037AD4" w:rsidRDefault="00B54D51" w:rsidP="00401C67">
            <w:pPr>
              <w:widowControl w:val="0"/>
              <w:autoSpaceDE w:val="0"/>
              <w:autoSpaceDN w:val="0"/>
              <w:adjustRightInd w:val="0"/>
              <w:jc w:val="center"/>
              <w:rPr>
                <w:highlight w:val="yellow"/>
              </w:rPr>
            </w:pPr>
          </w:p>
        </w:tc>
        <w:tc>
          <w:tcPr>
            <w:tcW w:w="696" w:type="pct"/>
            <w:tcBorders>
              <w:top w:val="nil"/>
              <w:left w:val="nil"/>
              <w:bottom w:val="nil"/>
              <w:right w:val="nil"/>
            </w:tcBorders>
          </w:tcPr>
          <w:p w14:paraId="651DE196" w14:textId="77777777" w:rsidR="00B54D51" w:rsidRPr="00037AD4" w:rsidRDefault="00B54D51" w:rsidP="00401C67">
            <w:pPr>
              <w:widowControl w:val="0"/>
              <w:autoSpaceDE w:val="0"/>
              <w:autoSpaceDN w:val="0"/>
              <w:adjustRightInd w:val="0"/>
              <w:jc w:val="center"/>
              <w:rPr>
                <w:highlight w:val="yellow"/>
              </w:rPr>
            </w:pPr>
          </w:p>
        </w:tc>
        <w:tc>
          <w:tcPr>
            <w:tcW w:w="654" w:type="pct"/>
            <w:tcBorders>
              <w:top w:val="nil"/>
              <w:left w:val="nil"/>
              <w:bottom w:val="nil"/>
              <w:right w:val="nil"/>
            </w:tcBorders>
          </w:tcPr>
          <w:p w14:paraId="4664123B" w14:textId="77777777" w:rsidR="00B54D51" w:rsidRPr="00037AD4" w:rsidRDefault="00B54D51" w:rsidP="00401C67">
            <w:pPr>
              <w:widowControl w:val="0"/>
              <w:autoSpaceDE w:val="0"/>
              <w:autoSpaceDN w:val="0"/>
              <w:adjustRightInd w:val="0"/>
              <w:jc w:val="center"/>
              <w:rPr>
                <w:highlight w:val="yellow"/>
              </w:rPr>
            </w:pPr>
          </w:p>
        </w:tc>
        <w:tc>
          <w:tcPr>
            <w:tcW w:w="653" w:type="pct"/>
            <w:tcBorders>
              <w:top w:val="nil"/>
              <w:left w:val="nil"/>
              <w:bottom w:val="nil"/>
              <w:right w:val="nil"/>
            </w:tcBorders>
          </w:tcPr>
          <w:p w14:paraId="081C3A01" w14:textId="77777777" w:rsidR="00B54D51" w:rsidRPr="00037AD4" w:rsidRDefault="00B54D51" w:rsidP="00401C67">
            <w:pPr>
              <w:widowControl w:val="0"/>
              <w:autoSpaceDE w:val="0"/>
              <w:autoSpaceDN w:val="0"/>
              <w:adjustRightInd w:val="0"/>
              <w:jc w:val="center"/>
              <w:rPr>
                <w:highlight w:val="yellow"/>
              </w:rPr>
            </w:pPr>
          </w:p>
        </w:tc>
      </w:tr>
      <w:tr w:rsidR="00B54D51" w:rsidRPr="00037AD4" w14:paraId="5792794A" w14:textId="77777777" w:rsidTr="00401C67">
        <w:trPr>
          <w:jc w:val="center"/>
        </w:trPr>
        <w:tc>
          <w:tcPr>
            <w:tcW w:w="1608" w:type="pct"/>
            <w:tcBorders>
              <w:top w:val="nil"/>
              <w:left w:val="nil"/>
              <w:bottom w:val="nil"/>
              <w:right w:val="nil"/>
            </w:tcBorders>
          </w:tcPr>
          <w:p w14:paraId="504EBCB1" w14:textId="77777777" w:rsidR="00B54D51" w:rsidRPr="00037AD4" w:rsidRDefault="00B54D51" w:rsidP="00401C67">
            <w:pPr>
              <w:widowControl w:val="0"/>
              <w:autoSpaceDE w:val="0"/>
              <w:autoSpaceDN w:val="0"/>
              <w:adjustRightInd w:val="0"/>
            </w:pPr>
            <w:r w:rsidRPr="00037AD4">
              <w:t>PwD_age_</w:t>
            </w:r>
          </w:p>
        </w:tc>
        <w:tc>
          <w:tcPr>
            <w:tcW w:w="695" w:type="pct"/>
            <w:tcBorders>
              <w:top w:val="nil"/>
              <w:left w:val="nil"/>
              <w:bottom w:val="nil"/>
              <w:right w:val="nil"/>
            </w:tcBorders>
          </w:tcPr>
          <w:p w14:paraId="77A9C084" w14:textId="77777777" w:rsidR="00B54D51" w:rsidRPr="00037AD4" w:rsidRDefault="00B54D51" w:rsidP="00401C67">
            <w:pPr>
              <w:widowControl w:val="0"/>
              <w:autoSpaceDE w:val="0"/>
              <w:autoSpaceDN w:val="0"/>
              <w:adjustRightInd w:val="0"/>
              <w:jc w:val="center"/>
            </w:pPr>
            <w:r w:rsidRPr="00037AD4">
              <w:t>0.006</w:t>
            </w:r>
          </w:p>
        </w:tc>
        <w:tc>
          <w:tcPr>
            <w:tcW w:w="695" w:type="pct"/>
            <w:tcBorders>
              <w:top w:val="nil"/>
              <w:left w:val="nil"/>
              <w:bottom w:val="nil"/>
              <w:right w:val="nil"/>
            </w:tcBorders>
          </w:tcPr>
          <w:p w14:paraId="464B8F93" w14:textId="77777777" w:rsidR="00B54D51" w:rsidRPr="00037AD4" w:rsidRDefault="00B54D51" w:rsidP="00401C67">
            <w:pPr>
              <w:widowControl w:val="0"/>
              <w:autoSpaceDE w:val="0"/>
              <w:autoSpaceDN w:val="0"/>
              <w:adjustRightInd w:val="0"/>
              <w:jc w:val="center"/>
              <w:rPr>
                <w:highlight w:val="yellow"/>
              </w:rPr>
            </w:pPr>
            <w:r w:rsidRPr="00037AD4">
              <w:t>-0.001</w:t>
            </w:r>
          </w:p>
        </w:tc>
        <w:tc>
          <w:tcPr>
            <w:tcW w:w="696" w:type="pct"/>
            <w:tcBorders>
              <w:top w:val="nil"/>
              <w:left w:val="nil"/>
              <w:bottom w:val="nil"/>
              <w:right w:val="nil"/>
            </w:tcBorders>
          </w:tcPr>
          <w:p w14:paraId="5BCFCB8C" w14:textId="77777777" w:rsidR="00B54D51" w:rsidRPr="00037AD4" w:rsidRDefault="00B54D51" w:rsidP="00401C67">
            <w:pPr>
              <w:widowControl w:val="0"/>
              <w:autoSpaceDE w:val="0"/>
              <w:autoSpaceDN w:val="0"/>
              <w:adjustRightInd w:val="0"/>
              <w:jc w:val="center"/>
              <w:rPr>
                <w:highlight w:val="yellow"/>
              </w:rPr>
            </w:pPr>
            <w:r w:rsidRPr="00037AD4">
              <w:t>-0.001</w:t>
            </w:r>
          </w:p>
        </w:tc>
        <w:tc>
          <w:tcPr>
            <w:tcW w:w="654" w:type="pct"/>
            <w:tcBorders>
              <w:top w:val="nil"/>
              <w:left w:val="nil"/>
              <w:bottom w:val="nil"/>
              <w:right w:val="nil"/>
            </w:tcBorders>
          </w:tcPr>
          <w:p w14:paraId="4DC0AF32" w14:textId="77777777" w:rsidR="00B54D51" w:rsidRPr="00037AD4" w:rsidRDefault="00B54D51" w:rsidP="00401C67">
            <w:pPr>
              <w:widowControl w:val="0"/>
              <w:autoSpaceDE w:val="0"/>
              <w:autoSpaceDN w:val="0"/>
              <w:adjustRightInd w:val="0"/>
              <w:rPr>
                <w:highlight w:val="yellow"/>
              </w:rPr>
            </w:pPr>
          </w:p>
        </w:tc>
        <w:tc>
          <w:tcPr>
            <w:tcW w:w="653" w:type="pct"/>
            <w:tcBorders>
              <w:top w:val="nil"/>
              <w:left w:val="nil"/>
              <w:bottom w:val="nil"/>
              <w:right w:val="nil"/>
            </w:tcBorders>
          </w:tcPr>
          <w:p w14:paraId="740DFC3C" w14:textId="77777777" w:rsidR="00B54D51" w:rsidRPr="00037AD4" w:rsidRDefault="00B54D51" w:rsidP="00401C67">
            <w:pPr>
              <w:widowControl w:val="0"/>
              <w:autoSpaceDE w:val="0"/>
              <w:autoSpaceDN w:val="0"/>
              <w:adjustRightInd w:val="0"/>
              <w:rPr>
                <w:highlight w:val="yellow"/>
              </w:rPr>
            </w:pPr>
            <w:r w:rsidRPr="00037AD4">
              <w:t>0.000</w:t>
            </w:r>
          </w:p>
        </w:tc>
      </w:tr>
      <w:tr w:rsidR="00B54D51" w:rsidRPr="00037AD4" w14:paraId="5EE3DD8D" w14:textId="77777777" w:rsidTr="00401C67">
        <w:trPr>
          <w:jc w:val="center"/>
        </w:trPr>
        <w:tc>
          <w:tcPr>
            <w:tcW w:w="1608" w:type="pct"/>
            <w:tcBorders>
              <w:top w:val="nil"/>
              <w:left w:val="nil"/>
              <w:bottom w:val="nil"/>
              <w:right w:val="nil"/>
            </w:tcBorders>
          </w:tcPr>
          <w:p w14:paraId="2943F083" w14:textId="77777777" w:rsidR="00B54D51" w:rsidRPr="00037AD4" w:rsidRDefault="00B54D51" w:rsidP="00401C67">
            <w:pPr>
              <w:widowControl w:val="0"/>
              <w:autoSpaceDE w:val="0"/>
              <w:autoSpaceDN w:val="0"/>
              <w:adjustRightInd w:val="0"/>
            </w:pPr>
          </w:p>
        </w:tc>
        <w:tc>
          <w:tcPr>
            <w:tcW w:w="695" w:type="pct"/>
            <w:tcBorders>
              <w:top w:val="nil"/>
              <w:left w:val="nil"/>
              <w:bottom w:val="nil"/>
              <w:right w:val="nil"/>
            </w:tcBorders>
          </w:tcPr>
          <w:p w14:paraId="2E6EA942" w14:textId="77777777" w:rsidR="00B54D51" w:rsidRPr="00037AD4" w:rsidRDefault="00B54D51" w:rsidP="00401C67">
            <w:pPr>
              <w:widowControl w:val="0"/>
              <w:autoSpaceDE w:val="0"/>
              <w:autoSpaceDN w:val="0"/>
              <w:adjustRightInd w:val="0"/>
              <w:jc w:val="center"/>
            </w:pPr>
            <w:r w:rsidRPr="00037AD4">
              <w:t>(-0.012 - 0.023)</w:t>
            </w:r>
          </w:p>
        </w:tc>
        <w:tc>
          <w:tcPr>
            <w:tcW w:w="695" w:type="pct"/>
            <w:tcBorders>
              <w:top w:val="nil"/>
              <w:left w:val="nil"/>
              <w:bottom w:val="nil"/>
              <w:right w:val="nil"/>
            </w:tcBorders>
          </w:tcPr>
          <w:p w14:paraId="66601062" w14:textId="77777777" w:rsidR="00B54D51" w:rsidRPr="00037AD4" w:rsidRDefault="00B54D51" w:rsidP="00401C67">
            <w:pPr>
              <w:widowControl w:val="0"/>
              <w:autoSpaceDE w:val="0"/>
              <w:autoSpaceDN w:val="0"/>
              <w:adjustRightInd w:val="0"/>
              <w:jc w:val="center"/>
              <w:rPr>
                <w:highlight w:val="yellow"/>
              </w:rPr>
            </w:pPr>
            <w:r w:rsidRPr="00037AD4">
              <w:t>(-0.013 - 0.010)</w:t>
            </w:r>
          </w:p>
        </w:tc>
        <w:tc>
          <w:tcPr>
            <w:tcW w:w="696" w:type="pct"/>
            <w:tcBorders>
              <w:top w:val="nil"/>
              <w:left w:val="nil"/>
              <w:bottom w:val="nil"/>
              <w:right w:val="nil"/>
            </w:tcBorders>
          </w:tcPr>
          <w:p w14:paraId="0E615D6A" w14:textId="77777777" w:rsidR="00B54D51" w:rsidRPr="00037AD4" w:rsidRDefault="00B54D51" w:rsidP="00401C67">
            <w:pPr>
              <w:widowControl w:val="0"/>
              <w:autoSpaceDE w:val="0"/>
              <w:autoSpaceDN w:val="0"/>
              <w:adjustRightInd w:val="0"/>
              <w:jc w:val="center"/>
              <w:rPr>
                <w:highlight w:val="yellow"/>
              </w:rPr>
            </w:pPr>
            <w:r w:rsidRPr="00037AD4">
              <w:t>(-0.013 - 0.010)</w:t>
            </w:r>
          </w:p>
        </w:tc>
        <w:tc>
          <w:tcPr>
            <w:tcW w:w="654" w:type="pct"/>
            <w:tcBorders>
              <w:top w:val="nil"/>
              <w:left w:val="nil"/>
              <w:bottom w:val="nil"/>
              <w:right w:val="nil"/>
            </w:tcBorders>
          </w:tcPr>
          <w:p w14:paraId="48496EDE" w14:textId="77777777" w:rsidR="00B54D51" w:rsidRPr="00037AD4" w:rsidRDefault="00B54D51" w:rsidP="00401C67">
            <w:pPr>
              <w:widowControl w:val="0"/>
              <w:autoSpaceDE w:val="0"/>
              <w:autoSpaceDN w:val="0"/>
              <w:adjustRightInd w:val="0"/>
              <w:rPr>
                <w:highlight w:val="yellow"/>
              </w:rPr>
            </w:pPr>
          </w:p>
        </w:tc>
        <w:tc>
          <w:tcPr>
            <w:tcW w:w="653" w:type="pct"/>
            <w:tcBorders>
              <w:top w:val="nil"/>
              <w:left w:val="nil"/>
              <w:bottom w:val="nil"/>
              <w:right w:val="nil"/>
            </w:tcBorders>
          </w:tcPr>
          <w:p w14:paraId="442F1FCD" w14:textId="77777777" w:rsidR="00B54D51" w:rsidRPr="00037AD4" w:rsidRDefault="00B54D51" w:rsidP="00401C67">
            <w:pPr>
              <w:widowControl w:val="0"/>
              <w:autoSpaceDE w:val="0"/>
              <w:autoSpaceDN w:val="0"/>
              <w:adjustRightInd w:val="0"/>
              <w:rPr>
                <w:highlight w:val="yellow"/>
              </w:rPr>
            </w:pPr>
            <w:r w:rsidRPr="00037AD4">
              <w:t>(-0.011 - 0.012)</w:t>
            </w:r>
          </w:p>
        </w:tc>
      </w:tr>
      <w:tr w:rsidR="00B54D51" w:rsidRPr="00037AD4" w14:paraId="2A30AA96" w14:textId="77777777" w:rsidTr="00401C67">
        <w:trPr>
          <w:jc w:val="center"/>
        </w:trPr>
        <w:tc>
          <w:tcPr>
            <w:tcW w:w="1608" w:type="pct"/>
            <w:tcBorders>
              <w:top w:val="nil"/>
              <w:left w:val="nil"/>
              <w:bottom w:val="nil"/>
              <w:right w:val="nil"/>
            </w:tcBorders>
          </w:tcPr>
          <w:p w14:paraId="66B76182" w14:textId="77777777" w:rsidR="00B54D51" w:rsidRPr="00037AD4" w:rsidRDefault="00B54D51" w:rsidP="00401C67">
            <w:pPr>
              <w:widowControl w:val="0"/>
              <w:autoSpaceDE w:val="0"/>
              <w:autoSpaceDN w:val="0"/>
              <w:adjustRightInd w:val="0"/>
            </w:pPr>
            <w:r w:rsidRPr="00037AD4">
              <w:t>2.PwDs_sex_</w:t>
            </w:r>
          </w:p>
        </w:tc>
        <w:tc>
          <w:tcPr>
            <w:tcW w:w="695" w:type="pct"/>
            <w:tcBorders>
              <w:top w:val="nil"/>
              <w:left w:val="nil"/>
              <w:bottom w:val="nil"/>
              <w:right w:val="nil"/>
            </w:tcBorders>
          </w:tcPr>
          <w:p w14:paraId="242498A9" w14:textId="77777777" w:rsidR="00B54D51" w:rsidRPr="00037AD4" w:rsidRDefault="00B54D51" w:rsidP="00401C67">
            <w:pPr>
              <w:widowControl w:val="0"/>
              <w:autoSpaceDE w:val="0"/>
              <w:autoSpaceDN w:val="0"/>
              <w:adjustRightInd w:val="0"/>
              <w:jc w:val="center"/>
            </w:pPr>
            <w:r w:rsidRPr="00037AD4">
              <w:t>-0.135</w:t>
            </w:r>
          </w:p>
        </w:tc>
        <w:tc>
          <w:tcPr>
            <w:tcW w:w="695" w:type="pct"/>
            <w:tcBorders>
              <w:top w:val="nil"/>
              <w:left w:val="nil"/>
              <w:bottom w:val="nil"/>
              <w:right w:val="nil"/>
            </w:tcBorders>
          </w:tcPr>
          <w:p w14:paraId="2B015C78" w14:textId="77777777" w:rsidR="00B54D51" w:rsidRPr="00037AD4" w:rsidRDefault="00B54D51" w:rsidP="00401C67">
            <w:pPr>
              <w:widowControl w:val="0"/>
              <w:autoSpaceDE w:val="0"/>
              <w:autoSpaceDN w:val="0"/>
              <w:adjustRightInd w:val="0"/>
              <w:jc w:val="center"/>
              <w:rPr>
                <w:highlight w:val="yellow"/>
              </w:rPr>
            </w:pPr>
            <w:r w:rsidRPr="00037AD4">
              <w:t>0.008</w:t>
            </w:r>
          </w:p>
        </w:tc>
        <w:tc>
          <w:tcPr>
            <w:tcW w:w="696" w:type="pct"/>
            <w:tcBorders>
              <w:top w:val="nil"/>
              <w:left w:val="nil"/>
              <w:bottom w:val="nil"/>
              <w:right w:val="nil"/>
            </w:tcBorders>
          </w:tcPr>
          <w:p w14:paraId="6E452F99" w14:textId="77777777" w:rsidR="00B54D51" w:rsidRPr="00037AD4" w:rsidRDefault="00B54D51" w:rsidP="00401C67">
            <w:pPr>
              <w:widowControl w:val="0"/>
              <w:autoSpaceDE w:val="0"/>
              <w:autoSpaceDN w:val="0"/>
              <w:adjustRightInd w:val="0"/>
              <w:jc w:val="center"/>
              <w:rPr>
                <w:highlight w:val="yellow"/>
              </w:rPr>
            </w:pPr>
            <w:r w:rsidRPr="00037AD4">
              <w:t>0.009</w:t>
            </w:r>
          </w:p>
        </w:tc>
        <w:tc>
          <w:tcPr>
            <w:tcW w:w="654" w:type="pct"/>
            <w:tcBorders>
              <w:top w:val="nil"/>
              <w:left w:val="nil"/>
              <w:bottom w:val="nil"/>
              <w:right w:val="nil"/>
            </w:tcBorders>
          </w:tcPr>
          <w:p w14:paraId="6F3FEFC6" w14:textId="77777777" w:rsidR="00B54D51" w:rsidRPr="00037AD4" w:rsidRDefault="00B54D51" w:rsidP="00401C67">
            <w:pPr>
              <w:widowControl w:val="0"/>
              <w:autoSpaceDE w:val="0"/>
              <w:autoSpaceDN w:val="0"/>
              <w:adjustRightInd w:val="0"/>
              <w:rPr>
                <w:highlight w:val="yellow"/>
              </w:rPr>
            </w:pPr>
          </w:p>
        </w:tc>
        <w:tc>
          <w:tcPr>
            <w:tcW w:w="653" w:type="pct"/>
            <w:tcBorders>
              <w:top w:val="nil"/>
              <w:left w:val="nil"/>
              <w:bottom w:val="nil"/>
              <w:right w:val="nil"/>
            </w:tcBorders>
          </w:tcPr>
          <w:p w14:paraId="02DE6E0D" w14:textId="77777777" w:rsidR="00B54D51" w:rsidRPr="00037AD4" w:rsidRDefault="00B54D51" w:rsidP="00401C67">
            <w:pPr>
              <w:widowControl w:val="0"/>
              <w:autoSpaceDE w:val="0"/>
              <w:autoSpaceDN w:val="0"/>
              <w:adjustRightInd w:val="0"/>
              <w:rPr>
                <w:highlight w:val="yellow"/>
              </w:rPr>
            </w:pPr>
            <w:r w:rsidRPr="00037AD4">
              <w:t>0.032</w:t>
            </w:r>
          </w:p>
        </w:tc>
      </w:tr>
      <w:tr w:rsidR="00B54D51" w:rsidRPr="00037AD4" w14:paraId="3304A81B" w14:textId="77777777" w:rsidTr="00401C67">
        <w:trPr>
          <w:jc w:val="center"/>
        </w:trPr>
        <w:tc>
          <w:tcPr>
            <w:tcW w:w="1608" w:type="pct"/>
            <w:tcBorders>
              <w:top w:val="nil"/>
              <w:left w:val="nil"/>
              <w:bottom w:val="nil"/>
              <w:right w:val="nil"/>
            </w:tcBorders>
          </w:tcPr>
          <w:p w14:paraId="280D095F" w14:textId="77777777" w:rsidR="00B54D51" w:rsidRPr="00037AD4" w:rsidRDefault="00B54D51" w:rsidP="00401C67">
            <w:pPr>
              <w:widowControl w:val="0"/>
              <w:autoSpaceDE w:val="0"/>
              <w:autoSpaceDN w:val="0"/>
              <w:adjustRightInd w:val="0"/>
            </w:pPr>
          </w:p>
        </w:tc>
        <w:tc>
          <w:tcPr>
            <w:tcW w:w="695" w:type="pct"/>
            <w:tcBorders>
              <w:top w:val="nil"/>
              <w:left w:val="nil"/>
              <w:bottom w:val="nil"/>
              <w:right w:val="nil"/>
            </w:tcBorders>
          </w:tcPr>
          <w:p w14:paraId="172D59EE" w14:textId="77777777" w:rsidR="00B54D51" w:rsidRPr="00037AD4" w:rsidRDefault="00B54D51" w:rsidP="00401C67">
            <w:pPr>
              <w:widowControl w:val="0"/>
              <w:autoSpaceDE w:val="0"/>
              <w:autoSpaceDN w:val="0"/>
              <w:adjustRightInd w:val="0"/>
              <w:jc w:val="center"/>
            </w:pPr>
            <w:r w:rsidRPr="00037AD4">
              <w:t>(-0.398 - 0.129)</w:t>
            </w:r>
          </w:p>
        </w:tc>
        <w:tc>
          <w:tcPr>
            <w:tcW w:w="695" w:type="pct"/>
            <w:tcBorders>
              <w:top w:val="nil"/>
              <w:left w:val="nil"/>
              <w:bottom w:val="nil"/>
              <w:right w:val="nil"/>
            </w:tcBorders>
          </w:tcPr>
          <w:p w14:paraId="41DFBFD3" w14:textId="77777777" w:rsidR="00B54D51" w:rsidRPr="00037AD4" w:rsidRDefault="00B54D51" w:rsidP="00401C67">
            <w:pPr>
              <w:widowControl w:val="0"/>
              <w:autoSpaceDE w:val="0"/>
              <w:autoSpaceDN w:val="0"/>
              <w:adjustRightInd w:val="0"/>
              <w:jc w:val="center"/>
              <w:rPr>
                <w:highlight w:val="yellow"/>
              </w:rPr>
            </w:pPr>
            <w:r w:rsidRPr="00037AD4">
              <w:t>(-0.173 - 0.189)</w:t>
            </w:r>
          </w:p>
        </w:tc>
        <w:tc>
          <w:tcPr>
            <w:tcW w:w="696" w:type="pct"/>
            <w:tcBorders>
              <w:top w:val="nil"/>
              <w:left w:val="nil"/>
              <w:bottom w:val="nil"/>
              <w:right w:val="nil"/>
            </w:tcBorders>
          </w:tcPr>
          <w:p w14:paraId="3FCEDC9E" w14:textId="77777777" w:rsidR="00B54D51" w:rsidRPr="00037AD4" w:rsidRDefault="00B54D51" w:rsidP="00401C67">
            <w:pPr>
              <w:widowControl w:val="0"/>
              <w:autoSpaceDE w:val="0"/>
              <w:autoSpaceDN w:val="0"/>
              <w:adjustRightInd w:val="0"/>
              <w:jc w:val="center"/>
              <w:rPr>
                <w:highlight w:val="yellow"/>
              </w:rPr>
            </w:pPr>
            <w:r w:rsidRPr="00037AD4">
              <w:t>(-0.174 - 0.191)</w:t>
            </w:r>
          </w:p>
        </w:tc>
        <w:tc>
          <w:tcPr>
            <w:tcW w:w="654" w:type="pct"/>
            <w:tcBorders>
              <w:top w:val="nil"/>
              <w:left w:val="nil"/>
              <w:bottom w:val="nil"/>
              <w:right w:val="nil"/>
            </w:tcBorders>
          </w:tcPr>
          <w:p w14:paraId="7DF26080" w14:textId="77777777" w:rsidR="00B54D51" w:rsidRPr="00037AD4" w:rsidRDefault="00B54D51" w:rsidP="00401C67">
            <w:pPr>
              <w:widowControl w:val="0"/>
              <w:autoSpaceDE w:val="0"/>
              <w:autoSpaceDN w:val="0"/>
              <w:adjustRightInd w:val="0"/>
              <w:rPr>
                <w:highlight w:val="yellow"/>
              </w:rPr>
            </w:pPr>
          </w:p>
        </w:tc>
        <w:tc>
          <w:tcPr>
            <w:tcW w:w="653" w:type="pct"/>
            <w:tcBorders>
              <w:top w:val="nil"/>
              <w:left w:val="nil"/>
              <w:bottom w:val="nil"/>
              <w:right w:val="nil"/>
            </w:tcBorders>
          </w:tcPr>
          <w:p w14:paraId="566D1D2A" w14:textId="77777777" w:rsidR="00B54D51" w:rsidRPr="00037AD4" w:rsidRDefault="00B54D51" w:rsidP="00401C67">
            <w:pPr>
              <w:widowControl w:val="0"/>
              <w:autoSpaceDE w:val="0"/>
              <w:autoSpaceDN w:val="0"/>
              <w:adjustRightInd w:val="0"/>
              <w:rPr>
                <w:highlight w:val="yellow"/>
              </w:rPr>
            </w:pPr>
            <w:r w:rsidRPr="00037AD4">
              <w:t>(-0.143 - 0.207)</w:t>
            </w:r>
          </w:p>
        </w:tc>
      </w:tr>
      <w:tr w:rsidR="00B54D51" w:rsidRPr="00037AD4" w14:paraId="13A6229D" w14:textId="77777777" w:rsidTr="00401C67">
        <w:trPr>
          <w:jc w:val="center"/>
        </w:trPr>
        <w:tc>
          <w:tcPr>
            <w:tcW w:w="1608" w:type="pct"/>
            <w:tcBorders>
              <w:top w:val="nil"/>
              <w:left w:val="nil"/>
              <w:bottom w:val="nil"/>
              <w:right w:val="nil"/>
            </w:tcBorders>
          </w:tcPr>
          <w:p w14:paraId="54B1D119" w14:textId="77777777" w:rsidR="00B54D51" w:rsidRPr="00037AD4" w:rsidRDefault="00B54D51" w:rsidP="00401C67">
            <w:pPr>
              <w:widowControl w:val="0"/>
              <w:autoSpaceDE w:val="0"/>
              <w:autoSpaceDN w:val="0"/>
              <w:adjustRightInd w:val="0"/>
            </w:pPr>
            <w:r w:rsidRPr="00037AD4">
              <w:t>carer_age_</w:t>
            </w:r>
          </w:p>
        </w:tc>
        <w:tc>
          <w:tcPr>
            <w:tcW w:w="695" w:type="pct"/>
            <w:tcBorders>
              <w:top w:val="nil"/>
              <w:left w:val="nil"/>
              <w:bottom w:val="nil"/>
              <w:right w:val="nil"/>
            </w:tcBorders>
          </w:tcPr>
          <w:p w14:paraId="44AF9C40" w14:textId="77777777" w:rsidR="00B54D51" w:rsidRPr="00037AD4" w:rsidRDefault="00B54D51" w:rsidP="00401C67">
            <w:pPr>
              <w:widowControl w:val="0"/>
              <w:autoSpaceDE w:val="0"/>
              <w:autoSpaceDN w:val="0"/>
              <w:adjustRightInd w:val="0"/>
              <w:jc w:val="center"/>
            </w:pPr>
            <w:r w:rsidRPr="00037AD4">
              <w:t>-0.009</w:t>
            </w:r>
          </w:p>
        </w:tc>
        <w:tc>
          <w:tcPr>
            <w:tcW w:w="695" w:type="pct"/>
            <w:tcBorders>
              <w:top w:val="nil"/>
              <w:left w:val="nil"/>
              <w:bottom w:val="nil"/>
              <w:right w:val="nil"/>
            </w:tcBorders>
          </w:tcPr>
          <w:p w14:paraId="200A19DF" w14:textId="77777777" w:rsidR="00B54D51" w:rsidRPr="00037AD4" w:rsidRDefault="00B54D51" w:rsidP="00401C67">
            <w:pPr>
              <w:widowControl w:val="0"/>
              <w:autoSpaceDE w:val="0"/>
              <w:autoSpaceDN w:val="0"/>
              <w:adjustRightInd w:val="0"/>
              <w:jc w:val="center"/>
              <w:rPr>
                <w:highlight w:val="yellow"/>
              </w:rPr>
            </w:pPr>
          </w:p>
        </w:tc>
        <w:tc>
          <w:tcPr>
            <w:tcW w:w="696" w:type="pct"/>
            <w:tcBorders>
              <w:top w:val="nil"/>
              <w:left w:val="nil"/>
              <w:bottom w:val="nil"/>
              <w:right w:val="nil"/>
            </w:tcBorders>
          </w:tcPr>
          <w:p w14:paraId="3E8F3297" w14:textId="77777777" w:rsidR="00B54D51" w:rsidRPr="00037AD4" w:rsidRDefault="00B54D51" w:rsidP="00401C67">
            <w:pPr>
              <w:widowControl w:val="0"/>
              <w:autoSpaceDE w:val="0"/>
              <w:autoSpaceDN w:val="0"/>
              <w:adjustRightInd w:val="0"/>
              <w:jc w:val="center"/>
              <w:rPr>
                <w:highlight w:val="yellow"/>
              </w:rPr>
            </w:pPr>
          </w:p>
        </w:tc>
        <w:tc>
          <w:tcPr>
            <w:tcW w:w="654" w:type="pct"/>
            <w:tcBorders>
              <w:top w:val="nil"/>
              <w:left w:val="nil"/>
              <w:bottom w:val="nil"/>
              <w:right w:val="nil"/>
            </w:tcBorders>
          </w:tcPr>
          <w:p w14:paraId="169495A3" w14:textId="77777777" w:rsidR="00B54D51" w:rsidRPr="00037AD4" w:rsidRDefault="00B54D51" w:rsidP="00401C67">
            <w:pPr>
              <w:widowControl w:val="0"/>
              <w:autoSpaceDE w:val="0"/>
              <w:autoSpaceDN w:val="0"/>
              <w:adjustRightInd w:val="0"/>
              <w:jc w:val="center"/>
              <w:rPr>
                <w:highlight w:val="yellow"/>
              </w:rPr>
            </w:pPr>
          </w:p>
        </w:tc>
        <w:tc>
          <w:tcPr>
            <w:tcW w:w="653" w:type="pct"/>
            <w:tcBorders>
              <w:top w:val="nil"/>
              <w:left w:val="nil"/>
              <w:bottom w:val="nil"/>
              <w:right w:val="nil"/>
            </w:tcBorders>
          </w:tcPr>
          <w:p w14:paraId="5D3D4C54" w14:textId="77777777" w:rsidR="00B54D51" w:rsidRPr="00037AD4" w:rsidRDefault="00B54D51" w:rsidP="00401C67">
            <w:pPr>
              <w:widowControl w:val="0"/>
              <w:autoSpaceDE w:val="0"/>
              <w:autoSpaceDN w:val="0"/>
              <w:adjustRightInd w:val="0"/>
              <w:jc w:val="center"/>
              <w:rPr>
                <w:highlight w:val="yellow"/>
              </w:rPr>
            </w:pPr>
          </w:p>
        </w:tc>
      </w:tr>
      <w:tr w:rsidR="00B54D51" w:rsidRPr="00037AD4" w14:paraId="0A11C3FB" w14:textId="77777777" w:rsidTr="00401C67">
        <w:trPr>
          <w:jc w:val="center"/>
        </w:trPr>
        <w:tc>
          <w:tcPr>
            <w:tcW w:w="1608" w:type="pct"/>
            <w:tcBorders>
              <w:top w:val="nil"/>
              <w:left w:val="nil"/>
              <w:bottom w:val="nil"/>
              <w:right w:val="nil"/>
            </w:tcBorders>
          </w:tcPr>
          <w:p w14:paraId="678A8A52" w14:textId="77777777" w:rsidR="00B54D51" w:rsidRPr="00037AD4" w:rsidRDefault="00B54D51" w:rsidP="00401C67">
            <w:pPr>
              <w:widowControl w:val="0"/>
              <w:autoSpaceDE w:val="0"/>
              <w:autoSpaceDN w:val="0"/>
              <w:adjustRightInd w:val="0"/>
            </w:pPr>
          </w:p>
        </w:tc>
        <w:tc>
          <w:tcPr>
            <w:tcW w:w="695" w:type="pct"/>
            <w:tcBorders>
              <w:top w:val="nil"/>
              <w:left w:val="nil"/>
              <w:bottom w:val="nil"/>
              <w:right w:val="nil"/>
            </w:tcBorders>
          </w:tcPr>
          <w:p w14:paraId="48E948DA" w14:textId="77777777" w:rsidR="00B54D51" w:rsidRPr="00037AD4" w:rsidRDefault="00B54D51" w:rsidP="00401C67">
            <w:pPr>
              <w:widowControl w:val="0"/>
              <w:autoSpaceDE w:val="0"/>
              <w:autoSpaceDN w:val="0"/>
              <w:adjustRightInd w:val="0"/>
              <w:jc w:val="center"/>
            </w:pPr>
            <w:r w:rsidRPr="00037AD4">
              <w:t>(-0.023 - 0.004)</w:t>
            </w:r>
          </w:p>
        </w:tc>
        <w:tc>
          <w:tcPr>
            <w:tcW w:w="695" w:type="pct"/>
            <w:tcBorders>
              <w:top w:val="nil"/>
              <w:left w:val="nil"/>
              <w:bottom w:val="nil"/>
              <w:right w:val="nil"/>
            </w:tcBorders>
          </w:tcPr>
          <w:p w14:paraId="389C9D9A" w14:textId="77777777" w:rsidR="00B54D51" w:rsidRPr="00037AD4" w:rsidRDefault="00B54D51" w:rsidP="00401C67">
            <w:pPr>
              <w:widowControl w:val="0"/>
              <w:autoSpaceDE w:val="0"/>
              <w:autoSpaceDN w:val="0"/>
              <w:adjustRightInd w:val="0"/>
              <w:jc w:val="center"/>
              <w:rPr>
                <w:highlight w:val="yellow"/>
              </w:rPr>
            </w:pPr>
          </w:p>
        </w:tc>
        <w:tc>
          <w:tcPr>
            <w:tcW w:w="696" w:type="pct"/>
            <w:tcBorders>
              <w:top w:val="nil"/>
              <w:left w:val="nil"/>
              <w:bottom w:val="nil"/>
              <w:right w:val="nil"/>
            </w:tcBorders>
          </w:tcPr>
          <w:p w14:paraId="6B56DE95" w14:textId="77777777" w:rsidR="00B54D51" w:rsidRPr="00037AD4" w:rsidRDefault="00B54D51" w:rsidP="00401C67">
            <w:pPr>
              <w:widowControl w:val="0"/>
              <w:autoSpaceDE w:val="0"/>
              <w:autoSpaceDN w:val="0"/>
              <w:adjustRightInd w:val="0"/>
              <w:jc w:val="center"/>
              <w:rPr>
                <w:highlight w:val="yellow"/>
              </w:rPr>
            </w:pPr>
          </w:p>
        </w:tc>
        <w:tc>
          <w:tcPr>
            <w:tcW w:w="654" w:type="pct"/>
            <w:tcBorders>
              <w:top w:val="nil"/>
              <w:left w:val="nil"/>
              <w:bottom w:val="nil"/>
              <w:right w:val="nil"/>
            </w:tcBorders>
          </w:tcPr>
          <w:p w14:paraId="7EA5D876" w14:textId="77777777" w:rsidR="00B54D51" w:rsidRPr="00037AD4" w:rsidRDefault="00B54D51" w:rsidP="00401C67">
            <w:pPr>
              <w:widowControl w:val="0"/>
              <w:autoSpaceDE w:val="0"/>
              <w:autoSpaceDN w:val="0"/>
              <w:adjustRightInd w:val="0"/>
              <w:jc w:val="center"/>
              <w:rPr>
                <w:highlight w:val="yellow"/>
              </w:rPr>
            </w:pPr>
          </w:p>
        </w:tc>
        <w:tc>
          <w:tcPr>
            <w:tcW w:w="653" w:type="pct"/>
            <w:tcBorders>
              <w:top w:val="nil"/>
              <w:left w:val="nil"/>
              <w:bottom w:val="nil"/>
              <w:right w:val="nil"/>
            </w:tcBorders>
          </w:tcPr>
          <w:p w14:paraId="3B6E1B15" w14:textId="77777777" w:rsidR="00B54D51" w:rsidRPr="00037AD4" w:rsidRDefault="00B54D51" w:rsidP="00401C67">
            <w:pPr>
              <w:widowControl w:val="0"/>
              <w:autoSpaceDE w:val="0"/>
              <w:autoSpaceDN w:val="0"/>
              <w:adjustRightInd w:val="0"/>
              <w:jc w:val="center"/>
              <w:rPr>
                <w:highlight w:val="yellow"/>
              </w:rPr>
            </w:pPr>
          </w:p>
        </w:tc>
      </w:tr>
      <w:tr w:rsidR="00B54D51" w:rsidRPr="00037AD4" w14:paraId="01D0FE0F" w14:textId="77777777" w:rsidTr="00401C67">
        <w:trPr>
          <w:jc w:val="center"/>
        </w:trPr>
        <w:tc>
          <w:tcPr>
            <w:tcW w:w="1608" w:type="pct"/>
            <w:tcBorders>
              <w:top w:val="nil"/>
              <w:left w:val="nil"/>
              <w:bottom w:val="nil"/>
              <w:right w:val="nil"/>
            </w:tcBorders>
          </w:tcPr>
          <w:p w14:paraId="6698355F" w14:textId="77777777" w:rsidR="00B54D51" w:rsidRPr="00037AD4" w:rsidRDefault="00B54D51" w:rsidP="00401C67">
            <w:pPr>
              <w:widowControl w:val="0"/>
              <w:autoSpaceDE w:val="0"/>
              <w:autoSpaceDN w:val="0"/>
              <w:adjustRightInd w:val="0"/>
            </w:pPr>
            <w:r w:rsidRPr="00037AD4">
              <w:t>2.proxy_sex_</w:t>
            </w:r>
          </w:p>
        </w:tc>
        <w:tc>
          <w:tcPr>
            <w:tcW w:w="695" w:type="pct"/>
            <w:tcBorders>
              <w:top w:val="nil"/>
              <w:left w:val="nil"/>
              <w:bottom w:val="nil"/>
              <w:right w:val="nil"/>
            </w:tcBorders>
          </w:tcPr>
          <w:p w14:paraId="78445866" w14:textId="77777777" w:rsidR="00B54D51" w:rsidRPr="00037AD4" w:rsidRDefault="00B54D51" w:rsidP="00401C67">
            <w:pPr>
              <w:widowControl w:val="0"/>
              <w:autoSpaceDE w:val="0"/>
              <w:autoSpaceDN w:val="0"/>
              <w:adjustRightInd w:val="0"/>
              <w:jc w:val="center"/>
            </w:pPr>
            <w:r w:rsidRPr="00037AD4">
              <w:t>-0.212</w:t>
            </w:r>
          </w:p>
        </w:tc>
        <w:tc>
          <w:tcPr>
            <w:tcW w:w="695" w:type="pct"/>
            <w:tcBorders>
              <w:top w:val="nil"/>
              <w:left w:val="nil"/>
              <w:bottom w:val="nil"/>
              <w:right w:val="nil"/>
            </w:tcBorders>
          </w:tcPr>
          <w:p w14:paraId="7100278E" w14:textId="77777777" w:rsidR="00B54D51" w:rsidRPr="00037AD4" w:rsidRDefault="00B54D51" w:rsidP="00401C67">
            <w:pPr>
              <w:widowControl w:val="0"/>
              <w:autoSpaceDE w:val="0"/>
              <w:autoSpaceDN w:val="0"/>
              <w:adjustRightInd w:val="0"/>
              <w:jc w:val="center"/>
              <w:rPr>
                <w:highlight w:val="yellow"/>
              </w:rPr>
            </w:pPr>
          </w:p>
        </w:tc>
        <w:tc>
          <w:tcPr>
            <w:tcW w:w="696" w:type="pct"/>
            <w:tcBorders>
              <w:top w:val="nil"/>
              <w:left w:val="nil"/>
              <w:bottom w:val="nil"/>
              <w:right w:val="nil"/>
            </w:tcBorders>
          </w:tcPr>
          <w:p w14:paraId="2DFA5F02" w14:textId="77777777" w:rsidR="00B54D51" w:rsidRPr="00037AD4" w:rsidRDefault="00B54D51" w:rsidP="00401C67">
            <w:pPr>
              <w:widowControl w:val="0"/>
              <w:autoSpaceDE w:val="0"/>
              <w:autoSpaceDN w:val="0"/>
              <w:adjustRightInd w:val="0"/>
              <w:jc w:val="center"/>
              <w:rPr>
                <w:highlight w:val="yellow"/>
              </w:rPr>
            </w:pPr>
          </w:p>
        </w:tc>
        <w:tc>
          <w:tcPr>
            <w:tcW w:w="654" w:type="pct"/>
            <w:tcBorders>
              <w:top w:val="nil"/>
              <w:left w:val="nil"/>
              <w:bottom w:val="nil"/>
              <w:right w:val="nil"/>
            </w:tcBorders>
          </w:tcPr>
          <w:p w14:paraId="791BA345" w14:textId="77777777" w:rsidR="00B54D51" w:rsidRPr="00037AD4" w:rsidRDefault="00B54D51" w:rsidP="00401C67">
            <w:pPr>
              <w:widowControl w:val="0"/>
              <w:autoSpaceDE w:val="0"/>
              <w:autoSpaceDN w:val="0"/>
              <w:adjustRightInd w:val="0"/>
              <w:jc w:val="center"/>
              <w:rPr>
                <w:highlight w:val="yellow"/>
              </w:rPr>
            </w:pPr>
          </w:p>
        </w:tc>
        <w:tc>
          <w:tcPr>
            <w:tcW w:w="653" w:type="pct"/>
            <w:tcBorders>
              <w:top w:val="nil"/>
              <w:left w:val="nil"/>
              <w:bottom w:val="nil"/>
              <w:right w:val="nil"/>
            </w:tcBorders>
          </w:tcPr>
          <w:p w14:paraId="34537C36" w14:textId="77777777" w:rsidR="00B54D51" w:rsidRPr="00037AD4" w:rsidRDefault="00B54D51" w:rsidP="00401C67">
            <w:pPr>
              <w:widowControl w:val="0"/>
              <w:autoSpaceDE w:val="0"/>
              <w:autoSpaceDN w:val="0"/>
              <w:adjustRightInd w:val="0"/>
              <w:jc w:val="center"/>
              <w:rPr>
                <w:highlight w:val="yellow"/>
              </w:rPr>
            </w:pPr>
          </w:p>
        </w:tc>
      </w:tr>
      <w:tr w:rsidR="00B54D51" w:rsidRPr="00037AD4" w14:paraId="412BC0AC" w14:textId="77777777" w:rsidTr="00401C67">
        <w:trPr>
          <w:jc w:val="center"/>
        </w:trPr>
        <w:tc>
          <w:tcPr>
            <w:tcW w:w="1608" w:type="pct"/>
            <w:tcBorders>
              <w:top w:val="nil"/>
              <w:left w:val="nil"/>
              <w:bottom w:val="nil"/>
              <w:right w:val="nil"/>
            </w:tcBorders>
          </w:tcPr>
          <w:p w14:paraId="49AF4224" w14:textId="77777777" w:rsidR="00B54D51" w:rsidRPr="00037AD4" w:rsidRDefault="00B54D51" w:rsidP="00401C67">
            <w:pPr>
              <w:widowControl w:val="0"/>
              <w:autoSpaceDE w:val="0"/>
              <w:autoSpaceDN w:val="0"/>
              <w:adjustRightInd w:val="0"/>
            </w:pPr>
          </w:p>
        </w:tc>
        <w:tc>
          <w:tcPr>
            <w:tcW w:w="695" w:type="pct"/>
            <w:tcBorders>
              <w:top w:val="nil"/>
              <w:left w:val="nil"/>
              <w:bottom w:val="nil"/>
              <w:right w:val="nil"/>
            </w:tcBorders>
          </w:tcPr>
          <w:p w14:paraId="63893DDD" w14:textId="77777777" w:rsidR="00B54D51" w:rsidRPr="00037AD4" w:rsidRDefault="00B54D51" w:rsidP="00401C67">
            <w:pPr>
              <w:widowControl w:val="0"/>
              <w:autoSpaceDE w:val="0"/>
              <w:autoSpaceDN w:val="0"/>
              <w:adjustRightInd w:val="0"/>
              <w:jc w:val="center"/>
            </w:pPr>
            <w:r w:rsidRPr="00037AD4">
              <w:t>(-0.495 - 0.072)</w:t>
            </w:r>
          </w:p>
        </w:tc>
        <w:tc>
          <w:tcPr>
            <w:tcW w:w="695" w:type="pct"/>
            <w:tcBorders>
              <w:top w:val="nil"/>
              <w:left w:val="nil"/>
              <w:bottom w:val="nil"/>
              <w:right w:val="nil"/>
            </w:tcBorders>
          </w:tcPr>
          <w:p w14:paraId="23172F83" w14:textId="77777777" w:rsidR="00B54D51" w:rsidRPr="00037AD4" w:rsidRDefault="00B54D51" w:rsidP="00401C67">
            <w:pPr>
              <w:widowControl w:val="0"/>
              <w:autoSpaceDE w:val="0"/>
              <w:autoSpaceDN w:val="0"/>
              <w:adjustRightInd w:val="0"/>
              <w:jc w:val="center"/>
              <w:rPr>
                <w:highlight w:val="yellow"/>
              </w:rPr>
            </w:pPr>
          </w:p>
        </w:tc>
        <w:tc>
          <w:tcPr>
            <w:tcW w:w="696" w:type="pct"/>
            <w:tcBorders>
              <w:top w:val="nil"/>
              <w:left w:val="nil"/>
              <w:bottom w:val="nil"/>
              <w:right w:val="nil"/>
            </w:tcBorders>
          </w:tcPr>
          <w:p w14:paraId="4B868177" w14:textId="77777777" w:rsidR="00B54D51" w:rsidRPr="00037AD4" w:rsidRDefault="00B54D51" w:rsidP="00401C67">
            <w:pPr>
              <w:widowControl w:val="0"/>
              <w:autoSpaceDE w:val="0"/>
              <w:autoSpaceDN w:val="0"/>
              <w:adjustRightInd w:val="0"/>
              <w:jc w:val="center"/>
              <w:rPr>
                <w:highlight w:val="yellow"/>
              </w:rPr>
            </w:pPr>
          </w:p>
        </w:tc>
        <w:tc>
          <w:tcPr>
            <w:tcW w:w="654" w:type="pct"/>
            <w:tcBorders>
              <w:top w:val="nil"/>
              <w:left w:val="nil"/>
              <w:bottom w:val="nil"/>
              <w:right w:val="nil"/>
            </w:tcBorders>
          </w:tcPr>
          <w:p w14:paraId="02219A03" w14:textId="77777777" w:rsidR="00B54D51" w:rsidRPr="00037AD4" w:rsidRDefault="00B54D51" w:rsidP="00401C67">
            <w:pPr>
              <w:widowControl w:val="0"/>
              <w:autoSpaceDE w:val="0"/>
              <w:autoSpaceDN w:val="0"/>
              <w:adjustRightInd w:val="0"/>
              <w:jc w:val="center"/>
              <w:rPr>
                <w:highlight w:val="yellow"/>
              </w:rPr>
            </w:pPr>
          </w:p>
        </w:tc>
        <w:tc>
          <w:tcPr>
            <w:tcW w:w="653" w:type="pct"/>
            <w:tcBorders>
              <w:top w:val="nil"/>
              <w:left w:val="nil"/>
              <w:bottom w:val="nil"/>
              <w:right w:val="nil"/>
            </w:tcBorders>
          </w:tcPr>
          <w:p w14:paraId="5E1E0828" w14:textId="77777777" w:rsidR="00B54D51" w:rsidRPr="00037AD4" w:rsidRDefault="00B54D51" w:rsidP="00401C67">
            <w:pPr>
              <w:widowControl w:val="0"/>
              <w:autoSpaceDE w:val="0"/>
              <w:autoSpaceDN w:val="0"/>
              <w:adjustRightInd w:val="0"/>
              <w:jc w:val="center"/>
              <w:rPr>
                <w:highlight w:val="yellow"/>
              </w:rPr>
            </w:pPr>
          </w:p>
        </w:tc>
      </w:tr>
      <w:tr w:rsidR="00B54D51" w:rsidRPr="00037AD4" w14:paraId="62D1B983" w14:textId="77777777" w:rsidTr="00401C67">
        <w:trPr>
          <w:jc w:val="center"/>
        </w:trPr>
        <w:tc>
          <w:tcPr>
            <w:tcW w:w="1608" w:type="pct"/>
            <w:tcBorders>
              <w:top w:val="nil"/>
              <w:left w:val="nil"/>
              <w:bottom w:val="nil"/>
              <w:right w:val="nil"/>
            </w:tcBorders>
          </w:tcPr>
          <w:p w14:paraId="468B64AB" w14:textId="77777777" w:rsidR="00B54D51" w:rsidRPr="00037AD4" w:rsidRDefault="00B54D51" w:rsidP="00401C67">
            <w:pPr>
              <w:widowControl w:val="0"/>
              <w:autoSpaceDE w:val="0"/>
              <w:autoSpaceDN w:val="0"/>
              <w:adjustRightInd w:val="0"/>
            </w:pPr>
            <w:r w:rsidRPr="00037AD4">
              <w:t>2.PwD_live_with_carer_</w:t>
            </w:r>
          </w:p>
        </w:tc>
        <w:tc>
          <w:tcPr>
            <w:tcW w:w="695" w:type="pct"/>
            <w:tcBorders>
              <w:top w:val="nil"/>
              <w:left w:val="nil"/>
              <w:bottom w:val="nil"/>
              <w:right w:val="nil"/>
            </w:tcBorders>
          </w:tcPr>
          <w:p w14:paraId="6CA1DA52" w14:textId="77777777" w:rsidR="00B54D51" w:rsidRPr="00037AD4" w:rsidRDefault="00B54D51" w:rsidP="00401C67">
            <w:pPr>
              <w:widowControl w:val="0"/>
              <w:autoSpaceDE w:val="0"/>
              <w:autoSpaceDN w:val="0"/>
              <w:adjustRightInd w:val="0"/>
              <w:jc w:val="center"/>
            </w:pPr>
            <w:r w:rsidRPr="00037AD4">
              <w:t>0.112</w:t>
            </w:r>
          </w:p>
        </w:tc>
        <w:tc>
          <w:tcPr>
            <w:tcW w:w="695" w:type="pct"/>
            <w:tcBorders>
              <w:top w:val="nil"/>
              <w:left w:val="nil"/>
              <w:bottom w:val="nil"/>
              <w:right w:val="nil"/>
            </w:tcBorders>
          </w:tcPr>
          <w:p w14:paraId="184172B4" w14:textId="77777777" w:rsidR="00B54D51" w:rsidRPr="00037AD4" w:rsidRDefault="00B54D51" w:rsidP="00401C67">
            <w:pPr>
              <w:widowControl w:val="0"/>
              <w:autoSpaceDE w:val="0"/>
              <w:autoSpaceDN w:val="0"/>
              <w:adjustRightInd w:val="0"/>
              <w:jc w:val="center"/>
              <w:rPr>
                <w:highlight w:val="yellow"/>
              </w:rPr>
            </w:pPr>
          </w:p>
        </w:tc>
        <w:tc>
          <w:tcPr>
            <w:tcW w:w="696" w:type="pct"/>
            <w:tcBorders>
              <w:top w:val="nil"/>
              <w:left w:val="nil"/>
              <w:bottom w:val="nil"/>
              <w:right w:val="nil"/>
            </w:tcBorders>
          </w:tcPr>
          <w:p w14:paraId="21DA210F" w14:textId="77777777" w:rsidR="00B54D51" w:rsidRPr="00037AD4" w:rsidRDefault="00B54D51" w:rsidP="00401C67">
            <w:pPr>
              <w:widowControl w:val="0"/>
              <w:autoSpaceDE w:val="0"/>
              <w:autoSpaceDN w:val="0"/>
              <w:adjustRightInd w:val="0"/>
              <w:jc w:val="center"/>
              <w:rPr>
                <w:highlight w:val="yellow"/>
              </w:rPr>
            </w:pPr>
          </w:p>
        </w:tc>
        <w:tc>
          <w:tcPr>
            <w:tcW w:w="654" w:type="pct"/>
            <w:tcBorders>
              <w:top w:val="nil"/>
              <w:left w:val="nil"/>
              <w:bottom w:val="nil"/>
              <w:right w:val="nil"/>
            </w:tcBorders>
          </w:tcPr>
          <w:p w14:paraId="483302BB" w14:textId="77777777" w:rsidR="00B54D51" w:rsidRPr="00037AD4" w:rsidRDefault="00B54D51" w:rsidP="00401C67">
            <w:pPr>
              <w:widowControl w:val="0"/>
              <w:autoSpaceDE w:val="0"/>
              <w:autoSpaceDN w:val="0"/>
              <w:adjustRightInd w:val="0"/>
              <w:jc w:val="center"/>
              <w:rPr>
                <w:highlight w:val="yellow"/>
              </w:rPr>
            </w:pPr>
          </w:p>
        </w:tc>
        <w:tc>
          <w:tcPr>
            <w:tcW w:w="653" w:type="pct"/>
            <w:tcBorders>
              <w:top w:val="nil"/>
              <w:left w:val="nil"/>
              <w:bottom w:val="nil"/>
              <w:right w:val="nil"/>
            </w:tcBorders>
          </w:tcPr>
          <w:p w14:paraId="67FCA84E" w14:textId="77777777" w:rsidR="00B54D51" w:rsidRPr="00037AD4" w:rsidRDefault="00B54D51" w:rsidP="00401C67">
            <w:pPr>
              <w:widowControl w:val="0"/>
              <w:autoSpaceDE w:val="0"/>
              <w:autoSpaceDN w:val="0"/>
              <w:adjustRightInd w:val="0"/>
              <w:jc w:val="center"/>
              <w:rPr>
                <w:highlight w:val="yellow"/>
              </w:rPr>
            </w:pPr>
          </w:p>
        </w:tc>
      </w:tr>
      <w:tr w:rsidR="00B54D51" w:rsidRPr="00037AD4" w14:paraId="5BE2AEBA" w14:textId="77777777" w:rsidTr="00401C67">
        <w:trPr>
          <w:jc w:val="center"/>
        </w:trPr>
        <w:tc>
          <w:tcPr>
            <w:tcW w:w="1608" w:type="pct"/>
            <w:tcBorders>
              <w:top w:val="nil"/>
              <w:left w:val="nil"/>
              <w:bottom w:val="nil"/>
              <w:right w:val="nil"/>
            </w:tcBorders>
          </w:tcPr>
          <w:p w14:paraId="22C6B620" w14:textId="77777777" w:rsidR="00B54D51" w:rsidRPr="00037AD4" w:rsidRDefault="00B54D51" w:rsidP="00401C67">
            <w:pPr>
              <w:widowControl w:val="0"/>
              <w:autoSpaceDE w:val="0"/>
              <w:autoSpaceDN w:val="0"/>
              <w:adjustRightInd w:val="0"/>
            </w:pPr>
          </w:p>
        </w:tc>
        <w:tc>
          <w:tcPr>
            <w:tcW w:w="695" w:type="pct"/>
            <w:tcBorders>
              <w:top w:val="nil"/>
              <w:left w:val="nil"/>
              <w:bottom w:val="nil"/>
              <w:right w:val="nil"/>
            </w:tcBorders>
          </w:tcPr>
          <w:p w14:paraId="3C45B3CE" w14:textId="77777777" w:rsidR="00B54D51" w:rsidRPr="00037AD4" w:rsidRDefault="00B54D51" w:rsidP="00401C67">
            <w:pPr>
              <w:widowControl w:val="0"/>
              <w:autoSpaceDE w:val="0"/>
              <w:autoSpaceDN w:val="0"/>
              <w:adjustRightInd w:val="0"/>
              <w:jc w:val="center"/>
            </w:pPr>
            <w:r w:rsidRPr="00037AD4">
              <w:t xml:space="preserve">(-0.209 - </w:t>
            </w:r>
            <w:r w:rsidRPr="00037AD4">
              <w:lastRenderedPageBreak/>
              <w:t>0.434)</w:t>
            </w:r>
          </w:p>
        </w:tc>
        <w:tc>
          <w:tcPr>
            <w:tcW w:w="695" w:type="pct"/>
            <w:tcBorders>
              <w:top w:val="nil"/>
              <w:left w:val="nil"/>
              <w:bottom w:val="nil"/>
              <w:right w:val="nil"/>
            </w:tcBorders>
          </w:tcPr>
          <w:p w14:paraId="590FB8EE" w14:textId="77777777" w:rsidR="00B54D51" w:rsidRPr="00037AD4" w:rsidRDefault="00B54D51" w:rsidP="00401C67">
            <w:pPr>
              <w:widowControl w:val="0"/>
              <w:autoSpaceDE w:val="0"/>
              <w:autoSpaceDN w:val="0"/>
              <w:adjustRightInd w:val="0"/>
              <w:jc w:val="center"/>
              <w:rPr>
                <w:highlight w:val="yellow"/>
              </w:rPr>
            </w:pPr>
          </w:p>
        </w:tc>
        <w:tc>
          <w:tcPr>
            <w:tcW w:w="696" w:type="pct"/>
            <w:tcBorders>
              <w:top w:val="nil"/>
              <w:left w:val="nil"/>
              <w:bottom w:val="nil"/>
              <w:right w:val="nil"/>
            </w:tcBorders>
          </w:tcPr>
          <w:p w14:paraId="4B366D29" w14:textId="77777777" w:rsidR="00B54D51" w:rsidRPr="00037AD4" w:rsidRDefault="00B54D51" w:rsidP="00401C67">
            <w:pPr>
              <w:widowControl w:val="0"/>
              <w:autoSpaceDE w:val="0"/>
              <w:autoSpaceDN w:val="0"/>
              <w:adjustRightInd w:val="0"/>
              <w:jc w:val="center"/>
              <w:rPr>
                <w:highlight w:val="yellow"/>
              </w:rPr>
            </w:pPr>
          </w:p>
        </w:tc>
        <w:tc>
          <w:tcPr>
            <w:tcW w:w="654" w:type="pct"/>
            <w:tcBorders>
              <w:top w:val="nil"/>
              <w:left w:val="nil"/>
              <w:bottom w:val="nil"/>
              <w:right w:val="nil"/>
            </w:tcBorders>
          </w:tcPr>
          <w:p w14:paraId="02068A8D" w14:textId="77777777" w:rsidR="00B54D51" w:rsidRPr="00037AD4" w:rsidRDefault="00B54D51" w:rsidP="00401C67">
            <w:pPr>
              <w:widowControl w:val="0"/>
              <w:autoSpaceDE w:val="0"/>
              <w:autoSpaceDN w:val="0"/>
              <w:adjustRightInd w:val="0"/>
              <w:jc w:val="center"/>
              <w:rPr>
                <w:highlight w:val="yellow"/>
              </w:rPr>
            </w:pPr>
          </w:p>
        </w:tc>
        <w:tc>
          <w:tcPr>
            <w:tcW w:w="653" w:type="pct"/>
            <w:tcBorders>
              <w:top w:val="nil"/>
              <w:left w:val="nil"/>
              <w:bottom w:val="nil"/>
              <w:right w:val="nil"/>
            </w:tcBorders>
          </w:tcPr>
          <w:p w14:paraId="4FFDEFBB" w14:textId="77777777" w:rsidR="00B54D51" w:rsidRPr="00037AD4" w:rsidRDefault="00B54D51" w:rsidP="00401C67">
            <w:pPr>
              <w:widowControl w:val="0"/>
              <w:autoSpaceDE w:val="0"/>
              <w:autoSpaceDN w:val="0"/>
              <w:adjustRightInd w:val="0"/>
              <w:jc w:val="center"/>
              <w:rPr>
                <w:highlight w:val="yellow"/>
              </w:rPr>
            </w:pPr>
          </w:p>
        </w:tc>
      </w:tr>
      <w:tr w:rsidR="00B54D51" w:rsidRPr="00037AD4" w14:paraId="3647E738" w14:textId="77777777" w:rsidTr="00401C67">
        <w:trPr>
          <w:jc w:val="center"/>
        </w:trPr>
        <w:tc>
          <w:tcPr>
            <w:tcW w:w="1608" w:type="pct"/>
            <w:tcBorders>
              <w:top w:val="nil"/>
              <w:left w:val="nil"/>
              <w:bottom w:val="nil"/>
              <w:right w:val="nil"/>
            </w:tcBorders>
          </w:tcPr>
          <w:p w14:paraId="22560597" w14:textId="77777777" w:rsidR="00B54D51" w:rsidRPr="00037AD4" w:rsidRDefault="00B54D51" w:rsidP="00401C67">
            <w:pPr>
              <w:widowControl w:val="0"/>
              <w:autoSpaceDE w:val="0"/>
              <w:autoSpaceDN w:val="0"/>
              <w:adjustRightInd w:val="0"/>
            </w:pPr>
            <w:r w:rsidRPr="00037AD4">
              <w:t>2.carer_relationship_merged</w:t>
            </w:r>
          </w:p>
        </w:tc>
        <w:tc>
          <w:tcPr>
            <w:tcW w:w="695" w:type="pct"/>
            <w:tcBorders>
              <w:top w:val="nil"/>
              <w:left w:val="nil"/>
              <w:bottom w:val="nil"/>
              <w:right w:val="nil"/>
            </w:tcBorders>
          </w:tcPr>
          <w:p w14:paraId="59213A89" w14:textId="77777777" w:rsidR="00B54D51" w:rsidRPr="00037AD4" w:rsidRDefault="00B54D51" w:rsidP="00401C67">
            <w:pPr>
              <w:widowControl w:val="0"/>
              <w:autoSpaceDE w:val="0"/>
              <w:autoSpaceDN w:val="0"/>
              <w:adjustRightInd w:val="0"/>
              <w:jc w:val="center"/>
            </w:pPr>
            <w:r w:rsidRPr="00037AD4">
              <w:t>-0.188</w:t>
            </w:r>
          </w:p>
        </w:tc>
        <w:tc>
          <w:tcPr>
            <w:tcW w:w="695" w:type="pct"/>
            <w:tcBorders>
              <w:top w:val="nil"/>
              <w:left w:val="nil"/>
              <w:bottom w:val="nil"/>
              <w:right w:val="nil"/>
            </w:tcBorders>
          </w:tcPr>
          <w:p w14:paraId="6ACF7AF3" w14:textId="77777777" w:rsidR="00B54D51" w:rsidRPr="00037AD4" w:rsidRDefault="00B54D51" w:rsidP="00401C67">
            <w:pPr>
              <w:widowControl w:val="0"/>
              <w:autoSpaceDE w:val="0"/>
              <w:autoSpaceDN w:val="0"/>
              <w:adjustRightInd w:val="0"/>
              <w:jc w:val="center"/>
              <w:rPr>
                <w:highlight w:val="yellow"/>
              </w:rPr>
            </w:pPr>
          </w:p>
        </w:tc>
        <w:tc>
          <w:tcPr>
            <w:tcW w:w="696" w:type="pct"/>
            <w:tcBorders>
              <w:top w:val="nil"/>
              <w:left w:val="nil"/>
              <w:bottom w:val="nil"/>
              <w:right w:val="nil"/>
            </w:tcBorders>
          </w:tcPr>
          <w:p w14:paraId="34ACACAC" w14:textId="77777777" w:rsidR="00B54D51" w:rsidRPr="00037AD4" w:rsidRDefault="00B54D51" w:rsidP="00401C67">
            <w:pPr>
              <w:widowControl w:val="0"/>
              <w:autoSpaceDE w:val="0"/>
              <w:autoSpaceDN w:val="0"/>
              <w:adjustRightInd w:val="0"/>
              <w:jc w:val="center"/>
              <w:rPr>
                <w:highlight w:val="yellow"/>
              </w:rPr>
            </w:pPr>
          </w:p>
        </w:tc>
        <w:tc>
          <w:tcPr>
            <w:tcW w:w="654" w:type="pct"/>
            <w:tcBorders>
              <w:top w:val="nil"/>
              <w:left w:val="nil"/>
              <w:bottom w:val="nil"/>
              <w:right w:val="nil"/>
            </w:tcBorders>
          </w:tcPr>
          <w:p w14:paraId="5F6907A4" w14:textId="77777777" w:rsidR="00B54D51" w:rsidRPr="00037AD4" w:rsidRDefault="00B54D51" w:rsidP="00401C67">
            <w:pPr>
              <w:widowControl w:val="0"/>
              <w:autoSpaceDE w:val="0"/>
              <w:autoSpaceDN w:val="0"/>
              <w:adjustRightInd w:val="0"/>
              <w:jc w:val="center"/>
              <w:rPr>
                <w:highlight w:val="yellow"/>
              </w:rPr>
            </w:pPr>
          </w:p>
        </w:tc>
        <w:tc>
          <w:tcPr>
            <w:tcW w:w="653" w:type="pct"/>
            <w:tcBorders>
              <w:top w:val="nil"/>
              <w:left w:val="nil"/>
              <w:bottom w:val="nil"/>
              <w:right w:val="nil"/>
            </w:tcBorders>
          </w:tcPr>
          <w:p w14:paraId="5B571184" w14:textId="77777777" w:rsidR="00B54D51" w:rsidRPr="00037AD4" w:rsidRDefault="00B54D51" w:rsidP="00401C67">
            <w:pPr>
              <w:widowControl w:val="0"/>
              <w:autoSpaceDE w:val="0"/>
              <w:autoSpaceDN w:val="0"/>
              <w:adjustRightInd w:val="0"/>
              <w:jc w:val="center"/>
              <w:rPr>
                <w:highlight w:val="yellow"/>
              </w:rPr>
            </w:pPr>
          </w:p>
        </w:tc>
      </w:tr>
      <w:tr w:rsidR="00B54D51" w:rsidRPr="00037AD4" w14:paraId="7BBBD55B" w14:textId="77777777" w:rsidTr="00401C67">
        <w:trPr>
          <w:jc w:val="center"/>
        </w:trPr>
        <w:tc>
          <w:tcPr>
            <w:tcW w:w="1608" w:type="pct"/>
            <w:tcBorders>
              <w:top w:val="nil"/>
              <w:left w:val="nil"/>
              <w:bottom w:val="nil"/>
              <w:right w:val="nil"/>
            </w:tcBorders>
          </w:tcPr>
          <w:p w14:paraId="7F7E2941" w14:textId="77777777" w:rsidR="00B54D51" w:rsidRPr="00037AD4" w:rsidRDefault="00B54D51" w:rsidP="00401C67">
            <w:pPr>
              <w:widowControl w:val="0"/>
              <w:autoSpaceDE w:val="0"/>
              <w:autoSpaceDN w:val="0"/>
              <w:adjustRightInd w:val="0"/>
            </w:pPr>
          </w:p>
        </w:tc>
        <w:tc>
          <w:tcPr>
            <w:tcW w:w="695" w:type="pct"/>
            <w:tcBorders>
              <w:top w:val="nil"/>
              <w:left w:val="nil"/>
              <w:bottom w:val="nil"/>
              <w:right w:val="nil"/>
            </w:tcBorders>
          </w:tcPr>
          <w:p w14:paraId="2601A19E" w14:textId="77777777" w:rsidR="00B54D51" w:rsidRPr="00037AD4" w:rsidRDefault="00B54D51" w:rsidP="00401C67">
            <w:pPr>
              <w:widowControl w:val="0"/>
              <w:autoSpaceDE w:val="0"/>
              <w:autoSpaceDN w:val="0"/>
              <w:adjustRightInd w:val="0"/>
              <w:jc w:val="center"/>
            </w:pPr>
            <w:r w:rsidRPr="00037AD4">
              <w:t>(-0.702 - 0.325)</w:t>
            </w:r>
          </w:p>
        </w:tc>
        <w:tc>
          <w:tcPr>
            <w:tcW w:w="695" w:type="pct"/>
            <w:tcBorders>
              <w:top w:val="nil"/>
              <w:left w:val="nil"/>
              <w:bottom w:val="nil"/>
              <w:right w:val="nil"/>
            </w:tcBorders>
          </w:tcPr>
          <w:p w14:paraId="27A1FFBE" w14:textId="77777777" w:rsidR="00B54D51" w:rsidRPr="00037AD4" w:rsidRDefault="00B54D51" w:rsidP="00401C67">
            <w:pPr>
              <w:widowControl w:val="0"/>
              <w:autoSpaceDE w:val="0"/>
              <w:autoSpaceDN w:val="0"/>
              <w:adjustRightInd w:val="0"/>
              <w:jc w:val="center"/>
              <w:rPr>
                <w:highlight w:val="yellow"/>
              </w:rPr>
            </w:pPr>
          </w:p>
        </w:tc>
        <w:tc>
          <w:tcPr>
            <w:tcW w:w="696" w:type="pct"/>
            <w:tcBorders>
              <w:top w:val="nil"/>
              <w:left w:val="nil"/>
              <w:bottom w:val="nil"/>
              <w:right w:val="nil"/>
            </w:tcBorders>
          </w:tcPr>
          <w:p w14:paraId="0CDCF198" w14:textId="77777777" w:rsidR="00B54D51" w:rsidRPr="00037AD4" w:rsidRDefault="00B54D51" w:rsidP="00401C67">
            <w:pPr>
              <w:widowControl w:val="0"/>
              <w:autoSpaceDE w:val="0"/>
              <w:autoSpaceDN w:val="0"/>
              <w:adjustRightInd w:val="0"/>
              <w:jc w:val="center"/>
              <w:rPr>
                <w:highlight w:val="yellow"/>
              </w:rPr>
            </w:pPr>
          </w:p>
        </w:tc>
        <w:tc>
          <w:tcPr>
            <w:tcW w:w="654" w:type="pct"/>
            <w:tcBorders>
              <w:top w:val="nil"/>
              <w:left w:val="nil"/>
              <w:bottom w:val="nil"/>
              <w:right w:val="nil"/>
            </w:tcBorders>
          </w:tcPr>
          <w:p w14:paraId="132D1855" w14:textId="77777777" w:rsidR="00B54D51" w:rsidRPr="00037AD4" w:rsidRDefault="00B54D51" w:rsidP="00401C67">
            <w:pPr>
              <w:widowControl w:val="0"/>
              <w:autoSpaceDE w:val="0"/>
              <w:autoSpaceDN w:val="0"/>
              <w:adjustRightInd w:val="0"/>
              <w:jc w:val="center"/>
              <w:rPr>
                <w:highlight w:val="yellow"/>
              </w:rPr>
            </w:pPr>
          </w:p>
        </w:tc>
        <w:tc>
          <w:tcPr>
            <w:tcW w:w="653" w:type="pct"/>
            <w:tcBorders>
              <w:top w:val="nil"/>
              <w:left w:val="nil"/>
              <w:bottom w:val="nil"/>
              <w:right w:val="nil"/>
            </w:tcBorders>
          </w:tcPr>
          <w:p w14:paraId="440B2CA0" w14:textId="77777777" w:rsidR="00B54D51" w:rsidRPr="00037AD4" w:rsidRDefault="00B54D51" w:rsidP="00401C67">
            <w:pPr>
              <w:widowControl w:val="0"/>
              <w:autoSpaceDE w:val="0"/>
              <w:autoSpaceDN w:val="0"/>
              <w:adjustRightInd w:val="0"/>
              <w:jc w:val="center"/>
              <w:rPr>
                <w:highlight w:val="yellow"/>
              </w:rPr>
            </w:pPr>
          </w:p>
        </w:tc>
      </w:tr>
      <w:tr w:rsidR="00B54D51" w:rsidRPr="00037AD4" w14:paraId="33DB7550" w14:textId="77777777" w:rsidTr="00401C67">
        <w:trPr>
          <w:jc w:val="center"/>
        </w:trPr>
        <w:tc>
          <w:tcPr>
            <w:tcW w:w="1608" w:type="pct"/>
            <w:tcBorders>
              <w:top w:val="nil"/>
              <w:left w:val="nil"/>
              <w:bottom w:val="nil"/>
              <w:right w:val="nil"/>
            </w:tcBorders>
          </w:tcPr>
          <w:p w14:paraId="6FF4FF17" w14:textId="77777777" w:rsidR="00B54D51" w:rsidRPr="00037AD4" w:rsidRDefault="00B54D51" w:rsidP="00401C67">
            <w:pPr>
              <w:widowControl w:val="0"/>
              <w:autoSpaceDE w:val="0"/>
              <w:autoSpaceDN w:val="0"/>
              <w:adjustRightInd w:val="0"/>
            </w:pPr>
            <w:r w:rsidRPr="00037AD4">
              <w:t>3.carer_relationship_merged</w:t>
            </w:r>
          </w:p>
        </w:tc>
        <w:tc>
          <w:tcPr>
            <w:tcW w:w="695" w:type="pct"/>
            <w:tcBorders>
              <w:top w:val="nil"/>
              <w:left w:val="nil"/>
              <w:bottom w:val="nil"/>
              <w:right w:val="nil"/>
            </w:tcBorders>
          </w:tcPr>
          <w:p w14:paraId="24EAF916" w14:textId="77777777" w:rsidR="00B54D51" w:rsidRPr="00037AD4" w:rsidRDefault="00B54D51" w:rsidP="00401C67">
            <w:pPr>
              <w:widowControl w:val="0"/>
              <w:autoSpaceDE w:val="0"/>
              <w:autoSpaceDN w:val="0"/>
              <w:adjustRightInd w:val="0"/>
              <w:jc w:val="center"/>
            </w:pPr>
            <w:r w:rsidRPr="00037AD4">
              <w:t>-0.389</w:t>
            </w:r>
          </w:p>
        </w:tc>
        <w:tc>
          <w:tcPr>
            <w:tcW w:w="695" w:type="pct"/>
            <w:tcBorders>
              <w:top w:val="nil"/>
              <w:left w:val="nil"/>
              <w:bottom w:val="nil"/>
              <w:right w:val="nil"/>
            </w:tcBorders>
          </w:tcPr>
          <w:p w14:paraId="656291D6" w14:textId="77777777" w:rsidR="00B54D51" w:rsidRPr="00037AD4" w:rsidRDefault="00B54D51" w:rsidP="00401C67">
            <w:pPr>
              <w:widowControl w:val="0"/>
              <w:autoSpaceDE w:val="0"/>
              <w:autoSpaceDN w:val="0"/>
              <w:adjustRightInd w:val="0"/>
              <w:jc w:val="center"/>
              <w:rPr>
                <w:highlight w:val="yellow"/>
              </w:rPr>
            </w:pPr>
          </w:p>
        </w:tc>
        <w:tc>
          <w:tcPr>
            <w:tcW w:w="696" w:type="pct"/>
            <w:tcBorders>
              <w:top w:val="nil"/>
              <w:left w:val="nil"/>
              <w:bottom w:val="nil"/>
              <w:right w:val="nil"/>
            </w:tcBorders>
          </w:tcPr>
          <w:p w14:paraId="1181BE93" w14:textId="77777777" w:rsidR="00B54D51" w:rsidRPr="00037AD4" w:rsidRDefault="00B54D51" w:rsidP="00401C67">
            <w:pPr>
              <w:widowControl w:val="0"/>
              <w:autoSpaceDE w:val="0"/>
              <w:autoSpaceDN w:val="0"/>
              <w:adjustRightInd w:val="0"/>
              <w:jc w:val="center"/>
              <w:rPr>
                <w:highlight w:val="yellow"/>
              </w:rPr>
            </w:pPr>
          </w:p>
        </w:tc>
        <w:tc>
          <w:tcPr>
            <w:tcW w:w="654" w:type="pct"/>
            <w:tcBorders>
              <w:top w:val="nil"/>
              <w:left w:val="nil"/>
              <w:bottom w:val="nil"/>
              <w:right w:val="nil"/>
            </w:tcBorders>
          </w:tcPr>
          <w:p w14:paraId="3978BC3C" w14:textId="77777777" w:rsidR="00B54D51" w:rsidRPr="00037AD4" w:rsidRDefault="00B54D51" w:rsidP="00401C67">
            <w:pPr>
              <w:widowControl w:val="0"/>
              <w:autoSpaceDE w:val="0"/>
              <w:autoSpaceDN w:val="0"/>
              <w:adjustRightInd w:val="0"/>
              <w:jc w:val="center"/>
              <w:rPr>
                <w:highlight w:val="yellow"/>
              </w:rPr>
            </w:pPr>
          </w:p>
        </w:tc>
        <w:tc>
          <w:tcPr>
            <w:tcW w:w="653" w:type="pct"/>
            <w:tcBorders>
              <w:top w:val="nil"/>
              <w:left w:val="nil"/>
              <w:bottom w:val="nil"/>
              <w:right w:val="nil"/>
            </w:tcBorders>
          </w:tcPr>
          <w:p w14:paraId="67DA116D" w14:textId="77777777" w:rsidR="00B54D51" w:rsidRPr="00037AD4" w:rsidRDefault="00B54D51" w:rsidP="00401C67">
            <w:pPr>
              <w:widowControl w:val="0"/>
              <w:autoSpaceDE w:val="0"/>
              <w:autoSpaceDN w:val="0"/>
              <w:adjustRightInd w:val="0"/>
              <w:jc w:val="center"/>
              <w:rPr>
                <w:highlight w:val="yellow"/>
              </w:rPr>
            </w:pPr>
          </w:p>
        </w:tc>
      </w:tr>
      <w:tr w:rsidR="00B54D51" w:rsidRPr="00037AD4" w14:paraId="3B0FFEF4" w14:textId="77777777" w:rsidTr="00401C67">
        <w:trPr>
          <w:jc w:val="center"/>
        </w:trPr>
        <w:tc>
          <w:tcPr>
            <w:tcW w:w="1608" w:type="pct"/>
            <w:tcBorders>
              <w:top w:val="nil"/>
              <w:left w:val="nil"/>
              <w:bottom w:val="nil"/>
              <w:right w:val="nil"/>
            </w:tcBorders>
          </w:tcPr>
          <w:p w14:paraId="05305B6D" w14:textId="77777777" w:rsidR="00B54D51" w:rsidRPr="00037AD4" w:rsidRDefault="00B54D51" w:rsidP="00401C67">
            <w:pPr>
              <w:widowControl w:val="0"/>
              <w:autoSpaceDE w:val="0"/>
              <w:autoSpaceDN w:val="0"/>
              <w:adjustRightInd w:val="0"/>
            </w:pPr>
          </w:p>
        </w:tc>
        <w:tc>
          <w:tcPr>
            <w:tcW w:w="695" w:type="pct"/>
            <w:tcBorders>
              <w:top w:val="nil"/>
              <w:left w:val="nil"/>
              <w:bottom w:val="nil"/>
              <w:right w:val="nil"/>
            </w:tcBorders>
          </w:tcPr>
          <w:p w14:paraId="2B302483" w14:textId="77777777" w:rsidR="00B54D51" w:rsidRPr="00037AD4" w:rsidRDefault="00B54D51" w:rsidP="00401C67">
            <w:pPr>
              <w:widowControl w:val="0"/>
              <w:autoSpaceDE w:val="0"/>
              <w:autoSpaceDN w:val="0"/>
              <w:adjustRightInd w:val="0"/>
              <w:jc w:val="center"/>
            </w:pPr>
            <w:r w:rsidRPr="00037AD4">
              <w:t>(-1.064 - 0.286)</w:t>
            </w:r>
          </w:p>
        </w:tc>
        <w:tc>
          <w:tcPr>
            <w:tcW w:w="695" w:type="pct"/>
            <w:tcBorders>
              <w:top w:val="nil"/>
              <w:left w:val="nil"/>
              <w:bottom w:val="nil"/>
              <w:right w:val="nil"/>
            </w:tcBorders>
          </w:tcPr>
          <w:p w14:paraId="70F58D1A" w14:textId="77777777" w:rsidR="00B54D51" w:rsidRPr="00037AD4" w:rsidRDefault="00B54D51" w:rsidP="00401C67">
            <w:pPr>
              <w:widowControl w:val="0"/>
              <w:autoSpaceDE w:val="0"/>
              <w:autoSpaceDN w:val="0"/>
              <w:adjustRightInd w:val="0"/>
              <w:jc w:val="center"/>
              <w:rPr>
                <w:highlight w:val="yellow"/>
              </w:rPr>
            </w:pPr>
          </w:p>
        </w:tc>
        <w:tc>
          <w:tcPr>
            <w:tcW w:w="696" w:type="pct"/>
            <w:tcBorders>
              <w:top w:val="nil"/>
              <w:left w:val="nil"/>
              <w:bottom w:val="nil"/>
              <w:right w:val="nil"/>
            </w:tcBorders>
          </w:tcPr>
          <w:p w14:paraId="173324A5" w14:textId="77777777" w:rsidR="00B54D51" w:rsidRPr="00037AD4" w:rsidRDefault="00B54D51" w:rsidP="00401C67">
            <w:pPr>
              <w:widowControl w:val="0"/>
              <w:autoSpaceDE w:val="0"/>
              <w:autoSpaceDN w:val="0"/>
              <w:adjustRightInd w:val="0"/>
              <w:jc w:val="center"/>
              <w:rPr>
                <w:highlight w:val="yellow"/>
              </w:rPr>
            </w:pPr>
          </w:p>
        </w:tc>
        <w:tc>
          <w:tcPr>
            <w:tcW w:w="654" w:type="pct"/>
            <w:tcBorders>
              <w:top w:val="nil"/>
              <w:left w:val="nil"/>
              <w:bottom w:val="nil"/>
              <w:right w:val="nil"/>
            </w:tcBorders>
          </w:tcPr>
          <w:p w14:paraId="20118DB5" w14:textId="77777777" w:rsidR="00B54D51" w:rsidRPr="00037AD4" w:rsidRDefault="00B54D51" w:rsidP="00401C67">
            <w:pPr>
              <w:widowControl w:val="0"/>
              <w:autoSpaceDE w:val="0"/>
              <w:autoSpaceDN w:val="0"/>
              <w:adjustRightInd w:val="0"/>
              <w:jc w:val="center"/>
              <w:rPr>
                <w:highlight w:val="yellow"/>
              </w:rPr>
            </w:pPr>
          </w:p>
        </w:tc>
        <w:tc>
          <w:tcPr>
            <w:tcW w:w="653" w:type="pct"/>
            <w:tcBorders>
              <w:top w:val="nil"/>
              <w:left w:val="nil"/>
              <w:bottom w:val="nil"/>
              <w:right w:val="nil"/>
            </w:tcBorders>
          </w:tcPr>
          <w:p w14:paraId="5C762255" w14:textId="77777777" w:rsidR="00B54D51" w:rsidRPr="00037AD4" w:rsidRDefault="00B54D51" w:rsidP="00401C67">
            <w:pPr>
              <w:widowControl w:val="0"/>
              <w:autoSpaceDE w:val="0"/>
              <w:autoSpaceDN w:val="0"/>
              <w:adjustRightInd w:val="0"/>
              <w:jc w:val="center"/>
              <w:rPr>
                <w:highlight w:val="yellow"/>
              </w:rPr>
            </w:pPr>
          </w:p>
        </w:tc>
      </w:tr>
      <w:tr w:rsidR="00B54D51" w:rsidRPr="00037AD4" w14:paraId="0A57B70B" w14:textId="77777777" w:rsidTr="00401C67">
        <w:trPr>
          <w:jc w:val="center"/>
        </w:trPr>
        <w:tc>
          <w:tcPr>
            <w:tcW w:w="1608" w:type="pct"/>
            <w:tcBorders>
              <w:top w:val="nil"/>
              <w:left w:val="nil"/>
              <w:bottom w:val="nil"/>
              <w:right w:val="nil"/>
            </w:tcBorders>
          </w:tcPr>
          <w:p w14:paraId="6FB4BBF1" w14:textId="77777777" w:rsidR="00B54D51" w:rsidRPr="00037AD4" w:rsidRDefault="00B54D51" w:rsidP="00401C67">
            <w:pPr>
              <w:widowControl w:val="0"/>
              <w:autoSpaceDE w:val="0"/>
              <w:autoSpaceDN w:val="0"/>
              <w:adjustRightInd w:val="0"/>
            </w:pPr>
            <w:r w:rsidRPr="00037AD4">
              <w:t>4.carer_relationship_merged</w:t>
            </w:r>
          </w:p>
        </w:tc>
        <w:tc>
          <w:tcPr>
            <w:tcW w:w="695" w:type="pct"/>
            <w:tcBorders>
              <w:top w:val="nil"/>
              <w:left w:val="nil"/>
              <w:bottom w:val="nil"/>
              <w:right w:val="nil"/>
            </w:tcBorders>
          </w:tcPr>
          <w:p w14:paraId="039AFC93" w14:textId="77777777" w:rsidR="00B54D51" w:rsidRPr="00037AD4" w:rsidRDefault="00B54D51" w:rsidP="00401C67">
            <w:pPr>
              <w:widowControl w:val="0"/>
              <w:autoSpaceDE w:val="0"/>
              <w:autoSpaceDN w:val="0"/>
              <w:adjustRightInd w:val="0"/>
              <w:jc w:val="center"/>
            </w:pPr>
            <w:r w:rsidRPr="00037AD4">
              <w:t>-0.249</w:t>
            </w:r>
          </w:p>
        </w:tc>
        <w:tc>
          <w:tcPr>
            <w:tcW w:w="695" w:type="pct"/>
            <w:tcBorders>
              <w:top w:val="nil"/>
              <w:left w:val="nil"/>
              <w:bottom w:val="nil"/>
              <w:right w:val="nil"/>
            </w:tcBorders>
          </w:tcPr>
          <w:p w14:paraId="6BD835CB" w14:textId="77777777" w:rsidR="00B54D51" w:rsidRPr="00037AD4" w:rsidRDefault="00B54D51" w:rsidP="00401C67">
            <w:pPr>
              <w:widowControl w:val="0"/>
              <w:autoSpaceDE w:val="0"/>
              <w:autoSpaceDN w:val="0"/>
              <w:adjustRightInd w:val="0"/>
              <w:jc w:val="center"/>
              <w:rPr>
                <w:highlight w:val="yellow"/>
              </w:rPr>
            </w:pPr>
          </w:p>
        </w:tc>
        <w:tc>
          <w:tcPr>
            <w:tcW w:w="696" w:type="pct"/>
            <w:tcBorders>
              <w:top w:val="nil"/>
              <w:left w:val="nil"/>
              <w:bottom w:val="nil"/>
              <w:right w:val="nil"/>
            </w:tcBorders>
          </w:tcPr>
          <w:p w14:paraId="609494E5" w14:textId="77777777" w:rsidR="00B54D51" w:rsidRPr="00037AD4" w:rsidRDefault="00B54D51" w:rsidP="00401C67">
            <w:pPr>
              <w:widowControl w:val="0"/>
              <w:autoSpaceDE w:val="0"/>
              <w:autoSpaceDN w:val="0"/>
              <w:adjustRightInd w:val="0"/>
              <w:jc w:val="center"/>
              <w:rPr>
                <w:highlight w:val="yellow"/>
              </w:rPr>
            </w:pPr>
          </w:p>
        </w:tc>
        <w:tc>
          <w:tcPr>
            <w:tcW w:w="654" w:type="pct"/>
            <w:tcBorders>
              <w:top w:val="nil"/>
              <w:left w:val="nil"/>
              <w:bottom w:val="nil"/>
              <w:right w:val="nil"/>
            </w:tcBorders>
          </w:tcPr>
          <w:p w14:paraId="3F21019D" w14:textId="77777777" w:rsidR="00B54D51" w:rsidRPr="00037AD4" w:rsidRDefault="00B54D51" w:rsidP="00401C67">
            <w:pPr>
              <w:widowControl w:val="0"/>
              <w:autoSpaceDE w:val="0"/>
              <w:autoSpaceDN w:val="0"/>
              <w:adjustRightInd w:val="0"/>
              <w:jc w:val="center"/>
              <w:rPr>
                <w:highlight w:val="yellow"/>
              </w:rPr>
            </w:pPr>
          </w:p>
        </w:tc>
        <w:tc>
          <w:tcPr>
            <w:tcW w:w="653" w:type="pct"/>
            <w:tcBorders>
              <w:top w:val="nil"/>
              <w:left w:val="nil"/>
              <w:bottom w:val="nil"/>
              <w:right w:val="nil"/>
            </w:tcBorders>
          </w:tcPr>
          <w:p w14:paraId="7047B781" w14:textId="77777777" w:rsidR="00B54D51" w:rsidRPr="00037AD4" w:rsidRDefault="00B54D51" w:rsidP="00401C67">
            <w:pPr>
              <w:widowControl w:val="0"/>
              <w:autoSpaceDE w:val="0"/>
              <w:autoSpaceDN w:val="0"/>
              <w:adjustRightInd w:val="0"/>
              <w:jc w:val="center"/>
              <w:rPr>
                <w:highlight w:val="yellow"/>
              </w:rPr>
            </w:pPr>
          </w:p>
        </w:tc>
      </w:tr>
      <w:tr w:rsidR="00B54D51" w:rsidRPr="00037AD4" w14:paraId="1DC6F1D8" w14:textId="77777777" w:rsidTr="00401C67">
        <w:trPr>
          <w:jc w:val="center"/>
        </w:trPr>
        <w:tc>
          <w:tcPr>
            <w:tcW w:w="1608" w:type="pct"/>
            <w:tcBorders>
              <w:top w:val="nil"/>
              <w:left w:val="nil"/>
              <w:bottom w:val="nil"/>
              <w:right w:val="nil"/>
            </w:tcBorders>
          </w:tcPr>
          <w:p w14:paraId="6215D91E" w14:textId="77777777" w:rsidR="00B54D51" w:rsidRPr="00037AD4" w:rsidRDefault="00B54D51" w:rsidP="00401C67">
            <w:pPr>
              <w:widowControl w:val="0"/>
              <w:autoSpaceDE w:val="0"/>
              <w:autoSpaceDN w:val="0"/>
              <w:adjustRightInd w:val="0"/>
            </w:pPr>
          </w:p>
        </w:tc>
        <w:tc>
          <w:tcPr>
            <w:tcW w:w="695" w:type="pct"/>
            <w:tcBorders>
              <w:top w:val="nil"/>
              <w:left w:val="nil"/>
              <w:bottom w:val="nil"/>
              <w:right w:val="nil"/>
            </w:tcBorders>
          </w:tcPr>
          <w:p w14:paraId="7B372F9B" w14:textId="77777777" w:rsidR="00B54D51" w:rsidRPr="00037AD4" w:rsidRDefault="00B54D51" w:rsidP="00401C67">
            <w:pPr>
              <w:widowControl w:val="0"/>
              <w:autoSpaceDE w:val="0"/>
              <w:autoSpaceDN w:val="0"/>
              <w:adjustRightInd w:val="0"/>
              <w:jc w:val="center"/>
            </w:pPr>
            <w:r w:rsidRPr="00037AD4">
              <w:t>(-1.080 - 0.583)</w:t>
            </w:r>
          </w:p>
        </w:tc>
        <w:tc>
          <w:tcPr>
            <w:tcW w:w="695" w:type="pct"/>
            <w:tcBorders>
              <w:top w:val="nil"/>
              <w:left w:val="nil"/>
              <w:bottom w:val="nil"/>
              <w:right w:val="nil"/>
            </w:tcBorders>
          </w:tcPr>
          <w:p w14:paraId="0F2A5A1A" w14:textId="77777777" w:rsidR="00B54D51" w:rsidRPr="00037AD4" w:rsidRDefault="00B54D51" w:rsidP="00401C67">
            <w:pPr>
              <w:widowControl w:val="0"/>
              <w:autoSpaceDE w:val="0"/>
              <w:autoSpaceDN w:val="0"/>
              <w:adjustRightInd w:val="0"/>
              <w:jc w:val="center"/>
              <w:rPr>
                <w:highlight w:val="yellow"/>
              </w:rPr>
            </w:pPr>
          </w:p>
        </w:tc>
        <w:tc>
          <w:tcPr>
            <w:tcW w:w="696" w:type="pct"/>
            <w:tcBorders>
              <w:top w:val="nil"/>
              <w:left w:val="nil"/>
              <w:bottom w:val="nil"/>
              <w:right w:val="nil"/>
            </w:tcBorders>
          </w:tcPr>
          <w:p w14:paraId="66CF569C" w14:textId="77777777" w:rsidR="00B54D51" w:rsidRPr="00037AD4" w:rsidRDefault="00B54D51" w:rsidP="00401C67">
            <w:pPr>
              <w:widowControl w:val="0"/>
              <w:autoSpaceDE w:val="0"/>
              <w:autoSpaceDN w:val="0"/>
              <w:adjustRightInd w:val="0"/>
              <w:jc w:val="center"/>
              <w:rPr>
                <w:highlight w:val="yellow"/>
              </w:rPr>
            </w:pPr>
          </w:p>
        </w:tc>
        <w:tc>
          <w:tcPr>
            <w:tcW w:w="654" w:type="pct"/>
            <w:tcBorders>
              <w:top w:val="nil"/>
              <w:left w:val="nil"/>
              <w:bottom w:val="nil"/>
              <w:right w:val="nil"/>
            </w:tcBorders>
          </w:tcPr>
          <w:p w14:paraId="3B3A7D3B" w14:textId="77777777" w:rsidR="00B54D51" w:rsidRPr="00037AD4" w:rsidRDefault="00B54D51" w:rsidP="00401C67">
            <w:pPr>
              <w:widowControl w:val="0"/>
              <w:autoSpaceDE w:val="0"/>
              <w:autoSpaceDN w:val="0"/>
              <w:adjustRightInd w:val="0"/>
              <w:jc w:val="center"/>
              <w:rPr>
                <w:highlight w:val="yellow"/>
              </w:rPr>
            </w:pPr>
          </w:p>
        </w:tc>
        <w:tc>
          <w:tcPr>
            <w:tcW w:w="653" w:type="pct"/>
            <w:tcBorders>
              <w:top w:val="nil"/>
              <w:left w:val="nil"/>
              <w:bottom w:val="nil"/>
              <w:right w:val="nil"/>
            </w:tcBorders>
          </w:tcPr>
          <w:p w14:paraId="4DE3231D" w14:textId="77777777" w:rsidR="00B54D51" w:rsidRPr="00037AD4" w:rsidRDefault="00B54D51" w:rsidP="00401C67">
            <w:pPr>
              <w:widowControl w:val="0"/>
              <w:autoSpaceDE w:val="0"/>
              <w:autoSpaceDN w:val="0"/>
              <w:adjustRightInd w:val="0"/>
              <w:jc w:val="center"/>
              <w:rPr>
                <w:highlight w:val="yellow"/>
              </w:rPr>
            </w:pPr>
          </w:p>
        </w:tc>
      </w:tr>
      <w:tr w:rsidR="00B54D51" w:rsidRPr="00037AD4" w14:paraId="6C72F554" w14:textId="77777777" w:rsidTr="00401C67">
        <w:trPr>
          <w:jc w:val="center"/>
        </w:trPr>
        <w:tc>
          <w:tcPr>
            <w:tcW w:w="1608" w:type="pct"/>
            <w:tcBorders>
              <w:top w:val="nil"/>
              <w:left w:val="nil"/>
              <w:bottom w:val="nil"/>
              <w:right w:val="nil"/>
            </w:tcBorders>
          </w:tcPr>
          <w:p w14:paraId="7438AAEE" w14:textId="77777777" w:rsidR="00B54D51" w:rsidRPr="00037AD4" w:rsidRDefault="00B54D51" w:rsidP="00401C67">
            <w:pPr>
              <w:widowControl w:val="0"/>
              <w:autoSpaceDE w:val="0"/>
              <w:autoSpaceDN w:val="0"/>
              <w:adjustRightInd w:val="0"/>
            </w:pPr>
            <w:r w:rsidRPr="00037AD4">
              <w:t>/cut1</w:t>
            </w:r>
          </w:p>
        </w:tc>
        <w:tc>
          <w:tcPr>
            <w:tcW w:w="695" w:type="pct"/>
            <w:tcBorders>
              <w:top w:val="nil"/>
              <w:left w:val="nil"/>
              <w:bottom w:val="nil"/>
              <w:right w:val="nil"/>
            </w:tcBorders>
          </w:tcPr>
          <w:p w14:paraId="3D0266E5" w14:textId="77777777" w:rsidR="00B54D51" w:rsidRPr="00037AD4" w:rsidRDefault="00B54D51" w:rsidP="00401C67">
            <w:pPr>
              <w:widowControl w:val="0"/>
              <w:autoSpaceDE w:val="0"/>
              <w:autoSpaceDN w:val="0"/>
              <w:adjustRightInd w:val="0"/>
              <w:jc w:val="center"/>
            </w:pPr>
            <w:r w:rsidRPr="00037AD4">
              <w:t>0.155</w:t>
            </w:r>
          </w:p>
        </w:tc>
        <w:tc>
          <w:tcPr>
            <w:tcW w:w="695" w:type="pct"/>
            <w:tcBorders>
              <w:top w:val="nil"/>
              <w:left w:val="nil"/>
              <w:bottom w:val="nil"/>
              <w:right w:val="nil"/>
            </w:tcBorders>
          </w:tcPr>
          <w:p w14:paraId="2032318A" w14:textId="77777777" w:rsidR="00B54D51" w:rsidRPr="00037AD4" w:rsidRDefault="00B54D51" w:rsidP="00401C67">
            <w:pPr>
              <w:widowControl w:val="0"/>
              <w:autoSpaceDE w:val="0"/>
              <w:autoSpaceDN w:val="0"/>
              <w:adjustRightInd w:val="0"/>
              <w:jc w:val="center"/>
              <w:rPr>
                <w:highlight w:val="yellow"/>
              </w:rPr>
            </w:pPr>
            <w:r w:rsidRPr="00037AD4">
              <w:t>0.365</w:t>
            </w:r>
          </w:p>
        </w:tc>
        <w:tc>
          <w:tcPr>
            <w:tcW w:w="696" w:type="pct"/>
            <w:tcBorders>
              <w:top w:val="nil"/>
              <w:left w:val="nil"/>
              <w:bottom w:val="nil"/>
              <w:right w:val="nil"/>
            </w:tcBorders>
          </w:tcPr>
          <w:p w14:paraId="40A34683" w14:textId="77777777" w:rsidR="00B54D51" w:rsidRPr="00037AD4" w:rsidRDefault="00B54D51" w:rsidP="00401C67">
            <w:pPr>
              <w:widowControl w:val="0"/>
              <w:autoSpaceDE w:val="0"/>
              <w:autoSpaceDN w:val="0"/>
              <w:adjustRightInd w:val="0"/>
              <w:jc w:val="center"/>
              <w:rPr>
                <w:highlight w:val="yellow"/>
              </w:rPr>
            </w:pPr>
            <w:r w:rsidRPr="00037AD4">
              <w:t>0.348</w:t>
            </w:r>
          </w:p>
        </w:tc>
        <w:tc>
          <w:tcPr>
            <w:tcW w:w="654" w:type="pct"/>
            <w:tcBorders>
              <w:top w:val="nil"/>
              <w:left w:val="nil"/>
              <w:bottom w:val="nil"/>
              <w:right w:val="nil"/>
            </w:tcBorders>
          </w:tcPr>
          <w:p w14:paraId="52D4DF17" w14:textId="77777777" w:rsidR="00B54D51" w:rsidRPr="00037AD4" w:rsidRDefault="00B54D51" w:rsidP="00401C67">
            <w:pPr>
              <w:widowControl w:val="0"/>
              <w:autoSpaceDE w:val="0"/>
              <w:autoSpaceDN w:val="0"/>
              <w:adjustRightInd w:val="0"/>
              <w:rPr>
                <w:highlight w:val="yellow"/>
              </w:rPr>
            </w:pPr>
            <w:r w:rsidRPr="00037AD4">
              <w:t>0.458***</w:t>
            </w:r>
          </w:p>
        </w:tc>
        <w:tc>
          <w:tcPr>
            <w:tcW w:w="653" w:type="pct"/>
            <w:tcBorders>
              <w:top w:val="nil"/>
              <w:left w:val="nil"/>
              <w:bottom w:val="nil"/>
              <w:right w:val="nil"/>
            </w:tcBorders>
          </w:tcPr>
          <w:p w14:paraId="4B7F447B" w14:textId="77777777" w:rsidR="00B54D51" w:rsidRPr="00037AD4" w:rsidRDefault="00B54D51" w:rsidP="00401C67">
            <w:pPr>
              <w:widowControl w:val="0"/>
              <w:autoSpaceDE w:val="0"/>
              <w:autoSpaceDN w:val="0"/>
              <w:adjustRightInd w:val="0"/>
            </w:pPr>
            <w:r w:rsidRPr="00037AD4">
              <w:t>0.598</w:t>
            </w:r>
          </w:p>
        </w:tc>
      </w:tr>
      <w:tr w:rsidR="00B54D51" w:rsidRPr="00037AD4" w14:paraId="4D7E557C" w14:textId="77777777" w:rsidTr="00401C67">
        <w:trPr>
          <w:jc w:val="center"/>
        </w:trPr>
        <w:tc>
          <w:tcPr>
            <w:tcW w:w="1608" w:type="pct"/>
            <w:tcBorders>
              <w:top w:val="nil"/>
              <w:left w:val="nil"/>
              <w:bottom w:val="nil"/>
              <w:right w:val="nil"/>
            </w:tcBorders>
          </w:tcPr>
          <w:p w14:paraId="113A7EC5" w14:textId="77777777" w:rsidR="00B54D51" w:rsidRPr="00037AD4" w:rsidRDefault="00B54D51" w:rsidP="00401C67">
            <w:pPr>
              <w:widowControl w:val="0"/>
              <w:autoSpaceDE w:val="0"/>
              <w:autoSpaceDN w:val="0"/>
              <w:adjustRightInd w:val="0"/>
            </w:pPr>
          </w:p>
        </w:tc>
        <w:tc>
          <w:tcPr>
            <w:tcW w:w="695" w:type="pct"/>
            <w:tcBorders>
              <w:top w:val="nil"/>
              <w:left w:val="nil"/>
              <w:bottom w:val="nil"/>
              <w:right w:val="nil"/>
            </w:tcBorders>
          </w:tcPr>
          <w:p w14:paraId="0C1E0ABC" w14:textId="77777777" w:rsidR="00B54D51" w:rsidRPr="00037AD4" w:rsidRDefault="00B54D51" w:rsidP="00401C67">
            <w:pPr>
              <w:widowControl w:val="0"/>
              <w:autoSpaceDE w:val="0"/>
              <w:autoSpaceDN w:val="0"/>
              <w:adjustRightInd w:val="0"/>
              <w:jc w:val="center"/>
            </w:pPr>
            <w:r w:rsidRPr="00037AD4">
              <w:t>(-1.098 - 1.408)</w:t>
            </w:r>
          </w:p>
        </w:tc>
        <w:tc>
          <w:tcPr>
            <w:tcW w:w="695" w:type="pct"/>
            <w:tcBorders>
              <w:top w:val="nil"/>
              <w:left w:val="nil"/>
              <w:bottom w:val="nil"/>
              <w:right w:val="nil"/>
            </w:tcBorders>
          </w:tcPr>
          <w:p w14:paraId="778E867D" w14:textId="77777777" w:rsidR="00B54D51" w:rsidRPr="00037AD4" w:rsidRDefault="00B54D51" w:rsidP="00401C67">
            <w:pPr>
              <w:widowControl w:val="0"/>
              <w:autoSpaceDE w:val="0"/>
              <w:autoSpaceDN w:val="0"/>
              <w:adjustRightInd w:val="0"/>
              <w:jc w:val="center"/>
              <w:rPr>
                <w:highlight w:val="yellow"/>
              </w:rPr>
            </w:pPr>
            <w:r w:rsidRPr="00037AD4">
              <w:t>(-0.574 - 1.303)</w:t>
            </w:r>
          </w:p>
        </w:tc>
        <w:tc>
          <w:tcPr>
            <w:tcW w:w="696" w:type="pct"/>
            <w:tcBorders>
              <w:top w:val="nil"/>
              <w:left w:val="nil"/>
              <w:bottom w:val="nil"/>
              <w:right w:val="nil"/>
            </w:tcBorders>
          </w:tcPr>
          <w:p w14:paraId="31CA7275" w14:textId="77777777" w:rsidR="00B54D51" w:rsidRPr="00037AD4" w:rsidRDefault="00B54D51" w:rsidP="00401C67">
            <w:pPr>
              <w:widowControl w:val="0"/>
              <w:autoSpaceDE w:val="0"/>
              <w:autoSpaceDN w:val="0"/>
              <w:adjustRightInd w:val="0"/>
              <w:jc w:val="center"/>
              <w:rPr>
                <w:highlight w:val="yellow"/>
              </w:rPr>
            </w:pPr>
            <w:r w:rsidRPr="00037AD4">
              <w:t>(-0.590 - 1.285)</w:t>
            </w:r>
          </w:p>
        </w:tc>
        <w:tc>
          <w:tcPr>
            <w:tcW w:w="654" w:type="pct"/>
            <w:tcBorders>
              <w:top w:val="nil"/>
              <w:left w:val="nil"/>
              <w:bottom w:val="nil"/>
              <w:right w:val="nil"/>
            </w:tcBorders>
          </w:tcPr>
          <w:p w14:paraId="3E95AE86" w14:textId="77777777" w:rsidR="00B54D51" w:rsidRPr="00037AD4" w:rsidRDefault="00B54D51" w:rsidP="00401C67">
            <w:pPr>
              <w:widowControl w:val="0"/>
              <w:autoSpaceDE w:val="0"/>
              <w:autoSpaceDN w:val="0"/>
              <w:adjustRightInd w:val="0"/>
              <w:rPr>
                <w:highlight w:val="yellow"/>
              </w:rPr>
            </w:pPr>
            <w:r w:rsidRPr="00037AD4">
              <w:t>(0.120 - 0.796)</w:t>
            </w:r>
          </w:p>
        </w:tc>
        <w:tc>
          <w:tcPr>
            <w:tcW w:w="653" w:type="pct"/>
            <w:tcBorders>
              <w:top w:val="nil"/>
              <w:left w:val="nil"/>
              <w:bottom w:val="nil"/>
              <w:right w:val="nil"/>
            </w:tcBorders>
          </w:tcPr>
          <w:p w14:paraId="0F55111E" w14:textId="77777777" w:rsidR="00B54D51" w:rsidRPr="00037AD4" w:rsidRDefault="00B54D51" w:rsidP="00401C67">
            <w:pPr>
              <w:widowControl w:val="0"/>
              <w:autoSpaceDE w:val="0"/>
              <w:autoSpaceDN w:val="0"/>
              <w:adjustRightInd w:val="0"/>
            </w:pPr>
            <w:r w:rsidRPr="00037AD4">
              <w:t>(-0.293 - 1.489)</w:t>
            </w:r>
          </w:p>
        </w:tc>
      </w:tr>
      <w:tr w:rsidR="00B54D51" w:rsidRPr="00037AD4" w14:paraId="61BB5855" w14:textId="77777777" w:rsidTr="00401C67">
        <w:trPr>
          <w:jc w:val="center"/>
        </w:trPr>
        <w:tc>
          <w:tcPr>
            <w:tcW w:w="1608" w:type="pct"/>
            <w:tcBorders>
              <w:top w:val="nil"/>
              <w:left w:val="nil"/>
              <w:bottom w:val="nil"/>
              <w:right w:val="nil"/>
            </w:tcBorders>
          </w:tcPr>
          <w:p w14:paraId="02A2489F" w14:textId="77777777" w:rsidR="00B54D51" w:rsidRPr="00037AD4" w:rsidRDefault="00B54D51" w:rsidP="00401C67">
            <w:pPr>
              <w:widowControl w:val="0"/>
              <w:autoSpaceDE w:val="0"/>
              <w:autoSpaceDN w:val="0"/>
              <w:adjustRightInd w:val="0"/>
            </w:pPr>
            <w:r w:rsidRPr="00037AD4">
              <w:t>/cut2</w:t>
            </w:r>
          </w:p>
        </w:tc>
        <w:tc>
          <w:tcPr>
            <w:tcW w:w="695" w:type="pct"/>
            <w:tcBorders>
              <w:top w:val="nil"/>
              <w:left w:val="nil"/>
              <w:bottom w:val="nil"/>
              <w:right w:val="nil"/>
            </w:tcBorders>
          </w:tcPr>
          <w:p w14:paraId="26C8B5AF" w14:textId="77777777" w:rsidR="00B54D51" w:rsidRPr="00037AD4" w:rsidRDefault="00B54D51" w:rsidP="00401C67">
            <w:pPr>
              <w:widowControl w:val="0"/>
              <w:autoSpaceDE w:val="0"/>
              <w:autoSpaceDN w:val="0"/>
              <w:adjustRightInd w:val="0"/>
              <w:jc w:val="center"/>
            </w:pPr>
            <w:r w:rsidRPr="00037AD4">
              <w:t>1.079*</w:t>
            </w:r>
          </w:p>
        </w:tc>
        <w:tc>
          <w:tcPr>
            <w:tcW w:w="695" w:type="pct"/>
            <w:tcBorders>
              <w:top w:val="nil"/>
              <w:left w:val="nil"/>
              <w:bottom w:val="nil"/>
              <w:right w:val="nil"/>
            </w:tcBorders>
          </w:tcPr>
          <w:p w14:paraId="7CEEBDB5" w14:textId="77777777" w:rsidR="00B54D51" w:rsidRPr="00037AD4" w:rsidRDefault="00B54D51" w:rsidP="00401C67">
            <w:pPr>
              <w:widowControl w:val="0"/>
              <w:autoSpaceDE w:val="0"/>
              <w:autoSpaceDN w:val="0"/>
              <w:adjustRightInd w:val="0"/>
              <w:jc w:val="center"/>
              <w:rPr>
                <w:highlight w:val="yellow"/>
              </w:rPr>
            </w:pPr>
            <w:r w:rsidRPr="00037AD4">
              <w:t>1.220**</w:t>
            </w:r>
          </w:p>
        </w:tc>
        <w:tc>
          <w:tcPr>
            <w:tcW w:w="696" w:type="pct"/>
            <w:tcBorders>
              <w:top w:val="nil"/>
              <w:left w:val="nil"/>
              <w:bottom w:val="nil"/>
              <w:right w:val="nil"/>
            </w:tcBorders>
          </w:tcPr>
          <w:p w14:paraId="6DF0D65E" w14:textId="77777777" w:rsidR="00B54D51" w:rsidRPr="00037AD4" w:rsidRDefault="00B54D51" w:rsidP="00401C67">
            <w:pPr>
              <w:widowControl w:val="0"/>
              <w:autoSpaceDE w:val="0"/>
              <w:autoSpaceDN w:val="0"/>
              <w:adjustRightInd w:val="0"/>
              <w:jc w:val="center"/>
              <w:rPr>
                <w:highlight w:val="yellow"/>
              </w:rPr>
            </w:pPr>
            <w:r w:rsidRPr="00037AD4">
              <w:t>1.202**</w:t>
            </w:r>
          </w:p>
        </w:tc>
        <w:tc>
          <w:tcPr>
            <w:tcW w:w="654" w:type="pct"/>
            <w:tcBorders>
              <w:top w:val="nil"/>
              <w:left w:val="nil"/>
              <w:bottom w:val="nil"/>
              <w:right w:val="nil"/>
            </w:tcBorders>
          </w:tcPr>
          <w:p w14:paraId="4B5CB9AD" w14:textId="77777777" w:rsidR="00B54D51" w:rsidRPr="00037AD4" w:rsidRDefault="00B54D51" w:rsidP="00401C67">
            <w:pPr>
              <w:widowControl w:val="0"/>
              <w:autoSpaceDE w:val="0"/>
              <w:autoSpaceDN w:val="0"/>
              <w:adjustRightInd w:val="0"/>
              <w:rPr>
                <w:highlight w:val="yellow"/>
              </w:rPr>
            </w:pPr>
            <w:r w:rsidRPr="00037AD4">
              <w:t>1.313***</w:t>
            </w:r>
          </w:p>
        </w:tc>
        <w:tc>
          <w:tcPr>
            <w:tcW w:w="653" w:type="pct"/>
            <w:tcBorders>
              <w:top w:val="nil"/>
              <w:left w:val="nil"/>
              <w:bottom w:val="nil"/>
              <w:right w:val="nil"/>
            </w:tcBorders>
          </w:tcPr>
          <w:p w14:paraId="3F4C007C" w14:textId="77777777" w:rsidR="00B54D51" w:rsidRPr="00037AD4" w:rsidRDefault="00B54D51" w:rsidP="00401C67">
            <w:pPr>
              <w:widowControl w:val="0"/>
              <w:autoSpaceDE w:val="0"/>
              <w:autoSpaceDN w:val="0"/>
              <w:adjustRightInd w:val="0"/>
            </w:pPr>
            <w:r w:rsidRPr="00037AD4">
              <w:t>1.459***</w:t>
            </w:r>
          </w:p>
        </w:tc>
      </w:tr>
      <w:tr w:rsidR="00B54D51" w:rsidRPr="00037AD4" w14:paraId="43E65160" w14:textId="77777777" w:rsidTr="00401C67">
        <w:trPr>
          <w:jc w:val="center"/>
        </w:trPr>
        <w:tc>
          <w:tcPr>
            <w:tcW w:w="1608" w:type="pct"/>
            <w:tcBorders>
              <w:top w:val="nil"/>
              <w:left w:val="nil"/>
              <w:bottom w:val="nil"/>
              <w:right w:val="nil"/>
            </w:tcBorders>
          </w:tcPr>
          <w:p w14:paraId="6B389310" w14:textId="77777777" w:rsidR="00B54D51" w:rsidRPr="00037AD4" w:rsidRDefault="00B54D51" w:rsidP="00401C67">
            <w:pPr>
              <w:widowControl w:val="0"/>
              <w:autoSpaceDE w:val="0"/>
              <w:autoSpaceDN w:val="0"/>
              <w:adjustRightInd w:val="0"/>
            </w:pPr>
          </w:p>
        </w:tc>
        <w:tc>
          <w:tcPr>
            <w:tcW w:w="695" w:type="pct"/>
            <w:tcBorders>
              <w:top w:val="nil"/>
              <w:left w:val="nil"/>
              <w:bottom w:val="nil"/>
              <w:right w:val="nil"/>
            </w:tcBorders>
          </w:tcPr>
          <w:p w14:paraId="746EB303" w14:textId="77777777" w:rsidR="00B54D51" w:rsidRPr="00037AD4" w:rsidRDefault="00B54D51" w:rsidP="00401C67">
            <w:pPr>
              <w:widowControl w:val="0"/>
              <w:autoSpaceDE w:val="0"/>
              <w:autoSpaceDN w:val="0"/>
              <w:adjustRightInd w:val="0"/>
              <w:jc w:val="center"/>
            </w:pPr>
            <w:r w:rsidRPr="00037AD4">
              <w:t>(-0.176 - 2.334)</w:t>
            </w:r>
          </w:p>
        </w:tc>
        <w:tc>
          <w:tcPr>
            <w:tcW w:w="695" w:type="pct"/>
            <w:tcBorders>
              <w:top w:val="nil"/>
              <w:left w:val="nil"/>
              <w:bottom w:val="nil"/>
              <w:right w:val="nil"/>
            </w:tcBorders>
          </w:tcPr>
          <w:p w14:paraId="55D67100" w14:textId="77777777" w:rsidR="00B54D51" w:rsidRPr="00037AD4" w:rsidRDefault="00B54D51" w:rsidP="00401C67">
            <w:pPr>
              <w:widowControl w:val="0"/>
              <w:autoSpaceDE w:val="0"/>
              <w:autoSpaceDN w:val="0"/>
              <w:adjustRightInd w:val="0"/>
              <w:jc w:val="center"/>
              <w:rPr>
                <w:highlight w:val="yellow"/>
              </w:rPr>
            </w:pPr>
            <w:r w:rsidRPr="00037AD4">
              <w:t>(0.279 - 2.161)</w:t>
            </w:r>
          </w:p>
        </w:tc>
        <w:tc>
          <w:tcPr>
            <w:tcW w:w="696" w:type="pct"/>
            <w:tcBorders>
              <w:top w:val="nil"/>
              <w:left w:val="nil"/>
              <w:bottom w:val="nil"/>
              <w:right w:val="nil"/>
            </w:tcBorders>
          </w:tcPr>
          <w:p w14:paraId="1EB9F108" w14:textId="77777777" w:rsidR="00B54D51" w:rsidRPr="00037AD4" w:rsidRDefault="00B54D51" w:rsidP="00401C67">
            <w:pPr>
              <w:widowControl w:val="0"/>
              <w:autoSpaceDE w:val="0"/>
              <w:autoSpaceDN w:val="0"/>
              <w:adjustRightInd w:val="0"/>
              <w:jc w:val="center"/>
              <w:rPr>
                <w:highlight w:val="yellow"/>
              </w:rPr>
            </w:pPr>
            <w:r w:rsidRPr="00037AD4">
              <w:t>(0.262 - 2.143)</w:t>
            </w:r>
          </w:p>
        </w:tc>
        <w:tc>
          <w:tcPr>
            <w:tcW w:w="654" w:type="pct"/>
            <w:tcBorders>
              <w:top w:val="nil"/>
              <w:left w:val="nil"/>
              <w:bottom w:val="nil"/>
              <w:right w:val="nil"/>
            </w:tcBorders>
          </w:tcPr>
          <w:p w14:paraId="5E608630" w14:textId="77777777" w:rsidR="00B54D51" w:rsidRPr="00037AD4" w:rsidRDefault="00B54D51" w:rsidP="00401C67">
            <w:pPr>
              <w:widowControl w:val="0"/>
              <w:autoSpaceDE w:val="0"/>
              <w:autoSpaceDN w:val="0"/>
              <w:adjustRightInd w:val="0"/>
              <w:rPr>
                <w:highlight w:val="yellow"/>
              </w:rPr>
            </w:pPr>
            <w:r w:rsidRPr="00037AD4">
              <w:t>(0.964 - 1.662)</w:t>
            </w:r>
          </w:p>
        </w:tc>
        <w:tc>
          <w:tcPr>
            <w:tcW w:w="653" w:type="pct"/>
            <w:tcBorders>
              <w:top w:val="nil"/>
              <w:left w:val="nil"/>
              <w:bottom w:val="nil"/>
              <w:right w:val="nil"/>
            </w:tcBorders>
          </w:tcPr>
          <w:p w14:paraId="3808C7D0" w14:textId="77777777" w:rsidR="00B54D51" w:rsidRPr="00037AD4" w:rsidRDefault="00B54D51" w:rsidP="00401C67">
            <w:pPr>
              <w:widowControl w:val="0"/>
              <w:autoSpaceDE w:val="0"/>
              <w:autoSpaceDN w:val="0"/>
              <w:adjustRightInd w:val="0"/>
            </w:pPr>
            <w:r w:rsidRPr="00037AD4">
              <w:t>(0.563 - 2.354)</w:t>
            </w:r>
          </w:p>
        </w:tc>
      </w:tr>
      <w:tr w:rsidR="00B54D51" w:rsidRPr="00037AD4" w14:paraId="0E34E578" w14:textId="77777777" w:rsidTr="00401C67">
        <w:trPr>
          <w:jc w:val="center"/>
        </w:trPr>
        <w:tc>
          <w:tcPr>
            <w:tcW w:w="1608" w:type="pct"/>
            <w:tcBorders>
              <w:top w:val="nil"/>
              <w:left w:val="nil"/>
              <w:bottom w:val="nil"/>
              <w:right w:val="nil"/>
            </w:tcBorders>
          </w:tcPr>
          <w:p w14:paraId="75CCAF68" w14:textId="77777777" w:rsidR="00B54D51" w:rsidRPr="00037AD4" w:rsidRDefault="00B54D51" w:rsidP="00401C67">
            <w:pPr>
              <w:widowControl w:val="0"/>
              <w:autoSpaceDE w:val="0"/>
              <w:autoSpaceDN w:val="0"/>
              <w:adjustRightInd w:val="0"/>
            </w:pPr>
            <w:r w:rsidRPr="00037AD4">
              <w:t>/cut3</w:t>
            </w:r>
          </w:p>
        </w:tc>
        <w:tc>
          <w:tcPr>
            <w:tcW w:w="695" w:type="pct"/>
            <w:tcBorders>
              <w:top w:val="nil"/>
              <w:left w:val="nil"/>
              <w:bottom w:val="nil"/>
              <w:right w:val="nil"/>
            </w:tcBorders>
          </w:tcPr>
          <w:p w14:paraId="48721953" w14:textId="77777777" w:rsidR="00B54D51" w:rsidRPr="00037AD4" w:rsidRDefault="00B54D51" w:rsidP="00401C67">
            <w:pPr>
              <w:widowControl w:val="0"/>
              <w:autoSpaceDE w:val="0"/>
              <w:autoSpaceDN w:val="0"/>
              <w:adjustRightInd w:val="0"/>
              <w:jc w:val="center"/>
            </w:pPr>
            <w:r w:rsidRPr="00037AD4">
              <w:t>2.124***</w:t>
            </w:r>
          </w:p>
        </w:tc>
        <w:tc>
          <w:tcPr>
            <w:tcW w:w="695" w:type="pct"/>
            <w:tcBorders>
              <w:top w:val="nil"/>
              <w:left w:val="nil"/>
              <w:bottom w:val="nil"/>
              <w:right w:val="nil"/>
            </w:tcBorders>
          </w:tcPr>
          <w:p w14:paraId="5C425865" w14:textId="77777777" w:rsidR="00B54D51" w:rsidRPr="00037AD4" w:rsidRDefault="00B54D51" w:rsidP="00401C67">
            <w:pPr>
              <w:widowControl w:val="0"/>
              <w:autoSpaceDE w:val="0"/>
              <w:autoSpaceDN w:val="0"/>
              <w:adjustRightInd w:val="0"/>
              <w:jc w:val="center"/>
              <w:rPr>
                <w:highlight w:val="yellow"/>
              </w:rPr>
            </w:pPr>
            <w:r w:rsidRPr="00037AD4">
              <w:t>2.167***</w:t>
            </w:r>
          </w:p>
        </w:tc>
        <w:tc>
          <w:tcPr>
            <w:tcW w:w="696" w:type="pct"/>
            <w:tcBorders>
              <w:top w:val="nil"/>
              <w:left w:val="nil"/>
              <w:bottom w:val="nil"/>
              <w:right w:val="nil"/>
            </w:tcBorders>
          </w:tcPr>
          <w:p w14:paraId="78461353" w14:textId="77777777" w:rsidR="00B54D51" w:rsidRPr="00037AD4" w:rsidRDefault="00B54D51" w:rsidP="00401C67">
            <w:pPr>
              <w:widowControl w:val="0"/>
              <w:autoSpaceDE w:val="0"/>
              <w:autoSpaceDN w:val="0"/>
              <w:adjustRightInd w:val="0"/>
              <w:jc w:val="center"/>
              <w:rPr>
                <w:highlight w:val="yellow"/>
              </w:rPr>
            </w:pPr>
            <w:r w:rsidRPr="00037AD4">
              <w:t>2.149***</w:t>
            </w:r>
          </w:p>
        </w:tc>
        <w:tc>
          <w:tcPr>
            <w:tcW w:w="654" w:type="pct"/>
            <w:tcBorders>
              <w:top w:val="nil"/>
              <w:left w:val="nil"/>
              <w:bottom w:val="nil"/>
              <w:right w:val="nil"/>
            </w:tcBorders>
          </w:tcPr>
          <w:p w14:paraId="336041ED" w14:textId="77777777" w:rsidR="00B54D51" w:rsidRPr="00037AD4" w:rsidRDefault="00B54D51" w:rsidP="00401C67">
            <w:pPr>
              <w:widowControl w:val="0"/>
              <w:autoSpaceDE w:val="0"/>
              <w:autoSpaceDN w:val="0"/>
              <w:adjustRightInd w:val="0"/>
              <w:rPr>
                <w:highlight w:val="yellow"/>
              </w:rPr>
            </w:pPr>
            <w:r w:rsidRPr="00037AD4">
              <w:t>2.260***</w:t>
            </w:r>
          </w:p>
        </w:tc>
        <w:tc>
          <w:tcPr>
            <w:tcW w:w="653" w:type="pct"/>
            <w:tcBorders>
              <w:top w:val="nil"/>
              <w:left w:val="nil"/>
              <w:bottom w:val="nil"/>
              <w:right w:val="nil"/>
            </w:tcBorders>
          </w:tcPr>
          <w:p w14:paraId="0ECDF4CC" w14:textId="77777777" w:rsidR="00B54D51" w:rsidRPr="00037AD4" w:rsidRDefault="00B54D51" w:rsidP="00401C67">
            <w:pPr>
              <w:widowControl w:val="0"/>
              <w:autoSpaceDE w:val="0"/>
              <w:autoSpaceDN w:val="0"/>
              <w:adjustRightInd w:val="0"/>
            </w:pPr>
            <w:r w:rsidRPr="00037AD4">
              <w:t>2.388***</w:t>
            </w:r>
          </w:p>
        </w:tc>
      </w:tr>
      <w:tr w:rsidR="00B54D51" w:rsidRPr="00037AD4" w14:paraId="08FE79F2" w14:textId="77777777" w:rsidTr="00401C67">
        <w:trPr>
          <w:jc w:val="center"/>
        </w:trPr>
        <w:tc>
          <w:tcPr>
            <w:tcW w:w="1608" w:type="pct"/>
            <w:tcBorders>
              <w:top w:val="nil"/>
              <w:left w:val="nil"/>
              <w:bottom w:val="nil"/>
              <w:right w:val="nil"/>
            </w:tcBorders>
          </w:tcPr>
          <w:p w14:paraId="1E53D848" w14:textId="77777777" w:rsidR="00B54D51" w:rsidRPr="00037AD4" w:rsidRDefault="00B54D51" w:rsidP="00401C67">
            <w:pPr>
              <w:widowControl w:val="0"/>
              <w:autoSpaceDE w:val="0"/>
              <w:autoSpaceDN w:val="0"/>
              <w:adjustRightInd w:val="0"/>
            </w:pPr>
          </w:p>
        </w:tc>
        <w:tc>
          <w:tcPr>
            <w:tcW w:w="695" w:type="pct"/>
            <w:tcBorders>
              <w:top w:val="nil"/>
              <w:left w:val="nil"/>
              <w:bottom w:val="nil"/>
              <w:right w:val="nil"/>
            </w:tcBorders>
          </w:tcPr>
          <w:p w14:paraId="119CF1AA" w14:textId="77777777" w:rsidR="00B54D51" w:rsidRPr="00037AD4" w:rsidRDefault="00B54D51" w:rsidP="00401C67">
            <w:pPr>
              <w:widowControl w:val="0"/>
              <w:autoSpaceDE w:val="0"/>
              <w:autoSpaceDN w:val="0"/>
              <w:adjustRightInd w:val="0"/>
              <w:jc w:val="center"/>
            </w:pPr>
            <w:r w:rsidRPr="00037AD4">
              <w:t>(0.870 - 3.378)</w:t>
            </w:r>
          </w:p>
        </w:tc>
        <w:tc>
          <w:tcPr>
            <w:tcW w:w="695" w:type="pct"/>
            <w:tcBorders>
              <w:top w:val="nil"/>
              <w:left w:val="nil"/>
              <w:bottom w:val="nil"/>
              <w:right w:val="nil"/>
            </w:tcBorders>
          </w:tcPr>
          <w:p w14:paraId="4CEFC061" w14:textId="77777777" w:rsidR="00B54D51" w:rsidRPr="00037AD4" w:rsidRDefault="00B54D51" w:rsidP="00401C67">
            <w:pPr>
              <w:widowControl w:val="0"/>
              <w:autoSpaceDE w:val="0"/>
              <w:autoSpaceDN w:val="0"/>
              <w:adjustRightInd w:val="0"/>
              <w:jc w:val="center"/>
              <w:rPr>
                <w:highlight w:val="yellow"/>
              </w:rPr>
            </w:pPr>
            <w:r w:rsidRPr="00037AD4">
              <w:t>(1.217 - 3.116)</w:t>
            </w:r>
          </w:p>
        </w:tc>
        <w:tc>
          <w:tcPr>
            <w:tcW w:w="696" w:type="pct"/>
            <w:tcBorders>
              <w:top w:val="nil"/>
              <w:left w:val="nil"/>
              <w:bottom w:val="nil"/>
              <w:right w:val="nil"/>
            </w:tcBorders>
          </w:tcPr>
          <w:p w14:paraId="24B416DE" w14:textId="77777777" w:rsidR="00B54D51" w:rsidRPr="00037AD4" w:rsidRDefault="00B54D51" w:rsidP="00401C67">
            <w:pPr>
              <w:widowControl w:val="0"/>
              <w:autoSpaceDE w:val="0"/>
              <w:autoSpaceDN w:val="0"/>
              <w:adjustRightInd w:val="0"/>
              <w:jc w:val="center"/>
              <w:rPr>
                <w:highlight w:val="yellow"/>
              </w:rPr>
            </w:pPr>
            <w:r w:rsidRPr="00037AD4">
              <w:t>(1.200 - 3.097)</w:t>
            </w:r>
          </w:p>
        </w:tc>
        <w:tc>
          <w:tcPr>
            <w:tcW w:w="654" w:type="pct"/>
            <w:tcBorders>
              <w:top w:val="nil"/>
              <w:left w:val="nil"/>
              <w:bottom w:val="nil"/>
              <w:right w:val="nil"/>
            </w:tcBorders>
          </w:tcPr>
          <w:p w14:paraId="2BDDFD05" w14:textId="77777777" w:rsidR="00B54D51" w:rsidRPr="00037AD4" w:rsidRDefault="00B54D51" w:rsidP="00401C67">
            <w:pPr>
              <w:widowControl w:val="0"/>
              <w:autoSpaceDE w:val="0"/>
              <w:autoSpaceDN w:val="0"/>
              <w:adjustRightInd w:val="0"/>
              <w:rPr>
                <w:highlight w:val="yellow"/>
              </w:rPr>
            </w:pPr>
            <w:r w:rsidRPr="00037AD4">
              <w:t>(1.865 - 2.654)</w:t>
            </w:r>
          </w:p>
        </w:tc>
        <w:tc>
          <w:tcPr>
            <w:tcW w:w="653" w:type="pct"/>
            <w:tcBorders>
              <w:top w:val="nil"/>
              <w:left w:val="nil"/>
              <w:bottom w:val="nil"/>
              <w:right w:val="nil"/>
            </w:tcBorders>
          </w:tcPr>
          <w:p w14:paraId="7E406F65" w14:textId="77777777" w:rsidR="00B54D51" w:rsidRPr="00037AD4" w:rsidRDefault="00B54D51" w:rsidP="00401C67">
            <w:pPr>
              <w:widowControl w:val="0"/>
              <w:autoSpaceDE w:val="0"/>
              <w:autoSpaceDN w:val="0"/>
              <w:adjustRightInd w:val="0"/>
            </w:pPr>
            <w:r w:rsidRPr="00037AD4">
              <w:t>(1.487 - 3.290)</w:t>
            </w:r>
          </w:p>
        </w:tc>
      </w:tr>
      <w:tr w:rsidR="00B54D51" w:rsidRPr="00037AD4" w14:paraId="10610E66" w14:textId="77777777" w:rsidTr="00401C67">
        <w:trPr>
          <w:jc w:val="center"/>
        </w:trPr>
        <w:tc>
          <w:tcPr>
            <w:tcW w:w="1608" w:type="pct"/>
            <w:tcBorders>
              <w:top w:val="nil"/>
              <w:left w:val="nil"/>
              <w:bottom w:val="nil"/>
              <w:right w:val="nil"/>
            </w:tcBorders>
          </w:tcPr>
          <w:p w14:paraId="2598DCF5" w14:textId="77777777" w:rsidR="00B54D51" w:rsidRPr="00037AD4" w:rsidRDefault="00B54D51" w:rsidP="00401C67">
            <w:pPr>
              <w:widowControl w:val="0"/>
              <w:autoSpaceDE w:val="0"/>
              <w:autoSpaceDN w:val="0"/>
              <w:adjustRightInd w:val="0"/>
            </w:pPr>
            <w:r w:rsidRPr="00037AD4">
              <w:t>/cut4</w:t>
            </w:r>
          </w:p>
        </w:tc>
        <w:tc>
          <w:tcPr>
            <w:tcW w:w="695" w:type="pct"/>
            <w:tcBorders>
              <w:top w:val="nil"/>
              <w:left w:val="nil"/>
              <w:bottom w:val="nil"/>
              <w:right w:val="nil"/>
            </w:tcBorders>
          </w:tcPr>
          <w:p w14:paraId="746164A3" w14:textId="77777777" w:rsidR="00B54D51" w:rsidRPr="00037AD4" w:rsidRDefault="00B54D51" w:rsidP="00401C67">
            <w:pPr>
              <w:widowControl w:val="0"/>
              <w:autoSpaceDE w:val="0"/>
              <w:autoSpaceDN w:val="0"/>
              <w:adjustRightInd w:val="0"/>
              <w:jc w:val="center"/>
            </w:pPr>
            <w:r w:rsidRPr="00037AD4">
              <w:t>2.953***</w:t>
            </w:r>
          </w:p>
        </w:tc>
        <w:tc>
          <w:tcPr>
            <w:tcW w:w="695" w:type="pct"/>
            <w:tcBorders>
              <w:top w:val="nil"/>
              <w:left w:val="nil"/>
              <w:bottom w:val="nil"/>
              <w:right w:val="nil"/>
            </w:tcBorders>
          </w:tcPr>
          <w:p w14:paraId="575EC5E9" w14:textId="77777777" w:rsidR="00B54D51" w:rsidRPr="00037AD4" w:rsidRDefault="00B54D51" w:rsidP="00401C67">
            <w:pPr>
              <w:widowControl w:val="0"/>
              <w:autoSpaceDE w:val="0"/>
              <w:autoSpaceDN w:val="0"/>
              <w:adjustRightInd w:val="0"/>
              <w:jc w:val="center"/>
              <w:rPr>
                <w:highlight w:val="yellow"/>
              </w:rPr>
            </w:pPr>
            <w:r w:rsidRPr="00037AD4">
              <w:t>2.982***</w:t>
            </w:r>
          </w:p>
        </w:tc>
        <w:tc>
          <w:tcPr>
            <w:tcW w:w="696" w:type="pct"/>
            <w:tcBorders>
              <w:top w:val="nil"/>
              <w:left w:val="nil"/>
              <w:bottom w:val="nil"/>
              <w:right w:val="nil"/>
            </w:tcBorders>
          </w:tcPr>
          <w:p w14:paraId="69DB6FDB" w14:textId="77777777" w:rsidR="00B54D51" w:rsidRPr="00037AD4" w:rsidRDefault="00B54D51" w:rsidP="00401C67">
            <w:pPr>
              <w:widowControl w:val="0"/>
              <w:autoSpaceDE w:val="0"/>
              <w:autoSpaceDN w:val="0"/>
              <w:adjustRightInd w:val="0"/>
              <w:jc w:val="center"/>
              <w:rPr>
                <w:highlight w:val="yellow"/>
              </w:rPr>
            </w:pPr>
            <w:r w:rsidRPr="00037AD4">
              <w:t>2.964***</w:t>
            </w:r>
          </w:p>
        </w:tc>
        <w:tc>
          <w:tcPr>
            <w:tcW w:w="654" w:type="pct"/>
            <w:tcBorders>
              <w:top w:val="nil"/>
              <w:left w:val="nil"/>
              <w:bottom w:val="nil"/>
              <w:right w:val="nil"/>
            </w:tcBorders>
          </w:tcPr>
          <w:p w14:paraId="225F1A33" w14:textId="77777777" w:rsidR="00B54D51" w:rsidRPr="00037AD4" w:rsidRDefault="00B54D51" w:rsidP="00401C67">
            <w:pPr>
              <w:widowControl w:val="0"/>
              <w:autoSpaceDE w:val="0"/>
              <w:autoSpaceDN w:val="0"/>
              <w:adjustRightInd w:val="0"/>
              <w:rPr>
                <w:highlight w:val="yellow"/>
              </w:rPr>
            </w:pPr>
            <w:r w:rsidRPr="00037AD4">
              <w:t>3.075***</w:t>
            </w:r>
          </w:p>
        </w:tc>
        <w:tc>
          <w:tcPr>
            <w:tcW w:w="653" w:type="pct"/>
            <w:tcBorders>
              <w:top w:val="nil"/>
              <w:left w:val="nil"/>
              <w:bottom w:val="nil"/>
              <w:right w:val="nil"/>
            </w:tcBorders>
          </w:tcPr>
          <w:p w14:paraId="357CD0BF" w14:textId="77777777" w:rsidR="00B54D51" w:rsidRPr="00037AD4" w:rsidRDefault="00B54D51" w:rsidP="00401C67">
            <w:pPr>
              <w:widowControl w:val="0"/>
              <w:autoSpaceDE w:val="0"/>
              <w:autoSpaceDN w:val="0"/>
              <w:adjustRightInd w:val="0"/>
            </w:pPr>
            <w:r w:rsidRPr="00037AD4">
              <w:t>3.228***</w:t>
            </w:r>
          </w:p>
        </w:tc>
      </w:tr>
      <w:tr w:rsidR="00B54D51" w:rsidRPr="00037AD4" w14:paraId="533A1F98" w14:textId="77777777" w:rsidTr="00401C67">
        <w:trPr>
          <w:jc w:val="center"/>
        </w:trPr>
        <w:tc>
          <w:tcPr>
            <w:tcW w:w="1608" w:type="pct"/>
            <w:tcBorders>
              <w:top w:val="nil"/>
              <w:left w:val="nil"/>
              <w:bottom w:val="nil"/>
              <w:right w:val="nil"/>
            </w:tcBorders>
          </w:tcPr>
          <w:p w14:paraId="76721ED1" w14:textId="77777777" w:rsidR="00B54D51" w:rsidRPr="00037AD4" w:rsidRDefault="00B54D51" w:rsidP="00401C67">
            <w:pPr>
              <w:widowControl w:val="0"/>
              <w:autoSpaceDE w:val="0"/>
              <w:autoSpaceDN w:val="0"/>
              <w:adjustRightInd w:val="0"/>
            </w:pPr>
          </w:p>
        </w:tc>
        <w:tc>
          <w:tcPr>
            <w:tcW w:w="695" w:type="pct"/>
            <w:tcBorders>
              <w:top w:val="nil"/>
              <w:left w:val="nil"/>
              <w:bottom w:val="nil"/>
              <w:right w:val="nil"/>
            </w:tcBorders>
          </w:tcPr>
          <w:p w14:paraId="131527DF" w14:textId="77777777" w:rsidR="00B54D51" w:rsidRPr="00037AD4" w:rsidRDefault="00B54D51" w:rsidP="00401C67">
            <w:pPr>
              <w:widowControl w:val="0"/>
              <w:autoSpaceDE w:val="0"/>
              <w:autoSpaceDN w:val="0"/>
              <w:adjustRightInd w:val="0"/>
              <w:jc w:val="center"/>
            </w:pPr>
            <w:r w:rsidRPr="00037AD4">
              <w:t>(1.644 - 4.263)</w:t>
            </w:r>
          </w:p>
        </w:tc>
        <w:tc>
          <w:tcPr>
            <w:tcW w:w="695" w:type="pct"/>
            <w:tcBorders>
              <w:top w:val="nil"/>
              <w:left w:val="nil"/>
              <w:bottom w:val="nil"/>
              <w:right w:val="nil"/>
            </w:tcBorders>
          </w:tcPr>
          <w:p w14:paraId="2DA757E0" w14:textId="77777777" w:rsidR="00B54D51" w:rsidRPr="00037AD4" w:rsidRDefault="00B54D51" w:rsidP="00401C67">
            <w:pPr>
              <w:widowControl w:val="0"/>
              <w:autoSpaceDE w:val="0"/>
              <w:autoSpaceDN w:val="0"/>
              <w:adjustRightInd w:val="0"/>
              <w:jc w:val="center"/>
              <w:rPr>
                <w:highlight w:val="yellow"/>
              </w:rPr>
            </w:pPr>
            <w:r w:rsidRPr="00037AD4">
              <w:t>(1.967 - 3.996)</w:t>
            </w:r>
          </w:p>
        </w:tc>
        <w:tc>
          <w:tcPr>
            <w:tcW w:w="696" w:type="pct"/>
            <w:tcBorders>
              <w:top w:val="nil"/>
              <w:left w:val="nil"/>
              <w:bottom w:val="nil"/>
              <w:right w:val="nil"/>
            </w:tcBorders>
          </w:tcPr>
          <w:p w14:paraId="07E2F941" w14:textId="77777777" w:rsidR="00B54D51" w:rsidRPr="00037AD4" w:rsidRDefault="00B54D51" w:rsidP="00401C67">
            <w:pPr>
              <w:widowControl w:val="0"/>
              <w:autoSpaceDE w:val="0"/>
              <w:autoSpaceDN w:val="0"/>
              <w:adjustRightInd w:val="0"/>
              <w:jc w:val="center"/>
              <w:rPr>
                <w:highlight w:val="yellow"/>
              </w:rPr>
            </w:pPr>
            <w:r w:rsidRPr="00037AD4">
              <w:t>(1.951 - 3.978)</w:t>
            </w:r>
          </w:p>
        </w:tc>
        <w:tc>
          <w:tcPr>
            <w:tcW w:w="654" w:type="pct"/>
            <w:tcBorders>
              <w:top w:val="nil"/>
              <w:left w:val="nil"/>
              <w:bottom w:val="nil"/>
              <w:right w:val="nil"/>
            </w:tcBorders>
          </w:tcPr>
          <w:p w14:paraId="2980F407" w14:textId="77777777" w:rsidR="00B54D51" w:rsidRPr="00037AD4" w:rsidRDefault="00B54D51" w:rsidP="00401C67">
            <w:pPr>
              <w:widowControl w:val="0"/>
              <w:autoSpaceDE w:val="0"/>
              <w:autoSpaceDN w:val="0"/>
              <w:adjustRightInd w:val="0"/>
              <w:rPr>
                <w:highlight w:val="yellow"/>
              </w:rPr>
            </w:pPr>
            <w:r w:rsidRPr="00037AD4">
              <w:t>(2.557 - 3.592)</w:t>
            </w:r>
          </w:p>
        </w:tc>
        <w:tc>
          <w:tcPr>
            <w:tcW w:w="653" w:type="pct"/>
            <w:tcBorders>
              <w:top w:val="nil"/>
              <w:left w:val="nil"/>
              <w:bottom w:val="nil"/>
              <w:right w:val="nil"/>
            </w:tcBorders>
          </w:tcPr>
          <w:p w14:paraId="531E79F9" w14:textId="77777777" w:rsidR="00B54D51" w:rsidRPr="00037AD4" w:rsidRDefault="00B54D51" w:rsidP="00401C67">
            <w:pPr>
              <w:widowControl w:val="0"/>
              <w:autoSpaceDE w:val="0"/>
              <w:autoSpaceDN w:val="0"/>
              <w:adjustRightInd w:val="0"/>
            </w:pPr>
            <w:r w:rsidRPr="00037AD4">
              <w:t>(2.260 - 4.195)</w:t>
            </w:r>
          </w:p>
        </w:tc>
      </w:tr>
      <w:tr w:rsidR="00B54D51" w:rsidRPr="00037AD4" w14:paraId="223CBDB4" w14:textId="77777777" w:rsidTr="00401C67">
        <w:trPr>
          <w:jc w:val="center"/>
        </w:trPr>
        <w:tc>
          <w:tcPr>
            <w:tcW w:w="1608" w:type="pct"/>
            <w:tcBorders>
              <w:top w:val="nil"/>
              <w:left w:val="nil"/>
              <w:bottom w:val="nil"/>
              <w:right w:val="nil"/>
            </w:tcBorders>
          </w:tcPr>
          <w:p w14:paraId="77DAF7C3" w14:textId="77777777" w:rsidR="00B54D51" w:rsidRPr="00037AD4" w:rsidRDefault="00B54D51" w:rsidP="00401C67">
            <w:pPr>
              <w:widowControl w:val="0"/>
              <w:autoSpaceDE w:val="0"/>
              <w:autoSpaceDN w:val="0"/>
              <w:adjustRightInd w:val="0"/>
            </w:pPr>
          </w:p>
        </w:tc>
        <w:tc>
          <w:tcPr>
            <w:tcW w:w="695" w:type="pct"/>
            <w:tcBorders>
              <w:top w:val="nil"/>
              <w:left w:val="nil"/>
              <w:bottom w:val="nil"/>
              <w:right w:val="nil"/>
            </w:tcBorders>
          </w:tcPr>
          <w:p w14:paraId="265FE31C" w14:textId="77777777" w:rsidR="00B54D51" w:rsidRPr="00037AD4" w:rsidRDefault="00B54D51" w:rsidP="00401C67">
            <w:pPr>
              <w:widowControl w:val="0"/>
              <w:autoSpaceDE w:val="0"/>
              <w:autoSpaceDN w:val="0"/>
              <w:adjustRightInd w:val="0"/>
              <w:jc w:val="center"/>
            </w:pPr>
          </w:p>
        </w:tc>
        <w:tc>
          <w:tcPr>
            <w:tcW w:w="695" w:type="pct"/>
            <w:tcBorders>
              <w:top w:val="nil"/>
              <w:left w:val="nil"/>
              <w:bottom w:val="nil"/>
              <w:right w:val="nil"/>
            </w:tcBorders>
          </w:tcPr>
          <w:p w14:paraId="479878F8" w14:textId="77777777" w:rsidR="00B54D51" w:rsidRPr="00037AD4" w:rsidRDefault="00B54D51" w:rsidP="00401C67">
            <w:pPr>
              <w:widowControl w:val="0"/>
              <w:autoSpaceDE w:val="0"/>
              <w:autoSpaceDN w:val="0"/>
              <w:adjustRightInd w:val="0"/>
              <w:jc w:val="center"/>
              <w:rPr>
                <w:highlight w:val="yellow"/>
              </w:rPr>
            </w:pPr>
          </w:p>
        </w:tc>
        <w:tc>
          <w:tcPr>
            <w:tcW w:w="696" w:type="pct"/>
            <w:tcBorders>
              <w:top w:val="nil"/>
              <w:left w:val="nil"/>
              <w:bottom w:val="nil"/>
              <w:right w:val="nil"/>
            </w:tcBorders>
          </w:tcPr>
          <w:p w14:paraId="3F65AD17" w14:textId="77777777" w:rsidR="00B54D51" w:rsidRPr="00037AD4" w:rsidRDefault="00B54D51" w:rsidP="00401C67">
            <w:pPr>
              <w:widowControl w:val="0"/>
              <w:autoSpaceDE w:val="0"/>
              <w:autoSpaceDN w:val="0"/>
              <w:adjustRightInd w:val="0"/>
              <w:rPr>
                <w:highlight w:val="yellow"/>
              </w:rPr>
            </w:pPr>
          </w:p>
        </w:tc>
        <w:tc>
          <w:tcPr>
            <w:tcW w:w="654" w:type="pct"/>
            <w:tcBorders>
              <w:top w:val="nil"/>
              <w:left w:val="nil"/>
              <w:bottom w:val="nil"/>
              <w:right w:val="nil"/>
            </w:tcBorders>
          </w:tcPr>
          <w:p w14:paraId="3AAE33E2" w14:textId="77777777" w:rsidR="00B54D51" w:rsidRPr="00037AD4" w:rsidRDefault="00B54D51" w:rsidP="00401C67">
            <w:pPr>
              <w:widowControl w:val="0"/>
              <w:autoSpaceDE w:val="0"/>
              <w:autoSpaceDN w:val="0"/>
              <w:adjustRightInd w:val="0"/>
              <w:jc w:val="center"/>
              <w:rPr>
                <w:highlight w:val="yellow"/>
              </w:rPr>
            </w:pPr>
          </w:p>
        </w:tc>
        <w:tc>
          <w:tcPr>
            <w:tcW w:w="653" w:type="pct"/>
            <w:tcBorders>
              <w:top w:val="nil"/>
              <w:left w:val="nil"/>
              <w:bottom w:val="nil"/>
              <w:right w:val="nil"/>
            </w:tcBorders>
          </w:tcPr>
          <w:p w14:paraId="4809277D" w14:textId="77777777" w:rsidR="00B54D51" w:rsidRPr="00037AD4" w:rsidRDefault="00B54D51" w:rsidP="00401C67">
            <w:pPr>
              <w:widowControl w:val="0"/>
              <w:autoSpaceDE w:val="0"/>
              <w:autoSpaceDN w:val="0"/>
              <w:adjustRightInd w:val="0"/>
              <w:jc w:val="center"/>
              <w:rPr>
                <w:highlight w:val="yellow"/>
              </w:rPr>
            </w:pPr>
          </w:p>
        </w:tc>
      </w:tr>
      <w:tr w:rsidR="00B54D51" w:rsidRPr="00037AD4" w14:paraId="3E712529" w14:textId="77777777" w:rsidTr="00401C67">
        <w:trPr>
          <w:jc w:val="center"/>
        </w:trPr>
        <w:tc>
          <w:tcPr>
            <w:tcW w:w="1608" w:type="pct"/>
            <w:tcBorders>
              <w:top w:val="nil"/>
              <w:left w:val="nil"/>
              <w:bottom w:val="nil"/>
              <w:right w:val="nil"/>
            </w:tcBorders>
          </w:tcPr>
          <w:p w14:paraId="0F466D52" w14:textId="77777777" w:rsidR="00B54D51" w:rsidRPr="00037AD4" w:rsidRDefault="00B54D51" w:rsidP="00401C67">
            <w:pPr>
              <w:widowControl w:val="0"/>
              <w:autoSpaceDE w:val="0"/>
              <w:autoSpaceDN w:val="0"/>
              <w:adjustRightInd w:val="0"/>
            </w:pPr>
            <w:r w:rsidRPr="00037AD4">
              <w:t>2.merg_eq5RP</w:t>
            </w:r>
          </w:p>
        </w:tc>
        <w:tc>
          <w:tcPr>
            <w:tcW w:w="695" w:type="pct"/>
            <w:tcBorders>
              <w:top w:val="nil"/>
              <w:left w:val="nil"/>
              <w:bottom w:val="nil"/>
              <w:right w:val="nil"/>
            </w:tcBorders>
          </w:tcPr>
          <w:p w14:paraId="1BDCAED8" w14:textId="77777777" w:rsidR="00B54D51" w:rsidRPr="00037AD4" w:rsidRDefault="00B54D51" w:rsidP="00401C67">
            <w:pPr>
              <w:widowControl w:val="0"/>
              <w:autoSpaceDE w:val="0"/>
              <w:autoSpaceDN w:val="0"/>
              <w:adjustRightInd w:val="0"/>
              <w:jc w:val="center"/>
            </w:pPr>
          </w:p>
        </w:tc>
        <w:tc>
          <w:tcPr>
            <w:tcW w:w="695" w:type="pct"/>
            <w:tcBorders>
              <w:top w:val="nil"/>
              <w:left w:val="nil"/>
              <w:bottom w:val="nil"/>
              <w:right w:val="nil"/>
            </w:tcBorders>
          </w:tcPr>
          <w:p w14:paraId="7C2C55F4" w14:textId="77777777" w:rsidR="00B54D51" w:rsidRPr="00037AD4" w:rsidRDefault="00B54D51" w:rsidP="00401C67">
            <w:pPr>
              <w:widowControl w:val="0"/>
              <w:autoSpaceDE w:val="0"/>
              <w:autoSpaceDN w:val="0"/>
              <w:adjustRightInd w:val="0"/>
              <w:jc w:val="center"/>
              <w:rPr>
                <w:highlight w:val="yellow"/>
              </w:rPr>
            </w:pPr>
          </w:p>
        </w:tc>
        <w:tc>
          <w:tcPr>
            <w:tcW w:w="696" w:type="pct"/>
            <w:tcBorders>
              <w:top w:val="nil"/>
              <w:left w:val="nil"/>
              <w:bottom w:val="nil"/>
              <w:right w:val="nil"/>
            </w:tcBorders>
          </w:tcPr>
          <w:p w14:paraId="4BEA6867" w14:textId="77777777" w:rsidR="00B54D51" w:rsidRPr="00037AD4" w:rsidRDefault="00B54D51" w:rsidP="00401C67">
            <w:pPr>
              <w:widowControl w:val="0"/>
              <w:autoSpaceDE w:val="0"/>
              <w:autoSpaceDN w:val="0"/>
              <w:adjustRightInd w:val="0"/>
              <w:jc w:val="center"/>
              <w:rPr>
                <w:highlight w:val="yellow"/>
              </w:rPr>
            </w:pPr>
            <w:r w:rsidRPr="00037AD4">
              <w:t>0.362***</w:t>
            </w:r>
          </w:p>
        </w:tc>
        <w:tc>
          <w:tcPr>
            <w:tcW w:w="654" w:type="pct"/>
            <w:tcBorders>
              <w:top w:val="nil"/>
              <w:left w:val="nil"/>
              <w:bottom w:val="nil"/>
              <w:right w:val="nil"/>
            </w:tcBorders>
          </w:tcPr>
          <w:p w14:paraId="7AB40D82" w14:textId="77777777" w:rsidR="00B54D51" w:rsidRPr="00037AD4" w:rsidRDefault="00B54D51" w:rsidP="00401C67">
            <w:pPr>
              <w:widowControl w:val="0"/>
              <w:autoSpaceDE w:val="0"/>
              <w:autoSpaceDN w:val="0"/>
              <w:adjustRightInd w:val="0"/>
              <w:rPr>
                <w:highlight w:val="yellow"/>
              </w:rPr>
            </w:pPr>
          </w:p>
        </w:tc>
        <w:tc>
          <w:tcPr>
            <w:tcW w:w="653" w:type="pct"/>
            <w:tcBorders>
              <w:top w:val="nil"/>
              <w:left w:val="nil"/>
              <w:bottom w:val="nil"/>
              <w:right w:val="nil"/>
            </w:tcBorders>
          </w:tcPr>
          <w:p w14:paraId="6877291D" w14:textId="77777777" w:rsidR="00B54D51" w:rsidRPr="00037AD4" w:rsidRDefault="00B54D51" w:rsidP="00401C67">
            <w:pPr>
              <w:widowControl w:val="0"/>
              <w:autoSpaceDE w:val="0"/>
              <w:autoSpaceDN w:val="0"/>
              <w:adjustRightInd w:val="0"/>
              <w:rPr>
                <w:highlight w:val="yellow"/>
              </w:rPr>
            </w:pPr>
          </w:p>
        </w:tc>
      </w:tr>
      <w:tr w:rsidR="00B54D51" w:rsidRPr="00037AD4" w14:paraId="62B7C1DF" w14:textId="77777777" w:rsidTr="00401C67">
        <w:trPr>
          <w:jc w:val="center"/>
        </w:trPr>
        <w:tc>
          <w:tcPr>
            <w:tcW w:w="1608" w:type="pct"/>
            <w:tcBorders>
              <w:top w:val="nil"/>
              <w:left w:val="nil"/>
              <w:bottom w:val="nil"/>
              <w:right w:val="nil"/>
            </w:tcBorders>
          </w:tcPr>
          <w:p w14:paraId="15AB77C1" w14:textId="77777777" w:rsidR="00B54D51" w:rsidRPr="00037AD4" w:rsidRDefault="00B54D51" w:rsidP="00401C67">
            <w:pPr>
              <w:widowControl w:val="0"/>
              <w:autoSpaceDE w:val="0"/>
              <w:autoSpaceDN w:val="0"/>
              <w:adjustRightInd w:val="0"/>
            </w:pPr>
          </w:p>
        </w:tc>
        <w:tc>
          <w:tcPr>
            <w:tcW w:w="695" w:type="pct"/>
            <w:tcBorders>
              <w:top w:val="nil"/>
              <w:left w:val="nil"/>
              <w:bottom w:val="nil"/>
              <w:right w:val="nil"/>
            </w:tcBorders>
          </w:tcPr>
          <w:p w14:paraId="6E1DE321" w14:textId="77777777" w:rsidR="00B54D51" w:rsidRPr="00037AD4" w:rsidRDefault="00B54D51" w:rsidP="00401C67">
            <w:pPr>
              <w:widowControl w:val="0"/>
              <w:autoSpaceDE w:val="0"/>
              <w:autoSpaceDN w:val="0"/>
              <w:adjustRightInd w:val="0"/>
              <w:jc w:val="center"/>
            </w:pPr>
          </w:p>
        </w:tc>
        <w:tc>
          <w:tcPr>
            <w:tcW w:w="695" w:type="pct"/>
            <w:tcBorders>
              <w:top w:val="nil"/>
              <w:left w:val="nil"/>
              <w:bottom w:val="nil"/>
              <w:right w:val="nil"/>
            </w:tcBorders>
          </w:tcPr>
          <w:p w14:paraId="0B9F55CA" w14:textId="77777777" w:rsidR="00B54D51" w:rsidRPr="00037AD4" w:rsidRDefault="00B54D51" w:rsidP="00401C67">
            <w:pPr>
              <w:widowControl w:val="0"/>
              <w:autoSpaceDE w:val="0"/>
              <w:autoSpaceDN w:val="0"/>
              <w:adjustRightInd w:val="0"/>
              <w:jc w:val="center"/>
              <w:rPr>
                <w:highlight w:val="yellow"/>
              </w:rPr>
            </w:pPr>
          </w:p>
        </w:tc>
        <w:tc>
          <w:tcPr>
            <w:tcW w:w="696" w:type="pct"/>
            <w:tcBorders>
              <w:top w:val="nil"/>
              <w:left w:val="nil"/>
              <w:bottom w:val="nil"/>
              <w:right w:val="nil"/>
            </w:tcBorders>
          </w:tcPr>
          <w:p w14:paraId="7AAACFF7" w14:textId="77777777" w:rsidR="00B54D51" w:rsidRPr="00037AD4" w:rsidRDefault="00B54D51" w:rsidP="00401C67">
            <w:pPr>
              <w:widowControl w:val="0"/>
              <w:autoSpaceDE w:val="0"/>
              <w:autoSpaceDN w:val="0"/>
              <w:adjustRightInd w:val="0"/>
              <w:jc w:val="center"/>
              <w:rPr>
                <w:highlight w:val="yellow"/>
              </w:rPr>
            </w:pPr>
            <w:r w:rsidRPr="00037AD4">
              <w:t>(0.180 - 0.544)</w:t>
            </w:r>
          </w:p>
        </w:tc>
        <w:tc>
          <w:tcPr>
            <w:tcW w:w="654" w:type="pct"/>
            <w:tcBorders>
              <w:top w:val="nil"/>
              <w:left w:val="nil"/>
              <w:bottom w:val="nil"/>
              <w:right w:val="nil"/>
            </w:tcBorders>
          </w:tcPr>
          <w:p w14:paraId="05F92FAB" w14:textId="77777777" w:rsidR="00B54D51" w:rsidRPr="00037AD4" w:rsidRDefault="00B54D51" w:rsidP="00401C67">
            <w:pPr>
              <w:widowControl w:val="0"/>
              <w:autoSpaceDE w:val="0"/>
              <w:autoSpaceDN w:val="0"/>
              <w:adjustRightInd w:val="0"/>
              <w:rPr>
                <w:highlight w:val="yellow"/>
              </w:rPr>
            </w:pPr>
          </w:p>
        </w:tc>
        <w:tc>
          <w:tcPr>
            <w:tcW w:w="653" w:type="pct"/>
            <w:tcBorders>
              <w:top w:val="nil"/>
              <w:left w:val="nil"/>
              <w:bottom w:val="nil"/>
              <w:right w:val="nil"/>
            </w:tcBorders>
          </w:tcPr>
          <w:p w14:paraId="43A66D31" w14:textId="77777777" w:rsidR="00B54D51" w:rsidRPr="00037AD4" w:rsidRDefault="00B54D51" w:rsidP="00401C67">
            <w:pPr>
              <w:widowControl w:val="0"/>
              <w:autoSpaceDE w:val="0"/>
              <w:autoSpaceDN w:val="0"/>
              <w:adjustRightInd w:val="0"/>
              <w:rPr>
                <w:highlight w:val="yellow"/>
              </w:rPr>
            </w:pPr>
          </w:p>
        </w:tc>
      </w:tr>
      <w:tr w:rsidR="00B54D51" w:rsidRPr="00037AD4" w14:paraId="726260DB" w14:textId="77777777" w:rsidTr="00401C67">
        <w:trPr>
          <w:jc w:val="center"/>
        </w:trPr>
        <w:tc>
          <w:tcPr>
            <w:tcW w:w="1608" w:type="pct"/>
            <w:tcBorders>
              <w:top w:val="nil"/>
              <w:left w:val="nil"/>
              <w:bottom w:val="nil"/>
              <w:right w:val="nil"/>
            </w:tcBorders>
          </w:tcPr>
          <w:p w14:paraId="3E957662" w14:textId="77777777" w:rsidR="00B54D51" w:rsidRPr="00037AD4" w:rsidRDefault="00B54D51" w:rsidP="00401C67">
            <w:pPr>
              <w:widowControl w:val="0"/>
              <w:autoSpaceDE w:val="0"/>
              <w:autoSpaceDN w:val="0"/>
              <w:adjustRightInd w:val="0"/>
            </w:pPr>
            <w:r w:rsidRPr="00037AD4">
              <w:t>3.merg_eq5RP</w:t>
            </w:r>
          </w:p>
        </w:tc>
        <w:tc>
          <w:tcPr>
            <w:tcW w:w="695" w:type="pct"/>
            <w:tcBorders>
              <w:top w:val="nil"/>
              <w:left w:val="nil"/>
              <w:bottom w:val="nil"/>
              <w:right w:val="nil"/>
            </w:tcBorders>
          </w:tcPr>
          <w:p w14:paraId="06EB5670" w14:textId="77777777" w:rsidR="00B54D51" w:rsidRPr="00037AD4" w:rsidRDefault="00B54D51" w:rsidP="00401C67">
            <w:pPr>
              <w:widowControl w:val="0"/>
              <w:autoSpaceDE w:val="0"/>
              <w:autoSpaceDN w:val="0"/>
              <w:adjustRightInd w:val="0"/>
              <w:jc w:val="center"/>
            </w:pPr>
          </w:p>
        </w:tc>
        <w:tc>
          <w:tcPr>
            <w:tcW w:w="695" w:type="pct"/>
            <w:tcBorders>
              <w:top w:val="nil"/>
              <w:left w:val="nil"/>
              <w:bottom w:val="nil"/>
              <w:right w:val="nil"/>
            </w:tcBorders>
          </w:tcPr>
          <w:p w14:paraId="0D5FA915" w14:textId="77777777" w:rsidR="00B54D51" w:rsidRPr="00037AD4" w:rsidRDefault="00B54D51" w:rsidP="00401C67">
            <w:pPr>
              <w:widowControl w:val="0"/>
              <w:autoSpaceDE w:val="0"/>
              <w:autoSpaceDN w:val="0"/>
              <w:adjustRightInd w:val="0"/>
              <w:jc w:val="center"/>
              <w:rPr>
                <w:highlight w:val="yellow"/>
              </w:rPr>
            </w:pPr>
          </w:p>
        </w:tc>
        <w:tc>
          <w:tcPr>
            <w:tcW w:w="696" w:type="pct"/>
            <w:tcBorders>
              <w:top w:val="nil"/>
              <w:left w:val="nil"/>
              <w:bottom w:val="nil"/>
              <w:right w:val="nil"/>
            </w:tcBorders>
          </w:tcPr>
          <w:p w14:paraId="29E64C6B" w14:textId="77777777" w:rsidR="00B54D51" w:rsidRPr="00037AD4" w:rsidRDefault="00B54D51" w:rsidP="00401C67">
            <w:pPr>
              <w:widowControl w:val="0"/>
              <w:autoSpaceDE w:val="0"/>
              <w:autoSpaceDN w:val="0"/>
              <w:adjustRightInd w:val="0"/>
              <w:jc w:val="center"/>
              <w:rPr>
                <w:highlight w:val="yellow"/>
              </w:rPr>
            </w:pPr>
            <w:r w:rsidRPr="00037AD4">
              <w:t>0.710***</w:t>
            </w:r>
          </w:p>
        </w:tc>
        <w:tc>
          <w:tcPr>
            <w:tcW w:w="654" w:type="pct"/>
            <w:tcBorders>
              <w:top w:val="nil"/>
              <w:left w:val="nil"/>
              <w:bottom w:val="nil"/>
              <w:right w:val="nil"/>
            </w:tcBorders>
          </w:tcPr>
          <w:p w14:paraId="030E6AC9" w14:textId="77777777" w:rsidR="00B54D51" w:rsidRPr="00037AD4" w:rsidRDefault="00B54D51" w:rsidP="00401C67">
            <w:pPr>
              <w:widowControl w:val="0"/>
              <w:autoSpaceDE w:val="0"/>
              <w:autoSpaceDN w:val="0"/>
              <w:adjustRightInd w:val="0"/>
              <w:rPr>
                <w:highlight w:val="yellow"/>
              </w:rPr>
            </w:pPr>
          </w:p>
        </w:tc>
        <w:tc>
          <w:tcPr>
            <w:tcW w:w="653" w:type="pct"/>
            <w:tcBorders>
              <w:top w:val="nil"/>
              <w:left w:val="nil"/>
              <w:bottom w:val="nil"/>
              <w:right w:val="nil"/>
            </w:tcBorders>
          </w:tcPr>
          <w:p w14:paraId="5B234030" w14:textId="77777777" w:rsidR="00B54D51" w:rsidRPr="00037AD4" w:rsidRDefault="00B54D51" w:rsidP="00401C67">
            <w:pPr>
              <w:widowControl w:val="0"/>
              <w:autoSpaceDE w:val="0"/>
              <w:autoSpaceDN w:val="0"/>
              <w:adjustRightInd w:val="0"/>
              <w:rPr>
                <w:highlight w:val="yellow"/>
              </w:rPr>
            </w:pPr>
          </w:p>
        </w:tc>
      </w:tr>
      <w:tr w:rsidR="00B54D51" w:rsidRPr="00037AD4" w14:paraId="67A67F68" w14:textId="77777777" w:rsidTr="00401C67">
        <w:trPr>
          <w:jc w:val="center"/>
        </w:trPr>
        <w:tc>
          <w:tcPr>
            <w:tcW w:w="1608" w:type="pct"/>
            <w:tcBorders>
              <w:top w:val="nil"/>
              <w:left w:val="nil"/>
              <w:bottom w:val="nil"/>
              <w:right w:val="nil"/>
            </w:tcBorders>
          </w:tcPr>
          <w:p w14:paraId="432AA639" w14:textId="77777777" w:rsidR="00B54D51" w:rsidRPr="00037AD4" w:rsidRDefault="00B54D51" w:rsidP="00401C67">
            <w:pPr>
              <w:widowControl w:val="0"/>
              <w:autoSpaceDE w:val="0"/>
              <w:autoSpaceDN w:val="0"/>
              <w:adjustRightInd w:val="0"/>
            </w:pPr>
          </w:p>
        </w:tc>
        <w:tc>
          <w:tcPr>
            <w:tcW w:w="695" w:type="pct"/>
            <w:tcBorders>
              <w:top w:val="nil"/>
              <w:left w:val="nil"/>
              <w:bottom w:val="nil"/>
              <w:right w:val="nil"/>
            </w:tcBorders>
          </w:tcPr>
          <w:p w14:paraId="5637AB80" w14:textId="77777777" w:rsidR="00B54D51" w:rsidRPr="00037AD4" w:rsidRDefault="00B54D51" w:rsidP="00401C67">
            <w:pPr>
              <w:widowControl w:val="0"/>
              <w:autoSpaceDE w:val="0"/>
              <w:autoSpaceDN w:val="0"/>
              <w:adjustRightInd w:val="0"/>
              <w:jc w:val="center"/>
            </w:pPr>
          </w:p>
        </w:tc>
        <w:tc>
          <w:tcPr>
            <w:tcW w:w="695" w:type="pct"/>
            <w:tcBorders>
              <w:top w:val="nil"/>
              <w:left w:val="nil"/>
              <w:bottom w:val="nil"/>
              <w:right w:val="nil"/>
            </w:tcBorders>
          </w:tcPr>
          <w:p w14:paraId="30BB42B0" w14:textId="77777777" w:rsidR="00B54D51" w:rsidRPr="00037AD4" w:rsidRDefault="00B54D51" w:rsidP="00401C67">
            <w:pPr>
              <w:widowControl w:val="0"/>
              <w:autoSpaceDE w:val="0"/>
              <w:autoSpaceDN w:val="0"/>
              <w:adjustRightInd w:val="0"/>
              <w:jc w:val="center"/>
              <w:rPr>
                <w:highlight w:val="yellow"/>
              </w:rPr>
            </w:pPr>
          </w:p>
        </w:tc>
        <w:tc>
          <w:tcPr>
            <w:tcW w:w="696" w:type="pct"/>
            <w:tcBorders>
              <w:top w:val="nil"/>
              <w:left w:val="nil"/>
              <w:bottom w:val="nil"/>
              <w:right w:val="nil"/>
            </w:tcBorders>
          </w:tcPr>
          <w:p w14:paraId="1AFA3713" w14:textId="77777777" w:rsidR="00B54D51" w:rsidRPr="00037AD4" w:rsidRDefault="00B54D51" w:rsidP="00401C67">
            <w:pPr>
              <w:widowControl w:val="0"/>
              <w:autoSpaceDE w:val="0"/>
              <w:autoSpaceDN w:val="0"/>
              <w:adjustRightInd w:val="0"/>
              <w:jc w:val="center"/>
              <w:rPr>
                <w:highlight w:val="yellow"/>
              </w:rPr>
            </w:pPr>
            <w:r w:rsidRPr="00037AD4">
              <w:t>(0.514 - 0.906)</w:t>
            </w:r>
          </w:p>
        </w:tc>
        <w:tc>
          <w:tcPr>
            <w:tcW w:w="654" w:type="pct"/>
            <w:tcBorders>
              <w:top w:val="nil"/>
              <w:left w:val="nil"/>
              <w:bottom w:val="nil"/>
              <w:right w:val="nil"/>
            </w:tcBorders>
          </w:tcPr>
          <w:p w14:paraId="0C1FA547" w14:textId="77777777" w:rsidR="00B54D51" w:rsidRPr="00037AD4" w:rsidRDefault="00B54D51" w:rsidP="00401C67">
            <w:pPr>
              <w:widowControl w:val="0"/>
              <w:autoSpaceDE w:val="0"/>
              <w:autoSpaceDN w:val="0"/>
              <w:adjustRightInd w:val="0"/>
              <w:rPr>
                <w:highlight w:val="yellow"/>
              </w:rPr>
            </w:pPr>
          </w:p>
        </w:tc>
        <w:tc>
          <w:tcPr>
            <w:tcW w:w="653" w:type="pct"/>
            <w:tcBorders>
              <w:top w:val="nil"/>
              <w:left w:val="nil"/>
              <w:bottom w:val="nil"/>
              <w:right w:val="nil"/>
            </w:tcBorders>
          </w:tcPr>
          <w:p w14:paraId="3514524F" w14:textId="77777777" w:rsidR="00B54D51" w:rsidRPr="00037AD4" w:rsidRDefault="00B54D51" w:rsidP="00401C67">
            <w:pPr>
              <w:widowControl w:val="0"/>
              <w:autoSpaceDE w:val="0"/>
              <w:autoSpaceDN w:val="0"/>
              <w:adjustRightInd w:val="0"/>
              <w:rPr>
                <w:highlight w:val="yellow"/>
              </w:rPr>
            </w:pPr>
          </w:p>
        </w:tc>
      </w:tr>
      <w:tr w:rsidR="00B54D51" w:rsidRPr="00037AD4" w14:paraId="35A84756" w14:textId="77777777" w:rsidTr="00401C67">
        <w:trPr>
          <w:jc w:val="center"/>
        </w:trPr>
        <w:tc>
          <w:tcPr>
            <w:tcW w:w="1608" w:type="pct"/>
            <w:tcBorders>
              <w:top w:val="nil"/>
              <w:left w:val="nil"/>
              <w:bottom w:val="nil"/>
              <w:right w:val="nil"/>
            </w:tcBorders>
          </w:tcPr>
          <w:p w14:paraId="7972A965" w14:textId="77777777" w:rsidR="00B54D51" w:rsidRPr="00037AD4" w:rsidRDefault="00B54D51" w:rsidP="00401C67">
            <w:pPr>
              <w:widowControl w:val="0"/>
              <w:autoSpaceDE w:val="0"/>
              <w:autoSpaceDN w:val="0"/>
              <w:adjustRightInd w:val="0"/>
            </w:pPr>
            <w:r w:rsidRPr="00037AD4">
              <w:t>4.merg_eq5RP</w:t>
            </w:r>
          </w:p>
        </w:tc>
        <w:tc>
          <w:tcPr>
            <w:tcW w:w="695" w:type="pct"/>
            <w:tcBorders>
              <w:top w:val="nil"/>
              <w:left w:val="nil"/>
              <w:bottom w:val="nil"/>
              <w:right w:val="nil"/>
            </w:tcBorders>
          </w:tcPr>
          <w:p w14:paraId="3ED9881E" w14:textId="77777777" w:rsidR="00B54D51" w:rsidRPr="00037AD4" w:rsidRDefault="00B54D51" w:rsidP="00401C67">
            <w:pPr>
              <w:widowControl w:val="0"/>
              <w:autoSpaceDE w:val="0"/>
              <w:autoSpaceDN w:val="0"/>
              <w:adjustRightInd w:val="0"/>
              <w:jc w:val="center"/>
            </w:pPr>
          </w:p>
        </w:tc>
        <w:tc>
          <w:tcPr>
            <w:tcW w:w="695" w:type="pct"/>
            <w:tcBorders>
              <w:top w:val="nil"/>
              <w:left w:val="nil"/>
              <w:bottom w:val="nil"/>
              <w:right w:val="nil"/>
            </w:tcBorders>
          </w:tcPr>
          <w:p w14:paraId="3A47CDA0" w14:textId="77777777" w:rsidR="00B54D51" w:rsidRPr="00037AD4" w:rsidRDefault="00B54D51" w:rsidP="00401C67">
            <w:pPr>
              <w:widowControl w:val="0"/>
              <w:autoSpaceDE w:val="0"/>
              <w:autoSpaceDN w:val="0"/>
              <w:adjustRightInd w:val="0"/>
              <w:jc w:val="center"/>
              <w:rPr>
                <w:highlight w:val="yellow"/>
              </w:rPr>
            </w:pPr>
          </w:p>
        </w:tc>
        <w:tc>
          <w:tcPr>
            <w:tcW w:w="696" w:type="pct"/>
            <w:tcBorders>
              <w:top w:val="nil"/>
              <w:left w:val="nil"/>
              <w:bottom w:val="nil"/>
              <w:right w:val="nil"/>
            </w:tcBorders>
          </w:tcPr>
          <w:p w14:paraId="6FA84E16" w14:textId="77777777" w:rsidR="00B54D51" w:rsidRPr="00037AD4" w:rsidRDefault="00B54D51" w:rsidP="00401C67">
            <w:pPr>
              <w:widowControl w:val="0"/>
              <w:autoSpaceDE w:val="0"/>
              <w:autoSpaceDN w:val="0"/>
              <w:adjustRightInd w:val="0"/>
              <w:jc w:val="center"/>
              <w:rPr>
                <w:highlight w:val="yellow"/>
              </w:rPr>
            </w:pPr>
            <w:r w:rsidRPr="00037AD4">
              <w:t>0.622***</w:t>
            </w:r>
          </w:p>
        </w:tc>
        <w:tc>
          <w:tcPr>
            <w:tcW w:w="654" w:type="pct"/>
            <w:tcBorders>
              <w:top w:val="nil"/>
              <w:left w:val="nil"/>
              <w:bottom w:val="nil"/>
              <w:right w:val="nil"/>
            </w:tcBorders>
          </w:tcPr>
          <w:p w14:paraId="26C88F77" w14:textId="77777777" w:rsidR="00B54D51" w:rsidRPr="00037AD4" w:rsidRDefault="00B54D51" w:rsidP="00401C67">
            <w:pPr>
              <w:widowControl w:val="0"/>
              <w:autoSpaceDE w:val="0"/>
              <w:autoSpaceDN w:val="0"/>
              <w:adjustRightInd w:val="0"/>
              <w:rPr>
                <w:highlight w:val="yellow"/>
              </w:rPr>
            </w:pPr>
          </w:p>
        </w:tc>
        <w:tc>
          <w:tcPr>
            <w:tcW w:w="653" w:type="pct"/>
            <w:tcBorders>
              <w:top w:val="nil"/>
              <w:left w:val="nil"/>
              <w:bottom w:val="nil"/>
              <w:right w:val="nil"/>
            </w:tcBorders>
          </w:tcPr>
          <w:p w14:paraId="77348A3D" w14:textId="77777777" w:rsidR="00B54D51" w:rsidRPr="00037AD4" w:rsidRDefault="00B54D51" w:rsidP="00401C67">
            <w:pPr>
              <w:widowControl w:val="0"/>
              <w:autoSpaceDE w:val="0"/>
              <w:autoSpaceDN w:val="0"/>
              <w:adjustRightInd w:val="0"/>
              <w:rPr>
                <w:highlight w:val="yellow"/>
              </w:rPr>
            </w:pPr>
          </w:p>
        </w:tc>
      </w:tr>
      <w:tr w:rsidR="00B54D51" w:rsidRPr="00037AD4" w14:paraId="11C06E0A" w14:textId="77777777" w:rsidTr="00401C67">
        <w:trPr>
          <w:jc w:val="center"/>
        </w:trPr>
        <w:tc>
          <w:tcPr>
            <w:tcW w:w="1608" w:type="pct"/>
            <w:tcBorders>
              <w:top w:val="nil"/>
              <w:left w:val="nil"/>
              <w:bottom w:val="nil"/>
              <w:right w:val="nil"/>
            </w:tcBorders>
          </w:tcPr>
          <w:p w14:paraId="13C58DC7" w14:textId="77777777" w:rsidR="00B54D51" w:rsidRPr="00037AD4" w:rsidRDefault="00B54D51" w:rsidP="00401C67">
            <w:pPr>
              <w:widowControl w:val="0"/>
              <w:autoSpaceDE w:val="0"/>
              <w:autoSpaceDN w:val="0"/>
              <w:adjustRightInd w:val="0"/>
            </w:pPr>
          </w:p>
        </w:tc>
        <w:tc>
          <w:tcPr>
            <w:tcW w:w="695" w:type="pct"/>
            <w:tcBorders>
              <w:top w:val="nil"/>
              <w:left w:val="nil"/>
              <w:bottom w:val="nil"/>
              <w:right w:val="nil"/>
            </w:tcBorders>
          </w:tcPr>
          <w:p w14:paraId="1CDCD579" w14:textId="77777777" w:rsidR="00B54D51" w:rsidRPr="00037AD4" w:rsidRDefault="00B54D51" w:rsidP="00401C67">
            <w:pPr>
              <w:widowControl w:val="0"/>
              <w:autoSpaceDE w:val="0"/>
              <w:autoSpaceDN w:val="0"/>
              <w:adjustRightInd w:val="0"/>
              <w:jc w:val="center"/>
            </w:pPr>
          </w:p>
        </w:tc>
        <w:tc>
          <w:tcPr>
            <w:tcW w:w="695" w:type="pct"/>
            <w:tcBorders>
              <w:top w:val="nil"/>
              <w:left w:val="nil"/>
              <w:bottom w:val="nil"/>
              <w:right w:val="nil"/>
            </w:tcBorders>
          </w:tcPr>
          <w:p w14:paraId="5EF6560D" w14:textId="77777777" w:rsidR="00B54D51" w:rsidRPr="00037AD4" w:rsidRDefault="00B54D51" w:rsidP="00401C67">
            <w:pPr>
              <w:widowControl w:val="0"/>
              <w:autoSpaceDE w:val="0"/>
              <w:autoSpaceDN w:val="0"/>
              <w:adjustRightInd w:val="0"/>
              <w:jc w:val="center"/>
              <w:rPr>
                <w:highlight w:val="yellow"/>
              </w:rPr>
            </w:pPr>
          </w:p>
        </w:tc>
        <w:tc>
          <w:tcPr>
            <w:tcW w:w="696" w:type="pct"/>
            <w:tcBorders>
              <w:top w:val="nil"/>
              <w:left w:val="nil"/>
              <w:bottom w:val="nil"/>
              <w:right w:val="nil"/>
            </w:tcBorders>
          </w:tcPr>
          <w:p w14:paraId="2B501B6C" w14:textId="77777777" w:rsidR="00B54D51" w:rsidRPr="00037AD4" w:rsidRDefault="00B54D51" w:rsidP="00401C67">
            <w:pPr>
              <w:widowControl w:val="0"/>
              <w:autoSpaceDE w:val="0"/>
              <w:autoSpaceDN w:val="0"/>
              <w:adjustRightInd w:val="0"/>
              <w:jc w:val="center"/>
              <w:rPr>
                <w:highlight w:val="yellow"/>
              </w:rPr>
            </w:pPr>
            <w:r w:rsidRPr="00037AD4">
              <w:t>(0.306 - 0.937)</w:t>
            </w:r>
          </w:p>
        </w:tc>
        <w:tc>
          <w:tcPr>
            <w:tcW w:w="654" w:type="pct"/>
            <w:tcBorders>
              <w:top w:val="nil"/>
              <w:left w:val="nil"/>
              <w:bottom w:val="nil"/>
              <w:right w:val="nil"/>
            </w:tcBorders>
          </w:tcPr>
          <w:p w14:paraId="3B38CAE3" w14:textId="77777777" w:rsidR="00B54D51" w:rsidRPr="00037AD4" w:rsidRDefault="00B54D51" w:rsidP="00401C67">
            <w:pPr>
              <w:widowControl w:val="0"/>
              <w:autoSpaceDE w:val="0"/>
              <w:autoSpaceDN w:val="0"/>
              <w:adjustRightInd w:val="0"/>
              <w:rPr>
                <w:highlight w:val="yellow"/>
              </w:rPr>
            </w:pPr>
          </w:p>
        </w:tc>
        <w:tc>
          <w:tcPr>
            <w:tcW w:w="653" w:type="pct"/>
            <w:tcBorders>
              <w:top w:val="nil"/>
              <w:left w:val="nil"/>
              <w:bottom w:val="nil"/>
              <w:right w:val="nil"/>
            </w:tcBorders>
          </w:tcPr>
          <w:p w14:paraId="0CCC3957" w14:textId="77777777" w:rsidR="00B54D51" w:rsidRPr="00037AD4" w:rsidRDefault="00B54D51" w:rsidP="00401C67">
            <w:pPr>
              <w:widowControl w:val="0"/>
              <w:autoSpaceDE w:val="0"/>
              <w:autoSpaceDN w:val="0"/>
              <w:adjustRightInd w:val="0"/>
              <w:rPr>
                <w:highlight w:val="yellow"/>
              </w:rPr>
            </w:pPr>
          </w:p>
        </w:tc>
      </w:tr>
      <w:tr w:rsidR="00B54D51" w:rsidRPr="00037AD4" w14:paraId="441F8A48" w14:textId="77777777" w:rsidTr="00401C67">
        <w:trPr>
          <w:jc w:val="center"/>
        </w:trPr>
        <w:tc>
          <w:tcPr>
            <w:tcW w:w="1608" w:type="pct"/>
            <w:tcBorders>
              <w:top w:val="nil"/>
              <w:left w:val="nil"/>
              <w:bottom w:val="nil"/>
              <w:right w:val="nil"/>
            </w:tcBorders>
          </w:tcPr>
          <w:p w14:paraId="1E4A2849" w14:textId="77777777" w:rsidR="00B54D51" w:rsidRPr="00037AD4" w:rsidRDefault="00B54D51" w:rsidP="00401C67">
            <w:pPr>
              <w:widowControl w:val="0"/>
              <w:autoSpaceDE w:val="0"/>
              <w:autoSpaceDN w:val="0"/>
              <w:adjustRightInd w:val="0"/>
            </w:pPr>
          </w:p>
        </w:tc>
        <w:tc>
          <w:tcPr>
            <w:tcW w:w="695" w:type="pct"/>
            <w:tcBorders>
              <w:top w:val="nil"/>
              <w:left w:val="nil"/>
              <w:bottom w:val="nil"/>
              <w:right w:val="nil"/>
            </w:tcBorders>
          </w:tcPr>
          <w:p w14:paraId="1DF84A45" w14:textId="77777777" w:rsidR="00B54D51" w:rsidRPr="00037AD4" w:rsidRDefault="00B54D51" w:rsidP="00401C67">
            <w:pPr>
              <w:widowControl w:val="0"/>
              <w:autoSpaceDE w:val="0"/>
              <w:autoSpaceDN w:val="0"/>
              <w:adjustRightInd w:val="0"/>
              <w:jc w:val="center"/>
            </w:pPr>
          </w:p>
        </w:tc>
        <w:tc>
          <w:tcPr>
            <w:tcW w:w="695" w:type="pct"/>
            <w:tcBorders>
              <w:top w:val="nil"/>
              <w:left w:val="nil"/>
              <w:bottom w:val="nil"/>
              <w:right w:val="nil"/>
            </w:tcBorders>
          </w:tcPr>
          <w:p w14:paraId="5945F30F" w14:textId="77777777" w:rsidR="00B54D51" w:rsidRPr="00037AD4" w:rsidRDefault="00B54D51" w:rsidP="00401C67">
            <w:pPr>
              <w:widowControl w:val="0"/>
              <w:autoSpaceDE w:val="0"/>
              <w:autoSpaceDN w:val="0"/>
              <w:adjustRightInd w:val="0"/>
              <w:jc w:val="center"/>
              <w:rPr>
                <w:highlight w:val="yellow"/>
              </w:rPr>
            </w:pPr>
          </w:p>
        </w:tc>
        <w:tc>
          <w:tcPr>
            <w:tcW w:w="696" w:type="pct"/>
            <w:tcBorders>
              <w:top w:val="nil"/>
              <w:left w:val="nil"/>
              <w:bottom w:val="nil"/>
              <w:right w:val="nil"/>
            </w:tcBorders>
          </w:tcPr>
          <w:p w14:paraId="6B8A76EA" w14:textId="77777777" w:rsidR="00B54D51" w:rsidRPr="00037AD4" w:rsidRDefault="00B54D51" w:rsidP="00401C67">
            <w:pPr>
              <w:widowControl w:val="0"/>
              <w:autoSpaceDE w:val="0"/>
              <w:autoSpaceDN w:val="0"/>
              <w:adjustRightInd w:val="0"/>
              <w:jc w:val="center"/>
              <w:rPr>
                <w:highlight w:val="yellow"/>
              </w:rPr>
            </w:pPr>
          </w:p>
        </w:tc>
        <w:tc>
          <w:tcPr>
            <w:tcW w:w="654" w:type="pct"/>
            <w:tcBorders>
              <w:top w:val="nil"/>
              <w:left w:val="nil"/>
              <w:bottom w:val="nil"/>
              <w:right w:val="nil"/>
            </w:tcBorders>
          </w:tcPr>
          <w:p w14:paraId="3A00E180" w14:textId="77777777" w:rsidR="00B54D51" w:rsidRPr="00037AD4" w:rsidRDefault="00B54D51" w:rsidP="00401C67">
            <w:pPr>
              <w:widowControl w:val="0"/>
              <w:autoSpaceDE w:val="0"/>
              <w:autoSpaceDN w:val="0"/>
              <w:adjustRightInd w:val="0"/>
              <w:jc w:val="center"/>
              <w:rPr>
                <w:highlight w:val="yellow"/>
              </w:rPr>
            </w:pPr>
          </w:p>
        </w:tc>
        <w:tc>
          <w:tcPr>
            <w:tcW w:w="653" w:type="pct"/>
            <w:tcBorders>
              <w:top w:val="nil"/>
              <w:left w:val="nil"/>
              <w:bottom w:val="nil"/>
              <w:right w:val="nil"/>
            </w:tcBorders>
          </w:tcPr>
          <w:p w14:paraId="4ED7B3F5" w14:textId="77777777" w:rsidR="00B54D51" w:rsidRPr="00037AD4" w:rsidRDefault="00B54D51" w:rsidP="00401C67">
            <w:pPr>
              <w:widowControl w:val="0"/>
              <w:autoSpaceDE w:val="0"/>
              <w:autoSpaceDN w:val="0"/>
              <w:adjustRightInd w:val="0"/>
              <w:jc w:val="center"/>
              <w:rPr>
                <w:highlight w:val="yellow"/>
              </w:rPr>
            </w:pPr>
          </w:p>
        </w:tc>
      </w:tr>
      <w:tr w:rsidR="00B54D51" w:rsidRPr="00037AD4" w14:paraId="2250E6FE" w14:textId="77777777" w:rsidTr="00401C67">
        <w:tblPrEx>
          <w:tblBorders>
            <w:bottom w:val="single" w:sz="6" w:space="0" w:color="auto"/>
          </w:tblBorders>
        </w:tblPrEx>
        <w:trPr>
          <w:jc w:val="center"/>
        </w:trPr>
        <w:tc>
          <w:tcPr>
            <w:tcW w:w="1608" w:type="pct"/>
            <w:tcBorders>
              <w:top w:val="nil"/>
              <w:left w:val="nil"/>
              <w:bottom w:val="nil"/>
              <w:right w:val="nil"/>
            </w:tcBorders>
          </w:tcPr>
          <w:p w14:paraId="0908C28D" w14:textId="77777777" w:rsidR="00B54D51" w:rsidRPr="00037AD4" w:rsidRDefault="00B54D51" w:rsidP="00401C67">
            <w:pPr>
              <w:widowControl w:val="0"/>
              <w:autoSpaceDE w:val="0"/>
              <w:autoSpaceDN w:val="0"/>
              <w:adjustRightInd w:val="0"/>
            </w:pPr>
            <w:r w:rsidRPr="00037AD4">
              <w:t>Observations</w:t>
            </w:r>
          </w:p>
        </w:tc>
        <w:tc>
          <w:tcPr>
            <w:tcW w:w="695" w:type="pct"/>
            <w:tcBorders>
              <w:top w:val="nil"/>
              <w:left w:val="nil"/>
              <w:bottom w:val="nil"/>
              <w:right w:val="nil"/>
            </w:tcBorders>
          </w:tcPr>
          <w:p w14:paraId="301C5F42" w14:textId="77777777" w:rsidR="00B54D51" w:rsidRPr="00037AD4" w:rsidRDefault="00B54D51" w:rsidP="00401C67">
            <w:pPr>
              <w:widowControl w:val="0"/>
              <w:autoSpaceDE w:val="0"/>
              <w:autoSpaceDN w:val="0"/>
              <w:adjustRightInd w:val="0"/>
              <w:jc w:val="center"/>
            </w:pPr>
            <w:r w:rsidRPr="00037AD4">
              <w:t>957</w:t>
            </w:r>
          </w:p>
        </w:tc>
        <w:tc>
          <w:tcPr>
            <w:tcW w:w="695" w:type="pct"/>
            <w:tcBorders>
              <w:top w:val="nil"/>
              <w:left w:val="nil"/>
              <w:bottom w:val="nil"/>
              <w:right w:val="nil"/>
            </w:tcBorders>
          </w:tcPr>
          <w:p w14:paraId="4B7F3E1E" w14:textId="77777777" w:rsidR="00B54D51" w:rsidRPr="00037AD4" w:rsidRDefault="00B54D51" w:rsidP="00401C67">
            <w:pPr>
              <w:widowControl w:val="0"/>
              <w:autoSpaceDE w:val="0"/>
              <w:autoSpaceDN w:val="0"/>
              <w:adjustRightInd w:val="0"/>
              <w:jc w:val="center"/>
            </w:pPr>
            <w:r w:rsidRPr="00037AD4">
              <w:t>1013</w:t>
            </w:r>
          </w:p>
        </w:tc>
        <w:tc>
          <w:tcPr>
            <w:tcW w:w="696" w:type="pct"/>
            <w:tcBorders>
              <w:top w:val="nil"/>
              <w:left w:val="nil"/>
              <w:bottom w:val="nil"/>
              <w:right w:val="nil"/>
            </w:tcBorders>
          </w:tcPr>
          <w:p w14:paraId="6B7EE840" w14:textId="77777777" w:rsidR="00B54D51" w:rsidRPr="00037AD4" w:rsidRDefault="00B54D51" w:rsidP="00401C67">
            <w:pPr>
              <w:widowControl w:val="0"/>
              <w:autoSpaceDE w:val="0"/>
              <w:autoSpaceDN w:val="0"/>
              <w:adjustRightInd w:val="0"/>
              <w:jc w:val="center"/>
              <w:rPr>
                <w:highlight w:val="yellow"/>
              </w:rPr>
            </w:pPr>
            <w:r w:rsidRPr="00037AD4">
              <w:t>1013</w:t>
            </w:r>
          </w:p>
        </w:tc>
        <w:tc>
          <w:tcPr>
            <w:tcW w:w="654" w:type="pct"/>
            <w:tcBorders>
              <w:top w:val="nil"/>
              <w:left w:val="nil"/>
              <w:bottom w:val="nil"/>
              <w:right w:val="nil"/>
            </w:tcBorders>
          </w:tcPr>
          <w:p w14:paraId="7EA0D9E7" w14:textId="77777777" w:rsidR="00B54D51" w:rsidRPr="00037AD4" w:rsidRDefault="00B54D51" w:rsidP="00401C67">
            <w:pPr>
              <w:widowControl w:val="0"/>
              <w:autoSpaceDE w:val="0"/>
              <w:autoSpaceDN w:val="0"/>
              <w:adjustRightInd w:val="0"/>
              <w:jc w:val="center"/>
            </w:pPr>
            <w:r w:rsidRPr="00037AD4">
              <w:t>1013</w:t>
            </w:r>
          </w:p>
        </w:tc>
        <w:tc>
          <w:tcPr>
            <w:tcW w:w="653" w:type="pct"/>
            <w:tcBorders>
              <w:top w:val="nil"/>
              <w:left w:val="nil"/>
              <w:bottom w:val="nil"/>
              <w:right w:val="nil"/>
            </w:tcBorders>
          </w:tcPr>
          <w:p w14:paraId="7BD48074" w14:textId="77777777" w:rsidR="00B54D51" w:rsidRPr="00037AD4" w:rsidRDefault="00B54D51" w:rsidP="00401C67">
            <w:pPr>
              <w:widowControl w:val="0"/>
              <w:autoSpaceDE w:val="0"/>
              <w:autoSpaceDN w:val="0"/>
              <w:adjustRightInd w:val="0"/>
              <w:jc w:val="center"/>
            </w:pPr>
            <w:r w:rsidRPr="00037AD4">
              <w:t>1,111</w:t>
            </w:r>
          </w:p>
        </w:tc>
      </w:tr>
      <w:tr w:rsidR="00B54D51" w:rsidRPr="00037AD4" w14:paraId="0D4C8804" w14:textId="77777777" w:rsidTr="00401C67">
        <w:tblPrEx>
          <w:tblBorders>
            <w:bottom w:val="single" w:sz="6" w:space="0" w:color="auto"/>
          </w:tblBorders>
        </w:tblPrEx>
        <w:trPr>
          <w:jc w:val="center"/>
        </w:trPr>
        <w:tc>
          <w:tcPr>
            <w:tcW w:w="1608" w:type="pct"/>
            <w:tcBorders>
              <w:top w:val="nil"/>
              <w:left w:val="nil"/>
              <w:bottom w:val="nil"/>
              <w:right w:val="nil"/>
            </w:tcBorders>
          </w:tcPr>
          <w:p w14:paraId="14BA53B3" w14:textId="77777777" w:rsidR="00B54D51" w:rsidRPr="00037AD4" w:rsidRDefault="00B54D51" w:rsidP="00401C67">
            <w:pPr>
              <w:widowControl w:val="0"/>
              <w:autoSpaceDE w:val="0"/>
              <w:autoSpaceDN w:val="0"/>
              <w:adjustRightInd w:val="0"/>
              <w:rPr>
                <w:vertAlign w:val="superscript"/>
              </w:rPr>
            </w:pPr>
            <w:r w:rsidRPr="00037AD4">
              <w:t>Wald Chi</w:t>
            </w:r>
            <w:r w:rsidRPr="00037AD4">
              <w:rPr>
                <w:vertAlign w:val="superscript"/>
              </w:rPr>
              <w:t>2</w:t>
            </w:r>
          </w:p>
        </w:tc>
        <w:tc>
          <w:tcPr>
            <w:tcW w:w="695" w:type="pct"/>
            <w:tcBorders>
              <w:top w:val="nil"/>
              <w:left w:val="nil"/>
              <w:bottom w:val="nil"/>
              <w:right w:val="nil"/>
            </w:tcBorders>
          </w:tcPr>
          <w:p w14:paraId="4B29C10F" w14:textId="77777777" w:rsidR="00B54D51" w:rsidRPr="00037AD4" w:rsidRDefault="00B54D51" w:rsidP="00401C67">
            <w:pPr>
              <w:widowControl w:val="0"/>
              <w:autoSpaceDE w:val="0"/>
              <w:autoSpaceDN w:val="0"/>
              <w:adjustRightInd w:val="0"/>
              <w:jc w:val="center"/>
            </w:pPr>
            <w:r w:rsidRPr="00037AD4">
              <w:t>231.33</w:t>
            </w:r>
          </w:p>
        </w:tc>
        <w:tc>
          <w:tcPr>
            <w:tcW w:w="695" w:type="pct"/>
            <w:tcBorders>
              <w:top w:val="nil"/>
              <w:left w:val="nil"/>
              <w:bottom w:val="nil"/>
              <w:right w:val="nil"/>
            </w:tcBorders>
          </w:tcPr>
          <w:p w14:paraId="1BE03DC9" w14:textId="77777777" w:rsidR="00B54D51" w:rsidRPr="00037AD4" w:rsidRDefault="00B54D51" w:rsidP="00401C67">
            <w:pPr>
              <w:widowControl w:val="0"/>
              <w:autoSpaceDE w:val="0"/>
              <w:autoSpaceDN w:val="0"/>
              <w:adjustRightInd w:val="0"/>
              <w:jc w:val="center"/>
            </w:pPr>
            <w:r w:rsidRPr="00037AD4">
              <w:t>71.70</w:t>
            </w:r>
          </w:p>
        </w:tc>
        <w:tc>
          <w:tcPr>
            <w:tcW w:w="696" w:type="pct"/>
            <w:tcBorders>
              <w:top w:val="nil"/>
              <w:left w:val="nil"/>
              <w:bottom w:val="nil"/>
              <w:right w:val="nil"/>
            </w:tcBorders>
          </w:tcPr>
          <w:p w14:paraId="04AEF9A0" w14:textId="77777777" w:rsidR="00B54D51" w:rsidRPr="00037AD4" w:rsidRDefault="00B54D51" w:rsidP="00401C67">
            <w:pPr>
              <w:widowControl w:val="0"/>
              <w:autoSpaceDE w:val="0"/>
              <w:autoSpaceDN w:val="0"/>
              <w:adjustRightInd w:val="0"/>
              <w:jc w:val="center"/>
            </w:pPr>
            <w:r w:rsidRPr="00037AD4">
              <w:t>55.45</w:t>
            </w:r>
          </w:p>
        </w:tc>
        <w:tc>
          <w:tcPr>
            <w:tcW w:w="654" w:type="pct"/>
            <w:tcBorders>
              <w:top w:val="nil"/>
              <w:left w:val="nil"/>
              <w:bottom w:val="nil"/>
              <w:right w:val="nil"/>
            </w:tcBorders>
          </w:tcPr>
          <w:p w14:paraId="47AB2C0B" w14:textId="77777777" w:rsidR="00B54D51" w:rsidRPr="00037AD4" w:rsidRDefault="00B54D51" w:rsidP="00401C67">
            <w:pPr>
              <w:widowControl w:val="0"/>
              <w:autoSpaceDE w:val="0"/>
              <w:autoSpaceDN w:val="0"/>
              <w:adjustRightInd w:val="0"/>
              <w:jc w:val="center"/>
            </w:pPr>
            <w:r w:rsidRPr="00037AD4">
              <w:t>70.66</w:t>
            </w:r>
          </w:p>
        </w:tc>
        <w:tc>
          <w:tcPr>
            <w:tcW w:w="653" w:type="pct"/>
            <w:tcBorders>
              <w:top w:val="nil"/>
              <w:left w:val="nil"/>
              <w:bottom w:val="nil"/>
              <w:right w:val="nil"/>
            </w:tcBorders>
          </w:tcPr>
          <w:p w14:paraId="0CC56F53" w14:textId="77777777" w:rsidR="00B54D51" w:rsidRPr="00037AD4" w:rsidRDefault="00B54D51" w:rsidP="00401C67">
            <w:pPr>
              <w:widowControl w:val="0"/>
              <w:autoSpaceDE w:val="0"/>
              <w:autoSpaceDN w:val="0"/>
              <w:adjustRightInd w:val="0"/>
              <w:jc w:val="center"/>
            </w:pPr>
            <w:r w:rsidRPr="00037AD4">
              <w:t>78.41</w:t>
            </w:r>
          </w:p>
        </w:tc>
      </w:tr>
      <w:tr w:rsidR="00B54D51" w:rsidRPr="00037AD4" w14:paraId="298C0D97" w14:textId="77777777" w:rsidTr="00401C67">
        <w:tblPrEx>
          <w:tblBorders>
            <w:bottom w:val="single" w:sz="6" w:space="0" w:color="auto"/>
          </w:tblBorders>
        </w:tblPrEx>
        <w:trPr>
          <w:jc w:val="center"/>
        </w:trPr>
        <w:tc>
          <w:tcPr>
            <w:tcW w:w="1608" w:type="pct"/>
            <w:tcBorders>
              <w:top w:val="nil"/>
              <w:left w:val="nil"/>
              <w:bottom w:val="nil"/>
              <w:right w:val="nil"/>
            </w:tcBorders>
          </w:tcPr>
          <w:p w14:paraId="4C0AB228" w14:textId="77777777" w:rsidR="00B54D51" w:rsidRPr="00037AD4" w:rsidRDefault="00B54D51" w:rsidP="00401C67">
            <w:pPr>
              <w:widowControl w:val="0"/>
              <w:autoSpaceDE w:val="0"/>
              <w:autoSpaceDN w:val="0"/>
              <w:adjustRightInd w:val="0"/>
              <w:rPr>
                <w:vertAlign w:val="superscript"/>
              </w:rPr>
            </w:pPr>
            <w:r w:rsidRPr="00037AD4">
              <w:t>Pseudo R</w:t>
            </w:r>
            <w:r w:rsidRPr="00037AD4">
              <w:rPr>
                <w:vertAlign w:val="superscript"/>
              </w:rPr>
              <w:t>2</w:t>
            </w:r>
          </w:p>
        </w:tc>
        <w:tc>
          <w:tcPr>
            <w:tcW w:w="695" w:type="pct"/>
            <w:tcBorders>
              <w:top w:val="nil"/>
              <w:left w:val="nil"/>
              <w:bottom w:val="nil"/>
              <w:right w:val="nil"/>
            </w:tcBorders>
          </w:tcPr>
          <w:p w14:paraId="516184EB" w14:textId="77777777" w:rsidR="00B54D51" w:rsidRPr="00037AD4" w:rsidRDefault="00B54D51" w:rsidP="00401C67">
            <w:pPr>
              <w:widowControl w:val="0"/>
              <w:autoSpaceDE w:val="0"/>
              <w:autoSpaceDN w:val="0"/>
              <w:adjustRightInd w:val="0"/>
              <w:jc w:val="center"/>
            </w:pPr>
            <w:r w:rsidRPr="00037AD4">
              <w:t>0.0734</w:t>
            </w:r>
          </w:p>
        </w:tc>
        <w:tc>
          <w:tcPr>
            <w:tcW w:w="695" w:type="pct"/>
            <w:tcBorders>
              <w:top w:val="nil"/>
              <w:left w:val="nil"/>
              <w:bottom w:val="nil"/>
              <w:right w:val="nil"/>
            </w:tcBorders>
          </w:tcPr>
          <w:p w14:paraId="253503CA" w14:textId="77777777" w:rsidR="00B54D51" w:rsidRPr="00037AD4" w:rsidRDefault="00B54D51" w:rsidP="00401C67">
            <w:pPr>
              <w:widowControl w:val="0"/>
              <w:autoSpaceDE w:val="0"/>
              <w:autoSpaceDN w:val="0"/>
              <w:adjustRightInd w:val="0"/>
              <w:jc w:val="center"/>
            </w:pPr>
            <w:r w:rsidRPr="00037AD4">
              <w:t>0.0289</w:t>
            </w:r>
          </w:p>
        </w:tc>
        <w:tc>
          <w:tcPr>
            <w:tcW w:w="696" w:type="pct"/>
            <w:tcBorders>
              <w:top w:val="nil"/>
              <w:left w:val="nil"/>
              <w:bottom w:val="nil"/>
              <w:right w:val="nil"/>
            </w:tcBorders>
          </w:tcPr>
          <w:p w14:paraId="7DDF1CBE" w14:textId="77777777" w:rsidR="00B54D51" w:rsidRPr="00037AD4" w:rsidRDefault="00B54D51" w:rsidP="00401C67">
            <w:pPr>
              <w:widowControl w:val="0"/>
              <w:autoSpaceDE w:val="0"/>
              <w:autoSpaceDN w:val="0"/>
              <w:adjustRightInd w:val="0"/>
              <w:jc w:val="center"/>
            </w:pPr>
            <w:r w:rsidRPr="00037AD4">
              <w:t>0.0283</w:t>
            </w:r>
          </w:p>
        </w:tc>
        <w:tc>
          <w:tcPr>
            <w:tcW w:w="654" w:type="pct"/>
            <w:tcBorders>
              <w:top w:val="nil"/>
              <w:left w:val="nil"/>
              <w:bottom w:val="nil"/>
              <w:right w:val="nil"/>
            </w:tcBorders>
          </w:tcPr>
          <w:p w14:paraId="735EA659" w14:textId="77777777" w:rsidR="00B54D51" w:rsidRPr="00037AD4" w:rsidRDefault="00B54D51" w:rsidP="00401C67">
            <w:pPr>
              <w:widowControl w:val="0"/>
              <w:autoSpaceDE w:val="0"/>
              <w:autoSpaceDN w:val="0"/>
              <w:adjustRightInd w:val="0"/>
              <w:jc w:val="center"/>
            </w:pPr>
            <w:r w:rsidRPr="00037AD4">
              <w:t>0.0289</w:t>
            </w:r>
          </w:p>
        </w:tc>
        <w:tc>
          <w:tcPr>
            <w:tcW w:w="653" w:type="pct"/>
            <w:tcBorders>
              <w:top w:val="nil"/>
              <w:left w:val="nil"/>
              <w:bottom w:val="nil"/>
              <w:right w:val="nil"/>
            </w:tcBorders>
          </w:tcPr>
          <w:p w14:paraId="112091F5" w14:textId="77777777" w:rsidR="00B54D51" w:rsidRPr="00037AD4" w:rsidRDefault="00B54D51" w:rsidP="00401C67">
            <w:pPr>
              <w:widowControl w:val="0"/>
              <w:autoSpaceDE w:val="0"/>
              <w:autoSpaceDN w:val="0"/>
              <w:adjustRightInd w:val="0"/>
              <w:jc w:val="center"/>
            </w:pPr>
            <w:r w:rsidRPr="00037AD4">
              <w:t>0.0276</w:t>
            </w:r>
          </w:p>
        </w:tc>
      </w:tr>
      <w:tr w:rsidR="00B54D51" w:rsidRPr="00037AD4" w14:paraId="477785AA" w14:textId="77777777" w:rsidTr="00401C67">
        <w:tblPrEx>
          <w:tblBorders>
            <w:bottom w:val="single" w:sz="6" w:space="0" w:color="auto"/>
          </w:tblBorders>
        </w:tblPrEx>
        <w:trPr>
          <w:jc w:val="center"/>
        </w:trPr>
        <w:tc>
          <w:tcPr>
            <w:tcW w:w="1608" w:type="pct"/>
            <w:tcBorders>
              <w:top w:val="nil"/>
              <w:left w:val="nil"/>
              <w:bottom w:val="nil"/>
              <w:right w:val="nil"/>
            </w:tcBorders>
          </w:tcPr>
          <w:p w14:paraId="7CF22C6C" w14:textId="77777777" w:rsidR="00B54D51" w:rsidRPr="00037AD4" w:rsidRDefault="00B54D51" w:rsidP="00401C67">
            <w:pPr>
              <w:widowControl w:val="0"/>
              <w:autoSpaceDE w:val="0"/>
              <w:autoSpaceDN w:val="0"/>
              <w:adjustRightInd w:val="0"/>
            </w:pPr>
            <w:r w:rsidRPr="00037AD4">
              <w:t>AIC</w:t>
            </w:r>
          </w:p>
        </w:tc>
        <w:tc>
          <w:tcPr>
            <w:tcW w:w="695" w:type="pct"/>
            <w:tcBorders>
              <w:top w:val="nil"/>
              <w:left w:val="nil"/>
              <w:bottom w:val="nil"/>
              <w:right w:val="nil"/>
            </w:tcBorders>
          </w:tcPr>
          <w:p w14:paraId="719F31E1" w14:textId="77777777" w:rsidR="00B54D51" w:rsidRPr="00037AD4" w:rsidRDefault="00B54D51" w:rsidP="00401C67">
            <w:pPr>
              <w:widowControl w:val="0"/>
              <w:autoSpaceDE w:val="0"/>
              <w:autoSpaceDN w:val="0"/>
              <w:adjustRightInd w:val="0"/>
              <w:jc w:val="center"/>
            </w:pPr>
            <w:r w:rsidRPr="00037AD4">
              <w:t>1861.399</w:t>
            </w:r>
          </w:p>
        </w:tc>
        <w:tc>
          <w:tcPr>
            <w:tcW w:w="695" w:type="pct"/>
            <w:tcBorders>
              <w:top w:val="nil"/>
              <w:left w:val="nil"/>
              <w:bottom w:val="nil"/>
              <w:right w:val="nil"/>
            </w:tcBorders>
          </w:tcPr>
          <w:p w14:paraId="03496E51" w14:textId="77777777" w:rsidR="00B54D51" w:rsidRPr="00037AD4" w:rsidRDefault="00B54D51" w:rsidP="00401C67">
            <w:pPr>
              <w:widowControl w:val="0"/>
              <w:autoSpaceDE w:val="0"/>
              <w:autoSpaceDN w:val="0"/>
              <w:adjustRightInd w:val="0"/>
              <w:jc w:val="center"/>
            </w:pPr>
            <w:r w:rsidRPr="00037AD4">
              <w:t>2022.598</w:t>
            </w:r>
          </w:p>
        </w:tc>
        <w:tc>
          <w:tcPr>
            <w:tcW w:w="696" w:type="pct"/>
            <w:tcBorders>
              <w:top w:val="nil"/>
              <w:left w:val="nil"/>
              <w:bottom w:val="nil"/>
              <w:right w:val="nil"/>
            </w:tcBorders>
          </w:tcPr>
          <w:p w14:paraId="3319CA5B" w14:textId="77777777" w:rsidR="00B54D51" w:rsidRPr="00037AD4" w:rsidRDefault="00B54D51" w:rsidP="00401C67">
            <w:pPr>
              <w:widowControl w:val="0"/>
              <w:autoSpaceDE w:val="0"/>
              <w:autoSpaceDN w:val="0"/>
              <w:adjustRightInd w:val="0"/>
              <w:jc w:val="center"/>
            </w:pPr>
            <w:r w:rsidRPr="00037AD4">
              <w:t>2021.941</w:t>
            </w:r>
          </w:p>
        </w:tc>
        <w:tc>
          <w:tcPr>
            <w:tcW w:w="654" w:type="pct"/>
            <w:tcBorders>
              <w:top w:val="nil"/>
              <w:left w:val="nil"/>
              <w:bottom w:val="nil"/>
              <w:right w:val="nil"/>
            </w:tcBorders>
          </w:tcPr>
          <w:p w14:paraId="7F74CFFC" w14:textId="77777777" w:rsidR="00B54D51" w:rsidRPr="00037AD4" w:rsidRDefault="00B54D51" w:rsidP="00401C67">
            <w:pPr>
              <w:widowControl w:val="0"/>
              <w:autoSpaceDE w:val="0"/>
              <w:autoSpaceDN w:val="0"/>
              <w:adjustRightInd w:val="0"/>
              <w:jc w:val="center"/>
            </w:pPr>
            <w:r w:rsidRPr="00037AD4">
              <w:t>2019.676</w:t>
            </w:r>
          </w:p>
        </w:tc>
        <w:tc>
          <w:tcPr>
            <w:tcW w:w="653" w:type="pct"/>
            <w:tcBorders>
              <w:top w:val="nil"/>
              <w:left w:val="nil"/>
              <w:bottom w:val="nil"/>
              <w:right w:val="nil"/>
            </w:tcBorders>
          </w:tcPr>
          <w:p w14:paraId="3F5BFFF7" w14:textId="77777777" w:rsidR="00B54D51" w:rsidRPr="00037AD4" w:rsidRDefault="00B54D51" w:rsidP="00401C67">
            <w:pPr>
              <w:widowControl w:val="0"/>
              <w:autoSpaceDE w:val="0"/>
              <w:autoSpaceDN w:val="0"/>
              <w:adjustRightInd w:val="0"/>
              <w:jc w:val="center"/>
            </w:pPr>
            <w:r w:rsidRPr="00037AD4">
              <w:t>2196.93</w:t>
            </w:r>
          </w:p>
        </w:tc>
      </w:tr>
      <w:tr w:rsidR="00B54D51" w:rsidRPr="00037AD4" w14:paraId="3294B63B" w14:textId="77777777" w:rsidTr="00401C67">
        <w:tblPrEx>
          <w:tblBorders>
            <w:bottom w:val="single" w:sz="6" w:space="0" w:color="auto"/>
          </w:tblBorders>
        </w:tblPrEx>
        <w:trPr>
          <w:trHeight w:val="87"/>
          <w:jc w:val="center"/>
        </w:trPr>
        <w:tc>
          <w:tcPr>
            <w:tcW w:w="1608" w:type="pct"/>
            <w:tcBorders>
              <w:top w:val="nil"/>
              <w:left w:val="nil"/>
              <w:bottom w:val="nil"/>
              <w:right w:val="nil"/>
            </w:tcBorders>
          </w:tcPr>
          <w:p w14:paraId="4F4FA9EB" w14:textId="77777777" w:rsidR="00B54D51" w:rsidRPr="00037AD4" w:rsidRDefault="00B54D51" w:rsidP="00401C67">
            <w:pPr>
              <w:widowControl w:val="0"/>
              <w:autoSpaceDE w:val="0"/>
              <w:autoSpaceDN w:val="0"/>
              <w:adjustRightInd w:val="0"/>
            </w:pPr>
            <w:r w:rsidRPr="00037AD4">
              <w:t>BIC</w:t>
            </w:r>
          </w:p>
        </w:tc>
        <w:tc>
          <w:tcPr>
            <w:tcW w:w="695" w:type="pct"/>
            <w:tcBorders>
              <w:top w:val="nil"/>
              <w:left w:val="nil"/>
              <w:bottom w:val="nil"/>
              <w:right w:val="nil"/>
            </w:tcBorders>
          </w:tcPr>
          <w:p w14:paraId="3E366A12" w14:textId="77777777" w:rsidR="00B54D51" w:rsidRPr="00037AD4" w:rsidRDefault="00B54D51" w:rsidP="00401C67">
            <w:pPr>
              <w:widowControl w:val="0"/>
              <w:autoSpaceDE w:val="0"/>
              <w:autoSpaceDN w:val="0"/>
              <w:adjustRightInd w:val="0"/>
              <w:jc w:val="center"/>
            </w:pPr>
            <w:r w:rsidRPr="00037AD4">
              <w:t>2051.087</w:t>
            </w:r>
          </w:p>
        </w:tc>
        <w:tc>
          <w:tcPr>
            <w:tcW w:w="695" w:type="pct"/>
            <w:tcBorders>
              <w:top w:val="nil"/>
              <w:left w:val="nil"/>
              <w:bottom w:val="nil"/>
              <w:right w:val="nil"/>
            </w:tcBorders>
          </w:tcPr>
          <w:p w14:paraId="48901C3D" w14:textId="77777777" w:rsidR="00B54D51" w:rsidRPr="00037AD4" w:rsidRDefault="00B54D51" w:rsidP="00401C67">
            <w:pPr>
              <w:widowControl w:val="0"/>
              <w:autoSpaceDE w:val="0"/>
              <w:autoSpaceDN w:val="0"/>
              <w:adjustRightInd w:val="0"/>
              <w:jc w:val="center"/>
            </w:pPr>
            <w:r w:rsidRPr="00037AD4">
              <w:t>2081.646</w:t>
            </w:r>
          </w:p>
        </w:tc>
        <w:tc>
          <w:tcPr>
            <w:tcW w:w="696" w:type="pct"/>
            <w:tcBorders>
              <w:top w:val="nil"/>
              <w:left w:val="nil"/>
              <w:bottom w:val="nil"/>
              <w:right w:val="nil"/>
            </w:tcBorders>
          </w:tcPr>
          <w:p w14:paraId="5B9838FC" w14:textId="77777777" w:rsidR="00B54D51" w:rsidRPr="00037AD4" w:rsidRDefault="00B54D51" w:rsidP="00401C67">
            <w:pPr>
              <w:widowControl w:val="0"/>
              <w:autoSpaceDE w:val="0"/>
              <w:autoSpaceDN w:val="0"/>
              <w:adjustRightInd w:val="0"/>
              <w:jc w:val="center"/>
            </w:pPr>
            <w:r w:rsidRPr="00037AD4">
              <w:t>2076.068</w:t>
            </w:r>
          </w:p>
        </w:tc>
        <w:tc>
          <w:tcPr>
            <w:tcW w:w="654" w:type="pct"/>
            <w:tcBorders>
              <w:top w:val="nil"/>
              <w:left w:val="nil"/>
              <w:bottom w:val="nil"/>
              <w:right w:val="nil"/>
            </w:tcBorders>
          </w:tcPr>
          <w:p w14:paraId="79CEF9CE" w14:textId="77777777" w:rsidR="00B54D51" w:rsidRPr="00037AD4" w:rsidRDefault="00B54D51" w:rsidP="00401C67">
            <w:pPr>
              <w:widowControl w:val="0"/>
              <w:autoSpaceDE w:val="0"/>
              <w:autoSpaceDN w:val="0"/>
              <w:adjustRightInd w:val="0"/>
              <w:jc w:val="center"/>
            </w:pPr>
            <w:r w:rsidRPr="00037AD4">
              <w:t>2077.883</w:t>
            </w:r>
          </w:p>
        </w:tc>
        <w:tc>
          <w:tcPr>
            <w:tcW w:w="653" w:type="pct"/>
            <w:tcBorders>
              <w:top w:val="nil"/>
              <w:left w:val="nil"/>
              <w:bottom w:val="nil"/>
              <w:right w:val="nil"/>
            </w:tcBorders>
          </w:tcPr>
          <w:p w14:paraId="14524102" w14:textId="77777777" w:rsidR="00B54D51" w:rsidRPr="00037AD4" w:rsidRDefault="00B54D51" w:rsidP="00401C67">
            <w:pPr>
              <w:widowControl w:val="0"/>
              <w:autoSpaceDE w:val="0"/>
              <w:autoSpaceDN w:val="0"/>
              <w:adjustRightInd w:val="0"/>
              <w:jc w:val="center"/>
            </w:pPr>
            <w:r w:rsidRPr="00037AD4">
              <w:t>2252.073</w:t>
            </w:r>
          </w:p>
        </w:tc>
      </w:tr>
      <w:tr w:rsidR="00B54D51" w:rsidRPr="00037AD4" w14:paraId="3FB61B23" w14:textId="77777777" w:rsidTr="00401C67">
        <w:tblPrEx>
          <w:tblBorders>
            <w:bottom w:val="single" w:sz="6" w:space="0" w:color="auto"/>
          </w:tblBorders>
        </w:tblPrEx>
        <w:trPr>
          <w:jc w:val="center"/>
        </w:trPr>
        <w:tc>
          <w:tcPr>
            <w:tcW w:w="1608" w:type="pct"/>
            <w:tcBorders>
              <w:top w:val="nil"/>
              <w:left w:val="nil"/>
              <w:bottom w:val="single" w:sz="6" w:space="0" w:color="auto"/>
              <w:right w:val="nil"/>
            </w:tcBorders>
          </w:tcPr>
          <w:p w14:paraId="0E1FBA5F" w14:textId="77777777" w:rsidR="00B54D51" w:rsidRPr="00037AD4" w:rsidRDefault="00B54D51" w:rsidP="00401C67">
            <w:pPr>
              <w:widowControl w:val="0"/>
              <w:autoSpaceDE w:val="0"/>
              <w:autoSpaceDN w:val="0"/>
              <w:adjustRightInd w:val="0"/>
            </w:pPr>
            <w:r w:rsidRPr="00037AD4">
              <w:t xml:space="preserve">Log likelihood (model) </w:t>
            </w:r>
          </w:p>
        </w:tc>
        <w:tc>
          <w:tcPr>
            <w:tcW w:w="695" w:type="pct"/>
            <w:tcBorders>
              <w:top w:val="nil"/>
              <w:left w:val="nil"/>
              <w:bottom w:val="single" w:sz="6" w:space="0" w:color="auto"/>
              <w:right w:val="nil"/>
            </w:tcBorders>
          </w:tcPr>
          <w:p w14:paraId="723D862E" w14:textId="77777777" w:rsidR="00B54D51" w:rsidRPr="00037AD4" w:rsidRDefault="00B54D51" w:rsidP="00401C67">
            <w:pPr>
              <w:widowControl w:val="0"/>
              <w:autoSpaceDE w:val="0"/>
              <w:autoSpaceDN w:val="0"/>
              <w:adjustRightInd w:val="0"/>
              <w:jc w:val="center"/>
            </w:pPr>
            <w:r w:rsidRPr="00037AD4">
              <w:t>-891.700</w:t>
            </w:r>
          </w:p>
        </w:tc>
        <w:tc>
          <w:tcPr>
            <w:tcW w:w="695" w:type="pct"/>
            <w:tcBorders>
              <w:top w:val="nil"/>
              <w:left w:val="nil"/>
              <w:bottom w:val="single" w:sz="6" w:space="0" w:color="auto"/>
              <w:right w:val="nil"/>
            </w:tcBorders>
          </w:tcPr>
          <w:p w14:paraId="3D519157" w14:textId="77777777" w:rsidR="00B54D51" w:rsidRPr="00037AD4" w:rsidRDefault="00B54D51" w:rsidP="00401C67">
            <w:pPr>
              <w:widowControl w:val="0"/>
              <w:autoSpaceDE w:val="0"/>
              <w:autoSpaceDN w:val="0"/>
              <w:adjustRightInd w:val="0"/>
              <w:jc w:val="center"/>
            </w:pPr>
            <w:r w:rsidRPr="00037AD4">
              <w:t>-999.299</w:t>
            </w:r>
          </w:p>
        </w:tc>
        <w:tc>
          <w:tcPr>
            <w:tcW w:w="696" w:type="pct"/>
            <w:tcBorders>
              <w:top w:val="nil"/>
              <w:left w:val="nil"/>
              <w:bottom w:val="single" w:sz="6" w:space="0" w:color="auto"/>
              <w:right w:val="nil"/>
            </w:tcBorders>
          </w:tcPr>
          <w:p w14:paraId="7D418F8B" w14:textId="77777777" w:rsidR="00B54D51" w:rsidRPr="00037AD4" w:rsidRDefault="00B54D51" w:rsidP="00401C67">
            <w:pPr>
              <w:widowControl w:val="0"/>
              <w:autoSpaceDE w:val="0"/>
              <w:autoSpaceDN w:val="0"/>
              <w:adjustRightInd w:val="0"/>
              <w:jc w:val="center"/>
              <w:rPr>
                <w:highlight w:val="yellow"/>
              </w:rPr>
            </w:pPr>
            <w:r w:rsidRPr="00037AD4">
              <w:t>-999.970</w:t>
            </w:r>
          </w:p>
        </w:tc>
        <w:tc>
          <w:tcPr>
            <w:tcW w:w="654" w:type="pct"/>
            <w:tcBorders>
              <w:top w:val="nil"/>
              <w:left w:val="nil"/>
              <w:bottom w:val="single" w:sz="6" w:space="0" w:color="auto"/>
              <w:right w:val="nil"/>
            </w:tcBorders>
          </w:tcPr>
          <w:p w14:paraId="572CB8A3" w14:textId="77777777" w:rsidR="00B54D51" w:rsidRPr="00037AD4" w:rsidRDefault="00B54D51" w:rsidP="00401C67">
            <w:pPr>
              <w:widowControl w:val="0"/>
              <w:autoSpaceDE w:val="0"/>
              <w:autoSpaceDN w:val="0"/>
              <w:adjustRightInd w:val="0"/>
              <w:jc w:val="center"/>
            </w:pPr>
            <w:r w:rsidRPr="00037AD4">
              <w:t>-999.338</w:t>
            </w:r>
          </w:p>
        </w:tc>
        <w:tc>
          <w:tcPr>
            <w:tcW w:w="653" w:type="pct"/>
            <w:tcBorders>
              <w:top w:val="nil"/>
              <w:left w:val="nil"/>
              <w:bottom w:val="single" w:sz="6" w:space="0" w:color="auto"/>
              <w:right w:val="nil"/>
            </w:tcBorders>
          </w:tcPr>
          <w:p w14:paraId="69B429D7" w14:textId="77777777" w:rsidR="00B54D51" w:rsidRPr="00037AD4" w:rsidRDefault="00B54D51" w:rsidP="00401C67">
            <w:pPr>
              <w:widowControl w:val="0"/>
              <w:autoSpaceDE w:val="0"/>
              <w:autoSpaceDN w:val="0"/>
              <w:adjustRightInd w:val="0"/>
              <w:jc w:val="center"/>
            </w:pPr>
            <w:r w:rsidRPr="00037AD4">
              <w:t>-1087.465</w:t>
            </w:r>
          </w:p>
        </w:tc>
      </w:tr>
    </w:tbl>
    <w:p w14:paraId="483BD51F" w14:textId="77777777" w:rsidR="00B54D51" w:rsidRPr="00037AD4" w:rsidRDefault="00B54D51" w:rsidP="001D7ACE">
      <w:pPr>
        <w:widowControl w:val="0"/>
        <w:autoSpaceDE w:val="0"/>
        <w:autoSpaceDN w:val="0"/>
        <w:adjustRightInd w:val="0"/>
        <w:jc w:val="center"/>
      </w:pPr>
      <w:r w:rsidRPr="00037AD4">
        <w:t>Robust ci in parentheses</w:t>
      </w:r>
    </w:p>
    <w:p w14:paraId="3A6BE413" w14:textId="77777777" w:rsidR="00B54D51" w:rsidRPr="00037AD4" w:rsidRDefault="00B54D51" w:rsidP="001D7ACE">
      <w:pPr>
        <w:widowControl w:val="0"/>
        <w:autoSpaceDE w:val="0"/>
        <w:autoSpaceDN w:val="0"/>
        <w:adjustRightInd w:val="0"/>
        <w:jc w:val="center"/>
      </w:pPr>
      <w:r w:rsidRPr="00037AD4">
        <w:t>*** p&lt;0.01, ** p&lt;0.05, * p&lt;0.1</w:t>
      </w:r>
    </w:p>
    <w:p w14:paraId="58197043" w14:textId="77777777" w:rsidR="00B54D51" w:rsidRPr="00037AD4" w:rsidRDefault="00B54D51" w:rsidP="001D7ACE">
      <w:pPr>
        <w:rPr>
          <w:color w:val="FF0000"/>
          <w:u w:val="single"/>
        </w:rPr>
      </w:pPr>
    </w:p>
    <w:p w14:paraId="62F49F7E" w14:textId="77777777" w:rsidR="00B54D51" w:rsidRPr="00037AD4" w:rsidRDefault="00B54D51" w:rsidP="001D7ACE">
      <w:pPr>
        <w:rPr>
          <w:color w:val="FF0000"/>
          <w:u w:val="single"/>
        </w:rPr>
      </w:pPr>
    </w:p>
    <w:p w14:paraId="5D9786DA" w14:textId="77777777" w:rsidR="00B54D51" w:rsidRPr="00037AD4" w:rsidRDefault="00B54D51" w:rsidP="001D7ACE">
      <w:pPr>
        <w:rPr>
          <w:color w:val="FF0000"/>
          <w:u w:val="single"/>
        </w:rPr>
      </w:pPr>
    </w:p>
    <w:p w14:paraId="191D507C" w14:textId="77777777" w:rsidR="00B54D51" w:rsidRPr="00037AD4" w:rsidRDefault="00B54D51" w:rsidP="001D7ACE">
      <w:pPr>
        <w:rPr>
          <w:color w:val="FF0000"/>
          <w:u w:val="single"/>
        </w:rPr>
      </w:pPr>
    </w:p>
    <w:p w14:paraId="14A55F1F" w14:textId="77777777" w:rsidR="00B54D51" w:rsidRPr="00037AD4" w:rsidRDefault="00B54D51" w:rsidP="001D7ACE">
      <w:pPr>
        <w:rPr>
          <w:color w:val="FF0000"/>
          <w:u w:val="single"/>
        </w:rPr>
      </w:pPr>
    </w:p>
    <w:p w14:paraId="273ED2F9" w14:textId="77777777" w:rsidR="00B54D51" w:rsidRPr="00037AD4" w:rsidRDefault="00B54D51" w:rsidP="001D7ACE">
      <w:pPr>
        <w:rPr>
          <w:color w:val="FF0000"/>
          <w:u w:val="single"/>
        </w:rPr>
      </w:pPr>
    </w:p>
    <w:p w14:paraId="30306277" w14:textId="77777777" w:rsidR="00B54D51" w:rsidRPr="00037AD4" w:rsidRDefault="00B54D51" w:rsidP="001D7ACE">
      <w:pPr>
        <w:rPr>
          <w:color w:val="FF0000"/>
          <w:u w:val="single"/>
        </w:rPr>
      </w:pPr>
    </w:p>
    <w:p w14:paraId="4B3E380F" w14:textId="77777777" w:rsidR="00B54D51" w:rsidRPr="00037AD4" w:rsidRDefault="00B54D51" w:rsidP="001D7ACE">
      <w:pPr>
        <w:rPr>
          <w:color w:val="FF0000"/>
          <w:u w:val="single"/>
        </w:rPr>
      </w:pPr>
    </w:p>
    <w:p w14:paraId="2CF98692" w14:textId="77777777" w:rsidR="00B54D51" w:rsidRPr="00037AD4" w:rsidRDefault="00B54D51" w:rsidP="001D7ACE">
      <w:pPr>
        <w:rPr>
          <w:rFonts w:asciiTheme="minorHAnsi" w:hAnsiTheme="minorHAnsi" w:cstheme="minorHAnsi"/>
          <w:color w:val="FF0000"/>
          <w:u w:val="single"/>
        </w:rPr>
      </w:pPr>
    </w:p>
    <w:p w14:paraId="7BAC50D3" w14:textId="77777777" w:rsidR="00B54D51" w:rsidRPr="00037AD4" w:rsidRDefault="00B54D51" w:rsidP="001D7ACE">
      <w:pPr>
        <w:rPr>
          <w:rFonts w:asciiTheme="minorHAnsi" w:hAnsiTheme="minorHAnsi" w:cstheme="minorHAnsi"/>
          <w:color w:val="000000" w:themeColor="text1"/>
          <w:u w:val="single"/>
        </w:rPr>
      </w:pPr>
      <w:r w:rsidRPr="00037AD4">
        <w:rPr>
          <w:rFonts w:asciiTheme="minorHAnsi" w:hAnsiTheme="minorHAnsi" w:cstheme="minorHAnsi"/>
          <w:color w:val="000000" w:themeColor="text1"/>
          <w:u w:val="single"/>
        </w:rPr>
        <w:lastRenderedPageBreak/>
        <w:t xml:space="preserve">Table A6.2n, “Anxiety/depression” dimension model iterations: EPIC </w:t>
      </w:r>
    </w:p>
    <w:p w14:paraId="1CA59AED" w14:textId="77777777" w:rsidR="00B54D51" w:rsidRPr="00037AD4" w:rsidRDefault="00B54D51" w:rsidP="001D7ACE">
      <w:pPr>
        <w:rPr>
          <w:color w:val="FF0000"/>
          <w:u w:val="single"/>
        </w:rPr>
      </w:pPr>
    </w:p>
    <w:tbl>
      <w:tblPr>
        <w:tblW w:w="0" w:type="auto"/>
        <w:jc w:val="center"/>
        <w:tblCellMar>
          <w:left w:w="75" w:type="dxa"/>
          <w:right w:w="75" w:type="dxa"/>
        </w:tblCellMar>
        <w:tblLook w:val="0000" w:firstRow="0" w:lastRow="0" w:firstColumn="0" w:lastColumn="0" w:noHBand="0" w:noVBand="0"/>
      </w:tblPr>
      <w:tblGrid>
        <w:gridCol w:w="2094"/>
        <w:gridCol w:w="1420"/>
        <w:gridCol w:w="1378"/>
        <w:gridCol w:w="1378"/>
        <w:gridCol w:w="1378"/>
        <w:gridCol w:w="1378"/>
      </w:tblGrid>
      <w:tr w:rsidR="00B54D51" w:rsidRPr="00037AD4" w14:paraId="51C82CFB" w14:textId="77777777" w:rsidTr="00401C67">
        <w:trPr>
          <w:jc w:val="center"/>
        </w:trPr>
        <w:tc>
          <w:tcPr>
            <w:tcW w:w="0" w:type="auto"/>
            <w:tcBorders>
              <w:top w:val="single" w:sz="6" w:space="0" w:color="auto"/>
              <w:left w:val="nil"/>
              <w:bottom w:val="nil"/>
              <w:right w:val="nil"/>
            </w:tcBorders>
          </w:tcPr>
          <w:p w14:paraId="18353BB5" w14:textId="77777777" w:rsidR="00B54D51" w:rsidRPr="00037AD4" w:rsidRDefault="00B54D51" w:rsidP="00401C67">
            <w:pPr>
              <w:widowControl w:val="0"/>
              <w:autoSpaceDE w:val="0"/>
              <w:autoSpaceDN w:val="0"/>
              <w:adjustRightInd w:val="0"/>
            </w:pPr>
          </w:p>
        </w:tc>
        <w:tc>
          <w:tcPr>
            <w:tcW w:w="0" w:type="auto"/>
            <w:tcBorders>
              <w:top w:val="single" w:sz="6" w:space="0" w:color="auto"/>
              <w:left w:val="nil"/>
              <w:bottom w:val="nil"/>
              <w:right w:val="nil"/>
            </w:tcBorders>
          </w:tcPr>
          <w:p w14:paraId="4D405EC7" w14:textId="77777777" w:rsidR="00B54D51" w:rsidRPr="00037AD4" w:rsidRDefault="00B54D51" w:rsidP="00401C67">
            <w:pPr>
              <w:widowControl w:val="0"/>
              <w:autoSpaceDE w:val="0"/>
              <w:autoSpaceDN w:val="0"/>
              <w:adjustRightInd w:val="0"/>
              <w:jc w:val="center"/>
            </w:pPr>
            <w:r w:rsidRPr="00037AD4">
              <w:t>(1)</w:t>
            </w:r>
          </w:p>
        </w:tc>
        <w:tc>
          <w:tcPr>
            <w:tcW w:w="0" w:type="auto"/>
            <w:tcBorders>
              <w:top w:val="single" w:sz="6" w:space="0" w:color="auto"/>
              <w:left w:val="nil"/>
              <w:bottom w:val="nil"/>
              <w:right w:val="nil"/>
            </w:tcBorders>
          </w:tcPr>
          <w:p w14:paraId="3980D1D5" w14:textId="77777777" w:rsidR="00B54D51" w:rsidRPr="00037AD4" w:rsidRDefault="00B54D51" w:rsidP="00401C67">
            <w:pPr>
              <w:widowControl w:val="0"/>
              <w:autoSpaceDE w:val="0"/>
              <w:autoSpaceDN w:val="0"/>
              <w:adjustRightInd w:val="0"/>
              <w:jc w:val="center"/>
            </w:pPr>
            <w:r w:rsidRPr="00037AD4">
              <w:t>(2)</w:t>
            </w:r>
          </w:p>
        </w:tc>
        <w:tc>
          <w:tcPr>
            <w:tcW w:w="0" w:type="auto"/>
            <w:tcBorders>
              <w:top w:val="single" w:sz="6" w:space="0" w:color="auto"/>
              <w:left w:val="nil"/>
              <w:bottom w:val="nil"/>
              <w:right w:val="nil"/>
            </w:tcBorders>
          </w:tcPr>
          <w:p w14:paraId="1DFEB48B" w14:textId="77777777" w:rsidR="00B54D51" w:rsidRPr="00037AD4" w:rsidRDefault="00B54D51" w:rsidP="00401C67">
            <w:pPr>
              <w:widowControl w:val="0"/>
              <w:autoSpaceDE w:val="0"/>
              <w:autoSpaceDN w:val="0"/>
              <w:adjustRightInd w:val="0"/>
              <w:jc w:val="center"/>
            </w:pPr>
            <w:r w:rsidRPr="00037AD4">
              <w:t>(3)</w:t>
            </w:r>
          </w:p>
        </w:tc>
        <w:tc>
          <w:tcPr>
            <w:tcW w:w="0" w:type="auto"/>
            <w:tcBorders>
              <w:top w:val="single" w:sz="6" w:space="0" w:color="auto"/>
              <w:left w:val="nil"/>
              <w:bottom w:val="nil"/>
              <w:right w:val="nil"/>
            </w:tcBorders>
          </w:tcPr>
          <w:p w14:paraId="4F60FC02" w14:textId="77777777" w:rsidR="00B54D51" w:rsidRPr="00037AD4" w:rsidRDefault="00B54D51" w:rsidP="00401C67">
            <w:pPr>
              <w:widowControl w:val="0"/>
              <w:autoSpaceDE w:val="0"/>
              <w:autoSpaceDN w:val="0"/>
              <w:adjustRightInd w:val="0"/>
              <w:jc w:val="center"/>
            </w:pPr>
            <w:r w:rsidRPr="00037AD4">
              <w:t>(4)</w:t>
            </w:r>
          </w:p>
        </w:tc>
        <w:tc>
          <w:tcPr>
            <w:tcW w:w="0" w:type="auto"/>
            <w:tcBorders>
              <w:top w:val="single" w:sz="6" w:space="0" w:color="auto"/>
              <w:left w:val="nil"/>
              <w:bottom w:val="nil"/>
              <w:right w:val="nil"/>
            </w:tcBorders>
          </w:tcPr>
          <w:p w14:paraId="56B0A574" w14:textId="77777777" w:rsidR="00B54D51" w:rsidRPr="00037AD4" w:rsidRDefault="00B54D51" w:rsidP="00401C67">
            <w:pPr>
              <w:widowControl w:val="0"/>
              <w:autoSpaceDE w:val="0"/>
              <w:autoSpaceDN w:val="0"/>
              <w:adjustRightInd w:val="0"/>
              <w:jc w:val="center"/>
            </w:pPr>
            <w:r w:rsidRPr="00037AD4">
              <w:t>(5)</w:t>
            </w:r>
          </w:p>
        </w:tc>
      </w:tr>
      <w:tr w:rsidR="00B54D51" w:rsidRPr="00037AD4" w14:paraId="05BD5300" w14:textId="77777777" w:rsidTr="00401C67">
        <w:trPr>
          <w:jc w:val="center"/>
        </w:trPr>
        <w:tc>
          <w:tcPr>
            <w:tcW w:w="0" w:type="auto"/>
            <w:tcBorders>
              <w:top w:val="nil"/>
              <w:left w:val="nil"/>
              <w:bottom w:val="single" w:sz="6" w:space="0" w:color="auto"/>
              <w:right w:val="nil"/>
            </w:tcBorders>
          </w:tcPr>
          <w:p w14:paraId="07726ADC" w14:textId="77777777" w:rsidR="00B54D51" w:rsidRPr="00037AD4" w:rsidRDefault="00B54D51" w:rsidP="00401C67">
            <w:pPr>
              <w:widowControl w:val="0"/>
              <w:autoSpaceDE w:val="0"/>
              <w:autoSpaceDN w:val="0"/>
              <w:adjustRightInd w:val="0"/>
            </w:pPr>
            <w:r w:rsidRPr="00037AD4">
              <w:t>VARIABLES</w:t>
            </w:r>
          </w:p>
        </w:tc>
        <w:tc>
          <w:tcPr>
            <w:tcW w:w="0" w:type="auto"/>
            <w:tcBorders>
              <w:top w:val="nil"/>
              <w:left w:val="nil"/>
              <w:bottom w:val="single" w:sz="6" w:space="0" w:color="auto"/>
              <w:right w:val="nil"/>
            </w:tcBorders>
          </w:tcPr>
          <w:p w14:paraId="4B7A2CF3" w14:textId="77777777" w:rsidR="00B54D51" w:rsidRPr="00037AD4" w:rsidRDefault="00B54D51" w:rsidP="00401C67">
            <w:pPr>
              <w:widowControl w:val="0"/>
              <w:autoSpaceDE w:val="0"/>
              <w:autoSpaceDN w:val="0"/>
              <w:adjustRightInd w:val="0"/>
              <w:jc w:val="center"/>
            </w:pPr>
            <w:r w:rsidRPr="00037AD4">
              <w:t>Model 1</w:t>
            </w:r>
          </w:p>
        </w:tc>
        <w:tc>
          <w:tcPr>
            <w:tcW w:w="0" w:type="auto"/>
            <w:tcBorders>
              <w:top w:val="nil"/>
              <w:left w:val="nil"/>
              <w:bottom w:val="single" w:sz="6" w:space="0" w:color="auto"/>
              <w:right w:val="nil"/>
            </w:tcBorders>
          </w:tcPr>
          <w:p w14:paraId="291B3481" w14:textId="77777777" w:rsidR="00B54D51" w:rsidRPr="00037AD4" w:rsidRDefault="00B54D51" w:rsidP="00401C67">
            <w:pPr>
              <w:widowControl w:val="0"/>
              <w:autoSpaceDE w:val="0"/>
              <w:autoSpaceDN w:val="0"/>
              <w:adjustRightInd w:val="0"/>
              <w:jc w:val="center"/>
            </w:pPr>
            <w:r w:rsidRPr="00037AD4">
              <w:t>Model 2</w:t>
            </w:r>
          </w:p>
        </w:tc>
        <w:tc>
          <w:tcPr>
            <w:tcW w:w="0" w:type="auto"/>
            <w:tcBorders>
              <w:top w:val="nil"/>
              <w:left w:val="nil"/>
              <w:bottom w:val="single" w:sz="6" w:space="0" w:color="auto"/>
              <w:right w:val="nil"/>
            </w:tcBorders>
          </w:tcPr>
          <w:p w14:paraId="13BA049E" w14:textId="77777777" w:rsidR="00B54D51" w:rsidRPr="00037AD4" w:rsidRDefault="00B54D51" w:rsidP="00401C67">
            <w:pPr>
              <w:widowControl w:val="0"/>
              <w:autoSpaceDE w:val="0"/>
              <w:autoSpaceDN w:val="0"/>
              <w:adjustRightInd w:val="0"/>
              <w:jc w:val="center"/>
            </w:pPr>
            <w:r w:rsidRPr="00037AD4">
              <w:t>Model 3</w:t>
            </w:r>
          </w:p>
        </w:tc>
        <w:tc>
          <w:tcPr>
            <w:tcW w:w="0" w:type="auto"/>
            <w:tcBorders>
              <w:top w:val="nil"/>
              <w:left w:val="nil"/>
              <w:bottom w:val="single" w:sz="6" w:space="0" w:color="auto"/>
              <w:right w:val="nil"/>
            </w:tcBorders>
          </w:tcPr>
          <w:p w14:paraId="624FED60" w14:textId="77777777" w:rsidR="00B54D51" w:rsidRPr="00037AD4" w:rsidRDefault="00B54D51" w:rsidP="00401C67">
            <w:pPr>
              <w:widowControl w:val="0"/>
              <w:autoSpaceDE w:val="0"/>
              <w:autoSpaceDN w:val="0"/>
              <w:adjustRightInd w:val="0"/>
              <w:jc w:val="center"/>
            </w:pPr>
            <w:r w:rsidRPr="00037AD4">
              <w:t>Model 4</w:t>
            </w:r>
          </w:p>
        </w:tc>
        <w:tc>
          <w:tcPr>
            <w:tcW w:w="0" w:type="auto"/>
            <w:tcBorders>
              <w:top w:val="nil"/>
              <w:left w:val="nil"/>
              <w:bottom w:val="single" w:sz="6" w:space="0" w:color="auto"/>
              <w:right w:val="nil"/>
            </w:tcBorders>
          </w:tcPr>
          <w:p w14:paraId="2F525CC2" w14:textId="77777777" w:rsidR="00B54D51" w:rsidRPr="00037AD4" w:rsidRDefault="00B54D51" w:rsidP="00401C67">
            <w:pPr>
              <w:widowControl w:val="0"/>
              <w:autoSpaceDE w:val="0"/>
              <w:autoSpaceDN w:val="0"/>
              <w:adjustRightInd w:val="0"/>
              <w:jc w:val="center"/>
            </w:pPr>
            <w:r w:rsidRPr="00037AD4">
              <w:t>Model 5</w:t>
            </w:r>
          </w:p>
        </w:tc>
      </w:tr>
      <w:tr w:rsidR="00B54D51" w:rsidRPr="00037AD4" w14:paraId="10E35562" w14:textId="77777777" w:rsidTr="00401C67">
        <w:trPr>
          <w:jc w:val="center"/>
        </w:trPr>
        <w:tc>
          <w:tcPr>
            <w:tcW w:w="0" w:type="auto"/>
            <w:tcBorders>
              <w:top w:val="nil"/>
              <w:left w:val="nil"/>
              <w:bottom w:val="nil"/>
              <w:right w:val="nil"/>
            </w:tcBorders>
          </w:tcPr>
          <w:p w14:paraId="4B25D648" w14:textId="77777777" w:rsidR="00B54D51" w:rsidRPr="00037AD4" w:rsidRDefault="00B54D51" w:rsidP="00401C67">
            <w:pPr>
              <w:widowControl w:val="0"/>
              <w:autoSpaceDE w:val="0"/>
              <w:autoSpaceDN w:val="0"/>
              <w:adjustRightInd w:val="0"/>
            </w:pPr>
          </w:p>
        </w:tc>
        <w:tc>
          <w:tcPr>
            <w:tcW w:w="0" w:type="auto"/>
            <w:tcBorders>
              <w:top w:val="nil"/>
              <w:left w:val="nil"/>
              <w:bottom w:val="nil"/>
              <w:right w:val="nil"/>
            </w:tcBorders>
          </w:tcPr>
          <w:p w14:paraId="059A533D"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0C77FECA"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727644A0"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3E33A5A3"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5E662D43" w14:textId="77777777" w:rsidR="00B54D51" w:rsidRPr="00037AD4" w:rsidRDefault="00B54D51" w:rsidP="00401C67">
            <w:pPr>
              <w:widowControl w:val="0"/>
              <w:autoSpaceDE w:val="0"/>
              <w:autoSpaceDN w:val="0"/>
              <w:adjustRightInd w:val="0"/>
              <w:jc w:val="center"/>
            </w:pPr>
          </w:p>
        </w:tc>
      </w:tr>
      <w:tr w:rsidR="00B54D51" w:rsidRPr="00037AD4" w14:paraId="62C96645" w14:textId="77777777" w:rsidTr="00401C67">
        <w:trPr>
          <w:jc w:val="center"/>
        </w:trPr>
        <w:tc>
          <w:tcPr>
            <w:tcW w:w="0" w:type="auto"/>
            <w:tcBorders>
              <w:top w:val="nil"/>
              <w:left w:val="nil"/>
              <w:bottom w:val="nil"/>
              <w:right w:val="nil"/>
            </w:tcBorders>
          </w:tcPr>
          <w:p w14:paraId="7C4F559B" w14:textId="77777777" w:rsidR="00B54D51" w:rsidRPr="00037AD4" w:rsidRDefault="00B54D51" w:rsidP="00401C67">
            <w:pPr>
              <w:widowControl w:val="0"/>
              <w:autoSpaceDE w:val="0"/>
              <w:autoSpaceDN w:val="0"/>
              <w:adjustRightInd w:val="0"/>
            </w:pPr>
            <w:r w:rsidRPr="00037AD4">
              <w:t>2.eq5staff_</w:t>
            </w:r>
          </w:p>
        </w:tc>
        <w:tc>
          <w:tcPr>
            <w:tcW w:w="0" w:type="auto"/>
            <w:tcBorders>
              <w:top w:val="nil"/>
              <w:left w:val="nil"/>
              <w:bottom w:val="nil"/>
              <w:right w:val="nil"/>
            </w:tcBorders>
          </w:tcPr>
          <w:p w14:paraId="0A9426AE" w14:textId="77777777" w:rsidR="00B54D51" w:rsidRPr="00037AD4" w:rsidRDefault="00B54D51" w:rsidP="00401C67">
            <w:pPr>
              <w:widowControl w:val="0"/>
              <w:autoSpaceDE w:val="0"/>
              <w:autoSpaceDN w:val="0"/>
              <w:adjustRightInd w:val="0"/>
              <w:jc w:val="center"/>
            </w:pPr>
            <w:r w:rsidRPr="00037AD4">
              <w:t>0.139</w:t>
            </w:r>
          </w:p>
        </w:tc>
        <w:tc>
          <w:tcPr>
            <w:tcW w:w="0" w:type="auto"/>
            <w:tcBorders>
              <w:top w:val="nil"/>
              <w:left w:val="nil"/>
              <w:bottom w:val="nil"/>
              <w:right w:val="nil"/>
            </w:tcBorders>
          </w:tcPr>
          <w:p w14:paraId="709C8EFD" w14:textId="77777777" w:rsidR="00B54D51" w:rsidRPr="00037AD4" w:rsidRDefault="00B54D51" w:rsidP="00401C67">
            <w:pPr>
              <w:widowControl w:val="0"/>
              <w:autoSpaceDE w:val="0"/>
              <w:autoSpaceDN w:val="0"/>
              <w:adjustRightInd w:val="0"/>
              <w:jc w:val="center"/>
            </w:pPr>
            <w:r w:rsidRPr="00037AD4">
              <w:t>0.258**</w:t>
            </w:r>
          </w:p>
        </w:tc>
        <w:tc>
          <w:tcPr>
            <w:tcW w:w="0" w:type="auto"/>
            <w:tcBorders>
              <w:top w:val="nil"/>
              <w:left w:val="nil"/>
              <w:bottom w:val="nil"/>
              <w:right w:val="nil"/>
            </w:tcBorders>
          </w:tcPr>
          <w:p w14:paraId="41267F70" w14:textId="77777777" w:rsidR="00B54D51" w:rsidRPr="00037AD4" w:rsidRDefault="00B54D51" w:rsidP="00401C67">
            <w:pPr>
              <w:widowControl w:val="0"/>
              <w:autoSpaceDE w:val="0"/>
              <w:autoSpaceDN w:val="0"/>
              <w:adjustRightInd w:val="0"/>
              <w:jc w:val="center"/>
            </w:pPr>
            <w:r w:rsidRPr="00037AD4">
              <w:t>0.259**</w:t>
            </w:r>
          </w:p>
        </w:tc>
        <w:tc>
          <w:tcPr>
            <w:tcW w:w="0" w:type="auto"/>
            <w:tcBorders>
              <w:top w:val="nil"/>
              <w:left w:val="nil"/>
              <w:bottom w:val="nil"/>
              <w:right w:val="nil"/>
            </w:tcBorders>
          </w:tcPr>
          <w:p w14:paraId="7CF3CB84" w14:textId="77777777" w:rsidR="00B54D51" w:rsidRPr="00037AD4" w:rsidRDefault="00B54D51" w:rsidP="00401C67">
            <w:pPr>
              <w:widowControl w:val="0"/>
              <w:autoSpaceDE w:val="0"/>
              <w:autoSpaceDN w:val="0"/>
              <w:adjustRightInd w:val="0"/>
              <w:jc w:val="center"/>
            </w:pPr>
            <w:r w:rsidRPr="00037AD4">
              <w:t>0.250*</w:t>
            </w:r>
          </w:p>
        </w:tc>
        <w:tc>
          <w:tcPr>
            <w:tcW w:w="0" w:type="auto"/>
            <w:tcBorders>
              <w:top w:val="nil"/>
              <w:left w:val="nil"/>
              <w:bottom w:val="nil"/>
              <w:right w:val="nil"/>
            </w:tcBorders>
          </w:tcPr>
          <w:p w14:paraId="2FD3935F" w14:textId="77777777" w:rsidR="00B54D51" w:rsidRPr="00037AD4" w:rsidRDefault="00B54D51" w:rsidP="00401C67">
            <w:pPr>
              <w:widowControl w:val="0"/>
              <w:autoSpaceDE w:val="0"/>
              <w:autoSpaceDN w:val="0"/>
              <w:adjustRightInd w:val="0"/>
              <w:jc w:val="center"/>
            </w:pPr>
            <w:r w:rsidRPr="00037AD4">
              <w:t>0.251*</w:t>
            </w:r>
          </w:p>
        </w:tc>
      </w:tr>
      <w:tr w:rsidR="00B54D51" w:rsidRPr="00037AD4" w14:paraId="6A4A2F78" w14:textId="77777777" w:rsidTr="00401C67">
        <w:trPr>
          <w:jc w:val="center"/>
        </w:trPr>
        <w:tc>
          <w:tcPr>
            <w:tcW w:w="0" w:type="auto"/>
            <w:tcBorders>
              <w:top w:val="nil"/>
              <w:left w:val="nil"/>
              <w:bottom w:val="nil"/>
              <w:right w:val="nil"/>
            </w:tcBorders>
          </w:tcPr>
          <w:p w14:paraId="63655F33" w14:textId="77777777" w:rsidR="00B54D51" w:rsidRPr="00037AD4" w:rsidRDefault="00B54D51" w:rsidP="00401C67">
            <w:pPr>
              <w:widowControl w:val="0"/>
              <w:autoSpaceDE w:val="0"/>
              <w:autoSpaceDN w:val="0"/>
              <w:adjustRightInd w:val="0"/>
            </w:pPr>
          </w:p>
        </w:tc>
        <w:tc>
          <w:tcPr>
            <w:tcW w:w="0" w:type="auto"/>
            <w:tcBorders>
              <w:top w:val="nil"/>
              <w:left w:val="nil"/>
              <w:bottom w:val="nil"/>
              <w:right w:val="nil"/>
            </w:tcBorders>
          </w:tcPr>
          <w:p w14:paraId="43020437" w14:textId="77777777" w:rsidR="00B54D51" w:rsidRPr="00037AD4" w:rsidRDefault="00B54D51" w:rsidP="00401C67">
            <w:pPr>
              <w:widowControl w:val="0"/>
              <w:autoSpaceDE w:val="0"/>
              <w:autoSpaceDN w:val="0"/>
              <w:adjustRightInd w:val="0"/>
              <w:jc w:val="center"/>
            </w:pPr>
            <w:r w:rsidRPr="00037AD4">
              <w:t>(-0.125 - 0.402)</w:t>
            </w:r>
          </w:p>
        </w:tc>
        <w:tc>
          <w:tcPr>
            <w:tcW w:w="0" w:type="auto"/>
            <w:tcBorders>
              <w:top w:val="nil"/>
              <w:left w:val="nil"/>
              <w:bottom w:val="nil"/>
              <w:right w:val="nil"/>
            </w:tcBorders>
          </w:tcPr>
          <w:p w14:paraId="3F687FE8" w14:textId="77777777" w:rsidR="00B54D51" w:rsidRPr="00037AD4" w:rsidRDefault="00B54D51" w:rsidP="00401C67">
            <w:pPr>
              <w:widowControl w:val="0"/>
              <w:autoSpaceDE w:val="0"/>
              <w:autoSpaceDN w:val="0"/>
              <w:adjustRightInd w:val="0"/>
              <w:jc w:val="center"/>
            </w:pPr>
            <w:r w:rsidRPr="00037AD4">
              <w:t>(0.002 - 0.514)</w:t>
            </w:r>
          </w:p>
        </w:tc>
        <w:tc>
          <w:tcPr>
            <w:tcW w:w="0" w:type="auto"/>
            <w:tcBorders>
              <w:top w:val="nil"/>
              <w:left w:val="nil"/>
              <w:bottom w:val="nil"/>
              <w:right w:val="nil"/>
            </w:tcBorders>
          </w:tcPr>
          <w:p w14:paraId="26FFBD87" w14:textId="77777777" w:rsidR="00B54D51" w:rsidRPr="00037AD4" w:rsidRDefault="00B54D51" w:rsidP="00401C67">
            <w:pPr>
              <w:widowControl w:val="0"/>
              <w:autoSpaceDE w:val="0"/>
              <w:autoSpaceDN w:val="0"/>
              <w:adjustRightInd w:val="0"/>
              <w:jc w:val="center"/>
            </w:pPr>
            <w:r w:rsidRPr="00037AD4">
              <w:t>(0.003 - 0.515)</w:t>
            </w:r>
          </w:p>
        </w:tc>
        <w:tc>
          <w:tcPr>
            <w:tcW w:w="0" w:type="auto"/>
            <w:tcBorders>
              <w:top w:val="nil"/>
              <w:left w:val="nil"/>
              <w:bottom w:val="nil"/>
              <w:right w:val="nil"/>
            </w:tcBorders>
          </w:tcPr>
          <w:p w14:paraId="3C169A24" w14:textId="77777777" w:rsidR="00B54D51" w:rsidRPr="00037AD4" w:rsidRDefault="00B54D51" w:rsidP="00401C67">
            <w:pPr>
              <w:widowControl w:val="0"/>
              <w:autoSpaceDE w:val="0"/>
              <w:autoSpaceDN w:val="0"/>
              <w:adjustRightInd w:val="0"/>
              <w:jc w:val="center"/>
            </w:pPr>
            <w:r w:rsidRPr="00037AD4">
              <w:t>(-0.004 - 0.504)</w:t>
            </w:r>
          </w:p>
        </w:tc>
        <w:tc>
          <w:tcPr>
            <w:tcW w:w="0" w:type="auto"/>
            <w:tcBorders>
              <w:top w:val="nil"/>
              <w:left w:val="nil"/>
              <w:bottom w:val="nil"/>
              <w:right w:val="nil"/>
            </w:tcBorders>
          </w:tcPr>
          <w:p w14:paraId="4A243676" w14:textId="77777777" w:rsidR="00B54D51" w:rsidRPr="00037AD4" w:rsidRDefault="00B54D51" w:rsidP="00401C67">
            <w:pPr>
              <w:widowControl w:val="0"/>
              <w:autoSpaceDE w:val="0"/>
              <w:autoSpaceDN w:val="0"/>
              <w:adjustRightInd w:val="0"/>
              <w:jc w:val="center"/>
            </w:pPr>
            <w:r w:rsidRPr="00037AD4">
              <w:t>(-0.003 - 0.504)</w:t>
            </w:r>
          </w:p>
        </w:tc>
      </w:tr>
      <w:tr w:rsidR="00B54D51" w:rsidRPr="00037AD4" w14:paraId="19A41D21" w14:textId="77777777" w:rsidTr="00401C67">
        <w:trPr>
          <w:jc w:val="center"/>
        </w:trPr>
        <w:tc>
          <w:tcPr>
            <w:tcW w:w="0" w:type="auto"/>
            <w:tcBorders>
              <w:top w:val="nil"/>
              <w:left w:val="nil"/>
              <w:bottom w:val="nil"/>
              <w:right w:val="nil"/>
            </w:tcBorders>
          </w:tcPr>
          <w:p w14:paraId="3B0C104C" w14:textId="77777777" w:rsidR="00B54D51" w:rsidRPr="00037AD4" w:rsidRDefault="00B54D51" w:rsidP="00401C67">
            <w:pPr>
              <w:widowControl w:val="0"/>
              <w:autoSpaceDE w:val="0"/>
              <w:autoSpaceDN w:val="0"/>
              <w:adjustRightInd w:val="0"/>
            </w:pPr>
            <w:r w:rsidRPr="00037AD4">
              <w:t>3.eq5staff_</w:t>
            </w:r>
          </w:p>
        </w:tc>
        <w:tc>
          <w:tcPr>
            <w:tcW w:w="0" w:type="auto"/>
            <w:tcBorders>
              <w:top w:val="nil"/>
              <w:left w:val="nil"/>
              <w:bottom w:val="nil"/>
              <w:right w:val="nil"/>
            </w:tcBorders>
          </w:tcPr>
          <w:p w14:paraId="58D9F732" w14:textId="77777777" w:rsidR="00B54D51" w:rsidRPr="00037AD4" w:rsidRDefault="00B54D51" w:rsidP="00401C67">
            <w:pPr>
              <w:widowControl w:val="0"/>
              <w:autoSpaceDE w:val="0"/>
              <w:autoSpaceDN w:val="0"/>
              <w:adjustRightInd w:val="0"/>
              <w:jc w:val="center"/>
            </w:pPr>
            <w:r w:rsidRPr="00037AD4">
              <w:t>0.573***</w:t>
            </w:r>
          </w:p>
        </w:tc>
        <w:tc>
          <w:tcPr>
            <w:tcW w:w="0" w:type="auto"/>
            <w:tcBorders>
              <w:top w:val="nil"/>
              <w:left w:val="nil"/>
              <w:bottom w:val="nil"/>
              <w:right w:val="nil"/>
            </w:tcBorders>
          </w:tcPr>
          <w:p w14:paraId="3CED0CDC" w14:textId="77777777" w:rsidR="00B54D51" w:rsidRPr="00037AD4" w:rsidRDefault="00B54D51" w:rsidP="00401C67">
            <w:pPr>
              <w:widowControl w:val="0"/>
              <w:autoSpaceDE w:val="0"/>
              <w:autoSpaceDN w:val="0"/>
              <w:adjustRightInd w:val="0"/>
              <w:jc w:val="center"/>
            </w:pPr>
            <w:r w:rsidRPr="00037AD4">
              <w:t>0.656***</w:t>
            </w:r>
          </w:p>
        </w:tc>
        <w:tc>
          <w:tcPr>
            <w:tcW w:w="0" w:type="auto"/>
            <w:tcBorders>
              <w:top w:val="nil"/>
              <w:left w:val="nil"/>
              <w:bottom w:val="nil"/>
              <w:right w:val="nil"/>
            </w:tcBorders>
          </w:tcPr>
          <w:p w14:paraId="6D1329A3" w14:textId="77777777" w:rsidR="00B54D51" w:rsidRPr="00037AD4" w:rsidRDefault="00B54D51" w:rsidP="00401C67">
            <w:pPr>
              <w:widowControl w:val="0"/>
              <w:autoSpaceDE w:val="0"/>
              <w:autoSpaceDN w:val="0"/>
              <w:adjustRightInd w:val="0"/>
              <w:jc w:val="center"/>
            </w:pPr>
            <w:r w:rsidRPr="00037AD4">
              <w:t>0.659***</w:t>
            </w:r>
          </w:p>
        </w:tc>
        <w:tc>
          <w:tcPr>
            <w:tcW w:w="0" w:type="auto"/>
            <w:tcBorders>
              <w:top w:val="nil"/>
              <w:left w:val="nil"/>
              <w:bottom w:val="nil"/>
              <w:right w:val="nil"/>
            </w:tcBorders>
          </w:tcPr>
          <w:p w14:paraId="13314AA1" w14:textId="77777777" w:rsidR="00B54D51" w:rsidRPr="00037AD4" w:rsidRDefault="00B54D51" w:rsidP="00401C67">
            <w:pPr>
              <w:widowControl w:val="0"/>
              <w:autoSpaceDE w:val="0"/>
              <w:autoSpaceDN w:val="0"/>
              <w:adjustRightInd w:val="0"/>
              <w:jc w:val="center"/>
            </w:pPr>
            <w:r w:rsidRPr="00037AD4">
              <w:t>0.667***</w:t>
            </w:r>
          </w:p>
        </w:tc>
        <w:tc>
          <w:tcPr>
            <w:tcW w:w="0" w:type="auto"/>
            <w:tcBorders>
              <w:top w:val="nil"/>
              <w:left w:val="nil"/>
              <w:bottom w:val="nil"/>
              <w:right w:val="nil"/>
            </w:tcBorders>
          </w:tcPr>
          <w:p w14:paraId="6508B211" w14:textId="77777777" w:rsidR="00B54D51" w:rsidRPr="00037AD4" w:rsidRDefault="00B54D51" w:rsidP="00401C67">
            <w:pPr>
              <w:widowControl w:val="0"/>
              <w:autoSpaceDE w:val="0"/>
              <w:autoSpaceDN w:val="0"/>
              <w:adjustRightInd w:val="0"/>
              <w:jc w:val="center"/>
            </w:pPr>
            <w:r w:rsidRPr="00037AD4">
              <w:t>0.666***</w:t>
            </w:r>
          </w:p>
        </w:tc>
      </w:tr>
      <w:tr w:rsidR="00B54D51" w:rsidRPr="00037AD4" w14:paraId="2A4ABD60" w14:textId="77777777" w:rsidTr="00401C67">
        <w:trPr>
          <w:jc w:val="center"/>
        </w:trPr>
        <w:tc>
          <w:tcPr>
            <w:tcW w:w="0" w:type="auto"/>
            <w:tcBorders>
              <w:top w:val="nil"/>
              <w:left w:val="nil"/>
              <w:bottom w:val="nil"/>
              <w:right w:val="nil"/>
            </w:tcBorders>
          </w:tcPr>
          <w:p w14:paraId="47FE447E" w14:textId="77777777" w:rsidR="00B54D51" w:rsidRPr="00037AD4" w:rsidRDefault="00B54D51" w:rsidP="00401C67">
            <w:pPr>
              <w:widowControl w:val="0"/>
              <w:autoSpaceDE w:val="0"/>
              <w:autoSpaceDN w:val="0"/>
              <w:adjustRightInd w:val="0"/>
            </w:pPr>
          </w:p>
        </w:tc>
        <w:tc>
          <w:tcPr>
            <w:tcW w:w="0" w:type="auto"/>
            <w:tcBorders>
              <w:top w:val="nil"/>
              <w:left w:val="nil"/>
              <w:bottom w:val="nil"/>
              <w:right w:val="nil"/>
            </w:tcBorders>
          </w:tcPr>
          <w:p w14:paraId="009676E2" w14:textId="77777777" w:rsidR="00B54D51" w:rsidRPr="00037AD4" w:rsidRDefault="00B54D51" w:rsidP="00401C67">
            <w:pPr>
              <w:widowControl w:val="0"/>
              <w:autoSpaceDE w:val="0"/>
              <w:autoSpaceDN w:val="0"/>
              <w:adjustRightInd w:val="0"/>
              <w:jc w:val="center"/>
            </w:pPr>
            <w:r w:rsidRPr="00037AD4">
              <w:t>(0.176 - 0.969)</w:t>
            </w:r>
          </w:p>
        </w:tc>
        <w:tc>
          <w:tcPr>
            <w:tcW w:w="0" w:type="auto"/>
            <w:tcBorders>
              <w:top w:val="nil"/>
              <w:left w:val="nil"/>
              <w:bottom w:val="nil"/>
              <w:right w:val="nil"/>
            </w:tcBorders>
          </w:tcPr>
          <w:p w14:paraId="275B7F2A" w14:textId="77777777" w:rsidR="00B54D51" w:rsidRPr="00037AD4" w:rsidRDefault="00B54D51" w:rsidP="00401C67">
            <w:pPr>
              <w:widowControl w:val="0"/>
              <w:autoSpaceDE w:val="0"/>
              <w:autoSpaceDN w:val="0"/>
              <w:adjustRightInd w:val="0"/>
              <w:jc w:val="center"/>
            </w:pPr>
            <w:r w:rsidRPr="00037AD4">
              <w:t>(0.283 - 1.029)</w:t>
            </w:r>
          </w:p>
        </w:tc>
        <w:tc>
          <w:tcPr>
            <w:tcW w:w="0" w:type="auto"/>
            <w:tcBorders>
              <w:top w:val="nil"/>
              <w:left w:val="nil"/>
              <w:bottom w:val="nil"/>
              <w:right w:val="nil"/>
            </w:tcBorders>
          </w:tcPr>
          <w:p w14:paraId="7C2A3789" w14:textId="77777777" w:rsidR="00B54D51" w:rsidRPr="00037AD4" w:rsidRDefault="00B54D51" w:rsidP="00401C67">
            <w:pPr>
              <w:widowControl w:val="0"/>
              <w:autoSpaceDE w:val="0"/>
              <w:autoSpaceDN w:val="0"/>
              <w:adjustRightInd w:val="0"/>
              <w:jc w:val="center"/>
            </w:pPr>
            <w:r w:rsidRPr="00037AD4">
              <w:t>(0.288 - 1.031)</w:t>
            </w:r>
          </w:p>
        </w:tc>
        <w:tc>
          <w:tcPr>
            <w:tcW w:w="0" w:type="auto"/>
            <w:tcBorders>
              <w:top w:val="nil"/>
              <w:left w:val="nil"/>
              <w:bottom w:val="nil"/>
              <w:right w:val="nil"/>
            </w:tcBorders>
          </w:tcPr>
          <w:p w14:paraId="7AA180D5" w14:textId="77777777" w:rsidR="00B54D51" w:rsidRPr="00037AD4" w:rsidRDefault="00B54D51" w:rsidP="00401C67">
            <w:pPr>
              <w:widowControl w:val="0"/>
              <w:autoSpaceDE w:val="0"/>
              <w:autoSpaceDN w:val="0"/>
              <w:adjustRightInd w:val="0"/>
              <w:jc w:val="center"/>
            </w:pPr>
            <w:r w:rsidRPr="00037AD4">
              <w:t>(0.299 - 1.035)</w:t>
            </w:r>
          </w:p>
        </w:tc>
        <w:tc>
          <w:tcPr>
            <w:tcW w:w="0" w:type="auto"/>
            <w:tcBorders>
              <w:top w:val="nil"/>
              <w:left w:val="nil"/>
              <w:bottom w:val="nil"/>
              <w:right w:val="nil"/>
            </w:tcBorders>
          </w:tcPr>
          <w:p w14:paraId="20D86FEE" w14:textId="77777777" w:rsidR="00B54D51" w:rsidRPr="00037AD4" w:rsidRDefault="00B54D51" w:rsidP="00401C67">
            <w:pPr>
              <w:widowControl w:val="0"/>
              <w:autoSpaceDE w:val="0"/>
              <w:autoSpaceDN w:val="0"/>
              <w:adjustRightInd w:val="0"/>
              <w:jc w:val="center"/>
            </w:pPr>
            <w:r w:rsidRPr="00037AD4">
              <w:t>(0.297 - 1.035)</w:t>
            </w:r>
          </w:p>
        </w:tc>
      </w:tr>
      <w:tr w:rsidR="00B54D51" w:rsidRPr="00037AD4" w14:paraId="72D4E253" w14:textId="77777777" w:rsidTr="00401C67">
        <w:trPr>
          <w:jc w:val="center"/>
        </w:trPr>
        <w:tc>
          <w:tcPr>
            <w:tcW w:w="0" w:type="auto"/>
            <w:tcBorders>
              <w:top w:val="nil"/>
              <w:left w:val="nil"/>
              <w:bottom w:val="nil"/>
              <w:right w:val="nil"/>
            </w:tcBorders>
          </w:tcPr>
          <w:p w14:paraId="104FE365" w14:textId="77777777" w:rsidR="00B54D51" w:rsidRPr="00037AD4" w:rsidRDefault="00B54D51" w:rsidP="00401C67">
            <w:pPr>
              <w:widowControl w:val="0"/>
              <w:autoSpaceDE w:val="0"/>
              <w:autoSpaceDN w:val="0"/>
              <w:adjustRightInd w:val="0"/>
            </w:pPr>
            <w:r w:rsidRPr="00037AD4">
              <w:t>4.eq5staff_</w:t>
            </w:r>
          </w:p>
        </w:tc>
        <w:tc>
          <w:tcPr>
            <w:tcW w:w="0" w:type="auto"/>
            <w:tcBorders>
              <w:top w:val="nil"/>
              <w:left w:val="nil"/>
              <w:bottom w:val="nil"/>
              <w:right w:val="nil"/>
            </w:tcBorders>
          </w:tcPr>
          <w:p w14:paraId="63D35329" w14:textId="77777777" w:rsidR="00B54D51" w:rsidRPr="00037AD4" w:rsidRDefault="00B54D51" w:rsidP="00401C67">
            <w:pPr>
              <w:widowControl w:val="0"/>
              <w:autoSpaceDE w:val="0"/>
              <w:autoSpaceDN w:val="0"/>
              <w:adjustRightInd w:val="0"/>
              <w:jc w:val="center"/>
            </w:pPr>
            <w:r w:rsidRPr="00037AD4">
              <w:t>0.589</w:t>
            </w:r>
          </w:p>
        </w:tc>
        <w:tc>
          <w:tcPr>
            <w:tcW w:w="0" w:type="auto"/>
            <w:tcBorders>
              <w:top w:val="nil"/>
              <w:left w:val="nil"/>
              <w:bottom w:val="nil"/>
              <w:right w:val="nil"/>
            </w:tcBorders>
          </w:tcPr>
          <w:p w14:paraId="3D2A31F3" w14:textId="77777777" w:rsidR="00B54D51" w:rsidRPr="00037AD4" w:rsidRDefault="00B54D51" w:rsidP="00401C67">
            <w:pPr>
              <w:widowControl w:val="0"/>
              <w:autoSpaceDE w:val="0"/>
              <w:autoSpaceDN w:val="0"/>
              <w:adjustRightInd w:val="0"/>
              <w:jc w:val="center"/>
            </w:pPr>
            <w:r w:rsidRPr="00037AD4">
              <w:t>0.890***</w:t>
            </w:r>
          </w:p>
        </w:tc>
        <w:tc>
          <w:tcPr>
            <w:tcW w:w="0" w:type="auto"/>
            <w:tcBorders>
              <w:top w:val="nil"/>
              <w:left w:val="nil"/>
              <w:bottom w:val="nil"/>
              <w:right w:val="nil"/>
            </w:tcBorders>
          </w:tcPr>
          <w:p w14:paraId="16CAF9E4" w14:textId="77777777" w:rsidR="00B54D51" w:rsidRPr="00037AD4" w:rsidRDefault="00B54D51" w:rsidP="00401C67">
            <w:pPr>
              <w:widowControl w:val="0"/>
              <w:autoSpaceDE w:val="0"/>
              <w:autoSpaceDN w:val="0"/>
              <w:adjustRightInd w:val="0"/>
              <w:jc w:val="center"/>
            </w:pPr>
            <w:r w:rsidRPr="00037AD4">
              <w:t>0.909***</w:t>
            </w:r>
          </w:p>
        </w:tc>
        <w:tc>
          <w:tcPr>
            <w:tcW w:w="0" w:type="auto"/>
            <w:tcBorders>
              <w:top w:val="nil"/>
              <w:left w:val="nil"/>
              <w:bottom w:val="nil"/>
              <w:right w:val="nil"/>
            </w:tcBorders>
          </w:tcPr>
          <w:p w14:paraId="03E165AA" w14:textId="77777777" w:rsidR="00B54D51" w:rsidRPr="00037AD4" w:rsidRDefault="00B54D51" w:rsidP="00401C67">
            <w:pPr>
              <w:widowControl w:val="0"/>
              <w:autoSpaceDE w:val="0"/>
              <w:autoSpaceDN w:val="0"/>
              <w:adjustRightInd w:val="0"/>
              <w:jc w:val="center"/>
            </w:pPr>
            <w:r w:rsidRPr="00037AD4">
              <w:t>0.928***</w:t>
            </w:r>
          </w:p>
        </w:tc>
        <w:tc>
          <w:tcPr>
            <w:tcW w:w="0" w:type="auto"/>
            <w:tcBorders>
              <w:top w:val="nil"/>
              <w:left w:val="nil"/>
              <w:bottom w:val="nil"/>
              <w:right w:val="nil"/>
            </w:tcBorders>
          </w:tcPr>
          <w:p w14:paraId="7905E952" w14:textId="77777777" w:rsidR="00B54D51" w:rsidRPr="00037AD4" w:rsidRDefault="00B54D51" w:rsidP="00401C67">
            <w:pPr>
              <w:widowControl w:val="0"/>
              <w:autoSpaceDE w:val="0"/>
              <w:autoSpaceDN w:val="0"/>
              <w:adjustRightInd w:val="0"/>
              <w:jc w:val="center"/>
            </w:pPr>
            <w:r w:rsidRPr="00037AD4">
              <w:t>0.920***</w:t>
            </w:r>
          </w:p>
        </w:tc>
      </w:tr>
      <w:tr w:rsidR="00B54D51" w:rsidRPr="00037AD4" w14:paraId="61B76908" w14:textId="77777777" w:rsidTr="00401C67">
        <w:trPr>
          <w:jc w:val="center"/>
        </w:trPr>
        <w:tc>
          <w:tcPr>
            <w:tcW w:w="0" w:type="auto"/>
            <w:tcBorders>
              <w:top w:val="nil"/>
              <w:left w:val="nil"/>
              <w:bottom w:val="nil"/>
              <w:right w:val="nil"/>
            </w:tcBorders>
          </w:tcPr>
          <w:p w14:paraId="6BFB8DF3" w14:textId="77777777" w:rsidR="00B54D51" w:rsidRPr="00037AD4" w:rsidRDefault="00B54D51" w:rsidP="00401C67">
            <w:pPr>
              <w:widowControl w:val="0"/>
              <w:autoSpaceDE w:val="0"/>
              <w:autoSpaceDN w:val="0"/>
              <w:adjustRightInd w:val="0"/>
            </w:pPr>
          </w:p>
        </w:tc>
        <w:tc>
          <w:tcPr>
            <w:tcW w:w="0" w:type="auto"/>
            <w:tcBorders>
              <w:top w:val="nil"/>
              <w:left w:val="nil"/>
              <w:bottom w:val="nil"/>
              <w:right w:val="nil"/>
            </w:tcBorders>
          </w:tcPr>
          <w:p w14:paraId="2C819099" w14:textId="77777777" w:rsidR="00B54D51" w:rsidRPr="00037AD4" w:rsidRDefault="00B54D51" w:rsidP="00401C67">
            <w:pPr>
              <w:widowControl w:val="0"/>
              <w:autoSpaceDE w:val="0"/>
              <w:autoSpaceDN w:val="0"/>
              <w:adjustRightInd w:val="0"/>
              <w:jc w:val="center"/>
            </w:pPr>
            <w:r w:rsidRPr="00037AD4">
              <w:t>(-0.145 - 1.323)</w:t>
            </w:r>
          </w:p>
        </w:tc>
        <w:tc>
          <w:tcPr>
            <w:tcW w:w="0" w:type="auto"/>
            <w:tcBorders>
              <w:top w:val="nil"/>
              <w:left w:val="nil"/>
              <w:bottom w:val="nil"/>
              <w:right w:val="nil"/>
            </w:tcBorders>
          </w:tcPr>
          <w:p w14:paraId="01951806" w14:textId="77777777" w:rsidR="00B54D51" w:rsidRPr="00037AD4" w:rsidRDefault="00B54D51" w:rsidP="00401C67">
            <w:pPr>
              <w:widowControl w:val="0"/>
              <w:autoSpaceDE w:val="0"/>
              <w:autoSpaceDN w:val="0"/>
              <w:adjustRightInd w:val="0"/>
              <w:jc w:val="center"/>
            </w:pPr>
            <w:r w:rsidRPr="00037AD4">
              <w:t>(0.262 - 1.519)</w:t>
            </w:r>
          </w:p>
        </w:tc>
        <w:tc>
          <w:tcPr>
            <w:tcW w:w="0" w:type="auto"/>
            <w:tcBorders>
              <w:top w:val="nil"/>
              <w:left w:val="nil"/>
              <w:bottom w:val="nil"/>
              <w:right w:val="nil"/>
            </w:tcBorders>
          </w:tcPr>
          <w:p w14:paraId="4FC75ADF" w14:textId="77777777" w:rsidR="00B54D51" w:rsidRPr="00037AD4" w:rsidRDefault="00B54D51" w:rsidP="00401C67">
            <w:pPr>
              <w:widowControl w:val="0"/>
              <w:autoSpaceDE w:val="0"/>
              <w:autoSpaceDN w:val="0"/>
              <w:adjustRightInd w:val="0"/>
              <w:jc w:val="center"/>
            </w:pPr>
            <w:r w:rsidRPr="00037AD4">
              <w:t>(0.279 - 1.539)</w:t>
            </w:r>
          </w:p>
        </w:tc>
        <w:tc>
          <w:tcPr>
            <w:tcW w:w="0" w:type="auto"/>
            <w:tcBorders>
              <w:top w:val="nil"/>
              <w:left w:val="nil"/>
              <w:bottom w:val="nil"/>
              <w:right w:val="nil"/>
            </w:tcBorders>
          </w:tcPr>
          <w:p w14:paraId="2DF5FBCC" w14:textId="77777777" w:rsidR="00B54D51" w:rsidRPr="00037AD4" w:rsidRDefault="00B54D51" w:rsidP="00401C67">
            <w:pPr>
              <w:widowControl w:val="0"/>
              <w:autoSpaceDE w:val="0"/>
              <w:autoSpaceDN w:val="0"/>
              <w:adjustRightInd w:val="0"/>
              <w:jc w:val="center"/>
            </w:pPr>
            <w:r w:rsidRPr="00037AD4">
              <w:t>(0.289 - 1.567)</w:t>
            </w:r>
          </w:p>
        </w:tc>
        <w:tc>
          <w:tcPr>
            <w:tcW w:w="0" w:type="auto"/>
            <w:tcBorders>
              <w:top w:val="nil"/>
              <w:left w:val="nil"/>
              <w:bottom w:val="nil"/>
              <w:right w:val="nil"/>
            </w:tcBorders>
          </w:tcPr>
          <w:p w14:paraId="50C99DCC" w14:textId="77777777" w:rsidR="00B54D51" w:rsidRPr="00037AD4" w:rsidRDefault="00B54D51" w:rsidP="00401C67">
            <w:pPr>
              <w:widowControl w:val="0"/>
              <w:autoSpaceDE w:val="0"/>
              <w:autoSpaceDN w:val="0"/>
              <w:adjustRightInd w:val="0"/>
              <w:jc w:val="center"/>
            </w:pPr>
            <w:r w:rsidRPr="00037AD4">
              <w:t>(0.282 - 1.558)</w:t>
            </w:r>
          </w:p>
        </w:tc>
      </w:tr>
      <w:tr w:rsidR="00B54D51" w:rsidRPr="00037AD4" w14:paraId="7F4E17BD" w14:textId="77777777" w:rsidTr="00401C67">
        <w:trPr>
          <w:jc w:val="center"/>
        </w:trPr>
        <w:tc>
          <w:tcPr>
            <w:tcW w:w="0" w:type="auto"/>
            <w:tcBorders>
              <w:top w:val="nil"/>
              <w:left w:val="nil"/>
              <w:bottom w:val="nil"/>
              <w:right w:val="nil"/>
            </w:tcBorders>
          </w:tcPr>
          <w:p w14:paraId="54455483" w14:textId="77777777" w:rsidR="00B54D51" w:rsidRPr="00037AD4" w:rsidRDefault="00B54D51" w:rsidP="00401C67">
            <w:pPr>
              <w:widowControl w:val="0"/>
              <w:autoSpaceDE w:val="0"/>
              <w:autoSpaceDN w:val="0"/>
              <w:adjustRightInd w:val="0"/>
            </w:pPr>
            <w:r w:rsidRPr="00037AD4">
              <w:t>5.eq5staff_</w:t>
            </w:r>
          </w:p>
        </w:tc>
        <w:tc>
          <w:tcPr>
            <w:tcW w:w="0" w:type="auto"/>
            <w:tcBorders>
              <w:top w:val="nil"/>
              <w:left w:val="nil"/>
              <w:bottom w:val="nil"/>
              <w:right w:val="nil"/>
            </w:tcBorders>
          </w:tcPr>
          <w:p w14:paraId="02C8020E" w14:textId="77777777" w:rsidR="00B54D51" w:rsidRPr="00037AD4" w:rsidRDefault="00B54D51" w:rsidP="00401C67">
            <w:pPr>
              <w:widowControl w:val="0"/>
              <w:autoSpaceDE w:val="0"/>
              <w:autoSpaceDN w:val="0"/>
              <w:adjustRightInd w:val="0"/>
              <w:jc w:val="center"/>
            </w:pPr>
            <w:r w:rsidRPr="00037AD4">
              <w:t>0.740</w:t>
            </w:r>
          </w:p>
        </w:tc>
        <w:tc>
          <w:tcPr>
            <w:tcW w:w="0" w:type="auto"/>
            <w:tcBorders>
              <w:top w:val="nil"/>
              <w:left w:val="nil"/>
              <w:bottom w:val="nil"/>
              <w:right w:val="nil"/>
            </w:tcBorders>
          </w:tcPr>
          <w:p w14:paraId="4E038C1B" w14:textId="77777777" w:rsidR="00B54D51" w:rsidRPr="00037AD4" w:rsidRDefault="00B54D51" w:rsidP="00401C67">
            <w:pPr>
              <w:widowControl w:val="0"/>
              <w:autoSpaceDE w:val="0"/>
              <w:autoSpaceDN w:val="0"/>
              <w:adjustRightInd w:val="0"/>
              <w:jc w:val="center"/>
            </w:pPr>
            <w:r w:rsidRPr="00037AD4">
              <w:t>1.294</w:t>
            </w:r>
          </w:p>
        </w:tc>
        <w:tc>
          <w:tcPr>
            <w:tcW w:w="0" w:type="auto"/>
            <w:tcBorders>
              <w:top w:val="nil"/>
              <w:left w:val="nil"/>
              <w:bottom w:val="nil"/>
              <w:right w:val="nil"/>
            </w:tcBorders>
          </w:tcPr>
          <w:p w14:paraId="7922CA6A" w14:textId="77777777" w:rsidR="00B54D51" w:rsidRPr="00037AD4" w:rsidRDefault="00B54D51" w:rsidP="00401C67">
            <w:pPr>
              <w:widowControl w:val="0"/>
              <w:autoSpaceDE w:val="0"/>
              <w:autoSpaceDN w:val="0"/>
              <w:adjustRightInd w:val="0"/>
              <w:jc w:val="center"/>
            </w:pPr>
            <w:r w:rsidRPr="00037AD4">
              <w:t>1.277</w:t>
            </w:r>
          </w:p>
        </w:tc>
        <w:tc>
          <w:tcPr>
            <w:tcW w:w="0" w:type="auto"/>
            <w:tcBorders>
              <w:top w:val="nil"/>
              <w:left w:val="nil"/>
              <w:bottom w:val="nil"/>
              <w:right w:val="nil"/>
            </w:tcBorders>
          </w:tcPr>
          <w:p w14:paraId="46BC36D9" w14:textId="77777777" w:rsidR="00B54D51" w:rsidRPr="00037AD4" w:rsidRDefault="00B54D51" w:rsidP="00401C67">
            <w:pPr>
              <w:widowControl w:val="0"/>
              <w:autoSpaceDE w:val="0"/>
              <w:autoSpaceDN w:val="0"/>
              <w:adjustRightInd w:val="0"/>
              <w:jc w:val="center"/>
            </w:pPr>
            <w:r w:rsidRPr="00037AD4">
              <w:t>1.329</w:t>
            </w:r>
          </w:p>
        </w:tc>
        <w:tc>
          <w:tcPr>
            <w:tcW w:w="0" w:type="auto"/>
            <w:tcBorders>
              <w:top w:val="nil"/>
              <w:left w:val="nil"/>
              <w:bottom w:val="nil"/>
              <w:right w:val="nil"/>
            </w:tcBorders>
          </w:tcPr>
          <w:p w14:paraId="3D9103DD" w14:textId="77777777" w:rsidR="00B54D51" w:rsidRPr="00037AD4" w:rsidRDefault="00B54D51" w:rsidP="00401C67">
            <w:pPr>
              <w:widowControl w:val="0"/>
              <w:autoSpaceDE w:val="0"/>
              <w:autoSpaceDN w:val="0"/>
              <w:adjustRightInd w:val="0"/>
              <w:jc w:val="center"/>
            </w:pPr>
            <w:r w:rsidRPr="00037AD4">
              <w:t>1.337</w:t>
            </w:r>
          </w:p>
        </w:tc>
      </w:tr>
      <w:tr w:rsidR="00B54D51" w:rsidRPr="00037AD4" w14:paraId="1914139E" w14:textId="77777777" w:rsidTr="00401C67">
        <w:trPr>
          <w:jc w:val="center"/>
        </w:trPr>
        <w:tc>
          <w:tcPr>
            <w:tcW w:w="0" w:type="auto"/>
            <w:tcBorders>
              <w:top w:val="nil"/>
              <w:left w:val="nil"/>
              <w:bottom w:val="nil"/>
              <w:right w:val="nil"/>
            </w:tcBorders>
          </w:tcPr>
          <w:p w14:paraId="71F1A16C" w14:textId="77777777" w:rsidR="00B54D51" w:rsidRPr="00037AD4" w:rsidRDefault="00B54D51" w:rsidP="00401C67">
            <w:pPr>
              <w:widowControl w:val="0"/>
              <w:autoSpaceDE w:val="0"/>
              <w:autoSpaceDN w:val="0"/>
              <w:adjustRightInd w:val="0"/>
            </w:pPr>
          </w:p>
        </w:tc>
        <w:tc>
          <w:tcPr>
            <w:tcW w:w="0" w:type="auto"/>
            <w:tcBorders>
              <w:top w:val="nil"/>
              <w:left w:val="nil"/>
              <w:bottom w:val="nil"/>
              <w:right w:val="nil"/>
            </w:tcBorders>
          </w:tcPr>
          <w:p w14:paraId="5DCA9E80" w14:textId="77777777" w:rsidR="00B54D51" w:rsidRPr="00037AD4" w:rsidRDefault="00B54D51" w:rsidP="00401C67">
            <w:pPr>
              <w:widowControl w:val="0"/>
              <w:autoSpaceDE w:val="0"/>
              <w:autoSpaceDN w:val="0"/>
              <w:adjustRightInd w:val="0"/>
              <w:jc w:val="center"/>
            </w:pPr>
            <w:r w:rsidRPr="00037AD4">
              <w:t>(-1.780 - 3.259)</w:t>
            </w:r>
          </w:p>
        </w:tc>
        <w:tc>
          <w:tcPr>
            <w:tcW w:w="0" w:type="auto"/>
            <w:tcBorders>
              <w:top w:val="nil"/>
              <w:left w:val="nil"/>
              <w:bottom w:val="nil"/>
              <w:right w:val="nil"/>
            </w:tcBorders>
          </w:tcPr>
          <w:p w14:paraId="412F6E7D" w14:textId="77777777" w:rsidR="00B54D51" w:rsidRPr="00037AD4" w:rsidRDefault="00B54D51" w:rsidP="00401C67">
            <w:pPr>
              <w:widowControl w:val="0"/>
              <w:autoSpaceDE w:val="0"/>
              <w:autoSpaceDN w:val="0"/>
              <w:adjustRightInd w:val="0"/>
              <w:jc w:val="center"/>
            </w:pPr>
            <w:r w:rsidRPr="00037AD4">
              <w:t>(-1.230 - 3.818)</w:t>
            </w:r>
          </w:p>
        </w:tc>
        <w:tc>
          <w:tcPr>
            <w:tcW w:w="0" w:type="auto"/>
            <w:tcBorders>
              <w:top w:val="nil"/>
              <w:left w:val="nil"/>
              <w:bottom w:val="nil"/>
              <w:right w:val="nil"/>
            </w:tcBorders>
          </w:tcPr>
          <w:p w14:paraId="53AE9105" w14:textId="77777777" w:rsidR="00B54D51" w:rsidRPr="00037AD4" w:rsidRDefault="00B54D51" w:rsidP="00401C67">
            <w:pPr>
              <w:widowControl w:val="0"/>
              <w:autoSpaceDE w:val="0"/>
              <w:autoSpaceDN w:val="0"/>
              <w:adjustRightInd w:val="0"/>
              <w:jc w:val="center"/>
            </w:pPr>
            <w:r w:rsidRPr="00037AD4">
              <w:t>(-1.250 - 3.805)</w:t>
            </w:r>
          </w:p>
        </w:tc>
        <w:tc>
          <w:tcPr>
            <w:tcW w:w="0" w:type="auto"/>
            <w:tcBorders>
              <w:top w:val="nil"/>
              <w:left w:val="nil"/>
              <w:bottom w:val="nil"/>
              <w:right w:val="nil"/>
            </w:tcBorders>
          </w:tcPr>
          <w:p w14:paraId="6AFE3DF6" w14:textId="77777777" w:rsidR="00B54D51" w:rsidRPr="00037AD4" w:rsidRDefault="00B54D51" w:rsidP="00401C67">
            <w:pPr>
              <w:widowControl w:val="0"/>
              <w:autoSpaceDE w:val="0"/>
              <w:autoSpaceDN w:val="0"/>
              <w:adjustRightInd w:val="0"/>
              <w:jc w:val="center"/>
            </w:pPr>
            <w:r w:rsidRPr="00037AD4">
              <w:t>(-1.201 - 3.859)</w:t>
            </w:r>
          </w:p>
        </w:tc>
        <w:tc>
          <w:tcPr>
            <w:tcW w:w="0" w:type="auto"/>
            <w:tcBorders>
              <w:top w:val="nil"/>
              <w:left w:val="nil"/>
              <w:bottom w:val="nil"/>
              <w:right w:val="nil"/>
            </w:tcBorders>
          </w:tcPr>
          <w:p w14:paraId="369BFBB5" w14:textId="77777777" w:rsidR="00B54D51" w:rsidRPr="00037AD4" w:rsidRDefault="00B54D51" w:rsidP="00401C67">
            <w:pPr>
              <w:widowControl w:val="0"/>
              <w:autoSpaceDE w:val="0"/>
              <w:autoSpaceDN w:val="0"/>
              <w:adjustRightInd w:val="0"/>
              <w:jc w:val="center"/>
            </w:pPr>
            <w:r w:rsidRPr="00037AD4">
              <w:t>(-1.189 - 3.863)</w:t>
            </w:r>
          </w:p>
        </w:tc>
      </w:tr>
      <w:tr w:rsidR="00B54D51" w:rsidRPr="00037AD4" w14:paraId="2BF94768" w14:textId="77777777" w:rsidTr="00401C67">
        <w:trPr>
          <w:jc w:val="center"/>
        </w:trPr>
        <w:tc>
          <w:tcPr>
            <w:tcW w:w="0" w:type="auto"/>
            <w:tcBorders>
              <w:top w:val="nil"/>
              <w:left w:val="nil"/>
              <w:bottom w:val="nil"/>
              <w:right w:val="nil"/>
            </w:tcBorders>
          </w:tcPr>
          <w:p w14:paraId="3241451A" w14:textId="77777777" w:rsidR="00B54D51" w:rsidRPr="00037AD4" w:rsidRDefault="00B54D51" w:rsidP="00401C67">
            <w:pPr>
              <w:widowControl w:val="0"/>
              <w:autoSpaceDE w:val="0"/>
              <w:autoSpaceDN w:val="0"/>
              <w:adjustRightInd w:val="0"/>
            </w:pPr>
            <w:r w:rsidRPr="00037AD4">
              <w:t>2.eq1staff_</w:t>
            </w:r>
          </w:p>
        </w:tc>
        <w:tc>
          <w:tcPr>
            <w:tcW w:w="0" w:type="auto"/>
            <w:tcBorders>
              <w:top w:val="nil"/>
              <w:left w:val="nil"/>
              <w:bottom w:val="nil"/>
              <w:right w:val="nil"/>
            </w:tcBorders>
          </w:tcPr>
          <w:p w14:paraId="0D04D2D6" w14:textId="77777777" w:rsidR="00B54D51" w:rsidRPr="00037AD4" w:rsidRDefault="00B54D51" w:rsidP="00401C67">
            <w:pPr>
              <w:widowControl w:val="0"/>
              <w:autoSpaceDE w:val="0"/>
              <w:autoSpaceDN w:val="0"/>
              <w:adjustRightInd w:val="0"/>
              <w:jc w:val="center"/>
            </w:pPr>
            <w:r w:rsidRPr="00037AD4">
              <w:t>0.367**</w:t>
            </w:r>
          </w:p>
        </w:tc>
        <w:tc>
          <w:tcPr>
            <w:tcW w:w="0" w:type="auto"/>
            <w:tcBorders>
              <w:top w:val="nil"/>
              <w:left w:val="nil"/>
              <w:bottom w:val="nil"/>
              <w:right w:val="nil"/>
            </w:tcBorders>
          </w:tcPr>
          <w:p w14:paraId="0D190DCC"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15330B7A"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624BFBEB"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180C53D8" w14:textId="77777777" w:rsidR="00B54D51" w:rsidRPr="00037AD4" w:rsidRDefault="00B54D51" w:rsidP="00401C67">
            <w:pPr>
              <w:widowControl w:val="0"/>
              <w:autoSpaceDE w:val="0"/>
              <w:autoSpaceDN w:val="0"/>
              <w:adjustRightInd w:val="0"/>
              <w:jc w:val="center"/>
            </w:pPr>
          </w:p>
        </w:tc>
      </w:tr>
      <w:tr w:rsidR="00B54D51" w:rsidRPr="00037AD4" w14:paraId="2FC5E56B" w14:textId="77777777" w:rsidTr="00401C67">
        <w:trPr>
          <w:jc w:val="center"/>
        </w:trPr>
        <w:tc>
          <w:tcPr>
            <w:tcW w:w="0" w:type="auto"/>
            <w:tcBorders>
              <w:top w:val="nil"/>
              <w:left w:val="nil"/>
              <w:bottom w:val="nil"/>
              <w:right w:val="nil"/>
            </w:tcBorders>
          </w:tcPr>
          <w:p w14:paraId="153534A1" w14:textId="77777777" w:rsidR="00B54D51" w:rsidRPr="00037AD4" w:rsidRDefault="00B54D51" w:rsidP="00401C67">
            <w:pPr>
              <w:widowControl w:val="0"/>
              <w:autoSpaceDE w:val="0"/>
              <w:autoSpaceDN w:val="0"/>
              <w:adjustRightInd w:val="0"/>
            </w:pPr>
          </w:p>
        </w:tc>
        <w:tc>
          <w:tcPr>
            <w:tcW w:w="0" w:type="auto"/>
            <w:tcBorders>
              <w:top w:val="nil"/>
              <w:left w:val="nil"/>
              <w:bottom w:val="nil"/>
              <w:right w:val="nil"/>
            </w:tcBorders>
          </w:tcPr>
          <w:p w14:paraId="3530C1C8" w14:textId="77777777" w:rsidR="00B54D51" w:rsidRPr="00037AD4" w:rsidRDefault="00B54D51" w:rsidP="00401C67">
            <w:pPr>
              <w:widowControl w:val="0"/>
              <w:autoSpaceDE w:val="0"/>
              <w:autoSpaceDN w:val="0"/>
              <w:adjustRightInd w:val="0"/>
              <w:jc w:val="center"/>
            </w:pPr>
            <w:r w:rsidRPr="00037AD4">
              <w:t>(0.072 - 0.661)</w:t>
            </w:r>
          </w:p>
        </w:tc>
        <w:tc>
          <w:tcPr>
            <w:tcW w:w="0" w:type="auto"/>
            <w:tcBorders>
              <w:top w:val="nil"/>
              <w:left w:val="nil"/>
              <w:bottom w:val="nil"/>
              <w:right w:val="nil"/>
            </w:tcBorders>
          </w:tcPr>
          <w:p w14:paraId="2A86DF76"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1337887D"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547BD5FC"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2DCD15B1" w14:textId="77777777" w:rsidR="00B54D51" w:rsidRPr="00037AD4" w:rsidRDefault="00B54D51" w:rsidP="00401C67">
            <w:pPr>
              <w:widowControl w:val="0"/>
              <w:autoSpaceDE w:val="0"/>
              <w:autoSpaceDN w:val="0"/>
              <w:adjustRightInd w:val="0"/>
              <w:jc w:val="center"/>
            </w:pPr>
          </w:p>
        </w:tc>
      </w:tr>
      <w:tr w:rsidR="00B54D51" w:rsidRPr="00037AD4" w14:paraId="38E073D0" w14:textId="77777777" w:rsidTr="00401C67">
        <w:trPr>
          <w:jc w:val="center"/>
        </w:trPr>
        <w:tc>
          <w:tcPr>
            <w:tcW w:w="0" w:type="auto"/>
            <w:tcBorders>
              <w:top w:val="nil"/>
              <w:left w:val="nil"/>
              <w:bottom w:val="nil"/>
              <w:right w:val="nil"/>
            </w:tcBorders>
          </w:tcPr>
          <w:p w14:paraId="55FF0399" w14:textId="77777777" w:rsidR="00B54D51" w:rsidRPr="00037AD4" w:rsidRDefault="00B54D51" w:rsidP="00401C67">
            <w:pPr>
              <w:widowControl w:val="0"/>
              <w:autoSpaceDE w:val="0"/>
              <w:autoSpaceDN w:val="0"/>
              <w:adjustRightInd w:val="0"/>
            </w:pPr>
            <w:r w:rsidRPr="00037AD4">
              <w:t>3.eq1staff_</w:t>
            </w:r>
          </w:p>
        </w:tc>
        <w:tc>
          <w:tcPr>
            <w:tcW w:w="0" w:type="auto"/>
            <w:tcBorders>
              <w:top w:val="nil"/>
              <w:left w:val="nil"/>
              <w:bottom w:val="nil"/>
              <w:right w:val="nil"/>
            </w:tcBorders>
          </w:tcPr>
          <w:p w14:paraId="3339FA98" w14:textId="77777777" w:rsidR="00B54D51" w:rsidRPr="00037AD4" w:rsidRDefault="00B54D51" w:rsidP="00401C67">
            <w:pPr>
              <w:widowControl w:val="0"/>
              <w:autoSpaceDE w:val="0"/>
              <w:autoSpaceDN w:val="0"/>
              <w:adjustRightInd w:val="0"/>
              <w:jc w:val="center"/>
            </w:pPr>
            <w:r w:rsidRPr="00037AD4">
              <w:t>0.601***</w:t>
            </w:r>
          </w:p>
        </w:tc>
        <w:tc>
          <w:tcPr>
            <w:tcW w:w="0" w:type="auto"/>
            <w:tcBorders>
              <w:top w:val="nil"/>
              <w:left w:val="nil"/>
              <w:bottom w:val="nil"/>
              <w:right w:val="nil"/>
            </w:tcBorders>
          </w:tcPr>
          <w:p w14:paraId="524F7647"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4D79728F"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472CBFF3"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1ACCAB9D" w14:textId="77777777" w:rsidR="00B54D51" w:rsidRPr="00037AD4" w:rsidRDefault="00B54D51" w:rsidP="00401C67">
            <w:pPr>
              <w:widowControl w:val="0"/>
              <w:autoSpaceDE w:val="0"/>
              <w:autoSpaceDN w:val="0"/>
              <w:adjustRightInd w:val="0"/>
              <w:jc w:val="center"/>
            </w:pPr>
          </w:p>
        </w:tc>
      </w:tr>
      <w:tr w:rsidR="00B54D51" w:rsidRPr="00037AD4" w14:paraId="66F50A29" w14:textId="77777777" w:rsidTr="00401C67">
        <w:trPr>
          <w:jc w:val="center"/>
        </w:trPr>
        <w:tc>
          <w:tcPr>
            <w:tcW w:w="0" w:type="auto"/>
            <w:tcBorders>
              <w:top w:val="nil"/>
              <w:left w:val="nil"/>
              <w:bottom w:val="nil"/>
              <w:right w:val="nil"/>
            </w:tcBorders>
          </w:tcPr>
          <w:p w14:paraId="15C7BADF" w14:textId="77777777" w:rsidR="00B54D51" w:rsidRPr="00037AD4" w:rsidRDefault="00B54D51" w:rsidP="00401C67">
            <w:pPr>
              <w:widowControl w:val="0"/>
              <w:autoSpaceDE w:val="0"/>
              <w:autoSpaceDN w:val="0"/>
              <w:adjustRightInd w:val="0"/>
            </w:pPr>
          </w:p>
        </w:tc>
        <w:tc>
          <w:tcPr>
            <w:tcW w:w="0" w:type="auto"/>
            <w:tcBorders>
              <w:top w:val="nil"/>
              <w:left w:val="nil"/>
              <w:bottom w:val="nil"/>
              <w:right w:val="nil"/>
            </w:tcBorders>
          </w:tcPr>
          <w:p w14:paraId="2A58BB5B" w14:textId="77777777" w:rsidR="00B54D51" w:rsidRPr="00037AD4" w:rsidRDefault="00B54D51" w:rsidP="00401C67">
            <w:pPr>
              <w:widowControl w:val="0"/>
              <w:autoSpaceDE w:val="0"/>
              <w:autoSpaceDN w:val="0"/>
              <w:adjustRightInd w:val="0"/>
              <w:jc w:val="center"/>
            </w:pPr>
            <w:r w:rsidRPr="00037AD4">
              <w:t>(0.277 - 0.925)</w:t>
            </w:r>
          </w:p>
        </w:tc>
        <w:tc>
          <w:tcPr>
            <w:tcW w:w="0" w:type="auto"/>
            <w:tcBorders>
              <w:top w:val="nil"/>
              <w:left w:val="nil"/>
              <w:bottom w:val="nil"/>
              <w:right w:val="nil"/>
            </w:tcBorders>
          </w:tcPr>
          <w:p w14:paraId="29184A55"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23E8622B"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250AC372"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28F8AC41" w14:textId="77777777" w:rsidR="00B54D51" w:rsidRPr="00037AD4" w:rsidRDefault="00B54D51" w:rsidP="00401C67">
            <w:pPr>
              <w:widowControl w:val="0"/>
              <w:autoSpaceDE w:val="0"/>
              <w:autoSpaceDN w:val="0"/>
              <w:adjustRightInd w:val="0"/>
              <w:jc w:val="center"/>
            </w:pPr>
          </w:p>
        </w:tc>
      </w:tr>
      <w:tr w:rsidR="00B54D51" w:rsidRPr="00037AD4" w14:paraId="5F73CF74" w14:textId="77777777" w:rsidTr="00401C67">
        <w:trPr>
          <w:jc w:val="center"/>
        </w:trPr>
        <w:tc>
          <w:tcPr>
            <w:tcW w:w="0" w:type="auto"/>
            <w:tcBorders>
              <w:top w:val="nil"/>
              <w:left w:val="nil"/>
              <w:bottom w:val="nil"/>
              <w:right w:val="nil"/>
            </w:tcBorders>
          </w:tcPr>
          <w:p w14:paraId="6193AAD9" w14:textId="77777777" w:rsidR="00B54D51" w:rsidRPr="00037AD4" w:rsidRDefault="00B54D51" w:rsidP="00401C67">
            <w:pPr>
              <w:widowControl w:val="0"/>
              <w:autoSpaceDE w:val="0"/>
              <w:autoSpaceDN w:val="0"/>
              <w:adjustRightInd w:val="0"/>
            </w:pPr>
            <w:r w:rsidRPr="00037AD4">
              <w:t>4.eq1staff_</w:t>
            </w:r>
          </w:p>
        </w:tc>
        <w:tc>
          <w:tcPr>
            <w:tcW w:w="0" w:type="auto"/>
            <w:tcBorders>
              <w:top w:val="nil"/>
              <w:left w:val="nil"/>
              <w:bottom w:val="nil"/>
              <w:right w:val="nil"/>
            </w:tcBorders>
          </w:tcPr>
          <w:p w14:paraId="790E2C82" w14:textId="77777777" w:rsidR="00B54D51" w:rsidRPr="00037AD4" w:rsidRDefault="00B54D51" w:rsidP="00401C67">
            <w:pPr>
              <w:widowControl w:val="0"/>
              <w:autoSpaceDE w:val="0"/>
              <w:autoSpaceDN w:val="0"/>
              <w:adjustRightInd w:val="0"/>
              <w:jc w:val="center"/>
            </w:pPr>
            <w:r w:rsidRPr="00037AD4">
              <w:t>0.157</w:t>
            </w:r>
          </w:p>
        </w:tc>
        <w:tc>
          <w:tcPr>
            <w:tcW w:w="0" w:type="auto"/>
            <w:tcBorders>
              <w:top w:val="nil"/>
              <w:left w:val="nil"/>
              <w:bottom w:val="nil"/>
              <w:right w:val="nil"/>
            </w:tcBorders>
          </w:tcPr>
          <w:p w14:paraId="2FCE63B9"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1BD48AA6"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43D7BEFF"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46C71B6C" w14:textId="77777777" w:rsidR="00B54D51" w:rsidRPr="00037AD4" w:rsidRDefault="00B54D51" w:rsidP="00401C67">
            <w:pPr>
              <w:widowControl w:val="0"/>
              <w:autoSpaceDE w:val="0"/>
              <w:autoSpaceDN w:val="0"/>
              <w:adjustRightInd w:val="0"/>
              <w:jc w:val="center"/>
            </w:pPr>
          </w:p>
        </w:tc>
      </w:tr>
      <w:tr w:rsidR="00B54D51" w:rsidRPr="00037AD4" w14:paraId="57D5C48B" w14:textId="77777777" w:rsidTr="00401C67">
        <w:trPr>
          <w:jc w:val="center"/>
        </w:trPr>
        <w:tc>
          <w:tcPr>
            <w:tcW w:w="0" w:type="auto"/>
            <w:tcBorders>
              <w:top w:val="nil"/>
              <w:left w:val="nil"/>
              <w:bottom w:val="nil"/>
              <w:right w:val="nil"/>
            </w:tcBorders>
          </w:tcPr>
          <w:p w14:paraId="78EA9172" w14:textId="77777777" w:rsidR="00B54D51" w:rsidRPr="00037AD4" w:rsidRDefault="00B54D51" w:rsidP="00401C67">
            <w:pPr>
              <w:widowControl w:val="0"/>
              <w:autoSpaceDE w:val="0"/>
              <w:autoSpaceDN w:val="0"/>
              <w:adjustRightInd w:val="0"/>
            </w:pPr>
          </w:p>
        </w:tc>
        <w:tc>
          <w:tcPr>
            <w:tcW w:w="0" w:type="auto"/>
            <w:tcBorders>
              <w:top w:val="nil"/>
              <w:left w:val="nil"/>
              <w:bottom w:val="nil"/>
              <w:right w:val="nil"/>
            </w:tcBorders>
          </w:tcPr>
          <w:p w14:paraId="59DAA95D" w14:textId="77777777" w:rsidR="00B54D51" w:rsidRPr="00037AD4" w:rsidRDefault="00B54D51" w:rsidP="00401C67">
            <w:pPr>
              <w:widowControl w:val="0"/>
              <w:autoSpaceDE w:val="0"/>
              <w:autoSpaceDN w:val="0"/>
              <w:adjustRightInd w:val="0"/>
              <w:jc w:val="center"/>
            </w:pPr>
            <w:r w:rsidRPr="00037AD4">
              <w:t>(-0.382 - 0.695)</w:t>
            </w:r>
          </w:p>
        </w:tc>
        <w:tc>
          <w:tcPr>
            <w:tcW w:w="0" w:type="auto"/>
            <w:tcBorders>
              <w:top w:val="nil"/>
              <w:left w:val="nil"/>
              <w:bottom w:val="nil"/>
              <w:right w:val="nil"/>
            </w:tcBorders>
          </w:tcPr>
          <w:p w14:paraId="34A044CE"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037C5B85"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54CFB822"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3FD7E0BF" w14:textId="77777777" w:rsidR="00B54D51" w:rsidRPr="00037AD4" w:rsidRDefault="00B54D51" w:rsidP="00401C67">
            <w:pPr>
              <w:widowControl w:val="0"/>
              <w:autoSpaceDE w:val="0"/>
              <w:autoSpaceDN w:val="0"/>
              <w:adjustRightInd w:val="0"/>
              <w:jc w:val="center"/>
            </w:pPr>
          </w:p>
        </w:tc>
      </w:tr>
      <w:tr w:rsidR="00B54D51" w:rsidRPr="00037AD4" w14:paraId="06A33622" w14:textId="77777777" w:rsidTr="00401C67">
        <w:trPr>
          <w:jc w:val="center"/>
        </w:trPr>
        <w:tc>
          <w:tcPr>
            <w:tcW w:w="0" w:type="auto"/>
            <w:tcBorders>
              <w:top w:val="nil"/>
              <w:left w:val="nil"/>
              <w:bottom w:val="nil"/>
              <w:right w:val="nil"/>
            </w:tcBorders>
          </w:tcPr>
          <w:p w14:paraId="3EE1FB70" w14:textId="77777777" w:rsidR="00B54D51" w:rsidRPr="00037AD4" w:rsidRDefault="00B54D51" w:rsidP="00401C67">
            <w:pPr>
              <w:widowControl w:val="0"/>
              <w:autoSpaceDE w:val="0"/>
              <w:autoSpaceDN w:val="0"/>
              <w:adjustRightInd w:val="0"/>
            </w:pPr>
            <w:r w:rsidRPr="00037AD4">
              <w:t>5.eq1staff_</w:t>
            </w:r>
          </w:p>
        </w:tc>
        <w:tc>
          <w:tcPr>
            <w:tcW w:w="0" w:type="auto"/>
            <w:tcBorders>
              <w:top w:val="nil"/>
              <w:left w:val="nil"/>
              <w:bottom w:val="nil"/>
              <w:right w:val="nil"/>
            </w:tcBorders>
          </w:tcPr>
          <w:p w14:paraId="7E77C396" w14:textId="77777777" w:rsidR="00B54D51" w:rsidRPr="00037AD4" w:rsidRDefault="00B54D51" w:rsidP="00401C67">
            <w:pPr>
              <w:widowControl w:val="0"/>
              <w:autoSpaceDE w:val="0"/>
              <w:autoSpaceDN w:val="0"/>
              <w:adjustRightInd w:val="0"/>
              <w:jc w:val="center"/>
            </w:pPr>
            <w:r w:rsidRPr="00037AD4">
              <w:t>0.279*</w:t>
            </w:r>
          </w:p>
        </w:tc>
        <w:tc>
          <w:tcPr>
            <w:tcW w:w="0" w:type="auto"/>
            <w:tcBorders>
              <w:top w:val="nil"/>
              <w:left w:val="nil"/>
              <w:bottom w:val="nil"/>
              <w:right w:val="nil"/>
            </w:tcBorders>
          </w:tcPr>
          <w:p w14:paraId="539751C5"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6F28CB34"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0B088587"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60F7346D" w14:textId="77777777" w:rsidR="00B54D51" w:rsidRPr="00037AD4" w:rsidRDefault="00B54D51" w:rsidP="00401C67">
            <w:pPr>
              <w:widowControl w:val="0"/>
              <w:autoSpaceDE w:val="0"/>
              <w:autoSpaceDN w:val="0"/>
              <w:adjustRightInd w:val="0"/>
              <w:jc w:val="center"/>
            </w:pPr>
          </w:p>
        </w:tc>
      </w:tr>
      <w:tr w:rsidR="00B54D51" w:rsidRPr="00037AD4" w14:paraId="21AA14FE" w14:textId="77777777" w:rsidTr="00401C67">
        <w:trPr>
          <w:jc w:val="center"/>
        </w:trPr>
        <w:tc>
          <w:tcPr>
            <w:tcW w:w="0" w:type="auto"/>
            <w:tcBorders>
              <w:top w:val="nil"/>
              <w:left w:val="nil"/>
              <w:bottom w:val="nil"/>
              <w:right w:val="nil"/>
            </w:tcBorders>
          </w:tcPr>
          <w:p w14:paraId="3E60657B" w14:textId="77777777" w:rsidR="00B54D51" w:rsidRPr="00037AD4" w:rsidRDefault="00B54D51" w:rsidP="00401C67">
            <w:pPr>
              <w:widowControl w:val="0"/>
              <w:autoSpaceDE w:val="0"/>
              <w:autoSpaceDN w:val="0"/>
              <w:adjustRightInd w:val="0"/>
            </w:pPr>
          </w:p>
        </w:tc>
        <w:tc>
          <w:tcPr>
            <w:tcW w:w="0" w:type="auto"/>
            <w:tcBorders>
              <w:top w:val="nil"/>
              <w:left w:val="nil"/>
              <w:bottom w:val="nil"/>
              <w:right w:val="nil"/>
            </w:tcBorders>
          </w:tcPr>
          <w:p w14:paraId="13220331" w14:textId="77777777" w:rsidR="00B54D51" w:rsidRPr="00037AD4" w:rsidRDefault="00B54D51" w:rsidP="00401C67">
            <w:pPr>
              <w:widowControl w:val="0"/>
              <w:autoSpaceDE w:val="0"/>
              <w:autoSpaceDN w:val="0"/>
              <w:adjustRightInd w:val="0"/>
              <w:jc w:val="center"/>
            </w:pPr>
            <w:r w:rsidRPr="00037AD4">
              <w:t>(-0.051 - 0.608)</w:t>
            </w:r>
          </w:p>
        </w:tc>
        <w:tc>
          <w:tcPr>
            <w:tcW w:w="0" w:type="auto"/>
            <w:tcBorders>
              <w:top w:val="nil"/>
              <w:left w:val="nil"/>
              <w:bottom w:val="nil"/>
              <w:right w:val="nil"/>
            </w:tcBorders>
          </w:tcPr>
          <w:p w14:paraId="1AE12AAC"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4B2EC0FB"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5BAE355F"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454275B2" w14:textId="77777777" w:rsidR="00B54D51" w:rsidRPr="00037AD4" w:rsidRDefault="00B54D51" w:rsidP="00401C67">
            <w:pPr>
              <w:widowControl w:val="0"/>
              <w:autoSpaceDE w:val="0"/>
              <w:autoSpaceDN w:val="0"/>
              <w:adjustRightInd w:val="0"/>
              <w:jc w:val="center"/>
            </w:pPr>
          </w:p>
        </w:tc>
      </w:tr>
      <w:tr w:rsidR="00B54D51" w:rsidRPr="00037AD4" w14:paraId="45BEEFE3" w14:textId="77777777" w:rsidTr="00401C67">
        <w:trPr>
          <w:jc w:val="center"/>
        </w:trPr>
        <w:tc>
          <w:tcPr>
            <w:tcW w:w="0" w:type="auto"/>
            <w:tcBorders>
              <w:top w:val="nil"/>
              <w:left w:val="nil"/>
              <w:bottom w:val="nil"/>
              <w:right w:val="nil"/>
            </w:tcBorders>
          </w:tcPr>
          <w:p w14:paraId="14F41A42" w14:textId="77777777" w:rsidR="00B54D51" w:rsidRPr="00037AD4" w:rsidRDefault="00B54D51" w:rsidP="00401C67">
            <w:pPr>
              <w:widowControl w:val="0"/>
              <w:autoSpaceDE w:val="0"/>
              <w:autoSpaceDN w:val="0"/>
              <w:adjustRightInd w:val="0"/>
            </w:pPr>
            <w:r w:rsidRPr="00037AD4">
              <w:t>2.eq2staff_</w:t>
            </w:r>
          </w:p>
        </w:tc>
        <w:tc>
          <w:tcPr>
            <w:tcW w:w="0" w:type="auto"/>
            <w:tcBorders>
              <w:top w:val="nil"/>
              <w:left w:val="nil"/>
              <w:bottom w:val="nil"/>
              <w:right w:val="nil"/>
            </w:tcBorders>
          </w:tcPr>
          <w:p w14:paraId="73A0227A" w14:textId="77777777" w:rsidR="00B54D51" w:rsidRPr="00037AD4" w:rsidRDefault="00B54D51" w:rsidP="00401C67">
            <w:pPr>
              <w:widowControl w:val="0"/>
              <w:autoSpaceDE w:val="0"/>
              <w:autoSpaceDN w:val="0"/>
              <w:adjustRightInd w:val="0"/>
              <w:jc w:val="center"/>
            </w:pPr>
            <w:r w:rsidRPr="00037AD4">
              <w:t>-0.177</w:t>
            </w:r>
          </w:p>
        </w:tc>
        <w:tc>
          <w:tcPr>
            <w:tcW w:w="0" w:type="auto"/>
            <w:tcBorders>
              <w:top w:val="nil"/>
              <w:left w:val="nil"/>
              <w:bottom w:val="nil"/>
              <w:right w:val="nil"/>
            </w:tcBorders>
          </w:tcPr>
          <w:p w14:paraId="61578D9E"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76E0C46E"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27DCAE97"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5822AFCB" w14:textId="77777777" w:rsidR="00B54D51" w:rsidRPr="00037AD4" w:rsidRDefault="00B54D51" w:rsidP="00401C67">
            <w:pPr>
              <w:widowControl w:val="0"/>
              <w:autoSpaceDE w:val="0"/>
              <w:autoSpaceDN w:val="0"/>
              <w:adjustRightInd w:val="0"/>
              <w:jc w:val="center"/>
            </w:pPr>
          </w:p>
        </w:tc>
      </w:tr>
      <w:tr w:rsidR="00B54D51" w:rsidRPr="00037AD4" w14:paraId="7BC59EFF" w14:textId="77777777" w:rsidTr="00401C67">
        <w:trPr>
          <w:jc w:val="center"/>
        </w:trPr>
        <w:tc>
          <w:tcPr>
            <w:tcW w:w="0" w:type="auto"/>
            <w:tcBorders>
              <w:top w:val="nil"/>
              <w:left w:val="nil"/>
              <w:bottom w:val="nil"/>
              <w:right w:val="nil"/>
            </w:tcBorders>
          </w:tcPr>
          <w:p w14:paraId="4905BBF2" w14:textId="77777777" w:rsidR="00B54D51" w:rsidRPr="00037AD4" w:rsidRDefault="00B54D51" w:rsidP="00401C67">
            <w:pPr>
              <w:widowControl w:val="0"/>
              <w:autoSpaceDE w:val="0"/>
              <w:autoSpaceDN w:val="0"/>
              <w:adjustRightInd w:val="0"/>
            </w:pPr>
          </w:p>
        </w:tc>
        <w:tc>
          <w:tcPr>
            <w:tcW w:w="0" w:type="auto"/>
            <w:tcBorders>
              <w:top w:val="nil"/>
              <w:left w:val="nil"/>
              <w:bottom w:val="nil"/>
              <w:right w:val="nil"/>
            </w:tcBorders>
          </w:tcPr>
          <w:p w14:paraId="7C07FCA4" w14:textId="77777777" w:rsidR="00B54D51" w:rsidRPr="00037AD4" w:rsidRDefault="00B54D51" w:rsidP="00401C67">
            <w:pPr>
              <w:widowControl w:val="0"/>
              <w:autoSpaceDE w:val="0"/>
              <w:autoSpaceDN w:val="0"/>
              <w:adjustRightInd w:val="0"/>
              <w:jc w:val="center"/>
            </w:pPr>
            <w:r w:rsidRPr="00037AD4">
              <w:t>(-0.446 - 0.091)</w:t>
            </w:r>
          </w:p>
        </w:tc>
        <w:tc>
          <w:tcPr>
            <w:tcW w:w="0" w:type="auto"/>
            <w:tcBorders>
              <w:top w:val="nil"/>
              <w:left w:val="nil"/>
              <w:bottom w:val="nil"/>
              <w:right w:val="nil"/>
            </w:tcBorders>
          </w:tcPr>
          <w:p w14:paraId="59741597"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556D1EFE"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564AC7A5"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0DD9E8D3" w14:textId="77777777" w:rsidR="00B54D51" w:rsidRPr="00037AD4" w:rsidRDefault="00B54D51" w:rsidP="00401C67">
            <w:pPr>
              <w:widowControl w:val="0"/>
              <w:autoSpaceDE w:val="0"/>
              <w:autoSpaceDN w:val="0"/>
              <w:adjustRightInd w:val="0"/>
              <w:jc w:val="center"/>
            </w:pPr>
          </w:p>
        </w:tc>
      </w:tr>
      <w:tr w:rsidR="00B54D51" w:rsidRPr="00037AD4" w14:paraId="2C972C06" w14:textId="77777777" w:rsidTr="00401C67">
        <w:trPr>
          <w:jc w:val="center"/>
        </w:trPr>
        <w:tc>
          <w:tcPr>
            <w:tcW w:w="0" w:type="auto"/>
            <w:tcBorders>
              <w:top w:val="nil"/>
              <w:left w:val="nil"/>
              <w:bottom w:val="nil"/>
              <w:right w:val="nil"/>
            </w:tcBorders>
          </w:tcPr>
          <w:p w14:paraId="67718D40" w14:textId="77777777" w:rsidR="00B54D51" w:rsidRPr="00037AD4" w:rsidRDefault="00B54D51" w:rsidP="00401C67">
            <w:pPr>
              <w:widowControl w:val="0"/>
              <w:autoSpaceDE w:val="0"/>
              <w:autoSpaceDN w:val="0"/>
              <w:adjustRightInd w:val="0"/>
            </w:pPr>
            <w:r w:rsidRPr="00037AD4">
              <w:t>3.eq2staff_</w:t>
            </w:r>
          </w:p>
        </w:tc>
        <w:tc>
          <w:tcPr>
            <w:tcW w:w="0" w:type="auto"/>
            <w:tcBorders>
              <w:top w:val="nil"/>
              <w:left w:val="nil"/>
              <w:bottom w:val="nil"/>
              <w:right w:val="nil"/>
            </w:tcBorders>
          </w:tcPr>
          <w:p w14:paraId="0A44D0C1" w14:textId="77777777" w:rsidR="00B54D51" w:rsidRPr="00037AD4" w:rsidRDefault="00B54D51" w:rsidP="00401C67">
            <w:pPr>
              <w:widowControl w:val="0"/>
              <w:autoSpaceDE w:val="0"/>
              <w:autoSpaceDN w:val="0"/>
              <w:adjustRightInd w:val="0"/>
              <w:jc w:val="center"/>
            </w:pPr>
            <w:r w:rsidRPr="00037AD4">
              <w:t>-0.386**</w:t>
            </w:r>
          </w:p>
        </w:tc>
        <w:tc>
          <w:tcPr>
            <w:tcW w:w="0" w:type="auto"/>
            <w:tcBorders>
              <w:top w:val="nil"/>
              <w:left w:val="nil"/>
              <w:bottom w:val="nil"/>
              <w:right w:val="nil"/>
            </w:tcBorders>
          </w:tcPr>
          <w:p w14:paraId="0D09434C"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37678384"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192D2EAE"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756486E0" w14:textId="77777777" w:rsidR="00B54D51" w:rsidRPr="00037AD4" w:rsidRDefault="00B54D51" w:rsidP="00401C67">
            <w:pPr>
              <w:widowControl w:val="0"/>
              <w:autoSpaceDE w:val="0"/>
              <w:autoSpaceDN w:val="0"/>
              <w:adjustRightInd w:val="0"/>
              <w:jc w:val="center"/>
            </w:pPr>
          </w:p>
        </w:tc>
      </w:tr>
      <w:tr w:rsidR="00B54D51" w:rsidRPr="00037AD4" w14:paraId="1C2543EE" w14:textId="77777777" w:rsidTr="00401C67">
        <w:trPr>
          <w:jc w:val="center"/>
        </w:trPr>
        <w:tc>
          <w:tcPr>
            <w:tcW w:w="0" w:type="auto"/>
            <w:tcBorders>
              <w:top w:val="nil"/>
              <w:left w:val="nil"/>
              <w:bottom w:val="nil"/>
              <w:right w:val="nil"/>
            </w:tcBorders>
          </w:tcPr>
          <w:p w14:paraId="3E80A457" w14:textId="77777777" w:rsidR="00B54D51" w:rsidRPr="00037AD4" w:rsidRDefault="00B54D51" w:rsidP="00401C67">
            <w:pPr>
              <w:widowControl w:val="0"/>
              <w:autoSpaceDE w:val="0"/>
              <w:autoSpaceDN w:val="0"/>
              <w:adjustRightInd w:val="0"/>
            </w:pPr>
          </w:p>
        </w:tc>
        <w:tc>
          <w:tcPr>
            <w:tcW w:w="0" w:type="auto"/>
            <w:tcBorders>
              <w:top w:val="nil"/>
              <w:left w:val="nil"/>
              <w:bottom w:val="nil"/>
              <w:right w:val="nil"/>
            </w:tcBorders>
          </w:tcPr>
          <w:p w14:paraId="682D865A" w14:textId="77777777" w:rsidR="00B54D51" w:rsidRPr="00037AD4" w:rsidRDefault="00B54D51" w:rsidP="00401C67">
            <w:pPr>
              <w:widowControl w:val="0"/>
              <w:autoSpaceDE w:val="0"/>
              <w:autoSpaceDN w:val="0"/>
              <w:adjustRightInd w:val="0"/>
              <w:jc w:val="center"/>
            </w:pPr>
            <w:r w:rsidRPr="00037AD4">
              <w:t>(-0.711 - -0.060)</w:t>
            </w:r>
          </w:p>
        </w:tc>
        <w:tc>
          <w:tcPr>
            <w:tcW w:w="0" w:type="auto"/>
            <w:tcBorders>
              <w:top w:val="nil"/>
              <w:left w:val="nil"/>
              <w:bottom w:val="nil"/>
              <w:right w:val="nil"/>
            </w:tcBorders>
          </w:tcPr>
          <w:p w14:paraId="3588285A"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4380CFA0"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3FA9F92D"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76C91B32" w14:textId="77777777" w:rsidR="00B54D51" w:rsidRPr="00037AD4" w:rsidRDefault="00B54D51" w:rsidP="00401C67">
            <w:pPr>
              <w:widowControl w:val="0"/>
              <w:autoSpaceDE w:val="0"/>
              <w:autoSpaceDN w:val="0"/>
              <w:adjustRightInd w:val="0"/>
              <w:jc w:val="center"/>
            </w:pPr>
          </w:p>
        </w:tc>
      </w:tr>
      <w:tr w:rsidR="00B54D51" w:rsidRPr="00037AD4" w14:paraId="75AF4848" w14:textId="77777777" w:rsidTr="00401C67">
        <w:trPr>
          <w:jc w:val="center"/>
        </w:trPr>
        <w:tc>
          <w:tcPr>
            <w:tcW w:w="0" w:type="auto"/>
            <w:tcBorders>
              <w:top w:val="nil"/>
              <w:left w:val="nil"/>
              <w:bottom w:val="nil"/>
              <w:right w:val="nil"/>
            </w:tcBorders>
          </w:tcPr>
          <w:p w14:paraId="5CABB130" w14:textId="77777777" w:rsidR="00B54D51" w:rsidRPr="00037AD4" w:rsidRDefault="00B54D51" w:rsidP="00401C67">
            <w:pPr>
              <w:widowControl w:val="0"/>
              <w:autoSpaceDE w:val="0"/>
              <w:autoSpaceDN w:val="0"/>
              <w:adjustRightInd w:val="0"/>
            </w:pPr>
            <w:r w:rsidRPr="00037AD4">
              <w:t>4.eq2staff_</w:t>
            </w:r>
          </w:p>
        </w:tc>
        <w:tc>
          <w:tcPr>
            <w:tcW w:w="0" w:type="auto"/>
            <w:tcBorders>
              <w:top w:val="nil"/>
              <w:left w:val="nil"/>
              <w:bottom w:val="nil"/>
              <w:right w:val="nil"/>
            </w:tcBorders>
          </w:tcPr>
          <w:p w14:paraId="41B97353" w14:textId="77777777" w:rsidR="00B54D51" w:rsidRPr="00037AD4" w:rsidRDefault="00B54D51" w:rsidP="00401C67">
            <w:pPr>
              <w:widowControl w:val="0"/>
              <w:autoSpaceDE w:val="0"/>
              <w:autoSpaceDN w:val="0"/>
              <w:adjustRightInd w:val="0"/>
              <w:jc w:val="center"/>
            </w:pPr>
            <w:r w:rsidRPr="00037AD4">
              <w:t>-0.472**</w:t>
            </w:r>
          </w:p>
        </w:tc>
        <w:tc>
          <w:tcPr>
            <w:tcW w:w="0" w:type="auto"/>
            <w:tcBorders>
              <w:top w:val="nil"/>
              <w:left w:val="nil"/>
              <w:bottom w:val="nil"/>
              <w:right w:val="nil"/>
            </w:tcBorders>
          </w:tcPr>
          <w:p w14:paraId="028A1EC8"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07CB9A27"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28E58631"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0859BCDE" w14:textId="77777777" w:rsidR="00B54D51" w:rsidRPr="00037AD4" w:rsidRDefault="00B54D51" w:rsidP="00401C67">
            <w:pPr>
              <w:widowControl w:val="0"/>
              <w:autoSpaceDE w:val="0"/>
              <w:autoSpaceDN w:val="0"/>
              <w:adjustRightInd w:val="0"/>
              <w:jc w:val="center"/>
            </w:pPr>
          </w:p>
        </w:tc>
      </w:tr>
      <w:tr w:rsidR="00B54D51" w:rsidRPr="00037AD4" w14:paraId="71758274" w14:textId="77777777" w:rsidTr="00401C67">
        <w:trPr>
          <w:jc w:val="center"/>
        </w:trPr>
        <w:tc>
          <w:tcPr>
            <w:tcW w:w="0" w:type="auto"/>
            <w:tcBorders>
              <w:top w:val="nil"/>
              <w:left w:val="nil"/>
              <w:bottom w:val="nil"/>
              <w:right w:val="nil"/>
            </w:tcBorders>
          </w:tcPr>
          <w:p w14:paraId="6074DA1E" w14:textId="77777777" w:rsidR="00B54D51" w:rsidRPr="00037AD4" w:rsidRDefault="00B54D51" w:rsidP="00401C67">
            <w:pPr>
              <w:widowControl w:val="0"/>
              <w:autoSpaceDE w:val="0"/>
              <w:autoSpaceDN w:val="0"/>
              <w:adjustRightInd w:val="0"/>
            </w:pPr>
          </w:p>
        </w:tc>
        <w:tc>
          <w:tcPr>
            <w:tcW w:w="0" w:type="auto"/>
            <w:tcBorders>
              <w:top w:val="nil"/>
              <w:left w:val="nil"/>
              <w:bottom w:val="nil"/>
              <w:right w:val="nil"/>
            </w:tcBorders>
          </w:tcPr>
          <w:p w14:paraId="7DE09EF7" w14:textId="77777777" w:rsidR="00B54D51" w:rsidRPr="00037AD4" w:rsidRDefault="00B54D51" w:rsidP="00401C67">
            <w:pPr>
              <w:widowControl w:val="0"/>
              <w:autoSpaceDE w:val="0"/>
              <w:autoSpaceDN w:val="0"/>
              <w:adjustRightInd w:val="0"/>
              <w:jc w:val="center"/>
            </w:pPr>
            <w:r w:rsidRPr="00037AD4">
              <w:t>(-0.925 - -0.019)</w:t>
            </w:r>
          </w:p>
        </w:tc>
        <w:tc>
          <w:tcPr>
            <w:tcW w:w="0" w:type="auto"/>
            <w:tcBorders>
              <w:top w:val="nil"/>
              <w:left w:val="nil"/>
              <w:bottom w:val="nil"/>
              <w:right w:val="nil"/>
            </w:tcBorders>
          </w:tcPr>
          <w:p w14:paraId="2D3F636A"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73D5B2BF"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68373009"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283AC3C7" w14:textId="77777777" w:rsidR="00B54D51" w:rsidRPr="00037AD4" w:rsidRDefault="00B54D51" w:rsidP="00401C67">
            <w:pPr>
              <w:widowControl w:val="0"/>
              <w:autoSpaceDE w:val="0"/>
              <w:autoSpaceDN w:val="0"/>
              <w:adjustRightInd w:val="0"/>
              <w:jc w:val="center"/>
            </w:pPr>
          </w:p>
        </w:tc>
      </w:tr>
      <w:tr w:rsidR="00B54D51" w:rsidRPr="00037AD4" w14:paraId="022B05D7" w14:textId="77777777" w:rsidTr="00401C67">
        <w:trPr>
          <w:jc w:val="center"/>
        </w:trPr>
        <w:tc>
          <w:tcPr>
            <w:tcW w:w="0" w:type="auto"/>
            <w:tcBorders>
              <w:top w:val="nil"/>
              <w:left w:val="nil"/>
              <w:bottom w:val="nil"/>
              <w:right w:val="nil"/>
            </w:tcBorders>
          </w:tcPr>
          <w:p w14:paraId="441AA230" w14:textId="77777777" w:rsidR="00B54D51" w:rsidRPr="00037AD4" w:rsidRDefault="00B54D51" w:rsidP="00401C67">
            <w:pPr>
              <w:widowControl w:val="0"/>
              <w:autoSpaceDE w:val="0"/>
              <w:autoSpaceDN w:val="0"/>
              <w:adjustRightInd w:val="0"/>
            </w:pPr>
            <w:r w:rsidRPr="00037AD4">
              <w:t>5.eq2staff_</w:t>
            </w:r>
          </w:p>
        </w:tc>
        <w:tc>
          <w:tcPr>
            <w:tcW w:w="0" w:type="auto"/>
            <w:tcBorders>
              <w:top w:val="nil"/>
              <w:left w:val="nil"/>
              <w:bottom w:val="nil"/>
              <w:right w:val="nil"/>
            </w:tcBorders>
          </w:tcPr>
          <w:p w14:paraId="4CCCE3A1" w14:textId="77777777" w:rsidR="00B54D51" w:rsidRPr="00037AD4" w:rsidRDefault="00B54D51" w:rsidP="00401C67">
            <w:pPr>
              <w:widowControl w:val="0"/>
              <w:autoSpaceDE w:val="0"/>
              <w:autoSpaceDN w:val="0"/>
              <w:adjustRightInd w:val="0"/>
              <w:jc w:val="center"/>
            </w:pPr>
            <w:r w:rsidRPr="00037AD4">
              <w:t>-0.465**</w:t>
            </w:r>
          </w:p>
        </w:tc>
        <w:tc>
          <w:tcPr>
            <w:tcW w:w="0" w:type="auto"/>
            <w:tcBorders>
              <w:top w:val="nil"/>
              <w:left w:val="nil"/>
              <w:bottom w:val="nil"/>
              <w:right w:val="nil"/>
            </w:tcBorders>
          </w:tcPr>
          <w:p w14:paraId="6B45694F"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60E5E306"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6E434999"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266B6C6B" w14:textId="77777777" w:rsidR="00B54D51" w:rsidRPr="00037AD4" w:rsidRDefault="00B54D51" w:rsidP="00401C67">
            <w:pPr>
              <w:widowControl w:val="0"/>
              <w:autoSpaceDE w:val="0"/>
              <w:autoSpaceDN w:val="0"/>
              <w:adjustRightInd w:val="0"/>
              <w:jc w:val="center"/>
            </w:pPr>
          </w:p>
        </w:tc>
      </w:tr>
      <w:tr w:rsidR="00B54D51" w:rsidRPr="00037AD4" w14:paraId="7184C017" w14:textId="77777777" w:rsidTr="00401C67">
        <w:trPr>
          <w:jc w:val="center"/>
        </w:trPr>
        <w:tc>
          <w:tcPr>
            <w:tcW w:w="0" w:type="auto"/>
            <w:tcBorders>
              <w:top w:val="nil"/>
              <w:left w:val="nil"/>
              <w:bottom w:val="nil"/>
              <w:right w:val="nil"/>
            </w:tcBorders>
          </w:tcPr>
          <w:p w14:paraId="478BA8BA" w14:textId="77777777" w:rsidR="00B54D51" w:rsidRPr="00037AD4" w:rsidRDefault="00B54D51" w:rsidP="00401C67">
            <w:pPr>
              <w:widowControl w:val="0"/>
              <w:autoSpaceDE w:val="0"/>
              <w:autoSpaceDN w:val="0"/>
              <w:adjustRightInd w:val="0"/>
            </w:pPr>
          </w:p>
        </w:tc>
        <w:tc>
          <w:tcPr>
            <w:tcW w:w="0" w:type="auto"/>
            <w:tcBorders>
              <w:top w:val="nil"/>
              <w:left w:val="nil"/>
              <w:bottom w:val="nil"/>
              <w:right w:val="nil"/>
            </w:tcBorders>
          </w:tcPr>
          <w:p w14:paraId="53D4B413" w14:textId="77777777" w:rsidR="00B54D51" w:rsidRPr="00037AD4" w:rsidRDefault="00B54D51" w:rsidP="00401C67">
            <w:pPr>
              <w:widowControl w:val="0"/>
              <w:autoSpaceDE w:val="0"/>
              <w:autoSpaceDN w:val="0"/>
              <w:adjustRightInd w:val="0"/>
              <w:jc w:val="center"/>
            </w:pPr>
            <w:r w:rsidRPr="00037AD4">
              <w:t>(-0.823 - -0.107)</w:t>
            </w:r>
          </w:p>
        </w:tc>
        <w:tc>
          <w:tcPr>
            <w:tcW w:w="0" w:type="auto"/>
            <w:tcBorders>
              <w:top w:val="nil"/>
              <w:left w:val="nil"/>
              <w:bottom w:val="nil"/>
              <w:right w:val="nil"/>
            </w:tcBorders>
          </w:tcPr>
          <w:p w14:paraId="220D18D7"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6B7EC512"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795B42FD"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3D25E310" w14:textId="77777777" w:rsidR="00B54D51" w:rsidRPr="00037AD4" w:rsidRDefault="00B54D51" w:rsidP="00401C67">
            <w:pPr>
              <w:widowControl w:val="0"/>
              <w:autoSpaceDE w:val="0"/>
              <w:autoSpaceDN w:val="0"/>
              <w:adjustRightInd w:val="0"/>
              <w:jc w:val="center"/>
            </w:pPr>
          </w:p>
        </w:tc>
      </w:tr>
      <w:tr w:rsidR="00B54D51" w:rsidRPr="00037AD4" w14:paraId="2267CE6B" w14:textId="77777777" w:rsidTr="00401C67">
        <w:trPr>
          <w:jc w:val="center"/>
        </w:trPr>
        <w:tc>
          <w:tcPr>
            <w:tcW w:w="0" w:type="auto"/>
            <w:tcBorders>
              <w:top w:val="nil"/>
              <w:left w:val="nil"/>
              <w:bottom w:val="nil"/>
              <w:right w:val="nil"/>
            </w:tcBorders>
          </w:tcPr>
          <w:p w14:paraId="0CCA260C" w14:textId="77777777" w:rsidR="00B54D51" w:rsidRPr="00037AD4" w:rsidRDefault="00B54D51" w:rsidP="00401C67">
            <w:pPr>
              <w:widowControl w:val="0"/>
              <w:autoSpaceDE w:val="0"/>
              <w:autoSpaceDN w:val="0"/>
              <w:adjustRightInd w:val="0"/>
            </w:pPr>
            <w:r w:rsidRPr="00037AD4">
              <w:t>2.eq3staff_</w:t>
            </w:r>
          </w:p>
        </w:tc>
        <w:tc>
          <w:tcPr>
            <w:tcW w:w="0" w:type="auto"/>
            <w:tcBorders>
              <w:top w:val="nil"/>
              <w:left w:val="nil"/>
              <w:bottom w:val="nil"/>
              <w:right w:val="nil"/>
            </w:tcBorders>
          </w:tcPr>
          <w:p w14:paraId="42225F38" w14:textId="77777777" w:rsidR="00B54D51" w:rsidRPr="00037AD4" w:rsidRDefault="00B54D51" w:rsidP="00401C67">
            <w:pPr>
              <w:widowControl w:val="0"/>
              <w:autoSpaceDE w:val="0"/>
              <w:autoSpaceDN w:val="0"/>
              <w:adjustRightInd w:val="0"/>
              <w:jc w:val="center"/>
            </w:pPr>
            <w:r w:rsidRPr="00037AD4">
              <w:t>0.053</w:t>
            </w:r>
          </w:p>
        </w:tc>
        <w:tc>
          <w:tcPr>
            <w:tcW w:w="0" w:type="auto"/>
            <w:tcBorders>
              <w:top w:val="nil"/>
              <w:left w:val="nil"/>
              <w:bottom w:val="nil"/>
              <w:right w:val="nil"/>
            </w:tcBorders>
          </w:tcPr>
          <w:p w14:paraId="3BABBE69"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46B49E88"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1A329FD3"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232A2205" w14:textId="77777777" w:rsidR="00B54D51" w:rsidRPr="00037AD4" w:rsidRDefault="00B54D51" w:rsidP="00401C67">
            <w:pPr>
              <w:widowControl w:val="0"/>
              <w:autoSpaceDE w:val="0"/>
              <w:autoSpaceDN w:val="0"/>
              <w:adjustRightInd w:val="0"/>
              <w:jc w:val="center"/>
            </w:pPr>
          </w:p>
        </w:tc>
      </w:tr>
      <w:tr w:rsidR="00B54D51" w:rsidRPr="00037AD4" w14:paraId="43394B68" w14:textId="77777777" w:rsidTr="00401C67">
        <w:trPr>
          <w:jc w:val="center"/>
        </w:trPr>
        <w:tc>
          <w:tcPr>
            <w:tcW w:w="0" w:type="auto"/>
            <w:tcBorders>
              <w:top w:val="nil"/>
              <w:left w:val="nil"/>
              <w:bottom w:val="nil"/>
              <w:right w:val="nil"/>
            </w:tcBorders>
          </w:tcPr>
          <w:p w14:paraId="0366A5FB" w14:textId="77777777" w:rsidR="00B54D51" w:rsidRPr="00037AD4" w:rsidRDefault="00B54D51" w:rsidP="00401C67">
            <w:pPr>
              <w:widowControl w:val="0"/>
              <w:autoSpaceDE w:val="0"/>
              <w:autoSpaceDN w:val="0"/>
              <w:adjustRightInd w:val="0"/>
            </w:pPr>
          </w:p>
        </w:tc>
        <w:tc>
          <w:tcPr>
            <w:tcW w:w="0" w:type="auto"/>
            <w:tcBorders>
              <w:top w:val="nil"/>
              <w:left w:val="nil"/>
              <w:bottom w:val="nil"/>
              <w:right w:val="nil"/>
            </w:tcBorders>
          </w:tcPr>
          <w:p w14:paraId="13FA5020" w14:textId="77777777" w:rsidR="00B54D51" w:rsidRPr="00037AD4" w:rsidRDefault="00B54D51" w:rsidP="00401C67">
            <w:pPr>
              <w:widowControl w:val="0"/>
              <w:autoSpaceDE w:val="0"/>
              <w:autoSpaceDN w:val="0"/>
              <w:adjustRightInd w:val="0"/>
              <w:jc w:val="center"/>
            </w:pPr>
            <w:r w:rsidRPr="00037AD4">
              <w:t>(-0.254 - 0.359)</w:t>
            </w:r>
          </w:p>
        </w:tc>
        <w:tc>
          <w:tcPr>
            <w:tcW w:w="0" w:type="auto"/>
            <w:tcBorders>
              <w:top w:val="nil"/>
              <w:left w:val="nil"/>
              <w:bottom w:val="nil"/>
              <w:right w:val="nil"/>
            </w:tcBorders>
          </w:tcPr>
          <w:p w14:paraId="04E0891C"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34F8B477"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44300309"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00F146E4" w14:textId="77777777" w:rsidR="00B54D51" w:rsidRPr="00037AD4" w:rsidRDefault="00B54D51" w:rsidP="00401C67">
            <w:pPr>
              <w:widowControl w:val="0"/>
              <w:autoSpaceDE w:val="0"/>
              <w:autoSpaceDN w:val="0"/>
              <w:adjustRightInd w:val="0"/>
              <w:jc w:val="center"/>
            </w:pPr>
          </w:p>
        </w:tc>
      </w:tr>
      <w:tr w:rsidR="00B54D51" w:rsidRPr="00037AD4" w14:paraId="7191638F" w14:textId="77777777" w:rsidTr="00401C67">
        <w:trPr>
          <w:jc w:val="center"/>
        </w:trPr>
        <w:tc>
          <w:tcPr>
            <w:tcW w:w="0" w:type="auto"/>
            <w:tcBorders>
              <w:top w:val="nil"/>
              <w:left w:val="nil"/>
              <w:bottom w:val="nil"/>
              <w:right w:val="nil"/>
            </w:tcBorders>
          </w:tcPr>
          <w:p w14:paraId="080E9F91" w14:textId="77777777" w:rsidR="00B54D51" w:rsidRPr="00037AD4" w:rsidRDefault="00B54D51" w:rsidP="00401C67">
            <w:pPr>
              <w:widowControl w:val="0"/>
              <w:autoSpaceDE w:val="0"/>
              <w:autoSpaceDN w:val="0"/>
              <w:adjustRightInd w:val="0"/>
            </w:pPr>
            <w:r w:rsidRPr="00037AD4">
              <w:t>3.eq3staff_</w:t>
            </w:r>
          </w:p>
        </w:tc>
        <w:tc>
          <w:tcPr>
            <w:tcW w:w="0" w:type="auto"/>
            <w:tcBorders>
              <w:top w:val="nil"/>
              <w:left w:val="nil"/>
              <w:bottom w:val="nil"/>
              <w:right w:val="nil"/>
            </w:tcBorders>
          </w:tcPr>
          <w:p w14:paraId="340C20E5" w14:textId="77777777" w:rsidR="00B54D51" w:rsidRPr="00037AD4" w:rsidRDefault="00B54D51" w:rsidP="00401C67">
            <w:pPr>
              <w:widowControl w:val="0"/>
              <w:autoSpaceDE w:val="0"/>
              <w:autoSpaceDN w:val="0"/>
              <w:adjustRightInd w:val="0"/>
              <w:jc w:val="center"/>
            </w:pPr>
            <w:r w:rsidRPr="00037AD4">
              <w:t>0.189</w:t>
            </w:r>
          </w:p>
        </w:tc>
        <w:tc>
          <w:tcPr>
            <w:tcW w:w="0" w:type="auto"/>
            <w:tcBorders>
              <w:top w:val="nil"/>
              <w:left w:val="nil"/>
              <w:bottom w:val="nil"/>
              <w:right w:val="nil"/>
            </w:tcBorders>
          </w:tcPr>
          <w:p w14:paraId="5056B2E7"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291A2D39"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6C45AD5C"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48189177" w14:textId="77777777" w:rsidR="00B54D51" w:rsidRPr="00037AD4" w:rsidRDefault="00B54D51" w:rsidP="00401C67">
            <w:pPr>
              <w:widowControl w:val="0"/>
              <w:autoSpaceDE w:val="0"/>
              <w:autoSpaceDN w:val="0"/>
              <w:adjustRightInd w:val="0"/>
              <w:jc w:val="center"/>
            </w:pPr>
          </w:p>
        </w:tc>
      </w:tr>
      <w:tr w:rsidR="00B54D51" w:rsidRPr="00037AD4" w14:paraId="5E1F9994" w14:textId="77777777" w:rsidTr="00401C67">
        <w:trPr>
          <w:jc w:val="center"/>
        </w:trPr>
        <w:tc>
          <w:tcPr>
            <w:tcW w:w="0" w:type="auto"/>
            <w:tcBorders>
              <w:top w:val="nil"/>
              <w:left w:val="nil"/>
              <w:bottom w:val="nil"/>
              <w:right w:val="nil"/>
            </w:tcBorders>
          </w:tcPr>
          <w:p w14:paraId="71A56347" w14:textId="77777777" w:rsidR="00B54D51" w:rsidRPr="00037AD4" w:rsidRDefault="00B54D51" w:rsidP="00401C67">
            <w:pPr>
              <w:widowControl w:val="0"/>
              <w:autoSpaceDE w:val="0"/>
              <w:autoSpaceDN w:val="0"/>
              <w:adjustRightInd w:val="0"/>
            </w:pPr>
          </w:p>
        </w:tc>
        <w:tc>
          <w:tcPr>
            <w:tcW w:w="0" w:type="auto"/>
            <w:tcBorders>
              <w:top w:val="nil"/>
              <w:left w:val="nil"/>
              <w:bottom w:val="nil"/>
              <w:right w:val="nil"/>
            </w:tcBorders>
          </w:tcPr>
          <w:p w14:paraId="70DE7E38" w14:textId="77777777" w:rsidR="00B54D51" w:rsidRPr="00037AD4" w:rsidRDefault="00B54D51" w:rsidP="00401C67">
            <w:pPr>
              <w:widowControl w:val="0"/>
              <w:autoSpaceDE w:val="0"/>
              <w:autoSpaceDN w:val="0"/>
              <w:adjustRightInd w:val="0"/>
              <w:jc w:val="center"/>
            </w:pPr>
            <w:r w:rsidRPr="00037AD4">
              <w:t>(-0.191 - 0.568)</w:t>
            </w:r>
          </w:p>
        </w:tc>
        <w:tc>
          <w:tcPr>
            <w:tcW w:w="0" w:type="auto"/>
            <w:tcBorders>
              <w:top w:val="nil"/>
              <w:left w:val="nil"/>
              <w:bottom w:val="nil"/>
              <w:right w:val="nil"/>
            </w:tcBorders>
          </w:tcPr>
          <w:p w14:paraId="229D2C0C"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02AF8C06"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239B767B"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1E1D1E49" w14:textId="77777777" w:rsidR="00B54D51" w:rsidRPr="00037AD4" w:rsidRDefault="00B54D51" w:rsidP="00401C67">
            <w:pPr>
              <w:widowControl w:val="0"/>
              <w:autoSpaceDE w:val="0"/>
              <w:autoSpaceDN w:val="0"/>
              <w:adjustRightInd w:val="0"/>
              <w:jc w:val="center"/>
            </w:pPr>
          </w:p>
        </w:tc>
      </w:tr>
      <w:tr w:rsidR="00B54D51" w:rsidRPr="00037AD4" w14:paraId="27F987DA" w14:textId="77777777" w:rsidTr="00401C67">
        <w:trPr>
          <w:jc w:val="center"/>
        </w:trPr>
        <w:tc>
          <w:tcPr>
            <w:tcW w:w="0" w:type="auto"/>
            <w:tcBorders>
              <w:top w:val="nil"/>
              <w:left w:val="nil"/>
              <w:bottom w:val="nil"/>
              <w:right w:val="nil"/>
            </w:tcBorders>
          </w:tcPr>
          <w:p w14:paraId="7D53B268" w14:textId="77777777" w:rsidR="00B54D51" w:rsidRPr="00037AD4" w:rsidRDefault="00B54D51" w:rsidP="00401C67">
            <w:pPr>
              <w:widowControl w:val="0"/>
              <w:autoSpaceDE w:val="0"/>
              <w:autoSpaceDN w:val="0"/>
              <w:adjustRightInd w:val="0"/>
            </w:pPr>
            <w:r w:rsidRPr="00037AD4">
              <w:t>4.eq3staff_</w:t>
            </w:r>
          </w:p>
        </w:tc>
        <w:tc>
          <w:tcPr>
            <w:tcW w:w="0" w:type="auto"/>
            <w:tcBorders>
              <w:top w:val="nil"/>
              <w:left w:val="nil"/>
              <w:bottom w:val="nil"/>
              <w:right w:val="nil"/>
            </w:tcBorders>
          </w:tcPr>
          <w:p w14:paraId="0EF0325A" w14:textId="77777777" w:rsidR="00B54D51" w:rsidRPr="00037AD4" w:rsidRDefault="00B54D51" w:rsidP="00401C67">
            <w:pPr>
              <w:widowControl w:val="0"/>
              <w:autoSpaceDE w:val="0"/>
              <w:autoSpaceDN w:val="0"/>
              <w:adjustRightInd w:val="0"/>
              <w:jc w:val="center"/>
            </w:pPr>
            <w:r w:rsidRPr="00037AD4">
              <w:t>0.376</w:t>
            </w:r>
          </w:p>
        </w:tc>
        <w:tc>
          <w:tcPr>
            <w:tcW w:w="0" w:type="auto"/>
            <w:tcBorders>
              <w:top w:val="nil"/>
              <w:left w:val="nil"/>
              <w:bottom w:val="nil"/>
              <w:right w:val="nil"/>
            </w:tcBorders>
          </w:tcPr>
          <w:p w14:paraId="2FC84FD5"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32AB6D81"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7594C082"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66AA227A" w14:textId="77777777" w:rsidR="00B54D51" w:rsidRPr="00037AD4" w:rsidRDefault="00B54D51" w:rsidP="00401C67">
            <w:pPr>
              <w:widowControl w:val="0"/>
              <w:autoSpaceDE w:val="0"/>
              <w:autoSpaceDN w:val="0"/>
              <w:adjustRightInd w:val="0"/>
              <w:jc w:val="center"/>
            </w:pPr>
          </w:p>
        </w:tc>
      </w:tr>
      <w:tr w:rsidR="00B54D51" w:rsidRPr="00037AD4" w14:paraId="01C563C8" w14:textId="77777777" w:rsidTr="00401C67">
        <w:trPr>
          <w:jc w:val="center"/>
        </w:trPr>
        <w:tc>
          <w:tcPr>
            <w:tcW w:w="0" w:type="auto"/>
            <w:tcBorders>
              <w:top w:val="nil"/>
              <w:left w:val="nil"/>
              <w:bottom w:val="nil"/>
              <w:right w:val="nil"/>
            </w:tcBorders>
          </w:tcPr>
          <w:p w14:paraId="2ADD6E65" w14:textId="77777777" w:rsidR="00B54D51" w:rsidRPr="00037AD4" w:rsidRDefault="00B54D51" w:rsidP="00401C67">
            <w:pPr>
              <w:widowControl w:val="0"/>
              <w:autoSpaceDE w:val="0"/>
              <w:autoSpaceDN w:val="0"/>
              <w:adjustRightInd w:val="0"/>
            </w:pPr>
          </w:p>
        </w:tc>
        <w:tc>
          <w:tcPr>
            <w:tcW w:w="0" w:type="auto"/>
            <w:tcBorders>
              <w:top w:val="nil"/>
              <w:left w:val="nil"/>
              <w:bottom w:val="nil"/>
              <w:right w:val="nil"/>
            </w:tcBorders>
          </w:tcPr>
          <w:p w14:paraId="0BE0D503" w14:textId="77777777" w:rsidR="00B54D51" w:rsidRPr="00037AD4" w:rsidRDefault="00B54D51" w:rsidP="00401C67">
            <w:pPr>
              <w:widowControl w:val="0"/>
              <w:autoSpaceDE w:val="0"/>
              <w:autoSpaceDN w:val="0"/>
              <w:adjustRightInd w:val="0"/>
              <w:jc w:val="center"/>
            </w:pPr>
            <w:r w:rsidRPr="00037AD4">
              <w:t>(-0.230 - 0.982)</w:t>
            </w:r>
          </w:p>
        </w:tc>
        <w:tc>
          <w:tcPr>
            <w:tcW w:w="0" w:type="auto"/>
            <w:tcBorders>
              <w:top w:val="nil"/>
              <w:left w:val="nil"/>
              <w:bottom w:val="nil"/>
              <w:right w:val="nil"/>
            </w:tcBorders>
          </w:tcPr>
          <w:p w14:paraId="4B589008"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1F9A68BC"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01B0C85F"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76039058" w14:textId="77777777" w:rsidR="00B54D51" w:rsidRPr="00037AD4" w:rsidRDefault="00B54D51" w:rsidP="00401C67">
            <w:pPr>
              <w:widowControl w:val="0"/>
              <w:autoSpaceDE w:val="0"/>
              <w:autoSpaceDN w:val="0"/>
              <w:adjustRightInd w:val="0"/>
              <w:jc w:val="center"/>
            </w:pPr>
          </w:p>
        </w:tc>
      </w:tr>
      <w:tr w:rsidR="00B54D51" w:rsidRPr="00037AD4" w14:paraId="294ABFC2" w14:textId="77777777" w:rsidTr="00401C67">
        <w:trPr>
          <w:jc w:val="center"/>
        </w:trPr>
        <w:tc>
          <w:tcPr>
            <w:tcW w:w="0" w:type="auto"/>
            <w:tcBorders>
              <w:top w:val="nil"/>
              <w:left w:val="nil"/>
              <w:bottom w:val="nil"/>
              <w:right w:val="nil"/>
            </w:tcBorders>
          </w:tcPr>
          <w:p w14:paraId="0C9191C1" w14:textId="77777777" w:rsidR="00B54D51" w:rsidRPr="00037AD4" w:rsidRDefault="00B54D51" w:rsidP="00401C67">
            <w:pPr>
              <w:widowControl w:val="0"/>
              <w:autoSpaceDE w:val="0"/>
              <w:autoSpaceDN w:val="0"/>
              <w:adjustRightInd w:val="0"/>
            </w:pPr>
            <w:r w:rsidRPr="00037AD4">
              <w:lastRenderedPageBreak/>
              <w:t>5.eq3staff_</w:t>
            </w:r>
          </w:p>
        </w:tc>
        <w:tc>
          <w:tcPr>
            <w:tcW w:w="0" w:type="auto"/>
            <w:tcBorders>
              <w:top w:val="nil"/>
              <w:left w:val="nil"/>
              <w:bottom w:val="nil"/>
              <w:right w:val="nil"/>
            </w:tcBorders>
          </w:tcPr>
          <w:p w14:paraId="47913F07" w14:textId="77777777" w:rsidR="00B54D51" w:rsidRPr="00037AD4" w:rsidRDefault="00B54D51" w:rsidP="00401C67">
            <w:pPr>
              <w:widowControl w:val="0"/>
              <w:autoSpaceDE w:val="0"/>
              <w:autoSpaceDN w:val="0"/>
              <w:adjustRightInd w:val="0"/>
              <w:jc w:val="center"/>
            </w:pPr>
            <w:r w:rsidRPr="00037AD4">
              <w:t>0.324</w:t>
            </w:r>
          </w:p>
        </w:tc>
        <w:tc>
          <w:tcPr>
            <w:tcW w:w="0" w:type="auto"/>
            <w:tcBorders>
              <w:top w:val="nil"/>
              <w:left w:val="nil"/>
              <w:bottom w:val="nil"/>
              <w:right w:val="nil"/>
            </w:tcBorders>
          </w:tcPr>
          <w:p w14:paraId="2A2BDCEE"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6FC76881"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50011918"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552C8DDA" w14:textId="77777777" w:rsidR="00B54D51" w:rsidRPr="00037AD4" w:rsidRDefault="00B54D51" w:rsidP="00401C67">
            <w:pPr>
              <w:widowControl w:val="0"/>
              <w:autoSpaceDE w:val="0"/>
              <w:autoSpaceDN w:val="0"/>
              <w:adjustRightInd w:val="0"/>
              <w:jc w:val="center"/>
            </w:pPr>
          </w:p>
        </w:tc>
      </w:tr>
      <w:tr w:rsidR="00B54D51" w:rsidRPr="00037AD4" w14:paraId="019F1461" w14:textId="77777777" w:rsidTr="00401C67">
        <w:trPr>
          <w:jc w:val="center"/>
        </w:trPr>
        <w:tc>
          <w:tcPr>
            <w:tcW w:w="0" w:type="auto"/>
            <w:tcBorders>
              <w:top w:val="nil"/>
              <w:left w:val="nil"/>
              <w:bottom w:val="nil"/>
              <w:right w:val="nil"/>
            </w:tcBorders>
          </w:tcPr>
          <w:p w14:paraId="33AB4DF8" w14:textId="77777777" w:rsidR="00B54D51" w:rsidRPr="00037AD4" w:rsidRDefault="00B54D51" w:rsidP="00401C67">
            <w:pPr>
              <w:widowControl w:val="0"/>
              <w:autoSpaceDE w:val="0"/>
              <w:autoSpaceDN w:val="0"/>
              <w:adjustRightInd w:val="0"/>
            </w:pPr>
          </w:p>
        </w:tc>
        <w:tc>
          <w:tcPr>
            <w:tcW w:w="0" w:type="auto"/>
            <w:tcBorders>
              <w:top w:val="nil"/>
              <w:left w:val="nil"/>
              <w:bottom w:val="nil"/>
              <w:right w:val="nil"/>
            </w:tcBorders>
          </w:tcPr>
          <w:p w14:paraId="4DDAEA6D" w14:textId="77777777" w:rsidR="00B54D51" w:rsidRPr="00037AD4" w:rsidRDefault="00B54D51" w:rsidP="00401C67">
            <w:pPr>
              <w:widowControl w:val="0"/>
              <w:autoSpaceDE w:val="0"/>
              <w:autoSpaceDN w:val="0"/>
              <w:adjustRightInd w:val="0"/>
              <w:jc w:val="center"/>
            </w:pPr>
            <w:r w:rsidRPr="00037AD4">
              <w:t>(-0.168 - 0.816)</w:t>
            </w:r>
          </w:p>
        </w:tc>
        <w:tc>
          <w:tcPr>
            <w:tcW w:w="0" w:type="auto"/>
            <w:tcBorders>
              <w:top w:val="nil"/>
              <w:left w:val="nil"/>
              <w:bottom w:val="nil"/>
              <w:right w:val="nil"/>
            </w:tcBorders>
          </w:tcPr>
          <w:p w14:paraId="62602E70"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1EE26C89"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6F6A822F"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64112AAD" w14:textId="77777777" w:rsidR="00B54D51" w:rsidRPr="00037AD4" w:rsidRDefault="00B54D51" w:rsidP="00401C67">
            <w:pPr>
              <w:widowControl w:val="0"/>
              <w:autoSpaceDE w:val="0"/>
              <w:autoSpaceDN w:val="0"/>
              <w:adjustRightInd w:val="0"/>
              <w:jc w:val="center"/>
            </w:pPr>
          </w:p>
        </w:tc>
      </w:tr>
      <w:tr w:rsidR="00B54D51" w:rsidRPr="00037AD4" w14:paraId="4B584B4E" w14:textId="77777777" w:rsidTr="00401C67">
        <w:trPr>
          <w:jc w:val="center"/>
        </w:trPr>
        <w:tc>
          <w:tcPr>
            <w:tcW w:w="0" w:type="auto"/>
            <w:tcBorders>
              <w:top w:val="nil"/>
              <w:left w:val="nil"/>
              <w:bottom w:val="nil"/>
              <w:right w:val="nil"/>
            </w:tcBorders>
          </w:tcPr>
          <w:p w14:paraId="4EDD856F" w14:textId="77777777" w:rsidR="00B54D51" w:rsidRPr="00037AD4" w:rsidRDefault="00B54D51" w:rsidP="00401C67">
            <w:pPr>
              <w:widowControl w:val="0"/>
              <w:autoSpaceDE w:val="0"/>
              <w:autoSpaceDN w:val="0"/>
              <w:adjustRightInd w:val="0"/>
            </w:pPr>
            <w:r w:rsidRPr="00037AD4">
              <w:t>2.eq4staff_</w:t>
            </w:r>
          </w:p>
        </w:tc>
        <w:tc>
          <w:tcPr>
            <w:tcW w:w="0" w:type="auto"/>
            <w:tcBorders>
              <w:top w:val="nil"/>
              <w:left w:val="nil"/>
              <w:bottom w:val="nil"/>
              <w:right w:val="nil"/>
            </w:tcBorders>
          </w:tcPr>
          <w:p w14:paraId="2354D602" w14:textId="77777777" w:rsidR="00B54D51" w:rsidRPr="00037AD4" w:rsidRDefault="00B54D51" w:rsidP="00401C67">
            <w:pPr>
              <w:widowControl w:val="0"/>
              <w:autoSpaceDE w:val="0"/>
              <w:autoSpaceDN w:val="0"/>
              <w:adjustRightInd w:val="0"/>
              <w:jc w:val="center"/>
            </w:pPr>
            <w:r w:rsidRPr="00037AD4">
              <w:t>-0.128</w:t>
            </w:r>
          </w:p>
        </w:tc>
        <w:tc>
          <w:tcPr>
            <w:tcW w:w="0" w:type="auto"/>
            <w:tcBorders>
              <w:top w:val="nil"/>
              <w:left w:val="nil"/>
              <w:bottom w:val="nil"/>
              <w:right w:val="nil"/>
            </w:tcBorders>
          </w:tcPr>
          <w:p w14:paraId="08A2D223"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69644029"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45FE4E9E"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481AE88D" w14:textId="77777777" w:rsidR="00B54D51" w:rsidRPr="00037AD4" w:rsidRDefault="00B54D51" w:rsidP="00401C67">
            <w:pPr>
              <w:widowControl w:val="0"/>
              <w:autoSpaceDE w:val="0"/>
              <w:autoSpaceDN w:val="0"/>
              <w:adjustRightInd w:val="0"/>
              <w:jc w:val="center"/>
            </w:pPr>
          </w:p>
        </w:tc>
      </w:tr>
      <w:tr w:rsidR="00B54D51" w:rsidRPr="00037AD4" w14:paraId="1D9BEB43" w14:textId="77777777" w:rsidTr="00401C67">
        <w:trPr>
          <w:jc w:val="center"/>
        </w:trPr>
        <w:tc>
          <w:tcPr>
            <w:tcW w:w="0" w:type="auto"/>
            <w:tcBorders>
              <w:top w:val="nil"/>
              <w:left w:val="nil"/>
              <w:bottom w:val="nil"/>
              <w:right w:val="nil"/>
            </w:tcBorders>
          </w:tcPr>
          <w:p w14:paraId="154DC043" w14:textId="77777777" w:rsidR="00B54D51" w:rsidRPr="00037AD4" w:rsidRDefault="00B54D51" w:rsidP="00401C67">
            <w:pPr>
              <w:widowControl w:val="0"/>
              <w:autoSpaceDE w:val="0"/>
              <w:autoSpaceDN w:val="0"/>
              <w:adjustRightInd w:val="0"/>
            </w:pPr>
          </w:p>
        </w:tc>
        <w:tc>
          <w:tcPr>
            <w:tcW w:w="0" w:type="auto"/>
            <w:tcBorders>
              <w:top w:val="nil"/>
              <w:left w:val="nil"/>
              <w:bottom w:val="nil"/>
              <w:right w:val="nil"/>
            </w:tcBorders>
          </w:tcPr>
          <w:p w14:paraId="62D58468" w14:textId="77777777" w:rsidR="00B54D51" w:rsidRPr="00037AD4" w:rsidRDefault="00B54D51" w:rsidP="00401C67">
            <w:pPr>
              <w:widowControl w:val="0"/>
              <w:autoSpaceDE w:val="0"/>
              <w:autoSpaceDN w:val="0"/>
              <w:adjustRightInd w:val="0"/>
              <w:jc w:val="center"/>
            </w:pPr>
            <w:r w:rsidRPr="00037AD4">
              <w:t>(-0.428 - 0.173)</w:t>
            </w:r>
          </w:p>
        </w:tc>
        <w:tc>
          <w:tcPr>
            <w:tcW w:w="0" w:type="auto"/>
            <w:tcBorders>
              <w:top w:val="nil"/>
              <w:left w:val="nil"/>
              <w:bottom w:val="nil"/>
              <w:right w:val="nil"/>
            </w:tcBorders>
          </w:tcPr>
          <w:p w14:paraId="34458138"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697B0959"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30228A87"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382925CD" w14:textId="77777777" w:rsidR="00B54D51" w:rsidRPr="00037AD4" w:rsidRDefault="00B54D51" w:rsidP="00401C67">
            <w:pPr>
              <w:widowControl w:val="0"/>
              <w:autoSpaceDE w:val="0"/>
              <w:autoSpaceDN w:val="0"/>
              <w:adjustRightInd w:val="0"/>
              <w:jc w:val="center"/>
            </w:pPr>
          </w:p>
        </w:tc>
      </w:tr>
      <w:tr w:rsidR="00B54D51" w:rsidRPr="00037AD4" w14:paraId="037BDCD9" w14:textId="77777777" w:rsidTr="00401C67">
        <w:trPr>
          <w:jc w:val="center"/>
        </w:trPr>
        <w:tc>
          <w:tcPr>
            <w:tcW w:w="0" w:type="auto"/>
            <w:tcBorders>
              <w:top w:val="nil"/>
              <w:left w:val="nil"/>
              <w:bottom w:val="nil"/>
              <w:right w:val="nil"/>
            </w:tcBorders>
          </w:tcPr>
          <w:p w14:paraId="019D2F41" w14:textId="77777777" w:rsidR="00B54D51" w:rsidRPr="00037AD4" w:rsidRDefault="00B54D51" w:rsidP="00401C67">
            <w:pPr>
              <w:widowControl w:val="0"/>
              <w:autoSpaceDE w:val="0"/>
              <w:autoSpaceDN w:val="0"/>
              <w:adjustRightInd w:val="0"/>
            </w:pPr>
            <w:r w:rsidRPr="00037AD4">
              <w:t>3.eq4staff_</w:t>
            </w:r>
          </w:p>
        </w:tc>
        <w:tc>
          <w:tcPr>
            <w:tcW w:w="0" w:type="auto"/>
            <w:tcBorders>
              <w:top w:val="nil"/>
              <w:left w:val="nil"/>
              <w:bottom w:val="nil"/>
              <w:right w:val="nil"/>
            </w:tcBorders>
          </w:tcPr>
          <w:p w14:paraId="062A6FCA" w14:textId="77777777" w:rsidR="00B54D51" w:rsidRPr="00037AD4" w:rsidRDefault="00B54D51" w:rsidP="00401C67">
            <w:pPr>
              <w:widowControl w:val="0"/>
              <w:autoSpaceDE w:val="0"/>
              <w:autoSpaceDN w:val="0"/>
              <w:adjustRightInd w:val="0"/>
              <w:jc w:val="center"/>
            </w:pPr>
            <w:r w:rsidRPr="00037AD4">
              <w:t>0.014</w:t>
            </w:r>
          </w:p>
        </w:tc>
        <w:tc>
          <w:tcPr>
            <w:tcW w:w="0" w:type="auto"/>
            <w:tcBorders>
              <w:top w:val="nil"/>
              <w:left w:val="nil"/>
              <w:bottom w:val="nil"/>
              <w:right w:val="nil"/>
            </w:tcBorders>
          </w:tcPr>
          <w:p w14:paraId="250F3B14"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545A310F"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2318EF3F"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0E9EF724" w14:textId="77777777" w:rsidR="00B54D51" w:rsidRPr="00037AD4" w:rsidRDefault="00B54D51" w:rsidP="00401C67">
            <w:pPr>
              <w:widowControl w:val="0"/>
              <w:autoSpaceDE w:val="0"/>
              <w:autoSpaceDN w:val="0"/>
              <w:adjustRightInd w:val="0"/>
              <w:jc w:val="center"/>
            </w:pPr>
          </w:p>
        </w:tc>
      </w:tr>
      <w:tr w:rsidR="00B54D51" w:rsidRPr="00037AD4" w14:paraId="39F91C98" w14:textId="77777777" w:rsidTr="00401C67">
        <w:trPr>
          <w:jc w:val="center"/>
        </w:trPr>
        <w:tc>
          <w:tcPr>
            <w:tcW w:w="0" w:type="auto"/>
            <w:tcBorders>
              <w:top w:val="nil"/>
              <w:left w:val="nil"/>
              <w:bottom w:val="nil"/>
              <w:right w:val="nil"/>
            </w:tcBorders>
          </w:tcPr>
          <w:p w14:paraId="41D43039" w14:textId="77777777" w:rsidR="00B54D51" w:rsidRPr="00037AD4" w:rsidRDefault="00B54D51" w:rsidP="00401C67">
            <w:pPr>
              <w:widowControl w:val="0"/>
              <w:autoSpaceDE w:val="0"/>
              <w:autoSpaceDN w:val="0"/>
              <w:adjustRightInd w:val="0"/>
            </w:pPr>
          </w:p>
        </w:tc>
        <w:tc>
          <w:tcPr>
            <w:tcW w:w="0" w:type="auto"/>
            <w:tcBorders>
              <w:top w:val="nil"/>
              <w:left w:val="nil"/>
              <w:bottom w:val="nil"/>
              <w:right w:val="nil"/>
            </w:tcBorders>
          </w:tcPr>
          <w:p w14:paraId="044AC7D0" w14:textId="77777777" w:rsidR="00B54D51" w:rsidRPr="00037AD4" w:rsidRDefault="00B54D51" w:rsidP="00401C67">
            <w:pPr>
              <w:widowControl w:val="0"/>
              <w:autoSpaceDE w:val="0"/>
              <w:autoSpaceDN w:val="0"/>
              <w:adjustRightInd w:val="0"/>
              <w:jc w:val="center"/>
            </w:pPr>
            <w:r w:rsidRPr="00037AD4">
              <w:t>(-0.354 - 0.382)</w:t>
            </w:r>
          </w:p>
        </w:tc>
        <w:tc>
          <w:tcPr>
            <w:tcW w:w="0" w:type="auto"/>
            <w:tcBorders>
              <w:top w:val="nil"/>
              <w:left w:val="nil"/>
              <w:bottom w:val="nil"/>
              <w:right w:val="nil"/>
            </w:tcBorders>
          </w:tcPr>
          <w:p w14:paraId="43E02684"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09327963"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70677FDD"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4DA12444" w14:textId="77777777" w:rsidR="00B54D51" w:rsidRPr="00037AD4" w:rsidRDefault="00B54D51" w:rsidP="00401C67">
            <w:pPr>
              <w:widowControl w:val="0"/>
              <w:autoSpaceDE w:val="0"/>
              <w:autoSpaceDN w:val="0"/>
              <w:adjustRightInd w:val="0"/>
              <w:jc w:val="center"/>
            </w:pPr>
          </w:p>
        </w:tc>
      </w:tr>
      <w:tr w:rsidR="00B54D51" w:rsidRPr="00037AD4" w14:paraId="52FB6DB3" w14:textId="77777777" w:rsidTr="00401C67">
        <w:trPr>
          <w:jc w:val="center"/>
        </w:trPr>
        <w:tc>
          <w:tcPr>
            <w:tcW w:w="0" w:type="auto"/>
            <w:tcBorders>
              <w:top w:val="nil"/>
              <w:left w:val="nil"/>
              <w:bottom w:val="nil"/>
              <w:right w:val="nil"/>
            </w:tcBorders>
          </w:tcPr>
          <w:p w14:paraId="24CACF88" w14:textId="77777777" w:rsidR="00B54D51" w:rsidRPr="00037AD4" w:rsidRDefault="00B54D51" w:rsidP="00401C67">
            <w:pPr>
              <w:widowControl w:val="0"/>
              <w:autoSpaceDE w:val="0"/>
              <w:autoSpaceDN w:val="0"/>
              <w:adjustRightInd w:val="0"/>
            </w:pPr>
            <w:r w:rsidRPr="00037AD4">
              <w:t>4.eq4staff_</w:t>
            </w:r>
          </w:p>
        </w:tc>
        <w:tc>
          <w:tcPr>
            <w:tcW w:w="0" w:type="auto"/>
            <w:tcBorders>
              <w:top w:val="nil"/>
              <w:left w:val="nil"/>
              <w:bottom w:val="nil"/>
              <w:right w:val="nil"/>
            </w:tcBorders>
          </w:tcPr>
          <w:p w14:paraId="138865DB" w14:textId="77777777" w:rsidR="00B54D51" w:rsidRPr="00037AD4" w:rsidRDefault="00B54D51" w:rsidP="00401C67">
            <w:pPr>
              <w:widowControl w:val="0"/>
              <w:autoSpaceDE w:val="0"/>
              <w:autoSpaceDN w:val="0"/>
              <w:adjustRightInd w:val="0"/>
              <w:jc w:val="center"/>
            </w:pPr>
            <w:r w:rsidRPr="00037AD4">
              <w:t>0.140</w:t>
            </w:r>
          </w:p>
        </w:tc>
        <w:tc>
          <w:tcPr>
            <w:tcW w:w="0" w:type="auto"/>
            <w:tcBorders>
              <w:top w:val="nil"/>
              <w:left w:val="nil"/>
              <w:bottom w:val="nil"/>
              <w:right w:val="nil"/>
            </w:tcBorders>
          </w:tcPr>
          <w:p w14:paraId="72B8470A"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228A4B96"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2E828432"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60164FAC" w14:textId="77777777" w:rsidR="00B54D51" w:rsidRPr="00037AD4" w:rsidRDefault="00B54D51" w:rsidP="00401C67">
            <w:pPr>
              <w:widowControl w:val="0"/>
              <w:autoSpaceDE w:val="0"/>
              <w:autoSpaceDN w:val="0"/>
              <w:adjustRightInd w:val="0"/>
              <w:jc w:val="center"/>
            </w:pPr>
          </w:p>
        </w:tc>
      </w:tr>
      <w:tr w:rsidR="00B54D51" w:rsidRPr="00037AD4" w14:paraId="615824E4" w14:textId="77777777" w:rsidTr="00401C67">
        <w:trPr>
          <w:jc w:val="center"/>
        </w:trPr>
        <w:tc>
          <w:tcPr>
            <w:tcW w:w="0" w:type="auto"/>
            <w:tcBorders>
              <w:top w:val="nil"/>
              <w:left w:val="nil"/>
              <w:bottom w:val="nil"/>
              <w:right w:val="nil"/>
            </w:tcBorders>
          </w:tcPr>
          <w:p w14:paraId="12AC3B4E" w14:textId="77777777" w:rsidR="00B54D51" w:rsidRPr="00037AD4" w:rsidRDefault="00B54D51" w:rsidP="00401C67">
            <w:pPr>
              <w:widowControl w:val="0"/>
              <w:autoSpaceDE w:val="0"/>
              <w:autoSpaceDN w:val="0"/>
              <w:adjustRightInd w:val="0"/>
            </w:pPr>
          </w:p>
        </w:tc>
        <w:tc>
          <w:tcPr>
            <w:tcW w:w="0" w:type="auto"/>
            <w:tcBorders>
              <w:top w:val="nil"/>
              <w:left w:val="nil"/>
              <w:bottom w:val="nil"/>
              <w:right w:val="nil"/>
            </w:tcBorders>
          </w:tcPr>
          <w:p w14:paraId="746BD98D" w14:textId="77777777" w:rsidR="00B54D51" w:rsidRPr="00037AD4" w:rsidRDefault="00B54D51" w:rsidP="00401C67">
            <w:pPr>
              <w:widowControl w:val="0"/>
              <w:autoSpaceDE w:val="0"/>
              <w:autoSpaceDN w:val="0"/>
              <w:adjustRightInd w:val="0"/>
              <w:jc w:val="center"/>
            </w:pPr>
            <w:r w:rsidRPr="00037AD4">
              <w:t>(-0.455 - 0.735)</w:t>
            </w:r>
          </w:p>
        </w:tc>
        <w:tc>
          <w:tcPr>
            <w:tcW w:w="0" w:type="auto"/>
            <w:tcBorders>
              <w:top w:val="nil"/>
              <w:left w:val="nil"/>
              <w:bottom w:val="nil"/>
              <w:right w:val="nil"/>
            </w:tcBorders>
          </w:tcPr>
          <w:p w14:paraId="6885FB98"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7711DC58"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033F0BEA"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24B8D1DF" w14:textId="77777777" w:rsidR="00B54D51" w:rsidRPr="00037AD4" w:rsidRDefault="00B54D51" w:rsidP="00401C67">
            <w:pPr>
              <w:widowControl w:val="0"/>
              <w:autoSpaceDE w:val="0"/>
              <w:autoSpaceDN w:val="0"/>
              <w:adjustRightInd w:val="0"/>
              <w:jc w:val="center"/>
            </w:pPr>
          </w:p>
        </w:tc>
      </w:tr>
      <w:tr w:rsidR="00B54D51" w:rsidRPr="00037AD4" w14:paraId="331F87E7" w14:textId="77777777" w:rsidTr="00401C67">
        <w:trPr>
          <w:jc w:val="center"/>
        </w:trPr>
        <w:tc>
          <w:tcPr>
            <w:tcW w:w="0" w:type="auto"/>
            <w:tcBorders>
              <w:top w:val="nil"/>
              <w:left w:val="nil"/>
              <w:bottom w:val="nil"/>
              <w:right w:val="nil"/>
            </w:tcBorders>
          </w:tcPr>
          <w:p w14:paraId="0D8C173F" w14:textId="77777777" w:rsidR="00B54D51" w:rsidRPr="00037AD4" w:rsidRDefault="00B54D51" w:rsidP="00401C67">
            <w:pPr>
              <w:widowControl w:val="0"/>
              <w:autoSpaceDE w:val="0"/>
              <w:autoSpaceDN w:val="0"/>
              <w:adjustRightInd w:val="0"/>
            </w:pPr>
            <w:r w:rsidRPr="00037AD4">
              <w:t>5.eq4staff_</w:t>
            </w:r>
          </w:p>
        </w:tc>
        <w:tc>
          <w:tcPr>
            <w:tcW w:w="0" w:type="auto"/>
            <w:tcBorders>
              <w:top w:val="nil"/>
              <w:left w:val="nil"/>
              <w:bottom w:val="nil"/>
              <w:right w:val="nil"/>
            </w:tcBorders>
          </w:tcPr>
          <w:p w14:paraId="52648C40" w14:textId="77777777" w:rsidR="00B54D51" w:rsidRPr="00037AD4" w:rsidRDefault="00B54D51" w:rsidP="00401C67">
            <w:pPr>
              <w:widowControl w:val="0"/>
              <w:autoSpaceDE w:val="0"/>
              <w:autoSpaceDN w:val="0"/>
              <w:adjustRightInd w:val="0"/>
              <w:jc w:val="center"/>
            </w:pPr>
            <w:r w:rsidRPr="00037AD4">
              <w:t>-3.883***</w:t>
            </w:r>
          </w:p>
        </w:tc>
        <w:tc>
          <w:tcPr>
            <w:tcW w:w="0" w:type="auto"/>
            <w:tcBorders>
              <w:top w:val="nil"/>
              <w:left w:val="nil"/>
              <w:bottom w:val="nil"/>
              <w:right w:val="nil"/>
            </w:tcBorders>
          </w:tcPr>
          <w:p w14:paraId="76654E36"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27765B17"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0291435F"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19D247F7" w14:textId="77777777" w:rsidR="00B54D51" w:rsidRPr="00037AD4" w:rsidRDefault="00B54D51" w:rsidP="00401C67">
            <w:pPr>
              <w:widowControl w:val="0"/>
              <w:autoSpaceDE w:val="0"/>
              <w:autoSpaceDN w:val="0"/>
              <w:adjustRightInd w:val="0"/>
              <w:jc w:val="center"/>
            </w:pPr>
          </w:p>
        </w:tc>
      </w:tr>
      <w:tr w:rsidR="00B54D51" w:rsidRPr="00037AD4" w14:paraId="1B4AD01D" w14:textId="77777777" w:rsidTr="00401C67">
        <w:trPr>
          <w:jc w:val="center"/>
        </w:trPr>
        <w:tc>
          <w:tcPr>
            <w:tcW w:w="0" w:type="auto"/>
            <w:tcBorders>
              <w:top w:val="nil"/>
              <w:left w:val="nil"/>
              <w:bottom w:val="nil"/>
              <w:right w:val="nil"/>
            </w:tcBorders>
          </w:tcPr>
          <w:p w14:paraId="5BAD8A19" w14:textId="77777777" w:rsidR="00B54D51" w:rsidRPr="00037AD4" w:rsidRDefault="00B54D51" w:rsidP="00401C67">
            <w:pPr>
              <w:widowControl w:val="0"/>
              <w:autoSpaceDE w:val="0"/>
              <w:autoSpaceDN w:val="0"/>
              <w:adjustRightInd w:val="0"/>
            </w:pPr>
          </w:p>
        </w:tc>
        <w:tc>
          <w:tcPr>
            <w:tcW w:w="0" w:type="auto"/>
            <w:tcBorders>
              <w:top w:val="nil"/>
              <w:left w:val="nil"/>
              <w:bottom w:val="nil"/>
              <w:right w:val="nil"/>
            </w:tcBorders>
          </w:tcPr>
          <w:p w14:paraId="2B97D17A" w14:textId="77777777" w:rsidR="00B54D51" w:rsidRPr="00037AD4" w:rsidRDefault="00B54D51" w:rsidP="00401C67">
            <w:pPr>
              <w:widowControl w:val="0"/>
              <w:autoSpaceDE w:val="0"/>
              <w:autoSpaceDN w:val="0"/>
              <w:adjustRightInd w:val="0"/>
              <w:jc w:val="center"/>
            </w:pPr>
            <w:r w:rsidRPr="00037AD4">
              <w:t>(-4.441 - -3.326)</w:t>
            </w:r>
          </w:p>
        </w:tc>
        <w:tc>
          <w:tcPr>
            <w:tcW w:w="0" w:type="auto"/>
            <w:tcBorders>
              <w:top w:val="nil"/>
              <w:left w:val="nil"/>
              <w:bottom w:val="nil"/>
              <w:right w:val="nil"/>
            </w:tcBorders>
          </w:tcPr>
          <w:p w14:paraId="7A4BFA7A"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4FD50D42"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3B6A8F65"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020BD72F" w14:textId="77777777" w:rsidR="00B54D51" w:rsidRPr="00037AD4" w:rsidRDefault="00B54D51" w:rsidP="00401C67">
            <w:pPr>
              <w:widowControl w:val="0"/>
              <w:autoSpaceDE w:val="0"/>
              <w:autoSpaceDN w:val="0"/>
              <w:adjustRightInd w:val="0"/>
              <w:jc w:val="center"/>
            </w:pPr>
          </w:p>
        </w:tc>
      </w:tr>
      <w:tr w:rsidR="00B54D51" w:rsidRPr="00037AD4" w14:paraId="6CA1A8F0" w14:textId="77777777" w:rsidTr="00401C67">
        <w:trPr>
          <w:jc w:val="center"/>
        </w:trPr>
        <w:tc>
          <w:tcPr>
            <w:tcW w:w="0" w:type="auto"/>
            <w:tcBorders>
              <w:top w:val="nil"/>
              <w:left w:val="nil"/>
              <w:bottom w:val="nil"/>
              <w:right w:val="nil"/>
            </w:tcBorders>
          </w:tcPr>
          <w:p w14:paraId="201E9832" w14:textId="77777777" w:rsidR="00B54D51" w:rsidRPr="00037AD4" w:rsidRDefault="00B54D51" w:rsidP="00401C67">
            <w:pPr>
              <w:widowControl w:val="0"/>
              <w:autoSpaceDE w:val="0"/>
              <w:autoSpaceDN w:val="0"/>
              <w:adjustRightInd w:val="0"/>
            </w:pPr>
            <w:r w:rsidRPr="00037AD4">
              <w:t>numeric_FAST_</w:t>
            </w:r>
          </w:p>
        </w:tc>
        <w:tc>
          <w:tcPr>
            <w:tcW w:w="0" w:type="auto"/>
            <w:tcBorders>
              <w:top w:val="nil"/>
              <w:left w:val="nil"/>
              <w:bottom w:val="nil"/>
              <w:right w:val="nil"/>
            </w:tcBorders>
          </w:tcPr>
          <w:p w14:paraId="50C16E5C" w14:textId="77777777" w:rsidR="00B54D51" w:rsidRPr="00037AD4" w:rsidRDefault="00B54D51" w:rsidP="00401C67">
            <w:pPr>
              <w:widowControl w:val="0"/>
              <w:autoSpaceDE w:val="0"/>
              <w:autoSpaceDN w:val="0"/>
              <w:adjustRightInd w:val="0"/>
              <w:jc w:val="center"/>
            </w:pPr>
            <w:r w:rsidRPr="00037AD4">
              <w:t>-0.062</w:t>
            </w:r>
          </w:p>
        </w:tc>
        <w:tc>
          <w:tcPr>
            <w:tcW w:w="0" w:type="auto"/>
            <w:tcBorders>
              <w:top w:val="nil"/>
              <w:left w:val="nil"/>
              <w:bottom w:val="nil"/>
              <w:right w:val="nil"/>
            </w:tcBorders>
          </w:tcPr>
          <w:p w14:paraId="27B3A21B"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315EA1C1"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16702895"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67D189D5" w14:textId="77777777" w:rsidR="00B54D51" w:rsidRPr="00037AD4" w:rsidRDefault="00B54D51" w:rsidP="00401C67">
            <w:pPr>
              <w:widowControl w:val="0"/>
              <w:autoSpaceDE w:val="0"/>
              <w:autoSpaceDN w:val="0"/>
              <w:adjustRightInd w:val="0"/>
              <w:jc w:val="center"/>
            </w:pPr>
          </w:p>
        </w:tc>
      </w:tr>
      <w:tr w:rsidR="00B54D51" w:rsidRPr="00037AD4" w14:paraId="5639285D" w14:textId="77777777" w:rsidTr="00401C67">
        <w:trPr>
          <w:jc w:val="center"/>
        </w:trPr>
        <w:tc>
          <w:tcPr>
            <w:tcW w:w="0" w:type="auto"/>
            <w:tcBorders>
              <w:top w:val="nil"/>
              <w:left w:val="nil"/>
              <w:bottom w:val="nil"/>
              <w:right w:val="nil"/>
            </w:tcBorders>
          </w:tcPr>
          <w:p w14:paraId="10DAE2FF" w14:textId="77777777" w:rsidR="00B54D51" w:rsidRPr="00037AD4" w:rsidRDefault="00B54D51" w:rsidP="00401C67">
            <w:pPr>
              <w:widowControl w:val="0"/>
              <w:autoSpaceDE w:val="0"/>
              <w:autoSpaceDN w:val="0"/>
              <w:adjustRightInd w:val="0"/>
            </w:pPr>
          </w:p>
        </w:tc>
        <w:tc>
          <w:tcPr>
            <w:tcW w:w="0" w:type="auto"/>
            <w:tcBorders>
              <w:top w:val="nil"/>
              <w:left w:val="nil"/>
              <w:bottom w:val="nil"/>
              <w:right w:val="nil"/>
            </w:tcBorders>
          </w:tcPr>
          <w:p w14:paraId="38430204" w14:textId="77777777" w:rsidR="00B54D51" w:rsidRPr="00037AD4" w:rsidRDefault="00B54D51" w:rsidP="00401C67">
            <w:pPr>
              <w:widowControl w:val="0"/>
              <w:autoSpaceDE w:val="0"/>
              <w:autoSpaceDN w:val="0"/>
              <w:adjustRightInd w:val="0"/>
              <w:jc w:val="center"/>
            </w:pPr>
            <w:r w:rsidRPr="00037AD4">
              <w:t>(-0.199 - 0.074)</w:t>
            </w:r>
          </w:p>
        </w:tc>
        <w:tc>
          <w:tcPr>
            <w:tcW w:w="0" w:type="auto"/>
            <w:tcBorders>
              <w:top w:val="nil"/>
              <w:left w:val="nil"/>
              <w:bottom w:val="nil"/>
              <w:right w:val="nil"/>
            </w:tcBorders>
          </w:tcPr>
          <w:p w14:paraId="7DB121D3"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0F6B9BB5"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2E413291"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163DA6EA" w14:textId="77777777" w:rsidR="00B54D51" w:rsidRPr="00037AD4" w:rsidRDefault="00B54D51" w:rsidP="00401C67">
            <w:pPr>
              <w:widowControl w:val="0"/>
              <w:autoSpaceDE w:val="0"/>
              <w:autoSpaceDN w:val="0"/>
              <w:adjustRightInd w:val="0"/>
              <w:jc w:val="center"/>
            </w:pPr>
          </w:p>
        </w:tc>
      </w:tr>
      <w:tr w:rsidR="00B54D51" w:rsidRPr="00037AD4" w14:paraId="2F7A9D04" w14:textId="77777777" w:rsidTr="00401C67">
        <w:trPr>
          <w:jc w:val="center"/>
        </w:trPr>
        <w:tc>
          <w:tcPr>
            <w:tcW w:w="0" w:type="auto"/>
            <w:tcBorders>
              <w:top w:val="nil"/>
              <w:left w:val="nil"/>
              <w:bottom w:val="nil"/>
              <w:right w:val="nil"/>
            </w:tcBorders>
          </w:tcPr>
          <w:p w14:paraId="69CE4AF4" w14:textId="77777777" w:rsidR="00B54D51" w:rsidRPr="00037AD4" w:rsidRDefault="00B54D51" w:rsidP="00401C67">
            <w:pPr>
              <w:widowControl w:val="0"/>
              <w:autoSpaceDE w:val="0"/>
              <w:autoSpaceDN w:val="0"/>
              <w:adjustRightInd w:val="0"/>
            </w:pPr>
            <w:r w:rsidRPr="00037AD4">
              <w:t>NPItotal_</w:t>
            </w:r>
          </w:p>
        </w:tc>
        <w:tc>
          <w:tcPr>
            <w:tcW w:w="0" w:type="auto"/>
            <w:tcBorders>
              <w:top w:val="nil"/>
              <w:left w:val="nil"/>
              <w:bottom w:val="nil"/>
              <w:right w:val="nil"/>
            </w:tcBorders>
          </w:tcPr>
          <w:p w14:paraId="2A1E644F" w14:textId="77777777" w:rsidR="00B54D51" w:rsidRPr="00037AD4" w:rsidRDefault="00B54D51" w:rsidP="00401C67">
            <w:pPr>
              <w:widowControl w:val="0"/>
              <w:autoSpaceDE w:val="0"/>
              <w:autoSpaceDN w:val="0"/>
              <w:adjustRightInd w:val="0"/>
              <w:jc w:val="center"/>
            </w:pPr>
            <w:r w:rsidRPr="00037AD4">
              <w:t>0.018***</w:t>
            </w:r>
          </w:p>
        </w:tc>
        <w:tc>
          <w:tcPr>
            <w:tcW w:w="0" w:type="auto"/>
            <w:tcBorders>
              <w:top w:val="nil"/>
              <w:left w:val="nil"/>
              <w:bottom w:val="nil"/>
              <w:right w:val="nil"/>
            </w:tcBorders>
          </w:tcPr>
          <w:p w14:paraId="6AFAF33A" w14:textId="77777777" w:rsidR="00B54D51" w:rsidRPr="00037AD4" w:rsidRDefault="00B54D51" w:rsidP="00401C67">
            <w:pPr>
              <w:widowControl w:val="0"/>
              <w:autoSpaceDE w:val="0"/>
              <w:autoSpaceDN w:val="0"/>
              <w:adjustRightInd w:val="0"/>
              <w:jc w:val="center"/>
            </w:pPr>
            <w:r w:rsidRPr="00037AD4">
              <w:t>0.012**</w:t>
            </w:r>
          </w:p>
        </w:tc>
        <w:tc>
          <w:tcPr>
            <w:tcW w:w="0" w:type="auto"/>
            <w:tcBorders>
              <w:top w:val="nil"/>
              <w:left w:val="nil"/>
              <w:bottom w:val="nil"/>
              <w:right w:val="nil"/>
            </w:tcBorders>
          </w:tcPr>
          <w:p w14:paraId="3851F1AE" w14:textId="77777777" w:rsidR="00B54D51" w:rsidRPr="00037AD4" w:rsidRDefault="00B54D51" w:rsidP="00401C67">
            <w:pPr>
              <w:widowControl w:val="0"/>
              <w:autoSpaceDE w:val="0"/>
              <w:autoSpaceDN w:val="0"/>
              <w:adjustRightInd w:val="0"/>
              <w:jc w:val="center"/>
            </w:pPr>
            <w:r w:rsidRPr="00037AD4">
              <w:t>0.012***</w:t>
            </w:r>
          </w:p>
        </w:tc>
        <w:tc>
          <w:tcPr>
            <w:tcW w:w="0" w:type="auto"/>
            <w:tcBorders>
              <w:top w:val="nil"/>
              <w:left w:val="nil"/>
              <w:bottom w:val="nil"/>
              <w:right w:val="nil"/>
            </w:tcBorders>
          </w:tcPr>
          <w:p w14:paraId="3AB1728F" w14:textId="77777777" w:rsidR="00B54D51" w:rsidRPr="00037AD4" w:rsidRDefault="00B54D51" w:rsidP="00401C67">
            <w:pPr>
              <w:widowControl w:val="0"/>
              <w:autoSpaceDE w:val="0"/>
              <w:autoSpaceDN w:val="0"/>
              <w:adjustRightInd w:val="0"/>
              <w:jc w:val="center"/>
            </w:pPr>
            <w:r w:rsidRPr="00037AD4">
              <w:t>0.012**</w:t>
            </w:r>
          </w:p>
        </w:tc>
        <w:tc>
          <w:tcPr>
            <w:tcW w:w="0" w:type="auto"/>
            <w:tcBorders>
              <w:top w:val="nil"/>
              <w:left w:val="nil"/>
              <w:bottom w:val="nil"/>
              <w:right w:val="nil"/>
            </w:tcBorders>
          </w:tcPr>
          <w:p w14:paraId="4484A354" w14:textId="77777777" w:rsidR="00B54D51" w:rsidRPr="00037AD4" w:rsidRDefault="00B54D51" w:rsidP="00401C67">
            <w:pPr>
              <w:widowControl w:val="0"/>
              <w:autoSpaceDE w:val="0"/>
              <w:autoSpaceDN w:val="0"/>
              <w:adjustRightInd w:val="0"/>
              <w:jc w:val="center"/>
            </w:pPr>
            <w:r w:rsidRPr="00037AD4">
              <w:t>0.012**</w:t>
            </w:r>
          </w:p>
        </w:tc>
      </w:tr>
      <w:tr w:rsidR="00B54D51" w:rsidRPr="00037AD4" w14:paraId="66243DC7" w14:textId="77777777" w:rsidTr="00401C67">
        <w:trPr>
          <w:jc w:val="center"/>
        </w:trPr>
        <w:tc>
          <w:tcPr>
            <w:tcW w:w="0" w:type="auto"/>
            <w:tcBorders>
              <w:top w:val="nil"/>
              <w:left w:val="nil"/>
              <w:bottom w:val="nil"/>
              <w:right w:val="nil"/>
            </w:tcBorders>
          </w:tcPr>
          <w:p w14:paraId="0DE67195" w14:textId="77777777" w:rsidR="00B54D51" w:rsidRPr="00037AD4" w:rsidRDefault="00B54D51" w:rsidP="00401C67">
            <w:pPr>
              <w:widowControl w:val="0"/>
              <w:autoSpaceDE w:val="0"/>
              <w:autoSpaceDN w:val="0"/>
              <w:adjustRightInd w:val="0"/>
            </w:pPr>
          </w:p>
        </w:tc>
        <w:tc>
          <w:tcPr>
            <w:tcW w:w="0" w:type="auto"/>
            <w:tcBorders>
              <w:top w:val="nil"/>
              <w:left w:val="nil"/>
              <w:bottom w:val="nil"/>
              <w:right w:val="nil"/>
            </w:tcBorders>
          </w:tcPr>
          <w:p w14:paraId="5CA00D69" w14:textId="77777777" w:rsidR="00B54D51" w:rsidRPr="00037AD4" w:rsidRDefault="00B54D51" w:rsidP="00401C67">
            <w:pPr>
              <w:widowControl w:val="0"/>
              <w:autoSpaceDE w:val="0"/>
              <w:autoSpaceDN w:val="0"/>
              <w:adjustRightInd w:val="0"/>
              <w:jc w:val="center"/>
            </w:pPr>
            <w:r w:rsidRPr="00037AD4">
              <w:t>(0.008 - 0.027)</w:t>
            </w:r>
          </w:p>
        </w:tc>
        <w:tc>
          <w:tcPr>
            <w:tcW w:w="0" w:type="auto"/>
            <w:tcBorders>
              <w:top w:val="nil"/>
              <w:left w:val="nil"/>
              <w:bottom w:val="nil"/>
              <w:right w:val="nil"/>
            </w:tcBorders>
          </w:tcPr>
          <w:p w14:paraId="032F5C66" w14:textId="77777777" w:rsidR="00B54D51" w:rsidRPr="00037AD4" w:rsidRDefault="00B54D51" w:rsidP="00401C67">
            <w:pPr>
              <w:widowControl w:val="0"/>
              <w:autoSpaceDE w:val="0"/>
              <w:autoSpaceDN w:val="0"/>
              <w:adjustRightInd w:val="0"/>
              <w:jc w:val="center"/>
            </w:pPr>
            <w:r w:rsidRPr="00037AD4">
              <w:t>(0.003 - 0.021)</w:t>
            </w:r>
          </w:p>
        </w:tc>
        <w:tc>
          <w:tcPr>
            <w:tcW w:w="0" w:type="auto"/>
            <w:tcBorders>
              <w:top w:val="nil"/>
              <w:left w:val="nil"/>
              <w:bottom w:val="nil"/>
              <w:right w:val="nil"/>
            </w:tcBorders>
          </w:tcPr>
          <w:p w14:paraId="4AF87412" w14:textId="77777777" w:rsidR="00B54D51" w:rsidRPr="00037AD4" w:rsidRDefault="00B54D51" w:rsidP="00401C67">
            <w:pPr>
              <w:widowControl w:val="0"/>
              <w:autoSpaceDE w:val="0"/>
              <w:autoSpaceDN w:val="0"/>
              <w:adjustRightInd w:val="0"/>
              <w:jc w:val="center"/>
            </w:pPr>
            <w:r w:rsidRPr="00037AD4">
              <w:t>(0.003 - 0.021)</w:t>
            </w:r>
          </w:p>
        </w:tc>
        <w:tc>
          <w:tcPr>
            <w:tcW w:w="0" w:type="auto"/>
            <w:tcBorders>
              <w:top w:val="nil"/>
              <w:left w:val="nil"/>
              <w:bottom w:val="nil"/>
              <w:right w:val="nil"/>
            </w:tcBorders>
          </w:tcPr>
          <w:p w14:paraId="3889A72A" w14:textId="77777777" w:rsidR="00B54D51" w:rsidRPr="00037AD4" w:rsidRDefault="00B54D51" w:rsidP="00401C67">
            <w:pPr>
              <w:widowControl w:val="0"/>
              <w:autoSpaceDE w:val="0"/>
              <w:autoSpaceDN w:val="0"/>
              <w:adjustRightInd w:val="0"/>
              <w:jc w:val="center"/>
            </w:pPr>
            <w:r w:rsidRPr="00037AD4">
              <w:t>(0.003 - 0.020)</w:t>
            </w:r>
          </w:p>
        </w:tc>
        <w:tc>
          <w:tcPr>
            <w:tcW w:w="0" w:type="auto"/>
            <w:tcBorders>
              <w:top w:val="nil"/>
              <w:left w:val="nil"/>
              <w:bottom w:val="nil"/>
              <w:right w:val="nil"/>
            </w:tcBorders>
          </w:tcPr>
          <w:p w14:paraId="13DED1D3" w14:textId="77777777" w:rsidR="00B54D51" w:rsidRPr="00037AD4" w:rsidRDefault="00B54D51" w:rsidP="00401C67">
            <w:pPr>
              <w:widowControl w:val="0"/>
              <w:autoSpaceDE w:val="0"/>
              <w:autoSpaceDN w:val="0"/>
              <w:adjustRightInd w:val="0"/>
              <w:jc w:val="center"/>
            </w:pPr>
            <w:r w:rsidRPr="00037AD4">
              <w:t>(0.003 - 0.021)</w:t>
            </w:r>
          </w:p>
        </w:tc>
      </w:tr>
      <w:tr w:rsidR="00B54D51" w:rsidRPr="00037AD4" w14:paraId="6B10CB63" w14:textId="77777777" w:rsidTr="00401C67">
        <w:trPr>
          <w:jc w:val="center"/>
        </w:trPr>
        <w:tc>
          <w:tcPr>
            <w:tcW w:w="0" w:type="auto"/>
            <w:tcBorders>
              <w:top w:val="nil"/>
              <w:left w:val="nil"/>
              <w:bottom w:val="nil"/>
              <w:right w:val="nil"/>
            </w:tcBorders>
          </w:tcPr>
          <w:p w14:paraId="1762E8FE" w14:textId="77777777" w:rsidR="00B54D51" w:rsidRPr="00037AD4" w:rsidRDefault="00B54D51" w:rsidP="00401C67">
            <w:pPr>
              <w:widowControl w:val="0"/>
              <w:autoSpaceDE w:val="0"/>
              <w:autoSpaceDN w:val="0"/>
              <w:adjustRightInd w:val="0"/>
            </w:pPr>
            <w:r w:rsidRPr="00037AD4">
              <w:t>2.sex_</w:t>
            </w:r>
          </w:p>
        </w:tc>
        <w:tc>
          <w:tcPr>
            <w:tcW w:w="0" w:type="auto"/>
            <w:tcBorders>
              <w:top w:val="nil"/>
              <w:left w:val="nil"/>
              <w:bottom w:val="nil"/>
              <w:right w:val="nil"/>
            </w:tcBorders>
          </w:tcPr>
          <w:p w14:paraId="489108C0" w14:textId="77777777" w:rsidR="00B54D51" w:rsidRPr="00037AD4" w:rsidRDefault="00B54D51" w:rsidP="00401C67">
            <w:pPr>
              <w:widowControl w:val="0"/>
              <w:autoSpaceDE w:val="0"/>
              <w:autoSpaceDN w:val="0"/>
              <w:adjustRightInd w:val="0"/>
              <w:jc w:val="center"/>
            </w:pPr>
            <w:r w:rsidRPr="00037AD4">
              <w:t>0.127</w:t>
            </w:r>
          </w:p>
        </w:tc>
        <w:tc>
          <w:tcPr>
            <w:tcW w:w="0" w:type="auto"/>
            <w:tcBorders>
              <w:top w:val="nil"/>
              <w:left w:val="nil"/>
              <w:bottom w:val="nil"/>
              <w:right w:val="nil"/>
            </w:tcBorders>
          </w:tcPr>
          <w:p w14:paraId="7F099B97" w14:textId="77777777" w:rsidR="00B54D51" w:rsidRPr="00037AD4" w:rsidRDefault="00B54D51" w:rsidP="00401C67">
            <w:pPr>
              <w:widowControl w:val="0"/>
              <w:autoSpaceDE w:val="0"/>
              <w:autoSpaceDN w:val="0"/>
              <w:adjustRightInd w:val="0"/>
              <w:jc w:val="center"/>
            </w:pPr>
            <w:r w:rsidRPr="00037AD4">
              <w:t>0.156</w:t>
            </w:r>
          </w:p>
        </w:tc>
        <w:tc>
          <w:tcPr>
            <w:tcW w:w="0" w:type="auto"/>
            <w:tcBorders>
              <w:top w:val="nil"/>
              <w:left w:val="nil"/>
              <w:bottom w:val="nil"/>
              <w:right w:val="nil"/>
            </w:tcBorders>
          </w:tcPr>
          <w:p w14:paraId="2EA2FB00" w14:textId="77777777" w:rsidR="00B54D51" w:rsidRPr="00037AD4" w:rsidRDefault="00B54D51" w:rsidP="00401C67">
            <w:pPr>
              <w:widowControl w:val="0"/>
              <w:autoSpaceDE w:val="0"/>
              <w:autoSpaceDN w:val="0"/>
              <w:adjustRightInd w:val="0"/>
              <w:jc w:val="center"/>
            </w:pPr>
            <w:r w:rsidRPr="00037AD4">
              <w:t>0.144</w:t>
            </w:r>
          </w:p>
        </w:tc>
        <w:tc>
          <w:tcPr>
            <w:tcW w:w="0" w:type="auto"/>
            <w:tcBorders>
              <w:top w:val="nil"/>
              <w:left w:val="nil"/>
              <w:bottom w:val="nil"/>
              <w:right w:val="nil"/>
            </w:tcBorders>
          </w:tcPr>
          <w:p w14:paraId="3D83EE51"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095A5F90" w14:textId="77777777" w:rsidR="00B54D51" w:rsidRPr="00037AD4" w:rsidRDefault="00B54D51" w:rsidP="00401C67">
            <w:pPr>
              <w:widowControl w:val="0"/>
              <w:autoSpaceDE w:val="0"/>
              <w:autoSpaceDN w:val="0"/>
              <w:adjustRightInd w:val="0"/>
              <w:jc w:val="center"/>
            </w:pPr>
          </w:p>
        </w:tc>
      </w:tr>
      <w:tr w:rsidR="00B54D51" w:rsidRPr="00037AD4" w14:paraId="031C3AC0" w14:textId="77777777" w:rsidTr="00401C67">
        <w:trPr>
          <w:jc w:val="center"/>
        </w:trPr>
        <w:tc>
          <w:tcPr>
            <w:tcW w:w="0" w:type="auto"/>
            <w:tcBorders>
              <w:top w:val="nil"/>
              <w:left w:val="nil"/>
              <w:bottom w:val="nil"/>
              <w:right w:val="nil"/>
            </w:tcBorders>
          </w:tcPr>
          <w:p w14:paraId="7E577804" w14:textId="77777777" w:rsidR="00B54D51" w:rsidRPr="00037AD4" w:rsidRDefault="00B54D51" w:rsidP="00401C67">
            <w:pPr>
              <w:widowControl w:val="0"/>
              <w:autoSpaceDE w:val="0"/>
              <w:autoSpaceDN w:val="0"/>
              <w:adjustRightInd w:val="0"/>
            </w:pPr>
          </w:p>
        </w:tc>
        <w:tc>
          <w:tcPr>
            <w:tcW w:w="0" w:type="auto"/>
            <w:tcBorders>
              <w:top w:val="nil"/>
              <w:left w:val="nil"/>
              <w:bottom w:val="nil"/>
              <w:right w:val="nil"/>
            </w:tcBorders>
          </w:tcPr>
          <w:p w14:paraId="7CA436BF" w14:textId="77777777" w:rsidR="00B54D51" w:rsidRPr="00037AD4" w:rsidRDefault="00B54D51" w:rsidP="00401C67">
            <w:pPr>
              <w:widowControl w:val="0"/>
              <w:autoSpaceDE w:val="0"/>
              <w:autoSpaceDN w:val="0"/>
              <w:adjustRightInd w:val="0"/>
              <w:jc w:val="center"/>
            </w:pPr>
            <w:r w:rsidRPr="00037AD4">
              <w:t>(-0.119 - 0.373)</w:t>
            </w:r>
          </w:p>
        </w:tc>
        <w:tc>
          <w:tcPr>
            <w:tcW w:w="0" w:type="auto"/>
            <w:tcBorders>
              <w:top w:val="nil"/>
              <w:left w:val="nil"/>
              <w:bottom w:val="nil"/>
              <w:right w:val="nil"/>
            </w:tcBorders>
          </w:tcPr>
          <w:p w14:paraId="42D542FC" w14:textId="77777777" w:rsidR="00B54D51" w:rsidRPr="00037AD4" w:rsidRDefault="00B54D51" w:rsidP="00401C67">
            <w:pPr>
              <w:widowControl w:val="0"/>
              <w:autoSpaceDE w:val="0"/>
              <w:autoSpaceDN w:val="0"/>
              <w:adjustRightInd w:val="0"/>
              <w:jc w:val="center"/>
            </w:pPr>
            <w:r w:rsidRPr="00037AD4">
              <w:t>(-0.091 - 0.404)</w:t>
            </w:r>
          </w:p>
        </w:tc>
        <w:tc>
          <w:tcPr>
            <w:tcW w:w="0" w:type="auto"/>
            <w:tcBorders>
              <w:top w:val="nil"/>
              <w:left w:val="nil"/>
              <w:bottom w:val="nil"/>
              <w:right w:val="nil"/>
            </w:tcBorders>
          </w:tcPr>
          <w:p w14:paraId="0A77924B" w14:textId="77777777" w:rsidR="00B54D51" w:rsidRPr="00037AD4" w:rsidRDefault="00B54D51" w:rsidP="00401C67">
            <w:pPr>
              <w:widowControl w:val="0"/>
              <w:autoSpaceDE w:val="0"/>
              <w:autoSpaceDN w:val="0"/>
              <w:adjustRightInd w:val="0"/>
              <w:jc w:val="center"/>
            </w:pPr>
            <w:r w:rsidRPr="00037AD4">
              <w:t>(-0.094 - 0.382)</w:t>
            </w:r>
          </w:p>
        </w:tc>
        <w:tc>
          <w:tcPr>
            <w:tcW w:w="0" w:type="auto"/>
            <w:tcBorders>
              <w:top w:val="nil"/>
              <w:left w:val="nil"/>
              <w:bottom w:val="nil"/>
              <w:right w:val="nil"/>
            </w:tcBorders>
          </w:tcPr>
          <w:p w14:paraId="28340B6F"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6FA76009" w14:textId="77777777" w:rsidR="00B54D51" w:rsidRPr="00037AD4" w:rsidRDefault="00B54D51" w:rsidP="00401C67">
            <w:pPr>
              <w:widowControl w:val="0"/>
              <w:autoSpaceDE w:val="0"/>
              <w:autoSpaceDN w:val="0"/>
              <w:adjustRightInd w:val="0"/>
              <w:jc w:val="center"/>
            </w:pPr>
          </w:p>
        </w:tc>
      </w:tr>
      <w:tr w:rsidR="00B54D51" w:rsidRPr="00037AD4" w14:paraId="640AD4AC" w14:textId="77777777" w:rsidTr="00401C67">
        <w:trPr>
          <w:jc w:val="center"/>
        </w:trPr>
        <w:tc>
          <w:tcPr>
            <w:tcW w:w="0" w:type="auto"/>
            <w:tcBorders>
              <w:top w:val="nil"/>
              <w:left w:val="nil"/>
              <w:bottom w:val="nil"/>
              <w:right w:val="nil"/>
            </w:tcBorders>
          </w:tcPr>
          <w:p w14:paraId="6D06866E" w14:textId="77777777" w:rsidR="00B54D51" w:rsidRPr="00037AD4" w:rsidRDefault="00B54D51" w:rsidP="00401C67">
            <w:pPr>
              <w:widowControl w:val="0"/>
              <w:autoSpaceDE w:val="0"/>
              <w:autoSpaceDN w:val="0"/>
              <w:adjustRightInd w:val="0"/>
            </w:pPr>
            <w:r w:rsidRPr="00037AD4">
              <w:t>age_</w:t>
            </w:r>
          </w:p>
        </w:tc>
        <w:tc>
          <w:tcPr>
            <w:tcW w:w="0" w:type="auto"/>
            <w:tcBorders>
              <w:top w:val="nil"/>
              <w:left w:val="nil"/>
              <w:bottom w:val="nil"/>
              <w:right w:val="nil"/>
            </w:tcBorders>
          </w:tcPr>
          <w:p w14:paraId="2E600A06" w14:textId="77777777" w:rsidR="00B54D51" w:rsidRPr="00037AD4" w:rsidRDefault="00B54D51" w:rsidP="00401C67">
            <w:pPr>
              <w:widowControl w:val="0"/>
              <w:autoSpaceDE w:val="0"/>
              <w:autoSpaceDN w:val="0"/>
              <w:adjustRightInd w:val="0"/>
              <w:jc w:val="center"/>
            </w:pPr>
            <w:r w:rsidRPr="00037AD4">
              <w:t>-0.005</w:t>
            </w:r>
          </w:p>
        </w:tc>
        <w:tc>
          <w:tcPr>
            <w:tcW w:w="0" w:type="auto"/>
            <w:tcBorders>
              <w:top w:val="nil"/>
              <w:left w:val="nil"/>
              <w:bottom w:val="nil"/>
              <w:right w:val="nil"/>
            </w:tcBorders>
          </w:tcPr>
          <w:p w14:paraId="356D4D7D" w14:textId="77777777" w:rsidR="00B54D51" w:rsidRPr="00037AD4" w:rsidRDefault="00B54D51" w:rsidP="00401C67">
            <w:pPr>
              <w:widowControl w:val="0"/>
              <w:autoSpaceDE w:val="0"/>
              <w:autoSpaceDN w:val="0"/>
              <w:adjustRightInd w:val="0"/>
              <w:jc w:val="center"/>
            </w:pPr>
            <w:r w:rsidRPr="00037AD4">
              <w:t>-0.004</w:t>
            </w:r>
          </w:p>
        </w:tc>
        <w:tc>
          <w:tcPr>
            <w:tcW w:w="0" w:type="auto"/>
            <w:tcBorders>
              <w:top w:val="nil"/>
              <w:left w:val="nil"/>
              <w:bottom w:val="nil"/>
              <w:right w:val="nil"/>
            </w:tcBorders>
          </w:tcPr>
          <w:p w14:paraId="3D428EED"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3D71DDC2"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54553624" w14:textId="77777777" w:rsidR="00B54D51" w:rsidRPr="00037AD4" w:rsidRDefault="00B54D51" w:rsidP="00401C67">
            <w:pPr>
              <w:widowControl w:val="0"/>
              <w:autoSpaceDE w:val="0"/>
              <w:autoSpaceDN w:val="0"/>
              <w:adjustRightInd w:val="0"/>
              <w:jc w:val="center"/>
            </w:pPr>
            <w:r w:rsidRPr="00037AD4">
              <w:t>-0.002</w:t>
            </w:r>
          </w:p>
        </w:tc>
      </w:tr>
      <w:tr w:rsidR="00B54D51" w:rsidRPr="00037AD4" w14:paraId="35A66E4F" w14:textId="77777777" w:rsidTr="00401C67">
        <w:trPr>
          <w:jc w:val="center"/>
        </w:trPr>
        <w:tc>
          <w:tcPr>
            <w:tcW w:w="0" w:type="auto"/>
            <w:tcBorders>
              <w:top w:val="nil"/>
              <w:left w:val="nil"/>
              <w:bottom w:val="nil"/>
              <w:right w:val="nil"/>
            </w:tcBorders>
          </w:tcPr>
          <w:p w14:paraId="0E8DC346" w14:textId="77777777" w:rsidR="00B54D51" w:rsidRPr="00037AD4" w:rsidRDefault="00B54D51" w:rsidP="00401C67">
            <w:pPr>
              <w:widowControl w:val="0"/>
              <w:autoSpaceDE w:val="0"/>
              <w:autoSpaceDN w:val="0"/>
              <w:adjustRightInd w:val="0"/>
            </w:pPr>
          </w:p>
        </w:tc>
        <w:tc>
          <w:tcPr>
            <w:tcW w:w="0" w:type="auto"/>
            <w:tcBorders>
              <w:top w:val="nil"/>
              <w:left w:val="nil"/>
              <w:bottom w:val="nil"/>
              <w:right w:val="nil"/>
            </w:tcBorders>
          </w:tcPr>
          <w:p w14:paraId="6F890069" w14:textId="77777777" w:rsidR="00B54D51" w:rsidRPr="00037AD4" w:rsidRDefault="00B54D51" w:rsidP="00401C67">
            <w:pPr>
              <w:widowControl w:val="0"/>
              <w:autoSpaceDE w:val="0"/>
              <w:autoSpaceDN w:val="0"/>
              <w:adjustRightInd w:val="0"/>
              <w:jc w:val="center"/>
            </w:pPr>
            <w:r w:rsidRPr="00037AD4">
              <w:t>(-0.019 - 0.009)</w:t>
            </w:r>
          </w:p>
        </w:tc>
        <w:tc>
          <w:tcPr>
            <w:tcW w:w="0" w:type="auto"/>
            <w:tcBorders>
              <w:top w:val="nil"/>
              <w:left w:val="nil"/>
              <w:bottom w:val="nil"/>
              <w:right w:val="nil"/>
            </w:tcBorders>
          </w:tcPr>
          <w:p w14:paraId="75E1ADE2" w14:textId="77777777" w:rsidR="00B54D51" w:rsidRPr="00037AD4" w:rsidRDefault="00B54D51" w:rsidP="00401C67">
            <w:pPr>
              <w:widowControl w:val="0"/>
              <w:autoSpaceDE w:val="0"/>
              <w:autoSpaceDN w:val="0"/>
              <w:adjustRightInd w:val="0"/>
              <w:jc w:val="center"/>
            </w:pPr>
            <w:r w:rsidRPr="00037AD4">
              <w:t>(-0.017 - 0.010)</w:t>
            </w:r>
          </w:p>
        </w:tc>
        <w:tc>
          <w:tcPr>
            <w:tcW w:w="0" w:type="auto"/>
            <w:tcBorders>
              <w:top w:val="nil"/>
              <w:left w:val="nil"/>
              <w:bottom w:val="nil"/>
              <w:right w:val="nil"/>
            </w:tcBorders>
          </w:tcPr>
          <w:p w14:paraId="6DD8AD1C"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2C760EAC"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481DADEE" w14:textId="77777777" w:rsidR="00B54D51" w:rsidRPr="00037AD4" w:rsidRDefault="00B54D51" w:rsidP="00401C67">
            <w:pPr>
              <w:widowControl w:val="0"/>
              <w:autoSpaceDE w:val="0"/>
              <w:autoSpaceDN w:val="0"/>
              <w:adjustRightInd w:val="0"/>
              <w:jc w:val="center"/>
            </w:pPr>
            <w:r w:rsidRPr="00037AD4">
              <w:t>(-0.015 - 0.011)</w:t>
            </w:r>
          </w:p>
        </w:tc>
      </w:tr>
      <w:tr w:rsidR="00B54D51" w:rsidRPr="00037AD4" w14:paraId="21C6ED45" w14:textId="77777777" w:rsidTr="00401C67">
        <w:trPr>
          <w:jc w:val="center"/>
        </w:trPr>
        <w:tc>
          <w:tcPr>
            <w:tcW w:w="0" w:type="auto"/>
            <w:tcBorders>
              <w:top w:val="nil"/>
              <w:left w:val="nil"/>
              <w:bottom w:val="nil"/>
              <w:right w:val="nil"/>
            </w:tcBorders>
          </w:tcPr>
          <w:p w14:paraId="4CE2A749" w14:textId="77777777" w:rsidR="00B54D51" w:rsidRPr="00037AD4" w:rsidRDefault="00B54D51" w:rsidP="00401C67">
            <w:pPr>
              <w:widowControl w:val="0"/>
              <w:autoSpaceDE w:val="0"/>
              <w:autoSpaceDN w:val="0"/>
              <w:adjustRightInd w:val="0"/>
            </w:pPr>
            <w:r w:rsidRPr="00037AD4">
              <w:t>1.CDR_new_</w:t>
            </w:r>
          </w:p>
        </w:tc>
        <w:tc>
          <w:tcPr>
            <w:tcW w:w="0" w:type="auto"/>
            <w:tcBorders>
              <w:top w:val="nil"/>
              <w:left w:val="nil"/>
              <w:bottom w:val="nil"/>
              <w:right w:val="nil"/>
            </w:tcBorders>
          </w:tcPr>
          <w:p w14:paraId="2E388C83" w14:textId="77777777" w:rsidR="00B54D51" w:rsidRPr="00037AD4" w:rsidRDefault="00B54D51" w:rsidP="00401C67">
            <w:pPr>
              <w:widowControl w:val="0"/>
              <w:autoSpaceDE w:val="0"/>
              <w:autoSpaceDN w:val="0"/>
              <w:adjustRightInd w:val="0"/>
              <w:jc w:val="center"/>
            </w:pPr>
            <w:r w:rsidRPr="00037AD4">
              <w:t>-0.140</w:t>
            </w:r>
          </w:p>
        </w:tc>
        <w:tc>
          <w:tcPr>
            <w:tcW w:w="0" w:type="auto"/>
            <w:tcBorders>
              <w:top w:val="nil"/>
              <w:left w:val="nil"/>
              <w:bottom w:val="nil"/>
              <w:right w:val="nil"/>
            </w:tcBorders>
          </w:tcPr>
          <w:p w14:paraId="4A735422"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456F6E53"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5EE8350D"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0D4817D5" w14:textId="77777777" w:rsidR="00B54D51" w:rsidRPr="00037AD4" w:rsidRDefault="00B54D51" w:rsidP="00401C67">
            <w:pPr>
              <w:widowControl w:val="0"/>
              <w:autoSpaceDE w:val="0"/>
              <w:autoSpaceDN w:val="0"/>
              <w:adjustRightInd w:val="0"/>
              <w:jc w:val="center"/>
            </w:pPr>
          </w:p>
        </w:tc>
      </w:tr>
      <w:tr w:rsidR="00B54D51" w:rsidRPr="00037AD4" w14:paraId="32DA302E" w14:textId="77777777" w:rsidTr="00401C67">
        <w:trPr>
          <w:jc w:val="center"/>
        </w:trPr>
        <w:tc>
          <w:tcPr>
            <w:tcW w:w="0" w:type="auto"/>
            <w:tcBorders>
              <w:top w:val="nil"/>
              <w:left w:val="nil"/>
              <w:bottom w:val="nil"/>
              <w:right w:val="nil"/>
            </w:tcBorders>
          </w:tcPr>
          <w:p w14:paraId="67892DF5" w14:textId="77777777" w:rsidR="00B54D51" w:rsidRPr="00037AD4" w:rsidRDefault="00B54D51" w:rsidP="00401C67">
            <w:pPr>
              <w:widowControl w:val="0"/>
              <w:autoSpaceDE w:val="0"/>
              <w:autoSpaceDN w:val="0"/>
              <w:adjustRightInd w:val="0"/>
            </w:pPr>
          </w:p>
        </w:tc>
        <w:tc>
          <w:tcPr>
            <w:tcW w:w="0" w:type="auto"/>
            <w:tcBorders>
              <w:top w:val="nil"/>
              <w:left w:val="nil"/>
              <w:bottom w:val="nil"/>
              <w:right w:val="nil"/>
            </w:tcBorders>
          </w:tcPr>
          <w:p w14:paraId="14B4EB32" w14:textId="77777777" w:rsidR="00B54D51" w:rsidRPr="00037AD4" w:rsidRDefault="00B54D51" w:rsidP="00401C67">
            <w:pPr>
              <w:widowControl w:val="0"/>
              <w:autoSpaceDE w:val="0"/>
              <w:autoSpaceDN w:val="0"/>
              <w:adjustRightInd w:val="0"/>
              <w:jc w:val="center"/>
            </w:pPr>
            <w:r w:rsidRPr="00037AD4">
              <w:t>(-0.512 - 0.232)</w:t>
            </w:r>
          </w:p>
        </w:tc>
        <w:tc>
          <w:tcPr>
            <w:tcW w:w="0" w:type="auto"/>
            <w:tcBorders>
              <w:top w:val="nil"/>
              <w:left w:val="nil"/>
              <w:bottom w:val="nil"/>
              <w:right w:val="nil"/>
            </w:tcBorders>
          </w:tcPr>
          <w:p w14:paraId="7BAF92CF"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19A01181"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2CCC308C"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306F248E" w14:textId="77777777" w:rsidR="00B54D51" w:rsidRPr="00037AD4" w:rsidRDefault="00B54D51" w:rsidP="00401C67">
            <w:pPr>
              <w:widowControl w:val="0"/>
              <w:autoSpaceDE w:val="0"/>
              <w:autoSpaceDN w:val="0"/>
              <w:adjustRightInd w:val="0"/>
              <w:jc w:val="center"/>
            </w:pPr>
          </w:p>
        </w:tc>
      </w:tr>
      <w:tr w:rsidR="00B54D51" w:rsidRPr="00037AD4" w14:paraId="082AC11A" w14:textId="77777777" w:rsidTr="00401C67">
        <w:trPr>
          <w:jc w:val="center"/>
        </w:trPr>
        <w:tc>
          <w:tcPr>
            <w:tcW w:w="0" w:type="auto"/>
            <w:tcBorders>
              <w:top w:val="nil"/>
              <w:left w:val="nil"/>
              <w:bottom w:val="nil"/>
              <w:right w:val="nil"/>
            </w:tcBorders>
          </w:tcPr>
          <w:p w14:paraId="77773152" w14:textId="77777777" w:rsidR="00B54D51" w:rsidRPr="00037AD4" w:rsidRDefault="00B54D51" w:rsidP="00401C67">
            <w:pPr>
              <w:widowControl w:val="0"/>
              <w:autoSpaceDE w:val="0"/>
              <w:autoSpaceDN w:val="0"/>
              <w:adjustRightInd w:val="0"/>
            </w:pPr>
            <w:r w:rsidRPr="00037AD4">
              <w:t>2.CDR_new_</w:t>
            </w:r>
          </w:p>
        </w:tc>
        <w:tc>
          <w:tcPr>
            <w:tcW w:w="0" w:type="auto"/>
            <w:tcBorders>
              <w:top w:val="nil"/>
              <w:left w:val="nil"/>
              <w:bottom w:val="nil"/>
              <w:right w:val="nil"/>
            </w:tcBorders>
          </w:tcPr>
          <w:p w14:paraId="32AC041C" w14:textId="77777777" w:rsidR="00B54D51" w:rsidRPr="00037AD4" w:rsidRDefault="00B54D51" w:rsidP="00401C67">
            <w:pPr>
              <w:widowControl w:val="0"/>
              <w:autoSpaceDE w:val="0"/>
              <w:autoSpaceDN w:val="0"/>
              <w:adjustRightInd w:val="0"/>
              <w:jc w:val="center"/>
            </w:pPr>
            <w:r w:rsidRPr="00037AD4">
              <w:t>-0.179</w:t>
            </w:r>
          </w:p>
        </w:tc>
        <w:tc>
          <w:tcPr>
            <w:tcW w:w="0" w:type="auto"/>
            <w:tcBorders>
              <w:top w:val="nil"/>
              <w:left w:val="nil"/>
              <w:bottom w:val="nil"/>
              <w:right w:val="nil"/>
            </w:tcBorders>
          </w:tcPr>
          <w:p w14:paraId="0C26809D"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3C20C3BA"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5001955B"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67CB9547" w14:textId="77777777" w:rsidR="00B54D51" w:rsidRPr="00037AD4" w:rsidRDefault="00B54D51" w:rsidP="00401C67">
            <w:pPr>
              <w:widowControl w:val="0"/>
              <w:autoSpaceDE w:val="0"/>
              <w:autoSpaceDN w:val="0"/>
              <w:adjustRightInd w:val="0"/>
              <w:jc w:val="center"/>
            </w:pPr>
          </w:p>
        </w:tc>
      </w:tr>
      <w:tr w:rsidR="00B54D51" w:rsidRPr="00037AD4" w14:paraId="562EBEB1" w14:textId="77777777" w:rsidTr="00401C67">
        <w:trPr>
          <w:jc w:val="center"/>
        </w:trPr>
        <w:tc>
          <w:tcPr>
            <w:tcW w:w="0" w:type="auto"/>
            <w:tcBorders>
              <w:top w:val="nil"/>
              <w:left w:val="nil"/>
              <w:bottom w:val="nil"/>
              <w:right w:val="nil"/>
            </w:tcBorders>
          </w:tcPr>
          <w:p w14:paraId="6B3EC308" w14:textId="77777777" w:rsidR="00B54D51" w:rsidRPr="00037AD4" w:rsidRDefault="00B54D51" w:rsidP="00401C67">
            <w:pPr>
              <w:widowControl w:val="0"/>
              <w:autoSpaceDE w:val="0"/>
              <w:autoSpaceDN w:val="0"/>
              <w:adjustRightInd w:val="0"/>
            </w:pPr>
          </w:p>
        </w:tc>
        <w:tc>
          <w:tcPr>
            <w:tcW w:w="0" w:type="auto"/>
            <w:tcBorders>
              <w:top w:val="nil"/>
              <w:left w:val="nil"/>
              <w:bottom w:val="nil"/>
              <w:right w:val="nil"/>
            </w:tcBorders>
          </w:tcPr>
          <w:p w14:paraId="61CCF9C6" w14:textId="77777777" w:rsidR="00B54D51" w:rsidRPr="00037AD4" w:rsidRDefault="00B54D51" w:rsidP="00401C67">
            <w:pPr>
              <w:widowControl w:val="0"/>
              <w:autoSpaceDE w:val="0"/>
              <w:autoSpaceDN w:val="0"/>
              <w:adjustRightInd w:val="0"/>
              <w:jc w:val="center"/>
            </w:pPr>
            <w:r w:rsidRPr="00037AD4">
              <w:t>(-0.568 - 0.210)</w:t>
            </w:r>
          </w:p>
        </w:tc>
        <w:tc>
          <w:tcPr>
            <w:tcW w:w="0" w:type="auto"/>
            <w:tcBorders>
              <w:top w:val="nil"/>
              <w:left w:val="nil"/>
              <w:bottom w:val="nil"/>
              <w:right w:val="nil"/>
            </w:tcBorders>
          </w:tcPr>
          <w:p w14:paraId="0F97021D"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2F38DC91"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33726BD6"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479FBD52" w14:textId="77777777" w:rsidR="00B54D51" w:rsidRPr="00037AD4" w:rsidRDefault="00B54D51" w:rsidP="00401C67">
            <w:pPr>
              <w:widowControl w:val="0"/>
              <w:autoSpaceDE w:val="0"/>
              <w:autoSpaceDN w:val="0"/>
              <w:adjustRightInd w:val="0"/>
              <w:jc w:val="center"/>
            </w:pPr>
          </w:p>
        </w:tc>
      </w:tr>
      <w:tr w:rsidR="00B54D51" w:rsidRPr="00037AD4" w14:paraId="6D0901EA" w14:textId="77777777" w:rsidTr="00401C67">
        <w:trPr>
          <w:jc w:val="center"/>
        </w:trPr>
        <w:tc>
          <w:tcPr>
            <w:tcW w:w="0" w:type="auto"/>
            <w:tcBorders>
              <w:top w:val="nil"/>
              <w:left w:val="nil"/>
              <w:bottom w:val="nil"/>
              <w:right w:val="nil"/>
            </w:tcBorders>
          </w:tcPr>
          <w:p w14:paraId="5A566637" w14:textId="77777777" w:rsidR="00B54D51" w:rsidRPr="00037AD4" w:rsidRDefault="00B54D51" w:rsidP="00401C67">
            <w:pPr>
              <w:widowControl w:val="0"/>
              <w:autoSpaceDE w:val="0"/>
              <w:autoSpaceDN w:val="0"/>
              <w:adjustRightInd w:val="0"/>
            </w:pPr>
            <w:r w:rsidRPr="00037AD4">
              <w:t>3.CDR_new_</w:t>
            </w:r>
          </w:p>
        </w:tc>
        <w:tc>
          <w:tcPr>
            <w:tcW w:w="0" w:type="auto"/>
            <w:tcBorders>
              <w:top w:val="nil"/>
              <w:left w:val="nil"/>
              <w:bottom w:val="nil"/>
              <w:right w:val="nil"/>
            </w:tcBorders>
          </w:tcPr>
          <w:p w14:paraId="3F9C249F" w14:textId="77777777" w:rsidR="00B54D51" w:rsidRPr="00037AD4" w:rsidRDefault="00B54D51" w:rsidP="00401C67">
            <w:pPr>
              <w:widowControl w:val="0"/>
              <w:autoSpaceDE w:val="0"/>
              <w:autoSpaceDN w:val="0"/>
              <w:adjustRightInd w:val="0"/>
              <w:jc w:val="center"/>
            </w:pPr>
            <w:r w:rsidRPr="00037AD4">
              <w:t>-0.358</w:t>
            </w:r>
          </w:p>
        </w:tc>
        <w:tc>
          <w:tcPr>
            <w:tcW w:w="0" w:type="auto"/>
            <w:tcBorders>
              <w:top w:val="nil"/>
              <w:left w:val="nil"/>
              <w:bottom w:val="nil"/>
              <w:right w:val="nil"/>
            </w:tcBorders>
          </w:tcPr>
          <w:p w14:paraId="6435BD07"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7CA1AA81"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61170575"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4B39373D" w14:textId="77777777" w:rsidR="00B54D51" w:rsidRPr="00037AD4" w:rsidRDefault="00B54D51" w:rsidP="00401C67">
            <w:pPr>
              <w:widowControl w:val="0"/>
              <w:autoSpaceDE w:val="0"/>
              <w:autoSpaceDN w:val="0"/>
              <w:adjustRightInd w:val="0"/>
              <w:jc w:val="center"/>
            </w:pPr>
          </w:p>
        </w:tc>
      </w:tr>
      <w:tr w:rsidR="00B54D51" w:rsidRPr="00037AD4" w14:paraId="3D333F29" w14:textId="77777777" w:rsidTr="00401C67">
        <w:trPr>
          <w:jc w:val="center"/>
        </w:trPr>
        <w:tc>
          <w:tcPr>
            <w:tcW w:w="0" w:type="auto"/>
            <w:tcBorders>
              <w:top w:val="nil"/>
              <w:left w:val="nil"/>
              <w:bottom w:val="nil"/>
              <w:right w:val="nil"/>
            </w:tcBorders>
          </w:tcPr>
          <w:p w14:paraId="0D9B5749" w14:textId="77777777" w:rsidR="00B54D51" w:rsidRPr="00037AD4" w:rsidRDefault="00B54D51" w:rsidP="00401C67">
            <w:pPr>
              <w:widowControl w:val="0"/>
              <w:autoSpaceDE w:val="0"/>
              <w:autoSpaceDN w:val="0"/>
              <w:adjustRightInd w:val="0"/>
            </w:pPr>
          </w:p>
        </w:tc>
        <w:tc>
          <w:tcPr>
            <w:tcW w:w="0" w:type="auto"/>
            <w:tcBorders>
              <w:top w:val="nil"/>
              <w:left w:val="nil"/>
              <w:bottom w:val="nil"/>
              <w:right w:val="nil"/>
            </w:tcBorders>
          </w:tcPr>
          <w:p w14:paraId="1B7046F1" w14:textId="77777777" w:rsidR="00B54D51" w:rsidRPr="00037AD4" w:rsidRDefault="00B54D51" w:rsidP="00401C67">
            <w:pPr>
              <w:widowControl w:val="0"/>
              <w:autoSpaceDE w:val="0"/>
              <w:autoSpaceDN w:val="0"/>
              <w:adjustRightInd w:val="0"/>
              <w:jc w:val="center"/>
            </w:pPr>
            <w:r w:rsidRPr="00037AD4">
              <w:t>(-0.854 - 0.138)</w:t>
            </w:r>
          </w:p>
        </w:tc>
        <w:tc>
          <w:tcPr>
            <w:tcW w:w="0" w:type="auto"/>
            <w:tcBorders>
              <w:top w:val="nil"/>
              <w:left w:val="nil"/>
              <w:bottom w:val="nil"/>
              <w:right w:val="nil"/>
            </w:tcBorders>
          </w:tcPr>
          <w:p w14:paraId="3D5E409A"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63E11E7F"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4E5BE413"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364982FF" w14:textId="77777777" w:rsidR="00B54D51" w:rsidRPr="00037AD4" w:rsidRDefault="00B54D51" w:rsidP="00401C67">
            <w:pPr>
              <w:widowControl w:val="0"/>
              <w:autoSpaceDE w:val="0"/>
              <w:autoSpaceDN w:val="0"/>
              <w:adjustRightInd w:val="0"/>
              <w:jc w:val="center"/>
            </w:pPr>
          </w:p>
        </w:tc>
      </w:tr>
      <w:tr w:rsidR="00B54D51" w:rsidRPr="00037AD4" w14:paraId="41239EC3" w14:textId="77777777" w:rsidTr="00401C67">
        <w:trPr>
          <w:jc w:val="center"/>
        </w:trPr>
        <w:tc>
          <w:tcPr>
            <w:tcW w:w="0" w:type="auto"/>
            <w:tcBorders>
              <w:top w:val="nil"/>
              <w:left w:val="nil"/>
              <w:bottom w:val="nil"/>
              <w:right w:val="nil"/>
            </w:tcBorders>
          </w:tcPr>
          <w:p w14:paraId="720AEF85" w14:textId="77777777" w:rsidR="00B54D51" w:rsidRPr="00037AD4" w:rsidRDefault="00B54D51" w:rsidP="00401C67">
            <w:pPr>
              <w:widowControl w:val="0"/>
              <w:autoSpaceDE w:val="0"/>
              <w:autoSpaceDN w:val="0"/>
              <w:adjustRightInd w:val="0"/>
            </w:pPr>
            <w:r w:rsidRPr="00037AD4">
              <w:t>/cut1</w:t>
            </w:r>
          </w:p>
        </w:tc>
        <w:tc>
          <w:tcPr>
            <w:tcW w:w="0" w:type="auto"/>
            <w:tcBorders>
              <w:top w:val="nil"/>
              <w:left w:val="nil"/>
              <w:bottom w:val="nil"/>
              <w:right w:val="nil"/>
            </w:tcBorders>
          </w:tcPr>
          <w:p w14:paraId="2893A32D" w14:textId="77777777" w:rsidR="00B54D51" w:rsidRPr="00037AD4" w:rsidRDefault="00B54D51" w:rsidP="00401C67">
            <w:pPr>
              <w:widowControl w:val="0"/>
              <w:autoSpaceDE w:val="0"/>
              <w:autoSpaceDN w:val="0"/>
              <w:adjustRightInd w:val="0"/>
              <w:jc w:val="center"/>
            </w:pPr>
            <w:r w:rsidRPr="00037AD4">
              <w:t>0.133</w:t>
            </w:r>
          </w:p>
        </w:tc>
        <w:tc>
          <w:tcPr>
            <w:tcW w:w="0" w:type="auto"/>
            <w:tcBorders>
              <w:top w:val="nil"/>
              <w:left w:val="nil"/>
              <w:bottom w:val="nil"/>
              <w:right w:val="nil"/>
            </w:tcBorders>
          </w:tcPr>
          <w:p w14:paraId="42E7B184" w14:textId="77777777" w:rsidR="00B54D51" w:rsidRPr="00037AD4" w:rsidRDefault="00B54D51" w:rsidP="00401C67">
            <w:pPr>
              <w:widowControl w:val="0"/>
              <w:autoSpaceDE w:val="0"/>
              <w:autoSpaceDN w:val="0"/>
              <w:adjustRightInd w:val="0"/>
              <w:jc w:val="center"/>
            </w:pPr>
            <w:r w:rsidRPr="00037AD4">
              <w:t>0.807</w:t>
            </w:r>
          </w:p>
        </w:tc>
        <w:tc>
          <w:tcPr>
            <w:tcW w:w="0" w:type="auto"/>
            <w:tcBorders>
              <w:top w:val="nil"/>
              <w:left w:val="nil"/>
              <w:bottom w:val="nil"/>
              <w:right w:val="nil"/>
            </w:tcBorders>
          </w:tcPr>
          <w:p w14:paraId="4D91E952" w14:textId="77777777" w:rsidR="00B54D51" w:rsidRPr="00037AD4" w:rsidRDefault="00B54D51" w:rsidP="00401C67">
            <w:pPr>
              <w:widowControl w:val="0"/>
              <w:autoSpaceDE w:val="0"/>
              <w:autoSpaceDN w:val="0"/>
              <w:adjustRightInd w:val="0"/>
              <w:jc w:val="center"/>
            </w:pPr>
            <w:r w:rsidRPr="00037AD4">
              <w:t>1.109***</w:t>
            </w:r>
          </w:p>
        </w:tc>
        <w:tc>
          <w:tcPr>
            <w:tcW w:w="0" w:type="auto"/>
            <w:tcBorders>
              <w:top w:val="nil"/>
              <w:left w:val="nil"/>
              <w:bottom w:val="nil"/>
              <w:right w:val="nil"/>
            </w:tcBorders>
          </w:tcPr>
          <w:p w14:paraId="71B0DCDB" w14:textId="77777777" w:rsidR="00B54D51" w:rsidRPr="00037AD4" w:rsidRDefault="00B54D51" w:rsidP="00401C67">
            <w:pPr>
              <w:widowControl w:val="0"/>
              <w:autoSpaceDE w:val="0"/>
              <w:autoSpaceDN w:val="0"/>
              <w:adjustRightInd w:val="0"/>
              <w:jc w:val="center"/>
            </w:pPr>
            <w:r w:rsidRPr="00037AD4">
              <w:t>0.992***</w:t>
            </w:r>
          </w:p>
        </w:tc>
        <w:tc>
          <w:tcPr>
            <w:tcW w:w="0" w:type="auto"/>
            <w:tcBorders>
              <w:top w:val="nil"/>
              <w:left w:val="nil"/>
              <w:bottom w:val="nil"/>
              <w:right w:val="nil"/>
            </w:tcBorders>
          </w:tcPr>
          <w:p w14:paraId="2915B73E" w14:textId="77777777" w:rsidR="00B54D51" w:rsidRPr="00037AD4" w:rsidRDefault="00B54D51" w:rsidP="00401C67">
            <w:pPr>
              <w:widowControl w:val="0"/>
              <w:autoSpaceDE w:val="0"/>
              <w:autoSpaceDN w:val="0"/>
              <w:adjustRightInd w:val="0"/>
              <w:jc w:val="center"/>
            </w:pPr>
            <w:r w:rsidRPr="00037AD4">
              <w:t>0.844</w:t>
            </w:r>
          </w:p>
        </w:tc>
      </w:tr>
      <w:tr w:rsidR="00B54D51" w:rsidRPr="00037AD4" w14:paraId="6B0C8BB9" w14:textId="77777777" w:rsidTr="00401C67">
        <w:trPr>
          <w:jc w:val="center"/>
        </w:trPr>
        <w:tc>
          <w:tcPr>
            <w:tcW w:w="0" w:type="auto"/>
            <w:tcBorders>
              <w:top w:val="nil"/>
              <w:left w:val="nil"/>
              <w:bottom w:val="nil"/>
              <w:right w:val="nil"/>
            </w:tcBorders>
          </w:tcPr>
          <w:p w14:paraId="0E8E857F" w14:textId="77777777" w:rsidR="00B54D51" w:rsidRPr="00037AD4" w:rsidRDefault="00B54D51" w:rsidP="00401C67">
            <w:pPr>
              <w:widowControl w:val="0"/>
              <w:autoSpaceDE w:val="0"/>
              <w:autoSpaceDN w:val="0"/>
              <w:adjustRightInd w:val="0"/>
            </w:pPr>
          </w:p>
        </w:tc>
        <w:tc>
          <w:tcPr>
            <w:tcW w:w="0" w:type="auto"/>
            <w:tcBorders>
              <w:top w:val="nil"/>
              <w:left w:val="nil"/>
              <w:bottom w:val="nil"/>
              <w:right w:val="nil"/>
            </w:tcBorders>
          </w:tcPr>
          <w:p w14:paraId="0CA406C6" w14:textId="77777777" w:rsidR="00B54D51" w:rsidRPr="00037AD4" w:rsidRDefault="00B54D51" w:rsidP="00401C67">
            <w:pPr>
              <w:widowControl w:val="0"/>
              <w:autoSpaceDE w:val="0"/>
              <w:autoSpaceDN w:val="0"/>
              <w:adjustRightInd w:val="0"/>
              <w:jc w:val="center"/>
            </w:pPr>
            <w:r w:rsidRPr="00037AD4">
              <w:t>(-1.204 - 1.471)</w:t>
            </w:r>
          </w:p>
        </w:tc>
        <w:tc>
          <w:tcPr>
            <w:tcW w:w="0" w:type="auto"/>
            <w:tcBorders>
              <w:top w:val="nil"/>
              <w:left w:val="nil"/>
              <w:bottom w:val="nil"/>
              <w:right w:val="nil"/>
            </w:tcBorders>
          </w:tcPr>
          <w:p w14:paraId="0BA47ECC" w14:textId="77777777" w:rsidR="00B54D51" w:rsidRPr="00037AD4" w:rsidRDefault="00B54D51" w:rsidP="00401C67">
            <w:pPr>
              <w:widowControl w:val="0"/>
              <w:autoSpaceDE w:val="0"/>
              <w:autoSpaceDN w:val="0"/>
              <w:adjustRightInd w:val="0"/>
              <w:jc w:val="center"/>
            </w:pPr>
            <w:r w:rsidRPr="00037AD4">
              <w:t>(-0.328 - 1.942)</w:t>
            </w:r>
          </w:p>
        </w:tc>
        <w:tc>
          <w:tcPr>
            <w:tcW w:w="0" w:type="auto"/>
            <w:tcBorders>
              <w:top w:val="nil"/>
              <w:left w:val="nil"/>
              <w:bottom w:val="nil"/>
              <w:right w:val="nil"/>
            </w:tcBorders>
          </w:tcPr>
          <w:p w14:paraId="40A119AC" w14:textId="77777777" w:rsidR="00B54D51" w:rsidRPr="00037AD4" w:rsidRDefault="00B54D51" w:rsidP="00401C67">
            <w:pPr>
              <w:widowControl w:val="0"/>
              <w:autoSpaceDE w:val="0"/>
              <w:autoSpaceDN w:val="0"/>
              <w:adjustRightInd w:val="0"/>
              <w:jc w:val="center"/>
            </w:pPr>
            <w:r w:rsidRPr="00037AD4">
              <w:t>(0.881 - 1.337)</w:t>
            </w:r>
          </w:p>
        </w:tc>
        <w:tc>
          <w:tcPr>
            <w:tcW w:w="0" w:type="auto"/>
            <w:tcBorders>
              <w:top w:val="nil"/>
              <w:left w:val="nil"/>
              <w:bottom w:val="nil"/>
              <w:right w:val="nil"/>
            </w:tcBorders>
          </w:tcPr>
          <w:p w14:paraId="7F62B2D9" w14:textId="77777777" w:rsidR="00B54D51" w:rsidRPr="00037AD4" w:rsidRDefault="00B54D51" w:rsidP="00401C67">
            <w:pPr>
              <w:widowControl w:val="0"/>
              <w:autoSpaceDE w:val="0"/>
              <w:autoSpaceDN w:val="0"/>
              <w:adjustRightInd w:val="0"/>
              <w:jc w:val="center"/>
            </w:pPr>
            <w:r w:rsidRPr="00037AD4">
              <w:t>(0.854 - 1.131)</w:t>
            </w:r>
          </w:p>
        </w:tc>
        <w:tc>
          <w:tcPr>
            <w:tcW w:w="0" w:type="auto"/>
            <w:tcBorders>
              <w:top w:val="nil"/>
              <w:left w:val="nil"/>
              <w:bottom w:val="nil"/>
              <w:right w:val="nil"/>
            </w:tcBorders>
          </w:tcPr>
          <w:p w14:paraId="08742718" w14:textId="77777777" w:rsidR="00B54D51" w:rsidRPr="00037AD4" w:rsidRDefault="00B54D51" w:rsidP="00401C67">
            <w:pPr>
              <w:widowControl w:val="0"/>
              <w:autoSpaceDE w:val="0"/>
              <w:autoSpaceDN w:val="0"/>
              <w:adjustRightInd w:val="0"/>
              <w:jc w:val="center"/>
            </w:pPr>
            <w:r w:rsidRPr="00037AD4">
              <w:t>(-0.299 - 1.986)</w:t>
            </w:r>
          </w:p>
        </w:tc>
      </w:tr>
      <w:tr w:rsidR="00B54D51" w:rsidRPr="00037AD4" w14:paraId="6C85776F" w14:textId="77777777" w:rsidTr="00401C67">
        <w:trPr>
          <w:jc w:val="center"/>
        </w:trPr>
        <w:tc>
          <w:tcPr>
            <w:tcW w:w="0" w:type="auto"/>
            <w:tcBorders>
              <w:top w:val="nil"/>
              <w:left w:val="nil"/>
              <w:bottom w:val="nil"/>
              <w:right w:val="nil"/>
            </w:tcBorders>
          </w:tcPr>
          <w:p w14:paraId="5B592766" w14:textId="77777777" w:rsidR="00B54D51" w:rsidRPr="00037AD4" w:rsidRDefault="00B54D51" w:rsidP="00401C67">
            <w:pPr>
              <w:widowControl w:val="0"/>
              <w:autoSpaceDE w:val="0"/>
              <w:autoSpaceDN w:val="0"/>
              <w:adjustRightInd w:val="0"/>
            </w:pPr>
            <w:r w:rsidRPr="00037AD4">
              <w:t>/cut2</w:t>
            </w:r>
          </w:p>
        </w:tc>
        <w:tc>
          <w:tcPr>
            <w:tcW w:w="0" w:type="auto"/>
            <w:tcBorders>
              <w:top w:val="nil"/>
              <w:left w:val="nil"/>
              <w:bottom w:val="nil"/>
              <w:right w:val="nil"/>
            </w:tcBorders>
          </w:tcPr>
          <w:p w14:paraId="0649632D" w14:textId="77777777" w:rsidR="00B54D51" w:rsidRPr="00037AD4" w:rsidRDefault="00B54D51" w:rsidP="00401C67">
            <w:pPr>
              <w:widowControl w:val="0"/>
              <w:autoSpaceDE w:val="0"/>
              <w:autoSpaceDN w:val="0"/>
              <w:adjustRightInd w:val="0"/>
              <w:jc w:val="center"/>
            </w:pPr>
            <w:r w:rsidRPr="00037AD4">
              <w:t>0.871</w:t>
            </w:r>
          </w:p>
        </w:tc>
        <w:tc>
          <w:tcPr>
            <w:tcW w:w="0" w:type="auto"/>
            <w:tcBorders>
              <w:top w:val="nil"/>
              <w:left w:val="nil"/>
              <w:bottom w:val="nil"/>
              <w:right w:val="nil"/>
            </w:tcBorders>
          </w:tcPr>
          <w:p w14:paraId="486E7722" w14:textId="77777777" w:rsidR="00B54D51" w:rsidRPr="00037AD4" w:rsidRDefault="00B54D51" w:rsidP="00401C67">
            <w:pPr>
              <w:widowControl w:val="0"/>
              <w:autoSpaceDE w:val="0"/>
              <w:autoSpaceDN w:val="0"/>
              <w:adjustRightInd w:val="0"/>
              <w:jc w:val="center"/>
            </w:pPr>
            <w:r w:rsidRPr="00037AD4">
              <w:t>1.515***</w:t>
            </w:r>
          </w:p>
        </w:tc>
        <w:tc>
          <w:tcPr>
            <w:tcW w:w="0" w:type="auto"/>
            <w:tcBorders>
              <w:top w:val="nil"/>
              <w:left w:val="nil"/>
              <w:bottom w:val="nil"/>
              <w:right w:val="nil"/>
            </w:tcBorders>
          </w:tcPr>
          <w:p w14:paraId="50DD3F9F" w14:textId="77777777" w:rsidR="00B54D51" w:rsidRPr="00037AD4" w:rsidRDefault="00B54D51" w:rsidP="00401C67">
            <w:pPr>
              <w:widowControl w:val="0"/>
              <w:autoSpaceDE w:val="0"/>
              <w:autoSpaceDN w:val="0"/>
              <w:adjustRightInd w:val="0"/>
              <w:jc w:val="center"/>
            </w:pPr>
            <w:r w:rsidRPr="00037AD4">
              <w:t>1.818***</w:t>
            </w:r>
          </w:p>
        </w:tc>
        <w:tc>
          <w:tcPr>
            <w:tcW w:w="0" w:type="auto"/>
            <w:tcBorders>
              <w:top w:val="nil"/>
              <w:left w:val="nil"/>
              <w:bottom w:val="nil"/>
              <w:right w:val="nil"/>
            </w:tcBorders>
          </w:tcPr>
          <w:p w14:paraId="52DEA2A8" w14:textId="77777777" w:rsidR="00B54D51" w:rsidRPr="00037AD4" w:rsidRDefault="00B54D51" w:rsidP="00401C67">
            <w:pPr>
              <w:widowControl w:val="0"/>
              <w:autoSpaceDE w:val="0"/>
              <w:autoSpaceDN w:val="0"/>
              <w:adjustRightInd w:val="0"/>
              <w:jc w:val="center"/>
            </w:pPr>
            <w:r w:rsidRPr="00037AD4">
              <w:t>1.703***</w:t>
            </w:r>
          </w:p>
        </w:tc>
        <w:tc>
          <w:tcPr>
            <w:tcW w:w="0" w:type="auto"/>
            <w:tcBorders>
              <w:top w:val="nil"/>
              <w:left w:val="nil"/>
              <w:bottom w:val="nil"/>
              <w:right w:val="nil"/>
            </w:tcBorders>
          </w:tcPr>
          <w:p w14:paraId="4212F673" w14:textId="77777777" w:rsidR="00B54D51" w:rsidRPr="00037AD4" w:rsidRDefault="00B54D51" w:rsidP="00401C67">
            <w:pPr>
              <w:widowControl w:val="0"/>
              <w:autoSpaceDE w:val="0"/>
              <w:autoSpaceDN w:val="0"/>
              <w:adjustRightInd w:val="0"/>
              <w:jc w:val="center"/>
            </w:pPr>
            <w:r w:rsidRPr="00037AD4">
              <w:t>1.551***</w:t>
            </w:r>
          </w:p>
        </w:tc>
      </w:tr>
      <w:tr w:rsidR="00B54D51" w:rsidRPr="00037AD4" w14:paraId="4916216D" w14:textId="77777777" w:rsidTr="00401C67">
        <w:trPr>
          <w:jc w:val="center"/>
        </w:trPr>
        <w:tc>
          <w:tcPr>
            <w:tcW w:w="0" w:type="auto"/>
            <w:tcBorders>
              <w:top w:val="nil"/>
              <w:left w:val="nil"/>
              <w:bottom w:val="nil"/>
              <w:right w:val="nil"/>
            </w:tcBorders>
          </w:tcPr>
          <w:p w14:paraId="5743DF79" w14:textId="77777777" w:rsidR="00B54D51" w:rsidRPr="00037AD4" w:rsidRDefault="00B54D51" w:rsidP="00401C67">
            <w:pPr>
              <w:widowControl w:val="0"/>
              <w:autoSpaceDE w:val="0"/>
              <w:autoSpaceDN w:val="0"/>
              <w:adjustRightInd w:val="0"/>
            </w:pPr>
          </w:p>
        </w:tc>
        <w:tc>
          <w:tcPr>
            <w:tcW w:w="0" w:type="auto"/>
            <w:tcBorders>
              <w:top w:val="nil"/>
              <w:left w:val="nil"/>
              <w:bottom w:val="nil"/>
              <w:right w:val="nil"/>
            </w:tcBorders>
          </w:tcPr>
          <w:p w14:paraId="61E1126D" w14:textId="77777777" w:rsidR="00B54D51" w:rsidRPr="00037AD4" w:rsidRDefault="00B54D51" w:rsidP="00401C67">
            <w:pPr>
              <w:widowControl w:val="0"/>
              <w:autoSpaceDE w:val="0"/>
              <w:autoSpaceDN w:val="0"/>
              <w:adjustRightInd w:val="0"/>
              <w:jc w:val="center"/>
            </w:pPr>
            <w:r w:rsidRPr="00037AD4">
              <w:t>(-0.476 - 2.219)</w:t>
            </w:r>
          </w:p>
        </w:tc>
        <w:tc>
          <w:tcPr>
            <w:tcW w:w="0" w:type="auto"/>
            <w:tcBorders>
              <w:top w:val="nil"/>
              <w:left w:val="nil"/>
              <w:bottom w:val="nil"/>
              <w:right w:val="nil"/>
            </w:tcBorders>
          </w:tcPr>
          <w:p w14:paraId="128CC7E7" w14:textId="77777777" w:rsidR="00B54D51" w:rsidRPr="00037AD4" w:rsidRDefault="00B54D51" w:rsidP="00401C67">
            <w:pPr>
              <w:widowControl w:val="0"/>
              <w:autoSpaceDE w:val="0"/>
              <w:autoSpaceDN w:val="0"/>
              <w:adjustRightInd w:val="0"/>
              <w:jc w:val="center"/>
            </w:pPr>
            <w:r w:rsidRPr="00037AD4">
              <w:t>(0.375 - 2.655)</w:t>
            </w:r>
          </w:p>
        </w:tc>
        <w:tc>
          <w:tcPr>
            <w:tcW w:w="0" w:type="auto"/>
            <w:tcBorders>
              <w:top w:val="nil"/>
              <w:left w:val="nil"/>
              <w:bottom w:val="nil"/>
              <w:right w:val="nil"/>
            </w:tcBorders>
          </w:tcPr>
          <w:p w14:paraId="3DDD9666" w14:textId="77777777" w:rsidR="00B54D51" w:rsidRPr="00037AD4" w:rsidRDefault="00B54D51" w:rsidP="00401C67">
            <w:pPr>
              <w:widowControl w:val="0"/>
              <w:autoSpaceDE w:val="0"/>
              <w:autoSpaceDN w:val="0"/>
              <w:adjustRightInd w:val="0"/>
              <w:jc w:val="center"/>
            </w:pPr>
            <w:r w:rsidRPr="00037AD4">
              <w:t>(1.567 - 2.068)</w:t>
            </w:r>
          </w:p>
        </w:tc>
        <w:tc>
          <w:tcPr>
            <w:tcW w:w="0" w:type="auto"/>
            <w:tcBorders>
              <w:top w:val="nil"/>
              <w:left w:val="nil"/>
              <w:bottom w:val="nil"/>
              <w:right w:val="nil"/>
            </w:tcBorders>
          </w:tcPr>
          <w:p w14:paraId="78DFAAB5" w14:textId="77777777" w:rsidR="00B54D51" w:rsidRPr="00037AD4" w:rsidRDefault="00B54D51" w:rsidP="00401C67">
            <w:pPr>
              <w:widowControl w:val="0"/>
              <w:autoSpaceDE w:val="0"/>
              <w:autoSpaceDN w:val="0"/>
              <w:adjustRightInd w:val="0"/>
              <w:jc w:val="center"/>
            </w:pPr>
            <w:r w:rsidRPr="00037AD4">
              <w:t>(1.532 - 1.874)</w:t>
            </w:r>
          </w:p>
        </w:tc>
        <w:tc>
          <w:tcPr>
            <w:tcW w:w="0" w:type="auto"/>
            <w:tcBorders>
              <w:top w:val="nil"/>
              <w:left w:val="nil"/>
              <w:bottom w:val="nil"/>
              <w:right w:val="nil"/>
            </w:tcBorders>
          </w:tcPr>
          <w:p w14:paraId="37A4D1EC" w14:textId="77777777" w:rsidR="00B54D51" w:rsidRPr="00037AD4" w:rsidRDefault="00B54D51" w:rsidP="00401C67">
            <w:pPr>
              <w:widowControl w:val="0"/>
              <w:autoSpaceDE w:val="0"/>
              <w:autoSpaceDN w:val="0"/>
              <w:adjustRightInd w:val="0"/>
              <w:jc w:val="center"/>
            </w:pPr>
            <w:r w:rsidRPr="00037AD4">
              <w:t>(0.403 - 2.699)</w:t>
            </w:r>
          </w:p>
        </w:tc>
      </w:tr>
      <w:tr w:rsidR="00B54D51" w:rsidRPr="00037AD4" w14:paraId="38990310" w14:textId="77777777" w:rsidTr="00401C67">
        <w:trPr>
          <w:jc w:val="center"/>
        </w:trPr>
        <w:tc>
          <w:tcPr>
            <w:tcW w:w="0" w:type="auto"/>
            <w:tcBorders>
              <w:top w:val="nil"/>
              <w:left w:val="nil"/>
              <w:bottom w:val="nil"/>
              <w:right w:val="nil"/>
            </w:tcBorders>
          </w:tcPr>
          <w:p w14:paraId="710D3281" w14:textId="77777777" w:rsidR="00B54D51" w:rsidRPr="00037AD4" w:rsidRDefault="00B54D51" w:rsidP="00401C67">
            <w:pPr>
              <w:widowControl w:val="0"/>
              <w:autoSpaceDE w:val="0"/>
              <w:autoSpaceDN w:val="0"/>
              <w:adjustRightInd w:val="0"/>
            </w:pPr>
            <w:r w:rsidRPr="00037AD4">
              <w:t>/cut3</w:t>
            </w:r>
          </w:p>
        </w:tc>
        <w:tc>
          <w:tcPr>
            <w:tcW w:w="0" w:type="auto"/>
            <w:tcBorders>
              <w:top w:val="nil"/>
              <w:left w:val="nil"/>
              <w:bottom w:val="nil"/>
              <w:right w:val="nil"/>
            </w:tcBorders>
          </w:tcPr>
          <w:p w14:paraId="22576BE3" w14:textId="77777777" w:rsidR="00B54D51" w:rsidRPr="00037AD4" w:rsidRDefault="00B54D51" w:rsidP="00401C67">
            <w:pPr>
              <w:widowControl w:val="0"/>
              <w:autoSpaceDE w:val="0"/>
              <w:autoSpaceDN w:val="0"/>
              <w:adjustRightInd w:val="0"/>
              <w:jc w:val="center"/>
            </w:pPr>
            <w:r w:rsidRPr="00037AD4">
              <w:t>1.606**</w:t>
            </w:r>
          </w:p>
        </w:tc>
        <w:tc>
          <w:tcPr>
            <w:tcW w:w="0" w:type="auto"/>
            <w:tcBorders>
              <w:top w:val="nil"/>
              <w:left w:val="nil"/>
              <w:bottom w:val="nil"/>
              <w:right w:val="nil"/>
            </w:tcBorders>
          </w:tcPr>
          <w:p w14:paraId="0ED2A209" w14:textId="77777777" w:rsidR="00B54D51" w:rsidRPr="00037AD4" w:rsidRDefault="00B54D51" w:rsidP="00401C67">
            <w:pPr>
              <w:widowControl w:val="0"/>
              <w:autoSpaceDE w:val="0"/>
              <w:autoSpaceDN w:val="0"/>
              <w:adjustRightInd w:val="0"/>
              <w:jc w:val="center"/>
            </w:pPr>
            <w:r w:rsidRPr="00037AD4">
              <w:t>2.212***</w:t>
            </w:r>
          </w:p>
        </w:tc>
        <w:tc>
          <w:tcPr>
            <w:tcW w:w="0" w:type="auto"/>
            <w:tcBorders>
              <w:top w:val="nil"/>
              <w:left w:val="nil"/>
              <w:bottom w:val="nil"/>
              <w:right w:val="nil"/>
            </w:tcBorders>
          </w:tcPr>
          <w:p w14:paraId="419EDA15" w14:textId="77777777" w:rsidR="00B54D51" w:rsidRPr="00037AD4" w:rsidRDefault="00B54D51" w:rsidP="00401C67">
            <w:pPr>
              <w:widowControl w:val="0"/>
              <w:autoSpaceDE w:val="0"/>
              <w:autoSpaceDN w:val="0"/>
              <w:adjustRightInd w:val="0"/>
              <w:jc w:val="center"/>
            </w:pPr>
            <w:r w:rsidRPr="00037AD4">
              <w:t>2.514***</w:t>
            </w:r>
          </w:p>
        </w:tc>
        <w:tc>
          <w:tcPr>
            <w:tcW w:w="0" w:type="auto"/>
            <w:tcBorders>
              <w:top w:val="nil"/>
              <w:left w:val="nil"/>
              <w:bottom w:val="nil"/>
              <w:right w:val="nil"/>
            </w:tcBorders>
          </w:tcPr>
          <w:p w14:paraId="062134EB" w14:textId="77777777" w:rsidR="00B54D51" w:rsidRPr="00037AD4" w:rsidRDefault="00B54D51" w:rsidP="00401C67">
            <w:pPr>
              <w:widowControl w:val="0"/>
              <w:autoSpaceDE w:val="0"/>
              <w:autoSpaceDN w:val="0"/>
              <w:adjustRightInd w:val="0"/>
              <w:jc w:val="center"/>
            </w:pPr>
            <w:r w:rsidRPr="00037AD4">
              <w:t>2.398***</w:t>
            </w:r>
          </w:p>
        </w:tc>
        <w:tc>
          <w:tcPr>
            <w:tcW w:w="0" w:type="auto"/>
            <w:tcBorders>
              <w:top w:val="nil"/>
              <w:left w:val="nil"/>
              <w:bottom w:val="nil"/>
              <w:right w:val="nil"/>
            </w:tcBorders>
          </w:tcPr>
          <w:p w14:paraId="42F7D451" w14:textId="77777777" w:rsidR="00B54D51" w:rsidRPr="00037AD4" w:rsidRDefault="00B54D51" w:rsidP="00401C67">
            <w:pPr>
              <w:widowControl w:val="0"/>
              <w:autoSpaceDE w:val="0"/>
              <w:autoSpaceDN w:val="0"/>
              <w:adjustRightInd w:val="0"/>
              <w:jc w:val="center"/>
            </w:pPr>
            <w:r w:rsidRPr="00037AD4">
              <w:t>2.246***</w:t>
            </w:r>
          </w:p>
        </w:tc>
      </w:tr>
      <w:tr w:rsidR="00B54D51" w:rsidRPr="00037AD4" w14:paraId="45597A23" w14:textId="77777777" w:rsidTr="00401C67">
        <w:trPr>
          <w:jc w:val="center"/>
        </w:trPr>
        <w:tc>
          <w:tcPr>
            <w:tcW w:w="0" w:type="auto"/>
            <w:tcBorders>
              <w:top w:val="nil"/>
              <w:left w:val="nil"/>
              <w:bottom w:val="nil"/>
              <w:right w:val="nil"/>
            </w:tcBorders>
          </w:tcPr>
          <w:p w14:paraId="61175C45" w14:textId="77777777" w:rsidR="00B54D51" w:rsidRPr="00037AD4" w:rsidRDefault="00B54D51" w:rsidP="00401C67">
            <w:pPr>
              <w:widowControl w:val="0"/>
              <w:autoSpaceDE w:val="0"/>
              <w:autoSpaceDN w:val="0"/>
              <w:adjustRightInd w:val="0"/>
            </w:pPr>
          </w:p>
        </w:tc>
        <w:tc>
          <w:tcPr>
            <w:tcW w:w="0" w:type="auto"/>
            <w:tcBorders>
              <w:top w:val="nil"/>
              <w:left w:val="nil"/>
              <w:bottom w:val="nil"/>
              <w:right w:val="nil"/>
            </w:tcBorders>
          </w:tcPr>
          <w:p w14:paraId="583BACA4" w14:textId="77777777" w:rsidR="00B54D51" w:rsidRPr="00037AD4" w:rsidRDefault="00B54D51" w:rsidP="00401C67">
            <w:pPr>
              <w:widowControl w:val="0"/>
              <w:autoSpaceDE w:val="0"/>
              <w:autoSpaceDN w:val="0"/>
              <w:adjustRightInd w:val="0"/>
              <w:jc w:val="center"/>
            </w:pPr>
            <w:r w:rsidRPr="00037AD4">
              <w:t>(0.227 - 2.985)</w:t>
            </w:r>
          </w:p>
        </w:tc>
        <w:tc>
          <w:tcPr>
            <w:tcW w:w="0" w:type="auto"/>
            <w:tcBorders>
              <w:top w:val="nil"/>
              <w:left w:val="nil"/>
              <w:bottom w:val="nil"/>
              <w:right w:val="nil"/>
            </w:tcBorders>
          </w:tcPr>
          <w:p w14:paraId="045AE6CC" w14:textId="77777777" w:rsidR="00B54D51" w:rsidRPr="00037AD4" w:rsidRDefault="00B54D51" w:rsidP="00401C67">
            <w:pPr>
              <w:widowControl w:val="0"/>
              <w:autoSpaceDE w:val="0"/>
              <w:autoSpaceDN w:val="0"/>
              <w:adjustRightInd w:val="0"/>
              <w:jc w:val="center"/>
            </w:pPr>
            <w:r w:rsidRPr="00037AD4">
              <w:t>(1.027 - 3.397)</w:t>
            </w:r>
          </w:p>
        </w:tc>
        <w:tc>
          <w:tcPr>
            <w:tcW w:w="0" w:type="auto"/>
            <w:tcBorders>
              <w:top w:val="nil"/>
              <w:left w:val="nil"/>
              <w:bottom w:val="nil"/>
              <w:right w:val="nil"/>
            </w:tcBorders>
          </w:tcPr>
          <w:p w14:paraId="2E54E412" w14:textId="77777777" w:rsidR="00B54D51" w:rsidRPr="00037AD4" w:rsidRDefault="00B54D51" w:rsidP="00401C67">
            <w:pPr>
              <w:widowControl w:val="0"/>
              <w:autoSpaceDE w:val="0"/>
              <w:autoSpaceDN w:val="0"/>
              <w:adjustRightInd w:val="0"/>
              <w:jc w:val="center"/>
            </w:pPr>
            <w:r w:rsidRPr="00037AD4">
              <w:t>(2.216 - 2.812)</w:t>
            </w:r>
          </w:p>
        </w:tc>
        <w:tc>
          <w:tcPr>
            <w:tcW w:w="0" w:type="auto"/>
            <w:tcBorders>
              <w:top w:val="nil"/>
              <w:left w:val="nil"/>
              <w:bottom w:val="nil"/>
              <w:right w:val="nil"/>
            </w:tcBorders>
          </w:tcPr>
          <w:p w14:paraId="09BE56B7" w14:textId="77777777" w:rsidR="00B54D51" w:rsidRPr="00037AD4" w:rsidRDefault="00B54D51" w:rsidP="00401C67">
            <w:pPr>
              <w:widowControl w:val="0"/>
              <w:autoSpaceDE w:val="0"/>
              <w:autoSpaceDN w:val="0"/>
              <w:adjustRightInd w:val="0"/>
              <w:jc w:val="center"/>
            </w:pPr>
            <w:r w:rsidRPr="00037AD4">
              <w:t>(2.148 - 2.647)</w:t>
            </w:r>
          </w:p>
        </w:tc>
        <w:tc>
          <w:tcPr>
            <w:tcW w:w="0" w:type="auto"/>
            <w:tcBorders>
              <w:top w:val="nil"/>
              <w:left w:val="nil"/>
              <w:bottom w:val="nil"/>
              <w:right w:val="nil"/>
            </w:tcBorders>
          </w:tcPr>
          <w:p w14:paraId="66116B97" w14:textId="77777777" w:rsidR="00B54D51" w:rsidRPr="00037AD4" w:rsidRDefault="00B54D51" w:rsidP="00401C67">
            <w:pPr>
              <w:widowControl w:val="0"/>
              <w:autoSpaceDE w:val="0"/>
              <w:autoSpaceDN w:val="0"/>
              <w:adjustRightInd w:val="0"/>
              <w:jc w:val="center"/>
            </w:pPr>
            <w:r w:rsidRPr="00037AD4">
              <w:t>(1.054 - 3.438)</w:t>
            </w:r>
          </w:p>
        </w:tc>
      </w:tr>
      <w:tr w:rsidR="00B54D51" w:rsidRPr="00037AD4" w14:paraId="6D75F2B5" w14:textId="77777777" w:rsidTr="00401C67">
        <w:trPr>
          <w:jc w:val="center"/>
        </w:trPr>
        <w:tc>
          <w:tcPr>
            <w:tcW w:w="0" w:type="auto"/>
            <w:tcBorders>
              <w:top w:val="nil"/>
              <w:left w:val="nil"/>
              <w:bottom w:val="nil"/>
              <w:right w:val="nil"/>
            </w:tcBorders>
          </w:tcPr>
          <w:p w14:paraId="14AF7B57" w14:textId="77777777" w:rsidR="00B54D51" w:rsidRPr="00037AD4" w:rsidRDefault="00B54D51" w:rsidP="00401C67">
            <w:pPr>
              <w:widowControl w:val="0"/>
              <w:autoSpaceDE w:val="0"/>
              <w:autoSpaceDN w:val="0"/>
              <w:adjustRightInd w:val="0"/>
            </w:pPr>
            <w:r w:rsidRPr="00037AD4">
              <w:t>/cut4</w:t>
            </w:r>
          </w:p>
        </w:tc>
        <w:tc>
          <w:tcPr>
            <w:tcW w:w="0" w:type="auto"/>
            <w:tcBorders>
              <w:top w:val="nil"/>
              <w:left w:val="nil"/>
              <w:bottom w:val="nil"/>
              <w:right w:val="nil"/>
            </w:tcBorders>
          </w:tcPr>
          <w:p w14:paraId="2B1B7E4A" w14:textId="77777777" w:rsidR="00B54D51" w:rsidRPr="00037AD4" w:rsidRDefault="00B54D51" w:rsidP="00401C67">
            <w:pPr>
              <w:widowControl w:val="0"/>
              <w:autoSpaceDE w:val="0"/>
              <w:autoSpaceDN w:val="0"/>
              <w:adjustRightInd w:val="0"/>
              <w:jc w:val="center"/>
            </w:pPr>
            <w:r w:rsidRPr="00037AD4">
              <w:t>2.123***</w:t>
            </w:r>
          </w:p>
        </w:tc>
        <w:tc>
          <w:tcPr>
            <w:tcW w:w="0" w:type="auto"/>
            <w:tcBorders>
              <w:top w:val="nil"/>
              <w:left w:val="nil"/>
              <w:bottom w:val="nil"/>
              <w:right w:val="nil"/>
            </w:tcBorders>
          </w:tcPr>
          <w:p w14:paraId="58C8B3E0" w14:textId="77777777" w:rsidR="00B54D51" w:rsidRPr="00037AD4" w:rsidRDefault="00B54D51" w:rsidP="00401C67">
            <w:pPr>
              <w:widowControl w:val="0"/>
              <w:autoSpaceDE w:val="0"/>
              <w:autoSpaceDN w:val="0"/>
              <w:adjustRightInd w:val="0"/>
              <w:jc w:val="center"/>
            </w:pPr>
            <w:r w:rsidRPr="00037AD4">
              <w:t>2.778***</w:t>
            </w:r>
          </w:p>
        </w:tc>
        <w:tc>
          <w:tcPr>
            <w:tcW w:w="0" w:type="auto"/>
            <w:tcBorders>
              <w:top w:val="nil"/>
              <w:left w:val="nil"/>
              <w:bottom w:val="nil"/>
              <w:right w:val="nil"/>
            </w:tcBorders>
          </w:tcPr>
          <w:p w14:paraId="26A96DCC" w14:textId="77777777" w:rsidR="00B54D51" w:rsidRPr="00037AD4" w:rsidRDefault="00B54D51" w:rsidP="00401C67">
            <w:pPr>
              <w:widowControl w:val="0"/>
              <w:autoSpaceDE w:val="0"/>
              <w:autoSpaceDN w:val="0"/>
              <w:adjustRightInd w:val="0"/>
              <w:jc w:val="center"/>
            </w:pPr>
            <w:r w:rsidRPr="00037AD4">
              <w:t>3.076***</w:t>
            </w:r>
          </w:p>
        </w:tc>
        <w:tc>
          <w:tcPr>
            <w:tcW w:w="0" w:type="auto"/>
            <w:tcBorders>
              <w:top w:val="nil"/>
              <w:left w:val="nil"/>
              <w:bottom w:val="nil"/>
              <w:right w:val="nil"/>
            </w:tcBorders>
          </w:tcPr>
          <w:p w14:paraId="4CE5E148" w14:textId="77777777" w:rsidR="00B54D51" w:rsidRPr="00037AD4" w:rsidRDefault="00B54D51" w:rsidP="00401C67">
            <w:pPr>
              <w:widowControl w:val="0"/>
              <w:autoSpaceDE w:val="0"/>
              <w:autoSpaceDN w:val="0"/>
              <w:adjustRightInd w:val="0"/>
              <w:jc w:val="center"/>
            </w:pPr>
            <w:r w:rsidRPr="00037AD4">
              <w:t>2.957***</w:t>
            </w:r>
          </w:p>
        </w:tc>
        <w:tc>
          <w:tcPr>
            <w:tcW w:w="0" w:type="auto"/>
            <w:tcBorders>
              <w:top w:val="nil"/>
              <w:left w:val="nil"/>
              <w:bottom w:val="nil"/>
              <w:right w:val="nil"/>
            </w:tcBorders>
          </w:tcPr>
          <w:p w14:paraId="2A006D83" w14:textId="77777777" w:rsidR="00B54D51" w:rsidRPr="00037AD4" w:rsidRDefault="00B54D51" w:rsidP="00401C67">
            <w:pPr>
              <w:widowControl w:val="0"/>
              <w:autoSpaceDE w:val="0"/>
              <w:autoSpaceDN w:val="0"/>
              <w:adjustRightInd w:val="0"/>
              <w:jc w:val="center"/>
            </w:pPr>
            <w:r w:rsidRPr="00037AD4">
              <w:t>2.808***</w:t>
            </w:r>
          </w:p>
        </w:tc>
      </w:tr>
      <w:tr w:rsidR="00B54D51" w:rsidRPr="00037AD4" w14:paraId="6D04D207" w14:textId="77777777" w:rsidTr="00401C67">
        <w:trPr>
          <w:jc w:val="center"/>
        </w:trPr>
        <w:tc>
          <w:tcPr>
            <w:tcW w:w="0" w:type="auto"/>
            <w:tcBorders>
              <w:top w:val="nil"/>
              <w:left w:val="nil"/>
              <w:bottom w:val="nil"/>
              <w:right w:val="nil"/>
            </w:tcBorders>
          </w:tcPr>
          <w:p w14:paraId="60ED0BD4" w14:textId="77777777" w:rsidR="00B54D51" w:rsidRPr="00037AD4" w:rsidRDefault="00B54D51" w:rsidP="00401C67">
            <w:pPr>
              <w:widowControl w:val="0"/>
              <w:autoSpaceDE w:val="0"/>
              <w:autoSpaceDN w:val="0"/>
              <w:adjustRightInd w:val="0"/>
            </w:pPr>
          </w:p>
        </w:tc>
        <w:tc>
          <w:tcPr>
            <w:tcW w:w="0" w:type="auto"/>
            <w:tcBorders>
              <w:top w:val="nil"/>
              <w:left w:val="nil"/>
              <w:bottom w:val="nil"/>
              <w:right w:val="nil"/>
            </w:tcBorders>
          </w:tcPr>
          <w:p w14:paraId="00EBAA72" w14:textId="77777777" w:rsidR="00B54D51" w:rsidRPr="00037AD4" w:rsidRDefault="00B54D51" w:rsidP="00401C67">
            <w:pPr>
              <w:widowControl w:val="0"/>
              <w:autoSpaceDE w:val="0"/>
              <w:autoSpaceDN w:val="0"/>
              <w:adjustRightInd w:val="0"/>
              <w:jc w:val="center"/>
            </w:pPr>
            <w:r w:rsidRPr="00037AD4">
              <w:t>(0.719 - 3.527)</w:t>
            </w:r>
          </w:p>
        </w:tc>
        <w:tc>
          <w:tcPr>
            <w:tcW w:w="0" w:type="auto"/>
            <w:tcBorders>
              <w:top w:val="nil"/>
              <w:left w:val="nil"/>
              <w:bottom w:val="nil"/>
              <w:right w:val="nil"/>
            </w:tcBorders>
          </w:tcPr>
          <w:p w14:paraId="6BF69680" w14:textId="77777777" w:rsidR="00B54D51" w:rsidRPr="00037AD4" w:rsidRDefault="00B54D51" w:rsidP="00401C67">
            <w:pPr>
              <w:widowControl w:val="0"/>
              <w:autoSpaceDE w:val="0"/>
              <w:autoSpaceDN w:val="0"/>
              <w:adjustRightInd w:val="0"/>
              <w:jc w:val="center"/>
            </w:pPr>
            <w:r w:rsidRPr="00037AD4">
              <w:t>(1.517 - 4.040)</w:t>
            </w:r>
          </w:p>
        </w:tc>
        <w:tc>
          <w:tcPr>
            <w:tcW w:w="0" w:type="auto"/>
            <w:tcBorders>
              <w:top w:val="nil"/>
              <w:left w:val="nil"/>
              <w:bottom w:val="nil"/>
              <w:right w:val="nil"/>
            </w:tcBorders>
          </w:tcPr>
          <w:p w14:paraId="6DF8AA74" w14:textId="77777777" w:rsidR="00B54D51" w:rsidRPr="00037AD4" w:rsidRDefault="00B54D51" w:rsidP="00401C67">
            <w:pPr>
              <w:widowControl w:val="0"/>
              <w:autoSpaceDE w:val="0"/>
              <w:autoSpaceDN w:val="0"/>
              <w:adjustRightInd w:val="0"/>
              <w:jc w:val="center"/>
            </w:pPr>
            <w:r w:rsidRPr="00037AD4">
              <w:t>(2.651 - 3.501)</w:t>
            </w:r>
          </w:p>
        </w:tc>
        <w:tc>
          <w:tcPr>
            <w:tcW w:w="0" w:type="auto"/>
            <w:tcBorders>
              <w:top w:val="nil"/>
              <w:left w:val="nil"/>
              <w:bottom w:val="nil"/>
              <w:right w:val="nil"/>
            </w:tcBorders>
          </w:tcPr>
          <w:p w14:paraId="77B0168E" w14:textId="77777777" w:rsidR="00B54D51" w:rsidRPr="00037AD4" w:rsidRDefault="00B54D51" w:rsidP="00401C67">
            <w:pPr>
              <w:widowControl w:val="0"/>
              <w:autoSpaceDE w:val="0"/>
              <w:autoSpaceDN w:val="0"/>
              <w:adjustRightInd w:val="0"/>
              <w:jc w:val="center"/>
            </w:pPr>
            <w:r w:rsidRPr="00037AD4">
              <w:t>(2.561 - 3.353)</w:t>
            </w:r>
          </w:p>
        </w:tc>
        <w:tc>
          <w:tcPr>
            <w:tcW w:w="0" w:type="auto"/>
            <w:tcBorders>
              <w:top w:val="nil"/>
              <w:left w:val="nil"/>
              <w:bottom w:val="nil"/>
              <w:right w:val="nil"/>
            </w:tcBorders>
          </w:tcPr>
          <w:p w14:paraId="395E2D83" w14:textId="77777777" w:rsidR="00B54D51" w:rsidRPr="00037AD4" w:rsidRDefault="00B54D51" w:rsidP="00401C67">
            <w:pPr>
              <w:widowControl w:val="0"/>
              <w:autoSpaceDE w:val="0"/>
              <w:autoSpaceDN w:val="0"/>
              <w:adjustRightInd w:val="0"/>
              <w:jc w:val="center"/>
            </w:pPr>
            <w:r w:rsidRPr="00037AD4">
              <w:t>(1.537 - 4.078)</w:t>
            </w:r>
          </w:p>
        </w:tc>
      </w:tr>
      <w:tr w:rsidR="00B54D51" w:rsidRPr="00037AD4" w14:paraId="535B4C12" w14:textId="77777777" w:rsidTr="00401C67">
        <w:trPr>
          <w:jc w:val="center"/>
        </w:trPr>
        <w:tc>
          <w:tcPr>
            <w:tcW w:w="0" w:type="auto"/>
            <w:tcBorders>
              <w:top w:val="nil"/>
              <w:left w:val="nil"/>
              <w:bottom w:val="nil"/>
              <w:right w:val="nil"/>
            </w:tcBorders>
          </w:tcPr>
          <w:p w14:paraId="6CFA55C5" w14:textId="77777777" w:rsidR="00B54D51" w:rsidRPr="00037AD4" w:rsidRDefault="00B54D51" w:rsidP="00401C67">
            <w:pPr>
              <w:widowControl w:val="0"/>
              <w:autoSpaceDE w:val="0"/>
              <w:autoSpaceDN w:val="0"/>
              <w:adjustRightInd w:val="0"/>
            </w:pPr>
          </w:p>
        </w:tc>
        <w:tc>
          <w:tcPr>
            <w:tcW w:w="0" w:type="auto"/>
            <w:tcBorders>
              <w:top w:val="nil"/>
              <w:left w:val="nil"/>
              <w:bottom w:val="nil"/>
              <w:right w:val="nil"/>
            </w:tcBorders>
          </w:tcPr>
          <w:p w14:paraId="5AB950E3"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12610B14"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2FF2C659"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0FB01422" w14:textId="77777777" w:rsidR="00B54D51" w:rsidRPr="00037AD4" w:rsidRDefault="00B54D51" w:rsidP="00401C67">
            <w:pPr>
              <w:widowControl w:val="0"/>
              <w:autoSpaceDE w:val="0"/>
              <w:autoSpaceDN w:val="0"/>
              <w:adjustRightInd w:val="0"/>
              <w:jc w:val="center"/>
            </w:pPr>
          </w:p>
        </w:tc>
        <w:tc>
          <w:tcPr>
            <w:tcW w:w="0" w:type="auto"/>
            <w:tcBorders>
              <w:top w:val="nil"/>
              <w:left w:val="nil"/>
              <w:bottom w:val="nil"/>
              <w:right w:val="nil"/>
            </w:tcBorders>
          </w:tcPr>
          <w:p w14:paraId="710120FC" w14:textId="77777777" w:rsidR="00B54D51" w:rsidRPr="00037AD4" w:rsidRDefault="00B54D51" w:rsidP="00401C67">
            <w:pPr>
              <w:widowControl w:val="0"/>
              <w:autoSpaceDE w:val="0"/>
              <w:autoSpaceDN w:val="0"/>
              <w:adjustRightInd w:val="0"/>
              <w:jc w:val="center"/>
            </w:pPr>
          </w:p>
        </w:tc>
      </w:tr>
      <w:tr w:rsidR="00B54D51" w:rsidRPr="00037AD4" w14:paraId="41C16B21" w14:textId="77777777" w:rsidTr="00401C67">
        <w:tblPrEx>
          <w:tblBorders>
            <w:bottom w:val="single" w:sz="6" w:space="0" w:color="auto"/>
          </w:tblBorders>
        </w:tblPrEx>
        <w:trPr>
          <w:jc w:val="center"/>
        </w:trPr>
        <w:tc>
          <w:tcPr>
            <w:tcW w:w="0" w:type="auto"/>
            <w:tcBorders>
              <w:top w:val="nil"/>
              <w:left w:val="nil"/>
              <w:bottom w:val="nil"/>
              <w:right w:val="nil"/>
            </w:tcBorders>
          </w:tcPr>
          <w:p w14:paraId="7082375C" w14:textId="77777777" w:rsidR="00B54D51" w:rsidRPr="00037AD4" w:rsidRDefault="00B54D51" w:rsidP="00401C67">
            <w:pPr>
              <w:widowControl w:val="0"/>
              <w:autoSpaceDE w:val="0"/>
              <w:autoSpaceDN w:val="0"/>
              <w:adjustRightInd w:val="0"/>
            </w:pPr>
            <w:r w:rsidRPr="00037AD4">
              <w:t>Observations</w:t>
            </w:r>
          </w:p>
        </w:tc>
        <w:tc>
          <w:tcPr>
            <w:tcW w:w="0" w:type="auto"/>
            <w:tcBorders>
              <w:top w:val="nil"/>
              <w:left w:val="nil"/>
              <w:bottom w:val="nil"/>
              <w:right w:val="nil"/>
            </w:tcBorders>
          </w:tcPr>
          <w:p w14:paraId="4E92C90B" w14:textId="77777777" w:rsidR="00B54D51" w:rsidRPr="00037AD4" w:rsidRDefault="00B54D51" w:rsidP="00401C67">
            <w:pPr>
              <w:widowControl w:val="0"/>
              <w:autoSpaceDE w:val="0"/>
              <w:autoSpaceDN w:val="0"/>
              <w:adjustRightInd w:val="0"/>
              <w:jc w:val="center"/>
            </w:pPr>
            <w:r w:rsidRPr="00037AD4">
              <w:t>772</w:t>
            </w:r>
          </w:p>
        </w:tc>
        <w:tc>
          <w:tcPr>
            <w:tcW w:w="0" w:type="auto"/>
            <w:tcBorders>
              <w:top w:val="nil"/>
              <w:left w:val="nil"/>
              <w:bottom w:val="nil"/>
              <w:right w:val="nil"/>
            </w:tcBorders>
          </w:tcPr>
          <w:p w14:paraId="70379850" w14:textId="77777777" w:rsidR="00B54D51" w:rsidRPr="00037AD4" w:rsidRDefault="00B54D51" w:rsidP="00401C67">
            <w:pPr>
              <w:widowControl w:val="0"/>
              <w:autoSpaceDE w:val="0"/>
              <w:autoSpaceDN w:val="0"/>
              <w:adjustRightInd w:val="0"/>
              <w:jc w:val="center"/>
            </w:pPr>
            <w:r w:rsidRPr="00037AD4">
              <w:t>786</w:t>
            </w:r>
          </w:p>
        </w:tc>
        <w:tc>
          <w:tcPr>
            <w:tcW w:w="0" w:type="auto"/>
            <w:tcBorders>
              <w:top w:val="nil"/>
              <w:left w:val="nil"/>
              <w:bottom w:val="nil"/>
              <w:right w:val="nil"/>
            </w:tcBorders>
          </w:tcPr>
          <w:p w14:paraId="1FDB35CB" w14:textId="77777777" w:rsidR="00B54D51" w:rsidRPr="00037AD4" w:rsidRDefault="00B54D51" w:rsidP="00401C67">
            <w:pPr>
              <w:widowControl w:val="0"/>
              <w:autoSpaceDE w:val="0"/>
              <w:autoSpaceDN w:val="0"/>
              <w:adjustRightInd w:val="0"/>
              <w:jc w:val="center"/>
            </w:pPr>
            <w:r w:rsidRPr="00037AD4">
              <w:t>786</w:t>
            </w:r>
          </w:p>
        </w:tc>
        <w:tc>
          <w:tcPr>
            <w:tcW w:w="0" w:type="auto"/>
            <w:tcBorders>
              <w:top w:val="nil"/>
              <w:left w:val="nil"/>
              <w:bottom w:val="nil"/>
              <w:right w:val="nil"/>
            </w:tcBorders>
          </w:tcPr>
          <w:p w14:paraId="37AB629F" w14:textId="77777777" w:rsidR="00B54D51" w:rsidRPr="00037AD4" w:rsidRDefault="00B54D51" w:rsidP="00401C67">
            <w:pPr>
              <w:widowControl w:val="0"/>
              <w:autoSpaceDE w:val="0"/>
              <w:autoSpaceDN w:val="0"/>
              <w:adjustRightInd w:val="0"/>
              <w:jc w:val="center"/>
            </w:pPr>
            <w:r w:rsidRPr="00037AD4">
              <w:t>789</w:t>
            </w:r>
          </w:p>
        </w:tc>
        <w:tc>
          <w:tcPr>
            <w:tcW w:w="0" w:type="auto"/>
            <w:tcBorders>
              <w:top w:val="nil"/>
              <w:left w:val="nil"/>
              <w:bottom w:val="nil"/>
              <w:right w:val="nil"/>
            </w:tcBorders>
          </w:tcPr>
          <w:p w14:paraId="44F3383E" w14:textId="77777777" w:rsidR="00B54D51" w:rsidRPr="00037AD4" w:rsidRDefault="00B54D51" w:rsidP="00401C67">
            <w:pPr>
              <w:widowControl w:val="0"/>
              <w:autoSpaceDE w:val="0"/>
              <w:autoSpaceDN w:val="0"/>
              <w:adjustRightInd w:val="0"/>
              <w:jc w:val="center"/>
            </w:pPr>
            <w:r w:rsidRPr="00037AD4">
              <w:t>786</w:t>
            </w:r>
          </w:p>
        </w:tc>
      </w:tr>
      <w:tr w:rsidR="00B54D51" w:rsidRPr="00037AD4" w14:paraId="179AB7CC" w14:textId="77777777" w:rsidTr="00401C67">
        <w:tblPrEx>
          <w:tblBorders>
            <w:bottom w:val="single" w:sz="6" w:space="0" w:color="auto"/>
          </w:tblBorders>
        </w:tblPrEx>
        <w:trPr>
          <w:jc w:val="center"/>
        </w:trPr>
        <w:tc>
          <w:tcPr>
            <w:tcW w:w="0" w:type="auto"/>
            <w:tcBorders>
              <w:top w:val="nil"/>
              <w:left w:val="nil"/>
              <w:bottom w:val="nil"/>
              <w:right w:val="nil"/>
            </w:tcBorders>
          </w:tcPr>
          <w:p w14:paraId="3437AB34" w14:textId="77777777" w:rsidR="00B54D51" w:rsidRPr="00037AD4" w:rsidRDefault="00B54D51" w:rsidP="00401C67">
            <w:pPr>
              <w:widowControl w:val="0"/>
              <w:autoSpaceDE w:val="0"/>
              <w:autoSpaceDN w:val="0"/>
              <w:adjustRightInd w:val="0"/>
            </w:pPr>
            <w:r w:rsidRPr="00037AD4">
              <w:lastRenderedPageBreak/>
              <w:t>Wald Chi</w:t>
            </w:r>
            <w:r w:rsidRPr="00037AD4">
              <w:rPr>
                <w:vertAlign w:val="superscript"/>
              </w:rPr>
              <w:t>2</w:t>
            </w:r>
          </w:p>
        </w:tc>
        <w:tc>
          <w:tcPr>
            <w:tcW w:w="0" w:type="auto"/>
            <w:tcBorders>
              <w:top w:val="nil"/>
              <w:left w:val="nil"/>
              <w:bottom w:val="nil"/>
              <w:right w:val="nil"/>
            </w:tcBorders>
          </w:tcPr>
          <w:p w14:paraId="56AFB80A" w14:textId="77777777" w:rsidR="00B54D51" w:rsidRPr="00037AD4" w:rsidRDefault="00B54D51" w:rsidP="00401C67">
            <w:pPr>
              <w:widowControl w:val="0"/>
              <w:autoSpaceDE w:val="0"/>
              <w:autoSpaceDN w:val="0"/>
              <w:adjustRightInd w:val="0"/>
              <w:jc w:val="center"/>
            </w:pPr>
            <w:r w:rsidRPr="00037AD4">
              <w:t>601.41</w:t>
            </w:r>
          </w:p>
        </w:tc>
        <w:tc>
          <w:tcPr>
            <w:tcW w:w="0" w:type="auto"/>
            <w:tcBorders>
              <w:top w:val="nil"/>
              <w:left w:val="nil"/>
              <w:bottom w:val="nil"/>
              <w:right w:val="nil"/>
            </w:tcBorders>
          </w:tcPr>
          <w:p w14:paraId="2E3442C8" w14:textId="77777777" w:rsidR="00B54D51" w:rsidRPr="00037AD4" w:rsidRDefault="00B54D51" w:rsidP="00401C67">
            <w:pPr>
              <w:widowControl w:val="0"/>
              <w:autoSpaceDE w:val="0"/>
              <w:autoSpaceDN w:val="0"/>
              <w:adjustRightInd w:val="0"/>
              <w:jc w:val="center"/>
            </w:pPr>
            <w:r w:rsidRPr="00037AD4">
              <w:t>40.09</w:t>
            </w:r>
          </w:p>
        </w:tc>
        <w:tc>
          <w:tcPr>
            <w:tcW w:w="0" w:type="auto"/>
            <w:tcBorders>
              <w:top w:val="nil"/>
              <w:left w:val="nil"/>
              <w:bottom w:val="nil"/>
              <w:right w:val="nil"/>
            </w:tcBorders>
          </w:tcPr>
          <w:p w14:paraId="25F2C2C2" w14:textId="77777777" w:rsidR="00B54D51" w:rsidRPr="00037AD4" w:rsidRDefault="00B54D51" w:rsidP="00401C67">
            <w:pPr>
              <w:widowControl w:val="0"/>
              <w:autoSpaceDE w:val="0"/>
              <w:autoSpaceDN w:val="0"/>
              <w:adjustRightInd w:val="0"/>
              <w:jc w:val="center"/>
            </w:pPr>
            <w:r w:rsidRPr="00037AD4">
              <w:t>39.88</w:t>
            </w:r>
          </w:p>
        </w:tc>
        <w:tc>
          <w:tcPr>
            <w:tcW w:w="0" w:type="auto"/>
            <w:tcBorders>
              <w:top w:val="nil"/>
              <w:left w:val="nil"/>
              <w:bottom w:val="nil"/>
              <w:right w:val="nil"/>
            </w:tcBorders>
          </w:tcPr>
          <w:p w14:paraId="6D26469E" w14:textId="77777777" w:rsidR="00B54D51" w:rsidRPr="00037AD4" w:rsidRDefault="00B54D51" w:rsidP="00401C67">
            <w:pPr>
              <w:widowControl w:val="0"/>
              <w:autoSpaceDE w:val="0"/>
              <w:autoSpaceDN w:val="0"/>
              <w:adjustRightInd w:val="0"/>
              <w:jc w:val="center"/>
            </w:pPr>
            <w:r w:rsidRPr="00037AD4">
              <w:t>36.49</w:t>
            </w:r>
          </w:p>
        </w:tc>
        <w:tc>
          <w:tcPr>
            <w:tcW w:w="0" w:type="auto"/>
            <w:tcBorders>
              <w:top w:val="nil"/>
              <w:left w:val="nil"/>
              <w:bottom w:val="nil"/>
              <w:right w:val="nil"/>
            </w:tcBorders>
          </w:tcPr>
          <w:p w14:paraId="707019CD" w14:textId="77777777" w:rsidR="00B54D51" w:rsidRPr="00037AD4" w:rsidRDefault="00B54D51" w:rsidP="00401C67">
            <w:pPr>
              <w:widowControl w:val="0"/>
              <w:autoSpaceDE w:val="0"/>
              <w:autoSpaceDN w:val="0"/>
              <w:adjustRightInd w:val="0"/>
              <w:jc w:val="center"/>
            </w:pPr>
            <w:r w:rsidRPr="00037AD4">
              <w:t>36.67</w:t>
            </w:r>
          </w:p>
        </w:tc>
      </w:tr>
      <w:tr w:rsidR="00B54D51" w:rsidRPr="00037AD4" w14:paraId="77CEF234" w14:textId="77777777" w:rsidTr="00401C67">
        <w:tblPrEx>
          <w:tblBorders>
            <w:bottom w:val="single" w:sz="6" w:space="0" w:color="auto"/>
          </w:tblBorders>
        </w:tblPrEx>
        <w:trPr>
          <w:jc w:val="center"/>
        </w:trPr>
        <w:tc>
          <w:tcPr>
            <w:tcW w:w="0" w:type="auto"/>
            <w:tcBorders>
              <w:top w:val="nil"/>
              <w:left w:val="nil"/>
              <w:bottom w:val="nil"/>
              <w:right w:val="nil"/>
            </w:tcBorders>
          </w:tcPr>
          <w:p w14:paraId="2589DD5C" w14:textId="77777777" w:rsidR="00B54D51" w:rsidRPr="00037AD4" w:rsidRDefault="00B54D51" w:rsidP="00401C67">
            <w:pPr>
              <w:widowControl w:val="0"/>
              <w:autoSpaceDE w:val="0"/>
              <w:autoSpaceDN w:val="0"/>
              <w:adjustRightInd w:val="0"/>
            </w:pPr>
            <w:r w:rsidRPr="00037AD4">
              <w:t>Pseudo R</w:t>
            </w:r>
            <w:r w:rsidRPr="00037AD4">
              <w:rPr>
                <w:vertAlign w:val="superscript"/>
              </w:rPr>
              <w:t>2</w:t>
            </w:r>
          </w:p>
        </w:tc>
        <w:tc>
          <w:tcPr>
            <w:tcW w:w="0" w:type="auto"/>
            <w:tcBorders>
              <w:top w:val="nil"/>
              <w:left w:val="nil"/>
              <w:bottom w:val="nil"/>
              <w:right w:val="nil"/>
            </w:tcBorders>
          </w:tcPr>
          <w:p w14:paraId="34FDDA81" w14:textId="77777777" w:rsidR="00B54D51" w:rsidRPr="00037AD4" w:rsidRDefault="00B54D51" w:rsidP="00401C67">
            <w:pPr>
              <w:widowControl w:val="0"/>
              <w:autoSpaceDE w:val="0"/>
              <w:autoSpaceDN w:val="0"/>
              <w:adjustRightInd w:val="0"/>
              <w:jc w:val="center"/>
            </w:pPr>
            <w:r w:rsidRPr="00037AD4">
              <w:t>0.0692</w:t>
            </w:r>
          </w:p>
        </w:tc>
        <w:tc>
          <w:tcPr>
            <w:tcW w:w="0" w:type="auto"/>
            <w:tcBorders>
              <w:top w:val="nil"/>
              <w:left w:val="nil"/>
              <w:bottom w:val="nil"/>
              <w:right w:val="nil"/>
            </w:tcBorders>
          </w:tcPr>
          <w:p w14:paraId="09B456AA" w14:textId="77777777" w:rsidR="00B54D51" w:rsidRPr="00037AD4" w:rsidRDefault="00B54D51" w:rsidP="00401C67">
            <w:pPr>
              <w:widowControl w:val="0"/>
              <w:autoSpaceDE w:val="0"/>
              <w:autoSpaceDN w:val="0"/>
              <w:adjustRightInd w:val="0"/>
              <w:jc w:val="center"/>
            </w:pPr>
            <w:r w:rsidRPr="00037AD4">
              <w:t>0.0399</w:t>
            </w:r>
          </w:p>
        </w:tc>
        <w:tc>
          <w:tcPr>
            <w:tcW w:w="0" w:type="auto"/>
            <w:tcBorders>
              <w:top w:val="nil"/>
              <w:left w:val="nil"/>
              <w:bottom w:val="nil"/>
              <w:right w:val="nil"/>
            </w:tcBorders>
          </w:tcPr>
          <w:p w14:paraId="666D7C64" w14:textId="77777777" w:rsidR="00B54D51" w:rsidRPr="00037AD4" w:rsidRDefault="00B54D51" w:rsidP="00401C67">
            <w:pPr>
              <w:widowControl w:val="0"/>
              <w:autoSpaceDE w:val="0"/>
              <w:autoSpaceDN w:val="0"/>
              <w:adjustRightInd w:val="0"/>
              <w:jc w:val="center"/>
            </w:pPr>
            <w:r w:rsidRPr="00037AD4">
              <w:t>0.0396</w:t>
            </w:r>
          </w:p>
        </w:tc>
        <w:tc>
          <w:tcPr>
            <w:tcW w:w="0" w:type="auto"/>
            <w:tcBorders>
              <w:top w:val="nil"/>
              <w:left w:val="nil"/>
              <w:bottom w:val="nil"/>
              <w:right w:val="nil"/>
            </w:tcBorders>
          </w:tcPr>
          <w:p w14:paraId="1149F0DB" w14:textId="77777777" w:rsidR="00B54D51" w:rsidRPr="00037AD4" w:rsidRDefault="00B54D51" w:rsidP="00401C67">
            <w:pPr>
              <w:widowControl w:val="0"/>
              <w:autoSpaceDE w:val="0"/>
              <w:autoSpaceDN w:val="0"/>
              <w:adjustRightInd w:val="0"/>
              <w:jc w:val="center"/>
            </w:pPr>
            <w:r w:rsidRPr="00037AD4">
              <w:t>0.0380</w:t>
            </w:r>
          </w:p>
        </w:tc>
        <w:tc>
          <w:tcPr>
            <w:tcW w:w="0" w:type="auto"/>
            <w:tcBorders>
              <w:top w:val="nil"/>
              <w:left w:val="nil"/>
              <w:bottom w:val="nil"/>
              <w:right w:val="nil"/>
            </w:tcBorders>
          </w:tcPr>
          <w:p w14:paraId="5CA9C3F2" w14:textId="77777777" w:rsidR="00B54D51" w:rsidRPr="00037AD4" w:rsidRDefault="00B54D51" w:rsidP="00401C67">
            <w:pPr>
              <w:widowControl w:val="0"/>
              <w:autoSpaceDE w:val="0"/>
              <w:autoSpaceDN w:val="0"/>
              <w:adjustRightInd w:val="0"/>
              <w:jc w:val="center"/>
            </w:pPr>
            <w:r w:rsidRPr="00037AD4">
              <w:t>0.0383</w:t>
            </w:r>
          </w:p>
        </w:tc>
      </w:tr>
      <w:tr w:rsidR="00B54D51" w:rsidRPr="00037AD4" w14:paraId="63757942" w14:textId="77777777" w:rsidTr="00401C67">
        <w:tblPrEx>
          <w:tblBorders>
            <w:bottom w:val="single" w:sz="6" w:space="0" w:color="auto"/>
          </w:tblBorders>
        </w:tblPrEx>
        <w:trPr>
          <w:jc w:val="center"/>
        </w:trPr>
        <w:tc>
          <w:tcPr>
            <w:tcW w:w="0" w:type="auto"/>
            <w:tcBorders>
              <w:top w:val="nil"/>
              <w:left w:val="nil"/>
              <w:bottom w:val="nil"/>
              <w:right w:val="nil"/>
            </w:tcBorders>
          </w:tcPr>
          <w:p w14:paraId="592EA62E" w14:textId="77777777" w:rsidR="00B54D51" w:rsidRPr="00037AD4" w:rsidRDefault="00B54D51" w:rsidP="00401C67">
            <w:pPr>
              <w:widowControl w:val="0"/>
              <w:autoSpaceDE w:val="0"/>
              <w:autoSpaceDN w:val="0"/>
              <w:adjustRightInd w:val="0"/>
            </w:pPr>
            <w:r w:rsidRPr="00037AD4">
              <w:t>AIC</w:t>
            </w:r>
          </w:p>
        </w:tc>
        <w:tc>
          <w:tcPr>
            <w:tcW w:w="0" w:type="auto"/>
            <w:tcBorders>
              <w:top w:val="nil"/>
              <w:left w:val="nil"/>
              <w:bottom w:val="nil"/>
              <w:right w:val="nil"/>
            </w:tcBorders>
          </w:tcPr>
          <w:p w14:paraId="6DAA2520" w14:textId="77777777" w:rsidR="00B54D51" w:rsidRPr="00037AD4" w:rsidRDefault="00B54D51" w:rsidP="00401C67">
            <w:pPr>
              <w:widowControl w:val="0"/>
              <w:autoSpaceDE w:val="0"/>
              <w:autoSpaceDN w:val="0"/>
              <w:adjustRightInd w:val="0"/>
              <w:jc w:val="center"/>
            </w:pPr>
            <w:r w:rsidRPr="00037AD4">
              <w:t>1105.987</w:t>
            </w:r>
          </w:p>
        </w:tc>
        <w:tc>
          <w:tcPr>
            <w:tcW w:w="0" w:type="auto"/>
            <w:tcBorders>
              <w:top w:val="nil"/>
              <w:left w:val="nil"/>
              <w:bottom w:val="nil"/>
              <w:right w:val="nil"/>
            </w:tcBorders>
          </w:tcPr>
          <w:p w14:paraId="335F247A" w14:textId="77777777" w:rsidR="00B54D51" w:rsidRPr="00037AD4" w:rsidRDefault="00B54D51" w:rsidP="00401C67">
            <w:pPr>
              <w:widowControl w:val="0"/>
              <w:autoSpaceDE w:val="0"/>
              <w:autoSpaceDN w:val="0"/>
              <w:adjustRightInd w:val="0"/>
              <w:jc w:val="center"/>
            </w:pPr>
            <w:r w:rsidRPr="00037AD4">
              <w:t>1123.015</w:t>
            </w:r>
          </w:p>
        </w:tc>
        <w:tc>
          <w:tcPr>
            <w:tcW w:w="0" w:type="auto"/>
            <w:tcBorders>
              <w:top w:val="nil"/>
              <w:left w:val="nil"/>
              <w:bottom w:val="nil"/>
              <w:right w:val="nil"/>
            </w:tcBorders>
          </w:tcPr>
          <w:p w14:paraId="64072CDE" w14:textId="77777777" w:rsidR="00B54D51" w:rsidRPr="00037AD4" w:rsidRDefault="00B54D51" w:rsidP="00401C67">
            <w:pPr>
              <w:widowControl w:val="0"/>
              <w:autoSpaceDE w:val="0"/>
              <w:autoSpaceDN w:val="0"/>
              <w:adjustRightInd w:val="0"/>
              <w:jc w:val="center"/>
            </w:pPr>
            <w:r w:rsidRPr="00037AD4">
              <w:t>1121.295</w:t>
            </w:r>
          </w:p>
        </w:tc>
        <w:tc>
          <w:tcPr>
            <w:tcW w:w="0" w:type="auto"/>
            <w:tcBorders>
              <w:top w:val="nil"/>
              <w:left w:val="nil"/>
              <w:bottom w:val="nil"/>
              <w:right w:val="nil"/>
            </w:tcBorders>
          </w:tcPr>
          <w:p w14:paraId="0251249B" w14:textId="77777777" w:rsidR="00B54D51" w:rsidRPr="00037AD4" w:rsidRDefault="00B54D51" w:rsidP="00401C67">
            <w:pPr>
              <w:widowControl w:val="0"/>
              <w:autoSpaceDE w:val="0"/>
              <w:autoSpaceDN w:val="0"/>
              <w:adjustRightInd w:val="0"/>
              <w:jc w:val="center"/>
            </w:pPr>
            <w:r w:rsidRPr="00037AD4">
              <w:t>1125.853</w:t>
            </w:r>
          </w:p>
        </w:tc>
        <w:tc>
          <w:tcPr>
            <w:tcW w:w="0" w:type="auto"/>
            <w:tcBorders>
              <w:top w:val="nil"/>
              <w:left w:val="nil"/>
              <w:bottom w:val="nil"/>
              <w:right w:val="nil"/>
            </w:tcBorders>
          </w:tcPr>
          <w:p w14:paraId="7DF60D9F" w14:textId="77777777" w:rsidR="00B54D51" w:rsidRPr="00037AD4" w:rsidRDefault="00B54D51" w:rsidP="00401C67">
            <w:pPr>
              <w:widowControl w:val="0"/>
              <w:autoSpaceDE w:val="0"/>
              <w:autoSpaceDN w:val="0"/>
              <w:adjustRightInd w:val="0"/>
              <w:jc w:val="center"/>
            </w:pPr>
            <w:r w:rsidRPr="00037AD4">
              <w:t>1122.798</w:t>
            </w:r>
          </w:p>
        </w:tc>
      </w:tr>
      <w:tr w:rsidR="00B54D51" w:rsidRPr="00037AD4" w14:paraId="4EBDCFAB" w14:textId="77777777" w:rsidTr="00401C67">
        <w:tblPrEx>
          <w:tblBorders>
            <w:bottom w:val="single" w:sz="6" w:space="0" w:color="auto"/>
          </w:tblBorders>
        </w:tblPrEx>
        <w:trPr>
          <w:jc w:val="center"/>
        </w:trPr>
        <w:tc>
          <w:tcPr>
            <w:tcW w:w="0" w:type="auto"/>
            <w:tcBorders>
              <w:top w:val="nil"/>
              <w:left w:val="nil"/>
              <w:bottom w:val="nil"/>
              <w:right w:val="nil"/>
            </w:tcBorders>
          </w:tcPr>
          <w:p w14:paraId="2CB9CA7F" w14:textId="77777777" w:rsidR="00B54D51" w:rsidRPr="00037AD4" w:rsidRDefault="00B54D51" w:rsidP="00401C67">
            <w:pPr>
              <w:widowControl w:val="0"/>
              <w:autoSpaceDE w:val="0"/>
              <w:autoSpaceDN w:val="0"/>
              <w:adjustRightInd w:val="0"/>
            </w:pPr>
            <w:r w:rsidRPr="00037AD4">
              <w:t>BIC</w:t>
            </w:r>
          </w:p>
        </w:tc>
        <w:tc>
          <w:tcPr>
            <w:tcW w:w="0" w:type="auto"/>
            <w:tcBorders>
              <w:top w:val="nil"/>
              <w:left w:val="nil"/>
              <w:bottom w:val="nil"/>
              <w:right w:val="nil"/>
            </w:tcBorders>
          </w:tcPr>
          <w:p w14:paraId="6E9A24BA" w14:textId="77777777" w:rsidR="00B54D51" w:rsidRPr="00037AD4" w:rsidRDefault="00B54D51" w:rsidP="00401C67">
            <w:pPr>
              <w:widowControl w:val="0"/>
              <w:autoSpaceDE w:val="0"/>
              <w:autoSpaceDN w:val="0"/>
              <w:adjustRightInd w:val="0"/>
              <w:jc w:val="center"/>
            </w:pPr>
            <w:r w:rsidRPr="00037AD4">
              <w:t>1250.106</w:t>
            </w:r>
          </w:p>
        </w:tc>
        <w:tc>
          <w:tcPr>
            <w:tcW w:w="0" w:type="auto"/>
            <w:tcBorders>
              <w:top w:val="nil"/>
              <w:left w:val="nil"/>
              <w:bottom w:val="nil"/>
              <w:right w:val="nil"/>
            </w:tcBorders>
          </w:tcPr>
          <w:p w14:paraId="2A7FF56C" w14:textId="77777777" w:rsidR="00B54D51" w:rsidRPr="00037AD4" w:rsidRDefault="00B54D51" w:rsidP="00401C67">
            <w:pPr>
              <w:widowControl w:val="0"/>
              <w:autoSpaceDE w:val="0"/>
              <w:autoSpaceDN w:val="0"/>
              <w:adjustRightInd w:val="0"/>
              <w:jc w:val="center"/>
            </w:pPr>
            <w:r w:rsidRPr="00037AD4">
              <w:t>1174.351</w:t>
            </w:r>
          </w:p>
        </w:tc>
        <w:tc>
          <w:tcPr>
            <w:tcW w:w="0" w:type="auto"/>
            <w:tcBorders>
              <w:top w:val="nil"/>
              <w:left w:val="nil"/>
              <w:bottom w:val="nil"/>
              <w:right w:val="nil"/>
            </w:tcBorders>
          </w:tcPr>
          <w:p w14:paraId="09F701D6" w14:textId="77777777" w:rsidR="00B54D51" w:rsidRPr="00037AD4" w:rsidRDefault="00B54D51" w:rsidP="00401C67">
            <w:pPr>
              <w:widowControl w:val="0"/>
              <w:autoSpaceDE w:val="0"/>
              <w:autoSpaceDN w:val="0"/>
              <w:adjustRightInd w:val="0"/>
              <w:jc w:val="center"/>
            </w:pPr>
            <w:r w:rsidRPr="00037AD4">
              <w:t>1169.196</w:t>
            </w:r>
          </w:p>
        </w:tc>
        <w:tc>
          <w:tcPr>
            <w:tcW w:w="0" w:type="auto"/>
            <w:tcBorders>
              <w:top w:val="nil"/>
              <w:left w:val="nil"/>
              <w:bottom w:val="nil"/>
              <w:right w:val="nil"/>
            </w:tcBorders>
          </w:tcPr>
          <w:p w14:paraId="640E1ACC" w14:textId="77777777" w:rsidR="00B54D51" w:rsidRPr="00037AD4" w:rsidRDefault="00B54D51" w:rsidP="00401C67">
            <w:pPr>
              <w:widowControl w:val="0"/>
              <w:autoSpaceDE w:val="0"/>
              <w:autoSpaceDN w:val="0"/>
              <w:adjustRightInd w:val="0"/>
              <w:jc w:val="center"/>
            </w:pPr>
            <w:r w:rsidRPr="00037AD4">
              <w:t>1167.890</w:t>
            </w:r>
          </w:p>
        </w:tc>
        <w:tc>
          <w:tcPr>
            <w:tcW w:w="0" w:type="auto"/>
            <w:tcBorders>
              <w:top w:val="nil"/>
              <w:left w:val="nil"/>
              <w:bottom w:val="nil"/>
              <w:right w:val="nil"/>
            </w:tcBorders>
          </w:tcPr>
          <w:p w14:paraId="0C26FCD3" w14:textId="77777777" w:rsidR="00B54D51" w:rsidRPr="00037AD4" w:rsidRDefault="00B54D51" w:rsidP="00401C67">
            <w:pPr>
              <w:widowControl w:val="0"/>
              <w:autoSpaceDE w:val="0"/>
              <w:autoSpaceDN w:val="0"/>
              <w:adjustRightInd w:val="0"/>
              <w:jc w:val="center"/>
            </w:pPr>
            <w:r w:rsidRPr="00037AD4">
              <w:t>1169.468</w:t>
            </w:r>
          </w:p>
        </w:tc>
      </w:tr>
      <w:tr w:rsidR="00B54D51" w:rsidRPr="00037AD4" w14:paraId="29BE36F5" w14:textId="77777777" w:rsidTr="00401C67">
        <w:tblPrEx>
          <w:tblBorders>
            <w:bottom w:val="single" w:sz="6" w:space="0" w:color="auto"/>
          </w:tblBorders>
        </w:tblPrEx>
        <w:trPr>
          <w:jc w:val="center"/>
        </w:trPr>
        <w:tc>
          <w:tcPr>
            <w:tcW w:w="0" w:type="auto"/>
            <w:tcBorders>
              <w:top w:val="nil"/>
              <w:left w:val="nil"/>
              <w:bottom w:val="single" w:sz="6" w:space="0" w:color="auto"/>
              <w:right w:val="nil"/>
            </w:tcBorders>
          </w:tcPr>
          <w:p w14:paraId="62D4A29E" w14:textId="77777777" w:rsidR="00B54D51" w:rsidRPr="00037AD4" w:rsidRDefault="00B54D51" w:rsidP="00401C67">
            <w:pPr>
              <w:widowControl w:val="0"/>
              <w:autoSpaceDE w:val="0"/>
              <w:autoSpaceDN w:val="0"/>
              <w:adjustRightInd w:val="0"/>
            </w:pPr>
            <w:r w:rsidRPr="00037AD4">
              <w:t>Log likelihood (model)</w:t>
            </w:r>
          </w:p>
        </w:tc>
        <w:tc>
          <w:tcPr>
            <w:tcW w:w="0" w:type="auto"/>
            <w:tcBorders>
              <w:top w:val="nil"/>
              <w:left w:val="nil"/>
              <w:bottom w:val="single" w:sz="6" w:space="0" w:color="auto"/>
              <w:right w:val="nil"/>
            </w:tcBorders>
          </w:tcPr>
          <w:p w14:paraId="126F7CE4" w14:textId="77777777" w:rsidR="00B54D51" w:rsidRPr="00037AD4" w:rsidRDefault="00B54D51" w:rsidP="00401C67">
            <w:pPr>
              <w:widowControl w:val="0"/>
              <w:autoSpaceDE w:val="0"/>
              <w:autoSpaceDN w:val="0"/>
              <w:adjustRightInd w:val="0"/>
              <w:jc w:val="center"/>
            </w:pPr>
            <w:r w:rsidRPr="00037AD4">
              <w:t>-521.997</w:t>
            </w:r>
          </w:p>
        </w:tc>
        <w:tc>
          <w:tcPr>
            <w:tcW w:w="0" w:type="auto"/>
            <w:tcBorders>
              <w:top w:val="nil"/>
              <w:left w:val="nil"/>
              <w:bottom w:val="single" w:sz="6" w:space="0" w:color="auto"/>
              <w:right w:val="nil"/>
            </w:tcBorders>
          </w:tcPr>
          <w:p w14:paraId="5A16E31C" w14:textId="77777777" w:rsidR="00B54D51" w:rsidRPr="00037AD4" w:rsidRDefault="00B54D51" w:rsidP="00401C67">
            <w:pPr>
              <w:widowControl w:val="0"/>
              <w:autoSpaceDE w:val="0"/>
              <w:autoSpaceDN w:val="0"/>
              <w:adjustRightInd w:val="0"/>
              <w:jc w:val="center"/>
            </w:pPr>
            <w:r w:rsidRPr="00037AD4">
              <w:t>-550.504</w:t>
            </w:r>
          </w:p>
        </w:tc>
        <w:tc>
          <w:tcPr>
            <w:tcW w:w="0" w:type="auto"/>
            <w:tcBorders>
              <w:top w:val="nil"/>
              <w:left w:val="nil"/>
              <w:bottom w:val="single" w:sz="6" w:space="0" w:color="auto"/>
              <w:right w:val="nil"/>
            </w:tcBorders>
          </w:tcPr>
          <w:p w14:paraId="3B13906C" w14:textId="77777777" w:rsidR="00B54D51" w:rsidRPr="00037AD4" w:rsidRDefault="00B54D51" w:rsidP="00401C67">
            <w:pPr>
              <w:widowControl w:val="0"/>
              <w:autoSpaceDE w:val="0"/>
              <w:autoSpaceDN w:val="0"/>
              <w:adjustRightInd w:val="0"/>
              <w:jc w:val="center"/>
            </w:pPr>
            <w:r w:rsidRPr="00037AD4">
              <w:t>-550.648</w:t>
            </w:r>
          </w:p>
        </w:tc>
        <w:tc>
          <w:tcPr>
            <w:tcW w:w="0" w:type="auto"/>
            <w:tcBorders>
              <w:top w:val="nil"/>
              <w:left w:val="nil"/>
              <w:bottom w:val="single" w:sz="6" w:space="0" w:color="auto"/>
              <w:right w:val="nil"/>
            </w:tcBorders>
          </w:tcPr>
          <w:p w14:paraId="7898649C" w14:textId="77777777" w:rsidR="00B54D51" w:rsidRPr="00037AD4" w:rsidRDefault="00B54D51" w:rsidP="00401C67">
            <w:pPr>
              <w:widowControl w:val="0"/>
              <w:autoSpaceDE w:val="0"/>
              <w:autoSpaceDN w:val="0"/>
              <w:adjustRightInd w:val="0"/>
              <w:jc w:val="center"/>
            </w:pPr>
            <w:r w:rsidRPr="00037AD4">
              <w:t>-553.927</w:t>
            </w:r>
          </w:p>
        </w:tc>
        <w:tc>
          <w:tcPr>
            <w:tcW w:w="0" w:type="auto"/>
            <w:tcBorders>
              <w:top w:val="nil"/>
              <w:left w:val="nil"/>
              <w:bottom w:val="single" w:sz="6" w:space="0" w:color="auto"/>
              <w:right w:val="nil"/>
            </w:tcBorders>
          </w:tcPr>
          <w:p w14:paraId="0958ABA9" w14:textId="77777777" w:rsidR="00B54D51" w:rsidRPr="00037AD4" w:rsidRDefault="00B54D51" w:rsidP="00401C67">
            <w:pPr>
              <w:widowControl w:val="0"/>
              <w:autoSpaceDE w:val="0"/>
              <w:autoSpaceDN w:val="0"/>
              <w:adjustRightInd w:val="0"/>
              <w:jc w:val="center"/>
            </w:pPr>
            <w:r w:rsidRPr="00037AD4">
              <w:t>-551.399</w:t>
            </w:r>
          </w:p>
        </w:tc>
      </w:tr>
    </w:tbl>
    <w:p w14:paraId="014F1034" w14:textId="77777777" w:rsidR="00B54D51" w:rsidRPr="00037AD4" w:rsidRDefault="00B54D51" w:rsidP="001D7ACE">
      <w:pPr>
        <w:widowControl w:val="0"/>
        <w:autoSpaceDE w:val="0"/>
        <w:autoSpaceDN w:val="0"/>
        <w:adjustRightInd w:val="0"/>
        <w:jc w:val="center"/>
      </w:pPr>
      <w:r w:rsidRPr="00037AD4">
        <w:t>Robust ci in parentheses</w:t>
      </w:r>
    </w:p>
    <w:p w14:paraId="512D3B09" w14:textId="77777777" w:rsidR="00B54D51" w:rsidRPr="00037AD4" w:rsidRDefault="00B54D51" w:rsidP="001D7ACE">
      <w:pPr>
        <w:widowControl w:val="0"/>
        <w:autoSpaceDE w:val="0"/>
        <w:autoSpaceDN w:val="0"/>
        <w:adjustRightInd w:val="0"/>
        <w:jc w:val="center"/>
      </w:pPr>
      <w:r w:rsidRPr="00037AD4">
        <w:t>*** p&lt;0.01, ** p&lt;0.05, * p&lt;0.1</w:t>
      </w:r>
    </w:p>
    <w:p w14:paraId="4F3E9F30" w14:textId="77777777" w:rsidR="00B54D51" w:rsidRPr="00037AD4" w:rsidRDefault="00B54D51" w:rsidP="001D7ACE">
      <w:pPr>
        <w:rPr>
          <w:color w:val="FF0000"/>
          <w:u w:val="single"/>
        </w:rPr>
      </w:pPr>
    </w:p>
    <w:p w14:paraId="306DCE5A" w14:textId="77777777" w:rsidR="00B54D51" w:rsidRPr="00037AD4" w:rsidRDefault="00B54D51" w:rsidP="001D7ACE">
      <w:pPr>
        <w:rPr>
          <w:color w:val="FF0000"/>
          <w:u w:val="single"/>
        </w:rPr>
      </w:pPr>
    </w:p>
    <w:p w14:paraId="7F922B55" w14:textId="77777777" w:rsidR="00B54D51" w:rsidRPr="00037AD4" w:rsidRDefault="00B54D51" w:rsidP="001D7ACE">
      <w:pPr>
        <w:rPr>
          <w:rFonts w:asciiTheme="minorHAnsi" w:hAnsiTheme="minorHAnsi" w:cstheme="minorHAnsi"/>
          <w:u w:val="single"/>
        </w:rPr>
      </w:pPr>
      <w:r w:rsidRPr="00037AD4">
        <w:rPr>
          <w:rFonts w:asciiTheme="minorHAnsi" w:hAnsiTheme="minorHAnsi" w:cstheme="minorHAnsi"/>
          <w:u w:val="single"/>
        </w:rPr>
        <w:t xml:space="preserve">Table </w:t>
      </w:r>
      <w:r w:rsidRPr="00037AD4">
        <w:rPr>
          <w:rFonts w:asciiTheme="minorHAnsi" w:hAnsiTheme="minorHAnsi" w:cstheme="minorHAnsi"/>
          <w:color w:val="000000" w:themeColor="text1"/>
          <w:u w:val="single"/>
        </w:rPr>
        <w:t>A6.2o</w:t>
      </w:r>
      <w:r w:rsidRPr="00037AD4">
        <w:rPr>
          <w:rFonts w:asciiTheme="minorHAnsi" w:hAnsiTheme="minorHAnsi" w:cstheme="minorHAnsi"/>
          <w:u w:val="single"/>
        </w:rPr>
        <w:t>, Summary table of coefficients for the selected “anxiety/depression” models</w:t>
      </w:r>
    </w:p>
    <w:p w14:paraId="25955783" w14:textId="77777777" w:rsidR="00B54D51" w:rsidRPr="00037AD4" w:rsidRDefault="00B54D51" w:rsidP="001D7ACE">
      <w:pPr>
        <w:rPr>
          <w:rFonts w:asciiTheme="minorHAnsi" w:hAnsiTheme="minorHAnsi" w:cstheme="minorHAnsi"/>
          <w:color w:val="FF0000"/>
          <w:u w:val="single"/>
        </w:rPr>
      </w:pPr>
    </w:p>
    <w:tbl>
      <w:tblPr>
        <w:tblStyle w:val="TableGrid"/>
        <w:tblW w:w="0" w:type="auto"/>
        <w:tblLook w:val="04A0" w:firstRow="1" w:lastRow="0" w:firstColumn="1" w:lastColumn="0" w:noHBand="0" w:noVBand="1"/>
      </w:tblPr>
      <w:tblGrid>
        <w:gridCol w:w="3005"/>
        <w:gridCol w:w="3005"/>
        <w:gridCol w:w="3006"/>
      </w:tblGrid>
      <w:tr w:rsidR="00B54D51" w:rsidRPr="00037AD4" w14:paraId="5EBBFD8E" w14:textId="77777777" w:rsidTr="00401C67">
        <w:tc>
          <w:tcPr>
            <w:tcW w:w="3005" w:type="dxa"/>
          </w:tcPr>
          <w:p w14:paraId="6D4B0B5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Regression variables </w:t>
            </w:r>
          </w:p>
        </w:tc>
        <w:tc>
          <w:tcPr>
            <w:tcW w:w="3005" w:type="dxa"/>
          </w:tcPr>
          <w:p w14:paraId="72FEDEC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ACTIFCARE</w:t>
            </w:r>
          </w:p>
        </w:tc>
        <w:tc>
          <w:tcPr>
            <w:tcW w:w="3006" w:type="dxa"/>
          </w:tcPr>
          <w:p w14:paraId="36B5279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EPIC</w:t>
            </w:r>
          </w:p>
        </w:tc>
      </w:tr>
      <w:tr w:rsidR="00B54D51" w:rsidRPr="00037AD4" w14:paraId="04653AF1" w14:textId="77777777" w:rsidTr="00401C67">
        <w:tc>
          <w:tcPr>
            <w:tcW w:w="3005" w:type="dxa"/>
          </w:tcPr>
          <w:p w14:paraId="6CFB118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Anxiety/depression (2)</w:t>
            </w:r>
          </w:p>
        </w:tc>
        <w:tc>
          <w:tcPr>
            <w:tcW w:w="3005" w:type="dxa"/>
          </w:tcPr>
          <w:p w14:paraId="76DCDCF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0.361*</w:t>
            </w:r>
          </w:p>
        </w:tc>
        <w:tc>
          <w:tcPr>
            <w:tcW w:w="3006" w:type="dxa"/>
          </w:tcPr>
          <w:p w14:paraId="1216812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0.258*</w:t>
            </w:r>
          </w:p>
        </w:tc>
      </w:tr>
      <w:tr w:rsidR="00B54D51" w:rsidRPr="00037AD4" w14:paraId="1817F152" w14:textId="77777777" w:rsidTr="00401C67">
        <w:tc>
          <w:tcPr>
            <w:tcW w:w="3005" w:type="dxa"/>
          </w:tcPr>
          <w:p w14:paraId="3A92E28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Anxiety/depression (3)</w:t>
            </w:r>
          </w:p>
        </w:tc>
        <w:tc>
          <w:tcPr>
            <w:tcW w:w="3005" w:type="dxa"/>
          </w:tcPr>
          <w:p w14:paraId="3008361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0.710*</w:t>
            </w:r>
          </w:p>
        </w:tc>
        <w:tc>
          <w:tcPr>
            <w:tcW w:w="3006" w:type="dxa"/>
          </w:tcPr>
          <w:p w14:paraId="4611132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0.656*</w:t>
            </w:r>
          </w:p>
        </w:tc>
      </w:tr>
      <w:tr w:rsidR="00B54D51" w:rsidRPr="00037AD4" w14:paraId="111E3B86" w14:textId="77777777" w:rsidTr="00401C67">
        <w:tc>
          <w:tcPr>
            <w:tcW w:w="3005" w:type="dxa"/>
          </w:tcPr>
          <w:p w14:paraId="699194D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Anxiety/depression (4)</w:t>
            </w:r>
          </w:p>
        </w:tc>
        <w:tc>
          <w:tcPr>
            <w:tcW w:w="3005" w:type="dxa"/>
          </w:tcPr>
          <w:p w14:paraId="1107722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0.586*</w:t>
            </w:r>
          </w:p>
        </w:tc>
        <w:tc>
          <w:tcPr>
            <w:tcW w:w="3006" w:type="dxa"/>
          </w:tcPr>
          <w:p w14:paraId="65B2A2D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0.890*</w:t>
            </w:r>
          </w:p>
        </w:tc>
      </w:tr>
      <w:tr w:rsidR="00B54D51" w:rsidRPr="00037AD4" w14:paraId="4A2DBF24" w14:textId="77777777" w:rsidTr="00401C67">
        <w:tc>
          <w:tcPr>
            <w:tcW w:w="3005" w:type="dxa"/>
          </w:tcPr>
          <w:p w14:paraId="4FDE2B3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Anxiety/depression (5)</w:t>
            </w:r>
          </w:p>
        </w:tc>
        <w:tc>
          <w:tcPr>
            <w:tcW w:w="3005" w:type="dxa"/>
          </w:tcPr>
          <w:p w14:paraId="192DBFC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1.297*</w:t>
            </w:r>
          </w:p>
        </w:tc>
        <w:tc>
          <w:tcPr>
            <w:tcW w:w="3006" w:type="dxa"/>
          </w:tcPr>
          <w:p w14:paraId="0B229EA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1.294</w:t>
            </w:r>
          </w:p>
        </w:tc>
      </w:tr>
      <w:tr w:rsidR="00B54D51" w:rsidRPr="00037AD4" w14:paraId="5773A4EA" w14:textId="77777777" w:rsidTr="00401C67">
        <w:tc>
          <w:tcPr>
            <w:tcW w:w="3005" w:type="dxa"/>
          </w:tcPr>
          <w:p w14:paraId="580AAAA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NPI</w:t>
            </w:r>
          </w:p>
        </w:tc>
        <w:tc>
          <w:tcPr>
            <w:tcW w:w="3005" w:type="dxa"/>
          </w:tcPr>
          <w:p w14:paraId="2C42D6E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-0.001</w:t>
            </w:r>
          </w:p>
        </w:tc>
        <w:tc>
          <w:tcPr>
            <w:tcW w:w="3006" w:type="dxa"/>
          </w:tcPr>
          <w:p w14:paraId="1B3B929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0.012*</w:t>
            </w:r>
          </w:p>
        </w:tc>
      </w:tr>
      <w:tr w:rsidR="00B54D51" w:rsidRPr="00037AD4" w14:paraId="417102D6" w14:textId="77777777" w:rsidTr="00401C67">
        <w:tc>
          <w:tcPr>
            <w:tcW w:w="3005" w:type="dxa"/>
          </w:tcPr>
          <w:p w14:paraId="0A8A7AB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PwD age</w:t>
            </w:r>
          </w:p>
        </w:tc>
        <w:tc>
          <w:tcPr>
            <w:tcW w:w="3005" w:type="dxa"/>
          </w:tcPr>
          <w:p w14:paraId="7D93039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-0.001</w:t>
            </w:r>
          </w:p>
        </w:tc>
        <w:tc>
          <w:tcPr>
            <w:tcW w:w="3006" w:type="dxa"/>
          </w:tcPr>
          <w:p w14:paraId="0BFE9A4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-0.004</w:t>
            </w:r>
          </w:p>
        </w:tc>
      </w:tr>
      <w:tr w:rsidR="00B54D51" w:rsidRPr="00037AD4" w14:paraId="0ED5142D" w14:textId="77777777" w:rsidTr="00401C67">
        <w:tc>
          <w:tcPr>
            <w:tcW w:w="3005" w:type="dxa"/>
          </w:tcPr>
          <w:p w14:paraId="2786A74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PwD sex </w:t>
            </w:r>
          </w:p>
        </w:tc>
        <w:tc>
          <w:tcPr>
            <w:tcW w:w="3005" w:type="dxa"/>
          </w:tcPr>
          <w:p w14:paraId="73CD33D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0.008</w:t>
            </w:r>
          </w:p>
        </w:tc>
        <w:tc>
          <w:tcPr>
            <w:tcW w:w="3006" w:type="dxa"/>
          </w:tcPr>
          <w:p w14:paraId="224A135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0.156</w:t>
            </w:r>
          </w:p>
        </w:tc>
      </w:tr>
      <w:tr w:rsidR="00B54D51" w:rsidRPr="00037AD4" w14:paraId="0AFD46DD" w14:textId="77777777" w:rsidTr="00401C67">
        <w:tc>
          <w:tcPr>
            <w:tcW w:w="3005" w:type="dxa"/>
          </w:tcPr>
          <w:p w14:paraId="1F73C9D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MMSE</w:t>
            </w:r>
          </w:p>
        </w:tc>
        <w:tc>
          <w:tcPr>
            <w:tcW w:w="3005" w:type="dxa"/>
          </w:tcPr>
          <w:p w14:paraId="3812AEC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-0.005</w:t>
            </w:r>
          </w:p>
        </w:tc>
        <w:tc>
          <w:tcPr>
            <w:tcW w:w="3006" w:type="dxa"/>
          </w:tcPr>
          <w:p w14:paraId="3FC8875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w:t>
            </w:r>
          </w:p>
        </w:tc>
      </w:tr>
      <w:tr w:rsidR="00B54D51" w:rsidRPr="00037AD4" w14:paraId="4D22A7A3" w14:textId="77777777" w:rsidTr="00401C67">
        <w:tc>
          <w:tcPr>
            <w:tcW w:w="3005" w:type="dxa"/>
          </w:tcPr>
          <w:p w14:paraId="3194447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Model fit statistics </w:t>
            </w:r>
          </w:p>
        </w:tc>
        <w:tc>
          <w:tcPr>
            <w:tcW w:w="3005" w:type="dxa"/>
          </w:tcPr>
          <w:p w14:paraId="2014055E" w14:textId="77777777" w:rsidR="00B54D51" w:rsidRPr="00037AD4" w:rsidRDefault="00B54D51" w:rsidP="00401C67">
            <w:pPr>
              <w:pStyle w:val="ListParagraph"/>
              <w:ind w:left="0"/>
              <w:rPr>
                <w:rFonts w:cstheme="minorHAnsi"/>
                <w:sz w:val="22"/>
                <w:szCs w:val="22"/>
              </w:rPr>
            </w:pPr>
            <w:r w:rsidRPr="00037AD4">
              <w:rPr>
                <w:rFonts w:cstheme="minorHAnsi"/>
                <w:sz w:val="22"/>
                <w:szCs w:val="22"/>
              </w:rPr>
              <w:t>AIC: 2022.598; BIC: 2081.646</w:t>
            </w:r>
          </w:p>
          <w:p w14:paraId="3B1EA317" w14:textId="77777777" w:rsidR="00B54D51" w:rsidRPr="00037AD4" w:rsidRDefault="00B54D51" w:rsidP="00401C67">
            <w:pPr>
              <w:pStyle w:val="ListParagraph"/>
              <w:ind w:left="0"/>
              <w:rPr>
                <w:rFonts w:cstheme="minorHAnsi"/>
                <w:sz w:val="22"/>
                <w:szCs w:val="22"/>
              </w:rPr>
            </w:pPr>
            <w:r w:rsidRPr="00037AD4">
              <w:rPr>
                <w:rFonts w:cstheme="minorHAnsi"/>
                <w:sz w:val="22"/>
                <w:szCs w:val="22"/>
              </w:rPr>
              <w:t>Ll(model): -999.299</w:t>
            </w:r>
          </w:p>
        </w:tc>
        <w:tc>
          <w:tcPr>
            <w:tcW w:w="3006" w:type="dxa"/>
          </w:tcPr>
          <w:p w14:paraId="21638F2F" w14:textId="77777777" w:rsidR="00B54D51" w:rsidRPr="00037AD4" w:rsidRDefault="00B54D51" w:rsidP="00401C67">
            <w:pPr>
              <w:pStyle w:val="ListParagraph"/>
              <w:ind w:left="0"/>
              <w:rPr>
                <w:rFonts w:cstheme="minorHAnsi"/>
                <w:sz w:val="22"/>
                <w:szCs w:val="22"/>
              </w:rPr>
            </w:pPr>
            <w:r w:rsidRPr="00037AD4">
              <w:rPr>
                <w:rFonts w:cstheme="minorHAnsi"/>
                <w:sz w:val="22"/>
                <w:szCs w:val="22"/>
              </w:rPr>
              <w:t>AIC: 1123.015; BIC: 1174.351</w:t>
            </w:r>
          </w:p>
          <w:p w14:paraId="0378D226" w14:textId="77777777" w:rsidR="00B54D51" w:rsidRPr="00037AD4" w:rsidRDefault="00B54D51" w:rsidP="00401C67">
            <w:pPr>
              <w:pStyle w:val="ListParagraph"/>
              <w:ind w:left="0"/>
              <w:rPr>
                <w:rFonts w:cstheme="minorHAnsi"/>
                <w:sz w:val="22"/>
                <w:szCs w:val="22"/>
              </w:rPr>
            </w:pPr>
            <w:r w:rsidRPr="00037AD4">
              <w:rPr>
                <w:rFonts w:cstheme="minorHAnsi"/>
                <w:sz w:val="22"/>
                <w:szCs w:val="22"/>
              </w:rPr>
              <w:t>Ll(model): -550.504</w:t>
            </w:r>
          </w:p>
        </w:tc>
      </w:tr>
    </w:tbl>
    <w:p w14:paraId="4585FC05" w14:textId="77777777" w:rsidR="00B54D51" w:rsidRPr="00037AD4" w:rsidRDefault="00B54D51" w:rsidP="001D7ACE">
      <w:pPr>
        <w:rPr>
          <w:rFonts w:asciiTheme="minorHAnsi" w:hAnsiTheme="minorHAnsi" w:cstheme="minorHAnsi"/>
          <w:color w:val="FF0000"/>
          <w:u w:val="single"/>
        </w:rPr>
      </w:pPr>
    </w:p>
    <w:p w14:paraId="4022238F" w14:textId="77777777" w:rsidR="00B54D51" w:rsidRPr="00037AD4" w:rsidRDefault="00B54D51" w:rsidP="001D7ACE">
      <w:pPr>
        <w:rPr>
          <w:rFonts w:asciiTheme="minorHAnsi" w:hAnsiTheme="minorHAnsi" w:cstheme="minorHAnsi"/>
          <w:color w:val="FF0000"/>
          <w:u w:val="single"/>
        </w:rPr>
      </w:pPr>
    </w:p>
    <w:p w14:paraId="78BAF352" w14:textId="77777777" w:rsidR="00B54D51" w:rsidRPr="00037AD4" w:rsidRDefault="00B54D51" w:rsidP="001D7ACE">
      <w:pPr>
        <w:rPr>
          <w:rFonts w:asciiTheme="minorHAnsi" w:hAnsiTheme="minorHAnsi" w:cstheme="minorHAnsi"/>
          <w:color w:val="FF0000"/>
          <w:u w:val="single"/>
        </w:rPr>
      </w:pPr>
    </w:p>
    <w:p w14:paraId="371590D8" w14:textId="77777777" w:rsidR="00B54D51" w:rsidRPr="00037AD4" w:rsidRDefault="00B54D51" w:rsidP="001D7ACE">
      <w:pPr>
        <w:rPr>
          <w:rFonts w:asciiTheme="minorHAnsi" w:hAnsiTheme="minorHAnsi" w:cstheme="minorHAnsi"/>
          <w:color w:val="FF0000"/>
          <w:u w:val="single"/>
        </w:rPr>
      </w:pPr>
    </w:p>
    <w:p w14:paraId="51627247" w14:textId="77777777" w:rsidR="00B54D51" w:rsidRPr="00037AD4" w:rsidRDefault="00B54D51" w:rsidP="001D7ACE">
      <w:pPr>
        <w:rPr>
          <w:color w:val="FF0000"/>
          <w:u w:val="single"/>
        </w:rPr>
      </w:pPr>
    </w:p>
    <w:p w14:paraId="48C6F665" w14:textId="77777777" w:rsidR="00B54D51" w:rsidRPr="00037AD4" w:rsidRDefault="00B54D51" w:rsidP="001D7ACE">
      <w:pPr>
        <w:rPr>
          <w:color w:val="FF0000"/>
          <w:u w:val="single"/>
        </w:rPr>
      </w:pPr>
    </w:p>
    <w:p w14:paraId="13E74A0D" w14:textId="77777777" w:rsidR="00B54D51" w:rsidRPr="00037AD4" w:rsidRDefault="00B54D51" w:rsidP="001D7ACE">
      <w:pPr>
        <w:rPr>
          <w:color w:val="FF0000"/>
          <w:u w:val="single"/>
        </w:rPr>
      </w:pPr>
    </w:p>
    <w:p w14:paraId="2B108188" w14:textId="77777777" w:rsidR="00B54D51" w:rsidRPr="00037AD4" w:rsidRDefault="00B54D51" w:rsidP="001D7ACE">
      <w:pPr>
        <w:rPr>
          <w:color w:val="FF0000"/>
          <w:u w:val="single"/>
        </w:rPr>
      </w:pPr>
    </w:p>
    <w:p w14:paraId="334609B6" w14:textId="77777777" w:rsidR="00B54D51" w:rsidRPr="00037AD4" w:rsidRDefault="00B54D51" w:rsidP="001D7ACE">
      <w:pPr>
        <w:rPr>
          <w:color w:val="FF0000"/>
          <w:u w:val="single"/>
        </w:rPr>
      </w:pPr>
    </w:p>
    <w:p w14:paraId="20EF53A6" w14:textId="77777777" w:rsidR="00B54D51" w:rsidRPr="00037AD4" w:rsidRDefault="00B54D51" w:rsidP="001D7ACE">
      <w:pPr>
        <w:rPr>
          <w:color w:val="FF0000"/>
          <w:u w:val="single"/>
        </w:rPr>
      </w:pPr>
    </w:p>
    <w:p w14:paraId="1868DA8E" w14:textId="77777777" w:rsidR="00B54D51" w:rsidRPr="00037AD4" w:rsidRDefault="00B54D51" w:rsidP="001D7ACE">
      <w:pPr>
        <w:rPr>
          <w:color w:val="FF0000"/>
          <w:u w:val="single"/>
        </w:rPr>
      </w:pPr>
    </w:p>
    <w:p w14:paraId="0995257F" w14:textId="77777777" w:rsidR="00B54D51" w:rsidRPr="00037AD4" w:rsidRDefault="00B54D51" w:rsidP="001D7ACE">
      <w:pPr>
        <w:rPr>
          <w:color w:val="FF0000"/>
          <w:u w:val="single"/>
        </w:rPr>
      </w:pPr>
    </w:p>
    <w:p w14:paraId="39CC3D8C" w14:textId="77777777" w:rsidR="00B54D51" w:rsidRPr="00037AD4" w:rsidRDefault="00B54D51" w:rsidP="001D7ACE">
      <w:pPr>
        <w:rPr>
          <w:color w:val="FF0000"/>
          <w:u w:val="single"/>
        </w:rPr>
      </w:pPr>
    </w:p>
    <w:p w14:paraId="6B61F77A" w14:textId="77777777" w:rsidR="00B54D51" w:rsidRPr="00037AD4" w:rsidRDefault="00B54D51" w:rsidP="001D7ACE">
      <w:pPr>
        <w:rPr>
          <w:rFonts w:cstheme="minorHAnsi"/>
          <w:u w:val="single"/>
        </w:rPr>
      </w:pPr>
    </w:p>
    <w:p w14:paraId="285FF86F" w14:textId="77777777" w:rsidR="00B54D51" w:rsidRPr="00037AD4" w:rsidRDefault="00B54D51" w:rsidP="001D7ACE">
      <w:pPr>
        <w:rPr>
          <w:rFonts w:cstheme="minorHAnsi"/>
          <w:u w:val="single"/>
        </w:rPr>
      </w:pPr>
    </w:p>
    <w:p w14:paraId="04CA9092" w14:textId="77777777" w:rsidR="00B54D51" w:rsidRPr="00037AD4" w:rsidRDefault="00B54D51" w:rsidP="001D7ACE">
      <w:pPr>
        <w:rPr>
          <w:rFonts w:cstheme="minorHAnsi"/>
          <w:u w:val="single"/>
        </w:rPr>
      </w:pPr>
    </w:p>
    <w:p w14:paraId="6A18E723" w14:textId="77777777" w:rsidR="00B54D51" w:rsidRPr="00037AD4" w:rsidRDefault="00B54D51" w:rsidP="001D7ACE">
      <w:pPr>
        <w:rPr>
          <w:rFonts w:cstheme="minorHAnsi"/>
          <w:u w:val="single"/>
        </w:rPr>
      </w:pPr>
    </w:p>
    <w:p w14:paraId="58680919" w14:textId="77777777" w:rsidR="00B54D51" w:rsidRPr="00037AD4" w:rsidRDefault="00B54D51" w:rsidP="001D7ACE">
      <w:pPr>
        <w:rPr>
          <w:rFonts w:cstheme="minorHAnsi"/>
          <w:u w:val="single"/>
        </w:rPr>
      </w:pPr>
    </w:p>
    <w:p w14:paraId="2A31E6B0" w14:textId="77777777" w:rsidR="00B54D51" w:rsidRPr="00037AD4" w:rsidRDefault="00B54D51" w:rsidP="001D7ACE">
      <w:pPr>
        <w:rPr>
          <w:rFonts w:cstheme="minorHAnsi"/>
          <w:u w:val="single"/>
        </w:rPr>
      </w:pPr>
    </w:p>
    <w:p w14:paraId="576BC946" w14:textId="77777777" w:rsidR="00B54D51" w:rsidRPr="00037AD4" w:rsidRDefault="00B54D51" w:rsidP="001D7ACE">
      <w:pPr>
        <w:rPr>
          <w:rFonts w:cstheme="minorHAnsi"/>
          <w:u w:val="single"/>
        </w:rPr>
      </w:pPr>
    </w:p>
    <w:p w14:paraId="5D156C60" w14:textId="77777777" w:rsidR="00B54D51" w:rsidRPr="00037AD4" w:rsidRDefault="00B54D51" w:rsidP="001D7ACE">
      <w:pPr>
        <w:rPr>
          <w:rFonts w:cstheme="minorHAnsi"/>
          <w:u w:val="single"/>
        </w:rPr>
      </w:pPr>
    </w:p>
    <w:p w14:paraId="19EB98F0" w14:textId="77777777" w:rsidR="00B54D51" w:rsidRPr="00037AD4" w:rsidRDefault="00B54D51" w:rsidP="001D7ACE">
      <w:pPr>
        <w:rPr>
          <w:rFonts w:cstheme="minorHAnsi"/>
          <w:u w:val="single"/>
        </w:rPr>
      </w:pPr>
    </w:p>
    <w:p w14:paraId="7E56DE8A" w14:textId="77777777" w:rsidR="00B54D51" w:rsidRPr="00037AD4" w:rsidRDefault="00B54D51" w:rsidP="001D7ACE">
      <w:pPr>
        <w:rPr>
          <w:rFonts w:cstheme="minorHAnsi"/>
          <w:u w:val="single"/>
        </w:rPr>
      </w:pPr>
    </w:p>
    <w:p w14:paraId="65A44C8A" w14:textId="77777777" w:rsidR="00B54D51" w:rsidRPr="00037AD4" w:rsidRDefault="00B54D51" w:rsidP="001D7ACE">
      <w:pPr>
        <w:rPr>
          <w:rFonts w:cstheme="minorHAnsi"/>
          <w:u w:val="single"/>
        </w:rPr>
      </w:pPr>
    </w:p>
    <w:p w14:paraId="6B194670" w14:textId="77777777" w:rsidR="00B54D51" w:rsidRPr="00037AD4" w:rsidRDefault="00B54D51" w:rsidP="001D7ACE">
      <w:pPr>
        <w:rPr>
          <w:rFonts w:cstheme="minorHAnsi"/>
          <w:u w:val="single"/>
        </w:rPr>
      </w:pPr>
    </w:p>
    <w:p w14:paraId="43B01DA4" w14:textId="77777777" w:rsidR="00B54D51" w:rsidRPr="00037AD4" w:rsidRDefault="00B54D51" w:rsidP="007A43F9">
      <w:pPr>
        <w:pStyle w:val="Heading2"/>
      </w:pPr>
      <w:bookmarkStart w:id="540" w:name="A63"/>
      <w:bookmarkStart w:id="541" w:name="_Toc175742419"/>
      <w:r w:rsidRPr="00037AD4">
        <w:lastRenderedPageBreak/>
        <w:t>Appendix 6.3 Marginal effects tables for the final models</w:t>
      </w:r>
      <w:bookmarkEnd w:id="541"/>
      <w:r w:rsidRPr="00037AD4">
        <w:t xml:space="preserve"> </w:t>
      </w:r>
      <w:bookmarkEnd w:id="540"/>
    </w:p>
    <w:p w14:paraId="566DE63B" w14:textId="77777777" w:rsidR="00B54D51" w:rsidRPr="00037AD4" w:rsidRDefault="00B54D51" w:rsidP="001D7ACE">
      <w:pPr>
        <w:rPr>
          <w:rFonts w:asciiTheme="minorHAnsi" w:hAnsiTheme="minorHAnsi" w:cstheme="minorHAnsi"/>
          <w:u w:val="single"/>
        </w:rPr>
      </w:pPr>
    </w:p>
    <w:p w14:paraId="5126547A" w14:textId="77777777" w:rsidR="00B54D51" w:rsidRPr="00037AD4" w:rsidRDefault="00B54D51" w:rsidP="001D7ACE">
      <w:pPr>
        <w:rPr>
          <w:rFonts w:asciiTheme="minorHAnsi" w:hAnsiTheme="minorHAnsi" w:cstheme="minorHAnsi"/>
          <w:color w:val="FF0000"/>
          <w:u w:val="single"/>
        </w:rPr>
      </w:pPr>
      <w:bookmarkStart w:id="542" w:name="A63mob"/>
      <w:r w:rsidRPr="00037AD4">
        <w:rPr>
          <w:rFonts w:asciiTheme="minorHAnsi" w:hAnsiTheme="minorHAnsi" w:cstheme="minorHAnsi"/>
          <w:color w:val="000000" w:themeColor="text1"/>
          <w:u w:val="single"/>
        </w:rPr>
        <w:t>Table A6.3a, Mobility dimension average marginal effects: ACTIFCARE</w:t>
      </w:r>
      <w:bookmarkEnd w:id="542"/>
    </w:p>
    <w:p w14:paraId="4683AD81" w14:textId="77777777" w:rsidR="00B54D51" w:rsidRPr="00037AD4" w:rsidRDefault="00B54D51" w:rsidP="001D7ACE">
      <w:pPr>
        <w:rPr>
          <w:b/>
          <w:bCs/>
          <w:u w:val="single"/>
        </w:rPr>
      </w:pPr>
    </w:p>
    <w:tbl>
      <w:tblPr>
        <w:tblStyle w:val="TableGridLight"/>
        <w:tblW w:w="5000" w:type="pct"/>
        <w:tblLook w:val="04A0" w:firstRow="1" w:lastRow="0" w:firstColumn="1" w:lastColumn="0" w:noHBand="0" w:noVBand="1"/>
      </w:tblPr>
      <w:tblGrid>
        <w:gridCol w:w="1328"/>
        <w:gridCol w:w="2277"/>
        <w:gridCol w:w="1129"/>
        <w:gridCol w:w="959"/>
        <w:gridCol w:w="765"/>
        <w:gridCol w:w="1278"/>
        <w:gridCol w:w="1280"/>
      </w:tblGrid>
      <w:tr w:rsidR="00B54D51" w:rsidRPr="00037AD4" w14:paraId="2483A83C" w14:textId="77777777" w:rsidTr="00401C67">
        <w:trPr>
          <w:trHeight w:val="320"/>
        </w:trPr>
        <w:tc>
          <w:tcPr>
            <w:tcW w:w="736" w:type="pct"/>
            <w:noWrap/>
            <w:hideMark/>
          </w:tcPr>
          <w:p w14:paraId="44A3F7E4" w14:textId="77777777" w:rsidR="00B54D51" w:rsidRPr="00037AD4" w:rsidRDefault="00B54D51" w:rsidP="00401C67">
            <w:pPr>
              <w:rPr>
                <w:sz w:val="20"/>
                <w:szCs w:val="20"/>
              </w:rPr>
            </w:pPr>
          </w:p>
        </w:tc>
        <w:tc>
          <w:tcPr>
            <w:tcW w:w="1263" w:type="pct"/>
            <w:noWrap/>
            <w:hideMark/>
          </w:tcPr>
          <w:p w14:paraId="6169D159"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dy/dx   </w:t>
            </w:r>
          </w:p>
        </w:tc>
        <w:tc>
          <w:tcPr>
            <w:tcW w:w="626" w:type="pct"/>
          </w:tcPr>
          <w:p w14:paraId="33913646" w14:textId="77777777" w:rsidR="00B54D51" w:rsidRPr="00037AD4" w:rsidRDefault="00B54D51" w:rsidP="00401C67">
            <w:pPr>
              <w:jc w:val="center"/>
              <w:rPr>
                <w:rFonts w:ascii="Calibri" w:hAnsi="Calibri" w:cs="Calibri"/>
                <w:color w:val="000000"/>
              </w:rPr>
            </w:pPr>
            <w:r w:rsidRPr="00037AD4">
              <w:rPr>
                <w:rFonts w:ascii="Calibri" w:hAnsi="Calibri" w:cs="Calibri"/>
                <w:color w:val="000000"/>
              </w:rPr>
              <w:t>std. err.</w:t>
            </w:r>
          </w:p>
        </w:tc>
        <w:tc>
          <w:tcPr>
            <w:tcW w:w="532" w:type="pct"/>
            <w:noWrap/>
            <w:hideMark/>
          </w:tcPr>
          <w:p w14:paraId="64DBE755" w14:textId="77777777" w:rsidR="00B54D51" w:rsidRPr="00037AD4" w:rsidRDefault="00B54D51" w:rsidP="00401C67">
            <w:pPr>
              <w:jc w:val="center"/>
              <w:rPr>
                <w:rFonts w:ascii="Calibri" w:hAnsi="Calibri" w:cs="Calibri"/>
                <w:color w:val="000000"/>
              </w:rPr>
            </w:pPr>
            <w:r w:rsidRPr="00037AD4">
              <w:rPr>
                <w:rFonts w:ascii="Calibri" w:hAnsi="Calibri" w:cs="Calibri"/>
                <w:color w:val="000000"/>
              </w:rPr>
              <w:t>Z</w:t>
            </w:r>
          </w:p>
        </w:tc>
        <w:tc>
          <w:tcPr>
            <w:tcW w:w="424" w:type="pct"/>
            <w:noWrap/>
            <w:hideMark/>
          </w:tcPr>
          <w:p w14:paraId="634681CB" w14:textId="77777777" w:rsidR="00B54D51" w:rsidRPr="00037AD4" w:rsidRDefault="00B54D51" w:rsidP="00401C67">
            <w:pPr>
              <w:jc w:val="center"/>
              <w:rPr>
                <w:rFonts w:ascii="Calibri" w:hAnsi="Calibri" w:cs="Calibri"/>
                <w:color w:val="000000"/>
              </w:rPr>
            </w:pPr>
            <w:r w:rsidRPr="00037AD4">
              <w:rPr>
                <w:rFonts w:ascii="Calibri" w:hAnsi="Calibri" w:cs="Calibri"/>
                <w:color w:val="000000"/>
              </w:rPr>
              <w:t>P&gt;z</w:t>
            </w:r>
          </w:p>
        </w:tc>
        <w:tc>
          <w:tcPr>
            <w:tcW w:w="1419" w:type="pct"/>
            <w:gridSpan w:val="2"/>
            <w:noWrap/>
            <w:hideMark/>
          </w:tcPr>
          <w:p w14:paraId="22EE2163" w14:textId="77777777" w:rsidR="00B54D51" w:rsidRPr="00037AD4" w:rsidRDefault="00B54D51" w:rsidP="00401C67">
            <w:pPr>
              <w:rPr>
                <w:rFonts w:ascii="Calibri" w:hAnsi="Calibri" w:cs="Calibri"/>
                <w:color w:val="000000"/>
              </w:rPr>
            </w:pPr>
            <w:r w:rsidRPr="00037AD4">
              <w:rPr>
                <w:rFonts w:ascii="Calibri" w:hAnsi="Calibri" w:cs="Calibri"/>
                <w:color w:val="000000"/>
              </w:rPr>
              <w:t>95% conf. interval</w:t>
            </w:r>
          </w:p>
        </w:tc>
      </w:tr>
      <w:tr w:rsidR="00B54D51" w:rsidRPr="00037AD4" w14:paraId="64B61549" w14:textId="77777777" w:rsidTr="00401C67">
        <w:trPr>
          <w:trHeight w:val="320"/>
        </w:trPr>
        <w:tc>
          <w:tcPr>
            <w:tcW w:w="5000" w:type="pct"/>
            <w:gridSpan w:val="7"/>
            <w:shd w:val="clear" w:color="auto" w:fill="F2F2F2" w:themeFill="background1" w:themeFillShade="F2"/>
            <w:noWrap/>
            <w:hideMark/>
          </w:tcPr>
          <w:p w14:paraId="69D9D465" w14:textId="77777777" w:rsidR="00B54D51" w:rsidRPr="00037AD4" w:rsidRDefault="00B54D51" w:rsidP="00401C67">
            <w:pPr>
              <w:rPr>
                <w:rFonts w:ascii="Calibri" w:hAnsi="Calibri" w:cs="Calibri"/>
                <w:color w:val="000000"/>
              </w:rPr>
            </w:pPr>
            <w:r w:rsidRPr="00037AD4">
              <w:rPr>
                <w:rFonts w:ascii="Calibri" w:hAnsi="Calibri" w:cs="Calibri"/>
                <w:color w:val="000000"/>
              </w:rPr>
              <w:t>Relative proxy mobility level 1 (= base outcome)</w:t>
            </w:r>
          </w:p>
        </w:tc>
      </w:tr>
      <w:tr w:rsidR="00B54D51" w:rsidRPr="00037AD4" w14:paraId="26C7F35F" w14:textId="77777777" w:rsidTr="00401C67">
        <w:trPr>
          <w:trHeight w:val="320"/>
        </w:trPr>
        <w:tc>
          <w:tcPr>
            <w:tcW w:w="5000" w:type="pct"/>
            <w:gridSpan w:val="7"/>
            <w:shd w:val="clear" w:color="auto" w:fill="F2F2F2" w:themeFill="background1" w:themeFillShade="F2"/>
          </w:tcPr>
          <w:p w14:paraId="385B6F41" w14:textId="77777777" w:rsidR="00B54D51" w:rsidRPr="00037AD4" w:rsidRDefault="00B54D51" w:rsidP="00401C67">
            <w:pPr>
              <w:rPr>
                <w:sz w:val="20"/>
                <w:szCs w:val="20"/>
              </w:rPr>
            </w:pPr>
            <w:r w:rsidRPr="00037AD4">
              <w:rPr>
                <w:rFonts w:ascii="Calibri" w:hAnsi="Calibri" w:cs="Calibri"/>
                <w:color w:val="000000"/>
              </w:rPr>
              <w:t>Relative proxy mobility level 2, predict:</w:t>
            </w:r>
          </w:p>
        </w:tc>
      </w:tr>
      <w:tr w:rsidR="00B54D51" w:rsidRPr="00037AD4" w14:paraId="67B289B9" w14:textId="77777777" w:rsidTr="00401C67">
        <w:trPr>
          <w:trHeight w:val="320"/>
        </w:trPr>
        <w:tc>
          <w:tcPr>
            <w:tcW w:w="736" w:type="pct"/>
            <w:noWrap/>
            <w:hideMark/>
          </w:tcPr>
          <w:p w14:paraId="5FD0466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w:t>
            </w:r>
          </w:p>
        </w:tc>
        <w:tc>
          <w:tcPr>
            <w:tcW w:w="1263" w:type="pct"/>
            <w:noWrap/>
            <w:hideMark/>
          </w:tcPr>
          <w:p w14:paraId="542A7EF1" w14:textId="77777777" w:rsidR="00B54D51" w:rsidRPr="00037AD4" w:rsidRDefault="00B54D51" w:rsidP="00401C67">
            <w:pPr>
              <w:rPr>
                <w:rFonts w:ascii="Calibri" w:hAnsi="Calibri" w:cs="Calibri"/>
                <w:color w:val="000000"/>
              </w:rPr>
            </w:pPr>
            <w:r w:rsidRPr="00037AD4">
              <w:rPr>
                <w:rFonts w:ascii="Calibri" w:hAnsi="Calibri" w:cs="Calibri"/>
                <w:color w:val="000000"/>
              </w:rPr>
              <w:t>-.258</w:t>
            </w:r>
          </w:p>
        </w:tc>
        <w:tc>
          <w:tcPr>
            <w:tcW w:w="626" w:type="pct"/>
          </w:tcPr>
          <w:p w14:paraId="7D54B7F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.038</w:t>
            </w:r>
          </w:p>
        </w:tc>
        <w:tc>
          <w:tcPr>
            <w:tcW w:w="532" w:type="pct"/>
            <w:noWrap/>
            <w:hideMark/>
          </w:tcPr>
          <w:p w14:paraId="3623805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-6.86</w:t>
            </w:r>
          </w:p>
        </w:tc>
        <w:tc>
          <w:tcPr>
            <w:tcW w:w="424" w:type="pct"/>
            <w:noWrap/>
            <w:hideMark/>
          </w:tcPr>
          <w:p w14:paraId="0AFE4C6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709" w:type="pct"/>
            <w:noWrap/>
            <w:hideMark/>
          </w:tcPr>
          <w:p w14:paraId="58C63FB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-0.332</w:t>
            </w:r>
          </w:p>
        </w:tc>
        <w:tc>
          <w:tcPr>
            <w:tcW w:w="710" w:type="pct"/>
            <w:noWrap/>
            <w:hideMark/>
          </w:tcPr>
          <w:p w14:paraId="48866A8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-0.184</w:t>
            </w:r>
          </w:p>
        </w:tc>
      </w:tr>
      <w:tr w:rsidR="00B54D51" w:rsidRPr="00037AD4" w14:paraId="455576B0" w14:textId="77777777" w:rsidTr="00401C67">
        <w:trPr>
          <w:trHeight w:val="320"/>
        </w:trPr>
        <w:tc>
          <w:tcPr>
            <w:tcW w:w="736" w:type="pct"/>
            <w:noWrap/>
            <w:hideMark/>
          </w:tcPr>
          <w:p w14:paraId="475A6AA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w:t>
            </w:r>
          </w:p>
        </w:tc>
        <w:tc>
          <w:tcPr>
            <w:tcW w:w="1263" w:type="pct"/>
            <w:noWrap/>
            <w:hideMark/>
          </w:tcPr>
          <w:p w14:paraId="72B975F5"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.137   </w:t>
            </w:r>
          </w:p>
        </w:tc>
        <w:tc>
          <w:tcPr>
            <w:tcW w:w="626" w:type="pct"/>
          </w:tcPr>
          <w:p w14:paraId="4FEF1F2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.021</w:t>
            </w:r>
          </w:p>
        </w:tc>
        <w:tc>
          <w:tcPr>
            <w:tcW w:w="532" w:type="pct"/>
            <w:noWrap/>
            <w:hideMark/>
          </w:tcPr>
          <w:p w14:paraId="238C063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6.43</w:t>
            </w:r>
          </w:p>
        </w:tc>
        <w:tc>
          <w:tcPr>
            <w:tcW w:w="424" w:type="pct"/>
            <w:noWrap/>
            <w:hideMark/>
          </w:tcPr>
          <w:p w14:paraId="4DD687E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709" w:type="pct"/>
            <w:noWrap/>
            <w:hideMark/>
          </w:tcPr>
          <w:p w14:paraId="3A2782C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0.095</w:t>
            </w:r>
          </w:p>
        </w:tc>
        <w:tc>
          <w:tcPr>
            <w:tcW w:w="710" w:type="pct"/>
            <w:noWrap/>
            <w:hideMark/>
          </w:tcPr>
          <w:p w14:paraId="18D1D7E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0.179</w:t>
            </w:r>
          </w:p>
        </w:tc>
      </w:tr>
      <w:tr w:rsidR="00B54D51" w:rsidRPr="00037AD4" w14:paraId="6E3AA4C4" w14:textId="77777777" w:rsidTr="00401C67">
        <w:trPr>
          <w:trHeight w:val="320"/>
        </w:trPr>
        <w:tc>
          <w:tcPr>
            <w:tcW w:w="736" w:type="pct"/>
            <w:noWrap/>
            <w:hideMark/>
          </w:tcPr>
          <w:p w14:paraId="7AB724B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w:t>
            </w:r>
          </w:p>
        </w:tc>
        <w:tc>
          <w:tcPr>
            <w:tcW w:w="1263" w:type="pct"/>
            <w:noWrap/>
            <w:hideMark/>
          </w:tcPr>
          <w:p w14:paraId="5F094897"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.105   </w:t>
            </w:r>
          </w:p>
        </w:tc>
        <w:tc>
          <w:tcPr>
            <w:tcW w:w="626" w:type="pct"/>
          </w:tcPr>
          <w:p w14:paraId="0232B24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.018</w:t>
            </w:r>
          </w:p>
        </w:tc>
        <w:tc>
          <w:tcPr>
            <w:tcW w:w="532" w:type="pct"/>
            <w:noWrap/>
            <w:hideMark/>
          </w:tcPr>
          <w:p w14:paraId="6DEE3D6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5.91</w:t>
            </w:r>
          </w:p>
        </w:tc>
        <w:tc>
          <w:tcPr>
            <w:tcW w:w="424" w:type="pct"/>
            <w:noWrap/>
            <w:hideMark/>
          </w:tcPr>
          <w:p w14:paraId="67B7BDE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709" w:type="pct"/>
            <w:noWrap/>
            <w:hideMark/>
          </w:tcPr>
          <w:p w14:paraId="0EFCBA4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0.070</w:t>
            </w:r>
          </w:p>
        </w:tc>
        <w:tc>
          <w:tcPr>
            <w:tcW w:w="710" w:type="pct"/>
            <w:noWrap/>
            <w:hideMark/>
          </w:tcPr>
          <w:p w14:paraId="1082351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0.140</w:t>
            </w:r>
          </w:p>
        </w:tc>
      </w:tr>
      <w:tr w:rsidR="00B54D51" w:rsidRPr="00037AD4" w14:paraId="7C9BEEBD" w14:textId="77777777" w:rsidTr="00401C67">
        <w:trPr>
          <w:trHeight w:val="320"/>
        </w:trPr>
        <w:tc>
          <w:tcPr>
            <w:tcW w:w="736" w:type="pct"/>
            <w:noWrap/>
            <w:hideMark/>
          </w:tcPr>
          <w:p w14:paraId="5ACFDA0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w:t>
            </w:r>
          </w:p>
        </w:tc>
        <w:tc>
          <w:tcPr>
            <w:tcW w:w="1263" w:type="pct"/>
            <w:noWrap/>
            <w:hideMark/>
          </w:tcPr>
          <w:p w14:paraId="72EB3A4B"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.016   </w:t>
            </w:r>
          </w:p>
        </w:tc>
        <w:tc>
          <w:tcPr>
            <w:tcW w:w="626" w:type="pct"/>
          </w:tcPr>
          <w:p w14:paraId="4528389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.004</w:t>
            </w:r>
          </w:p>
        </w:tc>
        <w:tc>
          <w:tcPr>
            <w:tcW w:w="532" w:type="pct"/>
            <w:noWrap/>
            <w:hideMark/>
          </w:tcPr>
          <w:p w14:paraId="3310080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3.54</w:t>
            </w:r>
          </w:p>
        </w:tc>
        <w:tc>
          <w:tcPr>
            <w:tcW w:w="424" w:type="pct"/>
            <w:noWrap/>
            <w:hideMark/>
          </w:tcPr>
          <w:p w14:paraId="09116C4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709" w:type="pct"/>
            <w:noWrap/>
            <w:hideMark/>
          </w:tcPr>
          <w:p w14:paraId="7C72E6C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0.007</w:t>
            </w:r>
          </w:p>
        </w:tc>
        <w:tc>
          <w:tcPr>
            <w:tcW w:w="710" w:type="pct"/>
            <w:noWrap/>
            <w:hideMark/>
          </w:tcPr>
          <w:p w14:paraId="5F0C797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0.024</w:t>
            </w:r>
          </w:p>
        </w:tc>
      </w:tr>
      <w:tr w:rsidR="00B54D51" w:rsidRPr="00037AD4" w14:paraId="573F352D" w14:textId="77777777" w:rsidTr="00401C67">
        <w:trPr>
          <w:trHeight w:val="320"/>
        </w:trPr>
        <w:tc>
          <w:tcPr>
            <w:tcW w:w="736" w:type="pct"/>
            <w:noWrap/>
            <w:hideMark/>
          </w:tcPr>
          <w:p w14:paraId="0522D12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5</w:t>
            </w:r>
          </w:p>
        </w:tc>
        <w:tc>
          <w:tcPr>
            <w:tcW w:w="1263" w:type="pct"/>
            <w:noWrap/>
            <w:hideMark/>
          </w:tcPr>
          <w:p w14:paraId="23BFA9C1"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.000   </w:t>
            </w:r>
          </w:p>
        </w:tc>
        <w:tc>
          <w:tcPr>
            <w:tcW w:w="626" w:type="pct"/>
          </w:tcPr>
          <w:p w14:paraId="0AE0150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w:t>
            </w:r>
          </w:p>
        </w:tc>
        <w:tc>
          <w:tcPr>
            <w:tcW w:w="532" w:type="pct"/>
            <w:noWrap/>
            <w:hideMark/>
          </w:tcPr>
          <w:p w14:paraId="51926A3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1.00</w:t>
            </w:r>
          </w:p>
        </w:tc>
        <w:tc>
          <w:tcPr>
            <w:tcW w:w="424" w:type="pct"/>
            <w:noWrap/>
            <w:hideMark/>
          </w:tcPr>
          <w:p w14:paraId="7901387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0.315</w:t>
            </w:r>
          </w:p>
        </w:tc>
        <w:tc>
          <w:tcPr>
            <w:tcW w:w="709" w:type="pct"/>
            <w:noWrap/>
            <w:hideMark/>
          </w:tcPr>
          <w:p w14:paraId="3EE0E6F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710" w:type="pct"/>
            <w:noWrap/>
            <w:hideMark/>
          </w:tcPr>
          <w:p w14:paraId="55090CD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r>
      <w:tr w:rsidR="00B54D51" w:rsidRPr="00037AD4" w14:paraId="13F06528" w14:textId="77777777" w:rsidTr="00401C67">
        <w:trPr>
          <w:trHeight w:val="320"/>
        </w:trPr>
        <w:tc>
          <w:tcPr>
            <w:tcW w:w="5000" w:type="pct"/>
            <w:gridSpan w:val="7"/>
            <w:shd w:val="clear" w:color="auto" w:fill="F2F2F2" w:themeFill="background1" w:themeFillShade="F2"/>
            <w:noWrap/>
            <w:hideMark/>
          </w:tcPr>
          <w:p w14:paraId="2EE7F6B6" w14:textId="77777777" w:rsidR="00B54D51" w:rsidRPr="00037AD4" w:rsidRDefault="00B54D51" w:rsidP="00401C67">
            <w:pPr>
              <w:rPr>
                <w:sz w:val="20"/>
                <w:szCs w:val="20"/>
              </w:rPr>
            </w:pPr>
            <w:r w:rsidRPr="00037AD4">
              <w:rPr>
                <w:rFonts w:ascii="Calibri" w:hAnsi="Calibri" w:cs="Calibri"/>
                <w:color w:val="000000"/>
              </w:rPr>
              <w:t>Relative proxy mobility level 3, predict:</w:t>
            </w:r>
          </w:p>
        </w:tc>
      </w:tr>
      <w:tr w:rsidR="00B54D51" w:rsidRPr="00037AD4" w14:paraId="57A0946D" w14:textId="77777777" w:rsidTr="00401C67">
        <w:trPr>
          <w:trHeight w:val="320"/>
        </w:trPr>
        <w:tc>
          <w:tcPr>
            <w:tcW w:w="736" w:type="pct"/>
            <w:noWrap/>
            <w:hideMark/>
          </w:tcPr>
          <w:p w14:paraId="08657C7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w:t>
            </w:r>
          </w:p>
        </w:tc>
        <w:tc>
          <w:tcPr>
            <w:tcW w:w="1263" w:type="pct"/>
            <w:noWrap/>
            <w:hideMark/>
          </w:tcPr>
          <w:p w14:paraId="3865696E"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-.547    </w:t>
            </w:r>
          </w:p>
        </w:tc>
        <w:tc>
          <w:tcPr>
            <w:tcW w:w="626" w:type="pct"/>
          </w:tcPr>
          <w:p w14:paraId="258A664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.039</w:t>
            </w:r>
          </w:p>
        </w:tc>
        <w:tc>
          <w:tcPr>
            <w:tcW w:w="532" w:type="pct"/>
            <w:noWrap/>
            <w:hideMark/>
          </w:tcPr>
          <w:p w14:paraId="49823F9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-13.95</w:t>
            </w:r>
          </w:p>
        </w:tc>
        <w:tc>
          <w:tcPr>
            <w:tcW w:w="424" w:type="pct"/>
            <w:noWrap/>
            <w:hideMark/>
          </w:tcPr>
          <w:p w14:paraId="24CDFAC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709" w:type="pct"/>
            <w:noWrap/>
            <w:hideMark/>
          </w:tcPr>
          <w:p w14:paraId="0D1AF20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-0.624</w:t>
            </w:r>
          </w:p>
        </w:tc>
        <w:tc>
          <w:tcPr>
            <w:tcW w:w="710" w:type="pct"/>
            <w:noWrap/>
            <w:hideMark/>
          </w:tcPr>
          <w:p w14:paraId="5DC487F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-0.470</w:t>
            </w:r>
          </w:p>
        </w:tc>
      </w:tr>
      <w:tr w:rsidR="00B54D51" w:rsidRPr="00037AD4" w14:paraId="77B62948" w14:textId="77777777" w:rsidTr="00401C67">
        <w:trPr>
          <w:trHeight w:val="320"/>
        </w:trPr>
        <w:tc>
          <w:tcPr>
            <w:tcW w:w="736" w:type="pct"/>
            <w:noWrap/>
            <w:hideMark/>
          </w:tcPr>
          <w:p w14:paraId="466AEBF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w:t>
            </w:r>
          </w:p>
        </w:tc>
        <w:tc>
          <w:tcPr>
            <w:tcW w:w="1263" w:type="pct"/>
            <w:noWrap/>
            <w:hideMark/>
          </w:tcPr>
          <w:p w14:paraId="0EEA6E4C"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.183   </w:t>
            </w:r>
          </w:p>
        </w:tc>
        <w:tc>
          <w:tcPr>
            <w:tcW w:w="626" w:type="pct"/>
          </w:tcPr>
          <w:p w14:paraId="529602B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.021</w:t>
            </w:r>
          </w:p>
        </w:tc>
        <w:tc>
          <w:tcPr>
            <w:tcW w:w="532" w:type="pct"/>
            <w:noWrap/>
            <w:hideMark/>
          </w:tcPr>
          <w:p w14:paraId="5FF4288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8.70</w:t>
            </w:r>
          </w:p>
        </w:tc>
        <w:tc>
          <w:tcPr>
            <w:tcW w:w="424" w:type="pct"/>
            <w:noWrap/>
            <w:hideMark/>
          </w:tcPr>
          <w:p w14:paraId="34C2FC3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709" w:type="pct"/>
            <w:noWrap/>
            <w:hideMark/>
          </w:tcPr>
          <w:p w14:paraId="3753710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0.142</w:t>
            </w:r>
          </w:p>
        </w:tc>
        <w:tc>
          <w:tcPr>
            <w:tcW w:w="710" w:type="pct"/>
            <w:noWrap/>
            <w:hideMark/>
          </w:tcPr>
          <w:p w14:paraId="1724BEB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0.224</w:t>
            </w:r>
          </w:p>
        </w:tc>
      </w:tr>
      <w:tr w:rsidR="00B54D51" w:rsidRPr="00037AD4" w14:paraId="472EDDF2" w14:textId="77777777" w:rsidTr="00401C67">
        <w:trPr>
          <w:trHeight w:val="320"/>
        </w:trPr>
        <w:tc>
          <w:tcPr>
            <w:tcW w:w="736" w:type="pct"/>
            <w:noWrap/>
            <w:hideMark/>
          </w:tcPr>
          <w:p w14:paraId="225A9A1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w:t>
            </w:r>
          </w:p>
        </w:tc>
        <w:tc>
          <w:tcPr>
            <w:tcW w:w="1263" w:type="pct"/>
            <w:noWrap/>
            <w:hideMark/>
          </w:tcPr>
          <w:p w14:paraId="08D5D2E7" w14:textId="77777777" w:rsidR="00B54D51" w:rsidRPr="00037AD4" w:rsidRDefault="00B54D51" w:rsidP="00401C67">
            <w:pPr>
              <w:rPr>
                <w:rFonts w:ascii="Calibri" w:hAnsi="Calibri" w:cs="Calibri"/>
                <w:color w:val="000000"/>
              </w:rPr>
            </w:pPr>
            <w:r w:rsidRPr="00037AD4">
              <w:rPr>
                <w:rFonts w:ascii="Calibri" w:hAnsi="Calibri" w:cs="Calibri"/>
                <w:color w:val="000000"/>
              </w:rPr>
              <w:t>.276</w:t>
            </w:r>
          </w:p>
        </w:tc>
        <w:tc>
          <w:tcPr>
            <w:tcW w:w="626" w:type="pct"/>
          </w:tcPr>
          <w:p w14:paraId="0E088F0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.027</w:t>
            </w:r>
          </w:p>
        </w:tc>
        <w:tc>
          <w:tcPr>
            <w:tcW w:w="532" w:type="pct"/>
            <w:noWrap/>
            <w:hideMark/>
          </w:tcPr>
          <w:p w14:paraId="7963F8B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10.32</w:t>
            </w:r>
          </w:p>
        </w:tc>
        <w:tc>
          <w:tcPr>
            <w:tcW w:w="424" w:type="pct"/>
            <w:noWrap/>
            <w:hideMark/>
          </w:tcPr>
          <w:p w14:paraId="0B48E03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709" w:type="pct"/>
            <w:noWrap/>
            <w:hideMark/>
          </w:tcPr>
          <w:p w14:paraId="05CE7B1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0.224</w:t>
            </w:r>
          </w:p>
        </w:tc>
        <w:tc>
          <w:tcPr>
            <w:tcW w:w="710" w:type="pct"/>
            <w:noWrap/>
            <w:hideMark/>
          </w:tcPr>
          <w:p w14:paraId="5D55FF4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0.329</w:t>
            </w:r>
          </w:p>
        </w:tc>
      </w:tr>
      <w:tr w:rsidR="00B54D51" w:rsidRPr="00037AD4" w14:paraId="01F85526" w14:textId="77777777" w:rsidTr="00401C67">
        <w:trPr>
          <w:trHeight w:val="320"/>
        </w:trPr>
        <w:tc>
          <w:tcPr>
            <w:tcW w:w="736" w:type="pct"/>
            <w:noWrap/>
            <w:hideMark/>
          </w:tcPr>
          <w:p w14:paraId="6C056B9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w:t>
            </w:r>
          </w:p>
        </w:tc>
        <w:tc>
          <w:tcPr>
            <w:tcW w:w="1263" w:type="pct"/>
            <w:noWrap/>
            <w:hideMark/>
          </w:tcPr>
          <w:p w14:paraId="26FEA361"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.083   </w:t>
            </w:r>
          </w:p>
        </w:tc>
        <w:tc>
          <w:tcPr>
            <w:tcW w:w="626" w:type="pct"/>
          </w:tcPr>
          <w:p w14:paraId="11CE9A6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.015</w:t>
            </w:r>
          </w:p>
        </w:tc>
        <w:tc>
          <w:tcPr>
            <w:tcW w:w="532" w:type="pct"/>
            <w:noWrap/>
            <w:hideMark/>
          </w:tcPr>
          <w:p w14:paraId="3E05426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5.67</w:t>
            </w:r>
          </w:p>
        </w:tc>
        <w:tc>
          <w:tcPr>
            <w:tcW w:w="424" w:type="pct"/>
            <w:noWrap/>
            <w:hideMark/>
          </w:tcPr>
          <w:p w14:paraId="6AD1F22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709" w:type="pct"/>
            <w:noWrap/>
            <w:hideMark/>
          </w:tcPr>
          <w:p w14:paraId="13431EC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0.055</w:t>
            </w:r>
          </w:p>
        </w:tc>
        <w:tc>
          <w:tcPr>
            <w:tcW w:w="710" w:type="pct"/>
            <w:noWrap/>
            <w:hideMark/>
          </w:tcPr>
          <w:p w14:paraId="1101828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0.112</w:t>
            </w:r>
          </w:p>
        </w:tc>
      </w:tr>
      <w:tr w:rsidR="00B54D51" w:rsidRPr="00037AD4" w14:paraId="7F5E1F68" w14:textId="77777777" w:rsidTr="00401C67">
        <w:trPr>
          <w:trHeight w:val="320"/>
        </w:trPr>
        <w:tc>
          <w:tcPr>
            <w:tcW w:w="736" w:type="pct"/>
            <w:noWrap/>
            <w:hideMark/>
          </w:tcPr>
          <w:p w14:paraId="2EE754D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5</w:t>
            </w:r>
          </w:p>
        </w:tc>
        <w:tc>
          <w:tcPr>
            <w:tcW w:w="1263" w:type="pct"/>
            <w:noWrap/>
            <w:hideMark/>
          </w:tcPr>
          <w:p w14:paraId="7BADB0BD"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.005   </w:t>
            </w:r>
          </w:p>
        </w:tc>
        <w:tc>
          <w:tcPr>
            <w:tcW w:w="626" w:type="pct"/>
          </w:tcPr>
          <w:p w14:paraId="5162393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w:t>
            </w:r>
          </w:p>
        </w:tc>
        <w:tc>
          <w:tcPr>
            <w:tcW w:w="532" w:type="pct"/>
            <w:noWrap/>
            <w:hideMark/>
          </w:tcPr>
          <w:p w14:paraId="40391AC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1.44</w:t>
            </w:r>
          </w:p>
        </w:tc>
        <w:tc>
          <w:tcPr>
            <w:tcW w:w="424" w:type="pct"/>
            <w:noWrap/>
            <w:hideMark/>
          </w:tcPr>
          <w:p w14:paraId="69C5993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0.150</w:t>
            </w:r>
          </w:p>
        </w:tc>
        <w:tc>
          <w:tcPr>
            <w:tcW w:w="709" w:type="pct"/>
            <w:noWrap/>
            <w:hideMark/>
          </w:tcPr>
          <w:p w14:paraId="5C949B8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-0.002</w:t>
            </w:r>
          </w:p>
        </w:tc>
        <w:tc>
          <w:tcPr>
            <w:tcW w:w="710" w:type="pct"/>
            <w:noWrap/>
            <w:hideMark/>
          </w:tcPr>
          <w:p w14:paraId="4C1FE9E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0.011</w:t>
            </w:r>
          </w:p>
        </w:tc>
      </w:tr>
      <w:tr w:rsidR="00B54D51" w:rsidRPr="00037AD4" w14:paraId="506539EA" w14:textId="77777777" w:rsidTr="00401C67">
        <w:trPr>
          <w:trHeight w:val="320"/>
        </w:trPr>
        <w:tc>
          <w:tcPr>
            <w:tcW w:w="5000" w:type="pct"/>
            <w:gridSpan w:val="7"/>
            <w:shd w:val="clear" w:color="auto" w:fill="F2F2F2" w:themeFill="background1" w:themeFillShade="F2"/>
            <w:noWrap/>
            <w:hideMark/>
          </w:tcPr>
          <w:p w14:paraId="58E7D1B7" w14:textId="77777777" w:rsidR="00B54D51" w:rsidRPr="00037AD4" w:rsidRDefault="00B54D51" w:rsidP="00401C67">
            <w:pPr>
              <w:rPr>
                <w:sz w:val="20"/>
                <w:szCs w:val="20"/>
              </w:rPr>
            </w:pPr>
            <w:r w:rsidRPr="00037AD4">
              <w:rPr>
                <w:rFonts w:ascii="Calibri" w:hAnsi="Calibri" w:cs="Calibri"/>
                <w:color w:val="000000"/>
              </w:rPr>
              <w:t>Relative proxy mobility level 4, predict:</w:t>
            </w:r>
          </w:p>
        </w:tc>
      </w:tr>
      <w:tr w:rsidR="00B54D51" w:rsidRPr="00037AD4" w14:paraId="066E3935" w14:textId="77777777" w:rsidTr="00401C67">
        <w:trPr>
          <w:trHeight w:val="320"/>
        </w:trPr>
        <w:tc>
          <w:tcPr>
            <w:tcW w:w="736" w:type="pct"/>
            <w:noWrap/>
            <w:hideMark/>
          </w:tcPr>
          <w:p w14:paraId="566B971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w:t>
            </w:r>
          </w:p>
        </w:tc>
        <w:tc>
          <w:tcPr>
            <w:tcW w:w="1263" w:type="pct"/>
            <w:noWrap/>
            <w:hideMark/>
          </w:tcPr>
          <w:p w14:paraId="788FC8A2" w14:textId="77777777" w:rsidR="00B54D51" w:rsidRPr="00037AD4" w:rsidRDefault="00B54D51" w:rsidP="00401C67">
            <w:pPr>
              <w:rPr>
                <w:rFonts w:ascii="Calibri" w:hAnsi="Calibri" w:cs="Calibri"/>
                <w:color w:val="000000"/>
              </w:rPr>
            </w:pPr>
            <w:r w:rsidRPr="00037AD4">
              <w:rPr>
                <w:rFonts w:ascii="Calibri" w:hAnsi="Calibri" w:cs="Calibri"/>
                <w:color w:val="000000"/>
              </w:rPr>
              <w:t>-.633</w:t>
            </w:r>
          </w:p>
        </w:tc>
        <w:tc>
          <w:tcPr>
            <w:tcW w:w="626" w:type="pct"/>
          </w:tcPr>
          <w:p w14:paraId="3F10DE0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.044</w:t>
            </w:r>
          </w:p>
        </w:tc>
        <w:tc>
          <w:tcPr>
            <w:tcW w:w="532" w:type="pct"/>
            <w:noWrap/>
            <w:hideMark/>
          </w:tcPr>
          <w:p w14:paraId="05233B1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-14.29</w:t>
            </w:r>
          </w:p>
        </w:tc>
        <w:tc>
          <w:tcPr>
            <w:tcW w:w="424" w:type="pct"/>
            <w:noWrap/>
            <w:hideMark/>
          </w:tcPr>
          <w:p w14:paraId="339FAFB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709" w:type="pct"/>
            <w:noWrap/>
            <w:hideMark/>
          </w:tcPr>
          <w:p w14:paraId="1023B8D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-0.720</w:t>
            </w:r>
          </w:p>
        </w:tc>
        <w:tc>
          <w:tcPr>
            <w:tcW w:w="710" w:type="pct"/>
            <w:noWrap/>
            <w:hideMark/>
          </w:tcPr>
          <w:p w14:paraId="4577225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-0.547</w:t>
            </w:r>
          </w:p>
        </w:tc>
      </w:tr>
      <w:tr w:rsidR="00B54D51" w:rsidRPr="00037AD4" w14:paraId="128391B3" w14:textId="77777777" w:rsidTr="00401C67">
        <w:trPr>
          <w:trHeight w:val="320"/>
        </w:trPr>
        <w:tc>
          <w:tcPr>
            <w:tcW w:w="736" w:type="pct"/>
            <w:noWrap/>
            <w:hideMark/>
          </w:tcPr>
          <w:p w14:paraId="4D955D8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w:t>
            </w:r>
          </w:p>
        </w:tc>
        <w:tc>
          <w:tcPr>
            <w:tcW w:w="1263" w:type="pct"/>
            <w:noWrap/>
            <w:hideMark/>
          </w:tcPr>
          <w:p w14:paraId="7632C602"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.161   </w:t>
            </w:r>
          </w:p>
        </w:tc>
        <w:tc>
          <w:tcPr>
            <w:tcW w:w="626" w:type="pct"/>
          </w:tcPr>
          <w:p w14:paraId="14E3282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.023</w:t>
            </w:r>
          </w:p>
        </w:tc>
        <w:tc>
          <w:tcPr>
            <w:tcW w:w="532" w:type="pct"/>
            <w:noWrap/>
            <w:hideMark/>
          </w:tcPr>
          <w:p w14:paraId="69870E9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7.12</w:t>
            </w:r>
          </w:p>
        </w:tc>
        <w:tc>
          <w:tcPr>
            <w:tcW w:w="424" w:type="pct"/>
            <w:noWrap/>
            <w:hideMark/>
          </w:tcPr>
          <w:p w14:paraId="7D47B52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709" w:type="pct"/>
            <w:noWrap/>
            <w:hideMark/>
          </w:tcPr>
          <w:p w14:paraId="42FEAF5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0.117</w:t>
            </w:r>
          </w:p>
        </w:tc>
        <w:tc>
          <w:tcPr>
            <w:tcW w:w="710" w:type="pct"/>
            <w:noWrap/>
            <w:hideMark/>
          </w:tcPr>
          <w:p w14:paraId="3F9A037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0.206</w:t>
            </w:r>
          </w:p>
        </w:tc>
      </w:tr>
      <w:tr w:rsidR="00B54D51" w:rsidRPr="00037AD4" w14:paraId="46A41110" w14:textId="77777777" w:rsidTr="00401C67">
        <w:trPr>
          <w:trHeight w:val="320"/>
        </w:trPr>
        <w:tc>
          <w:tcPr>
            <w:tcW w:w="736" w:type="pct"/>
            <w:noWrap/>
            <w:hideMark/>
          </w:tcPr>
          <w:p w14:paraId="5C792C9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w:t>
            </w:r>
          </w:p>
        </w:tc>
        <w:tc>
          <w:tcPr>
            <w:tcW w:w="1263" w:type="pct"/>
            <w:noWrap/>
            <w:hideMark/>
          </w:tcPr>
          <w:p w14:paraId="2FB1396F"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.331    </w:t>
            </w:r>
          </w:p>
        </w:tc>
        <w:tc>
          <w:tcPr>
            <w:tcW w:w="626" w:type="pct"/>
          </w:tcPr>
          <w:p w14:paraId="3CF52C3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.033</w:t>
            </w:r>
          </w:p>
        </w:tc>
        <w:tc>
          <w:tcPr>
            <w:tcW w:w="532" w:type="pct"/>
            <w:noWrap/>
            <w:hideMark/>
          </w:tcPr>
          <w:p w14:paraId="24AE327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10.12</w:t>
            </w:r>
          </w:p>
        </w:tc>
        <w:tc>
          <w:tcPr>
            <w:tcW w:w="424" w:type="pct"/>
            <w:noWrap/>
            <w:hideMark/>
          </w:tcPr>
          <w:p w14:paraId="49D2DC1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709" w:type="pct"/>
            <w:noWrap/>
            <w:hideMark/>
          </w:tcPr>
          <w:p w14:paraId="3951540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0.267</w:t>
            </w:r>
          </w:p>
        </w:tc>
        <w:tc>
          <w:tcPr>
            <w:tcW w:w="710" w:type="pct"/>
            <w:noWrap/>
            <w:hideMark/>
          </w:tcPr>
          <w:p w14:paraId="0011D1A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0.396</w:t>
            </w:r>
          </w:p>
        </w:tc>
      </w:tr>
      <w:tr w:rsidR="00B54D51" w:rsidRPr="00037AD4" w14:paraId="4803911F" w14:textId="77777777" w:rsidTr="00401C67">
        <w:trPr>
          <w:trHeight w:val="320"/>
        </w:trPr>
        <w:tc>
          <w:tcPr>
            <w:tcW w:w="736" w:type="pct"/>
            <w:noWrap/>
            <w:hideMark/>
          </w:tcPr>
          <w:p w14:paraId="1F2F6B2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w:t>
            </w:r>
          </w:p>
        </w:tc>
        <w:tc>
          <w:tcPr>
            <w:tcW w:w="1263" w:type="pct"/>
            <w:noWrap/>
            <w:hideMark/>
          </w:tcPr>
          <w:p w14:paraId="792EA48F"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.131   </w:t>
            </w:r>
          </w:p>
        </w:tc>
        <w:tc>
          <w:tcPr>
            <w:tcW w:w="626" w:type="pct"/>
          </w:tcPr>
          <w:p w14:paraId="0D6C09A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.024</w:t>
            </w:r>
          </w:p>
        </w:tc>
        <w:tc>
          <w:tcPr>
            <w:tcW w:w="532" w:type="pct"/>
            <w:noWrap/>
            <w:hideMark/>
          </w:tcPr>
          <w:p w14:paraId="04BAD6F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5.38</w:t>
            </w:r>
          </w:p>
        </w:tc>
        <w:tc>
          <w:tcPr>
            <w:tcW w:w="424" w:type="pct"/>
            <w:noWrap/>
            <w:hideMark/>
          </w:tcPr>
          <w:p w14:paraId="0ED6456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709" w:type="pct"/>
            <w:noWrap/>
            <w:hideMark/>
          </w:tcPr>
          <w:p w14:paraId="4D327C8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0.083</w:t>
            </w:r>
          </w:p>
        </w:tc>
        <w:tc>
          <w:tcPr>
            <w:tcW w:w="710" w:type="pct"/>
            <w:noWrap/>
            <w:hideMark/>
          </w:tcPr>
          <w:p w14:paraId="24E032A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0.178</w:t>
            </w:r>
          </w:p>
        </w:tc>
      </w:tr>
      <w:tr w:rsidR="00B54D51" w:rsidRPr="00037AD4" w14:paraId="5AC6ED56" w14:textId="77777777" w:rsidTr="00401C67">
        <w:trPr>
          <w:trHeight w:val="320"/>
        </w:trPr>
        <w:tc>
          <w:tcPr>
            <w:tcW w:w="736" w:type="pct"/>
            <w:noWrap/>
            <w:hideMark/>
          </w:tcPr>
          <w:p w14:paraId="4BE3406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5</w:t>
            </w:r>
          </w:p>
        </w:tc>
        <w:tc>
          <w:tcPr>
            <w:tcW w:w="1263" w:type="pct"/>
            <w:noWrap/>
            <w:hideMark/>
          </w:tcPr>
          <w:p w14:paraId="682AB011"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.010   </w:t>
            </w:r>
          </w:p>
        </w:tc>
        <w:tc>
          <w:tcPr>
            <w:tcW w:w="626" w:type="pct"/>
          </w:tcPr>
          <w:p w14:paraId="48B177A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.007</w:t>
            </w:r>
          </w:p>
        </w:tc>
        <w:tc>
          <w:tcPr>
            <w:tcW w:w="532" w:type="pct"/>
            <w:noWrap/>
            <w:hideMark/>
          </w:tcPr>
          <w:p w14:paraId="5B484F0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1.44</w:t>
            </w:r>
          </w:p>
        </w:tc>
        <w:tc>
          <w:tcPr>
            <w:tcW w:w="424" w:type="pct"/>
            <w:noWrap/>
            <w:hideMark/>
          </w:tcPr>
          <w:p w14:paraId="000DC2E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0.151</w:t>
            </w:r>
          </w:p>
        </w:tc>
        <w:tc>
          <w:tcPr>
            <w:tcW w:w="709" w:type="pct"/>
            <w:noWrap/>
            <w:hideMark/>
          </w:tcPr>
          <w:p w14:paraId="2AFBB4B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-0.004</w:t>
            </w:r>
          </w:p>
        </w:tc>
        <w:tc>
          <w:tcPr>
            <w:tcW w:w="710" w:type="pct"/>
            <w:noWrap/>
            <w:hideMark/>
          </w:tcPr>
          <w:p w14:paraId="1550E0A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0.024</w:t>
            </w:r>
          </w:p>
        </w:tc>
      </w:tr>
      <w:tr w:rsidR="00B54D51" w:rsidRPr="00037AD4" w14:paraId="3C950A4F" w14:textId="77777777" w:rsidTr="00401C67">
        <w:trPr>
          <w:trHeight w:val="320"/>
        </w:trPr>
        <w:tc>
          <w:tcPr>
            <w:tcW w:w="5000" w:type="pct"/>
            <w:gridSpan w:val="7"/>
            <w:shd w:val="clear" w:color="auto" w:fill="F2F2F2" w:themeFill="background1" w:themeFillShade="F2"/>
            <w:noWrap/>
            <w:hideMark/>
          </w:tcPr>
          <w:p w14:paraId="1C8BDC74" w14:textId="77777777" w:rsidR="00B54D51" w:rsidRPr="00037AD4" w:rsidRDefault="00B54D51" w:rsidP="00401C67">
            <w:pPr>
              <w:rPr>
                <w:sz w:val="20"/>
                <w:szCs w:val="20"/>
              </w:rPr>
            </w:pPr>
            <w:r w:rsidRPr="00037AD4">
              <w:rPr>
                <w:rFonts w:ascii="Calibri" w:hAnsi="Calibri" w:cs="Calibri"/>
                <w:color w:val="000000"/>
              </w:rPr>
              <w:t>Relative proxy mobility level 5, predict:</w:t>
            </w:r>
          </w:p>
        </w:tc>
      </w:tr>
      <w:tr w:rsidR="00B54D51" w:rsidRPr="00037AD4" w14:paraId="7D243956" w14:textId="77777777" w:rsidTr="00401C67">
        <w:trPr>
          <w:trHeight w:val="320"/>
        </w:trPr>
        <w:tc>
          <w:tcPr>
            <w:tcW w:w="736" w:type="pct"/>
            <w:noWrap/>
            <w:hideMark/>
          </w:tcPr>
          <w:p w14:paraId="3CB94D1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w:t>
            </w:r>
          </w:p>
        </w:tc>
        <w:tc>
          <w:tcPr>
            <w:tcW w:w="1263" w:type="pct"/>
            <w:noWrap/>
            <w:hideMark/>
          </w:tcPr>
          <w:p w14:paraId="2BCE733F" w14:textId="77777777" w:rsidR="00B54D51" w:rsidRPr="00037AD4" w:rsidRDefault="00B54D51" w:rsidP="00401C67">
            <w:pPr>
              <w:rPr>
                <w:rFonts w:ascii="Calibri" w:hAnsi="Calibri" w:cs="Calibri"/>
                <w:color w:val="000000"/>
              </w:rPr>
            </w:pPr>
            <w:r w:rsidRPr="00037AD4">
              <w:rPr>
                <w:rFonts w:ascii="Calibri" w:hAnsi="Calibri" w:cs="Calibri"/>
                <w:color w:val="000000"/>
              </w:rPr>
              <w:t>-.832</w:t>
            </w:r>
          </w:p>
        </w:tc>
        <w:tc>
          <w:tcPr>
            <w:tcW w:w="626" w:type="pct"/>
          </w:tcPr>
          <w:p w14:paraId="2A280B3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.025</w:t>
            </w:r>
          </w:p>
        </w:tc>
        <w:tc>
          <w:tcPr>
            <w:tcW w:w="532" w:type="pct"/>
            <w:noWrap/>
            <w:hideMark/>
          </w:tcPr>
          <w:p w14:paraId="5D42C97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-32.84</w:t>
            </w:r>
          </w:p>
        </w:tc>
        <w:tc>
          <w:tcPr>
            <w:tcW w:w="424" w:type="pct"/>
            <w:noWrap/>
            <w:hideMark/>
          </w:tcPr>
          <w:p w14:paraId="6638CD6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709" w:type="pct"/>
            <w:noWrap/>
            <w:hideMark/>
          </w:tcPr>
          <w:p w14:paraId="2C2DA29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-0.882</w:t>
            </w:r>
          </w:p>
        </w:tc>
        <w:tc>
          <w:tcPr>
            <w:tcW w:w="710" w:type="pct"/>
            <w:noWrap/>
            <w:hideMark/>
          </w:tcPr>
          <w:p w14:paraId="6DC36C7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-0.783</w:t>
            </w:r>
          </w:p>
        </w:tc>
      </w:tr>
      <w:tr w:rsidR="00B54D51" w:rsidRPr="00037AD4" w14:paraId="01A54248" w14:textId="77777777" w:rsidTr="00401C67">
        <w:trPr>
          <w:trHeight w:val="320"/>
        </w:trPr>
        <w:tc>
          <w:tcPr>
            <w:tcW w:w="736" w:type="pct"/>
            <w:noWrap/>
            <w:hideMark/>
          </w:tcPr>
          <w:p w14:paraId="71B8960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w:t>
            </w:r>
          </w:p>
        </w:tc>
        <w:tc>
          <w:tcPr>
            <w:tcW w:w="1263" w:type="pct"/>
            <w:noWrap/>
            <w:hideMark/>
          </w:tcPr>
          <w:p w14:paraId="5161234C"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-.076   </w:t>
            </w:r>
          </w:p>
        </w:tc>
        <w:tc>
          <w:tcPr>
            <w:tcW w:w="626" w:type="pct"/>
          </w:tcPr>
          <w:p w14:paraId="16940BD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.051</w:t>
            </w:r>
          </w:p>
        </w:tc>
        <w:tc>
          <w:tcPr>
            <w:tcW w:w="532" w:type="pct"/>
            <w:noWrap/>
            <w:hideMark/>
          </w:tcPr>
          <w:p w14:paraId="4896891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-1.48</w:t>
            </w:r>
          </w:p>
        </w:tc>
        <w:tc>
          <w:tcPr>
            <w:tcW w:w="424" w:type="pct"/>
            <w:noWrap/>
            <w:hideMark/>
          </w:tcPr>
          <w:p w14:paraId="5216700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0.140</w:t>
            </w:r>
          </w:p>
        </w:tc>
        <w:tc>
          <w:tcPr>
            <w:tcW w:w="709" w:type="pct"/>
            <w:noWrap/>
            <w:hideMark/>
          </w:tcPr>
          <w:p w14:paraId="41D5991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-0.177</w:t>
            </w:r>
          </w:p>
        </w:tc>
        <w:tc>
          <w:tcPr>
            <w:tcW w:w="710" w:type="pct"/>
            <w:noWrap/>
            <w:hideMark/>
          </w:tcPr>
          <w:p w14:paraId="3A5FA0B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0.025</w:t>
            </w:r>
          </w:p>
        </w:tc>
      </w:tr>
      <w:tr w:rsidR="00B54D51" w:rsidRPr="00037AD4" w14:paraId="047985EE" w14:textId="77777777" w:rsidTr="00401C67">
        <w:trPr>
          <w:trHeight w:val="320"/>
        </w:trPr>
        <w:tc>
          <w:tcPr>
            <w:tcW w:w="736" w:type="pct"/>
            <w:noWrap/>
            <w:hideMark/>
          </w:tcPr>
          <w:p w14:paraId="3BEC87A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w:t>
            </w:r>
          </w:p>
        </w:tc>
        <w:tc>
          <w:tcPr>
            <w:tcW w:w="1263" w:type="pct"/>
            <w:noWrap/>
            <w:hideMark/>
          </w:tcPr>
          <w:p w14:paraId="7C1D77D8"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.216   </w:t>
            </w:r>
          </w:p>
        </w:tc>
        <w:tc>
          <w:tcPr>
            <w:tcW w:w="626" w:type="pct"/>
          </w:tcPr>
          <w:p w14:paraId="118BA52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.132</w:t>
            </w:r>
          </w:p>
        </w:tc>
        <w:tc>
          <w:tcPr>
            <w:tcW w:w="532" w:type="pct"/>
            <w:noWrap/>
            <w:hideMark/>
          </w:tcPr>
          <w:p w14:paraId="354AF95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1.63</w:t>
            </w:r>
          </w:p>
        </w:tc>
        <w:tc>
          <w:tcPr>
            <w:tcW w:w="424" w:type="pct"/>
            <w:noWrap/>
            <w:hideMark/>
          </w:tcPr>
          <w:p w14:paraId="184D7A3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0.102</w:t>
            </w:r>
          </w:p>
        </w:tc>
        <w:tc>
          <w:tcPr>
            <w:tcW w:w="709" w:type="pct"/>
            <w:noWrap/>
            <w:hideMark/>
          </w:tcPr>
          <w:p w14:paraId="6F558AF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-0.043</w:t>
            </w:r>
          </w:p>
        </w:tc>
        <w:tc>
          <w:tcPr>
            <w:tcW w:w="710" w:type="pct"/>
            <w:noWrap/>
            <w:hideMark/>
          </w:tcPr>
          <w:p w14:paraId="3FC1AF9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0.476</w:t>
            </w:r>
          </w:p>
        </w:tc>
      </w:tr>
      <w:tr w:rsidR="00B54D51" w:rsidRPr="00037AD4" w14:paraId="19B307B5" w14:textId="77777777" w:rsidTr="00401C67">
        <w:trPr>
          <w:trHeight w:val="320"/>
        </w:trPr>
        <w:tc>
          <w:tcPr>
            <w:tcW w:w="736" w:type="pct"/>
            <w:noWrap/>
            <w:hideMark/>
          </w:tcPr>
          <w:p w14:paraId="4513A1A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w:t>
            </w:r>
          </w:p>
        </w:tc>
        <w:tc>
          <w:tcPr>
            <w:tcW w:w="1263" w:type="pct"/>
            <w:noWrap/>
            <w:hideMark/>
          </w:tcPr>
          <w:p w14:paraId="1D2E35C1"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.464   </w:t>
            </w:r>
          </w:p>
        </w:tc>
        <w:tc>
          <w:tcPr>
            <w:tcW w:w="626" w:type="pct"/>
          </w:tcPr>
          <w:p w14:paraId="10D0E0A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.084</w:t>
            </w:r>
          </w:p>
        </w:tc>
        <w:tc>
          <w:tcPr>
            <w:tcW w:w="532" w:type="pct"/>
            <w:noWrap/>
            <w:hideMark/>
          </w:tcPr>
          <w:p w14:paraId="3847B26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5.50</w:t>
            </w:r>
          </w:p>
        </w:tc>
        <w:tc>
          <w:tcPr>
            <w:tcW w:w="424" w:type="pct"/>
            <w:noWrap/>
            <w:hideMark/>
          </w:tcPr>
          <w:p w14:paraId="3193C85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709" w:type="pct"/>
            <w:noWrap/>
            <w:hideMark/>
          </w:tcPr>
          <w:p w14:paraId="0D78E6C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0.298</w:t>
            </w:r>
          </w:p>
        </w:tc>
        <w:tc>
          <w:tcPr>
            <w:tcW w:w="710" w:type="pct"/>
            <w:noWrap/>
            <w:hideMark/>
          </w:tcPr>
          <w:p w14:paraId="7239425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0.629</w:t>
            </w:r>
          </w:p>
        </w:tc>
      </w:tr>
      <w:tr w:rsidR="00B54D51" w:rsidRPr="00037AD4" w14:paraId="4B5FE342" w14:textId="77777777" w:rsidTr="00401C67">
        <w:trPr>
          <w:trHeight w:val="320"/>
        </w:trPr>
        <w:tc>
          <w:tcPr>
            <w:tcW w:w="736" w:type="pct"/>
            <w:noWrap/>
            <w:hideMark/>
          </w:tcPr>
          <w:p w14:paraId="043B673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5</w:t>
            </w:r>
          </w:p>
        </w:tc>
        <w:tc>
          <w:tcPr>
            <w:tcW w:w="1263" w:type="pct"/>
            <w:noWrap/>
            <w:hideMark/>
          </w:tcPr>
          <w:p w14:paraId="75F3BF95"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.228   </w:t>
            </w:r>
          </w:p>
        </w:tc>
        <w:tc>
          <w:tcPr>
            <w:tcW w:w="626" w:type="pct"/>
          </w:tcPr>
          <w:p w14:paraId="2309BB1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.153</w:t>
            </w:r>
          </w:p>
        </w:tc>
        <w:tc>
          <w:tcPr>
            <w:tcW w:w="532" w:type="pct"/>
            <w:noWrap/>
            <w:hideMark/>
          </w:tcPr>
          <w:p w14:paraId="475AC32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1.49</w:t>
            </w:r>
          </w:p>
        </w:tc>
        <w:tc>
          <w:tcPr>
            <w:tcW w:w="424" w:type="pct"/>
            <w:noWrap/>
            <w:hideMark/>
          </w:tcPr>
          <w:p w14:paraId="7FFDCE0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0.137</w:t>
            </w:r>
          </w:p>
        </w:tc>
        <w:tc>
          <w:tcPr>
            <w:tcW w:w="709" w:type="pct"/>
            <w:noWrap/>
            <w:hideMark/>
          </w:tcPr>
          <w:p w14:paraId="46D54C4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-0.072</w:t>
            </w:r>
          </w:p>
        </w:tc>
        <w:tc>
          <w:tcPr>
            <w:tcW w:w="710" w:type="pct"/>
            <w:noWrap/>
            <w:hideMark/>
          </w:tcPr>
          <w:p w14:paraId="7FDC8ED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0.528</w:t>
            </w:r>
          </w:p>
        </w:tc>
      </w:tr>
      <w:tr w:rsidR="00B54D51" w:rsidRPr="00037AD4" w14:paraId="284608A2" w14:textId="77777777" w:rsidTr="00401C67">
        <w:trPr>
          <w:trHeight w:val="320"/>
        </w:trPr>
        <w:tc>
          <w:tcPr>
            <w:tcW w:w="5000" w:type="pct"/>
            <w:gridSpan w:val="7"/>
            <w:shd w:val="clear" w:color="auto" w:fill="F2F2F2" w:themeFill="background1" w:themeFillShade="F2"/>
            <w:noWrap/>
            <w:hideMark/>
          </w:tcPr>
          <w:p w14:paraId="389E3438" w14:textId="77777777" w:rsidR="00B54D51" w:rsidRPr="00037AD4" w:rsidRDefault="00B54D51" w:rsidP="00401C67">
            <w:pPr>
              <w:rPr>
                <w:sz w:val="20"/>
                <w:szCs w:val="20"/>
              </w:rPr>
            </w:pPr>
            <w:r w:rsidRPr="00037AD4">
              <w:rPr>
                <w:rFonts w:ascii="Calibri" w:hAnsi="Calibri" w:cs="Calibri"/>
                <w:color w:val="000000"/>
              </w:rPr>
              <w:t>MMSE total score, predict:</w:t>
            </w:r>
          </w:p>
        </w:tc>
      </w:tr>
      <w:tr w:rsidR="00B54D51" w:rsidRPr="00037AD4" w14:paraId="0E96D2ED" w14:textId="77777777" w:rsidTr="00401C67">
        <w:trPr>
          <w:trHeight w:val="320"/>
        </w:trPr>
        <w:tc>
          <w:tcPr>
            <w:tcW w:w="736" w:type="pct"/>
            <w:noWrap/>
            <w:hideMark/>
          </w:tcPr>
          <w:p w14:paraId="21C602D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w:t>
            </w:r>
          </w:p>
        </w:tc>
        <w:tc>
          <w:tcPr>
            <w:tcW w:w="1263" w:type="pct"/>
            <w:noWrap/>
            <w:hideMark/>
          </w:tcPr>
          <w:p w14:paraId="44680A0F"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-.012 </w:t>
            </w:r>
          </w:p>
        </w:tc>
        <w:tc>
          <w:tcPr>
            <w:tcW w:w="626" w:type="pct"/>
          </w:tcPr>
          <w:p w14:paraId="6656C95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w:t>
            </w:r>
          </w:p>
        </w:tc>
        <w:tc>
          <w:tcPr>
            <w:tcW w:w="532" w:type="pct"/>
            <w:noWrap/>
            <w:hideMark/>
          </w:tcPr>
          <w:p w14:paraId="2A783F3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-4.67</w:t>
            </w:r>
          </w:p>
        </w:tc>
        <w:tc>
          <w:tcPr>
            <w:tcW w:w="424" w:type="pct"/>
            <w:noWrap/>
            <w:hideMark/>
          </w:tcPr>
          <w:p w14:paraId="621EFF6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709" w:type="pct"/>
            <w:noWrap/>
            <w:hideMark/>
          </w:tcPr>
          <w:p w14:paraId="5A399A2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-0.017</w:t>
            </w:r>
          </w:p>
        </w:tc>
        <w:tc>
          <w:tcPr>
            <w:tcW w:w="710" w:type="pct"/>
            <w:noWrap/>
            <w:hideMark/>
          </w:tcPr>
          <w:p w14:paraId="6EDC257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-0.007</w:t>
            </w:r>
          </w:p>
        </w:tc>
      </w:tr>
      <w:tr w:rsidR="00B54D51" w:rsidRPr="00037AD4" w14:paraId="485E92E6" w14:textId="77777777" w:rsidTr="00401C67">
        <w:trPr>
          <w:trHeight w:val="320"/>
        </w:trPr>
        <w:tc>
          <w:tcPr>
            <w:tcW w:w="736" w:type="pct"/>
            <w:noWrap/>
            <w:hideMark/>
          </w:tcPr>
          <w:p w14:paraId="4B268FA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w:t>
            </w:r>
          </w:p>
        </w:tc>
        <w:tc>
          <w:tcPr>
            <w:tcW w:w="1263" w:type="pct"/>
            <w:noWrap/>
            <w:hideMark/>
          </w:tcPr>
          <w:p w14:paraId="21621DC3"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.003   </w:t>
            </w:r>
          </w:p>
        </w:tc>
        <w:tc>
          <w:tcPr>
            <w:tcW w:w="626" w:type="pct"/>
          </w:tcPr>
          <w:p w14:paraId="4C1C93B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w:t>
            </w:r>
          </w:p>
        </w:tc>
        <w:tc>
          <w:tcPr>
            <w:tcW w:w="532" w:type="pct"/>
            <w:noWrap/>
            <w:hideMark/>
          </w:tcPr>
          <w:p w14:paraId="7F5C819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3.99</w:t>
            </w:r>
          </w:p>
        </w:tc>
        <w:tc>
          <w:tcPr>
            <w:tcW w:w="424" w:type="pct"/>
            <w:noWrap/>
            <w:hideMark/>
          </w:tcPr>
          <w:p w14:paraId="1AE4661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709" w:type="pct"/>
            <w:noWrap/>
            <w:hideMark/>
          </w:tcPr>
          <w:p w14:paraId="472D009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c>
          <w:tcPr>
            <w:tcW w:w="710" w:type="pct"/>
            <w:noWrap/>
            <w:hideMark/>
          </w:tcPr>
          <w:p w14:paraId="247C1C8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0.004</w:t>
            </w:r>
          </w:p>
        </w:tc>
      </w:tr>
      <w:tr w:rsidR="00B54D51" w:rsidRPr="00037AD4" w14:paraId="0B0D2EE9" w14:textId="77777777" w:rsidTr="00401C67">
        <w:trPr>
          <w:trHeight w:val="320"/>
        </w:trPr>
        <w:tc>
          <w:tcPr>
            <w:tcW w:w="736" w:type="pct"/>
            <w:noWrap/>
            <w:hideMark/>
          </w:tcPr>
          <w:p w14:paraId="6F365C1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w:t>
            </w:r>
          </w:p>
        </w:tc>
        <w:tc>
          <w:tcPr>
            <w:tcW w:w="1263" w:type="pct"/>
            <w:noWrap/>
            <w:hideMark/>
          </w:tcPr>
          <w:p w14:paraId="1376E234"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.006 </w:t>
            </w:r>
          </w:p>
        </w:tc>
        <w:tc>
          <w:tcPr>
            <w:tcW w:w="626" w:type="pct"/>
          </w:tcPr>
          <w:p w14:paraId="52D0994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w:t>
            </w:r>
          </w:p>
        </w:tc>
        <w:tc>
          <w:tcPr>
            <w:tcW w:w="532" w:type="pct"/>
            <w:noWrap/>
            <w:hideMark/>
          </w:tcPr>
          <w:p w14:paraId="27949E4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4.46</w:t>
            </w:r>
          </w:p>
        </w:tc>
        <w:tc>
          <w:tcPr>
            <w:tcW w:w="424" w:type="pct"/>
            <w:noWrap/>
            <w:hideMark/>
          </w:tcPr>
          <w:p w14:paraId="0B888B5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709" w:type="pct"/>
            <w:noWrap/>
            <w:hideMark/>
          </w:tcPr>
          <w:p w14:paraId="105767D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0.003</w:t>
            </w:r>
          </w:p>
        </w:tc>
        <w:tc>
          <w:tcPr>
            <w:tcW w:w="710" w:type="pct"/>
            <w:noWrap/>
            <w:hideMark/>
          </w:tcPr>
          <w:p w14:paraId="04389DD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0.008</w:t>
            </w:r>
          </w:p>
        </w:tc>
      </w:tr>
      <w:tr w:rsidR="00B54D51" w:rsidRPr="00037AD4" w14:paraId="0274EC76" w14:textId="77777777" w:rsidTr="00401C67">
        <w:trPr>
          <w:trHeight w:val="320"/>
        </w:trPr>
        <w:tc>
          <w:tcPr>
            <w:tcW w:w="736" w:type="pct"/>
            <w:noWrap/>
            <w:hideMark/>
          </w:tcPr>
          <w:p w14:paraId="13CD4B4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w:t>
            </w:r>
          </w:p>
        </w:tc>
        <w:tc>
          <w:tcPr>
            <w:tcW w:w="1263" w:type="pct"/>
            <w:noWrap/>
            <w:hideMark/>
          </w:tcPr>
          <w:p w14:paraId="45CDCA32"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.003   </w:t>
            </w:r>
          </w:p>
        </w:tc>
        <w:tc>
          <w:tcPr>
            <w:tcW w:w="626" w:type="pct"/>
          </w:tcPr>
          <w:p w14:paraId="02D2AD1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w:t>
            </w:r>
          </w:p>
        </w:tc>
        <w:tc>
          <w:tcPr>
            <w:tcW w:w="532" w:type="pct"/>
            <w:noWrap/>
            <w:hideMark/>
          </w:tcPr>
          <w:p w14:paraId="6748204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4.10</w:t>
            </w:r>
          </w:p>
        </w:tc>
        <w:tc>
          <w:tcPr>
            <w:tcW w:w="424" w:type="pct"/>
            <w:noWrap/>
            <w:hideMark/>
          </w:tcPr>
          <w:p w14:paraId="550B2F7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709" w:type="pct"/>
            <w:noWrap/>
            <w:hideMark/>
          </w:tcPr>
          <w:p w14:paraId="2928D9C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0.002</w:t>
            </w:r>
          </w:p>
        </w:tc>
        <w:tc>
          <w:tcPr>
            <w:tcW w:w="710" w:type="pct"/>
            <w:noWrap/>
            <w:hideMark/>
          </w:tcPr>
          <w:p w14:paraId="1F36555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0.005</w:t>
            </w:r>
          </w:p>
        </w:tc>
      </w:tr>
      <w:tr w:rsidR="00B54D51" w:rsidRPr="00037AD4" w14:paraId="2B8C7E54" w14:textId="77777777" w:rsidTr="00401C67">
        <w:trPr>
          <w:trHeight w:val="320"/>
        </w:trPr>
        <w:tc>
          <w:tcPr>
            <w:tcW w:w="736" w:type="pct"/>
            <w:noWrap/>
            <w:hideMark/>
          </w:tcPr>
          <w:p w14:paraId="5AA0160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5</w:t>
            </w:r>
          </w:p>
        </w:tc>
        <w:tc>
          <w:tcPr>
            <w:tcW w:w="1263" w:type="pct"/>
            <w:noWrap/>
            <w:hideMark/>
          </w:tcPr>
          <w:p w14:paraId="4A79D5FF"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.0005    </w:t>
            </w:r>
          </w:p>
        </w:tc>
        <w:tc>
          <w:tcPr>
            <w:tcW w:w="626" w:type="pct"/>
          </w:tcPr>
          <w:p w14:paraId="3F13851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w:t>
            </w:r>
          </w:p>
        </w:tc>
        <w:tc>
          <w:tcPr>
            <w:tcW w:w="532" w:type="pct"/>
            <w:noWrap/>
            <w:hideMark/>
          </w:tcPr>
          <w:p w14:paraId="6AE6451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1.96</w:t>
            </w:r>
          </w:p>
        </w:tc>
        <w:tc>
          <w:tcPr>
            <w:tcW w:w="424" w:type="pct"/>
            <w:noWrap/>
            <w:hideMark/>
          </w:tcPr>
          <w:p w14:paraId="1EF6170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0.050</w:t>
            </w:r>
          </w:p>
        </w:tc>
        <w:tc>
          <w:tcPr>
            <w:tcW w:w="709" w:type="pct"/>
            <w:noWrap/>
            <w:hideMark/>
          </w:tcPr>
          <w:p w14:paraId="61DDD82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710" w:type="pct"/>
            <w:noWrap/>
            <w:hideMark/>
          </w:tcPr>
          <w:p w14:paraId="16BB53D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r>
      <w:tr w:rsidR="00B54D51" w:rsidRPr="00037AD4" w14:paraId="2638F3A3" w14:textId="77777777" w:rsidTr="00401C67">
        <w:trPr>
          <w:trHeight w:val="320"/>
        </w:trPr>
        <w:tc>
          <w:tcPr>
            <w:tcW w:w="5000" w:type="pct"/>
            <w:gridSpan w:val="7"/>
            <w:shd w:val="clear" w:color="auto" w:fill="F2F2F2" w:themeFill="background1" w:themeFillShade="F2"/>
            <w:noWrap/>
            <w:hideMark/>
          </w:tcPr>
          <w:p w14:paraId="47D735D4" w14:textId="77777777" w:rsidR="00B54D51" w:rsidRPr="00037AD4" w:rsidRDefault="00B54D51" w:rsidP="00401C67">
            <w:pPr>
              <w:rPr>
                <w:sz w:val="20"/>
                <w:szCs w:val="20"/>
              </w:rPr>
            </w:pPr>
            <w:r w:rsidRPr="00037AD4">
              <w:rPr>
                <w:rFonts w:ascii="Calibri" w:hAnsi="Calibri" w:cs="Calibri"/>
                <w:color w:val="000000"/>
              </w:rPr>
              <w:t>PSMS score, predict:</w:t>
            </w:r>
          </w:p>
        </w:tc>
      </w:tr>
      <w:tr w:rsidR="00B54D51" w:rsidRPr="00037AD4" w14:paraId="234CFC95" w14:textId="77777777" w:rsidTr="00401C67">
        <w:trPr>
          <w:trHeight w:val="320"/>
        </w:trPr>
        <w:tc>
          <w:tcPr>
            <w:tcW w:w="736" w:type="pct"/>
            <w:noWrap/>
            <w:hideMark/>
          </w:tcPr>
          <w:p w14:paraId="71E7841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w:t>
            </w:r>
          </w:p>
        </w:tc>
        <w:tc>
          <w:tcPr>
            <w:tcW w:w="1263" w:type="pct"/>
            <w:noWrap/>
            <w:hideMark/>
          </w:tcPr>
          <w:p w14:paraId="59C331F5"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.033 </w:t>
            </w:r>
          </w:p>
        </w:tc>
        <w:tc>
          <w:tcPr>
            <w:tcW w:w="626" w:type="pct"/>
          </w:tcPr>
          <w:p w14:paraId="3060687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.008</w:t>
            </w:r>
          </w:p>
        </w:tc>
        <w:tc>
          <w:tcPr>
            <w:tcW w:w="532" w:type="pct"/>
            <w:noWrap/>
            <w:hideMark/>
          </w:tcPr>
          <w:p w14:paraId="7D9526C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4.37</w:t>
            </w:r>
          </w:p>
        </w:tc>
        <w:tc>
          <w:tcPr>
            <w:tcW w:w="424" w:type="pct"/>
            <w:noWrap/>
            <w:hideMark/>
          </w:tcPr>
          <w:p w14:paraId="5DFD6FF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709" w:type="pct"/>
            <w:noWrap/>
            <w:hideMark/>
          </w:tcPr>
          <w:p w14:paraId="5EBC4DA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0.018</w:t>
            </w:r>
          </w:p>
        </w:tc>
        <w:tc>
          <w:tcPr>
            <w:tcW w:w="710" w:type="pct"/>
            <w:noWrap/>
            <w:hideMark/>
          </w:tcPr>
          <w:p w14:paraId="78FD2A4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0.048</w:t>
            </w:r>
          </w:p>
        </w:tc>
      </w:tr>
      <w:tr w:rsidR="00B54D51" w:rsidRPr="00037AD4" w14:paraId="21BDB30C" w14:textId="77777777" w:rsidTr="00401C67">
        <w:trPr>
          <w:trHeight w:val="320"/>
        </w:trPr>
        <w:tc>
          <w:tcPr>
            <w:tcW w:w="736" w:type="pct"/>
            <w:noWrap/>
            <w:hideMark/>
          </w:tcPr>
          <w:p w14:paraId="5B82988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w:t>
            </w:r>
          </w:p>
        </w:tc>
        <w:tc>
          <w:tcPr>
            <w:tcW w:w="1263" w:type="pct"/>
            <w:noWrap/>
            <w:hideMark/>
          </w:tcPr>
          <w:p w14:paraId="3C232A72"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-.007   </w:t>
            </w:r>
          </w:p>
        </w:tc>
        <w:tc>
          <w:tcPr>
            <w:tcW w:w="626" w:type="pct"/>
          </w:tcPr>
          <w:p w14:paraId="2C202D5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w:t>
            </w:r>
          </w:p>
        </w:tc>
        <w:tc>
          <w:tcPr>
            <w:tcW w:w="532" w:type="pct"/>
            <w:noWrap/>
            <w:hideMark/>
          </w:tcPr>
          <w:p w14:paraId="6978E30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-3.84</w:t>
            </w:r>
          </w:p>
        </w:tc>
        <w:tc>
          <w:tcPr>
            <w:tcW w:w="424" w:type="pct"/>
            <w:noWrap/>
            <w:hideMark/>
          </w:tcPr>
          <w:p w14:paraId="5DA9B39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709" w:type="pct"/>
            <w:noWrap/>
            <w:hideMark/>
          </w:tcPr>
          <w:p w14:paraId="525BAF5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-0.011</w:t>
            </w:r>
          </w:p>
        </w:tc>
        <w:tc>
          <w:tcPr>
            <w:tcW w:w="710" w:type="pct"/>
            <w:noWrap/>
            <w:hideMark/>
          </w:tcPr>
          <w:p w14:paraId="2261EC9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-0.003</w:t>
            </w:r>
          </w:p>
        </w:tc>
      </w:tr>
      <w:tr w:rsidR="00B54D51" w:rsidRPr="00037AD4" w14:paraId="011E2F97" w14:textId="77777777" w:rsidTr="00401C67">
        <w:trPr>
          <w:trHeight w:val="320"/>
        </w:trPr>
        <w:tc>
          <w:tcPr>
            <w:tcW w:w="736" w:type="pct"/>
            <w:noWrap/>
            <w:hideMark/>
          </w:tcPr>
          <w:p w14:paraId="058A9F9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w:t>
            </w:r>
          </w:p>
        </w:tc>
        <w:tc>
          <w:tcPr>
            <w:tcW w:w="1263" w:type="pct"/>
            <w:noWrap/>
            <w:hideMark/>
          </w:tcPr>
          <w:p w14:paraId="321826BD"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-.015   </w:t>
            </w:r>
          </w:p>
        </w:tc>
        <w:tc>
          <w:tcPr>
            <w:tcW w:w="626" w:type="pct"/>
          </w:tcPr>
          <w:p w14:paraId="6392E8D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.004</w:t>
            </w:r>
          </w:p>
        </w:tc>
        <w:tc>
          <w:tcPr>
            <w:tcW w:w="532" w:type="pct"/>
            <w:noWrap/>
            <w:hideMark/>
          </w:tcPr>
          <w:p w14:paraId="15FA70B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-4.27</w:t>
            </w:r>
          </w:p>
        </w:tc>
        <w:tc>
          <w:tcPr>
            <w:tcW w:w="424" w:type="pct"/>
            <w:noWrap/>
            <w:hideMark/>
          </w:tcPr>
          <w:p w14:paraId="43C21D2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709" w:type="pct"/>
            <w:noWrap/>
            <w:hideMark/>
          </w:tcPr>
          <w:p w14:paraId="08E6304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-0.023</w:t>
            </w:r>
          </w:p>
        </w:tc>
        <w:tc>
          <w:tcPr>
            <w:tcW w:w="710" w:type="pct"/>
            <w:noWrap/>
            <w:hideMark/>
          </w:tcPr>
          <w:p w14:paraId="01D5C61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-0.008</w:t>
            </w:r>
          </w:p>
        </w:tc>
      </w:tr>
      <w:tr w:rsidR="00B54D51" w:rsidRPr="00037AD4" w14:paraId="76792B4E" w14:textId="77777777" w:rsidTr="00401C67">
        <w:trPr>
          <w:trHeight w:val="320"/>
        </w:trPr>
        <w:tc>
          <w:tcPr>
            <w:tcW w:w="736" w:type="pct"/>
            <w:noWrap/>
            <w:hideMark/>
          </w:tcPr>
          <w:p w14:paraId="7E145A4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w:t>
            </w:r>
          </w:p>
        </w:tc>
        <w:tc>
          <w:tcPr>
            <w:tcW w:w="1263" w:type="pct"/>
            <w:noWrap/>
            <w:hideMark/>
          </w:tcPr>
          <w:p w14:paraId="6DD8E70C"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-.009   </w:t>
            </w:r>
          </w:p>
        </w:tc>
        <w:tc>
          <w:tcPr>
            <w:tcW w:w="626" w:type="pct"/>
          </w:tcPr>
          <w:p w14:paraId="3524B57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w:t>
            </w:r>
          </w:p>
        </w:tc>
        <w:tc>
          <w:tcPr>
            <w:tcW w:w="532" w:type="pct"/>
            <w:noWrap/>
            <w:hideMark/>
          </w:tcPr>
          <w:p w14:paraId="5C5264A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-3.90</w:t>
            </w:r>
          </w:p>
        </w:tc>
        <w:tc>
          <w:tcPr>
            <w:tcW w:w="424" w:type="pct"/>
            <w:noWrap/>
            <w:hideMark/>
          </w:tcPr>
          <w:p w14:paraId="5FED47D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709" w:type="pct"/>
            <w:noWrap/>
            <w:hideMark/>
          </w:tcPr>
          <w:p w14:paraId="2CEAF5A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-0.014</w:t>
            </w:r>
          </w:p>
        </w:tc>
        <w:tc>
          <w:tcPr>
            <w:tcW w:w="710" w:type="pct"/>
            <w:noWrap/>
            <w:hideMark/>
          </w:tcPr>
          <w:p w14:paraId="4CDDDD2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-0.005</w:t>
            </w:r>
          </w:p>
        </w:tc>
      </w:tr>
      <w:tr w:rsidR="00B54D51" w:rsidRPr="00037AD4" w14:paraId="067E896A" w14:textId="77777777" w:rsidTr="00401C67">
        <w:trPr>
          <w:trHeight w:val="320"/>
        </w:trPr>
        <w:tc>
          <w:tcPr>
            <w:tcW w:w="736" w:type="pct"/>
            <w:noWrap/>
            <w:hideMark/>
          </w:tcPr>
          <w:p w14:paraId="217F33E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5</w:t>
            </w:r>
          </w:p>
        </w:tc>
        <w:tc>
          <w:tcPr>
            <w:tcW w:w="1263" w:type="pct"/>
            <w:noWrap/>
            <w:hideMark/>
          </w:tcPr>
          <w:p w14:paraId="27F682AD"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-.001   </w:t>
            </w:r>
          </w:p>
        </w:tc>
        <w:tc>
          <w:tcPr>
            <w:tcW w:w="626" w:type="pct"/>
          </w:tcPr>
          <w:p w14:paraId="3700005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w:t>
            </w:r>
          </w:p>
        </w:tc>
        <w:tc>
          <w:tcPr>
            <w:tcW w:w="532" w:type="pct"/>
            <w:noWrap/>
            <w:hideMark/>
          </w:tcPr>
          <w:p w14:paraId="1618D24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-1.83</w:t>
            </w:r>
          </w:p>
        </w:tc>
        <w:tc>
          <w:tcPr>
            <w:tcW w:w="424" w:type="pct"/>
            <w:noWrap/>
            <w:hideMark/>
          </w:tcPr>
          <w:p w14:paraId="5146F59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0.067</w:t>
            </w:r>
          </w:p>
        </w:tc>
        <w:tc>
          <w:tcPr>
            <w:tcW w:w="709" w:type="pct"/>
            <w:noWrap/>
            <w:hideMark/>
          </w:tcPr>
          <w:p w14:paraId="2A492E0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-0.003</w:t>
            </w:r>
          </w:p>
        </w:tc>
        <w:tc>
          <w:tcPr>
            <w:tcW w:w="710" w:type="pct"/>
            <w:noWrap/>
            <w:hideMark/>
          </w:tcPr>
          <w:p w14:paraId="5477798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r>
      <w:tr w:rsidR="00B54D51" w:rsidRPr="00037AD4" w14:paraId="6DD82B3A" w14:textId="77777777" w:rsidTr="00401C67">
        <w:trPr>
          <w:trHeight w:val="320"/>
        </w:trPr>
        <w:tc>
          <w:tcPr>
            <w:tcW w:w="5000" w:type="pct"/>
            <w:gridSpan w:val="7"/>
            <w:shd w:val="clear" w:color="auto" w:fill="F2F2F2" w:themeFill="background1" w:themeFillShade="F2"/>
            <w:noWrap/>
            <w:hideMark/>
          </w:tcPr>
          <w:p w14:paraId="3F6A58A9" w14:textId="77777777" w:rsidR="00B54D51" w:rsidRPr="00037AD4" w:rsidRDefault="00B54D51" w:rsidP="00401C67">
            <w:pPr>
              <w:rPr>
                <w:sz w:val="20"/>
                <w:szCs w:val="20"/>
              </w:rPr>
            </w:pPr>
            <w:r w:rsidRPr="00037AD4">
              <w:rPr>
                <w:rFonts w:ascii="Calibri" w:hAnsi="Calibri" w:cs="Calibri"/>
                <w:color w:val="000000"/>
              </w:rPr>
              <w:lastRenderedPageBreak/>
              <w:t>Age of PwD, predict:</w:t>
            </w:r>
          </w:p>
        </w:tc>
      </w:tr>
      <w:tr w:rsidR="00B54D51" w:rsidRPr="00037AD4" w14:paraId="2B74FF2B" w14:textId="77777777" w:rsidTr="00401C67">
        <w:trPr>
          <w:trHeight w:val="320"/>
        </w:trPr>
        <w:tc>
          <w:tcPr>
            <w:tcW w:w="736" w:type="pct"/>
            <w:noWrap/>
            <w:hideMark/>
          </w:tcPr>
          <w:p w14:paraId="18FF362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w:t>
            </w:r>
          </w:p>
        </w:tc>
        <w:tc>
          <w:tcPr>
            <w:tcW w:w="1263" w:type="pct"/>
            <w:noWrap/>
            <w:hideMark/>
          </w:tcPr>
          <w:p w14:paraId="11CC2C64"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-.003 </w:t>
            </w:r>
          </w:p>
        </w:tc>
        <w:tc>
          <w:tcPr>
            <w:tcW w:w="626" w:type="pct"/>
          </w:tcPr>
          <w:p w14:paraId="60CFA5B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w:t>
            </w:r>
          </w:p>
        </w:tc>
        <w:tc>
          <w:tcPr>
            <w:tcW w:w="532" w:type="pct"/>
            <w:noWrap/>
            <w:hideMark/>
          </w:tcPr>
          <w:p w14:paraId="1915F9F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-1.71</w:t>
            </w:r>
          </w:p>
        </w:tc>
        <w:tc>
          <w:tcPr>
            <w:tcW w:w="424" w:type="pct"/>
            <w:noWrap/>
            <w:hideMark/>
          </w:tcPr>
          <w:p w14:paraId="7B24067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0.088</w:t>
            </w:r>
          </w:p>
        </w:tc>
        <w:tc>
          <w:tcPr>
            <w:tcW w:w="709" w:type="pct"/>
            <w:noWrap/>
            <w:hideMark/>
          </w:tcPr>
          <w:p w14:paraId="3019263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-0.007</w:t>
            </w:r>
          </w:p>
        </w:tc>
        <w:tc>
          <w:tcPr>
            <w:tcW w:w="710" w:type="pct"/>
            <w:noWrap/>
            <w:hideMark/>
          </w:tcPr>
          <w:p w14:paraId="4FDB4F1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r>
      <w:tr w:rsidR="00B54D51" w:rsidRPr="00037AD4" w14:paraId="68FD2FB0" w14:textId="77777777" w:rsidTr="00401C67">
        <w:trPr>
          <w:trHeight w:val="320"/>
        </w:trPr>
        <w:tc>
          <w:tcPr>
            <w:tcW w:w="736" w:type="pct"/>
            <w:noWrap/>
            <w:hideMark/>
          </w:tcPr>
          <w:p w14:paraId="426DCCB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w:t>
            </w:r>
          </w:p>
        </w:tc>
        <w:tc>
          <w:tcPr>
            <w:tcW w:w="1263" w:type="pct"/>
            <w:noWrap/>
            <w:hideMark/>
          </w:tcPr>
          <w:p w14:paraId="095470BD"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.001   </w:t>
            </w:r>
          </w:p>
        </w:tc>
        <w:tc>
          <w:tcPr>
            <w:tcW w:w="626" w:type="pct"/>
          </w:tcPr>
          <w:p w14:paraId="0775C2B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w:t>
            </w:r>
          </w:p>
        </w:tc>
        <w:tc>
          <w:tcPr>
            <w:tcW w:w="532" w:type="pct"/>
            <w:noWrap/>
            <w:hideMark/>
          </w:tcPr>
          <w:p w14:paraId="4BBC18A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1.70</w:t>
            </w:r>
          </w:p>
        </w:tc>
        <w:tc>
          <w:tcPr>
            <w:tcW w:w="424" w:type="pct"/>
            <w:noWrap/>
            <w:hideMark/>
          </w:tcPr>
          <w:p w14:paraId="0A0AE2F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0.088</w:t>
            </w:r>
          </w:p>
        </w:tc>
        <w:tc>
          <w:tcPr>
            <w:tcW w:w="709" w:type="pct"/>
            <w:noWrap/>
            <w:hideMark/>
          </w:tcPr>
          <w:p w14:paraId="5EB2C45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710" w:type="pct"/>
            <w:noWrap/>
            <w:hideMark/>
          </w:tcPr>
          <w:p w14:paraId="0B236C4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r>
      <w:tr w:rsidR="00B54D51" w:rsidRPr="00037AD4" w14:paraId="725DABF3" w14:textId="77777777" w:rsidTr="00401C67">
        <w:trPr>
          <w:trHeight w:val="320"/>
        </w:trPr>
        <w:tc>
          <w:tcPr>
            <w:tcW w:w="736" w:type="pct"/>
            <w:noWrap/>
            <w:hideMark/>
          </w:tcPr>
          <w:p w14:paraId="541B5B9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w:t>
            </w:r>
          </w:p>
        </w:tc>
        <w:tc>
          <w:tcPr>
            <w:tcW w:w="1263" w:type="pct"/>
            <w:noWrap/>
            <w:hideMark/>
          </w:tcPr>
          <w:p w14:paraId="3896665C"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.002   </w:t>
            </w:r>
          </w:p>
        </w:tc>
        <w:tc>
          <w:tcPr>
            <w:tcW w:w="626" w:type="pct"/>
          </w:tcPr>
          <w:p w14:paraId="7CE1A67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w:t>
            </w:r>
          </w:p>
        </w:tc>
        <w:tc>
          <w:tcPr>
            <w:tcW w:w="532" w:type="pct"/>
            <w:noWrap/>
            <w:hideMark/>
          </w:tcPr>
          <w:p w14:paraId="77BC3BA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1.71</w:t>
            </w:r>
          </w:p>
        </w:tc>
        <w:tc>
          <w:tcPr>
            <w:tcW w:w="424" w:type="pct"/>
            <w:noWrap/>
            <w:hideMark/>
          </w:tcPr>
          <w:p w14:paraId="0B48A16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0.088</w:t>
            </w:r>
          </w:p>
        </w:tc>
        <w:tc>
          <w:tcPr>
            <w:tcW w:w="709" w:type="pct"/>
            <w:noWrap/>
            <w:hideMark/>
          </w:tcPr>
          <w:p w14:paraId="7C63AC8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710" w:type="pct"/>
            <w:noWrap/>
            <w:hideMark/>
          </w:tcPr>
          <w:p w14:paraId="16DE89E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0.003</w:t>
            </w:r>
          </w:p>
        </w:tc>
      </w:tr>
      <w:tr w:rsidR="00B54D51" w:rsidRPr="00037AD4" w14:paraId="54142697" w14:textId="77777777" w:rsidTr="00401C67">
        <w:trPr>
          <w:trHeight w:val="320"/>
        </w:trPr>
        <w:tc>
          <w:tcPr>
            <w:tcW w:w="736" w:type="pct"/>
            <w:noWrap/>
            <w:hideMark/>
          </w:tcPr>
          <w:p w14:paraId="0E9A703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w:t>
            </w:r>
          </w:p>
        </w:tc>
        <w:tc>
          <w:tcPr>
            <w:tcW w:w="1263" w:type="pct"/>
            <w:noWrap/>
            <w:hideMark/>
          </w:tcPr>
          <w:p w14:paraId="55D05116"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.001   </w:t>
            </w:r>
          </w:p>
        </w:tc>
        <w:tc>
          <w:tcPr>
            <w:tcW w:w="626" w:type="pct"/>
          </w:tcPr>
          <w:p w14:paraId="33C3A80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w:t>
            </w:r>
          </w:p>
        </w:tc>
        <w:tc>
          <w:tcPr>
            <w:tcW w:w="532" w:type="pct"/>
            <w:noWrap/>
            <w:hideMark/>
          </w:tcPr>
          <w:p w14:paraId="7412427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1.67</w:t>
            </w:r>
          </w:p>
        </w:tc>
        <w:tc>
          <w:tcPr>
            <w:tcW w:w="424" w:type="pct"/>
            <w:noWrap/>
            <w:hideMark/>
          </w:tcPr>
          <w:p w14:paraId="7B8C262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0.095</w:t>
            </w:r>
          </w:p>
        </w:tc>
        <w:tc>
          <w:tcPr>
            <w:tcW w:w="709" w:type="pct"/>
            <w:noWrap/>
            <w:hideMark/>
          </w:tcPr>
          <w:p w14:paraId="4AA12B2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710" w:type="pct"/>
            <w:noWrap/>
            <w:hideMark/>
          </w:tcPr>
          <w:p w14:paraId="2400F71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0.002</w:t>
            </w:r>
          </w:p>
        </w:tc>
      </w:tr>
      <w:tr w:rsidR="00B54D51" w:rsidRPr="00037AD4" w14:paraId="29C74F67" w14:textId="77777777" w:rsidTr="00401C67">
        <w:trPr>
          <w:trHeight w:val="320"/>
        </w:trPr>
        <w:tc>
          <w:tcPr>
            <w:tcW w:w="736" w:type="pct"/>
            <w:noWrap/>
            <w:hideMark/>
          </w:tcPr>
          <w:p w14:paraId="241944A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5</w:t>
            </w:r>
          </w:p>
        </w:tc>
        <w:tc>
          <w:tcPr>
            <w:tcW w:w="1263" w:type="pct"/>
            <w:noWrap/>
            <w:hideMark/>
          </w:tcPr>
          <w:p w14:paraId="786B6D51"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.000   </w:t>
            </w:r>
          </w:p>
        </w:tc>
        <w:tc>
          <w:tcPr>
            <w:tcW w:w="626" w:type="pct"/>
          </w:tcPr>
          <w:p w14:paraId="4C4DB48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w:t>
            </w:r>
          </w:p>
        </w:tc>
        <w:tc>
          <w:tcPr>
            <w:tcW w:w="532" w:type="pct"/>
            <w:noWrap/>
            <w:hideMark/>
          </w:tcPr>
          <w:p w14:paraId="5C13CC3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1.20</w:t>
            </w:r>
          </w:p>
        </w:tc>
        <w:tc>
          <w:tcPr>
            <w:tcW w:w="424" w:type="pct"/>
            <w:noWrap/>
            <w:hideMark/>
          </w:tcPr>
          <w:p w14:paraId="7E8DB7F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0.228</w:t>
            </w:r>
          </w:p>
        </w:tc>
        <w:tc>
          <w:tcPr>
            <w:tcW w:w="709" w:type="pct"/>
            <w:noWrap/>
            <w:hideMark/>
          </w:tcPr>
          <w:p w14:paraId="1DD746B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710" w:type="pct"/>
            <w:noWrap/>
            <w:hideMark/>
          </w:tcPr>
          <w:p w14:paraId="66C1899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r>
      <w:tr w:rsidR="00B54D51" w:rsidRPr="00037AD4" w14:paraId="06CA7247" w14:textId="77777777" w:rsidTr="00401C67">
        <w:trPr>
          <w:trHeight w:val="320"/>
        </w:trPr>
        <w:tc>
          <w:tcPr>
            <w:tcW w:w="5000" w:type="pct"/>
            <w:gridSpan w:val="7"/>
            <w:shd w:val="clear" w:color="auto" w:fill="F2F2F2" w:themeFill="background1" w:themeFillShade="F2"/>
            <w:noWrap/>
            <w:hideMark/>
          </w:tcPr>
          <w:p w14:paraId="5E3DE015" w14:textId="77777777" w:rsidR="00B54D51" w:rsidRPr="00037AD4" w:rsidRDefault="00B54D51" w:rsidP="00401C67">
            <w:pPr>
              <w:rPr>
                <w:rFonts w:ascii="Calibri" w:hAnsi="Calibri" w:cs="Calibri"/>
                <w:color w:val="000000"/>
              </w:rPr>
            </w:pPr>
            <w:r w:rsidRPr="00037AD4">
              <w:rPr>
                <w:rFonts w:ascii="Calibri" w:hAnsi="Calibri" w:cs="Calibri"/>
                <w:color w:val="000000"/>
              </w:rPr>
              <w:t>PwD sex (base outcome = male)</w:t>
            </w:r>
          </w:p>
        </w:tc>
      </w:tr>
      <w:tr w:rsidR="00B54D51" w:rsidRPr="00037AD4" w14:paraId="44C6ECA6" w14:textId="77777777" w:rsidTr="00401C67">
        <w:trPr>
          <w:trHeight w:val="320"/>
        </w:trPr>
        <w:tc>
          <w:tcPr>
            <w:tcW w:w="5000" w:type="pct"/>
            <w:gridSpan w:val="7"/>
            <w:shd w:val="clear" w:color="auto" w:fill="F2F2F2" w:themeFill="background1" w:themeFillShade="F2"/>
            <w:noWrap/>
            <w:hideMark/>
          </w:tcPr>
          <w:p w14:paraId="1F8ECFCF" w14:textId="77777777" w:rsidR="00B54D51" w:rsidRPr="00037AD4" w:rsidRDefault="00B54D51" w:rsidP="00401C67">
            <w:pPr>
              <w:rPr>
                <w:sz w:val="20"/>
                <w:szCs w:val="20"/>
              </w:rPr>
            </w:pPr>
            <w:r w:rsidRPr="00037AD4">
              <w:rPr>
                <w:rFonts w:ascii="Calibri" w:hAnsi="Calibri" w:cs="Calibri"/>
                <w:color w:val="000000"/>
              </w:rPr>
              <w:t>PwD sex, female predict:</w:t>
            </w:r>
          </w:p>
        </w:tc>
      </w:tr>
      <w:tr w:rsidR="00B54D51" w:rsidRPr="00037AD4" w14:paraId="195FCDD9" w14:textId="77777777" w:rsidTr="00401C67">
        <w:trPr>
          <w:trHeight w:val="320"/>
        </w:trPr>
        <w:tc>
          <w:tcPr>
            <w:tcW w:w="736" w:type="pct"/>
            <w:noWrap/>
            <w:hideMark/>
          </w:tcPr>
          <w:p w14:paraId="1E717BD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w:t>
            </w:r>
          </w:p>
        </w:tc>
        <w:tc>
          <w:tcPr>
            <w:tcW w:w="1263" w:type="pct"/>
            <w:noWrap/>
            <w:hideMark/>
          </w:tcPr>
          <w:p w14:paraId="02A8B14A"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-.007 </w:t>
            </w:r>
          </w:p>
        </w:tc>
        <w:tc>
          <w:tcPr>
            <w:tcW w:w="626" w:type="pct"/>
          </w:tcPr>
          <w:p w14:paraId="1CA6109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.028</w:t>
            </w:r>
          </w:p>
        </w:tc>
        <w:tc>
          <w:tcPr>
            <w:tcW w:w="532" w:type="pct"/>
            <w:noWrap/>
            <w:hideMark/>
          </w:tcPr>
          <w:p w14:paraId="29D841B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-0.25</w:t>
            </w:r>
          </w:p>
        </w:tc>
        <w:tc>
          <w:tcPr>
            <w:tcW w:w="424" w:type="pct"/>
            <w:noWrap/>
            <w:hideMark/>
          </w:tcPr>
          <w:p w14:paraId="685EACF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0.806</w:t>
            </w:r>
          </w:p>
        </w:tc>
        <w:tc>
          <w:tcPr>
            <w:tcW w:w="709" w:type="pct"/>
            <w:noWrap/>
            <w:hideMark/>
          </w:tcPr>
          <w:p w14:paraId="131DD67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-0.062</w:t>
            </w:r>
          </w:p>
        </w:tc>
        <w:tc>
          <w:tcPr>
            <w:tcW w:w="710" w:type="pct"/>
            <w:noWrap/>
            <w:hideMark/>
          </w:tcPr>
          <w:p w14:paraId="7AB8AA0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0.048</w:t>
            </w:r>
          </w:p>
        </w:tc>
      </w:tr>
      <w:tr w:rsidR="00B54D51" w:rsidRPr="00037AD4" w14:paraId="61D8D9E5" w14:textId="77777777" w:rsidTr="00401C67">
        <w:trPr>
          <w:trHeight w:val="320"/>
        </w:trPr>
        <w:tc>
          <w:tcPr>
            <w:tcW w:w="736" w:type="pct"/>
            <w:noWrap/>
            <w:hideMark/>
          </w:tcPr>
          <w:p w14:paraId="0B68C8B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w:t>
            </w:r>
          </w:p>
        </w:tc>
        <w:tc>
          <w:tcPr>
            <w:tcW w:w="1263" w:type="pct"/>
            <w:noWrap/>
            <w:hideMark/>
          </w:tcPr>
          <w:p w14:paraId="4DE7CD05"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.001   </w:t>
            </w:r>
          </w:p>
        </w:tc>
        <w:tc>
          <w:tcPr>
            <w:tcW w:w="626" w:type="pct"/>
          </w:tcPr>
          <w:p w14:paraId="50B124C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.006</w:t>
            </w:r>
          </w:p>
        </w:tc>
        <w:tc>
          <w:tcPr>
            <w:tcW w:w="532" w:type="pct"/>
            <w:noWrap/>
            <w:hideMark/>
          </w:tcPr>
          <w:p w14:paraId="36DD296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0.24</w:t>
            </w:r>
          </w:p>
        </w:tc>
        <w:tc>
          <w:tcPr>
            <w:tcW w:w="424" w:type="pct"/>
            <w:noWrap/>
            <w:hideMark/>
          </w:tcPr>
          <w:p w14:paraId="5D8A545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0.807</w:t>
            </w:r>
          </w:p>
        </w:tc>
        <w:tc>
          <w:tcPr>
            <w:tcW w:w="709" w:type="pct"/>
            <w:noWrap/>
            <w:hideMark/>
          </w:tcPr>
          <w:p w14:paraId="1ED1A9F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-0.010</w:t>
            </w:r>
          </w:p>
        </w:tc>
        <w:tc>
          <w:tcPr>
            <w:tcW w:w="710" w:type="pct"/>
            <w:noWrap/>
            <w:hideMark/>
          </w:tcPr>
          <w:p w14:paraId="6C71B92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0.013</w:t>
            </w:r>
          </w:p>
        </w:tc>
      </w:tr>
      <w:tr w:rsidR="00B54D51" w:rsidRPr="00037AD4" w14:paraId="608EA623" w14:textId="77777777" w:rsidTr="00401C67">
        <w:trPr>
          <w:trHeight w:val="320"/>
        </w:trPr>
        <w:tc>
          <w:tcPr>
            <w:tcW w:w="736" w:type="pct"/>
            <w:noWrap/>
            <w:hideMark/>
          </w:tcPr>
          <w:p w14:paraId="572C000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w:t>
            </w:r>
          </w:p>
        </w:tc>
        <w:tc>
          <w:tcPr>
            <w:tcW w:w="1263" w:type="pct"/>
            <w:noWrap/>
            <w:hideMark/>
          </w:tcPr>
          <w:p w14:paraId="4E0A0494"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.003   </w:t>
            </w:r>
          </w:p>
        </w:tc>
        <w:tc>
          <w:tcPr>
            <w:tcW w:w="626" w:type="pct"/>
          </w:tcPr>
          <w:p w14:paraId="715E7B2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.013</w:t>
            </w:r>
          </w:p>
        </w:tc>
        <w:tc>
          <w:tcPr>
            <w:tcW w:w="532" w:type="pct"/>
            <w:noWrap/>
            <w:hideMark/>
          </w:tcPr>
          <w:p w14:paraId="50A77BC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0.25</w:t>
            </w:r>
          </w:p>
        </w:tc>
        <w:tc>
          <w:tcPr>
            <w:tcW w:w="424" w:type="pct"/>
            <w:noWrap/>
            <w:hideMark/>
          </w:tcPr>
          <w:p w14:paraId="44438D3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0.806</w:t>
            </w:r>
          </w:p>
        </w:tc>
        <w:tc>
          <w:tcPr>
            <w:tcW w:w="709" w:type="pct"/>
            <w:noWrap/>
            <w:hideMark/>
          </w:tcPr>
          <w:p w14:paraId="6E8DDC6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-0.023</w:t>
            </w:r>
          </w:p>
        </w:tc>
        <w:tc>
          <w:tcPr>
            <w:tcW w:w="710" w:type="pct"/>
            <w:noWrap/>
            <w:hideMark/>
          </w:tcPr>
          <w:p w14:paraId="534D890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0.029</w:t>
            </w:r>
          </w:p>
        </w:tc>
      </w:tr>
      <w:tr w:rsidR="00B54D51" w:rsidRPr="00037AD4" w14:paraId="520A675C" w14:textId="77777777" w:rsidTr="00401C67">
        <w:trPr>
          <w:trHeight w:val="320"/>
        </w:trPr>
        <w:tc>
          <w:tcPr>
            <w:tcW w:w="736" w:type="pct"/>
            <w:noWrap/>
            <w:hideMark/>
          </w:tcPr>
          <w:p w14:paraId="5B88695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w:t>
            </w:r>
          </w:p>
        </w:tc>
        <w:tc>
          <w:tcPr>
            <w:tcW w:w="1263" w:type="pct"/>
            <w:noWrap/>
            <w:hideMark/>
          </w:tcPr>
          <w:p w14:paraId="1B3D827A"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.002   </w:t>
            </w:r>
          </w:p>
        </w:tc>
        <w:tc>
          <w:tcPr>
            <w:tcW w:w="626" w:type="pct"/>
          </w:tcPr>
          <w:p w14:paraId="21C3365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.008</w:t>
            </w:r>
          </w:p>
        </w:tc>
        <w:tc>
          <w:tcPr>
            <w:tcW w:w="532" w:type="pct"/>
            <w:noWrap/>
            <w:hideMark/>
          </w:tcPr>
          <w:p w14:paraId="5907C3E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0.25</w:t>
            </w:r>
          </w:p>
        </w:tc>
        <w:tc>
          <w:tcPr>
            <w:tcW w:w="424" w:type="pct"/>
            <w:noWrap/>
            <w:hideMark/>
          </w:tcPr>
          <w:p w14:paraId="19F24B4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0.806</w:t>
            </w:r>
          </w:p>
        </w:tc>
        <w:tc>
          <w:tcPr>
            <w:tcW w:w="709" w:type="pct"/>
            <w:noWrap/>
            <w:hideMark/>
          </w:tcPr>
          <w:p w14:paraId="7F3EDA0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-0.014</w:t>
            </w:r>
          </w:p>
        </w:tc>
        <w:tc>
          <w:tcPr>
            <w:tcW w:w="710" w:type="pct"/>
            <w:noWrap/>
            <w:hideMark/>
          </w:tcPr>
          <w:p w14:paraId="293E31D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0.017</w:t>
            </w:r>
          </w:p>
        </w:tc>
      </w:tr>
      <w:tr w:rsidR="00B54D51" w:rsidRPr="00037AD4" w14:paraId="685CC830" w14:textId="77777777" w:rsidTr="00401C67">
        <w:trPr>
          <w:trHeight w:val="320"/>
        </w:trPr>
        <w:tc>
          <w:tcPr>
            <w:tcW w:w="736" w:type="pct"/>
            <w:noWrap/>
            <w:hideMark/>
          </w:tcPr>
          <w:p w14:paraId="742C09F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5</w:t>
            </w:r>
          </w:p>
        </w:tc>
        <w:tc>
          <w:tcPr>
            <w:tcW w:w="1263" w:type="pct"/>
            <w:noWrap/>
            <w:hideMark/>
          </w:tcPr>
          <w:p w14:paraId="58881962"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.000   </w:t>
            </w:r>
          </w:p>
        </w:tc>
        <w:tc>
          <w:tcPr>
            <w:tcW w:w="626" w:type="pct"/>
          </w:tcPr>
          <w:p w14:paraId="7842A2C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w:t>
            </w:r>
          </w:p>
        </w:tc>
        <w:tc>
          <w:tcPr>
            <w:tcW w:w="532" w:type="pct"/>
            <w:noWrap/>
            <w:hideMark/>
          </w:tcPr>
          <w:p w14:paraId="2F6BDF3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0.25</w:t>
            </w:r>
          </w:p>
        </w:tc>
        <w:tc>
          <w:tcPr>
            <w:tcW w:w="424" w:type="pct"/>
            <w:noWrap/>
            <w:hideMark/>
          </w:tcPr>
          <w:p w14:paraId="585F5E4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0.803</w:t>
            </w:r>
          </w:p>
        </w:tc>
        <w:tc>
          <w:tcPr>
            <w:tcW w:w="709" w:type="pct"/>
            <w:noWrap/>
            <w:hideMark/>
          </w:tcPr>
          <w:p w14:paraId="5DAFC79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-0.002</w:t>
            </w:r>
          </w:p>
        </w:tc>
        <w:tc>
          <w:tcPr>
            <w:tcW w:w="710" w:type="pct"/>
            <w:noWrap/>
            <w:hideMark/>
          </w:tcPr>
          <w:p w14:paraId="3B87EB5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0.002</w:t>
            </w:r>
          </w:p>
        </w:tc>
      </w:tr>
    </w:tbl>
    <w:p w14:paraId="4A78DA3D" w14:textId="77777777" w:rsidR="00B54D51" w:rsidRPr="00037AD4" w:rsidRDefault="00B54D51" w:rsidP="001D7ACE">
      <w:pPr>
        <w:rPr>
          <w:b/>
          <w:bCs/>
          <w:color w:val="FF0000"/>
          <w:u w:val="single"/>
        </w:rPr>
      </w:pPr>
    </w:p>
    <w:p w14:paraId="19593938" w14:textId="77777777" w:rsidR="00B54D51" w:rsidRPr="00037AD4" w:rsidRDefault="00B54D51" w:rsidP="001D7ACE">
      <w:pPr>
        <w:rPr>
          <w:rFonts w:asciiTheme="minorHAnsi" w:hAnsiTheme="minorHAnsi" w:cstheme="minorHAnsi"/>
          <w:color w:val="000000" w:themeColor="text1"/>
          <w:u w:val="single"/>
        </w:rPr>
      </w:pPr>
      <w:r w:rsidRPr="00037AD4">
        <w:rPr>
          <w:rFonts w:asciiTheme="minorHAnsi" w:hAnsiTheme="minorHAnsi" w:cstheme="minorHAnsi"/>
          <w:color w:val="000000" w:themeColor="text1"/>
          <w:u w:val="single"/>
        </w:rPr>
        <w:t xml:space="preserve">Table A6.3b, “Mobility” predictive margins for ACTIFCARE data </w:t>
      </w:r>
    </w:p>
    <w:p w14:paraId="0EF4D1C5" w14:textId="77777777" w:rsidR="00B54D51" w:rsidRPr="00037AD4" w:rsidRDefault="00B54D51" w:rsidP="001D7ACE">
      <w:pPr>
        <w:rPr>
          <w:color w:val="000000" w:themeColor="text1"/>
        </w:rPr>
      </w:pPr>
    </w:p>
    <w:tbl>
      <w:tblPr>
        <w:tblStyle w:val="TableGridLight"/>
        <w:tblW w:w="5000" w:type="pct"/>
        <w:tblLook w:val="04A0" w:firstRow="1" w:lastRow="0" w:firstColumn="1" w:lastColumn="0" w:noHBand="0" w:noVBand="1"/>
      </w:tblPr>
      <w:tblGrid>
        <w:gridCol w:w="3052"/>
        <w:gridCol w:w="2023"/>
        <w:gridCol w:w="764"/>
        <w:gridCol w:w="764"/>
        <w:gridCol w:w="765"/>
        <w:gridCol w:w="885"/>
        <w:gridCol w:w="763"/>
      </w:tblGrid>
      <w:tr w:rsidR="00B54D51" w:rsidRPr="00037AD4" w14:paraId="4DC60327" w14:textId="77777777" w:rsidTr="00401C67">
        <w:trPr>
          <w:trHeight w:val="320"/>
        </w:trPr>
        <w:tc>
          <w:tcPr>
            <w:tcW w:w="1693" w:type="pct"/>
            <w:noWrap/>
            <w:hideMark/>
          </w:tcPr>
          <w:p w14:paraId="61201D6C" w14:textId="77777777" w:rsidR="00B54D51" w:rsidRPr="00037AD4" w:rsidRDefault="00B54D51" w:rsidP="00401C67">
            <w:pPr>
              <w:rPr>
                <w:rFonts w:cstheme="minorHAnsi"/>
              </w:rPr>
            </w:pPr>
          </w:p>
        </w:tc>
        <w:tc>
          <w:tcPr>
            <w:tcW w:w="1121" w:type="pct"/>
            <w:noWrap/>
            <w:hideMark/>
          </w:tcPr>
          <w:p w14:paraId="2815B48B" w14:textId="77777777" w:rsidR="00B54D51" w:rsidRPr="00037AD4" w:rsidRDefault="00B54D51" w:rsidP="00401C67">
            <w:pPr>
              <w:rPr>
                <w:rFonts w:cstheme="minorHAnsi"/>
              </w:rPr>
            </w:pPr>
            <w:r w:rsidRPr="00037AD4">
              <w:rPr>
                <w:rFonts w:cstheme="minorHAnsi"/>
              </w:rPr>
              <w:t xml:space="preserve">Predictive margins </w:t>
            </w:r>
          </w:p>
        </w:tc>
        <w:tc>
          <w:tcPr>
            <w:tcW w:w="424" w:type="pct"/>
            <w:noWrap/>
            <w:hideMark/>
          </w:tcPr>
          <w:p w14:paraId="63BBF915" w14:textId="77777777" w:rsidR="00B54D51" w:rsidRPr="00037AD4" w:rsidRDefault="00B54D51" w:rsidP="00401C67">
            <w:pPr>
              <w:rPr>
                <w:rFonts w:cstheme="minorHAnsi"/>
              </w:rPr>
            </w:pPr>
            <w:r w:rsidRPr="00037AD4">
              <w:rPr>
                <w:rFonts w:cstheme="minorHAnsi"/>
              </w:rPr>
              <w:t>SE</w:t>
            </w:r>
          </w:p>
        </w:tc>
        <w:tc>
          <w:tcPr>
            <w:tcW w:w="424" w:type="pct"/>
            <w:noWrap/>
            <w:hideMark/>
          </w:tcPr>
          <w:p w14:paraId="3D4F8A7F" w14:textId="77777777" w:rsidR="00B54D51" w:rsidRPr="00037AD4" w:rsidRDefault="00B54D51" w:rsidP="00401C67">
            <w:pPr>
              <w:rPr>
                <w:rFonts w:cstheme="minorHAnsi"/>
              </w:rPr>
            </w:pPr>
            <w:r w:rsidRPr="00037AD4">
              <w:rPr>
                <w:rFonts w:cstheme="minorHAnsi"/>
              </w:rPr>
              <w:t>z</w:t>
            </w:r>
          </w:p>
        </w:tc>
        <w:tc>
          <w:tcPr>
            <w:tcW w:w="424" w:type="pct"/>
            <w:noWrap/>
            <w:hideMark/>
          </w:tcPr>
          <w:p w14:paraId="2F810B3F" w14:textId="77777777" w:rsidR="00B54D51" w:rsidRPr="00037AD4" w:rsidRDefault="00B54D51" w:rsidP="00401C67">
            <w:pPr>
              <w:rPr>
                <w:rFonts w:cstheme="minorHAnsi"/>
              </w:rPr>
            </w:pPr>
            <w:r w:rsidRPr="00037AD4">
              <w:rPr>
                <w:rFonts w:cstheme="minorHAnsi"/>
              </w:rPr>
              <w:t>P&gt;z</w:t>
            </w:r>
          </w:p>
        </w:tc>
        <w:tc>
          <w:tcPr>
            <w:tcW w:w="914" w:type="pct"/>
            <w:gridSpan w:val="2"/>
            <w:noWrap/>
            <w:hideMark/>
          </w:tcPr>
          <w:p w14:paraId="049932F4" w14:textId="77777777" w:rsidR="00B54D51" w:rsidRPr="00037AD4" w:rsidRDefault="00B54D51" w:rsidP="00401C67">
            <w:pPr>
              <w:rPr>
                <w:rFonts w:cstheme="minorHAnsi"/>
              </w:rPr>
            </w:pPr>
            <w:r w:rsidRPr="00037AD4">
              <w:rPr>
                <w:rFonts w:cstheme="minorHAnsi"/>
              </w:rPr>
              <w:t>[95% conf.</w:t>
            </w:r>
          </w:p>
          <w:p w14:paraId="04445D90" w14:textId="77777777" w:rsidR="00B54D51" w:rsidRPr="00037AD4" w:rsidRDefault="00B54D51" w:rsidP="00401C67">
            <w:pPr>
              <w:rPr>
                <w:rFonts w:cstheme="minorHAnsi"/>
              </w:rPr>
            </w:pPr>
            <w:r w:rsidRPr="00037AD4">
              <w:rPr>
                <w:rFonts w:cstheme="minorHAnsi"/>
              </w:rPr>
              <w:t>interval]</w:t>
            </w:r>
          </w:p>
        </w:tc>
      </w:tr>
      <w:tr w:rsidR="00B54D51" w:rsidRPr="00037AD4" w14:paraId="33639560" w14:textId="77777777" w:rsidTr="00401C67">
        <w:trPr>
          <w:trHeight w:val="320"/>
        </w:trPr>
        <w:tc>
          <w:tcPr>
            <w:tcW w:w="5000" w:type="pct"/>
            <w:gridSpan w:val="7"/>
            <w:shd w:val="clear" w:color="auto" w:fill="E7E6E6" w:themeFill="background2"/>
            <w:noWrap/>
            <w:hideMark/>
          </w:tcPr>
          <w:p w14:paraId="4073BE98" w14:textId="77777777" w:rsidR="00B54D51" w:rsidRPr="00037AD4" w:rsidRDefault="00B54D51" w:rsidP="00401C67">
            <w:pPr>
              <w:rPr>
                <w:rFonts w:cstheme="minorHAnsi"/>
              </w:rPr>
            </w:pPr>
            <w:r w:rsidRPr="00037AD4">
              <w:rPr>
                <w:rFonts w:cstheme="minorHAnsi"/>
              </w:rPr>
              <w:t>Predicted Probability of PwD 'Mobility' by proxy 'Mobility' Level Reports</w:t>
            </w:r>
          </w:p>
        </w:tc>
      </w:tr>
      <w:tr w:rsidR="00B54D51" w:rsidRPr="00037AD4" w14:paraId="07B02C75" w14:textId="77777777" w:rsidTr="00401C67">
        <w:trPr>
          <w:trHeight w:val="320"/>
        </w:trPr>
        <w:tc>
          <w:tcPr>
            <w:tcW w:w="5000" w:type="pct"/>
            <w:gridSpan w:val="7"/>
            <w:shd w:val="clear" w:color="auto" w:fill="E7E6E6" w:themeFill="background2"/>
            <w:noWrap/>
          </w:tcPr>
          <w:p w14:paraId="0E665AA5" w14:textId="77777777" w:rsidR="00B54D51" w:rsidRPr="00037AD4" w:rsidRDefault="00B54D51" w:rsidP="00401C67">
            <w:pPr>
              <w:rPr>
                <w:rFonts w:cstheme="minorHAnsi"/>
              </w:rPr>
            </w:pPr>
            <w:r w:rsidRPr="00037AD4">
              <w:rPr>
                <w:rFonts w:cstheme="minorHAnsi"/>
              </w:rPr>
              <w:t>Predicted PwD: level one</w:t>
            </w:r>
          </w:p>
        </w:tc>
      </w:tr>
      <w:tr w:rsidR="00B54D51" w:rsidRPr="00037AD4" w14:paraId="4EA7FF8A" w14:textId="77777777" w:rsidTr="00401C67">
        <w:trPr>
          <w:trHeight w:val="320"/>
        </w:trPr>
        <w:tc>
          <w:tcPr>
            <w:tcW w:w="1693" w:type="pct"/>
            <w:noWrap/>
            <w:hideMark/>
          </w:tcPr>
          <w:p w14:paraId="0CA6470B" w14:textId="77777777" w:rsidR="00B54D51" w:rsidRPr="00037AD4" w:rsidRDefault="00B54D51" w:rsidP="00401C67">
            <w:pPr>
              <w:rPr>
                <w:rFonts w:cstheme="minorHAnsi"/>
              </w:rPr>
            </w:pPr>
            <w:r w:rsidRPr="00037AD4">
              <w:rPr>
                <w:rFonts w:cstheme="minorHAnsi"/>
              </w:rPr>
              <w:t xml:space="preserve">From level one proxy  </w:t>
            </w:r>
          </w:p>
        </w:tc>
        <w:tc>
          <w:tcPr>
            <w:tcW w:w="1121" w:type="pct"/>
            <w:noWrap/>
            <w:hideMark/>
          </w:tcPr>
          <w:p w14:paraId="62002FDC" w14:textId="77777777" w:rsidR="00B54D51" w:rsidRPr="00037AD4" w:rsidRDefault="00B54D51" w:rsidP="00401C67">
            <w:pPr>
              <w:jc w:val="right"/>
              <w:rPr>
                <w:rFonts w:cstheme="minorHAnsi"/>
              </w:rPr>
            </w:pPr>
            <w:r w:rsidRPr="00037AD4">
              <w:rPr>
                <w:rFonts w:cstheme="minorHAnsi"/>
              </w:rPr>
              <w:t>0.841</w:t>
            </w:r>
          </w:p>
        </w:tc>
        <w:tc>
          <w:tcPr>
            <w:tcW w:w="424" w:type="pct"/>
            <w:noWrap/>
            <w:hideMark/>
          </w:tcPr>
          <w:p w14:paraId="3C38F3F9" w14:textId="77777777" w:rsidR="00B54D51" w:rsidRPr="00037AD4" w:rsidRDefault="00B54D51" w:rsidP="00401C67">
            <w:pPr>
              <w:jc w:val="right"/>
              <w:rPr>
                <w:rFonts w:cstheme="minorHAnsi"/>
              </w:rPr>
            </w:pPr>
            <w:r w:rsidRPr="00037AD4">
              <w:rPr>
                <w:rFonts w:cstheme="minorHAnsi"/>
              </w:rPr>
              <w:t>0.021</w:t>
            </w:r>
          </w:p>
        </w:tc>
        <w:tc>
          <w:tcPr>
            <w:tcW w:w="424" w:type="pct"/>
            <w:noWrap/>
            <w:hideMark/>
          </w:tcPr>
          <w:p w14:paraId="6FF46442" w14:textId="77777777" w:rsidR="00B54D51" w:rsidRPr="00037AD4" w:rsidRDefault="00B54D51" w:rsidP="00401C67">
            <w:pPr>
              <w:jc w:val="right"/>
              <w:rPr>
                <w:rFonts w:cstheme="minorHAnsi"/>
              </w:rPr>
            </w:pPr>
            <w:r w:rsidRPr="00037AD4">
              <w:rPr>
                <w:rFonts w:cstheme="minorHAnsi"/>
              </w:rPr>
              <w:t>39.91</w:t>
            </w:r>
          </w:p>
        </w:tc>
        <w:tc>
          <w:tcPr>
            <w:tcW w:w="424" w:type="pct"/>
            <w:noWrap/>
            <w:hideMark/>
          </w:tcPr>
          <w:p w14:paraId="0DB718CA" w14:textId="77777777" w:rsidR="00B54D51" w:rsidRPr="00037AD4" w:rsidRDefault="00B54D51" w:rsidP="00401C67">
            <w:pPr>
              <w:jc w:val="right"/>
              <w:rPr>
                <w:rFonts w:cstheme="minorHAnsi"/>
              </w:rPr>
            </w:pPr>
            <w:r w:rsidRPr="00037AD4">
              <w:rPr>
                <w:rFonts w:cstheme="minorHAnsi"/>
              </w:rPr>
              <w:t>0.000</w:t>
            </w:r>
          </w:p>
        </w:tc>
        <w:tc>
          <w:tcPr>
            <w:tcW w:w="491" w:type="pct"/>
            <w:noWrap/>
            <w:hideMark/>
          </w:tcPr>
          <w:p w14:paraId="443EA492" w14:textId="77777777" w:rsidR="00B54D51" w:rsidRPr="00037AD4" w:rsidRDefault="00B54D51" w:rsidP="00401C67">
            <w:pPr>
              <w:jc w:val="right"/>
              <w:rPr>
                <w:rFonts w:cstheme="minorHAnsi"/>
              </w:rPr>
            </w:pPr>
            <w:r w:rsidRPr="00037AD4">
              <w:rPr>
                <w:rFonts w:cstheme="minorHAnsi"/>
              </w:rPr>
              <w:t>0.800</w:t>
            </w:r>
          </w:p>
        </w:tc>
        <w:tc>
          <w:tcPr>
            <w:tcW w:w="424" w:type="pct"/>
            <w:noWrap/>
            <w:hideMark/>
          </w:tcPr>
          <w:p w14:paraId="323C4ECE" w14:textId="77777777" w:rsidR="00B54D51" w:rsidRPr="00037AD4" w:rsidRDefault="00B54D51" w:rsidP="00401C67">
            <w:pPr>
              <w:jc w:val="right"/>
              <w:rPr>
                <w:rFonts w:cstheme="minorHAnsi"/>
              </w:rPr>
            </w:pPr>
            <w:r w:rsidRPr="00037AD4">
              <w:rPr>
                <w:rFonts w:cstheme="minorHAnsi"/>
              </w:rPr>
              <w:t>0.882</w:t>
            </w:r>
          </w:p>
        </w:tc>
      </w:tr>
      <w:tr w:rsidR="00B54D51" w:rsidRPr="00037AD4" w14:paraId="133752CE" w14:textId="77777777" w:rsidTr="00401C67">
        <w:trPr>
          <w:trHeight w:val="320"/>
        </w:trPr>
        <w:tc>
          <w:tcPr>
            <w:tcW w:w="1693" w:type="pct"/>
            <w:noWrap/>
            <w:hideMark/>
          </w:tcPr>
          <w:p w14:paraId="1E032EA5" w14:textId="77777777" w:rsidR="00B54D51" w:rsidRPr="00037AD4" w:rsidRDefault="00B54D51" w:rsidP="00401C67">
            <w:pPr>
              <w:rPr>
                <w:rFonts w:cstheme="minorHAnsi"/>
              </w:rPr>
            </w:pPr>
            <w:r w:rsidRPr="00037AD4">
              <w:rPr>
                <w:rFonts w:cstheme="minorHAnsi"/>
              </w:rPr>
              <w:t xml:space="preserve">From level two proxy  </w:t>
            </w:r>
          </w:p>
        </w:tc>
        <w:tc>
          <w:tcPr>
            <w:tcW w:w="1121" w:type="pct"/>
            <w:noWrap/>
            <w:hideMark/>
          </w:tcPr>
          <w:p w14:paraId="7B213DCA" w14:textId="77777777" w:rsidR="00B54D51" w:rsidRPr="00037AD4" w:rsidRDefault="00B54D51" w:rsidP="00401C67">
            <w:pPr>
              <w:jc w:val="right"/>
              <w:rPr>
                <w:rFonts w:cstheme="minorHAnsi"/>
              </w:rPr>
            </w:pPr>
            <w:r w:rsidRPr="00037AD4">
              <w:rPr>
                <w:rFonts w:cstheme="minorHAnsi"/>
              </w:rPr>
              <w:t>0.583</w:t>
            </w:r>
          </w:p>
        </w:tc>
        <w:tc>
          <w:tcPr>
            <w:tcW w:w="424" w:type="pct"/>
            <w:noWrap/>
            <w:hideMark/>
          </w:tcPr>
          <w:p w14:paraId="454C6405" w14:textId="77777777" w:rsidR="00B54D51" w:rsidRPr="00037AD4" w:rsidRDefault="00B54D51" w:rsidP="00401C67">
            <w:pPr>
              <w:jc w:val="right"/>
              <w:rPr>
                <w:rFonts w:cstheme="minorHAnsi"/>
              </w:rPr>
            </w:pPr>
            <w:r w:rsidRPr="00037AD4">
              <w:rPr>
                <w:rFonts w:cstheme="minorHAnsi"/>
              </w:rPr>
              <w:t>0.034</w:t>
            </w:r>
          </w:p>
        </w:tc>
        <w:tc>
          <w:tcPr>
            <w:tcW w:w="424" w:type="pct"/>
            <w:noWrap/>
            <w:hideMark/>
          </w:tcPr>
          <w:p w14:paraId="1EA5F48D" w14:textId="77777777" w:rsidR="00B54D51" w:rsidRPr="00037AD4" w:rsidRDefault="00B54D51" w:rsidP="00401C67">
            <w:pPr>
              <w:jc w:val="right"/>
              <w:rPr>
                <w:rFonts w:cstheme="minorHAnsi"/>
              </w:rPr>
            </w:pPr>
            <w:r w:rsidRPr="00037AD4">
              <w:rPr>
                <w:rFonts w:cstheme="minorHAnsi"/>
              </w:rPr>
              <w:t>17.05</w:t>
            </w:r>
          </w:p>
        </w:tc>
        <w:tc>
          <w:tcPr>
            <w:tcW w:w="424" w:type="pct"/>
            <w:noWrap/>
            <w:hideMark/>
          </w:tcPr>
          <w:p w14:paraId="5FA38BCE" w14:textId="77777777" w:rsidR="00B54D51" w:rsidRPr="00037AD4" w:rsidRDefault="00B54D51" w:rsidP="00401C67">
            <w:pPr>
              <w:jc w:val="right"/>
              <w:rPr>
                <w:rFonts w:cstheme="minorHAnsi"/>
              </w:rPr>
            </w:pPr>
            <w:r w:rsidRPr="00037AD4">
              <w:rPr>
                <w:rFonts w:cstheme="minorHAnsi"/>
              </w:rPr>
              <w:t>0.000</w:t>
            </w:r>
          </w:p>
        </w:tc>
        <w:tc>
          <w:tcPr>
            <w:tcW w:w="491" w:type="pct"/>
            <w:noWrap/>
            <w:hideMark/>
          </w:tcPr>
          <w:p w14:paraId="20373BB9" w14:textId="77777777" w:rsidR="00B54D51" w:rsidRPr="00037AD4" w:rsidRDefault="00B54D51" w:rsidP="00401C67">
            <w:pPr>
              <w:jc w:val="right"/>
              <w:rPr>
                <w:rFonts w:cstheme="minorHAnsi"/>
              </w:rPr>
            </w:pPr>
            <w:r w:rsidRPr="00037AD4">
              <w:rPr>
                <w:rFonts w:cstheme="minorHAnsi"/>
              </w:rPr>
              <w:t>0.516</w:t>
            </w:r>
          </w:p>
        </w:tc>
        <w:tc>
          <w:tcPr>
            <w:tcW w:w="424" w:type="pct"/>
            <w:noWrap/>
            <w:hideMark/>
          </w:tcPr>
          <w:p w14:paraId="01FAF28A" w14:textId="77777777" w:rsidR="00B54D51" w:rsidRPr="00037AD4" w:rsidRDefault="00B54D51" w:rsidP="00401C67">
            <w:pPr>
              <w:jc w:val="right"/>
              <w:rPr>
                <w:rFonts w:cstheme="minorHAnsi"/>
              </w:rPr>
            </w:pPr>
            <w:r w:rsidRPr="00037AD4">
              <w:rPr>
                <w:rFonts w:cstheme="minorHAnsi"/>
              </w:rPr>
              <w:t>0.650</w:t>
            </w:r>
          </w:p>
        </w:tc>
      </w:tr>
      <w:tr w:rsidR="00B54D51" w:rsidRPr="00037AD4" w14:paraId="15918D8C" w14:textId="77777777" w:rsidTr="00401C67">
        <w:trPr>
          <w:trHeight w:val="320"/>
        </w:trPr>
        <w:tc>
          <w:tcPr>
            <w:tcW w:w="1693" w:type="pct"/>
            <w:noWrap/>
            <w:hideMark/>
          </w:tcPr>
          <w:p w14:paraId="4C7064EE" w14:textId="77777777" w:rsidR="00B54D51" w:rsidRPr="00037AD4" w:rsidRDefault="00B54D51" w:rsidP="00401C67">
            <w:pPr>
              <w:rPr>
                <w:rFonts w:cstheme="minorHAnsi"/>
              </w:rPr>
            </w:pPr>
            <w:r w:rsidRPr="00037AD4">
              <w:rPr>
                <w:rFonts w:cstheme="minorHAnsi"/>
              </w:rPr>
              <w:t xml:space="preserve">From level three proxy  </w:t>
            </w:r>
          </w:p>
        </w:tc>
        <w:tc>
          <w:tcPr>
            <w:tcW w:w="1121" w:type="pct"/>
            <w:noWrap/>
            <w:hideMark/>
          </w:tcPr>
          <w:p w14:paraId="0EDCE2DE" w14:textId="77777777" w:rsidR="00B54D51" w:rsidRPr="00037AD4" w:rsidRDefault="00B54D51" w:rsidP="00401C67">
            <w:pPr>
              <w:jc w:val="right"/>
              <w:rPr>
                <w:rFonts w:cstheme="minorHAnsi"/>
              </w:rPr>
            </w:pPr>
            <w:r w:rsidRPr="00037AD4">
              <w:rPr>
                <w:rFonts w:cstheme="minorHAnsi"/>
              </w:rPr>
              <w:t>0.293</w:t>
            </w:r>
          </w:p>
        </w:tc>
        <w:tc>
          <w:tcPr>
            <w:tcW w:w="424" w:type="pct"/>
            <w:noWrap/>
            <w:hideMark/>
          </w:tcPr>
          <w:p w14:paraId="4AF82169" w14:textId="77777777" w:rsidR="00B54D51" w:rsidRPr="00037AD4" w:rsidRDefault="00B54D51" w:rsidP="00401C67">
            <w:pPr>
              <w:jc w:val="right"/>
              <w:rPr>
                <w:rFonts w:cstheme="minorHAnsi"/>
              </w:rPr>
            </w:pPr>
            <w:r w:rsidRPr="00037AD4">
              <w:rPr>
                <w:rFonts w:cstheme="minorHAnsi"/>
              </w:rPr>
              <w:t>0.031</w:t>
            </w:r>
          </w:p>
        </w:tc>
        <w:tc>
          <w:tcPr>
            <w:tcW w:w="424" w:type="pct"/>
            <w:noWrap/>
            <w:hideMark/>
          </w:tcPr>
          <w:p w14:paraId="2C268CEA" w14:textId="77777777" w:rsidR="00B54D51" w:rsidRPr="00037AD4" w:rsidRDefault="00B54D51" w:rsidP="00401C67">
            <w:pPr>
              <w:jc w:val="right"/>
              <w:rPr>
                <w:rFonts w:cstheme="minorHAnsi"/>
              </w:rPr>
            </w:pPr>
            <w:r w:rsidRPr="00037AD4">
              <w:rPr>
                <w:rFonts w:cstheme="minorHAnsi"/>
              </w:rPr>
              <w:t>9.44</w:t>
            </w:r>
          </w:p>
        </w:tc>
        <w:tc>
          <w:tcPr>
            <w:tcW w:w="424" w:type="pct"/>
            <w:noWrap/>
            <w:hideMark/>
          </w:tcPr>
          <w:p w14:paraId="5DF8C9B1" w14:textId="77777777" w:rsidR="00B54D51" w:rsidRPr="00037AD4" w:rsidRDefault="00B54D51" w:rsidP="00401C67">
            <w:pPr>
              <w:jc w:val="right"/>
              <w:rPr>
                <w:rFonts w:cstheme="minorHAnsi"/>
              </w:rPr>
            </w:pPr>
            <w:r w:rsidRPr="00037AD4">
              <w:rPr>
                <w:rFonts w:cstheme="minorHAnsi"/>
              </w:rPr>
              <w:t>0.000</w:t>
            </w:r>
          </w:p>
        </w:tc>
        <w:tc>
          <w:tcPr>
            <w:tcW w:w="491" w:type="pct"/>
            <w:noWrap/>
            <w:hideMark/>
          </w:tcPr>
          <w:p w14:paraId="2C5E7F97" w14:textId="77777777" w:rsidR="00B54D51" w:rsidRPr="00037AD4" w:rsidRDefault="00B54D51" w:rsidP="00401C67">
            <w:pPr>
              <w:jc w:val="right"/>
              <w:rPr>
                <w:rFonts w:cstheme="minorHAnsi"/>
              </w:rPr>
            </w:pPr>
            <w:r w:rsidRPr="00037AD4">
              <w:rPr>
                <w:rFonts w:cstheme="minorHAnsi"/>
              </w:rPr>
              <w:t>0.232</w:t>
            </w:r>
          </w:p>
        </w:tc>
        <w:tc>
          <w:tcPr>
            <w:tcW w:w="424" w:type="pct"/>
            <w:noWrap/>
            <w:hideMark/>
          </w:tcPr>
          <w:p w14:paraId="40519A19" w14:textId="77777777" w:rsidR="00B54D51" w:rsidRPr="00037AD4" w:rsidRDefault="00B54D51" w:rsidP="00401C67">
            <w:pPr>
              <w:jc w:val="right"/>
              <w:rPr>
                <w:rFonts w:cstheme="minorHAnsi"/>
              </w:rPr>
            </w:pPr>
            <w:r w:rsidRPr="00037AD4">
              <w:rPr>
                <w:rFonts w:cstheme="minorHAnsi"/>
              </w:rPr>
              <w:t>0.354</w:t>
            </w:r>
          </w:p>
        </w:tc>
      </w:tr>
      <w:tr w:rsidR="00B54D51" w:rsidRPr="00037AD4" w14:paraId="07280DEC" w14:textId="77777777" w:rsidTr="00401C67">
        <w:trPr>
          <w:trHeight w:val="320"/>
        </w:trPr>
        <w:tc>
          <w:tcPr>
            <w:tcW w:w="1693" w:type="pct"/>
            <w:noWrap/>
            <w:hideMark/>
          </w:tcPr>
          <w:p w14:paraId="0BEFECE2" w14:textId="77777777" w:rsidR="00B54D51" w:rsidRPr="00037AD4" w:rsidRDefault="00B54D51" w:rsidP="00401C67">
            <w:pPr>
              <w:rPr>
                <w:rFonts w:cstheme="minorHAnsi"/>
              </w:rPr>
            </w:pPr>
            <w:r w:rsidRPr="00037AD4">
              <w:rPr>
                <w:rFonts w:cstheme="minorHAnsi"/>
              </w:rPr>
              <w:t xml:space="preserve">From level four proxy  </w:t>
            </w:r>
          </w:p>
        </w:tc>
        <w:tc>
          <w:tcPr>
            <w:tcW w:w="1121" w:type="pct"/>
            <w:noWrap/>
            <w:hideMark/>
          </w:tcPr>
          <w:p w14:paraId="0E5F5659" w14:textId="77777777" w:rsidR="00B54D51" w:rsidRPr="00037AD4" w:rsidRDefault="00B54D51" w:rsidP="00401C67">
            <w:pPr>
              <w:jc w:val="right"/>
              <w:rPr>
                <w:rFonts w:cstheme="minorHAnsi"/>
              </w:rPr>
            </w:pPr>
            <w:r w:rsidRPr="00037AD4">
              <w:rPr>
                <w:rFonts w:cstheme="minorHAnsi"/>
              </w:rPr>
              <w:t>0.207</w:t>
            </w:r>
          </w:p>
        </w:tc>
        <w:tc>
          <w:tcPr>
            <w:tcW w:w="424" w:type="pct"/>
            <w:noWrap/>
            <w:hideMark/>
          </w:tcPr>
          <w:p w14:paraId="7A80494E" w14:textId="77777777" w:rsidR="00B54D51" w:rsidRPr="00037AD4" w:rsidRDefault="00B54D51" w:rsidP="00401C67">
            <w:pPr>
              <w:jc w:val="right"/>
              <w:rPr>
                <w:rFonts w:cstheme="minorHAnsi"/>
              </w:rPr>
            </w:pPr>
            <w:r w:rsidRPr="00037AD4">
              <w:rPr>
                <w:rFonts w:cstheme="minorHAnsi"/>
              </w:rPr>
              <w:t>0.037</w:t>
            </w:r>
          </w:p>
        </w:tc>
        <w:tc>
          <w:tcPr>
            <w:tcW w:w="424" w:type="pct"/>
            <w:noWrap/>
            <w:hideMark/>
          </w:tcPr>
          <w:p w14:paraId="26891F49" w14:textId="77777777" w:rsidR="00B54D51" w:rsidRPr="00037AD4" w:rsidRDefault="00B54D51" w:rsidP="00401C67">
            <w:pPr>
              <w:jc w:val="right"/>
              <w:rPr>
                <w:rFonts w:cstheme="minorHAnsi"/>
              </w:rPr>
            </w:pPr>
            <w:r w:rsidRPr="00037AD4">
              <w:rPr>
                <w:rFonts w:cstheme="minorHAnsi"/>
              </w:rPr>
              <w:t>5.67</w:t>
            </w:r>
          </w:p>
        </w:tc>
        <w:tc>
          <w:tcPr>
            <w:tcW w:w="424" w:type="pct"/>
            <w:noWrap/>
            <w:hideMark/>
          </w:tcPr>
          <w:p w14:paraId="7582075D" w14:textId="77777777" w:rsidR="00B54D51" w:rsidRPr="00037AD4" w:rsidRDefault="00B54D51" w:rsidP="00401C67">
            <w:pPr>
              <w:jc w:val="right"/>
              <w:rPr>
                <w:rFonts w:cstheme="minorHAnsi"/>
              </w:rPr>
            </w:pPr>
            <w:r w:rsidRPr="00037AD4">
              <w:rPr>
                <w:rFonts w:cstheme="minorHAnsi"/>
              </w:rPr>
              <w:t>0.000</w:t>
            </w:r>
          </w:p>
        </w:tc>
        <w:tc>
          <w:tcPr>
            <w:tcW w:w="491" w:type="pct"/>
            <w:noWrap/>
            <w:hideMark/>
          </w:tcPr>
          <w:p w14:paraId="18615E71" w14:textId="77777777" w:rsidR="00B54D51" w:rsidRPr="00037AD4" w:rsidRDefault="00B54D51" w:rsidP="00401C67">
            <w:pPr>
              <w:jc w:val="right"/>
              <w:rPr>
                <w:rFonts w:cstheme="minorHAnsi"/>
              </w:rPr>
            </w:pPr>
            <w:r w:rsidRPr="00037AD4">
              <w:rPr>
                <w:rFonts w:cstheme="minorHAnsi"/>
              </w:rPr>
              <w:t>0.136</w:t>
            </w:r>
          </w:p>
        </w:tc>
        <w:tc>
          <w:tcPr>
            <w:tcW w:w="424" w:type="pct"/>
            <w:noWrap/>
            <w:hideMark/>
          </w:tcPr>
          <w:p w14:paraId="6A70DF01" w14:textId="77777777" w:rsidR="00B54D51" w:rsidRPr="00037AD4" w:rsidRDefault="00B54D51" w:rsidP="00401C67">
            <w:pPr>
              <w:jc w:val="right"/>
              <w:rPr>
                <w:rFonts w:cstheme="minorHAnsi"/>
              </w:rPr>
            </w:pPr>
            <w:r w:rsidRPr="00037AD4">
              <w:rPr>
                <w:rFonts w:cstheme="minorHAnsi"/>
              </w:rPr>
              <w:t>0.279</w:t>
            </w:r>
          </w:p>
        </w:tc>
      </w:tr>
      <w:tr w:rsidR="00B54D51" w:rsidRPr="00037AD4" w14:paraId="3C81DC96" w14:textId="77777777" w:rsidTr="00401C67">
        <w:trPr>
          <w:trHeight w:val="320"/>
        </w:trPr>
        <w:tc>
          <w:tcPr>
            <w:tcW w:w="1693" w:type="pct"/>
            <w:noWrap/>
            <w:hideMark/>
          </w:tcPr>
          <w:p w14:paraId="26AAC112" w14:textId="77777777" w:rsidR="00B54D51" w:rsidRPr="00037AD4" w:rsidRDefault="00B54D51" w:rsidP="00401C67">
            <w:pPr>
              <w:rPr>
                <w:rFonts w:cstheme="minorHAnsi"/>
              </w:rPr>
            </w:pPr>
            <w:r w:rsidRPr="00037AD4">
              <w:rPr>
                <w:rFonts w:cstheme="minorHAnsi"/>
              </w:rPr>
              <w:t xml:space="preserve">From level five proxy  </w:t>
            </w:r>
          </w:p>
        </w:tc>
        <w:tc>
          <w:tcPr>
            <w:tcW w:w="1121" w:type="pct"/>
            <w:noWrap/>
            <w:hideMark/>
          </w:tcPr>
          <w:p w14:paraId="7FBD9B10" w14:textId="77777777" w:rsidR="00B54D51" w:rsidRPr="00037AD4" w:rsidRDefault="00B54D51" w:rsidP="00401C67">
            <w:pPr>
              <w:jc w:val="right"/>
              <w:rPr>
                <w:rFonts w:cstheme="minorHAnsi"/>
              </w:rPr>
            </w:pPr>
            <w:r w:rsidRPr="00037AD4">
              <w:rPr>
                <w:rFonts w:cstheme="minorHAnsi"/>
              </w:rPr>
              <w:t>0.008</w:t>
            </w:r>
          </w:p>
        </w:tc>
        <w:tc>
          <w:tcPr>
            <w:tcW w:w="424" w:type="pct"/>
            <w:noWrap/>
            <w:hideMark/>
          </w:tcPr>
          <w:p w14:paraId="27F2B89D" w14:textId="77777777" w:rsidR="00B54D51" w:rsidRPr="00037AD4" w:rsidRDefault="00B54D51" w:rsidP="00401C67">
            <w:pPr>
              <w:jc w:val="right"/>
              <w:rPr>
                <w:rFonts w:cstheme="minorHAnsi"/>
              </w:rPr>
            </w:pPr>
            <w:r w:rsidRPr="00037AD4">
              <w:rPr>
                <w:rFonts w:cstheme="minorHAnsi"/>
              </w:rPr>
              <w:t>0.013</w:t>
            </w:r>
          </w:p>
        </w:tc>
        <w:tc>
          <w:tcPr>
            <w:tcW w:w="424" w:type="pct"/>
            <w:noWrap/>
            <w:hideMark/>
          </w:tcPr>
          <w:p w14:paraId="25A125FF" w14:textId="77777777" w:rsidR="00B54D51" w:rsidRPr="00037AD4" w:rsidRDefault="00B54D51" w:rsidP="00401C67">
            <w:pPr>
              <w:jc w:val="right"/>
              <w:rPr>
                <w:rFonts w:cstheme="minorHAnsi"/>
              </w:rPr>
            </w:pPr>
            <w:r w:rsidRPr="00037AD4">
              <w:rPr>
                <w:rFonts w:cstheme="minorHAnsi"/>
              </w:rPr>
              <w:t>0.65</w:t>
            </w:r>
          </w:p>
        </w:tc>
        <w:tc>
          <w:tcPr>
            <w:tcW w:w="424" w:type="pct"/>
            <w:noWrap/>
            <w:hideMark/>
          </w:tcPr>
          <w:p w14:paraId="323B5BA3" w14:textId="77777777" w:rsidR="00B54D51" w:rsidRPr="00037AD4" w:rsidRDefault="00B54D51" w:rsidP="00401C67">
            <w:pPr>
              <w:jc w:val="right"/>
              <w:rPr>
                <w:rFonts w:cstheme="minorHAnsi"/>
              </w:rPr>
            </w:pPr>
            <w:r w:rsidRPr="00037AD4">
              <w:rPr>
                <w:rFonts w:cstheme="minorHAnsi"/>
              </w:rPr>
              <w:t>0.514</w:t>
            </w:r>
          </w:p>
        </w:tc>
        <w:tc>
          <w:tcPr>
            <w:tcW w:w="491" w:type="pct"/>
            <w:noWrap/>
            <w:hideMark/>
          </w:tcPr>
          <w:p w14:paraId="2A37584E" w14:textId="77777777" w:rsidR="00B54D51" w:rsidRPr="00037AD4" w:rsidRDefault="00B54D51" w:rsidP="00401C67">
            <w:pPr>
              <w:jc w:val="right"/>
              <w:rPr>
                <w:rFonts w:cstheme="minorHAnsi"/>
              </w:rPr>
            </w:pPr>
            <w:r w:rsidRPr="00037AD4">
              <w:rPr>
                <w:rFonts w:cstheme="minorHAnsi"/>
              </w:rPr>
              <w:t>-0.017</w:t>
            </w:r>
          </w:p>
        </w:tc>
        <w:tc>
          <w:tcPr>
            <w:tcW w:w="424" w:type="pct"/>
            <w:noWrap/>
            <w:hideMark/>
          </w:tcPr>
          <w:p w14:paraId="284364E1" w14:textId="77777777" w:rsidR="00B54D51" w:rsidRPr="00037AD4" w:rsidRDefault="00B54D51" w:rsidP="00401C67">
            <w:pPr>
              <w:jc w:val="right"/>
              <w:rPr>
                <w:rFonts w:cstheme="minorHAnsi"/>
              </w:rPr>
            </w:pPr>
            <w:r w:rsidRPr="00037AD4">
              <w:rPr>
                <w:rFonts w:cstheme="minorHAnsi"/>
              </w:rPr>
              <w:t>0.034</w:t>
            </w:r>
          </w:p>
        </w:tc>
      </w:tr>
      <w:tr w:rsidR="00B54D51" w:rsidRPr="00037AD4" w14:paraId="3ABA6F33" w14:textId="77777777" w:rsidTr="00401C67">
        <w:trPr>
          <w:trHeight w:val="320"/>
        </w:trPr>
        <w:tc>
          <w:tcPr>
            <w:tcW w:w="5000" w:type="pct"/>
            <w:gridSpan w:val="7"/>
            <w:shd w:val="clear" w:color="auto" w:fill="E7E6E6" w:themeFill="background2"/>
            <w:noWrap/>
          </w:tcPr>
          <w:p w14:paraId="5CF83FF5" w14:textId="77777777" w:rsidR="00B54D51" w:rsidRPr="00037AD4" w:rsidRDefault="00B54D51" w:rsidP="00401C67">
            <w:pPr>
              <w:rPr>
                <w:rFonts w:cstheme="minorHAnsi"/>
              </w:rPr>
            </w:pPr>
            <w:r w:rsidRPr="00037AD4">
              <w:rPr>
                <w:rFonts w:cstheme="minorHAnsi"/>
              </w:rPr>
              <w:t>Predicted PwD: level two</w:t>
            </w:r>
          </w:p>
        </w:tc>
      </w:tr>
      <w:tr w:rsidR="00B54D51" w:rsidRPr="00037AD4" w14:paraId="39F08802" w14:textId="77777777" w:rsidTr="00401C67">
        <w:trPr>
          <w:trHeight w:val="320"/>
        </w:trPr>
        <w:tc>
          <w:tcPr>
            <w:tcW w:w="1693" w:type="pct"/>
            <w:noWrap/>
            <w:hideMark/>
          </w:tcPr>
          <w:p w14:paraId="1D48BF29" w14:textId="77777777" w:rsidR="00B54D51" w:rsidRPr="00037AD4" w:rsidRDefault="00B54D51" w:rsidP="00401C67">
            <w:pPr>
              <w:rPr>
                <w:rFonts w:cstheme="minorHAnsi"/>
              </w:rPr>
            </w:pPr>
            <w:r w:rsidRPr="00037AD4">
              <w:rPr>
                <w:rFonts w:cstheme="minorHAnsi"/>
              </w:rPr>
              <w:t xml:space="preserve">From level one proxy  </w:t>
            </w:r>
          </w:p>
        </w:tc>
        <w:tc>
          <w:tcPr>
            <w:tcW w:w="1121" w:type="pct"/>
            <w:noWrap/>
            <w:hideMark/>
          </w:tcPr>
          <w:p w14:paraId="0ADA5440" w14:textId="77777777" w:rsidR="00B54D51" w:rsidRPr="00037AD4" w:rsidRDefault="00B54D51" w:rsidP="00401C67">
            <w:pPr>
              <w:jc w:val="right"/>
              <w:rPr>
                <w:rFonts w:cstheme="minorHAnsi"/>
              </w:rPr>
            </w:pPr>
            <w:r w:rsidRPr="00037AD4">
              <w:rPr>
                <w:rFonts w:cstheme="minorHAnsi"/>
              </w:rPr>
              <w:t>0.123</w:t>
            </w:r>
          </w:p>
        </w:tc>
        <w:tc>
          <w:tcPr>
            <w:tcW w:w="424" w:type="pct"/>
            <w:noWrap/>
            <w:hideMark/>
          </w:tcPr>
          <w:p w14:paraId="74DED23F" w14:textId="77777777" w:rsidR="00B54D51" w:rsidRPr="00037AD4" w:rsidRDefault="00B54D51" w:rsidP="00401C67">
            <w:pPr>
              <w:jc w:val="right"/>
              <w:rPr>
                <w:rFonts w:cstheme="minorHAnsi"/>
              </w:rPr>
            </w:pPr>
            <w:r w:rsidRPr="00037AD4">
              <w:rPr>
                <w:rFonts w:cstheme="minorHAnsi"/>
              </w:rPr>
              <w:t>0.015</w:t>
            </w:r>
          </w:p>
        </w:tc>
        <w:tc>
          <w:tcPr>
            <w:tcW w:w="424" w:type="pct"/>
            <w:noWrap/>
            <w:hideMark/>
          </w:tcPr>
          <w:p w14:paraId="2334A12A" w14:textId="77777777" w:rsidR="00B54D51" w:rsidRPr="00037AD4" w:rsidRDefault="00B54D51" w:rsidP="00401C67">
            <w:pPr>
              <w:jc w:val="right"/>
              <w:rPr>
                <w:rFonts w:cstheme="minorHAnsi"/>
              </w:rPr>
            </w:pPr>
            <w:r w:rsidRPr="00037AD4">
              <w:rPr>
                <w:rFonts w:cstheme="minorHAnsi"/>
              </w:rPr>
              <w:t>8.44</w:t>
            </w:r>
          </w:p>
        </w:tc>
        <w:tc>
          <w:tcPr>
            <w:tcW w:w="424" w:type="pct"/>
            <w:noWrap/>
            <w:hideMark/>
          </w:tcPr>
          <w:p w14:paraId="35179FDA" w14:textId="77777777" w:rsidR="00B54D51" w:rsidRPr="00037AD4" w:rsidRDefault="00B54D51" w:rsidP="00401C67">
            <w:pPr>
              <w:jc w:val="right"/>
              <w:rPr>
                <w:rFonts w:cstheme="minorHAnsi"/>
              </w:rPr>
            </w:pPr>
            <w:r w:rsidRPr="00037AD4">
              <w:rPr>
                <w:rFonts w:cstheme="minorHAnsi"/>
              </w:rPr>
              <w:t>0.000</w:t>
            </w:r>
          </w:p>
        </w:tc>
        <w:tc>
          <w:tcPr>
            <w:tcW w:w="491" w:type="pct"/>
            <w:noWrap/>
            <w:hideMark/>
          </w:tcPr>
          <w:p w14:paraId="665C2EA2" w14:textId="77777777" w:rsidR="00B54D51" w:rsidRPr="00037AD4" w:rsidRDefault="00B54D51" w:rsidP="00401C67">
            <w:pPr>
              <w:jc w:val="right"/>
              <w:rPr>
                <w:rFonts w:cstheme="minorHAnsi"/>
              </w:rPr>
            </w:pPr>
            <w:r w:rsidRPr="00037AD4">
              <w:rPr>
                <w:rFonts w:cstheme="minorHAnsi"/>
              </w:rPr>
              <w:t>0.094</w:t>
            </w:r>
          </w:p>
        </w:tc>
        <w:tc>
          <w:tcPr>
            <w:tcW w:w="424" w:type="pct"/>
            <w:noWrap/>
            <w:hideMark/>
          </w:tcPr>
          <w:p w14:paraId="7975DEC8" w14:textId="77777777" w:rsidR="00B54D51" w:rsidRPr="00037AD4" w:rsidRDefault="00B54D51" w:rsidP="00401C67">
            <w:pPr>
              <w:jc w:val="right"/>
              <w:rPr>
                <w:rFonts w:cstheme="minorHAnsi"/>
              </w:rPr>
            </w:pPr>
            <w:r w:rsidRPr="00037AD4">
              <w:rPr>
                <w:rFonts w:cstheme="minorHAnsi"/>
              </w:rPr>
              <w:t>0.151</w:t>
            </w:r>
          </w:p>
        </w:tc>
      </w:tr>
      <w:tr w:rsidR="00B54D51" w:rsidRPr="00037AD4" w14:paraId="5255DE4B" w14:textId="77777777" w:rsidTr="00401C67">
        <w:trPr>
          <w:trHeight w:val="320"/>
        </w:trPr>
        <w:tc>
          <w:tcPr>
            <w:tcW w:w="1693" w:type="pct"/>
            <w:noWrap/>
            <w:hideMark/>
          </w:tcPr>
          <w:p w14:paraId="5B9E7730" w14:textId="77777777" w:rsidR="00B54D51" w:rsidRPr="00037AD4" w:rsidRDefault="00B54D51" w:rsidP="00401C67">
            <w:pPr>
              <w:rPr>
                <w:rFonts w:cstheme="minorHAnsi"/>
              </w:rPr>
            </w:pPr>
            <w:r w:rsidRPr="00037AD4">
              <w:rPr>
                <w:rFonts w:cstheme="minorHAnsi"/>
              </w:rPr>
              <w:t xml:space="preserve">From level two proxy  </w:t>
            </w:r>
          </w:p>
        </w:tc>
        <w:tc>
          <w:tcPr>
            <w:tcW w:w="1121" w:type="pct"/>
            <w:noWrap/>
            <w:hideMark/>
          </w:tcPr>
          <w:p w14:paraId="694F4AB2" w14:textId="77777777" w:rsidR="00B54D51" w:rsidRPr="00037AD4" w:rsidRDefault="00B54D51" w:rsidP="00401C67">
            <w:pPr>
              <w:jc w:val="right"/>
              <w:rPr>
                <w:rFonts w:cstheme="minorHAnsi"/>
              </w:rPr>
            </w:pPr>
            <w:r w:rsidRPr="00037AD4">
              <w:rPr>
                <w:rFonts w:cstheme="minorHAnsi"/>
              </w:rPr>
              <w:t>0.260</w:t>
            </w:r>
          </w:p>
        </w:tc>
        <w:tc>
          <w:tcPr>
            <w:tcW w:w="424" w:type="pct"/>
            <w:noWrap/>
            <w:hideMark/>
          </w:tcPr>
          <w:p w14:paraId="21F17BD6" w14:textId="77777777" w:rsidR="00B54D51" w:rsidRPr="00037AD4" w:rsidRDefault="00B54D51" w:rsidP="00401C67">
            <w:pPr>
              <w:jc w:val="right"/>
              <w:rPr>
                <w:rFonts w:cstheme="minorHAnsi"/>
              </w:rPr>
            </w:pPr>
            <w:r w:rsidRPr="00037AD4">
              <w:rPr>
                <w:rFonts w:cstheme="minorHAnsi"/>
              </w:rPr>
              <w:t>0.020</w:t>
            </w:r>
          </w:p>
        </w:tc>
        <w:tc>
          <w:tcPr>
            <w:tcW w:w="424" w:type="pct"/>
            <w:noWrap/>
            <w:hideMark/>
          </w:tcPr>
          <w:p w14:paraId="48288D2B" w14:textId="77777777" w:rsidR="00B54D51" w:rsidRPr="00037AD4" w:rsidRDefault="00B54D51" w:rsidP="00401C67">
            <w:pPr>
              <w:jc w:val="right"/>
              <w:rPr>
                <w:rFonts w:cstheme="minorHAnsi"/>
              </w:rPr>
            </w:pPr>
            <w:r w:rsidRPr="00037AD4">
              <w:rPr>
                <w:rFonts w:cstheme="minorHAnsi"/>
              </w:rPr>
              <w:t>12.87</w:t>
            </w:r>
          </w:p>
        </w:tc>
        <w:tc>
          <w:tcPr>
            <w:tcW w:w="424" w:type="pct"/>
            <w:noWrap/>
            <w:hideMark/>
          </w:tcPr>
          <w:p w14:paraId="56BC8EF3" w14:textId="77777777" w:rsidR="00B54D51" w:rsidRPr="00037AD4" w:rsidRDefault="00B54D51" w:rsidP="00401C67">
            <w:pPr>
              <w:jc w:val="right"/>
              <w:rPr>
                <w:rFonts w:cstheme="minorHAnsi"/>
              </w:rPr>
            </w:pPr>
            <w:r w:rsidRPr="00037AD4">
              <w:rPr>
                <w:rFonts w:cstheme="minorHAnsi"/>
              </w:rPr>
              <w:t>0.000</w:t>
            </w:r>
          </w:p>
        </w:tc>
        <w:tc>
          <w:tcPr>
            <w:tcW w:w="491" w:type="pct"/>
            <w:noWrap/>
            <w:hideMark/>
          </w:tcPr>
          <w:p w14:paraId="1AC4E270" w14:textId="77777777" w:rsidR="00B54D51" w:rsidRPr="00037AD4" w:rsidRDefault="00B54D51" w:rsidP="00401C67">
            <w:pPr>
              <w:jc w:val="right"/>
              <w:rPr>
                <w:rFonts w:cstheme="minorHAnsi"/>
              </w:rPr>
            </w:pPr>
            <w:r w:rsidRPr="00037AD4">
              <w:rPr>
                <w:rFonts w:cstheme="minorHAnsi"/>
              </w:rPr>
              <w:t>0.220</w:t>
            </w:r>
          </w:p>
        </w:tc>
        <w:tc>
          <w:tcPr>
            <w:tcW w:w="424" w:type="pct"/>
            <w:noWrap/>
            <w:hideMark/>
          </w:tcPr>
          <w:p w14:paraId="0E2F9438" w14:textId="77777777" w:rsidR="00B54D51" w:rsidRPr="00037AD4" w:rsidRDefault="00B54D51" w:rsidP="00401C67">
            <w:pPr>
              <w:jc w:val="right"/>
              <w:rPr>
                <w:rFonts w:cstheme="minorHAnsi"/>
              </w:rPr>
            </w:pPr>
            <w:r w:rsidRPr="00037AD4">
              <w:rPr>
                <w:rFonts w:cstheme="minorHAnsi"/>
              </w:rPr>
              <w:t>0.299</w:t>
            </w:r>
          </w:p>
        </w:tc>
      </w:tr>
      <w:tr w:rsidR="00B54D51" w:rsidRPr="00037AD4" w14:paraId="257ED2D3" w14:textId="77777777" w:rsidTr="00401C67">
        <w:trPr>
          <w:trHeight w:val="320"/>
        </w:trPr>
        <w:tc>
          <w:tcPr>
            <w:tcW w:w="1693" w:type="pct"/>
            <w:noWrap/>
            <w:hideMark/>
          </w:tcPr>
          <w:p w14:paraId="433DB4B1" w14:textId="77777777" w:rsidR="00B54D51" w:rsidRPr="00037AD4" w:rsidRDefault="00B54D51" w:rsidP="00401C67">
            <w:pPr>
              <w:rPr>
                <w:rFonts w:cstheme="minorHAnsi"/>
              </w:rPr>
            </w:pPr>
            <w:r w:rsidRPr="00037AD4">
              <w:rPr>
                <w:rFonts w:cstheme="minorHAnsi"/>
              </w:rPr>
              <w:t xml:space="preserve">From level three proxy  </w:t>
            </w:r>
          </w:p>
        </w:tc>
        <w:tc>
          <w:tcPr>
            <w:tcW w:w="1121" w:type="pct"/>
            <w:noWrap/>
            <w:hideMark/>
          </w:tcPr>
          <w:p w14:paraId="3149D526" w14:textId="77777777" w:rsidR="00B54D51" w:rsidRPr="00037AD4" w:rsidRDefault="00B54D51" w:rsidP="00401C67">
            <w:pPr>
              <w:jc w:val="right"/>
              <w:rPr>
                <w:rFonts w:cstheme="minorHAnsi"/>
              </w:rPr>
            </w:pPr>
            <w:r w:rsidRPr="00037AD4">
              <w:rPr>
                <w:rFonts w:cstheme="minorHAnsi"/>
              </w:rPr>
              <w:t>0.306</w:t>
            </w:r>
          </w:p>
        </w:tc>
        <w:tc>
          <w:tcPr>
            <w:tcW w:w="424" w:type="pct"/>
            <w:noWrap/>
            <w:hideMark/>
          </w:tcPr>
          <w:p w14:paraId="7882ED64" w14:textId="77777777" w:rsidR="00B54D51" w:rsidRPr="00037AD4" w:rsidRDefault="00B54D51" w:rsidP="00401C67">
            <w:pPr>
              <w:jc w:val="right"/>
              <w:rPr>
                <w:rFonts w:cstheme="minorHAnsi"/>
              </w:rPr>
            </w:pPr>
            <w:r w:rsidRPr="00037AD4">
              <w:rPr>
                <w:rFonts w:cstheme="minorHAnsi"/>
              </w:rPr>
              <w:t>0.019</w:t>
            </w:r>
          </w:p>
        </w:tc>
        <w:tc>
          <w:tcPr>
            <w:tcW w:w="424" w:type="pct"/>
            <w:noWrap/>
            <w:hideMark/>
          </w:tcPr>
          <w:p w14:paraId="51DA0652" w14:textId="77777777" w:rsidR="00B54D51" w:rsidRPr="00037AD4" w:rsidRDefault="00B54D51" w:rsidP="00401C67">
            <w:pPr>
              <w:jc w:val="right"/>
              <w:rPr>
                <w:rFonts w:cstheme="minorHAnsi"/>
              </w:rPr>
            </w:pPr>
            <w:r w:rsidRPr="00037AD4">
              <w:rPr>
                <w:rFonts w:cstheme="minorHAnsi"/>
              </w:rPr>
              <w:t>15.83</w:t>
            </w:r>
          </w:p>
        </w:tc>
        <w:tc>
          <w:tcPr>
            <w:tcW w:w="424" w:type="pct"/>
            <w:noWrap/>
            <w:hideMark/>
          </w:tcPr>
          <w:p w14:paraId="34314E55" w14:textId="77777777" w:rsidR="00B54D51" w:rsidRPr="00037AD4" w:rsidRDefault="00B54D51" w:rsidP="00401C67">
            <w:pPr>
              <w:jc w:val="right"/>
              <w:rPr>
                <w:rFonts w:cstheme="minorHAnsi"/>
              </w:rPr>
            </w:pPr>
            <w:r w:rsidRPr="00037AD4">
              <w:rPr>
                <w:rFonts w:cstheme="minorHAnsi"/>
              </w:rPr>
              <w:t>0.000</w:t>
            </w:r>
          </w:p>
        </w:tc>
        <w:tc>
          <w:tcPr>
            <w:tcW w:w="491" w:type="pct"/>
            <w:noWrap/>
            <w:hideMark/>
          </w:tcPr>
          <w:p w14:paraId="6296E4D9" w14:textId="77777777" w:rsidR="00B54D51" w:rsidRPr="00037AD4" w:rsidRDefault="00B54D51" w:rsidP="00401C67">
            <w:pPr>
              <w:jc w:val="right"/>
              <w:rPr>
                <w:rFonts w:cstheme="minorHAnsi"/>
              </w:rPr>
            </w:pPr>
            <w:r w:rsidRPr="00037AD4">
              <w:rPr>
                <w:rFonts w:cstheme="minorHAnsi"/>
              </w:rPr>
              <w:t>0.268</w:t>
            </w:r>
          </w:p>
        </w:tc>
        <w:tc>
          <w:tcPr>
            <w:tcW w:w="424" w:type="pct"/>
            <w:noWrap/>
            <w:hideMark/>
          </w:tcPr>
          <w:p w14:paraId="51D64E18" w14:textId="77777777" w:rsidR="00B54D51" w:rsidRPr="00037AD4" w:rsidRDefault="00B54D51" w:rsidP="00401C67">
            <w:pPr>
              <w:jc w:val="right"/>
              <w:rPr>
                <w:rFonts w:cstheme="minorHAnsi"/>
              </w:rPr>
            </w:pPr>
            <w:r w:rsidRPr="00037AD4">
              <w:rPr>
                <w:rFonts w:cstheme="minorHAnsi"/>
              </w:rPr>
              <w:t>0.344</w:t>
            </w:r>
          </w:p>
        </w:tc>
      </w:tr>
      <w:tr w:rsidR="00B54D51" w:rsidRPr="00037AD4" w14:paraId="106D88AA" w14:textId="77777777" w:rsidTr="00401C67">
        <w:trPr>
          <w:trHeight w:val="320"/>
        </w:trPr>
        <w:tc>
          <w:tcPr>
            <w:tcW w:w="1693" w:type="pct"/>
            <w:noWrap/>
            <w:hideMark/>
          </w:tcPr>
          <w:p w14:paraId="0D6AB5E8" w14:textId="77777777" w:rsidR="00B54D51" w:rsidRPr="00037AD4" w:rsidRDefault="00B54D51" w:rsidP="00401C67">
            <w:pPr>
              <w:rPr>
                <w:rFonts w:cstheme="minorHAnsi"/>
              </w:rPr>
            </w:pPr>
            <w:r w:rsidRPr="00037AD4">
              <w:rPr>
                <w:rFonts w:cstheme="minorHAnsi"/>
              </w:rPr>
              <w:t xml:space="preserve">From level four proxy  </w:t>
            </w:r>
          </w:p>
        </w:tc>
        <w:tc>
          <w:tcPr>
            <w:tcW w:w="1121" w:type="pct"/>
            <w:noWrap/>
            <w:hideMark/>
          </w:tcPr>
          <w:p w14:paraId="51D1432C" w14:textId="77777777" w:rsidR="00B54D51" w:rsidRPr="00037AD4" w:rsidRDefault="00B54D51" w:rsidP="00401C67">
            <w:pPr>
              <w:jc w:val="right"/>
              <w:rPr>
                <w:rFonts w:cstheme="minorHAnsi"/>
              </w:rPr>
            </w:pPr>
            <w:r w:rsidRPr="00037AD4">
              <w:rPr>
                <w:rFonts w:cstheme="minorHAnsi"/>
              </w:rPr>
              <w:t>0.284</w:t>
            </w:r>
          </w:p>
        </w:tc>
        <w:tc>
          <w:tcPr>
            <w:tcW w:w="424" w:type="pct"/>
            <w:noWrap/>
            <w:hideMark/>
          </w:tcPr>
          <w:p w14:paraId="640ACA2C" w14:textId="77777777" w:rsidR="00B54D51" w:rsidRPr="00037AD4" w:rsidRDefault="00B54D51" w:rsidP="00401C67">
            <w:pPr>
              <w:jc w:val="right"/>
              <w:rPr>
                <w:rFonts w:cstheme="minorHAnsi"/>
              </w:rPr>
            </w:pPr>
            <w:r w:rsidRPr="00037AD4">
              <w:rPr>
                <w:rFonts w:cstheme="minorHAnsi"/>
              </w:rPr>
              <w:t>0.021</w:t>
            </w:r>
          </w:p>
        </w:tc>
        <w:tc>
          <w:tcPr>
            <w:tcW w:w="424" w:type="pct"/>
            <w:noWrap/>
            <w:hideMark/>
          </w:tcPr>
          <w:p w14:paraId="0CFAD600" w14:textId="77777777" w:rsidR="00B54D51" w:rsidRPr="00037AD4" w:rsidRDefault="00B54D51" w:rsidP="00401C67">
            <w:pPr>
              <w:jc w:val="right"/>
              <w:rPr>
                <w:rFonts w:cstheme="minorHAnsi"/>
              </w:rPr>
            </w:pPr>
            <w:r w:rsidRPr="00037AD4">
              <w:rPr>
                <w:rFonts w:cstheme="minorHAnsi"/>
              </w:rPr>
              <w:t>13.24</w:t>
            </w:r>
          </w:p>
        </w:tc>
        <w:tc>
          <w:tcPr>
            <w:tcW w:w="424" w:type="pct"/>
            <w:noWrap/>
            <w:hideMark/>
          </w:tcPr>
          <w:p w14:paraId="0DF07394" w14:textId="77777777" w:rsidR="00B54D51" w:rsidRPr="00037AD4" w:rsidRDefault="00B54D51" w:rsidP="00401C67">
            <w:pPr>
              <w:jc w:val="right"/>
              <w:rPr>
                <w:rFonts w:cstheme="minorHAnsi"/>
              </w:rPr>
            </w:pPr>
            <w:r w:rsidRPr="00037AD4">
              <w:rPr>
                <w:rFonts w:cstheme="minorHAnsi"/>
              </w:rPr>
              <w:t>0.000</w:t>
            </w:r>
          </w:p>
        </w:tc>
        <w:tc>
          <w:tcPr>
            <w:tcW w:w="491" w:type="pct"/>
            <w:noWrap/>
            <w:hideMark/>
          </w:tcPr>
          <w:p w14:paraId="5C8EA35F" w14:textId="77777777" w:rsidR="00B54D51" w:rsidRPr="00037AD4" w:rsidRDefault="00B54D51" w:rsidP="00401C67">
            <w:pPr>
              <w:jc w:val="right"/>
              <w:rPr>
                <w:rFonts w:cstheme="minorHAnsi"/>
              </w:rPr>
            </w:pPr>
            <w:r w:rsidRPr="00037AD4">
              <w:rPr>
                <w:rFonts w:cstheme="minorHAnsi"/>
              </w:rPr>
              <w:t>0.242</w:t>
            </w:r>
          </w:p>
        </w:tc>
        <w:tc>
          <w:tcPr>
            <w:tcW w:w="424" w:type="pct"/>
            <w:noWrap/>
            <w:hideMark/>
          </w:tcPr>
          <w:p w14:paraId="671E4C99" w14:textId="77777777" w:rsidR="00B54D51" w:rsidRPr="00037AD4" w:rsidRDefault="00B54D51" w:rsidP="00401C67">
            <w:pPr>
              <w:jc w:val="right"/>
              <w:rPr>
                <w:rFonts w:cstheme="minorHAnsi"/>
              </w:rPr>
            </w:pPr>
            <w:r w:rsidRPr="00037AD4">
              <w:rPr>
                <w:rFonts w:cstheme="minorHAnsi"/>
              </w:rPr>
              <w:t>0.326</w:t>
            </w:r>
          </w:p>
        </w:tc>
      </w:tr>
      <w:tr w:rsidR="00B54D51" w:rsidRPr="00037AD4" w14:paraId="7FA54C9B" w14:textId="77777777" w:rsidTr="00401C67">
        <w:trPr>
          <w:trHeight w:val="320"/>
        </w:trPr>
        <w:tc>
          <w:tcPr>
            <w:tcW w:w="1693" w:type="pct"/>
            <w:noWrap/>
            <w:hideMark/>
          </w:tcPr>
          <w:p w14:paraId="552097A1" w14:textId="77777777" w:rsidR="00B54D51" w:rsidRPr="00037AD4" w:rsidRDefault="00B54D51" w:rsidP="00401C67">
            <w:pPr>
              <w:rPr>
                <w:rFonts w:cstheme="minorHAnsi"/>
              </w:rPr>
            </w:pPr>
            <w:r w:rsidRPr="00037AD4">
              <w:rPr>
                <w:rFonts w:cstheme="minorHAnsi"/>
              </w:rPr>
              <w:t xml:space="preserve">From level five proxy  </w:t>
            </w:r>
          </w:p>
        </w:tc>
        <w:tc>
          <w:tcPr>
            <w:tcW w:w="1121" w:type="pct"/>
            <w:noWrap/>
            <w:hideMark/>
          </w:tcPr>
          <w:p w14:paraId="5E65EC54" w14:textId="77777777" w:rsidR="00B54D51" w:rsidRPr="00037AD4" w:rsidRDefault="00B54D51" w:rsidP="00401C67">
            <w:pPr>
              <w:jc w:val="right"/>
              <w:rPr>
                <w:rFonts w:cstheme="minorHAnsi"/>
              </w:rPr>
            </w:pPr>
            <w:r w:rsidRPr="00037AD4">
              <w:rPr>
                <w:rFonts w:cstheme="minorHAnsi"/>
              </w:rPr>
              <w:t>0.047</w:t>
            </w:r>
          </w:p>
        </w:tc>
        <w:tc>
          <w:tcPr>
            <w:tcW w:w="424" w:type="pct"/>
            <w:noWrap/>
            <w:hideMark/>
          </w:tcPr>
          <w:p w14:paraId="0728417D" w14:textId="77777777" w:rsidR="00B54D51" w:rsidRPr="00037AD4" w:rsidRDefault="00B54D51" w:rsidP="00401C67">
            <w:pPr>
              <w:jc w:val="right"/>
              <w:rPr>
                <w:rFonts w:cstheme="minorHAnsi"/>
              </w:rPr>
            </w:pPr>
            <w:r w:rsidRPr="00037AD4">
              <w:rPr>
                <w:rFonts w:cstheme="minorHAnsi"/>
              </w:rPr>
              <w:t>0.050</w:t>
            </w:r>
          </w:p>
        </w:tc>
        <w:tc>
          <w:tcPr>
            <w:tcW w:w="424" w:type="pct"/>
            <w:noWrap/>
            <w:hideMark/>
          </w:tcPr>
          <w:p w14:paraId="2E650C43" w14:textId="77777777" w:rsidR="00B54D51" w:rsidRPr="00037AD4" w:rsidRDefault="00B54D51" w:rsidP="00401C67">
            <w:pPr>
              <w:jc w:val="right"/>
              <w:rPr>
                <w:rFonts w:cstheme="minorHAnsi"/>
              </w:rPr>
            </w:pPr>
            <w:r w:rsidRPr="00037AD4">
              <w:rPr>
                <w:rFonts w:cstheme="minorHAnsi"/>
              </w:rPr>
              <w:t>0.94</w:t>
            </w:r>
          </w:p>
        </w:tc>
        <w:tc>
          <w:tcPr>
            <w:tcW w:w="424" w:type="pct"/>
            <w:noWrap/>
            <w:hideMark/>
          </w:tcPr>
          <w:p w14:paraId="7594347D" w14:textId="77777777" w:rsidR="00B54D51" w:rsidRPr="00037AD4" w:rsidRDefault="00B54D51" w:rsidP="00401C67">
            <w:pPr>
              <w:jc w:val="right"/>
              <w:rPr>
                <w:rFonts w:cstheme="minorHAnsi"/>
              </w:rPr>
            </w:pPr>
            <w:r w:rsidRPr="00037AD4">
              <w:rPr>
                <w:rFonts w:cstheme="minorHAnsi"/>
              </w:rPr>
              <w:t>0.349</w:t>
            </w:r>
          </w:p>
        </w:tc>
        <w:tc>
          <w:tcPr>
            <w:tcW w:w="491" w:type="pct"/>
            <w:noWrap/>
            <w:hideMark/>
          </w:tcPr>
          <w:p w14:paraId="51AE8A8F" w14:textId="77777777" w:rsidR="00B54D51" w:rsidRPr="00037AD4" w:rsidRDefault="00B54D51" w:rsidP="00401C67">
            <w:pPr>
              <w:jc w:val="right"/>
              <w:rPr>
                <w:rFonts w:cstheme="minorHAnsi"/>
              </w:rPr>
            </w:pPr>
            <w:r w:rsidRPr="00037AD4">
              <w:rPr>
                <w:rFonts w:cstheme="minorHAnsi"/>
              </w:rPr>
              <w:t>-0.051</w:t>
            </w:r>
          </w:p>
        </w:tc>
        <w:tc>
          <w:tcPr>
            <w:tcW w:w="424" w:type="pct"/>
            <w:noWrap/>
            <w:hideMark/>
          </w:tcPr>
          <w:p w14:paraId="30066033" w14:textId="77777777" w:rsidR="00B54D51" w:rsidRPr="00037AD4" w:rsidRDefault="00B54D51" w:rsidP="00401C67">
            <w:pPr>
              <w:jc w:val="right"/>
              <w:rPr>
                <w:rFonts w:cstheme="minorHAnsi"/>
              </w:rPr>
            </w:pPr>
            <w:r w:rsidRPr="00037AD4">
              <w:rPr>
                <w:rFonts w:cstheme="minorHAnsi"/>
              </w:rPr>
              <w:t>0.145</w:t>
            </w:r>
          </w:p>
        </w:tc>
      </w:tr>
      <w:tr w:rsidR="00B54D51" w:rsidRPr="00037AD4" w14:paraId="4C4902AA" w14:textId="77777777" w:rsidTr="00401C67">
        <w:trPr>
          <w:trHeight w:val="320"/>
        </w:trPr>
        <w:tc>
          <w:tcPr>
            <w:tcW w:w="5000" w:type="pct"/>
            <w:gridSpan w:val="7"/>
            <w:shd w:val="clear" w:color="auto" w:fill="E7E6E6" w:themeFill="background2"/>
            <w:noWrap/>
          </w:tcPr>
          <w:p w14:paraId="0378CC79" w14:textId="77777777" w:rsidR="00B54D51" w:rsidRPr="00037AD4" w:rsidRDefault="00B54D51" w:rsidP="00401C67">
            <w:pPr>
              <w:rPr>
                <w:rFonts w:cstheme="minorHAnsi"/>
              </w:rPr>
            </w:pPr>
            <w:r w:rsidRPr="00037AD4">
              <w:rPr>
                <w:rFonts w:cstheme="minorHAnsi"/>
              </w:rPr>
              <w:t>Predicted PwD: level three</w:t>
            </w:r>
          </w:p>
        </w:tc>
      </w:tr>
      <w:tr w:rsidR="00B54D51" w:rsidRPr="00037AD4" w14:paraId="4BAE2FF9" w14:textId="77777777" w:rsidTr="00401C67">
        <w:trPr>
          <w:trHeight w:val="320"/>
        </w:trPr>
        <w:tc>
          <w:tcPr>
            <w:tcW w:w="1693" w:type="pct"/>
            <w:noWrap/>
            <w:hideMark/>
          </w:tcPr>
          <w:p w14:paraId="27F82341" w14:textId="77777777" w:rsidR="00B54D51" w:rsidRPr="00037AD4" w:rsidRDefault="00B54D51" w:rsidP="00401C67">
            <w:pPr>
              <w:rPr>
                <w:rFonts w:cstheme="minorHAnsi"/>
              </w:rPr>
            </w:pPr>
            <w:r w:rsidRPr="00037AD4">
              <w:rPr>
                <w:rFonts w:cstheme="minorHAnsi"/>
              </w:rPr>
              <w:t xml:space="preserve">From level one proxy  </w:t>
            </w:r>
          </w:p>
        </w:tc>
        <w:tc>
          <w:tcPr>
            <w:tcW w:w="1121" w:type="pct"/>
            <w:noWrap/>
            <w:hideMark/>
          </w:tcPr>
          <w:p w14:paraId="756D32E0" w14:textId="77777777" w:rsidR="00B54D51" w:rsidRPr="00037AD4" w:rsidRDefault="00B54D51" w:rsidP="00401C67">
            <w:pPr>
              <w:jc w:val="right"/>
              <w:rPr>
                <w:rFonts w:cstheme="minorHAnsi"/>
              </w:rPr>
            </w:pPr>
            <w:r w:rsidRPr="00037AD4">
              <w:rPr>
                <w:rFonts w:cstheme="minorHAnsi"/>
              </w:rPr>
              <w:t>0.034</w:t>
            </w:r>
          </w:p>
        </w:tc>
        <w:tc>
          <w:tcPr>
            <w:tcW w:w="424" w:type="pct"/>
            <w:noWrap/>
            <w:hideMark/>
          </w:tcPr>
          <w:p w14:paraId="7945B967" w14:textId="77777777" w:rsidR="00B54D51" w:rsidRPr="00037AD4" w:rsidRDefault="00B54D51" w:rsidP="00401C67">
            <w:pPr>
              <w:jc w:val="right"/>
              <w:rPr>
                <w:rFonts w:cstheme="minorHAnsi"/>
              </w:rPr>
            </w:pPr>
            <w:r w:rsidRPr="00037AD4">
              <w:rPr>
                <w:rFonts w:cstheme="minorHAnsi"/>
              </w:rPr>
              <w:t>0.008</w:t>
            </w:r>
          </w:p>
        </w:tc>
        <w:tc>
          <w:tcPr>
            <w:tcW w:w="424" w:type="pct"/>
            <w:noWrap/>
            <w:hideMark/>
          </w:tcPr>
          <w:p w14:paraId="02E69258" w14:textId="77777777" w:rsidR="00B54D51" w:rsidRPr="00037AD4" w:rsidRDefault="00B54D51" w:rsidP="00401C67">
            <w:pPr>
              <w:jc w:val="right"/>
              <w:rPr>
                <w:rFonts w:cstheme="minorHAnsi"/>
              </w:rPr>
            </w:pPr>
            <w:r w:rsidRPr="00037AD4">
              <w:rPr>
                <w:rFonts w:cstheme="minorHAnsi"/>
              </w:rPr>
              <w:t>4.49</w:t>
            </w:r>
          </w:p>
        </w:tc>
        <w:tc>
          <w:tcPr>
            <w:tcW w:w="424" w:type="pct"/>
            <w:noWrap/>
            <w:hideMark/>
          </w:tcPr>
          <w:p w14:paraId="6288D910" w14:textId="77777777" w:rsidR="00B54D51" w:rsidRPr="00037AD4" w:rsidRDefault="00B54D51" w:rsidP="00401C67">
            <w:pPr>
              <w:jc w:val="right"/>
              <w:rPr>
                <w:rFonts w:cstheme="minorHAnsi"/>
              </w:rPr>
            </w:pPr>
            <w:r w:rsidRPr="00037AD4">
              <w:rPr>
                <w:rFonts w:cstheme="minorHAnsi"/>
              </w:rPr>
              <w:t>0.000</w:t>
            </w:r>
          </w:p>
        </w:tc>
        <w:tc>
          <w:tcPr>
            <w:tcW w:w="491" w:type="pct"/>
            <w:noWrap/>
            <w:hideMark/>
          </w:tcPr>
          <w:p w14:paraId="36FC2344" w14:textId="77777777" w:rsidR="00B54D51" w:rsidRPr="00037AD4" w:rsidRDefault="00B54D51" w:rsidP="00401C67">
            <w:pPr>
              <w:jc w:val="right"/>
              <w:rPr>
                <w:rFonts w:cstheme="minorHAnsi"/>
              </w:rPr>
            </w:pPr>
            <w:r w:rsidRPr="00037AD4">
              <w:rPr>
                <w:rFonts w:cstheme="minorHAnsi"/>
              </w:rPr>
              <w:t>0.019</w:t>
            </w:r>
          </w:p>
        </w:tc>
        <w:tc>
          <w:tcPr>
            <w:tcW w:w="424" w:type="pct"/>
            <w:noWrap/>
            <w:hideMark/>
          </w:tcPr>
          <w:p w14:paraId="01E1BA21" w14:textId="77777777" w:rsidR="00B54D51" w:rsidRPr="00037AD4" w:rsidRDefault="00B54D51" w:rsidP="00401C67">
            <w:pPr>
              <w:jc w:val="right"/>
              <w:rPr>
                <w:rFonts w:cstheme="minorHAnsi"/>
              </w:rPr>
            </w:pPr>
            <w:r w:rsidRPr="00037AD4">
              <w:rPr>
                <w:rFonts w:cstheme="minorHAnsi"/>
              </w:rPr>
              <w:t>0.050</w:t>
            </w:r>
          </w:p>
        </w:tc>
      </w:tr>
      <w:tr w:rsidR="00B54D51" w:rsidRPr="00037AD4" w14:paraId="3279821D" w14:textId="77777777" w:rsidTr="00401C67">
        <w:trPr>
          <w:trHeight w:val="320"/>
        </w:trPr>
        <w:tc>
          <w:tcPr>
            <w:tcW w:w="1693" w:type="pct"/>
            <w:noWrap/>
            <w:hideMark/>
          </w:tcPr>
          <w:p w14:paraId="74732ED6" w14:textId="77777777" w:rsidR="00B54D51" w:rsidRPr="00037AD4" w:rsidRDefault="00B54D51" w:rsidP="00401C67">
            <w:pPr>
              <w:rPr>
                <w:rFonts w:cstheme="minorHAnsi"/>
              </w:rPr>
            </w:pPr>
            <w:r w:rsidRPr="00037AD4">
              <w:rPr>
                <w:rFonts w:cstheme="minorHAnsi"/>
              </w:rPr>
              <w:t xml:space="preserve">From level two proxy  </w:t>
            </w:r>
          </w:p>
        </w:tc>
        <w:tc>
          <w:tcPr>
            <w:tcW w:w="1121" w:type="pct"/>
            <w:noWrap/>
            <w:hideMark/>
          </w:tcPr>
          <w:p w14:paraId="01D8AE40" w14:textId="77777777" w:rsidR="00B54D51" w:rsidRPr="00037AD4" w:rsidRDefault="00B54D51" w:rsidP="00401C67">
            <w:pPr>
              <w:jc w:val="right"/>
              <w:rPr>
                <w:rFonts w:cstheme="minorHAnsi"/>
              </w:rPr>
            </w:pPr>
            <w:r w:rsidRPr="00037AD4">
              <w:rPr>
                <w:rFonts w:cstheme="minorHAnsi"/>
              </w:rPr>
              <w:t>0.140</w:t>
            </w:r>
          </w:p>
        </w:tc>
        <w:tc>
          <w:tcPr>
            <w:tcW w:w="424" w:type="pct"/>
            <w:noWrap/>
            <w:hideMark/>
          </w:tcPr>
          <w:p w14:paraId="70A16CF1" w14:textId="77777777" w:rsidR="00B54D51" w:rsidRPr="00037AD4" w:rsidRDefault="00B54D51" w:rsidP="00401C67">
            <w:pPr>
              <w:jc w:val="right"/>
              <w:rPr>
                <w:rFonts w:cstheme="minorHAnsi"/>
              </w:rPr>
            </w:pPr>
            <w:r w:rsidRPr="00037AD4">
              <w:rPr>
                <w:rFonts w:cstheme="minorHAnsi"/>
              </w:rPr>
              <w:t>0.019</w:t>
            </w:r>
          </w:p>
        </w:tc>
        <w:tc>
          <w:tcPr>
            <w:tcW w:w="424" w:type="pct"/>
            <w:noWrap/>
            <w:hideMark/>
          </w:tcPr>
          <w:p w14:paraId="7BDD5362" w14:textId="77777777" w:rsidR="00B54D51" w:rsidRPr="00037AD4" w:rsidRDefault="00B54D51" w:rsidP="00401C67">
            <w:pPr>
              <w:jc w:val="right"/>
              <w:rPr>
                <w:rFonts w:cstheme="minorHAnsi"/>
              </w:rPr>
            </w:pPr>
            <w:r w:rsidRPr="00037AD4">
              <w:rPr>
                <w:rFonts w:cstheme="minorHAnsi"/>
              </w:rPr>
              <w:t>7.45</w:t>
            </w:r>
          </w:p>
        </w:tc>
        <w:tc>
          <w:tcPr>
            <w:tcW w:w="424" w:type="pct"/>
            <w:noWrap/>
            <w:hideMark/>
          </w:tcPr>
          <w:p w14:paraId="74D4D4DA" w14:textId="77777777" w:rsidR="00B54D51" w:rsidRPr="00037AD4" w:rsidRDefault="00B54D51" w:rsidP="00401C67">
            <w:pPr>
              <w:jc w:val="right"/>
              <w:rPr>
                <w:rFonts w:cstheme="minorHAnsi"/>
              </w:rPr>
            </w:pPr>
            <w:r w:rsidRPr="00037AD4">
              <w:rPr>
                <w:rFonts w:cstheme="minorHAnsi"/>
              </w:rPr>
              <w:t>0.000</w:t>
            </w:r>
          </w:p>
        </w:tc>
        <w:tc>
          <w:tcPr>
            <w:tcW w:w="491" w:type="pct"/>
            <w:noWrap/>
            <w:hideMark/>
          </w:tcPr>
          <w:p w14:paraId="23F6B1F2" w14:textId="77777777" w:rsidR="00B54D51" w:rsidRPr="00037AD4" w:rsidRDefault="00B54D51" w:rsidP="00401C67">
            <w:pPr>
              <w:jc w:val="right"/>
              <w:rPr>
                <w:rFonts w:cstheme="minorHAnsi"/>
              </w:rPr>
            </w:pPr>
            <w:r w:rsidRPr="00037AD4">
              <w:rPr>
                <w:rFonts w:cstheme="minorHAnsi"/>
              </w:rPr>
              <w:t>0.103</w:t>
            </w:r>
          </w:p>
        </w:tc>
        <w:tc>
          <w:tcPr>
            <w:tcW w:w="424" w:type="pct"/>
            <w:noWrap/>
            <w:hideMark/>
          </w:tcPr>
          <w:p w14:paraId="4A156967" w14:textId="77777777" w:rsidR="00B54D51" w:rsidRPr="00037AD4" w:rsidRDefault="00B54D51" w:rsidP="00401C67">
            <w:pPr>
              <w:jc w:val="right"/>
              <w:rPr>
                <w:rFonts w:cstheme="minorHAnsi"/>
              </w:rPr>
            </w:pPr>
            <w:r w:rsidRPr="00037AD4">
              <w:rPr>
                <w:rFonts w:cstheme="minorHAnsi"/>
              </w:rPr>
              <w:t>0.176</w:t>
            </w:r>
          </w:p>
        </w:tc>
      </w:tr>
      <w:tr w:rsidR="00B54D51" w:rsidRPr="00037AD4" w14:paraId="3D59322C" w14:textId="77777777" w:rsidTr="00401C67">
        <w:trPr>
          <w:trHeight w:val="320"/>
        </w:trPr>
        <w:tc>
          <w:tcPr>
            <w:tcW w:w="1693" w:type="pct"/>
            <w:noWrap/>
            <w:hideMark/>
          </w:tcPr>
          <w:p w14:paraId="7A816960" w14:textId="77777777" w:rsidR="00B54D51" w:rsidRPr="00037AD4" w:rsidRDefault="00B54D51" w:rsidP="00401C67">
            <w:pPr>
              <w:rPr>
                <w:rFonts w:cstheme="minorHAnsi"/>
              </w:rPr>
            </w:pPr>
            <w:r w:rsidRPr="00037AD4">
              <w:rPr>
                <w:rFonts w:cstheme="minorHAnsi"/>
              </w:rPr>
              <w:t xml:space="preserve">From level three proxy  </w:t>
            </w:r>
          </w:p>
        </w:tc>
        <w:tc>
          <w:tcPr>
            <w:tcW w:w="1121" w:type="pct"/>
            <w:noWrap/>
            <w:hideMark/>
          </w:tcPr>
          <w:p w14:paraId="51B475B8" w14:textId="77777777" w:rsidR="00B54D51" w:rsidRPr="00037AD4" w:rsidRDefault="00B54D51" w:rsidP="00401C67">
            <w:pPr>
              <w:jc w:val="right"/>
              <w:rPr>
                <w:rFonts w:cstheme="minorHAnsi"/>
              </w:rPr>
            </w:pPr>
            <w:r w:rsidRPr="00037AD4">
              <w:rPr>
                <w:rFonts w:cstheme="minorHAnsi"/>
              </w:rPr>
              <w:t>0.311</w:t>
            </w:r>
          </w:p>
        </w:tc>
        <w:tc>
          <w:tcPr>
            <w:tcW w:w="424" w:type="pct"/>
            <w:noWrap/>
            <w:hideMark/>
          </w:tcPr>
          <w:p w14:paraId="1314F8C6" w14:textId="77777777" w:rsidR="00B54D51" w:rsidRPr="00037AD4" w:rsidRDefault="00B54D51" w:rsidP="00401C67">
            <w:pPr>
              <w:jc w:val="right"/>
              <w:rPr>
                <w:rFonts w:cstheme="minorHAnsi"/>
              </w:rPr>
            </w:pPr>
            <w:r w:rsidRPr="00037AD4">
              <w:rPr>
                <w:rFonts w:cstheme="minorHAnsi"/>
              </w:rPr>
              <w:t>0.027</w:t>
            </w:r>
          </w:p>
        </w:tc>
        <w:tc>
          <w:tcPr>
            <w:tcW w:w="424" w:type="pct"/>
            <w:noWrap/>
            <w:hideMark/>
          </w:tcPr>
          <w:p w14:paraId="2698911C" w14:textId="77777777" w:rsidR="00B54D51" w:rsidRPr="00037AD4" w:rsidRDefault="00B54D51" w:rsidP="00401C67">
            <w:pPr>
              <w:jc w:val="right"/>
              <w:rPr>
                <w:rFonts w:cstheme="minorHAnsi"/>
              </w:rPr>
            </w:pPr>
            <w:r w:rsidRPr="00037AD4">
              <w:rPr>
                <w:rFonts w:cstheme="minorHAnsi"/>
              </w:rPr>
              <w:t>11.78</w:t>
            </w:r>
          </w:p>
        </w:tc>
        <w:tc>
          <w:tcPr>
            <w:tcW w:w="424" w:type="pct"/>
            <w:noWrap/>
            <w:hideMark/>
          </w:tcPr>
          <w:p w14:paraId="46039618" w14:textId="77777777" w:rsidR="00B54D51" w:rsidRPr="00037AD4" w:rsidRDefault="00B54D51" w:rsidP="00401C67">
            <w:pPr>
              <w:jc w:val="right"/>
              <w:rPr>
                <w:rFonts w:cstheme="minorHAnsi"/>
              </w:rPr>
            </w:pPr>
            <w:r w:rsidRPr="00037AD4">
              <w:rPr>
                <w:rFonts w:cstheme="minorHAnsi"/>
              </w:rPr>
              <w:t>0.000</w:t>
            </w:r>
          </w:p>
        </w:tc>
        <w:tc>
          <w:tcPr>
            <w:tcW w:w="491" w:type="pct"/>
            <w:noWrap/>
            <w:hideMark/>
          </w:tcPr>
          <w:p w14:paraId="12A1F608" w14:textId="77777777" w:rsidR="00B54D51" w:rsidRPr="00037AD4" w:rsidRDefault="00B54D51" w:rsidP="00401C67">
            <w:pPr>
              <w:jc w:val="right"/>
              <w:rPr>
                <w:rFonts w:cstheme="minorHAnsi"/>
              </w:rPr>
            </w:pPr>
            <w:r w:rsidRPr="00037AD4">
              <w:rPr>
                <w:rFonts w:cstheme="minorHAnsi"/>
              </w:rPr>
              <w:t>0.2595</w:t>
            </w:r>
          </w:p>
        </w:tc>
        <w:tc>
          <w:tcPr>
            <w:tcW w:w="424" w:type="pct"/>
            <w:noWrap/>
            <w:hideMark/>
          </w:tcPr>
          <w:p w14:paraId="6A68462E" w14:textId="77777777" w:rsidR="00B54D51" w:rsidRPr="00037AD4" w:rsidRDefault="00B54D51" w:rsidP="00401C67">
            <w:pPr>
              <w:jc w:val="right"/>
              <w:rPr>
                <w:rFonts w:cstheme="minorHAnsi"/>
              </w:rPr>
            </w:pPr>
            <w:r w:rsidRPr="00037AD4">
              <w:rPr>
                <w:rFonts w:cstheme="minorHAnsi"/>
              </w:rPr>
              <w:t>0.363</w:t>
            </w:r>
          </w:p>
        </w:tc>
      </w:tr>
      <w:tr w:rsidR="00B54D51" w:rsidRPr="00037AD4" w14:paraId="7A917415" w14:textId="77777777" w:rsidTr="00401C67">
        <w:trPr>
          <w:trHeight w:val="320"/>
        </w:trPr>
        <w:tc>
          <w:tcPr>
            <w:tcW w:w="1693" w:type="pct"/>
            <w:noWrap/>
            <w:hideMark/>
          </w:tcPr>
          <w:p w14:paraId="21E68532" w14:textId="77777777" w:rsidR="00B54D51" w:rsidRPr="00037AD4" w:rsidRDefault="00B54D51" w:rsidP="00401C67">
            <w:pPr>
              <w:rPr>
                <w:rFonts w:cstheme="minorHAnsi"/>
              </w:rPr>
            </w:pPr>
            <w:r w:rsidRPr="00037AD4">
              <w:rPr>
                <w:rFonts w:cstheme="minorHAnsi"/>
              </w:rPr>
              <w:t xml:space="preserve">From level four proxy  </w:t>
            </w:r>
          </w:p>
        </w:tc>
        <w:tc>
          <w:tcPr>
            <w:tcW w:w="1121" w:type="pct"/>
            <w:noWrap/>
            <w:hideMark/>
          </w:tcPr>
          <w:p w14:paraId="2390A662" w14:textId="77777777" w:rsidR="00B54D51" w:rsidRPr="00037AD4" w:rsidRDefault="00B54D51" w:rsidP="00401C67">
            <w:pPr>
              <w:jc w:val="right"/>
              <w:rPr>
                <w:rFonts w:cstheme="minorHAnsi"/>
              </w:rPr>
            </w:pPr>
            <w:r w:rsidRPr="00037AD4">
              <w:rPr>
                <w:rFonts w:cstheme="minorHAnsi"/>
              </w:rPr>
              <w:t>0.366</w:t>
            </w:r>
          </w:p>
        </w:tc>
        <w:tc>
          <w:tcPr>
            <w:tcW w:w="424" w:type="pct"/>
            <w:noWrap/>
            <w:hideMark/>
          </w:tcPr>
          <w:p w14:paraId="7F4BC18F" w14:textId="77777777" w:rsidR="00B54D51" w:rsidRPr="00037AD4" w:rsidRDefault="00B54D51" w:rsidP="00401C67">
            <w:pPr>
              <w:jc w:val="right"/>
              <w:rPr>
                <w:rFonts w:cstheme="minorHAnsi"/>
              </w:rPr>
            </w:pPr>
            <w:r w:rsidRPr="00037AD4">
              <w:rPr>
                <w:rFonts w:cstheme="minorHAnsi"/>
              </w:rPr>
              <w:t>0.032</w:t>
            </w:r>
          </w:p>
        </w:tc>
        <w:tc>
          <w:tcPr>
            <w:tcW w:w="424" w:type="pct"/>
            <w:noWrap/>
            <w:hideMark/>
          </w:tcPr>
          <w:p w14:paraId="184D817D" w14:textId="77777777" w:rsidR="00B54D51" w:rsidRPr="00037AD4" w:rsidRDefault="00B54D51" w:rsidP="00401C67">
            <w:pPr>
              <w:jc w:val="right"/>
              <w:rPr>
                <w:rFonts w:cstheme="minorHAnsi"/>
              </w:rPr>
            </w:pPr>
            <w:r w:rsidRPr="00037AD4">
              <w:rPr>
                <w:rFonts w:cstheme="minorHAnsi"/>
              </w:rPr>
              <w:t>11.39</w:t>
            </w:r>
          </w:p>
        </w:tc>
        <w:tc>
          <w:tcPr>
            <w:tcW w:w="424" w:type="pct"/>
            <w:noWrap/>
            <w:hideMark/>
          </w:tcPr>
          <w:p w14:paraId="706D59AC" w14:textId="77777777" w:rsidR="00B54D51" w:rsidRPr="00037AD4" w:rsidRDefault="00B54D51" w:rsidP="00401C67">
            <w:pPr>
              <w:jc w:val="right"/>
              <w:rPr>
                <w:rFonts w:cstheme="minorHAnsi"/>
              </w:rPr>
            </w:pPr>
            <w:r w:rsidRPr="00037AD4">
              <w:rPr>
                <w:rFonts w:cstheme="minorHAnsi"/>
              </w:rPr>
              <w:t>0.000</w:t>
            </w:r>
          </w:p>
        </w:tc>
        <w:tc>
          <w:tcPr>
            <w:tcW w:w="491" w:type="pct"/>
            <w:noWrap/>
            <w:hideMark/>
          </w:tcPr>
          <w:p w14:paraId="2E15FD58" w14:textId="77777777" w:rsidR="00B54D51" w:rsidRPr="00037AD4" w:rsidRDefault="00B54D51" w:rsidP="00401C67">
            <w:pPr>
              <w:jc w:val="right"/>
              <w:rPr>
                <w:rFonts w:cstheme="minorHAnsi"/>
              </w:rPr>
            </w:pPr>
            <w:r w:rsidRPr="00037AD4">
              <w:rPr>
                <w:rFonts w:cstheme="minorHAnsi"/>
              </w:rPr>
              <w:t>0.303</w:t>
            </w:r>
          </w:p>
        </w:tc>
        <w:tc>
          <w:tcPr>
            <w:tcW w:w="424" w:type="pct"/>
            <w:noWrap/>
            <w:hideMark/>
          </w:tcPr>
          <w:p w14:paraId="1CA4D523" w14:textId="77777777" w:rsidR="00B54D51" w:rsidRPr="00037AD4" w:rsidRDefault="00B54D51" w:rsidP="00401C67">
            <w:pPr>
              <w:jc w:val="right"/>
              <w:rPr>
                <w:rFonts w:cstheme="minorHAnsi"/>
              </w:rPr>
            </w:pPr>
            <w:r w:rsidRPr="00037AD4">
              <w:rPr>
                <w:rFonts w:cstheme="minorHAnsi"/>
              </w:rPr>
              <w:t>0.429</w:t>
            </w:r>
          </w:p>
        </w:tc>
      </w:tr>
      <w:tr w:rsidR="00B54D51" w:rsidRPr="00037AD4" w14:paraId="3F0D3FA4" w14:textId="77777777" w:rsidTr="00401C67">
        <w:trPr>
          <w:trHeight w:val="320"/>
        </w:trPr>
        <w:tc>
          <w:tcPr>
            <w:tcW w:w="1693" w:type="pct"/>
            <w:noWrap/>
            <w:hideMark/>
          </w:tcPr>
          <w:p w14:paraId="391F37B3" w14:textId="77777777" w:rsidR="00B54D51" w:rsidRPr="00037AD4" w:rsidRDefault="00B54D51" w:rsidP="00401C67">
            <w:pPr>
              <w:rPr>
                <w:rFonts w:cstheme="minorHAnsi"/>
              </w:rPr>
            </w:pPr>
            <w:r w:rsidRPr="00037AD4">
              <w:rPr>
                <w:rFonts w:cstheme="minorHAnsi"/>
              </w:rPr>
              <w:t xml:space="preserve">From level five proxy  </w:t>
            </w:r>
          </w:p>
        </w:tc>
        <w:tc>
          <w:tcPr>
            <w:tcW w:w="1121" w:type="pct"/>
            <w:noWrap/>
            <w:hideMark/>
          </w:tcPr>
          <w:p w14:paraId="7DA8A16B" w14:textId="77777777" w:rsidR="00B54D51" w:rsidRPr="00037AD4" w:rsidRDefault="00B54D51" w:rsidP="00401C67">
            <w:pPr>
              <w:jc w:val="right"/>
              <w:rPr>
                <w:rFonts w:cstheme="minorHAnsi"/>
              </w:rPr>
            </w:pPr>
            <w:r w:rsidRPr="00037AD4">
              <w:rPr>
                <w:rFonts w:cstheme="minorHAnsi"/>
              </w:rPr>
              <w:t>0.251</w:t>
            </w:r>
          </w:p>
        </w:tc>
        <w:tc>
          <w:tcPr>
            <w:tcW w:w="424" w:type="pct"/>
            <w:noWrap/>
            <w:hideMark/>
          </w:tcPr>
          <w:p w14:paraId="49458C71" w14:textId="77777777" w:rsidR="00B54D51" w:rsidRPr="00037AD4" w:rsidRDefault="00B54D51" w:rsidP="00401C67">
            <w:pPr>
              <w:jc w:val="right"/>
              <w:rPr>
                <w:rFonts w:cstheme="minorHAnsi"/>
              </w:rPr>
            </w:pPr>
            <w:r w:rsidRPr="00037AD4">
              <w:rPr>
                <w:rFonts w:cstheme="minorHAnsi"/>
              </w:rPr>
              <w:t>0.132</w:t>
            </w:r>
          </w:p>
        </w:tc>
        <w:tc>
          <w:tcPr>
            <w:tcW w:w="424" w:type="pct"/>
            <w:noWrap/>
            <w:hideMark/>
          </w:tcPr>
          <w:p w14:paraId="0C29AD96" w14:textId="77777777" w:rsidR="00B54D51" w:rsidRPr="00037AD4" w:rsidRDefault="00B54D51" w:rsidP="00401C67">
            <w:pPr>
              <w:jc w:val="right"/>
              <w:rPr>
                <w:rFonts w:cstheme="minorHAnsi"/>
              </w:rPr>
            </w:pPr>
            <w:r w:rsidRPr="00037AD4">
              <w:rPr>
                <w:rFonts w:cstheme="minorHAnsi"/>
              </w:rPr>
              <w:t>1.9</w:t>
            </w:r>
          </w:p>
        </w:tc>
        <w:tc>
          <w:tcPr>
            <w:tcW w:w="424" w:type="pct"/>
            <w:noWrap/>
            <w:hideMark/>
          </w:tcPr>
          <w:p w14:paraId="35F50180" w14:textId="77777777" w:rsidR="00B54D51" w:rsidRPr="00037AD4" w:rsidRDefault="00B54D51" w:rsidP="00401C67">
            <w:pPr>
              <w:jc w:val="right"/>
              <w:rPr>
                <w:rFonts w:cstheme="minorHAnsi"/>
              </w:rPr>
            </w:pPr>
            <w:r w:rsidRPr="00037AD4">
              <w:rPr>
                <w:rFonts w:cstheme="minorHAnsi"/>
              </w:rPr>
              <w:t>0.058</w:t>
            </w:r>
          </w:p>
        </w:tc>
        <w:tc>
          <w:tcPr>
            <w:tcW w:w="491" w:type="pct"/>
            <w:noWrap/>
            <w:hideMark/>
          </w:tcPr>
          <w:p w14:paraId="13475336" w14:textId="77777777" w:rsidR="00B54D51" w:rsidRPr="00037AD4" w:rsidRDefault="00B54D51" w:rsidP="00401C67">
            <w:pPr>
              <w:jc w:val="right"/>
              <w:rPr>
                <w:rFonts w:cstheme="minorHAnsi"/>
              </w:rPr>
            </w:pPr>
            <w:r w:rsidRPr="00037AD4">
              <w:rPr>
                <w:rFonts w:cstheme="minorHAnsi"/>
              </w:rPr>
              <w:t>-0.009</w:t>
            </w:r>
          </w:p>
        </w:tc>
        <w:tc>
          <w:tcPr>
            <w:tcW w:w="424" w:type="pct"/>
            <w:noWrap/>
            <w:hideMark/>
          </w:tcPr>
          <w:p w14:paraId="324FEB93" w14:textId="77777777" w:rsidR="00B54D51" w:rsidRPr="00037AD4" w:rsidRDefault="00B54D51" w:rsidP="00401C67">
            <w:pPr>
              <w:jc w:val="right"/>
              <w:rPr>
                <w:rFonts w:cstheme="minorHAnsi"/>
              </w:rPr>
            </w:pPr>
            <w:r w:rsidRPr="00037AD4">
              <w:rPr>
                <w:rFonts w:cstheme="minorHAnsi"/>
              </w:rPr>
              <w:t>0.510</w:t>
            </w:r>
          </w:p>
        </w:tc>
      </w:tr>
      <w:tr w:rsidR="00B54D51" w:rsidRPr="00037AD4" w14:paraId="51B8746D" w14:textId="77777777" w:rsidTr="00401C67">
        <w:trPr>
          <w:trHeight w:val="320"/>
        </w:trPr>
        <w:tc>
          <w:tcPr>
            <w:tcW w:w="5000" w:type="pct"/>
            <w:gridSpan w:val="7"/>
            <w:shd w:val="clear" w:color="auto" w:fill="E7E6E6" w:themeFill="background2"/>
            <w:noWrap/>
          </w:tcPr>
          <w:p w14:paraId="7A4F5D3A" w14:textId="77777777" w:rsidR="00B54D51" w:rsidRPr="00037AD4" w:rsidRDefault="00B54D51" w:rsidP="00401C67">
            <w:pPr>
              <w:rPr>
                <w:rFonts w:cstheme="minorHAnsi"/>
              </w:rPr>
            </w:pPr>
            <w:r w:rsidRPr="00037AD4">
              <w:rPr>
                <w:rFonts w:cstheme="minorHAnsi"/>
              </w:rPr>
              <w:t>Predicted PwD: level four</w:t>
            </w:r>
          </w:p>
        </w:tc>
      </w:tr>
      <w:tr w:rsidR="00B54D51" w:rsidRPr="00037AD4" w14:paraId="55526324" w14:textId="77777777" w:rsidTr="00401C67">
        <w:trPr>
          <w:trHeight w:val="320"/>
        </w:trPr>
        <w:tc>
          <w:tcPr>
            <w:tcW w:w="1693" w:type="pct"/>
            <w:noWrap/>
            <w:hideMark/>
          </w:tcPr>
          <w:p w14:paraId="2C576B44" w14:textId="77777777" w:rsidR="00B54D51" w:rsidRPr="00037AD4" w:rsidRDefault="00B54D51" w:rsidP="00401C67">
            <w:pPr>
              <w:rPr>
                <w:rFonts w:cstheme="minorHAnsi"/>
              </w:rPr>
            </w:pPr>
            <w:r w:rsidRPr="00037AD4">
              <w:rPr>
                <w:rFonts w:cstheme="minorHAnsi"/>
              </w:rPr>
              <w:t xml:space="preserve">From level one proxy  </w:t>
            </w:r>
          </w:p>
        </w:tc>
        <w:tc>
          <w:tcPr>
            <w:tcW w:w="1121" w:type="pct"/>
            <w:noWrap/>
            <w:hideMark/>
          </w:tcPr>
          <w:p w14:paraId="30BAD83C" w14:textId="77777777" w:rsidR="00B54D51" w:rsidRPr="00037AD4" w:rsidRDefault="00B54D51" w:rsidP="00401C67">
            <w:pPr>
              <w:jc w:val="right"/>
              <w:rPr>
                <w:rFonts w:cstheme="minorHAnsi"/>
              </w:rPr>
            </w:pPr>
            <w:r w:rsidRPr="00037AD4">
              <w:rPr>
                <w:rFonts w:cstheme="minorHAnsi"/>
              </w:rPr>
              <w:t>0.002</w:t>
            </w:r>
          </w:p>
        </w:tc>
        <w:tc>
          <w:tcPr>
            <w:tcW w:w="424" w:type="pct"/>
            <w:noWrap/>
            <w:hideMark/>
          </w:tcPr>
          <w:p w14:paraId="0B06490C" w14:textId="77777777" w:rsidR="00B54D51" w:rsidRPr="00037AD4" w:rsidRDefault="00B54D51" w:rsidP="00401C67">
            <w:pPr>
              <w:jc w:val="right"/>
              <w:rPr>
                <w:rFonts w:cstheme="minorHAnsi"/>
              </w:rPr>
            </w:pPr>
            <w:r w:rsidRPr="00037AD4">
              <w:rPr>
                <w:rFonts w:cstheme="minorHAnsi"/>
              </w:rPr>
              <w:t>0.001</w:t>
            </w:r>
          </w:p>
        </w:tc>
        <w:tc>
          <w:tcPr>
            <w:tcW w:w="424" w:type="pct"/>
            <w:noWrap/>
            <w:hideMark/>
          </w:tcPr>
          <w:p w14:paraId="0B2CFD45" w14:textId="77777777" w:rsidR="00B54D51" w:rsidRPr="00037AD4" w:rsidRDefault="00B54D51" w:rsidP="00401C67">
            <w:pPr>
              <w:jc w:val="right"/>
              <w:rPr>
                <w:rFonts w:cstheme="minorHAnsi"/>
              </w:rPr>
            </w:pPr>
            <w:r w:rsidRPr="00037AD4">
              <w:rPr>
                <w:rFonts w:cstheme="minorHAnsi"/>
              </w:rPr>
              <w:t>2.45</w:t>
            </w:r>
          </w:p>
        </w:tc>
        <w:tc>
          <w:tcPr>
            <w:tcW w:w="424" w:type="pct"/>
            <w:noWrap/>
            <w:hideMark/>
          </w:tcPr>
          <w:p w14:paraId="57FD047A" w14:textId="77777777" w:rsidR="00B54D51" w:rsidRPr="00037AD4" w:rsidRDefault="00B54D51" w:rsidP="00401C67">
            <w:pPr>
              <w:jc w:val="right"/>
              <w:rPr>
                <w:rFonts w:cstheme="minorHAnsi"/>
              </w:rPr>
            </w:pPr>
            <w:r w:rsidRPr="00037AD4">
              <w:rPr>
                <w:rFonts w:cstheme="minorHAnsi"/>
              </w:rPr>
              <w:t>0.014</w:t>
            </w:r>
          </w:p>
        </w:tc>
        <w:tc>
          <w:tcPr>
            <w:tcW w:w="491" w:type="pct"/>
            <w:noWrap/>
            <w:hideMark/>
          </w:tcPr>
          <w:p w14:paraId="20A18FF1" w14:textId="77777777" w:rsidR="00B54D51" w:rsidRPr="00037AD4" w:rsidRDefault="00B54D51" w:rsidP="00401C67">
            <w:pPr>
              <w:jc w:val="right"/>
              <w:rPr>
                <w:rFonts w:cstheme="minorHAnsi"/>
              </w:rPr>
            </w:pPr>
            <w:r w:rsidRPr="00037AD4">
              <w:rPr>
                <w:rFonts w:cstheme="minorHAnsi"/>
              </w:rPr>
              <w:t>0.000</w:t>
            </w:r>
          </w:p>
        </w:tc>
        <w:tc>
          <w:tcPr>
            <w:tcW w:w="424" w:type="pct"/>
            <w:noWrap/>
            <w:hideMark/>
          </w:tcPr>
          <w:p w14:paraId="711BDF4C" w14:textId="77777777" w:rsidR="00B54D51" w:rsidRPr="00037AD4" w:rsidRDefault="00B54D51" w:rsidP="00401C67">
            <w:pPr>
              <w:jc w:val="right"/>
              <w:rPr>
                <w:rFonts w:cstheme="minorHAnsi"/>
              </w:rPr>
            </w:pPr>
            <w:r w:rsidRPr="00037AD4">
              <w:rPr>
                <w:rFonts w:cstheme="minorHAnsi"/>
              </w:rPr>
              <w:t>0.003</w:t>
            </w:r>
          </w:p>
        </w:tc>
      </w:tr>
      <w:tr w:rsidR="00B54D51" w:rsidRPr="00037AD4" w14:paraId="668AB4E1" w14:textId="77777777" w:rsidTr="00401C67">
        <w:trPr>
          <w:trHeight w:val="320"/>
        </w:trPr>
        <w:tc>
          <w:tcPr>
            <w:tcW w:w="1693" w:type="pct"/>
            <w:noWrap/>
            <w:hideMark/>
          </w:tcPr>
          <w:p w14:paraId="54B231B8" w14:textId="77777777" w:rsidR="00B54D51" w:rsidRPr="00037AD4" w:rsidRDefault="00B54D51" w:rsidP="00401C67">
            <w:pPr>
              <w:rPr>
                <w:rFonts w:cstheme="minorHAnsi"/>
              </w:rPr>
            </w:pPr>
            <w:r w:rsidRPr="00037AD4">
              <w:rPr>
                <w:rFonts w:cstheme="minorHAnsi"/>
              </w:rPr>
              <w:t xml:space="preserve">From level two proxy  </w:t>
            </w:r>
          </w:p>
        </w:tc>
        <w:tc>
          <w:tcPr>
            <w:tcW w:w="1121" w:type="pct"/>
            <w:noWrap/>
            <w:hideMark/>
          </w:tcPr>
          <w:p w14:paraId="532A5149" w14:textId="77777777" w:rsidR="00B54D51" w:rsidRPr="00037AD4" w:rsidRDefault="00B54D51" w:rsidP="00401C67">
            <w:pPr>
              <w:jc w:val="right"/>
              <w:rPr>
                <w:rFonts w:cstheme="minorHAnsi"/>
              </w:rPr>
            </w:pPr>
            <w:r w:rsidRPr="00037AD4">
              <w:rPr>
                <w:rFonts w:cstheme="minorHAnsi"/>
              </w:rPr>
              <w:t>0.018</w:t>
            </w:r>
          </w:p>
        </w:tc>
        <w:tc>
          <w:tcPr>
            <w:tcW w:w="424" w:type="pct"/>
            <w:noWrap/>
            <w:hideMark/>
          </w:tcPr>
          <w:p w14:paraId="197D3783" w14:textId="77777777" w:rsidR="00B54D51" w:rsidRPr="00037AD4" w:rsidRDefault="00B54D51" w:rsidP="00401C67">
            <w:pPr>
              <w:jc w:val="right"/>
              <w:rPr>
                <w:rFonts w:cstheme="minorHAnsi"/>
              </w:rPr>
            </w:pPr>
            <w:r w:rsidRPr="00037AD4">
              <w:rPr>
                <w:rFonts w:cstheme="minorHAnsi"/>
              </w:rPr>
              <w:t>0.005</w:t>
            </w:r>
          </w:p>
        </w:tc>
        <w:tc>
          <w:tcPr>
            <w:tcW w:w="424" w:type="pct"/>
            <w:noWrap/>
            <w:hideMark/>
          </w:tcPr>
          <w:p w14:paraId="73C755D5" w14:textId="77777777" w:rsidR="00B54D51" w:rsidRPr="00037AD4" w:rsidRDefault="00B54D51" w:rsidP="00401C67">
            <w:pPr>
              <w:jc w:val="right"/>
              <w:rPr>
                <w:rFonts w:cstheme="minorHAnsi"/>
              </w:rPr>
            </w:pPr>
            <w:r w:rsidRPr="00037AD4">
              <w:rPr>
                <w:rFonts w:cstheme="minorHAnsi"/>
              </w:rPr>
              <w:t>3.65</w:t>
            </w:r>
          </w:p>
        </w:tc>
        <w:tc>
          <w:tcPr>
            <w:tcW w:w="424" w:type="pct"/>
            <w:noWrap/>
            <w:hideMark/>
          </w:tcPr>
          <w:p w14:paraId="4134C3E4" w14:textId="77777777" w:rsidR="00B54D51" w:rsidRPr="00037AD4" w:rsidRDefault="00B54D51" w:rsidP="00401C67">
            <w:pPr>
              <w:jc w:val="right"/>
              <w:rPr>
                <w:rFonts w:cstheme="minorHAnsi"/>
              </w:rPr>
            </w:pPr>
            <w:r w:rsidRPr="00037AD4">
              <w:rPr>
                <w:rFonts w:cstheme="minorHAnsi"/>
              </w:rPr>
              <w:t>0.000</w:t>
            </w:r>
          </w:p>
        </w:tc>
        <w:tc>
          <w:tcPr>
            <w:tcW w:w="491" w:type="pct"/>
            <w:noWrap/>
            <w:hideMark/>
          </w:tcPr>
          <w:p w14:paraId="204BD0E1" w14:textId="77777777" w:rsidR="00B54D51" w:rsidRPr="00037AD4" w:rsidRDefault="00B54D51" w:rsidP="00401C67">
            <w:pPr>
              <w:jc w:val="right"/>
              <w:rPr>
                <w:rFonts w:cstheme="minorHAnsi"/>
              </w:rPr>
            </w:pPr>
            <w:r w:rsidRPr="00037AD4">
              <w:rPr>
                <w:rFonts w:cstheme="minorHAnsi"/>
              </w:rPr>
              <w:t>0.008</w:t>
            </w:r>
          </w:p>
        </w:tc>
        <w:tc>
          <w:tcPr>
            <w:tcW w:w="424" w:type="pct"/>
            <w:noWrap/>
            <w:hideMark/>
          </w:tcPr>
          <w:p w14:paraId="1799136B" w14:textId="77777777" w:rsidR="00B54D51" w:rsidRPr="00037AD4" w:rsidRDefault="00B54D51" w:rsidP="00401C67">
            <w:pPr>
              <w:jc w:val="right"/>
              <w:rPr>
                <w:rFonts w:cstheme="minorHAnsi"/>
              </w:rPr>
            </w:pPr>
            <w:r w:rsidRPr="00037AD4">
              <w:rPr>
                <w:rFonts w:cstheme="minorHAnsi"/>
              </w:rPr>
              <w:t>0.027</w:t>
            </w:r>
          </w:p>
        </w:tc>
      </w:tr>
      <w:tr w:rsidR="00B54D51" w:rsidRPr="00037AD4" w14:paraId="09E88768" w14:textId="77777777" w:rsidTr="00401C67">
        <w:trPr>
          <w:trHeight w:val="320"/>
        </w:trPr>
        <w:tc>
          <w:tcPr>
            <w:tcW w:w="1693" w:type="pct"/>
            <w:noWrap/>
            <w:hideMark/>
          </w:tcPr>
          <w:p w14:paraId="724A00BD" w14:textId="77777777" w:rsidR="00B54D51" w:rsidRPr="00037AD4" w:rsidRDefault="00B54D51" w:rsidP="00401C67">
            <w:pPr>
              <w:rPr>
                <w:rFonts w:cstheme="minorHAnsi"/>
              </w:rPr>
            </w:pPr>
            <w:r w:rsidRPr="00037AD4">
              <w:rPr>
                <w:rFonts w:cstheme="minorHAnsi"/>
              </w:rPr>
              <w:t xml:space="preserve">From level three proxy  </w:t>
            </w:r>
          </w:p>
        </w:tc>
        <w:tc>
          <w:tcPr>
            <w:tcW w:w="1121" w:type="pct"/>
            <w:noWrap/>
            <w:hideMark/>
          </w:tcPr>
          <w:p w14:paraId="1C0B4D2C" w14:textId="77777777" w:rsidR="00B54D51" w:rsidRPr="00037AD4" w:rsidRDefault="00B54D51" w:rsidP="00401C67">
            <w:pPr>
              <w:jc w:val="right"/>
              <w:rPr>
                <w:rFonts w:cstheme="minorHAnsi"/>
              </w:rPr>
            </w:pPr>
            <w:r w:rsidRPr="00037AD4">
              <w:rPr>
                <w:rFonts w:cstheme="minorHAnsi"/>
              </w:rPr>
              <w:t>0.085</w:t>
            </w:r>
          </w:p>
        </w:tc>
        <w:tc>
          <w:tcPr>
            <w:tcW w:w="424" w:type="pct"/>
            <w:noWrap/>
            <w:hideMark/>
          </w:tcPr>
          <w:p w14:paraId="789C43DC" w14:textId="77777777" w:rsidR="00B54D51" w:rsidRPr="00037AD4" w:rsidRDefault="00B54D51" w:rsidP="00401C67">
            <w:pPr>
              <w:jc w:val="right"/>
              <w:rPr>
                <w:rFonts w:cstheme="minorHAnsi"/>
              </w:rPr>
            </w:pPr>
            <w:r w:rsidRPr="00037AD4">
              <w:rPr>
                <w:rFonts w:cstheme="minorHAnsi"/>
              </w:rPr>
              <w:t>0.015</w:t>
            </w:r>
          </w:p>
        </w:tc>
        <w:tc>
          <w:tcPr>
            <w:tcW w:w="424" w:type="pct"/>
            <w:noWrap/>
            <w:hideMark/>
          </w:tcPr>
          <w:p w14:paraId="1DE43593" w14:textId="77777777" w:rsidR="00B54D51" w:rsidRPr="00037AD4" w:rsidRDefault="00B54D51" w:rsidP="00401C67">
            <w:pPr>
              <w:jc w:val="right"/>
              <w:rPr>
                <w:rFonts w:cstheme="minorHAnsi"/>
              </w:rPr>
            </w:pPr>
            <w:r w:rsidRPr="00037AD4">
              <w:rPr>
                <w:rFonts w:cstheme="minorHAnsi"/>
              </w:rPr>
              <w:t>5.71</w:t>
            </w:r>
          </w:p>
        </w:tc>
        <w:tc>
          <w:tcPr>
            <w:tcW w:w="424" w:type="pct"/>
            <w:noWrap/>
            <w:hideMark/>
          </w:tcPr>
          <w:p w14:paraId="56E81C8C" w14:textId="77777777" w:rsidR="00B54D51" w:rsidRPr="00037AD4" w:rsidRDefault="00B54D51" w:rsidP="00401C67">
            <w:pPr>
              <w:jc w:val="right"/>
              <w:rPr>
                <w:rFonts w:cstheme="minorHAnsi"/>
              </w:rPr>
            </w:pPr>
            <w:r w:rsidRPr="00037AD4">
              <w:rPr>
                <w:rFonts w:cstheme="minorHAnsi"/>
              </w:rPr>
              <w:t>0.000</w:t>
            </w:r>
          </w:p>
        </w:tc>
        <w:tc>
          <w:tcPr>
            <w:tcW w:w="491" w:type="pct"/>
            <w:noWrap/>
            <w:hideMark/>
          </w:tcPr>
          <w:p w14:paraId="219C0007" w14:textId="77777777" w:rsidR="00B54D51" w:rsidRPr="00037AD4" w:rsidRDefault="00B54D51" w:rsidP="00401C67">
            <w:pPr>
              <w:jc w:val="right"/>
              <w:rPr>
                <w:rFonts w:cstheme="minorHAnsi"/>
              </w:rPr>
            </w:pPr>
            <w:r w:rsidRPr="00037AD4">
              <w:rPr>
                <w:rFonts w:cstheme="minorHAnsi"/>
              </w:rPr>
              <w:t>0.056</w:t>
            </w:r>
          </w:p>
        </w:tc>
        <w:tc>
          <w:tcPr>
            <w:tcW w:w="424" w:type="pct"/>
            <w:noWrap/>
            <w:hideMark/>
          </w:tcPr>
          <w:p w14:paraId="78B9C5DC" w14:textId="77777777" w:rsidR="00B54D51" w:rsidRPr="00037AD4" w:rsidRDefault="00B54D51" w:rsidP="00401C67">
            <w:pPr>
              <w:jc w:val="right"/>
              <w:rPr>
                <w:rFonts w:cstheme="minorHAnsi"/>
              </w:rPr>
            </w:pPr>
            <w:r w:rsidRPr="00037AD4">
              <w:rPr>
                <w:rFonts w:cstheme="minorHAnsi"/>
              </w:rPr>
              <w:t>0.114</w:t>
            </w:r>
          </w:p>
        </w:tc>
      </w:tr>
      <w:tr w:rsidR="00B54D51" w:rsidRPr="00037AD4" w14:paraId="38C35C33" w14:textId="77777777" w:rsidTr="00401C67">
        <w:trPr>
          <w:trHeight w:val="320"/>
        </w:trPr>
        <w:tc>
          <w:tcPr>
            <w:tcW w:w="1693" w:type="pct"/>
            <w:noWrap/>
            <w:hideMark/>
          </w:tcPr>
          <w:p w14:paraId="389F4546" w14:textId="77777777" w:rsidR="00B54D51" w:rsidRPr="00037AD4" w:rsidRDefault="00B54D51" w:rsidP="00401C67">
            <w:pPr>
              <w:rPr>
                <w:rFonts w:cstheme="minorHAnsi"/>
              </w:rPr>
            </w:pPr>
            <w:r w:rsidRPr="00037AD4">
              <w:rPr>
                <w:rFonts w:cstheme="minorHAnsi"/>
              </w:rPr>
              <w:t xml:space="preserve">From level four proxy  </w:t>
            </w:r>
          </w:p>
        </w:tc>
        <w:tc>
          <w:tcPr>
            <w:tcW w:w="1121" w:type="pct"/>
            <w:noWrap/>
            <w:hideMark/>
          </w:tcPr>
          <w:p w14:paraId="51315383" w14:textId="77777777" w:rsidR="00B54D51" w:rsidRPr="00037AD4" w:rsidRDefault="00B54D51" w:rsidP="00401C67">
            <w:pPr>
              <w:jc w:val="right"/>
              <w:rPr>
                <w:rFonts w:cstheme="minorHAnsi"/>
              </w:rPr>
            </w:pPr>
            <w:r w:rsidRPr="00037AD4">
              <w:rPr>
                <w:rFonts w:cstheme="minorHAnsi"/>
              </w:rPr>
              <w:t>0.133</w:t>
            </w:r>
          </w:p>
        </w:tc>
        <w:tc>
          <w:tcPr>
            <w:tcW w:w="424" w:type="pct"/>
            <w:noWrap/>
            <w:hideMark/>
          </w:tcPr>
          <w:p w14:paraId="6C5DB48F" w14:textId="77777777" w:rsidR="00B54D51" w:rsidRPr="00037AD4" w:rsidRDefault="00B54D51" w:rsidP="00401C67">
            <w:pPr>
              <w:jc w:val="right"/>
              <w:rPr>
                <w:rFonts w:cstheme="minorHAnsi"/>
              </w:rPr>
            </w:pPr>
            <w:r w:rsidRPr="00037AD4">
              <w:rPr>
                <w:rFonts w:cstheme="minorHAnsi"/>
              </w:rPr>
              <w:t>0.024</w:t>
            </w:r>
          </w:p>
        </w:tc>
        <w:tc>
          <w:tcPr>
            <w:tcW w:w="424" w:type="pct"/>
            <w:noWrap/>
            <w:hideMark/>
          </w:tcPr>
          <w:p w14:paraId="61E4C856" w14:textId="77777777" w:rsidR="00B54D51" w:rsidRPr="00037AD4" w:rsidRDefault="00B54D51" w:rsidP="00401C67">
            <w:pPr>
              <w:jc w:val="right"/>
              <w:rPr>
                <w:rFonts w:cstheme="minorHAnsi"/>
              </w:rPr>
            </w:pPr>
            <w:r w:rsidRPr="00037AD4">
              <w:rPr>
                <w:rFonts w:cstheme="minorHAnsi"/>
              </w:rPr>
              <w:t>5.44</w:t>
            </w:r>
          </w:p>
        </w:tc>
        <w:tc>
          <w:tcPr>
            <w:tcW w:w="424" w:type="pct"/>
            <w:noWrap/>
            <w:hideMark/>
          </w:tcPr>
          <w:p w14:paraId="20E664C9" w14:textId="77777777" w:rsidR="00B54D51" w:rsidRPr="00037AD4" w:rsidRDefault="00B54D51" w:rsidP="00401C67">
            <w:pPr>
              <w:jc w:val="right"/>
              <w:rPr>
                <w:rFonts w:cstheme="minorHAnsi"/>
              </w:rPr>
            </w:pPr>
            <w:r w:rsidRPr="00037AD4">
              <w:rPr>
                <w:rFonts w:cstheme="minorHAnsi"/>
              </w:rPr>
              <w:t>0.000</w:t>
            </w:r>
          </w:p>
        </w:tc>
        <w:tc>
          <w:tcPr>
            <w:tcW w:w="491" w:type="pct"/>
            <w:noWrap/>
            <w:hideMark/>
          </w:tcPr>
          <w:p w14:paraId="41B528D1" w14:textId="77777777" w:rsidR="00B54D51" w:rsidRPr="00037AD4" w:rsidRDefault="00B54D51" w:rsidP="00401C67">
            <w:pPr>
              <w:jc w:val="right"/>
              <w:rPr>
                <w:rFonts w:cstheme="minorHAnsi"/>
              </w:rPr>
            </w:pPr>
            <w:r w:rsidRPr="00037AD4">
              <w:rPr>
                <w:rFonts w:cstheme="minorHAnsi"/>
              </w:rPr>
              <w:t>0.085</w:t>
            </w:r>
          </w:p>
        </w:tc>
        <w:tc>
          <w:tcPr>
            <w:tcW w:w="424" w:type="pct"/>
            <w:noWrap/>
            <w:hideMark/>
          </w:tcPr>
          <w:p w14:paraId="5DEBC3CC" w14:textId="77777777" w:rsidR="00B54D51" w:rsidRPr="00037AD4" w:rsidRDefault="00B54D51" w:rsidP="00401C67">
            <w:pPr>
              <w:jc w:val="right"/>
              <w:rPr>
                <w:rFonts w:cstheme="minorHAnsi"/>
              </w:rPr>
            </w:pPr>
            <w:r w:rsidRPr="00037AD4">
              <w:rPr>
                <w:rFonts w:cstheme="minorHAnsi"/>
              </w:rPr>
              <w:t>0.180</w:t>
            </w:r>
          </w:p>
        </w:tc>
      </w:tr>
      <w:tr w:rsidR="00B54D51" w:rsidRPr="00037AD4" w14:paraId="2DBB407D" w14:textId="77777777" w:rsidTr="00401C67">
        <w:trPr>
          <w:trHeight w:val="320"/>
        </w:trPr>
        <w:tc>
          <w:tcPr>
            <w:tcW w:w="1693" w:type="pct"/>
            <w:noWrap/>
            <w:hideMark/>
          </w:tcPr>
          <w:p w14:paraId="39B4EA5E" w14:textId="77777777" w:rsidR="00B54D51" w:rsidRPr="00037AD4" w:rsidRDefault="00B54D51" w:rsidP="00401C67">
            <w:pPr>
              <w:rPr>
                <w:rFonts w:cstheme="minorHAnsi"/>
              </w:rPr>
            </w:pPr>
            <w:r w:rsidRPr="00037AD4">
              <w:rPr>
                <w:rFonts w:cstheme="minorHAnsi"/>
              </w:rPr>
              <w:lastRenderedPageBreak/>
              <w:t xml:space="preserve">From level five proxy  </w:t>
            </w:r>
          </w:p>
        </w:tc>
        <w:tc>
          <w:tcPr>
            <w:tcW w:w="1121" w:type="pct"/>
            <w:noWrap/>
            <w:hideMark/>
          </w:tcPr>
          <w:p w14:paraId="6C8FE9D1" w14:textId="77777777" w:rsidR="00B54D51" w:rsidRPr="00037AD4" w:rsidRDefault="00B54D51" w:rsidP="00401C67">
            <w:pPr>
              <w:jc w:val="right"/>
              <w:rPr>
                <w:rFonts w:cstheme="minorHAnsi"/>
              </w:rPr>
            </w:pPr>
            <w:r w:rsidRPr="00037AD4">
              <w:rPr>
                <w:rFonts w:cstheme="minorHAnsi"/>
              </w:rPr>
              <w:t>0.466</w:t>
            </w:r>
          </w:p>
        </w:tc>
        <w:tc>
          <w:tcPr>
            <w:tcW w:w="424" w:type="pct"/>
            <w:noWrap/>
            <w:hideMark/>
          </w:tcPr>
          <w:p w14:paraId="6809F6AD" w14:textId="77777777" w:rsidR="00B54D51" w:rsidRPr="00037AD4" w:rsidRDefault="00B54D51" w:rsidP="00401C67">
            <w:pPr>
              <w:jc w:val="right"/>
              <w:rPr>
                <w:rFonts w:cstheme="minorHAnsi"/>
              </w:rPr>
            </w:pPr>
            <w:r w:rsidRPr="00037AD4">
              <w:rPr>
                <w:rFonts w:cstheme="minorHAnsi"/>
              </w:rPr>
              <w:t>0.084</w:t>
            </w:r>
          </w:p>
        </w:tc>
        <w:tc>
          <w:tcPr>
            <w:tcW w:w="424" w:type="pct"/>
            <w:noWrap/>
            <w:hideMark/>
          </w:tcPr>
          <w:p w14:paraId="61493F82" w14:textId="77777777" w:rsidR="00B54D51" w:rsidRPr="00037AD4" w:rsidRDefault="00B54D51" w:rsidP="00401C67">
            <w:pPr>
              <w:jc w:val="right"/>
              <w:rPr>
                <w:rFonts w:cstheme="minorHAnsi"/>
              </w:rPr>
            </w:pPr>
            <w:r w:rsidRPr="00037AD4">
              <w:rPr>
                <w:rFonts w:cstheme="minorHAnsi"/>
              </w:rPr>
              <w:t>5.52</w:t>
            </w:r>
          </w:p>
        </w:tc>
        <w:tc>
          <w:tcPr>
            <w:tcW w:w="424" w:type="pct"/>
            <w:noWrap/>
            <w:hideMark/>
          </w:tcPr>
          <w:p w14:paraId="5216574F" w14:textId="77777777" w:rsidR="00B54D51" w:rsidRPr="00037AD4" w:rsidRDefault="00B54D51" w:rsidP="00401C67">
            <w:pPr>
              <w:jc w:val="right"/>
              <w:rPr>
                <w:rFonts w:cstheme="minorHAnsi"/>
              </w:rPr>
            </w:pPr>
            <w:r w:rsidRPr="00037AD4">
              <w:rPr>
                <w:rFonts w:cstheme="minorHAnsi"/>
              </w:rPr>
              <w:t>0.000</w:t>
            </w:r>
          </w:p>
        </w:tc>
        <w:tc>
          <w:tcPr>
            <w:tcW w:w="491" w:type="pct"/>
            <w:noWrap/>
            <w:hideMark/>
          </w:tcPr>
          <w:p w14:paraId="3E205FEB" w14:textId="77777777" w:rsidR="00B54D51" w:rsidRPr="00037AD4" w:rsidRDefault="00B54D51" w:rsidP="00401C67">
            <w:pPr>
              <w:jc w:val="right"/>
              <w:rPr>
                <w:rFonts w:cstheme="minorHAnsi"/>
              </w:rPr>
            </w:pPr>
            <w:r w:rsidRPr="00037AD4">
              <w:rPr>
                <w:rFonts w:cstheme="minorHAnsi"/>
              </w:rPr>
              <w:t>0.301</w:t>
            </w:r>
          </w:p>
        </w:tc>
        <w:tc>
          <w:tcPr>
            <w:tcW w:w="424" w:type="pct"/>
            <w:noWrap/>
            <w:hideMark/>
          </w:tcPr>
          <w:p w14:paraId="7B0C9BA0" w14:textId="77777777" w:rsidR="00B54D51" w:rsidRPr="00037AD4" w:rsidRDefault="00B54D51" w:rsidP="00401C67">
            <w:pPr>
              <w:jc w:val="right"/>
              <w:rPr>
                <w:rFonts w:cstheme="minorHAnsi"/>
              </w:rPr>
            </w:pPr>
            <w:r w:rsidRPr="00037AD4">
              <w:rPr>
                <w:rFonts w:cstheme="minorHAnsi"/>
              </w:rPr>
              <w:t>0.631</w:t>
            </w:r>
          </w:p>
        </w:tc>
      </w:tr>
      <w:tr w:rsidR="00B54D51" w:rsidRPr="00037AD4" w14:paraId="083E349A" w14:textId="77777777" w:rsidTr="00401C67">
        <w:trPr>
          <w:trHeight w:val="320"/>
        </w:trPr>
        <w:tc>
          <w:tcPr>
            <w:tcW w:w="5000" w:type="pct"/>
            <w:gridSpan w:val="7"/>
            <w:shd w:val="clear" w:color="auto" w:fill="E7E6E6" w:themeFill="background2"/>
            <w:noWrap/>
          </w:tcPr>
          <w:p w14:paraId="03A5BC87" w14:textId="77777777" w:rsidR="00B54D51" w:rsidRPr="00037AD4" w:rsidRDefault="00B54D51" w:rsidP="00401C67">
            <w:pPr>
              <w:rPr>
                <w:rFonts w:cstheme="minorHAnsi"/>
              </w:rPr>
            </w:pPr>
            <w:r w:rsidRPr="00037AD4">
              <w:rPr>
                <w:rFonts w:cstheme="minorHAnsi"/>
              </w:rPr>
              <w:t>Predicted PwD: level five</w:t>
            </w:r>
          </w:p>
        </w:tc>
      </w:tr>
      <w:tr w:rsidR="00B54D51" w:rsidRPr="00037AD4" w14:paraId="13C0B76A" w14:textId="77777777" w:rsidTr="00401C67">
        <w:trPr>
          <w:trHeight w:val="320"/>
        </w:trPr>
        <w:tc>
          <w:tcPr>
            <w:tcW w:w="1693" w:type="pct"/>
            <w:noWrap/>
            <w:hideMark/>
          </w:tcPr>
          <w:p w14:paraId="5574BC34" w14:textId="77777777" w:rsidR="00B54D51" w:rsidRPr="00037AD4" w:rsidRDefault="00B54D51" w:rsidP="00401C67">
            <w:pPr>
              <w:rPr>
                <w:rFonts w:cstheme="minorHAnsi"/>
              </w:rPr>
            </w:pPr>
            <w:r w:rsidRPr="00037AD4">
              <w:rPr>
                <w:rFonts w:cstheme="minorHAnsi"/>
              </w:rPr>
              <w:t xml:space="preserve">From level one proxy  </w:t>
            </w:r>
          </w:p>
        </w:tc>
        <w:tc>
          <w:tcPr>
            <w:tcW w:w="1121" w:type="pct"/>
            <w:noWrap/>
            <w:hideMark/>
          </w:tcPr>
          <w:p w14:paraId="7A6502EF" w14:textId="77777777" w:rsidR="00B54D51" w:rsidRPr="00037AD4" w:rsidRDefault="00B54D51" w:rsidP="00401C67">
            <w:pPr>
              <w:jc w:val="right"/>
              <w:rPr>
                <w:rFonts w:cstheme="minorHAnsi"/>
              </w:rPr>
            </w:pPr>
            <w:r w:rsidRPr="00037AD4">
              <w:rPr>
                <w:rFonts w:cstheme="minorHAnsi"/>
              </w:rPr>
              <w:t>0.000</w:t>
            </w:r>
          </w:p>
        </w:tc>
        <w:tc>
          <w:tcPr>
            <w:tcW w:w="424" w:type="pct"/>
            <w:noWrap/>
            <w:hideMark/>
          </w:tcPr>
          <w:p w14:paraId="102E882F" w14:textId="77777777" w:rsidR="00B54D51" w:rsidRPr="00037AD4" w:rsidRDefault="00B54D51" w:rsidP="00401C67">
            <w:pPr>
              <w:jc w:val="right"/>
              <w:rPr>
                <w:rFonts w:cstheme="minorHAnsi"/>
              </w:rPr>
            </w:pPr>
            <w:r w:rsidRPr="00037AD4">
              <w:rPr>
                <w:rFonts w:cstheme="minorHAnsi"/>
              </w:rPr>
              <w:t>0.000</w:t>
            </w:r>
          </w:p>
        </w:tc>
        <w:tc>
          <w:tcPr>
            <w:tcW w:w="424" w:type="pct"/>
            <w:noWrap/>
            <w:hideMark/>
          </w:tcPr>
          <w:p w14:paraId="642B2234" w14:textId="77777777" w:rsidR="00B54D51" w:rsidRPr="00037AD4" w:rsidRDefault="00B54D51" w:rsidP="00401C67">
            <w:pPr>
              <w:jc w:val="right"/>
              <w:rPr>
                <w:rFonts w:cstheme="minorHAnsi"/>
              </w:rPr>
            </w:pPr>
            <w:r w:rsidRPr="00037AD4">
              <w:rPr>
                <w:rFonts w:cstheme="minorHAnsi"/>
              </w:rPr>
              <w:t>0.83</w:t>
            </w:r>
          </w:p>
        </w:tc>
        <w:tc>
          <w:tcPr>
            <w:tcW w:w="424" w:type="pct"/>
            <w:noWrap/>
            <w:hideMark/>
          </w:tcPr>
          <w:p w14:paraId="65CC0865" w14:textId="77777777" w:rsidR="00B54D51" w:rsidRPr="00037AD4" w:rsidRDefault="00B54D51" w:rsidP="00401C67">
            <w:pPr>
              <w:jc w:val="right"/>
              <w:rPr>
                <w:rFonts w:cstheme="minorHAnsi"/>
              </w:rPr>
            </w:pPr>
            <w:r w:rsidRPr="00037AD4">
              <w:rPr>
                <w:rFonts w:cstheme="minorHAnsi"/>
              </w:rPr>
              <w:t>0.406</w:t>
            </w:r>
          </w:p>
        </w:tc>
        <w:tc>
          <w:tcPr>
            <w:tcW w:w="491" w:type="pct"/>
            <w:noWrap/>
            <w:hideMark/>
          </w:tcPr>
          <w:p w14:paraId="5F6AECEC" w14:textId="77777777" w:rsidR="00B54D51" w:rsidRPr="00037AD4" w:rsidRDefault="00B54D51" w:rsidP="00401C67">
            <w:pPr>
              <w:jc w:val="right"/>
              <w:rPr>
                <w:rFonts w:cstheme="minorHAnsi"/>
              </w:rPr>
            </w:pPr>
            <w:r w:rsidRPr="00037AD4">
              <w:rPr>
                <w:rFonts w:cstheme="minorHAnsi"/>
              </w:rPr>
              <w:t>-0.000</w:t>
            </w:r>
          </w:p>
        </w:tc>
        <w:tc>
          <w:tcPr>
            <w:tcW w:w="424" w:type="pct"/>
            <w:noWrap/>
            <w:hideMark/>
          </w:tcPr>
          <w:p w14:paraId="240FF898" w14:textId="77777777" w:rsidR="00B54D51" w:rsidRPr="00037AD4" w:rsidRDefault="00B54D51" w:rsidP="00401C67">
            <w:pPr>
              <w:jc w:val="right"/>
              <w:rPr>
                <w:rFonts w:cstheme="minorHAnsi"/>
              </w:rPr>
            </w:pPr>
            <w:r w:rsidRPr="00037AD4">
              <w:rPr>
                <w:rFonts w:cstheme="minorHAnsi"/>
              </w:rPr>
              <w:t>0.000</w:t>
            </w:r>
          </w:p>
        </w:tc>
      </w:tr>
      <w:tr w:rsidR="00B54D51" w:rsidRPr="00037AD4" w14:paraId="059F0F4F" w14:textId="77777777" w:rsidTr="00401C67">
        <w:trPr>
          <w:trHeight w:val="320"/>
        </w:trPr>
        <w:tc>
          <w:tcPr>
            <w:tcW w:w="1693" w:type="pct"/>
            <w:noWrap/>
            <w:hideMark/>
          </w:tcPr>
          <w:p w14:paraId="634908F7" w14:textId="77777777" w:rsidR="00B54D51" w:rsidRPr="00037AD4" w:rsidRDefault="00B54D51" w:rsidP="00401C67">
            <w:pPr>
              <w:rPr>
                <w:rFonts w:cstheme="minorHAnsi"/>
              </w:rPr>
            </w:pPr>
            <w:r w:rsidRPr="00037AD4">
              <w:rPr>
                <w:rFonts w:cstheme="minorHAnsi"/>
              </w:rPr>
              <w:t xml:space="preserve">From level two proxy  </w:t>
            </w:r>
          </w:p>
        </w:tc>
        <w:tc>
          <w:tcPr>
            <w:tcW w:w="1121" w:type="pct"/>
            <w:noWrap/>
            <w:hideMark/>
          </w:tcPr>
          <w:p w14:paraId="03E9D310" w14:textId="77777777" w:rsidR="00B54D51" w:rsidRPr="00037AD4" w:rsidRDefault="00B54D51" w:rsidP="00401C67">
            <w:pPr>
              <w:jc w:val="right"/>
              <w:rPr>
                <w:rFonts w:cstheme="minorHAnsi"/>
              </w:rPr>
            </w:pPr>
            <w:r w:rsidRPr="00037AD4">
              <w:rPr>
                <w:rFonts w:cstheme="minorHAnsi"/>
              </w:rPr>
              <w:t>0.000</w:t>
            </w:r>
          </w:p>
        </w:tc>
        <w:tc>
          <w:tcPr>
            <w:tcW w:w="424" w:type="pct"/>
            <w:noWrap/>
            <w:hideMark/>
          </w:tcPr>
          <w:p w14:paraId="3C52AC6F" w14:textId="77777777" w:rsidR="00B54D51" w:rsidRPr="00037AD4" w:rsidRDefault="00B54D51" w:rsidP="00401C67">
            <w:pPr>
              <w:jc w:val="right"/>
              <w:rPr>
                <w:rFonts w:cstheme="minorHAnsi"/>
              </w:rPr>
            </w:pPr>
            <w:r w:rsidRPr="00037AD4">
              <w:rPr>
                <w:rFonts w:cstheme="minorHAnsi"/>
              </w:rPr>
              <w:t>0.000</w:t>
            </w:r>
          </w:p>
        </w:tc>
        <w:tc>
          <w:tcPr>
            <w:tcW w:w="424" w:type="pct"/>
            <w:noWrap/>
            <w:hideMark/>
          </w:tcPr>
          <w:p w14:paraId="4AADEAD3" w14:textId="77777777" w:rsidR="00B54D51" w:rsidRPr="00037AD4" w:rsidRDefault="00B54D51" w:rsidP="00401C67">
            <w:pPr>
              <w:jc w:val="right"/>
              <w:rPr>
                <w:rFonts w:cstheme="minorHAnsi"/>
              </w:rPr>
            </w:pPr>
            <w:r w:rsidRPr="00037AD4">
              <w:rPr>
                <w:rFonts w:cstheme="minorHAnsi"/>
              </w:rPr>
              <w:t>1</w:t>
            </w:r>
          </w:p>
        </w:tc>
        <w:tc>
          <w:tcPr>
            <w:tcW w:w="424" w:type="pct"/>
            <w:noWrap/>
            <w:hideMark/>
          </w:tcPr>
          <w:p w14:paraId="0D168BF4" w14:textId="77777777" w:rsidR="00B54D51" w:rsidRPr="00037AD4" w:rsidRDefault="00B54D51" w:rsidP="00401C67">
            <w:pPr>
              <w:jc w:val="right"/>
              <w:rPr>
                <w:rFonts w:cstheme="minorHAnsi"/>
              </w:rPr>
            </w:pPr>
            <w:r w:rsidRPr="00037AD4">
              <w:rPr>
                <w:rFonts w:cstheme="minorHAnsi"/>
              </w:rPr>
              <w:t>0.317</w:t>
            </w:r>
          </w:p>
        </w:tc>
        <w:tc>
          <w:tcPr>
            <w:tcW w:w="491" w:type="pct"/>
            <w:noWrap/>
            <w:hideMark/>
          </w:tcPr>
          <w:p w14:paraId="3503C750" w14:textId="77777777" w:rsidR="00B54D51" w:rsidRPr="00037AD4" w:rsidRDefault="00B54D51" w:rsidP="00401C67">
            <w:pPr>
              <w:jc w:val="right"/>
              <w:rPr>
                <w:rFonts w:cstheme="minorHAnsi"/>
              </w:rPr>
            </w:pPr>
            <w:r w:rsidRPr="00037AD4">
              <w:rPr>
                <w:rFonts w:cstheme="minorHAnsi"/>
              </w:rPr>
              <w:t>-0.000</w:t>
            </w:r>
          </w:p>
        </w:tc>
        <w:tc>
          <w:tcPr>
            <w:tcW w:w="424" w:type="pct"/>
            <w:noWrap/>
            <w:hideMark/>
          </w:tcPr>
          <w:p w14:paraId="6D022053" w14:textId="77777777" w:rsidR="00B54D51" w:rsidRPr="00037AD4" w:rsidRDefault="00B54D51" w:rsidP="00401C67">
            <w:pPr>
              <w:jc w:val="right"/>
              <w:rPr>
                <w:rFonts w:cstheme="minorHAnsi"/>
              </w:rPr>
            </w:pPr>
            <w:r w:rsidRPr="00037AD4">
              <w:rPr>
                <w:rFonts w:cstheme="minorHAnsi"/>
              </w:rPr>
              <w:t>0.001</w:t>
            </w:r>
          </w:p>
        </w:tc>
      </w:tr>
      <w:tr w:rsidR="00B54D51" w:rsidRPr="00037AD4" w14:paraId="577EF168" w14:textId="77777777" w:rsidTr="00401C67">
        <w:trPr>
          <w:trHeight w:val="320"/>
        </w:trPr>
        <w:tc>
          <w:tcPr>
            <w:tcW w:w="1693" w:type="pct"/>
            <w:noWrap/>
            <w:hideMark/>
          </w:tcPr>
          <w:p w14:paraId="421B069E" w14:textId="77777777" w:rsidR="00B54D51" w:rsidRPr="00037AD4" w:rsidRDefault="00B54D51" w:rsidP="00401C67">
            <w:pPr>
              <w:rPr>
                <w:rFonts w:cstheme="minorHAnsi"/>
              </w:rPr>
            </w:pPr>
            <w:r w:rsidRPr="00037AD4">
              <w:rPr>
                <w:rFonts w:cstheme="minorHAnsi"/>
              </w:rPr>
              <w:t xml:space="preserve">From level three proxy  </w:t>
            </w:r>
          </w:p>
        </w:tc>
        <w:tc>
          <w:tcPr>
            <w:tcW w:w="1121" w:type="pct"/>
            <w:noWrap/>
            <w:hideMark/>
          </w:tcPr>
          <w:p w14:paraId="21D9A8BA" w14:textId="77777777" w:rsidR="00B54D51" w:rsidRPr="00037AD4" w:rsidRDefault="00B54D51" w:rsidP="00401C67">
            <w:pPr>
              <w:jc w:val="right"/>
              <w:rPr>
                <w:rFonts w:cstheme="minorHAnsi"/>
              </w:rPr>
            </w:pPr>
            <w:r w:rsidRPr="00037AD4">
              <w:rPr>
                <w:rFonts w:cstheme="minorHAnsi"/>
              </w:rPr>
              <w:t>0.005</w:t>
            </w:r>
          </w:p>
        </w:tc>
        <w:tc>
          <w:tcPr>
            <w:tcW w:w="424" w:type="pct"/>
            <w:noWrap/>
            <w:hideMark/>
          </w:tcPr>
          <w:p w14:paraId="362AAC6E" w14:textId="77777777" w:rsidR="00B54D51" w:rsidRPr="00037AD4" w:rsidRDefault="00B54D51" w:rsidP="00401C67">
            <w:pPr>
              <w:jc w:val="right"/>
              <w:rPr>
                <w:rFonts w:cstheme="minorHAnsi"/>
              </w:rPr>
            </w:pPr>
            <w:r w:rsidRPr="00037AD4">
              <w:rPr>
                <w:rFonts w:cstheme="minorHAnsi"/>
              </w:rPr>
              <w:t>0.003</w:t>
            </w:r>
          </w:p>
        </w:tc>
        <w:tc>
          <w:tcPr>
            <w:tcW w:w="424" w:type="pct"/>
            <w:noWrap/>
            <w:hideMark/>
          </w:tcPr>
          <w:p w14:paraId="1E25CF08" w14:textId="77777777" w:rsidR="00B54D51" w:rsidRPr="00037AD4" w:rsidRDefault="00B54D51" w:rsidP="00401C67">
            <w:pPr>
              <w:jc w:val="right"/>
              <w:rPr>
                <w:rFonts w:cstheme="minorHAnsi"/>
              </w:rPr>
            </w:pPr>
            <w:r w:rsidRPr="00037AD4">
              <w:rPr>
                <w:rFonts w:cstheme="minorHAnsi"/>
              </w:rPr>
              <w:t>1.44</w:t>
            </w:r>
          </w:p>
        </w:tc>
        <w:tc>
          <w:tcPr>
            <w:tcW w:w="424" w:type="pct"/>
            <w:noWrap/>
            <w:hideMark/>
          </w:tcPr>
          <w:p w14:paraId="2B841BEE" w14:textId="77777777" w:rsidR="00B54D51" w:rsidRPr="00037AD4" w:rsidRDefault="00B54D51" w:rsidP="00401C67">
            <w:pPr>
              <w:jc w:val="right"/>
              <w:rPr>
                <w:rFonts w:cstheme="minorHAnsi"/>
              </w:rPr>
            </w:pPr>
            <w:r w:rsidRPr="00037AD4">
              <w:rPr>
                <w:rFonts w:cstheme="minorHAnsi"/>
              </w:rPr>
              <w:t>0.151</w:t>
            </w:r>
          </w:p>
        </w:tc>
        <w:tc>
          <w:tcPr>
            <w:tcW w:w="491" w:type="pct"/>
            <w:noWrap/>
            <w:hideMark/>
          </w:tcPr>
          <w:p w14:paraId="063051E1" w14:textId="77777777" w:rsidR="00B54D51" w:rsidRPr="00037AD4" w:rsidRDefault="00B54D51" w:rsidP="00401C67">
            <w:pPr>
              <w:jc w:val="right"/>
              <w:rPr>
                <w:rFonts w:cstheme="minorHAnsi"/>
              </w:rPr>
            </w:pPr>
            <w:r w:rsidRPr="00037AD4">
              <w:rPr>
                <w:rFonts w:cstheme="minorHAnsi"/>
              </w:rPr>
              <w:t>-0.002</w:t>
            </w:r>
          </w:p>
        </w:tc>
        <w:tc>
          <w:tcPr>
            <w:tcW w:w="424" w:type="pct"/>
            <w:noWrap/>
            <w:hideMark/>
          </w:tcPr>
          <w:p w14:paraId="06C1E51B" w14:textId="77777777" w:rsidR="00B54D51" w:rsidRPr="00037AD4" w:rsidRDefault="00B54D51" w:rsidP="00401C67">
            <w:pPr>
              <w:jc w:val="right"/>
              <w:rPr>
                <w:rFonts w:cstheme="minorHAnsi"/>
              </w:rPr>
            </w:pPr>
            <w:r w:rsidRPr="00037AD4">
              <w:rPr>
                <w:rFonts w:cstheme="minorHAnsi"/>
              </w:rPr>
              <w:t>0.011</w:t>
            </w:r>
          </w:p>
        </w:tc>
      </w:tr>
      <w:tr w:rsidR="00B54D51" w:rsidRPr="00037AD4" w14:paraId="5D6FF14D" w14:textId="77777777" w:rsidTr="00401C67">
        <w:trPr>
          <w:trHeight w:val="320"/>
        </w:trPr>
        <w:tc>
          <w:tcPr>
            <w:tcW w:w="1693" w:type="pct"/>
            <w:noWrap/>
            <w:hideMark/>
          </w:tcPr>
          <w:p w14:paraId="3C001041" w14:textId="77777777" w:rsidR="00B54D51" w:rsidRPr="00037AD4" w:rsidRDefault="00B54D51" w:rsidP="00401C67">
            <w:pPr>
              <w:rPr>
                <w:rFonts w:cstheme="minorHAnsi"/>
              </w:rPr>
            </w:pPr>
            <w:r w:rsidRPr="00037AD4">
              <w:rPr>
                <w:rFonts w:cstheme="minorHAnsi"/>
              </w:rPr>
              <w:t xml:space="preserve">From level four proxy  </w:t>
            </w:r>
          </w:p>
        </w:tc>
        <w:tc>
          <w:tcPr>
            <w:tcW w:w="1121" w:type="pct"/>
            <w:noWrap/>
            <w:hideMark/>
          </w:tcPr>
          <w:p w14:paraId="697C4F8C" w14:textId="77777777" w:rsidR="00B54D51" w:rsidRPr="00037AD4" w:rsidRDefault="00B54D51" w:rsidP="00401C67">
            <w:pPr>
              <w:jc w:val="right"/>
              <w:rPr>
                <w:rFonts w:cstheme="minorHAnsi"/>
              </w:rPr>
            </w:pPr>
            <w:r w:rsidRPr="00037AD4">
              <w:rPr>
                <w:rFonts w:cstheme="minorHAnsi"/>
              </w:rPr>
              <w:t>0.010</w:t>
            </w:r>
          </w:p>
        </w:tc>
        <w:tc>
          <w:tcPr>
            <w:tcW w:w="424" w:type="pct"/>
            <w:noWrap/>
            <w:hideMark/>
          </w:tcPr>
          <w:p w14:paraId="6104A811" w14:textId="77777777" w:rsidR="00B54D51" w:rsidRPr="00037AD4" w:rsidRDefault="00B54D51" w:rsidP="00401C67">
            <w:pPr>
              <w:jc w:val="right"/>
              <w:rPr>
                <w:rFonts w:cstheme="minorHAnsi"/>
              </w:rPr>
            </w:pPr>
            <w:r w:rsidRPr="00037AD4">
              <w:rPr>
                <w:rFonts w:cstheme="minorHAnsi"/>
              </w:rPr>
              <w:t>0.007</w:t>
            </w:r>
          </w:p>
        </w:tc>
        <w:tc>
          <w:tcPr>
            <w:tcW w:w="424" w:type="pct"/>
            <w:noWrap/>
            <w:hideMark/>
          </w:tcPr>
          <w:p w14:paraId="0AB077D6" w14:textId="77777777" w:rsidR="00B54D51" w:rsidRPr="00037AD4" w:rsidRDefault="00B54D51" w:rsidP="00401C67">
            <w:pPr>
              <w:jc w:val="right"/>
              <w:rPr>
                <w:rFonts w:cstheme="minorHAnsi"/>
              </w:rPr>
            </w:pPr>
            <w:r w:rsidRPr="00037AD4">
              <w:rPr>
                <w:rFonts w:cstheme="minorHAnsi"/>
              </w:rPr>
              <w:t>1.43</w:t>
            </w:r>
          </w:p>
        </w:tc>
        <w:tc>
          <w:tcPr>
            <w:tcW w:w="424" w:type="pct"/>
            <w:noWrap/>
            <w:hideMark/>
          </w:tcPr>
          <w:p w14:paraId="2EF1F02F" w14:textId="77777777" w:rsidR="00B54D51" w:rsidRPr="00037AD4" w:rsidRDefault="00B54D51" w:rsidP="00401C67">
            <w:pPr>
              <w:jc w:val="right"/>
              <w:rPr>
                <w:rFonts w:cstheme="minorHAnsi"/>
              </w:rPr>
            </w:pPr>
            <w:r w:rsidRPr="00037AD4">
              <w:rPr>
                <w:rFonts w:cstheme="minorHAnsi"/>
              </w:rPr>
              <w:t>0.151</w:t>
            </w:r>
          </w:p>
        </w:tc>
        <w:tc>
          <w:tcPr>
            <w:tcW w:w="491" w:type="pct"/>
            <w:noWrap/>
            <w:hideMark/>
          </w:tcPr>
          <w:p w14:paraId="129811B2" w14:textId="77777777" w:rsidR="00B54D51" w:rsidRPr="00037AD4" w:rsidRDefault="00B54D51" w:rsidP="00401C67">
            <w:pPr>
              <w:jc w:val="right"/>
              <w:rPr>
                <w:rFonts w:cstheme="minorHAnsi"/>
              </w:rPr>
            </w:pPr>
            <w:r w:rsidRPr="00037AD4">
              <w:rPr>
                <w:rFonts w:cstheme="minorHAnsi"/>
              </w:rPr>
              <w:t>-0.004</w:t>
            </w:r>
          </w:p>
        </w:tc>
        <w:tc>
          <w:tcPr>
            <w:tcW w:w="424" w:type="pct"/>
            <w:noWrap/>
            <w:hideMark/>
          </w:tcPr>
          <w:p w14:paraId="6EEB8C3D" w14:textId="77777777" w:rsidR="00B54D51" w:rsidRPr="00037AD4" w:rsidRDefault="00B54D51" w:rsidP="00401C67">
            <w:pPr>
              <w:jc w:val="right"/>
              <w:rPr>
                <w:rFonts w:cstheme="minorHAnsi"/>
              </w:rPr>
            </w:pPr>
            <w:r w:rsidRPr="00037AD4">
              <w:rPr>
                <w:rFonts w:cstheme="minorHAnsi"/>
              </w:rPr>
              <w:t>0.024</w:t>
            </w:r>
          </w:p>
        </w:tc>
      </w:tr>
      <w:tr w:rsidR="00B54D51" w:rsidRPr="00037AD4" w14:paraId="0A4D6366" w14:textId="77777777" w:rsidTr="00401C67">
        <w:trPr>
          <w:trHeight w:val="320"/>
        </w:trPr>
        <w:tc>
          <w:tcPr>
            <w:tcW w:w="1693" w:type="pct"/>
            <w:noWrap/>
            <w:hideMark/>
          </w:tcPr>
          <w:p w14:paraId="2A88FB9A" w14:textId="77777777" w:rsidR="00B54D51" w:rsidRPr="00037AD4" w:rsidRDefault="00B54D51" w:rsidP="00401C67">
            <w:pPr>
              <w:rPr>
                <w:rFonts w:cstheme="minorHAnsi"/>
              </w:rPr>
            </w:pPr>
            <w:r w:rsidRPr="00037AD4">
              <w:rPr>
                <w:rFonts w:cstheme="minorHAnsi"/>
              </w:rPr>
              <w:t xml:space="preserve">From level five proxy  </w:t>
            </w:r>
          </w:p>
        </w:tc>
        <w:tc>
          <w:tcPr>
            <w:tcW w:w="1121" w:type="pct"/>
            <w:noWrap/>
            <w:hideMark/>
          </w:tcPr>
          <w:p w14:paraId="64291A9C" w14:textId="77777777" w:rsidR="00B54D51" w:rsidRPr="00037AD4" w:rsidRDefault="00B54D51" w:rsidP="00401C67">
            <w:pPr>
              <w:jc w:val="right"/>
              <w:rPr>
                <w:rFonts w:cstheme="minorHAnsi"/>
              </w:rPr>
            </w:pPr>
            <w:r w:rsidRPr="00037AD4">
              <w:rPr>
                <w:rFonts w:cstheme="minorHAnsi"/>
              </w:rPr>
              <w:t>0.228</w:t>
            </w:r>
          </w:p>
        </w:tc>
        <w:tc>
          <w:tcPr>
            <w:tcW w:w="424" w:type="pct"/>
            <w:noWrap/>
            <w:hideMark/>
          </w:tcPr>
          <w:p w14:paraId="17EEC072" w14:textId="77777777" w:rsidR="00B54D51" w:rsidRPr="00037AD4" w:rsidRDefault="00B54D51" w:rsidP="00401C67">
            <w:pPr>
              <w:jc w:val="right"/>
              <w:rPr>
                <w:rFonts w:cstheme="minorHAnsi"/>
              </w:rPr>
            </w:pPr>
            <w:r w:rsidRPr="00037AD4">
              <w:rPr>
                <w:rFonts w:cstheme="minorHAnsi"/>
              </w:rPr>
              <w:t>0.153</w:t>
            </w:r>
          </w:p>
        </w:tc>
        <w:tc>
          <w:tcPr>
            <w:tcW w:w="424" w:type="pct"/>
            <w:noWrap/>
            <w:hideMark/>
          </w:tcPr>
          <w:p w14:paraId="3D598CDD" w14:textId="77777777" w:rsidR="00B54D51" w:rsidRPr="00037AD4" w:rsidRDefault="00B54D51" w:rsidP="00401C67">
            <w:pPr>
              <w:jc w:val="right"/>
              <w:rPr>
                <w:rFonts w:cstheme="minorHAnsi"/>
              </w:rPr>
            </w:pPr>
            <w:r w:rsidRPr="00037AD4">
              <w:rPr>
                <w:rFonts w:cstheme="minorHAnsi"/>
              </w:rPr>
              <w:t>1.49</w:t>
            </w:r>
          </w:p>
        </w:tc>
        <w:tc>
          <w:tcPr>
            <w:tcW w:w="424" w:type="pct"/>
            <w:noWrap/>
            <w:hideMark/>
          </w:tcPr>
          <w:p w14:paraId="2F7DBDA6" w14:textId="77777777" w:rsidR="00B54D51" w:rsidRPr="00037AD4" w:rsidRDefault="00B54D51" w:rsidP="00401C67">
            <w:pPr>
              <w:jc w:val="right"/>
              <w:rPr>
                <w:rFonts w:cstheme="minorHAnsi"/>
              </w:rPr>
            </w:pPr>
            <w:r w:rsidRPr="00037AD4">
              <w:rPr>
                <w:rFonts w:cstheme="minorHAnsi"/>
              </w:rPr>
              <w:t>0.137</w:t>
            </w:r>
          </w:p>
        </w:tc>
        <w:tc>
          <w:tcPr>
            <w:tcW w:w="491" w:type="pct"/>
            <w:noWrap/>
            <w:hideMark/>
          </w:tcPr>
          <w:p w14:paraId="05E14819" w14:textId="77777777" w:rsidR="00B54D51" w:rsidRPr="00037AD4" w:rsidRDefault="00B54D51" w:rsidP="00401C67">
            <w:pPr>
              <w:jc w:val="right"/>
              <w:rPr>
                <w:rFonts w:cstheme="minorHAnsi"/>
              </w:rPr>
            </w:pPr>
            <w:r w:rsidRPr="00037AD4">
              <w:rPr>
                <w:rFonts w:cstheme="minorHAnsi"/>
              </w:rPr>
              <w:t>-0.072</w:t>
            </w:r>
          </w:p>
        </w:tc>
        <w:tc>
          <w:tcPr>
            <w:tcW w:w="424" w:type="pct"/>
            <w:noWrap/>
            <w:hideMark/>
          </w:tcPr>
          <w:p w14:paraId="2E97A2CD" w14:textId="77777777" w:rsidR="00B54D51" w:rsidRPr="00037AD4" w:rsidRDefault="00B54D51" w:rsidP="00401C67">
            <w:pPr>
              <w:jc w:val="right"/>
              <w:rPr>
                <w:rFonts w:cstheme="minorHAnsi"/>
              </w:rPr>
            </w:pPr>
            <w:r w:rsidRPr="00037AD4">
              <w:rPr>
                <w:rFonts w:cstheme="minorHAnsi"/>
              </w:rPr>
              <w:t>0.528</w:t>
            </w:r>
          </w:p>
        </w:tc>
      </w:tr>
    </w:tbl>
    <w:p w14:paraId="55EAFA20" w14:textId="77777777" w:rsidR="00B54D51" w:rsidRPr="00037AD4" w:rsidRDefault="00B54D51" w:rsidP="001D7ACE">
      <w:pPr>
        <w:rPr>
          <w:b/>
          <w:bCs/>
          <w:color w:val="FF0000"/>
          <w:u w:val="single"/>
        </w:rPr>
      </w:pPr>
    </w:p>
    <w:p w14:paraId="328A6EB3" w14:textId="77777777" w:rsidR="00B54D51" w:rsidRPr="00037AD4" w:rsidRDefault="00B54D51" w:rsidP="001D7ACE">
      <w:pPr>
        <w:rPr>
          <w:rFonts w:asciiTheme="minorHAnsi" w:hAnsiTheme="minorHAnsi" w:cstheme="minorHAnsi"/>
          <w:color w:val="000000" w:themeColor="text1"/>
          <w:u w:val="single"/>
        </w:rPr>
      </w:pPr>
      <w:r w:rsidRPr="00037AD4">
        <w:rPr>
          <w:rFonts w:asciiTheme="minorHAnsi" w:hAnsiTheme="minorHAnsi" w:cstheme="minorHAnsi"/>
          <w:color w:val="000000" w:themeColor="text1"/>
          <w:u w:val="single"/>
        </w:rPr>
        <w:t>Table A6.3c, Mobility dimension average marginal effects: EPIC</w:t>
      </w:r>
    </w:p>
    <w:p w14:paraId="03C5910A" w14:textId="77777777" w:rsidR="00B54D51" w:rsidRPr="00037AD4" w:rsidRDefault="00B54D51" w:rsidP="001D7ACE">
      <w:pPr>
        <w:rPr>
          <w:u w:val="single"/>
        </w:rPr>
      </w:pPr>
    </w:p>
    <w:tbl>
      <w:tblPr>
        <w:tblStyle w:val="TableGridLight"/>
        <w:tblW w:w="9016" w:type="dxa"/>
        <w:tblLook w:val="04A0" w:firstRow="1" w:lastRow="0" w:firstColumn="1" w:lastColumn="0" w:noHBand="0" w:noVBand="1"/>
      </w:tblPr>
      <w:tblGrid>
        <w:gridCol w:w="1183"/>
        <w:gridCol w:w="1913"/>
        <w:gridCol w:w="1184"/>
        <w:gridCol w:w="1184"/>
        <w:gridCol w:w="1184"/>
        <w:gridCol w:w="1184"/>
        <w:gridCol w:w="1184"/>
      </w:tblGrid>
      <w:tr w:rsidR="00B54D51" w:rsidRPr="00037AD4" w14:paraId="6991DE28" w14:textId="77777777" w:rsidTr="00401C67">
        <w:trPr>
          <w:trHeight w:val="320"/>
        </w:trPr>
        <w:tc>
          <w:tcPr>
            <w:tcW w:w="1183" w:type="dxa"/>
            <w:noWrap/>
            <w:hideMark/>
          </w:tcPr>
          <w:p w14:paraId="4D59CF19" w14:textId="77777777" w:rsidR="00B54D51" w:rsidRPr="00037AD4" w:rsidRDefault="00B54D51" w:rsidP="00401C67"/>
        </w:tc>
        <w:tc>
          <w:tcPr>
            <w:tcW w:w="1913" w:type="dxa"/>
            <w:noWrap/>
            <w:hideMark/>
          </w:tcPr>
          <w:p w14:paraId="096AE134"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dy/dx   </w:t>
            </w:r>
          </w:p>
        </w:tc>
        <w:tc>
          <w:tcPr>
            <w:tcW w:w="1184" w:type="dxa"/>
          </w:tcPr>
          <w:p w14:paraId="644E49AD" w14:textId="77777777" w:rsidR="00B54D51" w:rsidRPr="00037AD4" w:rsidRDefault="00B54D51" w:rsidP="00401C67">
            <w:pPr>
              <w:rPr>
                <w:rFonts w:ascii="Calibri" w:hAnsi="Calibri" w:cs="Calibri"/>
                <w:color w:val="000000"/>
              </w:rPr>
            </w:pPr>
            <w:r w:rsidRPr="00037AD4">
              <w:rPr>
                <w:rFonts w:ascii="Calibri" w:hAnsi="Calibri" w:cs="Calibri"/>
                <w:color w:val="000000"/>
              </w:rPr>
              <w:t>std. err.</w:t>
            </w:r>
          </w:p>
        </w:tc>
        <w:tc>
          <w:tcPr>
            <w:tcW w:w="1184" w:type="dxa"/>
            <w:noWrap/>
            <w:hideMark/>
          </w:tcPr>
          <w:p w14:paraId="2A6D5E1F" w14:textId="77777777" w:rsidR="00B54D51" w:rsidRPr="00037AD4" w:rsidRDefault="00B54D51" w:rsidP="00401C67">
            <w:pPr>
              <w:jc w:val="center"/>
              <w:rPr>
                <w:rFonts w:ascii="Calibri" w:hAnsi="Calibri" w:cs="Calibri"/>
                <w:color w:val="000000"/>
              </w:rPr>
            </w:pPr>
            <w:r w:rsidRPr="00037AD4">
              <w:rPr>
                <w:rFonts w:ascii="Calibri" w:hAnsi="Calibri" w:cs="Calibri"/>
                <w:color w:val="000000"/>
              </w:rPr>
              <w:t>Z</w:t>
            </w:r>
          </w:p>
        </w:tc>
        <w:tc>
          <w:tcPr>
            <w:tcW w:w="1184" w:type="dxa"/>
            <w:noWrap/>
            <w:hideMark/>
          </w:tcPr>
          <w:p w14:paraId="40C090CC" w14:textId="77777777" w:rsidR="00B54D51" w:rsidRPr="00037AD4" w:rsidRDefault="00B54D51" w:rsidP="00401C67">
            <w:pPr>
              <w:rPr>
                <w:rFonts w:ascii="Calibri" w:hAnsi="Calibri" w:cs="Calibri"/>
                <w:color w:val="000000"/>
              </w:rPr>
            </w:pPr>
            <w:r w:rsidRPr="00037AD4">
              <w:rPr>
                <w:rFonts w:ascii="Calibri" w:hAnsi="Calibri" w:cs="Calibri"/>
                <w:color w:val="000000"/>
              </w:rPr>
              <w:t>P&gt;z</w:t>
            </w:r>
          </w:p>
        </w:tc>
        <w:tc>
          <w:tcPr>
            <w:tcW w:w="1184" w:type="dxa"/>
            <w:noWrap/>
            <w:hideMark/>
          </w:tcPr>
          <w:p w14:paraId="367FAB2A" w14:textId="77777777" w:rsidR="00B54D51" w:rsidRPr="00037AD4" w:rsidRDefault="00B54D51" w:rsidP="00401C67">
            <w:pPr>
              <w:rPr>
                <w:rFonts w:ascii="Calibri" w:hAnsi="Calibri" w:cs="Calibri"/>
                <w:color w:val="000000"/>
              </w:rPr>
            </w:pPr>
            <w:r w:rsidRPr="00037AD4">
              <w:rPr>
                <w:rFonts w:ascii="Calibri" w:hAnsi="Calibri" w:cs="Calibri"/>
                <w:color w:val="000000"/>
              </w:rPr>
              <w:t>[95% conf.</w:t>
            </w:r>
          </w:p>
        </w:tc>
        <w:tc>
          <w:tcPr>
            <w:tcW w:w="1184" w:type="dxa"/>
            <w:noWrap/>
            <w:hideMark/>
          </w:tcPr>
          <w:p w14:paraId="5AD647EB" w14:textId="77777777" w:rsidR="00B54D51" w:rsidRPr="00037AD4" w:rsidRDefault="00B54D51" w:rsidP="00401C67">
            <w:pPr>
              <w:rPr>
                <w:rFonts w:ascii="Calibri" w:hAnsi="Calibri" w:cs="Calibri"/>
                <w:color w:val="000000"/>
              </w:rPr>
            </w:pPr>
            <w:r w:rsidRPr="00037AD4">
              <w:rPr>
                <w:rFonts w:ascii="Calibri" w:hAnsi="Calibri" w:cs="Calibri"/>
                <w:color w:val="000000"/>
              </w:rPr>
              <w:t>interval]</w:t>
            </w:r>
          </w:p>
        </w:tc>
      </w:tr>
      <w:tr w:rsidR="00B54D51" w:rsidRPr="00037AD4" w14:paraId="765F126D" w14:textId="77777777" w:rsidTr="00401C67">
        <w:trPr>
          <w:trHeight w:val="320"/>
        </w:trPr>
        <w:tc>
          <w:tcPr>
            <w:tcW w:w="9016" w:type="dxa"/>
            <w:gridSpan w:val="7"/>
            <w:shd w:val="clear" w:color="auto" w:fill="F2F2F2" w:themeFill="background1" w:themeFillShade="F2"/>
            <w:noWrap/>
            <w:hideMark/>
          </w:tcPr>
          <w:p w14:paraId="1C0491EE" w14:textId="77777777" w:rsidR="00B54D51" w:rsidRPr="00037AD4" w:rsidRDefault="00B54D51" w:rsidP="00401C67">
            <w:pPr>
              <w:rPr>
                <w:rFonts w:ascii="Calibri" w:hAnsi="Calibri" w:cs="Calibri"/>
                <w:color w:val="000000"/>
              </w:rPr>
            </w:pPr>
            <w:r w:rsidRPr="00037AD4">
              <w:rPr>
                <w:rFonts w:ascii="Calibri" w:hAnsi="Calibri" w:cs="Calibri"/>
                <w:color w:val="000000"/>
              </w:rPr>
              <w:t>PwD mobility level 1 (= base outcome)</w:t>
            </w:r>
          </w:p>
        </w:tc>
      </w:tr>
      <w:tr w:rsidR="00B54D51" w:rsidRPr="00037AD4" w14:paraId="5E18B087" w14:textId="77777777" w:rsidTr="00401C67">
        <w:trPr>
          <w:trHeight w:val="320"/>
        </w:trPr>
        <w:tc>
          <w:tcPr>
            <w:tcW w:w="9016" w:type="dxa"/>
            <w:gridSpan w:val="7"/>
            <w:shd w:val="clear" w:color="auto" w:fill="F2F2F2" w:themeFill="background1" w:themeFillShade="F2"/>
            <w:noWrap/>
            <w:hideMark/>
          </w:tcPr>
          <w:p w14:paraId="3852DDED" w14:textId="77777777" w:rsidR="00B54D51" w:rsidRPr="00037AD4" w:rsidRDefault="00B54D51" w:rsidP="00401C67">
            <w:pPr>
              <w:rPr>
                <w:sz w:val="20"/>
                <w:szCs w:val="20"/>
              </w:rPr>
            </w:pPr>
            <w:r w:rsidRPr="00037AD4">
              <w:rPr>
                <w:rFonts w:ascii="Calibri" w:hAnsi="Calibri" w:cs="Calibri"/>
                <w:color w:val="000000"/>
              </w:rPr>
              <w:t xml:space="preserve">PwD mobility level 2, predict: </w:t>
            </w:r>
          </w:p>
        </w:tc>
      </w:tr>
      <w:tr w:rsidR="00B54D51" w:rsidRPr="00037AD4" w14:paraId="78AF6A76" w14:textId="77777777" w:rsidTr="00401C67">
        <w:trPr>
          <w:trHeight w:val="320"/>
        </w:trPr>
        <w:tc>
          <w:tcPr>
            <w:tcW w:w="1183" w:type="dxa"/>
            <w:noWrap/>
            <w:hideMark/>
          </w:tcPr>
          <w:p w14:paraId="7439064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w:t>
            </w:r>
          </w:p>
        </w:tc>
        <w:tc>
          <w:tcPr>
            <w:tcW w:w="1913" w:type="dxa"/>
            <w:noWrap/>
            <w:hideMark/>
          </w:tcPr>
          <w:p w14:paraId="4AB3C151" w14:textId="77777777" w:rsidR="00B54D51" w:rsidRPr="00037AD4" w:rsidRDefault="00B54D51" w:rsidP="00401C67">
            <w:pPr>
              <w:rPr>
                <w:rFonts w:ascii="Calibri" w:hAnsi="Calibri" w:cs="Calibri"/>
                <w:color w:val="000000"/>
              </w:rPr>
            </w:pPr>
            <w:r w:rsidRPr="00037AD4">
              <w:rPr>
                <w:rFonts w:ascii="Calibri" w:hAnsi="Calibri" w:cs="Calibri"/>
                <w:color w:val="000000"/>
              </w:rPr>
              <w:t>-.074</w:t>
            </w:r>
          </w:p>
        </w:tc>
        <w:tc>
          <w:tcPr>
            <w:tcW w:w="1184" w:type="dxa"/>
          </w:tcPr>
          <w:p w14:paraId="6D0C185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.040</w:t>
            </w:r>
          </w:p>
        </w:tc>
        <w:tc>
          <w:tcPr>
            <w:tcW w:w="1184" w:type="dxa"/>
            <w:noWrap/>
            <w:hideMark/>
          </w:tcPr>
          <w:p w14:paraId="040DB7B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-1.84</w:t>
            </w:r>
          </w:p>
        </w:tc>
        <w:tc>
          <w:tcPr>
            <w:tcW w:w="1184" w:type="dxa"/>
            <w:noWrap/>
            <w:hideMark/>
          </w:tcPr>
          <w:p w14:paraId="1D4E9F1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0.066</w:t>
            </w:r>
          </w:p>
        </w:tc>
        <w:tc>
          <w:tcPr>
            <w:tcW w:w="1184" w:type="dxa"/>
            <w:noWrap/>
            <w:hideMark/>
          </w:tcPr>
          <w:p w14:paraId="6C3AB9A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-0.152</w:t>
            </w:r>
          </w:p>
        </w:tc>
        <w:tc>
          <w:tcPr>
            <w:tcW w:w="1184" w:type="dxa"/>
            <w:noWrap/>
            <w:hideMark/>
          </w:tcPr>
          <w:p w14:paraId="23F13C9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0.005</w:t>
            </w:r>
          </w:p>
        </w:tc>
      </w:tr>
      <w:tr w:rsidR="00B54D51" w:rsidRPr="00037AD4" w14:paraId="4CE987E9" w14:textId="77777777" w:rsidTr="00401C67">
        <w:trPr>
          <w:trHeight w:val="320"/>
        </w:trPr>
        <w:tc>
          <w:tcPr>
            <w:tcW w:w="1183" w:type="dxa"/>
            <w:noWrap/>
            <w:hideMark/>
          </w:tcPr>
          <w:p w14:paraId="7C9434B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w:t>
            </w:r>
          </w:p>
        </w:tc>
        <w:tc>
          <w:tcPr>
            <w:tcW w:w="1913" w:type="dxa"/>
            <w:noWrap/>
            <w:hideMark/>
          </w:tcPr>
          <w:p w14:paraId="5CB82ADF"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.005 </w:t>
            </w:r>
          </w:p>
        </w:tc>
        <w:tc>
          <w:tcPr>
            <w:tcW w:w="1184" w:type="dxa"/>
          </w:tcPr>
          <w:p w14:paraId="2051A2B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w:t>
            </w:r>
          </w:p>
        </w:tc>
        <w:tc>
          <w:tcPr>
            <w:tcW w:w="1184" w:type="dxa"/>
            <w:noWrap/>
            <w:hideMark/>
          </w:tcPr>
          <w:p w14:paraId="76DC7AC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1.87</w:t>
            </w:r>
          </w:p>
        </w:tc>
        <w:tc>
          <w:tcPr>
            <w:tcW w:w="1184" w:type="dxa"/>
            <w:noWrap/>
            <w:hideMark/>
          </w:tcPr>
          <w:p w14:paraId="035E3F5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0.061</w:t>
            </w:r>
          </w:p>
        </w:tc>
        <w:tc>
          <w:tcPr>
            <w:tcW w:w="1184" w:type="dxa"/>
            <w:noWrap/>
            <w:hideMark/>
          </w:tcPr>
          <w:p w14:paraId="51B1B95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1184" w:type="dxa"/>
            <w:noWrap/>
            <w:hideMark/>
          </w:tcPr>
          <w:p w14:paraId="2A20F1D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0.010</w:t>
            </w:r>
          </w:p>
        </w:tc>
      </w:tr>
      <w:tr w:rsidR="00B54D51" w:rsidRPr="00037AD4" w14:paraId="192F79D5" w14:textId="77777777" w:rsidTr="00401C67">
        <w:trPr>
          <w:trHeight w:val="320"/>
        </w:trPr>
        <w:tc>
          <w:tcPr>
            <w:tcW w:w="1183" w:type="dxa"/>
            <w:noWrap/>
            <w:hideMark/>
          </w:tcPr>
          <w:p w14:paraId="360FDD3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w:t>
            </w:r>
          </w:p>
        </w:tc>
        <w:tc>
          <w:tcPr>
            <w:tcW w:w="1913" w:type="dxa"/>
            <w:noWrap/>
            <w:hideMark/>
          </w:tcPr>
          <w:p w14:paraId="19A5A20E" w14:textId="77777777" w:rsidR="00B54D51" w:rsidRPr="00037AD4" w:rsidRDefault="00B54D51" w:rsidP="00401C67">
            <w:pPr>
              <w:rPr>
                <w:rFonts w:ascii="Calibri" w:hAnsi="Calibri" w:cs="Calibri"/>
                <w:color w:val="000000"/>
              </w:rPr>
            </w:pPr>
            <w:r w:rsidRPr="00037AD4">
              <w:rPr>
                <w:rFonts w:ascii="Calibri" w:hAnsi="Calibri" w:cs="Calibri"/>
                <w:color w:val="000000"/>
              </w:rPr>
              <w:t>.013</w:t>
            </w:r>
          </w:p>
        </w:tc>
        <w:tc>
          <w:tcPr>
            <w:tcW w:w="1184" w:type="dxa"/>
          </w:tcPr>
          <w:p w14:paraId="0246B33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.007</w:t>
            </w:r>
          </w:p>
        </w:tc>
        <w:tc>
          <w:tcPr>
            <w:tcW w:w="1184" w:type="dxa"/>
            <w:noWrap/>
            <w:hideMark/>
          </w:tcPr>
          <w:p w14:paraId="6D567E2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1.86</w:t>
            </w:r>
          </w:p>
        </w:tc>
        <w:tc>
          <w:tcPr>
            <w:tcW w:w="1184" w:type="dxa"/>
            <w:noWrap/>
            <w:hideMark/>
          </w:tcPr>
          <w:p w14:paraId="2A318B7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0.063</w:t>
            </w:r>
          </w:p>
        </w:tc>
        <w:tc>
          <w:tcPr>
            <w:tcW w:w="1184" w:type="dxa"/>
            <w:noWrap/>
            <w:hideMark/>
          </w:tcPr>
          <w:p w14:paraId="49C005C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c>
          <w:tcPr>
            <w:tcW w:w="1184" w:type="dxa"/>
            <w:noWrap/>
            <w:hideMark/>
          </w:tcPr>
          <w:p w14:paraId="66A9BFC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0.026</w:t>
            </w:r>
          </w:p>
        </w:tc>
      </w:tr>
      <w:tr w:rsidR="00B54D51" w:rsidRPr="00037AD4" w14:paraId="7E322710" w14:textId="77777777" w:rsidTr="00401C67">
        <w:trPr>
          <w:trHeight w:val="320"/>
        </w:trPr>
        <w:tc>
          <w:tcPr>
            <w:tcW w:w="1183" w:type="dxa"/>
            <w:noWrap/>
            <w:hideMark/>
          </w:tcPr>
          <w:p w14:paraId="4D61A4D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w:t>
            </w:r>
          </w:p>
        </w:tc>
        <w:tc>
          <w:tcPr>
            <w:tcW w:w="1913" w:type="dxa"/>
            <w:noWrap/>
            <w:hideMark/>
          </w:tcPr>
          <w:p w14:paraId="35FE8CE0"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.010 </w:t>
            </w:r>
          </w:p>
        </w:tc>
        <w:tc>
          <w:tcPr>
            <w:tcW w:w="1184" w:type="dxa"/>
          </w:tcPr>
          <w:p w14:paraId="016F380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.006</w:t>
            </w:r>
          </w:p>
        </w:tc>
        <w:tc>
          <w:tcPr>
            <w:tcW w:w="1184" w:type="dxa"/>
            <w:noWrap/>
            <w:hideMark/>
          </w:tcPr>
          <w:p w14:paraId="22C454E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1.79</w:t>
            </w:r>
          </w:p>
        </w:tc>
        <w:tc>
          <w:tcPr>
            <w:tcW w:w="1184" w:type="dxa"/>
            <w:noWrap/>
            <w:hideMark/>
          </w:tcPr>
          <w:p w14:paraId="60FA1A4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0.074</w:t>
            </w:r>
          </w:p>
        </w:tc>
        <w:tc>
          <w:tcPr>
            <w:tcW w:w="1184" w:type="dxa"/>
            <w:noWrap/>
            <w:hideMark/>
          </w:tcPr>
          <w:p w14:paraId="75CE0A0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c>
          <w:tcPr>
            <w:tcW w:w="1184" w:type="dxa"/>
            <w:noWrap/>
            <w:hideMark/>
          </w:tcPr>
          <w:p w14:paraId="7C6307E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0.021</w:t>
            </w:r>
          </w:p>
        </w:tc>
      </w:tr>
      <w:tr w:rsidR="00B54D51" w:rsidRPr="00037AD4" w14:paraId="15536504" w14:textId="77777777" w:rsidTr="00401C67">
        <w:trPr>
          <w:trHeight w:val="320"/>
        </w:trPr>
        <w:tc>
          <w:tcPr>
            <w:tcW w:w="1183" w:type="dxa"/>
            <w:noWrap/>
            <w:hideMark/>
          </w:tcPr>
          <w:p w14:paraId="6511996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5</w:t>
            </w:r>
          </w:p>
        </w:tc>
        <w:tc>
          <w:tcPr>
            <w:tcW w:w="1913" w:type="dxa"/>
            <w:noWrap/>
            <w:hideMark/>
          </w:tcPr>
          <w:p w14:paraId="6F3709B6"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.046  </w:t>
            </w:r>
          </w:p>
        </w:tc>
        <w:tc>
          <w:tcPr>
            <w:tcW w:w="1184" w:type="dxa"/>
          </w:tcPr>
          <w:p w14:paraId="2D7C90A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.026</w:t>
            </w:r>
          </w:p>
        </w:tc>
        <w:tc>
          <w:tcPr>
            <w:tcW w:w="1184" w:type="dxa"/>
            <w:noWrap/>
            <w:hideMark/>
          </w:tcPr>
          <w:p w14:paraId="1EC5B16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1.74</w:t>
            </w:r>
          </w:p>
        </w:tc>
        <w:tc>
          <w:tcPr>
            <w:tcW w:w="1184" w:type="dxa"/>
            <w:noWrap/>
            <w:hideMark/>
          </w:tcPr>
          <w:p w14:paraId="2134983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0.081</w:t>
            </w:r>
          </w:p>
        </w:tc>
        <w:tc>
          <w:tcPr>
            <w:tcW w:w="1184" w:type="dxa"/>
            <w:noWrap/>
            <w:hideMark/>
          </w:tcPr>
          <w:p w14:paraId="79C1166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-0.006</w:t>
            </w:r>
          </w:p>
        </w:tc>
        <w:tc>
          <w:tcPr>
            <w:tcW w:w="1184" w:type="dxa"/>
            <w:noWrap/>
            <w:hideMark/>
          </w:tcPr>
          <w:p w14:paraId="7F84663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0.098</w:t>
            </w:r>
          </w:p>
        </w:tc>
      </w:tr>
      <w:tr w:rsidR="00B54D51" w:rsidRPr="00037AD4" w14:paraId="16AB3EDB" w14:textId="77777777" w:rsidTr="00401C67">
        <w:trPr>
          <w:trHeight w:val="320"/>
        </w:trPr>
        <w:tc>
          <w:tcPr>
            <w:tcW w:w="9016" w:type="dxa"/>
            <w:gridSpan w:val="7"/>
            <w:shd w:val="clear" w:color="auto" w:fill="F2F2F2" w:themeFill="background1" w:themeFillShade="F2"/>
            <w:noWrap/>
            <w:hideMark/>
          </w:tcPr>
          <w:p w14:paraId="3B57141C" w14:textId="77777777" w:rsidR="00B54D51" w:rsidRPr="00037AD4" w:rsidRDefault="00B54D51" w:rsidP="00401C67">
            <w:pPr>
              <w:rPr>
                <w:sz w:val="20"/>
                <w:szCs w:val="20"/>
              </w:rPr>
            </w:pPr>
            <w:r w:rsidRPr="00037AD4">
              <w:rPr>
                <w:rFonts w:ascii="Calibri" w:hAnsi="Calibri" w:cs="Calibri"/>
                <w:color w:val="000000"/>
              </w:rPr>
              <w:t>PwD mobility level 3, predict:</w:t>
            </w:r>
          </w:p>
        </w:tc>
      </w:tr>
      <w:tr w:rsidR="00B54D51" w:rsidRPr="00037AD4" w14:paraId="0C827881" w14:textId="77777777" w:rsidTr="00401C67">
        <w:trPr>
          <w:trHeight w:val="320"/>
        </w:trPr>
        <w:tc>
          <w:tcPr>
            <w:tcW w:w="1183" w:type="dxa"/>
            <w:noWrap/>
            <w:hideMark/>
          </w:tcPr>
          <w:p w14:paraId="4297126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w:t>
            </w:r>
          </w:p>
        </w:tc>
        <w:tc>
          <w:tcPr>
            <w:tcW w:w="1913" w:type="dxa"/>
            <w:noWrap/>
            <w:hideMark/>
          </w:tcPr>
          <w:p w14:paraId="38A8DD45"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-.125 </w:t>
            </w:r>
          </w:p>
        </w:tc>
        <w:tc>
          <w:tcPr>
            <w:tcW w:w="1184" w:type="dxa"/>
          </w:tcPr>
          <w:p w14:paraId="413D653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.046</w:t>
            </w:r>
          </w:p>
        </w:tc>
        <w:tc>
          <w:tcPr>
            <w:tcW w:w="1184" w:type="dxa"/>
            <w:noWrap/>
            <w:hideMark/>
          </w:tcPr>
          <w:p w14:paraId="6B612EA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-2.7</w:t>
            </w:r>
          </w:p>
        </w:tc>
        <w:tc>
          <w:tcPr>
            <w:tcW w:w="1184" w:type="dxa"/>
            <w:noWrap/>
            <w:hideMark/>
          </w:tcPr>
          <w:p w14:paraId="0A47623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0.007</w:t>
            </w:r>
          </w:p>
        </w:tc>
        <w:tc>
          <w:tcPr>
            <w:tcW w:w="1184" w:type="dxa"/>
            <w:noWrap/>
            <w:hideMark/>
          </w:tcPr>
          <w:p w14:paraId="6F8F653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-0.216</w:t>
            </w:r>
          </w:p>
        </w:tc>
        <w:tc>
          <w:tcPr>
            <w:tcW w:w="1184" w:type="dxa"/>
            <w:noWrap/>
            <w:hideMark/>
          </w:tcPr>
          <w:p w14:paraId="6B2BDB2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-0.034</w:t>
            </w:r>
          </w:p>
        </w:tc>
      </w:tr>
      <w:tr w:rsidR="00B54D51" w:rsidRPr="00037AD4" w14:paraId="031FE89F" w14:textId="77777777" w:rsidTr="00401C67">
        <w:trPr>
          <w:trHeight w:val="320"/>
        </w:trPr>
        <w:tc>
          <w:tcPr>
            <w:tcW w:w="1183" w:type="dxa"/>
            <w:noWrap/>
            <w:hideMark/>
          </w:tcPr>
          <w:p w14:paraId="0455958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w:t>
            </w:r>
          </w:p>
        </w:tc>
        <w:tc>
          <w:tcPr>
            <w:tcW w:w="1913" w:type="dxa"/>
            <w:noWrap/>
            <w:hideMark/>
          </w:tcPr>
          <w:p w14:paraId="62570DE6"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.005 </w:t>
            </w:r>
          </w:p>
        </w:tc>
        <w:tc>
          <w:tcPr>
            <w:tcW w:w="1184" w:type="dxa"/>
          </w:tcPr>
          <w:p w14:paraId="40BD1BE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w:t>
            </w:r>
          </w:p>
        </w:tc>
        <w:tc>
          <w:tcPr>
            <w:tcW w:w="1184" w:type="dxa"/>
            <w:noWrap/>
            <w:hideMark/>
          </w:tcPr>
          <w:p w14:paraId="31E5381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1.3</w:t>
            </w:r>
          </w:p>
        </w:tc>
        <w:tc>
          <w:tcPr>
            <w:tcW w:w="1184" w:type="dxa"/>
            <w:noWrap/>
            <w:hideMark/>
          </w:tcPr>
          <w:p w14:paraId="41A6119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0.192</w:t>
            </w:r>
          </w:p>
        </w:tc>
        <w:tc>
          <w:tcPr>
            <w:tcW w:w="1184" w:type="dxa"/>
            <w:noWrap/>
            <w:hideMark/>
          </w:tcPr>
          <w:p w14:paraId="1AFDA70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-0.002</w:t>
            </w:r>
          </w:p>
        </w:tc>
        <w:tc>
          <w:tcPr>
            <w:tcW w:w="1184" w:type="dxa"/>
            <w:noWrap/>
            <w:hideMark/>
          </w:tcPr>
          <w:p w14:paraId="0FFD4A8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0.011</w:t>
            </w:r>
          </w:p>
        </w:tc>
      </w:tr>
      <w:tr w:rsidR="00B54D51" w:rsidRPr="00037AD4" w14:paraId="45663E58" w14:textId="77777777" w:rsidTr="00401C67">
        <w:trPr>
          <w:trHeight w:val="320"/>
        </w:trPr>
        <w:tc>
          <w:tcPr>
            <w:tcW w:w="1183" w:type="dxa"/>
            <w:noWrap/>
            <w:hideMark/>
          </w:tcPr>
          <w:p w14:paraId="7A2BC04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w:t>
            </w:r>
          </w:p>
        </w:tc>
        <w:tc>
          <w:tcPr>
            <w:tcW w:w="1913" w:type="dxa"/>
            <w:noWrap/>
            <w:hideMark/>
          </w:tcPr>
          <w:p w14:paraId="7B7B42B2" w14:textId="77777777" w:rsidR="00B54D51" w:rsidRPr="00037AD4" w:rsidRDefault="00B54D51" w:rsidP="00401C67">
            <w:pPr>
              <w:rPr>
                <w:rFonts w:ascii="Calibri" w:hAnsi="Calibri" w:cs="Calibri"/>
                <w:color w:val="000000"/>
              </w:rPr>
            </w:pPr>
            <w:r w:rsidRPr="00037AD4">
              <w:rPr>
                <w:rFonts w:ascii="Calibri" w:hAnsi="Calibri" w:cs="Calibri"/>
                <w:color w:val="000000"/>
              </w:rPr>
              <w:t>.020</w:t>
            </w:r>
          </w:p>
        </w:tc>
        <w:tc>
          <w:tcPr>
            <w:tcW w:w="1184" w:type="dxa"/>
          </w:tcPr>
          <w:p w14:paraId="42BAA9B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.007</w:t>
            </w:r>
          </w:p>
        </w:tc>
        <w:tc>
          <w:tcPr>
            <w:tcW w:w="1184" w:type="dxa"/>
            <w:noWrap/>
            <w:hideMark/>
          </w:tcPr>
          <w:p w14:paraId="0E0D9F7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2.84</w:t>
            </w:r>
          </w:p>
        </w:tc>
        <w:tc>
          <w:tcPr>
            <w:tcW w:w="1184" w:type="dxa"/>
            <w:noWrap/>
            <w:hideMark/>
          </w:tcPr>
          <w:p w14:paraId="3BAC0EE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0.004</w:t>
            </w:r>
          </w:p>
        </w:tc>
        <w:tc>
          <w:tcPr>
            <w:tcW w:w="1184" w:type="dxa"/>
            <w:noWrap/>
            <w:hideMark/>
          </w:tcPr>
          <w:p w14:paraId="52C43F8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0.006</w:t>
            </w:r>
          </w:p>
        </w:tc>
        <w:tc>
          <w:tcPr>
            <w:tcW w:w="1184" w:type="dxa"/>
            <w:noWrap/>
            <w:hideMark/>
          </w:tcPr>
          <w:p w14:paraId="4DC6242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0.034</w:t>
            </w:r>
          </w:p>
        </w:tc>
      </w:tr>
      <w:tr w:rsidR="00B54D51" w:rsidRPr="00037AD4" w14:paraId="25FFDDE7" w14:textId="77777777" w:rsidTr="00401C67">
        <w:trPr>
          <w:trHeight w:val="320"/>
        </w:trPr>
        <w:tc>
          <w:tcPr>
            <w:tcW w:w="1183" w:type="dxa"/>
            <w:noWrap/>
            <w:hideMark/>
          </w:tcPr>
          <w:p w14:paraId="7E727CB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w:t>
            </w:r>
          </w:p>
        </w:tc>
        <w:tc>
          <w:tcPr>
            <w:tcW w:w="1913" w:type="dxa"/>
            <w:noWrap/>
            <w:hideMark/>
          </w:tcPr>
          <w:p w14:paraId="0926CADA" w14:textId="77777777" w:rsidR="00B54D51" w:rsidRPr="00037AD4" w:rsidRDefault="00B54D51" w:rsidP="00401C67">
            <w:pPr>
              <w:rPr>
                <w:rFonts w:ascii="Calibri" w:hAnsi="Calibri" w:cs="Calibri"/>
                <w:color w:val="000000"/>
              </w:rPr>
            </w:pPr>
            <w:r w:rsidRPr="00037AD4">
              <w:rPr>
                <w:rFonts w:ascii="Calibri" w:hAnsi="Calibri" w:cs="Calibri"/>
                <w:color w:val="000000"/>
              </w:rPr>
              <w:t>.017</w:t>
            </w:r>
          </w:p>
        </w:tc>
        <w:tc>
          <w:tcPr>
            <w:tcW w:w="1184" w:type="dxa"/>
          </w:tcPr>
          <w:p w14:paraId="3040CF5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.006</w:t>
            </w:r>
          </w:p>
        </w:tc>
        <w:tc>
          <w:tcPr>
            <w:tcW w:w="1184" w:type="dxa"/>
            <w:noWrap/>
            <w:hideMark/>
          </w:tcPr>
          <w:p w14:paraId="415FBEC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2.71</w:t>
            </w:r>
          </w:p>
        </w:tc>
        <w:tc>
          <w:tcPr>
            <w:tcW w:w="1184" w:type="dxa"/>
            <w:noWrap/>
            <w:hideMark/>
          </w:tcPr>
          <w:p w14:paraId="1127E27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0.007</w:t>
            </w:r>
          </w:p>
        </w:tc>
        <w:tc>
          <w:tcPr>
            <w:tcW w:w="1184" w:type="dxa"/>
            <w:noWrap/>
            <w:hideMark/>
          </w:tcPr>
          <w:p w14:paraId="4228C6B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0.005</w:t>
            </w:r>
          </w:p>
        </w:tc>
        <w:tc>
          <w:tcPr>
            <w:tcW w:w="1184" w:type="dxa"/>
            <w:noWrap/>
            <w:hideMark/>
          </w:tcPr>
          <w:p w14:paraId="315BB37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0.029</w:t>
            </w:r>
          </w:p>
        </w:tc>
      </w:tr>
      <w:tr w:rsidR="00B54D51" w:rsidRPr="00037AD4" w14:paraId="5974BF02" w14:textId="77777777" w:rsidTr="00401C67">
        <w:trPr>
          <w:trHeight w:val="320"/>
        </w:trPr>
        <w:tc>
          <w:tcPr>
            <w:tcW w:w="1183" w:type="dxa"/>
            <w:noWrap/>
            <w:hideMark/>
          </w:tcPr>
          <w:p w14:paraId="63F0B75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5</w:t>
            </w:r>
          </w:p>
        </w:tc>
        <w:tc>
          <w:tcPr>
            <w:tcW w:w="1913" w:type="dxa"/>
            <w:noWrap/>
            <w:hideMark/>
          </w:tcPr>
          <w:p w14:paraId="24B57472"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.084 </w:t>
            </w:r>
          </w:p>
        </w:tc>
        <w:tc>
          <w:tcPr>
            <w:tcW w:w="1184" w:type="dxa"/>
          </w:tcPr>
          <w:p w14:paraId="604100F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.0352</w:t>
            </w:r>
          </w:p>
        </w:tc>
        <w:tc>
          <w:tcPr>
            <w:tcW w:w="1184" w:type="dxa"/>
            <w:noWrap/>
            <w:hideMark/>
          </w:tcPr>
          <w:p w14:paraId="38CF15D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2.39</w:t>
            </w:r>
          </w:p>
        </w:tc>
        <w:tc>
          <w:tcPr>
            <w:tcW w:w="1184" w:type="dxa"/>
            <w:noWrap/>
            <w:hideMark/>
          </w:tcPr>
          <w:p w14:paraId="7B85BA9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0.017</w:t>
            </w:r>
          </w:p>
        </w:tc>
        <w:tc>
          <w:tcPr>
            <w:tcW w:w="1184" w:type="dxa"/>
            <w:noWrap/>
            <w:hideMark/>
          </w:tcPr>
          <w:p w14:paraId="5453F26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0.015</w:t>
            </w:r>
          </w:p>
        </w:tc>
        <w:tc>
          <w:tcPr>
            <w:tcW w:w="1184" w:type="dxa"/>
            <w:noWrap/>
            <w:hideMark/>
          </w:tcPr>
          <w:p w14:paraId="3386E7B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0.153</w:t>
            </w:r>
          </w:p>
        </w:tc>
      </w:tr>
      <w:tr w:rsidR="00B54D51" w:rsidRPr="00037AD4" w14:paraId="52C6FF80" w14:textId="77777777" w:rsidTr="00401C67">
        <w:trPr>
          <w:trHeight w:val="320"/>
        </w:trPr>
        <w:tc>
          <w:tcPr>
            <w:tcW w:w="9016" w:type="dxa"/>
            <w:gridSpan w:val="7"/>
            <w:shd w:val="clear" w:color="auto" w:fill="F2F2F2" w:themeFill="background1" w:themeFillShade="F2"/>
            <w:noWrap/>
            <w:hideMark/>
          </w:tcPr>
          <w:p w14:paraId="6ED093E7" w14:textId="77777777" w:rsidR="00B54D51" w:rsidRPr="00037AD4" w:rsidRDefault="00B54D51" w:rsidP="00401C67">
            <w:pPr>
              <w:rPr>
                <w:rFonts w:cstheme="minorHAnsi"/>
              </w:rPr>
            </w:pPr>
            <w:r w:rsidRPr="00037AD4">
              <w:rPr>
                <w:rFonts w:cstheme="minorHAnsi"/>
              </w:rPr>
              <w:t>PwD mobility level 4, predict:</w:t>
            </w:r>
          </w:p>
        </w:tc>
      </w:tr>
      <w:tr w:rsidR="00B54D51" w:rsidRPr="00037AD4" w14:paraId="3D5D3BF9" w14:textId="77777777" w:rsidTr="00401C67">
        <w:trPr>
          <w:trHeight w:val="320"/>
        </w:trPr>
        <w:tc>
          <w:tcPr>
            <w:tcW w:w="1183" w:type="dxa"/>
            <w:noWrap/>
            <w:hideMark/>
          </w:tcPr>
          <w:p w14:paraId="3744B1A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w:t>
            </w:r>
          </w:p>
        </w:tc>
        <w:tc>
          <w:tcPr>
            <w:tcW w:w="1913" w:type="dxa"/>
            <w:noWrap/>
            <w:hideMark/>
          </w:tcPr>
          <w:p w14:paraId="615F6F6A"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-.372 </w:t>
            </w:r>
          </w:p>
        </w:tc>
        <w:tc>
          <w:tcPr>
            <w:tcW w:w="1184" w:type="dxa"/>
          </w:tcPr>
          <w:p w14:paraId="25420E0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.038</w:t>
            </w:r>
          </w:p>
        </w:tc>
        <w:tc>
          <w:tcPr>
            <w:tcW w:w="1184" w:type="dxa"/>
            <w:noWrap/>
            <w:hideMark/>
          </w:tcPr>
          <w:p w14:paraId="721FDD5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-9.9</w:t>
            </w:r>
          </w:p>
        </w:tc>
        <w:tc>
          <w:tcPr>
            <w:tcW w:w="1184" w:type="dxa"/>
            <w:noWrap/>
            <w:hideMark/>
          </w:tcPr>
          <w:p w14:paraId="4B7ADCB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w:t>
            </w:r>
          </w:p>
        </w:tc>
        <w:tc>
          <w:tcPr>
            <w:tcW w:w="1184" w:type="dxa"/>
            <w:noWrap/>
            <w:hideMark/>
          </w:tcPr>
          <w:p w14:paraId="43726CC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-0.446</w:t>
            </w:r>
          </w:p>
        </w:tc>
        <w:tc>
          <w:tcPr>
            <w:tcW w:w="1184" w:type="dxa"/>
            <w:noWrap/>
            <w:hideMark/>
          </w:tcPr>
          <w:p w14:paraId="17C3609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-0.299</w:t>
            </w:r>
          </w:p>
        </w:tc>
      </w:tr>
      <w:tr w:rsidR="00B54D51" w:rsidRPr="00037AD4" w14:paraId="68A2A3FF" w14:textId="77777777" w:rsidTr="00401C67">
        <w:trPr>
          <w:trHeight w:val="320"/>
        </w:trPr>
        <w:tc>
          <w:tcPr>
            <w:tcW w:w="1183" w:type="dxa"/>
            <w:noWrap/>
            <w:hideMark/>
          </w:tcPr>
          <w:p w14:paraId="3CD2A55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w:t>
            </w:r>
          </w:p>
        </w:tc>
        <w:tc>
          <w:tcPr>
            <w:tcW w:w="1913" w:type="dxa"/>
            <w:noWrap/>
            <w:hideMark/>
          </w:tcPr>
          <w:p w14:paraId="781E9575"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-.065 </w:t>
            </w:r>
          </w:p>
        </w:tc>
        <w:tc>
          <w:tcPr>
            <w:tcW w:w="1184" w:type="dxa"/>
          </w:tcPr>
          <w:p w14:paraId="48589DF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.021</w:t>
            </w:r>
          </w:p>
        </w:tc>
        <w:tc>
          <w:tcPr>
            <w:tcW w:w="1184" w:type="dxa"/>
            <w:noWrap/>
            <w:hideMark/>
          </w:tcPr>
          <w:p w14:paraId="0AB00AE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-3.04</w:t>
            </w:r>
          </w:p>
        </w:tc>
        <w:tc>
          <w:tcPr>
            <w:tcW w:w="1184" w:type="dxa"/>
            <w:noWrap/>
            <w:hideMark/>
          </w:tcPr>
          <w:p w14:paraId="1E9E3BE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0.002</w:t>
            </w:r>
          </w:p>
        </w:tc>
        <w:tc>
          <w:tcPr>
            <w:tcW w:w="1184" w:type="dxa"/>
            <w:noWrap/>
            <w:hideMark/>
          </w:tcPr>
          <w:p w14:paraId="376C981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-0.106</w:t>
            </w:r>
          </w:p>
        </w:tc>
        <w:tc>
          <w:tcPr>
            <w:tcW w:w="1184" w:type="dxa"/>
            <w:noWrap/>
            <w:hideMark/>
          </w:tcPr>
          <w:p w14:paraId="5C1339F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-0.023</w:t>
            </w:r>
          </w:p>
        </w:tc>
      </w:tr>
      <w:tr w:rsidR="00B54D51" w:rsidRPr="00037AD4" w14:paraId="5FED05F5" w14:textId="77777777" w:rsidTr="00401C67">
        <w:trPr>
          <w:trHeight w:val="320"/>
        </w:trPr>
        <w:tc>
          <w:tcPr>
            <w:tcW w:w="1183" w:type="dxa"/>
            <w:noWrap/>
            <w:hideMark/>
          </w:tcPr>
          <w:p w14:paraId="427A587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w:t>
            </w:r>
          </w:p>
        </w:tc>
        <w:tc>
          <w:tcPr>
            <w:tcW w:w="1913" w:type="dxa"/>
            <w:noWrap/>
            <w:hideMark/>
          </w:tcPr>
          <w:p w14:paraId="6AA167A2"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.012 </w:t>
            </w:r>
          </w:p>
        </w:tc>
        <w:tc>
          <w:tcPr>
            <w:tcW w:w="1184" w:type="dxa"/>
          </w:tcPr>
          <w:p w14:paraId="4D11A2D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.012</w:t>
            </w:r>
          </w:p>
        </w:tc>
        <w:tc>
          <w:tcPr>
            <w:tcW w:w="1184" w:type="dxa"/>
            <w:noWrap/>
            <w:hideMark/>
          </w:tcPr>
          <w:p w14:paraId="38A10F0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w:t>
            </w:r>
          </w:p>
        </w:tc>
        <w:tc>
          <w:tcPr>
            <w:tcW w:w="1184" w:type="dxa"/>
            <w:noWrap/>
            <w:hideMark/>
          </w:tcPr>
          <w:p w14:paraId="15C9B81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0.319</w:t>
            </w:r>
          </w:p>
        </w:tc>
        <w:tc>
          <w:tcPr>
            <w:tcW w:w="1184" w:type="dxa"/>
            <w:noWrap/>
            <w:hideMark/>
          </w:tcPr>
          <w:p w14:paraId="76A70CB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-0.012</w:t>
            </w:r>
          </w:p>
        </w:tc>
        <w:tc>
          <w:tcPr>
            <w:tcW w:w="1184" w:type="dxa"/>
            <w:noWrap/>
            <w:hideMark/>
          </w:tcPr>
          <w:p w14:paraId="019F863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0.036</w:t>
            </w:r>
          </w:p>
        </w:tc>
      </w:tr>
      <w:tr w:rsidR="00B54D51" w:rsidRPr="00037AD4" w14:paraId="42E59811" w14:textId="77777777" w:rsidTr="00401C67">
        <w:trPr>
          <w:trHeight w:val="320"/>
        </w:trPr>
        <w:tc>
          <w:tcPr>
            <w:tcW w:w="1183" w:type="dxa"/>
            <w:noWrap/>
            <w:hideMark/>
          </w:tcPr>
          <w:p w14:paraId="230A6C4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w:t>
            </w:r>
          </w:p>
        </w:tc>
        <w:tc>
          <w:tcPr>
            <w:tcW w:w="1913" w:type="dxa"/>
            <w:noWrap/>
            <w:hideMark/>
          </w:tcPr>
          <w:p w14:paraId="61E806A0"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.031 </w:t>
            </w:r>
          </w:p>
        </w:tc>
        <w:tc>
          <w:tcPr>
            <w:tcW w:w="1184" w:type="dxa"/>
          </w:tcPr>
          <w:p w14:paraId="1D53227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.007</w:t>
            </w:r>
          </w:p>
        </w:tc>
        <w:tc>
          <w:tcPr>
            <w:tcW w:w="1184" w:type="dxa"/>
            <w:noWrap/>
            <w:hideMark/>
          </w:tcPr>
          <w:p w14:paraId="195EBA4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4.44</w:t>
            </w:r>
          </w:p>
        </w:tc>
        <w:tc>
          <w:tcPr>
            <w:tcW w:w="1184" w:type="dxa"/>
            <w:noWrap/>
            <w:hideMark/>
          </w:tcPr>
          <w:p w14:paraId="621CF75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w:t>
            </w:r>
          </w:p>
        </w:tc>
        <w:tc>
          <w:tcPr>
            <w:tcW w:w="1184" w:type="dxa"/>
            <w:noWrap/>
            <w:hideMark/>
          </w:tcPr>
          <w:p w14:paraId="0C4A356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0.017</w:t>
            </w:r>
          </w:p>
        </w:tc>
        <w:tc>
          <w:tcPr>
            <w:tcW w:w="1184" w:type="dxa"/>
            <w:noWrap/>
            <w:hideMark/>
          </w:tcPr>
          <w:p w14:paraId="15F0687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0.045</w:t>
            </w:r>
          </w:p>
        </w:tc>
      </w:tr>
      <w:tr w:rsidR="00B54D51" w:rsidRPr="00037AD4" w14:paraId="77E196DB" w14:textId="77777777" w:rsidTr="00401C67">
        <w:trPr>
          <w:trHeight w:val="320"/>
        </w:trPr>
        <w:tc>
          <w:tcPr>
            <w:tcW w:w="1183" w:type="dxa"/>
            <w:noWrap/>
            <w:hideMark/>
          </w:tcPr>
          <w:p w14:paraId="7D07AC6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5</w:t>
            </w:r>
          </w:p>
        </w:tc>
        <w:tc>
          <w:tcPr>
            <w:tcW w:w="1913" w:type="dxa"/>
            <w:noWrap/>
            <w:hideMark/>
          </w:tcPr>
          <w:p w14:paraId="2A6DB84C"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.394   </w:t>
            </w:r>
          </w:p>
        </w:tc>
        <w:tc>
          <w:tcPr>
            <w:tcW w:w="1184" w:type="dxa"/>
          </w:tcPr>
          <w:p w14:paraId="4E43FD2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.065</w:t>
            </w:r>
          </w:p>
        </w:tc>
        <w:tc>
          <w:tcPr>
            <w:tcW w:w="1184" w:type="dxa"/>
            <w:noWrap/>
            <w:hideMark/>
          </w:tcPr>
          <w:p w14:paraId="2154585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6.02</w:t>
            </w:r>
          </w:p>
        </w:tc>
        <w:tc>
          <w:tcPr>
            <w:tcW w:w="1184" w:type="dxa"/>
            <w:noWrap/>
            <w:hideMark/>
          </w:tcPr>
          <w:p w14:paraId="3BCE469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w:t>
            </w:r>
          </w:p>
        </w:tc>
        <w:tc>
          <w:tcPr>
            <w:tcW w:w="1184" w:type="dxa"/>
            <w:noWrap/>
            <w:hideMark/>
          </w:tcPr>
          <w:p w14:paraId="7376FD2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0.265</w:t>
            </w:r>
          </w:p>
        </w:tc>
        <w:tc>
          <w:tcPr>
            <w:tcW w:w="1184" w:type="dxa"/>
            <w:noWrap/>
            <w:hideMark/>
          </w:tcPr>
          <w:p w14:paraId="36DA830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0.522</w:t>
            </w:r>
          </w:p>
        </w:tc>
      </w:tr>
      <w:tr w:rsidR="00B54D51" w:rsidRPr="00037AD4" w14:paraId="5B13FBCB" w14:textId="77777777" w:rsidTr="00401C67">
        <w:trPr>
          <w:trHeight w:val="320"/>
        </w:trPr>
        <w:tc>
          <w:tcPr>
            <w:tcW w:w="9016" w:type="dxa"/>
            <w:gridSpan w:val="7"/>
            <w:shd w:val="clear" w:color="auto" w:fill="F2F2F2" w:themeFill="background1" w:themeFillShade="F2"/>
            <w:noWrap/>
            <w:hideMark/>
          </w:tcPr>
          <w:p w14:paraId="24653E4E" w14:textId="77777777" w:rsidR="00B54D51" w:rsidRPr="00037AD4" w:rsidRDefault="00B54D51" w:rsidP="00401C67">
            <w:pPr>
              <w:rPr>
                <w:sz w:val="20"/>
                <w:szCs w:val="20"/>
              </w:rPr>
            </w:pPr>
            <w:r w:rsidRPr="00037AD4">
              <w:rPr>
                <w:rFonts w:ascii="Calibri" w:hAnsi="Calibri" w:cs="Calibri"/>
                <w:color w:val="000000"/>
              </w:rPr>
              <w:t xml:space="preserve">PwD mobility level 5, predict: </w:t>
            </w:r>
          </w:p>
        </w:tc>
      </w:tr>
      <w:tr w:rsidR="00B54D51" w:rsidRPr="00037AD4" w14:paraId="533FBFB7" w14:textId="77777777" w:rsidTr="00401C67">
        <w:trPr>
          <w:trHeight w:val="320"/>
        </w:trPr>
        <w:tc>
          <w:tcPr>
            <w:tcW w:w="1183" w:type="dxa"/>
            <w:noWrap/>
            <w:hideMark/>
          </w:tcPr>
          <w:p w14:paraId="28AF833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w:t>
            </w:r>
          </w:p>
        </w:tc>
        <w:tc>
          <w:tcPr>
            <w:tcW w:w="1913" w:type="dxa"/>
            <w:noWrap/>
            <w:hideMark/>
          </w:tcPr>
          <w:p w14:paraId="7048F6F1"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-.457    </w:t>
            </w:r>
          </w:p>
        </w:tc>
        <w:tc>
          <w:tcPr>
            <w:tcW w:w="1184" w:type="dxa"/>
          </w:tcPr>
          <w:p w14:paraId="3A367D5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.027</w:t>
            </w:r>
          </w:p>
        </w:tc>
        <w:tc>
          <w:tcPr>
            <w:tcW w:w="1184" w:type="dxa"/>
            <w:noWrap/>
            <w:hideMark/>
          </w:tcPr>
          <w:p w14:paraId="5772CA1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-17.02</w:t>
            </w:r>
          </w:p>
        </w:tc>
        <w:tc>
          <w:tcPr>
            <w:tcW w:w="1184" w:type="dxa"/>
            <w:noWrap/>
            <w:hideMark/>
          </w:tcPr>
          <w:p w14:paraId="69BEE41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w:t>
            </w:r>
          </w:p>
        </w:tc>
        <w:tc>
          <w:tcPr>
            <w:tcW w:w="1184" w:type="dxa"/>
            <w:noWrap/>
            <w:hideMark/>
          </w:tcPr>
          <w:p w14:paraId="5B4202A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-0.509</w:t>
            </w:r>
          </w:p>
        </w:tc>
        <w:tc>
          <w:tcPr>
            <w:tcW w:w="1184" w:type="dxa"/>
            <w:noWrap/>
            <w:hideMark/>
          </w:tcPr>
          <w:p w14:paraId="0E6BA90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-0.404</w:t>
            </w:r>
          </w:p>
        </w:tc>
      </w:tr>
      <w:tr w:rsidR="00B54D51" w:rsidRPr="00037AD4" w14:paraId="39E58D13" w14:textId="77777777" w:rsidTr="00401C67">
        <w:trPr>
          <w:trHeight w:val="320"/>
        </w:trPr>
        <w:tc>
          <w:tcPr>
            <w:tcW w:w="1183" w:type="dxa"/>
            <w:noWrap/>
            <w:hideMark/>
          </w:tcPr>
          <w:p w14:paraId="4FAAB15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w:t>
            </w:r>
          </w:p>
        </w:tc>
        <w:tc>
          <w:tcPr>
            <w:tcW w:w="1913" w:type="dxa"/>
            <w:noWrap/>
            <w:hideMark/>
          </w:tcPr>
          <w:p w14:paraId="6262129F"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-.135 </w:t>
            </w:r>
          </w:p>
        </w:tc>
        <w:tc>
          <w:tcPr>
            <w:tcW w:w="1184" w:type="dxa"/>
          </w:tcPr>
          <w:p w14:paraId="67714A8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.020</w:t>
            </w:r>
          </w:p>
        </w:tc>
        <w:tc>
          <w:tcPr>
            <w:tcW w:w="1184" w:type="dxa"/>
            <w:noWrap/>
            <w:hideMark/>
          </w:tcPr>
          <w:p w14:paraId="00461FE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-6.79</w:t>
            </w:r>
          </w:p>
        </w:tc>
        <w:tc>
          <w:tcPr>
            <w:tcW w:w="1184" w:type="dxa"/>
            <w:noWrap/>
            <w:hideMark/>
          </w:tcPr>
          <w:p w14:paraId="1D428D2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w:t>
            </w:r>
          </w:p>
        </w:tc>
        <w:tc>
          <w:tcPr>
            <w:tcW w:w="1184" w:type="dxa"/>
            <w:noWrap/>
            <w:hideMark/>
          </w:tcPr>
          <w:p w14:paraId="1D2CE4E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-0.174</w:t>
            </w:r>
          </w:p>
        </w:tc>
        <w:tc>
          <w:tcPr>
            <w:tcW w:w="1184" w:type="dxa"/>
            <w:noWrap/>
            <w:hideMark/>
          </w:tcPr>
          <w:p w14:paraId="5E56902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-0.096</w:t>
            </w:r>
          </w:p>
        </w:tc>
      </w:tr>
      <w:tr w:rsidR="00B54D51" w:rsidRPr="00037AD4" w14:paraId="22F6C074" w14:textId="77777777" w:rsidTr="00401C67">
        <w:trPr>
          <w:trHeight w:val="320"/>
        </w:trPr>
        <w:tc>
          <w:tcPr>
            <w:tcW w:w="1183" w:type="dxa"/>
            <w:noWrap/>
            <w:hideMark/>
          </w:tcPr>
          <w:p w14:paraId="3661E85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w:t>
            </w:r>
          </w:p>
        </w:tc>
        <w:tc>
          <w:tcPr>
            <w:tcW w:w="1913" w:type="dxa"/>
            <w:noWrap/>
            <w:hideMark/>
          </w:tcPr>
          <w:p w14:paraId="651C4F83"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-.037   </w:t>
            </w:r>
          </w:p>
        </w:tc>
        <w:tc>
          <w:tcPr>
            <w:tcW w:w="1184" w:type="dxa"/>
          </w:tcPr>
          <w:p w14:paraId="0A234DF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.016</w:t>
            </w:r>
          </w:p>
        </w:tc>
        <w:tc>
          <w:tcPr>
            <w:tcW w:w="1184" w:type="dxa"/>
            <w:noWrap/>
            <w:hideMark/>
          </w:tcPr>
          <w:p w14:paraId="07732D3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-2.3</w:t>
            </w:r>
          </w:p>
        </w:tc>
        <w:tc>
          <w:tcPr>
            <w:tcW w:w="1184" w:type="dxa"/>
            <w:noWrap/>
            <w:hideMark/>
          </w:tcPr>
          <w:p w14:paraId="68995B3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0.021</w:t>
            </w:r>
          </w:p>
        </w:tc>
        <w:tc>
          <w:tcPr>
            <w:tcW w:w="1184" w:type="dxa"/>
            <w:noWrap/>
            <w:hideMark/>
          </w:tcPr>
          <w:p w14:paraId="5E4CF91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-0.068</w:t>
            </w:r>
          </w:p>
        </w:tc>
        <w:tc>
          <w:tcPr>
            <w:tcW w:w="1184" w:type="dxa"/>
            <w:noWrap/>
            <w:hideMark/>
          </w:tcPr>
          <w:p w14:paraId="49FDA6D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-0.005</w:t>
            </w:r>
          </w:p>
        </w:tc>
      </w:tr>
      <w:tr w:rsidR="00B54D51" w:rsidRPr="00037AD4" w14:paraId="50DDD122" w14:textId="77777777" w:rsidTr="00401C67">
        <w:trPr>
          <w:trHeight w:val="320"/>
        </w:trPr>
        <w:tc>
          <w:tcPr>
            <w:tcW w:w="1183" w:type="dxa"/>
            <w:noWrap/>
            <w:hideMark/>
          </w:tcPr>
          <w:p w14:paraId="6F41F20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w:t>
            </w:r>
          </w:p>
        </w:tc>
        <w:tc>
          <w:tcPr>
            <w:tcW w:w="1913" w:type="dxa"/>
            <w:noWrap/>
            <w:hideMark/>
          </w:tcPr>
          <w:p w14:paraId="4FEE4F0E"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.007   </w:t>
            </w:r>
          </w:p>
        </w:tc>
        <w:tc>
          <w:tcPr>
            <w:tcW w:w="1184" w:type="dxa"/>
          </w:tcPr>
          <w:p w14:paraId="045BB09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.010</w:t>
            </w:r>
          </w:p>
        </w:tc>
        <w:tc>
          <w:tcPr>
            <w:tcW w:w="1184" w:type="dxa"/>
            <w:noWrap/>
            <w:hideMark/>
          </w:tcPr>
          <w:p w14:paraId="4C91746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0.69</w:t>
            </w:r>
          </w:p>
        </w:tc>
        <w:tc>
          <w:tcPr>
            <w:tcW w:w="1184" w:type="dxa"/>
            <w:noWrap/>
            <w:hideMark/>
          </w:tcPr>
          <w:p w14:paraId="032B896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0.488</w:t>
            </w:r>
          </w:p>
        </w:tc>
        <w:tc>
          <w:tcPr>
            <w:tcW w:w="1184" w:type="dxa"/>
            <w:noWrap/>
            <w:hideMark/>
          </w:tcPr>
          <w:p w14:paraId="38441E0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-0.013</w:t>
            </w:r>
          </w:p>
        </w:tc>
        <w:tc>
          <w:tcPr>
            <w:tcW w:w="1184" w:type="dxa"/>
            <w:noWrap/>
            <w:hideMark/>
          </w:tcPr>
          <w:p w14:paraId="2840969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0.027</w:t>
            </w:r>
          </w:p>
        </w:tc>
      </w:tr>
      <w:tr w:rsidR="00B54D51" w:rsidRPr="00037AD4" w14:paraId="57C2671D" w14:textId="77777777" w:rsidTr="00401C67">
        <w:trPr>
          <w:trHeight w:val="320"/>
        </w:trPr>
        <w:tc>
          <w:tcPr>
            <w:tcW w:w="1183" w:type="dxa"/>
            <w:noWrap/>
            <w:hideMark/>
          </w:tcPr>
          <w:p w14:paraId="68ACDA9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5</w:t>
            </w:r>
          </w:p>
        </w:tc>
        <w:tc>
          <w:tcPr>
            <w:tcW w:w="1913" w:type="dxa"/>
            <w:noWrap/>
            <w:hideMark/>
          </w:tcPr>
          <w:p w14:paraId="4A4BD45C"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.622   </w:t>
            </w:r>
          </w:p>
        </w:tc>
        <w:tc>
          <w:tcPr>
            <w:tcW w:w="1184" w:type="dxa"/>
          </w:tcPr>
          <w:p w14:paraId="5A1EBC0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.054</w:t>
            </w:r>
          </w:p>
        </w:tc>
        <w:tc>
          <w:tcPr>
            <w:tcW w:w="1184" w:type="dxa"/>
            <w:noWrap/>
            <w:hideMark/>
          </w:tcPr>
          <w:p w14:paraId="681FC33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11.45</w:t>
            </w:r>
          </w:p>
        </w:tc>
        <w:tc>
          <w:tcPr>
            <w:tcW w:w="1184" w:type="dxa"/>
            <w:noWrap/>
            <w:hideMark/>
          </w:tcPr>
          <w:p w14:paraId="258FEB3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w:t>
            </w:r>
          </w:p>
        </w:tc>
        <w:tc>
          <w:tcPr>
            <w:tcW w:w="1184" w:type="dxa"/>
            <w:noWrap/>
            <w:hideMark/>
          </w:tcPr>
          <w:p w14:paraId="1D3EA01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0.515</w:t>
            </w:r>
          </w:p>
        </w:tc>
        <w:tc>
          <w:tcPr>
            <w:tcW w:w="1184" w:type="dxa"/>
            <w:noWrap/>
            <w:hideMark/>
          </w:tcPr>
          <w:p w14:paraId="068FDA9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0.728</w:t>
            </w:r>
          </w:p>
        </w:tc>
      </w:tr>
      <w:tr w:rsidR="00B54D51" w:rsidRPr="00037AD4" w14:paraId="4887AE9A" w14:textId="77777777" w:rsidTr="00401C67">
        <w:trPr>
          <w:trHeight w:val="320"/>
        </w:trPr>
        <w:tc>
          <w:tcPr>
            <w:tcW w:w="9016" w:type="dxa"/>
            <w:gridSpan w:val="7"/>
            <w:shd w:val="clear" w:color="auto" w:fill="F2F2F2" w:themeFill="background1" w:themeFillShade="F2"/>
            <w:noWrap/>
            <w:hideMark/>
          </w:tcPr>
          <w:p w14:paraId="57FAB892" w14:textId="77777777" w:rsidR="00B54D51" w:rsidRPr="00037AD4" w:rsidRDefault="00B54D51" w:rsidP="00401C67">
            <w:pPr>
              <w:rPr>
                <w:sz w:val="20"/>
                <w:szCs w:val="20"/>
              </w:rPr>
            </w:pPr>
            <w:r w:rsidRPr="00037AD4">
              <w:rPr>
                <w:rFonts w:ascii="Calibri" w:hAnsi="Calibri" w:cs="Calibri"/>
                <w:color w:val="000000"/>
              </w:rPr>
              <w:t>FAST score, predict:</w:t>
            </w:r>
          </w:p>
        </w:tc>
      </w:tr>
      <w:tr w:rsidR="00B54D51" w:rsidRPr="00037AD4" w14:paraId="74B91D1F" w14:textId="77777777" w:rsidTr="00401C67">
        <w:trPr>
          <w:trHeight w:val="320"/>
        </w:trPr>
        <w:tc>
          <w:tcPr>
            <w:tcW w:w="1183" w:type="dxa"/>
            <w:noWrap/>
            <w:hideMark/>
          </w:tcPr>
          <w:p w14:paraId="1842239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w:t>
            </w:r>
          </w:p>
        </w:tc>
        <w:tc>
          <w:tcPr>
            <w:tcW w:w="1913" w:type="dxa"/>
            <w:noWrap/>
            <w:hideMark/>
          </w:tcPr>
          <w:p w14:paraId="3C5B0814" w14:textId="77777777" w:rsidR="00B54D51" w:rsidRPr="00037AD4" w:rsidRDefault="00B54D51" w:rsidP="00401C67">
            <w:pPr>
              <w:rPr>
                <w:rFonts w:ascii="Calibri" w:hAnsi="Calibri" w:cs="Calibri"/>
                <w:color w:val="000000"/>
              </w:rPr>
            </w:pPr>
            <w:r w:rsidRPr="00037AD4">
              <w:rPr>
                <w:rFonts w:ascii="Calibri" w:hAnsi="Calibri" w:cs="Calibri"/>
                <w:color w:val="000000"/>
              </w:rPr>
              <w:t>-.121</w:t>
            </w:r>
          </w:p>
        </w:tc>
        <w:tc>
          <w:tcPr>
            <w:tcW w:w="1184" w:type="dxa"/>
          </w:tcPr>
          <w:p w14:paraId="0B51CD0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.016</w:t>
            </w:r>
          </w:p>
        </w:tc>
        <w:tc>
          <w:tcPr>
            <w:tcW w:w="1184" w:type="dxa"/>
            <w:noWrap/>
            <w:hideMark/>
          </w:tcPr>
          <w:p w14:paraId="5C3305E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-7.69</w:t>
            </w:r>
          </w:p>
        </w:tc>
        <w:tc>
          <w:tcPr>
            <w:tcW w:w="1184" w:type="dxa"/>
            <w:noWrap/>
            <w:hideMark/>
          </w:tcPr>
          <w:p w14:paraId="2C76DEB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w:t>
            </w:r>
          </w:p>
        </w:tc>
        <w:tc>
          <w:tcPr>
            <w:tcW w:w="1184" w:type="dxa"/>
            <w:noWrap/>
            <w:hideMark/>
          </w:tcPr>
          <w:p w14:paraId="6749E95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-0.152</w:t>
            </w:r>
          </w:p>
        </w:tc>
        <w:tc>
          <w:tcPr>
            <w:tcW w:w="1184" w:type="dxa"/>
            <w:noWrap/>
            <w:hideMark/>
          </w:tcPr>
          <w:p w14:paraId="198A966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-0.090</w:t>
            </w:r>
          </w:p>
        </w:tc>
      </w:tr>
      <w:tr w:rsidR="00B54D51" w:rsidRPr="00037AD4" w14:paraId="14D56358" w14:textId="77777777" w:rsidTr="00401C67">
        <w:trPr>
          <w:trHeight w:val="320"/>
        </w:trPr>
        <w:tc>
          <w:tcPr>
            <w:tcW w:w="1183" w:type="dxa"/>
            <w:noWrap/>
            <w:hideMark/>
          </w:tcPr>
          <w:p w14:paraId="7C9F2C7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w:t>
            </w:r>
          </w:p>
        </w:tc>
        <w:tc>
          <w:tcPr>
            <w:tcW w:w="1913" w:type="dxa"/>
            <w:noWrap/>
            <w:hideMark/>
          </w:tcPr>
          <w:p w14:paraId="0178C066"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.004  </w:t>
            </w:r>
          </w:p>
        </w:tc>
        <w:tc>
          <w:tcPr>
            <w:tcW w:w="1184" w:type="dxa"/>
          </w:tcPr>
          <w:p w14:paraId="1079B85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w:t>
            </w:r>
          </w:p>
        </w:tc>
        <w:tc>
          <w:tcPr>
            <w:tcW w:w="1184" w:type="dxa"/>
            <w:noWrap/>
            <w:hideMark/>
          </w:tcPr>
          <w:p w14:paraId="28A1865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1.58</w:t>
            </w:r>
          </w:p>
        </w:tc>
        <w:tc>
          <w:tcPr>
            <w:tcW w:w="1184" w:type="dxa"/>
            <w:noWrap/>
            <w:hideMark/>
          </w:tcPr>
          <w:p w14:paraId="57AADD4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0.114</w:t>
            </w:r>
          </w:p>
        </w:tc>
        <w:tc>
          <w:tcPr>
            <w:tcW w:w="1184" w:type="dxa"/>
            <w:noWrap/>
            <w:hideMark/>
          </w:tcPr>
          <w:p w14:paraId="50F7DB0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c>
          <w:tcPr>
            <w:tcW w:w="1184" w:type="dxa"/>
            <w:noWrap/>
            <w:hideMark/>
          </w:tcPr>
          <w:p w14:paraId="4F9B533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0.010</w:t>
            </w:r>
          </w:p>
        </w:tc>
      </w:tr>
      <w:tr w:rsidR="00B54D51" w:rsidRPr="00037AD4" w14:paraId="6D86316B" w14:textId="77777777" w:rsidTr="00401C67">
        <w:trPr>
          <w:trHeight w:val="320"/>
        </w:trPr>
        <w:tc>
          <w:tcPr>
            <w:tcW w:w="1183" w:type="dxa"/>
            <w:noWrap/>
            <w:hideMark/>
          </w:tcPr>
          <w:p w14:paraId="5950D71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w:t>
            </w:r>
          </w:p>
        </w:tc>
        <w:tc>
          <w:tcPr>
            <w:tcW w:w="1913" w:type="dxa"/>
            <w:noWrap/>
            <w:hideMark/>
          </w:tcPr>
          <w:p w14:paraId="0D57BEE9"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.017   </w:t>
            </w:r>
          </w:p>
        </w:tc>
        <w:tc>
          <w:tcPr>
            <w:tcW w:w="1184" w:type="dxa"/>
          </w:tcPr>
          <w:p w14:paraId="7A439D4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w:t>
            </w:r>
          </w:p>
        </w:tc>
        <w:tc>
          <w:tcPr>
            <w:tcW w:w="1184" w:type="dxa"/>
            <w:noWrap/>
            <w:hideMark/>
          </w:tcPr>
          <w:p w14:paraId="0EF676B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6.05</w:t>
            </w:r>
          </w:p>
        </w:tc>
        <w:tc>
          <w:tcPr>
            <w:tcW w:w="1184" w:type="dxa"/>
            <w:noWrap/>
            <w:hideMark/>
          </w:tcPr>
          <w:p w14:paraId="2034A83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w:t>
            </w:r>
          </w:p>
        </w:tc>
        <w:tc>
          <w:tcPr>
            <w:tcW w:w="1184" w:type="dxa"/>
            <w:noWrap/>
            <w:hideMark/>
          </w:tcPr>
          <w:p w14:paraId="1F2705A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0.011</w:t>
            </w:r>
          </w:p>
        </w:tc>
        <w:tc>
          <w:tcPr>
            <w:tcW w:w="1184" w:type="dxa"/>
            <w:noWrap/>
            <w:hideMark/>
          </w:tcPr>
          <w:p w14:paraId="370FA05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0.022</w:t>
            </w:r>
          </w:p>
        </w:tc>
      </w:tr>
      <w:tr w:rsidR="00B54D51" w:rsidRPr="00037AD4" w14:paraId="756DA3D4" w14:textId="77777777" w:rsidTr="00401C67">
        <w:trPr>
          <w:trHeight w:val="320"/>
        </w:trPr>
        <w:tc>
          <w:tcPr>
            <w:tcW w:w="1183" w:type="dxa"/>
            <w:noWrap/>
            <w:hideMark/>
          </w:tcPr>
          <w:p w14:paraId="5022C89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w:t>
            </w:r>
          </w:p>
        </w:tc>
        <w:tc>
          <w:tcPr>
            <w:tcW w:w="1913" w:type="dxa"/>
            <w:noWrap/>
            <w:hideMark/>
          </w:tcPr>
          <w:p w14:paraId="6175FFED"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.014  </w:t>
            </w:r>
          </w:p>
        </w:tc>
        <w:tc>
          <w:tcPr>
            <w:tcW w:w="1184" w:type="dxa"/>
          </w:tcPr>
          <w:p w14:paraId="06E8145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w:t>
            </w:r>
          </w:p>
        </w:tc>
        <w:tc>
          <w:tcPr>
            <w:tcW w:w="1184" w:type="dxa"/>
            <w:noWrap/>
            <w:hideMark/>
          </w:tcPr>
          <w:p w14:paraId="1061475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5.44</w:t>
            </w:r>
          </w:p>
        </w:tc>
        <w:tc>
          <w:tcPr>
            <w:tcW w:w="1184" w:type="dxa"/>
            <w:noWrap/>
            <w:hideMark/>
          </w:tcPr>
          <w:p w14:paraId="7EFB9AF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w:t>
            </w:r>
          </w:p>
        </w:tc>
        <w:tc>
          <w:tcPr>
            <w:tcW w:w="1184" w:type="dxa"/>
            <w:noWrap/>
            <w:hideMark/>
          </w:tcPr>
          <w:p w14:paraId="1575E4C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0.009</w:t>
            </w:r>
          </w:p>
        </w:tc>
        <w:tc>
          <w:tcPr>
            <w:tcW w:w="1184" w:type="dxa"/>
            <w:noWrap/>
            <w:hideMark/>
          </w:tcPr>
          <w:p w14:paraId="66D7874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0.019</w:t>
            </w:r>
          </w:p>
        </w:tc>
      </w:tr>
      <w:tr w:rsidR="00B54D51" w:rsidRPr="00037AD4" w14:paraId="34E3CEDB" w14:textId="77777777" w:rsidTr="00401C67">
        <w:trPr>
          <w:trHeight w:val="320"/>
        </w:trPr>
        <w:tc>
          <w:tcPr>
            <w:tcW w:w="1183" w:type="dxa"/>
            <w:noWrap/>
            <w:hideMark/>
          </w:tcPr>
          <w:p w14:paraId="0A32F19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lastRenderedPageBreak/>
              <w:t>5</w:t>
            </w:r>
          </w:p>
        </w:tc>
        <w:tc>
          <w:tcPr>
            <w:tcW w:w="1913" w:type="dxa"/>
            <w:noWrap/>
            <w:hideMark/>
          </w:tcPr>
          <w:p w14:paraId="5F6A9474"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.086  </w:t>
            </w:r>
          </w:p>
        </w:tc>
        <w:tc>
          <w:tcPr>
            <w:tcW w:w="1184" w:type="dxa"/>
          </w:tcPr>
          <w:p w14:paraId="16CE103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.013</w:t>
            </w:r>
          </w:p>
        </w:tc>
        <w:tc>
          <w:tcPr>
            <w:tcW w:w="1184" w:type="dxa"/>
            <w:noWrap/>
            <w:hideMark/>
          </w:tcPr>
          <w:p w14:paraId="7A51D5C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6.62</w:t>
            </w:r>
          </w:p>
        </w:tc>
        <w:tc>
          <w:tcPr>
            <w:tcW w:w="1184" w:type="dxa"/>
            <w:noWrap/>
            <w:hideMark/>
          </w:tcPr>
          <w:p w14:paraId="30839A3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w:t>
            </w:r>
          </w:p>
        </w:tc>
        <w:tc>
          <w:tcPr>
            <w:tcW w:w="1184" w:type="dxa"/>
            <w:noWrap/>
            <w:hideMark/>
          </w:tcPr>
          <w:p w14:paraId="43C04FA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0.061</w:t>
            </w:r>
          </w:p>
        </w:tc>
        <w:tc>
          <w:tcPr>
            <w:tcW w:w="1184" w:type="dxa"/>
            <w:noWrap/>
            <w:hideMark/>
          </w:tcPr>
          <w:p w14:paraId="43BC966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0.112</w:t>
            </w:r>
          </w:p>
        </w:tc>
      </w:tr>
      <w:tr w:rsidR="00B54D51" w:rsidRPr="00037AD4" w14:paraId="28DFE50D" w14:textId="77777777" w:rsidTr="00401C67">
        <w:trPr>
          <w:trHeight w:val="320"/>
        </w:trPr>
        <w:tc>
          <w:tcPr>
            <w:tcW w:w="9016" w:type="dxa"/>
            <w:gridSpan w:val="7"/>
            <w:shd w:val="clear" w:color="auto" w:fill="F2F2F2" w:themeFill="background1" w:themeFillShade="F2"/>
            <w:noWrap/>
            <w:hideMark/>
          </w:tcPr>
          <w:p w14:paraId="228379AF" w14:textId="77777777" w:rsidR="00B54D51" w:rsidRPr="00037AD4" w:rsidRDefault="00B54D51" w:rsidP="00401C67">
            <w:pPr>
              <w:rPr>
                <w:sz w:val="20"/>
                <w:szCs w:val="20"/>
              </w:rPr>
            </w:pPr>
            <w:r w:rsidRPr="00037AD4">
              <w:rPr>
                <w:rFonts w:ascii="Calibri" w:hAnsi="Calibri" w:cs="Calibri"/>
                <w:color w:val="000000"/>
              </w:rPr>
              <w:t>Age of PwD, predict:</w:t>
            </w:r>
          </w:p>
        </w:tc>
      </w:tr>
      <w:tr w:rsidR="00B54D51" w:rsidRPr="00037AD4" w14:paraId="04E81EB8" w14:textId="77777777" w:rsidTr="00401C67">
        <w:trPr>
          <w:trHeight w:val="320"/>
        </w:trPr>
        <w:tc>
          <w:tcPr>
            <w:tcW w:w="1183" w:type="dxa"/>
            <w:noWrap/>
            <w:hideMark/>
          </w:tcPr>
          <w:p w14:paraId="3062D93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w:t>
            </w:r>
          </w:p>
        </w:tc>
        <w:tc>
          <w:tcPr>
            <w:tcW w:w="1913" w:type="dxa"/>
            <w:noWrap/>
            <w:hideMark/>
          </w:tcPr>
          <w:p w14:paraId="5B342DB5"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-.007  </w:t>
            </w:r>
          </w:p>
        </w:tc>
        <w:tc>
          <w:tcPr>
            <w:tcW w:w="1184" w:type="dxa"/>
          </w:tcPr>
          <w:p w14:paraId="7BCA55F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w:t>
            </w:r>
          </w:p>
        </w:tc>
        <w:tc>
          <w:tcPr>
            <w:tcW w:w="1184" w:type="dxa"/>
            <w:noWrap/>
            <w:hideMark/>
          </w:tcPr>
          <w:p w14:paraId="1C50BD1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-2.67</w:t>
            </w:r>
          </w:p>
        </w:tc>
        <w:tc>
          <w:tcPr>
            <w:tcW w:w="1184" w:type="dxa"/>
            <w:noWrap/>
            <w:hideMark/>
          </w:tcPr>
          <w:p w14:paraId="60723B5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0.008</w:t>
            </w:r>
          </w:p>
        </w:tc>
        <w:tc>
          <w:tcPr>
            <w:tcW w:w="1184" w:type="dxa"/>
            <w:noWrap/>
            <w:hideMark/>
          </w:tcPr>
          <w:p w14:paraId="195C919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-0.011</w:t>
            </w:r>
          </w:p>
        </w:tc>
        <w:tc>
          <w:tcPr>
            <w:tcW w:w="1184" w:type="dxa"/>
            <w:noWrap/>
            <w:hideMark/>
          </w:tcPr>
          <w:p w14:paraId="0F492A4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-0.002</w:t>
            </w:r>
          </w:p>
        </w:tc>
      </w:tr>
      <w:tr w:rsidR="00B54D51" w:rsidRPr="00037AD4" w14:paraId="0F4C16C1" w14:textId="77777777" w:rsidTr="00401C67">
        <w:trPr>
          <w:trHeight w:val="320"/>
        </w:trPr>
        <w:tc>
          <w:tcPr>
            <w:tcW w:w="1183" w:type="dxa"/>
            <w:noWrap/>
            <w:hideMark/>
          </w:tcPr>
          <w:p w14:paraId="57EF376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w:t>
            </w:r>
          </w:p>
        </w:tc>
        <w:tc>
          <w:tcPr>
            <w:tcW w:w="1913" w:type="dxa"/>
            <w:noWrap/>
            <w:hideMark/>
          </w:tcPr>
          <w:p w14:paraId="0F2D8453"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.000  </w:t>
            </w:r>
          </w:p>
        </w:tc>
        <w:tc>
          <w:tcPr>
            <w:tcW w:w="1184" w:type="dxa"/>
          </w:tcPr>
          <w:p w14:paraId="603A1B1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w:t>
            </w:r>
          </w:p>
        </w:tc>
        <w:tc>
          <w:tcPr>
            <w:tcW w:w="1184" w:type="dxa"/>
            <w:noWrap/>
            <w:hideMark/>
          </w:tcPr>
          <w:p w14:paraId="302D873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1.31</w:t>
            </w:r>
          </w:p>
        </w:tc>
        <w:tc>
          <w:tcPr>
            <w:tcW w:w="1184" w:type="dxa"/>
            <w:noWrap/>
            <w:hideMark/>
          </w:tcPr>
          <w:p w14:paraId="5DA8FE4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0.191</w:t>
            </w:r>
          </w:p>
        </w:tc>
        <w:tc>
          <w:tcPr>
            <w:tcW w:w="1184" w:type="dxa"/>
            <w:noWrap/>
            <w:hideMark/>
          </w:tcPr>
          <w:p w14:paraId="372EE31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1184" w:type="dxa"/>
            <w:noWrap/>
            <w:hideMark/>
          </w:tcPr>
          <w:p w14:paraId="1CCA131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r>
      <w:tr w:rsidR="00B54D51" w:rsidRPr="00037AD4" w14:paraId="70C8D4AF" w14:textId="77777777" w:rsidTr="00401C67">
        <w:trPr>
          <w:trHeight w:val="320"/>
        </w:trPr>
        <w:tc>
          <w:tcPr>
            <w:tcW w:w="1183" w:type="dxa"/>
            <w:noWrap/>
            <w:hideMark/>
          </w:tcPr>
          <w:p w14:paraId="7511AE1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w:t>
            </w:r>
          </w:p>
        </w:tc>
        <w:tc>
          <w:tcPr>
            <w:tcW w:w="1913" w:type="dxa"/>
            <w:noWrap/>
            <w:hideMark/>
          </w:tcPr>
          <w:p w14:paraId="424FDF13"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.001 </w:t>
            </w:r>
          </w:p>
        </w:tc>
        <w:tc>
          <w:tcPr>
            <w:tcW w:w="1184" w:type="dxa"/>
          </w:tcPr>
          <w:p w14:paraId="0D2DC38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w:t>
            </w:r>
          </w:p>
        </w:tc>
        <w:tc>
          <w:tcPr>
            <w:tcW w:w="1184" w:type="dxa"/>
            <w:noWrap/>
            <w:hideMark/>
          </w:tcPr>
          <w:p w14:paraId="2FB2F3E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2.52</w:t>
            </w:r>
          </w:p>
        </w:tc>
        <w:tc>
          <w:tcPr>
            <w:tcW w:w="1184" w:type="dxa"/>
            <w:noWrap/>
            <w:hideMark/>
          </w:tcPr>
          <w:p w14:paraId="7F43A0E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0.012</w:t>
            </w:r>
          </w:p>
        </w:tc>
        <w:tc>
          <w:tcPr>
            <w:tcW w:w="1184" w:type="dxa"/>
            <w:noWrap/>
            <w:hideMark/>
          </w:tcPr>
          <w:p w14:paraId="6081DD9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1184" w:type="dxa"/>
            <w:noWrap/>
            <w:hideMark/>
          </w:tcPr>
          <w:p w14:paraId="711FECB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0.002</w:t>
            </w:r>
          </w:p>
        </w:tc>
      </w:tr>
      <w:tr w:rsidR="00B54D51" w:rsidRPr="00037AD4" w14:paraId="4F21D91E" w14:textId="77777777" w:rsidTr="00401C67">
        <w:trPr>
          <w:trHeight w:val="320"/>
        </w:trPr>
        <w:tc>
          <w:tcPr>
            <w:tcW w:w="1183" w:type="dxa"/>
            <w:noWrap/>
            <w:hideMark/>
          </w:tcPr>
          <w:p w14:paraId="6394445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w:t>
            </w:r>
          </w:p>
        </w:tc>
        <w:tc>
          <w:tcPr>
            <w:tcW w:w="1913" w:type="dxa"/>
            <w:noWrap/>
            <w:hideMark/>
          </w:tcPr>
          <w:p w14:paraId="4A0FC1A9" w14:textId="77777777" w:rsidR="00B54D51" w:rsidRPr="00037AD4" w:rsidRDefault="00B54D51" w:rsidP="00401C67">
            <w:pPr>
              <w:rPr>
                <w:rFonts w:ascii="Calibri" w:hAnsi="Calibri" w:cs="Calibri"/>
                <w:color w:val="000000"/>
              </w:rPr>
            </w:pPr>
            <w:r w:rsidRPr="00037AD4">
              <w:rPr>
                <w:rFonts w:ascii="Calibri" w:hAnsi="Calibri" w:cs="Calibri"/>
                <w:color w:val="000000"/>
              </w:rPr>
              <w:t>.001</w:t>
            </w:r>
          </w:p>
        </w:tc>
        <w:tc>
          <w:tcPr>
            <w:tcW w:w="1184" w:type="dxa"/>
          </w:tcPr>
          <w:p w14:paraId="59853F5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w:t>
            </w:r>
          </w:p>
        </w:tc>
        <w:tc>
          <w:tcPr>
            <w:tcW w:w="1184" w:type="dxa"/>
            <w:noWrap/>
            <w:hideMark/>
          </w:tcPr>
          <w:p w14:paraId="67DCE43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2.5</w:t>
            </w:r>
          </w:p>
        </w:tc>
        <w:tc>
          <w:tcPr>
            <w:tcW w:w="1184" w:type="dxa"/>
            <w:noWrap/>
            <w:hideMark/>
          </w:tcPr>
          <w:p w14:paraId="202C27D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0.012</w:t>
            </w:r>
          </w:p>
        </w:tc>
        <w:tc>
          <w:tcPr>
            <w:tcW w:w="1184" w:type="dxa"/>
            <w:noWrap/>
            <w:hideMark/>
          </w:tcPr>
          <w:p w14:paraId="5901215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1184" w:type="dxa"/>
            <w:noWrap/>
            <w:hideMark/>
          </w:tcPr>
          <w:p w14:paraId="1B6A112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r>
      <w:tr w:rsidR="00B54D51" w:rsidRPr="00037AD4" w14:paraId="5071C7ED" w14:textId="77777777" w:rsidTr="00401C67">
        <w:trPr>
          <w:trHeight w:val="320"/>
        </w:trPr>
        <w:tc>
          <w:tcPr>
            <w:tcW w:w="1183" w:type="dxa"/>
            <w:noWrap/>
            <w:hideMark/>
          </w:tcPr>
          <w:p w14:paraId="609331B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5</w:t>
            </w:r>
          </w:p>
        </w:tc>
        <w:tc>
          <w:tcPr>
            <w:tcW w:w="1913" w:type="dxa"/>
            <w:noWrap/>
            <w:hideMark/>
          </w:tcPr>
          <w:p w14:paraId="09E6D67B" w14:textId="77777777" w:rsidR="00B54D51" w:rsidRPr="00037AD4" w:rsidRDefault="00B54D51" w:rsidP="00401C67">
            <w:pPr>
              <w:rPr>
                <w:rFonts w:ascii="Calibri" w:hAnsi="Calibri" w:cs="Calibri"/>
                <w:color w:val="000000"/>
              </w:rPr>
            </w:pPr>
            <w:r w:rsidRPr="00037AD4">
              <w:rPr>
                <w:rFonts w:ascii="Calibri" w:hAnsi="Calibri" w:cs="Calibri"/>
                <w:color w:val="000000"/>
              </w:rPr>
              <w:t>.005</w:t>
            </w:r>
          </w:p>
        </w:tc>
        <w:tc>
          <w:tcPr>
            <w:tcW w:w="1184" w:type="dxa"/>
          </w:tcPr>
          <w:p w14:paraId="77BEEB7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w:t>
            </w:r>
          </w:p>
        </w:tc>
        <w:tc>
          <w:tcPr>
            <w:tcW w:w="1184" w:type="dxa"/>
            <w:noWrap/>
            <w:hideMark/>
          </w:tcPr>
          <w:p w14:paraId="725C630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2.66</w:t>
            </w:r>
          </w:p>
        </w:tc>
        <w:tc>
          <w:tcPr>
            <w:tcW w:w="1184" w:type="dxa"/>
            <w:noWrap/>
            <w:hideMark/>
          </w:tcPr>
          <w:p w14:paraId="5D5047A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0.008</w:t>
            </w:r>
          </w:p>
        </w:tc>
        <w:tc>
          <w:tcPr>
            <w:tcW w:w="1184" w:type="dxa"/>
            <w:noWrap/>
            <w:hideMark/>
          </w:tcPr>
          <w:p w14:paraId="6BD8D2F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c>
          <w:tcPr>
            <w:tcW w:w="1184" w:type="dxa"/>
            <w:noWrap/>
            <w:hideMark/>
          </w:tcPr>
          <w:p w14:paraId="782221A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0.008</w:t>
            </w:r>
          </w:p>
        </w:tc>
      </w:tr>
      <w:tr w:rsidR="00B54D51" w:rsidRPr="00037AD4" w14:paraId="4E8E314E" w14:textId="77777777" w:rsidTr="00401C67">
        <w:trPr>
          <w:trHeight w:val="320"/>
        </w:trPr>
        <w:tc>
          <w:tcPr>
            <w:tcW w:w="9016" w:type="dxa"/>
            <w:gridSpan w:val="7"/>
            <w:shd w:val="clear" w:color="auto" w:fill="F2F2F2" w:themeFill="background1" w:themeFillShade="F2"/>
            <w:noWrap/>
            <w:hideMark/>
          </w:tcPr>
          <w:p w14:paraId="380FBB38" w14:textId="77777777" w:rsidR="00B54D51" w:rsidRPr="00037AD4" w:rsidRDefault="00B54D51" w:rsidP="00401C67">
            <w:pPr>
              <w:rPr>
                <w:rFonts w:ascii="Calibri" w:hAnsi="Calibri" w:cs="Calibri"/>
                <w:color w:val="000000"/>
              </w:rPr>
            </w:pPr>
            <w:r w:rsidRPr="00037AD4">
              <w:rPr>
                <w:rFonts w:ascii="Calibri" w:hAnsi="Calibri" w:cs="Calibri"/>
                <w:color w:val="000000"/>
              </w:rPr>
              <w:t>PwD sex (base outcome = male)</w:t>
            </w:r>
          </w:p>
        </w:tc>
      </w:tr>
      <w:tr w:rsidR="00B54D51" w:rsidRPr="00037AD4" w14:paraId="4D0379C3" w14:textId="77777777" w:rsidTr="00401C67">
        <w:trPr>
          <w:trHeight w:val="320"/>
        </w:trPr>
        <w:tc>
          <w:tcPr>
            <w:tcW w:w="9016" w:type="dxa"/>
            <w:gridSpan w:val="7"/>
            <w:shd w:val="clear" w:color="auto" w:fill="F2F2F2" w:themeFill="background1" w:themeFillShade="F2"/>
            <w:noWrap/>
            <w:hideMark/>
          </w:tcPr>
          <w:p w14:paraId="40064EA2" w14:textId="77777777" w:rsidR="00B54D51" w:rsidRPr="00037AD4" w:rsidRDefault="00B54D51" w:rsidP="00401C67">
            <w:pPr>
              <w:rPr>
                <w:rFonts w:cstheme="minorHAnsi"/>
              </w:rPr>
            </w:pPr>
            <w:r w:rsidRPr="00037AD4">
              <w:rPr>
                <w:rFonts w:cstheme="minorHAnsi"/>
              </w:rPr>
              <w:t xml:space="preserve">PwD sex, female predict: </w:t>
            </w:r>
          </w:p>
        </w:tc>
      </w:tr>
      <w:tr w:rsidR="00B54D51" w:rsidRPr="00037AD4" w14:paraId="62C78F86" w14:textId="77777777" w:rsidTr="00401C67">
        <w:trPr>
          <w:trHeight w:val="320"/>
        </w:trPr>
        <w:tc>
          <w:tcPr>
            <w:tcW w:w="1183" w:type="dxa"/>
            <w:noWrap/>
            <w:hideMark/>
          </w:tcPr>
          <w:p w14:paraId="196310A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w:t>
            </w:r>
          </w:p>
        </w:tc>
        <w:tc>
          <w:tcPr>
            <w:tcW w:w="1913" w:type="dxa"/>
            <w:noWrap/>
            <w:hideMark/>
          </w:tcPr>
          <w:p w14:paraId="0883605E"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-.004    </w:t>
            </w:r>
          </w:p>
        </w:tc>
        <w:tc>
          <w:tcPr>
            <w:tcW w:w="1184" w:type="dxa"/>
          </w:tcPr>
          <w:p w14:paraId="3314AD5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.041</w:t>
            </w:r>
          </w:p>
        </w:tc>
        <w:tc>
          <w:tcPr>
            <w:tcW w:w="1184" w:type="dxa"/>
            <w:noWrap/>
            <w:hideMark/>
          </w:tcPr>
          <w:p w14:paraId="3B4BEA5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-0.09</w:t>
            </w:r>
          </w:p>
        </w:tc>
        <w:tc>
          <w:tcPr>
            <w:tcW w:w="1184" w:type="dxa"/>
            <w:noWrap/>
            <w:hideMark/>
          </w:tcPr>
          <w:p w14:paraId="6A698A0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0.926</w:t>
            </w:r>
          </w:p>
        </w:tc>
        <w:tc>
          <w:tcPr>
            <w:tcW w:w="1184" w:type="dxa"/>
            <w:noWrap/>
            <w:hideMark/>
          </w:tcPr>
          <w:p w14:paraId="6DE135D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-0.084</w:t>
            </w:r>
          </w:p>
        </w:tc>
        <w:tc>
          <w:tcPr>
            <w:tcW w:w="1184" w:type="dxa"/>
            <w:noWrap/>
            <w:hideMark/>
          </w:tcPr>
          <w:p w14:paraId="73DC3AC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0.076</w:t>
            </w:r>
          </w:p>
        </w:tc>
      </w:tr>
      <w:tr w:rsidR="00B54D51" w:rsidRPr="00037AD4" w14:paraId="6DE515B8" w14:textId="77777777" w:rsidTr="00401C67">
        <w:trPr>
          <w:trHeight w:val="320"/>
        </w:trPr>
        <w:tc>
          <w:tcPr>
            <w:tcW w:w="1183" w:type="dxa"/>
            <w:noWrap/>
            <w:hideMark/>
          </w:tcPr>
          <w:p w14:paraId="1CDA008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w:t>
            </w:r>
          </w:p>
        </w:tc>
        <w:tc>
          <w:tcPr>
            <w:tcW w:w="1913" w:type="dxa"/>
            <w:noWrap/>
            <w:hideMark/>
          </w:tcPr>
          <w:p w14:paraId="72538772"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.000   </w:t>
            </w:r>
          </w:p>
        </w:tc>
        <w:tc>
          <w:tcPr>
            <w:tcW w:w="1184" w:type="dxa"/>
          </w:tcPr>
          <w:p w14:paraId="09800E0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w:t>
            </w:r>
          </w:p>
        </w:tc>
        <w:tc>
          <w:tcPr>
            <w:tcW w:w="1184" w:type="dxa"/>
            <w:noWrap/>
            <w:hideMark/>
          </w:tcPr>
          <w:p w14:paraId="10A73F3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0.09</w:t>
            </w:r>
          </w:p>
        </w:tc>
        <w:tc>
          <w:tcPr>
            <w:tcW w:w="1184" w:type="dxa"/>
            <w:noWrap/>
            <w:hideMark/>
          </w:tcPr>
          <w:p w14:paraId="7B3119E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0.929</w:t>
            </w:r>
          </w:p>
        </w:tc>
        <w:tc>
          <w:tcPr>
            <w:tcW w:w="1184" w:type="dxa"/>
            <w:noWrap/>
            <w:hideMark/>
          </w:tcPr>
          <w:p w14:paraId="25BC064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-0.003</w:t>
            </w:r>
          </w:p>
        </w:tc>
        <w:tc>
          <w:tcPr>
            <w:tcW w:w="1184" w:type="dxa"/>
            <w:noWrap/>
            <w:hideMark/>
          </w:tcPr>
          <w:p w14:paraId="394A2E7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0.003</w:t>
            </w:r>
          </w:p>
        </w:tc>
      </w:tr>
      <w:tr w:rsidR="00B54D51" w:rsidRPr="00037AD4" w14:paraId="2015214C" w14:textId="77777777" w:rsidTr="00401C67">
        <w:trPr>
          <w:trHeight w:val="320"/>
        </w:trPr>
        <w:tc>
          <w:tcPr>
            <w:tcW w:w="1183" w:type="dxa"/>
            <w:noWrap/>
            <w:hideMark/>
          </w:tcPr>
          <w:p w14:paraId="087F1E2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w:t>
            </w:r>
          </w:p>
        </w:tc>
        <w:tc>
          <w:tcPr>
            <w:tcW w:w="1913" w:type="dxa"/>
            <w:noWrap/>
            <w:hideMark/>
          </w:tcPr>
          <w:p w14:paraId="0FB527DF"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.001   </w:t>
            </w:r>
          </w:p>
        </w:tc>
        <w:tc>
          <w:tcPr>
            <w:tcW w:w="1184" w:type="dxa"/>
          </w:tcPr>
          <w:p w14:paraId="33C75E1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.006</w:t>
            </w:r>
          </w:p>
        </w:tc>
        <w:tc>
          <w:tcPr>
            <w:tcW w:w="1184" w:type="dxa"/>
            <w:noWrap/>
            <w:hideMark/>
          </w:tcPr>
          <w:p w14:paraId="02718E8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0.09</w:t>
            </w:r>
          </w:p>
        </w:tc>
        <w:tc>
          <w:tcPr>
            <w:tcW w:w="1184" w:type="dxa"/>
            <w:noWrap/>
            <w:hideMark/>
          </w:tcPr>
          <w:p w14:paraId="597548F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0.926</w:t>
            </w:r>
          </w:p>
        </w:tc>
        <w:tc>
          <w:tcPr>
            <w:tcW w:w="1184" w:type="dxa"/>
            <w:noWrap/>
            <w:hideMark/>
          </w:tcPr>
          <w:p w14:paraId="037C7AC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-0.011</w:t>
            </w:r>
          </w:p>
        </w:tc>
        <w:tc>
          <w:tcPr>
            <w:tcW w:w="1184" w:type="dxa"/>
            <w:noWrap/>
            <w:hideMark/>
          </w:tcPr>
          <w:p w14:paraId="59800A3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0.012</w:t>
            </w:r>
          </w:p>
        </w:tc>
      </w:tr>
      <w:tr w:rsidR="00B54D51" w:rsidRPr="00037AD4" w14:paraId="16EF9FF2" w14:textId="77777777" w:rsidTr="00401C67">
        <w:trPr>
          <w:trHeight w:val="320"/>
        </w:trPr>
        <w:tc>
          <w:tcPr>
            <w:tcW w:w="1183" w:type="dxa"/>
            <w:noWrap/>
            <w:hideMark/>
          </w:tcPr>
          <w:p w14:paraId="65AB2C5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w:t>
            </w:r>
          </w:p>
        </w:tc>
        <w:tc>
          <w:tcPr>
            <w:tcW w:w="1913" w:type="dxa"/>
            <w:noWrap/>
            <w:hideMark/>
          </w:tcPr>
          <w:p w14:paraId="72D1B7C2"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.000 </w:t>
            </w:r>
          </w:p>
        </w:tc>
        <w:tc>
          <w:tcPr>
            <w:tcW w:w="1184" w:type="dxa"/>
          </w:tcPr>
          <w:p w14:paraId="728394B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.005</w:t>
            </w:r>
          </w:p>
        </w:tc>
        <w:tc>
          <w:tcPr>
            <w:tcW w:w="1184" w:type="dxa"/>
            <w:noWrap/>
            <w:hideMark/>
          </w:tcPr>
          <w:p w14:paraId="3CED51C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0.09</w:t>
            </w:r>
          </w:p>
        </w:tc>
        <w:tc>
          <w:tcPr>
            <w:tcW w:w="1184" w:type="dxa"/>
            <w:noWrap/>
            <w:hideMark/>
          </w:tcPr>
          <w:p w14:paraId="7768022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0.926</w:t>
            </w:r>
          </w:p>
        </w:tc>
        <w:tc>
          <w:tcPr>
            <w:tcW w:w="1184" w:type="dxa"/>
            <w:noWrap/>
            <w:hideMark/>
          </w:tcPr>
          <w:p w14:paraId="6C27ACD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-0.009</w:t>
            </w:r>
          </w:p>
        </w:tc>
        <w:tc>
          <w:tcPr>
            <w:tcW w:w="1184" w:type="dxa"/>
            <w:noWrap/>
            <w:hideMark/>
          </w:tcPr>
          <w:p w14:paraId="491DCA8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0.010</w:t>
            </w:r>
          </w:p>
        </w:tc>
      </w:tr>
      <w:tr w:rsidR="00B54D51" w:rsidRPr="00037AD4" w14:paraId="1B58B153" w14:textId="77777777" w:rsidTr="00401C67">
        <w:trPr>
          <w:trHeight w:val="320"/>
        </w:trPr>
        <w:tc>
          <w:tcPr>
            <w:tcW w:w="1183" w:type="dxa"/>
            <w:noWrap/>
            <w:hideMark/>
          </w:tcPr>
          <w:p w14:paraId="01D7C6E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5</w:t>
            </w:r>
          </w:p>
        </w:tc>
        <w:tc>
          <w:tcPr>
            <w:tcW w:w="1913" w:type="dxa"/>
            <w:noWrap/>
            <w:hideMark/>
          </w:tcPr>
          <w:p w14:paraId="4DF66A67"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.003 </w:t>
            </w:r>
          </w:p>
        </w:tc>
        <w:tc>
          <w:tcPr>
            <w:tcW w:w="1184" w:type="dxa"/>
          </w:tcPr>
          <w:p w14:paraId="015CCD2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.029</w:t>
            </w:r>
          </w:p>
        </w:tc>
        <w:tc>
          <w:tcPr>
            <w:tcW w:w="1184" w:type="dxa"/>
            <w:noWrap/>
            <w:hideMark/>
          </w:tcPr>
          <w:p w14:paraId="6036686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0.09</w:t>
            </w:r>
          </w:p>
        </w:tc>
        <w:tc>
          <w:tcPr>
            <w:tcW w:w="1184" w:type="dxa"/>
            <w:noWrap/>
            <w:hideMark/>
          </w:tcPr>
          <w:p w14:paraId="2250AD4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0.926</w:t>
            </w:r>
          </w:p>
        </w:tc>
        <w:tc>
          <w:tcPr>
            <w:tcW w:w="1184" w:type="dxa"/>
            <w:noWrap/>
            <w:hideMark/>
          </w:tcPr>
          <w:p w14:paraId="0C13A0D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-0.054</w:t>
            </w:r>
          </w:p>
        </w:tc>
        <w:tc>
          <w:tcPr>
            <w:tcW w:w="1184" w:type="dxa"/>
            <w:noWrap/>
            <w:hideMark/>
          </w:tcPr>
          <w:p w14:paraId="680ED04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0.059</w:t>
            </w:r>
          </w:p>
        </w:tc>
      </w:tr>
    </w:tbl>
    <w:p w14:paraId="349770DB" w14:textId="77777777" w:rsidR="00B54D51" w:rsidRPr="00037AD4" w:rsidRDefault="00B54D51" w:rsidP="001D7ACE">
      <w:pPr>
        <w:rPr>
          <w:u w:val="single"/>
        </w:rPr>
      </w:pPr>
    </w:p>
    <w:p w14:paraId="30D141C6" w14:textId="77777777" w:rsidR="00B54D51" w:rsidRPr="00037AD4" w:rsidRDefault="00B54D51" w:rsidP="001D7ACE">
      <w:pPr>
        <w:rPr>
          <w:rFonts w:asciiTheme="minorHAnsi" w:hAnsiTheme="minorHAnsi" w:cstheme="minorHAnsi"/>
          <w:color w:val="000000" w:themeColor="text1"/>
          <w:u w:val="single"/>
        </w:rPr>
      </w:pPr>
      <w:r w:rsidRPr="00037AD4">
        <w:rPr>
          <w:rFonts w:asciiTheme="minorHAnsi" w:hAnsiTheme="minorHAnsi" w:cstheme="minorHAnsi"/>
          <w:color w:val="000000" w:themeColor="text1"/>
          <w:u w:val="single"/>
        </w:rPr>
        <w:t xml:space="preserve">Table A6.3d, “Mobility” predictive margins for EPIC data </w:t>
      </w:r>
    </w:p>
    <w:p w14:paraId="66D515F4" w14:textId="77777777" w:rsidR="00B54D51" w:rsidRPr="00037AD4" w:rsidRDefault="00B54D51" w:rsidP="001D7ACE">
      <w:pPr>
        <w:rPr>
          <w:u w:val="single"/>
        </w:rPr>
      </w:pPr>
    </w:p>
    <w:tbl>
      <w:tblPr>
        <w:tblStyle w:val="TableGridLight"/>
        <w:tblW w:w="0" w:type="auto"/>
        <w:tblLook w:val="04A0" w:firstRow="1" w:lastRow="0" w:firstColumn="1" w:lastColumn="0" w:noHBand="0" w:noVBand="1"/>
      </w:tblPr>
      <w:tblGrid>
        <w:gridCol w:w="2343"/>
        <w:gridCol w:w="2022"/>
        <w:gridCol w:w="764"/>
        <w:gridCol w:w="885"/>
        <w:gridCol w:w="764"/>
        <w:gridCol w:w="764"/>
        <w:gridCol w:w="764"/>
      </w:tblGrid>
      <w:tr w:rsidR="00B54D51" w:rsidRPr="00037AD4" w14:paraId="1ADB5AE5" w14:textId="77777777" w:rsidTr="00401C67">
        <w:trPr>
          <w:trHeight w:val="320"/>
        </w:trPr>
        <w:tc>
          <w:tcPr>
            <w:tcW w:w="0" w:type="auto"/>
            <w:noWrap/>
            <w:hideMark/>
          </w:tcPr>
          <w:p w14:paraId="17B8275B" w14:textId="77777777" w:rsidR="00B54D51" w:rsidRPr="00037AD4" w:rsidRDefault="00B54D51" w:rsidP="00401C67">
            <w:pPr>
              <w:rPr>
                <w:sz w:val="20"/>
                <w:szCs w:val="20"/>
              </w:rPr>
            </w:pPr>
          </w:p>
        </w:tc>
        <w:tc>
          <w:tcPr>
            <w:tcW w:w="0" w:type="auto"/>
            <w:noWrap/>
            <w:hideMark/>
          </w:tcPr>
          <w:p w14:paraId="0ECA8F40" w14:textId="77777777" w:rsidR="00B54D51" w:rsidRPr="00037AD4" w:rsidRDefault="00B54D51" w:rsidP="00401C67">
            <w:pPr>
              <w:rPr>
                <w:rFonts w:ascii="Calibri" w:hAnsi="Calibri" w:cs="Calibri"/>
                <w:color w:val="000000"/>
              </w:rPr>
            </w:pPr>
            <w:r w:rsidRPr="00037AD4">
              <w:rPr>
                <w:rFonts w:ascii="Calibri" w:hAnsi="Calibri" w:cs="Calibri"/>
                <w:color w:val="000000"/>
              </w:rPr>
              <w:t>Predictive margins</w:t>
            </w:r>
          </w:p>
        </w:tc>
        <w:tc>
          <w:tcPr>
            <w:tcW w:w="0" w:type="auto"/>
            <w:noWrap/>
            <w:hideMark/>
          </w:tcPr>
          <w:p w14:paraId="0BE63EC7" w14:textId="77777777" w:rsidR="00B54D51" w:rsidRPr="00037AD4" w:rsidRDefault="00B54D51" w:rsidP="00401C67">
            <w:pPr>
              <w:rPr>
                <w:rFonts w:ascii="Calibri" w:hAnsi="Calibri" w:cs="Calibri"/>
                <w:color w:val="000000"/>
              </w:rPr>
            </w:pPr>
            <w:r w:rsidRPr="00037AD4">
              <w:rPr>
                <w:rFonts w:ascii="Calibri" w:hAnsi="Calibri" w:cs="Calibri"/>
                <w:color w:val="000000"/>
              </w:rPr>
              <w:t>SE</w:t>
            </w:r>
          </w:p>
        </w:tc>
        <w:tc>
          <w:tcPr>
            <w:tcW w:w="0" w:type="auto"/>
            <w:noWrap/>
            <w:hideMark/>
          </w:tcPr>
          <w:p w14:paraId="1B03186F" w14:textId="77777777" w:rsidR="00B54D51" w:rsidRPr="00037AD4" w:rsidRDefault="00B54D51" w:rsidP="00401C67">
            <w:pPr>
              <w:rPr>
                <w:rFonts w:ascii="Calibri" w:hAnsi="Calibri" w:cs="Calibri"/>
                <w:color w:val="000000"/>
              </w:rPr>
            </w:pPr>
            <w:r w:rsidRPr="00037AD4">
              <w:rPr>
                <w:rFonts w:ascii="Calibri" w:hAnsi="Calibri" w:cs="Calibri"/>
                <w:color w:val="000000"/>
              </w:rPr>
              <w:t>z</w:t>
            </w:r>
          </w:p>
        </w:tc>
        <w:tc>
          <w:tcPr>
            <w:tcW w:w="0" w:type="auto"/>
            <w:noWrap/>
            <w:hideMark/>
          </w:tcPr>
          <w:p w14:paraId="60CD2061" w14:textId="77777777" w:rsidR="00B54D51" w:rsidRPr="00037AD4" w:rsidRDefault="00B54D51" w:rsidP="00401C67">
            <w:pPr>
              <w:rPr>
                <w:rFonts w:ascii="Calibri" w:hAnsi="Calibri" w:cs="Calibri"/>
                <w:color w:val="000000"/>
              </w:rPr>
            </w:pPr>
            <w:r w:rsidRPr="00037AD4">
              <w:rPr>
                <w:rFonts w:ascii="Calibri" w:hAnsi="Calibri" w:cs="Calibri"/>
                <w:color w:val="000000"/>
              </w:rPr>
              <w:t>P&gt;z</w:t>
            </w:r>
          </w:p>
        </w:tc>
        <w:tc>
          <w:tcPr>
            <w:tcW w:w="0" w:type="auto"/>
            <w:gridSpan w:val="2"/>
            <w:noWrap/>
            <w:hideMark/>
          </w:tcPr>
          <w:p w14:paraId="38602313" w14:textId="77777777" w:rsidR="00B54D51" w:rsidRPr="00037AD4" w:rsidRDefault="00B54D51" w:rsidP="00401C67">
            <w:pPr>
              <w:rPr>
                <w:rFonts w:ascii="Calibri" w:hAnsi="Calibri" w:cs="Calibri"/>
                <w:color w:val="000000"/>
              </w:rPr>
            </w:pPr>
            <w:r w:rsidRPr="00037AD4">
              <w:rPr>
                <w:rFonts w:ascii="Calibri" w:hAnsi="Calibri" w:cs="Calibri"/>
                <w:color w:val="000000"/>
              </w:rPr>
              <w:t>[95% conf.</w:t>
            </w:r>
          </w:p>
          <w:p w14:paraId="5B2E50B7" w14:textId="77777777" w:rsidR="00B54D51" w:rsidRPr="00037AD4" w:rsidRDefault="00B54D51" w:rsidP="00401C67">
            <w:pPr>
              <w:rPr>
                <w:rFonts w:ascii="Calibri" w:hAnsi="Calibri" w:cs="Calibri"/>
                <w:color w:val="000000"/>
              </w:rPr>
            </w:pPr>
            <w:r w:rsidRPr="00037AD4">
              <w:rPr>
                <w:rFonts w:ascii="Calibri" w:hAnsi="Calibri" w:cs="Calibri"/>
                <w:color w:val="000000"/>
              </w:rPr>
              <w:t>interval]</w:t>
            </w:r>
          </w:p>
        </w:tc>
      </w:tr>
      <w:tr w:rsidR="00B54D51" w:rsidRPr="00037AD4" w14:paraId="22BB1897" w14:textId="77777777" w:rsidTr="00401C67">
        <w:trPr>
          <w:trHeight w:val="320"/>
        </w:trPr>
        <w:tc>
          <w:tcPr>
            <w:tcW w:w="0" w:type="auto"/>
            <w:gridSpan w:val="7"/>
            <w:shd w:val="clear" w:color="auto" w:fill="E7E6E6" w:themeFill="background2"/>
            <w:noWrap/>
          </w:tcPr>
          <w:p w14:paraId="6C3AB192" w14:textId="77777777" w:rsidR="00B54D51" w:rsidRPr="00037AD4" w:rsidRDefault="00B54D51" w:rsidP="00401C67">
            <w:pPr>
              <w:rPr>
                <w:rFonts w:ascii="Calibri" w:hAnsi="Calibri" w:cs="Calibri"/>
                <w:color w:val="000000"/>
              </w:rPr>
            </w:pPr>
            <w:r w:rsidRPr="00037AD4">
              <w:rPr>
                <w:rFonts w:cstheme="minorHAnsi"/>
              </w:rPr>
              <w:t>Predicted Probability of proxy 'Mobility' by PwD 'Mobility' Level Reports</w:t>
            </w:r>
          </w:p>
        </w:tc>
      </w:tr>
      <w:tr w:rsidR="00B54D51" w:rsidRPr="00037AD4" w14:paraId="04B9D6E6" w14:textId="77777777" w:rsidTr="00401C67">
        <w:trPr>
          <w:trHeight w:val="320"/>
        </w:trPr>
        <w:tc>
          <w:tcPr>
            <w:tcW w:w="0" w:type="auto"/>
            <w:gridSpan w:val="7"/>
            <w:shd w:val="clear" w:color="auto" w:fill="E7E6E6" w:themeFill="background2"/>
            <w:noWrap/>
          </w:tcPr>
          <w:p w14:paraId="7EAB17B8" w14:textId="77777777" w:rsidR="00B54D51" w:rsidRPr="00037AD4" w:rsidRDefault="00B54D51" w:rsidP="00401C67">
            <w:pPr>
              <w:rPr>
                <w:rFonts w:cstheme="minorHAnsi"/>
              </w:rPr>
            </w:pPr>
            <w:r w:rsidRPr="00037AD4">
              <w:rPr>
                <w:rFonts w:cstheme="minorHAnsi"/>
              </w:rPr>
              <w:t xml:space="preserve">Predicted proxy: level one </w:t>
            </w:r>
          </w:p>
        </w:tc>
      </w:tr>
      <w:tr w:rsidR="00B54D51" w:rsidRPr="00037AD4" w14:paraId="2BFD945D" w14:textId="77777777" w:rsidTr="00401C67">
        <w:trPr>
          <w:trHeight w:val="320"/>
        </w:trPr>
        <w:tc>
          <w:tcPr>
            <w:tcW w:w="0" w:type="auto"/>
            <w:noWrap/>
            <w:hideMark/>
          </w:tcPr>
          <w:p w14:paraId="6875DC24" w14:textId="77777777" w:rsidR="00B54D51" w:rsidRPr="00037AD4" w:rsidRDefault="00B54D51" w:rsidP="00401C67">
            <w:pPr>
              <w:rPr>
                <w:rFonts w:ascii="Calibri" w:hAnsi="Calibri" w:cs="Calibri"/>
                <w:color w:val="000000"/>
              </w:rPr>
            </w:pPr>
            <w:r w:rsidRPr="00037AD4">
              <w:rPr>
                <w:rFonts w:cstheme="minorHAnsi"/>
              </w:rPr>
              <w:t xml:space="preserve">From level one PwD </w:t>
            </w:r>
          </w:p>
        </w:tc>
        <w:tc>
          <w:tcPr>
            <w:tcW w:w="0" w:type="auto"/>
            <w:noWrap/>
            <w:hideMark/>
          </w:tcPr>
          <w:p w14:paraId="0C8B3FD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0.494</w:t>
            </w:r>
          </w:p>
        </w:tc>
        <w:tc>
          <w:tcPr>
            <w:tcW w:w="0" w:type="auto"/>
            <w:noWrap/>
            <w:hideMark/>
          </w:tcPr>
          <w:p w14:paraId="551C46F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0.024</w:t>
            </w:r>
          </w:p>
        </w:tc>
        <w:tc>
          <w:tcPr>
            <w:tcW w:w="0" w:type="auto"/>
            <w:noWrap/>
            <w:hideMark/>
          </w:tcPr>
          <w:p w14:paraId="38DB25E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20.300</w:t>
            </w:r>
          </w:p>
        </w:tc>
        <w:tc>
          <w:tcPr>
            <w:tcW w:w="0" w:type="auto"/>
            <w:noWrap/>
            <w:hideMark/>
          </w:tcPr>
          <w:p w14:paraId="4A4912C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70619D8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0.446</w:t>
            </w:r>
          </w:p>
        </w:tc>
        <w:tc>
          <w:tcPr>
            <w:tcW w:w="0" w:type="auto"/>
            <w:noWrap/>
            <w:hideMark/>
          </w:tcPr>
          <w:p w14:paraId="6BE42F7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0.542</w:t>
            </w:r>
          </w:p>
        </w:tc>
      </w:tr>
      <w:tr w:rsidR="00B54D51" w:rsidRPr="00037AD4" w14:paraId="18571DFF" w14:textId="77777777" w:rsidTr="00401C67">
        <w:trPr>
          <w:trHeight w:val="320"/>
        </w:trPr>
        <w:tc>
          <w:tcPr>
            <w:tcW w:w="0" w:type="auto"/>
            <w:noWrap/>
            <w:hideMark/>
          </w:tcPr>
          <w:p w14:paraId="3A318D2D" w14:textId="77777777" w:rsidR="00B54D51" w:rsidRPr="00037AD4" w:rsidRDefault="00B54D51" w:rsidP="00401C67">
            <w:pPr>
              <w:rPr>
                <w:rFonts w:ascii="Calibri" w:hAnsi="Calibri" w:cs="Calibri"/>
                <w:color w:val="000000"/>
              </w:rPr>
            </w:pPr>
            <w:r w:rsidRPr="00037AD4">
              <w:rPr>
                <w:rFonts w:cstheme="minorHAnsi"/>
              </w:rPr>
              <w:t xml:space="preserve">From level two PwD </w:t>
            </w:r>
          </w:p>
        </w:tc>
        <w:tc>
          <w:tcPr>
            <w:tcW w:w="0" w:type="auto"/>
            <w:noWrap/>
            <w:hideMark/>
          </w:tcPr>
          <w:p w14:paraId="1A01C59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0.420</w:t>
            </w:r>
          </w:p>
        </w:tc>
        <w:tc>
          <w:tcPr>
            <w:tcW w:w="0" w:type="auto"/>
            <w:noWrap/>
            <w:hideMark/>
          </w:tcPr>
          <w:p w14:paraId="5105642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0.037</w:t>
            </w:r>
          </w:p>
        </w:tc>
        <w:tc>
          <w:tcPr>
            <w:tcW w:w="0" w:type="auto"/>
            <w:noWrap/>
            <w:hideMark/>
          </w:tcPr>
          <w:p w14:paraId="56E01E8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11.440</w:t>
            </w:r>
          </w:p>
        </w:tc>
        <w:tc>
          <w:tcPr>
            <w:tcW w:w="0" w:type="auto"/>
            <w:noWrap/>
            <w:hideMark/>
          </w:tcPr>
          <w:p w14:paraId="6EFF421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519800B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0.348</w:t>
            </w:r>
          </w:p>
        </w:tc>
        <w:tc>
          <w:tcPr>
            <w:tcW w:w="0" w:type="auto"/>
            <w:noWrap/>
            <w:hideMark/>
          </w:tcPr>
          <w:p w14:paraId="4F5F5BF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0.492</w:t>
            </w:r>
          </w:p>
        </w:tc>
      </w:tr>
      <w:tr w:rsidR="00B54D51" w:rsidRPr="00037AD4" w14:paraId="793CEBA1" w14:textId="77777777" w:rsidTr="00401C67">
        <w:trPr>
          <w:trHeight w:val="320"/>
        </w:trPr>
        <w:tc>
          <w:tcPr>
            <w:tcW w:w="0" w:type="auto"/>
            <w:noWrap/>
            <w:hideMark/>
          </w:tcPr>
          <w:p w14:paraId="61267343" w14:textId="77777777" w:rsidR="00B54D51" w:rsidRPr="00037AD4" w:rsidRDefault="00B54D51" w:rsidP="00401C67">
            <w:pPr>
              <w:rPr>
                <w:rFonts w:ascii="Calibri" w:hAnsi="Calibri" w:cs="Calibri"/>
                <w:color w:val="000000"/>
              </w:rPr>
            </w:pPr>
            <w:r w:rsidRPr="00037AD4">
              <w:rPr>
                <w:rFonts w:cstheme="minorHAnsi"/>
              </w:rPr>
              <w:t xml:space="preserve">From level three PwD </w:t>
            </w:r>
          </w:p>
        </w:tc>
        <w:tc>
          <w:tcPr>
            <w:tcW w:w="0" w:type="auto"/>
            <w:noWrap/>
            <w:hideMark/>
          </w:tcPr>
          <w:p w14:paraId="1B20B0F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0.369</w:t>
            </w:r>
          </w:p>
        </w:tc>
        <w:tc>
          <w:tcPr>
            <w:tcW w:w="0" w:type="auto"/>
            <w:noWrap/>
            <w:hideMark/>
          </w:tcPr>
          <w:p w14:paraId="50312B6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0.043</w:t>
            </w:r>
          </w:p>
        </w:tc>
        <w:tc>
          <w:tcPr>
            <w:tcW w:w="0" w:type="auto"/>
            <w:noWrap/>
            <w:hideMark/>
          </w:tcPr>
          <w:p w14:paraId="095BC39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8.650</w:t>
            </w:r>
          </w:p>
        </w:tc>
        <w:tc>
          <w:tcPr>
            <w:tcW w:w="0" w:type="auto"/>
            <w:noWrap/>
            <w:hideMark/>
          </w:tcPr>
          <w:p w14:paraId="206AA31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360058A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0.285</w:t>
            </w:r>
          </w:p>
        </w:tc>
        <w:tc>
          <w:tcPr>
            <w:tcW w:w="0" w:type="auto"/>
            <w:noWrap/>
            <w:hideMark/>
          </w:tcPr>
          <w:p w14:paraId="4656566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0.453</w:t>
            </w:r>
          </w:p>
        </w:tc>
      </w:tr>
      <w:tr w:rsidR="00B54D51" w:rsidRPr="00037AD4" w14:paraId="6D2EDAFE" w14:textId="77777777" w:rsidTr="00401C67">
        <w:trPr>
          <w:trHeight w:val="320"/>
        </w:trPr>
        <w:tc>
          <w:tcPr>
            <w:tcW w:w="0" w:type="auto"/>
            <w:noWrap/>
            <w:hideMark/>
          </w:tcPr>
          <w:p w14:paraId="31286D42" w14:textId="77777777" w:rsidR="00B54D51" w:rsidRPr="00037AD4" w:rsidRDefault="00B54D51" w:rsidP="00401C67">
            <w:pPr>
              <w:rPr>
                <w:rFonts w:ascii="Calibri" w:hAnsi="Calibri" w:cs="Calibri"/>
                <w:color w:val="000000"/>
              </w:rPr>
            </w:pPr>
            <w:r w:rsidRPr="00037AD4">
              <w:rPr>
                <w:rFonts w:cstheme="minorHAnsi"/>
              </w:rPr>
              <w:t xml:space="preserve">From level four PwD </w:t>
            </w:r>
          </w:p>
        </w:tc>
        <w:tc>
          <w:tcPr>
            <w:tcW w:w="0" w:type="auto"/>
            <w:noWrap/>
            <w:hideMark/>
          </w:tcPr>
          <w:p w14:paraId="76F45AD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0.122</w:t>
            </w:r>
          </w:p>
        </w:tc>
        <w:tc>
          <w:tcPr>
            <w:tcW w:w="0" w:type="auto"/>
            <w:noWrap/>
            <w:hideMark/>
          </w:tcPr>
          <w:p w14:paraId="174E9A9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0.033</w:t>
            </w:r>
          </w:p>
        </w:tc>
        <w:tc>
          <w:tcPr>
            <w:tcW w:w="0" w:type="auto"/>
            <w:noWrap/>
            <w:hideMark/>
          </w:tcPr>
          <w:p w14:paraId="3D8E5A1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3.660</w:t>
            </w:r>
          </w:p>
        </w:tc>
        <w:tc>
          <w:tcPr>
            <w:tcW w:w="0" w:type="auto"/>
            <w:noWrap/>
            <w:hideMark/>
          </w:tcPr>
          <w:p w14:paraId="192220A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4D4AB44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0.056</w:t>
            </w:r>
          </w:p>
        </w:tc>
        <w:tc>
          <w:tcPr>
            <w:tcW w:w="0" w:type="auto"/>
            <w:noWrap/>
            <w:hideMark/>
          </w:tcPr>
          <w:p w14:paraId="45F1ED7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0.187</w:t>
            </w:r>
          </w:p>
        </w:tc>
      </w:tr>
      <w:tr w:rsidR="00B54D51" w:rsidRPr="00037AD4" w14:paraId="002A1FBA" w14:textId="77777777" w:rsidTr="00401C67">
        <w:trPr>
          <w:trHeight w:val="320"/>
        </w:trPr>
        <w:tc>
          <w:tcPr>
            <w:tcW w:w="0" w:type="auto"/>
            <w:noWrap/>
            <w:hideMark/>
          </w:tcPr>
          <w:p w14:paraId="39944566" w14:textId="77777777" w:rsidR="00B54D51" w:rsidRPr="00037AD4" w:rsidRDefault="00B54D51" w:rsidP="00401C67">
            <w:pPr>
              <w:rPr>
                <w:rFonts w:ascii="Calibri" w:hAnsi="Calibri" w:cs="Calibri"/>
                <w:color w:val="000000"/>
              </w:rPr>
            </w:pPr>
            <w:r w:rsidRPr="00037AD4">
              <w:rPr>
                <w:rFonts w:cstheme="minorHAnsi"/>
              </w:rPr>
              <w:t xml:space="preserve">From level five PwD </w:t>
            </w:r>
          </w:p>
        </w:tc>
        <w:tc>
          <w:tcPr>
            <w:tcW w:w="0" w:type="auto"/>
            <w:noWrap/>
            <w:hideMark/>
          </w:tcPr>
          <w:p w14:paraId="08372F1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0.037</w:t>
            </w:r>
          </w:p>
        </w:tc>
        <w:tc>
          <w:tcPr>
            <w:tcW w:w="0" w:type="auto"/>
            <w:noWrap/>
            <w:hideMark/>
          </w:tcPr>
          <w:p w14:paraId="4816B22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0.014</w:t>
            </w:r>
          </w:p>
        </w:tc>
        <w:tc>
          <w:tcPr>
            <w:tcW w:w="0" w:type="auto"/>
            <w:noWrap/>
            <w:hideMark/>
          </w:tcPr>
          <w:p w14:paraId="29BCE3A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2.650</w:t>
            </w:r>
          </w:p>
        </w:tc>
        <w:tc>
          <w:tcPr>
            <w:tcW w:w="0" w:type="auto"/>
            <w:noWrap/>
            <w:hideMark/>
          </w:tcPr>
          <w:p w14:paraId="4E771A1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0.008</w:t>
            </w:r>
          </w:p>
        </w:tc>
        <w:tc>
          <w:tcPr>
            <w:tcW w:w="0" w:type="auto"/>
            <w:noWrap/>
            <w:hideMark/>
          </w:tcPr>
          <w:p w14:paraId="4A30F80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0.010</w:t>
            </w:r>
          </w:p>
        </w:tc>
        <w:tc>
          <w:tcPr>
            <w:tcW w:w="0" w:type="auto"/>
            <w:noWrap/>
            <w:hideMark/>
          </w:tcPr>
          <w:p w14:paraId="53A871F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0.065</w:t>
            </w:r>
          </w:p>
        </w:tc>
      </w:tr>
      <w:tr w:rsidR="00B54D51" w:rsidRPr="00037AD4" w14:paraId="5AEF2C62" w14:textId="77777777" w:rsidTr="00401C67">
        <w:trPr>
          <w:trHeight w:val="320"/>
        </w:trPr>
        <w:tc>
          <w:tcPr>
            <w:tcW w:w="0" w:type="auto"/>
            <w:gridSpan w:val="7"/>
            <w:shd w:val="clear" w:color="auto" w:fill="E7E6E6" w:themeFill="background2"/>
            <w:noWrap/>
          </w:tcPr>
          <w:p w14:paraId="6B0FDF1C" w14:textId="77777777" w:rsidR="00B54D51" w:rsidRPr="00037AD4" w:rsidRDefault="00B54D51" w:rsidP="00401C67">
            <w:pPr>
              <w:rPr>
                <w:rFonts w:ascii="Calibri" w:hAnsi="Calibri" w:cs="Calibri"/>
                <w:color w:val="000000"/>
              </w:rPr>
            </w:pPr>
            <w:r w:rsidRPr="00037AD4">
              <w:rPr>
                <w:rFonts w:cstheme="minorHAnsi"/>
              </w:rPr>
              <w:t>Predicted proxy: level two</w:t>
            </w:r>
          </w:p>
        </w:tc>
      </w:tr>
      <w:tr w:rsidR="00B54D51" w:rsidRPr="00037AD4" w14:paraId="4D2FBBF6" w14:textId="77777777" w:rsidTr="00401C67">
        <w:trPr>
          <w:trHeight w:val="320"/>
        </w:trPr>
        <w:tc>
          <w:tcPr>
            <w:tcW w:w="0" w:type="auto"/>
            <w:noWrap/>
            <w:hideMark/>
          </w:tcPr>
          <w:p w14:paraId="24869387" w14:textId="77777777" w:rsidR="00B54D51" w:rsidRPr="00037AD4" w:rsidRDefault="00B54D51" w:rsidP="00401C67">
            <w:pPr>
              <w:rPr>
                <w:rFonts w:ascii="Calibri" w:hAnsi="Calibri" w:cs="Calibri"/>
                <w:color w:val="000000"/>
              </w:rPr>
            </w:pPr>
            <w:r w:rsidRPr="00037AD4">
              <w:rPr>
                <w:rFonts w:cstheme="minorHAnsi"/>
              </w:rPr>
              <w:t xml:space="preserve">From level one PwD </w:t>
            </w:r>
          </w:p>
        </w:tc>
        <w:tc>
          <w:tcPr>
            <w:tcW w:w="0" w:type="auto"/>
            <w:noWrap/>
            <w:hideMark/>
          </w:tcPr>
          <w:p w14:paraId="59D6796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0.199</w:t>
            </w:r>
          </w:p>
        </w:tc>
        <w:tc>
          <w:tcPr>
            <w:tcW w:w="0" w:type="auto"/>
            <w:noWrap/>
            <w:hideMark/>
          </w:tcPr>
          <w:p w14:paraId="13FC830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0.016</w:t>
            </w:r>
          </w:p>
        </w:tc>
        <w:tc>
          <w:tcPr>
            <w:tcW w:w="0" w:type="auto"/>
            <w:noWrap/>
            <w:hideMark/>
          </w:tcPr>
          <w:p w14:paraId="593C04E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12.510</w:t>
            </w:r>
          </w:p>
        </w:tc>
        <w:tc>
          <w:tcPr>
            <w:tcW w:w="0" w:type="auto"/>
            <w:noWrap/>
            <w:hideMark/>
          </w:tcPr>
          <w:p w14:paraId="6E95E05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06CB9D0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0.167</w:t>
            </w:r>
          </w:p>
        </w:tc>
        <w:tc>
          <w:tcPr>
            <w:tcW w:w="0" w:type="auto"/>
            <w:noWrap/>
            <w:hideMark/>
          </w:tcPr>
          <w:p w14:paraId="4C53FD7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0.230</w:t>
            </w:r>
          </w:p>
        </w:tc>
      </w:tr>
      <w:tr w:rsidR="00B54D51" w:rsidRPr="00037AD4" w14:paraId="31A2FACC" w14:textId="77777777" w:rsidTr="00401C67">
        <w:trPr>
          <w:trHeight w:val="320"/>
        </w:trPr>
        <w:tc>
          <w:tcPr>
            <w:tcW w:w="0" w:type="auto"/>
            <w:noWrap/>
            <w:hideMark/>
          </w:tcPr>
          <w:p w14:paraId="3B4A9E44" w14:textId="77777777" w:rsidR="00B54D51" w:rsidRPr="00037AD4" w:rsidRDefault="00B54D51" w:rsidP="00401C67">
            <w:pPr>
              <w:rPr>
                <w:rFonts w:ascii="Calibri" w:hAnsi="Calibri" w:cs="Calibri"/>
                <w:color w:val="000000"/>
              </w:rPr>
            </w:pPr>
            <w:r w:rsidRPr="00037AD4">
              <w:rPr>
                <w:rFonts w:cstheme="minorHAnsi"/>
              </w:rPr>
              <w:t xml:space="preserve">From level two PwD </w:t>
            </w:r>
          </w:p>
        </w:tc>
        <w:tc>
          <w:tcPr>
            <w:tcW w:w="0" w:type="auto"/>
            <w:noWrap/>
            <w:hideMark/>
          </w:tcPr>
          <w:p w14:paraId="38A65EA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0.204</w:t>
            </w:r>
          </w:p>
        </w:tc>
        <w:tc>
          <w:tcPr>
            <w:tcW w:w="0" w:type="auto"/>
            <w:noWrap/>
            <w:hideMark/>
          </w:tcPr>
          <w:p w14:paraId="6189551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0.016</w:t>
            </w:r>
          </w:p>
        </w:tc>
        <w:tc>
          <w:tcPr>
            <w:tcW w:w="0" w:type="auto"/>
            <w:noWrap/>
            <w:hideMark/>
          </w:tcPr>
          <w:p w14:paraId="6C91AD2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12.570</w:t>
            </w:r>
          </w:p>
        </w:tc>
        <w:tc>
          <w:tcPr>
            <w:tcW w:w="0" w:type="auto"/>
            <w:noWrap/>
            <w:hideMark/>
          </w:tcPr>
          <w:p w14:paraId="2BAC25D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06350C1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0.172</w:t>
            </w:r>
          </w:p>
        </w:tc>
        <w:tc>
          <w:tcPr>
            <w:tcW w:w="0" w:type="auto"/>
            <w:noWrap/>
            <w:hideMark/>
          </w:tcPr>
          <w:p w14:paraId="3C1CA2E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0.235</w:t>
            </w:r>
          </w:p>
        </w:tc>
      </w:tr>
      <w:tr w:rsidR="00B54D51" w:rsidRPr="00037AD4" w14:paraId="3736F756" w14:textId="77777777" w:rsidTr="00401C67">
        <w:trPr>
          <w:trHeight w:val="320"/>
        </w:trPr>
        <w:tc>
          <w:tcPr>
            <w:tcW w:w="0" w:type="auto"/>
            <w:noWrap/>
            <w:hideMark/>
          </w:tcPr>
          <w:p w14:paraId="547C2D63" w14:textId="77777777" w:rsidR="00B54D51" w:rsidRPr="00037AD4" w:rsidRDefault="00B54D51" w:rsidP="00401C67">
            <w:pPr>
              <w:rPr>
                <w:rFonts w:ascii="Calibri" w:hAnsi="Calibri" w:cs="Calibri"/>
                <w:color w:val="000000"/>
              </w:rPr>
            </w:pPr>
            <w:r w:rsidRPr="00037AD4">
              <w:rPr>
                <w:rFonts w:cstheme="minorHAnsi"/>
              </w:rPr>
              <w:t xml:space="preserve">From level three PwD </w:t>
            </w:r>
          </w:p>
        </w:tc>
        <w:tc>
          <w:tcPr>
            <w:tcW w:w="0" w:type="auto"/>
            <w:noWrap/>
            <w:hideMark/>
          </w:tcPr>
          <w:p w14:paraId="3AE6218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0.203</w:t>
            </w:r>
          </w:p>
        </w:tc>
        <w:tc>
          <w:tcPr>
            <w:tcW w:w="0" w:type="auto"/>
            <w:noWrap/>
            <w:hideMark/>
          </w:tcPr>
          <w:p w14:paraId="29A12DD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0.016</w:t>
            </w:r>
          </w:p>
        </w:tc>
        <w:tc>
          <w:tcPr>
            <w:tcW w:w="0" w:type="auto"/>
            <w:noWrap/>
            <w:hideMark/>
          </w:tcPr>
          <w:p w14:paraId="27680C8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12.490</w:t>
            </w:r>
          </w:p>
        </w:tc>
        <w:tc>
          <w:tcPr>
            <w:tcW w:w="0" w:type="auto"/>
            <w:noWrap/>
            <w:hideMark/>
          </w:tcPr>
          <w:p w14:paraId="5DB5BA8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1FC200A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0.171</w:t>
            </w:r>
          </w:p>
        </w:tc>
        <w:tc>
          <w:tcPr>
            <w:tcW w:w="0" w:type="auto"/>
            <w:noWrap/>
            <w:hideMark/>
          </w:tcPr>
          <w:p w14:paraId="709FA2D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0.235</w:t>
            </w:r>
          </w:p>
        </w:tc>
      </w:tr>
      <w:tr w:rsidR="00B54D51" w:rsidRPr="00037AD4" w14:paraId="1CA44D2F" w14:textId="77777777" w:rsidTr="00401C67">
        <w:trPr>
          <w:trHeight w:val="320"/>
        </w:trPr>
        <w:tc>
          <w:tcPr>
            <w:tcW w:w="0" w:type="auto"/>
            <w:noWrap/>
            <w:hideMark/>
          </w:tcPr>
          <w:p w14:paraId="52BB6101" w14:textId="77777777" w:rsidR="00B54D51" w:rsidRPr="00037AD4" w:rsidRDefault="00B54D51" w:rsidP="00401C67">
            <w:pPr>
              <w:rPr>
                <w:rFonts w:ascii="Calibri" w:hAnsi="Calibri" w:cs="Calibri"/>
                <w:color w:val="000000"/>
              </w:rPr>
            </w:pPr>
            <w:r w:rsidRPr="00037AD4">
              <w:rPr>
                <w:rFonts w:cstheme="minorHAnsi"/>
              </w:rPr>
              <w:t xml:space="preserve">From level four PwD </w:t>
            </w:r>
          </w:p>
        </w:tc>
        <w:tc>
          <w:tcPr>
            <w:tcW w:w="0" w:type="auto"/>
            <w:noWrap/>
            <w:hideMark/>
          </w:tcPr>
          <w:p w14:paraId="7985372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0.134</w:t>
            </w:r>
          </w:p>
        </w:tc>
        <w:tc>
          <w:tcPr>
            <w:tcW w:w="0" w:type="auto"/>
            <w:noWrap/>
            <w:hideMark/>
          </w:tcPr>
          <w:p w14:paraId="06A0F00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0.023</w:t>
            </w:r>
          </w:p>
        </w:tc>
        <w:tc>
          <w:tcPr>
            <w:tcW w:w="0" w:type="auto"/>
            <w:noWrap/>
            <w:hideMark/>
          </w:tcPr>
          <w:p w14:paraId="67257DA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5.910</w:t>
            </w:r>
          </w:p>
        </w:tc>
        <w:tc>
          <w:tcPr>
            <w:tcW w:w="0" w:type="auto"/>
            <w:noWrap/>
            <w:hideMark/>
          </w:tcPr>
          <w:p w14:paraId="24518D1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679D772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0.090</w:t>
            </w:r>
          </w:p>
        </w:tc>
        <w:tc>
          <w:tcPr>
            <w:tcW w:w="0" w:type="auto"/>
            <w:noWrap/>
            <w:hideMark/>
          </w:tcPr>
          <w:p w14:paraId="1EF0F2E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0.179</w:t>
            </w:r>
          </w:p>
        </w:tc>
      </w:tr>
      <w:tr w:rsidR="00B54D51" w:rsidRPr="00037AD4" w14:paraId="49E55836" w14:textId="77777777" w:rsidTr="00401C67">
        <w:trPr>
          <w:trHeight w:val="320"/>
        </w:trPr>
        <w:tc>
          <w:tcPr>
            <w:tcW w:w="0" w:type="auto"/>
            <w:noWrap/>
            <w:hideMark/>
          </w:tcPr>
          <w:p w14:paraId="6631CACE" w14:textId="77777777" w:rsidR="00B54D51" w:rsidRPr="00037AD4" w:rsidRDefault="00B54D51" w:rsidP="00401C67">
            <w:pPr>
              <w:rPr>
                <w:rFonts w:ascii="Calibri" w:hAnsi="Calibri" w:cs="Calibri"/>
                <w:color w:val="000000"/>
              </w:rPr>
            </w:pPr>
            <w:r w:rsidRPr="00037AD4">
              <w:rPr>
                <w:rFonts w:cstheme="minorHAnsi"/>
              </w:rPr>
              <w:t xml:space="preserve">From level five PwD </w:t>
            </w:r>
          </w:p>
        </w:tc>
        <w:tc>
          <w:tcPr>
            <w:tcW w:w="0" w:type="auto"/>
            <w:noWrap/>
            <w:hideMark/>
          </w:tcPr>
          <w:p w14:paraId="1F3E2CA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0.063</w:t>
            </w:r>
          </w:p>
        </w:tc>
        <w:tc>
          <w:tcPr>
            <w:tcW w:w="0" w:type="auto"/>
            <w:noWrap/>
            <w:hideMark/>
          </w:tcPr>
          <w:p w14:paraId="2F44117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0.017</w:t>
            </w:r>
          </w:p>
        </w:tc>
        <w:tc>
          <w:tcPr>
            <w:tcW w:w="0" w:type="auto"/>
            <w:noWrap/>
            <w:hideMark/>
          </w:tcPr>
          <w:p w14:paraId="615F7D7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3.670</w:t>
            </w:r>
          </w:p>
        </w:tc>
        <w:tc>
          <w:tcPr>
            <w:tcW w:w="0" w:type="auto"/>
            <w:noWrap/>
            <w:hideMark/>
          </w:tcPr>
          <w:p w14:paraId="275D19A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39AD997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0.029</w:t>
            </w:r>
          </w:p>
        </w:tc>
        <w:tc>
          <w:tcPr>
            <w:tcW w:w="0" w:type="auto"/>
            <w:noWrap/>
            <w:hideMark/>
          </w:tcPr>
          <w:p w14:paraId="53E66CB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0.097</w:t>
            </w:r>
          </w:p>
        </w:tc>
      </w:tr>
      <w:tr w:rsidR="00B54D51" w:rsidRPr="00037AD4" w14:paraId="0AD7F2B5" w14:textId="77777777" w:rsidTr="00401C67">
        <w:trPr>
          <w:trHeight w:val="320"/>
        </w:trPr>
        <w:tc>
          <w:tcPr>
            <w:tcW w:w="0" w:type="auto"/>
            <w:gridSpan w:val="7"/>
            <w:shd w:val="clear" w:color="auto" w:fill="E7E6E6" w:themeFill="background2"/>
            <w:noWrap/>
          </w:tcPr>
          <w:p w14:paraId="7E75DE23" w14:textId="77777777" w:rsidR="00B54D51" w:rsidRPr="00037AD4" w:rsidRDefault="00B54D51" w:rsidP="00401C67">
            <w:pPr>
              <w:rPr>
                <w:rFonts w:ascii="Calibri" w:hAnsi="Calibri" w:cs="Calibri"/>
                <w:color w:val="000000"/>
              </w:rPr>
            </w:pPr>
            <w:r w:rsidRPr="00037AD4">
              <w:rPr>
                <w:rFonts w:cstheme="minorHAnsi"/>
              </w:rPr>
              <w:t>Predicted proxy: level three</w:t>
            </w:r>
          </w:p>
        </w:tc>
      </w:tr>
      <w:tr w:rsidR="00B54D51" w:rsidRPr="00037AD4" w14:paraId="417FDBF1" w14:textId="77777777" w:rsidTr="00401C67">
        <w:trPr>
          <w:trHeight w:val="320"/>
        </w:trPr>
        <w:tc>
          <w:tcPr>
            <w:tcW w:w="0" w:type="auto"/>
            <w:noWrap/>
            <w:hideMark/>
          </w:tcPr>
          <w:p w14:paraId="1986C553" w14:textId="77777777" w:rsidR="00B54D51" w:rsidRPr="00037AD4" w:rsidRDefault="00B54D51" w:rsidP="00401C67">
            <w:pPr>
              <w:rPr>
                <w:rFonts w:ascii="Calibri" w:hAnsi="Calibri" w:cs="Calibri"/>
                <w:color w:val="000000"/>
              </w:rPr>
            </w:pPr>
            <w:r w:rsidRPr="00037AD4">
              <w:rPr>
                <w:rFonts w:cstheme="minorHAnsi"/>
              </w:rPr>
              <w:t xml:space="preserve">From level one PwD </w:t>
            </w:r>
          </w:p>
        </w:tc>
        <w:tc>
          <w:tcPr>
            <w:tcW w:w="0" w:type="auto"/>
            <w:noWrap/>
            <w:hideMark/>
          </w:tcPr>
          <w:p w14:paraId="624CC42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0.112</w:t>
            </w:r>
          </w:p>
        </w:tc>
        <w:tc>
          <w:tcPr>
            <w:tcW w:w="0" w:type="auto"/>
            <w:noWrap/>
            <w:hideMark/>
          </w:tcPr>
          <w:p w14:paraId="360D5B6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0.011</w:t>
            </w:r>
          </w:p>
        </w:tc>
        <w:tc>
          <w:tcPr>
            <w:tcW w:w="0" w:type="auto"/>
            <w:noWrap/>
            <w:hideMark/>
          </w:tcPr>
          <w:p w14:paraId="3977DBA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9.780</w:t>
            </w:r>
          </w:p>
        </w:tc>
        <w:tc>
          <w:tcPr>
            <w:tcW w:w="0" w:type="auto"/>
            <w:noWrap/>
            <w:hideMark/>
          </w:tcPr>
          <w:p w14:paraId="463264B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164EB28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0.090</w:t>
            </w:r>
          </w:p>
        </w:tc>
        <w:tc>
          <w:tcPr>
            <w:tcW w:w="0" w:type="auto"/>
            <w:noWrap/>
            <w:hideMark/>
          </w:tcPr>
          <w:p w14:paraId="642383B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0.135</w:t>
            </w:r>
          </w:p>
        </w:tc>
      </w:tr>
      <w:tr w:rsidR="00B54D51" w:rsidRPr="00037AD4" w14:paraId="5A7970B1" w14:textId="77777777" w:rsidTr="00401C67">
        <w:trPr>
          <w:trHeight w:val="320"/>
        </w:trPr>
        <w:tc>
          <w:tcPr>
            <w:tcW w:w="0" w:type="auto"/>
            <w:noWrap/>
            <w:hideMark/>
          </w:tcPr>
          <w:p w14:paraId="612580B2" w14:textId="77777777" w:rsidR="00B54D51" w:rsidRPr="00037AD4" w:rsidRDefault="00B54D51" w:rsidP="00401C67">
            <w:pPr>
              <w:rPr>
                <w:rFonts w:ascii="Calibri" w:hAnsi="Calibri" w:cs="Calibri"/>
                <w:color w:val="000000"/>
              </w:rPr>
            </w:pPr>
            <w:r w:rsidRPr="00037AD4">
              <w:rPr>
                <w:rFonts w:cstheme="minorHAnsi"/>
              </w:rPr>
              <w:t xml:space="preserve">From level two PwD </w:t>
            </w:r>
          </w:p>
        </w:tc>
        <w:tc>
          <w:tcPr>
            <w:tcW w:w="0" w:type="auto"/>
            <w:noWrap/>
            <w:hideMark/>
          </w:tcPr>
          <w:p w14:paraId="76C705D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0.125</w:t>
            </w:r>
          </w:p>
        </w:tc>
        <w:tc>
          <w:tcPr>
            <w:tcW w:w="0" w:type="auto"/>
            <w:noWrap/>
            <w:hideMark/>
          </w:tcPr>
          <w:p w14:paraId="4C3775B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0.014</w:t>
            </w:r>
          </w:p>
        </w:tc>
        <w:tc>
          <w:tcPr>
            <w:tcW w:w="0" w:type="auto"/>
            <w:noWrap/>
            <w:hideMark/>
          </w:tcPr>
          <w:p w14:paraId="06AB2C3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9.180</w:t>
            </w:r>
          </w:p>
        </w:tc>
        <w:tc>
          <w:tcPr>
            <w:tcW w:w="0" w:type="auto"/>
            <w:noWrap/>
            <w:hideMark/>
          </w:tcPr>
          <w:p w14:paraId="6FCC322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07AD5C9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0.098</w:t>
            </w:r>
          </w:p>
        </w:tc>
        <w:tc>
          <w:tcPr>
            <w:tcW w:w="0" w:type="auto"/>
            <w:noWrap/>
            <w:hideMark/>
          </w:tcPr>
          <w:p w14:paraId="20C5AC8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0.152</w:t>
            </w:r>
          </w:p>
        </w:tc>
      </w:tr>
      <w:tr w:rsidR="00B54D51" w:rsidRPr="00037AD4" w14:paraId="0E9BD8C0" w14:textId="77777777" w:rsidTr="00401C67">
        <w:trPr>
          <w:trHeight w:val="320"/>
        </w:trPr>
        <w:tc>
          <w:tcPr>
            <w:tcW w:w="0" w:type="auto"/>
            <w:noWrap/>
            <w:hideMark/>
          </w:tcPr>
          <w:p w14:paraId="7FE51D79" w14:textId="77777777" w:rsidR="00B54D51" w:rsidRPr="00037AD4" w:rsidRDefault="00B54D51" w:rsidP="00401C67">
            <w:pPr>
              <w:rPr>
                <w:rFonts w:ascii="Calibri" w:hAnsi="Calibri" w:cs="Calibri"/>
                <w:color w:val="000000"/>
              </w:rPr>
            </w:pPr>
            <w:r w:rsidRPr="00037AD4">
              <w:rPr>
                <w:rFonts w:cstheme="minorHAnsi"/>
              </w:rPr>
              <w:t xml:space="preserve">From level three PwD </w:t>
            </w:r>
          </w:p>
        </w:tc>
        <w:tc>
          <w:tcPr>
            <w:tcW w:w="0" w:type="auto"/>
            <w:noWrap/>
            <w:hideMark/>
          </w:tcPr>
          <w:p w14:paraId="13A8AFB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0.132</w:t>
            </w:r>
          </w:p>
        </w:tc>
        <w:tc>
          <w:tcPr>
            <w:tcW w:w="0" w:type="auto"/>
            <w:noWrap/>
            <w:hideMark/>
          </w:tcPr>
          <w:p w14:paraId="496A6DA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0.014</w:t>
            </w:r>
          </w:p>
        </w:tc>
        <w:tc>
          <w:tcPr>
            <w:tcW w:w="0" w:type="auto"/>
            <w:noWrap/>
            <w:hideMark/>
          </w:tcPr>
          <w:p w14:paraId="12FE706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9.570</w:t>
            </w:r>
          </w:p>
        </w:tc>
        <w:tc>
          <w:tcPr>
            <w:tcW w:w="0" w:type="auto"/>
            <w:noWrap/>
            <w:hideMark/>
          </w:tcPr>
          <w:p w14:paraId="462AB7C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6FD8DBA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0.105</w:t>
            </w:r>
          </w:p>
        </w:tc>
        <w:tc>
          <w:tcPr>
            <w:tcW w:w="0" w:type="auto"/>
            <w:noWrap/>
            <w:hideMark/>
          </w:tcPr>
          <w:p w14:paraId="6D70774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0.159</w:t>
            </w:r>
          </w:p>
        </w:tc>
      </w:tr>
      <w:tr w:rsidR="00B54D51" w:rsidRPr="00037AD4" w14:paraId="177B1352" w14:textId="77777777" w:rsidTr="00401C67">
        <w:trPr>
          <w:trHeight w:val="320"/>
        </w:trPr>
        <w:tc>
          <w:tcPr>
            <w:tcW w:w="0" w:type="auto"/>
            <w:noWrap/>
            <w:hideMark/>
          </w:tcPr>
          <w:p w14:paraId="0BD6F307" w14:textId="77777777" w:rsidR="00B54D51" w:rsidRPr="00037AD4" w:rsidRDefault="00B54D51" w:rsidP="00401C67">
            <w:pPr>
              <w:rPr>
                <w:rFonts w:ascii="Calibri" w:hAnsi="Calibri" w:cs="Calibri"/>
                <w:color w:val="000000"/>
              </w:rPr>
            </w:pPr>
            <w:r w:rsidRPr="00037AD4">
              <w:rPr>
                <w:rFonts w:cstheme="minorHAnsi"/>
              </w:rPr>
              <w:t xml:space="preserve">From level four PwD </w:t>
            </w:r>
          </w:p>
        </w:tc>
        <w:tc>
          <w:tcPr>
            <w:tcW w:w="0" w:type="auto"/>
            <w:noWrap/>
            <w:hideMark/>
          </w:tcPr>
          <w:p w14:paraId="50360CA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0.125</w:t>
            </w:r>
          </w:p>
        </w:tc>
        <w:tc>
          <w:tcPr>
            <w:tcW w:w="0" w:type="auto"/>
            <w:noWrap/>
            <w:hideMark/>
          </w:tcPr>
          <w:p w14:paraId="448FB2C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0.016</w:t>
            </w:r>
          </w:p>
        </w:tc>
        <w:tc>
          <w:tcPr>
            <w:tcW w:w="0" w:type="auto"/>
            <w:noWrap/>
            <w:hideMark/>
          </w:tcPr>
          <w:p w14:paraId="57CAC69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7.740</w:t>
            </w:r>
          </w:p>
        </w:tc>
        <w:tc>
          <w:tcPr>
            <w:tcW w:w="0" w:type="auto"/>
            <w:noWrap/>
            <w:hideMark/>
          </w:tcPr>
          <w:p w14:paraId="1931C5E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2582257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0.093</w:t>
            </w:r>
          </w:p>
        </w:tc>
        <w:tc>
          <w:tcPr>
            <w:tcW w:w="0" w:type="auto"/>
            <w:noWrap/>
            <w:hideMark/>
          </w:tcPr>
          <w:p w14:paraId="0CE3BA9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0.156</w:t>
            </w:r>
          </w:p>
        </w:tc>
      </w:tr>
      <w:tr w:rsidR="00B54D51" w:rsidRPr="00037AD4" w14:paraId="344B31C3" w14:textId="77777777" w:rsidTr="00401C67">
        <w:trPr>
          <w:trHeight w:val="320"/>
        </w:trPr>
        <w:tc>
          <w:tcPr>
            <w:tcW w:w="0" w:type="auto"/>
            <w:noWrap/>
            <w:hideMark/>
          </w:tcPr>
          <w:p w14:paraId="67A0F50C" w14:textId="77777777" w:rsidR="00B54D51" w:rsidRPr="00037AD4" w:rsidRDefault="00B54D51" w:rsidP="00401C67">
            <w:pPr>
              <w:rPr>
                <w:rFonts w:ascii="Calibri" w:hAnsi="Calibri" w:cs="Calibri"/>
                <w:color w:val="000000"/>
              </w:rPr>
            </w:pPr>
            <w:r w:rsidRPr="00037AD4">
              <w:rPr>
                <w:rFonts w:cstheme="minorHAnsi"/>
              </w:rPr>
              <w:t xml:space="preserve">From level five PwD </w:t>
            </w:r>
          </w:p>
        </w:tc>
        <w:tc>
          <w:tcPr>
            <w:tcW w:w="0" w:type="auto"/>
            <w:noWrap/>
            <w:hideMark/>
          </w:tcPr>
          <w:p w14:paraId="24E5B96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0.076</w:t>
            </w:r>
          </w:p>
        </w:tc>
        <w:tc>
          <w:tcPr>
            <w:tcW w:w="0" w:type="auto"/>
            <w:noWrap/>
            <w:hideMark/>
          </w:tcPr>
          <w:p w14:paraId="1C06A1C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0.016</w:t>
            </w:r>
          </w:p>
        </w:tc>
        <w:tc>
          <w:tcPr>
            <w:tcW w:w="0" w:type="auto"/>
            <w:noWrap/>
            <w:hideMark/>
          </w:tcPr>
          <w:p w14:paraId="4578FE5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4.670</w:t>
            </w:r>
          </w:p>
        </w:tc>
        <w:tc>
          <w:tcPr>
            <w:tcW w:w="0" w:type="auto"/>
            <w:noWrap/>
            <w:hideMark/>
          </w:tcPr>
          <w:p w14:paraId="4DC278D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38A3C30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0.044</w:t>
            </w:r>
          </w:p>
        </w:tc>
        <w:tc>
          <w:tcPr>
            <w:tcW w:w="0" w:type="auto"/>
            <w:noWrap/>
            <w:hideMark/>
          </w:tcPr>
          <w:p w14:paraId="7D7CB57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0.107</w:t>
            </w:r>
          </w:p>
        </w:tc>
      </w:tr>
      <w:tr w:rsidR="00B54D51" w:rsidRPr="00037AD4" w14:paraId="5575145F" w14:textId="77777777" w:rsidTr="00401C67">
        <w:trPr>
          <w:trHeight w:val="320"/>
        </w:trPr>
        <w:tc>
          <w:tcPr>
            <w:tcW w:w="0" w:type="auto"/>
            <w:gridSpan w:val="7"/>
            <w:shd w:val="clear" w:color="auto" w:fill="E7E6E6" w:themeFill="background2"/>
            <w:noWrap/>
          </w:tcPr>
          <w:p w14:paraId="43C0C5E7" w14:textId="77777777" w:rsidR="00B54D51" w:rsidRPr="00037AD4" w:rsidRDefault="00B54D51" w:rsidP="00401C67">
            <w:pPr>
              <w:rPr>
                <w:rFonts w:ascii="Calibri" w:hAnsi="Calibri" w:cs="Calibri"/>
                <w:color w:val="000000"/>
              </w:rPr>
            </w:pPr>
            <w:r w:rsidRPr="00037AD4">
              <w:rPr>
                <w:rFonts w:cstheme="minorHAnsi"/>
              </w:rPr>
              <w:t>Predicted proxy: level four</w:t>
            </w:r>
          </w:p>
        </w:tc>
      </w:tr>
      <w:tr w:rsidR="00B54D51" w:rsidRPr="00037AD4" w14:paraId="3C5DD056" w14:textId="77777777" w:rsidTr="00401C67">
        <w:trPr>
          <w:trHeight w:val="320"/>
        </w:trPr>
        <w:tc>
          <w:tcPr>
            <w:tcW w:w="0" w:type="auto"/>
            <w:noWrap/>
            <w:hideMark/>
          </w:tcPr>
          <w:p w14:paraId="079B581B" w14:textId="77777777" w:rsidR="00B54D51" w:rsidRPr="00037AD4" w:rsidRDefault="00B54D51" w:rsidP="00401C67">
            <w:pPr>
              <w:rPr>
                <w:rFonts w:ascii="Calibri" w:hAnsi="Calibri" w:cs="Calibri"/>
                <w:color w:val="000000"/>
              </w:rPr>
            </w:pPr>
            <w:r w:rsidRPr="00037AD4">
              <w:rPr>
                <w:rFonts w:cstheme="minorHAnsi"/>
              </w:rPr>
              <w:t xml:space="preserve">From level one PwD </w:t>
            </w:r>
          </w:p>
        </w:tc>
        <w:tc>
          <w:tcPr>
            <w:tcW w:w="0" w:type="auto"/>
            <w:noWrap/>
            <w:hideMark/>
          </w:tcPr>
          <w:p w14:paraId="6D8FC43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0.057</w:t>
            </w:r>
          </w:p>
        </w:tc>
        <w:tc>
          <w:tcPr>
            <w:tcW w:w="0" w:type="auto"/>
            <w:noWrap/>
            <w:hideMark/>
          </w:tcPr>
          <w:p w14:paraId="3F6886D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0.009</w:t>
            </w:r>
          </w:p>
        </w:tc>
        <w:tc>
          <w:tcPr>
            <w:tcW w:w="0" w:type="auto"/>
            <w:noWrap/>
            <w:hideMark/>
          </w:tcPr>
          <w:p w14:paraId="2808E95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6.610</w:t>
            </w:r>
          </w:p>
        </w:tc>
        <w:tc>
          <w:tcPr>
            <w:tcW w:w="0" w:type="auto"/>
            <w:noWrap/>
            <w:hideMark/>
          </w:tcPr>
          <w:p w14:paraId="78ECEAF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33FF450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0.040</w:t>
            </w:r>
          </w:p>
        </w:tc>
        <w:tc>
          <w:tcPr>
            <w:tcW w:w="0" w:type="auto"/>
            <w:noWrap/>
            <w:hideMark/>
          </w:tcPr>
          <w:p w14:paraId="6307C6A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0.073</w:t>
            </w:r>
          </w:p>
        </w:tc>
      </w:tr>
      <w:tr w:rsidR="00B54D51" w:rsidRPr="00037AD4" w14:paraId="4551A853" w14:textId="77777777" w:rsidTr="00401C67">
        <w:trPr>
          <w:trHeight w:val="320"/>
        </w:trPr>
        <w:tc>
          <w:tcPr>
            <w:tcW w:w="0" w:type="auto"/>
            <w:noWrap/>
            <w:hideMark/>
          </w:tcPr>
          <w:p w14:paraId="760E45E3" w14:textId="77777777" w:rsidR="00B54D51" w:rsidRPr="00037AD4" w:rsidRDefault="00B54D51" w:rsidP="00401C67">
            <w:pPr>
              <w:rPr>
                <w:rFonts w:ascii="Calibri" w:hAnsi="Calibri" w:cs="Calibri"/>
                <w:color w:val="000000"/>
              </w:rPr>
            </w:pPr>
            <w:r w:rsidRPr="00037AD4">
              <w:rPr>
                <w:rFonts w:cstheme="minorHAnsi"/>
              </w:rPr>
              <w:t xml:space="preserve">From level two PwD </w:t>
            </w:r>
          </w:p>
        </w:tc>
        <w:tc>
          <w:tcPr>
            <w:tcW w:w="0" w:type="auto"/>
            <w:noWrap/>
            <w:hideMark/>
          </w:tcPr>
          <w:p w14:paraId="1C9BFCB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0.067</w:t>
            </w:r>
          </w:p>
        </w:tc>
        <w:tc>
          <w:tcPr>
            <w:tcW w:w="0" w:type="auto"/>
            <w:noWrap/>
            <w:hideMark/>
          </w:tcPr>
          <w:p w14:paraId="273ADE0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0.010</w:t>
            </w:r>
          </w:p>
        </w:tc>
        <w:tc>
          <w:tcPr>
            <w:tcW w:w="0" w:type="auto"/>
            <w:noWrap/>
            <w:hideMark/>
          </w:tcPr>
          <w:p w14:paraId="1863D14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6.340</w:t>
            </w:r>
          </w:p>
        </w:tc>
        <w:tc>
          <w:tcPr>
            <w:tcW w:w="0" w:type="auto"/>
            <w:noWrap/>
            <w:hideMark/>
          </w:tcPr>
          <w:p w14:paraId="4860C03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42BA46D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0.046</w:t>
            </w:r>
          </w:p>
        </w:tc>
        <w:tc>
          <w:tcPr>
            <w:tcW w:w="0" w:type="auto"/>
            <w:noWrap/>
            <w:hideMark/>
          </w:tcPr>
          <w:p w14:paraId="7F3C3F3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0.087</w:t>
            </w:r>
          </w:p>
        </w:tc>
      </w:tr>
      <w:tr w:rsidR="00B54D51" w:rsidRPr="00037AD4" w14:paraId="21D3BD02" w14:textId="77777777" w:rsidTr="00401C67">
        <w:trPr>
          <w:trHeight w:val="320"/>
        </w:trPr>
        <w:tc>
          <w:tcPr>
            <w:tcW w:w="0" w:type="auto"/>
            <w:noWrap/>
            <w:hideMark/>
          </w:tcPr>
          <w:p w14:paraId="68B34A7F" w14:textId="77777777" w:rsidR="00B54D51" w:rsidRPr="00037AD4" w:rsidRDefault="00B54D51" w:rsidP="00401C67">
            <w:pPr>
              <w:rPr>
                <w:rFonts w:ascii="Calibri" w:hAnsi="Calibri" w:cs="Calibri"/>
                <w:color w:val="000000"/>
              </w:rPr>
            </w:pPr>
            <w:r w:rsidRPr="00037AD4">
              <w:rPr>
                <w:rFonts w:cstheme="minorHAnsi"/>
              </w:rPr>
              <w:t xml:space="preserve">From level three PwD </w:t>
            </w:r>
          </w:p>
        </w:tc>
        <w:tc>
          <w:tcPr>
            <w:tcW w:w="0" w:type="auto"/>
            <w:noWrap/>
            <w:hideMark/>
          </w:tcPr>
          <w:p w14:paraId="413DDBE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0.073</w:t>
            </w:r>
          </w:p>
        </w:tc>
        <w:tc>
          <w:tcPr>
            <w:tcW w:w="0" w:type="auto"/>
            <w:noWrap/>
            <w:hideMark/>
          </w:tcPr>
          <w:p w14:paraId="7D29163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0.011</w:t>
            </w:r>
          </w:p>
        </w:tc>
        <w:tc>
          <w:tcPr>
            <w:tcW w:w="0" w:type="auto"/>
            <w:noWrap/>
            <w:hideMark/>
          </w:tcPr>
          <w:p w14:paraId="2C46F14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6.740</w:t>
            </w:r>
          </w:p>
        </w:tc>
        <w:tc>
          <w:tcPr>
            <w:tcW w:w="0" w:type="auto"/>
            <w:noWrap/>
            <w:hideMark/>
          </w:tcPr>
          <w:p w14:paraId="38A3502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6C47428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0.052</w:t>
            </w:r>
          </w:p>
        </w:tc>
        <w:tc>
          <w:tcPr>
            <w:tcW w:w="0" w:type="auto"/>
            <w:noWrap/>
            <w:hideMark/>
          </w:tcPr>
          <w:p w14:paraId="04CF5A9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0.094</w:t>
            </w:r>
          </w:p>
        </w:tc>
      </w:tr>
      <w:tr w:rsidR="00B54D51" w:rsidRPr="00037AD4" w14:paraId="47A73F31" w14:textId="77777777" w:rsidTr="00401C67">
        <w:trPr>
          <w:trHeight w:val="320"/>
        </w:trPr>
        <w:tc>
          <w:tcPr>
            <w:tcW w:w="0" w:type="auto"/>
            <w:noWrap/>
            <w:hideMark/>
          </w:tcPr>
          <w:p w14:paraId="5306C141" w14:textId="77777777" w:rsidR="00B54D51" w:rsidRPr="00037AD4" w:rsidRDefault="00B54D51" w:rsidP="00401C67">
            <w:pPr>
              <w:rPr>
                <w:rFonts w:ascii="Calibri" w:hAnsi="Calibri" w:cs="Calibri"/>
                <w:color w:val="000000"/>
              </w:rPr>
            </w:pPr>
            <w:r w:rsidRPr="00037AD4">
              <w:rPr>
                <w:rFonts w:cstheme="minorHAnsi"/>
              </w:rPr>
              <w:lastRenderedPageBreak/>
              <w:t xml:space="preserve">From level four PwD </w:t>
            </w:r>
          </w:p>
        </w:tc>
        <w:tc>
          <w:tcPr>
            <w:tcW w:w="0" w:type="auto"/>
            <w:noWrap/>
            <w:hideMark/>
          </w:tcPr>
          <w:p w14:paraId="4530B80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0.088</w:t>
            </w:r>
          </w:p>
        </w:tc>
        <w:tc>
          <w:tcPr>
            <w:tcW w:w="0" w:type="auto"/>
            <w:noWrap/>
            <w:hideMark/>
          </w:tcPr>
          <w:p w14:paraId="7911919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0.013</w:t>
            </w:r>
          </w:p>
        </w:tc>
        <w:tc>
          <w:tcPr>
            <w:tcW w:w="0" w:type="auto"/>
            <w:noWrap/>
            <w:hideMark/>
          </w:tcPr>
          <w:p w14:paraId="320BBAB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6.900</w:t>
            </w:r>
          </w:p>
        </w:tc>
        <w:tc>
          <w:tcPr>
            <w:tcW w:w="0" w:type="auto"/>
            <w:noWrap/>
            <w:hideMark/>
          </w:tcPr>
          <w:p w14:paraId="07066BA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1C5D8EF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0.063</w:t>
            </w:r>
          </w:p>
        </w:tc>
        <w:tc>
          <w:tcPr>
            <w:tcW w:w="0" w:type="auto"/>
            <w:noWrap/>
            <w:hideMark/>
          </w:tcPr>
          <w:p w14:paraId="4C4329C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0.113</w:t>
            </w:r>
          </w:p>
        </w:tc>
      </w:tr>
      <w:tr w:rsidR="00B54D51" w:rsidRPr="00037AD4" w14:paraId="6C7CF398" w14:textId="77777777" w:rsidTr="00401C67">
        <w:trPr>
          <w:trHeight w:val="320"/>
        </w:trPr>
        <w:tc>
          <w:tcPr>
            <w:tcW w:w="0" w:type="auto"/>
            <w:noWrap/>
            <w:hideMark/>
          </w:tcPr>
          <w:p w14:paraId="76300A99" w14:textId="77777777" w:rsidR="00B54D51" w:rsidRPr="00037AD4" w:rsidRDefault="00B54D51" w:rsidP="00401C67">
            <w:pPr>
              <w:rPr>
                <w:rFonts w:ascii="Calibri" w:hAnsi="Calibri" w:cs="Calibri"/>
                <w:color w:val="000000"/>
              </w:rPr>
            </w:pPr>
            <w:r w:rsidRPr="00037AD4">
              <w:rPr>
                <w:rFonts w:cstheme="minorHAnsi"/>
              </w:rPr>
              <w:t xml:space="preserve">From level five PwD </w:t>
            </w:r>
          </w:p>
        </w:tc>
        <w:tc>
          <w:tcPr>
            <w:tcW w:w="0" w:type="auto"/>
            <w:noWrap/>
            <w:hideMark/>
          </w:tcPr>
          <w:p w14:paraId="2C137A9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0.064</w:t>
            </w:r>
          </w:p>
        </w:tc>
        <w:tc>
          <w:tcPr>
            <w:tcW w:w="0" w:type="auto"/>
            <w:noWrap/>
            <w:hideMark/>
          </w:tcPr>
          <w:p w14:paraId="0252684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0.012</w:t>
            </w:r>
          </w:p>
        </w:tc>
        <w:tc>
          <w:tcPr>
            <w:tcW w:w="0" w:type="auto"/>
            <w:noWrap/>
            <w:hideMark/>
          </w:tcPr>
          <w:p w14:paraId="2E77C7A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5.170</w:t>
            </w:r>
          </w:p>
        </w:tc>
        <w:tc>
          <w:tcPr>
            <w:tcW w:w="0" w:type="auto"/>
            <w:noWrap/>
            <w:hideMark/>
          </w:tcPr>
          <w:p w14:paraId="4432692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5CF8925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0.039</w:t>
            </w:r>
          </w:p>
        </w:tc>
        <w:tc>
          <w:tcPr>
            <w:tcW w:w="0" w:type="auto"/>
            <w:noWrap/>
            <w:hideMark/>
          </w:tcPr>
          <w:p w14:paraId="47142FD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0.088</w:t>
            </w:r>
          </w:p>
        </w:tc>
      </w:tr>
      <w:tr w:rsidR="00B54D51" w:rsidRPr="00037AD4" w14:paraId="7FBB0754" w14:textId="77777777" w:rsidTr="00401C67">
        <w:trPr>
          <w:trHeight w:val="320"/>
        </w:trPr>
        <w:tc>
          <w:tcPr>
            <w:tcW w:w="0" w:type="auto"/>
            <w:gridSpan w:val="7"/>
            <w:shd w:val="clear" w:color="auto" w:fill="E7E6E6" w:themeFill="background2"/>
            <w:noWrap/>
          </w:tcPr>
          <w:p w14:paraId="109A04E9" w14:textId="77777777" w:rsidR="00B54D51" w:rsidRPr="00037AD4" w:rsidRDefault="00B54D51" w:rsidP="00401C67">
            <w:pPr>
              <w:rPr>
                <w:rFonts w:ascii="Calibri" w:hAnsi="Calibri" w:cs="Calibri"/>
                <w:color w:val="000000"/>
              </w:rPr>
            </w:pPr>
            <w:r w:rsidRPr="00037AD4">
              <w:rPr>
                <w:rFonts w:cstheme="minorHAnsi"/>
              </w:rPr>
              <w:t>Predicted proxy: level five</w:t>
            </w:r>
          </w:p>
        </w:tc>
      </w:tr>
      <w:tr w:rsidR="00B54D51" w:rsidRPr="00037AD4" w14:paraId="69AD6F36" w14:textId="77777777" w:rsidTr="00401C67">
        <w:trPr>
          <w:trHeight w:val="320"/>
        </w:trPr>
        <w:tc>
          <w:tcPr>
            <w:tcW w:w="0" w:type="auto"/>
            <w:noWrap/>
            <w:hideMark/>
          </w:tcPr>
          <w:p w14:paraId="4515138E" w14:textId="77777777" w:rsidR="00B54D51" w:rsidRPr="00037AD4" w:rsidRDefault="00B54D51" w:rsidP="00401C67">
            <w:pPr>
              <w:rPr>
                <w:rFonts w:ascii="Calibri" w:hAnsi="Calibri" w:cs="Calibri"/>
                <w:color w:val="000000"/>
              </w:rPr>
            </w:pPr>
            <w:r w:rsidRPr="00037AD4">
              <w:rPr>
                <w:rFonts w:cstheme="minorHAnsi"/>
              </w:rPr>
              <w:t xml:space="preserve">From level one PwD </w:t>
            </w:r>
          </w:p>
        </w:tc>
        <w:tc>
          <w:tcPr>
            <w:tcW w:w="0" w:type="auto"/>
            <w:noWrap/>
            <w:hideMark/>
          </w:tcPr>
          <w:p w14:paraId="549C1A1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0.138</w:t>
            </w:r>
          </w:p>
        </w:tc>
        <w:tc>
          <w:tcPr>
            <w:tcW w:w="0" w:type="auto"/>
            <w:noWrap/>
            <w:hideMark/>
          </w:tcPr>
          <w:p w14:paraId="03A270C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0.016</w:t>
            </w:r>
          </w:p>
        </w:tc>
        <w:tc>
          <w:tcPr>
            <w:tcW w:w="0" w:type="auto"/>
            <w:noWrap/>
            <w:hideMark/>
          </w:tcPr>
          <w:p w14:paraId="09CC41A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8.710</w:t>
            </w:r>
          </w:p>
        </w:tc>
        <w:tc>
          <w:tcPr>
            <w:tcW w:w="0" w:type="auto"/>
            <w:noWrap/>
            <w:hideMark/>
          </w:tcPr>
          <w:p w14:paraId="7BFF7D9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138195C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0.107</w:t>
            </w:r>
          </w:p>
        </w:tc>
        <w:tc>
          <w:tcPr>
            <w:tcW w:w="0" w:type="auto"/>
            <w:noWrap/>
            <w:hideMark/>
          </w:tcPr>
          <w:p w14:paraId="6D5B7BE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0.169</w:t>
            </w:r>
          </w:p>
        </w:tc>
      </w:tr>
      <w:tr w:rsidR="00B54D51" w:rsidRPr="00037AD4" w14:paraId="1122F486" w14:textId="77777777" w:rsidTr="00401C67">
        <w:trPr>
          <w:trHeight w:val="320"/>
        </w:trPr>
        <w:tc>
          <w:tcPr>
            <w:tcW w:w="0" w:type="auto"/>
            <w:noWrap/>
            <w:hideMark/>
          </w:tcPr>
          <w:p w14:paraId="3D90553E" w14:textId="77777777" w:rsidR="00B54D51" w:rsidRPr="00037AD4" w:rsidRDefault="00B54D51" w:rsidP="00401C67">
            <w:pPr>
              <w:rPr>
                <w:rFonts w:ascii="Calibri" w:hAnsi="Calibri" w:cs="Calibri"/>
                <w:color w:val="000000"/>
              </w:rPr>
            </w:pPr>
            <w:r w:rsidRPr="00037AD4">
              <w:rPr>
                <w:rFonts w:cstheme="minorHAnsi"/>
              </w:rPr>
              <w:t xml:space="preserve">From level two PwD </w:t>
            </w:r>
          </w:p>
        </w:tc>
        <w:tc>
          <w:tcPr>
            <w:tcW w:w="0" w:type="auto"/>
            <w:noWrap/>
            <w:hideMark/>
          </w:tcPr>
          <w:p w14:paraId="6522F13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0.184</w:t>
            </w:r>
          </w:p>
        </w:tc>
        <w:tc>
          <w:tcPr>
            <w:tcW w:w="0" w:type="auto"/>
            <w:noWrap/>
            <w:hideMark/>
          </w:tcPr>
          <w:p w14:paraId="088C554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0.026</w:t>
            </w:r>
          </w:p>
        </w:tc>
        <w:tc>
          <w:tcPr>
            <w:tcW w:w="0" w:type="auto"/>
            <w:noWrap/>
            <w:hideMark/>
          </w:tcPr>
          <w:p w14:paraId="0AAF274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6.990</w:t>
            </w:r>
          </w:p>
        </w:tc>
        <w:tc>
          <w:tcPr>
            <w:tcW w:w="0" w:type="auto"/>
            <w:noWrap/>
            <w:hideMark/>
          </w:tcPr>
          <w:p w14:paraId="7C83B7D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6431CC5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0.133</w:t>
            </w:r>
          </w:p>
        </w:tc>
        <w:tc>
          <w:tcPr>
            <w:tcW w:w="0" w:type="auto"/>
            <w:noWrap/>
            <w:hideMark/>
          </w:tcPr>
          <w:p w14:paraId="6579EA6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0.236</w:t>
            </w:r>
          </w:p>
        </w:tc>
      </w:tr>
      <w:tr w:rsidR="00B54D51" w:rsidRPr="00037AD4" w14:paraId="47CD924D" w14:textId="77777777" w:rsidTr="00401C67">
        <w:trPr>
          <w:trHeight w:val="320"/>
        </w:trPr>
        <w:tc>
          <w:tcPr>
            <w:tcW w:w="0" w:type="auto"/>
            <w:noWrap/>
            <w:hideMark/>
          </w:tcPr>
          <w:p w14:paraId="050B7081" w14:textId="77777777" w:rsidR="00B54D51" w:rsidRPr="00037AD4" w:rsidRDefault="00B54D51" w:rsidP="00401C67">
            <w:pPr>
              <w:rPr>
                <w:rFonts w:ascii="Calibri" w:hAnsi="Calibri" w:cs="Calibri"/>
                <w:color w:val="000000"/>
              </w:rPr>
            </w:pPr>
            <w:r w:rsidRPr="00037AD4">
              <w:rPr>
                <w:rFonts w:cstheme="minorHAnsi"/>
              </w:rPr>
              <w:t xml:space="preserve">From level three PwD </w:t>
            </w:r>
          </w:p>
        </w:tc>
        <w:tc>
          <w:tcPr>
            <w:tcW w:w="0" w:type="auto"/>
            <w:noWrap/>
            <w:hideMark/>
          </w:tcPr>
          <w:p w14:paraId="22E7C4B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0.222</w:t>
            </w:r>
          </w:p>
        </w:tc>
        <w:tc>
          <w:tcPr>
            <w:tcW w:w="0" w:type="auto"/>
            <w:noWrap/>
            <w:hideMark/>
          </w:tcPr>
          <w:p w14:paraId="3071FDF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0.036</w:t>
            </w:r>
          </w:p>
        </w:tc>
        <w:tc>
          <w:tcPr>
            <w:tcW w:w="0" w:type="auto"/>
            <w:noWrap/>
            <w:hideMark/>
          </w:tcPr>
          <w:p w14:paraId="2027C42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6.200</w:t>
            </w:r>
          </w:p>
        </w:tc>
        <w:tc>
          <w:tcPr>
            <w:tcW w:w="0" w:type="auto"/>
            <w:noWrap/>
            <w:hideMark/>
          </w:tcPr>
          <w:p w14:paraId="309C7EC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7EB79E9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0.152</w:t>
            </w:r>
          </w:p>
        </w:tc>
        <w:tc>
          <w:tcPr>
            <w:tcW w:w="0" w:type="auto"/>
            <w:noWrap/>
            <w:hideMark/>
          </w:tcPr>
          <w:p w14:paraId="654CA11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0.293</w:t>
            </w:r>
          </w:p>
        </w:tc>
      </w:tr>
      <w:tr w:rsidR="00B54D51" w:rsidRPr="00037AD4" w14:paraId="513F1672" w14:textId="77777777" w:rsidTr="00401C67">
        <w:trPr>
          <w:trHeight w:val="320"/>
        </w:trPr>
        <w:tc>
          <w:tcPr>
            <w:tcW w:w="0" w:type="auto"/>
            <w:noWrap/>
            <w:hideMark/>
          </w:tcPr>
          <w:p w14:paraId="347279BA" w14:textId="77777777" w:rsidR="00B54D51" w:rsidRPr="00037AD4" w:rsidRDefault="00B54D51" w:rsidP="00401C67">
            <w:pPr>
              <w:rPr>
                <w:rFonts w:ascii="Calibri" w:hAnsi="Calibri" w:cs="Calibri"/>
                <w:color w:val="000000"/>
              </w:rPr>
            </w:pPr>
            <w:r w:rsidRPr="00037AD4">
              <w:rPr>
                <w:rFonts w:cstheme="minorHAnsi"/>
              </w:rPr>
              <w:t xml:space="preserve">From level four PwD </w:t>
            </w:r>
          </w:p>
        </w:tc>
        <w:tc>
          <w:tcPr>
            <w:tcW w:w="0" w:type="auto"/>
            <w:noWrap/>
            <w:hideMark/>
          </w:tcPr>
          <w:p w14:paraId="26B4A1A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0.532</w:t>
            </w:r>
          </w:p>
        </w:tc>
        <w:tc>
          <w:tcPr>
            <w:tcW w:w="0" w:type="auto"/>
            <w:noWrap/>
            <w:hideMark/>
          </w:tcPr>
          <w:p w14:paraId="7AAB19C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0.067</w:t>
            </w:r>
          </w:p>
        </w:tc>
        <w:tc>
          <w:tcPr>
            <w:tcW w:w="0" w:type="auto"/>
            <w:noWrap/>
            <w:hideMark/>
          </w:tcPr>
          <w:p w14:paraId="1109B0E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7.970</w:t>
            </w:r>
          </w:p>
        </w:tc>
        <w:tc>
          <w:tcPr>
            <w:tcW w:w="0" w:type="auto"/>
            <w:noWrap/>
            <w:hideMark/>
          </w:tcPr>
          <w:p w14:paraId="3BD4694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5ED6CC8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0.401</w:t>
            </w:r>
          </w:p>
        </w:tc>
        <w:tc>
          <w:tcPr>
            <w:tcW w:w="0" w:type="auto"/>
            <w:noWrap/>
            <w:hideMark/>
          </w:tcPr>
          <w:p w14:paraId="7172840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0.663</w:t>
            </w:r>
          </w:p>
        </w:tc>
      </w:tr>
      <w:tr w:rsidR="00B54D51" w:rsidRPr="00037AD4" w14:paraId="6564F88C" w14:textId="77777777" w:rsidTr="00401C67">
        <w:trPr>
          <w:trHeight w:val="320"/>
        </w:trPr>
        <w:tc>
          <w:tcPr>
            <w:tcW w:w="0" w:type="auto"/>
            <w:noWrap/>
            <w:hideMark/>
          </w:tcPr>
          <w:p w14:paraId="7C4CE575" w14:textId="77777777" w:rsidR="00B54D51" w:rsidRPr="00037AD4" w:rsidRDefault="00B54D51" w:rsidP="00401C67">
            <w:pPr>
              <w:rPr>
                <w:rFonts w:ascii="Calibri" w:hAnsi="Calibri" w:cs="Calibri"/>
                <w:color w:val="000000"/>
              </w:rPr>
            </w:pPr>
            <w:r w:rsidRPr="00037AD4">
              <w:rPr>
                <w:rFonts w:cstheme="minorHAnsi"/>
              </w:rPr>
              <w:t xml:space="preserve">From level five PwD </w:t>
            </w:r>
          </w:p>
        </w:tc>
        <w:tc>
          <w:tcPr>
            <w:tcW w:w="0" w:type="auto"/>
            <w:noWrap/>
            <w:hideMark/>
          </w:tcPr>
          <w:p w14:paraId="2D0BB5B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0.760</w:t>
            </w:r>
          </w:p>
        </w:tc>
        <w:tc>
          <w:tcPr>
            <w:tcW w:w="0" w:type="auto"/>
            <w:noWrap/>
            <w:hideMark/>
          </w:tcPr>
          <w:p w14:paraId="3547CD6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0.053</w:t>
            </w:r>
          </w:p>
        </w:tc>
        <w:tc>
          <w:tcPr>
            <w:tcW w:w="0" w:type="auto"/>
            <w:noWrap/>
            <w:hideMark/>
          </w:tcPr>
          <w:p w14:paraId="1EA0D08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14.240</w:t>
            </w:r>
          </w:p>
        </w:tc>
        <w:tc>
          <w:tcPr>
            <w:tcW w:w="0" w:type="auto"/>
            <w:noWrap/>
            <w:hideMark/>
          </w:tcPr>
          <w:p w14:paraId="1A6C7D2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4F0AC85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0.655</w:t>
            </w:r>
          </w:p>
        </w:tc>
        <w:tc>
          <w:tcPr>
            <w:tcW w:w="0" w:type="auto"/>
            <w:noWrap/>
            <w:hideMark/>
          </w:tcPr>
          <w:p w14:paraId="6BB3A24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0.865</w:t>
            </w:r>
          </w:p>
        </w:tc>
      </w:tr>
    </w:tbl>
    <w:p w14:paraId="6D9FF7C9" w14:textId="77777777" w:rsidR="00B54D51" w:rsidRPr="00037AD4" w:rsidRDefault="00B54D51" w:rsidP="001D7ACE">
      <w:pPr>
        <w:rPr>
          <w:color w:val="000000" w:themeColor="text1"/>
          <w:u w:val="single"/>
        </w:rPr>
      </w:pPr>
    </w:p>
    <w:p w14:paraId="2CF1CD8F" w14:textId="77777777" w:rsidR="00B54D51" w:rsidRPr="00037AD4" w:rsidRDefault="00B54D51" w:rsidP="001D7ACE">
      <w:pPr>
        <w:rPr>
          <w:rFonts w:asciiTheme="minorHAnsi" w:hAnsiTheme="minorHAnsi" w:cstheme="minorHAnsi"/>
          <w:color w:val="FF0000"/>
          <w:u w:val="single"/>
        </w:rPr>
      </w:pPr>
      <w:bookmarkStart w:id="543" w:name="A63self"/>
      <w:r w:rsidRPr="00037AD4">
        <w:rPr>
          <w:rFonts w:asciiTheme="minorHAnsi" w:hAnsiTheme="minorHAnsi" w:cstheme="minorHAnsi"/>
          <w:color w:val="000000" w:themeColor="text1"/>
          <w:u w:val="single"/>
        </w:rPr>
        <w:t>Table A6.3e, Self-care dimension average marginal effects: ACTIFCARE</w:t>
      </w:r>
    </w:p>
    <w:bookmarkEnd w:id="543"/>
    <w:p w14:paraId="5367C462" w14:textId="77777777" w:rsidR="00B54D51" w:rsidRPr="00037AD4" w:rsidRDefault="00B54D51" w:rsidP="001D7ACE">
      <w:pPr>
        <w:rPr>
          <w:color w:val="FF0000"/>
          <w:u w:val="single"/>
        </w:rPr>
      </w:pPr>
    </w:p>
    <w:tbl>
      <w:tblPr>
        <w:tblStyle w:val="TableGridLight"/>
        <w:tblW w:w="5000" w:type="pct"/>
        <w:tblLook w:val="04A0" w:firstRow="1" w:lastRow="0" w:firstColumn="1" w:lastColumn="0" w:noHBand="0" w:noVBand="1"/>
      </w:tblPr>
      <w:tblGrid>
        <w:gridCol w:w="1637"/>
        <w:gridCol w:w="2103"/>
        <w:gridCol w:w="997"/>
        <w:gridCol w:w="997"/>
        <w:gridCol w:w="1001"/>
        <w:gridCol w:w="1248"/>
        <w:gridCol w:w="1033"/>
      </w:tblGrid>
      <w:tr w:rsidR="00B54D51" w:rsidRPr="00037AD4" w14:paraId="0B543896" w14:textId="77777777" w:rsidTr="00401C67">
        <w:trPr>
          <w:trHeight w:val="320"/>
        </w:trPr>
        <w:tc>
          <w:tcPr>
            <w:tcW w:w="908" w:type="pct"/>
            <w:noWrap/>
            <w:hideMark/>
          </w:tcPr>
          <w:p w14:paraId="4EE5D0D9" w14:textId="77777777" w:rsidR="00B54D51" w:rsidRPr="00037AD4" w:rsidRDefault="00B54D51" w:rsidP="00401C67">
            <w:pPr>
              <w:rPr>
                <w:sz w:val="20"/>
                <w:szCs w:val="20"/>
              </w:rPr>
            </w:pPr>
          </w:p>
        </w:tc>
        <w:tc>
          <w:tcPr>
            <w:tcW w:w="1166" w:type="pct"/>
            <w:noWrap/>
            <w:hideMark/>
          </w:tcPr>
          <w:p w14:paraId="6189E83A"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dy/dx   </w:t>
            </w:r>
          </w:p>
        </w:tc>
        <w:tc>
          <w:tcPr>
            <w:tcW w:w="553" w:type="pct"/>
          </w:tcPr>
          <w:p w14:paraId="029ED948" w14:textId="77777777" w:rsidR="00B54D51" w:rsidRPr="00037AD4" w:rsidRDefault="00B54D51" w:rsidP="00401C67">
            <w:pPr>
              <w:rPr>
                <w:rFonts w:ascii="Calibri" w:hAnsi="Calibri" w:cs="Calibri"/>
                <w:color w:val="000000"/>
              </w:rPr>
            </w:pPr>
            <w:r w:rsidRPr="00037AD4">
              <w:rPr>
                <w:rFonts w:ascii="Calibri" w:hAnsi="Calibri" w:cs="Calibri"/>
                <w:color w:val="000000"/>
              </w:rPr>
              <w:t>std. err.</w:t>
            </w:r>
          </w:p>
        </w:tc>
        <w:tc>
          <w:tcPr>
            <w:tcW w:w="553" w:type="pct"/>
            <w:noWrap/>
            <w:hideMark/>
          </w:tcPr>
          <w:p w14:paraId="23025B53" w14:textId="77777777" w:rsidR="00B54D51" w:rsidRPr="00037AD4" w:rsidRDefault="00B54D51" w:rsidP="00401C67">
            <w:pPr>
              <w:jc w:val="center"/>
              <w:rPr>
                <w:rFonts w:ascii="Calibri" w:hAnsi="Calibri" w:cs="Calibri"/>
                <w:color w:val="000000"/>
              </w:rPr>
            </w:pPr>
            <w:r w:rsidRPr="00037AD4">
              <w:rPr>
                <w:rFonts w:ascii="Calibri" w:hAnsi="Calibri" w:cs="Calibri"/>
                <w:color w:val="000000"/>
              </w:rPr>
              <w:t>Z</w:t>
            </w:r>
          </w:p>
        </w:tc>
        <w:tc>
          <w:tcPr>
            <w:tcW w:w="555" w:type="pct"/>
            <w:noWrap/>
            <w:hideMark/>
          </w:tcPr>
          <w:p w14:paraId="2C765387" w14:textId="77777777" w:rsidR="00B54D51" w:rsidRPr="00037AD4" w:rsidRDefault="00B54D51" w:rsidP="00401C67">
            <w:pPr>
              <w:rPr>
                <w:rFonts w:ascii="Calibri" w:hAnsi="Calibri" w:cs="Calibri"/>
                <w:color w:val="000000"/>
              </w:rPr>
            </w:pPr>
            <w:r w:rsidRPr="00037AD4">
              <w:rPr>
                <w:rFonts w:ascii="Calibri" w:hAnsi="Calibri" w:cs="Calibri"/>
                <w:color w:val="000000"/>
              </w:rPr>
              <w:t>P&gt;z</w:t>
            </w:r>
          </w:p>
        </w:tc>
        <w:tc>
          <w:tcPr>
            <w:tcW w:w="1265" w:type="pct"/>
            <w:gridSpan w:val="2"/>
            <w:noWrap/>
            <w:hideMark/>
          </w:tcPr>
          <w:p w14:paraId="526F1A63" w14:textId="77777777" w:rsidR="00B54D51" w:rsidRPr="00037AD4" w:rsidRDefault="00B54D51" w:rsidP="00401C67">
            <w:pPr>
              <w:rPr>
                <w:rFonts w:ascii="Calibri" w:hAnsi="Calibri" w:cs="Calibri"/>
                <w:color w:val="000000"/>
              </w:rPr>
            </w:pPr>
            <w:r w:rsidRPr="00037AD4">
              <w:rPr>
                <w:rFonts w:ascii="Calibri" w:hAnsi="Calibri" w:cs="Calibri"/>
                <w:color w:val="000000"/>
              </w:rPr>
              <w:t>95% conf. interval</w:t>
            </w:r>
          </w:p>
        </w:tc>
      </w:tr>
      <w:tr w:rsidR="00B54D51" w:rsidRPr="00037AD4" w14:paraId="0A27EC62" w14:textId="77777777" w:rsidTr="00401C67">
        <w:trPr>
          <w:trHeight w:val="320"/>
        </w:trPr>
        <w:tc>
          <w:tcPr>
            <w:tcW w:w="5000" w:type="pct"/>
            <w:gridSpan w:val="7"/>
            <w:shd w:val="clear" w:color="auto" w:fill="F2F2F2" w:themeFill="background1" w:themeFillShade="F2"/>
            <w:noWrap/>
            <w:hideMark/>
          </w:tcPr>
          <w:p w14:paraId="390B8632" w14:textId="77777777" w:rsidR="00B54D51" w:rsidRPr="00037AD4" w:rsidRDefault="00B54D51" w:rsidP="00401C67">
            <w:pPr>
              <w:rPr>
                <w:rFonts w:ascii="Calibri" w:hAnsi="Calibri" w:cs="Calibri"/>
                <w:color w:val="000000"/>
              </w:rPr>
            </w:pPr>
            <w:r w:rsidRPr="00037AD4">
              <w:rPr>
                <w:rFonts w:ascii="Calibri" w:hAnsi="Calibri" w:cs="Calibri"/>
                <w:color w:val="000000"/>
              </w:rPr>
              <w:t>PwD self-care level 1 (= base outcome)</w:t>
            </w:r>
          </w:p>
        </w:tc>
      </w:tr>
      <w:tr w:rsidR="00B54D51" w:rsidRPr="00037AD4" w14:paraId="095D8A0E" w14:textId="77777777" w:rsidTr="00401C67">
        <w:trPr>
          <w:trHeight w:val="320"/>
        </w:trPr>
        <w:tc>
          <w:tcPr>
            <w:tcW w:w="5000" w:type="pct"/>
            <w:gridSpan w:val="7"/>
            <w:shd w:val="clear" w:color="auto" w:fill="F2F2F2" w:themeFill="background1" w:themeFillShade="F2"/>
            <w:noWrap/>
            <w:hideMark/>
          </w:tcPr>
          <w:p w14:paraId="38A41244" w14:textId="77777777" w:rsidR="00B54D51" w:rsidRPr="00037AD4" w:rsidRDefault="00B54D51" w:rsidP="00401C67">
            <w:pPr>
              <w:rPr>
                <w:sz w:val="20"/>
                <w:szCs w:val="20"/>
              </w:rPr>
            </w:pPr>
            <w:r w:rsidRPr="00037AD4">
              <w:rPr>
                <w:rFonts w:ascii="Calibri" w:hAnsi="Calibri" w:cs="Calibri"/>
                <w:color w:val="000000"/>
              </w:rPr>
              <w:t>PwD self-care level 2, predict:</w:t>
            </w:r>
          </w:p>
        </w:tc>
      </w:tr>
      <w:tr w:rsidR="00B54D51" w:rsidRPr="00037AD4" w14:paraId="6243FA65" w14:textId="77777777" w:rsidTr="00401C67">
        <w:trPr>
          <w:trHeight w:val="320"/>
        </w:trPr>
        <w:tc>
          <w:tcPr>
            <w:tcW w:w="908" w:type="pct"/>
            <w:noWrap/>
            <w:hideMark/>
          </w:tcPr>
          <w:p w14:paraId="6485FC4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w:t>
            </w:r>
          </w:p>
        </w:tc>
        <w:tc>
          <w:tcPr>
            <w:tcW w:w="1166" w:type="pct"/>
            <w:noWrap/>
            <w:hideMark/>
          </w:tcPr>
          <w:p w14:paraId="032BE452"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-.092 </w:t>
            </w:r>
          </w:p>
        </w:tc>
        <w:tc>
          <w:tcPr>
            <w:tcW w:w="553" w:type="pct"/>
          </w:tcPr>
          <w:p w14:paraId="45E2DDE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.031</w:t>
            </w:r>
          </w:p>
        </w:tc>
        <w:tc>
          <w:tcPr>
            <w:tcW w:w="553" w:type="pct"/>
            <w:noWrap/>
            <w:hideMark/>
          </w:tcPr>
          <w:p w14:paraId="2B68B98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-2.98</w:t>
            </w:r>
          </w:p>
        </w:tc>
        <w:tc>
          <w:tcPr>
            <w:tcW w:w="555" w:type="pct"/>
            <w:noWrap/>
            <w:hideMark/>
          </w:tcPr>
          <w:p w14:paraId="6BA20DC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0.003</w:t>
            </w:r>
          </w:p>
        </w:tc>
        <w:tc>
          <w:tcPr>
            <w:tcW w:w="692" w:type="pct"/>
            <w:noWrap/>
            <w:hideMark/>
          </w:tcPr>
          <w:p w14:paraId="42F7DC7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-0.152</w:t>
            </w:r>
          </w:p>
        </w:tc>
        <w:tc>
          <w:tcPr>
            <w:tcW w:w="573" w:type="pct"/>
            <w:noWrap/>
            <w:hideMark/>
          </w:tcPr>
          <w:p w14:paraId="39D2AD0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-0.031</w:t>
            </w:r>
          </w:p>
        </w:tc>
      </w:tr>
      <w:tr w:rsidR="00B54D51" w:rsidRPr="00037AD4" w14:paraId="7BBD0E22" w14:textId="77777777" w:rsidTr="00401C67">
        <w:trPr>
          <w:trHeight w:val="320"/>
        </w:trPr>
        <w:tc>
          <w:tcPr>
            <w:tcW w:w="908" w:type="pct"/>
            <w:noWrap/>
            <w:hideMark/>
          </w:tcPr>
          <w:p w14:paraId="64E9D84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w:t>
            </w:r>
          </w:p>
        </w:tc>
        <w:tc>
          <w:tcPr>
            <w:tcW w:w="1166" w:type="pct"/>
            <w:noWrap/>
            <w:hideMark/>
          </w:tcPr>
          <w:p w14:paraId="7A1AB843"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.018   </w:t>
            </w:r>
          </w:p>
        </w:tc>
        <w:tc>
          <w:tcPr>
            <w:tcW w:w="553" w:type="pct"/>
          </w:tcPr>
          <w:p w14:paraId="6E1BE37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.006</w:t>
            </w:r>
          </w:p>
        </w:tc>
        <w:tc>
          <w:tcPr>
            <w:tcW w:w="553" w:type="pct"/>
            <w:noWrap/>
            <w:hideMark/>
          </w:tcPr>
          <w:p w14:paraId="3EF13EB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3.25</w:t>
            </w:r>
          </w:p>
        </w:tc>
        <w:tc>
          <w:tcPr>
            <w:tcW w:w="555" w:type="pct"/>
            <w:noWrap/>
            <w:hideMark/>
          </w:tcPr>
          <w:p w14:paraId="47FEE1A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c>
          <w:tcPr>
            <w:tcW w:w="692" w:type="pct"/>
            <w:noWrap/>
            <w:hideMark/>
          </w:tcPr>
          <w:p w14:paraId="18234C8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0.007</w:t>
            </w:r>
          </w:p>
        </w:tc>
        <w:tc>
          <w:tcPr>
            <w:tcW w:w="573" w:type="pct"/>
            <w:noWrap/>
            <w:hideMark/>
          </w:tcPr>
          <w:p w14:paraId="1D3B01B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0.029</w:t>
            </w:r>
          </w:p>
        </w:tc>
      </w:tr>
      <w:tr w:rsidR="00B54D51" w:rsidRPr="00037AD4" w14:paraId="7836138A" w14:textId="77777777" w:rsidTr="00401C67">
        <w:trPr>
          <w:trHeight w:val="320"/>
        </w:trPr>
        <w:tc>
          <w:tcPr>
            <w:tcW w:w="908" w:type="pct"/>
            <w:noWrap/>
            <w:hideMark/>
          </w:tcPr>
          <w:p w14:paraId="1ED433F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w:t>
            </w:r>
          </w:p>
        </w:tc>
        <w:tc>
          <w:tcPr>
            <w:tcW w:w="1166" w:type="pct"/>
            <w:noWrap/>
            <w:hideMark/>
          </w:tcPr>
          <w:p w14:paraId="4DD9C605"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.034   </w:t>
            </w:r>
          </w:p>
        </w:tc>
        <w:tc>
          <w:tcPr>
            <w:tcW w:w="553" w:type="pct"/>
          </w:tcPr>
          <w:p w14:paraId="368E985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.012</w:t>
            </w:r>
          </w:p>
        </w:tc>
        <w:tc>
          <w:tcPr>
            <w:tcW w:w="553" w:type="pct"/>
            <w:noWrap/>
            <w:hideMark/>
          </w:tcPr>
          <w:p w14:paraId="17780CD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2.84</w:t>
            </w:r>
          </w:p>
        </w:tc>
        <w:tc>
          <w:tcPr>
            <w:tcW w:w="555" w:type="pct"/>
            <w:noWrap/>
            <w:hideMark/>
          </w:tcPr>
          <w:p w14:paraId="7392556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0.004</w:t>
            </w:r>
          </w:p>
        </w:tc>
        <w:tc>
          <w:tcPr>
            <w:tcW w:w="692" w:type="pct"/>
            <w:noWrap/>
            <w:hideMark/>
          </w:tcPr>
          <w:p w14:paraId="4FE2FF1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0.011</w:t>
            </w:r>
          </w:p>
        </w:tc>
        <w:tc>
          <w:tcPr>
            <w:tcW w:w="573" w:type="pct"/>
            <w:noWrap/>
            <w:hideMark/>
          </w:tcPr>
          <w:p w14:paraId="5261423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0.058</w:t>
            </w:r>
          </w:p>
        </w:tc>
      </w:tr>
      <w:tr w:rsidR="00B54D51" w:rsidRPr="00037AD4" w14:paraId="72848EFF" w14:textId="77777777" w:rsidTr="00401C67">
        <w:trPr>
          <w:trHeight w:val="320"/>
        </w:trPr>
        <w:tc>
          <w:tcPr>
            <w:tcW w:w="908" w:type="pct"/>
            <w:noWrap/>
            <w:hideMark/>
          </w:tcPr>
          <w:p w14:paraId="4D9893F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w:t>
            </w:r>
          </w:p>
        </w:tc>
        <w:tc>
          <w:tcPr>
            <w:tcW w:w="1166" w:type="pct"/>
            <w:noWrap/>
            <w:hideMark/>
          </w:tcPr>
          <w:p w14:paraId="71721850"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.022    </w:t>
            </w:r>
          </w:p>
        </w:tc>
        <w:tc>
          <w:tcPr>
            <w:tcW w:w="553" w:type="pct"/>
          </w:tcPr>
          <w:p w14:paraId="411BB93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.008</w:t>
            </w:r>
          </w:p>
        </w:tc>
        <w:tc>
          <w:tcPr>
            <w:tcW w:w="553" w:type="pct"/>
            <w:noWrap/>
            <w:hideMark/>
          </w:tcPr>
          <w:p w14:paraId="5F9E1C8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2.68</w:t>
            </w:r>
          </w:p>
        </w:tc>
        <w:tc>
          <w:tcPr>
            <w:tcW w:w="555" w:type="pct"/>
            <w:noWrap/>
            <w:hideMark/>
          </w:tcPr>
          <w:p w14:paraId="4FB8FF7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0.007</w:t>
            </w:r>
          </w:p>
        </w:tc>
        <w:tc>
          <w:tcPr>
            <w:tcW w:w="692" w:type="pct"/>
            <w:noWrap/>
            <w:hideMark/>
          </w:tcPr>
          <w:p w14:paraId="072D80A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0.006</w:t>
            </w:r>
          </w:p>
        </w:tc>
        <w:tc>
          <w:tcPr>
            <w:tcW w:w="573" w:type="pct"/>
            <w:noWrap/>
            <w:hideMark/>
          </w:tcPr>
          <w:p w14:paraId="77AE3DC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0.037</w:t>
            </w:r>
          </w:p>
        </w:tc>
      </w:tr>
      <w:tr w:rsidR="00B54D51" w:rsidRPr="00037AD4" w14:paraId="74040951" w14:textId="77777777" w:rsidTr="00401C67">
        <w:trPr>
          <w:trHeight w:val="320"/>
        </w:trPr>
        <w:tc>
          <w:tcPr>
            <w:tcW w:w="908" w:type="pct"/>
            <w:noWrap/>
            <w:hideMark/>
          </w:tcPr>
          <w:p w14:paraId="626EC42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5</w:t>
            </w:r>
          </w:p>
        </w:tc>
        <w:tc>
          <w:tcPr>
            <w:tcW w:w="1166" w:type="pct"/>
            <w:noWrap/>
            <w:hideMark/>
          </w:tcPr>
          <w:p w14:paraId="4E67B4DA"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.018   </w:t>
            </w:r>
          </w:p>
        </w:tc>
        <w:tc>
          <w:tcPr>
            <w:tcW w:w="553" w:type="pct"/>
          </w:tcPr>
          <w:p w14:paraId="7B92013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.007</w:t>
            </w:r>
          </w:p>
        </w:tc>
        <w:tc>
          <w:tcPr>
            <w:tcW w:w="553" w:type="pct"/>
            <w:noWrap/>
            <w:hideMark/>
          </w:tcPr>
          <w:p w14:paraId="2B46462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2.63</w:t>
            </w:r>
          </w:p>
        </w:tc>
        <w:tc>
          <w:tcPr>
            <w:tcW w:w="555" w:type="pct"/>
            <w:noWrap/>
            <w:hideMark/>
          </w:tcPr>
          <w:p w14:paraId="41FEC4B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0.008</w:t>
            </w:r>
          </w:p>
        </w:tc>
        <w:tc>
          <w:tcPr>
            <w:tcW w:w="692" w:type="pct"/>
            <w:noWrap/>
            <w:hideMark/>
          </w:tcPr>
          <w:p w14:paraId="65CCE22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0.005</w:t>
            </w:r>
          </w:p>
        </w:tc>
        <w:tc>
          <w:tcPr>
            <w:tcW w:w="573" w:type="pct"/>
            <w:noWrap/>
            <w:hideMark/>
          </w:tcPr>
          <w:p w14:paraId="000C542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0.031</w:t>
            </w:r>
          </w:p>
        </w:tc>
      </w:tr>
      <w:tr w:rsidR="00B54D51" w:rsidRPr="00037AD4" w14:paraId="767F90EC" w14:textId="77777777" w:rsidTr="00401C67">
        <w:trPr>
          <w:trHeight w:val="320"/>
        </w:trPr>
        <w:tc>
          <w:tcPr>
            <w:tcW w:w="5000" w:type="pct"/>
            <w:gridSpan w:val="7"/>
            <w:shd w:val="clear" w:color="auto" w:fill="F2F2F2" w:themeFill="background1" w:themeFillShade="F2"/>
            <w:noWrap/>
            <w:hideMark/>
          </w:tcPr>
          <w:p w14:paraId="59E66362" w14:textId="77777777" w:rsidR="00B54D51" w:rsidRPr="00037AD4" w:rsidRDefault="00B54D51" w:rsidP="00401C67">
            <w:pPr>
              <w:rPr>
                <w:sz w:val="20"/>
                <w:szCs w:val="20"/>
              </w:rPr>
            </w:pPr>
            <w:r w:rsidRPr="00037AD4">
              <w:rPr>
                <w:rFonts w:ascii="Calibri" w:hAnsi="Calibri" w:cs="Calibri"/>
                <w:color w:val="000000"/>
              </w:rPr>
              <w:t>PwD self-care level 3, predict:</w:t>
            </w:r>
          </w:p>
        </w:tc>
      </w:tr>
      <w:tr w:rsidR="00B54D51" w:rsidRPr="00037AD4" w14:paraId="44E4BF44" w14:textId="77777777" w:rsidTr="00401C67">
        <w:trPr>
          <w:trHeight w:val="320"/>
        </w:trPr>
        <w:tc>
          <w:tcPr>
            <w:tcW w:w="908" w:type="pct"/>
            <w:noWrap/>
            <w:hideMark/>
          </w:tcPr>
          <w:p w14:paraId="16E7A44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w:t>
            </w:r>
          </w:p>
        </w:tc>
        <w:tc>
          <w:tcPr>
            <w:tcW w:w="1166" w:type="pct"/>
            <w:noWrap/>
            <w:hideMark/>
          </w:tcPr>
          <w:p w14:paraId="4F95D2B1" w14:textId="77777777" w:rsidR="00B54D51" w:rsidRPr="00037AD4" w:rsidRDefault="00B54D51" w:rsidP="00401C67">
            <w:pPr>
              <w:rPr>
                <w:rFonts w:ascii="Calibri" w:hAnsi="Calibri" w:cs="Calibri"/>
                <w:color w:val="000000"/>
              </w:rPr>
            </w:pPr>
            <w:r w:rsidRPr="00037AD4">
              <w:rPr>
                <w:rFonts w:ascii="Calibri" w:hAnsi="Calibri" w:cs="Calibri"/>
                <w:color w:val="000000"/>
              </w:rPr>
              <w:t>-.080</w:t>
            </w:r>
          </w:p>
        </w:tc>
        <w:tc>
          <w:tcPr>
            <w:tcW w:w="553" w:type="pct"/>
          </w:tcPr>
          <w:p w14:paraId="41C0B22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.035</w:t>
            </w:r>
          </w:p>
        </w:tc>
        <w:tc>
          <w:tcPr>
            <w:tcW w:w="553" w:type="pct"/>
            <w:noWrap/>
            <w:hideMark/>
          </w:tcPr>
          <w:p w14:paraId="187F8AE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-2.32</w:t>
            </w:r>
          </w:p>
        </w:tc>
        <w:tc>
          <w:tcPr>
            <w:tcW w:w="555" w:type="pct"/>
            <w:noWrap/>
            <w:hideMark/>
          </w:tcPr>
          <w:p w14:paraId="7000F97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0.020</w:t>
            </w:r>
          </w:p>
        </w:tc>
        <w:tc>
          <w:tcPr>
            <w:tcW w:w="692" w:type="pct"/>
            <w:noWrap/>
            <w:hideMark/>
          </w:tcPr>
          <w:p w14:paraId="706E33F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-0.148</w:t>
            </w:r>
          </w:p>
        </w:tc>
        <w:tc>
          <w:tcPr>
            <w:tcW w:w="573" w:type="pct"/>
            <w:noWrap/>
            <w:hideMark/>
          </w:tcPr>
          <w:p w14:paraId="4ECDB6A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-0.013</w:t>
            </w:r>
          </w:p>
        </w:tc>
      </w:tr>
      <w:tr w:rsidR="00B54D51" w:rsidRPr="00037AD4" w14:paraId="5FB8E6D0" w14:textId="77777777" w:rsidTr="00401C67">
        <w:trPr>
          <w:trHeight w:val="320"/>
        </w:trPr>
        <w:tc>
          <w:tcPr>
            <w:tcW w:w="908" w:type="pct"/>
            <w:noWrap/>
            <w:hideMark/>
          </w:tcPr>
          <w:p w14:paraId="168A800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w:t>
            </w:r>
          </w:p>
        </w:tc>
        <w:tc>
          <w:tcPr>
            <w:tcW w:w="1166" w:type="pct"/>
            <w:noWrap/>
            <w:hideMark/>
          </w:tcPr>
          <w:p w14:paraId="5A5F3F39" w14:textId="77777777" w:rsidR="00B54D51" w:rsidRPr="00037AD4" w:rsidRDefault="00B54D51" w:rsidP="00401C67">
            <w:pPr>
              <w:rPr>
                <w:rFonts w:ascii="Calibri" w:hAnsi="Calibri" w:cs="Calibri"/>
                <w:color w:val="000000"/>
              </w:rPr>
            </w:pPr>
            <w:r w:rsidRPr="00037AD4">
              <w:rPr>
                <w:rFonts w:ascii="Calibri" w:hAnsi="Calibri" w:cs="Calibri"/>
                <w:color w:val="000000"/>
              </w:rPr>
              <w:t>.016</w:t>
            </w:r>
          </w:p>
        </w:tc>
        <w:tc>
          <w:tcPr>
            <w:tcW w:w="553" w:type="pct"/>
          </w:tcPr>
          <w:p w14:paraId="1309590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.006</w:t>
            </w:r>
          </w:p>
        </w:tc>
        <w:tc>
          <w:tcPr>
            <w:tcW w:w="553" w:type="pct"/>
            <w:noWrap/>
            <w:hideMark/>
          </w:tcPr>
          <w:p w14:paraId="68A8596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2.55</w:t>
            </w:r>
          </w:p>
        </w:tc>
        <w:tc>
          <w:tcPr>
            <w:tcW w:w="555" w:type="pct"/>
            <w:noWrap/>
            <w:hideMark/>
          </w:tcPr>
          <w:p w14:paraId="1D7A765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0.011</w:t>
            </w:r>
          </w:p>
        </w:tc>
        <w:tc>
          <w:tcPr>
            <w:tcW w:w="692" w:type="pct"/>
            <w:noWrap/>
            <w:hideMark/>
          </w:tcPr>
          <w:p w14:paraId="7E1A009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0.004</w:t>
            </w:r>
          </w:p>
        </w:tc>
        <w:tc>
          <w:tcPr>
            <w:tcW w:w="573" w:type="pct"/>
            <w:noWrap/>
            <w:hideMark/>
          </w:tcPr>
          <w:p w14:paraId="469510F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0.029</w:t>
            </w:r>
          </w:p>
        </w:tc>
      </w:tr>
      <w:tr w:rsidR="00B54D51" w:rsidRPr="00037AD4" w14:paraId="2EA2EAC9" w14:textId="77777777" w:rsidTr="00401C67">
        <w:trPr>
          <w:trHeight w:val="320"/>
        </w:trPr>
        <w:tc>
          <w:tcPr>
            <w:tcW w:w="908" w:type="pct"/>
            <w:noWrap/>
            <w:hideMark/>
          </w:tcPr>
          <w:p w14:paraId="537BA8E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w:t>
            </w:r>
          </w:p>
        </w:tc>
        <w:tc>
          <w:tcPr>
            <w:tcW w:w="1166" w:type="pct"/>
            <w:noWrap/>
            <w:hideMark/>
          </w:tcPr>
          <w:p w14:paraId="4A0BA2F9"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.030  </w:t>
            </w:r>
          </w:p>
        </w:tc>
        <w:tc>
          <w:tcPr>
            <w:tcW w:w="553" w:type="pct"/>
          </w:tcPr>
          <w:p w14:paraId="3B780A5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.013</w:t>
            </w:r>
          </w:p>
        </w:tc>
        <w:tc>
          <w:tcPr>
            <w:tcW w:w="553" w:type="pct"/>
            <w:noWrap/>
            <w:hideMark/>
          </w:tcPr>
          <w:p w14:paraId="07327EC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2.32</w:t>
            </w:r>
          </w:p>
        </w:tc>
        <w:tc>
          <w:tcPr>
            <w:tcW w:w="555" w:type="pct"/>
            <w:noWrap/>
            <w:hideMark/>
          </w:tcPr>
          <w:p w14:paraId="373789B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0.021</w:t>
            </w:r>
          </w:p>
        </w:tc>
        <w:tc>
          <w:tcPr>
            <w:tcW w:w="692" w:type="pct"/>
            <w:noWrap/>
            <w:hideMark/>
          </w:tcPr>
          <w:p w14:paraId="68AA118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0.005</w:t>
            </w:r>
          </w:p>
        </w:tc>
        <w:tc>
          <w:tcPr>
            <w:tcW w:w="573" w:type="pct"/>
            <w:noWrap/>
            <w:hideMark/>
          </w:tcPr>
          <w:p w14:paraId="5F6E89A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0.055</w:t>
            </w:r>
          </w:p>
        </w:tc>
      </w:tr>
      <w:tr w:rsidR="00B54D51" w:rsidRPr="00037AD4" w14:paraId="79D2AAEF" w14:textId="77777777" w:rsidTr="00401C67">
        <w:trPr>
          <w:trHeight w:val="320"/>
        </w:trPr>
        <w:tc>
          <w:tcPr>
            <w:tcW w:w="908" w:type="pct"/>
            <w:noWrap/>
            <w:hideMark/>
          </w:tcPr>
          <w:p w14:paraId="3B16002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w:t>
            </w:r>
          </w:p>
        </w:tc>
        <w:tc>
          <w:tcPr>
            <w:tcW w:w="1166" w:type="pct"/>
            <w:noWrap/>
            <w:hideMark/>
          </w:tcPr>
          <w:p w14:paraId="5611B269"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.019  </w:t>
            </w:r>
          </w:p>
        </w:tc>
        <w:tc>
          <w:tcPr>
            <w:tcW w:w="553" w:type="pct"/>
          </w:tcPr>
          <w:p w14:paraId="7FF64DD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.009</w:t>
            </w:r>
          </w:p>
        </w:tc>
        <w:tc>
          <w:tcPr>
            <w:tcW w:w="553" w:type="pct"/>
            <w:noWrap/>
            <w:hideMark/>
          </w:tcPr>
          <w:p w14:paraId="2715404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2.17</w:t>
            </w:r>
          </w:p>
        </w:tc>
        <w:tc>
          <w:tcPr>
            <w:tcW w:w="555" w:type="pct"/>
            <w:noWrap/>
            <w:hideMark/>
          </w:tcPr>
          <w:p w14:paraId="75505B9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0.030</w:t>
            </w:r>
          </w:p>
        </w:tc>
        <w:tc>
          <w:tcPr>
            <w:tcW w:w="692" w:type="pct"/>
            <w:noWrap/>
            <w:hideMark/>
          </w:tcPr>
          <w:p w14:paraId="26D630E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0.002</w:t>
            </w:r>
          </w:p>
        </w:tc>
        <w:tc>
          <w:tcPr>
            <w:tcW w:w="573" w:type="pct"/>
            <w:noWrap/>
            <w:hideMark/>
          </w:tcPr>
          <w:p w14:paraId="021EFCB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0.036</w:t>
            </w:r>
          </w:p>
        </w:tc>
      </w:tr>
      <w:tr w:rsidR="00B54D51" w:rsidRPr="00037AD4" w14:paraId="5BF0C2EF" w14:textId="77777777" w:rsidTr="00401C67">
        <w:trPr>
          <w:trHeight w:val="320"/>
        </w:trPr>
        <w:tc>
          <w:tcPr>
            <w:tcW w:w="908" w:type="pct"/>
            <w:noWrap/>
            <w:hideMark/>
          </w:tcPr>
          <w:p w14:paraId="21F48F9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5</w:t>
            </w:r>
          </w:p>
        </w:tc>
        <w:tc>
          <w:tcPr>
            <w:tcW w:w="1166" w:type="pct"/>
            <w:noWrap/>
            <w:hideMark/>
          </w:tcPr>
          <w:p w14:paraId="3E35222B"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.015   </w:t>
            </w:r>
          </w:p>
        </w:tc>
        <w:tc>
          <w:tcPr>
            <w:tcW w:w="553" w:type="pct"/>
          </w:tcPr>
          <w:p w14:paraId="176C99B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.008</w:t>
            </w:r>
          </w:p>
        </w:tc>
        <w:tc>
          <w:tcPr>
            <w:tcW w:w="553" w:type="pct"/>
            <w:noWrap/>
            <w:hideMark/>
          </w:tcPr>
          <w:p w14:paraId="3C5125D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1.96</w:t>
            </w:r>
          </w:p>
        </w:tc>
        <w:tc>
          <w:tcPr>
            <w:tcW w:w="555" w:type="pct"/>
            <w:noWrap/>
            <w:hideMark/>
          </w:tcPr>
          <w:p w14:paraId="1025A3B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0.050</w:t>
            </w:r>
          </w:p>
        </w:tc>
        <w:tc>
          <w:tcPr>
            <w:tcW w:w="692" w:type="pct"/>
            <w:noWrap/>
            <w:hideMark/>
          </w:tcPr>
          <w:p w14:paraId="0F05771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573" w:type="pct"/>
            <w:noWrap/>
            <w:hideMark/>
          </w:tcPr>
          <w:p w14:paraId="5FB5C91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0.031</w:t>
            </w:r>
          </w:p>
        </w:tc>
      </w:tr>
      <w:tr w:rsidR="00B54D51" w:rsidRPr="00037AD4" w14:paraId="34077561" w14:textId="77777777" w:rsidTr="00401C67">
        <w:trPr>
          <w:trHeight w:val="320"/>
        </w:trPr>
        <w:tc>
          <w:tcPr>
            <w:tcW w:w="4427" w:type="pct"/>
            <w:gridSpan w:val="6"/>
            <w:shd w:val="clear" w:color="auto" w:fill="F2F2F2" w:themeFill="background1" w:themeFillShade="F2"/>
            <w:noWrap/>
            <w:hideMark/>
          </w:tcPr>
          <w:p w14:paraId="3E733885" w14:textId="77777777" w:rsidR="00B54D51" w:rsidRPr="00037AD4" w:rsidRDefault="00B54D51" w:rsidP="00401C67">
            <w:pPr>
              <w:rPr>
                <w:sz w:val="20"/>
                <w:szCs w:val="20"/>
              </w:rPr>
            </w:pPr>
            <w:r w:rsidRPr="00037AD4">
              <w:rPr>
                <w:rFonts w:ascii="Calibri" w:hAnsi="Calibri" w:cs="Calibri"/>
                <w:color w:val="000000"/>
              </w:rPr>
              <w:t>PwD self-care level 4, predict:</w:t>
            </w:r>
          </w:p>
        </w:tc>
        <w:tc>
          <w:tcPr>
            <w:tcW w:w="573" w:type="pct"/>
            <w:noWrap/>
            <w:hideMark/>
          </w:tcPr>
          <w:p w14:paraId="654C1D28" w14:textId="77777777" w:rsidR="00B54D51" w:rsidRPr="00037AD4" w:rsidRDefault="00B54D51" w:rsidP="00401C67">
            <w:pPr>
              <w:rPr>
                <w:sz w:val="20"/>
                <w:szCs w:val="20"/>
              </w:rPr>
            </w:pPr>
          </w:p>
        </w:tc>
      </w:tr>
      <w:tr w:rsidR="00B54D51" w:rsidRPr="00037AD4" w14:paraId="24C1D531" w14:textId="77777777" w:rsidTr="00401C67">
        <w:trPr>
          <w:trHeight w:val="320"/>
        </w:trPr>
        <w:tc>
          <w:tcPr>
            <w:tcW w:w="908" w:type="pct"/>
            <w:noWrap/>
            <w:hideMark/>
          </w:tcPr>
          <w:p w14:paraId="1D2EC8A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w:t>
            </w:r>
          </w:p>
        </w:tc>
        <w:tc>
          <w:tcPr>
            <w:tcW w:w="1166" w:type="pct"/>
            <w:noWrap/>
            <w:hideMark/>
          </w:tcPr>
          <w:p w14:paraId="26D49446"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-.291 </w:t>
            </w:r>
          </w:p>
        </w:tc>
        <w:tc>
          <w:tcPr>
            <w:tcW w:w="553" w:type="pct"/>
          </w:tcPr>
          <w:p w14:paraId="4449009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.072</w:t>
            </w:r>
          </w:p>
        </w:tc>
        <w:tc>
          <w:tcPr>
            <w:tcW w:w="553" w:type="pct"/>
            <w:noWrap/>
            <w:hideMark/>
          </w:tcPr>
          <w:p w14:paraId="3FA8A5C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-4.07</w:t>
            </w:r>
          </w:p>
        </w:tc>
        <w:tc>
          <w:tcPr>
            <w:tcW w:w="555" w:type="pct"/>
            <w:noWrap/>
            <w:hideMark/>
          </w:tcPr>
          <w:p w14:paraId="43ECA5F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692" w:type="pct"/>
            <w:noWrap/>
            <w:hideMark/>
          </w:tcPr>
          <w:p w14:paraId="68A823C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-0.431</w:t>
            </w:r>
          </w:p>
        </w:tc>
        <w:tc>
          <w:tcPr>
            <w:tcW w:w="573" w:type="pct"/>
            <w:noWrap/>
            <w:hideMark/>
          </w:tcPr>
          <w:p w14:paraId="1570D5A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-0.151</w:t>
            </w:r>
          </w:p>
        </w:tc>
      </w:tr>
      <w:tr w:rsidR="00B54D51" w:rsidRPr="00037AD4" w14:paraId="3249EAB4" w14:textId="77777777" w:rsidTr="00401C67">
        <w:trPr>
          <w:trHeight w:val="320"/>
        </w:trPr>
        <w:tc>
          <w:tcPr>
            <w:tcW w:w="908" w:type="pct"/>
            <w:noWrap/>
            <w:hideMark/>
          </w:tcPr>
          <w:p w14:paraId="3B1C8AF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w:t>
            </w:r>
          </w:p>
        </w:tc>
        <w:tc>
          <w:tcPr>
            <w:tcW w:w="1166" w:type="pct"/>
            <w:noWrap/>
            <w:hideMark/>
          </w:tcPr>
          <w:p w14:paraId="510D3C71"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.019   </w:t>
            </w:r>
          </w:p>
        </w:tc>
        <w:tc>
          <w:tcPr>
            <w:tcW w:w="553" w:type="pct"/>
          </w:tcPr>
          <w:p w14:paraId="03D492C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.016</w:t>
            </w:r>
          </w:p>
        </w:tc>
        <w:tc>
          <w:tcPr>
            <w:tcW w:w="553" w:type="pct"/>
            <w:noWrap/>
            <w:hideMark/>
          </w:tcPr>
          <w:p w14:paraId="0D10442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1.16</w:t>
            </w:r>
          </w:p>
        </w:tc>
        <w:tc>
          <w:tcPr>
            <w:tcW w:w="555" w:type="pct"/>
            <w:noWrap/>
            <w:hideMark/>
          </w:tcPr>
          <w:p w14:paraId="441232F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0.246</w:t>
            </w:r>
          </w:p>
        </w:tc>
        <w:tc>
          <w:tcPr>
            <w:tcW w:w="692" w:type="pct"/>
            <w:noWrap/>
            <w:hideMark/>
          </w:tcPr>
          <w:p w14:paraId="09397E6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-0.013</w:t>
            </w:r>
          </w:p>
        </w:tc>
        <w:tc>
          <w:tcPr>
            <w:tcW w:w="573" w:type="pct"/>
            <w:noWrap/>
            <w:hideMark/>
          </w:tcPr>
          <w:p w14:paraId="7DB20A8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0.050</w:t>
            </w:r>
          </w:p>
        </w:tc>
      </w:tr>
      <w:tr w:rsidR="00B54D51" w:rsidRPr="00037AD4" w14:paraId="4D2DBB52" w14:textId="77777777" w:rsidTr="00401C67">
        <w:trPr>
          <w:trHeight w:val="320"/>
        </w:trPr>
        <w:tc>
          <w:tcPr>
            <w:tcW w:w="908" w:type="pct"/>
            <w:noWrap/>
            <w:hideMark/>
          </w:tcPr>
          <w:p w14:paraId="58BDCE5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w:t>
            </w:r>
          </w:p>
        </w:tc>
        <w:tc>
          <w:tcPr>
            <w:tcW w:w="1166" w:type="pct"/>
            <w:noWrap/>
            <w:hideMark/>
          </w:tcPr>
          <w:p w14:paraId="04A19602"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.095   </w:t>
            </w:r>
          </w:p>
        </w:tc>
        <w:tc>
          <w:tcPr>
            <w:tcW w:w="553" w:type="pct"/>
          </w:tcPr>
          <w:p w14:paraId="4604794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.022</w:t>
            </w:r>
          </w:p>
        </w:tc>
        <w:tc>
          <w:tcPr>
            <w:tcW w:w="553" w:type="pct"/>
            <w:noWrap/>
            <w:hideMark/>
          </w:tcPr>
          <w:p w14:paraId="34ACAB1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4.25</w:t>
            </w:r>
          </w:p>
        </w:tc>
        <w:tc>
          <w:tcPr>
            <w:tcW w:w="555" w:type="pct"/>
            <w:noWrap/>
            <w:hideMark/>
          </w:tcPr>
          <w:p w14:paraId="5F2CBAE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692" w:type="pct"/>
            <w:noWrap/>
            <w:hideMark/>
          </w:tcPr>
          <w:p w14:paraId="520BA53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0.051</w:t>
            </w:r>
          </w:p>
        </w:tc>
        <w:tc>
          <w:tcPr>
            <w:tcW w:w="573" w:type="pct"/>
            <w:noWrap/>
            <w:hideMark/>
          </w:tcPr>
          <w:p w14:paraId="23CEBCC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0.138</w:t>
            </w:r>
          </w:p>
        </w:tc>
      </w:tr>
      <w:tr w:rsidR="00B54D51" w:rsidRPr="00037AD4" w14:paraId="32E2D0DB" w14:textId="77777777" w:rsidTr="00401C67">
        <w:trPr>
          <w:trHeight w:val="320"/>
        </w:trPr>
        <w:tc>
          <w:tcPr>
            <w:tcW w:w="908" w:type="pct"/>
            <w:noWrap/>
            <w:hideMark/>
          </w:tcPr>
          <w:p w14:paraId="6E78112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w:t>
            </w:r>
          </w:p>
        </w:tc>
        <w:tc>
          <w:tcPr>
            <w:tcW w:w="1166" w:type="pct"/>
            <w:noWrap/>
            <w:hideMark/>
          </w:tcPr>
          <w:p w14:paraId="0F35FEC0"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.077   </w:t>
            </w:r>
          </w:p>
        </w:tc>
        <w:tc>
          <w:tcPr>
            <w:tcW w:w="553" w:type="pct"/>
          </w:tcPr>
          <w:p w14:paraId="257AC49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.025</w:t>
            </w:r>
          </w:p>
        </w:tc>
        <w:tc>
          <w:tcPr>
            <w:tcW w:w="553" w:type="pct"/>
            <w:noWrap/>
            <w:hideMark/>
          </w:tcPr>
          <w:p w14:paraId="71D5DC6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3.01</w:t>
            </w:r>
          </w:p>
        </w:tc>
        <w:tc>
          <w:tcPr>
            <w:tcW w:w="555" w:type="pct"/>
            <w:noWrap/>
            <w:hideMark/>
          </w:tcPr>
          <w:p w14:paraId="34764B8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0.003</w:t>
            </w:r>
          </w:p>
        </w:tc>
        <w:tc>
          <w:tcPr>
            <w:tcW w:w="692" w:type="pct"/>
            <w:noWrap/>
            <w:hideMark/>
          </w:tcPr>
          <w:p w14:paraId="393CD66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0.027</w:t>
            </w:r>
          </w:p>
        </w:tc>
        <w:tc>
          <w:tcPr>
            <w:tcW w:w="573" w:type="pct"/>
            <w:noWrap/>
            <w:hideMark/>
          </w:tcPr>
          <w:p w14:paraId="6DFA357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0.127</w:t>
            </w:r>
          </w:p>
        </w:tc>
      </w:tr>
      <w:tr w:rsidR="00B54D51" w:rsidRPr="00037AD4" w14:paraId="6EEEF831" w14:textId="77777777" w:rsidTr="00401C67">
        <w:trPr>
          <w:trHeight w:val="320"/>
        </w:trPr>
        <w:tc>
          <w:tcPr>
            <w:tcW w:w="908" w:type="pct"/>
            <w:noWrap/>
            <w:hideMark/>
          </w:tcPr>
          <w:p w14:paraId="4273304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5</w:t>
            </w:r>
          </w:p>
        </w:tc>
        <w:tc>
          <w:tcPr>
            <w:tcW w:w="1166" w:type="pct"/>
            <w:noWrap/>
            <w:hideMark/>
          </w:tcPr>
          <w:p w14:paraId="58111CDE"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.101  </w:t>
            </w:r>
          </w:p>
        </w:tc>
        <w:tc>
          <w:tcPr>
            <w:tcW w:w="553" w:type="pct"/>
          </w:tcPr>
          <w:p w14:paraId="238D462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.044</w:t>
            </w:r>
          </w:p>
        </w:tc>
        <w:tc>
          <w:tcPr>
            <w:tcW w:w="553" w:type="pct"/>
            <w:noWrap/>
            <w:hideMark/>
          </w:tcPr>
          <w:p w14:paraId="7DC8B69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2.30</w:t>
            </w:r>
          </w:p>
        </w:tc>
        <w:tc>
          <w:tcPr>
            <w:tcW w:w="555" w:type="pct"/>
            <w:noWrap/>
            <w:hideMark/>
          </w:tcPr>
          <w:p w14:paraId="1811545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0.022</w:t>
            </w:r>
          </w:p>
        </w:tc>
        <w:tc>
          <w:tcPr>
            <w:tcW w:w="692" w:type="pct"/>
            <w:noWrap/>
            <w:hideMark/>
          </w:tcPr>
          <w:p w14:paraId="6BDE2C5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0.015</w:t>
            </w:r>
          </w:p>
        </w:tc>
        <w:tc>
          <w:tcPr>
            <w:tcW w:w="573" w:type="pct"/>
            <w:noWrap/>
            <w:hideMark/>
          </w:tcPr>
          <w:p w14:paraId="45587E3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0.187</w:t>
            </w:r>
          </w:p>
        </w:tc>
      </w:tr>
      <w:tr w:rsidR="00B54D51" w:rsidRPr="00037AD4" w14:paraId="03A45A6D" w14:textId="77777777" w:rsidTr="00401C67">
        <w:trPr>
          <w:trHeight w:val="320"/>
        </w:trPr>
        <w:tc>
          <w:tcPr>
            <w:tcW w:w="5000" w:type="pct"/>
            <w:gridSpan w:val="7"/>
            <w:shd w:val="clear" w:color="auto" w:fill="F2F2F2" w:themeFill="background1" w:themeFillShade="F2"/>
            <w:noWrap/>
            <w:hideMark/>
          </w:tcPr>
          <w:p w14:paraId="60B46570" w14:textId="77777777" w:rsidR="00B54D51" w:rsidRPr="00037AD4" w:rsidRDefault="00B54D51" w:rsidP="00401C67">
            <w:pPr>
              <w:rPr>
                <w:sz w:val="20"/>
                <w:szCs w:val="20"/>
              </w:rPr>
            </w:pPr>
            <w:r w:rsidRPr="00037AD4">
              <w:rPr>
                <w:rFonts w:ascii="Calibri" w:hAnsi="Calibri" w:cs="Calibri"/>
                <w:color w:val="000000"/>
              </w:rPr>
              <w:t>PwD self-care level 5, predict:</w:t>
            </w:r>
          </w:p>
        </w:tc>
      </w:tr>
      <w:tr w:rsidR="00B54D51" w:rsidRPr="00037AD4" w14:paraId="5FBE7D61" w14:textId="77777777" w:rsidTr="00401C67">
        <w:trPr>
          <w:trHeight w:val="320"/>
        </w:trPr>
        <w:tc>
          <w:tcPr>
            <w:tcW w:w="908" w:type="pct"/>
            <w:noWrap/>
            <w:hideMark/>
          </w:tcPr>
          <w:p w14:paraId="532DA7D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w:t>
            </w:r>
          </w:p>
        </w:tc>
        <w:tc>
          <w:tcPr>
            <w:tcW w:w="1166" w:type="pct"/>
            <w:noWrap/>
            <w:hideMark/>
          </w:tcPr>
          <w:p w14:paraId="198BDAD0" w14:textId="77777777" w:rsidR="00B54D51" w:rsidRPr="00037AD4" w:rsidRDefault="00B54D51" w:rsidP="00401C67">
            <w:pPr>
              <w:rPr>
                <w:rFonts w:ascii="Calibri" w:hAnsi="Calibri" w:cs="Calibri"/>
                <w:color w:val="000000"/>
              </w:rPr>
            </w:pPr>
            <w:r w:rsidRPr="00037AD4">
              <w:rPr>
                <w:rFonts w:ascii="Calibri" w:hAnsi="Calibri" w:cs="Calibri"/>
                <w:color w:val="000000"/>
              </w:rPr>
              <w:t>-.307</w:t>
            </w:r>
          </w:p>
        </w:tc>
        <w:tc>
          <w:tcPr>
            <w:tcW w:w="553" w:type="pct"/>
          </w:tcPr>
          <w:p w14:paraId="255627E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.087</w:t>
            </w:r>
          </w:p>
        </w:tc>
        <w:tc>
          <w:tcPr>
            <w:tcW w:w="553" w:type="pct"/>
            <w:noWrap/>
            <w:hideMark/>
          </w:tcPr>
          <w:p w14:paraId="754536D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-3.52</w:t>
            </w:r>
          </w:p>
        </w:tc>
        <w:tc>
          <w:tcPr>
            <w:tcW w:w="555" w:type="pct"/>
            <w:noWrap/>
            <w:hideMark/>
          </w:tcPr>
          <w:p w14:paraId="7B56786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692" w:type="pct"/>
            <w:noWrap/>
            <w:hideMark/>
          </w:tcPr>
          <w:p w14:paraId="3F54EEC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-0.478</w:t>
            </w:r>
          </w:p>
        </w:tc>
        <w:tc>
          <w:tcPr>
            <w:tcW w:w="573" w:type="pct"/>
            <w:noWrap/>
            <w:hideMark/>
          </w:tcPr>
          <w:p w14:paraId="3859953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-0.136</w:t>
            </w:r>
          </w:p>
        </w:tc>
      </w:tr>
      <w:tr w:rsidR="00B54D51" w:rsidRPr="00037AD4" w14:paraId="67A90981" w14:textId="77777777" w:rsidTr="00401C67">
        <w:trPr>
          <w:trHeight w:val="320"/>
        </w:trPr>
        <w:tc>
          <w:tcPr>
            <w:tcW w:w="908" w:type="pct"/>
            <w:noWrap/>
            <w:hideMark/>
          </w:tcPr>
          <w:p w14:paraId="29DCCBA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w:t>
            </w:r>
          </w:p>
        </w:tc>
        <w:tc>
          <w:tcPr>
            <w:tcW w:w="1166" w:type="pct"/>
            <w:noWrap/>
            <w:hideMark/>
          </w:tcPr>
          <w:p w14:paraId="167CADB7"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.015   </w:t>
            </w:r>
          </w:p>
        </w:tc>
        <w:tc>
          <w:tcPr>
            <w:tcW w:w="553" w:type="pct"/>
          </w:tcPr>
          <w:p w14:paraId="4821113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.024</w:t>
            </w:r>
          </w:p>
        </w:tc>
        <w:tc>
          <w:tcPr>
            <w:tcW w:w="553" w:type="pct"/>
            <w:noWrap/>
            <w:hideMark/>
          </w:tcPr>
          <w:p w14:paraId="379EF6C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0.62</w:t>
            </w:r>
          </w:p>
        </w:tc>
        <w:tc>
          <w:tcPr>
            <w:tcW w:w="555" w:type="pct"/>
            <w:noWrap/>
            <w:hideMark/>
          </w:tcPr>
          <w:p w14:paraId="686DEAC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0.535</w:t>
            </w:r>
          </w:p>
        </w:tc>
        <w:tc>
          <w:tcPr>
            <w:tcW w:w="692" w:type="pct"/>
            <w:noWrap/>
            <w:hideMark/>
          </w:tcPr>
          <w:p w14:paraId="5BD6021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-0.032</w:t>
            </w:r>
          </w:p>
        </w:tc>
        <w:tc>
          <w:tcPr>
            <w:tcW w:w="573" w:type="pct"/>
            <w:noWrap/>
            <w:hideMark/>
          </w:tcPr>
          <w:p w14:paraId="3C1AB54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0.062</w:t>
            </w:r>
          </w:p>
        </w:tc>
      </w:tr>
      <w:tr w:rsidR="00B54D51" w:rsidRPr="00037AD4" w14:paraId="575D69A5" w14:textId="77777777" w:rsidTr="00401C67">
        <w:trPr>
          <w:trHeight w:val="320"/>
        </w:trPr>
        <w:tc>
          <w:tcPr>
            <w:tcW w:w="908" w:type="pct"/>
            <w:noWrap/>
            <w:hideMark/>
          </w:tcPr>
          <w:p w14:paraId="5ADE9A3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w:t>
            </w:r>
          </w:p>
        </w:tc>
        <w:tc>
          <w:tcPr>
            <w:tcW w:w="1166" w:type="pct"/>
            <w:noWrap/>
            <w:hideMark/>
          </w:tcPr>
          <w:p w14:paraId="28CF0F97"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.099   </w:t>
            </w:r>
          </w:p>
        </w:tc>
        <w:tc>
          <w:tcPr>
            <w:tcW w:w="553" w:type="pct"/>
          </w:tcPr>
          <w:p w14:paraId="2A95E50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.025</w:t>
            </w:r>
          </w:p>
        </w:tc>
        <w:tc>
          <w:tcPr>
            <w:tcW w:w="553" w:type="pct"/>
            <w:noWrap/>
            <w:hideMark/>
          </w:tcPr>
          <w:p w14:paraId="537F265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3.90</w:t>
            </w:r>
          </w:p>
        </w:tc>
        <w:tc>
          <w:tcPr>
            <w:tcW w:w="555" w:type="pct"/>
            <w:noWrap/>
            <w:hideMark/>
          </w:tcPr>
          <w:p w14:paraId="4FEE9C5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692" w:type="pct"/>
            <w:noWrap/>
            <w:hideMark/>
          </w:tcPr>
          <w:p w14:paraId="0FEF988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0.049</w:t>
            </w:r>
          </w:p>
        </w:tc>
        <w:tc>
          <w:tcPr>
            <w:tcW w:w="573" w:type="pct"/>
            <w:noWrap/>
            <w:hideMark/>
          </w:tcPr>
          <w:p w14:paraId="75BC643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0.148</w:t>
            </w:r>
          </w:p>
        </w:tc>
      </w:tr>
      <w:tr w:rsidR="00B54D51" w:rsidRPr="00037AD4" w14:paraId="7700EC92" w14:textId="77777777" w:rsidTr="00401C67">
        <w:trPr>
          <w:trHeight w:val="320"/>
        </w:trPr>
        <w:tc>
          <w:tcPr>
            <w:tcW w:w="908" w:type="pct"/>
            <w:noWrap/>
            <w:hideMark/>
          </w:tcPr>
          <w:p w14:paraId="35AACCD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w:t>
            </w:r>
          </w:p>
        </w:tc>
        <w:tc>
          <w:tcPr>
            <w:tcW w:w="1166" w:type="pct"/>
            <w:noWrap/>
            <w:hideMark/>
          </w:tcPr>
          <w:p w14:paraId="7481FFAA"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.082   </w:t>
            </w:r>
          </w:p>
        </w:tc>
        <w:tc>
          <w:tcPr>
            <w:tcW w:w="553" w:type="pct"/>
          </w:tcPr>
          <w:p w14:paraId="3A3A249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.029</w:t>
            </w:r>
          </w:p>
        </w:tc>
        <w:tc>
          <w:tcPr>
            <w:tcW w:w="553" w:type="pct"/>
            <w:noWrap/>
            <w:hideMark/>
          </w:tcPr>
          <w:p w14:paraId="639B0DE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2.84</w:t>
            </w:r>
          </w:p>
        </w:tc>
        <w:tc>
          <w:tcPr>
            <w:tcW w:w="555" w:type="pct"/>
            <w:noWrap/>
            <w:hideMark/>
          </w:tcPr>
          <w:p w14:paraId="4E71F8B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0.005</w:t>
            </w:r>
          </w:p>
        </w:tc>
        <w:tc>
          <w:tcPr>
            <w:tcW w:w="692" w:type="pct"/>
            <w:noWrap/>
            <w:hideMark/>
          </w:tcPr>
          <w:p w14:paraId="05605AF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0.025</w:t>
            </w:r>
          </w:p>
        </w:tc>
        <w:tc>
          <w:tcPr>
            <w:tcW w:w="573" w:type="pct"/>
            <w:noWrap/>
            <w:hideMark/>
          </w:tcPr>
          <w:p w14:paraId="5C8F0D5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0.138</w:t>
            </w:r>
          </w:p>
        </w:tc>
      </w:tr>
      <w:tr w:rsidR="00B54D51" w:rsidRPr="00037AD4" w14:paraId="5D50147D" w14:textId="77777777" w:rsidTr="00401C67">
        <w:trPr>
          <w:trHeight w:val="320"/>
        </w:trPr>
        <w:tc>
          <w:tcPr>
            <w:tcW w:w="908" w:type="pct"/>
            <w:noWrap/>
            <w:hideMark/>
          </w:tcPr>
          <w:p w14:paraId="79808EE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5</w:t>
            </w:r>
          </w:p>
        </w:tc>
        <w:tc>
          <w:tcPr>
            <w:tcW w:w="1166" w:type="pct"/>
            <w:noWrap/>
            <w:hideMark/>
          </w:tcPr>
          <w:p w14:paraId="53F81DE5" w14:textId="77777777" w:rsidR="00B54D51" w:rsidRPr="00037AD4" w:rsidRDefault="00B54D51" w:rsidP="00401C67">
            <w:pPr>
              <w:rPr>
                <w:rFonts w:ascii="Calibri" w:hAnsi="Calibri" w:cs="Calibri"/>
                <w:color w:val="000000"/>
              </w:rPr>
            </w:pPr>
            <w:r w:rsidRPr="00037AD4">
              <w:rPr>
                <w:rFonts w:ascii="Calibri" w:hAnsi="Calibri" w:cs="Calibri"/>
                <w:color w:val="000000"/>
              </w:rPr>
              <w:t>.112</w:t>
            </w:r>
          </w:p>
        </w:tc>
        <w:tc>
          <w:tcPr>
            <w:tcW w:w="553" w:type="pct"/>
          </w:tcPr>
          <w:p w14:paraId="709FC78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.062</w:t>
            </w:r>
          </w:p>
        </w:tc>
        <w:tc>
          <w:tcPr>
            <w:tcW w:w="553" w:type="pct"/>
            <w:noWrap/>
            <w:hideMark/>
          </w:tcPr>
          <w:p w14:paraId="3CB5C6F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1.82</w:t>
            </w:r>
          </w:p>
        </w:tc>
        <w:tc>
          <w:tcPr>
            <w:tcW w:w="555" w:type="pct"/>
            <w:noWrap/>
            <w:hideMark/>
          </w:tcPr>
          <w:p w14:paraId="249E5AE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0.069</w:t>
            </w:r>
          </w:p>
        </w:tc>
        <w:tc>
          <w:tcPr>
            <w:tcW w:w="692" w:type="pct"/>
            <w:noWrap/>
            <w:hideMark/>
          </w:tcPr>
          <w:p w14:paraId="6A11343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-0.009</w:t>
            </w:r>
          </w:p>
        </w:tc>
        <w:tc>
          <w:tcPr>
            <w:tcW w:w="573" w:type="pct"/>
            <w:noWrap/>
            <w:hideMark/>
          </w:tcPr>
          <w:p w14:paraId="310D10F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0.233</w:t>
            </w:r>
          </w:p>
        </w:tc>
      </w:tr>
      <w:tr w:rsidR="00B54D51" w:rsidRPr="00037AD4" w14:paraId="45ACA133" w14:textId="77777777" w:rsidTr="00401C67">
        <w:trPr>
          <w:trHeight w:val="320"/>
        </w:trPr>
        <w:tc>
          <w:tcPr>
            <w:tcW w:w="4427" w:type="pct"/>
            <w:gridSpan w:val="6"/>
            <w:shd w:val="clear" w:color="auto" w:fill="F2F2F2" w:themeFill="background1" w:themeFillShade="F2"/>
            <w:noWrap/>
            <w:hideMark/>
          </w:tcPr>
          <w:p w14:paraId="642EF3EC" w14:textId="77777777" w:rsidR="00B54D51" w:rsidRPr="00037AD4" w:rsidRDefault="00B54D51" w:rsidP="00401C67">
            <w:pPr>
              <w:rPr>
                <w:sz w:val="20"/>
                <w:szCs w:val="20"/>
              </w:rPr>
            </w:pPr>
            <w:r w:rsidRPr="00037AD4">
              <w:rPr>
                <w:rFonts w:ascii="Calibri" w:hAnsi="Calibri" w:cs="Calibri"/>
                <w:color w:val="000000"/>
              </w:rPr>
              <w:t>MMSE total score, predict:</w:t>
            </w:r>
          </w:p>
        </w:tc>
        <w:tc>
          <w:tcPr>
            <w:tcW w:w="573" w:type="pct"/>
            <w:noWrap/>
            <w:hideMark/>
          </w:tcPr>
          <w:p w14:paraId="78508FE1" w14:textId="77777777" w:rsidR="00B54D51" w:rsidRPr="00037AD4" w:rsidRDefault="00B54D51" w:rsidP="00401C67">
            <w:pPr>
              <w:rPr>
                <w:sz w:val="20"/>
                <w:szCs w:val="20"/>
              </w:rPr>
            </w:pPr>
          </w:p>
        </w:tc>
      </w:tr>
      <w:tr w:rsidR="00B54D51" w:rsidRPr="00037AD4" w14:paraId="78899931" w14:textId="77777777" w:rsidTr="00401C67">
        <w:trPr>
          <w:trHeight w:val="320"/>
        </w:trPr>
        <w:tc>
          <w:tcPr>
            <w:tcW w:w="908" w:type="pct"/>
            <w:noWrap/>
            <w:hideMark/>
          </w:tcPr>
          <w:p w14:paraId="0AB1021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w:t>
            </w:r>
          </w:p>
        </w:tc>
        <w:tc>
          <w:tcPr>
            <w:tcW w:w="1166" w:type="pct"/>
            <w:noWrap/>
            <w:hideMark/>
          </w:tcPr>
          <w:p w14:paraId="43AACB2E" w14:textId="77777777" w:rsidR="00B54D51" w:rsidRPr="00037AD4" w:rsidRDefault="00B54D51" w:rsidP="00401C67">
            <w:pPr>
              <w:rPr>
                <w:rFonts w:ascii="Calibri" w:hAnsi="Calibri" w:cs="Calibri"/>
                <w:color w:val="000000"/>
              </w:rPr>
            </w:pPr>
            <w:r w:rsidRPr="00037AD4">
              <w:rPr>
                <w:rFonts w:ascii="Calibri" w:hAnsi="Calibri" w:cs="Calibri"/>
                <w:color w:val="000000"/>
              </w:rPr>
              <w:t>.001</w:t>
            </w:r>
          </w:p>
        </w:tc>
        <w:tc>
          <w:tcPr>
            <w:tcW w:w="553" w:type="pct"/>
          </w:tcPr>
          <w:p w14:paraId="0A4189D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w:t>
            </w:r>
          </w:p>
        </w:tc>
        <w:tc>
          <w:tcPr>
            <w:tcW w:w="553" w:type="pct"/>
            <w:noWrap/>
            <w:hideMark/>
          </w:tcPr>
          <w:p w14:paraId="0F51C6B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0.66</w:t>
            </w:r>
          </w:p>
        </w:tc>
        <w:tc>
          <w:tcPr>
            <w:tcW w:w="555" w:type="pct"/>
            <w:noWrap/>
            <w:hideMark/>
          </w:tcPr>
          <w:p w14:paraId="4F400FA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0.507</w:t>
            </w:r>
          </w:p>
        </w:tc>
        <w:tc>
          <w:tcPr>
            <w:tcW w:w="692" w:type="pct"/>
            <w:noWrap/>
            <w:hideMark/>
          </w:tcPr>
          <w:p w14:paraId="67A5389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-0.003</w:t>
            </w:r>
          </w:p>
        </w:tc>
        <w:tc>
          <w:tcPr>
            <w:tcW w:w="573" w:type="pct"/>
            <w:noWrap/>
            <w:hideMark/>
          </w:tcPr>
          <w:p w14:paraId="4879825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0.005</w:t>
            </w:r>
          </w:p>
        </w:tc>
      </w:tr>
      <w:tr w:rsidR="00B54D51" w:rsidRPr="00037AD4" w14:paraId="448C9A33" w14:textId="77777777" w:rsidTr="00401C67">
        <w:trPr>
          <w:trHeight w:val="320"/>
        </w:trPr>
        <w:tc>
          <w:tcPr>
            <w:tcW w:w="908" w:type="pct"/>
            <w:noWrap/>
            <w:hideMark/>
          </w:tcPr>
          <w:p w14:paraId="51C6F45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w:t>
            </w:r>
          </w:p>
        </w:tc>
        <w:tc>
          <w:tcPr>
            <w:tcW w:w="1166" w:type="pct"/>
            <w:noWrap/>
            <w:hideMark/>
          </w:tcPr>
          <w:p w14:paraId="5898C46F"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-.000   </w:t>
            </w:r>
          </w:p>
        </w:tc>
        <w:tc>
          <w:tcPr>
            <w:tcW w:w="553" w:type="pct"/>
          </w:tcPr>
          <w:p w14:paraId="77B4C8D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w:t>
            </w:r>
          </w:p>
        </w:tc>
        <w:tc>
          <w:tcPr>
            <w:tcW w:w="553" w:type="pct"/>
            <w:noWrap/>
            <w:hideMark/>
          </w:tcPr>
          <w:p w14:paraId="6D88C26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-0.66</w:t>
            </w:r>
          </w:p>
        </w:tc>
        <w:tc>
          <w:tcPr>
            <w:tcW w:w="555" w:type="pct"/>
            <w:noWrap/>
            <w:hideMark/>
          </w:tcPr>
          <w:p w14:paraId="3295F5F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0.507</w:t>
            </w:r>
          </w:p>
        </w:tc>
        <w:tc>
          <w:tcPr>
            <w:tcW w:w="692" w:type="pct"/>
            <w:noWrap/>
            <w:hideMark/>
          </w:tcPr>
          <w:p w14:paraId="3E096F1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c>
          <w:tcPr>
            <w:tcW w:w="573" w:type="pct"/>
            <w:noWrap/>
            <w:hideMark/>
          </w:tcPr>
          <w:p w14:paraId="0AF7192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r>
      <w:tr w:rsidR="00B54D51" w:rsidRPr="00037AD4" w14:paraId="4BB2FFD4" w14:textId="77777777" w:rsidTr="00401C67">
        <w:trPr>
          <w:trHeight w:val="320"/>
        </w:trPr>
        <w:tc>
          <w:tcPr>
            <w:tcW w:w="908" w:type="pct"/>
            <w:noWrap/>
            <w:hideMark/>
          </w:tcPr>
          <w:p w14:paraId="610476B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w:t>
            </w:r>
          </w:p>
        </w:tc>
        <w:tc>
          <w:tcPr>
            <w:tcW w:w="1166" w:type="pct"/>
            <w:noWrap/>
            <w:hideMark/>
          </w:tcPr>
          <w:p w14:paraId="034BECD5"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-.000   </w:t>
            </w:r>
          </w:p>
        </w:tc>
        <w:tc>
          <w:tcPr>
            <w:tcW w:w="553" w:type="pct"/>
          </w:tcPr>
          <w:p w14:paraId="12C9556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w:t>
            </w:r>
          </w:p>
        </w:tc>
        <w:tc>
          <w:tcPr>
            <w:tcW w:w="553" w:type="pct"/>
            <w:noWrap/>
            <w:hideMark/>
          </w:tcPr>
          <w:p w14:paraId="50DD7EA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-0.66</w:t>
            </w:r>
          </w:p>
        </w:tc>
        <w:tc>
          <w:tcPr>
            <w:tcW w:w="555" w:type="pct"/>
            <w:noWrap/>
            <w:hideMark/>
          </w:tcPr>
          <w:p w14:paraId="5C5176C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0.507</w:t>
            </w:r>
          </w:p>
        </w:tc>
        <w:tc>
          <w:tcPr>
            <w:tcW w:w="692" w:type="pct"/>
            <w:noWrap/>
            <w:hideMark/>
          </w:tcPr>
          <w:p w14:paraId="3C47B35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-0.002</w:t>
            </w:r>
          </w:p>
        </w:tc>
        <w:tc>
          <w:tcPr>
            <w:tcW w:w="573" w:type="pct"/>
            <w:noWrap/>
            <w:hideMark/>
          </w:tcPr>
          <w:p w14:paraId="25B92AF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r>
      <w:tr w:rsidR="00B54D51" w:rsidRPr="00037AD4" w14:paraId="59E91BCD" w14:textId="77777777" w:rsidTr="00401C67">
        <w:trPr>
          <w:trHeight w:val="320"/>
        </w:trPr>
        <w:tc>
          <w:tcPr>
            <w:tcW w:w="908" w:type="pct"/>
            <w:noWrap/>
            <w:hideMark/>
          </w:tcPr>
          <w:p w14:paraId="2D0D52A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w:t>
            </w:r>
          </w:p>
        </w:tc>
        <w:tc>
          <w:tcPr>
            <w:tcW w:w="1166" w:type="pct"/>
            <w:noWrap/>
            <w:hideMark/>
          </w:tcPr>
          <w:p w14:paraId="73282342"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-.000   </w:t>
            </w:r>
          </w:p>
        </w:tc>
        <w:tc>
          <w:tcPr>
            <w:tcW w:w="553" w:type="pct"/>
          </w:tcPr>
          <w:p w14:paraId="65DD985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w:t>
            </w:r>
          </w:p>
        </w:tc>
        <w:tc>
          <w:tcPr>
            <w:tcW w:w="553" w:type="pct"/>
            <w:noWrap/>
            <w:hideMark/>
          </w:tcPr>
          <w:p w14:paraId="0129CA6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-0.67</w:t>
            </w:r>
          </w:p>
        </w:tc>
        <w:tc>
          <w:tcPr>
            <w:tcW w:w="555" w:type="pct"/>
            <w:noWrap/>
            <w:hideMark/>
          </w:tcPr>
          <w:p w14:paraId="3B45820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0.506</w:t>
            </w:r>
          </w:p>
        </w:tc>
        <w:tc>
          <w:tcPr>
            <w:tcW w:w="692" w:type="pct"/>
            <w:noWrap/>
            <w:hideMark/>
          </w:tcPr>
          <w:p w14:paraId="7499B5A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c>
          <w:tcPr>
            <w:tcW w:w="573" w:type="pct"/>
            <w:noWrap/>
            <w:hideMark/>
          </w:tcPr>
          <w:p w14:paraId="47DBE4E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r>
      <w:tr w:rsidR="00B54D51" w:rsidRPr="00037AD4" w14:paraId="3DE29AD2" w14:textId="77777777" w:rsidTr="00401C67">
        <w:trPr>
          <w:trHeight w:val="320"/>
        </w:trPr>
        <w:tc>
          <w:tcPr>
            <w:tcW w:w="908" w:type="pct"/>
            <w:noWrap/>
            <w:hideMark/>
          </w:tcPr>
          <w:p w14:paraId="5EDC75E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lastRenderedPageBreak/>
              <w:t>5</w:t>
            </w:r>
          </w:p>
        </w:tc>
        <w:tc>
          <w:tcPr>
            <w:tcW w:w="1166" w:type="pct"/>
            <w:noWrap/>
            <w:hideMark/>
          </w:tcPr>
          <w:p w14:paraId="4AA4882B"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-.000    </w:t>
            </w:r>
          </w:p>
        </w:tc>
        <w:tc>
          <w:tcPr>
            <w:tcW w:w="553" w:type="pct"/>
          </w:tcPr>
          <w:p w14:paraId="2508C49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w:t>
            </w:r>
          </w:p>
        </w:tc>
        <w:tc>
          <w:tcPr>
            <w:tcW w:w="553" w:type="pct"/>
            <w:noWrap/>
            <w:hideMark/>
          </w:tcPr>
          <w:p w14:paraId="5C6BC9E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-0.66</w:t>
            </w:r>
          </w:p>
        </w:tc>
        <w:tc>
          <w:tcPr>
            <w:tcW w:w="555" w:type="pct"/>
            <w:noWrap/>
            <w:hideMark/>
          </w:tcPr>
          <w:p w14:paraId="2E2E4B7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0.511</w:t>
            </w:r>
          </w:p>
        </w:tc>
        <w:tc>
          <w:tcPr>
            <w:tcW w:w="692" w:type="pct"/>
            <w:noWrap/>
            <w:hideMark/>
          </w:tcPr>
          <w:p w14:paraId="4112AB5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c>
          <w:tcPr>
            <w:tcW w:w="573" w:type="pct"/>
            <w:noWrap/>
            <w:hideMark/>
          </w:tcPr>
          <w:p w14:paraId="0443F38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r>
      <w:tr w:rsidR="00B54D51" w:rsidRPr="00037AD4" w14:paraId="590DFF7A" w14:textId="77777777" w:rsidTr="00401C67">
        <w:trPr>
          <w:trHeight w:val="320"/>
        </w:trPr>
        <w:tc>
          <w:tcPr>
            <w:tcW w:w="5000" w:type="pct"/>
            <w:gridSpan w:val="7"/>
            <w:shd w:val="clear" w:color="auto" w:fill="F2F2F2" w:themeFill="background1" w:themeFillShade="F2"/>
            <w:noWrap/>
            <w:hideMark/>
          </w:tcPr>
          <w:p w14:paraId="395A5224" w14:textId="77777777" w:rsidR="00B54D51" w:rsidRPr="00037AD4" w:rsidRDefault="00B54D51" w:rsidP="00401C67">
            <w:pPr>
              <w:rPr>
                <w:sz w:val="20"/>
                <w:szCs w:val="20"/>
              </w:rPr>
            </w:pPr>
            <w:r w:rsidRPr="00037AD4">
              <w:rPr>
                <w:rFonts w:ascii="Calibri" w:hAnsi="Calibri" w:cs="Calibri"/>
                <w:color w:val="000000"/>
              </w:rPr>
              <w:t>PSMS score, predict:</w:t>
            </w:r>
          </w:p>
        </w:tc>
      </w:tr>
      <w:tr w:rsidR="00B54D51" w:rsidRPr="00037AD4" w14:paraId="585E8DB1" w14:textId="77777777" w:rsidTr="00401C67">
        <w:trPr>
          <w:trHeight w:val="320"/>
        </w:trPr>
        <w:tc>
          <w:tcPr>
            <w:tcW w:w="908" w:type="pct"/>
            <w:noWrap/>
            <w:hideMark/>
          </w:tcPr>
          <w:p w14:paraId="090EC15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w:t>
            </w:r>
          </w:p>
        </w:tc>
        <w:tc>
          <w:tcPr>
            <w:tcW w:w="1166" w:type="pct"/>
            <w:noWrap/>
            <w:hideMark/>
          </w:tcPr>
          <w:p w14:paraId="161BEE2A" w14:textId="77777777" w:rsidR="00B54D51" w:rsidRPr="00037AD4" w:rsidRDefault="00B54D51" w:rsidP="00401C67">
            <w:pPr>
              <w:rPr>
                <w:rFonts w:ascii="Calibri" w:hAnsi="Calibri" w:cs="Calibri"/>
                <w:color w:val="000000"/>
              </w:rPr>
            </w:pPr>
            <w:r w:rsidRPr="00037AD4">
              <w:rPr>
                <w:rFonts w:ascii="Calibri" w:hAnsi="Calibri" w:cs="Calibri"/>
                <w:color w:val="000000"/>
              </w:rPr>
              <w:t>.140</w:t>
            </w:r>
          </w:p>
        </w:tc>
        <w:tc>
          <w:tcPr>
            <w:tcW w:w="553" w:type="pct"/>
          </w:tcPr>
          <w:p w14:paraId="488C86A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.004</w:t>
            </w:r>
          </w:p>
        </w:tc>
        <w:tc>
          <w:tcPr>
            <w:tcW w:w="553" w:type="pct"/>
            <w:noWrap/>
            <w:hideMark/>
          </w:tcPr>
          <w:p w14:paraId="5216230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31.48</w:t>
            </w:r>
          </w:p>
        </w:tc>
        <w:tc>
          <w:tcPr>
            <w:tcW w:w="555" w:type="pct"/>
            <w:noWrap/>
            <w:hideMark/>
          </w:tcPr>
          <w:p w14:paraId="364BDC5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692" w:type="pct"/>
            <w:noWrap/>
            <w:hideMark/>
          </w:tcPr>
          <w:p w14:paraId="175143B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0.131</w:t>
            </w:r>
          </w:p>
        </w:tc>
        <w:tc>
          <w:tcPr>
            <w:tcW w:w="573" w:type="pct"/>
            <w:noWrap/>
            <w:hideMark/>
          </w:tcPr>
          <w:p w14:paraId="23A0516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0.149</w:t>
            </w:r>
          </w:p>
        </w:tc>
      </w:tr>
      <w:tr w:rsidR="00B54D51" w:rsidRPr="00037AD4" w14:paraId="72AD3020" w14:textId="77777777" w:rsidTr="00401C67">
        <w:trPr>
          <w:trHeight w:val="320"/>
        </w:trPr>
        <w:tc>
          <w:tcPr>
            <w:tcW w:w="908" w:type="pct"/>
            <w:noWrap/>
            <w:hideMark/>
          </w:tcPr>
          <w:p w14:paraId="3E6E938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w:t>
            </w:r>
          </w:p>
        </w:tc>
        <w:tc>
          <w:tcPr>
            <w:tcW w:w="1166" w:type="pct"/>
            <w:noWrap/>
            <w:hideMark/>
          </w:tcPr>
          <w:p w14:paraId="331E3573"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-.033   </w:t>
            </w:r>
          </w:p>
        </w:tc>
        <w:tc>
          <w:tcPr>
            <w:tcW w:w="553" w:type="pct"/>
          </w:tcPr>
          <w:p w14:paraId="28F5585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w:t>
            </w:r>
          </w:p>
        </w:tc>
        <w:tc>
          <w:tcPr>
            <w:tcW w:w="553" w:type="pct"/>
            <w:noWrap/>
            <w:hideMark/>
          </w:tcPr>
          <w:p w14:paraId="674ADA1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-12.13</w:t>
            </w:r>
          </w:p>
        </w:tc>
        <w:tc>
          <w:tcPr>
            <w:tcW w:w="555" w:type="pct"/>
            <w:noWrap/>
            <w:hideMark/>
          </w:tcPr>
          <w:p w14:paraId="3D9DB86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692" w:type="pct"/>
            <w:noWrap/>
            <w:hideMark/>
          </w:tcPr>
          <w:p w14:paraId="66B8915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-0.038</w:t>
            </w:r>
          </w:p>
        </w:tc>
        <w:tc>
          <w:tcPr>
            <w:tcW w:w="573" w:type="pct"/>
            <w:noWrap/>
            <w:hideMark/>
          </w:tcPr>
          <w:p w14:paraId="51ACF12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-0.028</w:t>
            </w:r>
          </w:p>
        </w:tc>
      </w:tr>
      <w:tr w:rsidR="00B54D51" w:rsidRPr="00037AD4" w14:paraId="7DA762E3" w14:textId="77777777" w:rsidTr="00401C67">
        <w:trPr>
          <w:trHeight w:val="320"/>
        </w:trPr>
        <w:tc>
          <w:tcPr>
            <w:tcW w:w="908" w:type="pct"/>
            <w:noWrap/>
            <w:hideMark/>
          </w:tcPr>
          <w:p w14:paraId="791C213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w:t>
            </w:r>
          </w:p>
        </w:tc>
        <w:tc>
          <w:tcPr>
            <w:tcW w:w="1166" w:type="pct"/>
            <w:noWrap/>
            <w:hideMark/>
          </w:tcPr>
          <w:p w14:paraId="47339399"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-.047   </w:t>
            </w:r>
          </w:p>
        </w:tc>
        <w:tc>
          <w:tcPr>
            <w:tcW w:w="553" w:type="pct"/>
          </w:tcPr>
          <w:p w14:paraId="20B2333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.004</w:t>
            </w:r>
          </w:p>
        </w:tc>
        <w:tc>
          <w:tcPr>
            <w:tcW w:w="553" w:type="pct"/>
            <w:noWrap/>
            <w:hideMark/>
          </w:tcPr>
          <w:p w14:paraId="6F63AEA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-12.41</w:t>
            </w:r>
          </w:p>
        </w:tc>
        <w:tc>
          <w:tcPr>
            <w:tcW w:w="555" w:type="pct"/>
            <w:noWrap/>
            <w:hideMark/>
          </w:tcPr>
          <w:p w14:paraId="5E2F34A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692" w:type="pct"/>
            <w:noWrap/>
            <w:hideMark/>
          </w:tcPr>
          <w:p w14:paraId="540490C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-0.054</w:t>
            </w:r>
          </w:p>
        </w:tc>
        <w:tc>
          <w:tcPr>
            <w:tcW w:w="573" w:type="pct"/>
            <w:noWrap/>
            <w:hideMark/>
          </w:tcPr>
          <w:p w14:paraId="4E32605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-0.039</w:t>
            </w:r>
          </w:p>
        </w:tc>
      </w:tr>
      <w:tr w:rsidR="00B54D51" w:rsidRPr="00037AD4" w14:paraId="6721E17C" w14:textId="77777777" w:rsidTr="00401C67">
        <w:trPr>
          <w:trHeight w:val="320"/>
        </w:trPr>
        <w:tc>
          <w:tcPr>
            <w:tcW w:w="908" w:type="pct"/>
            <w:noWrap/>
            <w:hideMark/>
          </w:tcPr>
          <w:p w14:paraId="1989AAE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w:t>
            </w:r>
          </w:p>
        </w:tc>
        <w:tc>
          <w:tcPr>
            <w:tcW w:w="1166" w:type="pct"/>
            <w:noWrap/>
            <w:hideMark/>
          </w:tcPr>
          <w:p w14:paraId="516D62DD"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-.029  </w:t>
            </w:r>
          </w:p>
        </w:tc>
        <w:tc>
          <w:tcPr>
            <w:tcW w:w="553" w:type="pct"/>
          </w:tcPr>
          <w:p w14:paraId="6C768C0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.004</w:t>
            </w:r>
          </w:p>
        </w:tc>
        <w:tc>
          <w:tcPr>
            <w:tcW w:w="553" w:type="pct"/>
            <w:noWrap/>
            <w:hideMark/>
          </w:tcPr>
          <w:p w14:paraId="1AE7D1C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-7.64</w:t>
            </w:r>
          </w:p>
        </w:tc>
        <w:tc>
          <w:tcPr>
            <w:tcW w:w="555" w:type="pct"/>
            <w:noWrap/>
            <w:hideMark/>
          </w:tcPr>
          <w:p w14:paraId="4A6766E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692" w:type="pct"/>
            <w:noWrap/>
            <w:hideMark/>
          </w:tcPr>
          <w:p w14:paraId="7BE495A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-0.037</w:t>
            </w:r>
          </w:p>
        </w:tc>
        <w:tc>
          <w:tcPr>
            <w:tcW w:w="573" w:type="pct"/>
            <w:noWrap/>
            <w:hideMark/>
          </w:tcPr>
          <w:p w14:paraId="0B4EBFD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-0.022</w:t>
            </w:r>
          </w:p>
        </w:tc>
      </w:tr>
      <w:tr w:rsidR="00B54D51" w:rsidRPr="00037AD4" w14:paraId="0CD038CA" w14:textId="77777777" w:rsidTr="00401C67">
        <w:trPr>
          <w:trHeight w:val="320"/>
        </w:trPr>
        <w:tc>
          <w:tcPr>
            <w:tcW w:w="908" w:type="pct"/>
            <w:noWrap/>
            <w:hideMark/>
          </w:tcPr>
          <w:p w14:paraId="19D4381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5</w:t>
            </w:r>
          </w:p>
        </w:tc>
        <w:tc>
          <w:tcPr>
            <w:tcW w:w="1166" w:type="pct"/>
            <w:noWrap/>
            <w:hideMark/>
          </w:tcPr>
          <w:p w14:paraId="7D79000E"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-.031   </w:t>
            </w:r>
          </w:p>
        </w:tc>
        <w:tc>
          <w:tcPr>
            <w:tcW w:w="553" w:type="pct"/>
          </w:tcPr>
          <w:p w14:paraId="2604054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.004</w:t>
            </w:r>
          </w:p>
        </w:tc>
        <w:tc>
          <w:tcPr>
            <w:tcW w:w="553" w:type="pct"/>
            <w:noWrap/>
            <w:hideMark/>
          </w:tcPr>
          <w:p w14:paraId="034B801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-7.33</w:t>
            </w:r>
          </w:p>
        </w:tc>
        <w:tc>
          <w:tcPr>
            <w:tcW w:w="555" w:type="pct"/>
            <w:noWrap/>
            <w:hideMark/>
          </w:tcPr>
          <w:p w14:paraId="027D992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692" w:type="pct"/>
            <w:noWrap/>
            <w:hideMark/>
          </w:tcPr>
          <w:p w14:paraId="2769E3E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-0.039</w:t>
            </w:r>
          </w:p>
        </w:tc>
        <w:tc>
          <w:tcPr>
            <w:tcW w:w="573" w:type="pct"/>
            <w:noWrap/>
            <w:hideMark/>
          </w:tcPr>
          <w:p w14:paraId="2459319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-0.023</w:t>
            </w:r>
          </w:p>
        </w:tc>
      </w:tr>
      <w:tr w:rsidR="00B54D51" w:rsidRPr="00037AD4" w14:paraId="695CF163" w14:textId="77777777" w:rsidTr="00401C67">
        <w:trPr>
          <w:trHeight w:val="320"/>
        </w:trPr>
        <w:tc>
          <w:tcPr>
            <w:tcW w:w="5000" w:type="pct"/>
            <w:gridSpan w:val="7"/>
            <w:shd w:val="clear" w:color="auto" w:fill="F2F2F2" w:themeFill="background1" w:themeFillShade="F2"/>
            <w:noWrap/>
            <w:hideMark/>
          </w:tcPr>
          <w:p w14:paraId="2B1F4313" w14:textId="77777777" w:rsidR="00B54D51" w:rsidRPr="00037AD4" w:rsidRDefault="00B54D51" w:rsidP="00401C67">
            <w:pPr>
              <w:rPr>
                <w:rFonts w:cstheme="minorHAnsi"/>
              </w:rPr>
            </w:pPr>
            <w:r w:rsidRPr="00037AD4">
              <w:rPr>
                <w:rFonts w:cstheme="minorHAnsi"/>
              </w:rPr>
              <w:t>Age of PwD, predict:</w:t>
            </w:r>
          </w:p>
        </w:tc>
      </w:tr>
      <w:tr w:rsidR="00B54D51" w:rsidRPr="00037AD4" w14:paraId="28E478A0" w14:textId="77777777" w:rsidTr="00401C67">
        <w:trPr>
          <w:trHeight w:val="320"/>
        </w:trPr>
        <w:tc>
          <w:tcPr>
            <w:tcW w:w="908" w:type="pct"/>
            <w:noWrap/>
            <w:hideMark/>
          </w:tcPr>
          <w:p w14:paraId="2DA559B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w:t>
            </w:r>
          </w:p>
        </w:tc>
        <w:tc>
          <w:tcPr>
            <w:tcW w:w="1166" w:type="pct"/>
            <w:noWrap/>
            <w:hideMark/>
          </w:tcPr>
          <w:p w14:paraId="3B700A97" w14:textId="77777777" w:rsidR="00B54D51" w:rsidRPr="00037AD4" w:rsidRDefault="00B54D51" w:rsidP="00401C67">
            <w:pPr>
              <w:rPr>
                <w:rFonts w:ascii="Calibri" w:hAnsi="Calibri" w:cs="Calibri"/>
                <w:color w:val="000000"/>
              </w:rPr>
            </w:pPr>
            <w:r w:rsidRPr="00037AD4">
              <w:rPr>
                <w:rFonts w:ascii="Calibri" w:hAnsi="Calibri" w:cs="Calibri"/>
                <w:color w:val="000000"/>
              </w:rPr>
              <w:t>.000</w:t>
            </w:r>
          </w:p>
        </w:tc>
        <w:tc>
          <w:tcPr>
            <w:tcW w:w="553" w:type="pct"/>
          </w:tcPr>
          <w:p w14:paraId="54530A6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w:t>
            </w:r>
          </w:p>
        </w:tc>
        <w:tc>
          <w:tcPr>
            <w:tcW w:w="553" w:type="pct"/>
            <w:noWrap/>
            <w:hideMark/>
          </w:tcPr>
          <w:p w14:paraId="10C349E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0.29</w:t>
            </w:r>
          </w:p>
        </w:tc>
        <w:tc>
          <w:tcPr>
            <w:tcW w:w="555" w:type="pct"/>
            <w:noWrap/>
            <w:hideMark/>
          </w:tcPr>
          <w:p w14:paraId="2EF6915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0.771</w:t>
            </w:r>
          </w:p>
        </w:tc>
        <w:tc>
          <w:tcPr>
            <w:tcW w:w="692" w:type="pct"/>
            <w:noWrap/>
            <w:hideMark/>
          </w:tcPr>
          <w:p w14:paraId="4431699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-0.002</w:t>
            </w:r>
          </w:p>
        </w:tc>
        <w:tc>
          <w:tcPr>
            <w:tcW w:w="573" w:type="pct"/>
            <w:noWrap/>
            <w:hideMark/>
          </w:tcPr>
          <w:p w14:paraId="36AD13F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0.003</w:t>
            </w:r>
          </w:p>
        </w:tc>
      </w:tr>
      <w:tr w:rsidR="00B54D51" w:rsidRPr="00037AD4" w14:paraId="07E7A06E" w14:textId="77777777" w:rsidTr="00401C67">
        <w:trPr>
          <w:trHeight w:val="320"/>
        </w:trPr>
        <w:tc>
          <w:tcPr>
            <w:tcW w:w="908" w:type="pct"/>
            <w:noWrap/>
            <w:hideMark/>
          </w:tcPr>
          <w:p w14:paraId="5FF44FF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w:t>
            </w:r>
          </w:p>
        </w:tc>
        <w:tc>
          <w:tcPr>
            <w:tcW w:w="1166" w:type="pct"/>
            <w:noWrap/>
            <w:hideMark/>
          </w:tcPr>
          <w:p w14:paraId="3AABA4C5"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-.000   </w:t>
            </w:r>
          </w:p>
        </w:tc>
        <w:tc>
          <w:tcPr>
            <w:tcW w:w="553" w:type="pct"/>
          </w:tcPr>
          <w:p w14:paraId="65DCF9B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w:t>
            </w:r>
          </w:p>
        </w:tc>
        <w:tc>
          <w:tcPr>
            <w:tcW w:w="553" w:type="pct"/>
            <w:noWrap/>
            <w:hideMark/>
          </w:tcPr>
          <w:p w14:paraId="6964239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-0.29</w:t>
            </w:r>
          </w:p>
        </w:tc>
        <w:tc>
          <w:tcPr>
            <w:tcW w:w="555" w:type="pct"/>
            <w:noWrap/>
            <w:hideMark/>
          </w:tcPr>
          <w:p w14:paraId="41B6305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0.772</w:t>
            </w:r>
          </w:p>
        </w:tc>
        <w:tc>
          <w:tcPr>
            <w:tcW w:w="692" w:type="pct"/>
            <w:noWrap/>
            <w:hideMark/>
          </w:tcPr>
          <w:p w14:paraId="05698DA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c>
          <w:tcPr>
            <w:tcW w:w="573" w:type="pct"/>
            <w:noWrap/>
            <w:hideMark/>
          </w:tcPr>
          <w:p w14:paraId="3D6C899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r>
      <w:tr w:rsidR="00B54D51" w:rsidRPr="00037AD4" w14:paraId="1394E072" w14:textId="77777777" w:rsidTr="00401C67">
        <w:trPr>
          <w:trHeight w:val="320"/>
        </w:trPr>
        <w:tc>
          <w:tcPr>
            <w:tcW w:w="908" w:type="pct"/>
            <w:noWrap/>
            <w:hideMark/>
          </w:tcPr>
          <w:p w14:paraId="5C025A6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w:t>
            </w:r>
          </w:p>
        </w:tc>
        <w:tc>
          <w:tcPr>
            <w:tcW w:w="1166" w:type="pct"/>
            <w:noWrap/>
            <w:hideMark/>
          </w:tcPr>
          <w:p w14:paraId="6151FA7A"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-.000   </w:t>
            </w:r>
          </w:p>
        </w:tc>
        <w:tc>
          <w:tcPr>
            <w:tcW w:w="553" w:type="pct"/>
          </w:tcPr>
          <w:p w14:paraId="2102FFD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w:t>
            </w:r>
          </w:p>
        </w:tc>
        <w:tc>
          <w:tcPr>
            <w:tcW w:w="553" w:type="pct"/>
            <w:noWrap/>
            <w:hideMark/>
          </w:tcPr>
          <w:p w14:paraId="0B1E066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-0.29</w:t>
            </w:r>
          </w:p>
        </w:tc>
        <w:tc>
          <w:tcPr>
            <w:tcW w:w="555" w:type="pct"/>
            <w:noWrap/>
            <w:hideMark/>
          </w:tcPr>
          <w:p w14:paraId="19E80D0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0.771</w:t>
            </w:r>
          </w:p>
        </w:tc>
        <w:tc>
          <w:tcPr>
            <w:tcW w:w="692" w:type="pct"/>
            <w:noWrap/>
            <w:hideMark/>
          </w:tcPr>
          <w:p w14:paraId="7647E80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c>
          <w:tcPr>
            <w:tcW w:w="573" w:type="pct"/>
            <w:noWrap/>
            <w:hideMark/>
          </w:tcPr>
          <w:p w14:paraId="3F9D60B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r>
      <w:tr w:rsidR="00B54D51" w:rsidRPr="00037AD4" w14:paraId="6473CFCD" w14:textId="77777777" w:rsidTr="00401C67">
        <w:trPr>
          <w:trHeight w:val="320"/>
        </w:trPr>
        <w:tc>
          <w:tcPr>
            <w:tcW w:w="908" w:type="pct"/>
            <w:noWrap/>
            <w:hideMark/>
          </w:tcPr>
          <w:p w14:paraId="5173283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w:t>
            </w:r>
          </w:p>
        </w:tc>
        <w:tc>
          <w:tcPr>
            <w:tcW w:w="1166" w:type="pct"/>
            <w:noWrap/>
            <w:hideMark/>
          </w:tcPr>
          <w:p w14:paraId="49DAA5AA"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-.000   </w:t>
            </w:r>
          </w:p>
        </w:tc>
        <w:tc>
          <w:tcPr>
            <w:tcW w:w="553" w:type="pct"/>
          </w:tcPr>
          <w:p w14:paraId="641242D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w:t>
            </w:r>
          </w:p>
        </w:tc>
        <w:tc>
          <w:tcPr>
            <w:tcW w:w="553" w:type="pct"/>
            <w:noWrap/>
            <w:hideMark/>
          </w:tcPr>
          <w:p w14:paraId="2B9C563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-0.29</w:t>
            </w:r>
          </w:p>
        </w:tc>
        <w:tc>
          <w:tcPr>
            <w:tcW w:w="555" w:type="pct"/>
            <w:noWrap/>
            <w:hideMark/>
          </w:tcPr>
          <w:p w14:paraId="27A4DA8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0.771</w:t>
            </w:r>
          </w:p>
        </w:tc>
        <w:tc>
          <w:tcPr>
            <w:tcW w:w="692" w:type="pct"/>
            <w:noWrap/>
            <w:hideMark/>
          </w:tcPr>
          <w:p w14:paraId="7A5FE5E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c>
          <w:tcPr>
            <w:tcW w:w="573" w:type="pct"/>
            <w:noWrap/>
            <w:hideMark/>
          </w:tcPr>
          <w:p w14:paraId="4C04851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r>
      <w:tr w:rsidR="00B54D51" w:rsidRPr="00037AD4" w14:paraId="73594DDC" w14:textId="77777777" w:rsidTr="00401C67">
        <w:trPr>
          <w:trHeight w:val="320"/>
        </w:trPr>
        <w:tc>
          <w:tcPr>
            <w:tcW w:w="908" w:type="pct"/>
            <w:noWrap/>
            <w:hideMark/>
          </w:tcPr>
          <w:p w14:paraId="49F7C7A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5</w:t>
            </w:r>
          </w:p>
        </w:tc>
        <w:tc>
          <w:tcPr>
            <w:tcW w:w="1166" w:type="pct"/>
            <w:noWrap/>
            <w:hideMark/>
          </w:tcPr>
          <w:p w14:paraId="41B27BBA"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-.000   </w:t>
            </w:r>
          </w:p>
        </w:tc>
        <w:tc>
          <w:tcPr>
            <w:tcW w:w="553" w:type="pct"/>
          </w:tcPr>
          <w:p w14:paraId="77415B4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w:t>
            </w:r>
          </w:p>
        </w:tc>
        <w:tc>
          <w:tcPr>
            <w:tcW w:w="553" w:type="pct"/>
            <w:noWrap/>
            <w:hideMark/>
          </w:tcPr>
          <w:p w14:paraId="21584C7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-0.29</w:t>
            </w:r>
          </w:p>
        </w:tc>
        <w:tc>
          <w:tcPr>
            <w:tcW w:w="555" w:type="pct"/>
            <w:noWrap/>
            <w:hideMark/>
          </w:tcPr>
          <w:p w14:paraId="5379A98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0.772</w:t>
            </w:r>
          </w:p>
        </w:tc>
        <w:tc>
          <w:tcPr>
            <w:tcW w:w="692" w:type="pct"/>
            <w:noWrap/>
            <w:hideMark/>
          </w:tcPr>
          <w:p w14:paraId="7D695A0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c>
          <w:tcPr>
            <w:tcW w:w="573" w:type="pct"/>
            <w:noWrap/>
            <w:hideMark/>
          </w:tcPr>
          <w:p w14:paraId="4DAFFBB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r>
      <w:tr w:rsidR="00B54D51" w:rsidRPr="00037AD4" w14:paraId="3DFB9C46" w14:textId="77777777" w:rsidTr="00401C67">
        <w:trPr>
          <w:trHeight w:val="320"/>
        </w:trPr>
        <w:tc>
          <w:tcPr>
            <w:tcW w:w="5000" w:type="pct"/>
            <w:gridSpan w:val="7"/>
            <w:shd w:val="clear" w:color="auto" w:fill="F2F2F2" w:themeFill="background1" w:themeFillShade="F2"/>
            <w:noWrap/>
            <w:hideMark/>
          </w:tcPr>
          <w:p w14:paraId="440CE6B6" w14:textId="77777777" w:rsidR="00B54D51" w:rsidRPr="00037AD4" w:rsidRDefault="00B54D51" w:rsidP="00401C67">
            <w:pPr>
              <w:rPr>
                <w:sz w:val="20"/>
                <w:szCs w:val="20"/>
              </w:rPr>
            </w:pPr>
            <w:r w:rsidRPr="00037AD4">
              <w:rPr>
                <w:rFonts w:ascii="Calibri" w:hAnsi="Calibri" w:cs="Calibri"/>
                <w:color w:val="000000"/>
              </w:rPr>
              <w:t>PwD sex (base outcome = male)</w:t>
            </w:r>
          </w:p>
        </w:tc>
      </w:tr>
      <w:tr w:rsidR="00B54D51" w:rsidRPr="00037AD4" w14:paraId="39BF650B" w14:textId="77777777" w:rsidTr="00401C67">
        <w:trPr>
          <w:trHeight w:val="320"/>
        </w:trPr>
        <w:tc>
          <w:tcPr>
            <w:tcW w:w="5000" w:type="pct"/>
            <w:gridSpan w:val="7"/>
            <w:shd w:val="clear" w:color="auto" w:fill="F2F2F2" w:themeFill="background1" w:themeFillShade="F2"/>
            <w:noWrap/>
            <w:hideMark/>
          </w:tcPr>
          <w:p w14:paraId="78A70032" w14:textId="77777777" w:rsidR="00B54D51" w:rsidRPr="00037AD4" w:rsidRDefault="00B54D51" w:rsidP="00401C67">
            <w:pPr>
              <w:rPr>
                <w:sz w:val="20"/>
                <w:szCs w:val="20"/>
              </w:rPr>
            </w:pPr>
            <w:r w:rsidRPr="00037AD4">
              <w:rPr>
                <w:rFonts w:ascii="Calibri" w:hAnsi="Calibri" w:cs="Calibri"/>
                <w:color w:val="000000"/>
              </w:rPr>
              <w:t xml:space="preserve">PwD sex, female predict: </w:t>
            </w:r>
          </w:p>
        </w:tc>
      </w:tr>
      <w:tr w:rsidR="00B54D51" w:rsidRPr="00037AD4" w14:paraId="432ED2CC" w14:textId="77777777" w:rsidTr="00401C67">
        <w:trPr>
          <w:trHeight w:val="320"/>
        </w:trPr>
        <w:tc>
          <w:tcPr>
            <w:tcW w:w="908" w:type="pct"/>
            <w:noWrap/>
            <w:hideMark/>
          </w:tcPr>
          <w:p w14:paraId="7E94199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w:t>
            </w:r>
          </w:p>
        </w:tc>
        <w:tc>
          <w:tcPr>
            <w:tcW w:w="1166" w:type="pct"/>
            <w:noWrap/>
            <w:hideMark/>
          </w:tcPr>
          <w:p w14:paraId="12A73B82" w14:textId="77777777" w:rsidR="00B54D51" w:rsidRPr="00037AD4" w:rsidRDefault="00B54D51" w:rsidP="00401C67">
            <w:pPr>
              <w:rPr>
                <w:rFonts w:ascii="Calibri" w:hAnsi="Calibri" w:cs="Calibri"/>
                <w:color w:val="000000"/>
              </w:rPr>
            </w:pPr>
            <w:r w:rsidRPr="00037AD4">
              <w:rPr>
                <w:rFonts w:ascii="Calibri" w:hAnsi="Calibri" w:cs="Calibri"/>
                <w:color w:val="000000"/>
              </w:rPr>
              <w:t>-.032</w:t>
            </w:r>
          </w:p>
        </w:tc>
        <w:tc>
          <w:tcPr>
            <w:tcW w:w="553" w:type="pct"/>
          </w:tcPr>
          <w:p w14:paraId="34A2A8C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.024</w:t>
            </w:r>
          </w:p>
        </w:tc>
        <w:tc>
          <w:tcPr>
            <w:tcW w:w="553" w:type="pct"/>
            <w:noWrap/>
            <w:hideMark/>
          </w:tcPr>
          <w:p w14:paraId="5F3240E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-1.35</w:t>
            </w:r>
          </w:p>
        </w:tc>
        <w:tc>
          <w:tcPr>
            <w:tcW w:w="555" w:type="pct"/>
            <w:noWrap/>
            <w:hideMark/>
          </w:tcPr>
          <w:p w14:paraId="25F17B0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0.178</w:t>
            </w:r>
          </w:p>
        </w:tc>
        <w:tc>
          <w:tcPr>
            <w:tcW w:w="692" w:type="pct"/>
            <w:noWrap/>
            <w:hideMark/>
          </w:tcPr>
          <w:p w14:paraId="3C094E2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-0.079</w:t>
            </w:r>
          </w:p>
        </w:tc>
        <w:tc>
          <w:tcPr>
            <w:tcW w:w="573" w:type="pct"/>
            <w:noWrap/>
            <w:hideMark/>
          </w:tcPr>
          <w:p w14:paraId="4C06FD4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0.015</w:t>
            </w:r>
          </w:p>
        </w:tc>
      </w:tr>
      <w:tr w:rsidR="00B54D51" w:rsidRPr="00037AD4" w14:paraId="3FBB18C4" w14:textId="77777777" w:rsidTr="00401C67">
        <w:trPr>
          <w:trHeight w:val="320"/>
        </w:trPr>
        <w:tc>
          <w:tcPr>
            <w:tcW w:w="908" w:type="pct"/>
            <w:noWrap/>
            <w:hideMark/>
          </w:tcPr>
          <w:p w14:paraId="7659C5A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w:t>
            </w:r>
          </w:p>
        </w:tc>
        <w:tc>
          <w:tcPr>
            <w:tcW w:w="1166" w:type="pct"/>
            <w:noWrap/>
            <w:hideMark/>
          </w:tcPr>
          <w:p w14:paraId="6D01A1CA" w14:textId="77777777" w:rsidR="00B54D51" w:rsidRPr="00037AD4" w:rsidRDefault="00B54D51" w:rsidP="00401C67">
            <w:pPr>
              <w:rPr>
                <w:rFonts w:ascii="Calibri" w:hAnsi="Calibri" w:cs="Calibri"/>
                <w:color w:val="000000"/>
              </w:rPr>
            </w:pPr>
            <w:r w:rsidRPr="00037AD4">
              <w:rPr>
                <w:rFonts w:ascii="Calibri" w:hAnsi="Calibri" w:cs="Calibri"/>
                <w:color w:val="000000"/>
              </w:rPr>
              <w:t>.008</w:t>
            </w:r>
          </w:p>
        </w:tc>
        <w:tc>
          <w:tcPr>
            <w:tcW w:w="553" w:type="pct"/>
          </w:tcPr>
          <w:p w14:paraId="72A8ACB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.006</w:t>
            </w:r>
          </w:p>
        </w:tc>
        <w:tc>
          <w:tcPr>
            <w:tcW w:w="553" w:type="pct"/>
            <w:noWrap/>
            <w:hideMark/>
          </w:tcPr>
          <w:p w14:paraId="4BF66C0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1.32</w:t>
            </w:r>
          </w:p>
        </w:tc>
        <w:tc>
          <w:tcPr>
            <w:tcW w:w="555" w:type="pct"/>
            <w:noWrap/>
            <w:hideMark/>
          </w:tcPr>
          <w:p w14:paraId="479A2A8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0.187</w:t>
            </w:r>
          </w:p>
        </w:tc>
        <w:tc>
          <w:tcPr>
            <w:tcW w:w="692" w:type="pct"/>
            <w:noWrap/>
            <w:hideMark/>
          </w:tcPr>
          <w:p w14:paraId="005E071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-0.004</w:t>
            </w:r>
          </w:p>
        </w:tc>
        <w:tc>
          <w:tcPr>
            <w:tcW w:w="573" w:type="pct"/>
            <w:noWrap/>
            <w:hideMark/>
          </w:tcPr>
          <w:p w14:paraId="3242978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0.019</w:t>
            </w:r>
          </w:p>
        </w:tc>
      </w:tr>
      <w:tr w:rsidR="00B54D51" w:rsidRPr="00037AD4" w14:paraId="6B21DD39" w14:textId="77777777" w:rsidTr="00401C67">
        <w:trPr>
          <w:trHeight w:val="320"/>
        </w:trPr>
        <w:tc>
          <w:tcPr>
            <w:tcW w:w="908" w:type="pct"/>
            <w:noWrap/>
            <w:hideMark/>
          </w:tcPr>
          <w:p w14:paraId="07B1E47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w:t>
            </w:r>
          </w:p>
        </w:tc>
        <w:tc>
          <w:tcPr>
            <w:tcW w:w="1166" w:type="pct"/>
            <w:noWrap/>
            <w:hideMark/>
          </w:tcPr>
          <w:p w14:paraId="4E961A65"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.011  </w:t>
            </w:r>
          </w:p>
        </w:tc>
        <w:tc>
          <w:tcPr>
            <w:tcW w:w="553" w:type="pct"/>
          </w:tcPr>
          <w:p w14:paraId="6F7F6FE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.008</w:t>
            </w:r>
          </w:p>
        </w:tc>
        <w:tc>
          <w:tcPr>
            <w:tcW w:w="553" w:type="pct"/>
            <w:noWrap/>
            <w:hideMark/>
          </w:tcPr>
          <w:p w14:paraId="06F3E6C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1.34</w:t>
            </w:r>
          </w:p>
        </w:tc>
        <w:tc>
          <w:tcPr>
            <w:tcW w:w="555" w:type="pct"/>
            <w:noWrap/>
            <w:hideMark/>
          </w:tcPr>
          <w:p w14:paraId="55E82FB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0.181</w:t>
            </w:r>
          </w:p>
        </w:tc>
        <w:tc>
          <w:tcPr>
            <w:tcW w:w="692" w:type="pct"/>
            <w:noWrap/>
            <w:hideMark/>
          </w:tcPr>
          <w:p w14:paraId="477A47E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-0.005</w:t>
            </w:r>
          </w:p>
        </w:tc>
        <w:tc>
          <w:tcPr>
            <w:tcW w:w="573" w:type="pct"/>
            <w:noWrap/>
            <w:hideMark/>
          </w:tcPr>
          <w:p w14:paraId="3925685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0.027</w:t>
            </w:r>
          </w:p>
        </w:tc>
      </w:tr>
      <w:tr w:rsidR="00B54D51" w:rsidRPr="00037AD4" w14:paraId="22E0D437" w14:textId="77777777" w:rsidTr="00401C67">
        <w:trPr>
          <w:trHeight w:val="320"/>
        </w:trPr>
        <w:tc>
          <w:tcPr>
            <w:tcW w:w="908" w:type="pct"/>
            <w:noWrap/>
            <w:hideMark/>
          </w:tcPr>
          <w:p w14:paraId="0D30D64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w:t>
            </w:r>
          </w:p>
        </w:tc>
        <w:tc>
          <w:tcPr>
            <w:tcW w:w="1166" w:type="pct"/>
            <w:noWrap/>
            <w:hideMark/>
          </w:tcPr>
          <w:p w14:paraId="259A5F41" w14:textId="77777777" w:rsidR="00B54D51" w:rsidRPr="00037AD4" w:rsidRDefault="00B54D51" w:rsidP="00401C67">
            <w:pPr>
              <w:rPr>
                <w:rFonts w:ascii="Calibri" w:hAnsi="Calibri" w:cs="Calibri"/>
                <w:color w:val="000000"/>
              </w:rPr>
            </w:pPr>
            <w:r w:rsidRPr="00037AD4">
              <w:rPr>
                <w:rFonts w:ascii="Calibri" w:hAnsi="Calibri" w:cs="Calibri"/>
                <w:color w:val="000000"/>
              </w:rPr>
              <w:t>.007</w:t>
            </w:r>
          </w:p>
        </w:tc>
        <w:tc>
          <w:tcPr>
            <w:tcW w:w="553" w:type="pct"/>
          </w:tcPr>
          <w:p w14:paraId="2E45103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.005</w:t>
            </w:r>
          </w:p>
        </w:tc>
        <w:tc>
          <w:tcPr>
            <w:tcW w:w="553" w:type="pct"/>
            <w:noWrap/>
            <w:hideMark/>
          </w:tcPr>
          <w:p w14:paraId="2A8AD78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1.32</w:t>
            </w:r>
          </w:p>
        </w:tc>
        <w:tc>
          <w:tcPr>
            <w:tcW w:w="555" w:type="pct"/>
            <w:noWrap/>
            <w:hideMark/>
          </w:tcPr>
          <w:p w14:paraId="2B7B4AE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0.187</w:t>
            </w:r>
          </w:p>
        </w:tc>
        <w:tc>
          <w:tcPr>
            <w:tcW w:w="692" w:type="pct"/>
            <w:noWrap/>
            <w:hideMark/>
          </w:tcPr>
          <w:p w14:paraId="33F6741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-0.003</w:t>
            </w:r>
          </w:p>
        </w:tc>
        <w:tc>
          <w:tcPr>
            <w:tcW w:w="573" w:type="pct"/>
            <w:noWrap/>
            <w:hideMark/>
          </w:tcPr>
          <w:p w14:paraId="10D051D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0.017</w:t>
            </w:r>
          </w:p>
        </w:tc>
      </w:tr>
      <w:tr w:rsidR="00B54D51" w:rsidRPr="00037AD4" w14:paraId="056E508D" w14:textId="77777777" w:rsidTr="00401C67">
        <w:trPr>
          <w:trHeight w:val="320"/>
        </w:trPr>
        <w:tc>
          <w:tcPr>
            <w:tcW w:w="908" w:type="pct"/>
            <w:noWrap/>
            <w:hideMark/>
          </w:tcPr>
          <w:p w14:paraId="263A086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5</w:t>
            </w:r>
          </w:p>
        </w:tc>
        <w:tc>
          <w:tcPr>
            <w:tcW w:w="1166" w:type="pct"/>
            <w:noWrap/>
            <w:hideMark/>
          </w:tcPr>
          <w:p w14:paraId="1B619A75"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.007   </w:t>
            </w:r>
          </w:p>
        </w:tc>
        <w:tc>
          <w:tcPr>
            <w:tcW w:w="553" w:type="pct"/>
          </w:tcPr>
          <w:p w14:paraId="0A6F4D1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.005</w:t>
            </w:r>
          </w:p>
        </w:tc>
        <w:tc>
          <w:tcPr>
            <w:tcW w:w="553" w:type="pct"/>
            <w:noWrap/>
            <w:hideMark/>
          </w:tcPr>
          <w:p w14:paraId="6AECB22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1.35</w:t>
            </w:r>
          </w:p>
        </w:tc>
        <w:tc>
          <w:tcPr>
            <w:tcW w:w="555" w:type="pct"/>
            <w:noWrap/>
            <w:hideMark/>
          </w:tcPr>
          <w:p w14:paraId="157C9E9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0.176</w:t>
            </w:r>
          </w:p>
        </w:tc>
        <w:tc>
          <w:tcPr>
            <w:tcW w:w="692" w:type="pct"/>
            <w:noWrap/>
            <w:hideMark/>
          </w:tcPr>
          <w:p w14:paraId="68DC3DA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-0.003</w:t>
            </w:r>
          </w:p>
        </w:tc>
        <w:tc>
          <w:tcPr>
            <w:tcW w:w="573" w:type="pct"/>
            <w:noWrap/>
            <w:hideMark/>
          </w:tcPr>
          <w:p w14:paraId="6435F7B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0.018</w:t>
            </w:r>
          </w:p>
        </w:tc>
      </w:tr>
    </w:tbl>
    <w:p w14:paraId="7414F5DB" w14:textId="77777777" w:rsidR="00B54D51" w:rsidRPr="00037AD4" w:rsidRDefault="00B54D51" w:rsidP="001D7ACE">
      <w:pPr>
        <w:rPr>
          <w:u w:val="single"/>
        </w:rPr>
      </w:pPr>
    </w:p>
    <w:p w14:paraId="6328BB15" w14:textId="77777777" w:rsidR="00B54D51" w:rsidRPr="00037AD4" w:rsidRDefault="00B54D51" w:rsidP="001D7ACE">
      <w:pPr>
        <w:rPr>
          <w:rFonts w:asciiTheme="minorHAnsi" w:hAnsiTheme="minorHAnsi" w:cstheme="minorHAnsi"/>
          <w:color w:val="FF0000"/>
          <w:u w:val="single"/>
        </w:rPr>
      </w:pPr>
      <w:r w:rsidRPr="00037AD4">
        <w:rPr>
          <w:rFonts w:asciiTheme="minorHAnsi" w:hAnsiTheme="minorHAnsi" w:cstheme="minorHAnsi"/>
          <w:color w:val="000000" w:themeColor="text1"/>
          <w:u w:val="single"/>
        </w:rPr>
        <w:t xml:space="preserve">Table A6.3f, “Self-care” predictive margins for ACTIFCARE data </w:t>
      </w:r>
    </w:p>
    <w:p w14:paraId="2C9DFD75" w14:textId="77777777" w:rsidR="00B54D51" w:rsidRPr="00037AD4" w:rsidRDefault="00B54D51" w:rsidP="001D7ACE">
      <w:pPr>
        <w:rPr>
          <w:color w:val="000000" w:themeColor="text1"/>
        </w:rPr>
      </w:pPr>
    </w:p>
    <w:tbl>
      <w:tblPr>
        <w:tblStyle w:val="TableGridLight"/>
        <w:tblW w:w="0" w:type="auto"/>
        <w:tblLook w:val="04A0" w:firstRow="1" w:lastRow="0" w:firstColumn="1" w:lastColumn="0" w:noHBand="0" w:noVBand="1"/>
      </w:tblPr>
      <w:tblGrid>
        <w:gridCol w:w="2343"/>
        <w:gridCol w:w="2022"/>
        <w:gridCol w:w="764"/>
        <w:gridCol w:w="885"/>
        <w:gridCol w:w="764"/>
        <w:gridCol w:w="764"/>
        <w:gridCol w:w="764"/>
      </w:tblGrid>
      <w:tr w:rsidR="00B54D51" w:rsidRPr="00037AD4" w14:paraId="36DE8576" w14:textId="77777777" w:rsidTr="00401C67">
        <w:trPr>
          <w:trHeight w:val="320"/>
        </w:trPr>
        <w:tc>
          <w:tcPr>
            <w:tcW w:w="0" w:type="auto"/>
            <w:noWrap/>
            <w:hideMark/>
          </w:tcPr>
          <w:p w14:paraId="44112967" w14:textId="77777777" w:rsidR="00B54D51" w:rsidRPr="00037AD4" w:rsidRDefault="00B54D51" w:rsidP="00401C67">
            <w:pPr>
              <w:rPr>
                <w:sz w:val="20"/>
                <w:szCs w:val="20"/>
              </w:rPr>
            </w:pPr>
          </w:p>
        </w:tc>
        <w:tc>
          <w:tcPr>
            <w:tcW w:w="0" w:type="auto"/>
            <w:noWrap/>
            <w:hideMark/>
          </w:tcPr>
          <w:p w14:paraId="616E1B39" w14:textId="77777777" w:rsidR="00B54D51" w:rsidRPr="00037AD4" w:rsidRDefault="00B54D51" w:rsidP="00401C67">
            <w:pPr>
              <w:rPr>
                <w:rFonts w:ascii="Calibri" w:hAnsi="Calibri" w:cs="Calibri"/>
                <w:color w:val="000000"/>
              </w:rPr>
            </w:pPr>
            <w:r w:rsidRPr="00037AD4">
              <w:rPr>
                <w:rFonts w:ascii="Calibri" w:hAnsi="Calibri" w:cs="Calibri"/>
                <w:color w:val="000000"/>
              </w:rPr>
              <w:t>Predictive margins</w:t>
            </w:r>
          </w:p>
        </w:tc>
        <w:tc>
          <w:tcPr>
            <w:tcW w:w="0" w:type="auto"/>
            <w:noWrap/>
            <w:hideMark/>
          </w:tcPr>
          <w:p w14:paraId="58174C7F" w14:textId="77777777" w:rsidR="00B54D51" w:rsidRPr="00037AD4" w:rsidRDefault="00B54D51" w:rsidP="00401C67">
            <w:pPr>
              <w:rPr>
                <w:rFonts w:ascii="Calibri" w:hAnsi="Calibri" w:cs="Calibri"/>
                <w:color w:val="000000"/>
              </w:rPr>
            </w:pPr>
            <w:r w:rsidRPr="00037AD4">
              <w:rPr>
                <w:rFonts w:ascii="Calibri" w:hAnsi="Calibri" w:cs="Calibri"/>
                <w:color w:val="000000"/>
              </w:rPr>
              <w:t>SE.</w:t>
            </w:r>
          </w:p>
        </w:tc>
        <w:tc>
          <w:tcPr>
            <w:tcW w:w="0" w:type="auto"/>
            <w:noWrap/>
            <w:hideMark/>
          </w:tcPr>
          <w:p w14:paraId="10DE8878" w14:textId="77777777" w:rsidR="00B54D51" w:rsidRPr="00037AD4" w:rsidRDefault="00B54D51" w:rsidP="00401C67">
            <w:pPr>
              <w:rPr>
                <w:rFonts w:ascii="Calibri" w:hAnsi="Calibri" w:cs="Calibri"/>
                <w:color w:val="000000"/>
              </w:rPr>
            </w:pPr>
            <w:r w:rsidRPr="00037AD4">
              <w:rPr>
                <w:rFonts w:ascii="Calibri" w:hAnsi="Calibri" w:cs="Calibri"/>
                <w:color w:val="000000"/>
              </w:rPr>
              <w:t>z</w:t>
            </w:r>
          </w:p>
        </w:tc>
        <w:tc>
          <w:tcPr>
            <w:tcW w:w="0" w:type="auto"/>
            <w:noWrap/>
            <w:hideMark/>
          </w:tcPr>
          <w:p w14:paraId="44261F63" w14:textId="77777777" w:rsidR="00B54D51" w:rsidRPr="00037AD4" w:rsidRDefault="00B54D51" w:rsidP="00401C67">
            <w:pPr>
              <w:rPr>
                <w:rFonts w:ascii="Calibri" w:hAnsi="Calibri" w:cs="Calibri"/>
                <w:color w:val="000000"/>
              </w:rPr>
            </w:pPr>
            <w:r w:rsidRPr="00037AD4">
              <w:rPr>
                <w:rFonts w:ascii="Calibri" w:hAnsi="Calibri" w:cs="Calibri"/>
                <w:color w:val="000000"/>
              </w:rPr>
              <w:t>P&gt;z</w:t>
            </w:r>
          </w:p>
        </w:tc>
        <w:tc>
          <w:tcPr>
            <w:tcW w:w="0" w:type="auto"/>
            <w:gridSpan w:val="2"/>
            <w:noWrap/>
            <w:hideMark/>
          </w:tcPr>
          <w:p w14:paraId="058EF0DC" w14:textId="77777777" w:rsidR="00B54D51" w:rsidRPr="00037AD4" w:rsidRDefault="00B54D51" w:rsidP="00401C67">
            <w:pPr>
              <w:rPr>
                <w:rFonts w:ascii="Calibri" w:hAnsi="Calibri" w:cs="Calibri"/>
                <w:color w:val="000000"/>
              </w:rPr>
            </w:pPr>
            <w:r w:rsidRPr="00037AD4">
              <w:rPr>
                <w:rFonts w:ascii="Calibri" w:hAnsi="Calibri" w:cs="Calibri"/>
                <w:color w:val="000000"/>
              </w:rPr>
              <w:t>[95% conf.</w:t>
            </w:r>
          </w:p>
          <w:p w14:paraId="57BADDDE" w14:textId="77777777" w:rsidR="00B54D51" w:rsidRPr="00037AD4" w:rsidRDefault="00B54D51" w:rsidP="00401C67">
            <w:pPr>
              <w:rPr>
                <w:rFonts w:ascii="Calibri" w:hAnsi="Calibri" w:cs="Calibri"/>
                <w:color w:val="000000"/>
              </w:rPr>
            </w:pPr>
            <w:r w:rsidRPr="00037AD4">
              <w:rPr>
                <w:rFonts w:ascii="Calibri" w:hAnsi="Calibri" w:cs="Calibri"/>
                <w:color w:val="000000"/>
              </w:rPr>
              <w:t>interval]</w:t>
            </w:r>
          </w:p>
        </w:tc>
      </w:tr>
      <w:tr w:rsidR="00B54D51" w:rsidRPr="00037AD4" w14:paraId="12238B49" w14:textId="77777777" w:rsidTr="00401C67">
        <w:trPr>
          <w:trHeight w:val="320"/>
        </w:trPr>
        <w:tc>
          <w:tcPr>
            <w:tcW w:w="0" w:type="auto"/>
            <w:gridSpan w:val="7"/>
            <w:shd w:val="clear" w:color="auto" w:fill="E7E6E6" w:themeFill="background2"/>
            <w:noWrap/>
          </w:tcPr>
          <w:p w14:paraId="11B2C45B" w14:textId="77777777" w:rsidR="00B54D51" w:rsidRPr="00037AD4" w:rsidRDefault="00B54D51" w:rsidP="00401C67">
            <w:pPr>
              <w:rPr>
                <w:rFonts w:ascii="Calibri" w:hAnsi="Calibri" w:cs="Calibri"/>
                <w:color w:val="000000"/>
              </w:rPr>
            </w:pPr>
            <w:r w:rsidRPr="00037AD4">
              <w:rPr>
                <w:rFonts w:cstheme="minorHAnsi"/>
              </w:rPr>
              <w:t>Predicted Probability of proxy ‘Self-care’ by PwD ‘Self-care’ Level Reports</w:t>
            </w:r>
          </w:p>
        </w:tc>
      </w:tr>
      <w:tr w:rsidR="00B54D51" w:rsidRPr="00037AD4" w14:paraId="28FA9A59" w14:textId="77777777" w:rsidTr="00401C67">
        <w:trPr>
          <w:trHeight w:val="320"/>
        </w:trPr>
        <w:tc>
          <w:tcPr>
            <w:tcW w:w="0" w:type="auto"/>
            <w:gridSpan w:val="7"/>
            <w:shd w:val="clear" w:color="auto" w:fill="E7E6E6" w:themeFill="background2"/>
            <w:noWrap/>
          </w:tcPr>
          <w:p w14:paraId="78A33A25" w14:textId="77777777" w:rsidR="00B54D51" w:rsidRPr="00037AD4" w:rsidRDefault="00B54D51" w:rsidP="00401C67">
            <w:pPr>
              <w:rPr>
                <w:rFonts w:cstheme="minorHAnsi"/>
              </w:rPr>
            </w:pPr>
            <w:r w:rsidRPr="00037AD4">
              <w:rPr>
                <w:rFonts w:cstheme="minorHAnsi"/>
              </w:rPr>
              <w:t>Predicted proxy: level one</w:t>
            </w:r>
          </w:p>
        </w:tc>
      </w:tr>
      <w:tr w:rsidR="00B54D51" w:rsidRPr="00037AD4" w14:paraId="170D7696" w14:textId="77777777" w:rsidTr="00401C67">
        <w:trPr>
          <w:trHeight w:val="320"/>
        </w:trPr>
        <w:tc>
          <w:tcPr>
            <w:tcW w:w="0" w:type="auto"/>
            <w:noWrap/>
            <w:hideMark/>
          </w:tcPr>
          <w:p w14:paraId="31001A61" w14:textId="77777777" w:rsidR="00B54D51" w:rsidRPr="00037AD4" w:rsidRDefault="00B54D51" w:rsidP="00401C67">
            <w:pPr>
              <w:rPr>
                <w:rFonts w:ascii="Calibri" w:hAnsi="Calibri" w:cs="Calibri"/>
                <w:color w:val="000000"/>
              </w:rPr>
            </w:pPr>
            <w:r w:rsidRPr="00037AD4">
              <w:rPr>
                <w:rFonts w:cstheme="minorHAnsi"/>
              </w:rPr>
              <w:t xml:space="preserve">From level one PwD </w:t>
            </w:r>
          </w:p>
        </w:tc>
        <w:tc>
          <w:tcPr>
            <w:tcW w:w="0" w:type="auto"/>
            <w:noWrap/>
            <w:hideMark/>
          </w:tcPr>
          <w:p w14:paraId="6C00D11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0.498</w:t>
            </w:r>
          </w:p>
        </w:tc>
        <w:tc>
          <w:tcPr>
            <w:tcW w:w="0" w:type="auto"/>
            <w:noWrap/>
            <w:hideMark/>
          </w:tcPr>
          <w:p w14:paraId="7662D8C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0.014</w:t>
            </w:r>
          </w:p>
        </w:tc>
        <w:tc>
          <w:tcPr>
            <w:tcW w:w="0" w:type="auto"/>
            <w:noWrap/>
            <w:hideMark/>
          </w:tcPr>
          <w:p w14:paraId="4923B17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35.700</w:t>
            </w:r>
          </w:p>
        </w:tc>
        <w:tc>
          <w:tcPr>
            <w:tcW w:w="0" w:type="auto"/>
            <w:noWrap/>
            <w:hideMark/>
          </w:tcPr>
          <w:p w14:paraId="795B4A3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3E3A033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0.471</w:t>
            </w:r>
          </w:p>
        </w:tc>
        <w:tc>
          <w:tcPr>
            <w:tcW w:w="0" w:type="auto"/>
            <w:noWrap/>
            <w:hideMark/>
          </w:tcPr>
          <w:p w14:paraId="529AC89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0.525</w:t>
            </w:r>
          </w:p>
        </w:tc>
      </w:tr>
      <w:tr w:rsidR="00B54D51" w:rsidRPr="00037AD4" w14:paraId="5F8CE0C1" w14:textId="77777777" w:rsidTr="00401C67">
        <w:trPr>
          <w:trHeight w:val="320"/>
        </w:trPr>
        <w:tc>
          <w:tcPr>
            <w:tcW w:w="0" w:type="auto"/>
            <w:noWrap/>
            <w:hideMark/>
          </w:tcPr>
          <w:p w14:paraId="7A8B2165" w14:textId="77777777" w:rsidR="00B54D51" w:rsidRPr="00037AD4" w:rsidRDefault="00B54D51" w:rsidP="00401C67">
            <w:pPr>
              <w:rPr>
                <w:rFonts w:ascii="Calibri" w:hAnsi="Calibri" w:cs="Calibri"/>
                <w:color w:val="000000"/>
              </w:rPr>
            </w:pPr>
            <w:r w:rsidRPr="00037AD4">
              <w:rPr>
                <w:rFonts w:cstheme="minorHAnsi"/>
              </w:rPr>
              <w:t xml:space="preserve">From level two PwD </w:t>
            </w:r>
          </w:p>
        </w:tc>
        <w:tc>
          <w:tcPr>
            <w:tcW w:w="0" w:type="auto"/>
            <w:noWrap/>
            <w:hideMark/>
          </w:tcPr>
          <w:p w14:paraId="468D15C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0.406</w:t>
            </w:r>
          </w:p>
        </w:tc>
        <w:tc>
          <w:tcPr>
            <w:tcW w:w="0" w:type="auto"/>
            <w:noWrap/>
            <w:hideMark/>
          </w:tcPr>
          <w:p w14:paraId="2D89575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0.030</w:t>
            </w:r>
          </w:p>
        </w:tc>
        <w:tc>
          <w:tcPr>
            <w:tcW w:w="0" w:type="auto"/>
            <w:noWrap/>
            <w:hideMark/>
          </w:tcPr>
          <w:p w14:paraId="08E7D17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13.480</w:t>
            </w:r>
          </w:p>
        </w:tc>
        <w:tc>
          <w:tcPr>
            <w:tcW w:w="0" w:type="auto"/>
            <w:noWrap/>
            <w:hideMark/>
          </w:tcPr>
          <w:p w14:paraId="405A77B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69AEE8D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0.347</w:t>
            </w:r>
          </w:p>
        </w:tc>
        <w:tc>
          <w:tcPr>
            <w:tcW w:w="0" w:type="auto"/>
            <w:noWrap/>
            <w:hideMark/>
          </w:tcPr>
          <w:p w14:paraId="76275FA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0.465</w:t>
            </w:r>
          </w:p>
        </w:tc>
      </w:tr>
      <w:tr w:rsidR="00B54D51" w:rsidRPr="00037AD4" w14:paraId="2D02FDD2" w14:textId="77777777" w:rsidTr="00401C67">
        <w:trPr>
          <w:trHeight w:val="320"/>
        </w:trPr>
        <w:tc>
          <w:tcPr>
            <w:tcW w:w="0" w:type="auto"/>
            <w:noWrap/>
            <w:hideMark/>
          </w:tcPr>
          <w:p w14:paraId="3A9745B9" w14:textId="77777777" w:rsidR="00B54D51" w:rsidRPr="00037AD4" w:rsidRDefault="00B54D51" w:rsidP="00401C67">
            <w:pPr>
              <w:rPr>
                <w:rFonts w:ascii="Calibri" w:hAnsi="Calibri" w:cs="Calibri"/>
                <w:color w:val="000000"/>
              </w:rPr>
            </w:pPr>
            <w:r w:rsidRPr="00037AD4">
              <w:rPr>
                <w:rFonts w:cstheme="minorHAnsi"/>
              </w:rPr>
              <w:t xml:space="preserve">From level three PwD </w:t>
            </w:r>
          </w:p>
        </w:tc>
        <w:tc>
          <w:tcPr>
            <w:tcW w:w="0" w:type="auto"/>
            <w:noWrap/>
            <w:hideMark/>
          </w:tcPr>
          <w:p w14:paraId="585A9C7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0.417</w:t>
            </w:r>
          </w:p>
        </w:tc>
        <w:tc>
          <w:tcPr>
            <w:tcW w:w="0" w:type="auto"/>
            <w:noWrap/>
            <w:hideMark/>
          </w:tcPr>
          <w:p w14:paraId="2731DF1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0.035</w:t>
            </w:r>
          </w:p>
        </w:tc>
        <w:tc>
          <w:tcPr>
            <w:tcW w:w="0" w:type="auto"/>
            <w:noWrap/>
            <w:hideMark/>
          </w:tcPr>
          <w:p w14:paraId="3F486F5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11.870</w:t>
            </w:r>
          </w:p>
        </w:tc>
        <w:tc>
          <w:tcPr>
            <w:tcW w:w="0" w:type="auto"/>
            <w:noWrap/>
            <w:hideMark/>
          </w:tcPr>
          <w:p w14:paraId="58E42B5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4460183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0.349</w:t>
            </w:r>
          </w:p>
        </w:tc>
        <w:tc>
          <w:tcPr>
            <w:tcW w:w="0" w:type="auto"/>
            <w:noWrap/>
            <w:hideMark/>
          </w:tcPr>
          <w:p w14:paraId="358E3E9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0.486</w:t>
            </w:r>
          </w:p>
        </w:tc>
      </w:tr>
      <w:tr w:rsidR="00B54D51" w:rsidRPr="00037AD4" w14:paraId="1C4604E0" w14:textId="77777777" w:rsidTr="00401C67">
        <w:trPr>
          <w:trHeight w:val="320"/>
        </w:trPr>
        <w:tc>
          <w:tcPr>
            <w:tcW w:w="0" w:type="auto"/>
            <w:noWrap/>
            <w:hideMark/>
          </w:tcPr>
          <w:p w14:paraId="66D01D28" w14:textId="77777777" w:rsidR="00B54D51" w:rsidRPr="00037AD4" w:rsidRDefault="00B54D51" w:rsidP="00401C67">
            <w:pPr>
              <w:rPr>
                <w:rFonts w:ascii="Calibri" w:hAnsi="Calibri" w:cs="Calibri"/>
                <w:color w:val="000000"/>
              </w:rPr>
            </w:pPr>
            <w:r w:rsidRPr="00037AD4">
              <w:rPr>
                <w:rFonts w:cstheme="minorHAnsi"/>
              </w:rPr>
              <w:t xml:space="preserve">From level four PwD </w:t>
            </w:r>
          </w:p>
        </w:tc>
        <w:tc>
          <w:tcPr>
            <w:tcW w:w="0" w:type="auto"/>
            <w:noWrap/>
            <w:hideMark/>
          </w:tcPr>
          <w:p w14:paraId="58FB666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0.207</w:t>
            </w:r>
          </w:p>
        </w:tc>
        <w:tc>
          <w:tcPr>
            <w:tcW w:w="0" w:type="auto"/>
            <w:noWrap/>
            <w:hideMark/>
          </w:tcPr>
          <w:p w14:paraId="3F93E28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0.071</w:t>
            </w:r>
          </w:p>
        </w:tc>
        <w:tc>
          <w:tcPr>
            <w:tcW w:w="0" w:type="auto"/>
            <w:noWrap/>
            <w:hideMark/>
          </w:tcPr>
          <w:p w14:paraId="2765DA2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2.920</w:t>
            </w:r>
          </w:p>
        </w:tc>
        <w:tc>
          <w:tcPr>
            <w:tcW w:w="0" w:type="auto"/>
            <w:noWrap/>
            <w:hideMark/>
          </w:tcPr>
          <w:p w14:paraId="096E580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0.004</w:t>
            </w:r>
          </w:p>
        </w:tc>
        <w:tc>
          <w:tcPr>
            <w:tcW w:w="0" w:type="auto"/>
            <w:noWrap/>
            <w:hideMark/>
          </w:tcPr>
          <w:p w14:paraId="693463F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0.068</w:t>
            </w:r>
          </w:p>
        </w:tc>
        <w:tc>
          <w:tcPr>
            <w:tcW w:w="0" w:type="auto"/>
            <w:noWrap/>
            <w:hideMark/>
          </w:tcPr>
          <w:p w14:paraId="19EC60B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0.346</w:t>
            </w:r>
          </w:p>
        </w:tc>
      </w:tr>
      <w:tr w:rsidR="00B54D51" w:rsidRPr="00037AD4" w14:paraId="4C17DADF" w14:textId="77777777" w:rsidTr="00401C67">
        <w:trPr>
          <w:trHeight w:val="320"/>
        </w:trPr>
        <w:tc>
          <w:tcPr>
            <w:tcW w:w="0" w:type="auto"/>
            <w:noWrap/>
            <w:hideMark/>
          </w:tcPr>
          <w:p w14:paraId="4535BD0C" w14:textId="77777777" w:rsidR="00B54D51" w:rsidRPr="00037AD4" w:rsidRDefault="00B54D51" w:rsidP="00401C67">
            <w:pPr>
              <w:rPr>
                <w:rFonts w:ascii="Calibri" w:hAnsi="Calibri" w:cs="Calibri"/>
                <w:color w:val="000000"/>
              </w:rPr>
            </w:pPr>
            <w:r w:rsidRPr="00037AD4">
              <w:rPr>
                <w:rFonts w:cstheme="minorHAnsi"/>
              </w:rPr>
              <w:t xml:space="preserve">From level five PwD </w:t>
            </w:r>
          </w:p>
        </w:tc>
        <w:tc>
          <w:tcPr>
            <w:tcW w:w="0" w:type="auto"/>
            <w:noWrap/>
            <w:hideMark/>
          </w:tcPr>
          <w:p w14:paraId="39A24DA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0.191</w:t>
            </w:r>
          </w:p>
        </w:tc>
        <w:tc>
          <w:tcPr>
            <w:tcW w:w="0" w:type="auto"/>
            <w:noWrap/>
            <w:hideMark/>
          </w:tcPr>
          <w:p w14:paraId="2288CBE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0.088</w:t>
            </w:r>
          </w:p>
        </w:tc>
        <w:tc>
          <w:tcPr>
            <w:tcW w:w="0" w:type="auto"/>
            <w:noWrap/>
            <w:hideMark/>
          </w:tcPr>
          <w:p w14:paraId="7503B33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2.170</w:t>
            </w:r>
          </w:p>
        </w:tc>
        <w:tc>
          <w:tcPr>
            <w:tcW w:w="0" w:type="auto"/>
            <w:noWrap/>
            <w:hideMark/>
          </w:tcPr>
          <w:p w14:paraId="29FF0B5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0.030</w:t>
            </w:r>
          </w:p>
        </w:tc>
        <w:tc>
          <w:tcPr>
            <w:tcW w:w="0" w:type="auto"/>
            <w:noWrap/>
            <w:hideMark/>
          </w:tcPr>
          <w:p w14:paraId="3862D1A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0.019</w:t>
            </w:r>
          </w:p>
        </w:tc>
        <w:tc>
          <w:tcPr>
            <w:tcW w:w="0" w:type="auto"/>
            <w:noWrap/>
            <w:hideMark/>
          </w:tcPr>
          <w:p w14:paraId="42121E0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0.363</w:t>
            </w:r>
          </w:p>
        </w:tc>
      </w:tr>
      <w:tr w:rsidR="00B54D51" w:rsidRPr="00037AD4" w14:paraId="5CAE991D" w14:textId="77777777" w:rsidTr="00401C67">
        <w:trPr>
          <w:trHeight w:val="320"/>
        </w:trPr>
        <w:tc>
          <w:tcPr>
            <w:tcW w:w="0" w:type="auto"/>
            <w:gridSpan w:val="7"/>
            <w:shd w:val="clear" w:color="auto" w:fill="E7E6E6" w:themeFill="background2"/>
            <w:noWrap/>
          </w:tcPr>
          <w:p w14:paraId="4A348A68" w14:textId="77777777" w:rsidR="00B54D51" w:rsidRPr="00037AD4" w:rsidRDefault="00B54D51" w:rsidP="00401C67">
            <w:pPr>
              <w:rPr>
                <w:rFonts w:ascii="Calibri" w:hAnsi="Calibri" w:cs="Calibri"/>
                <w:color w:val="000000"/>
              </w:rPr>
            </w:pPr>
            <w:r w:rsidRPr="00037AD4">
              <w:rPr>
                <w:rFonts w:cstheme="minorHAnsi"/>
              </w:rPr>
              <w:t>Predicted proxy: level two</w:t>
            </w:r>
          </w:p>
        </w:tc>
      </w:tr>
      <w:tr w:rsidR="00B54D51" w:rsidRPr="00037AD4" w14:paraId="68462526" w14:textId="77777777" w:rsidTr="00401C67">
        <w:trPr>
          <w:trHeight w:val="320"/>
        </w:trPr>
        <w:tc>
          <w:tcPr>
            <w:tcW w:w="0" w:type="auto"/>
            <w:noWrap/>
            <w:hideMark/>
          </w:tcPr>
          <w:p w14:paraId="3134C581" w14:textId="77777777" w:rsidR="00B54D51" w:rsidRPr="00037AD4" w:rsidRDefault="00B54D51" w:rsidP="00401C67">
            <w:pPr>
              <w:rPr>
                <w:rFonts w:ascii="Calibri" w:hAnsi="Calibri" w:cs="Calibri"/>
                <w:color w:val="000000"/>
              </w:rPr>
            </w:pPr>
            <w:r w:rsidRPr="00037AD4">
              <w:rPr>
                <w:rFonts w:cstheme="minorHAnsi"/>
              </w:rPr>
              <w:t xml:space="preserve">From level one PwD </w:t>
            </w:r>
          </w:p>
        </w:tc>
        <w:tc>
          <w:tcPr>
            <w:tcW w:w="0" w:type="auto"/>
            <w:noWrap/>
            <w:hideMark/>
          </w:tcPr>
          <w:p w14:paraId="5089A2C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0.281</w:t>
            </w:r>
          </w:p>
        </w:tc>
        <w:tc>
          <w:tcPr>
            <w:tcW w:w="0" w:type="auto"/>
            <w:noWrap/>
            <w:hideMark/>
          </w:tcPr>
          <w:p w14:paraId="4B369FF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0.014</w:t>
            </w:r>
          </w:p>
        </w:tc>
        <w:tc>
          <w:tcPr>
            <w:tcW w:w="0" w:type="auto"/>
            <w:noWrap/>
            <w:hideMark/>
          </w:tcPr>
          <w:p w14:paraId="09A44B6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19.410</w:t>
            </w:r>
          </w:p>
        </w:tc>
        <w:tc>
          <w:tcPr>
            <w:tcW w:w="0" w:type="auto"/>
            <w:noWrap/>
            <w:hideMark/>
          </w:tcPr>
          <w:p w14:paraId="7EEDABD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7EE6803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0.252</w:t>
            </w:r>
          </w:p>
        </w:tc>
        <w:tc>
          <w:tcPr>
            <w:tcW w:w="0" w:type="auto"/>
            <w:noWrap/>
            <w:hideMark/>
          </w:tcPr>
          <w:p w14:paraId="6BD1BCD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0.309</w:t>
            </w:r>
          </w:p>
        </w:tc>
      </w:tr>
      <w:tr w:rsidR="00B54D51" w:rsidRPr="00037AD4" w14:paraId="07522329" w14:textId="77777777" w:rsidTr="00401C67">
        <w:trPr>
          <w:trHeight w:val="320"/>
        </w:trPr>
        <w:tc>
          <w:tcPr>
            <w:tcW w:w="0" w:type="auto"/>
            <w:noWrap/>
            <w:hideMark/>
          </w:tcPr>
          <w:p w14:paraId="660C00B0" w14:textId="77777777" w:rsidR="00B54D51" w:rsidRPr="00037AD4" w:rsidRDefault="00B54D51" w:rsidP="00401C67">
            <w:pPr>
              <w:rPr>
                <w:rFonts w:ascii="Calibri" w:hAnsi="Calibri" w:cs="Calibri"/>
                <w:color w:val="000000"/>
              </w:rPr>
            </w:pPr>
            <w:r w:rsidRPr="00037AD4">
              <w:rPr>
                <w:rFonts w:cstheme="minorHAnsi"/>
              </w:rPr>
              <w:t xml:space="preserve">From level two PwD </w:t>
            </w:r>
          </w:p>
        </w:tc>
        <w:tc>
          <w:tcPr>
            <w:tcW w:w="0" w:type="auto"/>
            <w:noWrap/>
            <w:hideMark/>
          </w:tcPr>
          <w:p w14:paraId="758350A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0.299</w:t>
            </w:r>
          </w:p>
        </w:tc>
        <w:tc>
          <w:tcPr>
            <w:tcW w:w="0" w:type="auto"/>
            <w:noWrap/>
            <w:hideMark/>
          </w:tcPr>
          <w:p w14:paraId="49B9118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0.017</w:t>
            </w:r>
          </w:p>
        </w:tc>
        <w:tc>
          <w:tcPr>
            <w:tcW w:w="0" w:type="auto"/>
            <w:noWrap/>
            <w:hideMark/>
          </w:tcPr>
          <w:p w14:paraId="5BE1FDD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17.710</w:t>
            </w:r>
          </w:p>
        </w:tc>
        <w:tc>
          <w:tcPr>
            <w:tcW w:w="0" w:type="auto"/>
            <w:noWrap/>
            <w:hideMark/>
          </w:tcPr>
          <w:p w14:paraId="07D4423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74FC8C9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0.266</w:t>
            </w:r>
          </w:p>
        </w:tc>
        <w:tc>
          <w:tcPr>
            <w:tcW w:w="0" w:type="auto"/>
            <w:noWrap/>
            <w:hideMark/>
          </w:tcPr>
          <w:p w14:paraId="17AA9CE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0.332</w:t>
            </w:r>
          </w:p>
        </w:tc>
      </w:tr>
      <w:tr w:rsidR="00B54D51" w:rsidRPr="00037AD4" w14:paraId="37166FFF" w14:textId="77777777" w:rsidTr="00401C67">
        <w:trPr>
          <w:trHeight w:val="320"/>
        </w:trPr>
        <w:tc>
          <w:tcPr>
            <w:tcW w:w="0" w:type="auto"/>
            <w:noWrap/>
            <w:hideMark/>
          </w:tcPr>
          <w:p w14:paraId="751B9C2E" w14:textId="77777777" w:rsidR="00B54D51" w:rsidRPr="00037AD4" w:rsidRDefault="00B54D51" w:rsidP="00401C67">
            <w:pPr>
              <w:rPr>
                <w:rFonts w:ascii="Calibri" w:hAnsi="Calibri" w:cs="Calibri"/>
                <w:color w:val="000000"/>
              </w:rPr>
            </w:pPr>
            <w:r w:rsidRPr="00037AD4">
              <w:rPr>
                <w:rFonts w:cstheme="minorHAnsi"/>
              </w:rPr>
              <w:t xml:space="preserve">From level three PwD </w:t>
            </w:r>
          </w:p>
        </w:tc>
        <w:tc>
          <w:tcPr>
            <w:tcW w:w="0" w:type="auto"/>
            <w:noWrap/>
            <w:hideMark/>
          </w:tcPr>
          <w:p w14:paraId="3F438B1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0.297</w:t>
            </w:r>
          </w:p>
        </w:tc>
        <w:tc>
          <w:tcPr>
            <w:tcW w:w="0" w:type="auto"/>
            <w:noWrap/>
            <w:hideMark/>
          </w:tcPr>
          <w:p w14:paraId="1D3AFCD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0.018</w:t>
            </w:r>
          </w:p>
        </w:tc>
        <w:tc>
          <w:tcPr>
            <w:tcW w:w="0" w:type="auto"/>
            <w:noWrap/>
            <w:hideMark/>
          </w:tcPr>
          <w:p w14:paraId="7B02B2F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16.840</w:t>
            </w:r>
          </w:p>
        </w:tc>
        <w:tc>
          <w:tcPr>
            <w:tcW w:w="0" w:type="auto"/>
            <w:noWrap/>
            <w:hideMark/>
          </w:tcPr>
          <w:p w14:paraId="3199DA3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7656753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0.262</w:t>
            </w:r>
          </w:p>
        </w:tc>
        <w:tc>
          <w:tcPr>
            <w:tcW w:w="0" w:type="auto"/>
            <w:noWrap/>
            <w:hideMark/>
          </w:tcPr>
          <w:p w14:paraId="6DDC4A2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0.331</w:t>
            </w:r>
          </w:p>
        </w:tc>
      </w:tr>
      <w:tr w:rsidR="00B54D51" w:rsidRPr="00037AD4" w14:paraId="4131771B" w14:textId="77777777" w:rsidTr="00401C67">
        <w:trPr>
          <w:trHeight w:val="320"/>
        </w:trPr>
        <w:tc>
          <w:tcPr>
            <w:tcW w:w="0" w:type="auto"/>
            <w:noWrap/>
            <w:hideMark/>
          </w:tcPr>
          <w:p w14:paraId="72D366C5" w14:textId="77777777" w:rsidR="00B54D51" w:rsidRPr="00037AD4" w:rsidRDefault="00B54D51" w:rsidP="00401C67">
            <w:pPr>
              <w:rPr>
                <w:rFonts w:ascii="Calibri" w:hAnsi="Calibri" w:cs="Calibri"/>
                <w:color w:val="000000"/>
              </w:rPr>
            </w:pPr>
            <w:r w:rsidRPr="00037AD4">
              <w:rPr>
                <w:rFonts w:cstheme="minorHAnsi"/>
              </w:rPr>
              <w:t xml:space="preserve">From level four PwD </w:t>
            </w:r>
          </w:p>
        </w:tc>
        <w:tc>
          <w:tcPr>
            <w:tcW w:w="0" w:type="auto"/>
            <w:noWrap/>
            <w:hideMark/>
          </w:tcPr>
          <w:p w14:paraId="331A8B4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0.299</w:t>
            </w:r>
          </w:p>
        </w:tc>
        <w:tc>
          <w:tcPr>
            <w:tcW w:w="0" w:type="auto"/>
            <w:noWrap/>
            <w:hideMark/>
          </w:tcPr>
          <w:p w14:paraId="1C5EED0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0.020</w:t>
            </w:r>
          </w:p>
        </w:tc>
        <w:tc>
          <w:tcPr>
            <w:tcW w:w="0" w:type="auto"/>
            <w:noWrap/>
            <w:hideMark/>
          </w:tcPr>
          <w:p w14:paraId="00B705A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14.590</w:t>
            </w:r>
          </w:p>
        </w:tc>
        <w:tc>
          <w:tcPr>
            <w:tcW w:w="0" w:type="auto"/>
            <w:noWrap/>
            <w:hideMark/>
          </w:tcPr>
          <w:p w14:paraId="0860735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7734C53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0.259</w:t>
            </w:r>
          </w:p>
        </w:tc>
        <w:tc>
          <w:tcPr>
            <w:tcW w:w="0" w:type="auto"/>
            <w:noWrap/>
            <w:hideMark/>
          </w:tcPr>
          <w:p w14:paraId="3E7FA03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0.339</w:t>
            </w:r>
          </w:p>
        </w:tc>
      </w:tr>
      <w:tr w:rsidR="00B54D51" w:rsidRPr="00037AD4" w14:paraId="5E692F59" w14:textId="77777777" w:rsidTr="00401C67">
        <w:trPr>
          <w:trHeight w:val="320"/>
        </w:trPr>
        <w:tc>
          <w:tcPr>
            <w:tcW w:w="0" w:type="auto"/>
            <w:noWrap/>
            <w:hideMark/>
          </w:tcPr>
          <w:p w14:paraId="21B31197" w14:textId="77777777" w:rsidR="00B54D51" w:rsidRPr="00037AD4" w:rsidRDefault="00B54D51" w:rsidP="00401C67">
            <w:pPr>
              <w:rPr>
                <w:rFonts w:ascii="Calibri" w:hAnsi="Calibri" w:cs="Calibri"/>
                <w:color w:val="000000"/>
              </w:rPr>
            </w:pPr>
            <w:r w:rsidRPr="00037AD4">
              <w:rPr>
                <w:rFonts w:cstheme="minorHAnsi"/>
              </w:rPr>
              <w:t xml:space="preserve">From level five PwD </w:t>
            </w:r>
          </w:p>
        </w:tc>
        <w:tc>
          <w:tcPr>
            <w:tcW w:w="0" w:type="auto"/>
            <w:noWrap/>
            <w:hideMark/>
          </w:tcPr>
          <w:p w14:paraId="6DB68BF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0.295</w:t>
            </w:r>
          </w:p>
        </w:tc>
        <w:tc>
          <w:tcPr>
            <w:tcW w:w="0" w:type="auto"/>
            <w:noWrap/>
            <w:hideMark/>
          </w:tcPr>
          <w:p w14:paraId="0F24993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0.027</w:t>
            </w:r>
          </w:p>
        </w:tc>
        <w:tc>
          <w:tcPr>
            <w:tcW w:w="0" w:type="auto"/>
            <w:noWrap/>
            <w:hideMark/>
          </w:tcPr>
          <w:p w14:paraId="0A15961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11.140</w:t>
            </w:r>
          </w:p>
        </w:tc>
        <w:tc>
          <w:tcPr>
            <w:tcW w:w="0" w:type="auto"/>
            <w:noWrap/>
            <w:hideMark/>
          </w:tcPr>
          <w:p w14:paraId="792BA70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1AB48E7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0.243</w:t>
            </w:r>
          </w:p>
        </w:tc>
        <w:tc>
          <w:tcPr>
            <w:tcW w:w="0" w:type="auto"/>
            <w:noWrap/>
            <w:hideMark/>
          </w:tcPr>
          <w:p w14:paraId="1BCB397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0.347</w:t>
            </w:r>
          </w:p>
        </w:tc>
      </w:tr>
      <w:tr w:rsidR="00B54D51" w:rsidRPr="00037AD4" w14:paraId="33529A60" w14:textId="77777777" w:rsidTr="00401C67">
        <w:trPr>
          <w:trHeight w:val="320"/>
        </w:trPr>
        <w:tc>
          <w:tcPr>
            <w:tcW w:w="0" w:type="auto"/>
            <w:gridSpan w:val="7"/>
            <w:shd w:val="clear" w:color="auto" w:fill="E7E6E6" w:themeFill="background2"/>
            <w:noWrap/>
          </w:tcPr>
          <w:p w14:paraId="044A595B" w14:textId="77777777" w:rsidR="00B54D51" w:rsidRPr="00037AD4" w:rsidRDefault="00B54D51" w:rsidP="00401C67">
            <w:pPr>
              <w:rPr>
                <w:rFonts w:ascii="Calibri" w:hAnsi="Calibri" w:cs="Calibri"/>
                <w:color w:val="000000"/>
              </w:rPr>
            </w:pPr>
            <w:r w:rsidRPr="00037AD4">
              <w:rPr>
                <w:rFonts w:cstheme="minorHAnsi"/>
              </w:rPr>
              <w:t>Predicted proxy: level three</w:t>
            </w:r>
          </w:p>
        </w:tc>
      </w:tr>
      <w:tr w:rsidR="00B54D51" w:rsidRPr="00037AD4" w14:paraId="572DF42A" w14:textId="77777777" w:rsidTr="00401C67">
        <w:trPr>
          <w:trHeight w:val="320"/>
        </w:trPr>
        <w:tc>
          <w:tcPr>
            <w:tcW w:w="0" w:type="auto"/>
            <w:noWrap/>
            <w:hideMark/>
          </w:tcPr>
          <w:p w14:paraId="02F93610" w14:textId="77777777" w:rsidR="00B54D51" w:rsidRPr="00037AD4" w:rsidRDefault="00B54D51" w:rsidP="00401C67">
            <w:pPr>
              <w:rPr>
                <w:rFonts w:ascii="Calibri" w:hAnsi="Calibri" w:cs="Calibri"/>
                <w:color w:val="000000"/>
              </w:rPr>
            </w:pPr>
            <w:r w:rsidRPr="00037AD4">
              <w:rPr>
                <w:rFonts w:cstheme="minorHAnsi"/>
              </w:rPr>
              <w:t xml:space="preserve">From level one PwD </w:t>
            </w:r>
          </w:p>
        </w:tc>
        <w:tc>
          <w:tcPr>
            <w:tcW w:w="0" w:type="auto"/>
            <w:noWrap/>
            <w:hideMark/>
          </w:tcPr>
          <w:p w14:paraId="2D9BA77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0.155</w:t>
            </w:r>
          </w:p>
        </w:tc>
        <w:tc>
          <w:tcPr>
            <w:tcW w:w="0" w:type="auto"/>
            <w:noWrap/>
            <w:hideMark/>
          </w:tcPr>
          <w:p w14:paraId="4774DED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0.012</w:t>
            </w:r>
          </w:p>
        </w:tc>
        <w:tc>
          <w:tcPr>
            <w:tcW w:w="0" w:type="auto"/>
            <w:noWrap/>
            <w:hideMark/>
          </w:tcPr>
          <w:p w14:paraId="6995E80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13.060</w:t>
            </w:r>
          </w:p>
        </w:tc>
        <w:tc>
          <w:tcPr>
            <w:tcW w:w="0" w:type="auto"/>
            <w:noWrap/>
            <w:hideMark/>
          </w:tcPr>
          <w:p w14:paraId="36F3FD8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495331B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0.132</w:t>
            </w:r>
          </w:p>
        </w:tc>
        <w:tc>
          <w:tcPr>
            <w:tcW w:w="0" w:type="auto"/>
            <w:noWrap/>
            <w:hideMark/>
          </w:tcPr>
          <w:p w14:paraId="17A6058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0.178</w:t>
            </w:r>
          </w:p>
        </w:tc>
      </w:tr>
      <w:tr w:rsidR="00B54D51" w:rsidRPr="00037AD4" w14:paraId="1EDCB010" w14:textId="77777777" w:rsidTr="00401C67">
        <w:trPr>
          <w:trHeight w:val="320"/>
        </w:trPr>
        <w:tc>
          <w:tcPr>
            <w:tcW w:w="0" w:type="auto"/>
            <w:noWrap/>
            <w:hideMark/>
          </w:tcPr>
          <w:p w14:paraId="18FCC1FB" w14:textId="77777777" w:rsidR="00B54D51" w:rsidRPr="00037AD4" w:rsidRDefault="00B54D51" w:rsidP="00401C67">
            <w:pPr>
              <w:rPr>
                <w:rFonts w:ascii="Calibri" w:hAnsi="Calibri" w:cs="Calibri"/>
                <w:color w:val="000000"/>
              </w:rPr>
            </w:pPr>
            <w:r w:rsidRPr="00037AD4">
              <w:rPr>
                <w:rFonts w:cstheme="minorHAnsi"/>
              </w:rPr>
              <w:t xml:space="preserve">From level two PwD </w:t>
            </w:r>
          </w:p>
        </w:tc>
        <w:tc>
          <w:tcPr>
            <w:tcW w:w="0" w:type="auto"/>
            <w:noWrap/>
            <w:hideMark/>
          </w:tcPr>
          <w:p w14:paraId="33AA820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0.189</w:t>
            </w:r>
          </w:p>
        </w:tc>
        <w:tc>
          <w:tcPr>
            <w:tcW w:w="0" w:type="auto"/>
            <w:noWrap/>
            <w:hideMark/>
          </w:tcPr>
          <w:p w14:paraId="2F4B9AE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0.017</w:t>
            </w:r>
          </w:p>
        </w:tc>
        <w:tc>
          <w:tcPr>
            <w:tcW w:w="0" w:type="auto"/>
            <w:noWrap/>
            <w:hideMark/>
          </w:tcPr>
          <w:p w14:paraId="0281EDD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11.250</w:t>
            </w:r>
          </w:p>
        </w:tc>
        <w:tc>
          <w:tcPr>
            <w:tcW w:w="0" w:type="auto"/>
            <w:noWrap/>
            <w:hideMark/>
          </w:tcPr>
          <w:p w14:paraId="4D8D9F0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4D1BA90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0.156</w:t>
            </w:r>
          </w:p>
        </w:tc>
        <w:tc>
          <w:tcPr>
            <w:tcW w:w="0" w:type="auto"/>
            <w:noWrap/>
            <w:hideMark/>
          </w:tcPr>
          <w:p w14:paraId="3930C40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0.222</w:t>
            </w:r>
          </w:p>
        </w:tc>
      </w:tr>
      <w:tr w:rsidR="00B54D51" w:rsidRPr="00037AD4" w14:paraId="647F48F0" w14:textId="77777777" w:rsidTr="00401C67">
        <w:trPr>
          <w:trHeight w:val="320"/>
        </w:trPr>
        <w:tc>
          <w:tcPr>
            <w:tcW w:w="0" w:type="auto"/>
            <w:noWrap/>
            <w:hideMark/>
          </w:tcPr>
          <w:p w14:paraId="135B0ACA" w14:textId="77777777" w:rsidR="00B54D51" w:rsidRPr="00037AD4" w:rsidRDefault="00B54D51" w:rsidP="00401C67">
            <w:pPr>
              <w:rPr>
                <w:rFonts w:ascii="Calibri" w:hAnsi="Calibri" w:cs="Calibri"/>
                <w:color w:val="000000"/>
              </w:rPr>
            </w:pPr>
            <w:r w:rsidRPr="00037AD4">
              <w:rPr>
                <w:rFonts w:cstheme="minorHAnsi"/>
              </w:rPr>
              <w:t xml:space="preserve">From level three PwD </w:t>
            </w:r>
          </w:p>
        </w:tc>
        <w:tc>
          <w:tcPr>
            <w:tcW w:w="0" w:type="auto"/>
            <w:noWrap/>
            <w:hideMark/>
          </w:tcPr>
          <w:p w14:paraId="26B9AAF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0.185</w:t>
            </w:r>
          </w:p>
        </w:tc>
        <w:tc>
          <w:tcPr>
            <w:tcW w:w="0" w:type="auto"/>
            <w:noWrap/>
            <w:hideMark/>
          </w:tcPr>
          <w:p w14:paraId="3BE0BFC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0.017</w:t>
            </w:r>
          </w:p>
        </w:tc>
        <w:tc>
          <w:tcPr>
            <w:tcW w:w="0" w:type="auto"/>
            <w:noWrap/>
            <w:hideMark/>
          </w:tcPr>
          <w:p w14:paraId="382A7E1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11.090</w:t>
            </w:r>
          </w:p>
        </w:tc>
        <w:tc>
          <w:tcPr>
            <w:tcW w:w="0" w:type="auto"/>
            <w:noWrap/>
            <w:hideMark/>
          </w:tcPr>
          <w:p w14:paraId="51347D7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65BF20A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0.152</w:t>
            </w:r>
          </w:p>
        </w:tc>
        <w:tc>
          <w:tcPr>
            <w:tcW w:w="0" w:type="auto"/>
            <w:noWrap/>
            <w:hideMark/>
          </w:tcPr>
          <w:p w14:paraId="7054138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0.218</w:t>
            </w:r>
          </w:p>
        </w:tc>
      </w:tr>
      <w:tr w:rsidR="00B54D51" w:rsidRPr="00037AD4" w14:paraId="55432F30" w14:textId="77777777" w:rsidTr="00401C67">
        <w:trPr>
          <w:trHeight w:val="320"/>
        </w:trPr>
        <w:tc>
          <w:tcPr>
            <w:tcW w:w="0" w:type="auto"/>
            <w:noWrap/>
            <w:hideMark/>
          </w:tcPr>
          <w:p w14:paraId="021DFFED" w14:textId="77777777" w:rsidR="00B54D51" w:rsidRPr="00037AD4" w:rsidRDefault="00B54D51" w:rsidP="00401C67">
            <w:pPr>
              <w:rPr>
                <w:rFonts w:ascii="Calibri" w:hAnsi="Calibri" w:cs="Calibri"/>
                <w:color w:val="000000"/>
              </w:rPr>
            </w:pPr>
            <w:r w:rsidRPr="00037AD4">
              <w:rPr>
                <w:rFonts w:cstheme="minorHAnsi"/>
              </w:rPr>
              <w:lastRenderedPageBreak/>
              <w:t xml:space="preserve">From level four PwD </w:t>
            </w:r>
          </w:p>
        </w:tc>
        <w:tc>
          <w:tcPr>
            <w:tcW w:w="0" w:type="auto"/>
            <w:noWrap/>
            <w:hideMark/>
          </w:tcPr>
          <w:p w14:paraId="53EFC75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0.250</w:t>
            </w:r>
          </w:p>
        </w:tc>
        <w:tc>
          <w:tcPr>
            <w:tcW w:w="0" w:type="auto"/>
            <w:noWrap/>
            <w:hideMark/>
          </w:tcPr>
          <w:p w14:paraId="30BE4C5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0.026</w:t>
            </w:r>
          </w:p>
        </w:tc>
        <w:tc>
          <w:tcPr>
            <w:tcW w:w="0" w:type="auto"/>
            <w:noWrap/>
            <w:hideMark/>
          </w:tcPr>
          <w:p w14:paraId="0F827A6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9.560</w:t>
            </w:r>
          </w:p>
        </w:tc>
        <w:tc>
          <w:tcPr>
            <w:tcW w:w="0" w:type="auto"/>
            <w:noWrap/>
            <w:hideMark/>
          </w:tcPr>
          <w:p w14:paraId="1B9E4CA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22EFAC5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0.199</w:t>
            </w:r>
          </w:p>
        </w:tc>
        <w:tc>
          <w:tcPr>
            <w:tcW w:w="0" w:type="auto"/>
            <w:noWrap/>
            <w:hideMark/>
          </w:tcPr>
          <w:p w14:paraId="5FB2466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0.301</w:t>
            </w:r>
          </w:p>
        </w:tc>
      </w:tr>
      <w:tr w:rsidR="00B54D51" w:rsidRPr="00037AD4" w14:paraId="11349414" w14:textId="77777777" w:rsidTr="00401C67">
        <w:trPr>
          <w:trHeight w:val="320"/>
        </w:trPr>
        <w:tc>
          <w:tcPr>
            <w:tcW w:w="0" w:type="auto"/>
            <w:noWrap/>
            <w:hideMark/>
          </w:tcPr>
          <w:p w14:paraId="0D761B82" w14:textId="77777777" w:rsidR="00B54D51" w:rsidRPr="00037AD4" w:rsidRDefault="00B54D51" w:rsidP="00401C67">
            <w:pPr>
              <w:rPr>
                <w:rFonts w:ascii="Calibri" w:hAnsi="Calibri" w:cs="Calibri"/>
                <w:color w:val="000000"/>
              </w:rPr>
            </w:pPr>
            <w:r w:rsidRPr="00037AD4">
              <w:rPr>
                <w:rFonts w:cstheme="minorHAnsi"/>
              </w:rPr>
              <w:t xml:space="preserve">From level five PwD </w:t>
            </w:r>
          </w:p>
        </w:tc>
        <w:tc>
          <w:tcPr>
            <w:tcW w:w="0" w:type="auto"/>
            <w:noWrap/>
            <w:hideMark/>
          </w:tcPr>
          <w:p w14:paraId="070A004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0.254</w:t>
            </w:r>
          </w:p>
        </w:tc>
        <w:tc>
          <w:tcPr>
            <w:tcW w:w="0" w:type="auto"/>
            <w:noWrap/>
            <w:hideMark/>
          </w:tcPr>
          <w:p w14:paraId="25B86FA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0.030</w:t>
            </w:r>
          </w:p>
        </w:tc>
        <w:tc>
          <w:tcPr>
            <w:tcW w:w="0" w:type="auto"/>
            <w:noWrap/>
            <w:hideMark/>
          </w:tcPr>
          <w:p w14:paraId="2FA0B37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8.520</w:t>
            </w:r>
          </w:p>
        </w:tc>
        <w:tc>
          <w:tcPr>
            <w:tcW w:w="0" w:type="auto"/>
            <w:noWrap/>
            <w:hideMark/>
          </w:tcPr>
          <w:p w14:paraId="4312770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366C753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0.195</w:t>
            </w:r>
          </w:p>
        </w:tc>
        <w:tc>
          <w:tcPr>
            <w:tcW w:w="0" w:type="auto"/>
            <w:noWrap/>
            <w:hideMark/>
          </w:tcPr>
          <w:p w14:paraId="79D8E77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0.312</w:t>
            </w:r>
          </w:p>
        </w:tc>
      </w:tr>
      <w:tr w:rsidR="00B54D51" w:rsidRPr="00037AD4" w14:paraId="055097A1" w14:textId="77777777" w:rsidTr="00401C67">
        <w:trPr>
          <w:trHeight w:val="320"/>
        </w:trPr>
        <w:tc>
          <w:tcPr>
            <w:tcW w:w="0" w:type="auto"/>
            <w:gridSpan w:val="7"/>
            <w:shd w:val="clear" w:color="auto" w:fill="E7E6E6" w:themeFill="background2"/>
            <w:noWrap/>
          </w:tcPr>
          <w:p w14:paraId="292180A2" w14:textId="77777777" w:rsidR="00B54D51" w:rsidRPr="00037AD4" w:rsidRDefault="00B54D51" w:rsidP="00401C67">
            <w:pPr>
              <w:rPr>
                <w:rFonts w:ascii="Calibri" w:hAnsi="Calibri" w:cs="Calibri"/>
                <w:color w:val="000000"/>
              </w:rPr>
            </w:pPr>
            <w:r w:rsidRPr="00037AD4">
              <w:rPr>
                <w:rFonts w:cstheme="minorHAnsi"/>
              </w:rPr>
              <w:t>Predicted proxy: level four</w:t>
            </w:r>
          </w:p>
        </w:tc>
      </w:tr>
      <w:tr w:rsidR="00B54D51" w:rsidRPr="00037AD4" w14:paraId="15F58E35" w14:textId="77777777" w:rsidTr="00401C67">
        <w:trPr>
          <w:trHeight w:val="320"/>
        </w:trPr>
        <w:tc>
          <w:tcPr>
            <w:tcW w:w="0" w:type="auto"/>
            <w:noWrap/>
            <w:hideMark/>
          </w:tcPr>
          <w:p w14:paraId="7FD5A79E" w14:textId="77777777" w:rsidR="00B54D51" w:rsidRPr="00037AD4" w:rsidRDefault="00B54D51" w:rsidP="00401C67">
            <w:pPr>
              <w:rPr>
                <w:rFonts w:ascii="Calibri" w:hAnsi="Calibri" w:cs="Calibri"/>
                <w:color w:val="000000"/>
              </w:rPr>
            </w:pPr>
            <w:r w:rsidRPr="00037AD4">
              <w:rPr>
                <w:rFonts w:cstheme="minorHAnsi"/>
              </w:rPr>
              <w:t xml:space="preserve">From level one PwD </w:t>
            </w:r>
          </w:p>
        </w:tc>
        <w:tc>
          <w:tcPr>
            <w:tcW w:w="0" w:type="auto"/>
            <w:noWrap/>
            <w:hideMark/>
          </w:tcPr>
          <w:p w14:paraId="428C581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0.046</w:t>
            </w:r>
          </w:p>
        </w:tc>
        <w:tc>
          <w:tcPr>
            <w:tcW w:w="0" w:type="auto"/>
            <w:noWrap/>
            <w:hideMark/>
          </w:tcPr>
          <w:p w14:paraId="1D1BBE8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0.007</w:t>
            </w:r>
          </w:p>
        </w:tc>
        <w:tc>
          <w:tcPr>
            <w:tcW w:w="0" w:type="auto"/>
            <w:noWrap/>
            <w:hideMark/>
          </w:tcPr>
          <w:p w14:paraId="4C68EA8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6.880</w:t>
            </w:r>
          </w:p>
        </w:tc>
        <w:tc>
          <w:tcPr>
            <w:tcW w:w="0" w:type="auto"/>
            <w:noWrap/>
            <w:hideMark/>
          </w:tcPr>
          <w:p w14:paraId="6FFB153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0E68B6D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0.033</w:t>
            </w:r>
          </w:p>
        </w:tc>
        <w:tc>
          <w:tcPr>
            <w:tcW w:w="0" w:type="auto"/>
            <w:noWrap/>
            <w:hideMark/>
          </w:tcPr>
          <w:p w14:paraId="623B3F3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0.059</w:t>
            </w:r>
          </w:p>
        </w:tc>
      </w:tr>
      <w:tr w:rsidR="00B54D51" w:rsidRPr="00037AD4" w14:paraId="26B709FA" w14:textId="77777777" w:rsidTr="00401C67">
        <w:trPr>
          <w:trHeight w:val="320"/>
        </w:trPr>
        <w:tc>
          <w:tcPr>
            <w:tcW w:w="0" w:type="auto"/>
            <w:noWrap/>
            <w:hideMark/>
          </w:tcPr>
          <w:p w14:paraId="085D3D95" w14:textId="77777777" w:rsidR="00B54D51" w:rsidRPr="00037AD4" w:rsidRDefault="00B54D51" w:rsidP="00401C67">
            <w:pPr>
              <w:rPr>
                <w:rFonts w:ascii="Calibri" w:hAnsi="Calibri" w:cs="Calibri"/>
                <w:color w:val="000000"/>
              </w:rPr>
            </w:pPr>
            <w:r w:rsidRPr="00037AD4">
              <w:rPr>
                <w:rFonts w:cstheme="minorHAnsi"/>
              </w:rPr>
              <w:t xml:space="preserve">From level two PwD </w:t>
            </w:r>
          </w:p>
        </w:tc>
        <w:tc>
          <w:tcPr>
            <w:tcW w:w="0" w:type="auto"/>
            <w:noWrap/>
            <w:hideMark/>
          </w:tcPr>
          <w:p w14:paraId="7C1024B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0.068</w:t>
            </w:r>
          </w:p>
        </w:tc>
        <w:tc>
          <w:tcPr>
            <w:tcW w:w="0" w:type="auto"/>
            <w:noWrap/>
            <w:hideMark/>
          </w:tcPr>
          <w:p w14:paraId="125C708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0.011</w:t>
            </w:r>
          </w:p>
        </w:tc>
        <w:tc>
          <w:tcPr>
            <w:tcW w:w="0" w:type="auto"/>
            <w:noWrap/>
            <w:hideMark/>
          </w:tcPr>
          <w:p w14:paraId="7F56610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6.290</w:t>
            </w:r>
          </w:p>
        </w:tc>
        <w:tc>
          <w:tcPr>
            <w:tcW w:w="0" w:type="auto"/>
            <w:noWrap/>
            <w:hideMark/>
          </w:tcPr>
          <w:p w14:paraId="2FD5564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265B009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0.046</w:t>
            </w:r>
          </w:p>
        </w:tc>
        <w:tc>
          <w:tcPr>
            <w:tcW w:w="0" w:type="auto"/>
            <w:noWrap/>
            <w:hideMark/>
          </w:tcPr>
          <w:p w14:paraId="0C334A5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0.089</w:t>
            </w:r>
          </w:p>
        </w:tc>
      </w:tr>
      <w:tr w:rsidR="00B54D51" w:rsidRPr="00037AD4" w14:paraId="59A19D46" w14:textId="77777777" w:rsidTr="00401C67">
        <w:trPr>
          <w:trHeight w:val="320"/>
        </w:trPr>
        <w:tc>
          <w:tcPr>
            <w:tcW w:w="0" w:type="auto"/>
            <w:noWrap/>
            <w:hideMark/>
          </w:tcPr>
          <w:p w14:paraId="57067BA8" w14:textId="77777777" w:rsidR="00B54D51" w:rsidRPr="00037AD4" w:rsidRDefault="00B54D51" w:rsidP="00401C67">
            <w:pPr>
              <w:rPr>
                <w:rFonts w:ascii="Calibri" w:hAnsi="Calibri" w:cs="Calibri"/>
                <w:color w:val="000000"/>
              </w:rPr>
            </w:pPr>
            <w:r w:rsidRPr="00037AD4">
              <w:rPr>
                <w:rFonts w:cstheme="minorHAnsi"/>
              </w:rPr>
              <w:t xml:space="preserve">From level three PwD </w:t>
            </w:r>
          </w:p>
        </w:tc>
        <w:tc>
          <w:tcPr>
            <w:tcW w:w="0" w:type="auto"/>
            <w:noWrap/>
            <w:hideMark/>
          </w:tcPr>
          <w:p w14:paraId="2EC2D2F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0.065</w:t>
            </w:r>
          </w:p>
        </w:tc>
        <w:tc>
          <w:tcPr>
            <w:tcW w:w="0" w:type="auto"/>
            <w:noWrap/>
            <w:hideMark/>
          </w:tcPr>
          <w:p w14:paraId="03234B8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0.011</w:t>
            </w:r>
          </w:p>
        </w:tc>
        <w:tc>
          <w:tcPr>
            <w:tcW w:w="0" w:type="auto"/>
            <w:noWrap/>
            <w:hideMark/>
          </w:tcPr>
          <w:p w14:paraId="7C14798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5.910</w:t>
            </w:r>
          </w:p>
        </w:tc>
        <w:tc>
          <w:tcPr>
            <w:tcW w:w="0" w:type="auto"/>
            <w:noWrap/>
            <w:hideMark/>
          </w:tcPr>
          <w:p w14:paraId="38878FA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439E050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0.043</w:t>
            </w:r>
          </w:p>
        </w:tc>
        <w:tc>
          <w:tcPr>
            <w:tcW w:w="0" w:type="auto"/>
            <w:noWrap/>
            <w:hideMark/>
          </w:tcPr>
          <w:p w14:paraId="2032D85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0.086</w:t>
            </w:r>
          </w:p>
        </w:tc>
      </w:tr>
      <w:tr w:rsidR="00B54D51" w:rsidRPr="00037AD4" w14:paraId="5D3E8C82" w14:textId="77777777" w:rsidTr="00401C67">
        <w:trPr>
          <w:trHeight w:val="320"/>
        </w:trPr>
        <w:tc>
          <w:tcPr>
            <w:tcW w:w="0" w:type="auto"/>
            <w:noWrap/>
            <w:hideMark/>
          </w:tcPr>
          <w:p w14:paraId="281B7E51" w14:textId="77777777" w:rsidR="00B54D51" w:rsidRPr="00037AD4" w:rsidRDefault="00B54D51" w:rsidP="00401C67">
            <w:pPr>
              <w:rPr>
                <w:rFonts w:ascii="Calibri" w:hAnsi="Calibri" w:cs="Calibri"/>
                <w:color w:val="000000"/>
              </w:rPr>
            </w:pPr>
            <w:r w:rsidRPr="00037AD4">
              <w:rPr>
                <w:rFonts w:cstheme="minorHAnsi"/>
              </w:rPr>
              <w:t xml:space="preserve">From level four PwD </w:t>
            </w:r>
          </w:p>
        </w:tc>
        <w:tc>
          <w:tcPr>
            <w:tcW w:w="0" w:type="auto"/>
            <w:noWrap/>
            <w:hideMark/>
          </w:tcPr>
          <w:p w14:paraId="41C9B4E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0.123</w:t>
            </w:r>
          </w:p>
        </w:tc>
        <w:tc>
          <w:tcPr>
            <w:tcW w:w="0" w:type="auto"/>
            <w:noWrap/>
            <w:hideMark/>
          </w:tcPr>
          <w:p w14:paraId="722CF23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0.028</w:t>
            </w:r>
          </w:p>
        </w:tc>
        <w:tc>
          <w:tcPr>
            <w:tcW w:w="0" w:type="auto"/>
            <w:noWrap/>
            <w:hideMark/>
          </w:tcPr>
          <w:p w14:paraId="4154A64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4.410</w:t>
            </w:r>
          </w:p>
        </w:tc>
        <w:tc>
          <w:tcPr>
            <w:tcW w:w="0" w:type="auto"/>
            <w:noWrap/>
            <w:hideMark/>
          </w:tcPr>
          <w:p w14:paraId="677B051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757E6E3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0.068</w:t>
            </w:r>
          </w:p>
        </w:tc>
        <w:tc>
          <w:tcPr>
            <w:tcW w:w="0" w:type="auto"/>
            <w:noWrap/>
            <w:hideMark/>
          </w:tcPr>
          <w:p w14:paraId="0E57E6D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0.177</w:t>
            </w:r>
          </w:p>
        </w:tc>
      </w:tr>
      <w:tr w:rsidR="00B54D51" w:rsidRPr="00037AD4" w14:paraId="5533AAAC" w14:textId="77777777" w:rsidTr="00401C67">
        <w:trPr>
          <w:trHeight w:val="320"/>
        </w:trPr>
        <w:tc>
          <w:tcPr>
            <w:tcW w:w="0" w:type="auto"/>
            <w:noWrap/>
            <w:hideMark/>
          </w:tcPr>
          <w:p w14:paraId="43A133FD" w14:textId="77777777" w:rsidR="00B54D51" w:rsidRPr="00037AD4" w:rsidRDefault="00B54D51" w:rsidP="00401C67">
            <w:pPr>
              <w:rPr>
                <w:rFonts w:ascii="Calibri" w:hAnsi="Calibri" w:cs="Calibri"/>
                <w:color w:val="000000"/>
              </w:rPr>
            </w:pPr>
            <w:r w:rsidRPr="00037AD4">
              <w:rPr>
                <w:rFonts w:cstheme="minorHAnsi"/>
              </w:rPr>
              <w:t xml:space="preserve">From level five PwD </w:t>
            </w:r>
          </w:p>
        </w:tc>
        <w:tc>
          <w:tcPr>
            <w:tcW w:w="0" w:type="auto"/>
            <w:noWrap/>
            <w:hideMark/>
          </w:tcPr>
          <w:p w14:paraId="1A5445C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0.128</w:t>
            </w:r>
          </w:p>
        </w:tc>
        <w:tc>
          <w:tcPr>
            <w:tcW w:w="0" w:type="auto"/>
            <w:noWrap/>
            <w:hideMark/>
          </w:tcPr>
          <w:p w14:paraId="2E06C1F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0.030</w:t>
            </w:r>
          </w:p>
        </w:tc>
        <w:tc>
          <w:tcPr>
            <w:tcW w:w="0" w:type="auto"/>
            <w:noWrap/>
            <w:hideMark/>
          </w:tcPr>
          <w:p w14:paraId="544BB0D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4.210</w:t>
            </w:r>
          </w:p>
        </w:tc>
        <w:tc>
          <w:tcPr>
            <w:tcW w:w="0" w:type="auto"/>
            <w:noWrap/>
            <w:hideMark/>
          </w:tcPr>
          <w:p w14:paraId="76CC03F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0BC10F1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0.068</w:t>
            </w:r>
          </w:p>
        </w:tc>
        <w:tc>
          <w:tcPr>
            <w:tcW w:w="0" w:type="auto"/>
            <w:noWrap/>
            <w:hideMark/>
          </w:tcPr>
          <w:p w14:paraId="086CE90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0.187</w:t>
            </w:r>
          </w:p>
        </w:tc>
      </w:tr>
      <w:tr w:rsidR="00B54D51" w:rsidRPr="00037AD4" w14:paraId="1438D8B9" w14:textId="77777777" w:rsidTr="00401C67">
        <w:trPr>
          <w:trHeight w:val="320"/>
        </w:trPr>
        <w:tc>
          <w:tcPr>
            <w:tcW w:w="0" w:type="auto"/>
            <w:gridSpan w:val="7"/>
            <w:shd w:val="clear" w:color="auto" w:fill="E7E6E6" w:themeFill="background2"/>
            <w:noWrap/>
          </w:tcPr>
          <w:p w14:paraId="3A27641F" w14:textId="77777777" w:rsidR="00B54D51" w:rsidRPr="00037AD4" w:rsidRDefault="00B54D51" w:rsidP="00401C67">
            <w:pPr>
              <w:rPr>
                <w:rFonts w:ascii="Calibri" w:hAnsi="Calibri" w:cs="Calibri"/>
                <w:color w:val="000000"/>
              </w:rPr>
            </w:pPr>
            <w:r w:rsidRPr="00037AD4">
              <w:rPr>
                <w:rFonts w:cstheme="minorHAnsi"/>
              </w:rPr>
              <w:t>Predicted proxy: level five</w:t>
            </w:r>
          </w:p>
        </w:tc>
      </w:tr>
      <w:tr w:rsidR="00B54D51" w:rsidRPr="00037AD4" w14:paraId="4BC7A1FB" w14:textId="77777777" w:rsidTr="00401C67">
        <w:trPr>
          <w:trHeight w:val="320"/>
        </w:trPr>
        <w:tc>
          <w:tcPr>
            <w:tcW w:w="0" w:type="auto"/>
            <w:noWrap/>
            <w:hideMark/>
          </w:tcPr>
          <w:p w14:paraId="63DEF46A" w14:textId="77777777" w:rsidR="00B54D51" w:rsidRPr="00037AD4" w:rsidRDefault="00B54D51" w:rsidP="00401C67">
            <w:pPr>
              <w:rPr>
                <w:rFonts w:ascii="Calibri" w:hAnsi="Calibri" w:cs="Calibri"/>
                <w:color w:val="000000"/>
              </w:rPr>
            </w:pPr>
            <w:r w:rsidRPr="00037AD4">
              <w:rPr>
                <w:rFonts w:cstheme="minorHAnsi"/>
              </w:rPr>
              <w:t xml:space="preserve">From level one PwD </w:t>
            </w:r>
          </w:p>
        </w:tc>
        <w:tc>
          <w:tcPr>
            <w:tcW w:w="0" w:type="auto"/>
            <w:noWrap/>
            <w:hideMark/>
          </w:tcPr>
          <w:p w14:paraId="7B53841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0.021</w:t>
            </w:r>
          </w:p>
        </w:tc>
        <w:tc>
          <w:tcPr>
            <w:tcW w:w="0" w:type="auto"/>
            <w:noWrap/>
            <w:hideMark/>
          </w:tcPr>
          <w:p w14:paraId="4DFF2A5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0.005</w:t>
            </w:r>
          </w:p>
        </w:tc>
        <w:tc>
          <w:tcPr>
            <w:tcW w:w="0" w:type="auto"/>
            <w:noWrap/>
            <w:hideMark/>
          </w:tcPr>
          <w:p w14:paraId="510735A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4.380</w:t>
            </w:r>
          </w:p>
        </w:tc>
        <w:tc>
          <w:tcPr>
            <w:tcW w:w="0" w:type="auto"/>
            <w:noWrap/>
            <w:hideMark/>
          </w:tcPr>
          <w:p w14:paraId="1CA2F5E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32C17B4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0.011</w:t>
            </w:r>
          </w:p>
        </w:tc>
        <w:tc>
          <w:tcPr>
            <w:tcW w:w="0" w:type="auto"/>
            <w:noWrap/>
            <w:hideMark/>
          </w:tcPr>
          <w:p w14:paraId="43A27DF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0.030</w:t>
            </w:r>
          </w:p>
        </w:tc>
      </w:tr>
      <w:tr w:rsidR="00B54D51" w:rsidRPr="00037AD4" w14:paraId="0B655778" w14:textId="77777777" w:rsidTr="00401C67">
        <w:trPr>
          <w:trHeight w:val="320"/>
        </w:trPr>
        <w:tc>
          <w:tcPr>
            <w:tcW w:w="0" w:type="auto"/>
            <w:noWrap/>
            <w:hideMark/>
          </w:tcPr>
          <w:p w14:paraId="449E02EF" w14:textId="77777777" w:rsidR="00B54D51" w:rsidRPr="00037AD4" w:rsidRDefault="00B54D51" w:rsidP="00401C67">
            <w:pPr>
              <w:rPr>
                <w:rFonts w:ascii="Calibri" w:hAnsi="Calibri" w:cs="Calibri"/>
                <w:color w:val="000000"/>
              </w:rPr>
            </w:pPr>
            <w:r w:rsidRPr="00037AD4">
              <w:rPr>
                <w:rFonts w:cstheme="minorHAnsi"/>
              </w:rPr>
              <w:t xml:space="preserve">From level two PwD </w:t>
            </w:r>
          </w:p>
        </w:tc>
        <w:tc>
          <w:tcPr>
            <w:tcW w:w="0" w:type="auto"/>
            <w:noWrap/>
            <w:hideMark/>
          </w:tcPr>
          <w:p w14:paraId="7CE3621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0.039</w:t>
            </w:r>
          </w:p>
        </w:tc>
        <w:tc>
          <w:tcPr>
            <w:tcW w:w="0" w:type="auto"/>
            <w:noWrap/>
            <w:hideMark/>
          </w:tcPr>
          <w:p w14:paraId="3A37E3D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0.008</w:t>
            </w:r>
          </w:p>
        </w:tc>
        <w:tc>
          <w:tcPr>
            <w:tcW w:w="0" w:type="auto"/>
            <w:noWrap/>
            <w:hideMark/>
          </w:tcPr>
          <w:p w14:paraId="0D2C081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4.600</w:t>
            </w:r>
          </w:p>
        </w:tc>
        <w:tc>
          <w:tcPr>
            <w:tcW w:w="0" w:type="auto"/>
            <w:noWrap/>
            <w:hideMark/>
          </w:tcPr>
          <w:p w14:paraId="6D3E5C0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0C5D48F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0.022</w:t>
            </w:r>
          </w:p>
        </w:tc>
        <w:tc>
          <w:tcPr>
            <w:tcW w:w="0" w:type="auto"/>
            <w:noWrap/>
            <w:hideMark/>
          </w:tcPr>
          <w:p w14:paraId="71C41BA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0.055</w:t>
            </w:r>
          </w:p>
        </w:tc>
      </w:tr>
      <w:tr w:rsidR="00B54D51" w:rsidRPr="00037AD4" w14:paraId="54E318BC" w14:textId="77777777" w:rsidTr="00401C67">
        <w:trPr>
          <w:trHeight w:val="320"/>
        </w:trPr>
        <w:tc>
          <w:tcPr>
            <w:tcW w:w="0" w:type="auto"/>
            <w:noWrap/>
            <w:hideMark/>
          </w:tcPr>
          <w:p w14:paraId="49D957DB" w14:textId="77777777" w:rsidR="00B54D51" w:rsidRPr="00037AD4" w:rsidRDefault="00B54D51" w:rsidP="00401C67">
            <w:pPr>
              <w:rPr>
                <w:rFonts w:ascii="Calibri" w:hAnsi="Calibri" w:cs="Calibri"/>
                <w:color w:val="000000"/>
              </w:rPr>
            </w:pPr>
            <w:r w:rsidRPr="00037AD4">
              <w:rPr>
                <w:rFonts w:cstheme="minorHAnsi"/>
              </w:rPr>
              <w:t xml:space="preserve">From level three PwD </w:t>
            </w:r>
          </w:p>
        </w:tc>
        <w:tc>
          <w:tcPr>
            <w:tcW w:w="0" w:type="auto"/>
            <w:noWrap/>
            <w:hideMark/>
          </w:tcPr>
          <w:p w14:paraId="320C4E6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0.036</w:t>
            </w:r>
          </w:p>
        </w:tc>
        <w:tc>
          <w:tcPr>
            <w:tcW w:w="0" w:type="auto"/>
            <w:noWrap/>
            <w:hideMark/>
          </w:tcPr>
          <w:p w14:paraId="1D291AE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0.010</w:t>
            </w:r>
          </w:p>
        </w:tc>
        <w:tc>
          <w:tcPr>
            <w:tcW w:w="0" w:type="auto"/>
            <w:noWrap/>
            <w:hideMark/>
          </w:tcPr>
          <w:p w14:paraId="4CF9634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3.760</w:t>
            </w:r>
          </w:p>
        </w:tc>
        <w:tc>
          <w:tcPr>
            <w:tcW w:w="0" w:type="auto"/>
            <w:noWrap/>
            <w:hideMark/>
          </w:tcPr>
          <w:p w14:paraId="1661D14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41A6D67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0.017</w:t>
            </w:r>
          </w:p>
        </w:tc>
        <w:tc>
          <w:tcPr>
            <w:tcW w:w="0" w:type="auto"/>
            <w:noWrap/>
            <w:hideMark/>
          </w:tcPr>
          <w:p w14:paraId="387E006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0.054</w:t>
            </w:r>
          </w:p>
        </w:tc>
      </w:tr>
      <w:tr w:rsidR="00B54D51" w:rsidRPr="00037AD4" w14:paraId="38EE1D1F" w14:textId="77777777" w:rsidTr="00401C67">
        <w:trPr>
          <w:trHeight w:val="320"/>
        </w:trPr>
        <w:tc>
          <w:tcPr>
            <w:tcW w:w="0" w:type="auto"/>
            <w:noWrap/>
            <w:hideMark/>
          </w:tcPr>
          <w:p w14:paraId="2738B48C" w14:textId="77777777" w:rsidR="00B54D51" w:rsidRPr="00037AD4" w:rsidRDefault="00B54D51" w:rsidP="00401C67">
            <w:pPr>
              <w:rPr>
                <w:rFonts w:ascii="Calibri" w:hAnsi="Calibri" w:cs="Calibri"/>
                <w:color w:val="000000"/>
              </w:rPr>
            </w:pPr>
            <w:r w:rsidRPr="00037AD4">
              <w:rPr>
                <w:rFonts w:cstheme="minorHAnsi"/>
              </w:rPr>
              <w:t xml:space="preserve">From level four PwD </w:t>
            </w:r>
          </w:p>
        </w:tc>
        <w:tc>
          <w:tcPr>
            <w:tcW w:w="0" w:type="auto"/>
            <w:noWrap/>
            <w:hideMark/>
          </w:tcPr>
          <w:p w14:paraId="457326F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0.121</w:t>
            </w:r>
          </w:p>
        </w:tc>
        <w:tc>
          <w:tcPr>
            <w:tcW w:w="0" w:type="auto"/>
            <w:noWrap/>
            <w:hideMark/>
          </w:tcPr>
          <w:p w14:paraId="6DA9BB5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0.044</w:t>
            </w:r>
          </w:p>
        </w:tc>
        <w:tc>
          <w:tcPr>
            <w:tcW w:w="0" w:type="auto"/>
            <w:noWrap/>
            <w:hideMark/>
          </w:tcPr>
          <w:p w14:paraId="2385305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2.770</w:t>
            </w:r>
          </w:p>
        </w:tc>
        <w:tc>
          <w:tcPr>
            <w:tcW w:w="0" w:type="auto"/>
            <w:noWrap/>
            <w:hideMark/>
          </w:tcPr>
          <w:p w14:paraId="479BEF0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0.006</w:t>
            </w:r>
          </w:p>
        </w:tc>
        <w:tc>
          <w:tcPr>
            <w:tcW w:w="0" w:type="auto"/>
            <w:noWrap/>
            <w:hideMark/>
          </w:tcPr>
          <w:p w14:paraId="442E3B6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0.035</w:t>
            </w:r>
          </w:p>
        </w:tc>
        <w:tc>
          <w:tcPr>
            <w:tcW w:w="0" w:type="auto"/>
            <w:noWrap/>
            <w:hideMark/>
          </w:tcPr>
          <w:p w14:paraId="3CA8F5E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0.208</w:t>
            </w:r>
          </w:p>
        </w:tc>
      </w:tr>
      <w:tr w:rsidR="00B54D51" w:rsidRPr="00037AD4" w14:paraId="078C93B1" w14:textId="77777777" w:rsidTr="00401C67">
        <w:trPr>
          <w:trHeight w:val="320"/>
        </w:trPr>
        <w:tc>
          <w:tcPr>
            <w:tcW w:w="0" w:type="auto"/>
            <w:noWrap/>
            <w:hideMark/>
          </w:tcPr>
          <w:p w14:paraId="21DFFA51" w14:textId="77777777" w:rsidR="00B54D51" w:rsidRPr="00037AD4" w:rsidRDefault="00B54D51" w:rsidP="00401C67">
            <w:pPr>
              <w:rPr>
                <w:rFonts w:ascii="Calibri" w:hAnsi="Calibri" w:cs="Calibri"/>
                <w:color w:val="000000"/>
              </w:rPr>
            </w:pPr>
            <w:r w:rsidRPr="00037AD4">
              <w:rPr>
                <w:rFonts w:cstheme="minorHAnsi"/>
              </w:rPr>
              <w:t xml:space="preserve">From level five PwD </w:t>
            </w:r>
          </w:p>
        </w:tc>
        <w:tc>
          <w:tcPr>
            <w:tcW w:w="0" w:type="auto"/>
            <w:noWrap/>
            <w:hideMark/>
          </w:tcPr>
          <w:p w14:paraId="2892B6E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0.132</w:t>
            </w:r>
          </w:p>
        </w:tc>
        <w:tc>
          <w:tcPr>
            <w:tcW w:w="0" w:type="auto"/>
            <w:noWrap/>
            <w:hideMark/>
          </w:tcPr>
          <w:p w14:paraId="1F7FFF6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0.062</w:t>
            </w:r>
          </w:p>
        </w:tc>
        <w:tc>
          <w:tcPr>
            <w:tcW w:w="0" w:type="auto"/>
            <w:noWrap/>
            <w:hideMark/>
          </w:tcPr>
          <w:p w14:paraId="0C760EC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2.140</w:t>
            </w:r>
          </w:p>
        </w:tc>
        <w:tc>
          <w:tcPr>
            <w:tcW w:w="0" w:type="auto"/>
            <w:noWrap/>
            <w:hideMark/>
          </w:tcPr>
          <w:p w14:paraId="2822960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0.032</w:t>
            </w:r>
          </w:p>
        </w:tc>
        <w:tc>
          <w:tcPr>
            <w:tcW w:w="0" w:type="auto"/>
            <w:noWrap/>
            <w:hideMark/>
          </w:tcPr>
          <w:p w14:paraId="51E2764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0.011</w:t>
            </w:r>
          </w:p>
        </w:tc>
        <w:tc>
          <w:tcPr>
            <w:tcW w:w="0" w:type="auto"/>
            <w:noWrap/>
            <w:hideMark/>
          </w:tcPr>
          <w:p w14:paraId="77E0D65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0.254</w:t>
            </w:r>
          </w:p>
        </w:tc>
      </w:tr>
    </w:tbl>
    <w:p w14:paraId="370AA1FA" w14:textId="77777777" w:rsidR="00B54D51" w:rsidRPr="00037AD4" w:rsidRDefault="00B54D51" w:rsidP="001D7ACE">
      <w:pPr>
        <w:rPr>
          <w:rFonts w:asciiTheme="minorHAnsi" w:hAnsiTheme="minorHAnsi" w:cstheme="minorHAnsi"/>
          <w:u w:val="single"/>
        </w:rPr>
      </w:pPr>
    </w:p>
    <w:p w14:paraId="2DF4C1E6" w14:textId="77777777" w:rsidR="00B54D51" w:rsidRPr="00037AD4" w:rsidRDefault="00B54D51" w:rsidP="001D7ACE">
      <w:pPr>
        <w:rPr>
          <w:rFonts w:asciiTheme="minorHAnsi" w:hAnsiTheme="minorHAnsi" w:cstheme="minorHAnsi"/>
          <w:color w:val="000000" w:themeColor="text1"/>
          <w:u w:val="single"/>
        </w:rPr>
      </w:pPr>
      <w:r w:rsidRPr="00037AD4">
        <w:rPr>
          <w:rFonts w:asciiTheme="minorHAnsi" w:hAnsiTheme="minorHAnsi" w:cstheme="minorHAnsi"/>
          <w:color w:val="000000" w:themeColor="text1"/>
          <w:u w:val="single"/>
        </w:rPr>
        <w:t>Table A6.3g, Self-care dimension average marginal effects: EPIC</w:t>
      </w:r>
    </w:p>
    <w:p w14:paraId="21BF525F" w14:textId="77777777" w:rsidR="00B54D51" w:rsidRPr="00037AD4" w:rsidRDefault="00B54D51" w:rsidP="001D7ACE">
      <w:pPr>
        <w:rPr>
          <w:u w:val="single"/>
        </w:rPr>
      </w:pPr>
    </w:p>
    <w:tbl>
      <w:tblPr>
        <w:tblStyle w:val="TableGridLight"/>
        <w:tblW w:w="9016" w:type="dxa"/>
        <w:tblLook w:val="04A0" w:firstRow="1" w:lastRow="0" w:firstColumn="1" w:lastColumn="0" w:noHBand="0" w:noVBand="1"/>
      </w:tblPr>
      <w:tblGrid>
        <w:gridCol w:w="1274"/>
        <w:gridCol w:w="2039"/>
        <w:gridCol w:w="1129"/>
        <w:gridCol w:w="764"/>
        <w:gridCol w:w="1270"/>
        <w:gridCol w:w="1270"/>
        <w:gridCol w:w="1270"/>
      </w:tblGrid>
      <w:tr w:rsidR="00B54D51" w:rsidRPr="00037AD4" w14:paraId="228C6BA7" w14:textId="77777777" w:rsidTr="00401C67">
        <w:trPr>
          <w:trHeight w:val="320"/>
        </w:trPr>
        <w:tc>
          <w:tcPr>
            <w:tcW w:w="1274" w:type="dxa"/>
            <w:noWrap/>
            <w:hideMark/>
          </w:tcPr>
          <w:p w14:paraId="43C7DABB" w14:textId="77777777" w:rsidR="00B54D51" w:rsidRPr="00037AD4" w:rsidRDefault="00B54D51" w:rsidP="00401C67">
            <w:pPr>
              <w:rPr>
                <w:sz w:val="20"/>
                <w:szCs w:val="20"/>
              </w:rPr>
            </w:pPr>
          </w:p>
        </w:tc>
        <w:tc>
          <w:tcPr>
            <w:tcW w:w="2039" w:type="dxa"/>
            <w:noWrap/>
            <w:hideMark/>
          </w:tcPr>
          <w:p w14:paraId="651F1811"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dy/dx   </w:t>
            </w:r>
          </w:p>
        </w:tc>
        <w:tc>
          <w:tcPr>
            <w:tcW w:w="1129" w:type="dxa"/>
          </w:tcPr>
          <w:p w14:paraId="74EB1FBC" w14:textId="77777777" w:rsidR="00B54D51" w:rsidRPr="00037AD4" w:rsidRDefault="00B54D51" w:rsidP="00401C67">
            <w:pPr>
              <w:rPr>
                <w:rFonts w:ascii="Calibri" w:hAnsi="Calibri" w:cs="Calibri"/>
                <w:color w:val="000000"/>
              </w:rPr>
            </w:pPr>
            <w:r w:rsidRPr="00037AD4">
              <w:rPr>
                <w:rFonts w:ascii="Calibri" w:hAnsi="Calibri" w:cs="Calibri"/>
                <w:color w:val="000000"/>
              </w:rPr>
              <w:t>std. err.</w:t>
            </w:r>
          </w:p>
        </w:tc>
        <w:tc>
          <w:tcPr>
            <w:tcW w:w="764" w:type="dxa"/>
            <w:noWrap/>
            <w:hideMark/>
          </w:tcPr>
          <w:p w14:paraId="7B2D6E26" w14:textId="77777777" w:rsidR="00B54D51" w:rsidRPr="00037AD4" w:rsidRDefault="00B54D51" w:rsidP="00401C67">
            <w:pPr>
              <w:rPr>
                <w:rFonts w:ascii="Calibri" w:hAnsi="Calibri" w:cs="Calibri"/>
                <w:color w:val="000000"/>
              </w:rPr>
            </w:pPr>
            <w:r w:rsidRPr="00037AD4">
              <w:rPr>
                <w:rFonts w:ascii="Calibri" w:hAnsi="Calibri" w:cs="Calibri"/>
                <w:color w:val="000000"/>
              </w:rPr>
              <w:t>z</w:t>
            </w:r>
          </w:p>
        </w:tc>
        <w:tc>
          <w:tcPr>
            <w:tcW w:w="1270" w:type="dxa"/>
            <w:noWrap/>
            <w:hideMark/>
          </w:tcPr>
          <w:p w14:paraId="18E79594" w14:textId="77777777" w:rsidR="00B54D51" w:rsidRPr="00037AD4" w:rsidRDefault="00B54D51" w:rsidP="00401C67">
            <w:pPr>
              <w:rPr>
                <w:rFonts w:ascii="Calibri" w:hAnsi="Calibri" w:cs="Calibri"/>
                <w:color w:val="000000"/>
              </w:rPr>
            </w:pPr>
            <w:r w:rsidRPr="00037AD4">
              <w:rPr>
                <w:rFonts w:ascii="Calibri" w:hAnsi="Calibri" w:cs="Calibri"/>
                <w:color w:val="000000"/>
              </w:rPr>
              <w:t>P&gt;z</w:t>
            </w:r>
          </w:p>
        </w:tc>
        <w:tc>
          <w:tcPr>
            <w:tcW w:w="1270" w:type="dxa"/>
            <w:noWrap/>
            <w:hideMark/>
          </w:tcPr>
          <w:p w14:paraId="0762064B" w14:textId="77777777" w:rsidR="00B54D51" w:rsidRPr="00037AD4" w:rsidRDefault="00B54D51" w:rsidP="00401C67">
            <w:pPr>
              <w:rPr>
                <w:rFonts w:ascii="Calibri" w:hAnsi="Calibri" w:cs="Calibri"/>
                <w:color w:val="000000"/>
              </w:rPr>
            </w:pPr>
            <w:r w:rsidRPr="00037AD4">
              <w:rPr>
                <w:rFonts w:ascii="Calibri" w:hAnsi="Calibri" w:cs="Calibri"/>
                <w:color w:val="000000"/>
              </w:rPr>
              <w:t>[95% conf.</w:t>
            </w:r>
          </w:p>
        </w:tc>
        <w:tc>
          <w:tcPr>
            <w:tcW w:w="1270" w:type="dxa"/>
            <w:noWrap/>
            <w:hideMark/>
          </w:tcPr>
          <w:p w14:paraId="56980F36" w14:textId="77777777" w:rsidR="00B54D51" w:rsidRPr="00037AD4" w:rsidRDefault="00B54D51" w:rsidP="00401C67">
            <w:pPr>
              <w:rPr>
                <w:rFonts w:ascii="Calibri" w:hAnsi="Calibri" w:cs="Calibri"/>
                <w:color w:val="000000"/>
              </w:rPr>
            </w:pPr>
            <w:r w:rsidRPr="00037AD4">
              <w:rPr>
                <w:rFonts w:ascii="Calibri" w:hAnsi="Calibri" w:cs="Calibri"/>
                <w:color w:val="000000"/>
              </w:rPr>
              <w:t>interval]</w:t>
            </w:r>
          </w:p>
        </w:tc>
      </w:tr>
      <w:tr w:rsidR="00B54D51" w:rsidRPr="00037AD4" w14:paraId="32EC833E" w14:textId="77777777" w:rsidTr="00401C67">
        <w:trPr>
          <w:trHeight w:val="320"/>
        </w:trPr>
        <w:tc>
          <w:tcPr>
            <w:tcW w:w="9016" w:type="dxa"/>
            <w:gridSpan w:val="7"/>
            <w:shd w:val="clear" w:color="auto" w:fill="F2F2F2" w:themeFill="background1" w:themeFillShade="F2"/>
          </w:tcPr>
          <w:p w14:paraId="000AA1C4" w14:textId="77777777" w:rsidR="00B54D51" w:rsidRPr="00037AD4" w:rsidRDefault="00B54D51" w:rsidP="00401C67">
            <w:pPr>
              <w:rPr>
                <w:rFonts w:ascii="Calibri" w:hAnsi="Calibri" w:cs="Calibri"/>
                <w:color w:val="000000"/>
              </w:rPr>
            </w:pPr>
            <w:r w:rsidRPr="00037AD4">
              <w:rPr>
                <w:rFonts w:ascii="Calibri" w:hAnsi="Calibri" w:cs="Calibri"/>
                <w:color w:val="000000"/>
              </w:rPr>
              <w:t>PwD self-care level 1 (= base outcome)</w:t>
            </w:r>
          </w:p>
        </w:tc>
      </w:tr>
      <w:tr w:rsidR="00B54D51" w:rsidRPr="00037AD4" w14:paraId="0ECE3648" w14:textId="77777777" w:rsidTr="00401C67">
        <w:trPr>
          <w:trHeight w:val="320"/>
        </w:trPr>
        <w:tc>
          <w:tcPr>
            <w:tcW w:w="9016" w:type="dxa"/>
            <w:gridSpan w:val="7"/>
            <w:shd w:val="clear" w:color="auto" w:fill="F2F2F2" w:themeFill="background1" w:themeFillShade="F2"/>
          </w:tcPr>
          <w:p w14:paraId="3673AD5A" w14:textId="77777777" w:rsidR="00B54D51" w:rsidRPr="00037AD4" w:rsidRDefault="00B54D51" w:rsidP="00401C67">
            <w:pPr>
              <w:rPr>
                <w:sz w:val="20"/>
                <w:szCs w:val="20"/>
              </w:rPr>
            </w:pPr>
            <w:r w:rsidRPr="00037AD4">
              <w:rPr>
                <w:rFonts w:ascii="Calibri" w:hAnsi="Calibri" w:cs="Calibri"/>
                <w:color w:val="000000"/>
              </w:rPr>
              <w:t>PwD self-care level 2, predict:</w:t>
            </w:r>
          </w:p>
        </w:tc>
      </w:tr>
      <w:tr w:rsidR="00B54D51" w:rsidRPr="00037AD4" w14:paraId="67685B97" w14:textId="77777777" w:rsidTr="00401C67">
        <w:trPr>
          <w:trHeight w:val="320"/>
        </w:trPr>
        <w:tc>
          <w:tcPr>
            <w:tcW w:w="1274" w:type="dxa"/>
            <w:noWrap/>
            <w:hideMark/>
          </w:tcPr>
          <w:p w14:paraId="180520C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w:t>
            </w:r>
          </w:p>
        </w:tc>
        <w:tc>
          <w:tcPr>
            <w:tcW w:w="2039" w:type="dxa"/>
            <w:noWrap/>
            <w:hideMark/>
          </w:tcPr>
          <w:p w14:paraId="17C83E9A" w14:textId="77777777" w:rsidR="00B54D51" w:rsidRPr="00037AD4" w:rsidRDefault="00B54D51" w:rsidP="00401C67">
            <w:pPr>
              <w:rPr>
                <w:rFonts w:ascii="Calibri" w:hAnsi="Calibri" w:cs="Calibri"/>
                <w:color w:val="000000"/>
              </w:rPr>
            </w:pPr>
            <w:r w:rsidRPr="00037AD4">
              <w:rPr>
                <w:rFonts w:ascii="Calibri" w:hAnsi="Calibri" w:cs="Calibri"/>
                <w:color w:val="000000"/>
              </w:rPr>
              <w:t>.017</w:t>
            </w:r>
          </w:p>
        </w:tc>
        <w:tc>
          <w:tcPr>
            <w:tcW w:w="1129" w:type="dxa"/>
          </w:tcPr>
          <w:p w14:paraId="7816638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.028</w:t>
            </w:r>
          </w:p>
        </w:tc>
        <w:tc>
          <w:tcPr>
            <w:tcW w:w="764" w:type="dxa"/>
            <w:noWrap/>
            <w:hideMark/>
          </w:tcPr>
          <w:p w14:paraId="0DF4F3C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0.61</w:t>
            </w:r>
          </w:p>
        </w:tc>
        <w:tc>
          <w:tcPr>
            <w:tcW w:w="1270" w:type="dxa"/>
            <w:noWrap/>
            <w:hideMark/>
          </w:tcPr>
          <w:p w14:paraId="0938187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0.541</w:t>
            </w:r>
          </w:p>
        </w:tc>
        <w:tc>
          <w:tcPr>
            <w:tcW w:w="1270" w:type="dxa"/>
            <w:noWrap/>
            <w:hideMark/>
          </w:tcPr>
          <w:p w14:paraId="48106A6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-0.037</w:t>
            </w:r>
          </w:p>
        </w:tc>
        <w:tc>
          <w:tcPr>
            <w:tcW w:w="1270" w:type="dxa"/>
            <w:noWrap/>
            <w:hideMark/>
          </w:tcPr>
          <w:p w14:paraId="38CE8F9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0.071</w:t>
            </w:r>
          </w:p>
        </w:tc>
      </w:tr>
      <w:tr w:rsidR="00B54D51" w:rsidRPr="00037AD4" w14:paraId="13ACF97B" w14:textId="77777777" w:rsidTr="00401C67">
        <w:trPr>
          <w:trHeight w:val="320"/>
        </w:trPr>
        <w:tc>
          <w:tcPr>
            <w:tcW w:w="1274" w:type="dxa"/>
            <w:noWrap/>
            <w:hideMark/>
          </w:tcPr>
          <w:p w14:paraId="298E9CB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w:t>
            </w:r>
          </w:p>
        </w:tc>
        <w:tc>
          <w:tcPr>
            <w:tcW w:w="2039" w:type="dxa"/>
            <w:noWrap/>
            <w:hideMark/>
          </w:tcPr>
          <w:p w14:paraId="5F1F627C"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.006  </w:t>
            </w:r>
          </w:p>
        </w:tc>
        <w:tc>
          <w:tcPr>
            <w:tcW w:w="1129" w:type="dxa"/>
          </w:tcPr>
          <w:p w14:paraId="521223D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.010</w:t>
            </w:r>
          </w:p>
        </w:tc>
        <w:tc>
          <w:tcPr>
            <w:tcW w:w="764" w:type="dxa"/>
            <w:noWrap/>
            <w:hideMark/>
          </w:tcPr>
          <w:p w14:paraId="1CF68F9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0.63</w:t>
            </w:r>
          </w:p>
        </w:tc>
        <w:tc>
          <w:tcPr>
            <w:tcW w:w="1270" w:type="dxa"/>
            <w:noWrap/>
            <w:hideMark/>
          </w:tcPr>
          <w:p w14:paraId="39EF06B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0.529</w:t>
            </w:r>
          </w:p>
        </w:tc>
        <w:tc>
          <w:tcPr>
            <w:tcW w:w="1270" w:type="dxa"/>
            <w:noWrap/>
            <w:hideMark/>
          </w:tcPr>
          <w:p w14:paraId="21E2890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-0.013</w:t>
            </w:r>
          </w:p>
        </w:tc>
        <w:tc>
          <w:tcPr>
            <w:tcW w:w="1270" w:type="dxa"/>
            <w:noWrap/>
            <w:hideMark/>
          </w:tcPr>
          <w:p w14:paraId="0AAFC1D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0.026</w:t>
            </w:r>
          </w:p>
        </w:tc>
      </w:tr>
      <w:tr w:rsidR="00B54D51" w:rsidRPr="00037AD4" w14:paraId="519C881C" w14:textId="77777777" w:rsidTr="00401C67">
        <w:trPr>
          <w:trHeight w:val="320"/>
        </w:trPr>
        <w:tc>
          <w:tcPr>
            <w:tcW w:w="1274" w:type="dxa"/>
            <w:noWrap/>
            <w:hideMark/>
          </w:tcPr>
          <w:p w14:paraId="6DEB8E0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w:t>
            </w:r>
          </w:p>
        </w:tc>
        <w:tc>
          <w:tcPr>
            <w:tcW w:w="2039" w:type="dxa"/>
            <w:noWrap/>
            <w:hideMark/>
          </w:tcPr>
          <w:p w14:paraId="00B42159"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.000 </w:t>
            </w:r>
          </w:p>
        </w:tc>
        <w:tc>
          <w:tcPr>
            <w:tcW w:w="1129" w:type="dxa"/>
          </w:tcPr>
          <w:p w14:paraId="19700A6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w:t>
            </w:r>
          </w:p>
        </w:tc>
        <w:tc>
          <w:tcPr>
            <w:tcW w:w="764" w:type="dxa"/>
            <w:noWrap/>
            <w:hideMark/>
          </w:tcPr>
          <w:p w14:paraId="7A4BFEA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0.55</w:t>
            </w:r>
          </w:p>
        </w:tc>
        <w:tc>
          <w:tcPr>
            <w:tcW w:w="1270" w:type="dxa"/>
            <w:noWrap/>
            <w:hideMark/>
          </w:tcPr>
          <w:p w14:paraId="50759EA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0.581</w:t>
            </w:r>
          </w:p>
        </w:tc>
        <w:tc>
          <w:tcPr>
            <w:tcW w:w="1270" w:type="dxa"/>
            <w:noWrap/>
            <w:hideMark/>
          </w:tcPr>
          <w:p w14:paraId="4B545BA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c>
          <w:tcPr>
            <w:tcW w:w="1270" w:type="dxa"/>
            <w:noWrap/>
            <w:hideMark/>
          </w:tcPr>
          <w:p w14:paraId="7E4C566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r>
      <w:tr w:rsidR="00B54D51" w:rsidRPr="00037AD4" w14:paraId="16BDDAA1" w14:textId="77777777" w:rsidTr="00401C67">
        <w:trPr>
          <w:trHeight w:val="320"/>
        </w:trPr>
        <w:tc>
          <w:tcPr>
            <w:tcW w:w="1274" w:type="dxa"/>
            <w:noWrap/>
            <w:hideMark/>
          </w:tcPr>
          <w:p w14:paraId="7D1E856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w:t>
            </w:r>
          </w:p>
        </w:tc>
        <w:tc>
          <w:tcPr>
            <w:tcW w:w="2039" w:type="dxa"/>
            <w:noWrap/>
            <w:hideMark/>
          </w:tcPr>
          <w:p w14:paraId="16F04AC3"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-.002   </w:t>
            </w:r>
          </w:p>
        </w:tc>
        <w:tc>
          <w:tcPr>
            <w:tcW w:w="1129" w:type="dxa"/>
          </w:tcPr>
          <w:p w14:paraId="1B70D10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w:t>
            </w:r>
          </w:p>
        </w:tc>
        <w:tc>
          <w:tcPr>
            <w:tcW w:w="764" w:type="dxa"/>
            <w:noWrap/>
            <w:hideMark/>
          </w:tcPr>
          <w:p w14:paraId="520F467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-0.59</w:t>
            </w:r>
          </w:p>
        </w:tc>
        <w:tc>
          <w:tcPr>
            <w:tcW w:w="1270" w:type="dxa"/>
            <w:noWrap/>
            <w:hideMark/>
          </w:tcPr>
          <w:p w14:paraId="2F0E3B8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0.557</w:t>
            </w:r>
          </w:p>
        </w:tc>
        <w:tc>
          <w:tcPr>
            <w:tcW w:w="1270" w:type="dxa"/>
            <w:noWrap/>
            <w:hideMark/>
          </w:tcPr>
          <w:p w14:paraId="500ED27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-0.008</w:t>
            </w:r>
          </w:p>
        </w:tc>
        <w:tc>
          <w:tcPr>
            <w:tcW w:w="1270" w:type="dxa"/>
            <w:noWrap/>
            <w:hideMark/>
          </w:tcPr>
          <w:p w14:paraId="63AD9F1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0.005</w:t>
            </w:r>
          </w:p>
        </w:tc>
      </w:tr>
      <w:tr w:rsidR="00B54D51" w:rsidRPr="00037AD4" w14:paraId="775E9FF9" w14:textId="77777777" w:rsidTr="00401C67">
        <w:trPr>
          <w:trHeight w:val="320"/>
        </w:trPr>
        <w:tc>
          <w:tcPr>
            <w:tcW w:w="1274" w:type="dxa"/>
            <w:noWrap/>
            <w:hideMark/>
          </w:tcPr>
          <w:p w14:paraId="0C7903B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5</w:t>
            </w:r>
          </w:p>
        </w:tc>
        <w:tc>
          <w:tcPr>
            <w:tcW w:w="2039" w:type="dxa"/>
            <w:noWrap/>
            <w:hideMark/>
          </w:tcPr>
          <w:p w14:paraId="19906A49"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-.022  </w:t>
            </w:r>
          </w:p>
        </w:tc>
        <w:tc>
          <w:tcPr>
            <w:tcW w:w="1129" w:type="dxa"/>
          </w:tcPr>
          <w:p w14:paraId="544A2E1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.035</w:t>
            </w:r>
          </w:p>
        </w:tc>
        <w:tc>
          <w:tcPr>
            <w:tcW w:w="764" w:type="dxa"/>
            <w:noWrap/>
            <w:hideMark/>
          </w:tcPr>
          <w:p w14:paraId="3CD6EB5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-0.62</w:t>
            </w:r>
          </w:p>
        </w:tc>
        <w:tc>
          <w:tcPr>
            <w:tcW w:w="1270" w:type="dxa"/>
            <w:noWrap/>
            <w:hideMark/>
          </w:tcPr>
          <w:p w14:paraId="1C0F514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0.533</w:t>
            </w:r>
          </w:p>
        </w:tc>
        <w:tc>
          <w:tcPr>
            <w:tcW w:w="1270" w:type="dxa"/>
            <w:noWrap/>
            <w:hideMark/>
          </w:tcPr>
          <w:p w14:paraId="12AE077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-0.089</w:t>
            </w:r>
          </w:p>
        </w:tc>
        <w:tc>
          <w:tcPr>
            <w:tcW w:w="1270" w:type="dxa"/>
            <w:noWrap/>
            <w:hideMark/>
          </w:tcPr>
          <w:p w14:paraId="3961C8B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0.046</w:t>
            </w:r>
          </w:p>
        </w:tc>
      </w:tr>
      <w:tr w:rsidR="00B54D51" w:rsidRPr="00037AD4" w14:paraId="26DBF019" w14:textId="77777777" w:rsidTr="00401C67">
        <w:trPr>
          <w:trHeight w:val="320"/>
        </w:trPr>
        <w:tc>
          <w:tcPr>
            <w:tcW w:w="9016" w:type="dxa"/>
            <w:gridSpan w:val="7"/>
            <w:shd w:val="clear" w:color="auto" w:fill="F2F2F2" w:themeFill="background1" w:themeFillShade="F2"/>
          </w:tcPr>
          <w:p w14:paraId="042BFED5" w14:textId="77777777" w:rsidR="00B54D51" w:rsidRPr="00037AD4" w:rsidRDefault="00B54D51" w:rsidP="00401C67">
            <w:pPr>
              <w:rPr>
                <w:sz w:val="20"/>
                <w:szCs w:val="20"/>
              </w:rPr>
            </w:pPr>
            <w:r w:rsidRPr="00037AD4">
              <w:rPr>
                <w:rFonts w:ascii="Calibri" w:hAnsi="Calibri" w:cs="Calibri"/>
                <w:color w:val="000000"/>
              </w:rPr>
              <w:t>PwD self-care level 3, predict:</w:t>
            </w:r>
          </w:p>
        </w:tc>
      </w:tr>
      <w:tr w:rsidR="00B54D51" w:rsidRPr="00037AD4" w14:paraId="43001FD4" w14:textId="77777777" w:rsidTr="00401C67">
        <w:trPr>
          <w:trHeight w:val="320"/>
        </w:trPr>
        <w:tc>
          <w:tcPr>
            <w:tcW w:w="1274" w:type="dxa"/>
            <w:noWrap/>
            <w:hideMark/>
          </w:tcPr>
          <w:p w14:paraId="5E96A3D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w:t>
            </w:r>
          </w:p>
        </w:tc>
        <w:tc>
          <w:tcPr>
            <w:tcW w:w="2039" w:type="dxa"/>
            <w:noWrap/>
            <w:hideMark/>
          </w:tcPr>
          <w:p w14:paraId="5417F76C"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-.063  </w:t>
            </w:r>
          </w:p>
        </w:tc>
        <w:tc>
          <w:tcPr>
            <w:tcW w:w="1129" w:type="dxa"/>
          </w:tcPr>
          <w:p w14:paraId="367BCA4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.023</w:t>
            </w:r>
          </w:p>
        </w:tc>
        <w:tc>
          <w:tcPr>
            <w:tcW w:w="764" w:type="dxa"/>
            <w:noWrap/>
            <w:hideMark/>
          </w:tcPr>
          <w:p w14:paraId="460C73D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-2.68</w:t>
            </w:r>
          </w:p>
        </w:tc>
        <w:tc>
          <w:tcPr>
            <w:tcW w:w="1270" w:type="dxa"/>
            <w:noWrap/>
            <w:hideMark/>
          </w:tcPr>
          <w:p w14:paraId="66C4DBB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0.007</w:t>
            </w:r>
          </w:p>
        </w:tc>
        <w:tc>
          <w:tcPr>
            <w:tcW w:w="1270" w:type="dxa"/>
            <w:noWrap/>
            <w:hideMark/>
          </w:tcPr>
          <w:p w14:paraId="292DE8C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-0.108</w:t>
            </w:r>
          </w:p>
        </w:tc>
        <w:tc>
          <w:tcPr>
            <w:tcW w:w="1270" w:type="dxa"/>
            <w:noWrap/>
            <w:hideMark/>
          </w:tcPr>
          <w:p w14:paraId="6148DAD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-0.017</w:t>
            </w:r>
          </w:p>
        </w:tc>
      </w:tr>
      <w:tr w:rsidR="00B54D51" w:rsidRPr="00037AD4" w14:paraId="2B166F8C" w14:textId="77777777" w:rsidTr="00401C67">
        <w:trPr>
          <w:trHeight w:val="320"/>
        </w:trPr>
        <w:tc>
          <w:tcPr>
            <w:tcW w:w="1274" w:type="dxa"/>
            <w:noWrap/>
            <w:hideMark/>
          </w:tcPr>
          <w:p w14:paraId="76D1EAE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w:t>
            </w:r>
          </w:p>
        </w:tc>
        <w:tc>
          <w:tcPr>
            <w:tcW w:w="2039" w:type="dxa"/>
            <w:noWrap/>
            <w:hideMark/>
          </w:tcPr>
          <w:p w14:paraId="6E2E3094"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-.031   </w:t>
            </w:r>
          </w:p>
        </w:tc>
        <w:tc>
          <w:tcPr>
            <w:tcW w:w="1129" w:type="dxa"/>
          </w:tcPr>
          <w:p w14:paraId="7D0A9DA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.013</w:t>
            </w:r>
          </w:p>
        </w:tc>
        <w:tc>
          <w:tcPr>
            <w:tcW w:w="764" w:type="dxa"/>
            <w:noWrap/>
            <w:hideMark/>
          </w:tcPr>
          <w:p w14:paraId="1B4F855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-2.34</w:t>
            </w:r>
          </w:p>
        </w:tc>
        <w:tc>
          <w:tcPr>
            <w:tcW w:w="1270" w:type="dxa"/>
            <w:noWrap/>
            <w:hideMark/>
          </w:tcPr>
          <w:p w14:paraId="54BBE4F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0.019</w:t>
            </w:r>
          </w:p>
        </w:tc>
        <w:tc>
          <w:tcPr>
            <w:tcW w:w="1270" w:type="dxa"/>
            <w:noWrap/>
            <w:hideMark/>
          </w:tcPr>
          <w:p w14:paraId="474C1A6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-0.056</w:t>
            </w:r>
          </w:p>
        </w:tc>
        <w:tc>
          <w:tcPr>
            <w:tcW w:w="1270" w:type="dxa"/>
            <w:noWrap/>
            <w:hideMark/>
          </w:tcPr>
          <w:p w14:paraId="4D9D6AC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-0.005</w:t>
            </w:r>
          </w:p>
        </w:tc>
      </w:tr>
      <w:tr w:rsidR="00B54D51" w:rsidRPr="00037AD4" w14:paraId="7A8DDD0D" w14:textId="77777777" w:rsidTr="00401C67">
        <w:trPr>
          <w:trHeight w:val="320"/>
        </w:trPr>
        <w:tc>
          <w:tcPr>
            <w:tcW w:w="1274" w:type="dxa"/>
            <w:noWrap/>
            <w:hideMark/>
          </w:tcPr>
          <w:p w14:paraId="16C20F2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w:t>
            </w:r>
          </w:p>
        </w:tc>
        <w:tc>
          <w:tcPr>
            <w:tcW w:w="2039" w:type="dxa"/>
            <w:noWrap/>
            <w:hideMark/>
          </w:tcPr>
          <w:p w14:paraId="2DCAFA1F"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-.008  </w:t>
            </w:r>
          </w:p>
        </w:tc>
        <w:tc>
          <w:tcPr>
            <w:tcW w:w="1129" w:type="dxa"/>
          </w:tcPr>
          <w:p w14:paraId="5EEA334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.005</w:t>
            </w:r>
          </w:p>
        </w:tc>
        <w:tc>
          <w:tcPr>
            <w:tcW w:w="764" w:type="dxa"/>
            <w:noWrap/>
            <w:hideMark/>
          </w:tcPr>
          <w:p w14:paraId="59BE179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-1.66</w:t>
            </w:r>
          </w:p>
        </w:tc>
        <w:tc>
          <w:tcPr>
            <w:tcW w:w="1270" w:type="dxa"/>
            <w:noWrap/>
            <w:hideMark/>
          </w:tcPr>
          <w:p w14:paraId="6C9BCBC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0.098</w:t>
            </w:r>
          </w:p>
        </w:tc>
        <w:tc>
          <w:tcPr>
            <w:tcW w:w="1270" w:type="dxa"/>
            <w:noWrap/>
            <w:hideMark/>
          </w:tcPr>
          <w:p w14:paraId="2FE6706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-0.017</w:t>
            </w:r>
          </w:p>
        </w:tc>
        <w:tc>
          <w:tcPr>
            <w:tcW w:w="1270" w:type="dxa"/>
            <w:noWrap/>
            <w:hideMark/>
          </w:tcPr>
          <w:p w14:paraId="3673263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r>
      <w:tr w:rsidR="00B54D51" w:rsidRPr="00037AD4" w14:paraId="4462EB08" w14:textId="77777777" w:rsidTr="00401C67">
        <w:trPr>
          <w:trHeight w:val="320"/>
        </w:trPr>
        <w:tc>
          <w:tcPr>
            <w:tcW w:w="1274" w:type="dxa"/>
            <w:noWrap/>
            <w:hideMark/>
          </w:tcPr>
          <w:p w14:paraId="2F662A1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w:t>
            </w:r>
          </w:p>
        </w:tc>
        <w:tc>
          <w:tcPr>
            <w:tcW w:w="2039" w:type="dxa"/>
            <w:noWrap/>
            <w:hideMark/>
          </w:tcPr>
          <w:p w14:paraId="7D69A39F"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.004 </w:t>
            </w:r>
          </w:p>
        </w:tc>
        <w:tc>
          <w:tcPr>
            <w:tcW w:w="1129" w:type="dxa"/>
          </w:tcPr>
          <w:p w14:paraId="58B700D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w:t>
            </w:r>
          </w:p>
        </w:tc>
        <w:tc>
          <w:tcPr>
            <w:tcW w:w="764" w:type="dxa"/>
            <w:noWrap/>
            <w:hideMark/>
          </w:tcPr>
          <w:p w14:paraId="7FA868D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2.48</w:t>
            </w:r>
          </w:p>
        </w:tc>
        <w:tc>
          <w:tcPr>
            <w:tcW w:w="1270" w:type="dxa"/>
            <w:noWrap/>
            <w:hideMark/>
          </w:tcPr>
          <w:p w14:paraId="7ACBAC9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0.013</w:t>
            </w:r>
          </w:p>
        </w:tc>
        <w:tc>
          <w:tcPr>
            <w:tcW w:w="1270" w:type="dxa"/>
            <w:noWrap/>
            <w:hideMark/>
          </w:tcPr>
          <w:p w14:paraId="72A81F3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c>
          <w:tcPr>
            <w:tcW w:w="1270" w:type="dxa"/>
            <w:noWrap/>
            <w:hideMark/>
          </w:tcPr>
          <w:p w14:paraId="36C1D05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0.008</w:t>
            </w:r>
          </w:p>
        </w:tc>
      </w:tr>
      <w:tr w:rsidR="00B54D51" w:rsidRPr="00037AD4" w14:paraId="55283474" w14:textId="77777777" w:rsidTr="00401C67">
        <w:trPr>
          <w:trHeight w:val="320"/>
        </w:trPr>
        <w:tc>
          <w:tcPr>
            <w:tcW w:w="1274" w:type="dxa"/>
            <w:noWrap/>
            <w:hideMark/>
          </w:tcPr>
          <w:p w14:paraId="21DF5FA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5</w:t>
            </w:r>
          </w:p>
        </w:tc>
        <w:tc>
          <w:tcPr>
            <w:tcW w:w="2039" w:type="dxa"/>
            <w:noWrap/>
            <w:hideMark/>
          </w:tcPr>
          <w:p w14:paraId="116684E2"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.097  </w:t>
            </w:r>
          </w:p>
        </w:tc>
        <w:tc>
          <w:tcPr>
            <w:tcW w:w="1129" w:type="dxa"/>
          </w:tcPr>
          <w:p w14:paraId="2504907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.039</w:t>
            </w:r>
          </w:p>
        </w:tc>
        <w:tc>
          <w:tcPr>
            <w:tcW w:w="764" w:type="dxa"/>
            <w:noWrap/>
            <w:hideMark/>
          </w:tcPr>
          <w:p w14:paraId="3B261DB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2.46</w:t>
            </w:r>
          </w:p>
        </w:tc>
        <w:tc>
          <w:tcPr>
            <w:tcW w:w="1270" w:type="dxa"/>
            <w:noWrap/>
            <w:hideMark/>
          </w:tcPr>
          <w:p w14:paraId="404DAC3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0.014</w:t>
            </w:r>
          </w:p>
        </w:tc>
        <w:tc>
          <w:tcPr>
            <w:tcW w:w="1270" w:type="dxa"/>
            <w:noWrap/>
            <w:hideMark/>
          </w:tcPr>
          <w:p w14:paraId="7ED4E4E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0.020</w:t>
            </w:r>
          </w:p>
        </w:tc>
        <w:tc>
          <w:tcPr>
            <w:tcW w:w="1270" w:type="dxa"/>
            <w:noWrap/>
            <w:hideMark/>
          </w:tcPr>
          <w:p w14:paraId="485DE50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0.174</w:t>
            </w:r>
          </w:p>
        </w:tc>
      </w:tr>
      <w:tr w:rsidR="00B54D51" w:rsidRPr="00037AD4" w14:paraId="4A68C065" w14:textId="77777777" w:rsidTr="00401C67">
        <w:trPr>
          <w:trHeight w:val="320"/>
        </w:trPr>
        <w:tc>
          <w:tcPr>
            <w:tcW w:w="9016" w:type="dxa"/>
            <w:gridSpan w:val="7"/>
            <w:shd w:val="clear" w:color="auto" w:fill="F2F2F2" w:themeFill="background1" w:themeFillShade="F2"/>
          </w:tcPr>
          <w:p w14:paraId="02712A19" w14:textId="77777777" w:rsidR="00B54D51" w:rsidRPr="00037AD4" w:rsidRDefault="00B54D51" w:rsidP="00401C67">
            <w:pPr>
              <w:rPr>
                <w:sz w:val="20"/>
                <w:szCs w:val="20"/>
              </w:rPr>
            </w:pPr>
            <w:r w:rsidRPr="00037AD4">
              <w:rPr>
                <w:rFonts w:ascii="Calibri" w:hAnsi="Calibri" w:cs="Calibri"/>
                <w:color w:val="000000"/>
              </w:rPr>
              <w:t>PwD self-care level 4, predict:</w:t>
            </w:r>
          </w:p>
        </w:tc>
      </w:tr>
      <w:tr w:rsidR="00B54D51" w:rsidRPr="00037AD4" w14:paraId="4C2C3DD5" w14:textId="77777777" w:rsidTr="00401C67">
        <w:trPr>
          <w:trHeight w:val="320"/>
        </w:trPr>
        <w:tc>
          <w:tcPr>
            <w:tcW w:w="1274" w:type="dxa"/>
            <w:noWrap/>
            <w:hideMark/>
          </w:tcPr>
          <w:p w14:paraId="2FA9CF3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w:t>
            </w:r>
          </w:p>
        </w:tc>
        <w:tc>
          <w:tcPr>
            <w:tcW w:w="2039" w:type="dxa"/>
            <w:noWrap/>
            <w:hideMark/>
          </w:tcPr>
          <w:p w14:paraId="207E55E2"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-.087 </w:t>
            </w:r>
          </w:p>
        </w:tc>
        <w:tc>
          <w:tcPr>
            <w:tcW w:w="1129" w:type="dxa"/>
          </w:tcPr>
          <w:p w14:paraId="29B172B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.039</w:t>
            </w:r>
          </w:p>
        </w:tc>
        <w:tc>
          <w:tcPr>
            <w:tcW w:w="764" w:type="dxa"/>
            <w:noWrap/>
            <w:hideMark/>
          </w:tcPr>
          <w:p w14:paraId="178B292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-2.26</w:t>
            </w:r>
          </w:p>
        </w:tc>
        <w:tc>
          <w:tcPr>
            <w:tcW w:w="1270" w:type="dxa"/>
            <w:noWrap/>
            <w:hideMark/>
          </w:tcPr>
          <w:p w14:paraId="50B79AD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0.024</w:t>
            </w:r>
          </w:p>
        </w:tc>
        <w:tc>
          <w:tcPr>
            <w:tcW w:w="1270" w:type="dxa"/>
            <w:noWrap/>
            <w:hideMark/>
          </w:tcPr>
          <w:p w14:paraId="2EBCB8E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-0.163</w:t>
            </w:r>
          </w:p>
        </w:tc>
        <w:tc>
          <w:tcPr>
            <w:tcW w:w="1270" w:type="dxa"/>
            <w:noWrap/>
            <w:hideMark/>
          </w:tcPr>
          <w:p w14:paraId="190E144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-0.012</w:t>
            </w:r>
          </w:p>
        </w:tc>
      </w:tr>
      <w:tr w:rsidR="00B54D51" w:rsidRPr="00037AD4" w14:paraId="10DAAEF8" w14:textId="77777777" w:rsidTr="00401C67">
        <w:trPr>
          <w:trHeight w:val="320"/>
        </w:trPr>
        <w:tc>
          <w:tcPr>
            <w:tcW w:w="1274" w:type="dxa"/>
            <w:noWrap/>
            <w:hideMark/>
          </w:tcPr>
          <w:p w14:paraId="584CF90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w:t>
            </w:r>
          </w:p>
        </w:tc>
        <w:tc>
          <w:tcPr>
            <w:tcW w:w="2039" w:type="dxa"/>
            <w:noWrap/>
            <w:hideMark/>
          </w:tcPr>
          <w:p w14:paraId="1BF99965"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-.047   </w:t>
            </w:r>
          </w:p>
        </w:tc>
        <w:tc>
          <w:tcPr>
            <w:tcW w:w="1129" w:type="dxa"/>
          </w:tcPr>
          <w:p w14:paraId="517E7F1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.026</w:t>
            </w:r>
          </w:p>
        </w:tc>
        <w:tc>
          <w:tcPr>
            <w:tcW w:w="764" w:type="dxa"/>
            <w:noWrap/>
            <w:hideMark/>
          </w:tcPr>
          <w:p w14:paraId="7CDEBFE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-1.76</w:t>
            </w:r>
          </w:p>
        </w:tc>
        <w:tc>
          <w:tcPr>
            <w:tcW w:w="1270" w:type="dxa"/>
            <w:noWrap/>
            <w:hideMark/>
          </w:tcPr>
          <w:p w14:paraId="0874778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0.078</w:t>
            </w:r>
          </w:p>
        </w:tc>
        <w:tc>
          <w:tcPr>
            <w:tcW w:w="1270" w:type="dxa"/>
            <w:noWrap/>
            <w:hideMark/>
          </w:tcPr>
          <w:p w14:paraId="771B417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-0.099</w:t>
            </w:r>
          </w:p>
        </w:tc>
        <w:tc>
          <w:tcPr>
            <w:tcW w:w="1270" w:type="dxa"/>
            <w:noWrap/>
            <w:hideMark/>
          </w:tcPr>
          <w:p w14:paraId="6BAAC1D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0.005</w:t>
            </w:r>
          </w:p>
        </w:tc>
      </w:tr>
      <w:tr w:rsidR="00B54D51" w:rsidRPr="00037AD4" w14:paraId="56E3F8DA" w14:textId="77777777" w:rsidTr="00401C67">
        <w:trPr>
          <w:trHeight w:val="320"/>
        </w:trPr>
        <w:tc>
          <w:tcPr>
            <w:tcW w:w="1274" w:type="dxa"/>
            <w:noWrap/>
            <w:hideMark/>
          </w:tcPr>
          <w:p w14:paraId="3077288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w:t>
            </w:r>
          </w:p>
        </w:tc>
        <w:tc>
          <w:tcPr>
            <w:tcW w:w="2039" w:type="dxa"/>
            <w:noWrap/>
            <w:hideMark/>
          </w:tcPr>
          <w:p w14:paraId="665B757F"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-.015   </w:t>
            </w:r>
          </w:p>
        </w:tc>
        <w:tc>
          <w:tcPr>
            <w:tcW w:w="1129" w:type="dxa"/>
          </w:tcPr>
          <w:p w14:paraId="5DB785E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.013</w:t>
            </w:r>
          </w:p>
        </w:tc>
        <w:tc>
          <w:tcPr>
            <w:tcW w:w="764" w:type="dxa"/>
            <w:noWrap/>
            <w:hideMark/>
          </w:tcPr>
          <w:p w14:paraId="6498663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-1.16</w:t>
            </w:r>
          </w:p>
        </w:tc>
        <w:tc>
          <w:tcPr>
            <w:tcW w:w="1270" w:type="dxa"/>
            <w:noWrap/>
            <w:hideMark/>
          </w:tcPr>
          <w:p w14:paraId="4596963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0.246</w:t>
            </w:r>
          </w:p>
        </w:tc>
        <w:tc>
          <w:tcPr>
            <w:tcW w:w="1270" w:type="dxa"/>
            <w:noWrap/>
            <w:hideMark/>
          </w:tcPr>
          <w:p w14:paraId="3D0D78F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-0.041</w:t>
            </w:r>
          </w:p>
        </w:tc>
        <w:tc>
          <w:tcPr>
            <w:tcW w:w="1270" w:type="dxa"/>
            <w:noWrap/>
            <w:hideMark/>
          </w:tcPr>
          <w:p w14:paraId="48E6BCC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0.010</w:t>
            </w:r>
          </w:p>
        </w:tc>
      </w:tr>
      <w:tr w:rsidR="00B54D51" w:rsidRPr="00037AD4" w14:paraId="5DC57EE3" w14:textId="77777777" w:rsidTr="00401C67">
        <w:trPr>
          <w:trHeight w:val="320"/>
        </w:trPr>
        <w:tc>
          <w:tcPr>
            <w:tcW w:w="1274" w:type="dxa"/>
            <w:noWrap/>
            <w:hideMark/>
          </w:tcPr>
          <w:p w14:paraId="02CE9AA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w:t>
            </w:r>
          </w:p>
        </w:tc>
        <w:tc>
          <w:tcPr>
            <w:tcW w:w="2039" w:type="dxa"/>
            <w:noWrap/>
            <w:hideMark/>
          </w:tcPr>
          <w:p w14:paraId="4B0F3814"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.004    </w:t>
            </w:r>
          </w:p>
        </w:tc>
        <w:tc>
          <w:tcPr>
            <w:tcW w:w="1129" w:type="dxa"/>
          </w:tcPr>
          <w:p w14:paraId="21E7417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w:t>
            </w:r>
          </w:p>
        </w:tc>
        <w:tc>
          <w:tcPr>
            <w:tcW w:w="764" w:type="dxa"/>
            <w:noWrap/>
            <w:hideMark/>
          </w:tcPr>
          <w:p w14:paraId="3FC6654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1.55</w:t>
            </w:r>
          </w:p>
        </w:tc>
        <w:tc>
          <w:tcPr>
            <w:tcW w:w="1270" w:type="dxa"/>
            <w:noWrap/>
            <w:hideMark/>
          </w:tcPr>
          <w:p w14:paraId="3928AE8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0.121</w:t>
            </w:r>
          </w:p>
        </w:tc>
        <w:tc>
          <w:tcPr>
            <w:tcW w:w="1270" w:type="dxa"/>
            <w:noWrap/>
            <w:hideMark/>
          </w:tcPr>
          <w:p w14:paraId="68BC91C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c>
          <w:tcPr>
            <w:tcW w:w="1270" w:type="dxa"/>
            <w:noWrap/>
            <w:hideMark/>
          </w:tcPr>
          <w:p w14:paraId="2530D76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0.009</w:t>
            </w:r>
          </w:p>
        </w:tc>
      </w:tr>
      <w:tr w:rsidR="00B54D51" w:rsidRPr="00037AD4" w14:paraId="354D71FE" w14:textId="77777777" w:rsidTr="00401C67">
        <w:trPr>
          <w:trHeight w:val="320"/>
        </w:trPr>
        <w:tc>
          <w:tcPr>
            <w:tcW w:w="1274" w:type="dxa"/>
            <w:noWrap/>
            <w:hideMark/>
          </w:tcPr>
          <w:p w14:paraId="7CA1A1D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5</w:t>
            </w:r>
          </w:p>
        </w:tc>
        <w:tc>
          <w:tcPr>
            <w:tcW w:w="2039" w:type="dxa"/>
            <w:noWrap/>
            <w:hideMark/>
          </w:tcPr>
          <w:p w14:paraId="5FCA3A46"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.145 </w:t>
            </w:r>
          </w:p>
        </w:tc>
        <w:tc>
          <w:tcPr>
            <w:tcW w:w="1129" w:type="dxa"/>
          </w:tcPr>
          <w:p w14:paraId="6C2A7DC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.079</w:t>
            </w:r>
          </w:p>
        </w:tc>
        <w:tc>
          <w:tcPr>
            <w:tcW w:w="764" w:type="dxa"/>
            <w:noWrap/>
            <w:hideMark/>
          </w:tcPr>
          <w:p w14:paraId="3528EA4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1.85</w:t>
            </w:r>
          </w:p>
        </w:tc>
        <w:tc>
          <w:tcPr>
            <w:tcW w:w="1270" w:type="dxa"/>
            <w:noWrap/>
            <w:hideMark/>
          </w:tcPr>
          <w:p w14:paraId="7DB17B1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0.064</w:t>
            </w:r>
          </w:p>
        </w:tc>
        <w:tc>
          <w:tcPr>
            <w:tcW w:w="1270" w:type="dxa"/>
            <w:noWrap/>
            <w:hideMark/>
          </w:tcPr>
          <w:p w14:paraId="1CCC098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-0.009</w:t>
            </w:r>
          </w:p>
        </w:tc>
        <w:tc>
          <w:tcPr>
            <w:tcW w:w="1270" w:type="dxa"/>
            <w:noWrap/>
            <w:hideMark/>
          </w:tcPr>
          <w:p w14:paraId="5A95864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0.299</w:t>
            </w:r>
          </w:p>
        </w:tc>
      </w:tr>
      <w:tr w:rsidR="00B54D51" w:rsidRPr="00037AD4" w14:paraId="5CC6D067" w14:textId="77777777" w:rsidTr="00401C67">
        <w:trPr>
          <w:trHeight w:val="320"/>
        </w:trPr>
        <w:tc>
          <w:tcPr>
            <w:tcW w:w="9016" w:type="dxa"/>
            <w:gridSpan w:val="7"/>
            <w:shd w:val="clear" w:color="auto" w:fill="F2F2F2" w:themeFill="background1" w:themeFillShade="F2"/>
          </w:tcPr>
          <w:p w14:paraId="771ADE15" w14:textId="77777777" w:rsidR="00B54D51" w:rsidRPr="00037AD4" w:rsidRDefault="00B54D51" w:rsidP="00401C67">
            <w:pPr>
              <w:rPr>
                <w:sz w:val="20"/>
                <w:szCs w:val="20"/>
              </w:rPr>
            </w:pPr>
            <w:r w:rsidRPr="00037AD4">
              <w:rPr>
                <w:rFonts w:ascii="Calibri" w:hAnsi="Calibri" w:cs="Calibri"/>
                <w:color w:val="000000"/>
              </w:rPr>
              <w:t>PwD self-care level 5, predict:</w:t>
            </w:r>
          </w:p>
        </w:tc>
      </w:tr>
      <w:tr w:rsidR="00B54D51" w:rsidRPr="00037AD4" w14:paraId="7FDD466A" w14:textId="77777777" w:rsidTr="00401C67">
        <w:trPr>
          <w:trHeight w:val="320"/>
        </w:trPr>
        <w:tc>
          <w:tcPr>
            <w:tcW w:w="1274" w:type="dxa"/>
            <w:noWrap/>
            <w:hideMark/>
          </w:tcPr>
          <w:p w14:paraId="5235D42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w:t>
            </w:r>
          </w:p>
        </w:tc>
        <w:tc>
          <w:tcPr>
            <w:tcW w:w="2039" w:type="dxa"/>
            <w:noWrap/>
            <w:hideMark/>
          </w:tcPr>
          <w:p w14:paraId="76191371"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-.114 </w:t>
            </w:r>
          </w:p>
        </w:tc>
        <w:tc>
          <w:tcPr>
            <w:tcW w:w="1129" w:type="dxa"/>
          </w:tcPr>
          <w:p w14:paraId="3B0BBB2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.050</w:t>
            </w:r>
          </w:p>
        </w:tc>
        <w:tc>
          <w:tcPr>
            <w:tcW w:w="764" w:type="dxa"/>
            <w:noWrap/>
            <w:hideMark/>
          </w:tcPr>
          <w:p w14:paraId="4C16BC2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-2.29</w:t>
            </w:r>
          </w:p>
        </w:tc>
        <w:tc>
          <w:tcPr>
            <w:tcW w:w="1270" w:type="dxa"/>
            <w:noWrap/>
            <w:hideMark/>
          </w:tcPr>
          <w:p w14:paraId="1F3DE65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0.022</w:t>
            </w:r>
          </w:p>
        </w:tc>
        <w:tc>
          <w:tcPr>
            <w:tcW w:w="1270" w:type="dxa"/>
            <w:noWrap/>
            <w:hideMark/>
          </w:tcPr>
          <w:p w14:paraId="24BB335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-0.211</w:t>
            </w:r>
          </w:p>
        </w:tc>
        <w:tc>
          <w:tcPr>
            <w:tcW w:w="1270" w:type="dxa"/>
            <w:noWrap/>
            <w:hideMark/>
          </w:tcPr>
          <w:p w14:paraId="3CAE256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-0.016</w:t>
            </w:r>
          </w:p>
        </w:tc>
      </w:tr>
      <w:tr w:rsidR="00B54D51" w:rsidRPr="00037AD4" w14:paraId="0B92D47E" w14:textId="77777777" w:rsidTr="00401C67">
        <w:trPr>
          <w:trHeight w:val="320"/>
        </w:trPr>
        <w:tc>
          <w:tcPr>
            <w:tcW w:w="1274" w:type="dxa"/>
            <w:noWrap/>
            <w:hideMark/>
          </w:tcPr>
          <w:p w14:paraId="66E34F9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w:t>
            </w:r>
          </w:p>
        </w:tc>
        <w:tc>
          <w:tcPr>
            <w:tcW w:w="2039" w:type="dxa"/>
            <w:noWrap/>
            <w:hideMark/>
          </w:tcPr>
          <w:p w14:paraId="397109BB" w14:textId="77777777" w:rsidR="00B54D51" w:rsidRPr="00037AD4" w:rsidRDefault="00B54D51" w:rsidP="00401C67">
            <w:pPr>
              <w:rPr>
                <w:rFonts w:ascii="Calibri" w:hAnsi="Calibri" w:cs="Calibri"/>
                <w:color w:val="000000"/>
              </w:rPr>
            </w:pPr>
            <w:r w:rsidRPr="00037AD4">
              <w:rPr>
                <w:rFonts w:ascii="Calibri" w:hAnsi="Calibri" w:cs="Calibri"/>
                <w:color w:val="000000"/>
              </w:rPr>
              <w:t>-.067</w:t>
            </w:r>
          </w:p>
        </w:tc>
        <w:tc>
          <w:tcPr>
            <w:tcW w:w="1129" w:type="dxa"/>
          </w:tcPr>
          <w:p w14:paraId="408F156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.041</w:t>
            </w:r>
          </w:p>
        </w:tc>
        <w:tc>
          <w:tcPr>
            <w:tcW w:w="764" w:type="dxa"/>
            <w:noWrap/>
            <w:hideMark/>
          </w:tcPr>
          <w:p w14:paraId="4C354C1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-1.63</w:t>
            </w:r>
          </w:p>
        </w:tc>
        <w:tc>
          <w:tcPr>
            <w:tcW w:w="1270" w:type="dxa"/>
            <w:noWrap/>
            <w:hideMark/>
          </w:tcPr>
          <w:p w14:paraId="33B5CEC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0.102</w:t>
            </w:r>
          </w:p>
        </w:tc>
        <w:tc>
          <w:tcPr>
            <w:tcW w:w="1270" w:type="dxa"/>
            <w:noWrap/>
            <w:hideMark/>
          </w:tcPr>
          <w:p w14:paraId="60C969E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-0.147</w:t>
            </w:r>
          </w:p>
        </w:tc>
        <w:tc>
          <w:tcPr>
            <w:tcW w:w="1270" w:type="dxa"/>
            <w:noWrap/>
            <w:hideMark/>
          </w:tcPr>
          <w:p w14:paraId="29F087B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0.013</w:t>
            </w:r>
          </w:p>
        </w:tc>
      </w:tr>
      <w:tr w:rsidR="00B54D51" w:rsidRPr="00037AD4" w14:paraId="29409DD0" w14:textId="77777777" w:rsidTr="00401C67">
        <w:trPr>
          <w:trHeight w:val="320"/>
        </w:trPr>
        <w:tc>
          <w:tcPr>
            <w:tcW w:w="1274" w:type="dxa"/>
            <w:noWrap/>
            <w:hideMark/>
          </w:tcPr>
          <w:p w14:paraId="1AEE9FE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w:t>
            </w:r>
          </w:p>
        </w:tc>
        <w:tc>
          <w:tcPr>
            <w:tcW w:w="2039" w:type="dxa"/>
            <w:noWrap/>
            <w:hideMark/>
          </w:tcPr>
          <w:p w14:paraId="4F79D269"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-.027   </w:t>
            </w:r>
          </w:p>
        </w:tc>
        <w:tc>
          <w:tcPr>
            <w:tcW w:w="1129" w:type="dxa"/>
          </w:tcPr>
          <w:p w14:paraId="0F89F06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.025</w:t>
            </w:r>
          </w:p>
        </w:tc>
        <w:tc>
          <w:tcPr>
            <w:tcW w:w="764" w:type="dxa"/>
            <w:noWrap/>
            <w:hideMark/>
          </w:tcPr>
          <w:p w14:paraId="39D81BE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-1.06</w:t>
            </w:r>
          </w:p>
        </w:tc>
        <w:tc>
          <w:tcPr>
            <w:tcW w:w="1270" w:type="dxa"/>
            <w:noWrap/>
            <w:hideMark/>
          </w:tcPr>
          <w:p w14:paraId="32B30BC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0.291</w:t>
            </w:r>
          </w:p>
        </w:tc>
        <w:tc>
          <w:tcPr>
            <w:tcW w:w="1270" w:type="dxa"/>
            <w:noWrap/>
            <w:hideMark/>
          </w:tcPr>
          <w:p w14:paraId="19D817E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-0.076</w:t>
            </w:r>
          </w:p>
        </w:tc>
        <w:tc>
          <w:tcPr>
            <w:tcW w:w="1270" w:type="dxa"/>
            <w:noWrap/>
            <w:hideMark/>
          </w:tcPr>
          <w:p w14:paraId="121ACD3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0.023</w:t>
            </w:r>
          </w:p>
        </w:tc>
      </w:tr>
      <w:tr w:rsidR="00B54D51" w:rsidRPr="00037AD4" w14:paraId="6EF696D9" w14:textId="77777777" w:rsidTr="00401C67">
        <w:trPr>
          <w:trHeight w:val="320"/>
        </w:trPr>
        <w:tc>
          <w:tcPr>
            <w:tcW w:w="1274" w:type="dxa"/>
            <w:noWrap/>
            <w:hideMark/>
          </w:tcPr>
          <w:p w14:paraId="2EF309A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w:t>
            </w:r>
          </w:p>
        </w:tc>
        <w:tc>
          <w:tcPr>
            <w:tcW w:w="2039" w:type="dxa"/>
            <w:noWrap/>
            <w:hideMark/>
          </w:tcPr>
          <w:p w14:paraId="3CC73F3D"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.001 </w:t>
            </w:r>
          </w:p>
        </w:tc>
        <w:tc>
          <w:tcPr>
            <w:tcW w:w="1129" w:type="dxa"/>
          </w:tcPr>
          <w:p w14:paraId="42D1D7A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.007</w:t>
            </w:r>
          </w:p>
        </w:tc>
        <w:tc>
          <w:tcPr>
            <w:tcW w:w="764" w:type="dxa"/>
            <w:noWrap/>
            <w:hideMark/>
          </w:tcPr>
          <w:p w14:paraId="074A3ED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0.19</w:t>
            </w:r>
          </w:p>
        </w:tc>
        <w:tc>
          <w:tcPr>
            <w:tcW w:w="1270" w:type="dxa"/>
            <w:noWrap/>
            <w:hideMark/>
          </w:tcPr>
          <w:p w14:paraId="4659818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0.848</w:t>
            </w:r>
          </w:p>
        </w:tc>
        <w:tc>
          <w:tcPr>
            <w:tcW w:w="1270" w:type="dxa"/>
            <w:noWrap/>
            <w:hideMark/>
          </w:tcPr>
          <w:p w14:paraId="72CB774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-0.013</w:t>
            </w:r>
          </w:p>
        </w:tc>
        <w:tc>
          <w:tcPr>
            <w:tcW w:w="1270" w:type="dxa"/>
            <w:noWrap/>
            <w:hideMark/>
          </w:tcPr>
          <w:p w14:paraId="02AAD69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0.016</w:t>
            </w:r>
          </w:p>
        </w:tc>
      </w:tr>
      <w:tr w:rsidR="00B54D51" w:rsidRPr="00037AD4" w14:paraId="1864C082" w14:textId="77777777" w:rsidTr="00401C67">
        <w:trPr>
          <w:trHeight w:val="320"/>
        </w:trPr>
        <w:tc>
          <w:tcPr>
            <w:tcW w:w="1274" w:type="dxa"/>
            <w:noWrap/>
            <w:hideMark/>
          </w:tcPr>
          <w:p w14:paraId="0505EDB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lastRenderedPageBreak/>
              <w:t>5</w:t>
            </w:r>
          </w:p>
        </w:tc>
        <w:tc>
          <w:tcPr>
            <w:tcW w:w="2039" w:type="dxa"/>
            <w:noWrap/>
            <w:hideMark/>
          </w:tcPr>
          <w:p w14:paraId="4F7C1DE0"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.206  </w:t>
            </w:r>
          </w:p>
        </w:tc>
        <w:tc>
          <w:tcPr>
            <w:tcW w:w="1129" w:type="dxa"/>
          </w:tcPr>
          <w:p w14:paraId="6793094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.122</w:t>
            </w:r>
          </w:p>
        </w:tc>
        <w:tc>
          <w:tcPr>
            <w:tcW w:w="764" w:type="dxa"/>
            <w:noWrap/>
            <w:hideMark/>
          </w:tcPr>
          <w:p w14:paraId="0ED76F5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1.69</w:t>
            </w:r>
          </w:p>
        </w:tc>
        <w:tc>
          <w:tcPr>
            <w:tcW w:w="1270" w:type="dxa"/>
            <w:noWrap/>
            <w:hideMark/>
          </w:tcPr>
          <w:p w14:paraId="79D6225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0.09</w:t>
            </w:r>
          </w:p>
        </w:tc>
        <w:tc>
          <w:tcPr>
            <w:tcW w:w="1270" w:type="dxa"/>
            <w:noWrap/>
            <w:hideMark/>
          </w:tcPr>
          <w:p w14:paraId="26F001A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-0.032</w:t>
            </w:r>
          </w:p>
        </w:tc>
        <w:tc>
          <w:tcPr>
            <w:tcW w:w="1270" w:type="dxa"/>
            <w:noWrap/>
            <w:hideMark/>
          </w:tcPr>
          <w:p w14:paraId="607C375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0.444</w:t>
            </w:r>
          </w:p>
        </w:tc>
      </w:tr>
      <w:tr w:rsidR="00B54D51" w:rsidRPr="00037AD4" w14:paraId="045C4E84" w14:textId="77777777" w:rsidTr="00401C67">
        <w:trPr>
          <w:trHeight w:val="320"/>
        </w:trPr>
        <w:tc>
          <w:tcPr>
            <w:tcW w:w="9016" w:type="dxa"/>
            <w:gridSpan w:val="7"/>
            <w:shd w:val="clear" w:color="auto" w:fill="F2F2F2" w:themeFill="background1" w:themeFillShade="F2"/>
          </w:tcPr>
          <w:p w14:paraId="6C39E6E8" w14:textId="77777777" w:rsidR="00B54D51" w:rsidRPr="00037AD4" w:rsidRDefault="00B54D51" w:rsidP="00401C67">
            <w:pPr>
              <w:rPr>
                <w:rFonts w:cstheme="minorHAnsi"/>
              </w:rPr>
            </w:pPr>
            <w:r w:rsidRPr="00037AD4">
              <w:rPr>
                <w:rFonts w:cstheme="minorHAnsi"/>
              </w:rPr>
              <w:t>FAST score, predict:</w:t>
            </w:r>
          </w:p>
        </w:tc>
      </w:tr>
      <w:tr w:rsidR="00B54D51" w:rsidRPr="00037AD4" w14:paraId="4DB30AF8" w14:textId="77777777" w:rsidTr="00401C67">
        <w:trPr>
          <w:trHeight w:val="320"/>
        </w:trPr>
        <w:tc>
          <w:tcPr>
            <w:tcW w:w="1274" w:type="dxa"/>
            <w:noWrap/>
            <w:hideMark/>
          </w:tcPr>
          <w:p w14:paraId="643CD7B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w:t>
            </w:r>
          </w:p>
        </w:tc>
        <w:tc>
          <w:tcPr>
            <w:tcW w:w="2039" w:type="dxa"/>
            <w:noWrap/>
            <w:hideMark/>
          </w:tcPr>
          <w:p w14:paraId="0D2CAFC6"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-.143 </w:t>
            </w:r>
          </w:p>
        </w:tc>
        <w:tc>
          <w:tcPr>
            <w:tcW w:w="1129" w:type="dxa"/>
          </w:tcPr>
          <w:p w14:paraId="065FF11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.011</w:t>
            </w:r>
          </w:p>
        </w:tc>
        <w:tc>
          <w:tcPr>
            <w:tcW w:w="764" w:type="dxa"/>
            <w:noWrap/>
            <w:hideMark/>
          </w:tcPr>
          <w:p w14:paraId="29AF93C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-12.75</w:t>
            </w:r>
          </w:p>
        </w:tc>
        <w:tc>
          <w:tcPr>
            <w:tcW w:w="1270" w:type="dxa"/>
            <w:noWrap/>
            <w:hideMark/>
          </w:tcPr>
          <w:p w14:paraId="4FC5367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w:t>
            </w:r>
          </w:p>
        </w:tc>
        <w:tc>
          <w:tcPr>
            <w:tcW w:w="1270" w:type="dxa"/>
            <w:noWrap/>
            <w:hideMark/>
          </w:tcPr>
          <w:p w14:paraId="5BC893F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-0.165</w:t>
            </w:r>
          </w:p>
        </w:tc>
        <w:tc>
          <w:tcPr>
            <w:tcW w:w="1270" w:type="dxa"/>
            <w:noWrap/>
            <w:hideMark/>
          </w:tcPr>
          <w:p w14:paraId="38E1E8F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-0.121</w:t>
            </w:r>
          </w:p>
        </w:tc>
      </w:tr>
      <w:tr w:rsidR="00B54D51" w:rsidRPr="00037AD4" w14:paraId="6857EB17" w14:textId="77777777" w:rsidTr="00401C67">
        <w:trPr>
          <w:trHeight w:val="320"/>
        </w:trPr>
        <w:tc>
          <w:tcPr>
            <w:tcW w:w="1274" w:type="dxa"/>
            <w:noWrap/>
            <w:hideMark/>
          </w:tcPr>
          <w:p w14:paraId="68B8B19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w:t>
            </w:r>
          </w:p>
        </w:tc>
        <w:tc>
          <w:tcPr>
            <w:tcW w:w="2039" w:type="dxa"/>
            <w:noWrap/>
            <w:hideMark/>
          </w:tcPr>
          <w:p w14:paraId="1082FF53"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-.059  </w:t>
            </w:r>
          </w:p>
        </w:tc>
        <w:tc>
          <w:tcPr>
            <w:tcW w:w="1129" w:type="dxa"/>
          </w:tcPr>
          <w:p w14:paraId="0C89CF7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.007</w:t>
            </w:r>
          </w:p>
        </w:tc>
        <w:tc>
          <w:tcPr>
            <w:tcW w:w="764" w:type="dxa"/>
            <w:noWrap/>
            <w:hideMark/>
          </w:tcPr>
          <w:p w14:paraId="1DE910E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-8.53</w:t>
            </w:r>
          </w:p>
        </w:tc>
        <w:tc>
          <w:tcPr>
            <w:tcW w:w="1270" w:type="dxa"/>
            <w:noWrap/>
            <w:hideMark/>
          </w:tcPr>
          <w:p w14:paraId="113A2D6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w:t>
            </w:r>
          </w:p>
        </w:tc>
        <w:tc>
          <w:tcPr>
            <w:tcW w:w="1270" w:type="dxa"/>
            <w:noWrap/>
            <w:hideMark/>
          </w:tcPr>
          <w:p w14:paraId="7FEBDCA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-0.073</w:t>
            </w:r>
          </w:p>
        </w:tc>
        <w:tc>
          <w:tcPr>
            <w:tcW w:w="1270" w:type="dxa"/>
            <w:noWrap/>
            <w:hideMark/>
          </w:tcPr>
          <w:p w14:paraId="167D84A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-0.046</w:t>
            </w:r>
          </w:p>
        </w:tc>
      </w:tr>
      <w:tr w:rsidR="00B54D51" w:rsidRPr="00037AD4" w14:paraId="44578EA9" w14:textId="77777777" w:rsidTr="00401C67">
        <w:trPr>
          <w:trHeight w:val="320"/>
        </w:trPr>
        <w:tc>
          <w:tcPr>
            <w:tcW w:w="1274" w:type="dxa"/>
            <w:noWrap/>
            <w:hideMark/>
          </w:tcPr>
          <w:p w14:paraId="0FE2B01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w:t>
            </w:r>
          </w:p>
        </w:tc>
        <w:tc>
          <w:tcPr>
            <w:tcW w:w="2039" w:type="dxa"/>
            <w:noWrap/>
            <w:hideMark/>
          </w:tcPr>
          <w:p w14:paraId="0689466F"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-.009 </w:t>
            </w:r>
          </w:p>
        </w:tc>
        <w:tc>
          <w:tcPr>
            <w:tcW w:w="1129" w:type="dxa"/>
          </w:tcPr>
          <w:p w14:paraId="5B5FC40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.004</w:t>
            </w:r>
          </w:p>
        </w:tc>
        <w:tc>
          <w:tcPr>
            <w:tcW w:w="764" w:type="dxa"/>
            <w:noWrap/>
            <w:hideMark/>
          </w:tcPr>
          <w:p w14:paraId="03F000C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-2.08</w:t>
            </w:r>
          </w:p>
        </w:tc>
        <w:tc>
          <w:tcPr>
            <w:tcW w:w="1270" w:type="dxa"/>
            <w:noWrap/>
            <w:hideMark/>
          </w:tcPr>
          <w:p w14:paraId="2959DF8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0.038</w:t>
            </w:r>
          </w:p>
        </w:tc>
        <w:tc>
          <w:tcPr>
            <w:tcW w:w="1270" w:type="dxa"/>
            <w:noWrap/>
            <w:hideMark/>
          </w:tcPr>
          <w:p w14:paraId="77E0273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-0.018</w:t>
            </w:r>
          </w:p>
        </w:tc>
        <w:tc>
          <w:tcPr>
            <w:tcW w:w="1270" w:type="dxa"/>
            <w:noWrap/>
            <w:hideMark/>
          </w:tcPr>
          <w:p w14:paraId="6D4D2A2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r>
      <w:tr w:rsidR="00B54D51" w:rsidRPr="00037AD4" w14:paraId="2226DB24" w14:textId="77777777" w:rsidTr="00401C67">
        <w:trPr>
          <w:trHeight w:val="320"/>
        </w:trPr>
        <w:tc>
          <w:tcPr>
            <w:tcW w:w="1274" w:type="dxa"/>
            <w:noWrap/>
            <w:hideMark/>
          </w:tcPr>
          <w:p w14:paraId="6E08B78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w:t>
            </w:r>
          </w:p>
        </w:tc>
        <w:tc>
          <w:tcPr>
            <w:tcW w:w="2039" w:type="dxa"/>
            <w:noWrap/>
            <w:hideMark/>
          </w:tcPr>
          <w:p w14:paraId="5F763AA4"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.013 </w:t>
            </w:r>
          </w:p>
        </w:tc>
        <w:tc>
          <w:tcPr>
            <w:tcW w:w="1129" w:type="dxa"/>
          </w:tcPr>
          <w:p w14:paraId="55B49C3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w:t>
            </w:r>
          </w:p>
        </w:tc>
        <w:tc>
          <w:tcPr>
            <w:tcW w:w="764" w:type="dxa"/>
            <w:noWrap/>
            <w:hideMark/>
          </w:tcPr>
          <w:p w14:paraId="0CD8CBE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4.84</w:t>
            </w:r>
          </w:p>
        </w:tc>
        <w:tc>
          <w:tcPr>
            <w:tcW w:w="1270" w:type="dxa"/>
            <w:noWrap/>
            <w:hideMark/>
          </w:tcPr>
          <w:p w14:paraId="74126CE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w:t>
            </w:r>
          </w:p>
        </w:tc>
        <w:tc>
          <w:tcPr>
            <w:tcW w:w="1270" w:type="dxa"/>
            <w:noWrap/>
            <w:hideMark/>
          </w:tcPr>
          <w:p w14:paraId="01E89E8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0.008</w:t>
            </w:r>
          </w:p>
        </w:tc>
        <w:tc>
          <w:tcPr>
            <w:tcW w:w="1270" w:type="dxa"/>
            <w:noWrap/>
            <w:hideMark/>
          </w:tcPr>
          <w:p w14:paraId="54176FB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0.019</w:t>
            </w:r>
          </w:p>
        </w:tc>
      </w:tr>
      <w:tr w:rsidR="00B54D51" w:rsidRPr="00037AD4" w14:paraId="1EEF2610" w14:textId="77777777" w:rsidTr="00401C67">
        <w:trPr>
          <w:trHeight w:val="320"/>
        </w:trPr>
        <w:tc>
          <w:tcPr>
            <w:tcW w:w="1274" w:type="dxa"/>
            <w:noWrap/>
            <w:hideMark/>
          </w:tcPr>
          <w:p w14:paraId="47B1BC0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5</w:t>
            </w:r>
          </w:p>
        </w:tc>
        <w:tc>
          <w:tcPr>
            <w:tcW w:w="2039" w:type="dxa"/>
            <w:noWrap/>
            <w:hideMark/>
          </w:tcPr>
          <w:p w14:paraId="088680F5"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.198  </w:t>
            </w:r>
          </w:p>
        </w:tc>
        <w:tc>
          <w:tcPr>
            <w:tcW w:w="1129" w:type="dxa"/>
          </w:tcPr>
          <w:p w14:paraId="2B0DDD8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.016</w:t>
            </w:r>
          </w:p>
        </w:tc>
        <w:tc>
          <w:tcPr>
            <w:tcW w:w="764" w:type="dxa"/>
            <w:noWrap/>
            <w:hideMark/>
          </w:tcPr>
          <w:p w14:paraId="4DF7F8B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12.46</w:t>
            </w:r>
          </w:p>
        </w:tc>
        <w:tc>
          <w:tcPr>
            <w:tcW w:w="1270" w:type="dxa"/>
            <w:noWrap/>
            <w:hideMark/>
          </w:tcPr>
          <w:p w14:paraId="3D0DE75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w:t>
            </w:r>
          </w:p>
        </w:tc>
        <w:tc>
          <w:tcPr>
            <w:tcW w:w="1270" w:type="dxa"/>
            <w:noWrap/>
            <w:hideMark/>
          </w:tcPr>
          <w:p w14:paraId="5971B4E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0.167</w:t>
            </w:r>
          </w:p>
        </w:tc>
        <w:tc>
          <w:tcPr>
            <w:tcW w:w="1270" w:type="dxa"/>
            <w:noWrap/>
            <w:hideMark/>
          </w:tcPr>
          <w:p w14:paraId="7A36AF4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0.229</w:t>
            </w:r>
          </w:p>
        </w:tc>
      </w:tr>
      <w:tr w:rsidR="00B54D51" w:rsidRPr="00037AD4" w14:paraId="645B62AB" w14:textId="77777777" w:rsidTr="00401C67">
        <w:trPr>
          <w:trHeight w:val="320"/>
        </w:trPr>
        <w:tc>
          <w:tcPr>
            <w:tcW w:w="9016" w:type="dxa"/>
            <w:gridSpan w:val="7"/>
            <w:shd w:val="clear" w:color="auto" w:fill="F2F2F2" w:themeFill="background1" w:themeFillShade="F2"/>
          </w:tcPr>
          <w:p w14:paraId="5794039C" w14:textId="77777777" w:rsidR="00B54D51" w:rsidRPr="00037AD4" w:rsidRDefault="00B54D51" w:rsidP="00401C67">
            <w:pPr>
              <w:rPr>
                <w:sz w:val="20"/>
                <w:szCs w:val="20"/>
              </w:rPr>
            </w:pPr>
            <w:r w:rsidRPr="00037AD4">
              <w:rPr>
                <w:rFonts w:ascii="Calibri" w:hAnsi="Calibri" w:cs="Calibri"/>
                <w:color w:val="000000"/>
              </w:rPr>
              <w:t>Age of PwD, predict:</w:t>
            </w:r>
          </w:p>
        </w:tc>
      </w:tr>
      <w:tr w:rsidR="00B54D51" w:rsidRPr="00037AD4" w14:paraId="052A8969" w14:textId="77777777" w:rsidTr="00401C67">
        <w:trPr>
          <w:trHeight w:val="320"/>
        </w:trPr>
        <w:tc>
          <w:tcPr>
            <w:tcW w:w="1274" w:type="dxa"/>
            <w:noWrap/>
            <w:hideMark/>
          </w:tcPr>
          <w:p w14:paraId="20E522A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w:t>
            </w:r>
          </w:p>
        </w:tc>
        <w:tc>
          <w:tcPr>
            <w:tcW w:w="2039" w:type="dxa"/>
            <w:noWrap/>
            <w:hideMark/>
          </w:tcPr>
          <w:p w14:paraId="116EFCB2"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-.000 </w:t>
            </w:r>
          </w:p>
        </w:tc>
        <w:tc>
          <w:tcPr>
            <w:tcW w:w="1129" w:type="dxa"/>
          </w:tcPr>
          <w:p w14:paraId="69E0E99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w:t>
            </w:r>
          </w:p>
        </w:tc>
        <w:tc>
          <w:tcPr>
            <w:tcW w:w="764" w:type="dxa"/>
            <w:noWrap/>
            <w:hideMark/>
          </w:tcPr>
          <w:p w14:paraId="746E372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-0.08</w:t>
            </w:r>
          </w:p>
        </w:tc>
        <w:tc>
          <w:tcPr>
            <w:tcW w:w="1270" w:type="dxa"/>
            <w:noWrap/>
            <w:hideMark/>
          </w:tcPr>
          <w:p w14:paraId="434678D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0.933</w:t>
            </w:r>
          </w:p>
        </w:tc>
        <w:tc>
          <w:tcPr>
            <w:tcW w:w="1270" w:type="dxa"/>
            <w:noWrap/>
            <w:hideMark/>
          </w:tcPr>
          <w:p w14:paraId="0197517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-0.003</w:t>
            </w:r>
          </w:p>
        </w:tc>
        <w:tc>
          <w:tcPr>
            <w:tcW w:w="1270" w:type="dxa"/>
            <w:noWrap/>
            <w:hideMark/>
          </w:tcPr>
          <w:p w14:paraId="251DD96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0.003</w:t>
            </w:r>
          </w:p>
        </w:tc>
      </w:tr>
      <w:tr w:rsidR="00B54D51" w:rsidRPr="00037AD4" w14:paraId="3A52D72F" w14:textId="77777777" w:rsidTr="00401C67">
        <w:trPr>
          <w:trHeight w:val="320"/>
        </w:trPr>
        <w:tc>
          <w:tcPr>
            <w:tcW w:w="1274" w:type="dxa"/>
            <w:noWrap/>
            <w:hideMark/>
          </w:tcPr>
          <w:p w14:paraId="4BE62E3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w:t>
            </w:r>
          </w:p>
        </w:tc>
        <w:tc>
          <w:tcPr>
            <w:tcW w:w="2039" w:type="dxa"/>
            <w:noWrap/>
            <w:hideMark/>
          </w:tcPr>
          <w:p w14:paraId="5887C47D"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-.000 </w:t>
            </w:r>
          </w:p>
        </w:tc>
        <w:tc>
          <w:tcPr>
            <w:tcW w:w="1129" w:type="dxa"/>
          </w:tcPr>
          <w:p w14:paraId="6B89E31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w:t>
            </w:r>
          </w:p>
        </w:tc>
        <w:tc>
          <w:tcPr>
            <w:tcW w:w="764" w:type="dxa"/>
            <w:noWrap/>
            <w:hideMark/>
          </w:tcPr>
          <w:p w14:paraId="23DA214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-0.08</w:t>
            </w:r>
          </w:p>
        </w:tc>
        <w:tc>
          <w:tcPr>
            <w:tcW w:w="1270" w:type="dxa"/>
            <w:noWrap/>
            <w:hideMark/>
          </w:tcPr>
          <w:p w14:paraId="023C847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0.933</w:t>
            </w:r>
          </w:p>
        </w:tc>
        <w:tc>
          <w:tcPr>
            <w:tcW w:w="1270" w:type="dxa"/>
            <w:noWrap/>
            <w:hideMark/>
          </w:tcPr>
          <w:p w14:paraId="66B31FA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c>
          <w:tcPr>
            <w:tcW w:w="1270" w:type="dxa"/>
            <w:noWrap/>
            <w:hideMark/>
          </w:tcPr>
          <w:p w14:paraId="00D3042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r>
      <w:tr w:rsidR="00B54D51" w:rsidRPr="00037AD4" w14:paraId="2ABFE013" w14:textId="77777777" w:rsidTr="00401C67">
        <w:trPr>
          <w:trHeight w:val="320"/>
        </w:trPr>
        <w:tc>
          <w:tcPr>
            <w:tcW w:w="1274" w:type="dxa"/>
            <w:noWrap/>
            <w:hideMark/>
          </w:tcPr>
          <w:p w14:paraId="1715F47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w:t>
            </w:r>
          </w:p>
        </w:tc>
        <w:tc>
          <w:tcPr>
            <w:tcW w:w="2039" w:type="dxa"/>
            <w:noWrap/>
            <w:hideMark/>
          </w:tcPr>
          <w:p w14:paraId="404FC4EE"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-.000   </w:t>
            </w:r>
          </w:p>
        </w:tc>
        <w:tc>
          <w:tcPr>
            <w:tcW w:w="1129" w:type="dxa"/>
          </w:tcPr>
          <w:p w14:paraId="4F42C08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w:t>
            </w:r>
          </w:p>
        </w:tc>
        <w:tc>
          <w:tcPr>
            <w:tcW w:w="764" w:type="dxa"/>
            <w:noWrap/>
            <w:hideMark/>
          </w:tcPr>
          <w:p w14:paraId="4EE1656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-0.08</w:t>
            </w:r>
          </w:p>
        </w:tc>
        <w:tc>
          <w:tcPr>
            <w:tcW w:w="1270" w:type="dxa"/>
            <w:noWrap/>
            <w:hideMark/>
          </w:tcPr>
          <w:p w14:paraId="37FC9A4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0.933</w:t>
            </w:r>
          </w:p>
        </w:tc>
        <w:tc>
          <w:tcPr>
            <w:tcW w:w="1270" w:type="dxa"/>
            <w:noWrap/>
            <w:hideMark/>
          </w:tcPr>
          <w:p w14:paraId="70B8736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1270" w:type="dxa"/>
            <w:noWrap/>
            <w:hideMark/>
          </w:tcPr>
          <w:p w14:paraId="6F304B2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r>
      <w:tr w:rsidR="00B54D51" w:rsidRPr="00037AD4" w14:paraId="14D9D54D" w14:textId="77777777" w:rsidTr="00401C67">
        <w:trPr>
          <w:trHeight w:val="320"/>
        </w:trPr>
        <w:tc>
          <w:tcPr>
            <w:tcW w:w="1274" w:type="dxa"/>
            <w:noWrap/>
            <w:hideMark/>
          </w:tcPr>
          <w:p w14:paraId="1E0408B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w:t>
            </w:r>
          </w:p>
        </w:tc>
        <w:tc>
          <w:tcPr>
            <w:tcW w:w="2039" w:type="dxa"/>
            <w:noWrap/>
            <w:hideMark/>
          </w:tcPr>
          <w:p w14:paraId="1BCEA607"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.000  </w:t>
            </w:r>
          </w:p>
        </w:tc>
        <w:tc>
          <w:tcPr>
            <w:tcW w:w="1129" w:type="dxa"/>
          </w:tcPr>
          <w:p w14:paraId="61C41CB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w:t>
            </w:r>
          </w:p>
        </w:tc>
        <w:tc>
          <w:tcPr>
            <w:tcW w:w="764" w:type="dxa"/>
            <w:noWrap/>
            <w:hideMark/>
          </w:tcPr>
          <w:p w14:paraId="3B8E0E2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0.08</w:t>
            </w:r>
          </w:p>
        </w:tc>
        <w:tc>
          <w:tcPr>
            <w:tcW w:w="1270" w:type="dxa"/>
            <w:noWrap/>
            <w:hideMark/>
          </w:tcPr>
          <w:p w14:paraId="53C1525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0.933</w:t>
            </w:r>
          </w:p>
        </w:tc>
        <w:tc>
          <w:tcPr>
            <w:tcW w:w="1270" w:type="dxa"/>
            <w:noWrap/>
            <w:hideMark/>
          </w:tcPr>
          <w:p w14:paraId="3A81D17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1270" w:type="dxa"/>
            <w:noWrap/>
            <w:hideMark/>
          </w:tcPr>
          <w:p w14:paraId="214CA81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r>
      <w:tr w:rsidR="00B54D51" w:rsidRPr="00037AD4" w14:paraId="4071861A" w14:textId="77777777" w:rsidTr="00401C67">
        <w:trPr>
          <w:trHeight w:val="320"/>
        </w:trPr>
        <w:tc>
          <w:tcPr>
            <w:tcW w:w="1274" w:type="dxa"/>
            <w:noWrap/>
            <w:hideMark/>
          </w:tcPr>
          <w:p w14:paraId="03D8950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5</w:t>
            </w:r>
          </w:p>
        </w:tc>
        <w:tc>
          <w:tcPr>
            <w:tcW w:w="2039" w:type="dxa"/>
            <w:noWrap/>
            <w:hideMark/>
          </w:tcPr>
          <w:p w14:paraId="26D943BF"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.000   </w:t>
            </w:r>
          </w:p>
        </w:tc>
        <w:tc>
          <w:tcPr>
            <w:tcW w:w="1129" w:type="dxa"/>
          </w:tcPr>
          <w:p w14:paraId="7808BDF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w:t>
            </w:r>
          </w:p>
        </w:tc>
        <w:tc>
          <w:tcPr>
            <w:tcW w:w="764" w:type="dxa"/>
            <w:noWrap/>
            <w:hideMark/>
          </w:tcPr>
          <w:p w14:paraId="026BB24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0.08</w:t>
            </w:r>
          </w:p>
        </w:tc>
        <w:tc>
          <w:tcPr>
            <w:tcW w:w="1270" w:type="dxa"/>
            <w:noWrap/>
            <w:hideMark/>
          </w:tcPr>
          <w:p w14:paraId="78A3EF3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0.933</w:t>
            </w:r>
          </w:p>
        </w:tc>
        <w:tc>
          <w:tcPr>
            <w:tcW w:w="1270" w:type="dxa"/>
            <w:noWrap/>
            <w:hideMark/>
          </w:tcPr>
          <w:p w14:paraId="441DEB0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-0.004</w:t>
            </w:r>
          </w:p>
        </w:tc>
        <w:tc>
          <w:tcPr>
            <w:tcW w:w="1270" w:type="dxa"/>
            <w:noWrap/>
            <w:hideMark/>
          </w:tcPr>
          <w:p w14:paraId="4ACD48E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0.005</w:t>
            </w:r>
          </w:p>
        </w:tc>
      </w:tr>
      <w:tr w:rsidR="00B54D51" w:rsidRPr="00037AD4" w14:paraId="4F975B31" w14:textId="77777777" w:rsidTr="00401C67">
        <w:trPr>
          <w:trHeight w:val="320"/>
        </w:trPr>
        <w:tc>
          <w:tcPr>
            <w:tcW w:w="9016" w:type="dxa"/>
            <w:gridSpan w:val="7"/>
            <w:shd w:val="clear" w:color="auto" w:fill="F2F2F2" w:themeFill="background1" w:themeFillShade="F2"/>
          </w:tcPr>
          <w:p w14:paraId="5E326D48" w14:textId="77777777" w:rsidR="00B54D51" w:rsidRPr="00037AD4" w:rsidRDefault="00B54D51" w:rsidP="00401C67">
            <w:pPr>
              <w:rPr>
                <w:rFonts w:ascii="Calibri" w:hAnsi="Calibri" w:cs="Calibri"/>
                <w:color w:val="000000"/>
              </w:rPr>
            </w:pPr>
            <w:r w:rsidRPr="00037AD4">
              <w:rPr>
                <w:rFonts w:ascii="Calibri" w:hAnsi="Calibri" w:cs="Calibri"/>
                <w:color w:val="000000"/>
              </w:rPr>
              <w:t>PwD (base outcome = male)</w:t>
            </w:r>
          </w:p>
        </w:tc>
      </w:tr>
      <w:tr w:rsidR="00B54D51" w:rsidRPr="00037AD4" w14:paraId="11B56607" w14:textId="77777777" w:rsidTr="00401C67">
        <w:trPr>
          <w:trHeight w:val="320"/>
        </w:trPr>
        <w:tc>
          <w:tcPr>
            <w:tcW w:w="9016" w:type="dxa"/>
            <w:gridSpan w:val="7"/>
            <w:shd w:val="clear" w:color="auto" w:fill="F2F2F2" w:themeFill="background1" w:themeFillShade="F2"/>
          </w:tcPr>
          <w:p w14:paraId="7C924030" w14:textId="77777777" w:rsidR="00B54D51" w:rsidRPr="00037AD4" w:rsidRDefault="00B54D51" w:rsidP="00401C67">
            <w:pPr>
              <w:rPr>
                <w:sz w:val="20"/>
                <w:szCs w:val="20"/>
              </w:rPr>
            </w:pPr>
            <w:r w:rsidRPr="00037AD4">
              <w:rPr>
                <w:rFonts w:ascii="Calibri" w:hAnsi="Calibri" w:cs="Calibri"/>
                <w:color w:val="000000"/>
              </w:rPr>
              <w:t>PwD sex, female predict:</w:t>
            </w:r>
          </w:p>
        </w:tc>
      </w:tr>
      <w:tr w:rsidR="00B54D51" w:rsidRPr="00037AD4" w14:paraId="3AC8AB04" w14:textId="77777777" w:rsidTr="00401C67">
        <w:trPr>
          <w:trHeight w:val="320"/>
        </w:trPr>
        <w:tc>
          <w:tcPr>
            <w:tcW w:w="1274" w:type="dxa"/>
            <w:noWrap/>
            <w:hideMark/>
          </w:tcPr>
          <w:p w14:paraId="7717E64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w:t>
            </w:r>
          </w:p>
        </w:tc>
        <w:tc>
          <w:tcPr>
            <w:tcW w:w="2039" w:type="dxa"/>
            <w:noWrap/>
            <w:hideMark/>
          </w:tcPr>
          <w:p w14:paraId="6AEABD96"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-.001 </w:t>
            </w:r>
          </w:p>
        </w:tc>
        <w:tc>
          <w:tcPr>
            <w:tcW w:w="1129" w:type="dxa"/>
          </w:tcPr>
          <w:p w14:paraId="4A78048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.024</w:t>
            </w:r>
          </w:p>
        </w:tc>
        <w:tc>
          <w:tcPr>
            <w:tcW w:w="764" w:type="dxa"/>
            <w:noWrap/>
            <w:hideMark/>
          </w:tcPr>
          <w:p w14:paraId="79526B3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-0.05</w:t>
            </w:r>
          </w:p>
        </w:tc>
        <w:tc>
          <w:tcPr>
            <w:tcW w:w="1270" w:type="dxa"/>
            <w:noWrap/>
            <w:hideMark/>
          </w:tcPr>
          <w:p w14:paraId="69E7CAF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0.96</w:t>
            </w:r>
          </w:p>
        </w:tc>
        <w:tc>
          <w:tcPr>
            <w:tcW w:w="1270" w:type="dxa"/>
            <w:noWrap/>
            <w:hideMark/>
          </w:tcPr>
          <w:p w14:paraId="7C6313C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-0.048</w:t>
            </w:r>
          </w:p>
        </w:tc>
        <w:tc>
          <w:tcPr>
            <w:tcW w:w="1270" w:type="dxa"/>
            <w:noWrap/>
            <w:hideMark/>
          </w:tcPr>
          <w:p w14:paraId="7FFA277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0.046</w:t>
            </w:r>
          </w:p>
        </w:tc>
      </w:tr>
      <w:tr w:rsidR="00B54D51" w:rsidRPr="00037AD4" w14:paraId="63CECD5F" w14:textId="77777777" w:rsidTr="00401C67">
        <w:trPr>
          <w:trHeight w:val="320"/>
        </w:trPr>
        <w:tc>
          <w:tcPr>
            <w:tcW w:w="1274" w:type="dxa"/>
            <w:noWrap/>
            <w:hideMark/>
          </w:tcPr>
          <w:p w14:paraId="3F55878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w:t>
            </w:r>
          </w:p>
        </w:tc>
        <w:tc>
          <w:tcPr>
            <w:tcW w:w="2039" w:type="dxa"/>
            <w:noWrap/>
            <w:hideMark/>
          </w:tcPr>
          <w:p w14:paraId="4F3C2B8A"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-.000  </w:t>
            </w:r>
          </w:p>
        </w:tc>
        <w:tc>
          <w:tcPr>
            <w:tcW w:w="1129" w:type="dxa"/>
          </w:tcPr>
          <w:p w14:paraId="525F388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.010</w:t>
            </w:r>
          </w:p>
        </w:tc>
        <w:tc>
          <w:tcPr>
            <w:tcW w:w="764" w:type="dxa"/>
            <w:noWrap/>
            <w:hideMark/>
          </w:tcPr>
          <w:p w14:paraId="2A0791D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-0.05</w:t>
            </w:r>
          </w:p>
        </w:tc>
        <w:tc>
          <w:tcPr>
            <w:tcW w:w="1270" w:type="dxa"/>
            <w:noWrap/>
            <w:hideMark/>
          </w:tcPr>
          <w:p w14:paraId="7F73C5C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0.96</w:t>
            </w:r>
          </w:p>
        </w:tc>
        <w:tc>
          <w:tcPr>
            <w:tcW w:w="1270" w:type="dxa"/>
            <w:noWrap/>
            <w:hideMark/>
          </w:tcPr>
          <w:p w14:paraId="1777D5E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-0.020</w:t>
            </w:r>
          </w:p>
        </w:tc>
        <w:tc>
          <w:tcPr>
            <w:tcW w:w="1270" w:type="dxa"/>
            <w:noWrap/>
            <w:hideMark/>
          </w:tcPr>
          <w:p w14:paraId="6B562B7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0.019</w:t>
            </w:r>
          </w:p>
        </w:tc>
      </w:tr>
      <w:tr w:rsidR="00B54D51" w:rsidRPr="00037AD4" w14:paraId="64373957" w14:textId="77777777" w:rsidTr="00401C67">
        <w:trPr>
          <w:trHeight w:val="320"/>
        </w:trPr>
        <w:tc>
          <w:tcPr>
            <w:tcW w:w="1274" w:type="dxa"/>
            <w:noWrap/>
            <w:hideMark/>
          </w:tcPr>
          <w:p w14:paraId="0FA99EA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w:t>
            </w:r>
          </w:p>
        </w:tc>
        <w:tc>
          <w:tcPr>
            <w:tcW w:w="2039" w:type="dxa"/>
            <w:noWrap/>
            <w:hideMark/>
          </w:tcPr>
          <w:p w14:paraId="7937A6FB"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-.000   </w:t>
            </w:r>
          </w:p>
        </w:tc>
        <w:tc>
          <w:tcPr>
            <w:tcW w:w="1129" w:type="dxa"/>
          </w:tcPr>
          <w:p w14:paraId="670DEE3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w:t>
            </w:r>
          </w:p>
        </w:tc>
        <w:tc>
          <w:tcPr>
            <w:tcW w:w="764" w:type="dxa"/>
            <w:noWrap/>
            <w:hideMark/>
          </w:tcPr>
          <w:p w14:paraId="1C7941C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-0.05</w:t>
            </w:r>
          </w:p>
        </w:tc>
        <w:tc>
          <w:tcPr>
            <w:tcW w:w="1270" w:type="dxa"/>
            <w:noWrap/>
            <w:hideMark/>
          </w:tcPr>
          <w:p w14:paraId="72DE0C5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0.96</w:t>
            </w:r>
          </w:p>
        </w:tc>
        <w:tc>
          <w:tcPr>
            <w:tcW w:w="1270" w:type="dxa"/>
            <w:noWrap/>
            <w:hideMark/>
          </w:tcPr>
          <w:p w14:paraId="4B8B7E2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-0.003</w:t>
            </w:r>
          </w:p>
        </w:tc>
        <w:tc>
          <w:tcPr>
            <w:tcW w:w="1270" w:type="dxa"/>
            <w:noWrap/>
            <w:hideMark/>
          </w:tcPr>
          <w:p w14:paraId="417297D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0.003</w:t>
            </w:r>
          </w:p>
        </w:tc>
      </w:tr>
      <w:tr w:rsidR="00B54D51" w:rsidRPr="00037AD4" w14:paraId="35714F3A" w14:textId="77777777" w:rsidTr="00401C67">
        <w:trPr>
          <w:trHeight w:val="320"/>
        </w:trPr>
        <w:tc>
          <w:tcPr>
            <w:tcW w:w="1274" w:type="dxa"/>
            <w:noWrap/>
            <w:hideMark/>
          </w:tcPr>
          <w:p w14:paraId="359FA79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w:t>
            </w:r>
          </w:p>
        </w:tc>
        <w:tc>
          <w:tcPr>
            <w:tcW w:w="2039" w:type="dxa"/>
            <w:noWrap/>
            <w:hideMark/>
          </w:tcPr>
          <w:p w14:paraId="48ECC4F6"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.000 </w:t>
            </w:r>
          </w:p>
        </w:tc>
        <w:tc>
          <w:tcPr>
            <w:tcW w:w="1129" w:type="dxa"/>
          </w:tcPr>
          <w:p w14:paraId="3E4CF64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w:t>
            </w:r>
          </w:p>
        </w:tc>
        <w:tc>
          <w:tcPr>
            <w:tcW w:w="764" w:type="dxa"/>
            <w:noWrap/>
            <w:hideMark/>
          </w:tcPr>
          <w:p w14:paraId="29918EC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0.05</w:t>
            </w:r>
          </w:p>
        </w:tc>
        <w:tc>
          <w:tcPr>
            <w:tcW w:w="1270" w:type="dxa"/>
            <w:noWrap/>
            <w:hideMark/>
          </w:tcPr>
          <w:p w14:paraId="501F924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0.96</w:t>
            </w:r>
          </w:p>
        </w:tc>
        <w:tc>
          <w:tcPr>
            <w:tcW w:w="1270" w:type="dxa"/>
            <w:noWrap/>
            <w:hideMark/>
          </w:tcPr>
          <w:p w14:paraId="663C99A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-0.004</w:t>
            </w:r>
          </w:p>
        </w:tc>
        <w:tc>
          <w:tcPr>
            <w:tcW w:w="1270" w:type="dxa"/>
            <w:noWrap/>
            <w:hideMark/>
          </w:tcPr>
          <w:p w14:paraId="3DDF2A9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0.004</w:t>
            </w:r>
          </w:p>
        </w:tc>
      </w:tr>
      <w:tr w:rsidR="00B54D51" w:rsidRPr="00037AD4" w14:paraId="1F7F29BF" w14:textId="77777777" w:rsidTr="00401C67">
        <w:trPr>
          <w:trHeight w:val="320"/>
        </w:trPr>
        <w:tc>
          <w:tcPr>
            <w:tcW w:w="1274" w:type="dxa"/>
            <w:noWrap/>
            <w:hideMark/>
          </w:tcPr>
          <w:p w14:paraId="56F9274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5</w:t>
            </w:r>
          </w:p>
        </w:tc>
        <w:tc>
          <w:tcPr>
            <w:tcW w:w="2039" w:type="dxa"/>
            <w:noWrap/>
            <w:hideMark/>
          </w:tcPr>
          <w:p w14:paraId="2F64CC60" w14:textId="77777777" w:rsidR="00B54D51" w:rsidRPr="00037AD4" w:rsidRDefault="00B54D51" w:rsidP="00401C67">
            <w:pPr>
              <w:rPr>
                <w:rFonts w:ascii="Calibri" w:hAnsi="Calibri" w:cs="Calibri"/>
                <w:color w:val="000000"/>
              </w:rPr>
            </w:pPr>
            <w:r w:rsidRPr="00037AD4">
              <w:rPr>
                <w:rFonts w:ascii="Calibri" w:hAnsi="Calibri" w:cs="Calibri"/>
                <w:color w:val="000000"/>
              </w:rPr>
              <w:t>.002</w:t>
            </w:r>
          </w:p>
        </w:tc>
        <w:tc>
          <w:tcPr>
            <w:tcW w:w="1129" w:type="dxa"/>
          </w:tcPr>
          <w:p w14:paraId="490142D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.033</w:t>
            </w:r>
          </w:p>
        </w:tc>
        <w:tc>
          <w:tcPr>
            <w:tcW w:w="764" w:type="dxa"/>
            <w:noWrap/>
            <w:hideMark/>
          </w:tcPr>
          <w:p w14:paraId="506DDBE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0.05</w:t>
            </w:r>
          </w:p>
        </w:tc>
        <w:tc>
          <w:tcPr>
            <w:tcW w:w="1270" w:type="dxa"/>
            <w:noWrap/>
            <w:hideMark/>
          </w:tcPr>
          <w:p w14:paraId="219A877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0.96</w:t>
            </w:r>
          </w:p>
        </w:tc>
        <w:tc>
          <w:tcPr>
            <w:tcW w:w="1270" w:type="dxa"/>
            <w:noWrap/>
            <w:hideMark/>
          </w:tcPr>
          <w:p w14:paraId="404C73F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-0.063</w:t>
            </w:r>
          </w:p>
        </w:tc>
        <w:tc>
          <w:tcPr>
            <w:tcW w:w="1270" w:type="dxa"/>
            <w:noWrap/>
            <w:hideMark/>
          </w:tcPr>
          <w:p w14:paraId="5009B55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0.067</w:t>
            </w:r>
          </w:p>
        </w:tc>
      </w:tr>
    </w:tbl>
    <w:p w14:paraId="6C713503" w14:textId="77777777" w:rsidR="00B54D51" w:rsidRPr="00037AD4" w:rsidRDefault="00B54D51" w:rsidP="001D7ACE">
      <w:pPr>
        <w:rPr>
          <w:color w:val="000000" w:themeColor="text1"/>
          <w:u w:val="single"/>
        </w:rPr>
      </w:pPr>
    </w:p>
    <w:p w14:paraId="4E0BAFDF" w14:textId="77777777" w:rsidR="00B54D51" w:rsidRPr="00037AD4" w:rsidRDefault="00B54D51" w:rsidP="001D7ACE">
      <w:pPr>
        <w:rPr>
          <w:rFonts w:asciiTheme="minorHAnsi" w:hAnsiTheme="minorHAnsi" w:cstheme="minorHAnsi"/>
          <w:color w:val="000000" w:themeColor="text1"/>
          <w:u w:val="single"/>
        </w:rPr>
      </w:pPr>
      <w:r w:rsidRPr="00037AD4">
        <w:rPr>
          <w:rFonts w:asciiTheme="minorHAnsi" w:hAnsiTheme="minorHAnsi" w:cstheme="minorHAnsi"/>
          <w:color w:val="000000" w:themeColor="text1"/>
          <w:u w:val="single"/>
        </w:rPr>
        <w:t>Table A6.3h, “Self-care” predictive margins for EPIC data</w:t>
      </w:r>
    </w:p>
    <w:p w14:paraId="3166DA8D" w14:textId="77777777" w:rsidR="00B54D51" w:rsidRPr="00037AD4" w:rsidRDefault="00B54D51" w:rsidP="001D7ACE"/>
    <w:tbl>
      <w:tblPr>
        <w:tblStyle w:val="TableGrid"/>
        <w:tblW w:w="0" w:type="auto"/>
        <w:tblLook w:val="04A0" w:firstRow="1" w:lastRow="0" w:firstColumn="1" w:lastColumn="0" w:noHBand="0" w:noVBand="1"/>
      </w:tblPr>
      <w:tblGrid>
        <w:gridCol w:w="2343"/>
        <w:gridCol w:w="2036"/>
        <w:gridCol w:w="764"/>
        <w:gridCol w:w="885"/>
        <w:gridCol w:w="764"/>
        <w:gridCol w:w="764"/>
        <w:gridCol w:w="764"/>
      </w:tblGrid>
      <w:tr w:rsidR="00B54D51" w:rsidRPr="00037AD4" w14:paraId="23B2C540" w14:textId="77777777" w:rsidTr="00401C67">
        <w:trPr>
          <w:trHeight w:val="320"/>
        </w:trPr>
        <w:tc>
          <w:tcPr>
            <w:tcW w:w="0" w:type="auto"/>
            <w:noWrap/>
            <w:hideMark/>
          </w:tcPr>
          <w:p w14:paraId="51DB1336" w14:textId="77777777" w:rsidR="00B54D51" w:rsidRPr="00037AD4" w:rsidRDefault="00B54D51" w:rsidP="00401C67">
            <w:pPr>
              <w:rPr>
                <w:sz w:val="20"/>
                <w:szCs w:val="20"/>
              </w:rPr>
            </w:pPr>
          </w:p>
        </w:tc>
        <w:tc>
          <w:tcPr>
            <w:tcW w:w="0" w:type="auto"/>
            <w:noWrap/>
            <w:hideMark/>
          </w:tcPr>
          <w:p w14:paraId="5C7CDD1A" w14:textId="77777777" w:rsidR="00B54D51" w:rsidRPr="00037AD4" w:rsidRDefault="00B54D51" w:rsidP="00401C67">
            <w:pPr>
              <w:rPr>
                <w:rFonts w:ascii="Calibri" w:hAnsi="Calibri" w:cs="Calibri"/>
                <w:color w:val="000000"/>
              </w:rPr>
            </w:pPr>
            <w:r w:rsidRPr="00037AD4">
              <w:rPr>
                <w:rFonts w:ascii="Calibri" w:hAnsi="Calibri" w:cs="Calibri"/>
                <w:color w:val="000000"/>
              </w:rPr>
              <w:t>Predictive Margins</w:t>
            </w:r>
          </w:p>
        </w:tc>
        <w:tc>
          <w:tcPr>
            <w:tcW w:w="0" w:type="auto"/>
            <w:noWrap/>
            <w:hideMark/>
          </w:tcPr>
          <w:p w14:paraId="3D3B0A28" w14:textId="77777777" w:rsidR="00B54D51" w:rsidRPr="00037AD4" w:rsidRDefault="00B54D51" w:rsidP="00401C67">
            <w:pPr>
              <w:rPr>
                <w:rFonts w:ascii="Calibri" w:hAnsi="Calibri" w:cs="Calibri"/>
                <w:color w:val="000000"/>
              </w:rPr>
            </w:pPr>
            <w:r w:rsidRPr="00037AD4">
              <w:rPr>
                <w:rFonts w:ascii="Calibri" w:hAnsi="Calibri" w:cs="Calibri"/>
                <w:color w:val="000000"/>
              </w:rPr>
              <w:t>SE</w:t>
            </w:r>
          </w:p>
        </w:tc>
        <w:tc>
          <w:tcPr>
            <w:tcW w:w="0" w:type="auto"/>
            <w:noWrap/>
            <w:hideMark/>
          </w:tcPr>
          <w:p w14:paraId="1D0186F6" w14:textId="77777777" w:rsidR="00B54D51" w:rsidRPr="00037AD4" w:rsidRDefault="00B54D51" w:rsidP="00401C67">
            <w:pPr>
              <w:rPr>
                <w:rFonts w:ascii="Calibri" w:hAnsi="Calibri" w:cs="Calibri"/>
                <w:color w:val="000000"/>
              </w:rPr>
            </w:pPr>
            <w:r w:rsidRPr="00037AD4">
              <w:rPr>
                <w:rFonts w:ascii="Calibri" w:hAnsi="Calibri" w:cs="Calibri"/>
                <w:color w:val="000000"/>
              </w:rPr>
              <w:t>z</w:t>
            </w:r>
          </w:p>
        </w:tc>
        <w:tc>
          <w:tcPr>
            <w:tcW w:w="0" w:type="auto"/>
            <w:noWrap/>
            <w:hideMark/>
          </w:tcPr>
          <w:p w14:paraId="5EA34A75" w14:textId="77777777" w:rsidR="00B54D51" w:rsidRPr="00037AD4" w:rsidRDefault="00B54D51" w:rsidP="00401C67">
            <w:pPr>
              <w:rPr>
                <w:rFonts w:ascii="Calibri" w:hAnsi="Calibri" w:cs="Calibri"/>
                <w:color w:val="000000"/>
              </w:rPr>
            </w:pPr>
            <w:r w:rsidRPr="00037AD4">
              <w:rPr>
                <w:rFonts w:ascii="Calibri" w:hAnsi="Calibri" w:cs="Calibri"/>
                <w:color w:val="000000"/>
              </w:rPr>
              <w:t>P&gt;z</w:t>
            </w:r>
          </w:p>
        </w:tc>
        <w:tc>
          <w:tcPr>
            <w:tcW w:w="0" w:type="auto"/>
            <w:gridSpan w:val="2"/>
            <w:noWrap/>
            <w:hideMark/>
          </w:tcPr>
          <w:p w14:paraId="396C4219" w14:textId="77777777" w:rsidR="00B54D51" w:rsidRPr="00037AD4" w:rsidRDefault="00B54D51" w:rsidP="00401C67">
            <w:pPr>
              <w:rPr>
                <w:rFonts w:ascii="Calibri" w:hAnsi="Calibri" w:cs="Calibri"/>
                <w:color w:val="000000"/>
              </w:rPr>
            </w:pPr>
            <w:r w:rsidRPr="00037AD4">
              <w:rPr>
                <w:rFonts w:ascii="Calibri" w:hAnsi="Calibri" w:cs="Calibri"/>
                <w:color w:val="000000"/>
              </w:rPr>
              <w:t>[95% conf.</w:t>
            </w:r>
          </w:p>
          <w:p w14:paraId="09307986" w14:textId="77777777" w:rsidR="00B54D51" w:rsidRPr="00037AD4" w:rsidRDefault="00B54D51" w:rsidP="00401C67">
            <w:pPr>
              <w:rPr>
                <w:rFonts w:ascii="Calibri" w:hAnsi="Calibri" w:cs="Calibri"/>
                <w:color w:val="000000"/>
              </w:rPr>
            </w:pPr>
            <w:r w:rsidRPr="00037AD4">
              <w:rPr>
                <w:rFonts w:ascii="Calibri" w:hAnsi="Calibri" w:cs="Calibri"/>
                <w:color w:val="000000"/>
              </w:rPr>
              <w:t>interval]</w:t>
            </w:r>
          </w:p>
        </w:tc>
      </w:tr>
      <w:tr w:rsidR="00B54D51" w:rsidRPr="00037AD4" w14:paraId="415E4579" w14:textId="77777777" w:rsidTr="00401C67">
        <w:trPr>
          <w:trHeight w:val="320"/>
        </w:trPr>
        <w:tc>
          <w:tcPr>
            <w:tcW w:w="0" w:type="auto"/>
            <w:gridSpan w:val="7"/>
            <w:shd w:val="clear" w:color="auto" w:fill="E7E6E6" w:themeFill="background2"/>
            <w:noWrap/>
          </w:tcPr>
          <w:p w14:paraId="1C45EB3D" w14:textId="77777777" w:rsidR="00B54D51" w:rsidRPr="00037AD4" w:rsidRDefault="00B54D51" w:rsidP="00401C67">
            <w:pPr>
              <w:rPr>
                <w:rFonts w:ascii="Calibri" w:hAnsi="Calibri" w:cs="Calibri"/>
                <w:color w:val="000000"/>
              </w:rPr>
            </w:pPr>
            <w:r w:rsidRPr="00037AD4">
              <w:rPr>
                <w:rFonts w:cstheme="minorHAnsi"/>
              </w:rPr>
              <w:t>Predicted Probability of proxy ‘Self-care’ by PwD ‘Self-care’ Level Reports</w:t>
            </w:r>
          </w:p>
        </w:tc>
      </w:tr>
      <w:tr w:rsidR="00B54D51" w:rsidRPr="00037AD4" w14:paraId="7436B034" w14:textId="77777777" w:rsidTr="00401C67">
        <w:trPr>
          <w:trHeight w:val="320"/>
        </w:trPr>
        <w:tc>
          <w:tcPr>
            <w:tcW w:w="0" w:type="auto"/>
            <w:gridSpan w:val="7"/>
            <w:shd w:val="clear" w:color="auto" w:fill="E7E6E6" w:themeFill="background2"/>
            <w:noWrap/>
          </w:tcPr>
          <w:p w14:paraId="589C0347" w14:textId="77777777" w:rsidR="00B54D51" w:rsidRPr="00037AD4" w:rsidRDefault="00B54D51" w:rsidP="00401C67">
            <w:pPr>
              <w:rPr>
                <w:rFonts w:ascii="Calibri" w:hAnsi="Calibri" w:cs="Calibri"/>
                <w:color w:val="000000"/>
              </w:rPr>
            </w:pPr>
            <w:r w:rsidRPr="00037AD4">
              <w:rPr>
                <w:rFonts w:cstheme="minorHAnsi"/>
              </w:rPr>
              <w:t xml:space="preserve">Predicted proxy: level one </w:t>
            </w:r>
          </w:p>
        </w:tc>
      </w:tr>
      <w:tr w:rsidR="00B54D51" w:rsidRPr="00037AD4" w14:paraId="0360B247" w14:textId="77777777" w:rsidTr="00401C67">
        <w:trPr>
          <w:trHeight w:val="320"/>
        </w:trPr>
        <w:tc>
          <w:tcPr>
            <w:tcW w:w="0" w:type="auto"/>
            <w:noWrap/>
            <w:hideMark/>
          </w:tcPr>
          <w:p w14:paraId="7112ACEE" w14:textId="77777777" w:rsidR="00B54D51" w:rsidRPr="00037AD4" w:rsidRDefault="00B54D51" w:rsidP="00401C67">
            <w:pPr>
              <w:rPr>
                <w:rFonts w:ascii="Calibri" w:hAnsi="Calibri" w:cs="Calibri"/>
                <w:color w:val="000000"/>
              </w:rPr>
            </w:pPr>
            <w:r w:rsidRPr="00037AD4">
              <w:rPr>
                <w:rFonts w:cstheme="minorHAnsi"/>
              </w:rPr>
              <w:t xml:space="preserve">From level one PwD </w:t>
            </w:r>
          </w:p>
        </w:tc>
        <w:tc>
          <w:tcPr>
            <w:tcW w:w="0" w:type="auto"/>
            <w:noWrap/>
            <w:hideMark/>
          </w:tcPr>
          <w:p w14:paraId="748111F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0.208</w:t>
            </w:r>
          </w:p>
        </w:tc>
        <w:tc>
          <w:tcPr>
            <w:tcW w:w="0" w:type="auto"/>
            <w:noWrap/>
            <w:hideMark/>
          </w:tcPr>
          <w:p w14:paraId="169BBD3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0.016</w:t>
            </w:r>
          </w:p>
        </w:tc>
        <w:tc>
          <w:tcPr>
            <w:tcW w:w="0" w:type="auto"/>
            <w:noWrap/>
            <w:hideMark/>
          </w:tcPr>
          <w:p w14:paraId="6FB6207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12.800</w:t>
            </w:r>
          </w:p>
        </w:tc>
        <w:tc>
          <w:tcPr>
            <w:tcW w:w="0" w:type="auto"/>
            <w:noWrap/>
            <w:hideMark/>
          </w:tcPr>
          <w:p w14:paraId="39089EB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1ABDCDE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0.177</w:t>
            </w:r>
          </w:p>
        </w:tc>
        <w:tc>
          <w:tcPr>
            <w:tcW w:w="0" w:type="auto"/>
            <w:noWrap/>
            <w:hideMark/>
          </w:tcPr>
          <w:p w14:paraId="7E905D8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0.240</w:t>
            </w:r>
          </w:p>
        </w:tc>
      </w:tr>
      <w:tr w:rsidR="00B54D51" w:rsidRPr="00037AD4" w14:paraId="3934DE8D" w14:textId="77777777" w:rsidTr="00401C67">
        <w:trPr>
          <w:trHeight w:val="320"/>
        </w:trPr>
        <w:tc>
          <w:tcPr>
            <w:tcW w:w="0" w:type="auto"/>
            <w:noWrap/>
            <w:hideMark/>
          </w:tcPr>
          <w:p w14:paraId="2FA4041E" w14:textId="77777777" w:rsidR="00B54D51" w:rsidRPr="00037AD4" w:rsidRDefault="00B54D51" w:rsidP="00401C67">
            <w:pPr>
              <w:rPr>
                <w:rFonts w:ascii="Calibri" w:hAnsi="Calibri" w:cs="Calibri"/>
                <w:color w:val="000000"/>
              </w:rPr>
            </w:pPr>
            <w:r w:rsidRPr="00037AD4">
              <w:rPr>
                <w:rFonts w:cstheme="minorHAnsi"/>
              </w:rPr>
              <w:t xml:space="preserve">From level two PwD </w:t>
            </w:r>
          </w:p>
        </w:tc>
        <w:tc>
          <w:tcPr>
            <w:tcW w:w="0" w:type="auto"/>
            <w:noWrap/>
            <w:hideMark/>
          </w:tcPr>
          <w:p w14:paraId="423EC0D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0.225</w:t>
            </w:r>
          </w:p>
        </w:tc>
        <w:tc>
          <w:tcPr>
            <w:tcW w:w="0" w:type="auto"/>
            <w:noWrap/>
            <w:hideMark/>
          </w:tcPr>
          <w:p w14:paraId="7C7834E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0.026</w:t>
            </w:r>
          </w:p>
        </w:tc>
        <w:tc>
          <w:tcPr>
            <w:tcW w:w="0" w:type="auto"/>
            <w:noWrap/>
            <w:hideMark/>
          </w:tcPr>
          <w:p w14:paraId="2A9211A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8.550</w:t>
            </w:r>
          </w:p>
        </w:tc>
        <w:tc>
          <w:tcPr>
            <w:tcW w:w="0" w:type="auto"/>
            <w:noWrap/>
            <w:hideMark/>
          </w:tcPr>
          <w:p w14:paraId="40BC133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0A397C1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0.174</w:t>
            </w:r>
          </w:p>
        </w:tc>
        <w:tc>
          <w:tcPr>
            <w:tcW w:w="0" w:type="auto"/>
            <w:noWrap/>
            <w:hideMark/>
          </w:tcPr>
          <w:p w14:paraId="5A5991A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0.277</w:t>
            </w:r>
          </w:p>
        </w:tc>
      </w:tr>
      <w:tr w:rsidR="00B54D51" w:rsidRPr="00037AD4" w14:paraId="510230FE" w14:textId="77777777" w:rsidTr="00401C67">
        <w:trPr>
          <w:trHeight w:val="320"/>
        </w:trPr>
        <w:tc>
          <w:tcPr>
            <w:tcW w:w="0" w:type="auto"/>
            <w:noWrap/>
            <w:hideMark/>
          </w:tcPr>
          <w:p w14:paraId="3C4A93E0" w14:textId="77777777" w:rsidR="00B54D51" w:rsidRPr="00037AD4" w:rsidRDefault="00B54D51" w:rsidP="00401C67">
            <w:pPr>
              <w:rPr>
                <w:rFonts w:ascii="Calibri" w:hAnsi="Calibri" w:cs="Calibri"/>
                <w:color w:val="000000"/>
              </w:rPr>
            </w:pPr>
            <w:r w:rsidRPr="00037AD4">
              <w:rPr>
                <w:rFonts w:cstheme="minorHAnsi"/>
              </w:rPr>
              <w:t xml:space="preserve">From level three PwD </w:t>
            </w:r>
          </w:p>
        </w:tc>
        <w:tc>
          <w:tcPr>
            <w:tcW w:w="0" w:type="auto"/>
            <w:noWrap/>
            <w:hideMark/>
          </w:tcPr>
          <w:p w14:paraId="1417CB4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0.146</w:t>
            </w:r>
          </w:p>
        </w:tc>
        <w:tc>
          <w:tcPr>
            <w:tcW w:w="0" w:type="auto"/>
            <w:noWrap/>
            <w:hideMark/>
          </w:tcPr>
          <w:p w14:paraId="6FDD05A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0.022</w:t>
            </w:r>
          </w:p>
        </w:tc>
        <w:tc>
          <w:tcPr>
            <w:tcW w:w="0" w:type="auto"/>
            <w:noWrap/>
            <w:hideMark/>
          </w:tcPr>
          <w:p w14:paraId="0D2FBD3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6.630</w:t>
            </w:r>
          </w:p>
        </w:tc>
        <w:tc>
          <w:tcPr>
            <w:tcW w:w="0" w:type="auto"/>
            <w:noWrap/>
            <w:hideMark/>
          </w:tcPr>
          <w:p w14:paraId="7B7B2BD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3F4CD14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0.103</w:t>
            </w:r>
          </w:p>
        </w:tc>
        <w:tc>
          <w:tcPr>
            <w:tcW w:w="0" w:type="auto"/>
            <w:noWrap/>
            <w:hideMark/>
          </w:tcPr>
          <w:p w14:paraId="0105A7C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0.189</w:t>
            </w:r>
          </w:p>
        </w:tc>
      </w:tr>
      <w:tr w:rsidR="00B54D51" w:rsidRPr="00037AD4" w14:paraId="618F1137" w14:textId="77777777" w:rsidTr="00401C67">
        <w:trPr>
          <w:trHeight w:val="320"/>
        </w:trPr>
        <w:tc>
          <w:tcPr>
            <w:tcW w:w="0" w:type="auto"/>
            <w:noWrap/>
            <w:hideMark/>
          </w:tcPr>
          <w:p w14:paraId="5C1E66DA" w14:textId="77777777" w:rsidR="00B54D51" w:rsidRPr="00037AD4" w:rsidRDefault="00B54D51" w:rsidP="00401C67">
            <w:pPr>
              <w:rPr>
                <w:rFonts w:ascii="Calibri" w:hAnsi="Calibri" w:cs="Calibri"/>
                <w:color w:val="000000"/>
              </w:rPr>
            </w:pPr>
            <w:r w:rsidRPr="00037AD4">
              <w:rPr>
                <w:rFonts w:cstheme="minorHAnsi"/>
              </w:rPr>
              <w:t xml:space="preserve">From level four PwD </w:t>
            </w:r>
          </w:p>
        </w:tc>
        <w:tc>
          <w:tcPr>
            <w:tcW w:w="0" w:type="auto"/>
            <w:noWrap/>
            <w:hideMark/>
          </w:tcPr>
          <w:p w14:paraId="155C91B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0.121</w:t>
            </w:r>
          </w:p>
        </w:tc>
        <w:tc>
          <w:tcPr>
            <w:tcW w:w="0" w:type="auto"/>
            <w:noWrap/>
            <w:hideMark/>
          </w:tcPr>
          <w:p w14:paraId="1B4DD44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0.038</w:t>
            </w:r>
          </w:p>
        </w:tc>
        <w:tc>
          <w:tcPr>
            <w:tcW w:w="0" w:type="auto"/>
            <w:noWrap/>
            <w:hideMark/>
          </w:tcPr>
          <w:p w14:paraId="13D531E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3.210</w:t>
            </w:r>
          </w:p>
        </w:tc>
        <w:tc>
          <w:tcPr>
            <w:tcW w:w="0" w:type="auto"/>
            <w:noWrap/>
            <w:hideMark/>
          </w:tcPr>
          <w:p w14:paraId="74E87F2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c>
          <w:tcPr>
            <w:tcW w:w="0" w:type="auto"/>
            <w:noWrap/>
            <w:hideMark/>
          </w:tcPr>
          <w:p w14:paraId="1661D36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0.047</w:t>
            </w:r>
          </w:p>
        </w:tc>
        <w:tc>
          <w:tcPr>
            <w:tcW w:w="0" w:type="auto"/>
            <w:noWrap/>
            <w:hideMark/>
          </w:tcPr>
          <w:p w14:paraId="41F7FC1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0.195</w:t>
            </w:r>
          </w:p>
        </w:tc>
      </w:tr>
      <w:tr w:rsidR="00B54D51" w:rsidRPr="00037AD4" w14:paraId="7977BF41" w14:textId="77777777" w:rsidTr="00401C67">
        <w:trPr>
          <w:trHeight w:val="320"/>
        </w:trPr>
        <w:tc>
          <w:tcPr>
            <w:tcW w:w="0" w:type="auto"/>
            <w:noWrap/>
            <w:hideMark/>
          </w:tcPr>
          <w:p w14:paraId="4894456B" w14:textId="77777777" w:rsidR="00B54D51" w:rsidRPr="00037AD4" w:rsidRDefault="00B54D51" w:rsidP="00401C67">
            <w:pPr>
              <w:rPr>
                <w:rFonts w:ascii="Calibri" w:hAnsi="Calibri" w:cs="Calibri"/>
                <w:color w:val="000000"/>
              </w:rPr>
            </w:pPr>
            <w:r w:rsidRPr="00037AD4">
              <w:rPr>
                <w:rFonts w:cstheme="minorHAnsi"/>
              </w:rPr>
              <w:t xml:space="preserve">From level five PwD </w:t>
            </w:r>
          </w:p>
        </w:tc>
        <w:tc>
          <w:tcPr>
            <w:tcW w:w="0" w:type="auto"/>
            <w:noWrap/>
            <w:hideMark/>
          </w:tcPr>
          <w:p w14:paraId="7B37FCE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0.095</w:t>
            </w:r>
          </w:p>
        </w:tc>
        <w:tc>
          <w:tcPr>
            <w:tcW w:w="0" w:type="auto"/>
            <w:noWrap/>
            <w:hideMark/>
          </w:tcPr>
          <w:p w14:paraId="2DEEEEE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0.048</w:t>
            </w:r>
          </w:p>
        </w:tc>
        <w:tc>
          <w:tcPr>
            <w:tcW w:w="0" w:type="auto"/>
            <w:noWrap/>
            <w:hideMark/>
          </w:tcPr>
          <w:p w14:paraId="424F256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1.960</w:t>
            </w:r>
          </w:p>
        </w:tc>
        <w:tc>
          <w:tcPr>
            <w:tcW w:w="0" w:type="auto"/>
            <w:noWrap/>
            <w:hideMark/>
          </w:tcPr>
          <w:p w14:paraId="715A96F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0.050</w:t>
            </w:r>
          </w:p>
        </w:tc>
        <w:tc>
          <w:tcPr>
            <w:tcW w:w="0" w:type="auto"/>
            <w:noWrap/>
            <w:hideMark/>
          </w:tcPr>
          <w:p w14:paraId="3B5E649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2F44B24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0.190</w:t>
            </w:r>
          </w:p>
        </w:tc>
      </w:tr>
      <w:tr w:rsidR="00B54D51" w:rsidRPr="00037AD4" w14:paraId="19261374" w14:textId="77777777" w:rsidTr="00401C67">
        <w:trPr>
          <w:trHeight w:val="320"/>
        </w:trPr>
        <w:tc>
          <w:tcPr>
            <w:tcW w:w="0" w:type="auto"/>
            <w:gridSpan w:val="7"/>
            <w:shd w:val="clear" w:color="auto" w:fill="E7E6E6" w:themeFill="background2"/>
            <w:noWrap/>
          </w:tcPr>
          <w:p w14:paraId="01F117AE" w14:textId="77777777" w:rsidR="00B54D51" w:rsidRPr="00037AD4" w:rsidRDefault="00B54D51" w:rsidP="00401C67">
            <w:pPr>
              <w:rPr>
                <w:rFonts w:ascii="Calibri" w:hAnsi="Calibri" w:cs="Calibri"/>
                <w:color w:val="000000"/>
              </w:rPr>
            </w:pPr>
            <w:r w:rsidRPr="00037AD4">
              <w:rPr>
                <w:rFonts w:cstheme="minorHAnsi"/>
              </w:rPr>
              <w:t>Predicted proxy: level two</w:t>
            </w:r>
          </w:p>
        </w:tc>
      </w:tr>
      <w:tr w:rsidR="00B54D51" w:rsidRPr="00037AD4" w14:paraId="7D360D2E" w14:textId="77777777" w:rsidTr="00401C67">
        <w:trPr>
          <w:trHeight w:val="320"/>
        </w:trPr>
        <w:tc>
          <w:tcPr>
            <w:tcW w:w="0" w:type="auto"/>
            <w:noWrap/>
            <w:hideMark/>
          </w:tcPr>
          <w:p w14:paraId="64C5072F" w14:textId="77777777" w:rsidR="00B54D51" w:rsidRPr="00037AD4" w:rsidRDefault="00B54D51" w:rsidP="00401C67">
            <w:pPr>
              <w:rPr>
                <w:rFonts w:ascii="Calibri" w:hAnsi="Calibri" w:cs="Calibri"/>
                <w:color w:val="000000"/>
              </w:rPr>
            </w:pPr>
            <w:r w:rsidRPr="00037AD4">
              <w:rPr>
                <w:rFonts w:cstheme="minorHAnsi"/>
              </w:rPr>
              <w:t xml:space="preserve">From level one PwD </w:t>
            </w:r>
          </w:p>
        </w:tc>
        <w:tc>
          <w:tcPr>
            <w:tcW w:w="0" w:type="auto"/>
            <w:noWrap/>
            <w:hideMark/>
          </w:tcPr>
          <w:p w14:paraId="75B16FD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0.199</w:t>
            </w:r>
          </w:p>
        </w:tc>
        <w:tc>
          <w:tcPr>
            <w:tcW w:w="0" w:type="auto"/>
            <w:noWrap/>
            <w:hideMark/>
          </w:tcPr>
          <w:p w14:paraId="331C55C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0.015</w:t>
            </w:r>
          </w:p>
        </w:tc>
        <w:tc>
          <w:tcPr>
            <w:tcW w:w="0" w:type="auto"/>
            <w:noWrap/>
            <w:hideMark/>
          </w:tcPr>
          <w:p w14:paraId="6114C3C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12.920</w:t>
            </w:r>
          </w:p>
        </w:tc>
        <w:tc>
          <w:tcPr>
            <w:tcW w:w="0" w:type="auto"/>
            <w:noWrap/>
            <w:hideMark/>
          </w:tcPr>
          <w:p w14:paraId="74A7CAD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641D654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0.168</w:t>
            </w:r>
          </w:p>
        </w:tc>
        <w:tc>
          <w:tcPr>
            <w:tcW w:w="0" w:type="auto"/>
            <w:noWrap/>
            <w:hideMark/>
          </w:tcPr>
          <w:p w14:paraId="56C2760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0.229</w:t>
            </w:r>
          </w:p>
        </w:tc>
      </w:tr>
      <w:tr w:rsidR="00B54D51" w:rsidRPr="00037AD4" w14:paraId="2FA3CA4E" w14:textId="77777777" w:rsidTr="00401C67">
        <w:trPr>
          <w:trHeight w:val="320"/>
        </w:trPr>
        <w:tc>
          <w:tcPr>
            <w:tcW w:w="0" w:type="auto"/>
            <w:noWrap/>
            <w:hideMark/>
          </w:tcPr>
          <w:p w14:paraId="1DA4917A" w14:textId="77777777" w:rsidR="00B54D51" w:rsidRPr="00037AD4" w:rsidRDefault="00B54D51" w:rsidP="00401C67">
            <w:pPr>
              <w:rPr>
                <w:rFonts w:ascii="Calibri" w:hAnsi="Calibri" w:cs="Calibri"/>
                <w:color w:val="000000"/>
              </w:rPr>
            </w:pPr>
            <w:r w:rsidRPr="00037AD4">
              <w:rPr>
                <w:rFonts w:cstheme="minorHAnsi"/>
              </w:rPr>
              <w:t xml:space="preserve">From level two PwD </w:t>
            </w:r>
          </w:p>
        </w:tc>
        <w:tc>
          <w:tcPr>
            <w:tcW w:w="0" w:type="auto"/>
            <w:noWrap/>
            <w:hideMark/>
          </w:tcPr>
          <w:p w14:paraId="4D6DC13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0.205</w:t>
            </w:r>
          </w:p>
        </w:tc>
        <w:tc>
          <w:tcPr>
            <w:tcW w:w="0" w:type="auto"/>
            <w:noWrap/>
            <w:hideMark/>
          </w:tcPr>
          <w:p w14:paraId="069A81A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0.018</w:t>
            </w:r>
          </w:p>
        </w:tc>
        <w:tc>
          <w:tcPr>
            <w:tcW w:w="0" w:type="auto"/>
            <w:noWrap/>
            <w:hideMark/>
          </w:tcPr>
          <w:p w14:paraId="706B896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11.630</w:t>
            </w:r>
          </w:p>
        </w:tc>
        <w:tc>
          <w:tcPr>
            <w:tcW w:w="0" w:type="auto"/>
            <w:noWrap/>
            <w:hideMark/>
          </w:tcPr>
          <w:p w14:paraId="688309A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061773B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0.170</w:t>
            </w:r>
          </w:p>
        </w:tc>
        <w:tc>
          <w:tcPr>
            <w:tcW w:w="0" w:type="auto"/>
            <w:noWrap/>
            <w:hideMark/>
          </w:tcPr>
          <w:p w14:paraId="4CBDFD1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0.239</w:t>
            </w:r>
          </w:p>
        </w:tc>
      </w:tr>
      <w:tr w:rsidR="00B54D51" w:rsidRPr="00037AD4" w14:paraId="07189A6C" w14:textId="77777777" w:rsidTr="00401C67">
        <w:trPr>
          <w:trHeight w:val="320"/>
        </w:trPr>
        <w:tc>
          <w:tcPr>
            <w:tcW w:w="0" w:type="auto"/>
            <w:noWrap/>
            <w:hideMark/>
          </w:tcPr>
          <w:p w14:paraId="3994CF7A" w14:textId="77777777" w:rsidR="00B54D51" w:rsidRPr="00037AD4" w:rsidRDefault="00B54D51" w:rsidP="00401C67">
            <w:pPr>
              <w:rPr>
                <w:rFonts w:ascii="Calibri" w:hAnsi="Calibri" w:cs="Calibri"/>
                <w:color w:val="000000"/>
              </w:rPr>
            </w:pPr>
            <w:r w:rsidRPr="00037AD4">
              <w:rPr>
                <w:rFonts w:cstheme="minorHAnsi"/>
              </w:rPr>
              <w:t xml:space="preserve">From level three PwD </w:t>
            </w:r>
          </w:p>
        </w:tc>
        <w:tc>
          <w:tcPr>
            <w:tcW w:w="0" w:type="auto"/>
            <w:noWrap/>
            <w:hideMark/>
          </w:tcPr>
          <w:p w14:paraId="1CE85D8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0.168</w:t>
            </w:r>
          </w:p>
        </w:tc>
        <w:tc>
          <w:tcPr>
            <w:tcW w:w="0" w:type="auto"/>
            <w:noWrap/>
            <w:hideMark/>
          </w:tcPr>
          <w:p w14:paraId="1959C91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0.017</w:t>
            </w:r>
          </w:p>
        </w:tc>
        <w:tc>
          <w:tcPr>
            <w:tcW w:w="0" w:type="auto"/>
            <w:noWrap/>
            <w:hideMark/>
          </w:tcPr>
          <w:p w14:paraId="248402D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9.950</w:t>
            </w:r>
          </w:p>
        </w:tc>
        <w:tc>
          <w:tcPr>
            <w:tcW w:w="0" w:type="auto"/>
            <w:noWrap/>
            <w:hideMark/>
          </w:tcPr>
          <w:p w14:paraId="776D041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2C438D8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0.135</w:t>
            </w:r>
          </w:p>
        </w:tc>
        <w:tc>
          <w:tcPr>
            <w:tcW w:w="0" w:type="auto"/>
            <w:noWrap/>
            <w:hideMark/>
          </w:tcPr>
          <w:p w14:paraId="36982D8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0.201</w:t>
            </w:r>
          </w:p>
        </w:tc>
      </w:tr>
      <w:tr w:rsidR="00B54D51" w:rsidRPr="00037AD4" w14:paraId="719406A6" w14:textId="77777777" w:rsidTr="00401C67">
        <w:trPr>
          <w:trHeight w:val="320"/>
        </w:trPr>
        <w:tc>
          <w:tcPr>
            <w:tcW w:w="0" w:type="auto"/>
            <w:noWrap/>
            <w:hideMark/>
          </w:tcPr>
          <w:p w14:paraId="55E8E20C" w14:textId="77777777" w:rsidR="00B54D51" w:rsidRPr="00037AD4" w:rsidRDefault="00B54D51" w:rsidP="00401C67">
            <w:pPr>
              <w:rPr>
                <w:rFonts w:ascii="Calibri" w:hAnsi="Calibri" w:cs="Calibri"/>
                <w:color w:val="000000"/>
              </w:rPr>
            </w:pPr>
            <w:r w:rsidRPr="00037AD4">
              <w:rPr>
                <w:rFonts w:cstheme="minorHAnsi"/>
              </w:rPr>
              <w:t xml:space="preserve">From level four PwD </w:t>
            </w:r>
          </w:p>
        </w:tc>
        <w:tc>
          <w:tcPr>
            <w:tcW w:w="0" w:type="auto"/>
            <w:noWrap/>
            <w:hideMark/>
          </w:tcPr>
          <w:p w14:paraId="6234C4C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0.152</w:t>
            </w:r>
          </w:p>
        </w:tc>
        <w:tc>
          <w:tcPr>
            <w:tcW w:w="0" w:type="auto"/>
            <w:noWrap/>
            <w:hideMark/>
          </w:tcPr>
          <w:p w14:paraId="1D6D8E5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0.028</w:t>
            </w:r>
          </w:p>
        </w:tc>
        <w:tc>
          <w:tcPr>
            <w:tcW w:w="0" w:type="auto"/>
            <w:noWrap/>
            <w:hideMark/>
          </w:tcPr>
          <w:p w14:paraId="0EF9574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5.460</w:t>
            </w:r>
          </w:p>
        </w:tc>
        <w:tc>
          <w:tcPr>
            <w:tcW w:w="0" w:type="auto"/>
            <w:noWrap/>
            <w:hideMark/>
          </w:tcPr>
          <w:p w14:paraId="0E94F0F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02ED0ED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0.097</w:t>
            </w:r>
          </w:p>
        </w:tc>
        <w:tc>
          <w:tcPr>
            <w:tcW w:w="0" w:type="auto"/>
            <w:noWrap/>
            <w:hideMark/>
          </w:tcPr>
          <w:p w14:paraId="5B5F498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0.206</w:t>
            </w:r>
          </w:p>
        </w:tc>
      </w:tr>
      <w:tr w:rsidR="00B54D51" w:rsidRPr="00037AD4" w14:paraId="3DDEA85E" w14:textId="77777777" w:rsidTr="00401C67">
        <w:trPr>
          <w:trHeight w:val="320"/>
        </w:trPr>
        <w:tc>
          <w:tcPr>
            <w:tcW w:w="0" w:type="auto"/>
            <w:noWrap/>
            <w:hideMark/>
          </w:tcPr>
          <w:p w14:paraId="56CFF9E7" w14:textId="77777777" w:rsidR="00B54D51" w:rsidRPr="00037AD4" w:rsidRDefault="00B54D51" w:rsidP="00401C67">
            <w:pPr>
              <w:rPr>
                <w:rFonts w:ascii="Calibri" w:hAnsi="Calibri" w:cs="Calibri"/>
                <w:color w:val="000000"/>
              </w:rPr>
            </w:pPr>
            <w:r w:rsidRPr="00037AD4">
              <w:rPr>
                <w:rFonts w:cstheme="minorHAnsi"/>
              </w:rPr>
              <w:t xml:space="preserve">From level five PwD </w:t>
            </w:r>
          </w:p>
        </w:tc>
        <w:tc>
          <w:tcPr>
            <w:tcW w:w="0" w:type="auto"/>
            <w:noWrap/>
            <w:hideMark/>
          </w:tcPr>
          <w:p w14:paraId="03B2E67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0.132</w:t>
            </w:r>
          </w:p>
        </w:tc>
        <w:tc>
          <w:tcPr>
            <w:tcW w:w="0" w:type="auto"/>
            <w:noWrap/>
            <w:hideMark/>
          </w:tcPr>
          <w:p w14:paraId="01402B0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0.041</w:t>
            </w:r>
          </w:p>
        </w:tc>
        <w:tc>
          <w:tcPr>
            <w:tcW w:w="0" w:type="auto"/>
            <w:noWrap/>
            <w:hideMark/>
          </w:tcPr>
          <w:p w14:paraId="15BEEC6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3.230</w:t>
            </w:r>
          </w:p>
        </w:tc>
        <w:tc>
          <w:tcPr>
            <w:tcW w:w="0" w:type="auto"/>
            <w:noWrap/>
            <w:hideMark/>
          </w:tcPr>
          <w:p w14:paraId="587F1A5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c>
          <w:tcPr>
            <w:tcW w:w="0" w:type="auto"/>
            <w:noWrap/>
            <w:hideMark/>
          </w:tcPr>
          <w:p w14:paraId="1F23079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0.052</w:t>
            </w:r>
          </w:p>
        </w:tc>
        <w:tc>
          <w:tcPr>
            <w:tcW w:w="0" w:type="auto"/>
            <w:noWrap/>
            <w:hideMark/>
          </w:tcPr>
          <w:p w14:paraId="1DE6E4A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0.212</w:t>
            </w:r>
          </w:p>
        </w:tc>
      </w:tr>
      <w:tr w:rsidR="00B54D51" w:rsidRPr="00037AD4" w14:paraId="43633EA8" w14:textId="77777777" w:rsidTr="00401C67">
        <w:trPr>
          <w:trHeight w:val="320"/>
        </w:trPr>
        <w:tc>
          <w:tcPr>
            <w:tcW w:w="0" w:type="auto"/>
            <w:gridSpan w:val="7"/>
            <w:shd w:val="clear" w:color="auto" w:fill="E7E6E6" w:themeFill="background2"/>
            <w:noWrap/>
          </w:tcPr>
          <w:p w14:paraId="21EE05DA" w14:textId="77777777" w:rsidR="00B54D51" w:rsidRPr="00037AD4" w:rsidRDefault="00B54D51" w:rsidP="00401C67">
            <w:pPr>
              <w:rPr>
                <w:rFonts w:ascii="Calibri" w:hAnsi="Calibri" w:cs="Calibri"/>
                <w:color w:val="000000"/>
              </w:rPr>
            </w:pPr>
            <w:r w:rsidRPr="00037AD4">
              <w:rPr>
                <w:rFonts w:cstheme="minorHAnsi"/>
              </w:rPr>
              <w:t>Predicted proxy: level three</w:t>
            </w:r>
          </w:p>
        </w:tc>
      </w:tr>
      <w:tr w:rsidR="00B54D51" w:rsidRPr="00037AD4" w14:paraId="6F046729" w14:textId="77777777" w:rsidTr="00401C67">
        <w:trPr>
          <w:trHeight w:val="320"/>
        </w:trPr>
        <w:tc>
          <w:tcPr>
            <w:tcW w:w="0" w:type="auto"/>
            <w:noWrap/>
            <w:hideMark/>
          </w:tcPr>
          <w:p w14:paraId="5167914A" w14:textId="77777777" w:rsidR="00B54D51" w:rsidRPr="00037AD4" w:rsidRDefault="00B54D51" w:rsidP="00401C67">
            <w:pPr>
              <w:rPr>
                <w:rFonts w:ascii="Calibri" w:hAnsi="Calibri" w:cs="Calibri"/>
                <w:color w:val="000000"/>
              </w:rPr>
            </w:pPr>
            <w:r w:rsidRPr="00037AD4">
              <w:rPr>
                <w:rFonts w:cstheme="minorHAnsi"/>
              </w:rPr>
              <w:t xml:space="preserve">From level one PwD </w:t>
            </w:r>
          </w:p>
        </w:tc>
        <w:tc>
          <w:tcPr>
            <w:tcW w:w="0" w:type="auto"/>
            <w:noWrap/>
            <w:hideMark/>
          </w:tcPr>
          <w:p w14:paraId="0D3DB10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0.174</w:t>
            </w:r>
          </w:p>
        </w:tc>
        <w:tc>
          <w:tcPr>
            <w:tcW w:w="0" w:type="auto"/>
            <w:noWrap/>
            <w:hideMark/>
          </w:tcPr>
          <w:p w14:paraId="12BE328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0.014</w:t>
            </w:r>
          </w:p>
        </w:tc>
        <w:tc>
          <w:tcPr>
            <w:tcW w:w="0" w:type="auto"/>
            <w:noWrap/>
            <w:hideMark/>
          </w:tcPr>
          <w:p w14:paraId="25A4AFE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12.310</w:t>
            </w:r>
          </w:p>
        </w:tc>
        <w:tc>
          <w:tcPr>
            <w:tcW w:w="0" w:type="auto"/>
            <w:noWrap/>
            <w:hideMark/>
          </w:tcPr>
          <w:p w14:paraId="39FDAC8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53D08EE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0.146</w:t>
            </w:r>
          </w:p>
        </w:tc>
        <w:tc>
          <w:tcPr>
            <w:tcW w:w="0" w:type="auto"/>
            <w:noWrap/>
            <w:hideMark/>
          </w:tcPr>
          <w:p w14:paraId="0308432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0.202</w:t>
            </w:r>
          </w:p>
        </w:tc>
      </w:tr>
      <w:tr w:rsidR="00B54D51" w:rsidRPr="00037AD4" w14:paraId="64A562F1" w14:textId="77777777" w:rsidTr="00401C67">
        <w:trPr>
          <w:trHeight w:val="320"/>
        </w:trPr>
        <w:tc>
          <w:tcPr>
            <w:tcW w:w="0" w:type="auto"/>
            <w:noWrap/>
            <w:hideMark/>
          </w:tcPr>
          <w:p w14:paraId="16F67ABF" w14:textId="77777777" w:rsidR="00B54D51" w:rsidRPr="00037AD4" w:rsidRDefault="00B54D51" w:rsidP="00401C67">
            <w:pPr>
              <w:rPr>
                <w:rFonts w:ascii="Calibri" w:hAnsi="Calibri" w:cs="Calibri"/>
                <w:color w:val="000000"/>
              </w:rPr>
            </w:pPr>
            <w:r w:rsidRPr="00037AD4">
              <w:rPr>
                <w:rFonts w:cstheme="minorHAnsi"/>
              </w:rPr>
              <w:t xml:space="preserve">From level two PwD </w:t>
            </w:r>
          </w:p>
        </w:tc>
        <w:tc>
          <w:tcPr>
            <w:tcW w:w="0" w:type="auto"/>
            <w:noWrap/>
            <w:hideMark/>
          </w:tcPr>
          <w:p w14:paraId="08CFBCB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0.174</w:t>
            </w:r>
          </w:p>
        </w:tc>
        <w:tc>
          <w:tcPr>
            <w:tcW w:w="0" w:type="auto"/>
            <w:noWrap/>
            <w:hideMark/>
          </w:tcPr>
          <w:p w14:paraId="24869AD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0.014</w:t>
            </w:r>
          </w:p>
        </w:tc>
        <w:tc>
          <w:tcPr>
            <w:tcW w:w="0" w:type="auto"/>
            <w:noWrap/>
            <w:hideMark/>
          </w:tcPr>
          <w:p w14:paraId="5AEEB09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12.330</w:t>
            </w:r>
          </w:p>
        </w:tc>
        <w:tc>
          <w:tcPr>
            <w:tcW w:w="0" w:type="auto"/>
            <w:noWrap/>
            <w:hideMark/>
          </w:tcPr>
          <w:p w14:paraId="11FABC6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5B1A597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0.147</w:t>
            </w:r>
          </w:p>
        </w:tc>
        <w:tc>
          <w:tcPr>
            <w:tcW w:w="0" w:type="auto"/>
            <w:noWrap/>
            <w:hideMark/>
          </w:tcPr>
          <w:p w14:paraId="1CE6FDD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0.202</w:t>
            </w:r>
          </w:p>
        </w:tc>
      </w:tr>
      <w:tr w:rsidR="00B54D51" w:rsidRPr="00037AD4" w14:paraId="05DCE442" w14:textId="77777777" w:rsidTr="00401C67">
        <w:trPr>
          <w:trHeight w:val="320"/>
        </w:trPr>
        <w:tc>
          <w:tcPr>
            <w:tcW w:w="0" w:type="auto"/>
            <w:noWrap/>
            <w:hideMark/>
          </w:tcPr>
          <w:p w14:paraId="37D1B415" w14:textId="77777777" w:rsidR="00B54D51" w:rsidRPr="00037AD4" w:rsidRDefault="00B54D51" w:rsidP="00401C67">
            <w:pPr>
              <w:rPr>
                <w:rFonts w:ascii="Calibri" w:hAnsi="Calibri" w:cs="Calibri"/>
                <w:color w:val="000000"/>
              </w:rPr>
            </w:pPr>
            <w:r w:rsidRPr="00037AD4">
              <w:rPr>
                <w:rFonts w:cstheme="minorHAnsi"/>
              </w:rPr>
              <w:lastRenderedPageBreak/>
              <w:t xml:space="preserve">From level three PwD </w:t>
            </w:r>
          </w:p>
        </w:tc>
        <w:tc>
          <w:tcPr>
            <w:tcW w:w="0" w:type="auto"/>
            <w:noWrap/>
            <w:hideMark/>
          </w:tcPr>
          <w:p w14:paraId="02F65F2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0.166</w:t>
            </w:r>
          </w:p>
        </w:tc>
        <w:tc>
          <w:tcPr>
            <w:tcW w:w="0" w:type="auto"/>
            <w:noWrap/>
            <w:hideMark/>
          </w:tcPr>
          <w:p w14:paraId="40AC0BC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0.014</w:t>
            </w:r>
          </w:p>
        </w:tc>
        <w:tc>
          <w:tcPr>
            <w:tcW w:w="0" w:type="auto"/>
            <w:noWrap/>
            <w:hideMark/>
          </w:tcPr>
          <w:p w14:paraId="234C407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12.040</w:t>
            </w:r>
          </w:p>
        </w:tc>
        <w:tc>
          <w:tcPr>
            <w:tcW w:w="0" w:type="auto"/>
            <w:noWrap/>
            <w:hideMark/>
          </w:tcPr>
          <w:p w14:paraId="3F50D83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1B82789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0.139</w:t>
            </w:r>
          </w:p>
        </w:tc>
        <w:tc>
          <w:tcPr>
            <w:tcW w:w="0" w:type="auto"/>
            <w:noWrap/>
            <w:hideMark/>
          </w:tcPr>
          <w:p w14:paraId="7757FEF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0.193</w:t>
            </w:r>
          </w:p>
        </w:tc>
      </w:tr>
      <w:tr w:rsidR="00B54D51" w:rsidRPr="00037AD4" w14:paraId="59A693D1" w14:textId="77777777" w:rsidTr="00401C67">
        <w:trPr>
          <w:trHeight w:val="320"/>
        </w:trPr>
        <w:tc>
          <w:tcPr>
            <w:tcW w:w="0" w:type="auto"/>
            <w:noWrap/>
            <w:hideMark/>
          </w:tcPr>
          <w:p w14:paraId="062D7725" w14:textId="77777777" w:rsidR="00B54D51" w:rsidRPr="00037AD4" w:rsidRDefault="00B54D51" w:rsidP="00401C67">
            <w:pPr>
              <w:rPr>
                <w:rFonts w:ascii="Calibri" w:hAnsi="Calibri" w:cs="Calibri"/>
                <w:color w:val="000000"/>
              </w:rPr>
            </w:pPr>
            <w:r w:rsidRPr="00037AD4">
              <w:rPr>
                <w:rFonts w:cstheme="minorHAnsi"/>
              </w:rPr>
              <w:t xml:space="preserve">From level four PwD </w:t>
            </w:r>
          </w:p>
        </w:tc>
        <w:tc>
          <w:tcPr>
            <w:tcW w:w="0" w:type="auto"/>
            <w:noWrap/>
            <w:hideMark/>
          </w:tcPr>
          <w:p w14:paraId="19407EA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0.159</w:t>
            </w:r>
          </w:p>
        </w:tc>
        <w:tc>
          <w:tcPr>
            <w:tcW w:w="0" w:type="auto"/>
            <w:noWrap/>
            <w:hideMark/>
          </w:tcPr>
          <w:p w14:paraId="5A4715E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0.018</w:t>
            </w:r>
          </w:p>
        </w:tc>
        <w:tc>
          <w:tcPr>
            <w:tcW w:w="0" w:type="auto"/>
            <w:noWrap/>
            <w:hideMark/>
          </w:tcPr>
          <w:p w14:paraId="741FD47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8.640</w:t>
            </w:r>
          </w:p>
        </w:tc>
        <w:tc>
          <w:tcPr>
            <w:tcW w:w="0" w:type="auto"/>
            <w:noWrap/>
            <w:hideMark/>
          </w:tcPr>
          <w:p w14:paraId="0427F1F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0B7A64E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0.123</w:t>
            </w:r>
          </w:p>
        </w:tc>
        <w:tc>
          <w:tcPr>
            <w:tcW w:w="0" w:type="auto"/>
            <w:noWrap/>
            <w:hideMark/>
          </w:tcPr>
          <w:p w14:paraId="717CBE8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0.195</w:t>
            </w:r>
          </w:p>
        </w:tc>
      </w:tr>
      <w:tr w:rsidR="00B54D51" w:rsidRPr="00037AD4" w14:paraId="7FCC20EF" w14:textId="77777777" w:rsidTr="00401C67">
        <w:trPr>
          <w:trHeight w:val="320"/>
        </w:trPr>
        <w:tc>
          <w:tcPr>
            <w:tcW w:w="0" w:type="auto"/>
            <w:noWrap/>
            <w:hideMark/>
          </w:tcPr>
          <w:p w14:paraId="6681911D" w14:textId="77777777" w:rsidR="00B54D51" w:rsidRPr="00037AD4" w:rsidRDefault="00B54D51" w:rsidP="00401C67">
            <w:pPr>
              <w:rPr>
                <w:rFonts w:ascii="Calibri" w:hAnsi="Calibri" w:cs="Calibri"/>
                <w:color w:val="000000"/>
              </w:rPr>
            </w:pPr>
            <w:r w:rsidRPr="00037AD4">
              <w:rPr>
                <w:rFonts w:cstheme="minorHAnsi"/>
              </w:rPr>
              <w:t xml:space="preserve">From level five PwD </w:t>
            </w:r>
          </w:p>
        </w:tc>
        <w:tc>
          <w:tcPr>
            <w:tcW w:w="0" w:type="auto"/>
            <w:noWrap/>
            <w:hideMark/>
          </w:tcPr>
          <w:p w14:paraId="13A8FDB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0.147</w:t>
            </w:r>
          </w:p>
        </w:tc>
        <w:tc>
          <w:tcPr>
            <w:tcW w:w="0" w:type="auto"/>
            <w:noWrap/>
            <w:hideMark/>
          </w:tcPr>
          <w:p w14:paraId="551A632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0.028</w:t>
            </w:r>
          </w:p>
        </w:tc>
        <w:tc>
          <w:tcPr>
            <w:tcW w:w="0" w:type="auto"/>
            <w:noWrap/>
            <w:hideMark/>
          </w:tcPr>
          <w:p w14:paraId="705B54F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5.330</w:t>
            </w:r>
          </w:p>
        </w:tc>
        <w:tc>
          <w:tcPr>
            <w:tcW w:w="0" w:type="auto"/>
            <w:noWrap/>
            <w:hideMark/>
          </w:tcPr>
          <w:p w14:paraId="7AD77A9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3787049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0.093</w:t>
            </w:r>
          </w:p>
        </w:tc>
        <w:tc>
          <w:tcPr>
            <w:tcW w:w="0" w:type="auto"/>
            <w:noWrap/>
            <w:hideMark/>
          </w:tcPr>
          <w:p w14:paraId="51C7F9E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0.202</w:t>
            </w:r>
          </w:p>
        </w:tc>
      </w:tr>
      <w:tr w:rsidR="00B54D51" w:rsidRPr="00037AD4" w14:paraId="24FCF392" w14:textId="77777777" w:rsidTr="00401C67">
        <w:trPr>
          <w:trHeight w:val="320"/>
        </w:trPr>
        <w:tc>
          <w:tcPr>
            <w:tcW w:w="0" w:type="auto"/>
            <w:gridSpan w:val="7"/>
            <w:shd w:val="clear" w:color="auto" w:fill="E7E6E6" w:themeFill="background2"/>
            <w:noWrap/>
          </w:tcPr>
          <w:p w14:paraId="55186C3B" w14:textId="77777777" w:rsidR="00B54D51" w:rsidRPr="00037AD4" w:rsidRDefault="00B54D51" w:rsidP="00401C67">
            <w:pPr>
              <w:rPr>
                <w:rFonts w:ascii="Calibri" w:hAnsi="Calibri" w:cs="Calibri"/>
                <w:color w:val="000000"/>
              </w:rPr>
            </w:pPr>
            <w:r w:rsidRPr="00037AD4">
              <w:rPr>
                <w:rFonts w:cstheme="minorHAnsi"/>
              </w:rPr>
              <w:t>Predicted proxy: level four</w:t>
            </w:r>
          </w:p>
        </w:tc>
      </w:tr>
      <w:tr w:rsidR="00B54D51" w:rsidRPr="00037AD4" w14:paraId="0F207478" w14:textId="77777777" w:rsidTr="00401C67">
        <w:trPr>
          <w:trHeight w:val="320"/>
        </w:trPr>
        <w:tc>
          <w:tcPr>
            <w:tcW w:w="0" w:type="auto"/>
            <w:noWrap/>
            <w:hideMark/>
          </w:tcPr>
          <w:p w14:paraId="1718DD3E" w14:textId="77777777" w:rsidR="00B54D51" w:rsidRPr="00037AD4" w:rsidRDefault="00B54D51" w:rsidP="00401C67">
            <w:pPr>
              <w:rPr>
                <w:rFonts w:ascii="Calibri" w:hAnsi="Calibri" w:cs="Calibri"/>
                <w:color w:val="000000"/>
              </w:rPr>
            </w:pPr>
            <w:r w:rsidRPr="00037AD4">
              <w:rPr>
                <w:rFonts w:cstheme="minorHAnsi"/>
              </w:rPr>
              <w:t xml:space="preserve">From level one PwD </w:t>
            </w:r>
          </w:p>
        </w:tc>
        <w:tc>
          <w:tcPr>
            <w:tcW w:w="0" w:type="auto"/>
            <w:noWrap/>
            <w:hideMark/>
          </w:tcPr>
          <w:p w14:paraId="2FEC45A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0.099</w:t>
            </w:r>
          </w:p>
        </w:tc>
        <w:tc>
          <w:tcPr>
            <w:tcW w:w="0" w:type="auto"/>
            <w:noWrap/>
            <w:hideMark/>
          </w:tcPr>
          <w:p w14:paraId="1638DF0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0.011</w:t>
            </w:r>
          </w:p>
        </w:tc>
        <w:tc>
          <w:tcPr>
            <w:tcW w:w="0" w:type="auto"/>
            <w:noWrap/>
            <w:hideMark/>
          </w:tcPr>
          <w:p w14:paraId="1ECFD9D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8.720</w:t>
            </w:r>
          </w:p>
        </w:tc>
        <w:tc>
          <w:tcPr>
            <w:tcW w:w="0" w:type="auto"/>
            <w:noWrap/>
            <w:hideMark/>
          </w:tcPr>
          <w:p w14:paraId="26E4FAF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397C210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0.076</w:t>
            </w:r>
          </w:p>
        </w:tc>
        <w:tc>
          <w:tcPr>
            <w:tcW w:w="0" w:type="auto"/>
            <w:noWrap/>
            <w:hideMark/>
          </w:tcPr>
          <w:p w14:paraId="6A0CFBB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0.121</w:t>
            </w:r>
          </w:p>
        </w:tc>
      </w:tr>
      <w:tr w:rsidR="00B54D51" w:rsidRPr="00037AD4" w14:paraId="710B9CAF" w14:textId="77777777" w:rsidTr="00401C67">
        <w:trPr>
          <w:trHeight w:val="320"/>
        </w:trPr>
        <w:tc>
          <w:tcPr>
            <w:tcW w:w="0" w:type="auto"/>
            <w:noWrap/>
            <w:hideMark/>
          </w:tcPr>
          <w:p w14:paraId="6B20D7CA" w14:textId="77777777" w:rsidR="00B54D51" w:rsidRPr="00037AD4" w:rsidRDefault="00B54D51" w:rsidP="00401C67">
            <w:pPr>
              <w:rPr>
                <w:rFonts w:ascii="Calibri" w:hAnsi="Calibri" w:cs="Calibri"/>
                <w:color w:val="000000"/>
              </w:rPr>
            </w:pPr>
            <w:r w:rsidRPr="00037AD4">
              <w:rPr>
                <w:rFonts w:cstheme="minorHAnsi"/>
              </w:rPr>
              <w:t xml:space="preserve">From level two PwD </w:t>
            </w:r>
          </w:p>
        </w:tc>
        <w:tc>
          <w:tcPr>
            <w:tcW w:w="0" w:type="auto"/>
            <w:noWrap/>
            <w:hideMark/>
          </w:tcPr>
          <w:p w14:paraId="6603431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0.097</w:t>
            </w:r>
          </w:p>
        </w:tc>
        <w:tc>
          <w:tcPr>
            <w:tcW w:w="0" w:type="auto"/>
            <w:noWrap/>
            <w:hideMark/>
          </w:tcPr>
          <w:p w14:paraId="26309F3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0.011</w:t>
            </w:r>
          </w:p>
        </w:tc>
        <w:tc>
          <w:tcPr>
            <w:tcW w:w="0" w:type="auto"/>
            <w:noWrap/>
            <w:hideMark/>
          </w:tcPr>
          <w:p w14:paraId="3258079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8.510</w:t>
            </w:r>
          </w:p>
        </w:tc>
        <w:tc>
          <w:tcPr>
            <w:tcW w:w="0" w:type="auto"/>
            <w:noWrap/>
            <w:hideMark/>
          </w:tcPr>
          <w:p w14:paraId="7628488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02735BF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0.074</w:t>
            </w:r>
          </w:p>
        </w:tc>
        <w:tc>
          <w:tcPr>
            <w:tcW w:w="0" w:type="auto"/>
            <w:noWrap/>
            <w:hideMark/>
          </w:tcPr>
          <w:p w14:paraId="1E9C664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0.119</w:t>
            </w:r>
          </w:p>
        </w:tc>
      </w:tr>
      <w:tr w:rsidR="00B54D51" w:rsidRPr="00037AD4" w14:paraId="4CA30B6C" w14:textId="77777777" w:rsidTr="00401C67">
        <w:trPr>
          <w:trHeight w:val="320"/>
        </w:trPr>
        <w:tc>
          <w:tcPr>
            <w:tcW w:w="0" w:type="auto"/>
            <w:noWrap/>
            <w:hideMark/>
          </w:tcPr>
          <w:p w14:paraId="6586EAF2" w14:textId="77777777" w:rsidR="00B54D51" w:rsidRPr="00037AD4" w:rsidRDefault="00B54D51" w:rsidP="00401C67">
            <w:pPr>
              <w:rPr>
                <w:rFonts w:ascii="Calibri" w:hAnsi="Calibri" w:cs="Calibri"/>
                <w:color w:val="000000"/>
              </w:rPr>
            </w:pPr>
            <w:r w:rsidRPr="00037AD4">
              <w:rPr>
                <w:rFonts w:cstheme="minorHAnsi"/>
              </w:rPr>
              <w:t xml:space="preserve">From level three PwD </w:t>
            </w:r>
          </w:p>
        </w:tc>
        <w:tc>
          <w:tcPr>
            <w:tcW w:w="0" w:type="auto"/>
            <w:noWrap/>
            <w:hideMark/>
          </w:tcPr>
          <w:p w14:paraId="03F02C0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0.103</w:t>
            </w:r>
          </w:p>
        </w:tc>
        <w:tc>
          <w:tcPr>
            <w:tcW w:w="0" w:type="auto"/>
            <w:noWrap/>
            <w:hideMark/>
          </w:tcPr>
          <w:p w14:paraId="2FD66B9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0.012</w:t>
            </w:r>
          </w:p>
        </w:tc>
        <w:tc>
          <w:tcPr>
            <w:tcW w:w="0" w:type="auto"/>
            <w:noWrap/>
            <w:hideMark/>
          </w:tcPr>
          <w:p w14:paraId="4FE9CE7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8.770</w:t>
            </w:r>
          </w:p>
        </w:tc>
        <w:tc>
          <w:tcPr>
            <w:tcW w:w="0" w:type="auto"/>
            <w:noWrap/>
            <w:hideMark/>
          </w:tcPr>
          <w:p w14:paraId="57A3039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23CEDAC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0.080</w:t>
            </w:r>
          </w:p>
        </w:tc>
        <w:tc>
          <w:tcPr>
            <w:tcW w:w="0" w:type="auto"/>
            <w:noWrap/>
            <w:hideMark/>
          </w:tcPr>
          <w:p w14:paraId="51ABF35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0.126</w:t>
            </w:r>
          </w:p>
        </w:tc>
      </w:tr>
      <w:tr w:rsidR="00B54D51" w:rsidRPr="00037AD4" w14:paraId="75DF05D1" w14:textId="77777777" w:rsidTr="00401C67">
        <w:trPr>
          <w:trHeight w:val="320"/>
        </w:trPr>
        <w:tc>
          <w:tcPr>
            <w:tcW w:w="0" w:type="auto"/>
            <w:noWrap/>
            <w:hideMark/>
          </w:tcPr>
          <w:p w14:paraId="25FA1EA1" w14:textId="77777777" w:rsidR="00B54D51" w:rsidRPr="00037AD4" w:rsidRDefault="00B54D51" w:rsidP="00401C67">
            <w:pPr>
              <w:rPr>
                <w:rFonts w:ascii="Calibri" w:hAnsi="Calibri" w:cs="Calibri"/>
                <w:color w:val="000000"/>
              </w:rPr>
            </w:pPr>
            <w:r w:rsidRPr="00037AD4">
              <w:rPr>
                <w:rFonts w:cstheme="minorHAnsi"/>
              </w:rPr>
              <w:t xml:space="preserve">From level four PwD </w:t>
            </w:r>
          </w:p>
        </w:tc>
        <w:tc>
          <w:tcPr>
            <w:tcW w:w="0" w:type="auto"/>
            <w:noWrap/>
            <w:hideMark/>
          </w:tcPr>
          <w:p w14:paraId="0775CBA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0.102</w:t>
            </w:r>
          </w:p>
        </w:tc>
        <w:tc>
          <w:tcPr>
            <w:tcW w:w="0" w:type="auto"/>
            <w:noWrap/>
            <w:hideMark/>
          </w:tcPr>
          <w:p w14:paraId="4D126BE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0.012</w:t>
            </w:r>
          </w:p>
        </w:tc>
        <w:tc>
          <w:tcPr>
            <w:tcW w:w="0" w:type="auto"/>
            <w:noWrap/>
            <w:hideMark/>
          </w:tcPr>
          <w:p w14:paraId="56C1890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8.690</w:t>
            </w:r>
          </w:p>
        </w:tc>
        <w:tc>
          <w:tcPr>
            <w:tcW w:w="0" w:type="auto"/>
            <w:noWrap/>
            <w:hideMark/>
          </w:tcPr>
          <w:p w14:paraId="59B1C54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13EA0D7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0.079</w:t>
            </w:r>
          </w:p>
        </w:tc>
        <w:tc>
          <w:tcPr>
            <w:tcW w:w="0" w:type="auto"/>
            <w:noWrap/>
            <w:hideMark/>
          </w:tcPr>
          <w:p w14:paraId="1512309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0.126</w:t>
            </w:r>
          </w:p>
        </w:tc>
      </w:tr>
      <w:tr w:rsidR="00B54D51" w:rsidRPr="00037AD4" w14:paraId="4BC32FEC" w14:textId="77777777" w:rsidTr="00401C67">
        <w:trPr>
          <w:trHeight w:val="320"/>
        </w:trPr>
        <w:tc>
          <w:tcPr>
            <w:tcW w:w="0" w:type="auto"/>
            <w:noWrap/>
            <w:hideMark/>
          </w:tcPr>
          <w:p w14:paraId="07EF1186" w14:textId="77777777" w:rsidR="00B54D51" w:rsidRPr="00037AD4" w:rsidRDefault="00B54D51" w:rsidP="00401C67">
            <w:pPr>
              <w:rPr>
                <w:rFonts w:ascii="Calibri" w:hAnsi="Calibri" w:cs="Calibri"/>
                <w:color w:val="000000"/>
              </w:rPr>
            </w:pPr>
            <w:r w:rsidRPr="00037AD4">
              <w:rPr>
                <w:rFonts w:cstheme="minorHAnsi"/>
              </w:rPr>
              <w:t xml:space="preserve">From level five PwD </w:t>
            </w:r>
          </w:p>
        </w:tc>
        <w:tc>
          <w:tcPr>
            <w:tcW w:w="0" w:type="auto"/>
            <w:noWrap/>
            <w:hideMark/>
          </w:tcPr>
          <w:p w14:paraId="797FF90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0.100</w:t>
            </w:r>
          </w:p>
        </w:tc>
        <w:tc>
          <w:tcPr>
            <w:tcW w:w="0" w:type="auto"/>
            <w:noWrap/>
            <w:hideMark/>
          </w:tcPr>
          <w:p w14:paraId="3D824A7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0.013</w:t>
            </w:r>
          </w:p>
        </w:tc>
        <w:tc>
          <w:tcPr>
            <w:tcW w:w="0" w:type="auto"/>
            <w:noWrap/>
            <w:hideMark/>
          </w:tcPr>
          <w:p w14:paraId="4A7013B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7.610</w:t>
            </w:r>
          </w:p>
        </w:tc>
        <w:tc>
          <w:tcPr>
            <w:tcW w:w="0" w:type="auto"/>
            <w:noWrap/>
            <w:hideMark/>
          </w:tcPr>
          <w:p w14:paraId="48B24FA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7BA71F5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0.074</w:t>
            </w:r>
          </w:p>
        </w:tc>
        <w:tc>
          <w:tcPr>
            <w:tcW w:w="0" w:type="auto"/>
            <w:noWrap/>
            <w:hideMark/>
          </w:tcPr>
          <w:p w14:paraId="5569829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0.126</w:t>
            </w:r>
          </w:p>
        </w:tc>
      </w:tr>
      <w:tr w:rsidR="00B54D51" w:rsidRPr="00037AD4" w14:paraId="4A4DE060" w14:textId="77777777" w:rsidTr="00401C67">
        <w:trPr>
          <w:trHeight w:val="320"/>
        </w:trPr>
        <w:tc>
          <w:tcPr>
            <w:tcW w:w="0" w:type="auto"/>
            <w:gridSpan w:val="7"/>
            <w:shd w:val="clear" w:color="auto" w:fill="E7E6E6" w:themeFill="background2"/>
            <w:noWrap/>
          </w:tcPr>
          <w:p w14:paraId="1A124781" w14:textId="77777777" w:rsidR="00B54D51" w:rsidRPr="00037AD4" w:rsidRDefault="00B54D51" w:rsidP="00401C67">
            <w:pPr>
              <w:rPr>
                <w:rFonts w:ascii="Calibri" w:hAnsi="Calibri" w:cs="Calibri"/>
                <w:color w:val="000000"/>
              </w:rPr>
            </w:pPr>
            <w:r w:rsidRPr="00037AD4">
              <w:rPr>
                <w:rFonts w:cstheme="minorHAnsi"/>
              </w:rPr>
              <w:t>Predicted proxy: level five</w:t>
            </w:r>
          </w:p>
        </w:tc>
      </w:tr>
      <w:tr w:rsidR="00B54D51" w:rsidRPr="00037AD4" w14:paraId="71F2F5B2" w14:textId="77777777" w:rsidTr="00401C67">
        <w:trPr>
          <w:trHeight w:val="320"/>
        </w:trPr>
        <w:tc>
          <w:tcPr>
            <w:tcW w:w="0" w:type="auto"/>
            <w:noWrap/>
            <w:hideMark/>
          </w:tcPr>
          <w:p w14:paraId="28A5ABC7" w14:textId="77777777" w:rsidR="00B54D51" w:rsidRPr="00037AD4" w:rsidRDefault="00B54D51" w:rsidP="00401C67">
            <w:pPr>
              <w:rPr>
                <w:rFonts w:ascii="Calibri" w:hAnsi="Calibri" w:cs="Calibri"/>
                <w:color w:val="000000"/>
              </w:rPr>
            </w:pPr>
            <w:r w:rsidRPr="00037AD4">
              <w:rPr>
                <w:rFonts w:cstheme="minorHAnsi"/>
              </w:rPr>
              <w:t xml:space="preserve">From level one PwD </w:t>
            </w:r>
          </w:p>
        </w:tc>
        <w:tc>
          <w:tcPr>
            <w:tcW w:w="0" w:type="auto"/>
            <w:noWrap/>
            <w:hideMark/>
          </w:tcPr>
          <w:p w14:paraId="76BBB02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0.320</w:t>
            </w:r>
          </w:p>
        </w:tc>
        <w:tc>
          <w:tcPr>
            <w:tcW w:w="0" w:type="auto"/>
            <w:noWrap/>
            <w:hideMark/>
          </w:tcPr>
          <w:p w14:paraId="1961D79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0.020</w:t>
            </w:r>
          </w:p>
        </w:tc>
        <w:tc>
          <w:tcPr>
            <w:tcW w:w="0" w:type="auto"/>
            <w:noWrap/>
            <w:hideMark/>
          </w:tcPr>
          <w:p w14:paraId="59983C1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15.690</w:t>
            </w:r>
          </w:p>
        </w:tc>
        <w:tc>
          <w:tcPr>
            <w:tcW w:w="0" w:type="auto"/>
            <w:noWrap/>
            <w:hideMark/>
          </w:tcPr>
          <w:p w14:paraId="4045BA0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4DFDCA6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0.280</w:t>
            </w:r>
          </w:p>
        </w:tc>
        <w:tc>
          <w:tcPr>
            <w:tcW w:w="0" w:type="auto"/>
            <w:noWrap/>
            <w:hideMark/>
          </w:tcPr>
          <w:p w14:paraId="1C4A859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0.360</w:t>
            </w:r>
          </w:p>
        </w:tc>
      </w:tr>
      <w:tr w:rsidR="00B54D51" w:rsidRPr="00037AD4" w14:paraId="6571E005" w14:textId="77777777" w:rsidTr="00401C67">
        <w:trPr>
          <w:trHeight w:val="320"/>
        </w:trPr>
        <w:tc>
          <w:tcPr>
            <w:tcW w:w="0" w:type="auto"/>
            <w:noWrap/>
            <w:hideMark/>
          </w:tcPr>
          <w:p w14:paraId="10C8AEB2" w14:textId="77777777" w:rsidR="00B54D51" w:rsidRPr="00037AD4" w:rsidRDefault="00B54D51" w:rsidP="00401C67">
            <w:pPr>
              <w:rPr>
                <w:rFonts w:ascii="Calibri" w:hAnsi="Calibri" w:cs="Calibri"/>
                <w:color w:val="000000"/>
              </w:rPr>
            </w:pPr>
            <w:r w:rsidRPr="00037AD4">
              <w:rPr>
                <w:rFonts w:cstheme="minorHAnsi"/>
              </w:rPr>
              <w:t xml:space="preserve">From level two PwD </w:t>
            </w:r>
          </w:p>
        </w:tc>
        <w:tc>
          <w:tcPr>
            <w:tcW w:w="0" w:type="auto"/>
            <w:noWrap/>
            <w:hideMark/>
          </w:tcPr>
          <w:p w14:paraId="7DE28E0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0.299</w:t>
            </w:r>
          </w:p>
        </w:tc>
        <w:tc>
          <w:tcPr>
            <w:tcW w:w="0" w:type="auto"/>
            <w:noWrap/>
            <w:hideMark/>
          </w:tcPr>
          <w:p w14:paraId="777042B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0.032</w:t>
            </w:r>
          </w:p>
        </w:tc>
        <w:tc>
          <w:tcPr>
            <w:tcW w:w="0" w:type="auto"/>
            <w:noWrap/>
            <w:hideMark/>
          </w:tcPr>
          <w:p w14:paraId="28BC571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9.220</w:t>
            </w:r>
          </w:p>
        </w:tc>
        <w:tc>
          <w:tcPr>
            <w:tcW w:w="0" w:type="auto"/>
            <w:noWrap/>
            <w:hideMark/>
          </w:tcPr>
          <w:p w14:paraId="5C66343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57EE35E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0.235</w:t>
            </w:r>
          </w:p>
        </w:tc>
        <w:tc>
          <w:tcPr>
            <w:tcW w:w="0" w:type="auto"/>
            <w:noWrap/>
            <w:hideMark/>
          </w:tcPr>
          <w:p w14:paraId="689634B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0.362</w:t>
            </w:r>
          </w:p>
        </w:tc>
      </w:tr>
      <w:tr w:rsidR="00B54D51" w:rsidRPr="00037AD4" w14:paraId="226A5DBB" w14:textId="77777777" w:rsidTr="00401C67">
        <w:trPr>
          <w:trHeight w:val="320"/>
        </w:trPr>
        <w:tc>
          <w:tcPr>
            <w:tcW w:w="0" w:type="auto"/>
            <w:noWrap/>
            <w:hideMark/>
          </w:tcPr>
          <w:p w14:paraId="5CAC03D8" w14:textId="77777777" w:rsidR="00B54D51" w:rsidRPr="00037AD4" w:rsidRDefault="00B54D51" w:rsidP="00401C67">
            <w:pPr>
              <w:rPr>
                <w:rFonts w:ascii="Calibri" w:hAnsi="Calibri" w:cs="Calibri"/>
                <w:color w:val="000000"/>
              </w:rPr>
            </w:pPr>
            <w:r w:rsidRPr="00037AD4">
              <w:rPr>
                <w:rFonts w:cstheme="minorHAnsi"/>
              </w:rPr>
              <w:t xml:space="preserve">From level three PwD </w:t>
            </w:r>
          </w:p>
        </w:tc>
        <w:tc>
          <w:tcPr>
            <w:tcW w:w="0" w:type="auto"/>
            <w:noWrap/>
            <w:hideMark/>
          </w:tcPr>
          <w:p w14:paraId="4E1C621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0.417</w:t>
            </w:r>
          </w:p>
        </w:tc>
        <w:tc>
          <w:tcPr>
            <w:tcW w:w="0" w:type="auto"/>
            <w:noWrap/>
            <w:hideMark/>
          </w:tcPr>
          <w:p w14:paraId="31ECDAE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0.037</w:t>
            </w:r>
          </w:p>
        </w:tc>
        <w:tc>
          <w:tcPr>
            <w:tcW w:w="0" w:type="auto"/>
            <w:noWrap/>
            <w:hideMark/>
          </w:tcPr>
          <w:p w14:paraId="6696F77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11.330</w:t>
            </w:r>
          </w:p>
        </w:tc>
        <w:tc>
          <w:tcPr>
            <w:tcW w:w="0" w:type="auto"/>
            <w:noWrap/>
            <w:hideMark/>
          </w:tcPr>
          <w:p w14:paraId="48A0230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426D00D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0.345</w:t>
            </w:r>
          </w:p>
        </w:tc>
        <w:tc>
          <w:tcPr>
            <w:tcW w:w="0" w:type="auto"/>
            <w:noWrap/>
            <w:hideMark/>
          </w:tcPr>
          <w:p w14:paraId="6AC4FEA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0.489</w:t>
            </w:r>
          </w:p>
        </w:tc>
      </w:tr>
      <w:tr w:rsidR="00B54D51" w:rsidRPr="00037AD4" w14:paraId="6E8F148C" w14:textId="77777777" w:rsidTr="00401C67">
        <w:trPr>
          <w:trHeight w:val="320"/>
        </w:trPr>
        <w:tc>
          <w:tcPr>
            <w:tcW w:w="0" w:type="auto"/>
            <w:noWrap/>
            <w:hideMark/>
          </w:tcPr>
          <w:p w14:paraId="659A9B95" w14:textId="77777777" w:rsidR="00B54D51" w:rsidRPr="00037AD4" w:rsidRDefault="00B54D51" w:rsidP="00401C67">
            <w:pPr>
              <w:rPr>
                <w:rFonts w:ascii="Calibri" w:hAnsi="Calibri" w:cs="Calibri"/>
                <w:color w:val="000000"/>
              </w:rPr>
            </w:pPr>
            <w:r w:rsidRPr="00037AD4">
              <w:rPr>
                <w:rFonts w:cstheme="minorHAnsi"/>
              </w:rPr>
              <w:t xml:space="preserve">From level four PwD </w:t>
            </w:r>
          </w:p>
        </w:tc>
        <w:tc>
          <w:tcPr>
            <w:tcW w:w="0" w:type="auto"/>
            <w:noWrap/>
            <w:hideMark/>
          </w:tcPr>
          <w:p w14:paraId="774F9C5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0.466</w:t>
            </w:r>
          </w:p>
        </w:tc>
        <w:tc>
          <w:tcPr>
            <w:tcW w:w="0" w:type="auto"/>
            <w:noWrap/>
            <w:hideMark/>
          </w:tcPr>
          <w:p w14:paraId="442E719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0.078</w:t>
            </w:r>
          </w:p>
        </w:tc>
        <w:tc>
          <w:tcPr>
            <w:tcW w:w="0" w:type="auto"/>
            <w:noWrap/>
            <w:hideMark/>
          </w:tcPr>
          <w:p w14:paraId="44C813D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5.990</w:t>
            </w:r>
          </w:p>
        </w:tc>
        <w:tc>
          <w:tcPr>
            <w:tcW w:w="0" w:type="auto"/>
            <w:noWrap/>
            <w:hideMark/>
          </w:tcPr>
          <w:p w14:paraId="4AAE914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260806A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0.313</w:t>
            </w:r>
          </w:p>
        </w:tc>
        <w:tc>
          <w:tcPr>
            <w:tcW w:w="0" w:type="auto"/>
            <w:noWrap/>
            <w:hideMark/>
          </w:tcPr>
          <w:p w14:paraId="1CF4989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0.618</w:t>
            </w:r>
          </w:p>
        </w:tc>
      </w:tr>
      <w:tr w:rsidR="00B54D51" w:rsidRPr="00037AD4" w14:paraId="35865A82" w14:textId="77777777" w:rsidTr="00401C67">
        <w:trPr>
          <w:trHeight w:val="320"/>
        </w:trPr>
        <w:tc>
          <w:tcPr>
            <w:tcW w:w="0" w:type="auto"/>
            <w:noWrap/>
            <w:hideMark/>
          </w:tcPr>
          <w:p w14:paraId="02143F71" w14:textId="77777777" w:rsidR="00B54D51" w:rsidRPr="00037AD4" w:rsidRDefault="00B54D51" w:rsidP="00401C67">
            <w:pPr>
              <w:rPr>
                <w:rFonts w:ascii="Calibri" w:hAnsi="Calibri" w:cs="Calibri"/>
                <w:color w:val="000000"/>
              </w:rPr>
            </w:pPr>
            <w:r w:rsidRPr="00037AD4">
              <w:rPr>
                <w:rFonts w:cstheme="minorHAnsi"/>
              </w:rPr>
              <w:t xml:space="preserve">From level five PwD </w:t>
            </w:r>
          </w:p>
        </w:tc>
        <w:tc>
          <w:tcPr>
            <w:tcW w:w="0" w:type="auto"/>
            <w:noWrap/>
            <w:hideMark/>
          </w:tcPr>
          <w:p w14:paraId="5DD279D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0.526</w:t>
            </w:r>
          </w:p>
        </w:tc>
        <w:tc>
          <w:tcPr>
            <w:tcW w:w="0" w:type="auto"/>
            <w:noWrap/>
            <w:hideMark/>
          </w:tcPr>
          <w:p w14:paraId="6E98F1E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0.119</w:t>
            </w:r>
          </w:p>
        </w:tc>
        <w:tc>
          <w:tcPr>
            <w:tcW w:w="0" w:type="auto"/>
            <w:noWrap/>
            <w:hideMark/>
          </w:tcPr>
          <w:p w14:paraId="7C849EE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4.410</w:t>
            </w:r>
          </w:p>
        </w:tc>
        <w:tc>
          <w:tcPr>
            <w:tcW w:w="0" w:type="auto"/>
            <w:noWrap/>
            <w:hideMark/>
          </w:tcPr>
          <w:p w14:paraId="06D1E7E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3DBA61D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0.292</w:t>
            </w:r>
          </w:p>
        </w:tc>
        <w:tc>
          <w:tcPr>
            <w:tcW w:w="0" w:type="auto"/>
            <w:noWrap/>
            <w:hideMark/>
          </w:tcPr>
          <w:p w14:paraId="3248FFB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0.760</w:t>
            </w:r>
          </w:p>
        </w:tc>
      </w:tr>
    </w:tbl>
    <w:p w14:paraId="7E4AF6F4" w14:textId="77777777" w:rsidR="00B54D51" w:rsidRPr="00037AD4" w:rsidRDefault="00B54D51" w:rsidP="001D7ACE">
      <w:pPr>
        <w:rPr>
          <w:color w:val="000000" w:themeColor="text1"/>
          <w:u w:val="single"/>
        </w:rPr>
      </w:pPr>
      <w:r w:rsidRPr="00037AD4">
        <w:rPr>
          <w:color w:val="000000" w:themeColor="text1"/>
          <w:u w:val="single"/>
        </w:rPr>
        <w:t xml:space="preserve"> </w:t>
      </w:r>
    </w:p>
    <w:p w14:paraId="1CF0E4A8" w14:textId="77777777" w:rsidR="00B54D51" w:rsidRPr="00037AD4" w:rsidRDefault="00B54D51" w:rsidP="001D7ACE">
      <w:pPr>
        <w:rPr>
          <w:rFonts w:asciiTheme="minorHAnsi" w:hAnsiTheme="minorHAnsi" w:cstheme="minorHAnsi"/>
          <w:color w:val="000000" w:themeColor="text1"/>
          <w:u w:val="single"/>
        </w:rPr>
      </w:pPr>
      <w:bookmarkStart w:id="544" w:name="A63UA"/>
      <w:r w:rsidRPr="00037AD4">
        <w:rPr>
          <w:rFonts w:asciiTheme="minorHAnsi" w:hAnsiTheme="minorHAnsi" w:cstheme="minorHAnsi"/>
          <w:color w:val="000000" w:themeColor="text1"/>
          <w:u w:val="single"/>
        </w:rPr>
        <w:t>Table A6.3i, Usual activities dimension average marginal effects: ACTIFCARE</w:t>
      </w:r>
      <w:bookmarkEnd w:id="544"/>
    </w:p>
    <w:p w14:paraId="6080B7CD" w14:textId="77777777" w:rsidR="00B54D51" w:rsidRPr="00037AD4" w:rsidRDefault="00B54D51" w:rsidP="001D7ACE">
      <w:pPr>
        <w:rPr>
          <w:u w:val="single"/>
        </w:rPr>
      </w:pPr>
    </w:p>
    <w:tbl>
      <w:tblPr>
        <w:tblStyle w:val="TableGridLight"/>
        <w:tblW w:w="9016" w:type="dxa"/>
        <w:tblLook w:val="04A0" w:firstRow="1" w:lastRow="0" w:firstColumn="1" w:lastColumn="0" w:noHBand="0" w:noVBand="1"/>
      </w:tblPr>
      <w:tblGrid>
        <w:gridCol w:w="1492"/>
        <w:gridCol w:w="1839"/>
        <w:gridCol w:w="1137"/>
        <w:gridCol w:w="1137"/>
        <w:gridCol w:w="1137"/>
        <w:gridCol w:w="1137"/>
        <w:gridCol w:w="1137"/>
      </w:tblGrid>
      <w:tr w:rsidR="00B54D51" w:rsidRPr="00037AD4" w14:paraId="75E4D2AF" w14:textId="77777777" w:rsidTr="00401C67">
        <w:trPr>
          <w:trHeight w:val="320"/>
        </w:trPr>
        <w:tc>
          <w:tcPr>
            <w:tcW w:w="1492" w:type="dxa"/>
            <w:noWrap/>
            <w:hideMark/>
          </w:tcPr>
          <w:p w14:paraId="45182B35" w14:textId="77777777" w:rsidR="00B54D51" w:rsidRPr="00037AD4" w:rsidRDefault="00B54D51" w:rsidP="00401C67">
            <w:pPr>
              <w:rPr>
                <w:sz w:val="20"/>
                <w:szCs w:val="20"/>
              </w:rPr>
            </w:pPr>
          </w:p>
        </w:tc>
        <w:tc>
          <w:tcPr>
            <w:tcW w:w="1839" w:type="dxa"/>
            <w:noWrap/>
            <w:hideMark/>
          </w:tcPr>
          <w:p w14:paraId="4B3E7422"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dy/dx   </w:t>
            </w:r>
          </w:p>
        </w:tc>
        <w:tc>
          <w:tcPr>
            <w:tcW w:w="1137" w:type="dxa"/>
          </w:tcPr>
          <w:p w14:paraId="35FA1B10" w14:textId="77777777" w:rsidR="00B54D51" w:rsidRPr="00037AD4" w:rsidRDefault="00B54D51" w:rsidP="00401C67">
            <w:pPr>
              <w:rPr>
                <w:rFonts w:ascii="Calibri" w:hAnsi="Calibri" w:cs="Calibri"/>
                <w:color w:val="000000"/>
              </w:rPr>
            </w:pPr>
            <w:r w:rsidRPr="00037AD4">
              <w:rPr>
                <w:rFonts w:ascii="Calibri" w:hAnsi="Calibri" w:cs="Calibri"/>
                <w:color w:val="000000"/>
              </w:rPr>
              <w:t>std. err.</w:t>
            </w:r>
          </w:p>
        </w:tc>
        <w:tc>
          <w:tcPr>
            <w:tcW w:w="1137" w:type="dxa"/>
            <w:noWrap/>
            <w:hideMark/>
          </w:tcPr>
          <w:p w14:paraId="56ECFF11" w14:textId="77777777" w:rsidR="00B54D51" w:rsidRPr="00037AD4" w:rsidRDefault="00B54D51" w:rsidP="00401C67">
            <w:pPr>
              <w:jc w:val="center"/>
              <w:rPr>
                <w:rFonts w:ascii="Calibri" w:hAnsi="Calibri" w:cs="Calibri"/>
                <w:color w:val="000000"/>
              </w:rPr>
            </w:pPr>
            <w:r w:rsidRPr="00037AD4">
              <w:rPr>
                <w:rFonts w:ascii="Calibri" w:hAnsi="Calibri" w:cs="Calibri"/>
                <w:color w:val="000000"/>
              </w:rPr>
              <w:t>Z</w:t>
            </w:r>
          </w:p>
        </w:tc>
        <w:tc>
          <w:tcPr>
            <w:tcW w:w="1137" w:type="dxa"/>
            <w:noWrap/>
            <w:hideMark/>
          </w:tcPr>
          <w:p w14:paraId="5D02093D" w14:textId="77777777" w:rsidR="00B54D51" w:rsidRPr="00037AD4" w:rsidRDefault="00B54D51" w:rsidP="00401C67">
            <w:pPr>
              <w:rPr>
                <w:rFonts w:ascii="Calibri" w:hAnsi="Calibri" w:cs="Calibri"/>
                <w:color w:val="000000"/>
              </w:rPr>
            </w:pPr>
            <w:r w:rsidRPr="00037AD4">
              <w:rPr>
                <w:rFonts w:ascii="Calibri" w:hAnsi="Calibri" w:cs="Calibri"/>
                <w:color w:val="000000"/>
              </w:rPr>
              <w:t>P&gt;z</w:t>
            </w:r>
          </w:p>
        </w:tc>
        <w:tc>
          <w:tcPr>
            <w:tcW w:w="2274" w:type="dxa"/>
            <w:gridSpan w:val="2"/>
            <w:noWrap/>
            <w:hideMark/>
          </w:tcPr>
          <w:p w14:paraId="32294FBD" w14:textId="77777777" w:rsidR="00B54D51" w:rsidRPr="00037AD4" w:rsidRDefault="00B54D51" w:rsidP="00401C67">
            <w:pPr>
              <w:rPr>
                <w:rFonts w:ascii="Calibri" w:hAnsi="Calibri" w:cs="Calibri"/>
                <w:color w:val="000000"/>
              </w:rPr>
            </w:pPr>
            <w:r w:rsidRPr="00037AD4">
              <w:rPr>
                <w:rFonts w:ascii="Calibri" w:hAnsi="Calibri" w:cs="Calibri"/>
                <w:color w:val="000000"/>
              </w:rPr>
              <w:t>95% conf. interval</w:t>
            </w:r>
          </w:p>
        </w:tc>
      </w:tr>
      <w:tr w:rsidR="00B54D51" w:rsidRPr="00037AD4" w14:paraId="7700CD24" w14:textId="77777777" w:rsidTr="00401C67">
        <w:trPr>
          <w:trHeight w:val="320"/>
        </w:trPr>
        <w:tc>
          <w:tcPr>
            <w:tcW w:w="9016" w:type="dxa"/>
            <w:gridSpan w:val="7"/>
            <w:shd w:val="clear" w:color="auto" w:fill="F2F2F2" w:themeFill="background1" w:themeFillShade="F2"/>
            <w:noWrap/>
            <w:hideMark/>
          </w:tcPr>
          <w:p w14:paraId="66737949" w14:textId="77777777" w:rsidR="00B54D51" w:rsidRPr="00037AD4" w:rsidRDefault="00B54D51" w:rsidP="00401C67">
            <w:pPr>
              <w:rPr>
                <w:rFonts w:ascii="Calibri" w:hAnsi="Calibri" w:cs="Calibri"/>
                <w:color w:val="000000"/>
              </w:rPr>
            </w:pPr>
            <w:r w:rsidRPr="00037AD4">
              <w:rPr>
                <w:rFonts w:ascii="Calibri" w:hAnsi="Calibri" w:cs="Calibri"/>
                <w:color w:val="000000"/>
              </w:rPr>
              <w:t>PwD usual activities level 1 (= base outcome)</w:t>
            </w:r>
          </w:p>
        </w:tc>
      </w:tr>
      <w:tr w:rsidR="00B54D51" w:rsidRPr="00037AD4" w14:paraId="26F1D424" w14:textId="77777777" w:rsidTr="00401C67">
        <w:trPr>
          <w:trHeight w:val="320"/>
        </w:trPr>
        <w:tc>
          <w:tcPr>
            <w:tcW w:w="9016" w:type="dxa"/>
            <w:gridSpan w:val="7"/>
            <w:shd w:val="clear" w:color="auto" w:fill="F2F2F2" w:themeFill="background1" w:themeFillShade="F2"/>
            <w:noWrap/>
            <w:hideMark/>
          </w:tcPr>
          <w:p w14:paraId="74CAE64B" w14:textId="77777777" w:rsidR="00B54D51" w:rsidRPr="00037AD4" w:rsidRDefault="00B54D51" w:rsidP="00401C67">
            <w:pPr>
              <w:rPr>
                <w:sz w:val="20"/>
                <w:szCs w:val="20"/>
              </w:rPr>
            </w:pPr>
            <w:r w:rsidRPr="00037AD4">
              <w:rPr>
                <w:rFonts w:ascii="Calibri" w:hAnsi="Calibri" w:cs="Calibri"/>
                <w:color w:val="000000"/>
              </w:rPr>
              <w:t>PwD usual activities level 2, predict:</w:t>
            </w:r>
          </w:p>
        </w:tc>
      </w:tr>
      <w:tr w:rsidR="00B54D51" w:rsidRPr="00037AD4" w14:paraId="12C252BE" w14:textId="77777777" w:rsidTr="00401C67">
        <w:trPr>
          <w:trHeight w:val="320"/>
        </w:trPr>
        <w:tc>
          <w:tcPr>
            <w:tcW w:w="1492" w:type="dxa"/>
            <w:noWrap/>
            <w:hideMark/>
          </w:tcPr>
          <w:p w14:paraId="26643D8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w:t>
            </w:r>
          </w:p>
        </w:tc>
        <w:tc>
          <w:tcPr>
            <w:tcW w:w="1839" w:type="dxa"/>
            <w:noWrap/>
            <w:hideMark/>
          </w:tcPr>
          <w:p w14:paraId="6E990C5A"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-.082 </w:t>
            </w:r>
          </w:p>
        </w:tc>
        <w:tc>
          <w:tcPr>
            <w:tcW w:w="1137" w:type="dxa"/>
          </w:tcPr>
          <w:p w14:paraId="007BCE4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.022</w:t>
            </w:r>
          </w:p>
        </w:tc>
        <w:tc>
          <w:tcPr>
            <w:tcW w:w="1137" w:type="dxa"/>
            <w:noWrap/>
            <w:hideMark/>
          </w:tcPr>
          <w:p w14:paraId="28A493A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-3.66</w:t>
            </w:r>
          </w:p>
        </w:tc>
        <w:tc>
          <w:tcPr>
            <w:tcW w:w="1137" w:type="dxa"/>
            <w:noWrap/>
            <w:hideMark/>
          </w:tcPr>
          <w:p w14:paraId="4CC1CAD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w:t>
            </w:r>
          </w:p>
        </w:tc>
        <w:tc>
          <w:tcPr>
            <w:tcW w:w="1137" w:type="dxa"/>
            <w:noWrap/>
            <w:hideMark/>
          </w:tcPr>
          <w:p w14:paraId="419020B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-0.126</w:t>
            </w:r>
          </w:p>
        </w:tc>
        <w:tc>
          <w:tcPr>
            <w:tcW w:w="1137" w:type="dxa"/>
            <w:noWrap/>
            <w:hideMark/>
          </w:tcPr>
          <w:p w14:paraId="5143027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-0.038</w:t>
            </w:r>
          </w:p>
        </w:tc>
      </w:tr>
      <w:tr w:rsidR="00B54D51" w:rsidRPr="00037AD4" w14:paraId="295637BB" w14:textId="77777777" w:rsidTr="00401C67">
        <w:trPr>
          <w:trHeight w:val="320"/>
        </w:trPr>
        <w:tc>
          <w:tcPr>
            <w:tcW w:w="1492" w:type="dxa"/>
            <w:noWrap/>
            <w:hideMark/>
          </w:tcPr>
          <w:p w14:paraId="43ED0FC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w:t>
            </w:r>
          </w:p>
        </w:tc>
        <w:tc>
          <w:tcPr>
            <w:tcW w:w="1839" w:type="dxa"/>
            <w:noWrap/>
            <w:hideMark/>
          </w:tcPr>
          <w:p w14:paraId="78821296"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-.024   </w:t>
            </w:r>
          </w:p>
        </w:tc>
        <w:tc>
          <w:tcPr>
            <w:tcW w:w="1137" w:type="dxa"/>
          </w:tcPr>
          <w:p w14:paraId="310FFC8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.008</w:t>
            </w:r>
          </w:p>
        </w:tc>
        <w:tc>
          <w:tcPr>
            <w:tcW w:w="1137" w:type="dxa"/>
            <w:noWrap/>
            <w:hideMark/>
          </w:tcPr>
          <w:p w14:paraId="4D57A09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-2.97</w:t>
            </w:r>
          </w:p>
        </w:tc>
        <w:tc>
          <w:tcPr>
            <w:tcW w:w="1137" w:type="dxa"/>
            <w:noWrap/>
            <w:hideMark/>
          </w:tcPr>
          <w:p w14:paraId="35B8504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0.003</w:t>
            </w:r>
          </w:p>
        </w:tc>
        <w:tc>
          <w:tcPr>
            <w:tcW w:w="1137" w:type="dxa"/>
            <w:noWrap/>
            <w:hideMark/>
          </w:tcPr>
          <w:p w14:paraId="7AED10C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-0.040</w:t>
            </w:r>
          </w:p>
        </w:tc>
        <w:tc>
          <w:tcPr>
            <w:tcW w:w="1137" w:type="dxa"/>
            <w:noWrap/>
            <w:hideMark/>
          </w:tcPr>
          <w:p w14:paraId="73A8AF3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-0.008</w:t>
            </w:r>
          </w:p>
        </w:tc>
      </w:tr>
      <w:tr w:rsidR="00B54D51" w:rsidRPr="00037AD4" w14:paraId="7B6F35A7" w14:textId="77777777" w:rsidTr="00401C67">
        <w:trPr>
          <w:trHeight w:val="320"/>
        </w:trPr>
        <w:tc>
          <w:tcPr>
            <w:tcW w:w="1492" w:type="dxa"/>
            <w:noWrap/>
            <w:hideMark/>
          </w:tcPr>
          <w:p w14:paraId="6BA4D2A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w:t>
            </w:r>
          </w:p>
        </w:tc>
        <w:tc>
          <w:tcPr>
            <w:tcW w:w="1839" w:type="dxa"/>
            <w:noWrap/>
            <w:hideMark/>
          </w:tcPr>
          <w:p w14:paraId="2D333D92"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.028   </w:t>
            </w:r>
          </w:p>
        </w:tc>
        <w:tc>
          <w:tcPr>
            <w:tcW w:w="1137" w:type="dxa"/>
          </w:tcPr>
          <w:p w14:paraId="21CDD44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.008</w:t>
            </w:r>
          </w:p>
        </w:tc>
        <w:tc>
          <w:tcPr>
            <w:tcW w:w="1137" w:type="dxa"/>
            <w:noWrap/>
            <w:hideMark/>
          </w:tcPr>
          <w:p w14:paraId="70561B4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3.62</w:t>
            </w:r>
          </w:p>
        </w:tc>
        <w:tc>
          <w:tcPr>
            <w:tcW w:w="1137" w:type="dxa"/>
            <w:noWrap/>
            <w:hideMark/>
          </w:tcPr>
          <w:p w14:paraId="32628C4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w:t>
            </w:r>
          </w:p>
        </w:tc>
        <w:tc>
          <w:tcPr>
            <w:tcW w:w="1137" w:type="dxa"/>
            <w:noWrap/>
            <w:hideMark/>
          </w:tcPr>
          <w:p w14:paraId="09AC4CE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0.013</w:t>
            </w:r>
          </w:p>
        </w:tc>
        <w:tc>
          <w:tcPr>
            <w:tcW w:w="1137" w:type="dxa"/>
            <w:noWrap/>
            <w:hideMark/>
          </w:tcPr>
          <w:p w14:paraId="320EC38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0.044</w:t>
            </w:r>
          </w:p>
        </w:tc>
      </w:tr>
      <w:tr w:rsidR="00B54D51" w:rsidRPr="00037AD4" w14:paraId="1855E659" w14:textId="77777777" w:rsidTr="00401C67">
        <w:trPr>
          <w:trHeight w:val="320"/>
        </w:trPr>
        <w:tc>
          <w:tcPr>
            <w:tcW w:w="1492" w:type="dxa"/>
            <w:noWrap/>
            <w:hideMark/>
          </w:tcPr>
          <w:p w14:paraId="746A494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w:t>
            </w:r>
          </w:p>
        </w:tc>
        <w:tc>
          <w:tcPr>
            <w:tcW w:w="1839" w:type="dxa"/>
            <w:noWrap/>
            <w:hideMark/>
          </w:tcPr>
          <w:p w14:paraId="2C8AA561"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.050   </w:t>
            </w:r>
          </w:p>
        </w:tc>
        <w:tc>
          <w:tcPr>
            <w:tcW w:w="1137" w:type="dxa"/>
          </w:tcPr>
          <w:p w14:paraId="5DF739B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.015</w:t>
            </w:r>
          </w:p>
        </w:tc>
        <w:tc>
          <w:tcPr>
            <w:tcW w:w="1137" w:type="dxa"/>
            <w:noWrap/>
            <w:hideMark/>
          </w:tcPr>
          <w:p w14:paraId="706D827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3.35</w:t>
            </w:r>
          </w:p>
        </w:tc>
        <w:tc>
          <w:tcPr>
            <w:tcW w:w="1137" w:type="dxa"/>
            <w:noWrap/>
            <w:hideMark/>
          </w:tcPr>
          <w:p w14:paraId="3432BB1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c>
          <w:tcPr>
            <w:tcW w:w="1137" w:type="dxa"/>
            <w:noWrap/>
            <w:hideMark/>
          </w:tcPr>
          <w:p w14:paraId="193F38B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0.021</w:t>
            </w:r>
          </w:p>
        </w:tc>
        <w:tc>
          <w:tcPr>
            <w:tcW w:w="1137" w:type="dxa"/>
            <w:noWrap/>
            <w:hideMark/>
          </w:tcPr>
          <w:p w14:paraId="296EBD0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0.080</w:t>
            </w:r>
          </w:p>
        </w:tc>
      </w:tr>
      <w:tr w:rsidR="00B54D51" w:rsidRPr="00037AD4" w14:paraId="49DE8928" w14:textId="77777777" w:rsidTr="00401C67">
        <w:trPr>
          <w:trHeight w:val="320"/>
        </w:trPr>
        <w:tc>
          <w:tcPr>
            <w:tcW w:w="1492" w:type="dxa"/>
            <w:noWrap/>
            <w:hideMark/>
          </w:tcPr>
          <w:p w14:paraId="3272980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5</w:t>
            </w:r>
          </w:p>
        </w:tc>
        <w:tc>
          <w:tcPr>
            <w:tcW w:w="1839" w:type="dxa"/>
            <w:noWrap/>
            <w:hideMark/>
          </w:tcPr>
          <w:p w14:paraId="713F517B"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.028   </w:t>
            </w:r>
          </w:p>
        </w:tc>
        <w:tc>
          <w:tcPr>
            <w:tcW w:w="1137" w:type="dxa"/>
          </w:tcPr>
          <w:p w14:paraId="2525CF1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.009</w:t>
            </w:r>
          </w:p>
        </w:tc>
        <w:tc>
          <w:tcPr>
            <w:tcW w:w="1137" w:type="dxa"/>
            <w:noWrap/>
            <w:hideMark/>
          </w:tcPr>
          <w:p w14:paraId="3685DB4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3.04</w:t>
            </w:r>
          </w:p>
        </w:tc>
        <w:tc>
          <w:tcPr>
            <w:tcW w:w="1137" w:type="dxa"/>
            <w:noWrap/>
            <w:hideMark/>
          </w:tcPr>
          <w:p w14:paraId="48390DC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0.002</w:t>
            </w:r>
          </w:p>
        </w:tc>
        <w:tc>
          <w:tcPr>
            <w:tcW w:w="1137" w:type="dxa"/>
            <w:noWrap/>
            <w:hideMark/>
          </w:tcPr>
          <w:p w14:paraId="4FD34C5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0.010</w:t>
            </w:r>
          </w:p>
        </w:tc>
        <w:tc>
          <w:tcPr>
            <w:tcW w:w="1137" w:type="dxa"/>
            <w:noWrap/>
            <w:hideMark/>
          </w:tcPr>
          <w:p w14:paraId="78254BE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0.046</w:t>
            </w:r>
          </w:p>
        </w:tc>
      </w:tr>
      <w:tr w:rsidR="00B54D51" w:rsidRPr="00037AD4" w14:paraId="3DF0A20C" w14:textId="77777777" w:rsidTr="00401C67">
        <w:trPr>
          <w:trHeight w:val="320"/>
        </w:trPr>
        <w:tc>
          <w:tcPr>
            <w:tcW w:w="9016" w:type="dxa"/>
            <w:gridSpan w:val="7"/>
            <w:shd w:val="clear" w:color="auto" w:fill="F2F2F2" w:themeFill="background1" w:themeFillShade="F2"/>
            <w:noWrap/>
            <w:hideMark/>
          </w:tcPr>
          <w:p w14:paraId="79409713" w14:textId="77777777" w:rsidR="00B54D51" w:rsidRPr="00037AD4" w:rsidRDefault="00B54D51" w:rsidP="00401C67">
            <w:pPr>
              <w:rPr>
                <w:sz w:val="20"/>
                <w:szCs w:val="20"/>
              </w:rPr>
            </w:pPr>
            <w:r w:rsidRPr="00037AD4">
              <w:rPr>
                <w:rFonts w:ascii="Calibri" w:hAnsi="Calibri" w:cs="Calibri"/>
                <w:color w:val="000000"/>
              </w:rPr>
              <w:t>PwD usual activities level 3, predict:</w:t>
            </w:r>
          </w:p>
        </w:tc>
      </w:tr>
      <w:tr w:rsidR="00B54D51" w:rsidRPr="00037AD4" w14:paraId="71B73FDD" w14:textId="77777777" w:rsidTr="00401C67">
        <w:trPr>
          <w:trHeight w:val="320"/>
        </w:trPr>
        <w:tc>
          <w:tcPr>
            <w:tcW w:w="1492" w:type="dxa"/>
            <w:noWrap/>
            <w:hideMark/>
          </w:tcPr>
          <w:p w14:paraId="538580C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w:t>
            </w:r>
          </w:p>
        </w:tc>
        <w:tc>
          <w:tcPr>
            <w:tcW w:w="1839" w:type="dxa"/>
            <w:noWrap/>
            <w:hideMark/>
          </w:tcPr>
          <w:p w14:paraId="43AAF52A"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-.129  </w:t>
            </w:r>
          </w:p>
        </w:tc>
        <w:tc>
          <w:tcPr>
            <w:tcW w:w="1137" w:type="dxa"/>
          </w:tcPr>
          <w:p w14:paraId="108C2B0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.024</w:t>
            </w:r>
          </w:p>
        </w:tc>
        <w:tc>
          <w:tcPr>
            <w:tcW w:w="1137" w:type="dxa"/>
            <w:noWrap/>
            <w:hideMark/>
          </w:tcPr>
          <w:p w14:paraId="6C5C163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-5.38</w:t>
            </w:r>
          </w:p>
        </w:tc>
        <w:tc>
          <w:tcPr>
            <w:tcW w:w="1137" w:type="dxa"/>
            <w:noWrap/>
            <w:hideMark/>
          </w:tcPr>
          <w:p w14:paraId="23CD384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w:t>
            </w:r>
          </w:p>
        </w:tc>
        <w:tc>
          <w:tcPr>
            <w:tcW w:w="1137" w:type="dxa"/>
            <w:noWrap/>
            <w:hideMark/>
          </w:tcPr>
          <w:p w14:paraId="12F52F8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-0.176</w:t>
            </w:r>
          </w:p>
        </w:tc>
        <w:tc>
          <w:tcPr>
            <w:tcW w:w="1137" w:type="dxa"/>
            <w:noWrap/>
            <w:hideMark/>
          </w:tcPr>
          <w:p w14:paraId="632DDE5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-0.082</w:t>
            </w:r>
          </w:p>
        </w:tc>
      </w:tr>
      <w:tr w:rsidR="00B54D51" w:rsidRPr="00037AD4" w14:paraId="624BA1BE" w14:textId="77777777" w:rsidTr="00401C67">
        <w:trPr>
          <w:trHeight w:val="320"/>
        </w:trPr>
        <w:tc>
          <w:tcPr>
            <w:tcW w:w="1492" w:type="dxa"/>
            <w:noWrap/>
            <w:hideMark/>
          </w:tcPr>
          <w:p w14:paraId="1E19EB1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w:t>
            </w:r>
          </w:p>
        </w:tc>
        <w:tc>
          <w:tcPr>
            <w:tcW w:w="1839" w:type="dxa"/>
            <w:noWrap/>
            <w:hideMark/>
          </w:tcPr>
          <w:p w14:paraId="635C70C0"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-.049   </w:t>
            </w:r>
          </w:p>
        </w:tc>
        <w:tc>
          <w:tcPr>
            <w:tcW w:w="1137" w:type="dxa"/>
          </w:tcPr>
          <w:p w14:paraId="6C5E53B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.013</w:t>
            </w:r>
          </w:p>
        </w:tc>
        <w:tc>
          <w:tcPr>
            <w:tcW w:w="1137" w:type="dxa"/>
            <w:noWrap/>
            <w:hideMark/>
          </w:tcPr>
          <w:p w14:paraId="79BE3E6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-3.64</w:t>
            </w:r>
          </w:p>
        </w:tc>
        <w:tc>
          <w:tcPr>
            <w:tcW w:w="1137" w:type="dxa"/>
            <w:noWrap/>
            <w:hideMark/>
          </w:tcPr>
          <w:p w14:paraId="126D457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w:t>
            </w:r>
          </w:p>
        </w:tc>
        <w:tc>
          <w:tcPr>
            <w:tcW w:w="1137" w:type="dxa"/>
            <w:noWrap/>
            <w:hideMark/>
          </w:tcPr>
          <w:p w14:paraId="050FDCA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-0.075</w:t>
            </w:r>
          </w:p>
        </w:tc>
        <w:tc>
          <w:tcPr>
            <w:tcW w:w="1137" w:type="dxa"/>
            <w:noWrap/>
            <w:hideMark/>
          </w:tcPr>
          <w:p w14:paraId="4C90990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-0.022</w:t>
            </w:r>
          </w:p>
        </w:tc>
      </w:tr>
      <w:tr w:rsidR="00B54D51" w:rsidRPr="00037AD4" w14:paraId="6C7BA58B" w14:textId="77777777" w:rsidTr="00401C67">
        <w:trPr>
          <w:trHeight w:val="320"/>
        </w:trPr>
        <w:tc>
          <w:tcPr>
            <w:tcW w:w="1492" w:type="dxa"/>
            <w:noWrap/>
            <w:hideMark/>
          </w:tcPr>
          <w:p w14:paraId="0A88EE1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w:t>
            </w:r>
          </w:p>
        </w:tc>
        <w:tc>
          <w:tcPr>
            <w:tcW w:w="1839" w:type="dxa"/>
            <w:noWrap/>
            <w:hideMark/>
          </w:tcPr>
          <w:p w14:paraId="42218ED7"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.037   </w:t>
            </w:r>
          </w:p>
        </w:tc>
        <w:tc>
          <w:tcPr>
            <w:tcW w:w="1137" w:type="dxa"/>
          </w:tcPr>
          <w:p w14:paraId="1C719C5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.008</w:t>
            </w:r>
          </w:p>
        </w:tc>
        <w:tc>
          <w:tcPr>
            <w:tcW w:w="1137" w:type="dxa"/>
            <w:noWrap/>
            <w:hideMark/>
          </w:tcPr>
          <w:p w14:paraId="4D8734A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4.86</w:t>
            </w:r>
          </w:p>
        </w:tc>
        <w:tc>
          <w:tcPr>
            <w:tcW w:w="1137" w:type="dxa"/>
            <w:noWrap/>
            <w:hideMark/>
          </w:tcPr>
          <w:p w14:paraId="56FAF6D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w:t>
            </w:r>
          </w:p>
        </w:tc>
        <w:tc>
          <w:tcPr>
            <w:tcW w:w="1137" w:type="dxa"/>
            <w:noWrap/>
            <w:hideMark/>
          </w:tcPr>
          <w:p w14:paraId="74DC03E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0.022</w:t>
            </w:r>
          </w:p>
        </w:tc>
        <w:tc>
          <w:tcPr>
            <w:tcW w:w="1137" w:type="dxa"/>
            <w:noWrap/>
            <w:hideMark/>
          </w:tcPr>
          <w:p w14:paraId="378E631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0.052</w:t>
            </w:r>
          </w:p>
        </w:tc>
      </w:tr>
      <w:tr w:rsidR="00B54D51" w:rsidRPr="00037AD4" w14:paraId="25EE10B3" w14:textId="77777777" w:rsidTr="00401C67">
        <w:trPr>
          <w:trHeight w:val="320"/>
        </w:trPr>
        <w:tc>
          <w:tcPr>
            <w:tcW w:w="1492" w:type="dxa"/>
            <w:noWrap/>
            <w:hideMark/>
          </w:tcPr>
          <w:p w14:paraId="5E8AB6F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w:t>
            </w:r>
          </w:p>
        </w:tc>
        <w:tc>
          <w:tcPr>
            <w:tcW w:w="1839" w:type="dxa"/>
            <w:noWrap/>
            <w:hideMark/>
          </w:tcPr>
          <w:p w14:paraId="0A98EF54"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.086   </w:t>
            </w:r>
          </w:p>
        </w:tc>
        <w:tc>
          <w:tcPr>
            <w:tcW w:w="1137" w:type="dxa"/>
          </w:tcPr>
          <w:p w14:paraId="282230B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.020</w:t>
            </w:r>
          </w:p>
        </w:tc>
        <w:tc>
          <w:tcPr>
            <w:tcW w:w="1137" w:type="dxa"/>
            <w:noWrap/>
            <w:hideMark/>
          </w:tcPr>
          <w:p w14:paraId="42B30BE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4.37</w:t>
            </w:r>
          </w:p>
        </w:tc>
        <w:tc>
          <w:tcPr>
            <w:tcW w:w="1137" w:type="dxa"/>
            <w:noWrap/>
            <w:hideMark/>
          </w:tcPr>
          <w:p w14:paraId="69DD9F8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w:t>
            </w:r>
          </w:p>
        </w:tc>
        <w:tc>
          <w:tcPr>
            <w:tcW w:w="1137" w:type="dxa"/>
            <w:noWrap/>
            <w:hideMark/>
          </w:tcPr>
          <w:p w14:paraId="763EA1E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0.047</w:t>
            </w:r>
          </w:p>
        </w:tc>
        <w:tc>
          <w:tcPr>
            <w:tcW w:w="1137" w:type="dxa"/>
            <w:noWrap/>
            <w:hideMark/>
          </w:tcPr>
          <w:p w14:paraId="5BD56E1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0.124</w:t>
            </w:r>
          </w:p>
        </w:tc>
      </w:tr>
      <w:tr w:rsidR="00B54D51" w:rsidRPr="00037AD4" w14:paraId="2E24549E" w14:textId="77777777" w:rsidTr="00401C67">
        <w:trPr>
          <w:trHeight w:val="320"/>
        </w:trPr>
        <w:tc>
          <w:tcPr>
            <w:tcW w:w="1492" w:type="dxa"/>
            <w:noWrap/>
            <w:hideMark/>
          </w:tcPr>
          <w:p w14:paraId="3903656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5</w:t>
            </w:r>
          </w:p>
        </w:tc>
        <w:tc>
          <w:tcPr>
            <w:tcW w:w="1839" w:type="dxa"/>
            <w:noWrap/>
            <w:hideMark/>
          </w:tcPr>
          <w:p w14:paraId="52566ACC"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.055   </w:t>
            </w:r>
          </w:p>
        </w:tc>
        <w:tc>
          <w:tcPr>
            <w:tcW w:w="1137" w:type="dxa"/>
          </w:tcPr>
          <w:p w14:paraId="584C056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.014</w:t>
            </w:r>
          </w:p>
        </w:tc>
        <w:tc>
          <w:tcPr>
            <w:tcW w:w="1137" w:type="dxa"/>
            <w:noWrap/>
            <w:hideMark/>
          </w:tcPr>
          <w:p w14:paraId="77780C7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3.91</w:t>
            </w:r>
          </w:p>
        </w:tc>
        <w:tc>
          <w:tcPr>
            <w:tcW w:w="1137" w:type="dxa"/>
            <w:noWrap/>
            <w:hideMark/>
          </w:tcPr>
          <w:p w14:paraId="53833F7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w:t>
            </w:r>
          </w:p>
        </w:tc>
        <w:tc>
          <w:tcPr>
            <w:tcW w:w="1137" w:type="dxa"/>
            <w:noWrap/>
            <w:hideMark/>
          </w:tcPr>
          <w:p w14:paraId="6D25C8F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0.027</w:t>
            </w:r>
          </w:p>
        </w:tc>
        <w:tc>
          <w:tcPr>
            <w:tcW w:w="1137" w:type="dxa"/>
            <w:noWrap/>
            <w:hideMark/>
          </w:tcPr>
          <w:p w14:paraId="5D9B695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0.082</w:t>
            </w:r>
          </w:p>
        </w:tc>
      </w:tr>
      <w:tr w:rsidR="00B54D51" w:rsidRPr="00037AD4" w14:paraId="1B119ECB" w14:textId="77777777" w:rsidTr="00401C67">
        <w:trPr>
          <w:trHeight w:val="320"/>
        </w:trPr>
        <w:tc>
          <w:tcPr>
            <w:tcW w:w="9016" w:type="dxa"/>
            <w:gridSpan w:val="7"/>
            <w:shd w:val="clear" w:color="auto" w:fill="F2F2F2" w:themeFill="background1" w:themeFillShade="F2"/>
            <w:noWrap/>
            <w:hideMark/>
          </w:tcPr>
          <w:p w14:paraId="42CF0578" w14:textId="77777777" w:rsidR="00B54D51" w:rsidRPr="00037AD4" w:rsidRDefault="00B54D51" w:rsidP="00401C67">
            <w:pPr>
              <w:rPr>
                <w:sz w:val="20"/>
                <w:szCs w:val="20"/>
              </w:rPr>
            </w:pPr>
            <w:r w:rsidRPr="00037AD4">
              <w:rPr>
                <w:rFonts w:ascii="Calibri" w:hAnsi="Calibri" w:cs="Calibri"/>
                <w:color w:val="000000"/>
              </w:rPr>
              <w:t>PwD usual activities level 4, predict:</w:t>
            </w:r>
          </w:p>
        </w:tc>
      </w:tr>
      <w:tr w:rsidR="00B54D51" w:rsidRPr="00037AD4" w14:paraId="712588DA" w14:textId="77777777" w:rsidTr="00401C67">
        <w:trPr>
          <w:trHeight w:val="320"/>
        </w:trPr>
        <w:tc>
          <w:tcPr>
            <w:tcW w:w="1492" w:type="dxa"/>
            <w:noWrap/>
            <w:hideMark/>
          </w:tcPr>
          <w:p w14:paraId="0E058F3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w:t>
            </w:r>
          </w:p>
        </w:tc>
        <w:tc>
          <w:tcPr>
            <w:tcW w:w="1839" w:type="dxa"/>
            <w:noWrap/>
            <w:hideMark/>
          </w:tcPr>
          <w:p w14:paraId="0652FC2F"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-.204   </w:t>
            </w:r>
          </w:p>
        </w:tc>
        <w:tc>
          <w:tcPr>
            <w:tcW w:w="1137" w:type="dxa"/>
          </w:tcPr>
          <w:p w14:paraId="38A13F1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.026</w:t>
            </w:r>
          </w:p>
        </w:tc>
        <w:tc>
          <w:tcPr>
            <w:tcW w:w="1137" w:type="dxa"/>
            <w:noWrap/>
            <w:hideMark/>
          </w:tcPr>
          <w:p w14:paraId="1CFE08A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-7.88</w:t>
            </w:r>
          </w:p>
        </w:tc>
        <w:tc>
          <w:tcPr>
            <w:tcW w:w="1137" w:type="dxa"/>
            <w:noWrap/>
            <w:hideMark/>
          </w:tcPr>
          <w:p w14:paraId="589FE54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w:t>
            </w:r>
          </w:p>
        </w:tc>
        <w:tc>
          <w:tcPr>
            <w:tcW w:w="1137" w:type="dxa"/>
            <w:noWrap/>
            <w:hideMark/>
          </w:tcPr>
          <w:p w14:paraId="092CE95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-0.255</w:t>
            </w:r>
          </w:p>
        </w:tc>
        <w:tc>
          <w:tcPr>
            <w:tcW w:w="1137" w:type="dxa"/>
            <w:noWrap/>
            <w:hideMark/>
          </w:tcPr>
          <w:p w14:paraId="1B002F5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-0.154</w:t>
            </w:r>
          </w:p>
        </w:tc>
      </w:tr>
      <w:tr w:rsidR="00B54D51" w:rsidRPr="00037AD4" w14:paraId="36EDF314" w14:textId="77777777" w:rsidTr="00401C67">
        <w:trPr>
          <w:trHeight w:val="320"/>
        </w:trPr>
        <w:tc>
          <w:tcPr>
            <w:tcW w:w="1492" w:type="dxa"/>
            <w:noWrap/>
            <w:hideMark/>
          </w:tcPr>
          <w:p w14:paraId="4800086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w:t>
            </w:r>
          </w:p>
        </w:tc>
        <w:tc>
          <w:tcPr>
            <w:tcW w:w="1839" w:type="dxa"/>
            <w:noWrap/>
            <w:hideMark/>
          </w:tcPr>
          <w:p w14:paraId="444E74BD"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-.116    </w:t>
            </w:r>
          </w:p>
        </w:tc>
        <w:tc>
          <w:tcPr>
            <w:tcW w:w="1137" w:type="dxa"/>
          </w:tcPr>
          <w:p w14:paraId="10E1480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.028</w:t>
            </w:r>
          </w:p>
        </w:tc>
        <w:tc>
          <w:tcPr>
            <w:tcW w:w="1137" w:type="dxa"/>
            <w:noWrap/>
            <w:hideMark/>
          </w:tcPr>
          <w:p w14:paraId="2D953EC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-4.09</w:t>
            </w:r>
          </w:p>
        </w:tc>
        <w:tc>
          <w:tcPr>
            <w:tcW w:w="1137" w:type="dxa"/>
            <w:noWrap/>
            <w:hideMark/>
          </w:tcPr>
          <w:p w14:paraId="519683B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w:t>
            </w:r>
          </w:p>
        </w:tc>
        <w:tc>
          <w:tcPr>
            <w:tcW w:w="1137" w:type="dxa"/>
            <w:noWrap/>
            <w:hideMark/>
          </w:tcPr>
          <w:p w14:paraId="1648673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-0.172</w:t>
            </w:r>
          </w:p>
        </w:tc>
        <w:tc>
          <w:tcPr>
            <w:tcW w:w="1137" w:type="dxa"/>
            <w:noWrap/>
            <w:hideMark/>
          </w:tcPr>
          <w:p w14:paraId="72AB768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-0.060</w:t>
            </w:r>
          </w:p>
        </w:tc>
      </w:tr>
      <w:tr w:rsidR="00B54D51" w:rsidRPr="00037AD4" w14:paraId="4A014FB1" w14:textId="77777777" w:rsidTr="00401C67">
        <w:trPr>
          <w:trHeight w:val="320"/>
        </w:trPr>
        <w:tc>
          <w:tcPr>
            <w:tcW w:w="1492" w:type="dxa"/>
            <w:noWrap/>
            <w:hideMark/>
          </w:tcPr>
          <w:p w14:paraId="6193135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w:t>
            </w:r>
          </w:p>
        </w:tc>
        <w:tc>
          <w:tcPr>
            <w:tcW w:w="1839" w:type="dxa"/>
            <w:noWrap/>
            <w:hideMark/>
          </w:tcPr>
          <w:p w14:paraId="625AD377"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.021   </w:t>
            </w:r>
          </w:p>
        </w:tc>
        <w:tc>
          <w:tcPr>
            <w:tcW w:w="1137" w:type="dxa"/>
          </w:tcPr>
          <w:p w14:paraId="516F5FA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.016</w:t>
            </w:r>
          </w:p>
        </w:tc>
        <w:tc>
          <w:tcPr>
            <w:tcW w:w="1137" w:type="dxa"/>
            <w:noWrap/>
            <w:hideMark/>
          </w:tcPr>
          <w:p w14:paraId="38B5B1A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1.33</w:t>
            </w:r>
          </w:p>
        </w:tc>
        <w:tc>
          <w:tcPr>
            <w:tcW w:w="1137" w:type="dxa"/>
            <w:noWrap/>
            <w:hideMark/>
          </w:tcPr>
          <w:p w14:paraId="2D6D5D0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0.184</w:t>
            </w:r>
          </w:p>
        </w:tc>
        <w:tc>
          <w:tcPr>
            <w:tcW w:w="1137" w:type="dxa"/>
            <w:noWrap/>
            <w:hideMark/>
          </w:tcPr>
          <w:p w14:paraId="579613E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-0.010</w:t>
            </w:r>
          </w:p>
        </w:tc>
        <w:tc>
          <w:tcPr>
            <w:tcW w:w="1137" w:type="dxa"/>
            <w:noWrap/>
            <w:hideMark/>
          </w:tcPr>
          <w:p w14:paraId="338680A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0.053</w:t>
            </w:r>
          </w:p>
        </w:tc>
      </w:tr>
      <w:tr w:rsidR="00B54D51" w:rsidRPr="00037AD4" w14:paraId="44E8D04A" w14:textId="77777777" w:rsidTr="00401C67">
        <w:trPr>
          <w:trHeight w:val="320"/>
        </w:trPr>
        <w:tc>
          <w:tcPr>
            <w:tcW w:w="1492" w:type="dxa"/>
            <w:noWrap/>
            <w:hideMark/>
          </w:tcPr>
          <w:p w14:paraId="2F5B23C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w:t>
            </w:r>
          </w:p>
        </w:tc>
        <w:tc>
          <w:tcPr>
            <w:tcW w:w="1839" w:type="dxa"/>
            <w:noWrap/>
            <w:hideMark/>
          </w:tcPr>
          <w:p w14:paraId="5678410A"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.156   </w:t>
            </w:r>
          </w:p>
        </w:tc>
        <w:tc>
          <w:tcPr>
            <w:tcW w:w="1137" w:type="dxa"/>
          </w:tcPr>
          <w:p w14:paraId="5E63FBD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.030</w:t>
            </w:r>
          </w:p>
        </w:tc>
        <w:tc>
          <w:tcPr>
            <w:tcW w:w="1137" w:type="dxa"/>
            <w:noWrap/>
            <w:hideMark/>
          </w:tcPr>
          <w:p w14:paraId="3CC2485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5.27</w:t>
            </w:r>
          </w:p>
        </w:tc>
        <w:tc>
          <w:tcPr>
            <w:tcW w:w="1137" w:type="dxa"/>
            <w:noWrap/>
            <w:hideMark/>
          </w:tcPr>
          <w:p w14:paraId="045D2F0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w:t>
            </w:r>
          </w:p>
        </w:tc>
        <w:tc>
          <w:tcPr>
            <w:tcW w:w="1137" w:type="dxa"/>
            <w:noWrap/>
            <w:hideMark/>
          </w:tcPr>
          <w:p w14:paraId="05E1229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0.098</w:t>
            </w:r>
          </w:p>
        </w:tc>
        <w:tc>
          <w:tcPr>
            <w:tcW w:w="1137" w:type="dxa"/>
            <w:noWrap/>
            <w:hideMark/>
          </w:tcPr>
          <w:p w14:paraId="28F7C90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0.214</w:t>
            </w:r>
          </w:p>
        </w:tc>
      </w:tr>
      <w:tr w:rsidR="00B54D51" w:rsidRPr="00037AD4" w14:paraId="622CCD6C" w14:textId="77777777" w:rsidTr="00401C67">
        <w:trPr>
          <w:trHeight w:val="320"/>
        </w:trPr>
        <w:tc>
          <w:tcPr>
            <w:tcW w:w="1492" w:type="dxa"/>
            <w:noWrap/>
            <w:hideMark/>
          </w:tcPr>
          <w:p w14:paraId="328B752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5</w:t>
            </w:r>
          </w:p>
        </w:tc>
        <w:tc>
          <w:tcPr>
            <w:tcW w:w="1839" w:type="dxa"/>
            <w:noWrap/>
            <w:hideMark/>
          </w:tcPr>
          <w:p w14:paraId="2B1B5ECC"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.143   </w:t>
            </w:r>
          </w:p>
        </w:tc>
        <w:tc>
          <w:tcPr>
            <w:tcW w:w="1137" w:type="dxa"/>
          </w:tcPr>
          <w:p w14:paraId="54107FF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.038</w:t>
            </w:r>
          </w:p>
        </w:tc>
        <w:tc>
          <w:tcPr>
            <w:tcW w:w="1137" w:type="dxa"/>
            <w:noWrap/>
            <w:hideMark/>
          </w:tcPr>
          <w:p w14:paraId="180A07F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3.76</w:t>
            </w:r>
          </w:p>
        </w:tc>
        <w:tc>
          <w:tcPr>
            <w:tcW w:w="1137" w:type="dxa"/>
            <w:noWrap/>
            <w:hideMark/>
          </w:tcPr>
          <w:p w14:paraId="53E145E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w:t>
            </w:r>
          </w:p>
        </w:tc>
        <w:tc>
          <w:tcPr>
            <w:tcW w:w="1137" w:type="dxa"/>
            <w:noWrap/>
            <w:hideMark/>
          </w:tcPr>
          <w:p w14:paraId="0443BCB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0.069</w:t>
            </w:r>
          </w:p>
        </w:tc>
        <w:tc>
          <w:tcPr>
            <w:tcW w:w="1137" w:type="dxa"/>
            <w:noWrap/>
            <w:hideMark/>
          </w:tcPr>
          <w:p w14:paraId="35AA528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0.218</w:t>
            </w:r>
          </w:p>
        </w:tc>
      </w:tr>
      <w:tr w:rsidR="00B54D51" w:rsidRPr="00037AD4" w14:paraId="622405CB" w14:textId="77777777" w:rsidTr="00401C67">
        <w:trPr>
          <w:trHeight w:val="320"/>
        </w:trPr>
        <w:tc>
          <w:tcPr>
            <w:tcW w:w="9016" w:type="dxa"/>
            <w:gridSpan w:val="7"/>
            <w:shd w:val="clear" w:color="auto" w:fill="F2F2F2" w:themeFill="background1" w:themeFillShade="F2"/>
            <w:noWrap/>
            <w:hideMark/>
          </w:tcPr>
          <w:p w14:paraId="6BD193E7" w14:textId="77777777" w:rsidR="00B54D51" w:rsidRPr="00037AD4" w:rsidRDefault="00B54D51" w:rsidP="00401C67">
            <w:pPr>
              <w:rPr>
                <w:sz w:val="20"/>
                <w:szCs w:val="20"/>
              </w:rPr>
            </w:pPr>
            <w:r w:rsidRPr="00037AD4">
              <w:rPr>
                <w:rFonts w:ascii="Calibri" w:hAnsi="Calibri" w:cs="Calibri"/>
                <w:color w:val="000000"/>
              </w:rPr>
              <w:t>PwD usual activities level 5, predict:</w:t>
            </w:r>
          </w:p>
        </w:tc>
      </w:tr>
      <w:tr w:rsidR="00B54D51" w:rsidRPr="00037AD4" w14:paraId="6F0F3919" w14:textId="77777777" w:rsidTr="00401C67">
        <w:trPr>
          <w:trHeight w:val="320"/>
        </w:trPr>
        <w:tc>
          <w:tcPr>
            <w:tcW w:w="1492" w:type="dxa"/>
            <w:noWrap/>
            <w:hideMark/>
          </w:tcPr>
          <w:p w14:paraId="1AFF26C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w:t>
            </w:r>
          </w:p>
        </w:tc>
        <w:tc>
          <w:tcPr>
            <w:tcW w:w="1839" w:type="dxa"/>
            <w:noWrap/>
            <w:hideMark/>
          </w:tcPr>
          <w:p w14:paraId="497F2E3B"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-.198   </w:t>
            </w:r>
          </w:p>
        </w:tc>
        <w:tc>
          <w:tcPr>
            <w:tcW w:w="1137" w:type="dxa"/>
          </w:tcPr>
          <w:p w14:paraId="2F1D5F0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.038</w:t>
            </w:r>
          </w:p>
        </w:tc>
        <w:tc>
          <w:tcPr>
            <w:tcW w:w="1137" w:type="dxa"/>
            <w:noWrap/>
            <w:hideMark/>
          </w:tcPr>
          <w:p w14:paraId="14D3885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-5.23</w:t>
            </w:r>
          </w:p>
        </w:tc>
        <w:tc>
          <w:tcPr>
            <w:tcW w:w="1137" w:type="dxa"/>
            <w:noWrap/>
            <w:hideMark/>
          </w:tcPr>
          <w:p w14:paraId="1221D0D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w:t>
            </w:r>
          </w:p>
        </w:tc>
        <w:tc>
          <w:tcPr>
            <w:tcW w:w="1137" w:type="dxa"/>
            <w:noWrap/>
            <w:hideMark/>
          </w:tcPr>
          <w:p w14:paraId="365679A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-0.272</w:t>
            </w:r>
          </w:p>
        </w:tc>
        <w:tc>
          <w:tcPr>
            <w:tcW w:w="1137" w:type="dxa"/>
            <w:noWrap/>
            <w:hideMark/>
          </w:tcPr>
          <w:p w14:paraId="2E863E4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-0.124</w:t>
            </w:r>
          </w:p>
        </w:tc>
      </w:tr>
      <w:tr w:rsidR="00B54D51" w:rsidRPr="00037AD4" w14:paraId="69B62614" w14:textId="77777777" w:rsidTr="00401C67">
        <w:trPr>
          <w:trHeight w:val="320"/>
        </w:trPr>
        <w:tc>
          <w:tcPr>
            <w:tcW w:w="1492" w:type="dxa"/>
            <w:noWrap/>
            <w:hideMark/>
          </w:tcPr>
          <w:p w14:paraId="360E6D1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w:t>
            </w:r>
          </w:p>
        </w:tc>
        <w:tc>
          <w:tcPr>
            <w:tcW w:w="1839" w:type="dxa"/>
            <w:noWrap/>
            <w:hideMark/>
          </w:tcPr>
          <w:p w14:paraId="627BF2AE"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-.108   </w:t>
            </w:r>
          </w:p>
        </w:tc>
        <w:tc>
          <w:tcPr>
            <w:tcW w:w="1137" w:type="dxa"/>
          </w:tcPr>
          <w:p w14:paraId="4819E98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.042</w:t>
            </w:r>
          </w:p>
        </w:tc>
        <w:tc>
          <w:tcPr>
            <w:tcW w:w="1137" w:type="dxa"/>
            <w:noWrap/>
            <w:hideMark/>
          </w:tcPr>
          <w:p w14:paraId="2521DF7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-2.54</w:t>
            </w:r>
          </w:p>
        </w:tc>
        <w:tc>
          <w:tcPr>
            <w:tcW w:w="1137" w:type="dxa"/>
            <w:noWrap/>
            <w:hideMark/>
          </w:tcPr>
          <w:p w14:paraId="1F862A1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0.011</w:t>
            </w:r>
          </w:p>
        </w:tc>
        <w:tc>
          <w:tcPr>
            <w:tcW w:w="1137" w:type="dxa"/>
            <w:noWrap/>
            <w:hideMark/>
          </w:tcPr>
          <w:p w14:paraId="7908F8E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-0.191</w:t>
            </w:r>
          </w:p>
        </w:tc>
        <w:tc>
          <w:tcPr>
            <w:tcW w:w="1137" w:type="dxa"/>
            <w:noWrap/>
            <w:hideMark/>
          </w:tcPr>
          <w:p w14:paraId="6842E77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-0.025</w:t>
            </w:r>
          </w:p>
        </w:tc>
      </w:tr>
      <w:tr w:rsidR="00B54D51" w:rsidRPr="00037AD4" w14:paraId="6BB19AFB" w14:textId="77777777" w:rsidTr="00401C67">
        <w:trPr>
          <w:trHeight w:val="320"/>
        </w:trPr>
        <w:tc>
          <w:tcPr>
            <w:tcW w:w="1492" w:type="dxa"/>
            <w:noWrap/>
            <w:hideMark/>
          </w:tcPr>
          <w:p w14:paraId="0BDFBE6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w:t>
            </w:r>
          </w:p>
        </w:tc>
        <w:tc>
          <w:tcPr>
            <w:tcW w:w="1839" w:type="dxa"/>
            <w:noWrap/>
            <w:hideMark/>
          </w:tcPr>
          <w:p w14:paraId="21988043"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.026   </w:t>
            </w:r>
          </w:p>
        </w:tc>
        <w:tc>
          <w:tcPr>
            <w:tcW w:w="1137" w:type="dxa"/>
          </w:tcPr>
          <w:p w14:paraId="727D541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.021</w:t>
            </w:r>
          </w:p>
        </w:tc>
        <w:tc>
          <w:tcPr>
            <w:tcW w:w="1137" w:type="dxa"/>
            <w:noWrap/>
            <w:hideMark/>
          </w:tcPr>
          <w:p w14:paraId="4D0F063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1.22</w:t>
            </w:r>
          </w:p>
        </w:tc>
        <w:tc>
          <w:tcPr>
            <w:tcW w:w="1137" w:type="dxa"/>
            <w:noWrap/>
            <w:hideMark/>
          </w:tcPr>
          <w:p w14:paraId="546D3C9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0.223</w:t>
            </w:r>
          </w:p>
        </w:tc>
        <w:tc>
          <w:tcPr>
            <w:tcW w:w="1137" w:type="dxa"/>
            <w:noWrap/>
            <w:hideMark/>
          </w:tcPr>
          <w:p w14:paraId="7DB9A4C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-0.016</w:t>
            </w:r>
          </w:p>
        </w:tc>
        <w:tc>
          <w:tcPr>
            <w:tcW w:w="1137" w:type="dxa"/>
            <w:noWrap/>
            <w:hideMark/>
          </w:tcPr>
          <w:p w14:paraId="55F323C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0.067</w:t>
            </w:r>
          </w:p>
        </w:tc>
      </w:tr>
      <w:tr w:rsidR="00B54D51" w:rsidRPr="00037AD4" w14:paraId="26BFCF5F" w14:textId="77777777" w:rsidTr="00401C67">
        <w:trPr>
          <w:trHeight w:val="320"/>
        </w:trPr>
        <w:tc>
          <w:tcPr>
            <w:tcW w:w="1492" w:type="dxa"/>
            <w:noWrap/>
            <w:hideMark/>
          </w:tcPr>
          <w:p w14:paraId="179386C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lastRenderedPageBreak/>
              <w:t>4</w:t>
            </w:r>
          </w:p>
        </w:tc>
        <w:tc>
          <w:tcPr>
            <w:tcW w:w="1839" w:type="dxa"/>
            <w:noWrap/>
            <w:hideMark/>
          </w:tcPr>
          <w:p w14:paraId="11A60983"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.149   </w:t>
            </w:r>
          </w:p>
        </w:tc>
        <w:tc>
          <w:tcPr>
            <w:tcW w:w="1137" w:type="dxa"/>
          </w:tcPr>
          <w:p w14:paraId="29C7A72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.040</w:t>
            </w:r>
          </w:p>
        </w:tc>
        <w:tc>
          <w:tcPr>
            <w:tcW w:w="1137" w:type="dxa"/>
            <w:noWrap/>
            <w:hideMark/>
          </w:tcPr>
          <w:p w14:paraId="6B65593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3.75</w:t>
            </w:r>
          </w:p>
        </w:tc>
        <w:tc>
          <w:tcPr>
            <w:tcW w:w="1137" w:type="dxa"/>
            <w:noWrap/>
            <w:hideMark/>
          </w:tcPr>
          <w:p w14:paraId="2A1C741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w:t>
            </w:r>
          </w:p>
        </w:tc>
        <w:tc>
          <w:tcPr>
            <w:tcW w:w="1137" w:type="dxa"/>
            <w:noWrap/>
            <w:hideMark/>
          </w:tcPr>
          <w:p w14:paraId="209E596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0.071</w:t>
            </w:r>
          </w:p>
        </w:tc>
        <w:tc>
          <w:tcPr>
            <w:tcW w:w="1137" w:type="dxa"/>
            <w:noWrap/>
            <w:hideMark/>
          </w:tcPr>
          <w:p w14:paraId="75D9272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0.227</w:t>
            </w:r>
          </w:p>
        </w:tc>
      </w:tr>
      <w:tr w:rsidR="00B54D51" w:rsidRPr="00037AD4" w14:paraId="428597C5" w14:textId="77777777" w:rsidTr="00401C67">
        <w:trPr>
          <w:trHeight w:val="320"/>
        </w:trPr>
        <w:tc>
          <w:tcPr>
            <w:tcW w:w="1492" w:type="dxa"/>
            <w:noWrap/>
            <w:hideMark/>
          </w:tcPr>
          <w:p w14:paraId="27833F0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5</w:t>
            </w:r>
          </w:p>
        </w:tc>
        <w:tc>
          <w:tcPr>
            <w:tcW w:w="1839" w:type="dxa"/>
            <w:noWrap/>
            <w:hideMark/>
          </w:tcPr>
          <w:p w14:paraId="71152536"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.131   </w:t>
            </w:r>
          </w:p>
        </w:tc>
        <w:tc>
          <w:tcPr>
            <w:tcW w:w="1137" w:type="dxa"/>
          </w:tcPr>
          <w:p w14:paraId="534181A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.060</w:t>
            </w:r>
          </w:p>
        </w:tc>
        <w:tc>
          <w:tcPr>
            <w:tcW w:w="1137" w:type="dxa"/>
            <w:noWrap/>
            <w:hideMark/>
          </w:tcPr>
          <w:p w14:paraId="1316BE7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2.18</w:t>
            </w:r>
          </w:p>
        </w:tc>
        <w:tc>
          <w:tcPr>
            <w:tcW w:w="1137" w:type="dxa"/>
            <w:noWrap/>
            <w:hideMark/>
          </w:tcPr>
          <w:p w14:paraId="6A952E1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0.029</w:t>
            </w:r>
          </w:p>
        </w:tc>
        <w:tc>
          <w:tcPr>
            <w:tcW w:w="1137" w:type="dxa"/>
            <w:noWrap/>
            <w:hideMark/>
          </w:tcPr>
          <w:p w14:paraId="78174E2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0.013</w:t>
            </w:r>
          </w:p>
        </w:tc>
        <w:tc>
          <w:tcPr>
            <w:tcW w:w="1137" w:type="dxa"/>
            <w:noWrap/>
            <w:hideMark/>
          </w:tcPr>
          <w:p w14:paraId="311D0CE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0.249</w:t>
            </w:r>
          </w:p>
        </w:tc>
      </w:tr>
      <w:tr w:rsidR="00B54D51" w:rsidRPr="00037AD4" w14:paraId="47BD1C2B" w14:textId="77777777" w:rsidTr="00401C67">
        <w:trPr>
          <w:trHeight w:val="320"/>
        </w:trPr>
        <w:tc>
          <w:tcPr>
            <w:tcW w:w="9016" w:type="dxa"/>
            <w:gridSpan w:val="7"/>
            <w:shd w:val="clear" w:color="auto" w:fill="F2F2F2" w:themeFill="background1" w:themeFillShade="F2"/>
            <w:noWrap/>
            <w:hideMark/>
          </w:tcPr>
          <w:p w14:paraId="1A1C38D6" w14:textId="77777777" w:rsidR="00B54D51" w:rsidRPr="00037AD4" w:rsidRDefault="00B54D51" w:rsidP="00401C67">
            <w:pPr>
              <w:rPr>
                <w:sz w:val="20"/>
                <w:szCs w:val="20"/>
              </w:rPr>
            </w:pPr>
            <w:r w:rsidRPr="00037AD4">
              <w:rPr>
                <w:rFonts w:ascii="Calibri" w:hAnsi="Calibri" w:cs="Calibri"/>
                <w:color w:val="000000"/>
              </w:rPr>
              <w:t xml:space="preserve">MMSE total score, predict: </w:t>
            </w:r>
          </w:p>
        </w:tc>
      </w:tr>
      <w:tr w:rsidR="00B54D51" w:rsidRPr="00037AD4" w14:paraId="64BC39CC" w14:textId="77777777" w:rsidTr="00401C67">
        <w:trPr>
          <w:trHeight w:val="320"/>
        </w:trPr>
        <w:tc>
          <w:tcPr>
            <w:tcW w:w="1492" w:type="dxa"/>
            <w:noWrap/>
            <w:hideMark/>
          </w:tcPr>
          <w:p w14:paraId="3CEE80D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w:t>
            </w:r>
          </w:p>
        </w:tc>
        <w:tc>
          <w:tcPr>
            <w:tcW w:w="1839" w:type="dxa"/>
            <w:noWrap/>
            <w:hideMark/>
          </w:tcPr>
          <w:p w14:paraId="24D10B60"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.000   </w:t>
            </w:r>
          </w:p>
        </w:tc>
        <w:tc>
          <w:tcPr>
            <w:tcW w:w="1137" w:type="dxa"/>
          </w:tcPr>
          <w:p w14:paraId="02AE2AD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w:t>
            </w:r>
          </w:p>
        </w:tc>
        <w:tc>
          <w:tcPr>
            <w:tcW w:w="1137" w:type="dxa"/>
            <w:noWrap/>
            <w:hideMark/>
          </w:tcPr>
          <w:p w14:paraId="6EAEEA4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0.11</w:t>
            </w:r>
          </w:p>
        </w:tc>
        <w:tc>
          <w:tcPr>
            <w:tcW w:w="1137" w:type="dxa"/>
            <w:noWrap/>
            <w:hideMark/>
          </w:tcPr>
          <w:p w14:paraId="475D792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0.911</w:t>
            </w:r>
          </w:p>
        </w:tc>
        <w:tc>
          <w:tcPr>
            <w:tcW w:w="1137" w:type="dxa"/>
            <w:noWrap/>
            <w:hideMark/>
          </w:tcPr>
          <w:p w14:paraId="67FDF7A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-0.004</w:t>
            </w:r>
          </w:p>
        </w:tc>
        <w:tc>
          <w:tcPr>
            <w:tcW w:w="1137" w:type="dxa"/>
            <w:noWrap/>
            <w:hideMark/>
          </w:tcPr>
          <w:p w14:paraId="1511BE3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0.005</w:t>
            </w:r>
          </w:p>
        </w:tc>
      </w:tr>
      <w:tr w:rsidR="00B54D51" w:rsidRPr="00037AD4" w14:paraId="18BFB942" w14:textId="77777777" w:rsidTr="00401C67">
        <w:trPr>
          <w:trHeight w:val="320"/>
        </w:trPr>
        <w:tc>
          <w:tcPr>
            <w:tcW w:w="1492" w:type="dxa"/>
            <w:noWrap/>
            <w:hideMark/>
          </w:tcPr>
          <w:p w14:paraId="240228D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w:t>
            </w:r>
          </w:p>
        </w:tc>
        <w:tc>
          <w:tcPr>
            <w:tcW w:w="1839" w:type="dxa"/>
            <w:noWrap/>
            <w:hideMark/>
          </w:tcPr>
          <w:p w14:paraId="01E4AE60"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.000   </w:t>
            </w:r>
          </w:p>
        </w:tc>
        <w:tc>
          <w:tcPr>
            <w:tcW w:w="1137" w:type="dxa"/>
          </w:tcPr>
          <w:p w14:paraId="3D02413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w:t>
            </w:r>
          </w:p>
        </w:tc>
        <w:tc>
          <w:tcPr>
            <w:tcW w:w="1137" w:type="dxa"/>
            <w:noWrap/>
            <w:hideMark/>
          </w:tcPr>
          <w:p w14:paraId="1A8B9DA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0.11</w:t>
            </w:r>
          </w:p>
        </w:tc>
        <w:tc>
          <w:tcPr>
            <w:tcW w:w="1137" w:type="dxa"/>
            <w:noWrap/>
            <w:hideMark/>
          </w:tcPr>
          <w:p w14:paraId="792B66D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0.911</w:t>
            </w:r>
          </w:p>
        </w:tc>
        <w:tc>
          <w:tcPr>
            <w:tcW w:w="1137" w:type="dxa"/>
            <w:noWrap/>
            <w:hideMark/>
          </w:tcPr>
          <w:p w14:paraId="1114D37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c>
          <w:tcPr>
            <w:tcW w:w="1137" w:type="dxa"/>
            <w:noWrap/>
            <w:hideMark/>
          </w:tcPr>
          <w:p w14:paraId="67007CC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r>
      <w:tr w:rsidR="00B54D51" w:rsidRPr="00037AD4" w14:paraId="513DB8C6" w14:textId="77777777" w:rsidTr="00401C67">
        <w:trPr>
          <w:trHeight w:val="320"/>
        </w:trPr>
        <w:tc>
          <w:tcPr>
            <w:tcW w:w="1492" w:type="dxa"/>
            <w:noWrap/>
            <w:hideMark/>
          </w:tcPr>
          <w:p w14:paraId="0E32E01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w:t>
            </w:r>
          </w:p>
        </w:tc>
        <w:tc>
          <w:tcPr>
            <w:tcW w:w="1839" w:type="dxa"/>
            <w:noWrap/>
            <w:hideMark/>
          </w:tcPr>
          <w:p w14:paraId="50CB6DEE"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-.000   </w:t>
            </w:r>
          </w:p>
        </w:tc>
        <w:tc>
          <w:tcPr>
            <w:tcW w:w="1137" w:type="dxa"/>
          </w:tcPr>
          <w:p w14:paraId="2745174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w:t>
            </w:r>
          </w:p>
        </w:tc>
        <w:tc>
          <w:tcPr>
            <w:tcW w:w="1137" w:type="dxa"/>
            <w:noWrap/>
            <w:hideMark/>
          </w:tcPr>
          <w:p w14:paraId="209BEEF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-0.11</w:t>
            </w:r>
          </w:p>
        </w:tc>
        <w:tc>
          <w:tcPr>
            <w:tcW w:w="1137" w:type="dxa"/>
            <w:noWrap/>
            <w:hideMark/>
          </w:tcPr>
          <w:p w14:paraId="192C501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0.912</w:t>
            </w:r>
          </w:p>
        </w:tc>
        <w:tc>
          <w:tcPr>
            <w:tcW w:w="1137" w:type="dxa"/>
            <w:noWrap/>
            <w:hideMark/>
          </w:tcPr>
          <w:p w14:paraId="5408E5E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c>
          <w:tcPr>
            <w:tcW w:w="1137" w:type="dxa"/>
            <w:noWrap/>
            <w:hideMark/>
          </w:tcPr>
          <w:p w14:paraId="7467E80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r>
      <w:tr w:rsidR="00B54D51" w:rsidRPr="00037AD4" w14:paraId="05B7C5DE" w14:textId="77777777" w:rsidTr="00401C67">
        <w:trPr>
          <w:trHeight w:val="320"/>
        </w:trPr>
        <w:tc>
          <w:tcPr>
            <w:tcW w:w="1492" w:type="dxa"/>
            <w:noWrap/>
            <w:hideMark/>
          </w:tcPr>
          <w:p w14:paraId="47E6688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w:t>
            </w:r>
          </w:p>
        </w:tc>
        <w:tc>
          <w:tcPr>
            <w:tcW w:w="1839" w:type="dxa"/>
            <w:noWrap/>
            <w:hideMark/>
          </w:tcPr>
          <w:p w14:paraId="6D460D9D"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-.000   </w:t>
            </w:r>
          </w:p>
        </w:tc>
        <w:tc>
          <w:tcPr>
            <w:tcW w:w="1137" w:type="dxa"/>
          </w:tcPr>
          <w:p w14:paraId="33852DC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w:t>
            </w:r>
          </w:p>
        </w:tc>
        <w:tc>
          <w:tcPr>
            <w:tcW w:w="1137" w:type="dxa"/>
            <w:noWrap/>
            <w:hideMark/>
          </w:tcPr>
          <w:p w14:paraId="173B15B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-0.11</w:t>
            </w:r>
          </w:p>
        </w:tc>
        <w:tc>
          <w:tcPr>
            <w:tcW w:w="1137" w:type="dxa"/>
            <w:noWrap/>
            <w:hideMark/>
          </w:tcPr>
          <w:p w14:paraId="50BD248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0.911</w:t>
            </w:r>
          </w:p>
        </w:tc>
        <w:tc>
          <w:tcPr>
            <w:tcW w:w="1137" w:type="dxa"/>
            <w:noWrap/>
            <w:hideMark/>
          </w:tcPr>
          <w:p w14:paraId="032F7CC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-0.003</w:t>
            </w:r>
          </w:p>
        </w:tc>
        <w:tc>
          <w:tcPr>
            <w:tcW w:w="1137" w:type="dxa"/>
            <w:noWrap/>
            <w:hideMark/>
          </w:tcPr>
          <w:p w14:paraId="4FD3A6E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0.002</w:t>
            </w:r>
          </w:p>
        </w:tc>
      </w:tr>
      <w:tr w:rsidR="00B54D51" w:rsidRPr="00037AD4" w14:paraId="5ED8C47C" w14:textId="77777777" w:rsidTr="00401C67">
        <w:trPr>
          <w:trHeight w:val="320"/>
        </w:trPr>
        <w:tc>
          <w:tcPr>
            <w:tcW w:w="1492" w:type="dxa"/>
            <w:noWrap/>
            <w:hideMark/>
          </w:tcPr>
          <w:p w14:paraId="762E921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5</w:t>
            </w:r>
          </w:p>
        </w:tc>
        <w:tc>
          <w:tcPr>
            <w:tcW w:w="1839" w:type="dxa"/>
            <w:noWrap/>
            <w:hideMark/>
          </w:tcPr>
          <w:p w14:paraId="73A852C6"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-.000   </w:t>
            </w:r>
          </w:p>
        </w:tc>
        <w:tc>
          <w:tcPr>
            <w:tcW w:w="1137" w:type="dxa"/>
          </w:tcPr>
          <w:p w14:paraId="1B7C7A0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w:t>
            </w:r>
          </w:p>
        </w:tc>
        <w:tc>
          <w:tcPr>
            <w:tcW w:w="1137" w:type="dxa"/>
            <w:noWrap/>
            <w:hideMark/>
          </w:tcPr>
          <w:p w14:paraId="1162416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-0.11</w:t>
            </w:r>
          </w:p>
        </w:tc>
        <w:tc>
          <w:tcPr>
            <w:tcW w:w="1137" w:type="dxa"/>
            <w:noWrap/>
            <w:hideMark/>
          </w:tcPr>
          <w:p w14:paraId="0172C9C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0.911</w:t>
            </w:r>
          </w:p>
        </w:tc>
        <w:tc>
          <w:tcPr>
            <w:tcW w:w="1137" w:type="dxa"/>
            <w:noWrap/>
            <w:hideMark/>
          </w:tcPr>
          <w:p w14:paraId="2BB2CEB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-0.002</w:t>
            </w:r>
          </w:p>
        </w:tc>
        <w:tc>
          <w:tcPr>
            <w:tcW w:w="1137" w:type="dxa"/>
            <w:noWrap/>
            <w:hideMark/>
          </w:tcPr>
          <w:p w14:paraId="05B07DD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0.002</w:t>
            </w:r>
          </w:p>
        </w:tc>
      </w:tr>
      <w:tr w:rsidR="00B54D51" w:rsidRPr="00037AD4" w14:paraId="6016BA87" w14:textId="77777777" w:rsidTr="00401C67">
        <w:trPr>
          <w:trHeight w:val="320"/>
        </w:trPr>
        <w:tc>
          <w:tcPr>
            <w:tcW w:w="9016" w:type="dxa"/>
            <w:gridSpan w:val="7"/>
            <w:shd w:val="clear" w:color="auto" w:fill="F2F2F2" w:themeFill="background1" w:themeFillShade="F2"/>
            <w:noWrap/>
            <w:hideMark/>
          </w:tcPr>
          <w:p w14:paraId="3CF6B8A7" w14:textId="77777777" w:rsidR="00B54D51" w:rsidRPr="00037AD4" w:rsidRDefault="00B54D51" w:rsidP="00401C67">
            <w:pPr>
              <w:rPr>
                <w:sz w:val="20"/>
                <w:szCs w:val="20"/>
              </w:rPr>
            </w:pPr>
            <w:r w:rsidRPr="00037AD4">
              <w:rPr>
                <w:rFonts w:ascii="Calibri" w:hAnsi="Calibri" w:cs="Calibri"/>
                <w:color w:val="000000"/>
              </w:rPr>
              <w:t xml:space="preserve">NPI total score, predict: </w:t>
            </w:r>
          </w:p>
        </w:tc>
      </w:tr>
      <w:tr w:rsidR="00B54D51" w:rsidRPr="00037AD4" w14:paraId="71DFC52B" w14:textId="77777777" w:rsidTr="00401C67">
        <w:trPr>
          <w:trHeight w:val="320"/>
        </w:trPr>
        <w:tc>
          <w:tcPr>
            <w:tcW w:w="1492" w:type="dxa"/>
            <w:noWrap/>
            <w:hideMark/>
          </w:tcPr>
          <w:p w14:paraId="62FEC16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w:t>
            </w:r>
          </w:p>
        </w:tc>
        <w:tc>
          <w:tcPr>
            <w:tcW w:w="1839" w:type="dxa"/>
            <w:noWrap/>
            <w:hideMark/>
          </w:tcPr>
          <w:p w14:paraId="624E8FFE" w14:textId="77777777" w:rsidR="00B54D51" w:rsidRPr="00037AD4" w:rsidRDefault="00B54D51" w:rsidP="00401C67">
            <w:pPr>
              <w:rPr>
                <w:rFonts w:ascii="Calibri" w:hAnsi="Calibri" w:cs="Calibri"/>
                <w:color w:val="000000"/>
              </w:rPr>
            </w:pPr>
            <w:r w:rsidRPr="00037AD4">
              <w:rPr>
                <w:rFonts w:ascii="Calibri" w:hAnsi="Calibri" w:cs="Calibri"/>
                <w:color w:val="000000"/>
              </w:rPr>
              <w:t>-.002</w:t>
            </w:r>
          </w:p>
        </w:tc>
        <w:tc>
          <w:tcPr>
            <w:tcW w:w="1137" w:type="dxa"/>
          </w:tcPr>
          <w:p w14:paraId="7AF6DB9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c>
          <w:tcPr>
            <w:tcW w:w="1137" w:type="dxa"/>
            <w:noWrap/>
            <w:hideMark/>
          </w:tcPr>
          <w:p w14:paraId="6B53F5C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-3.66</w:t>
            </w:r>
          </w:p>
        </w:tc>
        <w:tc>
          <w:tcPr>
            <w:tcW w:w="1137" w:type="dxa"/>
            <w:noWrap/>
            <w:hideMark/>
          </w:tcPr>
          <w:p w14:paraId="0F094BF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w:t>
            </w:r>
          </w:p>
        </w:tc>
        <w:tc>
          <w:tcPr>
            <w:tcW w:w="1137" w:type="dxa"/>
            <w:noWrap/>
            <w:hideMark/>
          </w:tcPr>
          <w:p w14:paraId="72B4B0E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-0.003</w:t>
            </w:r>
          </w:p>
        </w:tc>
        <w:tc>
          <w:tcPr>
            <w:tcW w:w="1137" w:type="dxa"/>
            <w:noWrap/>
            <w:hideMark/>
          </w:tcPr>
          <w:p w14:paraId="18F45EA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r>
      <w:tr w:rsidR="00B54D51" w:rsidRPr="00037AD4" w14:paraId="0C594CCA" w14:textId="77777777" w:rsidTr="00401C67">
        <w:trPr>
          <w:trHeight w:val="320"/>
        </w:trPr>
        <w:tc>
          <w:tcPr>
            <w:tcW w:w="1492" w:type="dxa"/>
            <w:noWrap/>
            <w:hideMark/>
          </w:tcPr>
          <w:p w14:paraId="309BEBA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w:t>
            </w:r>
          </w:p>
        </w:tc>
        <w:tc>
          <w:tcPr>
            <w:tcW w:w="1839" w:type="dxa"/>
            <w:noWrap/>
            <w:hideMark/>
          </w:tcPr>
          <w:p w14:paraId="68ACF26F"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-.001   </w:t>
            </w:r>
          </w:p>
        </w:tc>
        <w:tc>
          <w:tcPr>
            <w:tcW w:w="1137" w:type="dxa"/>
          </w:tcPr>
          <w:p w14:paraId="4DDD7B1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w:t>
            </w:r>
          </w:p>
        </w:tc>
        <w:tc>
          <w:tcPr>
            <w:tcW w:w="1137" w:type="dxa"/>
            <w:noWrap/>
            <w:hideMark/>
          </w:tcPr>
          <w:p w14:paraId="44C726D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-3.38</w:t>
            </w:r>
          </w:p>
        </w:tc>
        <w:tc>
          <w:tcPr>
            <w:tcW w:w="1137" w:type="dxa"/>
            <w:noWrap/>
            <w:hideMark/>
          </w:tcPr>
          <w:p w14:paraId="272A2D5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c>
          <w:tcPr>
            <w:tcW w:w="1137" w:type="dxa"/>
            <w:noWrap/>
            <w:hideMark/>
          </w:tcPr>
          <w:p w14:paraId="181A72F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c>
          <w:tcPr>
            <w:tcW w:w="1137" w:type="dxa"/>
            <w:noWrap/>
            <w:hideMark/>
          </w:tcPr>
          <w:p w14:paraId="49BA54F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r>
      <w:tr w:rsidR="00B54D51" w:rsidRPr="00037AD4" w14:paraId="027B6812" w14:textId="77777777" w:rsidTr="00401C67">
        <w:trPr>
          <w:trHeight w:val="320"/>
        </w:trPr>
        <w:tc>
          <w:tcPr>
            <w:tcW w:w="1492" w:type="dxa"/>
            <w:noWrap/>
            <w:hideMark/>
          </w:tcPr>
          <w:p w14:paraId="58E38D7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w:t>
            </w:r>
          </w:p>
        </w:tc>
        <w:tc>
          <w:tcPr>
            <w:tcW w:w="1839" w:type="dxa"/>
            <w:noWrap/>
            <w:hideMark/>
          </w:tcPr>
          <w:p w14:paraId="2CB5FA66"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.001    </w:t>
            </w:r>
          </w:p>
        </w:tc>
        <w:tc>
          <w:tcPr>
            <w:tcW w:w="1137" w:type="dxa"/>
          </w:tcPr>
          <w:p w14:paraId="5C53E66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w:t>
            </w:r>
          </w:p>
        </w:tc>
        <w:tc>
          <w:tcPr>
            <w:tcW w:w="1137" w:type="dxa"/>
            <w:noWrap/>
            <w:hideMark/>
          </w:tcPr>
          <w:p w14:paraId="19BBFFD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3.37</w:t>
            </w:r>
          </w:p>
        </w:tc>
        <w:tc>
          <w:tcPr>
            <w:tcW w:w="1137" w:type="dxa"/>
            <w:noWrap/>
            <w:hideMark/>
          </w:tcPr>
          <w:p w14:paraId="5C5210C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c>
          <w:tcPr>
            <w:tcW w:w="1137" w:type="dxa"/>
            <w:noWrap/>
            <w:hideMark/>
          </w:tcPr>
          <w:p w14:paraId="535A74F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1137" w:type="dxa"/>
            <w:noWrap/>
            <w:hideMark/>
          </w:tcPr>
          <w:p w14:paraId="5045027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r>
      <w:tr w:rsidR="00B54D51" w:rsidRPr="00037AD4" w14:paraId="12255679" w14:textId="77777777" w:rsidTr="00401C67">
        <w:trPr>
          <w:trHeight w:val="320"/>
        </w:trPr>
        <w:tc>
          <w:tcPr>
            <w:tcW w:w="1492" w:type="dxa"/>
            <w:noWrap/>
            <w:hideMark/>
          </w:tcPr>
          <w:p w14:paraId="535424C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w:t>
            </w:r>
          </w:p>
        </w:tc>
        <w:tc>
          <w:tcPr>
            <w:tcW w:w="1839" w:type="dxa"/>
            <w:noWrap/>
            <w:hideMark/>
          </w:tcPr>
          <w:p w14:paraId="5E149108"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.001   </w:t>
            </w:r>
          </w:p>
        </w:tc>
        <w:tc>
          <w:tcPr>
            <w:tcW w:w="1137" w:type="dxa"/>
          </w:tcPr>
          <w:p w14:paraId="560CD87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w:t>
            </w:r>
          </w:p>
        </w:tc>
        <w:tc>
          <w:tcPr>
            <w:tcW w:w="1137" w:type="dxa"/>
            <w:noWrap/>
            <w:hideMark/>
          </w:tcPr>
          <w:p w14:paraId="45D9310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3.66</w:t>
            </w:r>
          </w:p>
        </w:tc>
        <w:tc>
          <w:tcPr>
            <w:tcW w:w="1137" w:type="dxa"/>
            <w:noWrap/>
            <w:hideMark/>
          </w:tcPr>
          <w:p w14:paraId="383AFE0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w:t>
            </w:r>
          </w:p>
        </w:tc>
        <w:tc>
          <w:tcPr>
            <w:tcW w:w="1137" w:type="dxa"/>
            <w:noWrap/>
            <w:hideMark/>
          </w:tcPr>
          <w:p w14:paraId="4A2F877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c>
          <w:tcPr>
            <w:tcW w:w="1137" w:type="dxa"/>
            <w:noWrap/>
            <w:hideMark/>
          </w:tcPr>
          <w:p w14:paraId="1C6CB9E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0.002</w:t>
            </w:r>
          </w:p>
        </w:tc>
      </w:tr>
      <w:tr w:rsidR="00B54D51" w:rsidRPr="00037AD4" w14:paraId="1A65E265" w14:textId="77777777" w:rsidTr="00401C67">
        <w:trPr>
          <w:trHeight w:val="320"/>
        </w:trPr>
        <w:tc>
          <w:tcPr>
            <w:tcW w:w="1492" w:type="dxa"/>
            <w:noWrap/>
            <w:hideMark/>
          </w:tcPr>
          <w:p w14:paraId="3D731B3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5</w:t>
            </w:r>
          </w:p>
        </w:tc>
        <w:tc>
          <w:tcPr>
            <w:tcW w:w="1839" w:type="dxa"/>
            <w:noWrap/>
            <w:hideMark/>
          </w:tcPr>
          <w:p w14:paraId="03E84D8D"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.001   </w:t>
            </w:r>
          </w:p>
        </w:tc>
        <w:tc>
          <w:tcPr>
            <w:tcW w:w="1137" w:type="dxa"/>
          </w:tcPr>
          <w:p w14:paraId="01F3C6A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w:t>
            </w:r>
          </w:p>
        </w:tc>
        <w:tc>
          <w:tcPr>
            <w:tcW w:w="1137" w:type="dxa"/>
            <w:noWrap/>
            <w:hideMark/>
          </w:tcPr>
          <w:p w14:paraId="0018E9D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3.38</w:t>
            </w:r>
          </w:p>
        </w:tc>
        <w:tc>
          <w:tcPr>
            <w:tcW w:w="1137" w:type="dxa"/>
            <w:noWrap/>
            <w:hideMark/>
          </w:tcPr>
          <w:p w14:paraId="56D053B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c>
          <w:tcPr>
            <w:tcW w:w="1137" w:type="dxa"/>
            <w:noWrap/>
            <w:hideMark/>
          </w:tcPr>
          <w:p w14:paraId="1127BC0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1137" w:type="dxa"/>
            <w:noWrap/>
            <w:hideMark/>
          </w:tcPr>
          <w:p w14:paraId="3C656F2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r>
      <w:tr w:rsidR="00B54D51" w:rsidRPr="00037AD4" w14:paraId="250BDBF6" w14:textId="77777777" w:rsidTr="00401C67">
        <w:trPr>
          <w:trHeight w:val="320"/>
        </w:trPr>
        <w:tc>
          <w:tcPr>
            <w:tcW w:w="9016" w:type="dxa"/>
            <w:gridSpan w:val="7"/>
            <w:shd w:val="clear" w:color="auto" w:fill="F2F2F2" w:themeFill="background1" w:themeFillShade="F2"/>
            <w:noWrap/>
            <w:hideMark/>
          </w:tcPr>
          <w:p w14:paraId="51AAEB25" w14:textId="77777777" w:rsidR="00B54D51" w:rsidRPr="00037AD4" w:rsidRDefault="00B54D51" w:rsidP="00401C67">
            <w:pPr>
              <w:rPr>
                <w:sz w:val="20"/>
                <w:szCs w:val="20"/>
              </w:rPr>
            </w:pPr>
            <w:r w:rsidRPr="00037AD4">
              <w:rPr>
                <w:rFonts w:ascii="Calibri" w:hAnsi="Calibri" w:cs="Calibri"/>
                <w:color w:val="000000"/>
              </w:rPr>
              <w:t xml:space="preserve">IADL score, predict: </w:t>
            </w:r>
          </w:p>
        </w:tc>
      </w:tr>
      <w:tr w:rsidR="00B54D51" w:rsidRPr="00037AD4" w14:paraId="330DEE06" w14:textId="77777777" w:rsidTr="00401C67">
        <w:trPr>
          <w:trHeight w:val="320"/>
        </w:trPr>
        <w:tc>
          <w:tcPr>
            <w:tcW w:w="1492" w:type="dxa"/>
            <w:noWrap/>
            <w:hideMark/>
          </w:tcPr>
          <w:p w14:paraId="530226F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w:t>
            </w:r>
          </w:p>
        </w:tc>
        <w:tc>
          <w:tcPr>
            <w:tcW w:w="1839" w:type="dxa"/>
            <w:noWrap/>
            <w:hideMark/>
          </w:tcPr>
          <w:p w14:paraId="149D86DC" w14:textId="77777777" w:rsidR="00B54D51" w:rsidRPr="00037AD4" w:rsidRDefault="00B54D51" w:rsidP="00401C67">
            <w:pPr>
              <w:rPr>
                <w:rFonts w:ascii="Calibri" w:hAnsi="Calibri" w:cs="Calibri"/>
                <w:color w:val="000000"/>
              </w:rPr>
            </w:pPr>
            <w:r w:rsidRPr="00037AD4">
              <w:rPr>
                <w:rFonts w:ascii="Calibri" w:hAnsi="Calibri" w:cs="Calibri"/>
                <w:color w:val="000000"/>
              </w:rPr>
              <w:t>.064</w:t>
            </w:r>
          </w:p>
        </w:tc>
        <w:tc>
          <w:tcPr>
            <w:tcW w:w="1137" w:type="dxa"/>
          </w:tcPr>
          <w:p w14:paraId="7A4B511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.006</w:t>
            </w:r>
          </w:p>
        </w:tc>
        <w:tc>
          <w:tcPr>
            <w:tcW w:w="1137" w:type="dxa"/>
            <w:noWrap/>
            <w:hideMark/>
          </w:tcPr>
          <w:p w14:paraId="36725E1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11.53</w:t>
            </w:r>
          </w:p>
        </w:tc>
        <w:tc>
          <w:tcPr>
            <w:tcW w:w="1137" w:type="dxa"/>
            <w:noWrap/>
            <w:hideMark/>
          </w:tcPr>
          <w:p w14:paraId="5C90222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w:t>
            </w:r>
          </w:p>
        </w:tc>
        <w:tc>
          <w:tcPr>
            <w:tcW w:w="1137" w:type="dxa"/>
            <w:noWrap/>
            <w:hideMark/>
          </w:tcPr>
          <w:p w14:paraId="207BC3F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0.054</w:t>
            </w:r>
          </w:p>
        </w:tc>
        <w:tc>
          <w:tcPr>
            <w:tcW w:w="1137" w:type="dxa"/>
            <w:noWrap/>
            <w:hideMark/>
          </w:tcPr>
          <w:p w14:paraId="47195CE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0.075</w:t>
            </w:r>
          </w:p>
        </w:tc>
      </w:tr>
      <w:tr w:rsidR="00B54D51" w:rsidRPr="00037AD4" w14:paraId="666215A0" w14:textId="77777777" w:rsidTr="00401C67">
        <w:trPr>
          <w:trHeight w:val="320"/>
        </w:trPr>
        <w:tc>
          <w:tcPr>
            <w:tcW w:w="1492" w:type="dxa"/>
            <w:noWrap/>
            <w:hideMark/>
          </w:tcPr>
          <w:p w14:paraId="3871296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w:t>
            </w:r>
          </w:p>
        </w:tc>
        <w:tc>
          <w:tcPr>
            <w:tcW w:w="1839" w:type="dxa"/>
            <w:noWrap/>
            <w:hideMark/>
          </w:tcPr>
          <w:p w14:paraId="684F4536"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.017   </w:t>
            </w:r>
          </w:p>
        </w:tc>
        <w:tc>
          <w:tcPr>
            <w:tcW w:w="1137" w:type="dxa"/>
          </w:tcPr>
          <w:p w14:paraId="441F2A2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w:t>
            </w:r>
          </w:p>
        </w:tc>
        <w:tc>
          <w:tcPr>
            <w:tcW w:w="1137" w:type="dxa"/>
            <w:noWrap/>
            <w:hideMark/>
          </w:tcPr>
          <w:p w14:paraId="7AA18FA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7.05</w:t>
            </w:r>
          </w:p>
        </w:tc>
        <w:tc>
          <w:tcPr>
            <w:tcW w:w="1137" w:type="dxa"/>
            <w:noWrap/>
            <w:hideMark/>
          </w:tcPr>
          <w:p w14:paraId="231015C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w:t>
            </w:r>
          </w:p>
        </w:tc>
        <w:tc>
          <w:tcPr>
            <w:tcW w:w="1137" w:type="dxa"/>
            <w:noWrap/>
            <w:hideMark/>
          </w:tcPr>
          <w:p w14:paraId="3B20BB6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0.012</w:t>
            </w:r>
          </w:p>
        </w:tc>
        <w:tc>
          <w:tcPr>
            <w:tcW w:w="1137" w:type="dxa"/>
            <w:noWrap/>
            <w:hideMark/>
          </w:tcPr>
          <w:p w14:paraId="71C324A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0.021</w:t>
            </w:r>
          </w:p>
        </w:tc>
      </w:tr>
      <w:tr w:rsidR="00B54D51" w:rsidRPr="00037AD4" w14:paraId="1299A9C0" w14:textId="77777777" w:rsidTr="00401C67">
        <w:trPr>
          <w:trHeight w:val="320"/>
        </w:trPr>
        <w:tc>
          <w:tcPr>
            <w:tcW w:w="1492" w:type="dxa"/>
            <w:noWrap/>
            <w:hideMark/>
          </w:tcPr>
          <w:p w14:paraId="5BE477C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w:t>
            </w:r>
          </w:p>
        </w:tc>
        <w:tc>
          <w:tcPr>
            <w:tcW w:w="1839" w:type="dxa"/>
            <w:noWrap/>
            <w:hideMark/>
          </w:tcPr>
          <w:p w14:paraId="66D5347C"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-.020   </w:t>
            </w:r>
          </w:p>
        </w:tc>
        <w:tc>
          <w:tcPr>
            <w:tcW w:w="1137" w:type="dxa"/>
          </w:tcPr>
          <w:p w14:paraId="1C4B75A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w:t>
            </w:r>
          </w:p>
        </w:tc>
        <w:tc>
          <w:tcPr>
            <w:tcW w:w="1137" w:type="dxa"/>
            <w:noWrap/>
            <w:hideMark/>
          </w:tcPr>
          <w:p w14:paraId="15ED642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-8.34</w:t>
            </w:r>
          </w:p>
        </w:tc>
        <w:tc>
          <w:tcPr>
            <w:tcW w:w="1137" w:type="dxa"/>
            <w:noWrap/>
            <w:hideMark/>
          </w:tcPr>
          <w:p w14:paraId="4F27255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w:t>
            </w:r>
          </w:p>
        </w:tc>
        <w:tc>
          <w:tcPr>
            <w:tcW w:w="1137" w:type="dxa"/>
            <w:noWrap/>
            <w:hideMark/>
          </w:tcPr>
          <w:p w14:paraId="2BD1901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-0.025</w:t>
            </w:r>
          </w:p>
        </w:tc>
        <w:tc>
          <w:tcPr>
            <w:tcW w:w="1137" w:type="dxa"/>
            <w:noWrap/>
            <w:hideMark/>
          </w:tcPr>
          <w:p w14:paraId="2192AA3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-0.015</w:t>
            </w:r>
          </w:p>
        </w:tc>
      </w:tr>
      <w:tr w:rsidR="00B54D51" w:rsidRPr="00037AD4" w14:paraId="453C61FF" w14:textId="77777777" w:rsidTr="00401C67">
        <w:trPr>
          <w:trHeight w:val="320"/>
        </w:trPr>
        <w:tc>
          <w:tcPr>
            <w:tcW w:w="1492" w:type="dxa"/>
            <w:noWrap/>
            <w:hideMark/>
          </w:tcPr>
          <w:p w14:paraId="2C11D81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w:t>
            </w:r>
          </w:p>
        </w:tc>
        <w:tc>
          <w:tcPr>
            <w:tcW w:w="1839" w:type="dxa"/>
            <w:noWrap/>
            <w:hideMark/>
          </w:tcPr>
          <w:p w14:paraId="439B7359"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-.036    </w:t>
            </w:r>
          </w:p>
        </w:tc>
        <w:tc>
          <w:tcPr>
            <w:tcW w:w="1137" w:type="dxa"/>
          </w:tcPr>
          <w:p w14:paraId="3DA4EF6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.004</w:t>
            </w:r>
          </w:p>
        </w:tc>
        <w:tc>
          <w:tcPr>
            <w:tcW w:w="1137" w:type="dxa"/>
            <w:noWrap/>
            <w:hideMark/>
          </w:tcPr>
          <w:p w14:paraId="7B80321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-8.92</w:t>
            </w:r>
          </w:p>
        </w:tc>
        <w:tc>
          <w:tcPr>
            <w:tcW w:w="1137" w:type="dxa"/>
            <w:noWrap/>
            <w:hideMark/>
          </w:tcPr>
          <w:p w14:paraId="000F15C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w:t>
            </w:r>
          </w:p>
        </w:tc>
        <w:tc>
          <w:tcPr>
            <w:tcW w:w="1137" w:type="dxa"/>
            <w:noWrap/>
            <w:hideMark/>
          </w:tcPr>
          <w:p w14:paraId="5DC3DA7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-0.044</w:t>
            </w:r>
          </w:p>
        </w:tc>
        <w:tc>
          <w:tcPr>
            <w:tcW w:w="1137" w:type="dxa"/>
            <w:noWrap/>
            <w:hideMark/>
          </w:tcPr>
          <w:p w14:paraId="3DA02F1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-0.028</w:t>
            </w:r>
          </w:p>
        </w:tc>
      </w:tr>
      <w:tr w:rsidR="00B54D51" w:rsidRPr="00037AD4" w14:paraId="6C7A4C91" w14:textId="77777777" w:rsidTr="00401C67">
        <w:trPr>
          <w:trHeight w:val="320"/>
        </w:trPr>
        <w:tc>
          <w:tcPr>
            <w:tcW w:w="1492" w:type="dxa"/>
            <w:noWrap/>
            <w:hideMark/>
          </w:tcPr>
          <w:p w14:paraId="3888542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5</w:t>
            </w:r>
          </w:p>
        </w:tc>
        <w:tc>
          <w:tcPr>
            <w:tcW w:w="1839" w:type="dxa"/>
            <w:noWrap/>
            <w:hideMark/>
          </w:tcPr>
          <w:p w14:paraId="6110E77B"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-.026   </w:t>
            </w:r>
          </w:p>
        </w:tc>
        <w:tc>
          <w:tcPr>
            <w:tcW w:w="1137" w:type="dxa"/>
          </w:tcPr>
          <w:p w14:paraId="608D43E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w:t>
            </w:r>
          </w:p>
        </w:tc>
        <w:tc>
          <w:tcPr>
            <w:tcW w:w="1137" w:type="dxa"/>
            <w:noWrap/>
            <w:hideMark/>
          </w:tcPr>
          <w:p w14:paraId="2673F10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-7.3</w:t>
            </w:r>
          </w:p>
        </w:tc>
        <w:tc>
          <w:tcPr>
            <w:tcW w:w="1137" w:type="dxa"/>
            <w:noWrap/>
            <w:hideMark/>
          </w:tcPr>
          <w:p w14:paraId="48F2852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w:t>
            </w:r>
          </w:p>
        </w:tc>
        <w:tc>
          <w:tcPr>
            <w:tcW w:w="1137" w:type="dxa"/>
            <w:noWrap/>
            <w:hideMark/>
          </w:tcPr>
          <w:p w14:paraId="1AEA89A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-0.032</w:t>
            </w:r>
          </w:p>
        </w:tc>
        <w:tc>
          <w:tcPr>
            <w:tcW w:w="1137" w:type="dxa"/>
            <w:noWrap/>
            <w:hideMark/>
          </w:tcPr>
          <w:p w14:paraId="32AE86E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-0.019</w:t>
            </w:r>
          </w:p>
        </w:tc>
      </w:tr>
      <w:tr w:rsidR="00B54D51" w:rsidRPr="00037AD4" w14:paraId="47D4AF8F" w14:textId="77777777" w:rsidTr="00401C67">
        <w:trPr>
          <w:trHeight w:val="320"/>
        </w:trPr>
        <w:tc>
          <w:tcPr>
            <w:tcW w:w="9016" w:type="dxa"/>
            <w:gridSpan w:val="7"/>
            <w:shd w:val="clear" w:color="auto" w:fill="F2F2F2" w:themeFill="background1" w:themeFillShade="F2"/>
            <w:noWrap/>
            <w:hideMark/>
          </w:tcPr>
          <w:p w14:paraId="2AD85229" w14:textId="77777777" w:rsidR="00B54D51" w:rsidRPr="00037AD4" w:rsidRDefault="00B54D51" w:rsidP="00401C67">
            <w:pPr>
              <w:rPr>
                <w:rFonts w:ascii="Calibri" w:hAnsi="Calibri" w:cs="Calibri"/>
              </w:rPr>
            </w:pPr>
            <w:r w:rsidRPr="00037AD4">
              <w:rPr>
                <w:rFonts w:ascii="Calibri" w:hAnsi="Calibri" w:cs="Calibri"/>
              </w:rPr>
              <w:t xml:space="preserve">Age of PwD, predict: </w:t>
            </w:r>
          </w:p>
        </w:tc>
      </w:tr>
      <w:tr w:rsidR="00B54D51" w:rsidRPr="00037AD4" w14:paraId="37AA0697" w14:textId="77777777" w:rsidTr="00401C67">
        <w:trPr>
          <w:trHeight w:val="320"/>
        </w:trPr>
        <w:tc>
          <w:tcPr>
            <w:tcW w:w="1492" w:type="dxa"/>
            <w:noWrap/>
            <w:hideMark/>
          </w:tcPr>
          <w:p w14:paraId="455FD16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w:t>
            </w:r>
          </w:p>
        </w:tc>
        <w:tc>
          <w:tcPr>
            <w:tcW w:w="1839" w:type="dxa"/>
            <w:noWrap/>
            <w:hideMark/>
          </w:tcPr>
          <w:p w14:paraId="07F1F939"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-.000 </w:t>
            </w:r>
          </w:p>
        </w:tc>
        <w:tc>
          <w:tcPr>
            <w:tcW w:w="1137" w:type="dxa"/>
          </w:tcPr>
          <w:p w14:paraId="68F2C32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w:t>
            </w:r>
          </w:p>
        </w:tc>
        <w:tc>
          <w:tcPr>
            <w:tcW w:w="1137" w:type="dxa"/>
            <w:noWrap/>
            <w:hideMark/>
          </w:tcPr>
          <w:p w14:paraId="4435283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-0.32</w:t>
            </w:r>
          </w:p>
        </w:tc>
        <w:tc>
          <w:tcPr>
            <w:tcW w:w="1137" w:type="dxa"/>
            <w:noWrap/>
            <w:hideMark/>
          </w:tcPr>
          <w:p w14:paraId="46540A7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0.746</w:t>
            </w:r>
          </w:p>
        </w:tc>
        <w:tc>
          <w:tcPr>
            <w:tcW w:w="1137" w:type="dxa"/>
            <w:noWrap/>
            <w:hideMark/>
          </w:tcPr>
          <w:p w14:paraId="21232EB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-0.003</w:t>
            </w:r>
          </w:p>
        </w:tc>
        <w:tc>
          <w:tcPr>
            <w:tcW w:w="1137" w:type="dxa"/>
            <w:noWrap/>
            <w:hideMark/>
          </w:tcPr>
          <w:p w14:paraId="5DC3B2A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0.002</w:t>
            </w:r>
          </w:p>
        </w:tc>
      </w:tr>
      <w:tr w:rsidR="00B54D51" w:rsidRPr="00037AD4" w14:paraId="7DF56196" w14:textId="77777777" w:rsidTr="00401C67">
        <w:trPr>
          <w:trHeight w:val="320"/>
        </w:trPr>
        <w:tc>
          <w:tcPr>
            <w:tcW w:w="1492" w:type="dxa"/>
            <w:noWrap/>
            <w:hideMark/>
          </w:tcPr>
          <w:p w14:paraId="10CB98B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w:t>
            </w:r>
          </w:p>
        </w:tc>
        <w:tc>
          <w:tcPr>
            <w:tcW w:w="1839" w:type="dxa"/>
            <w:noWrap/>
            <w:hideMark/>
          </w:tcPr>
          <w:p w14:paraId="6DAF41E1"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-.000   </w:t>
            </w:r>
          </w:p>
        </w:tc>
        <w:tc>
          <w:tcPr>
            <w:tcW w:w="1137" w:type="dxa"/>
          </w:tcPr>
          <w:p w14:paraId="777F4FE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w:t>
            </w:r>
          </w:p>
        </w:tc>
        <w:tc>
          <w:tcPr>
            <w:tcW w:w="1137" w:type="dxa"/>
            <w:noWrap/>
            <w:hideMark/>
          </w:tcPr>
          <w:p w14:paraId="6A29DBE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-0.32</w:t>
            </w:r>
          </w:p>
        </w:tc>
        <w:tc>
          <w:tcPr>
            <w:tcW w:w="1137" w:type="dxa"/>
            <w:noWrap/>
            <w:hideMark/>
          </w:tcPr>
          <w:p w14:paraId="62E5747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0.747</w:t>
            </w:r>
          </w:p>
        </w:tc>
        <w:tc>
          <w:tcPr>
            <w:tcW w:w="1137" w:type="dxa"/>
            <w:noWrap/>
            <w:hideMark/>
          </w:tcPr>
          <w:p w14:paraId="17B30E9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c>
          <w:tcPr>
            <w:tcW w:w="1137" w:type="dxa"/>
            <w:noWrap/>
            <w:hideMark/>
          </w:tcPr>
          <w:p w14:paraId="4B43AA9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r>
      <w:tr w:rsidR="00B54D51" w:rsidRPr="00037AD4" w14:paraId="5D52C83C" w14:textId="77777777" w:rsidTr="00401C67">
        <w:trPr>
          <w:trHeight w:val="320"/>
        </w:trPr>
        <w:tc>
          <w:tcPr>
            <w:tcW w:w="1492" w:type="dxa"/>
            <w:noWrap/>
            <w:hideMark/>
          </w:tcPr>
          <w:p w14:paraId="49ADB0C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w:t>
            </w:r>
          </w:p>
        </w:tc>
        <w:tc>
          <w:tcPr>
            <w:tcW w:w="1839" w:type="dxa"/>
            <w:noWrap/>
            <w:hideMark/>
          </w:tcPr>
          <w:p w14:paraId="27648550"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.000   </w:t>
            </w:r>
          </w:p>
        </w:tc>
        <w:tc>
          <w:tcPr>
            <w:tcW w:w="1137" w:type="dxa"/>
          </w:tcPr>
          <w:p w14:paraId="565B038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w:t>
            </w:r>
          </w:p>
        </w:tc>
        <w:tc>
          <w:tcPr>
            <w:tcW w:w="1137" w:type="dxa"/>
            <w:noWrap/>
            <w:hideMark/>
          </w:tcPr>
          <w:p w14:paraId="7CA4794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0.32</w:t>
            </w:r>
          </w:p>
        </w:tc>
        <w:tc>
          <w:tcPr>
            <w:tcW w:w="1137" w:type="dxa"/>
            <w:noWrap/>
            <w:hideMark/>
          </w:tcPr>
          <w:p w14:paraId="4CCECF4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0.746</w:t>
            </w:r>
          </w:p>
        </w:tc>
        <w:tc>
          <w:tcPr>
            <w:tcW w:w="1137" w:type="dxa"/>
            <w:noWrap/>
            <w:hideMark/>
          </w:tcPr>
          <w:p w14:paraId="34F288C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c>
          <w:tcPr>
            <w:tcW w:w="1137" w:type="dxa"/>
            <w:noWrap/>
            <w:hideMark/>
          </w:tcPr>
          <w:p w14:paraId="5775CD5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r>
      <w:tr w:rsidR="00B54D51" w:rsidRPr="00037AD4" w14:paraId="29528C04" w14:textId="77777777" w:rsidTr="00401C67">
        <w:trPr>
          <w:trHeight w:val="320"/>
        </w:trPr>
        <w:tc>
          <w:tcPr>
            <w:tcW w:w="1492" w:type="dxa"/>
            <w:noWrap/>
            <w:hideMark/>
          </w:tcPr>
          <w:p w14:paraId="4BD892E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w:t>
            </w:r>
          </w:p>
        </w:tc>
        <w:tc>
          <w:tcPr>
            <w:tcW w:w="1839" w:type="dxa"/>
            <w:noWrap/>
            <w:hideMark/>
          </w:tcPr>
          <w:p w14:paraId="4E8820A6"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.000   </w:t>
            </w:r>
          </w:p>
        </w:tc>
        <w:tc>
          <w:tcPr>
            <w:tcW w:w="1137" w:type="dxa"/>
          </w:tcPr>
          <w:p w14:paraId="575968C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w:t>
            </w:r>
          </w:p>
        </w:tc>
        <w:tc>
          <w:tcPr>
            <w:tcW w:w="1137" w:type="dxa"/>
            <w:noWrap/>
            <w:hideMark/>
          </w:tcPr>
          <w:p w14:paraId="1C1495E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0.32</w:t>
            </w:r>
          </w:p>
        </w:tc>
        <w:tc>
          <w:tcPr>
            <w:tcW w:w="1137" w:type="dxa"/>
            <w:noWrap/>
            <w:hideMark/>
          </w:tcPr>
          <w:p w14:paraId="5CC74D9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0.746</w:t>
            </w:r>
          </w:p>
        </w:tc>
        <w:tc>
          <w:tcPr>
            <w:tcW w:w="1137" w:type="dxa"/>
            <w:noWrap/>
            <w:hideMark/>
          </w:tcPr>
          <w:p w14:paraId="64F8FDD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c>
          <w:tcPr>
            <w:tcW w:w="1137" w:type="dxa"/>
            <w:noWrap/>
            <w:hideMark/>
          </w:tcPr>
          <w:p w14:paraId="3F2FD6D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0.002</w:t>
            </w:r>
          </w:p>
        </w:tc>
      </w:tr>
      <w:tr w:rsidR="00B54D51" w:rsidRPr="00037AD4" w14:paraId="69E9D42B" w14:textId="77777777" w:rsidTr="00401C67">
        <w:trPr>
          <w:trHeight w:val="320"/>
        </w:trPr>
        <w:tc>
          <w:tcPr>
            <w:tcW w:w="1492" w:type="dxa"/>
            <w:noWrap/>
            <w:hideMark/>
          </w:tcPr>
          <w:p w14:paraId="5ED243F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5</w:t>
            </w:r>
          </w:p>
        </w:tc>
        <w:tc>
          <w:tcPr>
            <w:tcW w:w="1839" w:type="dxa"/>
            <w:noWrap/>
            <w:hideMark/>
          </w:tcPr>
          <w:p w14:paraId="4386B572"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.000   </w:t>
            </w:r>
          </w:p>
        </w:tc>
        <w:tc>
          <w:tcPr>
            <w:tcW w:w="1137" w:type="dxa"/>
          </w:tcPr>
          <w:p w14:paraId="21EBB84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w:t>
            </w:r>
          </w:p>
        </w:tc>
        <w:tc>
          <w:tcPr>
            <w:tcW w:w="1137" w:type="dxa"/>
            <w:noWrap/>
            <w:hideMark/>
          </w:tcPr>
          <w:p w14:paraId="6B09117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0.32</w:t>
            </w:r>
          </w:p>
        </w:tc>
        <w:tc>
          <w:tcPr>
            <w:tcW w:w="1137" w:type="dxa"/>
            <w:noWrap/>
            <w:hideMark/>
          </w:tcPr>
          <w:p w14:paraId="55EF2F3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0.747</w:t>
            </w:r>
          </w:p>
        </w:tc>
        <w:tc>
          <w:tcPr>
            <w:tcW w:w="1137" w:type="dxa"/>
            <w:noWrap/>
            <w:hideMark/>
          </w:tcPr>
          <w:p w14:paraId="53F2FA9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c>
          <w:tcPr>
            <w:tcW w:w="1137" w:type="dxa"/>
            <w:noWrap/>
            <w:hideMark/>
          </w:tcPr>
          <w:p w14:paraId="2B835F4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r>
      <w:tr w:rsidR="00B54D51" w:rsidRPr="00037AD4" w14:paraId="46B6F883" w14:textId="77777777" w:rsidTr="00401C67">
        <w:trPr>
          <w:trHeight w:val="320"/>
        </w:trPr>
        <w:tc>
          <w:tcPr>
            <w:tcW w:w="9016" w:type="dxa"/>
            <w:gridSpan w:val="7"/>
            <w:shd w:val="clear" w:color="auto" w:fill="F2F2F2" w:themeFill="background1" w:themeFillShade="F2"/>
            <w:noWrap/>
            <w:hideMark/>
          </w:tcPr>
          <w:p w14:paraId="4A7D5F1F" w14:textId="77777777" w:rsidR="00B54D51" w:rsidRPr="00037AD4" w:rsidRDefault="00B54D51" w:rsidP="00401C67">
            <w:pPr>
              <w:rPr>
                <w:rFonts w:ascii="Calibri" w:hAnsi="Calibri" w:cs="Calibri"/>
                <w:color w:val="000000"/>
              </w:rPr>
            </w:pPr>
            <w:r w:rsidRPr="00037AD4">
              <w:rPr>
                <w:rFonts w:ascii="Calibri" w:hAnsi="Calibri" w:cs="Calibri"/>
                <w:color w:val="000000"/>
              </w:rPr>
              <w:t>PwD sex (base outcome = male)</w:t>
            </w:r>
          </w:p>
        </w:tc>
      </w:tr>
      <w:tr w:rsidR="00B54D51" w:rsidRPr="00037AD4" w14:paraId="68437348" w14:textId="77777777" w:rsidTr="00401C67">
        <w:trPr>
          <w:trHeight w:val="320"/>
        </w:trPr>
        <w:tc>
          <w:tcPr>
            <w:tcW w:w="9016" w:type="dxa"/>
            <w:gridSpan w:val="7"/>
            <w:shd w:val="clear" w:color="auto" w:fill="F2F2F2" w:themeFill="background1" w:themeFillShade="F2"/>
            <w:noWrap/>
            <w:hideMark/>
          </w:tcPr>
          <w:p w14:paraId="746881AB" w14:textId="77777777" w:rsidR="00B54D51" w:rsidRPr="00037AD4" w:rsidRDefault="00B54D51" w:rsidP="00401C67">
            <w:pPr>
              <w:rPr>
                <w:sz w:val="20"/>
                <w:szCs w:val="20"/>
              </w:rPr>
            </w:pPr>
            <w:r w:rsidRPr="00037AD4">
              <w:rPr>
                <w:rFonts w:ascii="Calibri" w:hAnsi="Calibri" w:cs="Calibri"/>
                <w:color w:val="000000"/>
              </w:rPr>
              <w:t xml:space="preserve">PwD sex, female predict: </w:t>
            </w:r>
          </w:p>
        </w:tc>
      </w:tr>
      <w:tr w:rsidR="00B54D51" w:rsidRPr="00037AD4" w14:paraId="25722936" w14:textId="77777777" w:rsidTr="00401C67">
        <w:trPr>
          <w:trHeight w:val="320"/>
        </w:trPr>
        <w:tc>
          <w:tcPr>
            <w:tcW w:w="1492" w:type="dxa"/>
            <w:noWrap/>
            <w:hideMark/>
          </w:tcPr>
          <w:p w14:paraId="7EAA7C3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w:t>
            </w:r>
          </w:p>
        </w:tc>
        <w:tc>
          <w:tcPr>
            <w:tcW w:w="1839" w:type="dxa"/>
            <w:noWrap/>
            <w:hideMark/>
          </w:tcPr>
          <w:p w14:paraId="6D6CAC90"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-.065  </w:t>
            </w:r>
          </w:p>
        </w:tc>
        <w:tc>
          <w:tcPr>
            <w:tcW w:w="1137" w:type="dxa"/>
          </w:tcPr>
          <w:p w14:paraId="7D24F4F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.024</w:t>
            </w:r>
          </w:p>
        </w:tc>
        <w:tc>
          <w:tcPr>
            <w:tcW w:w="1137" w:type="dxa"/>
            <w:noWrap/>
            <w:hideMark/>
          </w:tcPr>
          <w:p w14:paraId="0DD5994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-2.71</w:t>
            </w:r>
          </w:p>
        </w:tc>
        <w:tc>
          <w:tcPr>
            <w:tcW w:w="1137" w:type="dxa"/>
            <w:noWrap/>
            <w:hideMark/>
          </w:tcPr>
          <w:p w14:paraId="5666A0B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0.007</w:t>
            </w:r>
          </w:p>
        </w:tc>
        <w:tc>
          <w:tcPr>
            <w:tcW w:w="1137" w:type="dxa"/>
            <w:noWrap/>
            <w:hideMark/>
          </w:tcPr>
          <w:p w14:paraId="3A2FAD5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-0.113</w:t>
            </w:r>
          </w:p>
        </w:tc>
        <w:tc>
          <w:tcPr>
            <w:tcW w:w="1137" w:type="dxa"/>
            <w:noWrap/>
            <w:hideMark/>
          </w:tcPr>
          <w:p w14:paraId="521908C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-0.018</w:t>
            </w:r>
          </w:p>
        </w:tc>
      </w:tr>
      <w:tr w:rsidR="00B54D51" w:rsidRPr="00037AD4" w14:paraId="78196C0B" w14:textId="77777777" w:rsidTr="00401C67">
        <w:trPr>
          <w:trHeight w:val="320"/>
        </w:trPr>
        <w:tc>
          <w:tcPr>
            <w:tcW w:w="1492" w:type="dxa"/>
            <w:noWrap/>
            <w:hideMark/>
          </w:tcPr>
          <w:p w14:paraId="27A3C69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w:t>
            </w:r>
          </w:p>
        </w:tc>
        <w:tc>
          <w:tcPr>
            <w:tcW w:w="1839" w:type="dxa"/>
            <w:noWrap/>
            <w:hideMark/>
          </w:tcPr>
          <w:p w14:paraId="5105B398"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-.016   </w:t>
            </w:r>
          </w:p>
        </w:tc>
        <w:tc>
          <w:tcPr>
            <w:tcW w:w="1137" w:type="dxa"/>
          </w:tcPr>
          <w:p w14:paraId="62C79EE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.006</w:t>
            </w:r>
          </w:p>
        </w:tc>
        <w:tc>
          <w:tcPr>
            <w:tcW w:w="1137" w:type="dxa"/>
            <w:noWrap/>
            <w:hideMark/>
          </w:tcPr>
          <w:p w14:paraId="1F2868E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-2.73</w:t>
            </w:r>
          </w:p>
        </w:tc>
        <w:tc>
          <w:tcPr>
            <w:tcW w:w="1137" w:type="dxa"/>
            <w:noWrap/>
            <w:hideMark/>
          </w:tcPr>
          <w:p w14:paraId="6C4D1CF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0.006</w:t>
            </w:r>
          </w:p>
        </w:tc>
        <w:tc>
          <w:tcPr>
            <w:tcW w:w="1137" w:type="dxa"/>
            <w:noWrap/>
            <w:hideMark/>
          </w:tcPr>
          <w:p w14:paraId="655E032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-0.028</w:t>
            </w:r>
          </w:p>
        </w:tc>
        <w:tc>
          <w:tcPr>
            <w:tcW w:w="1137" w:type="dxa"/>
            <w:noWrap/>
            <w:hideMark/>
          </w:tcPr>
          <w:p w14:paraId="62ABE91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-0.005</w:t>
            </w:r>
          </w:p>
        </w:tc>
      </w:tr>
      <w:tr w:rsidR="00B54D51" w:rsidRPr="00037AD4" w14:paraId="01A5F675" w14:textId="77777777" w:rsidTr="00401C67">
        <w:trPr>
          <w:trHeight w:val="320"/>
        </w:trPr>
        <w:tc>
          <w:tcPr>
            <w:tcW w:w="1492" w:type="dxa"/>
            <w:noWrap/>
            <w:hideMark/>
          </w:tcPr>
          <w:p w14:paraId="0252E2A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w:t>
            </w:r>
          </w:p>
        </w:tc>
        <w:tc>
          <w:tcPr>
            <w:tcW w:w="1839" w:type="dxa"/>
            <w:noWrap/>
            <w:hideMark/>
          </w:tcPr>
          <w:p w14:paraId="40CDCF80"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.020   </w:t>
            </w:r>
          </w:p>
        </w:tc>
        <w:tc>
          <w:tcPr>
            <w:tcW w:w="1137" w:type="dxa"/>
          </w:tcPr>
          <w:p w14:paraId="329E292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.008</w:t>
            </w:r>
          </w:p>
        </w:tc>
        <w:tc>
          <w:tcPr>
            <w:tcW w:w="1137" w:type="dxa"/>
            <w:noWrap/>
            <w:hideMark/>
          </w:tcPr>
          <w:p w14:paraId="789CE0B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2.57</w:t>
            </w:r>
          </w:p>
        </w:tc>
        <w:tc>
          <w:tcPr>
            <w:tcW w:w="1137" w:type="dxa"/>
            <w:noWrap/>
            <w:hideMark/>
          </w:tcPr>
          <w:p w14:paraId="3565540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w:t>
            </w:r>
          </w:p>
        </w:tc>
        <w:tc>
          <w:tcPr>
            <w:tcW w:w="1137" w:type="dxa"/>
            <w:noWrap/>
            <w:hideMark/>
          </w:tcPr>
          <w:p w14:paraId="0B56378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0.005</w:t>
            </w:r>
          </w:p>
        </w:tc>
        <w:tc>
          <w:tcPr>
            <w:tcW w:w="1137" w:type="dxa"/>
            <w:noWrap/>
            <w:hideMark/>
          </w:tcPr>
          <w:p w14:paraId="059D612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0.035</w:t>
            </w:r>
          </w:p>
        </w:tc>
      </w:tr>
      <w:tr w:rsidR="00B54D51" w:rsidRPr="00037AD4" w14:paraId="45694C6C" w14:textId="77777777" w:rsidTr="00401C67">
        <w:trPr>
          <w:trHeight w:val="320"/>
        </w:trPr>
        <w:tc>
          <w:tcPr>
            <w:tcW w:w="1492" w:type="dxa"/>
            <w:noWrap/>
            <w:hideMark/>
          </w:tcPr>
          <w:p w14:paraId="56ECAAB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w:t>
            </w:r>
          </w:p>
        </w:tc>
        <w:tc>
          <w:tcPr>
            <w:tcW w:w="1839" w:type="dxa"/>
            <w:noWrap/>
            <w:hideMark/>
          </w:tcPr>
          <w:p w14:paraId="505D0704"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.036 </w:t>
            </w:r>
          </w:p>
        </w:tc>
        <w:tc>
          <w:tcPr>
            <w:tcW w:w="1137" w:type="dxa"/>
          </w:tcPr>
          <w:p w14:paraId="1BE30B0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.013</w:t>
            </w:r>
          </w:p>
        </w:tc>
        <w:tc>
          <w:tcPr>
            <w:tcW w:w="1137" w:type="dxa"/>
            <w:noWrap/>
            <w:hideMark/>
          </w:tcPr>
          <w:p w14:paraId="702AFEE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2.66</w:t>
            </w:r>
          </w:p>
        </w:tc>
        <w:tc>
          <w:tcPr>
            <w:tcW w:w="1137" w:type="dxa"/>
            <w:noWrap/>
            <w:hideMark/>
          </w:tcPr>
          <w:p w14:paraId="3C82E62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0.008</w:t>
            </w:r>
          </w:p>
        </w:tc>
        <w:tc>
          <w:tcPr>
            <w:tcW w:w="1137" w:type="dxa"/>
            <w:noWrap/>
            <w:hideMark/>
          </w:tcPr>
          <w:p w14:paraId="04C50D9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0.009</w:t>
            </w:r>
          </w:p>
        </w:tc>
        <w:tc>
          <w:tcPr>
            <w:tcW w:w="1137" w:type="dxa"/>
            <w:noWrap/>
            <w:hideMark/>
          </w:tcPr>
          <w:p w14:paraId="16A7FB8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0.062</w:t>
            </w:r>
          </w:p>
        </w:tc>
      </w:tr>
      <w:tr w:rsidR="00B54D51" w:rsidRPr="00037AD4" w14:paraId="06745DD3" w14:textId="77777777" w:rsidTr="00401C67">
        <w:trPr>
          <w:trHeight w:val="320"/>
        </w:trPr>
        <w:tc>
          <w:tcPr>
            <w:tcW w:w="1492" w:type="dxa"/>
            <w:noWrap/>
            <w:hideMark/>
          </w:tcPr>
          <w:p w14:paraId="73A5B80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5</w:t>
            </w:r>
          </w:p>
        </w:tc>
        <w:tc>
          <w:tcPr>
            <w:tcW w:w="1839" w:type="dxa"/>
            <w:noWrap/>
            <w:hideMark/>
          </w:tcPr>
          <w:p w14:paraId="3791DADB"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.026  </w:t>
            </w:r>
          </w:p>
        </w:tc>
        <w:tc>
          <w:tcPr>
            <w:tcW w:w="1137" w:type="dxa"/>
          </w:tcPr>
          <w:p w14:paraId="7185D63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.009</w:t>
            </w:r>
          </w:p>
        </w:tc>
        <w:tc>
          <w:tcPr>
            <w:tcW w:w="1137" w:type="dxa"/>
            <w:noWrap/>
            <w:hideMark/>
          </w:tcPr>
          <w:p w14:paraId="3677702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2.75</w:t>
            </w:r>
          </w:p>
        </w:tc>
        <w:tc>
          <w:tcPr>
            <w:tcW w:w="1137" w:type="dxa"/>
            <w:noWrap/>
            <w:hideMark/>
          </w:tcPr>
          <w:p w14:paraId="1F15FA9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0.006</w:t>
            </w:r>
          </w:p>
        </w:tc>
        <w:tc>
          <w:tcPr>
            <w:tcW w:w="1137" w:type="dxa"/>
            <w:noWrap/>
            <w:hideMark/>
          </w:tcPr>
          <w:p w14:paraId="293BEAD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0.007</w:t>
            </w:r>
          </w:p>
        </w:tc>
        <w:tc>
          <w:tcPr>
            <w:tcW w:w="1137" w:type="dxa"/>
            <w:noWrap/>
            <w:hideMark/>
          </w:tcPr>
          <w:p w14:paraId="7AAE295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0.044</w:t>
            </w:r>
          </w:p>
        </w:tc>
      </w:tr>
    </w:tbl>
    <w:p w14:paraId="3940271E" w14:textId="77777777" w:rsidR="00B54D51" w:rsidRPr="00037AD4" w:rsidRDefault="00B54D51" w:rsidP="001D7ACE">
      <w:pPr>
        <w:rPr>
          <w:u w:val="single"/>
        </w:rPr>
      </w:pPr>
    </w:p>
    <w:p w14:paraId="6D297DF7" w14:textId="77777777" w:rsidR="00B54D51" w:rsidRPr="00037AD4" w:rsidRDefault="00B54D51" w:rsidP="001D7ACE">
      <w:pPr>
        <w:rPr>
          <w:rFonts w:asciiTheme="minorHAnsi" w:hAnsiTheme="minorHAnsi" w:cstheme="minorHAnsi"/>
          <w:color w:val="000000" w:themeColor="text1"/>
          <w:u w:val="single"/>
        </w:rPr>
      </w:pPr>
      <w:r w:rsidRPr="00037AD4">
        <w:rPr>
          <w:rFonts w:asciiTheme="minorHAnsi" w:hAnsiTheme="minorHAnsi" w:cstheme="minorHAnsi"/>
          <w:color w:val="000000" w:themeColor="text1"/>
          <w:u w:val="single"/>
        </w:rPr>
        <w:t xml:space="preserve">Table A6.3j, “Usual activities” predictive margins for ACTIFCARE data </w:t>
      </w:r>
    </w:p>
    <w:p w14:paraId="6BD2654A" w14:textId="77777777" w:rsidR="00B54D51" w:rsidRPr="00037AD4" w:rsidRDefault="00B54D51" w:rsidP="001D7ACE">
      <w:pPr>
        <w:rPr>
          <w:color w:val="000000" w:themeColor="text1"/>
        </w:rPr>
      </w:pPr>
    </w:p>
    <w:tbl>
      <w:tblPr>
        <w:tblStyle w:val="TableGrid"/>
        <w:tblW w:w="5107" w:type="pct"/>
        <w:tblLayout w:type="fixed"/>
        <w:tblLook w:val="04A0" w:firstRow="1" w:lastRow="0" w:firstColumn="1" w:lastColumn="0" w:noHBand="0" w:noVBand="1"/>
      </w:tblPr>
      <w:tblGrid>
        <w:gridCol w:w="2972"/>
        <w:gridCol w:w="1560"/>
        <w:gridCol w:w="792"/>
        <w:gridCol w:w="908"/>
        <w:gridCol w:w="851"/>
        <w:gridCol w:w="960"/>
        <w:gridCol w:w="1166"/>
      </w:tblGrid>
      <w:tr w:rsidR="00B54D51" w:rsidRPr="00037AD4" w14:paraId="20A383E4" w14:textId="77777777" w:rsidTr="00401C67">
        <w:trPr>
          <w:trHeight w:val="320"/>
        </w:trPr>
        <w:tc>
          <w:tcPr>
            <w:tcW w:w="1614" w:type="pct"/>
            <w:noWrap/>
            <w:hideMark/>
          </w:tcPr>
          <w:p w14:paraId="0184ABC4" w14:textId="77777777" w:rsidR="00B54D51" w:rsidRPr="00037AD4" w:rsidRDefault="00B54D51" w:rsidP="00401C67">
            <w:pPr>
              <w:rPr>
                <w:rFonts w:ascii="Calibri" w:hAnsi="Calibri" w:cs="Calibri"/>
                <w:b/>
                <w:bCs/>
                <w:color w:val="000000"/>
              </w:rPr>
            </w:pPr>
          </w:p>
        </w:tc>
        <w:tc>
          <w:tcPr>
            <w:tcW w:w="847" w:type="pct"/>
            <w:noWrap/>
            <w:hideMark/>
          </w:tcPr>
          <w:p w14:paraId="59BE369F" w14:textId="77777777" w:rsidR="00B54D51" w:rsidRPr="00037AD4" w:rsidRDefault="00B54D51" w:rsidP="00401C67">
            <w:pPr>
              <w:rPr>
                <w:rFonts w:ascii="Calibri" w:hAnsi="Calibri" w:cs="Calibri"/>
                <w:color w:val="000000"/>
              </w:rPr>
            </w:pPr>
            <w:r w:rsidRPr="00037AD4">
              <w:rPr>
                <w:rFonts w:ascii="Calibri" w:hAnsi="Calibri" w:cs="Calibri"/>
                <w:color w:val="000000"/>
              </w:rPr>
              <w:t>Predictive Margins</w:t>
            </w:r>
          </w:p>
        </w:tc>
        <w:tc>
          <w:tcPr>
            <w:tcW w:w="430" w:type="pct"/>
            <w:noWrap/>
            <w:hideMark/>
          </w:tcPr>
          <w:p w14:paraId="71426959" w14:textId="77777777" w:rsidR="00B54D51" w:rsidRPr="00037AD4" w:rsidRDefault="00B54D51" w:rsidP="00401C67">
            <w:pPr>
              <w:rPr>
                <w:rFonts w:ascii="Calibri" w:hAnsi="Calibri" w:cs="Calibri"/>
                <w:color w:val="000000"/>
              </w:rPr>
            </w:pPr>
            <w:r w:rsidRPr="00037AD4">
              <w:rPr>
                <w:rFonts w:ascii="Calibri" w:hAnsi="Calibri" w:cs="Calibri"/>
                <w:color w:val="000000"/>
              </w:rPr>
              <w:t>SE</w:t>
            </w:r>
          </w:p>
        </w:tc>
        <w:tc>
          <w:tcPr>
            <w:tcW w:w="493" w:type="pct"/>
            <w:noWrap/>
            <w:hideMark/>
          </w:tcPr>
          <w:p w14:paraId="1BD05CBE" w14:textId="77777777" w:rsidR="00B54D51" w:rsidRPr="00037AD4" w:rsidRDefault="00B54D51" w:rsidP="00401C67">
            <w:pPr>
              <w:rPr>
                <w:rFonts w:ascii="Calibri" w:hAnsi="Calibri" w:cs="Calibri"/>
                <w:color w:val="000000"/>
              </w:rPr>
            </w:pPr>
            <w:r w:rsidRPr="00037AD4">
              <w:rPr>
                <w:rFonts w:ascii="Calibri" w:hAnsi="Calibri" w:cs="Calibri"/>
                <w:color w:val="000000"/>
              </w:rPr>
              <w:t>z</w:t>
            </w:r>
          </w:p>
        </w:tc>
        <w:tc>
          <w:tcPr>
            <w:tcW w:w="462" w:type="pct"/>
            <w:noWrap/>
            <w:hideMark/>
          </w:tcPr>
          <w:p w14:paraId="23829D99" w14:textId="77777777" w:rsidR="00B54D51" w:rsidRPr="00037AD4" w:rsidRDefault="00B54D51" w:rsidP="00401C67">
            <w:pPr>
              <w:rPr>
                <w:rFonts w:ascii="Calibri" w:hAnsi="Calibri" w:cs="Calibri"/>
                <w:color w:val="000000"/>
              </w:rPr>
            </w:pPr>
            <w:r w:rsidRPr="00037AD4">
              <w:rPr>
                <w:rFonts w:ascii="Calibri" w:hAnsi="Calibri" w:cs="Calibri"/>
                <w:color w:val="000000"/>
              </w:rPr>
              <w:t>P&gt;z</w:t>
            </w:r>
          </w:p>
        </w:tc>
        <w:tc>
          <w:tcPr>
            <w:tcW w:w="1154" w:type="pct"/>
            <w:gridSpan w:val="2"/>
            <w:noWrap/>
            <w:hideMark/>
          </w:tcPr>
          <w:p w14:paraId="64E4AF60" w14:textId="77777777" w:rsidR="00B54D51" w:rsidRPr="00037AD4" w:rsidRDefault="00B54D51" w:rsidP="00401C67">
            <w:pPr>
              <w:rPr>
                <w:rFonts w:ascii="Calibri" w:hAnsi="Calibri" w:cs="Calibri"/>
                <w:color w:val="000000"/>
              </w:rPr>
            </w:pPr>
            <w:r w:rsidRPr="00037AD4">
              <w:rPr>
                <w:rFonts w:ascii="Calibri" w:hAnsi="Calibri" w:cs="Calibri"/>
                <w:color w:val="000000"/>
              </w:rPr>
              <w:t>[95% conf.</w:t>
            </w:r>
          </w:p>
          <w:p w14:paraId="3428E9F1" w14:textId="77777777" w:rsidR="00B54D51" w:rsidRPr="00037AD4" w:rsidRDefault="00B54D51" w:rsidP="00401C67">
            <w:pPr>
              <w:rPr>
                <w:rFonts w:ascii="Calibri" w:hAnsi="Calibri" w:cs="Calibri"/>
                <w:color w:val="000000"/>
              </w:rPr>
            </w:pPr>
            <w:r w:rsidRPr="00037AD4">
              <w:rPr>
                <w:rFonts w:ascii="Calibri" w:hAnsi="Calibri" w:cs="Calibri"/>
                <w:color w:val="000000"/>
              </w:rPr>
              <w:t>interval]</w:t>
            </w:r>
          </w:p>
        </w:tc>
      </w:tr>
      <w:tr w:rsidR="00B54D51" w:rsidRPr="00037AD4" w14:paraId="076AE925" w14:textId="77777777" w:rsidTr="00401C67">
        <w:trPr>
          <w:trHeight w:val="320"/>
        </w:trPr>
        <w:tc>
          <w:tcPr>
            <w:tcW w:w="5000" w:type="pct"/>
            <w:gridSpan w:val="7"/>
            <w:shd w:val="clear" w:color="auto" w:fill="E7E6E6" w:themeFill="background2"/>
            <w:noWrap/>
          </w:tcPr>
          <w:p w14:paraId="3C07844A" w14:textId="77777777" w:rsidR="00B54D51" w:rsidRPr="00037AD4" w:rsidRDefault="00B54D51" w:rsidP="00401C67">
            <w:pPr>
              <w:rPr>
                <w:rFonts w:ascii="Calibri" w:hAnsi="Calibri" w:cs="Calibri"/>
                <w:color w:val="000000"/>
              </w:rPr>
            </w:pPr>
            <w:r w:rsidRPr="00037AD4">
              <w:rPr>
                <w:rFonts w:cstheme="minorHAnsi"/>
              </w:rPr>
              <w:t>Predicted Probability of proxy ‘Self-Usual activities’ by PwD ‘Usual activities” Level Reports</w:t>
            </w:r>
          </w:p>
        </w:tc>
      </w:tr>
      <w:tr w:rsidR="00B54D51" w:rsidRPr="00037AD4" w14:paraId="40E01EAD" w14:textId="77777777" w:rsidTr="00401C67">
        <w:trPr>
          <w:trHeight w:val="320"/>
        </w:trPr>
        <w:tc>
          <w:tcPr>
            <w:tcW w:w="5000" w:type="pct"/>
            <w:gridSpan w:val="7"/>
            <w:shd w:val="clear" w:color="auto" w:fill="E7E6E6" w:themeFill="background2"/>
            <w:noWrap/>
          </w:tcPr>
          <w:p w14:paraId="2B7EF740" w14:textId="77777777" w:rsidR="00B54D51" w:rsidRPr="00037AD4" w:rsidRDefault="00B54D51" w:rsidP="00401C67">
            <w:pPr>
              <w:rPr>
                <w:rFonts w:ascii="Calibri" w:hAnsi="Calibri" w:cs="Calibri"/>
                <w:color w:val="000000"/>
              </w:rPr>
            </w:pPr>
            <w:r w:rsidRPr="00037AD4">
              <w:rPr>
                <w:rFonts w:cstheme="minorHAnsi"/>
              </w:rPr>
              <w:t>Predicted proxy: level one</w:t>
            </w:r>
          </w:p>
        </w:tc>
      </w:tr>
      <w:tr w:rsidR="00B54D51" w:rsidRPr="00037AD4" w14:paraId="7994ED23" w14:textId="77777777" w:rsidTr="00401C67">
        <w:trPr>
          <w:trHeight w:val="320"/>
        </w:trPr>
        <w:tc>
          <w:tcPr>
            <w:tcW w:w="1614" w:type="pct"/>
            <w:noWrap/>
            <w:hideMark/>
          </w:tcPr>
          <w:p w14:paraId="7105B72D" w14:textId="77777777" w:rsidR="00B54D51" w:rsidRPr="00037AD4" w:rsidRDefault="00B54D51" w:rsidP="00401C67">
            <w:pPr>
              <w:rPr>
                <w:rFonts w:ascii="Calibri" w:hAnsi="Calibri" w:cs="Calibri"/>
                <w:color w:val="000000"/>
              </w:rPr>
            </w:pPr>
            <w:r w:rsidRPr="00037AD4">
              <w:rPr>
                <w:rFonts w:cstheme="minorHAnsi"/>
              </w:rPr>
              <w:t xml:space="preserve">From level one PwD </w:t>
            </w:r>
          </w:p>
        </w:tc>
        <w:tc>
          <w:tcPr>
            <w:tcW w:w="847" w:type="pct"/>
            <w:noWrap/>
            <w:hideMark/>
          </w:tcPr>
          <w:p w14:paraId="03511B8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0.270</w:t>
            </w:r>
          </w:p>
        </w:tc>
        <w:tc>
          <w:tcPr>
            <w:tcW w:w="430" w:type="pct"/>
            <w:noWrap/>
            <w:hideMark/>
          </w:tcPr>
          <w:p w14:paraId="5998FBE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0.018</w:t>
            </w:r>
          </w:p>
        </w:tc>
        <w:tc>
          <w:tcPr>
            <w:tcW w:w="493" w:type="pct"/>
            <w:noWrap/>
            <w:hideMark/>
          </w:tcPr>
          <w:p w14:paraId="5D04B72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14.830</w:t>
            </w:r>
          </w:p>
        </w:tc>
        <w:tc>
          <w:tcPr>
            <w:tcW w:w="462" w:type="pct"/>
            <w:noWrap/>
            <w:hideMark/>
          </w:tcPr>
          <w:p w14:paraId="18F3CCD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521" w:type="pct"/>
            <w:noWrap/>
            <w:hideMark/>
          </w:tcPr>
          <w:p w14:paraId="5C05C38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0.234</w:t>
            </w:r>
          </w:p>
        </w:tc>
        <w:tc>
          <w:tcPr>
            <w:tcW w:w="633" w:type="pct"/>
            <w:noWrap/>
            <w:hideMark/>
          </w:tcPr>
          <w:p w14:paraId="642BA63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0.306</w:t>
            </w:r>
          </w:p>
        </w:tc>
      </w:tr>
      <w:tr w:rsidR="00B54D51" w:rsidRPr="00037AD4" w14:paraId="4DA7245F" w14:textId="77777777" w:rsidTr="00401C67">
        <w:trPr>
          <w:trHeight w:val="320"/>
        </w:trPr>
        <w:tc>
          <w:tcPr>
            <w:tcW w:w="1614" w:type="pct"/>
            <w:noWrap/>
            <w:hideMark/>
          </w:tcPr>
          <w:p w14:paraId="615A5166" w14:textId="77777777" w:rsidR="00B54D51" w:rsidRPr="00037AD4" w:rsidRDefault="00B54D51" w:rsidP="00401C67">
            <w:pPr>
              <w:rPr>
                <w:rFonts w:ascii="Calibri" w:hAnsi="Calibri" w:cs="Calibri"/>
                <w:color w:val="000000"/>
              </w:rPr>
            </w:pPr>
            <w:r w:rsidRPr="00037AD4">
              <w:rPr>
                <w:rFonts w:cstheme="minorHAnsi"/>
              </w:rPr>
              <w:lastRenderedPageBreak/>
              <w:t xml:space="preserve">From level two PwD </w:t>
            </w:r>
          </w:p>
        </w:tc>
        <w:tc>
          <w:tcPr>
            <w:tcW w:w="847" w:type="pct"/>
            <w:noWrap/>
            <w:hideMark/>
          </w:tcPr>
          <w:p w14:paraId="60F18F4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0.187</w:t>
            </w:r>
          </w:p>
        </w:tc>
        <w:tc>
          <w:tcPr>
            <w:tcW w:w="430" w:type="pct"/>
            <w:noWrap/>
            <w:hideMark/>
          </w:tcPr>
          <w:p w14:paraId="2E1316E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0.020</w:t>
            </w:r>
          </w:p>
        </w:tc>
        <w:tc>
          <w:tcPr>
            <w:tcW w:w="493" w:type="pct"/>
            <w:noWrap/>
            <w:hideMark/>
          </w:tcPr>
          <w:p w14:paraId="2D62498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9.410</w:t>
            </w:r>
          </w:p>
        </w:tc>
        <w:tc>
          <w:tcPr>
            <w:tcW w:w="462" w:type="pct"/>
            <w:noWrap/>
            <w:hideMark/>
          </w:tcPr>
          <w:p w14:paraId="2EAC717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521" w:type="pct"/>
            <w:noWrap/>
            <w:hideMark/>
          </w:tcPr>
          <w:p w14:paraId="288930B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0.148</w:t>
            </w:r>
          </w:p>
        </w:tc>
        <w:tc>
          <w:tcPr>
            <w:tcW w:w="633" w:type="pct"/>
            <w:noWrap/>
            <w:hideMark/>
          </w:tcPr>
          <w:p w14:paraId="321E40C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0.227</w:t>
            </w:r>
          </w:p>
        </w:tc>
      </w:tr>
      <w:tr w:rsidR="00B54D51" w:rsidRPr="00037AD4" w14:paraId="7243D4CB" w14:textId="77777777" w:rsidTr="00401C67">
        <w:trPr>
          <w:trHeight w:val="320"/>
        </w:trPr>
        <w:tc>
          <w:tcPr>
            <w:tcW w:w="1614" w:type="pct"/>
            <w:noWrap/>
            <w:hideMark/>
          </w:tcPr>
          <w:p w14:paraId="202B3ECF" w14:textId="77777777" w:rsidR="00B54D51" w:rsidRPr="00037AD4" w:rsidRDefault="00B54D51" w:rsidP="00401C67">
            <w:pPr>
              <w:rPr>
                <w:rFonts w:ascii="Calibri" w:hAnsi="Calibri" w:cs="Calibri"/>
                <w:color w:val="000000"/>
              </w:rPr>
            </w:pPr>
            <w:r w:rsidRPr="00037AD4">
              <w:rPr>
                <w:rFonts w:cstheme="minorHAnsi"/>
              </w:rPr>
              <w:t xml:space="preserve">From level three PwD </w:t>
            </w:r>
          </w:p>
        </w:tc>
        <w:tc>
          <w:tcPr>
            <w:tcW w:w="847" w:type="pct"/>
            <w:noWrap/>
            <w:hideMark/>
          </w:tcPr>
          <w:p w14:paraId="36154D1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0.141</w:t>
            </w:r>
          </w:p>
        </w:tc>
        <w:tc>
          <w:tcPr>
            <w:tcW w:w="430" w:type="pct"/>
            <w:noWrap/>
            <w:hideMark/>
          </w:tcPr>
          <w:p w14:paraId="6A3A2BB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0.021</w:t>
            </w:r>
          </w:p>
        </w:tc>
        <w:tc>
          <w:tcPr>
            <w:tcW w:w="493" w:type="pct"/>
            <w:noWrap/>
            <w:hideMark/>
          </w:tcPr>
          <w:p w14:paraId="54AAE6B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6.660</w:t>
            </w:r>
          </w:p>
        </w:tc>
        <w:tc>
          <w:tcPr>
            <w:tcW w:w="462" w:type="pct"/>
            <w:noWrap/>
            <w:hideMark/>
          </w:tcPr>
          <w:p w14:paraId="3B61C3E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521" w:type="pct"/>
            <w:noWrap/>
            <w:hideMark/>
          </w:tcPr>
          <w:p w14:paraId="30A59BC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0.099</w:t>
            </w:r>
          </w:p>
        </w:tc>
        <w:tc>
          <w:tcPr>
            <w:tcW w:w="633" w:type="pct"/>
            <w:noWrap/>
            <w:hideMark/>
          </w:tcPr>
          <w:p w14:paraId="5C56353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0.182</w:t>
            </w:r>
          </w:p>
        </w:tc>
      </w:tr>
      <w:tr w:rsidR="00B54D51" w:rsidRPr="00037AD4" w14:paraId="159428B9" w14:textId="77777777" w:rsidTr="00401C67">
        <w:trPr>
          <w:trHeight w:val="320"/>
        </w:trPr>
        <w:tc>
          <w:tcPr>
            <w:tcW w:w="1614" w:type="pct"/>
            <w:noWrap/>
            <w:hideMark/>
          </w:tcPr>
          <w:p w14:paraId="2F4765D6" w14:textId="77777777" w:rsidR="00B54D51" w:rsidRPr="00037AD4" w:rsidRDefault="00B54D51" w:rsidP="00401C67">
            <w:pPr>
              <w:rPr>
                <w:rFonts w:ascii="Calibri" w:hAnsi="Calibri" w:cs="Calibri"/>
                <w:color w:val="000000"/>
              </w:rPr>
            </w:pPr>
            <w:r w:rsidRPr="00037AD4">
              <w:rPr>
                <w:rFonts w:cstheme="minorHAnsi"/>
              </w:rPr>
              <w:t xml:space="preserve">From level four PwD </w:t>
            </w:r>
          </w:p>
        </w:tc>
        <w:tc>
          <w:tcPr>
            <w:tcW w:w="847" w:type="pct"/>
            <w:noWrap/>
            <w:hideMark/>
          </w:tcPr>
          <w:p w14:paraId="611A806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0.065</w:t>
            </w:r>
          </w:p>
        </w:tc>
        <w:tc>
          <w:tcPr>
            <w:tcW w:w="430" w:type="pct"/>
            <w:noWrap/>
            <w:hideMark/>
          </w:tcPr>
          <w:p w14:paraId="50BD026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0.022</w:t>
            </w:r>
          </w:p>
        </w:tc>
        <w:tc>
          <w:tcPr>
            <w:tcW w:w="493" w:type="pct"/>
            <w:noWrap/>
            <w:hideMark/>
          </w:tcPr>
          <w:p w14:paraId="7E12F7F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2.970</w:t>
            </w:r>
          </w:p>
        </w:tc>
        <w:tc>
          <w:tcPr>
            <w:tcW w:w="462" w:type="pct"/>
            <w:noWrap/>
            <w:hideMark/>
          </w:tcPr>
          <w:p w14:paraId="38BFE64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0.003</w:t>
            </w:r>
          </w:p>
        </w:tc>
        <w:tc>
          <w:tcPr>
            <w:tcW w:w="521" w:type="pct"/>
            <w:noWrap/>
            <w:hideMark/>
          </w:tcPr>
          <w:p w14:paraId="34F1C49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0.022</w:t>
            </w:r>
          </w:p>
        </w:tc>
        <w:tc>
          <w:tcPr>
            <w:tcW w:w="633" w:type="pct"/>
            <w:noWrap/>
            <w:hideMark/>
          </w:tcPr>
          <w:p w14:paraId="3A10122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0.109</w:t>
            </w:r>
          </w:p>
        </w:tc>
      </w:tr>
      <w:tr w:rsidR="00B54D51" w:rsidRPr="00037AD4" w14:paraId="29657F5E" w14:textId="77777777" w:rsidTr="00401C67">
        <w:trPr>
          <w:trHeight w:val="320"/>
        </w:trPr>
        <w:tc>
          <w:tcPr>
            <w:tcW w:w="1614" w:type="pct"/>
            <w:noWrap/>
            <w:hideMark/>
          </w:tcPr>
          <w:p w14:paraId="6FEB058A" w14:textId="77777777" w:rsidR="00B54D51" w:rsidRPr="00037AD4" w:rsidRDefault="00B54D51" w:rsidP="00401C67">
            <w:pPr>
              <w:rPr>
                <w:rFonts w:ascii="Calibri" w:hAnsi="Calibri" w:cs="Calibri"/>
                <w:color w:val="000000"/>
              </w:rPr>
            </w:pPr>
            <w:r w:rsidRPr="00037AD4">
              <w:rPr>
                <w:rFonts w:cstheme="minorHAnsi"/>
              </w:rPr>
              <w:t xml:space="preserve">From level five PwD </w:t>
            </w:r>
          </w:p>
        </w:tc>
        <w:tc>
          <w:tcPr>
            <w:tcW w:w="847" w:type="pct"/>
            <w:noWrap/>
            <w:hideMark/>
          </w:tcPr>
          <w:p w14:paraId="2640722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0.072</w:t>
            </w:r>
          </w:p>
        </w:tc>
        <w:tc>
          <w:tcPr>
            <w:tcW w:w="430" w:type="pct"/>
            <w:noWrap/>
            <w:hideMark/>
          </w:tcPr>
          <w:p w14:paraId="1167EEC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0.036</w:t>
            </w:r>
          </w:p>
        </w:tc>
        <w:tc>
          <w:tcPr>
            <w:tcW w:w="493" w:type="pct"/>
            <w:noWrap/>
            <w:hideMark/>
          </w:tcPr>
          <w:p w14:paraId="5B3F188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2.010</w:t>
            </w:r>
          </w:p>
        </w:tc>
        <w:tc>
          <w:tcPr>
            <w:tcW w:w="462" w:type="pct"/>
            <w:noWrap/>
            <w:hideMark/>
          </w:tcPr>
          <w:p w14:paraId="1E9C2E7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0.044</w:t>
            </w:r>
          </w:p>
        </w:tc>
        <w:tc>
          <w:tcPr>
            <w:tcW w:w="521" w:type="pct"/>
            <w:noWrap/>
            <w:hideMark/>
          </w:tcPr>
          <w:p w14:paraId="68B01D2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0.002</w:t>
            </w:r>
          </w:p>
        </w:tc>
        <w:tc>
          <w:tcPr>
            <w:tcW w:w="633" w:type="pct"/>
            <w:noWrap/>
            <w:hideMark/>
          </w:tcPr>
          <w:p w14:paraId="475BD77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0.142</w:t>
            </w:r>
          </w:p>
        </w:tc>
      </w:tr>
      <w:tr w:rsidR="00B54D51" w:rsidRPr="00037AD4" w14:paraId="22231A05" w14:textId="77777777" w:rsidTr="00401C67">
        <w:trPr>
          <w:trHeight w:val="320"/>
        </w:trPr>
        <w:tc>
          <w:tcPr>
            <w:tcW w:w="5000" w:type="pct"/>
            <w:gridSpan w:val="7"/>
            <w:shd w:val="clear" w:color="auto" w:fill="E7E6E6" w:themeFill="background2"/>
            <w:noWrap/>
          </w:tcPr>
          <w:p w14:paraId="35D40726" w14:textId="77777777" w:rsidR="00B54D51" w:rsidRPr="00037AD4" w:rsidRDefault="00B54D51" w:rsidP="00401C67">
            <w:pPr>
              <w:rPr>
                <w:rFonts w:ascii="Calibri" w:hAnsi="Calibri" w:cs="Calibri"/>
                <w:color w:val="000000"/>
              </w:rPr>
            </w:pPr>
            <w:r w:rsidRPr="00037AD4">
              <w:rPr>
                <w:rFonts w:cstheme="minorHAnsi"/>
              </w:rPr>
              <w:t>Predicted proxy: level two</w:t>
            </w:r>
          </w:p>
        </w:tc>
      </w:tr>
      <w:tr w:rsidR="00B54D51" w:rsidRPr="00037AD4" w14:paraId="23E89F19" w14:textId="77777777" w:rsidTr="00401C67">
        <w:trPr>
          <w:trHeight w:val="320"/>
        </w:trPr>
        <w:tc>
          <w:tcPr>
            <w:tcW w:w="1614" w:type="pct"/>
            <w:noWrap/>
            <w:hideMark/>
          </w:tcPr>
          <w:p w14:paraId="37A9E3CB" w14:textId="77777777" w:rsidR="00B54D51" w:rsidRPr="00037AD4" w:rsidRDefault="00B54D51" w:rsidP="00401C67">
            <w:pPr>
              <w:rPr>
                <w:rFonts w:ascii="Calibri" w:hAnsi="Calibri" w:cs="Calibri"/>
                <w:color w:val="000000"/>
              </w:rPr>
            </w:pPr>
            <w:r w:rsidRPr="00037AD4">
              <w:rPr>
                <w:rFonts w:cstheme="minorHAnsi"/>
              </w:rPr>
              <w:t xml:space="preserve">From level one PwD </w:t>
            </w:r>
          </w:p>
        </w:tc>
        <w:tc>
          <w:tcPr>
            <w:tcW w:w="847" w:type="pct"/>
            <w:noWrap/>
            <w:hideMark/>
          </w:tcPr>
          <w:p w14:paraId="0B94C28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0.269</w:t>
            </w:r>
          </w:p>
        </w:tc>
        <w:tc>
          <w:tcPr>
            <w:tcW w:w="430" w:type="pct"/>
            <w:noWrap/>
            <w:hideMark/>
          </w:tcPr>
          <w:p w14:paraId="64F6ADF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0.017</w:t>
            </w:r>
          </w:p>
        </w:tc>
        <w:tc>
          <w:tcPr>
            <w:tcW w:w="493" w:type="pct"/>
            <w:noWrap/>
            <w:hideMark/>
          </w:tcPr>
          <w:p w14:paraId="667C0A0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16.120</w:t>
            </w:r>
          </w:p>
        </w:tc>
        <w:tc>
          <w:tcPr>
            <w:tcW w:w="462" w:type="pct"/>
            <w:noWrap/>
            <w:hideMark/>
          </w:tcPr>
          <w:p w14:paraId="3F98DA8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521" w:type="pct"/>
            <w:noWrap/>
            <w:hideMark/>
          </w:tcPr>
          <w:p w14:paraId="6605154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0.236</w:t>
            </w:r>
          </w:p>
        </w:tc>
        <w:tc>
          <w:tcPr>
            <w:tcW w:w="633" w:type="pct"/>
            <w:noWrap/>
            <w:hideMark/>
          </w:tcPr>
          <w:p w14:paraId="6C0F597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0.301</w:t>
            </w:r>
          </w:p>
        </w:tc>
      </w:tr>
      <w:tr w:rsidR="00B54D51" w:rsidRPr="00037AD4" w14:paraId="4C1776B1" w14:textId="77777777" w:rsidTr="00401C67">
        <w:trPr>
          <w:trHeight w:val="320"/>
        </w:trPr>
        <w:tc>
          <w:tcPr>
            <w:tcW w:w="1614" w:type="pct"/>
            <w:noWrap/>
            <w:hideMark/>
          </w:tcPr>
          <w:p w14:paraId="2E2C4CA3" w14:textId="77777777" w:rsidR="00B54D51" w:rsidRPr="00037AD4" w:rsidRDefault="00B54D51" w:rsidP="00401C67">
            <w:pPr>
              <w:rPr>
                <w:rFonts w:ascii="Calibri" w:hAnsi="Calibri" w:cs="Calibri"/>
                <w:color w:val="000000"/>
              </w:rPr>
            </w:pPr>
            <w:r w:rsidRPr="00037AD4">
              <w:rPr>
                <w:rFonts w:cstheme="minorHAnsi"/>
              </w:rPr>
              <w:t xml:space="preserve">From level two PwD </w:t>
            </w:r>
          </w:p>
        </w:tc>
        <w:tc>
          <w:tcPr>
            <w:tcW w:w="847" w:type="pct"/>
            <w:noWrap/>
            <w:hideMark/>
          </w:tcPr>
          <w:p w14:paraId="7484D8C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0.245</w:t>
            </w:r>
          </w:p>
        </w:tc>
        <w:tc>
          <w:tcPr>
            <w:tcW w:w="430" w:type="pct"/>
            <w:noWrap/>
            <w:hideMark/>
          </w:tcPr>
          <w:p w14:paraId="277D937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0.017</w:t>
            </w:r>
          </w:p>
        </w:tc>
        <w:tc>
          <w:tcPr>
            <w:tcW w:w="493" w:type="pct"/>
            <w:noWrap/>
            <w:hideMark/>
          </w:tcPr>
          <w:p w14:paraId="178F7DE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14.240</w:t>
            </w:r>
          </w:p>
        </w:tc>
        <w:tc>
          <w:tcPr>
            <w:tcW w:w="462" w:type="pct"/>
            <w:noWrap/>
            <w:hideMark/>
          </w:tcPr>
          <w:p w14:paraId="76DE8EF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521" w:type="pct"/>
            <w:noWrap/>
            <w:hideMark/>
          </w:tcPr>
          <w:p w14:paraId="531F777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0.211</w:t>
            </w:r>
          </w:p>
        </w:tc>
        <w:tc>
          <w:tcPr>
            <w:tcW w:w="633" w:type="pct"/>
            <w:noWrap/>
            <w:hideMark/>
          </w:tcPr>
          <w:p w14:paraId="7936F30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0.278</w:t>
            </w:r>
          </w:p>
        </w:tc>
      </w:tr>
      <w:tr w:rsidR="00B54D51" w:rsidRPr="00037AD4" w14:paraId="02F759BC" w14:textId="77777777" w:rsidTr="00401C67">
        <w:trPr>
          <w:trHeight w:val="320"/>
        </w:trPr>
        <w:tc>
          <w:tcPr>
            <w:tcW w:w="1614" w:type="pct"/>
            <w:noWrap/>
            <w:hideMark/>
          </w:tcPr>
          <w:p w14:paraId="3B314209" w14:textId="77777777" w:rsidR="00B54D51" w:rsidRPr="00037AD4" w:rsidRDefault="00B54D51" w:rsidP="00401C67">
            <w:pPr>
              <w:rPr>
                <w:rFonts w:ascii="Calibri" w:hAnsi="Calibri" w:cs="Calibri"/>
                <w:color w:val="000000"/>
              </w:rPr>
            </w:pPr>
            <w:r w:rsidRPr="00037AD4">
              <w:rPr>
                <w:rFonts w:cstheme="minorHAnsi"/>
              </w:rPr>
              <w:t xml:space="preserve">From level three PwD </w:t>
            </w:r>
          </w:p>
        </w:tc>
        <w:tc>
          <w:tcPr>
            <w:tcW w:w="847" w:type="pct"/>
            <w:noWrap/>
            <w:hideMark/>
          </w:tcPr>
          <w:p w14:paraId="6BBF360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0.220</w:t>
            </w:r>
          </w:p>
        </w:tc>
        <w:tc>
          <w:tcPr>
            <w:tcW w:w="430" w:type="pct"/>
            <w:noWrap/>
            <w:hideMark/>
          </w:tcPr>
          <w:p w14:paraId="21886D7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0.017</w:t>
            </w:r>
          </w:p>
        </w:tc>
        <w:tc>
          <w:tcPr>
            <w:tcW w:w="493" w:type="pct"/>
            <w:noWrap/>
            <w:hideMark/>
          </w:tcPr>
          <w:p w14:paraId="09DBDCE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12.930</w:t>
            </w:r>
          </w:p>
        </w:tc>
        <w:tc>
          <w:tcPr>
            <w:tcW w:w="462" w:type="pct"/>
            <w:noWrap/>
            <w:hideMark/>
          </w:tcPr>
          <w:p w14:paraId="52B7252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521" w:type="pct"/>
            <w:noWrap/>
            <w:hideMark/>
          </w:tcPr>
          <w:p w14:paraId="5718ED5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0.187</w:t>
            </w:r>
          </w:p>
        </w:tc>
        <w:tc>
          <w:tcPr>
            <w:tcW w:w="633" w:type="pct"/>
            <w:noWrap/>
            <w:hideMark/>
          </w:tcPr>
          <w:p w14:paraId="7256B1F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0.253</w:t>
            </w:r>
          </w:p>
        </w:tc>
      </w:tr>
      <w:tr w:rsidR="00B54D51" w:rsidRPr="00037AD4" w14:paraId="2372859D" w14:textId="77777777" w:rsidTr="00401C67">
        <w:trPr>
          <w:trHeight w:val="320"/>
        </w:trPr>
        <w:tc>
          <w:tcPr>
            <w:tcW w:w="1614" w:type="pct"/>
            <w:noWrap/>
            <w:hideMark/>
          </w:tcPr>
          <w:p w14:paraId="663A2988" w14:textId="77777777" w:rsidR="00B54D51" w:rsidRPr="00037AD4" w:rsidRDefault="00B54D51" w:rsidP="00401C67">
            <w:pPr>
              <w:rPr>
                <w:rFonts w:ascii="Calibri" w:hAnsi="Calibri" w:cs="Calibri"/>
                <w:color w:val="000000"/>
              </w:rPr>
            </w:pPr>
            <w:r w:rsidRPr="00037AD4">
              <w:rPr>
                <w:rFonts w:cstheme="minorHAnsi"/>
              </w:rPr>
              <w:t xml:space="preserve">From level four PwD </w:t>
            </w:r>
          </w:p>
        </w:tc>
        <w:tc>
          <w:tcPr>
            <w:tcW w:w="847" w:type="pct"/>
            <w:noWrap/>
            <w:hideMark/>
          </w:tcPr>
          <w:p w14:paraId="6058350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0.153</w:t>
            </w:r>
          </w:p>
        </w:tc>
        <w:tc>
          <w:tcPr>
            <w:tcW w:w="430" w:type="pct"/>
            <w:noWrap/>
            <w:hideMark/>
          </w:tcPr>
          <w:p w14:paraId="32F635B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0.028</w:t>
            </w:r>
          </w:p>
        </w:tc>
        <w:tc>
          <w:tcPr>
            <w:tcW w:w="493" w:type="pct"/>
            <w:noWrap/>
            <w:hideMark/>
          </w:tcPr>
          <w:p w14:paraId="2A786D5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5.430</w:t>
            </w:r>
          </w:p>
        </w:tc>
        <w:tc>
          <w:tcPr>
            <w:tcW w:w="462" w:type="pct"/>
            <w:noWrap/>
            <w:hideMark/>
          </w:tcPr>
          <w:p w14:paraId="6907D96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521" w:type="pct"/>
            <w:noWrap/>
            <w:hideMark/>
          </w:tcPr>
          <w:p w14:paraId="6D2D329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0.098</w:t>
            </w:r>
          </w:p>
        </w:tc>
        <w:tc>
          <w:tcPr>
            <w:tcW w:w="633" w:type="pct"/>
            <w:noWrap/>
            <w:hideMark/>
          </w:tcPr>
          <w:p w14:paraId="79FABEB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0.208</w:t>
            </w:r>
          </w:p>
        </w:tc>
      </w:tr>
      <w:tr w:rsidR="00B54D51" w:rsidRPr="00037AD4" w14:paraId="78984E20" w14:textId="77777777" w:rsidTr="00401C67">
        <w:trPr>
          <w:trHeight w:val="320"/>
        </w:trPr>
        <w:tc>
          <w:tcPr>
            <w:tcW w:w="1614" w:type="pct"/>
            <w:noWrap/>
            <w:hideMark/>
          </w:tcPr>
          <w:p w14:paraId="7B7C8E81" w14:textId="77777777" w:rsidR="00B54D51" w:rsidRPr="00037AD4" w:rsidRDefault="00B54D51" w:rsidP="00401C67">
            <w:pPr>
              <w:rPr>
                <w:rFonts w:ascii="Calibri" w:hAnsi="Calibri" w:cs="Calibri"/>
                <w:color w:val="000000"/>
              </w:rPr>
            </w:pPr>
            <w:r w:rsidRPr="00037AD4">
              <w:rPr>
                <w:rFonts w:cstheme="minorHAnsi"/>
              </w:rPr>
              <w:t xml:space="preserve">From level five PwD </w:t>
            </w:r>
          </w:p>
        </w:tc>
        <w:tc>
          <w:tcPr>
            <w:tcW w:w="847" w:type="pct"/>
            <w:noWrap/>
            <w:hideMark/>
          </w:tcPr>
          <w:p w14:paraId="7473ED1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0.161</w:t>
            </w:r>
          </w:p>
        </w:tc>
        <w:tc>
          <w:tcPr>
            <w:tcW w:w="430" w:type="pct"/>
            <w:noWrap/>
            <w:hideMark/>
          </w:tcPr>
          <w:p w14:paraId="1E5B598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0.041</w:t>
            </w:r>
          </w:p>
        </w:tc>
        <w:tc>
          <w:tcPr>
            <w:tcW w:w="493" w:type="pct"/>
            <w:noWrap/>
            <w:hideMark/>
          </w:tcPr>
          <w:p w14:paraId="3185951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3.880</w:t>
            </w:r>
          </w:p>
        </w:tc>
        <w:tc>
          <w:tcPr>
            <w:tcW w:w="462" w:type="pct"/>
            <w:noWrap/>
            <w:hideMark/>
          </w:tcPr>
          <w:p w14:paraId="6CB5440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521" w:type="pct"/>
            <w:noWrap/>
            <w:hideMark/>
          </w:tcPr>
          <w:p w14:paraId="0100CFD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0.080</w:t>
            </w:r>
          </w:p>
        </w:tc>
        <w:tc>
          <w:tcPr>
            <w:tcW w:w="633" w:type="pct"/>
            <w:noWrap/>
            <w:hideMark/>
          </w:tcPr>
          <w:p w14:paraId="17321D3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0.242</w:t>
            </w:r>
          </w:p>
        </w:tc>
      </w:tr>
      <w:tr w:rsidR="00B54D51" w:rsidRPr="00037AD4" w14:paraId="6936D51F" w14:textId="77777777" w:rsidTr="00401C67">
        <w:trPr>
          <w:trHeight w:val="320"/>
        </w:trPr>
        <w:tc>
          <w:tcPr>
            <w:tcW w:w="5000" w:type="pct"/>
            <w:gridSpan w:val="7"/>
            <w:shd w:val="clear" w:color="auto" w:fill="E7E6E6" w:themeFill="background2"/>
            <w:noWrap/>
          </w:tcPr>
          <w:p w14:paraId="05FA2A56" w14:textId="77777777" w:rsidR="00B54D51" w:rsidRPr="00037AD4" w:rsidRDefault="00B54D51" w:rsidP="00401C67">
            <w:pPr>
              <w:rPr>
                <w:rFonts w:ascii="Calibri" w:hAnsi="Calibri" w:cs="Calibri"/>
                <w:color w:val="000000"/>
              </w:rPr>
            </w:pPr>
            <w:r w:rsidRPr="00037AD4">
              <w:rPr>
                <w:rFonts w:cstheme="minorHAnsi"/>
              </w:rPr>
              <w:t>Predicted proxy: level three</w:t>
            </w:r>
          </w:p>
        </w:tc>
      </w:tr>
      <w:tr w:rsidR="00B54D51" w:rsidRPr="00037AD4" w14:paraId="375D3C7F" w14:textId="77777777" w:rsidTr="00401C67">
        <w:trPr>
          <w:trHeight w:val="320"/>
        </w:trPr>
        <w:tc>
          <w:tcPr>
            <w:tcW w:w="1614" w:type="pct"/>
            <w:noWrap/>
            <w:hideMark/>
          </w:tcPr>
          <w:p w14:paraId="779AE2B8" w14:textId="77777777" w:rsidR="00B54D51" w:rsidRPr="00037AD4" w:rsidRDefault="00B54D51" w:rsidP="00401C67">
            <w:pPr>
              <w:rPr>
                <w:rFonts w:ascii="Calibri" w:hAnsi="Calibri" w:cs="Calibri"/>
                <w:color w:val="000000"/>
              </w:rPr>
            </w:pPr>
            <w:r w:rsidRPr="00037AD4">
              <w:rPr>
                <w:rFonts w:cstheme="minorHAnsi"/>
              </w:rPr>
              <w:t xml:space="preserve">From level one PwD </w:t>
            </w:r>
          </w:p>
        </w:tc>
        <w:tc>
          <w:tcPr>
            <w:tcW w:w="847" w:type="pct"/>
            <w:noWrap/>
            <w:hideMark/>
          </w:tcPr>
          <w:p w14:paraId="0BF8B29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0.282</w:t>
            </w:r>
          </w:p>
        </w:tc>
        <w:tc>
          <w:tcPr>
            <w:tcW w:w="430" w:type="pct"/>
            <w:noWrap/>
            <w:hideMark/>
          </w:tcPr>
          <w:p w14:paraId="5EE82D8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0.017</w:t>
            </w:r>
          </w:p>
        </w:tc>
        <w:tc>
          <w:tcPr>
            <w:tcW w:w="493" w:type="pct"/>
            <w:noWrap/>
            <w:hideMark/>
          </w:tcPr>
          <w:p w14:paraId="0C27C31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16.130</w:t>
            </w:r>
          </w:p>
        </w:tc>
        <w:tc>
          <w:tcPr>
            <w:tcW w:w="462" w:type="pct"/>
            <w:noWrap/>
            <w:hideMark/>
          </w:tcPr>
          <w:p w14:paraId="6C7395B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521" w:type="pct"/>
            <w:noWrap/>
            <w:hideMark/>
          </w:tcPr>
          <w:p w14:paraId="2943FB0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0.248</w:t>
            </w:r>
          </w:p>
        </w:tc>
        <w:tc>
          <w:tcPr>
            <w:tcW w:w="633" w:type="pct"/>
            <w:noWrap/>
            <w:hideMark/>
          </w:tcPr>
          <w:p w14:paraId="300127B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0.316</w:t>
            </w:r>
          </w:p>
        </w:tc>
      </w:tr>
      <w:tr w:rsidR="00B54D51" w:rsidRPr="00037AD4" w14:paraId="53196186" w14:textId="77777777" w:rsidTr="00401C67">
        <w:trPr>
          <w:trHeight w:val="320"/>
        </w:trPr>
        <w:tc>
          <w:tcPr>
            <w:tcW w:w="1614" w:type="pct"/>
            <w:noWrap/>
            <w:hideMark/>
          </w:tcPr>
          <w:p w14:paraId="0EE6A3A4" w14:textId="77777777" w:rsidR="00B54D51" w:rsidRPr="00037AD4" w:rsidRDefault="00B54D51" w:rsidP="00401C67">
            <w:pPr>
              <w:rPr>
                <w:rFonts w:ascii="Calibri" w:hAnsi="Calibri" w:cs="Calibri"/>
                <w:color w:val="000000"/>
              </w:rPr>
            </w:pPr>
            <w:r w:rsidRPr="00037AD4">
              <w:rPr>
                <w:rFonts w:cstheme="minorHAnsi"/>
              </w:rPr>
              <w:t xml:space="preserve">From level two PwD </w:t>
            </w:r>
          </w:p>
        </w:tc>
        <w:tc>
          <w:tcPr>
            <w:tcW w:w="847" w:type="pct"/>
            <w:noWrap/>
            <w:hideMark/>
          </w:tcPr>
          <w:p w14:paraId="4120735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0.310</w:t>
            </w:r>
          </w:p>
        </w:tc>
        <w:tc>
          <w:tcPr>
            <w:tcW w:w="430" w:type="pct"/>
            <w:noWrap/>
            <w:hideMark/>
          </w:tcPr>
          <w:p w14:paraId="14F5A34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0.019</w:t>
            </w:r>
          </w:p>
        </w:tc>
        <w:tc>
          <w:tcPr>
            <w:tcW w:w="493" w:type="pct"/>
            <w:noWrap/>
            <w:hideMark/>
          </w:tcPr>
          <w:p w14:paraId="2E84B58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16.360</w:t>
            </w:r>
          </w:p>
        </w:tc>
        <w:tc>
          <w:tcPr>
            <w:tcW w:w="462" w:type="pct"/>
            <w:noWrap/>
            <w:hideMark/>
          </w:tcPr>
          <w:p w14:paraId="3433D4E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521" w:type="pct"/>
            <w:noWrap/>
            <w:hideMark/>
          </w:tcPr>
          <w:p w14:paraId="437A8C5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0.273</w:t>
            </w:r>
          </w:p>
        </w:tc>
        <w:tc>
          <w:tcPr>
            <w:tcW w:w="633" w:type="pct"/>
            <w:noWrap/>
            <w:hideMark/>
          </w:tcPr>
          <w:p w14:paraId="4F67905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0.347</w:t>
            </w:r>
          </w:p>
        </w:tc>
      </w:tr>
      <w:tr w:rsidR="00B54D51" w:rsidRPr="00037AD4" w14:paraId="2C1A5CC9" w14:textId="77777777" w:rsidTr="00401C67">
        <w:trPr>
          <w:trHeight w:val="320"/>
        </w:trPr>
        <w:tc>
          <w:tcPr>
            <w:tcW w:w="1614" w:type="pct"/>
            <w:noWrap/>
            <w:hideMark/>
          </w:tcPr>
          <w:p w14:paraId="0FBF3E8E" w14:textId="77777777" w:rsidR="00B54D51" w:rsidRPr="00037AD4" w:rsidRDefault="00B54D51" w:rsidP="00401C67">
            <w:pPr>
              <w:rPr>
                <w:rFonts w:ascii="Calibri" w:hAnsi="Calibri" w:cs="Calibri"/>
                <w:color w:val="000000"/>
              </w:rPr>
            </w:pPr>
            <w:r w:rsidRPr="00037AD4">
              <w:rPr>
                <w:rFonts w:cstheme="minorHAnsi"/>
              </w:rPr>
              <w:t xml:space="preserve">From level three PwD </w:t>
            </w:r>
          </w:p>
        </w:tc>
        <w:tc>
          <w:tcPr>
            <w:tcW w:w="847" w:type="pct"/>
            <w:noWrap/>
            <w:hideMark/>
          </w:tcPr>
          <w:p w14:paraId="36CF7E2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0.319</w:t>
            </w:r>
          </w:p>
        </w:tc>
        <w:tc>
          <w:tcPr>
            <w:tcW w:w="430" w:type="pct"/>
            <w:noWrap/>
            <w:hideMark/>
          </w:tcPr>
          <w:p w14:paraId="5126F98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0.019</w:t>
            </w:r>
          </w:p>
        </w:tc>
        <w:tc>
          <w:tcPr>
            <w:tcW w:w="493" w:type="pct"/>
            <w:noWrap/>
            <w:hideMark/>
          </w:tcPr>
          <w:p w14:paraId="5F3F90B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16.630</w:t>
            </w:r>
          </w:p>
        </w:tc>
        <w:tc>
          <w:tcPr>
            <w:tcW w:w="462" w:type="pct"/>
            <w:noWrap/>
            <w:hideMark/>
          </w:tcPr>
          <w:p w14:paraId="249F090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521" w:type="pct"/>
            <w:noWrap/>
            <w:hideMark/>
          </w:tcPr>
          <w:p w14:paraId="04294D6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0.282</w:t>
            </w:r>
          </w:p>
        </w:tc>
        <w:tc>
          <w:tcPr>
            <w:tcW w:w="633" w:type="pct"/>
            <w:noWrap/>
            <w:hideMark/>
          </w:tcPr>
          <w:p w14:paraId="3F89FF7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0.357</w:t>
            </w:r>
          </w:p>
        </w:tc>
      </w:tr>
      <w:tr w:rsidR="00B54D51" w:rsidRPr="00037AD4" w14:paraId="31FDEED6" w14:textId="77777777" w:rsidTr="00401C67">
        <w:trPr>
          <w:trHeight w:val="320"/>
        </w:trPr>
        <w:tc>
          <w:tcPr>
            <w:tcW w:w="1614" w:type="pct"/>
            <w:noWrap/>
            <w:hideMark/>
          </w:tcPr>
          <w:p w14:paraId="0A665BB9" w14:textId="77777777" w:rsidR="00B54D51" w:rsidRPr="00037AD4" w:rsidRDefault="00B54D51" w:rsidP="00401C67">
            <w:pPr>
              <w:rPr>
                <w:rFonts w:ascii="Calibri" w:hAnsi="Calibri" w:cs="Calibri"/>
                <w:color w:val="000000"/>
              </w:rPr>
            </w:pPr>
            <w:r w:rsidRPr="00037AD4">
              <w:rPr>
                <w:rFonts w:cstheme="minorHAnsi"/>
              </w:rPr>
              <w:t xml:space="preserve">From level four PwD </w:t>
            </w:r>
          </w:p>
        </w:tc>
        <w:tc>
          <w:tcPr>
            <w:tcW w:w="847" w:type="pct"/>
            <w:noWrap/>
            <w:hideMark/>
          </w:tcPr>
          <w:p w14:paraId="13D96D6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0.303</w:t>
            </w:r>
          </w:p>
        </w:tc>
        <w:tc>
          <w:tcPr>
            <w:tcW w:w="430" w:type="pct"/>
            <w:noWrap/>
            <w:hideMark/>
          </w:tcPr>
          <w:p w14:paraId="1745B2F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0.021</w:t>
            </w:r>
          </w:p>
        </w:tc>
        <w:tc>
          <w:tcPr>
            <w:tcW w:w="493" w:type="pct"/>
            <w:noWrap/>
            <w:hideMark/>
          </w:tcPr>
          <w:p w14:paraId="67EEDB2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14.430</w:t>
            </w:r>
          </w:p>
        </w:tc>
        <w:tc>
          <w:tcPr>
            <w:tcW w:w="462" w:type="pct"/>
            <w:noWrap/>
            <w:hideMark/>
          </w:tcPr>
          <w:p w14:paraId="515A874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521" w:type="pct"/>
            <w:noWrap/>
            <w:hideMark/>
          </w:tcPr>
          <w:p w14:paraId="1905021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0.262</w:t>
            </w:r>
          </w:p>
        </w:tc>
        <w:tc>
          <w:tcPr>
            <w:tcW w:w="633" w:type="pct"/>
            <w:noWrap/>
            <w:hideMark/>
          </w:tcPr>
          <w:p w14:paraId="702E0EE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0.344</w:t>
            </w:r>
          </w:p>
        </w:tc>
      </w:tr>
      <w:tr w:rsidR="00B54D51" w:rsidRPr="00037AD4" w14:paraId="41106944" w14:textId="77777777" w:rsidTr="00401C67">
        <w:trPr>
          <w:trHeight w:val="320"/>
        </w:trPr>
        <w:tc>
          <w:tcPr>
            <w:tcW w:w="1614" w:type="pct"/>
            <w:noWrap/>
            <w:hideMark/>
          </w:tcPr>
          <w:p w14:paraId="75C04F98" w14:textId="77777777" w:rsidR="00B54D51" w:rsidRPr="00037AD4" w:rsidRDefault="00B54D51" w:rsidP="00401C67">
            <w:pPr>
              <w:rPr>
                <w:rFonts w:ascii="Calibri" w:hAnsi="Calibri" w:cs="Calibri"/>
                <w:color w:val="000000"/>
              </w:rPr>
            </w:pPr>
            <w:r w:rsidRPr="00037AD4">
              <w:rPr>
                <w:rFonts w:cstheme="minorHAnsi"/>
              </w:rPr>
              <w:t xml:space="preserve">From level five PwD </w:t>
            </w:r>
          </w:p>
        </w:tc>
        <w:tc>
          <w:tcPr>
            <w:tcW w:w="847" w:type="pct"/>
            <w:noWrap/>
            <w:hideMark/>
          </w:tcPr>
          <w:p w14:paraId="6DBA81D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0.308</w:t>
            </w:r>
          </w:p>
        </w:tc>
        <w:tc>
          <w:tcPr>
            <w:tcW w:w="430" w:type="pct"/>
            <w:noWrap/>
            <w:hideMark/>
          </w:tcPr>
          <w:p w14:paraId="2713E64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0.026</w:t>
            </w:r>
          </w:p>
        </w:tc>
        <w:tc>
          <w:tcPr>
            <w:tcW w:w="493" w:type="pct"/>
            <w:noWrap/>
            <w:hideMark/>
          </w:tcPr>
          <w:p w14:paraId="41751AA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11.800</w:t>
            </w:r>
          </w:p>
        </w:tc>
        <w:tc>
          <w:tcPr>
            <w:tcW w:w="462" w:type="pct"/>
            <w:noWrap/>
            <w:hideMark/>
          </w:tcPr>
          <w:p w14:paraId="448CB76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521" w:type="pct"/>
            <w:noWrap/>
            <w:hideMark/>
          </w:tcPr>
          <w:p w14:paraId="656608B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0.257</w:t>
            </w:r>
          </w:p>
        </w:tc>
        <w:tc>
          <w:tcPr>
            <w:tcW w:w="633" w:type="pct"/>
            <w:noWrap/>
            <w:hideMark/>
          </w:tcPr>
          <w:p w14:paraId="166879A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0.359</w:t>
            </w:r>
          </w:p>
        </w:tc>
      </w:tr>
      <w:tr w:rsidR="00B54D51" w:rsidRPr="00037AD4" w14:paraId="6849DA54" w14:textId="77777777" w:rsidTr="00401C67">
        <w:trPr>
          <w:trHeight w:val="320"/>
        </w:trPr>
        <w:tc>
          <w:tcPr>
            <w:tcW w:w="5000" w:type="pct"/>
            <w:gridSpan w:val="7"/>
            <w:shd w:val="clear" w:color="auto" w:fill="E7E6E6" w:themeFill="background2"/>
            <w:noWrap/>
          </w:tcPr>
          <w:p w14:paraId="2DA32EDF" w14:textId="77777777" w:rsidR="00B54D51" w:rsidRPr="00037AD4" w:rsidRDefault="00B54D51" w:rsidP="00401C67">
            <w:pPr>
              <w:rPr>
                <w:rFonts w:ascii="Calibri" w:hAnsi="Calibri" w:cs="Calibri"/>
                <w:color w:val="000000"/>
              </w:rPr>
            </w:pPr>
            <w:r w:rsidRPr="00037AD4">
              <w:rPr>
                <w:rFonts w:cstheme="minorHAnsi"/>
              </w:rPr>
              <w:t>Predicted proxy: level four</w:t>
            </w:r>
          </w:p>
        </w:tc>
      </w:tr>
      <w:tr w:rsidR="00B54D51" w:rsidRPr="00037AD4" w14:paraId="06EC262E" w14:textId="77777777" w:rsidTr="00401C67">
        <w:trPr>
          <w:trHeight w:val="320"/>
        </w:trPr>
        <w:tc>
          <w:tcPr>
            <w:tcW w:w="1614" w:type="pct"/>
            <w:noWrap/>
            <w:hideMark/>
          </w:tcPr>
          <w:p w14:paraId="7449C6FE" w14:textId="77777777" w:rsidR="00B54D51" w:rsidRPr="00037AD4" w:rsidRDefault="00B54D51" w:rsidP="00401C67">
            <w:pPr>
              <w:rPr>
                <w:rFonts w:ascii="Calibri" w:hAnsi="Calibri" w:cs="Calibri"/>
                <w:color w:val="000000"/>
              </w:rPr>
            </w:pPr>
            <w:r w:rsidRPr="00037AD4">
              <w:rPr>
                <w:rFonts w:cstheme="minorHAnsi"/>
              </w:rPr>
              <w:t xml:space="preserve">From level one PwD </w:t>
            </w:r>
          </w:p>
        </w:tc>
        <w:tc>
          <w:tcPr>
            <w:tcW w:w="847" w:type="pct"/>
            <w:noWrap/>
            <w:hideMark/>
          </w:tcPr>
          <w:p w14:paraId="4D63EF7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0.142</w:t>
            </w:r>
          </w:p>
        </w:tc>
        <w:tc>
          <w:tcPr>
            <w:tcW w:w="430" w:type="pct"/>
            <w:noWrap/>
            <w:hideMark/>
          </w:tcPr>
          <w:p w14:paraId="0DE779F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0.014</w:t>
            </w:r>
          </w:p>
        </w:tc>
        <w:tc>
          <w:tcPr>
            <w:tcW w:w="493" w:type="pct"/>
            <w:noWrap/>
            <w:hideMark/>
          </w:tcPr>
          <w:p w14:paraId="043D926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10.420</w:t>
            </w:r>
          </w:p>
        </w:tc>
        <w:tc>
          <w:tcPr>
            <w:tcW w:w="462" w:type="pct"/>
            <w:noWrap/>
            <w:hideMark/>
          </w:tcPr>
          <w:p w14:paraId="4926455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521" w:type="pct"/>
            <w:noWrap/>
            <w:hideMark/>
          </w:tcPr>
          <w:p w14:paraId="5C3E34B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0.116</w:t>
            </w:r>
          </w:p>
        </w:tc>
        <w:tc>
          <w:tcPr>
            <w:tcW w:w="633" w:type="pct"/>
            <w:noWrap/>
            <w:hideMark/>
          </w:tcPr>
          <w:p w14:paraId="5978B60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0.169</w:t>
            </w:r>
          </w:p>
        </w:tc>
      </w:tr>
      <w:tr w:rsidR="00B54D51" w:rsidRPr="00037AD4" w14:paraId="4287FB40" w14:textId="77777777" w:rsidTr="00401C67">
        <w:trPr>
          <w:trHeight w:val="320"/>
        </w:trPr>
        <w:tc>
          <w:tcPr>
            <w:tcW w:w="1614" w:type="pct"/>
            <w:noWrap/>
            <w:hideMark/>
          </w:tcPr>
          <w:p w14:paraId="2C815AF3" w14:textId="77777777" w:rsidR="00B54D51" w:rsidRPr="00037AD4" w:rsidRDefault="00B54D51" w:rsidP="00401C67">
            <w:pPr>
              <w:rPr>
                <w:rFonts w:ascii="Calibri" w:hAnsi="Calibri" w:cs="Calibri"/>
                <w:color w:val="000000"/>
              </w:rPr>
            </w:pPr>
            <w:r w:rsidRPr="00037AD4">
              <w:rPr>
                <w:rFonts w:cstheme="minorHAnsi"/>
              </w:rPr>
              <w:t xml:space="preserve">From level two PwD </w:t>
            </w:r>
          </w:p>
        </w:tc>
        <w:tc>
          <w:tcPr>
            <w:tcW w:w="847" w:type="pct"/>
            <w:noWrap/>
            <w:hideMark/>
          </w:tcPr>
          <w:p w14:paraId="798AE48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0.193</w:t>
            </w:r>
          </w:p>
        </w:tc>
        <w:tc>
          <w:tcPr>
            <w:tcW w:w="430" w:type="pct"/>
            <w:noWrap/>
            <w:hideMark/>
          </w:tcPr>
          <w:p w14:paraId="606D2CF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0.020</w:t>
            </w:r>
          </w:p>
        </w:tc>
        <w:tc>
          <w:tcPr>
            <w:tcW w:w="493" w:type="pct"/>
            <w:noWrap/>
            <w:hideMark/>
          </w:tcPr>
          <w:p w14:paraId="5762BC3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9.820</w:t>
            </w:r>
          </w:p>
        </w:tc>
        <w:tc>
          <w:tcPr>
            <w:tcW w:w="462" w:type="pct"/>
            <w:noWrap/>
            <w:hideMark/>
          </w:tcPr>
          <w:p w14:paraId="01DABA6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521" w:type="pct"/>
            <w:noWrap/>
            <w:hideMark/>
          </w:tcPr>
          <w:p w14:paraId="3F2E055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0.154</w:t>
            </w:r>
          </w:p>
        </w:tc>
        <w:tc>
          <w:tcPr>
            <w:tcW w:w="633" w:type="pct"/>
            <w:noWrap/>
            <w:hideMark/>
          </w:tcPr>
          <w:p w14:paraId="6390BBF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0.231</w:t>
            </w:r>
          </w:p>
        </w:tc>
      </w:tr>
      <w:tr w:rsidR="00B54D51" w:rsidRPr="00037AD4" w14:paraId="70E2D84A" w14:textId="77777777" w:rsidTr="00401C67">
        <w:trPr>
          <w:trHeight w:val="320"/>
        </w:trPr>
        <w:tc>
          <w:tcPr>
            <w:tcW w:w="1614" w:type="pct"/>
            <w:noWrap/>
            <w:hideMark/>
          </w:tcPr>
          <w:p w14:paraId="75BE9E23" w14:textId="77777777" w:rsidR="00B54D51" w:rsidRPr="00037AD4" w:rsidRDefault="00B54D51" w:rsidP="00401C67">
            <w:pPr>
              <w:rPr>
                <w:rFonts w:ascii="Calibri" w:hAnsi="Calibri" w:cs="Calibri"/>
                <w:color w:val="000000"/>
              </w:rPr>
            </w:pPr>
            <w:r w:rsidRPr="00037AD4">
              <w:rPr>
                <w:rFonts w:cstheme="minorHAnsi"/>
              </w:rPr>
              <w:t xml:space="preserve">From level three PwD </w:t>
            </w:r>
          </w:p>
        </w:tc>
        <w:tc>
          <w:tcPr>
            <w:tcW w:w="847" w:type="pct"/>
            <w:noWrap/>
            <w:hideMark/>
          </w:tcPr>
          <w:p w14:paraId="2CC5A76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0.228</w:t>
            </w:r>
          </w:p>
        </w:tc>
        <w:tc>
          <w:tcPr>
            <w:tcW w:w="430" w:type="pct"/>
            <w:noWrap/>
            <w:hideMark/>
          </w:tcPr>
          <w:p w14:paraId="35B378C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0.024</w:t>
            </w:r>
          </w:p>
        </w:tc>
        <w:tc>
          <w:tcPr>
            <w:tcW w:w="493" w:type="pct"/>
            <w:noWrap/>
            <w:hideMark/>
          </w:tcPr>
          <w:p w14:paraId="412D2EC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9.640</w:t>
            </w:r>
          </w:p>
        </w:tc>
        <w:tc>
          <w:tcPr>
            <w:tcW w:w="462" w:type="pct"/>
            <w:noWrap/>
            <w:hideMark/>
          </w:tcPr>
          <w:p w14:paraId="7D6862E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521" w:type="pct"/>
            <w:noWrap/>
            <w:hideMark/>
          </w:tcPr>
          <w:p w14:paraId="28A642B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0.182</w:t>
            </w:r>
          </w:p>
        </w:tc>
        <w:tc>
          <w:tcPr>
            <w:tcW w:w="633" w:type="pct"/>
            <w:noWrap/>
            <w:hideMark/>
          </w:tcPr>
          <w:p w14:paraId="0D5AD67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0.275</w:t>
            </w:r>
          </w:p>
        </w:tc>
      </w:tr>
      <w:tr w:rsidR="00B54D51" w:rsidRPr="00037AD4" w14:paraId="3C17D598" w14:textId="77777777" w:rsidTr="00401C67">
        <w:trPr>
          <w:trHeight w:val="320"/>
        </w:trPr>
        <w:tc>
          <w:tcPr>
            <w:tcW w:w="1614" w:type="pct"/>
            <w:noWrap/>
            <w:hideMark/>
          </w:tcPr>
          <w:p w14:paraId="49908425" w14:textId="77777777" w:rsidR="00B54D51" w:rsidRPr="00037AD4" w:rsidRDefault="00B54D51" w:rsidP="00401C67">
            <w:pPr>
              <w:rPr>
                <w:rFonts w:ascii="Calibri" w:hAnsi="Calibri" w:cs="Calibri"/>
                <w:color w:val="000000"/>
              </w:rPr>
            </w:pPr>
            <w:r w:rsidRPr="00037AD4">
              <w:rPr>
                <w:rFonts w:cstheme="minorHAnsi"/>
              </w:rPr>
              <w:t xml:space="preserve">From level four PwD </w:t>
            </w:r>
          </w:p>
        </w:tc>
        <w:tc>
          <w:tcPr>
            <w:tcW w:w="847" w:type="pct"/>
            <w:noWrap/>
            <w:hideMark/>
          </w:tcPr>
          <w:p w14:paraId="482A639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0.298</w:t>
            </w:r>
          </w:p>
        </w:tc>
        <w:tc>
          <w:tcPr>
            <w:tcW w:w="430" w:type="pct"/>
            <w:noWrap/>
            <w:hideMark/>
          </w:tcPr>
          <w:p w14:paraId="1D3C9EF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0.033</w:t>
            </w:r>
          </w:p>
        </w:tc>
        <w:tc>
          <w:tcPr>
            <w:tcW w:w="493" w:type="pct"/>
            <w:noWrap/>
            <w:hideMark/>
          </w:tcPr>
          <w:p w14:paraId="39ABE35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9.040</w:t>
            </w:r>
          </w:p>
        </w:tc>
        <w:tc>
          <w:tcPr>
            <w:tcW w:w="462" w:type="pct"/>
            <w:noWrap/>
            <w:hideMark/>
          </w:tcPr>
          <w:p w14:paraId="123C75F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521" w:type="pct"/>
            <w:noWrap/>
            <w:hideMark/>
          </w:tcPr>
          <w:p w14:paraId="3487436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0.233</w:t>
            </w:r>
          </w:p>
        </w:tc>
        <w:tc>
          <w:tcPr>
            <w:tcW w:w="633" w:type="pct"/>
            <w:noWrap/>
            <w:hideMark/>
          </w:tcPr>
          <w:p w14:paraId="44318DC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0.363</w:t>
            </w:r>
          </w:p>
        </w:tc>
      </w:tr>
      <w:tr w:rsidR="00B54D51" w:rsidRPr="00037AD4" w14:paraId="6DCB95E6" w14:textId="77777777" w:rsidTr="00401C67">
        <w:trPr>
          <w:trHeight w:val="320"/>
        </w:trPr>
        <w:tc>
          <w:tcPr>
            <w:tcW w:w="1614" w:type="pct"/>
            <w:noWrap/>
            <w:hideMark/>
          </w:tcPr>
          <w:p w14:paraId="7969EFB2" w14:textId="77777777" w:rsidR="00B54D51" w:rsidRPr="00037AD4" w:rsidRDefault="00B54D51" w:rsidP="00401C67">
            <w:pPr>
              <w:rPr>
                <w:rFonts w:ascii="Calibri" w:hAnsi="Calibri" w:cs="Calibri"/>
                <w:color w:val="000000"/>
              </w:rPr>
            </w:pPr>
            <w:r w:rsidRPr="00037AD4">
              <w:rPr>
                <w:rFonts w:cstheme="minorHAnsi"/>
              </w:rPr>
              <w:t xml:space="preserve">From level five PwD </w:t>
            </w:r>
          </w:p>
        </w:tc>
        <w:tc>
          <w:tcPr>
            <w:tcW w:w="847" w:type="pct"/>
            <w:noWrap/>
            <w:hideMark/>
          </w:tcPr>
          <w:p w14:paraId="701D8AC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0.291</w:t>
            </w:r>
          </w:p>
        </w:tc>
        <w:tc>
          <w:tcPr>
            <w:tcW w:w="430" w:type="pct"/>
            <w:noWrap/>
            <w:hideMark/>
          </w:tcPr>
          <w:p w14:paraId="3862E68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0.042</w:t>
            </w:r>
          </w:p>
        </w:tc>
        <w:tc>
          <w:tcPr>
            <w:tcW w:w="493" w:type="pct"/>
            <w:noWrap/>
            <w:hideMark/>
          </w:tcPr>
          <w:p w14:paraId="45321C2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6.950</w:t>
            </w:r>
          </w:p>
        </w:tc>
        <w:tc>
          <w:tcPr>
            <w:tcW w:w="462" w:type="pct"/>
            <w:noWrap/>
            <w:hideMark/>
          </w:tcPr>
          <w:p w14:paraId="2E6F324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521" w:type="pct"/>
            <w:noWrap/>
            <w:hideMark/>
          </w:tcPr>
          <w:p w14:paraId="7AE992E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0.209</w:t>
            </w:r>
          </w:p>
        </w:tc>
        <w:tc>
          <w:tcPr>
            <w:tcW w:w="633" w:type="pct"/>
            <w:noWrap/>
            <w:hideMark/>
          </w:tcPr>
          <w:p w14:paraId="6DB5AD7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0.373</w:t>
            </w:r>
          </w:p>
        </w:tc>
      </w:tr>
      <w:tr w:rsidR="00B54D51" w:rsidRPr="00037AD4" w14:paraId="3258AE55" w14:textId="77777777" w:rsidTr="00401C67">
        <w:trPr>
          <w:trHeight w:val="320"/>
        </w:trPr>
        <w:tc>
          <w:tcPr>
            <w:tcW w:w="5000" w:type="pct"/>
            <w:gridSpan w:val="7"/>
            <w:shd w:val="clear" w:color="auto" w:fill="E7E6E6" w:themeFill="background2"/>
            <w:noWrap/>
          </w:tcPr>
          <w:p w14:paraId="36428E45" w14:textId="77777777" w:rsidR="00B54D51" w:rsidRPr="00037AD4" w:rsidRDefault="00B54D51" w:rsidP="00401C67">
            <w:pPr>
              <w:rPr>
                <w:rFonts w:ascii="Calibri" w:hAnsi="Calibri" w:cs="Calibri"/>
                <w:color w:val="000000"/>
              </w:rPr>
            </w:pPr>
            <w:r w:rsidRPr="00037AD4">
              <w:rPr>
                <w:rFonts w:cstheme="minorHAnsi"/>
              </w:rPr>
              <w:t>Predicted proxy: level five</w:t>
            </w:r>
          </w:p>
        </w:tc>
      </w:tr>
      <w:tr w:rsidR="00B54D51" w:rsidRPr="00037AD4" w14:paraId="075545A6" w14:textId="77777777" w:rsidTr="00401C67">
        <w:trPr>
          <w:trHeight w:val="320"/>
        </w:trPr>
        <w:tc>
          <w:tcPr>
            <w:tcW w:w="1614" w:type="pct"/>
            <w:noWrap/>
            <w:hideMark/>
          </w:tcPr>
          <w:p w14:paraId="0F24AE60" w14:textId="77777777" w:rsidR="00B54D51" w:rsidRPr="00037AD4" w:rsidRDefault="00B54D51" w:rsidP="00401C67">
            <w:pPr>
              <w:rPr>
                <w:rFonts w:ascii="Calibri" w:hAnsi="Calibri" w:cs="Calibri"/>
                <w:color w:val="000000"/>
              </w:rPr>
            </w:pPr>
            <w:r w:rsidRPr="00037AD4">
              <w:rPr>
                <w:rFonts w:cstheme="minorHAnsi"/>
              </w:rPr>
              <w:t xml:space="preserve">From level one PwD </w:t>
            </w:r>
          </w:p>
        </w:tc>
        <w:tc>
          <w:tcPr>
            <w:tcW w:w="847" w:type="pct"/>
            <w:noWrap/>
            <w:hideMark/>
          </w:tcPr>
          <w:p w14:paraId="0D4254E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0.037</w:t>
            </w:r>
          </w:p>
        </w:tc>
        <w:tc>
          <w:tcPr>
            <w:tcW w:w="430" w:type="pct"/>
            <w:noWrap/>
            <w:hideMark/>
          </w:tcPr>
          <w:p w14:paraId="44BF9BA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0.007</w:t>
            </w:r>
          </w:p>
        </w:tc>
        <w:tc>
          <w:tcPr>
            <w:tcW w:w="493" w:type="pct"/>
            <w:noWrap/>
            <w:hideMark/>
          </w:tcPr>
          <w:p w14:paraId="05C2191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5.120</w:t>
            </w:r>
          </w:p>
        </w:tc>
        <w:tc>
          <w:tcPr>
            <w:tcW w:w="462" w:type="pct"/>
            <w:noWrap/>
            <w:hideMark/>
          </w:tcPr>
          <w:p w14:paraId="0248C07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521" w:type="pct"/>
            <w:noWrap/>
            <w:hideMark/>
          </w:tcPr>
          <w:p w14:paraId="3C0CC23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0.023</w:t>
            </w:r>
          </w:p>
        </w:tc>
        <w:tc>
          <w:tcPr>
            <w:tcW w:w="633" w:type="pct"/>
            <w:noWrap/>
            <w:hideMark/>
          </w:tcPr>
          <w:p w14:paraId="508487A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0.051</w:t>
            </w:r>
          </w:p>
        </w:tc>
      </w:tr>
      <w:tr w:rsidR="00B54D51" w:rsidRPr="00037AD4" w14:paraId="4BE66FF8" w14:textId="77777777" w:rsidTr="00401C67">
        <w:trPr>
          <w:trHeight w:val="320"/>
        </w:trPr>
        <w:tc>
          <w:tcPr>
            <w:tcW w:w="1614" w:type="pct"/>
            <w:noWrap/>
            <w:hideMark/>
          </w:tcPr>
          <w:p w14:paraId="6D5DB051" w14:textId="77777777" w:rsidR="00B54D51" w:rsidRPr="00037AD4" w:rsidRDefault="00B54D51" w:rsidP="00401C67">
            <w:pPr>
              <w:rPr>
                <w:rFonts w:ascii="Calibri" w:hAnsi="Calibri" w:cs="Calibri"/>
                <w:color w:val="000000"/>
              </w:rPr>
            </w:pPr>
            <w:r w:rsidRPr="00037AD4">
              <w:rPr>
                <w:rFonts w:cstheme="minorHAnsi"/>
              </w:rPr>
              <w:t xml:space="preserve">From level two PwD </w:t>
            </w:r>
          </w:p>
        </w:tc>
        <w:tc>
          <w:tcPr>
            <w:tcW w:w="847" w:type="pct"/>
            <w:noWrap/>
            <w:hideMark/>
          </w:tcPr>
          <w:p w14:paraId="3E420A6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0.065</w:t>
            </w:r>
          </w:p>
        </w:tc>
        <w:tc>
          <w:tcPr>
            <w:tcW w:w="430" w:type="pct"/>
            <w:noWrap/>
            <w:hideMark/>
          </w:tcPr>
          <w:p w14:paraId="0696491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0.012</w:t>
            </w:r>
          </w:p>
        </w:tc>
        <w:tc>
          <w:tcPr>
            <w:tcW w:w="493" w:type="pct"/>
            <w:noWrap/>
            <w:hideMark/>
          </w:tcPr>
          <w:p w14:paraId="4E7DF2B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5.320</w:t>
            </w:r>
          </w:p>
        </w:tc>
        <w:tc>
          <w:tcPr>
            <w:tcW w:w="462" w:type="pct"/>
            <w:noWrap/>
            <w:hideMark/>
          </w:tcPr>
          <w:p w14:paraId="50D5DCC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521" w:type="pct"/>
            <w:noWrap/>
            <w:hideMark/>
          </w:tcPr>
          <w:p w14:paraId="3784A1C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0.041</w:t>
            </w:r>
          </w:p>
        </w:tc>
        <w:tc>
          <w:tcPr>
            <w:tcW w:w="633" w:type="pct"/>
            <w:noWrap/>
            <w:hideMark/>
          </w:tcPr>
          <w:p w14:paraId="763E378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0.089</w:t>
            </w:r>
          </w:p>
        </w:tc>
      </w:tr>
      <w:tr w:rsidR="00B54D51" w:rsidRPr="00037AD4" w14:paraId="2000BCA2" w14:textId="77777777" w:rsidTr="00401C67">
        <w:trPr>
          <w:trHeight w:val="320"/>
        </w:trPr>
        <w:tc>
          <w:tcPr>
            <w:tcW w:w="1614" w:type="pct"/>
            <w:noWrap/>
            <w:hideMark/>
          </w:tcPr>
          <w:p w14:paraId="62626338" w14:textId="77777777" w:rsidR="00B54D51" w:rsidRPr="00037AD4" w:rsidRDefault="00B54D51" w:rsidP="00401C67">
            <w:pPr>
              <w:rPr>
                <w:rFonts w:ascii="Calibri" w:hAnsi="Calibri" w:cs="Calibri"/>
                <w:color w:val="000000"/>
              </w:rPr>
            </w:pPr>
            <w:r w:rsidRPr="00037AD4">
              <w:rPr>
                <w:rFonts w:cstheme="minorHAnsi"/>
              </w:rPr>
              <w:t xml:space="preserve">From level three PwD </w:t>
            </w:r>
          </w:p>
        </w:tc>
        <w:tc>
          <w:tcPr>
            <w:tcW w:w="847" w:type="pct"/>
            <w:noWrap/>
            <w:hideMark/>
          </w:tcPr>
          <w:p w14:paraId="73854B4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0.092</w:t>
            </w:r>
          </w:p>
        </w:tc>
        <w:tc>
          <w:tcPr>
            <w:tcW w:w="430" w:type="pct"/>
            <w:noWrap/>
            <w:hideMark/>
          </w:tcPr>
          <w:p w14:paraId="5BA6179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0.016</w:t>
            </w:r>
          </w:p>
        </w:tc>
        <w:tc>
          <w:tcPr>
            <w:tcW w:w="493" w:type="pct"/>
            <w:noWrap/>
            <w:hideMark/>
          </w:tcPr>
          <w:p w14:paraId="0DE4079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5.710</w:t>
            </w:r>
          </w:p>
        </w:tc>
        <w:tc>
          <w:tcPr>
            <w:tcW w:w="462" w:type="pct"/>
            <w:noWrap/>
            <w:hideMark/>
          </w:tcPr>
          <w:p w14:paraId="0004493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521" w:type="pct"/>
            <w:noWrap/>
            <w:hideMark/>
          </w:tcPr>
          <w:p w14:paraId="3F793AD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0.061</w:t>
            </w:r>
          </w:p>
        </w:tc>
        <w:tc>
          <w:tcPr>
            <w:tcW w:w="633" w:type="pct"/>
            <w:noWrap/>
            <w:hideMark/>
          </w:tcPr>
          <w:p w14:paraId="28D21F1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0.124</w:t>
            </w:r>
          </w:p>
        </w:tc>
      </w:tr>
      <w:tr w:rsidR="00B54D51" w:rsidRPr="00037AD4" w14:paraId="4F20894C" w14:textId="77777777" w:rsidTr="00401C67">
        <w:trPr>
          <w:trHeight w:val="320"/>
        </w:trPr>
        <w:tc>
          <w:tcPr>
            <w:tcW w:w="1614" w:type="pct"/>
            <w:noWrap/>
            <w:hideMark/>
          </w:tcPr>
          <w:p w14:paraId="57515A8F" w14:textId="77777777" w:rsidR="00B54D51" w:rsidRPr="00037AD4" w:rsidRDefault="00B54D51" w:rsidP="00401C67">
            <w:pPr>
              <w:rPr>
                <w:rFonts w:ascii="Calibri" w:hAnsi="Calibri" w:cs="Calibri"/>
                <w:color w:val="000000"/>
              </w:rPr>
            </w:pPr>
            <w:r w:rsidRPr="00037AD4">
              <w:rPr>
                <w:rFonts w:cstheme="minorHAnsi"/>
              </w:rPr>
              <w:t xml:space="preserve">From level four PwD </w:t>
            </w:r>
          </w:p>
        </w:tc>
        <w:tc>
          <w:tcPr>
            <w:tcW w:w="847" w:type="pct"/>
            <w:noWrap/>
            <w:hideMark/>
          </w:tcPr>
          <w:p w14:paraId="670BF34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0.181</w:t>
            </w:r>
          </w:p>
        </w:tc>
        <w:tc>
          <w:tcPr>
            <w:tcW w:w="430" w:type="pct"/>
            <w:noWrap/>
            <w:hideMark/>
          </w:tcPr>
          <w:p w14:paraId="5080774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0.038</w:t>
            </w:r>
          </w:p>
        </w:tc>
        <w:tc>
          <w:tcPr>
            <w:tcW w:w="493" w:type="pct"/>
            <w:noWrap/>
            <w:hideMark/>
          </w:tcPr>
          <w:p w14:paraId="6B6DD1F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4.740</w:t>
            </w:r>
          </w:p>
        </w:tc>
        <w:tc>
          <w:tcPr>
            <w:tcW w:w="462" w:type="pct"/>
            <w:noWrap/>
            <w:hideMark/>
          </w:tcPr>
          <w:p w14:paraId="6F1DAAE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521" w:type="pct"/>
            <w:noWrap/>
            <w:hideMark/>
          </w:tcPr>
          <w:p w14:paraId="6032519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0.106</w:t>
            </w:r>
          </w:p>
        </w:tc>
        <w:tc>
          <w:tcPr>
            <w:tcW w:w="633" w:type="pct"/>
            <w:noWrap/>
            <w:hideMark/>
          </w:tcPr>
          <w:p w14:paraId="0570B01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0.255</w:t>
            </w:r>
          </w:p>
        </w:tc>
      </w:tr>
      <w:tr w:rsidR="00B54D51" w:rsidRPr="00037AD4" w14:paraId="4CE47DE9" w14:textId="77777777" w:rsidTr="00401C67">
        <w:trPr>
          <w:trHeight w:val="320"/>
        </w:trPr>
        <w:tc>
          <w:tcPr>
            <w:tcW w:w="1614" w:type="pct"/>
            <w:noWrap/>
            <w:hideMark/>
          </w:tcPr>
          <w:p w14:paraId="2E3FF6C3" w14:textId="77777777" w:rsidR="00B54D51" w:rsidRPr="00037AD4" w:rsidRDefault="00B54D51" w:rsidP="00401C67">
            <w:pPr>
              <w:rPr>
                <w:rFonts w:ascii="Calibri" w:hAnsi="Calibri" w:cs="Calibri"/>
                <w:color w:val="000000"/>
              </w:rPr>
            </w:pPr>
            <w:r w:rsidRPr="00037AD4">
              <w:rPr>
                <w:rFonts w:cstheme="minorHAnsi"/>
              </w:rPr>
              <w:t xml:space="preserve">From level five PwD </w:t>
            </w:r>
          </w:p>
        </w:tc>
        <w:tc>
          <w:tcPr>
            <w:tcW w:w="847" w:type="pct"/>
            <w:noWrap/>
            <w:hideMark/>
          </w:tcPr>
          <w:p w14:paraId="66EA5B9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0.168</w:t>
            </w:r>
          </w:p>
        </w:tc>
        <w:tc>
          <w:tcPr>
            <w:tcW w:w="430" w:type="pct"/>
            <w:noWrap/>
            <w:hideMark/>
          </w:tcPr>
          <w:p w14:paraId="47C9D93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0.060</w:t>
            </w:r>
          </w:p>
        </w:tc>
        <w:tc>
          <w:tcPr>
            <w:tcW w:w="493" w:type="pct"/>
            <w:noWrap/>
            <w:hideMark/>
          </w:tcPr>
          <w:p w14:paraId="259F403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2.780</w:t>
            </w:r>
          </w:p>
        </w:tc>
        <w:tc>
          <w:tcPr>
            <w:tcW w:w="462" w:type="pct"/>
            <w:noWrap/>
            <w:hideMark/>
          </w:tcPr>
          <w:p w14:paraId="696F560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0.005</w:t>
            </w:r>
          </w:p>
        </w:tc>
        <w:tc>
          <w:tcPr>
            <w:tcW w:w="521" w:type="pct"/>
            <w:noWrap/>
            <w:hideMark/>
          </w:tcPr>
          <w:p w14:paraId="6F43E81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0.050</w:t>
            </w:r>
          </w:p>
        </w:tc>
        <w:tc>
          <w:tcPr>
            <w:tcW w:w="633" w:type="pct"/>
            <w:noWrap/>
            <w:hideMark/>
          </w:tcPr>
          <w:p w14:paraId="1B2A9D6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0.287</w:t>
            </w:r>
          </w:p>
        </w:tc>
      </w:tr>
    </w:tbl>
    <w:p w14:paraId="74BF2E28" w14:textId="77777777" w:rsidR="00B54D51" w:rsidRPr="00037AD4" w:rsidRDefault="00B54D51" w:rsidP="001D7ACE">
      <w:pPr>
        <w:rPr>
          <w:u w:val="single"/>
        </w:rPr>
      </w:pPr>
    </w:p>
    <w:p w14:paraId="655A9E8E" w14:textId="77777777" w:rsidR="00B54D51" w:rsidRPr="00037AD4" w:rsidRDefault="00B54D51" w:rsidP="001D7ACE">
      <w:pPr>
        <w:rPr>
          <w:rFonts w:asciiTheme="minorHAnsi" w:hAnsiTheme="minorHAnsi" w:cstheme="minorHAnsi"/>
          <w:color w:val="000000" w:themeColor="text1"/>
          <w:u w:val="single"/>
        </w:rPr>
      </w:pPr>
      <w:r w:rsidRPr="00037AD4">
        <w:rPr>
          <w:rFonts w:asciiTheme="minorHAnsi" w:hAnsiTheme="minorHAnsi" w:cstheme="minorHAnsi"/>
          <w:color w:val="000000" w:themeColor="text1"/>
          <w:u w:val="single"/>
        </w:rPr>
        <w:t>Table A6.3k, Usual activities dimension average marginal effects: EPIC</w:t>
      </w:r>
    </w:p>
    <w:p w14:paraId="60818853" w14:textId="77777777" w:rsidR="00B54D51" w:rsidRPr="00037AD4" w:rsidRDefault="00B54D51" w:rsidP="001D7ACE">
      <w:pPr>
        <w:rPr>
          <w:u w:val="single"/>
        </w:rPr>
      </w:pPr>
    </w:p>
    <w:tbl>
      <w:tblPr>
        <w:tblStyle w:val="TableGridLight"/>
        <w:tblW w:w="9016" w:type="dxa"/>
        <w:tblLook w:val="04A0" w:firstRow="1" w:lastRow="0" w:firstColumn="1" w:lastColumn="0" w:noHBand="0" w:noVBand="1"/>
      </w:tblPr>
      <w:tblGrid>
        <w:gridCol w:w="1292"/>
        <w:gridCol w:w="2079"/>
        <w:gridCol w:w="1019"/>
        <w:gridCol w:w="750"/>
        <w:gridCol w:w="1292"/>
        <w:gridCol w:w="1292"/>
        <w:gridCol w:w="1292"/>
      </w:tblGrid>
      <w:tr w:rsidR="00B54D51" w:rsidRPr="00037AD4" w14:paraId="56078D6B" w14:textId="77777777" w:rsidTr="00401C67">
        <w:trPr>
          <w:trHeight w:val="320"/>
        </w:trPr>
        <w:tc>
          <w:tcPr>
            <w:tcW w:w="1292" w:type="dxa"/>
            <w:noWrap/>
            <w:hideMark/>
          </w:tcPr>
          <w:p w14:paraId="6457B0B7" w14:textId="77777777" w:rsidR="00B54D51" w:rsidRPr="00037AD4" w:rsidRDefault="00B54D51" w:rsidP="00401C67">
            <w:pPr>
              <w:rPr>
                <w:sz w:val="20"/>
                <w:szCs w:val="20"/>
              </w:rPr>
            </w:pPr>
          </w:p>
        </w:tc>
        <w:tc>
          <w:tcPr>
            <w:tcW w:w="2079" w:type="dxa"/>
            <w:noWrap/>
            <w:hideMark/>
          </w:tcPr>
          <w:p w14:paraId="13235126"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dy/dx   </w:t>
            </w:r>
          </w:p>
        </w:tc>
        <w:tc>
          <w:tcPr>
            <w:tcW w:w="1019" w:type="dxa"/>
          </w:tcPr>
          <w:p w14:paraId="4CECCB29" w14:textId="77777777" w:rsidR="00B54D51" w:rsidRPr="00037AD4" w:rsidRDefault="00B54D51" w:rsidP="00401C67">
            <w:pPr>
              <w:rPr>
                <w:rFonts w:ascii="Calibri" w:hAnsi="Calibri" w:cs="Calibri"/>
                <w:color w:val="000000"/>
              </w:rPr>
            </w:pPr>
            <w:r w:rsidRPr="00037AD4">
              <w:rPr>
                <w:rFonts w:ascii="Calibri" w:hAnsi="Calibri" w:cs="Calibri"/>
                <w:color w:val="000000"/>
              </w:rPr>
              <w:t>std. err.</w:t>
            </w:r>
          </w:p>
        </w:tc>
        <w:tc>
          <w:tcPr>
            <w:tcW w:w="750" w:type="dxa"/>
            <w:noWrap/>
            <w:hideMark/>
          </w:tcPr>
          <w:p w14:paraId="333AD21D" w14:textId="77777777" w:rsidR="00B54D51" w:rsidRPr="00037AD4" w:rsidRDefault="00B54D51" w:rsidP="00401C67">
            <w:pPr>
              <w:jc w:val="center"/>
              <w:rPr>
                <w:rFonts w:ascii="Calibri" w:hAnsi="Calibri" w:cs="Calibri"/>
                <w:color w:val="000000"/>
              </w:rPr>
            </w:pPr>
            <w:r w:rsidRPr="00037AD4">
              <w:rPr>
                <w:rFonts w:ascii="Calibri" w:hAnsi="Calibri" w:cs="Calibri"/>
                <w:color w:val="000000"/>
              </w:rPr>
              <w:t>Z</w:t>
            </w:r>
          </w:p>
        </w:tc>
        <w:tc>
          <w:tcPr>
            <w:tcW w:w="1292" w:type="dxa"/>
            <w:noWrap/>
            <w:hideMark/>
          </w:tcPr>
          <w:p w14:paraId="729B83CA" w14:textId="77777777" w:rsidR="00B54D51" w:rsidRPr="00037AD4" w:rsidRDefault="00B54D51" w:rsidP="00401C67">
            <w:pPr>
              <w:rPr>
                <w:rFonts w:ascii="Calibri" w:hAnsi="Calibri" w:cs="Calibri"/>
                <w:color w:val="000000"/>
              </w:rPr>
            </w:pPr>
            <w:r w:rsidRPr="00037AD4">
              <w:rPr>
                <w:rFonts w:ascii="Calibri" w:hAnsi="Calibri" w:cs="Calibri"/>
                <w:color w:val="000000"/>
              </w:rPr>
              <w:t>P&gt;z</w:t>
            </w:r>
          </w:p>
        </w:tc>
        <w:tc>
          <w:tcPr>
            <w:tcW w:w="1292" w:type="dxa"/>
            <w:noWrap/>
            <w:hideMark/>
          </w:tcPr>
          <w:p w14:paraId="531BD3BE" w14:textId="77777777" w:rsidR="00B54D51" w:rsidRPr="00037AD4" w:rsidRDefault="00B54D51" w:rsidP="00401C67">
            <w:pPr>
              <w:rPr>
                <w:rFonts w:ascii="Calibri" w:hAnsi="Calibri" w:cs="Calibri"/>
                <w:color w:val="000000"/>
              </w:rPr>
            </w:pPr>
            <w:r w:rsidRPr="00037AD4">
              <w:rPr>
                <w:rFonts w:ascii="Calibri" w:hAnsi="Calibri" w:cs="Calibri"/>
                <w:color w:val="000000"/>
              </w:rPr>
              <w:t>[95% conf.</w:t>
            </w:r>
          </w:p>
        </w:tc>
        <w:tc>
          <w:tcPr>
            <w:tcW w:w="1292" w:type="dxa"/>
            <w:noWrap/>
            <w:hideMark/>
          </w:tcPr>
          <w:p w14:paraId="6D97077F" w14:textId="77777777" w:rsidR="00B54D51" w:rsidRPr="00037AD4" w:rsidRDefault="00B54D51" w:rsidP="00401C67">
            <w:pPr>
              <w:rPr>
                <w:rFonts w:ascii="Calibri" w:hAnsi="Calibri" w:cs="Calibri"/>
                <w:color w:val="000000"/>
              </w:rPr>
            </w:pPr>
            <w:r w:rsidRPr="00037AD4">
              <w:rPr>
                <w:rFonts w:ascii="Calibri" w:hAnsi="Calibri" w:cs="Calibri"/>
                <w:color w:val="000000"/>
              </w:rPr>
              <w:t>interval]</w:t>
            </w:r>
          </w:p>
        </w:tc>
      </w:tr>
      <w:tr w:rsidR="00B54D51" w:rsidRPr="00037AD4" w14:paraId="12BCC9D3" w14:textId="77777777" w:rsidTr="00401C67">
        <w:trPr>
          <w:trHeight w:val="320"/>
        </w:trPr>
        <w:tc>
          <w:tcPr>
            <w:tcW w:w="9016" w:type="dxa"/>
            <w:gridSpan w:val="7"/>
            <w:shd w:val="clear" w:color="auto" w:fill="F2F2F2" w:themeFill="background1" w:themeFillShade="F2"/>
            <w:noWrap/>
            <w:hideMark/>
          </w:tcPr>
          <w:p w14:paraId="7AC92C7E" w14:textId="77777777" w:rsidR="00B54D51" w:rsidRPr="00037AD4" w:rsidRDefault="00B54D51" w:rsidP="00401C67">
            <w:pPr>
              <w:rPr>
                <w:rFonts w:ascii="Calibri" w:hAnsi="Calibri" w:cs="Calibri"/>
                <w:color w:val="000000"/>
              </w:rPr>
            </w:pPr>
            <w:r w:rsidRPr="00037AD4">
              <w:rPr>
                <w:rFonts w:ascii="Calibri" w:hAnsi="Calibri" w:cs="Calibri"/>
                <w:color w:val="000000"/>
              </w:rPr>
              <w:t>PwD usual activities level 1 (= base outcome)</w:t>
            </w:r>
          </w:p>
        </w:tc>
      </w:tr>
      <w:tr w:rsidR="00B54D51" w:rsidRPr="00037AD4" w14:paraId="1B8EE352" w14:textId="77777777" w:rsidTr="00401C67">
        <w:trPr>
          <w:trHeight w:val="320"/>
        </w:trPr>
        <w:tc>
          <w:tcPr>
            <w:tcW w:w="9016" w:type="dxa"/>
            <w:gridSpan w:val="7"/>
            <w:shd w:val="clear" w:color="auto" w:fill="F2F2F2" w:themeFill="background1" w:themeFillShade="F2"/>
            <w:noWrap/>
            <w:hideMark/>
          </w:tcPr>
          <w:p w14:paraId="6F97546E" w14:textId="77777777" w:rsidR="00B54D51" w:rsidRPr="00037AD4" w:rsidRDefault="00B54D51" w:rsidP="00401C67">
            <w:pPr>
              <w:rPr>
                <w:sz w:val="20"/>
                <w:szCs w:val="20"/>
              </w:rPr>
            </w:pPr>
            <w:r w:rsidRPr="00037AD4">
              <w:rPr>
                <w:rFonts w:ascii="Calibri" w:hAnsi="Calibri" w:cs="Calibri"/>
                <w:color w:val="000000"/>
              </w:rPr>
              <w:t>PwD usual activities level 2, predict:</w:t>
            </w:r>
          </w:p>
        </w:tc>
      </w:tr>
      <w:tr w:rsidR="00B54D51" w:rsidRPr="00037AD4" w14:paraId="02211086" w14:textId="77777777" w:rsidTr="00401C67">
        <w:trPr>
          <w:trHeight w:val="320"/>
        </w:trPr>
        <w:tc>
          <w:tcPr>
            <w:tcW w:w="1292" w:type="dxa"/>
            <w:noWrap/>
            <w:hideMark/>
          </w:tcPr>
          <w:p w14:paraId="53B36ED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w:t>
            </w:r>
          </w:p>
        </w:tc>
        <w:tc>
          <w:tcPr>
            <w:tcW w:w="2079" w:type="dxa"/>
            <w:noWrap/>
            <w:hideMark/>
          </w:tcPr>
          <w:p w14:paraId="25B12FB0"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-.094   </w:t>
            </w:r>
          </w:p>
        </w:tc>
        <w:tc>
          <w:tcPr>
            <w:tcW w:w="1019" w:type="dxa"/>
          </w:tcPr>
          <w:p w14:paraId="197F422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.042</w:t>
            </w:r>
          </w:p>
        </w:tc>
        <w:tc>
          <w:tcPr>
            <w:tcW w:w="750" w:type="dxa"/>
            <w:noWrap/>
            <w:hideMark/>
          </w:tcPr>
          <w:p w14:paraId="4219125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-2.14</w:t>
            </w:r>
          </w:p>
        </w:tc>
        <w:tc>
          <w:tcPr>
            <w:tcW w:w="1292" w:type="dxa"/>
            <w:noWrap/>
            <w:hideMark/>
          </w:tcPr>
          <w:p w14:paraId="56E103A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0.032</w:t>
            </w:r>
          </w:p>
        </w:tc>
        <w:tc>
          <w:tcPr>
            <w:tcW w:w="1292" w:type="dxa"/>
            <w:noWrap/>
            <w:hideMark/>
          </w:tcPr>
          <w:p w14:paraId="1155B6B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-0.174</w:t>
            </w:r>
          </w:p>
        </w:tc>
        <w:tc>
          <w:tcPr>
            <w:tcW w:w="1292" w:type="dxa"/>
            <w:noWrap/>
            <w:hideMark/>
          </w:tcPr>
          <w:p w14:paraId="204E97C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-0.008</w:t>
            </w:r>
          </w:p>
        </w:tc>
      </w:tr>
      <w:tr w:rsidR="00B54D51" w:rsidRPr="00037AD4" w14:paraId="542B92FE" w14:textId="77777777" w:rsidTr="00401C67">
        <w:trPr>
          <w:trHeight w:val="320"/>
        </w:trPr>
        <w:tc>
          <w:tcPr>
            <w:tcW w:w="1292" w:type="dxa"/>
            <w:noWrap/>
            <w:hideMark/>
          </w:tcPr>
          <w:p w14:paraId="4983A1B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w:t>
            </w:r>
          </w:p>
        </w:tc>
        <w:tc>
          <w:tcPr>
            <w:tcW w:w="2079" w:type="dxa"/>
            <w:noWrap/>
            <w:hideMark/>
          </w:tcPr>
          <w:p w14:paraId="59E0F7A7"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.022 </w:t>
            </w:r>
          </w:p>
        </w:tc>
        <w:tc>
          <w:tcPr>
            <w:tcW w:w="1019" w:type="dxa"/>
          </w:tcPr>
          <w:p w14:paraId="2689954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.010</w:t>
            </w:r>
          </w:p>
        </w:tc>
        <w:tc>
          <w:tcPr>
            <w:tcW w:w="750" w:type="dxa"/>
            <w:noWrap/>
            <w:hideMark/>
          </w:tcPr>
          <w:p w14:paraId="073106A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2.26</w:t>
            </w:r>
          </w:p>
        </w:tc>
        <w:tc>
          <w:tcPr>
            <w:tcW w:w="1292" w:type="dxa"/>
            <w:noWrap/>
            <w:hideMark/>
          </w:tcPr>
          <w:p w14:paraId="7ED84B0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0.024</w:t>
            </w:r>
          </w:p>
        </w:tc>
        <w:tc>
          <w:tcPr>
            <w:tcW w:w="1292" w:type="dxa"/>
            <w:noWrap/>
            <w:hideMark/>
          </w:tcPr>
          <w:p w14:paraId="4AC2D44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0.003</w:t>
            </w:r>
          </w:p>
        </w:tc>
        <w:tc>
          <w:tcPr>
            <w:tcW w:w="1292" w:type="dxa"/>
            <w:noWrap/>
            <w:hideMark/>
          </w:tcPr>
          <w:p w14:paraId="2F57BE4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0.041</w:t>
            </w:r>
          </w:p>
        </w:tc>
      </w:tr>
      <w:tr w:rsidR="00B54D51" w:rsidRPr="00037AD4" w14:paraId="782F41DC" w14:textId="77777777" w:rsidTr="00401C67">
        <w:trPr>
          <w:trHeight w:val="320"/>
        </w:trPr>
        <w:tc>
          <w:tcPr>
            <w:tcW w:w="1292" w:type="dxa"/>
            <w:noWrap/>
            <w:hideMark/>
          </w:tcPr>
          <w:p w14:paraId="26B2F50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w:t>
            </w:r>
          </w:p>
        </w:tc>
        <w:tc>
          <w:tcPr>
            <w:tcW w:w="2079" w:type="dxa"/>
            <w:noWrap/>
            <w:hideMark/>
          </w:tcPr>
          <w:p w14:paraId="3A6E4CA8"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.026 </w:t>
            </w:r>
          </w:p>
        </w:tc>
        <w:tc>
          <w:tcPr>
            <w:tcW w:w="1019" w:type="dxa"/>
          </w:tcPr>
          <w:p w14:paraId="347F975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.012</w:t>
            </w:r>
          </w:p>
        </w:tc>
        <w:tc>
          <w:tcPr>
            <w:tcW w:w="750" w:type="dxa"/>
            <w:noWrap/>
            <w:hideMark/>
          </w:tcPr>
          <w:p w14:paraId="1DDD6A9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2.14</w:t>
            </w:r>
          </w:p>
        </w:tc>
        <w:tc>
          <w:tcPr>
            <w:tcW w:w="1292" w:type="dxa"/>
            <w:noWrap/>
            <w:hideMark/>
          </w:tcPr>
          <w:p w14:paraId="524F5DC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0.033</w:t>
            </w:r>
          </w:p>
        </w:tc>
        <w:tc>
          <w:tcPr>
            <w:tcW w:w="1292" w:type="dxa"/>
            <w:noWrap/>
            <w:hideMark/>
          </w:tcPr>
          <w:p w14:paraId="49CE62B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0.002</w:t>
            </w:r>
          </w:p>
        </w:tc>
        <w:tc>
          <w:tcPr>
            <w:tcW w:w="1292" w:type="dxa"/>
            <w:noWrap/>
            <w:hideMark/>
          </w:tcPr>
          <w:p w14:paraId="0DAE70E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0.049</w:t>
            </w:r>
          </w:p>
        </w:tc>
      </w:tr>
      <w:tr w:rsidR="00B54D51" w:rsidRPr="00037AD4" w14:paraId="0E63DA6A" w14:textId="77777777" w:rsidTr="00401C67">
        <w:trPr>
          <w:trHeight w:val="320"/>
        </w:trPr>
        <w:tc>
          <w:tcPr>
            <w:tcW w:w="1292" w:type="dxa"/>
            <w:noWrap/>
            <w:hideMark/>
          </w:tcPr>
          <w:p w14:paraId="47FE883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w:t>
            </w:r>
          </w:p>
        </w:tc>
        <w:tc>
          <w:tcPr>
            <w:tcW w:w="2079" w:type="dxa"/>
            <w:noWrap/>
            <w:hideMark/>
          </w:tcPr>
          <w:p w14:paraId="0ABD549F"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.012 </w:t>
            </w:r>
          </w:p>
        </w:tc>
        <w:tc>
          <w:tcPr>
            <w:tcW w:w="1019" w:type="dxa"/>
          </w:tcPr>
          <w:p w14:paraId="1C63FDA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.006</w:t>
            </w:r>
          </w:p>
        </w:tc>
        <w:tc>
          <w:tcPr>
            <w:tcW w:w="750" w:type="dxa"/>
            <w:noWrap/>
            <w:hideMark/>
          </w:tcPr>
          <w:p w14:paraId="4307AC3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1.94</w:t>
            </w:r>
          </w:p>
        </w:tc>
        <w:tc>
          <w:tcPr>
            <w:tcW w:w="1292" w:type="dxa"/>
            <w:noWrap/>
            <w:hideMark/>
          </w:tcPr>
          <w:p w14:paraId="18678A9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0.053</w:t>
            </w:r>
          </w:p>
        </w:tc>
        <w:tc>
          <w:tcPr>
            <w:tcW w:w="1292" w:type="dxa"/>
            <w:noWrap/>
            <w:hideMark/>
          </w:tcPr>
          <w:p w14:paraId="573B671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1292" w:type="dxa"/>
            <w:noWrap/>
            <w:hideMark/>
          </w:tcPr>
          <w:p w14:paraId="1CEEC0B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0.024</w:t>
            </w:r>
          </w:p>
        </w:tc>
      </w:tr>
      <w:tr w:rsidR="00B54D51" w:rsidRPr="00037AD4" w14:paraId="3C23E878" w14:textId="77777777" w:rsidTr="00401C67">
        <w:trPr>
          <w:trHeight w:val="320"/>
        </w:trPr>
        <w:tc>
          <w:tcPr>
            <w:tcW w:w="1292" w:type="dxa"/>
            <w:noWrap/>
            <w:hideMark/>
          </w:tcPr>
          <w:p w14:paraId="27BED53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5</w:t>
            </w:r>
          </w:p>
        </w:tc>
        <w:tc>
          <w:tcPr>
            <w:tcW w:w="2079" w:type="dxa"/>
            <w:noWrap/>
            <w:hideMark/>
          </w:tcPr>
          <w:p w14:paraId="5F07A954"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.031 </w:t>
            </w:r>
          </w:p>
        </w:tc>
        <w:tc>
          <w:tcPr>
            <w:tcW w:w="1019" w:type="dxa"/>
          </w:tcPr>
          <w:p w14:paraId="43F7D46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.016</w:t>
            </w:r>
          </w:p>
        </w:tc>
        <w:tc>
          <w:tcPr>
            <w:tcW w:w="750" w:type="dxa"/>
            <w:noWrap/>
            <w:hideMark/>
          </w:tcPr>
          <w:p w14:paraId="159B776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1.97</w:t>
            </w:r>
          </w:p>
        </w:tc>
        <w:tc>
          <w:tcPr>
            <w:tcW w:w="1292" w:type="dxa"/>
            <w:noWrap/>
            <w:hideMark/>
          </w:tcPr>
          <w:p w14:paraId="0840DFC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0.049</w:t>
            </w:r>
          </w:p>
        </w:tc>
        <w:tc>
          <w:tcPr>
            <w:tcW w:w="1292" w:type="dxa"/>
            <w:noWrap/>
            <w:hideMark/>
          </w:tcPr>
          <w:p w14:paraId="3BD46BB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1292" w:type="dxa"/>
            <w:noWrap/>
            <w:hideMark/>
          </w:tcPr>
          <w:p w14:paraId="5F362B3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0.062</w:t>
            </w:r>
          </w:p>
        </w:tc>
      </w:tr>
      <w:tr w:rsidR="00B54D51" w:rsidRPr="00037AD4" w14:paraId="58CFFADF" w14:textId="77777777" w:rsidTr="00401C67">
        <w:trPr>
          <w:trHeight w:val="320"/>
        </w:trPr>
        <w:tc>
          <w:tcPr>
            <w:tcW w:w="9016" w:type="dxa"/>
            <w:gridSpan w:val="7"/>
            <w:shd w:val="clear" w:color="auto" w:fill="F2F2F2" w:themeFill="background1" w:themeFillShade="F2"/>
            <w:noWrap/>
            <w:hideMark/>
          </w:tcPr>
          <w:p w14:paraId="489A0C20" w14:textId="77777777" w:rsidR="00B54D51" w:rsidRPr="00037AD4" w:rsidRDefault="00B54D51" w:rsidP="00401C67">
            <w:pPr>
              <w:rPr>
                <w:sz w:val="20"/>
                <w:szCs w:val="20"/>
              </w:rPr>
            </w:pPr>
            <w:r w:rsidRPr="00037AD4">
              <w:rPr>
                <w:rFonts w:ascii="Calibri" w:hAnsi="Calibri" w:cs="Calibri"/>
                <w:color w:val="000000"/>
              </w:rPr>
              <w:t>PwD usual activities level 3, predict:</w:t>
            </w:r>
          </w:p>
        </w:tc>
      </w:tr>
      <w:tr w:rsidR="00B54D51" w:rsidRPr="00037AD4" w14:paraId="55881A0E" w14:textId="77777777" w:rsidTr="00401C67">
        <w:trPr>
          <w:trHeight w:val="320"/>
        </w:trPr>
        <w:tc>
          <w:tcPr>
            <w:tcW w:w="1292" w:type="dxa"/>
            <w:noWrap/>
            <w:hideMark/>
          </w:tcPr>
          <w:p w14:paraId="3DD80F4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w:t>
            </w:r>
          </w:p>
        </w:tc>
        <w:tc>
          <w:tcPr>
            <w:tcW w:w="2079" w:type="dxa"/>
            <w:noWrap/>
            <w:hideMark/>
          </w:tcPr>
          <w:p w14:paraId="24CF27EE"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-.171  </w:t>
            </w:r>
          </w:p>
        </w:tc>
        <w:tc>
          <w:tcPr>
            <w:tcW w:w="1019" w:type="dxa"/>
          </w:tcPr>
          <w:p w14:paraId="3A3BA91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.070</w:t>
            </w:r>
          </w:p>
        </w:tc>
        <w:tc>
          <w:tcPr>
            <w:tcW w:w="750" w:type="dxa"/>
            <w:noWrap/>
            <w:hideMark/>
          </w:tcPr>
          <w:p w14:paraId="1DD2596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-2.44</w:t>
            </w:r>
          </w:p>
        </w:tc>
        <w:tc>
          <w:tcPr>
            <w:tcW w:w="1292" w:type="dxa"/>
            <w:noWrap/>
            <w:hideMark/>
          </w:tcPr>
          <w:p w14:paraId="29BBB46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0.015</w:t>
            </w:r>
          </w:p>
        </w:tc>
        <w:tc>
          <w:tcPr>
            <w:tcW w:w="1292" w:type="dxa"/>
            <w:noWrap/>
            <w:hideMark/>
          </w:tcPr>
          <w:p w14:paraId="2104CF4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-0.308</w:t>
            </w:r>
          </w:p>
        </w:tc>
        <w:tc>
          <w:tcPr>
            <w:tcW w:w="1292" w:type="dxa"/>
            <w:noWrap/>
            <w:hideMark/>
          </w:tcPr>
          <w:p w14:paraId="509093E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-0.034</w:t>
            </w:r>
          </w:p>
        </w:tc>
      </w:tr>
      <w:tr w:rsidR="00B54D51" w:rsidRPr="00037AD4" w14:paraId="6A43D9B1" w14:textId="77777777" w:rsidTr="00401C67">
        <w:trPr>
          <w:trHeight w:val="320"/>
        </w:trPr>
        <w:tc>
          <w:tcPr>
            <w:tcW w:w="1292" w:type="dxa"/>
            <w:noWrap/>
            <w:hideMark/>
          </w:tcPr>
          <w:p w14:paraId="615C69F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w:t>
            </w:r>
          </w:p>
        </w:tc>
        <w:tc>
          <w:tcPr>
            <w:tcW w:w="2079" w:type="dxa"/>
            <w:noWrap/>
            <w:hideMark/>
          </w:tcPr>
          <w:p w14:paraId="3159411B" w14:textId="77777777" w:rsidR="00B54D51" w:rsidRPr="00037AD4" w:rsidRDefault="00B54D51" w:rsidP="00401C67">
            <w:pPr>
              <w:rPr>
                <w:rFonts w:ascii="Calibri" w:hAnsi="Calibri" w:cs="Calibri"/>
                <w:color w:val="000000"/>
              </w:rPr>
            </w:pPr>
            <w:r w:rsidRPr="00037AD4">
              <w:rPr>
                <w:rFonts w:ascii="Calibri" w:hAnsi="Calibri" w:cs="Calibri"/>
                <w:color w:val="000000"/>
              </w:rPr>
              <w:t>.036</w:t>
            </w:r>
          </w:p>
        </w:tc>
        <w:tc>
          <w:tcPr>
            <w:tcW w:w="1019" w:type="dxa"/>
          </w:tcPr>
          <w:p w14:paraId="48237AA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.011</w:t>
            </w:r>
          </w:p>
        </w:tc>
        <w:tc>
          <w:tcPr>
            <w:tcW w:w="750" w:type="dxa"/>
            <w:noWrap/>
            <w:hideMark/>
          </w:tcPr>
          <w:p w14:paraId="142459D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3.14</w:t>
            </w:r>
          </w:p>
        </w:tc>
        <w:tc>
          <w:tcPr>
            <w:tcW w:w="1292" w:type="dxa"/>
            <w:noWrap/>
            <w:hideMark/>
          </w:tcPr>
          <w:p w14:paraId="51966CE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0.002</w:t>
            </w:r>
          </w:p>
        </w:tc>
        <w:tc>
          <w:tcPr>
            <w:tcW w:w="1292" w:type="dxa"/>
            <w:noWrap/>
            <w:hideMark/>
          </w:tcPr>
          <w:p w14:paraId="12DCF32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0.013</w:t>
            </w:r>
          </w:p>
        </w:tc>
        <w:tc>
          <w:tcPr>
            <w:tcW w:w="1292" w:type="dxa"/>
            <w:noWrap/>
            <w:hideMark/>
          </w:tcPr>
          <w:p w14:paraId="4168BDB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0.058</w:t>
            </w:r>
          </w:p>
        </w:tc>
      </w:tr>
      <w:tr w:rsidR="00B54D51" w:rsidRPr="00037AD4" w14:paraId="0CAA659B" w14:textId="77777777" w:rsidTr="00401C67">
        <w:trPr>
          <w:trHeight w:val="320"/>
        </w:trPr>
        <w:tc>
          <w:tcPr>
            <w:tcW w:w="1292" w:type="dxa"/>
            <w:noWrap/>
            <w:hideMark/>
          </w:tcPr>
          <w:p w14:paraId="480359E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lastRenderedPageBreak/>
              <w:t>3</w:t>
            </w:r>
          </w:p>
        </w:tc>
        <w:tc>
          <w:tcPr>
            <w:tcW w:w="2079" w:type="dxa"/>
            <w:noWrap/>
            <w:hideMark/>
          </w:tcPr>
          <w:p w14:paraId="439DD840"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.046 </w:t>
            </w:r>
          </w:p>
        </w:tc>
        <w:tc>
          <w:tcPr>
            <w:tcW w:w="1019" w:type="dxa"/>
          </w:tcPr>
          <w:p w14:paraId="197DF27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.018</w:t>
            </w:r>
          </w:p>
        </w:tc>
        <w:tc>
          <w:tcPr>
            <w:tcW w:w="750" w:type="dxa"/>
            <w:noWrap/>
            <w:hideMark/>
          </w:tcPr>
          <w:p w14:paraId="0FCB38D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2.59</w:t>
            </w:r>
          </w:p>
        </w:tc>
        <w:tc>
          <w:tcPr>
            <w:tcW w:w="1292" w:type="dxa"/>
            <w:noWrap/>
            <w:hideMark/>
          </w:tcPr>
          <w:p w14:paraId="02513F4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w:t>
            </w:r>
          </w:p>
        </w:tc>
        <w:tc>
          <w:tcPr>
            <w:tcW w:w="1292" w:type="dxa"/>
            <w:noWrap/>
            <w:hideMark/>
          </w:tcPr>
          <w:p w14:paraId="01F4EA6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0.011</w:t>
            </w:r>
          </w:p>
        </w:tc>
        <w:tc>
          <w:tcPr>
            <w:tcW w:w="1292" w:type="dxa"/>
            <w:noWrap/>
            <w:hideMark/>
          </w:tcPr>
          <w:p w14:paraId="2BD1049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0.081</w:t>
            </w:r>
          </w:p>
        </w:tc>
      </w:tr>
      <w:tr w:rsidR="00B54D51" w:rsidRPr="00037AD4" w14:paraId="06D701E6" w14:textId="77777777" w:rsidTr="00401C67">
        <w:trPr>
          <w:trHeight w:val="320"/>
        </w:trPr>
        <w:tc>
          <w:tcPr>
            <w:tcW w:w="1292" w:type="dxa"/>
            <w:noWrap/>
            <w:hideMark/>
          </w:tcPr>
          <w:p w14:paraId="0008991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w:t>
            </w:r>
          </w:p>
        </w:tc>
        <w:tc>
          <w:tcPr>
            <w:tcW w:w="2079" w:type="dxa"/>
            <w:noWrap/>
            <w:hideMark/>
          </w:tcPr>
          <w:p w14:paraId="64E5E085"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.023 </w:t>
            </w:r>
          </w:p>
        </w:tc>
        <w:tc>
          <w:tcPr>
            <w:tcW w:w="1019" w:type="dxa"/>
          </w:tcPr>
          <w:p w14:paraId="61E32E0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.011</w:t>
            </w:r>
          </w:p>
        </w:tc>
        <w:tc>
          <w:tcPr>
            <w:tcW w:w="750" w:type="dxa"/>
            <w:noWrap/>
            <w:hideMark/>
          </w:tcPr>
          <w:p w14:paraId="63689BC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2.19</w:t>
            </w:r>
          </w:p>
        </w:tc>
        <w:tc>
          <w:tcPr>
            <w:tcW w:w="1292" w:type="dxa"/>
            <w:noWrap/>
            <w:hideMark/>
          </w:tcPr>
          <w:p w14:paraId="3F2C083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0.029</w:t>
            </w:r>
          </w:p>
        </w:tc>
        <w:tc>
          <w:tcPr>
            <w:tcW w:w="1292" w:type="dxa"/>
            <w:noWrap/>
            <w:hideMark/>
          </w:tcPr>
          <w:p w14:paraId="1743FC4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0.002</w:t>
            </w:r>
          </w:p>
        </w:tc>
        <w:tc>
          <w:tcPr>
            <w:tcW w:w="1292" w:type="dxa"/>
            <w:noWrap/>
            <w:hideMark/>
          </w:tcPr>
          <w:p w14:paraId="2632D30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0.044</w:t>
            </w:r>
          </w:p>
        </w:tc>
      </w:tr>
      <w:tr w:rsidR="00B54D51" w:rsidRPr="00037AD4" w14:paraId="39BF0524" w14:textId="77777777" w:rsidTr="00401C67">
        <w:trPr>
          <w:trHeight w:val="320"/>
        </w:trPr>
        <w:tc>
          <w:tcPr>
            <w:tcW w:w="1292" w:type="dxa"/>
            <w:noWrap/>
            <w:hideMark/>
          </w:tcPr>
          <w:p w14:paraId="0170912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5</w:t>
            </w:r>
          </w:p>
        </w:tc>
        <w:tc>
          <w:tcPr>
            <w:tcW w:w="2079" w:type="dxa"/>
            <w:noWrap/>
            <w:hideMark/>
          </w:tcPr>
          <w:p w14:paraId="567E1CCD"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.066 </w:t>
            </w:r>
          </w:p>
        </w:tc>
        <w:tc>
          <w:tcPr>
            <w:tcW w:w="1019" w:type="dxa"/>
          </w:tcPr>
          <w:p w14:paraId="3F23B9D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.034</w:t>
            </w:r>
          </w:p>
        </w:tc>
        <w:tc>
          <w:tcPr>
            <w:tcW w:w="750" w:type="dxa"/>
            <w:noWrap/>
            <w:hideMark/>
          </w:tcPr>
          <w:p w14:paraId="589C67F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1.96</w:t>
            </w:r>
          </w:p>
        </w:tc>
        <w:tc>
          <w:tcPr>
            <w:tcW w:w="1292" w:type="dxa"/>
            <w:noWrap/>
            <w:hideMark/>
          </w:tcPr>
          <w:p w14:paraId="034D047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0.05</w:t>
            </w:r>
          </w:p>
        </w:tc>
        <w:tc>
          <w:tcPr>
            <w:tcW w:w="1292" w:type="dxa"/>
            <w:noWrap/>
            <w:hideMark/>
          </w:tcPr>
          <w:p w14:paraId="3CB0F04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1292" w:type="dxa"/>
            <w:noWrap/>
            <w:hideMark/>
          </w:tcPr>
          <w:p w14:paraId="6AFE52E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0.132</w:t>
            </w:r>
          </w:p>
        </w:tc>
      </w:tr>
      <w:tr w:rsidR="00B54D51" w:rsidRPr="00037AD4" w14:paraId="3DCA8664" w14:textId="77777777" w:rsidTr="00401C67">
        <w:trPr>
          <w:trHeight w:val="320"/>
        </w:trPr>
        <w:tc>
          <w:tcPr>
            <w:tcW w:w="9016" w:type="dxa"/>
            <w:gridSpan w:val="7"/>
            <w:shd w:val="clear" w:color="auto" w:fill="F2F2F2" w:themeFill="background1" w:themeFillShade="F2"/>
            <w:noWrap/>
            <w:hideMark/>
          </w:tcPr>
          <w:p w14:paraId="703509EC" w14:textId="77777777" w:rsidR="00B54D51" w:rsidRPr="00037AD4" w:rsidRDefault="00B54D51" w:rsidP="00401C67">
            <w:pPr>
              <w:rPr>
                <w:sz w:val="20"/>
                <w:szCs w:val="20"/>
              </w:rPr>
            </w:pPr>
            <w:r w:rsidRPr="00037AD4">
              <w:rPr>
                <w:rFonts w:ascii="Calibri" w:hAnsi="Calibri" w:cs="Calibri"/>
                <w:color w:val="000000"/>
              </w:rPr>
              <w:t>PwD usual activities level 4, predict:</w:t>
            </w:r>
          </w:p>
        </w:tc>
      </w:tr>
      <w:tr w:rsidR="00B54D51" w:rsidRPr="00037AD4" w14:paraId="4D43163C" w14:textId="77777777" w:rsidTr="00401C67">
        <w:trPr>
          <w:trHeight w:val="320"/>
        </w:trPr>
        <w:tc>
          <w:tcPr>
            <w:tcW w:w="1292" w:type="dxa"/>
            <w:noWrap/>
            <w:hideMark/>
          </w:tcPr>
          <w:p w14:paraId="1D92744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w:t>
            </w:r>
          </w:p>
        </w:tc>
        <w:tc>
          <w:tcPr>
            <w:tcW w:w="2079" w:type="dxa"/>
            <w:noWrap/>
            <w:hideMark/>
          </w:tcPr>
          <w:p w14:paraId="1683D2B6" w14:textId="77777777" w:rsidR="00B54D51" w:rsidRPr="00037AD4" w:rsidRDefault="00B54D51" w:rsidP="00401C67">
            <w:pPr>
              <w:rPr>
                <w:rFonts w:ascii="Calibri" w:hAnsi="Calibri" w:cs="Calibri"/>
                <w:color w:val="000000"/>
              </w:rPr>
            </w:pPr>
            <w:r w:rsidRPr="00037AD4">
              <w:rPr>
                <w:rFonts w:ascii="Calibri" w:hAnsi="Calibri" w:cs="Calibri"/>
                <w:color w:val="000000"/>
              </w:rPr>
              <w:t>-.445</w:t>
            </w:r>
          </w:p>
        </w:tc>
        <w:tc>
          <w:tcPr>
            <w:tcW w:w="1019" w:type="dxa"/>
          </w:tcPr>
          <w:p w14:paraId="5A3760D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.133</w:t>
            </w:r>
          </w:p>
        </w:tc>
        <w:tc>
          <w:tcPr>
            <w:tcW w:w="750" w:type="dxa"/>
            <w:noWrap/>
            <w:hideMark/>
          </w:tcPr>
          <w:p w14:paraId="1989FD7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-3.34</w:t>
            </w:r>
          </w:p>
        </w:tc>
        <w:tc>
          <w:tcPr>
            <w:tcW w:w="1292" w:type="dxa"/>
            <w:noWrap/>
            <w:hideMark/>
          </w:tcPr>
          <w:p w14:paraId="5DCD289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c>
          <w:tcPr>
            <w:tcW w:w="1292" w:type="dxa"/>
            <w:noWrap/>
            <w:hideMark/>
          </w:tcPr>
          <w:p w14:paraId="229A7CA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-0.706</w:t>
            </w:r>
          </w:p>
        </w:tc>
        <w:tc>
          <w:tcPr>
            <w:tcW w:w="1292" w:type="dxa"/>
            <w:noWrap/>
            <w:hideMark/>
          </w:tcPr>
          <w:p w14:paraId="1BACBFB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-0.183</w:t>
            </w:r>
          </w:p>
        </w:tc>
      </w:tr>
      <w:tr w:rsidR="00B54D51" w:rsidRPr="00037AD4" w14:paraId="17A15BDC" w14:textId="77777777" w:rsidTr="00401C67">
        <w:trPr>
          <w:trHeight w:val="320"/>
        </w:trPr>
        <w:tc>
          <w:tcPr>
            <w:tcW w:w="1292" w:type="dxa"/>
            <w:noWrap/>
            <w:hideMark/>
          </w:tcPr>
          <w:p w14:paraId="21B8DE5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w:t>
            </w:r>
          </w:p>
        </w:tc>
        <w:tc>
          <w:tcPr>
            <w:tcW w:w="2079" w:type="dxa"/>
            <w:noWrap/>
            <w:hideMark/>
          </w:tcPr>
          <w:p w14:paraId="4C3610E2"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.038 </w:t>
            </w:r>
          </w:p>
        </w:tc>
        <w:tc>
          <w:tcPr>
            <w:tcW w:w="1019" w:type="dxa"/>
          </w:tcPr>
          <w:p w14:paraId="51329C2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.019</w:t>
            </w:r>
          </w:p>
        </w:tc>
        <w:tc>
          <w:tcPr>
            <w:tcW w:w="750" w:type="dxa"/>
            <w:noWrap/>
            <w:hideMark/>
          </w:tcPr>
          <w:p w14:paraId="1D9E174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2.05</w:t>
            </w:r>
          </w:p>
        </w:tc>
        <w:tc>
          <w:tcPr>
            <w:tcW w:w="1292" w:type="dxa"/>
            <w:noWrap/>
            <w:hideMark/>
          </w:tcPr>
          <w:p w14:paraId="54F0E49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0.041</w:t>
            </w:r>
          </w:p>
        </w:tc>
        <w:tc>
          <w:tcPr>
            <w:tcW w:w="1292" w:type="dxa"/>
            <w:noWrap/>
            <w:hideMark/>
          </w:tcPr>
          <w:p w14:paraId="387DC20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0.002</w:t>
            </w:r>
          </w:p>
        </w:tc>
        <w:tc>
          <w:tcPr>
            <w:tcW w:w="1292" w:type="dxa"/>
            <w:noWrap/>
            <w:hideMark/>
          </w:tcPr>
          <w:p w14:paraId="4B8A671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0.075</w:t>
            </w:r>
          </w:p>
        </w:tc>
      </w:tr>
      <w:tr w:rsidR="00B54D51" w:rsidRPr="00037AD4" w14:paraId="795EAF0E" w14:textId="77777777" w:rsidTr="00401C67">
        <w:trPr>
          <w:trHeight w:val="320"/>
        </w:trPr>
        <w:tc>
          <w:tcPr>
            <w:tcW w:w="1292" w:type="dxa"/>
            <w:noWrap/>
            <w:hideMark/>
          </w:tcPr>
          <w:p w14:paraId="244DC87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w:t>
            </w:r>
          </w:p>
        </w:tc>
        <w:tc>
          <w:tcPr>
            <w:tcW w:w="2079" w:type="dxa"/>
            <w:noWrap/>
            <w:hideMark/>
          </w:tcPr>
          <w:p w14:paraId="5711146A"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.088 </w:t>
            </w:r>
          </w:p>
        </w:tc>
        <w:tc>
          <w:tcPr>
            <w:tcW w:w="1019" w:type="dxa"/>
          </w:tcPr>
          <w:p w14:paraId="4548F86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.013</w:t>
            </w:r>
          </w:p>
        </w:tc>
        <w:tc>
          <w:tcPr>
            <w:tcW w:w="750" w:type="dxa"/>
            <w:noWrap/>
            <w:hideMark/>
          </w:tcPr>
          <w:p w14:paraId="1B6E75B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6.55</w:t>
            </w:r>
          </w:p>
        </w:tc>
        <w:tc>
          <w:tcPr>
            <w:tcW w:w="1292" w:type="dxa"/>
            <w:noWrap/>
            <w:hideMark/>
          </w:tcPr>
          <w:p w14:paraId="77A6AF5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w:t>
            </w:r>
          </w:p>
        </w:tc>
        <w:tc>
          <w:tcPr>
            <w:tcW w:w="1292" w:type="dxa"/>
            <w:noWrap/>
            <w:hideMark/>
          </w:tcPr>
          <w:p w14:paraId="50A18FD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0.062</w:t>
            </w:r>
          </w:p>
        </w:tc>
        <w:tc>
          <w:tcPr>
            <w:tcW w:w="1292" w:type="dxa"/>
            <w:noWrap/>
            <w:hideMark/>
          </w:tcPr>
          <w:p w14:paraId="6118396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0.115</w:t>
            </w:r>
          </w:p>
        </w:tc>
      </w:tr>
      <w:tr w:rsidR="00B54D51" w:rsidRPr="00037AD4" w14:paraId="33129BFC" w14:textId="77777777" w:rsidTr="00401C67">
        <w:trPr>
          <w:trHeight w:val="320"/>
        </w:trPr>
        <w:tc>
          <w:tcPr>
            <w:tcW w:w="1292" w:type="dxa"/>
            <w:noWrap/>
            <w:hideMark/>
          </w:tcPr>
          <w:p w14:paraId="406EA45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w:t>
            </w:r>
          </w:p>
        </w:tc>
        <w:tc>
          <w:tcPr>
            <w:tcW w:w="2079" w:type="dxa"/>
            <w:noWrap/>
            <w:hideMark/>
          </w:tcPr>
          <w:p w14:paraId="6FA3B256"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.058  </w:t>
            </w:r>
          </w:p>
        </w:tc>
        <w:tc>
          <w:tcPr>
            <w:tcW w:w="1019" w:type="dxa"/>
          </w:tcPr>
          <w:p w14:paraId="75FD7C6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.017</w:t>
            </w:r>
          </w:p>
        </w:tc>
        <w:tc>
          <w:tcPr>
            <w:tcW w:w="750" w:type="dxa"/>
            <w:noWrap/>
            <w:hideMark/>
          </w:tcPr>
          <w:p w14:paraId="189B9D7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3.35</w:t>
            </w:r>
          </w:p>
        </w:tc>
        <w:tc>
          <w:tcPr>
            <w:tcW w:w="1292" w:type="dxa"/>
            <w:noWrap/>
            <w:hideMark/>
          </w:tcPr>
          <w:p w14:paraId="24F3E04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c>
          <w:tcPr>
            <w:tcW w:w="1292" w:type="dxa"/>
            <w:noWrap/>
            <w:hideMark/>
          </w:tcPr>
          <w:p w14:paraId="3AEFD0A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0.024</w:t>
            </w:r>
          </w:p>
        </w:tc>
        <w:tc>
          <w:tcPr>
            <w:tcW w:w="1292" w:type="dxa"/>
            <w:noWrap/>
            <w:hideMark/>
          </w:tcPr>
          <w:p w14:paraId="1D2517E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0.091</w:t>
            </w:r>
          </w:p>
        </w:tc>
      </w:tr>
      <w:tr w:rsidR="00B54D51" w:rsidRPr="00037AD4" w14:paraId="3B9C7F9B" w14:textId="77777777" w:rsidTr="00401C67">
        <w:trPr>
          <w:trHeight w:val="320"/>
        </w:trPr>
        <w:tc>
          <w:tcPr>
            <w:tcW w:w="1292" w:type="dxa"/>
            <w:noWrap/>
            <w:hideMark/>
          </w:tcPr>
          <w:p w14:paraId="6BF6ECA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5</w:t>
            </w:r>
          </w:p>
        </w:tc>
        <w:tc>
          <w:tcPr>
            <w:tcW w:w="2079" w:type="dxa"/>
            <w:noWrap/>
            <w:hideMark/>
          </w:tcPr>
          <w:p w14:paraId="7AE2E31E" w14:textId="77777777" w:rsidR="00B54D51" w:rsidRPr="00037AD4" w:rsidRDefault="00B54D51" w:rsidP="00401C67">
            <w:pPr>
              <w:rPr>
                <w:rFonts w:ascii="Calibri" w:hAnsi="Calibri" w:cs="Calibri"/>
                <w:color w:val="000000"/>
              </w:rPr>
            </w:pPr>
            <w:r w:rsidRPr="00037AD4">
              <w:rPr>
                <w:rFonts w:ascii="Calibri" w:hAnsi="Calibri" w:cs="Calibri"/>
                <w:color w:val="000000"/>
              </w:rPr>
              <w:t>.260</w:t>
            </w:r>
          </w:p>
        </w:tc>
        <w:tc>
          <w:tcPr>
            <w:tcW w:w="1019" w:type="dxa"/>
          </w:tcPr>
          <w:p w14:paraId="6D2FE55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.132</w:t>
            </w:r>
          </w:p>
        </w:tc>
        <w:tc>
          <w:tcPr>
            <w:tcW w:w="750" w:type="dxa"/>
            <w:noWrap/>
            <w:hideMark/>
          </w:tcPr>
          <w:p w14:paraId="617D322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1.96</w:t>
            </w:r>
          </w:p>
        </w:tc>
        <w:tc>
          <w:tcPr>
            <w:tcW w:w="1292" w:type="dxa"/>
            <w:noWrap/>
            <w:hideMark/>
          </w:tcPr>
          <w:p w14:paraId="1AFA31B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0.05</w:t>
            </w:r>
          </w:p>
        </w:tc>
        <w:tc>
          <w:tcPr>
            <w:tcW w:w="1292" w:type="dxa"/>
            <w:noWrap/>
            <w:hideMark/>
          </w:tcPr>
          <w:p w14:paraId="0B52767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1292" w:type="dxa"/>
            <w:noWrap/>
            <w:hideMark/>
          </w:tcPr>
          <w:p w14:paraId="7596F75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0.519</w:t>
            </w:r>
          </w:p>
        </w:tc>
      </w:tr>
      <w:tr w:rsidR="00B54D51" w:rsidRPr="00037AD4" w14:paraId="689517D2" w14:textId="77777777" w:rsidTr="00401C67">
        <w:trPr>
          <w:trHeight w:val="320"/>
        </w:trPr>
        <w:tc>
          <w:tcPr>
            <w:tcW w:w="9016" w:type="dxa"/>
            <w:gridSpan w:val="7"/>
            <w:shd w:val="clear" w:color="auto" w:fill="F2F2F2" w:themeFill="background1" w:themeFillShade="F2"/>
            <w:noWrap/>
            <w:hideMark/>
          </w:tcPr>
          <w:p w14:paraId="7DD82875" w14:textId="77777777" w:rsidR="00B54D51" w:rsidRPr="00037AD4" w:rsidRDefault="00B54D51" w:rsidP="00401C67">
            <w:pPr>
              <w:rPr>
                <w:sz w:val="20"/>
                <w:szCs w:val="20"/>
              </w:rPr>
            </w:pPr>
            <w:r w:rsidRPr="00037AD4">
              <w:rPr>
                <w:rFonts w:ascii="Calibri" w:hAnsi="Calibri" w:cs="Calibri"/>
                <w:color w:val="000000"/>
              </w:rPr>
              <w:t>PwD usual activities level 5, predict:</w:t>
            </w:r>
          </w:p>
        </w:tc>
      </w:tr>
      <w:tr w:rsidR="00B54D51" w:rsidRPr="00037AD4" w14:paraId="5B097644" w14:textId="77777777" w:rsidTr="00401C67">
        <w:trPr>
          <w:trHeight w:val="320"/>
        </w:trPr>
        <w:tc>
          <w:tcPr>
            <w:tcW w:w="1292" w:type="dxa"/>
            <w:noWrap/>
            <w:hideMark/>
          </w:tcPr>
          <w:p w14:paraId="3ABFD54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w:t>
            </w:r>
          </w:p>
        </w:tc>
        <w:tc>
          <w:tcPr>
            <w:tcW w:w="2079" w:type="dxa"/>
            <w:noWrap/>
            <w:hideMark/>
          </w:tcPr>
          <w:p w14:paraId="6C665757"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-.407 </w:t>
            </w:r>
          </w:p>
        </w:tc>
        <w:tc>
          <w:tcPr>
            <w:tcW w:w="1019" w:type="dxa"/>
          </w:tcPr>
          <w:p w14:paraId="2D318E2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.095</w:t>
            </w:r>
          </w:p>
        </w:tc>
        <w:tc>
          <w:tcPr>
            <w:tcW w:w="750" w:type="dxa"/>
            <w:noWrap/>
            <w:hideMark/>
          </w:tcPr>
          <w:p w14:paraId="6128520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-4.29</w:t>
            </w:r>
          </w:p>
        </w:tc>
        <w:tc>
          <w:tcPr>
            <w:tcW w:w="1292" w:type="dxa"/>
            <w:noWrap/>
            <w:hideMark/>
          </w:tcPr>
          <w:p w14:paraId="62DEBB4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w:t>
            </w:r>
          </w:p>
        </w:tc>
        <w:tc>
          <w:tcPr>
            <w:tcW w:w="1292" w:type="dxa"/>
            <w:noWrap/>
            <w:hideMark/>
          </w:tcPr>
          <w:p w14:paraId="15C3F84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-0.593</w:t>
            </w:r>
          </w:p>
        </w:tc>
        <w:tc>
          <w:tcPr>
            <w:tcW w:w="1292" w:type="dxa"/>
            <w:noWrap/>
            <w:hideMark/>
          </w:tcPr>
          <w:p w14:paraId="1A19637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-0.221</w:t>
            </w:r>
          </w:p>
        </w:tc>
      </w:tr>
      <w:tr w:rsidR="00B54D51" w:rsidRPr="00037AD4" w14:paraId="05F8B2BC" w14:textId="77777777" w:rsidTr="00401C67">
        <w:trPr>
          <w:trHeight w:val="320"/>
        </w:trPr>
        <w:tc>
          <w:tcPr>
            <w:tcW w:w="1292" w:type="dxa"/>
            <w:noWrap/>
            <w:hideMark/>
          </w:tcPr>
          <w:p w14:paraId="150AE4B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w:t>
            </w:r>
          </w:p>
        </w:tc>
        <w:tc>
          <w:tcPr>
            <w:tcW w:w="2079" w:type="dxa"/>
            <w:noWrap/>
            <w:hideMark/>
          </w:tcPr>
          <w:p w14:paraId="5DF554C3" w14:textId="77777777" w:rsidR="00B54D51" w:rsidRPr="00037AD4" w:rsidRDefault="00B54D51" w:rsidP="00401C67">
            <w:pPr>
              <w:rPr>
                <w:rFonts w:ascii="Calibri" w:hAnsi="Calibri" w:cs="Calibri"/>
                <w:color w:val="000000"/>
              </w:rPr>
            </w:pPr>
            <w:r w:rsidRPr="00037AD4">
              <w:rPr>
                <w:rFonts w:ascii="Calibri" w:hAnsi="Calibri" w:cs="Calibri"/>
                <w:color w:val="000000"/>
              </w:rPr>
              <w:t>.042</w:t>
            </w:r>
          </w:p>
        </w:tc>
        <w:tc>
          <w:tcPr>
            <w:tcW w:w="1019" w:type="dxa"/>
          </w:tcPr>
          <w:p w14:paraId="27C1A89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.011</w:t>
            </w:r>
          </w:p>
        </w:tc>
        <w:tc>
          <w:tcPr>
            <w:tcW w:w="750" w:type="dxa"/>
            <w:noWrap/>
            <w:hideMark/>
          </w:tcPr>
          <w:p w14:paraId="4B6D63F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3.74</w:t>
            </w:r>
          </w:p>
        </w:tc>
        <w:tc>
          <w:tcPr>
            <w:tcW w:w="1292" w:type="dxa"/>
            <w:noWrap/>
            <w:hideMark/>
          </w:tcPr>
          <w:p w14:paraId="3EA12D5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w:t>
            </w:r>
          </w:p>
        </w:tc>
        <w:tc>
          <w:tcPr>
            <w:tcW w:w="1292" w:type="dxa"/>
            <w:noWrap/>
            <w:hideMark/>
          </w:tcPr>
          <w:p w14:paraId="4855FD7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0.020</w:t>
            </w:r>
          </w:p>
        </w:tc>
        <w:tc>
          <w:tcPr>
            <w:tcW w:w="1292" w:type="dxa"/>
            <w:noWrap/>
            <w:hideMark/>
          </w:tcPr>
          <w:p w14:paraId="25E965F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0.065</w:t>
            </w:r>
          </w:p>
        </w:tc>
      </w:tr>
      <w:tr w:rsidR="00B54D51" w:rsidRPr="00037AD4" w14:paraId="49A53B9E" w14:textId="77777777" w:rsidTr="00401C67">
        <w:trPr>
          <w:trHeight w:val="320"/>
        </w:trPr>
        <w:tc>
          <w:tcPr>
            <w:tcW w:w="1292" w:type="dxa"/>
            <w:noWrap/>
            <w:hideMark/>
          </w:tcPr>
          <w:p w14:paraId="30ED842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w:t>
            </w:r>
          </w:p>
        </w:tc>
        <w:tc>
          <w:tcPr>
            <w:tcW w:w="2079" w:type="dxa"/>
            <w:noWrap/>
            <w:hideMark/>
          </w:tcPr>
          <w:p w14:paraId="22F3AC4E"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.0864131   </w:t>
            </w:r>
          </w:p>
        </w:tc>
        <w:tc>
          <w:tcPr>
            <w:tcW w:w="1019" w:type="dxa"/>
          </w:tcPr>
          <w:p w14:paraId="7925E18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.014</w:t>
            </w:r>
          </w:p>
        </w:tc>
        <w:tc>
          <w:tcPr>
            <w:tcW w:w="750" w:type="dxa"/>
            <w:noWrap/>
            <w:hideMark/>
          </w:tcPr>
          <w:p w14:paraId="3D4A1D4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6.09</w:t>
            </w:r>
          </w:p>
        </w:tc>
        <w:tc>
          <w:tcPr>
            <w:tcW w:w="1292" w:type="dxa"/>
            <w:noWrap/>
            <w:hideMark/>
          </w:tcPr>
          <w:p w14:paraId="5F515AB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w:t>
            </w:r>
          </w:p>
        </w:tc>
        <w:tc>
          <w:tcPr>
            <w:tcW w:w="1292" w:type="dxa"/>
            <w:noWrap/>
            <w:hideMark/>
          </w:tcPr>
          <w:p w14:paraId="4F132F3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0.059</w:t>
            </w:r>
          </w:p>
        </w:tc>
        <w:tc>
          <w:tcPr>
            <w:tcW w:w="1292" w:type="dxa"/>
            <w:noWrap/>
            <w:hideMark/>
          </w:tcPr>
          <w:p w14:paraId="2E067AE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0.114</w:t>
            </w:r>
          </w:p>
        </w:tc>
      </w:tr>
      <w:tr w:rsidR="00B54D51" w:rsidRPr="00037AD4" w14:paraId="3B998107" w14:textId="77777777" w:rsidTr="00401C67">
        <w:trPr>
          <w:trHeight w:val="320"/>
        </w:trPr>
        <w:tc>
          <w:tcPr>
            <w:tcW w:w="1292" w:type="dxa"/>
            <w:noWrap/>
            <w:hideMark/>
          </w:tcPr>
          <w:p w14:paraId="62ECFE7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w:t>
            </w:r>
          </w:p>
        </w:tc>
        <w:tc>
          <w:tcPr>
            <w:tcW w:w="2079" w:type="dxa"/>
            <w:noWrap/>
            <w:hideMark/>
          </w:tcPr>
          <w:p w14:paraId="38EB859B"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.054   </w:t>
            </w:r>
          </w:p>
        </w:tc>
        <w:tc>
          <w:tcPr>
            <w:tcW w:w="1019" w:type="dxa"/>
          </w:tcPr>
          <w:p w14:paraId="3E716BB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.016</w:t>
            </w:r>
          </w:p>
        </w:tc>
        <w:tc>
          <w:tcPr>
            <w:tcW w:w="750" w:type="dxa"/>
            <w:noWrap/>
            <w:hideMark/>
          </w:tcPr>
          <w:p w14:paraId="203F291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3.46</w:t>
            </w:r>
          </w:p>
        </w:tc>
        <w:tc>
          <w:tcPr>
            <w:tcW w:w="1292" w:type="dxa"/>
            <w:noWrap/>
            <w:hideMark/>
          </w:tcPr>
          <w:p w14:paraId="32186C1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c>
          <w:tcPr>
            <w:tcW w:w="1292" w:type="dxa"/>
            <w:noWrap/>
            <w:hideMark/>
          </w:tcPr>
          <w:p w14:paraId="6DF7772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0.023</w:t>
            </w:r>
          </w:p>
        </w:tc>
        <w:tc>
          <w:tcPr>
            <w:tcW w:w="1292" w:type="dxa"/>
            <w:noWrap/>
            <w:hideMark/>
          </w:tcPr>
          <w:p w14:paraId="49A4353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0.084</w:t>
            </w:r>
          </w:p>
        </w:tc>
      </w:tr>
      <w:tr w:rsidR="00B54D51" w:rsidRPr="00037AD4" w14:paraId="5EF696BF" w14:textId="77777777" w:rsidTr="00401C67">
        <w:trPr>
          <w:trHeight w:val="320"/>
        </w:trPr>
        <w:tc>
          <w:tcPr>
            <w:tcW w:w="1292" w:type="dxa"/>
            <w:noWrap/>
            <w:hideMark/>
          </w:tcPr>
          <w:p w14:paraId="0AF7B66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5</w:t>
            </w:r>
          </w:p>
        </w:tc>
        <w:tc>
          <w:tcPr>
            <w:tcW w:w="2079" w:type="dxa"/>
            <w:noWrap/>
            <w:hideMark/>
          </w:tcPr>
          <w:p w14:paraId="5C1E0EA5" w14:textId="77777777" w:rsidR="00B54D51" w:rsidRPr="00037AD4" w:rsidRDefault="00B54D51" w:rsidP="00401C67">
            <w:pPr>
              <w:rPr>
                <w:rFonts w:ascii="Calibri" w:hAnsi="Calibri" w:cs="Calibri"/>
                <w:color w:val="000000"/>
              </w:rPr>
            </w:pPr>
            <w:r w:rsidRPr="00037AD4">
              <w:rPr>
                <w:rFonts w:ascii="Calibri" w:hAnsi="Calibri" w:cs="Calibri"/>
                <w:color w:val="000000"/>
              </w:rPr>
              <w:t>.225</w:t>
            </w:r>
          </w:p>
        </w:tc>
        <w:tc>
          <w:tcPr>
            <w:tcW w:w="1019" w:type="dxa"/>
          </w:tcPr>
          <w:p w14:paraId="0824BFB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.084</w:t>
            </w:r>
          </w:p>
        </w:tc>
        <w:tc>
          <w:tcPr>
            <w:tcW w:w="750" w:type="dxa"/>
            <w:noWrap/>
            <w:hideMark/>
          </w:tcPr>
          <w:p w14:paraId="04DC697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2.66</w:t>
            </w:r>
          </w:p>
        </w:tc>
        <w:tc>
          <w:tcPr>
            <w:tcW w:w="1292" w:type="dxa"/>
            <w:noWrap/>
            <w:hideMark/>
          </w:tcPr>
          <w:p w14:paraId="16C5B4D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0.008</w:t>
            </w:r>
          </w:p>
        </w:tc>
        <w:tc>
          <w:tcPr>
            <w:tcW w:w="1292" w:type="dxa"/>
            <w:noWrap/>
            <w:hideMark/>
          </w:tcPr>
          <w:p w14:paraId="39B897E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0.059</w:t>
            </w:r>
          </w:p>
        </w:tc>
        <w:tc>
          <w:tcPr>
            <w:tcW w:w="1292" w:type="dxa"/>
            <w:noWrap/>
            <w:hideMark/>
          </w:tcPr>
          <w:p w14:paraId="79A8E21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0.390</w:t>
            </w:r>
          </w:p>
        </w:tc>
      </w:tr>
      <w:tr w:rsidR="00B54D51" w:rsidRPr="00037AD4" w14:paraId="2A4A9D27" w14:textId="77777777" w:rsidTr="00401C67">
        <w:trPr>
          <w:trHeight w:val="320"/>
        </w:trPr>
        <w:tc>
          <w:tcPr>
            <w:tcW w:w="9016" w:type="dxa"/>
            <w:gridSpan w:val="7"/>
            <w:shd w:val="clear" w:color="auto" w:fill="F2F2F2" w:themeFill="background1" w:themeFillShade="F2"/>
            <w:noWrap/>
            <w:hideMark/>
          </w:tcPr>
          <w:p w14:paraId="35020A1C" w14:textId="77777777" w:rsidR="00B54D51" w:rsidRPr="00037AD4" w:rsidRDefault="00B54D51" w:rsidP="00401C67">
            <w:pPr>
              <w:rPr>
                <w:sz w:val="20"/>
                <w:szCs w:val="20"/>
              </w:rPr>
            </w:pPr>
            <w:r w:rsidRPr="00037AD4">
              <w:rPr>
                <w:rFonts w:ascii="Calibri" w:hAnsi="Calibri" w:cs="Calibri"/>
                <w:color w:val="000000"/>
              </w:rPr>
              <w:t>NPI total score, predict:</w:t>
            </w:r>
          </w:p>
        </w:tc>
      </w:tr>
      <w:tr w:rsidR="00B54D51" w:rsidRPr="00037AD4" w14:paraId="7C39C3CC" w14:textId="77777777" w:rsidTr="00401C67">
        <w:trPr>
          <w:trHeight w:val="320"/>
        </w:trPr>
        <w:tc>
          <w:tcPr>
            <w:tcW w:w="1292" w:type="dxa"/>
            <w:noWrap/>
            <w:hideMark/>
          </w:tcPr>
          <w:p w14:paraId="0B7BB7D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w:t>
            </w:r>
          </w:p>
        </w:tc>
        <w:tc>
          <w:tcPr>
            <w:tcW w:w="2079" w:type="dxa"/>
            <w:noWrap/>
            <w:hideMark/>
          </w:tcPr>
          <w:p w14:paraId="244952D5" w14:textId="77777777" w:rsidR="00B54D51" w:rsidRPr="00037AD4" w:rsidRDefault="00B54D51" w:rsidP="00401C67">
            <w:pPr>
              <w:rPr>
                <w:rFonts w:ascii="Calibri" w:hAnsi="Calibri" w:cs="Calibri"/>
                <w:color w:val="000000"/>
              </w:rPr>
            </w:pPr>
            <w:r w:rsidRPr="00037AD4">
              <w:rPr>
                <w:rFonts w:ascii="Calibri" w:hAnsi="Calibri" w:cs="Calibri"/>
                <w:color w:val="000000"/>
              </w:rPr>
              <w:t>-.006</w:t>
            </w:r>
          </w:p>
        </w:tc>
        <w:tc>
          <w:tcPr>
            <w:tcW w:w="1019" w:type="dxa"/>
          </w:tcPr>
          <w:p w14:paraId="2BFB7C0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w:t>
            </w:r>
          </w:p>
        </w:tc>
        <w:tc>
          <w:tcPr>
            <w:tcW w:w="750" w:type="dxa"/>
            <w:noWrap/>
            <w:hideMark/>
          </w:tcPr>
          <w:p w14:paraId="69D24A1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-4.61</w:t>
            </w:r>
          </w:p>
        </w:tc>
        <w:tc>
          <w:tcPr>
            <w:tcW w:w="1292" w:type="dxa"/>
            <w:noWrap/>
            <w:hideMark/>
          </w:tcPr>
          <w:p w14:paraId="437273D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w:t>
            </w:r>
          </w:p>
        </w:tc>
        <w:tc>
          <w:tcPr>
            <w:tcW w:w="1292" w:type="dxa"/>
            <w:noWrap/>
            <w:hideMark/>
          </w:tcPr>
          <w:p w14:paraId="18D293C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-0.008</w:t>
            </w:r>
          </w:p>
        </w:tc>
        <w:tc>
          <w:tcPr>
            <w:tcW w:w="1292" w:type="dxa"/>
            <w:noWrap/>
            <w:hideMark/>
          </w:tcPr>
          <w:p w14:paraId="617C64F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-0.003</w:t>
            </w:r>
          </w:p>
        </w:tc>
      </w:tr>
      <w:tr w:rsidR="00B54D51" w:rsidRPr="00037AD4" w14:paraId="21AED395" w14:textId="77777777" w:rsidTr="00401C67">
        <w:trPr>
          <w:trHeight w:val="320"/>
        </w:trPr>
        <w:tc>
          <w:tcPr>
            <w:tcW w:w="1292" w:type="dxa"/>
            <w:noWrap/>
            <w:hideMark/>
          </w:tcPr>
          <w:p w14:paraId="4F195D2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w:t>
            </w:r>
          </w:p>
        </w:tc>
        <w:tc>
          <w:tcPr>
            <w:tcW w:w="2079" w:type="dxa"/>
            <w:noWrap/>
            <w:hideMark/>
          </w:tcPr>
          <w:p w14:paraId="1B1848C3"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.001 </w:t>
            </w:r>
          </w:p>
        </w:tc>
        <w:tc>
          <w:tcPr>
            <w:tcW w:w="1019" w:type="dxa"/>
          </w:tcPr>
          <w:p w14:paraId="0DAC2A4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w:t>
            </w:r>
          </w:p>
        </w:tc>
        <w:tc>
          <w:tcPr>
            <w:tcW w:w="750" w:type="dxa"/>
            <w:noWrap/>
            <w:hideMark/>
          </w:tcPr>
          <w:p w14:paraId="20DE733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4.29</w:t>
            </w:r>
          </w:p>
        </w:tc>
        <w:tc>
          <w:tcPr>
            <w:tcW w:w="1292" w:type="dxa"/>
            <w:noWrap/>
            <w:hideMark/>
          </w:tcPr>
          <w:p w14:paraId="10F67F7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w:t>
            </w:r>
          </w:p>
        </w:tc>
        <w:tc>
          <w:tcPr>
            <w:tcW w:w="1292" w:type="dxa"/>
            <w:noWrap/>
            <w:hideMark/>
          </w:tcPr>
          <w:p w14:paraId="5B83B49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c>
          <w:tcPr>
            <w:tcW w:w="1292" w:type="dxa"/>
            <w:noWrap/>
            <w:hideMark/>
          </w:tcPr>
          <w:p w14:paraId="66B3FAF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0.002</w:t>
            </w:r>
          </w:p>
        </w:tc>
      </w:tr>
      <w:tr w:rsidR="00B54D51" w:rsidRPr="00037AD4" w14:paraId="2B4E3106" w14:textId="77777777" w:rsidTr="00401C67">
        <w:trPr>
          <w:trHeight w:val="320"/>
        </w:trPr>
        <w:tc>
          <w:tcPr>
            <w:tcW w:w="1292" w:type="dxa"/>
            <w:noWrap/>
            <w:hideMark/>
          </w:tcPr>
          <w:p w14:paraId="4AF7C16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w:t>
            </w:r>
          </w:p>
        </w:tc>
        <w:tc>
          <w:tcPr>
            <w:tcW w:w="2079" w:type="dxa"/>
            <w:noWrap/>
            <w:hideMark/>
          </w:tcPr>
          <w:p w14:paraId="1DC3C186"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.002 </w:t>
            </w:r>
          </w:p>
        </w:tc>
        <w:tc>
          <w:tcPr>
            <w:tcW w:w="1019" w:type="dxa"/>
          </w:tcPr>
          <w:p w14:paraId="79E3E62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w:t>
            </w:r>
          </w:p>
        </w:tc>
        <w:tc>
          <w:tcPr>
            <w:tcW w:w="750" w:type="dxa"/>
            <w:noWrap/>
            <w:hideMark/>
          </w:tcPr>
          <w:p w14:paraId="37005F8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4.22</w:t>
            </w:r>
          </w:p>
        </w:tc>
        <w:tc>
          <w:tcPr>
            <w:tcW w:w="1292" w:type="dxa"/>
            <w:noWrap/>
            <w:hideMark/>
          </w:tcPr>
          <w:p w14:paraId="245D61F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w:t>
            </w:r>
          </w:p>
        </w:tc>
        <w:tc>
          <w:tcPr>
            <w:tcW w:w="1292" w:type="dxa"/>
            <w:noWrap/>
            <w:hideMark/>
          </w:tcPr>
          <w:p w14:paraId="2D82E7E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c>
          <w:tcPr>
            <w:tcW w:w="1292" w:type="dxa"/>
            <w:noWrap/>
            <w:hideMark/>
          </w:tcPr>
          <w:p w14:paraId="1206D60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0.002</w:t>
            </w:r>
          </w:p>
        </w:tc>
      </w:tr>
      <w:tr w:rsidR="00B54D51" w:rsidRPr="00037AD4" w14:paraId="62913E78" w14:textId="77777777" w:rsidTr="00401C67">
        <w:trPr>
          <w:trHeight w:val="320"/>
        </w:trPr>
        <w:tc>
          <w:tcPr>
            <w:tcW w:w="1292" w:type="dxa"/>
            <w:noWrap/>
            <w:hideMark/>
          </w:tcPr>
          <w:p w14:paraId="71BB828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w:t>
            </w:r>
          </w:p>
        </w:tc>
        <w:tc>
          <w:tcPr>
            <w:tcW w:w="2079" w:type="dxa"/>
            <w:noWrap/>
            <w:hideMark/>
          </w:tcPr>
          <w:p w14:paraId="418B5C98"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.001  </w:t>
            </w:r>
          </w:p>
        </w:tc>
        <w:tc>
          <w:tcPr>
            <w:tcW w:w="1019" w:type="dxa"/>
          </w:tcPr>
          <w:p w14:paraId="1A6C0E4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w:t>
            </w:r>
          </w:p>
        </w:tc>
        <w:tc>
          <w:tcPr>
            <w:tcW w:w="750" w:type="dxa"/>
            <w:noWrap/>
            <w:hideMark/>
          </w:tcPr>
          <w:p w14:paraId="3E6BC80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3.56</w:t>
            </w:r>
          </w:p>
        </w:tc>
        <w:tc>
          <w:tcPr>
            <w:tcW w:w="1292" w:type="dxa"/>
            <w:noWrap/>
            <w:hideMark/>
          </w:tcPr>
          <w:p w14:paraId="47E67EE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w:t>
            </w:r>
          </w:p>
        </w:tc>
        <w:tc>
          <w:tcPr>
            <w:tcW w:w="1292" w:type="dxa"/>
            <w:noWrap/>
            <w:hideMark/>
          </w:tcPr>
          <w:p w14:paraId="709F382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1292" w:type="dxa"/>
            <w:noWrap/>
            <w:hideMark/>
          </w:tcPr>
          <w:p w14:paraId="273976D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r>
      <w:tr w:rsidR="00B54D51" w:rsidRPr="00037AD4" w14:paraId="737ADAB9" w14:textId="77777777" w:rsidTr="00401C67">
        <w:trPr>
          <w:trHeight w:val="320"/>
        </w:trPr>
        <w:tc>
          <w:tcPr>
            <w:tcW w:w="1292" w:type="dxa"/>
            <w:noWrap/>
            <w:hideMark/>
          </w:tcPr>
          <w:p w14:paraId="7916610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5</w:t>
            </w:r>
          </w:p>
        </w:tc>
        <w:tc>
          <w:tcPr>
            <w:tcW w:w="2079" w:type="dxa"/>
            <w:noWrap/>
            <w:hideMark/>
          </w:tcPr>
          <w:p w14:paraId="6A96194B"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.002 </w:t>
            </w:r>
          </w:p>
        </w:tc>
        <w:tc>
          <w:tcPr>
            <w:tcW w:w="1019" w:type="dxa"/>
          </w:tcPr>
          <w:p w14:paraId="1B554FE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w:t>
            </w:r>
          </w:p>
        </w:tc>
        <w:tc>
          <w:tcPr>
            <w:tcW w:w="750" w:type="dxa"/>
            <w:noWrap/>
            <w:hideMark/>
          </w:tcPr>
          <w:p w14:paraId="32E71BD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3.97</w:t>
            </w:r>
          </w:p>
        </w:tc>
        <w:tc>
          <w:tcPr>
            <w:tcW w:w="1292" w:type="dxa"/>
            <w:noWrap/>
            <w:hideMark/>
          </w:tcPr>
          <w:p w14:paraId="67241FE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w:t>
            </w:r>
          </w:p>
        </w:tc>
        <w:tc>
          <w:tcPr>
            <w:tcW w:w="1292" w:type="dxa"/>
            <w:noWrap/>
            <w:hideMark/>
          </w:tcPr>
          <w:p w14:paraId="6FE808F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c>
          <w:tcPr>
            <w:tcW w:w="1292" w:type="dxa"/>
            <w:noWrap/>
            <w:hideMark/>
          </w:tcPr>
          <w:p w14:paraId="33AC490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0.003</w:t>
            </w:r>
          </w:p>
        </w:tc>
      </w:tr>
      <w:tr w:rsidR="00B54D51" w:rsidRPr="00037AD4" w14:paraId="0712E059" w14:textId="77777777" w:rsidTr="00401C67">
        <w:trPr>
          <w:trHeight w:val="320"/>
        </w:trPr>
        <w:tc>
          <w:tcPr>
            <w:tcW w:w="9016" w:type="dxa"/>
            <w:gridSpan w:val="7"/>
            <w:shd w:val="clear" w:color="auto" w:fill="F2F2F2" w:themeFill="background1" w:themeFillShade="F2"/>
            <w:noWrap/>
            <w:hideMark/>
          </w:tcPr>
          <w:p w14:paraId="4B25E018" w14:textId="77777777" w:rsidR="00B54D51" w:rsidRPr="00037AD4" w:rsidRDefault="00B54D51" w:rsidP="00401C67">
            <w:pPr>
              <w:rPr>
                <w:sz w:val="20"/>
                <w:szCs w:val="20"/>
              </w:rPr>
            </w:pPr>
            <w:r w:rsidRPr="00037AD4">
              <w:rPr>
                <w:rFonts w:ascii="Calibri" w:hAnsi="Calibri" w:cs="Calibri"/>
                <w:color w:val="000000"/>
              </w:rPr>
              <w:t>FAST score, predict:</w:t>
            </w:r>
          </w:p>
        </w:tc>
      </w:tr>
      <w:tr w:rsidR="00B54D51" w:rsidRPr="00037AD4" w14:paraId="190D1D70" w14:textId="77777777" w:rsidTr="00401C67">
        <w:trPr>
          <w:trHeight w:val="320"/>
        </w:trPr>
        <w:tc>
          <w:tcPr>
            <w:tcW w:w="1292" w:type="dxa"/>
            <w:noWrap/>
            <w:hideMark/>
          </w:tcPr>
          <w:p w14:paraId="7A3571D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w:t>
            </w:r>
          </w:p>
        </w:tc>
        <w:tc>
          <w:tcPr>
            <w:tcW w:w="2079" w:type="dxa"/>
            <w:noWrap/>
            <w:hideMark/>
          </w:tcPr>
          <w:p w14:paraId="6F5C8E08" w14:textId="77777777" w:rsidR="00B54D51" w:rsidRPr="00037AD4" w:rsidRDefault="00B54D51" w:rsidP="00401C67">
            <w:pPr>
              <w:rPr>
                <w:rFonts w:ascii="Calibri" w:hAnsi="Calibri" w:cs="Calibri"/>
                <w:color w:val="000000"/>
              </w:rPr>
            </w:pPr>
            <w:r w:rsidRPr="00037AD4">
              <w:rPr>
                <w:rFonts w:ascii="Calibri" w:hAnsi="Calibri" w:cs="Calibri"/>
                <w:color w:val="000000"/>
              </w:rPr>
              <w:t>-.095</w:t>
            </w:r>
          </w:p>
        </w:tc>
        <w:tc>
          <w:tcPr>
            <w:tcW w:w="1019" w:type="dxa"/>
          </w:tcPr>
          <w:p w14:paraId="4CC1B5C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.019</w:t>
            </w:r>
          </w:p>
        </w:tc>
        <w:tc>
          <w:tcPr>
            <w:tcW w:w="750" w:type="dxa"/>
            <w:noWrap/>
            <w:hideMark/>
          </w:tcPr>
          <w:p w14:paraId="3E676A4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-5</w:t>
            </w:r>
          </w:p>
        </w:tc>
        <w:tc>
          <w:tcPr>
            <w:tcW w:w="1292" w:type="dxa"/>
            <w:noWrap/>
            <w:hideMark/>
          </w:tcPr>
          <w:p w14:paraId="206547F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w:t>
            </w:r>
          </w:p>
        </w:tc>
        <w:tc>
          <w:tcPr>
            <w:tcW w:w="1292" w:type="dxa"/>
            <w:noWrap/>
            <w:hideMark/>
          </w:tcPr>
          <w:p w14:paraId="68859EB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-0.132</w:t>
            </w:r>
          </w:p>
        </w:tc>
        <w:tc>
          <w:tcPr>
            <w:tcW w:w="1292" w:type="dxa"/>
            <w:noWrap/>
            <w:hideMark/>
          </w:tcPr>
          <w:p w14:paraId="6927058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-0.058</w:t>
            </w:r>
          </w:p>
        </w:tc>
      </w:tr>
      <w:tr w:rsidR="00B54D51" w:rsidRPr="00037AD4" w14:paraId="36EB72EE" w14:textId="77777777" w:rsidTr="00401C67">
        <w:trPr>
          <w:trHeight w:val="320"/>
        </w:trPr>
        <w:tc>
          <w:tcPr>
            <w:tcW w:w="1292" w:type="dxa"/>
            <w:noWrap/>
            <w:hideMark/>
          </w:tcPr>
          <w:p w14:paraId="272F070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w:t>
            </w:r>
          </w:p>
        </w:tc>
        <w:tc>
          <w:tcPr>
            <w:tcW w:w="2079" w:type="dxa"/>
            <w:noWrap/>
            <w:hideMark/>
          </w:tcPr>
          <w:p w14:paraId="522DCAB2" w14:textId="77777777" w:rsidR="00B54D51" w:rsidRPr="00037AD4" w:rsidRDefault="00B54D51" w:rsidP="00401C67">
            <w:pPr>
              <w:rPr>
                <w:rFonts w:ascii="Calibri" w:hAnsi="Calibri" w:cs="Calibri"/>
                <w:color w:val="000000"/>
              </w:rPr>
            </w:pPr>
            <w:r w:rsidRPr="00037AD4">
              <w:rPr>
                <w:rFonts w:ascii="Calibri" w:hAnsi="Calibri" w:cs="Calibri"/>
                <w:color w:val="000000"/>
              </w:rPr>
              <w:t>.023</w:t>
            </w:r>
          </w:p>
        </w:tc>
        <w:tc>
          <w:tcPr>
            <w:tcW w:w="1019" w:type="dxa"/>
          </w:tcPr>
          <w:p w14:paraId="41C5F41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.005</w:t>
            </w:r>
          </w:p>
        </w:tc>
        <w:tc>
          <w:tcPr>
            <w:tcW w:w="750" w:type="dxa"/>
            <w:noWrap/>
            <w:hideMark/>
          </w:tcPr>
          <w:p w14:paraId="6232FA7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4.95</w:t>
            </w:r>
          </w:p>
        </w:tc>
        <w:tc>
          <w:tcPr>
            <w:tcW w:w="1292" w:type="dxa"/>
            <w:noWrap/>
            <w:hideMark/>
          </w:tcPr>
          <w:p w14:paraId="58C0743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w:t>
            </w:r>
          </w:p>
        </w:tc>
        <w:tc>
          <w:tcPr>
            <w:tcW w:w="1292" w:type="dxa"/>
            <w:noWrap/>
            <w:hideMark/>
          </w:tcPr>
          <w:p w14:paraId="6A371D8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0.014</w:t>
            </w:r>
          </w:p>
        </w:tc>
        <w:tc>
          <w:tcPr>
            <w:tcW w:w="1292" w:type="dxa"/>
            <w:noWrap/>
            <w:hideMark/>
          </w:tcPr>
          <w:p w14:paraId="5F756D3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0.032</w:t>
            </w:r>
          </w:p>
        </w:tc>
      </w:tr>
      <w:tr w:rsidR="00B54D51" w:rsidRPr="00037AD4" w14:paraId="5F1E4EEE" w14:textId="77777777" w:rsidTr="00401C67">
        <w:trPr>
          <w:trHeight w:val="320"/>
        </w:trPr>
        <w:tc>
          <w:tcPr>
            <w:tcW w:w="1292" w:type="dxa"/>
            <w:noWrap/>
            <w:hideMark/>
          </w:tcPr>
          <w:p w14:paraId="01A4E4C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w:t>
            </w:r>
          </w:p>
        </w:tc>
        <w:tc>
          <w:tcPr>
            <w:tcW w:w="2079" w:type="dxa"/>
            <w:noWrap/>
            <w:hideMark/>
          </w:tcPr>
          <w:p w14:paraId="2DE9C212"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.026 </w:t>
            </w:r>
          </w:p>
        </w:tc>
        <w:tc>
          <w:tcPr>
            <w:tcW w:w="1019" w:type="dxa"/>
          </w:tcPr>
          <w:p w14:paraId="7BC6F83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.006</w:t>
            </w:r>
          </w:p>
        </w:tc>
        <w:tc>
          <w:tcPr>
            <w:tcW w:w="750" w:type="dxa"/>
            <w:noWrap/>
            <w:hideMark/>
          </w:tcPr>
          <w:p w14:paraId="1B2D4CD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4.33</w:t>
            </w:r>
          </w:p>
        </w:tc>
        <w:tc>
          <w:tcPr>
            <w:tcW w:w="1292" w:type="dxa"/>
            <w:noWrap/>
            <w:hideMark/>
          </w:tcPr>
          <w:p w14:paraId="33EA3AF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w:t>
            </w:r>
          </w:p>
        </w:tc>
        <w:tc>
          <w:tcPr>
            <w:tcW w:w="1292" w:type="dxa"/>
            <w:noWrap/>
            <w:hideMark/>
          </w:tcPr>
          <w:p w14:paraId="3BE4BB3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0.014</w:t>
            </w:r>
          </w:p>
        </w:tc>
        <w:tc>
          <w:tcPr>
            <w:tcW w:w="1292" w:type="dxa"/>
            <w:noWrap/>
            <w:hideMark/>
          </w:tcPr>
          <w:p w14:paraId="50EE401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0.038</w:t>
            </w:r>
          </w:p>
        </w:tc>
      </w:tr>
      <w:tr w:rsidR="00B54D51" w:rsidRPr="00037AD4" w14:paraId="570DF3CB" w14:textId="77777777" w:rsidTr="00401C67">
        <w:trPr>
          <w:trHeight w:val="320"/>
        </w:trPr>
        <w:tc>
          <w:tcPr>
            <w:tcW w:w="1292" w:type="dxa"/>
            <w:noWrap/>
            <w:hideMark/>
          </w:tcPr>
          <w:p w14:paraId="28C6FBB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w:t>
            </w:r>
          </w:p>
        </w:tc>
        <w:tc>
          <w:tcPr>
            <w:tcW w:w="2079" w:type="dxa"/>
            <w:noWrap/>
            <w:hideMark/>
          </w:tcPr>
          <w:p w14:paraId="74B393F6"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.012 </w:t>
            </w:r>
          </w:p>
        </w:tc>
        <w:tc>
          <w:tcPr>
            <w:tcW w:w="1019" w:type="dxa"/>
          </w:tcPr>
          <w:p w14:paraId="2840479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w:t>
            </w:r>
          </w:p>
        </w:tc>
        <w:tc>
          <w:tcPr>
            <w:tcW w:w="750" w:type="dxa"/>
            <w:noWrap/>
            <w:hideMark/>
          </w:tcPr>
          <w:p w14:paraId="4506619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3.68</w:t>
            </w:r>
          </w:p>
        </w:tc>
        <w:tc>
          <w:tcPr>
            <w:tcW w:w="1292" w:type="dxa"/>
            <w:noWrap/>
            <w:hideMark/>
          </w:tcPr>
          <w:p w14:paraId="20DB990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w:t>
            </w:r>
          </w:p>
        </w:tc>
        <w:tc>
          <w:tcPr>
            <w:tcW w:w="1292" w:type="dxa"/>
            <w:noWrap/>
            <w:hideMark/>
          </w:tcPr>
          <w:p w14:paraId="2389947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0.006</w:t>
            </w:r>
          </w:p>
        </w:tc>
        <w:tc>
          <w:tcPr>
            <w:tcW w:w="1292" w:type="dxa"/>
            <w:noWrap/>
            <w:hideMark/>
          </w:tcPr>
          <w:p w14:paraId="7010FED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0.019</w:t>
            </w:r>
          </w:p>
        </w:tc>
      </w:tr>
      <w:tr w:rsidR="00B54D51" w:rsidRPr="00037AD4" w14:paraId="0EA00C08" w14:textId="77777777" w:rsidTr="00401C67">
        <w:trPr>
          <w:trHeight w:val="320"/>
        </w:trPr>
        <w:tc>
          <w:tcPr>
            <w:tcW w:w="1292" w:type="dxa"/>
            <w:noWrap/>
            <w:hideMark/>
          </w:tcPr>
          <w:p w14:paraId="4D4EA3A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5</w:t>
            </w:r>
          </w:p>
        </w:tc>
        <w:tc>
          <w:tcPr>
            <w:tcW w:w="2079" w:type="dxa"/>
            <w:noWrap/>
            <w:hideMark/>
          </w:tcPr>
          <w:p w14:paraId="5CE98055"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.033 </w:t>
            </w:r>
          </w:p>
        </w:tc>
        <w:tc>
          <w:tcPr>
            <w:tcW w:w="1019" w:type="dxa"/>
          </w:tcPr>
          <w:p w14:paraId="04ED12F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.008</w:t>
            </w:r>
          </w:p>
        </w:tc>
        <w:tc>
          <w:tcPr>
            <w:tcW w:w="750" w:type="dxa"/>
            <w:noWrap/>
            <w:hideMark/>
          </w:tcPr>
          <w:p w14:paraId="15FDA8F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4.19</w:t>
            </w:r>
          </w:p>
        </w:tc>
        <w:tc>
          <w:tcPr>
            <w:tcW w:w="1292" w:type="dxa"/>
            <w:noWrap/>
            <w:hideMark/>
          </w:tcPr>
          <w:p w14:paraId="3F488CC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w:t>
            </w:r>
          </w:p>
        </w:tc>
        <w:tc>
          <w:tcPr>
            <w:tcW w:w="1292" w:type="dxa"/>
            <w:noWrap/>
            <w:hideMark/>
          </w:tcPr>
          <w:p w14:paraId="5D4EC30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0.018</w:t>
            </w:r>
          </w:p>
        </w:tc>
        <w:tc>
          <w:tcPr>
            <w:tcW w:w="1292" w:type="dxa"/>
            <w:noWrap/>
            <w:hideMark/>
          </w:tcPr>
          <w:p w14:paraId="319DD27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0.049</w:t>
            </w:r>
          </w:p>
        </w:tc>
      </w:tr>
      <w:tr w:rsidR="00B54D51" w:rsidRPr="00037AD4" w14:paraId="16560C59" w14:textId="77777777" w:rsidTr="00401C67">
        <w:trPr>
          <w:trHeight w:val="320"/>
        </w:trPr>
        <w:tc>
          <w:tcPr>
            <w:tcW w:w="9016" w:type="dxa"/>
            <w:gridSpan w:val="7"/>
            <w:shd w:val="clear" w:color="auto" w:fill="F2F2F2" w:themeFill="background1" w:themeFillShade="F2"/>
            <w:noWrap/>
            <w:hideMark/>
          </w:tcPr>
          <w:p w14:paraId="2CFA387E" w14:textId="77777777" w:rsidR="00B54D51" w:rsidRPr="00037AD4" w:rsidRDefault="00B54D51" w:rsidP="00401C67">
            <w:pPr>
              <w:rPr>
                <w:sz w:val="20"/>
                <w:szCs w:val="20"/>
              </w:rPr>
            </w:pPr>
            <w:r w:rsidRPr="00037AD4">
              <w:rPr>
                <w:rFonts w:ascii="Calibri" w:hAnsi="Calibri" w:cs="Calibri"/>
                <w:color w:val="000000"/>
              </w:rPr>
              <w:t xml:space="preserve">Age of PwD, predict: </w:t>
            </w:r>
          </w:p>
        </w:tc>
      </w:tr>
      <w:tr w:rsidR="00B54D51" w:rsidRPr="00037AD4" w14:paraId="2261E9AA" w14:textId="77777777" w:rsidTr="00401C67">
        <w:trPr>
          <w:trHeight w:val="320"/>
        </w:trPr>
        <w:tc>
          <w:tcPr>
            <w:tcW w:w="1292" w:type="dxa"/>
            <w:noWrap/>
            <w:hideMark/>
          </w:tcPr>
          <w:p w14:paraId="7E246C4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w:t>
            </w:r>
          </w:p>
        </w:tc>
        <w:tc>
          <w:tcPr>
            <w:tcW w:w="2079" w:type="dxa"/>
            <w:noWrap/>
            <w:hideMark/>
          </w:tcPr>
          <w:p w14:paraId="5659BCBF"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.001 </w:t>
            </w:r>
          </w:p>
        </w:tc>
        <w:tc>
          <w:tcPr>
            <w:tcW w:w="1019" w:type="dxa"/>
          </w:tcPr>
          <w:p w14:paraId="4BAAE1F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w:t>
            </w:r>
          </w:p>
        </w:tc>
        <w:tc>
          <w:tcPr>
            <w:tcW w:w="750" w:type="dxa"/>
            <w:noWrap/>
            <w:hideMark/>
          </w:tcPr>
          <w:p w14:paraId="75ACE21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0.58</w:t>
            </w:r>
          </w:p>
        </w:tc>
        <w:tc>
          <w:tcPr>
            <w:tcW w:w="1292" w:type="dxa"/>
            <w:noWrap/>
            <w:hideMark/>
          </w:tcPr>
          <w:p w14:paraId="046A0F6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0.564</w:t>
            </w:r>
          </w:p>
        </w:tc>
        <w:tc>
          <w:tcPr>
            <w:tcW w:w="1292" w:type="dxa"/>
            <w:noWrap/>
            <w:hideMark/>
          </w:tcPr>
          <w:p w14:paraId="73DEB3A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-0.003</w:t>
            </w:r>
          </w:p>
        </w:tc>
        <w:tc>
          <w:tcPr>
            <w:tcW w:w="1292" w:type="dxa"/>
            <w:noWrap/>
            <w:hideMark/>
          </w:tcPr>
          <w:p w14:paraId="419F969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0.005</w:t>
            </w:r>
          </w:p>
        </w:tc>
      </w:tr>
      <w:tr w:rsidR="00B54D51" w:rsidRPr="00037AD4" w14:paraId="71C6322F" w14:textId="77777777" w:rsidTr="00401C67">
        <w:trPr>
          <w:trHeight w:val="320"/>
        </w:trPr>
        <w:tc>
          <w:tcPr>
            <w:tcW w:w="1292" w:type="dxa"/>
            <w:noWrap/>
            <w:hideMark/>
          </w:tcPr>
          <w:p w14:paraId="214DF66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w:t>
            </w:r>
          </w:p>
        </w:tc>
        <w:tc>
          <w:tcPr>
            <w:tcW w:w="2079" w:type="dxa"/>
            <w:noWrap/>
            <w:hideMark/>
          </w:tcPr>
          <w:p w14:paraId="46F37B01"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-.000 </w:t>
            </w:r>
          </w:p>
        </w:tc>
        <w:tc>
          <w:tcPr>
            <w:tcW w:w="1019" w:type="dxa"/>
          </w:tcPr>
          <w:p w14:paraId="05C2B32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w:t>
            </w:r>
          </w:p>
        </w:tc>
        <w:tc>
          <w:tcPr>
            <w:tcW w:w="750" w:type="dxa"/>
            <w:noWrap/>
            <w:hideMark/>
          </w:tcPr>
          <w:p w14:paraId="196088B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-0.57</w:t>
            </w:r>
          </w:p>
        </w:tc>
        <w:tc>
          <w:tcPr>
            <w:tcW w:w="1292" w:type="dxa"/>
            <w:noWrap/>
            <w:hideMark/>
          </w:tcPr>
          <w:p w14:paraId="27696CE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0.566</w:t>
            </w:r>
          </w:p>
        </w:tc>
        <w:tc>
          <w:tcPr>
            <w:tcW w:w="1292" w:type="dxa"/>
            <w:noWrap/>
            <w:hideMark/>
          </w:tcPr>
          <w:p w14:paraId="1283E25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c>
          <w:tcPr>
            <w:tcW w:w="1292" w:type="dxa"/>
            <w:noWrap/>
            <w:hideMark/>
          </w:tcPr>
          <w:p w14:paraId="688FDAB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r>
      <w:tr w:rsidR="00B54D51" w:rsidRPr="00037AD4" w14:paraId="1664EDB0" w14:textId="77777777" w:rsidTr="00401C67">
        <w:trPr>
          <w:trHeight w:val="320"/>
        </w:trPr>
        <w:tc>
          <w:tcPr>
            <w:tcW w:w="1292" w:type="dxa"/>
            <w:noWrap/>
            <w:hideMark/>
          </w:tcPr>
          <w:p w14:paraId="5B802C8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w:t>
            </w:r>
          </w:p>
        </w:tc>
        <w:tc>
          <w:tcPr>
            <w:tcW w:w="2079" w:type="dxa"/>
            <w:noWrap/>
            <w:hideMark/>
          </w:tcPr>
          <w:p w14:paraId="5F3865BF"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-.000 </w:t>
            </w:r>
          </w:p>
        </w:tc>
        <w:tc>
          <w:tcPr>
            <w:tcW w:w="1019" w:type="dxa"/>
          </w:tcPr>
          <w:p w14:paraId="11A4272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w:t>
            </w:r>
          </w:p>
        </w:tc>
        <w:tc>
          <w:tcPr>
            <w:tcW w:w="750" w:type="dxa"/>
            <w:noWrap/>
            <w:hideMark/>
          </w:tcPr>
          <w:p w14:paraId="617EEA0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-0.58</w:t>
            </w:r>
          </w:p>
        </w:tc>
        <w:tc>
          <w:tcPr>
            <w:tcW w:w="1292" w:type="dxa"/>
            <w:noWrap/>
            <w:hideMark/>
          </w:tcPr>
          <w:p w14:paraId="5CE590E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0.565</w:t>
            </w:r>
          </w:p>
        </w:tc>
        <w:tc>
          <w:tcPr>
            <w:tcW w:w="1292" w:type="dxa"/>
            <w:noWrap/>
            <w:hideMark/>
          </w:tcPr>
          <w:p w14:paraId="6DF4866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c>
          <w:tcPr>
            <w:tcW w:w="1292" w:type="dxa"/>
            <w:noWrap/>
            <w:hideMark/>
          </w:tcPr>
          <w:p w14:paraId="58D59FE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r>
      <w:tr w:rsidR="00B54D51" w:rsidRPr="00037AD4" w14:paraId="1F35D16E" w14:textId="77777777" w:rsidTr="00401C67">
        <w:trPr>
          <w:trHeight w:val="320"/>
        </w:trPr>
        <w:tc>
          <w:tcPr>
            <w:tcW w:w="1292" w:type="dxa"/>
            <w:noWrap/>
            <w:hideMark/>
          </w:tcPr>
          <w:p w14:paraId="38FF415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w:t>
            </w:r>
          </w:p>
        </w:tc>
        <w:tc>
          <w:tcPr>
            <w:tcW w:w="2079" w:type="dxa"/>
            <w:noWrap/>
            <w:hideMark/>
          </w:tcPr>
          <w:p w14:paraId="3379AC19"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-.000 </w:t>
            </w:r>
          </w:p>
        </w:tc>
        <w:tc>
          <w:tcPr>
            <w:tcW w:w="1019" w:type="dxa"/>
          </w:tcPr>
          <w:p w14:paraId="5DCC159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w:t>
            </w:r>
          </w:p>
        </w:tc>
        <w:tc>
          <w:tcPr>
            <w:tcW w:w="750" w:type="dxa"/>
            <w:noWrap/>
            <w:hideMark/>
          </w:tcPr>
          <w:p w14:paraId="7965523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-0.58</w:t>
            </w:r>
          </w:p>
        </w:tc>
        <w:tc>
          <w:tcPr>
            <w:tcW w:w="1292" w:type="dxa"/>
            <w:noWrap/>
            <w:hideMark/>
          </w:tcPr>
          <w:p w14:paraId="3F10EF3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0.563</w:t>
            </w:r>
          </w:p>
        </w:tc>
        <w:tc>
          <w:tcPr>
            <w:tcW w:w="1292" w:type="dxa"/>
            <w:noWrap/>
            <w:hideMark/>
          </w:tcPr>
          <w:p w14:paraId="07B4D63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c>
          <w:tcPr>
            <w:tcW w:w="1292" w:type="dxa"/>
            <w:noWrap/>
            <w:hideMark/>
          </w:tcPr>
          <w:p w14:paraId="3F89A96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r>
      <w:tr w:rsidR="00B54D51" w:rsidRPr="00037AD4" w14:paraId="38C7E0F1" w14:textId="77777777" w:rsidTr="00401C67">
        <w:trPr>
          <w:trHeight w:val="320"/>
        </w:trPr>
        <w:tc>
          <w:tcPr>
            <w:tcW w:w="1292" w:type="dxa"/>
            <w:noWrap/>
            <w:hideMark/>
          </w:tcPr>
          <w:p w14:paraId="6EB0351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5</w:t>
            </w:r>
          </w:p>
        </w:tc>
        <w:tc>
          <w:tcPr>
            <w:tcW w:w="2079" w:type="dxa"/>
            <w:noWrap/>
            <w:hideMark/>
          </w:tcPr>
          <w:p w14:paraId="78F17BCF"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-.000 </w:t>
            </w:r>
          </w:p>
        </w:tc>
        <w:tc>
          <w:tcPr>
            <w:tcW w:w="1019" w:type="dxa"/>
          </w:tcPr>
          <w:p w14:paraId="6327A6E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w:t>
            </w:r>
          </w:p>
        </w:tc>
        <w:tc>
          <w:tcPr>
            <w:tcW w:w="750" w:type="dxa"/>
            <w:noWrap/>
            <w:hideMark/>
          </w:tcPr>
          <w:p w14:paraId="033B3C7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-0.58</w:t>
            </w:r>
          </w:p>
        </w:tc>
        <w:tc>
          <w:tcPr>
            <w:tcW w:w="1292" w:type="dxa"/>
            <w:noWrap/>
            <w:hideMark/>
          </w:tcPr>
          <w:p w14:paraId="128AA84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0.565</w:t>
            </w:r>
          </w:p>
        </w:tc>
        <w:tc>
          <w:tcPr>
            <w:tcW w:w="1292" w:type="dxa"/>
            <w:noWrap/>
            <w:hideMark/>
          </w:tcPr>
          <w:p w14:paraId="6C673F0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-0.002</w:t>
            </w:r>
          </w:p>
        </w:tc>
        <w:tc>
          <w:tcPr>
            <w:tcW w:w="1292" w:type="dxa"/>
            <w:noWrap/>
            <w:hideMark/>
          </w:tcPr>
          <w:p w14:paraId="4FE9009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r>
      <w:tr w:rsidR="00B54D51" w:rsidRPr="00037AD4" w14:paraId="063784FF" w14:textId="77777777" w:rsidTr="00401C67">
        <w:trPr>
          <w:trHeight w:val="320"/>
        </w:trPr>
        <w:tc>
          <w:tcPr>
            <w:tcW w:w="9016" w:type="dxa"/>
            <w:gridSpan w:val="7"/>
            <w:shd w:val="clear" w:color="auto" w:fill="F2F2F2" w:themeFill="background1" w:themeFillShade="F2"/>
            <w:noWrap/>
            <w:hideMark/>
          </w:tcPr>
          <w:p w14:paraId="670D59B6" w14:textId="77777777" w:rsidR="00B54D51" w:rsidRPr="00037AD4" w:rsidRDefault="00B54D51" w:rsidP="00401C67">
            <w:pPr>
              <w:rPr>
                <w:rFonts w:ascii="Calibri" w:hAnsi="Calibri" w:cs="Calibri"/>
                <w:color w:val="000000"/>
              </w:rPr>
            </w:pPr>
            <w:r w:rsidRPr="00037AD4">
              <w:rPr>
                <w:rFonts w:ascii="Calibri" w:hAnsi="Calibri" w:cs="Calibri"/>
                <w:color w:val="000000"/>
              </w:rPr>
              <w:t>PwD sex (base outcome = male)</w:t>
            </w:r>
          </w:p>
        </w:tc>
      </w:tr>
      <w:tr w:rsidR="00B54D51" w:rsidRPr="00037AD4" w14:paraId="635FC6D6" w14:textId="77777777" w:rsidTr="00401C67">
        <w:trPr>
          <w:trHeight w:val="320"/>
        </w:trPr>
        <w:tc>
          <w:tcPr>
            <w:tcW w:w="9016" w:type="dxa"/>
            <w:gridSpan w:val="7"/>
            <w:shd w:val="clear" w:color="auto" w:fill="F2F2F2" w:themeFill="background1" w:themeFillShade="F2"/>
            <w:noWrap/>
            <w:hideMark/>
          </w:tcPr>
          <w:p w14:paraId="1AF5D101" w14:textId="77777777" w:rsidR="00B54D51" w:rsidRPr="00037AD4" w:rsidRDefault="00B54D51" w:rsidP="00401C67">
            <w:pPr>
              <w:rPr>
                <w:sz w:val="20"/>
                <w:szCs w:val="20"/>
              </w:rPr>
            </w:pPr>
            <w:r w:rsidRPr="00037AD4">
              <w:rPr>
                <w:rFonts w:ascii="Calibri" w:hAnsi="Calibri" w:cs="Calibri"/>
                <w:color w:val="000000"/>
              </w:rPr>
              <w:t xml:space="preserve">PwD sex, female predict: </w:t>
            </w:r>
          </w:p>
        </w:tc>
      </w:tr>
      <w:tr w:rsidR="00B54D51" w:rsidRPr="00037AD4" w14:paraId="2F317C8C" w14:textId="77777777" w:rsidTr="00401C67">
        <w:trPr>
          <w:trHeight w:val="320"/>
        </w:trPr>
        <w:tc>
          <w:tcPr>
            <w:tcW w:w="1292" w:type="dxa"/>
            <w:noWrap/>
            <w:hideMark/>
          </w:tcPr>
          <w:p w14:paraId="6C5BF7C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w:t>
            </w:r>
          </w:p>
        </w:tc>
        <w:tc>
          <w:tcPr>
            <w:tcW w:w="2079" w:type="dxa"/>
            <w:noWrap/>
            <w:hideMark/>
          </w:tcPr>
          <w:p w14:paraId="1F3D66AF"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-.040  </w:t>
            </w:r>
          </w:p>
        </w:tc>
        <w:tc>
          <w:tcPr>
            <w:tcW w:w="1019" w:type="dxa"/>
          </w:tcPr>
          <w:p w14:paraId="119915E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.034</w:t>
            </w:r>
          </w:p>
        </w:tc>
        <w:tc>
          <w:tcPr>
            <w:tcW w:w="750" w:type="dxa"/>
            <w:noWrap/>
            <w:hideMark/>
          </w:tcPr>
          <w:p w14:paraId="38E9051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-1.18</w:t>
            </w:r>
          </w:p>
        </w:tc>
        <w:tc>
          <w:tcPr>
            <w:tcW w:w="1292" w:type="dxa"/>
            <w:noWrap/>
            <w:hideMark/>
          </w:tcPr>
          <w:p w14:paraId="5E7557F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0.238</w:t>
            </w:r>
          </w:p>
        </w:tc>
        <w:tc>
          <w:tcPr>
            <w:tcW w:w="1292" w:type="dxa"/>
            <w:noWrap/>
            <w:hideMark/>
          </w:tcPr>
          <w:p w14:paraId="56BB737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-0.105</w:t>
            </w:r>
          </w:p>
        </w:tc>
        <w:tc>
          <w:tcPr>
            <w:tcW w:w="1292" w:type="dxa"/>
            <w:noWrap/>
            <w:hideMark/>
          </w:tcPr>
          <w:p w14:paraId="7048AD6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0.026</w:t>
            </w:r>
          </w:p>
        </w:tc>
      </w:tr>
      <w:tr w:rsidR="00B54D51" w:rsidRPr="00037AD4" w14:paraId="25166A22" w14:textId="77777777" w:rsidTr="00401C67">
        <w:trPr>
          <w:trHeight w:val="320"/>
        </w:trPr>
        <w:tc>
          <w:tcPr>
            <w:tcW w:w="1292" w:type="dxa"/>
            <w:noWrap/>
            <w:hideMark/>
          </w:tcPr>
          <w:p w14:paraId="1883D3D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w:t>
            </w:r>
          </w:p>
        </w:tc>
        <w:tc>
          <w:tcPr>
            <w:tcW w:w="2079" w:type="dxa"/>
            <w:noWrap/>
            <w:hideMark/>
          </w:tcPr>
          <w:p w14:paraId="14619AF2"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.010 </w:t>
            </w:r>
          </w:p>
        </w:tc>
        <w:tc>
          <w:tcPr>
            <w:tcW w:w="1019" w:type="dxa"/>
          </w:tcPr>
          <w:p w14:paraId="7F81FB3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.009</w:t>
            </w:r>
          </w:p>
        </w:tc>
        <w:tc>
          <w:tcPr>
            <w:tcW w:w="750" w:type="dxa"/>
            <w:noWrap/>
            <w:hideMark/>
          </w:tcPr>
          <w:p w14:paraId="388F943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1.13</w:t>
            </w:r>
          </w:p>
        </w:tc>
        <w:tc>
          <w:tcPr>
            <w:tcW w:w="1292" w:type="dxa"/>
            <w:noWrap/>
            <w:hideMark/>
          </w:tcPr>
          <w:p w14:paraId="7736125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0.257</w:t>
            </w:r>
          </w:p>
        </w:tc>
        <w:tc>
          <w:tcPr>
            <w:tcW w:w="1292" w:type="dxa"/>
            <w:noWrap/>
            <w:hideMark/>
          </w:tcPr>
          <w:p w14:paraId="706B7AC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-0.007</w:t>
            </w:r>
          </w:p>
        </w:tc>
        <w:tc>
          <w:tcPr>
            <w:tcW w:w="1292" w:type="dxa"/>
            <w:noWrap/>
            <w:hideMark/>
          </w:tcPr>
          <w:p w14:paraId="66534F4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0.027</w:t>
            </w:r>
          </w:p>
        </w:tc>
      </w:tr>
      <w:tr w:rsidR="00B54D51" w:rsidRPr="00037AD4" w14:paraId="5604CC6C" w14:textId="77777777" w:rsidTr="00401C67">
        <w:trPr>
          <w:trHeight w:val="320"/>
        </w:trPr>
        <w:tc>
          <w:tcPr>
            <w:tcW w:w="1292" w:type="dxa"/>
            <w:noWrap/>
            <w:hideMark/>
          </w:tcPr>
          <w:p w14:paraId="67F26B6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w:t>
            </w:r>
          </w:p>
        </w:tc>
        <w:tc>
          <w:tcPr>
            <w:tcW w:w="2079" w:type="dxa"/>
            <w:noWrap/>
            <w:hideMark/>
          </w:tcPr>
          <w:p w14:paraId="5A0FFC9A"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.011  </w:t>
            </w:r>
          </w:p>
        </w:tc>
        <w:tc>
          <w:tcPr>
            <w:tcW w:w="1019" w:type="dxa"/>
          </w:tcPr>
          <w:p w14:paraId="325A8F2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.009</w:t>
            </w:r>
          </w:p>
        </w:tc>
        <w:tc>
          <w:tcPr>
            <w:tcW w:w="750" w:type="dxa"/>
            <w:noWrap/>
            <w:hideMark/>
          </w:tcPr>
          <w:p w14:paraId="573220D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1.17</w:t>
            </w:r>
          </w:p>
        </w:tc>
        <w:tc>
          <w:tcPr>
            <w:tcW w:w="1292" w:type="dxa"/>
            <w:noWrap/>
            <w:hideMark/>
          </w:tcPr>
          <w:p w14:paraId="3922738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0.243</w:t>
            </w:r>
          </w:p>
        </w:tc>
        <w:tc>
          <w:tcPr>
            <w:tcW w:w="1292" w:type="dxa"/>
            <w:noWrap/>
            <w:hideMark/>
          </w:tcPr>
          <w:p w14:paraId="79B6EE5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-0.008</w:t>
            </w:r>
          </w:p>
        </w:tc>
        <w:tc>
          <w:tcPr>
            <w:tcW w:w="1292" w:type="dxa"/>
            <w:noWrap/>
            <w:hideMark/>
          </w:tcPr>
          <w:p w14:paraId="79E15EF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0.030</w:t>
            </w:r>
          </w:p>
        </w:tc>
      </w:tr>
      <w:tr w:rsidR="00B54D51" w:rsidRPr="00037AD4" w14:paraId="6DF234F7" w14:textId="77777777" w:rsidTr="00401C67">
        <w:trPr>
          <w:trHeight w:val="320"/>
        </w:trPr>
        <w:tc>
          <w:tcPr>
            <w:tcW w:w="1292" w:type="dxa"/>
            <w:noWrap/>
            <w:hideMark/>
          </w:tcPr>
          <w:p w14:paraId="112328F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w:t>
            </w:r>
          </w:p>
        </w:tc>
        <w:tc>
          <w:tcPr>
            <w:tcW w:w="2079" w:type="dxa"/>
            <w:noWrap/>
            <w:hideMark/>
          </w:tcPr>
          <w:p w14:paraId="0CE794DA"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.005 </w:t>
            </w:r>
          </w:p>
        </w:tc>
        <w:tc>
          <w:tcPr>
            <w:tcW w:w="1019" w:type="dxa"/>
          </w:tcPr>
          <w:p w14:paraId="2B46321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.004</w:t>
            </w:r>
          </w:p>
        </w:tc>
        <w:tc>
          <w:tcPr>
            <w:tcW w:w="750" w:type="dxa"/>
            <w:noWrap/>
            <w:hideMark/>
          </w:tcPr>
          <w:p w14:paraId="3EFD178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1.17</w:t>
            </w:r>
          </w:p>
        </w:tc>
        <w:tc>
          <w:tcPr>
            <w:tcW w:w="1292" w:type="dxa"/>
            <w:noWrap/>
            <w:hideMark/>
          </w:tcPr>
          <w:p w14:paraId="0E7BF76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0.241</w:t>
            </w:r>
          </w:p>
        </w:tc>
        <w:tc>
          <w:tcPr>
            <w:tcW w:w="1292" w:type="dxa"/>
            <w:noWrap/>
            <w:hideMark/>
          </w:tcPr>
          <w:p w14:paraId="44CED2B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-0.003</w:t>
            </w:r>
          </w:p>
        </w:tc>
        <w:tc>
          <w:tcPr>
            <w:tcW w:w="1292" w:type="dxa"/>
            <w:noWrap/>
            <w:hideMark/>
          </w:tcPr>
          <w:p w14:paraId="4D771F2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0.014</w:t>
            </w:r>
          </w:p>
        </w:tc>
      </w:tr>
      <w:tr w:rsidR="00B54D51" w:rsidRPr="00037AD4" w14:paraId="57ACE1FB" w14:textId="77777777" w:rsidTr="00401C67">
        <w:trPr>
          <w:trHeight w:val="320"/>
        </w:trPr>
        <w:tc>
          <w:tcPr>
            <w:tcW w:w="1292" w:type="dxa"/>
            <w:noWrap/>
            <w:hideMark/>
          </w:tcPr>
          <w:p w14:paraId="7FE6CAD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5</w:t>
            </w:r>
          </w:p>
        </w:tc>
        <w:tc>
          <w:tcPr>
            <w:tcW w:w="2079" w:type="dxa"/>
            <w:noWrap/>
            <w:hideMark/>
          </w:tcPr>
          <w:p w14:paraId="54013FC0"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.014  </w:t>
            </w:r>
          </w:p>
        </w:tc>
        <w:tc>
          <w:tcPr>
            <w:tcW w:w="1019" w:type="dxa"/>
          </w:tcPr>
          <w:p w14:paraId="4EF77CE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.011</w:t>
            </w:r>
          </w:p>
        </w:tc>
        <w:tc>
          <w:tcPr>
            <w:tcW w:w="750" w:type="dxa"/>
            <w:noWrap/>
            <w:hideMark/>
          </w:tcPr>
          <w:p w14:paraId="077F365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1.2</w:t>
            </w:r>
          </w:p>
        </w:tc>
        <w:tc>
          <w:tcPr>
            <w:tcW w:w="1292" w:type="dxa"/>
            <w:noWrap/>
            <w:hideMark/>
          </w:tcPr>
          <w:p w14:paraId="365520B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0.231</w:t>
            </w:r>
          </w:p>
        </w:tc>
        <w:tc>
          <w:tcPr>
            <w:tcW w:w="1292" w:type="dxa"/>
            <w:noWrap/>
            <w:hideMark/>
          </w:tcPr>
          <w:p w14:paraId="7AD5F12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-0.009</w:t>
            </w:r>
          </w:p>
        </w:tc>
        <w:tc>
          <w:tcPr>
            <w:tcW w:w="1292" w:type="dxa"/>
            <w:noWrap/>
            <w:hideMark/>
          </w:tcPr>
          <w:p w14:paraId="7C90BCE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0.036</w:t>
            </w:r>
          </w:p>
        </w:tc>
      </w:tr>
    </w:tbl>
    <w:p w14:paraId="1E664D33" w14:textId="77777777" w:rsidR="00B54D51" w:rsidRPr="00037AD4" w:rsidRDefault="00B54D51" w:rsidP="001D7ACE">
      <w:pPr>
        <w:rPr>
          <w:color w:val="FF0000"/>
          <w:u w:val="single"/>
        </w:rPr>
      </w:pPr>
    </w:p>
    <w:p w14:paraId="55AC7066" w14:textId="77777777" w:rsidR="00B54D51" w:rsidRPr="00037AD4" w:rsidRDefault="00B54D51" w:rsidP="001D7ACE">
      <w:pPr>
        <w:rPr>
          <w:color w:val="FF0000"/>
          <w:u w:val="single"/>
        </w:rPr>
      </w:pPr>
    </w:p>
    <w:p w14:paraId="5360CED9" w14:textId="77777777" w:rsidR="00B54D51" w:rsidRPr="00037AD4" w:rsidRDefault="00B54D51" w:rsidP="001D7ACE">
      <w:pPr>
        <w:rPr>
          <w:rFonts w:asciiTheme="minorHAnsi" w:hAnsiTheme="minorHAnsi" w:cstheme="minorHAnsi"/>
          <w:color w:val="FF0000"/>
          <w:u w:val="single"/>
        </w:rPr>
      </w:pPr>
    </w:p>
    <w:p w14:paraId="43EC33D9" w14:textId="77777777" w:rsidR="00B54D51" w:rsidRPr="00037AD4" w:rsidRDefault="00B54D51" w:rsidP="001D7ACE">
      <w:pPr>
        <w:rPr>
          <w:rFonts w:asciiTheme="minorHAnsi" w:hAnsiTheme="minorHAnsi" w:cstheme="minorHAnsi"/>
          <w:color w:val="000000" w:themeColor="text1"/>
          <w:u w:val="single"/>
        </w:rPr>
      </w:pPr>
      <w:r w:rsidRPr="00037AD4">
        <w:rPr>
          <w:rFonts w:asciiTheme="minorHAnsi" w:hAnsiTheme="minorHAnsi" w:cstheme="minorHAnsi"/>
          <w:color w:val="000000" w:themeColor="text1"/>
          <w:u w:val="single"/>
        </w:rPr>
        <w:t xml:space="preserve">Table A6.3l, “Usual activities” predictive margins for EPIC data </w:t>
      </w:r>
    </w:p>
    <w:p w14:paraId="578DDD94" w14:textId="77777777" w:rsidR="00B54D51" w:rsidRPr="00037AD4" w:rsidRDefault="00B54D51" w:rsidP="001D7ACE">
      <w:pPr>
        <w:rPr>
          <w:color w:val="FF0000"/>
          <w:u w:val="single"/>
        </w:rPr>
      </w:pPr>
    </w:p>
    <w:tbl>
      <w:tblPr>
        <w:tblStyle w:val="TableGrid"/>
        <w:tblW w:w="0" w:type="auto"/>
        <w:tblLook w:val="04A0" w:firstRow="1" w:lastRow="0" w:firstColumn="1" w:lastColumn="0" w:noHBand="0" w:noVBand="1"/>
      </w:tblPr>
      <w:tblGrid>
        <w:gridCol w:w="2477"/>
        <w:gridCol w:w="2152"/>
        <w:gridCol w:w="808"/>
        <w:gridCol w:w="936"/>
        <w:gridCol w:w="808"/>
        <w:gridCol w:w="808"/>
        <w:gridCol w:w="808"/>
      </w:tblGrid>
      <w:tr w:rsidR="00B54D51" w:rsidRPr="00037AD4" w14:paraId="6612A669" w14:textId="77777777" w:rsidTr="00401C67">
        <w:trPr>
          <w:trHeight w:val="320"/>
        </w:trPr>
        <w:tc>
          <w:tcPr>
            <w:tcW w:w="0" w:type="auto"/>
            <w:noWrap/>
            <w:hideMark/>
          </w:tcPr>
          <w:p w14:paraId="787A571F" w14:textId="77777777" w:rsidR="00B54D51" w:rsidRPr="00037AD4" w:rsidRDefault="00B54D51" w:rsidP="00401C67">
            <w:pPr>
              <w:rPr>
                <w:sz w:val="20"/>
                <w:szCs w:val="20"/>
              </w:rPr>
            </w:pPr>
          </w:p>
        </w:tc>
        <w:tc>
          <w:tcPr>
            <w:tcW w:w="0" w:type="auto"/>
            <w:noWrap/>
            <w:hideMark/>
          </w:tcPr>
          <w:p w14:paraId="086D30BC" w14:textId="77777777" w:rsidR="00B54D51" w:rsidRPr="00037AD4" w:rsidRDefault="00B54D51" w:rsidP="00401C67">
            <w:pPr>
              <w:rPr>
                <w:rFonts w:ascii="Calibri" w:hAnsi="Calibri" w:cs="Calibri"/>
                <w:color w:val="000000"/>
              </w:rPr>
            </w:pPr>
            <w:r w:rsidRPr="00037AD4">
              <w:rPr>
                <w:rFonts w:ascii="Calibri" w:hAnsi="Calibri" w:cs="Calibri"/>
                <w:color w:val="000000"/>
              </w:rPr>
              <w:t>Predictive Margins</w:t>
            </w:r>
          </w:p>
        </w:tc>
        <w:tc>
          <w:tcPr>
            <w:tcW w:w="0" w:type="auto"/>
            <w:noWrap/>
            <w:hideMark/>
          </w:tcPr>
          <w:p w14:paraId="5FF34222"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SE </w:t>
            </w:r>
          </w:p>
        </w:tc>
        <w:tc>
          <w:tcPr>
            <w:tcW w:w="0" w:type="auto"/>
            <w:noWrap/>
            <w:hideMark/>
          </w:tcPr>
          <w:p w14:paraId="123D0824" w14:textId="77777777" w:rsidR="00B54D51" w:rsidRPr="00037AD4" w:rsidRDefault="00B54D51" w:rsidP="00401C67">
            <w:pPr>
              <w:rPr>
                <w:rFonts w:ascii="Calibri" w:hAnsi="Calibri" w:cs="Calibri"/>
                <w:color w:val="000000"/>
              </w:rPr>
            </w:pPr>
            <w:r w:rsidRPr="00037AD4">
              <w:rPr>
                <w:rFonts w:ascii="Calibri" w:hAnsi="Calibri" w:cs="Calibri"/>
                <w:color w:val="000000"/>
              </w:rPr>
              <w:t>z</w:t>
            </w:r>
          </w:p>
        </w:tc>
        <w:tc>
          <w:tcPr>
            <w:tcW w:w="0" w:type="auto"/>
            <w:noWrap/>
            <w:hideMark/>
          </w:tcPr>
          <w:p w14:paraId="4A6E153C" w14:textId="77777777" w:rsidR="00B54D51" w:rsidRPr="00037AD4" w:rsidRDefault="00B54D51" w:rsidP="00401C67">
            <w:pPr>
              <w:rPr>
                <w:rFonts w:ascii="Calibri" w:hAnsi="Calibri" w:cs="Calibri"/>
                <w:color w:val="000000"/>
              </w:rPr>
            </w:pPr>
            <w:r w:rsidRPr="00037AD4">
              <w:rPr>
                <w:rFonts w:ascii="Calibri" w:hAnsi="Calibri" w:cs="Calibri"/>
                <w:color w:val="000000"/>
              </w:rPr>
              <w:t>P&gt;z</w:t>
            </w:r>
          </w:p>
        </w:tc>
        <w:tc>
          <w:tcPr>
            <w:tcW w:w="0" w:type="auto"/>
            <w:gridSpan w:val="2"/>
            <w:noWrap/>
            <w:hideMark/>
          </w:tcPr>
          <w:p w14:paraId="7C31758F" w14:textId="77777777" w:rsidR="00B54D51" w:rsidRPr="00037AD4" w:rsidRDefault="00B54D51" w:rsidP="00401C67">
            <w:pPr>
              <w:rPr>
                <w:rFonts w:ascii="Calibri" w:hAnsi="Calibri" w:cs="Calibri"/>
                <w:color w:val="000000"/>
              </w:rPr>
            </w:pPr>
            <w:r w:rsidRPr="00037AD4">
              <w:rPr>
                <w:rFonts w:ascii="Calibri" w:hAnsi="Calibri" w:cs="Calibri"/>
                <w:color w:val="000000"/>
              </w:rPr>
              <w:t>[95% conf.</w:t>
            </w:r>
          </w:p>
          <w:p w14:paraId="1077FC31" w14:textId="77777777" w:rsidR="00B54D51" w:rsidRPr="00037AD4" w:rsidRDefault="00B54D51" w:rsidP="00401C67">
            <w:pPr>
              <w:rPr>
                <w:rFonts w:ascii="Calibri" w:hAnsi="Calibri" w:cs="Calibri"/>
                <w:color w:val="000000"/>
              </w:rPr>
            </w:pPr>
            <w:r w:rsidRPr="00037AD4">
              <w:rPr>
                <w:rFonts w:ascii="Calibri" w:hAnsi="Calibri" w:cs="Calibri"/>
                <w:color w:val="000000"/>
              </w:rPr>
              <w:t>interval]</w:t>
            </w:r>
          </w:p>
        </w:tc>
      </w:tr>
      <w:tr w:rsidR="00B54D51" w:rsidRPr="00037AD4" w14:paraId="78A54C88" w14:textId="77777777" w:rsidTr="00401C67">
        <w:trPr>
          <w:trHeight w:val="320"/>
        </w:trPr>
        <w:tc>
          <w:tcPr>
            <w:tcW w:w="0" w:type="auto"/>
            <w:gridSpan w:val="7"/>
            <w:shd w:val="clear" w:color="auto" w:fill="E7E6E6" w:themeFill="background2"/>
            <w:noWrap/>
            <w:hideMark/>
          </w:tcPr>
          <w:p w14:paraId="7486F657" w14:textId="77777777" w:rsidR="00B54D51" w:rsidRPr="00037AD4" w:rsidRDefault="00B54D51" w:rsidP="00401C67">
            <w:pPr>
              <w:rPr>
                <w:sz w:val="20"/>
                <w:szCs w:val="20"/>
              </w:rPr>
            </w:pPr>
            <w:r w:rsidRPr="00037AD4">
              <w:rPr>
                <w:rFonts w:cstheme="minorHAnsi"/>
              </w:rPr>
              <w:t>Predicted Probability of proxy ‘Usual activities’ by PwD ‘Usual activities’ Level Reports</w:t>
            </w:r>
          </w:p>
        </w:tc>
      </w:tr>
      <w:tr w:rsidR="00B54D51" w:rsidRPr="00037AD4" w14:paraId="5FAC3125" w14:textId="77777777" w:rsidTr="00401C67">
        <w:trPr>
          <w:trHeight w:val="320"/>
        </w:trPr>
        <w:tc>
          <w:tcPr>
            <w:tcW w:w="0" w:type="auto"/>
            <w:gridSpan w:val="7"/>
            <w:shd w:val="clear" w:color="auto" w:fill="E7E6E6" w:themeFill="background2"/>
            <w:noWrap/>
          </w:tcPr>
          <w:p w14:paraId="7875F104" w14:textId="77777777" w:rsidR="00B54D51" w:rsidRPr="00037AD4" w:rsidRDefault="00B54D51" w:rsidP="00401C67">
            <w:pPr>
              <w:rPr>
                <w:rFonts w:ascii="Calibri" w:hAnsi="Calibri" w:cs="Calibri"/>
                <w:color w:val="000000"/>
              </w:rPr>
            </w:pPr>
            <w:r w:rsidRPr="00037AD4">
              <w:rPr>
                <w:rFonts w:cstheme="minorHAnsi"/>
              </w:rPr>
              <w:t xml:space="preserve">Predicted proxy: level one </w:t>
            </w:r>
          </w:p>
        </w:tc>
      </w:tr>
      <w:tr w:rsidR="00B54D51" w:rsidRPr="00037AD4" w14:paraId="579F89E1" w14:textId="77777777" w:rsidTr="00401C67">
        <w:trPr>
          <w:trHeight w:val="320"/>
        </w:trPr>
        <w:tc>
          <w:tcPr>
            <w:tcW w:w="0" w:type="auto"/>
            <w:noWrap/>
            <w:hideMark/>
          </w:tcPr>
          <w:p w14:paraId="6BE63AAC" w14:textId="77777777" w:rsidR="00B54D51" w:rsidRPr="00037AD4" w:rsidRDefault="00B54D51" w:rsidP="00401C67">
            <w:pPr>
              <w:rPr>
                <w:rFonts w:ascii="Calibri" w:hAnsi="Calibri" w:cs="Calibri"/>
                <w:color w:val="000000"/>
              </w:rPr>
            </w:pPr>
            <w:r w:rsidRPr="00037AD4">
              <w:rPr>
                <w:rFonts w:cstheme="minorHAnsi"/>
              </w:rPr>
              <w:t xml:space="preserve">From level one PwD </w:t>
            </w:r>
          </w:p>
        </w:tc>
        <w:tc>
          <w:tcPr>
            <w:tcW w:w="0" w:type="auto"/>
            <w:noWrap/>
            <w:hideMark/>
          </w:tcPr>
          <w:p w14:paraId="7A65B75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0.748</w:t>
            </w:r>
          </w:p>
        </w:tc>
        <w:tc>
          <w:tcPr>
            <w:tcW w:w="0" w:type="auto"/>
            <w:noWrap/>
            <w:hideMark/>
          </w:tcPr>
          <w:p w14:paraId="2B37835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0.018</w:t>
            </w:r>
          </w:p>
        </w:tc>
        <w:tc>
          <w:tcPr>
            <w:tcW w:w="0" w:type="auto"/>
            <w:noWrap/>
            <w:hideMark/>
          </w:tcPr>
          <w:p w14:paraId="0BB54D8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42.650</w:t>
            </w:r>
          </w:p>
        </w:tc>
        <w:tc>
          <w:tcPr>
            <w:tcW w:w="0" w:type="auto"/>
            <w:noWrap/>
            <w:hideMark/>
          </w:tcPr>
          <w:p w14:paraId="456C407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64F1B17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0.713</w:t>
            </w:r>
          </w:p>
        </w:tc>
        <w:tc>
          <w:tcPr>
            <w:tcW w:w="0" w:type="auto"/>
            <w:noWrap/>
            <w:hideMark/>
          </w:tcPr>
          <w:p w14:paraId="2732818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0.782</w:t>
            </w:r>
          </w:p>
        </w:tc>
      </w:tr>
      <w:tr w:rsidR="00B54D51" w:rsidRPr="00037AD4" w14:paraId="382977F4" w14:textId="77777777" w:rsidTr="00401C67">
        <w:trPr>
          <w:trHeight w:val="320"/>
        </w:trPr>
        <w:tc>
          <w:tcPr>
            <w:tcW w:w="0" w:type="auto"/>
            <w:noWrap/>
            <w:hideMark/>
          </w:tcPr>
          <w:p w14:paraId="1E797048" w14:textId="77777777" w:rsidR="00B54D51" w:rsidRPr="00037AD4" w:rsidRDefault="00B54D51" w:rsidP="00401C67">
            <w:pPr>
              <w:rPr>
                <w:rFonts w:ascii="Calibri" w:hAnsi="Calibri" w:cs="Calibri"/>
                <w:color w:val="000000"/>
              </w:rPr>
            </w:pPr>
            <w:r w:rsidRPr="00037AD4">
              <w:rPr>
                <w:rFonts w:cstheme="minorHAnsi"/>
              </w:rPr>
              <w:t xml:space="preserve">From level two PwD </w:t>
            </w:r>
          </w:p>
        </w:tc>
        <w:tc>
          <w:tcPr>
            <w:tcW w:w="0" w:type="auto"/>
            <w:noWrap/>
            <w:hideMark/>
          </w:tcPr>
          <w:p w14:paraId="33D5311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0.657</w:t>
            </w:r>
          </w:p>
        </w:tc>
        <w:tc>
          <w:tcPr>
            <w:tcW w:w="0" w:type="auto"/>
            <w:noWrap/>
            <w:hideMark/>
          </w:tcPr>
          <w:p w14:paraId="14C8AB9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0.039</w:t>
            </w:r>
          </w:p>
        </w:tc>
        <w:tc>
          <w:tcPr>
            <w:tcW w:w="0" w:type="auto"/>
            <w:noWrap/>
            <w:hideMark/>
          </w:tcPr>
          <w:p w14:paraId="716B020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16.710</w:t>
            </w:r>
          </w:p>
        </w:tc>
        <w:tc>
          <w:tcPr>
            <w:tcW w:w="0" w:type="auto"/>
            <w:noWrap/>
            <w:hideMark/>
          </w:tcPr>
          <w:p w14:paraId="313A191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1CE1711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0.580</w:t>
            </w:r>
          </w:p>
        </w:tc>
        <w:tc>
          <w:tcPr>
            <w:tcW w:w="0" w:type="auto"/>
            <w:noWrap/>
            <w:hideMark/>
          </w:tcPr>
          <w:p w14:paraId="0FBBF16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0.734</w:t>
            </w:r>
          </w:p>
        </w:tc>
      </w:tr>
      <w:tr w:rsidR="00B54D51" w:rsidRPr="00037AD4" w14:paraId="0E8C53A6" w14:textId="77777777" w:rsidTr="00401C67">
        <w:trPr>
          <w:trHeight w:val="320"/>
        </w:trPr>
        <w:tc>
          <w:tcPr>
            <w:tcW w:w="0" w:type="auto"/>
            <w:noWrap/>
            <w:hideMark/>
          </w:tcPr>
          <w:p w14:paraId="29EB9C91" w14:textId="77777777" w:rsidR="00B54D51" w:rsidRPr="00037AD4" w:rsidRDefault="00B54D51" w:rsidP="00401C67">
            <w:pPr>
              <w:rPr>
                <w:rFonts w:ascii="Calibri" w:hAnsi="Calibri" w:cs="Calibri"/>
                <w:color w:val="000000"/>
              </w:rPr>
            </w:pPr>
            <w:r w:rsidRPr="00037AD4">
              <w:rPr>
                <w:rFonts w:cstheme="minorHAnsi"/>
              </w:rPr>
              <w:t xml:space="preserve">From level three PwD </w:t>
            </w:r>
          </w:p>
        </w:tc>
        <w:tc>
          <w:tcPr>
            <w:tcW w:w="0" w:type="auto"/>
            <w:noWrap/>
            <w:hideMark/>
          </w:tcPr>
          <w:p w14:paraId="4EE220B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0.577</w:t>
            </w:r>
          </w:p>
        </w:tc>
        <w:tc>
          <w:tcPr>
            <w:tcW w:w="0" w:type="auto"/>
            <w:noWrap/>
            <w:hideMark/>
          </w:tcPr>
          <w:p w14:paraId="540F107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0.069</w:t>
            </w:r>
          </w:p>
        </w:tc>
        <w:tc>
          <w:tcPr>
            <w:tcW w:w="0" w:type="auto"/>
            <w:noWrap/>
            <w:hideMark/>
          </w:tcPr>
          <w:p w14:paraId="60F746D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8.420</w:t>
            </w:r>
          </w:p>
        </w:tc>
        <w:tc>
          <w:tcPr>
            <w:tcW w:w="0" w:type="auto"/>
            <w:noWrap/>
            <w:hideMark/>
          </w:tcPr>
          <w:p w14:paraId="0966C83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471B620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0.442</w:t>
            </w:r>
          </w:p>
        </w:tc>
        <w:tc>
          <w:tcPr>
            <w:tcW w:w="0" w:type="auto"/>
            <w:noWrap/>
            <w:hideMark/>
          </w:tcPr>
          <w:p w14:paraId="008BCEE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0.711</w:t>
            </w:r>
          </w:p>
        </w:tc>
      </w:tr>
      <w:tr w:rsidR="00B54D51" w:rsidRPr="00037AD4" w14:paraId="1DED3DA0" w14:textId="77777777" w:rsidTr="00401C67">
        <w:trPr>
          <w:trHeight w:val="320"/>
        </w:trPr>
        <w:tc>
          <w:tcPr>
            <w:tcW w:w="0" w:type="auto"/>
            <w:noWrap/>
            <w:hideMark/>
          </w:tcPr>
          <w:p w14:paraId="3871CCD7" w14:textId="77777777" w:rsidR="00B54D51" w:rsidRPr="00037AD4" w:rsidRDefault="00B54D51" w:rsidP="00401C67">
            <w:pPr>
              <w:rPr>
                <w:rFonts w:ascii="Calibri" w:hAnsi="Calibri" w:cs="Calibri"/>
                <w:color w:val="000000"/>
              </w:rPr>
            </w:pPr>
            <w:r w:rsidRPr="00037AD4">
              <w:rPr>
                <w:rFonts w:cstheme="minorHAnsi"/>
              </w:rPr>
              <w:t xml:space="preserve">From level four PwD </w:t>
            </w:r>
          </w:p>
        </w:tc>
        <w:tc>
          <w:tcPr>
            <w:tcW w:w="0" w:type="auto"/>
            <w:noWrap/>
            <w:hideMark/>
          </w:tcPr>
          <w:p w14:paraId="00CC28A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0.303</w:t>
            </w:r>
          </w:p>
        </w:tc>
        <w:tc>
          <w:tcPr>
            <w:tcW w:w="0" w:type="auto"/>
            <w:noWrap/>
            <w:hideMark/>
          </w:tcPr>
          <w:p w14:paraId="3340C7B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0.133</w:t>
            </w:r>
          </w:p>
        </w:tc>
        <w:tc>
          <w:tcPr>
            <w:tcW w:w="0" w:type="auto"/>
            <w:noWrap/>
            <w:hideMark/>
          </w:tcPr>
          <w:p w14:paraId="573B908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2.280</w:t>
            </w:r>
          </w:p>
        </w:tc>
        <w:tc>
          <w:tcPr>
            <w:tcW w:w="0" w:type="auto"/>
            <w:noWrap/>
            <w:hideMark/>
          </w:tcPr>
          <w:p w14:paraId="23245B7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0.022</w:t>
            </w:r>
          </w:p>
        </w:tc>
        <w:tc>
          <w:tcPr>
            <w:tcW w:w="0" w:type="auto"/>
            <w:noWrap/>
            <w:hideMark/>
          </w:tcPr>
          <w:p w14:paraId="44D643F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0.043</w:t>
            </w:r>
          </w:p>
        </w:tc>
        <w:tc>
          <w:tcPr>
            <w:tcW w:w="0" w:type="auto"/>
            <w:noWrap/>
            <w:hideMark/>
          </w:tcPr>
          <w:p w14:paraId="6AFA431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0.563</w:t>
            </w:r>
          </w:p>
        </w:tc>
      </w:tr>
      <w:tr w:rsidR="00B54D51" w:rsidRPr="00037AD4" w14:paraId="57D7A432" w14:textId="77777777" w:rsidTr="00401C67">
        <w:trPr>
          <w:trHeight w:val="320"/>
        </w:trPr>
        <w:tc>
          <w:tcPr>
            <w:tcW w:w="0" w:type="auto"/>
            <w:noWrap/>
            <w:hideMark/>
          </w:tcPr>
          <w:p w14:paraId="3161DC4C" w14:textId="77777777" w:rsidR="00B54D51" w:rsidRPr="00037AD4" w:rsidRDefault="00B54D51" w:rsidP="00401C67">
            <w:pPr>
              <w:rPr>
                <w:rFonts w:ascii="Calibri" w:hAnsi="Calibri" w:cs="Calibri"/>
                <w:color w:val="000000"/>
              </w:rPr>
            </w:pPr>
            <w:r w:rsidRPr="00037AD4">
              <w:rPr>
                <w:rFonts w:cstheme="minorHAnsi"/>
              </w:rPr>
              <w:t xml:space="preserve">From level five PwD </w:t>
            </w:r>
          </w:p>
        </w:tc>
        <w:tc>
          <w:tcPr>
            <w:tcW w:w="0" w:type="auto"/>
            <w:noWrap/>
            <w:hideMark/>
          </w:tcPr>
          <w:p w14:paraId="124D19C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0.340</w:t>
            </w:r>
          </w:p>
        </w:tc>
        <w:tc>
          <w:tcPr>
            <w:tcW w:w="0" w:type="auto"/>
            <w:noWrap/>
            <w:hideMark/>
          </w:tcPr>
          <w:p w14:paraId="32E32D7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0.094</w:t>
            </w:r>
          </w:p>
        </w:tc>
        <w:tc>
          <w:tcPr>
            <w:tcW w:w="0" w:type="auto"/>
            <w:noWrap/>
            <w:hideMark/>
          </w:tcPr>
          <w:p w14:paraId="50548C0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3.630</w:t>
            </w:r>
          </w:p>
        </w:tc>
        <w:tc>
          <w:tcPr>
            <w:tcW w:w="0" w:type="auto"/>
            <w:noWrap/>
            <w:hideMark/>
          </w:tcPr>
          <w:p w14:paraId="568C687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6390967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0.156</w:t>
            </w:r>
          </w:p>
        </w:tc>
        <w:tc>
          <w:tcPr>
            <w:tcW w:w="0" w:type="auto"/>
            <w:noWrap/>
            <w:hideMark/>
          </w:tcPr>
          <w:p w14:paraId="3CE9290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0.524</w:t>
            </w:r>
          </w:p>
        </w:tc>
      </w:tr>
      <w:tr w:rsidR="00B54D51" w:rsidRPr="00037AD4" w14:paraId="7DAE4200" w14:textId="77777777" w:rsidTr="00401C67">
        <w:trPr>
          <w:trHeight w:val="320"/>
        </w:trPr>
        <w:tc>
          <w:tcPr>
            <w:tcW w:w="0" w:type="auto"/>
            <w:gridSpan w:val="7"/>
            <w:shd w:val="clear" w:color="auto" w:fill="E7E6E6" w:themeFill="background2"/>
            <w:noWrap/>
          </w:tcPr>
          <w:p w14:paraId="06C2E3EA" w14:textId="77777777" w:rsidR="00B54D51" w:rsidRPr="00037AD4" w:rsidRDefault="00B54D51" w:rsidP="00401C67">
            <w:pPr>
              <w:rPr>
                <w:rFonts w:ascii="Calibri" w:hAnsi="Calibri" w:cs="Calibri"/>
                <w:color w:val="000000"/>
              </w:rPr>
            </w:pPr>
            <w:r w:rsidRPr="00037AD4">
              <w:rPr>
                <w:rFonts w:cstheme="minorHAnsi"/>
              </w:rPr>
              <w:t>Predicted proxy: level two</w:t>
            </w:r>
          </w:p>
        </w:tc>
      </w:tr>
      <w:tr w:rsidR="00B54D51" w:rsidRPr="00037AD4" w14:paraId="6F91A5F9" w14:textId="77777777" w:rsidTr="00401C67">
        <w:trPr>
          <w:trHeight w:val="320"/>
        </w:trPr>
        <w:tc>
          <w:tcPr>
            <w:tcW w:w="0" w:type="auto"/>
            <w:noWrap/>
            <w:hideMark/>
          </w:tcPr>
          <w:p w14:paraId="2126EA78" w14:textId="77777777" w:rsidR="00B54D51" w:rsidRPr="00037AD4" w:rsidRDefault="00B54D51" w:rsidP="00401C67">
            <w:pPr>
              <w:rPr>
                <w:rFonts w:ascii="Calibri" w:hAnsi="Calibri" w:cs="Calibri"/>
                <w:color w:val="000000"/>
              </w:rPr>
            </w:pPr>
            <w:r w:rsidRPr="00037AD4">
              <w:rPr>
                <w:rFonts w:cstheme="minorHAnsi"/>
              </w:rPr>
              <w:t xml:space="preserve">From level one PwD </w:t>
            </w:r>
          </w:p>
        </w:tc>
        <w:tc>
          <w:tcPr>
            <w:tcW w:w="0" w:type="auto"/>
            <w:noWrap/>
            <w:hideMark/>
          </w:tcPr>
          <w:p w14:paraId="6CFDC9C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0.106</w:t>
            </w:r>
          </w:p>
        </w:tc>
        <w:tc>
          <w:tcPr>
            <w:tcW w:w="0" w:type="auto"/>
            <w:noWrap/>
            <w:hideMark/>
          </w:tcPr>
          <w:p w14:paraId="5F33668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0.011</w:t>
            </w:r>
          </w:p>
        </w:tc>
        <w:tc>
          <w:tcPr>
            <w:tcW w:w="0" w:type="auto"/>
            <w:noWrap/>
            <w:hideMark/>
          </w:tcPr>
          <w:p w14:paraId="51F15DE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9.400</w:t>
            </w:r>
          </w:p>
        </w:tc>
        <w:tc>
          <w:tcPr>
            <w:tcW w:w="0" w:type="auto"/>
            <w:noWrap/>
            <w:hideMark/>
          </w:tcPr>
          <w:p w14:paraId="33AD23D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1445BC2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0.084</w:t>
            </w:r>
          </w:p>
        </w:tc>
        <w:tc>
          <w:tcPr>
            <w:tcW w:w="0" w:type="auto"/>
            <w:noWrap/>
            <w:hideMark/>
          </w:tcPr>
          <w:p w14:paraId="525059C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0.128</w:t>
            </w:r>
          </w:p>
        </w:tc>
      </w:tr>
      <w:tr w:rsidR="00B54D51" w:rsidRPr="00037AD4" w14:paraId="48837E57" w14:textId="77777777" w:rsidTr="00401C67">
        <w:trPr>
          <w:trHeight w:val="320"/>
        </w:trPr>
        <w:tc>
          <w:tcPr>
            <w:tcW w:w="0" w:type="auto"/>
            <w:noWrap/>
            <w:hideMark/>
          </w:tcPr>
          <w:p w14:paraId="41992A82" w14:textId="77777777" w:rsidR="00B54D51" w:rsidRPr="00037AD4" w:rsidRDefault="00B54D51" w:rsidP="00401C67">
            <w:pPr>
              <w:rPr>
                <w:rFonts w:ascii="Calibri" w:hAnsi="Calibri" w:cs="Calibri"/>
                <w:color w:val="000000"/>
              </w:rPr>
            </w:pPr>
            <w:r w:rsidRPr="00037AD4">
              <w:rPr>
                <w:rFonts w:cstheme="minorHAnsi"/>
              </w:rPr>
              <w:t xml:space="preserve">From level two PwD </w:t>
            </w:r>
          </w:p>
        </w:tc>
        <w:tc>
          <w:tcPr>
            <w:tcW w:w="0" w:type="auto"/>
            <w:noWrap/>
            <w:hideMark/>
          </w:tcPr>
          <w:p w14:paraId="2C008A2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0.128</w:t>
            </w:r>
          </w:p>
        </w:tc>
        <w:tc>
          <w:tcPr>
            <w:tcW w:w="0" w:type="auto"/>
            <w:noWrap/>
            <w:hideMark/>
          </w:tcPr>
          <w:p w14:paraId="2BC1CF1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0.015</w:t>
            </w:r>
          </w:p>
        </w:tc>
        <w:tc>
          <w:tcPr>
            <w:tcW w:w="0" w:type="auto"/>
            <w:noWrap/>
            <w:hideMark/>
          </w:tcPr>
          <w:p w14:paraId="4532910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8.240</w:t>
            </w:r>
          </w:p>
        </w:tc>
        <w:tc>
          <w:tcPr>
            <w:tcW w:w="0" w:type="auto"/>
            <w:noWrap/>
            <w:hideMark/>
          </w:tcPr>
          <w:p w14:paraId="3FF2940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5826C71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0.097</w:t>
            </w:r>
          </w:p>
        </w:tc>
        <w:tc>
          <w:tcPr>
            <w:tcW w:w="0" w:type="auto"/>
            <w:noWrap/>
            <w:hideMark/>
          </w:tcPr>
          <w:p w14:paraId="62B157D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0.158</w:t>
            </w:r>
          </w:p>
        </w:tc>
      </w:tr>
      <w:tr w:rsidR="00B54D51" w:rsidRPr="00037AD4" w14:paraId="1C77AF93" w14:textId="77777777" w:rsidTr="00401C67">
        <w:trPr>
          <w:trHeight w:val="320"/>
        </w:trPr>
        <w:tc>
          <w:tcPr>
            <w:tcW w:w="0" w:type="auto"/>
            <w:noWrap/>
            <w:hideMark/>
          </w:tcPr>
          <w:p w14:paraId="7792A206" w14:textId="77777777" w:rsidR="00B54D51" w:rsidRPr="00037AD4" w:rsidRDefault="00B54D51" w:rsidP="00401C67">
            <w:pPr>
              <w:rPr>
                <w:rFonts w:ascii="Calibri" w:hAnsi="Calibri" w:cs="Calibri"/>
                <w:color w:val="000000"/>
              </w:rPr>
            </w:pPr>
            <w:r w:rsidRPr="00037AD4">
              <w:rPr>
                <w:rFonts w:cstheme="minorHAnsi"/>
              </w:rPr>
              <w:t xml:space="preserve">From level three PwD </w:t>
            </w:r>
          </w:p>
        </w:tc>
        <w:tc>
          <w:tcPr>
            <w:tcW w:w="0" w:type="auto"/>
            <w:noWrap/>
            <w:hideMark/>
          </w:tcPr>
          <w:p w14:paraId="4F5EB8E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0.141</w:t>
            </w:r>
          </w:p>
        </w:tc>
        <w:tc>
          <w:tcPr>
            <w:tcW w:w="0" w:type="auto"/>
            <w:noWrap/>
            <w:hideMark/>
          </w:tcPr>
          <w:p w14:paraId="7FE7CE4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0.017</w:t>
            </w:r>
          </w:p>
        </w:tc>
        <w:tc>
          <w:tcPr>
            <w:tcW w:w="0" w:type="auto"/>
            <w:noWrap/>
            <w:hideMark/>
          </w:tcPr>
          <w:p w14:paraId="7AE1769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8.120</w:t>
            </w:r>
          </w:p>
        </w:tc>
        <w:tc>
          <w:tcPr>
            <w:tcW w:w="0" w:type="auto"/>
            <w:noWrap/>
            <w:hideMark/>
          </w:tcPr>
          <w:p w14:paraId="3690A34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65D4BBD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0.107</w:t>
            </w:r>
          </w:p>
        </w:tc>
        <w:tc>
          <w:tcPr>
            <w:tcW w:w="0" w:type="auto"/>
            <w:noWrap/>
            <w:hideMark/>
          </w:tcPr>
          <w:p w14:paraId="2D36701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0.175</w:t>
            </w:r>
          </w:p>
        </w:tc>
      </w:tr>
      <w:tr w:rsidR="00B54D51" w:rsidRPr="00037AD4" w14:paraId="49C88805" w14:textId="77777777" w:rsidTr="00401C67">
        <w:trPr>
          <w:trHeight w:val="320"/>
        </w:trPr>
        <w:tc>
          <w:tcPr>
            <w:tcW w:w="0" w:type="auto"/>
            <w:noWrap/>
            <w:hideMark/>
          </w:tcPr>
          <w:p w14:paraId="3697663B" w14:textId="77777777" w:rsidR="00B54D51" w:rsidRPr="00037AD4" w:rsidRDefault="00B54D51" w:rsidP="00401C67">
            <w:pPr>
              <w:rPr>
                <w:rFonts w:ascii="Calibri" w:hAnsi="Calibri" w:cs="Calibri"/>
                <w:color w:val="000000"/>
              </w:rPr>
            </w:pPr>
            <w:r w:rsidRPr="00037AD4">
              <w:rPr>
                <w:rFonts w:cstheme="minorHAnsi"/>
              </w:rPr>
              <w:t xml:space="preserve">From level four PwD </w:t>
            </w:r>
          </w:p>
        </w:tc>
        <w:tc>
          <w:tcPr>
            <w:tcW w:w="0" w:type="auto"/>
            <w:noWrap/>
            <w:hideMark/>
          </w:tcPr>
          <w:p w14:paraId="6939B86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0.144</w:t>
            </w:r>
          </w:p>
        </w:tc>
        <w:tc>
          <w:tcPr>
            <w:tcW w:w="0" w:type="auto"/>
            <w:noWrap/>
            <w:hideMark/>
          </w:tcPr>
          <w:p w14:paraId="66633DF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0.022</w:t>
            </w:r>
          </w:p>
        </w:tc>
        <w:tc>
          <w:tcPr>
            <w:tcW w:w="0" w:type="auto"/>
            <w:noWrap/>
            <w:hideMark/>
          </w:tcPr>
          <w:p w14:paraId="084E5AE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6.450</w:t>
            </w:r>
          </w:p>
        </w:tc>
        <w:tc>
          <w:tcPr>
            <w:tcW w:w="0" w:type="auto"/>
            <w:noWrap/>
            <w:hideMark/>
          </w:tcPr>
          <w:p w14:paraId="4101D55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7E613AE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0.100</w:t>
            </w:r>
          </w:p>
        </w:tc>
        <w:tc>
          <w:tcPr>
            <w:tcW w:w="0" w:type="auto"/>
            <w:noWrap/>
            <w:hideMark/>
          </w:tcPr>
          <w:p w14:paraId="731D656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0.188</w:t>
            </w:r>
          </w:p>
        </w:tc>
      </w:tr>
      <w:tr w:rsidR="00B54D51" w:rsidRPr="00037AD4" w14:paraId="56D4281B" w14:textId="77777777" w:rsidTr="00401C67">
        <w:trPr>
          <w:trHeight w:val="320"/>
        </w:trPr>
        <w:tc>
          <w:tcPr>
            <w:tcW w:w="0" w:type="auto"/>
            <w:noWrap/>
            <w:hideMark/>
          </w:tcPr>
          <w:p w14:paraId="2D17130A" w14:textId="77777777" w:rsidR="00B54D51" w:rsidRPr="00037AD4" w:rsidRDefault="00B54D51" w:rsidP="00401C67">
            <w:pPr>
              <w:rPr>
                <w:rFonts w:ascii="Calibri" w:hAnsi="Calibri" w:cs="Calibri"/>
                <w:color w:val="000000"/>
              </w:rPr>
            </w:pPr>
            <w:r w:rsidRPr="00037AD4">
              <w:rPr>
                <w:rFonts w:cstheme="minorHAnsi"/>
              </w:rPr>
              <w:t xml:space="preserve">From level five PwD </w:t>
            </w:r>
          </w:p>
        </w:tc>
        <w:tc>
          <w:tcPr>
            <w:tcW w:w="0" w:type="auto"/>
            <w:noWrap/>
            <w:hideMark/>
          </w:tcPr>
          <w:p w14:paraId="69423DB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0.148</w:t>
            </w:r>
          </w:p>
        </w:tc>
        <w:tc>
          <w:tcPr>
            <w:tcW w:w="0" w:type="auto"/>
            <w:noWrap/>
            <w:hideMark/>
          </w:tcPr>
          <w:p w14:paraId="2D45D86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0.018</w:t>
            </w:r>
          </w:p>
        </w:tc>
        <w:tc>
          <w:tcPr>
            <w:tcW w:w="0" w:type="auto"/>
            <w:noWrap/>
            <w:hideMark/>
          </w:tcPr>
          <w:p w14:paraId="6B8C32E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8.250</w:t>
            </w:r>
          </w:p>
        </w:tc>
        <w:tc>
          <w:tcPr>
            <w:tcW w:w="0" w:type="auto"/>
            <w:noWrap/>
            <w:hideMark/>
          </w:tcPr>
          <w:p w14:paraId="7C8A6E7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65BC7FE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0.113</w:t>
            </w:r>
          </w:p>
        </w:tc>
        <w:tc>
          <w:tcPr>
            <w:tcW w:w="0" w:type="auto"/>
            <w:noWrap/>
            <w:hideMark/>
          </w:tcPr>
          <w:p w14:paraId="0B83B56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0.183</w:t>
            </w:r>
          </w:p>
        </w:tc>
      </w:tr>
      <w:tr w:rsidR="00B54D51" w:rsidRPr="00037AD4" w14:paraId="1CAC5994" w14:textId="77777777" w:rsidTr="00401C67">
        <w:trPr>
          <w:trHeight w:val="320"/>
        </w:trPr>
        <w:tc>
          <w:tcPr>
            <w:tcW w:w="0" w:type="auto"/>
            <w:gridSpan w:val="7"/>
            <w:shd w:val="clear" w:color="auto" w:fill="E7E6E6" w:themeFill="background2"/>
            <w:noWrap/>
          </w:tcPr>
          <w:p w14:paraId="24138A46" w14:textId="77777777" w:rsidR="00B54D51" w:rsidRPr="00037AD4" w:rsidRDefault="00B54D51" w:rsidP="00401C67">
            <w:pPr>
              <w:rPr>
                <w:rFonts w:ascii="Calibri" w:hAnsi="Calibri" w:cs="Calibri"/>
                <w:color w:val="000000"/>
              </w:rPr>
            </w:pPr>
            <w:r w:rsidRPr="00037AD4">
              <w:rPr>
                <w:rFonts w:cstheme="minorHAnsi"/>
              </w:rPr>
              <w:t>Predicted proxy: level three</w:t>
            </w:r>
          </w:p>
        </w:tc>
      </w:tr>
      <w:tr w:rsidR="00B54D51" w:rsidRPr="00037AD4" w14:paraId="3F528C56" w14:textId="77777777" w:rsidTr="00401C67">
        <w:trPr>
          <w:trHeight w:val="320"/>
        </w:trPr>
        <w:tc>
          <w:tcPr>
            <w:tcW w:w="0" w:type="auto"/>
            <w:noWrap/>
            <w:hideMark/>
          </w:tcPr>
          <w:p w14:paraId="1AF53472" w14:textId="77777777" w:rsidR="00B54D51" w:rsidRPr="00037AD4" w:rsidRDefault="00B54D51" w:rsidP="00401C67">
            <w:pPr>
              <w:rPr>
                <w:rFonts w:ascii="Calibri" w:hAnsi="Calibri" w:cs="Calibri"/>
                <w:color w:val="000000"/>
              </w:rPr>
            </w:pPr>
            <w:r w:rsidRPr="00037AD4">
              <w:rPr>
                <w:rFonts w:cstheme="minorHAnsi"/>
              </w:rPr>
              <w:t xml:space="preserve">From level one PwD </w:t>
            </w:r>
          </w:p>
        </w:tc>
        <w:tc>
          <w:tcPr>
            <w:tcW w:w="0" w:type="auto"/>
            <w:noWrap/>
            <w:hideMark/>
          </w:tcPr>
          <w:p w14:paraId="4BE9BD4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0.075</w:t>
            </w:r>
          </w:p>
        </w:tc>
        <w:tc>
          <w:tcPr>
            <w:tcW w:w="0" w:type="auto"/>
            <w:noWrap/>
            <w:hideMark/>
          </w:tcPr>
          <w:p w14:paraId="610FFC2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0.009</w:t>
            </w:r>
          </w:p>
        </w:tc>
        <w:tc>
          <w:tcPr>
            <w:tcW w:w="0" w:type="auto"/>
            <w:noWrap/>
            <w:hideMark/>
          </w:tcPr>
          <w:p w14:paraId="3D4A35F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8.290</w:t>
            </w:r>
          </w:p>
        </w:tc>
        <w:tc>
          <w:tcPr>
            <w:tcW w:w="0" w:type="auto"/>
            <w:noWrap/>
            <w:hideMark/>
          </w:tcPr>
          <w:p w14:paraId="6304587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38C26EA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0.058</w:t>
            </w:r>
          </w:p>
        </w:tc>
        <w:tc>
          <w:tcPr>
            <w:tcW w:w="0" w:type="auto"/>
            <w:noWrap/>
            <w:hideMark/>
          </w:tcPr>
          <w:p w14:paraId="161BB09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0.093</w:t>
            </w:r>
          </w:p>
        </w:tc>
      </w:tr>
      <w:tr w:rsidR="00B54D51" w:rsidRPr="00037AD4" w14:paraId="19FD83A3" w14:textId="77777777" w:rsidTr="00401C67">
        <w:trPr>
          <w:trHeight w:val="320"/>
        </w:trPr>
        <w:tc>
          <w:tcPr>
            <w:tcW w:w="0" w:type="auto"/>
            <w:noWrap/>
            <w:hideMark/>
          </w:tcPr>
          <w:p w14:paraId="5CDEA644" w14:textId="77777777" w:rsidR="00B54D51" w:rsidRPr="00037AD4" w:rsidRDefault="00B54D51" w:rsidP="00401C67">
            <w:pPr>
              <w:rPr>
                <w:rFonts w:ascii="Calibri" w:hAnsi="Calibri" w:cs="Calibri"/>
                <w:color w:val="000000"/>
              </w:rPr>
            </w:pPr>
            <w:r w:rsidRPr="00037AD4">
              <w:rPr>
                <w:rFonts w:cstheme="minorHAnsi"/>
              </w:rPr>
              <w:t xml:space="preserve">From level two PwD </w:t>
            </w:r>
          </w:p>
        </w:tc>
        <w:tc>
          <w:tcPr>
            <w:tcW w:w="0" w:type="auto"/>
            <w:noWrap/>
            <w:hideMark/>
          </w:tcPr>
          <w:p w14:paraId="649D758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0.101</w:t>
            </w:r>
          </w:p>
        </w:tc>
        <w:tc>
          <w:tcPr>
            <w:tcW w:w="0" w:type="auto"/>
            <w:noWrap/>
            <w:hideMark/>
          </w:tcPr>
          <w:p w14:paraId="07B30C1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0.015</w:t>
            </w:r>
          </w:p>
        </w:tc>
        <w:tc>
          <w:tcPr>
            <w:tcW w:w="0" w:type="auto"/>
            <w:noWrap/>
            <w:hideMark/>
          </w:tcPr>
          <w:p w14:paraId="7AE4C4B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6.880</w:t>
            </w:r>
          </w:p>
        </w:tc>
        <w:tc>
          <w:tcPr>
            <w:tcW w:w="0" w:type="auto"/>
            <w:noWrap/>
            <w:hideMark/>
          </w:tcPr>
          <w:p w14:paraId="355ACCC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776F190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0.072</w:t>
            </w:r>
          </w:p>
        </w:tc>
        <w:tc>
          <w:tcPr>
            <w:tcW w:w="0" w:type="auto"/>
            <w:noWrap/>
            <w:hideMark/>
          </w:tcPr>
          <w:p w14:paraId="7C21065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0.130</w:t>
            </w:r>
          </w:p>
        </w:tc>
      </w:tr>
      <w:tr w:rsidR="00B54D51" w:rsidRPr="00037AD4" w14:paraId="7FA49DEE" w14:textId="77777777" w:rsidTr="00401C67">
        <w:trPr>
          <w:trHeight w:val="320"/>
        </w:trPr>
        <w:tc>
          <w:tcPr>
            <w:tcW w:w="0" w:type="auto"/>
            <w:noWrap/>
            <w:hideMark/>
          </w:tcPr>
          <w:p w14:paraId="2DAFCF12" w14:textId="77777777" w:rsidR="00B54D51" w:rsidRPr="00037AD4" w:rsidRDefault="00B54D51" w:rsidP="00401C67">
            <w:pPr>
              <w:rPr>
                <w:rFonts w:ascii="Calibri" w:hAnsi="Calibri" w:cs="Calibri"/>
                <w:color w:val="000000"/>
              </w:rPr>
            </w:pPr>
            <w:r w:rsidRPr="00037AD4">
              <w:rPr>
                <w:rFonts w:cstheme="minorHAnsi"/>
              </w:rPr>
              <w:t xml:space="preserve">From level three PwD </w:t>
            </w:r>
          </w:p>
        </w:tc>
        <w:tc>
          <w:tcPr>
            <w:tcW w:w="0" w:type="auto"/>
            <w:noWrap/>
            <w:hideMark/>
          </w:tcPr>
          <w:p w14:paraId="4CA7AA9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0.121</w:t>
            </w:r>
          </w:p>
        </w:tc>
        <w:tc>
          <w:tcPr>
            <w:tcW w:w="0" w:type="auto"/>
            <w:noWrap/>
            <w:hideMark/>
          </w:tcPr>
          <w:p w14:paraId="574981B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0.020</w:t>
            </w:r>
          </w:p>
        </w:tc>
        <w:tc>
          <w:tcPr>
            <w:tcW w:w="0" w:type="auto"/>
            <w:noWrap/>
            <w:hideMark/>
          </w:tcPr>
          <w:p w14:paraId="3A02D95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5.930</w:t>
            </w:r>
          </w:p>
        </w:tc>
        <w:tc>
          <w:tcPr>
            <w:tcW w:w="0" w:type="auto"/>
            <w:noWrap/>
            <w:hideMark/>
          </w:tcPr>
          <w:p w14:paraId="1A57F85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3BDE8AA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0.081</w:t>
            </w:r>
          </w:p>
        </w:tc>
        <w:tc>
          <w:tcPr>
            <w:tcW w:w="0" w:type="auto"/>
            <w:noWrap/>
            <w:hideMark/>
          </w:tcPr>
          <w:p w14:paraId="637AF8B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0.162</w:t>
            </w:r>
          </w:p>
        </w:tc>
      </w:tr>
      <w:tr w:rsidR="00B54D51" w:rsidRPr="00037AD4" w14:paraId="63AC2081" w14:textId="77777777" w:rsidTr="00401C67">
        <w:trPr>
          <w:trHeight w:val="320"/>
        </w:trPr>
        <w:tc>
          <w:tcPr>
            <w:tcW w:w="0" w:type="auto"/>
            <w:noWrap/>
            <w:hideMark/>
          </w:tcPr>
          <w:p w14:paraId="694BB3A9" w14:textId="77777777" w:rsidR="00B54D51" w:rsidRPr="00037AD4" w:rsidRDefault="00B54D51" w:rsidP="00401C67">
            <w:pPr>
              <w:rPr>
                <w:rFonts w:ascii="Calibri" w:hAnsi="Calibri" w:cs="Calibri"/>
                <w:color w:val="000000"/>
              </w:rPr>
            </w:pPr>
            <w:r w:rsidRPr="00037AD4">
              <w:rPr>
                <w:rFonts w:cstheme="minorHAnsi"/>
              </w:rPr>
              <w:t xml:space="preserve">From level four PwD </w:t>
            </w:r>
          </w:p>
        </w:tc>
        <w:tc>
          <w:tcPr>
            <w:tcW w:w="0" w:type="auto"/>
            <w:noWrap/>
            <w:hideMark/>
          </w:tcPr>
          <w:p w14:paraId="1838528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0.164</w:t>
            </w:r>
          </w:p>
        </w:tc>
        <w:tc>
          <w:tcPr>
            <w:tcW w:w="0" w:type="auto"/>
            <w:noWrap/>
            <w:hideMark/>
          </w:tcPr>
          <w:p w14:paraId="43C1FF3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0.019</w:t>
            </w:r>
          </w:p>
        </w:tc>
        <w:tc>
          <w:tcPr>
            <w:tcW w:w="0" w:type="auto"/>
            <w:noWrap/>
            <w:hideMark/>
          </w:tcPr>
          <w:p w14:paraId="0468F7D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8.600</w:t>
            </w:r>
          </w:p>
        </w:tc>
        <w:tc>
          <w:tcPr>
            <w:tcW w:w="0" w:type="auto"/>
            <w:noWrap/>
            <w:hideMark/>
          </w:tcPr>
          <w:p w14:paraId="49F7B2B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3E8EF8C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0.127</w:t>
            </w:r>
          </w:p>
        </w:tc>
        <w:tc>
          <w:tcPr>
            <w:tcW w:w="0" w:type="auto"/>
            <w:noWrap/>
            <w:hideMark/>
          </w:tcPr>
          <w:p w14:paraId="0DE9F6C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0.201</w:t>
            </w:r>
          </w:p>
        </w:tc>
      </w:tr>
      <w:tr w:rsidR="00B54D51" w:rsidRPr="00037AD4" w14:paraId="140A84CA" w14:textId="77777777" w:rsidTr="00401C67">
        <w:trPr>
          <w:trHeight w:val="90"/>
        </w:trPr>
        <w:tc>
          <w:tcPr>
            <w:tcW w:w="0" w:type="auto"/>
            <w:noWrap/>
            <w:hideMark/>
          </w:tcPr>
          <w:p w14:paraId="5D67DF43" w14:textId="77777777" w:rsidR="00B54D51" w:rsidRPr="00037AD4" w:rsidRDefault="00B54D51" w:rsidP="00401C67">
            <w:pPr>
              <w:rPr>
                <w:rFonts w:ascii="Calibri" w:hAnsi="Calibri" w:cs="Calibri"/>
                <w:color w:val="000000"/>
              </w:rPr>
            </w:pPr>
            <w:r w:rsidRPr="00037AD4">
              <w:rPr>
                <w:rFonts w:cstheme="minorHAnsi"/>
              </w:rPr>
              <w:t xml:space="preserve">From level five PwD </w:t>
            </w:r>
          </w:p>
        </w:tc>
        <w:tc>
          <w:tcPr>
            <w:tcW w:w="0" w:type="auto"/>
            <w:noWrap/>
            <w:hideMark/>
          </w:tcPr>
          <w:p w14:paraId="74ECE47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0.162</w:t>
            </w:r>
          </w:p>
        </w:tc>
        <w:tc>
          <w:tcPr>
            <w:tcW w:w="0" w:type="auto"/>
            <w:noWrap/>
            <w:hideMark/>
          </w:tcPr>
          <w:p w14:paraId="3F06260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0.020</w:t>
            </w:r>
          </w:p>
        </w:tc>
        <w:tc>
          <w:tcPr>
            <w:tcW w:w="0" w:type="auto"/>
            <w:noWrap/>
            <w:hideMark/>
          </w:tcPr>
          <w:p w14:paraId="69EE221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8.250</w:t>
            </w:r>
          </w:p>
        </w:tc>
        <w:tc>
          <w:tcPr>
            <w:tcW w:w="0" w:type="auto"/>
            <w:noWrap/>
            <w:hideMark/>
          </w:tcPr>
          <w:p w14:paraId="6F9E27F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216F17C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0.123</w:t>
            </w:r>
          </w:p>
        </w:tc>
        <w:tc>
          <w:tcPr>
            <w:tcW w:w="0" w:type="auto"/>
            <w:noWrap/>
            <w:hideMark/>
          </w:tcPr>
          <w:p w14:paraId="3DEEFA7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0.200</w:t>
            </w:r>
          </w:p>
        </w:tc>
      </w:tr>
      <w:tr w:rsidR="00B54D51" w:rsidRPr="00037AD4" w14:paraId="577A7825" w14:textId="77777777" w:rsidTr="00401C67">
        <w:trPr>
          <w:trHeight w:val="320"/>
        </w:trPr>
        <w:tc>
          <w:tcPr>
            <w:tcW w:w="0" w:type="auto"/>
            <w:gridSpan w:val="7"/>
            <w:shd w:val="clear" w:color="auto" w:fill="E7E6E6" w:themeFill="background2"/>
            <w:noWrap/>
          </w:tcPr>
          <w:p w14:paraId="7294F4A6" w14:textId="77777777" w:rsidR="00B54D51" w:rsidRPr="00037AD4" w:rsidRDefault="00B54D51" w:rsidP="00401C67">
            <w:pPr>
              <w:rPr>
                <w:rFonts w:ascii="Calibri" w:hAnsi="Calibri" w:cs="Calibri"/>
                <w:color w:val="000000"/>
              </w:rPr>
            </w:pPr>
            <w:r w:rsidRPr="00037AD4">
              <w:rPr>
                <w:rFonts w:cstheme="minorHAnsi"/>
              </w:rPr>
              <w:t>Predicted proxy: level four</w:t>
            </w:r>
          </w:p>
        </w:tc>
      </w:tr>
      <w:tr w:rsidR="00B54D51" w:rsidRPr="00037AD4" w14:paraId="03570777" w14:textId="77777777" w:rsidTr="00401C67">
        <w:trPr>
          <w:trHeight w:val="320"/>
        </w:trPr>
        <w:tc>
          <w:tcPr>
            <w:tcW w:w="0" w:type="auto"/>
            <w:noWrap/>
            <w:hideMark/>
          </w:tcPr>
          <w:p w14:paraId="105FF664" w14:textId="77777777" w:rsidR="00B54D51" w:rsidRPr="00037AD4" w:rsidRDefault="00B54D51" w:rsidP="00401C67">
            <w:pPr>
              <w:rPr>
                <w:rFonts w:ascii="Calibri" w:hAnsi="Calibri" w:cs="Calibri"/>
                <w:color w:val="000000"/>
              </w:rPr>
            </w:pPr>
            <w:r w:rsidRPr="00037AD4">
              <w:rPr>
                <w:rFonts w:cstheme="minorHAnsi"/>
              </w:rPr>
              <w:t xml:space="preserve">From level one PwD </w:t>
            </w:r>
          </w:p>
        </w:tc>
        <w:tc>
          <w:tcPr>
            <w:tcW w:w="0" w:type="auto"/>
            <w:noWrap/>
            <w:hideMark/>
          </w:tcPr>
          <w:p w14:paraId="4C7C10B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0.026</w:t>
            </w:r>
          </w:p>
        </w:tc>
        <w:tc>
          <w:tcPr>
            <w:tcW w:w="0" w:type="auto"/>
            <w:noWrap/>
            <w:hideMark/>
          </w:tcPr>
          <w:p w14:paraId="4E9A847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0.005</w:t>
            </w:r>
          </w:p>
        </w:tc>
        <w:tc>
          <w:tcPr>
            <w:tcW w:w="0" w:type="auto"/>
            <w:noWrap/>
            <w:hideMark/>
          </w:tcPr>
          <w:p w14:paraId="18D89B5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4.980</w:t>
            </w:r>
          </w:p>
        </w:tc>
        <w:tc>
          <w:tcPr>
            <w:tcW w:w="0" w:type="auto"/>
            <w:noWrap/>
            <w:hideMark/>
          </w:tcPr>
          <w:p w14:paraId="48CCA88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6E6A454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0.016</w:t>
            </w:r>
          </w:p>
        </w:tc>
        <w:tc>
          <w:tcPr>
            <w:tcW w:w="0" w:type="auto"/>
            <w:noWrap/>
            <w:hideMark/>
          </w:tcPr>
          <w:p w14:paraId="7DF0361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0.036</w:t>
            </w:r>
          </w:p>
        </w:tc>
      </w:tr>
      <w:tr w:rsidR="00B54D51" w:rsidRPr="00037AD4" w14:paraId="6E930C74" w14:textId="77777777" w:rsidTr="00401C67">
        <w:trPr>
          <w:trHeight w:val="320"/>
        </w:trPr>
        <w:tc>
          <w:tcPr>
            <w:tcW w:w="0" w:type="auto"/>
            <w:noWrap/>
            <w:hideMark/>
          </w:tcPr>
          <w:p w14:paraId="3CC61940" w14:textId="77777777" w:rsidR="00B54D51" w:rsidRPr="00037AD4" w:rsidRDefault="00B54D51" w:rsidP="00401C67">
            <w:pPr>
              <w:rPr>
                <w:rFonts w:ascii="Calibri" w:hAnsi="Calibri" w:cs="Calibri"/>
                <w:color w:val="000000"/>
              </w:rPr>
            </w:pPr>
            <w:r w:rsidRPr="00037AD4">
              <w:rPr>
                <w:rFonts w:cstheme="minorHAnsi"/>
              </w:rPr>
              <w:t xml:space="preserve">From level two PwD </w:t>
            </w:r>
          </w:p>
        </w:tc>
        <w:tc>
          <w:tcPr>
            <w:tcW w:w="0" w:type="auto"/>
            <w:noWrap/>
            <w:hideMark/>
          </w:tcPr>
          <w:p w14:paraId="16C38ED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0.038</w:t>
            </w:r>
          </w:p>
        </w:tc>
        <w:tc>
          <w:tcPr>
            <w:tcW w:w="0" w:type="auto"/>
            <w:noWrap/>
            <w:hideMark/>
          </w:tcPr>
          <w:p w14:paraId="674C42E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0.009</w:t>
            </w:r>
          </w:p>
        </w:tc>
        <w:tc>
          <w:tcPr>
            <w:tcW w:w="0" w:type="auto"/>
            <w:noWrap/>
            <w:hideMark/>
          </w:tcPr>
          <w:p w14:paraId="73AF352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4.320</w:t>
            </w:r>
          </w:p>
        </w:tc>
        <w:tc>
          <w:tcPr>
            <w:tcW w:w="0" w:type="auto"/>
            <w:noWrap/>
            <w:hideMark/>
          </w:tcPr>
          <w:p w14:paraId="239679C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5ECA76B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0.021</w:t>
            </w:r>
          </w:p>
        </w:tc>
        <w:tc>
          <w:tcPr>
            <w:tcW w:w="0" w:type="auto"/>
            <w:noWrap/>
            <w:hideMark/>
          </w:tcPr>
          <w:p w14:paraId="1839703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0.056</w:t>
            </w:r>
          </w:p>
        </w:tc>
      </w:tr>
      <w:tr w:rsidR="00B54D51" w:rsidRPr="00037AD4" w14:paraId="17F65B0D" w14:textId="77777777" w:rsidTr="00401C67">
        <w:trPr>
          <w:trHeight w:val="320"/>
        </w:trPr>
        <w:tc>
          <w:tcPr>
            <w:tcW w:w="0" w:type="auto"/>
            <w:noWrap/>
            <w:hideMark/>
          </w:tcPr>
          <w:p w14:paraId="1A519E80" w14:textId="77777777" w:rsidR="00B54D51" w:rsidRPr="00037AD4" w:rsidRDefault="00B54D51" w:rsidP="00401C67">
            <w:pPr>
              <w:rPr>
                <w:rFonts w:ascii="Calibri" w:hAnsi="Calibri" w:cs="Calibri"/>
                <w:color w:val="000000"/>
              </w:rPr>
            </w:pPr>
            <w:r w:rsidRPr="00037AD4">
              <w:rPr>
                <w:rFonts w:cstheme="minorHAnsi"/>
              </w:rPr>
              <w:t xml:space="preserve">From level three PwD </w:t>
            </w:r>
          </w:p>
        </w:tc>
        <w:tc>
          <w:tcPr>
            <w:tcW w:w="0" w:type="auto"/>
            <w:noWrap/>
            <w:hideMark/>
          </w:tcPr>
          <w:p w14:paraId="483A5EC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0.049</w:t>
            </w:r>
          </w:p>
        </w:tc>
        <w:tc>
          <w:tcPr>
            <w:tcW w:w="0" w:type="auto"/>
            <w:noWrap/>
            <w:hideMark/>
          </w:tcPr>
          <w:p w14:paraId="0251EC2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0.013</w:t>
            </w:r>
          </w:p>
        </w:tc>
        <w:tc>
          <w:tcPr>
            <w:tcW w:w="0" w:type="auto"/>
            <w:noWrap/>
            <w:hideMark/>
          </w:tcPr>
          <w:p w14:paraId="1BDE60E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3.800</w:t>
            </w:r>
          </w:p>
        </w:tc>
        <w:tc>
          <w:tcPr>
            <w:tcW w:w="0" w:type="auto"/>
            <w:noWrap/>
            <w:hideMark/>
          </w:tcPr>
          <w:p w14:paraId="3D39312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561E7EF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0.024</w:t>
            </w:r>
          </w:p>
        </w:tc>
        <w:tc>
          <w:tcPr>
            <w:tcW w:w="0" w:type="auto"/>
            <w:noWrap/>
            <w:hideMark/>
          </w:tcPr>
          <w:p w14:paraId="6AFA1B4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0.075</w:t>
            </w:r>
          </w:p>
        </w:tc>
      </w:tr>
      <w:tr w:rsidR="00B54D51" w:rsidRPr="00037AD4" w14:paraId="2FEE42AC" w14:textId="77777777" w:rsidTr="00401C67">
        <w:trPr>
          <w:trHeight w:val="320"/>
        </w:trPr>
        <w:tc>
          <w:tcPr>
            <w:tcW w:w="0" w:type="auto"/>
            <w:noWrap/>
            <w:hideMark/>
          </w:tcPr>
          <w:p w14:paraId="610FC1C9" w14:textId="77777777" w:rsidR="00B54D51" w:rsidRPr="00037AD4" w:rsidRDefault="00B54D51" w:rsidP="00401C67">
            <w:pPr>
              <w:rPr>
                <w:rFonts w:ascii="Calibri" w:hAnsi="Calibri" w:cs="Calibri"/>
                <w:color w:val="000000"/>
              </w:rPr>
            </w:pPr>
            <w:r w:rsidRPr="00037AD4">
              <w:rPr>
                <w:rFonts w:cstheme="minorHAnsi"/>
              </w:rPr>
              <w:t xml:space="preserve">From level four PwD </w:t>
            </w:r>
          </w:p>
        </w:tc>
        <w:tc>
          <w:tcPr>
            <w:tcW w:w="0" w:type="auto"/>
            <w:noWrap/>
            <w:hideMark/>
          </w:tcPr>
          <w:p w14:paraId="348A217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0.084</w:t>
            </w:r>
          </w:p>
        </w:tc>
        <w:tc>
          <w:tcPr>
            <w:tcW w:w="0" w:type="auto"/>
            <w:noWrap/>
            <w:hideMark/>
          </w:tcPr>
          <w:p w14:paraId="3232F68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0.020</w:t>
            </w:r>
          </w:p>
        </w:tc>
        <w:tc>
          <w:tcPr>
            <w:tcW w:w="0" w:type="auto"/>
            <w:noWrap/>
            <w:hideMark/>
          </w:tcPr>
          <w:p w14:paraId="68293FA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4.150</w:t>
            </w:r>
          </w:p>
        </w:tc>
        <w:tc>
          <w:tcPr>
            <w:tcW w:w="0" w:type="auto"/>
            <w:noWrap/>
            <w:hideMark/>
          </w:tcPr>
          <w:p w14:paraId="117C185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60BE118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0.044</w:t>
            </w:r>
          </w:p>
        </w:tc>
        <w:tc>
          <w:tcPr>
            <w:tcW w:w="0" w:type="auto"/>
            <w:noWrap/>
            <w:hideMark/>
          </w:tcPr>
          <w:p w14:paraId="76B2442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0.123</w:t>
            </w:r>
          </w:p>
        </w:tc>
      </w:tr>
      <w:tr w:rsidR="00B54D51" w:rsidRPr="00037AD4" w14:paraId="606C05A8" w14:textId="77777777" w:rsidTr="00401C67">
        <w:trPr>
          <w:trHeight w:val="320"/>
        </w:trPr>
        <w:tc>
          <w:tcPr>
            <w:tcW w:w="0" w:type="auto"/>
            <w:noWrap/>
            <w:hideMark/>
          </w:tcPr>
          <w:p w14:paraId="62808F88" w14:textId="77777777" w:rsidR="00B54D51" w:rsidRPr="00037AD4" w:rsidRDefault="00B54D51" w:rsidP="00401C67">
            <w:pPr>
              <w:rPr>
                <w:rFonts w:ascii="Calibri" w:hAnsi="Calibri" w:cs="Calibri"/>
                <w:color w:val="000000"/>
              </w:rPr>
            </w:pPr>
            <w:r w:rsidRPr="00037AD4">
              <w:rPr>
                <w:rFonts w:cstheme="minorHAnsi"/>
              </w:rPr>
              <w:t xml:space="preserve">From level five PwD </w:t>
            </w:r>
          </w:p>
        </w:tc>
        <w:tc>
          <w:tcPr>
            <w:tcW w:w="0" w:type="auto"/>
            <w:noWrap/>
            <w:hideMark/>
          </w:tcPr>
          <w:p w14:paraId="790F467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0.080</w:t>
            </w:r>
          </w:p>
        </w:tc>
        <w:tc>
          <w:tcPr>
            <w:tcW w:w="0" w:type="auto"/>
            <w:noWrap/>
            <w:hideMark/>
          </w:tcPr>
          <w:p w14:paraId="5A0E6EC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0.019</w:t>
            </w:r>
          </w:p>
        </w:tc>
        <w:tc>
          <w:tcPr>
            <w:tcW w:w="0" w:type="auto"/>
            <w:noWrap/>
            <w:hideMark/>
          </w:tcPr>
          <w:p w14:paraId="76BCFA1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4.220</w:t>
            </w:r>
          </w:p>
        </w:tc>
        <w:tc>
          <w:tcPr>
            <w:tcW w:w="0" w:type="auto"/>
            <w:noWrap/>
            <w:hideMark/>
          </w:tcPr>
          <w:p w14:paraId="4AD36C3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2BEA8F3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0.043</w:t>
            </w:r>
          </w:p>
        </w:tc>
        <w:tc>
          <w:tcPr>
            <w:tcW w:w="0" w:type="auto"/>
            <w:noWrap/>
            <w:hideMark/>
          </w:tcPr>
          <w:p w14:paraId="6084C44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0.117</w:t>
            </w:r>
          </w:p>
        </w:tc>
      </w:tr>
      <w:tr w:rsidR="00B54D51" w:rsidRPr="00037AD4" w14:paraId="4CCDB2E6" w14:textId="77777777" w:rsidTr="00401C67">
        <w:trPr>
          <w:trHeight w:val="320"/>
        </w:trPr>
        <w:tc>
          <w:tcPr>
            <w:tcW w:w="0" w:type="auto"/>
            <w:gridSpan w:val="7"/>
            <w:shd w:val="clear" w:color="auto" w:fill="E7E6E6" w:themeFill="background2"/>
            <w:noWrap/>
          </w:tcPr>
          <w:p w14:paraId="2B21DAA5" w14:textId="77777777" w:rsidR="00B54D51" w:rsidRPr="00037AD4" w:rsidRDefault="00B54D51" w:rsidP="00401C67">
            <w:pPr>
              <w:rPr>
                <w:rFonts w:ascii="Calibri" w:hAnsi="Calibri" w:cs="Calibri"/>
                <w:b/>
                <w:bCs/>
                <w:color w:val="000000"/>
              </w:rPr>
            </w:pPr>
            <w:r w:rsidRPr="00037AD4">
              <w:rPr>
                <w:rFonts w:cstheme="minorHAnsi"/>
              </w:rPr>
              <w:t>Predicted proxy: level five</w:t>
            </w:r>
          </w:p>
        </w:tc>
      </w:tr>
      <w:tr w:rsidR="00B54D51" w:rsidRPr="00037AD4" w14:paraId="35F785EF" w14:textId="77777777" w:rsidTr="00401C67">
        <w:trPr>
          <w:trHeight w:val="320"/>
        </w:trPr>
        <w:tc>
          <w:tcPr>
            <w:tcW w:w="0" w:type="auto"/>
            <w:noWrap/>
            <w:hideMark/>
          </w:tcPr>
          <w:p w14:paraId="0A54FBEC" w14:textId="77777777" w:rsidR="00B54D51" w:rsidRPr="00037AD4" w:rsidRDefault="00B54D51" w:rsidP="00401C67">
            <w:pPr>
              <w:rPr>
                <w:rFonts w:ascii="Calibri" w:hAnsi="Calibri" w:cs="Calibri"/>
                <w:color w:val="000000"/>
              </w:rPr>
            </w:pPr>
            <w:r w:rsidRPr="00037AD4">
              <w:rPr>
                <w:rFonts w:cstheme="minorHAnsi"/>
              </w:rPr>
              <w:t xml:space="preserve">From level one PwD </w:t>
            </w:r>
          </w:p>
        </w:tc>
        <w:tc>
          <w:tcPr>
            <w:tcW w:w="0" w:type="auto"/>
            <w:noWrap/>
            <w:hideMark/>
          </w:tcPr>
          <w:p w14:paraId="7951427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0.045</w:t>
            </w:r>
          </w:p>
        </w:tc>
        <w:tc>
          <w:tcPr>
            <w:tcW w:w="0" w:type="auto"/>
            <w:noWrap/>
            <w:hideMark/>
          </w:tcPr>
          <w:p w14:paraId="3D6F656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0.008</w:t>
            </w:r>
          </w:p>
        </w:tc>
        <w:tc>
          <w:tcPr>
            <w:tcW w:w="0" w:type="auto"/>
            <w:noWrap/>
            <w:hideMark/>
          </w:tcPr>
          <w:p w14:paraId="75923DF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5.640</w:t>
            </w:r>
          </w:p>
        </w:tc>
        <w:tc>
          <w:tcPr>
            <w:tcW w:w="0" w:type="auto"/>
            <w:noWrap/>
            <w:hideMark/>
          </w:tcPr>
          <w:p w14:paraId="066112B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5518B20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0.030</w:t>
            </w:r>
          </w:p>
        </w:tc>
        <w:tc>
          <w:tcPr>
            <w:tcW w:w="0" w:type="auto"/>
            <w:noWrap/>
            <w:hideMark/>
          </w:tcPr>
          <w:p w14:paraId="2F71A5E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0.061</w:t>
            </w:r>
          </w:p>
        </w:tc>
      </w:tr>
      <w:tr w:rsidR="00B54D51" w:rsidRPr="00037AD4" w14:paraId="2D5F0BE0" w14:textId="77777777" w:rsidTr="00401C67">
        <w:trPr>
          <w:trHeight w:val="320"/>
        </w:trPr>
        <w:tc>
          <w:tcPr>
            <w:tcW w:w="0" w:type="auto"/>
            <w:noWrap/>
            <w:hideMark/>
          </w:tcPr>
          <w:p w14:paraId="73D9FFEE" w14:textId="77777777" w:rsidR="00B54D51" w:rsidRPr="00037AD4" w:rsidRDefault="00B54D51" w:rsidP="00401C67">
            <w:pPr>
              <w:rPr>
                <w:rFonts w:ascii="Calibri" w:hAnsi="Calibri" w:cs="Calibri"/>
                <w:color w:val="000000"/>
              </w:rPr>
            </w:pPr>
            <w:r w:rsidRPr="00037AD4">
              <w:rPr>
                <w:rFonts w:cstheme="minorHAnsi"/>
              </w:rPr>
              <w:t xml:space="preserve">From level two PwD </w:t>
            </w:r>
          </w:p>
        </w:tc>
        <w:tc>
          <w:tcPr>
            <w:tcW w:w="0" w:type="auto"/>
            <w:noWrap/>
            <w:hideMark/>
          </w:tcPr>
          <w:p w14:paraId="0D3C531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0.076</w:t>
            </w:r>
          </w:p>
        </w:tc>
        <w:tc>
          <w:tcPr>
            <w:tcW w:w="0" w:type="auto"/>
            <w:noWrap/>
            <w:hideMark/>
          </w:tcPr>
          <w:p w14:paraId="5E4B3B3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0.017</w:t>
            </w:r>
          </w:p>
        </w:tc>
        <w:tc>
          <w:tcPr>
            <w:tcW w:w="0" w:type="auto"/>
            <w:noWrap/>
            <w:hideMark/>
          </w:tcPr>
          <w:p w14:paraId="072AB15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4.600</w:t>
            </w:r>
          </w:p>
        </w:tc>
        <w:tc>
          <w:tcPr>
            <w:tcW w:w="0" w:type="auto"/>
            <w:noWrap/>
            <w:hideMark/>
          </w:tcPr>
          <w:p w14:paraId="0BE2886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0C97FF4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0.044</w:t>
            </w:r>
          </w:p>
        </w:tc>
        <w:tc>
          <w:tcPr>
            <w:tcW w:w="0" w:type="auto"/>
            <w:noWrap/>
            <w:hideMark/>
          </w:tcPr>
          <w:p w14:paraId="3E285C0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0.109</w:t>
            </w:r>
          </w:p>
        </w:tc>
      </w:tr>
      <w:tr w:rsidR="00B54D51" w:rsidRPr="00037AD4" w14:paraId="5919944D" w14:textId="77777777" w:rsidTr="00401C67">
        <w:trPr>
          <w:trHeight w:val="320"/>
        </w:trPr>
        <w:tc>
          <w:tcPr>
            <w:tcW w:w="0" w:type="auto"/>
            <w:noWrap/>
            <w:hideMark/>
          </w:tcPr>
          <w:p w14:paraId="325764F8" w14:textId="77777777" w:rsidR="00B54D51" w:rsidRPr="00037AD4" w:rsidRDefault="00B54D51" w:rsidP="00401C67">
            <w:pPr>
              <w:rPr>
                <w:rFonts w:ascii="Calibri" w:hAnsi="Calibri" w:cs="Calibri"/>
                <w:color w:val="000000"/>
              </w:rPr>
            </w:pPr>
            <w:r w:rsidRPr="00037AD4">
              <w:rPr>
                <w:rFonts w:cstheme="minorHAnsi"/>
              </w:rPr>
              <w:t xml:space="preserve">From level three PwD </w:t>
            </w:r>
          </w:p>
        </w:tc>
        <w:tc>
          <w:tcPr>
            <w:tcW w:w="0" w:type="auto"/>
            <w:noWrap/>
            <w:hideMark/>
          </w:tcPr>
          <w:p w14:paraId="5DC95AB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0.111</w:t>
            </w:r>
          </w:p>
        </w:tc>
        <w:tc>
          <w:tcPr>
            <w:tcW w:w="0" w:type="auto"/>
            <w:noWrap/>
            <w:hideMark/>
          </w:tcPr>
          <w:p w14:paraId="10A998B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0.035</w:t>
            </w:r>
          </w:p>
        </w:tc>
        <w:tc>
          <w:tcPr>
            <w:tcW w:w="0" w:type="auto"/>
            <w:noWrap/>
            <w:hideMark/>
          </w:tcPr>
          <w:p w14:paraId="5554587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3.200</w:t>
            </w:r>
          </w:p>
        </w:tc>
        <w:tc>
          <w:tcPr>
            <w:tcW w:w="0" w:type="auto"/>
            <w:noWrap/>
            <w:hideMark/>
          </w:tcPr>
          <w:p w14:paraId="1FD342C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c>
          <w:tcPr>
            <w:tcW w:w="0" w:type="auto"/>
            <w:noWrap/>
            <w:hideMark/>
          </w:tcPr>
          <w:p w14:paraId="06B5627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0.043</w:t>
            </w:r>
          </w:p>
        </w:tc>
        <w:tc>
          <w:tcPr>
            <w:tcW w:w="0" w:type="auto"/>
            <w:noWrap/>
            <w:hideMark/>
          </w:tcPr>
          <w:p w14:paraId="778F8CC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0.179</w:t>
            </w:r>
          </w:p>
        </w:tc>
      </w:tr>
      <w:tr w:rsidR="00B54D51" w:rsidRPr="00037AD4" w14:paraId="0A781685" w14:textId="77777777" w:rsidTr="00401C67">
        <w:trPr>
          <w:trHeight w:val="320"/>
        </w:trPr>
        <w:tc>
          <w:tcPr>
            <w:tcW w:w="0" w:type="auto"/>
            <w:noWrap/>
            <w:hideMark/>
          </w:tcPr>
          <w:p w14:paraId="455B2351" w14:textId="77777777" w:rsidR="00B54D51" w:rsidRPr="00037AD4" w:rsidRDefault="00B54D51" w:rsidP="00401C67">
            <w:pPr>
              <w:rPr>
                <w:rFonts w:ascii="Calibri" w:hAnsi="Calibri" w:cs="Calibri"/>
                <w:color w:val="000000"/>
              </w:rPr>
            </w:pPr>
            <w:r w:rsidRPr="00037AD4">
              <w:rPr>
                <w:rFonts w:cstheme="minorHAnsi"/>
              </w:rPr>
              <w:t xml:space="preserve">From level four PwD </w:t>
            </w:r>
          </w:p>
        </w:tc>
        <w:tc>
          <w:tcPr>
            <w:tcW w:w="0" w:type="auto"/>
            <w:noWrap/>
            <w:hideMark/>
          </w:tcPr>
          <w:p w14:paraId="5466AFF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0.305</w:t>
            </w:r>
          </w:p>
        </w:tc>
        <w:tc>
          <w:tcPr>
            <w:tcW w:w="0" w:type="auto"/>
            <w:noWrap/>
            <w:hideMark/>
          </w:tcPr>
          <w:p w14:paraId="027A8DC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0.133</w:t>
            </w:r>
          </w:p>
        </w:tc>
        <w:tc>
          <w:tcPr>
            <w:tcW w:w="0" w:type="auto"/>
            <w:noWrap/>
            <w:hideMark/>
          </w:tcPr>
          <w:p w14:paraId="329CB67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2.300</w:t>
            </w:r>
          </w:p>
        </w:tc>
        <w:tc>
          <w:tcPr>
            <w:tcW w:w="0" w:type="auto"/>
            <w:noWrap/>
            <w:hideMark/>
          </w:tcPr>
          <w:p w14:paraId="4112056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0.021</w:t>
            </w:r>
          </w:p>
        </w:tc>
        <w:tc>
          <w:tcPr>
            <w:tcW w:w="0" w:type="auto"/>
            <w:noWrap/>
            <w:hideMark/>
          </w:tcPr>
          <w:p w14:paraId="6B64F92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0.045</w:t>
            </w:r>
          </w:p>
        </w:tc>
        <w:tc>
          <w:tcPr>
            <w:tcW w:w="0" w:type="auto"/>
            <w:noWrap/>
            <w:hideMark/>
          </w:tcPr>
          <w:p w14:paraId="1BB85A9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0.565</w:t>
            </w:r>
          </w:p>
        </w:tc>
      </w:tr>
      <w:tr w:rsidR="00B54D51" w:rsidRPr="00037AD4" w14:paraId="325A2FFF" w14:textId="77777777" w:rsidTr="00401C67">
        <w:trPr>
          <w:trHeight w:val="320"/>
        </w:trPr>
        <w:tc>
          <w:tcPr>
            <w:tcW w:w="0" w:type="auto"/>
            <w:noWrap/>
            <w:hideMark/>
          </w:tcPr>
          <w:p w14:paraId="3C04A09E" w14:textId="77777777" w:rsidR="00B54D51" w:rsidRPr="00037AD4" w:rsidRDefault="00B54D51" w:rsidP="00401C67">
            <w:pPr>
              <w:rPr>
                <w:rFonts w:ascii="Calibri" w:hAnsi="Calibri" w:cs="Calibri"/>
                <w:color w:val="000000"/>
              </w:rPr>
            </w:pPr>
            <w:r w:rsidRPr="00037AD4">
              <w:rPr>
                <w:rFonts w:cstheme="minorHAnsi"/>
              </w:rPr>
              <w:t xml:space="preserve">From level five PwD </w:t>
            </w:r>
          </w:p>
        </w:tc>
        <w:tc>
          <w:tcPr>
            <w:tcW w:w="0" w:type="auto"/>
            <w:noWrap/>
            <w:hideMark/>
          </w:tcPr>
          <w:p w14:paraId="18929F0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0.270</w:t>
            </w:r>
          </w:p>
        </w:tc>
        <w:tc>
          <w:tcPr>
            <w:tcW w:w="0" w:type="auto"/>
            <w:noWrap/>
            <w:hideMark/>
          </w:tcPr>
          <w:p w14:paraId="4BEA6F0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0.085</w:t>
            </w:r>
          </w:p>
        </w:tc>
        <w:tc>
          <w:tcPr>
            <w:tcW w:w="0" w:type="auto"/>
            <w:noWrap/>
            <w:hideMark/>
          </w:tcPr>
          <w:p w14:paraId="7BB364C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3.170</w:t>
            </w:r>
          </w:p>
        </w:tc>
        <w:tc>
          <w:tcPr>
            <w:tcW w:w="0" w:type="auto"/>
            <w:noWrap/>
            <w:hideMark/>
          </w:tcPr>
          <w:p w14:paraId="2C2EB17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0.002</w:t>
            </w:r>
          </w:p>
        </w:tc>
        <w:tc>
          <w:tcPr>
            <w:tcW w:w="0" w:type="auto"/>
            <w:noWrap/>
            <w:hideMark/>
          </w:tcPr>
          <w:p w14:paraId="165BD81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0.103</w:t>
            </w:r>
          </w:p>
        </w:tc>
        <w:tc>
          <w:tcPr>
            <w:tcW w:w="0" w:type="auto"/>
            <w:noWrap/>
            <w:hideMark/>
          </w:tcPr>
          <w:p w14:paraId="5C7C948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0.437</w:t>
            </w:r>
          </w:p>
        </w:tc>
      </w:tr>
    </w:tbl>
    <w:p w14:paraId="48F00B46" w14:textId="428F3083" w:rsidR="00B54D51" w:rsidRDefault="00B54D51" w:rsidP="001D7ACE">
      <w:pPr>
        <w:rPr>
          <w:color w:val="000000" w:themeColor="text1"/>
          <w:u w:val="single"/>
        </w:rPr>
      </w:pPr>
    </w:p>
    <w:p w14:paraId="0A44F77F" w14:textId="281C3565" w:rsidR="00830480" w:rsidRDefault="00830480" w:rsidP="001D7ACE">
      <w:pPr>
        <w:rPr>
          <w:color w:val="000000" w:themeColor="text1"/>
          <w:u w:val="single"/>
        </w:rPr>
      </w:pPr>
    </w:p>
    <w:p w14:paraId="5D3937FC" w14:textId="03668055" w:rsidR="00830480" w:rsidRDefault="00830480" w:rsidP="001D7ACE">
      <w:pPr>
        <w:rPr>
          <w:color w:val="000000" w:themeColor="text1"/>
          <w:u w:val="single"/>
        </w:rPr>
      </w:pPr>
    </w:p>
    <w:p w14:paraId="0E55E15F" w14:textId="0D045CD4" w:rsidR="00830480" w:rsidRDefault="00830480" w:rsidP="001D7ACE">
      <w:pPr>
        <w:rPr>
          <w:color w:val="000000" w:themeColor="text1"/>
          <w:u w:val="single"/>
        </w:rPr>
      </w:pPr>
    </w:p>
    <w:p w14:paraId="7B69E430" w14:textId="286FA0FE" w:rsidR="00830480" w:rsidRDefault="00830480" w:rsidP="001D7ACE">
      <w:pPr>
        <w:rPr>
          <w:color w:val="000000" w:themeColor="text1"/>
          <w:u w:val="single"/>
        </w:rPr>
      </w:pPr>
    </w:p>
    <w:p w14:paraId="52786A54" w14:textId="37A087BC" w:rsidR="00830480" w:rsidRDefault="00830480" w:rsidP="001D7ACE">
      <w:pPr>
        <w:rPr>
          <w:color w:val="000000" w:themeColor="text1"/>
          <w:u w:val="single"/>
        </w:rPr>
      </w:pPr>
    </w:p>
    <w:p w14:paraId="24840659" w14:textId="77777777" w:rsidR="00830480" w:rsidRPr="00037AD4" w:rsidRDefault="00830480" w:rsidP="001D7ACE">
      <w:pPr>
        <w:rPr>
          <w:color w:val="000000" w:themeColor="text1"/>
          <w:u w:val="single"/>
        </w:rPr>
      </w:pPr>
    </w:p>
    <w:p w14:paraId="3BED5AC4" w14:textId="77777777" w:rsidR="00B54D51" w:rsidRPr="00037AD4" w:rsidRDefault="00B54D51" w:rsidP="001D7ACE">
      <w:pPr>
        <w:rPr>
          <w:rFonts w:asciiTheme="minorHAnsi" w:hAnsiTheme="minorHAnsi" w:cstheme="minorHAnsi"/>
          <w:color w:val="000000" w:themeColor="text1"/>
          <w:u w:val="single"/>
        </w:rPr>
      </w:pPr>
      <w:bookmarkStart w:id="545" w:name="A63PD"/>
      <w:r w:rsidRPr="00037AD4">
        <w:rPr>
          <w:rFonts w:asciiTheme="minorHAnsi" w:hAnsiTheme="minorHAnsi" w:cstheme="minorHAnsi"/>
          <w:color w:val="000000" w:themeColor="text1"/>
          <w:u w:val="single"/>
        </w:rPr>
        <w:lastRenderedPageBreak/>
        <w:t>Table A6.3m, Pain/discomfort dimension average marginal effects: ACTIFCARE</w:t>
      </w:r>
    </w:p>
    <w:bookmarkEnd w:id="545"/>
    <w:p w14:paraId="1BBFDEFB" w14:textId="77777777" w:rsidR="00B54D51" w:rsidRPr="00037AD4" w:rsidRDefault="00B54D51" w:rsidP="001D7ACE">
      <w:pPr>
        <w:rPr>
          <w:u w:val="single"/>
        </w:rPr>
      </w:pPr>
    </w:p>
    <w:tbl>
      <w:tblPr>
        <w:tblStyle w:val="TableGridLight"/>
        <w:tblW w:w="9016" w:type="dxa"/>
        <w:tblLook w:val="04A0" w:firstRow="1" w:lastRow="0" w:firstColumn="1" w:lastColumn="0" w:noHBand="0" w:noVBand="1"/>
      </w:tblPr>
      <w:tblGrid>
        <w:gridCol w:w="1481"/>
        <w:gridCol w:w="1752"/>
        <w:gridCol w:w="1127"/>
        <w:gridCol w:w="1080"/>
        <w:gridCol w:w="1080"/>
        <w:gridCol w:w="1248"/>
        <w:gridCol w:w="1248"/>
      </w:tblGrid>
      <w:tr w:rsidR="00B54D51" w:rsidRPr="00037AD4" w14:paraId="100E104E" w14:textId="77777777" w:rsidTr="00401C67">
        <w:trPr>
          <w:trHeight w:val="320"/>
        </w:trPr>
        <w:tc>
          <w:tcPr>
            <w:tcW w:w="1481" w:type="dxa"/>
            <w:noWrap/>
            <w:hideMark/>
          </w:tcPr>
          <w:p w14:paraId="2ADA0B7E" w14:textId="77777777" w:rsidR="00B54D51" w:rsidRPr="00037AD4" w:rsidRDefault="00B54D51" w:rsidP="00401C67">
            <w:pPr>
              <w:rPr>
                <w:sz w:val="20"/>
                <w:szCs w:val="20"/>
              </w:rPr>
            </w:pPr>
          </w:p>
        </w:tc>
        <w:tc>
          <w:tcPr>
            <w:tcW w:w="1752" w:type="dxa"/>
            <w:noWrap/>
            <w:hideMark/>
          </w:tcPr>
          <w:p w14:paraId="09F79F1E"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dy/dx   </w:t>
            </w:r>
          </w:p>
        </w:tc>
        <w:tc>
          <w:tcPr>
            <w:tcW w:w="1127" w:type="dxa"/>
          </w:tcPr>
          <w:p w14:paraId="7B9FFA2B" w14:textId="77777777" w:rsidR="00B54D51" w:rsidRPr="00037AD4" w:rsidRDefault="00B54D51" w:rsidP="00401C67">
            <w:pPr>
              <w:rPr>
                <w:rFonts w:ascii="Calibri" w:hAnsi="Calibri" w:cs="Calibri"/>
                <w:color w:val="000000"/>
              </w:rPr>
            </w:pPr>
            <w:r w:rsidRPr="00037AD4">
              <w:rPr>
                <w:rFonts w:ascii="Calibri" w:hAnsi="Calibri" w:cs="Calibri"/>
                <w:color w:val="000000"/>
              </w:rPr>
              <w:t>std. err.</w:t>
            </w:r>
          </w:p>
        </w:tc>
        <w:tc>
          <w:tcPr>
            <w:tcW w:w="1080" w:type="dxa"/>
            <w:noWrap/>
            <w:hideMark/>
          </w:tcPr>
          <w:p w14:paraId="434D2D45" w14:textId="77777777" w:rsidR="00B54D51" w:rsidRPr="00037AD4" w:rsidRDefault="00B54D51" w:rsidP="00401C67">
            <w:pPr>
              <w:jc w:val="center"/>
              <w:rPr>
                <w:rFonts w:ascii="Calibri" w:hAnsi="Calibri" w:cs="Calibri"/>
                <w:color w:val="000000"/>
              </w:rPr>
            </w:pPr>
            <w:r w:rsidRPr="00037AD4">
              <w:rPr>
                <w:rFonts w:ascii="Calibri" w:hAnsi="Calibri" w:cs="Calibri"/>
                <w:color w:val="000000"/>
              </w:rPr>
              <w:t>Z</w:t>
            </w:r>
          </w:p>
        </w:tc>
        <w:tc>
          <w:tcPr>
            <w:tcW w:w="1080" w:type="dxa"/>
            <w:noWrap/>
            <w:hideMark/>
          </w:tcPr>
          <w:p w14:paraId="02CE8E68" w14:textId="77777777" w:rsidR="00B54D51" w:rsidRPr="00037AD4" w:rsidRDefault="00B54D51" w:rsidP="00401C67">
            <w:pPr>
              <w:rPr>
                <w:rFonts w:ascii="Calibri" w:hAnsi="Calibri" w:cs="Calibri"/>
                <w:color w:val="000000"/>
              </w:rPr>
            </w:pPr>
            <w:r w:rsidRPr="00037AD4">
              <w:rPr>
                <w:rFonts w:ascii="Calibri" w:hAnsi="Calibri" w:cs="Calibri"/>
                <w:color w:val="000000"/>
              </w:rPr>
              <w:t>P&gt;z</w:t>
            </w:r>
          </w:p>
        </w:tc>
        <w:tc>
          <w:tcPr>
            <w:tcW w:w="1248" w:type="dxa"/>
            <w:noWrap/>
            <w:hideMark/>
          </w:tcPr>
          <w:p w14:paraId="4939D331" w14:textId="77777777" w:rsidR="00B54D51" w:rsidRPr="00037AD4" w:rsidRDefault="00B54D51" w:rsidP="00401C67">
            <w:pPr>
              <w:rPr>
                <w:rFonts w:ascii="Calibri" w:hAnsi="Calibri" w:cs="Calibri"/>
                <w:color w:val="000000"/>
              </w:rPr>
            </w:pPr>
            <w:r w:rsidRPr="00037AD4">
              <w:rPr>
                <w:rFonts w:ascii="Calibri" w:hAnsi="Calibri" w:cs="Calibri"/>
                <w:color w:val="000000"/>
              </w:rPr>
              <w:t>[95% conf.</w:t>
            </w:r>
          </w:p>
        </w:tc>
        <w:tc>
          <w:tcPr>
            <w:tcW w:w="1248" w:type="dxa"/>
            <w:noWrap/>
            <w:hideMark/>
          </w:tcPr>
          <w:p w14:paraId="4A67ED79" w14:textId="77777777" w:rsidR="00B54D51" w:rsidRPr="00037AD4" w:rsidRDefault="00B54D51" w:rsidP="00401C67">
            <w:pPr>
              <w:rPr>
                <w:rFonts w:ascii="Calibri" w:hAnsi="Calibri" w:cs="Calibri"/>
                <w:color w:val="000000"/>
              </w:rPr>
            </w:pPr>
            <w:r w:rsidRPr="00037AD4">
              <w:rPr>
                <w:rFonts w:ascii="Calibri" w:hAnsi="Calibri" w:cs="Calibri"/>
                <w:color w:val="000000"/>
              </w:rPr>
              <w:t>interval]</w:t>
            </w:r>
          </w:p>
        </w:tc>
      </w:tr>
      <w:tr w:rsidR="00B54D51" w:rsidRPr="00037AD4" w14:paraId="7DF0AB9A" w14:textId="77777777" w:rsidTr="00401C67">
        <w:trPr>
          <w:trHeight w:val="299"/>
        </w:trPr>
        <w:tc>
          <w:tcPr>
            <w:tcW w:w="9016" w:type="dxa"/>
            <w:gridSpan w:val="7"/>
            <w:shd w:val="clear" w:color="auto" w:fill="F2F2F2" w:themeFill="background1" w:themeFillShade="F2"/>
            <w:noWrap/>
            <w:hideMark/>
          </w:tcPr>
          <w:p w14:paraId="06942F8B" w14:textId="77777777" w:rsidR="00B54D51" w:rsidRPr="00037AD4" w:rsidRDefault="00B54D51" w:rsidP="00401C67">
            <w:pPr>
              <w:rPr>
                <w:rFonts w:ascii="Calibri" w:hAnsi="Calibri" w:cs="Calibri"/>
                <w:color w:val="000000"/>
              </w:rPr>
            </w:pPr>
            <w:r w:rsidRPr="00037AD4">
              <w:rPr>
                <w:rFonts w:ascii="Calibri" w:hAnsi="Calibri" w:cs="Calibri"/>
                <w:color w:val="000000"/>
              </w:rPr>
              <w:t>Relative proxy anxiety/depression level 1 (= base outcome)</w:t>
            </w:r>
          </w:p>
        </w:tc>
      </w:tr>
      <w:tr w:rsidR="00B54D51" w:rsidRPr="00037AD4" w14:paraId="77FEE31A" w14:textId="77777777" w:rsidTr="00401C67">
        <w:trPr>
          <w:trHeight w:val="320"/>
        </w:trPr>
        <w:tc>
          <w:tcPr>
            <w:tcW w:w="9016" w:type="dxa"/>
            <w:gridSpan w:val="7"/>
            <w:shd w:val="clear" w:color="auto" w:fill="F2F2F2" w:themeFill="background1" w:themeFillShade="F2"/>
            <w:noWrap/>
            <w:hideMark/>
          </w:tcPr>
          <w:p w14:paraId="14F4376C" w14:textId="77777777" w:rsidR="00B54D51" w:rsidRPr="00037AD4" w:rsidRDefault="00B54D51" w:rsidP="00401C67">
            <w:pPr>
              <w:rPr>
                <w:sz w:val="20"/>
                <w:szCs w:val="20"/>
              </w:rPr>
            </w:pPr>
            <w:r w:rsidRPr="00037AD4">
              <w:rPr>
                <w:rFonts w:ascii="Calibri" w:hAnsi="Calibri" w:cs="Calibri"/>
                <w:color w:val="000000"/>
              </w:rPr>
              <w:t>Relative proxy anxiety/depression level 2, predict:</w:t>
            </w:r>
          </w:p>
        </w:tc>
      </w:tr>
      <w:tr w:rsidR="00B54D51" w:rsidRPr="00037AD4" w14:paraId="50889FBB" w14:textId="77777777" w:rsidTr="00401C67">
        <w:trPr>
          <w:trHeight w:val="320"/>
        </w:trPr>
        <w:tc>
          <w:tcPr>
            <w:tcW w:w="1481" w:type="dxa"/>
            <w:noWrap/>
            <w:hideMark/>
          </w:tcPr>
          <w:p w14:paraId="085B577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w:t>
            </w:r>
          </w:p>
        </w:tc>
        <w:tc>
          <w:tcPr>
            <w:tcW w:w="1752" w:type="dxa"/>
            <w:noWrap/>
            <w:hideMark/>
          </w:tcPr>
          <w:p w14:paraId="3337C70D"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-.213 </w:t>
            </w:r>
          </w:p>
        </w:tc>
        <w:tc>
          <w:tcPr>
            <w:tcW w:w="1127" w:type="dxa"/>
          </w:tcPr>
          <w:p w14:paraId="7DDC0E7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.034</w:t>
            </w:r>
          </w:p>
        </w:tc>
        <w:tc>
          <w:tcPr>
            <w:tcW w:w="1080" w:type="dxa"/>
            <w:noWrap/>
            <w:hideMark/>
          </w:tcPr>
          <w:p w14:paraId="7E24F0A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-6.27</w:t>
            </w:r>
          </w:p>
        </w:tc>
        <w:tc>
          <w:tcPr>
            <w:tcW w:w="1080" w:type="dxa"/>
            <w:noWrap/>
            <w:hideMark/>
          </w:tcPr>
          <w:p w14:paraId="6A30503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w:t>
            </w:r>
          </w:p>
        </w:tc>
        <w:tc>
          <w:tcPr>
            <w:tcW w:w="1248" w:type="dxa"/>
            <w:noWrap/>
            <w:hideMark/>
          </w:tcPr>
          <w:p w14:paraId="5A8328D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-0.279</w:t>
            </w:r>
          </w:p>
        </w:tc>
        <w:tc>
          <w:tcPr>
            <w:tcW w:w="1248" w:type="dxa"/>
            <w:noWrap/>
            <w:hideMark/>
          </w:tcPr>
          <w:p w14:paraId="74C1F95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-0.146</w:t>
            </w:r>
          </w:p>
        </w:tc>
      </w:tr>
      <w:tr w:rsidR="00B54D51" w:rsidRPr="00037AD4" w14:paraId="4F8C2DF5" w14:textId="77777777" w:rsidTr="00401C67">
        <w:trPr>
          <w:trHeight w:val="320"/>
        </w:trPr>
        <w:tc>
          <w:tcPr>
            <w:tcW w:w="1481" w:type="dxa"/>
            <w:noWrap/>
            <w:hideMark/>
          </w:tcPr>
          <w:p w14:paraId="2464AA4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w:t>
            </w:r>
          </w:p>
        </w:tc>
        <w:tc>
          <w:tcPr>
            <w:tcW w:w="1752" w:type="dxa"/>
            <w:noWrap/>
            <w:hideMark/>
          </w:tcPr>
          <w:p w14:paraId="44E4CAAB"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.094 </w:t>
            </w:r>
          </w:p>
        </w:tc>
        <w:tc>
          <w:tcPr>
            <w:tcW w:w="1127" w:type="dxa"/>
          </w:tcPr>
          <w:p w14:paraId="183FE56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.016</w:t>
            </w:r>
          </w:p>
        </w:tc>
        <w:tc>
          <w:tcPr>
            <w:tcW w:w="1080" w:type="dxa"/>
            <w:noWrap/>
            <w:hideMark/>
          </w:tcPr>
          <w:p w14:paraId="66506DB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5.72</w:t>
            </w:r>
          </w:p>
        </w:tc>
        <w:tc>
          <w:tcPr>
            <w:tcW w:w="1080" w:type="dxa"/>
            <w:noWrap/>
            <w:hideMark/>
          </w:tcPr>
          <w:p w14:paraId="368EFD3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w:t>
            </w:r>
          </w:p>
        </w:tc>
        <w:tc>
          <w:tcPr>
            <w:tcW w:w="1248" w:type="dxa"/>
            <w:noWrap/>
            <w:hideMark/>
          </w:tcPr>
          <w:p w14:paraId="269630F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0.061</w:t>
            </w:r>
          </w:p>
        </w:tc>
        <w:tc>
          <w:tcPr>
            <w:tcW w:w="1248" w:type="dxa"/>
            <w:noWrap/>
            <w:hideMark/>
          </w:tcPr>
          <w:p w14:paraId="6AE0DD0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0.126</w:t>
            </w:r>
          </w:p>
        </w:tc>
      </w:tr>
      <w:tr w:rsidR="00B54D51" w:rsidRPr="00037AD4" w14:paraId="455C32E6" w14:textId="77777777" w:rsidTr="00401C67">
        <w:trPr>
          <w:trHeight w:val="320"/>
        </w:trPr>
        <w:tc>
          <w:tcPr>
            <w:tcW w:w="1481" w:type="dxa"/>
            <w:noWrap/>
            <w:hideMark/>
          </w:tcPr>
          <w:p w14:paraId="4FCBF6B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w:t>
            </w:r>
          </w:p>
        </w:tc>
        <w:tc>
          <w:tcPr>
            <w:tcW w:w="1752" w:type="dxa"/>
            <w:noWrap/>
            <w:hideMark/>
          </w:tcPr>
          <w:p w14:paraId="5EC53EE5"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.093 </w:t>
            </w:r>
          </w:p>
        </w:tc>
        <w:tc>
          <w:tcPr>
            <w:tcW w:w="1127" w:type="dxa"/>
          </w:tcPr>
          <w:p w14:paraId="500AC4A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.016</w:t>
            </w:r>
          </w:p>
        </w:tc>
        <w:tc>
          <w:tcPr>
            <w:tcW w:w="1080" w:type="dxa"/>
            <w:noWrap/>
            <w:hideMark/>
          </w:tcPr>
          <w:p w14:paraId="48276FB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5.84</w:t>
            </w:r>
          </w:p>
        </w:tc>
        <w:tc>
          <w:tcPr>
            <w:tcW w:w="1080" w:type="dxa"/>
            <w:noWrap/>
            <w:hideMark/>
          </w:tcPr>
          <w:p w14:paraId="2BF4D38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w:t>
            </w:r>
          </w:p>
        </w:tc>
        <w:tc>
          <w:tcPr>
            <w:tcW w:w="1248" w:type="dxa"/>
            <w:noWrap/>
            <w:hideMark/>
          </w:tcPr>
          <w:p w14:paraId="6A6305E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0.061</w:t>
            </w:r>
          </w:p>
        </w:tc>
        <w:tc>
          <w:tcPr>
            <w:tcW w:w="1248" w:type="dxa"/>
            <w:noWrap/>
            <w:hideMark/>
          </w:tcPr>
          <w:p w14:paraId="73E578E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0.124</w:t>
            </w:r>
          </w:p>
        </w:tc>
      </w:tr>
      <w:tr w:rsidR="00B54D51" w:rsidRPr="00037AD4" w14:paraId="53F24C51" w14:textId="77777777" w:rsidTr="00401C67">
        <w:trPr>
          <w:trHeight w:val="320"/>
        </w:trPr>
        <w:tc>
          <w:tcPr>
            <w:tcW w:w="1481" w:type="dxa"/>
            <w:noWrap/>
            <w:hideMark/>
          </w:tcPr>
          <w:p w14:paraId="7D197A7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w:t>
            </w:r>
          </w:p>
        </w:tc>
        <w:tc>
          <w:tcPr>
            <w:tcW w:w="1752" w:type="dxa"/>
            <w:noWrap/>
            <w:hideMark/>
          </w:tcPr>
          <w:p w14:paraId="557D24EA"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.023 </w:t>
            </w:r>
          </w:p>
        </w:tc>
        <w:tc>
          <w:tcPr>
            <w:tcW w:w="1127" w:type="dxa"/>
          </w:tcPr>
          <w:p w14:paraId="3CFE09A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.006</w:t>
            </w:r>
          </w:p>
        </w:tc>
        <w:tc>
          <w:tcPr>
            <w:tcW w:w="1080" w:type="dxa"/>
            <w:noWrap/>
            <w:hideMark/>
          </w:tcPr>
          <w:p w14:paraId="78C489E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3.82</w:t>
            </w:r>
          </w:p>
        </w:tc>
        <w:tc>
          <w:tcPr>
            <w:tcW w:w="1080" w:type="dxa"/>
            <w:noWrap/>
            <w:hideMark/>
          </w:tcPr>
          <w:p w14:paraId="26EA6A8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w:t>
            </w:r>
          </w:p>
        </w:tc>
        <w:tc>
          <w:tcPr>
            <w:tcW w:w="1248" w:type="dxa"/>
            <w:noWrap/>
            <w:hideMark/>
          </w:tcPr>
          <w:p w14:paraId="0A04DB1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0.011</w:t>
            </w:r>
          </w:p>
        </w:tc>
        <w:tc>
          <w:tcPr>
            <w:tcW w:w="1248" w:type="dxa"/>
            <w:noWrap/>
            <w:hideMark/>
          </w:tcPr>
          <w:p w14:paraId="7756B1D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0.035</w:t>
            </w:r>
          </w:p>
        </w:tc>
      </w:tr>
      <w:tr w:rsidR="00B54D51" w:rsidRPr="00037AD4" w14:paraId="79C11710" w14:textId="77777777" w:rsidTr="00401C67">
        <w:trPr>
          <w:trHeight w:val="320"/>
        </w:trPr>
        <w:tc>
          <w:tcPr>
            <w:tcW w:w="1481" w:type="dxa"/>
            <w:noWrap/>
            <w:hideMark/>
          </w:tcPr>
          <w:p w14:paraId="1166A1F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5</w:t>
            </w:r>
          </w:p>
        </w:tc>
        <w:tc>
          <w:tcPr>
            <w:tcW w:w="1752" w:type="dxa"/>
            <w:noWrap/>
            <w:hideMark/>
          </w:tcPr>
          <w:p w14:paraId="29600860"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.003   </w:t>
            </w:r>
          </w:p>
        </w:tc>
        <w:tc>
          <w:tcPr>
            <w:tcW w:w="1127" w:type="dxa"/>
          </w:tcPr>
          <w:p w14:paraId="642E129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w:t>
            </w:r>
          </w:p>
        </w:tc>
        <w:tc>
          <w:tcPr>
            <w:tcW w:w="1080" w:type="dxa"/>
            <w:noWrap/>
            <w:hideMark/>
          </w:tcPr>
          <w:p w14:paraId="568BB17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1.92</w:t>
            </w:r>
          </w:p>
        </w:tc>
        <w:tc>
          <w:tcPr>
            <w:tcW w:w="1080" w:type="dxa"/>
            <w:noWrap/>
            <w:hideMark/>
          </w:tcPr>
          <w:p w14:paraId="4823620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0.055</w:t>
            </w:r>
          </w:p>
        </w:tc>
        <w:tc>
          <w:tcPr>
            <w:tcW w:w="1248" w:type="dxa"/>
            <w:noWrap/>
            <w:hideMark/>
          </w:tcPr>
          <w:p w14:paraId="10741A1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1248" w:type="dxa"/>
            <w:noWrap/>
            <w:hideMark/>
          </w:tcPr>
          <w:p w14:paraId="511A51C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0.005</w:t>
            </w:r>
          </w:p>
        </w:tc>
      </w:tr>
      <w:tr w:rsidR="00B54D51" w:rsidRPr="00037AD4" w14:paraId="04BC321B" w14:textId="77777777" w:rsidTr="00401C67">
        <w:trPr>
          <w:trHeight w:val="320"/>
        </w:trPr>
        <w:tc>
          <w:tcPr>
            <w:tcW w:w="9016" w:type="dxa"/>
            <w:gridSpan w:val="7"/>
            <w:shd w:val="clear" w:color="auto" w:fill="F2F2F2" w:themeFill="background1" w:themeFillShade="F2"/>
            <w:noWrap/>
            <w:hideMark/>
          </w:tcPr>
          <w:p w14:paraId="7F9EA8BC" w14:textId="77777777" w:rsidR="00B54D51" w:rsidRPr="00037AD4" w:rsidRDefault="00B54D51" w:rsidP="00401C67">
            <w:pPr>
              <w:rPr>
                <w:sz w:val="20"/>
                <w:szCs w:val="20"/>
              </w:rPr>
            </w:pPr>
            <w:r w:rsidRPr="00037AD4">
              <w:rPr>
                <w:rFonts w:ascii="Calibri" w:hAnsi="Calibri" w:cs="Calibri"/>
                <w:color w:val="000000"/>
              </w:rPr>
              <w:t>Relative proxy anxiety/depression level 3, predict:</w:t>
            </w:r>
          </w:p>
        </w:tc>
      </w:tr>
      <w:tr w:rsidR="00B54D51" w:rsidRPr="00037AD4" w14:paraId="34A6BC51" w14:textId="77777777" w:rsidTr="00401C67">
        <w:trPr>
          <w:trHeight w:val="320"/>
        </w:trPr>
        <w:tc>
          <w:tcPr>
            <w:tcW w:w="1481" w:type="dxa"/>
            <w:noWrap/>
            <w:hideMark/>
          </w:tcPr>
          <w:p w14:paraId="42DAE86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w:t>
            </w:r>
          </w:p>
        </w:tc>
        <w:tc>
          <w:tcPr>
            <w:tcW w:w="1752" w:type="dxa"/>
            <w:noWrap/>
            <w:hideMark/>
          </w:tcPr>
          <w:p w14:paraId="6311E8BE"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-.379  </w:t>
            </w:r>
          </w:p>
        </w:tc>
        <w:tc>
          <w:tcPr>
            <w:tcW w:w="1127" w:type="dxa"/>
          </w:tcPr>
          <w:p w14:paraId="411AA58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.036</w:t>
            </w:r>
          </w:p>
        </w:tc>
        <w:tc>
          <w:tcPr>
            <w:tcW w:w="1080" w:type="dxa"/>
            <w:noWrap/>
            <w:hideMark/>
          </w:tcPr>
          <w:p w14:paraId="364C0F9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-10.35</w:t>
            </w:r>
          </w:p>
        </w:tc>
        <w:tc>
          <w:tcPr>
            <w:tcW w:w="1080" w:type="dxa"/>
            <w:noWrap/>
            <w:hideMark/>
          </w:tcPr>
          <w:p w14:paraId="1EFF09D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w:t>
            </w:r>
          </w:p>
        </w:tc>
        <w:tc>
          <w:tcPr>
            <w:tcW w:w="1248" w:type="dxa"/>
            <w:noWrap/>
            <w:hideMark/>
          </w:tcPr>
          <w:p w14:paraId="392A66B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-0.451</w:t>
            </w:r>
          </w:p>
        </w:tc>
        <w:tc>
          <w:tcPr>
            <w:tcW w:w="1248" w:type="dxa"/>
            <w:noWrap/>
            <w:hideMark/>
          </w:tcPr>
          <w:p w14:paraId="2AB31E8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-0.307</w:t>
            </w:r>
          </w:p>
        </w:tc>
      </w:tr>
      <w:tr w:rsidR="00B54D51" w:rsidRPr="00037AD4" w14:paraId="25B2D9AA" w14:textId="77777777" w:rsidTr="00401C67">
        <w:trPr>
          <w:trHeight w:val="320"/>
        </w:trPr>
        <w:tc>
          <w:tcPr>
            <w:tcW w:w="1481" w:type="dxa"/>
            <w:noWrap/>
            <w:hideMark/>
          </w:tcPr>
          <w:p w14:paraId="7B934DC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w:t>
            </w:r>
          </w:p>
        </w:tc>
        <w:tc>
          <w:tcPr>
            <w:tcW w:w="1752" w:type="dxa"/>
            <w:noWrap/>
            <w:hideMark/>
          </w:tcPr>
          <w:p w14:paraId="5D1AFF9D"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.127  </w:t>
            </w:r>
          </w:p>
        </w:tc>
        <w:tc>
          <w:tcPr>
            <w:tcW w:w="1127" w:type="dxa"/>
          </w:tcPr>
          <w:p w14:paraId="6FCD18D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.016</w:t>
            </w:r>
          </w:p>
        </w:tc>
        <w:tc>
          <w:tcPr>
            <w:tcW w:w="1080" w:type="dxa"/>
            <w:noWrap/>
            <w:hideMark/>
          </w:tcPr>
          <w:p w14:paraId="2A3F55D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7.73</w:t>
            </w:r>
          </w:p>
        </w:tc>
        <w:tc>
          <w:tcPr>
            <w:tcW w:w="1080" w:type="dxa"/>
            <w:noWrap/>
            <w:hideMark/>
          </w:tcPr>
          <w:p w14:paraId="5ACCC94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w:t>
            </w:r>
          </w:p>
        </w:tc>
        <w:tc>
          <w:tcPr>
            <w:tcW w:w="1248" w:type="dxa"/>
            <w:noWrap/>
            <w:hideMark/>
          </w:tcPr>
          <w:p w14:paraId="7D52C77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0.095</w:t>
            </w:r>
          </w:p>
        </w:tc>
        <w:tc>
          <w:tcPr>
            <w:tcW w:w="1248" w:type="dxa"/>
            <w:noWrap/>
            <w:hideMark/>
          </w:tcPr>
          <w:p w14:paraId="6BBBFBA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0.159</w:t>
            </w:r>
          </w:p>
        </w:tc>
      </w:tr>
      <w:tr w:rsidR="00B54D51" w:rsidRPr="00037AD4" w14:paraId="106BBCA6" w14:textId="77777777" w:rsidTr="00401C67">
        <w:trPr>
          <w:trHeight w:val="320"/>
        </w:trPr>
        <w:tc>
          <w:tcPr>
            <w:tcW w:w="1481" w:type="dxa"/>
            <w:noWrap/>
            <w:hideMark/>
          </w:tcPr>
          <w:p w14:paraId="5955230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w:t>
            </w:r>
          </w:p>
        </w:tc>
        <w:tc>
          <w:tcPr>
            <w:tcW w:w="1752" w:type="dxa"/>
            <w:noWrap/>
            <w:hideMark/>
          </w:tcPr>
          <w:p w14:paraId="322E90D3"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.180 </w:t>
            </w:r>
          </w:p>
        </w:tc>
        <w:tc>
          <w:tcPr>
            <w:tcW w:w="1127" w:type="dxa"/>
          </w:tcPr>
          <w:p w14:paraId="3F76C61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.021</w:t>
            </w:r>
          </w:p>
        </w:tc>
        <w:tc>
          <w:tcPr>
            <w:tcW w:w="1080" w:type="dxa"/>
            <w:noWrap/>
            <w:hideMark/>
          </w:tcPr>
          <w:p w14:paraId="4A9A5F9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8.6</w:t>
            </w:r>
          </w:p>
        </w:tc>
        <w:tc>
          <w:tcPr>
            <w:tcW w:w="1080" w:type="dxa"/>
            <w:noWrap/>
            <w:hideMark/>
          </w:tcPr>
          <w:p w14:paraId="1F51C14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w:t>
            </w:r>
          </w:p>
        </w:tc>
        <w:tc>
          <w:tcPr>
            <w:tcW w:w="1248" w:type="dxa"/>
            <w:noWrap/>
            <w:hideMark/>
          </w:tcPr>
          <w:p w14:paraId="1E718F9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0.139</w:t>
            </w:r>
          </w:p>
        </w:tc>
        <w:tc>
          <w:tcPr>
            <w:tcW w:w="1248" w:type="dxa"/>
            <w:noWrap/>
            <w:hideMark/>
          </w:tcPr>
          <w:p w14:paraId="059DC3C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0.222</w:t>
            </w:r>
          </w:p>
        </w:tc>
      </w:tr>
      <w:tr w:rsidR="00B54D51" w:rsidRPr="00037AD4" w14:paraId="7312AEC3" w14:textId="77777777" w:rsidTr="00401C67">
        <w:trPr>
          <w:trHeight w:val="320"/>
        </w:trPr>
        <w:tc>
          <w:tcPr>
            <w:tcW w:w="1481" w:type="dxa"/>
            <w:noWrap/>
            <w:hideMark/>
          </w:tcPr>
          <w:p w14:paraId="1030F79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w:t>
            </w:r>
          </w:p>
        </w:tc>
        <w:tc>
          <w:tcPr>
            <w:tcW w:w="1752" w:type="dxa"/>
            <w:noWrap/>
            <w:hideMark/>
          </w:tcPr>
          <w:p w14:paraId="4197E434"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.062 </w:t>
            </w:r>
          </w:p>
        </w:tc>
        <w:tc>
          <w:tcPr>
            <w:tcW w:w="1127" w:type="dxa"/>
          </w:tcPr>
          <w:p w14:paraId="7B1A722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.0128</w:t>
            </w:r>
          </w:p>
        </w:tc>
        <w:tc>
          <w:tcPr>
            <w:tcW w:w="1080" w:type="dxa"/>
            <w:noWrap/>
            <w:hideMark/>
          </w:tcPr>
          <w:p w14:paraId="40997AF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4.86</w:t>
            </w:r>
          </w:p>
        </w:tc>
        <w:tc>
          <w:tcPr>
            <w:tcW w:w="1080" w:type="dxa"/>
            <w:noWrap/>
            <w:hideMark/>
          </w:tcPr>
          <w:p w14:paraId="5B10007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w:t>
            </w:r>
          </w:p>
        </w:tc>
        <w:tc>
          <w:tcPr>
            <w:tcW w:w="1248" w:type="dxa"/>
            <w:noWrap/>
            <w:hideMark/>
          </w:tcPr>
          <w:p w14:paraId="0FEEDD2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0.037</w:t>
            </w:r>
          </w:p>
        </w:tc>
        <w:tc>
          <w:tcPr>
            <w:tcW w:w="1248" w:type="dxa"/>
            <w:noWrap/>
            <w:hideMark/>
          </w:tcPr>
          <w:p w14:paraId="59A6E7A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0.087</w:t>
            </w:r>
          </w:p>
        </w:tc>
      </w:tr>
      <w:tr w:rsidR="00B54D51" w:rsidRPr="00037AD4" w14:paraId="6DD6C24C" w14:textId="77777777" w:rsidTr="00401C67">
        <w:trPr>
          <w:trHeight w:val="320"/>
        </w:trPr>
        <w:tc>
          <w:tcPr>
            <w:tcW w:w="1481" w:type="dxa"/>
            <w:noWrap/>
            <w:hideMark/>
          </w:tcPr>
          <w:p w14:paraId="2EC763A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5</w:t>
            </w:r>
          </w:p>
        </w:tc>
        <w:tc>
          <w:tcPr>
            <w:tcW w:w="1752" w:type="dxa"/>
            <w:noWrap/>
            <w:hideMark/>
          </w:tcPr>
          <w:p w14:paraId="3246DE67"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.010 </w:t>
            </w:r>
          </w:p>
        </w:tc>
        <w:tc>
          <w:tcPr>
            <w:tcW w:w="1127" w:type="dxa"/>
          </w:tcPr>
          <w:p w14:paraId="63CEDC0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.005</w:t>
            </w:r>
          </w:p>
        </w:tc>
        <w:tc>
          <w:tcPr>
            <w:tcW w:w="1080" w:type="dxa"/>
            <w:noWrap/>
            <w:hideMark/>
          </w:tcPr>
          <w:p w14:paraId="11DAC9E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2.13</w:t>
            </w:r>
          </w:p>
        </w:tc>
        <w:tc>
          <w:tcPr>
            <w:tcW w:w="1080" w:type="dxa"/>
            <w:noWrap/>
            <w:hideMark/>
          </w:tcPr>
          <w:p w14:paraId="117FD3C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0.033</w:t>
            </w:r>
          </w:p>
        </w:tc>
        <w:tc>
          <w:tcPr>
            <w:tcW w:w="1248" w:type="dxa"/>
            <w:noWrap/>
            <w:hideMark/>
          </w:tcPr>
          <w:p w14:paraId="6FECF3C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c>
          <w:tcPr>
            <w:tcW w:w="1248" w:type="dxa"/>
            <w:noWrap/>
            <w:hideMark/>
          </w:tcPr>
          <w:p w14:paraId="7050FBB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0.019</w:t>
            </w:r>
          </w:p>
        </w:tc>
      </w:tr>
      <w:tr w:rsidR="00B54D51" w:rsidRPr="00037AD4" w14:paraId="1A924650" w14:textId="77777777" w:rsidTr="00401C67">
        <w:trPr>
          <w:trHeight w:val="320"/>
        </w:trPr>
        <w:tc>
          <w:tcPr>
            <w:tcW w:w="9016" w:type="dxa"/>
            <w:gridSpan w:val="7"/>
            <w:shd w:val="clear" w:color="auto" w:fill="F2F2F2" w:themeFill="background1" w:themeFillShade="F2"/>
            <w:noWrap/>
            <w:hideMark/>
          </w:tcPr>
          <w:p w14:paraId="62E8DDCF" w14:textId="77777777" w:rsidR="00B54D51" w:rsidRPr="00037AD4" w:rsidRDefault="00B54D51" w:rsidP="00401C67">
            <w:pPr>
              <w:rPr>
                <w:sz w:val="20"/>
                <w:szCs w:val="20"/>
              </w:rPr>
            </w:pPr>
            <w:r w:rsidRPr="00037AD4">
              <w:rPr>
                <w:rFonts w:ascii="Calibri" w:hAnsi="Calibri" w:cs="Calibri"/>
                <w:color w:val="000000"/>
              </w:rPr>
              <w:t>Relative proxy anxiety/depression level 4, predict:</w:t>
            </w:r>
          </w:p>
        </w:tc>
      </w:tr>
      <w:tr w:rsidR="00B54D51" w:rsidRPr="00037AD4" w14:paraId="52394BF1" w14:textId="77777777" w:rsidTr="00401C67">
        <w:trPr>
          <w:trHeight w:val="320"/>
        </w:trPr>
        <w:tc>
          <w:tcPr>
            <w:tcW w:w="1481" w:type="dxa"/>
            <w:noWrap/>
            <w:hideMark/>
          </w:tcPr>
          <w:p w14:paraId="78A0250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w:t>
            </w:r>
          </w:p>
        </w:tc>
        <w:tc>
          <w:tcPr>
            <w:tcW w:w="1752" w:type="dxa"/>
            <w:noWrap/>
            <w:hideMark/>
          </w:tcPr>
          <w:p w14:paraId="32BA7A8E"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-.516 </w:t>
            </w:r>
          </w:p>
        </w:tc>
        <w:tc>
          <w:tcPr>
            <w:tcW w:w="1127" w:type="dxa"/>
          </w:tcPr>
          <w:p w14:paraId="36FC65C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.051</w:t>
            </w:r>
          </w:p>
        </w:tc>
        <w:tc>
          <w:tcPr>
            <w:tcW w:w="1080" w:type="dxa"/>
            <w:noWrap/>
            <w:hideMark/>
          </w:tcPr>
          <w:p w14:paraId="0BD9C5C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-10.02</w:t>
            </w:r>
          </w:p>
        </w:tc>
        <w:tc>
          <w:tcPr>
            <w:tcW w:w="1080" w:type="dxa"/>
            <w:noWrap/>
            <w:hideMark/>
          </w:tcPr>
          <w:p w14:paraId="3C865E5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w:t>
            </w:r>
          </w:p>
        </w:tc>
        <w:tc>
          <w:tcPr>
            <w:tcW w:w="1248" w:type="dxa"/>
            <w:noWrap/>
            <w:hideMark/>
          </w:tcPr>
          <w:p w14:paraId="09DE9FD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-0.617</w:t>
            </w:r>
          </w:p>
        </w:tc>
        <w:tc>
          <w:tcPr>
            <w:tcW w:w="1248" w:type="dxa"/>
            <w:noWrap/>
            <w:hideMark/>
          </w:tcPr>
          <w:p w14:paraId="3CA6488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-0.415</w:t>
            </w:r>
          </w:p>
        </w:tc>
      </w:tr>
      <w:tr w:rsidR="00B54D51" w:rsidRPr="00037AD4" w14:paraId="29B7B1BC" w14:textId="77777777" w:rsidTr="00401C67">
        <w:trPr>
          <w:trHeight w:val="320"/>
        </w:trPr>
        <w:tc>
          <w:tcPr>
            <w:tcW w:w="1481" w:type="dxa"/>
            <w:noWrap/>
            <w:hideMark/>
          </w:tcPr>
          <w:p w14:paraId="7B2341C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w:t>
            </w:r>
          </w:p>
        </w:tc>
        <w:tc>
          <w:tcPr>
            <w:tcW w:w="1752" w:type="dxa"/>
            <w:noWrap/>
            <w:hideMark/>
          </w:tcPr>
          <w:p w14:paraId="129F5858"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.115    </w:t>
            </w:r>
          </w:p>
        </w:tc>
        <w:tc>
          <w:tcPr>
            <w:tcW w:w="1127" w:type="dxa"/>
          </w:tcPr>
          <w:p w14:paraId="060CF4E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.021</w:t>
            </w:r>
          </w:p>
        </w:tc>
        <w:tc>
          <w:tcPr>
            <w:tcW w:w="1080" w:type="dxa"/>
            <w:noWrap/>
            <w:hideMark/>
          </w:tcPr>
          <w:p w14:paraId="3A1CCA1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5.57</w:t>
            </w:r>
          </w:p>
        </w:tc>
        <w:tc>
          <w:tcPr>
            <w:tcW w:w="1080" w:type="dxa"/>
            <w:noWrap/>
            <w:hideMark/>
          </w:tcPr>
          <w:p w14:paraId="7D82A63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w:t>
            </w:r>
          </w:p>
        </w:tc>
        <w:tc>
          <w:tcPr>
            <w:tcW w:w="1248" w:type="dxa"/>
            <w:noWrap/>
            <w:hideMark/>
          </w:tcPr>
          <w:p w14:paraId="182F19C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0.074</w:t>
            </w:r>
          </w:p>
        </w:tc>
        <w:tc>
          <w:tcPr>
            <w:tcW w:w="1248" w:type="dxa"/>
            <w:noWrap/>
            <w:hideMark/>
          </w:tcPr>
          <w:p w14:paraId="61FC5E3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0.155</w:t>
            </w:r>
          </w:p>
        </w:tc>
      </w:tr>
      <w:tr w:rsidR="00B54D51" w:rsidRPr="00037AD4" w14:paraId="7275561A" w14:textId="77777777" w:rsidTr="00401C67">
        <w:trPr>
          <w:trHeight w:val="320"/>
        </w:trPr>
        <w:tc>
          <w:tcPr>
            <w:tcW w:w="1481" w:type="dxa"/>
            <w:noWrap/>
            <w:hideMark/>
          </w:tcPr>
          <w:p w14:paraId="072A4AE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w:t>
            </w:r>
          </w:p>
        </w:tc>
        <w:tc>
          <w:tcPr>
            <w:tcW w:w="1752" w:type="dxa"/>
            <w:noWrap/>
            <w:hideMark/>
          </w:tcPr>
          <w:p w14:paraId="7C88059C"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.255 </w:t>
            </w:r>
          </w:p>
        </w:tc>
        <w:tc>
          <w:tcPr>
            <w:tcW w:w="1127" w:type="dxa"/>
          </w:tcPr>
          <w:p w14:paraId="094C2A6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.031</w:t>
            </w:r>
          </w:p>
        </w:tc>
        <w:tc>
          <w:tcPr>
            <w:tcW w:w="1080" w:type="dxa"/>
            <w:noWrap/>
            <w:hideMark/>
          </w:tcPr>
          <w:p w14:paraId="4A02BD0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8.3</w:t>
            </w:r>
          </w:p>
        </w:tc>
        <w:tc>
          <w:tcPr>
            <w:tcW w:w="1080" w:type="dxa"/>
            <w:noWrap/>
            <w:hideMark/>
          </w:tcPr>
          <w:p w14:paraId="661B988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w:t>
            </w:r>
          </w:p>
        </w:tc>
        <w:tc>
          <w:tcPr>
            <w:tcW w:w="1248" w:type="dxa"/>
            <w:noWrap/>
            <w:hideMark/>
          </w:tcPr>
          <w:p w14:paraId="4BB84A9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0.195</w:t>
            </w:r>
          </w:p>
        </w:tc>
        <w:tc>
          <w:tcPr>
            <w:tcW w:w="1248" w:type="dxa"/>
            <w:noWrap/>
            <w:hideMark/>
          </w:tcPr>
          <w:p w14:paraId="781255D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0.315</w:t>
            </w:r>
          </w:p>
        </w:tc>
      </w:tr>
      <w:tr w:rsidR="00B54D51" w:rsidRPr="00037AD4" w14:paraId="60480567" w14:textId="77777777" w:rsidTr="00401C67">
        <w:trPr>
          <w:trHeight w:val="320"/>
        </w:trPr>
        <w:tc>
          <w:tcPr>
            <w:tcW w:w="1481" w:type="dxa"/>
            <w:noWrap/>
            <w:hideMark/>
          </w:tcPr>
          <w:p w14:paraId="1A751AA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w:t>
            </w:r>
          </w:p>
        </w:tc>
        <w:tc>
          <w:tcPr>
            <w:tcW w:w="1752" w:type="dxa"/>
            <w:noWrap/>
            <w:hideMark/>
          </w:tcPr>
          <w:p w14:paraId="198C7893"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.120 </w:t>
            </w:r>
          </w:p>
        </w:tc>
        <w:tc>
          <w:tcPr>
            <w:tcW w:w="1127" w:type="dxa"/>
          </w:tcPr>
          <w:p w14:paraId="3CFA553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.030</w:t>
            </w:r>
          </w:p>
        </w:tc>
        <w:tc>
          <w:tcPr>
            <w:tcW w:w="1080" w:type="dxa"/>
            <w:noWrap/>
            <w:hideMark/>
          </w:tcPr>
          <w:p w14:paraId="6AA36F6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4.02</w:t>
            </w:r>
          </w:p>
        </w:tc>
        <w:tc>
          <w:tcPr>
            <w:tcW w:w="1080" w:type="dxa"/>
            <w:noWrap/>
            <w:hideMark/>
          </w:tcPr>
          <w:p w14:paraId="1AF58F2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w:t>
            </w:r>
          </w:p>
        </w:tc>
        <w:tc>
          <w:tcPr>
            <w:tcW w:w="1248" w:type="dxa"/>
            <w:noWrap/>
            <w:hideMark/>
          </w:tcPr>
          <w:p w14:paraId="5981584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0.061</w:t>
            </w:r>
          </w:p>
        </w:tc>
        <w:tc>
          <w:tcPr>
            <w:tcW w:w="1248" w:type="dxa"/>
            <w:noWrap/>
            <w:hideMark/>
          </w:tcPr>
          <w:p w14:paraId="522493D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0.179</w:t>
            </w:r>
          </w:p>
        </w:tc>
      </w:tr>
      <w:tr w:rsidR="00B54D51" w:rsidRPr="00037AD4" w14:paraId="3F892892" w14:textId="77777777" w:rsidTr="00401C67">
        <w:trPr>
          <w:trHeight w:val="320"/>
        </w:trPr>
        <w:tc>
          <w:tcPr>
            <w:tcW w:w="1481" w:type="dxa"/>
            <w:noWrap/>
            <w:hideMark/>
          </w:tcPr>
          <w:p w14:paraId="4604350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5</w:t>
            </w:r>
          </w:p>
        </w:tc>
        <w:tc>
          <w:tcPr>
            <w:tcW w:w="1752" w:type="dxa"/>
            <w:noWrap/>
            <w:hideMark/>
          </w:tcPr>
          <w:p w14:paraId="2A72597B"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.027 </w:t>
            </w:r>
          </w:p>
        </w:tc>
        <w:tc>
          <w:tcPr>
            <w:tcW w:w="1127" w:type="dxa"/>
          </w:tcPr>
          <w:p w14:paraId="7FDF8FA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.014</w:t>
            </w:r>
          </w:p>
        </w:tc>
        <w:tc>
          <w:tcPr>
            <w:tcW w:w="1080" w:type="dxa"/>
            <w:noWrap/>
            <w:hideMark/>
          </w:tcPr>
          <w:p w14:paraId="3E97274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1.88</w:t>
            </w:r>
          </w:p>
        </w:tc>
        <w:tc>
          <w:tcPr>
            <w:tcW w:w="1080" w:type="dxa"/>
            <w:noWrap/>
            <w:hideMark/>
          </w:tcPr>
          <w:p w14:paraId="47CAA36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0.06</w:t>
            </w:r>
          </w:p>
        </w:tc>
        <w:tc>
          <w:tcPr>
            <w:tcW w:w="1248" w:type="dxa"/>
            <w:noWrap/>
            <w:hideMark/>
          </w:tcPr>
          <w:p w14:paraId="43EAE99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c>
          <w:tcPr>
            <w:tcW w:w="1248" w:type="dxa"/>
            <w:noWrap/>
            <w:hideMark/>
          </w:tcPr>
          <w:p w14:paraId="260F99B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0.055</w:t>
            </w:r>
          </w:p>
        </w:tc>
      </w:tr>
      <w:tr w:rsidR="00B54D51" w:rsidRPr="00037AD4" w14:paraId="1BF6BF88" w14:textId="77777777" w:rsidTr="00401C67">
        <w:trPr>
          <w:trHeight w:val="320"/>
        </w:trPr>
        <w:tc>
          <w:tcPr>
            <w:tcW w:w="9016" w:type="dxa"/>
            <w:gridSpan w:val="7"/>
            <w:shd w:val="clear" w:color="auto" w:fill="F2F2F2" w:themeFill="background1" w:themeFillShade="F2"/>
            <w:noWrap/>
            <w:hideMark/>
          </w:tcPr>
          <w:p w14:paraId="0BE64521" w14:textId="77777777" w:rsidR="00B54D51" w:rsidRPr="00037AD4" w:rsidRDefault="00B54D51" w:rsidP="00401C67">
            <w:pPr>
              <w:rPr>
                <w:sz w:val="20"/>
                <w:szCs w:val="20"/>
              </w:rPr>
            </w:pPr>
            <w:r w:rsidRPr="00037AD4">
              <w:rPr>
                <w:rFonts w:ascii="Calibri" w:hAnsi="Calibri" w:cs="Calibri"/>
                <w:color w:val="000000"/>
              </w:rPr>
              <w:t>Relative proxy anxiety/depression level 5, predict:</w:t>
            </w:r>
          </w:p>
        </w:tc>
      </w:tr>
      <w:tr w:rsidR="00B54D51" w:rsidRPr="00037AD4" w14:paraId="0A6F8ACE" w14:textId="77777777" w:rsidTr="00401C67">
        <w:trPr>
          <w:trHeight w:val="320"/>
        </w:trPr>
        <w:tc>
          <w:tcPr>
            <w:tcW w:w="1481" w:type="dxa"/>
            <w:noWrap/>
            <w:hideMark/>
          </w:tcPr>
          <w:p w14:paraId="641E954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w:t>
            </w:r>
          </w:p>
        </w:tc>
        <w:tc>
          <w:tcPr>
            <w:tcW w:w="1752" w:type="dxa"/>
            <w:noWrap/>
            <w:hideMark/>
          </w:tcPr>
          <w:p w14:paraId="0450B815"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-.673 </w:t>
            </w:r>
          </w:p>
        </w:tc>
        <w:tc>
          <w:tcPr>
            <w:tcW w:w="1127" w:type="dxa"/>
          </w:tcPr>
          <w:p w14:paraId="27B2AC7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.074</w:t>
            </w:r>
          </w:p>
        </w:tc>
        <w:tc>
          <w:tcPr>
            <w:tcW w:w="1080" w:type="dxa"/>
            <w:noWrap/>
            <w:hideMark/>
          </w:tcPr>
          <w:p w14:paraId="0C8EF28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-9.03</w:t>
            </w:r>
          </w:p>
        </w:tc>
        <w:tc>
          <w:tcPr>
            <w:tcW w:w="1080" w:type="dxa"/>
            <w:noWrap/>
            <w:hideMark/>
          </w:tcPr>
          <w:p w14:paraId="62F9E4D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w:t>
            </w:r>
          </w:p>
        </w:tc>
        <w:tc>
          <w:tcPr>
            <w:tcW w:w="1248" w:type="dxa"/>
            <w:noWrap/>
            <w:hideMark/>
          </w:tcPr>
          <w:p w14:paraId="27CD5C8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-0.817</w:t>
            </w:r>
          </w:p>
        </w:tc>
        <w:tc>
          <w:tcPr>
            <w:tcW w:w="1248" w:type="dxa"/>
            <w:noWrap/>
            <w:hideMark/>
          </w:tcPr>
          <w:p w14:paraId="0C6499D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-0.527</w:t>
            </w:r>
          </w:p>
        </w:tc>
      </w:tr>
      <w:tr w:rsidR="00B54D51" w:rsidRPr="00037AD4" w14:paraId="0E1FE2C8" w14:textId="77777777" w:rsidTr="00401C67">
        <w:trPr>
          <w:trHeight w:val="320"/>
        </w:trPr>
        <w:tc>
          <w:tcPr>
            <w:tcW w:w="1481" w:type="dxa"/>
            <w:noWrap/>
            <w:hideMark/>
          </w:tcPr>
          <w:p w14:paraId="742CBA4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w:t>
            </w:r>
          </w:p>
        </w:tc>
        <w:tc>
          <w:tcPr>
            <w:tcW w:w="1752" w:type="dxa"/>
            <w:noWrap/>
            <w:hideMark/>
          </w:tcPr>
          <w:p w14:paraId="72F42863"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.024   </w:t>
            </w:r>
          </w:p>
        </w:tc>
        <w:tc>
          <w:tcPr>
            <w:tcW w:w="1127" w:type="dxa"/>
          </w:tcPr>
          <w:p w14:paraId="1BBE471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.077</w:t>
            </w:r>
          </w:p>
        </w:tc>
        <w:tc>
          <w:tcPr>
            <w:tcW w:w="1080" w:type="dxa"/>
            <w:noWrap/>
            <w:hideMark/>
          </w:tcPr>
          <w:p w14:paraId="6DBA113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0.31</w:t>
            </w:r>
          </w:p>
        </w:tc>
        <w:tc>
          <w:tcPr>
            <w:tcW w:w="1080" w:type="dxa"/>
            <w:noWrap/>
            <w:hideMark/>
          </w:tcPr>
          <w:p w14:paraId="1632B52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0.758</w:t>
            </w:r>
          </w:p>
        </w:tc>
        <w:tc>
          <w:tcPr>
            <w:tcW w:w="1248" w:type="dxa"/>
            <w:noWrap/>
            <w:hideMark/>
          </w:tcPr>
          <w:p w14:paraId="325D960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-0.126</w:t>
            </w:r>
          </w:p>
        </w:tc>
        <w:tc>
          <w:tcPr>
            <w:tcW w:w="1248" w:type="dxa"/>
            <w:noWrap/>
            <w:hideMark/>
          </w:tcPr>
          <w:p w14:paraId="4B516F1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0.174</w:t>
            </w:r>
          </w:p>
        </w:tc>
      </w:tr>
      <w:tr w:rsidR="00B54D51" w:rsidRPr="00037AD4" w14:paraId="79390DDC" w14:textId="77777777" w:rsidTr="00401C67">
        <w:trPr>
          <w:trHeight w:val="320"/>
        </w:trPr>
        <w:tc>
          <w:tcPr>
            <w:tcW w:w="1481" w:type="dxa"/>
            <w:noWrap/>
            <w:hideMark/>
          </w:tcPr>
          <w:p w14:paraId="784BDE2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w:t>
            </w:r>
          </w:p>
        </w:tc>
        <w:tc>
          <w:tcPr>
            <w:tcW w:w="1752" w:type="dxa"/>
            <w:noWrap/>
            <w:hideMark/>
          </w:tcPr>
          <w:p w14:paraId="11978E83" w14:textId="77777777" w:rsidR="00B54D51" w:rsidRPr="00037AD4" w:rsidRDefault="00B54D51" w:rsidP="00401C67">
            <w:pPr>
              <w:rPr>
                <w:rFonts w:ascii="Calibri" w:hAnsi="Calibri" w:cs="Calibri"/>
                <w:color w:val="000000"/>
              </w:rPr>
            </w:pPr>
            <w:r w:rsidRPr="00037AD4">
              <w:rPr>
                <w:rFonts w:ascii="Calibri" w:hAnsi="Calibri" w:cs="Calibri"/>
                <w:color w:val="000000"/>
              </w:rPr>
              <w:t>.300</w:t>
            </w:r>
          </w:p>
        </w:tc>
        <w:tc>
          <w:tcPr>
            <w:tcW w:w="1127" w:type="dxa"/>
          </w:tcPr>
          <w:p w14:paraId="7E42FE8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.034</w:t>
            </w:r>
          </w:p>
        </w:tc>
        <w:tc>
          <w:tcPr>
            <w:tcW w:w="1080" w:type="dxa"/>
            <w:noWrap/>
            <w:hideMark/>
          </w:tcPr>
          <w:p w14:paraId="6B2C1B3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8.8</w:t>
            </w:r>
          </w:p>
        </w:tc>
        <w:tc>
          <w:tcPr>
            <w:tcW w:w="1080" w:type="dxa"/>
            <w:noWrap/>
            <w:hideMark/>
          </w:tcPr>
          <w:p w14:paraId="161D35F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w:t>
            </w:r>
          </w:p>
        </w:tc>
        <w:tc>
          <w:tcPr>
            <w:tcW w:w="1248" w:type="dxa"/>
            <w:noWrap/>
            <w:hideMark/>
          </w:tcPr>
          <w:p w14:paraId="79AB4F7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0.233</w:t>
            </w:r>
          </w:p>
        </w:tc>
        <w:tc>
          <w:tcPr>
            <w:tcW w:w="1248" w:type="dxa"/>
            <w:noWrap/>
            <w:hideMark/>
          </w:tcPr>
          <w:p w14:paraId="3C147E2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0.366</w:t>
            </w:r>
          </w:p>
        </w:tc>
      </w:tr>
      <w:tr w:rsidR="00B54D51" w:rsidRPr="00037AD4" w14:paraId="126EB9CD" w14:textId="77777777" w:rsidTr="00401C67">
        <w:trPr>
          <w:trHeight w:val="320"/>
        </w:trPr>
        <w:tc>
          <w:tcPr>
            <w:tcW w:w="1481" w:type="dxa"/>
            <w:noWrap/>
            <w:hideMark/>
          </w:tcPr>
          <w:p w14:paraId="1CD5B3C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w:t>
            </w:r>
          </w:p>
        </w:tc>
        <w:tc>
          <w:tcPr>
            <w:tcW w:w="1752" w:type="dxa"/>
            <w:noWrap/>
            <w:hideMark/>
          </w:tcPr>
          <w:p w14:paraId="4D5D85EB"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.248 </w:t>
            </w:r>
          </w:p>
        </w:tc>
        <w:tc>
          <w:tcPr>
            <w:tcW w:w="1127" w:type="dxa"/>
          </w:tcPr>
          <w:p w14:paraId="17E778E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.099</w:t>
            </w:r>
          </w:p>
        </w:tc>
        <w:tc>
          <w:tcPr>
            <w:tcW w:w="1080" w:type="dxa"/>
            <w:noWrap/>
            <w:hideMark/>
          </w:tcPr>
          <w:p w14:paraId="26167C1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2.51</w:t>
            </w:r>
          </w:p>
        </w:tc>
        <w:tc>
          <w:tcPr>
            <w:tcW w:w="1080" w:type="dxa"/>
            <w:noWrap/>
            <w:hideMark/>
          </w:tcPr>
          <w:p w14:paraId="47A3DC2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0.012</w:t>
            </w:r>
          </w:p>
        </w:tc>
        <w:tc>
          <w:tcPr>
            <w:tcW w:w="1248" w:type="dxa"/>
            <w:noWrap/>
            <w:hideMark/>
          </w:tcPr>
          <w:p w14:paraId="7441441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0.054</w:t>
            </w:r>
          </w:p>
        </w:tc>
        <w:tc>
          <w:tcPr>
            <w:tcW w:w="1248" w:type="dxa"/>
            <w:noWrap/>
            <w:hideMark/>
          </w:tcPr>
          <w:p w14:paraId="06DE1F9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0.442</w:t>
            </w:r>
          </w:p>
        </w:tc>
      </w:tr>
      <w:tr w:rsidR="00B54D51" w:rsidRPr="00037AD4" w14:paraId="03C193E3" w14:textId="77777777" w:rsidTr="00401C67">
        <w:trPr>
          <w:trHeight w:val="320"/>
        </w:trPr>
        <w:tc>
          <w:tcPr>
            <w:tcW w:w="1481" w:type="dxa"/>
            <w:noWrap/>
            <w:hideMark/>
          </w:tcPr>
          <w:p w14:paraId="3CDAAE1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5</w:t>
            </w:r>
          </w:p>
        </w:tc>
        <w:tc>
          <w:tcPr>
            <w:tcW w:w="1752" w:type="dxa"/>
            <w:noWrap/>
            <w:hideMark/>
          </w:tcPr>
          <w:p w14:paraId="2C546552"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.101 </w:t>
            </w:r>
          </w:p>
        </w:tc>
        <w:tc>
          <w:tcPr>
            <w:tcW w:w="1127" w:type="dxa"/>
          </w:tcPr>
          <w:p w14:paraId="3CBFB58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.079</w:t>
            </w:r>
          </w:p>
        </w:tc>
        <w:tc>
          <w:tcPr>
            <w:tcW w:w="1080" w:type="dxa"/>
            <w:noWrap/>
            <w:hideMark/>
          </w:tcPr>
          <w:p w14:paraId="21A40BD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1.29</w:t>
            </w:r>
          </w:p>
        </w:tc>
        <w:tc>
          <w:tcPr>
            <w:tcW w:w="1080" w:type="dxa"/>
            <w:noWrap/>
            <w:hideMark/>
          </w:tcPr>
          <w:p w14:paraId="2D66B3A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0.198</w:t>
            </w:r>
          </w:p>
        </w:tc>
        <w:tc>
          <w:tcPr>
            <w:tcW w:w="1248" w:type="dxa"/>
            <w:noWrap/>
            <w:hideMark/>
          </w:tcPr>
          <w:p w14:paraId="5807269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-0.053</w:t>
            </w:r>
          </w:p>
        </w:tc>
        <w:tc>
          <w:tcPr>
            <w:tcW w:w="1248" w:type="dxa"/>
            <w:noWrap/>
            <w:hideMark/>
          </w:tcPr>
          <w:p w14:paraId="25608B0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0.256</w:t>
            </w:r>
          </w:p>
        </w:tc>
      </w:tr>
      <w:tr w:rsidR="00B54D51" w:rsidRPr="00037AD4" w14:paraId="7360FA86" w14:textId="77777777" w:rsidTr="00401C67">
        <w:trPr>
          <w:trHeight w:val="320"/>
        </w:trPr>
        <w:tc>
          <w:tcPr>
            <w:tcW w:w="9016" w:type="dxa"/>
            <w:gridSpan w:val="7"/>
            <w:shd w:val="clear" w:color="auto" w:fill="F2F2F2" w:themeFill="background1" w:themeFillShade="F2"/>
            <w:noWrap/>
            <w:hideMark/>
          </w:tcPr>
          <w:p w14:paraId="34531BDF" w14:textId="77777777" w:rsidR="00B54D51" w:rsidRPr="00037AD4" w:rsidRDefault="00B54D51" w:rsidP="00401C67">
            <w:pPr>
              <w:rPr>
                <w:sz w:val="20"/>
                <w:szCs w:val="20"/>
              </w:rPr>
            </w:pPr>
            <w:r w:rsidRPr="00037AD4">
              <w:rPr>
                <w:rFonts w:ascii="Calibri" w:hAnsi="Calibri" w:cs="Calibri"/>
                <w:color w:val="000000"/>
              </w:rPr>
              <w:t xml:space="preserve">MMSE total score, predict: </w:t>
            </w:r>
          </w:p>
        </w:tc>
      </w:tr>
      <w:tr w:rsidR="00B54D51" w:rsidRPr="00037AD4" w14:paraId="08FAC8DD" w14:textId="77777777" w:rsidTr="00401C67">
        <w:trPr>
          <w:trHeight w:val="320"/>
        </w:trPr>
        <w:tc>
          <w:tcPr>
            <w:tcW w:w="1481" w:type="dxa"/>
            <w:noWrap/>
            <w:hideMark/>
          </w:tcPr>
          <w:p w14:paraId="6A77CF9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w:t>
            </w:r>
          </w:p>
        </w:tc>
        <w:tc>
          <w:tcPr>
            <w:tcW w:w="1752" w:type="dxa"/>
            <w:noWrap/>
            <w:hideMark/>
          </w:tcPr>
          <w:p w14:paraId="116345FF" w14:textId="77777777" w:rsidR="00B54D51" w:rsidRPr="00037AD4" w:rsidRDefault="00B54D51" w:rsidP="00401C67">
            <w:pPr>
              <w:rPr>
                <w:rFonts w:ascii="Calibri" w:hAnsi="Calibri" w:cs="Calibri"/>
                <w:color w:val="000000"/>
              </w:rPr>
            </w:pPr>
            <w:r w:rsidRPr="00037AD4">
              <w:rPr>
                <w:rFonts w:ascii="Calibri" w:hAnsi="Calibri" w:cs="Calibri"/>
                <w:color w:val="000000"/>
              </w:rPr>
              <w:t>-.007</w:t>
            </w:r>
          </w:p>
        </w:tc>
        <w:tc>
          <w:tcPr>
            <w:tcW w:w="1127" w:type="dxa"/>
          </w:tcPr>
          <w:p w14:paraId="28810A5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w:t>
            </w:r>
          </w:p>
        </w:tc>
        <w:tc>
          <w:tcPr>
            <w:tcW w:w="1080" w:type="dxa"/>
            <w:noWrap/>
            <w:hideMark/>
          </w:tcPr>
          <w:p w14:paraId="7975DEF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-2.2</w:t>
            </w:r>
          </w:p>
        </w:tc>
        <w:tc>
          <w:tcPr>
            <w:tcW w:w="1080" w:type="dxa"/>
            <w:noWrap/>
            <w:hideMark/>
          </w:tcPr>
          <w:p w14:paraId="39F7177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0.028</w:t>
            </w:r>
          </w:p>
        </w:tc>
        <w:tc>
          <w:tcPr>
            <w:tcW w:w="1248" w:type="dxa"/>
            <w:noWrap/>
            <w:hideMark/>
          </w:tcPr>
          <w:p w14:paraId="574B645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-0.013</w:t>
            </w:r>
          </w:p>
        </w:tc>
        <w:tc>
          <w:tcPr>
            <w:tcW w:w="1248" w:type="dxa"/>
            <w:noWrap/>
            <w:hideMark/>
          </w:tcPr>
          <w:p w14:paraId="0254C44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r>
      <w:tr w:rsidR="00B54D51" w:rsidRPr="00037AD4" w14:paraId="2E983880" w14:textId="77777777" w:rsidTr="00401C67">
        <w:trPr>
          <w:trHeight w:val="320"/>
        </w:trPr>
        <w:tc>
          <w:tcPr>
            <w:tcW w:w="1481" w:type="dxa"/>
            <w:noWrap/>
            <w:hideMark/>
          </w:tcPr>
          <w:p w14:paraId="17F87D7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w:t>
            </w:r>
          </w:p>
        </w:tc>
        <w:tc>
          <w:tcPr>
            <w:tcW w:w="1752" w:type="dxa"/>
            <w:noWrap/>
            <w:hideMark/>
          </w:tcPr>
          <w:p w14:paraId="32F0F02B"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.002   </w:t>
            </w:r>
          </w:p>
        </w:tc>
        <w:tc>
          <w:tcPr>
            <w:tcW w:w="1127" w:type="dxa"/>
          </w:tcPr>
          <w:p w14:paraId="603A7EF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w:t>
            </w:r>
          </w:p>
        </w:tc>
        <w:tc>
          <w:tcPr>
            <w:tcW w:w="1080" w:type="dxa"/>
            <w:noWrap/>
            <w:hideMark/>
          </w:tcPr>
          <w:p w14:paraId="3F24D98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2.18</w:t>
            </w:r>
          </w:p>
        </w:tc>
        <w:tc>
          <w:tcPr>
            <w:tcW w:w="1080" w:type="dxa"/>
            <w:noWrap/>
            <w:hideMark/>
          </w:tcPr>
          <w:p w14:paraId="03B9D67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w:t>
            </w:r>
          </w:p>
        </w:tc>
        <w:tc>
          <w:tcPr>
            <w:tcW w:w="1248" w:type="dxa"/>
            <w:noWrap/>
            <w:hideMark/>
          </w:tcPr>
          <w:p w14:paraId="0B65D64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1248" w:type="dxa"/>
            <w:noWrap/>
            <w:hideMark/>
          </w:tcPr>
          <w:p w14:paraId="5CD9E7A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0.004</w:t>
            </w:r>
          </w:p>
        </w:tc>
      </w:tr>
      <w:tr w:rsidR="00B54D51" w:rsidRPr="00037AD4" w14:paraId="7B52F094" w14:textId="77777777" w:rsidTr="00401C67">
        <w:trPr>
          <w:trHeight w:val="320"/>
        </w:trPr>
        <w:tc>
          <w:tcPr>
            <w:tcW w:w="1481" w:type="dxa"/>
            <w:noWrap/>
            <w:hideMark/>
          </w:tcPr>
          <w:p w14:paraId="20BC49A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w:t>
            </w:r>
          </w:p>
        </w:tc>
        <w:tc>
          <w:tcPr>
            <w:tcW w:w="1752" w:type="dxa"/>
            <w:noWrap/>
            <w:hideMark/>
          </w:tcPr>
          <w:p w14:paraId="7261C276"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.003 </w:t>
            </w:r>
          </w:p>
        </w:tc>
        <w:tc>
          <w:tcPr>
            <w:tcW w:w="1127" w:type="dxa"/>
          </w:tcPr>
          <w:p w14:paraId="2B6E175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w:t>
            </w:r>
          </w:p>
        </w:tc>
        <w:tc>
          <w:tcPr>
            <w:tcW w:w="1080" w:type="dxa"/>
            <w:noWrap/>
            <w:hideMark/>
          </w:tcPr>
          <w:p w14:paraId="3981280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2.15</w:t>
            </w:r>
          </w:p>
        </w:tc>
        <w:tc>
          <w:tcPr>
            <w:tcW w:w="1080" w:type="dxa"/>
            <w:noWrap/>
            <w:hideMark/>
          </w:tcPr>
          <w:p w14:paraId="2AE8CDA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0.032</w:t>
            </w:r>
          </w:p>
        </w:tc>
        <w:tc>
          <w:tcPr>
            <w:tcW w:w="1248" w:type="dxa"/>
            <w:noWrap/>
            <w:hideMark/>
          </w:tcPr>
          <w:p w14:paraId="4026ACA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1248" w:type="dxa"/>
            <w:noWrap/>
            <w:hideMark/>
          </w:tcPr>
          <w:p w14:paraId="26BB525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0.006</w:t>
            </w:r>
          </w:p>
        </w:tc>
      </w:tr>
      <w:tr w:rsidR="00B54D51" w:rsidRPr="00037AD4" w14:paraId="1551EB4A" w14:textId="77777777" w:rsidTr="00401C67">
        <w:trPr>
          <w:trHeight w:val="320"/>
        </w:trPr>
        <w:tc>
          <w:tcPr>
            <w:tcW w:w="1481" w:type="dxa"/>
            <w:noWrap/>
            <w:hideMark/>
          </w:tcPr>
          <w:p w14:paraId="37E44C3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w:t>
            </w:r>
          </w:p>
        </w:tc>
        <w:tc>
          <w:tcPr>
            <w:tcW w:w="1752" w:type="dxa"/>
            <w:noWrap/>
            <w:hideMark/>
          </w:tcPr>
          <w:p w14:paraId="4C4C8391"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.001 </w:t>
            </w:r>
          </w:p>
        </w:tc>
        <w:tc>
          <w:tcPr>
            <w:tcW w:w="1127" w:type="dxa"/>
          </w:tcPr>
          <w:p w14:paraId="2E60244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w:t>
            </w:r>
          </w:p>
        </w:tc>
        <w:tc>
          <w:tcPr>
            <w:tcW w:w="1080" w:type="dxa"/>
            <w:noWrap/>
            <w:hideMark/>
          </w:tcPr>
          <w:p w14:paraId="395B652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2.07</w:t>
            </w:r>
          </w:p>
        </w:tc>
        <w:tc>
          <w:tcPr>
            <w:tcW w:w="1080" w:type="dxa"/>
            <w:noWrap/>
            <w:hideMark/>
          </w:tcPr>
          <w:p w14:paraId="02450C2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0.038</w:t>
            </w:r>
          </w:p>
        </w:tc>
        <w:tc>
          <w:tcPr>
            <w:tcW w:w="1248" w:type="dxa"/>
            <w:noWrap/>
            <w:hideMark/>
          </w:tcPr>
          <w:p w14:paraId="2DEED18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1248" w:type="dxa"/>
            <w:noWrap/>
            <w:hideMark/>
          </w:tcPr>
          <w:p w14:paraId="3DE856A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0.003</w:t>
            </w:r>
          </w:p>
        </w:tc>
      </w:tr>
      <w:tr w:rsidR="00B54D51" w:rsidRPr="00037AD4" w14:paraId="1B362F1A" w14:textId="77777777" w:rsidTr="00401C67">
        <w:trPr>
          <w:trHeight w:val="320"/>
        </w:trPr>
        <w:tc>
          <w:tcPr>
            <w:tcW w:w="1481" w:type="dxa"/>
            <w:noWrap/>
            <w:hideMark/>
          </w:tcPr>
          <w:p w14:paraId="02BC317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5</w:t>
            </w:r>
          </w:p>
        </w:tc>
        <w:tc>
          <w:tcPr>
            <w:tcW w:w="1752" w:type="dxa"/>
            <w:noWrap/>
            <w:hideMark/>
          </w:tcPr>
          <w:p w14:paraId="08C1F221"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.000  </w:t>
            </w:r>
          </w:p>
        </w:tc>
        <w:tc>
          <w:tcPr>
            <w:tcW w:w="1127" w:type="dxa"/>
          </w:tcPr>
          <w:p w14:paraId="13729E4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w:t>
            </w:r>
          </w:p>
        </w:tc>
        <w:tc>
          <w:tcPr>
            <w:tcW w:w="1080" w:type="dxa"/>
            <w:noWrap/>
            <w:hideMark/>
          </w:tcPr>
          <w:p w14:paraId="2F2FD74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1.71</w:t>
            </w:r>
          </w:p>
        </w:tc>
        <w:tc>
          <w:tcPr>
            <w:tcW w:w="1080" w:type="dxa"/>
            <w:noWrap/>
            <w:hideMark/>
          </w:tcPr>
          <w:p w14:paraId="59630EF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0.086</w:t>
            </w:r>
          </w:p>
        </w:tc>
        <w:tc>
          <w:tcPr>
            <w:tcW w:w="1248" w:type="dxa"/>
            <w:noWrap/>
            <w:hideMark/>
          </w:tcPr>
          <w:p w14:paraId="4842944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1248" w:type="dxa"/>
            <w:noWrap/>
            <w:hideMark/>
          </w:tcPr>
          <w:p w14:paraId="3D3E545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r>
      <w:tr w:rsidR="00B54D51" w:rsidRPr="00037AD4" w14:paraId="5721E19A" w14:textId="77777777" w:rsidTr="00401C67">
        <w:trPr>
          <w:trHeight w:val="320"/>
        </w:trPr>
        <w:tc>
          <w:tcPr>
            <w:tcW w:w="9016" w:type="dxa"/>
            <w:gridSpan w:val="7"/>
            <w:shd w:val="clear" w:color="auto" w:fill="F2F2F2" w:themeFill="background1" w:themeFillShade="F2"/>
            <w:noWrap/>
            <w:hideMark/>
          </w:tcPr>
          <w:p w14:paraId="08B9B358" w14:textId="77777777" w:rsidR="00B54D51" w:rsidRPr="00037AD4" w:rsidRDefault="00B54D51" w:rsidP="00401C67">
            <w:pPr>
              <w:rPr>
                <w:rFonts w:cstheme="minorHAnsi"/>
              </w:rPr>
            </w:pPr>
            <w:r w:rsidRPr="00037AD4">
              <w:rPr>
                <w:rFonts w:cstheme="minorHAnsi"/>
              </w:rPr>
              <w:t xml:space="preserve">Age of PwD, predict: </w:t>
            </w:r>
          </w:p>
        </w:tc>
      </w:tr>
      <w:tr w:rsidR="00B54D51" w:rsidRPr="00037AD4" w14:paraId="6CFF79F9" w14:textId="77777777" w:rsidTr="00401C67">
        <w:trPr>
          <w:trHeight w:val="320"/>
        </w:trPr>
        <w:tc>
          <w:tcPr>
            <w:tcW w:w="1481" w:type="dxa"/>
            <w:noWrap/>
            <w:hideMark/>
          </w:tcPr>
          <w:p w14:paraId="49D8B85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w:t>
            </w:r>
          </w:p>
        </w:tc>
        <w:tc>
          <w:tcPr>
            <w:tcW w:w="1752" w:type="dxa"/>
            <w:noWrap/>
            <w:hideMark/>
          </w:tcPr>
          <w:p w14:paraId="1A24FB49"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-.004 </w:t>
            </w:r>
          </w:p>
        </w:tc>
        <w:tc>
          <w:tcPr>
            <w:tcW w:w="1127" w:type="dxa"/>
          </w:tcPr>
          <w:p w14:paraId="17C8E7E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w:t>
            </w:r>
          </w:p>
        </w:tc>
        <w:tc>
          <w:tcPr>
            <w:tcW w:w="1080" w:type="dxa"/>
            <w:noWrap/>
            <w:hideMark/>
          </w:tcPr>
          <w:p w14:paraId="11754E3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-2.02</w:t>
            </w:r>
          </w:p>
        </w:tc>
        <w:tc>
          <w:tcPr>
            <w:tcW w:w="1080" w:type="dxa"/>
            <w:noWrap/>
            <w:hideMark/>
          </w:tcPr>
          <w:p w14:paraId="5C46E19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0.043</w:t>
            </w:r>
          </w:p>
        </w:tc>
        <w:tc>
          <w:tcPr>
            <w:tcW w:w="1248" w:type="dxa"/>
            <w:noWrap/>
            <w:hideMark/>
          </w:tcPr>
          <w:p w14:paraId="2648FB2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-0.008</w:t>
            </w:r>
          </w:p>
        </w:tc>
        <w:tc>
          <w:tcPr>
            <w:tcW w:w="1248" w:type="dxa"/>
            <w:noWrap/>
            <w:hideMark/>
          </w:tcPr>
          <w:p w14:paraId="58D7E1D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r>
      <w:tr w:rsidR="00B54D51" w:rsidRPr="00037AD4" w14:paraId="3369DA9F" w14:textId="77777777" w:rsidTr="00401C67">
        <w:trPr>
          <w:trHeight w:val="320"/>
        </w:trPr>
        <w:tc>
          <w:tcPr>
            <w:tcW w:w="1481" w:type="dxa"/>
            <w:noWrap/>
            <w:hideMark/>
          </w:tcPr>
          <w:p w14:paraId="1FF73E3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w:t>
            </w:r>
          </w:p>
        </w:tc>
        <w:tc>
          <w:tcPr>
            <w:tcW w:w="1752" w:type="dxa"/>
            <w:noWrap/>
            <w:hideMark/>
          </w:tcPr>
          <w:p w14:paraId="6B1BA2DE"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.001  </w:t>
            </w:r>
          </w:p>
        </w:tc>
        <w:tc>
          <w:tcPr>
            <w:tcW w:w="1127" w:type="dxa"/>
          </w:tcPr>
          <w:p w14:paraId="1E44106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w:t>
            </w:r>
          </w:p>
        </w:tc>
        <w:tc>
          <w:tcPr>
            <w:tcW w:w="1080" w:type="dxa"/>
            <w:noWrap/>
            <w:hideMark/>
          </w:tcPr>
          <w:p w14:paraId="34359BF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1.99</w:t>
            </w:r>
          </w:p>
        </w:tc>
        <w:tc>
          <w:tcPr>
            <w:tcW w:w="1080" w:type="dxa"/>
            <w:noWrap/>
            <w:hideMark/>
          </w:tcPr>
          <w:p w14:paraId="07ADA2E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0.047</w:t>
            </w:r>
          </w:p>
        </w:tc>
        <w:tc>
          <w:tcPr>
            <w:tcW w:w="1248" w:type="dxa"/>
            <w:noWrap/>
            <w:hideMark/>
          </w:tcPr>
          <w:p w14:paraId="2B4E828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1248" w:type="dxa"/>
            <w:noWrap/>
            <w:hideMark/>
          </w:tcPr>
          <w:p w14:paraId="7DF176D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0.002</w:t>
            </w:r>
          </w:p>
        </w:tc>
      </w:tr>
      <w:tr w:rsidR="00B54D51" w:rsidRPr="00037AD4" w14:paraId="73077D27" w14:textId="77777777" w:rsidTr="00401C67">
        <w:trPr>
          <w:trHeight w:val="320"/>
        </w:trPr>
        <w:tc>
          <w:tcPr>
            <w:tcW w:w="1481" w:type="dxa"/>
            <w:noWrap/>
            <w:hideMark/>
          </w:tcPr>
          <w:p w14:paraId="7EF4D39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w:t>
            </w:r>
          </w:p>
        </w:tc>
        <w:tc>
          <w:tcPr>
            <w:tcW w:w="1752" w:type="dxa"/>
            <w:noWrap/>
            <w:hideMark/>
          </w:tcPr>
          <w:p w14:paraId="1166FD50"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.002   </w:t>
            </w:r>
          </w:p>
        </w:tc>
        <w:tc>
          <w:tcPr>
            <w:tcW w:w="1127" w:type="dxa"/>
          </w:tcPr>
          <w:p w14:paraId="3710A06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w:t>
            </w:r>
          </w:p>
        </w:tc>
        <w:tc>
          <w:tcPr>
            <w:tcW w:w="1080" w:type="dxa"/>
            <w:noWrap/>
            <w:hideMark/>
          </w:tcPr>
          <w:p w14:paraId="13E788E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2.03</w:t>
            </w:r>
          </w:p>
        </w:tc>
        <w:tc>
          <w:tcPr>
            <w:tcW w:w="1080" w:type="dxa"/>
            <w:noWrap/>
            <w:hideMark/>
          </w:tcPr>
          <w:p w14:paraId="347C0A2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0.042</w:t>
            </w:r>
          </w:p>
        </w:tc>
        <w:tc>
          <w:tcPr>
            <w:tcW w:w="1248" w:type="dxa"/>
            <w:noWrap/>
            <w:hideMark/>
          </w:tcPr>
          <w:p w14:paraId="159EDDF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1248" w:type="dxa"/>
            <w:noWrap/>
            <w:hideMark/>
          </w:tcPr>
          <w:p w14:paraId="0AB5945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0.004</w:t>
            </w:r>
          </w:p>
        </w:tc>
      </w:tr>
      <w:tr w:rsidR="00B54D51" w:rsidRPr="00037AD4" w14:paraId="2CFA3193" w14:textId="77777777" w:rsidTr="00401C67">
        <w:trPr>
          <w:trHeight w:val="320"/>
        </w:trPr>
        <w:tc>
          <w:tcPr>
            <w:tcW w:w="1481" w:type="dxa"/>
            <w:noWrap/>
            <w:hideMark/>
          </w:tcPr>
          <w:p w14:paraId="015934F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w:t>
            </w:r>
          </w:p>
        </w:tc>
        <w:tc>
          <w:tcPr>
            <w:tcW w:w="1752" w:type="dxa"/>
            <w:noWrap/>
            <w:hideMark/>
          </w:tcPr>
          <w:p w14:paraId="565080BA" w14:textId="77777777" w:rsidR="00B54D51" w:rsidRPr="00037AD4" w:rsidRDefault="00B54D51" w:rsidP="00401C67">
            <w:pPr>
              <w:rPr>
                <w:rFonts w:ascii="Calibri" w:hAnsi="Calibri" w:cs="Calibri"/>
                <w:color w:val="000000"/>
              </w:rPr>
            </w:pPr>
            <w:r w:rsidRPr="00037AD4">
              <w:rPr>
                <w:rFonts w:ascii="Calibri" w:hAnsi="Calibri" w:cs="Calibri"/>
                <w:color w:val="000000"/>
              </w:rPr>
              <w:t>.001</w:t>
            </w:r>
          </w:p>
        </w:tc>
        <w:tc>
          <w:tcPr>
            <w:tcW w:w="1127" w:type="dxa"/>
          </w:tcPr>
          <w:p w14:paraId="6967397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w:t>
            </w:r>
          </w:p>
        </w:tc>
        <w:tc>
          <w:tcPr>
            <w:tcW w:w="1080" w:type="dxa"/>
            <w:noWrap/>
            <w:hideMark/>
          </w:tcPr>
          <w:p w14:paraId="38152E2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1.92</w:t>
            </w:r>
          </w:p>
        </w:tc>
        <w:tc>
          <w:tcPr>
            <w:tcW w:w="1080" w:type="dxa"/>
            <w:noWrap/>
            <w:hideMark/>
          </w:tcPr>
          <w:p w14:paraId="1F985B6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0.055</w:t>
            </w:r>
          </w:p>
        </w:tc>
        <w:tc>
          <w:tcPr>
            <w:tcW w:w="1248" w:type="dxa"/>
            <w:noWrap/>
            <w:hideMark/>
          </w:tcPr>
          <w:p w14:paraId="32F7FC2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1248" w:type="dxa"/>
            <w:noWrap/>
            <w:hideMark/>
          </w:tcPr>
          <w:p w14:paraId="6E9032C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0.002</w:t>
            </w:r>
          </w:p>
        </w:tc>
      </w:tr>
      <w:tr w:rsidR="00B54D51" w:rsidRPr="00037AD4" w14:paraId="05B6846B" w14:textId="77777777" w:rsidTr="00401C67">
        <w:trPr>
          <w:trHeight w:val="320"/>
        </w:trPr>
        <w:tc>
          <w:tcPr>
            <w:tcW w:w="1481" w:type="dxa"/>
            <w:noWrap/>
            <w:hideMark/>
          </w:tcPr>
          <w:p w14:paraId="154CB05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5</w:t>
            </w:r>
          </w:p>
        </w:tc>
        <w:tc>
          <w:tcPr>
            <w:tcW w:w="1752" w:type="dxa"/>
            <w:noWrap/>
            <w:hideMark/>
          </w:tcPr>
          <w:p w14:paraId="3A15CE93"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.000  </w:t>
            </w:r>
          </w:p>
        </w:tc>
        <w:tc>
          <w:tcPr>
            <w:tcW w:w="1127" w:type="dxa"/>
          </w:tcPr>
          <w:p w14:paraId="71A2B67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w:t>
            </w:r>
          </w:p>
        </w:tc>
        <w:tc>
          <w:tcPr>
            <w:tcW w:w="1080" w:type="dxa"/>
            <w:noWrap/>
            <w:hideMark/>
          </w:tcPr>
          <w:p w14:paraId="0A3FD87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1.45</w:t>
            </w:r>
          </w:p>
        </w:tc>
        <w:tc>
          <w:tcPr>
            <w:tcW w:w="1080" w:type="dxa"/>
            <w:noWrap/>
            <w:hideMark/>
          </w:tcPr>
          <w:p w14:paraId="4E610FA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0.147</w:t>
            </w:r>
          </w:p>
        </w:tc>
        <w:tc>
          <w:tcPr>
            <w:tcW w:w="1248" w:type="dxa"/>
            <w:noWrap/>
            <w:hideMark/>
          </w:tcPr>
          <w:p w14:paraId="7CA21DC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1248" w:type="dxa"/>
            <w:noWrap/>
            <w:hideMark/>
          </w:tcPr>
          <w:p w14:paraId="725D709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r>
      <w:tr w:rsidR="00B54D51" w:rsidRPr="00037AD4" w14:paraId="6F81E005" w14:textId="77777777" w:rsidTr="00401C67">
        <w:trPr>
          <w:trHeight w:val="320"/>
        </w:trPr>
        <w:tc>
          <w:tcPr>
            <w:tcW w:w="9016" w:type="dxa"/>
            <w:gridSpan w:val="7"/>
            <w:shd w:val="clear" w:color="auto" w:fill="F2F2F2" w:themeFill="background1" w:themeFillShade="F2"/>
            <w:noWrap/>
            <w:hideMark/>
          </w:tcPr>
          <w:p w14:paraId="4602ABB4" w14:textId="77777777" w:rsidR="00B54D51" w:rsidRPr="00037AD4" w:rsidRDefault="00B54D51" w:rsidP="00401C67">
            <w:pPr>
              <w:rPr>
                <w:sz w:val="20"/>
                <w:szCs w:val="20"/>
              </w:rPr>
            </w:pPr>
            <w:r w:rsidRPr="00037AD4">
              <w:rPr>
                <w:rFonts w:ascii="Calibri" w:hAnsi="Calibri" w:cs="Calibri"/>
                <w:color w:val="000000"/>
              </w:rPr>
              <w:t>PwD sex (base outcome = male)</w:t>
            </w:r>
          </w:p>
        </w:tc>
      </w:tr>
      <w:tr w:rsidR="00B54D51" w:rsidRPr="00037AD4" w14:paraId="06DFC8D8" w14:textId="77777777" w:rsidTr="00401C67">
        <w:trPr>
          <w:trHeight w:val="320"/>
        </w:trPr>
        <w:tc>
          <w:tcPr>
            <w:tcW w:w="9016" w:type="dxa"/>
            <w:gridSpan w:val="7"/>
            <w:shd w:val="clear" w:color="auto" w:fill="F2F2F2" w:themeFill="background1" w:themeFillShade="F2"/>
            <w:noWrap/>
            <w:hideMark/>
          </w:tcPr>
          <w:p w14:paraId="647C1288" w14:textId="77777777" w:rsidR="00B54D51" w:rsidRPr="00037AD4" w:rsidRDefault="00B54D51" w:rsidP="00401C67">
            <w:pPr>
              <w:rPr>
                <w:sz w:val="20"/>
                <w:szCs w:val="20"/>
              </w:rPr>
            </w:pPr>
            <w:r w:rsidRPr="00037AD4">
              <w:rPr>
                <w:rFonts w:ascii="Calibri" w:hAnsi="Calibri" w:cs="Calibri"/>
                <w:color w:val="000000"/>
              </w:rPr>
              <w:t xml:space="preserve">PwD sex, female predict: </w:t>
            </w:r>
          </w:p>
        </w:tc>
      </w:tr>
      <w:tr w:rsidR="00B54D51" w:rsidRPr="00037AD4" w14:paraId="49093DAA" w14:textId="77777777" w:rsidTr="00401C67">
        <w:trPr>
          <w:trHeight w:val="320"/>
        </w:trPr>
        <w:tc>
          <w:tcPr>
            <w:tcW w:w="1481" w:type="dxa"/>
            <w:noWrap/>
            <w:hideMark/>
          </w:tcPr>
          <w:p w14:paraId="5228CD5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lastRenderedPageBreak/>
              <w:t>1</w:t>
            </w:r>
          </w:p>
        </w:tc>
        <w:tc>
          <w:tcPr>
            <w:tcW w:w="1752" w:type="dxa"/>
            <w:noWrap/>
            <w:hideMark/>
          </w:tcPr>
          <w:p w14:paraId="025AC918"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-.006 </w:t>
            </w:r>
          </w:p>
        </w:tc>
        <w:tc>
          <w:tcPr>
            <w:tcW w:w="1127" w:type="dxa"/>
          </w:tcPr>
          <w:p w14:paraId="6FE1579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.033</w:t>
            </w:r>
          </w:p>
        </w:tc>
        <w:tc>
          <w:tcPr>
            <w:tcW w:w="1080" w:type="dxa"/>
            <w:noWrap/>
            <w:hideMark/>
          </w:tcPr>
          <w:p w14:paraId="32E911D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-0.17</w:t>
            </w:r>
          </w:p>
        </w:tc>
        <w:tc>
          <w:tcPr>
            <w:tcW w:w="1080" w:type="dxa"/>
            <w:noWrap/>
            <w:hideMark/>
          </w:tcPr>
          <w:p w14:paraId="325E76D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0.861</w:t>
            </w:r>
          </w:p>
        </w:tc>
        <w:tc>
          <w:tcPr>
            <w:tcW w:w="1248" w:type="dxa"/>
            <w:noWrap/>
            <w:hideMark/>
          </w:tcPr>
          <w:p w14:paraId="6D01FB1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-0.070</w:t>
            </w:r>
          </w:p>
        </w:tc>
        <w:tc>
          <w:tcPr>
            <w:tcW w:w="1248" w:type="dxa"/>
            <w:noWrap/>
            <w:hideMark/>
          </w:tcPr>
          <w:p w14:paraId="000B355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0.059</w:t>
            </w:r>
          </w:p>
        </w:tc>
      </w:tr>
      <w:tr w:rsidR="00B54D51" w:rsidRPr="00037AD4" w14:paraId="2A0D4B0A" w14:textId="77777777" w:rsidTr="00401C67">
        <w:trPr>
          <w:trHeight w:val="320"/>
        </w:trPr>
        <w:tc>
          <w:tcPr>
            <w:tcW w:w="1481" w:type="dxa"/>
            <w:noWrap/>
            <w:hideMark/>
          </w:tcPr>
          <w:p w14:paraId="028F896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w:t>
            </w:r>
          </w:p>
        </w:tc>
        <w:tc>
          <w:tcPr>
            <w:tcW w:w="1752" w:type="dxa"/>
            <w:noWrap/>
            <w:hideMark/>
          </w:tcPr>
          <w:p w14:paraId="579762C6"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.002   </w:t>
            </w:r>
          </w:p>
        </w:tc>
        <w:tc>
          <w:tcPr>
            <w:tcW w:w="1127" w:type="dxa"/>
          </w:tcPr>
          <w:p w14:paraId="65B539C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.010</w:t>
            </w:r>
          </w:p>
        </w:tc>
        <w:tc>
          <w:tcPr>
            <w:tcW w:w="1080" w:type="dxa"/>
            <w:noWrap/>
            <w:hideMark/>
          </w:tcPr>
          <w:p w14:paraId="7476245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0.17</w:t>
            </w:r>
          </w:p>
        </w:tc>
        <w:tc>
          <w:tcPr>
            <w:tcW w:w="1080" w:type="dxa"/>
            <w:noWrap/>
            <w:hideMark/>
          </w:tcPr>
          <w:p w14:paraId="735DEFE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0.862</w:t>
            </w:r>
          </w:p>
        </w:tc>
        <w:tc>
          <w:tcPr>
            <w:tcW w:w="1248" w:type="dxa"/>
            <w:noWrap/>
            <w:hideMark/>
          </w:tcPr>
          <w:p w14:paraId="75C9755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-0.017</w:t>
            </w:r>
          </w:p>
        </w:tc>
        <w:tc>
          <w:tcPr>
            <w:tcW w:w="1248" w:type="dxa"/>
            <w:noWrap/>
            <w:hideMark/>
          </w:tcPr>
          <w:p w14:paraId="4CA67CC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0.021</w:t>
            </w:r>
          </w:p>
        </w:tc>
      </w:tr>
      <w:tr w:rsidR="00B54D51" w:rsidRPr="00037AD4" w14:paraId="08CB9860" w14:textId="77777777" w:rsidTr="00401C67">
        <w:trPr>
          <w:trHeight w:val="320"/>
        </w:trPr>
        <w:tc>
          <w:tcPr>
            <w:tcW w:w="1481" w:type="dxa"/>
            <w:noWrap/>
            <w:hideMark/>
          </w:tcPr>
          <w:p w14:paraId="5B047E5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w:t>
            </w:r>
          </w:p>
        </w:tc>
        <w:tc>
          <w:tcPr>
            <w:tcW w:w="1752" w:type="dxa"/>
            <w:noWrap/>
            <w:hideMark/>
          </w:tcPr>
          <w:p w14:paraId="566EF8C3"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.003  </w:t>
            </w:r>
          </w:p>
        </w:tc>
        <w:tc>
          <w:tcPr>
            <w:tcW w:w="1127" w:type="dxa"/>
          </w:tcPr>
          <w:p w14:paraId="7A4A3D0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.015</w:t>
            </w:r>
          </w:p>
        </w:tc>
        <w:tc>
          <w:tcPr>
            <w:tcW w:w="1080" w:type="dxa"/>
            <w:noWrap/>
            <w:hideMark/>
          </w:tcPr>
          <w:p w14:paraId="0D14673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0.17</w:t>
            </w:r>
          </w:p>
        </w:tc>
        <w:tc>
          <w:tcPr>
            <w:tcW w:w="1080" w:type="dxa"/>
            <w:noWrap/>
            <w:hideMark/>
          </w:tcPr>
          <w:p w14:paraId="62C7DCC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0.862</w:t>
            </w:r>
          </w:p>
        </w:tc>
        <w:tc>
          <w:tcPr>
            <w:tcW w:w="1248" w:type="dxa"/>
            <w:noWrap/>
            <w:hideMark/>
          </w:tcPr>
          <w:p w14:paraId="286DA28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-0.027</w:t>
            </w:r>
          </w:p>
        </w:tc>
        <w:tc>
          <w:tcPr>
            <w:tcW w:w="1248" w:type="dxa"/>
            <w:noWrap/>
            <w:hideMark/>
          </w:tcPr>
          <w:p w14:paraId="1101B00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0.033</w:t>
            </w:r>
          </w:p>
        </w:tc>
      </w:tr>
      <w:tr w:rsidR="00B54D51" w:rsidRPr="00037AD4" w14:paraId="64104AA2" w14:textId="77777777" w:rsidTr="00401C67">
        <w:trPr>
          <w:trHeight w:val="320"/>
        </w:trPr>
        <w:tc>
          <w:tcPr>
            <w:tcW w:w="1481" w:type="dxa"/>
            <w:noWrap/>
            <w:hideMark/>
          </w:tcPr>
          <w:p w14:paraId="05A1507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w:t>
            </w:r>
          </w:p>
        </w:tc>
        <w:tc>
          <w:tcPr>
            <w:tcW w:w="1752" w:type="dxa"/>
            <w:noWrap/>
            <w:hideMark/>
          </w:tcPr>
          <w:p w14:paraId="189820C0"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.001 </w:t>
            </w:r>
          </w:p>
        </w:tc>
        <w:tc>
          <w:tcPr>
            <w:tcW w:w="1127" w:type="dxa"/>
          </w:tcPr>
          <w:p w14:paraId="1F2D187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.006</w:t>
            </w:r>
          </w:p>
        </w:tc>
        <w:tc>
          <w:tcPr>
            <w:tcW w:w="1080" w:type="dxa"/>
            <w:noWrap/>
            <w:hideMark/>
          </w:tcPr>
          <w:p w14:paraId="2010D90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0.18</w:t>
            </w:r>
          </w:p>
        </w:tc>
        <w:tc>
          <w:tcPr>
            <w:tcW w:w="1080" w:type="dxa"/>
            <w:noWrap/>
            <w:hideMark/>
          </w:tcPr>
          <w:p w14:paraId="41630A8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0.861</w:t>
            </w:r>
          </w:p>
        </w:tc>
        <w:tc>
          <w:tcPr>
            <w:tcW w:w="1248" w:type="dxa"/>
            <w:noWrap/>
            <w:hideMark/>
          </w:tcPr>
          <w:p w14:paraId="0F96E7B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-0.012</w:t>
            </w:r>
          </w:p>
        </w:tc>
        <w:tc>
          <w:tcPr>
            <w:tcW w:w="1248" w:type="dxa"/>
            <w:noWrap/>
            <w:hideMark/>
          </w:tcPr>
          <w:p w14:paraId="2B43D35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0.014</w:t>
            </w:r>
          </w:p>
        </w:tc>
      </w:tr>
      <w:tr w:rsidR="00B54D51" w:rsidRPr="00037AD4" w14:paraId="030D7D8E" w14:textId="77777777" w:rsidTr="00401C67">
        <w:trPr>
          <w:trHeight w:val="320"/>
        </w:trPr>
        <w:tc>
          <w:tcPr>
            <w:tcW w:w="1481" w:type="dxa"/>
            <w:noWrap/>
            <w:hideMark/>
          </w:tcPr>
          <w:p w14:paraId="600C1D5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5</w:t>
            </w:r>
          </w:p>
        </w:tc>
        <w:tc>
          <w:tcPr>
            <w:tcW w:w="1752" w:type="dxa"/>
            <w:noWrap/>
            <w:hideMark/>
          </w:tcPr>
          <w:p w14:paraId="4BCF63EF"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.000  </w:t>
            </w:r>
          </w:p>
        </w:tc>
        <w:tc>
          <w:tcPr>
            <w:tcW w:w="1127" w:type="dxa"/>
          </w:tcPr>
          <w:p w14:paraId="6E3997E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w:t>
            </w:r>
          </w:p>
        </w:tc>
        <w:tc>
          <w:tcPr>
            <w:tcW w:w="1080" w:type="dxa"/>
            <w:noWrap/>
            <w:hideMark/>
          </w:tcPr>
          <w:p w14:paraId="3286193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0.18</w:t>
            </w:r>
          </w:p>
        </w:tc>
        <w:tc>
          <w:tcPr>
            <w:tcW w:w="1080" w:type="dxa"/>
            <w:noWrap/>
            <w:hideMark/>
          </w:tcPr>
          <w:p w14:paraId="5D83379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0.861</w:t>
            </w:r>
          </w:p>
        </w:tc>
        <w:tc>
          <w:tcPr>
            <w:tcW w:w="1248" w:type="dxa"/>
            <w:noWrap/>
            <w:hideMark/>
          </w:tcPr>
          <w:p w14:paraId="0DF7799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-0.003</w:t>
            </w:r>
          </w:p>
        </w:tc>
        <w:tc>
          <w:tcPr>
            <w:tcW w:w="1248" w:type="dxa"/>
            <w:noWrap/>
            <w:hideMark/>
          </w:tcPr>
          <w:p w14:paraId="69FF528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0.003</w:t>
            </w:r>
          </w:p>
        </w:tc>
      </w:tr>
    </w:tbl>
    <w:p w14:paraId="1E98165A" w14:textId="77777777" w:rsidR="00B54D51" w:rsidRPr="00037AD4" w:rsidRDefault="00B54D51" w:rsidP="001D7ACE">
      <w:pPr>
        <w:rPr>
          <w:u w:val="single"/>
        </w:rPr>
      </w:pPr>
    </w:p>
    <w:p w14:paraId="4B9E45A0" w14:textId="77777777" w:rsidR="00B54D51" w:rsidRPr="00037AD4" w:rsidRDefault="00B54D51" w:rsidP="001D7ACE">
      <w:pPr>
        <w:rPr>
          <w:rFonts w:asciiTheme="minorHAnsi" w:hAnsiTheme="minorHAnsi" w:cstheme="minorHAnsi"/>
          <w:color w:val="000000" w:themeColor="text1"/>
          <w:u w:val="single"/>
        </w:rPr>
      </w:pPr>
      <w:r w:rsidRPr="00037AD4">
        <w:rPr>
          <w:rFonts w:asciiTheme="minorHAnsi" w:hAnsiTheme="minorHAnsi" w:cstheme="minorHAnsi"/>
          <w:color w:val="000000" w:themeColor="text1"/>
          <w:u w:val="single"/>
        </w:rPr>
        <w:t xml:space="preserve">Table A6.3n, “Pain/discomfort” predictive margins for ACTIFCARE data </w:t>
      </w:r>
    </w:p>
    <w:p w14:paraId="11E1D72E" w14:textId="77777777" w:rsidR="00B54D51" w:rsidRPr="00037AD4" w:rsidRDefault="00B54D51" w:rsidP="001D7ACE">
      <w:pPr>
        <w:rPr>
          <w:b/>
          <w:bCs/>
          <w:color w:val="FF0000"/>
        </w:rPr>
      </w:pPr>
    </w:p>
    <w:tbl>
      <w:tblPr>
        <w:tblStyle w:val="TableGrid"/>
        <w:tblW w:w="5107" w:type="pct"/>
        <w:tblLayout w:type="fixed"/>
        <w:tblLook w:val="04A0" w:firstRow="1" w:lastRow="0" w:firstColumn="1" w:lastColumn="0" w:noHBand="0" w:noVBand="1"/>
      </w:tblPr>
      <w:tblGrid>
        <w:gridCol w:w="2830"/>
        <w:gridCol w:w="1276"/>
        <w:gridCol w:w="895"/>
        <w:gridCol w:w="947"/>
        <w:gridCol w:w="993"/>
        <w:gridCol w:w="993"/>
        <w:gridCol w:w="1275"/>
      </w:tblGrid>
      <w:tr w:rsidR="00B54D51" w:rsidRPr="00037AD4" w14:paraId="466600F7" w14:textId="77777777" w:rsidTr="00401C67">
        <w:trPr>
          <w:trHeight w:val="320"/>
        </w:trPr>
        <w:tc>
          <w:tcPr>
            <w:tcW w:w="1537" w:type="pct"/>
            <w:noWrap/>
            <w:hideMark/>
          </w:tcPr>
          <w:p w14:paraId="2008C133" w14:textId="77777777" w:rsidR="00B54D51" w:rsidRPr="00037AD4" w:rsidRDefault="00B54D51" w:rsidP="00401C67">
            <w:pPr>
              <w:rPr>
                <w:rFonts w:ascii="Calibri" w:hAnsi="Calibri" w:cs="Calibri"/>
                <w:b/>
                <w:bCs/>
                <w:color w:val="000000"/>
              </w:rPr>
            </w:pPr>
          </w:p>
        </w:tc>
        <w:tc>
          <w:tcPr>
            <w:tcW w:w="693" w:type="pct"/>
            <w:noWrap/>
            <w:hideMark/>
          </w:tcPr>
          <w:p w14:paraId="0AE891EE" w14:textId="77777777" w:rsidR="00B54D51" w:rsidRPr="00037AD4" w:rsidRDefault="00B54D51" w:rsidP="00401C67">
            <w:pPr>
              <w:rPr>
                <w:rFonts w:ascii="Calibri" w:hAnsi="Calibri" w:cs="Calibri"/>
                <w:color w:val="000000"/>
              </w:rPr>
            </w:pPr>
            <w:r w:rsidRPr="00037AD4">
              <w:rPr>
                <w:rFonts w:ascii="Calibri" w:hAnsi="Calibri" w:cs="Calibri"/>
                <w:color w:val="000000"/>
              </w:rPr>
              <w:t>Predictive Margins</w:t>
            </w:r>
          </w:p>
        </w:tc>
        <w:tc>
          <w:tcPr>
            <w:tcW w:w="486" w:type="pct"/>
            <w:noWrap/>
            <w:hideMark/>
          </w:tcPr>
          <w:p w14:paraId="1733071E" w14:textId="77777777" w:rsidR="00B54D51" w:rsidRPr="00037AD4" w:rsidRDefault="00B54D51" w:rsidP="00401C67">
            <w:pPr>
              <w:rPr>
                <w:rFonts w:ascii="Calibri" w:hAnsi="Calibri" w:cs="Calibri"/>
                <w:color w:val="000000"/>
              </w:rPr>
            </w:pPr>
            <w:r w:rsidRPr="00037AD4">
              <w:rPr>
                <w:rFonts w:ascii="Calibri" w:hAnsi="Calibri" w:cs="Calibri"/>
                <w:color w:val="000000"/>
              </w:rPr>
              <w:t>SE</w:t>
            </w:r>
          </w:p>
        </w:tc>
        <w:tc>
          <w:tcPr>
            <w:tcW w:w="514" w:type="pct"/>
            <w:noWrap/>
            <w:hideMark/>
          </w:tcPr>
          <w:p w14:paraId="1BA4D175" w14:textId="77777777" w:rsidR="00B54D51" w:rsidRPr="00037AD4" w:rsidRDefault="00B54D51" w:rsidP="00401C67">
            <w:pPr>
              <w:rPr>
                <w:rFonts w:ascii="Calibri" w:hAnsi="Calibri" w:cs="Calibri"/>
                <w:color w:val="000000"/>
              </w:rPr>
            </w:pPr>
            <w:r w:rsidRPr="00037AD4">
              <w:rPr>
                <w:rFonts w:ascii="Calibri" w:hAnsi="Calibri" w:cs="Calibri"/>
                <w:color w:val="000000"/>
              </w:rPr>
              <w:t>z</w:t>
            </w:r>
          </w:p>
        </w:tc>
        <w:tc>
          <w:tcPr>
            <w:tcW w:w="539" w:type="pct"/>
            <w:noWrap/>
            <w:hideMark/>
          </w:tcPr>
          <w:p w14:paraId="1D043AE4" w14:textId="77777777" w:rsidR="00B54D51" w:rsidRPr="00037AD4" w:rsidRDefault="00B54D51" w:rsidP="00401C67">
            <w:pPr>
              <w:rPr>
                <w:rFonts w:ascii="Calibri" w:hAnsi="Calibri" w:cs="Calibri"/>
                <w:color w:val="000000"/>
              </w:rPr>
            </w:pPr>
            <w:r w:rsidRPr="00037AD4">
              <w:rPr>
                <w:rFonts w:ascii="Calibri" w:hAnsi="Calibri" w:cs="Calibri"/>
                <w:color w:val="000000"/>
              </w:rPr>
              <w:t>P&gt;z</w:t>
            </w:r>
          </w:p>
        </w:tc>
        <w:tc>
          <w:tcPr>
            <w:tcW w:w="1231" w:type="pct"/>
            <w:gridSpan w:val="2"/>
            <w:noWrap/>
            <w:hideMark/>
          </w:tcPr>
          <w:p w14:paraId="4653F7F2" w14:textId="77777777" w:rsidR="00B54D51" w:rsidRPr="00037AD4" w:rsidRDefault="00B54D51" w:rsidP="00401C67">
            <w:pPr>
              <w:rPr>
                <w:rFonts w:ascii="Calibri" w:hAnsi="Calibri" w:cs="Calibri"/>
                <w:color w:val="000000"/>
              </w:rPr>
            </w:pPr>
            <w:r w:rsidRPr="00037AD4">
              <w:rPr>
                <w:rFonts w:ascii="Calibri" w:hAnsi="Calibri" w:cs="Calibri"/>
                <w:color w:val="000000"/>
              </w:rPr>
              <w:t>[95% conf.</w:t>
            </w:r>
          </w:p>
          <w:p w14:paraId="1E5BE4D2" w14:textId="77777777" w:rsidR="00B54D51" w:rsidRPr="00037AD4" w:rsidRDefault="00B54D51" w:rsidP="00401C67">
            <w:pPr>
              <w:rPr>
                <w:rFonts w:ascii="Calibri" w:hAnsi="Calibri" w:cs="Calibri"/>
                <w:color w:val="000000"/>
              </w:rPr>
            </w:pPr>
            <w:r w:rsidRPr="00037AD4">
              <w:rPr>
                <w:rFonts w:ascii="Calibri" w:hAnsi="Calibri" w:cs="Calibri"/>
                <w:color w:val="000000"/>
              </w:rPr>
              <w:t>interval]</w:t>
            </w:r>
          </w:p>
        </w:tc>
      </w:tr>
      <w:tr w:rsidR="00B54D51" w:rsidRPr="00037AD4" w14:paraId="7560B003" w14:textId="77777777" w:rsidTr="00401C67">
        <w:trPr>
          <w:trHeight w:val="320"/>
        </w:trPr>
        <w:tc>
          <w:tcPr>
            <w:tcW w:w="5000" w:type="pct"/>
            <w:gridSpan w:val="7"/>
            <w:shd w:val="clear" w:color="auto" w:fill="E7E6E6" w:themeFill="background2"/>
            <w:noWrap/>
          </w:tcPr>
          <w:p w14:paraId="523FD1CE"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Predicted Probability of PwD “pain/discomfort” by proxy “Anxiety/depression” Level Reports </w:t>
            </w:r>
          </w:p>
        </w:tc>
      </w:tr>
      <w:tr w:rsidR="00B54D51" w:rsidRPr="00037AD4" w14:paraId="480F6F9E" w14:textId="77777777" w:rsidTr="00401C67">
        <w:trPr>
          <w:trHeight w:val="320"/>
        </w:trPr>
        <w:tc>
          <w:tcPr>
            <w:tcW w:w="5000" w:type="pct"/>
            <w:gridSpan w:val="7"/>
            <w:shd w:val="clear" w:color="auto" w:fill="E7E6E6" w:themeFill="background2"/>
            <w:noWrap/>
          </w:tcPr>
          <w:p w14:paraId="194D5DAD" w14:textId="77777777" w:rsidR="00B54D51" w:rsidRPr="00037AD4" w:rsidRDefault="00B54D51" w:rsidP="00401C67">
            <w:pPr>
              <w:rPr>
                <w:rFonts w:ascii="Calibri" w:hAnsi="Calibri" w:cs="Calibri"/>
                <w:color w:val="000000"/>
              </w:rPr>
            </w:pPr>
            <w:r w:rsidRPr="00037AD4">
              <w:rPr>
                <w:rFonts w:cstheme="minorHAnsi"/>
              </w:rPr>
              <w:t>Predicted PwD: level one</w:t>
            </w:r>
          </w:p>
        </w:tc>
      </w:tr>
      <w:tr w:rsidR="00B54D51" w:rsidRPr="00037AD4" w14:paraId="467D4492" w14:textId="77777777" w:rsidTr="00401C67">
        <w:trPr>
          <w:trHeight w:val="320"/>
        </w:trPr>
        <w:tc>
          <w:tcPr>
            <w:tcW w:w="1537" w:type="pct"/>
            <w:noWrap/>
            <w:hideMark/>
          </w:tcPr>
          <w:p w14:paraId="1339DBF7" w14:textId="77777777" w:rsidR="00B54D51" w:rsidRPr="00037AD4" w:rsidRDefault="00B54D51" w:rsidP="00401C67">
            <w:pPr>
              <w:rPr>
                <w:rFonts w:ascii="Calibri" w:hAnsi="Calibri" w:cs="Calibri"/>
                <w:color w:val="000000"/>
              </w:rPr>
            </w:pPr>
            <w:r w:rsidRPr="00037AD4">
              <w:rPr>
                <w:rFonts w:cstheme="minorHAnsi"/>
              </w:rPr>
              <w:t xml:space="preserve">From level one proxy  </w:t>
            </w:r>
          </w:p>
        </w:tc>
        <w:tc>
          <w:tcPr>
            <w:tcW w:w="693" w:type="pct"/>
            <w:noWrap/>
            <w:hideMark/>
          </w:tcPr>
          <w:p w14:paraId="2DB844D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0.764</w:t>
            </w:r>
          </w:p>
        </w:tc>
        <w:tc>
          <w:tcPr>
            <w:tcW w:w="486" w:type="pct"/>
            <w:noWrap/>
            <w:hideMark/>
          </w:tcPr>
          <w:p w14:paraId="1136734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0.022</w:t>
            </w:r>
          </w:p>
        </w:tc>
        <w:tc>
          <w:tcPr>
            <w:tcW w:w="514" w:type="pct"/>
            <w:noWrap/>
            <w:hideMark/>
          </w:tcPr>
          <w:p w14:paraId="70F05B7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33.950</w:t>
            </w:r>
          </w:p>
        </w:tc>
        <w:tc>
          <w:tcPr>
            <w:tcW w:w="539" w:type="pct"/>
            <w:noWrap/>
            <w:hideMark/>
          </w:tcPr>
          <w:p w14:paraId="4FF15EF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539" w:type="pct"/>
            <w:noWrap/>
            <w:hideMark/>
          </w:tcPr>
          <w:p w14:paraId="79D5CE7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0.720</w:t>
            </w:r>
          </w:p>
        </w:tc>
        <w:tc>
          <w:tcPr>
            <w:tcW w:w="692" w:type="pct"/>
            <w:noWrap/>
            <w:hideMark/>
          </w:tcPr>
          <w:p w14:paraId="1A5EEB8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0.808</w:t>
            </w:r>
          </w:p>
        </w:tc>
      </w:tr>
      <w:tr w:rsidR="00B54D51" w:rsidRPr="00037AD4" w14:paraId="6344F826" w14:textId="77777777" w:rsidTr="00401C67">
        <w:trPr>
          <w:trHeight w:val="320"/>
        </w:trPr>
        <w:tc>
          <w:tcPr>
            <w:tcW w:w="1537" w:type="pct"/>
            <w:noWrap/>
            <w:hideMark/>
          </w:tcPr>
          <w:p w14:paraId="4EBC8249" w14:textId="77777777" w:rsidR="00B54D51" w:rsidRPr="00037AD4" w:rsidRDefault="00B54D51" w:rsidP="00401C67">
            <w:pPr>
              <w:rPr>
                <w:rFonts w:ascii="Calibri" w:hAnsi="Calibri" w:cs="Calibri"/>
                <w:color w:val="000000"/>
              </w:rPr>
            </w:pPr>
            <w:r w:rsidRPr="00037AD4">
              <w:rPr>
                <w:rFonts w:cstheme="minorHAnsi"/>
              </w:rPr>
              <w:t xml:space="preserve">From level two proxy  </w:t>
            </w:r>
          </w:p>
        </w:tc>
        <w:tc>
          <w:tcPr>
            <w:tcW w:w="693" w:type="pct"/>
            <w:noWrap/>
            <w:hideMark/>
          </w:tcPr>
          <w:p w14:paraId="30DEFDE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0.551</w:t>
            </w:r>
          </w:p>
        </w:tc>
        <w:tc>
          <w:tcPr>
            <w:tcW w:w="486" w:type="pct"/>
            <w:noWrap/>
            <w:hideMark/>
          </w:tcPr>
          <w:p w14:paraId="75BFDA3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0.028</w:t>
            </w:r>
          </w:p>
        </w:tc>
        <w:tc>
          <w:tcPr>
            <w:tcW w:w="514" w:type="pct"/>
            <w:noWrap/>
            <w:hideMark/>
          </w:tcPr>
          <w:p w14:paraId="5C23528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19.900</w:t>
            </w:r>
          </w:p>
        </w:tc>
        <w:tc>
          <w:tcPr>
            <w:tcW w:w="539" w:type="pct"/>
            <w:noWrap/>
            <w:hideMark/>
          </w:tcPr>
          <w:p w14:paraId="5221400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539" w:type="pct"/>
            <w:noWrap/>
            <w:hideMark/>
          </w:tcPr>
          <w:p w14:paraId="60A267F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0.497</w:t>
            </w:r>
          </w:p>
        </w:tc>
        <w:tc>
          <w:tcPr>
            <w:tcW w:w="692" w:type="pct"/>
            <w:noWrap/>
            <w:hideMark/>
          </w:tcPr>
          <w:p w14:paraId="517A7E1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0.606</w:t>
            </w:r>
          </w:p>
        </w:tc>
      </w:tr>
      <w:tr w:rsidR="00B54D51" w:rsidRPr="00037AD4" w14:paraId="3E45477B" w14:textId="77777777" w:rsidTr="00401C67">
        <w:trPr>
          <w:trHeight w:val="320"/>
        </w:trPr>
        <w:tc>
          <w:tcPr>
            <w:tcW w:w="1537" w:type="pct"/>
            <w:noWrap/>
            <w:hideMark/>
          </w:tcPr>
          <w:p w14:paraId="67F0ACEF" w14:textId="77777777" w:rsidR="00B54D51" w:rsidRPr="00037AD4" w:rsidRDefault="00B54D51" w:rsidP="00401C67">
            <w:pPr>
              <w:rPr>
                <w:rFonts w:ascii="Calibri" w:hAnsi="Calibri" w:cs="Calibri"/>
                <w:color w:val="000000"/>
              </w:rPr>
            </w:pPr>
            <w:r w:rsidRPr="00037AD4">
              <w:rPr>
                <w:rFonts w:cstheme="minorHAnsi"/>
              </w:rPr>
              <w:t xml:space="preserve">From level three proxy  </w:t>
            </w:r>
          </w:p>
        </w:tc>
        <w:tc>
          <w:tcPr>
            <w:tcW w:w="693" w:type="pct"/>
            <w:noWrap/>
            <w:hideMark/>
          </w:tcPr>
          <w:p w14:paraId="1727329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0.385</w:t>
            </w:r>
          </w:p>
        </w:tc>
        <w:tc>
          <w:tcPr>
            <w:tcW w:w="486" w:type="pct"/>
            <w:noWrap/>
            <w:hideMark/>
          </w:tcPr>
          <w:p w14:paraId="55CC24D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0.031</w:t>
            </w:r>
          </w:p>
        </w:tc>
        <w:tc>
          <w:tcPr>
            <w:tcW w:w="514" w:type="pct"/>
            <w:noWrap/>
            <w:hideMark/>
          </w:tcPr>
          <w:p w14:paraId="13AF2EF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12.470</w:t>
            </w:r>
          </w:p>
        </w:tc>
        <w:tc>
          <w:tcPr>
            <w:tcW w:w="539" w:type="pct"/>
            <w:noWrap/>
            <w:hideMark/>
          </w:tcPr>
          <w:p w14:paraId="42A99D2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539" w:type="pct"/>
            <w:noWrap/>
            <w:hideMark/>
          </w:tcPr>
          <w:p w14:paraId="7FFF092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0.324</w:t>
            </w:r>
          </w:p>
        </w:tc>
        <w:tc>
          <w:tcPr>
            <w:tcW w:w="692" w:type="pct"/>
            <w:noWrap/>
            <w:hideMark/>
          </w:tcPr>
          <w:p w14:paraId="760F268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0.445</w:t>
            </w:r>
          </w:p>
        </w:tc>
      </w:tr>
      <w:tr w:rsidR="00B54D51" w:rsidRPr="00037AD4" w14:paraId="2E9FAF45" w14:textId="77777777" w:rsidTr="00401C67">
        <w:trPr>
          <w:trHeight w:val="320"/>
        </w:trPr>
        <w:tc>
          <w:tcPr>
            <w:tcW w:w="1537" w:type="pct"/>
            <w:noWrap/>
            <w:hideMark/>
          </w:tcPr>
          <w:p w14:paraId="02D41613" w14:textId="77777777" w:rsidR="00B54D51" w:rsidRPr="00037AD4" w:rsidRDefault="00B54D51" w:rsidP="00401C67">
            <w:pPr>
              <w:rPr>
                <w:rFonts w:ascii="Calibri" w:hAnsi="Calibri" w:cs="Calibri"/>
                <w:color w:val="000000"/>
              </w:rPr>
            </w:pPr>
            <w:r w:rsidRPr="00037AD4">
              <w:rPr>
                <w:rFonts w:cstheme="minorHAnsi"/>
              </w:rPr>
              <w:t xml:space="preserve">From level four proxy  </w:t>
            </w:r>
          </w:p>
        </w:tc>
        <w:tc>
          <w:tcPr>
            <w:tcW w:w="693" w:type="pct"/>
            <w:noWrap/>
            <w:hideMark/>
          </w:tcPr>
          <w:p w14:paraId="1D5F88F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0.247</w:t>
            </w:r>
          </w:p>
        </w:tc>
        <w:tc>
          <w:tcPr>
            <w:tcW w:w="486" w:type="pct"/>
            <w:noWrap/>
            <w:hideMark/>
          </w:tcPr>
          <w:p w14:paraId="7515DF5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0.048</w:t>
            </w:r>
          </w:p>
        </w:tc>
        <w:tc>
          <w:tcPr>
            <w:tcW w:w="514" w:type="pct"/>
            <w:noWrap/>
            <w:hideMark/>
          </w:tcPr>
          <w:p w14:paraId="63270B1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5.210</w:t>
            </w:r>
          </w:p>
        </w:tc>
        <w:tc>
          <w:tcPr>
            <w:tcW w:w="539" w:type="pct"/>
            <w:noWrap/>
            <w:hideMark/>
          </w:tcPr>
          <w:p w14:paraId="6BE23C0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539" w:type="pct"/>
            <w:noWrap/>
            <w:hideMark/>
          </w:tcPr>
          <w:p w14:paraId="61252F2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0.154</w:t>
            </w:r>
          </w:p>
        </w:tc>
        <w:tc>
          <w:tcPr>
            <w:tcW w:w="692" w:type="pct"/>
            <w:noWrap/>
            <w:hideMark/>
          </w:tcPr>
          <w:p w14:paraId="6A8FEDB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0.341</w:t>
            </w:r>
          </w:p>
        </w:tc>
      </w:tr>
      <w:tr w:rsidR="00B54D51" w:rsidRPr="00037AD4" w14:paraId="5C0A6885" w14:textId="77777777" w:rsidTr="00401C67">
        <w:trPr>
          <w:trHeight w:val="320"/>
        </w:trPr>
        <w:tc>
          <w:tcPr>
            <w:tcW w:w="1537" w:type="pct"/>
            <w:noWrap/>
            <w:hideMark/>
          </w:tcPr>
          <w:p w14:paraId="3F13B478" w14:textId="77777777" w:rsidR="00B54D51" w:rsidRPr="00037AD4" w:rsidRDefault="00B54D51" w:rsidP="00401C67">
            <w:pPr>
              <w:rPr>
                <w:rFonts w:ascii="Calibri" w:hAnsi="Calibri" w:cs="Calibri"/>
                <w:color w:val="000000"/>
              </w:rPr>
            </w:pPr>
            <w:r w:rsidRPr="00037AD4">
              <w:rPr>
                <w:rFonts w:cstheme="minorHAnsi"/>
              </w:rPr>
              <w:t xml:space="preserve">From level five proxy  </w:t>
            </w:r>
          </w:p>
        </w:tc>
        <w:tc>
          <w:tcPr>
            <w:tcW w:w="693" w:type="pct"/>
            <w:noWrap/>
            <w:hideMark/>
          </w:tcPr>
          <w:p w14:paraId="71FF479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0.091</w:t>
            </w:r>
          </w:p>
        </w:tc>
        <w:tc>
          <w:tcPr>
            <w:tcW w:w="486" w:type="pct"/>
            <w:noWrap/>
            <w:hideMark/>
          </w:tcPr>
          <w:p w14:paraId="696A708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0.071</w:t>
            </w:r>
          </w:p>
        </w:tc>
        <w:tc>
          <w:tcPr>
            <w:tcW w:w="514" w:type="pct"/>
            <w:noWrap/>
            <w:hideMark/>
          </w:tcPr>
          <w:p w14:paraId="336CC57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1.280</w:t>
            </w:r>
          </w:p>
        </w:tc>
        <w:tc>
          <w:tcPr>
            <w:tcW w:w="539" w:type="pct"/>
            <w:noWrap/>
            <w:hideMark/>
          </w:tcPr>
          <w:p w14:paraId="6EDF28F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0.200</w:t>
            </w:r>
          </w:p>
        </w:tc>
        <w:tc>
          <w:tcPr>
            <w:tcW w:w="539" w:type="pct"/>
            <w:noWrap/>
            <w:hideMark/>
          </w:tcPr>
          <w:p w14:paraId="023345F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-0.048</w:t>
            </w:r>
          </w:p>
        </w:tc>
        <w:tc>
          <w:tcPr>
            <w:tcW w:w="692" w:type="pct"/>
            <w:noWrap/>
            <w:hideMark/>
          </w:tcPr>
          <w:p w14:paraId="040F5A5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0.231</w:t>
            </w:r>
          </w:p>
        </w:tc>
      </w:tr>
      <w:tr w:rsidR="00B54D51" w:rsidRPr="00037AD4" w14:paraId="5F035FAA" w14:textId="77777777" w:rsidTr="00401C67">
        <w:trPr>
          <w:trHeight w:val="320"/>
        </w:trPr>
        <w:tc>
          <w:tcPr>
            <w:tcW w:w="5000" w:type="pct"/>
            <w:gridSpan w:val="7"/>
            <w:shd w:val="clear" w:color="auto" w:fill="E7E6E6" w:themeFill="background2"/>
            <w:noWrap/>
          </w:tcPr>
          <w:p w14:paraId="165892C5" w14:textId="77777777" w:rsidR="00B54D51" w:rsidRPr="00037AD4" w:rsidRDefault="00B54D51" w:rsidP="00401C67">
            <w:pPr>
              <w:rPr>
                <w:rFonts w:ascii="Calibri" w:hAnsi="Calibri" w:cs="Calibri"/>
                <w:color w:val="000000"/>
              </w:rPr>
            </w:pPr>
            <w:r w:rsidRPr="00037AD4">
              <w:rPr>
                <w:rFonts w:cstheme="minorHAnsi"/>
              </w:rPr>
              <w:t>Predicted PwD: level two</w:t>
            </w:r>
          </w:p>
        </w:tc>
      </w:tr>
      <w:tr w:rsidR="00B54D51" w:rsidRPr="00037AD4" w14:paraId="71676D50" w14:textId="77777777" w:rsidTr="00401C67">
        <w:trPr>
          <w:trHeight w:val="320"/>
        </w:trPr>
        <w:tc>
          <w:tcPr>
            <w:tcW w:w="1537" w:type="pct"/>
            <w:noWrap/>
            <w:hideMark/>
          </w:tcPr>
          <w:p w14:paraId="1F79DD45" w14:textId="77777777" w:rsidR="00B54D51" w:rsidRPr="00037AD4" w:rsidRDefault="00B54D51" w:rsidP="00401C67">
            <w:pPr>
              <w:rPr>
                <w:rFonts w:ascii="Calibri" w:hAnsi="Calibri" w:cs="Calibri"/>
                <w:color w:val="000000"/>
              </w:rPr>
            </w:pPr>
            <w:r w:rsidRPr="00037AD4">
              <w:rPr>
                <w:rFonts w:cstheme="minorHAnsi"/>
              </w:rPr>
              <w:t xml:space="preserve">From level one proxy  </w:t>
            </w:r>
          </w:p>
        </w:tc>
        <w:tc>
          <w:tcPr>
            <w:tcW w:w="693" w:type="pct"/>
            <w:noWrap/>
            <w:hideMark/>
          </w:tcPr>
          <w:p w14:paraId="212A51B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0.166</w:t>
            </w:r>
          </w:p>
        </w:tc>
        <w:tc>
          <w:tcPr>
            <w:tcW w:w="486" w:type="pct"/>
            <w:noWrap/>
            <w:hideMark/>
          </w:tcPr>
          <w:p w14:paraId="6F8ED04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0.014</w:t>
            </w:r>
          </w:p>
        </w:tc>
        <w:tc>
          <w:tcPr>
            <w:tcW w:w="514" w:type="pct"/>
            <w:noWrap/>
            <w:hideMark/>
          </w:tcPr>
          <w:p w14:paraId="54D8D6A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11.610</w:t>
            </w:r>
          </w:p>
        </w:tc>
        <w:tc>
          <w:tcPr>
            <w:tcW w:w="539" w:type="pct"/>
            <w:noWrap/>
            <w:hideMark/>
          </w:tcPr>
          <w:p w14:paraId="1DAEF08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539" w:type="pct"/>
            <w:noWrap/>
            <w:hideMark/>
          </w:tcPr>
          <w:p w14:paraId="5B4E1F3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0.138</w:t>
            </w:r>
          </w:p>
        </w:tc>
        <w:tc>
          <w:tcPr>
            <w:tcW w:w="692" w:type="pct"/>
            <w:noWrap/>
            <w:hideMark/>
          </w:tcPr>
          <w:p w14:paraId="5F0F84D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0.194</w:t>
            </w:r>
          </w:p>
        </w:tc>
      </w:tr>
      <w:tr w:rsidR="00B54D51" w:rsidRPr="00037AD4" w14:paraId="0480EF9A" w14:textId="77777777" w:rsidTr="00401C67">
        <w:trPr>
          <w:trHeight w:val="320"/>
        </w:trPr>
        <w:tc>
          <w:tcPr>
            <w:tcW w:w="1537" w:type="pct"/>
            <w:noWrap/>
            <w:hideMark/>
          </w:tcPr>
          <w:p w14:paraId="27D98E06" w14:textId="77777777" w:rsidR="00B54D51" w:rsidRPr="00037AD4" w:rsidRDefault="00B54D51" w:rsidP="00401C67">
            <w:pPr>
              <w:rPr>
                <w:rFonts w:ascii="Calibri" w:hAnsi="Calibri" w:cs="Calibri"/>
                <w:color w:val="000000"/>
              </w:rPr>
            </w:pPr>
            <w:r w:rsidRPr="00037AD4">
              <w:rPr>
                <w:rFonts w:cstheme="minorHAnsi"/>
              </w:rPr>
              <w:t xml:space="preserve">From level two proxy  </w:t>
            </w:r>
          </w:p>
        </w:tc>
        <w:tc>
          <w:tcPr>
            <w:tcW w:w="693" w:type="pct"/>
            <w:noWrap/>
            <w:hideMark/>
          </w:tcPr>
          <w:p w14:paraId="602A4EA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0.260</w:t>
            </w:r>
          </w:p>
        </w:tc>
        <w:tc>
          <w:tcPr>
            <w:tcW w:w="486" w:type="pct"/>
            <w:noWrap/>
            <w:hideMark/>
          </w:tcPr>
          <w:p w14:paraId="52191C2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0.017</w:t>
            </w:r>
          </w:p>
        </w:tc>
        <w:tc>
          <w:tcPr>
            <w:tcW w:w="514" w:type="pct"/>
            <w:noWrap/>
            <w:hideMark/>
          </w:tcPr>
          <w:p w14:paraId="285A3E8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15.590</w:t>
            </w:r>
          </w:p>
        </w:tc>
        <w:tc>
          <w:tcPr>
            <w:tcW w:w="539" w:type="pct"/>
            <w:noWrap/>
            <w:hideMark/>
          </w:tcPr>
          <w:p w14:paraId="291D1DD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539" w:type="pct"/>
            <w:noWrap/>
            <w:hideMark/>
          </w:tcPr>
          <w:p w14:paraId="5D0E199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0.227</w:t>
            </w:r>
          </w:p>
        </w:tc>
        <w:tc>
          <w:tcPr>
            <w:tcW w:w="692" w:type="pct"/>
            <w:noWrap/>
            <w:hideMark/>
          </w:tcPr>
          <w:p w14:paraId="00F9A6C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0.292</w:t>
            </w:r>
          </w:p>
        </w:tc>
      </w:tr>
      <w:tr w:rsidR="00B54D51" w:rsidRPr="00037AD4" w14:paraId="6212561A" w14:textId="77777777" w:rsidTr="00401C67">
        <w:trPr>
          <w:trHeight w:val="320"/>
        </w:trPr>
        <w:tc>
          <w:tcPr>
            <w:tcW w:w="1537" w:type="pct"/>
            <w:noWrap/>
            <w:hideMark/>
          </w:tcPr>
          <w:p w14:paraId="6174945A" w14:textId="77777777" w:rsidR="00B54D51" w:rsidRPr="00037AD4" w:rsidRDefault="00B54D51" w:rsidP="00401C67">
            <w:pPr>
              <w:rPr>
                <w:rFonts w:ascii="Calibri" w:hAnsi="Calibri" w:cs="Calibri"/>
                <w:color w:val="000000"/>
              </w:rPr>
            </w:pPr>
            <w:r w:rsidRPr="00037AD4">
              <w:rPr>
                <w:rFonts w:cstheme="minorHAnsi"/>
              </w:rPr>
              <w:t xml:space="preserve">From level three proxy  </w:t>
            </w:r>
          </w:p>
        </w:tc>
        <w:tc>
          <w:tcPr>
            <w:tcW w:w="693" w:type="pct"/>
            <w:noWrap/>
            <w:hideMark/>
          </w:tcPr>
          <w:p w14:paraId="506C28E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0.292</w:t>
            </w:r>
          </w:p>
        </w:tc>
        <w:tc>
          <w:tcPr>
            <w:tcW w:w="486" w:type="pct"/>
            <w:noWrap/>
            <w:hideMark/>
          </w:tcPr>
          <w:p w14:paraId="606914B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0.017</w:t>
            </w:r>
          </w:p>
        </w:tc>
        <w:tc>
          <w:tcPr>
            <w:tcW w:w="514" w:type="pct"/>
            <w:noWrap/>
            <w:hideMark/>
          </w:tcPr>
          <w:p w14:paraId="3A4C3CD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17.030</w:t>
            </w:r>
          </w:p>
        </w:tc>
        <w:tc>
          <w:tcPr>
            <w:tcW w:w="539" w:type="pct"/>
            <w:noWrap/>
            <w:hideMark/>
          </w:tcPr>
          <w:p w14:paraId="19C7033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539" w:type="pct"/>
            <w:noWrap/>
            <w:hideMark/>
          </w:tcPr>
          <w:p w14:paraId="02D1FE5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0.259</w:t>
            </w:r>
          </w:p>
        </w:tc>
        <w:tc>
          <w:tcPr>
            <w:tcW w:w="692" w:type="pct"/>
            <w:noWrap/>
            <w:hideMark/>
          </w:tcPr>
          <w:p w14:paraId="4D160D8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0.326</w:t>
            </w:r>
          </w:p>
        </w:tc>
      </w:tr>
      <w:tr w:rsidR="00B54D51" w:rsidRPr="00037AD4" w14:paraId="2AD6D838" w14:textId="77777777" w:rsidTr="00401C67">
        <w:trPr>
          <w:trHeight w:val="320"/>
        </w:trPr>
        <w:tc>
          <w:tcPr>
            <w:tcW w:w="1537" w:type="pct"/>
            <w:noWrap/>
            <w:hideMark/>
          </w:tcPr>
          <w:p w14:paraId="747E14A9" w14:textId="77777777" w:rsidR="00B54D51" w:rsidRPr="00037AD4" w:rsidRDefault="00B54D51" w:rsidP="00401C67">
            <w:pPr>
              <w:rPr>
                <w:rFonts w:ascii="Calibri" w:hAnsi="Calibri" w:cs="Calibri"/>
                <w:color w:val="000000"/>
              </w:rPr>
            </w:pPr>
            <w:r w:rsidRPr="00037AD4">
              <w:rPr>
                <w:rFonts w:cstheme="minorHAnsi"/>
              </w:rPr>
              <w:t xml:space="preserve">From level four proxy  </w:t>
            </w:r>
          </w:p>
        </w:tc>
        <w:tc>
          <w:tcPr>
            <w:tcW w:w="693" w:type="pct"/>
            <w:noWrap/>
            <w:hideMark/>
          </w:tcPr>
          <w:p w14:paraId="23EB82D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0.280</w:t>
            </w:r>
          </w:p>
        </w:tc>
        <w:tc>
          <w:tcPr>
            <w:tcW w:w="486" w:type="pct"/>
            <w:noWrap/>
            <w:hideMark/>
          </w:tcPr>
          <w:p w14:paraId="1D075E3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0.021</w:t>
            </w:r>
          </w:p>
        </w:tc>
        <w:tc>
          <w:tcPr>
            <w:tcW w:w="514" w:type="pct"/>
            <w:noWrap/>
            <w:hideMark/>
          </w:tcPr>
          <w:p w14:paraId="3EB6B50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13.570</w:t>
            </w:r>
          </w:p>
        </w:tc>
        <w:tc>
          <w:tcPr>
            <w:tcW w:w="539" w:type="pct"/>
            <w:noWrap/>
            <w:hideMark/>
          </w:tcPr>
          <w:p w14:paraId="024BC53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539" w:type="pct"/>
            <w:noWrap/>
            <w:hideMark/>
          </w:tcPr>
          <w:p w14:paraId="2FD938C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0.240</w:t>
            </w:r>
          </w:p>
        </w:tc>
        <w:tc>
          <w:tcPr>
            <w:tcW w:w="692" w:type="pct"/>
            <w:noWrap/>
            <w:hideMark/>
          </w:tcPr>
          <w:p w14:paraId="3B64F34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0.321</w:t>
            </w:r>
          </w:p>
        </w:tc>
      </w:tr>
      <w:tr w:rsidR="00B54D51" w:rsidRPr="00037AD4" w14:paraId="36A2B186" w14:textId="77777777" w:rsidTr="00401C67">
        <w:trPr>
          <w:trHeight w:val="320"/>
        </w:trPr>
        <w:tc>
          <w:tcPr>
            <w:tcW w:w="1537" w:type="pct"/>
            <w:noWrap/>
            <w:hideMark/>
          </w:tcPr>
          <w:p w14:paraId="0F31B0DE" w14:textId="77777777" w:rsidR="00B54D51" w:rsidRPr="00037AD4" w:rsidRDefault="00B54D51" w:rsidP="00401C67">
            <w:pPr>
              <w:rPr>
                <w:rFonts w:ascii="Calibri" w:hAnsi="Calibri" w:cs="Calibri"/>
                <w:color w:val="000000"/>
              </w:rPr>
            </w:pPr>
            <w:r w:rsidRPr="00037AD4">
              <w:rPr>
                <w:rFonts w:cstheme="minorHAnsi"/>
              </w:rPr>
              <w:t xml:space="preserve">From level five proxy  </w:t>
            </w:r>
          </w:p>
        </w:tc>
        <w:tc>
          <w:tcPr>
            <w:tcW w:w="693" w:type="pct"/>
            <w:noWrap/>
            <w:hideMark/>
          </w:tcPr>
          <w:p w14:paraId="005AE3E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0.189</w:t>
            </w:r>
          </w:p>
        </w:tc>
        <w:tc>
          <w:tcPr>
            <w:tcW w:w="486" w:type="pct"/>
            <w:noWrap/>
            <w:hideMark/>
          </w:tcPr>
          <w:p w14:paraId="39E6EC8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0.076</w:t>
            </w:r>
          </w:p>
        </w:tc>
        <w:tc>
          <w:tcPr>
            <w:tcW w:w="514" w:type="pct"/>
            <w:noWrap/>
            <w:hideMark/>
          </w:tcPr>
          <w:p w14:paraId="6B0D441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2.480</w:t>
            </w:r>
          </w:p>
        </w:tc>
        <w:tc>
          <w:tcPr>
            <w:tcW w:w="539" w:type="pct"/>
            <w:noWrap/>
            <w:hideMark/>
          </w:tcPr>
          <w:p w14:paraId="76FB474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0.013</w:t>
            </w:r>
          </w:p>
        </w:tc>
        <w:tc>
          <w:tcPr>
            <w:tcW w:w="539" w:type="pct"/>
            <w:noWrap/>
            <w:hideMark/>
          </w:tcPr>
          <w:p w14:paraId="20E97B5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0.040</w:t>
            </w:r>
          </w:p>
        </w:tc>
        <w:tc>
          <w:tcPr>
            <w:tcW w:w="692" w:type="pct"/>
            <w:noWrap/>
            <w:hideMark/>
          </w:tcPr>
          <w:p w14:paraId="382D22F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0.339</w:t>
            </w:r>
          </w:p>
        </w:tc>
      </w:tr>
      <w:tr w:rsidR="00B54D51" w:rsidRPr="00037AD4" w14:paraId="69DDFA1C" w14:textId="77777777" w:rsidTr="00401C67">
        <w:trPr>
          <w:trHeight w:val="320"/>
        </w:trPr>
        <w:tc>
          <w:tcPr>
            <w:tcW w:w="5000" w:type="pct"/>
            <w:gridSpan w:val="7"/>
            <w:shd w:val="clear" w:color="auto" w:fill="E7E6E6" w:themeFill="background2"/>
            <w:noWrap/>
          </w:tcPr>
          <w:p w14:paraId="1A813514" w14:textId="77777777" w:rsidR="00B54D51" w:rsidRPr="00037AD4" w:rsidRDefault="00B54D51" w:rsidP="00401C67">
            <w:pPr>
              <w:rPr>
                <w:rFonts w:ascii="Calibri" w:hAnsi="Calibri" w:cs="Calibri"/>
                <w:color w:val="000000"/>
              </w:rPr>
            </w:pPr>
            <w:r w:rsidRPr="00037AD4">
              <w:rPr>
                <w:rFonts w:cstheme="minorHAnsi"/>
              </w:rPr>
              <w:t>Predicted PwD: level three</w:t>
            </w:r>
          </w:p>
        </w:tc>
      </w:tr>
      <w:tr w:rsidR="00B54D51" w:rsidRPr="00037AD4" w14:paraId="176BD2AA" w14:textId="77777777" w:rsidTr="00401C67">
        <w:trPr>
          <w:trHeight w:val="320"/>
        </w:trPr>
        <w:tc>
          <w:tcPr>
            <w:tcW w:w="1537" w:type="pct"/>
            <w:noWrap/>
            <w:hideMark/>
          </w:tcPr>
          <w:p w14:paraId="03D0E6B5" w14:textId="77777777" w:rsidR="00B54D51" w:rsidRPr="00037AD4" w:rsidRDefault="00B54D51" w:rsidP="00401C67">
            <w:pPr>
              <w:rPr>
                <w:rFonts w:ascii="Calibri" w:hAnsi="Calibri" w:cs="Calibri"/>
                <w:color w:val="000000"/>
              </w:rPr>
            </w:pPr>
            <w:r w:rsidRPr="00037AD4">
              <w:rPr>
                <w:rFonts w:cstheme="minorHAnsi"/>
              </w:rPr>
              <w:t xml:space="preserve">From level one proxy  </w:t>
            </w:r>
          </w:p>
        </w:tc>
        <w:tc>
          <w:tcPr>
            <w:tcW w:w="693" w:type="pct"/>
            <w:noWrap/>
            <w:hideMark/>
          </w:tcPr>
          <w:p w14:paraId="002F5BC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0.063</w:t>
            </w:r>
          </w:p>
        </w:tc>
        <w:tc>
          <w:tcPr>
            <w:tcW w:w="486" w:type="pct"/>
            <w:noWrap/>
            <w:hideMark/>
          </w:tcPr>
          <w:p w14:paraId="33E00F8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0.010</w:t>
            </w:r>
          </w:p>
        </w:tc>
        <w:tc>
          <w:tcPr>
            <w:tcW w:w="514" w:type="pct"/>
            <w:noWrap/>
            <w:hideMark/>
          </w:tcPr>
          <w:p w14:paraId="35C1412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6.340</w:t>
            </w:r>
          </w:p>
        </w:tc>
        <w:tc>
          <w:tcPr>
            <w:tcW w:w="539" w:type="pct"/>
            <w:noWrap/>
            <w:hideMark/>
          </w:tcPr>
          <w:p w14:paraId="51EE695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539" w:type="pct"/>
            <w:noWrap/>
            <w:hideMark/>
          </w:tcPr>
          <w:p w14:paraId="424BEA1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0.043</w:t>
            </w:r>
          </w:p>
        </w:tc>
        <w:tc>
          <w:tcPr>
            <w:tcW w:w="692" w:type="pct"/>
            <w:noWrap/>
            <w:hideMark/>
          </w:tcPr>
          <w:p w14:paraId="7560A37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0.082</w:t>
            </w:r>
          </w:p>
        </w:tc>
      </w:tr>
      <w:tr w:rsidR="00B54D51" w:rsidRPr="00037AD4" w14:paraId="259471F2" w14:textId="77777777" w:rsidTr="00401C67">
        <w:trPr>
          <w:trHeight w:val="320"/>
        </w:trPr>
        <w:tc>
          <w:tcPr>
            <w:tcW w:w="1537" w:type="pct"/>
            <w:noWrap/>
            <w:hideMark/>
          </w:tcPr>
          <w:p w14:paraId="1E7D93B5" w14:textId="77777777" w:rsidR="00B54D51" w:rsidRPr="00037AD4" w:rsidRDefault="00B54D51" w:rsidP="00401C67">
            <w:pPr>
              <w:rPr>
                <w:rFonts w:ascii="Calibri" w:hAnsi="Calibri" w:cs="Calibri"/>
                <w:color w:val="000000"/>
              </w:rPr>
            </w:pPr>
            <w:r w:rsidRPr="00037AD4">
              <w:rPr>
                <w:rFonts w:cstheme="minorHAnsi"/>
              </w:rPr>
              <w:t xml:space="preserve">From level two proxy  </w:t>
            </w:r>
          </w:p>
        </w:tc>
        <w:tc>
          <w:tcPr>
            <w:tcW w:w="693" w:type="pct"/>
            <w:noWrap/>
            <w:hideMark/>
          </w:tcPr>
          <w:p w14:paraId="5298595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0.155</w:t>
            </w:r>
          </w:p>
        </w:tc>
        <w:tc>
          <w:tcPr>
            <w:tcW w:w="486" w:type="pct"/>
            <w:noWrap/>
            <w:hideMark/>
          </w:tcPr>
          <w:p w14:paraId="39A7A57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0.016</w:t>
            </w:r>
          </w:p>
        </w:tc>
        <w:tc>
          <w:tcPr>
            <w:tcW w:w="514" w:type="pct"/>
            <w:noWrap/>
            <w:hideMark/>
          </w:tcPr>
          <w:p w14:paraId="6F827CD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9.550</w:t>
            </w:r>
          </w:p>
        </w:tc>
        <w:tc>
          <w:tcPr>
            <w:tcW w:w="539" w:type="pct"/>
            <w:noWrap/>
            <w:hideMark/>
          </w:tcPr>
          <w:p w14:paraId="7BFB7AE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539" w:type="pct"/>
            <w:noWrap/>
            <w:hideMark/>
          </w:tcPr>
          <w:p w14:paraId="79A6B81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0.123</w:t>
            </w:r>
          </w:p>
        </w:tc>
        <w:tc>
          <w:tcPr>
            <w:tcW w:w="692" w:type="pct"/>
            <w:noWrap/>
            <w:hideMark/>
          </w:tcPr>
          <w:p w14:paraId="0BF087B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0.187</w:t>
            </w:r>
          </w:p>
        </w:tc>
      </w:tr>
      <w:tr w:rsidR="00B54D51" w:rsidRPr="00037AD4" w14:paraId="25A1D63C" w14:textId="77777777" w:rsidTr="00401C67">
        <w:trPr>
          <w:trHeight w:val="320"/>
        </w:trPr>
        <w:tc>
          <w:tcPr>
            <w:tcW w:w="1537" w:type="pct"/>
            <w:noWrap/>
            <w:hideMark/>
          </w:tcPr>
          <w:p w14:paraId="4AE4164C" w14:textId="77777777" w:rsidR="00B54D51" w:rsidRPr="00037AD4" w:rsidRDefault="00B54D51" w:rsidP="00401C67">
            <w:pPr>
              <w:rPr>
                <w:rFonts w:ascii="Calibri" w:hAnsi="Calibri" w:cs="Calibri"/>
                <w:color w:val="000000"/>
              </w:rPr>
            </w:pPr>
            <w:r w:rsidRPr="00037AD4">
              <w:rPr>
                <w:rFonts w:cstheme="minorHAnsi"/>
              </w:rPr>
              <w:t xml:space="preserve">From level three proxy  </w:t>
            </w:r>
          </w:p>
        </w:tc>
        <w:tc>
          <w:tcPr>
            <w:tcW w:w="693" w:type="pct"/>
            <w:noWrap/>
            <w:hideMark/>
          </w:tcPr>
          <w:p w14:paraId="2B38431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0.243</w:t>
            </w:r>
          </w:p>
        </w:tc>
        <w:tc>
          <w:tcPr>
            <w:tcW w:w="486" w:type="pct"/>
            <w:noWrap/>
            <w:hideMark/>
          </w:tcPr>
          <w:p w14:paraId="2872AF4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0.022</w:t>
            </w:r>
          </w:p>
        </w:tc>
        <w:tc>
          <w:tcPr>
            <w:tcW w:w="514" w:type="pct"/>
            <w:noWrap/>
            <w:hideMark/>
          </w:tcPr>
          <w:p w14:paraId="52BA520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11.270</w:t>
            </w:r>
          </w:p>
        </w:tc>
        <w:tc>
          <w:tcPr>
            <w:tcW w:w="539" w:type="pct"/>
            <w:noWrap/>
            <w:hideMark/>
          </w:tcPr>
          <w:p w14:paraId="50E9318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539" w:type="pct"/>
            <w:noWrap/>
            <w:hideMark/>
          </w:tcPr>
          <w:p w14:paraId="1D1DEC3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0.201</w:t>
            </w:r>
          </w:p>
        </w:tc>
        <w:tc>
          <w:tcPr>
            <w:tcW w:w="692" w:type="pct"/>
            <w:noWrap/>
            <w:hideMark/>
          </w:tcPr>
          <w:p w14:paraId="1FFC1AE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0.286</w:t>
            </w:r>
          </w:p>
        </w:tc>
      </w:tr>
      <w:tr w:rsidR="00B54D51" w:rsidRPr="00037AD4" w14:paraId="792C7160" w14:textId="77777777" w:rsidTr="00401C67">
        <w:trPr>
          <w:trHeight w:val="320"/>
        </w:trPr>
        <w:tc>
          <w:tcPr>
            <w:tcW w:w="1537" w:type="pct"/>
            <w:noWrap/>
            <w:hideMark/>
          </w:tcPr>
          <w:p w14:paraId="4CA470FF" w14:textId="77777777" w:rsidR="00B54D51" w:rsidRPr="00037AD4" w:rsidRDefault="00B54D51" w:rsidP="00401C67">
            <w:pPr>
              <w:rPr>
                <w:rFonts w:ascii="Calibri" w:hAnsi="Calibri" w:cs="Calibri"/>
                <w:color w:val="000000"/>
              </w:rPr>
            </w:pPr>
            <w:r w:rsidRPr="00037AD4">
              <w:rPr>
                <w:rFonts w:cstheme="minorHAnsi"/>
              </w:rPr>
              <w:t xml:space="preserve">From level four proxy  </w:t>
            </w:r>
          </w:p>
        </w:tc>
        <w:tc>
          <w:tcPr>
            <w:tcW w:w="693" w:type="pct"/>
            <w:noWrap/>
            <w:hideMark/>
          </w:tcPr>
          <w:p w14:paraId="5B8FBF2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0.318</w:t>
            </w:r>
          </w:p>
        </w:tc>
        <w:tc>
          <w:tcPr>
            <w:tcW w:w="486" w:type="pct"/>
            <w:noWrap/>
            <w:hideMark/>
          </w:tcPr>
          <w:p w14:paraId="34A41C5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0.032</w:t>
            </w:r>
          </w:p>
        </w:tc>
        <w:tc>
          <w:tcPr>
            <w:tcW w:w="514" w:type="pct"/>
            <w:noWrap/>
            <w:hideMark/>
          </w:tcPr>
          <w:p w14:paraId="16DF4CA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10.070</w:t>
            </w:r>
          </w:p>
        </w:tc>
        <w:tc>
          <w:tcPr>
            <w:tcW w:w="539" w:type="pct"/>
            <w:noWrap/>
            <w:hideMark/>
          </w:tcPr>
          <w:p w14:paraId="0F8BAA5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539" w:type="pct"/>
            <w:noWrap/>
            <w:hideMark/>
          </w:tcPr>
          <w:p w14:paraId="7C1263A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0.256</w:t>
            </w:r>
          </w:p>
        </w:tc>
        <w:tc>
          <w:tcPr>
            <w:tcW w:w="692" w:type="pct"/>
            <w:noWrap/>
            <w:hideMark/>
          </w:tcPr>
          <w:p w14:paraId="688609A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0.379</w:t>
            </w:r>
          </w:p>
        </w:tc>
      </w:tr>
      <w:tr w:rsidR="00B54D51" w:rsidRPr="00037AD4" w14:paraId="5DC9FFD6" w14:textId="77777777" w:rsidTr="00401C67">
        <w:trPr>
          <w:trHeight w:val="320"/>
        </w:trPr>
        <w:tc>
          <w:tcPr>
            <w:tcW w:w="1537" w:type="pct"/>
            <w:noWrap/>
            <w:hideMark/>
          </w:tcPr>
          <w:p w14:paraId="390674CC" w14:textId="77777777" w:rsidR="00B54D51" w:rsidRPr="00037AD4" w:rsidRDefault="00B54D51" w:rsidP="00401C67">
            <w:pPr>
              <w:rPr>
                <w:rFonts w:ascii="Calibri" w:hAnsi="Calibri" w:cs="Calibri"/>
                <w:color w:val="000000"/>
              </w:rPr>
            </w:pPr>
            <w:r w:rsidRPr="00037AD4">
              <w:rPr>
                <w:rFonts w:cstheme="minorHAnsi"/>
              </w:rPr>
              <w:t xml:space="preserve">From level five proxy  </w:t>
            </w:r>
          </w:p>
        </w:tc>
        <w:tc>
          <w:tcPr>
            <w:tcW w:w="693" w:type="pct"/>
            <w:noWrap/>
            <w:hideMark/>
          </w:tcPr>
          <w:p w14:paraId="47BB98F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0.362</w:t>
            </w:r>
          </w:p>
        </w:tc>
        <w:tc>
          <w:tcPr>
            <w:tcW w:w="486" w:type="pct"/>
            <w:noWrap/>
            <w:hideMark/>
          </w:tcPr>
          <w:p w14:paraId="02E71F6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0.034</w:t>
            </w:r>
          </w:p>
        </w:tc>
        <w:tc>
          <w:tcPr>
            <w:tcW w:w="514" w:type="pct"/>
            <w:noWrap/>
            <w:hideMark/>
          </w:tcPr>
          <w:p w14:paraId="77AD9C8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10.550</w:t>
            </w:r>
          </w:p>
        </w:tc>
        <w:tc>
          <w:tcPr>
            <w:tcW w:w="539" w:type="pct"/>
            <w:noWrap/>
            <w:hideMark/>
          </w:tcPr>
          <w:p w14:paraId="5A5B7BA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539" w:type="pct"/>
            <w:noWrap/>
            <w:hideMark/>
          </w:tcPr>
          <w:p w14:paraId="02A4A47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0.295</w:t>
            </w:r>
          </w:p>
        </w:tc>
        <w:tc>
          <w:tcPr>
            <w:tcW w:w="692" w:type="pct"/>
            <w:noWrap/>
            <w:hideMark/>
          </w:tcPr>
          <w:p w14:paraId="014561E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0.429</w:t>
            </w:r>
          </w:p>
        </w:tc>
      </w:tr>
      <w:tr w:rsidR="00B54D51" w:rsidRPr="00037AD4" w14:paraId="2D716878" w14:textId="77777777" w:rsidTr="00401C67">
        <w:trPr>
          <w:trHeight w:val="320"/>
        </w:trPr>
        <w:tc>
          <w:tcPr>
            <w:tcW w:w="5000" w:type="pct"/>
            <w:gridSpan w:val="7"/>
            <w:shd w:val="clear" w:color="auto" w:fill="E7E6E6" w:themeFill="background2"/>
            <w:noWrap/>
          </w:tcPr>
          <w:p w14:paraId="29689D90" w14:textId="77777777" w:rsidR="00B54D51" w:rsidRPr="00037AD4" w:rsidRDefault="00B54D51" w:rsidP="00401C67">
            <w:pPr>
              <w:rPr>
                <w:rFonts w:ascii="Calibri" w:hAnsi="Calibri" w:cs="Calibri"/>
                <w:color w:val="000000"/>
              </w:rPr>
            </w:pPr>
            <w:r w:rsidRPr="00037AD4">
              <w:rPr>
                <w:rFonts w:cstheme="minorHAnsi"/>
              </w:rPr>
              <w:t>Predicted PwD: level four</w:t>
            </w:r>
          </w:p>
        </w:tc>
      </w:tr>
      <w:tr w:rsidR="00B54D51" w:rsidRPr="00037AD4" w14:paraId="740B585F" w14:textId="77777777" w:rsidTr="00401C67">
        <w:trPr>
          <w:trHeight w:val="320"/>
        </w:trPr>
        <w:tc>
          <w:tcPr>
            <w:tcW w:w="1537" w:type="pct"/>
            <w:noWrap/>
            <w:hideMark/>
          </w:tcPr>
          <w:p w14:paraId="72C17E2F" w14:textId="77777777" w:rsidR="00B54D51" w:rsidRPr="00037AD4" w:rsidRDefault="00B54D51" w:rsidP="00401C67">
            <w:pPr>
              <w:rPr>
                <w:rFonts w:ascii="Calibri" w:hAnsi="Calibri" w:cs="Calibri"/>
                <w:color w:val="000000"/>
              </w:rPr>
            </w:pPr>
            <w:r w:rsidRPr="00037AD4">
              <w:rPr>
                <w:rFonts w:cstheme="minorHAnsi"/>
              </w:rPr>
              <w:t xml:space="preserve">From level one proxy  </w:t>
            </w:r>
          </w:p>
        </w:tc>
        <w:tc>
          <w:tcPr>
            <w:tcW w:w="693" w:type="pct"/>
            <w:noWrap/>
            <w:hideMark/>
          </w:tcPr>
          <w:p w14:paraId="0412D2E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0.007</w:t>
            </w:r>
          </w:p>
        </w:tc>
        <w:tc>
          <w:tcPr>
            <w:tcW w:w="486" w:type="pct"/>
            <w:noWrap/>
            <w:hideMark/>
          </w:tcPr>
          <w:p w14:paraId="61329FB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0.002</w:t>
            </w:r>
          </w:p>
        </w:tc>
        <w:tc>
          <w:tcPr>
            <w:tcW w:w="514" w:type="pct"/>
            <w:noWrap/>
            <w:hideMark/>
          </w:tcPr>
          <w:p w14:paraId="6E25421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3.250</w:t>
            </w:r>
          </w:p>
        </w:tc>
        <w:tc>
          <w:tcPr>
            <w:tcW w:w="539" w:type="pct"/>
            <w:noWrap/>
            <w:hideMark/>
          </w:tcPr>
          <w:p w14:paraId="2665185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c>
          <w:tcPr>
            <w:tcW w:w="539" w:type="pct"/>
            <w:noWrap/>
            <w:hideMark/>
          </w:tcPr>
          <w:p w14:paraId="0F638D1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0.003</w:t>
            </w:r>
          </w:p>
        </w:tc>
        <w:tc>
          <w:tcPr>
            <w:tcW w:w="692" w:type="pct"/>
            <w:noWrap/>
            <w:hideMark/>
          </w:tcPr>
          <w:p w14:paraId="79274EE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0.012</w:t>
            </w:r>
          </w:p>
        </w:tc>
      </w:tr>
      <w:tr w:rsidR="00B54D51" w:rsidRPr="00037AD4" w14:paraId="2AC33CE7" w14:textId="77777777" w:rsidTr="00401C67">
        <w:trPr>
          <w:trHeight w:val="320"/>
        </w:trPr>
        <w:tc>
          <w:tcPr>
            <w:tcW w:w="1537" w:type="pct"/>
            <w:noWrap/>
            <w:hideMark/>
          </w:tcPr>
          <w:p w14:paraId="724A2DF8" w14:textId="77777777" w:rsidR="00B54D51" w:rsidRPr="00037AD4" w:rsidRDefault="00B54D51" w:rsidP="00401C67">
            <w:pPr>
              <w:rPr>
                <w:rFonts w:ascii="Calibri" w:hAnsi="Calibri" w:cs="Calibri"/>
                <w:color w:val="000000"/>
              </w:rPr>
            </w:pPr>
            <w:r w:rsidRPr="00037AD4">
              <w:rPr>
                <w:rFonts w:cstheme="minorHAnsi"/>
              </w:rPr>
              <w:t xml:space="preserve">From level two proxy  </w:t>
            </w:r>
          </w:p>
        </w:tc>
        <w:tc>
          <w:tcPr>
            <w:tcW w:w="693" w:type="pct"/>
            <w:noWrap/>
            <w:hideMark/>
          </w:tcPr>
          <w:p w14:paraId="22D26DD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0.031</w:t>
            </w:r>
          </w:p>
        </w:tc>
        <w:tc>
          <w:tcPr>
            <w:tcW w:w="486" w:type="pct"/>
            <w:noWrap/>
            <w:hideMark/>
          </w:tcPr>
          <w:p w14:paraId="7DCDB15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0.007</w:t>
            </w:r>
          </w:p>
        </w:tc>
        <w:tc>
          <w:tcPr>
            <w:tcW w:w="514" w:type="pct"/>
            <w:noWrap/>
            <w:hideMark/>
          </w:tcPr>
          <w:p w14:paraId="571952B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4.220</w:t>
            </w:r>
          </w:p>
        </w:tc>
        <w:tc>
          <w:tcPr>
            <w:tcW w:w="539" w:type="pct"/>
            <w:noWrap/>
            <w:hideMark/>
          </w:tcPr>
          <w:p w14:paraId="0185FBF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539" w:type="pct"/>
            <w:noWrap/>
            <w:hideMark/>
          </w:tcPr>
          <w:p w14:paraId="0C20C86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0.016</w:t>
            </w:r>
          </w:p>
        </w:tc>
        <w:tc>
          <w:tcPr>
            <w:tcW w:w="692" w:type="pct"/>
            <w:noWrap/>
            <w:hideMark/>
          </w:tcPr>
          <w:p w14:paraId="60B56A7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0.045</w:t>
            </w:r>
          </w:p>
        </w:tc>
      </w:tr>
      <w:tr w:rsidR="00B54D51" w:rsidRPr="00037AD4" w14:paraId="306B9E9F" w14:textId="77777777" w:rsidTr="00401C67">
        <w:trPr>
          <w:trHeight w:val="320"/>
        </w:trPr>
        <w:tc>
          <w:tcPr>
            <w:tcW w:w="1537" w:type="pct"/>
            <w:noWrap/>
            <w:hideMark/>
          </w:tcPr>
          <w:p w14:paraId="1F0432E7" w14:textId="77777777" w:rsidR="00B54D51" w:rsidRPr="00037AD4" w:rsidRDefault="00B54D51" w:rsidP="00401C67">
            <w:pPr>
              <w:rPr>
                <w:rFonts w:ascii="Calibri" w:hAnsi="Calibri" w:cs="Calibri"/>
                <w:color w:val="000000"/>
              </w:rPr>
            </w:pPr>
            <w:r w:rsidRPr="00037AD4">
              <w:rPr>
                <w:rFonts w:cstheme="minorHAnsi"/>
              </w:rPr>
              <w:t xml:space="preserve">From level three proxy  </w:t>
            </w:r>
          </w:p>
        </w:tc>
        <w:tc>
          <w:tcPr>
            <w:tcW w:w="693" w:type="pct"/>
            <w:noWrap/>
            <w:hideMark/>
          </w:tcPr>
          <w:p w14:paraId="7F21783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0.069</w:t>
            </w:r>
          </w:p>
        </w:tc>
        <w:tc>
          <w:tcPr>
            <w:tcW w:w="486" w:type="pct"/>
            <w:noWrap/>
            <w:hideMark/>
          </w:tcPr>
          <w:p w14:paraId="420EE8C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0.014</w:t>
            </w:r>
          </w:p>
        </w:tc>
        <w:tc>
          <w:tcPr>
            <w:tcW w:w="514" w:type="pct"/>
            <w:noWrap/>
            <w:hideMark/>
          </w:tcPr>
          <w:p w14:paraId="5105A0C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4.980</w:t>
            </w:r>
          </w:p>
        </w:tc>
        <w:tc>
          <w:tcPr>
            <w:tcW w:w="539" w:type="pct"/>
            <w:noWrap/>
            <w:hideMark/>
          </w:tcPr>
          <w:p w14:paraId="5FF5640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539" w:type="pct"/>
            <w:noWrap/>
            <w:hideMark/>
          </w:tcPr>
          <w:p w14:paraId="640C59A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0.042</w:t>
            </w:r>
          </w:p>
        </w:tc>
        <w:tc>
          <w:tcPr>
            <w:tcW w:w="692" w:type="pct"/>
            <w:noWrap/>
            <w:hideMark/>
          </w:tcPr>
          <w:p w14:paraId="48D8637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0.097</w:t>
            </w:r>
          </w:p>
        </w:tc>
      </w:tr>
      <w:tr w:rsidR="00B54D51" w:rsidRPr="00037AD4" w14:paraId="5CDC4494" w14:textId="77777777" w:rsidTr="00401C67">
        <w:trPr>
          <w:trHeight w:val="320"/>
        </w:trPr>
        <w:tc>
          <w:tcPr>
            <w:tcW w:w="1537" w:type="pct"/>
            <w:noWrap/>
            <w:hideMark/>
          </w:tcPr>
          <w:p w14:paraId="2BB118EC" w14:textId="77777777" w:rsidR="00B54D51" w:rsidRPr="00037AD4" w:rsidRDefault="00B54D51" w:rsidP="00401C67">
            <w:pPr>
              <w:rPr>
                <w:rFonts w:ascii="Calibri" w:hAnsi="Calibri" w:cs="Calibri"/>
                <w:color w:val="000000"/>
              </w:rPr>
            </w:pPr>
            <w:r w:rsidRPr="00037AD4">
              <w:rPr>
                <w:rFonts w:cstheme="minorHAnsi"/>
              </w:rPr>
              <w:t xml:space="preserve">From level four proxy  </w:t>
            </w:r>
          </w:p>
        </w:tc>
        <w:tc>
          <w:tcPr>
            <w:tcW w:w="693" w:type="pct"/>
            <w:noWrap/>
            <w:hideMark/>
          </w:tcPr>
          <w:p w14:paraId="4415E36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0.127</w:t>
            </w:r>
          </w:p>
        </w:tc>
        <w:tc>
          <w:tcPr>
            <w:tcW w:w="486" w:type="pct"/>
            <w:noWrap/>
            <w:hideMark/>
          </w:tcPr>
          <w:p w14:paraId="16C3010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0.031</w:t>
            </w:r>
          </w:p>
        </w:tc>
        <w:tc>
          <w:tcPr>
            <w:tcW w:w="514" w:type="pct"/>
            <w:noWrap/>
            <w:hideMark/>
          </w:tcPr>
          <w:p w14:paraId="520B2C0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4.150</w:t>
            </w:r>
          </w:p>
        </w:tc>
        <w:tc>
          <w:tcPr>
            <w:tcW w:w="539" w:type="pct"/>
            <w:noWrap/>
            <w:hideMark/>
          </w:tcPr>
          <w:p w14:paraId="11A400A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539" w:type="pct"/>
            <w:noWrap/>
            <w:hideMark/>
          </w:tcPr>
          <w:p w14:paraId="5BB8C0E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0.067</w:t>
            </w:r>
          </w:p>
        </w:tc>
        <w:tc>
          <w:tcPr>
            <w:tcW w:w="692" w:type="pct"/>
            <w:noWrap/>
            <w:hideMark/>
          </w:tcPr>
          <w:p w14:paraId="59CE5D4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0.188</w:t>
            </w:r>
          </w:p>
        </w:tc>
      </w:tr>
      <w:tr w:rsidR="00B54D51" w:rsidRPr="00037AD4" w14:paraId="76AD709A" w14:textId="77777777" w:rsidTr="00401C67">
        <w:trPr>
          <w:trHeight w:val="320"/>
        </w:trPr>
        <w:tc>
          <w:tcPr>
            <w:tcW w:w="1537" w:type="pct"/>
            <w:noWrap/>
            <w:hideMark/>
          </w:tcPr>
          <w:p w14:paraId="093FC3ED" w14:textId="77777777" w:rsidR="00B54D51" w:rsidRPr="00037AD4" w:rsidRDefault="00B54D51" w:rsidP="00401C67">
            <w:pPr>
              <w:rPr>
                <w:rFonts w:ascii="Calibri" w:hAnsi="Calibri" w:cs="Calibri"/>
                <w:color w:val="000000"/>
              </w:rPr>
            </w:pPr>
            <w:r w:rsidRPr="00037AD4">
              <w:rPr>
                <w:rFonts w:cstheme="minorHAnsi"/>
              </w:rPr>
              <w:t xml:space="preserve">From level five proxy  </w:t>
            </w:r>
          </w:p>
        </w:tc>
        <w:tc>
          <w:tcPr>
            <w:tcW w:w="693" w:type="pct"/>
            <w:noWrap/>
            <w:hideMark/>
          </w:tcPr>
          <w:p w14:paraId="6E4C0C9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0.256</w:t>
            </w:r>
          </w:p>
        </w:tc>
        <w:tc>
          <w:tcPr>
            <w:tcW w:w="486" w:type="pct"/>
            <w:noWrap/>
            <w:hideMark/>
          </w:tcPr>
          <w:p w14:paraId="768D326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0.100</w:t>
            </w:r>
          </w:p>
        </w:tc>
        <w:tc>
          <w:tcPr>
            <w:tcW w:w="514" w:type="pct"/>
            <w:noWrap/>
            <w:hideMark/>
          </w:tcPr>
          <w:p w14:paraId="21D4C42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2.570</w:t>
            </w:r>
          </w:p>
        </w:tc>
        <w:tc>
          <w:tcPr>
            <w:tcW w:w="539" w:type="pct"/>
            <w:noWrap/>
            <w:hideMark/>
          </w:tcPr>
          <w:p w14:paraId="7A75374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0.010</w:t>
            </w:r>
          </w:p>
        </w:tc>
        <w:tc>
          <w:tcPr>
            <w:tcW w:w="539" w:type="pct"/>
            <w:noWrap/>
            <w:hideMark/>
          </w:tcPr>
          <w:p w14:paraId="7DD659F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0.061</w:t>
            </w:r>
          </w:p>
        </w:tc>
        <w:tc>
          <w:tcPr>
            <w:tcW w:w="692" w:type="pct"/>
            <w:noWrap/>
            <w:hideMark/>
          </w:tcPr>
          <w:p w14:paraId="2347059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0.451</w:t>
            </w:r>
          </w:p>
        </w:tc>
      </w:tr>
      <w:tr w:rsidR="00B54D51" w:rsidRPr="00037AD4" w14:paraId="1A1CED7C" w14:textId="77777777" w:rsidTr="00401C67">
        <w:trPr>
          <w:trHeight w:val="320"/>
        </w:trPr>
        <w:tc>
          <w:tcPr>
            <w:tcW w:w="5000" w:type="pct"/>
            <w:gridSpan w:val="7"/>
            <w:shd w:val="clear" w:color="auto" w:fill="E7E6E6" w:themeFill="background2"/>
            <w:noWrap/>
          </w:tcPr>
          <w:p w14:paraId="76C5B77B" w14:textId="77777777" w:rsidR="00B54D51" w:rsidRPr="00037AD4" w:rsidRDefault="00B54D51" w:rsidP="00401C67">
            <w:pPr>
              <w:rPr>
                <w:rFonts w:ascii="Calibri" w:hAnsi="Calibri" w:cs="Calibri"/>
                <w:color w:val="000000"/>
              </w:rPr>
            </w:pPr>
            <w:r w:rsidRPr="00037AD4">
              <w:rPr>
                <w:rFonts w:cstheme="minorHAnsi"/>
              </w:rPr>
              <w:t>Predicted PwD: level five</w:t>
            </w:r>
          </w:p>
        </w:tc>
      </w:tr>
      <w:tr w:rsidR="00B54D51" w:rsidRPr="00037AD4" w14:paraId="68FCE738" w14:textId="77777777" w:rsidTr="00401C67">
        <w:trPr>
          <w:trHeight w:val="320"/>
        </w:trPr>
        <w:tc>
          <w:tcPr>
            <w:tcW w:w="1537" w:type="pct"/>
            <w:noWrap/>
            <w:hideMark/>
          </w:tcPr>
          <w:p w14:paraId="62CF7501" w14:textId="77777777" w:rsidR="00B54D51" w:rsidRPr="00037AD4" w:rsidRDefault="00B54D51" w:rsidP="00401C67">
            <w:pPr>
              <w:rPr>
                <w:rFonts w:ascii="Calibri" w:hAnsi="Calibri" w:cs="Calibri"/>
                <w:color w:val="000000"/>
              </w:rPr>
            </w:pPr>
            <w:r w:rsidRPr="00037AD4">
              <w:rPr>
                <w:rFonts w:cstheme="minorHAnsi"/>
              </w:rPr>
              <w:t xml:space="preserve">From level one proxy  </w:t>
            </w:r>
          </w:p>
        </w:tc>
        <w:tc>
          <w:tcPr>
            <w:tcW w:w="693" w:type="pct"/>
            <w:noWrap/>
            <w:hideMark/>
          </w:tcPr>
          <w:p w14:paraId="4BC881B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486" w:type="pct"/>
            <w:noWrap/>
            <w:hideMark/>
          </w:tcPr>
          <w:p w14:paraId="662598A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514" w:type="pct"/>
            <w:noWrap/>
            <w:hideMark/>
          </w:tcPr>
          <w:p w14:paraId="4B5E47F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1.530</w:t>
            </w:r>
          </w:p>
        </w:tc>
        <w:tc>
          <w:tcPr>
            <w:tcW w:w="539" w:type="pct"/>
            <w:noWrap/>
            <w:hideMark/>
          </w:tcPr>
          <w:p w14:paraId="7AFA930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0.125</w:t>
            </w:r>
          </w:p>
        </w:tc>
        <w:tc>
          <w:tcPr>
            <w:tcW w:w="539" w:type="pct"/>
            <w:noWrap/>
            <w:hideMark/>
          </w:tcPr>
          <w:p w14:paraId="79E799B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692" w:type="pct"/>
            <w:noWrap/>
            <w:hideMark/>
          </w:tcPr>
          <w:p w14:paraId="450196A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r>
      <w:tr w:rsidR="00B54D51" w:rsidRPr="00037AD4" w14:paraId="549DD60A" w14:textId="77777777" w:rsidTr="00401C67">
        <w:trPr>
          <w:trHeight w:val="320"/>
        </w:trPr>
        <w:tc>
          <w:tcPr>
            <w:tcW w:w="1537" w:type="pct"/>
            <w:noWrap/>
            <w:hideMark/>
          </w:tcPr>
          <w:p w14:paraId="493F40C9" w14:textId="77777777" w:rsidR="00B54D51" w:rsidRPr="00037AD4" w:rsidRDefault="00B54D51" w:rsidP="00401C67">
            <w:pPr>
              <w:rPr>
                <w:rFonts w:ascii="Calibri" w:hAnsi="Calibri" w:cs="Calibri"/>
                <w:color w:val="000000"/>
              </w:rPr>
            </w:pPr>
            <w:r w:rsidRPr="00037AD4">
              <w:rPr>
                <w:rFonts w:cstheme="minorHAnsi"/>
              </w:rPr>
              <w:t xml:space="preserve">From level two proxy  </w:t>
            </w:r>
          </w:p>
        </w:tc>
        <w:tc>
          <w:tcPr>
            <w:tcW w:w="693" w:type="pct"/>
            <w:noWrap/>
            <w:hideMark/>
          </w:tcPr>
          <w:p w14:paraId="1AA5390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0.003</w:t>
            </w:r>
          </w:p>
        </w:tc>
        <w:tc>
          <w:tcPr>
            <w:tcW w:w="486" w:type="pct"/>
            <w:noWrap/>
            <w:hideMark/>
          </w:tcPr>
          <w:p w14:paraId="4F88E15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0.002</w:t>
            </w:r>
          </w:p>
        </w:tc>
        <w:tc>
          <w:tcPr>
            <w:tcW w:w="514" w:type="pct"/>
            <w:noWrap/>
            <w:hideMark/>
          </w:tcPr>
          <w:p w14:paraId="5139716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1.910</w:t>
            </w:r>
          </w:p>
        </w:tc>
        <w:tc>
          <w:tcPr>
            <w:tcW w:w="539" w:type="pct"/>
            <w:noWrap/>
            <w:hideMark/>
          </w:tcPr>
          <w:p w14:paraId="23BFD84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0.056</w:t>
            </w:r>
          </w:p>
        </w:tc>
        <w:tc>
          <w:tcPr>
            <w:tcW w:w="539" w:type="pct"/>
            <w:noWrap/>
            <w:hideMark/>
          </w:tcPr>
          <w:p w14:paraId="11D9ED0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692" w:type="pct"/>
            <w:noWrap/>
            <w:hideMark/>
          </w:tcPr>
          <w:p w14:paraId="7067AE7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0.006</w:t>
            </w:r>
          </w:p>
        </w:tc>
      </w:tr>
      <w:tr w:rsidR="00B54D51" w:rsidRPr="00037AD4" w14:paraId="1F9CF161" w14:textId="77777777" w:rsidTr="00401C67">
        <w:trPr>
          <w:trHeight w:val="320"/>
        </w:trPr>
        <w:tc>
          <w:tcPr>
            <w:tcW w:w="1537" w:type="pct"/>
            <w:noWrap/>
            <w:hideMark/>
          </w:tcPr>
          <w:p w14:paraId="46291560" w14:textId="77777777" w:rsidR="00B54D51" w:rsidRPr="00037AD4" w:rsidRDefault="00B54D51" w:rsidP="00401C67">
            <w:pPr>
              <w:rPr>
                <w:rFonts w:ascii="Calibri" w:hAnsi="Calibri" w:cs="Calibri"/>
                <w:color w:val="000000"/>
              </w:rPr>
            </w:pPr>
            <w:r w:rsidRPr="00037AD4">
              <w:rPr>
                <w:rFonts w:cstheme="minorHAnsi"/>
              </w:rPr>
              <w:t xml:space="preserve">From level three proxy  </w:t>
            </w:r>
          </w:p>
        </w:tc>
        <w:tc>
          <w:tcPr>
            <w:tcW w:w="693" w:type="pct"/>
            <w:noWrap/>
            <w:hideMark/>
          </w:tcPr>
          <w:p w14:paraId="3125D24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0.010</w:t>
            </w:r>
          </w:p>
        </w:tc>
        <w:tc>
          <w:tcPr>
            <w:tcW w:w="486" w:type="pct"/>
            <w:noWrap/>
            <w:hideMark/>
          </w:tcPr>
          <w:p w14:paraId="12FFBAF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0.005</w:t>
            </w:r>
          </w:p>
        </w:tc>
        <w:tc>
          <w:tcPr>
            <w:tcW w:w="514" w:type="pct"/>
            <w:noWrap/>
            <w:hideMark/>
          </w:tcPr>
          <w:p w14:paraId="77B3734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2.120</w:t>
            </w:r>
          </w:p>
        </w:tc>
        <w:tc>
          <w:tcPr>
            <w:tcW w:w="539" w:type="pct"/>
            <w:noWrap/>
            <w:hideMark/>
          </w:tcPr>
          <w:p w14:paraId="3A5A992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0.034</w:t>
            </w:r>
          </w:p>
        </w:tc>
        <w:tc>
          <w:tcPr>
            <w:tcW w:w="539" w:type="pct"/>
            <w:noWrap/>
            <w:hideMark/>
          </w:tcPr>
          <w:p w14:paraId="40B23AB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c>
          <w:tcPr>
            <w:tcW w:w="692" w:type="pct"/>
            <w:noWrap/>
            <w:hideMark/>
          </w:tcPr>
          <w:p w14:paraId="10837E9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0.020</w:t>
            </w:r>
          </w:p>
        </w:tc>
      </w:tr>
      <w:tr w:rsidR="00B54D51" w:rsidRPr="00037AD4" w14:paraId="0342CE2C" w14:textId="77777777" w:rsidTr="00401C67">
        <w:trPr>
          <w:trHeight w:val="320"/>
        </w:trPr>
        <w:tc>
          <w:tcPr>
            <w:tcW w:w="1537" w:type="pct"/>
            <w:noWrap/>
            <w:hideMark/>
          </w:tcPr>
          <w:p w14:paraId="62E4CD62" w14:textId="77777777" w:rsidR="00B54D51" w:rsidRPr="00037AD4" w:rsidRDefault="00B54D51" w:rsidP="00401C67">
            <w:pPr>
              <w:rPr>
                <w:rFonts w:ascii="Calibri" w:hAnsi="Calibri" w:cs="Calibri"/>
                <w:color w:val="000000"/>
              </w:rPr>
            </w:pPr>
            <w:r w:rsidRPr="00037AD4">
              <w:rPr>
                <w:rFonts w:cstheme="minorHAnsi"/>
              </w:rPr>
              <w:t xml:space="preserve">From level four proxy  </w:t>
            </w:r>
          </w:p>
        </w:tc>
        <w:tc>
          <w:tcPr>
            <w:tcW w:w="693" w:type="pct"/>
            <w:noWrap/>
            <w:hideMark/>
          </w:tcPr>
          <w:p w14:paraId="7EA81CD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0.027</w:t>
            </w:r>
          </w:p>
        </w:tc>
        <w:tc>
          <w:tcPr>
            <w:tcW w:w="486" w:type="pct"/>
            <w:noWrap/>
            <w:hideMark/>
          </w:tcPr>
          <w:p w14:paraId="12664D3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0.014</w:t>
            </w:r>
          </w:p>
        </w:tc>
        <w:tc>
          <w:tcPr>
            <w:tcW w:w="514" w:type="pct"/>
            <w:noWrap/>
            <w:hideMark/>
          </w:tcPr>
          <w:p w14:paraId="79AC7E4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1.880</w:t>
            </w:r>
          </w:p>
        </w:tc>
        <w:tc>
          <w:tcPr>
            <w:tcW w:w="539" w:type="pct"/>
            <w:noWrap/>
            <w:hideMark/>
          </w:tcPr>
          <w:p w14:paraId="697496E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0.060</w:t>
            </w:r>
          </w:p>
        </w:tc>
        <w:tc>
          <w:tcPr>
            <w:tcW w:w="539" w:type="pct"/>
            <w:noWrap/>
            <w:hideMark/>
          </w:tcPr>
          <w:p w14:paraId="38CEB9C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c>
          <w:tcPr>
            <w:tcW w:w="692" w:type="pct"/>
            <w:noWrap/>
            <w:hideMark/>
          </w:tcPr>
          <w:p w14:paraId="6DB992D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0.056</w:t>
            </w:r>
          </w:p>
        </w:tc>
      </w:tr>
      <w:tr w:rsidR="00B54D51" w:rsidRPr="00037AD4" w14:paraId="74FBAEAC" w14:textId="77777777" w:rsidTr="00401C67">
        <w:trPr>
          <w:trHeight w:val="320"/>
        </w:trPr>
        <w:tc>
          <w:tcPr>
            <w:tcW w:w="1537" w:type="pct"/>
            <w:noWrap/>
            <w:hideMark/>
          </w:tcPr>
          <w:p w14:paraId="34EC2AE7" w14:textId="77777777" w:rsidR="00B54D51" w:rsidRPr="00037AD4" w:rsidRDefault="00B54D51" w:rsidP="00401C67">
            <w:pPr>
              <w:rPr>
                <w:rFonts w:ascii="Calibri" w:hAnsi="Calibri" w:cs="Calibri"/>
                <w:color w:val="000000"/>
              </w:rPr>
            </w:pPr>
            <w:r w:rsidRPr="00037AD4">
              <w:rPr>
                <w:rFonts w:cstheme="minorHAnsi"/>
              </w:rPr>
              <w:t xml:space="preserve">From level five proxy  </w:t>
            </w:r>
          </w:p>
        </w:tc>
        <w:tc>
          <w:tcPr>
            <w:tcW w:w="693" w:type="pct"/>
            <w:noWrap/>
            <w:hideMark/>
          </w:tcPr>
          <w:p w14:paraId="6336AD3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0.102</w:t>
            </w:r>
          </w:p>
        </w:tc>
        <w:tc>
          <w:tcPr>
            <w:tcW w:w="486" w:type="pct"/>
            <w:noWrap/>
            <w:hideMark/>
          </w:tcPr>
          <w:p w14:paraId="43A125C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0.079</w:t>
            </w:r>
          </w:p>
        </w:tc>
        <w:tc>
          <w:tcPr>
            <w:tcW w:w="514" w:type="pct"/>
            <w:noWrap/>
            <w:hideMark/>
          </w:tcPr>
          <w:p w14:paraId="183204C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1.290</w:t>
            </w:r>
          </w:p>
        </w:tc>
        <w:tc>
          <w:tcPr>
            <w:tcW w:w="539" w:type="pct"/>
            <w:noWrap/>
            <w:hideMark/>
          </w:tcPr>
          <w:p w14:paraId="51ED16F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0.197</w:t>
            </w:r>
          </w:p>
        </w:tc>
        <w:tc>
          <w:tcPr>
            <w:tcW w:w="539" w:type="pct"/>
            <w:noWrap/>
            <w:hideMark/>
          </w:tcPr>
          <w:p w14:paraId="0F96B3B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-0.053</w:t>
            </w:r>
          </w:p>
        </w:tc>
        <w:tc>
          <w:tcPr>
            <w:tcW w:w="692" w:type="pct"/>
            <w:noWrap/>
            <w:hideMark/>
          </w:tcPr>
          <w:p w14:paraId="2379068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0.257</w:t>
            </w:r>
          </w:p>
        </w:tc>
      </w:tr>
    </w:tbl>
    <w:p w14:paraId="31D5BE97" w14:textId="77777777" w:rsidR="00B54D51" w:rsidRPr="00037AD4" w:rsidRDefault="00B54D51" w:rsidP="001D7ACE">
      <w:pPr>
        <w:rPr>
          <w:rFonts w:asciiTheme="minorHAnsi" w:hAnsiTheme="minorHAnsi" w:cstheme="minorHAnsi"/>
          <w:color w:val="000000" w:themeColor="text1"/>
          <w:u w:val="single"/>
        </w:rPr>
      </w:pPr>
      <w:bookmarkStart w:id="546" w:name="Tablea63o"/>
      <w:r w:rsidRPr="00037AD4">
        <w:rPr>
          <w:rFonts w:asciiTheme="minorHAnsi" w:hAnsiTheme="minorHAnsi" w:cstheme="minorHAnsi"/>
          <w:color w:val="000000" w:themeColor="text1"/>
          <w:u w:val="single"/>
        </w:rPr>
        <w:lastRenderedPageBreak/>
        <w:t>Table A6.3o, Pain/discomfort dimension average marginal effects: EPIC</w:t>
      </w:r>
    </w:p>
    <w:bookmarkEnd w:id="546"/>
    <w:p w14:paraId="6FFD6904" w14:textId="77777777" w:rsidR="00B54D51" w:rsidRPr="00037AD4" w:rsidRDefault="00B54D51" w:rsidP="001D7ACE">
      <w:pPr>
        <w:rPr>
          <w:u w:val="single"/>
        </w:rPr>
      </w:pPr>
    </w:p>
    <w:tbl>
      <w:tblPr>
        <w:tblStyle w:val="TableGridLight"/>
        <w:tblW w:w="5000" w:type="pct"/>
        <w:tblLook w:val="04A0" w:firstRow="1" w:lastRow="0" w:firstColumn="1" w:lastColumn="0" w:noHBand="0" w:noVBand="1"/>
      </w:tblPr>
      <w:tblGrid>
        <w:gridCol w:w="522"/>
        <w:gridCol w:w="1194"/>
        <w:gridCol w:w="1509"/>
        <w:gridCol w:w="1102"/>
        <w:gridCol w:w="1177"/>
        <w:gridCol w:w="1922"/>
        <w:gridCol w:w="1590"/>
      </w:tblGrid>
      <w:tr w:rsidR="00B54D51" w:rsidRPr="00037AD4" w14:paraId="73BB0CC4" w14:textId="77777777" w:rsidTr="00401C67">
        <w:trPr>
          <w:trHeight w:val="320"/>
        </w:trPr>
        <w:tc>
          <w:tcPr>
            <w:tcW w:w="289" w:type="pct"/>
            <w:noWrap/>
            <w:hideMark/>
          </w:tcPr>
          <w:p w14:paraId="67B2A733" w14:textId="77777777" w:rsidR="00B54D51" w:rsidRPr="00037AD4" w:rsidRDefault="00B54D51" w:rsidP="00401C67">
            <w:pPr>
              <w:rPr>
                <w:sz w:val="20"/>
                <w:szCs w:val="20"/>
              </w:rPr>
            </w:pPr>
          </w:p>
        </w:tc>
        <w:tc>
          <w:tcPr>
            <w:tcW w:w="662" w:type="pct"/>
            <w:noWrap/>
            <w:hideMark/>
          </w:tcPr>
          <w:p w14:paraId="4BC54D55"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dy/dx   </w:t>
            </w:r>
          </w:p>
        </w:tc>
        <w:tc>
          <w:tcPr>
            <w:tcW w:w="837" w:type="pct"/>
          </w:tcPr>
          <w:p w14:paraId="6B348EBE" w14:textId="77777777" w:rsidR="00B54D51" w:rsidRPr="00037AD4" w:rsidRDefault="00B54D51" w:rsidP="00401C67">
            <w:pPr>
              <w:rPr>
                <w:rFonts w:ascii="Calibri" w:hAnsi="Calibri" w:cs="Calibri"/>
                <w:color w:val="000000"/>
              </w:rPr>
            </w:pPr>
            <w:r w:rsidRPr="00037AD4">
              <w:rPr>
                <w:rFonts w:ascii="Calibri" w:hAnsi="Calibri" w:cs="Calibri"/>
                <w:color w:val="000000"/>
              </w:rPr>
              <w:t>std. err.</w:t>
            </w:r>
          </w:p>
        </w:tc>
        <w:tc>
          <w:tcPr>
            <w:tcW w:w="611" w:type="pct"/>
            <w:noWrap/>
            <w:hideMark/>
          </w:tcPr>
          <w:p w14:paraId="5A54F932" w14:textId="77777777" w:rsidR="00B54D51" w:rsidRPr="00037AD4" w:rsidRDefault="00B54D51" w:rsidP="00401C67">
            <w:pPr>
              <w:rPr>
                <w:rFonts w:ascii="Calibri" w:hAnsi="Calibri" w:cs="Calibri"/>
                <w:color w:val="000000"/>
              </w:rPr>
            </w:pPr>
            <w:r w:rsidRPr="00037AD4">
              <w:rPr>
                <w:rFonts w:ascii="Calibri" w:hAnsi="Calibri" w:cs="Calibri"/>
                <w:color w:val="000000"/>
              </w:rPr>
              <w:t>z</w:t>
            </w:r>
          </w:p>
        </w:tc>
        <w:tc>
          <w:tcPr>
            <w:tcW w:w="653" w:type="pct"/>
            <w:noWrap/>
            <w:hideMark/>
          </w:tcPr>
          <w:p w14:paraId="08E8DBD8" w14:textId="77777777" w:rsidR="00B54D51" w:rsidRPr="00037AD4" w:rsidRDefault="00B54D51" w:rsidP="00401C67">
            <w:pPr>
              <w:rPr>
                <w:rFonts w:ascii="Calibri" w:hAnsi="Calibri" w:cs="Calibri"/>
                <w:color w:val="000000"/>
              </w:rPr>
            </w:pPr>
            <w:r w:rsidRPr="00037AD4">
              <w:rPr>
                <w:rFonts w:ascii="Calibri" w:hAnsi="Calibri" w:cs="Calibri"/>
                <w:color w:val="000000"/>
              </w:rPr>
              <w:t>P&gt;z</w:t>
            </w:r>
          </w:p>
        </w:tc>
        <w:tc>
          <w:tcPr>
            <w:tcW w:w="1066" w:type="pct"/>
            <w:noWrap/>
            <w:hideMark/>
          </w:tcPr>
          <w:p w14:paraId="6846976D" w14:textId="77777777" w:rsidR="00B54D51" w:rsidRPr="00037AD4" w:rsidRDefault="00B54D51" w:rsidP="00401C67">
            <w:pPr>
              <w:rPr>
                <w:rFonts w:ascii="Calibri" w:hAnsi="Calibri" w:cs="Calibri"/>
                <w:color w:val="000000"/>
              </w:rPr>
            </w:pPr>
            <w:r w:rsidRPr="00037AD4">
              <w:rPr>
                <w:rFonts w:ascii="Calibri" w:hAnsi="Calibri" w:cs="Calibri"/>
                <w:color w:val="000000"/>
              </w:rPr>
              <w:t>[95% conf.</w:t>
            </w:r>
          </w:p>
        </w:tc>
        <w:tc>
          <w:tcPr>
            <w:tcW w:w="883" w:type="pct"/>
            <w:noWrap/>
            <w:hideMark/>
          </w:tcPr>
          <w:p w14:paraId="772C2602" w14:textId="77777777" w:rsidR="00B54D51" w:rsidRPr="00037AD4" w:rsidRDefault="00B54D51" w:rsidP="00401C67">
            <w:pPr>
              <w:rPr>
                <w:rFonts w:ascii="Calibri" w:hAnsi="Calibri" w:cs="Calibri"/>
                <w:color w:val="000000"/>
              </w:rPr>
            </w:pPr>
            <w:r w:rsidRPr="00037AD4">
              <w:rPr>
                <w:rFonts w:ascii="Calibri" w:hAnsi="Calibri" w:cs="Calibri"/>
                <w:color w:val="000000"/>
              </w:rPr>
              <w:t>interval]</w:t>
            </w:r>
          </w:p>
        </w:tc>
      </w:tr>
      <w:tr w:rsidR="00B54D51" w:rsidRPr="00037AD4" w14:paraId="2A39FA39" w14:textId="77777777" w:rsidTr="00401C67">
        <w:trPr>
          <w:trHeight w:val="320"/>
        </w:trPr>
        <w:tc>
          <w:tcPr>
            <w:tcW w:w="5000" w:type="pct"/>
            <w:gridSpan w:val="7"/>
            <w:shd w:val="clear" w:color="auto" w:fill="F2F2F2" w:themeFill="background1" w:themeFillShade="F2"/>
          </w:tcPr>
          <w:p w14:paraId="69E5A6B9" w14:textId="77777777" w:rsidR="00B54D51" w:rsidRPr="00037AD4" w:rsidRDefault="00B54D51" w:rsidP="00401C67">
            <w:pPr>
              <w:rPr>
                <w:rFonts w:ascii="Calibri" w:hAnsi="Calibri" w:cs="Calibri"/>
                <w:color w:val="000000"/>
              </w:rPr>
            </w:pPr>
            <w:r w:rsidRPr="00037AD4">
              <w:rPr>
                <w:rFonts w:ascii="Calibri" w:hAnsi="Calibri" w:cs="Calibri"/>
                <w:color w:val="000000"/>
              </w:rPr>
              <w:t>Staff proxy pain/discomfort (merged 4/5 levels) level 1 (= base outcome)</w:t>
            </w:r>
          </w:p>
        </w:tc>
      </w:tr>
      <w:tr w:rsidR="00B54D51" w:rsidRPr="00037AD4" w14:paraId="18CB1690" w14:textId="77777777" w:rsidTr="00401C67">
        <w:trPr>
          <w:trHeight w:val="320"/>
        </w:trPr>
        <w:tc>
          <w:tcPr>
            <w:tcW w:w="5000" w:type="pct"/>
            <w:gridSpan w:val="7"/>
            <w:shd w:val="clear" w:color="auto" w:fill="F2F2F2" w:themeFill="background1" w:themeFillShade="F2"/>
          </w:tcPr>
          <w:p w14:paraId="0D412F95" w14:textId="77777777" w:rsidR="00B54D51" w:rsidRPr="00037AD4" w:rsidRDefault="00B54D51" w:rsidP="00401C67">
            <w:pPr>
              <w:rPr>
                <w:sz w:val="20"/>
                <w:szCs w:val="20"/>
              </w:rPr>
            </w:pPr>
            <w:r w:rsidRPr="00037AD4">
              <w:rPr>
                <w:rFonts w:ascii="Calibri" w:hAnsi="Calibri" w:cs="Calibri"/>
                <w:color w:val="000000"/>
              </w:rPr>
              <w:t>Staff proxy pain/discomfort level 2, predict:</w:t>
            </w:r>
          </w:p>
        </w:tc>
      </w:tr>
      <w:tr w:rsidR="00B54D51" w:rsidRPr="00037AD4" w14:paraId="48D01F19" w14:textId="77777777" w:rsidTr="00401C67">
        <w:trPr>
          <w:trHeight w:val="320"/>
        </w:trPr>
        <w:tc>
          <w:tcPr>
            <w:tcW w:w="289" w:type="pct"/>
            <w:noWrap/>
            <w:hideMark/>
          </w:tcPr>
          <w:p w14:paraId="422D44F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w:t>
            </w:r>
          </w:p>
        </w:tc>
        <w:tc>
          <w:tcPr>
            <w:tcW w:w="662" w:type="pct"/>
            <w:noWrap/>
            <w:hideMark/>
          </w:tcPr>
          <w:p w14:paraId="5DBB897A"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-.107   </w:t>
            </w:r>
          </w:p>
        </w:tc>
        <w:tc>
          <w:tcPr>
            <w:tcW w:w="837" w:type="pct"/>
          </w:tcPr>
          <w:p w14:paraId="7E95EDA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.0470</w:t>
            </w:r>
          </w:p>
        </w:tc>
        <w:tc>
          <w:tcPr>
            <w:tcW w:w="611" w:type="pct"/>
            <w:noWrap/>
            <w:hideMark/>
          </w:tcPr>
          <w:p w14:paraId="58CBF65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-2.28</w:t>
            </w:r>
          </w:p>
        </w:tc>
        <w:tc>
          <w:tcPr>
            <w:tcW w:w="653" w:type="pct"/>
            <w:noWrap/>
            <w:hideMark/>
          </w:tcPr>
          <w:p w14:paraId="23B54DA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0.022</w:t>
            </w:r>
          </w:p>
        </w:tc>
        <w:tc>
          <w:tcPr>
            <w:tcW w:w="1066" w:type="pct"/>
            <w:noWrap/>
            <w:hideMark/>
          </w:tcPr>
          <w:p w14:paraId="7D6FE8E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-0.200</w:t>
            </w:r>
          </w:p>
        </w:tc>
        <w:tc>
          <w:tcPr>
            <w:tcW w:w="883" w:type="pct"/>
            <w:noWrap/>
            <w:hideMark/>
          </w:tcPr>
          <w:p w14:paraId="4947212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-0.015</w:t>
            </w:r>
          </w:p>
        </w:tc>
      </w:tr>
      <w:tr w:rsidR="00B54D51" w:rsidRPr="00037AD4" w14:paraId="1F8F1309" w14:textId="77777777" w:rsidTr="00401C67">
        <w:trPr>
          <w:trHeight w:val="320"/>
        </w:trPr>
        <w:tc>
          <w:tcPr>
            <w:tcW w:w="289" w:type="pct"/>
            <w:noWrap/>
            <w:hideMark/>
          </w:tcPr>
          <w:p w14:paraId="7345EFE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w:t>
            </w:r>
          </w:p>
        </w:tc>
        <w:tc>
          <w:tcPr>
            <w:tcW w:w="662" w:type="pct"/>
            <w:noWrap/>
            <w:hideMark/>
          </w:tcPr>
          <w:p w14:paraId="5D123BE0" w14:textId="77777777" w:rsidR="00B54D51" w:rsidRPr="00037AD4" w:rsidRDefault="00B54D51" w:rsidP="00401C67">
            <w:pPr>
              <w:rPr>
                <w:rFonts w:ascii="Calibri" w:hAnsi="Calibri" w:cs="Calibri"/>
                <w:color w:val="000000"/>
              </w:rPr>
            </w:pPr>
            <w:r w:rsidRPr="00037AD4">
              <w:rPr>
                <w:rFonts w:ascii="Calibri" w:hAnsi="Calibri" w:cs="Calibri"/>
                <w:color w:val="000000"/>
              </w:rPr>
              <w:t>.050</w:t>
            </w:r>
          </w:p>
        </w:tc>
        <w:tc>
          <w:tcPr>
            <w:tcW w:w="837" w:type="pct"/>
          </w:tcPr>
          <w:p w14:paraId="1F8FE60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.020</w:t>
            </w:r>
          </w:p>
        </w:tc>
        <w:tc>
          <w:tcPr>
            <w:tcW w:w="611" w:type="pct"/>
            <w:noWrap/>
            <w:hideMark/>
          </w:tcPr>
          <w:p w14:paraId="6E796D3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2.46</w:t>
            </w:r>
          </w:p>
        </w:tc>
        <w:tc>
          <w:tcPr>
            <w:tcW w:w="653" w:type="pct"/>
            <w:noWrap/>
            <w:hideMark/>
          </w:tcPr>
          <w:p w14:paraId="435FD7C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0.014</w:t>
            </w:r>
          </w:p>
        </w:tc>
        <w:tc>
          <w:tcPr>
            <w:tcW w:w="1066" w:type="pct"/>
            <w:noWrap/>
            <w:hideMark/>
          </w:tcPr>
          <w:p w14:paraId="4EE5F6C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0.010</w:t>
            </w:r>
          </w:p>
        </w:tc>
        <w:tc>
          <w:tcPr>
            <w:tcW w:w="883" w:type="pct"/>
            <w:noWrap/>
            <w:hideMark/>
          </w:tcPr>
          <w:p w14:paraId="673962C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0.090</w:t>
            </w:r>
          </w:p>
        </w:tc>
      </w:tr>
      <w:tr w:rsidR="00B54D51" w:rsidRPr="00037AD4" w14:paraId="45F4ADE4" w14:textId="77777777" w:rsidTr="00401C67">
        <w:trPr>
          <w:trHeight w:val="320"/>
        </w:trPr>
        <w:tc>
          <w:tcPr>
            <w:tcW w:w="289" w:type="pct"/>
            <w:noWrap/>
            <w:hideMark/>
          </w:tcPr>
          <w:p w14:paraId="4ED9F03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w:t>
            </w:r>
          </w:p>
        </w:tc>
        <w:tc>
          <w:tcPr>
            <w:tcW w:w="662" w:type="pct"/>
            <w:noWrap/>
            <w:hideMark/>
          </w:tcPr>
          <w:p w14:paraId="19E19E24"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.034 </w:t>
            </w:r>
          </w:p>
        </w:tc>
        <w:tc>
          <w:tcPr>
            <w:tcW w:w="837" w:type="pct"/>
          </w:tcPr>
          <w:p w14:paraId="7F7C7FF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.016</w:t>
            </w:r>
          </w:p>
        </w:tc>
        <w:tc>
          <w:tcPr>
            <w:tcW w:w="611" w:type="pct"/>
            <w:noWrap/>
            <w:hideMark/>
          </w:tcPr>
          <w:p w14:paraId="66467CC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2.13</w:t>
            </w:r>
          </w:p>
        </w:tc>
        <w:tc>
          <w:tcPr>
            <w:tcW w:w="653" w:type="pct"/>
            <w:noWrap/>
            <w:hideMark/>
          </w:tcPr>
          <w:p w14:paraId="392E9C5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0.033</w:t>
            </w:r>
          </w:p>
        </w:tc>
        <w:tc>
          <w:tcPr>
            <w:tcW w:w="1066" w:type="pct"/>
            <w:noWrap/>
            <w:hideMark/>
          </w:tcPr>
          <w:p w14:paraId="4C31781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0.003</w:t>
            </w:r>
          </w:p>
        </w:tc>
        <w:tc>
          <w:tcPr>
            <w:tcW w:w="883" w:type="pct"/>
            <w:noWrap/>
            <w:hideMark/>
          </w:tcPr>
          <w:p w14:paraId="20D9288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0.065</w:t>
            </w:r>
          </w:p>
        </w:tc>
      </w:tr>
      <w:tr w:rsidR="00B54D51" w:rsidRPr="00037AD4" w14:paraId="5431E2BD" w14:textId="77777777" w:rsidTr="00401C67">
        <w:trPr>
          <w:trHeight w:val="320"/>
        </w:trPr>
        <w:tc>
          <w:tcPr>
            <w:tcW w:w="289" w:type="pct"/>
            <w:noWrap/>
            <w:hideMark/>
          </w:tcPr>
          <w:p w14:paraId="56BFDE6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w:t>
            </w:r>
          </w:p>
        </w:tc>
        <w:tc>
          <w:tcPr>
            <w:tcW w:w="662" w:type="pct"/>
            <w:noWrap/>
            <w:hideMark/>
          </w:tcPr>
          <w:p w14:paraId="19C47981" w14:textId="77777777" w:rsidR="00B54D51" w:rsidRPr="00037AD4" w:rsidRDefault="00B54D51" w:rsidP="00401C67">
            <w:pPr>
              <w:rPr>
                <w:rFonts w:ascii="Calibri" w:hAnsi="Calibri" w:cs="Calibri"/>
                <w:color w:val="000000"/>
              </w:rPr>
            </w:pPr>
            <w:r w:rsidRPr="00037AD4">
              <w:rPr>
                <w:rFonts w:ascii="Calibri" w:hAnsi="Calibri" w:cs="Calibri"/>
                <w:color w:val="000000"/>
              </w:rPr>
              <w:t>.021</w:t>
            </w:r>
          </w:p>
        </w:tc>
        <w:tc>
          <w:tcPr>
            <w:tcW w:w="837" w:type="pct"/>
          </w:tcPr>
          <w:p w14:paraId="2175FA0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.011</w:t>
            </w:r>
          </w:p>
        </w:tc>
        <w:tc>
          <w:tcPr>
            <w:tcW w:w="611" w:type="pct"/>
            <w:noWrap/>
            <w:hideMark/>
          </w:tcPr>
          <w:p w14:paraId="460649F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1.96</w:t>
            </w:r>
          </w:p>
        </w:tc>
        <w:tc>
          <w:tcPr>
            <w:tcW w:w="653" w:type="pct"/>
            <w:noWrap/>
            <w:hideMark/>
          </w:tcPr>
          <w:p w14:paraId="7A507DF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0.05</w:t>
            </w:r>
          </w:p>
        </w:tc>
        <w:tc>
          <w:tcPr>
            <w:tcW w:w="1066" w:type="pct"/>
            <w:noWrap/>
            <w:hideMark/>
          </w:tcPr>
          <w:p w14:paraId="7CFE5D6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883" w:type="pct"/>
            <w:noWrap/>
            <w:hideMark/>
          </w:tcPr>
          <w:p w14:paraId="45511F7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0.042</w:t>
            </w:r>
          </w:p>
        </w:tc>
      </w:tr>
      <w:tr w:rsidR="00B54D51" w:rsidRPr="00037AD4" w14:paraId="3433C093" w14:textId="77777777" w:rsidTr="00401C67">
        <w:trPr>
          <w:trHeight w:val="320"/>
        </w:trPr>
        <w:tc>
          <w:tcPr>
            <w:tcW w:w="289" w:type="pct"/>
            <w:noWrap/>
            <w:hideMark/>
          </w:tcPr>
          <w:p w14:paraId="18D44ED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5</w:t>
            </w:r>
          </w:p>
        </w:tc>
        <w:tc>
          <w:tcPr>
            <w:tcW w:w="662" w:type="pct"/>
            <w:noWrap/>
            <w:hideMark/>
          </w:tcPr>
          <w:p w14:paraId="23E07FD2" w14:textId="77777777" w:rsidR="00B54D51" w:rsidRPr="00037AD4" w:rsidRDefault="00B54D51" w:rsidP="00401C67">
            <w:pPr>
              <w:rPr>
                <w:rFonts w:ascii="Calibri" w:hAnsi="Calibri" w:cs="Calibri"/>
                <w:color w:val="000000"/>
              </w:rPr>
            </w:pPr>
            <w:r w:rsidRPr="00037AD4">
              <w:rPr>
                <w:rFonts w:ascii="Calibri" w:hAnsi="Calibri" w:cs="Calibri"/>
                <w:color w:val="000000"/>
              </w:rPr>
              <w:t>.003</w:t>
            </w:r>
          </w:p>
        </w:tc>
        <w:tc>
          <w:tcPr>
            <w:tcW w:w="837" w:type="pct"/>
          </w:tcPr>
          <w:p w14:paraId="7694513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w:t>
            </w:r>
          </w:p>
        </w:tc>
        <w:tc>
          <w:tcPr>
            <w:tcW w:w="611" w:type="pct"/>
            <w:noWrap/>
            <w:hideMark/>
          </w:tcPr>
          <w:p w14:paraId="32FD629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1.25</w:t>
            </w:r>
          </w:p>
        </w:tc>
        <w:tc>
          <w:tcPr>
            <w:tcW w:w="653" w:type="pct"/>
            <w:noWrap/>
            <w:hideMark/>
          </w:tcPr>
          <w:p w14:paraId="3DBCBF3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0.21</w:t>
            </w:r>
          </w:p>
        </w:tc>
        <w:tc>
          <w:tcPr>
            <w:tcW w:w="1066" w:type="pct"/>
            <w:noWrap/>
            <w:hideMark/>
          </w:tcPr>
          <w:p w14:paraId="0D011BF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-0.002</w:t>
            </w:r>
          </w:p>
        </w:tc>
        <w:tc>
          <w:tcPr>
            <w:tcW w:w="883" w:type="pct"/>
            <w:noWrap/>
            <w:hideMark/>
          </w:tcPr>
          <w:p w14:paraId="7E9BA5C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0.007</w:t>
            </w:r>
          </w:p>
        </w:tc>
      </w:tr>
      <w:tr w:rsidR="00B54D51" w:rsidRPr="00037AD4" w14:paraId="13D4ACDB" w14:textId="77777777" w:rsidTr="00401C67">
        <w:trPr>
          <w:trHeight w:val="320"/>
        </w:trPr>
        <w:tc>
          <w:tcPr>
            <w:tcW w:w="5000" w:type="pct"/>
            <w:gridSpan w:val="7"/>
            <w:shd w:val="clear" w:color="auto" w:fill="F2F2F2" w:themeFill="background1" w:themeFillShade="F2"/>
          </w:tcPr>
          <w:p w14:paraId="406F95DA" w14:textId="77777777" w:rsidR="00B54D51" w:rsidRPr="00037AD4" w:rsidRDefault="00B54D51" w:rsidP="00401C67">
            <w:pPr>
              <w:rPr>
                <w:sz w:val="20"/>
                <w:szCs w:val="20"/>
              </w:rPr>
            </w:pPr>
            <w:r w:rsidRPr="00037AD4">
              <w:rPr>
                <w:rFonts w:ascii="Calibri" w:hAnsi="Calibri" w:cs="Calibri"/>
                <w:color w:val="000000"/>
              </w:rPr>
              <w:t>Staff proxy pain/discomfort level 3, predict:</w:t>
            </w:r>
          </w:p>
        </w:tc>
      </w:tr>
      <w:tr w:rsidR="00B54D51" w:rsidRPr="00037AD4" w14:paraId="4C0577B0" w14:textId="77777777" w:rsidTr="00401C67">
        <w:trPr>
          <w:trHeight w:val="320"/>
        </w:trPr>
        <w:tc>
          <w:tcPr>
            <w:tcW w:w="289" w:type="pct"/>
            <w:noWrap/>
            <w:hideMark/>
          </w:tcPr>
          <w:p w14:paraId="60F80D2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w:t>
            </w:r>
          </w:p>
        </w:tc>
        <w:tc>
          <w:tcPr>
            <w:tcW w:w="662" w:type="pct"/>
            <w:noWrap/>
            <w:hideMark/>
          </w:tcPr>
          <w:p w14:paraId="271E32FE"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-.291    </w:t>
            </w:r>
          </w:p>
        </w:tc>
        <w:tc>
          <w:tcPr>
            <w:tcW w:w="837" w:type="pct"/>
          </w:tcPr>
          <w:p w14:paraId="4C97043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.054</w:t>
            </w:r>
          </w:p>
        </w:tc>
        <w:tc>
          <w:tcPr>
            <w:tcW w:w="611" w:type="pct"/>
            <w:noWrap/>
            <w:hideMark/>
          </w:tcPr>
          <w:p w14:paraId="588A099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-5.39</w:t>
            </w:r>
          </w:p>
        </w:tc>
        <w:tc>
          <w:tcPr>
            <w:tcW w:w="653" w:type="pct"/>
            <w:noWrap/>
            <w:hideMark/>
          </w:tcPr>
          <w:p w14:paraId="42A00FD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w:t>
            </w:r>
          </w:p>
        </w:tc>
        <w:tc>
          <w:tcPr>
            <w:tcW w:w="1066" w:type="pct"/>
            <w:noWrap/>
            <w:hideMark/>
          </w:tcPr>
          <w:p w14:paraId="118BDD2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-0.397</w:t>
            </w:r>
          </w:p>
        </w:tc>
        <w:tc>
          <w:tcPr>
            <w:tcW w:w="883" w:type="pct"/>
            <w:noWrap/>
            <w:hideMark/>
          </w:tcPr>
          <w:p w14:paraId="3DB10B2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-0.185</w:t>
            </w:r>
          </w:p>
        </w:tc>
      </w:tr>
      <w:tr w:rsidR="00B54D51" w:rsidRPr="00037AD4" w14:paraId="73567D3B" w14:textId="77777777" w:rsidTr="00401C67">
        <w:trPr>
          <w:trHeight w:val="320"/>
        </w:trPr>
        <w:tc>
          <w:tcPr>
            <w:tcW w:w="289" w:type="pct"/>
            <w:noWrap/>
            <w:hideMark/>
          </w:tcPr>
          <w:p w14:paraId="08CD6E5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w:t>
            </w:r>
          </w:p>
        </w:tc>
        <w:tc>
          <w:tcPr>
            <w:tcW w:w="662" w:type="pct"/>
            <w:noWrap/>
            <w:hideMark/>
          </w:tcPr>
          <w:p w14:paraId="4C0E9316"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.105   </w:t>
            </w:r>
          </w:p>
        </w:tc>
        <w:tc>
          <w:tcPr>
            <w:tcW w:w="837" w:type="pct"/>
          </w:tcPr>
          <w:p w14:paraId="662D958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.016</w:t>
            </w:r>
          </w:p>
        </w:tc>
        <w:tc>
          <w:tcPr>
            <w:tcW w:w="611" w:type="pct"/>
            <w:noWrap/>
            <w:hideMark/>
          </w:tcPr>
          <w:p w14:paraId="7DCE0A0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6.68</w:t>
            </w:r>
          </w:p>
        </w:tc>
        <w:tc>
          <w:tcPr>
            <w:tcW w:w="653" w:type="pct"/>
            <w:noWrap/>
            <w:hideMark/>
          </w:tcPr>
          <w:p w14:paraId="64645C6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w:t>
            </w:r>
          </w:p>
        </w:tc>
        <w:tc>
          <w:tcPr>
            <w:tcW w:w="1066" w:type="pct"/>
            <w:noWrap/>
            <w:hideMark/>
          </w:tcPr>
          <w:p w14:paraId="793ABB5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0.074</w:t>
            </w:r>
          </w:p>
        </w:tc>
        <w:tc>
          <w:tcPr>
            <w:tcW w:w="883" w:type="pct"/>
            <w:noWrap/>
            <w:hideMark/>
          </w:tcPr>
          <w:p w14:paraId="5D32724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0.135</w:t>
            </w:r>
          </w:p>
        </w:tc>
      </w:tr>
      <w:tr w:rsidR="00B54D51" w:rsidRPr="00037AD4" w14:paraId="4356D892" w14:textId="77777777" w:rsidTr="00401C67">
        <w:trPr>
          <w:trHeight w:val="320"/>
        </w:trPr>
        <w:tc>
          <w:tcPr>
            <w:tcW w:w="289" w:type="pct"/>
            <w:noWrap/>
            <w:hideMark/>
          </w:tcPr>
          <w:p w14:paraId="580F3B2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w:t>
            </w:r>
          </w:p>
        </w:tc>
        <w:tc>
          <w:tcPr>
            <w:tcW w:w="662" w:type="pct"/>
            <w:noWrap/>
            <w:hideMark/>
          </w:tcPr>
          <w:p w14:paraId="5B5DA87A"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.096   </w:t>
            </w:r>
          </w:p>
        </w:tc>
        <w:tc>
          <w:tcPr>
            <w:tcW w:w="837" w:type="pct"/>
          </w:tcPr>
          <w:p w14:paraId="3315319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.021</w:t>
            </w:r>
          </w:p>
        </w:tc>
        <w:tc>
          <w:tcPr>
            <w:tcW w:w="611" w:type="pct"/>
            <w:noWrap/>
            <w:hideMark/>
          </w:tcPr>
          <w:p w14:paraId="4F1BCBC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4.47</w:t>
            </w:r>
          </w:p>
        </w:tc>
        <w:tc>
          <w:tcPr>
            <w:tcW w:w="653" w:type="pct"/>
            <w:noWrap/>
            <w:hideMark/>
          </w:tcPr>
          <w:p w14:paraId="7864DF3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w:t>
            </w:r>
          </w:p>
        </w:tc>
        <w:tc>
          <w:tcPr>
            <w:tcW w:w="1066" w:type="pct"/>
            <w:noWrap/>
            <w:hideMark/>
          </w:tcPr>
          <w:p w14:paraId="50D51A7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0.054</w:t>
            </w:r>
          </w:p>
        </w:tc>
        <w:tc>
          <w:tcPr>
            <w:tcW w:w="883" w:type="pct"/>
            <w:noWrap/>
            <w:hideMark/>
          </w:tcPr>
          <w:p w14:paraId="1A6582C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0.138</w:t>
            </w:r>
          </w:p>
        </w:tc>
      </w:tr>
      <w:tr w:rsidR="00B54D51" w:rsidRPr="00037AD4" w14:paraId="069A56E2" w14:textId="77777777" w:rsidTr="00401C67">
        <w:trPr>
          <w:trHeight w:val="320"/>
        </w:trPr>
        <w:tc>
          <w:tcPr>
            <w:tcW w:w="289" w:type="pct"/>
            <w:noWrap/>
            <w:hideMark/>
          </w:tcPr>
          <w:p w14:paraId="75BF2F6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w:t>
            </w:r>
          </w:p>
        </w:tc>
        <w:tc>
          <w:tcPr>
            <w:tcW w:w="662" w:type="pct"/>
            <w:noWrap/>
            <w:hideMark/>
          </w:tcPr>
          <w:p w14:paraId="428B795C"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.076 </w:t>
            </w:r>
          </w:p>
        </w:tc>
        <w:tc>
          <w:tcPr>
            <w:tcW w:w="837" w:type="pct"/>
          </w:tcPr>
          <w:p w14:paraId="7BBB958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.022</w:t>
            </w:r>
          </w:p>
        </w:tc>
        <w:tc>
          <w:tcPr>
            <w:tcW w:w="611" w:type="pct"/>
            <w:noWrap/>
            <w:hideMark/>
          </w:tcPr>
          <w:p w14:paraId="666598A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3.5</w:t>
            </w:r>
          </w:p>
        </w:tc>
        <w:tc>
          <w:tcPr>
            <w:tcW w:w="653" w:type="pct"/>
            <w:noWrap/>
            <w:hideMark/>
          </w:tcPr>
          <w:p w14:paraId="629EAC9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w:t>
            </w:r>
          </w:p>
        </w:tc>
        <w:tc>
          <w:tcPr>
            <w:tcW w:w="1066" w:type="pct"/>
            <w:noWrap/>
            <w:hideMark/>
          </w:tcPr>
          <w:p w14:paraId="7C4F055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0.034</w:t>
            </w:r>
          </w:p>
        </w:tc>
        <w:tc>
          <w:tcPr>
            <w:tcW w:w="883" w:type="pct"/>
            <w:noWrap/>
            <w:hideMark/>
          </w:tcPr>
          <w:p w14:paraId="7E8D1CE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0.119</w:t>
            </w:r>
          </w:p>
        </w:tc>
      </w:tr>
      <w:tr w:rsidR="00B54D51" w:rsidRPr="00037AD4" w14:paraId="22A821C9" w14:textId="77777777" w:rsidTr="00401C67">
        <w:trPr>
          <w:trHeight w:val="320"/>
        </w:trPr>
        <w:tc>
          <w:tcPr>
            <w:tcW w:w="289" w:type="pct"/>
            <w:noWrap/>
            <w:hideMark/>
          </w:tcPr>
          <w:p w14:paraId="6A03DFE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5</w:t>
            </w:r>
          </w:p>
        </w:tc>
        <w:tc>
          <w:tcPr>
            <w:tcW w:w="662" w:type="pct"/>
            <w:noWrap/>
            <w:hideMark/>
          </w:tcPr>
          <w:p w14:paraId="31B1D63F"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.014 </w:t>
            </w:r>
          </w:p>
        </w:tc>
        <w:tc>
          <w:tcPr>
            <w:tcW w:w="837" w:type="pct"/>
          </w:tcPr>
          <w:p w14:paraId="0E74F83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.008</w:t>
            </w:r>
          </w:p>
        </w:tc>
        <w:tc>
          <w:tcPr>
            <w:tcW w:w="611" w:type="pct"/>
            <w:noWrap/>
            <w:hideMark/>
          </w:tcPr>
          <w:p w14:paraId="386435B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1.73</w:t>
            </w:r>
          </w:p>
        </w:tc>
        <w:tc>
          <w:tcPr>
            <w:tcW w:w="653" w:type="pct"/>
            <w:noWrap/>
            <w:hideMark/>
          </w:tcPr>
          <w:p w14:paraId="776CB8F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0.083</w:t>
            </w:r>
          </w:p>
        </w:tc>
        <w:tc>
          <w:tcPr>
            <w:tcW w:w="1066" w:type="pct"/>
            <w:noWrap/>
            <w:hideMark/>
          </w:tcPr>
          <w:p w14:paraId="2100CAA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-0.002</w:t>
            </w:r>
          </w:p>
        </w:tc>
        <w:tc>
          <w:tcPr>
            <w:tcW w:w="883" w:type="pct"/>
            <w:noWrap/>
            <w:hideMark/>
          </w:tcPr>
          <w:p w14:paraId="366A2F5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0.031</w:t>
            </w:r>
          </w:p>
        </w:tc>
      </w:tr>
      <w:tr w:rsidR="00B54D51" w:rsidRPr="00037AD4" w14:paraId="4CC2AF95" w14:textId="77777777" w:rsidTr="00401C67">
        <w:trPr>
          <w:trHeight w:val="320"/>
        </w:trPr>
        <w:tc>
          <w:tcPr>
            <w:tcW w:w="5000" w:type="pct"/>
            <w:gridSpan w:val="7"/>
            <w:shd w:val="clear" w:color="auto" w:fill="F2F2F2" w:themeFill="background1" w:themeFillShade="F2"/>
          </w:tcPr>
          <w:p w14:paraId="2724E06E" w14:textId="77777777" w:rsidR="00B54D51" w:rsidRPr="00037AD4" w:rsidRDefault="00B54D51" w:rsidP="00401C67">
            <w:pPr>
              <w:rPr>
                <w:sz w:val="20"/>
                <w:szCs w:val="20"/>
              </w:rPr>
            </w:pPr>
            <w:r w:rsidRPr="00037AD4">
              <w:rPr>
                <w:rFonts w:ascii="Calibri" w:hAnsi="Calibri" w:cs="Calibri"/>
                <w:color w:val="000000"/>
              </w:rPr>
              <w:t>Staff proxy pain/discomfort level 4/5, predict:</w:t>
            </w:r>
          </w:p>
        </w:tc>
      </w:tr>
      <w:tr w:rsidR="00B54D51" w:rsidRPr="00037AD4" w14:paraId="1F0A9122" w14:textId="77777777" w:rsidTr="00401C67">
        <w:trPr>
          <w:trHeight w:val="320"/>
        </w:trPr>
        <w:tc>
          <w:tcPr>
            <w:tcW w:w="289" w:type="pct"/>
            <w:noWrap/>
            <w:hideMark/>
          </w:tcPr>
          <w:p w14:paraId="63D6B5E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w:t>
            </w:r>
          </w:p>
        </w:tc>
        <w:tc>
          <w:tcPr>
            <w:tcW w:w="662" w:type="pct"/>
            <w:noWrap/>
            <w:hideMark/>
          </w:tcPr>
          <w:p w14:paraId="3F0C4EE8"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-.418 </w:t>
            </w:r>
          </w:p>
        </w:tc>
        <w:tc>
          <w:tcPr>
            <w:tcW w:w="837" w:type="pct"/>
          </w:tcPr>
          <w:p w14:paraId="563BEFC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.087</w:t>
            </w:r>
          </w:p>
        </w:tc>
        <w:tc>
          <w:tcPr>
            <w:tcW w:w="611" w:type="pct"/>
            <w:noWrap/>
            <w:hideMark/>
          </w:tcPr>
          <w:p w14:paraId="546A626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-4.78</w:t>
            </w:r>
          </w:p>
        </w:tc>
        <w:tc>
          <w:tcPr>
            <w:tcW w:w="653" w:type="pct"/>
            <w:noWrap/>
            <w:hideMark/>
          </w:tcPr>
          <w:p w14:paraId="104F1E8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w:t>
            </w:r>
          </w:p>
        </w:tc>
        <w:tc>
          <w:tcPr>
            <w:tcW w:w="1066" w:type="pct"/>
            <w:noWrap/>
            <w:hideMark/>
          </w:tcPr>
          <w:p w14:paraId="46540C7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-0.589</w:t>
            </w:r>
          </w:p>
        </w:tc>
        <w:tc>
          <w:tcPr>
            <w:tcW w:w="883" w:type="pct"/>
            <w:noWrap/>
            <w:hideMark/>
          </w:tcPr>
          <w:p w14:paraId="216E499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-0.246</w:t>
            </w:r>
          </w:p>
        </w:tc>
      </w:tr>
      <w:tr w:rsidR="00B54D51" w:rsidRPr="00037AD4" w14:paraId="25BC7624" w14:textId="77777777" w:rsidTr="00401C67">
        <w:trPr>
          <w:trHeight w:val="320"/>
        </w:trPr>
        <w:tc>
          <w:tcPr>
            <w:tcW w:w="289" w:type="pct"/>
            <w:noWrap/>
            <w:hideMark/>
          </w:tcPr>
          <w:p w14:paraId="736E865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w:t>
            </w:r>
          </w:p>
        </w:tc>
        <w:tc>
          <w:tcPr>
            <w:tcW w:w="662" w:type="pct"/>
            <w:noWrap/>
            <w:hideMark/>
          </w:tcPr>
          <w:p w14:paraId="72239768" w14:textId="77777777" w:rsidR="00B54D51" w:rsidRPr="00037AD4" w:rsidRDefault="00B54D51" w:rsidP="00401C67">
            <w:pPr>
              <w:rPr>
                <w:rFonts w:ascii="Calibri" w:hAnsi="Calibri" w:cs="Calibri"/>
                <w:color w:val="000000"/>
              </w:rPr>
            </w:pPr>
            <w:r w:rsidRPr="00037AD4">
              <w:rPr>
                <w:rFonts w:ascii="Calibri" w:hAnsi="Calibri" w:cs="Calibri"/>
                <w:color w:val="000000"/>
              </w:rPr>
              <w:t>.115</w:t>
            </w:r>
          </w:p>
        </w:tc>
        <w:tc>
          <w:tcPr>
            <w:tcW w:w="837" w:type="pct"/>
          </w:tcPr>
          <w:p w14:paraId="5A7463C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.014</w:t>
            </w:r>
          </w:p>
        </w:tc>
        <w:tc>
          <w:tcPr>
            <w:tcW w:w="611" w:type="pct"/>
            <w:noWrap/>
            <w:hideMark/>
          </w:tcPr>
          <w:p w14:paraId="3E255C0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8.2</w:t>
            </w:r>
          </w:p>
        </w:tc>
        <w:tc>
          <w:tcPr>
            <w:tcW w:w="653" w:type="pct"/>
            <w:noWrap/>
            <w:hideMark/>
          </w:tcPr>
          <w:p w14:paraId="3A4961D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w:t>
            </w:r>
          </w:p>
        </w:tc>
        <w:tc>
          <w:tcPr>
            <w:tcW w:w="1066" w:type="pct"/>
            <w:noWrap/>
            <w:hideMark/>
          </w:tcPr>
          <w:p w14:paraId="2C3B96B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0.087</w:t>
            </w:r>
          </w:p>
        </w:tc>
        <w:tc>
          <w:tcPr>
            <w:tcW w:w="883" w:type="pct"/>
            <w:noWrap/>
            <w:hideMark/>
          </w:tcPr>
          <w:p w14:paraId="05122FB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0.142</w:t>
            </w:r>
          </w:p>
        </w:tc>
      </w:tr>
      <w:tr w:rsidR="00B54D51" w:rsidRPr="00037AD4" w14:paraId="5CBD75FA" w14:textId="77777777" w:rsidTr="00401C67">
        <w:trPr>
          <w:trHeight w:val="320"/>
        </w:trPr>
        <w:tc>
          <w:tcPr>
            <w:tcW w:w="289" w:type="pct"/>
            <w:noWrap/>
            <w:hideMark/>
          </w:tcPr>
          <w:p w14:paraId="4A0CF89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w:t>
            </w:r>
          </w:p>
        </w:tc>
        <w:tc>
          <w:tcPr>
            <w:tcW w:w="662" w:type="pct"/>
            <w:noWrap/>
            <w:hideMark/>
          </w:tcPr>
          <w:p w14:paraId="6EA913C3"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.137 </w:t>
            </w:r>
          </w:p>
        </w:tc>
        <w:tc>
          <w:tcPr>
            <w:tcW w:w="837" w:type="pct"/>
          </w:tcPr>
          <w:p w14:paraId="6768236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.032</w:t>
            </w:r>
          </w:p>
        </w:tc>
        <w:tc>
          <w:tcPr>
            <w:tcW w:w="611" w:type="pct"/>
            <w:noWrap/>
            <w:hideMark/>
          </w:tcPr>
          <w:p w14:paraId="212371D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4.27</w:t>
            </w:r>
          </w:p>
        </w:tc>
        <w:tc>
          <w:tcPr>
            <w:tcW w:w="653" w:type="pct"/>
            <w:noWrap/>
            <w:hideMark/>
          </w:tcPr>
          <w:p w14:paraId="67D3719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w:t>
            </w:r>
          </w:p>
        </w:tc>
        <w:tc>
          <w:tcPr>
            <w:tcW w:w="1066" w:type="pct"/>
            <w:noWrap/>
            <w:hideMark/>
          </w:tcPr>
          <w:p w14:paraId="35B98CF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0.074</w:t>
            </w:r>
          </w:p>
        </w:tc>
        <w:tc>
          <w:tcPr>
            <w:tcW w:w="883" w:type="pct"/>
            <w:noWrap/>
            <w:hideMark/>
          </w:tcPr>
          <w:p w14:paraId="2A60C04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0.200</w:t>
            </w:r>
          </w:p>
        </w:tc>
      </w:tr>
      <w:tr w:rsidR="00B54D51" w:rsidRPr="00037AD4" w14:paraId="584B598C" w14:textId="77777777" w:rsidTr="00401C67">
        <w:trPr>
          <w:trHeight w:val="320"/>
        </w:trPr>
        <w:tc>
          <w:tcPr>
            <w:tcW w:w="289" w:type="pct"/>
            <w:noWrap/>
            <w:hideMark/>
          </w:tcPr>
          <w:p w14:paraId="6B63E04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w:t>
            </w:r>
          </w:p>
        </w:tc>
        <w:tc>
          <w:tcPr>
            <w:tcW w:w="662" w:type="pct"/>
            <w:noWrap/>
            <w:hideMark/>
          </w:tcPr>
          <w:p w14:paraId="719F98D8"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.133 </w:t>
            </w:r>
          </w:p>
        </w:tc>
        <w:tc>
          <w:tcPr>
            <w:tcW w:w="837" w:type="pct"/>
          </w:tcPr>
          <w:p w14:paraId="12B7985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.047</w:t>
            </w:r>
          </w:p>
        </w:tc>
        <w:tc>
          <w:tcPr>
            <w:tcW w:w="611" w:type="pct"/>
            <w:noWrap/>
            <w:hideMark/>
          </w:tcPr>
          <w:p w14:paraId="285B536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2.85</w:t>
            </w:r>
          </w:p>
        </w:tc>
        <w:tc>
          <w:tcPr>
            <w:tcW w:w="653" w:type="pct"/>
            <w:noWrap/>
            <w:hideMark/>
          </w:tcPr>
          <w:p w14:paraId="529ACF6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0.004</w:t>
            </w:r>
          </w:p>
        </w:tc>
        <w:tc>
          <w:tcPr>
            <w:tcW w:w="1066" w:type="pct"/>
            <w:noWrap/>
            <w:hideMark/>
          </w:tcPr>
          <w:p w14:paraId="1812DB5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0.042</w:t>
            </w:r>
          </w:p>
        </w:tc>
        <w:tc>
          <w:tcPr>
            <w:tcW w:w="883" w:type="pct"/>
            <w:noWrap/>
            <w:hideMark/>
          </w:tcPr>
          <w:p w14:paraId="2674577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0.225</w:t>
            </w:r>
          </w:p>
        </w:tc>
      </w:tr>
      <w:tr w:rsidR="00B54D51" w:rsidRPr="00037AD4" w14:paraId="45ED16B7" w14:textId="77777777" w:rsidTr="00401C67">
        <w:trPr>
          <w:trHeight w:val="320"/>
        </w:trPr>
        <w:tc>
          <w:tcPr>
            <w:tcW w:w="289" w:type="pct"/>
            <w:noWrap/>
            <w:hideMark/>
          </w:tcPr>
          <w:p w14:paraId="5DB7455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5</w:t>
            </w:r>
          </w:p>
        </w:tc>
        <w:tc>
          <w:tcPr>
            <w:tcW w:w="662" w:type="pct"/>
            <w:noWrap/>
            <w:hideMark/>
          </w:tcPr>
          <w:p w14:paraId="5AEC39FA" w14:textId="77777777" w:rsidR="00B54D51" w:rsidRPr="00037AD4" w:rsidRDefault="00B54D51" w:rsidP="00401C67">
            <w:pPr>
              <w:rPr>
                <w:rFonts w:ascii="Calibri" w:hAnsi="Calibri" w:cs="Calibri"/>
                <w:color w:val="000000"/>
              </w:rPr>
            </w:pPr>
            <w:r w:rsidRPr="00037AD4">
              <w:rPr>
                <w:rFonts w:ascii="Calibri" w:hAnsi="Calibri" w:cs="Calibri"/>
                <w:color w:val="000000"/>
              </w:rPr>
              <w:t>.033</w:t>
            </w:r>
          </w:p>
        </w:tc>
        <w:tc>
          <w:tcPr>
            <w:tcW w:w="837" w:type="pct"/>
          </w:tcPr>
          <w:p w14:paraId="3379131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.021</w:t>
            </w:r>
          </w:p>
        </w:tc>
        <w:tc>
          <w:tcPr>
            <w:tcW w:w="611" w:type="pct"/>
            <w:noWrap/>
            <w:hideMark/>
          </w:tcPr>
          <w:p w14:paraId="46DD7EE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1.54</w:t>
            </w:r>
          </w:p>
        </w:tc>
        <w:tc>
          <w:tcPr>
            <w:tcW w:w="653" w:type="pct"/>
            <w:noWrap/>
            <w:hideMark/>
          </w:tcPr>
          <w:p w14:paraId="3A5ACDF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0.123</w:t>
            </w:r>
          </w:p>
        </w:tc>
        <w:tc>
          <w:tcPr>
            <w:tcW w:w="1066" w:type="pct"/>
            <w:noWrap/>
            <w:hideMark/>
          </w:tcPr>
          <w:p w14:paraId="489D743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-0.009</w:t>
            </w:r>
          </w:p>
        </w:tc>
        <w:tc>
          <w:tcPr>
            <w:tcW w:w="883" w:type="pct"/>
            <w:noWrap/>
            <w:hideMark/>
          </w:tcPr>
          <w:p w14:paraId="5B7F83B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0.075</w:t>
            </w:r>
          </w:p>
        </w:tc>
      </w:tr>
      <w:tr w:rsidR="00B54D51" w:rsidRPr="00037AD4" w14:paraId="4D12B481" w14:textId="77777777" w:rsidTr="00401C67">
        <w:trPr>
          <w:trHeight w:val="320"/>
        </w:trPr>
        <w:tc>
          <w:tcPr>
            <w:tcW w:w="5000" w:type="pct"/>
            <w:gridSpan w:val="7"/>
            <w:shd w:val="clear" w:color="auto" w:fill="F2F2F2" w:themeFill="background1" w:themeFillShade="F2"/>
          </w:tcPr>
          <w:p w14:paraId="338D4166" w14:textId="77777777" w:rsidR="00B54D51" w:rsidRPr="00037AD4" w:rsidRDefault="00B54D51" w:rsidP="00401C67">
            <w:pPr>
              <w:rPr>
                <w:rFonts w:ascii="Calibri" w:hAnsi="Calibri" w:cs="Calibri"/>
                <w:color w:val="000000"/>
              </w:rPr>
            </w:pPr>
            <w:r w:rsidRPr="00037AD4">
              <w:rPr>
                <w:rFonts w:ascii="Calibri" w:hAnsi="Calibri" w:cs="Calibri"/>
                <w:color w:val="000000"/>
              </w:rPr>
              <w:t>PwD sex (base outcome = male)</w:t>
            </w:r>
          </w:p>
        </w:tc>
      </w:tr>
      <w:tr w:rsidR="00B54D51" w:rsidRPr="00037AD4" w14:paraId="5C45694B" w14:textId="77777777" w:rsidTr="00401C67">
        <w:trPr>
          <w:trHeight w:val="320"/>
        </w:trPr>
        <w:tc>
          <w:tcPr>
            <w:tcW w:w="5000" w:type="pct"/>
            <w:gridSpan w:val="7"/>
            <w:shd w:val="clear" w:color="auto" w:fill="F2F2F2" w:themeFill="background1" w:themeFillShade="F2"/>
          </w:tcPr>
          <w:p w14:paraId="61A39985" w14:textId="77777777" w:rsidR="00B54D51" w:rsidRPr="00037AD4" w:rsidRDefault="00B54D51" w:rsidP="00401C67">
            <w:pPr>
              <w:rPr>
                <w:sz w:val="20"/>
                <w:szCs w:val="20"/>
              </w:rPr>
            </w:pPr>
            <w:r w:rsidRPr="00037AD4">
              <w:rPr>
                <w:rFonts w:ascii="Calibri" w:hAnsi="Calibri" w:cs="Calibri"/>
                <w:color w:val="000000"/>
              </w:rPr>
              <w:t>PwD sex, female predict:</w:t>
            </w:r>
          </w:p>
        </w:tc>
      </w:tr>
      <w:tr w:rsidR="00B54D51" w:rsidRPr="00037AD4" w14:paraId="6A5BC8BC" w14:textId="77777777" w:rsidTr="00401C67">
        <w:trPr>
          <w:trHeight w:val="320"/>
        </w:trPr>
        <w:tc>
          <w:tcPr>
            <w:tcW w:w="289" w:type="pct"/>
            <w:noWrap/>
            <w:hideMark/>
          </w:tcPr>
          <w:p w14:paraId="6DE5444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w:t>
            </w:r>
          </w:p>
        </w:tc>
        <w:tc>
          <w:tcPr>
            <w:tcW w:w="662" w:type="pct"/>
            <w:noWrap/>
            <w:hideMark/>
          </w:tcPr>
          <w:p w14:paraId="0F783B92"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.036   </w:t>
            </w:r>
          </w:p>
        </w:tc>
        <w:tc>
          <w:tcPr>
            <w:tcW w:w="837" w:type="pct"/>
          </w:tcPr>
          <w:p w14:paraId="12920E4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.039</w:t>
            </w:r>
          </w:p>
        </w:tc>
        <w:tc>
          <w:tcPr>
            <w:tcW w:w="611" w:type="pct"/>
            <w:noWrap/>
            <w:hideMark/>
          </w:tcPr>
          <w:p w14:paraId="083B9E0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0.93</w:t>
            </w:r>
          </w:p>
        </w:tc>
        <w:tc>
          <w:tcPr>
            <w:tcW w:w="653" w:type="pct"/>
            <w:noWrap/>
            <w:hideMark/>
          </w:tcPr>
          <w:p w14:paraId="722953C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0.352</w:t>
            </w:r>
          </w:p>
        </w:tc>
        <w:tc>
          <w:tcPr>
            <w:tcW w:w="1066" w:type="pct"/>
            <w:noWrap/>
            <w:hideMark/>
          </w:tcPr>
          <w:p w14:paraId="367F8A6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-0.040</w:t>
            </w:r>
          </w:p>
        </w:tc>
        <w:tc>
          <w:tcPr>
            <w:tcW w:w="883" w:type="pct"/>
            <w:noWrap/>
            <w:hideMark/>
          </w:tcPr>
          <w:p w14:paraId="55EC6E9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0.112</w:t>
            </w:r>
          </w:p>
        </w:tc>
      </w:tr>
      <w:tr w:rsidR="00B54D51" w:rsidRPr="00037AD4" w14:paraId="06E790D2" w14:textId="77777777" w:rsidTr="00401C67">
        <w:trPr>
          <w:trHeight w:val="320"/>
        </w:trPr>
        <w:tc>
          <w:tcPr>
            <w:tcW w:w="289" w:type="pct"/>
            <w:noWrap/>
            <w:hideMark/>
          </w:tcPr>
          <w:p w14:paraId="5E30B66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w:t>
            </w:r>
          </w:p>
        </w:tc>
        <w:tc>
          <w:tcPr>
            <w:tcW w:w="662" w:type="pct"/>
            <w:noWrap/>
            <w:hideMark/>
          </w:tcPr>
          <w:p w14:paraId="0DD1782A"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-.016 </w:t>
            </w:r>
          </w:p>
        </w:tc>
        <w:tc>
          <w:tcPr>
            <w:tcW w:w="837" w:type="pct"/>
          </w:tcPr>
          <w:p w14:paraId="37FB9D5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.017</w:t>
            </w:r>
          </w:p>
        </w:tc>
        <w:tc>
          <w:tcPr>
            <w:tcW w:w="611" w:type="pct"/>
            <w:noWrap/>
            <w:hideMark/>
          </w:tcPr>
          <w:p w14:paraId="4ACF709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-0.96</w:t>
            </w:r>
          </w:p>
        </w:tc>
        <w:tc>
          <w:tcPr>
            <w:tcW w:w="653" w:type="pct"/>
            <w:noWrap/>
            <w:hideMark/>
          </w:tcPr>
          <w:p w14:paraId="131F18D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0.339</w:t>
            </w:r>
          </w:p>
        </w:tc>
        <w:tc>
          <w:tcPr>
            <w:tcW w:w="1066" w:type="pct"/>
            <w:noWrap/>
            <w:hideMark/>
          </w:tcPr>
          <w:p w14:paraId="2B099F1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-0.049</w:t>
            </w:r>
          </w:p>
        </w:tc>
        <w:tc>
          <w:tcPr>
            <w:tcW w:w="883" w:type="pct"/>
            <w:noWrap/>
            <w:hideMark/>
          </w:tcPr>
          <w:p w14:paraId="2B2A0AA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0.017</w:t>
            </w:r>
          </w:p>
        </w:tc>
      </w:tr>
      <w:tr w:rsidR="00B54D51" w:rsidRPr="00037AD4" w14:paraId="6CDBAA5B" w14:textId="77777777" w:rsidTr="00401C67">
        <w:trPr>
          <w:trHeight w:val="320"/>
        </w:trPr>
        <w:tc>
          <w:tcPr>
            <w:tcW w:w="289" w:type="pct"/>
            <w:noWrap/>
            <w:hideMark/>
          </w:tcPr>
          <w:p w14:paraId="7CAB8E3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w:t>
            </w:r>
          </w:p>
        </w:tc>
        <w:tc>
          <w:tcPr>
            <w:tcW w:w="662" w:type="pct"/>
            <w:noWrap/>
            <w:hideMark/>
          </w:tcPr>
          <w:p w14:paraId="5C7B000F"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-.011 </w:t>
            </w:r>
          </w:p>
        </w:tc>
        <w:tc>
          <w:tcPr>
            <w:tcW w:w="837" w:type="pct"/>
          </w:tcPr>
          <w:p w14:paraId="75BE2ED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.012</w:t>
            </w:r>
          </w:p>
        </w:tc>
        <w:tc>
          <w:tcPr>
            <w:tcW w:w="611" w:type="pct"/>
            <w:noWrap/>
            <w:hideMark/>
          </w:tcPr>
          <w:p w14:paraId="1C18D85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-0.92</w:t>
            </w:r>
          </w:p>
        </w:tc>
        <w:tc>
          <w:tcPr>
            <w:tcW w:w="653" w:type="pct"/>
            <w:noWrap/>
            <w:hideMark/>
          </w:tcPr>
          <w:p w14:paraId="002F2AA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0.358</w:t>
            </w:r>
          </w:p>
        </w:tc>
        <w:tc>
          <w:tcPr>
            <w:tcW w:w="1066" w:type="pct"/>
            <w:noWrap/>
            <w:hideMark/>
          </w:tcPr>
          <w:p w14:paraId="2C83842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-0.035</w:t>
            </w:r>
          </w:p>
        </w:tc>
        <w:tc>
          <w:tcPr>
            <w:tcW w:w="883" w:type="pct"/>
            <w:noWrap/>
            <w:hideMark/>
          </w:tcPr>
          <w:p w14:paraId="4C72D82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0.013</w:t>
            </w:r>
          </w:p>
        </w:tc>
      </w:tr>
      <w:tr w:rsidR="00B54D51" w:rsidRPr="00037AD4" w14:paraId="2C029BB9" w14:textId="77777777" w:rsidTr="00401C67">
        <w:trPr>
          <w:trHeight w:val="320"/>
        </w:trPr>
        <w:tc>
          <w:tcPr>
            <w:tcW w:w="289" w:type="pct"/>
            <w:noWrap/>
            <w:hideMark/>
          </w:tcPr>
          <w:p w14:paraId="422362D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w:t>
            </w:r>
          </w:p>
        </w:tc>
        <w:tc>
          <w:tcPr>
            <w:tcW w:w="662" w:type="pct"/>
            <w:noWrap/>
            <w:hideMark/>
          </w:tcPr>
          <w:p w14:paraId="62949139" w14:textId="77777777" w:rsidR="00B54D51" w:rsidRPr="00037AD4" w:rsidRDefault="00B54D51" w:rsidP="00401C67">
            <w:pPr>
              <w:rPr>
                <w:rFonts w:ascii="Calibri" w:hAnsi="Calibri" w:cs="Calibri"/>
                <w:color w:val="000000"/>
              </w:rPr>
            </w:pPr>
            <w:r w:rsidRPr="00037AD4">
              <w:rPr>
                <w:rFonts w:ascii="Calibri" w:hAnsi="Calibri" w:cs="Calibri"/>
                <w:color w:val="000000"/>
              </w:rPr>
              <w:t>-.008</w:t>
            </w:r>
          </w:p>
        </w:tc>
        <w:tc>
          <w:tcPr>
            <w:tcW w:w="837" w:type="pct"/>
          </w:tcPr>
          <w:p w14:paraId="789428D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.008</w:t>
            </w:r>
          </w:p>
        </w:tc>
        <w:tc>
          <w:tcPr>
            <w:tcW w:w="611" w:type="pct"/>
            <w:noWrap/>
            <w:hideMark/>
          </w:tcPr>
          <w:p w14:paraId="66EFF14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-0.89</w:t>
            </w:r>
          </w:p>
        </w:tc>
        <w:tc>
          <w:tcPr>
            <w:tcW w:w="653" w:type="pct"/>
            <w:noWrap/>
            <w:hideMark/>
          </w:tcPr>
          <w:p w14:paraId="1E0953D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0.375</w:t>
            </w:r>
          </w:p>
        </w:tc>
        <w:tc>
          <w:tcPr>
            <w:tcW w:w="1066" w:type="pct"/>
            <w:noWrap/>
            <w:hideMark/>
          </w:tcPr>
          <w:p w14:paraId="66E3424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-0.024</w:t>
            </w:r>
          </w:p>
        </w:tc>
        <w:tc>
          <w:tcPr>
            <w:tcW w:w="883" w:type="pct"/>
            <w:noWrap/>
            <w:hideMark/>
          </w:tcPr>
          <w:p w14:paraId="377203A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0.009</w:t>
            </w:r>
          </w:p>
        </w:tc>
      </w:tr>
      <w:tr w:rsidR="00B54D51" w:rsidRPr="00037AD4" w14:paraId="52687ED7" w14:textId="77777777" w:rsidTr="00401C67">
        <w:trPr>
          <w:trHeight w:val="320"/>
        </w:trPr>
        <w:tc>
          <w:tcPr>
            <w:tcW w:w="289" w:type="pct"/>
            <w:noWrap/>
            <w:hideMark/>
          </w:tcPr>
          <w:p w14:paraId="7B1CC65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5</w:t>
            </w:r>
          </w:p>
        </w:tc>
        <w:tc>
          <w:tcPr>
            <w:tcW w:w="662" w:type="pct"/>
            <w:noWrap/>
            <w:hideMark/>
          </w:tcPr>
          <w:p w14:paraId="19F127E2"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-.001 </w:t>
            </w:r>
          </w:p>
        </w:tc>
        <w:tc>
          <w:tcPr>
            <w:tcW w:w="837" w:type="pct"/>
          </w:tcPr>
          <w:p w14:paraId="5393D8C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w:t>
            </w:r>
          </w:p>
        </w:tc>
        <w:tc>
          <w:tcPr>
            <w:tcW w:w="611" w:type="pct"/>
            <w:noWrap/>
            <w:hideMark/>
          </w:tcPr>
          <w:p w14:paraId="69EF1AC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-0.82</w:t>
            </w:r>
          </w:p>
        </w:tc>
        <w:tc>
          <w:tcPr>
            <w:tcW w:w="653" w:type="pct"/>
            <w:noWrap/>
            <w:hideMark/>
          </w:tcPr>
          <w:p w14:paraId="14E467F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0.413</w:t>
            </w:r>
          </w:p>
        </w:tc>
        <w:tc>
          <w:tcPr>
            <w:tcW w:w="1066" w:type="pct"/>
            <w:noWrap/>
            <w:hideMark/>
          </w:tcPr>
          <w:p w14:paraId="197556B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-0.004</w:t>
            </w:r>
          </w:p>
        </w:tc>
        <w:tc>
          <w:tcPr>
            <w:tcW w:w="883" w:type="pct"/>
            <w:noWrap/>
            <w:hideMark/>
          </w:tcPr>
          <w:p w14:paraId="458D224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0.002</w:t>
            </w:r>
          </w:p>
        </w:tc>
      </w:tr>
      <w:tr w:rsidR="00B54D51" w:rsidRPr="00037AD4" w14:paraId="09464CA3" w14:textId="77777777" w:rsidTr="00401C67">
        <w:trPr>
          <w:trHeight w:val="320"/>
        </w:trPr>
        <w:tc>
          <w:tcPr>
            <w:tcW w:w="5000" w:type="pct"/>
            <w:gridSpan w:val="7"/>
            <w:shd w:val="clear" w:color="auto" w:fill="F2F2F2" w:themeFill="background1" w:themeFillShade="F2"/>
            <w:noWrap/>
            <w:hideMark/>
          </w:tcPr>
          <w:p w14:paraId="0DD6ECC7" w14:textId="77777777" w:rsidR="00B54D51" w:rsidRPr="00037AD4" w:rsidRDefault="00B54D51" w:rsidP="00401C67">
            <w:pPr>
              <w:rPr>
                <w:sz w:val="20"/>
                <w:szCs w:val="20"/>
              </w:rPr>
            </w:pPr>
            <w:r w:rsidRPr="00037AD4">
              <w:rPr>
                <w:rFonts w:ascii="Calibri" w:hAnsi="Calibri" w:cs="Calibri"/>
                <w:color w:val="000000"/>
              </w:rPr>
              <w:t>Age of PwD, predict:</w:t>
            </w:r>
          </w:p>
        </w:tc>
      </w:tr>
      <w:tr w:rsidR="00B54D51" w:rsidRPr="00037AD4" w14:paraId="0FD38202" w14:textId="77777777" w:rsidTr="00401C67">
        <w:trPr>
          <w:trHeight w:val="320"/>
        </w:trPr>
        <w:tc>
          <w:tcPr>
            <w:tcW w:w="289" w:type="pct"/>
            <w:noWrap/>
            <w:hideMark/>
          </w:tcPr>
          <w:p w14:paraId="68F6C17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w:t>
            </w:r>
          </w:p>
        </w:tc>
        <w:tc>
          <w:tcPr>
            <w:tcW w:w="662" w:type="pct"/>
            <w:noWrap/>
            <w:hideMark/>
          </w:tcPr>
          <w:p w14:paraId="5D699BB2"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.003  </w:t>
            </w:r>
          </w:p>
        </w:tc>
        <w:tc>
          <w:tcPr>
            <w:tcW w:w="837" w:type="pct"/>
          </w:tcPr>
          <w:p w14:paraId="3786D9D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w:t>
            </w:r>
          </w:p>
        </w:tc>
        <w:tc>
          <w:tcPr>
            <w:tcW w:w="611" w:type="pct"/>
            <w:noWrap/>
            <w:hideMark/>
          </w:tcPr>
          <w:p w14:paraId="4B60400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1.23</w:t>
            </w:r>
          </w:p>
        </w:tc>
        <w:tc>
          <w:tcPr>
            <w:tcW w:w="653" w:type="pct"/>
            <w:noWrap/>
            <w:hideMark/>
          </w:tcPr>
          <w:p w14:paraId="468569D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0.218</w:t>
            </w:r>
          </w:p>
        </w:tc>
        <w:tc>
          <w:tcPr>
            <w:tcW w:w="1066" w:type="pct"/>
            <w:noWrap/>
            <w:hideMark/>
          </w:tcPr>
          <w:p w14:paraId="07395AE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-0.002</w:t>
            </w:r>
          </w:p>
        </w:tc>
        <w:tc>
          <w:tcPr>
            <w:tcW w:w="883" w:type="pct"/>
            <w:noWrap/>
            <w:hideMark/>
          </w:tcPr>
          <w:p w14:paraId="3E604F6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0.008</w:t>
            </w:r>
          </w:p>
        </w:tc>
      </w:tr>
      <w:tr w:rsidR="00B54D51" w:rsidRPr="00037AD4" w14:paraId="6F79D876" w14:textId="77777777" w:rsidTr="00401C67">
        <w:trPr>
          <w:trHeight w:val="320"/>
        </w:trPr>
        <w:tc>
          <w:tcPr>
            <w:tcW w:w="289" w:type="pct"/>
            <w:noWrap/>
            <w:hideMark/>
          </w:tcPr>
          <w:p w14:paraId="402F3AC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w:t>
            </w:r>
          </w:p>
        </w:tc>
        <w:tc>
          <w:tcPr>
            <w:tcW w:w="662" w:type="pct"/>
            <w:noWrap/>
            <w:hideMark/>
          </w:tcPr>
          <w:p w14:paraId="6EEFAD86"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-.001  </w:t>
            </w:r>
          </w:p>
        </w:tc>
        <w:tc>
          <w:tcPr>
            <w:tcW w:w="837" w:type="pct"/>
          </w:tcPr>
          <w:p w14:paraId="7BE0F2D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w:t>
            </w:r>
          </w:p>
        </w:tc>
        <w:tc>
          <w:tcPr>
            <w:tcW w:w="611" w:type="pct"/>
            <w:noWrap/>
            <w:hideMark/>
          </w:tcPr>
          <w:p w14:paraId="7FD0804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-1.24</w:t>
            </w:r>
          </w:p>
        </w:tc>
        <w:tc>
          <w:tcPr>
            <w:tcW w:w="653" w:type="pct"/>
            <w:noWrap/>
            <w:hideMark/>
          </w:tcPr>
          <w:p w14:paraId="7CD75A0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0.214</w:t>
            </w:r>
          </w:p>
        </w:tc>
        <w:tc>
          <w:tcPr>
            <w:tcW w:w="1066" w:type="pct"/>
            <w:noWrap/>
            <w:hideMark/>
          </w:tcPr>
          <w:p w14:paraId="6CA6683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-0.003</w:t>
            </w:r>
          </w:p>
        </w:tc>
        <w:tc>
          <w:tcPr>
            <w:tcW w:w="883" w:type="pct"/>
            <w:noWrap/>
            <w:hideMark/>
          </w:tcPr>
          <w:p w14:paraId="46F9929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r>
      <w:tr w:rsidR="00B54D51" w:rsidRPr="00037AD4" w14:paraId="2702FA58" w14:textId="77777777" w:rsidTr="00401C67">
        <w:trPr>
          <w:trHeight w:val="320"/>
        </w:trPr>
        <w:tc>
          <w:tcPr>
            <w:tcW w:w="289" w:type="pct"/>
            <w:noWrap/>
            <w:hideMark/>
          </w:tcPr>
          <w:p w14:paraId="307221C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w:t>
            </w:r>
          </w:p>
        </w:tc>
        <w:tc>
          <w:tcPr>
            <w:tcW w:w="662" w:type="pct"/>
            <w:noWrap/>
            <w:hideMark/>
          </w:tcPr>
          <w:p w14:paraId="25859865"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-.001  </w:t>
            </w:r>
          </w:p>
        </w:tc>
        <w:tc>
          <w:tcPr>
            <w:tcW w:w="837" w:type="pct"/>
          </w:tcPr>
          <w:p w14:paraId="113425C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w:t>
            </w:r>
          </w:p>
        </w:tc>
        <w:tc>
          <w:tcPr>
            <w:tcW w:w="611" w:type="pct"/>
            <w:noWrap/>
            <w:hideMark/>
          </w:tcPr>
          <w:p w14:paraId="1899D08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-1.21</w:t>
            </w:r>
          </w:p>
        </w:tc>
        <w:tc>
          <w:tcPr>
            <w:tcW w:w="653" w:type="pct"/>
            <w:noWrap/>
            <w:hideMark/>
          </w:tcPr>
          <w:p w14:paraId="5FE2B73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0.225</w:t>
            </w:r>
          </w:p>
        </w:tc>
        <w:tc>
          <w:tcPr>
            <w:tcW w:w="1066" w:type="pct"/>
            <w:noWrap/>
            <w:hideMark/>
          </w:tcPr>
          <w:p w14:paraId="179ACA5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-0.002</w:t>
            </w:r>
          </w:p>
        </w:tc>
        <w:tc>
          <w:tcPr>
            <w:tcW w:w="883" w:type="pct"/>
            <w:noWrap/>
            <w:hideMark/>
          </w:tcPr>
          <w:p w14:paraId="28502E0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r>
      <w:tr w:rsidR="00B54D51" w:rsidRPr="00037AD4" w14:paraId="3DC17489" w14:textId="77777777" w:rsidTr="00401C67">
        <w:trPr>
          <w:trHeight w:val="320"/>
        </w:trPr>
        <w:tc>
          <w:tcPr>
            <w:tcW w:w="289" w:type="pct"/>
            <w:noWrap/>
            <w:hideMark/>
          </w:tcPr>
          <w:p w14:paraId="384ACB1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w:t>
            </w:r>
          </w:p>
        </w:tc>
        <w:tc>
          <w:tcPr>
            <w:tcW w:w="662" w:type="pct"/>
            <w:noWrap/>
            <w:hideMark/>
          </w:tcPr>
          <w:p w14:paraId="285E62B6"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-.001 </w:t>
            </w:r>
          </w:p>
        </w:tc>
        <w:tc>
          <w:tcPr>
            <w:tcW w:w="837" w:type="pct"/>
          </w:tcPr>
          <w:p w14:paraId="47FDB7C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w:t>
            </w:r>
          </w:p>
        </w:tc>
        <w:tc>
          <w:tcPr>
            <w:tcW w:w="611" w:type="pct"/>
            <w:noWrap/>
            <w:hideMark/>
          </w:tcPr>
          <w:p w14:paraId="6B80616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-1.21</w:t>
            </w:r>
          </w:p>
        </w:tc>
        <w:tc>
          <w:tcPr>
            <w:tcW w:w="653" w:type="pct"/>
            <w:noWrap/>
            <w:hideMark/>
          </w:tcPr>
          <w:p w14:paraId="3726706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0.227</w:t>
            </w:r>
          </w:p>
        </w:tc>
        <w:tc>
          <w:tcPr>
            <w:tcW w:w="1066" w:type="pct"/>
            <w:noWrap/>
            <w:hideMark/>
          </w:tcPr>
          <w:p w14:paraId="58B32F8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-0.002</w:t>
            </w:r>
          </w:p>
        </w:tc>
        <w:tc>
          <w:tcPr>
            <w:tcW w:w="883" w:type="pct"/>
            <w:noWrap/>
            <w:hideMark/>
          </w:tcPr>
          <w:p w14:paraId="6D324D0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r>
      <w:tr w:rsidR="00B54D51" w:rsidRPr="00037AD4" w14:paraId="6462FC2A" w14:textId="77777777" w:rsidTr="00401C67">
        <w:trPr>
          <w:trHeight w:val="320"/>
        </w:trPr>
        <w:tc>
          <w:tcPr>
            <w:tcW w:w="289" w:type="pct"/>
            <w:noWrap/>
            <w:hideMark/>
          </w:tcPr>
          <w:p w14:paraId="41A07CC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5</w:t>
            </w:r>
          </w:p>
        </w:tc>
        <w:tc>
          <w:tcPr>
            <w:tcW w:w="662" w:type="pct"/>
            <w:noWrap/>
            <w:hideMark/>
          </w:tcPr>
          <w:p w14:paraId="44DF529B"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-.000 </w:t>
            </w:r>
          </w:p>
        </w:tc>
        <w:tc>
          <w:tcPr>
            <w:tcW w:w="837" w:type="pct"/>
          </w:tcPr>
          <w:p w14:paraId="4670D14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w:t>
            </w:r>
          </w:p>
        </w:tc>
        <w:tc>
          <w:tcPr>
            <w:tcW w:w="611" w:type="pct"/>
            <w:noWrap/>
            <w:hideMark/>
          </w:tcPr>
          <w:p w14:paraId="7118BFB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-0.98</w:t>
            </w:r>
          </w:p>
        </w:tc>
        <w:tc>
          <w:tcPr>
            <w:tcW w:w="653" w:type="pct"/>
            <w:noWrap/>
            <w:hideMark/>
          </w:tcPr>
          <w:p w14:paraId="5D7FE18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0.328</w:t>
            </w:r>
          </w:p>
        </w:tc>
        <w:tc>
          <w:tcPr>
            <w:tcW w:w="1066" w:type="pct"/>
            <w:noWrap/>
            <w:hideMark/>
          </w:tcPr>
          <w:p w14:paraId="0DFB5F8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883" w:type="pct"/>
            <w:noWrap/>
            <w:hideMark/>
          </w:tcPr>
          <w:p w14:paraId="7F8D221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r>
    </w:tbl>
    <w:p w14:paraId="4470CFAB" w14:textId="77F45002" w:rsidR="00B54D51" w:rsidRDefault="00B54D51" w:rsidP="001D7ACE">
      <w:pPr>
        <w:rPr>
          <w:u w:val="single"/>
        </w:rPr>
      </w:pPr>
    </w:p>
    <w:p w14:paraId="72AE4819" w14:textId="65C32DA4" w:rsidR="00830480" w:rsidRDefault="00830480" w:rsidP="001D7ACE">
      <w:pPr>
        <w:rPr>
          <w:u w:val="single"/>
        </w:rPr>
      </w:pPr>
    </w:p>
    <w:p w14:paraId="0BBAC885" w14:textId="17AB44ED" w:rsidR="00830480" w:rsidRDefault="00830480" w:rsidP="001D7ACE">
      <w:pPr>
        <w:rPr>
          <w:u w:val="single"/>
        </w:rPr>
      </w:pPr>
    </w:p>
    <w:p w14:paraId="207FEAD4" w14:textId="6660795E" w:rsidR="00830480" w:rsidRDefault="00830480" w:rsidP="001D7ACE">
      <w:pPr>
        <w:rPr>
          <w:u w:val="single"/>
        </w:rPr>
      </w:pPr>
    </w:p>
    <w:p w14:paraId="1E1CE763" w14:textId="55E58B71" w:rsidR="00830480" w:rsidRDefault="00830480" w:rsidP="001D7ACE">
      <w:pPr>
        <w:rPr>
          <w:u w:val="single"/>
        </w:rPr>
      </w:pPr>
    </w:p>
    <w:p w14:paraId="62235D05" w14:textId="01B46309" w:rsidR="00830480" w:rsidRDefault="00830480" w:rsidP="001D7ACE">
      <w:pPr>
        <w:rPr>
          <w:u w:val="single"/>
        </w:rPr>
      </w:pPr>
    </w:p>
    <w:p w14:paraId="0047F810" w14:textId="64041C3C" w:rsidR="00830480" w:rsidRDefault="00830480" w:rsidP="001D7ACE">
      <w:pPr>
        <w:rPr>
          <w:u w:val="single"/>
        </w:rPr>
      </w:pPr>
    </w:p>
    <w:p w14:paraId="0CBC10E5" w14:textId="77777777" w:rsidR="00830480" w:rsidRPr="00037AD4" w:rsidRDefault="00830480" w:rsidP="001D7ACE">
      <w:pPr>
        <w:rPr>
          <w:u w:val="single"/>
        </w:rPr>
      </w:pPr>
    </w:p>
    <w:p w14:paraId="36DBA8FD" w14:textId="77777777" w:rsidR="00B54D51" w:rsidRPr="00037AD4" w:rsidRDefault="00B54D51" w:rsidP="001D7ACE">
      <w:pPr>
        <w:rPr>
          <w:rFonts w:asciiTheme="minorHAnsi" w:hAnsiTheme="minorHAnsi" w:cstheme="minorHAnsi"/>
          <w:color w:val="000000" w:themeColor="text1"/>
          <w:u w:val="single"/>
        </w:rPr>
      </w:pPr>
      <w:r w:rsidRPr="00037AD4">
        <w:rPr>
          <w:rFonts w:asciiTheme="minorHAnsi" w:hAnsiTheme="minorHAnsi" w:cstheme="minorHAnsi"/>
          <w:color w:val="000000" w:themeColor="text1"/>
          <w:u w:val="single"/>
        </w:rPr>
        <w:lastRenderedPageBreak/>
        <w:t xml:space="preserve">Table A6.3p, “Pain/discomfort” predictive margins for EPIC data </w:t>
      </w:r>
    </w:p>
    <w:p w14:paraId="23EED1E5" w14:textId="77777777" w:rsidR="00B54D51" w:rsidRPr="00037AD4" w:rsidRDefault="00B54D51" w:rsidP="001D7ACE">
      <w:pPr>
        <w:rPr>
          <w:u w:val="single"/>
        </w:rPr>
      </w:pPr>
    </w:p>
    <w:tbl>
      <w:tblPr>
        <w:tblStyle w:val="TableGrid"/>
        <w:tblW w:w="0" w:type="auto"/>
        <w:tblLook w:val="04A0" w:firstRow="1" w:lastRow="0" w:firstColumn="1" w:lastColumn="0" w:noHBand="0" w:noVBand="1"/>
      </w:tblPr>
      <w:tblGrid>
        <w:gridCol w:w="2496"/>
        <w:gridCol w:w="2111"/>
        <w:gridCol w:w="843"/>
        <w:gridCol w:w="964"/>
        <w:gridCol w:w="843"/>
        <w:gridCol w:w="916"/>
        <w:gridCol w:w="843"/>
      </w:tblGrid>
      <w:tr w:rsidR="00B54D51" w:rsidRPr="00037AD4" w14:paraId="7758AAA1" w14:textId="77777777" w:rsidTr="00401C67">
        <w:trPr>
          <w:trHeight w:val="320"/>
        </w:trPr>
        <w:tc>
          <w:tcPr>
            <w:tcW w:w="0" w:type="auto"/>
            <w:noWrap/>
            <w:hideMark/>
          </w:tcPr>
          <w:p w14:paraId="1BF70BD2" w14:textId="77777777" w:rsidR="00B54D51" w:rsidRPr="00037AD4" w:rsidRDefault="00B54D51" w:rsidP="00401C67">
            <w:pPr>
              <w:rPr>
                <w:sz w:val="20"/>
                <w:szCs w:val="20"/>
              </w:rPr>
            </w:pPr>
          </w:p>
        </w:tc>
        <w:tc>
          <w:tcPr>
            <w:tcW w:w="0" w:type="auto"/>
            <w:noWrap/>
            <w:hideMark/>
          </w:tcPr>
          <w:p w14:paraId="6F8D31A8" w14:textId="77777777" w:rsidR="00B54D51" w:rsidRPr="00037AD4" w:rsidRDefault="00B54D51" w:rsidP="00401C67">
            <w:pPr>
              <w:rPr>
                <w:rFonts w:ascii="Calibri" w:hAnsi="Calibri" w:cs="Calibri"/>
                <w:color w:val="000000"/>
              </w:rPr>
            </w:pPr>
            <w:r w:rsidRPr="00037AD4">
              <w:rPr>
                <w:rFonts w:ascii="Calibri" w:hAnsi="Calibri" w:cs="Calibri"/>
                <w:color w:val="000000"/>
              </w:rPr>
              <w:t>Predictive Margins</w:t>
            </w:r>
          </w:p>
        </w:tc>
        <w:tc>
          <w:tcPr>
            <w:tcW w:w="0" w:type="auto"/>
            <w:noWrap/>
            <w:hideMark/>
          </w:tcPr>
          <w:p w14:paraId="16B6E6FB"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SE </w:t>
            </w:r>
          </w:p>
        </w:tc>
        <w:tc>
          <w:tcPr>
            <w:tcW w:w="0" w:type="auto"/>
            <w:noWrap/>
            <w:hideMark/>
          </w:tcPr>
          <w:p w14:paraId="01C7E2DC" w14:textId="77777777" w:rsidR="00B54D51" w:rsidRPr="00037AD4" w:rsidRDefault="00B54D51" w:rsidP="00401C67">
            <w:pPr>
              <w:rPr>
                <w:rFonts w:ascii="Calibri" w:hAnsi="Calibri" w:cs="Calibri"/>
                <w:color w:val="000000"/>
              </w:rPr>
            </w:pPr>
            <w:r w:rsidRPr="00037AD4">
              <w:rPr>
                <w:rFonts w:ascii="Calibri" w:hAnsi="Calibri" w:cs="Calibri"/>
                <w:color w:val="000000"/>
              </w:rPr>
              <w:t>z</w:t>
            </w:r>
          </w:p>
        </w:tc>
        <w:tc>
          <w:tcPr>
            <w:tcW w:w="0" w:type="auto"/>
            <w:noWrap/>
            <w:hideMark/>
          </w:tcPr>
          <w:p w14:paraId="6C56C3D2" w14:textId="77777777" w:rsidR="00B54D51" w:rsidRPr="00037AD4" w:rsidRDefault="00B54D51" w:rsidP="00401C67">
            <w:pPr>
              <w:rPr>
                <w:rFonts w:ascii="Calibri" w:hAnsi="Calibri" w:cs="Calibri"/>
                <w:color w:val="000000"/>
              </w:rPr>
            </w:pPr>
            <w:r w:rsidRPr="00037AD4">
              <w:rPr>
                <w:rFonts w:ascii="Calibri" w:hAnsi="Calibri" w:cs="Calibri"/>
                <w:color w:val="000000"/>
              </w:rPr>
              <w:t>P&gt;z</w:t>
            </w:r>
          </w:p>
        </w:tc>
        <w:tc>
          <w:tcPr>
            <w:tcW w:w="0" w:type="auto"/>
            <w:gridSpan w:val="2"/>
            <w:noWrap/>
            <w:hideMark/>
          </w:tcPr>
          <w:p w14:paraId="57A34E72" w14:textId="77777777" w:rsidR="00B54D51" w:rsidRPr="00037AD4" w:rsidRDefault="00B54D51" w:rsidP="00401C67">
            <w:pPr>
              <w:rPr>
                <w:rFonts w:ascii="Calibri" w:hAnsi="Calibri" w:cs="Calibri"/>
                <w:color w:val="000000"/>
              </w:rPr>
            </w:pPr>
            <w:r w:rsidRPr="00037AD4">
              <w:rPr>
                <w:rFonts w:ascii="Calibri" w:hAnsi="Calibri" w:cs="Calibri"/>
                <w:color w:val="000000"/>
              </w:rPr>
              <w:t>[95% conf.</w:t>
            </w:r>
          </w:p>
          <w:p w14:paraId="2F053F43" w14:textId="77777777" w:rsidR="00B54D51" w:rsidRPr="00037AD4" w:rsidRDefault="00B54D51" w:rsidP="00401C67">
            <w:pPr>
              <w:rPr>
                <w:rFonts w:ascii="Calibri" w:hAnsi="Calibri" w:cs="Calibri"/>
                <w:color w:val="000000"/>
              </w:rPr>
            </w:pPr>
            <w:r w:rsidRPr="00037AD4">
              <w:rPr>
                <w:rFonts w:ascii="Calibri" w:hAnsi="Calibri" w:cs="Calibri"/>
                <w:color w:val="000000"/>
              </w:rPr>
              <w:t>interval]</w:t>
            </w:r>
          </w:p>
        </w:tc>
      </w:tr>
      <w:tr w:rsidR="00B54D51" w:rsidRPr="00037AD4" w14:paraId="781C4DB8" w14:textId="77777777" w:rsidTr="00401C67">
        <w:trPr>
          <w:trHeight w:val="320"/>
        </w:trPr>
        <w:tc>
          <w:tcPr>
            <w:tcW w:w="0" w:type="auto"/>
            <w:gridSpan w:val="7"/>
            <w:shd w:val="clear" w:color="auto" w:fill="E7E6E6" w:themeFill="background2"/>
            <w:noWrap/>
            <w:hideMark/>
          </w:tcPr>
          <w:p w14:paraId="1F96D2A9" w14:textId="77777777" w:rsidR="00B54D51" w:rsidRPr="00037AD4" w:rsidRDefault="00B54D51" w:rsidP="00401C67">
            <w:pPr>
              <w:rPr>
                <w:sz w:val="20"/>
                <w:szCs w:val="20"/>
              </w:rPr>
            </w:pPr>
            <w:r w:rsidRPr="00037AD4">
              <w:rPr>
                <w:rFonts w:ascii="Calibri" w:hAnsi="Calibri" w:cs="Calibri"/>
                <w:color w:val="000000"/>
              </w:rPr>
              <w:t xml:space="preserve">Predicted Probability of PwD “pain/discomfort” by proxy “pain/discomfort” Level Reports when level four and five responses are merged </w:t>
            </w:r>
          </w:p>
        </w:tc>
      </w:tr>
      <w:tr w:rsidR="00B54D51" w:rsidRPr="00037AD4" w14:paraId="25984F8F" w14:textId="77777777" w:rsidTr="00401C67">
        <w:trPr>
          <w:trHeight w:val="320"/>
        </w:trPr>
        <w:tc>
          <w:tcPr>
            <w:tcW w:w="0" w:type="auto"/>
            <w:gridSpan w:val="7"/>
            <w:shd w:val="clear" w:color="auto" w:fill="E7E6E6" w:themeFill="background2"/>
            <w:noWrap/>
          </w:tcPr>
          <w:p w14:paraId="70DE921D" w14:textId="77777777" w:rsidR="00B54D51" w:rsidRPr="00037AD4" w:rsidRDefault="00B54D51" w:rsidP="00401C67">
            <w:pPr>
              <w:rPr>
                <w:rFonts w:ascii="Calibri" w:hAnsi="Calibri" w:cs="Calibri"/>
                <w:color w:val="000000"/>
              </w:rPr>
            </w:pPr>
            <w:r w:rsidRPr="00037AD4">
              <w:rPr>
                <w:rFonts w:cstheme="minorHAnsi"/>
              </w:rPr>
              <w:t>Predicted PwD: level one</w:t>
            </w:r>
          </w:p>
        </w:tc>
      </w:tr>
      <w:tr w:rsidR="00B54D51" w:rsidRPr="00037AD4" w14:paraId="4342C76E" w14:textId="77777777" w:rsidTr="00401C67">
        <w:trPr>
          <w:trHeight w:val="320"/>
        </w:trPr>
        <w:tc>
          <w:tcPr>
            <w:tcW w:w="0" w:type="auto"/>
            <w:noWrap/>
            <w:hideMark/>
          </w:tcPr>
          <w:p w14:paraId="5F30DF83" w14:textId="77777777" w:rsidR="00B54D51" w:rsidRPr="00037AD4" w:rsidRDefault="00B54D51" w:rsidP="00401C67">
            <w:pPr>
              <w:rPr>
                <w:rFonts w:ascii="Calibri" w:hAnsi="Calibri" w:cs="Calibri"/>
                <w:color w:val="000000"/>
              </w:rPr>
            </w:pPr>
            <w:r w:rsidRPr="00037AD4">
              <w:rPr>
                <w:rFonts w:cstheme="minorHAnsi"/>
              </w:rPr>
              <w:t xml:space="preserve">From level one proxy  </w:t>
            </w:r>
          </w:p>
        </w:tc>
        <w:tc>
          <w:tcPr>
            <w:tcW w:w="0" w:type="auto"/>
            <w:noWrap/>
            <w:hideMark/>
          </w:tcPr>
          <w:p w14:paraId="70FB982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0.768</w:t>
            </w:r>
          </w:p>
        </w:tc>
        <w:tc>
          <w:tcPr>
            <w:tcW w:w="0" w:type="auto"/>
            <w:noWrap/>
            <w:hideMark/>
          </w:tcPr>
          <w:p w14:paraId="7F08074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0.018</w:t>
            </w:r>
          </w:p>
        </w:tc>
        <w:tc>
          <w:tcPr>
            <w:tcW w:w="0" w:type="auto"/>
            <w:noWrap/>
            <w:hideMark/>
          </w:tcPr>
          <w:p w14:paraId="720BE7D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42.150</w:t>
            </w:r>
          </w:p>
        </w:tc>
        <w:tc>
          <w:tcPr>
            <w:tcW w:w="0" w:type="auto"/>
            <w:noWrap/>
            <w:hideMark/>
          </w:tcPr>
          <w:p w14:paraId="4DC8F93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320EA1E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0.733</w:t>
            </w:r>
          </w:p>
        </w:tc>
        <w:tc>
          <w:tcPr>
            <w:tcW w:w="0" w:type="auto"/>
            <w:noWrap/>
            <w:hideMark/>
          </w:tcPr>
          <w:p w14:paraId="766607B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0.804</w:t>
            </w:r>
          </w:p>
        </w:tc>
      </w:tr>
      <w:tr w:rsidR="00B54D51" w:rsidRPr="00037AD4" w14:paraId="21BDEEE6" w14:textId="77777777" w:rsidTr="00401C67">
        <w:trPr>
          <w:trHeight w:val="320"/>
        </w:trPr>
        <w:tc>
          <w:tcPr>
            <w:tcW w:w="0" w:type="auto"/>
            <w:noWrap/>
            <w:hideMark/>
          </w:tcPr>
          <w:p w14:paraId="73E9999B" w14:textId="77777777" w:rsidR="00B54D51" w:rsidRPr="00037AD4" w:rsidRDefault="00B54D51" w:rsidP="00401C67">
            <w:pPr>
              <w:rPr>
                <w:rFonts w:ascii="Calibri" w:hAnsi="Calibri" w:cs="Calibri"/>
                <w:color w:val="000000"/>
              </w:rPr>
            </w:pPr>
            <w:r w:rsidRPr="00037AD4">
              <w:rPr>
                <w:rFonts w:cstheme="minorHAnsi"/>
              </w:rPr>
              <w:t xml:space="preserve">From level two proxy  </w:t>
            </w:r>
          </w:p>
        </w:tc>
        <w:tc>
          <w:tcPr>
            <w:tcW w:w="0" w:type="auto"/>
            <w:noWrap/>
            <w:hideMark/>
          </w:tcPr>
          <w:p w14:paraId="63B6B68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0.661</w:t>
            </w:r>
          </w:p>
        </w:tc>
        <w:tc>
          <w:tcPr>
            <w:tcW w:w="0" w:type="auto"/>
            <w:noWrap/>
            <w:hideMark/>
          </w:tcPr>
          <w:p w14:paraId="7386717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0.044</w:t>
            </w:r>
          </w:p>
        </w:tc>
        <w:tc>
          <w:tcPr>
            <w:tcW w:w="0" w:type="auto"/>
            <w:noWrap/>
            <w:hideMark/>
          </w:tcPr>
          <w:p w14:paraId="07BC33E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14.920</w:t>
            </w:r>
          </w:p>
        </w:tc>
        <w:tc>
          <w:tcPr>
            <w:tcW w:w="0" w:type="auto"/>
            <w:noWrap/>
            <w:hideMark/>
          </w:tcPr>
          <w:p w14:paraId="5A1F219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7757A7E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0.574</w:t>
            </w:r>
          </w:p>
        </w:tc>
        <w:tc>
          <w:tcPr>
            <w:tcW w:w="0" w:type="auto"/>
            <w:noWrap/>
            <w:hideMark/>
          </w:tcPr>
          <w:p w14:paraId="78D1BFF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0.748</w:t>
            </w:r>
          </w:p>
        </w:tc>
      </w:tr>
      <w:tr w:rsidR="00B54D51" w:rsidRPr="00037AD4" w14:paraId="5D73CD88" w14:textId="77777777" w:rsidTr="00401C67">
        <w:trPr>
          <w:trHeight w:val="320"/>
        </w:trPr>
        <w:tc>
          <w:tcPr>
            <w:tcW w:w="0" w:type="auto"/>
            <w:noWrap/>
            <w:hideMark/>
          </w:tcPr>
          <w:p w14:paraId="0E82BFC1" w14:textId="77777777" w:rsidR="00B54D51" w:rsidRPr="00037AD4" w:rsidRDefault="00B54D51" w:rsidP="00401C67">
            <w:pPr>
              <w:rPr>
                <w:rFonts w:ascii="Calibri" w:hAnsi="Calibri" w:cs="Calibri"/>
                <w:color w:val="000000"/>
              </w:rPr>
            </w:pPr>
            <w:r w:rsidRPr="00037AD4">
              <w:rPr>
                <w:rFonts w:cstheme="minorHAnsi"/>
              </w:rPr>
              <w:t xml:space="preserve">From level three proxy  </w:t>
            </w:r>
          </w:p>
        </w:tc>
        <w:tc>
          <w:tcPr>
            <w:tcW w:w="0" w:type="auto"/>
            <w:noWrap/>
            <w:hideMark/>
          </w:tcPr>
          <w:p w14:paraId="49030C8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0.477</w:t>
            </w:r>
          </w:p>
        </w:tc>
        <w:tc>
          <w:tcPr>
            <w:tcW w:w="0" w:type="auto"/>
            <w:noWrap/>
            <w:hideMark/>
          </w:tcPr>
          <w:p w14:paraId="15057B5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0.053</w:t>
            </w:r>
          </w:p>
        </w:tc>
        <w:tc>
          <w:tcPr>
            <w:tcW w:w="0" w:type="auto"/>
            <w:noWrap/>
            <w:hideMark/>
          </w:tcPr>
          <w:p w14:paraId="0E5913E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8.970</w:t>
            </w:r>
          </w:p>
        </w:tc>
        <w:tc>
          <w:tcPr>
            <w:tcW w:w="0" w:type="auto"/>
            <w:noWrap/>
            <w:hideMark/>
          </w:tcPr>
          <w:p w14:paraId="0A5CEB8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29C4110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0.373</w:t>
            </w:r>
          </w:p>
        </w:tc>
        <w:tc>
          <w:tcPr>
            <w:tcW w:w="0" w:type="auto"/>
            <w:noWrap/>
            <w:hideMark/>
          </w:tcPr>
          <w:p w14:paraId="61CF015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0.581</w:t>
            </w:r>
          </w:p>
        </w:tc>
      </w:tr>
      <w:tr w:rsidR="00B54D51" w:rsidRPr="00037AD4" w14:paraId="64E1DA22" w14:textId="77777777" w:rsidTr="00401C67">
        <w:trPr>
          <w:trHeight w:val="320"/>
        </w:trPr>
        <w:tc>
          <w:tcPr>
            <w:tcW w:w="0" w:type="auto"/>
            <w:noWrap/>
            <w:hideMark/>
          </w:tcPr>
          <w:p w14:paraId="3EA0D391" w14:textId="77777777" w:rsidR="00B54D51" w:rsidRPr="00037AD4" w:rsidRDefault="00B54D51" w:rsidP="00401C67">
            <w:pPr>
              <w:rPr>
                <w:rFonts w:ascii="Calibri" w:hAnsi="Calibri" w:cs="Calibri"/>
                <w:color w:val="000000"/>
              </w:rPr>
            </w:pPr>
            <w:r w:rsidRPr="00037AD4">
              <w:rPr>
                <w:rFonts w:cstheme="minorHAnsi"/>
              </w:rPr>
              <w:t xml:space="preserve">From level four proxy  </w:t>
            </w:r>
          </w:p>
        </w:tc>
        <w:tc>
          <w:tcPr>
            <w:tcW w:w="0" w:type="auto"/>
            <w:noWrap/>
            <w:hideMark/>
          </w:tcPr>
          <w:p w14:paraId="3AE1308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0.351</w:t>
            </w:r>
          </w:p>
        </w:tc>
        <w:tc>
          <w:tcPr>
            <w:tcW w:w="0" w:type="auto"/>
            <w:noWrap/>
            <w:hideMark/>
          </w:tcPr>
          <w:p w14:paraId="6C0E7BA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0.086</w:t>
            </w:r>
          </w:p>
        </w:tc>
        <w:tc>
          <w:tcPr>
            <w:tcW w:w="0" w:type="auto"/>
            <w:noWrap/>
            <w:hideMark/>
          </w:tcPr>
          <w:p w14:paraId="02A9ED9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4.060</w:t>
            </w:r>
          </w:p>
        </w:tc>
        <w:tc>
          <w:tcPr>
            <w:tcW w:w="0" w:type="auto"/>
            <w:noWrap/>
            <w:hideMark/>
          </w:tcPr>
          <w:p w14:paraId="4C0C778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155215F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0.181</w:t>
            </w:r>
          </w:p>
        </w:tc>
        <w:tc>
          <w:tcPr>
            <w:tcW w:w="0" w:type="auto"/>
            <w:noWrap/>
            <w:hideMark/>
          </w:tcPr>
          <w:p w14:paraId="09217DC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0.520</w:t>
            </w:r>
          </w:p>
        </w:tc>
      </w:tr>
      <w:tr w:rsidR="00B54D51" w:rsidRPr="00037AD4" w14:paraId="34C55239" w14:textId="77777777" w:rsidTr="00401C67">
        <w:trPr>
          <w:trHeight w:val="320"/>
        </w:trPr>
        <w:tc>
          <w:tcPr>
            <w:tcW w:w="0" w:type="auto"/>
            <w:gridSpan w:val="7"/>
            <w:shd w:val="clear" w:color="auto" w:fill="E7E6E6" w:themeFill="background2"/>
            <w:noWrap/>
          </w:tcPr>
          <w:p w14:paraId="477A2AB6" w14:textId="77777777" w:rsidR="00B54D51" w:rsidRPr="00037AD4" w:rsidRDefault="00B54D51" w:rsidP="00401C67">
            <w:pPr>
              <w:rPr>
                <w:rFonts w:ascii="Calibri" w:hAnsi="Calibri" w:cs="Calibri"/>
                <w:color w:val="000000"/>
              </w:rPr>
            </w:pPr>
            <w:r w:rsidRPr="00037AD4">
              <w:rPr>
                <w:rFonts w:cstheme="minorHAnsi"/>
              </w:rPr>
              <w:t>Predicted PwD: level two</w:t>
            </w:r>
          </w:p>
        </w:tc>
      </w:tr>
      <w:tr w:rsidR="00B54D51" w:rsidRPr="00037AD4" w14:paraId="65CC95F6" w14:textId="77777777" w:rsidTr="00401C67">
        <w:trPr>
          <w:trHeight w:val="320"/>
        </w:trPr>
        <w:tc>
          <w:tcPr>
            <w:tcW w:w="0" w:type="auto"/>
            <w:noWrap/>
            <w:hideMark/>
          </w:tcPr>
          <w:p w14:paraId="10F020D6" w14:textId="77777777" w:rsidR="00B54D51" w:rsidRPr="00037AD4" w:rsidRDefault="00B54D51" w:rsidP="00401C67">
            <w:pPr>
              <w:rPr>
                <w:rFonts w:ascii="Calibri" w:hAnsi="Calibri" w:cs="Calibri"/>
                <w:color w:val="000000"/>
              </w:rPr>
            </w:pPr>
            <w:r w:rsidRPr="00037AD4">
              <w:rPr>
                <w:rFonts w:cstheme="minorHAnsi"/>
              </w:rPr>
              <w:t xml:space="preserve">From level one proxy  </w:t>
            </w:r>
          </w:p>
        </w:tc>
        <w:tc>
          <w:tcPr>
            <w:tcW w:w="0" w:type="auto"/>
            <w:noWrap/>
            <w:hideMark/>
          </w:tcPr>
          <w:p w14:paraId="67287A3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0.154</w:t>
            </w:r>
          </w:p>
        </w:tc>
        <w:tc>
          <w:tcPr>
            <w:tcW w:w="0" w:type="auto"/>
            <w:noWrap/>
            <w:hideMark/>
          </w:tcPr>
          <w:p w14:paraId="16E4C2C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0.014</w:t>
            </w:r>
          </w:p>
        </w:tc>
        <w:tc>
          <w:tcPr>
            <w:tcW w:w="0" w:type="auto"/>
            <w:noWrap/>
            <w:hideMark/>
          </w:tcPr>
          <w:p w14:paraId="61122F3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11.240</w:t>
            </w:r>
          </w:p>
        </w:tc>
        <w:tc>
          <w:tcPr>
            <w:tcW w:w="0" w:type="auto"/>
            <w:noWrap/>
            <w:hideMark/>
          </w:tcPr>
          <w:p w14:paraId="11AAAE7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5BF408B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0.127</w:t>
            </w:r>
          </w:p>
        </w:tc>
        <w:tc>
          <w:tcPr>
            <w:tcW w:w="0" w:type="auto"/>
            <w:noWrap/>
            <w:hideMark/>
          </w:tcPr>
          <w:p w14:paraId="3BFFF7A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0.181</w:t>
            </w:r>
          </w:p>
        </w:tc>
      </w:tr>
      <w:tr w:rsidR="00B54D51" w:rsidRPr="00037AD4" w14:paraId="1A7C9581" w14:textId="77777777" w:rsidTr="00401C67">
        <w:trPr>
          <w:trHeight w:val="320"/>
        </w:trPr>
        <w:tc>
          <w:tcPr>
            <w:tcW w:w="0" w:type="auto"/>
            <w:noWrap/>
            <w:hideMark/>
          </w:tcPr>
          <w:p w14:paraId="74A1E577" w14:textId="77777777" w:rsidR="00B54D51" w:rsidRPr="00037AD4" w:rsidRDefault="00B54D51" w:rsidP="00401C67">
            <w:pPr>
              <w:rPr>
                <w:rFonts w:ascii="Calibri" w:hAnsi="Calibri" w:cs="Calibri"/>
                <w:color w:val="000000"/>
              </w:rPr>
            </w:pPr>
            <w:r w:rsidRPr="00037AD4">
              <w:rPr>
                <w:rFonts w:cstheme="minorHAnsi"/>
              </w:rPr>
              <w:t xml:space="preserve">From level two proxy  </w:t>
            </w:r>
          </w:p>
        </w:tc>
        <w:tc>
          <w:tcPr>
            <w:tcW w:w="0" w:type="auto"/>
            <w:noWrap/>
            <w:hideMark/>
          </w:tcPr>
          <w:p w14:paraId="01ED040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0.204</w:t>
            </w:r>
          </w:p>
        </w:tc>
        <w:tc>
          <w:tcPr>
            <w:tcW w:w="0" w:type="auto"/>
            <w:noWrap/>
            <w:hideMark/>
          </w:tcPr>
          <w:p w14:paraId="7CC0A63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0.023</w:t>
            </w:r>
          </w:p>
        </w:tc>
        <w:tc>
          <w:tcPr>
            <w:tcW w:w="0" w:type="auto"/>
            <w:noWrap/>
            <w:hideMark/>
          </w:tcPr>
          <w:p w14:paraId="05B5306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9.030</w:t>
            </w:r>
          </w:p>
        </w:tc>
        <w:tc>
          <w:tcPr>
            <w:tcW w:w="0" w:type="auto"/>
            <w:noWrap/>
            <w:hideMark/>
          </w:tcPr>
          <w:p w14:paraId="130E8E4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3073F4E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0.160</w:t>
            </w:r>
          </w:p>
        </w:tc>
        <w:tc>
          <w:tcPr>
            <w:tcW w:w="0" w:type="auto"/>
            <w:noWrap/>
            <w:hideMark/>
          </w:tcPr>
          <w:p w14:paraId="6B864E7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0.248</w:t>
            </w:r>
          </w:p>
        </w:tc>
      </w:tr>
      <w:tr w:rsidR="00B54D51" w:rsidRPr="00037AD4" w14:paraId="65FEE5B2" w14:textId="77777777" w:rsidTr="00401C67">
        <w:trPr>
          <w:trHeight w:val="320"/>
        </w:trPr>
        <w:tc>
          <w:tcPr>
            <w:tcW w:w="0" w:type="auto"/>
            <w:noWrap/>
            <w:hideMark/>
          </w:tcPr>
          <w:p w14:paraId="388035EE" w14:textId="77777777" w:rsidR="00B54D51" w:rsidRPr="00037AD4" w:rsidRDefault="00B54D51" w:rsidP="00401C67">
            <w:pPr>
              <w:rPr>
                <w:rFonts w:ascii="Calibri" w:hAnsi="Calibri" w:cs="Calibri"/>
                <w:color w:val="000000"/>
              </w:rPr>
            </w:pPr>
            <w:r w:rsidRPr="00037AD4">
              <w:rPr>
                <w:rFonts w:cstheme="minorHAnsi"/>
              </w:rPr>
              <w:t xml:space="preserve">From level three proxy  </w:t>
            </w:r>
          </w:p>
        </w:tc>
        <w:tc>
          <w:tcPr>
            <w:tcW w:w="0" w:type="auto"/>
            <w:noWrap/>
            <w:hideMark/>
          </w:tcPr>
          <w:p w14:paraId="29A1AA8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0.259</w:t>
            </w:r>
          </w:p>
        </w:tc>
        <w:tc>
          <w:tcPr>
            <w:tcW w:w="0" w:type="auto"/>
            <w:noWrap/>
            <w:hideMark/>
          </w:tcPr>
          <w:p w14:paraId="3A18BAD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0.022</w:t>
            </w:r>
          </w:p>
        </w:tc>
        <w:tc>
          <w:tcPr>
            <w:tcW w:w="0" w:type="auto"/>
            <w:noWrap/>
            <w:hideMark/>
          </w:tcPr>
          <w:p w14:paraId="61C3A45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12.020</w:t>
            </w:r>
          </w:p>
        </w:tc>
        <w:tc>
          <w:tcPr>
            <w:tcW w:w="0" w:type="auto"/>
            <w:noWrap/>
            <w:hideMark/>
          </w:tcPr>
          <w:p w14:paraId="298565B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7D9C06D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0.216</w:t>
            </w:r>
          </w:p>
        </w:tc>
        <w:tc>
          <w:tcPr>
            <w:tcW w:w="0" w:type="auto"/>
            <w:noWrap/>
            <w:hideMark/>
          </w:tcPr>
          <w:p w14:paraId="65BEDBB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0.301</w:t>
            </w:r>
          </w:p>
        </w:tc>
      </w:tr>
      <w:tr w:rsidR="00B54D51" w:rsidRPr="00037AD4" w14:paraId="7DFA69AE" w14:textId="77777777" w:rsidTr="00401C67">
        <w:trPr>
          <w:trHeight w:val="320"/>
        </w:trPr>
        <w:tc>
          <w:tcPr>
            <w:tcW w:w="0" w:type="auto"/>
            <w:noWrap/>
            <w:hideMark/>
          </w:tcPr>
          <w:p w14:paraId="7EBEDA0B" w14:textId="77777777" w:rsidR="00B54D51" w:rsidRPr="00037AD4" w:rsidRDefault="00B54D51" w:rsidP="00401C67">
            <w:pPr>
              <w:rPr>
                <w:rFonts w:ascii="Calibri" w:hAnsi="Calibri" w:cs="Calibri"/>
                <w:color w:val="000000"/>
              </w:rPr>
            </w:pPr>
            <w:r w:rsidRPr="00037AD4">
              <w:rPr>
                <w:rFonts w:cstheme="minorHAnsi"/>
              </w:rPr>
              <w:t xml:space="preserve">From level four proxy  </w:t>
            </w:r>
          </w:p>
        </w:tc>
        <w:tc>
          <w:tcPr>
            <w:tcW w:w="0" w:type="auto"/>
            <w:noWrap/>
            <w:hideMark/>
          </w:tcPr>
          <w:p w14:paraId="7ABFC5E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0.269</w:t>
            </w:r>
          </w:p>
        </w:tc>
        <w:tc>
          <w:tcPr>
            <w:tcW w:w="0" w:type="auto"/>
            <w:noWrap/>
            <w:hideMark/>
          </w:tcPr>
          <w:p w14:paraId="2A188DD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0.020</w:t>
            </w:r>
          </w:p>
        </w:tc>
        <w:tc>
          <w:tcPr>
            <w:tcW w:w="0" w:type="auto"/>
            <w:noWrap/>
            <w:hideMark/>
          </w:tcPr>
          <w:p w14:paraId="0B05E68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13.170</w:t>
            </w:r>
          </w:p>
        </w:tc>
        <w:tc>
          <w:tcPr>
            <w:tcW w:w="0" w:type="auto"/>
            <w:noWrap/>
            <w:hideMark/>
          </w:tcPr>
          <w:p w14:paraId="7C6A24E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0F15C96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0.229</w:t>
            </w:r>
          </w:p>
        </w:tc>
        <w:tc>
          <w:tcPr>
            <w:tcW w:w="0" w:type="auto"/>
            <w:noWrap/>
            <w:hideMark/>
          </w:tcPr>
          <w:p w14:paraId="51DBF2B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0.309</w:t>
            </w:r>
          </w:p>
        </w:tc>
      </w:tr>
      <w:tr w:rsidR="00B54D51" w:rsidRPr="00037AD4" w14:paraId="66BD7B2E" w14:textId="77777777" w:rsidTr="00401C67">
        <w:trPr>
          <w:trHeight w:val="320"/>
        </w:trPr>
        <w:tc>
          <w:tcPr>
            <w:tcW w:w="0" w:type="auto"/>
            <w:gridSpan w:val="7"/>
            <w:shd w:val="clear" w:color="auto" w:fill="E7E6E6" w:themeFill="background2"/>
            <w:noWrap/>
          </w:tcPr>
          <w:p w14:paraId="0AB5424F" w14:textId="77777777" w:rsidR="00B54D51" w:rsidRPr="00037AD4" w:rsidRDefault="00B54D51" w:rsidP="00401C67">
            <w:pPr>
              <w:rPr>
                <w:rFonts w:ascii="Calibri" w:hAnsi="Calibri" w:cs="Calibri"/>
                <w:color w:val="000000"/>
              </w:rPr>
            </w:pPr>
            <w:r w:rsidRPr="00037AD4">
              <w:rPr>
                <w:rFonts w:cstheme="minorHAnsi"/>
              </w:rPr>
              <w:t>Predicted PwD: level three</w:t>
            </w:r>
          </w:p>
        </w:tc>
      </w:tr>
      <w:tr w:rsidR="00B54D51" w:rsidRPr="00037AD4" w14:paraId="4A69D8A3" w14:textId="77777777" w:rsidTr="00401C67">
        <w:trPr>
          <w:trHeight w:val="320"/>
        </w:trPr>
        <w:tc>
          <w:tcPr>
            <w:tcW w:w="0" w:type="auto"/>
            <w:noWrap/>
            <w:hideMark/>
          </w:tcPr>
          <w:p w14:paraId="0E2B938B" w14:textId="77777777" w:rsidR="00B54D51" w:rsidRPr="00037AD4" w:rsidRDefault="00B54D51" w:rsidP="00401C67">
            <w:pPr>
              <w:rPr>
                <w:rFonts w:ascii="Calibri" w:hAnsi="Calibri" w:cs="Calibri"/>
                <w:color w:val="000000"/>
              </w:rPr>
            </w:pPr>
            <w:r w:rsidRPr="00037AD4">
              <w:rPr>
                <w:rFonts w:cstheme="minorHAnsi"/>
              </w:rPr>
              <w:t xml:space="preserve">From level one proxy  </w:t>
            </w:r>
          </w:p>
        </w:tc>
        <w:tc>
          <w:tcPr>
            <w:tcW w:w="0" w:type="auto"/>
            <w:noWrap/>
            <w:hideMark/>
          </w:tcPr>
          <w:p w14:paraId="38C7EA5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0.055</w:t>
            </w:r>
          </w:p>
        </w:tc>
        <w:tc>
          <w:tcPr>
            <w:tcW w:w="0" w:type="auto"/>
            <w:noWrap/>
            <w:hideMark/>
          </w:tcPr>
          <w:p w14:paraId="6875602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0.008</w:t>
            </w:r>
          </w:p>
        </w:tc>
        <w:tc>
          <w:tcPr>
            <w:tcW w:w="0" w:type="auto"/>
            <w:noWrap/>
            <w:hideMark/>
          </w:tcPr>
          <w:p w14:paraId="79F65E2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7.240</w:t>
            </w:r>
          </w:p>
        </w:tc>
        <w:tc>
          <w:tcPr>
            <w:tcW w:w="0" w:type="auto"/>
            <w:noWrap/>
            <w:hideMark/>
          </w:tcPr>
          <w:p w14:paraId="7B8701E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05606E4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0.040</w:t>
            </w:r>
          </w:p>
        </w:tc>
        <w:tc>
          <w:tcPr>
            <w:tcW w:w="0" w:type="auto"/>
            <w:noWrap/>
            <w:hideMark/>
          </w:tcPr>
          <w:p w14:paraId="5F72992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0.070</w:t>
            </w:r>
          </w:p>
        </w:tc>
      </w:tr>
      <w:tr w:rsidR="00B54D51" w:rsidRPr="00037AD4" w14:paraId="2C9540A1" w14:textId="77777777" w:rsidTr="00401C67">
        <w:trPr>
          <w:trHeight w:val="320"/>
        </w:trPr>
        <w:tc>
          <w:tcPr>
            <w:tcW w:w="0" w:type="auto"/>
            <w:noWrap/>
            <w:hideMark/>
          </w:tcPr>
          <w:p w14:paraId="59A8C7E5" w14:textId="77777777" w:rsidR="00B54D51" w:rsidRPr="00037AD4" w:rsidRDefault="00B54D51" w:rsidP="00401C67">
            <w:pPr>
              <w:rPr>
                <w:rFonts w:ascii="Calibri" w:hAnsi="Calibri" w:cs="Calibri"/>
                <w:color w:val="000000"/>
              </w:rPr>
            </w:pPr>
            <w:r w:rsidRPr="00037AD4">
              <w:rPr>
                <w:rFonts w:cstheme="minorHAnsi"/>
              </w:rPr>
              <w:t xml:space="preserve">From level two proxy  </w:t>
            </w:r>
          </w:p>
        </w:tc>
        <w:tc>
          <w:tcPr>
            <w:tcW w:w="0" w:type="auto"/>
            <w:noWrap/>
            <w:hideMark/>
          </w:tcPr>
          <w:p w14:paraId="3B097E7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0.089</w:t>
            </w:r>
          </w:p>
        </w:tc>
        <w:tc>
          <w:tcPr>
            <w:tcW w:w="0" w:type="auto"/>
            <w:noWrap/>
            <w:hideMark/>
          </w:tcPr>
          <w:p w14:paraId="7646B3F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0.017</w:t>
            </w:r>
          </w:p>
        </w:tc>
        <w:tc>
          <w:tcPr>
            <w:tcW w:w="0" w:type="auto"/>
            <w:noWrap/>
            <w:hideMark/>
          </w:tcPr>
          <w:p w14:paraId="1172DEC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5.120</w:t>
            </w:r>
          </w:p>
        </w:tc>
        <w:tc>
          <w:tcPr>
            <w:tcW w:w="0" w:type="auto"/>
            <w:noWrap/>
            <w:hideMark/>
          </w:tcPr>
          <w:p w14:paraId="7EDA30D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138FB3A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0.055</w:t>
            </w:r>
          </w:p>
        </w:tc>
        <w:tc>
          <w:tcPr>
            <w:tcW w:w="0" w:type="auto"/>
            <w:noWrap/>
            <w:hideMark/>
          </w:tcPr>
          <w:p w14:paraId="0AEC76C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0.123</w:t>
            </w:r>
          </w:p>
        </w:tc>
      </w:tr>
      <w:tr w:rsidR="00B54D51" w:rsidRPr="00037AD4" w14:paraId="6C78BC23" w14:textId="77777777" w:rsidTr="00401C67">
        <w:trPr>
          <w:trHeight w:val="320"/>
        </w:trPr>
        <w:tc>
          <w:tcPr>
            <w:tcW w:w="0" w:type="auto"/>
            <w:noWrap/>
            <w:hideMark/>
          </w:tcPr>
          <w:p w14:paraId="74DD2AE4" w14:textId="77777777" w:rsidR="00B54D51" w:rsidRPr="00037AD4" w:rsidRDefault="00B54D51" w:rsidP="00401C67">
            <w:pPr>
              <w:rPr>
                <w:rFonts w:ascii="Calibri" w:hAnsi="Calibri" w:cs="Calibri"/>
                <w:color w:val="000000"/>
              </w:rPr>
            </w:pPr>
            <w:r w:rsidRPr="00037AD4">
              <w:rPr>
                <w:rFonts w:cstheme="minorHAnsi"/>
              </w:rPr>
              <w:t xml:space="preserve">From level three proxy  </w:t>
            </w:r>
          </w:p>
        </w:tc>
        <w:tc>
          <w:tcPr>
            <w:tcW w:w="0" w:type="auto"/>
            <w:noWrap/>
            <w:hideMark/>
          </w:tcPr>
          <w:p w14:paraId="63C354D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0.151</w:t>
            </w:r>
          </w:p>
        </w:tc>
        <w:tc>
          <w:tcPr>
            <w:tcW w:w="0" w:type="auto"/>
            <w:noWrap/>
            <w:hideMark/>
          </w:tcPr>
          <w:p w14:paraId="579A275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0.024</w:t>
            </w:r>
          </w:p>
        </w:tc>
        <w:tc>
          <w:tcPr>
            <w:tcW w:w="0" w:type="auto"/>
            <w:noWrap/>
            <w:hideMark/>
          </w:tcPr>
          <w:p w14:paraId="4FE4757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6.290</w:t>
            </w:r>
          </w:p>
        </w:tc>
        <w:tc>
          <w:tcPr>
            <w:tcW w:w="0" w:type="auto"/>
            <w:noWrap/>
            <w:hideMark/>
          </w:tcPr>
          <w:p w14:paraId="0A7B6B4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3BCECE0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0.104</w:t>
            </w:r>
          </w:p>
        </w:tc>
        <w:tc>
          <w:tcPr>
            <w:tcW w:w="0" w:type="auto"/>
            <w:noWrap/>
            <w:hideMark/>
          </w:tcPr>
          <w:p w14:paraId="07C35AA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0.198</w:t>
            </w:r>
          </w:p>
        </w:tc>
      </w:tr>
      <w:tr w:rsidR="00B54D51" w:rsidRPr="00037AD4" w14:paraId="649C2F65" w14:textId="77777777" w:rsidTr="00401C67">
        <w:trPr>
          <w:trHeight w:val="320"/>
        </w:trPr>
        <w:tc>
          <w:tcPr>
            <w:tcW w:w="0" w:type="auto"/>
            <w:noWrap/>
            <w:hideMark/>
          </w:tcPr>
          <w:p w14:paraId="6ED668E6" w14:textId="77777777" w:rsidR="00B54D51" w:rsidRPr="00037AD4" w:rsidRDefault="00B54D51" w:rsidP="00401C67">
            <w:pPr>
              <w:rPr>
                <w:rFonts w:ascii="Calibri" w:hAnsi="Calibri" w:cs="Calibri"/>
                <w:color w:val="000000"/>
              </w:rPr>
            </w:pPr>
            <w:r w:rsidRPr="00037AD4">
              <w:rPr>
                <w:rFonts w:cstheme="minorHAnsi"/>
              </w:rPr>
              <w:t xml:space="preserve">From level four proxy  </w:t>
            </w:r>
          </w:p>
        </w:tc>
        <w:tc>
          <w:tcPr>
            <w:tcW w:w="0" w:type="auto"/>
            <w:noWrap/>
            <w:hideMark/>
          </w:tcPr>
          <w:p w14:paraId="328325D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0.192</w:t>
            </w:r>
          </w:p>
        </w:tc>
        <w:tc>
          <w:tcPr>
            <w:tcW w:w="0" w:type="auto"/>
            <w:noWrap/>
            <w:hideMark/>
          </w:tcPr>
          <w:p w14:paraId="6C4F33F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0.034</w:t>
            </w:r>
          </w:p>
        </w:tc>
        <w:tc>
          <w:tcPr>
            <w:tcW w:w="0" w:type="auto"/>
            <w:noWrap/>
            <w:hideMark/>
          </w:tcPr>
          <w:p w14:paraId="358997E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5.610</w:t>
            </w:r>
          </w:p>
        </w:tc>
        <w:tc>
          <w:tcPr>
            <w:tcW w:w="0" w:type="auto"/>
            <w:noWrap/>
            <w:hideMark/>
          </w:tcPr>
          <w:p w14:paraId="7A950E1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434BA49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0.125</w:t>
            </w:r>
          </w:p>
        </w:tc>
        <w:tc>
          <w:tcPr>
            <w:tcW w:w="0" w:type="auto"/>
            <w:noWrap/>
            <w:hideMark/>
          </w:tcPr>
          <w:p w14:paraId="47F6DD7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0.258</w:t>
            </w:r>
          </w:p>
        </w:tc>
      </w:tr>
      <w:tr w:rsidR="00B54D51" w:rsidRPr="00037AD4" w14:paraId="7CED44B5" w14:textId="77777777" w:rsidTr="00401C67">
        <w:trPr>
          <w:trHeight w:val="320"/>
        </w:trPr>
        <w:tc>
          <w:tcPr>
            <w:tcW w:w="0" w:type="auto"/>
            <w:gridSpan w:val="7"/>
            <w:shd w:val="clear" w:color="auto" w:fill="E7E6E6" w:themeFill="background2"/>
            <w:noWrap/>
          </w:tcPr>
          <w:p w14:paraId="56D322DC" w14:textId="77777777" w:rsidR="00B54D51" w:rsidRPr="00037AD4" w:rsidRDefault="00B54D51" w:rsidP="00401C67">
            <w:pPr>
              <w:rPr>
                <w:rFonts w:ascii="Calibri" w:hAnsi="Calibri" w:cs="Calibri"/>
                <w:color w:val="000000"/>
              </w:rPr>
            </w:pPr>
            <w:r w:rsidRPr="00037AD4">
              <w:rPr>
                <w:rFonts w:cstheme="minorHAnsi"/>
              </w:rPr>
              <w:t>Predicted PwD: level four</w:t>
            </w:r>
          </w:p>
        </w:tc>
      </w:tr>
      <w:tr w:rsidR="00B54D51" w:rsidRPr="00037AD4" w14:paraId="29182BA2" w14:textId="77777777" w:rsidTr="00401C67">
        <w:trPr>
          <w:trHeight w:val="320"/>
        </w:trPr>
        <w:tc>
          <w:tcPr>
            <w:tcW w:w="0" w:type="auto"/>
            <w:noWrap/>
            <w:hideMark/>
          </w:tcPr>
          <w:p w14:paraId="3571DE72" w14:textId="77777777" w:rsidR="00B54D51" w:rsidRPr="00037AD4" w:rsidRDefault="00B54D51" w:rsidP="00401C67">
            <w:pPr>
              <w:rPr>
                <w:rFonts w:ascii="Calibri" w:hAnsi="Calibri" w:cs="Calibri"/>
                <w:color w:val="000000"/>
              </w:rPr>
            </w:pPr>
            <w:r w:rsidRPr="00037AD4">
              <w:rPr>
                <w:rFonts w:cstheme="minorHAnsi"/>
              </w:rPr>
              <w:t xml:space="preserve">From level one proxy  </w:t>
            </w:r>
          </w:p>
        </w:tc>
        <w:tc>
          <w:tcPr>
            <w:tcW w:w="0" w:type="auto"/>
            <w:noWrap/>
            <w:hideMark/>
          </w:tcPr>
          <w:p w14:paraId="6C6F9DA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0.021</w:t>
            </w:r>
          </w:p>
        </w:tc>
        <w:tc>
          <w:tcPr>
            <w:tcW w:w="0" w:type="auto"/>
            <w:noWrap/>
            <w:hideMark/>
          </w:tcPr>
          <w:p w14:paraId="10FFA1C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0.005</w:t>
            </w:r>
          </w:p>
        </w:tc>
        <w:tc>
          <w:tcPr>
            <w:tcW w:w="0" w:type="auto"/>
            <w:noWrap/>
            <w:hideMark/>
          </w:tcPr>
          <w:p w14:paraId="39EF0DD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4.290</w:t>
            </w:r>
          </w:p>
        </w:tc>
        <w:tc>
          <w:tcPr>
            <w:tcW w:w="0" w:type="auto"/>
            <w:noWrap/>
            <w:hideMark/>
          </w:tcPr>
          <w:p w14:paraId="22F1C45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30055CE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0.011</w:t>
            </w:r>
          </w:p>
        </w:tc>
        <w:tc>
          <w:tcPr>
            <w:tcW w:w="0" w:type="auto"/>
            <w:noWrap/>
            <w:hideMark/>
          </w:tcPr>
          <w:p w14:paraId="58C8C41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0.031</w:t>
            </w:r>
          </w:p>
        </w:tc>
      </w:tr>
      <w:tr w:rsidR="00B54D51" w:rsidRPr="00037AD4" w14:paraId="7AF0B580" w14:textId="77777777" w:rsidTr="00401C67">
        <w:trPr>
          <w:trHeight w:val="320"/>
        </w:trPr>
        <w:tc>
          <w:tcPr>
            <w:tcW w:w="0" w:type="auto"/>
            <w:noWrap/>
            <w:hideMark/>
          </w:tcPr>
          <w:p w14:paraId="1F4EA7F1" w14:textId="77777777" w:rsidR="00B54D51" w:rsidRPr="00037AD4" w:rsidRDefault="00B54D51" w:rsidP="00401C67">
            <w:pPr>
              <w:rPr>
                <w:rFonts w:ascii="Calibri" w:hAnsi="Calibri" w:cs="Calibri"/>
                <w:color w:val="000000"/>
              </w:rPr>
            </w:pPr>
            <w:r w:rsidRPr="00037AD4">
              <w:rPr>
                <w:rFonts w:cstheme="minorHAnsi"/>
              </w:rPr>
              <w:t xml:space="preserve">From level two proxy  </w:t>
            </w:r>
          </w:p>
        </w:tc>
        <w:tc>
          <w:tcPr>
            <w:tcW w:w="0" w:type="auto"/>
            <w:noWrap/>
            <w:hideMark/>
          </w:tcPr>
          <w:p w14:paraId="278D83F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0.042</w:t>
            </w:r>
          </w:p>
        </w:tc>
        <w:tc>
          <w:tcPr>
            <w:tcW w:w="0" w:type="auto"/>
            <w:noWrap/>
            <w:hideMark/>
          </w:tcPr>
          <w:p w14:paraId="7B0C9C8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0.012</w:t>
            </w:r>
          </w:p>
        </w:tc>
        <w:tc>
          <w:tcPr>
            <w:tcW w:w="0" w:type="auto"/>
            <w:noWrap/>
            <w:hideMark/>
          </w:tcPr>
          <w:p w14:paraId="2DDCF1C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3.540</w:t>
            </w:r>
          </w:p>
        </w:tc>
        <w:tc>
          <w:tcPr>
            <w:tcW w:w="0" w:type="auto"/>
            <w:noWrap/>
            <w:hideMark/>
          </w:tcPr>
          <w:p w14:paraId="1034554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42B96E6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0.019</w:t>
            </w:r>
          </w:p>
        </w:tc>
        <w:tc>
          <w:tcPr>
            <w:tcW w:w="0" w:type="auto"/>
            <w:noWrap/>
            <w:hideMark/>
          </w:tcPr>
          <w:p w14:paraId="5ECD097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0.065</w:t>
            </w:r>
          </w:p>
        </w:tc>
      </w:tr>
      <w:tr w:rsidR="00B54D51" w:rsidRPr="00037AD4" w14:paraId="50855782" w14:textId="77777777" w:rsidTr="00401C67">
        <w:trPr>
          <w:trHeight w:val="320"/>
        </w:trPr>
        <w:tc>
          <w:tcPr>
            <w:tcW w:w="0" w:type="auto"/>
            <w:noWrap/>
            <w:hideMark/>
          </w:tcPr>
          <w:p w14:paraId="7F6FF432" w14:textId="77777777" w:rsidR="00B54D51" w:rsidRPr="00037AD4" w:rsidRDefault="00B54D51" w:rsidP="00401C67">
            <w:pPr>
              <w:rPr>
                <w:rFonts w:ascii="Calibri" w:hAnsi="Calibri" w:cs="Calibri"/>
                <w:color w:val="000000"/>
              </w:rPr>
            </w:pPr>
            <w:r w:rsidRPr="00037AD4">
              <w:rPr>
                <w:rFonts w:cstheme="minorHAnsi"/>
              </w:rPr>
              <w:t xml:space="preserve">From level three proxy  </w:t>
            </w:r>
          </w:p>
        </w:tc>
        <w:tc>
          <w:tcPr>
            <w:tcW w:w="0" w:type="auto"/>
            <w:noWrap/>
            <w:hideMark/>
          </w:tcPr>
          <w:p w14:paraId="04F8166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0.098</w:t>
            </w:r>
          </w:p>
        </w:tc>
        <w:tc>
          <w:tcPr>
            <w:tcW w:w="0" w:type="auto"/>
            <w:noWrap/>
            <w:hideMark/>
          </w:tcPr>
          <w:p w14:paraId="3C7F569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0.024</w:t>
            </w:r>
          </w:p>
        </w:tc>
        <w:tc>
          <w:tcPr>
            <w:tcW w:w="0" w:type="auto"/>
            <w:noWrap/>
            <w:hideMark/>
          </w:tcPr>
          <w:p w14:paraId="7C29A00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4.140</w:t>
            </w:r>
          </w:p>
        </w:tc>
        <w:tc>
          <w:tcPr>
            <w:tcW w:w="0" w:type="auto"/>
            <w:noWrap/>
            <w:hideMark/>
          </w:tcPr>
          <w:p w14:paraId="63EDA0E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2E41E4A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0.051</w:t>
            </w:r>
          </w:p>
        </w:tc>
        <w:tc>
          <w:tcPr>
            <w:tcW w:w="0" w:type="auto"/>
            <w:noWrap/>
            <w:hideMark/>
          </w:tcPr>
          <w:p w14:paraId="30EEB43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0.144</w:t>
            </w:r>
          </w:p>
        </w:tc>
      </w:tr>
      <w:tr w:rsidR="00B54D51" w:rsidRPr="00037AD4" w14:paraId="5BCFBABB" w14:textId="77777777" w:rsidTr="00401C67">
        <w:trPr>
          <w:trHeight w:val="320"/>
        </w:trPr>
        <w:tc>
          <w:tcPr>
            <w:tcW w:w="0" w:type="auto"/>
            <w:noWrap/>
            <w:hideMark/>
          </w:tcPr>
          <w:p w14:paraId="267AFDC8" w14:textId="77777777" w:rsidR="00B54D51" w:rsidRPr="00037AD4" w:rsidRDefault="00B54D51" w:rsidP="00401C67">
            <w:pPr>
              <w:rPr>
                <w:rFonts w:ascii="Calibri" w:hAnsi="Calibri" w:cs="Calibri"/>
                <w:color w:val="000000"/>
              </w:rPr>
            </w:pPr>
            <w:r w:rsidRPr="00037AD4">
              <w:rPr>
                <w:rFonts w:cstheme="minorHAnsi"/>
              </w:rPr>
              <w:t xml:space="preserve">From level four proxy  </w:t>
            </w:r>
          </w:p>
        </w:tc>
        <w:tc>
          <w:tcPr>
            <w:tcW w:w="0" w:type="auto"/>
            <w:noWrap/>
            <w:hideMark/>
          </w:tcPr>
          <w:p w14:paraId="5766962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0.154</w:t>
            </w:r>
          </w:p>
        </w:tc>
        <w:tc>
          <w:tcPr>
            <w:tcW w:w="0" w:type="auto"/>
            <w:noWrap/>
            <w:hideMark/>
          </w:tcPr>
          <w:p w14:paraId="159C493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0.047</w:t>
            </w:r>
          </w:p>
        </w:tc>
        <w:tc>
          <w:tcPr>
            <w:tcW w:w="0" w:type="auto"/>
            <w:noWrap/>
            <w:hideMark/>
          </w:tcPr>
          <w:p w14:paraId="27B1890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3.250</w:t>
            </w:r>
          </w:p>
        </w:tc>
        <w:tc>
          <w:tcPr>
            <w:tcW w:w="0" w:type="auto"/>
            <w:noWrap/>
            <w:hideMark/>
          </w:tcPr>
          <w:p w14:paraId="60E3181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c>
          <w:tcPr>
            <w:tcW w:w="0" w:type="auto"/>
            <w:noWrap/>
            <w:hideMark/>
          </w:tcPr>
          <w:p w14:paraId="032084A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0.061</w:t>
            </w:r>
          </w:p>
        </w:tc>
        <w:tc>
          <w:tcPr>
            <w:tcW w:w="0" w:type="auto"/>
            <w:noWrap/>
            <w:hideMark/>
          </w:tcPr>
          <w:p w14:paraId="118CA62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0.247</w:t>
            </w:r>
          </w:p>
        </w:tc>
      </w:tr>
      <w:tr w:rsidR="00B54D51" w:rsidRPr="00037AD4" w14:paraId="42BC4846" w14:textId="77777777" w:rsidTr="00401C67">
        <w:trPr>
          <w:trHeight w:val="320"/>
        </w:trPr>
        <w:tc>
          <w:tcPr>
            <w:tcW w:w="0" w:type="auto"/>
            <w:gridSpan w:val="7"/>
            <w:shd w:val="clear" w:color="auto" w:fill="E7E6E6" w:themeFill="background2"/>
            <w:noWrap/>
          </w:tcPr>
          <w:p w14:paraId="4B3B731F" w14:textId="77777777" w:rsidR="00B54D51" w:rsidRPr="00037AD4" w:rsidRDefault="00B54D51" w:rsidP="00401C67">
            <w:pPr>
              <w:rPr>
                <w:rFonts w:ascii="Calibri" w:hAnsi="Calibri" w:cs="Calibri"/>
                <w:color w:val="000000"/>
              </w:rPr>
            </w:pPr>
            <w:r w:rsidRPr="00037AD4">
              <w:rPr>
                <w:rFonts w:cstheme="minorHAnsi"/>
              </w:rPr>
              <w:t>Predicted PwD: level five</w:t>
            </w:r>
          </w:p>
        </w:tc>
      </w:tr>
      <w:tr w:rsidR="00B54D51" w:rsidRPr="00037AD4" w14:paraId="0928D2EB" w14:textId="77777777" w:rsidTr="00401C67">
        <w:trPr>
          <w:trHeight w:val="320"/>
        </w:trPr>
        <w:tc>
          <w:tcPr>
            <w:tcW w:w="0" w:type="auto"/>
            <w:noWrap/>
            <w:hideMark/>
          </w:tcPr>
          <w:p w14:paraId="4C2D815E" w14:textId="77777777" w:rsidR="00B54D51" w:rsidRPr="00037AD4" w:rsidRDefault="00B54D51" w:rsidP="00401C67">
            <w:pPr>
              <w:rPr>
                <w:rFonts w:ascii="Calibri" w:hAnsi="Calibri" w:cs="Calibri"/>
                <w:color w:val="000000"/>
              </w:rPr>
            </w:pPr>
            <w:r w:rsidRPr="00037AD4">
              <w:rPr>
                <w:rFonts w:cstheme="minorHAnsi"/>
              </w:rPr>
              <w:t xml:space="preserve">From level one proxy  </w:t>
            </w:r>
          </w:p>
        </w:tc>
        <w:tc>
          <w:tcPr>
            <w:tcW w:w="0" w:type="auto"/>
            <w:noWrap/>
            <w:hideMark/>
          </w:tcPr>
          <w:p w14:paraId="08C8C81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0.002</w:t>
            </w:r>
          </w:p>
        </w:tc>
        <w:tc>
          <w:tcPr>
            <w:tcW w:w="0" w:type="auto"/>
            <w:noWrap/>
            <w:hideMark/>
          </w:tcPr>
          <w:p w14:paraId="19B1FFF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c>
          <w:tcPr>
            <w:tcW w:w="0" w:type="auto"/>
            <w:noWrap/>
            <w:hideMark/>
          </w:tcPr>
          <w:p w14:paraId="5CB665A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1.530</w:t>
            </w:r>
          </w:p>
        </w:tc>
        <w:tc>
          <w:tcPr>
            <w:tcW w:w="0" w:type="auto"/>
            <w:noWrap/>
            <w:hideMark/>
          </w:tcPr>
          <w:p w14:paraId="5C65875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0.127</w:t>
            </w:r>
          </w:p>
        </w:tc>
        <w:tc>
          <w:tcPr>
            <w:tcW w:w="0" w:type="auto"/>
            <w:noWrap/>
            <w:hideMark/>
          </w:tcPr>
          <w:p w14:paraId="3E06C54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24CA8A5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0.004</w:t>
            </w:r>
          </w:p>
        </w:tc>
      </w:tr>
      <w:tr w:rsidR="00B54D51" w:rsidRPr="00037AD4" w14:paraId="1B8B406C" w14:textId="77777777" w:rsidTr="00401C67">
        <w:trPr>
          <w:trHeight w:val="320"/>
        </w:trPr>
        <w:tc>
          <w:tcPr>
            <w:tcW w:w="0" w:type="auto"/>
            <w:noWrap/>
            <w:hideMark/>
          </w:tcPr>
          <w:p w14:paraId="7E302928" w14:textId="77777777" w:rsidR="00B54D51" w:rsidRPr="00037AD4" w:rsidRDefault="00B54D51" w:rsidP="00401C67">
            <w:pPr>
              <w:rPr>
                <w:rFonts w:ascii="Calibri" w:hAnsi="Calibri" w:cs="Calibri"/>
                <w:color w:val="000000"/>
              </w:rPr>
            </w:pPr>
            <w:r w:rsidRPr="00037AD4">
              <w:rPr>
                <w:rFonts w:cstheme="minorHAnsi"/>
              </w:rPr>
              <w:t xml:space="preserve">From level two proxy  </w:t>
            </w:r>
          </w:p>
        </w:tc>
        <w:tc>
          <w:tcPr>
            <w:tcW w:w="0" w:type="auto"/>
            <w:noWrap/>
            <w:hideMark/>
          </w:tcPr>
          <w:p w14:paraId="18A7CEA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0.004</w:t>
            </w:r>
          </w:p>
        </w:tc>
        <w:tc>
          <w:tcPr>
            <w:tcW w:w="0" w:type="auto"/>
            <w:noWrap/>
            <w:hideMark/>
          </w:tcPr>
          <w:p w14:paraId="78B0B97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0.003</w:t>
            </w:r>
          </w:p>
        </w:tc>
        <w:tc>
          <w:tcPr>
            <w:tcW w:w="0" w:type="auto"/>
            <w:noWrap/>
            <w:hideMark/>
          </w:tcPr>
          <w:p w14:paraId="2EC7ABF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1.470</w:t>
            </w:r>
          </w:p>
        </w:tc>
        <w:tc>
          <w:tcPr>
            <w:tcW w:w="0" w:type="auto"/>
            <w:noWrap/>
            <w:hideMark/>
          </w:tcPr>
          <w:p w14:paraId="3D1C593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0.142</w:t>
            </w:r>
          </w:p>
        </w:tc>
        <w:tc>
          <w:tcPr>
            <w:tcW w:w="0" w:type="auto"/>
            <w:noWrap/>
            <w:hideMark/>
          </w:tcPr>
          <w:p w14:paraId="0397D8A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c>
          <w:tcPr>
            <w:tcW w:w="0" w:type="auto"/>
            <w:noWrap/>
            <w:hideMark/>
          </w:tcPr>
          <w:p w14:paraId="735EEBD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0.010</w:t>
            </w:r>
          </w:p>
        </w:tc>
      </w:tr>
      <w:tr w:rsidR="00B54D51" w:rsidRPr="00037AD4" w14:paraId="2CFC6A2D" w14:textId="77777777" w:rsidTr="00401C67">
        <w:trPr>
          <w:trHeight w:val="320"/>
        </w:trPr>
        <w:tc>
          <w:tcPr>
            <w:tcW w:w="0" w:type="auto"/>
            <w:noWrap/>
            <w:hideMark/>
          </w:tcPr>
          <w:p w14:paraId="48333F7B" w14:textId="77777777" w:rsidR="00B54D51" w:rsidRPr="00037AD4" w:rsidRDefault="00B54D51" w:rsidP="00401C67">
            <w:pPr>
              <w:rPr>
                <w:rFonts w:ascii="Calibri" w:hAnsi="Calibri" w:cs="Calibri"/>
                <w:color w:val="000000"/>
              </w:rPr>
            </w:pPr>
            <w:r w:rsidRPr="00037AD4">
              <w:rPr>
                <w:rFonts w:cstheme="minorHAnsi"/>
              </w:rPr>
              <w:t xml:space="preserve">From level three proxy  </w:t>
            </w:r>
          </w:p>
        </w:tc>
        <w:tc>
          <w:tcPr>
            <w:tcW w:w="0" w:type="auto"/>
            <w:noWrap/>
            <w:hideMark/>
          </w:tcPr>
          <w:p w14:paraId="7117402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0.016</w:t>
            </w:r>
          </w:p>
        </w:tc>
        <w:tc>
          <w:tcPr>
            <w:tcW w:w="0" w:type="auto"/>
            <w:noWrap/>
            <w:hideMark/>
          </w:tcPr>
          <w:p w14:paraId="240401C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0.009</w:t>
            </w:r>
          </w:p>
        </w:tc>
        <w:tc>
          <w:tcPr>
            <w:tcW w:w="0" w:type="auto"/>
            <w:noWrap/>
            <w:hideMark/>
          </w:tcPr>
          <w:p w14:paraId="48C5671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1.760</w:t>
            </w:r>
          </w:p>
        </w:tc>
        <w:tc>
          <w:tcPr>
            <w:tcW w:w="0" w:type="auto"/>
            <w:noWrap/>
            <w:hideMark/>
          </w:tcPr>
          <w:p w14:paraId="5810CCD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0.079</w:t>
            </w:r>
          </w:p>
        </w:tc>
        <w:tc>
          <w:tcPr>
            <w:tcW w:w="0" w:type="auto"/>
            <w:noWrap/>
            <w:hideMark/>
          </w:tcPr>
          <w:p w14:paraId="178F857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-0.002</w:t>
            </w:r>
          </w:p>
        </w:tc>
        <w:tc>
          <w:tcPr>
            <w:tcW w:w="0" w:type="auto"/>
            <w:noWrap/>
            <w:hideMark/>
          </w:tcPr>
          <w:p w14:paraId="77FFD78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0.034</w:t>
            </w:r>
          </w:p>
        </w:tc>
      </w:tr>
      <w:tr w:rsidR="00B54D51" w:rsidRPr="00037AD4" w14:paraId="59FF9D31" w14:textId="77777777" w:rsidTr="00401C67">
        <w:trPr>
          <w:trHeight w:val="320"/>
        </w:trPr>
        <w:tc>
          <w:tcPr>
            <w:tcW w:w="0" w:type="auto"/>
            <w:noWrap/>
            <w:hideMark/>
          </w:tcPr>
          <w:p w14:paraId="6A821E3B" w14:textId="77777777" w:rsidR="00B54D51" w:rsidRPr="00037AD4" w:rsidRDefault="00B54D51" w:rsidP="00401C67">
            <w:pPr>
              <w:rPr>
                <w:rFonts w:ascii="Calibri" w:hAnsi="Calibri" w:cs="Calibri"/>
                <w:color w:val="000000"/>
              </w:rPr>
            </w:pPr>
            <w:r w:rsidRPr="00037AD4">
              <w:rPr>
                <w:rFonts w:cstheme="minorHAnsi"/>
              </w:rPr>
              <w:t xml:space="preserve">From level four proxy  </w:t>
            </w:r>
          </w:p>
        </w:tc>
        <w:tc>
          <w:tcPr>
            <w:tcW w:w="0" w:type="auto"/>
            <w:noWrap/>
            <w:hideMark/>
          </w:tcPr>
          <w:p w14:paraId="1CCEAE2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0.035</w:t>
            </w:r>
          </w:p>
        </w:tc>
        <w:tc>
          <w:tcPr>
            <w:tcW w:w="0" w:type="auto"/>
            <w:noWrap/>
            <w:hideMark/>
          </w:tcPr>
          <w:p w14:paraId="3FFAE2A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0.022</w:t>
            </w:r>
          </w:p>
        </w:tc>
        <w:tc>
          <w:tcPr>
            <w:tcW w:w="0" w:type="auto"/>
            <w:noWrap/>
            <w:hideMark/>
          </w:tcPr>
          <w:p w14:paraId="16D6297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1.580</w:t>
            </w:r>
          </w:p>
        </w:tc>
        <w:tc>
          <w:tcPr>
            <w:tcW w:w="0" w:type="auto"/>
            <w:noWrap/>
            <w:hideMark/>
          </w:tcPr>
          <w:p w14:paraId="31026DD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0.115</w:t>
            </w:r>
          </w:p>
        </w:tc>
        <w:tc>
          <w:tcPr>
            <w:tcW w:w="0" w:type="auto"/>
            <w:noWrap/>
            <w:hideMark/>
          </w:tcPr>
          <w:p w14:paraId="453B906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-0.008</w:t>
            </w:r>
          </w:p>
        </w:tc>
        <w:tc>
          <w:tcPr>
            <w:tcW w:w="0" w:type="auto"/>
            <w:noWrap/>
            <w:hideMark/>
          </w:tcPr>
          <w:p w14:paraId="191F1F4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0.078</w:t>
            </w:r>
          </w:p>
        </w:tc>
      </w:tr>
    </w:tbl>
    <w:p w14:paraId="3E3E35B2" w14:textId="77777777" w:rsidR="00B54D51" w:rsidRPr="00037AD4" w:rsidRDefault="00B54D51" w:rsidP="001D7ACE">
      <w:pPr>
        <w:rPr>
          <w:rFonts w:asciiTheme="minorHAnsi" w:hAnsiTheme="minorHAnsi" w:cstheme="minorHAnsi"/>
          <w:color w:val="000000" w:themeColor="text1"/>
          <w:u w:val="single"/>
        </w:rPr>
      </w:pPr>
    </w:p>
    <w:p w14:paraId="739EBFC8" w14:textId="77777777" w:rsidR="00B54D51" w:rsidRPr="00037AD4" w:rsidRDefault="00B54D51" w:rsidP="001D7ACE">
      <w:pPr>
        <w:rPr>
          <w:rFonts w:asciiTheme="minorHAnsi" w:hAnsiTheme="minorHAnsi" w:cstheme="minorHAnsi"/>
          <w:color w:val="000000" w:themeColor="text1"/>
          <w:u w:val="single"/>
        </w:rPr>
      </w:pPr>
      <w:bookmarkStart w:id="547" w:name="A63AD"/>
      <w:r w:rsidRPr="00037AD4">
        <w:rPr>
          <w:rFonts w:asciiTheme="minorHAnsi" w:hAnsiTheme="minorHAnsi" w:cstheme="minorHAnsi"/>
          <w:color w:val="000000" w:themeColor="text1"/>
          <w:u w:val="single"/>
        </w:rPr>
        <w:t>Table A6.3q, Anxiety/depression dimension average marginal effects: ACTIFCARE</w:t>
      </w:r>
    </w:p>
    <w:bookmarkEnd w:id="547"/>
    <w:p w14:paraId="2C305EDB" w14:textId="77777777" w:rsidR="00B54D51" w:rsidRPr="00037AD4" w:rsidRDefault="00B54D51" w:rsidP="001D7ACE">
      <w:pPr>
        <w:rPr>
          <w:u w:val="single"/>
        </w:rPr>
      </w:pPr>
    </w:p>
    <w:tbl>
      <w:tblPr>
        <w:tblStyle w:val="TableGridLight"/>
        <w:tblW w:w="9016" w:type="dxa"/>
        <w:tblLook w:val="04A0" w:firstRow="1" w:lastRow="0" w:firstColumn="1" w:lastColumn="0" w:noHBand="0" w:noVBand="1"/>
      </w:tblPr>
      <w:tblGrid>
        <w:gridCol w:w="1324"/>
        <w:gridCol w:w="1797"/>
        <w:gridCol w:w="1129"/>
        <w:gridCol w:w="1133"/>
        <w:gridCol w:w="1133"/>
        <w:gridCol w:w="1250"/>
        <w:gridCol w:w="1250"/>
      </w:tblGrid>
      <w:tr w:rsidR="00B54D51" w:rsidRPr="00037AD4" w14:paraId="330B7E5D" w14:textId="77777777" w:rsidTr="00401C67">
        <w:trPr>
          <w:trHeight w:val="320"/>
        </w:trPr>
        <w:tc>
          <w:tcPr>
            <w:tcW w:w="1324" w:type="dxa"/>
            <w:noWrap/>
            <w:hideMark/>
          </w:tcPr>
          <w:p w14:paraId="56B3D37F" w14:textId="77777777" w:rsidR="00B54D51" w:rsidRPr="00037AD4" w:rsidRDefault="00B54D51" w:rsidP="00401C67">
            <w:pPr>
              <w:rPr>
                <w:sz w:val="20"/>
                <w:szCs w:val="20"/>
              </w:rPr>
            </w:pPr>
          </w:p>
        </w:tc>
        <w:tc>
          <w:tcPr>
            <w:tcW w:w="1797" w:type="dxa"/>
            <w:noWrap/>
            <w:hideMark/>
          </w:tcPr>
          <w:p w14:paraId="4BC5841B"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dy/dx   </w:t>
            </w:r>
          </w:p>
        </w:tc>
        <w:tc>
          <w:tcPr>
            <w:tcW w:w="1129" w:type="dxa"/>
          </w:tcPr>
          <w:p w14:paraId="7369D8E5" w14:textId="77777777" w:rsidR="00B54D51" w:rsidRPr="00037AD4" w:rsidRDefault="00B54D51" w:rsidP="00401C67">
            <w:pPr>
              <w:jc w:val="center"/>
              <w:rPr>
                <w:rFonts w:ascii="Calibri" w:hAnsi="Calibri" w:cs="Calibri"/>
                <w:color w:val="000000"/>
              </w:rPr>
            </w:pPr>
            <w:r w:rsidRPr="00037AD4">
              <w:rPr>
                <w:rFonts w:ascii="Calibri" w:hAnsi="Calibri" w:cs="Calibri"/>
                <w:color w:val="000000"/>
              </w:rPr>
              <w:t>std. err.</w:t>
            </w:r>
          </w:p>
        </w:tc>
        <w:tc>
          <w:tcPr>
            <w:tcW w:w="1133" w:type="dxa"/>
            <w:noWrap/>
            <w:hideMark/>
          </w:tcPr>
          <w:p w14:paraId="3EB2C845" w14:textId="77777777" w:rsidR="00B54D51" w:rsidRPr="00037AD4" w:rsidRDefault="00B54D51" w:rsidP="00401C67">
            <w:pPr>
              <w:jc w:val="center"/>
              <w:rPr>
                <w:rFonts w:ascii="Calibri" w:hAnsi="Calibri" w:cs="Calibri"/>
                <w:color w:val="000000"/>
              </w:rPr>
            </w:pPr>
            <w:r w:rsidRPr="00037AD4">
              <w:rPr>
                <w:rFonts w:ascii="Calibri" w:hAnsi="Calibri" w:cs="Calibri"/>
                <w:color w:val="000000"/>
              </w:rPr>
              <w:t>Z</w:t>
            </w:r>
          </w:p>
        </w:tc>
        <w:tc>
          <w:tcPr>
            <w:tcW w:w="1133" w:type="dxa"/>
            <w:noWrap/>
            <w:hideMark/>
          </w:tcPr>
          <w:p w14:paraId="6BB9DB4D" w14:textId="77777777" w:rsidR="00B54D51" w:rsidRPr="00037AD4" w:rsidRDefault="00B54D51" w:rsidP="00401C67">
            <w:pPr>
              <w:rPr>
                <w:rFonts w:ascii="Calibri" w:hAnsi="Calibri" w:cs="Calibri"/>
                <w:color w:val="000000"/>
              </w:rPr>
            </w:pPr>
            <w:r w:rsidRPr="00037AD4">
              <w:rPr>
                <w:rFonts w:ascii="Calibri" w:hAnsi="Calibri" w:cs="Calibri"/>
                <w:color w:val="000000"/>
              </w:rPr>
              <w:t>P&gt;z</w:t>
            </w:r>
          </w:p>
        </w:tc>
        <w:tc>
          <w:tcPr>
            <w:tcW w:w="1250" w:type="dxa"/>
            <w:noWrap/>
            <w:hideMark/>
          </w:tcPr>
          <w:p w14:paraId="541F09D0" w14:textId="77777777" w:rsidR="00B54D51" w:rsidRPr="00037AD4" w:rsidRDefault="00B54D51" w:rsidP="00401C67">
            <w:pPr>
              <w:rPr>
                <w:rFonts w:ascii="Calibri" w:hAnsi="Calibri" w:cs="Calibri"/>
                <w:color w:val="000000"/>
              </w:rPr>
            </w:pPr>
            <w:r w:rsidRPr="00037AD4">
              <w:rPr>
                <w:rFonts w:ascii="Calibri" w:hAnsi="Calibri" w:cs="Calibri"/>
                <w:color w:val="000000"/>
              </w:rPr>
              <w:t>[95% conf.</w:t>
            </w:r>
          </w:p>
        </w:tc>
        <w:tc>
          <w:tcPr>
            <w:tcW w:w="1250" w:type="dxa"/>
            <w:noWrap/>
            <w:hideMark/>
          </w:tcPr>
          <w:p w14:paraId="45C85FAE" w14:textId="77777777" w:rsidR="00B54D51" w:rsidRPr="00037AD4" w:rsidRDefault="00B54D51" w:rsidP="00401C67">
            <w:pPr>
              <w:rPr>
                <w:rFonts w:ascii="Calibri" w:hAnsi="Calibri" w:cs="Calibri"/>
                <w:color w:val="000000"/>
              </w:rPr>
            </w:pPr>
            <w:r w:rsidRPr="00037AD4">
              <w:rPr>
                <w:rFonts w:ascii="Calibri" w:hAnsi="Calibri" w:cs="Calibri"/>
                <w:color w:val="000000"/>
              </w:rPr>
              <w:t>interval]</w:t>
            </w:r>
          </w:p>
        </w:tc>
      </w:tr>
      <w:tr w:rsidR="00B54D51" w:rsidRPr="00037AD4" w14:paraId="7CC52132" w14:textId="77777777" w:rsidTr="00401C67">
        <w:trPr>
          <w:trHeight w:val="320"/>
        </w:trPr>
        <w:tc>
          <w:tcPr>
            <w:tcW w:w="9016" w:type="dxa"/>
            <w:gridSpan w:val="7"/>
            <w:shd w:val="clear" w:color="auto" w:fill="F2F2F2" w:themeFill="background1" w:themeFillShade="F2"/>
          </w:tcPr>
          <w:p w14:paraId="5AFB7BB1" w14:textId="77777777" w:rsidR="00B54D51" w:rsidRPr="00037AD4" w:rsidRDefault="00B54D51" w:rsidP="00401C67">
            <w:pPr>
              <w:rPr>
                <w:rFonts w:ascii="Calibri" w:hAnsi="Calibri" w:cs="Calibri"/>
                <w:color w:val="000000"/>
              </w:rPr>
            </w:pPr>
            <w:r w:rsidRPr="00037AD4">
              <w:rPr>
                <w:rFonts w:ascii="Calibri" w:hAnsi="Calibri" w:cs="Calibri"/>
                <w:color w:val="000000"/>
              </w:rPr>
              <w:t>Relative proxy anxiety/depression level 1 (= base outcome)</w:t>
            </w:r>
          </w:p>
        </w:tc>
      </w:tr>
      <w:tr w:rsidR="00B54D51" w:rsidRPr="00037AD4" w14:paraId="18E0B3DE" w14:textId="77777777" w:rsidTr="00401C67">
        <w:trPr>
          <w:trHeight w:val="320"/>
        </w:trPr>
        <w:tc>
          <w:tcPr>
            <w:tcW w:w="9016" w:type="dxa"/>
            <w:gridSpan w:val="7"/>
            <w:shd w:val="clear" w:color="auto" w:fill="F2F2F2" w:themeFill="background1" w:themeFillShade="F2"/>
          </w:tcPr>
          <w:p w14:paraId="31976A95" w14:textId="77777777" w:rsidR="00B54D51" w:rsidRPr="00037AD4" w:rsidRDefault="00B54D51" w:rsidP="00401C67">
            <w:pPr>
              <w:rPr>
                <w:sz w:val="20"/>
                <w:szCs w:val="20"/>
              </w:rPr>
            </w:pPr>
            <w:r w:rsidRPr="00037AD4">
              <w:rPr>
                <w:rFonts w:ascii="Calibri" w:hAnsi="Calibri" w:cs="Calibri"/>
                <w:color w:val="000000"/>
              </w:rPr>
              <w:t>Relative proxy anxiety/depression level 2, predict:</w:t>
            </w:r>
          </w:p>
        </w:tc>
      </w:tr>
      <w:tr w:rsidR="00B54D51" w:rsidRPr="00037AD4" w14:paraId="184F9FCA" w14:textId="77777777" w:rsidTr="00401C67">
        <w:trPr>
          <w:trHeight w:val="320"/>
        </w:trPr>
        <w:tc>
          <w:tcPr>
            <w:tcW w:w="1324" w:type="dxa"/>
            <w:noWrap/>
            <w:hideMark/>
          </w:tcPr>
          <w:p w14:paraId="7F61080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w:t>
            </w:r>
          </w:p>
        </w:tc>
        <w:tc>
          <w:tcPr>
            <w:tcW w:w="1797" w:type="dxa"/>
            <w:noWrap/>
            <w:hideMark/>
          </w:tcPr>
          <w:p w14:paraId="487E50E8" w14:textId="77777777" w:rsidR="00B54D51" w:rsidRPr="00037AD4" w:rsidRDefault="00B54D51" w:rsidP="00401C67">
            <w:pPr>
              <w:rPr>
                <w:rFonts w:ascii="Calibri" w:hAnsi="Calibri" w:cs="Calibri"/>
                <w:color w:val="000000"/>
              </w:rPr>
            </w:pPr>
            <w:r w:rsidRPr="00037AD4">
              <w:rPr>
                <w:rFonts w:ascii="Calibri" w:hAnsi="Calibri" w:cs="Calibri"/>
                <w:color w:val="000000"/>
              </w:rPr>
              <w:t>-.133</w:t>
            </w:r>
          </w:p>
        </w:tc>
        <w:tc>
          <w:tcPr>
            <w:tcW w:w="1129" w:type="dxa"/>
          </w:tcPr>
          <w:p w14:paraId="30F2B61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.034</w:t>
            </w:r>
          </w:p>
        </w:tc>
        <w:tc>
          <w:tcPr>
            <w:tcW w:w="1133" w:type="dxa"/>
            <w:noWrap/>
            <w:hideMark/>
          </w:tcPr>
          <w:p w14:paraId="6A3F5F3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-3.91</w:t>
            </w:r>
          </w:p>
        </w:tc>
        <w:tc>
          <w:tcPr>
            <w:tcW w:w="1133" w:type="dxa"/>
            <w:noWrap/>
            <w:hideMark/>
          </w:tcPr>
          <w:p w14:paraId="1C34FEA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w:t>
            </w:r>
          </w:p>
        </w:tc>
        <w:tc>
          <w:tcPr>
            <w:tcW w:w="1250" w:type="dxa"/>
            <w:noWrap/>
            <w:hideMark/>
          </w:tcPr>
          <w:p w14:paraId="38190FB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-0.120</w:t>
            </w:r>
          </w:p>
        </w:tc>
        <w:tc>
          <w:tcPr>
            <w:tcW w:w="1250" w:type="dxa"/>
            <w:noWrap/>
            <w:hideMark/>
          </w:tcPr>
          <w:p w14:paraId="347C1C1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-0.066</w:t>
            </w:r>
          </w:p>
        </w:tc>
      </w:tr>
      <w:tr w:rsidR="00B54D51" w:rsidRPr="00037AD4" w14:paraId="22082E32" w14:textId="77777777" w:rsidTr="00401C67">
        <w:trPr>
          <w:trHeight w:val="320"/>
        </w:trPr>
        <w:tc>
          <w:tcPr>
            <w:tcW w:w="1324" w:type="dxa"/>
            <w:noWrap/>
            <w:hideMark/>
          </w:tcPr>
          <w:p w14:paraId="41B1C9A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w:t>
            </w:r>
          </w:p>
        </w:tc>
        <w:tc>
          <w:tcPr>
            <w:tcW w:w="1797" w:type="dxa"/>
            <w:noWrap/>
            <w:hideMark/>
          </w:tcPr>
          <w:p w14:paraId="5C91A0CC" w14:textId="77777777" w:rsidR="00B54D51" w:rsidRPr="00037AD4" w:rsidRDefault="00B54D51" w:rsidP="00401C67">
            <w:pPr>
              <w:rPr>
                <w:rFonts w:ascii="Calibri" w:hAnsi="Calibri" w:cs="Calibri"/>
                <w:color w:val="000000"/>
              </w:rPr>
            </w:pPr>
            <w:r w:rsidRPr="00037AD4">
              <w:rPr>
                <w:rFonts w:ascii="Calibri" w:hAnsi="Calibri" w:cs="Calibri"/>
                <w:color w:val="000000"/>
              </w:rPr>
              <w:t>.066</w:t>
            </w:r>
          </w:p>
        </w:tc>
        <w:tc>
          <w:tcPr>
            <w:tcW w:w="1129" w:type="dxa"/>
          </w:tcPr>
          <w:p w14:paraId="59D2947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.017</w:t>
            </w:r>
          </w:p>
        </w:tc>
        <w:tc>
          <w:tcPr>
            <w:tcW w:w="1133" w:type="dxa"/>
            <w:noWrap/>
            <w:hideMark/>
          </w:tcPr>
          <w:p w14:paraId="7E976C3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3.9</w:t>
            </w:r>
          </w:p>
        </w:tc>
        <w:tc>
          <w:tcPr>
            <w:tcW w:w="1133" w:type="dxa"/>
            <w:noWrap/>
            <w:hideMark/>
          </w:tcPr>
          <w:p w14:paraId="121EFD3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w:t>
            </w:r>
          </w:p>
        </w:tc>
        <w:tc>
          <w:tcPr>
            <w:tcW w:w="1250" w:type="dxa"/>
            <w:noWrap/>
            <w:hideMark/>
          </w:tcPr>
          <w:p w14:paraId="49E4868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0.033</w:t>
            </w:r>
          </w:p>
        </w:tc>
        <w:tc>
          <w:tcPr>
            <w:tcW w:w="1250" w:type="dxa"/>
            <w:noWrap/>
            <w:hideMark/>
          </w:tcPr>
          <w:p w14:paraId="5F0A1D0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0.099</w:t>
            </w:r>
          </w:p>
        </w:tc>
      </w:tr>
      <w:tr w:rsidR="00B54D51" w:rsidRPr="00037AD4" w14:paraId="3EB08CF2" w14:textId="77777777" w:rsidTr="00401C67">
        <w:trPr>
          <w:trHeight w:val="320"/>
        </w:trPr>
        <w:tc>
          <w:tcPr>
            <w:tcW w:w="1324" w:type="dxa"/>
            <w:noWrap/>
            <w:hideMark/>
          </w:tcPr>
          <w:p w14:paraId="2EE104C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w:t>
            </w:r>
          </w:p>
        </w:tc>
        <w:tc>
          <w:tcPr>
            <w:tcW w:w="1797" w:type="dxa"/>
            <w:noWrap/>
            <w:hideMark/>
          </w:tcPr>
          <w:p w14:paraId="09817DF2"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.053 </w:t>
            </w:r>
          </w:p>
        </w:tc>
        <w:tc>
          <w:tcPr>
            <w:tcW w:w="1129" w:type="dxa"/>
          </w:tcPr>
          <w:p w14:paraId="47C9681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.015</w:t>
            </w:r>
          </w:p>
        </w:tc>
        <w:tc>
          <w:tcPr>
            <w:tcW w:w="1133" w:type="dxa"/>
            <w:noWrap/>
            <w:hideMark/>
          </w:tcPr>
          <w:p w14:paraId="14ABC0A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3.63</w:t>
            </w:r>
          </w:p>
        </w:tc>
        <w:tc>
          <w:tcPr>
            <w:tcW w:w="1133" w:type="dxa"/>
            <w:noWrap/>
            <w:hideMark/>
          </w:tcPr>
          <w:p w14:paraId="1C0BAA2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w:t>
            </w:r>
          </w:p>
        </w:tc>
        <w:tc>
          <w:tcPr>
            <w:tcW w:w="1250" w:type="dxa"/>
            <w:noWrap/>
            <w:hideMark/>
          </w:tcPr>
          <w:p w14:paraId="068A827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0.025</w:t>
            </w:r>
          </w:p>
        </w:tc>
        <w:tc>
          <w:tcPr>
            <w:tcW w:w="1250" w:type="dxa"/>
            <w:noWrap/>
            <w:hideMark/>
          </w:tcPr>
          <w:p w14:paraId="0ABAE35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0.082</w:t>
            </w:r>
          </w:p>
        </w:tc>
      </w:tr>
      <w:tr w:rsidR="00B54D51" w:rsidRPr="00037AD4" w14:paraId="0B7DB9CE" w14:textId="77777777" w:rsidTr="00401C67">
        <w:trPr>
          <w:trHeight w:val="320"/>
        </w:trPr>
        <w:tc>
          <w:tcPr>
            <w:tcW w:w="1324" w:type="dxa"/>
            <w:noWrap/>
            <w:hideMark/>
          </w:tcPr>
          <w:p w14:paraId="161C01E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w:t>
            </w:r>
          </w:p>
        </w:tc>
        <w:tc>
          <w:tcPr>
            <w:tcW w:w="1797" w:type="dxa"/>
            <w:noWrap/>
            <w:hideMark/>
          </w:tcPr>
          <w:p w14:paraId="4B8284B0"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.012  </w:t>
            </w:r>
          </w:p>
        </w:tc>
        <w:tc>
          <w:tcPr>
            <w:tcW w:w="1129" w:type="dxa"/>
          </w:tcPr>
          <w:p w14:paraId="6929387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.004</w:t>
            </w:r>
          </w:p>
        </w:tc>
        <w:tc>
          <w:tcPr>
            <w:tcW w:w="1133" w:type="dxa"/>
            <w:noWrap/>
            <w:hideMark/>
          </w:tcPr>
          <w:p w14:paraId="6D690A7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2.94</w:t>
            </w:r>
          </w:p>
        </w:tc>
        <w:tc>
          <w:tcPr>
            <w:tcW w:w="1133" w:type="dxa"/>
            <w:noWrap/>
            <w:hideMark/>
          </w:tcPr>
          <w:p w14:paraId="71C38F7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0.003</w:t>
            </w:r>
          </w:p>
        </w:tc>
        <w:tc>
          <w:tcPr>
            <w:tcW w:w="1250" w:type="dxa"/>
            <w:noWrap/>
            <w:hideMark/>
          </w:tcPr>
          <w:p w14:paraId="7664657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0.004</w:t>
            </w:r>
          </w:p>
        </w:tc>
        <w:tc>
          <w:tcPr>
            <w:tcW w:w="1250" w:type="dxa"/>
            <w:noWrap/>
            <w:hideMark/>
          </w:tcPr>
          <w:p w14:paraId="04960D0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0.020</w:t>
            </w:r>
          </w:p>
        </w:tc>
      </w:tr>
      <w:tr w:rsidR="00B54D51" w:rsidRPr="00037AD4" w14:paraId="6507F974" w14:textId="77777777" w:rsidTr="00401C67">
        <w:trPr>
          <w:trHeight w:val="320"/>
        </w:trPr>
        <w:tc>
          <w:tcPr>
            <w:tcW w:w="1324" w:type="dxa"/>
            <w:noWrap/>
            <w:hideMark/>
          </w:tcPr>
          <w:p w14:paraId="714DD08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5</w:t>
            </w:r>
          </w:p>
        </w:tc>
        <w:tc>
          <w:tcPr>
            <w:tcW w:w="1797" w:type="dxa"/>
            <w:noWrap/>
            <w:hideMark/>
          </w:tcPr>
          <w:p w14:paraId="5145A9D4" w14:textId="77777777" w:rsidR="00B54D51" w:rsidRPr="00037AD4" w:rsidRDefault="00B54D51" w:rsidP="00401C67">
            <w:pPr>
              <w:rPr>
                <w:rFonts w:ascii="Calibri" w:hAnsi="Calibri" w:cs="Calibri"/>
                <w:color w:val="000000"/>
              </w:rPr>
            </w:pPr>
            <w:r w:rsidRPr="00037AD4">
              <w:rPr>
                <w:rFonts w:ascii="Calibri" w:hAnsi="Calibri" w:cs="Calibri"/>
                <w:color w:val="000000"/>
              </w:rPr>
              <w:t>.002</w:t>
            </w:r>
          </w:p>
        </w:tc>
        <w:tc>
          <w:tcPr>
            <w:tcW w:w="1129" w:type="dxa"/>
          </w:tcPr>
          <w:p w14:paraId="7890FB4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w:t>
            </w:r>
          </w:p>
        </w:tc>
        <w:tc>
          <w:tcPr>
            <w:tcW w:w="1133" w:type="dxa"/>
            <w:noWrap/>
            <w:hideMark/>
          </w:tcPr>
          <w:p w14:paraId="6D0608F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1.5</w:t>
            </w:r>
          </w:p>
        </w:tc>
        <w:tc>
          <w:tcPr>
            <w:tcW w:w="1133" w:type="dxa"/>
            <w:noWrap/>
            <w:hideMark/>
          </w:tcPr>
          <w:p w14:paraId="1B931B4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0.133</w:t>
            </w:r>
          </w:p>
        </w:tc>
        <w:tc>
          <w:tcPr>
            <w:tcW w:w="1250" w:type="dxa"/>
            <w:noWrap/>
            <w:hideMark/>
          </w:tcPr>
          <w:p w14:paraId="758AAFD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c>
          <w:tcPr>
            <w:tcW w:w="1250" w:type="dxa"/>
            <w:noWrap/>
            <w:hideMark/>
          </w:tcPr>
          <w:p w14:paraId="6488894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0.004</w:t>
            </w:r>
          </w:p>
        </w:tc>
      </w:tr>
      <w:tr w:rsidR="00B54D51" w:rsidRPr="00037AD4" w14:paraId="74B8BD49" w14:textId="77777777" w:rsidTr="00401C67">
        <w:trPr>
          <w:trHeight w:val="320"/>
        </w:trPr>
        <w:tc>
          <w:tcPr>
            <w:tcW w:w="9016" w:type="dxa"/>
            <w:gridSpan w:val="7"/>
            <w:shd w:val="clear" w:color="auto" w:fill="F2F2F2" w:themeFill="background1" w:themeFillShade="F2"/>
          </w:tcPr>
          <w:p w14:paraId="7DF9D6F7" w14:textId="77777777" w:rsidR="00B54D51" w:rsidRPr="00037AD4" w:rsidRDefault="00B54D51" w:rsidP="00401C67">
            <w:pPr>
              <w:rPr>
                <w:sz w:val="20"/>
                <w:szCs w:val="20"/>
              </w:rPr>
            </w:pPr>
            <w:r w:rsidRPr="00037AD4">
              <w:rPr>
                <w:rFonts w:ascii="Calibri" w:hAnsi="Calibri" w:cs="Calibri"/>
                <w:color w:val="000000"/>
              </w:rPr>
              <w:lastRenderedPageBreak/>
              <w:t>Relative proxy anxiety/depression level 3, predict:</w:t>
            </w:r>
          </w:p>
        </w:tc>
      </w:tr>
      <w:tr w:rsidR="00B54D51" w:rsidRPr="00037AD4" w14:paraId="3F006C40" w14:textId="77777777" w:rsidTr="00401C67">
        <w:trPr>
          <w:trHeight w:val="320"/>
        </w:trPr>
        <w:tc>
          <w:tcPr>
            <w:tcW w:w="1324" w:type="dxa"/>
            <w:noWrap/>
            <w:hideMark/>
          </w:tcPr>
          <w:p w14:paraId="6E42879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w:t>
            </w:r>
          </w:p>
        </w:tc>
        <w:tc>
          <w:tcPr>
            <w:tcW w:w="1797" w:type="dxa"/>
            <w:noWrap/>
            <w:hideMark/>
          </w:tcPr>
          <w:p w14:paraId="09587F41"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-.271 </w:t>
            </w:r>
          </w:p>
        </w:tc>
        <w:tc>
          <w:tcPr>
            <w:tcW w:w="1129" w:type="dxa"/>
          </w:tcPr>
          <w:p w14:paraId="23169A8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.037</w:t>
            </w:r>
          </w:p>
        </w:tc>
        <w:tc>
          <w:tcPr>
            <w:tcW w:w="1133" w:type="dxa"/>
            <w:noWrap/>
            <w:hideMark/>
          </w:tcPr>
          <w:p w14:paraId="35333CE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-7.31</w:t>
            </w:r>
          </w:p>
        </w:tc>
        <w:tc>
          <w:tcPr>
            <w:tcW w:w="1133" w:type="dxa"/>
            <w:noWrap/>
            <w:hideMark/>
          </w:tcPr>
          <w:p w14:paraId="09B4608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w:t>
            </w:r>
          </w:p>
        </w:tc>
        <w:tc>
          <w:tcPr>
            <w:tcW w:w="1250" w:type="dxa"/>
            <w:noWrap/>
            <w:hideMark/>
          </w:tcPr>
          <w:p w14:paraId="67E8097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-0.344</w:t>
            </w:r>
          </w:p>
        </w:tc>
        <w:tc>
          <w:tcPr>
            <w:tcW w:w="1250" w:type="dxa"/>
            <w:noWrap/>
            <w:hideMark/>
          </w:tcPr>
          <w:p w14:paraId="4BC0D03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-0.199</w:t>
            </w:r>
          </w:p>
        </w:tc>
      </w:tr>
      <w:tr w:rsidR="00B54D51" w:rsidRPr="00037AD4" w14:paraId="6D61493A" w14:textId="77777777" w:rsidTr="00401C67">
        <w:trPr>
          <w:trHeight w:val="320"/>
        </w:trPr>
        <w:tc>
          <w:tcPr>
            <w:tcW w:w="1324" w:type="dxa"/>
            <w:noWrap/>
            <w:hideMark/>
          </w:tcPr>
          <w:p w14:paraId="0E45BBC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w:t>
            </w:r>
          </w:p>
        </w:tc>
        <w:tc>
          <w:tcPr>
            <w:tcW w:w="1797" w:type="dxa"/>
            <w:noWrap/>
            <w:hideMark/>
          </w:tcPr>
          <w:p w14:paraId="244183AE"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.111  </w:t>
            </w:r>
          </w:p>
        </w:tc>
        <w:tc>
          <w:tcPr>
            <w:tcW w:w="1129" w:type="dxa"/>
          </w:tcPr>
          <w:p w14:paraId="0065818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.016</w:t>
            </w:r>
          </w:p>
        </w:tc>
        <w:tc>
          <w:tcPr>
            <w:tcW w:w="1133" w:type="dxa"/>
            <w:noWrap/>
            <w:hideMark/>
          </w:tcPr>
          <w:p w14:paraId="5125FCC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6.79</w:t>
            </w:r>
          </w:p>
        </w:tc>
        <w:tc>
          <w:tcPr>
            <w:tcW w:w="1133" w:type="dxa"/>
            <w:noWrap/>
            <w:hideMark/>
          </w:tcPr>
          <w:p w14:paraId="395FC3C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w:t>
            </w:r>
          </w:p>
        </w:tc>
        <w:tc>
          <w:tcPr>
            <w:tcW w:w="1250" w:type="dxa"/>
            <w:noWrap/>
            <w:hideMark/>
          </w:tcPr>
          <w:p w14:paraId="29E75F5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0.079</w:t>
            </w:r>
          </w:p>
        </w:tc>
        <w:tc>
          <w:tcPr>
            <w:tcW w:w="1250" w:type="dxa"/>
            <w:noWrap/>
            <w:hideMark/>
          </w:tcPr>
          <w:p w14:paraId="2C41A4F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0.143</w:t>
            </w:r>
          </w:p>
        </w:tc>
      </w:tr>
      <w:tr w:rsidR="00B54D51" w:rsidRPr="00037AD4" w14:paraId="0A6BEEFE" w14:textId="77777777" w:rsidTr="00401C67">
        <w:trPr>
          <w:trHeight w:val="320"/>
        </w:trPr>
        <w:tc>
          <w:tcPr>
            <w:tcW w:w="1324" w:type="dxa"/>
            <w:noWrap/>
            <w:hideMark/>
          </w:tcPr>
          <w:p w14:paraId="48431F3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w:t>
            </w:r>
          </w:p>
        </w:tc>
        <w:tc>
          <w:tcPr>
            <w:tcW w:w="1797" w:type="dxa"/>
            <w:noWrap/>
            <w:hideMark/>
          </w:tcPr>
          <w:p w14:paraId="52109502" w14:textId="77777777" w:rsidR="00B54D51" w:rsidRPr="00037AD4" w:rsidRDefault="00B54D51" w:rsidP="00401C67">
            <w:pPr>
              <w:rPr>
                <w:rFonts w:ascii="Calibri" w:hAnsi="Calibri" w:cs="Calibri"/>
                <w:color w:val="000000"/>
              </w:rPr>
            </w:pPr>
            <w:r w:rsidRPr="00037AD4">
              <w:rPr>
                <w:rFonts w:ascii="Calibri" w:hAnsi="Calibri" w:cs="Calibri"/>
                <w:color w:val="000000"/>
              </w:rPr>
              <w:t>.121</w:t>
            </w:r>
          </w:p>
        </w:tc>
        <w:tc>
          <w:tcPr>
            <w:tcW w:w="1129" w:type="dxa"/>
          </w:tcPr>
          <w:p w14:paraId="6131516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.0120</w:t>
            </w:r>
          </w:p>
        </w:tc>
        <w:tc>
          <w:tcPr>
            <w:tcW w:w="1133" w:type="dxa"/>
            <w:noWrap/>
            <w:hideMark/>
          </w:tcPr>
          <w:p w14:paraId="3C0BE66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6.14</w:t>
            </w:r>
          </w:p>
        </w:tc>
        <w:tc>
          <w:tcPr>
            <w:tcW w:w="1133" w:type="dxa"/>
            <w:noWrap/>
            <w:hideMark/>
          </w:tcPr>
          <w:p w14:paraId="2F92FA6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w:t>
            </w:r>
          </w:p>
        </w:tc>
        <w:tc>
          <w:tcPr>
            <w:tcW w:w="1250" w:type="dxa"/>
            <w:noWrap/>
            <w:hideMark/>
          </w:tcPr>
          <w:p w14:paraId="349CF3F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0.082</w:t>
            </w:r>
          </w:p>
        </w:tc>
        <w:tc>
          <w:tcPr>
            <w:tcW w:w="1250" w:type="dxa"/>
            <w:noWrap/>
            <w:hideMark/>
          </w:tcPr>
          <w:p w14:paraId="0449486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0.159</w:t>
            </w:r>
          </w:p>
        </w:tc>
      </w:tr>
      <w:tr w:rsidR="00B54D51" w:rsidRPr="00037AD4" w14:paraId="3F4A9E6D" w14:textId="77777777" w:rsidTr="00401C67">
        <w:trPr>
          <w:trHeight w:val="320"/>
        </w:trPr>
        <w:tc>
          <w:tcPr>
            <w:tcW w:w="1324" w:type="dxa"/>
            <w:noWrap/>
            <w:hideMark/>
          </w:tcPr>
          <w:p w14:paraId="69BC29A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w:t>
            </w:r>
          </w:p>
        </w:tc>
        <w:tc>
          <w:tcPr>
            <w:tcW w:w="1797" w:type="dxa"/>
            <w:noWrap/>
            <w:hideMark/>
          </w:tcPr>
          <w:p w14:paraId="72964839"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.034   </w:t>
            </w:r>
          </w:p>
        </w:tc>
        <w:tc>
          <w:tcPr>
            <w:tcW w:w="1129" w:type="dxa"/>
          </w:tcPr>
          <w:p w14:paraId="0A5DB62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.009</w:t>
            </w:r>
          </w:p>
        </w:tc>
        <w:tc>
          <w:tcPr>
            <w:tcW w:w="1133" w:type="dxa"/>
            <w:noWrap/>
            <w:hideMark/>
          </w:tcPr>
          <w:p w14:paraId="482100E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3.81</w:t>
            </w:r>
          </w:p>
        </w:tc>
        <w:tc>
          <w:tcPr>
            <w:tcW w:w="1133" w:type="dxa"/>
            <w:noWrap/>
            <w:hideMark/>
          </w:tcPr>
          <w:p w14:paraId="352C93D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w:t>
            </w:r>
          </w:p>
        </w:tc>
        <w:tc>
          <w:tcPr>
            <w:tcW w:w="1250" w:type="dxa"/>
            <w:noWrap/>
            <w:hideMark/>
          </w:tcPr>
          <w:p w14:paraId="0A310EA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0.016</w:t>
            </w:r>
          </w:p>
        </w:tc>
        <w:tc>
          <w:tcPr>
            <w:tcW w:w="1250" w:type="dxa"/>
            <w:noWrap/>
            <w:hideMark/>
          </w:tcPr>
          <w:p w14:paraId="170BEB3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0.051</w:t>
            </w:r>
          </w:p>
        </w:tc>
      </w:tr>
      <w:tr w:rsidR="00B54D51" w:rsidRPr="00037AD4" w14:paraId="4DC3465D" w14:textId="77777777" w:rsidTr="00401C67">
        <w:trPr>
          <w:trHeight w:val="320"/>
        </w:trPr>
        <w:tc>
          <w:tcPr>
            <w:tcW w:w="1324" w:type="dxa"/>
            <w:noWrap/>
            <w:hideMark/>
          </w:tcPr>
          <w:p w14:paraId="2CAC9D7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5</w:t>
            </w:r>
          </w:p>
        </w:tc>
        <w:tc>
          <w:tcPr>
            <w:tcW w:w="1797" w:type="dxa"/>
            <w:noWrap/>
            <w:hideMark/>
          </w:tcPr>
          <w:p w14:paraId="75214D85" w14:textId="77777777" w:rsidR="00B54D51" w:rsidRPr="00037AD4" w:rsidRDefault="00B54D51" w:rsidP="00401C67">
            <w:pPr>
              <w:rPr>
                <w:rFonts w:ascii="Calibri" w:hAnsi="Calibri" w:cs="Calibri"/>
                <w:color w:val="000000"/>
              </w:rPr>
            </w:pPr>
            <w:r w:rsidRPr="00037AD4">
              <w:rPr>
                <w:rFonts w:ascii="Calibri" w:hAnsi="Calibri" w:cs="Calibri"/>
                <w:color w:val="000000"/>
              </w:rPr>
              <w:t>.006</w:t>
            </w:r>
          </w:p>
        </w:tc>
        <w:tc>
          <w:tcPr>
            <w:tcW w:w="1129" w:type="dxa"/>
          </w:tcPr>
          <w:p w14:paraId="19A7D41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w:t>
            </w:r>
          </w:p>
        </w:tc>
        <w:tc>
          <w:tcPr>
            <w:tcW w:w="1133" w:type="dxa"/>
            <w:noWrap/>
            <w:hideMark/>
          </w:tcPr>
          <w:p w14:paraId="56812C7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1.81</w:t>
            </w:r>
          </w:p>
        </w:tc>
        <w:tc>
          <w:tcPr>
            <w:tcW w:w="1133" w:type="dxa"/>
            <w:noWrap/>
            <w:hideMark/>
          </w:tcPr>
          <w:p w14:paraId="3494639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0.07</w:t>
            </w:r>
          </w:p>
        </w:tc>
        <w:tc>
          <w:tcPr>
            <w:tcW w:w="1250" w:type="dxa"/>
            <w:noWrap/>
            <w:hideMark/>
          </w:tcPr>
          <w:p w14:paraId="3BBE84A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1250" w:type="dxa"/>
            <w:noWrap/>
            <w:hideMark/>
          </w:tcPr>
          <w:p w14:paraId="16F4F0B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0.012</w:t>
            </w:r>
          </w:p>
        </w:tc>
      </w:tr>
      <w:tr w:rsidR="00B54D51" w:rsidRPr="00037AD4" w14:paraId="63CC433B" w14:textId="77777777" w:rsidTr="00401C67">
        <w:trPr>
          <w:trHeight w:val="320"/>
        </w:trPr>
        <w:tc>
          <w:tcPr>
            <w:tcW w:w="9016" w:type="dxa"/>
            <w:gridSpan w:val="7"/>
            <w:shd w:val="clear" w:color="auto" w:fill="F2F2F2" w:themeFill="background1" w:themeFillShade="F2"/>
          </w:tcPr>
          <w:p w14:paraId="576F4C3A" w14:textId="77777777" w:rsidR="00B54D51" w:rsidRPr="00037AD4" w:rsidRDefault="00B54D51" w:rsidP="00401C67">
            <w:pPr>
              <w:rPr>
                <w:sz w:val="20"/>
                <w:szCs w:val="20"/>
              </w:rPr>
            </w:pPr>
            <w:r w:rsidRPr="00037AD4">
              <w:rPr>
                <w:rFonts w:ascii="Calibri" w:hAnsi="Calibri" w:cs="Calibri"/>
                <w:color w:val="000000"/>
              </w:rPr>
              <w:t>Relative proxy anxiety/depression level 4, predict:</w:t>
            </w:r>
          </w:p>
        </w:tc>
      </w:tr>
      <w:tr w:rsidR="00B54D51" w:rsidRPr="00037AD4" w14:paraId="2970248A" w14:textId="77777777" w:rsidTr="00401C67">
        <w:trPr>
          <w:trHeight w:val="320"/>
        </w:trPr>
        <w:tc>
          <w:tcPr>
            <w:tcW w:w="1324" w:type="dxa"/>
            <w:noWrap/>
            <w:hideMark/>
          </w:tcPr>
          <w:p w14:paraId="2E3C196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w:t>
            </w:r>
          </w:p>
        </w:tc>
        <w:tc>
          <w:tcPr>
            <w:tcW w:w="1797" w:type="dxa"/>
            <w:noWrap/>
            <w:hideMark/>
          </w:tcPr>
          <w:p w14:paraId="52A8797C"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-.222  </w:t>
            </w:r>
          </w:p>
        </w:tc>
        <w:tc>
          <w:tcPr>
            <w:tcW w:w="1129" w:type="dxa"/>
          </w:tcPr>
          <w:p w14:paraId="244972C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.065</w:t>
            </w:r>
          </w:p>
        </w:tc>
        <w:tc>
          <w:tcPr>
            <w:tcW w:w="1133" w:type="dxa"/>
            <w:noWrap/>
            <w:hideMark/>
          </w:tcPr>
          <w:p w14:paraId="30C5D36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-3.39</w:t>
            </w:r>
          </w:p>
        </w:tc>
        <w:tc>
          <w:tcPr>
            <w:tcW w:w="1133" w:type="dxa"/>
            <w:noWrap/>
            <w:hideMark/>
          </w:tcPr>
          <w:p w14:paraId="304BE15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c>
          <w:tcPr>
            <w:tcW w:w="1250" w:type="dxa"/>
            <w:noWrap/>
            <w:hideMark/>
          </w:tcPr>
          <w:p w14:paraId="6A10DF6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-0.350</w:t>
            </w:r>
          </w:p>
        </w:tc>
        <w:tc>
          <w:tcPr>
            <w:tcW w:w="1250" w:type="dxa"/>
            <w:noWrap/>
            <w:hideMark/>
          </w:tcPr>
          <w:p w14:paraId="24569A7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-0.094</w:t>
            </w:r>
          </w:p>
        </w:tc>
      </w:tr>
      <w:tr w:rsidR="00B54D51" w:rsidRPr="00037AD4" w14:paraId="07F03CA1" w14:textId="77777777" w:rsidTr="00401C67">
        <w:trPr>
          <w:trHeight w:val="320"/>
        </w:trPr>
        <w:tc>
          <w:tcPr>
            <w:tcW w:w="1324" w:type="dxa"/>
            <w:noWrap/>
            <w:hideMark/>
          </w:tcPr>
          <w:p w14:paraId="4E36982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w:t>
            </w:r>
          </w:p>
        </w:tc>
        <w:tc>
          <w:tcPr>
            <w:tcW w:w="1797" w:type="dxa"/>
            <w:noWrap/>
            <w:hideMark/>
          </w:tcPr>
          <w:p w14:paraId="1F77D7BA"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.098 </w:t>
            </w:r>
          </w:p>
        </w:tc>
        <w:tc>
          <w:tcPr>
            <w:tcW w:w="1129" w:type="dxa"/>
          </w:tcPr>
          <w:p w14:paraId="539BBFF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.023</w:t>
            </w:r>
          </w:p>
        </w:tc>
        <w:tc>
          <w:tcPr>
            <w:tcW w:w="1133" w:type="dxa"/>
            <w:noWrap/>
            <w:hideMark/>
          </w:tcPr>
          <w:p w14:paraId="191FD52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4.23</w:t>
            </w:r>
          </w:p>
        </w:tc>
        <w:tc>
          <w:tcPr>
            <w:tcW w:w="1133" w:type="dxa"/>
            <w:noWrap/>
            <w:hideMark/>
          </w:tcPr>
          <w:p w14:paraId="753FEC2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w:t>
            </w:r>
          </w:p>
        </w:tc>
        <w:tc>
          <w:tcPr>
            <w:tcW w:w="1250" w:type="dxa"/>
            <w:noWrap/>
            <w:hideMark/>
          </w:tcPr>
          <w:p w14:paraId="3053E24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0.053</w:t>
            </w:r>
          </w:p>
        </w:tc>
        <w:tc>
          <w:tcPr>
            <w:tcW w:w="1250" w:type="dxa"/>
            <w:noWrap/>
            <w:hideMark/>
          </w:tcPr>
          <w:p w14:paraId="1D1D4BC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0.144</w:t>
            </w:r>
          </w:p>
        </w:tc>
      </w:tr>
      <w:tr w:rsidR="00B54D51" w:rsidRPr="00037AD4" w14:paraId="6A9EB5A9" w14:textId="77777777" w:rsidTr="00401C67">
        <w:trPr>
          <w:trHeight w:val="320"/>
        </w:trPr>
        <w:tc>
          <w:tcPr>
            <w:tcW w:w="1324" w:type="dxa"/>
            <w:noWrap/>
            <w:hideMark/>
          </w:tcPr>
          <w:p w14:paraId="2652963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w:t>
            </w:r>
          </w:p>
        </w:tc>
        <w:tc>
          <w:tcPr>
            <w:tcW w:w="1797" w:type="dxa"/>
            <w:noWrap/>
            <w:hideMark/>
          </w:tcPr>
          <w:p w14:paraId="4959E937"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.096 </w:t>
            </w:r>
          </w:p>
        </w:tc>
        <w:tc>
          <w:tcPr>
            <w:tcW w:w="1129" w:type="dxa"/>
          </w:tcPr>
          <w:p w14:paraId="1954BB0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.033</w:t>
            </w:r>
          </w:p>
        </w:tc>
        <w:tc>
          <w:tcPr>
            <w:tcW w:w="1133" w:type="dxa"/>
            <w:noWrap/>
            <w:hideMark/>
          </w:tcPr>
          <w:p w14:paraId="6297991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2.94</w:t>
            </w:r>
          </w:p>
        </w:tc>
        <w:tc>
          <w:tcPr>
            <w:tcW w:w="1133" w:type="dxa"/>
            <w:noWrap/>
            <w:hideMark/>
          </w:tcPr>
          <w:p w14:paraId="6CD7EA6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0.003</w:t>
            </w:r>
          </w:p>
        </w:tc>
        <w:tc>
          <w:tcPr>
            <w:tcW w:w="1250" w:type="dxa"/>
            <w:noWrap/>
            <w:hideMark/>
          </w:tcPr>
          <w:p w14:paraId="324776D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0.032</w:t>
            </w:r>
          </w:p>
        </w:tc>
        <w:tc>
          <w:tcPr>
            <w:tcW w:w="1250" w:type="dxa"/>
            <w:noWrap/>
            <w:hideMark/>
          </w:tcPr>
          <w:p w14:paraId="7AA6C34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0.159</w:t>
            </w:r>
          </w:p>
        </w:tc>
      </w:tr>
      <w:tr w:rsidR="00B54D51" w:rsidRPr="00037AD4" w14:paraId="28F28855" w14:textId="77777777" w:rsidTr="00401C67">
        <w:trPr>
          <w:trHeight w:val="320"/>
        </w:trPr>
        <w:tc>
          <w:tcPr>
            <w:tcW w:w="1324" w:type="dxa"/>
            <w:noWrap/>
            <w:hideMark/>
          </w:tcPr>
          <w:p w14:paraId="65AC153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w:t>
            </w:r>
          </w:p>
        </w:tc>
        <w:tc>
          <w:tcPr>
            <w:tcW w:w="1797" w:type="dxa"/>
            <w:noWrap/>
            <w:hideMark/>
          </w:tcPr>
          <w:p w14:paraId="15B60239"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.024 </w:t>
            </w:r>
          </w:p>
        </w:tc>
        <w:tc>
          <w:tcPr>
            <w:tcW w:w="1129" w:type="dxa"/>
          </w:tcPr>
          <w:p w14:paraId="027FFD2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.011</w:t>
            </w:r>
          </w:p>
        </w:tc>
        <w:tc>
          <w:tcPr>
            <w:tcW w:w="1133" w:type="dxa"/>
            <w:noWrap/>
            <w:hideMark/>
          </w:tcPr>
          <w:p w14:paraId="031EAC3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2.13</w:t>
            </w:r>
          </w:p>
        </w:tc>
        <w:tc>
          <w:tcPr>
            <w:tcW w:w="1133" w:type="dxa"/>
            <w:noWrap/>
            <w:hideMark/>
          </w:tcPr>
          <w:p w14:paraId="4AC1699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0.033</w:t>
            </w:r>
          </w:p>
        </w:tc>
        <w:tc>
          <w:tcPr>
            <w:tcW w:w="1250" w:type="dxa"/>
            <w:noWrap/>
            <w:hideMark/>
          </w:tcPr>
          <w:p w14:paraId="78FB90E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0.002</w:t>
            </w:r>
          </w:p>
        </w:tc>
        <w:tc>
          <w:tcPr>
            <w:tcW w:w="1250" w:type="dxa"/>
            <w:noWrap/>
            <w:hideMark/>
          </w:tcPr>
          <w:p w14:paraId="65F2A6B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0.047</w:t>
            </w:r>
          </w:p>
        </w:tc>
      </w:tr>
      <w:tr w:rsidR="00B54D51" w:rsidRPr="00037AD4" w14:paraId="6F38B69D" w14:textId="77777777" w:rsidTr="00401C67">
        <w:trPr>
          <w:trHeight w:val="320"/>
        </w:trPr>
        <w:tc>
          <w:tcPr>
            <w:tcW w:w="1324" w:type="dxa"/>
            <w:noWrap/>
            <w:hideMark/>
          </w:tcPr>
          <w:p w14:paraId="7B64F42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5</w:t>
            </w:r>
          </w:p>
        </w:tc>
        <w:tc>
          <w:tcPr>
            <w:tcW w:w="1797" w:type="dxa"/>
            <w:noWrap/>
            <w:hideMark/>
          </w:tcPr>
          <w:p w14:paraId="6AF75CC0"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.004 </w:t>
            </w:r>
          </w:p>
        </w:tc>
        <w:tc>
          <w:tcPr>
            <w:tcW w:w="1129" w:type="dxa"/>
          </w:tcPr>
          <w:p w14:paraId="2EAE10D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w:t>
            </w:r>
          </w:p>
        </w:tc>
        <w:tc>
          <w:tcPr>
            <w:tcW w:w="1133" w:type="dxa"/>
            <w:noWrap/>
            <w:hideMark/>
          </w:tcPr>
          <w:p w14:paraId="66C8A88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1.33</w:t>
            </w:r>
          </w:p>
        </w:tc>
        <w:tc>
          <w:tcPr>
            <w:tcW w:w="1133" w:type="dxa"/>
            <w:noWrap/>
            <w:hideMark/>
          </w:tcPr>
          <w:p w14:paraId="3AF6F5A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0.183</w:t>
            </w:r>
          </w:p>
        </w:tc>
        <w:tc>
          <w:tcPr>
            <w:tcW w:w="1250" w:type="dxa"/>
            <w:noWrap/>
            <w:hideMark/>
          </w:tcPr>
          <w:p w14:paraId="2F3AC5A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-0.002</w:t>
            </w:r>
          </w:p>
        </w:tc>
        <w:tc>
          <w:tcPr>
            <w:tcW w:w="1250" w:type="dxa"/>
            <w:noWrap/>
            <w:hideMark/>
          </w:tcPr>
          <w:p w14:paraId="7CBCBA0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0.010</w:t>
            </w:r>
          </w:p>
        </w:tc>
      </w:tr>
      <w:tr w:rsidR="00B54D51" w:rsidRPr="00037AD4" w14:paraId="5FABA282" w14:textId="77777777" w:rsidTr="00401C67">
        <w:trPr>
          <w:trHeight w:val="320"/>
        </w:trPr>
        <w:tc>
          <w:tcPr>
            <w:tcW w:w="9016" w:type="dxa"/>
            <w:gridSpan w:val="7"/>
            <w:shd w:val="clear" w:color="auto" w:fill="F2F2F2" w:themeFill="background1" w:themeFillShade="F2"/>
          </w:tcPr>
          <w:p w14:paraId="6DC2A7C8" w14:textId="77777777" w:rsidR="00B54D51" w:rsidRPr="00037AD4" w:rsidRDefault="00B54D51" w:rsidP="00401C67">
            <w:pPr>
              <w:rPr>
                <w:sz w:val="20"/>
                <w:szCs w:val="20"/>
              </w:rPr>
            </w:pPr>
            <w:r w:rsidRPr="00037AD4">
              <w:rPr>
                <w:rFonts w:ascii="Calibri" w:hAnsi="Calibri" w:cs="Calibri"/>
                <w:color w:val="000000"/>
              </w:rPr>
              <w:t>Relative proxy anxiety/depression level 5, predict:</w:t>
            </w:r>
          </w:p>
        </w:tc>
      </w:tr>
      <w:tr w:rsidR="00B54D51" w:rsidRPr="00037AD4" w14:paraId="21E2CDB8" w14:textId="77777777" w:rsidTr="00401C67">
        <w:trPr>
          <w:trHeight w:val="320"/>
        </w:trPr>
        <w:tc>
          <w:tcPr>
            <w:tcW w:w="1324" w:type="dxa"/>
            <w:noWrap/>
            <w:hideMark/>
          </w:tcPr>
          <w:p w14:paraId="568642F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w:t>
            </w:r>
          </w:p>
        </w:tc>
        <w:tc>
          <w:tcPr>
            <w:tcW w:w="1797" w:type="dxa"/>
            <w:noWrap/>
            <w:hideMark/>
          </w:tcPr>
          <w:p w14:paraId="77C50E72" w14:textId="77777777" w:rsidR="00B54D51" w:rsidRPr="00037AD4" w:rsidRDefault="00B54D51" w:rsidP="00401C67">
            <w:pPr>
              <w:rPr>
                <w:rFonts w:ascii="Calibri" w:hAnsi="Calibri" w:cs="Calibri"/>
                <w:color w:val="000000"/>
              </w:rPr>
            </w:pPr>
            <w:r w:rsidRPr="00037AD4">
              <w:rPr>
                <w:rFonts w:ascii="Calibri" w:hAnsi="Calibri" w:cs="Calibri"/>
                <w:color w:val="000000"/>
              </w:rPr>
              <w:t>-.482</w:t>
            </w:r>
          </w:p>
        </w:tc>
        <w:tc>
          <w:tcPr>
            <w:tcW w:w="1129" w:type="dxa"/>
          </w:tcPr>
          <w:p w14:paraId="5DC8152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.079</w:t>
            </w:r>
          </w:p>
        </w:tc>
        <w:tc>
          <w:tcPr>
            <w:tcW w:w="1133" w:type="dxa"/>
            <w:noWrap/>
            <w:hideMark/>
          </w:tcPr>
          <w:p w14:paraId="5FDFC4F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-6.07</w:t>
            </w:r>
          </w:p>
        </w:tc>
        <w:tc>
          <w:tcPr>
            <w:tcW w:w="1133" w:type="dxa"/>
            <w:noWrap/>
            <w:hideMark/>
          </w:tcPr>
          <w:p w14:paraId="26933A9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w:t>
            </w:r>
          </w:p>
        </w:tc>
        <w:tc>
          <w:tcPr>
            <w:tcW w:w="1250" w:type="dxa"/>
            <w:noWrap/>
            <w:hideMark/>
          </w:tcPr>
          <w:p w14:paraId="793BF2B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-0.637</w:t>
            </w:r>
          </w:p>
        </w:tc>
        <w:tc>
          <w:tcPr>
            <w:tcW w:w="1250" w:type="dxa"/>
            <w:noWrap/>
            <w:hideMark/>
          </w:tcPr>
          <w:p w14:paraId="0BDC6A3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-0.326</w:t>
            </w:r>
          </w:p>
        </w:tc>
      </w:tr>
      <w:tr w:rsidR="00B54D51" w:rsidRPr="00037AD4" w14:paraId="737C8035" w14:textId="77777777" w:rsidTr="00401C67">
        <w:trPr>
          <w:trHeight w:val="320"/>
        </w:trPr>
        <w:tc>
          <w:tcPr>
            <w:tcW w:w="1324" w:type="dxa"/>
            <w:noWrap/>
            <w:hideMark/>
          </w:tcPr>
          <w:p w14:paraId="14FABF3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w:t>
            </w:r>
          </w:p>
        </w:tc>
        <w:tc>
          <w:tcPr>
            <w:tcW w:w="1797" w:type="dxa"/>
            <w:noWrap/>
            <w:hideMark/>
          </w:tcPr>
          <w:p w14:paraId="72879E96"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.109  </w:t>
            </w:r>
          </w:p>
        </w:tc>
        <w:tc>
          <w:tcPr>
            <w:tcW w:w="1129" w:type="dxa"/>
          </w:tcPr>
          <w:p w14:paraId="57DBE45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.027</w:t>
            </w:r>
          </w:p>
        </w:tc>
        <w:tc>
          <w:tcPr>
            <w:tcW w:w="1133" w:type="dxa"/>
            <w:noWrap/>
            <w:hideMark/>
          </w:tcPr>
          <w:p w14:paraId="29D4B80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4.04</w:t>
            </w:r>
          </w:p>
        </w:tc>
        <w:tc>
          <w:tcPr>
            <w:tcW w:w="1133" w:type="dxa"/>
            <w:noWrap/>
            <w:hideMark/>
          </w:tcPr>
          <w:p w14:paraId="60A3A74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w:t>
            </w:r>
          </w:p>
        </w:tc>
        <w:tc>
          <w:tcPr>
            <w:tcW w:w="1250" w:type="dxa"/>
            <w:noWrap/>
            <w:hideMark/>
          </w:tcPr>
          <w:p w14:paraId="0155090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0.056</w:t>
            </w:r>
          </w:p>
        </w:tc>
        <w:tc>
          <w:tcPr>
            <w:tcW w:w="1250" w:type="dxa"/>
            <w:noWrap/>
            <w:hideMark/>
          </w:tcPr>
          <w:p w14:paraId="3647971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0.162</w:t>
            </w:r>
          </w:p>
        </w:tc>
      </w:tr>
      <w:tr w:rsidR="00B54D51" w:rsidRPr="00037AD4" w14:paraId="686D6C5B" w14:textId="77777777" w:rsidTr="00401C67">
        <w:trPr>
          <w:trHeight w:val="320"/>
        </w:trPr>
        <w:tc>
          <w:tcPr>
            <w:tcW w:w="1324" w:type="dxa"/>
            <w:noWrap/>
            <w:hideMark/>
          </w:tcPr>
          <w:p w14:paraId="0A4F6CA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w:t>
            </w:r>
          </w:p>
        </w:tc>
        <w:tc>
          <w:tcPr>
            <w:tcW w:w="1797" w:type="dxa"/>
            <w:noWrap/>
            <w:hideMark/>
          </w:tcPr>
          <w:p w14:paraId="24086F88"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.240 </w:t>
            </w:r>
          </w:p>
        </w:tc>
        <w:tc>
          <w:tcPr>
            <w:tcW w:w="1129" w:type="dxa"/>
          </w:tcPr>
          <w:p w14:paraId="72AB699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.047</w:t>
            </w:r>
          </w:p>
        </w:tc>
        <w:tc>
          <w:tcPr>
            <w:tcW w:w="1133" w:type="dxa"/>
            <w:noWrap/>
            <w:hideMark/>
          </w:tcPr>
          <w:p w14:paraId="34FF37C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5.1</w:t>
            </w:r>
          </w:p>
        </w:tc>
        <w:tc>
          <w:tcPr>
            <w:tcW w:w="1133" w:type="dxa"/>
            <w:noWrap/>
            <w:hideMark/>
          </w:tcPr>
          <w:p w14:paraId="3E0C7AE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w:t>
            </w:r>
          </w:p>
        </w:tc>
        <w:tc>
          <w:tcPr>
            <w:tcW w:w="1250" w:type="dxa"/>
            <w:noWrap/>
            <w:hideMark/>
          </w:tcPr>
          <w:p w14:paraId="7FD2E78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0.147</w:t>
            </w:r>
          </w:p>
        </w:tc>
        <w:tc>
          <w:tcPr>
            <w:tcW w:w="1250" w:type="dxa"/>
            <w:noWrap/>
            <w:hideMark/>
          </w:tcPr>
          <w:p w14:paraId="5909CF9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0.332</w:t>
            </w:r>
          </w:p>
        </w:tc>
      </w:tr>
      <w:tr w:rsidR="00B54D51" w:rsidRPr="00037AD4" w14:paraId="1A0671AA" w14:textId="77777777" w:rsidTr="00401C67">
        <w:trPr>
          <w:trHeight w:val="320"/>
        </w:trPr>
        <w:tc>
          <w:tcPr>
            <w:tcW w:w="1324" w:type="dxa"/>
            <w:noWrap/>
            <w:hideMark/>
          </w:tcPr>
          <w:p w14:paraId="48E2C81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w:t>
            </w:r>
          </w:p>
        </w:tc>
        <w:tc>
          <w:tcPr>
            <w:tcW w:w="1797" w:type="dxa"/>
            <w:noWrap/>
            <w:hideMark/>
          </w:tcPr>
          <w:p w14:paraId="3F23A6F9"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.104  </w:t>
            </w:r>
          </w:p>
        </w:tc>
        <w:tc>
          <w:tcPr>
            <w:tcW w:w="1129" w:type="dxa"/>
          </w:tcPr>
          <w:p w14:paraId="55C97F4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.042</w:t>
            </w:r>
          </w:p>
        </w:tc>
        <w:tc>
          <w:tcPr>
            <w:tcW w:w="1133" w:type="dxa"/>
            <w:noWrap/>
            <w:hideMark/>
          </w:tcPr>
          <w:p w14:paraId="2E24214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2.51</w:t>
            </w:r>
          </w:p>
        </w:tc>
        <w:tc>
          <w:tcPr>
            <w:tcW w:w="1133" w:type="dxa"/>
            <w:noWrap/>
            <w:hideMark/>
          </w:tcPr>
          <w:p w14:paraId="3B1C946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0.012</w:t>
            </w:r>
          </w:p>
        </w:tc>
        <w:tc>
          <w:tcPr>
            <w:tcW w:w="1250" w:type="dxa"/>
            <w:noWrap/>
            <w:hideMark/>
          </w:tcPr>
          <w:p w14:paraId="527517F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0.023</w:t>
            </w:r>
          </w:p>
        </w:tc>
        <w:tc>
          <w:tcPr>
            <w:tcW w:w="1250" w:type="dxa"/>
            <w:noWrap/>
            <w:hideMark/>
          </w:tcPr>
          <w:p w14:paraId="7124560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0.185</w:t>
            </w:r>
          </w:p>
        </w:tc>
      </w:tr>
      <w:tr w:rsidR="00B54D51" w:rsidRPr="00037AD4" w14:paraId="3F33BFB9" w14:textId="77777777" w:rsidTr="00401C67">
        <w:trPr>
          <w:trHeight w:val="320"/>
        </w:trPr>
        <w:tc>
          <w:tcPr>
            <w:tcW w:w="1324" w:type="dxa"/>
            <w:noWrap/>
            <w:hideMark/>
          </w:tcPr>
          <w:p w14:paraId="0443561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5</w:t>
            </w:r>
          </w:p>
        </w:tc>
        <w:tc>
          <w:tcPr>
            <w:tcW w:w="1797" w:type="dxa"/>
            <w:noWrap/>
            <w:hideMark/>
          </w:tcPr>
          <w:p w14:paraId="264B315D"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.029  </w:t>
            </w:r>
          </w:p>
        </w:tc>
        <w:tc>
          <w:tcPr>
            <w:tcW w:w="1129" w:type="dxa"/>
          </w:tcPr>
          <w:p w14:paraId="2DB1715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.021</w:t>
            </w:r>
          </w:p>
        </w:tc>
        <w:tc>
          <w:tcPr>
            <w:tcW w:w="1133" w:type="dxa"/>
            <w:noWrap/>
            <w:hideMark/>
          </w:tcPr>
          <w:p w14:paraId="0B54CA3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1.4</w:t>
            </w:r>
          </w:p>
        </w:tc>
        <w:tc>
          <w:tcPr>
            <w:tcW w:w="1133" w:type="dxa"/>
            <w:noWrap/>
            <w:hideMark/>
          </w:tcPr>
          <w:p w14:paraId="4EDDF2F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0.162</w:t>
            </w:r>
          </w:p>
        </w:tc>
        <w:tc>
          <w:tcPr>
            <w:tcW w:w="1250" w:type="dxa"/>
            <w:noWrap/>
            <w:hideMark/>
          </w:tcPr>
          <w:p w14:paraId="33BE27C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-0.012</w:t>
            </w:r>
          </w:p>
        </w:tc>
        <w:tc>
          <w:tcPr>
            <w:tcW w:w="1250" w:type="dxa"/>
            <w:noWrap/>
            <w:hideMark/>
          </w:tcPr>
          <w:p w14:paraId="2107B19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0.069</w:t>
            </w:r>
          </w:p>
        </w:tc>
      </w:tr>
      <w:tr w:rsidR="00B54D51" w:rsidRPr="00037AD4" w14:paraId="527E84D3" w14:textId="77777777" w:rsidTr="00401C67">
        <w:trPr>
          <w:trHeight w:val="320"/>
        </w:trPr>
        <w:tc>
          <w:tcPr>
            <w:tcW w:w="9016" w:type="dxa"/>
            <w:gridSpan w:val="7"/>
            <w:shd w:val="clear" w:color="auto" w:fill="F2F2F2" w:themeFill="background1" w:themeFillShade="F2"/>
          </w:tcPr>
          <w:p w14:paraId="3F4EF0F4" w14:textId="77777777" w:rsidR="00B54D51" w:rsidRPr="00037AD4" w:rsidRDefault="00B54D51" w:rsidP="00401C67">
            <w:pPr>
              <w:rPr>
                <w:sz w:val="20"/>
                <w:szCs w:val="20"/>
              </w:rPr>
            </w:pPr>
            <w:r w:rsidRPr="00037AD4">
              <w:rPr>
                <w:rFonts w:ascii="Calibri" w:hAnsi="Calibri" w:cs="Calibri"/>
                <w:color w:val="000000"/>
              </w:rPr>
              <w:t xml:space="preserve">MMSE total score, predict: </w:t>
            </w:r>
          </w:p>
        </w:tc>
      </w:tr>
      <w:tr w:rsidR="00B54D51" w:rsidRPr="00037AD4" w14:paraId="3E57C0A8" w14:textId="77777777" w:rsidTr="00401C67">
        <w:trPr>
          <w:trHeight w:val="320"/>
        </w:trPr>
        <w:tc>
          <w:tcPr>
            <w:tcW w:w="1324" w:type="dxa"/>
            <w:noWrap/>
            <w:hideMark/>
          </w:tcPr>
          <w:p w14:paraId="5ABA77B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w:t>
            </w:r>
          </w:p>
        </w:tc>
        <w:tc>
          <w:tcPr>
            <w:tcW w:w="1797" w:type="dxa"/>
            <w:noWrap/>
            <w:hideMark/>
          </w:tcPr>
          <w:p w14:paraId="3E901C0C"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.002    </w:t>
            </w:r>
          </w:p>
        </w:tc>
        <w:tc>
          <w:tcPr>
            <w:tcW w:w="1129" w:type="dxa"/>
          </w:tcPr>
          <w:p w14:paraId="3990CD6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w:t>
            </w:r>
          </w:p>
        </w:tc>
        <w:tc>
          <w:tcPr>
            <w:tcW w:w="1133" w:type="dxa"/>
            <w:noWrap/>
            <w:hideMark/>
          </w:tcPr>
          <w:p w14:paraId="0324C87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0.56</w:t>
            </w:r>
          </w:p>
        </w:tc>
        <w:tc>
          <w:tcPr>
            <w:tcW w:w="1133" w:type="dxa"/>
            <w:noWrap/>
            <w:hideMark/>
          </w:tcPr>
          <w:p w14:paraId="352BC4E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0.575</w:t>
            </w:r>
          </w:p>
        </w:tc>
        <w:tc>
          <w:tcPr>
            <w:tcW w:w="1250" w:type="dxa"/>
            <w:noWrap/>
            <w:hideMark/>
          </w:tcPr>
          <w:p w14:paraId="6B2E219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-0.004</w:t>
            </w:r>
          </w:p>
        </w:tc>
        <w:tc>
          <w:tcPr>
            <w:tcW w:w="1250" w:type="dxa"/>
            <w:noWrap/>
            <w:hideMark/>
          </w:tcPr>
          <w:p w14:paraId="63CCAEB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0.008</w:t>
            </w:r>
          </w:p>
        </w:tc>
      </w:tr>
      <w:tr w:rsidR="00B54D51" w:rsidRPr="00037AD4" w14:paraId="68B61BD1" w14:textId="77777777" w:rsidTr="00401C67">
        <w:trPr>
          <w:trHeight w:val="320"/>
        </w:trPr>
        <w:tc>
          <w:tcPr>
            <w:tcW w:w="1324" w:type="dxa"/>
            <w:noWrap/>
            <w:hideMark/>
          </w:tcPr>
          <w:p w14:paraId="4786B18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w:t>
            </w:r>
          </w:p>
        </w:tc>
        <w:tc>
          <w:tcPr>
            <w:tcW w:w="1797" w:type="dxa"/>
            <w:noWrap/>
            <w:hideMark/>
          </w:tcPr>
          <w:p w14:paraId="1554EF8B"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-.001  </w:t>
            </w:r>
          </w:p>
        </w:tc>
        <w:tc>
          <w:tcPr>
            <w:tcW w:w="1129" w:type="dxa"/>
          </w:tcPr>
          <w:p w14:paraId="7676721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w:t>
            </w:r>
          </w:p>
        </w:tc>
        <w:tc>
          <w:tcPr>
            <w:tcW w:w="1133" w:type="dxa"/>
            <w:noWrap/>
            <w:hideMark/>
          </w:tcPr>
          <w:p w14:paraId="39050C2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-0.56</w:t>
            </w:r>
          </w:p>
        </w:tc>
        <w:tc>
          <w:tcPr>
            <w:tcW w:w="1133" w:type="dxa"/>
            <w:noWrap/>
            <w:hideMark/>
          </w:tcPr>
          <w:p w14:paraId="11B09FA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0.576</w:t>
            </w:r>
          </w:p>
        </w:tc>
        <w:tc>
          <w:tcPr>
            <w:tcW w:w="1250" w:type="dxa"/>
            <w:noWrap/>
            <w:hideMark/>
          </w:tcPr>
          <w:p w14:paraId="3FEA38F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-0.003</w:t>
            </w:r>
          </w:p>
        </w:tc>
        <w:tc>
          <w:tcPr>
            <w:tcW w:w="1250" w:type="dxa"/>
            <w:noWrap/>
            <w:hideMark/>
          </w:tcPr>
          <w:p w14:paraId="179921E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0.002</w:t>
            </w:r>
          </w:p>
        </w:tc>
      </w:tr>
      <w:tr w:rsidR="00B54D51" w:rsidRPr="00037AD4" w14:paraId="4848CA4D" w14:textId="77777777" w:rsidTr="00401C67">
        <w:trPr>
          <w:trHeight w:val="320"/>
        </w:trPr>
        <w:tc>
          <w:tcPr>
            <w:tcW w:w="1324" w:type="dxa"/>
            <w:noWrap/>
            <w:hideMark/>
          </w:tcPr>
          <w:p w14:paraId="2D5601A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w:t>
            </w:r>
          </w:p>
        </w:tc>
        <w:tc>
          <w:tcPr>
            <w:tcW w:w="1797" w:type="dxa"/>
            <w:noWrap/>
            <w:hideMark/>
          </w:tcPr>
          <w:p w14:paraId="578A76FA"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-.001   </w:t>
            </w:r>
          </w:p>
        </w:tc>
        <w:tc>
          <w:tcPr>
            <w:tcW w:w="1129" w:type="dxa"/>
          </w:tcPr>
          <w:p w14:paraId="760332B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w:t>
            </w:r>
          </w:p>
        </w:tc>
        <w:tc>
          <w:tcPr>
            <w:tcW w:w="1133" w:type="dxa"/>
            <w:noWrap/>
            <w:hideMark/>
          </w:tcPr>
          <w:p w14:paraId="73BD141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-0.56</w:t>
            </w:r>
          </w:p>
        </w:tc>
        <w:tc>
          <w:tcPr>
            <w:tcW w:w="1133" w:type="dxa"/>
            <w:noWrap/>
            <w:hideMark/>
          </w:tcPr>
          <w:p w14:paraId="37B84AA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0.574</w:t>
            </w:r>
          </w:p>
        </w:tc>
        <w:tc>
          <w:tcPr>
            <w:tcW w:w="1250" w:type="dxa"/>
            <w:noWrap/>
            <w:hideMark/>
          </w:tcPr>
          <w:p w14:paraId="341517E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-0.003</w:t>
            </w:r>
          </w:p>
        </w:tc>
        <w:tc>
          <w:tcPr>
            <w:tcW w:w="1250" w:type="dxa"/>
            <w:noWrap/>
            <w:hideMark/>
          </w:tcPr>
          <w:p w14:paraId="2843B37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0.002</w:t>
            </w:r>
          </w:p>
        </w:tc>
      </w:tr>
      <w:tr w:rsidR="00B54D51" w:rsidRPr="00037AD4" w14:paraId="6CED235C" w14:textId="77777777" w:rsidTr="00401C67">
        <w:trPr>
          <w:trHeight w:val="320"/>
        </w:trPr>
        <w:tc>
          <w:tcPr>
            <w:tcW w:w="1324" w:type="dxa"/>
            <w:noWrap/>
            <w:hideMark/>
          </w:tcPr>
          <w:p w14:paraId="2B85BF4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w:t>
            </w:r>
          </w:p>
        </w:tc>
        <w:tc>
          <w:tcPr>
            <w:tcW w:w="1797" w:type="dxa"/>
            <w:noWrap/>
            <w:hideMark/>
          </w:tcPr>
          <w:p w14:paraId="4508797C"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-.000 </w:t>
            </w:r>
          </w:p>
        </w:tc>
        <w:tc>
          <w:tcPr>
            <w:tcW w:w="1129" w:type="dxa"/>
          </w:tcPr>
          <w:p w14:paraId="712970B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w:t>
            </w:r>
          </w:p>
        </w:tc>
        <w:tc>
          <w:tcPr>
            <w:tcW w:w="1133" w:type="dxa"/>
            <w:noWrap/>
            <w:hideMark/>
          </w:tcPr>
          <w:p w14:paraId="5DD5570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-0.55</w:t>
            </w:r>
          </w:p>
        </w:tc>
        <w:tc>
          <w:tcPr>
            <w:tcW w:w="1133" w:type="dxa"/>
            <w:noWrap/>
            <w:hideMark/>
          </w:tcPr>
          <w:p w14:paraId="5C784C7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0.58</w:t>
            </w:r>
          </w:p>
        </w:tc>
        <w:tc>
          <w:tcPr>
            <w:tcW w:w="1250" w:type="dxa"/>
            <w:noWrap/>
            <w:hideMark/>
          </w:tcPr>
          <w:p w14:paraId="0E1AF99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c>
          <w:tcPr>
            <w:tcW w:w="1250" w:type="dxa"/>
            <w:noWrap/>
            <w:hideMark/>
          </w:tcPr>
          <w:p w14:paraId="3BE5760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r>
      <w:tr w:rsidR="00B54D51" w:rsidRPr="00037AD4" w14:paraId="1A2D44B8" w14:textId="77777777" w:rsidTr="00401C67">
        <w:trPr>
          <w:trHeight w:val="320"/>
        </w:trPr>
        <w:tc>
          <w:tcPr>
            <w:tcW w:w="1324" w:type="dxa"/>
            <w:noWrap/>
            <w:hideMark/>
          </w:tcPr>
          <w:p w14:paraId="60726B3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5</w:t>
            </w:r>
          </w:p>
        </w:tc>
        <w:tc>
          <w:tcPr>
            <w:tcW w:w="1797" w:type="dxa"/>
            <w:noWrap/>
            <w:hideMark/>
          </w:tcPr>
          <w:p w14:paraId="208730DC"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-.000 </w:t>
            </w:r>
          </w:p>
        </w:tc>
        <w:tc>
          <w:tcPr>
            <w:tcW w:w="1129" w:type="dxa"/>
          </w:tcPr>
          <w:p w14:paraId="7D6A3DA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w:t>
            </w:r>
          </w:p>
        </w:tc>
        <w:tc>
          <w:tcPr>
            <w:tcW w:w="1133" w:type="dxa"/>
            <w:noWrap/>
            <w:hideMark/>
          </w:tcPr>
          <w:p w14:paraId="6FCB8E9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-0.54</w:t>
            </w:r>
          </w:p>
        </w:tc>
        <w:tc>
          <w:tcPr>
            <w:tcW w:w="1133" w:type="dxa"/>
            <w:noWrap/>
            <w:hideMark/>
          </w:tcPr>
          <w:p w14:paraId="6F2B661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0.588</w:t>
            </w:r>
          </w:p>
        </w:tc>
        <w:tc>
          <w:tcPr>
            <w:tcW w:w="1250" w:type="dxa"/>
            <w:noWrap/>
            <w:hideMark/>
          </w:tcPr>
          <w:p w14:paraId="6EF7813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1250" w:type="dxa"/>
            <w:noWrap/>
            <w:hideMark/>
          </w:tcPr>
          <w:p w14:paraId="2824787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r>
      <w:tr w:rsidR="00B54D51" w:rsidRPr="00037AD4" w14:paraId="2AAE6D00" w14:textId="77777777" w:rsidTr="00401C67">
        <w:trPr>
          <w:trHeight w:val="320"/>
        </w:trPr>
        <w:tc>
          <w:tcPr>
            <w:tcW w:w="9016" w:type="dxa"/>
            <w:gridSpan w:val="7"/>
            <w:shd w:val="clear" w:color="auto" w:fill="F2F2F2" w:themeFill="background1" w:themeFillShade="F2"/>
          </w:tcPr>
          <w:p w14:paraId="55B20D20" w14:textId="77777777" w:rsidR="00B54D51" w:rsidRPr="00037AD4" w:rsidRDefault="00B54D51" w:rsidP="00401C67">
            <w:pPr>
              <w:rPr>
                <w:sz w:val="20"/>
                <w:szCs w:val="20"/>
              </w:rPr>
            </w:pPr>
            <w:r w:rsidRPr="00037AD4">
              <w:rPr>
                <w:rFonts w:ascii="Calibri" w:hAnsi="Calibri" w:cs="Calibri"/>
                <w:color w:val="000000"/>
              </w:rPr>
              <w:t xml:space="preserve">NPI score, predict: </w:t>
            </w:r>
          </w:p>
        </w:tc>
      </w:tr>
      <w:tr w:rsidR="00B54D51" w:rsidRPr="00037AD4" w14:paraId="18EF48DF" w14:textId="77777777" w:rsidTr="00401C67">
        <w:trPr>
          <w:trHeight w:val="320"/>
        </w:trPr>
        <w:tc>
          <w:tcPr>
            <w:tcW w:w="1324" w:type="dxa"/>
            <w:noWrap/>
            <w:hideMark/>
          </w:tcPr>
          <w:p w14:paraId="009873D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w:t>
            </w:r>
          </w:p>
        </w:tc>
        <w:tc>
          <w:tcPr>
            <w:tcW w:w="1797" w:type="dxa"/>
            <w:noWrap/>
            <w:hideMark/>
          </w:tcPr>
          <w:p w14:paraId="739FD218"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.00043   </w:t>
            </w:r>
          </w:p>
        </w:tc>
        <w:tc>
          <w:tcPr>
            <w:tcW w:w="1129" w:type="dxa"/>
          </w:tcPr>
          <w:p w14:paraId="554BD34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.0008247</w:t>
            </w:r>
          </w:p>
        </w:tc>
        <w:tc>
          <w:tcPr>
            <w:tcW w:w="1133" w:type="dxa"/>
            <w:noWrap/>
            <w:hideMark/>
          </w:tcPr>
          <w:p w14:paraId="58F48FF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0.52</w:t>
            </w:r>
          </w:p>
        </w:tc>
        <w:tc>
          <w:tcPr>
            <w:tcW w:w="1133" w:type="dxa"/>
            <w:noWrap/>
            <w:hideMark/>
          </w:tcPr>
          <w:p w14:paraId="39442D1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0.602</w:t>
            </w:r>
          </w:p>
        </w:tc>
        <w:tc>
          <w:tcPr>
            <w:tcW w:w="1250" w:type="dxa"/>
            <w:noWrap/>
            <w:hideMark/>
          </w:tcPr>
          <w:p w14:paraId="078342F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c>
          <w:tcPr>
            <w:tcW w:w="1250" w:type="dxa"/>
            <w:noWrap/>
            <w:hideMark/>
          </w:tcPr>
          <w:p w14:paraId="51ADF07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0.002</w:t>
            </w:r>
          </w:p>
        </w:tc>
      </w:tr>
      <w:tr w:rsidR="00B54D51" w:rsidRPr="00037AD4" w14:paraId="4421B947" w14:textId="77777777" w:rsidTr="00401C67">
        <w:trPr>
          <w:trHeight w:val="320"/>
        </w:trPr>
        <w:tc>
          <w:tcPr>
            <w:tcW w:w="1324" w:type="dxa"/>
            <w:noWrap/>
            <w:hideMark/>
          </w:tcPr>
          <w:p w14:paraId="2ECB509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w:t>
            </w:r>
          </w:p>
        </w:tc>
        <w:tc>
          <w:tcPr>
            <w:tcW w:w="1797" w:type="dxa"/>
            <w:noWrap/>
            <w:hideMark/>
          </w:tcPr>
          <w:p w14:paraId="48E0099F"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-.0001772   </w:t>
            </w:r>
          </w:p>
        </w:tc>
        <w:tc>
          <w:tcPr>
            <w:tcW w:w="1129" w:type="dxa"/>
          </w:tcPr>
          <w:p w14:paraId="55DE054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.0003396</w:t>
            </w:r>
          </w:p>
        </w:tc>
        <w:tc>
          <w:tcPr>
            <w:tcW w:w="1133" w:type="dxa"/>
            <w:noWrap/>
            <w:hideMark/>
          </w:tcPr>
          <w:p w14:paraId="417C8F6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-0.52</w:t>
            </w:r>
          </w:p>
        </w:tc>
        <w:tc>
          <w:tcPr>
            <w:tcW w:w="1133" w:type="dxa"/>
            <w:noWrap/>
            <w:hideMark/>
          </w:tcPr>
          <w:p w14:paraId="6296B89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0.602</w:t>
            </w:r>
          </w:p>
        </w:tc>
        <w:tc>
          <w:tcPr>
            <w:tcW w:w="1250" w:type="dxa"/>
            <w:noWrap/>
            <w:hideMark/>
          </w:tcPr>
          <w:p w14:paraId="4B334B1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c>
          <w:tcPr>
            <w:tcW w:w="1250" w:type="dxa"/>
            <w:noWrap/>
            <w:hideMark/>
          </w:tcPr>
          <w:p w14:paraId="09D4CF4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r>
      <w:tr w:rsidR="00B54D51" w:rsidRPr="00037AD4" w14:paraId="6033DC05" w14:textId="77777777" w:rsidTr="00401C67">
        <w:trPr>
          <w:trHeight w:val="320"/>
        </w:trPr>
        <w:tc>
          <w:tcPr>
            <w:tcW w:w="1324" w:type="dxa"/>
            <w:noWrap/>
            <w:hideMark/>
          </w:tcPr>
          <w:p w14:paraId="5CCDBFB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w:t>
            </w:r>
          </w:p>
        </w:tc>
        <w:tc>
          <w:tcPr>
            <w:tcW w:w="1797" w:type="dxa"/>
            <w:noWrap/>
            <w:hideMark/>
          </w:tcPr>
          <w:p w14:paraId="5C41CBE4"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-.0001888   </w:t>
            </w:r>
          </w:p>
        </w:tc>
        <w:tc>
          <w:tcPr>
            <w:tcW w:w="1129" w:type="dxa"/>
          </w:tcPr>
          <w:p w14:paraId="6337CAE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.0003612</w:t>
            </w:r>
          </w:p>
        </w:tc>
        <w:tc>
          <w:tcPr>
            <w:tcW w:w="1133" w:type="dxa"/>
            <w:noWrap/>
            <w:hideMark/>
          </w:tcPr>
          <w:p w14:paraId="6E711C3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-0.52</w:t>
            </w:r>
          </w:p>
        </w:tc>
        <w:tc>
          <w:tcPr>
            <w:tcW w:w="1133" w:type="dxa"/>
            <w:noWrap/>
            <w:hideMark/>
          </w:tcPr>
          <w:p w14:paraId="04558C8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0.601</w:t>
            </w:r>
          </w:p>
        </w:tc>
        <w:tc>
          <w:tcPr>
            <w:tcW w:w="1250" w:type="dxa"/>
            <w:noWrap/>
            <w:hideMark/>
          </w:tcPr>
          <w:p w14:paraId="60FD09C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c>
          <w:tcPr>
            <w:tcW w:w="1250" w:type="dxa"/>
            <w:noWrap/>
            <w:hideMark/>
          </w:tcPr>
          <w:p w14:paraId="666C34D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r>
      <w:tr w:rsidR="00B54D51" w:rsidRPr="00037AD4" w14:paraId="27D00B93" w14:textId="77777777" w:rsidTr="00401C67">
        <w:trPr>
          <w:trHeight w:val="320"/>
        </w:trPr>
        <w:tc>
          <w:tcPr>
            <w:tcW w:w="1324" w:type="dxa"/>
            <w:noWrap/>
            <w:hideMark/>
          </w:tcPr>
          <w:p w14:paraId="408C835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w:t>
            </w:r>
          </w:p>
        </w:tc>
        <w:tc>
          <w:tcPr>
            <w:tcW w:w="1797" w:type="dxa"/>
            <w:noWrap/>
            <w:hideMark/>
          </w:tcPr>
          <w:p w14:paraId="699733B6"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-.0000539   </w:t>
            </w:r>
          </w:p>
        </w:tc>
        <w:tc>
          <w:tcPr>
            <w:tcW w:w="1129" w:type="dxa"/>
          </w:tcPr>
          <w:p w14:paraId="68A7B32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.0001052</w:t>
            </w:r>
          </w:p>
        </w:tc>
        <w:tc>
          <w:tcPr>
            <w:tcW w:w="1133" w:type="dxa"/>
            <w:noWrap/>
            <w:hideMark/>
          </w:tcPr>
          <w:p w14:paraId="0491619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-0.51</w:t>
            </w:r>
          </w:p>
        </w:tc>
        <w:tc>
          <w:tcPr>
            <w:tcW w:w="1133" w:type="dxa"/>
            <w:noWrap/>
            <w:hideMark/>
          </w:tcPr>
          <w:p w14:paraId="5859F06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0.608</w:t>
            </w:r>
          </w:p>
        </w:tc>
        <w:tc>
          <w:tcPr>
            <w:tcW w:w="1250" w:type="dxa"/>
            <w:noWrap/>
            <w:hideMark/>
          </w:tcPr>
          <w:p w14:paraId="0D68F77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1250" w:type="dxa"/>
            <w:noWrap/>
            <w:hideMark/>
          </w:tcPr>
          <w:p w14:paraId="0EE950D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r>
      <w:tr w:rsidR="00B54D51" w:rsidRPr="00037AD4" w14:paraId="618B0EA2" w14:textId="77777777" w:rsidTr="00401C67">
        <w:trPr>
          <w:trHeight w:val="320"/>
        </w:trPr>
        <w:tc>
          <w:tcPr>
            <w:tcW w:w="1324" w:type="dxa"/>
            <w:noWrap/>
            <w:hideMark/>
          </w:tcPr>
          <w:p w14:paraId="7358BF5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5</w:t>
            </w:r>
          </w:p>
        </w:tc>
        <w:tc>
          <w:tcPr>
            <w:tcW w:w="1797" w:type="dxa"/>
            <w:noWrap/>
            <w:hideMark/>
          </w:tcPr>
          <w:p w14:paraId="2EB194F9"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-.0000101   </w:t>
            </w:r>
          </w:p>
        </w:tc>
        <w:tc>
          <w:tcPr>
            <w:tcW w:w="1129" w:type="dxa"/>
          </w:tcPr>
          <w:p w14:paraId="6DACCDA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.0000204</w:t>
            </w:r>
          </w:p>
        </w:tc>
        <w:tc>
          <w:tcPr>
            <w:tcW w:w="1133" w:type="dxa"/>
            <w:noWrap/>
            <w:hideMark/>
          </w:tcPr>
          <w:p w14:paraId="195963A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-0.5</w:t>
            </w:r>
          </w:p>
        </w:tc>
        <w:tc>
          <w:tcPr>
            <w:tcW w:w="1133" w:type="dxa"/>
            <w:noWrap/>
            <w:hideMark/>
          </w:tcPr>
          <w:p w14:paraId="15516A5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0.62</w:t>
            </w:r>
          </w:p>
        </w:tc>
        <w:tc>
          <w:tcPr>
            <w:tcW w:w="1250" w:type="dxa"/>
            <w:noWrap/>
            <w:hideMark/>
          </w:tcPr>
          <w:p w14:paraId="6F6A6A6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1250" w:type="dxa"/>
            <w:noWrap/>
            <w:hideMark/>
          </w:tcPr>
          <w:p w14:paraId="608175A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r>
      <w:tr w:rsidR="00B54D51" w:rsidRPr="00037AD4" w14:paraId="31099ADF" w14:textId="77777777" w:rsidTr="00401C67">
        <w:trPr>
          <w:trHeight w:val="320"/>
        </w:trPr>
        <w:tc>
          <w:tcPr>
            <w:tcW w:w="9016" w:type="dxa"/>
            <w:gridSpan w:val="7"/>
            <w:shd w:val="clear" w:color="auto" w:fill="F2F2F2" w:themeFill="background1" w:themeFillShade="F2"/>
          </w:tcPr>
          <w:p w14:paraId="2EBD58EF" w14:textId="77777777" w:rsidR="00B54D51" w:rsidRPr="00037AD4" w:rsidRDefault="00B54D51" w:rsidP="00401C67">
            <w:pPr>
              <w:rPr>
                <w:sz w:val="20"/>
                <w:szCs w:val="20"/>
              </w:rPr>
            </w:pPr>
            <w:r w:rsidRPr="00037AD4">
              <w:rPr>
                <w:rFonts w:ascii="Calibri" w:hAnsi="Calibri" w:cs="Calibri"/>
                <w:color w:val="000000"/>
              </w:rPr>
              <w:t xml:space="preserve">Age of PwD, predict: </w:t>
            </w:r>
          </w:p>
        </w:tc>
      </w:tr>
      <w:tr w:rsidR="00B54D51" w:rsidRPr="00037AD4" w14:paraId="0042FA26" w14:textId="77777777" w:rsidTr="00401C67">
        <w:trPr>
          <w:trHeight w:val="320"/>
        </w:trPr>
        <w:tc>
          <w:tcPr>
            <w:tcW w:w="1324" w:type="dxa"/>
            <w:noWrap/>
            <w:hideMark/>
          </w:tcPr>
          <w:p w14:paraId="588732E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w:t>
            </w:r>
          </w:p>
        </w:tc>
        <w:tc>
          <w:tcPr>
            <w:tcW w:w="1797" w:type="dxa"/>
            <w:noWrap/>
            <w:hideMark/>
          </w:tcPr>
          <w:p w14:paraId="55B7C1B8"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.000  </w:t>
            </w:r>
          </w:p>
        </w:tc>
        <w:tc>
          <w:tcPr>
            <w:tcW w:w="1129" w:type="dxa"/>
          </w:tcPr>
          <w:p w14:paraId="058FA3D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w:t>
            </w:r>
          </w:p>
        </w:tc>
        <w:tc>
          <w:tcPr>
            <w:tcW w:w="1133" w:type="dxa"/>
            <w:noWrap/>
            <w:hideMark/>
          </w:tcPr>
          <w:p w14:paraId="728D031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0.22</w:t>
            </w:r>
          </w:p>
        </w:tc>
        <w:tc>
          <w:tcPr>
            <w:tcW w:w="1133" w:type="dxa"/>
            <w:noWrap/>
            <w:hideMark/>
          </w:tcPr>
          <w:p w14:paraId="26BD361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0.826</w:t>
            </w:r>
          </w:p>
        </w:tc>
        <w:tc>
          <w:tcPr>
            <w:tcW w:w="1250" w:type="dxa"/>
            <w:noWrap/>
            <w:hideMark/>
          </w:tcPr>
          <w:p w14:paraId="43D1FAE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-0.004</w:t>
            </w:r>
          </w:p>
        </w:tc>
        <w:tc>
          <w:tcPr>
            <w:tcW w:w="1250" w:type="dxa"/>
            <w:noWrap/>
            <w:hideMark/>
          </w:tcPr>
          <w:p w14:paraId="69947B1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0.005</w:t>
            </w:r>
          </w:p>
        </w:tc>
      </w:tr>
      <w:tr w:rsidR="00B54D51" w:rsidRPr="00037AD4" w14:paraId="761F6B9B" w14:textId="77777777" w:rsidTr="00401C67">
        <w:trPr>
          <w:trHeight w:val="320"/>
        </w:trPr>
        <w:tc>
          <w:tcPr>
            <w:tcW w:w="1324" w:type="dxa"/>
            <w:noWrap/>
            <w:hideMark/>
          </w:tcPr>
          <w:p w14:paraId="248340A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w:t>
            </w:r>
          </w:p>
        </w:tc>
        <w:tc>
          <w:tcPr>
            <w:tcW w:w="1797" w:type="dxa"/>
            <w:noWrap/>
            <w:hideMark/>
          </w:tcPr>
          <w:p w14:paraId="5A53E6AA"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-.000 </w:t>
            </w:r>
          </w:p>
        </w:tc>
        <w:tc>
          <w:tcPr>
            <w:tcW w:w="1129" w:type="dxa"/>
          </w:tcPr>
          <w:p w14:paraId="5FC4DF1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w:t>
            </w:r>
          </w:p>
        </w:tc>
        <w:tc>
          <w:tcPr>
            <w:tcW w:w="1133" w:type="dxa"/>
            <w:noWrap/>
            <w:hideMark/>
          </w:tcPr>
          <w:p w14:paraId="1EB0A08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-0.22</w:t>
            </w:r>
          </w:p>
        </w:tc>
        <w:tc>
          <w:tcPr>
            <w:tcW w:w="1133" w:type="dxa"/>
            <w:noWrap/>
            <w:hideMark/>
          </w:tcPr>
          <w:p w14:paraId="790AFC9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0.827</w:t>
            </w:r>
          </w:p>
        </w:tc>
        <w:tc>
          <w:tcPr>
            <w:tcW w:w="1250" w:type="dxa"/>
            <w:noWrap/>
            <w:hideMark/>
          </w:tcPr>
          <w:p w14:paraId="3589D4E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-0.002</w:t>
            </w:r>
          </w:p>
        </w:tc>
        <w:tc>
          <w:tcPr>
            <w:tcW w:w="1250" w:type="dxa"/>
            <w:noWrap/>
            <w:hideMark/>
          </w:tcPr>
          <w:p w14:paraId="03B9488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0.002</w:t>
            </w:r>
          </w:p>
        </w:tc>
      </w:tr>
      <w:tr w:rsidR="00B54D51" w:rsidRPr="00037AD4" w14:paraId="21CF5D61" w14:textId="77777777" w:rsidTr="00401C67">
        <w:trPr>
          <w:trHeight w:val="320"/>
        </w:trPr>
        <w:tc>
          <w:tcPr>
            <w:tcW w:w="1324" w:type="dxa"/>
            <w:noWrap/>
            <w:hideMark/>
          </w:tcPr>
          <w:p w14:paraId="2E7004F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w:t>
            </w:r>
          </w:p>
        </w:tc>
        <w:tc>
          <w:tcPr>
            <w:tcW w:w="1797" w:type="dxa"/>
            <w:noWrap/>
            <w:hideMark/>
          </w:tcPr>
          <w:p w14:paraId="1A7BEBC6"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-.000 </w:t>
            </w:r>
          </w:p>
        </w:tc>
        <w:tc>
          <w:tcPr>
            <w:tcW w:w="1129" w:type="dxa"/>
          </w:tcPr>
          <w:p w14:paraId="1F10D59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w:t>
            </w:r>
          </w:p>
        </w:tc>
        <w:tc>
          <w:tcPr>
            <w:tcW w:w="1133" w:type="dxa"/>
            <w:noWrap/>
            <w:hideMark/>
          </w:tcPr>
          <w:p w14:paraId="63DDA57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-0.22</w:t>
            </w:r>
          </w:p>
        </w:tc>
        <w:tc>
          <w:tcPr>
            <w:tcW w:w="1133" w:type="dxa"/>
            <w:noWrap/>
            <w:hideMark/>
          </w:tcPr>
          <w:p w14:paraId="4922A4B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0.827</w:t>
            </w:r>
          </w:p>
        </w:tc>
        <w:tc>
          <w:tcPr>
            <w:tcW w:w="1250" w:type="dxa"/>
            <w:noWrap/>
            <w:hideMark/>
          </w:tcPr>
          <w:p w14:paraId="5117024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-0.002</w:t>
            </w:r>
          </w:p>
        </w:tc>
        <w:tc>
          <w:tcPr>
            <w:tcW w:w="1250" w:type="dxa"/>
            <w:noWrap/>
            <w:hideMark/>
          </w:tcPr>
          <w:p w14:paraId="7ABF8E9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0.002</w:t>
            </w:r>
          </w:p>
        </w:tc>
      </w:tr>
      <w:tr w:rsidR="00B54D51" w:rsidRPr="00037AD4" w14:paraId="40DCAFA7" w14:textId="77777777" w:rsidTr="00401C67">
        <w:trPr>
          <w:trHeight w:val="320"/>
        </w:trPr>
        <w:tc>
          <w:tcPr>
            <w:tcW w:w="1324" w:type="dxa"/>
            <w:noWrap/>
            <w:hideMark/>
          </w:tcPr>
          <w:p w14:paraId="2B3E103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w:t>
            </w:r>
          </w:p>
        </w:tc>
        <w:tc>
          <w:tcPr>
            <w:tcW w:w="1797" w:type="dxa"/>
            <w:noWrap/>
            <w:hideMark/>
          </w:tcPr>
          <w:p w14:paraId="07007D0D"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-.000   </w:t>
            </w:r>
          </w:p>
        </w:tc>
        <w:tc>
          <w:tcPr>
            <w:tcW w:w="1129" w:type="dxa"/>
          </w:tcPr>
          <w:p w14:paraId="38CA0D4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w:t>
            </w:r>
          </w:p>
        </w:tc>
        <w:tc>
          <w:tcPr>
            <w:tcW w:w="1133" w:type="dxa"/>
            <w:noWrap/>
            <w:hideMark/>
          </w:tcPr>
          <w:p w14:paraId="3A6B2C9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-0.22</w:t>
            </w:r>
          </w:p>
        </w:tc>
        <w:tc>
          <w:tcPr>
            <w:tcW w:w="1133" w:type="dxa"/>
            <w:noWrap/>
            <w:hideMark/>
          </w:tcPr>
          <w:p w14:paraId="3C9961C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0.826</w:t>
            </w:r>
          </w:p>
        </w:tc>
        <w:tc>
          <w:tcPr>
            <w:tcW w:w="1250" w:type="dxa"/>
            <w:noWrap/>
            <w:hideMark/>
          </w:tcPr>
          <w:p w14:paraId="63483A5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c>
          <w:tcPr>
            <w:tcW w:w="1250" w:type="dxa"/>
            <w:noWrap/>
            <w:hideMark/>
          </w:tcPr>
          <w:p w14:paraId="64F25CB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r>
      <w:tr w:rsidR="00B54D51" w:rsidRPr="00037AD4" w14:paraId="4B64C084" w14:textId="77777777" w:rsidTr="00401C67">
        <w:trPr>
          <w:trHeight w:val="320"/>
        </w:trPr>
        <w:tc>
          <w:tcPr>
            <w:tcW w:w="1324" w:type="dxa"/>
            <w:noWrap/>
            <w:hideMark/>
          </w:tcPr>
          <w:p w14:paraId="6D4B703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5</w:t>
            </w:r>
          </w:p>
        </w:tc>
        <w:tc>
          <w:tcPr>
            <w:tcW w:w="1797" w:type="dxa"/>
            <w:noWrap/>
            <w:hideMark/>
          </w:tcPr>
          <w:p w14:paraId="021C9998"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-.000 </w:t>
            </w:r>
          </w:p>
        </w:tc>
        <w:tc>
          <w:tcPr>
            <w:tcW w:w="1129" w:type="dxa"/>
          </w:tcPr>
          <w:p w14:paraId="1E3D04E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c>
          <w:tcPr>
            <w:tcW w:w="1133" w:type="dxa"/>
            <w:noWrap/>
            <w:hideMark/>
          </w:tcPr>
          <w:p w14:paraId="25F203F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-0.22</w:t>
            </w:r>
          </w:p>
        </w:tc>
        <w:tc>
          <w:tcPr>
            <w:tcW w:w="1133" w:type="dxa"/>
            <w:noWrap/>
            <w:hideMark/>
          </w:tcPr>
          <w:p w14:paraId="508ED06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0.828</w:t>
            </w:r>
          </w:p>
        </w:tc>
        <w:tc>
          <w:tcPr>
            <w:tcW w:w="1250" w:type="dxa"/>
            <w:noWrap/>
            <w:hideMark/>
          </w:tcPr>
          <w:p w14:paraId="11DCF52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1250" w:type="dxa"/>
            <w:noWrap/>
            <w:hideMark/>
          </w:tcPr>
          <w:p w14:paraId="64B6945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r>
      <w:tr w:rsidR="00B54D51" w:rsidRPr="00037AD4" w14:paraId="219B5C5C" w14:textId="77777777" w:rsidTr="00401C67">
        <w:trPr>
          <w:trHeight w:val="320"/>
        </w:trPr>
        <w:tc>
          <w:tcPr>
            <w:tcW w:w="9016" w:type="dxa"/>
            <w:gridSpan w:val="7"/>
            <w:shd w:val="clear" w:color="auto" w:fill="F2F2F2" w:themeFill="background1" w:themeFillShade="F2"/>
          </w:tcPr>
          <w:p w14:paraId="733A60AA" w14:textId="77777777" w:rsidR="00B54D51" w:rsidRPr="00037AD4" w:rsidRDefault="00B54D51" w:rsidP="00401C67">
            <w:pPr>
              <w:rPr>
                <w:rFonts w:ascii="Calibri" w:hAnsi="Calibri" w:cs="Calibri"/>
                <w:color w:val="000000"/>
              </w:rPr>
            </w:pPr>
            <w:r w:rsidRPr="00037AD4">
              <w:rPr>
                <w:rFonts w:ascii="Calibri" w:hAnsi="Calibri" w:cs="Calibri"/>
                <w:color w:val="000000"/>
              </w:rPr>
              <w:t>PwD sex (base outcome = male)</w:t>
            </w:r>
          </w:p>
        </w:tc>
      </w:tr>
      <w:tr w:rsidR="00B54D51" w:rsidRPr="00037AD4" w14:paraId="1F92E965" w14:textId="77777777" w:rsidTr="00401C67">
        <w:trPr>
          <w:trHeight w:val="320"/>
        </w:trPr>
        <w:tc>
          <w:tcPr>
            <w:tcW w:w="9016" w:type="dxa"/>
            <w:gridSpan w:val="7"/>
            <w:shd w:val="clear" w:color="auto" w:fill="F2F2F2" w:themeFill="background1" w:themeFillShade="F2"/>
          </w:tcPr>
          <w:p w14:paraId="6032FFF9" w14:textId="77777777" w:rsidR="00B54D51" w:rsidRPr="00037AD4" w:rsidRDefault="00B54D51" w:rsidP="00401C67">
            <w:pPr>
              <w:rPr>
                <w:sz w:val="20"/>
                <w:szCs w:val="20"/>
              </w:rPr>
            </w:pPr>
            <w:r w:rsidRPr="00037AD4">
              <w:rPr>
                <w:rFonts w:ascii="Calibri" w:hAnsi="Calibri" w:cs="Calibri"/>
                <w:color w:val="000000"/>
              </w:rPr>
              <w:t xml:space="preserve">PwD sex, female predict: </w:t>
            </w:r>
          </w:p>
        </w:tc>
      </w:tr>
      <w:tr w:rsidR="00B54D51" w:rsidRPr="00037AD4" w14:paraId="6A169F68" w14:textId="77777777" w:rsidTr="00401C67">
        <w:trPr>
          <w:trHeight w:val="320"/>
        </w:trPr>
        <w:tc>
          <w:tcPr>
            <w:tcW w:w="1324" w:type="dxa"/>
            <w:noWrap/>
            <w:hideMark/>
          </w:tcPr>
          <w:p w14:paraId="62109DC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w:t>
            </w:r>
          </w:p>
        </w:tc>
        <w:tc>
          <w:tcPr>
            <w:tcW w:w="1797" w:type="dxa"/>
            <w:noWrap/>
            <w:hideMark/>
          </w:tcPr>
          <w:p w14:paraId="3281F68C"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-.003 </w:t>
            </w:r>
          </w:p>
        </w:tc>
        <w:tc>
          <w:tcPr>
            <w:tcW w:w="1129" w:type="dxa"/>
          </w:tcPr>
          <w:p w14:paraId="3EDC1A1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.034</w:t>
            </w:r>
          </w:p>
        </w:tc>
        <w:tc>
          <w:tcPr>
            <w:tcW w:w="1133" w:type="dxa"/>
            <w:noWrap/>
            <w:hideMark/>
          </w:tcPr>
          <w:p w14:paraId="1CE2F91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-0.09</w:t>
            </w:r>
          </w:p>
        </w:tc>
        <w:tc>
          <w:tcPr>
            <w:tcW w:w="1133" w:type="dxa"/>
            <w:noWrap/>
            <w:hideMark/>
          </w:tcPr>
          <w:p w14:paraId="4A7BD64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0.93</w:t>
            </w:r>
          </w:p>
        </w:tc>
        <w:tc>
          <w:tcPr>
            <w:tcW w:w="1250" w:type="dxa"/>
            <w:noWrap/>
            <w:hideMark/>
          </w:tcPr>
          <w:p w14:paraId="0BD84E9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-0.070</w:t>
            </w:r>
          </w:p>
        </w:tc>
        <w:tc>
          <w:tcPr>
            <w:tcW w:w="1250" w:type="dxa"/>
            <w:noWrap/>
            <w:hideMark/>
          </w:tcPr>
          <w:p w14:paraId="044BC6C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0.064</w:t>
            </w:r>
          </w:p>
        </w:tc>
      </w:tr>
      <w:tr w:rsidR="00B54D51" w:rsidRPr="00037AD4" w14:paraId="62FE42AD" w14:textId="77777777" w:rsidTr="00401C67">
        <w:trPr>
          <w:trHeight w:val="320"/>
        </w:trPr>
        <w:tc>
          <w:tcPr>
            <w:tcW w:w="1324" w:type="dxa"/>
            <w:noWrap/>
            <w:hideMark/>
          </w:tcPr>
          <w:p w14:paraId="00EE391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w:t>
            </w:r>
          </w:p>
        </w:tc>
        <w:tc>
          <w:tcPr>
            <w:tcW w:w="1797" w:type="dxa"/>
            <w:noWrap/>
            <w:hideMark/>
          </w:tcPr>
          <w:p w14:paraId="4E100450"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.0012 </w:t>
            </w:r>
          </w:p>
        </w:tc>
        <w:tc>
          <w:tcPr>
            <w:tcW w:w="1129" w:type="dxa"/>
          </w:tcPr>
          <w:p w14:paraId="5782415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.014</w:t>
            </w:r>
          </w:p>
        </w:tc>
        <w:tc>
          <w:tcPr>
            <w:tcW w:w="1133" w:type="dxa"/>
            <w:noWrap/>
            <w:hideMark/>
          </w:tcPr>
          <w:p w14:paraId="3B106D9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0.09</w:t>
            </w:r>
          </w:p>
        </w:tc>
        <w:tc>
          <w:tcPr>
            <w:tcW w:w="1133" w:type="dxa"/>
            <w:noWrap/>
            <w:hideMark/>
          </w:tcPr>
          <w:p w14:paraId="0049C17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0.93</w:t>
            </w:r>
          </w:p>
        </w:tc>
        <w:tc>
          <w:tcPr>
            <w:tcW w:w="1250" w:type="dxa"/>
            <w:noWrap/>
            <w:hideMark/>
          </w:tcPr>
          <w:p w14:paraId="288F596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-0.027</w:t>
            </w:r>
          </w:p>
        </w:tc>
        <w:tc>
          <w:tcPr>
            <w:tcW w:w="1250" w:type="dxa"/>
            <w:noWrap/>
            <w:hideMark/>
          </w:tcPr>
          <w:p w14:paraId="1E66A61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0.029</w:t>
            </w:r>
          </w:p>
        </w:tc>
      </w:tr>
      <w:tr w:rsidR="00B54D51" w:rsidRPr="00037AD4" w14:paraId="03CD7A02" w14:textId="77777777" w:rsidTr="00401C67">
        <w:trPr>
          <w:trHeight w:val="320"/>
        </w:trPr>
        <w:tc>
          <w:tcPr>
            <w:tcW w:w="1324" w:type="dxa"/>
            <w:noWrap/>
            <w:hideMark/>
          </w:tcPr>
          <w:p w14:paraId="4F50D8E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w:t>
            </w:r>
          </w:p>
        </w:tc>
        <w:tc>
          <w:tcPr>
            <w:tcW w:w="1797" w:type="dxa"/>
            <w:noWrap/>
            <w:hideMark/>
          </w:tcPr>
          <w:p w14:paraId="6B9D67D6"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.0013 </w:t>
            </w:r>
          </w:p>
        </w:tc>
        <w:tc>
          <w:tcPr>
            <w:tcW w:w="1129" w:type="dxa"/>
          </w:tcPr>
          <w:p w14:paraId="10A561C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.015</w:t>
            </w:r>
          </w:p>
        </w:tc>
        <w:tc>
          <w:tcPr>
            <w:tcW w:w="1133" w:type="dxa"/>
            <w:noWrap/>
            <w:hideMark/>
          </w:tcPr>
          <w:p w14:paraId="33A3B08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0.09</w:t>
            </w:r>
          </w:p>
        </w:tc>
        <w:tc>
          <w:tcPr>
            <w:tcW w:w="1133" w:type="dxa"/>
            <w:noWrap/>
            <w:hideMark/>
          </w:tcPr>
          <w:p w14:paraId="29B82A9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0.93</w:t>
            </w:r>
          </w:p>
        </w:tc>
        <w:tc>
          <w:tcPr>
            <w:tcW w:w="1250" w:type="dxa"/>
            <w:noWrap/>
            <w:hideMark/>
          </w:tcPr>
          <w:p w14:paraId="194602B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-0.028</w:t>
            </w:r>
          </w:p>
        </w:tc>
        <w:tc>
          <w:tcPr>
            <w:tcW w:w="1250" w:type="dxa"/>
            <w:noWrap/>
            <w:hideMark/>
          </w:tcPr>
          <w:p w14:paraId="2DE34B5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0.031</w:t>
            </w:r>
          </w:p>
        </w:tc>
      </w:tr>
      <w:tr w:rsidR="00B54D51" w:rsidRPr="00037AD4" w14:paraId="6004F795" w14:textId="77777777" w:rsidTr="00401C67">
        <w:trPr>
          <w:trHeight w:val="320"/>
        </w:trPr>
        <w:tc>
          <w:tcPr>
            <w:tcW w:w="1324" w:type="dxa"/>
            <w:noWrap/>
            <w:hideMark/>
          </w:tcPr>
          <w:p w14:paraId="7CCE63C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lastRenderedPageBreak/>
              <w:t>4</w:t>
            </w:r>
          </w:p>
        </w:tc>
        <w:tc>
          <w:tcPr>
            <w:tcW w:w="1797" w:type="dxa"/>
            <w:noWrap/>
            <w:hideMark/>
          </w:tcPr>
          <w:p w14:paraId="14D7E82D"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.0004 </w:t>
            </w:r>
          </w:p>
        </w:tc>
        <w:tc>
          <w:tcPr>
            <w:tcW w:w="1129" w:type="dxa"/>
          </w:tcPr>
          <w:p w14:paraId="39F2B01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.004</w:t>
            </w:r>
          </w:p>
        </w:tc>
        <w:tc>
          <w:tcPr>
            <w:tcW w:w="1133" w:type="dxa"/>
            <w:noWrap/>
            <w:hideMark/>
          </w:tcPr>
          <w:p w14:paraId="2E59F62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0.09</w:t>
            </w:r>
          </w:p>
        </w:tc>
        <w:tc>
          <w:tcPr>
            <w:tcW w:w="1133" w:type="dxa"/>
            <w:noWrap/>
            <w:hideMark/>
          </w:tcPr>
          <w:p w14:paraId="4C4474C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0.93</w:t>
            </w:r>
          </w:p>
        </w:tc>
        <w:tc>
          <w:tcPr>
            <w:tcW w:w="1250" w:type="dxa"/>
            <w:noWrap/>
            <w:hideMark/>
          </w:tcPr>
          <w:p w14:paraId="793FFA5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-0.008</w:t>
            </w:r>
          </w:p>
        </w:tc>
        <w:tc>
          <w:tcPr>
            <w:tcW w:w="1250" w:type="dxa"/>
            <w:noWrap/>
            <w:hideMark/>
          </w:tcPr>
          <w:p w14:paraId="26748AF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r>
      <w:tr w:rsidR="00B54D51" w:rsidRPr="00037AD4" w14:paraId="3C633643" w14:textId="77777777" w:rsidTr="00401C67">
        <w:trPr>
          <w:trHeight w:val="320"/>
        </w:trPr>
        <w:tc>
          <w:tcPr>
            <w:tcW w:w="1324" w:type="dxa"/>
            <w:noWrap/>
            <w:hideMark/>
          </w:tcPr>
          <w:p w14:paraId="399AE9A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5</w:t>
            </w:r>
          </w:p>
        </w:tc>
        <w:tc>
          <w:tcPr>
            <w:tcW w:w="1797" w:type="dxa"/>
            <w:noWrap/>
            <w:hideMark/>
          </w:tcPr>
          <w:p w14:paraId="0702229B"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.0001 </w:t>
            </w:r>
          </w:p>
        </w:tc>
        <w:tc>
          <w:tcPr>
            <w:tcW w:w="1129" w:type="dxa"/>
          </w:tcPr>
          <w:p w14:paraId="77F6489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w:t>
            </w:r>
          </w:p>
        </w:tc>
        <w:tc>
          <w:tcPr>
            <w:tcW w:w="1133" w:type="dxa"/>
            <w:noWrap/>
            <w:hideMark/>
          </w:tcPr>
          <w:p w14:paraId="3E4C5A4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0.09</w:t>
            </w:r>
          </w:p>
        </w:tc>
        <w:tc>
          <w:tcPr>
            <w:tcW w:w="1133" w:type="dxa"/>
            <w:noWrap/>
            <w:hideMark/>
          </w:tcPr>
          <w:p w14:paraId="122FDB9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0.93</w:t>
            </w:r>
          </w:p>
        </w:tc>
        <w:tc>
          <w:tcPr>
            <w:tcW w:w="1250" w:type="dxa"/>
            <w:noWrap/>
            <w:hideMark/>
          </w:tcPr>
          <w:p w14:paraId="5106FCA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-0.002</w:t>
            </w:r>
          </w:p>
        </w:tc>
        <w:tc>
          <w:tcPr>
            <w:tcW w:w="1250" w:type="dxa"/>
            <w:noWrap/>
            <w:hideMark/>
          </w:tcPr>
          <w:p w14:paraId="141673C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0.002</w:t>
            </w:r>
          </w:p>
        </w:tc>
      </w:tr>
    </w:tbl>
    <w:p w14:paraId="452573F1" w14:textId="77777777" w:rsidR="00B54D51" w:rsidRPr="00037AD4" w:rsidRDefault="00B54D51" w:rsidP="001D7ACE">
      <w:pPr>
        <w:rPr>
          <w:u w:val="single"/>
        </w:rPr>
      </w:pPr>
    </w:p>
    <w:p w14:paraId="48DDC8F4" w14:textId="77777777" w:rsidR="00B54D51" w:rsidRPr="00037AD4" w:rsidRDefault="00B54D51" w:rsidP="001D7ACE">
      <w:pPr>
        <w:rPr>
          <w:rFonts w:asciiTheme="minorHAnsi" w:hAnsiTheme="minorHAnsi" w:cstheme="minorHAnsi"/>
          <w:color w:val="000000" w:themeColor="text1"/>
          <w:u w:val="single"/>
        </w:rPr>
      </w:pPr>
      <w:r w:rsidRPr="00037AD4">
        <w:rPr>
          <w:rFonts w:asciiTheme="minorHAnsi" w:hAnsiTheme="minorHAnsi" w:cstheme="minorHAnsi"/>
          <w:color w:val="000000" w:themeColor="text1"/>
          <w:u w:val="single"/>
        </w:rPr>
        <w:t xml:space="preserve">Table A6.3r, “Anxiety/depression” predictive margins for ACTIFCARE data </w:t>
      </w:r>
    </w:p>
    <w:p w14:paraId="7F7321C3" w14:textId="77777777" w:rsidR="00B54D51" w:rsidRPr="00037AD4" w:rsidRDefault="00B54D51" w:rsidP="001D7ACE">
      <w:pPr>
        <w:rPr>
          <w:color w:val="000000" w:themeColor="text1"/>
        </w:rPr>
      </w:pPr>
    </w:p>
    <w:tbl>
      <w:tblPr>
        <w:tblStyle w:val="TableGrid"/>
        <w:tblW w:w="0" w:type="auto"/>
        <w:tblLook w:val="04A0" w:firstRow="1" w:lastRow="0" w:firstColumn="1" w:lastColumn="0" w:noHBand="0" w:noVBand="1"/>
      </w:tblPr>
      <w:tblGrid>
        <w:gridCol w:w="2562"/>
        <w:gridCol w:w="2156"/>
        <w:gridCol w:w="819"/>
        <w:gridCol w:w="946"/>
        <w:gridCol w:w="819"/>
        <w:gridCol w:w="895"/>
        <w:gridCol w:w="819"/>
      </w:tblGrid>
      <w:tr w:rsidR="00B54D51" w:rsidRPr="00037AD4" w14:paraId="2DFBE51F" w14:textId="77777777" w:rsidTr="00401C67">
        <w:trPr>
          <w:trHeight w:val="320"/>
        </w:trPr>
        <w:tc>
          <w:tcPr>
            <w:tcW w:w="0" w:type="auto"/>
            <w:noWrap/>
            <w:hideMark/>
          </w:tcPr>
          <w:p w14:paraId="7EE32FF8" w14:textId="77777777" w:rsidR="00B54D51" w:rsidRPr="00037AD4" w:rsidRDefault="00B54D51" w:rsidP="00401C67">
            <w:pPr>
              <w:rPr>
                <w:sz w:val="20"/>
                <w:szCs w:val="20"/>
              </w:rPr>
            </w:pPr>
          </w:p>
        </w:tc>
        <w:tc>
          <w:tcPr>
            <w:tcW w:w="0" w:type="auto"/>
            <w:noWrap/>
            <w:hideMark/>
          </w:tcPr>
          <w:p w14:paraId="6CB4404A" w14:textId="77777777" w:rsidR="00B54D51" w:rsidRPr="00037AD4" w:rsidRDefault="00B54D51" w:rsidP="00401C67">
            <w:pPr>
              <w:rPr>
                <w:rFonts w:ascii="Calibri" w:hAnsi="Calibri" w:cs="Calibri"/>
                <w:color w:val="000000"/>
              </w:rPr>
            </w:pPr>
            <w:r w:rsidRPr="00037AD4">
              <w:rPr>
                <w:rFonts w:ascii="Calibri" w:hAnsi="Calibri" w:cs="Calibri"/>
                <w:color w:val="000000"/>
              </w:rPr>
              <w:t>Predictive Margins</w:t>
            </w:r>
          </w:p>
        </w:tc>
        <w:tc>
          <w:tcPr>
            <w:tcW w:w="0" w:type="auto"/>
            <w:noWrap/>
            <w:hideMark/>
          </w:tcPr>
          <w:p w14:paraId="5A13592F" w14:textId="77777777" w:rsidR="00B54D51" w:rsidRPr="00037AD4" w:rsidRDefault="00B54D51" w:rsidP="00401C67">
            <w:pPr>
              <w:rPr>
                <w:rFonts w:ascii="Calibri" w:hAnsi="Calibri" w:cs="Calibri"/>
                <w:color w:val="000000"/>
              </w:rPr>
            </w:pPr>
            <w:r w:rsidRPr="00037AD4">
              <w:rPr>
                <w:rFonts w:ascii="Calibri" w:hAnsi="Calibri" w:cs="Calibri"/>
                <w:color w:val="000000"/>
              </w:rPr>
              <w:t>SE</w:t>
            </w:r>
          </w:p>
        </w:tc>
        <w:tc>
          <w:tcPr>
            <w:tcW w:w="0" w:type="auto"/>
            <w:noWrap/>
            <w:hideMark/>
          </w:tcPr>
          <w:p w14:paraId="3351351E" w14:textId="77777777" w:rsidR="00B54D51" w:rsidRPr="00037AD4" w:rsidRDefault="00B54D51" w:rsidP="00401C67">
            <w:pPr>
              <w:rPr>
                <w:rFonts w:ascii="Calibri" w:hAnsi="Calibri" w:cs="Calibri"/>
                <w:color w:val="000000"/>
              </w:rPr>
            </w:pPr>
            <w:r w:rsidRPr="00037AD4">
              <w:rPr>
                <w:rFonts w:ascii="Calibri" w:hAnsi="Calibri" w:cs="Calibri"/>
                <w:color w:val="000000"/>
              </w:rPr>
              <w:t>z</w:t>
            </w:r>
          </w:p>
        </w:tc>
        <w:tc>
          <w:tcPr>
            <w:tcW w:w="0" w:type="auto"/>
            <w:noWrap/>
            <w:hideMark/>
          </w:tcPr>
          <w:p w14:paraId="4D6F9FF5" w14:textId="77777777" w:rsidR="00B54D51" w:rsidRPr="00037AD4" w:rsidRDefault="00B54D51" w:rsidP="00401C67">
            <w:pPr>
              <w:rPr>
                <w:rFonts w:ascii="Calibri" w:hAnsi="Calibri" w:cs="Calibri"/>
                <w:color w:val="000000"/>
              </w:rPr>
            </w:pPr>
            <w:r w:rsidRPr="00037AD4">
              <w:rPr>
                <w:rFonts w:ascii="Calibri" w:hAnsi="Calibri" w:cs="Calibri"/>
                <w:color w:val="000000"/>
              </w:rPr>
              <w:t>P&gt;z</w:t>
            </w:r>
          </w:p>
        </w:tc>
        <w:tc>
          <w:tcPr>
            <w:tcW w:w="0" w:type="auto"/>
            <w:gridSpan w:val="2"/>
            <w:noWrap/>
            <w:hideMark/>
          </w:tcPr>
          <w:p w14:paraId="4E584E99" w14:textId="77777777" w:rsidR="00B54D51" w:rsidRPr="00037AD4" w:rsidRDefault="00B54D51" w:rsidP="00401C67">
            <w:pPr>
              <w:rPr>
                <w:rFonts w:ascii="Calibri" w:hAnsi="Calibri" w:cs="Calibri"/>
                <w:color w:val="000000"/>
              </w:rPr>
            </w:pPr>
            <w:r w:rsidRPr="00037AD4">
              <w:rPr>
                <w:rFonts w:ascii="Calibri" w:hAnsi="Calibri" w:cs="Calibri"/>
                <w:color w:val="000000"/>
              </w:rPr>
              <w:t>[95% conf.</w:t>
            </w:r>
          </w:p>
          <w:p w14:paraId="2CCC2032" w14:textId="77777777" w:rsidR="00B54D51" w:rsidRPr="00037AD4" w:rsidRDefault="00B54D51" w:rsidP="00401C67">
            <w:pPr>
              <w:rPr>
                <w:rFonts w:ascii="Calibri" w:hAnsi="Calibri" w:cs="Calibri"/>
                <w:color w:val="000000"/>
              </w:rPr>
            </w:pPr>
            <w:r w:rsidRPr="00037AD4">
              <w:rPr>
                <w:rFonts w:ascii="Calibri" w:hAnsi="Calibri" w:cs="Calibri"/>
                <w:color w:val="000000"/>
              </w:rPr>
              <w:t>interval]</w:t>
            </w:r>
          </w:p>
        </w:tc>
      </w:tr>
      <w:tr w:rsidR="00B54D51" w:rsidRPr="00037AD4" w14:paraId="7731C635" w14:textId="77777777" w:rsidTr="00401C67">
        <w:trPr>
          <w:trHeight w:val="320"/>
        </w:trPr>
        <w:tc>
          <w:tcPr>
            <w:tcW w:w="0" w:type="auto"/>
            <w:gridSpan w:val="7"/>
            <w:shd w:val="clear" w:color="auto" w:fill="E7E6E6" w:themeFill="background2"/>
            <w:noWrap/>
          </w:tcPr>
          <w:p w14:paraId="3391B0A0"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Predicted Probability of PwD “anxiety/depression” by proxy “Anxiety/depression” Level Reports </w:t>
            </w:r>
          </w:p>
        </w:tc>
      </w:tr>
      <w:tr w:rsidR="00B54D51" w:rsidRPr="00037AD4" w14:paraId="1E1E2D88" w14:textId="77777777" w:rsidTr="00401C67">
        <w:trPr>
          <w:trHeight w:val="320"/>
        </w:trPr>
        <w:tc>
          <w:tcPr>
            <w:tcW w:w="0" w:type="auto"/>
            <w:gridSpan w:val="7"/>
            <w:shd w:val="clear" w:color="auto" w:fill="E7E6E6" w:themeFill="background2"/>
            <w:noWrap/>
          </w:tcPr>
          <w:p w14:paraId="4B8DE886" w14:textId="77777777" w:rsidR="00B54D51" w:rsidRPr="00037AD4" w:rsidRDefault="00B54D51" w:rsidP="00401C67">
            <w:pPr>
              <w:rPr>
                <w:rFonts w:ascii="Calibri" w:hAnsi="Calibri" w:cs="Calibri"/>
                <w:color w:val="000000"/>
              </w:rPr>
            </w:pPr>
            <w:r w:rsidRPr="00037AD4">
              <w:rPr>
                <w:rFonts w:cstheme="minorHAnsi"/>
              </w:rPr>
              <w:t xml:space="preserve">Predicted PwD: level one </w:t>
            </w:r>
          </w:p>
        </w:tc>
      </w:tr>
      <w:tr w:rsidR="00B54D51" w:rsidRPr="00037AD4" w14:paraId="00BC8E55" w14:textId="77777777" w:rsidTr="00401C67">
        <w:trPr>
          <w:trHeight w:val="320"/>
        </w:trPr>
        <w:tc>
          <w:tcPr>
            <w:tcW w:w="0" w:type="auto"/>
            <w:noWrap/>
            <w:hideMark/>
          </w:tcPr>
          <w:p w14:paraId="06C56D83" w14:textId="77777777" w:rsidR="00B54D51" w:rsidRPr="00037AD4" w:rsidRDefault="00B54D51" w:rsidP="00401C67">
            <w:pPr>
              <w:rPr>
                <w:rFonts w:ascii="Calibri" w:hAnsi="Calibri" w:cs="Calibri"/>
                <w:color w:val="000000"/>
              </w:rPr>
            </w:pPr>
            <w:r w:rsidRPr="00037AD4">
              <w:rPr>
                <w:rFonts w:cstheme="minorHAnsi"/>
              </w:rPr>
              <w:t xml:space="preserve">From level one proxy  </w:t>
            </w:r>
          </w:p>
        </w:tc>
        <w:tc>
          <w:tcPr>
            <w:tcW w:w="0" w:type="auto"/>
            <w:noWrap/>
            <w:hideMark/>
          </w:tcPr>
          <w:p w14:paraId="5F06E96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0.715</w:t>
            </w:r>
          </w:p>
        </w:tc>
        <w:tc>
          <w:tcPr>
            <w:tcW w:w="0" w:type="auto"/>
            <w:noWrap/>
            <w:hideMark/>
          </w:tcPr>
          <w:p w14:paraId="27359BD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0.024</w:t>
            </w:r>
          </w:p>
        </w:tc>
        <w:tc>
          <w:tcPr>
            <w:tcW w:w="0" w:type="auto"/>
            <w:noWrap/>
            <w:hideMark/>
          </w:tcPr>
          <w:p w14:paraId="4EA9600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29.520</w:t>
            </w:r>
          </w:p>
        </w:tc>
        <w:tc>
          <w:tcPr>
            <w:tcW w:w="0" w:type="auto"/>
            <w:noWrap/>
            <w:hideMark/>
          </w:tcPr>
          <w:p w14:paraId="52D4BD5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467158B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0.667</w:t>
            </w:r>
          </w:p>
        </w:tc>
        <w:tc>
          <w:tcPr>
            <w:tcW w:w="0" w:type="auto"/>
            <w:noWrap/>
            <w:hideMark/>
          </w:tcPr>
          <w:p w14:paraId="0564A28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0.762</w:t>
            </w:r>
          </w:p>
        </w:tc>
      </w:tr>
      <w:tr w:rsidR="00B54D51" w:rsidRPr="00037AD4" w14:paraId="3051B664" w14:textId="77777777" w:rsidTr="00401C67">
        <w:trPr>
          <w:trHeight w:val="320"/>
        </w:trPr>
        <w:tc>
          <w:tcPr>
            <w:tcW w:w="0" w:type="auto"/>
            <w:noWrap/>
            <w:hideMark/>
          </w:tcPr>
          <w:p w14:paraId="5CAD1291" w14:textId="77777777" w:rsidR="00B54D51" w:rsidRPr="00037AD4" w:rsidRDefault="00B54D51" w:rsidP="00401C67">
            <w:pPr>
              <w:rPr>
                <w:rFonts w:ascii="Calibri" w:hAnsi="Calibri" w:cs="Calibri"/>
                <w:color w:val="000000"/>
              </w:rPr>
            </w:pPr>
            <w:r w:rsidRPr="00037AD4">
              <w:rPr>
                <w:rFonts w:cstheme="minorHAnsi"/>
              </w:rPr>
              <w:t xml:space="preserve">From level two proxy  </w:t>
            </w:r>
          </w:p>
        </w:tc>
        <w:tc>
          <w:tcPr>
            <w:tcW w:w="0" w:type="auto"/>
            <w:noWrap/>
            <w:hideMark/>
          </w:tcPr>
          <w:p w14:paraId="76AE2DA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0.582</w:t>
            </w:r>
          </w:p>
        </w:tc>
        <w:tc>
          <w:tcPr>
            <w:tcW w:w="0" w:type="auto"/>
            <w:noWrap/>
            <w:hideMark/>
          </w:tcPr>
          <w:p w14:paraId="131A30F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0.028</w:t>
            </w:r>
          </w:p>
        </w:tc>
        <w:tc>
          <w:tcPr>
            <w:tcW w:w="0" w:type="auto"/>
            <w:noWrap/>
            <w:hideMark/>
          </w:tcPr>
          <w:p w14:paraId="6ED550B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20.540</w:t>
            </w:r>
          </w:p>
        </w:tc>
        <w:tc>
          <w:tcPr>
            <w:tcW w:w="0" w:type="auto"/>
            <w:noWrap/>
            <w:hideMark/>
          </w:tcPr>
          <w:p w14:paraId="0886664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270E9DE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0.526</w:t>
            </w:r>
          </w:p>
        </w:tc>
        <w:tc>
          <w:tcPr>
            <w:tcW w:w="0" w:type="auto"/>
            <w:noWrap/>
            <w:hideMark/>
          </w:tcPr>
          <w:p w14:paraId="76CCF7F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0.637</w:t>
            </w:r>
          </w:p>
        </w:tc>
      </w:tr>
      <w:tr w:rsidR="00B54D51" w:rsidRPr="00037AD4" w14:paraId="0E55D8C8" w14:textId="77777777" w:rsidTr="00401C67">
        <w:trPr>
          <w:trHeight w:val="320"/>
        </w:trPr>
        <w:tc>
          <w:tcPr>
            <w:tcW w:w="0" w:type="auto"/>
            <w:noWrap/>
            <w:hideMark/>
          </w:tcPr>
          <w:p w14:paraId="49CEF750" w14:textId="77777777" w:rsidR="00B54D51" w:rsidRPr="00037AD4" w:rsidRDefault="00B54D51" w:rsidP="00401C67">
            <w:pPr>
              <w:rPr>
                <w:rFonts w:ascii="Calibri" w:hAnsi="Calibri" w:cs="Calibri"/>
                <w:color w:val="000000"/>
              </w:rPr>
            </w:pPr>
            <w:r w:rsidRPr="00037AD4">
              <w:rPr>
                <w:rFonts w:cstheme="minorHAnsi"/>
              </w:rPr>
              <w:t xml:space="preserve">From level three proxy  </w:t>
            </w:r>
          </w:p>
        </w:tc>
        <w:tc>
          <w:tcPr>
            <w:tcW w:w="0" w:type="auto"/>
            <w:noWrap/>
            <w:hideMark/>
          </w:tcPr>
          <w:p w14:paraId="23F2A1D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0.443</w:t>
            </w:r>
          </w:p>
        </w:tc>
        <w:tc>
          <w:tcPr>
            <w:tcW w:w="0" w:type="auto"/>
            <w:noWrap/>
            <w:hideMark/>
          </w:tcPr>
          <w:p w14:paraId="2E38610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0.032</w:t>
            </w:r>
          </w:p>
        </w:tc>
        <w:tc>
          <w:tcPr>
            <w:tcW w:w="0" w:type="auto"/>
            <w:noWrap/>
            <w:hideMark/>
          </w:tcPr>
          <w:p w14:paraId="43EFC0F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13.910</w:t>
            </w:r>
          </w:p>
        </w:tc>
        <w:tc>
          <w:tcPr>
            <w:tcW w:w="0" w:type="auto"/>
            <w:noWrap/>
            <w:hideMark/>
          </w:tcPr>
          <w:p w14:paraId="5FCA484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6E448EE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0.381</w:t>
            </w:r>
          </w:p>
        </w:tc>
        <w:tc>
          <w:tcPr>
            <w:tcW w:w="0" w:type="auto"/>
            <w:noWrap/>
            <w:hideMark/>
          </w:tcPr>
          <w:p w14:paraId="572A56E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0.506</w:t>
            </w:r>
          </w:p>
        </w:tc>
      </w:tr>
      <w:tr w:rsidR="00B54D51" w:rsidRPr="00037AD4" w14:paraId="3A8D3A33" w14:textId="77777777" w:rsidTr="00401C67">
        <w:trPr>
          <w:trHeight w:val="320"/>
        </w:trPr>
        <w:tc>
          <w:tcPr>
            <w:tcW w:w="0" w:type="auto"/>
            <w:noWrap/>
            <w:hideMark/>
          </w:tcPr>
          <w:p w14:paraId="0E6A2EDA" w14:textId="77777777" w:rsidR="00B54D51" w:rsidRPr="00037AD4" w:rsidRDefault="00B54D51" w:rsidP="00401C67">
            <w:pPr>
              <w:rPr>
                <w:rFonts w:ascii="Calibri" w:hAnsi="Calibri" w:cs="Calibri"/>
                <w:color w:val="000000"/>
              </w:rPr>
            </w:pPr>
            <w:r w:rsidRPr="00037AD4">
              <w:rPr>
                <w:rFonts w:cstheme="minorHAnsi"/>
              </w:rPr>
              <w:t xml:space="preserve">From level four proxy  </w:t>
            </w:r>
          </w:p>
        </w:tc>
        <w:tc>
          <w:tcPr>
            <w:tcW w:w="0" w:type="auto"/>
            <w:noWrap/>
            <w:hideMark/>
          </w:tcPr>
          <w:p w14:paraId="1A940B8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0.493</w:t>
            </w:r>
          </w:p>
        </w:tc>
        <w:tc>
          <w:tcPr>
            <w:tcW w:w="0" w:type="auto"/>
            <w:noWrap/>
            <w:hideMark/>
          </w:tcPr>
          <w:p w14:paraId="3C8B2BE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0.062</w:t>
            </w:r>
          </w:p>
        </w:tc>
        <w:tc>
          <w:tcPr>
            <w:tcW w:w="0" w:type="auto"/>
            <w:noWrap/>
            <w:hideMark/>
          </w:tcPr>
          <w:p w14:paraId="42214D4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7.980</w:t>
            </w:r>
          </w:p>
        </w:tc>
        <w:tc>
          <w:tcPr>
            <w:tcW w:w="0" w:type="auto"/>
            <w:noWrap/>
            <w:hideMark/>
          </w:tcPr>
          <w:p w14:paraId="129DCA3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4A63C01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0.372</w:t>
            </w:r>
          </w:p>
        </w:tc>
        <w:tc>
          <w:tcPr>
            <w:tcW w:w="0" w:type="auto"/>
            <w:noWrap/>
            <w:hideMark/>
          </w:tcPr>
          <w:p w14:paraId="6FCD85A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0.614</w:t>
            </w:r>
          </w:p>
        </w:tc>
      </w:tr>
      <w:tr w:rsidR="00B54D51" w:rsidRPr="00037AD4" w14:paraId="32973C06" w14:textId="77777777" w:rsidTr="00401C67">
        <w:trPr>
          <w:trHeight w:val="320"/>
        </w:trPr>
        <w:tc>
          <w:tcPr>
            <w:tcW w:w="0" w:type="auto"/>
            <w:noWrap/>
            <w:hideMark/>
          </w:tcPr>
          <w:p w14:paraId="56FE8AF8" w14:textId="77777777" w:rsidR="00B54D51" w:rsidRPr="00037AD4" w:rsidRDefault="00B54D51" w:rsidP="00401C67">
            <w:pPr>
              <w:rPr>
                <w:rFonts w:ascii="Calibri" w:hAnsi="Calibri" w:cs="Calibri"/>
                <w:color w:val="000000"/>
              </w:rPr>
            </w:pPr>
            <w:r w:rsidRPr="00037AD4">
              <w:rPr>
                <w:rFonts w:cstheme="minorHAnsi"/>
              </w:rPr>
              <w:t xml:space="preserve">From level five proxy  </w:t>
            </w:r>
          </w:p>
        </w:tc>
        <w:tc>
          <w:tcPr>
            <w:tcW w:w="0" w:type="auto"/>
            <w:noWrap/>
            <w:hideMark/>
          </w:tcPr>
          <w:p w14:paraId="7E26412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0.233</w:t>
            </w:r>
          </w:p>
        </w:tc>
        <w:tc>
          <w:tcPr>
            <w:tcW w:w="0" w:type="auto"/>
            <w:noWrap/>
            <w:hideMark/>
          </w:tcPr>
          <w:p w14:paraId="1C9D848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0.076</w:t>
            </w:r>
          </w:p>
        </w:tc>
        <w:tc>
          <w:tcPr>
            <w:tcW w:w="0" w:type="auto"/>
            <w:noWrap/>
            <w:hideMark/>
          </w:tcPr>
          <w:p w14:paraId="61F2EEE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3.050</w:t>
            </w:r>
          </w:p>
        </w:tc>
        <w:tc>
          <w:tcPr>
            <w:tcW w:w="0" w:type="auto"/>
            <w:noWrap/>
            <w:hideMark/>
          </w:tcPr>
          <w:p w14:paraId="3FC44AB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0.002</w:t>
            </w:r>
          </w:p>
        </w:tc>
        <w:tc>
          <w:tcPr>
            <w:tcW w:w="0" w:type="auto"/>
            <w:noWrap/>
            <w:hideMark/>
          </w:tcPr>
          <w:p w14:paraId="68743CA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0.083</w:t>
            </w:r>
          </w:p>
        </w:tc>
        <w:tc>
          <w:tcPr>
            <w:tcW w:w="0" w:type="auto"/>
            <w:noWrap/>
            <w:hideMark/>
          </w:tcPr>
          <w:p w14:paraId="4E47C68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0.383</w:t>
            </w:r>
          </w:p>
        </w:tc>
      </w:tr>
      <w:tr w:rsidR="00B54D51" w:rsidRPr="00037AD4" w14:paraId="1BEFE080" w14:textId="77777777" w:rsidTr="00401C67">
        <w:trPr>
          <w:trHeight w:val="320"/>
        </w:trPr>
        <w:tc>
          <w:tcPr>
            <w:tcW w:w="0" w:type="auto"/>
            <w:gridSpan w:val="7"/>
            <w:shd w:val="clear" w:color="auto" w:fill="E7E6E6" w:themeFill="background2"/>
            <w:noWrap/>
          </w:tcPr>
          <w:p w14:paraId="6EE68100" w14:textId="77777777" w:rsidR="00B54D51" w:rsidRPr="00037AD4" w:rsidRDefault="00B54D51" w:rsidP="00401C67">
            <w:pPr>
              <w:rPr>
                <w:rFonts w:ascii="Calibri" w:hAnsi="Calibri" w:cs="Calibri"/>
                <w:color w:val="000000"/>
              </w:rPr>
            </w:pPr>
            <w:r w:rsidRPr="00037AD4">
              <w:rPr>
                <w:rFonts w:cstheme="minorHAnsi"/>
              </w:rPr>
              <w:t>Predicted PwD: level two</w:t>
            </w:r>
          </w:p>
        </w:tc>
      </w:tr>
      <w:tr w:rsidR="00B54D51" w:rsidRPr="00037AD4" w14:paraId="10A3EE28" w14:textId="77777777" w:rsidTr="00401C67">
        <w:trPr>
          <w:trHeight w:val="320"/>
        </w:trPr>
        <w:tc>
          <w:tcPr>
            <w:tcW w:w="0" w:type="auto"/>
            <w:noWrap/>
            <w:hideMark/>
          </w:tcPr>
          <w:p w14:paraId="5C845FF2" w14:textId="77777777" w:rsidR="00B54D51" w:rsidRPr="00037AD4" w:rsidRDefault="00B54D51" w:rsidP="00401C67">
            <w:pPr>
              <w:rPr>
                <w:rFonts w:ascii="Calibri" w:hAnsi="Calibri" w:cs="Calibri"/>
                <w:color w:val="000000"/>
              </w:rPr>
            </w:pPr>
            <w:r w:rsidRPr="00037AD4">
              <w:rPr>
                <w:rFonts w:cstheme="minorHAnsi"/>
              </w:rPr>
              <w:t xml:space="preserve">From level one proxy  </w:t>
            </w:r>
          </w:p>
        </w:tc>
        <w:tc>
          <w:tcPr>
            <w:tcW w:w="0" w:type="auto"/>
            <w:noWrap/>
            <w:hideMark/>
          </w:tcPr>
          <w:p w14:paraId="5D61B1C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0.208</w:t>
            </w:r>
          </w:p>
        </w:tc>
        <w:tc>
          <w:tcPr>
            <w:tcW w:w="0" w:type="auto"/>
            <w:noWrap/>
            <w:hideMark/>
          </w:tcPr>
          <w:p w14:paraId="07ED606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0.017</w:t>
            </w:r>
          </w:p>
        </w:tc>
        <w:tc>
          <w:tcPr>
            <w:tcW w:w="0" w:type="auto"/>
            <w:noWrap/>
            <w:hideMark/>
          </w:tcPr>
          <w:p w14:paraId="3899269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12.220</w:t>
            </w:r>
          </w:p>
        </w:tc>
        <w:tc>
          <w:tcPr>
            <w:tcW w:w="0" w:type="auto"/>
            <w:noWrap/>
            <w:hideMark/>
          </w:tcPr>
          <w:p w14:paraId="666A456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15F52C0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0.174</w:t>
            </w:r>
          </w:p>
        </w:tc>
        <w:tc>
          <w:tcPr>
            <w:tcW w:w="0" w:type="auto"/>
            <w:noWrap/>
            <w:hideMark/>
          </w:tcPr>
          <w:p w14:paraId="79A6D77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0.241</w:t>
            </w:r>
          </w:p>
        </w:tc>
      </w:tr>
      <w:tr w:rsidR="00B54D51" w:rsidRPr="00037AD4" w14:paraId="267EA598" w14:textId="77777777" w:rsidTr="00401C67">
        <w:trPr>
          <w:trHeight w:val="320"/>
        </w:trPr>
        <w:tc>
          <w:tcPr>
            <w:tcW w:w="0" w:type="auto"/>
            <w:noWrap/>
            <w:hideMark/>
          </w:tcPr>
          <w:p w14:paraId="7BF441C7" w14:textId="77777777" w:rsidR="00B54D51" w:rsidRPr="00037AD4" w:rsidRDefault="00B54D51" w:rsidP="00401C67">
            <w:pPr>
              <w:rPr>
                <w:rFonts w:ascii="Calibri" w:hAnsi="Calibri" w:cs="Calibri"/>
                <w:color w:val="000000"/>
              </w:rPr>
            </w:pPr>
            <w:r w:rsidRPr="00037AD4">
              <w:rPr>
                <w:rFonts w:cstheme="minorHAnsi"/>
              </w:rPr>
              <w:t xml:space="preserve">From level two proxy  </w:t>
            </w:r>
          </w:p>
        </w:tc>
        <w:tc>
          <w:tcPr>
            <w:tcW w:w="0" w:type="auto"/>
            <w:noWrap/>
            <w:hideMark/>
          </w:tcPr>
          <w:p w14:paraId="648C79E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0.274</w:t>
            </w:r>
          </w:p>
        </w:tc>
        <w:tc>
          <w:tcPr>
            <w:tcW w:w="0" w:type="auto"/>
            <w:noWrap/>
            <w:hideMark/>
          </w:tcPr>
          <w:p w14:paraId="7C2DBAF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0.018</w:t>
            </w:r>
          </w:p>
        </w:tc>
        <w:tc>
          <w:tcPr>
            <w:tcW w:w="0" w:type="auto"/>
            <w:noWrap/>
            <w:hideMark/>
          </w:tcPr>
          <w:p w14:paraId="016B192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15.230</w:t>
            </w:r>
          </w:p>
        </w:tc>
        <w:tc>
          <w:tcPr>
            <w:tcW w:w="0" w:type="auto"/>
            <w:noWrap/>
            <w:hideMark/>
          </w:tcPr>
          <w:p w14:paraId="04B0013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6F2ABED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0.239</w:t>
            </w:r>
          </w:p>
        </w:tc>
        <w:tc>
          <w:tcPr>
            <w:tcW w:w="0" w:type="auto"/>
            <w:noWrap/>
            <w:hideMark/>
          </w:tcPr>
          <w:p w14:paraId="55E7539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0.309</w:t>
            </w:r>
          </w:p>
        </w:tc>
      </w:tr>
      <w:tr w:rsidR="00B54D51" w:rsidRPr="00037AD4" w14:paraId="33DD52DC" w14:textId="77777777" w:rsidTr="00401C67">
        <w:trPr>
          <w:trHeight w:val="320"/>
        </w:trPr>
        <w:tc>
          <w:tcPr>
            <w:tcW w:w="0" w:type="auto"/>
            <w:noWrap/>
            <w:hideMark/>
          </w:tcPr>
          <w:p w14:paraId="63A3749C" w14:textId="77777777" w:rsidR="00B54D51" w:rsidRPr="00037AD4" w:rsidRDefault="00B54D51" w:rsidP="00401C67">
            <w:pPr>
              <w:rPr>
                <w:rFonts w:ascii="Calibri" w:hAnsi="Calibri" w:cs="Calibri"/>
                <w:color w:val="000000"/>
              </w:rPr>
            </w:pPr>
            <w:r w:rsidRPr="00037AD4">
              <w:rPr>
                <w:rFonts w:cstheme="minorHAnsi"/>
              </w:rPr>
              <w:t xml:space="preserve">From level three proxy  </w:t>
            </w:r>
          </w:p>
        </w:tc>
        <w:tc>
          <w:tcPr>
            <w:tcW w:w="0" w:type="auto"/>
            <w:noWrap/>
            <w:hideMark/>
          </w:tcPr>
          <w:p w14:paraId="10BD6DF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0.319</w:t>
            </w:r>
          </w:p>
        </w:tc>
        <w:tc>
          <w:tcPr>
            <w:tcW w:w="0" w:type="auto"/>
            <w:noWrap/>
            <w:hideMark/>
          </w:tcPr>
          <w:p w14:paraId="4E2FBE9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0.019</w:t>
            </w:r>
          </w:p>
        </w:tc>
        <w:tc>
          <w:tcPr>
            <w:tcW w:w="0" w:type="auto"/>
            <w:noWrap/>
            <w:hideMark/>
          </w:tcPr>
          <w:p w14:paraId="18B0AE3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16.870</w:t>
            </w:r>
          </w:p>
        </w:tc>
        <w:tc>
          <w:tcPr>
            <w:tcW w:w="0" w:type="auto"/>
            <w:noWrap/>
            <w:hideMark/>
          </w:tcPr>
          <w:p w14:paraId="4D17F5E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2B427AA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0.282</w:t>
            </w:r>
          </w:p>
        </w:tc>
        <w:tc>
          <w:tcPr>
            <w:tcW w:w="0" w:type="auto"/>
            <w:noWrap/>
            <w:hideMark/>
          </w:tcPr>
          <w:p w14:paraId="30687F0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0.356</w:t>
            </w:r>
          </w:p>
        </w:tc>
      </w:tr>
      <w:tr w:rsidR="00B54D51" w:rsidRPr="00037AD4" w14:paraId="31B0AF8C" w14:textId="77777777" w:rsidTr="00401C67">
        <w:trPr>
          <w:trHeight w:val="320"/>
        </w:trPr>
        <w:tc>
          <w:tcPr>
            <w:tcW w:w="0" w:type="auto"/>
            <w:noWrap/>
            <w:hideMark/>
          </w:tcPr>
          <w:p w14:paraId="4CC08150" w14:textId="77777777" w:rsidR="00B54D51" w:rsidRPr="00037AD4" w:rsidRDefault="00B54D51" w:rsidP="00401C67">
            <w:pPr>
              <w:rPr>
                <w:rFonts w:ascii="Calibri" w:hAnsi="Calibri" w:cs="Calibri"/>
                <w:color w:val="000000"/>
              </w:rPr>
            </w:pPr>
            <w:r w:rsidRPr="00037AD4">
              <w:rPr>
                <w:rFonts w:cstheme="minorHAnsi"/>
              </w:rPr>
              <w:t xml:space="preserve">From level four proxy  </w:t>
            </w:r>
          </w:p>
        </w:tc>
        <w:tc>
          <w:tcPr>
            <w:tcW w:w="0" w:type="auto"/>
            <w:noWrap/>
            <w:hideMark/>
          </w:tcPr>
          <w:p w14:paraId="102DA72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0.306</w:t>
            </w:r>
          </w:p>
        </w:tc>
        <w:tc>
          <w:tcPr>
            <w:tcW w:w="0" w:type="auto"/>
            <w:noWrap/>
            <w:hideMark/>
          </w:tcPr>
          <w:p w14:paraId="4272CC9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0.024</w:t>
            </w:r>
          </w:p>
        </w:tc>
        <w:tc>
          <w:tcPr>
            <w:tcW w:w="0" w:type="auto"/>
            <w:noWrap/>
            <w:hideMark/>
          </w:tcPr>
          <w:p w14:paraId="491F06D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12.640</w:t>
            </w:r>
          </w:p>
        </w:tc>
        <w:tc>
          <w:tcPr>
            <w:tcW w:w="0" w:type="auto"/>
            <w:noWrap/>
            <w:hideMark/>
          </w:tcPr>
          <w:p w14:paraId="4655F4A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6A971A8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0.258</w:t>
            </w:r>
          </w:p>
        </w:tc>
        <w:tc>
          <w:tcPr>
            <w:tcW w:w="0" w:type="auto"/>
            <w:noWrap/>
            <w:hideMark/>
          </w:tcPr>
          <w:p w14:paraId="41E2B7C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0.353</w:t>
            </w:r>
          </w:p>
        </w:tc>
      </w:tr>
      <w:tr w:rsidR="00B54D51" w:rsidRPr="00037AD4" w14:paraId="7C56FAE6" w14:textId="77777777" w:rsidTr="00401C67">
        <w:trPr>
          <w:trHeight w:val="320"/>
        </w:trPr>
        <w:tc>
          <w:tcPr>
            <w:tcW w:w="0" w:type="auto"/>
            <w:noWrap/>
            <w:hideMark/>
          </w:tcPr>
          <w:p w14:paraId="624B636D" w14:textId="77777777" w:rsidR="00B54D51" w:rsidRPr="00037AD4" w:rsidRDefault="00B54D51" w:rsidP="00401C67">
            <w:pPr>
              <w:rPr>
                <w:rFonts w:ascii="Calibri" w:hAnsi="Calibri" w:cs="Calibri"/>
                <w:color w:val="000000"/>
              </w:rPr>
            </w:pPr>
            <w:r w:rsidRPr="00037AD4">
              <w:rPr>
                <w:rFonts w:cstheme="minorHAnsi"/>
              </w:rPr>
              <w:t xml:space="preserve">From level five proxy  </w:t>
            </w:r>
          </w:p>
        </w:tc>
        <w:tc>
          <w:tcPr>
            <w:tcW w:w="0" w:type="auto"/>
            <w:noWrap/>
            <w:hideMark/>
          </w:tcPr>
          <w:p w14:paraId="0132371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0.317</w:t>
            </w:r>
          </w:p>
        </w:tc>
        <w:tc>
          <w:tcPr>
            <w:tcW w:w="0" w:type="auto"/>
            <w:noWrap/>
            <w:hideMark/>
          </w:tcPr>
          <w:p w14:paraId="7E778BA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0.028</w:t>
            </w:r>
          </w:p>
        </w:tc>
        <w:tc>
          <w:tcPr>
            <w:tcW w:w="0" w:type="auto"/>
            <w:noWrap/>
            <w:hideMark/>
          </w:tcPr>
          <w:p w14:paraId="4B353E8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11.300</w:t>
            </w:r>
          </w:p>
        </w:tc>
        <w:tc>
          <w:tcPr>
            <w:tcW w:w="0" w:type="auto"/>
            <w:noWrap/>
            <w:hideMark/>
          </w:tcPr>
          <w:p w14:paraId="54AD146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0EF5100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0.262</w:t>
            </w:r>
          </w:p>
        </w:tc>
        <w:tc>
          <w:tcPr>
            <w:tcW w:w="0" w:type="auto"/>
            <w:noWrap/>
            <w:hideMark/>
          </w:tcPr>
          <w:p w14:paraId="6A73ECF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0.372</w:t>
            </w:r>
          </w:p>
        </w:tc>
      </w:tr>
      <w:tr w:rsidR="00B54D51" w:rsidRPr="00037AD4" w14:paraId="626D3A8D" w14:textId="77777777" w:rsidTr="00401C67">
        <w:trPr>
          <w:trHeight w:val="320"/>
        </w:trPr>
        <w:tc>
          <w:tcPr>
            <w:tcW w:w="0" w:type="auto"/>
            <w:gridSpan w:val="7"/>
            <w:shd w:val="clear" w:color="auto" w:fill="E7E6E6" w:themeFill="background2"/>
            <w:noWrap/>
          </w:tcPr>
          <w:p w14:paraId="2FE43FB8" w14:textId="77777777" w:rsidR="00B54D51" w:rsidRPr="00037AD4" w:rsidRDefault="00B54D51" w:rsidP="00401C67">
            <w:pPr>
              <w:rPr>
                <w:rFonts w:ascii="Calibri" w:hAnsi="Calibri" w:cs="Calibri"/>
                <w:color w:val="000000"/>
              </w:rPr>
            </w:pPr>
            <w:r w:rsidRPr="00037AD4">
              <w:rPr>
                <w:rFonts w:cstheme="minorHAnsi"/>
              </w:rPr>
              <w:t>Predicted PwD: level three</w:t>
            </w:r>
          </w:p>
        </w:tc>
      </w:tr>
      <w:tr w:rsidR="00B54D51" w:rsidRPr="00037AD4" w14:paraId="1E87667F" w14:textId="77777777" w:rsidTr="00401C67">
        <w:trPr>
          <w:trHeight w:val="320"/>
        </w:trPr>
        <w:tc>
          <w:tcPr>
            <w:tcW w:w="0" w:type="auto"/>
            <w:noWrap/>
            <w:hideMark/>
          </w:tcPr>
          <w:p w14:paraId="136C22B8" w14:textId="77777777" w:rsidR="00B54D51" w:rsidRPr="00037AD4" w:rsidRDefault="00B54D51" w:rsidP="00401C67">
            <w:pPr>
              <w:rPr>
                <w:rFonts w:ascii="Calibri" w:hAnsi="Calibri" w:cs="Calibri"/>
                <w:color w:val="000000"/>
              </w:rPr>
            </w:pPr>
            <w:r w:rsidRPr="00037AD4">
              <w:rPr>
                <w:rFonts w:cstheme="minorHAnsi"/>
              </w:rPr>
              <w:t xml:space="preserve">From level one proxy  </w:t>
            </w:r>
          </w:p>
        </w:tc>
        <w:tc>
          <w:tcPr>
            <w:tcW w:w="0" w:type="auto"/>
            <w:noWrap/>
            <w:hideMark/>
          </w:tcPr>
          <w:p w14:paraId="367CAB1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0.069</w:t>
            </w:r>
          </w:p>
        </w:tc>
        <w:tc>
          <w:tcPr>
            <w:tcW w:w="0" w:type="auto"/>
            <w:noWrap/>
            <w:hideMark/>
          </w:tcPr>
          <w:p w14:paraId="67BD28D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0.010</w:t>
            </w:r>
          </w:p>
        </w:tc>
        <w:tc>
          <w:tcPr>
            <w:tcW w:w="0" w:type="auto"/>
            <w:noWrap/>
            <w:hideMark/>
          </w:tcPr>
          <w:p w14:paraId="5ED4878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6.760</w:t>
            </w:r>
          </w:p>
        </w:tc>
        <w:tc>
          <w:tcPr>
            <w:tcW w:w="0" w:type="auto"/>
            <w:noWrap/>
            <w:hideMark/>
          </w:tcPr>
          <w:p w14:paraId="1A5F8A6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5E4D54C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0.049</w:t>
            </w:r>
          </w:p>
        </w:tc>
        <w:tc>
          <w:tcPr>
            <w:tcW w:w="0" w:type="auto"/>
            <w:noWrap/>
            <w:hideMark/>
          </w:tcPr>
          <w:p w14:paraId="57BA3B7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0.088</w:t>
            </w:r>
          </w:p>
        </w:tc>
      </w:tr>
      <w:tr w:rsidR="00B54D51" w:rsidRPr="00037AD4" w14:paraId="7437A110" w14:textId="77777777" w:rsidTr="00401C67">
        <w:trPr>
          <w:trHeight w:val="320"/>
        </w:trPr>
        <w:tc>
          <w:tcPr>
            <w:tcW w:w="0" w:type="auto"/>
            <w:noWrap/>
            <w:hideMark/>
          </w:tcPr>
          <w:p w14:paraId="4B73E70F" w14:textId="77777777" w:rsidR="00B54D51" w:rsidRPr="00037AD4" w:rsidRDefault="00B54D51" w:rsidP="00401C67">
            <w:pPr>
              <w:rPr>
                <w:rFonts w:ascii="Calibri" w:hAnsi="Calibri" w:cs="Calibri"/>
                <w:color w:val="000000"/>
              </w:rPr>
            </w:pPr>
            <w:r w:rsidRPr="00037AD4">
              <w:rPr>
                <w:rFonts w:cstheme="minorHAnsi"/>
              </w:rPr>
              <w:t xml:space="preserve">From level two proxy  </w:t>
            </w:r>
          </w:p>
        </w:tc>
        <w:tc>
          <w:tcPr>
            <w:tcW w:w="0" w:type="auto"/>
            <w:noWrap/>
            <w:hideMark/>
          </w:tcPr>
          <w:p w14:paraId="38740AE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0.122</w:t>
            </w:r>
          </w:p>
        </w:tc>
        <w:tc>
          <w:tcPr>
            <w:tcW w:w="0" w:type="auto"/>
            <w:noWrap/>
            <w:hideMark/>
          </w:tcPr>
          <w:p w14:paraId="56D2512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0.016</w:t>
            </w:r>
          </w:p>
        </w:tc>
        <w:tc>
          <w:tcPr>
            <w:tcW w:w="0" w:type="auto"/>
            <w:noWrap/>
            <w:hideMark/>
          </w:tcPr>
          <w:p w14:paraId="5D80F35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7.690</w:t>
            </w:r>
          </w:p>
        </w:tc>
        <w:tc>
          <w:tcPr>
            <w:tcW w:w="0" w:type="auto"/>
            <w:noWrap/>
            <w:hideMark/>
          </w:tcPr>
          <w:p w14:paraId="3704B2E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4A4F9D9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0.091</w:t>
            </w:r>
          </w:p>
        </w:tc>
        <w:tc>
          <w:tcPr>
            <w:tcW w:w="0" w:type="auto"/>
            <w:noWrap/>
            <w:hideMark/>
          </w:tcPr>
          <w:p w14:paraId="6B5D454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0.153</w:t>
            </w:r>
          </w:p>
        </w:tc>
      </w:tr>
      <w:tr w:rsidR="00B54D51" w:rsidRPr="00037AD4" w14:paraId="4ACCF3AE" w14:textId="77777777" w:rsidTr="00401C67">
        <w:trPr>
          <w:trHeight w:val="320"/>
        </w:trPr>
        <w:tc>
          <w:tcPr>
            <w:tcW w:w="0" w:type="auto"/>
            <w:noWrap/>
            <w:hideMark/>
          </w:tcPr>
          <w:p w14:paraId="152ACECA" w14:textId="77777777" w:rsidR="00B54D51" w:rsidRPr="00037AD4" w:rsidRDefault="00B54D51" w:rsidP="00401C67">
            <w:pPr>
              <w:rPr>
                <w:rFonts w:ascii="Calibri" w:hAnsi="Calibri" w:cs="Calibri"/>
                <w:color w:val="000000"/>
              </w:rPr>
            </w:pPr>
            <w:r w:rsidRPr="00037AD4">
              <w:rPr>
                <w:rFonts w:cstheme="minorHAnsi"/>
              </w:rPr>
              <w:t xml:space="preserve">From level three proxy  </w:t>
            </w:r>
          </w:p>
        </w:tc>
        <w:tc>
          <w:tcPr>
            <w:tcW w:w="0" w:type="auto"/>
            <w:noWrap/>
            <w:hideMark/>
          </w:tcPr>
          <w:p w14:paraId="264BC51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0.189</w:t>
            </w:r>
          </w:p>
        </w:tc>
        <w:tc>
          <w:tcPr>
            <w:tcW w:w="0" w:type="auto"/>
            <w:noWrap/>
            <w:hideMark/>
          </w:tcPr>
          <w:p w14:paraId="43D5F06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0.021</w:t>
            </w:r>
          </w:p>
        </w:tc>
        <w:tc>
          <w:tcPr>
            <w:tcW w:w="0" w:type="auto"/>
            <w:noWrap/>
            <w:hideMark/>
          </w:tcPr>
          <w:p w14:paraId="01749DD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8.910</w:t>
            </w:r>
          </w:p>
        </w:tc>
        <w:tc>
          <w:tcPr>
            <w:tcW w:w="0" w:type="auto"/>
            <w:noWrap/>
            <w:hideMark/>
          </w:tcPr>
          <w:p w14:paraId="71D76B8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7045565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0.148</w:t>
            </w:r>
          </w:p>
        </w:tc>
        <w:tc>
          <w:tcPr>
            <w:tcW w:w="0" w:type="auto"/>
            <w:noWrap/>
            <w:hideMark/>
          </w:tcPr>
          <w:p w14:paraId="2F0E187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0.231</w:t>
            </w:r>
          </w:p>
        </w:tc>
      </w:tr>
      <w:tr w:rsidR="00B54D51" w:rsidRPr="00037AD4" w14:paraId="3C9B6617" w14:textId="77777777" w:rsidTr="00401C67">
        <w:trPr>
          <w:trHeight w:val="320"/>
        </w:trPr>
        <w:tc>
          <w:tcPr>
            <w:tcW w:w="0" w:type="auto"/>
            <w:noWrap/>
            <w:hideMark/>
          </w:tcPr>
          <w:p w14:paraId="33AD3660" w14:textId="77777777" w:rsidR="00B54D51" w:rsidRPr="00037AD4" w:rsidRDefault="00B54D51" w:rsidP="00401C67">
            <w:pPr>
              <w:rPr>
                <w:rFonts w:ascii="Calibri" w:hAnsi="Calibri" w:cs="Calibri"/>
                <w:color w:val="000000"/>
              </w:rPr>
            </w:pPr>
            <w:r w:rsidRPr="00037AD4">
              <w:rPr>
                <w:rFonts w:cstheme="minorHAnsi"/>
              </w:rPr>
              <w:t xml:space="preserve">From level four proxy  </w:t>
            </w:r>
          </w:p>
        </w:tc>
        <w:tc>
          <w:tcPr>
            <w:tcW w:w="0" w:type="auto"/>
            <w:noWrap/>
            <w:hideMark/>
          </w:tcPr>
          <w:p w14:paraId="170BC46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0.164</w:t>
            </w:r>
          </w:p>
        </w:tc>
        <w:tc>
          <w:tcPr>
            <w:tcW w:w="0" w:type="auto"/>
            <w:noWrap/>
            <w:hideMark/>
          </w:tcPr>
          <w:p w14:paraId="3979D6B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0.033</w:t>
            </w:r>
          </w:p>
        </w:tc>
        <w:tc>
          <w:tcPr>
            <w:tcW w:w="0" w:type="auto"/>
            <w:noWrap/>
            <w:hideMark/>
          </w:tcPr>
          <w:p w14:paraId="122E1E2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4.940</w:t>
            </w:r>
          </w:p>
        </w:tc>
        <w:tc>
          <w:tcPr>
            <w:tcW w:w="0" w:type="auto"/>
            <w:noWrap/>
            <w:hideMark/>
          </w:tcPr>
          <w:p w14:paraId="0E471CC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5926CB2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0.099</w:t>
            </w:r>
          </w:p>
        </w:tc>
        <w:tc>
          <w:tcPr>
            <w:tcW w:w="0" w:type="auto"/>
            <w:noWrap/>
            <w:hideMark/>
          </w:tcPr>
          <w:p w14:paraId="404BF24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0.229</w:t>
            </w:r>
          </w:p>
        </w:tc>
      </w:tr>
      <w:tr w:rsidR="00B54D51" w:rsidRPr="00037AD4" w14:paraId="28410ABC" w14:textId="77777777" w:rsidTr="00401C67">
        <w:trPr>
          <w:trHeight w:val="320"/>
        </w:trPr>
        <w:tc>
          <w:tcPr>
            <w:tcW w:w="0" w:type="auto"/>
            <w:noWrap/>
            <w:hideMark/>
          </w:tcPr>
          <w:p w14:paraId="30A84C56" w14:textId="77777777" w:rsidR="00B54D51" w:rsidRPr="00037AD4" w:rsidRDefault="00B54D51" w:rsidP="00401C67">
            <w:pPr>
              <w:rPr>
                <w:rFonts w:ascii="Calibri" w:hAnsi="Calibri" w:cs="Calibri"/>
                <w:color w:val="000000"/>
              </w:rPr>
            </w:pPr>
            <w:r w:rsidRPr="00037AD4">
              <w:rPr>
                <w:rFonts w:cstheme="minorHAnsi"/>
              </w:rPr>
              <w:t xml:space="preserve">From level five proxy  </w:t>
            </w:r>
          </w:p>
        </w:tc>
        <w:tc>
          <w:tcPr>
            <w:tcW w:w="0" w:type="auto"/>
            <w:noWrap/>
            <w:hideMark/>
          </w:tcPr>
          <w:p w14:paraId="438539C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0.308</w:t>
            </w:r>
          </w:p>
        </w:tc>
        <w:tc>
          <w:tcPr>
            <w:tcW w:w="0" w:type="auto"/>
            <w:noWrap/>
            <w:hideMark/>
          </w:tcPr>
          <w:p w14:paraId="6905C25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0.047</w:t>
            </w:r>
          </w:p>
        </w:tc>
        <w:tc>
          <w:tcPr>
            <w:tcW w:w="0" w:type="auto"/>
            <w:noWrap/>
            <w:hideMark/>
          </w:tcPr>
          <w:p w14:paraId="1CFE191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6.490</w:t>
            </w:r>
          </w:p>
        </w:tc>
        <w:tc>
          <w:tcPr>
            <w:tcW w:w="0" w:type="auto"/>
            <w:noWrap/>
            <w:hideMark/>
          </w:tcPr>
          <w:p w14:paraId="5B146C4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3989D39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0.215</w:t>
            </w:r>
          </w:p>
        </w:tc>
        <w:tc>
          <w:tcPr>
            <w:tcW w:w="0" w:type="auto"/>
            <w:noWrap/>
            <w:hideMark/>
          </w:tcPr>
          <w:p w14:paraId="77879A8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0.401</w:t>
            </w:r>
          </w:p>
        </w:tc>
      </w:tr>
      <w:tr w:rsidR="00B54D51" w:rsidRPr="00037AD4" w14:paraId="23B22B03" w14:textId="77777777" w:rsidTr="00401C67">
        <w:trPr>
          <w:trHeight w:val="320"/>
        </w:trPr>
        <w:tc>
          <w:tcPr>
            <w:tcW w:w="0" w:type="auto"/>
            <w:gridSpan w:val="7"/>
            <w:shd w:val="clear" w:color="auto" w:fill="E7E6E6" w:themeFill="background2"/>
            <w:noWrap/>
          </w:tcPr>
          <w:p w14:paraId="62459D58" w14:textId="77777777" w:rsidR="00B54D51" w:rsidRPr="00037AD4" w:rsidRDefault="00B54D51" w:rsidP="00401C67">
            <w:pPr>
              <w:rPr>
                <w:rFonts w:ascii="Calibri" w:hAnsi="Calibri" w:cs="Calibri"/>
                <w:color w:val="000000"/>
              </w:rPr>
            </w:pPr>
            <w:r w:rsidRPr="00037AD4">
              <w:rPr>
                <w:rFonts w:cstheme="minorHAnsi"/>
              </w:rPr>
              <w:t>Predicted PwD: level four</w:t>
            </w:r>
          </w:p>
        </w:tc>
      </w:tr>
      <w:tr w:rsidR="00B54D51" w:rsidRPr="00037AD4" w14:paraId="675A9B32" w14:textId="77777777" w:rsidTr="00401C67">
        <w:trPr>
          <w:trHeight w:val="320"/>
        </w:trPr>
        <w:tc>
          <w:tcPr>
            <w:tcW w:w="0" w:type="auto"/>
            <w:noWrap/>
            <w:hideMark/>
          </w:tcPr>
          <w:p w14:paraId="0528D71A" w14:textId="77777777" w:rsidR="00B54D51" w:rsidRPr="00037AD4" w:rsidRDefault="00B54D51" w:rsidP="00401C67">
            <w:pPr>
              <w:rPr>
                <w:rFonts w:ascii="Calibri" w:hAnsi="Calibri" w:cs="Calibri"/>
                <w:color w:val="000000"/>
              </w:rPr>
            </w:pPr>
            <w:r w:rsidRPr="00037AD4">
              <w:rPr>
                <w:rFonts w:cstheme="minorHAnsi"/>
              </w:rPr>
              <w:t xml:space="preserve">From level one proxy  </w:t>
            </w:r>
          </w:p>
        </w:tc>
        <w:tc>
          <w:tcPr>
            <w:tcW w:w="0" w:type="auto"/>
            <w:noWrap/>
            <w:hideMark/>
          </w:tcPr>
          <w:p w14:paraId="0AD0BF1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0.008</w:t>
            </w:r>
          </w:p>
        </w:tc>
        <w:tc>
          <w:tcPr>
            <w:tcW w:w="0" w:type="auto"/>
            <w:noWrap/>
            <w:hideMark/>
          </w:tcPr>
          <w:p w14:paraId="053F832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0.002</w:t>
            </w:r>
          </w:p>
        </w:tc>
        <w:tc>
          <w:tcPr>
            <w:tcW w:w="0" w:type="auto"/>
            <w:noWrap/>
            <w:hideMark/>
          </w:tcPr>
          <w:p w14:paraId="7096AEE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3.320</w:t>
            </w:r>
          </w:p>
        </w:tc>
        <w:tc>
          <w:tcPr>
            <w:tcW w:w="0" w:type="auto"/>
            <w:noWrap/>
            <w:hideMark/>
          </w:tcPr>
          <w:p w14:paraId="5FBFCD6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c>
          <w:tcPr>
            <w:tcW w:w="0" w:type="auto"/>
            <w:noWrap/>
            <w:hideMark/>
          </w:tcPr>
          <w:p w14:paraId="5C38806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0.003</w:t>
            </w:r>
          </w:p>
        </w:tc>
        <w:tc>
          <w:tcPr>
            <w:tcW w:w="0" w:type="auto"/>
            <w:noWrap/>
            <w:hideMark/>
          </w:tcPr>
          <w:p w14:paraId="7EA3A76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0.013</w:t>
            </w:r>
          </w:p>
        </w:tc>
      </w:tr>
      <w:tr w:rsidR="00B54D51" w:rsidRPr="00037AD4" w14:paraId="1036CB6C" w14:textId="77777777" w:rsidTr="00401C67">
        <w:trPr>
          <w:trHeight w:val="320"/>
        </w:trPr>
        <w:tc>
          <w:tcPr>
            <w:tcW w:w="0" w:type="auto"/>
            <w:noWrap/>
            <w:hideMark/>
          </w:tcPr>
          <w:p w14:paraId="1A00B997" w14:textId="77777777" w:rsidR="00B54D51" w:rsidRPr="00037AD4" w:rsidRDefault="00B54D51" w:rsidP="00401C67">
            <w:pPr>
              <w:rPr>
                <w:rFonts w:ascii="Calibri" w:hAnsi="Calibri" w:cs="Calibri"/>
                <w:color w:val="000000"/>
              </w:rPr>
            </w:pPr>
            <w:r w:rsidRPr="00037AD4">
              <w:rPr>
                <w:rFonts w:cstheme="minorHAnsi"/>
              </w:rPr>
              <w:t xml:space="preserve">From level two proxy  </w:t>
            </w:r>
          </w:p>
        </w:tc>
        <w:tc>
          <w:tcPr>
            <w:tcW w:w="0" w:type="auto"/>
            <w:noWrap/>
            <w:hideMark/>
          </w:tcPr>
          <w:p w14:paraId="28DC82F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0.020</w:t>
            </w:r>
          </w:p>
        </w:tc>
        <w:tc>
          <w:tcPr>
            <w:tcW w:w="0" w:type="auto"/>
            <w:noWrap/>
            <w:hideMark/>
          </w:tcPr>
          <w:p w14:paraId="2E98FE8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0.005</w:t>
            </w:r>
          </w:p>
        </w:tc>
        <w:tc>
          <w:tcPr>
            <w:tcW w:w="0" w:type="auto"/>
            <w:noWrap/>
            <w:hideMark/>
          </w:tcPr>
          <w:p w14:paraId="3E69F8E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3.840</w:t>
            </w:r>
          </w:p>
        </w:tc>
        <w:tc>
          <w:tcPr>
            <w:tcW w:w="0" w:type="auto"/>
            <w:noWrap/>
            <w:hideMark/>
          </w:tcPr>
          <w:p w14:paraId="027EB10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515A1DB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0.010</w:t>
            </w:r>
          </w:p>
        </w:tc>
        <w:tc>
          <w:tcPr>
            <w:tcW w:w="0" w:type="auto"/>
            <w:noWrap/>
            <w:hideMark/>
          </w:tcPr>
          <w:p w14:paraId="09334DA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0.030</w:t>
            </w:r>
          </w:p>
        </w:tc>
      </w:tr>
      <w:tr w:rsidR="00B54D51" w:rsidRPr="00037AD4" w14:paraId="6354CD64" w14:textId="77777777" w:rsidTr="00401C67">
        <w:trPr>
          <w:trHeight w:val="320"/>
        </w:trPr>
        <w:tc>
          <w:tcPr>
            <w:tcW w:w="0" w:type="auto"/>
            <w:noWrap/>
            <w:hideMark/>
          </w:tcPr>
          <w:p w14:paraId="2126BA37" w14:textId="77777777" w:rsidR="00B54D51" w:rsidRPr="00037AD4" w:rsidRDefault="00B54D51" w:rsidP="00401C67">
            <w:pPr>
              <w:rPr>
                <w:rFonts w:ascii="Calibri" w:hAnsi="Calibri" w:cs="Calibri"/>
                <w:color w:val="000000"/>
              </w:rPr>
            </w:pPr>
            <w:r w:rsidRPr="00037AD4">
              <w:rPr>
                <w:rFonts w:cstheme="minorHAnsi"/>
              </w:rPr>
              <w:t xml:space="preserve">From level three proxy  </w:t>
            </w:r>
          </w:p>
        </w:tc>
        <w:tc>
          <w:tcPr>
            <w:tcW w:w="0" w:type="auto"/>
            <w:noWrap/>
            <w:hideMark/>
          </w:tcPr>
          <w:p w14:paraId="65C28A7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0.042</w:t>
            </w:r>
          </w:p>
        </w:tc>
        <w:tc>
          <w:tcPr>
            <w:tcW w:w="0" w:type="auto"/>
            <w:noWrap/>
            <w:hideMark/>
          </w:tcPr>
          <w:p w14:paraId="7348250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0.010</w:t>
            </w:r>
          </w:p>
        </w:tc>
        <w:tc>
          <w:tcPr>
            <w:tcW w:w="0" w:type="auto"/>
            <w:noWrap/>
            <w:hideMark/>
          </w:tcPr>
          <w:p w14:paraId="31C1067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4.120</w:t>
            </w:r>
          </w:p>
        </w:tc>
        <w:tc>
          <w:tcPr>
            <w:tcW w:w="0" w:type="auto"/>
            <w:noWrap/>
            <w:hideMark/>
          </w:tcPr>
          <w:p w14:paraId="5521A80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0737A8C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0.022</w:t>
            </w:r>
          </w:p>
        </w:tc>
        <w:tc>
          <w:tcPr>
            <w:tcW w:w="0" w:type="auto"/>
            <w:noWrap/>
            <w:hideMark/>
          </w:tcPr>
          <w:p w14:paraId="7D528F6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0.062</w:t>
            </w:r>
          </w:p>
        </w:tc>
      </w:tr>
      <w:tr w:rsidR="00B54D51" w:rsidRPr="00037AD4" w14:paraId="40B51867" w14:textId="77777777" w:rsidTr="00401C67">
        <w:trPr>
          <w:trHeight w:val="320"/>
        </w:trPr>
        <w:tc>
          <w:tcPr>
            <w:tcW w:w="0" w:type="auto"/>
            <w:noWrap/>
            <w:hideMark/>
          </w:tcPr>
          <w:p w14:paraId="47586725" w14:textId="77777777" w:rsidR="00B54D51" w:rsidRPr="00037AD4" w:rsidRDefault="00B54D51" w:rsidP="00401C67">
            <w:pPr>
              <w:rPr>
                <w:rFonts w:ascii="Calibri" w:hAnsi="Calibri" w:cs="Calibri"/>
                <w:color w:val="000000"/>
              </w:rPr>
            </w:pPr>
            <w:r w:rsidRPr="00037AD4">
              <w:rPr>
                <w:rFonts w:cstheme="minorHAnsi"/>
              </w:rPr>
              <w:t xml:space="preserve">From level four proxy  </w:t>
            </w:r>
          </w:p>
        </w:tc>
        <w:tc>
          <w:tcPr>
            <w:tcW w:w="0" w:type="auto"/>
            <w:noWrap/>
            <w:hideMark/>
          </w:tcPr>
          <w:p w14:paraId="2579CCE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0.033</w:t>
            </w:r>
          </w:p>
        </w:tc>
        <w:tc>
          <w:tcPr>
            <w:tcW w:w="0" w:type="auto"/>
            <w:noWrap/>
            <w:hideMark/>
          </w:tcPr>
          <w:p w14:paraId="4CB6D1A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0.012</w:t>
            </w:r>
          </w:p>
        </w:tc>
        <w:tc>
          <w:tcPr>
            <w:tcW w:w="0" w:type="auto"/>
            <w:noWrap/>
            <w:hideMark/>
          </w:tcPr>
          <w:p w14:paraId="1C95A05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2.660</w:t>
            </w:r>
          </w:p>
        </w:tc>
        <w:tc>
          <w:tcPr>
            <w:tcW w:w="0" w:type="auto"/>
            <w:noWrap/>
            <w:hideMark/>
          </w:tcPr>
          <w:p w14:paraId="333473E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0.008</w:t>
            </w:r>
          </w:p>
        </w:tc>
        <w:tc>
          <w:tcPr>
            <w:tcW w:w="0" w:type="auto"/>
            <w:noWrap/>
            <w:hideMark/>
          </w:tcPr>
          <w:p w14:paraId="7E4E75D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0.009</w:t>
            </w:r>
          </w:p>
        </w:tc>
        <w:tc>
          <w:tcPr>
            <w:tcW w:w="0" w:type="auto"/>
            <w:noWrap/>
            <w:hideMark/>
          </w:tcPr>
          <w:p w14:paraId="230CE4E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0.057</w:t>
            </w:r>
          </w:p>
        </w:tc>
      </w:tr>
      <w:tr w:rsidR="00B54D51" w:rsidRPr="00037AD4" w14:paraId="2CEA35A6" w14:textId="77777777" w:rsidTr="00401C67">
        <w:trPr>
          <w:trHeight w:val="320"/>
        </w:trPr>
        <w:tc>
          <w:tcPr>
            <w:tcW w:w="0" w:type="auto"/>
            <w:noWrap/>
            <w:hideMark/>
          </w:tcPr>
          <w:p w14:paraId="7E75F5A4" w14:textId="77777777" w:rsidR="00B54D51" w:rsidRPr="00037AD4" w:rsidRDefault="00B54D51" w:rsidP="00401C67">
            <w:pPr>
              <w:rPr>
                <w:rFonts w:ascii="Calibri" w:hAnsi="Calibri" w:cs="Calibri"/>
                <w:color w:val="000000"/>
              </w:rPr>
            </w:pPr>
            <w:r w:rsidRPr="00037AD4">
              <w:rPr>
                <w:rFonts w:cstheme="minorHAnsi"/>
              </w:rPr>
              <w:t xml:space="preserve">From level five proxy  </w:t>
            </w:r>
          </w:p>
        </w:tc>
        <w:tc>
          <w:tcPr>
            <w:tcW w:w="0" w:type="auto"/>
            <w:noWrap/>
            <w:hideMark/>
          </w:tcPr>
          <w:p w14:paraId="0E5D86B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0.112</w:t>
            </w:r>
          </w:p>
        </w:tc>
        <w:tc>
          <w:tcPr>
            <w:tcW w:w="0" w:type="auto"/>
            <w:noWrap/>
            <w:hideMark/>
          </w:tcPr>
          <w:p w14:paraId="350526B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0.042</w:t>
            </w:r>
          </w:p>
        </w:tc>
        <w:tc>
          <w:tcPr>
            <w:tcW w:w="0" w:type="auto"/>
            <w:noWrap/>
            <w:hideMark/>
          </w:tcPr>
          <w:p w14:paraId="21AB225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2.670</w:t>
            </w:r>
          </w:p>
        </w:tc>
        <w:tc>
          <w:tcPr>
            <w:tcW w:w="0" w:type="auto"/>
            <w:noWrap/>
            <w:hideMark/>
          </w:tcPr>
          <w:p w14:paraId="3D50E74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0.008</w:t>
            </w:r>
          </w:p>
        </w:tc>
        <w:tc>
          <w:tcPr>
            <w:tcW w:w="0" w:type="auto"/>
            <w:noWrap/>
            <w:hideMark/>
          </w:tcPr>
          <w:p w14:paraId="63C564C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0.030</w:t>
            </w:r>
          </w:p>
        </w:tc>
        <w:tc>
          <w:tcPr>
            <w:tcW w:w="0" w:type="auto"/>
            <w:noWrap/>
            <w:hideMark/>
          </w:tcPr>
          <w:p w14:paraId="26B9471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0.195</w:t>
            </w:r>
          </w:p>
        </w:tc>
      </w:tr>
      <w:tr w:rsidR="00B54D51" w:rsidRPr="00037AD4" w14:paraId="44CD0123" w14:textId="77777777" w:rsidTr="00401C67">
        <w:trPr>
          <w:trHeight w:val="320"/>
        </w:trPr>
        <w:tc>
          <w:tcPr>
            <w:tcW w:w="0" w:type="auto"/>
            <w:gridSpan w:val="7"/>
            <w:shd w:val="clear" w:color="auto" w:fill="E7E6E6" w:themeFill="background2"/>
            <w:noWrap/>
          </w:tcPr>
          <w:p w14:paraId="3018DC6D" w14:textId="77777777" w:rsidR="00B54D51" w:rsidRPr="00037AD4" w:rsidRDefault="00B54D51" w:rsidP="00401C67">
            <w:pPr>
              <w:rPr>
                <w:rFonts w:ascii="Calibri" w:hAnsi="Calibri" w:cs="Calibri"/>
                <w:color w:val="000000"/>
              </w:rPr>
            </w:pPr>
            <w:r w:rsidRPr="00037AD4">
              <w:rPr>
                <w:rFonts w:cstheme="minorHAnsi"/>
              </w:rPr>
              <w:t>Predicted PwD: level five</w:t>
            </w:r>
          </w:p>
        </w:tc>
      </w:tr>
      <w:tr w:rsidR="00B54D51" w:rsidRPr="00037AD4" w14:paraId="74C07E49" w14:textId="77777777" w:rsidTr="00401C67">
        <w:trPr>
          <w:trHeight w:val="320"/>
        </w:trPr>
        <w:tc>
          <w:tcPr>
            <w:tcW w:w="0" w:type="auto"/>
            <w:noWrap/>
            <w:hideMark/>
          </w:tcPr>
          <w:p w14:paraId="07B176C2" w14:textId="77777777" w:rsidR="00B54D51" w:rsidRPr="00037AD4" w:rsidRDefault="00B54D51" w:rsidP="00401C67">
            <w:pPr>
              <w:rPr>
                <w:rFonts w:ascii="Calibri" w:hAnsi="Calibri" w:cs="Calibri"/>
                <w:color w:val="000000"/>
              </w:rPr>
            </w:pPr>
            <w:r w:rsidRPr="00037AD4">
              <w:rPr>
                <w:rFonts w:cstheme="minorHAnsi"/>
              </w:rPr>
              <w:t xml:space="preserve">From level one proxy  </w:t>
            </w:r>
          </w:p>
        </w:tc>
        <w:tc>
          <w:tcPr>
            <w:tcW w:w="0" w:type="auto"/>
            <w:noWrap/>
            <w:hideMark/>
          </w:tcPr>
          <w:p w14:paraId="3E25983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c>
          <w:tcPr>
            <w:tcW w:w="0" w:type="auto"/>
            <w:noWrap/>
            <w:hideMark/>
          </w:tcPr>
          <w:p w14:paraId="434C4D9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c>
          <w:tcPr>
            <w:tcW w:w="0" w:type="auto"/>
            <w:noWrap/>
            <w:hideMark/>
          </w:tcPr>
          <w:p w14:paraId="614A7A9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1.380</w:t>
            </w:r>
          </w:p>
        </w:tc>
        <w:tc>
          <w:tcPr>
            <w:tcW w:w="0" w:type="auto"/>
            <w:noWrap/>
            <w:hideMark/>
          </w:tcPr>
          <w:p w14:paraId="014EDF8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0.169</w:t>
            </w:r>
          </w:p>
        </w:tc>
        <w:tc>
          <w:tcPr>
            <w:tcW w:w="0" w:type="auto"/>
            <w:noWrap/>
            <w:hideMark/>
          </w:tcPr>
          <w:p w14:paraId="49E23FF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07BCE59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0.002</w:t>
            </w:r>
          </w:p>
        </w:tc>
      </w:tr>
      <w:tr w:rsidR="00B54D51" w:rsidRPr="00037AD4" w14:paraId="7F11D5C1" w14:textId="77777777" w:rsidTr="00401C67">
        <w:trPr>
          <w:trHeight w:val="320"/>
        </w:trPr>
        <w:tc>
          <w:tcPr>
            <w:tcW w:w="0" w:type="auto"/>
            <w:noWrap/>
            <w:hideMark/>
          </w:tcPr>
          <w:p w14:paraId="17B9ABB6" w14:textId="77777777" w:rsidR="00B54D51" w:rsidRPr="00037AD4" w:rsidRDefault="00B54D51" w:rsidP="00401C67">
            <w:pPr>
              <w:rPr>
                <w:rFonts w:ascii="Calibri" w:hAnsi="Calibri" w:cs="Calibri"/>
                <w:color w:val="000000"/>
              </w:rPr>
            </w:pPr>
            <w:r w:rsidRPr="00037AD4">
              <w:rPr>
                <w:rFonts w:cstheme="minorHAnsi"/>
              </w:rPr>
              <w:t xml:space="preserve">From level two proxy  </w:t>
            </w:r>
          </w:p>
        </w:tc>
        <w:tc>
          <w:tcPr>
            <w:tcW w:w="0" w:type="auto"/>
            <w:noWrap/>
            <w:hideMark/>
          </w:tcPr>
          <w:p w14:paraId="48FD1BE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0.002</w:t>
            </w:r>
          </w:p>
        </w:tc>
        <w:tc>
          <w:tcPr>
            <w:tcW w:w="0" w:type="auto"/>
            <w:noWrap/>
            <w:hideMark/>
          </w:tcPr>
          <w:p w14:paraId="3123CB3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0.002</w:t>
            </w:r>
          </w:p>
        </w:tc>
        <w:tc>
          <w:tcPr>
            <w:tcW w:w="0" w:type="auto"/>
            <w:noWrap/>
            <w:hideMark/>
          </w:tcPr>
          <w:p w14:paraId="4537476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1.530</w:t>
            </w:r>
          </w:p>
        </w:tc>
        <w:tc>
          <w:tcPr>
            <w:tcW w:w="0" w:type="auto"/>
            <w:noWrap/>
            <w:hideMark/>
          </w:tcPr>
          <w:p w14:paraId="74BB3F7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0.125</w:t>
            </w:r>
          </w:p>
        </w:tc>
        <w:tc>
          <w:tcPr>
            <w:tcW w:w="0" w:type="auto"/>
            <w:noWrap/>
            <w:hideMark/>
          </w:tcPr>
          <w:p w14:paraId="4E7F8F0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c>
          <w:tcPr>
            <w:tcW w:w="0" w:type="auto"/>
            <w:noWrap/>
            <w:hideMark/>
          </w:tcPr>
          <w:p w14:paraId="0E9ED9A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0.005</w:t>
            </w:r>
          </w:p>
        </w:tc>
      </w:tr>
      <w:tr w:rsidR="00B54D51" w:rsidRPr="00037AD4" w14:paraId="5FFA9B95" w14:textId="77777777" w:rsidTr="00401C67">
        <w:trPr>
          <w:trHeight w:val="320"/>
        </w:trPr>
        <w:tc>
          <w:tcPr>
            <w:tcW w:w="0" w:type="auto"/>
            <w:noWrap/>
            <w:hideMark/>
          </w:tcPr>
          <w:p w14:paraId="6A423C61" w14:textId="77777777" w:rsidR="00B54D51" w:rsidRPr="00037AD4" w:rsidRDefault="00B54D51" w:rsidP="00401C67">
            <w:pPr>
              <w:rPr>
                <w:rFonts w:ascii="Calibri" w:hAnsi="Calibri" w:cs="Calibri"/>
                <w:color w:val="000000"/>
              </w:rPr>
            </w:pPr>
            <w:r w:rsidRPr="00037AD4">
              <w:rPr>
                <w:rFonts w:cstheme="minorHAnsi"/>
              </w:rPr>
              <w:t xml:space="preserve">From level three proxy  </w:t>
            </w:r>
          </w:p>
        </w:tc>
        <w:tc>
          <w:tcPr>
            <w:tcW w:w="0" w:type="auto"/>
            <w:noWrap/>
            <w:hideMark/>
          </w:tcPr>
          <w:p w14:paraId="0A134B6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0.007</w:t>
            </w:r>
          </w:p>
        </w:tc>
        <w:tc>
          <w:tcPr>
            <w:tcW w:w="0" w:type="auto"/>
            <w:noWrap/>
            <w:hideMark/>
          </w:tcPr>
          <w:p w14:paraId="2140730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0.004</w:t>
            </w:r>
          </w:p>
        </w:tc>
        <w:tc>
          <w:tcPr>
            <w:tcW w:w="0" w:type="auto"/>
            <w:noWrap/>
            <w:hideMark/>
          </w:tcPr>
          <w:p w14:paraId="408AA23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1.78</w:t>
            </w:r>
          </w:p>
        </w:tc>
        <w:tc>
          <w:tcPr>
            <w:tcW w:w="0" w:type="auto"/>
            <w:noWrap/>
            <w:hideMark/>
          </w:tcPr>
          <w:p w14:paraId="217F33A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0.074</w:t>
            </w:r>
          </w:p>
        </w:tc>
        <w:tc>
          <w:tcPr>
            <w:tcW w:w="0" w:type="auto"/>
            <w:noWrap/>
            <w:hideMark/>
          </w:tcPr>
          <w:p w14:paraId="27ECCB8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c>
          <w:tcPr>
            <w:tcW w:w="0" w:type="auto"/>
            <w:noWrap/>
            <w:hideMark/>
          </w:tcPr>
          <w:p w14:paraId="4248052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0.014</w:t>
            </w:r>
          </w:p>
        </w:tc>
      </w:tr>
      <w:tr w:rsidR="00B54D51" w:rsidRPr="00037AD4" w14:paraId="29D951E9" w14:textId="77777777" w:rsidTr="00401C67">
        <w:trPr>
          <w:trHeight w:val="90"/>
        </w:trPr>
        <w:tc>
          <w:tcPr>
            <w:tcW w:w="0" w:type="auto"/>
            <w:noWrap/>
            <w:hideMark/>
          </w:tcPr>
          <w:p w14:paraId="2C2F8AFB" w14:textId="77777777" w:rsidR="00B54D51" w:rsidRPr="00037AD4" w:rsidRDefault="00B54D51" w:rsidP="00401C67">
            <w:pPr>
              <w:rPr>
                <w:rFonts w:ascii="Calibri" w:hAnsi="Calibri" w:cs="Calibri"/>
                <w:color w:val="000000"/>
              </w:rPr>
            </w:pPr>
            <w:r w:rsidRPr="00037AD4">
              <w:rPr>
                <w:rFonts w:cstheme="minorHAnsi"/>
              </w:rPr>
              <w:t xml:space="preserve">From level four proxy  </w:t>
            </w:r>
          </w:p>
        </w:tc>
        <w:tc>
          <w:tcPr>
            <w:tcW w:w="0" w:type="auto"/>
            <w:noWrap/>
            <w:hideMark/>
          </w:tcPr>
          <w:p w14:paraId="36F38F9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0.005</w:t>
            </w:r>
          </w:p>
        </w:tc>
        <w:tc>
          <w:tcPr>
            <w:tcW w:w="0" w:type="auto"/>
            <w:noWrap/>
            <w:hideMark/>
          </w:tcPr>
          <w:p w14:paraId="38D81D2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0.003</w:t>
            </w:r>
          </w:p>
        </w:tc>
        <w:tc>
          <w:tcPr>
            <w:tcW w:w="0" w:type="auto"/>
            <w:noWrap/>
            <w:hideMark/>
          </w:tcPr>
          <w:p w14:paraId="55E3025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1.4</w:t>
            </w:r>
          </w:p>
        </w:tc>
        <w:tc>
          <w:tcPr>
            <w:tcW w:w="0" w:type="auto"/>
            <w:noWrap/>
            <w:hideMark/>
          </w:tcPr>
          <w:p w14:paraId="00DE6F2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0.161</w:t>
            </w:r>
          </w:p>
        </w:tc>
        <w:tc>
          <w:tcPr>
            <w:tcW w:w="0" w:type="auto"/>
            <w:noWrap/>
            <w:hideMark/>
          </w:tcPr>
          <w:p w14:paraId="705BA61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-0.002</w:t>
            </w:r>
          </w:p>
        </w:tc>
        <w:tc>
          <w:tcPr>
            <w:tcW w:w="0" w:type="auto"/>
            <w:noWrap/>
            <w:hideMark/>
          </w:tcPr>
          <w:p w14:paraId="0700195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0.011</w:t>
            </w:r>
          </w:p>
        </w:tc>
      </w:tr>
      <w:tr w:rsidR="00B54D51" w:rsidRPr="00037AD4" w14:paraId="200BDE9A" w14:textId="77777777" w:rsidTr="00401C67">
        <w:trPr>
          <w:trHeight w:val="320"/>
        </w:trPr>
        <w:tc>
          <w:tcPr>
            <w:tcW w:w="0" w:type="auto"/>
            <w:noWrap/>
            <w:hideMark/>
          </w:tcPr>
          <w:p w14:paraId="112824AD" w14:textId="77777777" w:rsidR="00B54D51" w:rsidRPr="00037AD4" w:rsidRDefault="00B54D51" w:rsidP="00401C67">
            <w:pPr>
              <w:rPr>
                <w:rFonts w:ascii="Calibri" w:hAnsi="Calibri" w:cs="Calibri"/>
                <w:color w:val="000000"/>
              </w:rPr>
            </w:pPr>
            <w:r w:rsidRPr="00037AD4">
              <w:rPr>
                <w:rFonts w:cstheme="minorHAnsi"/>
              </w:rPr>
              <w:t xml:space="preserve">From level five proxy  </w:t>
            </w:r>
          </w:p>
        </w:tc>
        <w:tc>
          <w:tcPr>
            <w:tcW w:w="0" w:type="auto"/>
            <w:noWrap/>
            <w:hideMark/>
          </w:tcPr>
          <w:p w14:paraId="4C13A9D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0.030</w:t>
            </w:r>
          </w:p>
        </w:tc>
        <w:tc>
          <w:tcPr>
            <w:tcW w:w="0" w:type="auto"/>
            <w:noWrap/>
            <w:hideMark/>
          </w:tcPr>
          <w:p w14:paraId="296737E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0.021</w:t>
            </w:r>
          </w:p>
        </w:tc>
        <w:tc>
          <w:tcPr>
            <w:tcW w:w="0" w:type="auto"/>
            <w:noWrap/>
            <w:hideMark/>
          </w:tcPr>
          <w:p w14:paraId="77D9805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1.41</w:t>
            </w:r>
          </w:p>
        </w:tc>
        <w:tc>
          <w:tcPr>
            <w:tcW w:w="0" w:type="auto"/>
            <w:noWrap/>
            <w:hideMark/>
          </w:tcPr>
          <w:p w14:paraId="6E1DBCD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0.157</w:t>
            </w:r>
          </w:p>
        </w:tc>
        <w:tc>
          <w:tcPr>
            <w:tcW w:w="0" w:type="auto"/>
            <w:noWrap/>
            <w:hideMark/>
          </w:tcPr>
          <w:p w14:paraId="05E223C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-0.011</w:t>
            </w:r>
          </w:p>
        </w:tc>
        <w:tc>
          <w:tcPr>
            <w:tcW w:w="0" w:type="auto"/>
            <w:noWrap/>
            <w:hideMark/>
          </w:tcPr>
          <w:p w14:paraId="4F84430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0.071</w:t>
            </w:r>
          </w:p>
        </w:tc>
      </w:tr>
    </w:tbl>
    <w:p w14:paraId="02676DE0" w14:textId="25E0E860" w:rsidR="00B54D51" w:rsidRDefault="00B54D51" w:rsidP="001D7ACE">
      <w:pPr>
        <w:rPr>
          <w:u w:val="single"/>
        </w:rPr>
      </w:pPr>
    </w:p>
    <w:p w14:paraId="403F73C8" w14:textId="5D498F61" w:rsidR="00830480" w:rsidRDefault="00830480" w:rsidP="001D7ACE">
      <w:pPr>
        <w:rPr>
          <w:u w:val="single"/>
        </w:rPr>
      </w:pPr>
    </w:p>
    <w:p w14:paraId="6A0E6044" w14:textId="448FFD59" w:rsidR="00830480" w:rsidRDefault="00830480" w:rsidP="001D7ACE">
      <w:pPr>
        <w:rPr>
          <w:u w:val="single"/>
        </w:rPr>
      </w:pPr>
    </w:p>
    <w:p w14:paraId="62F727B5" w14:textId="77777777" w:rsidR="00830480" w:rsidRPr="00037AD4" w:rsidRDefault="00830480" w:rsidP="001D7ACE">
      <w:pPr>
        <w:rPr>
          <w:u w:val="single"/>
        </w:rPr>
      </w:pPr>
    </w:p>
    <w:p w14:paraId="54EED921" w14:textId="77777777" w:rsidR="00B54D51" w:rsidRPr="00037AD4" w:rsidRDefault="00B54D51" w:rsidP="001D7ACE">
      <w:pPr>
        <w:rPr>
          <w:rFonts w:asciiTheme="minorHAnsi" w:hAnsiTheme="minorHAnsi" w:cstheme="minorHAnsi"/>
          <w:color w:val="000000" w:themeColor="text1"/>
          <w:u w:val="single"/>
        </w:rPr>
      </w:pPr>
      <w:r w:rsidRPr="00037AD4">
        <w:rPr>
          <w:rFonts w:asciiTheme="minorHAnsi" w:hAnsiTheme="minorHAnsi" w:cstheme="minorHAnsi"/>
          <w:color w:val="000000" w:themeColor="text1"/>
          <w:u w:val="single"/>
        </w:rPr>
        <w:lastRenderedPageBreak/>
        <w:t>Table A6.3s, Anxiety/depression dimension average marginal effects: EPIC</w:t>
      </w:r>
    </w:p>
    <w:p w14:paraId="6A0CAE04" w14:textId="77777777" w:rsidR="00B54D51" w:rsidRPr="00037AD4" w:rsidRDefault="00B54D51" w:rsidP="001D7ACE">
      <w:pPr>
        <w:rPr>
          <w:u w:val="single"/>
        </w:rPr>
      </w:pPr>
    </w:p>
    <w:tbl>
      <w:tblPr>
        <w:tblStyle w:val="TableGridLight"/>
        <w:tblW w:w="5000" w:type="pct"/>
        <w:tblLook w:val="04A0" w:firstRow="1" w:lastRow="0" w:firstColumn="1" w:lastColumn="0" w:noHBand="0" w:noVBand="1"/>
      </w:tblPr>
      <w:tblGrid>
        <w:gridCol w:w="1307"/>
        <w:gridCol w:w="2054"/>
        <w:gridCol w:w="1117"/>
        <w:gridCol w:w="715"/>
        <w:gridCol w:w="1274"/>
        <w:gridCol w:w="1274"/>
        <w:gridCol w:w="1275"/>
      </w:tblGrid>
      <w:tr w:rsidR="00B54D51" w:rsidRPr="00037AD4" w14:paraId="210D2591" w14:textId="77777777" w:rsidTr="00401C67">
        <w:trPr>
          <w:trHeight w:val="320"/>
        </w:trPr>
        <w:tc>
          <w:tcPr>
            <w:tcW w:w="732" w:type="pct"/>
            <w:noWrap/>
            <w:hideMark/>
          </w:tcPr>
          <w:p w14:paraId="037CB6EF" w14:textId="77777777" w:rsidR="00B54D51" w:rsidRPr="00037AD4" w:rsidRDefault="00B54D51" w:rsidP="00401C67">
            <w:pPr>
              <w:rPr>
                <w:sz w:val="20"/>
                <w:szCs w:val="20"/>
              </w:rPr>
            </w:pPr>
          </w:p>
        </w:tc>
        <w:tc>
          <w:tcPr>
            <w:tcW w:w="1146" w:type="pct"/>
            <w:noWrap/>
            <w:hideMark/>
          </w:tcPr>
          <w:p w14:paraId="62829C61"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dy/dx   </w:t>
            </w:r>
          </w:p>
        </w:tc>
        <w:tc>
          <w:tcPr>
            <w:tcW w:w="626" w:type="pct"/>
          </w:tcPr>
          <w:p w14:paraId="47B61FDC" w14:textId="77777777" w:rsidR="00B54D51" w:rsidRPr="00037AD4" w:rsidRDefault="00B54D51" w:rsidP="00401C67">
            <w:pPr>
              <w:rPr>
                <w:rFonts w:ascii="Calibri" w:hAnsi="Calibri" w:cs="Calibri"/>
                <w:color w:val="000000"/>
              </w:rPr>
            </w:pPr>
            <w:r w:rsidRPr="00037AD4">
              <w:rPr>
                <w:rFonts w:ascii="Calibri" w:hAnsi="Calibri" w:cs="Calibri"/>
                <w:color w:val="000000"/>
              </w:rPr>
              <w:t>std. err.</w:t>
            </w:r>
          </w:p>
        </w:tc>
        <w:tc>
          <w:tcPr>
            <w:tcW w:w="356" w:type="pct"/>
            <w:noWrap/>
            <w:hideMark/>
          </w:tcPr>
          <w:p w14:paraId="30F126F8" w14:textId="77777777" w:rsidR="00B54D51" w:rsidRPr="00037AD4" w:rsidRDefault="00B54D51" w:rsidP="00401C67">
            <w:pPr>
              <w:rPr>
                <w:rFonts w:ascii="Calibri" w:hAnsi="Calibri" w:cs="Calibri"/>
                <w:color w:val="000000"/>
              </w:rPr>
            </w:pPr>
            <w:r w:rsidRPr="00037AD4">
              <w:rPr>
                <w:rFonts w:ascii="Calibri" w:hAnsi="Calibri" w:cs="Calibri"/>
                <w:color w:val="000000"/>
              </w:rPr>
              <w:t>z</w:t>
            </w:r>
          </w:p>
        </w:tc>
        <w:tc>
          <w:tcPr>
            <w:tcW w:w="713" w:type="pct"/>
            <w:noWrap/>
            <w:hideMark/>
          </w:tcPr>
          <w:p w14:paraId="2E70CF16" w14:textId="77777777" w:rsidR="00B54D51" w:rsidRPr="00037AD4" w:rsidRDefault="00B54D51" w:rsidP="00401C67">
            <w:pPr>
              <w:rPr>
                <w:rFonts w:ascii="Calibri" w:hAnsi="Calibri" w:cs="Calibri"/>
                <w:color w:val="000000"/>
              </w:rPr>
            </w:pPr>
            <w:r w:rsidRPr="00037AD4">
              <w:rPr>
                <w:rFonts w:ascii="Calibri" w:hAnsi="Calibri" w:cs="Calibri"/>
                <w:color w:val="000000"/>
              </w:rPr>
              <w:t>P&gt;z</w:t>
            </w:r>
          </w:p>
        </w:tc>
        <w:tc>
          <w:tcPr>
            <w:tcW w:w="713" w:type="pct"/>
            <w:noWrap/>
            <w:hideMark/>
          </w:tcPr>
          <w:p w14:paraId="38C55469" w14:textId="77777777" w:rsidR="00B54D51" w:rsidRPr="00037AD4" w:rsidRDefault="00B54D51" w:rsidP="00401C67">
            <w:pPr>
              <w:rPr>
                <w:rFonts w:ascii="Calibri" w:hAnsi="Calibri" w:cs="Calibri"/>
                <w:color w:val="000000"/>
              </w:rPr>
            </w:pPr>
            <w:r w:rsidRPr="00037AD4">
              <w:rPr>
                <w:rFonts w:ascii="Calibri" w:hAnsi="Calibri" w:cs="Calibri"/>
                <w:color w:val="000000"/>
              </w:rPr>
              <w:t>[95% conf.</w:t>
            </w:r>
          </w:p>
        </w:tc>
        <w:tc>
          <w:tcPr>
            <w:tcW w:w="713" w:type="pct"/>
            <w:noWrap/>
            <w:hideMark/>
          </w:tcPr>
          <w:p w14:paraId="05441CAF" w14:textId="77777777" w:rsidR="00B54D51" w:rsidRPr="00037AD4" w:rsidRDefault="00B54D51" w:rsidP="00401C67">
            <w:pPr>
              <w:rPr>
                <w:rFonts w:ascii="Calibri" w:hAnsi="Calibri" w:cs="Calibri"/>
                <w:color w:val="000000"/>
              </w:rPr>
            </w:pPr>
            <w:r w:rsidRPr="00037AD4">
              <w:rPr>
                <w:rFonts w:ascii="Calibri" w:hAnsi="Calibri" w:cs="Calibri"/>
                <w:color w:val="000000"/>
              </w:rPr>
              <w:t>interval]</w:t>
            </w:r>
          </w:p>
        </w:tc>
      </w:tr>
      <w:tr w:rsidR="00B54D51" w:rsidRPr="00037AD4" w14:paraId="563DE4D2" w14:textId="77777777" w:rsidTr="00401C67">
        <w:trPr>
          <w:trHeight w:val="320"/>
        </w:trPr>
        <w:tc>
          <w:tcPr>
            <w:tcW w:w="5000" w:type="pct"/>
            <w:gridSpan w:val="7"/>
            <w:shd w:val="clear" w:color="auto" w:fill="F2F2F2" w:themeFill="background1" w:themeFillShade="F2"/>
            <w:noWrap/>
            <w:hideMark/>
          </w:tcPr>
          <w:p w14:paraId="1066E3CD" w14:textId="77777777" w:rsidR="00B54D51" w:rsidRPr="00037AD4" w:rsidRDefault="00B54D51" w:rsidP="00401C67">
            <w:pPr>
              <w:rPr>
                <w:rFonts w:ascii="Calibri" w:hAnsi="Calibri" w:cs="Calibri"/>
                <w:color w:val="000000"/>
              </w:rPr>
            </w:pPr>
            <w:r w:rsidRPr="00037AD4">
              <w:rPr>
                <w:rFonts w:ascii="Calibri" w:hAnsi="Calibri" w:cs="Calibri"/>
                <w:color w:val="000000"/>
              </w:rPr>
              <w:t>Staff proxy anxiety/depression level 1 (= base outcome)</w:t>
            </w:r>
          </w:p>
        </w:tc>
      </w:tr>
      <w:tr w:rsidR="00B54D51" w:rsidRPr="00037AD4" w14:paraId="14267BF0" w14:textId="77777777" w:rsidTr="00401C67">
        <w:trPr>
          <w:trHeight w:val="320"/>
        </w:trPr>
        <w:tc>
          <w:tcPr>
            <w:tcW w:w="5000" w:type="pct"/>
            <w:gridSpan w:val="7"/>
            <w:shd w:val="clear" w:color="auto" w:fill="F2F2F2" w:themeFill="background1" w:themeFillShade="F2"/>
            <w:noWrap/>
            <w:hideMark/>
          </w:tcPr>
          <w:p w14:paraId="1F8032B8" w14:textId="77777777" w:rsidR="00B54D51" w:rsidRPr="00037AD4" w:rsidRDefault="00B54D51" w:rsidP="00401C67">
            <w:pPr>
              <w:rPr>
                <w:sz w:val="20"/>
                <w:szCs w:val="20"/>
              </w:rPr>
            </w:pPr>
            <w:r w:rsidRPr="00037AD4">
              <w:rPr>
                <w:rFonts w:ascii="Calibri" w:hAnsi="Calibri" w:cs="Calibri"/>
                <w:color w:val="000000"/>
              </w:rPr>
              <w:t xml:space="preserve">Staff proxy anxiety/depression level 2, predict: </w:t>
            </w:r>
          </w:p>
        </w:tc>
      </w:tr>
      <w:tr w:rsidR="00B54D51" w:rsidRPr="00037AD4" w14:paraId="3204248D" w14:textId="77777777" w:rsidTr="00401C67">
        <w:trPr>
          <w:trHeight w:val="320"/>
        </w:trPr>
        <w:tc>
          <w:tcPr>
            <w:tcW w:w="732" w:type="pct"/>
            <w:noWrap/>
            <w:hideMark/>
          </w:tcPr>
          <w:p w14:paraId="236D576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w:t>
            </w:r>
          </w:p>
        </w:tc>
        <w:tc>
          <w:tcPr>
            <w:tcW w:w="1146" w:type="pct"/>
            <w:noWrap/>
            <w:hideMark/>
          </w:tcPr>
          <w:p w14:paraId="34BF644F"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-.077   </w:t>
            </w:r>
          </w:p>
        </w:tc>
        <w:tc>
          <w:tcPr>
            <w:tcW w:w="626" w:type="pct"/>
          </w:tcPr>
          <w:p w14:paraId="2D780CA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.041</w:t>
            </w:r>
          </w:p>
        </w:tc>
        <w:tc>
          <w:tcPr>
            <w:tcW w:w="356" w:type="pct"/>
            <w:noWrap/>
            <w:hideMark/>
          </w:tcPr>
          <w:p w14:paraId="718965D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-1.86</w:t>
            </w:r>
          </w:p>
        </w:tc>
        <w:tc>
          <w:tcPr>
            <w:tcW w:w="713" w:type="pct"/>
            <w:noWrap/>
            <w:hideMark/>
          </w:tcPr>
          <w:p w14:paraId="3F14AB6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0.063</w:t>
            </w:r>
          </w:p>
        </w:tc>
        <w:tc>
          <w:tcPr>
            <w:tcW w:w="713" w:type="pct"/>
            <w:noWrap/>
            <w:hideMark/>
          </w:tcPr>
          <w:p w14:paraId="1700F84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-0.157</w:t>
            </w:r>
          </w:p>
        </w:tc>
        <w:tc>
          <w:tcPr>
            <w:tcW w:w="713" w:type="pct"/>
            <w:noWrap/>
            <w:hideMark/>
          </w:tcPr>
          <w:p w14:paraId="1B41451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0.004</w:t>
            </w:r>
          </w:p>
        </w:tc>
      </w:tr>
      <w:tr w:rsidR="00B54D51" w:rsidRPr="00037AD4" w14:paraId="1376F1B7" w14:textId="77777777" w:rsidTr="00401C67">
        <w:trPr>
          <w:trHeight w:val="320"/>
        </w:trPr>
        <w:tc>
          <w:tcPr>
            <w:tcW w:w="732" w:type="pct"/>
            <w:noWrap/>
            <w:hideMark/>
          </w:tcPr>
          <w:p w14:paraId="63FAFA9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w:t>
            </w:r>
          </w:p>
        </w:tc>
        <w:tc>
          <w:tcPr>
            <w:tcW w:w="1146" w:type="pct"/>
            <w:noWrap/>
            <w:hideMark/>
          </w:tcPr>
          <w:p w14:paraId="2E6CEDCB"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.041 </w:t>
            </w:r>
          </w:p>
        </w:tc>
        <w:tc>
          <w:tcPr>
            <w:tcW w:w="626" w:type="pct"/>
          </w:tcPr>
          <w:p w14:paraId="23EB444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.021</w:t>
            </w:r>
          </w:p>
        </w:tc>
        <w:tc>
          <w:tcPr>
            <w:tcW w:w="356" w:type="pct"/>
            <w:noWrap/>
            <w:hideMark/>
          </w:tcPr>
          <w:p w14:paraId="13A77F8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1.92</w:t>
            </w:r>
          </w:p>
        </w:tc>
        <w:tc>
          <w:tcPr>
            <w:tcW w:w="713" w:type="pct"/>
            <w:noWrap/>
            <w:hideMark/>
          </w:tcPr>
          <w:p w14:paraId="1BD55F0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0.054</w:t>
            </w:r>
          </w:p>
        </w:tc>
        <w:tc>
          <w:tcPr>
            <w:tcW w:w="713" w:type="pct"/>
            <w:noWrap/>
            <w:hideMark/>
          </w:tcPr>
          <w:p w14:paraId="63AB4D5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c>
          <w:tcPr>
            <w:tcW w:w="713" w:type="pct"/>
            <w:noWrap/>
            <w:hideMark/>
          </w:tcPr>
          <w:p w14:paraId="3DC396A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0.083</w:t>
            </w:r>
          </w:p>
        </w:tc>
      </w:tr>
      <w:tr w:rsidR="00B54D51" w:rsidRPr="00037AD4" w14:paraId="4E2581BC" w14:textId="77777777" w:rsidTr="00401C67">
        <w:trPr>
          <w:trHeight w:val="320"/>
        </w:trPr>
        <w:tc>
          <w:tcPr>
            <w:tcW w:w="732" w:type="pct"/>
            <w:noWrap/>
            <w:hideMark/>
          </w:tcPr>
          <w:p w14:paraId="5523AEA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w:t>
            </w:r>
          </w:p>
        </w:tc>
        <w:tc>
          <w:tcPr>
            <w:tcW w:w="1146" w:type="pct"/>
            <w:noWrap/>
            <w:hideMark/>
          </w:tcPr>
          <w:p w14:paraId="54F121B3"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.025 </w:t>
            </w:r>
          </w:p>
        </w:tc>
        <w:tc>
          <w:tcPr>
            <w:tcW w:w="626" w:type="pct"/>
          </w:tcPr>
          <w:p w14:paraId="41A6BDB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.014</w:t>
            </w:r>
          </w:p>
        </w:tc>
        <w:tc>
          <w:tcPr>
            <w:tcW w:w="356" w:type="pct"/>
            <w:noWrap/>
            <w:hideMark/>
          </w:tcPr>
          <w:p w14:paraId="34C9390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1.77</w:t>
            </w:r>
          </w:p>
        </w:tc>
        <w:tc>
          <w:tcPr>
            <w:tcW w:w="713" w:type="pct"/>
            <w:noWrap/>
            <w:hideMark/>
          </w:tcPr>
          <w:p w14:paraId="269E6F3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0.077</w:t>
            </w:r>
          </w:p>
        </w:tc>
        <w:tc>
          <w:tcPr>
            <w:tcW w:w="713" w:type="pct"/>
            <w:noWrap/>
            <w:hideMark/>
          </w:tcPr>
          <w:p w14:paraId="271D02A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-0.003</w:t>
            </w:r>
          </w:p>
        </w:tc>
        <w:tc>
          <w:tcPr>
            <w:tcW w:w="713" w:type="pct"/>
            <w:noWrap/>
            <w:hideMark/>
          </w:tcPr>
          <w:p w14:paraId="1EFC3FB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0.053</w:t>
            </w:r>
          </w:p>
        </w:tc>
      </w:tr>
      <w:tr w:rsidR="00B54D51" w:rsidRPr="00037AD4" w14:paraId="778EE486" w14:textId="77777777" w:rsidTr="00401C67">
        <w:trPr>
          <w:trHeight w:val="320"/>
        </w:trPr>
        <w:tc>
          <w:tcPr>
            <w:tcW w:w="732" w:type="pct"/>
            <w:noWrap/>
            <w:hideMark/>
          </w:tcPr>
          <w:p w14:paraId="0FEEE7D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w:t>
            </w:r>
          </w:p>
        </w:tc>
        <w:tc>
          <w:tcPr>
            <w:tcW w:w="1146" w:type="pct"/>
            <w:noWrap/>
            <w:hideMark/>
          </w:tcPr>
          <w:p w14:paraId="5B419F3D" w14:textId="77777777" w:rsidR="00B54D51" w:rsidRPr="00037AD4" w:rsidRDefault="00B54D51" w:rsidP="00401C67">
            <w:pPr>
              <w:rPr>
                <w:rFonts w:ascii="Calibri" w:hAnsi="Calibri" w:cs="Calibri"/>
                <w:color w:val="000000"/>
              </w:rPr>
            </w:pPr>
            <w:r w:rsidRPr="00037AD4">
              <w:rPr>
                <w:rFonts w:ascii="Calibri" w:hAnsi="Calibri" w:cs="Calibri"/>
                <w:color w:val="000000"/>
              </w:rPr>
              <w:t>.008</w:t>
            </w:r>
          </w:p>
        </w:tc>
        <w:tc>
          <w:tcPr>
            <w:tcW w:w="626" w:type="pct"/>
          </w:tcPr>
          <w:p w14:paraId="7F86C97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.005</w:t>
            </w:r>
          </w:p>
        </w:tc>
        <w:tc>
          <w:tcPr>
            <w:tcW w:w="356" w:type="pct"/>
            <w:noWrap/>
            <w:hideMark/>
          </w:tcPr>
          <w:p w14:paraId="70EBC00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1.59</w:t>
            </w:r>
          </w:p>
        </w:tc>
        <w:tc>
          <w:tcPr>
            <w:tcW w:w="713" w:type="pct"/>
            <w:noWrap/>
            <w:hideMark/>
          </w:tcPr>
          <w:p w14:paraId="1F33D39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0.113</w:t>
            </w:r>
          </w:p>
        </w:tc>
        <w:tc>
          <w:tcPr>
            <w:tcW w:w="713" w:type="pct"/>
            <w:noWrap/>
            <w:hideMark/>
          </w:tcPr>
          <w:p w14:paraId="2249477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-0.002</w:t>
            </w:r>
          </w:p>
        </w:tc>
        <w:tc>
          <w:tcPr>
            <w:tcW w:w="713" w:type="pct"/>
            <w:noWrap/>
            <w:hideMark/>
          </w:tcPr>
          <w:p w14:paraId="70473A2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0.017</w:t>
            </w:r>
          </w:p>
        </w:tc>
      </w:tr>
      <w:tr w:rsidR="00B54D51" w:rsidRPr="00037AD4" w14:paraId="0A89BB05" w14:textId="77777777" w:rsidTr="00401C67">
        <w:trPr>
          <w:trHeight w:val="320"/>
        </w:trPr>
        <w:tc>
          <w:tcPr>
            <w:tcW w:w="732" w:type="pct"/>
            <w:noWrap/>
            <w:hideMark/>
          </w:tcPr>
          <w:p w14:paraId="3FE1DA5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5</w:t>
            </w:r>
          </w:p>
        </w:tc>
        <w:tc>
          <w:tcPr>
            <w:tcW w:w="1146" w:type="pct"/>
            <w:noWrap/>
            <w:hideMark/>
          </w:tcPr>
          <w:p w14:paraId="568250F0"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.003  </w:t>
            </w:r>
          </w:p>
        </w:tc>
        <w:tc>
          <w:tcPr>
            <w:tcW w:w="626" w:type="pct"/>
          </w:tcPr>
          <w:p w14:paraId="6067E16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w:t>
            </w:r>
          </w:p>
        </w:tc>
        <w:tc>
          <w:tcPr>
            <w:tcW w:w="356" w:type="pct"/>
            <w:noWrap/>
            <w:hideMark/>
          </w:tcPr>
          <w:p w14:paraId="0C3EFA9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1.24</w:t>
            </w:r>
          </w:p>
        </w:tc>
        <w:tc>
          <w:tcPr>
            <w:tcW w:w="713" w:type="pct"/>
            <w:noWrap/>
            <w:hideMark/>
          </w:tcPr>
          <w:p w14:paraId="671F77D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0.216</w:t>
            </w:r>
          </w:p>
        </w:tc>
        <w:tc>
          <w:tcPr>
            <w:tcW w:w="713" w:type="pct"/>
            <w:noWrap/>
            <w:hideMark/>
          </w:tcPr>
          <w:p w14:paraId="3D44A9C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-0.002</w:t>
            </w:r>
          </w:p>
        </w:tc>
        <w:tc>
          <w:tcPr>
            <w:tcW w:w="713" w:type="pct"/>
            <w:noWrap/>
            <w:hideMark/>
          </w:tcPr>
          <w:p w14:paraId="0E310B4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0.007</w:t>
            </w:r>
          </w:p>
        </w:tc>
      </w:tr>
      <w:tr w:rsidR="00B54D51" w:rsidRPr="00037AD4" w14:paraId="6AB52C98" w14:textId="77777777" w:rsidTr="00401C67">
        <w:trPr>
          <w:trHeight w:val="320"/>
        </w:trPr>
        <w:tc>
          <w:tcPr>
            <w:tcW w:w="5000" w:type="pct"/>
            <w:gridSpan w:val="7"/>
            <w:shd w:val="clear" w:color="auto" w:fill="F2F2F2" w:themeFill="background1" w:themeFillShade="F2"/>
            <w:noWrap/>
            <w:hideMark/>
          </w:tcPr>
          <w:p w14:paraId="60D872B3" w14:textId="77777777" w:rsidR="00B54D51" w:rsidRPr="00037AD4" w:rsidRDefault="00B54D51" w:rsidP="00401C67">
            <w:pPr>
              <w:rPr>
                <w:sz w:val="20"/>
                <w:szCs w:val="20"/>
              </w:rPr>
            </w:pPr>
            <w:r w:rsidRPr="00037AD4">
              <w:rPr>
                <w:rFonts w:ascii="Calibri" w:hAnsi="Calibri" w:cs="Calibri"/>
                <w:color w:val="000000"/>
              </w:rPr>
              <w:t>Staff proxy anxiety/depression level 3, predict:</w:t>
            </w:r>
          </w:p>
        </w:tc>
      </w:tr>
      <w:tr w:rsidR="00B54D51" w:rsidRPr="00037AD4" w14:paraId="43A3C790" w14:textId="77777777" w:rsidTr="00401C67">
        <w:trPr>
          <w:trHeight w:val="320"/>
        </w:trPr>
        <w:tc>
          <w:tcPr>
            <w:tcW w:w="732" w:type="pct"/>
            <w:noWrap/>
            <w:hideMark/>
          </w:tcPr>
          <w:p w14:paraId="437CAED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w:t>
            </w:r>
          </w:p>
        </w:tc>
        <w:tc>
          <w:tcPr>
            <w:tcW w:w="1146" w:type="pct"/>
            <w:noWrap/>
            <w:hideMark/>
          </w:tcPr>
          <w:p w14:paraId="214B5B79"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-.219 </w:t>
            </w:r>
          </w:p>
        </w:tc>
        <w:tc>
          <w:tcPr>
            <w:tcW w:w="626" w:type="pct"/>
          </w:tcPr>
          <w:p w14:paraId="6300F8B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.072</w:t>
            </w:r>
          </w:p>
        </w:tc>
        <w:tc>
          <w:tcPr>
            <w:tcW w:w="356" w:type="pct"/>
            <w:noWrap/>
            <w:hideMark/>
          </w:tcPr>
          <w:p w14:paraId="375344F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-3.05</w:t>
            </w:r>
          </w:p>
        </w:tc>
        <w:tc>
          <w:tcPr>
            <w:tcW w:w="713" w:type="pct"/>
            <w:noWrap/>
            <w:hideMark/>
          </w:tcPr>
          <w:p w14:paraId="1088F36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0.002</w:t>
            </w:r>
          </w:p>
        </w:tc>
        <w:tc>
          <w:tcPr>
            <w:tcW w:w="713" w:type="pct"/>
            <w:noWrap/>
            <w:hideMark/>
          </w:tcPr>
          <w:p w14:paraId="70EE50B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-0.360</w:t>
            </w:r>
          </w:p>
        </w:tc>
        <w:tc>
          <w:tcPr>
            <w:tcW w:w="713" w:type="pct"/>
            <w:noWrap/>
            <w:hideMark/>
          </w:tcPr>
          <w:p w14:paraId="019B735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-0.078</w:t>
            </w:r>
          </w:p>
        </w:tc>
      </w:tr>
      <w:tr w:rsidR="00B54D51" w:rsidRPr="00037AD4" w14:paraId="6D716FBD" w14:textId="77777777" w:rsidTr="00401C67">
        <w:trPr>
          <w:trHeight w:val="320"/>
        </w:trPr>
        <w:tc>
          <w:tcPr>
            <w:tcW w:w="732" w:type="pct"/>
            <w:noWrap/>
            <w:hideMark/>
          </w:tcPr>
          <w:p w14:paraId="7D2BB0A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w:t>
            </w:r>
          </w:p>
        </w:tc>
        <w:tc>
          <w:tcPr>
            <w:tcW w:w="1146" w:type="pct"/>
            <w:noWrap/>
            <w:hideMark/>
          </w:tcPr>
          <w:p w14:paraId="102618EC" w14:textId="77777777" w:rsidR="00B54D51" w:rsidRPr="00037AD4" w:rsidRDefault="00B54D51" w:rsidP="00401C67">
            <w:pPr>
              <w:rPr>
                <w:rFonts w:ascii="Calibri" w:hAnsi="Calibri" w:cs="Calibri"/>
                <w:color w:val="000000"/>
              </w:rPr>
            </w:pPr>
            <w:r w:rsidRPr="00037AD4">
              <w:rPr>
                <w:rFonts w:ascii="Calibri" w:hAnsi="Calibri" w:cs="Calibri"/>
                <w:color w:val="000000"/>
              </w:rPr>
              <w:t>.101</w:t>
            </w:r>
          </w:p>
        </w:tc>
        <w:tc>
          <w:tcPr>
            <w:tcW w:w="626" w:type="pct"/>
          </w:tcPr>
          <w:p w14:paraId="2096C63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.027</w:t>
            </w:r>
          </w:p>
        </w:tc>
        <w:tc>
          <w:tcPr>
            <w:tcW w:w="356" w:type="pct"/>
            <w:noWrap/>
            <w:hideMark/>
          </w:tcPr>
          <w:p w14:paraId="533EF37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3.71</w:t>
            </w:r>
          </w:p>
        </w:tc>
        <w:tc>
          <w:tcPr>
            <w:tcW w:w="713" w:type="pct"/>
            <w:noWrap/>
            <w:hideMark/>
          </w:tcPr>
          <w:p w14:paraId="310EDAA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w:t>
            </w:r>
          </w:p>
        </w:tc>
        <w:tc>
          <w:tcPr>
            <w:tcW w:w="713" w:type="pct"/>
            <w:noWrap/>
            <w:hideMark/>
          </w:tcPr>
          <w:p w14:paraId="21E6D18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0.047</w:t>
            </w:r>
          </w:p>
        </w:tc>
        <w:tc>
          <w:tcPr>
            <w:tcW w:w="713" w:type="pct"/>
            <w:noWrap/>
            <w:hideMark/>
          </w:tcPr>
          <w:p w14:paraId="2F01A70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0.154</w:t>
            </w:r>
          </w:p>
        </w:tc>
      </w:tr>
      <w:tr w:rsidR="00B54D51" w:rsidRPr="00037AD4" w14:paraId="3E5997FD" w14:textId="77777777" w:rsidTr="00401C67">
        <w:trPr>
          <w:trHeight w:val="320"/>
        </w:trPr>
        <w:tc>
          <w:tcPr>
            <w:tcW w:w="732" w:type="pct"/>
            <w:noWrap/>
            <w:hideMark/>
          </w:tcPr>
          <w:p w14:paraId="33D8885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w:t>
            </w:r>
          </w:p>
        </w:tc>
        <w:tc>
          <w:tcPr>
            <w:tcW w:w="1146" w:type="pct"/>
            <w:noWrap/>
            <w:hideMark/>
          </w:tcPr>
          <w:p w14:paraId="14F353FD" w14:textId="77777777" w:rsidR="00B54D51" w:rsidRPr="00037AD4" w:rsidRDefault="00B54D51" w:rsidP="00401C67">
            <w:pPr>
              <w:rPr>
                <w:rFonts w:ascii="Calibri" w:hAnsi="Calibri" w:cs="Calibri"/>
                <w:color w:val="000000"/>
              </w:rPr>
            </w:pPr>
            <w:r w:rsidRPr="00037AD4">
              <w:rPr>
                <w:rFonts w:ascii="Calibri" w:hAnsi="Calibri" w:cs="Calibri"/>
                <w:color w:val="000000"/>
              </w:rPr>
              <w:t>.078</w:t>
            </w:r>
          </w:p>
        </w:tc>
        <w:tc>
          <w:tcPr>
            <w:tcW w:w="626" w:type="pct"/>
          </w:tcPr>
          <w:p w14:paraId="55E9D75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.030</w:t>
            </w:r>
          </w:p>
        </w:tc>
        <w:tc>
          <w:tcPr>
            <w:tcW w:w="356" w:type="pct"/>
            <w:noWrap/>
            <w:hideMark/>
          </w:tcPr>
          <w:p w14:paraId="06F71AE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2.56</w:t>
            </w:r>
          </w:p>
        </w:tc>
        <w:tc>
          <w:tcPr>
            <w:tcW w:w="713" w:type="pct"/>
            <w:noWrap/>
            <w:hideMark/>
          </w:tcPr>
          <w:p w14:paraId="50D07BF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w:t>
            </w:r>
          </w:p>
        </w:tc>
        <w:tc>
          <w:tcPr>
            <w:tcW w:w="713" w:type="pct"/>
            <w:noWrap/>
            <w:hideMark/>
          </w:tcPr>
          <w:p w14:paraId="692FACD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0.018</w:t>
            </w:r>
          </w:p>
        </w:tc>
        <w:tc>
          <w:tcPr>
            <w:tcW w:w="713" w:type="pct"/>
            <w:noWrap/>
            <w:hideMark/>
          </w:tcPr>
          <w:p w14:paraId="650650E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0.137</w:t>
            </w:r>
          </w:p>
        </w:tc>
      </w:tr>
      <w:tr w:rsidR="00B54D51" w:rsidRPr="00037AD4" w14:paraId="2EBF5C62" w14:textId="77777777" w:rsidTr="00401C67">
        <w:trPr>
          <w:trHeight w:val="320"/>
        </w:trPr>
        <w:tc>
          <w:tcPr>
            <w:tcW w:w="732" w:type="pct"/>
            <w:noWrap/>
            <w:hideMark/>
          </w:tcPr>
          <w:p w14:paraId="0E288CF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w:t>
            </w:r>
          </w:p>
        </w:tc>
        <w:tc>
          <w:tcPr>
            <w:tcW w:w="1146" w:type="pct"/>
            <w:noWrap/>
            <w:hideMark/>
          </w:tcPr>
          <w:p w14:paraId="44B5BC12"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.029 </w:t>
            </w:r>
          </w:p>
        </w:tc>
        <w:tc>
          <w:tcPr>
            <w:tcW w:w="626" w:type="pct"/>
          </w:tcPr>
          <w:p w14:paraId="0AFCE98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.014</w:t>
            </w:r>
          </w:p>
        </w:tc>
        <w:tc>
          <w:tcPr>
            <w:tcW w:w="356" w:type="pct"/>
            <w:noWrap/>
            <w:hideMark/>
          </w:tcPr>
          <w:p w14:paraId="2398154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2.01</w:t>
            </w:r>
          </w:p>
        </w:tc>
        <w:tc>
          <w:tcPr>
            <w:tcW w:w="713" w:type="pct"/>
            <w:noWrap/>
            <w:hideMark/>
          </w:tcPr>
          <w:p w14:paraId="1C75C70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0.044</w:t>
            </w:r>
          </w:p>
        </w:tc>
        <w:tc>
          <w:tcPr>
            <w:tcW w:w="713" w:type="pct"/>
            <w:noWrap/>
            <w:hideMark/>
          </w:tcPr>
          <w:p w14:paraId="6D5FFBE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c>
          <w:tcPr>
            <w:tcW w:w="713" w:type="pct"/>
            <w:noWrap/>
            <w:hideMark/>
          </w:tcPr>
          <w:p w14:paraId="1650A46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0.056</w:t>
            </w:r>
          </w:p>
        </w:tc>
      </w:tr>
      <w:tr w:rsidR="00B54D51" w:rsidRPr="00037AD4" w14:paraId="27DB5377" w14:textId="77777777" w:rsidTr="00401C67">
        <w:trPr>
          <w:trHeight w:val="320"/>
        </w:trPr>
        <w:tc>
          <w:tcPr>
            <w:tcW w:w="732" w:type="pct"/>
            <w:noWrap/>
            <w:hideMark/>
          </w:tcPr>
          <w:p w14:paraId="7E47DD1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5</w:t>
            </w:r>
          </w:p>
        </w:tc>
        <w:tc>
          <w:tcPr>
            <w:tcW w:w="1146" w:type="pct"/>
            <w:noWrap/>
            <w:hideMark/>
          </w:tcPr>
          <w:p w14:paraId="25F98BC1"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.012 </w:t>
            </w:r>
          </w:p>
        </w:tc>
        <w:tc>
          <w:tcPr>
            <w:tcW w:w="626" w:type="pct"/>
          </w:tcPr>
          <w:p w14:paraId="7173413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.007</w:t>
            </w:r>
          </w:p>
        </w:tc>
        <w:tc>
          <w:tcPr>
            <w:tcW w:w="356" w:type="pct"/>
            <w:noWrap/>
            <w:hideMark/>
          </w:tcPr>
          <w:p w14:paraId="6D995CC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1.68</w:t>
            </w:r>
          </w:p>
        </w:tc>
        <w:tc>
          <w:tcPr>
            <w:tcW w:w="713" w:type="pct"/>
            <w:noWrap/>
            <w:hideMark/>
          </w:tcPr>
          <w:p w14:paraId="2F8925E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0.094</w:t>
            </w:r>
          </w:p>
        </w:tc>
        <w:tc>
          <w:tcPr>
            <w:tcW w:w="713" w:type="pct"/>
            <w:noWrap/>
            <w:hideMark/>
          </w:tcPr>
          <w:p w14:paraId="3B808A4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-0.002</w:t>
            </w:r>
          </w:p>
        </w:tc>
        <w:tc>
          <w:tcPr>
            <w:tcW w:w="713" w:type="pct"/>
            <w:noWrap/>
            <w:hideMark/>
          </w:tcPr>
          <w:p w14:paraId="4D46955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0.027</w:t>
            </w:r>
          </w:p>
        </w:tc>
      </w:tr>
      <w:tr w:rsidR="00B54D51" w:rsidRPr="00037AD4" w14:paraId="263D32A3" w14:textId="77777777" w:rsidTr="00401C67">
        <w:trPr>
          <w:trHeight w:val="320"/>
        </w:trPr>
        <w:tc>
          <w:tcPr>
            <w:tcW w:w="5000" w:type="pct"/>
            <w:gridSpan w:val="7"/>
            <w:noWrap/>
            <w:hideMark/>
          </w:tcPr>
          <w:p w14:paraId="241DCC8E" w14:textId="77777777" w:rsidR="00B54D51" w:rsidRPr="00037AD4" w:rsidRDefault="00B54D51" w:rsidP="00401C67">
            <w:pPr>
              <w:rPr>
                <w:sz w:val="20"/>
                <w:szCs w:val="20"/>
              </w:rPr>
            </w:pPr>
            <w:r w:rsidRPr="00037AD4">
              <w:rPr>
                <w:rFonts w:ascii="Calibri" w:hAnsi="Calibri" w:cs="Calibri"/>
                <w:color w:val="000000"/>
              </w:rPr>
              <w:t>Staff proxy anxiety/depression level 4, predict:</w:t>
            </w:r>
          </w:p>
        </w:tc>
      </w:tr>
      <w:tr w:rsidR="00B54D51" w:rsidRPr="00037AD4" w14:paraId="0008FAF6" w14:textId="77777777" w:rsidTr="00401C67">
        <w:trPr>
          <w:trHeight w:val="320"/>
        </w:trPr>
        <w:tc>
          <w:tcPr>
            <w:tcW w:w="732" w:type="pct"/>
            <w:noWrap/>
            <w:hideMark/>
          </w:tcPr>
          <w:p w14:paraId="14CC62E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w:t>
            </w:r>
          </w:p>
        </w:tc>
        <w:tc>
          <w:tcPr>
            <w:tcW w:w="1146" w:type="pct"/>
            <w:noWrap/>
            <w:hideMark/>
          </w:tcPr>
          <w:p w14:paraId="7FFAB032"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-.311   </w:t>
            </w:r>
          </w:p>
        </w:tc>
        <w:tc>
          <w:tcPr>
            <w:tcW w:w="626" w:type="pct"/>
          </w:tcPr>
          <w:p w14:paraId="4F46798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.126</w:t>
            </w:r>
          </w:p>
        </w:tc>
        <w:tc>
          <w:tcPr>
            <w:tcW w:w="356" w:type="pct"/>
            <w:noWrap/>
            <w:hideMark/>
          </w:tcPr>
          <w:p w14:paraId="5DB12A8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-2.46</w:t>
            </w:r>
          </w:p>
        </w:tc>
        <w:tc>
          <w:tcPr>
            <w:tcW w:w="713" w:type="pct"/>
            <w:noWrap/>
            <w:hideMark/>
          </w:tcPr>
          <w:p w14:paraId="70BA3C6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0.014</w:t>
            </w:r>
          </w:p>
        </w:tc>
        <w:tc>
          <w:tcPr>
            <w:tcW w:w="713" w:type="pct"/>
            <w:noWrap/>
            <w:hideMark/>
          </w:tcPr>
          <w:p w14:paraId="33AB81A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-0.558</w:t>
            </w:r>
          </w:p>
        </w:tc>
        <w:tc>
          <w:tcPr>
            <w:tcW w:w="713" w:type="pct"/>
            <w:noWrap/>
            <w:hideMark/>
          </w:tcPr>
          <w:p w14:paraId="5599957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-0.064</w:t>
            </w:r>
          </w:p>
        </w:tc>
      </w:tr>
      <w:tr w:rsidR="00B54D51" w:rsidRPr="00037AD4" w14:paraId="37CE9E12" w14:textId="77777777" w:rsidTr="00401C67">
        <w:trPr>
          <w:trHeight w:val="320"/>
        </w:trPr>
        <w:tc>
          <w:tcPr>
            <w:tcW w:w="732" w:type="pct"/>
            <w:noWrap/>
            <w:hideMark/>
          </w:tcPr>
          <w:p w14:paraId="7390705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w:t>
            </w:r>
          </w:p>
        </w:tc>
        <w:tc>
          <w:tcPr>
            <w:tcW w:w="1146" w:type="pct"/>
            <w:noWrap/>
            <w:hideMark/>
          </w:tcPr>
          <w:p w14:paraId="073232DE"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.126  </w:t>
            </w:r>
          </w:p>
        </w:tc>
        <w:tc>
          <w:tcPr>
            <w:tcW w:w="626" w:type="pct"/>
          </w:tcPr>
          <w:p w14:paraId="2BD6229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.032</w:t>
            </w:r>
          </w:p>
        </w:tc>
        <w:tc>
          <w:tcPr>
            <w:tcW w:w="356" w:type="pct"/>
            <w:noWrap/>
            <w:hideMark/>
          </w:tcPr>
          <w:p w14:paraId="50F9368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3.99</w:t>
            </w:r>
          </w:p>
        </w:tc>
        <w:tc>
          <w:tcPr>
            <w:tcW w:w="713" w:type="pct"/>
            <w:noWrap/>
            <w:hideMark/>
          </w:tcPr>
          <w:p w14:paraId="03AD735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w:t>
            </w:r>
          </w:p>
        </w:tc>
        <w:tc>
          <w:tcPr>
            <w:tcW w:w="713" w:type="pct"/>
            <w:noWrap/>
            <w:hideMark/>
          </w:tcPr>
          <w:p w14:paraId="302EC77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0.064</w:t>
            </w:r>
          </w:p>
        </w:tc>
        <w:tc>
          <w:tcPr>
            <w:tcW w:w="713" w:type="pct"/>
            <w:noWrap/>
            <w:hideMark/>
          </w:tcPr>
          <w:p w14:paraId="0DA6170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0.188</w:t>
            </w:r>
          </w:p>
        </w:tc>
      </w:tr>
      <w:tr w:rsidR="00B54D51" w:rsidRPr="00037AD4" w14:paraId="69CE1E9E" w14:textId="77777777" w:rsidTr="00401C67">
        <w:trPr>
          <w:trHeight w:val="320"/>
        </w:trPr>
        <w:tc>
          <w:tcPr>
            <w:tcW w:w="732" w:type="pct"/>
            <w:noWrap/>
            <w:hideMark/>
          </w:tcPr>
          <w:p w14:paraId="0C92DE4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w:t>
            </w:r>
          </w:p>
        </w:tc>
        <w:tc>
          <w:tcPr>
            <w:tcW w:w="1146" w:type="pct"/>
            <w:noWrap/>
            <w:hideMark/>
          </w:tcPr>
          <w:p w14:paraId="7966E791"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.114 </w:t>
            </w:r>
          </w:p>
        </w:tc>
        <w:tc>
          <w:tcPr>
            <w:tcW w:w="626" w:type="pct"/>
          </w:tcPr>
          <w:p w14:paraId="7BCE9D5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.054</w:t>
            </w:r>
          </w:p>
        </w:tc>
        <w:tc>
          <w:tcPr>
            <w:tcW w:w="356" w:type="pct"/>
            <w:noWrap/>
            <w:hideMark/>
          </w:tcPr>
          <w:p w14:paraId="4076C93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2.12</w:t>
            </w:r>
          </w:p>
        </w:tc>
        <w:tc>
          <w:tcPr>
            <w:tcW w:w="713" w:type="pct"/>
            <w:noWrap/>
            <w:hideMark/>
          </w:tcPr>
          <w:p w14:paraId="28129FF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0.034</w:t>
            </w:r>
          </w:p>
        </w:tc>
        <w:tc>
          <w:tcPr>
            <w:tcW w:w="713" w:type="pct"/>
            <w:noWrap/>
            <w:hideMark/>
          </w:tcPr>
          <w:p w14:paraId="6D8ED3A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0.008</w:t>
            </w:r>
          </w:p>
        </w:tc>
        <w:tc>
          <w:tcPr>
            <w:tcW w:w="713" w:type="pct"/>
            <w:noWrap/>
            <w:hideMark/>
          </w:tcPr>
          <w:p w14:paraId="1B5A146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0.220</w:t>
            </w:r>
          </w:p>
        </w:tc>
      </w:tr>
      <w:tr w:rsidR="00B54D51" w:rsidRPr="00037AD4" w14:paraId="098503FF" w14:textId="77777777" w:rsidTr="00401C67">
        <w:trPr>
          <w:trHeight w:val="320"/>
        </w:trPr>
        <w:tc>
          <w:tcPr>
            <w:tcW w:w="732" w:type="pct"/>
            <w:noWrap/>
            <w:hideMark/>
          </w:tcPr>
          <w:p w14:paraId="237973C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w:t>
            </w:r>
          </w:p>
        </w:tc>
        <w:tc>
          <w:tcPr>
            <w:tcW w:w="1146" w:type="pct"/>
            <w:noWrap/>
            <w:hideMark/>
          </w:tcPr>
          <w:p w14:paraId="055AA396"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.047 </w:t>
            </w:r>
          </w:p>
        </w:tc>
        <w:tc>
          <w:tcPr>
            <w:tcW w:w="626" w:type="pct"/>
          </w:tcPr>
          <w:p w14:paraId="0142574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.030</w:t>
            </w:r>
          </w:p>
        </w:tc>
        <w:tc>
          <w:tcPr>
            <w:tcW w:w="356" w:type="pct"/>
            <w:noWrap/>
            <w:hideMark/>
          </w:tcPr>
          <w:p w14:paraId="691A476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1.56</w:t>
            </w:r>
          </w:p>
        </w:tc>
        <w:tc>
          <w:tcPr>
            <w:tcW w:w="713" w:type="pct"/>
            <w:noWrap/>
            <w:hideMark/>
          </w:tcPr>
          <w:p w14:paraId="3033399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0.118</w:t>
            </w:r>
          </w:p>
        </w:tc>
        <w:tc>
          <w:tcPr>
            <w:tcW w:w="713" w:type="pct"/>
            <w:noWrap/>
            <w:hideMark/>
          </w:tcPr>
          <w:p w14:paraId="3835AAC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-0.012</w:t>
            </w:r>
          </w:p>
        </w:tc>
        <w:tc>
          <w:tcPr>
            <w:tcW w:w="713" w:type="pct"/>
            <w:noWrap/>
            <w:hideMark/>
          </w:tcPr>
          <w:p w14:paraId="7DE65CD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0.107</w:t>
            </w:r>
          </w:p>
        </w:tc>
      </w:tr>
      <w:tr w:rsidR="00B54D51" w:rsidRPr="00037AD4" w14:paraId="1399C52E" w14:textId="77777777" w:rsidTr="00401C67">
        <w:trPr>
          <w:trHeight w:val="320"/>
        </w:trPr>
        <w:tc>
          <w:tcPr>
            <w:tcW w:w="732" w:type="pct"/>
            <w:noWrap/>
            <w:hideMark/>
          </w:tcPr>
          <w:p w14:paraId="4EF6F73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5</w:t>
            </w:r>
          </w:p>
        </w:tc>
        <w:tc>
          <w:tcPr>
            <w:tcW w:w="1146" w:type="pct"/>
            <w:noWrap/>
            <w:hideMark/>
          </w:tcPr>
          <w:p w14:paraId="73771846"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.023 </w:t>
            </w:r>
          </w:p>
        </w:tc>
        <w:tc>
          <w:tcPr>
            <w:tcW w:w="626" w:type="pct"/>
          </w:tcPr>
          <w:p w14:paraId="3AEB3C1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.019</w:t>
            </w:r>
          </w:p>
        </w:tc>
        <w:tc>
          <w:tcPr>
            <w:tcW w:w="356" w:type="pct"/>
            <w:noWrap/>
            <w:hideMark/>
          </w:tcPr>
          <w:p w14:paraId="6D6C8E7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1.2</w:t>
            </w:r>
          </w:p>
        </w:tc>
        <w:tc>
          <w:tcPr>
            <w:tcW w:w="713" w:type="pct"/>
            <w:noWrap/>
            <w:hideMark/>
          </w:tcPr>
          <w:p w14:paraId="78A2B58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0.23</w:t>
            </w:r>
          </w:p>
        </w:tc>
        <w:tc>
          <w:tcPr>
            <w:tcW w:w="713" w:type="pct"/>
            <w:noWrap/>
            <w:hideMark/>
          </w:tcPr>
          <w:p w14:paraId="151B331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-0.015</w:t>
            </w:r>
          </w:p>
        </w:tc>
        <w:tc>
          <w:tcPr>
            <w:tcW w:w="713" w:type="pct"/>
            <w:noWrap/>
            <w:hideMark/>
          </w:tcPr>
          <w:p w14:paraId="4F83EFF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0.061</w:t>
            </w:r>
          </w:p>
        </w:tc>
      </w:tr>
      <w:tr w:rsidR="00B54D51" w:rsidRPr="00037AD4" w14:paraId="3D6DB971" w14:textId="77777777" w:rsidTr="00401C67">
        <w:trPr>
          <w:trHeight w:val="320"/>
        </w:trPr>
        <w:tc>
          <w:tcPr>
            <w:tcW w:w="5000" w:type="pct"/>
            <w:gridSpan w:val="7"/>
            <w:shd w:val="clear" w:color="auto" w:fill="F2F2F2" w:themeFill="background1" w:themeFillShade="F2"/>
            <w:noWrap/>
            <w:hideMark/>
          </w:tcPr>
          <w:p w14:paraId="0D2E1F26" w14:textId="77777777" w:rsidR="00B54D51" w:rsidRPr="00037AD4" w:rsidRDefault="00B54D51" w:rsidP="00401C67">
            <w:pPr>
              <w:rPr>
                <w:sz w:val="20"/>
                <w:szCs w:val="20"/>
              </w:rPr>
            </w:pPr>
            <w:r w:rsidRPr="00037AD4">
              <w:rPr>
                <w:rFonts w:ascii="Calibri" w:hAnsi="Calibri" w:cs="Calibri"/>
                <w:color w:val="000000"/>
              </w:rPr>
              <w:t>Staff proxy anxiety/depression level 5, predict:</w:t>
            </w:r>
          </w:p>
        </w:tc>
      </w:tr>
      <w:tr w:rsidR="00B54D51" w:rsidRPr="00037AD4" w14:paraId="1A1FE969" w14:textId="77777777" w:rsidTr="00401C67">
        <w:trPr>
          <w:trHeight w:val="320"/>
        </w:trPr>
        <w:tc>
          <w:tcPr>
            <w:tcW w:w="732" w:type="pct"/>
            <w:noWrap/>
            <w:hideMark/>
          </w:tcPr>
          <w:p w14:paraId="356FE63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w:t>
            </w:r>
          </w:p>
        </w:tc>
        <w:tc>
          <w:tcPr>
            <w:tcW w:w="1146" w:type="pct"/>
            <w:noWrap/>
            <w:hideMark/>
          </w:tcPr>
          <w:p w14:paraId="20DF8E5F" w14:textId="77777777" w:rsidR="00B54D51" w:rsidRPr="00037AD4" w:rsidRDefault="00B54D51" w:rsidP="00401C67">
            <w:pPr>
              <w:rPr>
                <w:rFonts w:ascii="Calibri" w:hAnsi="Calibri" w:cs="Calibri"/>
                <w:color w:val="000000"/>
              </w:rPr>
            </w:pPr>
            <w:r w:rsidRPr="00037AD4">
              <w:rPr>
                <w:rFonts w:ascii="Calibri" w:hAnsi="Calibri" w:cs="Calibri"/>
                <w:color w:val="000000"/>
              </w:rPr>
              <w:t>-.466</w:t>
            </w:r>
          </w:p>
        </w:tc>
        <w:tc>
          <w:tcPr>
            <w:tcW w:w="626" w:type="pct"/>
          </w:tcPr>
          <w:p w14:paraId="3B65837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.470</w:t>
            </w:r>
          </w:p>
        </w:tc>
        <w:tc>
          <w:tcPr>
            <w:tcW w:w="356" w:type="pct"/>
            <w:noWrap/>
            <w:hideMark/>
          </w:tcPr>
          <w:p w14:paraId="407050F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-0.99</w:t>
            </w:r>
          </w:p>
        </w:tc>
        <w:tc>
          <w:tcPr>
            <w:tcW w:w="713" w:type="pct"/>
            <w:noWrap/>
            <w:hideMark/>
          </w:tcPr>
          <w:p w14:paraId="2FDF793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0.322</w:t>
            </w:r>
          </w:p>
        </w:tc>
        <w:tc>
          <w:tcPr>
            <w:tcW w:w="713" w:type="pct"/>
            <w:noWrap/>
            <w:hideMark/>
          </w:tcPr>
          <w:p w14:paraId="2B3ADAA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-1.387</w:t>
            </w:r>
          </w:p>
        </w:tc>
        <w:tc>
          <w:tcPr>
            <w:tcW w:w="713" w:type="pct"/>
            <w:noWrap/>
            <w:hideMark/>
          </w:tcPr>
          <w:p w14:paraId="0BE2E2B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0.455</w:t>
            </w:r>
          </w:p>
        </w:tc>
      </w:tr>
      <w:tr w:rsidR="00B54D51" w:rsidRPr="00037AD4" w14:paraId="1049F6D8" w14:textId="77777777" w:rsidTr="00401C67">
        <w:trPr>
          <w:trHeight w:val="320"/>
        </w:trPr>
        <w:tc>
          <w:tcPr>
            <w:tcW w:w="732" w:type="pct"/>
            <w:noWrap/>
            <w:hideMark/>
          </w:tcPr>
          <w:p w14:paraId="554A28B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w:t>
            </w:r>
          </w:p>
        </w:tc>
        <w:tc>
          <w:tcPr>
            <w:tcW w:w="1146" w:type="pct"/>
            <w:noWrap/>
            <w:hideMark/>
          </w:tcPr>
          <w:p w14:paraId="190846C7" w14:textId="77777777" w:rsidR="00B54D51" w:rsidRPr="00037AD4" w:rsidRDefault="00B54D51" w:rsidP="00401C67">
            <w:pPr>
              <w:rPr>
                <w:rFonts w:ascii="Calibri" w:hAnsi="Calibri" w:cs="Calibri"/>
                <w:color w:val="000000"/>
              </w:rPr>
            </w:pPr>
            <w:r w:rsidRPr="00037AD4">
              <w:rPr>
                <w:rFonts w:ascii="Calibri" w:hAnsi="Calibri" w:cs="Calibri"/>
                <w:color w:val="000000"/>
              </w:rPr>
              <w:t>.142</w:t>
            </w:r>
          </w:p>
        </w:tc>
        <w:tc>
          <w:tcPr>
            <w:tcW w:w="626" w:type="pct"/>
          </w:tcPr>
          <w:p w14:paraId="6D8FFB6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.022</w:t>
            </w:r>
          </w:p>
        </w:tc>
        <w:tc>
          <w:tcPr>
            <w:tcW w:w="356" w:type="pct"/>
            <w:noWrap/>
            <w:hideMark/>
          </w:tcPr>
          <w:p w14:paraId="47ACD10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6.35</w:t>
            </w:r>
          </w:p>
        </w:tc>
        <w:tc>
          <w:tcPr>
            <w:tcW w:w="713" w:type="pct"/>
            <w:noWrap/>
            <w:hideMark/>
          </w:tcPr>
          <w:p w14:paraId="4BDC946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w:t>
            </w:r>
          </w:p>
        </w:tc>
        <w:tc>
          <w:tcPr>
            <w:tcW w:w="713" w:type="pct"/>
            <w:noWrap/>
            <w:hideMark/>
          </w:tcPr>
          <w:p w14:paraId="6835DB2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0.098</w:t>
            </w:r>
          </w:p>
        </w:tc>
        <w:tc>
          <w:tcPr>
            <w:tcW w:w="713" w:type="pct"/>
            <w:noWrap/>
            <w:hideMark/>
          </w:tcPr>
          <w:p w14:paraId="7524652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0.185</w:t>
            </w:r>
          </w:p>
        </w:tc>
      </w:tr>
      <w:tr w:rsidR="00B54D51" w:rsidRPr="00037AD4" w14:paraId="7ED5EAEF" w14:textId="77777777" w:rsidTr="00401C67">
        <w:trPr>
          <w:trHeight w:val="320"/>
        </w:trPr>
        <w:tc>
          <w:tcPr>
            <w:tcW w:w="732" w:type="pct"/>
            <w:noWrap/>
            <w:hideMark/>
          </w:tcPr>
          <w:p w14:paraId="008F763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w:t>
            </w:r>
          </w:p>
        </w:tc>
        <w:tc>
          <w:tcPr>
            <w:tcW w:w="1146" w:type="pct"/>
            <w:noWrap/>
            <w:hideMark/>
          </w:tcPr>
          <w:p w14:paraId="1AB7DDBA"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.175 </w:t>
            </w:r>
          </w:p>
        </w:tc>
        <w:tc>
          <w:tcPr>
            <w:tcW w:w="626" w:type="pct"/>
          </w:tcPr>
          <w:p w14:paraId="1AC1DAB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.177</w:t>
            </w:r>
          </w:p>
        </w:tc>
        <w:tc>
          <w:tcPr>
            <w:tcW w:w="356" w:type="pct"/>
            <w:noWrap/>
            <w:hideMark/>
          </w:tcPr>
          <w:p w14:paraId="19EFD7D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0.99</w:t>
            </w:r>
          </w:p>
        </w:tc>
        <w:tc>
          <w:tcPr>
            <w:tcW w:w="713" w:type="pct"/>
            <w:noWrap/>
            <w:hideMark/>
          </w:tcPr>
          <w:p w14:paraId="2138F86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0.322</w:t>
            </w:r>
          </w:p>
        </w:tc>
        <w:tc>
          <w:tcPr>
            <w:tcW w:w="713" w:type="pct"/>
            <w:noWrap/>
            <w:hideMark/>
          </w:tcPr>
          <w:p w14:paraId="219EC26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-0.171</w:t>
            </w:r>
          </w:p>
        </w:tc>
        <w:tc>
          <w:tcPr>
            <w:tcW w:w="713" w:type="pct"/>
            <w:noWrap/>
            <w:hideMark/>
          </w:tcPr>
          <w:p w14:paraId="6294BAF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0.522</w:t>
            </w:r>
          </w:p>
        </w:tc>
      </w:tr>
      <w:tr w:rsidR="00B54D51" w:rsidRPr="00037AD4" w14:paraId="4AAF061F" w14:textId="77777777" w:rsidTr="00401C67">
        <w:trPr>
          <w:trHeight w:val="320"/>
        </w:trPr>
        <w:tc>
          <w:tcPr>
            <w:tcW w:w="732" w:type="pct"/>
            <w:noWrap/>
            <w:hideMark/>
          </w:tcPr>
          <w:p w14:paraId="6FA2E0B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w:t>
            </w:r>
          </w:p>
        </w:tc>
        <w:tc>
          <w:tcPr>
            <w:tcW w:w="1146" w:type="pct"/>
            <w:noWrap/>
            <w:hideMark/>
          </w:tcPr>
          <w:p w14:paraId="56948DB2"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.091  </w:t>
            </w:r>
          </w:p>
        </w:tc>
        <w:tc>
          <w:tcPr>
            <w:tcW w:w="626" w:type="pct"/>
          </w:tcPr>
          <w:p w14:paraId="1C0CDA2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.160</w:t>
            </w:r>
          </w:p>
        </w:tc>
        <w:tc>
          <w:tcPr>
            <w:tcW w:w="356" w:type="pct"/>
            <w:noWrap/>
            <w:hideMark/>
          </w:tcPr>
          <w:p w14:paraId="341ADB7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0.57</w:t>
            </w:r>
          </w:p>
        </w:tc>
        <w:tc>
          <w:tcPr>
            <w:tcW w:w="713" w:type="pct"/>
            <w:noWrap/>
            <w:hideMark/>
          </w:tcPr>
          <w:p w14:paraId="0563673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0.569</w:t>
            </w:r>
          </w:p>
        </w:tc>
        <w:tc>
          <w:tcPr>
            <w:tcW w:w="713" w:type="pct"/>
            <w:noWrap/>
            <w:hideMark/>
          </w:tcPr>
          <w:p w14:paraId="517C494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-0.222</w:t>
            </w:r>
          </w:p>
        </w:tc>
        <w:tc>
          <w:tcPr>
            <w:tcW w:w="713" w:type="pct"/>
            <w:noWrap/>
            <w:hideMark/>
          </w:tcPr>
          <w:p w14:paraId="28150D6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0.404</w:t>
            </w:r>
          </w:p>
        </w:tc>
      </w:tr>
      <w:tr w:rsidR="00B54D51" w:rsidRPr="00037AD4" w14:paraId="727D4A3C" w14:textId="77777777" w:rsidTr="00401C67">
        <w:trPr>
          <w:trHeight w:val="320"/>
        </w:trPr>
        <w:tc>
          <w:tcPr>
            <w:tcW w:w="732" w:type="pct"/>
            <w:noWrap/>
            <w:hideMark/>
          </w:tcPr>
          <w:p w14:paraId="378AC2D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5</w:t>
            </w:r>
          </w:p>
        </w:tc>
        <w:tc>
          <w:tcPr>
            <w:tcW w:w="1146" w:type="pct"/>
            <w:noWrap/>
            <w:hideMark/>
          </w:tcPr>
          <w:p w14:paraId="61612A9C"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.058 </w:t>
            </w:r>
          </w:p>
        </w:tc>
        <w:tc>
          <w:tcPr>
            <w:tcW w:w="626" w:type="pct"/>
          </w:tcPr>
          <w:p w14:paraId="67AC9C9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.152</w:t>
            </w:r>
          </w:p>
        </w:tc>
        <w:tc>
          <w:tcPr>
            <w:tcW w:w="356" w:type="pct"/>
            <w:noWrap/>
            <w:hideMark/>
          </w:tcPr>
          <w:p w14:paraId="63FFC7E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0.38</w:t>
            </w:r>
          </w:p>
        </w:tc>
        <w:tc>
          <w:tcPr>
            <w:tcW w:w="713" w:type="pct"/>
            <w:noWrap/>
            <w:hideMark/>
          </w:tcPr>
          <w:p w14:paraId="66A50FE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0.703</w:t>
            </w:r>
          </w:p>
        </w:tc>
        <w:tc>
          <w:tcPr>
            <w:tcW w:w="713" w:type="pct"/>
            <w:noWrap/>
            <w:hideMark/>
          </w:tcPr>
          <w:p w14:paraId="656118F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-0.240</w:t>
            </w:r>
          </w:p>
        </w:tc>
        <w:tc>
          <w:tcPr>
            <w:tcW w:w="713" w:type="pct"/>
            <w:noWrap/>
            <w:hideMark/>
          </w:tcPr>
          <w:p w14:paraId="5906BC9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0.357</w:t>
            </w:r>
          </w:p>
        </w:tc>
      </w:tr>
      <w:tr w:rsidR="00B54D51" w:rsidRPr="00037AD4" w14:paraId="5037EC50" w14:textId="77777777" w:rsidTr="00401C67">
        <w:trPr>
          <w:trHeight w:val="320"/>
        </w:trPr>
        <w:tc>
          <w:tcPr>
            <w:tcW w:w="5000" w:type="pct"/>
            <w:gridSpan w:val="7"/>
            <w:shd w:val="clear" w:color="auto" w:fill="F2F2F2" w:themeFill="background1" w:themeFillShade="F2"/>
            <w:noWrap/>
            <w:hideMark/>
          </w:tcPr>
          <w:p w14:paraId="4B95E325" w14:textId="77777777" w:rsidR="00B54D51" w:rsidRPr="00037AD4" w:rsidRDefault="00B54D51" w:rsidP="00401C67">
            <w:pPr>
              <w:rPr>
                <w:sz w:val="20"/>
                <w:szCs w:val="20"/>
              </w:rPr>
            </w:pPr>
            <w:r w:rsidRPr="00037AD4">
              <w:rPr>
                <w:rFonts w:ascii="Calibri" w:hAnsi="Calibri" w:cs="Calibri"/>
                <w:color w:val="000000"/>
              </w:rPr>
              <w:t>NPI total score, predict:</w:t>
            </w:r>
          </w:p>
        </w:tc>
      </w:tr>
      <w:tr w:rsidR="00B54D51" w:rsidRPr="00037AD4" w14:paraId="3AFAD52E" w14:textId="77777777" w:rsidTr="00401C67">
        <w:trPr>
          <w:trHeight w:val="320"/>
        </w:trPr>
        <w:tc>
          <w:tcPr>
            <w:tcW w:w="732" w:type="pct"/>
            <w:noWrap/>
            <w:hideMark/>
          </w:tcPr>
          <w:p w14:paraId="0C71AC2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w:t>
            </w:r>
          </w:p>
        </w:tc>
        <w:tc>
          <w:tcPr>
            <w:tcW w:w="1146" w:type="pct"/>
            <w:noWrap/>
            <w:hideMark/>
          </w:tcPr>
          <w:p w14:paraId="7FE62E01" w14:textId="77777777" w:rsidR="00B54D51" w:rsidRPr="00037AD4" w:rsidRDefault="00B54D51" w:rsidP="00401C67">
            <w:pPr>
              <w:rPr>
                <w:rFonts w:ascii="Calibri" w:hAnsi="Calibri" w:cs="Calibri"/>
                <w:color w:val="000000"/>
              </w:rPr>
            </w:pPr>
            <w:r w:rsidRPr="00037AD4">
              <w:rPr>
                <w:rFonts w:ascii="Calibri" w:hAnsi="Calibri" w:cs="Calibri"/>
                <w:color w:val="000000"/>
              </w:rPr>
              <w:t>-.003</w:t>
            </w:r>
          </w:p>
        </w:tc>
        <w:tc>
          <w:tcPr>
            <w:tcW w:w="626" w:type="pct"/>
          </w:tcPr>
          <w:p w14:paraId="3C7FD46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w:t>
            </w:r>
          </w:p>
        </w:tc>
        <w:tc>
          <w:tcPr>
            <w:tcW w:w="356" w:type="pct"/>
            <w:noWrap/>
            <w:hideMark/>
          </w:tcPr>
          <w:p w14:paraId="0F04269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-2.59</w:t>
            </w:r>
          </w:p>
        </w:tc>
        <w:tc>
          <w:tcPr>
            <w:tcW w:w="713" w:type="pct"/>
            <w:noWrap/>
            <w:hideMark/>
          </w:tcPr>
          <w:p w14:paraId="2D49716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w:t>
            </w:r>
          </w:p>
        </w:tc>
        <w:tc>
          <w:tcPr>
            <w:tcW w:w="713" w:type="pct"/>
            <w:noWrap/>
            <w:hideMark/>
          </w:tcPr>
          <w:p w14:paraId="758F801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-0.006</w:t>
            </w:r>
          </w:p>
        </w:tc>
        <w:tc>
          <w:tcPr>
            <w:tcW w:w="713" w:type="pct"/>
            <w:noWrap/>
            <w:hideMark/>
          </w:tcPr>
          <w:p w14:paraId="1D32A54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r>
      <w:tr w:rsidR="00B54D51" w:rsidRPr="00037AD4" w14:paraId="58A7A65A" w14:textId="77777777" w:rsidTr="00401C67">
        <w:trPr>
          <w:trHeight w:val="320"/>
        </w:trPr>
        <w:tc>
          <w:tcPr>
            <w:tcW w:w="732" w:type="pct"/>
            <w:noWrap/>
            <w:hideMark/>
          </w:tcPr>
          <w:p w14:paraId="43D1176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w:t>
            </w:r>
          </w:p>
        </w:tc>
        <w:tc>
          <w:tcPr>
            <w:tcW w:w="1146" w:type="pct"/>
            <w:noWrap/>
            <w:hideMark/>
          </w:tcPr>
          <w:p w14:paraId="477AE3FE"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.002 </w:t>
            </w:r>
          </w:p>
        </w:tc>
        <w:tc>
          <w:tcPr>
            <w:tcW w:w="626" w:type="pct"/>
          </w:tcPr>
          <w:p w14:paraId="5089557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.007</w:t>
            </w:r>
          </w:p>
        </w:tc>
        <w:tc>
          <w:tcPr>
            <w:tcW w:w="356" w:type="pct"/>
            <w:noWrap/>
            <w:hideMark/>
          </w:tcPr>
          <w:p w14:paraId="3FA1DB4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2.53</w:t>
            </w:r>
          </w:p>
        </w:tc>
        <w:tc>
          <w:tcPr>
            <w:tcW w:w="713" w:type="pct"/>
            <w:noWrap/>
            <w:hideMark/>
          </w:tcPr>
          <w:p w14:paraId="3F65189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0.011</w:t>
            </w:r>
          </w:p>
        </w:tc>
        <w:tc>
          <w:tcPr>
            <w:tcW w:w="713" w:type="pct"/>
            <w:noWrap/>
            <w:hideMark/>
          </w:tcPr>
          <w:p w14:paraId="246D39B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713" w:type="pct"/>
            <w:noWrap/>
            <w:hideMark/>
          </w:tcPr>
          <w:p w14:paraId="0D4CDC2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0.003</w:t>
            </w:r>
          </w:p>
        </w:tc>
      </w:tr>
      <w:tr w:rsidR="00B54D51" w:rsidRPr="00037AD4" w14:paraId="31199A4B" w14:textId="77777777" w:rsidTr="00401C67">
        <w:trPr>
          <w:trHeight w:val="320"/>
        </w:trPr>
        <w:tc>
          <w:tcPr>
            <w:tcW w:w="732" w:type="pct"/>
            <w:noWrap/>
            <w:hideMark/>
          </w:tcPr>
          <w:p w14:paraId="32A5BC2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w:t>
            </w:r>
          </w:p>
        </w:tc>
        <w:tc>
          <w:tcPr>
            <w:tcW w:w="1146" w:type="pct"/>
            <w:noWrap/>
            <w:hideMark/>
          </w:tcPr>
          <w:p w14:paraId="1B2F64B5"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.001 </w:t>
            </w:r>
          </w:p>
        </w:tc>
        <w:tc>
          <w:tcPr>
            <w:tcW w:w="626" w:type="pct"/>
          </w:tcPr>
          <w:p w14:paraId="04372D0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w:t>
            </w:r>
          </w:p>
        </w:tc>
        <w:tc>
          <w:tcPr>
            <w:tcW w:w="356" w:type="pct"/>
            <w:noWrap/>
            <w:hideMark/>
          </w:tcPr>
          <w:p w14:paraId="53C62A2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2.52</w:t>
            </w:r>
          </w:p>
        </w:tc>
        <w:tc>
          <w:tcPr>
            <w:tcW w:w="713" w:type="pct"/>
            <w:noWrap/>
            <w:hideMark/>
          </w:tcPr>
          <w:p w14:paraId="744BC2C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0.012</w:t>
            </w:r>
          </w:p>
        </w:tc>
        <w:tc>
          <w:tcPr>
            <w:tcW w:w="713" w:type="pct"/>
            <w:noWrap/>
            <w:hideMark/>
          </w:tcPr>
          <w:p w14:paraId="197C375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713" w:type="pct"/>
            <w:noWrap/>
            <w:hideMark/>
          </w:tcPr>
          <w:p w14:paraId="4D64DA5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0.002</w:t>
            </w:r>
          </w:p>
        </w:tc>
      </w:tr>
      <w:tr w:rsidR="00B54D51" w:rsidRPr="00037AD4" w14:paraId="76EEF8AB" w14:textId="77777777" w:rsidTr="00401C67">
        <w:trPr>
          <w:trHeight w:val="320"/>
        </w:trPr>
        <w:tc>
          <w:tcPr>
            <w:tcW w:w="732" w:type="pct"/>
            <w:noWrap/>
            <w:hideMark/>
          </w:tcPr>
          <w:p w14:paraId="3E4102C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w:t>
            </w:r>
          </w:p>
        </w:tc>
        <w:tc>
          <w:tcPr>
            <w:tcW w:w="1146" w:type="pct"/>
            <w:noWrap/>
            <w:hideMark/>
          </w:tcPr>
          <w:p w14:paraId="5F14ED87"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.000 </w:t>
            </w:r>
          </w:p>
        </w:tc>
        <w:tc>
          <w:tcPr>
            <w:tcW w:w="626" w:type="pct"/>
          </w:tcPr>
          <w:p w14:paraId="40E92E5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w:t>
            </w:r>
          </w:p>
        </w:tc>
        <w:tc>
          <w:tcPr>
            <w:tcW w:w="356" w:type="pct"/>
            <w:noWrap/>
            <w:hideMark/>
          </w:tcPr>
          <w:p w14:paraId="4CA347F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2.07</w:t>
            </w:r>
          </w:p>
        </w:tc>
        <w:tc>
          <w:tcPr>
            <w:tcW w:w="713" w:type="pct"/>
            <w:noWrap/>
            <w:hideMark/>
          </w:tcPr>
          <w:p w14:paraId="2F0DE8A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0.039</w:t>
            </w:r>
          </w:p>
        </w:tc>
        <w:tc>
          <w:tcPr>
            <w:tcW w:w="713" w:type="pct"/>
            <w:noWrap/>
            <w:hideMark/>
          </w:tcPr>
          <w:p w14:paraId="43A3923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713" w:type="pct"/>
            <w:noWrap/>
            <w:hideMark/>
          </w:tcPr>
          <w:p w14:paraId="752DBE6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r>
      <w:tr w:rsidR="00B54D51" w:rsidRPr="00037AD4" w14:paraId="004AA1FB" w14:textId="77777777" w:rsidTr="00401C67">
        <w:trPr>
          <w:trHeight w:val="320"/>
        </w:trPr>
        <w:tc>
          <w:tcPr>
            <w:tcW w:w="732" w:type="pct"/>
            <w:noWrap/>
            <w:hideMark/>
          </w:tcPr>
          <w:p w14:paraId="48C6A43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5</w:t>
            </w:r>
          </w:p>
        </w:tc>
        <w:tc>
          <w:tcPr>
            <w:tcW w:w="1146" w:type="pct"/>
            <w:noWrap/>
            <w:hideMark/>
          </w:tcPr>
          <w:p w14:paraId="0797BC90"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.000 </w:t>
            </w:r>
          </w:p>
        </w:tc>
        <w:tc>
          <w:tcPr>
            <w:tcW w:w="626" w:type="pct"/>
          </w:tcPr>
          <w:p w14:paraId="6329923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w:t>
            </w:r>
          </w:p>
        </w:tc>
        <w:tc>
          <w:tcPr>
            <w:tcW w:w="356" w:type="pct"/>
            <w:noWrap/>
            <w:hideMark/>
          </w:tcPr>
          <w:p w14:paraId="4CDB20C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1.84</w:t>
            </w:r>
          </w:p>
        </w:tc>
        <w:tc>
          <w:tcPr>
            <w:tcW w:w="713" w:type="pct"/>
            <w:noWrap/>
            <w:hideMark/>
          </w:tcPr>
          <w:p w14:paraId="0D8508C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0.066</w:t>
            </w:r>
          </w:p>
        </w:tc>
        <w:tc>
          <w:tcPr>
            <w:tcW w:w="713" w:type="pct"/>
            <w:noWrap/>
            <w:hideMark/>
          </w:tcPr>
          <w:p w14:paraId="43AE5A4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713" w:type="pct"/>
            <w:noWrap/>
            <w:hideMark/>
          </w:tcPr>
          <w:p w14:paraId="12CA91D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r>
      <w:tr w:rsidR="00B54D51" w:rsidRPr="00037AD4" w14:paraId="67AB7397" w14:textId="77777777" w:rsidTr="00401C67">
        <w:trPr>
          <w:trHeight w:val="320"/>
        </w:trPr>
        <w:tc>
          <w:tcPr>
            <w:tcW w:w="5000" w:type="pct"/>
            <w:gridSpan w:val="7"/>
            <w:shd w:val="clear" w:color="auto" w:fill="F2F2F2" w:themeFill="background1" w:themeFillShade="F2"/>
          </w:tcPr>
          <w:p w14:paraId="4A34D3BA"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PwD sex (base outcome = male) </w:t>
            </w:r>
          </w:p>
        </w:tc>
      </w:tr>
      <w:tr w:rsidR="00B54D51" w:rsidRPr="00037AD4" w14:paraId="05798F80" w14:textId="77777777" w:rsidTr="00401C67">
        <w:trPr>
          <w:trHeight w:val="320"/>
        </w:trPr>
        <w:tc>
          <w:tcPr>
            <w:tcW w:w="5000" w:type="pct"/>
            <w:gridSpan w:val="7"/>
            <w:shd w:val="clear" w:color="auto" w:fill="F2F2F2" w:themeFill="background1" w:themeFillShade="F2"/>
            <w:noWrap/>
            <w:hideMark/>
          </w:tcPr>
          <w:p w14:paraId="377E5B19" w14:textId="77777777" w:rsidR="00B54D51" w:rsidRPr="00037AD4" w:rsidRDefault="00B54D51" w:rsidP="00401C67">
            <w:pPr>
              <w:rPr>
                <w:sz w:val="20"/>
                <w:szCs w:val="20"/>
              </w:rPr>
            </w:pPr>
            <w:r w:rsidRPr="00037AD4">
              <w:rPr>
                <w:rFonts w:ascii="Calibri" w:hAnsi="Calibri" w:cs="Calibri"/>
                <w:color w:val="000000"/>
              </w:rPr>
              <w:t>PwD sex, female predict:</w:t>
            </w:r>
          </w:p>
        </w:tc>
      </w:tr>
      <w:tr w:rsidR="00B54D51" w:rsidRPr="00037AD4" w14:paraId="73FBDDC0" w14:textId="77777777" w:rsidTr="00401C67">
        <w:trPr>
          <w:trHeight w:val="320"/>
        </w:trPr>
        <w:tc>
          <w:tcPr>
            <w:tcW w:w="732" w:type="pct"/>
            <w:noWrap/>
            <w:hideMark/>
          </w:tcPr>
          <w:p w14:paraId="2382C49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w:t>
            </w:r>
          </w:p>
        </w:tc>
        <w:tc>
          <w:tcPr>
            <w:tcW w:w="1146" w:type="pct"/>
            <w:noWrap/>
            <w:hideMark/>
          </w:tcPr>
          <w:p w14:paraId="6ABBC8D0"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-.043 </w:t>
            </w:r>
          </w:p>
        </w:tc>
        <w:tc>
          <w:tcPr>
            <w:tcW w:w="626" w:type="pct"/>
          </w:tcPr>
          <w:p w14:paraId="4113C11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.034</w:t>
            </w:r>
          </w:p>
        </w:tc>
        <w:tc>
          <w:tcPr>
            <w:tcW w:w="356" w:type="pct"/>
            <w:noWrap/>
            <w:hideMark/>
          </w:tcPr>
          <w:p w14:paraId="2DE4181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-1.28</w:t>
            </w:r>
          </w:p>
        </w:tc>
        <w:tc>
          <w:tcPr>
            <w:tcW w:w="713" w:type="pct"/>
            <w:noWrap/>
            <w:hideMark/>
          </w:tcPr>
          <w:p w14:paraId="227C86F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0.201</w:t>
            </w:r>
          </w:p>
        </w:tc>
        <w:tc>
          <w:tcPr>
            <w:tcW w:w="713" w:type="pct"/>
            <w:noWrap/>
            <w:hideMark/>
          </w:tcPr>
          <w:p w14:paraId="1E537BF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-0.109</w:t>
            </w:r>
          </w:p>
        </w:tc>
        <w:tc>
          <w:tcPr>
            <w:tcW w:w="713" w:type="pct"/>
            <w:noWrap/>
            <w:hideMark/>
          </w:tcPr>
          <w:p w14:paraId="03C692D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0.023</w:t>
            </w:r>
          </w:p>
        </w:tc>
      </w:tr>
      <w:tr w:rsidR="00B54D51" w:rsidRPr="00037AD4" w14:paraId="1F1D7B6D" w14:textId="77777777" w:rsidTr="00401C67">
        <w:trPr>
          <w:trHeight w:val="320"/>
        </w:trPr>
        <w:tc>
          <w:tcPr>
            <w:tcW w:w="732" w:type="pct"/>
            <w:noWrap/>
            <w:hideMark/>
          </w:tcPr>
          <w:p w14:paraId="20770FE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w:t>
            </w:r>
          </w:p>
        </w:tc>
        <w:tc>
          <w:tcPr>
            <w:tcW w:w="1146" w:type="pct"/>
            <w:noWrap/>
            <w:hideMark/>
          </w:tcPr>
          <w:p w14:paraId="12AAD6A2"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.023 </w:t>
            </w:r>
          </w:p>
        </w:tc>
        <w:tc>
          <w:tcPr>
            <w:tcW w:w="626" w:type="pct"/>
          </w:tcPr>
          <w:p w14:paraId="3EF8CF0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.019</w:t>
            </w:r>
          </w:p>
        </w:tc>
        <w:tc>
          <w:tcPr>
            <w:tcW w:w="356" w:type="pct"/>
            <w:noWrap/>
            <w:hideMark/>
          </w:tcPr>
          <w:p w14:paraId="6A2B390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1.25</w:t>
            </w:r>
          </w:p>
        </w:tc>
        <w:tc>
          <w:tcPr>
            <w:tcW w:w="713" w:type="pct"/>
            <w:noWrap/>
            <w:hideMark/>
          </w:tcPr>
          <w:p w14:paraId="17369FB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0.213</w:t>
            </w:r>
          </w:p>
        </w:tc>
        <w:tc>
          <w:tcPr>
            <w:tcW w:w="713" w:type="pct"/>
            <w:noWrap/>
            <w:hideMark/>
          </w:tcPr>
          <w:p w14:paraId="259962A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-0.013</w:t>
            </w:r>
          </w:p>
        </w:tc>
        <w:tc>
          <w:tcPr>
            <w:tcW w:w="713" w:type="pct"/>
            <w:noWrap/>
            <w:hideMark/>
          </w:tcPr>
          <w:p w14:paraId="086B801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0.060</w:t>
            </w:r>
          </w:p>
        </w:tc>
      </w:tr>
      <w:tr w:rsidR="00B54D51" w:rsidRPr="00037AD4" w14:paraId="09D76FE8" w14:textId="77777777" w:rsidTr="00401C67">
        <w:trPr>
          <w:trHeight w:val="320"/>
        </w:trPr>
        <w:tc>
          <w:tcPr>
            <w:tcW w:w="732" w:type="pct"/>
            <w:noWrap/>
            <w:hideMark/>
          </w:tcPr>
          <w:p w14:paraId="4914B74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w:t>
            </w:r>
          </w:p>
        </w:tc>
        <w:tc>
          <w:tcPr>
            <w:tcW w:w="1146" w:type="pct"/>
            <w:noWrap/>
            <w:hideMark/>
          </w:tcPr>
          <w:p w14:paraId="3AC6E3FF"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.014      </w:t>
            </w:r>
          </w:p>
        </w:tc>
        <w:tc>
          <w:tcPr>
            <w:tcW w:w="626" w:type="pct"/>
          </w:tcPr>
          <w:p w14:paraId="7B258DF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.011</w:t>
            </w:r>
          </w:p>
        </w:tc>
        <w:tc>
          <w:tcPr>
            <w:tcW w:w="356" w:type="pct"/>
            <w:noWrap/>
            <w:hideMark/>
          </w:tcPr>
          <w:p w14:paraId="6AC539B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1.3</w:t>
            </w:r>
          </w:p>
        </w:tc>
        <w:tc>
          <w:tcPr>
            <w:tcW w:w="713" w:type="pct"/>
            <w:noWrap/>
            <w:hideMark/>
          </w:tcPr>
          <w:p w14:paraId="2B44FA3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0.193</w:t>
            </w:r>
          </w:p>
        </w:tc>
        <w:tc>
          <w:tcPr>
            <w:tcW w:w="713" w:type="pct"/>
            <w:noWrap/>
            <w:hideMark/>
          </w:tcPr>
          <w:p w14:paraId="1040529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-0.007</w:t>
            </w:r>
          </w:p>
        </w:tc>
        <w:tc>
          <w:tcPr>
            <w:tcW w:w="713" w:type="pct"/>
            <w:noWrap/>
            <w:hideMark/>
          </w:tcPr>
          <w:p w14:paraId="0EAC7A2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0.035</w:t>
            </w:r>
          </w:p>
        </w:tc>
      </w:tr>
      <w:tr w:rsidR="00B54D51" w:rsidRPr="00037AD4" w14:paraId="3A30E6C2" w14:textId="77777777" w:rsidTr="00401C67">
        <w:trPr>
          <w:trHeight w:val="320"/>
        </w:trPr>
        <w:tc>
          <w:tcPr>
            <w:tcW w:w="732" w:type="pct"/>
            <w:noWrap/>
            <w:hideMark/>
          </w:tcPr>
          <w:p w14:paraId="28ECD82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w:t>
            </w:r>
          </w:p>
        </w:tc>
        <w:tc>
          <w:tcPr>
            <w:tcW w:w="1146" w:type="pct"/>
            <w:noWrap/>
            <w:hideMark/>
          </w:tcPr>
          <w:p w14:paraId="212DCF00"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.004 </w:t>
            </w:r>
          </w:p>
        </w:tc>
        <w:tc>
          <w:tcPr>
            <w:tcW w:w="626" w:type="pct"/>
          </w:tcPr>
          <w:p w14:paraId="756B039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.004</w:t>
            </w:r>
          </w:p>
        </w:tc>
        <w:tc>
          <w:tcPr>
            <w:tcW w:w="356" w:type="pct"/>
            <w:noWrap/>
            <w:hideMark/>
          </w:tcPr>
          <w:p w14:paraId="2576D5B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1.24</w:t>
            </w:r>
          </w:p>
        </w:tc>
        <w:tc>
          <w:tcPr>
            <w:tcW w:w="713" w:type="pct"/>
            <w:noWrap/>
            <w:hideMark/>
          </w:tcPr>
          <w:p w14:paraId="5AF07C3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0.215</w:t>
            </w:r>
          </w:p>
        </w:tc>
        <w:tc>
          <w:tcPr>
            <w:tcW w:w="713" w:type="pct"/>
            <w:noWrap/>
            <w:hideMark/>
          </w:tcPr>
          <w:p w14:paraId="56D9CAB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-0.003</w:t>
            </w:r>
          </w:p>
        </w:tc>
        <w:tc>
          <w:tcPr>
            <w:tcW w:w="713" w:type="pct"/>
            <w:noWrap/>
            <w:hideMark/>
          </w:tcPr>
          <w:p w14:paraId="7C433AB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0.011</w:t>
            </w:r>
          </w:p>
        </w:tc>
      </w:tr>
      <w:tr w:rsidR="00B54D51" w:rsidRPr="00037AD4" w14:paraId="151AE8B6" w14:textId="77777777" w:rsidTr="00401C67">
        <w:trPr>
          <w:trHeight w:val="320"/>
        </w:trPr>
        <w:tc>
          <w:tcPr>
            <w:tcW w:w="732" w:type="pct"/>
            <w:noWrap/>
            <w:hideMark/>
          </w:tcPr>
          <w:p w14:paraId="01117D9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5</w:t>
            </w:r>
          </w:p>
        </w:tc>
        <w:tc>
          <w:tcPr>
            <w:tcW w:w="1146" w:type="pct"/>
            <w:noWrap/>
            <w:hideMark/>
          </w:tcPr>
          <w:p w14:paraId="170CC169"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.002  </w:t>
            </w:r>
          </w:p>
        </w:tc>
        <w:tc>
          <w:tcPr>
            <w:tcW w:w="626" w:type="pct"/>
          </w:tcPr>
          <w:p w14:paraId="5F6496A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w:t>
            </w:r>
          </w:p>
        </w:tc>
        <w:tc>
          <w:tcPr>
            <w:tcW w:w="356" w:type="pct"/>
            <w:noWrap/>
            <w:hideMark/>
          </w:tcPr>
          <w:p w14:paraId="30F4BB9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1.14</w:t>
            </w:r>
          </w:p>
        </w:tc>
        <w:tc>
          <w:tcPr>
            <w:tcW w:w="713" w:type="pct"/>
            <w:noWrap/>
            <w:hideMark/>
          </w:tcPr>
          <w:p w14:paraId="37CE022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0.255</w:t>
            </w:r>
          </w:p>
        </w:tc>
        <w:tc>
          <w:tcPr>
            <w:tcW w:w="713" w:type="pct"/>
            <w:noWrap/>
            <w:hideMark/>
          </w:tcPr>
          <w:p w14:paraId="75363C2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c>
          <w:tcPr>
            <w:tcW w:w="713" w:type="pct"/>
            <w:noWrap/>
            <w:hideMark/>
          </w:tcPr>
          <w:p w14:paraId="3CAEB32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0.005</w:t>
            </w:r>
          </w:p>
        </w:tc>
      </w:tr>
      <w:tr w:rsidR="00B54D51" w:rsidRPr="00037AD4" w14:paraId="6E076166" w14:textId="77777777" w:rsidTr="00401C67">
        <w:trPr>
          <w:trHeight w:val="320"/>
        </w:trPr>
        <w:tc>
          <w:tcPr>
            <w:tcW w:w="5000" w:type="pct"/>
            <w:gridSpan w:val="7"/>
            <w:shd w:val="clear" w:color="auto" w:fill="F2F2F2" w:themeFill="background1" w:themeFillShade="F2"/>
            <w:noWrap/>
            <w:hideMark/>
          </w:tcPr>
          <w:p w14:paraId="445E3AED" w14:textId="77777777" w:rsidR="00B54D51" w:rsidRPr="00037AD4" w:rsidRDefault="00B54D51" w:rsidP="00401C67">
            <w:pPr>
              <w:rPr>
                <w:sz w:val="20"/>
                <w:szCs w:val="20"/>
              </w:rPr>
            </w:pPr>
            <w:r w:rsidRPr="00037AD4">
              <w:rPr>
                <w:rFonts w:ascii="Calibri" w:hAnsi="Calibri" w:cs="Calibri"/>
                <w:color w:val="000000"/>
              </w:rPr>
              <w:t>Age of PwD, predict:</w:t>
            </w:r>
          </w:p>
        </w:tc>
      </w:tr>
      <w:tr w:rsidR="00B54D51" w:rsidRPr="00037AD4" w14:paraId="6B348595" w14:textId="77777777" w:rsidTr="00401C67">
        <w:trPr>
          <w:trHeight w:val="320"/>
        </w:trPr>
        <w:tc>
          <w:tcPr>
            <w:tcW w:w="732" w:type="pct"/>
            <w:noWrap/>
            <w:hideMark/>
          </w:tcPr>
          <w:p w14:paraId="2C3074F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lastRenderedPageBreak/>
              <w:t>1</w:t>
            </w:r>
          </w:p>
        </w:tc>
        <w:tc>
          <w:tcPr>
            <w:tcW w:w="1146" w:type="pct"/>
            <w:noWrap/>
            <w:hideMark/>
          </w:tcPr>
          <w:p w14:paraId="5A036185"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.001  </w:t>
            </w:r>
          </w:p>
        </w:tc>
        <w:tc>
          <w:tcPr>
            <w:tcW w:w="626" w:type="pct"/>
          </w:tcPr>
          <w:p w14:paraId="4EC123F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w:t>
            </w:r>
          </w:p>
        </w:tc>
        <w:tc>
          <w:tcPr>
            <w:tcW w:w="356" w:type="pct"/>
            <w:noWrap/>
            <w:hideMark/>
          </w:tcPr>
          <w:p w14:paraId="628D0C0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0.52</w:t>
            </w:r>
          </w:p>
        </w:tc>
        <w:tc>
          <w:tcPr>
            <w:tcW w:w="713" w:type="pct"/>
            <w:noWrap/>
            <w:hideMark/>
          </w:tcPr>
          <w:p w14:paraId="5814225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0.601</w:t>
            </w:r>
          </w:p>
        </w:tc>
        <w:tc>
          <w:tcPr>
            <w:tcW w:w="713" w:type="pct"/>
            <w:noWrap/>
            <w:hideMark/>
          </w:tcPr>
          <w:p w14:paraId="177658B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-0.003</w:t>
            </w:r>
          </w:p>
        </w:tc>
        <w:tc>
          <w:tcPr>
            <w:tcW w:w="713" w:type="pct"/>
            <w:noWrap/>
            <w:hideMark/>
          </w:tcPr>
          <w:p w14:paraId="3236610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0.005</w:t>
            </w:r>
          </w:p>
        </w:tc>
      </w:tr>
      <w:tr w:rsidR="00B54D51" w:rsidRPr="00037AD4" w14:paraId="6F2B22B3" w14:textId="77777777" w:rsidTr="00401C67">
        <w:trPr>
          <w:trHeight w:val="320"/>
        </w:trPr>
        <w:tc>
          <w:tcPr>
            <w:tcW w:w="732" w:type="pct"/>
            <w:noWrap/>
            <w:hideMark/>
          </w:tcPr>
          <w:p w14:paraId="58F588A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w:t>
            </w:r>
          </w:p>
        </w:tc>
        <w:tc>
          <w:tcPr>
            <w:tcW w:w="1146" w:type="pct"/>
            <w:noWrap/>
            <w:hideMark/>
          </w:tcPr>
          <w:p w14:paraId="5E879115" w14:textId="77777777" w:rsidR="00B54D51" w:rsidRPr="00037AD4" w:rsidRDefault="00B54D51" w:rsidP="00401C67">
            <w:pPr>
              <w:rPr>
                <w:rFonts w:ascii="Calibri" w:hAnsi="Calibri" w:cs="Calibri"/>
                <w:color w:val="000000"/>
              </w:rPr>
            </w:pPr>
            <w:r w:rsidRPr="00037AD4">
              <w:rPr>
                <w:rFonts w:ascii="Calibri" w:hAnsi="Calibri" w:cs="Calibri"/>
                <w:color w:val="000000"/>
              </w:rPr>
              <w:t>-.001</w:t>
            </w:r>
          </w:p>
        </w:tc>
        <w:tc>
          <w:tcPr>
            <w:tcW w:w="626" w:type="pct"/>
          </w:tcPr>
          <w:p w14:paraId="11D5B17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w:t>
            </w:r>
          </w:p>
        </w:tc>
        <w:tc>
          <w:tcPr>
            <w:tcW w:w="356" w:type="pct"/>
            <w:noWrap/>
            <w:hideMark/>
          </w:tcPr>
          <w:p w14:paraId="4E06E09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-0.52</w:t>
            </w:r>
          </w:p>
        </w:tc>
        <w:tc>
          <w:tcPr>
            <w:tcW w:w="713" w:type="pct"/>
            <w:noWrap/>
            <w:hideMark/>
          </w:tcPr>
          <w:p w14:paraId="78E345C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0.601</w:t>
            </w:r>
          </w:p>
        </w:tc>
        <w:tc>
          <w:tcPr>
            <w:tcW w:w="713" w:type="pct"/>
            <w:noWrap/>
            <w:hideMark/>
          </w:tcPr>
          <w:p w14:paraId="41F8578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-0.003</w:t>
            </w:r>
          </w:p>
        </w:tc>
        <w:tc>
          <w:tcPr>
            <w:tcW w:w="713" w:type="pct"/>
            <w:noWrap/>
            <w:hideMark/>
          </w:tcPr>
          <w:p w14:paraId="6F42C27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r>
      <w:tr w:rsidR="00B54D51" w:rsidRPr="00037AD4" w14:paraId="327775CE" w14:textId="77777777" w:rsidTr="00401C67">
        <w:trPr>
          <w:trHeight w:val="320"/>
        </w:trPr>
        <w:tc>
          <w:tcPr>
            <w:tcW w:w="732" w:type="pct"/>
            <w:noWrap/>
            <w:hideMark/>
          </w:tcPr>
          <w:p w14:paraId="64DF145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w:t>
            </w:r>
          </w:p>
        </w:tc>
        <w:tc>
          <w:tcPr>
            <w:tcW w:w="1146" w:type="pct"/>
            <w:noWrap/>
            <w:hideMark/>
          </w:tcPr>
          <w:p w14:paraId="5D1CAD1D"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-.000  </w:t>
            </w:r>
          </w:p>
        </w:tc>
        <w:tc>
          <w:tcPr>
            <w:tcW w:w="626" w:type="pct"/>
          </w:tcPr>
          <w:p w14:paraId="302A2B5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w:t>
            </w:r>
          </w:p>
        </w:tc>
        <w:tc>
          <w:tcPr>
            <w:tcW w:w="356" w:type="pct"/>
            <w:noWrap/>
            <w:hideMark/>
          </w:tcPr>
          <w:p w14:paraId="5CCE9C5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-0.53</w:t>
            </w:r>
          </w:p>
        </w:tc>
        <w:tc>
          <w:tcPr>
            <w:tcW w:w="713" w:type="pct"/>
            <w:noWrap/>
            <w:hideMark/>
          </w:tcPr>
          <w:p w14:paraId="7D4FFA8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0.599</w:t>
            </w:r>
          </w:p>
        </w:tc>
        <w:tc>
          <w:tcPr>
            <w:tcW w:w="713" w:type="pct"/>
            <w:noWrap/>
            <w:hideMark/>
          </w:tcPr>
          <w:p w14:paraId="004C3B1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-0.002</w:t>
            </w:r>
          </w:p>
        </w:tc>
        <w:tc>
          <w:tcPr>
            <w:tcW w:w="713" w:type="pct"/>
            <w:noWrap/>
            <w:hideMark/>
          </w:tcPr>
          <w:p w14:paraId="078272B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r>
      <w:tr w:rsidR="00B54D51" w:rsidRPr="00037AD4" w14:paraId="79CDE695" w14:textId="77777777" w:rsidTr="00401C67">
        <w:trPr>
          <w:trHeight w:val="320"/>
        </w:trPr>
        <w:tc>
          <w:tcPr>
            <w:tcW w:w="732" w:type="pct"/>
            <w:noWrap/>
            <w:hideMark/>
          </w:tcPr>
          <w:p w14:paraId="2BEF1ED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w:t>
            </w:r>
          </w:p>
        </w:tc>
        <w:tc>
          <w:tcPr>
            <w:tcW w:w="1146" w:type="pct"/>
            <w:noWrap/>
            <w:hideMark/>
          </w:tcPr>
          <w:p w14:paraId="0F7F05D9"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-.000 </w:t>
            </w:r>
          </w:p>
        </w:tc>
        <w:tc>
          <w:tcPr>
            <w:tcW w:w="626" w:type="pct"/>
          </w:tcPr>
          <w:p w14:paraId="1710089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w:t>
            </w:r>
          </w:p>
        </w:tc>
        <w:tc>
          <w:tcPr>
            <w:tcW w:w="356" w:type="pct"/>
            <w:noWrap/>
            <w:hideMark/>
          </w:tcPr>
          <w:p w14:paraId="5D269E9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-0.52</w:t>
            </w:r>
          </w:p>
        </w:tc>
        <w:tc>
          <w:tcPr>
            <w:tcW w:w="713" w:type="pct"/>
            <w:noWrap/>
            <w:hideMark/>
          </w:tcPr>
          <w:p w14:paraId="2D9F40F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0.607</w:t>
            </w:r>
          </w:p>
        </w:tc>
        <w:tc>
          <w:tcPr>
            <w:tcW w:w="713" w:type="pct"/>
            <w:noWrap/>
            <w:hideMark/>
          </w:tcPr>
          <w:p w14:paraId="518B282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c>
          <w:tcPr>
            <w:tcW w:w="713" w:type="pct"/>
            <w:noWrap/>
            <w:hideMark/>
          </w:tcPr>
          <w:p w14:paraId="6291434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r>
      <w:tr w:rsidR="00B54D51" w:rsidRPr="00037AD4" w14:paraId="0815350A" w14:textId="77777777" w:rsidTr="00401C67">
        <w:trPr>
          <w:trHeight w:val="320"/>
        </w:trPr>
        <w:tc>
          <w:tcPr>
            <w:tcW w:w="732" w:type="pct"/>
            <w:noWrap/>
            <w:hideMark/>
          </w:tcPr>
          <w:p w14:paraId="6B13D76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5</w:t>
            </w:r>
          </w:p>
        </w:tc>
        <w:tc>
          <w:tcPr>
            <w:tcW w:w="1146" w:type="pct"/>
            <w:noWrap/>
            <w:hideMark/>
          </w:tcPr>
          <w:p w14:paraId="733AFB81" w14:textId="77777777" w:rsidR="00B54D51" w:rsidRPr="00037AD4" w:rsidRDefault="00B54D51" w:rsidP="00401C67">
            <w:pPr>
              <w:rPr>
                <w:rFonts w:ascii="Calibri" w:hAnsi="Calibri" w:cs="Calibri"/>
                <w:color w:val="000000"/>
              </w:rPr>
            </w:pPr>
            <w:r w:rsidRPr="00037AD4">
              <w:rPr>
                <w:rFonts w:ascii="Calibri" w:hAnsi="Calibri" w:cs="Calibri"/>
                <w:color w:val="000000"/>
              </w:rPr>
              <w:t xml:space="preserve">-.000 </w:t>
            </w:r>
          </w:p>
        </w:tc>
        <w:tc>
          <w:tcPr>
            <w:tcW w:w="626" w:type="pct"/>
          </w:tcPr>
          <w:p w14:paraId="38CF7E8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w:t>
            </w:r>
          </w:p>
        </w:tc>
        <w:tc>
          <w:tcPr>
            <w:tcW w:w="356" w:type="pct"/>
            <w:noWrap/>
            <w:hideMark/>
          </w:tcPr>
          <w:p w14:paraId="0B359B7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-0.49</w:t>
            </w:r>
          </w:p>
        </w:tc>
        <w:tc>
          <w:tcPr>
            <w:tcW w:w="713" w:type="pct"/>
            <w:noWrap/>
            <w:hideMark/>
          </w:tcPr>
          <w:p w14:paraId="229B0F2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0.626</w:t>
            </w:r>
          </w:p>
        </w:tc>
        <w:tc>
          <w:tcPr>
            <w:tcW w:w="713" w:type="pct"/>
            <w:noWrap/>
            <w:hideMark/>
          </w:tcPr>
          <w:p w14:paraId="31A252D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713" w:type="pct"/>
            <w:noWrap/>
            <w:hideMark/>
          </w:tcPr>
          <w:p w14:paraId="3B50067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r>
    </w:tbl>
    <w:p w14:paraId="30A07562" w14:textId="77777777" w:rsidR="00B54D51" w:rsidRPr="00037AD4" w:rsidRDefault="00B54D51" w:rsidP="001D7ACE">
      <w:pPr>
        <w:rPr>
          <w:u w:val="single"/>
        </w:rPr>
      </w:pPr>
    </w:p>
    <w:p w14:paraId="16C405A6" w14:textId="77777777" w:rsidR="00B54D51" w:rsidRPr="00037AD4" w:rsidRDefault="00B54D51" w:rsidP="001D7ACE">
      <w:pPr>
        <w:rPr>
          <w:rFonts w:asciiTheme="minorHAnsi" w:hAnsiTheme="minorHAnsi" w:cstheme="minorHAnsi"/>
          <w:color w:val="000000" w:themeColor="text1"/>
          <w:u w:val="single"/>
        </w:rPr>
      </w:pPr>
      <w:r w:rsidRPr="00037AD4">
        <w:rPr>
          <w:rFonts w:asciiTheme="minorHAnsi" w:hAnsiTheme="minorHAnsi" w:cstheme="minorHAnsi"/>
          <w:color w:val="000000" w:themeColor="text1"/>
          <w:u w:val="single"/>
        </w:rPr>
        <w:t xml:space="preserve">Table A6.3t, “Anxiety/depression” predictive margins for EPIC data </w:t>
      </w:r>
    </w:p>
    <w:p w14:paraId="79196AFF" w14:textId="77777777" w:rsidR="00B54D51" w:rsidRPr="00037AD4" w:rsidRDefault="00B54D51" w:rsidP="001D7ACE">
      <w:pPr>
        <w:rPr>
          <w:color w:val="FF0000"/>
          <w:u w:val="single"/>
        </w:rPr>
      </w:pPr>
    </w:p>
    <w:tbl>
      <w:tblPr>
        <w:tblStyle w:val="TableGridLight"/>
        <w:tblW w:w="0" w:type="auto"/>
        <w:tblLook w:val="04A0" w:firstRow="1" w:lastRow="0" w:firstColumn="1" w:lastColumn="0" w:noHBand="0" w:noVBand="1"/>
      </w:tblPr>
      <w:tblGrid>
        <w:gridCol w:w="2564"/>
        <w:gridCol w:w="2157"/>
        <w:gridCol w:w="818"/>
        <w:gridCol w:w="946"/>
        <w:gridCol w:w="818"/>
        <w:gridCol w:w="895"/>
        <w:gridCol w:w="818"/>
      </w:tblGrid>
      <w:tr w:rsidR="00B54D51" w:rsidRPr="00037AD4" w14:paraId="26C72795" w14:textId="77777777" w:rsidTr="00401C67">
        <w:trPr>
          <w:trHeight w:val="320"/>
        </w:trPr>
        <w:tc>
          <w:tcPr>
            <w:tcW w:w="0" w:type="auto"/>
            <w:noWrap/>
            <w:hideMark/>
          </w:tcPr>
          <w:p w14:paraId="5F2AB398" w14:textId="77777777" w:rsidR="00B54D51" w:rsidRPr="00037AD4" w:rsidRDefault="00B54D51" w:rsidP="00401C67"/>
        </w:tc>
        <w:tc>
          <w:tcPr>
            <w:tcW w:w="0" w:type="auto"/>
            <w:noWrap/>
            <w:hideMark/>
          </w:tcPr>
          <w:p w14:paraId="0438AAE9" w14:textId="77777777" w:rsidR="00B54D51" w:rsidRPr="00037AD4" w:rsidRDefault="00B54D51" w:rsidP="00401C67">
            <w:pPr>
              <w:rPr>
                <w:rFonts w:ascii="Calibri" w:hAnsi="Calibri" w:cs="Calibri"/>
                <w:color w:val="000000"/>
              </w:rPr>
            </w:pPr>
            <w:r w:rsidRPr="00037AD4">
              <w:rPr>
                <w:rFonts w:ascii="Calibri" w:hAnsi="Calibri" w:cs="Calibri"/>
                <w:color w:val="000000"/>
              </w:rPr>
              <w:t>Predictive Margins</w:t>
            </w:r>
          </w:p>
        </w:tc>
        <w:tc>
          <w:tcPr>
            <w:tcW w:w="0" w:type="auto"/>
            <w:noWrap/>
            <w:hideMark/>
          </w:tcPr>
          <w:p w14:paraId="0D015436" w14:textId="77777777" w:rsidR="00B54D51" w:rsidRPr="00037AD4" w:rsidRDefault="00B54D51" w:rsidP="00401C67">
            <w:pPr>
              <w:rPr>
                <w:rFonts w:ascii="Calibri" w:hAnsi="Calibri" w:cs="Calibri"/>
                <w:color w:val="000000"/>
              </w:rPr>
            </w:pPr>
            <w:r w:rsidRPr="00037AD4">
              <w:rPr>
                <w:rFonts w:ascii="Calibri" w:hAnsi="Calibri" w:cs="Calibri"/>
                <w:color w:val="000000"/>
              </w:rPr>
              <w:t>SE</w:t>
            </w:r>
          </w:p>
        </w:tc>
        <w:tc>
          <w:tcPr>
            <w:tcW w:w="0" w:type="auto"/>
            <w:noWrap/>
            <w:hideMark/>
          </w:tcPr>
          <w:p w14:paraId="07084B80" w14:textId="77777777" w:rsidR="00B54D51" w:rsidRPr="00037AD4" w:rsidRDefault="00B54D51" w:rsidP="00401C67">
            <w:pPr>
              <w:rPr>
                <w:rFonts w:ascii="Calibri" w:hAnsi="Calibri" w:cs="Calibri"/>
                <w:color w:val="000000"/>
              </w:rPr>
            </w:pPr>
            <w:r w:rsidRPr="00037AD4">
              <w:rPr>
                <w:rFonts w:ascii="Calibri" w:hAnsi="Calibri" w:cs="Calibri"/>
                <w:color w:val="000000"/>
              </w:rPr>
              <w:t>z</w:t>
            </w:r>
          </w:p>
        </w:tc>
        <w:tc>
          <w:tcPr>
            <w:tcW w:w="0" w:type="auto"/>
            <w:noWrap/>
            <w:hideMark/>
          </w:tcPr>
          <w:p w14:paraId="64452399" w14:textId="77777777" w:rsidR="00B54D51" w:rsidRPr="00037AD4" w:rsidRDefault="00B54D51" w:rsidP="00401C67">
            <w:pPr>
              <w:rPr>
                <w:rFonts w:ascii="Calibri" w:hAnsi="Calibri" w:cs="Calibri"/>
                <w:color w:val="000000"/>
              </w:rPr>
            </w:pPr>
            <w:r w:rsidRPr="00037AD4">
              <w:rPr>
                <w:rFonts w:ascii="Calibri" w:hAnsi="Calibri" w:cs="Calibri"/>
                <w:color w:val="000000"/>
              </w:rPr>
              <w:t>P&gt;z</w:t>
            </w:r>
          </w:p>
        </w:tc>
        <w:tc>
          <w:tcPr>
            <w:tcW w:w="0" w:type="auto"/>
            <w:gridSpan w:val="2"/>
            <w:noWrap/>
            <w:hideMark/>
          </w:tcPr>
          <w:p w14:paraId="4B7383F7" w14:textId="77777777" w:rsidR="00B54D51" w:rsidRPr="00037AD4" w:rsidRDefault="00B54D51" w:rsidP="00401C67">
            <w:pPr>
              <w:rPr>
                <w:rFonts w:ascii="Calibri" w:hAnsi="Calibri" w:cs="Calibri"/>
                <w:color w:val="000000"/>
              </w:rPr>
            </w:pPr>
            <w:r w:rsidRPr="00037AD4">
              <w:rPr>
                <w:rFonts w:ascii="Calibri" w:hAnsi="Calibri" w:cs="Calibri"/>
                <w:color w:val="000000"/>
              </w:rPr>
              <w:t>[95% conf.</w:t>
            </w:r>
          </w:p>
          <w:p w14:paraId="299A7D56" w14:textId="77777777" w:rsidR="00B54D51" w:rsidRPr="00037AD4" w:rsidRDefault="00B54D51" w:rsidP="00401C67">
            <w:pPr>
              <w:rPr>
                <w:rFonts w:ascii="Calibri" w:hAnsi="Calibri" w:cs="Calibri"/>
                <w:color w:val="000000"/>
              </w:rPr>
            </w:pPr>
            <w:r w:rsidRPr="00037AD4">
              <w:rPr>
                <w:rFonts w:ascii="Calibri" w:hAnsi="Calibri" w:cs="Calibri"/>
                <w:color w:val="000000"/>
              </w:rPr>
              <w:t>interval]</w:t>
            </w:r>
          </w:p>
        </w:tc>
      </w:tr>
      <w:tr w:rsidR="00B54D51" w:rsidRPr="00037AD4" w14:paraId="3F7A3A2D" w14:textId="77777777" w:rsidTr="00401C67">
        <w:trPr>
          <w:trHeight w:val="320"/>
        </w:trPr>
        <w:tc>
          <w:tcPr>
            <w:tcW w:w="0" w:type="auto"/>
            <w:gridSpan w:val="7"/>
            <w:shd w:val="clear" w:color="auto" w:fill="E7E6E6" w:themeFill="background2"/>
            <w:noWrap/>
            <w:hideMark/>
          </w:tcPr>
          <w:p w14:paraId="414642B7" w14:textId="77777777" w:rsidR="00B54D51" w:rsidRPr="00037AD4" w:rsidRDefault="00B54D51" w:rsidP="00401C67">
            <w:pPr>
              <w:rPr>
                <w:sz w:val="20"/>
                <w:szCs w:val="20"/>
              </w:rPr>
            </w:pPr>
            <w:r w:rsidRPr="00037AD4">
              <w:rPr>
                <w:rFonts w:ascii="Calibri" w:hAnsi="Calibri" w:cs="Calibri"/>
                <w:color w:val="000000"/>
              </w:rPr>
              <w:t>Predicted Probability of PwD “anxiety/depression” by proxy “anxiety/depression” Level Reports</w:t>
            </w:r>
          </w:p>
        </w:tc>
      </w:tr>
      <w:tr w:rsidR="00B54D51" w:rsidRPr="00037AD4" w14:paraId="32EDAC39" w14:textId="77777777" w:rsidTr="00401C67">
        <w:trPr>
          <w:trHeight w:val="320"/>
        </w:trPr>
        <w:tc>
          <w:tcPr>
            <w:tcW w:w="0" w:type="auto"/>
            <w:gridSpan w:val="7"/>
            <w:shd w:val="clear" w:color="auto" w:fill="E7E6E6" w:themeFill="background2"/>
            <w:noWrap/>
          </w:tcPr>
          <w:p w14:paraId="4F16A611" w14:textId="77777777" w:rsidR="00B54D51" w:rsidRPr="00037AD4" w:rsidRDefault="00B54D51" w:rsidP="00401C67">
            <w:pPr>
              <w:rPr>
                <w:rFonts w:cstheme="minorHAnsi"/>
                <w:color w:val="000000"/>
              </w:rPr>
            </w:pPr>
            <w:r w:rsidRPr="00037AD4">
              <w:rPr>
                <w:rFonts w:cstheme="minorHAnsi"/>
              </w:rPr>
              <w:t>Predicted PwD: level one</w:t>
            </w:r>
          </w:p>
        </w:tc>
      </w:tr>
      <w:tr w:rsidR="00B54D51" w:rsidRPr="00037AD4" w14:paraId="3112FFF8" w14:textId="77777777" w:rsidTr="00401C67">
        <w:trPr>
          <w:trHeight w:val="320"/>
        </w:trPr>
        <w:tc>
          <w:tcPr>
            <w:tcW w:w="0" w:type="auto"/>
            <w:noWrap/>
            <w:hideMark/>
          </w:tcPr>
          <w:p w14:paraId="62F4DC93" w14:textId="77777777" w:rsidR="00B54D51" w:rsidRPr="00037AD4" w:rsidRDefault="00B54D51" w:rsidP="00401C67">
            <w:pPr>
              <w:rPr>
                <w:rFonts w:cstheme="minorHAnsi"/>
                <w:color w:val="000000"/>
              </w:rPr>
            </w:pPr>
            <w:r w:rsidRPr="00037AD4">
              <w:rPr>
                <w:rFonts w:cstheme="minorHAnsi"/>
              </w:rPr>
              <w:t xml:space="preserve">From level one proxy  </w:t>
            </w:r>
          </w:p>
        </w:tc>
        <w:tc>
          <w:tcPr>
            <w:tcW w:w="0" w:type="auto"/>
            <w:noWrap/>
            <w:hideMark/>
          </w:tcPr>
          <w:p w14:paraId="66BED36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0.811</w:t>
            </w:r>
          </w:p>
        </w:tc>
        <w:tc>
          <w:tcPr>
            <w:tcW w:w="0" w:type="auto"/>
            <w:noWrap/>
            <w:hideMark/>
          </w:tcPr>
          <w:p w14:paraId="41C04A9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0.016</w:t>
            </w:r>
          </w:p>
        </w:tc>
        <w:tc>
          <w:tcPr>
            <w:tcW w:w="0" w:type="auto"/>
            <w:noWrap/>
            <w:hideMark/>
          </w:tcPr>
          <w:p w14:paraId="08FA639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49.240</w:t>
            </w:r>
          </w:p>
        </w:tc>
        <w:tc>
          <w:tcPr>
            <w:tcW w:w="0" w:type="auto"/>
            <w:noWrap/>
            <w:hideMark/>
          </w:tcPr>
          <w:p w14:paraId="08CB5E7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7CF2CC9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0.779</w:t>
            </w:r>
          </w:p>
        </w:tc>
        <w:tc>
          <w:tcPr>
            <w:tcW w:w="0" w:type="auto"/>
            <w:noWrap/>
            <w:hideMark/>
          </w:tcPr>
          <w:p w14:paraId="099EEDB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0.843</w:t>
            </w:r>
          </w:p>
        </w:tc>
      </w:tr>
      <w:tr w:rsidR="00B54D51" w:rsidRPr="00037AD4" w14:paraId="668C758A" w14:textId="77777777" w:rsidTr="00401C67">
        <w:trPr>
          <w:trHeight w:val="320"/>
        </w:trPr>
        <w:tc>
          <w:tcPr>
            <w:tcW w:w="0" w:type="auto"/>
            <w:noWrap/>
            <w:hideMark/>
          </w:tcPr>
          <w:p w14:paraId="40F28930" w14:textId="77777777" w:rsidR="00B54D51" w:rsidRPr="00037AD4" w:rsidRDefault="00B54D51" w:rsidP="00401C67">
            <w:pPr>
              <w:rPr>
                <w:rFonts w:cstheme="minorHAnsi"/>
                <w:color w:val="000000"/>
              </w:rPr>
            </w:pPr>
            <w:r w:rsidRPr="00037AD4">
              <w:rPr>
                <w:rFonts w:cstheme="minorHAnsi"/>
              </w:rPr>
              <w:t xml:space="preserve">From level two proxy  </w:t>
            </w:r>
          </w:p>
        </w:tc>
        <w:tc>
          <w:tcPr>
            <w:tcW w:w="0" w:type="auto"/>
            <w:noWrap/>
            <w:hideMark/>
          </w:tcPr>
          <w:p w14:paraId="3385C3D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0.734</w:t>
            </w:r>
          </w:p>
        </w:tc>
        <w:tc>
          <w:tcPr>
            <w:tcW w:w="0" w:type="auto"/>
            <w:noWrap/>
            <w:hideMark/>
          </w:tcPr>
          <w:p w14:paraId="2DB6DAE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0.038</w:t>
            </w:r>
          </w:p>
        </w:tc>
        <w:tc>
          <w:tcPr>
            <w:tcW w:w="0" w:type="auto"/>
            <w:noWrap/>
            <w:hideMark/>
          </w:tcPr>
          <w:p w14:paraId="5AF9D5C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19.340</w:t>
            </w:r>
          </w:p>
        </w:tc>
        <w:tc>
          <w:tcPr>
            <w:tcW w:w="0" w:type="auto"/>
            <w:noWrap/>
            <w:hideMark/>
          </w:tcPr>
          <w:p w14:paraId="3D8AC35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0F74426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0.660</w:t>
            </w:r>
          </w:p>
        </w:tc>
        <w:tc>
          <w:tcPr>
            <w:tcW w:w="0" w:type="auto"/>
            <w:noWrap/>
            <w:hideMark/>
          </w:tcPr>
          <w:p w14:paraId="7A24884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0.809</w:t>
            </w:r>
          </w:p>
        </w:tc>
      </w:tr>
      <w:tr w:rsidR="00B54D51" w:rsidRPr="00037AD4" w14:paraId="37D7D240" w14:textId="77777777" w:rsidTr="00401C67">
        <w:trPr>
          <w:trHeight w:val="320"/>
        </w:trPr>
        <w:tc>
          <w:tcPr>
            <w:tcW w:w="0" w:type="auto"/>
            <w:noWrap/>
            <w:hideMark/>
          </w:tcPr>
          <w:p w14:paraId="35860B12" w14:textId="77777777" w:rsidR="00B54D51" w:rsidRPr="00037AD4" w:rsidRDefault="00B54D51" w:rsidP="00401C67">
            <w:pPr>
              <w:rPr>
                <w:rFonts w:cstheme="minorHAnsi"/>
                <w:color w:val="000000"/>
              </w:rPr>
            </w:pPr>
            <w:r w:rsidRPr="00037AD4">
              <w:rPr>
                <w:rFonts w:cstheme="minorHAnsi"/>
              </w:rPr>
              <w:t xml:space="preserve">From level three proxy  </w:t>
            </w:r>
          </w:p>
        </w:tc>
        <w:tc>
          <w:tcPr>
            <w:tcW w:w="0" w:type="auto"/>
            <w:noWrap/>
            <w:hideMark/>
          </w:tcPr>
          <w:p w14:paraId="7263868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0.592</w:t>
            </w:r>
          </w:p>
        </w:tc>
        <w:tc>
          <w:tcPr>
            <w:tcW w:w="0" w:type="auto"/>
            <w:noWrap/>
            <w:hideMark/>
          </w:tcPr>
          <w:p w14:paraId="6F2C025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0.070</w:t>
            </w:r>
          </w:p>
        </w:tc>
        <w:tc>
          <w:tcPr>
            <w:tcW w:w="0" w:type="auto"/>
            <w:noWrap/>
            <w:hideMark/>
          </w:tcPr>
          <w:p w14:paraId="0661B63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8.410</w:t>
            </w:r>
          </w:p>
        </w:tc>
        <w:tc>
          <w:tcPr>
            <w:tcW w:w="0" w:type="auto"/>
            <w:noWrap/>
            <w:hideMark/>
          </w:tcPr>
          <w:p w14:paraId="6D983F4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04BFBAA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0.454</w:t>
            </w:r>
          </w:p>
        </w:tc>
        <w:tc>
          <w:tcPr>
            <w:tcW w:w="0" w:type="auto"/>
            <w:noWrap/>
            <w:hideMark/>
          </w:tcPr>
          <w:p w14:paraId="4A68F6F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0.729</w:t>
            </w:r>
          </w:p>
        </w:tc>
      </w:tr>
      <w:tr w:rsidR="00B54D51" w:rsidRPr="00037AD4" w14:paraId="72C63715" w14:textId="77777777" w:rsidTr="00401C67">
        <w:trPr>
          <w:trHeight w:val="320"/>
        </w:trPr>
        <w:tc>
          <w:tcPr>
            <w:tcW w:w="0" w:type="auto"/>
            <w:noWrap/>
            <w:hideMark/>
          </w:tcPr>
          <w:p w14:paraId="6DA9BDA2" w14:textId="77777777" w:rsidR="00B54D51" w:rsidRPr="00037AD4" w:rsidRDefault="00B54D51" w:rsidP="00401C67">
            <w:pPr>
              <w:rPr>
                <w:rFonts w:cstheme="minorHAnsi"/>
                <w:color w:val="000000"/>
              </w:rPr>
            </w:pPr>
            <w:r w:rsidRPr="00037AD4">
              <w:rPr>
                <w:rFonts w:cstheme="minorHAnsi"/>
              </w:rPr>
              <w:t xml:space="preserve">From level four proxy  </w:t>
            </w:r>
          </w:p>
        </w:tc>
        <w:tc>
          <w:tcPr>
            <w:tcW w:w="0" w:type="auto"/>
            <w:noWrap/>
            <w:hideMark/>
          </w:tcPr>
          <w:p w14:paraId="23DCEEA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0.500</w:t>
            </w:r>
          </w:p>
        </w:tc>
        <w:tc>
          <w:tcPr>
            <w:tcW w:w="0" w:type="auto"/>
            <w:noWrap/>
            <w:hideMark/>
          </w:tcPr>
          <w:p w14:paraId="6DBB7D3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0.126</w:t>
            </w:r>
          </w:p>
        </w:tc>
        <w:tc>
          <w:tcPr>
            <w:tcW w:w="0" w:type="auto"/>
            <w:noWrap/>
            <w:hideMark/>
          </w:tcPr>
          <w:p w14:paraId="4CBF81F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3.980</w:t>
            </w:r>
          </w:p>
        </w:tc>
        <w:tc>
          <w:tcPr>
            <w:tcW w:w="0" w:type="auto"/>
            <w:noWrap/>
            <w:hideMark/>
          </w:tcPr>
          <w:p w14:paraId="69E8E82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271FAFD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0.254</w:t>
            </w:r>
          </w:p>
        </w:tc>
        <w:tc>
          <w:tcPr>
            <w:tcW w:w="0" w:type="auto"/>
            <w:noWrap/>
            <w:hideMark/>
          </w:tcPr>
          <w:p w14:paraId="05AA568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0.746</w:t>
            </w:r>
          </w:p>
        </w:tc>
      </w:tr>
      <w:tr w:rsidR="00B54D51" w:rsidRPr="00037AD4" w14:paraId="4DB94DB7" w14:textId="77777777" w:rsidTr="00401C67">
        <w:trPr>
          <w:trHeight w:val="320"/>
        </w:trPr>
        <w:tc>
          <w:tcPr>
            <w:tcW w:w="0" w:type="auto"/>
            <w:noWrap/>
            <w:hideMark/>
          </w:tcPr>
          <w:p w14:paraId="393C09C1" w14:textId="77777777" w:rsidR="00B54D51" w:rsidRPr="00037AD4" w:rsidRDefault="00B54D51" w:rsidP="00401C67">
            <w:pPr>
              <w:rPr>
                <w:rFonts w:cstheme="minorHAnsi"/>
                <w:color w:val="000000"/>
              </w:rPr>
            </w:pPr>
            <w:r w:rsidRPr="00037AD4">
              <w:rPr>
                <w:rFonts w:cstheme="minorHAnsi"/>
              </w:rPr>
              <w:t xml:space="preserve">From level five proxy  </w:t>
            </w:r>
          </w:p>
        </w:tc>
        <w:tc>
          <w:tcPr>
            <w:tcW w:w="0" w:type="auto"/>
            <w:noWrap/>
            <w:hideMark/>
          </w:tcPr>
          <w:p w14:paraId="4F4F04F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0.345</w:t>
            </w:r>
          </w:p>
        </w:tc>
        <w:tc>
          <w:tcPr>
            <w:tcW w:w="0" w:type="auto"/>
            <w:noWrap/>
            <w:hideMark/>
          </w:tcPr>
          <w:p w14:paraId="257E0EA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0.469</w:t>
            </w:r>
          </w:p>
        </w:tc>
        <w:tc>
          <w:tcPr>
            <w:tcW w:w="0" w:type="auto"/>
            <w:noWrap/>
            <w:hideMark/>
          </w:tcPr>
          <w:p w14:paraId="7005333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0.730</w:t>
            </w:r>
          </w:p>
        </w:tc>
        <w:tc>
          <w:tcPr>
            <w:tcW w:w="0" w:type="auto"/>
            <w:noWrap/>
            <w:hideMark/>
          </w:tcPr>
          <w:p w14:paraId="128A022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0.462</w:t>
            </w:r>
          </w:p>
        </w:tc>
        <w:tc>
          <w:tcPr>
            <w:tcW w:w="0" w:type="auto"/>
            <w:noWrap/>
            <w:hideMark/>
          </w:tcPr>
          <w:p w14:paraId="53811E6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-0.575</w:t>
            </w:r>
          </w:p>
        </w:tc>
        <w:tc>
          <w:tcPr>
            <w:tcW w:w="0" w:type="auto"/>
            <w:noWrap/>
            <w:hideMark/>
          </w:tcPr>
          <w:p w14:paraId="1B77606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1.265</w:t>
            </w:r>
          </w:p>
        </w:tc>
      </w:tr>
      <w:tr w:rsidR="00B54D51" w:rsidRPr="00037AD4" w14:paraId="3DCAB80D" w14:textId="77777777" w:rsidTr="00401C67">
        <w:trPr>
          <w:trHeight w:val="320"/>
        </w:trPr>
        <w:tc>
          <w:tcPr>
            <w:tcW w:w="0" w:type="auto"/>
            <w:gridSpan w:val="7"/>
            <w:shd w:val="clear" w:color="auto" w:fill="E7E6E6" w:themeFill="background2"/>
            <w:noWrap/>
          </w:tcPr>
          <w:p w14:paraId="58E75592" w14:textId="77777777" w:rsidR="00B54D51" w:rsidRPr="00037AD4" w:rsidRDefault="00B54D51" w:rsidP="00401C67">
            <w:pPr>
              <w:rPr>
                <w:rFonts w:ascii="Calibri" w:hAnsi="Calibri" w:cs="Calibri"/>
                <w:color w:val="000000"/>
              </w:rPr>
            </w:pPr>
            <w:r w:rsidRPr="00037AD4">
              <w:rPr>
                <w:rFonts w:cstheme="minorHAnsi"/>
              </w:rPr>
              <w:t>Predicted PwD: level two</w:t>
            </w:r>
          </w:p>
        </w:tc>
      </w:tr>
      <w:tr w:rsidR="00B54D51" w:rsidRPr="00037AD4" w14:paraId="76A728E9" w14:textId="77777777" w:rsidTr="00401C67">
        <w:trPr>
          <w:trHeight w:val="320"/>
        </w:trPr>
        <w:tc>
          <w:tcPr>
            <w:tcW w:w="0" w:type="auto"/>
            <w:noWrap/>
            <w:hideMark/>
          </w:tcPr>
          <w:p w14:paraId="2503A7C9" w14:textId="77777777" w:rsidR="00B54D51" w:rsidRPr="00037AD4" w:rsidRDefault="00B54D51" w:rsidP="00401C67">
            <w:pPr>
              <w:rPr>
                <w:rFonts w:ascii="Calibri" w:hAnsi="Calibri" w:cs="Calibri"/>
                <w:color w:val="000000"/>
              </w:rPr>
            </w:pPr>
            <w:r w:rsidRPr="00037AD4">
              <w:rPr>
                <w:rFonts w:cstheme="minorHAnsi"/>
              </w:rPr>
              <w:t xml:space="preserve">From level one proxy  </w:t>
            </w:r>
          </w:p>
        </w:tc>
        <w:tc>
          <w:tcPr>
            <w:tcW w:w="0" w:type="auto"/>
            <w:noWrap/>
            <w:hideMark/>
          </w:tcPr>
          <w:p w14:paraId="1848946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0.132</w:t>
            </w:r>
          </w:p>
        </w:tc>
        <w:tc>
          <w:tcPr>
            <w:tcW w:w="0" w:type="auto"/>
            <w:noWrap/>
            <w:hideMark/>
          </w:tcPr>
          <w:p w14:paraId="3372DB3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0.013</w:t>
            </w:r>
          </w:p>
        </w:tc>
        <w:tc>
          <w:tcPr>
            <w:tcW w:w="0" w:type="auto"/>
            <w:noWrap/>
            <w:hideMark/>
          </w:tcPr>
          <w:p w14:paraId="58516B2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10.490</w:t>
            </w:r>
          </w:p>
        </w:tc>
        <w:tc>
          <w:tcPr>
            <w:tcW w:w="0" w:type="auto"/>
            <w:noWrap/>
            <w:hideMark/>
          </w:tcPr>
          <w:p w14:paraId="4687C52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61A24B4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0.108</w:t>
            </w:r>
          </w:p>
        </w:tc>
        <w:tc>
          <w:tcPr>
            <w:tcW w:w="0" w:type="auto"/>
            <w:noWrap/>
            <w:hideMark/>
          </w:tcPr>
          <w:p w14:paraId="2A2F60F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0.157</w:t>
            </w:r>
          </w:p>
        </w:tc>
      </w:tr>
      <w:tr w:rsidR="00B54D51" w:rsidRPr="00037AD4" w14:paraId="5EB46D66" w14:textId="77777777" w:rsidTr="00401C67">
        <w:trPr>
          <w:trHeight w:val="320"/>
        </w:trPr>
        <w:tc>
          <w:tcPr>
            <w:tcW w:w="0" w:type="auto"/>
            <w:noWrap/>
            <w:hideMark/>
          </w:tcPr>
          <w:p w14:paraId="05D95C4C" w14:textId="77777777" w:rsidR="00B54D51" w:rsidRPr="00037AD4" w:rsidRDefault="00B54D51" w:rsidP="00401C67">
            <w:pPr>
              <w:rPr>
                <w:rFonts w:ascii="Calibri" w:hAnsi="Calibri" w:cs="Calibri"/>
                <w:color w:val="000000"/>
              </w:rPr>
            </w:pPr>
            <w:r w:rsidRPr="00037AD4">
              <w:rPr>
                <w:rFonts w:cstheme="minorHAnsi"/>
              </w:rPr>
              <w:t xml:space="preserve">From level two proxy  </w:t>
            </w:r>
          </w:p>
        </w:tc>
        <w:tc>
          <w:tcPr>
            <w:tcW w:w="0" w:type="auto"/>
            <w:noWrap/>
            <w:hideMark/>
          </w:tcPr>
          <w:p w14:paraId="7EB6879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0.173</w:t>
            </w:r>
          </w:p>
        </w:tc>
        <w:tc>
          <w:tcPr>
            <w:tcW w:w="0" w:type="auto"/>
            <w:noWrap/>
            <w:hideMark/>
          </w:tcPr>
          <w:p w14:paraId="3B7C2CE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0.023</w:t>
            </w:r>
          </w:p>
        </w:tc>
        <w:tc>
          <w:tcPr>
            <w:tcW w:w="0" w:type="auto"/>
            <w:noWrap/>
            <w:hideMark/>
          </w:tcPr>
          <w:p w14:paraId="25D388B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7.640</w:t>
            </w:r>
          </w:p>
        </w:tc>
        <w:tc>
          <w:tcPr>
            <w:tcW w:w="0" w:type="auto"/>
            <w:noWrap/>
            <w:hideMark/>
          </w:tcPr>
          <w:p w14:paraId="3F3186F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6A127B9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0.129</w:t>
            </w:r>
          </w:p>
        </w:tc>
        <w:tc>
          <w:tcPr>
            <w:tcW w:w="0" w:type="auto"/>
            <w:noWrap/>
            <w:hideMark/>
          </w:tcPr>
          <w:p w14:paraId="621BC72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0.218</w:t>
            </w:r>
          </w:p>
        </w:tc>
      </w:tr>
      <w:tr w:rsidR="00B54D51" w:rsidRPr="00037AD4" w14:paraId="4EBB0B6D" w14:textId="77777777" w:rsidTr="00401C67">
        <w:trPr>
          <w:trHeight w:val="320"/>
        </w:trPr>
        <w:tc>
          <w:tcPr>
            <w:tcW w:w="0" w:type="auto"/>
            <w:noWrap/>
            <w:hideMark/>
          </w:tcPr>
          <w:p w14:paraId="4AD5C569" w14:textId="77777777" w:rsidR="00B54D51" w:rsidRPr="00037AD4" w:rsidRDefault="00B54D51" w:rsidP="00401C67">
            <w:pPr>
              <w:rPr>
                <w:rFonts w:ascii="Calibri" w:hAnsi="Calibri" w:cs="Calibri"/>
                <w:color w:val="000000"/>
              </w:rPr>
            </w:pPr>
            <w:r w:rsidRPr="00037AD4">
              <w:rPr>
                <w:rFonts w:cstheme="minorHAnsi"/>
              </w:rPr>
              <w:t xml:space="preserve">From level three proxy  </w:t>
            </w:r>
          </w:p>
        </w:tc>
        <w:tc>
          <w:tcPr>
            <w:tcW w:w="0" w:type="auto"/>
            <w:noWrap/>
            <w:hideMark/>
          </w:tcPr>
          <w:p w14:paraId="0603217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0.233</w:t>
            </w:r>
          </w:p>
        </w:tc>
        <w:tc>
          <w:tcPr>
            <w:tcW w:w="0" w:type="auto"/>
            <w:noWrap/>
            <w:hideMark/>
          </w:tcPr>
          <w:p w14:paraId="4126ACC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0.030</w:t>
            </w:r>
          </w:p>
        </w:tc>
        <w:tc>
          <w:tcPr>
            <w:tcW w:w="0" w:type="auto"/>
            <w:noWrap/>
            <w:hideMark/>
          </w:tcPr>
          <w:p w14:paraId="03BF98D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7.810</w:t>
            </w:r>
          </w:p>
        </w:tc>
        <w:tc>
          <w:tcPr>
            <w:tcW w:w="0" w:type="auto"/>
            <w:noWrap/>
            <w:hideMark/>
          </w:tcPr>
          <w:p w14:paraId="6856AF8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6098452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0.174</w:t>
            </w:r>
          </w:p>
        </w:tc>
        <w:tc>
          <w:tcPr>
            <w:tcW w:w="0" w:type="auto"/>
            <w:noWrap/>
            <w:hideMark/>
          </w:tcPr>
          <w:p w14:paraId="4CA0C53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0.291</w:t>
            </w:r>
          </w:p>
        </w:tc>
      </w:tr>
      <w:tr w:rsidR="00B54D51" w:rsidRPr="00037AD4" w14:paraId="14D5BCD0" w14:textId="77777777" w:rsidTr="00401C67">
        <w:trPr>
          <w:trHeight w:val="320"/>
        </w:trPr>
        <w:tc>
          <w:tcPr>
            <w:tcW w:w="0" w:type="auto"/>
            <w:noWrap/>
            <w:hideMark/>
          </w:tcPr>
          <w:p w14:paraId="78B227C4" w14:textId="77777777" w:rsidR="00B54D51" w:rsidRPr="00037AD4" w:rsidRDefault="00B54D51" w:rsidP="00401C67">
            <w:pPr>
              <w:rPr>
                <w:rFonts w:ascii="Calibri" w:hAnsi="Calibri" w:cs="Calibri"/>
                <w:color w:val="000000"/>
              </w:rPr>
            </w:pPr>
            <w:r w:rsidRPr="00037AD4">
              <w:rPr>
                <w:rFonts w:cstheme="minorHAnsi"/>
              </w:rPr>
              <w:t xml:space="preserve">From level four proxy  </w:t>
            </w:r>
          </w:p>
        </w:tc>
        <w:tc>
          <w:tcPr>
            <w:tcW w:w="0" w:type="auto"/>
            <w:noWrap/>
            <w:hideMark/>
          </w:tcPr>
          <w:p w14:paraId="65AC7BD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0.258</w:t>
            </w:r>
          </w:p>
        </w:tc>
        <w:tc>
          <w:tcPr>
            <w:tcW w:w="0" w:type="auto"/>
            <w:noWrap/>
            <w:hideMark/>
          </w:tcPr>
          <w:p w14:paraId="2518E29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0.035</w:t>
            </w:r>
          </w:p>
        </w:tc>
        <w:tc>
          <w:tcPr>
            <w:tcW w:w="0" w:type="auto"/>
            <w:noWrap/>
            <w:hideMark/>
          </w:tcPr>
          <w:p w14:paraId="46BAA19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7.420</w:t>
            </w:r>
          </w:p>
        </w:tc>
        <w:tc>
          <w:tcPr>
            <w:tcW w:w="0" w:type="auto"/>
            <w:noWrap/>
            <w:hideMark/>
          </w:tcPr>
          <w:p w14:paraId="00D6D23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4C4A403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0.190</w:t>
            </w:r>
          </w:p>
        </w:tc>
        <w:tc>
          <w:tcPr>
            <w:tcW w:w="0" w:type="auto"/>
            <w:noWrap/>
            <w:hideMark/>
          </w:tcPr>
          <w:p w14:paraId="578E9AC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0.326</w:t>
            </w:r>
          </w:p>
        </w:tc>
      </w:tr>
      <w:tr w:rsidR="00B54D51" w:rsidRPr="00037AD4" w14:paraId="21662E2C" w14:textId="77777777" w:rsidTr="00401C67">
        <w:trPr>
          <w:trHeight w:val="320"/>
        </w:trPr>
        <w:tc>
          <w:tcPr>
            <w:tcW w:w="0" w:type="auto"/>
            <w:noWrap/>
            <w:hideMark/>
          </w:tcPr>
          <w:p w14:paraId="66B92138" w14:textId="77777777" w:rsidR="00B54D51" w:rsidRPr="00037AD4" w:rsidRDefault="00B54D51" w:rsidP="00401C67">
            <w:pPr>
              <w:rPr>
                <w:rFonts w:ascii="Calibri" w:hAnsi="Calibri" w:cs="Calibri"/>
                <w:color w:val="000000"/>
              </w:rPr>
            </w:pPr>
            <w:r w:rsidRPr="00037AD4">
              <w:rPr>
                <w:rFonts w:cstheme="minorHAnsi"/>
              </w:rPr>
              <w:t xml:space="preserve">From level five proxy  </w:t>
            </w:r>
          </w:p>
        </w:tc>
        <w:tc>
          <w:tcPr>
            <w:tcW w:w="0" w:type="auto"/>
            <w:noWrap/>
            <w:hideMark/>
          </w:tcPr>
          <w:p w14:paraId="673C613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0.274</w:t>
            </w:r>
          </w:p>
        </w:tc>
        <w:tc>
          <w:tcPr>
            <w:tcW w:w="0" w:type="auto"/>
            <w:noWrap/>
            <w:hideMark/>
          </w:tcPr>
          <w:p w14:paraId="126B8A0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0.027</w:t>
            </w:r>
          </w:p>
        </w:tc>
        <w:tc>
          <w:tcPr>
            <w:tcW w:w="0" w:type="auto"/>
            <w:noWrap/>
            <w:hideMark/>
          </w:tcPr>
          <w:p w14:paraId="429BD83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10.290</w:t>
            </w:r>
          </w:p>
        </w:tc>
        <w:tc>
          <w:tcPr>
            <w:tcW w:w="0" w:type="auto"/>
            <w:noWrap/>
            <w:hideMark/>
          </w:tcPr>
          <w:p w14:paraId="6FC3428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30DBE88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0.222</w:t>
            </w:r>
          </w:p>
        </w:tc>
        <w:tc>
          <w:tcPr>
            <w:tcW w:w="0" w:type="auto"/>
            <w:noWrap/>
            <w:hideMark/>
          </w:tcPr>
          <w:p w14:paraId="7F74080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0.326</w:t>
            </w:r>
          </w:p>
        </w:tc>
      </w:tr>
      <w:tr w:rsidR="00B54D51" w:rsidRPr="00037AD4" w14:paraId="4CDCB639" w14:textId="77777777" w:rsidTr="00401C67">
        <w:trPr>
          <w:trHeight w:val="320"/>
        </w:trPr>
        <w:tc>
          <w:tcPr>
            <w:tcW w:w="0" w:type="auto"/>
            <w:gridSpan w:val="7"/>
            <w:shd w:val="clear" w:color="auto" w:fill="E7E6E6" w:themeFill="background2"/>
            <w:noWrap/>
          </w:tcPr>
          <w:p w14:paraId="6806183C" w14:textId="77777777" w:rsidR="00B54D51" w:rsidRPr="00037AD4" w:rsidRDefault="00B54D51" w:rsidP="00401C67">
            <w:pPr>
              <w:rPr>
                <w:rFonts w:ascii="Calibri" w:hAnsi="Calibri" w:cs="Calibri"/>
                <w:color w:val="000000"/>
              </w:rPr>
            </w:pPr>
            <w:r w:rsidRPr="00037AD4">
              <w:rPr>
                <w:rFonts w:cstheme="minorHAnsi"/>
              </w:rPr>
              <w:t>Predicted PwD: level three</w:t>
            </w:r>
          </w:p>
        </w:tc>
      </w:tr>
      <w:tr w:rsidR="00B54D51" w:rsidRPr="00037AD4" w14:paraId="0F3927F9" w14:textId="77777777" w:rsidTr="00401C67">
        <w:trPr>
          <w:trHeight w:val="320"/>
        </w:trPr>
        <w:tc>
          <w:tcPr>
            <w:tcW w:w="0" w:type="auto"/>
            <w:noWrap/>
            <w:hideMark/>
          </w:tcPr>
          <w:p w14:paraId="4A478F49" w14:textId="77777777" w:rsidR="00B54D51" w:rsidRPr="00037AD4" w:rsidRDefault="00B54D51" w:rsidP="00401C67">
            <w:pPr>
              <w:rPr>
                <w:rFonts w:ascii="Calibri" w:hAnsi="Calibri" w:cs="Calibri"/>
                <w:color w:val="000000"/>
              </w:rPr>
            </w:pPr>
            <w:r w:rsidRPr="00037AD4">
              <w:rPr>
                <w:rFonts w:cstheme="minorHAnsi"/>
              </w:rPr>
              <w:t xml:space="preserve">From level one proxy  </w:t>
            </w:r>
          </w:p>
        </w:tc>
        <w:tc>
          <w:tcPr>
            <w:tcW w:w="0" w:type="auto"/>
            <w:noWrap/>
            <w:hideMark/>
          </w:tcPr>
          <w:p w14:paraId="3650B08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0.045</w:t>
            </w:r>
          </w:p>
        </w:tc>
        <w:tc>
          <w:tcPr>
            <w:tcW w:w="0" w:type="auto"/>
            <w:noWrap/>
            <w:hideMark/>
          </w:tcPr>
          <w:p w14:paraId="5091BA3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0.007</w:t>
            </w:r>
          </w:p>
        </w:tc>
        <w:tc>
          <w:tcPr>
            <w:tcW w:w="0" w:type="auto"/>
            <w:noWrap/>
            <w:hideMark/>
          </w:tcPr>
          <w:p w14:paraId="01A16AC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6.130</w:t>
            </w:r>
          </w:p>
        </w:tc>
        <w:tc>
          <w:tcPr>
            <w:tcW w:w="0" w:type="auto"/>
            <w:noWrap/>
            <w:hideMark/>
          </w:tcPr>
          <w:p w14:paraId="288B3BB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007F0EB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0.031</w:t>
            </w:r>
          </w:p>
        </w:tc>
        <w:tc>
          <w:tcPr>
            <w:tcW w:w="0" w:type="auto"/>
            <w:noWrap/>
            <w:hideMark/>
          </w:tcPr>
          <w:p w14:paraId="25642DA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0.060</w:t>
            </w:r>
          </w:p>
        </w:tc>
      </w:tr>
      <w:tr w:rsidR="00B54D51" w:rsidRPr="00037AD4" w14:paraId="3F764C90" w14:textId="77777777" w:rsidTr="00401C67">
        <w:trPr>
          <w:trHeight w:val="320"/>
        </w:trPr>
        <w:tc>
          <w:tcPr>
            <w:tcW w:w="0" w:type="auto"/>
            <w:noWrap/>
            <w:hideMark/>
          </w:tcPr>
          <w:p w14:paraId="1EBF21D3" w14:textId="77777777" w:rsidR="00B54D51" w:rsidRPr="00037AD4" w:rsidRDefault="00B54D51" w:rsidP="00401C67">
            <w:pPr>
              <w:rPr>
                <w:rFonts w:ascii="Calibri" w:hAnsi="Calibri" w:cs="Calibri"/>
                <w:color w:val="000000"/>
              </w:rPr>
            </w:pPr>
            <w:r w:rsidRPr="00037AD4">
              <w:rPr>
                <w:rFonts w:cstheme="minorHAnsi"/>
              </w:rPr>
              <w:t xml:space="preserve">From level two proxy  </w:t>
            </w:r>
          </w:p>
        </w:tc>
        <w:tc>
          <w:tcPr>
            <w:tcW w:w="0" w:type="auto"/>
            <w:noWrap/>
            <w:hideMark/>
          </w:tcPr>
          <w:p w14:paraId="25814F2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0.070</w:t>
            </w:r>
          </w:p>
        </w:tc>
        <w:tc>
          <w:tcPr>
            <w:tcW w:w="0" w:type="auto"/>
            <w:noWrap/>
            <w:hideMark/>
          </w:tcPr>
          <w:p w14:paraId="6CC576A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0.015</w:t>
            </w:r>
          </w:p>
        </w:tc>
        <w:tc>
          <w:tcPr>
            <w:tcW w:w="0" w:type="auto"/>
            <w:noWrap/>
            <w:hideMark/>
          </w:tcPr>
          <w:p w14:paraId="6E660AC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4.680</w:t>
            </w:r>
          </w:p>
        </w:tc>
        <w:tc>
          <w:tcPr>
            <w:tcW w:w="0" w:type="auto"/>
            <w:noWrap/>
            <w:hideMark/>
          </w:tcPr>
          <w:p w14:paraId="5BB88F5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525F0F9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0.041</w:t>
            </w:r>
          </w:p>
        </w:tc>
        <w:tc>
          <w:tcPr>
            <w:tcW w:w="0" w:type="auto"/>
            <w:noWrap/>
            <w:hideMark/>
          </w:tcPr>
          <w:p w14:paraId="23E5BC5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0.100</w:t>
            </w:r>
          </w:p>
        </w:tc>
      </w:tr>
      <w:tr w:rsidR="00B54D51" w:rsidRPr="00037AD4" w14:paraId="09DE972B" w14:textId="77777777" w:rsidTr="00401C67">
        <w:trPr>
          <w:trHeight w:val="320"/>
        </w:trPr>
        <w:tc>
          <w:tcPr>
            <w:tcW w:w="0" w:type="auto"/>
            <w:noWrap/>
            <w:hideMark/>
          </w:tcPr>
          <w:p w14:paraId="386401AF" w14:textId="77777777" w:rsidR="00B54D51" w:rsidRPr="00037AD4" w:rsidRDefault="00B54D51" w:rsidP="00401C67">
            <w:pPr>
              <w:rPr>
                <w:rFonts w:ascii="Calibri" w:hAnsi="Calibri" w:cs="Calibri"/>
                <w:color w:val="000000"/>
              </w:rPr>
            </w:pPr>
            <w:r w:rsidRPr="00037AD4">
              <w:rPr>
                <w:rFonts w:cstheme="minorHAnsi"/>
              </w:rPr>
              <w:t xml:space="preserve">From level three proxy  </w:t>
            </w:r>
          </w:p>
        </w:tc>
        <w:tc>
          <w:tcPr>
            <w:tcW w:w="0" w:type="auto"/>
            <w:noWrap/>
            <w:hideMark/>
          </w:tcPr>
          <w:p w14:paraId="6FA17A7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0.123</w:t>
            </w:r>
          </w:p>
        </w:tc>
        <w:tc>
          <w:tcPr>
            <w:tcW w:w="0" w:type="auto"/>
            <w:noWrap/>
            <w:hideMark/>
          </w:tcPr>
          <w:p w14:paraId="20E392D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0.032</w:t>
            </w:r>
          </w:p>
        </w:tc>
        <w:tc>
          <w:tcPr>
            <w:tcW w:w="0" w:type="auto"/>
            <w:noWrap/>
            <w:hideMark/>
          </w:tcPr>
          <w:p w14:paraId="55857F7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3.840</w:t>
            </w:r>
          </w:p>
        </w:tc>
        <w:tc>
          <w:tcPr>
            <w:tcW w:w="0" w:type="auto"/>
            <w:noWrap/>
            <w:hideMark/>
          </w:tcPr>
          <w:p w14:paraId="7D7738D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61CC76A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0.060</w:t>
            </w:r>
          </w:p>
        </w:tc>
        <w:tc>
          <w:tcPr>
            <w:tcW w:w="0" w:type="auto"/>
            <w:noWrap/>
            <w:hideMark/>
          </w:tcPr>
          <w:p w14:paraId="7BF1E4AC"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0.186</w:t>
            </w:r>
          </w:p>
        </w:tc>
      </w:tr>
      <w:tr w:rsidR="00B54D51" w:rsidRPr="00037AD4" w14:paraId="13B0739C" w14:textId="77777777" w:rsidTr="00401C67">
        <w:trPr>
          <w:trHeight w:val="320"/>
        </w:trPr>
        <w:tc>
          <w:tcPr>
            <w:tcW w:w="0" w:type="auto"/>
            <w:noWrap/>
            <w:hideMark/>
          </w:tcPr>
          <w:p w14:paraId="3B5A09B0" w14:textId="77777777" w:rsidR="00B54D51" w:rsidRPr="00037AD4" w:rsidRDefault="00B54D51" w:rsidP="00401C67">
            <w:pPr>
              <w:rPr>
                <w:rFonts w:ascii="Calibri" w:hAnsi="Calibri" w:cs="Calibri"/>
                <w:color w:val="000000"/>
              </w:rPr>
            </w:pPr>
            <w:r w:rsidRPr="00037AD4">
              <w:rPr>
                <w:rFonts w:cstheme="minorHAnsi"/>
              </w:rPr>
              <w:t xml:space="preserve">From level four proxy  </w:t>
            </w:r>
          </w:p>
        </w:tc>
        <w:tc>
          <w:tcPr>
            <w:tcW w:w="0" w:type="auto"/>
            <w:noWrap/>
            <w:hideMark/>
          </w:tcPr>
          <w:p w14:paraId="0832803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0.159</w:t>
            </w:r>
          </w:p>
        </w:tc>
        <w:tc>
          <w:tcPr>
            <w:tcW w:w="0" w:type="auto"/>
            <w:noWrap/>
            <w:hideMark/>
          </w:tcPr>
          <w:p w14:paraId="146D078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0.055</w:t>
            </w:r>
          </w:p>
        </w:tc>
        <w:tc>
          <w:tcPr>
            <w:tcW w:w="0" w:type="auto"/>
            <w:noWrap/>
            <w:hideMark/>
          </w:tcPr>
          <w:p w14:paraId="35C5DE0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2.880</w:t>
            </w:r>
          </w:p>
        </w:tc>
        <w:tc>
          <w:tcPr>
            <w:tcW w:w="0" w:type="auto"/>
            <w:noWrap/>
            <w:hideMark/>
          </w:tcPr>
          <w:p w14:paraId="02E4215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0.004</w:t>
            </w:r>
          </w:p>
        </w:tc>
        <w:tc>
          <w:tcPr>
            <w:tcW w:w="0" w:type="auto"/>
            <w:noWrap/>
            <w:hideMark/>
          </w:tcPr>
          <w:p w14:paraId="04DFDC2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0.051</w:t>
            </w:r>
          </w:p>
        </w:tc>
        <w:tc>
          <w:tcPr>
            <w:tcW w:w="0" w:type="auto"/>
            <w:noWrap/>
            <w:hideMark/>
          </w:tcPr>
          <w:p w14:paraId="1B0E6E7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0.268</w:t>
            </w:r>
          </w:p>
        </w:tc>
      </w:tr>
      <w:tr w:rsidR="00B54D51" w:rsidRPr="00037AD4" w14:paraId="05FB366B" w14:textId="77777777" w:rsidTr="00401C67">
        <w:trPr>
          <w:trHeight w:val="320"/>
        </w:trPr>
        <w:tc>
          <w:tcPr>
            <w:tcW w:w="0" w:type="auto"/>
            <w:noWrap/>
            <w:hideMark/>
          </w:tcPr>
          <w:p w14:paraId="734FEE97" w14:textId="77777777" w:rsidR="00B54D51" w:rsidRPr="00037AD4" w:rsidRDefault="00B54D51" w:rsidP="00401C67">
            <w:pPr>
              <w:rPr>
                <w:rFonts w:ascii="Calibri" w:hAnsi="Calibri" w:cs="Calibri"/>
                <w:color w:val="000000"/>
              </w:rPr>
            </w:pPr>
            <w:r w:rsidRPr="00037AD4">
              <w:rPr>
                <w:rFonts w:cstheme="minorHAnsi"/>
              </w:rPr>
              <w:t xml:space="preserve">From level five proxy  </w:t>
            </w:r>
          </w:p>
        </w:tc>
        <w:tc>
          <w:tcPr>
            <w:tcW w:w="0" w:type="auto"/>
            <w:noWrap/>
            <w:hideMark/>
          </w:tcPr>
          <w:p w14:paraId="5C8100E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0.221</w:t>
            </w:r>
          </w:p>
        </w:tc>
        <w:tc>
          <w:tcPr>
            <w:tcW w:w="0" w:type="auto"/>
            <w:noWrap/>
            <w:hideMark/>
          </w:tcPr>
          <w:p w14:paraId="5C0D025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0.177</w:t>
            </w:r>
          </w:p>
        </w:tc>
        <w:tc>
          <w:tcPr>
            <w:tcW w:w="0" w:type="auto"/>
            <w:noWrap/>
            <w:hideMark/>
          </w:tcPr>
          <w:p w14:paraId="7A20EFE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1.240</w:t>
            </w:r>
          </w:p>
        </w:tc>
        <w:tc>
          <w:tcPr>
            <w:tcW w:w="0" w:type="auto"/>
            <w:noWrap/>
            <w:hideMark/>
          </w:tcPr>
          <w:p w14:paraId="5CA007E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0.213</w:t>
            </w:r>
          </w:p>
        </w:tc>
        <w:tc>
          <w:tcPr>
            <w:tcW w:w="0" w:type="auto"/>
            <w:noWrap/>
            <w:hideMark/>
          </w:tcPr>
          <w:p w14:paraId="025CB99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-0.127</w:t>
            </w:r>
          </w:p>
        </w:tc>
        <w:tc>
          <w:tcPr>
            <w:tcW w:w="0" w:type="auto"/>
            <w:noWrap/>
            <w:hideMark/>
          </w:tcPr>
          <w:p w14:paraId="3A48629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0.568</w:t>
            </w:r>
          </w:p>
        </w:tc>
      </w:tr>
      <w:tr w:rsidR="00B54D51" w:rsidRPr="00037AD4" w14:paraId="2C45D1BB" w14:textId="77777777" w:rsidTr="00401C67">
        <w:trPr>
          <w:trHeight w:val="320"/>
        </w:trPr>
        <w:tc>
          <w:tcPr>
            <w:tcW w:w="0" w:type="auto"/>
            <w:gridSpan w:val="7"/>
            <w:shd w:val="clear" w:color="auto" w:fill="E7E6E6" w:themeFill="background2"/>
            <w:noWrap/>
          </w:tcPr>
          <w:p w14:paraId="11635F25" w14:textId="77777777" w:rsidR="00B54D51" w:rsidRPr="00037AD4" w:rsidRDefault="00B54D51" w:rsidP="00401C67">
            <w:pPr>
              <w:rPr>
                <w:rFonts w:ascii="Calibri" w:hAnsi="Calibri" w:cs="Calibri"/>
                <w:color w:val="000000"/>
              </w:rPr>
            </w:pPr>
            <w:r w:rsidRPr="00037AD4">
              <w:rPr>
                <w:rFonts w:cstheme="minorHAnsi"/>
              </w:rPr>
              <w:t>Predicted PwD: level four</w:t>
            </w:r>
          </w:p>
        </w:tc>
      </w:tr>
      <w:tr w:rsidR="00B54D51" w:rsidRPr="00037AD4" w14:paraId="15CC6890" w14:textId="77777777" w:rsidTr="00401C67">
        <w:trPr>
          <w:trHeight w:val="320"/>
        </w:trPr>
        <w:tc>
          <w:tcPr>
            <w:tcW w:w="0" w:type="auto"/>
            <w:noWrap/>
            <w:hideMark/>
          </w:tcPr>
          <w:p w14:paraId="0D8BAAC2" w14:textId="77777777" w:rsidR="00B54D51" w:rsidRPr="00037AD4" w:rsidRDefault="00B54D51" w:rsidP="00401C67">
            <w:pPr>
              <w:rPr>
                <w:rFonts w:ascii="Calibri" w:hAnsi="Calibri" w:cs="Calibri"/>
                <w:color w:val="000000"/>
              </w:rPr>
            </w:pPr>
            <w:r w:rsidRPr="00037AD4">
              <w:rPr>
                <w:rFonts w:cstheme="minorHAnsi"/>
              </w:rPr>
              <w:t xml:space="preserve">From level one proxy  </w:t>
            </w:r>
          </w:p>
        </w:tc>
        <w:tc>
          <w:tcPr>
            <w:tcW w:w="0" w:type="auto"/>
            <w:noWrap/>
            <w:hideMark/>
          </w:tcPr>
          <w:p w14:paraId="4222945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0.009</w:t>
            </w:r>
          </w:p>
        </w:tc>
        <w:tc>
          <w:tcPr>
            <w:tcW w:w="0" w:type="auto"/>
            <w:noWrap/>
            <w:hideMark/>
          </w:tcPr>
          <w:p w14:paraId="43A0B7F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0.003</w:t>
            </w:r>
          </w:p>
        </w:tc>
        <w:tc>
          <w:tcPr>
            <w:tcW w:w="0" w:type="auto"/>
            <w:noWrap/>
            <w:hideMark/>
          </w:tcPr>
          <w:p w14:paraId="07BEAF6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2.950</w:t>
            </w:r>
          </w:p>
        </w:tc>
        <w:tc>
          <w:tcPr>
            <w:tcW w:w="0" w:type="auto"/>
            <w:noWrap/>
            <w:hideMark/>
          </w:tcPr>
          <w:p w14:paraId="395C34D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0.003</w:t>
            </w:r>
          </w:p>
        </w:tc>
        <w:tc>
          <w:tcPr>
            <w:tcW w:w="0" w:type="auto"/>
            <w:noWrap/>
            <w:hideMark/>
          </w:tcPr>
          <w:p w14:paraId="216348C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0.003</w:t>
            </w:r>
          </w:p>
        </w:tc>
        <w:tc>
          <w:tcPr>
            <w:tcW w:w="0" w:type="auto"/>
            <w:noWrap/>
            <w:hideMark/>
          </w:tcPr>
          <w:p w14:paraId="78EC217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0.015</w:t>
            </w:r>
          </w:p>
        </w:tc>
      </w:tr>
      <w:tr w:rsidR="00B54D51" w:rsidRPr="00037AD4" w14:paraId="2C5EBDC0" w14:textId="77777777" w:rsidTr="00401C67">
        <w:trPr>
          <w:trHeight w:val="320"/>
        </w:trPr>
        <w:tc>
          <w:tcPr>
            <w:tcW w:w="0" w:type="auto"/>
            <w:noWrap/>
            <w:hideMark/>
          </w:tcPr>
          <w:p w14:paraId="5DD414E2" w14:textId="77777777" w:rsidR="00B54D51" w:rsidRPr="00037AD4" w:rsidRDefault="00B54D51" w:rsidP="00401C67">
            <w:pPr>
              <w:rPr>
                <w:rFonts w:ascii="Calibri" w:hAnsi="Calibri" w:cs="Calibri"/>
                <w:color w:val="000000"/>
              </w:rPr>
            </w:pPr>
            <w:r w:rsidRPr="00037AD4">
              <w:rPr>
                <w:rFonts w:cstheme="minorHAnsi"/>
              </w:rPr>
              <w:t xml:space="preserve">From level two proxy  </w:t>
            </w:r>
          </w:p>
        </w:tc>
        <w:tc>
          <w:tcPr>
            <w:tcW w:w="0" w:type="auto"/>
            <w:noWrap/>
            <w:hideMark/>
          </w:tcPr>
          <w:p w14:paraId="2C32014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0.017</w:t>
            </w:r>
          </w:p>
        </w:tc>
        <w:tc>
          <w:tcPr>
            <w:tcW w:w="0" w:type="auto"/>
            <w:noWrap/>
            <w:hideMark/>
          </w:tcPr>
          <w:p w14:paraId="1567350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0.006</w:t>
            </w:r>
          </w:p>
        </w:tc>
        <w:tc>
          <w:tcPr>
            <w:tcW w:w="0" w:type="auto"/>
            <w:noWrap/>
            <w:hideMark/>
          </w:tcPr>
          <w:p w14:paraId="336AA85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2.740</w:t>
            </w:r>
          </w:p>
        </w:tc>
        <w:tc>
          <w:tcPr>
            <w:tcW w:w="0" w:type="auto"/>
            <w:noWrap/>
            <w:hideMark/>
          </w:tcPr>
          <w:p w14:paraId="1DC8ADB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0.006</w:t>
            </w:r>
          </w:p>
        </w:tc>
        <w:tc>
          <w:tcPr>
            <w:tcW w:w="0" w:type="auto"/>
            <w:noWrap/>
            <w:hideMark/>
          </w:tcPr>
          <w:p w14:paraId="36BCB0A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0.005</w:t>
            </w:r>
          </w:p>
        </w:tc>
        <w:tc>
          <w:tcPr>
            <w:tcW w:w="0" w:type="auto"/>
            <w:noWrap/>
            <w:hideMark/>
          </w:tcPr>
          <w:p w14:paraId="7FD1BD7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0.029</w:t>
            </w:r>
          </w:p>
        </w:tc>
      </w:tr>
      <w:tr w:rsidR="00B54D51" w:rsidRPr="00037AD4" w14:paraId="67032AA3" w14:textId="77777777" w:rsidTr="00401C67">
        <w:trPr>
          <w:trHeight w:val="320"/>
        </w:trPr>
        <w:tc>
          <w:tcPr>
            <w:tcW w:w="0" w:type="auto"/>
            <w:noWrap/>
            <w:hideMark/>
          </w:tcPr>
          <w:p w14:paraId="49A22CB7" w14:textId="77777777" w:rsidR="00B54D51" w:rsidRPr="00037AD4" w:rsidRDefault="00B54D51" w:rsidP="00401C67">
            <w:pPr>
              <w:rPr>
                <w:rFonts w:ascii="Calibri" w:hAnsi="Calibri" w:cs="Calibri"/>
                <w:color w:val="000000"/>
              </w:rPr>
            </w:pPr>
            <w:r w:rsidRPr="00037AD4">
              <w:rPr>
                <w:rFonts w:cstheme="minorHAnsi"/>
              </w:rPr>
              <w:t xml:space="preserve">From level three proxy  </w:t>
            </w:r>
          </w:p>
        </w:tc>
        <w:tc>
          <w:tcPr>
            <w:tcW w:w="0" w:type="auto"/>
            <w:noWrap/>
            <w:hideMark/>
          </w:tcPr>
          <w:p w14:paraId="6D9A4AA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0.038</w:t>
            </w:r>
          </w:p>
        </w:tc>
        <w:tc>
          <w:tcPr>
            <w:tcW w:w="0" w:type="auto"/>
            <w:noWrap/>
            <w:hideMark/>
          </w:tcPr>
          <w:p w14:paraId="532E271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0.015</w:t>
            </w:r>
          </w:p>
        </w:tc>
        <w:tc>
          <w:tcPr>
            <w:tcW w:w="0" w:type="auto"/>
            <w:noWrap/>
            <w:hideMark/>
          </w:tcPr>
          <w:p w14:paraId="2C9F133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2.460</w:t>
            </w:r>
          </w:p>
        </w:tc>
        <w:tc>
          <w:tcPr>
            <w:tcW w:w="0" w:type="auto"/>
            <w:noWrap/>
            <w:hideMark/>
          </w:tcPr>
          <w:p w14:paraId="6DB03D94"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0.014</w:t>
            </w:r>
          </w:p>
        </w:tc>
        <w:tc>
          <w:tcPr>
            <w:tcW w:w="0" w:type="auto"/>
            <w:noWrap/>
            <w:hideMark/>
          </w:tcPr>
          <w:p w14:paraId="1D373D7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0.008</w:t>
            </w:r>
          </w:p>
        </w:tc>
        <w:tc>
          <w:tcPr>
            <w:tcW w:w="0" w:type="auto"/>
            <w:noWrap/>
            <w:hideMark/>
          </w:tcPr>
          <w:p w14:paraId="6B3EE5C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0.068</w:t>
            </w:r>
          </w:p>
        </w:tc>
      </w:tr>
      <w:tr w:rsidR="00B54D51" w:rsidRPr="00037AD4" w14:paraId="05B8D49B" w14:textId="77777777" w:rsidTr="00401C67">
        <w:trPr>
          <w:trHeight w:val="320"/>
        </w:trPr>
        <w:tc>
          <w:tcPr>
            <w:tcW w:w="0" w:type="auto"/>
            <w:noWrap/>
            <w:hideMark/>
          </w:tcPr>
          <w:p w14:paraId="7F87938A" w14:textId="77777777" w:rsidR="00B54D51" w:rsidRPr="00037AD4" w:rsidRDefault="00B54D51" w:rsidP="00401C67">
            <w:pPr>
              <w:rPr>
                <w:rFonts w:ascii="Calibri" w:hAnsi="Calibri" w:cs="Calibri"/>
                <w:color w:val="000000"/>
              </w:rPr>
            </w:pPr>
            <w:r w:rsidRPr="00037AD4">
              <w:rPr>
                <w:rFonts w:cstheme="minorHAnsi"/>
              </w:rPr>
              <w:t xml:space="preserve">From level four proxy  </w:t>
            </w:r>
          </w:p>
        </w:tc>
        <w:tc>
          <w:tcPr>
            <w:tcW w:w="0" w:type="auto"/>
            <w:noWrap/>
            <w:hideMark/>
          </w:tcPr>
          <w:p w14:paraId="0F341DA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0.057</w:t>
            </w:r>
          </w:p>
        </w:tc>
        <w:tc>
          <w:tcPr>
            <w:tcW w:w="0" w:type="auto"/>
            <w:noWrap/>
            <w:hideMark/>
          </w:tcPr>
          <w:p w14:paraId="5D6267B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0.031</w:t>
            </w:r>
          </w:p>
        </w:tc>
        <w:tc>
          <w:tcPr>
            <w:tcW w:w="0" w:type="auto"/>
            <w:noWrap/>
            <w:hideMark/>
          </w:tcPr>
          <w:p w14:paraId="2331750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1.830</w:t>
            </w:r>
          </w:p>
        </w:tc>
        <w:tc>
          <w:tcPr>
            <w:tcW w:w="0" w:type="auto"/>
            <w:noWrap/>
            <w:hideMark/>
          </w:tcPr>
          <w:p w14:paraId="3B62709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0.068</w:t>
            </w:r>
          </w:p>
        </w:tc>
        <w:tc>
          <w:tcPr>
            <w:tcW w:w="0" w:type="auto"/>
            <w:noWrap/>
            <w:hideMark/>
          </w:tcPr>
          <w:p w14:paraId="4A85564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-0.004</w:t>
            </w:r>
          </w:p>
        </w:tc>
        <w:tc>
          <w:tcPr>
            <w:tcW w:w="0" w:type="auto"/>
            <w:noWrap/>
            <w:hideMark/>
          </w:tcPr>
          <w:p w14:paraId="784B8EF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0.117</w:t>
            </w:r>
          </w:p>
        </w:tc>
      </w:tr>
      <w:tr w:rsidR="00B54D51" w:rsidRPr="00037AD4" w14:paraId="5EFF48A5" w14:textId="77777777" w:rsidTr="00401C67">
        <w:trPr>
          <w:trHeight w:val="320"/>
        </w:trPr>
        <w:tc>
          <w:tcPr>
            <w:tcW w:w="0" w:type="auto"/>
            <w:noWrap/>
            <w:hideMark/>
          </w:tcPr>
          <w:p w14:paraId="1EC0F263" w14:textId="77777777" w:rsidR="00B54D51" w:rsidRPr="00037AD4" w:rsidRDefault="00B54D51" w:rsidP="00401C67">
            <w:pPr>
              <w:rPr>
                <w:rFonts w:ascii="Calibri" w:hAnsi="Calibri" w:cs="Calibri"/>
                <w:color w:val="000000"/>
              </w:rPr>
            </w:pPr>
            <w:r w:rsidRPr="00037AD4">
              <w:rPr>
                <w:rFonts w:cstheme="minorHAnsi"/>
              </w:rPr>
              <w:t xml:space="preserve">From level five proxy  </w:t>
            </w:r>
          </w:p>
        </w:tc>
        <w:tc>
          <w:tcPr>
            <w:tcW w:w="0" w:type="auto"/>
            <w:noWrap/>
            <w:hideMark/>
          </w:tcPr>
          <w:p w14:paraId="6B1F7CA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0.100</w:t>
            </w:r>
          </w:p>
        </w:tc>
        <w:tc>
          <w:tcPr>
            <w:tcW w:w="0" w:type="auto"/>
            <w:noWrap/>
            <w:hideMark/>
          </w:tcPr>
          <w:p w14:paraId="31FE17D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0.160</w:t>
            </w:r>
          </w:p>
        </w:tc>
        <w:tc>
          <w:tcPr>
            <w:tcW w:w="0" w:type="auto"/>
            <w:noWrap/>
            <w:hideMark/>
          </w:tcPr>
          <w:p w14:paraId="7BE47E3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0.630</w:t>
            </w:r>
          </w:p>
        </w:tc>
        <w:tc>
          <w:tcPr>
            <w:tcW w:w="0" w:type="auto"/>
            <w:noWrap/>
            <w:hideMark/>
          </w:tcPr>
          <w:p w14:paraId="07CB2D9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0.531</w:t>
            </w:r>
          </w:p>
        </w:tc>
        <w:tc>
          <w:tcPr>
            <w:tcW w:w="0" w:type="auto"/>
            <w:noWrap/>
            <w:hideMark/>
          </w:tcPr>
          <w:p w14:paraId="18A1E93B"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-0.213</w:t>
            </w:r>
          </w:p>
        </w:tc>
        <w:tc>
          <w:tcPr>
            <w:tcW w:w="0" w:type="auto"/>
            <w:noWrap/>
            <w:hideMark/>
          </w:tcPr>
          <w:p w14:paraId="167D465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0.414</w:t>
            </w:r>
          </w:p>
        </w:tc>
      </w:tr>
      <w:tr w:rsidR="00B54D51" w:rsidRPr="00037AD4" w14:paraId="5739DFC7" w14:textId="77777777" w:rsidTr="00401C67">
        <w:trPr>
          <w:trHeight w:val="320"/>
        </w:trPr>
        <w:tc>
          <w:tcPr>
            <w:tcW w:w="0" w:type="auto"/>
            <w:gridSpan w:val="7"/>
            <w:shd w:val="clear" w:color="auto" w:fill="E7E6E6" w:themeFill="background2"/>
            <w:noWrap/>
          </w:tcPr>
          <w:p w14:paraId="0292DD21" w14:textId="77777777" w:rsidR="00B54D51" w:rsidRPr="00037AD4" w:rsidRDefault="00B54D51" w:rsidP="00401C67">
            <w:pPr>
              <w:rPr>
                <w:rFonts w:ascii="Calibri" w:hAnsi="Calibri" w:cs="Calibri"/>
                <w:color w:val="000000"/>
              </w:rPr>
            </w:pPr>
            <w:r w:rsidRPr="00037AD4">
              <w:rPr>
                <w:rFonts w:cstheme="minorHAnsi"/>
              </w:rPr>
              <w:t>Predicted PwD: level five</w:t>
            </w:r>
          </w:p>
        </w:tc>
      </w:tr>
      <w:tr w:rsidR="00B54D51" w:rsidRPr="00037AD4" w14:paraId="7144FC79" w14:textId="77777777" w:rsidTr="00401C67">
        <w:trPr>
          <w:trHeight w:val="320"/>
        </w:trPr>
        <w:tc>
          <w:tcPr>
            <w:tcW w:w="0" w:type="auto"/>
            <w:noWrap/>
            <w:hideMark/>
          </w:tcPr>
          <w:p w14:paraId="624AB640" w14:textId="77777777" w:rsidR="00B54D51" w:rsidRPr="00037AD4" w:rsidRDefault="00B54D51" w:rsidP="00401C67">
            <w:pPr>
              <w:rPr>
                <w:rFonts w:ascii="Calibri" w:hAnsi="Calibri" w:cs="Calibri"/>
                <w:color w:val="000000"/>
              </w:rPr>
            </w:pPr>
            <w:r w:rsidRPr="00037AD4">
              <w:rPr>
                <w:rFonts w:cstheme="minorHAnsi"/>
              </w:rPr>
              <w:t xml:space="preserve">From level one proxy  </w:t>
            </w:r>
          </w:p>
        </w:tc>
        <w:tc>
          <w:tcPr>
            <w:tcW w:w="0" w:type="auto"/>
            <w:noWrap/>
            <w:hideMark/>
          </w:tcPr>
          <w:p w14:paraId="673EA7BD"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0.002</w:t>
            </w:r>
          </w:p>
        </w:tc>
        <w:tc>
          <w:tcPr>
            <w:tcW w:w="0" w:type="auto"/>
            <w:noWrap/>
            <w:hideMark/>
          </w:tcPr>
          <w:p w14:paraId="69B5EC7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c>
          <w:tcPr>
            <w:tcW w:w="0" w:type="auto"/>
            <w:noWrap/>
            <w:hideMark/>
          </w:tcPr>
          <w:p w14:paraId="033DF6F7"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1.710</w:t>
            </w:r>
          </w:p>
        </w:tc>
        <w:tc>
          <w:tcPr>
            <w:tcW w:w="0" w:type="auto"/>
            <w:noWrap/>
            <w:hideMark/>
          </w:tcPr>
          <w:p w14:paraId="7B3811C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0.088</w:t>
            </w:r>
          </w:p>
        </w:tc>
        <w:tc>
          <w:tcPr>
            <w:tcW w:w="0" w:type="auto"/>
            <w:noWrap/>
            <w:hideMark/>
          </w:tcPr>
          <w:p w14:paraId="310E29E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0.000</w:t>
            </w:r>
          </w:p>
        </w:tc>
        <w:tc>
          <w:tcPr>
            <w:tcW w:w="0" w:type="auto"/>
            <w:noWrap/>
            <w:hideMark/>
          </w:tcPr>
          <w:p w14:paraId="0769649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0.005</w:t>
            </w:r>
          </w:p>
        </w:tc>
      </w:tr>
      <w:tr w:rsidR="00B54D51" w:rsidRPr="00037AD4" w14:paraId="126D4347" w14:textId="77777777" w:rsidTr="00401C67">
        <w:trPr>
          <w:trHeight w:val="320"/>
        </w:trPr>
        <w:tc>
          <w:tcPr>
            <w:tcW w:w="0" w:type="auto"/>
            <w:noWrap/>
            <w:hideMark/>
          </w:tcPr>
          <w:p w14:paraId="7E96A550" w14:textId="77777777" w:rsidR="00B54D51" w:rsidRPr="00037AD4" w:rsidRDefault="00B54D51" w:rsidP="00401C67">
            <w:pPr>
              <w:rPr>
                <w:rFonts w:ascii="Calibri" w:hAnsi="Calibri" w:cs="Calibri"/>
                <w:color w:val="000000"/>
              </w:rPr>
            </w:pPr>
            <w:r w:rsidRPr="00037AD4">
              <w:rPr>
                <w:rFonts w:cstheme="minorHAnsi"/>
              </w:rPr>
              <w:t xml:space="preserve">From level two proxy  </w:t>
            </w:r>
          </w:p>
        </w:tc>
        <w:tc>
          <w:tcPr>
            <w:tcW w:w="0" w:type="auto"/>
            <w:noWrap/>
            <w:hideMark/>
          </w:tcPr>
          <w:p w14:paraId="7450FBE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0.005</w:t>
            </w:r>
          </w:p>
        </w:tc>
        <w:tc>
          <w:tcPr>
            <w:tcW w:w="0" w:type="auto"/>
            <w:noWrap/>
            <w:hideMark/>
          </w:tcPr>
          <w:p w14:paraId="61DCA0E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0.003</w:t>
            </w:r>
          </w:p>
        </w:tc>
        <w:tc>
          <w:tcPr>
            <w:tcW w:w="0" w:type="auto"/>
            <w:noWrap/>
            <w:hideMark/>
          </w:tcPr>
          <w:p w14:paraId="6815FC4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1.620</w:t>
            </w:r>
          </w:p>
        </w:tc>
        <w:tc>
          <w:tcPr>
            <w:tcW w:w="0" w:type="auto"/>
            <w:noWrap/>
            <w:hideMark/>
          </w:tcPr>
          <w:p w14:paraId="2E7D519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0.105</w:t>
            </w:r>
          </w:p>
        </w:tc>
        <w:tc>
          <w:tcPr>
            <w:tcW w:w="0" w:type="auto"/>
            <w:noWrap/>
            <w:hideMark/>
          </w:tcPr>
          <w:p w14:paraId="18B0077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c>
          <w:tcPr>
            <w:tcW w:w="0" w:type="auto"/>
            <w:noWrap/>
            <w:hideMark/>
          </w:tcPr>
          <w:p w14:paraId="341B328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0.011</w:t>
            </w:r>
          </w:p>
        </w:tc>
      </w:tr>
      <w:tr w:rsidR="00B54D51" w:rsidRPr="00037AD4" w14:paraId="35BF03A7" w14:textId="77777777" w:rsidTr="00401C67">
        <w:trPr>
          <w:trHeight w:val="320"/>
        </w:trPr>
        <w:tc>
          <w:tcPr>
            <w:tcW w:w="0" w:type="auto"/>
            <w:noWrap/>
            <w:hideMark/>
          </w:tcPr>
          <w:p w14:paraId="04BAA80E" w14:textId="77777777" w:rsidR="00B54D51" w:rsidRPr="00037AD4" w:rsidRDefault="00B54D51" w:rsidP="00401C67">
            <w:pPr>
              <w:rPr>
                <w:rFonts w:ascii="Calibri" w:hAnsi="Calibri" w:cs="Calibri"/>
                <w:color w:val="000000"/>
              </w:rPr>
            </w:pPr>
            <w:r w:rsidRPr="00037AD4">
              <w:rPr>
                <w:rFonts w:cstheme="minorHAnsi"/>
              </w:rPr>
              <w:t xml:space="preserve">From level three proxy  </w:t>
            </w:r>
          </w:p>
        </w:tc>
        <w:tc>
          <w:tcPr>
            <w:tcW w:w="0" w:type="auto"/>
            <w:noWrap/>
            <w:hideMark/>
          </w:tcPr>
          <w:p w14:paraId="07CDC97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0.015</w:t>
            </w:r>
          </w:p>
        </w:tc>
        <w:tc>
          <w:tcPr>
            <w:tcW w:w="0" w:type="auto"/>
            <w:noWrap/>
            <w:hideMark/>
          </w:tcPr>
          <w:p w14:paraId="7CB6FD1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0.008</w:t>
            </w:r>
          </w:p>
        </w:tc>
        <w:tc>
          <w:tcPr>
            <w:tcW w:w="0" w:type="auto"/>
            <w:noWrap/>
            <w:hideMark/>
          </w:tcPr>
          <w:p w14:paraId="13198A1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1.820</w:t>
            </w:r>
          </w:p>
        </w:tc>
        <w:tc>
          <w:tcPr>
            <w:tcW w:w="0" w:type="auto"/>
            <w:noWrap/>
            <w:hideMark/>
          </w:tcPr>
          <w:p w14:paraId="55D4847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0.068</w:t>
            </w:r>
          </w:p>
        </w:tc>
        <w:tc>
          <w:tcPr>
            <w:tcW w:w="0" w:type="auto"/>
            <w:noWrap/>
            <w:hideMark/>
          </w:tcPr>
          <w:p w14:paraId="54EB2585"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-0.001</w:t>
            </w:r>
          </w:p>
        </w:tc>
        <w:tc>
          <w:tcPr>
            <w:tcW w:w="0" w:type="auto"/>
            <w:noWrap/>
            <w:hideMark/>
          </w:tcPr>
          <w:p w14:paraId="5C0B3A0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0.030</w:t>
            </w:r>
          </w:p>
        </w:tc>
      </w:tr>
      <w:tr w:rsidR="00B54D51" w:rsidRPr="00037AD4" w14:paraId="328E92EA" w14:textId="77777777" w:rsidTr="00401C67">
        <w:trPr>
          <w:trHeight w:val="320"/>
        </w:trPr>
        <w:tc>
          <w:tcPr>
            <w:tcW w:w="0" w:type="auto"/>
            <w:noWrap/>
            <w:hideMark/>
          </w:tcPr>
          <w:p w14:paraId="7BFBEBF7" w14:textId="77777777" w:rsidR="00B54D51" w:rsidRPr="00037AD4" w:rsidRDefault="00B54D51" w:rsidP="00401C67">
            <w:pPr>
              <w:rPr>
                <w:rFonts w:ascii="Calibri" w:hAnsi="Calibri" w:cs="Calibri"/>
                <w:color w:val="000000"/>
              </w:rPr>
            </w:pPr>
            <w:r w:rsidRPr="00037AD4">
              <w:rPr>
                <w:rFonts w:cstheme="minorHAnsi"/>
              </w:rPr>
              <w:t xml:space="preserve">From level four proxy  </w:t>
            </w:r>
          </w:p>
        </w:tc>
        <w:tc>
          <w:tcPr>
            <w:tcW w:w="0" w:type="auto"/>
            <w:noWrap/>
            <w:hideMark/>
          </w:tcPr>
          <w:p w14:paraId="0A985BD1"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0.026</w:t>
            </w:r>
          </w:p>
        </w:tc>
        <w:tc>
          <w:tcPr>
            <w:tcW w:w="0" w:type="auto"/>
            <w:noWrap/>
            <w:hideMark/>
          </w:tcPr>
          <w:p w14:paraId="120728C9"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0.020</w:t>
            </w:r>
          </w:p>
        </w:tc>
        <w:tc>
          <w:tcPr>
            <w:tcW w:w="0" w:type="auto"/>
            <w:noWrap/>
            <w:hideMark/>
          </w:tcPr>
          <w:p w14:paraId="37B461E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1.290</w:t>
            </w:r>
          </w:p>
        </w:tc>
        <w:tc>
          <w:tcPr>
            <w:tcW w:w="0" w:type="auto"/>
            <w:noWrap/>
            <w:hideMark/>
          </w:tcPr>
          <w:p w14:paraId="1E1D1F0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0.196</w:t>
            </w:r>
          </w:p>
        </w:tc>
        <w:tc>
          <w:tcPr>
            <w:tcW w:w="0" w:type="auto"/>
            <w:noWrap/>
            <w:hideMark/>
          </w:tcPr>
          <w:p w14:paraId="5E3B50C3"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-0.013</w:t>
            </w:r>
          </w:p>
        </w:tc>
        <w:tc>
          <w:tcPr>
            <w:tcW w:w="0" w:type="auto"/>
            <w:noWrap/>
            <w:hideMark/>
          </w:tcPr>
          <w:p w14:paraId="24963C28"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0.065</w:t>
            </w:r>
          </w:p>
        </w:tc>
      </w:tr>
      <w:tr w:rsidR="00B54D51" w:rsidRPr="00037AD4" w14:paraId="148AFCA7" w14:textId="77777777" w:rsidTr="00401C67">
        <w:trPr>
          <w:trHeight w:val="320"/>
        </w:trPr>
        <w:tc>
          <w:tcPr>
            <w:tcW w:w="0" w:type="auto"/>
            <w:noWrap/>
            <w:hideMark/>
          </w:tcPr>
          <w:p w14:paraId="22A6E052" w14:textId="77777777" w:rsidR="00B54D51" w:rsidRPr="00037AD4" w:rsidRDefault="00B54D51" w:rsidP="00401C67">
            <w:pPr>
              <w:rPr>
                <w:rFonts w:ascii="Calibri" w:hAnsi="Calibri" w:cs="Calibri"/>
                <w:color w:val="000000"/>
              </w:rPr>
            </w:pPr>
            <w:r w:rsidRPr="00037AD4">
              <w:rPr>
                <w:rFonts w:cstheme="minorHAnsi"/>
              </w:rPr>
              <w:t xml:space="preserve">From level five proxy  </w:t>
            </w:r>
          </w:p>
        </w:tc>
        <w:tc>
          <w:tcPr>
            <w:tcW w:w="0" w:type="auto"/>
            <w:noWrap/>
            <w:hideMark/>
          </w:tcPr>
          <w:p w14:paraId="76F85DF0"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0.061</w:t>
            </w:r>
          </w:p>
        </w:tc>
        <w:tc>
          <w:tcPr>
            <w:tcW w:w="0" w:type="auto"/>
            <w:noWrap/>
            <w:hideMark/>
          </w:tcPr>
          <w:p w14:paraId="3138AA36"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0.152</w:t>
            </w:r>
          </w:p>
        </w:tc>
        <w:tc>
          <w:tcPr>
            <w:tcW w:w="0" w:type="auto"/>
            <w:noWrap/>
            <w:hideMark/>
          </w:tcPr>
          <w:p w14:paraId="65E6B45A"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0.400</w:t>
            </w:r>
          </w:p>
        </w:tc>
        <w:tc>
          <w:tcPr>
            <w:tcW w:w="0" w:type="auto"/>
            <w:noWrap/>
            <w:hideMark/>
          </w:tcPr>
          <w:p w14:paraId="5EA1DF9F"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0.691</w:t>
            </w:r>
          </w:p>
        </w:tc>
        <w:tc>
          <w:tcPr>
            <w:tcW w:w="0" w:type="auto"/>
            <w:noWrap/>
            <w:hideMark/>
          </w:tcPr>
          <w:p w14:paraId="030CCB6E"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-0.238</w:t>
            </w:r>
          </w:p>
        </w:tc>
        <w:tc>
          <w:tcPr>
            <w:tcW w:w="0" w:type="auto"/>
            <w:noWrap/>
            <w:hideMark/>
          </w:tcPr>
          <w:p w14:paraId="1CE4E752" w14:textId="77777777" w:rsidR="00B54D51" w:rsidRPr="00037AD4" w:rsidRDefault="00B54D51" w:rsidP="00401C67">
            <w:pPr>
              <w:jc w:val="right"/>
              <w:rPr>
                <w:rFonts w:ascii="Calibri" w:hAnsi="Calibri" w:cs="Calibri"/>
                <w:color w:val="000000"/>
              </w:rPr>
            </w:pPr>
            <w:r w:rsidRPr="00037AD4">
              <w:rPr>
                <w:rFonts w:ascii="Calibri" w:hAnsi="Calibri" w:cs="Calibri"/>
                <w:color w:val="000000"/>
              </w:rPr>
              <w:t>0.359</w:t>
            </w:r>
          </w:p>
        </w:tc>
      </w:tr>
    </w:tbl>
    <w:p w14:paraId="515E18D2" w14:textId="77777777" w:rsidR="00B54D51" w:rsidRPr="00037AD4" w:rsidRDefault="00B54D51" w:rsidP="007A43F9">
      <w:pPr>
        <w:pStyle w:val="Heading2"/>
      </w:pPr>
      <w:bookmarkStart w:id="548" w:name="A64"/>
      <w:bookmarkStart w:id="549" w:name="_Toc175742420"/>
      <w:r w:rsidRPr="00037AD4">
        <w:lastRenderedPageBreak/>
        <w:t>Appendix 6.4 Including a trial indicator variable</w:t>
      </w:r>
      <w:bookmarkEnd w:id="549"/>
      <w:r w:rsidRPr="00037AD4">
        <w:t xml:space="preserve"> </w:t>
      </w:r>
    </w:p>
    <w:bookmarkEnd w:id="548"/>
    <w:p w14:paraId="21EB1884" w14:textId="77777777" w:rsidR="00B54D51" w:rsidRPr="00037AD4" w:rsidRDefault="00B54D51" w:rsidP="001D7ACE">
      <w:pPr>
        <w:rPr>
          <w:rFonts w:asciiTheme="minorHAnsi" w:hAnsiTheme="minorHAnsi" w:cstheme="minorHAnsi"/>
          <w:u w:val="single"/>
        </w:rPr>
      </w:pPr>
    </w:p>
    <w:p w14:paraId="53184CD4" w14:textId="77777777" w:rsidR="00B54D51" w:rsidRPr="00037AD4" w:rsidRDefault="00B54D51" w:rsidP="001D7ACE">
      <w:pPr>
        <w:rPr>
          <w:rFonts w:asciiTheme="minorHAnsi" w:hAnsiTheme="minorHAnsi" w:cstheme="minorHAnsi"/>
          <w:u w:val="single"/>
        </w:rPr>
      </w:pPr>
      <w:r w:rsidRPr="00037AD4">
        <w:rPr>
          <w:rFonts w:asciiTheme="minorHAnsi" w:hAnsiTheme="minorHAnsi" w:cstheme="minorHAnsi"/>
          <w:u w:val="single"/>
        </w:rPr>
        <w:t xml:space="preserve">List of equations </w:t>
      </w:r>
    </w:p>
    <w:p w14:paraId="664848CA" w14:textId="77777777" w:rsidR="00B54D51" w:rsidRPr="00037AD4" w:rsidRDefault="00B54D51" w:rsidP="001D7ACE">
      <w:pPr>
        <w:rPr>
          <w:rFonts w:asciiTheme="minorHAnsi" w:hAnsiTheme="minorHAnsi" w:cstheme="minorHAnsi"/>
        </w:rPr>
      </w:pPr>
    </w:p>
    <w:tbl>
      <w:tblPr>
        <w:tblStyle w:val="TableGrid"/>
        <w:tblW w:w="9351" w:type="dxa"/>
        <w:tblLook w:val="04A0" w:firstRow="1" w:lastRow="0" w:firstColumn="1" w:lastColumn="0" w:noHBand="0" w:noVBand="1"/>
      </w:tblPr>
      <w:tblGrid>
        <w:gridCol w:w="2263"/>
        <w:gridCol w:w="7088"/>
      </w:tblGrid>
      <w:tr w:rsidR="00B54D51" w:rsidRPr="00037AD4" w14:paraId="6F84BFAA" w14:textId="77777777" w:rsidTr="00401C67">
        <w:tc>
          <w:tcPr>
            <w:tcW w:w="2263" w:type="dxa"/>
          </w:tcPr>
          <w:p w14:paraId="7E1D5D2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EQ-5D dimension</w:t>
            </w:r>
          </w:p>
        </w:tc>
        <w:tc>
          <w:tcPr>
            <w:tcW w:w="7088" w:type="dxa"/>
          </w:tcPr>
          <w:p w14:paraId="478C617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Ordered probit equation </w:t>
            </w:r>
          </w:p>
        </w:tc>
      </w:tr>
      <w:tr w:rsidR="00B54D51" w:rsidRPr="00037AD4" w14:paraId="60DF644E" w14:textId="77777777" w:rsidTr="00401C67">
        <w:tc>
          <w:tcPr>
            <w:tcW w:w="2263" w:type="dxa"/>
          </w:tcPr>
          <w:p w14:paraId="52B9D2F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Mobility (1, predicting PwD report)</w:t>
            </w:r>
          </w:p>
        </w:tc>
        <w:tc>
          <w:tcPr>
            <w:tcW w:w="7088" w:type="dxa"/>
          </w:tcPr>
          <w:p w14:paraId="3DE04C6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oprobit eq1SR_ i.eq1proxy_ PwD_age_ i.PwD_sex_ i.trial_name_</w:t>
            </w:r>
          </w:p>
        </w:tc>
      </w:tr>
      <w:tr w:rsidR="00B54D51" w:rsidRPr="00037AD4" w14:paraId="070718EF" w14:textId="77777777" w:rsidTr="00401C67">
        <w:tc>
          <w:tcPr>
            <w:tcW w:w="2263" w:type="dxa"/>
          </w:tcPr>
          <w:p w14:paraId="7517E53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Mobility (2, predicting proxy report)</w:t>
            </w:r>
          </w:p>
        </w:tc>
        <w:tc>
          <w:tcPr>
            <w:tcW w:w="7088" w:type="dxa"/>
          </w:tcPr>
          <w:p w14:paraId="30C169D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oprobit eq1proxy_ i.eq1SR_ PwD_age_ i.PwD_sex_ i.trial_name_</w:t>
            </w:r>
          </w:p>
        </w:tc>
      </w:tr>
      <w:tr w:rsidR="00B54D51" w:rsidRPr="00037AD4" w14:paraId="50C041DF" w14:textId="77777777" w:rsidTr="00401C67">
        <w:tc>
          <w:tcPr>
            <w:tcW w:w="2263" w:type="dxa"/>
          </w:tcPr>
          <w:p w14:paraId="36542D8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Self-care </w:t>
            </w:r>
          </w:p>
        </w:tc>
        <w:tc>
          <w:tcPr>
            <w:tcW w:w="7088" w:type="dxa"/>
          </w:tcPr>
          <w:p w14:paraId="5663E11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oprobit eq2proxy_ i.eq2SR_ PwD_age_ i.PwD_sex_ i.trial_name_</w:t>
            </w:r>
          </w:p>
        </w:tc>
      </w:tr>
      <w:tr w:rsidR="00B54D51" w:rsidRPr="00037AD4" w14:paraId="5844D7DF" w14:textId="77777777" w:rsidTr="00401C67">
        <w:tc>
          <w:tcPr>
            <w:tcW w:w="2263" w:type="dxa"/>
          </w:tcPr>
          <w:p w14:paraId="7AABD92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Usual activities </w:t>
            </w:r>
          </w:p>
        </w:tc>
        <w:tc>
          <w:tcPr>
            <w:tcW w:w="7088" w:type="dxa"/>
          </w:tcPr>
          <w:p w14:paraId="2DB6C8D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oprobit eq3proxy_ i.eq3SR_ NPI_ PwD_age_ i.PwD_sex_ i.trial_name_</w:t>
            </w:r>
          </w:p>
        </w:tc>
      </w:tr>
      <w:tr w:rsidR="00B54D51" w:rsidRPr="00037AD4" w14:paraId="3CC67315" w14:textId="77777777" w:rsidTr="00401C67">
        <w:tc>
          <w:tcPr>
            <w:tcW w:w="2263" w:type="dxa"/>
          </w:tcPr>
          <w:p w14:paraId="641A5D1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Anxiety/depression</w:t>
            </w:r>
          </w:p>
        </w:tc>
        <w:tc>
          <w:tcPr>
            <w:tcW w:w="7088" w:type="dxa"/>
          </w:tcPr>
          <w:p w14:paraId="6271A4A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oprobit eq5SR_ i.eq5proxy_ NPI_ PwD_age_ i.PwD_sex_ i.trial_name_</w:t>
            </w:r>
          </w:p>
        </w:tc>
      </w:tr>
      <w:tr w:rsidR="00B54D51" w:rsidRPr="00037AD4" w14:paraId="596E2505" w14:textId="77777777" w:rsidTr="00401C67">
        <w:tc>
          <w:tcPr>
            <w:tcW w:w="9351" w:type="dxa"/>
            <w:gridSpan w:val="2"/>
          </w:tcPr>
          <w:p w14:paraId="2439D35C" w14:textId="77777777" w:rsidR="00B54D51" w:rsidRPr="00037AD4" w:rsidRDefault="00B54D51" w:rsidP="00401C67">
            <w:pPr>
              <w:rPr>
                <w:rFonts w:asciiTheme="minorHAnsi" w:hAnsiTheme="minorHAnsi" w:cstheme="minorHAnsi"/>
              </w:rPr>
            </w:pPr>
            <w:r w:rsidRPr="00037AD4">
              <w:rPr>
                <w:rFonts w:asciiTheme="minorHAnsi" w:hAnsiTheme="minorHAnsi" w:cstheme="minorHAnsi"/>
                <w:sz w:val="22"/>
                <w:szCs w:val="22"/>
              </w:rPr>
              <w:t xml:space="preserve">NB. Clustering via the patient identifier was not possible as the “PatNo” variable recurred between the study datasets for all three data collection time points, which would have therefore interfered with the clustering command function </w:t>
            </w:r>
          </w:p>
        </w:tc>
      </w:tr>
    </w:tbl>
    <w:p w14:paraId="718F1E49" w14:textId="77777777" w:rsidR="00B54D51" w:rsidRPr="00037AD4" w:rsidRDefault="00B54D51" w:rsidP="001D7ACE">
      <w:pPr>
        <w:rPr>
          <w:rFonts w:asciiTheme="minorHAnsi" w:hAnsiTheme="minorHAnsi" w:cstheme="minorHAnsi"/>
          <w:u w:val="single"/>
        </w:rPr>
      </w:pPr>
    </w:p>
    <w:p w14:paraId="1A89BED3" w14:textId="77777777" w:rsidR="00B54D51" w:rsidRPr="00037AD4" w:rsidRDefault="00B54D51" w:rsidP="001D7ACE">
      <w:pPr>
        <w:rPr>
          <w:rFonts w:asciiTheme="minorHAnsi" w:hAnsiTheme="minorHAnsi" w:cstheme="minorHAnsi"/>
          <w:u w:val="single"/>
        </w:rPr>
      </w:pPr>
      <w:r w:rsidRPr="00037AD4">
        <w:rPr>
          <w:rFonts w:asciiTheme="minorHAnsi" w:hAnsiTheme="minorHAnsi" w:cstheme="minorHAnsi"/>
          <w:u w:val="single"/>
        </w:rPr>
        <w:t xml:space="preserve">Regression outputs </w:t>
      </w:r>
    </w:p>
    <w:p w14:paraId="316A5223" w14:textId="77777777" w:rsidR="00B54D51" w:rsidRPr="00037AD4" w:rsidRDefault="00B54D51" w:rsidP="001D7ACE">
      <w:pPr>
        <w:rPr>
          <w:rFonts w:asciiTheme="minorHAnsi" w:hAnsiTheme="minorHAnsi" w:cstheme="minorHAnsi"/>
          <w:color w:val="FF0000"/>
          <w:u w:val="single"/>
        </w:rPr>
      </w:pPr>
    </w:p>
    <w:tbl>
      <w:tblPr>
        <w:tblStyle w:val="TableGrid"/>
        <w:tblW w:w="0" w:type="auto"/>
        <w:tblLook w:val="04A0" w:firstRow="1" w:lastRow="0" w:firstColumn="1" w:lastColumn="0" w:noHBand="0" w:noVBand="1"/>
      </w:tblPr>
      <w:tblGrid>
        <w:gridCol w:w="3005"/>
        <w:gridCol w:w="3005"/>
        <w:gridCol w:w="3006"/>
      </w:tblGrid>
      <w:tr w:rsidR="00B54D51" w:rsidRPr="00037AD4" w14:paraId="5BF83B1E" w14:textId="77777777" w:rsidTr="00401C67">
        <w:tc>
          <w:tcPr>
            <w:tcW w:w="3005" w:type="dxa"/>
          </w:tcPr>
          <w:p w14:paraId="56DDC60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Regression variables </w:t>
            </w:r>
          </w:p>
        </w:tc>
        <w:tc>
          <w:tcPr>
            <w:tcW w:w="3005" w:type="dxa"/>
          </w:tcPr>
          <w:p w14:paraId="1502048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Mobility 1</w:t>
            </w:r>
          </w:p>
        </w:tc>
        <w:tc>
          <w:tcPr>
            <w:tcW w:w="3006" w:type="dxa"/>
          </w:tcPr>
          <w:p w14:paraId="0974AC0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Mobility 2 </w:t>
            </w:r>
          </w:p>
        </w:tc>
      </w:tr>
      <w:tr w:rsidR="00B54D51" w:rsidRPr="00037AD4" w14:paraId="41B9395A" w14:textId="77777777" w:rsidTr="00401C67">
        <w:tc>
          <w:tcPr>
            <w:tcW w:w="3005" w:type="dxa"/>
          </w:tcPr>
          <w:p w14:paraId="5D00DF0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Mobility (2)</w:t>
            </w:r>
          </w:p>
        </w:tc>
        <w:tc>
          <w:tcPr>
            <w:tcW w:w="3005" w:type="dxa"/>
          </w:tcPr>
          <w:p w14:paraId="0579671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0.626*</w:t>
            </w:r>
          </w:p>
        </w:tc>
        <w:tc>
          <w:tcPr>
            <w:tcW w:w="3006" w:type="dxa"/>
          </w:tcPr>
          <w:p w14:paraId="1D758D4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0.612*</w:t>
            </w:r>
          </w:p>
        </w:tc>
      </w:tr>
      <w:tr w:rsidR="00B54D51" w:rsidRPr="00037AD4" w14:paraId="0C31D5DE" w14:textId="77777777" w:rsidTr="00401C67">
        <w:tc>
          <w:tcPr>
            <w:tcW w:w="3005" w:type="dxa"/>
          </w:tcPr>
          <w:p w14:paraId="79DA0EC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Mobility (3)</w:t>
            </w:r>
          </w:p>
        </w:tc>
        <w:tc>
          <w:tcPr>
            <w:tcW w:w="3005" w:type="dxa"/>
          </w:tcPr>
          <w:p w14:paraId="3D74F2E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1.269*</w:t>
            </w:r>
          </w:p>
        </w:tc>
        <w:tc>
          <w:tcPr>
            <w:tcW w:w="3006" w:type="dxa"/>
          </w:tcPr>
          <w:p w14:paraId="4A9689D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0.931*</w:t>
            </w:r>
          </w:p>
        </w:tc>
      </w:tr>
      <w:tr w:rsidR="00B54D51" w:rsidRPr="00037AD4" w14:paraId="3BF074FC" w14:textId="77777777" w:rsidTr="00401C67">
        <w:tc>
          <w:tcPr>
            <w:tcW w:w="3005" w:type="dxa"/>
          </w:tcPr>
          <w:p w14:paraId="6EE66F4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Mobility (4)</w:t>
            </w:r>
          </w:p>
        </w:tc>
        <w:tc>
          <w:tcPr>
            <w:tcW w:w="3005" w:type="dxa"/>
          </w:tcPr>
          <w:p w14:paraId="1948CC0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1.446*</w:t>
            </w:r>
          </w:p>
        </w:tc>
        <w:tc>
          <w:tcPr>
            <w:tcW w:w="3006" w:type="dxa"/>
          </w:tcPr>
          <w:p w14:paraId="18C796C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1.465*</w:t>
            </w:r>
          </w:p>
        </w:tc>
      </w:tr>
      <w:tr w:rsidR="00B54D51" w:rsidRPr="00037AD4" w14:paraId="1342D416" w14:textId="77777777" w:rsidTr="00401C67">
        <w:tc>
          <w:tcPr>
            <w:tcW w:w="3005" w:type="dxa"/>
          </w:tcPr>
          <w:p w14:paraId="12C4CAD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Mobility (5)</w:t>
            </w:r>
          </w:p>
        </w:tc>
        <w:tc>
          <w:tcPr>
            <w:tcW w:w="3005" w:type="dxa"/>
          </w:tcPr>
          <w:p w14:paraId="22A5F45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1.731*</w:t>
            </w:r>
          </w:p>
        </w:tc>
        <w:tc>
          <w:tcPr>
            <w:tcW w:w="3006" w:type="dxa"/>
          </w:tcPr>
          <w:p w14:paraId="539B98D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2.426*</w:t>
            </w:r>
          </w:p>
        </w:tc>
      </w:tr>
      <w:tr w:rsidR="00B54D51" w:rsidRPr="00037AD4" w14:paraId="19F8B3EA" w14:textId="77777777" w:rsidTr="00401C67">
        <w:tc>
          <w:tcPr>
            <w:tcW w:w="3005" w:type="dxa"/>
          </w:tcPr>
          <w:p w14:paraId="05CF060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PwD age</w:t>
            </w:r>
          </w:p>
        </w:tc>
        <w:tc>
          <w:tcPr>
            <w:tcW w:w="3005" w:type="dxa"/>
          </w:tcPr>
          <w:p w14:paraId="72269FD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0.008*</w:t>
            </w:r>
          </w:p>
        </w:tc>
        <w:tc>
          <w:tcPr>
            <w:tcW w:w="3006" w:type="dxa"/>
          </w:tcPr>
          <w:p w14:paraId="4ECFEE6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0.026*</w:t>
            </w:r>
          </w:p>
        </w:tc>
      </w:tr>
      <w:tr w:rsidR="00B54D51" w:rsidRPr="00037AD4" w14:paraId="28B62CE0" w14:textId="77777777" w:rsidTr="00401C67">
        <w:tc>
          <w:tcPr>
            <w:tcW w:w="3005" w:type="dxa"/>
          </w:tcPr>
          <w:p w14:paraId="751AE61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PwD sex </w:t>
            </w:r>
          </w:p>
        </w:tc>
        <w:tc>
          <w:tcPr>
            <w:tcW w:w="3005" w:type="dxa"/>
          </w:tcPr>
          <w:p w14:paraId="23F997C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-0.068</w:t>
            </w:r>
          </w:p>
        </w:tc>
        <w:tc>
          <w:tcPr>
            <w:tcW w:w="3006" w:type="dxa"/>
          </w:tcPr>
          <w:p w14:paraId="3941B47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0.010</w:t>
            </w:r>
          </w:p>
        </w:tc>
      </w:tr>
      <w:tr w:rsidR="00B54D51" w:rsidRPr="00037AD4" w14:paraId="3316F0EE" w14:textId="77777777" w:rsidTr="00401C67">
        <w:tc>
          <w:tcPr>
            <w:tcW w:w="3005" w:type="dxa"/>
          </w:tcPr>
          <w:p w14:paraId="6FE464D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Trial name </w:t>
            </w:r>
          </w:p>
        </w:tc>
        <w:tc>
          <w:tcPr>
            <w:tcW w:w="3005" w:type="dxa"/>
          </w:tcPr>
          <w:p w14:paraId="27FC7EC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-0.006</w:t>
            </w:r>
          </w:p>
        </w:tc>
        <w:tc>
          <w:tcPr>
            <w:tcW w:w="3006" w:type="dxa"/>
          </w:tcPr>
          <w:p w14:paraId="1C98F5B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0.065</w:t>
            </w:r>
          </w:p>
        </w:tc>
      </w:tr>
      <w:tr w:rsidR="00B54D51" w:rsidRPr="00037AD4" w14:paraId="20302D2B" w14:textId="77777777" w:rsidTr="00401C67">
        <w:tc>
          <w:tcPr>
            <w:tcW w:w="3005" w:type="dxa"/>
          </w:tcPr>
          <w:p w14:paraId="12259B9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Model fit statistics </w:t>
            </w:r>
          </w:p>
        </w:tc>
        <w:tc>
          <w:tcPr>
            <w:tcW w:w="3005" w:type="dxa"/>
          </w:tcPr>
          <w:p w14:paraId="47CE2A52" w14:textId="77777777" w:rsidR="00B54D51" w:rsidRPr="00037AD4" w:rsidRDefault="00B54D51" w:rsidP="00401C67">
            <w:pPr>
              <w:pStyle w:val="ListParagraph"/>
              <w:ind w:left="0"/>
              <w:rPr>
                <w:rFonts w:cstheme="minorHAnsi"/>
                <w:sz w:val="22"/>
                <w:szCs w:val="22"/>
              </w:rPr>
            </w:pPr>
            <w:r w:rsidRPr="00037AD4">
              <w:rPr>
                <w:rFonts w:cstheme="minorHAnsi"/>
                <w:sz w:val="22"/>
                <w:szCs w:val="22"/>
              </w:rPr>
              <w:t>AIC: 4112.22; BIC: 4173.41</w:t>
            </w:r>
          </w:p>
          <w:p w14:paraId="4B3A7669" w14:textId="77777777" w:rsidR="00B54D51" w:rsidRPr="00037AD4" w:rsidRDefault="00B54D51" w:rsidP="00401C67">
            <w:pPr>
              <w:pStyle w:val="ListParagraph"/>
              <w:ind w:left="0"/>
              <w:rPr>
                <w:rFonts w:cstheme="minorHAnsi"/>
                <w:sz w:val="22"/>
                <w:szCs w:val="22"/>
              </w:rPr>
            </w:pPr>
            <w:r w:rsidRPr="00037AD4">
              <w:rPr>
                <w:rFonts w:cstheme="minorHAnsi"/>
                <w:sz w:val="22"/>
                <w:szCs w:val="22"/>
              </w:rPr>
              <w:t>Ll(model): -2045.11</w:t>
            </w:r>
          </w:p>
        </w:tc>
        <w:tc>
          <w:tcPr>
            <w:tcW w:w="3006" w:type="dxa"/>
          </w:tcPr>
          <w:p w14:paraId="1CDD8632" w14:textId="77777777" w:rsidR="00B54D51" w:rsidRPr="00037AD4" w:rsidRDefault="00B54D51" w:rsidP="00401C67">
            <w:pPr>
              <w:pStyle w:val="ListParagraph"/>
              <w:ind w:left="0"/>
              <w:rPr>
                <w:rFonts w:cstheme="minorHAnsi"/>
                <w:sz w:val="22"/>
                <w:szCs w:val="22"/>
              </w:rPr>
            </w:pPr>
            <w:r w:rsidRPr="00037AD4">
              <w:rPr>
                <w:rFonts w:cstheme="minorHAnsi"/>
                <w:sz w:val="22"/>
                <w:szCs w:val="22"/>
              </w:rPr>
              <w:t>AIC: 5032.92; BIC: 5094.11</w:t>
            </w:r>
          </w:p>
          <w:p w14:paraId="7971DCCA" w14:textId="77777777" w:rsidR="00B54D51" w:rsidRPr="00037AD4" w:rsidRDefault="00B54D51" w:rsidP="00401C67">
            <w:pPr>
              <w:pStyle w:val="ListParagraph"/>
              <w:ind w:left="0"/>
              <w:rPr>
                <w:rFonts w:cstheme="minorHAnsi"/>
                <w:sz w:val="22"/>
                <w:szCs w:val="22"/>
              </w:rPr>
            </w:pPr>
            <w:r w:rsidRPr="00037AD4">
              <w:rPr>
                <w:rFonts w:cstheme="minorHAnsi"/>
                <w:sz w:val="22"/>
                <w:szCs w:val="22"/>
              </w:rPr>
              <w:t>Ll(model): -2505.46</w:t>
            </w:r>
          </w:p>
        </w:tc>
      </w:tr>
    </w:tbl>
    <w:p w14:paraId="734180CB" w14:textId="77777777" w:rsidR="00B54D51" w:rsidRPr="00037AD4" w:rsidRDefault="00B54D51" w:rsidP="001D7ACE">
      <w:pPr>
        <w:rPr>
          <w:rFonts w:asciiTheme="minorHAnsi" w:hAnsiTheme="minorHAnsi" w:cstheme="minorHAnsi"/>
          <w:color w:val="FF0000"/>
          <w:u w:val="single"/>
        </w:rPr>
      </w:pPr>
    </w:p>
    <w:tbl>
      <w:tblPr>
        <w:tblStyle w:val="TableGrid"/>
        <w:tblW w:w="0" w:type="auto"/>
        <w:tblLook w:val="04A0" w:firstRow="1" w:lastRow="0" w:firstColumn="1" w:lastColumn="0" w:noHBand="0" w:noVBand="1"/>
      </w:tblPr>
      <w:tblGrid>
        <w:gridCol w:w="3005"/>
        <w:gridCol w:w="3005"/>
      </w:tblGrid>
      <w:tr w:rsidR="00B54D51" w:rsidRPr="00037AD4" w14:paraId="52544121" w14:textId="77777777" w:rsidTr="00401C67">
        <w:tc>
          <w:tcPr>
            <w:tcW w:w="3005" w:type="dxa"/>
          </w:tcPr>
          <w:p w14:paraId="32F6D21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Regression variables </w:t>
            </w:r>
          </w:p>
        </w:tc>
        <w:tc>
          <w:tcPr>
            <w:tcW w:w="3005" w:type="dxa"/>
          </w:tcPr>
          <w:p w14:paraId="41E6E7B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Self-care</w:t>
            </w:r>
          </w:p>
        </w:tc>
      </w:tr>
      <w:tr w:rsidR="00B54D51" w:rsidRPr="00037AD4" w14:paraId="6ED65CFC" w14:textId="77777777" w:rsidTr="00401C67">
        <w:tc>
          <w:tcPr>
            <w:tcW w:w="3005" w:type="dxa"/>
          </w:tcPr>
          <w:p w14:paraId="05536D2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Self-care (2)</w:t>
            </w:r>
          </w:p>
        </w:tc>
        <w:tc>
          <w:tcPr>
            <w:tcW w:w="3005" w:type="dxa"/>
          </w:tcPr>
          <w:p w14:paraId="6C90172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0.415*</w:t>
            </w:r>
          </w:p>
        </w:tc>
      </w:tr>
      <w:tr w:rsidR="00B54D51" w:rsidRPr="00037AD4" w14:paraId="761C239A" w14:textId="77777777" w:rsidTr="00401C67">
        <w:tc>
          <w:tcPr>
            <w:tcW w:w="3005" w:type="dxa"/>
          </w:tcPr>
          <w:p w14:paraId="30BA139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Self-care (3)</w:t>
            </w:r>
          </w:p>
        </w:tc>
        <w:tc>
          <w:tcPr>
            <w:tcW w:w="3005" w:type="dxa"/>
          </w:tcPr>
          <w:p w14:paraId="6D8DDB1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0.748*</w:t>
            </w:r>
          </w:p>
        </w:tc>
      </w:tr>
      <w:tr w:rsidR="00B54D51" w:rsidRPr="00037AD4" w14:paraId="76496FF3" w14:textId="77777777" w:rsidTr="00401C67">
        <w:tc>
          <w:tcPr>
            <w:tcW w:w="3005" w:type="dxa"/>
          </w:tcPr>
          <w:p w14:paraId="308EC82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Self-care (4)</w:t>
            </w:r>
          </w:p>
        </w:tc>
        <w:tc>
          <w:tcPr>
            <w:tcW w:w="3005" w:type="dxa"/>
          </w:tcPr>
          <w:p w14:paraId="70A147B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1.301*</w:t>
            </w:r>
          </w:p>
        </w:tc>
      </w:tr>
      <w:tr w:rsidR="00B54D51" w:rsidRPr="00037AD4" w14:paraId="7BC80605" w14:textId="77777777" w:rsidTr="00401C67">
        <w:tc>
          <w:tcPr>
            <w:tcW w:w="3005" w:type="dxa"/>
          </w:tcPr>
          <w:p w14:paraId="7A58C54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Self-care (5)</w:t>
            </w:r>
          </w:p>
        </w:tc>
        <w:tc>
          <w:tcPr>
            <w:tcW w:w="3005" w:type="dxa"/>
          </w:tcPr>
          <w:p w14:paraId="3A94DBF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1.561*</w:t>
            </w:r>
          </w:p>
        </w:tc>
      </w:tr>
      <w:tr w:rsidR="00B54D51" w:rsidRPr="00037AD4" w14:paraId="44C1C975" w14:textId="77777777" w:rsidTr="00401C67">
        <w:tc>
          <w:tcPr>
            <w:tcW w:w="3005" w:type="dxa"/>
          </w:tcPr>
          <w:p w14:paraId="439BE5D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PwD age</w:t>
            </w:r>
          </w:p>
        </w:tc>
        <w:tc>
          <w:tcPr>
            <w:tcW w:w="3005" w:type="dxa"/>
          </w:tcPr>
          <w:p w14:paraId="4ECDB5B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0.014*</w:t>
            </w:r>
          </w:p>
        </w:tc>
      </w:tr>
      <w:tr w:rsidR="00B54D51" w:rsidRPr="00037AD4" w14:paraId="3DA02D92" w14:textId="77777777" w:rsidTr="00401C67">
        <w:tc>
          <w:tcPr>
            <w:tcW w:w="3005" w:type="dxa"/>
          </w:tcPr>
          <w:p w14:paraId="595A776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PwD sex </w:t>
            </w:r>
          </w:p>
        </w:tc>
        <w:tc>
          <w:tcPr>
            <w:tcW w:w="3005" w:type="dxa"/>
          </w:tcPr>
          <w:p w14:paraId="7EA290F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-0.072</w:t>
            </w:r>
          </w:p>
        </w:tc>
      </w:tr>
      <w:tr w:rsidR="00B54D51" w:rsidRPr="00037AD4" w14:paraId="03849959" w14:textId="77777777" w:rsidTr="00401C67">
        <w:tc>
          <w:tcPr>
            <w:tcW w:w="3005" w:type="dxa"/>
          </w:tcPr>
          <w:p w14:paraId="45010BC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Trial name </w:t>
            </w:r>
          </w:p>
        </w:tc>
        <w:tc>
          <w:tcPr>
            <w:tcW w:w="3005" w:type="dxa"/>
          </w:tcPr>
          <w:p w14:paraId="542DFE6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0.833*</w:t>
            </w:r>
          </w:p>
        </w:tc>
      </w:tr>
      <w:tr w:rsidR="00B54D51" w:rsidRPr="00037AD4" w14:paraId="7C38B889" w14:textId="77777777" w:rsidTr="00401C67">
        <w:tc>
          <w:tcPr>
            <w:tcW w:w="3005" w:type="dxa"/>
          </w:tcPr>
          <w:p w14:paraId="10FB911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Model fit statistics </w:t>
            </w:r>
          </w:p>
        </w:tc>
        <w:tc>
          <w:tcPr>
            <w:tcW w:w="3005" w:type="dxa"/>
          </w:tcPr>
          <w:p w14:paraId="1DFA348A" w14:textId="77777777" w:rsidR="00B54D51" w:rsidRPr="00037AD4" w:rsidRDefault="00B54D51" w:rsidP="00401C67">
            <w:pPr>
              <w:pStyle w:val="ListParagraph"/>
              <w:ind w:left="0"/>
              <w:rPr>
                <w:rFonts w:cstheme="minorHAnsi"/>
                <w:sz w:val="22"/>
                <w:szCs w:val="22"/>
              </w:rPr>
            </w:pPr>
            <w:r w:rsidRPr="00037AD4">
              <w:rPr>
                <w:rFonts w:cstheme="minorHAnsi"/>
                <w:sz w:val="22"/>
                <w:szCs w:val="22"/>
              </w:rPr>
              <w:t>AIC: 5225.43; BIC: 5286.56</w:t>
            </w:r>
          </w:p>
          <w:p w14:paraId="22BE5E69" w14:textId="77777777" w:rsidR="00B54D51" w:rsidRPr="00037AD4" w:rsidRDefault="00B54D51" w:rsidP="00401C67">
            <w:pPr>
              <w:pStyle w:val="ListParagraph"/>
              <w:ind w:left="0"/>
              <w:rPr>
                <w:rFonts w:cstheme="minorHAnsi"/>
                <w:sz w:val="22"/>
                <w:szCs w:val="22"/>
              </w:rPr>
            </w:pPr>
            <w:r w:rsidRPr="00037AD4">
              <w:rPr>
                <w:rFonts w:cstheme="minorHAnsi"/>
                <w:sz w:val="22"/>
                <w:szCs w:val="22"/>
              </w:rPr>
              <w:t>Ll(model): -2601.71</w:t>
            </w:r>
          </w:p>
        </w:tc>
      </w:tr>
    </w:tbl>
    <w:p w14:paraId="270C4A2B" w14:textId="77777777" w:rsidR="00B54D51" w:rsidRPr="00037AD4" w:rsidRDefault="00B54D51" w:rsidP="001D7ACE">
      <w:pPr>
        <w:rPr>
          <w:rFonts w:asciiTheme="minorHAnsi" w:hAnsiTheme="minorHAnsi" w:cstheme="minorHAnsi"/>
          <w:color w:val="FF0000"/>
          <w:u w:val="single"/>
        </w:rPr>
      </w:pPr>
    </w:p>
    <w:tbl>
      <w:tblPr>
        <w:tblStyle w:val="TableGrid"/>
        <w:tblW w:w="0" w:type="auto"/>
        <w:tblLook w:val="04A0" w:firstRow="1" w:lastRow="0" w:firstColumn="1" w:lastColumn="0" w:noHBand="0" w:noVBand="1"/>
      </w:tblPr>
      <w:tblGrid>
        <w:gridCol w:w="3005"/>
        <w:gridCol w:w="3005"/>
      </w:tblGrid>
      <w:tr w:rsidR="00B54D51" w:rsidRPr="00037AD4" w14:paraId="4AE17875" w14:textId="77777777" w:rsidTr="00401C67">
        <w:tc>
          <w:tcPr>
            <w:tcW w:w="3005" w:type="dxa"/>
          </w:tcPr>
          <w:p w14:paraId="1D862AC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Regression variables </w:t>
            </w:r>
          </w:p>
        </w:tc>
        <w:tc>
          <w:tcPr>
            <w:tcW w:w="3005" w:type="dxa"/>
          </w:tcPr>
          <w:p w14:paraId="3F235E3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Usual activities </w:t>
            </w:r>
          </w:p>
        </w:tc>
      </w:tr>
      <w:tr w:rsidR="00B54D51" w:rsidRPr="00037AD4" w14:paraId="69C94A9D" w14:textId="77777777" w:rsidTr="00401C67">
        <w:tc>
          <w:tcPr>
            <w:tcW w:w="3005" w:type="dxa"/>
          </w:tcPr>
          <w:p w14:paraId="46D7079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Usual activities (2)</w:t>
            </w:r>
          </w:p>
        </w:tc>
        <w:tc>
          <w:tcPr>
            <w:tcW w:w="3005" w:type="dxa"/>
          </w:tcPr>
          <w:p w14:paraId="424B9CC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0.346*</w:t>
            </w:r>
          </w:p>
        </w:tc>
      </w:tr>
      <w:tr w:rsidR="00B54D51" w:rsidRPr="00037AD4" w14:paraId="60BE9AE9" w14:textId="77777777" w:rsidTr="00401C67">
        <w:tc>
          <w:tcPr>
            <w:tcW w:w="3005" w:type="dxa"/>
          </w:tcPr>
          <w:p w14:paraId="6A40533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Usual activities (3)</w:t>
            </w:r>
          </w:p>
        </w:tc>
        <w:tc>
          <w:tcPr>
            <w:tcW w:w="3005" w:type="dxa"/>
          </w:tcPr>
          <w:p w14:paraId="40C500D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0.582*</w:t>
            </w:r>
          </w:p>
        </w:tc>
      </w:tr>
      <w:tr w:rsidR="00B54D51" w:rsidRPr="00037AD4" w14:paraId="674B57FB" w14:textId="77777777" w:rsidTr="00401C67">
        <w:tc>
          <w:tcPr>
            <w:tcW w:w="3005" w:type="dxa"/>
          </w:tcPr>
          <w:p w14:paraId="0B49D62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Usual activities (4)</w:t>
            </w:r>
          </w:p>
        </w:tc>
        <w:tc>
          <w:tcPr>
            <w:tcW w:w="3005" w:type="dxa"/>
          </w:tcPr>
          <w:p w14:paraId="2AAA6E0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1.281*</w:t>
            </w:r>
          </w:p>
        </w:tc>
      </w:tr>
      <w:tr w:rsidR="00B54D51" w:rsidRPr="00037AD4" w14:paraId="17DD833B" w14:textId="77777777" w:rsidTr="00401C67">
        <w:tc>
          <w:tcPr>
            <w:tcW w:w="3005" w:type="dxa"/>
          </w:tcPr>
          <w:p w14:paraId="507B31C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lastRenderedPageBreak/>
              <w:t>Usual activities (5)</w:t>
            </w:r>
          </w:p>
        </w:tc>
        <w:tc>
          <w:tcPr>
            <w:tcW w:w="3005" w:type="dxa"/>
          </w:tcPr>
          <w:p w14:paraId="21320B0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1.289*</w:t>
            </w:r>
          </w:p>
        </w:tc>
      </w:tr>
      <w:tr w:rsidR="00B54D51" w:rsidRPr="00037AD4" w14:paraId="6FFADCE3" w14:textId="77777777" w:rsidTr="00401C67">
        <w:tc>
          <w:tcPr>
            <w:tcW w:w="3005" w:type="dxa"/>
          </w:tcPr>
          <w:p w14:paraId="28001BB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NPI</w:t>
            </w:r>
          </w:p>
        </w:tc>
        <w:tc>
          <w:tcPr>
            <w:tcW w:w="3005" w:type="dxa"/>
          </w:tcPr>
          <w:p w14:paraId="2733240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0.015*</w:t>
            </w:r>
          </w:p>
        </w:tc>
      </w:tr>
      <w:tr w:rsidR="00B54D51" w:rsidRPr="00037AD4" w14:paraId="3A9BA459" w14:textId="77777777" w:rsidTr="00401C67">
        <w:tc>
          <w:tcPr>
            <w:tcW w:w="3005" w:type="dxa"/>
          </w:tcPr>
          <w:p w14:paraId="05F8EC5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PwD age</w:t>
            </w:r>
          </w:p>
        </w:tc>
        <w:tc>
          <w:tcPr>
            <w:tcW w:w="3005" w:type="dxa"/>
          </w:tcPr>
          <w:p w14:paraId="398EE95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0.009*</w:t>
            </w:r>
          </w:p>
        </w:tc>
      </w:tr>
      <w:tr w:rsidR="00B54D51" w:rsidRPr="00037AD4" w14:paraId="54400642" w14:textId="77777777" w:rsidTr="00401C67">
        <w:tc>
          <w:tcPr>
            <w:tcW w:w="3005" w:type="dxa"/>
          </w:tcPr>
          <w:p w14:paraId="7FFCC51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PwD sex </w:t>
            </w:r>
          </w:p>
        </w:tc>
        <w:tc>
          <w:tcPr>
            <w:tcW w:w="3005" w:type="dxa"/>
          </w:tcPr>
          <w:p w14:paraId="1F211C1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0.050</w:t>
            </w:r>
          </w:p>
        </w:tc>
      </w:tr>
      <w:tr w:rsidR="00B54D51" w:rsidRPr="00037AD4" w14:paraId="67B9A505" w14:textId="77777777" w:rsidTr="00401C67">
        <w:tc>
          <w:tcPr>
            <w:tcW w:w="3005" w:type="dxa"/>
          </w:tcPr>
          <w:p w14:paraId="373CF2A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Trial name </w:t>
            </w:r>
          </w:p>
        </w:tc>
        <w:tc>
          <w:tcPr>
            <w:tcW w:w="3005" w:type="dxa"/>
          </w:tcPr>
          <w:p w14:paraId="383516D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-0.929*</w:t>
            </w:r>
          </w:p>
        </w:tc>
      </w:tr>
      <w:tr w:rsidR="00B54D51" w:rsidRPr="00037AD4" w14:paraId="60552DB6" w14:textId="77777777" w:rsidTr="00401C67">
        <w:tc>
          <w:tcPr>
            <w:tcW w:w="3005" w:type="dxa"/>
          </w:tcPr>
          <w:p w14:paraId="57FCA12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Model fit statistics </w:t>
            </w:r>
          </w:p>
        </w:tc>
        <w:tc>
          <w:tcPr>
            <w:tcW w:w="3005" w:type="dxa"/>
          </w:tcPr>
          <w:p w14:paraId="11BE79E9" w14:textId="77777777" w:rsidR="00B54D51" w:rsidRPr="00037AD4" w:rsidRDefault="00B54D51" w:rsidP="00401C67">
            <w:pPr>
              <w:pStyle w:val="ListParagraph"/>
              <w:ind w:left="0"/>
              <w:rPr>
                <w:rFonts w:cstheme="minorHAnsi"/>
                <w:sz w:val="22"/>
                <w:szCs w:val="22"/>
              </w:rPr>
            </w:pPr>
            <w:r w:rsidRPr="00037AD4">
              <w:rPr>
                <w:rFonts w:cstheme="minorHAnsi"/>
                <w:sz w:val="22"/>
                <w:szCs w:val="22"/>
              </w:rPr>
              <w:t xml:space="preserve">AIC: 4814.94; BIC: 4881.41 </w:t>
            </w:r>
          </w:p>
          <w:p w14:paraId="535789FA" w14:textId="77777777" w:rsidR="00B54D51" w:rsidRPr="00037AD4" w:rsidRDefault="00B54D51" w:rsidP="00401C67">
            <w:pPr>
              <w:pStyle w:val="ListParagraph"/>
              <w:ind w:left="0"/>
              <w:rPr>
                <w:rFonts w:cstheme="minorHAnsi"/>
                <w:sz w:val="22"/>
                <w:szCs w:val="22"/>
              </w:rPr>
            </w:pPr>
            <w:r w:rsidRPr="00037AD4">
              <w:rPr>
                <w:rFonts w:cstheme="minorHAnsi"/>
                <w:sz w:val="22"/>
                <w:szCs w:val="22"/>
              </w:rPr>
              <w:t>Ll(model): -2395.47</w:t>
            </w:r>
          </w:p>
        </w:tc>
      </w:tr>
    </w:tbl>
    <w:p w14:paraId="3EC77C8E" w14:textId="77777777" w:rsidR="00B54D51" w:rsidRPr="00037AD4" w:rsidRDefault="00B54D51" w:rsidP="001D7ACE">
      <w:pPr>
        <w:rPr>
          <w:rFonts w:asciiTheme="minorHAnsi" w:hAnsiTheme="minorHAnsi" w:cstheme="minorHAnsi"/>
          <w:color w:val="FF0000"/>
          <w:u w:val="single"/>
        </w:rPr>
      </w:pPr>
    </w:p>
    <w:tbl>
      <w:tblPr>
        <w:tblStyle w:val="TableGrid"/>
        <w:tblW w:w="0" w:type="auto"/>
        <w:tblLook w:val="04A0" w:firstRow="1" w:lastRow="0" w:firstColumn="1" w:lastColumn="0" w:noHBand="0" w:noVBand="1"/>
      </w:tblPr>
      <w:tblGrid>
        <w:gridCol w:w="3005"/>
        <w:gridCol w:w="3005"/>
      </w:tblGrid>
      <w:tr w:rsidR="00B54D51" w:rsidRPr="00037AD4" w14:paraId="32D00A1F" w14:textId="77777777" w:rsidTr="00401C67">
        <w:tc>
          <w:tcPr>
            <w:tcW w:w="3005" w:type="dxa"/>
          </w:tcPr>
          <w:p w14:paraId="06021A7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Regression variables </w:t>
            </w:r>
          </w:p>
        </w:tc>
        <w:tc>
          <w:tcPr>
            <w:tcW w:w="3005" w:type="dxa"/>
          </w:tcPr>
          <w:p w14:paraId="19BE40F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Anxiety/depression </w:t>
            </w:r>
          </w:p>
        </w:tc>
      </w:tr>
      <w:tr w:rsidR="00B54D51" w:rsidRPr="00037AD4" w14:paraId="06C1EFBD" w14:textId="77777777" w:rsidTr="00401C67">
        <w:tc>
          <w:tcPr>
            <w:tcW w:w="3005" w:type="dxa"/>
          </w:tcPr>
          <w:p w14:paraId="7221036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Anxiety/depression (2)</w:t>
            </w:r>
          </w:p>
        </w:tc>
        <w:tc>
          <w:tcPr>
            <w:tcW w:w="3005" w:type="dxa"/>
          </w:tcPr>
          <w:p w14:paraId="778D675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0.334*</w:t>
            </w:r>
          </w:p>
        </w:tc>
      </w:tr>
      <w:tr w:rsidR="00B54D51" w:rsidRPr="00037AD4" w14:paraId="6AB23D6B" w14:textId="77777777" w:rsidTr="00401C67">
        <w:tc>
          <w:tcPr>
            <w:tcW w:w="3005" w:type="dxa"/>
          </w:tcPr>
          <w:p w14:paraId="5916E0A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Anxiety/depression (3)</w:t>
            </w:r>
          </w:p>
        </w:tc>
        <w:tc>
          <w:tcPr>
            <w:tcW w:w="3005" w:type="dxa"/>
          </w:tcPr>
          <w:p w14:paraId="5DB4587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0.688*</w:t>
            </w:r>
          </w:p>
        </w:tc>
      </w:tr>
      <w:tr w:rsidR="00B54D51" w:rsidRPr="00037AD4" w14:paraId="5FB4D10D" w14:textId="77777777" w:rsidTr="00401C67">
        <w:tc>
          <w:tcPr>
            <w:tcW w:w="3005" w:type="dxa"/>
          </w:tcPr>
          <w:p w14:paraId="52EB258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Anxiety/depression (4)</w:t>
            </w:r>
          </w:p>
        </w:tc>
        <w:tc>
          <w:tcPr>
            <w:tcW w:w="3005" w:type="dxa"/>
          </w:tcPr>
          <w:p w14:paraId="220CCA2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0.662*</w:t>
            </w:r>
          </w:p>
        </w:tc>
      </w:tr>
      <w:tr w:rsidR="00B54D51" w:rsidRPr="00037AD4" w14:paraId="7B139F37" w14:textId="77777777" w:rsidTr="00401C67">
        <w:tc>
          <w:tcPr>
            <w:tcW w:w="3005" w:type="dxa"/>
          </w:tcPr>
          <w:p w14:paraId="36C4BC1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Anxiety/depression (5)</w:t>
            </w:r>
          </w:p>
        </w:tc>
        <w:tc>
          <w:tcPr>
            <w:tcW w:w="3005" w:type="dxa"/>
          </w:tcPr>
          <w:p w14:paraId="3471569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1.400*</w:t>
            </w:r>
          </w:p>
        </w:tc>
      </w:tr>
      <w:tr w:rsidR="00B54D51" w:rsidRPr="00037AD4" w14:paraId="573C21E0" w14:textId="77777777" w:rsidTr="00401C67">
        <w:tc>
          <w:tcPr>
            <w:tcW w:w="3005" w:type="dxa"/>
          </w:tcPr>
          <w:p w14:paraId="3AD0024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NPI</w:t>
            </w:r>
          </w:p>
        </w:tc>
        <w:tc>
          <w:tcPr>
            <w:tcW w:w="3005" w:type="dxa"/>
          </w:tcPr>
          <w:p w14:paraId="58F557F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0.001</w:t>
            </w:r>
          </w:p>
        </w:tc>
      </w:tr>
      <w:tr w:rsidR="00B54D51" w:rsidRPr="00037AD4" w14:paraId="18FD2BDB" w14:textId="77777777" w:rsidTr="00401C67">
        <w:tc>
          <w:tcPr>
            <w:tcW w:w="3005" w:type="dxa"/>
          </w:tcPr>
          <w:p w14:paraId="38EC805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PwD age</w:t>
            </w:r>
          </w:p>
        </w:tc>
        <w:tc>
          <w:tcPr>
            <w:tcW w:w="3005" w:type="dxa"/>
          </w:tcPr>
          <w:p w14:paraId="64046E0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-0.002</w:t>
            </w:r>
          </w:p>
        </w:tc>
      </w:tr>
      <w:tr w:rsidR="00B54D51" w:rsidRPr="00037AD4" w14:paraId="09C2FBCD" w14:textId="77777777" w:rsidTr="00401C67">
        <w:tc>
          <w:tcPr>
            <w:tcW w:w="3005" w:type="dxa"/>
          </w:tcPr>
          <w:p w14:paraId="43881DF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PwD sex </w:t>
            </w:r>
          </w:p>
        </w:tc>
        <w:tc>
          <w:tcPr>
            <w:tcW w:w="3005" w:type="dxa"/>
          </w:tcPr>
          <w:p w14:paraId="57F2696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0.068</w:t>
            </w:r>
          </w:p>
        </w:tc>
      </w:tr>
      <w:tr w:rsidR="00B54D51" w:rsidRPr="00037AD4" w14:paraId="3B9EC1EA" w14:textId="77777777" w:rsidTr="00401C67">
        <w:tc>
          <w:tcPr>
            <w:tcW w:w="3005" w:type="dxa"/>
          </w:tcPr>
          <w:p w14:paraId="1842975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Trial name </w:t>
            </w:r>
          </w:p>
        </w:tc>
        <w:tc>
          <w:tcPr>
            <w:tcW w:w="3005" w:type="dxa"/>
          </w:tcPr>
          <w:p w14:paraId="4DB5342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-0.241*</w:t>
            </w:r>
          </w:p>
        </w:tc>
      </w:tr>
      <w:tr w:rsidR="00B54D51" w:rsidRPr="00037AD4" w14:paraId="38949290" w14:textId="77777777" w:rsidTr="00401C67">
        <w:tc>
          <w:tcPr>
            <w:tcW w:w="3005" w:type="dxa"/>
          </w:tcPr>
          <w:p w14:paraId="5482109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 xml:space="preserve">Model fit statistics </w:t>
            </w:r>
          </w:p>
        </w:tc>
        <w:tc>
          <w:tcPr>
            <w:tcW w:w="3005" w:type="dxa"/>
          </w:tcPr>
          <w:p w14:paraId="1CC43260" w14:textId="77777777" w:rsidR="00B54D51" w:rsidRPr="00037AD4" w:rsidRDefault="00B54D51" w:rsidP="00401C67">
            <w:pPr>
              <w:pStyle w:val="ListParagraph"/>
              <w:ind w:left="0"/>
              <w:rPr>
                <w:rFonts w:cstheme="minorHAnsi"/>
                <w:sz w:val="22"/>
                <w:szCs w:val="22"/>
              </w:rPr>
            </w:pPr>
            <w:r w:rsidRPr="00037AD4">
              <w:rPr>
                <w:rFonts w:cstheme="minorHAnsi"/>
                <w:sz w:val="22"/>
                <w:szCs w:val="22"/>
              </w:rPr>
              <w:t xml:space="preserve">AIC: 3321.76; BIC: 3388.34 </w:t>
            </w:r>
          </w:p>
          <w:p w14:paraId="2DCD5076" w14:textId="77777777" w:rsidR="00B54D51" w:rsidRPr="00037AD4" w:rsidRDefault="00B54D51" w:rsidP="00401C67">
            <w:pPr>
              <w:pStyle w:val="ListParagraph"/>
              <w:ind w:left="0"/>
              <w:rPr>
                <w:rFonts w:cstheme="minorHAnsi"/>
                <w:sz w:val="22"/>
                <w:szCs w:val="22"/>
              </w:rPr>
            </w:pPr>
            <w:r w:rsidRPr="00037AD4">
              <w:rPr>
                <w:rFonts w:cstheme="minorHAnsi"/>
                <w:sz w:val="22"/>
                <w:szCs w:val="22"/>
              </w:rPr>
              <w:t>Ll(model): -1648.88</w:t>
            </w:r>
          </w:p>
        </w:tc>
      </w:tr>
    </w:tbl>
    <w:p w14:paraId="36C77408" w14:textId="77777777" w:rsidR="00B54D51" w:rsidRDefault="00B54D51" w:rsidP="001D7ACE">
      <w:pPr>
        <w:rPr>
          <w:rFonts w:asciiTheme="minorHAnsi" w:hAnsiTheme="minorHAnsi" w:cstheme="minorHAnsi"/>
          <w:sz w:val="26"/>
          <w:szCs w:val="26"/>
          <w:u w:val="single"/>
        </w:rPr>
      </w:pPr>
    </w:p>
    <w:p w14:paraId="46C2E6C9" w14:textId="77777777" w:rsidR="008B60DB" w:rsidRDefault="008B60DB" w:rsidP="008B60DB">
      <w:pPr>
        <w:pStyle w:val="Heading2"/>
      </w:pPr>
    </w:p>
    <w:p w14:paraId="34550A41" w14:textId="77777777" w:rsidR="008B60DB" w:rsidRDefault="008B60DB" w:rsidP="008B60DB"/>
    <w:p w14:paraId="1DB698ED" w14:textId="77777777" w:rsidR="008B60DB" w:rsidRDefault="008B60DB" w:rsidP="008B60DB"/>
    <w:p w14:paraId="2E1B6F70" w14:textId="77777777" w:rsidR="008B60DB" w:rsidRDefault="008B60DB" w:rsidP="008B60DB"/>
    <w:p w14:paraId="1F2C27B4" w14:textId="77777777" w:rsidR="008B60DB" w:rsidRDefault="008B60DB" w:rsidP="008B60DB"/>
    <w:p w14:paraId="09E556AF" w14:textId="77777777" w:rsidR="008B60DB" w:rsidRDefault="008B60DB" w:rsidP="008B60DB"/>
    <w:p w14:paraId="7E206CB4" w14:textId="77777777" w:rsidR="008B60DB" w:rsidRDefault="008B60DB" w:rsidP="008B60DB"/>
    <w:p w14:paraId="7137AC54" w14:textId="77777777" w:rsidR="008B60DB" w:rsidRDefault="008B60DB" w:rsidP="008B60DB"/>
    <w:p w14:paraId="0F19F4AC" w14:textId="77777777" w:rsidR="008B60DB" w:rsidRDefault="008B60DB" w:rsidP="008B60DB"/>
    <w:p w14:paraId="3CCECD40" w14:textId="77777777" w:rsidR="008B60DB" w:rsidRDefault="008B60DB" w:rsidP="008B60DB"/>
    <w:p w14:paraId="23765FE5" w14:textId="77777777" w:rsidR="008B60DB" w:rsidRDefault="008B60DB" w:rsidP="008B60DB"/>
    <w:p w14:paraId="159E1D80" w14:textId="77777777" w:rsidR="008B60DB" w:rsidRDefault="008B60DB" w:rsidP="008B60DB"/>
    <w:p w14:paraId="08AF4B03" w14:textId="77777777" w:rsidR="008B60DB" w:rsidRDefault="008B60DB" w:rsidP="008B60DB"/>
    <w:p w14:paraId="15FB216B" w14:textId="77777777" w:rsidR="008B60DB" w:rsidRDefault="008B60DB" w:rsidP="008B60DB"/>
    <w:p w14:paraId="7FC02B3A" w14:textId="77777777" w:rsidR="008B60DB" w:rsidRDefault="008B60DB" w:rsidP="008B60DB"/>
    <w:p w14:paraId="6BBFEC1B" w14:textId="77777777" w:rsidR="008B60DB" w:rsidRDefault="008B60DB" w:rsidP="008B60DB"/>
    <w:p w14:paraId="567192BB" w14:textId="77777777" w:rsidR="008B60DB" w:rsidRDefault="008B60DB" w:rsidP="008B60DB"/>
    <w:p w14:paraId="31243651" w14:textId="77777777" w:rsidR="008B60DB" w:rsidRDefault="008B60DB" w:rsidP="008B60DB"/>
    <w:p w14:paraId="42C63FBB" w14:textId="77777777" w:rsidR="008B60DB" w:rsidRDefault="008B60DB" w:rsidP="008B60DB"/>
    <w:p w14:paraId="54C69D6C" w14:textId="77777777" w:rsidR="008B60DB" w:rsidRDefault="008B60DB" w:rsidP="008B60DB"/>
    <w:p w14:paraId="17C6A058" w14:textId="77777777" w:rsidR="008B60DB" w:rsidRDefault="008B60DB" w:rsidP="008B60DB"/>
    <w:p w14:paraId="7EAEEB84" w14:textId="77777777" w:rsidR="008B60DB" w:rsidRDefault="008B60DB" w:rsidP="008B60DB"/>
    <w:p w14:paraId="436CDC1C" w14:textId="77777777" w:rsidR="008B60DB" w:rsidRPr="008B60DB" w:rsidRDefault="008B60DB" w:rsidP="008B60DB"/>
    <w:p w14:paraId="7917411A" w14:textId="77777777" w:rsidR="008B60DB" w:rsidRDefault="008B60DB" w:rsidP="008B60DB">
      <w:pPr>
        <w:pStyle w:val="Heading2"/>
      </w:pPr>
    </w:p>
    <w:p w14:paraId="5B1BC0B1" w14:textId="77777777" w:rsidR="008B60DB" w:rsidRDefault="008B60DB" w:rsidP="008B60DB">
      <w:pPr>
        <w:pStyle w:val="Heading2"/>
      </w:pPr>
    </w:p>
    <w:p w14:paraId="1541013A" w14:textId="77777777" w:rsidR="008B60DB" w:rsidRPr="008B60DB" w:rsidRDefault="008B60DB" w:rsidP="008B60DB"/>
    <w:p w14:paraId="3DD8165F" w14:textId="17BD7AC6" w:rsidR="008B60DB" w:rsidRDefault="008B60DB" w:rsidP="008B60DB">
      <w:pPr>
        <w:pStyle w:val="Heading2"/>
      </w:pPr>
      <w:bookmarkStart w:id="550" w:name="_Toc175742421"/>
      <w:r>
        <w:lastRenderedPageBreak/>
        <w:t>Appendix 6.5a Pragmatic models</w:t>
      </w:r>
      <w:bookmarkEnd w:id="550"/>
      <w:r>
        <w:t xml:space="preserve"> </w:t>
      </w:r>
    </w:p>
    <w:p w14:paraId="4D5E1122" w14:textId="77777777" w:rsidR="008B60DB" w:rsidRDefault="008B60DB" w:rsidP="008B60DB"/>
    <w:p w14:paraId="6D082F75" w14:textId="77777777" w:rsidR="008B60DB" w:rsidRPr="00F563BF" w:rsidRDefault="008B60DB" w:rsidP="008B60DB">
      <w:pPr>
        <w:rPr>
          <w:rFonts w:ascii="Calibri" w:hAnsi="Calibri" w:cs="Calibri"/>
          <w:b/>
          <w:bCs/>
          <w:u w:val="single"/>
        </w:rPr>
      </w:pPr>
      <w:r w:rsidRPr="00F563BF">
        <w:rPr>
          <w:rFonts w:ascii="Calibri" w:hAnsi="Calibri" w:cs="Calibri"/>
          <w:b/>
          <w:bCs/>
          <w:u w:val="single"/>
        </w:rPr>
        <w:t xml:space="preserve">ACTIFCARE </w:t>
      </w:r>
    </w:p>
    <w:p w14:paraId="6E11872C" w14:textId="77777777" w:rsidR="008B60DB" w:rsidRPr="00F563BF" w:rsidRDefault="008B60DB" w:rsidP="008B60DB">
      <w:pPr>
        <w:rPr>
          <w:rFonts w:ascii="Calibri" w:hAnsi="Calibri" w:cs="Calibri"/>
          <w:b/>
          <w:bCs/>
          <w:u w:val="single"/>
        </w:rPr>
      </w:pPr>
    </w:p>
    <w:p w14:paraId="317BA3F0" w14:textId="77777777" w:rsidR="008B60DB" w:rsidRPr="00F563BF" w:rsidRDefault="008B60DB" w:rsidP="008B60DB">
      <w:pPr>
        <w:rPr>
          <w:rFonts w:ascii="Calibri" w:hAnsi="Calibri" w:cs="Calibri"/>
          <w:b/>
          <w:bCs/>
        </w:rPr>
      </w:pPr>
      <w:r w:rsidRPr="00F563BF">
        <w:rPr>
          <w:rFonts w:ascii="Calibri" w:hAnsi="Calibri" w:cs="Calibri"/>
          <w:b/>
          <w:bCs/>
        </w:rPr>
        <w:t xml:space="preserve">Mobility </w:t>
      </w:r>
    </w:p>
    <w:p w14:paraId="6F4CF8E3" w14:textId="77777777" w:rsidR="008B60DB" w:rsidRPr="00F563BF" w:rsidRDefault="008B60DB" w:rsidP="008B60DB">
      <w:pPr>
        <w:rPr>
          <w:rFonts w:ascii="Calibri" w:hAnsi="Calibri" w:cs="Calibri"/>
        </w:rPr>
      </w:pPr>
    </w:p>
    <w:p w14:paraId="76F52056" w14:textId="77777777" w:rsidR="008B60DB" w:rsidRPr="00F563BF" w:rsidRDefault="008B60DB" w:rsidP="008B60DB">
      <w:pPr>
        <w:rPr>
          <w:rFonts w:ascii="Calibri" w:hAnsi="Calibri" w:cs="Calibri"/>
          <w:i/>
          <w:iCs/>
        </w:rPr>
      </w:pPr>
      <w:r w:rsidRPr="00F563BF">
        <w:rPr>
          <w:rFonts w:ascii="Calibri" w:hAnsi="Calibri" w:cs="Calibri"/>
          <w:i/>
          <w:iCs/>
        </w:rPr>
        <w:t>oprobit eq1SR_ i.eq1RP_ PwD_age_ i.PwDs_sex, vce(cluster PatNo)</w:t>
      </w:r>
    </w:p>
    <w:p w14:paraId="34E67775" w14:textId="77777777" w:rsidR="008B60DB" w:rsidRPr="00F563BF" w:rsidRDefault="008B60DB" w:rsidP="008B60DB">
      <w:pPr>
        <w:rPr>
          <w:rFonts w:ascii="Calibri" w:hAnsi="Calibri" w:cs="Calibri"/>
        </w:rPr>
      </w:pPr>
    </w:p>
    <w:tbl>
      <w:tblPr>
        <w:tblStyle w:val="TableGrid"/>
        <w:tblW w:w="0" w:type="auto"/>
        <w:tblLook w:val="04A0" w:firstRow="1" w:lastRow="0" w:firstColumn="1" w:lastColumn="0" w:noHBand="0" w:noVBand="1"/>
      </w:tblPr>
      <w:tblGrid>
        <w:gridCol w:w="1901"/>
        <w:gridCol w:w="1867"/>
        <w:gridCol w:w="2157"/>
      </w:tblGrid>
      <w:tr w:rsidR="008B60DB" w:rsidRPr="00F563BF" w14:paraId="0D112978" w14:textId="77777777" w:rsidTr="007C7D69">
        <w:tc>
          <w:tcPr>
            <w:tcW w:w="1901" w:type="dxa"/>
          </w:tcPr>
          <w:p w14:paraId="088192DB" w14:textId="77777777" w:rsidR="008B60DB" w:rsidRPr="00F563BF" w:rsidRDefault="008B60DB" w:rsidP="007C7D69">
            <w:pPr>
              <w:rPr>
                <w:rFonts w:ascii="Calibri" w:hAnsi="Calibri" w:cs="Calibri"/>
              </w:rPr>
            </w:pPr>
            <w:r w:rsidRPr="00F563BF">
              <w:rPr>
                <w:rFonts w:ascii="Calibri" w:hAnsi="Calibri" w:cs="Calibri"/>
              </w:rPr>
              <w:t xml:space="preserve">Response options   </w:t>
            </w:r>
          </w:p>
        </w:tc>
        <w:tc>
          <w:tcPr>
            <w:tcW w:w="1867" w:type="dxa"/>
          </w:tcPr>
          <w:p w14:paraId="6DEB9CBE" w14:textId="77777777" w:rsidR="008B60DB" w:rsidRPr="00F563BF" w:rsidRDefault="008B60DB" w:rsidP="007C7D69">
            <w:pPr>
              <w:rPr>
                <w:rFonts w:ascii="Calibri" w:hAnsi="Calibri" w:cs="Calibri"/>
              </w:rPr>
            </w:pPr>
            <w:r w:rsidRPr="00F563BF">
              <w:rPr>
                <w:rFonts w:ascii="Calibri" w:hAnsi="Calibri" w:cs="Calibri"/>
              </w:rPr>
              <w:t>Observed frequency (%)</w:t>
            </w:r>
          </w:p>
          <w:p w14:paraId="02E92647" w14:textId="77777777" w:rsidR="008B60DB" w:rsidRPr="00F563BF" w:rsidRDefault="008B60DB" w:rsidP="007C7D69">
            <w:pPr>
              <w:rPr>
                <w:rFonts w:ascii="Calibri" w:hAnsi="Calibri" w:cs="Calibri"/>
                <w:i/>
                <w:iCs/>
              </w:rPr>
            </w:pPr>
            <w:r w:rsidRPr="00F563BF">
              <w:rPr>
                <w:rFonts w:ascii="Calibri" w:hAnsi="Calibri" w:cs="Calibri"/>
                <w:i/>
                <w:iCs/>
              </w:rPr>
              <w:t>n=1139</w:t>
            </w:r>
          </w:p>
        </w:tc>
        <w:tc>
          <w:tcPr>
            <w:tcW w:w="2157" w:type="dxa"/>
          </w:tcPr>
          <w:p w14:paraId="456E3202" w14:textId="77777777" w:rsidR="008B60DB" w:rsidRPr="00F563BF" w:rsidRDefault="008B60DB" w:rsidP="007C7D69">
            <w:pPr>
              <w:rPr>
                <w:rFonts w:ascii="Calibri" w:hAnsi="Calibri" w:cs="Calibri"/>
              </w:rPr>
            </w:pPr>
            <w:r w:rsidRPr="00F563BF">
              <w:rPr>
                <w:rFonts w:ascii="Calibri" w:hAnsi="Calibri" w:cs="Calibri"/>
              </w:rPr>
              <w:t xml:space="preserve">Predicted frequency (%) </w:t>
            </w:r>
          </w:p>
          <w:p w14:paraId="2F8143C2" w14:textId="77777777" w:rsidR="008B60DB" w:rsidRPr="00F563BF" w:rsidRDefault="008B60DB" w:rsidP="007C7D69">
            <w:pPr>
              <w:rPr>
                <w:rFonts w:ascii="Calibri" w:hAnsi="Calibri" w:cs="Calibri"/>
                <w:i/>
                <w:iCs/>
              </w:rPr>
            </w:pPr>
          </w:p>
        </w:tc>
      </w:tr>
      <w:tr w:rsidR="008B60DB" w:rsidRPr="00F563BF" w14:paraId="795F9C85" w14:textId="77777777" w:rsidTr="007C7D69">
        <w:tc>
          <w:tcPr>
            <w:tcW w:w="1901" w:type="dxa"/>
          </w:tcPr>
          <w:p w14:paraId="667098B7" w14:textId="77777777" w:rsidR="008B60DB" w:rsidRPr="00F563BF" w:rsidRDefault="008B60DB" w:rsidP="007C7D69">
            <w:pPr>
              <w:rPr>
                <w:rFonts w:ascii="Calibri" w:hAnsi="Calibri" w:cs="Calibri"/>
              </w:rPr>
            </w:pPr>
            <w:r w:rsidRPr="00F563BF">
              <w:rPr>
                <w:rFonts w:ascii="Calibri" w:hAnsi="Calibri" w:cs="Calibri"/>
              </w:rPr>
              <w:t>No problems</w:t>
            </w:r>
          </w:p>
        </w:tc>
        <w:tc>
          <w:tcPr>
            <w:tcW w:w="1867" w:type="dxa"/>
          </w:tcPr>
          <w:p w14:paraId="089F8032" w14:textId="77777777" w:rsidR="008B60DB" w:rsidRPr="00F563BF" w:rsidRDefault="008B60DB" w:rsidP="007C7D69">
            <w:pPr>
              <w:rPr>
                <w:rFonts w:ascii="Calibri" w:hAnsi="Calibri" w:cs="Calibri"/>
              </w:rPr>
            </w:pPr>
            <w:r w:rsidRPr="00F563BF">
              <w:rPr>
                <w:rFonts w:ascii="Calibri" w:hAnsi="Calibri" w:cs="Calibri"/>
              </w:rPr>
              <w:t>56.28</w:t>
            </w:r>
          </w:p>
        </w:tc>
        <w:tc>
          <w:tcPr>
            <w:tcW w:w="2157" w:type="dxa"/>
          </w:tcPr>
          <w:p w14:paraId="6A05BE3A" w14:textId="77777777" w:rsidR="008B60DB" w:rsidRPr="00F563BF" w:rsidRDefault="008B60DB" w:rsidP="007C7D69">
            <w:pPr>
              <w:rPr>
                <w:rFonts w:ascii="Calibri" w:hAnsi="Calibri" w:cs="Calibri"/>
              </w:rPr>
            </w:pPr>
            <w:r w:rsidRPr="00F563BF">
              <w:rPr>
                <w:rFonts w:ascii="Calibri" w:hAnsi="Calibri" w:cs="Calibri"/>
              </w:rPr>
              <w:t>55.63</w:t>
            </w:r>
          </w:p>
        </w:tc>
      </w:tr>
      <w:tr w:rsidR="008B60DB" w:rsidRPr="00F563BF" w14:paraId="05F02C02" w14:textId="77777777" w:rsidTr="007C7D69">
        <w:tc>
          <w:tcPr>
            <w:tcW w:w="1901" w:type="dxa"/>
          </w:tcPr>
          <w:p w14:paraId="64049845" w14:textId="77777777" w:rsidR="008B60DB" w:rsidRPr="00F563BF" w:rsidRDefault="008B60DB" w:rsidP="007C7D69">
            <w:pPr>
              <w:rPr>
                <w:rFonts w:ascii="Calibri" w:hAnsi="Calibri" w:cs="Calibri"/>
              </w:rPr>
            </w:pPr>
            <w:r w:rsidRPr="00F563BF">
              <w:rPr>
                <w:rFonts w:ascii="Calibri" w:hAnsi="Calibri" w:cs="Calibri"/>
              </w:rPr>
              <w:t>Slight problems</w:t>
            </w:r>
          </w:p>
        </w:tc>
        <w:tc>
          <w:tcPr>
            <w:tcW w:w="1867" w:type="dxa"/>
          </w:tcPr>
          <w:p w14:paraId="1F5275F2" w14:textId="77777777" w:rsidR="008B60DB" w:rsidRPr="00F563BF" w:rsidRDefault="008B60DB" w:rsidP="007C7D69">
            <w:pPr>
              <w:rPr>
                <w:rFonts w:ascii="Calibri" w:hAnsi="Calibri" w:cs="Calibri"/>
              </w:rPr>
            </w:pPr>
            <w:r w:rsidRPr="00F563BF">
              <w:rPr>
                <w:rFonts w:ascii="Calibri" w:hAnsi="Calibri" w:cs="Calibri"/>
              </w:rPr>
              <w:t>20.46</w:t>
            </w:r>
          </w:p>
        </w:tc>
        <w:tc>
          <w:tcPr>
            <w:tcW w:w="2157" w:type="dxa"/>
          </w:tcPr>
          <w:p w14:paraId="39838773" w14:textId="77777777" w:rsidR="008B60DB" w:rsidRPr="00F563BF" w:rsidRDefault="008B60DB" w:rsidP="007C7D69">
            <w:pPr>
              <w:rPr>
                <w:rFonts w:ascii="Calibri" w:hAnsi="Calibri" w:cs="Calibri"/>
              </w:rPr>
            </w:pPr>
            <w:r w:rsidRPr="00F563BF">
              <w:rPr>
                <w:rFonts w:ascii="Calibri" w:hAnsi="Calibri" w:cs="Calibri"/>
              </w:rPr>
              <w:t>20.22</w:t>
            </w:r>
          </w:p>
        </w:tc>
      </w:tr>
      <w:tr w:rsidR="008B60DB" w:rsidRPr="00F563BF" w14:paraId="38BE61C7" w14:textId="77777777" w:rsidTr="007C7D69">
        <w:tc>
          <w:tcPr>
            <w:tcW w:w="1901" w:type="dxa"/>
          </w:tcPr>
          <w:p w14:paraId="69D50B69" w14:textId="77777777" w:rsidR="008B60DB" w:rsidRPr="00F563BF" w:rsidRDefault="008B60DB" w:rsidP="007C7D69">
            <w:pPr>
              <w:rPr>
                <w:rFonts w:ascii="Calibri" w:hAnsi="Calibri" w:cs="Calibri"/>
              </w:rPr>
            </w:pPr>
            <w:r w:rsidRPr="00F563BF">
              <w:rPr>
                <w:rFonts w:ascii="Calibri" w:hAnsi="Calibri" w:cs="Calibri"/>
              </w:rPr>
              <w:t>Moderate problems</w:t>
            </w:r>
          </w:p>
        </w:tc>
        <w:tc>
          <w:tcPr>
            <w:tcW w:w="1867" w:type="dxa"/>
          </w:tcPr>
          <w:p w14:paraId="2D23AE50" w14:textId="77777777" w:rsidR="008B60DB" w:rsidRPr="00F563BF" w:rsidRDefault="008B60DB" w:rsidP="007C7D69">
            <w:pPr>
              <w:rPr>
                <w:rFonts w:ascii="Calibri" w:hAnsi="Calibri" w:cs="Calibri"/>
              </w:rPr>
            </w:pPr>
            <w:r w:rsidRPr="00F563BF">
              <w:rPr>
                <w:rFonts w:ascii="Calibri" w:hAnsi="Calibri" w:cs="Calibri"/>
              </w:rPr>
              <w:t>16.59</w:t>
            </w:r>
          </w:p>
        </w:tc>
        <w:tc>
          <w:tcPr>
            <w:tcW w:w="2157" w:type="dxa"/>
          </w:tcPr>
          <w:p w14:paraId="4CE2ED82" w14:textId="77777777" w:rsidR="008B60DB" w:rsidRPr="00F563BF" w:rsidRDefault="008B60DB" w:rsidP="007C7D69">
            <w:pPr>
              <w:rPr>
                <w:rFonts w:ascii="Calibri" w:hAnsi="Calibri" w:cs="Calibri"/>
              </w:rPr>
            </w:pPr>
            <w:r w:rsidRPr="00F563BF">
              <w:rPr>
                <w:rFonts w:ascii="Calibri" w:hAnsi="Calibri" w:cs="Calibri"/>
              </w:rPr>
              <w:t>16.65</w:t>
            </w:r>
          </w:p>
        </w:tc>
      </w:tr>
      <w:tr w:rsidR="008B60DB" w:rsidRPr="00F563BF" w14:paraId="35ADE8EF" w14:textId="77777777" w:rsidTr="007C7D69">
        <w:tc>
          <w:tcPr>
            <w:tcW w:w="1901" w:type="dxa"/>
          </w:tcPr>
          <w:p w14:paraId="7AB9E90E" w14:textId="77777777" w:rsidR="008B60DB" w:rsidRPr="00F563BF" w:rsidRDefault="008B60DB" w:rsidP="007C7D69">
            <w:pPr>
              <w:rPr>
                <w:rFonts w:ascii="Calibri" w:hAnsi="Calibri" w:cs="Calibri"/>
              </w:rPr>
            </w:pPr>
            <w:r w:rsidRPr="00F563BF">
              <w:rPr>
                <w:rFonts w:ascii="Calibri" w:hAnsi="Calibri" w:cs="Calibri"/>
              </w:rPr>
              <w:t>Severe problems</w:t>
            </w:r>
          </w:p>
        </w:tc>
        <w:tc>
          <w:tcPr>
            <w:tcW w:w="1867" w:type="dxa"/>
          </w:tcPr>
          <w:p w14:paraId="492EAF27" w14:textId="77777777" w:rsidR="008B60DB" w:rsidRPr="00F563BF" w:rsidRDefault="008B60DB" w:rsidP="007C7D69">
            <w:pPr>
              <w:rPr>
                <w:rFonts w:ascii="Calibri" w:hAnsi="Calibri" w:cs="Calibri"/>
              </w:rPr>
            </w:pPr>
            <w:r w:rsidRPr="00F563BF">
              <w:rPr>
                <w:rFonts w:ascii="Calibri" w:hAnsi="Calibri" w:cs="Calibri"/>
              </w:rPr>
              <w:t>5.97</w:t>
            </w:r>
          </w:p>
        </w:tc>
        <w:tc>
          <w:tcPr>
            <w:tcW w:w="2157" w:type="dxa"/>
          </w:tcPr>
          <w:p w14:paraId="1F0248C1" w14:textId="77777777" w:rsidR="008B60DB" w:rsidRPr="00F563BF" w:rsidRDefault="008B60DB" w:rsidP="007C7D69">
            <w:pPr>
              <w:rPr>
                <w:rFonts w:ascii="Calibri" w:hAnsi="Calibri" w:cs="Calibri"/>
              </w:rPr>
            </w:pPr>
            <w:r w:rsidRPr="00F563BF">
              <w:rPr>
                <w:rFonts w:ascii="Calibri" w:hAnsi="Calibri" w:cs="Calibri"/>
              </w:rPr>
              <w:t>6.51</w:t>
            </w:r>
          </w:p>
        </w:tc>
      </w:tr>
      <w:tr w:rsidR="008B60DB" w:rsidRPr="00F563BF" w14:paraId="4A7E20EB" w14:textId="77777777" w:rsidTr="007C7D69">
        <w:tc>
          <w:tcPr>
            <w:tcW w:w="1901" w:type="dxa"/>
          </w:tcPr>
          <w:p w14:paraId="6BCDE3FA" w14:textId="77777777" w:rsidR="008B60DB" w:rsidRPr="00F563BF" w:rsidRDefault="008B60DB" w:rsidP="007C7D69">
            <w:pPr>
              <w:rPr>
                <w:rFonts w:ascii="Calibri" w:hAnsi="Calibri" w:cs="Calibri"/>
              </w:rPr>
            </w:pPr>
            <w:r w:rsidRPr="00F563BF">
              <w:rPr>
                <w:rFonts w:ascii="Calibri" w:hAnsi="Calibri" w:cs="Calibri"/>
              </w:rPr>
              <w:t xml:space="preserve">Unable to walk </w:t>
            </w:r>
          </w:p>
        </w:tc>
        <w:tc>
          <w:tcPr>
            <w:tcW w:w="1867" w:type="dxa"/>
          </w:tcPr>
          <w:p w14:paraId="54AFCEC7" w14:textId="77777777" w:rsidR="008B60DB" w:rsidRPr="00F563BF" w:rsidRDefault="008B60DB" w:rsidP="007C7D69">
            <w:pPr>
              <w:rPr>
                <w:rFonts w:ascii="Calibri" w:hAnsi="Calibri" w:cs="Calibri"/>
              </w:rPr>
            </w:pPr>
            <w:r w:rsidRPr="00F563BF">
              <w:rPr>
                <w:rFonts w:ascii="Calibri" w:hAnsi="Calibri" w:cs="Calibri"/>
              </w:rPr>
              <w:t>0.70</w:t>
            </w:r>
          </w:p>
        </w:tc>
        <w:tc>
          <w:tcPr>
            <w:tcW w:w="2157" w:type="dxa"/>
          </w:tcPr>
          <w:p w14:paraId="779C83ED" w14:textId="77777777" w:rsidR="008B60DB" w:rsidRPr="00F563BF" w:rsidRDefault="008B60DB" w:rsidP="007C7D69">
            <w:pPr>
              <w:rPr>
                <w:rFonts w:ascii="Calibri" w:hAnsi="Calibri" w:cs="Calibri"/>
              </w:rPr>
            </w:pPr>
            <w:r w:rsidRPr="00F563BF">
              <w:rPr>
                <w:rFonts w:ascii="Calibri" w:hAnsi="Calibri" w:cs="Calibri"/>
              </w:rPr>
              <w:t>0.99</w:t>
            </w:r>
          </w:p>
        </w:tc>
      </w:tr>
    </w:tbl>
    <w:p w14:paraId="63C1C118" w14:textId="77777777" w:rsidR="008B60DB" w:rsidRPr="00F563BF" w:rsidRDefault="008B60DB" w:rsidP="008B60DB">
      <w:pPr>
        <w:rPr>
          <w:rFonts w:ascii="Calibri" w:hAnsi="Calibri" w:cs="Calibri"/>
          <w:b/>
          <w:bCs/>
          <w:u w:val="single"/>
        </w:rPr>
      </w:pPr>
    </w:p>
    <w:p w14:paraId="1B199AE0" w14:textId="77777777" w:rsidR="008B60DB" w:rsidRPr="00F563BF" w:rsidRDefault="008B60DB" w:rsidP="008B60DB">
      <w:pPr>
        <w:rPr>
          <w:rFonts w:ascii="Calibri" w:hAnsi="Calibri" w:cs="Calibri"/>
          <w:b/>
          <w:bCs/>
        </w:rPr>
      </w:pPr>
      <w:r w:rsidRPr="00F563BF">
        <w:rPr>
          <w:rFonts w:ascii="Calibri" w:hAnsi="Calibri" w:cs="Calibri"/>
          <w:b/>
          <w:bCs/>
        </w:rPr>
        <w:t xml:space="preserve">Self-care </w:t>
      </w:r>
    </w:p>
    <w:p w14:paraId="40573F18" w14:textId="77777777" w:rsidR="008B60DB" w:rsidRPr="00F563BF" w:rsidRDefault="008B60DB" w:rsidP="008B60DB">
      <w:pPr>
        <w:rPr>
          <w:rFonts w:ascii="Calibri" w:hAnsi="Calibri" w:cs="Calibri"/>
        </w:rPr>
      </w:pPr>
    </w:p>
    <w:p w14:paraId="6E1C4CA4" w14:textId="77777777" w:rsidR="008B60DB" w:rsidRPr="00F563BF" w:rsidRDefault="008B60DB" w:rsidP="008B60DB">
      <w:pPr>
        <w:rPr>
          <w:rFonts w:ascii="Calibri" w:hAnsi="Calibri" w:cs="Calibri"/>
          <w:i/>
          <w:iCs/>
        </w:rPr>
      </w:pPr>
      <w:r w:rsidRPr="00F563BF">
        <w:rPr>
          <w:rFonts w:ascii="Calibri" w:hAnsi="Calibri" w:cs="Calibri"/>
          <w:i/>
          <w:iCs/>
        </w:rPr>
        <w:t>oprobit eq2RP_ i.eq2SR_ PwD_age_ i.PwDs_sex_, vce(cluster PatNo)</w:t>
      </w:r>
    </w:p>
    <w:p w14:paraId="4EB51003" w14:textId="77777777" w:rsidR="008B60DB" w:rsidRPr="00F563BF" w:rsidRDefault="008B60DB" w:rsidP="008B60DB">
      <w:pPr>
        <w:rPr>
          <w:rFonts w:ascii="Calibri" w:hAnsi="Calibri" w:cs="Calibri"/>
        </w:rPr>
      </w:pPr>
    </w:p>
    <w:tbl>
      <w:tblPr>
        <w:tblStyle w:val="TableGrid"/>
        <w:tblW w:w="0" w:type="auto"/>
        <w:tblLook w:val="04A0" w:firstRow="1" w:lastRow="0" w:firstColumn="1" w:lastColumn="0" w:noHBand="0" w:noVBand="1"/>
      </w:tblPr>
      <w:tblGrid>
        <w:gridCol w:w="2830"/>
        <w:gridCol w:w="1701"/>
        <w:gridCol w:w="2015"/>
      </w:tblGrid>
      <w:tr w:rsidR="008B60DB" w:rsidRPr="00F563BF" w14:paraId="4DAD0971" w14:textId="77777777" w:rsidTr="007C7D69">
        <w:tc>
          <w:tcPr>
            <w:tcW w:w="2830" w:type="dxa"/>
          </w:tcPr>
          <w:p w14:paraId="1334143E" w14:textId="77777777" w:rsidR="008B60DB" w:rsidRPr="00F563BF" w:rsidRDefault="008B60DB" w:rsidP="007C7D69">
            <w:pPr>
              <w:rPr>
                <w:rFonts w:ascii="Calibri" w:hAnsi="Calibri" w:cs="Calibri"/>
              </w:rPr>
            </w:pPr>
            <w:r w:rsidRPr="00F563BF">
              <w:rPr>
                <w:rFonts w:ascii="Calibri" w:hAnsi="Calibri" w:cs="Calibri"/>
              </w:rPr>
              <w:t>Response options</w:t>
            </w:r>
          </w:p>
        </w:tc>
        <w:tc>
          <w:tcPr>
            <w:tcW w:w="1701" w:type="dxa"/>
          </w:tcPr>
          <w:p w14:paraId="4FF93722" w14:textId="77777777" w:rsidR="008B60DB" w:rsidRPr="00F563BF" w:rsidRDefault="008B60DB" w:rsidP="007C7D69">
            <w:pPr>
              <w:rPr>
                <w:rFonts w:ascii="Calibri" w:hAnsi="Calibri" w:cs="Calibri"/>
              </w:rPr>
            </w:pPr>
            <w:r w:rsidRPr="00F563BF">
              <w:rPr>
                <w:rFonts w:ascii="Calibri" w:hAnsi="Calibri" w:cs="Calibri"/>
              </w:rPr>
              <w:t>Observed frequency (%)</w:t>
            </w:r>
          </w:p>
          <w:p w14:paraId="26C4FE6D" w14:textId="77777777" w:rsidR="008B60DB" w:rsidRPr="00F563BF" w:rsidRDefault="008B60DB" w:rsidP="007C7D69">
            <w:pPr>
              <w:rPr>
                <w:rFonts w:ascii="Calibri" w:hAnsi="Calibri" w:cs="Calibri"/>
                <w:i/>
                <w:iCs/>
              </w:rPr>
            </w:pPr>
            <w:r w:rsidRPr="00F563BF">
              <w:rPr>
                <w:rFonts w:ascii="Calibri" w:hAnsi="Calibri" w:cs="Calibri"/>
                <w:i/>
                <w:iCs/>
              </w:rPr>
              <w:t>n=1194</w:t>
            </w:r>
          </w:p>
        </w:tc>
        <w:tc>
          <w:tcPr>
            <w:tcW w:w="2015" w:type="dxa"/>
          </w:tcPr>
          <w:p w14:paraId="6E6164BA" w14:textId="77777777" w:rsidR="008B60DB" w:rsidRPr="00F563BF" w:rsidRDefault="008B60DB" w:rsidP="007C7D69">
            <w:pPr>
              <w:rPr>
                <w:rFonts w:ascii="Calibri" w:hAnsi="Calibri" w:cs="Calibri"/>
              </w:rPr>
            </w:pPr>
            <w:r w:rsidRPr="00F563BF">
              <w:rPr>
                <w:rFonts w:ascii="Calibri" w:hAnsi="Calibri" w:cs="Calibri"/>
              </w:rPr>
              <w:t xml:space="preserve">Predicted frequency (%) </w:t>
            </w:r>
          </w:p>
          <w:p w14:paraId="29621833" w14:textId="77777777" w:rsidR="008B60DB" w:rsidRPr="00F563BF" w:rsidRDefault="008B60DB" w:rsidP="007C7D69">
            <w:pPr>
              <w:rPr>
                <w:rFonts w:ascii="Calibri" w:hAnsi="Calibri" w:cs="Calibri"/>
              </w:rPr>
            </w:pPr>
          </w:p>
          <w:p w14:paraId="33473445" w14:textId="77777777" w:rsidR="008B60DB" w:rsidRPr="00F563BF" w:rsidRDefault="008B60DB" w:rsidP="007C7D69">
            <w:pPr>
              <w:rPr>
                <w:rFonts w:ascii="Calibri" w:hAnsi="Calibri" w:cs="Calibri"/>
                <w:i/>
                <w:iCs/>
              </w:rPr>
            </w:pPr>
          </w:p>
        </w:tc>
      </w:tr>
      <w:tr w:rsidR="008B60DB" w:rsidRPr="00F563BF" w14:paraId="08EB17A8" w14:textId="77777777" w:rsidTr="007C7D69">
        <w:tc>
          <w:tcPr>
            <w:tcW w:w="2830" w:type="dxa"/>
          </w:tcPr>
          <w:p w14:paraId="02500DBE" w14:textId="77777777" w:rsidR="008B60DB" w:rsidRPr="00F563BF" w:rsidRDefault="008B60DB" w:rsidP="007C7D69">
            <w:pPr>
              <w:rPr>
                <w:rFonts w:ascii="Calibri" w:hAnsi="Calibri" w:cs="Calibri"/>
              </w:rPr>
            </w:pPr>
            <w:r w:rsidRPr="00F563BF">
              <w:rPr>
                <w:rFonts w:ascii="Calibri" w:hAnsi="Calibri" w:cs="Calibri"/>
              </w:rPr>
              <w:t>No problems</w:t>
            </w:r>
          </w:p>
        </w:tc>
        <w:tc>
          <w:tcPr>
            <w:tcW w:w="1701" w:type="dxa"/>
          </w:tcPr>
          <w:p w14:paraId="542BF5C2" w14:textId="77777777" w:rsidR="008B60DB" w:rsidRPr="00F563BF" w:rsidRDefault="008B60DB" w:rsidP="007C7D69">
            <w:pPr>
              <w:rPr>
                <w:rFonts w:ascii="Calibri" w:hAnsi="Calibri" w:cs="Calibri"/>
              </w:rPr>
            </w:pPr>
            <w:r w:rsidRPr="00F563BF">
              <w:rPr>
                <w:rFonts w:ascii="Calibri" w:hAnsi="Calibri" w:cs="Calibri"/>
              </w:rPr>
              <w:t>43.80</w:t>
            </w:r>
          </w:p>
        </w:tc>
        <w:tc>
          <w:tcPr>
            <w:tcW w:w="2015" w:type="dxa"/>
          </w:tcPr>
          <w:p w14:paraId="357FF51D" w14:textId="77777777" w:rsidR="008B60DB" w:rsidRPr="00F563BF" w:rsidRDefault="008B60DB" w:rsidP="007C7D69">
            <w:pPr>
              <w:rPr>
                <w:rFonts w:ascii="Calibri" w:hAnsi="Calibri" w:cs="Calibri"/>
              </w:rPr>
            </w:pPr>
            <w:r w:rsidRPr="00F563BF">
              <w:rPr>
                <w:rFonts w:ascii="Calibri" w:hAnsi="Calibri" w:cs="Calibri"/>
              </w:rPr>
              <w:t>46.18</w:t>
            </w:r>
          </w:p>
        </w:tc>
      </w:tr>
      <w:tr w:rsidR="008B60DB" w:rsidRPr="00F563BF" w14:paraId="118D998C" w14:textId="77777777" w:rsidTr="007C7D69">
        <w:tc>
          <w:tcPr>
            <w:tcW w:w="2830" w:type="dxa"/>
          </w:tcPr>
          <w:p w14:paraId="3DF72B66" w14:textId="77777777" w:rsidR="008B60DB" w:rsidRPr="00F563BF" w:rsidRDefault="008B60DB" w:rsidP="007C7D69">
            <w:pPr>
              <w:rPr>
                <w:rFonts w:ascii="Calibri" w:hAnsi="Calibri" w:cs="Calibri"/>
              </w:rPr>
            </w:pPr>
            <w:r w:rsidRPr="00F563BF">
              <w:rPr>
                <w:rFonts w:ascii="Calibri" w:hAnsi="Calibri" w:cs="Calibri"/>
              </w:rPr>
              <w:t>Slight problems</w:t>
            </w:r>
          </w:p>
        </w:tc>
        <w:tc>
          <w:tcPr>
            <w:tcW w:w="1701" w:type="dxa"/>
          </w:tcPr>
          <w:p w14:paraId="4E48B7B4" w14:textId="77777777" w:rsidR="008B60DB" w:rsidRPr="00F563BF" w:rsidRDefault="008B60DB" w:rsidP="007C7D69">
            <w:pPr>
              <w:rPr>
                <w:rFonts w:ascii="Calibri" w:hAnsi="Calibri" w:cs="Calibri"/>
              </w:rPr>
            </w:pPr>
            <w:r w:rsidRPr="00F563BF">
              <w:rPr>
                <w:rFonts w:ascii="Calibri" w:hAnsi="Calibri" w:cs="Calibri"/>
              </w:rPr>
              <w:t>26.30</w:t>
            </w:r>
          </w:p>
        </w:tc>
        <w:tc>
          <w:tcPr>
            <w:tcW w:w="2015" w:type="dxa"/>
          </w:tcPr>
          <w:p w14:paraId="56BC5173" w14:textId="77777777" w:rsidR="008B60DB" w:rsidRPr="00F563BF" w:rsidRDefault="008B60DB" w:rsidP="007C7D69">
            <w:pPr>
              <w:rPr>
                <w:rFonts w:ascii="Calibri" w:hAnsi="Calibri" w:cs="Calibri"/>
              </w:rPr>
            </w:pPr>
            <w:r w:rsidRPr="00F563BF">
              <w:rPr>
                <w:rFonts w:ascii="Calibri" w:hAnsi="Calibri" w:cs="Calibri"/>
              </w:rPr>
              <w:t>27.02</w:t>
            </w:r>
          </w:p>
        </w:tc>
      </w:tr>
      <w:tr w:rsidR="008B60DB" w:rsidRPr="00F563BF" w14:paraId="436B00FD" w14:textId="77777777" w:rsidTr="007C7D69">
        <w:tc>
          <w:tcPr>
            <w:tcW w:w="2830" w:type="dxa"/>
          </w:tcPr>
          <w:p w14:paraId="00485180" w14:textId="77777777" w:rsidR="008B60DB" w:rsidRPr="00F563BF" w:rsidRDefault="008B60DB" w:rsidP="007C7D69">
            <w:pPr>
              <w:rPr>
                <w:rFonts w:ascii="Calibri" w:hAnsi="Calibri" w:cs="Calibri"/>
              </w:rPr>
            </w:pPr>
            <w:r w:rsidRPr="00F563BF">
              <w:rPr>
                <w:rFonts w:ascii="Calibri" w:hAnsi="Calibri" w:cs="Calibri"/>
              </w:rPr>
              <w:t>Moderate problems</w:t>
            </w:r>
          </w:p>
        </w:tc>
        <w:tc>
          <w:tcPr>
            <w:tcW w:w="1701" w:type="dxa"/>
          </w:tcPr>
          <w:p w14:paraId="716B5378" w14:textId="77777777" w:rsidR="008B60DB" w:rsidRPr="00F563BF" w:rsidRDefault="008B60DB" w:rsidP="007C7D69">
            <w:pPr>
              <w:rPr>
                <w:rFonts w:ascii="Calibri" w:hAnsi="Calibri" w:cs="Calibri"/>
              </w:rPr>
            </w:pPr>
            <w:r w:rsidRPr="00F563BF">
              <w:rPr>
                <w:rFonts w:ascii="Calibri" w:hAnsi="Calibri" w:cs="Calibri"/>
              </w:rPr>
              <w:t>17.42</w:t>
            </w:r>
          </w:p>
        </w:tc>
        <w:tc>
          <w:tcPr>
            <w:tcW w:w="2015" w:type="dxa"/>
          </w:tcPr>
          <w:p w14:paraId="3D6E16BC" w14:textId="77777777" w:rsidR="008B60DB" w:rsidRPr="00F563BF" w:rsidRDefault="008B60DB" w:rsidP="007C7D69">
            <w:pPr>
              <w:rPr>
                <w:rFonts w:ascii="Calibri" w:hAnsi="Calibri" w:cs="Calibri"/>
              </w:rPr>
            </w:pPr>
            <w:r w:rsidRPr="00F563BF">
              <w:rPr>
                <w:rFonts w:ascii="Calibri" w:hAnsi="Calibri" w:cs="Calibri"/>
              </w:rPr>
              <w:t>16.47</w:t>
            </w:r>
          </w:p>
        </w:tc>
      </w:tr>
      <w:tr w:rsidR="008B60DB" w:rsidRPr="00F563BF" w14:paraId="00DC4EB9" w14:textId="77777777" w:rsidTr="007C7D69">
        <w:tc>
          <w:tcPr>
            <w:tcW w:w="2830" w:type="dxa"/>
          </w:tcPr>
          <w:p w14:paraId="7B11C9D1" w14:textId="77777777" w:rsidR="008B60DB" w:rsidRPr="00F563BF" w:rsidRDefault="008B60DB" w:rsidP="007C7D69">
            <w:pPr>
              <w:rPr>
                <w:rFonts w:ascii="Calibri" w:hAnsi="Calibri" w:cs="Calibri"/>
              </w:rPr>
            </w:pPr>
            <w:r w:rsidRPr="00F563BF">
              <w:rPr>
                <w:rFonts w:ascii="Calibri" w:hAnsi="Calibri" w:cs="Calibri"/>
              </w:rPr>
              <w:t>Severe problems</w:t>
            </w:r>
          </w:p>
        </w:tc>
        <w:tc>
          <w:tcPr>
            <w:tcW w:w="1701" w:type="dxa"/>
          </w:tcPr>
          <w:p w14:paraId="747843F2" w14:textId="77777777" w:rsidR="008B60DB" w:rsidRPr="00F563BF" w:rsidRDefault="008B60DB" w:rsidP="007C7D69">
            <w:pPr>
              <w:rPr>
                <w:rFonts w:ascii="Calibri" w:hAnsi="Calibri" w:cs="Calibri"/>
              </w:rPr>
            </w:pPr>
            <w:r w:rsidRPr="00F563BF">
              <w:rPr>
                <w:rFonts w:ascii="Calibri" w:hAnsi="Calibri" w:cs="Calibri"/>
              </w:rPr>
              <w:t>6.95</w:t>
            </w:r>
          </w:p>
        </w:tc>
        <w:tc>
          <w:tcPr>
            <w:tcW w:w="2015" w:type="dxa"/>
          </w:tcPr>
          <w:p w14:paraId="44D37FD8" w14:textId="77777777" w:rsidR="008B60DB" w:rsidRPr="00F563BF" w:rsidRDefault="008B60DB" w:rsidP="007C7D69">
            <w:pPr>
              <w:rPr>
                <w:rFonts w:ascii="Calibri" w:hAnsi="Calibri" w:cs="Calibri"/>
              </w:rPr>
            </w:pPr>
            <w:r w:rsidRPr="00F563BF">
              <w:rPr>
                <w:rFonts w:ascii="Calibri" w:hAnsi="Calibri" w:cs="Calibri"/>
              </w:rPr>
              <w:t>6.03</w:t>
            </w:r>
          </w:p>
        </w:tc>
      </w:tr>
      <w:tr w:rsidR="008B60DB" w:rsidRPr="00F563BF" w14:paraId="1E838964" w14:textId="77777777" w:rsidTr="007C7D69">
        <w:tc>
          <w:tcPr>
            <w:tcW w:w="2830" w:type="dxa"/>
          </w:tcPr>
          <w:p w14:paraId="1EC4CD1A" w14:textId="77777777" w:rsidR="008B60DB" w:rsidRPr="00F563BF" w:rsidRDefault="008B60DB" w:rsidP="007C7D69">
            <w:pPr>
              <w:rPr>
                <w:rFonts w:ascii="Calibri" w:hAnsi="Calibri" w:cs="Calibri"/>
              </w:rPr>
            </w:pPr>
            <w:r w:rsidRPr="00F563BF">
              <w:rPr>
                <w:rFonts w:ascii="Calibri" w:hAnsi="Calibri" w:cs="Calibri"/>
              </w:rPr>
              <w:t xml:space="preserve">Unable to wash or dress </w:t>
            </w:r>
          </w:p>
        </w:tc>
        <w:tc>
          <w:tcPr>
            <w:tcW w:w="1701" w:type="dxa"/>
          </w:tcPr>
          <w:p w14:paraId="7EFD1344" w14:textId="77777777" w:rsidR="008B60DB" w:rsidRPr="00F563BF" w:rsidRDefault="008B60DB" w:rsidP="007C7D69">
            <w:pPr>
              <w:rPr>
                <w:rFonts w:ascii="Calibri" w:hAnsi="Calibri" w:cs="Calibri"/>
              </w:rPr>
            </w:pPr>
            <w:r w:rsidRPr="00F563BF">
              <w:rPr>
                <w:rFonts w:ascii="Calibri" w:hAnsi="Calibri" w:cs="Calibri"/>
              </w:rPr>
              <w:t>5.53</w:t>
            </w:r>
          </w:p>
        </w:tc>
        <w:tc>
          <w:tcPr>
            <w:tcW w:w="2015" w:type="dxa"/>
          </w:tcPr>
          <w:p w14:paraId="4DD92594" w14:textId="77777777" w:rsidR="008B60DB" w:rsidRPr="00F563BF" w:rsidRDefault="008B60DB" w:rsidP="007C7D69">
            <w:pPr>
              <w:rPr>
                <w:rFonts w:ascii="Calibri" w:hAnsi="Calibri" w:cs="Calibri"/>
              </w:rPr>
            </w:pPr>
            <w:r w:rsidRPr="00F563BF">
              <w:rPr>
                <w:rFonts w:ascii="Calibri" w:hAnsi="Calibri" w:cs="Calibri"/>
              </w:rPr>
              <w:t>4.30</w:t>
            </w:r>
          </w:p>
        </w:tc>
      </w:tr>
    </w:tbl>
    <w:p w14:paraId="373A8703" w14:textId="77777777" w:rsidR="008B60DB" w:rsidRPr="00F563BF" w:rsidRDefault="008B60DB" w:rsidP="008B60DB">
      <w:pPr>
        <w:rPr>
          <w:rFonts w:ascii="Calibri" w:hAnsi="Calibri" w:cs="Calibri"/>
        </w:rPr>
      </w:pPr>
    </w:p>
    <w:p w14:paraId="5B5A5515" w14:textId="77777777" w:rsidR="008B60DB" w:rsidRPr="00F563BF" w:rsidRDefault="008B60DB" w:rsidP="008B60DB">
      <w:pPr>
        <w:tabs>
          <w:tab w:val="left" w:pos="3081"/>
        </w:tabs>
        <w:rPr>
          <w:rFonts w:ascii="Calibri" w:hAnsi="Calibri" w:cs="Calibri"/>
          <w:b/>
          <w:bCs/>
        </w:rPr>
      </w:pPr>
      <w:r w:rsidRPr="00F563BF">
        <w:rPr>
          <w:rFonts w:ascii="Calibri" w:hAnsi="Calibri" w:cs="Calibri"/>
          <w:b/>
          <w:bCs/>
        </w:rPr>
        <w:t xml:space="preserve">Usual activities </w:t>
      </w:r>
      <w:r w:rsidRPr="00F563BF">
        <w:rPr>
          <w:rFonts w:ascii="Calibri" w:hAnsi="Calibri" w:cs="Calibri"/>
          <w:b/>
          <w:bCs/>
        </w:rPr>
        <w:tab/>
      </w:r>
    </w:p>
    <w:p w14:paraId="337EDC0C" w14:textId="77777777" w:rsidR="008B60DB" w:rsidRPr="00F563BF" w:rsidRDefault="008B60DB" w:rsidP="008B60DB">
      <w:pPr>
        <w:tabs>
          <w:tab w:val="left" w:pos="3081"/>
        </w:tabs>
        <w:rPr>
          <w:rFonts w:ascii="Calibri" w:hAnsi="Calibri" w:cs="Calibri"/>
        </w:rPr>
      </w:pPr>
    </w:p>
    <w:p w14:paraId="24CC94E6" w14:textId="77777777" w:rsidR="008B60DB" w:rsidRPr="00F563BF" w:rsidRDefault="008B60DB" w:rsidP="008B60DB">
      <w:pPr>
        <w:tabs>
          <w:tab w:val="left" w:pos="3081"/>
        </w:tabs>
        <w:rPr>
          <w:rFonts w:ascii="Calibri" w:hAnsi="Calibri" w:cs="Calibri"/>
          <w:i/>
          <w:iCs/>
        </w:rPr>
      </w:pPr>
      <w:r w:rsidRPr="00F563BF">
        <w:rPr>
          <w:rFonts w:ascii="Calibri" w:hAnsi="Calibri" w:cs="Calibri"/>
          <w:i/>
          <w:iCs/>
        </w:rPr>
        <w:t>oprobit eq3RP_ i.eq3SR_ PwD_age_ i.PwDs_sex_, vce(cluster PatNo)</w:t>
      </w:r>
    </w:p>
    <w:p w14:paraId="5778FB8B" w14:textId="77777777" w:rsidR="008B60DB" w:rsidRPr="00F563BF" w:rsidRDefault="008B60DB" w:rsidP="008B60DB">
      <w:pPr>
        <w:rPr>
          <w:rFonts w:ascii="Calibri" w:hAnsi="Calibri" w:cs="Calibri"/>
        </w:rPr>
      </w:pPr>
    </w:p>
    <w:tbl>
      <w:tblPr>
        <w:tblStyle w:val="TableGrid"/>
        <w:tblW w:w="0" w:type="auto"/>
        <w:tblLook w:val="04A0" w:firstRow="1" w:lastRow="0" w:firstColumn="1" w:lastColumn="0" w:noHBand="0" w:noVBand="1"/>
      </w:tblPr>
      <w:tblGrid>
        <w:gridCol w:w="3114"/>
        <w:gridCol w:w="1701"/>
        <w:gridCol w:w="2126"/>
      </w:tblGrid>
      <w:tr w:rsidR="008B60DB" w:rsidRPr="00F563BF" w14:paraId="1BD90F39" w14:textId="77777777" w:rsidTr="007C7D69">
        <w:tc>
          <w:tcPr>
            <w:tcW w:w="3114" w:type="dxa"/>
          </w:tcPr>
          <w:p w14:paraId="5756E1FB" w14:textId="77777777" w:rsidR="008B60DB" w:rsidRPr="00F563BF" w:rsidRDefault="008B60DB" w:rsidP="007C7D69">
            <w:pPr>
              <w:rPr>
                <w:rFonts w:ascii="Calibri" w:hAnsi="Calibri" w:cs="Calibri"/>
              </w:rPr>
            </w:pPr>
            <w:r w:rsidRPr="00F563BF">
              <w:rPr>
                <w:rFonts w:ascii="Calibri" w:hAnsi="Calibri" w:cs="Calibri"/>
              </w:rPr>
              <w:t xml:space="preserve">Response options </w:t>
            </w:r>
          </w:p>
        </w:tc>
        <w:tc>
          <w:tcPr>
            <w:tcW w:w="1701" w:type="dxa"/>
          </w:tcPr>
          <w:p w14:paraId="3B2835E5" w14:textId="77777777" w:rsidR="008B60DB" w:rsidRPr="00F563BF" w:rsidRDefault="008B60DB" w:rsidP="007C7D69">
            <w:pPr>
              <w:rPr>
                <w:rFonts w:ascii="Calibri" w:hAnsi="Calibri" w:cs="Calibri"/>
              </w:rPr>
            </w:pPr>
            <w:r w:rsidRPr="00F563BF">
              <w:rPr>
                <w:rFonts w:ascii="Calibri" w:hAnsi="Calibri" w:cs="Calibri"/>
              </w:rPr>
              <w:t>Observed frequency (%)</w:t>
            </w:r>
          </w:p>
          <w:p w14:paraId="10A8789F" w14:textId="77777777" w:rsidR="008B60DB" w:rsidRPr="00F563BF" w:rsidRDefault="008B60DB" w:rsidP="007C7D69">
            <w:pPr>
              <w:rPr>
                <w:rFonts w:ascii="Calibri" w:hAnsi="Calibri" w:cs="Calibri"/>
                <w:i/>
                <w:iCs/>
              </w:rPr>
            </w:pPr>
            <w:r w:rsidRPr="00F563BF">
              <w:rPr>
                <w:rFonts w:ascii="Calibri" w:hAnsi="Calibri" w:cs="Calibri"/>
                <w:i/>
                <w:iCs/>
              </w:rPr>
              <w:t>n=1192</w:t>
            </w:r>
          </w:p>
        </w:tc>
        <w:tc>
          <w:tcPr>
            <w:tcW w:w="2126" w:type="dxa"/>
          </w:tcPr>
          <w:p w14:paraId="2A282ADA" w14:textId="77777777" w:rsidR="008B60DB" w:rsidRPr="00F563BF" w:rsidRDefault="008B60DB" w:rsidP="007C7D69">
            <w:pPr>
              <w:rPr>
                <w:rFonts w:ascii="Calibri" w:hAnsi="Calibri" w:cs="Calibri"/>
              </w:rPr>
            </w:pPr>
            <w:r w:rsidRPr="00F563BF">
              <w:rPr>
                <w:rFonts w:ascii="Calibri" w:hAnsi="Calibri" w:cs="Calibri"/>
              </w:rPr>
              <w:t xml:space="preserve">Predicted frequency (%) </w:t>
            </w:r>
          </w:p>
          <w:p w14:paraId="6200C4C9" w14:textId="77777777" w:rsidR="008B60DB" w:rsidRPr="00F563BF" w:rsidRDefault="008B60DB" w:rsidP="007C7D69">
            <w:pPr>
              <w:rPr>
                <w:rFonts w:ascii="Calibri" w:hAnsi="Calibri" w:cs="Calibri"/>
              </w:rPr>
            </w:pPr>
          </w:p>
          <w:p w14:paraId="528A39D2" w14:textId="77777777" w:rsidR="008B60DB" w:rsidRPr="00F563BF" w:rsidRDefault="008B60DB" w:rsidP="007C7D69">
            <w:pPr>
              <w:rPr>
                <w:rFonts w:ascii="Calibri" w:hAnsi="Calibri" w:cs="Calibri"/>
                <w:i/>
                <w:iCs/>
              </w:rPr>
            </w:pPr>
          </w:p>
        </w:tc>
      </w:tr>
      <w:tr w:rsidR="008B60DB" w:rsidRPr="00F563BF" w14:paraId="06DF235E" w14:textId="77777777" w:rsidTr="007C7D69">
        <w:tc>
          <w:tcPr>
            <w:tcW w:w="3114" w:type="dxa"/>
          </w:tcPr>
          <w:p w14:paraId="7129C0B1" w14:textId="77777777" w:rsidR="008B60DB" w:rsidRPr="00F563BF" w:rsidRDefault="008B60DB" w:rsidP="007C7D69">
            <w:pPr>
              <w:rPr>
                <w:rFonts w:ascii="Calibri" w:hAnsi="Calibri" w:cs="Calibri"/>
              </w:rPr>
            </w:pPr>
            <w:r w:rsidRPr="00F563BF">
              <w:rPr>
                <w:rFonts w:ascii="Calibri" w:hAnsi="Calibri" w:cs="Calibri"/>
              </w:rPr>
              <w:t>No problems</w:t>
            </w:r>
          </w:p>
        </w:tc>
        <w:tc>
          <w:tcPr>
            <w:tcW w:w="1701" w:type="dxa"/>
          </w:tcPr>
          <w:p w14:paraId="69D22EF9" w14:textId="77777777" w:rsidR="008B60DB" w:rsidRPr="00F563BF" w:rsidRDefault="008B60DB" w:rsidP="007C7D69">
            <w:pPr>
              <w:rPr>
                <w:rFonts w:ascii="Calibri" w:hAnsi="Calibri" w:cs="Calibri"/>
              </w:rPr>
            </w:pPr>
            <w:r w:rsidRPr="00F563BF">
              <w:rPr>
                <w:rFonts w:ascii="Calibri" w:hAnsi="Calibri" w:cs="Calibri"/>
              </w:rPr>
              <w:t>20.81</w:t>
            </w:r>
          </w:p>
        </w:tc>
        <w:tc>
          <w:tcPr>
            <w:tcW w:w="2126" w:type="dxa"/>
          </w:tcPr>
          <w:p w14:paraId="3F60FD38" w14:textId="77777777" w:rsidR="008B60DB" w:rsidRPr="00F563BF" w:rsidRDefault="008B60DB" w:rsidP="007C7D69">
            <w:pPr>
              <w:rPr>
                <w:rFonts w:ascii="Calibri" w:hAnsi="Calibri" w:cs="Calibri"/>
              </w:rPr>
            </w:pPr>
            <w:r w:rsidRPr="00F563BF">
              <w:rPr>
                <w:rFonts w:ascii="Calibri" w:hAnsi="Calibri" w:cs="Calibri"/>
              </w:rPr>
              <w:t>22.17</w:t>
            </w:r>
          </w:p>
        </w:tc>
      </w:tr>
      <w:tr w:rsidR="008B60DB" w:rsidRPr="00F563BF" w14:paraId="189C4D41" w14:textId="77777777" w:rsidTr="007C7D69">
        <w:tc>
          <w:tcPr>
            <w:tcW w:w="3114" w:type="dxa"/>
          </w:tcPr>
          <w:p w14:paraId="395C6E58" w14:textId="77777777" w:rsidR="008B60DB" w:rsidRPr="00F563BF" w:rsidRDefault="008B60DB" w:rsidP="007C7D69">
            <w:pPr>
              <w:rPr>
                <w:rFonts w:ascii="Calibri" w:hAnsi="Calibri" w:cs="Calibri"/>
              </w:rPr>
            </w:pPr>
            <w:r w:rsidRPr="00F563BF">
              <w:rPr>
                <w:rFonts w:ascii="Calibri" w:hAnsi="Calibri" w:cs="Calibri"/>
              </w:rPr>
              <w:t>Slight problems</w:t>
            </w:r>
          </w:p>
        </w:tc>
        <w:tc>
          <w:tcPr>
            <w:tcW w:w="1701" w:type="dxa"/>
          </w:tcPr>
          <w:p w14:paraId="2A01EB5B" w14:textId="77777777" w:rsidR="008B60DB" w:rsidRPr="00F563BF" w:rsidRDefault="008B60DB" w:rsidP="007C7D69">
            <w:pPr>
              <w:rPr>
                <w:rFonts w:ascii="Calibri" w:hAnsi="Calibri" w:cs="Calibri"/>
              </w:rPr>
            </w:pPr>
            <w:r w:rsidRPr="00F563BF">
              <w:rPr>
                <w:rFonts w:ascii="Calibri" w:hAnsi="Calibri" w:cs="Calibri"/>
              </w:rPr>
              <w:t>24.16</w:t>
            </w:r>
          </w:p>
        </w:tc>
        <w:tc>
          <w:tcPr>
            <w:tcW w:w="2126" w:type="dxa"/>
          </w:tcPr>
          <w:p w14:paraId="26AEBD2E" w14:textId="77777777" w:rsidR="008B60DB" w:rsidRPr="00F563BF" w:rsidRDefault="008B60DB" w:rsidP="007C7D69">
            <w:pPr>
              <w:rPr>
                <w:rFonts w:ascii="Calibri" w:hAnsi="Calibri" w:cs="Calibri"/>
              </w:rPr>
            </w:pPr>
            <w:r w:rsidRPr="00F563BF">
              <w:rPr>
                <w:rFonts w:ascii="Calibri" w:hAnsi="Calibri" w:cs="Calibri"/>
              </w:rPr>
              <w:t>25.02</w:t>
            </w:r>
          </w:p>
        </w:tc>
      </w:tr>
      <w:tr w:rsidR="008B60DB" w:rsidRPr="00F563BF" w14:paraId="7F47495D" w14:textId="77777777" w:rsidTr="007C7D69">
        <w:tc>
          <w:tcPr>
            <w:tcW w:w="3114" w:type="dxa"/>
          </w:tcPr>
          <w:p w14:paraId="3F4C6B4A" w14:textId="77777777" w:rsidR="008B60DB" w:rsidRPr="00F563BF" w:rsidRDefault="008B60DB" w:rsidP="007C7D69">
            <w:pPr>
              <w:rPr>
                <w:rFonts w:ascii="Calibri" w:hAnsi="Calibri" w:cs="Calibri"/>
              </w:rPr>
            </w:pPr>
            <w:r w:rsidRPr="00F563BF">
              <w:rPr>
                <w:rFonts w:ascii="Calibri" w:hAnsi="Calibri" w:cs="Calibri"/>
              </w:rPr>
              <w:t>Moderate problems</w:t>
            </w:r>
          </w:p>
        </w:tc>
        <w:tc>
          <w:tcPr>
            <w:tcW w:w="1701" w:type="dxa"/>
          </w:tcPr>
          <w:p w14:paraId="71BCC3F5" w14:textId="77777777" w:rsidR="008B60DB" w:rsidRPr="00F563BF" w:rsidRDefault="008B60DB" w:rsidP="007C7D69">
            <w:pPr>
              <w:rPr>
                <w:rFonts w:ascii="Calibri" w:hAnsi="Calibri" w:cs="Calibri"/>
              </w:rPr>
            </w:pPr>
            <w:r w:rsidRPr="00F563BF">
              <w:rPr>
                <w:rFonts w:ascii="Calibri" w:hAnsi="Calibri" w:cs="Calibri"/>
              </w:rPr>
              <w:t>27.27</w:t>
            </w:r>
          </w:p>
        </w:tc>
        <w:tc>
          <w:tcPr>
            <w:tcW w:w="2126" w:type="dxa"/>
          </w:tcPr>
          <w:p w14:paraId="71B6722E" w14:textId="77777777" w:rsidR="008B60DB" w:rsidRPr="00F563BF" w:rsidRDefault="008B60DB" w:rsidP="007C7D69">
            <w:pPr>
              <w:rPr>
                <w:rFonts w:ascii="Calibri" w:hAnsi="Calibri" w:cs="Calibri"/>
              </w:rPr>
            </w:pPr>
            <w:r w:rsidRPr="00F563BF">
              <w:rPr>
                <w:rFonts w:ascii="Calibri" w:hAnsi="Calibri" w:cs="Calibri"/>
              </w:rPr>
              <w:t>27.82</w:t>
            </w:r>
          </w:p>
        </w:tc>
      </w:tr>
      <w:tr w:rsidR="008B60DB" w:rsidRPr="00F563BF" w14:paraId="03A33A79" w14:textId="77777777" w:rsidTr="007C7D69">
        <w:tc>
          <w:tcPr>
            <w:tcW w:w="3114" w:type="dxa"/>
          </w:tcPr>
          <w:p w14:paraId="6CD68253" w14:textId="77777777" w:rsidR="008B60DB" w:rsidRPr="00F563BF" w:rsidRDefault="008B60DB" w:rsidP="007C7D69">
            <w:pPr>
              <w:rPr>
                <w:rFonts w:ascii="Calibri" w:hAnsi="Calibri" w:cs="Calibri"/>
              </w:rPr>
            </w:pPr>
            <w:r w:rsidRPr="00F563BF">
              <w:rPr>
                <w:rFonts w:ascii="Calibri" w:hAnsi="Calibri" w:cs="Calibri"/>
              </w:rPr>
              <w:t>Severe problems</w:t>
            </w:r>
          </w:p>
        </w:tc>
        <w:tc>
          <w:tcPr>
            <w:tcW w:w="1701" w:type="dxa"/>
          </w:tcPr>
          <w:p w14:paraId="7C5288A2" w14:textId="77777777" w:rsidR="008B60DB" w:rsidRPr="00F563BF" w:rsidRDefault="008B60DB" w:rsidP="007C7D69">
            <w:pPr>
              <w:rPr>
                <w:rFonts w:ascii="Calibri" w:hAnsi="Calibri" w:cs="Calibri"/>
              </w:rPr>
            </w:pPr>
            <w:r w:rsidRPr="00F563BF">
              <w:rPr>
                <w:rFonts w:ascii="Calibri" w:hAnsi="Calibri" w:cs="Calibri"/>
              </w:rPr>
              <w:t>18.37</w:t>
            </w:r>
          </w:p>
        </w:tc>
        <w:tc>
          <w:tcPr>
            <w:tcW w:w="2126" w:type="dxa"/>
          </w:tcPr>
          <w:p w14:paraId="0550B102" w14:textId="77777777" w:rsidR="008B60DB" w:rsidRPr="00F563BF" w:rsidRDefault="008B60DB" w:rsidP="007C7D69">
            <w:pPr>
              <w:rPr>
                <w:rFonts w:ascii="Calibri" w:hAnsi="Calibri" w:cs="Calibri"/>
              </w:rPr>
            </w:pPr>
            <w:r w:rsidRPr="00F563BF">
              <w:rPr>
                <w:rFonts w:ascii="Calibri" w:hAnsi="Calibri" w:cs="Calibri"/>
              </w:rPr>
              <w:t>17.57</w:t>
            </w:r>
          </w:p>
        </w:tc>
      </w:tr>
      <w:tr w:rsidR="008B60DB" w:rsidRPr="00F563BF" w14:paraId="7423EFE6" w14:textId="77777777" w:rsidTr="007C7D69">
        <w:tc>
          <w:tcPr>
            <w:tcW w:w="3114" w:type="dxa"/>
          </w:tcPr>
          <w:p w14:paraId="2806F5E5" w14:textId="77777777" w:rsidR="008B60DB" w:rsidRPr="00F563BF" w:rsidRDefault="008B60DB" w:rsidP="007C7D69">
            <w:pPr>
              <w:rPr>
                <w:rFonts w:ascii="Calibri" w:hAnsi="Calibri" w:cs="Calibri"/>
              </w:rPr>
            </w:pPr>
            <w:r w:rsidRPr="00F563BF">
              <w:rPr>
                <w:rFonts w:ascii="Calibri" w:hAnsi="Calibri" w:cs="Calibri"/>
              </w:rPr>
              <w:t xml:space="preserve">Unable to do usual activities </w:t>
            </w:r>
          </w:p>
        </w:tc>
        <w:tc>
          <w:tcPr>
            <w:tcW w:w="1701" w:type="dxa"/>
          </w:tcPr>
          <w:p w14:paraId="2E14260A" w14:textId="77777777" w:rsidR="008B60DB" w:rsidRPr="00F563BF" w:rsidRDefault="008B60DB" w:rsidP="007C7D69">
            <w:pPr>
              <w:rPr>
                <w:rFonts w:ascii="Calibri" w:hAnsi="Calibri" w:cs="Calibri"/>
              </w:rPr>
            </w:pPr>
            <w:r w:rsidRPr="00F563BF">
              <w:rPr>
                <w:rFonts w:ascii="Calibri" w:hAnsi="Calibri" w:cs="Calibri"/>
              </w:rPr>
              <w:t>9.40</w:t>
            </w:r>
          </w:p>
        </w:tc>
        <w:tc>
          <w:tcPr>
            <w:tcW w:w="2126" w:type="dxa"/>
          </w:tcPr>
          <w:p w14:paraId="56040AEC" w14:textId="77777777" w:rsidR="008B60DB" w:rsidRPr="00F563BF" w:rsidRDefault="008B60DB" w:rsidP="007C7D69">
            <w:pPr>
              <w:rPr>
                <w:rFonts w:ascii="Calibri" w:hAnsi="Calibri" w:cs="Calibri"/>
              </w:rPr>
            </w:pPr>
            <w:r w:rsidRPr="00F563BF">
              <w:rPr>
                <w:rFonts w:ascii="Calibri" w:hAnsi="Calibri" w:cs="Calibri"/>
              </w:rPr>
              <w:t>7.42</w:t>
            </w:r>
          </w:p>
        </w:tc>
      </w:tr>
    </w:tbl>
    <w:p w14:paraId="2BD9AFE6" w14:textId="77777777" w:rsidR="008B60DB" w:rsidRDefault="008B60DB" w:rsidP="008B60DB">
      <w:pPr>
        <w:rPr>
          <w:rFonts w:ascii="Calibri" w:hAnsi="Calibri" w:cs="Calibri"/>
          <w:b/>
          <w:bCs/>
        </w:rPr>
      </w:pPr>
    </w:p>
    <w:p w14:paraId="593DC8AB" w14:textId="77777777" w:rsidR="008B60DB" w:rsidRPr="00F563BF" w:rsidRDefault="008B60DB" w:rsidP="008B60DB">
      <w:pPr>
        <w:rPr>
          <w:rFonts w:ascii="Calibri" w:hAnsi="Calibri" w:cs="Calibri"/>
          <w:b/>
          <w:bCs/>
        </w:rPr>
      </w:pPr>
      <w:r w:rsidRPr="00F563BF">
        <w:rPr>
          <w:rFonts w:ascii="Calibri" w:hAnsi="Calibri" w:cs="Calibri"/>
          <w:b/>
          <w:bCs/>
        </w:rPr>
        <w:lastRenderedPageBreak/>
        <w:t xml:space="preserve">Pain/discomfort </w:t>
      </w:r>
    </w:p>
    <w:p w14:paraId="32483837" w14:textId="77777777" w:rsidR="008B60DB" w:rsidRPr="00F563BF" w:rsidRDefault="008B60DB" w:rsidP="008B60DB">
      <w:pPr>
        <w:rPr>
          <w:rFonts w:ascii="Calibri" w:hAnsi="Calibri" w:cs="Calibri"/>
        </w:rPr>
      </w:pPr>
    </w:p>
    <w:p w14:paraId="17A165A2" w14:textId="77777777" w:rsidR="008B60DB" w:rsidRPr="00F563BF" w:rsidRDefault="008B60DB" w:rsidP="008B60DB">
      <w:pPr>
        <w:rPr>
          <w:rFonts w:ascii="Calibri" w:hAnsi="Calibri" w:cs="Calibri"/>
          <w:i/>
          <w:iCs/>
        </w:rPr>
      </w:pPr>
      <w:r w:rsidRPr="00F563BF">
        <w:rPr>
          <w:rFonts w:ascii="Calibri" w:hAnsi="Calibri" w:cs="Calibri"/>
          <w:i/>
          <w:iCs/>
        </w:rPr>
        <w:t>oprobit eq4RP_ i.eq5RP_ PwD_age_ i.PwDs_sex_, vce(cluster PatNo)</w:t>
      </w:r>
    </w:p>
    <w:p w14:paraId="25C4AE8D" w14:textId="77777777" w:rsidR="008B60DB" w:rsidRPr="00F563BF" w:rsidRDefault="008B60DB" w:rsidP="008B60DB">
      <w:pPr>
        <w:rPr>
          <w:rFonts w:ascii="Calibri" w:hAnsi="Calibri" w:cs="Calibri"/>
        </w:rPr>
      </w:pPr>
    </w:p>
    <w:tbl>
      <w:tblPr>
        <w:tblStyle w:val="TableGrid"/>
        <w:tblW w:w="3772" w:type="pct"/>
        <w:tblLook w:val="04A0" w:firstRow="1" w:lastRow="0" w:firstColumn="1" w:lastColumn="0" w:noHBand="0" w:noVBand="1"/>
      </w:tblPr>
      <w:tblGrid>
        <w:gridCol w:w="2831"/>
        <w:gridCol w:w="1702"/>
        <w:gridCol w:w="2269"/>
      </w:tblGrid>
      <w:tr w:rsidR="008B60DB" w:rsidRPr="00F563BF" w14:paraId="466209D5" w14:textId="77777777" w:rsidTr="007C7D69">
        <w:tc>
          <w:tcPr>
            <w:tcW w:w="2081" w:type="pct"/>
          </w:tcPr>
          <w:p w14:paraId="056921A1" w14:textId="77777777" w:rsidR="008B60DB" w:rsidRPr="00F563BF" w:rsidRDefault="008B60DB" w:rsidP="007C7D69">
            <w:pPr>
              <w:rPr>
                <w:rFonts w:ascii="Calibri" w:hAnsi="Calibri" w:cs="Calibri"/>
              </w:rPr>
            </w:pPr>
            <w:r w:rsidRPr="00F563BF">
              <w:rPr>
                <w:rFonts w:ascii="Calibri" w:hAnsi="Calibri" w:cs="Calibri"/>
              </w:rPr>
              <w:t>Response options</w:t>
            </w:r>
          </w:p>
        </w:tc>
        <w:tc>
          <w:tcPr>
            <w:tcW w:w="1251" w:type="pct"/>
          </w:tcPr>
          <w:p w14:paraId="2D3BDF20" w14:textId="77777777" w:rsidR="008B60DB" w:rsidRPr="00F563BF" w:rsidRDefault="008B60DB" w:rsidP="007C7D69">
            <w:pPr>
              <w:rPr>
                <w:rFonts w:ascii="Calibri" w:hAnsi="Calibri" w:cs="Calibri"/>
              </w:rPr>
            </w:pPr>
            <w:r w:rsidRPr="00F563BF">
              <w:rPr>
                <w:rFonts w:ascii="Calibri" w:hAnsi="Calibri" w:cs="Calibri"/>
              </w:rPr>
              <w:t>Observed frequency (%)</w:t>
            </w:r>
          </w:p>
          <w:p w14:paraId="6CEBACF5" w14:textId="77777777" w:rsidR="008B60DB" w:rsidRPr="00F563BF" w:rsidRDefault="008B60DB" w:rsidP="007C7D69">
            <w:pPr>
              <w:rPr>
                <w:rFonts w:ascii="Calibri" w:hAnsi="Calibri" w:cs="Calibri"/>
                <w:i/>
                <w:iCs/>
              </w:rPr>
            </w:pPr>
            <w:r w:rsidRPr="00F563BF">
              <w:rPr>
                <w:rFonts w:ascii="Calibri" w:hAnsi="Calibri" w:cs="Calibri"/>
                <w:i/>
                <w:iCs/>
              </w:rPr>
              <w:t>n=1132</w:t>
            </w:r>
          </w:p>
        </w:tc>
        <w:tc>
          <w:tcPr>
            <w:tcW w:w="1668" w:type="pct"/>
          </w:tcPr>
          <w:p w14:paraId="28572725" w14:textId="77777777" w:rsidR="008B60DB" w:rsidRPr="00F563BF" w:rsidRDefault="008B60DB" w:rsidP="007C7D69">
            <w:pPr>
              <w:rPr>
                <w:rFonts w:ascii="Calibri" w:hAnsi="Calibri" w:cs="Calibri"/>
              </w:rPr>
            </w:pPr>
            <w:r w:rsidRPr="00F563BF">
              <w:rPr>
                <w:rFonts w:ascii="Calibri" w:hAnsi="Calibri" w:cs="Calibri"/>
              </w:rPr>
              <w:t xml:space="preserve">Predicted frequency (%) </w:t>
            </w:r>
          </w:p>
          <w:p w14:paraId="32857EE6" w14:textId="77777777" w:rsidR="008B60DB" w:rsidRPr="00F563BF" w:rsidRDefault="008B60DB" w:rsidP="007C7D69">
            <w:pPr>
              <w:rPr>
                <w:rFonts w:ascii="Calibri" w:hAnsi="Calibri" w:cs="Calibri"/>
                <w:i/>
                <w:iCs/>
              </w:rPr>
            </w:pPr>
          </w:p>
        </w:tc>
      </w:tr>
      <w:tr w:rsidR="008B60DB" w:rsidRPr="00F563BF" w14:paraId="753AC570" w14:textId="77777777" w:rsidTr="007C7D69">
        <w:tc>
          <w:tcPr>
            <w:tcW w:w="2081" w:type="pct"/>
          </w:tcPr>
          <w:p w14:paraId="3A2006C6" w14:textId="77777777" w:rsidR="008B60DB" w:rsidRPr="00F563BF" w:rsidRDefault="008B60DB" w:rsidP="007C7D69">
            <w:pPr>
              <w:rPr>
                <w:rFonts w:ascii="Calibri" w:hAnsi="Calibri" w:cs="Calibri"/>
              </w:rPr>
            </w:pPr>
            <w:r w:rsidRPr="00F563BF">
              <w:rPr>
                <w:rFonts w:ascii="Calibri" w:hAnsi="Calibri" w:cs="Calibri"/>
              </w:rPr>
              <w:t xml:space="preserve">No pain/discomfort  </w:t>
            </w:r>
          </w:p>
        </w:tc>
        <w:tc>
          <w:tcPr>
            <w:tcW w:w="1251" w:type="pct"/>
          </w:tcPr>
          <w:p w14:paraId="79B09DF6" w14:textId="77777777" w:rsidR="008B60DB" w:rsidRPr="00F563BF" w:rsidRDefault="008B60DB" w:rsidP="007C7D69">
            <w:pPr>
              <w:rPr>
                <w:rFonts w:ascii="Calibri" w:hAnsi="Calibri" w:cs="Calibri"/>
              </w:rPr>
            </w:pPr>
            <w:r w:rsidRPr="00F563BF">
              <w:rPr>
                <w:rFonts w:ascii="Calibri" w:hAnsi="Calibri" w:cs="Calibri"/>
              </w:rPr>
              <w:t>57.16</w:t>
            </w:r>
          </w:p>
        </w:tc>
        <w:tc>
          <w:tcPr>
            <w:tcW w:w="1668" w:type="pct"/>
          </w:tcPr>
          <w:p w14:paraId="07A8E3E0" w14:textId="77777777" w:rsidR="008B60DB" w:rsidRPr="00F563BF" w:rsidRDefault="008B60DB" w:rsidP="007C7D69">
            <w:pPr>
              <w:rPr>
                <w:rFonts w:ascii="Calibri" w:hAnsi="Calibri" w:cs="Calibri"/>
              </w:rPr>
            </w:pPr>
            <w:r w:rsidRPr="00F563BF">
              <w:rPr>
                <w:rFonts w:ascii="Calibri" w:hAnsi="Calibri" w:cs="Calibri"/>
              </w:rPr>
              <w:t>57.04</w:t>
            </w:r>
          </w:p>
        </w:tc>
      </w:tr>
      <w:tr w:rsidR="008B60DB" w:rsidRPr="00F563BF" w14:paraId="7C14E4AF" w14:textId="77777777" w:rsidTr="007C7D69">
        <w:tc>
          <w:tcPr>
            <w:tcW w:w="2081" w:type="pct"/>
          </w:tcPr>
          <w:p w14:paraId="6AB55B50" w14:textId="77777777" w:rsidR="008B60DB" w:rsidRPr="00F563BF" w:rsidRDefault="008B60DB" w:rsidP="007C7D69">
            <w:pPr>
              <w:rPr>
                <w:rFonts w:ascii="Calibri" w:hAnsi="Calibri" w:cs="Calibri"/>
              </w:rPr>
            </w:pPr>
            <w:r w:rsidRPr="00F563BF">
              <w:rPr>
                <w:rFonts w:ascii="Calibri" w:hAnsi="Calibri" w:cs="Calibri"/>
              </w:rPr>
              <w:t xml:space="preserve">Slight pain/discomfort  </w:t>
            </w:r>
          </w:p>
        </w:tc>
        <w:tc>
          <w:tcPr>
            <w:tcW w:w="1251" w:type="pct"/>
          </w:tcPr>
          <w:p w14:paraId="4A7CEF31" w14:textId="77777777" w:rsidR="008B60DB" w:rsidRPr="00F563BF" w:rsidRDefault="008B60DB" w:rsidP="007C7D69">
            <w:pPr>
              <w:rPr>
                <w:rFonts w:ascii="Calibri" w:hAnsi="Calibri" w:cs="Calibri"/>
              </w:rPr>
            </w:pPr>
            <w:r w:rsidRPr="00F563BF">
              <w:rPr>
                <w:rFonts w:ascii="Calibri" w:hAnsi="Calibri" w:cs="Calibri"/>
              </w:rPr>
              <w:t>23.14</w:t>
            </w:r>
          </w:p>
        </w:tc>
        <w:tc>
          <w:tcPr>
            <w:tcW w:w="1668" w:type="pct"/>
          </w:tcPr>
          <w:p w14:paraId="35F1108E" w14:textId="77777777" w:rsidR="008B60DB" w:rsidRPr="00F563BF" w:rsidRDefault="008B60DB" w:rsidP="007C7D69">
            <w:pPr>
              <w:rPr>
                <w:rFonts w:ascii="Calibri" w:hAnsi="Calibri" w:cs="Calibri"/>
              </w:rPr>
            </w:pPr>
            <w:r w:rsidRPr="00F563BF">
              <w:rPr>
                <w:rFonts w:ascii="Calibri" w:hAnsi="Calibri" w:cs="Calibri"/>
              </w:rPr>
              <w:t>23.37</w:t>
            </w:r>
          </w:p>
        </w:tc>
      </w:tr>
      <w:tr w:rsidR="008B60DB" w:rsidRPr="00F563BF" w14:paraId="0FE13EF6" w14:textId="77777777" w:rsidTr="007C7D69">
        <w:tc>
          <w:tcPr>
            <w:tcW w:w="2081" w:type="pct"/>
          </w:tcPr>
          <w:p w14:paraId="48960A41" w14:textId="77777777" w:rsidR="008B60DB" w:rsidRPr="00F563BF" w:rsidRDefault="008B60DB" w:rsidP="007C7D69">
            <w:pPr>
              <w:rPr>
                <w:rFonts w:ascii="Calibri" w:hAnsi="Calibri" w:cs="Calibri"/>
              </w:rPr>
            </w:pPr>
            <w:r w:rsidRPr="00F563BF">
              <w:rPr>
                <w:rFonts w:ascii="Calibri" w:hAnsi="Calibri" w:cs="Calibri"/>
              </w:rPr>
              <w:t xml:space="preserve">Moderate pain/discomfort  </w:t>
            </w:r>
          </w:p>
        </w:tc>
        <w:tc>
          <w:tcPr>
            <w:tcW w:w="1251" w:type="pct"/>
          </w:tcPr>
          <w:p w14:paraId="3F14430B" w14:textId="77777777" w:rsidR="008B60DB" w:rsidRPr="00F563BF" w:rsidRDefault="008B60DB" w:rsidP="007C7D69">
            <w:pPr>
              <w:rPr>
                <w:rFonts w:ascii="Calibri" w:hAnsi="Calibri" w:cs="Calibri"/>
              </w:rPr>
            </w:pPr>
            <w:r w:rsidRPr="00F563BF">
              <w:rPr>
                <w:rFonts w:ascii="Calibri" w:hAnsi="Calibri" w:cs="Calibri"/>
              </w:rPr>
              <w:t>15.19</w:t>
            </w:r>
          </w:p>
        </w:tc>
        <w:tc>
          <w:tcPr>
            <w:tcW w:w="1668" w:type="pct"/>
          </w:tcPr>
          <w:p w14:paraId="075CD843" w14:textId="77777777" w:rsidR="008B60DB" w:rsidRPr="00F563BF" w:rsidRDefault="008B60DB" w:rsidP="007C7D69">
            <w:pPr>
              <w:rPr>
                <w:rFonts w:ascii="Calibri" w:hAnsi="Calibri" w:cs="Calibri"/>
              </w:rPr>
            </w:pPr>
            <w:r w:rsidRPr="00F563BF">
              <w:rPr>
                <w:rFonts w:ascii="Calibri" w:hAnsi="Calibri" w:cs="Calibri"/>
              </w:rPr>
              <w:t>14.94</w:t>
            </w:r>
          </w:p>
        </w:tc>
      </w:tr>
      <w:tr w:rsidR="008B60DB" w:rsidRPr="00F563BF" w14:paraId="171EF859" w14:textId="77777777" w:rsidTr="007C7D69">
        <w:tc>
          <w:tcPr>
            <w:tcW w:w="2081" w:type="pct"/>
          </w:tcPr>
          <w:p w14:paraId="4F3914D2" w14:textId="77777777" w:rsidR="008B60DB" w:rsidRPr="00F563BF" w:rsidRDefault="008B60DB" w:rsidP="007C7D69">
            <w:pPr>
              <w:rPr>
                <w:rFonts w:ascii="Calibri" w:hAnsi="Calibri" w:cs="Calibri"/>
              </w:rPr>
            </w:pPr>
            <w:r w:rsidRPr="00F563BF">
              <w:rPr>
                <w:rFonts w:ascii="Calibri" w:hAnsi="Calibri" w:cs="Calibri"/>
              </w:rPr>
              <w:t xml:space="preserve">Severe pain/discomfort  </w:t>
            </w:r>
          </w:p>
        </w:tc>
        <w:tc>
          <w:tcPr>
            <w:tcW w:w="1251" w:type="pct"/>
          </w:tcPr>
          <w:p w14:paraId="5BE091A2" w14:textId="77777777" w:rsidR="008B60DB" w:rsidRPr="00F563BF" w:rsidRDefault="008B60DB" w:rsidP="007C7D69">
            <w:pPr>
              <w:rPr>
                <w:rFonts w:ascii="Calibri" w:hAnsi="Calibri" w:cs="Calibri"/>
              </w:rPr>
            </w:pPr>
            <w:r w:rsidRPr="00F563BF">
              <w:rPr>
                <w:rFonts w:ascii="Calibri" w:hAnsi="Calibri" w:cs="Calibri"/>
              </w:rPr>
              <w:t>3.89</w:t>
            </w:r>
          </w:p>
        </w:tc>
        <w:tc>
          <w:tcPr>
            <w:tcW w:w="1668" w:type="pct"/>
          </w:tcPr>
          <w:p w14:paraId="513FC96B" w14:textId="77777777" w:rsidR="008B60DB" w:rsidRPr="00F563BF" w:rsidRDefault="008B60DB" w:rsidP="007C7D69">
            <w:pPr>
              <w:rPr>
                <w:rFonts w:ascii="Calibri" w:hAnsi="Calibri" w:cs="Calibri"/>
              </w:rPr>
            </w:pPr>
            <w:r w:rsidRPr="00F563BF">
              <w:rPr>
                <w:rFonts w:ascii="Calibri" w:hAnsi="Calibri" w:cs="Calibri"/>
              </w:rPr>
              <w:t>4.13</w:t>
            </w:r>
          </w:p>
        </w:tc>
      </w:tr>
      <w:tr w:rsidR="008B60DB" w:rsidRPr="00F563BF" w14:paraId="11047834" w14:textId="77777777" w:rsidTr="007C7D69">
        <w:tc>
          <w:tcPr>
            <w:tcW w:w="2081" w:type="pct"/>
          </w:tcPr>
          <w:p w14:paraId="1A2A2615" w14:textId="77777777" w:rsidR="008B60DB" w:rsidRPr="00F563BF" w:rsidRDefault="008B60DB" w:rsidP="007C7D69">
            <w:pPr>
              <w:rPr>
                <w:rFonts w:ascii="Calibri" w:hAnsi="Calibri" w:cs="Calibri"/>
              </w:rPr>
            </w:pPr>
            <w:r w:rsidRPr="00F563BF">
              <w:rPr>
                <w:rFonts w:ascii="Calibri" w:hAnsi="Calibri" w:cs="Calibri"/>
              </w:rPr>
              <w:t xml:space="preserve">Extreme pain/discomfort  </w:t>
            </w:r>
          </w:p>
        </w:tc>
        <w:tc>
          <w:tcPr>
            <w:tcW w:w="1251" w:type="pct"/>
          </w:tcPr>
          <w:p w14:paraId="5E03AC7F" w14:textId="77777777" w:rsidR="008B60DB" w:rsidRPr="00F563BF" w:rsidRDefault="008B60DB" w:rsidP="007C7D69">
            <w:pPr>
              <w:rPr>
                <w:rFonts w:ascii="Calibri" w:hAnsi="Calibri" w:cs="Calibri"/>
              </w:rPr>
            </w:pPr>
            <w:r w:rsidRPr="00F563BF">
              <w:rPr>
                <w:rFonts w:ascii="Calibri" w:hAnsi="Calibri" w:cs="Calibri"/>
              </w:rPr>
              <w:t>0.62</w:t>
            </w:r>
          </w:p>
        </w:tc>
        <w:tc>
          <w:tcPr>
            <w:tcW w:w="1668" w:type="pct"/>
          </w:tcPr>
          <w:p w14:paraId="4DFD7F2B" w14:textId="77777777" w:rsidR="008B60DB" w:rsidRPr="00F563BF" w:rsidRDefault="008B60DB" w:rsidP="007C7D69">
            <w:pPr>
              <w:rPr>
                <w:rFonts w:ascii="Calibri" w:hAnsi="Calibri" w:cs="Calibri"/>
              </w:rPr>
            </w:pPr>
            <w:r w:rsidRPr="00F563BF">
              <w:rPr>
                <w:rFonts w:ascii="Calibri" w:hAnsi="Calibri" w:cs="Calibri"/>
              </w:rPr>
              <w:t>0.52</w:t>
            </w:r>
          </w:p>
        </w:tc>
      </w:tr>
    </w:tbl>
    <w:p w14:paraId="0DDB282B" w14:textId="77777777" w:rsidR="008B60DB" w:rsidRPr="00F563BF" w:rsidRDefault="008B60DB" w:rsidP="008B60DB">
      <w:pPr>
        <w:rPr>
          <w:rFonts w:ascii="Calibri" w:hAnsi="Calibri" w:cs="Calibri"/>
        </w:rPr>
      </w:pPr>
    </w:p>
    <w:p w14:paraId="2FA82B4F" w14:textId="77777777" w:rsidR="008B60DB" w:rsidRPr="00F563BF" w:rsidRDefault="008B60DB" w:rsidP="008B60DB">
      <w:pPr>
        <w:rPr>
          <w:rFonts w:ascii="Calibri" w:hAnsi="Calibri" w:cs="Calibri"/>
          <w:b/>
          <w:bCs/>
        </w:rPr>
      </w:pPr>
      <w:r w:rsidRPr="00F563BF">
        <w:rPr>
          <w:rFonts w:ascii="Calibri" w:hAnsi="Calibri" w:cs="Calibri"/>
          <w:b/>
          <w:bCs/>
        </w:rPr>
        <w:t xml:space="preserve">Anxiety/depression </w:t>
      </w:r>
    </w:p>
    <w:p w14:paraId="61924E56" w14:textId="77777777" w:rsidR="008B60DB" w:rsidRPr="00F563BF" w:rsidRDefault="008B60DB" w:rsidP="008B60DB">
      <w:pPr>
        <w:rPr>
          <w:rFonts w:ascii="Calibri" w:hAnsi="Calibri" w:cs="Calibri"/>
        </w:rPr>
      </w:pPr>
    </w:p>
    <w:p w14:paraId="44D434E0" w14:textId="77777777" w:rsidR="008B60DB" w:rsidRPr="00F563BF" w:rsidRDefault="008B60DB" w:rsidP="008B60DB">
      <w:pPr>
        <w:rPr>
          <w:rFonts w:ascii="Calibri" w:hAnsi="Calibri" w:cs="Calibri"/>
          <w:i/>
          <w:iCs/>
        </w:rPr>
      </w:pPr>
      <w:r w:rsidRPr="00F563BF">
        <w:rPr>
          <w:rFonts w:ascii="Calibri" w:hAnsi="Calibri" w:cs="Calibri"/>
          <w:i/>
          <w:iCs/>
        </w:rPr>
        <w:t>oprobit eq5SR_ i.eq5RP PwD_age_ i.PwDs_sex_, vce(cluster PatNo)</w:t>
      </w:r>
    </w:p>
    <w:p w14:paraId="1BFD43FA" w14:textId="77777777" w:rsidR="008B60DB" w:rsidRPr="00F563BF" w:rsidRDefault="008B60DB" w:rsidP="008B60DB">
      <w:pPr>
        <w:rPr>
          <w:rFonts w:ascii="Calibri" w:hAnsi="Calibri" w:cs="Calibri"/>
        </w:rPr>
      </w:pPr>
    </w:p>
    <w:tbl>
      <w:tblPr>
        <w:tblStyle w:val="TableGrid"/>
        <w:tblW w:w="0" w:type="auto"/>
        <w:tblLayout w:type="fixed"/>
        <w:tblLook w:val="04A0" w:firstRow="1" w:lastRow="0" w:firstColumn="1" w:lastColumn="0" w:noHBand="0" w:noVBand="1"/>
      </w:tblPr>
      <w:tblGrid>
        <w:gridCol w:w="3114"/>
        <w:gridCol w:w="1417"/>
        <w:gridCol w:w="1843"/>
      </w:tblGrid>
      <w:tr w:rsidR="008B60DB" w:rsidRPr="00F563BF" w14:paraId="1556DD73" w14:textId="77777777" w:rsidTr="007C7D69">
        <w:tc>
          <w:tcPr>
            <w:tcW w:w="3114" w:type="dxa"/>
          </w:tcPr>
          <w:p w14:paraId="5E25960D" w14:textId="77777777" w:rsidR="008B60DB" w:rsidRPr="00F563BF" w:rsidRDefault="008B60DB" w:rsidP="007C7D69">
            <w:pPr>
              <w:rPr>
                <w:rFonts w:ascii="Calibri" w:hAnsi="Calibri" w:cs="Calibri"/>
              </w:rPr>
            </w:pPr>
            <w:r w:rsidRPr="00F563BF">
              <w:rPr>
                <w:rFonts w:ascii="Calibri" w:hAnsi="Calibri" w:cs="Calibri"/>
              </w:rPr>
              <w:t xml:space="preserve">Response options </w:t>
            </w:r>
          </w:p>
        </w:tc>
        <w:tc>
          <w:tcPr>
            <w:tcW w:w="1417" w:type="dxa"/>
          </w:tcPr>
          <w:p w14:paraId="62FA4E75" w14:textId="77777777" w:rsidR="008B60DB" w:rsidRPr="00F563BF" w:rsidRDefault="008B60DB" w:rsidP="007C7D69">
            <w:pPr>
              <w:rPr>
                <w:rFonts w:ascii="Calibri" w:hAnsi="Calibri" w:cs="Calibri"/>
              </w:rPr>
            </w:pPr>
            <w:r w:rsidRPr="00F563BF">
              <w:rPr>
                <w:rFonts w:ascii="Calibri" w:hAnsi="Calibri" w:cs="Calibri"/>
              </w:rPr>
              <w:t>Observed frequency (%)</w:t>
            </w:r>
          </w:p>
          <w:p w14:paraId="37A0C143" w14:textId="77777777" w:rsidR="008B60DB" w:rsidRPr="00F563BF" w:rsidRDefault="008B60DB" w:rsidP="007C7D69">
            <w:pPr>
              <w:rPr>
                <w:rFonts w:ascii="Calibri" w:hAnsi="Calibri" w:cs="Calibri"/>
                <w:i/>
                <w:iCs/>
              </w:rPr>
            </w:pPr>
            <w:r w:rsidRPr="00F563BF">
              <w:rPr>
                <w:rFonts w:ascii="Calibri" w:hAnsi="Calibri" w:cs="Calibri"/>
                <w:i/>
                <w:iCs/>
              </w:rPr>
              <w:t>n=1131</w:t>
            </w:r>
          </w:p>
        </w:tc>
        <w:tc>
          <w:tcPr>
            <w:tcW w:w="1843" w:type="dxa"/>
          </w:tcPr>
          <w:p w14:paraId="2D22EA41" w14:textId="77777777" w:rsidR="008B60DB" w:rsidRPr="00F563BF" w:rsidRDefault="008B60DB" w:rsidP="007C7D69">
            <w:pPr>
              <w:rPr>
                <w:rFonts w:ascii="Calibri" w:hAnsi="Calibri" w:cs="Calibri"/>
              </w:rPr>
            </w:pPr>
            <w:r w:rsidRPr="00F563BF">
              <w:rPr>
                <w:rFonts w:ascii="Calibri" w:hAnsi="Calibri" w:cs="Calibri"/>
              </w:rPr>
              <w:t xml:space="preserve">Predicted frequency (%) </w:t>
            </w:r>
          </w:p>
          <w:p w14:paraId="2F817AF5" w14:textId="77777777" w:rsidR="008B60DB" w:rsidRPr="00F563BF" w:rsidRDefault="008B60DB" w:rsidP="007C7D69">
            <w:pPr>
              <w:rPr>
                <w:rFonts w:ascii="Calibri" w:hAnsi="Calibri" w:cs="Calibri"/>
                <w:i/>
                <w:iCs/>
              </w:rPr>
            </w:pPr>
          </w:p>
        </w:tc>
      </w:tr>
      <w:tr w:rsidR="008B60DB" w:rsidRPr="00F563BF" w14:paraId="2B4BD67A" w14:textId="77777777" w:rsidTr="007C7D69">
        <w:tc>
          <w:tcPr>
            <w:tcW w:w="3114" w:type="dxa"/>
          </w:tcPr>
          <w:p w14:paraId="407A5374" w14:textId="77777777" w:rsidR="008B60DB" w:rsidRPr="00F563BF" w:rsidRDefault="008B60DB" w:rsidP="007C7D69">
            <w:pPr>
              <w:rPr>
                <w:rFonts w:ascii="Calibri" w:hAnsi="Calibri" w:cs="Calibri"/>
              </w:rPr>
            </w:pPr>
            <w:r w:rsidRPr="00F563BF">
              <w:rPr>
                <w:rFonts w:ascii="Calibri" w:hAnsi="Calibri" w:cs="Calibri"/>
              </w:rPr>
              <w:t>No anxiety/depression</w:t>
            </w:r>
          </w:p>
        </w:tc>
        <w:tc>
          <w:tcPr>
            <w:tcW w:w="1417" w:type="dxa"/>
          </w:tcPr>
          <w:p w14:paraId="2FE05857" w14:textId="77777777" w:rsidR="008B60DB" w:rsidRPr="00F563BF" w:rsidRDefault="008B60DB" w:rsidP="007C7D69">
            <w:pPr>
              <w:rPr>
                <w:rFonts w:ascii="Calibri" w:hAnsi="Calibri" w:cs="Calibri"/>
              </w:rPr>
            </w:pPr>
            <w:r w:rsidRPr="00F563BF">
              <w:rPr>
                <w:rFonts w:ascii="Calibri" w:hAnsi="Calibri" w:cs="Calibri"/>
              </w:rPr>
              <w:t>59.50</w:t>
            </w:r>
          </w:p>
        </w:tc>
        <w:tc>
          <w:tcPr>
            <w:tcW w:w="1843" w:type="dxa"/>
          </w:tcPr>
          <w:p w14:paraId="4CA9DB38" w14:textId="77777777" w:rsidR="008B60DB" w:rsidRPr="00F563BF" w:rsidRDefault="008B60DB" w:rsidP="007C7D69">
            <w:pPr>
              <w:rPr>
                <w:rFonts w:ascii="Calibri" w:hAnsi="Calibri" w:cs="Calibri"/>
              </w:rPr>
            </w:pPr>
            <w:r w:rsidRPr="00F563BF">
              <w:rPr>
                <w:rFonts w:ascii="Calibri" w:hAnsi="Calibri" w:cs="Calibri"/>
              </w:rPr>
              <w:t>59.75</w:t>
            </w:r>
          </w:p>
        </w:tc>
      </w:tr>
      <w:tr w:rsidR="008B60DB" w:rsidRPr="00F563BF" w14:paraId="540D0CD3" w14:textId="77777777" w:rsidTr="007C7D69">
        <w:tc>
          <w:tcPr>
            <w:tcW w:w="3114" w:type="dxa"/>
          </w:tcPr>
          <w:p w14:paraId="176FC5B6" w14:textId="77777777" w:rsidR="008B60DB" w:rsidRPr="00F563BF" w:rsidRDefault="008B60DB" w:rsidP="007C7D69">
            <w:pPr>
              <w:rPr>
                <w:rFonts w:ascii="Calibri" w:hAnsi="Calibri" w:cs="Calibri"/>
              </w:rPr>
            </w:pPr>
            <w:r w:rsidRPr="00F563BF">
              <w:rPr>
                <w:rFonts w:ascii="Calibri" w:hAnsi="Calibri" w:cs="Calibri"/>
              </w:rPr>
              <w:t>Slight anxiety/depression</w:t>
            </w:r>
          </w:p>
        </w:tc>
        <w:tc>
          <w:tcPr>
            <w:tcW w:w="1417" w:type="dxa"/>
          </w:tcPr>
          <w:p w14:paraId="3600A438" w14:textId="77777777" w:rsidR="008B60DB" w:rsidRPr="00F563BF" w:rsidRDefault="008B60DB" w:rsidP="007C7D69">
            <w:pPr>
              <w:rPr>
                <w:rFonts w:ascii="Calibri" w:hAnsi="Calibri" w:cs="Calibri"/>
              </w:rPr>
            </w:pPr>
            <w:r w:rsidRPr="00F563BF">
              <w:rPr>
                <w:rFonts w:ascii="Calibri" w:hAnsi="Calibri" w:cs="Calibri"/>
              </w:rPr>
              <w:t>26.44</w:t>
            </w:r>
          </w:p>
        </w:tc>
        <w:tc>
          <w:tcPr>
            <w:tcW w:w="1843" w:type="dxa"/>
          </w:tcPr>
          <w:p w14:paraId="51A8CEA9" w14:textId="77777777" w:rsidR="008B60DB" w:rsidRPr="00F563BF" w:rsidRDefault="008B60DB" w:rsidP="007C7D69">
            <w:pPr>
              <w:rPr>
                <w:rFonts w:ascii="Calibri" w:hAnsi="Calibri" w:cs="Calibri"/>
              </w:rPr>
            </w:pPr>
            <w:r w:rsidRPr="00F563BF">
              <w:rPr>
                <w:rFonts w:ascii="Calibri" w:hAnsi="Calibri" w:cs="Calibri"/>
              </w:rPr>
              <w:t>26.10</w:t>
            </w:r>
          </w:p>
        </w:tc>
      </w:tr>
      <w:tr w:rsidR="008B60DB" w:rsidRPr="00F563BF" w14:paraId="712CC5E9" w14:textId="77777777" w:rsidTr="007C7D69">
        <w:tc>
          <w:tcPr>
            <w:tcW w:w="3114" w:type="dxa"/>
          </w:tcPr>
          <w:p w14:paraId="13B1D5EB" w14:textId="77777777" w:rsidR="008B60DB" w:rsidRPr="00F563BF" w:rsidRDefault="008B60DB" w:rsidP="007C7D69">
            <w:pPr>
              <w:rPr>
                <w:rFonts w:ascii="Calibri" w:hAnsi="Calibri" w:cs="Calibri"/>
              </w:rPr>
            </w:pPr>
            <w:r w:rsidRPr="00F563BF">
              <w:rPr>
                <w:rFonts w:ascii="Calibri" w:hAnsi="Calibri" w:cs="Calibri"/>
              </w:rPr>
              <w:t>Moderate anxiety/depression</w:t>
            </w:r>
          </w:p>
        </w:tc>
        <w:tc>
          <w:tcPr>
            <w:tcW w:w="1417" w:type="dxa"/>
          </w:tcPr>
          <w:p w14:paraId="286854FD" w14:textId="77777777" w:rsidR="008B60DB" w:rsidRPr="00F563BF" w:rsidRDefault="008B60DB" w:rsidP="007C7D69">
            <w:pPr>
              <w:rPr>
                <w:rFonts w:ascii="Calibri" w:hAnsi="Calibri" w:cs="Calibri"/>
              </w:rPr>
            </w:pPr>
            <w:r w:rsidRPr="00F563BF">
              <w:rPr>
                <w:rFonts w:ascii="Calibri" w:hAnsi="Calibri" w:cs="Calibri"/>
              </w:rPr>
              <w:t>11.58</w:t>
            </w:r>
          </w:p>
        </w:tc>
        <w:tc>
          <w:tcPr>
            <w:tcW w:w="1843" w:type="dxa"/>
          </w:tcPr>
          <w:p w14:paraId="459145BA" w14:textId="77777777" w:rsidR="008B60DB" w:rsidRPr="00F563BF" w:rsidRDefault="008B60DB" w:rsidP="007C7D69">
            <w:pPr>
              <w:rPr>
                <w:rFonts w:ascii="Calibri" w:hAnsi="Calibri" w:cs="Calibri"/>
              </w:rPr>
            </w:pPr>
            <w:r w:rsidRPr="00F563BF">
              <w:rPr>
                <w:rFonts w:ascii="Calibri" w:hAnsi="Calibri" w:cs="Calibri"/>
              </w:rPr>
              <w:t>11.70</w:t>
            </w:r>
          </w:p>
        </w:tc>
      </w:tr>
      <w:tr w:rsidR="008B60DB" w:rsidRPr="00F563BF" w14:paraId="33D02737" w14:textId="77777777" w:rsidTr="007C7D69">
        <w:tc>
          <w:tcPr>
            <w:tcW w:w="3114" w:type="dxa"/>
          </w:tcPr>
          <w:p w14:paraId="5DB17793" w14:textId="77777777" w:rsidR="008B60DB" w:rsidRPr="00F563BF" w:rsidRDefault="008B60DB" w:rsidP="007C7D69">
            <w:pPr>
              <w:rPr>
                <w:rFonts w:ascii="Calibri" w:hAnsi="Calibri" w:cs="Calibri"/>
              </w:rPr>
            </w:pPr>
            <w:r w:rsidRPr="00F563BF">
              <w:rPr>
                <w:rFonts w:ascii="Calibri" w:hAnsi="Calibri" w:cs="Calibri"/>
              </w:rPr>
              <w:t>Severe anxiety/depression</w:t>
            </w:r>
          </w:p>
        </w:tc>
        <w:tc>
          <w:tcPr>
            <w:tcW w:w="1417" w:type="dxa"/>
          </w:tcPr>
          <w:p w14:paraId="7C452D06" w14:textId="77777777" w:rsidR="008B60DB" w:rsidRPr="00F563BF" w:rsidRDefault="008B60DB" w:rsidP="007C7D69">
            <w:pPr>
              <w:rPr>
                <w:rFonts w:ascii="Calibri" w:hAnsi="Calibri" w:cs="Calibri"/>
              </w:rPr>
            </w:pPr>
            <w:r w:rsidRPr="00F563BF">
              <w:rPr>
                <w:rFonts w:ascii="Calibri" w:hAnsi="Calibri" w:cs="Calibri"/>
              </w:rPr>
              <w:t>2.21</w:t>
            </w:r>
          </w:p>
        </w:tc>
        <w:tc>
          <w:tcPr>
            <w:tcW w:w="1843" w:type="dxa"/>
          </w:tcPr>
          <w:p w14:paraId="04DD2B3B" w14:textId="77777777" w:rsidR="008B60DB" w:rsidRPr="00F563BF" w:rsidRDefault="008B60DB" w:rsidP="007C7D69">
            <w:pPr>
              <w:rPr>
                <w:rFonts w:ascii="Calibri" w:hAnsi="Calibri" w:cs="Calibri"/>
              </w:rPr>
            </w:pPr>
            <w:r w:rsidRPr="00F563BF">
              <w:rPr>
                <w:rFonts w:ascii="Calibri" w:hAnsi="Calibri" w:cs="Calibri"/>
              </w:rPr>
              <w:t>2.18</w:t>
            </w:r>
          </w:p>
        </w:tc>
      </w:tr>
      <w:tr w:rsidR="008B60DB" w:rsidRPr="00F563BF" w14:paraId="4924FBA4" w14:textId="77777777" w:rsidTr="007C7D69">
        <w:tc>
          <w:tcPr>
            <w:tcW w:w="3114" w:type="dxa"/>
          </w:tcPr>
          <w:p w14:paraId="537D25F9" w14:textId="77777777" w:rsidR="008B60DB" w:rsidRPr="00F563BF" w:rsidRDefault="008B60DB" w:rsidP="007C7D69">
            <w:pPr>
              <w:rPr>
                <w:rFonts w:ascii="Calibri" w:hAnsi="Calibri" w:cs="Calibri"/>
              </w:rPr>
            </w:pPr>
            <w:r w:rsidRPr="00F563BF">
              <w:rPr>
                <w:rFonts w:ascii="Calibri" w:hAnsi="Calibri" w:cs="Calibri"/>
              </w:rPr>
              <w:t>Extreme anxiety/depression</w:t>
            </w:r>
          </w:p>
        </w:tc>
        <w:tc>
          <w:tcPr>
            <w:tcW w:w="1417" w:type="dxa"/>
          </w:tcPr>
          <w:p w14:paraId="032695C1" w14:textId="77777777" w:rsidR="008B60DB" w:rsidRPr="00F563BF" w:rsidRDefault="008B60DB" w:rsidP="007C7D69">
            <w:pPr>
              <w:rPr>
                <w:rFonts w:ascii="Calibri" w:hAnsi="Calibri" w:cs="Calibri"/>
              </w:rPr>
            </w:pPr>
            <w:r w:rsidRPr="00F563BF">
              <w:rPr>
                <w:rFonts w:ascii="Calibri" w:hAnsi="Calibri" w:cs="Calibri"/>
              </w:rPr>
              <w:t>0.27</w:t>
            </w:r>
          </w:p>
        </w:tc>
        <w:tc>
          <w:tcPr>
            <w:tcW w:w="1843" w:type="dxa"/>
          </w:tcPr>
          <w:p w14:paraId="7A4BCDD9" w14:textId="77777777" w:rsidR="008B60DB" w:rsidRPr="00F563BF" w:rsidRDefault="008B60DB" w:rsidP="007C7D69">
            <w:pPr>
              <w:rPr>
                <w:rFonts w:ascii="Calibri" w:hAnsi="Calibri" w:cs="Calibri"/>
              </w:rPr>
            </w:pPr>
            <w:r w:rsidRPr="00F563BF">
              <w:rPr>
                <w:rFonts w:ascii="Calibri" w:hAnsi="Calibri" w:cs="Calibri"/>
              </w:rPr>
              <w:t>0.27</w:t>
            </w:r>
          </w:p>
        </w:tc>
      </w:tr>
    </w:tbl>
    <w:p w14:paraId="2AD68C16" w14:textId="77777777" w:rsidR="008B60DB" w:rsidRDefault="008B60DB" w:rsidP="008B60DB">
      <w:pPr>
        <w:rPr>
          <w:rFonts w:ascii="Calibri" w:hAnsi="Calibri" w:cs="Calibri"/>
        </w:rPr>
      </w:pPr>
    </w:p>
    <w:p w14:paraId="03C8E2BD" w14:textId="77777777" w:rsidR="008B60DB" w:rsidRDefault="008B60DB" w:rsidP="008B60DB">
      <w:pPr>
        <w:rPr>
          <w:rFonts w:ascii="Calibri" w:hAnsi="Calibri" w:cs="Calibri"/>
        </w:rPr>
      </w:pPr>
      <w:r>
        <w:rPr>
          <w:rFonts w:ascii="Calibri" w:hAnsi="Calibri" w:cs="Calibri"/>
        </w:rPr>
        <w:t>Observed vs. predicted EQ-5D index scores using pragmatic models (ACTIFCARE)</w:t>
      </w:r>
    </w:p>
    <w:p w14:paraId="4CAF2FB8" w14:textId="77777777" w:rsidR="008B60DB" w:rsidRPr="00F563BF" w:rsidRDefault="008B60DB" w:rsidP="008B60DB">
      <w:pPr>
        <w:rPr>
          <w:rFonts w:ascii="Calibri" w:hAnsi="Calibri" w:cs="Calibri"/>
        </w:rPr>
      </w:pPr>
    </w:p>
    <w:tbl>
      <w:tblPr>
        <w:tblStyle w:val="TableGrid"/>
        <w:tblW w:w="5000" w:type="pct"/>
        <w:tblLook w:val="04A0" w:firstRow="1" w:lastRow="0" w:firstColumn="1" w:lastColumn="0" w:noHBand="0" w:noVBand="1"/>
      </w:tblPr>
      <w:tblGrid>
        <w:gridCol w:w="3123"/>
        <w:gridCol w:w="1015"/>
        <w:gridCol w:w="1365"/>
        <w:gridCol w:w="1122"/>
        <w:gridCol w:w="2391"/>
      </w:tblGrid>
      <w:tr w:rsidR="008B60DB" w:rsidRPr="00F563BF" w14:paraId="0D610C12" w14:textId="77777777" w:rsidTr="007C7D69">
        <w:trPr>
          <w:trHeight w:val="276"/>
        </w:trPr>
        <w:tc>
          <w:tcPr>
            <w:tcW w:w="1732" w:type="pct"/>
            <w:shd w:val="clear" w:color="auto" w:fill="E7E6E6" w:themeFill="background2"/>
          </w:tcPr>
          <w:p w14:paraId="77C6957C" w14:textId="77777777" w:rsidR="008B60DB" w:rsidRPr="00F563BF" w:rsidRDefault="008B60DB" w:rsidP="007C7D69">
            <w:pPr>
              <w:rPr>
                <w:rFonts w:ascii="Calibri" w:hAnsi="Calibri" w:cs="Calibri"/>
              </w:rPr>
            </w:pPr>
            <w:r w:rsidRPr="00F563BF">
              <w:rPr>
                <w:rFonts w:ascii="Calibri" w:hAnsi="Calibri" w:cs="Calibri"/>
              </w:rPr>
              <w:t>Target response</w:t>
            </w:r>
          </w:p>
        </w:tc>
        <w:tc>
          <w:tcPr>
            <w:tcW w:w="563" w:type="pct"/>
            <w:shd w:val="clear" w:color="auto" w:fill="E7E6E6" w:themeFill="background2"/>
          </w:tcPr>
          <w:p w14:paraId="1861A89D" w14:textId="77777777" w:rsidR="008B60DB" w:rsidRPr="00F563BF" w:rsidRDefault="008B60DB" w:rsidP="007C7D69">
            <w:pPr>
              <w:rPr>
                <w:rFonts w:ascii="Calibri" w:hAnsi="Calibri" w:cs="Calibri"/>
              </w:rPr>
            </w:pPr>
            <w:r w:rsidRPr="00F563BF">
              <w:rPr>
                <w:rFonts w:ascii="Calibri" w:hAnsi="Calibri" w:cs="Calibri"/>
              </w:rPr>
              <w:t>N</w:t>
            </w:r>
          </w:p>
        </w:tc>
        <w:tc>
          <w:tcPr>
            <w:tcW w:w="757" w:type="pct"/>
            <w:shd w:val="clear" w:color="auto" w:fill="E7E6E6" w:themeFill="background2"/>
          </w:tcPr>
          <w:p w14:paraId="758E5E88" w14:textId="77777777" w:rsidR="008B60DB" w:rsidRPr="00F563BF" w:rsidRDefault="008B60DB" w:rsidP="007C7D69">
            <w:pPr>
              <w:rPr>
                <w:rFonts w:ascii="Calibri" w:hAnsi="Calibri" w:cs="Calibri"/>
              </w:rPr>
            </w:pPr>
            <w:r w:rsidRPr="00F563BF">
              <w:rPr>
                <w:rFonts w:ascii="Calibri" w:hAnsi="Calibri" w:cs="Calibri"/>
              </w:rPr>
              <w:t xml:space="preserve">Mean </w:t>
            </w:r>
          </w:p>
        </w:tc>
        <w:tc>
          <w:tcPr>
            <w:tcW w:w="622" w:type="pct"/>
            <w:shd w:val="clear" w:color="auto" w:fill="E7E6E6" w:themeFill="background2"/>
          </w:tcPr>
          <w:p w14:paraId="71CD7CE4" w14:textId="77777777" w:rsidR="008B60DB" w:rsidRPr="00F563BF" w:rsidRDefault="008B60DB" w:rsidP="007C7D69">
            <w:pPr>
              <w:rPr>
                <w:rFonts w:ascii="Calibri" w:hAnsi="Calibri" w:cs="Calibri"/>
              </w:rPr>
            </w:pPr>
            <w:r w:rsidRPr="00F563BF">
              <w:rPr>
                <w:rFonts w:ascii="Calibri" w:hAnsi="Calibri" w:cs="Calibri"/>
              </w:rPr>
              <w:t>SD</w:t>
            </w:r>
          </w:p>
        </w:tc>
        <w:tc>
          <w:tcPr>
            <w:tcW w:w="1326" w:type="pct"/>
            <w:shd w:val="clear" w:color="auto" w:fill="E7E6E6" w:themeFill="background2"/>
          </w:tcPr>
          <w:p w14:paraId="733D2FD6" w14:textId="77777777" w:rsidR="008B60DB" w:rsidRPr="00F563BF" w:rsidRDefault="008B60DB" w:rsidP="007C7D69">
            <w:pPr>
              <w:rPr>
                <w:rFonts w:ascii="Calibri" w:hAnsi="Calibri" w:cs="Calibri"/>
              </w:rPr>
            </w:pPr>
            <w:r w:rsidRPr="00F563BF">
              <w:rPr>
                <w:rFonts w:ascii="Calibri" w:hAnsi="Calibri" w:cs="Calibri"/>
              </w:rPr>
              <w:t xml:space="preserve">Min – Max </w:t>
            </w:r>
          </w:p>
        </w:tc>
      </w:tr>
      <w:tr w:rsidR="008B60DB" w:rsidRPr="00F563BF" w14:paraId="56A0C50D" w14:textId="77777777" w:rsidTr="007C7D69">
        <w:trPr>
          <w:trHeight w:val="295"/>
        </w:trPr>
        <w:tc>
          <w:tcPr>
            <w:tcW w:w="5000" w:type="pct"/>
            <w:gridSpan w:val="5"/>
            <w:shd w:val="clear" w:color="auto" w:fill="auto"/>
          </w:tcPr>
          <w:p w14:paraId="5F18D498" w14:textId="77777777" w:rsidR="008B60DB" w:rsidRPr="00F563BF" w:rsidRDefault="008B60DB" w:rsidP="007C7D69">
            <w:pPr>
              <w:rPr>
                <w:rFonts w:ascii="Calibri" w:hAnsi="Calibri" w:cs="Calibri"/>
              </w:rPr>
            </w:pPr>
            <w:r w:rsidRPr="00F563BF">
              <w:rPr>
                <w:rFonts w:ascii="Calibri" w:hAnsi="Calibri" w:cs="Calibri"/>
              </w:rPr>
              <w:t xml:space="preserve">Mapped from 5L to 3L value set </w:t>
            </w:r>
          </w:p>
        </w:tc>
      </w:tr>
      <w:tr w:rsidR="008B60DB" w:rsidRPr="00F563BF" w14:paraId="2806D8AA" w14:textId="77777777" w:rsidTr="007C7D69">
        <w:trPr>
          <w:trHeight w:val="295"/>
        </w:trPr>
        <w:tc>
          <w:tcPr>
            <w:tcW w:w="1732" w:type="pct"/>
          </w:tcPr>
          <w:p w14:paraId="70B46AE5" w14:textId="77777777" w:rsidR="008B60DB" w:rsidRPr="00F563BF" w:rsidRDefault="008B60DB" w:rsidP="007C7D69">
            <w:pPr>
              <w:rPr>
                <w:rFonts w:ascii="Calibri" w:hAnsi="Calibri" w:cs="Calibri"/>
                <w:highlight w:val="yellow"/>
              </w:rPr>
            </w:pPr>
            <w:r w:rsidRPr="00F563BF">
              <w:rPr>
                <w:rFonts w:ascii="Calibri" w:hAnsi="Calibri" w:cs="Calibri"/>
              </w:rPr>
              <w:t>Observed data</w:t>
            </w:r>
          </w:p>
        </w:tc>
        <w:tc>
          <w:tcPr>
            <w:tcW w:w="563" w:type="pct"/>
          </w:tcPr>
          <w:p w14:paraId="5475D7F7" w14:textId="77777777" w:rsidR="008B60DB" w:rsidRPr="00F563BF" w:rsidRDefault="008B60DB" w:rsidP="007C7D69">
            <w:pPr>
              <w:rPr>
                <w:rFonts w:ascii="Calibri" w:hAnsi="Calibri" w:cs="Calibri"/>
              </w:rPr>
            </w:pPr>
            <w:r w:rsidRPr="00F563BF">
              <w:rPr>
                <w:rFonts w:ascii="Calibri" w:hAnsi="Calibri" w:cs="Calibri"/>
              </w:rPr>
              <w:t>962</w:t>
            </w:r>
          </w:p>
        </w:tc>
        <w:tc>
          <w:tcPr>
            <w:tcW w:w="757" w:type="pct"/>
          </w:tcPr>
          <w:p w14:paraId="47EAF379" w14:textId="77777777" w:rsidR="008B60DB" w:rsidRPr="00F563BF" w:rsidRDefault="008B60DB" w:rsidP="007C7D69">
            <w:pPr>
              <w:rPr>
                <w:rFonts w:ascii="Calibri" w:hAnsi="Calibri" w:cs="Calibri"/>
              </w:rPr>
            </w:pPr>
            <w:r w:rsidRPr="00F563BF">
              <w:rPr>
                <w:rFonts w:ascii="Calibri" w:hAnsi="Calibri" w:cs="Calibri"/>
              </w:rPr>
              <w:t>0.69</w:t>
            </w:r>
          </w:p>
        </w:tc>
        <w:tc>
          <w:tcPr>
            <w:tcW w:w="622" w:type="pct"/>
          </w:tcPr>
          <w:p w14:paraId="1B8B5382" w14:textId="77777777" w:rsidR="008B60DB" w:rsidRPr="00F563BF" w:rsidRDefault="008B60DB" w:rsidP="007C7D69">
            <w:pPr>
              <w:rPr>
                <w:rFonts w:ascii="Calibri" w:hAnsi="Calibri" w:cs="Calibri"/>
              </w:rPr>
            </w:pPr>
            <w:r w:rsidRPr="00F563BF">
              <w:rPr>
                <w:rFonts w:ascii="Calibri" w:hAnsi="Calibri" w:cs="Calibri"/>
              </w:rPr>
              <w:t>0.21</w:t>
            </w:r>
          </w:p>
        </w:tc>
        <w:tc>
          <w:tcPr>
            <w:tcW w:w="1326" w:type="pct"/>
          </w:tcPr>
          <w:p w14:paraId="4B0F60F1" w14:textId="77777777" w:rsidR="008B60DB" w:rsidRPr="00F563BF" w:rsidRDefault="008B60DB" w:rsidP="007C7D69">
            <w:pPr>
              <w:rPr>
                <w:rFonts w:ascii="Calibri" w:hAnsi="Calibri" w:cs="Calibri"/>
              </w:rPr>
            </w:pPr>
            <w:r w:rsidRPr="00F563BF">
              <w:rPr>
                <w:rFonts w:ascii="Calibri" w:hAnsi="Calibri" w:cs="Calibri"/>
              </w:rPr>
              <w:t xml:space="preserve">-0.28 – 0.99 </w:t>
            </w:r>
          </w:p>
        </w:tc>
      </w:tr>
      <w:tr w:rsidR="008B60DB" w:rsidRPr="00F563BF" w14:paraId="66D413B6" w14:textId="77777777" w:rsidTr="007C7D69">
        <w:trPr>
          <w:trHeight w:val="276"/>
        </w:trPr>
        <w:tc>
          <w:tcPr>
            <w:tcW w:w="1732" w:type="pct"/>
          </w:tcPr>
          <w:p w14:paraId="29B2C6CE" w14:textId="77777777" w:rsidR="008B60DB" w:rsidRPr="00F563BF" w:rsidRDefault="008B60DB" w:rsidP="007C7D69">
            <w:pPr>
              <w:rPr>
                <w:rFonts w:ascii="Calibri" w:hAnsi="Calibri" w:cs="Calibri"/>
              </w:rPr>
            </w:pPr>
            <w:r w:rsidRPr="00F563BF">
              <w:rPr>
                <w:rFonts w:ascii="Calibri" w:hAnsi="Calibri" w:cs="Calibri"/>
              </w:rPr>
              <w:t>Predicted data</w:t>
            </w:r>
          </w:p>
        </w:tc>
        <w:tc>
          <w:tcPr>
            <w:tcW w:w="563" w:type="pct"/>
          </w:tcPr>
          <w:p w14:paraId="4A818688" w14:textId="77777777" w:rsidR="008B60DB" w:rsidRPr="00F563BF" w:rsidRDefault="008B60DB" w:rsidP="007C7D69">
            <w:pPr>
              <w:rPr>
                <w:rFonts w:ascii="Calibri" w:hAnsi="Calibri" w:cs="Calibri"/>
              </w:rPr>
            </w:pPr>
            <w:r w:rsidRPr="00F563BF">
              <w:rPr>
                <w:rFonts w:ascii="Calibri" w:hAnsi="Calibri" w:cs="Calibri"/>
              </w:rPr>
              <w:t>962</w:t>
            </w:r>
          </w:p>
        </w:tc>
        <w:tc>
          <w:tcPr>
            <w:tcW w:w="757" w:type="pct"/>
          </w:tcPr>
          <w:p w14:paraId="6612E400" w14:textId="77777777" w:rsidR="008B60DB" w:rsidRPr="00F563BF" w:rsidRDefault="008B60DB" w:rsidP="007C7D69">
            <w:pPr>
              <w:rPr>
                <w:rFonts w:ascii="Calibri" w:hAnsi="Calibri" w:cs="Calibri"/>
              </w:rPr>
            </w:pPr>
            <w:r w:rsidRPr="00F563BF">
              <w:rPr>
                <w:rFonts w:ascii="Calibri" w:hAnsi="Calibri" w:cs="Calibri"/>
              </w:rPr>
              <w:t>0.67</w:t>
            </w:r>
          </w:p>
        </w:tc>
        <w:tc>
          <w:tcPr>
            <w:tcW w:w="622" w:type="pct"/>
          </w:tcPr>
          <w:p w14:paraId="7DC1B09C" w14:textId="77777777" w:rsidR="008B60DB" w:rsidRPr="00F563BF" w:rsidRDefault="008B60DB" w:rsidP="007C7D69">
            <w:pPr>
              <w:rPr>
                <w:rFonts w:ascii="Calibri" w:hAnsi="Calibri" w:cs="Calibri"/>
              </w:rPr>
            </w:pPr>
            <w:r w:rsidRPr="00F563BF">
              <w:rPr>
                <w:rFonts w:ascii="Calibri" w:hAnsi="Calibri" w:cs="Calibri"/>
              </w:rPr>
              <w:t>0.09</w:t>
            </w:r>
          </w:p>
        </w:tc>
        <w:tc>
          <w:tcPr>
            <w:tcW w:w="1326" w:type="pct"/>
          </w:tcPr>
          <w:p w14:paraId="0AA13DFF" w14:textId="77777777" w:rsidR="008B60DB" w:rsidRPr="00F563BF" w:rsidRDefault="008B60DB" w:rsidP="007C7D69">
            <w:pPr>
              <w:rPr>
                <w:rFonts w:ascii="Calibri" w:hAnsi="Calibri" w:cs="Calibri"/>
              </w:rPr>
            </w:pPr>
            <w:r w:rsidRPr="00F563BF">
              <w:rPr>
                <w:rFonts w:ascii="Calibri" w:hAnsi="Calibri" w:cs="Calibri"/>
              </w:rPr>
              <w:t>0.14 – 0.82</w:t>
            </w:r>
          </w:p>
        </w:tc>
      </w:tr>
    </w:tbl>
    <w:p w14:paraId="726AE2B2" w14:textId="77777777" w:rsidR="008B60DB" w:rsidRDefault="008B60DB" w:rsidP="008B60DB">
      <w:pPr>
        <w:rPr>
          <w:rFonts w:ascii="Calibri" w:hAnsi="Calibri" w:cs="Calibri"/>
        </w:rPr>
      </w:pPr>
    </w:p>
    <w:p w14:paraId="0F7C9BE2" w14:textId="77777777" w:rsidR="008B60DB" w:rsidRDefault="008B60DB" w:rsidP="008B60DB">
      <w:pPr>
        <w:rPr>
          <w:rFonts w:ascii="Calibri" w:hAnsi="Calibri" w:cs="Calibri"/>
        </w:rPr>
      </w:pPr>
    </w:p>
    <w:p w14:paraId="313FDAC8" w14:textId="77777777" w:rsidR="008B60DB" w:rsidRDefault="008B60DB" w:rsidP="008B60DB">
      <w:pPr>
        <w:rPr>
          <w:rFonts w:ascii="Calibri" w:hAnsi="Calibri" w:cs="Calibri"/>
        </w:rPr>
      </w:pPr>
    </w:p>
    <w:p w14:paraId="4AA085CA" w14:textId="77777777" w:rsidR="008B60DB" w:rsidRDefault="008B60DB" w:rsidP="008B60DB">
      <w:pPr>
        <w:rPr>
          <w:rFonts w:ascii="Calibri" w:hAnsi="Calibri" w:cs="Calibri"/>
        </w:rPr>
      </w:pPr>
    </w:p>
    <w:p w14:paraId="3775F6A7" w14:textId="77777777" w:rsidR="008B60DB" w:rsidRDefault="008B60DB" w:rsidP="008B60DB">
      <w:pPr>
        <w:rPr>
          <w:rFonts w:ascii="Calibri" w:hAnsi="Calibri" w:cs="Calibri"/>
        </w:rPr>
      </w:pPr>
    </w:p>
    <w:p w14:paraId="430896C7" w14:textId="77777777" w:rsidR="008B60DB" w:rsidRDefault="008B60DB" w:rsidP="008B60DB">
      <w:pPr>
        <w:rPr>
          <w:rFonts w:ascii="Calibri" w:hAnsi="Calibri" w:cs="Calibri"/>
        </w:rPr>
      </w:pPr>
    </w:p>
    <w:p w14:paraId="32CC9E0F" w14:textId="77777777" w:rsidR="008B60DB" w:rsidRDefault="008B60DB" w:rsidP="008B60DB">
      <w:pPr>
        <w:rPr>
          <w:rFonts w:ascii="Calibri" w:hAnsi="Calibri" w:cs="Calibri"/>
        </w:rPr>
      </w:pPr>
    </w:p>
    <w:p w14:paraId="7F117429" w14:textId="77777777" w:rsidR="008B60DB" w:rsidRDefault="008B60DB" w:rsidP="008B60DB">
      <w:pPr>
        <w:rPr>
          <w:rFonts w:ascii="Calibri" w:hAnsi="Calibri" w:cs="Calibri"/>
        </w:rPr>
      </w:pPr>
    </w:p>
    <w:p w14:paraId="7A3D2873" w14:textId="77777777" w:rsidR="008B60DB" w:rsidRDefault="008B60DB" w:rsidP="008B60DB">
      <w:pPr>
        <w:rPr>
          <w:rFonts w:ascii="Calibri" w:hAnsi="Calibri" w:cs="Calibri"/>
        </w:rPr>
      </w:pPr>
    </w:p>
    <w:p w14:paraId="68687DEE" w14:textId="77777777" w:rsidR="008B60DB" w:rsidRDefault="008B60DB" w:rsidP="008B60DB">
      <w:pPr>
        <w:rPr>
          <w:rFonts w:ascii="Calibri" w:hAnsi="Calibri" w:cs="Calibri"/>
        </w:rPr>
      </w:pPr>
    </w:p>
    <w:p w14:paraId="11EE05C6" w14:textId="77777777" w:rsidR="008B60DB" w:rsidRDefault="008B60DB" w:rsidP="008B60DB">
      <w:pPr>
        <w:rPr>
          <w:rFonts w:ascii="Calibri" w:hAnsi="Calibri" w:cs="Calibri"/>
        </w:rPr>
      </w:pPr>
    </w:p>
    <w:p w14:paraId="4FD40D6C" w14:textId="77777777" w:rsidR="008B60DB" w:rsidRDefault="008B60DB" w:rsidP="008B60DB">
      <w:pPr>
        <w:rPr>
          <w:rFonts w:ascii="Calibri" w:hAnsi="Calibri" w:cs="Calibri"/>
        </w:rPr>
      </w:pPr>
    </w:p>
    <w:p w14:paraId="0987C55F" w14:textId="736048C1" w:rsidR="008B60DB" w:rsidRDefault="008B60DB" w:rsidP="008B60DB">
      <w:pPr>
        <w:rPr>
          <w:rFonts w:ascii="Calibri" w:hAnsi="Calibri" w:cs="Calibri"/>
        </w:rPr>
      </w:pPr>
      <w:r>
        <w:rPr>
          <w:rFonts w:ascii="Calibri" w:hAnsi="Calibri" w:cs="Calibri"/>
        </w:rPr>
        <w:lastRenderedPageBreak/>
        <w:t xml:space="preserve">Utility distribution produced using pragmatic models, across MMSE scores </w:t>
      </w:r>
    </w:p>
    <w:p w14:paraId="38AB86FC" w14:textId="77777777" w:rsidR="008B60DB" w:rsidRPr="00F563BF" w:rsidRDefault="008B60DB" w:rsidP="008B60DB">
      <w:pPr>
        <w:rPr>
          <w:rFonts w:ascii="Calibri" w:hAnsi="Calibri" w:cs="Calibri"/>
        </w:rPr>
      </w:pPr>
    </w:p>
    <w:p w14:paraId="2766313D" w14:textId="77777777" w:rsidR="008B60DB" w:rsidRPr="00F563BF" w:rsidRDefault="008B60DB" w:rsidP="008B60DB">
      <w:pPr>
        <w:rPr>
          <w:rFonts w:ascii="Calibri" w:hAnsi="Calibri" w:cs="Calibri"/>
        </w:rPr>
      </w:pPr>
      <w:r w:rsidRPr="00F563BF">
        <w:rPr>
          <w:rFonts w:ascii="Calibri" w:hAnsi="Calibri" w:cs="Calibri"/>
          <w:noProof/>
        </w:rPr>
        <w:drawing>
          <wp:inline distT="0" distB="0" distL="0" distR="0" wp14:anchorId="1834742C" wp14:editId="2F5972E8">
            <wp:extent cx="4320000" cy="3240000"/>
            <wp:effectExtent l="0" t="0" r="0" b="0"/>
            <wp:docPr id="1484682145" name="Picture 1" descr="A graph of a number of utility&#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84682145" name="Picture 1" descr="A graph of a number of utility&#10;&#10;Description automatically generated with medium confidence"/>
                    <pic:cNvPicPr/>
                  </pic:nvPicPr>
                  <pic:blipFill>
                    <a:blip r:embed="rId104">
                      <a:extLst>
                        <a:ext uri="{28A0092B-C50C-407E-A947-70E740481C1C}">
                          <a14:useLocalDpi xmlns:a14="http://schemas.microsoft.com/office/drawing/2010/main" val="0"/>
                        </a:ext>
                      </a:extLst>
                    </a:blip>
                    <a:stretch>
                      <a:fillRect/>
                    </a:stretch>
                  </pic:blipFill>
                  <pic:spPr>
                    <a:xfrm>
                      <a:off x="0" y="0"/>
                      <a:ext cx="4320000" cy="3240000"/>
                    </a:xfrm>
                    <a:prstGeom prst="rect">
                      <a:avLst/>
                    </a:prstGeom>
                  </pic:spPr>
                </pic:pic>
              </a:graphicData>
            </a:graphic>
          </wp:inline>
        </w:drawing>
      </w:r>
    </w:p>
    <w:p w14:paraId="3A06E8B5" w14:textId="77777777" w:rsidR="008B60DB" w:rsidRDefault="008B60DB" w:rsidP="008B60DB">
      <w:pPr>
        <w:rPr>
          <w:rFonts w:ascii="Calibri" w:hAnsi="Calibri" w:cs="Calibri"/>
        </w:rPr>
      </w:pPr>
    </w:p>
    <w:p w14:paraId="22AC78C4" w14:textId="77777777" w:rsidR="008B60DB" w:rsidRDefault="008B60DB" w:rsidP="008B60DB">
      <w:pPr>
        <w:rPr>
          <w:rFonts w:ascii="Calibri" w:hAnsi="Calibri" w:cs="Calibri"/>
        </w:rPr>
      </w:pPr>
      <w:r>
        <w:rPr>
          <w:rFonts w:ascii="Calibri" w:hAnsi="Calibri" w:cs="Calibri"/>
        </w:rPr>
        <w:t xml:space="preserve">Utility distribution produced using pragmatic models, across PSMS scores </w:t>
      </w:r>
    </w:p>
    <w:p w14:paraId="4DA1B5C5" w14:textId="77777777" w:rsidR="008B60DB" w:rsidRPr="00F563BF" w:rsidRDefault="008B60DB" w:rsidP="008B60DB">
      <w:pPr>
        <w:rPr>
          <w:rFonts w:ascii="Calibri" w:hAnsi="Calibri" w:cs="Calibri"/>
        </w:rPr>
      </w:pPr>
    </w:p>
    <w:p w14:paraId="4FC713BE" w14:textId="77777777" w:rsidR="008B60DB" w:rsidRPr="00F563BF" w:rsidRDefault="008B60DB" w:rsidP="008B60DB">
      <w:pPr>
        <w:rPr>
          <w:rFonts w:ascii="Calibri" w:hAnsi="Calibri" w:cs="Calibri"/>
        </w:rPr>
      </w:pPr>
      <w:r w:rsidRPr="00F563BF">
        <w:rPr>
          <w:rFonts w:ascii="Calibri" w:hAnsi="Calibri" w:cs="Calibri"/>
          <w:noProof/>
        </w:rPr>
        <w:drawing>
          <wp:inline distT="0" distB="0" distL="0" distR="0" wp14:anchorId="159A0D98" wp14:editId="5208357E">
            <wp:extent cx="4320000" cy="3240000"/>
            <wp:effectExtent l="0" t="0" r="0" b="0"/>
            <wp:docPr id="1549756801" name="Picture 2" descr="A graph of a person with a line graph&#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49756801" name="Picture 2" descr="A graph of a person with a line graph&#10;&#10;Description automatically generated with medium confidence"/>
                    <pic:cNvPicPr/>
                  </pic:nvPicPr>
                  <pic:blipFill>
                    <a:blip r:embed="rId105">
                      <a:extLst>
                        <a:ext uri="{28A0092B-C50C-407E-A947-70E740481C1C}">
                          <a14:useLocalDpi xmlns:a14="http://schemas.microsoft.com/office/drawing/2010/main" val="0"/>
                        </a:ext>
                      </a:extLst>
                    </a:blip>
                    <a:stretch>
                      <a:fillRect/>
                    </a:stretch>
                  </pic:blipFill>
                  <pic:spPr>
                    <a:xfrm>
                      <a:off x="0" y="0"/>
                      <a:ext cx="4320000" cy="3240000"/>
                    </a:xfrm>
                    <a:prstGeom prst="rect">
                      <a:avLst/>
                    </a:prstGeom>
                  </pic:spPr>
                </pic:pic>
              </a:graphicData>
            </a:graphic>
          </wp:inline>
        </w:drawing>
      </w:r>
    </w:p>
    <w:p w14:paraId="26ECD170" w14:textId="77777777" w:rsidR="008B60DB" w:rsidRPr="00F563BF" w:rsidRDefault="008B60DB" w:rsidP="008B60DB">
      <w:pPr>
        <w:rPr>
          <w:rFonts w:ascii="Calibri" w:hAnsi="Calibri" w:cs="Calibri"/>
        </w:rPr>
      </w:pPr>
    </w:p>
    <w:p w14:paraId="327C1F67" w14:textId="77777777" w:rsidR="008B60DB" w:rsidRDefault="008B60DB" w:rsidP="008B60DB">
      <w:pPr>
        <w:rPr>
          <w:rFonts w:ascii="Calibri" w:hAnsi="Calibri" w:cs="Calibri"/>
          <w:b/>
          <w:bCs/>
          <w:u w:val="single"/>
        </w:rPr>
      </w:pPr>
    </w:p>
    <w:p w14:paraId="0CC46616" w14:textId="77777777" w:rsidR="008B60DB" w:rsidRDefault="008B60DB" w:rsidP="008B60DB">
      <w:pPr>
        <w:rPr>
          <w:rFonts w:ascii="Calibri" w:hAnsi="Calibri" w:cs="Calibri"/>
          <w:b/>
          <w:bCs/>
          <w:u w:val="single"/>
        </w:rPr>
      </w:pPr>
    </w:p>
    <w:p w14:paraId="6F1108D9" w14:textId="77777777" w:rsidR="008B60DB" w:rsidRDefault="008B60DB" w:rsidP="008B60DB">
      <w:pPr>
        <w:rPr>
          <w:rFonts w:ascii="Calibri" w:hAnsi="Calibri" w:cs="Calibri"/>
          <w:b/>
          <w:bCs/>
          <w:u w:val="single"/>
        </w:rPr>
      </w:pPr>
    </w:p>
    <w:p w14:paraId="7C65FAF6" w14:textId="77777777" w:rsidR="008B60DB" w:rsidRDefault="008B60DB" w:rsidP="008B60DB">
      <w:pPr>
        <w:rPr>
          <w:rFonts w:ascii="Calibri" w:hAnsi="Calibri" w:cs="Calibri"/>
          <w:b/>
          <w:bCs/>
          <w:u w:val="single"/>
        </w:rPr>
      </w:pPr>
    </w:p>
    <w:p w14:paraId="5CB19CCE" w14:textId="77777777" w:rsidR="008B60DB" w:rsidRDefault="008B60DB" w:rsidP="008B60DB">
      <w:pPr>
        <w:rPr>
          <w:rFonts w:ascii="Calibri" w:hAnsi="Calibri" w:cs="Calibri"/>
          <w:b/>
          <w:bCs/>
          <w:u w:val="single"/>
        </w:rPr>
      </w:pPr>
    </w:p>
    <w:p w14:paraId="44A73F1F" w14:textId="77777777" w:rsidR="008B60DB" w:rsidRDefault="008B60DB" w:rsidP="008B60DB">
      <w:pPr>
        <w:rPr>
          <w:rFonts w:ascii="Calibri" w:hAnsi="Calibri" w:cs="Calibri"/>
          <w:b/>
          <w:bCs/>
          <w:u w:val="single"/>
        </w:rPr>
      </w:pPr>
    </w:p>
    <w:p w14:paraId="662B6E2E" w14:textId="24D96FEB" w:rsidR="008B60DB" w:rsidRPr="00F563BF" w:rsidRDefault="008B60DB" w:rsidP="008B60DB">
      <w:pPr>
        <w:rPr>
          <w:rFonts w:ascii="Calibri" w:hAnsi="Calibri" w:cs="Calibri"/>
          <w:b/>
          <w:bCs/>
          <w:u w:val="single"/>
        </w:rPr>
      </w:pPr>
      <w:r w:rsidRPr="00F563BF">
        <w:rPr>
          <w:rFonts w:ascii="Calibri" w:hAnsi="Calibri" w:cs="Calibri"/>
          <w:b/>
          <w:bCs/>
          <w:u w:val="single"/>
        </w:rPr>
        <w:lastRenderedPageBreak/>
        <w:t xml:space="preserve">Pragmatic model generation – EPIC </w:t>
      </w:r>
    </w:p>
    <w:p w14:paraId="2B2ED944" w14:textId="77777777" w:rsidR="008B60DB" w:rsidRPr="00F563BF" w:rsidRDefault="008B60DB" w:rsidP="008B60DB">
      <w:pPr>
        <w:rPr>
          <w:rFonts w:ascii="Calibri" w:hAnsi="Calibri" w:cs="Calibri"/>
        </w:rPr>
      </w:pPr>
    </w:p>
    <w:p w14:paraId="3F51D786" w14:textId="77777777" w:rsidR="008B60DB" w:rsidRPr="00F563BF" w:rsidRDefault="008B60DB" w:rsidP="008B60DB">
      <w:pPr>
        <w:rPr>
          <w:rFonts w:ascii="Calibri" w:hAnsi="Calibri" w:cs="Calibri"/>
          <w:b/>
          <w:bCs/>
        </w:rPr>
      </w:pPr>
      <w:r w:rsidRPr="00F563BF">
        <w:rPr>
          <w:rFonts w:ascii="Calibri" w:hAnsi="Calibri" w:cs="Calibri"/>
          <w:b/>
          <w:bCs/>
        </w:rPr>
        <w:t xml:space="preserve">Mobility </w:t>
      </w:r>
    </w:p>
    <w:p w14:paraId="41C61702" w14:textId="77777777" w:rsidR="008B60DB" w:rsidRPr="00F563BF" w:rsidRDefault="008B60DB" w:rsidP="008B60DB">
      <w:pPr>
        <w:rPr>
          <w:rFonts w:ascii="Calibri" w:hAnsi="Calibri" w:cs="Calibri"/>
        </w:rPr>
      </w:pPr>
    </w:p>
    <w:p w14:paraId="676D6DB5" w14:textId="77777777" w:rsidR="008B60DB" w:rsidRPr="00F563BF" w:rsidRDefault="008B60DB" w:rsidP="008B60DB">
      <w:pPr>
        <w:rPr>
          <w:rFonts w:ascii="Calibri" w:hAnsi="Calibri" w:cs="Calibri"/>
          <w:i/>
          <w:iCs/>
        </w:rPr>
      </w:pPr>
      <w:r w:rsidRPr="00F563BF">
        <w:rPr>
          <w:rFonts w:ascii="Calibri" w:hAnsi="Calibri" w:cs="Calibri"/>
          <w:i/>
          <w:iCs/>
        </w:rPr>
        <w:t>oprobit eq1staff_ i.eq1SR_ age_ i.sex_, vce(cluster PatNo)</w:t>
      </w:r>
    </w:p>
    <w:p w14:paraId="6C16AB9E" w14:textId="77777777" w:rsidR="008B60DB" w:rsidRPr="00F563BF" w:rsidRDefault="008B60DB" w:rsidP="008B60DB">
      <w:pPr>
        <w:rPr>
          <w:rFonts w:ascii="Calibri" w:hAnsi="Calibri" w:cs="Calibri"/>
        </w:rPr>
      </w:pPr>
    </w:p>
    <w:tbl>
      <w:tblPr>
        <w:tblStyle w:val="TableGrid"/>
        <w:tblW w:w="0" w:type="auto"/>
        <w:tblLook w:val="04A0" w:firstRow="1" w:lastRow="0" w:firstColumn="1" w:lastColumn="0" w:noHBand="0" w:noVBand="1"/>
      </w:tblPr>
      <w:tblGrid>
        <w:gridCol w:w="3005"/>
        <w:gridCol w:w="3005"/>
        <w:gridCol w:w="3006"/>
      </w:tblGrid>
      <w:tr w:rsidR="008B60DB" w:rsidRPr="00F563BF" w14:paraId="32A4967A" w14:textId="77777777" w:rsidTr="007C7D69">
        <w:tc>
          <w:tcPr>
            <w:tcW w:w="3005" w:type="dxa"/>
          </w:tcPr>
          <w:p w14:paraId="3CC2B7B2" w14:textId="77777777" w:rsidR="008B60DB" w:rsidRPr="00F563BF" w:rsidRDefault="008B60DB" w:rsidP="007C7D69">
            <w:pPr>
              <w:rPr>
                <w:rFonts w:ascii="Calibri" w:hAnsi="Calibri" w:cs="Calibri"/>
              </w:rPr>
            </w:pPr>
            <w:r w:rsidRPr="00F563BF">
              <w:rPr>
                <w:rFonts w:ascii="Calibri" w:hAnsi="Calibri" w:cs="Calibri"/>
              </w:rPr>
              <w:t>Mobility response level</w:t>
            </w:r>
          </w:p>
        </w:tc>
        <w:tc>
          <w:tcPr>
            <w:tcW w:w="3005" w:type="dxa"/>
          </w:tcPr>
          <w:p w14:paraId="150E05B4" w14:textId="77777777" w:rsidR="008B60DB" w:rsidRPr="00F563BF" w:rsidRDefault="008B60DB" w:rsidP="007C7D69">
            <w:pPr>
              <w:rPr>
                <w:rFonts w:ascii="Calibri" w:hAnsi="Calibri" w:cs="Calibri"/>
              </w:rPr>
            </w:pPr>
            <w:r w:rsidRPr="00F563BF">
              <w:rPr>
                <w:rFonts w:ascii="Calibri" w:hAnsi="Calibri" w:cs="Calibri"/>
              </w:rPr>
              <w:t>Observed frequency (%)</w:t>
            </w:r>
          </w:p>
          <w:p w14:paraId="55FD7C4B" w14:textId="77777777" w:rsidR="008B60DB" w:rsidRPr="00F563BF" w:rsidRDefault="008B60DB" w:rsidP="007C7D69">
            <w:pPr>
              <w:rPr>
                <w:rFonts w:ascii="Calibri" w:hAnsi="Calibri" w:cs="Calibri"/>
              </w:rPr>
            </w:pPr>
            <w:r w:rsidRPr="00F563BF">
              <w:rPr>
                <w:rFonts w:ascii="Calibri" w:hAnsi="Calibri" w:cs="Calibri"/>
              </w:rPr>
              <w:t xml:space="preserve">n=1699 </w:t>
            </w:r>
          </w:p>
        </w:tc>
        <w:tc>
          <w:tcPr>
            <w:tcW w:w="3006" w:type="dxa"/>
          </w:tcPr>
          <w:p w14:paraId="78962208" w14:textId="77777777" w:rsidR="008B60DB" w:rsidRPr="00F563BF" w:rsidRDefault="008B60DB" w:rsidP="007C7D69">
            <w:pPr>
              <w:rPr>
                <w:rFonts w:ascii="Calibri" w:hAnsi="Calibri" w:cs="Calibri"/>
              </w:rPr>
            </w:pPr>
            <w:r w:rsidRPr="00F563BF">
              <w:rPr>
                <w:rFonts w:ascii="Calibri" w:hAnsi="Calibri" w:cs="Calibri"/>
              </w:rPr>
              <w:t>Predicted frequency (%)</w:t>
            </w:r>
          </w:p>
        </w:tc>
      </w:tr>
      <w:tr w:rsidR="008B60DB" w:rsidRPr="00F563BF" w14:paraId="3B80AF6C" w14:textId="77777777" w:rsidTr="007C7D69">
        <w:tc>
          <w:tcPr>
            <w:tcW w:w="3005" w:type="dxa"/>
          </w:tcPr>
          <w:p w14:paraId="6F2D8CAD" w14:textId="77777777" w:rsidR="008B60DB" w:rsidRPr="00F563BF" w:rsidRDefault="008B60DB" w:rsidP="007C7D69">
            <w:pPr>
              <w:rPr>
                <w:rFonts w:ascii="Calibri" w:hAnsi="Calibri" w:cs="Calibri"/>
              </w:rPr>
            </w:pPr>
            <w:r w:rsidRPr="00F563BF">
              <w:rPr>
                <w:rFonts w:ascii="Calibri" w:hAnsi="Calibri" w:cs="Calibri"/>
              </w:rPr>
              <w:t>1</w:t>
            </w:r>
          </w:p>
        </w:tc>
        <w:tc>
          <w:tcPr>
            <w:tcW w:w="3005" w:type="dxa"/>
          </w:tcPr>
          <w:p w14:paraId="417AB831" w14:textId="77777777" w:rsidR="008B60DB" w:rsidRPr="00F563BF" w:rsidRDefault="008B60DB" w:rsidP="007C7D69">
            <w:pPr>
              <w:rPr>
                <w:rFonts w:ascii="Calibri" w:hAnsi="Calibri" w:cs="Calibri"/>
              </w:rPr>
            </w:pPr>
            <w:r w:rsidRPr="00F563BF">
              <w:rPr>
                <w:rFonts w:ascii="Calibri" w:hAnsi="Calibri" w:cs="Calibri"/>
              </w:rPr>
              <w:t>34.73</w:t>
            </w:r>
          </w:p>
        </w:tc>
        <w:tc>
          <w:tcPr>
            <w:tcW w:w="3006" w:type="dxa"/>
          </w:tcPr>
          <w:p w14:paraId="1BF906A5" w14:textId="77777777" w:rsidR="008B60DB" w:rsidRPr="00F563BF" w:rsidRDefault="008B60DB" w:rsidP="007C7D69">
            <w:pPr>
              <w:rPr>
                <w:rFonts w:ascii="Calibri" w:hAnsi="Calibri" w:cs="Calibri"/>
              </w:rPr>
            </w:pPr>
            <w:r w:rsidRPr="00F563BF">
              <w:rPr>
                <w:rFonts w:ascii="Calibri" w:hAnsi="Calibri" w:cs="Calibri"/>
              </w:rPr>
              <w:t>41.15</w:t>
            </w:r>
          </w:p>
        </w:tc>
      </w:tr>
      <w:tr w:rsidR="008B60DB" w:rsidRPr="00F563BF" w14:paraId="077BDD94" w14:textId="77777777" w:rsidTr="007C7D69">
        <w:tc>
          <w:tcPr>
            <w:tcW w:w="3005" w:type="dxa"/>
          </w:tcPr>
          <w:p w14:paraId="52D6A703" w14:textId="77777777" w:rsidR="008B60DB" w:rsidRPr="00F563BF" w:rsidRDefault="008B60DB" w:rsidP="007C7D69">
            <w:pPr>
              <w:rPr>
                <w:rFonts w:ascii="Calibri" w:hAnsi="Calibri" w:cs="Calibri"/>
              </w:rPr>
            </w:pPr>
            <w:r w:rsidRPr="00F563BF">
              <w:rPr>
                <w:rFonts w:ascii="Calibri" w:hAnsi="Calibri" w:cs="Calibri"/>
              </w:rPr>
              <w:t>2</w:t>
            </w:r>
          </w:p>
        </w:tc>
        <w:tc>
          <w:tcPr>
            <w:tcW w:w="3005" w:type="dxa"/>
          </w:tcPr>
          <w:p w14:paraId="0FD203B2" w14:textId="77777777" w:rsidR="008B60DB" w:rsidRPr="00F563BF" w:rsidRDefault="008B60DB" w:rsidP="007C7D69">
            <w:pPr>
              <w:rPr>
                <w:rFonts w:ascii="Calibri" w:hAnsi="Calibri" w:cs="Calibri"/>
              </w:rPr>
            </w:pPr>
            <w:r w:rsidRPr="00F563BF">
              <w:rPr>
                <w:rFonts w:ascii="Calibri" w:hAnsi="Calibri" w:cs="Calibri"/>
              </w:rPr>
              <w:t>14.83</w:t>
            </w:r>
          </w:p>
        </w:tc>
        <w:tc>
          <w:tcPr>
            <w:tcW w:w="3006" w:type="dxa"/>
          </w:tcPr>
          <w:p w14:paraId="06E482D5" w14:textId="77777777" w:rsidR="008B60DB" w:rsidRPr="00F563BF" w:rsidRDefault="008B60DB" w:rsidP="007C7D69">
            <w:pPr>
              <w:rPr>
                <w:rFonts w:ascii="Calibri" w:hAnsi="Calibri" w:cs="Calibri"/>
              </w:rPr>
            </w:pPr>
            <w:r w:rsidRPr="00F563BF">
              <w:rPr>
                <w:rFonts w:ascii="Calibri" w:hAnsi="Calibri" w:cs="Calibri"/>
              </w:rPr>
              <w:t>18.59</w:t>
            </w:r>
          </w:p>
        </w:tc>
      </w:tr>
      <w:tr w:rsidR="008B60DB" w:rsidRPr="00F563BF" w14:paraId="432576BD" w14:textId="77777777" w:rsidTr="007C7D69">
        <w:tc>
          <w:tcPr>
            <w:tcW w:w="3005" w:type="dxa"/>
          </w:tcPr>
          <w:p w14:paraId="35F03315" w14:textId="77777777" w:rsidR="008B60DB" w:rsidRPr="00F563BF" w:rsidRDefault="008B60DB" w:rsidP="007C7D69">
            <w:pPr>
              <w:rPr>
                <w:rFonts w:ascii="Calibri" w:hAnsi="Calibri" w:cs="Calibri"/>
              </w:rPr>
            </w:pPr>
            <w:r w:rsidRPr="00F563BF">
              <w:rPr>
                <w:rFonts w:ascii="Calibri" w:hAnsi="Calibri" w:cs="Calibri"/>
              </w:rPr>
              <w:t>3</w:t>
            </w:r>
          </w:p>
        </w:tc>
        <w:tc>
          <w:tcPr>
            <w:tcW w:w="3005" w:type="dxa"/>
          </w:tcPr>
          <w:p w14:paraId="5AE48EEF" w14:textId="77777777" w:rsidR="008B60DB" w:rsidRPr="00F563BF" w:rsidRDefault="008B60DB" w:rsidP="007C7D69">
            <w:pPr>
              <w:rPr>
                <w:rFonts w:ascii="Calibri" w:hAnsi="Calibri" w:cs="Calibri"/>
              </w:rPr>
            </w:pPr>
            <w:r w:rsidRPr="00F563BF">
              <w:rPr>
                <w:rFonts w:ascii="Calibri" w:hAnsi="Calibri" w:cs="Calibri"/>
              </w:rPr>
              <w:t>10.30</w:t>
            </w:r>
          </w:p>
        </w:tc>
        <w:tc>
          <w:tcPr>
            <w:tcW w:w="3006" w:type="dxa"/>
          </w:tcPr>
          <w:p w14:paraId="0D4C4CA8" w14:textId="77777777" w:rsidR="008B60DB" w:rsidRPr="00F563BF" w:rsidRDefault="008B60DB" w:rsidP="007C7D69">
            <w:pPr>
              <w:rPr>
                <w:rFonts w:ascii="Calibri" w:hAnsi="Calibri" w:cs="Calibri"/>
              </w:rPr>
            </w:pPr>
            <w:r w:rsidRPr="00F563BF">
              <w:rPr>
                <w:rFonts w:ascii="Calibri" w:hAnsi="Calibri" w:cs="Calibri"/>
              </w:rPr>
              <w:t>11.13</w:t>
            </w:r>
          </w:p>
        </w:tc>
      </w:tr>
      <w:tr w:rsidR="008B60DB" w:rsidRPr="00F563BF" w14:paraId="09E67B7F" w14:textId="77777777" w:rsidTr="007C7D69">
        <w:tc>
          <w:tcPr>
            <w:tcW w:w="3005" w:type="dxa"/>
          </w:tcPr>
          <w:p w14:paraId="0F4902DC" w14:textId="77777777" w:rsidR="008B60DB" w:rsidRPr="00F563BF" w:rsidRDefault="008B60DB" w:rsidP="007C7D69">
            <w:pPr>
              <w:rPr>
                <w:rFonts w:ascii="Calibri" w:hAnsi="Calibri" w:cs="Calibri"/>
              </w:rPr>
            </w:pPr>
            <w:r w:rsidRPr="00F563BF">
              <w:rPr>
                <w:rFonts w:ascii="Calibri" w:hAnsi="Calibri" w:cs="Calibri"/>
              </w:rPr>
              <w:t>4</w:t>
            </w:r>
          </w:p>
        </w:tc>
        <w:tc>
          <w:tcPr>
            <w:tcW w:w="3005" w:type="dxa"/>
          </w:tcPr>
          <w:p w14:paraId="7EFF6F5C" w14:textId="77777777" w:rsidR="008B60DB" w:rsidRPr="00F563BF" w:rsidRDefault="008B60DB" w:rsidP="007C7D69">
            <w:pPr>
              <w:rPr>
                <w:rFonts w:ascii="Calibri" w:hAnsi="Calibri" w:cs="Calibri"/>
              </w:rPr>
            </w:pPr>
            <w:r w:rsidRPr="00F563BF">
              <w:rPr>
                <w:rFonts w:ascii="Calibri" w:hAnsi="Calibri" w:cs="Calibri"/>
              </w:rPr>
              <w:t>6.89</w:t>
            </w:r>
          </w:p>
        </w:tc>
        <w:tc>
          <w:tcPr>
            <w:tcW w:w="3006" w:type="dxa"/>
          </w:tcPr>
          <w:p w14:paraId="28601A87" w14:textId="77777777" w:rsidR="008B60DB" w:rsidRPr="00F563BF" w:rsidRDefault="008B60DB" w:rsidP="007C7D69">
            <w:pPr>
              <w:rPr>
                <w:rFonts w:ascii="Calibri" w:hAnsi="Calibri" w:cs="Calibri"/>
              </w:rPr>
            </w:pPr>
            <w:r w:rsidRPr="00F563BF">
              <w:rPr>
                <w:rFonts w:ascii="Calibri" w:hAnsi="Calibri" w:cs="Calibri"/>
              </w:rPr>
              <w:t>6.13</w:t>
            </w:r>
          </w:p>
        </w:tc>
      </w:tr>
      <w:tr w:rsidR="008B60DB" w:rsidRPr="00F563BF" w14:paraId="038D7B1F" w14:textId="77777777" w:rsidTr="007C7D69">
        <w:tc>
          <w:tcPr>
            <w:tcW w:w="3005" w:type="dxa"/>
          </w:tcPr>
          <w:p w14:paraId="6A1C716E" w14:textId="77777777" w:rsidR="008B60DB" w:rsidRPr="00F563BF" w:rsidRDefault="008B60DB" w:rsidP="007C7D69">
            <w:pPr>
              <w:rPr>
                <w:rFonts w:ascii="Calibri" w:hAnsi="Calibri" w:cs="Calibri"/>
              </w:rPr>
            </w:pPr>
            <w:r w:rsidRPr="00F563BF">
              <w:rPr>
                <w:rFonts w:ascii="Calibri" w:hAnsi="Calibri" w:cs="Calibri"/>
              </w:rPr>
              <w:t>5</w:t>
            </w:r>
          </w:p>
        </w:tc>
        <w:tc>
          <w:tcPr>
            <w:tcW w:w="3005" w:type="dxa"/>
          </w:tcPr>
          <w:p w14:paraId="60386EF0" w14:textId="77777777" w:rsidR="008B60DB" w:rsidRPr="00F563BF" w:rsidRDefault="008B60DB" w:rsidP="007C7D69">
            <w:pPr>
              <w:rPr>
                <w:rFonts w:ascii="Calibri" w:hAnsi="Calibri" w:cs="Calibri"/>
              </w:rPr>
            </w:pPr>
            <w:r w:rsidRPr="00F563BF">
              <w:rPr>
                <w:rFonts w:ascii="Calibri" w:hAnsi="Calibri" w:cs="Calibri"/>
              </w:rPr>
              <w:t>33.25</w:t>
            </w:r>
          </w:p>
        </w:tc>
        <w:tc>
          <w:tcPr>
            <w:tcW w:w="3006" w:type="dxa"/>
          </w:tcPr>
          <w:p w14:paraId="7004CF31" w14:textId="77777777" w:rsidR="008B60DB" w:rsidRPr="00F563BF" w:rsidRDefault="008B60DB" w:rsidP="007C7D69">
            <w:pPr>
              <w:rPr>
                <w:rFonts w:ascii="Calibri" w:hAnsi="Calibri" w:cs="Calibri"/>
              </w:rPr>
            </w:pPr>
            <w:r w:rsidRPr="00F563BF">
              <w:rPr>
                <w:rFonts w:ascii="Calibri" w:hAnsi="Calibri" w:cs="Calibri"/>
              </w:rPr>
              <w:t>23.00</w:t>
            </w:r>
          </w:p>
        </w:tc>
      </w:tr>
    </w:tbl>
    <w:p w14:paraId="2FB4AD70" w14:textId="77777777" w:rsidR="008B60DB" w:rsidRPr="00F563BF" w:rsidRDefault="008B60DB" w:rsidP="008B60DB">
      <w:pPr>
        <w:rPr>
          <w:rFonts w:ascii="Calibri" w:hAnsi="Calibri" w:cs="Calibri"/>
        </w:rPr>
      </w:pPr>
    </w:p>
    <w:p w14:paraId="08089CB6" w14:textId="77777777" w:rsidR="008B60DB" w:rsidRPr="00F563BF" w:rsidRDefault="008B60DB" w:rsidP="008B60DB">
      <w:pPr>
        <w:rPr>
          <w:rFonts w:ascii="Calibri" w:hAnsi="Calibri" w:cs="Calibri"/>
          <w:b/>
          <w:bCs/>
        </w:rPr>
      </w:pPr>
      <w:r w:rsidRPr="00F563BF">
        <w:rPr>
          <w:rFonts w:ascii="Calibri" w:hAnsi="Calibri" w:cs="Calibri"/>
          <w:b/>
          <w:bCs/>
        </w:rPr>
        <w:t xml:space="preserve">Self-care </w:t>
      </w:r>
      <w:r w:rsidRPr="00F563BF">
        <w:rPr>
          <w:rFonts w:ascii="Calibri" w:hAnsi="Calibri" w:cs="Calibri"/>
          <w:b/>
          <w:bCs/>
        </w:rPr>
        <w:tab/>
      </w:r>
    </w:p>
    <w:p w14:paraId="4D70B986" w14:textId="77777777" w:rsidR="008B60DB" w:rsidRPr="00F563BF" w:rsidRDefault="008B60DB" w:rsidP="008B60DB">
      <w:pPr>
        <w:rPr>
          <w:rFonts w:ascii="Calibri" w:hAnsi="Calibri" w:cs="Calibri"/>
        </w:rPr>
      </w:pPr>
    </w:p>
    <w:p w14:paraId="788A277D" w14:textId="77777777" w:rsidR="008B60DB" w:rsidRPr="00F563BF" w:rsidRDefault="008B60DB" w:rsidP="008B60DB">
      <w:pPr>
        <w:rPr>
          <w:rFonts w:ascii="Calibri" w:hAnsi="Calibri" w:cs="Calibri"/>
          <w:i/>
          <w:iCs/>
        </w:rPr>
      </w:pPr>
      <w:r w:rsidRPr="00F563BF">
        <w:rPr>
          <w:rFonts w:ascii="Calibri" w:hAnsi="Calibri" w:cs="Calibri"/>
          <w:i/>
          <w:iCs/>
        </w:rPr>
        <w:t>oprobit eq2staff_ i.eq2SR_ age_ i.sex_, vce(cluster PatNo)</w:t>
      </w:r>
    </w:p>
    <w:p w14:paraId="6719D022" w14:textId="77777777" w:rsidR="008B60DB" w:rsidRPr="00F563BF" w:rsidRDefault="008B60DB" w:rsidP="008B60DB">
      <w:pPr>
        <w:rPr>
          <w:rFonts w:ascii="Calibri" w:hAnsi="Calibri" w:cs="Calibri"/>
        </w:rPr>
      </w:pPr>
    </w:p>
    <w:tbl>
      <w:tblPr>
        <w:tblStyle w:val="TableGrid"/>
        <w:tblW w:w="0" w:type="auto"/>
        <w:tblLook w:val="04A0" w:firstRow="1" w:lastRow="0" w:firstColumn="1" w:lastColumn="0" w:noHBand="0" w:noVBand="1"/>
      </w:tblPr>
      <w:tblGrid>
        <w:gridCol w:w="3005"/>
        <w:gridCol w:w="3005"/>
        <w:gridCol w:w="3006"/>
      </w:tblGrid>
      <w:tr w:rsidR="008B60DB" w:rsidRPr="00F563BF" w14:paraId="20322FCB" w14:textId="77777777" w:rsidTr="007C7D69">
        <w:tc>
          <w:tcPr>
            <w:tcW w:w="3005" w:type="dxa"/>
          </w:tcPr>
          <w:p w14:paraId="64528D94" w14:textId="77777777" w:rsidR="008B60DB" w:rsidRPr="00F563BF" w:rsidRDefault="008B60DB" w:rsidP="007C7D69">
            <w:pPr>
              <w:rPr>
                <w:rFonts w:ascii="Calibri" w:hAnsi="Calibri" w:cs="Calibri"/>
              </w:rPr>
            </w:pPr>
            <w:r w:rsidRPr="00F563BF">
              <w:rPr>
                <w:rFonts w:ascii="Calibri" w:hAnsi="Calibri" w:cs="Calibri"/>
              </w:rPr>
              <w:t>Mobility response level</w:t>
            </w:r>
          </w:p>
        </w:tc>
        <w:tc>
          <w:tcPr>
            <w:tcW w:w="3005" w:type="dxa"/>
          </w:tcPr>
          <w:p w14:paraId="4E0E4FD1" w14:textId="77777777" w:rsidR="008B60DB" w:rsidRPr="00F563BF" w:rsidRDefault="008B60DB" w:rsidP="007C7D69">
            <w:pPr>
              <w:rPr>
                <w:rFonts w:ascii="Calibri" w:hAnsi="Calibri" w:cs="Calibri"/>
              </w:rPr>
            </w:pPr>
            <w:r w:rsidRPr="00F563BF">
              <w:rPr>
                <w:rFonts w:ascii="Calibri" w:hAnsi="Calibri" w:cs="Calibri"/>
              </w:rPr>
              <w:t>Observed frequency (%)</w:t>
            </w:r>
          </w:p>
          <w:p w14:paraId="1618D1BB" w14:textId="77777777" w:rsidR="008B60DB" w:rsidRPr="00F563BF" w:rsidRDefault="008B60DB" w:rsidP="007C7D69">
            <w:pPr>
              <w:rPr>
                <w:rFonts w:ascii="Calibri" w:hAnsi="Calibri" w:cs="Calibri"/>
              </w:rPr>
            </w:pPr>
            <w:r w:rsidRPr="00F563BF">
              <w:rPr>
                <w:rFonts w:ascii="Calibri" w:hAnsi="Calibri" w:cs="Calibri"/>
              </w:rPr>
              <w:t>n=1700</w:t>
            </w:r>
          </w:p>
        </w:tc>
        <w:tc>
          <w:tcPr>
            <w:tcW w:w="3006" w:type="dxa"/>
          </w:tcPr>
          <w:p w14:paraId="5132AD60" w14:textId="77777777" w:rsidR="008B60DB" w:rsidRPr="00F563BF" w:rsidRDefault="008B60DB" w:rsidP="007C7D69">
            <w:pPr>
              <w:rPr>
                <w:rFonts w:ascii="Calibri" w:hAnsi="Calibri" w:cs="Calibri"/>
              </w:rPr>
            </w:pPr>
            <w:r w:rsidRPr="00F563BF">
              <w:rPr>
                <w:rFonts w:ascii="Calibri" w:hAnsi="Calibri" w:cs="Calibri"/>
              </w:rPr>
              <w:t>Predicted frequency (%)</w:t>
            </w:r>
          </w:p>
        </w:tc>
      </w:tr>
      <w:tr w:rsidR="008B60DB" w:rsidRPr="00F563BF" w14:paraId="4CF96E83" w14:textId="77777777" w:rsidTr="007C7D69">
        <w:tc>
          <w:tcPr>
            <w:tcW w:w="3005" w:type="dxa"/>
          </w:tcPr>
          <w:p w14:paraId="40603226" w14:textId="77777777" w:rsidR="008B60DB" w:rsidRPr="00F563BF" w:rsidRDefault="008B60DB" w:rsidP="007C7D69">
            <w:pPr>
              <w:rPr>
                <w:rFonts w:ascii="Calibri" w:hAnsi="Calibri" w:cs="Calibri"/>
              </w:rPr>
            </w:pPr>
            <w:r w:rsidRPr="00F563BF">
              <w:rPr>
                <w:rFonts w:ascii="Calibri" w:hAnsi="Calibri" w:cs="Calibri"/>
              </w:rPr>
              <w:t>1</w:t>
            </w:r>
          </w:p>
        </w:tc>
        <w:tc>
          <w:tcPr>
            <w:tcW w:w="3005" w:type="dxa"/>
          </w:tcPr>
          <w:p w14:paraId="4570A682" w14:textId="77777777" w:rsidR="008B60DB" w:rsidRPr="00F563BF" w:rsidRDefault="008B60DB" w:rsidP="007C7D69">
            <w:pPr>
              <w:rPr>
                <w:rFonts w:ascii="Calibri" w:hAnsi="Calibri" w:cs="Calibri"/>
              </w:rPr>
            </w:pPr>
            <w:r w:rsidRPr="00F563BF">
              <w:rPr>
                <w:rFonts w:ascii="Calibri" w:hAnsi="Calibri" w:cs="Calibri"/>
              </w:rPr>
              <w:t>13.41</w:t>
            </w:r>
          </w:p>
        </w:tc>
        <w:tc>
          <w:tcPr>
            <w:tcW w:w="3006" w:type="dxa"/>
          </w:tcPr>
          <w:p w14:paraId="0DB0A6BE" w14:textId="77777777" w:rsidR="008B60DB" w:rsidRPr="00F563BF" w:rsidRDefault="008B60DB" w:rsidP="007C7D69">
            <w:pPr>
              <w:rPr>
                <w:rFonts w:ascii="Calibri" w:hAnsi="Calibri" w:cs="Calibri"/>
              </w:rPr>
            </w:pPr>
            <w:r w:rsidRPr="00F563BF">
              <w:rPr>
                <w:rFonts w:ascii="Calibri" w:hAnsi="Calibri" w:cs="Calibri"/>
              </w:rPr>
              <w:t>20.13</w:t>
            </w:r>
          </w:p>
        </w:tc>
      </w:tr>
      <w:tr w:rsidR="008B60DB" w:rsidRPr="00F563BF" w14:paraId="43C43629" w14:textId="77777777" w:rsidTr="007C7D69">
        <w:tc>
          <w:tcPr>
            <w:tcW w:w="3005" w:type="dxa"/>
          </w:tcPr>
          <w:p w14:paraId="181166DE" w14:textId="77777777" w:rsidR="008B60DB" w:rsidRPr="00F563BF" w:rsidRDefault="008B60DB" w:rsidP="007C7D69">
            <w:pPr>
              <w:rPr>
                <w:rFonts w:ascii="Calibri" w:hAnsi="Calibri" w:cs="Calibri"/>
              </w:rPr>
            </w:pPr>
            <w:r w:rsidRPr="00F563BF">
              <w:rPr>
                <w:rFonts w:ascii="Calibri" w:hAnsi="Calibri" w:cs="Calibri"/>
              </w:rPr>
              <w:t>2</w:t>
            </w:r>
          </w:p>
        </w:tc>
        <w:tc>
          <w:tcPr>
            <w:tcW w:w="3005" w:type="dxa"/>
          </w:tcPr>
          <w:p w14:paraId="6EA40CDD" w14:textId="77777777" w:rsidR="008B60DB" w:rsidRPr="00F563BF" w:rsidRDefault="008B60DB" w:rsidP="007C7D69">
            <w:pPr>
              <w:rPr>
                <w:rFonts w:ascii="Calibri" w:hAnsi="Calibri" w:cs="Calibri"/>
              </w:rPr>
            </w:pPr>
            <w:r w:rsidRPr="00F563BF">
              <w:rPr>
                <w:rFonts w:ascii="Calibri" w:hAnsi="Calibri" w:cs="Calibri"/>
              </w:rPr>
              <w:t>12.59</w:t>
            </w:r>
          </w:p>
        </w:tc>
        <w:tc>
          <w:tcPr>
            <w:tcW w:w="3006" w:type="dxa"/>
          </w:tcPr>
          <w:p w14:paraId="268E7FA9" w14:textId="77777777" w:rsidR="008B60DB" w:rsidRPr="00F563BF" w:rsidRDefault="008B60DB" w:rsidP="007C7D69">
            <w:pPr>
              <w:rPr>
                <w:rFonts w:ascii="Calibri" w:hAnsi="Calibri" w:cs="Calibri"/>
              </w:rPr>
            </w:pPr>
            <w:r w:rsidRPr="00F563BF">
              <w:rPr>
                <w:rFonts w:ascii="Calibri" w:hAnsi="Calibri" w:cs="Calibri"/>
              </w:rPr>
              <w:t>19.58</w:t>
            </w:r>
          </w:p>
        </w:tc>
      </w:tr>
      <w:tr w:rsidR="008B60DB" w:rsidRPr="00F563BF" w14:paraId="32BD2F46" w14:textId="77777777" w:rsidTr="007C7D69">
        <w:tc>
          <w:tcPr>
            <w:tcW w:w="3005" w:type="dxa"/>
          </w:tcPr>
          <w:p w14:paraId="595E8C79" w14:textId="77777777" w:rsidR="008B60DB" w:rsidRPr="00F563BF" w:rsidRDefault="008B60DB" w:rsidP="007C7D69">
            <w:pPr>
              <w:rPr>
                <w:rFonts w:ascii="Calibri" w:hAnsi="Calibri" w:cs="Calibri"/>
              </w:rPr>
            </w:pPr>
            <w:r w:rsidRPr="00F563BF">
              <w:rPr>
                <w:rFonts w:ascii="Calibri" w:hAnsi="Calibri" w:cs="Calibri"/>
              </w:rPr>
              <w:t>3</w:t>
            </w:r>
          </w:p>
        </w:tc>
        <w:tc>
          <w:tcPr>
            <w:tcW w:w="3005" w:type="dxa"/>
          </w:tcPr>
          <w:p w14:paraId="1B3FE609" w14:textId="77777777" w:rsidR="008B60DB" w:rsidRPr="00F563BF" w:rsidRDefault="008B60DB" w:rsidP="007C7D69">
            <w:pPr>
              <w:rPr>
                <w:rFonts w:ascii="Calibri" w:hAnsi="Calibri" w:cs="Calibri"/>
              </w:rPr>
            </w:pPr>
            <w:r w:rsidRPr="00F563BF">
              <w:rPr>
                <w:rFonts w:ascii="Calibri" w:hAnsi="Calibri" w:cs="Calibri"/>
              </w:rPr>
              <w:t>12.88</w:t>
            </w:r>
          </w:p>
        </w:tc>
        <w:tc>
          <w:tcPr>
            <w:tcW w:w="3006" w:type="dxa"/>
          </w:tcPr>
          <w:p w14:paraId="7D68A635" w14:textId="77777777" w:rsidR="008B60DB" w:rsidRPr="00F563BF" w:rsidRDefault="008B60DB" w:rsidP="007C7D69">
            <w:pPr>
              <w:rPr>
                <w:rFonts w:ascii="Calibri" w:hAnsi="Calibri" w:cs="Calibri"/>
              </w:rPr>
            </w:pPr>
            <w:r w:rsidRPr="00F563BF">
              <w:rPr>
                <w:rFonts w:ascii="Calibri" w:hAnsi="Calibri" w:cs="Calibri"/>
              </w:rPr>
              <w:t>17.02</w:t>
            </w:r>
          </w:p>
        </w:tc>
      </w:tr>
      <w:tr w:rsidR="008B60DB" w:rsidRPr="00F563BF" w14:paraId="3E13C8CB" w14:textId="77777777" w:rsidTr="007C7D69">
        <w:tc>
          <w:tcPr>
            <w:tcW w:w="3005" w:type="dxa"/>
          </w:tcPr>
          <w:p w14:paraId="1ECB5930" w14:textId="77777777" w:rsidR="008B60DB" w:rsidRPr="00F563BF" w:rsidRDefault="008B60DB" w:rsidP="007C7D69">
            <w:pPr>
              <w:rPr>
                <w:rFonts w:ascii="Calibri" w:hAnsi="Calibri" w:cs="Calibri"/>
              </w:rPr>
            </w:pPr>
            <w:r w:rsidRPr="00F563BF">
              <w:rPr>
                <w:rFonts w:ascii="Calibri" w:hAnsi="Calibri" w:cs="Calibri"/>
              </w:rPr>
              <w:t>4</w:t>
            </w:r>
          </w:p>
        </w:tc>
        <w:tc>
          <w:tcPr>
            <w:tcW w:w="3005" w:type="dxa"/>
          </w:tcPr>
          <w:p w14:paraId="7A294839" w14:textId="77777777" w:rsidR="008B60DB" w:rsidRPr="00F563BF" w:rsidRDefault="008B60DB" w:rsidP="007C7D69">
            <w:pPr>
              <w:rPr>
                <w:rFonts w:ascii="Calibri" w:hAnsi="Calibri" w:cs="Calibri"/>
              </w:rPr>
            </w:pPr>
            <w:r w:rsidRPr="00F563BF">
              <w:rPr>
                <w:rFonts w:ascii="Calibri" w:hAnsi="Calibri" w:cs="Calibri"/>
              </w:rPr>
              <w:t>7.94</w:t>
            </w:r>
          </w:p>
        </w:tc>
        <w:tc>
          <w:tcPr>
            <w:tcW w:w="3006" w:type="dxa"/>
          </w:tcPr>
          <w:p w14:paraId="1CC49EFB" w14:textId="77777777" w:rsidR="008B60DB" w:rsidRPr="00F563BF" w:rsidRDefault="008B60DB" w:rsidP="007C7D69">
            <w:pPr>
              <w:rPr>
                <w:rFonts w:ascii="Calibri" w:hAnsi="Calibri" w:cs="Calibri"/>
              </w:rPr>
            </w:pPr>
            <w:r w:rsidRPr="00F563BF">
              <w:rPr>
                <w:rFonts w:ascii="Calibri" w:hAnsi="Calibri" w:cs="Calibri"/>
              </w:rPr>
              <w:t>9.66</w:t>
            </w:r>
          </w:p>
        </w:tc>
      </w:tr>
      <w:tr w:rsidR="008B60DB" w:rsidRPr="00F563BF" w14:paraId="0296051F" w14:textId="77777777" w:rsidTr="007C7D69">
        <w:tc>
          <w:tcPr>
            <w:tcW w:w="3005" w:type="dxa"/>
          </w:tcPr>
          <w:p w14:paraId="180AE3C6" w14:textId="77777777" w:rsidR="008B60DB" w:rsidRPr="00F563BF" w:rsidRDefault="008B60DB" w:rsidP="007C7D69">
            <w:pPr>
              <w:rPr>
                <w:rFonts w:ascii="Calibri" w:hAnsi="Calibri" w:cs="Calibri"/>
              </w:rPr>
            </w:pPr>
            <w:r w:rsidRPr="00F563BF">
              <w:rPr>
                <w:rFonts w:ascii="Calibri" w:hAnsi="Calibri" w:cs="Calibri"/>
              </w:rPr>
              <w:t>5</w:t>
            </w:r>
          </w:p>
        </w:tc>
        <w:tc>
          <w:tcPr>
            <w:tcW w:w="3005" w:type="dxa"/>
          </w:tcPr>
          <w:p w14:paraId="74D0D61A" w14:textId="77777777" w:rsidR="008B60DB" w:rsidRPr="00F563BF" w:rsidRDefault="008B60DB" w:rsidP="007C7D69">
            <w:pPr>
              <w:rPr>
                <w:rFonts w:ascii="Calibri" w:hAnsi="Calibri" w:cs="Calibri"/>
              </w:rPr>
            </w:pPr>
            <w:r w:rsidRPr="00F563BF">
              <w:rPr>
                <w:rFonts w:ascii="Calibri" w:hAnsi="Calibri" w:cs="Calibri"/>
              </w:rPr>
              <w:t>53.18</w:t>
            </w:r>
          </w:p>
        </w:tc>
        <w:tc>
          <w:tcPr>
            <w:tcW w:w="3006" w:type="dxa"/>
          </w:tcPr>
          <w:p w14:paraId="0AB2A5F9" w14:textId="77777777" w:rsidR="008B60DB" w:rsidRPr="00F563BF" w:rsidRDefault="008B60DB" w:rsidP="007C7D69">
            <w:pPr>
              <w:rPr>
                <w:rFonts w:ascii="Calibri" w:hAnsi="Calibri" w:cs="Calibri"/>
              </w:rPr>
            </w:pPr>
            <w:r w:rsidRPr="00F563BF">
              <w:rPr>
                <w:rFonts w:ascii="Calibri" w:hAnsi="Calibri" w:cs="Calibri"/>
              </w:rPr>
              <w:t>33.61</w:t>
            </w:r>
          </w:p>
        </w:tc>
      </w:tr>
    </w:tbl>
    <w:p w14:paraId="7D3D04DD" w14:textId="77777777" w:rsidR="008B60DB" w:rsidRPr="00F563BF" w:rsidRDefault="008B60DB" w:rsidP="008B60DB">
      <w:pPr>
        <w:rPr>
          <w:rFonts w:ascii="Calibri" w:hAnsi="Calibri" w:cs="Calibri"/>
        </w:rPr>
      </w:pPr>
    </w:p>
    <w:p w14:paraId="0820A7EA" w14:textId="77777777" w:rsidR="008B60DB" w:rsidRPr="00F563BF" w:rsidRDefault="008B60DB" w:rsidP="008B60DB">
      <w:pPr>
        <w:rPr>
          <w:rFonts w:ascii="Calibri" w:hAnsi="Calibri" w:cs="Calibri"/>
          <w:b/>
          <w:bCs/>
        </w:rPr>
      </w:pPr>
      <w:r w:rsidRPr="00F563BF">
        <w:rPr>
          <w:rFonts w:ascii="Calibri" w:hAnsi="Calibri" w:cs="Calibri"/>
          <w:b/>
          <w:bCs/>
        </w:rPr>
        <w:t xml:space="preserve">Usual activities </w:t>
      </w:r>
    </w:p>
    <w:p w14:paraId="67D67F11" w14:textId="77777777" w:rsidR="008B60DB" w:rsidRPr="00F563BF" w:rsidRDefault="008B60DB" w:rsidP="008B60DB">
      <w:pPr>
        <w:rPr>
          <w:rFonts w:ascii="Calibri" w:hAnsi="Calibri" w:cs="Calibri"/>
        </w:rPr>
      </w:pPr>
    </w:p>
    <w:p w14:paraId="2AD59ED2" w14:textId="77777777" w:rsidR="008B60DB" w:rsidRPr="00F563BF" w:rsidRDefault="008B60DB" w:rsidP="008B60DB">
      <w:pPr>
        <w:rPr>
          <w:rFonts w:ascii="Calibri" w:hAnsi="Calibri" w:cs="Calibri"/>
          <w:i/>
          <w:iCs/>
        </w:rPr>
      </w:pPr>
      <w:r w:rsidRPr="00F563BF">
        <w:rPr>
          <w:rFonts w:ascii="Calibri" w:hAnsi="Calibri" w:cs="Calibri"/>
          <w:i/>
          <w:iCs/>
        </w:rPr>
        <w:t>oprobit eq3staff_ i.eq3SR_ age_ i.sex_, vce(cluster PatNo)</w:t>
      </w:r>
    </w:p>
    <w:p w14:paraId="603AAA7D" w14:textId="77777777" w:rsidR="008B60DB" w:rsidRPr="00F563BF" w:rsidRDefault="008B60DB" w:rsidP="008B60DB">
      <w:pPr>
        <w:rPr>
          <w:rFonts w:ascii="Calibri" w:hAnsi="Calibri" w:cs="Calibri"/>
        </w:rPr>
      </w:pPr>
    </w:p>
    <w:tbl>
      <w:tblPr>
        <w:tblStyle w:val="TableGrid"/>
        <w:tblW w:w="0" w:type="auto"/>
        <w:tblLook w:val="04A0" w:firstRow="1" w:lastRow="0" w:firstColumn="1" w:lastColumn="0" w:noHBand="0" w:noVBand="1"/>
      </w:tblPr>
      <w:tblGrid>
        <w:gridCol w:w="2972"/>
        <w:gridCol w:w="1701"/>
        <w:gridCol w:w="2089"/>
      </w:tblGrid>
      <w:tr w:rsidR="008B60DB" w:rsidRPr="00F563BF" w14:paraId="21AB1696" w14:textId="77777777" w:rsidTr="007C7D69">
        <w:tc>
          <w:tcPr>
            <w:tcW w:w="2972" w:type="dxa"/>
          </w:tcPr>
          <w:p w14:paraId="45AB7333" w14:textId="77777777" w:rsidR="008B60DB" w:rsidRPr="00F563BF" w:rsidRDefault="008B60DB" w:rsidP="007C7D69">
            <w:pPr>
              <w:rPr>
                <w:rFonts w:ascii="Calibri" w:hAnsi="Calibri" w:cs="Calibri"/>
              </w:rPr>
            </w:pPr>
            <w:r w:rsidRPr="00F563BF">
              <w:rPr>
                <w:rFonts w:ascii="Calibri" w:hAnsi="Calibri" w:cs="Calibri"/>
              </w:rPr>
              <w:t>Response options</w:t>
            </w:r>
          </w:p>
        </w:tc>
        <w:tc>
          <w:tcPr>
            <w:tcW w:w="1701" w:type="dxa"/>
          </w:tcPr>
          <w:p w14:paraId="5D6F33AF" w14:textId="77777777" w:rsidR="008B60DB" w:rsidRPr="00F563BF" w:rsidRDefault="008B60DB" w:rsidP="007C7D69">
            <w:pPr>
              <w:rPr>
                <w:rFonts w:ascii="Calibri" w:hAnsi="Calibri" w:cs="Calibri"/>
              </w:rPr>
            </w:pPr>
            <w:r w:rsidRPr="00F563BF">
              <w:rPr>
                <w:rFonts w:ascii="Calibri" w:hAnsi="Calibri" w:cs="Calibri"/>
              </w:rPr>
              <w:t>Observed frequency (%)</w:t>
            </w:r>
          </w:p>
          <w:p w14:paraId="0E1E9758" w14:textId="77777777" w:rsidR="008B60DB" w:rsidRPr="00F563BF" w:rsidRDefault="008B60DB" w:rsidP="007C7D69">
            <w:pPr>
              <w:rPr>
                <w:rFonts w:ascii="Calibri" w:hAnsi="Calibri" w:cs="Calibri"/>
                <w:i/>
                <w:iCs/>
              </w:rPr>
            </w:pPr>
            <w:r w:rsidRPr="00F563BF">
              <w:rPr>
                <w:rFonts w:ascii="Calibri" w:hAnsi="Calibri" w:cs="Calibri"/>
                <w:i/>
                <w:iCs/>
              </w:rPr>
              <w:t>n=1701</w:t>
            </w:r>
          </w:p>
        </w:tc>
        <w:tc>
          <w:tcPr>
            <w:tcW w:w="2089" w:type="dxa"/>
          </w:tcPr>
          <w:p w14:paraId="46A0CB7B" w14:textId="77777777" w:rsidR="008B60DB" w:rsidRPr="00F563BF" w:rsidRDefault="008B60DB" w:rsidP="007C7D69">
            <w:pPr>
              <w:rPr>
                <w:rFonts w:ascii="Calibri" w:hAnsi="Calibri" w:cs="Calibri"/>
              </w:rPr>
            </w:pPr>
            <w:r w:rsidRPr="00F563BF">
              <w:rPr>
                <w:rFonts w:ascii="Calibri" w:hAnsi="Calibri" w:cs="Calibri"/>
              </w:rPr>
              <w:t>Predicted frequency (%)</w:t>
            </w:r>
          </w:p>
        </w:tc>
      </w:tr>
      <w:tr w:rsidR="008B60DB" w:rsidRPr="00F563BF" w14:paraId="65057643" w14:textId="77777777" w:rsidTr="007C7D69">
        <w:tc>
          <w:tcPr>
            <w:tcW w:w="2972" w:type="dxa"/>
          </w:tcPr>
          <w:p w14:paraId="3B8E375C" w14:textId="77777777" w:rsidR="008B60DB" w:rsidRPr="00F563BF" w:rsidRDefault="008B60DB" w:rsidP="007C7D69">
            <w:pPr>
              <w:rPr>
                <w:rFonts w:ascii="Calibri" w:hAnsi="Calibri" w:cs="Calibri"/>
              </w:rPr>
            </w:pPr>
            <w:r w:rsidRPr="00F563BF">
              <w:rPr>
                <w:rFonts w:ascii="Calibri" w:hAnsi="Calibri" w:cs="Calibri"/>
              </w:rPr>
              <w:t>No problems</w:t>
            </w:r>
          </w:p>
        </w:tc>
        <w:tc>
          <w:tcPr>
            <w:tcW w:w="1701" w:type="dxa"/>
          </w:tcPr>
          <w:p w14:paraId="59EE871B" w14:textId="77777777" w:rsidR="008B60DB" w:rsidRPr="00F563BF" w:rsidRDefault="008B60DB" w:rsidP="007C7D69">
            <w:pPr>
              <w:rPr>
                <w:rFonts w:ascii="Calibri" w:hAnsi="Calibri" w:cs="Calibri"/>
              </w:rPr>
            </w:pPr>
            <w:r w:rsidRPr="00F563BF">
              <w:rPr>
                <w:rFonts w:ascii="Calibri" w:hAnsi="Calibri" w:cs="Calibri"/>
              </w:rPr>
              <w:t>62.21</w:t>
            </w:r>
          </w:p>
        </w:tc>
        <w:tc>
          <w:tcPr>
            <w:tcW w:w="2089" w:type="dxa"/>
          </w:tcPr>
          <w:p w14:paraId="2EC209FA" w14:textId="77777777" w:rsidR="008B60DB" w:rsidRPr="00F563BF" w:rsidRDefault="008B60DB" w:rsidP="007C7D69">
            <w:pPr>
              <w:rPr>
                <w:rFonts w:ascii="Calibri" w:hAnsi="Calibri" w:cs="Calibri"/>
              </w:rPr>
            </w:pPr>
            <w:r w:rsidRPr="00F563BF">
              <w:rPr>
                <w:rFonts w:ascii="Calibri" w:hAnsi="Calibri" w:cs="Calibri"/>
              </w:rPr>
              <w:t>71.06</w:t>
            </w:r>
          </w:p>
        </w:tc>
      </w:tr>
      <w:tr w:rsidR="008B60DB" w:rsidRPr="00F563BF" w14:paraId="6179FD0F" w14:textId="77777777" w:rsidTr="007C7D69">
        <w:tc>
          <w:tcPr>
            <w:tcW w:w="2972" w:type="dxa"/>
          </w:tcPr>
          <w:p w14:paraId="1D96DC42" w14:textId="77777777" w:rsidR="008B60DB" w:rsidRPr="00F563BF" w:rsidRDefault="008B60DB" w:rsidP="007C7D69">
            <w:pPr>
              <w:rPr>
                <w:rFonts w:ascii="Calibri" w:hAnsi="Calibri" w:cs="Calibri"/>
              </w:rPr>
            </w:pPr>
            <w:r w:rsidRPr="00F563BF">
              <w:rPr>
                <w:rFonts w:ascii="Calibri" w:hAnsi="Calibri" w:cs="Calibri"/>
              </w:rPr>
              <w:t>Slight problems</w:t>
            </w:r>
          </w:p>
        </w:tc>
        <w:tc>
          <w:tcPr>
            <w:tcW w:w="1701" w:type="dxa"/>
          </w:tcPr>
          <w:p w14:paraId="3F8C8361" w14:textId="77777777" w:rsidR="008B60DB" w:rsidRPr="00F563BF" w:rsidRDefault="008B60DB" w:rsidP="007C7D69">
            <w:pPr>
              <w:rPr>
                <w:rFonts w:ascii="Calibri" w:hAnsi="Calibri" w:cs="Calibri"/>
              </w:rPr>
            </w:pPr>
            <w:r w:rsidRPr="00F563BF">
              <w:rPr>
                <w:rFonts w:ascii="Calibri" w:hAnsi="Calibri" w:cs="Calibri"/>
              </w:rPr>
              <w:t>7.88</w:t>
            </w:r>
          </w:p>
        </w:tc>
        <w:tc>
          <w:tcPr>
            <w:tcW w:w="2089" w:type="dxa"/>
          </w:tcPr>
          <w:p w14:paraId="0C98EAF2" w14:textId="77777777" w:rsidR="008B60DB" w:rsidRPr="00F563BF" w:rsidRDefault="008B60DB" w:rsidP="007C7D69">
            <w:pPr>
              <w:rPr>
                <w:rFonts w:ascii="Calibri" w:hAnsi="Calibri" w:cs="Calibri"/>
              </w:rPr>
            </w:pPr>
            <w:r w:rsidRPr="00F563BF">
              <w:rPr>
                <w:rFonts w:ascii="Calibri" w:hAnsi="Calibri" w:cs="Calibri"/>
              </w:rPr>
              <w:t>11.13</w:t>
            </w:r>
          </w:p>
        </w:tc>
      </w:tr>
      <w:tr w:rsidR="008B60DB" w:rsidRPr="00F563BF" w14:paraId="4B895E6B" w14:textId="77777777" w:rsidTr="007C7D69">
        <w:tc>
          <w:tcPr>
            <w:tcW w:w="2972" w:type="dxa"/>
          </w:tcPr>
          <w:p w14:paraId="1FEE1CAA" w14:textId="77777777" w:rsidR="008B60DB" w:rsidRPr="00F563BF" w:rsidRDefault="008B60DB" w:rsidP="007C7D69">
            <w:pPr>
              <w:rPr>
                <w:rFonts w:ascii="Calibri" w:hAnsi="Calibri" w:cs="Calibri"/>
              </w:rPr>
            </w:pPr>
            <w:r w:rsidRPr="00F563BF">
              <w:rPr>
                <w:rFonts w:ascii="Calibri" w:hAnsi="Calibri" w:cs="Calibri"/>
              </w:rPr>
              <w:t>Moderate problems</w:t>
            </w:r>
          </w:p>
        </w:tc>
        <w:tc>
          <w:tcPr>
            <w:tcW w:w="1701" w:type="dxa"/>
          </w:tcPr>
          <w:p w14:paraId="0CCE7509" w14:textId="77777777" w:rsidR="008B60DB" w:rsidRPr="00F563BF" w:rsidRDefault="008B60DB" w:rsidP="007C7D69">
            <w:pPr>
              <w:rPr>
                <w:rFonts w:ascii="Calibri" w:hAnsi="Calibri" w:cs="Calibri"/>
              </w:rPr>
            </w:pPr>
            <w:r w:rsidRPr="00F563BF">
              <w:rPr>
                <w:rFonts w:ascii="Calibri" w:hAnsi="Calibri" w:cs="Calibri"/>
              </w:rPr>
              <w:t>9.64</w:t>
            </w:r>
          </w:p>
        </w:tc>
        <w:tc>
          <w:tcPr>
            <w:tcW w:w="2089" w:type="dxa"/>
          </w:tcPr>
          <w:p w14:paraId="676C947D" w14:textId="77777777" w:rsidR="008B60DB" w:rsidRPr="00F563BF" w:rsidRDefault="008B60DB" w:rsidP="007C7D69">
            <w:pPr>
              <w:rPr>
                <w:rFonts w:ascii="Calibri" w:hAnsi="Calibri" w:cs="Calibri"/>
              </w:rPr>
            </w:pPr>
            <w:r w:rsidRPr="00F563BF">
              <w:rPr>
                <w:rFonts w:ascii="Calibri" w:hAnsi="Calibri" w:cs="Calibri"/>
              </w:rPr>
              <w:t>8.35</w:t>
            </w:r>
          </w:p>
        </w:tc>
      </w:tr>
      <w:tr w:rsidR="008B60DB" w:rsidRPr="00F563BF" w14:paraId="1FBEB827" w14:textId="77777777" w:rsidTr="007C7D69">
        <w:tc>
          <w:tcPr>
            <w:tcW w:w="2972" w:type="dxa"/>
          </w:tcPr>
          <w:p w14:paraId="6FF814FF" w14:textId="77777777" w:rsidR="008B60DB" w:rsidRPr="00F563BF" w:rsidRDefault="008B60DB" w:rsidP="007C7D69">
            <w:pPr>
              <w:rPr>
                <w:rFonts w:ascii="Calibri" w:hAnsi="Calibri" w:cs="Calibri"/>
              </w:rPr>
            </w:pPr>
            <w:r w:rsidRPr="00F563BF">
              <w:rPr>
                <w:rFonts w:ascii="Calibri" w:hAnsi="Calibri" w:cs="Calibri"/>
              </w:rPr>
              <w:t>Severe problems</w:t>
            </w:r>
          </w:p>
        </w:tc>
        <w:tc>
          <w:tcPr>
            <w:tcW w:w="1701" w:type="dxa"/>
          </w:tcPr>
          <w:p w14:paraId="1B4A6A95" w14:textId="77777777" w:rsidR="008B60DB" w:rsidRPr="00F563BF" w:rsidRDefault="008B60DB" w:rsidP="007C7D69">
            <w:pPr>
              <w:rPr>
                <w:rFonts w:ascii="Calibri" w:hAnsi="Calibri" w:cs="Calibri"/>
              </w:rPr>
            </w:pPr>
            <w:r w:rsidRPr="00F563BF">
              <w:rPr>
                <w:rFonts w:ascii="Calibri" w:hAnsi="Calibri" w:cs="Calibri"/>
              </w:rPr>
              <w:t>4.47</w:t>
            </w:r>
          </w:p>
        </w:tc>
        <w:tc>
          <w:tcPr>
            <w:tcW w:w="2089" w:type="dxa"/>
          </w:tcPr>
          <w:p w14:paraId="10E797FE" w14:textId="77777777" w:rsidR="008B60DB" w:rsidRPr="00F563BF" w:rsidRDefault="008B60DB" w:rsidP="007C7D69">
            <w:pPr>
              <w:rPr>
                <w:rFonts w:ascii="Calibri" w:hAnsi="Calibri" w:cs="Calibri"/>
              </w:rPr>
            </w:pPr>
            <w:r w:rsidRPr="00F563BF">
              <w:rPr>
                <w:rFonts w:ascii="Calibri" w:hAnsi="Calibri" w:cs="Calibri"/>
              </w:rPr>
              <w:t>3.07</w:t>
            </w:r>
          </w:p>
        </w:tc>
      </w:tr>
      <w:tr w:rsidR="008B60DB" w:rsidRPr="00F563BF" w14:paraId="3BD05B8A" w14:textId="77777777" w:rsidTr="007C7D69">
        <w:tc>
          <w:tcPr>
            <w:tcW w:w="2972" w:type="dxa"/>
          </w:tcPr>
          <w:p w14:paraId="72AB7194" w14:textId="77777777" w:rsidR="008B60DB" w:rsidRPr="00F563BF" w:rsidRDefault="008B60DB" w:rsidP="007C7D69">
            <w:pPr>
              <w:rPr>
                <w:rFonts w:ascii="Calibri" w:hAnsi="Calibri" w:cs="Calibri"/>
              </w:rPr>
            </w:pPr>
            <w:r w:rsidRPr="00F563BF">
              <w:rPr>
                <w:rFonts w:ascii="Calibri" w:hAnsi="Calibri" w:cs="Calibri"/>
              </w:rPr>
              <w:t xml:space="preserve">Unable to do usual activities </w:t>
            </w:r>
          </w:p>
        </w:tc>
        <w:tc>
          <w:tcPr>
            <w:tcW w:w="1701" w:type="dxa"/>
          </w:tcPr>
          <w:p w14:paraId="36312A8F" w14:textId="77777777" w:rsidR="008B60DB" w:rsidRPr="00F563BF" w:rsidRDefault="008B60DB" w:rsidP="007C7D69">
            <w:pPr>
              <w:rPr>
                <w:rFonts w:ascii="Calibri" w:hAnsi="Calibri" w:cs="Calibri"/>
              </w:rPr>
            </w:pPr>
            <w:r w:rsidRPr="00F563BF">
              <w:rPr>
                <w:rFonts w:ascii="Calibri" w:hAnsi="Calibri" w:cs="Calibri"/>
              </w:rPr>
              <w:t>15.40</w:t>
            </w:r>
          </w:p>
        </w:tc>
        <w:tc>
          <w:tcPr>
            <w:tcW w:w="2089" w:type="dxa"/>
          </w:tcPr>
          <w:p w14:paraId="173A8A17" w14:textId="77777777" w:rsidR="008B60DB" w:rsidRPr="00F563BF" w:rsidRDefault="008B60DB" w:rsidP="007C7D69">
            <w:pPr>
              <w:rPr>
                <w:rFonts w:ascii="Calibri" w:hAnsi="Calibri" w:cs="Calibri"/>
              </w:rPr>
            </w:pPr>
            <w:r w:rsidRPr="00F563BF">
              <w:rPr>
                <w:rFonts w:ascii="Calibri" w:hAnsi="Calibri" w:cs="Calibri"/>
              </w:rPr>
              <w:t>6.39</w:t>
            </w:r>
          </w:p>
        </w:tc>
      </w:tr>
    </w:tbl>
    <w:p w14:paraId="026A07FA" w14:textId="77777777" w:rsidR="008B60DB" w:rsidRPr="00F563BF" w:rsidRDefault="008B60DB" w:rsidP="008B60DB">
      <w:pPr>
        <w:rPr>
          <w:rFonts w:ascii="Calibri" w:hAnsi="Calibri" w:cs="Calibri"/>
        </w:rPr>
      </w:pPr>
    </w:p>
    <w:p w14:paraId="6A615964" w14:textId="77777777" w:rsidR="008B60DB" w:rsidRDefault="008B60DB" w:rsidP="008B60DB">
      <w:pPr>
        <w:rPr>
          <w:rFonts w:ascii="Calibri" w:hAnsi="Calibri" w:cs="Calibri"/>
          <w:b/>
          <w:bCs/>
        </w:rPr>
      </w:pPr>
    </w:p>
    <w:p w14:paraId="670E6921" w14:textId="77777777" w:rsidR="008B60DB" w:rsidRDefault="008B60DB" w:rsidP="008B60DB">
      <w:pPr>
        <w:rPr>
          <w:rFonts w:ascii="Calibri" w:hAnsi="Calibri" w:cs="Calibri"/>
          <w:b/>
          <w:bCs/>
        </w:rPr>
      </w:pPr>
    </w:p>
    <w:p w14:paraId="7C86250F" w14:textId="77777777" w:rsidR="008B60DB" w:rsidRDefault="008B60DB" w:rsidP="008B60DB">
      <w:pPr>
        <w:rPr>
          <w:rFonts w:ascii="Calibri" w:hAnsi="Calibri" w:cs="Calibri"/>
          <w:b/>
          <w:bCs/>
        </w:rPr>
      </w:pPr>
    </w:p>
    <w:p w14:paraId="1D04048A" w14:textId="77777777" w:rsidR="008B60DB" w:rsidRDefault="008B60DB" w:rsidP="008B60DB">
      <w:pPr>
        <w:rPr>
          <w:rFonts w:ascii="Calibri" w:hAnsi="Calibri" w:cs="Calibri"/>
          <w:b/>
          <w:bCs/>
        </w:rPr>
      </w:pPr>
    </w:p>
    <w:p w14:paraId="2577F6D6" w14:textId="77777777" w:rsidR="008B60DB" w:rsidRDefault="008B60DB" w:rsidP="008B60DB">
      <w:pPr>
        <w:rPr>
          <w:rFonts w:ascii="Calibri" w:hAnsi="Calibri" w:cs="Calibri"/>
          <w:b/>
          <w:bCs/>
        </w:rPr>
      </w:pPr>
    </w:p>
    <w:p w14:paraId="2A80D22D" w14:textId="77777777" w:rsidR="008B60DB" w:rsidRDefault="008B60DB" w:rsidP="008B60DB">
      <w:pPr>
        <w:rPr>
          <w:rFonts w:ascii="Calibri" w:hAnsi="Calibri" w:cs="Calibri"/>
          <w:b/>
          <w:bCs/>
        </w:rPr>
      </w:pPr>
    </w:p>
    <w:p w14:paraId="7CD537F3" w14:textId="77777777" w:rsidR="008B60DB" w:rsidRDefault="008B60DB" w:rsidP="008B60DB">
      <w:pPr>
        <w:rPr>
          <w:rFonts w:ascii="Calibri" w:hAnsi="Calibri" w:cs="Calibri"/>
          <w:b/>
          <w:bCs/>
        </w:rPr>
      </w:pPr>
    </w:p>
    <w:p w14:paraId="38C0AACF" w14:textId="2B0BC019" w:rsidR="008B60DB" w:rsidRPr="00F563BF" w:rsidRDefault="008B60DB" w:rsidP="008B60DB">
      <w:pPr>
        <w:rPr>
          <w:rFonts w:ascii="Calibri" w:hAnsi="Calibri" w:cs="Calibri"/>
          <w:b/>
          <w:bCs/>
        </w:rPr>
      </w:pPr>
      <w:r w:rsidRPr="00F563BF">
        <w:rPr>
          <w:rFonts w:ascii="Calibri" w:hAnsi="Calibri" w:cs="Calibri"/>
          <w:b/>
          <w:bCs/>
        </w:rPr>
        <w:lastRenderedPageBreak/>
        <w:t xml:space="preserve">Pain/discomfort </w:t>
      </w:r>
    </w:p>
    <w:p w14:paraId="52658863" w14:textId="77777777" w:rsidR="008B60DB" w:rsidRPr="00F563BF" w:rsidRDefault="008B60DB" w:rsidP="008B60DB">
      <w:pPr>
        <w:rPr>
          <w:rFonts w:ascii="Calibri" w:hAnsi="Calibri" w:cs="Calibri"/>
          <w:i/>
          <w:iCs/>
        </w:rPr>
      </w:pPr>
    </w:p>
    <w:p w14:paraId="1C2E2FDC" w14:textId="77777777" w:rsidR="008B60DB" w:rsidRPr="00F563BF" w:rsidRDefault="008B60DB" w:rsidP="008B60DB">
      <w:pPr>
        <w:rPr>
          <w:rFonts w:ascii="Calibri" w:hAnsi="Calibri" w:cs="Calibri"/>
          <w:i/>
          <w:iCs/>
        </w:rPr>
      </w:pPr>
      <w:r w:rsidRPr="00F563BF">
        <w:rPr>
          <w:rFonts w:ascii="Calibri" w:hAnsi="Calibri" w:cs="Calibri"/>
          <w:i/>
          <w:iCs/>
        </w:rPr>
        <w:t>oprobit eq4SR_ eq4staff i.sex_ age_, vce(cluster PatNo)</w:t>
      </w:r>
    </w:p>
    <w:p w14:paraId="32EEC1FF" w14:textId="77777777" w:rsidR="008B60DB" w:rsidRPr="00F563BF" w:rsidRDefault="008B60DB" w:rsidP="008B60DB">
      <w:pPr>
        <w:rPr>
          <w:rFonts w:ascii="Calibri" w:hAnsi="Calibri" w:cs="Calibri"/>
        </w:rPr>
      </w:pPr>
    </w:p>
    <w:tbl>
      <w:tblPr>
        <w:tblStyle w:val="TableGrid"/>
        <w:tblW w:w="0" w:type="auto"/>
        <w:tblLook w:val="04A0" w:firstRow="1" w:lastRow="0" w:firstColumn="1" w:lastColumn="0" w:noHBand="0" w:noVBand="1"/>
      </w:tblPr>
      <w:tblGrid>
        <w:gridCol w:w="2830"/>
        <w:gridCol w:w="1678"/>
        <w:gridCol w:w="2254"/>
      </w:tblGrid>
      <w:tr w:rsidR="008B60DB" w:rsidRPr="00F563BF" w14:paraId="66B8879E" w14:textId="77777777" w:rsidTr="007C7D69">
        <w:tc>
          <w:tcPr>
            <w:tcW w:w="2830" w:type="dxa"/>
          </w:tcPr>
          <w:p w14:paraId="0C951A86" w14:textId="77777777" w:rsidR="008B60DB" w:rsidRPr="00F563BF" w:rsidRDefault="008B60DB" w:rsidP="007C7D69">
            <w:pPr>
              <w:rPr>
                <w:rFonts w:ascii="Calibri" w:hAnsi="Calibri" w:cs="Calibri"/>
              </w:rPr>
            </w:pPr>
            <w:r w:rsidRPr="00F563BF">
              <w:rPr>
                <w:rFonts w:ascii="Calibri" w:hAnsi="Calibri" w:cs="Calibri"/>
              </w:rPr>
              <w:t>Response options</w:t>
            </w:r>
          </w:p>
        </w:tc>
        <w:tc>
          <w:tcPr>
            <w:tcW w:w="1678" w:type="dxa"/>
          </w:tcPr>
          <w:p w14:paraId="4F2733B6" w14:textId="77777777" w:rsidR="008B60DB" w:rsidRPr="00F563BF" w:rsidRDefault="008B60DB" w:rsidP="007C7D69">
            <w:pPr>
              <w:rPr>
                <w:rFonts w:ascii="Calibri" w:hAnsi="Calibri" w:cs="Calibri"/>
              </w:rPr>
            </w:pPr>
            <w:r w:rsidRPr="00F563BF">
              <w:rPr>
                <w:rFonts w:ascii="Calibri" w:hAnsi="Calibri" w:cs="Calibri"/>
              </w:rPr>
              <w:t>Observed frequency (%)</w:t>
            </w:r>
          </w:p>
          <w:p w14:paraId="2DF7AD54" w14:textId="77777777" w:rsidR="008B60DB" w:rsidRPr="00F563BF" w:rsidRDefault="008B60DB" w:rsidP="007C7D69">
            <w:pPr>
              <w:rPr>
                <w:rFonts w:ascii="Calibri" w:hAnsi="Calibri" w:cs="Calibri"/>
                <w:i/>
                <w:iCs/>
              </w:rPr>
            </w:pPr>
            <w:r w:rsidRPr="00F563BF">
              <w:rPr>
                <w:rFonts w:ascii="Calibri" w:hAnsi="Calibri" w:cs="Calibri"/>
                <w:i/>
                <w:iCs/>
              </w:rPr>
              <w:t>n=805</w:t>
            </w:r>
          </w:p>
        </w:tc>
        <w:tc>
          <w:tcPr>
            <w:tcW w:w="2254" w:type="dxa"/>
          </w:tcPr>
          <w:p w14:paraId="11C12BB0" w14:textId="77777777" w:rsidR="008B60DB" w:rsidRPr="00F563BF" w:rsidRDefault="008B60DB" w:rsidP="007C7D69">
            <w:pPr>
              <w:rPr>
                <w:rFonts w:ascii="Calibri" w:hAnsi="Calibri" w:cs="Calibri"/>
              </w:rPr>
            </w:pPr>
            <w:r w:rsidRPr="00F563BF">
              <w:rPr>
                <w:rFonts w:ascii="Calibri" w:hAnsi="Calibri" w:cs="Calibri"/>
              </w:rPr>
              <w:t>Predicted frequency (%)</w:t>
            </w:r>
          </w:p>
          <w:p w14:paraId="3AB5ACF2" w14:textId="77777777" w:rsidR="008B60DB" w:rsidRPr="00F563BF" w:rsidRDefault="008B60DB" w:rsidP="007C7D69">
            <w:pPr>
              <w:rPr>
                <w:rFonts w:ascii="Calibri" w:hAnsi="Calibri" w:cs="Calibri"/>
                <w:i/>
                <w:iCs/>
              </w:rPr>
            </w:pPr>
          </w:p>
        </w:tc>
      </w:tr>
      <w:tr w:rsidR="008B60DB" w:rsidRPr="00F563BF" w14:paraId="2F7AE4F8" w14:textId="77777777" w:rsidTr="007C7D69">
        <w:tc>
          <w:tcPr>
            <w:tcW w:w="2830" w:type="dxa"/>
          </w:tcPr>
          <w:p w14:paraId="5037B215" w14:textId="77777777" w:rsidR="008B60DB" w:rsidRPr="00F563BF" w:rsidRDefault="008B60DB" w:rsidP="007C7D69">
            <w:pPr>
              <w:rPr>
                <w:rFonts w:ascii="Calibri" w:hAnsi="Calibri" w:cs="Calibri"/>
              </w:rPr>
            </w:pPr>
            <w:r w:rsidRPr="00F563BF">
              <w:rPr>
                <w:rFonts w:ascii="Calibri" w:hAnsi="Calibri" w:cs="Calibri"/>
              </w:rPr>
              <w:t xml:space="preserve">No pain/discomfort  </w:t>
            </w:r>
          </w:p>
        </w:tc>
        <w:tc>
          <w:tcPr>
            <w:tcW w:w="1678" w:type="dxa"/>
          </w:tcPr>
          <w:p w14:paraId="03B7A8DF" w14:textId="77777777" w:rsidR="008B60DB" w:rsidRPr="00F563BF" w:rsidRDefault="008B60DB" w:rsidP="007C7D69">
            <w:pPr>
              <w:rPr>
                <w:rFonts w:ascii="Calibri" w:hAnsi="Calibri" w:cs="Calibri"/>
              </w:rPr>
            </w:pPr>
            <w:r w:rsidRPr="00F563BF">
              <w:rPr>
                <w:rFonts w:ascii="Calibri" w:hAnsi="Calibri" w:cs="Calibri"/>
              </w:rPr>
              <w:t>71.93</w:t>
            </w:r>
          </w:p>
        </w:tc>
        <w:tc>
          <w:tcPr>
            <w:tcW w:w="2254" w:type="dxa"/>
          </w:tcPr>
          <w:p w14:paraId="37D6334D" w14:textId="77777777" w:rsidR="008B60DB" w:rsidRPr="00F563BF" w:rsidRDefault="008B60DB" w:rsidP="007C7D69">
            <w:pPr>
              <w:rPr>
                <w:rFonts w:ascii="Calibri" w:hAnsi="Calibri" w:cs="Calibri"/>
              </w:rPr>
            </w:pPr>
            <w:r w:rsidRPr="00F563BF">
              <w:rPr>
                <w:rFonts w:ascii="Calibri" w:hAnsi="Calibri" w:cs="Calibri"/>
              </w:rPr>
              <w:t>71.92</w:t>
            </w:r>
          </w:p>
        </w:tc>
      </w:tr>
      <w:tr w:rsidR="008B60DB" w:rsidRPr="00F563BF" w14:paraId="152613BB" w14:textId="77777777" w:rsidTr="007C7D69">
        <w:tc>
          <w:tcPr>
            <w:tcW w:w="2830" w:type="dxa"/>
          </w:tcPr>
          <w:p w14:paraId="18AEC953" w14:textId="77777777" w:rsidR="008B60DB" w:rsidRPr="00F563BF" w:rsidRDefault="008B60DB" w:rsidP="007C7D69">
            <w:pPr>
              <w:rPr>
                <w:rFonts w:ascii="Calibri" w:hAnsi="Calibri" w:cs="Calibri"/>
              </w:rPr>
            </w:pPr>
            <w:r w:rsidRPr="00F563BF">
              <w:rPr>
                <w:rFonts w:ascii="Calibri" w:hAnsi="Calibri" w:cs="Calibri"/>
              </w:rPr>
              <w:t xml:space="preserve">Slight pain/discomfort  </w:t>
            </w:r>
          </w:p>
        </w:tc>
        <w:tc>
          <w:tcPr>
            <w:tcW w:w="1678" w:type="dxa"/>
          </w:tcPr>
          <w:p w14:paraId="046E36B8" w14:textId="77777777" w:rsidR="008B60DB" w:rsidRPr="00F563BF" w:rsidRDefault="008B60DB" w:rsidP="007C7D69">
            <w:pPr>
              <w:rPr>
                <w:rFonts w:ascii="Calibri" w:hAnsi="Calibri" w:cs="Calibri"/>
              </w:rPr>
            </w:pPr>
            <w:r w:rsidRPr="00F563BF">
              <w:rPr>
                <w:rFonts w:ascii="Calibri" w:hAnsi="Calibri" w:cs="Calibri"/>
              </w:rPr>
              <w:t>17.27</w:t>
            </w:r>
          </w:p>
        </w:tc>
        <w:tc>
          <w:tcPr>
            <w:tcW w:w="2254" w:type="dxa"/>
          </w:tcPr>
          <w:p w14:paraId="1335E1DA" w14:textId="77777777" w:rsidR="008B60DB" w:rsidRPr="00F563BF" w:rsidRDefault="008B60DB" w:rsidP="007C7D69">
            <w:pPr>
              <w:rPr>
                <w:rFonts w:ascii="Calibri" w:hAnsi="Calibri" w:cs="Calibri"/>
              </w:rPr>
            </w:pPr>
            <w:r w:rsidRPr="00F563BF">
              <w:rPr>
                <w:rFonts w:ascii="Calibri" w:hAnsi="Calibri" w:cs="Calibri"/>
              </w:rPr>
              <w:t>17.31</w:t>
            </w:r>
          </w:p>
        </w:tc>
      </w:tr>
      <w:tr w:rsidR="008B60DB" w:rsidRPr="00F563BF" w14:paraId="667CCCF3" w14:textId="77777777" w:rsidTr="007C7D69">
        <w:tc>
          <w:tcPr>
            <w:tcW w:w="2830" w:type="dxa"/>
          </w:tcPr>
          <w:p w14:paraId="70CFB4DD" w14:textId="77777777" w:rsidR="008B60DB" w:rsidRPr="00F563BF" w:rsidRDefault="008B60DB" w:rsidP="007C7D69">
            <w:pPr>
              <w:rPr>
                <w:rFonts w:ascii="Calibri" w:hAnsi="Calibri" w:cs="Calibri"/>
              </w:rPr>
            </w:pPr>
            <w:r w:rsidRPr="00F563BF">
              <w:rPr>
                <w:rFonts w:ascii="Calibri" w:hAnsi="Calibri" w:cs="Calibri"/>
              </w:rPr>
              <w:t xml:space="preserve">Moderate pain/discomfort  </w:t>
            </w:r>
          </w:p>
        </w:tc>
        <w:tc>
          <w:tcPr>
            <w:tcW w:w="1678" w:type="dxa"/>
          </w:tcPr>
          <w:p w14:paraId="6B5A6A82" w14:textId="77777777" w:rsidR="008B60DB" w:rsidRPr="00F563BF" w:rsidRDefault="008B60DB" w:rsidP="007C7D69">
            <w:pPr>
              <w:rPr>
                <w:rFonts w:ascii="Calibri" w:hAnsi="Calibri" w:cs="Calibri"/>
              </w:rPr>
            </w:pPr>
            <w:r w:rsidRPr="00F563BF">
              <w:rPr>
                <w:rFonts w:ascii="Calibri" w:hAnsi="Calibri" w:cs="Calibri"/>
              </w:rPr>
              <w:t>7.08</w:t>
            </w:r>
          </w:p>
        </w:tc>
        <w:tc>
          <w:tcPr>
            <w:tcW w:w="2254" w:type="dxa"/>
          </w:tcPr>
          <w:p w14:paraId="06B4F08C" w14:textId="77777777" w:rsidR="008B60DB" w:rsidRPr="00F563BF" w:rsidRDefault="008B60DB" w:rsidP="007C7D69">
            <w:pPr>
              <w:rPr>
                <w:rFonts w:ascii="Calibri" w:hAnsi="Calibri" w:cs="Calibri"/>
              </w:rPr>
            </w:pPr>
            <w:r w:rsidRPr="00F563BF">
              <w:rPr>
                <w:rFonts w:ascii="Calibri" w:hAnsi="Calibri" w:cs="Calibri"/>
              </w:rPr>
              <w:t>7.07</w:t>
            </w:r>
          </w:p>
        </w:tc>
      </w:tr>
      <w:tr w:rsidR="008B60DB" w:rsidRPr="00F563BF" w14:paraId="0DB73F4E" w14:textId="77777777" w:rsidTr="007C7D69">
        <w:tc>
          <w:tcPr>
            <w:tcW w:w="2830" w:type="dxa"/>
          </w:tcPr>
          <w:p w14:paraId="5CCF78EB" w14:textId="77777777" w:rsidR="008B60DB" w:rsidRPr="00F563BF" w:rsidRDefault="008B60DB" w:rsidP="007C7D69">
            <w:pPr>
              <w:rPr>
                <w:rFonts w:ascii="Calibri" w:hAnsi="Calibri" w:cs="Calibri"/>
              </w:rPr>
            </w:pPr>
            <w:r w:rsidRPr="00F563BF">
              <w:rPr>
                <w:rFonts w:ascii="Calibri" w:hAnsi="Calibri" w:cs="Calibri"/>
              </w:rPr>
              <w:t xml:space="preserve">Severe pain/discomfort  </w:t>
            </w:r>
          </w:p>
        </w:tc>
        <w:tc>
          <w:tcPr>
            <w:tcW w:w="1678" w:type="dxa"/>
          </w:tcPr>
          <w:p w14:paraId="1E5EA5C4" w14:textId="77777777" w:rsidR="008B60DB" w:rsidRPr="00F563BF" w:rsidRDefault="008B60DB" w:rsidP="007C7D69">
            <w:pPr>
              <w:rPr>
                <w:rFonts w:ascii="Calibri" w:hAnsi="Calibri" w:cs="Calibri"/>
              </w:rPr>
            </w:pPr>
            <w:r w:rsidRPr="00F563BF">
              <w:rPr>
                <w:rFonts w:ascii="Calibri" w:hAnsi="Calibri" w:cs="Calibri"/>
              </w:rPr>
              <w:t>3.35</w:t>
            </w:r>
          </w:p>
        </w:tc>
        <w:tc>
          <w:tcPr>
            <w:tcW w:w="2254" w:type="dxa"/>
          </w:tcPr>
          <w:p w14:paraId="300A143D" w14:textId="77777777" w:rsidR="008B60DB" w:rsidRPr="00F563BF" w:rsidRDefault="008B60DB" w:rsidP="007C7D69">
            <w:pPr>
              <w:rPr>
                <w:rFonts w:ascii="Calibri" w:hAnsi="Calibri" w:cs="Calibri"/>
              </w:rPr>
            </w:pPr>
            <w:r w:rsidRPr="00F563BF">
              <w:rPr>
                <w:rFonts w:ascii="Calibri" w:hAnsi="Calibri" w:cs="Calibri"/>
              </w:rPr>
              <w:t>3.31</w:t>
            </w:r>
          </w:p>
        </w:tc>
      </w:tr>
      <w:tr w:rsidR="008B60DB" w:rsidRPr="00F563BF" w14:paraId="5FE0E76A" w14:textId="77777777" w:rsidTr="007C7D69">
        <w:trPr>
          <w:trHeight w:val="132"/>
        </w:trPr>
        <w:tc>
          <w:tcPr>
            <w:tcW w:w="2830" w:type="dxa"/>
          </w:tcPr>
          <w:p w14:paraId="4A045054" w14:textId="77777777" w:rsidR="008B60DB" w:rsidRPr="00F563BF" w:rsidRDefault="008B60DB" w:rsidP="007C7D69">
            <w:pPr>
              <w:rPr>
                <w:rFonts w:ascii="Calibri" w:hAnsi="Calibri" w:cs="Calibri"/>
              </w:rPr>
            </w:pPr>
            <w:r w:rsidRPr="00F563BF">
              <w:rPr>
                <w:rFonts w:ascii="Calibri" w:hAnsi="Calibri" w:cs="Calibri"/>
              </w:rPr>
              <w:t xml:space="preserve">Extreme pain/discomfort  </w:t>
            </w:r>
          </w:p>
        </w:tc>
        <w:tc>
          <w:tcPr>
            <w:tcW w:w="1678" w:type="dxa"/>
          </w:tcPr>
          <w:p w14:paraId="228A7AD0" w14:textId="77777777" w:rsidR="008B60DB" w:rsidRPr="00F563BF" w:rsidRDefault="008B60DB" w:rsidP="007C7D69">
            <w:pPr>
              <w:rPr>
                <w:rFonts w:ascii="Calibri" w:hAnsi="Calibri" w:cs="Calibri"/>
              </w:rPr>
            </w:pPr>
            <w:r w:rsidRPr="00F563BF">
              <w:rPr>
                <w:rFonts w:ascii="Calibri" w:hAnsi="Calibri" w:cs="Calibri"/>
              </w:rPr>
              <w:t>0.37</w:t>
            </w:r>
          </w:p>
        </w:tc>
        <w:tc>
          <w:tcPr>
            <w:tcW w:w="2254" w:type="dxa"/>
          </w:tcPr>
          <w:p w14:paraId="35963E4D" w14:textId="77777777" w:rsidR="008B60DB" w:rsidRPr="00F563BF" w:rsidRDefault="008B60DB" w:rsidP="007C7D69">
            <w:pPr>
              <w:rPr>
                <w:rFonts w:ascii="Calibri" w:hAnsi="Calibri" w:cs="Calibri"/>
              </w:rPr>
            </w:pPr>
            <w:r w:rsidRPr="00F563BF">
              <w:rPr>
                <w:rFonts w:ascii="Calibri" w:hAnsi="Calibri" w:cs="Calibri"/>
              </w:rPr>
              <w:t>0.38</w:t>
            </w:r>
          </w:p>
        </w:tc>
      </w:tr>
    </w:tbl>
    <w:p w14:paraId="521AA65F" w14:textId="77777777" w:rsidR="008B60DB" w:rsidRPr="00F563BF" w:rsidRDefault="008B60DB" w:rsidP="008B60DB">
      <w:pPr>
        <w:rPr>
          <w:rFonts w:ascii="Calibri" w:hAnsi="Calibri" w:cs="Calibri"/>
        </w:rPr>
      </w:pPr>
    </w:p>
    <w:p w14:paraId="636D74AF" w14:textId="77777777" w:rsidR="008B60DB" w:rsidRPr="00F563BF" w:rsidRDefault="008B60DB" w:rsidP="008B60DB">
      <w:pPr>
        <w:rPr>
          <w:rFonts w:ascii="Calibri" w:hAnsi="Calibri" w:cs="Calibri"/>
          <w:b/>
          <w:bCs/>
        </w:rPr>
      </w:pPr>
      <w:r w:rsidRPr="00F563BF">
        <w:rPr>
          <w:rFonts w:ascii="Calibri" w:hAnsi="Calibri" w:cs="Calibri"/>
          <w:b/>
          <w:bCs/>
        </w:rPr>
        <w:t xml:space="preserve">Anxiety/depression </w:t>
      </w:r>
    </w:p>
    <w:p w14:paraId="7922462C" w14:textId="77777777" w:rsidR="008B60DB" w:rsidRPr="00F563BF" w:rsidRDefault="008B60DB" w:rsidP="008B60DB">
      <w:pPr>
        <w:rPr>
          <w:rFonts w:ascii="Calibri" w:hAnsi="Calibri" w:cs="Calibri"/>
        </w:rPr>
      </w:pPr>
    </w:p>
    <w:p w14:paraId="32EAF5B4" w14:textId="77777777" w:rsidR="008B60DB" w:rsidRPr="00F563BF" w:rsidRDefault="008B60DB" w:rsidP="008B60DB">
      <w:pPr>
        <w:rPr>
          <w:rFonts w:ascii="Calibri" w:hAnsi="Calibri" w:cs="Calibri"/>
          <w:i/>
          <w:iCs/>
        </w:rPr>
      </w:pPr>
      <w:r w:rsidRPr="00F563BF">
        <w:rPr>
          <w:rFonts w:ascii="Calibri" w:hAnsi="Calibri" w:cs="Calibri"/>
          <w:i/>
          <w:iCs/>
        </w:rPr>
        <w:t>oprobit eq5SR_ i.eq5staff_ i.sex_ age_, vce(cluster PatNo)</w:t>
      </w:r>
    </w:p>
    <w:p w14:paraId="7AE0CDA2" w14:textId="77777777" w:rsidR="008B60DB" w:rsidRPr="00F563BF" w:rsidRDefault="008B60DB" w:rsidP="008B60DB">
      <w:pPr>
        <w:rPr>
          <w:rFonts w:ascii="Calibri" w:hAnsi="Calibri" w:cs="Calibri"/>
        </w:rPr>
      </w:pPr>
    </w:p>
    <w:tbl>
      <w:tblPr>
        <w:tblStyle w:val="TableGrid"/>
        <w:tblW w:w="0" w:type="auto"/>
        <w:tblLook w:val="04A0" w:firstRow="1" w:lastRow="0" w:firstColumn="1" w:lastColumn="0" w:noHBand="0" w:noVBand="1"/>
      </w:tblPr>
      <w:tblGrid>
        <w:gridCol w:w="2972"/>
        <w:gridCol w:w="1843"/>
        <w:gridCol w:w="1947"/>
      </w:tblGrid>
      <w:tr w:rsidR="008B60DB" w:rsidRPr="00F563BF" w14:paraId="19E76458" w14:textId="77777777" w:rsidTr="007C7D69">
        <w:tc>
          <w:tcPr>
            <w:tcW w:w="2972" w:type="dxa"/>
          </w:tcPr>
          <w:p w14:paraId="1D3DB87D" w14:textId="77777777" w:rsidR="008B60DB" w:rsidRPr="00F563BF" w:rsidRDefault="008B60DB" w:rsidP="007C7D69">
            <w:pPr>
              <w:rPr>
                <w:rFonts w:ascii="Calibri" w:hAnsi="Calibri" w:cs="Calibri"/>
              </w:rPr>
            </w:pPr>
            <w:r w:rsidRPr="00F563BF">
              <w:rPr>
                <w:rFonts w:ascii="Calibri" w:hAnsi="Calibri" w:cs="Calibri"/>
              </w:rPr>
              <w:t xml:space="preserve">Response options </w:t>
            </w:r>
          </w:p>
        </w:tc>
        <w:tc>
          <w:tcPr>
            <w:tcW w:w="1843" w:type="dxa"/>
          </w:tcPr>
          <w:p w14:paraId="63DB57F8" w14:textId="77777777" w:rsidR="008B60DB" w:rsidRPr="00F563BF" w:rsidRDefault="008B60DB" w:rsidP="007C7D69">
            <w:pPr>
              <w:rPr>
                <w:rFonts w:ascii="Calibri" w:hAnsi="Calibri" w:cs="Calibri"/>
              </w:rPr>
            </w:pPr>
            <w:r w:rsidRPr="00F563BF">
              <w:rPr>
                <w:rFonts w:ascii="Calibri" w:hAnsi="Calibri" w:cs="Calibri"/>
              </w:rPr>
              <w:t>Observed frequency (%)</w:t>
            </w:r>
          </w:p>
          <w:p w14:paraId="70CAA6A6" w14:textId="77777777" w:rsidR="008B60DB" w:rsidRPr="00F563BF" w:rsidRDefault="008B60DB" w:rsidP="007C7D69">
            <w:pPr>
              <w:rPr>
                <w:rFonts w:ascii="Calibri" w:hAnsi="Calibri" w:cs="Calibri"/>
                <w:i/>
                <w:iCs/>
              </w:rPr>
            </w:pPr>
            <w:r w:rsidRPr="00F563BF">
              <w:rPr>
                <w:rFonts w:ascii="Calibri" w:hAnsi="Calibri" w:cs="Calibri"/>
                <w:i/>
                <w:iCs/>
              </w:rPr>
              <w:t>n=792</w:t>
            </w:r>
          </w:p>
        </w:tc>
        <w:tc>
          <w:tcPr>
            <w:tcW w:w="1947" w:type="dxa"/>
          </w:tcPr>
          <w:p w14:paraId="29681B2D" w14:textId="77777777" w:rsidR="008B60DB" w:rsidRPr="00F563BF" w:rsidRDefault="008B60DB" w:rsidP="007C7D69">
            <w:pPr>
              <w:rPr>
                <w:rFonts w:ascii="Calibri" w:hAnsi="Calibri" w:cs="Calibri"/>
              </w:rPr>
            </w:pPr>
            <w:r w:rsidRPr="00F563BF">
              <w:rPr>
                <w:rFonts w:ascii="Calibri" w:hAnsi="Calibri" w:cs="Calibri"/>
              </w:rPr>
              <w:t>Predicted frequency (%)</w:t>
            </w:r>
          </w:p>
        </w:tc>
      </w:tr>
      <w:tr w:rsidR="008B60DB" w:rsidRPr="00F563BF" w14:paraId="62E3E4DD" w14:textId="77777777" w:rsidTr="007C7D69">
        <w:tc>
          <w:tcPr>
            <w:tcW w:w="2972" w:type="dxa"/>
          </w:tcPr>
          <w:p w14:paraId="5D013306" w14:textId="77777777" w:rsidR="008B60DB" w:rsidRPr="00F563BF" w:rsidRDefault="008B60DB" w:rsidP="007C7D69">
            <w:pPr>
              <w:rPr>
                <w:rFonts w:ascii="Calibri" w:hAnsi="Calibri" w:cs="Calibri"/>
              </w:rPr>
            </w:pPr>
            <w:r w:rsidRPr="00F563BF">
              <w:rPr>
                <w:rFonts w:ascii="Calibri" w:hAnsi="Calibri" w:cs="Calibri"/>
              </w:rPr>
              <w:t>No anxiety/depression</w:t>
            </w:r>
          </w:p>
        </w:tc>
        <w:tc>
          <w:tcPr>
            <w:tcW w:w="1843" w:type="dxa"/>
          </w:tcPr>
          <w:p w14:paraId="120F49B8" w14:textId="77777777" w:rsidR="008B60DB" w:rsidRPr="00F563BF" w:rsidRDefault="008B60DB" w:rsidP="007C7D69">
            <w:pPr>
              <w:rPr>
                <w:rFonts w:ascii="Calibri" w:hAnsi="Calibri" w:cs="Calibri"/>
              </w:rPr>
            </w:pPr>
            <w:r w:rsidRPr="00F563BF">
              <w:rPr>
                <w:rFonts w:ascii="Calibri" w:hAnsi="Calibri" w:cs="Calibri"/>
              </w:rPr>
              <w:t>77.53</w:t>
            </w:r>
          </w:p>
        </w:tc>
        <w:tc>
          <w:tcPr>
            <w:tcW w:w="1947" w:type="dxa"/>
          </w:tcPr>
          <w:p w14:paraId="6F8BD7D4" w14:textId="77777777" w:rsidR="008B60DB" w:rsidRPr="00F563BF" w:rsidRDefault="008B60DB" w:rsidP="007C7D69">
            <w:pPr>
              <w:rPr>
                <w:rFonts w:ascii="Calibri" w:hAnsi="Calibri" w:cs="Calibri"/>
              </w:rPr>
            </w:pPr>
            <w:r w:rsidRPr="00F563BF">
              <w:rPr>
                <w:rFonts w:ascii="Calibri" w:hAnsi="Calibri" w:cs="Calibri"/>
              </w:rPr>
              <w:t>77.48</w:t>
            </w:r>
          </w:p>
        </w:tc>
      </w:tr>
      <w:tr w:rsidR="008B60DB" w:rsidRPr="00F563BF" w14:paraId="0CD55D80" w14:textId="77777777" w:rsidTr="007C7D69">
        <w:tc>
          <w:tcPr>
            <w:tcW w:w="2972" w:type="dxa"/>
          </w:tcPr>
          <w:p w14:paraId="5BCFCE12" w14:textId="77777777" w:rsidR="008B60DB" w:rsidRPr="00F563BF" w:rsidRDefault="008B60DB" w:rsidP="007C7D69">
            <w:pPr>
              <w:rPr>
                <w:rFonts w:ascii="Calibri" w:hAnsi="Calibri" w:cs="Calibri"/>
              </w:rPr>
            </w:pPr>
            <w:r w:rsidRPr="00F563BF">
              <w:rPr>
                <w:rFonts w:ascii="Calibri" w:hAnsi="Calibri" w:cs="Calibri"/>
              </w:rPr>
              <w:t>Slight anxiety/depression</w:t>
            </w:r>
          </w:p>
        </w:tc>
        <w:tc>
          <w:tcPr>
            <w:tcW w:w="1843" w:type="dxa"/>
          </w:tcPr>
          <w:p w14:paraId="4E2175EF" w14:textId="77777777" w:rsidR="008B60DB" w:rsidRPr="00F563BF" w:rsidRDefault="008B60DB" w:rsidP="007C7D69">
            <w:pPr>
              <w:rPr>
                <w:rFonts w:ascii="Calibri" w:hAnsi="Calibri" w:cs="Calibri"/>
              </w:rPr>
            </w:pPr>
            <w:r w:rsidRPr="00F563BF">
              <w:rPr>
                <w:rFonts w:ascii="Calibri" w:hAnsi="Calibri" w:cs="Calibri"/>
              </w:rPr>
              <w:t>14.77</w:t>
            </w:r>
          </w:p>
        </w:tc>
        <w:tc>
          <w:tcPr>
            <w:tcW w:w="1947" w:type="dxa"/>
          </w:tcPr>
          <w:p w14:paraId="74B63327" w14:textId="77777777" w:rsidR="008B60DB" w:rsidRPr="00F563BF" w:rsidRDefault="008B60DB" w:rsidP="007C7D69">
            <w:pPr>
              <w:rPr>
                <w:rFonts w:ascii="Calibri" w:hAnsi="Calibri" w:cs="Calibri"/>
              </w:rPr>
            </w:pPr>
            <w:r w:rsidRPr="00F563BF">
              <w:rPr>
                <w:rFonts w:ascii="Calibri" w:hAnsi="Calibri" w:cs="Calibri"/>
              </w:rPr>
              <w:t>14.71</w:t>
            </w:r>
          </w:p>
        </w:tc>
      </w:tr>
      <w:tr w:rsidR="008B60DB" w:rsidRPr="00F563BF" w14:paraId="582FBC2D" w14:textId="77777777" w:rsidTr="007C7D69">
        <w:tc>
          <w:tcPr>
            <w:tcW w:w="2972" w:type="dxa"/>
          </w:tcPr>
          <w:p w14:paraId="7070B490" w14:textId="77777777" w:rsidR="008B60DB" w:rsidRPr="00F563BF" w:rsidRDefault="008B60DB" w:rsidP="007C7D69">
            <w:pPr>
              <w:rPr>
                <w:rFonts w:ascii="Calibri" w:hAnsi="Calibri" w:cs="Calibri"/>
              </w:rPr>
            </w:pPr>
            <w:r w:rsidRPr="00F563BF">
              <w:rPr>
                <w:rFonts w:ascii="Calibri" w:hAnsi="Calibri" w:cs="Calibri"/>
              </w:rPr>
              <w:t>Moderate anxiety/depression</w:t>
            </w:r>
          </w:p>
        </w:tc>
        <w:tc>
          <w:tcPr>
            <w:tcW w:w="1843" w:type="dxa"/>
          </w:tcPr>
          <w:p w14:paraId="2ECBF9F1" w14:textId="77777777" w:rsidR="008B60DB" w:rsidRPr="00F563BF" w:rsidRDefault="008B60DB" w:rsidP="007C7D69">
            <w:pPr>
              <w:rPr>
                <w:rFonts w:ascii="Calibri" w:hAnsi="Calibri" w:cs="Calibri"/>
              </w:rPr>
            </w:pPr>
            <w:r w:rsidRPr="00F563BF">
              <w:rPr>
                <w:rFonts w:ascii="Calibri" w:hAnsi="Calibri" w:cs="Calibri"/>
              </w:rPr>
              <w:t>5.68</w:t>
            </w:r>
          </w:p>
        </w:tc>
        <w:tc>
          <w:tcPr>
            <w:tcW w:w="1947" w:type="dxa"/>
          </w:tcPr>
          <w:p w14:paraId="62404F51" w14:textId="77777777" w:rsidR="008B60DB" w:rsidRPr="00F563BF" w:rsidRDefault="008B60DB" w:rsidP="007C7D69">
            <w:pPr>
              <w:rPr>
                <w:rFonts w:ascii="Calibri" w:hAnsi="Calibri" w:cs="Calibri"/>
              </w:rPr>
            </w:pPr>
            <w:r w:rsidRPr="00F563BF">
              <w:rPr>
                <w:rFonts w:ascii="Calibri" w:hAnsi="Calibri" w:cs="Calibri"/>
              </w:rPr>
              <w:t>5.78</w:t>
            </w:r>
          </w:p>
        </w:tc>
      </w:tr>
      <w:tr w:rsidR="008B60DB" w:rsidRPr="00F563BF" w14:paraId="779455E1" w14:textId="77777777" w:rsidTr="007C7D69">
        <w:tc>
          <w:tcPr>
            <w:tcW w:w="2972" w:type="dxa"/>
          </w:tcPr>
          <w:p w14:paraId="3A52FDD0" w14:textId="77777777" w:rsidR="008B60DB" w:rsidRPr="00F563BF" w:rsidRDefault="008B60DB" w:rsidP="007C7D69">
            <w:pPr>
              <w:rPr>
                <w:rFonts w:ascii="Calibri" w:hAnsi="Calibri" w:cs="Calibri"/>
              </w:rPr>
            </w:pPr>
            <w:r w:rsidRPr="00F563BF">
              <w:rPr>
                <w:rFonts w:ascii="Calibri" w:hAnsi="Calibri" w:cs="Calibri"/>
              </w:rPr>
              <w:t>Severe anxiety/depression</w:t>
            </w:r>
          </w:p>
        </w:tc>
        <w:tc>
          <w:tcPr>
            <w:tcW w:w="1843" w:type="dxa"/>
          </w:tcPr>
          <w:p w14:paraId="1CDFEAE2" w14:textId="77777777" w:rsidR="008B60DB" w:rsidRPr="00F563BF" w:rsidRDefault="008B60DB" w:rsidP="007C7D69">
            <w:pPr>
              <w:rPr>
                <w:rFonts w:ascii="Calibri" w:hAnsi="Calibri" w:cs="Calibri"/>
              </w:rPr>
            </w:pPr>
            <w:r w:rsidRPr="00F563BF">
              <w:rPr>
                <w:rFonts w:ascii="Calibri" w:hAnsi="Calibri" w:cs="Calibri"/>
              </w:rPr>
              <w:t>1.39</w:t>
            </w:r>
          </w:p>
        </w:tc>
        <w:tc>
          <w:tcPr>
            <w:tcW w:w="1947" w:type="dxa"/>
          </w:tcPr>
          <w:p w14:paraId="55429D2B" w14:textId="77777777" w:rsidR="008B60DB" w:rsidRPr="00F563BF" w:rsidRDefault="008B60DB" w:rsidP="007C7D69">
            <w:pPr>
              <w:rPr>
                <w:rFonts w:ascii="Calibri" w:hAnsi="Calibri" w:cs="Calibri"/>
              </w:rPr>
            </w:pPr>
            <w:r w:rsidRPr="00F563BF">
              <w:rPr>
                <w:rFonts w:ascii="Calibri" w:hAnsi="Calibri" w:cs="Calibri"/>
              </w:rPr>
              <w:t>1.41</w:t>
            </w:r>
          </w:p>
        </w:tc>
      </w:tr>
      <w:tr w:rsidR="008B60DB" w:rsidRPr="00F563BF" w14:paraId="345F22F0" w14:textId="77777777" w:rsidTr="007C7D69">
        <w:tc>
          <w:tcPr>
            <w:tcW w:w="2972" w:type="dxa"/>
          </w:tcPr>
          <w:p w14:paraId="10AFA216" w14:textId="77777777" w:rsidR="008B60DB" w:rsidRPr="00F563BF" w:rsidRDefault="008B60DB" w:rsidP="007C7D69">
            <w:pPr>
              <w:rPr>
                <w:rFonts w:ascii="Calibri" w:hAnsi="Calibri" w:cs="Calibri"/>
              </w:rPr>
            </w:pPr>
            <w:r w:rsidRPr="00F563BF">
              <w:rPr>
                <w:rFonts w:ascii="Calibri" w:hAnsi="Calibri" w:cs="Calibri"/>
              </w:rPr>
              <w:t xml:space="preserve">Extreme anxiety/depression </w:t>
            </w:r>
          </w:p>
        </w:tc>
        <w:tc>
          <w:tcPr>
            <w:tcW w:w="1843" w:type="dxa"/>
          </w:tcPr>
          <w:p w14:paraId="3CE9D785" w14:textId="77777777" w:rsidR="008B60DB" w:rsidRPr="00F563BF" w:rsidRDefault="008B60DB" w:rsidP="007C7D69">
            <w:pPr>
              <w:rPr>
                <w:rFonts w:ascii="Calibri" w:hAnsi="Calibri" w:cs="Calibri"/>
              </w:rPr>
            </w:pPr>
            <w:r w:rsidRPr="00F563BF">
              <w:rPr>
                <w:rFonts w:ascii="Calibri" w:hAnsi="Calibri" w:cs="Calibri"/>
              </w:rPr>
              <w:t>0.63</w:t>
            </w:r>
          </w:p>
        </w:tc>
        <w:tc>
          <w:tcPr>
            <w:tcW w:w="1947" w:type="dxa"/>
          </w:tcPr>
          <w:p w14:paraId="71FDE5A0" w14:textId="77777777" w:rsidR="008B60DB" w:rsidRPr="00F563BF" w:rsidRDefault="008B60DB" w:rsidP="007C7D69">
            <w:pPr>
              <w:rPr>
                <w:rFonts w:ascii="Calibri" w:hAnsi="Calibri" w:cs="Calibri"/>
              </w:rPr>
            </w:pPr>
            <w:r w:rsidRPr="00F563BF">
              <w:rPr>
                <w:rFonts w:ascii="Calibri" w:hAnsi="Calibri" w:cs="Calibri"/>
              </w:rPr>
              <w:t>0.62</w:t>
            </w:r>
          </w:p>
        </w:tc>
      </w:tr>
    </w:tbl>
    <w:p w14:paraId="44A77457" w14:textId="77777777" w:rsidR="008B60DB" w:rsidRDefault="008B60DB" w:rsidP="008B60DB">
      <w:pPr>
        <w:rPr>
          <w:rFonts w:ascii="Calibri" w:hAnsi="Calibri" w:cs="Calibri"/>
        </w:rPr>
      </w:pPr>
    </w:p>
    <w:p w14:paraId="706B21F1" w14:textId="77777777" w:rsidR="008B60DB" w:rsidRDefault="008B60DB" w:rsidP="008B60DB">
      <w:pPr>
        <w:rPr>
          <w:rFonts w:ascii="Calibri" w:hAnsi="Calibri" w:cs="Calibri"/>
        </w:rPr>
      </w:pPr>
      <w:r>
        <w:rPr>
          <w:rFonts w:ascii="Calibri" w:hAnsi="Calibri" w:cs="Calibri"/>
        </w:rPr>
        <w:t>Observed vs. predicted EQ-5D index scores using pragmatic models (EPIC)</w:t>
      </w:r>
    </w:p>
    <w:p w14:paraId="5902076C" w14:textId="77777777" w:rsidR="008B60DB" w:rsidRPr="00F563BF" w:rsidRDefault="008B60DB" w:rsidP="008B60DB">
      <w:pPr>
        <w:rPr>
          <w:rFonts w:ascii="Calibri" w:hAnsi="Calibri" w:cs="Calibri"/>
        </w:rPr>
      </w:pPr>
    </w:p>
    <w:tbl>
      <w:tblPr>
        <w:tblStyle w:val="TableGrid"/>
        <w:tblW w:w="0" w:type="auto"/>
        <w:tblLook w:val="04A0" w:firstRow="1" w:lastRow="0" w:firstColumn="1" w:lastColumn="0" w:noHBand="0" w:noVBand="1"/>
      </w:tblPr>
      <w:tblGrid>
        <w:gridCol w:w="1763"/>
        <w:gridCol w:w="1606"/>
        <w:gridCol w:w="1627"/>
        <w:gridCol w:w="1591"/>
        <w:gridCol w:w="1481"/>
      </w:tblGrid>
      <w:tr w:rsidR="008B60DB" w:rsidRPr="00F563BF" w14:paraId="028BCFE5" w14:textId="77777777" w:rsidTr="007C7D69">
        <w:trPr>
          <w:trHeight w:val="598"/>
        </w:trPr>
        <w:tc>
          <w:tcPr>
            <w:tcW w:w="1763" w:type="dxa"/>
            <w:shd w:val="clear" w:color="auto" w:fill="E7E6E6" w:themeFill="background2"/>
          </w:tcPr>
          <w:p w14:paraId="3DE3913A" w14:textId="77777777" w:rsidR="008B60DB" w:rsidRPr="00F563BF" w:rsidRDefault="008B60DB" w:rsidP="007C7D69">
            <w:pPr>
              <w:rPr>
                <w:rFonts w:ascii="Calibri" w:hAnsi="Calibri" w:cs="Calibri"/>
              </w:rPr>
            </w:pPr>
            <w:r w:rsidRPr="00F563BF">
              <w:rPr>
                <w:rFonts w:ascii="Calibri" w:hAnsi="Calibri" w:cs="Calibri"/>
              </w:rPr>
              <w:t>Target response</w:t>
            </w:r>
          </w:p>
        </w:tc>
        <w:tc>
          <w:tcPr>
            <w:tcW w:w="1606" w:type="dxa"/>
            <w:shd w:val="clear" w:color="auto" w:fill="E7E6E6" w:themeFill="background2"/>
          </w:tcPr>
          <w:p w14:paraId="5E47337D" w14:textId="77777777" w:rsidR="008B60DB" w:rsidRPr="00F563BF" w:rsidRDefault="008B60DB" w:rsidP="007C7D69">
            <w:pPr>
              <w:rPr>
                <w:rFonts w:ascii="Calibri" w:hAnsi="Calibri" w:cs="Calibri"/>
              </w:rPr>
            </w:pPr>
            <w:r w:rsidRPr="00F563BF">
              <w:rPr>
                <w:rFonts w:ascii="Calibri" w:hAnsi="Calibri" w:cs="Calibri"/>
              </w:rPr>
              <w:t>N</w:t>
            </w:r>
          </w:p>
        </w:tc>
        <w:tc>
          <w:tcPr>
            <w:tcW w:w="1627" w:type="dxa"/>
            <w:shd w:val="clear" w:color="auto" w:fill="E7E6E6" w:themeFill="background2"/>
          </w:tcPr>
          <w:p w14:paraId="6C8F1EF2" w14:textId="77777777" w:rsidR="008B60DB" w:rsidRPr="00F563BF" w:rsidRDefault="008B60DB" w:rsidP="007C7D69">
            <w:pPr>
              <w:rPr>
                <w:rFonts w:ascii="Calibri" w:hAnsi="Calibri" w:cs="Calibri"/>
              </w:rPr>
            </w:pPr>
            <w:r w:rsidRPr="00F563BF">
              <w:rPr>
                <w:rFonts w:ascii="Calibri" w:hAnsi="Calibri" w:cs="Calibri"/>
              </w:rPr>
              <w:t xml:space="preserve">Mean </w:t>
            </w:r>
          </w:p>
        </w:tc>
        <w:tc>
          <w:tcPr>
            <w:tcW w:w="1591" w:type="dxa"/>
            <w:shd w:val="clear" w:color="auto" w:fill="E7E6E6" w:themeFill="background2"/>
          </w:tcPr>
          <w:p w14:paraId="49A31044" w14:textId="77777777" w:rsidR="008B60DB" w:rsidRPr="00F563BF" w:rsidRDefault="008B60DB" w:rsidP="007C7D69">
            <w:pPr>
              <w:rPr>
                <w:rFonts w:ascii="Calibri" w:hAnsi="Calibri" w:cs="Calibri"/>
              </w:rPr>
            </w:pPr>
            <w:r w:rsidRPr="00F563BF">
              <w:rPr>
                <w:rFonts w:ascii="Calibri" w:hAnsi="Calibri" w:cs="Calibri"/>
              </w:rPr>
              <w:t>SD</w:t>
            </w:r>
          </w:p>
        </w:tc>
        <w:tc>
          <w:tcPr>
            <w:tcW w:w="1481" w:type="dxa"/>
            <w:shd w:val="clear" w:color="auto" w:fill="E7E6E6" w:themeFill="background2"/>
          </w:tcPr>
          <w:p w14:paraId="0FB3DF57" w14:textId="77777777" w:rsidR="008B60DB" w:rsidRPr="00F563BF" w:rsidRDefault="008B60DB" w:rsidP="007C7D69">
            <w:pPr>
              <w:rPr>
                <w:rFonts w:ascii="Calibri" w:hAnsi="Calibri" w:cs="Calibri"/>
              </w:rPr>
            </w:pPr>
            <w:r w:rsidRPr="00F563BF">
              <w:rPr>
                <w:rFonts w:ascii="Calibri" w:hAnsi="Calibri" w:cs="Calibri"/>
              </w:rPr>
              <w:t xml:space="preserve">Min – Max </w:t>
            </w:r>
          </w:p>
        </w:tc>
      </w:tr>
      <w:tr w:rsidR="008B60DB" w:rsidRPr="00F563BF" w14:paraId="1F12254C" w14:textId="77777777" w:rsidTr="007C7D69">
        <w:trPr>
          <w:trHeight w:val="401"/>
        </w:trPr>
        <w:tc>
          <w:tcPr>
            <w:tcW w:w="8068" w:type="dxa"/>
            <w:gridSpan w:val="5"/>
            <w:shd w:val="clear" w:color="auto" w:fill="auto"/>
          </w:tcPr>
          <w:p w14:paraId="48B33C03" w14:textId="77777777" w:rsidR="008B60DB" w:rsidRPr="00F563BF" w:rsidRDefault="008B60DB" w:rsidP="007C7D69">
            <w:pPr>
              <w:rPr>
                <w:rFonts w:ascii="Calibri" w:hAnsi="Calibri" w:cs="Calibri"/>
              </w:rPr>
            </w:pPr>
            <w:r w:rsidRPr="00F563BF">
              <w:rPr>
                <w:rFonts w:ascii="Calibri" w:hAnsi="Calibri" w:cs="Calibri"/>
              </w:rPr>
              <w:t xml:space="preserve">Mapped from 5L to 3L value set </w:t>
            </w:r>
          </w:p>
        </w:tc>
      </w:tr>
      <w:tr w:rsidR="008B60DB" w:rsidRPr="00F563BF" w14:paraId="2B80ED41" w14:textId="77777777" w:rsidTr="007C7D69">
        <w:trPr>
          <w:trHeight w:val="411"/>
        </w:trPr>
        <w:tc>
          <w:tcPr>
            <w:tcW w:w="1763" w:type="dxa"/>
          </w:tcPr>
          <w:p w14:paraId="162D95CD" w14:textId="77777777" w:rsidR="008B60DB" w:rsidRPr="00F563BF" w:rsidRDefault="008B60DB" w:rsidP="007C7D69">
            <w:pPr>
              <w:rPr>
                <w:rFonts w:ascii="Calibri" w:hAnsi="Calibri" w:cs="Calibri"/>
                <w:highlight w:val="yellow"/>
              </w:rPr>
            </w:pPr>
            <w:r w:rsidRPr="00F563BF">
              <w:rPr>
                <w:rFonts w:ascii="Calibri" w:hAnsi="Calibri" w:cs="Calibri"/>
              </w:rPr>
              <w:t>Observed data</w:t>
            </w:r>
          </w:p>
        </w:tc>
        <w:tc>
          <w:tcPr>
            <w:tcW w:w="1606" w:type="dxa"/>
          </w:tcPr>
          <w:p w14:paraId="6DD88DFF" w14:textId="77777777" w:rsidR="008B60DB" w:rsidRPr="00F563BF" w:rsidRDefault="008B60DB" w:rsidP="007C7D69">
            <w:pPr>
              <w:rPr>
                <w:rFonts w:ascii="Calibri" w:hAnsi="Calibri" w:cs="Calibri"/>
              </w:rPr>
            </w:pPr>
            <w:r w:rsidRPr="00F563BF">
              <w:rPr>
                <w:rFonts w:ascii="Calibri" w:hAnsi="Calibri" w:cs="Calibri"/>
              </w:rPr>
              <w:t>758</w:t>
            </w:r>
          </w:p>
        </w:tc>
        <w:tc>
          <w:tcPr>
            <w:tcW w:w="1627" w:type="dxa"/>
          </w:tcPr>
          <w:p w14:paraId="27CC5624" w14:textId="77777777" w:rsidR="008B60DB" w:rsidRPr="00F563BF" w:rsidRDefault="008B60DB" w:rsidP="007C7D69">
            <w:pPr>
              <w:rPr>
                <w:rFonts w:ascii="Calibri" w:hAnsi="Calibri" w:cs="Calibri"/>
              </w:rPr>
            </w:pPr>
            <w:r w:rsidRPr="00F563BF">
              <w:rPr>
                <w:rFonts w:ascii="Calibri" w:hAnsi="Calibri" w:cs="Calibri"/>
              </w:rPr>
              <w:t>0.62</w:t>
            </w:r>
          </w:p>
        </w:tc>
        <w:tc>
          <w:tcPr>
            <w:tcW w:w="1591" w:type="dxa"/>
          </w:tcPr>
          <w:p w14:paraId="65116922" w14:textId="77777777" w:rsidR="008B60DB" w:rsidRPr="00F563BF" w:rsidRDefault="008B60DB" w:rsidP="007C7D69">
            <w:pPr>
              <w:rPr>
                <w:rFonts w:ascii="Calibri" w:hAnsi="Calibri" w:cs="Calibri"/>
              </w:rPr>
            </w:pPr>
            <w:r w:rsidRPr="00F563BF">
              <w:rPr>
                <w:rFonts w:ascii="Calibri" w:hAnsi="Calibri" w:cs="Calibri"/>
              </w:rPr>
              <w:t>0.36</w:t>
            </w:r>
          </w:p>
        </w:tc>
        <w:tc>
          <w:tcPr>
            <w:tcW w:w="1481" w:type="dxa"/>
          </w:tcPr>
          <w:p w14:paraId="67FB372F" w14:textId="77777777" w:rsidR="008B60DB" w:rsidRPr="00F563BF" w:rsidRDefault="008B60DB" w:rsidP="007C7D69">
            <w:pPr>
              <w:rPr>
                <w:rFonts w:ascii="Calibri" w:hAnsi="Calibri" w:cs="Calibri"/>
              </w:rPr>
            </w:pPr>
            <w:r w:rsidRPr="00F563BF">
              <w:rPr>
                <w:rFonts w:ascii="Calibri" w:hAnsi="Calibri" w:cs="Calibri"/>
              </w:rPr>
              <w:t xml:space="preserve">-0.34 – 0.99 </w:t>
            </w:r>
          </w:p>
        </w:tc>
      </w:tr>
      <w:tr w:rsidR="008B60DB" w:rsidRPr="00F563BF" w14:paraId="5EE37585" w14:textId="77777777" w:rsidTr="007C7D69">
        <w:trPr>
          <w:trHeight w:val="375"/>
        </w:trPr>
        <w:tc>
          <w:tcPr>
            <w:tcW w:w="1763" w:type="dxa"/>
          </w:tcPr>
          <w:p w14:paraId="0C1A8EAA" w14:textId="77777777" w:rsidR="008B60DB" w:rsidRPr="00F563BF" w:rsidRDefault="008B60DB" w:rsidP="007C7D69">
            <w:pPr>
              <w:rPr>
                <w:rFonts w:ascii="Calibri" w:hAnsi="Calibri" w:cs="Calibri"/>
              </w:rPr>
            </w:pPr>
            <w:r w:rsidRPr="00F563BF">
              <w:rPr>
                <w:rFonts w:ascii="Calibri" w:hAnsi="Calibri" w:cs="Calibri"/>
              </w:rPr>
              <w:t>Predicted data</w:t>
            </w:r>
          </w:p>
        </w:tc>
        <w:tc>
          <w:tcPr>
            <w:tcW w:w="1606" w:type="dxa"/>
          </w:tcPr>
          <w:p w14:paraId="71DFBE23" w14:textId="77777777" w:rsidR="008B60DB" w:rsidRPr="00F563BF" w:rsidRDefault="008B60DB" w:rsidP="007C7D69">
            <w:pPr>
              <w:rPr>
                <w:rFonts w:ascii="Calibri" w:hAnsi="Calibri" w:cs="Calibri"/>
              </w:rPr>
            </w:pPr>
            <w:r w:rsidRPr="00F563BF">
              <w:rPr>
                <w:rFonts w:ascii="Calibri" w:hAnsi="Calibri" w:cs="Calibri"/>
              </w:rPr>
              <w:t>758</w:t>
            </w:r>
          </w:p>
        </w:tc>
        <w:tc>
          <w:tcPr>
            <w:tcW w:w="1627" w:type="dxa"/>
          </w:tcPr>
          <w:p w14:paraId="2F8E2F44" w14:textId="77777777" w:rsidR="008B60DB" w:rsidRPr="00F563BF" w:rsidRDefault="008B60DB" w:rsidP="007C7D69">
            <w:pPr>
              <w:rPr>
                <w:rFonts w:ascii="Calibri" w:hAnsi="Calibri" w:cs="Calibri"/>
              </w:rPr>
            </w:pPr>
            <w:r w:rsidRPr="00F563BF">
              <w:rPr>
                <w:rFonts w:ascii="Calibri" w:hAnsi="Calibri" w:cs="Calibri"/>
              </w:rPr>
              <w:t>0.65</w:t>
            </w:r>
          </w:p>
        </w:tc>
        <w:tc>
          <w:tcPr>
            <w:tcW w:w="1591" w:type="dxa"/>
          </w:tcPr>
          <w:p w14:paraId="7CB80291" w14:textId="77777777" w:rsidR="008B60DB" w:rsidRPr="00F563BF" w:rsidRDefault="008B60DB" w:rsidP="007C7D69">
            <w:pPr>
              <w:rPr>
                <w:rFonts w:ascii="Calibri" w:hAnsi="Calibri" w:cs="Calibri"/>
              </w:rPr>
            </w:pPr>
            <w:r w:rsidRPr="00F563BF">
              <w:rPr>
                <w:rFonts w:ascii="Calibri" w:hAnsi="Calibri" w:cs="Calibri"/>
              </w:rPr>
              <w:t>0.12</w:t>
            </w:r>
          </w:p>
        </w:tc>
        <w:tc>
          <w:tcPr>
            <w:tcW w:w="1481" w:type="dxa"/>
          </w:tcPr>
          <w:p w14:paraId="3A475DBA" w14:textId="77777777" w:rsidR="008B60DB" w:rsidRPr="00F563BF" w:rsidRDefault="008B60DB" w:rsidP="007C7D69">
            <w:pPr>
              <w:rPr>
                <w:rFonts w:ascii="Calibri" w:hAnsi="Calibri" w:cs="Calibri"/>
              </w:rPr>
            </w:pPr>
            <w:r w:rsidRPr="00F563BF">
              <w:rPr>
                <w:rFonts w:ascii="Calibri" w:hAnsi="Calibri" w:cs="Calibri"/>
              </w:rPr>
              <w:t xml:space="preserve">0.10 – 0.77 </w:t>
            </w:r>
          </w:p>
        </w:tc>
      </w:tr>
    </w:tbl>
    <w:p w14:paraId="57205E0F" w14:textId="77777777" w:rsidR="008B60DB" w:rsidRDefault="008B60DB" w:rsidP="008B60DB">
      <w:pPr>
        <w:rPr>
          <w:rFonts w:ascii="Calibri" w:hAnsi="Calibri" w:cs="Calibri"/>
        </w:rPr>
      </w:pPr>
    </w:p>
    <w:p w14:paraId="470B9A6E" w14:textId="77777777" w:rsidR="008B60DB" w:rsidRDefault="008B60DB" w:rsidP="008B60DB">
      <w:pPr>
        <w:rPr>
          <w:rFonts w:ascii="Calibri" w:hAnsi="Calibri" w:cs="Calibri"/>
        </w:rPr>
      </w:pPr>
    </w:p>
    <w:p w14:paraId="0CE384CC" w14:textId="77777777" w:rsidR="008B60DB" w:rsidRDefault="008B60DB" w:rsidP="008B60DB">
      <w:pPr>
        <w:rPr>
          <w:rFonts w:ascii="Calibri" w:hAnsi="Calibri" w:cs="Calibri"/>
        </w:rPr>
      </w:pPr>
    </w:p>
    <w:p w14:paraId="791BE211" w14:textId="77777777" w:rsidR="008B60DB" w:rsidRDefault="008B60DB" w:rsidP="008B60DB">
      <w:pPr>
        <w:rPr>
          <w:rFonts w:ascii="Calibri" w:hAnsi="Calibri" w:cs="Calibri"/>
        </w:rPr>
      </w:pPr>
    </w:p>
    <w:p w14:paraId="07C95A44" w14:textId="77777777" w:rsidR="008B60DB" w:rsidRDefault="008B60DB" w:rsidP="008B60DB">
      <w:pPr>
        <w:rPr>
          <w:rFonts w:ascii="Calibri" w:hAnsi="Calibri" w:cs="Calibri"/>
        </w:rPr>
      </w:pPr>
    </w:p>
    <w:p w14:paraId="40B26C4F" w14:textId="77777777" w:rsidR="008B60DB" w:rsidRDefault="008B60DB" w:rsidP="008B60DB">
      <w:pPr>
        <w:rPr>
          <w:rFonts w:ascii="Calibri" w:hAnsi="Calibri" w:cs="Calibri"/>
        </w:rPr>
      </w:pPr>
    </w:p>
    <w:p w14:paraId="364024FD" w14:textId="77777777" w:rsidR="008B60DB" w:rsidRDefault="008B60DB" w:rsidP="008B60DB">
      <w:pPr>
        <w:rPr>
          <w:rFonts w:ascii="Calibri" w:hAnsi="Calibri" w:cs="Calibri"/>
        </w:rPr>
      </w:pPr>
    </w:p>
    <w:p w14:paraId="52466BE6" w14:textId="77777777" w:rsidR="008B60DB" w:rsidRDefault="008B60DB" w:rsidP="008B60DB">
      <w:pPr>
        <w:rPr>
          <w:rFonts w:ascii="Calibri" w:hAnsi="Calibri" w:cs="Calibri"/>
        </w:rPr>
      </w:pPr>
    </w:p>
    <w:p w14:paraId="6D78BA67" w14:textId="77777777" w:rsidR="008B60DB" w:rsidRDefault="008B60DB" w:rsidP="008B60DB">
      <w:pPr>
        <w:rPr>
          <w:rFonts w:ascii="Calibri" w:hAnsi="Calibri" w:cs="Calibri"/>
        </w:rPr>
      </w:pPr>
    </w:p>
    <w:p w14:paraId="06711523" w14:textId="77777777" w:rsidR="008B60DB" w:rsidRDefault="008B60DB" w:rsidP="008B60DB">
      <w:pPr>
        <w:rPr>
          <w:rFonts w:ascii="Calibri" w:hAnsi="Calibri" w:cs="Calibri"/>
        </w:rPr>
      </w:pPr>
    </w:p>
    <w:p w14:paraId="4EBBC866" w14:textId="77777777" w:rsidR="008B60DB" w:rsidRDefault="008B60DB" w:rsidP="008B60DB">
      <w:pPr>
        <w:rPr>
          <w:rFonts w:ascii="Calibri" w:hAnsi="Calibri" w:cs="Calibri"/>
        </w:rPr>
      </w:pPr>
    </w:p>
    <w:p w14:paraId="43B0808E" w14:textId="3B448554" w:rsidR="008B60DB" w:rsidRDefault="008B60DB" w:rsidP="008B60DB">
      <w:pPr>
        <w:rPr>
          <w:rFonts w:ascii="Calibri" w:hAnsi="Calibri" w:cs="Calibri"/>
        </w:rPr>
      </w:pPr>
      <w:r>
        <w:rPr>
          <w:rFonts w:ascii="Calibri" w:hAnsi="Calibri" w:cs="Calibri"/>
        </w:rPr>
        <w:lastRenderedPageBreak/>
        <w:t xml:space="preserve">Utility distribution produced using pragmatic models, across FAST scores </w:t>
      </w:r>
    </w:p>
    <w:p w14:paraId="6540B0B5" w14:textId="77777777" w:rsidR="008B60DB" w:rsidRPr="00F563BF" w:rsidRDefault="008B60DB" w:rsidP="008B60DB">
      <w:pPr>
        <w:rPr>
          <w:rFonts w:ascii="Calibri" w:hAnsi="Calibri" w:cs="Calibri"/>
        </w:rPr>
      </w:pPr>
    </w:p>
    <w:p w14:paraId="7DC809E2" w14:textId="77777777" w:rsidR="008B60DB" w:rsidRPr="00F563BF" w:rsidRDefault="008B60DB" w:rsidP="008B60DB">
      <w:pPr>
        <w:rPr>
          <w:rFonts w:ascii="Calibri" w:hAnsi="Calibri" w:cs="Calibri"/>
        </w:rPr>
      </w:pPr>
      <w:r w:rsidRPr="00F563BF">
        <w:rPr>
          <w:rFonts w:ascii="Calibri" w:hAnsi="Calibri" w:cs="Calibri"/>
          <w:noProof/>
        </w:rPr>
        <w:drawing>
          <wp:inline distT="0" distB="0" distL="0" distR="0" wp14:anchorId="1FF9023C" wp14:editId="2ED77B02">
            <wp:extent cx="4320000" cy="3240000"/>
            <wp:effectExtent l="0" t="0" r="0" b="0"/>
            <wp:docPr id="122187585" name="Picture 1" descr="A graph of a number of utility and utility&#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187585" name="Picture 1" descr="A graph of a number of utility and utility&#10;&#10;Description automatically generated with medium confidence"/>
                    <pic:cNvPicPr/>
                  </pic:nvPicPr>
                  <pic:blipFill>
                    <a:blip r:embed="rId106">
                      <a:extLst>
                        <a:ext uri="{28A0092B-C50C-407E-A947-70E740481C1C}">
                          <a14:useLocalDpi xmlns:a14="http://schemas.microsoft.com/office/drawing/2010/main" val="0"/>
                        </a:ext>
                      </a:extLst>
                    </a:blip>
                    <a:stretch>
                      <a:fillRect/>
                    </a:stretch>
                  </pic:blipFill>
                  <pic:spPr>
                    <a:xfrm>
                      <a:off x="0" y="0"/>
                      <a:ext cx="4320000" cy="3240000"/>
                    </a:xfrm>
                    <a:prstGeom prst="rect">
                      <a:avLst/>
                    </a:prstGeom>
                  </pic:spPr>
                </pic:pic>
              </a:graphicData>
            </a:graphic>
          </wp:inline>
        </w:drawing>
      </w:r>
    </w:p>
    <w:p w14:paraId="7E302626" w14:textId="77777777" w:rsidR="008B60DB" w:rsidRPr="00F563BF" w:rsidRDefault="008B60DB" w:rsidP="008B60DB">
      <w:pPr>
        <w:rPr>
          <w:rFonts w:ascii="Calibri" w:hAnsi="Calibri" w:cs="Calibri"/>
        </w:rPr>
      </w:pPr>
    </w:p>
    <w:p w14:paraId="1229EA24" w14:textId="77777777" w:rsidR="008B60DB" w:rsidRDefault="008B60DB" w:rsidP="008B60DB"/>
    <w:p w14:paraId="79BCBA2E" w14:textId="77777777" w:rsidR="008B60DB" w:rsidRDefault="008B60DB" w:rsidP="008B60DB"/>
    <w:p w14:paraId="2059C782" w14:textId="77777777" w:rsidR="008B60DB" w:rsidRDefault="008B60DB" w:rsidP="008B60DB"/>
    <w:p w14:paraId="693C3034" w14:textId="77777777" w:rsidR="008B60DB" w:rsidRDefault="008B60DB" w:rsidP="008B60DB"/>
    <w:p w14:paraId="620F875D" w14:textId="77777777" w:rsidR="008B60DB" w:rsidRDefault="008B60DB" w:rsidP="008B60DB"/>
    <w:p w14:paraId="1DE7B4E6" w14:textId="77777777" w:rsidR="008B60DB" w:rsidRDefault="008B60DB" w:rsidP="008B60DB"/>
    <w:p w14:paraId="56178CE6" w14:textId="77777777" w:rsidR="008B60DB" w:rsidRDefault="008B60DB" w:rsidP="008B60DB"/>
    <w:p w14:paraId="7344A9AB" w14:textId="77777777" w:rsidR="008B60DB" w:rsidRDefault="008B60DB" w:rsidP="008B60DB"/>
    <w:p w14:paraId="0229B395" w14:textId="77777777" w:rsidR="008B60DB" w:rsidRDefault="008B60DB" w:rsidP="008B60DB"/>
    <w:p w14:paraId="30E937B6" w14:textId="77777777" w:rsidR="008B60DB" w:rsidRDefault="008B60DB" w:rsidP="008B60DB"/>
    <w:p w14:paraId="5D8F4685" w14:textId="77777777" w:rsidR="008B60DB" w:rsidRDefault="008B60DB" w:rsidP="008B60DB"/>
    <w:p w14:paraId="499DF0CA" w14:textId="77777777" w:rsidR="008B60DB" w:rsidRDefault="008B60DB" w:rsidP="008B60DB"/>
    <w:p w14:paraId="58544653" w14:textId="77777777" w:rsidR="008B60DB" w:rsidRDefault="008B60DB" w:rsidP="008B60DB"/>
    <w:p w14:paraId="02C33DE9" w14:textId="77777777" w:rsidR="008B60DB" w:rsidRDefault="008B60DB" w:rsidP="008B60DB"/>
    <w:p w14:paraId="6056743A" w14:textId="77777777" w:rsidR="008B60DB" w:rsidRDefault="008B60DB" w:rsidP="008B60DB"/>
    <w:p w14:paraId="4CBF6E0C" w14:textId="77777777" w:rsidR="008B60DB" w:rsidRDefault="008B60DB" w:rsidP="008B60DB"/>
    <w:p w14:paraId="4257DBAD" w14:textId="77777777" w:rsidR="008B60DB" w:rsidRDefault="008B60DB" w:rsidP="008B60DB"/>
    <w:p w14:paraId="132868A8" w14:textId="77777777" w:rsidR="008B60DB" w:rsidRDefault="008B60DB" w:rsidP="008B60DB"/>
    <w:p w14:paraId="0D0387A7" w14:textId="77777777" w:rsidR="008B60DB" w:rsidRDefault="008B60DB" w:rsidP="008B60DB"/>
    <w:p w14:paraId="2011A8BE" w14:textId="77777777" w:rsidR="008B60DB" w:rsidRDefault="008B60DB" w:rsidP="008B60DB"/>
    <w:p w14:paraId="242E87ED" w14:textId="77777777" w:rsidR="008B60DB" w:rsidRDefault="008B60DB" w:rsidP="008B60DB"/>
    <w:p w14:paraId="1F9C2C39" w14:textId="77777777" w:rsidR="008B60DB" w:rsidRDefault="008B60DB" w:rsidP="008B60DB"/>
    <w:p w14:paraId="0CCBFB39" w14:textId="77777777" w:rsidR="008B60DB" w:rsidRDefault="008B60DB" w:rsidP="008B60DB"/>
    <w:p w14:paraId="01206524" w14:textId="77777777" w:rsidR="008B60DB" w:rsidRDefault="008B60DB" w:rsidP="008B60DB"/>
    <w:p w14:paraId="46F4CD64" w14:textId="77777777" w:rsidR="008B60DB" w:rsidRDefault="008B60DB" w:rsidP="008B60DB"/>
    <w:p w14:paraId="79EBB490" w14:textId="77777777" w:rsidR="008B60DB" w:rsidRDefault="008B60DB" w:rsidP="001D7ACE"/>
    <w:p w14:paraId="4E6A897F" w14:textId="77777777" w:rsidR="008B60DB" w:rsidRPr="00037AD4" w:rsidRDefault="008B60DB" w:rsidP="001D7ACE">
      <w:pPr>
        <w:rPr>
          <w:rFonts w:asciiTheme="minorHAnsi" w:hAnsiTheme="minorHAnsi" w:cstheme="minorHAnsi"/>
          <w:sz w:val="26"/>
          <w:szCs w:val="26"/>
          <w:u w:val="single"/>
        </w:rPr>
      </w:pPr>
    </w:p>
    <w:p w14:paraId="53A13E76" w14:textId="6DD32BF6" w:rsidR="008B60DB" w:rsidRPr="008B60DB" w:rsidRDefault="00B54D51" w:rsidP="008B60DB">
      <w:pPr>
        <w:pStyle w:val="Heading2"/>
      </w:pPr>
      <w:bookmarkStart w:id="551" w:name="_Appendix_6.5_Utility"/>
      <w:bookmarkStart w:id="552" w:name="_Toc175742422"/>
      <w:bookmarkEnd w:id="551"/>
      <w:r w:rsidRPr="00037AD4">
        <w:lastRenderedPageBreak/>
        <w:t>Appendix 6.5 Utility score estimations using 2018 EQ-5D-5L value set for England</w:t>
      </w:r>
      <w:bookmarkEnd w:id="552"/>
      <w:r w:rsidRPr="00037AD4">
        <w:t xml:space="preserve"> </w:t>
      </w:r>
    </w:p>
    <w:p w14:paraId="531EEE82" w14:textId="77777777" w:rsidR="00B54D51" w:rsidRPr="00037AD4" w:rsidRDefault="00B54D51" w:rsidP="00F5430A">
      <w:pPr>
        <w:rPr>
          <w:rFonts w:asciiTheme="minorHAnsi" w:hAnsiTheme="minorHAnsi" w:cstheme="minorHAnsi"/>
        </w:rPr>
      </w:pPr>
    </w:p>
    <w:p w14:paraId="64B0D135" w14:textId="77777777" w:rsidR="00B54D51" w:rsidRPr="00037AD4" w:rsidRDefault="00B54D51" w:rsidP="00F5430A">
      <w:pPr>
        <w:rPr>
          <w:rFonts w:asciiTheme="minorHAnsi" w:hAnsiTheme="minorHAnsi" w:cstheme="minorHAnsi"/>
          <w:u w:val="single"/>
        </w:rPr>
      </w:pPr>
      <w:r w:rsidRPr="00037AD4">
        <w:rPr>
          <w:rFonts w:asciiTheme="minorHAnsi" w:hAnsiTheme="minorHAnsi" w:cstheme="minorHAnsi"/>
          <w:u w:val="single"/>
        </w:rPr>
        <w:t xml:space="preserve">Table 6.5a, ACTIFCARE utility estimations using 2018 EQ-5D-5L value set for England </w:t>
      </w:r>
    </w:p>
    <w:p w14:paraId="6E56D23E" w14:textId="77777777" w:rsidR="00B54D51" w:rsidRPr="00037AD4" w:rsidRDefault="00B54D51" w:rsidP="00F5430A">
      <w:pPr>
        <w:rPr>
          <w:rFonts w:asciiTheme="minorHAnsi" w:hAnsiTheme="minorHAnsi" w:cstheme="minorHAnsi"/>
        </w:rPr>
      </w:pPr>
    </w:p>
    <w:tbl>
      <w:tblPr>
        <w:tblStyle w:val="TableGrid"/>
        <w:tblW w:w="5000" w:type="pct"/>
        <w:tblLook w:val="04A0" w:firstRow="1" w:lastRow="0" w:firstColumn="1" w:lastColumn="0" w:noHBand="0" w:noVBand="1"/>
      </w:tblPr>
      <w:tblGrid>
        <w:gridCol w:w="3123"/>
        <w:gridCol w:w="1015"/>
        <w:gridCol w:w="1365"/>
        <w:gridCol w:w="1122"/>
        <w:gridCol w:w="2391"/>
      </w:tblGrid>
      <w:tr w:rsidR="00B54D51" w:rsidRPr="00037AD4" w14:paraId="25BB2BA3" w14:textId="77777777" w:rsidTr="008A5851">
        <w:trPr>
          <w:trHeight w:val="295"/>
        </w:trPr>
        <w:tc>
          <w:tcPr>
            <w:tcW w:w="5000" w:type="pct"/>
            <w:gridSpan w:val="5"/>
            <w:shd w:val="clear" w:color="auto" w:fill="E7E6E6" w:themeFill="background2"/>
          </w:tcPr>
          <w:p w14:paraId="13CC7542" w14:textId="77777777" w:rsidR="00B54D51" w:rsidRPr="00037AD4" w:rsidRDefault="00B54D51" w:rsidP="008A5851">
            <w:pPr>
              <w:rPr>
                <w:rFonts w:asciiTheme="minorHAnsi" w:hAnsiTheme="minorHAnsi" w:cstheme="minorHAnsi"/>
              </w:rPr>
            </w:pPr>
            <w:r w:rsidRPr="00037AD4">
              <w:rPr>
                <w:rFonts w:asciiTheme="minorHAnsi" w:hAnsiTheme="minorHAnsi" w:cstheme="minorHAnsi"/>
              </w:rPr>
              <w:t xml:space="preserve">Using the EQ-5D-5L value set </w:t>
            </w:r>
          </w:p>
        </w:tc>
      </w:tr>
      <w:tr w:rsidR="00B54D51" w:rsidRPr="00037AD4" w14:paraId="17FAD344" w14:textId="77777777" w:rsidTr="008A5851">
        <w:trPr>
          <w:trHeight w:val="276"/>
        </w:trPr>
        <w:tc>
          <w:tcPr>
            <w:tcW w:w="1732" w:type="pct"/>
          </w:tcPr>
          <w:p w14:paraId="1885CAB5" w14:textId="77777777" w:rsidR="00B54D51" w:rsidRPr="00037AD4" w:rsidRDefault="00B54D51" w:rsidP="008A5851">
            <w:pPr>
              <w:rPr>
                <w:rFonts w:asciiTheme="minorHAnsi" w:hAnsiTheme="minorHAnsi" w:cstheme="minorHAnsi"/>
              </w:rPr>
            </w:pPr>
            <w:r w:rsidRPr="00037AD4">
              <w:rPr>
                <w:rFonts w:asciiTheme="minorHAnsi" w:hAnsiTheme="minorHAnsi" w:cstheme="minorHAnsi"/>
              </w:rPr>
              <w:t>Target response</w:t>
            </w:r>
          </w:p>
        </w:tc>
        <w:tc>
          <w:tcPr>
            <w:tcW w:w="563" w:type="pct"/>
          </w:tcPr>
          <w:p w14:paraId="5FBE47F6" w14:textId="77777777" w:rsidR="00B54D51" w:rsidRPr="00037AD4" w:rsidRDefault="00B54D51" w:rsidP="008A5851">
            <w:pPr>
              <w:rPr>
                <w:rFonts w:asciiTheme="minorHAnsi" w:hAnsiTheme="minorHAnsi" w:cstheme="minorHAnsi"/>
              </w:rPr>
            </w:pPr>
            <w:r w:rsidRPr="00037AD4">
              <w:rPr>
                <w:rFonts w:asciiTheme="minorHAnsi" w:hAnsiTheme="minorHAnsi" w:cstheme="minorHAnsi"/>
              </w:rPr>
              <w:t>N</w:t>
            </w:r>
          </w:p>
        </w:tc>
        <w:tc>
          <w:tcPr>
            <w:tcW w:w="757" w:type="pct"/>
          </w:tcPr>
          <w:p w14:paraId="21DB89C7" w14:textId="77777777" w:rsidR="00B54D51" w:rsidRPr="00037AD4" w:rsidRDefault="00B54D51" w:rsidP="008A5851">
            <w:pPr>
              <w:rPr>
                <w:rFonts w:asciiTheme="minorHAnsi" w:hAnsiTheme="minorHAnsi" w:cstheme="minorHAnsi"/>
              </w:rPr>
            </w:pPr>
            <w:r w:rsidRPr="00037AD4">
              <w:rPr>
                <w:rFonts w:asciiTheme="minorHAnsi" w:hAnsiTheme="minorHAnsi" w:cstheme="minorHAnsi"/>
              </w:rPr>
              <w:t xml:space="preserve">Mean </w:t>
            </w:r>
          </w:p>
        </w:tc>
        <w:tc>
          <w:tcPr>
            <w:tcW w:w="622" w:type="pct"/>
          </w:tcPr>
          <w:p w14:paraId="7E414FDC" w14:textId="77777777" w:rsidR="00B54D51" w:rsidRPr="00037AD4" w:rsidRDefault="00B54D51" w:rsidP="008A5851">
            <w:pPr>
              <w:rPr>
                <w:rFonts w:asciiTheme="minorHAnsi" w:hAnsiTheme="minorHAnsi" w:cstheme="minorHAnsi"/>
              </w:rPr>
            </w:pPr>
            <w:r w:rsidRPr="00037AD4">
              <w:rPr>
                <w:rFonts w:asciiTheme="minorHAnsi" w:hAnsiTheme="minorHAnsi" w:cstheme="minorHAnsi"/>
              </w:rPr>
              <w:t>SD</w:t>
            </w:r>
          </w:p>
        </w:tc>
        <w:tc>
          <w:tcPr>
            <w:tcW w:w="1326" w:type="pct"/>
          </w:tcPr>
          <w:p w14:paraId="2AA1B072" w14:textId="77777777" w:rsidR="00B54D51" w:rsidRPr="00037AD4" w:rsidRDefault="00B54D51" w:rsidP="008A5851">
            <w:pPr>
              <w:rPr>
                <w:rFonts w:asciiTheme="minorHAnsi" w:hAnsiTheme="minorHAnsi" w:cstheme="minorHAnsi"/>
              </w:rPr>
            </w:pPr>
            <w:r w:rsidRPr="00037AD4">
              <w:rPr>
                <w:rFonts w:asciiTheme="minorHAnsi" w:hAnsiTheme="minorHAnsi" w:cstheme="minorHAnsi"/>
              </w:rPr>
              <w:t xml:space="preserve">Min – Max </w:t>
            </w:r>
          </w:p>
        </w:tc>
      </w:tr>
      <w:tr w:rsidR="00B54D51" w:rsidRPr="00037AD4" w14:paraId="34848CE2" w14:textId="77777777" w:rsidTr="008A5851">
        <w:trPr>
          <w:trHeight w:val="295"/>
        </w:trPr>
        <w:tc>
          <w:tcPr>
            <w:tcW w:w="1732" w:type="pct"/>
          </w:tcPr>
          <w:p w14:paraId="0C87A6FB" w14:textId="77777777" w:rsidR="00B54D51" w:rsidRPr="00037AD4" w:rsidRDefault="00B54D51" w:rsidP="008A5851">
            <w:pPr>
              <w:rPr>
                <w:rFonts w:asciiTheme="minorHAnsi" w:hAnsiTheme="minorHAnsi" w:cstheme="minorHAnsi"/>
              </w:rPr>
            </w:pPr>
            <w:r w:rsidRPr="00037AD4">
              <w:rPr>
                <w:rFonts w:asciiTheme="minorHAnsi" w:hAnsiTheme="minorHAnsi" w:cstheme="minorHAnsi"/>
              </w:rPr>
              <w:t>Observed data</w:t>
            </w:r>
          </w:p>
        </w:tc>
        <w:tc>
          <w:tcPr>
            <w:tcW w:w="563" w:type="pct"/>
          </w:tcPr>
          <w:p w14:paraId="4B1DA567" w14:textId="77777777" w:rsidR="00B54D51" w:rsidRPr="00037AD4" w:rsidRDefault="00B54D51" w:rsidP="008A5851">
            <w:pPr>
              <w:rPr>
                <w:rFonts w:asciiTheme="minorHAnsi" w:hAnsiTheme="minorHAnsi" w:cstheme="minorHAnsi"/>
              </w:rPr>
            </w:pPr>
            <w:r w:rsidRPr="00037AD4">
              <w:rPr>
                <w:rFonts w:asciiTheme="minorHAnsi" w:hAnsiTheme="minorHAnsi" w:cstheme="minorHAnsi"/>
              </w:rPr>
              <w:t>962</w:t>
            </w:r>
          </w:p>
        </w:tc>
        <w:tc>
          <w:tcPr>
            <w:tcW w:w="757" w:type="pct"/>
          </w:tcPr>
          <w:p w14:paraId="4B5F3F6D" w14:textId="77777777" w:rsidR="00B54D51" w:rsidRPr="00037AD4" w:rsidRDefault="00B54D51" w:rsidP="008A5851">
            <w:pPr>
              <w:rPr>
                <w:rFonts w:asciiTheme="minorHAnsi" w:hAnsiTheme="minorHAnsi" w:cstheme="minorHAnsi"/>
              </w:rPr>
            </w:pPr>
            <w:r w:rsidRPr="00037AD4">
              <w:rPr>
                <w:rFonts w:asciiTheme="minorHAnsi" w:hAnsiTheme="minorHAnsi" w:cstheme="minorHAnsi"/>
              </w:rPr>
              <w:t>0.77</w:t>
            </w:r>
          </w:p>
        </w:tc>
        <w:tc>
          <w:tcPr>
            <w:tcW w:w="622" w:type="pct"/>
          </w:tcPr>
          <w:p w14:paraId="20111EBA" w14:textId="77777777" w:rsidR="00B54D51" w:rsidRPr="00037AD4" w:rsidRDefault="00B54D51" w:rsidP="008A5851">
            <w:pPr>
              <w:rPr>
                <w:rFonts w:asciiTheme="minorHAnsi" w:hAnsiTheme="minorHAnsi" w:cstheme="minorHAnsi"/>
              </w:rPr>
            </w:pPr>
            <w:r w:rsidRPr="00037AD4">
              <w:rPr>
                <w:rFonts w:asciiTheme="minorHAnsi" w:hAnsiTheme="minorHAnsi" w:cstheme="minorHAnsi"/>
              </w:rPr>
              <w:t>0.18</w:t>
            </w:r>
          </w:p>
        </w:tc>
        <w:tc>
          <w:tcPr>
            <w:tcW w:w="1326" w:type="pct"/>
          </w:tcPr>
          <w:p w14:paraId="4BD48F26" w14:textId="77777777" w:rsidR="00B54D51" w:rsidRPr="00037AD4" w:rsidRDefault="00B54D51" w:rsidP="008A5851">
            <w:pPr>
              <w:rPr>
                <w:rFonts w:asciiTheme="minorHAnsi" w:hAnsiTheme="minorHAnsi" w:cstheme="minorHAnsi"/>
              </w:rPr>
            </w:pPr>
            <w:r w:rsidRPr="00037AD4">
              <w:rPr>
                <w:rFonts w:asciiTheme="minorHAnsi" w:hAnsiTheme="minorHAnsi" w:cstheme="minorHAnsi"/>
              </w:rPr>
              <w:t>-0.16 – 1</w:t>
            </w:r>
          </w:p>
        </w:tc>
      </w:tr>
      <w:tr w:rsidR="00B54D51" w:rsidRPr="00037AD4" w14:paraId="7158C75B" w14:textId="77777777" w:rsidTr="008A5851">
        <w:trPr>
          <w:trHeight w:val="276"/>
        </w:trPr>
        <w:tc>
          <w:tcPr>
            <w:tcW w:w="1732" w:type="pct"/>
          </w:tcPr>
          <w:p w14:paraId="5C1D790A" w14:textId="77777777" w:rsidR="00B54D51" w:rsidRPr="00037AD4" w:rsidRDefault="00B54D51" w:rsidP="008A5851">
            <w:pPr>
              <w:rPr>
                <w:rFonts w:asciiTheme="minorHAnsi" w:hAnsiTheme="minorHAnsi" w:cstheme="minorHAnsi"/>
              </w:rPr>
            </w:pPr>
            <w:r w:rsidRPr="00037AD4">
              <w:rPr>
                <w:rFonts w:asciiTheme="minorHAnsi" w:hAnsiTheme="minorHAnsi" w:cstheme="minorHAnsi"/>
              </w:rPr>
              <w:t>Predicted data</w:t>
            </w:r>
          </w:p>
        </w:tc>
        <w:tc>
          <w:tcPr>
            <w:tcW w:w="563" w:type="pct"/>
          </w:tcPr>
          <w:p w14:paraId="71B964A6" w14:textId="77777777" w:rsidR="00B54D51" w:rsidRPr="00037AD4" w:rsidRDefault="00B54D51" w:rsidP="008A5851">
            <w:pPr>
              <w:rPr>
                <w:rFonts w:asciiTheme="minorHAnsi" w:hAnsiTheme="minorHAnsi" w:cstheme="minorHAnsi"/>
              </w:rPr>
            </w:pPr>
            <w:r w:rsidRPr="00037AD4">
              <w:rPr>
                <w:rFonts w:asciiTheme="minorHAnsi" w:hAnsiTheme="minorHAnsi" w:cstheme="minorHAnsi"/>
              </w:rPr>
              <w:t>962</w:t>
            </w:r>
          </w:p>
        </w:tc>
        <w:tc>
          <w:tcPr>
            <w:tcW w:w="757" w:type="pct"/>
          </w:tcPr>
          <w:p w14:paraId="70572359" w14:textId="77777777" w:rsidR="00B54D51" w:rsidRPr="00037AD4" w:rsidRDefault="00B54D51" w:rsidP="008A5851">
            <w:pPr>
              <w:rPr>
                <w:rFonts w:asciiTheme="minorHAnsi" w:hAnsiTheme="minorHAnsi" w:cstheme="minorHAnsi"/>
              </w:rPr>
            </w:pPr>
            <w:r w:rsidRPr="00037AD4">
              <w:rPr>
                <w:rFonts w:asciiTheme="minorHAnsi" w:hAnsiTheme="minorHAnsi" w:cstheme="minorHAnsi"/>
              </w:rPr>
              <w:t>0.77</w:t>
            </w:r>
          </w:p>
        </w:tc>
        <w:tc>
          <w:tcPr>
            <w:tcW w:w="622" w:type="pct"/>
          </w:tcPr>
          <w:p w14:paraId="59F3EEAA" w14:textId="77777777" w:rsidR="00B54D51" w:rsidRPr="00037AD4" w:rsidRDefault="00B54D51" w:rsidP="008A5851">
            <w:pPr>
              <w:rPr>
                <w:rFonts w:asciiTheme="minorHAnsi" w:hAnsiTheme="minorHAnsi" w:cstheme="minorHAnsi"/>
              </w:rPr>
            </w:pPr>
            <w:r w:rsidRPr="00037AD4">
              <w:rPr>
                <w:rFonts w:asciiTheme="minorHAnsi" w:hAnsiTheme="minorHAnsi" w:cstheme="minorHAnsi"/>
              </w:rPr>
              <w:t>0.10</w:t>
            </w:r>
          </w:p>
        </w:tc>
        <w:tc>
          <w:tcPr>
            <w:tcW w:w="1326" w:type="pct"/>
          </w:tcPr>
          <w:p w14:paraId="7E17C7CC" w14:textId="77777777" w:rsidR="00B54D51" w:rsidRPr="00037AD4" w:rsidRDefault="00B54D51" w:rsidP="008A5851">
            <w:pPr>
              <w:rPr>
                <w:rFonts w:asciiTheme="minorHAnsi" w:hAnsiTheme="minorHAnsi" w:cstheme="minorHAnsi"/>
              </w:rPr>
            </w:pPr>
            <w:r w:rsidRPr="00037AD4">
              <w:rPr>
                <w:rFonts w:asciiTheme="minorHAnsi" w:hAnsiTheme="minorHAnsi" w:cstheme="minorHAnsi"/>
              </w:rPr>
              <w:t xml:space="preserve">0.38 – 0.93 </w:t>
            </w:r>
          </w:p>
        </w:tc>
      </w:tr>
    </w:tbl>
    <w:p w14:paraId="75E4DDC6" w14:textId="77777777" w:rsidR="00B54D51" w:rsidRPr="00037AD4" w:rsidRDefault="00B54D51" w:rsidP="00F5430A">
      <w:pPr>
        <w:rPr>
          <w:rFonts w:asciiTheme="minorHAnsi" w:hAnsiTheme="minorHAnsi" w:cstheme="minorHAnsi"/>
        </w:rPr>
      </w:pPr>
    </w:p>
    <w:p w14:paraId="681CEE89" w14:textId="77777777" w:rsidR="00B54D51" w:rsidRPr="00037AD4" w:rsidRDefault="00B54D51" w:rsidP="00F5430A">
      <w:pPr>
        <w:rPr>
          <w:rFonts w:asciiTheme="minorHAnsi" w:hAnsiTheme="minorHAnsi" w:cstheme="minorHAnsi"/>
          <w:color w:val="FF0000"/>
        </w:rPr>
      </w:pPr>
      <w:r w:rsidRPr="00037AD4">
        <w:rPr>
          <w:rFonts w:asciiTheme="minorHAnsi" w:hAnsiTheme="minorHAnsi" w:cstheme="minorHAnsi"/>
        </w:rPr>
        <w:t xml:space="preserve">Figures A6.5a and A6.5b below display the distribution of utility scores from the combined target respondents for the observed and predicted data respectively when calculated using the 2018 EQ-5D-5L value set for England </w:t>
      </w:r>
      <w:r>
        <w:rPr>
          <w:rFonts w:asciiTheme="minorHAnsi" w:hAnsiTheme="minorHAnsi" w:cstheme="minorHAnsi"/>
          <w:noProof/>
        </w:rPr>
        <w:t>(Devlin et al., 2018)</w:t>
      </w:r>
      <w:r w:rsidRPr="00037AD4">
        <w:rPr>
          <w:rFonts w:asciiTheme="minorHAnsi" w:hAnsiTheme="minorHAnsi" w:cstheme="minorHAnsi"/>
        </w:rPr>
        <w:t xml:space="preserve">. Figure A6.5a shows the characteristic gap of scores before full health (at score one), typical to EQ-5D distributions generated from observed data </w:t>
      </w:r>
      <w:r>
        <w:rPr>
          <w:rFonts w:asciiTheme="minorHAnsi" w:hAnsiTheme="minorHAnsi" w:cstheme="minorHAnsi"/>
          <w:noProof/>
        </w:rPr>
        <w:t>(Devlin et al., 2020)</w:t>
      </w:r>
      <w:r w:rsidRPr="00037AD4">
        <w:rPr>
          <w:rFonts w:asciiTheme="minorHAnsi" w:hAnsiTheme="minorHAnsi" w:cstheme="minorHAnsi"/>
        </w:rPr>
        <w:t xml:space="preserve">. As shown, the variability of utility values derived from the observed data versus those predicted by the ordered probit models shows a wider range of spread, as is inevitably the case when using data derived from predictive mapping models. </w:t>
      </w:r>
      <w:r w:rsidRPr="00037AD4">
        <w:rPr>
          <w:rFonts w:asciiTheme="minorHAnsi" w:hAnsiTheme="minorHAnsi" w:cstheme="minorHAnsi"/>
          <w:color w:val="FF0000"/>
        </w:rPr>
        <w:t xml:space="preserve"> </w:t>
      </w:r>
    </w:p>
    <w:p w14:paraId="38F7F67B" w14:textId="77777777" w:rsidR="00B54D51" w:rsidRPr="00037AD4" w:rsidRDefault="00B54D51" w:rsidP="00F5430A">
      <w:pPr>
        <w:rPr>
          <w:rFonts w:asciiTheme="minorHAnsi" w:hAnsiTheme="minorHAnsi" w:cstheme="minorHAnsi"/>
          <w:color w:val="FF0000"/>
        </w:rPr>
      </w:pPr>
    </w:p>
    <w:p w14:paraId="1BB79810" w14:textId="77777777" w:rsidR="00B54D51" w:rsidRPr="00037AD4" w:rsidRDefault="00000000" w:rsidP="00F5430A">
      <w:pPr>
        <w:rPr>
          <w:rFonts w:asciiTheme="minorHAnsi" w:hAnsiTheme="minorHAnsi" w:cstheme="minorHAnsi"/>
          <w:color w:val="000000" w:themeColor="text1"/>
        </w:rPr>
      </w:pPr>
      <w:hyperlink w:anchor="FIGUREA66a" w:history="1">
        <w:r w:rsidR="00B54D51" w:rsidRPr="00830480">
          <w:rPr>
            <w:rStyle w:val="Hyperlink"/>
            <w:rFonts w:asciiTheme="minorHAnsi" w:hAnsiTheme="minorHAnsi" w:cstheme="minorHAnsi"/>
            <w:color w:val="auto"/>
            <w:u w:val="none"/>
          </w:rPr>
          <w:t>Figure A6.6a in Appendix 6.6</w:t>
        </w:r>
      </w:hyperlink>
      <w:r w:rsidR="00B54D51" w:rsidRPr="00830480">
        <w:rPr>
          <w:rFonts w:asciiTheme="minorHAnsi" w:hAnsiTheme="minorHAnsi" w:cstheme="minorHAnsi"/>
        </w:rPr>
        <w:t xml:space="preserve"> </w:t>
      </w:r>
      <w:r w:rsidR="00B54D51" w:rsidRPr="00037AD4">
        <w:rPr>
          <w:rFonts w:asciiTheme="minorHAnsi" w:hAnsiTheme="minorHAnsi" w:cstheme="minorHAnsi"/>
          <w:color w:val="000000" w:themeColor="text1"/>
        </w:rPr>
        <w:t xml:space="preserve">plots the EQ-5D index scores from the observed data and the predictions as estimated via the 2018 EQ-5D-5L value set. The plot suggests a weak positive correlation between the scores, and clustering at the higher end of scores makes definitive interpretation challenging. </w:t>
      </w:r>
    </w:p>
    <w:p w14:paraId="6D516D4F" w14:textId="77777777" w:rsidR="00B54D51" w:rsidRPr="00037AD4" w:rsidRDefault="00B54D51" w:rsidP="00F5430A">
      <w:pPr>
        <w:rPr>
          <w:rFonts w:asciiTheme="minorHAnsi" w:hAnsiTheme="minorHAnsi" w:cstheme="minorHAnsi"/>
        </w:rPr>
      </w:pPr>
    </w:p>
    <w:p w14:paraId="67DB652F" w14:textId="118E0090" w:rsidR="00B54D51" w:rsidRPr="00037AD4" w:rsidRDefault="00830480" w:rsidP="00F5430A">
      <w:pPr>
        <w:rPr>
          <w:rFonts w:asciiTheme="minorHAnsi" w:hAnsiTheme="minorHAnsi" w:cstheme="minorHAnsi"/>
        </w:rPr>
      </w:pPr>
      <w:r w:rsidRPr="00037AD4">
        <w:rPr>
          <w:rFonts w:asciiTheme="minorHAnsi" w:hAnsiTheme="minorHAnsi" w:cstheme="minorHAnsi"/>
          <w:noProof/>
          <w:lang w:eastAsia="zh-CN"/>
        </w:rPr>
        <w:drawing>
          <wp:inline distT="0" distB="0" distL="0" distR="0" wp14:anchorId="69F945C0" wp14:editId="1AF5B6E3">
            <wp:extent cx="2720197" cy="1951200"/>
            <wp:effectExtent l="0" t="0" r="0" b="5080"/>
            <wp:docPr id="114" name="Picture 114" descr="A graph of a number of peopl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Picture 3" descr="A graph of a number of people&#10;&#10;Description automatically generated"/>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720197" cy="1951200"/>
                    </a:xfrm>
                    <a:prstGeom prst="rect">
                      <a:avLst/>
                    </a:prstGeom>
                  </pic:spPr>
                </pic:pic>
              </a:graphicData>
            </a:graphic>
          </wp:inline>
        </w:drawing>
      </w:r>
      <w:r w:rsidR="00B54D51" w:rsidRPr="00037AD4">
        <w:rPr>
          <w:rFonts w:asciiTheme="minorHAnsi" w:hAnsiTheme="minorHAnsi" w:cstheme="minorHAnsi"/>
        </w:rPr>
        <w:t xml:space="preserve">    </w:t>
      </w:r>
      <w:r w:rsidRPr="00037AD4">
        <w:rPr>
          <w:rFonts w:asciiTheme="minorHAnsi" w:hAnsiTheme="minorHAnsi" w:cstheme="minorHAnsi"/>
          <w:noProof/>
          <w:lang w:eastAsia="zh-CN"/>
        </w:rPr>
        <w:drawing>
          <wp:inline distT="0" distB="0" distL="0" distR="0" wp14:anchorId="0FB84BC3" wp14:editId="2C3F3B34">
            <wp:extent cx="2722359" cy="1958400"/>
            <wp:effectExtent l="0" t="0" r="0" b="0"/>
            <wp:docPr id="47" name="Picture 47" descr="A graph showing a number of different valu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graph showing a number of different values&#10;&#10;Description automatically generated with medium confidence"/>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722359" cy="1958400"/>
                    </a:xfrm>
                    <a:prstGeom prst="rect">
                      <a:avLst/>
                    </a:prstGeom>
                  </pic:spPr>
                </pic:pic>
              </a:graphicData>
            </a:graphic>
          </wp:inline>
        </w:drawing>
      </w:r>
    </w:p>
    <w:p w14:paraId="49C0CDE1" w14:textId="1582D780" w:rsidR="00B54D51" w:rsidRDefault="00B54D51" w:rsidP="00F5430A">
      <w:pPr>
        <w:rPr>
          <w:rFonts w:asciiTheme="minorHAnsi" w:hAnsiTheme="minorHAnsi" w:cstheme="minorHAnsi"/>
        </w:rPr>
      </w:pPr>
      <w:r w:rsidRPr="00037AD4">
        <w:rPr>
          <w:rFonts w:asciiTheme="minorHAnsi" w:hAnsiTheme="minorHAnsi" w:cstheme="minorHAnsi"/>
        </w:rPr>
        <w:tab/>
      </w:r>
      <w:r w:rsidRPr="00037AD4">
        <w:rPr>
          <w:rFonts w:asciiTheme="minorHAnsi" w:hAnsiTheme="minorHAnsi" w:cstheme="minorHAnsi"/>
        </w:rPr>
        <w:tab/>
        <w:t xml:space="preserve">          A6.5a</w:t>
      </w:r>
      <w:r w:rsidRPr="00037AD4">
        <w:rPr>
          <w:rFonts w:asciiTheme="minorHAnsi" w:hAnsiTheme="minorHAnsi" w:cstheme="minorHAnsi"/>
        </w:rPr>
        <w:tab/>
      </w:r>
      <w:r w:rsidRPr="00037AD4">
        <w:rPr>
          <w:rFonts w:asciiTheme="minorHAnsi" w:hAnsiTheme="minorHAnsi" w:cstheme="minorHAnsi"/>
        </w:rPr>
        <w:tab/>
      </w:r>
      <w:r w:rsidRPr="00037AD4">
        <w:rPr>
          <w:rFonts w:asciiTheme="minorHAnsi" w:hAnsiTheme="minorHAnsi" w:cstheme="minorHAnsi"/>
        </w:rPr>
        <w:tab/>
      </w:r>
      <w:r w:rsidRPr="00037AD4">
        <w:rPr>
          <w:rFonts w:asciiTheme="minorHAnsi" w:hAnsiTheme="minorHAnsi" w:cstheme="minorHAnsi"/>
        </w:rPr>
        <w:tab/>
      </w:r>
      <w:r w:rsidRPr="00037AD4">
        <w:rPr>
          <w:rFonts w:asciiTheme="minorHAnsi" w:hAnsiTheme="minorHAnsi" w:cstheme="minorHAnsi"/>
        </w:rPr>
        <w:tab/>
        <w:t xml:space="preserve">  </w:t>
      </w:r>
      <w:r w:rsidRPr="00037AD4">
        <w:rPr>
          <w:rFonts w:asciiTheme="minorHAnsi" w:hAnsiTheme="minorHAnsi" w:cstheme="minorHAnsi"/>
        </w:rPr>
        <w:tab/>
        <w:t>A6.5b</w:t>
      </w:r>
    </w:p>
    <w:p w14:paraId="1A182CAA" w14:textId="77777777" w:rsidR="00E27E15" w:rsidRPr="00037AD4" w:rsidRDefault="00E27E15" w:rsidP="00F5430A">
      <w:pPr>
        <w:rPr>
          <w:rFonts w:asciiTheme="minorHAnsi" w:hAnsiTheme="minorHAnsi" w:cstheme="minorHAnsi"/>
        </w:rPr>
      </w:pPr>
    </w:p>
    <w:p w14:paraId="04A7161F" w14:textId="77777777" w:rsidR="00B54D51" w:rsidRPr="00037AD4" w:rsidRDefault="00B54D51" w:rsidP="00F5430A">
      <w:pPr>
        <w:rPr>
          <w:rFonts w:asciiTheme="minorHAnsi" w:hAnsiTheme="minorHAnsi" w:cstheme="minorHAnsi"/>
          <w:b/>
          <w:bCs/>
          <w:i/>
          <w:iCs/>
        </w:rPr>
      </w:pPr>
      <w:r w:rsidRPr="00037AD4">
        <w:rPr>
          <w:rFonts w:asciiTheme="minorHAnsi" w:hAnsiTheme="minorHAnsi" w:cstheme="minorHAnsi"/>
          <w:b/>
          <w:bCs/>
          <w:i/>
          <w:iCs/>
        </w:rPr>
        <w:t xml:space="preserve">Figure A6.5a, EQ-5D index score distribution: actual data via target respondents   </w:t>
      </w:r>
    </w:p>
    <w:p w14:paraId="19084D86" w14:textId="67C2C4B0" w:rsidR="00B54D51" w:rsidRPr="00037AD4" w:rsidRDefault="00B54D51" w:rsidP="00F5430A">
      <w:pPr>
        <w:rPr>
          <w:rFonts w:asciiTheme="minorHAnsi" w:hAnsiTheme="minorHAnsi" w:cstheme="minorHAnsi"/>
          <w:b/>
          <w:bCs/>
          <w:i/>
          <w:iCs/>
        </w:rPr>
      </w:pPr>
      <w:r w:rsidRPr="00037AD4">
        <w:rPr>
          <w:rFonts w:asciiTheme="minorHAnsi" w:hAnsiTheme="minorHAnsi" w:cstheme="minorHAnsi"/>
          <w:b/>
          <w:bCs/>
          <w:i/>
          <w:iCs/>
        </w:rPr>
        <w:t xml:space="preserve">Figure A6.5b, EQ-5D index score distribution: predicted data </w:t>
      </w:r>
      <w:r w:rsidR="00194F54">
        <w:rPr>
          <w:rFonts w:asciiTheme="minorHAnsi" w:hAnsiTheme="minorHAnsi" w:cstheme="minorHAnsi"/>
          <w:b/>
          <w:bCs/>
          <w:i/>
          <w:iCs/>
        </w:rPr>
        <w:t xml:space="preserve">  </w:t>
      </w:r>
    </w:p>
    <w:p w14:paraId="6E92D23D" w14:textId="77777777" w:rsidR="00B54D51" w:rsidRPr="00037AD4" w:rsidRDefault="00B54D51" w:rsidP="00F5430A">
      <w:pPr>
        <w:rPr>
          <w:rFonts w:asciiTheme="minorHAnsi" w:hAnsiTheme="minorHAnsi" w:cstheme="minorHAnsi"/>
        </w:rPr>
      </w:pPr>
    </w:p>
    <w:p w14:paraId="11984FB8" w14:textId="77777777" w:rsidR="00B54D51" w:rsidRPr="00037AD4" w:rsidRDefault="00B54D51" w:rsidP="00E44A3C">
      <w:pPr>
        <w:rPr>
          <w:rFonts w:asciiTheme="minorHAnsi" w:hAnsiTheme="minorHAnsi" w:cstheme="minorHAnsi"/>
        </w:rPr>
      </w:pPr>
      <w:r w:rsidRPr="00037AD4">
        <w:rPr>
          <w:rFonts w:asciiTheme="minorHAnsi" w:hAnsiTheme="minorHAnsi" w:cstheme="minorHAnsi"/>
        </w:rPr>
        <w:t>Figure A6.5c displays the mean observed versus mean predicted EQ-5D-5L utility scores over the distribution of MMSE scores; Figure A6.5d displays the same information while additionally plotting the error in the predictions generated using the models. As shown, the utility values from the predictions are overestimated at both extremes of the MMSE scale.</w:t>
      </w:r>
    </w:p>
    <w:p w14:paraId="1B370C81" w14:textId="77777777" w:rsidR="00B54D51" w:rsidRDefault="00B54D51" w:rsidP="00F5430A">
      <w:pPr>
        <w:rPr>
          <w:rFonts w:asciiTheme="minorHAnsi" w:hAnsiTheme="minorHAnsi" w:cstheme="minorHAnsi"/>
        </w:rPr>
      </w:pPr>
    </w:p>
    <w:p w14:paraId="79AD3FDC" w14:textId="77777777" w:rsidR="008B60DB" w:rsidRDefault="008B60DB" w:rsidP="00F5430A">
      <w:pPr>
        <w:rPr>
          <w:rFonts w:asciiTheme="minorHAnsi" w:hAnsiTheme="minorHAnsi" w:cstheme="minorHAnsi"/>
        </w:rPr>
      </w:pPr>
    </w:p>
    <w:p w14:paraId="3EC23083" w14:textId="77777777" w:rsidR="008B60DB" w:rsidRDefault="008B60DB" w:rsidP="00F5430A">
      <w:pPr>
        <w:rPr>
          <w:rFonts w:asciiTheme="minorHAnsi" w:hAnsiTheme="minorHAnsi" w:cstheme="minorHAnsi"/>
        </w:rPr>
      </w:pPr>
    </w:p>
    <w:p w14:paraId="6CFFAC55" w14:textId="77777777" w:rsidR="008B60DB" w:rsidRPr="00037AD4" w:rsidRDefault="008B60DB" w:rsidP="00F5430A">
      <w:pPr>
        <w:rPr>
          <w:rFonts w:asciiTheme="minorHAnsi" w:hAnsiTheme="minorHAnsi" w:cstheme="minorHAnsi"/>
        </w:rPr>
      </w:pPr>
    </w:p>
    <w:p w14:paraId="29E76F5B" w14:textId="77777777" w:rsidR="00B54D51" w:rsidRPr="00037AD4" w:rsidRDefault="00B54D51" w:rsidP="00F5430A">
      <w:pPr>
        <w:rPr>
          <w:rFonts w:asciiTheme="minorHAnsi" w:hAnsiTheme="minorHAnsi" w:cstheme="minorHAnsi"/>
          <w:b/>
          <w:bCs/>
          <w:i/>
          <w:iCs/>
        </w:rPr>
      </w:pPr>
      <w:bookmarkStart w:id="553" w:name="FIGUREA65C"/>
      <w:r w:rsidRPr="00037AD4">
        <w:rPr>
          <w:rFonts w:asciiTheme="minorHAnsi" w:hAnsiTheme="minorHAnsi" w:cstheme="minorHAnsi"/>
          <w:b/>
          <w:bCs/>
          <w:i/>
          <w:iCs/>
        </w:rPr>
        <w:lastRenderedPageBreak/>
        <w:t>Figure A6.5c, mean predicted vs. mean observed EQ-5D utility over MMSE</w:t>
      </w:r>
    </w:p>
    <w:bookmarkEnd w:id="553"/>
    <w:p w14:paraId="2EA7BC45" w14:textId="77777777" w:rsidR="00B54D51" w:rsidRPr="00037AD4" w:rsidRDefault="00B54D51" w:rsidP="00F5430A">
      <w:pPr>
        <w:rPr>
          <w:rFonts w:asciiTheme="minorHAnsi" w:hAnsiTheme="minorHAnsi" w:cstheme="minorHAnsi"/>
        </w:rPr>
      </w:pPr>
    </w:p>
    <w:p w14:paraId="73EE5E1B" w14:textId="11A565C9" w:rsidR="00B54D51" w:rsidRPr="00037AD4" w:rsidRDefault="00830480" w:rsidP="00F5430A">
      <w:pPr>
        <w:rPr>
          <w:rFonts w:asciiTheme="minorHAnsi" w:hAnsiTheme="minorHAnsi" w:cstheme="minorHAnsi"/>
        </w:rPr>
      </w:pPr>
      <w:r w:rsidRPr="00037AD4">
        <w:rPr>
          <w:rFonts w:asciiTheme="minorHAnsi" w:hAnsiTheme="minorHAnsi" w:cstheme="minorHAnsi"/>
          <w:noProof/>
          <w:lang w:eastAsia="zh-CN"/>
        </w:rPr>
        <w:drawing>
          <wp:inline distT="0" distB="0" distL="0" distR="0" wp14:anchorId="113E7BC8" wp14:editId="0E9E883E">
            <wp:extent cx="3960000" cy="2880000"/>
            <wp:effectExtent l="0" t="0" r="2540" b="3175"/>
            <wp:docPr id="116" name="Picture 116" descr="A graph with red and blue lines and points&#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Picture 18" descr="A graph with red and blue lines and points&#10;&#10;Description automatically generated"/>
                    <pic:cNvPicPr/>
                  </pic:nvPicPr>
                  <pic:blipFill>
                    <a:blip r:embed="rId109">
                      <a:extLst>
                        <a:ext uri="{28A0092B-C50C-407E-A947-70E740481C1C}">
                          <a14:useLocalDpi xmlns:a14="http://schemas.microsoft.com/office/drawing/2010/main" val="0"/>
                        </a:ext>
                      </a:extLst>
                    </a:blip>
                    <a:stretch>
                      <a:fillRect/>
                    </a:stretch>
                  </pic:blipFill>
                  <pic:spPr>
                    <a:xfrm>
                      <a:off x="0" y="0"/>
                      <a:ext cx="3960000" cy="2880000"/>
                    </a:xfrm>
                    <a:prstGeom prst="rect">
                      <a:avLst/>
                    </a:prstGeom>
                  </pic:spPr>
                </pic:pic>
              </a:graphicData>
            </a:graphic>
          </wp:inline>
        </w:drawing>
      </w:r>
    </w:p>
    <w:p w14:paraId="7983B510" w14:textId="77777777" w:rsidR="00830480" w:rsidRDefault="00830480" w:rsidP="00F5430A">
      <w:pPr>
        <w:rPr>
          <w:rFonts w:asciiTheme="minorHAnsi" w:hAnsiTheme="minorHAnsi" w:cstheme="minorHAnsi"/>
          <w:b/>
          <w:bCs/>
          <w:i/>
          <w:iCs/>
        </w:rPr>
      </w:pPr>
    </w:p>
    <w:p w14:paraId="1C57E60C" w14:textId="5A75EFF7" w:rsidR="00B54D51" w:rsidRPr="00037AD4" w:rsidRDefault="00B54D51" w:rsidP="00F5430A">
      <w:pPr>
        <w:rPr>
          <w:rFonts w:asciiTheme="minorHAnsi" w:hAnsiTheme="minorHAnsi" w:cstheme="minorHAnsi"/>
          <w:b/>
          <w:bCs/>
          <w:i/>
          <w:iCs/>
        </w:rPr>
      </w:pPr>
      <w:r w:rsidRPr="00037AD4">
        <w:rPr>
          <w:rFonts w:asciiTheme="minorHAnsi" w:hAnsiTheme="minorHAnsi" w:cstheme="minorHAnsi"/>
          <w:b/>
          <w:bCs/>
          <w:i/>
          <w:iCs/>
        </w:rPr>
        <w:t>Figure A6.5d, mean predicted vs. mean observed EQ-5D utility, with error/ absolute difference over MMSE</w:t>
      </w:r>
    </w:p>
    <w:p w14:paraId="732108AA" w14:textId="77777777" w:rsidR="00B54D51" w:rsidRPr="00037AD4" w:rsidRDefault="00B54D51" w:rsidP="00F5430A">
      <w:pPr>
        <w:rPr>
          <w:rFonts w:asciiTheme="minorHAnsi" w:hAnsiTheme="minorHAnsi" w:cstheme="minorHAnsi"/>
        </w:rPr>
      </w:pPr>
    </w:p>
    <w:p w14:paraId="55564556" w14:textId="47B34234" w:rsidR="00B54D51" w:rsidRPr="00037AD4" w:rsidRDefault="00830480" w:rsidP="00F5430A">
      <w:pPr>
        <w:rPr>
          <w:rFonts w:asciiTheme="minorHAnsi" w:hAnsiTheme="minorHAnsi" w:cstheme="minorHAnsi"/>
          <w:b/>
          <w:bCs/>
          <w:u w:val="single"/>
        </w:rPr>
      </w:pPr>
      <w:bookmarkStart w:id="554" w:name="fig39b"/>
      <w:r w:rsidRPr="00037AD4">
        <w:rPr>
          <w:rFonts w:asciiTheme="minorHAnsi" w:hAnsiTheme="minorHAnsi" w:cstheme="minorHAnsi"/>
          <w:b/>
          <w:bCs/>
          <w:noProof/>
          <w:lang w:eastAsia="zh-CN"/>
        </w:rPr>
        <w:drawing>
          <wp:inline distT="0" distB="0" distL="0" distR="0" wp14:anchorId="42FFA6D2" wp14:editId="1EC8A280">
            <wp:extent cx="3960000" cy="2880000"/>
            <wp:effectExtent l="0" t="0" r="2540" b="3175"/>
            <wp:docPr id="117" name="Picture 117" descr="A graph of a number of utility scores&#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Picture 22" descr="A graph of a number of utility scores&#10;&#10;Description automatically generated with medium confidence"/>
                    <pic:cNvPicPr/>
                  </pic:nvPicPr>
                  <pic:blipFill>
                    <a:blip r:embed="rId110">
                      <a:extLst>
                        <a:ext uri="{28A0092B-C50C-407E-A947-70E740481C1C}">
                          <a14:useLocalDpi xmlns:a14="http://schemas.microsoft.com/office/drawing/2010/main" val="0"/>
                        </a:ext>
                      </a:extLst>
                    </a:blip>
                    <a:stretch>
                      <a:fillRect/>
                    </a:stretch>
                  </pic:blipFill>
                  <pic:spPr>
                    <a:xfrm>
                      <a:off x="0" y="0"/>
                      <a:ext cx="3960000" cy="2880000"/>
                    </a:xfrm>
                    <a:prstGeom prst="rect">
                      <a:avLst/>
                    </a:prstGeom>
                  </pic:spPr>
                </pic:pic>
              </a:graphicData>
            </a:graphic>
          </wp:inline>
        </w:drawing>
      </w:r>
      <w:bookmarkEnd w:id="554"/>
    </w:p>
    <w:p w14:paraId="69AEDD84" w14:textId="77777777" w:rsidR="00B54D51" w:rsidRPr="00037AD4" w:rsidRDefault="00B54D51" w:rsidP="00F5430A">
      <w:pPr>
        <w:rPr>
          <w:rFonts w:asciiTheme="minorHAnsi" w:hAnsiTheme="minorHAnsi" w:cstheme="minorHAnsi"/>
          <w:b/>
          <w:bCs/>
          <w:u w:val="single"/>
        </w:rPr>
      </w:pPr>
    </w:p>
    <w:p w14:paraId="7474F2A8" w14:textId="77777777" w:rsidR="00B54D51" w:rsidRPr="00037AD4" w:rsidRDefault="00B54D51" w:rsidP="00E44A3C">
      <w:pPr>
        <w:rPr>
          <w:rFonts w:asciiTheme="minorHAnsi" w:hAnsiTheme="minorHAnsi" w:cstheme="minorHAnsi"/>
        </w:rPr>
      </w:pPr>
      <w:r w:rsidRPr="00037AD4">
        <w:rPr>
          <w:rFonts w:asciiTheme="minorHAnsi" w:hAnsiTheme="minorHAnsi" w:cstheme="minorHAnsi"/>
        </w:rPr>
        <w:t xml:space="preserve">The utility distribution plots are also presented over PSMS (function) scores, displayed in Figures A6.5e and A6.5f. As observed across MMSE scores, the utility distribution patterns show likeliness for both estimations. Prediction error slightly widens at lower/worse function scores. Mean utilities are also reported for CDR stages. These graphs are available in </w:t>
      </w:r>
      <w:hyperlink w:anchor="_Appendix_6.8_CDR" w:history="1">
        <w:r w:rsidRPr="00830480">
          <w:rPr>
            <w:rStyle w:val="Hyperlink"/>
            <w:rFonts w:asciiTheme="minorHAnsi" w:hAnsiTheme="minorHAnsi" w:cstheme="minorHAnsi"/>
            <w:color w:val="auto"/>
            <w:u w:val="none"/>
          </w:rPr>
          <w:t>Appendix 6.8,</w:t>
        </w:r>
      </w:hyperlink>
      <w:r w:rsidRPr="00830480">
        <w:rPr>
          <w:rFonts w:asciiTheme="minorHAnsi" w:hAnsiTheme="minorHAnsi" w:cstheme="minorHAnsi"/>
        </w:rPr>
        <w:t xml:space="preserve"> and </w:t>
      </w:r>
      <w:r w:rsidRPr="00037AD4">
        <w:rPr>
          <w:rFonts w:asciiTheme="minorHAnsi" w:hAnsiTheme="minorHAnsi" w:cstheme="minorHAnsi"/>
        </w:rPr>
        <w:t xml:space="preserve">they show that model prediction error is at its widest at CDR stage three, compared to the other stages, where the absolute difference is near zero. </w:t>
      </w:r>
    </w:p>
    <w:p w14:paraId="458E11D7" w14:textId="77777777" w:rsidR="00B54D51" w:rsidRDefault="00B54D51" w:rsidP="00F5430A">
      <w:pPr>
        <w:rPr>
          <w:rFonts w:asciiTheme="minorHAnsi" w:hAnsiTheme="minorHAnsi" w:cstheme="minorHAnsi"/>
          <w:b/>
          <w:bCs/>
          <w:u w:val="single"/>
        </w:rPr>
      </w:pPr>
    </w:p>
    <w:p w14:paraId="016C5E0A" w14:textId="77777777" w:rsidR="008B60DB" w:rsidRDefault="008B60DB" w:rsidP="00F5430A">
      <w:pPr>
        <w:rPr>
          <w:rFonts w:asciiTheme="minorHAnsi" w:hAnsiTheme="minorHAnsi" w:cstheme="minorHAnsi"/>
          <w:b/>
          <w:bCs/>
          <w:u w:val="single"/>
        </w:rPr>
      </w:pPr>
    </w:p>
    <w:p w14:paraId="49B7F655" w14:textId="77777777" w:rsidR="008B60DB" w:rsidRPr="00037AD4" w:rsidRDefault="008B60DB" w:rsidP="00F5430A">
      <w:pPr>
        <w:rPr>
          <w:rFonts w:asciiTheme="minorHAnsi" w:hAnsiTheme="minorHAnsi" w:cstheme="minorHAnsi"/>
          <w:b/>
          <w:bCs/>
          <w:u w:val="single"/>
        </w:rPr>
      </w:pPr>
    </w:p>
    <w:p w14:paraId="764F33DA" w14:textId="77777777" w:rsidR="00B54D51" w:rsidRPr="00037AD4" w:rsidRDefault="00B54D51" w:rsidP="00F5430A">
      <w:pPr>
        <w:rPr>
          <w:rFonts w:asciiTheme="minorHAnsi" w:hAnsiTheme="minorHAnsi" w:cstheme="minorHAnsi"/>
          <w:b/>
          <w:bCs/>
          <w:i/>
          <w:iCs/>
        </w:rPr>
      </w:pPr>
      <w:bookmarkStart w:id="555" w:name="fig40a"/>
      <w:bookmarkStart w:id="556" w:name="FIGUREA65E"/>
      <w:r w:rsidRPr="00037AD4">
        <w:rPr>
          <w:rFonts w:asciiTheme="minorHAnsi" w:hAnsiTheme="minorHAnsi" w:cstheme="minorHAnsi"/>
          <w:b/>
          <w:bCs/>
          <w:i/>
          <w:iCs/>
        </w:rPr>
        <w:lastRenderedPageBreak/>
        <w:t>Figure A6.5e, mean predicted vs. mean observed EQ-5D utility over PSMS</w:t>
      </w:r>
    </w:p>
    <w:bookmarkEnd w:id="555"/>
    <w:bookmarkEnd w:id="556"/>
    <w:p w14:paraId="57852EBA" w14:textId="77777777" w:rsidR="00B54D51" w:rsidRPr="00037AD4" w:rsidRDefault="00B54D51" w:rsidP="00F5430A">
      <w:pPr>
        <w:rPr>
          <w:rFonts w:asciiTheme="minorHAnsi" w:hAnsiTheme="minorHAnsi" w:cstheme="minorHAnsi"/>
          <w:u w:val="single"/>
        </w:rPr>
      </w:pPr>
    </w:p>
    <w:p w14:paraId="2B5E6B37" w14:textId="1843D611" w:rsidR="00B54D51" w:rsidRPr="00037AD4" w:rsidRDefault="00830480" w:rsidP="00F5430A">
      <w:pPr>
        <w:rPr>
          <w:rFonts w:asciiTheme="minorHAnsi" w:hAnsiTheme="minorHAnsi" w:cstheme="minorHAnsi"/>
          <w:b/>
          <w:bCs/>
          <w:u w:val="single"/>
        </w:rPr>
      </w:pPr>
      <w:r w:rsidRPr="00037AD4">
        <w:rPr>
          <w:rFonts w:asciiTheme="minorHAnsi" w:hAnsiTheme="minorHAnsi" w:cstheme="minorHAnsi"/>
          <w:b/>
          <w:bCs/>
          <w:noProof/>
          <w:lang w:eastAsia="zh-CN"/>
        </w:rPr>
        <w:drawing>
          <wp:inline distT="0" distB="0" distL="0" distR="0" wp14:anchorId="7D7808E3" wp14:editId="3F03664D">
            <wp:extent cx="3960000" cy="2880000"/>
            <wp:effectExtent l="0" t="0" r="2540" b="3175"/>
            <wp:docPr id="118" name="Picture 118" descr="A graph with a line and a red lin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Picture 31" descr="A graph with a line and a red line&#10;&#10;Description automatically generated"/>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960000" cy="2880000"/>
                    </a:xfrm>
                    <a:prstGeom prst="rect">
                      <a:avLst/>
                    </a:prstGeom>
                  </pic:spPr>
                </pic:pic>
              </a:graphicData>
            </a:graphic>
          </wp:inline>
        </w:drawing>
      </w:r>
    </w:p>
    <w:p w14:paraId="77CA6C10" w14:textId="77777777" w:rsidR="00830480" w:rsidRDefault="00830480" w:rsidP="00F5430A">
      <w:pPr>
        <w:rPr>
          <w:rFonts w:asciiTheme="minorHAnsi" w:hAnsiTheme="minorHAnsi" w:cstheme="minorHAnsi"/>
          <w:b/>
          <w:bCs/>
          <w:i/>
          <w:iCs/>
        </w:rPr>
      </w:pPr>
    </w:p>
    <w:p w14:paraId="282A6171" w14:textId="254F8C69" w:rsidR="00B54D51" w:rsidRPr="00037AD4" w:rsidRDefault="00B54D51" w:rsidP="00F5430A">
      <w:pPr>
        <w:rPr>
          <w:rFonts w:asciiTheme="minorHAnsi" w:hAnsiTheme="minorHAnsi" w:cstheme="minorHAnsi"/>
          <w:b/>
          <w:bCs/>
          <w:i/>
          <w:iCs/>
        </w:rPr>
      </w:pPr>
      <w:r w:rsidRPr="00037AD4">
        <w:rPr>
          <w:rFonts w:asciiTheme="minorHAnsi" w:hAnsiTheme="minorHAnsi" w:cstheme="minorHAnsi"/>
          <w:b/>
          <w:bCs/>
          <w:i/>
          <w:iCs/>
        </w:rPr>
        <w:t>Figure A6.5f, mean predicted vs. mean observed EQ-5D utility, with error/ absolute difference over PSMS</w:t>
      </w:r>
    </w:p>
    <w:p w14:paraId="7CE8E54B" w14:textId="77777777" w:rsidR="00B54D51" w:rsidRPr="00037AD4" w:rsidRDefault="00B54D51" w:rsidP="00F5430A">
      <w:pPr>
        <w:rPr>
          <w:rFonts w:asciiTheme="minorHAnsi" w:hAnsiTheme="minorHAnsi" w:cstheme="minorHAnsi"/>
          <w:u w:val="single"/>
        </w:rPr>
      </w:pPr>
    </w:p>
    <w:p w14:paraId="0DB165C3" w14:textId="5DC8BBEB" w:rsidR="00B54D51" w:rsidRPr="00037AD4" w:rsidRDefault="00830480" w:rsidP="00F5430A">
      <w:pPr>
        <w:rPr>
          <w:rFonts w:asciiTheme="minorHAnsi" w:hAnsiTheme="minorHAnsi" w:cstheme="minorHAnsi"/>
          <w:b/>
          <w:bCs/>
          <w:u w:val="single"/>
        </w:rPr>
      </w:pPr>
      <w:r w:rsidRPr="00037AD4">
        <w:rPr>
          <w:rFonts w:asciiTheme="minorHAnsi" w:hAnsiTheme="minorHAnsi" w:cstheme="minorHAnsi"/>
          <w:b/>
          <w:bCs/>
          <w:noProof/>
          <w:lang w:eastAsia="zh-CN"/>
        </w:rPr>
        <w:drawing>
          <wp:inline distT="0" distB="0" distL="0" distR="0" wp14:anchorId="78DE0BD3" wp14:editId="3D29B11D">
            <wp:extent cx="3960000" cy="2880000"/>
            <wp:effectExtent l="0" t="0" r="2540" b="3175"/>
            <wp:docPr id="119" name="Picture 119" descr="A graph of a person with a graph&#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Picture 28" descr="A graph of a person with a graph&#10;&#10;Description automatically generated with medium confidence"/>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3960000" cy="2880000"/>
                    </a:xfrm>
                    <a:prstGeom prst="rect">
                      <a:avLst/>
                    </a:prstGeom>
                  </pic:spPr>
                </pic:pic>
              </a:graphicData>
            </a:graphic>
          </wp:inline>
        </w:drawing>
      </w:r>
    </w:p>
    <w:p w14:paraId="69999286" w14:textId="77777777" w:rsidR="00B54D51" w:rsidRDefault="00B54D51" w:rsidP="00F5430A">
      <w:pPr>
        <w:rPr>
          <w:rFonts w:asciiTheme="minorHAnsi" w:hAnsiTheme="minorHAnsi" w:cstheme="minorHAnsi"/>
        </w:rPr>
      </w:pPr>
    </w:p>
    <w:p w14:paraId="62CD83E0" w14:textId="77777777" w:rsidR="008B60DB" w:rsidRDefault="008B60DB" w:rsidP="00F5430A">
      <w:pPr>
        <w:rPr>
          <w:rFonts w:asciiTheme="minorHAnsi" w:hAnsiTheme="minorHAnsi" w:cstheme="minorHAnsi"/>
        </w:rPr>
      </w:pPr>
    </w:p>
    <w:p w14:paraId="6CFBAAAD" w14:textId="77777777" w:rsidR="008B60DB" w:rsidRDefault="008B60DB" w:rsidP="00F5430A">
      <w:pPr>
        <w:rPr>
          <w:rFonts w:asciiTheme="minorHAnsi" w:hAnsiTheme="minorHAnsi" w:cstheme="minorHAnsi"/>
        </w:rPr>
      </w:pPr>
    </w:p>
    <w:p w14:paraId="73A960F0" w14:textId="77777777" w:rsidR="008B60DB" w:rsidRDefault="008B60DB" w:rsidP="00F5430A">
      <w:pPr>
        <w:rPr>
          <w:rFonts w:asciiTheme="minorHAnsi" w:hAnsiTheme="minorHAnsi" w:cstheme="minorHAnsi"/>
        </w:rPr>
      </w:pPr>
    </w:p>
    <w:p w14:paraId="391BEF27" w14:textId="77777777" w:rsidR="008B60DB" w:rsidRDefault="008B60DB" w:rsidP="00F5430A">
      <w:pPr>
        <w:rPr>
          <w:rFonts w:asciiTheme="minorHAnsi" w:hAnsiTheme="minorHAnsi" w:cstheme="minorHAnsi"/>
        </w:rPr>
      </w:pPr>
    </w:p>
    <w:p w14:paraId="7CCB24BC" w14:textId="77777777" w:rsidR="008B60DB" w:rsidRDefault="008B60DB" w:rsidP="00F5430A">
      <w:pPr>
        <w:rPr>
          <w:rFonts w:asciiTheme="minorHAnsi" w:hAnsiTheme="minorHAnsi" w:cstheme="minorHAnsi"/>
        </w:rPr>
      </w:pPr>
    </w:p>
    <w:p w14:paraId="650C9320" w14:textId="77777777" w:rsidR="008B60DB" w:rsidRDefault="008B60DB" w:rsidP="00F5430A">
      <w:pPr>
        <w:rPr>
          <w:rFonts w:asciiTheme="minorHAnsi" w:hAnsiTheme="minorHAnsi" w:cstheme="minorHAnsi"/>
        </w:rPr>
      </w:pPr>
    </w:p>
    <w:p w14:paraId="60542A63" w14:textId="77777777" w:rsidR="008B60DB" w:rsidRDefault="008B60DB" w:rsidP="00F5430A">
      <w:pPr>
        <w:rPr>
          <w:rFonts w:asciiTheme="minorHAnsi" w:hAnsiTheme="minorHAnsi" w:cstheme="minorHAnsi"/>
        </w:rPr>
      </w:pPr>
    </w:p>
    <w:p w14:paraId="2B8D5A89" w14:textId="77777777" w:rsidR="008B60DB" w:rsidRDefault="008B60DB" w:rsidP="00F5430A">
      <w:pPr>
        <w:rPr>
          <w:rFonts w:asciiTheme="minorHAnsi" w:hAnsiTheme="minorHAnsi" w:cstheme="minorHAnsi"/>
        </w:rPr>
      </w:pPr>
    </w:p>
    <w:p w14:paraId="1B52194A" w14:textId="77777777" w:rsidR="008B60DB" w:rsidRPr="00037AD4" w:rsidRDefault="008B60DB" w:rsidP="00F5430A">
      <w:pPr>
        <w:rPr>
          <w:rFonts w:asciiTheme="minorHAnsi" w:hAnsiTheme="minorHAnsi" w:cstheme="minorHAnsi"/>
        </w:rPr>
      </w:pPr>
    </w:p>
    <w:p w14:paraId="439710B8" w14:textId="77777777" w:rsidR="00B54D51" w:rsidRPr="00037AD4" w:rsidRDefault="00B54D51" w:rsidP="00F5430A">
      <w:pPr>
        <w:rPr>
          <w:rFonts w:asciiTheme="minorHAnsi" w:hAnsiTheme="minorHAnsi" w:cstheme="minorHAnsi"/>
          <w:u w:val="single"/>
        </w:rPr>
      </w:pPr>
      <w:r w:rsidRPr="00037AD4">
        <w:rPr>
          <w:rFonts w:asciiTheme="minorHAnsi" w:hAnsiTheme="minorHAnsi" w:cstheme="minorHAnsi"/>
          <w:u w:val="single"/>
        </w:rPr>
        <w:lastRenderedPageBreak/>
        <w:t xml:space="preserve">Table 6.5b, EPIC utility estimations using 2018 EQ-5D-5L value set for England </w:t>
      </w:r>
    </w:p>
    <w:p w14:paraId="15694E38" w14:textId="77777777" w:rsidR="00B54D51" w:rsidRPr="00037AD4" w:rsidRDefault="00B54D51" w:rsidP="00F5430A">
      <w:pPr>
        <w:rPr>
          <w:rFonts w:asciiTheme="minorHAnsi" w:hAnsiTheme="minorHAnsi" w:cstheme="minorHAnsi"/>
        </w:rPr>
      </w:pPr>
    </w:p>
    <w:tbl>
      <w:tblPr>
        <w:tblStyle w:val="TableGrid"/>
        <w:tblW w:w="0" w:type="auto"/>
        <w:tblLook w:val="04A0" w:firstRow="1" w:lastRow="0" w:firstColumn="1" w:lastColumn="0" w:noHBand="0" w:noVBand="1"/>
      </w:tblPr>
      <w:tblGrid>
        <w:gridCol w:w="1763"/>
        <w:gridCol w:w="1606"/>
        <w:gridCol w:w="1627"/>
        <w:gridCol w:w="1591"/>
        <w:gridCol w:w="1481"/>
      </w:tblGrid>
      <w:tr w:rsidR="00B54D51" w:rsidRPr="00037AD4" w14:paraId="55302FB1" w14:textId="77777777" w:rsidTr="008A5851">
        <w:trPr>
          <w:trHeight w:val="411"/>
        </w:trPr>
        <w:tc>
          <w:tcPr>
            <w:tcW w:w="8068" w:type="dxa"/>
            <w:gridSpan w:val="5"/>
            <w:shd w:val="clear" w:color="auto" w:fill="E7E6E6" w:themeFill="background2"/>
          </w:tcPr>
          <w:p w14:paraId="03EA78FD" w14:textId="77777777" w:rsidR="00B54D51" w:rsidRPr="00037AD4" w:rsidRDefault="00B54D51" w:rsidP="008A5851">
            <w:pPr>
              <w:rPr>
                <w:rFonts w:asciiTheme="minorHAnsi" w:hAnsiTheme="minorHAnsi" w:cstheme="minorHAnsi"/>
              </w:rPr>
            </w:pPr>
            <w:r w:rsidRPr="00037AD4">
              <w:rPr>
                <w:rFonts w:asciiTheme="minorHAnsi" w:hAnsiTheme="minorHAnsi" w:cstheme="minorHAnsi"/>
              </w:rPr>
              <w:t xml:space="preserve">Using the EQ-5D-5L value set </w:t>
            </w:r>
          </w:p>
        </w:tc>
      </w:tr>
      <w:tr w:rsidR="00B54D51" w:rsidRPr="00037AD4" w14:paraId="3F2EA32D" w14:textId="77777777" w:rsidTr="008A5851">
        <w:trPr>
          <w:trHeight w:val="598"/>
        </w:trPr>
        <w:tc>
          <w:tcPr>
            <w:tcW w:w="1763" w:type="dxa"/>
          </w:tcPr>
          <w:p w14:paraId="34A27277" w14:textId="77777777" w:rsidR="00B54D51" w:rsidRPr="00037AD4" w:rsidRDefault="00B54D51" w:rsidP="008A5851">
            <w:pPr>
              <w:rPr>
                <w:rFonts w:asciiTheme="minorHAnsi" w:hAnsiTheme="minorHAnsi" w:cstheme="minorHAnsi"/>
              </w:rPr>
            </w:pPr>
            <w:r w:rsidRPr="00037AD4">
              <w:rPr>
                <w:rFonts w:asciiTheme="minorHAnsi" w:hAnsiTheme="minorHAnsi" w:cstheme="minorHAnsi"/>
              </w:rPr>
              <w:t>Target response</w:t>
            </w:r>
          </w:p>
        </w:tc>
        <w:tc>
          <w:tcPr>
            <w:tcW w:w="1606" w:type="dxa"/>
          </w:tcPr>
          <w:p w14:paraId="570E1EEA" w14:textId="77777777" w:rsidR="00B54D51" w:rsidRPr="00037AD4" w:rsidRDefault="00B54D51" w:rsidP="008A5851">
            <w:pPr>
              <w:rPr>
                <w:rFonts w:asciiTheme="minorHAnsi" w:hAnsiTheme="minorHAnsi" w:cstheme="minorHAnsi"/>
              </w:rPr>
            </w:pPr>
            <w:r w:rsidRPr="00037AD4">
              <w:rPr>
                <w:rFonts w:asciiTheme="minorHAnsi" w:hAnsiTheme="minorHAnsi" w:cstheme="minorHAnsi"/>
              </w:rPr>
              <w:t>N</w:t>
            </w:r>
          </w:p>
        </w:tc>
        <w:tc>
          <w:tcPr>
            <w:tcW w:w="1627" w:type="dxa"/>
          </w:tcPr>
          <w:p w14:paraId="53C4CF1F" w14:textId="77777777" w:rsidR="00B54D51" w:rsidRPr="00037AD4" w:rsidRDefault="00B54D51" w:rsidP="008A5851">
            <w:pPr>
              <w:rPr>
                <w:rFonts w:asciiTheme="minorHAnsi" w:hAnsiTheme="minorHAnsi" w:cstheme="minorHAnsi"/>
              </w:rPr>
            </w:pPr>
            <w:r w:rsidRPr="00037AD4">
              <w:rPr>
                <w:rFonts w:asciiTheme="minorHAnsi" w:hAnsiTheme="minorHAnsi" w:cstheme="minorHAnsi"/>
              </w:rPr>
              <w:t xml:space="preserve">Mean </w:t>
            </w:r>
          </w:p>
        </w:tc>
        <w:tc>
          <w:tcPr>
            <w:tcW w:w="1591" w:type="dxa"/>
          </w:tcPr>
          <w:p w14:paraId="404AC97B" w14:textId="77777777" w:rsidR="00B54D51" w:rsidRPr="00037AD4" w:rsidRDefault="00B54D51" w:rsidP="008A5851">
            <w:pPr>
              <w:rPr>
                <w:rFonts w:asciiTheme="minorHAnsi" w:hAnsiTheme="minorHAnsi" w:cstheme="minorHAnsi"/>
              </w:rPr>
            </w:pPr>
            <w:r w:rsidRPr="00037AD4">
              <w:rPr>
                <w:rFonts w:asciiTheme="minorHAnsi" w:hAnsiTheme="minorHAnsi" w:cstheme="minorHAnsi"/>
              </w:rPr>
              <w:t>SD</w:t>
            </w:r>
          </w:p>
        </w:tc>
        <w:tc>
          <w:tcPr>
            <w:tcW w:w="1479" w:type="dxa"/>
          </w:tcPr>
          <w:p w14:paraId="102038C5" w14:textId="77777777" w:rsidR="00B54D51" w:rsidRPr="00037AD4" w:rsidRDefault="00B54D51" w:rsidP="008A5851">
            <w:pPr>
              <w:rPr>
                <w:rFonts w:asciiTheme="minorHAnsi" w:hAnsiTheme="minorHAnsi" w:cstheme="minorHAnsi"/>
              </w:rPr>
            </w:pPr>
            <w:r w:rsidRPr="00037AD4">
              <w:rPr>
                <w:rFonts w:asciiTheme="minorHAnsi" w:hAnsiTheme="minorHAnsi" w:cstheme="minorHAnsi"/>
              </w:rPr>
              <w:t xml:space="preserve">Min – Max </w:t>
            </w:r>
          </w:p>
        </w:tc>
      </w:tr>
      <w:tr w:rsidR="00B54D51" w:rsidRPr="00037AD4" w14:paraId="171F81CB" w14:textId="77777777" w:rsidTr="008A5851">
        <w:trPr>
          <w:trHeight w:val="370"/>
        </w:trPr>
        <w:tc>
          <w:tcPr>
            <w:tcW w:w="1763" w:type="dxa"/>
          </w:tcPr>
          <w:p w14:paraId="7B36C55E" w14:textId="77777777" w:rsidR="00B54D51" w:rsidRPr="00037AD4" w:rsidRDefault="00B54D51" w:rsidP="008A5851">
            <w:pPr>
              <w:rPr>
                <w:rFonts w:asciiTheme="minorHAnsi" w:hAnsiTheme="minorHAnsi" w:cstheme="minorHAnsi"/>
              </w:rPr>
            </w:pPr>
            <w:r w:rsidRPr="00037AD4">
              <w:rPr>
                <w:rFonts w:asciiTheme="minorHAnsi" w:hAnsiTheme="minorHAnsi" w:cstheme="minorHAnsi"/>
              </w:rPr>
              <w:t>Observed data</w:t>
            </w:r>
          </w:p>
        </w:tc>
        <w:tc>
          <w:tcPr>
            <w:tcW w:w="1606" w:type="dxa"/>
          </w:tcPr>
          <w:p w14:paraId="7F3EA70C" w14:textId="77777777" w:rsidR="00B54D51" w:rsidRPr="00037AD4" w:rsidRDefault="00B54D51" w:rsidP="008A5851">
            <w:pPr>
              <w:rPr>
                <w:rFonts w:asciiTheme="minorHAnsi" w:hAnsiTheme="minorHAnsi" w:cstheme="minorHAnsi"/>
              </w:rPr>
            </w:pPr>
            <w:r w:rsidRPr="00037AD4">
              <w:rPr>
                <w:rFonts w:asciiTheme="minorHAnsi" w:hAnsiTheme="minorHAnsi" w:cstheme="minorHAnsi"/>
              </w:rPr>
              <w:t>758</w:t>
            </w:r>
          </w:p>
        </w:tc>
        <w:tc>
          <w:tcPr>
            <w:tcW w:w="1627" w:type="dxa"/>
          </w:tcPr>
          <w:p w14:paraId="219B79F6" w14:textId="77777777" w:rsidR="00B54D51" w:rsidRPr="00037AD4" w:rsidRDefault="00B54D51" w:rsidP="008A5851">
            <w:pPr>
              <w:rPr>
                <w:rFonts w:asciiTheme="minorHAnsi" w:hAnsiTheme="minorHAnsi" w:cstheme="minorHAnsi"/>
              </w:rPr>
            </w:pPr>
            <w:r w:rsidRPr="00037AD4">
              <w:rPr>
                <w:rFonts w:asciiTheme="minorHAnsi" w:hAnsiTheme="minorHAnsi" w:cstheme="minorHAnsi"/>
              </w:rPr>
              <w:t>0.77</w:t>
            </w:r>
          </w:p>
        </w:tc>
        <w:tc>
          <w:tcPr>
            <w:tcW w:w="1591" w:type="dxa"/>
          </w:tcPr>
          <w:p w14:paraId="64A29CEB" w14:textId="77777777" w:rsidR="00B54D51" w:rsidRPr="00037AD4" w:rsidRDefault="00B54D51" w:rsidP="008A5851">
            <w:pPr>
              <w:rPr>
                <w:rFonts w:asciiTheme="minorHAnsi" w:hAnsiTheme="minorHAnsi" w:cstheme="minorHAnsi"/>
              </w:rPr>
            </w:pPr>
            <w:r w:rsidRPr="00037AD4">
              <w:rPr>
                <w:rFonts w:asciiTheme="minorHAnsi" w:hAnsiTheme="minorHAnsi" w:cstheme="minorHAnsi"/>
              </w:rPr>
              <w:t>0.19</w:t>
            </w:r>
          </w:p>
        </w:tc>
        <w:tc>
          <w:tcPr>
            <w:tcW w:w="1479" w:type="dxa"/>
          </w:tcPr>
          <w:p w14:paraId="4D6AD94F" w14:textId="77777777" w:rsidR="00B54D51" w:rsidRPr="00037AD4" w:rsidRDefault="00B54D51" w:rsidP="008A5851">
            <w:pPr>
              <w:rPr>
                <w:rFonts w:asciiTheme="minorHAnsi" w:hAnsiTheme="minorHAnsi" w:cstheme="minorHAnsi"/>
              </w:rPr>
            </w:pPr>
            <w:r w:rsidRPr="00037AD4">
              <w:rPr>
                <w:rFonts w:asciiTheme="minorHAnsi" w:hAnsiTheme="minorHAnsi" w:cstheme="minorHAnsi"/>
              </w:rPr>
              <w:t xml:space="preserve">-0.16 – 1 </w:t>
            </w:r>
          </w:p>
        </w:tc>
      </w:tr>
      <w:tr w:rsidR="00B54D51" w:rsidRPr="00037AD4" w14:paraId="590BAB00" w14:textId="77777777" w:rsidTr="008A5851">
        <w:trPr>
          <w:trHeight w:val="419"/>
        </w:trPr>
        <w:tc>
          <w:tcPr>
            <w:tcW w:w="1763" w:type="dxa"/>
          </w:tcPr>
          <w:p w14:paraId="2EC31746" w14:textId="77777777" w:rsidR="00B54D51" w:rsidRPr="00037AD4" w:rsidRDefault="00B54D51" w:rsidP="008A5851">
            <w:pPr>
              <w:rPr>
                <w:rFonts w:asciiTheme="minorHAnsi" w:hAnsiTheme="minorHAnsi" w:cstheme="minorHAnsi"/>
              </w:rPr>
            </w:pPr>
            <w:r w:rsidRPr="00037AD4">
              <w:rPr>
                <w:rFonts w:asciiTheme="minorHAnsi" w:hAnsiTheme="minorHAnsi" w:cstheme="minorHAnsi"/>
              </w:rPr>
              <w:t>Predicted data</w:t>
            </w:r>
          </w:p>
        </w:tc>
        <w:tc>
          <w:tcPr>
            <w:tcW w:w="1606" w:type="dxa"/>
          </w:tcPr>
          <w:p w14:paraId="0D6099B2" w14:textId="77777777" w:rsidR="00B54D51" w:rsidRPr="00037AD4" w:rsidRDefault="00B54D51" w:rsidP="008A5851">
            <w:pPr>
              <w:rPr>
                <w:rFonts w:asciiTheme="minorHAnsi" w:hAnsiTheme="minorHAnsi" w:cstheme="minorHAnsi"/>
              </w:rPr>
            </w:pPr>
            <w:r w:rsidRPr="00037AD4">
              <w:rPr>
                <w:rFonts w:asciiTheme="minorHAnsi" w:hAnsiTheme="minorHAnsi" w:cstheme="minorHAnsi"/>
              </w:rPr>
              <w:t>758</w:t>
            </w:r>
          </w:p>
        </w:tc>
        <w:tc>
          <w:tcPr>
            <w:tcW w:w="1627" w:type="dxa"/>
          </w:tcPr>
          <w:p w14:paraId="4DF4FD28" w14:textId="77777777" w:rsidR="00B54D51" w:rsidRPr="00037AD4" w:rsidRDefault="00B54D51" w:rsidP="008A5851">
            <w:pPr>
              <w:rPr>
                <w:rFonts w:asciiTheme="minorHAnsi" w:hAnsiTheme="minorHAnsi" w:cstheme="minorHAnsi"/>
              </w:rPr>
            </w:pPr>
            <w:r w:rsidRPr="00037AD4">
              <w:rPr>
                <w:rFonts w:asciiTheme="minorHAnsi" w:hAnsiTheme="minorHAnsi" w:cstheme="minorHAnsi"/>
              </w:rPr>
              <w:t>0.72</w:t>
            </w:r>
          </w:p>
        </w:tc>
        <w:tc>
          <w:tcPr>
            <w:tcW w:w="1591" w:type="dxa"/>
          </w:tcPr>
          <w:p w14:paraId="4AA0C9E9" w14:textId="77777777" w:rsidR="00B54D51" w:rsidRPr="00037AD4" w:rsidRDefault="00B54D51" w:rsidP="008A5851">
            <w:pPr>
              <w:rPr>
                <w:rFonts w:asciiTheme="minorHAnsi" w:hAnsiTheme="minorHAnsi" w:cstheme="minorHAnsi"/>
              </w:rPr>
            </w:pPr>
            <w:r w:rsidRPr="00037AD4">
              <w:rPr>
                <w:rFonts w:asciiTheme="minorHAnsi" w:hAnsiTheme="minorHAnsi" w:cstheme="minorHAnsi"/>
              </w:rPr>
              <w:t>0.09</w:t>
            </w:r>
          </w:p>
        </w:tc>
        <w:tc>
          <w:tcPr>
            <w:tcW w:w="1479" w:type="dxa"/>
          </w:tcPr>
          <w:p w14:paraId="156EDC71" w14:textId="77777777" w:rsidR="00B54D51" w:rsidRPr="00037AD4" w:rsidRDefault="00B54D51" w:rsidP="008A5851">
            <w:pPr>
              <w:rPr>
                <w:rFonts w:asciiTheme="minorHAnsi" w:hAnsiTheme="minorHAnsi" w:cstheme="minorHAnsi"/>
              </w:rPr>
            </w:pPr>
            <w:r w:rsidRPr="00037AD4">
              <w:rPr>
                <w:rFonts w:asciiTheme="minorHAnsi" w:hAnsiTheme="minorHAnsi" w:cstheme="minorHAnsi"/>
              </w:rPr>
              <w:t xml:space="preserve">0.33 – 0.95 </w:t>
            </w:r>
          </w:p>
        </w:tc>
      </w:tr>
    </w:tbl>
    <w:p w14:paraId="2FABF193" w14:textId="77777777" w:rsidR="00B54D51" w:rsidRPr="00037AD4" w:rsidRDefault="00B54D51" w:rsidP="00F5430A">
      <w:pPr>
        <w:rPr>
          <w:rFonts w:asciiTheme="minorHAnsi" w:hAnsiTheme="minorHAnsi" w:cstheme="minorHAnsi"/>
          <w:b/>
          <w:bCs/>
          <w:u w:val="single"/>
        </w:rPr>
      </w:pPr>
    </w:p>
    <w:p w14:paraId="725F4E52" w14:textId="77777777" w:rsidR="00B54D51" w:rsidRPr="00037AD4" w:rsidRDefault="00B54D51" w:rsidP="00E44A3C">
      <w:pPr>
        <w:rPr>
          <w:rFonts w:asciiTheme="minorHAnsi" w:hAnsiTheme="minorHAnsi" w:cstheme="minorHAnsi"/>
        </w:rPr>
      </w:pPr>
      <w:r w:rsidRPr="00037AD4">
        <w:rPr>
          <w:rFonts w:asciiTheme="minorHAnsi" w:hAnsiTheme="minorHAnsi" w:cstheme="minorHAnsi"/>
        </w:rPr>
        <w:t xml:space="preserve">Figures A6.5g and A6.5h below display the distribution of utility scores generated from both the observed and predicted data when applying the 2018 EQ-5D-5L value set. As was observed in the ACTIFCARE trial, the variability of utility scores from the predicted data is compressed when compared to those of the observed data; this is a consequence of all mapped data-predictions and does not necessarily reflect the models’ predictive performances. </w:t>
      </w:r>
    </w:p>
    <w:p w14:paraId="4D4C894A" w14:textId="77777777" w:rsidR="00B54D51" w:rsidRPr="00037AD4" w:rsidRDefault="00B54D51" w:rsidP="00E44A3C">
      <w:pPr>
        <w:rPr>
          <w:rFonts w:asciiTheme="minorHAnsi" w:hAnsiTheme="minorHAnsi" w:cstheme="minorHAnsi"/>
        </w:rPr>
      </w:pPr>
    </w:p>
    <w:p w14:paraId="0C3BAC22" w14:textId="77777777" w:rsidR="00B54D51" w:rsidRPr="00037AD4" w:rsidRDefault="00B54D51" w:rsidP="00E44A3C">
      <w:pPr>
        <w:rPr>
          <w:rFonts w:asciiTheme="minorHAnsi" w:hAnsiTheme="minorHAnsi" w:cstheme="minorHAnsi"/>
        </w:rPr>
      </w:pPr>
      <w:r w:rsidRPr="00037AD4">
        <w:rPr>
          <w:rFonts w:asciiTheme="minorHAnsi" w:hAnsiTheme="minorHAnsi" w:cstheme="minorHAnsi"/>
        </w:rPr>
        <w:t xml:space="preserve">The </w:t>
      </w:r>
      <w:r w:rsidRPr="00830480">
        <w:rPr>
          <w:rFonts w:asciiTheme="minorHAnsi" w:hAnsiTheme="minorHAnsi" w:cstheme="minorHAnsi"/>
        </w:rPr>
        <w:t>scatterplot</w:t>
      </w:r>
      <w:hyperlink w:anchor="FIGUREA66c" w:history="1">
        <w:r w:rsidRPr="00830480">
          <w:rPr>
            <w:rStyle w:val="Hyperlink"/>
            <w:rFonts w:asciiTheme="minorHAnsi" w:hAnsiTheme="minorHAnsi" w:cstheme="minorHAnsi"/>
            <w:color w:val="auto"/>
            <w:u w:val="none"/>
          </w:rPr>
          <w:t xml:space="preserve"> (Figure A6.6c of Appendix 6.6)</w:t>
        </w:r>
      </w:hyperlink>
      <w:r w:rsidRPr="00830480">
        <w:rPr>
          <w:rFonts w:asciiTheme="minorHAnsi" w:hAnsiTheme="minorHAnsi" w:cstheme="minorHAnsi"/>
        </w:rPr>
        <w:t xml:space="preserve"> of the predicted and observed EQ-5D index scores resembles </w:t>
      </w:r>
      <w:hyperlink w:anchor="FIGUREA66a" w:history="1">
        <w:r w:rsidRPr="00830480">
          <w:rPr>
            <w:rStyle w:val="Hyperlink"/>
            <w:rFonts w:asciiTheme="minorHAnsi" w:hAnsiTheme="minorHAnsi" w:cstheme="minorHAnsi"/>
            <w:color w:val="auto"/>
            <w:u w:val="none"/>
          </w:rPr>
          <w:t>Figure A6.6a</w:t>
        </w:r>
      </w:hyperlink>
      <w:r w:rsidRPr="00830480">
        <w:rPr>
          <w:rFonts w:asciiTheme="minorHAnsi" w:hAnsiTheme="minorHAnsi" w:cstheme="minorHAnsi"/>
        </w:rPr>
        <w:t xml:space="preserve"> from </w:t>
      </w:r>
      <w:r w:rsidRPr="00037AD4">
        <w:rPr>
          <w:rFonts w:asciiTheme="minorHAnsi" w:hAnsiTheme="minorHAnsi" w:cstheme="minorHAnsi"/>
        </w:rPr>
        <w:t>the ACTIFCARE data by showing a weak positive correlation. Similarly, scores at the lower range appear to overestimate predictions, with evidence of underestimation at the higher range of utility scores.</w:t>
      </w:r>
    </w:p>
    <w:p w14:paraId="68475C6E" w14:textId="77777777" w:rsidR="00B54D51" w:rsidRPr="00037AD4" w:rsidRDefault="00B54D51" w:rsidP="00F5430A">
      <w:pPr>
        <w:rPr>
          <w:rFonts w:asciiTheme="minorHAnsi" w:hAnsiTheme="minorHAnsi" w:cstheme="minorHAnsi"/>
        </w:rPr>
      </w:pPr>
    </w:p>
    <w:p w14:paraId="14B1DE20" w14:textId="2D7590F0" w:rsidR="00B54D51" w:rsidRPr="00037AD4" w:rsidRDefault="00830480" w:rsidP="00F5430A">
      <w:pPr>
        <w:rPr>
          <w:rFonts w:asciiTheme="minorHAnsi" w:hAnsiTheme="minorHAnsi" w:cstheme="minorHAnsi"/>
        </w:rPr>
      </w:pPr>
      <w:r w:rsidRPr="00037AD4">
        <w:rPr>
          <w:rFonts w:asciiTheme="minorHAnsi" w:hAnsiTheme="minorHAnsi" w:cstheme="minorHAnsi"/>
          <w:noProof/>
          <w:lang w:eastAsia="zh-CN"/>
        </w:rPr>
        <w:drawing>
          <wp:inline distT="0" distB="0" distL="0" distR="0" wp14:anchorId="1AEF414A" wp14:editId="67A886E7">
            <wp:extent cx="2714400" cy="1947600"/>
            <wp:effectExtent l="0" t="0" r="3810" b="0"/>
            <wp:docPr id="123" name="Picture 123" descr="A graph of a number of peopl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Picture 57" descr="A graph of a number of people&#10;&#10;Description automatically generated"/>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714400" cy="1947600"/>
                    </a:xfrm>
                    <a:prstGeom prst="rect">
                      <a:avLst/>
                    </a:prstGeom>
                  </pic:spPr>
                </pic:pic>
              </a:graphicData>
            </a:graphic>
          </wp:inline>
        </w:drawing>
      </w:r>
      <w:r w:rsidR="00B54D51" w:rsidRPr="00037AD4">
        <w:rPr>
          <w:rFonts w:asciiTheme="minorHAnsi" w:hAnsiTheme="minorHAnsi" w:cstheme="minorHAnsi"/>
        </w:rPr>
        <w:t xml:space="preserve">   </w:t>
      </w:r>
      <w:r w:rsidRPr="00037AD4">
        <w:rPr>
          <w:rFonts w:asciiTheme="minorHAnsi" w:hAnsiTheme="minorHAnsi" w:cstheme="minorHAnsi"/>
          <w:noProof/>
          <w:lang w:eastAsia="zh-CN"/>
        </w:rPr>
        <w:drawing>
          <wp:inline distT="0" distB="0" distL="0" distR="0" wp14:anchorId="12461E55" wp14:editId="27065FDF">
            <wp:extent cx="2714400" cy="1947600"/>
            <wp:effectExtent l="0" t="0" r="3810" b="0"/>
            <wp:docPr id="124" name="Picture 124" descr="A graph of a graph&#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Picture 58" descr="A graph of a graph&#10;&#10;Description automatically generated"/>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714400" cy="1947600"/>
                    </a:xfrm>
                    <a:prstGeom prst="rect">
                      <a:avLst/>
                    </a:prstGeom>
                  </pic:spPr>
                </pic:pic>
              </a:graphicData>
            </a:graphic>
          </wp:inline>
        </w:drawing>
      </w:r>
    </w:p>
    <w:p w14:paraId="06A33643" w14:textId="77777777" w:rsidR="00B54D51" w:rsidRPr="00037AD4" w:rsidRDefault="00B54D51" w:rsidP="00F5430A">
      <w:pPr>
        <w:rPr>
          <w:rFonts w:asciiTheme="minorHAnsi" w:hAnsiTheme="minorHAnsi" w:cstheme="minorHAnsi"/>
        </w:rPr>
      </w:pPr>
      <w:r w:rsidRPr="00037AD4">
        <w:rPr>
          <w:rFonts w:asciiTheme="minorHAnsi" w:hAnsiTheme="minorHAnsi" w:cstheme="minorHAnsi"/>
        </w:rPr>
        <w:tab/>
      </w:r>
      <w:r w:rsidRPr="00037AD4">
        <w:rPr>
          <w:rFonts w:asciiTheme="minorHAnsi" w:hAnsiTheme="minorHAnsi" w:cstheme="minorHAnsi"/>
        </w:rPr>
        <w:tab/>
        <w:t xml:space="preserve">  </w:t>
      </w:r>
      <w:r w:rsidRPr="00037AD4">
        <w:rPr>
          <w:rFonts w:asciiTheme="minorHAnsi" w:hAnsiTheme="minorHAnsi" w:cstheme="minorHAnsi"/>
        </w:rPr>
        <w:tab/>
        <w:t>A6.5g</w:t>
      </w:r>
      <w:r w:rsidRPr="00037AD4">
        <w:rPr>
          <w:rFonts w:asciiTheme="minorHAnsi" w:hAnsiTheme="minorHAnsi" w:cstheme="minorHAnsi"/>
        </w:rPr>
        <w:tab/>
      </w:r>
      <w:r w:rsidRPr="00037AD4">
        <w:rPr>
          <w:rFonts w:asciiTheme="minorHAnsi" w:hAnsiTheme="minorHAnsi" w:cstheme="minorHAnsi"/>
        </w:rPr>
        <w:tab/>
      </w:r>
      <w:r w:rsidRPr="00037AD4">
        <w:rPr>
          <w:rFonts w:asciiTheme="minorHAnsi" w:hAnsiTheme="minorHAnsi" w:cstheme="minorHAnsi"/>
        </w:rPr>
        <w:tab/>
      </w:r>
      <w:r w:rsidRPr="00037AD4">
        <w:rPr>
          <w:rFonts w:asciiTheme="minorHAnsi" w:hAnsiTheme="minorHAnsi" w:cstheme="minorHAnsi"/>
        </w:rPr>
        <w:tab/>
      </w:r>
      <w:r w:rsidRPr="00037AD4">
        <w:rPr>
          <w:rFonts w:asciiTheme="minorHAnsi" w:hAnsiTheme="minorHAnsi" w:cstheme="minorHAnsi"/>
        </w:rPr>
        <w:tab/>
      </w:r>
      <w:r w:rsidRPr="00037AD4">
        <w:rPr>
          <w:rFonts w:asciiTheme="minorHAnsi" w:hAnsiTheme="minorHAnsi" w:cstheme="minorHAnsi"/>
        </w:rPr>
        <w:tab/>
        <w:t xml:space="preserve">  A6.5h</w:t>
      </w:r>
    </w:p>
    <w:p w14:paraId="3E656A80" w14:textId="77777777" w:rsidR="00B54D51" w:rsidRPr="00037AD4" w:rsidRDefault="00B54D51" w:rsidP="00F5430A">
      <w:pPr>
        <w:rPr>
          <w:rFonts w:asciiTheme="minorHAnsi" w:hAnsiTheme="minorHAnsi" w:cstheme="minorHAnsi"/>
        </w:rPr>
      </w:pPr>
    </w:p>
    <w:p w14:paraId="53B39940" w14:textId="77777777" w:rsidR="00B54D51" w:rsidRPr="00037AD4" w:rsidRDefault="00B54D51" w:rsidP="00F5430A">
      <w:pPr>
        <w:rPr>
          <w:rFonts w:asciiTheme="minorHAnsi" w:hAnsiTheme="minorHAnsi" w:cstheme="minorHAnsi"/>
          <w:b/>
          <w:bCs/>
          <w:i/>
          <w:iCs/>
        </w:rPr>
      </w:pPr>
      <w:r w:rsidRPr="00037AD4">
        <w:rPr>
          <w:rFonts w:asciiTheme="minorHAnsi" w:hAnsiTheme="minorHAnsi" w:cstheme="minorHAnsi"/>
          <w:b/>
          <w:bCs/>
          <w:i/>
          <w:iCs/>
        </w:rPr>
        <w:t xml:space="preserve">Figure A6.5g, EQ-5D-5L index score distribution: actual data via target respondents   </w:t>
      </w:r>
    </w:p>
    <w:p w14:paraId="2C0B038B" w14:textId="77777777" w:rsidR="00B54D51" w:rsidRPr="00037AD4" w:rsidRDefault="00B54D51" w:rsidP="00F5430A">
      <w:pPr>
        <w:rPr>
          <w:rFonts w:asciiTheme="minorHAnsi" w:hAnsiTheme="minorHAnsi" w:cstheme="minorHAnsi"/>
          <w:b/>
          <w:bCs/>
          <w:i/>
          <w:iCs/>
        </w:rPr>
      </w:pPr>
      <w:r w:rsidRPr="00037AD4">
        <w:rPr>
          <w:rFonts w:asciiTheme="minorHAnsi" w:hAnsiTheme="minorHAnsi" w:cstheme="minorHAnsi"/>
          <w:b/>
          <w:bCs/>
          <w:i/>
          <w:iCs/>
        </w:rPr>
        <w:t xml:space="preserve">Figure A6.5h, EQ-5D-5L index score distribution: predicted data </w:t>
      </w:r>
    </w:p>
    <w:p w14:paraId="3D93B66D" w14:textId="77777777" w:rsidR="00B54D51" w:rsidRPr="00037AD4" w:rsidRDefault="00B54D51" w:rsidP="00F5430A">
      <w:pPr>
        <w:rPr>
          <w:rFonts w:asciiTheme="minorHAnsi" w:hAnsiTheme="minorHAnsi" w:cstheme="minorHAnsi"/>
          <w:b/>
          <w:bCs/>
          <w:i/>
          <w:iCs/>
        </w:rPr>
      </w:pPr>
    </w:p>
    <w:p w14:paraId="66CA3FA6" w14:textId="77777777" w:rsidR="00B54D51" w:rsidRPr="00037AD4" w:rsidRDefault="00B54D51" w:rsidP="00E44A3C">
      <w:pPr>
        <w:rPr>
          <w:rFonts w:asciiTheme="minorHAnsi" w:hAnsiTheme="minorHAnsi" w:cstheme="minorHAnsi"/>
        </w:rPr>
      </w:pPr>
      <w:r w:rsidRPr="00037AD4">
        <w:rPr>
          <w:rFonts w:asciiTheme="minorHAnsi" w:hAnsiTheme="minorHAnsi" w:cstheme="minorHAnsi"/>
        </w:rPr>
        <w:t xml:space="preserve">Figures A6.5i and A6.5j below illustrate the comparison between mean observed EQ-5D-5L utility values and mean predicted EQ-5D-5L utility values across the distribution of the FAST scale scores. The graphs show that the predicted utilities tend to smooth out variations by normalising the means. In addition, the predicted utilities exhibit a tendency to overestimate utility values at better health/functional states and underestimate those at lower/worse levels of health. A notable point of convergence between the mean observed and mean predicted utilities is seen around a FAST score of four. This score corresponds to moderate dementia (whereby higher scores reflect greater functional impairment) </w:t>
      </w:r>
      <w:r>
        <w:rPr>
          <w:rFonts w:asciiTheme="minorHAnsi" w:hAnsiTheme="minorHAnsi" w:cstheme="minorHAnsi"/>
          <w:noProof/>
        </w:rPr>
        <w:t>(Reisberg, 1988)</w:t>
      </w:r>
      <w:r w:rsidRPr="00037AD4">
        <w:rPr>
          <w:rFonts w:asciiTheme="minorHAnsi" w:hAnsiTheme="minorHAnsi" w:cstheme="minorHAnsi"/>
        </w:rPr>
        <w:t>.</w:t>
      </w:r>
    </w:p>
    <w:p w14:paraId="77F8AB27" w14:textId="77777777" w:rsidR="00B54D51" w:rsidRPr="00037AD4" w:rsidRDefault="00B54D51" w:rsidP="00E44A3C">
      <w:pPr>
        <w:rPr>
          <w:rFonts w:asciiTheme="minorHAnsi" w:hAnsiTheme="minorHAnsi" w:cstheme="minorHAnsi"/>
        </w:rPr>
      </w:pPr>
    </w:p>
    <w:p w14:paraId="19CAEDEF" w14:textId="77777777" w:rsidR="00B54D51" w:rsidRPr="00037AD4" w:rsidRDefault="00B54D51" w:rsidP="00E44A3C">
      <w:pPr>
        <w:rPr>
          <w:rFonts w:asciiTheme="minorHAnsi" w:hAnsiTheme="minorHAnsi" w:cstheme="minorHAnsi"/>
        </w:rPr>
      </w:pPr>
      <w:r w:rsidRPr="00037AD4">
        <w:rPr>
          <w:rFonts w:asciiTheme="minorHAnsi" w:hAnsiTheme="minorHAnsi" w:cstheme="minorHAnsi"/>
        </w:rPr>
        <w:lastRenderedPageBreak/>
        <w:t xml:space="preserve">The differences between the mean utility scores for the CDR stages exhibit a different pattern for the EPIC trial data (when compared with the ACTIFCARE data). The graphs (which are </w:t>
      </w:r>
      <w:r w:rsidRPr="00830480">
        <w:rPr>
          <w:rFonts w:asciiTheme="minorHAnsi" w:hAnsiTheme="minorHAnsi" w:cstheme="minorHAnsi"/>
        </w:rPr>
        <w:t xml:space="preserve">provided in </w:t>
      </w:r>
      <w:hyperlink w:anchor="_Appendix_6.8_CDR" w:history="1">
        <w:r w:rsidRPr="00830480">
          <w:rPr>
            <w:rStyle w:val="Hyperlink"/>
            <w:rFonts w:asciiTheme="minorHAnsi" w:hAnsiTheme="minorHAnsi" w:cstheme="minorHAnsi"/>
            <w:color w:val="auto"/>
            <w:u w:val="none"/>
          </w:rPr>
          <w:t>Appendix 6.8)</w:t>
        </w:r>
      </w:hyperlink>
      <w:r w:rsidRPr="00830480">
        <w:rPr>
          <w:rFonts w:asciiTheme="minorHAnsi" w:hAnsiTheme="minorHAnsi" w:cstheme="minorHAnsi"/>
        </w:rPr>
        <w:t xml:space="preserve"> show </w:t>
      </w:r>
      <w:r w:rsidRPr="00037AD4">
        <w:rPr>
          <w:rFonts w:asciiTheme="minorHAnsi" w:hAnsiTheme="minorHAnsi" w:cstheme="minorHAnsi"/>
        </w:rPr>
        <w:t xml:space="preserve">that model prediction error is at its narrowest at CDR stage three compared to at stages one and two. Although this is the case, even at stages one and two, the absolute difference in predicted utility remains below 0.1. </w:t>
      </w:r>
    </w:p>
    <w:p w14:paraId="130DAB1D" w14:textId="77777777" w:rsidR="00B54D51" w:rsidRPr="00037AD4" w:rsidRDefault="00B54D51" w:rsidP="00F5430A">
      <w:pPr>
        <w:rPr>
          <w:rFonts w:asciiTheme="minorHAnsi" w:hAnsiTheme="minorHAnsi" w:cstheme="minorHAnsi"/>
          <w:b/>
          <w:bCs/>
          <w:u w:val="single"/>
        </w:rPr>
      </w:pPr>
    </w:p>
    <w:p w14:paraId="0E6A38CD" w14:textId="77777777" w:rsidR="00B54D51" w:rsidRPr="00037AD4" w:rsidRDefault="00B54D51" w:rsidP="00F5430A">
      <w:pPr>
        <w:rPr>
          <w:rFonts w:asciiTheme="minorHAnsi" w:hAnsiTheme="minorHAnsi" w:cstheme="minorHAnsi"/>
          <w:b/>
          <w:bCs/>
          <w:i/>
          <w:iCs/>
        </w:rPr>
      </w:pPr>
      <w:bookmarkStart w:id="557" w:name="FIGUREA65i"/>
      <w:r w:rsidRPr="00037AD4">
        <w:rPr>
          <w:rFonts w:asciiTheme="minorHAnsi" w:hAnsiTheme="minorHAnsi" w:cstheme="minorHAnsi"/>
          <w:b/>
          <w:bCs/>
          <w:i/>
          <w:iCs/>
        </w:rPr>
        <w:t>Figure A6.5i, mean predicted vs. mean observed EQ-5D-5L utility over FAST</w:t>
      </w:r>
    </w:p>
    <w:bookmarkEnd w:id="557"/>
    <w:p w14:paraId="1C11CBF8" w14:textId="77777777" w:rsidR="00B54D51" w:rsidRPr="00037AD4" w:rsidRDefault="00B54D51" w:rsidP="00F5430A">
      <w:pPr>
        <w:rPr>
          <w:rFonts w:asciiTheme="minorHAnsi" w:hAnsiTheme="minorHAnsi" w:cstheme="minorHAnsi"/>
        </w:rPr>
      </w:pPr>
    </w:p>
    <w:p w14:paraId="71CAA51C" w14:textId="76605518" w:rsidR="00B54D51" w:rsidRPr="00037AD4" w:rsidRDefault="00830480" w:rsidP="00F5430A">
      <w:pPr>
        <w:rPr>
          <w:rFonts w:asciiTheme="minorHAnsi" w:hAnsiTheme="minorHAnsi" w:cstheme="minorHAnsi"/>
        </w:rPr>
      </w:pPr>
      <w:bookmarkStart w:id="558" w:name="fig45A"/>
      <w:r w:rsidRPr="00037AD4">
        <w:rPr>
          <w:rFonts w:asciiTheme="minorHAnsi" w:hAnsiTheme="minorHAnsi" w:cstheme="minorHAnsi"/>
          <w:noProof/>
          <w:lang w:eastAsia="zh-CN"/>
        </w:rPr>
        <w:drawing>
          <wp:inline distT="0" distB="0" distL="0" distR="0" wp14:anchorId="68AD7439" wp14:editId="3A93D757">
            <wp:extent cx="3960000" cy="2880000"/>
            <wp:effectExtent l="0" t="0" r="2540" b="3175"/>
            <wp:docPr id="125" name="Picture 125" descr="A graph of two peopl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Picture 62" descr="A graph of two people&#10;&#10;Description automatically generated"/>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3960000" cy="2880000"/>
                    </a:xfrm>
                    <a:prstGeom prst="rect">
                      <a:avLst/>
                    </a:prstGeom>
                  </pic:spPr>
                </pic:pic>
              </a:graphicData>
            </a:graphic>
          </wp:inline>
        </w:drawing>
      </w:r>
      <w:bookmarkEnd w:id="558"/>
    </w:p>
    <w:p w14:paraId="062D0FF9" w14:textId="77777777" w:rsidR="00B54D51" w:rsidRPr="00037AD4" w:rsidRDefault="00B54D51" w:rsidP="00F5430A">
      <w:pPr>
        <w:rPr>
          <w:rFonts w:asciiTheme="minorHAnsi" w:hAnsiTheme="minorHAnsi" w:cstheme="minorHAnsi"/>
          <w:b/>
          <w:bCs/>
          <w:i/>
          <w:iCs/>
        </w:rPr>
      </w:pPr>
    </w:p>
    <w:p w14:paraId="09CA6D0C" w14:textId="77777777" w:rsidR="00B54D51" w:rsidRPr="00037AD4" w:rsidRDefault="00B54D51" w:rsidP="00F5430A">
      <w:pPr>
        <w:rPr>
          <w:rFonts w:asciiTheme="minorHAnsi" w:hAnsiTheme="minorHAnsi" w:cstheme="minorHAnsi"/>
          <w:b/>
          <w:bCs/>
          <w:i/>
          <w:iCs/>
        </w:rPr>
      </w:pPr>
      <w:r w:rsidRPr="00037AD4">
        <w:rPr>
          <w:rFonts w:asciiTheme="minorHAnsi" w:hAnsiTheme="minorHAnsi" w:cstheme="minorHAnsi"/>
          <w:b/>
          <w:bCs/>
          <w:i/>
          <w:iCs/>
        </w:rPr>
        <w:t>Figure A6.5j, mean predicted vs. mean observed EQ-5D-5L utility, with error/ absolute difference over FAST</w:t>
      </w:r>
    </w:p>
    <w:p w14:paraId="35C61191" w14:textId="77777777" w:rsidR="00B54D51" w:rsidRPr="00037AD4" w:rsidRDefault="00B54D51" w:rsidP="00F5430A">
      <w:pPr>
        <w:rPr>
          <w:rFonts w:asciiTheme="minorHAnsi" w:hAnsiTheme="minorHAnsi" w:cstheme="minorHAnsi"/>
        </w:rPr>
      </w:pPr>
    </w:p>
    <w:p w14:paraId="0A9CC7F6" w14:textId="65BAB048" w:rsidR="00B54D51" w:rsidRPr="00037AD4" w:rsidRDefault="00830480" w:rsidP="00F5430A">
      <w:pPr>
        <w:rPr>
          <w:rFonts w:asciiTheme="minorHAnsi" w:hAnsiTheme="minorHAnsi" w:cstheme="minorHAnsi"/>
          <w:b/>
          <w:bCs/>
        </w:rPr>
      </w:pPr>
      <w:r w:rsidRPr="00037AD4">
        <w:rPr>
          <w:rFonts w:asciiTheme="minorHAnsi" w:hAnsiTheme="minorHAnsi" w:cstheme="minorHAnsi"/>
          <w:b/>
          <w:bCs/>
          <w:noProof/>
          <w:lang w:eastAsia="zh-CN"/>
        </w:rPr>
        <w:drawing>
          <wp:inline distT="0" distB="0" distL="0" distR="0" wp14:anchorId="46099904" wp14:editId="27D94553">
            <wp:extent cx="3960000" cy="2880000"/>
            <wp:effectExtent l="0" t="0" r="2540" b="3175"/>
            <wp:docPr id="61" name="Picture 61" descr="A graph of a person with a scale&#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Picture 61" descr="A graph of a person with a scale&#10;&#10;Description automatically generated with medium confidence"/>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3960000" cy="2880000"/>
                    </a:xfrm>
                    <a:prstGeom prst="rect">
                      <a:avLst/>
                    </a:prstGeom>
                  </pic:spPr>
                </pic:pic>
              </a:graphicData>
            </a:graphic>
          </wp:inline>
        </w:drawing>
      </w:r>
    </w:p>
    <w:p w14:paraId="3BAFEB81" w14:textId="77777777" w:rsidR="00B54D51" w:rsidRPr="00037AD4" w:rsidRDefault="00B54D51" w:rsidP="00F5430A">
      <w:pPr>
        <w:rPr>
          <w:rFonts w:asciiTheme="minorHAnsi" w:hAnsiTheme="minorHAnsi" w:cstheme="minorHAnsi"/>
        </w:rPr>
      </w:pPr>
    </w:p>
    <w:p w14:paraId="50010B0D" w14:textId="77777777" w:rsidR="00B54D51" w:rsidRDefault="00B54D51" w:rsidP="001D7ACE">
      <w:pPr>
        <w:rPr>
          <w:rFonts w:asciiTheme="minorHAnsi" w:hAnsiTheme="minorHAnsi" w:cstheme="minorHAnsi"/>
          <w:sz w:val="26"/>
          <w:szCs w:val="26"/>
          <w:u w:val="single"/>
        </w:rPr>
      </w:pPr>
    </w:p>
    <w:p w14:paraId="34A51B91" w14:textId="77777777" w:rsidR="008B60DB" w:rsidRPr="00037AD4" w:rsidRDefault="008B60DB" w:rsidP="001D7ACE">
      <w:pPr>
        <w:rPr>
          <w:rFonts w:asciiTheme="minorHAnsi" w:hAnsiTheme="minorHAnsi" w:cstheme="minorHAnsi"/>
          <w:sz w:val="26"/>
          <w:szCs w:val="26"/>
          <w:u w:val="single"/>
        </w:rPr>
      </w:pPr>
    </w:p>
    <w:p w14:paraId="23C7CAF7" w14:textId="77777777" w:rsidR="00B54D51" w:rsidRPr="00037AD4" w:rsidRDefault="00B54D51" w:rsidP="007A43F9">
      <w:pPr>
        <w:pStyle w:val="Heading2"/>
      </w:pPr>
      <w:bookmarkStart w:id="559" w:name="_Appendix_6.6_Scatterplots"/>
      <w:bookmarkStart w:id="560" w:name="A65"/>
      <w:bookmarkStart w:id="561" w:name="_Toc175742423"/>
      <w:bookmarkEnd w:id="559"/>
      <w:r w:rsidRPr="00037AD4">
        <w:lastRenderedPageBreak/>
        <w:t>Appendix 6.6 Scatterplots of observed vs. predicted EQ-5D index scores</w:t>
      </w:r>
      <w:bookmarkEnd w:id="561"/>
      <w:r w:rsidRPr="00037AD4">
        <w:t xml:space="preserve"> </w:t>
      </w:r>
    </w:p>
    <w:bookmarkEnd w:id="560"/>
    <w:p w14:paraId="42C239E0" w14:textId="77777777" w:rsidR="00B54D51" w:rsidRPr="00037AD4" w:rsidRDefault="00B54D51" w:rsidP="001D7ACE">
      <w:pPr>
        <w:rPr>
          <w:rFonts w:asciiTheme="minorHAnsi" w:hAnsiTheme="minorHAnsi" w:cstheme="minorHAnsi"/>
          <w:u w:val="single"/>
        </w:rPr>
      </w:pPr>
    </w:p>
    <w:p w14:paraId="30331F8A" w14:textId="77777777" w:rsidR="00B54D51" w:rsidRPr="00037AD4" w:rsidRDefault="00B54D51" w:rsidP="001D7ACE">
      <w:pPr>
        <w:rPr>
          <w:rFonts w:asciiTheme="minorHAnsi" w:hAnsiTheme="minorHAnsi" w:cstheme="minorHAnsi"/>
          <w:color w:val="000000" w:themeColor="text1"/>
          <w:u w:val="single"/>
        </w:rPr>
      </w:pPr>
      <w:bookmarkStart w:id="562" w:name="FIGUREA66a"/>
      <w:r w:rsidRPr="00037AD4">
        <w:rPr>
          <w:rFonts w:asciiTheme="minorHAnsi" w:hAnsiTheme="minorHAnsi" w:cstheme="minorHAnsi"/>
          <w:color w:val="000000" w:themeColor="text1"/>
          <w:u w:val="single"/>
        </w:rPr>
        <w:t xml:space="preserve">Figure A6.6a, Scatterplot of observed vs. predicted EQ-5D index score: ACTIFCARE (2018 5L value set) </w:t>
      </w:r>
    </w:p>
    <w:bookmarkEnd w:id="562"/>
    <w:p w14:paraId="344DD0D1" w14:textId="77777777" w:rsidR="00B54D51" w:rsidRPr="00037AD4" w:rsidRDefault="00B54D51" w:rsidP="001D7ACE">
      <w:pPr>
        <w:rPr>
          <w:rFonts w:asciiTheme="minorHAnsi" w:hAnsiTheme="minorHAnsi" w:cstheme="minorHAnsi"/>
          <w:color w:val="000000" w:themeColor="text1"/>
          <w:u w:val="single"/>
        </w:rPr>
      </w:pPr>
    </w:p>
    <w:p w14:paraId="2850BA0B" w14:textId="4C7D81D4" w:rsidR="00B54D51" w:rsidRPr="00037AD4" w:rsidRDefault="00830480" w:rsidP="001D7ACE">
      <w:pPr>
        <w:rPr>
          <w:rFonts w:asciiTheme="minorHAnsi" w:hAnsiTheme="minorHAnsi" w:cstheme="minorHAnsi"/>
          <w:color w:val="FF0000"/>
        </w:rPr>
      </w:pPr>
      <w:bookmarkStart w:id="563" w:name="figa65a"/>
      <w:r w:rsidRPr="00037AD4">
        <w:rPr>
          <w:rFonts w:asciiTheme="minorHAnsi" w:hAnsiTheme="minorHAnsi" w:cstheme="minorHAnsi"/>
          <w:noProof/>
          <w:color w:val="FF0000"/>
          <w:lang w:eastAsia="zh-CN"/>
        </w:rPr>
        <w:drawing>
          <wp:inline distT="0" distB="0" distL="0" distR="0" wp14:anchorId="05EA72CB" wp14:editId="0E4281E2">
            <wp:extent cx="4051139" cy="2923317"/>
            <wp:effectExtent l="0" t="0" r="635" b="0"/>
            <wp:docPr id="190" name="Picture 190" descr="A graph with blue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graph with blue dots&#10;&#10;Description automatically generated"/>
                    <pic:cNvPicPr/>
                  </pic:nvPicPr>
                  <pic:blipFill>
                    <a:blip r:embed="rId117">
                      <a:extLst>
                        <a:ext uri="{28A0092B-C50C-407E-A947-70E740481C1C}">
                          <a14:useLocalDpi xmlns:a14="http://schemas.microsoft.com/office/drawing/2010/main" val="0"/>
                        </a:ext>
                      </a:extLst>
                    </a:blip>
                    <a:stretch>
                      <a:fillRect/>
                    </a:stretch>
                  </pic:blipFill>
                  <pic:spPr>
                    <a:xfrm>
                      <a:off x="0" y="0"/>
                      <a:ext cx="4068776" cy="2936044"/>
                    </a:xfrm>
                    <a:prstGeom prst="rect">
                      <a:avLst/>
                    </a:prstGeom>
                  </pic:spPr>
                </pic:pic>
              </a:graphicData>
            </a:graphic>
          </wp:inline>
        </w:drawing>
      </w:r>
      <w:bookmarkEnd w:id="563"/>
    </w:p>
    <w:p w14:paraId="3BFE02DA" w14:textId="77777777" w:rsidR="00B54D51" w:rsidRPr="00037AD4" w:rsidRDefault="00B54D51" w:rsidP="001D7ACE">
      <w:pPr>
        <w:rPr>
          <w:rFonts w:asciiTheme="minorHAnsi" w:hAnsiTheme="minorHAnsi" w:cstheme="minorHAnsi"/>
          <w:color w:val="FF0000"/>
        </w:rPr>
      </w:pPr>
    </w:p>
    <w:p w14:paraId="1AC02A48" w14:textId="77777777" w:rsidR="00B54D51" w:rsidRPr="00037AD4" w:rsidRDefault="00B54D51" w:rsidP="001D7ACE">
      <w:pPr>
        <w:rPr>
          <w:rFonts w:asciiTheme="minorHAnsi" w:hAnsiTheme="minorHAnsi" w:cstheme="minorHAnsi"/>
          <w:color w:val="000000" w:themeColor="text1"/>
          <w:u w:val="single"/>
        </w:rPr>
      </w:pPr>
      <w:bookmarkStart w:id="564" w:name="FIGUREA66b"/>
      <w:r w:rsidRPr="00037AD4">
        <w:rPr>
          <w:rFonts w:asciiTheme="minorHAnsi" w:hAnsiTheme="minorHAnsi" w:cstheme="minorHAnsi"/>
          <w:color w:val="000000" w:themeColor="text1"/>
          <w:u w:val="single"/>
        </w:rPr>
        <w:t>Figure A6.6b, Scatterplot of observed vs. predicted EQ-5D index score: ACTIFCARE (5L. to 3L conversion)</w:t>
      </w:r>
    </w:p>
    <w:bookmarkEnd w:id="564"/>
    <w:p w14:paraId="5922D1C3" w14:textId="77777777" w:rsidR="00B54D51" w:rsidRPr="00037AD4" w:rsidRDefault="00B54D51" w:rsidP="001D7ACE">
      <w:pPr>
        <w:rPr>
          <w:rFonts w:asciiTheme="minorHAnsi" w:hAnsiTheme="minorHAnsi" w:cstheme="minorHAnsi"/>
          <w:color w:val="000000" w:themeColor="text1"/>
          <w:u w:val="single"/>
        </w:rPr>
      </w:pPr>
    </w:p>
    <w:p w14:paraId="27D61C3A" w14:textId="17804EF0" w:rsidR="00B54D51" w:rsidRPr="00037AD4" w:rsidRDefault="00830480" w:rsidP="001D7ACE">
      <w:pPr>
        <w:rPr>
          <w:rFonts w:asciiTheme="minorHAnsi" w:hAnsiTheme="minorHAnsi" w:cstheme="minorHAnsi"/>
          <w:color w:val="FF0000"/>
          <w:u w:val="single"/>
        </w:rPr>
      </w:pPr>
      <w:bookmarkStart w:id="565" w:name="figa65b"/>
      <w:r w:rsidRPr="00037AD4">
        <w:rPr>
          <w:rFonts w:asciiTheme="minorHAnsi" w:hAnsiTheme="minorHAnsi" w:cstheme="minorHAnsi"/>
          <w:noProof/>
          <w:color w:val="FF0000"/>
          <w:lang w:eastAsia="zh-CN"/>
        </w:rPr>
        <w:drawing>
          <wp:inline distT="0" distB="0" distL="0" distR="0" wp14:anchorId="30610C47" wp14:editId="1620D763">
            <wp:extent cx="4058181" cy="2928395"/>
            <wp:effectExtent l="0" t="0" r="0" b="5715"/>
            <wp:docPr id="54" name="Picture 54" descr="A graph showing a number of utility sco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A graph showing a number of utility scores&#10;&#10;Description automatically generated"/>
                    <pic:cNvPicPr/>
                  </pic:nvPicPr>
                  <pic:blipFill>
                    <a:blip r:embed="rId118">
                      <a:extLst>
                        <a:ext uri="{28A0092B-C50C-407E-A947-70E740481C1C}">
                          <a14:useLocalDpi xmlns:a14="http://schemas.microsoft.com/office/drawing/2010/main" val="0"/>
                        </a:ext>
                      </a:extLst>
                    </a:blip>
                    <a:stretch>
                      <a:fillRect/>
                    </a:stretch>
                  </pic:blipFill>
                  <pic:spPr>
                    <a:xfrm>
                      <a:off x="0" y="0"/>
                      <a:ext cx="4086731" cy="2948997"/>
                    </a:xfrm>
                    <a:prstGeom prst="rect">
                      <a:avLst/>
                    </a:prstGeom>
                  </pic:spPr>
                </pic:pic>
              </a:graphicData>
            </a:graphic>
          </wp:inline>
        </w:drawing>
      </w:r>
      <w:bookmarkEnd w:id="565"/>
    </w:p>
    <w:p w14:paraId="5C05B69C" w14:textId="77777777" w:rsidR="00B54D51" w:rsidRPr="00037AD4" w:rsidRDefault="00B54D51" w:rsidP="001D7ACE">
      <w:pPr>
        <w:rPr>
          <w:rFonts w:asciiTheme="minorHAnsi" w:hAnsiTheme="minorHAnsi" w:cstheme="minorHAnsi"/>
          <w:color w:val="FF0000"/>
          <w:u w:val="single"/>
        </w:rPr>
      </w:pPr>
    </w:p>
    <w:p w14:paraId="623B5AD5" w14:textId="77777777" w:rsidR="00B54D51" w:rsidRPr="00037AD4" w:rsidRDefault="00B54D51" w:rsidP="001D7ACE">
      <w:pPr>
        <w:rPr>
          <w:rFonts w:asciiTheme="minorHAnsi" w:hAnsiTheme="minorHAnsi" w:cstheme="minorHAnsi"/>
          <w:color w:val="FF0000"/>
          <w:u w:val="single"/>
        </w:rPr>
      </w:pPr>
    </w:p>
    <w:p w14:paraId="1A188741" w14:textId="77777777" w:rsidR="00B54D51" w:rsidRPr="00037AD4" w:rsidRDefault="00B54D51" w:rsidP="001D7ACE">
      <w:pPr>
        <w:rPr>
          <w:rFonts w:asciiTheme="minorHAnsi" w:hAnsiTheme="minorHAnsi" w:cstheme="minorHAnsi"/>
          <w:color w:val="FF0000"/>
          <w:u w:val="single"/>
        </w:rPr>
      </w:pPr>
    </w:p>
    <w:p w14:paraId="3A099557" w14:textId="77777777" w:rsidR="00B54D51" w:rsidRPr="00037AD4" w:rsidRDefault="00B54D51" w:rsidP="001D7ACE">
      <w:pPr>
        <w:rPr>
          <w:rFonts w:asciiTheme="minorHAnsi" w:hAnsiTheme="minorHAnsi" w:cstheme="minorHAnsi"/>
          <w:color w:val="FF0000"/>
          <w:u w:val="single"/>
        </w:rPr>
      </w:pPr>
    </w:p>
    <w:p w14:paraId="1CB30472" w14:textId="77777777" w:rsidR="00B54D51" w:rsidRPr="00037AD4" w:rsidRDefault="00B54D51" w:rsidP="001D7ACE">
      <w:pPr>
        <w:rPr>
          <w:rFonts w:asciiTheme="minorHAnsi" w:hAnsiTheme="minorHAnsi" w:cstheme="minorHAnsi"/>
          <w:color w:val="FF0000"/>
          <w:u w:val="single"/>
        </w:rPr>
      </w:pPr>
    </w:p>
    <w:p w14:paraId="1ABE5B17" w14:textId="77777777" w:rsidR="00B54D51" w:rsidRPr="00037AD4" w:rsidRDefault="00B54D51" w:rsidP="001D7ACE">
      <w:pPr>
        <w:rPr>
          <w:rFonts w:asciiTheme="minorHAnsi" w:hAnsiTheme="minorHAnsi" w:cstheme="minorHAnsi"/>
          <w:color w:val="000000" w:themeColor="text1"/>
          <w:u w:val="single"/>
        </w:rPr>
      </w:pPr>
      <w:bookmarkStart w:id="566" w:name="FIGUREA66c"/>
      <w:r w:rsidRPr="00037AD4">
        <w:rPr>
          <w:rFonts w:asciiTheme="minorHAnsi" w:hAnsiTheme="minorHAnsi" w:cstheme="minorHAnsi"/>
          <w:color w:val="000000" w:themeColor="text1"/>
          <w:u w:val="single"/>
        </w:rPr>
        <w:lastRenderedPageBreak/>
        <w:t xml:space="preserve">Figure A6.6c, Scatterplot of observed vs. predicted EQ-5D index score: EPIC (2018 5L value set) </w:t>
      </w:r>
    </w:p>
    <w:bookmarkEnd w:id="566"/>
    <w:p w14:paraId="13B93462" w14:textId="77777777" w:rsidR="00B54D51" w:rsidRPr="00037AD4" w:rsidRDefault="00B54D51" w:rsidP="001D7ACE">
      <w:pPr>
        <w:rPr>
          <w:rFonts w:asciiTheme="minorHAnsi" w:hAnsiTheme="minorHAnsi" w:cstheme="minorHAnsi"/>
          <w:color w:val="000000" w:themeColor="text1"/>
          <w:u w:val="single"/>
        </w:rPr>
      </w:pPr>
    </w:p>
    <w:p w14:paraId="431B61D4" w14:textId="1A6A9A21" w:rsidR="00B54D51" w:rsidRPr="00037AD4" w:rsidRDefault="00830480" w:rsidP="001D7ACE">
      <w:pPr>
        <w:rPr>
          <w:rFonts w:asciiTheme="minorHAnsi" w:hAnsiTheme="minorHAnsi" w:cstheme="minorHAnsi"/>
          <w:color w:val="FF0000"/>
          <w:u w:val="single"/>
        </w:rPr>
      </w:pPr>
      <w:bookmarkStart w:id="567" w:name="figa65c"/>
      <w:r w:rsidRPr="00037AD4">
        <w:rPr>
          <w:rFonts w:asciiTheme="minorHAnsi" w:hAnsiTheme="minorHAnsi" w:cstheme="minorHAnsi"/>
          <w:noProof/>
          <w:color w:val="FF0000"/>
          <w:lang w:eastAsia="zh-CN"/>
        </w:rPr>
        <w:drawing>
          <wp:inline distT="0" distB="0" distL="0" distR="0" wp14:anchorId="06A7A15C" wp14:editId="67E5F0D4">
            <wp:extent cx="4097438" cy="2969955"/>
            <wp:effectExtent l="0" t="0" r="5080" b="1905"/>
            <wp:docPr id="191" name="Picture 191" descr="A graph with blue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graph with blue dots&#10;&#10;Description automatically generated"/>
                    <pic:cNvPicPr/>
                  </pic:nvPicPr>
                  <pic:blipFill>
                    <a:blip r:embed="rId119">
                      <a:extLst>
                        <a:ext uri="{28A0092B-C50C-407E-A947-70E740481C1C}">
                          <a14:useLocalDpi xmlns:a14="http://schemas.microsoft.com/office/drawing/2010/main" val="0"/>
                        </a:ext>
                      </a:extLst>
                    </a:blip>
                    <a:stretch>
                      <a:fillRect/>
                    </a:stretch>
                  </pic:blipFill>
                  <pic:spPr>
                    <a:xfrm>
                      <a:off x="0" y="0"/>
                      <a:ext cx="4116696" cy="2983914"/>
                    </a:xfrm>
                    <a:prstGeom prst="rect">
                      <a:avLst/>
                    </a:prstGeom>
                  </pic:spPr>
                </pic:pic>
              </a:graphicData>
            </a:graphic>
          </wp:inline>
        </w:drawing>
      </w:r>
      <w:bookmarkEnd w:id="567"/>
    </w:p>
    <w:p w14:paraId="0C84CDC6" w14:textId="77777777" w:rsidR="00B54D51" w:rsidRPr="00037AD4" w:rsidRDefault="00B54D51" w:rsidP="001D7ACE">
      <w:pPr>
        <w:rPr>
          <w:rFonts w:asciiTheme="minorHAnsi" w:hAnsiTheme="minorHAnsi" w:cstheme="minorHAnsi"/>
          <w:color w:val="FF0000"/>
          <w:u w:val="single"/>
        </w:rPr>
      </w:pPr>
    </w:p>
    <w:p w14:paraId="5DD6CA8B" w14:textId="77777777" w:rsidR="00B54D51" w:rsidRPr="00037AD4" w:rsidRDefault="00B54D51" w:rsidP="001D7ACE">
      <w:pPr>
        <w:rPr>
          <w:rFonts w:asciiTheme="minorHAnsi" w:hAnsiTheme="minorHAnsi" w:cstheme="minorHAnsi"/>
          <w:color w:val="000000" w:themeColor="text1"/>
          <w:u w:val="single"/>
        </w:rPr>
      </w:pPr>
      <w:bookmarkStart w:id="568" w:name="FIGA66D"/>
      <w:r w:rsidRPr="00037AD4">
        <w:rPr>
          <w:rFonts w:asciiTheme="minorHAnsi" w:hAnsiTheme="minorHAnsi" w:cstheme="minorHAnsi"/>
          <w:color w:val="000000" w:themeColor="text1"/>
          <w:u w:val="single"/>
        </w:rPr>
        <w:t>Figure A6.6d, Scatterplot of observed vs. predicted EQ-5D index score: EPIC (5L. to 3L conversion)</w:t>
      </w:r>
    </w:p>
    <w:bookmarkEnd w:id="568"/>
    <w:p w14:paraId="14251762" w14:textId="77777777" w:rsidR="00B54D51" w:rsidRPr="00037AD4" w:rsidRDefault="00B54D51" w:rsidP="001D7ACE">
      <w:pPr>
        <w:rPr>
          <w:rFonts w:asciiTheme="minorHAnsi" w:hAnsiTheme="minorHAnsi" w:cstheme="minorHAnsi"/>
          <w:color w:val="000000" w:themeColor="text1"/>
          <w:u w:val="single"/>
        </w:rPr>
      </w:pPr>
    </w:p>
    <w:p w14:paraId="6DFEB8C1" w14:textId="231A5BA5" w:rsidR="00B54D51" w:rsidRPr="00037AD4" w:rsidRDefault="00830480" w:rsidP="001D7ACE">
      <w:pPr>
        <w:rPr>
          <w:rFonts w:asciiTheme="minorHAnsi" w:hAnsiTheme="minorHAnsi" w:cstheme="minorHAnsi"/>
          <w:color w:val="FF0000"/>
          <w:u w:val="single"/>
        </w:rPr>
      </w:pPr>
      <w:bookmarkStart w:id="569" w:name="figa65d"/>
      <w:r w:rsidRPr="00037AD4">
        <w:rPr>
          <w:rFonts w:asciiTheme="minorHAnsi" w:hAnsiTheme="minorHAnsi" w:cstheme="minorHAnsi"/>
          <w:noProof/>
          <w:color w:val="FF0000"/>
          <w:lang w:eastAsia="zh-CN"/>
        </w:rPr>
        <w:drawing>
          <wp:inline distT="0" distB="0" distL="0" distR="0" wp14:anchorId="453A919F" wp14:editId="2833BB50">
            <wp:extent cx="4096800" cy="2970000"/>
            <wp:effectExtent l="0" t="0" r="5715" b="1905"/>
            <wp:docPr id="192" name="Picture 192" descr="A graph of blue dots&#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Picture 60" descr="A graph of blue dots&#10;&#10;Description automatically generated"/>
                    <pic:cNvPicPr/>
                  </pic:nvPicPr>
                  <pic:blipFill>
                    <a:blip r:embed="rId120">
                      <a:extLst>
                        <a:ext uri="{28A0092B-C50C-407E-A947-70E740481C1C}">
                          <a14:useLocalDpi xmlns:a14="http://schemas.microsoft.com/office/drawing/2010/main" val="0"/>
                        </a:ext>
                      </a:extLst>
                    </a:blip>
                    <a:stretch>
                      <a:fillRect/>
                    </a:stretch>
                  </pic:blipFill>
                  <pic:spPr>
                    <a:xfrm>
                      <a:off x="0" y="0"/>
                      <a:ext cx="4096800" cy="2970000"/>
                    </a:xfrm>
                    <a:prstGeom prst="rect">
                      <a:avLst/>
                    </a:prstGeom>
                  </pic:spPr>
                </pic:pic>
              </a:graphicData>
            </a:graphic>
          </wp:inline>
        </w:drawing>
      </w:r>
      <w:bookmarkEnd w:id="569"/>
    </w:p>
    <w:p w14:paraId="6002C01E" w14:textId="77777777" w:rsidR="00B54D51" w:rsidRPr="00037AD4" w:rsidRDefault="00B54D51" w:rsidP="001D7ACE">
      <w:pPr>
        <w:rPr>
          <w:rFonts w:asciiTheme="minorHAnsi" w:hAnsiTheme="minorHAnsi" w:cstheme="minorHAnsi"/>
          <w:b/>
          <w:bCs/>
          <w:sz w:val="26"/>
          <w:szCs w:val="26"/>
          <w:u w:val="single"/>
        </w:rPr>
      </w:pPr>
    </w:p>
    <w:p w14:paraId="6491306A" w14:textId="77777777" w:rsidR="00B54D51" w:rsidRPr="00037AD4" w:rsidRDefault="00B54D51" w:rsidP="001D7ACE">
      <w:pPr>
        <w:rPr>
          <w:rFonts w:asciiTheme="minorHAnsi" w:hAnsiTheme="minorHAnsi" w:cstheme="minorHAnsi"/>
          <w:b/>
          <w:bCs/>
          <w:sz w:val="26"/>
          <w:szCs w:val="26"/>
          <w:u w:val="single"/>
        </w:rPr>
      </w:pPr>
    </w:p>
    <w:p w14:paraId="30FB3377" w14:textId="77777777" w:rsidR="00B54D51" w:rsidRPr="00037AD4" w:rsidRDefault="00B54D51" w:rsidP="001D7ACE">
      <w:pPr>
        <w:rPr>
          <w:rFonts w:asciiTheme="minorHAnsi" w:hAnsiTheme="minorHAnsi" w:cstheme="minorHAnsi"/>
          <w:b/>
          <w:bCs/>
          <w:sz w:val="26"/>
          <w:szCs w:val="26"/>
          <w:u w:val="single"/>
        </w:rPr>
      </w:pPr>
    </w:p>
    <w:p w14:paraId="2FF237B8" w14:textId="77777777" w:rsidR="00B54D51" w:rsidRPr="00037AD4" w:rsidRDefault="00B54D51" w:rsidP="001D7ACE">
      <w:pPr>
        <w:rPr>
          <w:rFonts w:asciiTheme="minorHAnsi" w:hAnsiTheme="minorHAnsi" w:cstheme="minorHAnsi"/>
          <w:b/>
          <w:bCs/>
          <w:sz w:val="26"/>
          <w:szCs w:val="26"/>
          <w:u w:val="single"/>
        </w:rPr>
      </w:pPr>
    </w:p>
    <w:p w14:paraId="7A505F5D" w14:textId="77777777" w:rsidR="00B54D51" w:rsidRPr="00037AD4" w:rsidRDefault="00B54D51" w:rsidP="001D7ACE">
      <w:pPr>
        <w:rPr>
          <w:rFonts w:asciiTheme="minorHAnsi" w:hAnsiTheme="minorHAnsi" w:cstheme="minorHAnsi"/>
          <w:b/>
          <w:bCs/>
          <w:sz w:val="26"/>
          <w:szCs w:val="26"/>
          <w:u w:val="single"/>
        </w:rPr>
      </w:pPr>
    </w:p>
    <w:p w14:paraId="78676499" w14:textId="77777777" w:rsidR="00B54D51" w:rsidRPr="00037AD4" w:rsidRDefault="00B54D51" w:rsidP="001D7ACE">
      <w:pPr>
        <w:rPr>
          <w:rFonts w:asciiTheme="minorHAnsi" w:hAnsiTheme="minorHAnsi" w:cstheme="minorHAnsi"/>
          <w:b/>
          <w:bCs/>
          <w:sz w:val="26"/>
          <w:szCs w:val="26"/>
          <w:u w:val="single"/>
        </w:rPr>
      </w:pPr>
    </w:p>
    <w:p w14:paraId="318B3E7D" w14:textId="77777777" w:rsidR="00B54D51" w:rsidRPr="00037AD4" w:rsidRDefault="00B54D51" w:rsidP="007A43F9">
      <w:pPr>
        <w:pStyle w:val="Heading2"/>
      </w:pPr>
      <w:bookmarkStart w:id="570" w:name="_Appendix_6.7a_MMSE"/>
      <w:bookmarkStart w:id="571" w:name="A66a"/>
      <w:bookmarkStart w:id="572" w:name="_Toc175742424"/>
      <w:bookmarkEnd w:id="570"/>
      <w:r w:rsidRPr="00037AD4">
        <w:lastRenderedPageBreak/>
        <w:t>Appendix 6.7a MMSE grouping distribution plots, ACTIFCARE</w:t>
      </w:r>
      <w:bookmarkEnd w:id="572"/>
    </w:p>
    <w:bookmarkEnd w:id="571"/>
    <w:p w14:paraId="45E91375" w14:textId="77777777" w:rsidR="00B54D51" w:rsidRPr="00037AD4" w:rsidRDefault="00B54D51" w:rsidP="001D7ACE">
      <w:pPr>
        <w:rPr>
          <w:rFonts w:asciiTheme="minorHAnsi" w:hAnsiTheme="minorHAnsi" w:cstheme="minorHAnsi"/>
          <w:u w:val="single"/>
        </w:rPr>
      </w:pPr>
    </w:p>
    <w:p w14:paraId="199C4560" w14:textId="77777777" w:rsidR="00B54D51" w:rsidRPr="00037AD4" w:rsidRDefault="00B54D51" w:rsidP="001D7ACE">
      <w:pPr>
        <w:rPr>
          <w:rFonts w:asciiTheme="minorHAnsi" w:hAnsiTheme="minorHAnsi" w:cstheme="minorHAnsi"/>
          <w:color w:val="000000" w:themeColor="text1"/>
          <w:u w:val="single"/>
        </w:rPr>
      </w:pPr>
      <w:r w:rsidRPr="00037AD4">
        <w:rPr>
          <w:rFonts w:asciiTheme="minorHAnsi" w:hAnsiTheme="minorHAnsi" w:cstheme="minorHAnsi"/>
          <w:color w:val="000000" w:themeColor="text1"/>
          <w:u w:val="single"/>
        </w:rPr>
        <w:t xml:space="preserve">Figure A6.7a, mean predicted vs. mean observed EQ-5D utility over MMSE groups: ACTIFCARE (2018 5L value set) </w:t>
      </w:r>
    </w:p>
    <w:p w14:paraId="1B1E2D7F" w14:textId="77777777" w:rsidR="00B54D51" w:rsidRPr="00037AD4" w:rsidRDefault="00B54D51" w:rsidP="001D7ACE">
      <w:pPr>
        <w:rPr>
          <w:rFonts w:asciiTheme="minorHAnsi" w:hAnsiTheme="minorHAnsi" w:cstheme="minorHAnsi"/>
          <w:color w:val="FF0000"/>
          <w:u w:val="single"/>
        </w:rPr>
      </w:pPr>
    </w:p>
    <w:p w14:paraId="6FC42EC3" w14:textId="6D4BA031" w:rsidR="00B54D51" w:rsidRPr="00037AD4" w:rsidRDefault="00830480" w:rsidP="001D7ACE">
      <w:pPr>
        <w:rPr>
          <w:rFonts w:asciiTheme="minorHAnsi" w:hAnsiTheme="minorHAnsi" w:cstheme="minorHAnsi"/>
          <w:color w:val="FF0000"/>
          <w:u w:val="single"/>
        </w:rPr>
      </w:pPr>
      <w:r w:rsidRPr="00037AD4">
        <w:rPr>
          <w:rFonts w:asciiTheme="minorHAnsi" w:hAnsiTheme="minorHAnsi" w:cstheme="minorHAnsi"/>
          <w:noProof/>
          <w:color w:val="FF0000"/>
          <w:lang w:eastAsia="zh-CN"/>
        </w:rPr>
        <w:drawing>
          <wp:inline distT="0" distB="0" distL="0" distR="0" wp14:anchorId="094D67BF" wp14:editId="7991CC3F">
            <wp:extent cx="4572000" cy="3293476"/>
            <wp:effectExtent l="0" t="0" r="0" b="0"/>
            <wp:docPr id="193" name="Picture 193" descr="A graph of a number of group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graph of a number of groups&#10;&#10;Description automatically generated"/>
                    <pic:cNvPicPr/>
                  </pic:nvPicPr>
                  <pic:blipFill>
                    <a:blip r:embed="rId121">
                      <a:extLst>
                        <a:ext uri="{28A0092B-C50C-407E-A947-70E740481C1C}">
                          <a14:useLocalDpi xmlns:a14="http://schemas.microsoft.com/office/drawing/2010/main" val="0"/>
                        </a:ext>
                      </a:extLst>
                    </a:blip>
                    <a:stretch>
                      <a:fillRect/>
                    </a:stretch>
                  </pic:blipFill>
                  <pic:spPr>
                    <a:xfrm>
                      <a:off x="0" y="0"/>
                      <a:ext cx="4592459" cy="3308214"/>
                    </a:xfrm>
                    <a:prstGeom prst="rect">
                      <a:avLst/>
                    </a:prstGeom>
                  </pic:spPr>
                </pic:pic>
              </a:graphicData>
            </a:graphic>
          </wp:inline>
        </w:drawing>
      </w:r>
    </w:p>
    <w:p w14:paraId="5442CF92" w14:textId="77777777" w:rsidR="00B54D51" w:rsidRPr="00037AD4" w:rsidRDefault="00B54D51" w:rsidP="001D7ACE">
      <w:pPr>
        <w:rPr>
          <w:rFonts w:asciiTheme="minorHAnsi" w:hAnsiTheme="minorHAnsi" w:cstheme="minorHAnsi"/>
          <w:color w:val="FF0000"/>
          <w:u w:val="single"/>
        </w:rPr>
      </w:pPr>
    </w:p>
    <w:p w14:paraId="22220110" w14:textId="77777777" w:rsidR="00B54D51" w:rsidRPr="00037AD4" w:rsidRDefault="00B54D51" w:rsidP="001D7ACE">
      <w:pPr>
        <w:rPr>
          <w:rFonts w:asciiTheme="minorHAnsi" w:hAnsiTheme="minorHAnsi" w:cstheme="minorHAnsi"/>
          <w:color w:val="000000" w:themeColor="text1"/>
          <w:u w:val="single"/>
        </w:rPr>
      </w:pPr>
      <w:r w:rsidRPr="00037AD4">
        <w:rPr>
          <w:rFonts w:asciiTheme="minorHAnsi" w:hAnsiTheme="minorHAnsi" w:cstheme="minorHAnsi"/>
          <w:color w:val="000000" w:themeColor="text1"/>
          <w:u w:val="single"/>
        </w:rPr>
        <w:t xml:space="preserve">Figure A6.7b, mean predicted vs. mean observed EQ-5D utility over MMSE groups: ACTIFCARE (5L to 3L conversion) </w:t>
      </w:r>
    </w:p>
    <w:p w14:paraId="0D8F814E" w14:textId="77777777" w:rsidR="00B54D51" w:rsidRPr="00037AD4" w:rsidRDefault="00B54D51" w:rsidP="001D7ACE">
      <w:pPr>
        <w:rPr>
          <w:rFonts w:asciiTheme="minorHAnsi" w:hAnsiTheme="minorHAnsi" w:cstheme="minorHAnsi"/>
          <w:color w:val="FF0000"/>
          <w:u w:val="single"/>
        </w:rPr>
      </w:pPr>
    </w:p>
    <w:p w14:paraId="5560538B" w14:textId="4B45F2F7" w:rsidR="00B54D51" w:rsidRPr="00037AD4" w:rsidRDefault="00830480" w:rsidP="001D7ACE">
      <w:pPr>
        <w:rPr>
          <w:rFonts w:asciiTheme="minorHAnsi" w:hAnsiTheme="minorHAnsi" w:cstheme="minorHAnsi"/>
          <w:color w:val="FF0000"/>
          <w:u w:val="single"/>
        </w:rPr>
      </w:pPr>
      <w:r w:rsidRPr="00037AD4">
        <w:rPr>
          <w:rFonts w:asciiTheme="minorHAnsi" w:hAnsiTheme="minorHAnsi" w:cstheme="minorHAnsi"/>
          <w:noProof/>
          <w:color w:val="FF0000"/>
          <w:lang w:eastAsia="zh-CN"/>
        </w:rPr>
        <w:drawing>
          <wp:inline distT="0" distB="0" distL="0" distR="0" wp14:anchorId="5586D907" wp14:editId="3140BF94">
            <wp:extent cx="4572000" cy="3287729"/>
            <wp:effectExtent l="0" t="0" r="0" b="1905"/>
            <wp:docPr id="194" name="Picture 194" descr="A graph of a number of people with different colo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graph of a number of people with different colored lines&#10;&#10;Description automatically generated with medium confidence"/>
                    <pic:cNvPicPr/>
                  </pic:nvPicPr>
                  <pic:blipFill>
                    <a:blip r:embed="rId122">
                      <a:extLst>
                        <a:ext uri="{28A0092B-C50C-407E-A947-70E740481C1C}">
                          <a14:useLocalDpi xmlns:a14="http://schemas.microsoft.com/office/drawing/2010/main" val="0"/>
                        </a:ext>
                      </a:extLst>
                    </a:blip>
                    <a:stretch>
                      <a:fillRect/>
                    </a:stretch>
                  </pic:blipFill>
                  <pic:spPr>
                    <a:xfrm>
                      <a:off x="0" y="0"/>
                      <a:ext cx="4609011" cy="3314344"/>
                    </a:xfrm>
                    <a:prstGeom prst="rect">
                      <a:avLst/>
                    </a:prstGeom>
                  </pic:spPr>
                </pic:pic>
              </a:graphicData>
            </a:graphic>
          </wp:inline>
        </w:drawing>
      </w:r>
    </w:p>
    <w:p w14:paraId="6B71DCE7" w14:textId="77777777" w:rsidR="00B54D51" w:rsidRPr="00037AD4" w:rsidRDefault="00B54D51" w:rsidP="001D7ACE">
      <w:pPr>
        <w:rPr>
          <w:rFonts w:asciiTheme="minorHAnsi" w:hAnsiTheme="minorHAnsi" w:cstheme="minorHAnsi"/>
          <w:color w:val="FF0000"/>
          <w:u w:val="single"/>
        </w:rPr>
      </w:pPr>
    </w:p>
    <w:p w14:paraId="0A3468DB" w14:textId="77777777" w:rsidR="00B54D51" w:rsidRPr="00037AD4" w:rsidRDefault="00B54D51" w:rsidP="001D7ACE">
      <w:pPr>
        <w:rPr>
          <w:rFonts w:asciiTheme="minorHAnsi" w:hAnsiTheme="minorHAnsi" w:cstheme="minorHAnsi"/>
          <w:u w:val="single"/>
        </w:rPr>
      </w:pPr>
    </w:p>
    <w:p w14:paraId="17A7526F" w14:textId="77777777" w:rsidR="00B54D51" w:rsidRPr="00037AD4" w:rsidRDefault="00B54D51" w:rsidP="007A43F9">
      <w:pPr>
        <w:pStyle w:val="Heading2"/>
      </w:pPr>
      <w:bookmarkStart w:id="573" w:name="_Appendix_6.7b_Number"/>
      <w:bookmarkStart w:id="574" w:name="A66b"/>
      <w:bookmarkStart w:id="575" w:name="_Toc175742425"/>
      <w:bookmarkEnd w:id="573"/>
      <w:r w:rsidRPr="00037AD4">
        <w:lastRenderedPageBreak/>
        <w:t>Appendix 6.7b Number of utility observations per MMSE stage, ACTIFCARE</w:t>
      </w:r>
      <w:bookmarkEnd w:id="575"/>
      <w:r w:rsidRPr="00037AD4">
        <w:t xml:space="preserve"> </w:t>
      </w:r>
    </w:p>
    <w:bookmarkEnd w:id="574"/>
    <w:p w14:paraId="09121AA2" w14:textId="77777777" w:rsidR="00B54D51" w:rsidRPr="00037AD4" w:rsidRDefault="00B54D51" w:rsidP="001D7ACE">
      <w:pPr>
        <w:rPr>
          <w:rFonts w:asciiTheme="minorHAnsi" w:hAnsiTheme="minorHAnsi" w:cstheme="minorHAnsi"/>
          <w:u w:val="single"/>
        </w:rPr>
      </w:pPr>
    </w:p>
    <w:tbl>
      <w:tblPr>
        <w:tblStyle w:val="TableGrid"/>
        <w:tblW w:w="0" w:type="auto"/>
        <w:tblLook w:val="04A0" w:firstRow="1" w:lastRow="0" w:firstColumn="1" w:lastColumn="0" w:noHBand="0" w:noVBand="1"/>
      </w:tblPr>
      <w:tblGrid>
        <w:gridCol w:w="1616"/>
        <w:gridCol w:w="1923"/>
      </w:tblGrid>
      <w:tr w:rsidR="00B54D51" w:rsidRPr="00037AD4" w14:paraId="1AC5649E" w14:textId="77777777" w:rsidTr="00401C67">
        <w:trPr>
          <w:trHeight w:val="258"/>
        </w:trPr>
        <w:tc>
          <w:tcPr>
            <w:tcW w:w="1616" w:type="dxa"/>
          </w:tcPr>
          <w:p w14:paraId="16947612" w14:textId="77777777" w:rsidR="00B54D51" w:rsidRPr="00037AD4" w:rsidRDefault="00B54D51" w:rsidP="00401C67">
            <w:pPr>
              <w:jc w:val="center"/>
              <w:rPr>
                <w:rFonts w:asciiTheme="minorHAnsi" w:hAnsiTheme="minorHAnsi" w:cstheme="minorHAnsi"/>
              </w:rPr>
            </w:pPr>
            <w:r w:rsidRPr="00037AD4">
              <w:rPr>
                <w:rFonts w:asciiTheme="minorHAnsi" w:hAnsiTheme="minorHAnsi" w:cstheme="minorHAnsi"/>
              </w:rPr>
              <w:t>MMSE stage</w:t>
            </w:r>
          </w:p>
        </w:tc>
        <w:tc>
          <w:tcPr>
            <w:tcW w:w="1923" w:type="dxa"/>
          </w:tcPr>
          <w:p w14:paraId="58825360" w14:textId="77777777" w:rsidR="00B54D51" w:rsidRPr="00037AD4" w:rsidRDefault="00B54D51" w:rsidP="00401C67">
            <w:pPr>
              <w:jc w:val="center"/>
              <w:rPr>
                <w:rFonts w:asciiTheme="minorHAnsi" w:hAnsiTheme="minorHAnsi" w:cstheme="minorHAnsi"/>
              </w:rPr>
            </w:pPr>
            <w:r w:rsidRPr="00037AD4">
              <w:rPr>
                <w:rFonts w:asciiTheme="minorHAnsi" w:hAnsiTheme="minorHAnsi" w:cstheme="minorHAnsi"/>
              </w:rPr>
              <w:t xml:space="preserve">Utility Obs (n) </w:t>
            </w:r>
          </w:p>
        </w:tc>
      </w:tr>
      <w:tr w:rsidR="00B54D51" w:rsidRPr="00037AD4" w14:paraId="7D57E89B" w14:textId="77777777" w:rsidTr="00401C67">
        <w:trPr>
          <w:trHeight w:val="258"/>
        </w:trPr>
        <w:tc>
          <w:tcPr>
            <w:tcW w:w="1616" w:type="dxa"/>
          </w:tcPr>
          <w:p w14:paraId="21B1B39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0</w:t>
            </w:r>
          </w:p>
        </w:tc>
        <w:tc>
          <w:tcPr>
            <w:tcW w:w="1923" w:type="dxa"/>
          </w:tcPr>
          <w:p w14:paraId="3943E93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w:t>
            </w:r>
          </w:p>
        </w:tc>
      </w:tr>
      <w:tr w:rsidR="00B54D51" w:rsidRPr="00037AD4" w14:paraId="112D56D8" w14:textId="77777777" w:rsidTr="00401C67">
        <w:trPr>
          <w:trHeight w:val="246"/>
        </w:trPr>
        <w:tc>
          <w:tcPr>
            <w:tcW w:w="1616" w:type="dxa"/>
          </w:tcPr>
          <w:p w14:paraId="3083708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w:t>
            </w:r>
          </w:p>
        </w:tc>
        <w:tc>
          <w:tcPr>
            <w:tcW w:w="1923" w:type="dxa"/>
          </w:tcPr>
          <w:p w14:paraId="3D80CC6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w:t>
            </w:r>
          </w:p>
        </w:tc>
      </w:tr>
      <w:tr w:rsidR="00B54D51" w:rsidRPr="00037AD4" w14:paraId="79C01A1A" w14:textId="77777777" w:rsidTr="00401C67">
        <w:trPr>
          <w:trHeight w:val="258"/>
        </w:trPr>
        <w:tc>
          <w:tcPr>
            <w:tcW w:w="1616" w:type="dxa"/>
          </w:tcPr>
          <w:p w14:paraId="1369596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w:t>
            </w:r>
          </w:p>
        </w:tc>
        <w:tc>
          <w:tcPr>
            <w:tcW w:w="1923" w:type="dxa"/>
          </w:tcPr>
          <w:p w14:paraId="4B96F84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w:t>
            </w:r>
          </w:p>
        </w:tc>
      </w:tr>
      <w:tr w:rsidR="00B54D51" w:rsidRPr="00037AD4" w14:paraId="17675E00" w14:textId="77777777" w:rsidTr="00401C67">
        <w:trPr>
          <w:trHeight w:val="258"/>
        </w:trPr>
        <w:tc>
          <w:tcPr>
            <w:tcW w:w="1616" w:type="dxa"/>
          </w:tcPr>
          <w:p w14:paraId="59B654E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3</w:t>
            </w:r>
          </w:p>
        </w:tc>
        <w:tc>
          <w:tcPr>
            <w:tcW w:w="1923" w:type="dxa"/>
          </w:tcPr>
          <w:p w14:paraId="42E2F1E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3</w:t>
            </w:r>
          </w:p>
        </w:tc>
      </w:tr>
      <w:tr w:rsidR="00B54D51" w:rsidRPr="00037AD4" w14:paraId="22D704E3" w14:textId="77777777" w:rsidTr="00401C67">
        <w:trPr>
          <w:trHeight w:val="258"/>
        </w:trPr>
        <w:tc>
          <w:tcPr>
            <w:tcW w:w="1616" w:type="dxa"/>
          </w:tcPr>
          <w:p w14:paraId="738DDE1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4</w:t>
            </w:r>
          </w:p>
        </w:tc>
        <w:tc>
          <w:tcPr>
            <w:tcW w:w="1923" w:type="dxa"/>
          </w:tcPr>
          <w:p w14:paraId="248F26FA"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w:t>
            </w:r>
          </w:p>
        </w:tc>
      </w:tr>
      <w:tr w:rsidR="00B54D51" w:rsidRPr="00037AD4" w14:paraId="57141726" w14:textId="77777777" w:rsidTr="00401C67">
        <w:trPr>
          <w:trHeight w:val="246"/>
        </w:trPr>
        <w:tc>
          <w:tcPr>
            <w:tcW w:w="1616" w:type="dxa"/>
          </w:tcPr>
          <w:p w14:paraId="2DE3378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5</w:t>
            </w:r>
          </w:p>
        </w:tc>
        <w:tc>
          <w:tcPr>
            <w:tcW w:w="1923" w:type="dxa"/>
          </w:tcPr>
          <w:p w14:paraId="00D71A2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4</w:t>
            </w:r>
          </w:p>
        </w:tc>
      </w:tr>
      <w:tr w:rsidR="00B54D51" w:rsidRPr="00037AD4" w14:paraId="1360EDD5" w14:textId="77777777" w:rsidTr="00401C67">
        <w:trPr>
          <w:trHeight w:val="258"/>
        </w:trPr>
        <w:tc>
          <w:tcPr>
            <w:tcW w:w="1616" w:type="dxa"/>
          </w:tcPr>
          <w:p w14:paraId="38C8EEB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6</w:t>
            </w:r>
          </w:p>
        </w:tc>
        <w:tc>
          <w:tcPr>
            <w:tcW w:w="1923" w:type="dxa"/>
          </w:tcPr>
          <w:p w14:paraId="0F7B971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4</w:t>
            </w:r>
          </w:p>
        </w:tc>
      </w:tr>
      <w:tr w:rsidR="00B54D51" w:rsidRPr="00037AD4" w14:paraId="2325991D" w14:textId="77777777" w:rsidTr="00401C67">
        <w:trPr>
          <w:trHeight w:val="258"/>
        </w:trPr>
        <w:tc>
          <w:tcPr>
            <w:tcW w:w="1616" w:type="dxa"/>
          </w:tcPr>
          <w:p w14:paraId="0890C3F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7</w:t>
            </w:r>
          </w:p>
        </w:tc>
        <w:tc>
          <w:tcPr>
            <w:tcW w:w="1923" w:type="dxa"/>
          </w:tcPr>
          <w:p w14:paraId="34BBC94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8</w:t>
            </w:r>
          </w:p>
        </w:tc>
      </w:tr>
      <w:tr w:rsidR="00B54D51" w:rsidRPr="00037AD4" w14:paraId="74EB55AB" w14:textId="77777777" w:rsidTr="00401C67">
        <w:trPr>
          <w:trHeight w:val="258"/>
        </w:trPr>
        <w:tc>
          <w:tcPr>
            <w:tcW w:w="1616" w:type="dxa"/>
          </w:tcPr>
          <w:p w14:paraId="746FABB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8</w:t>
            </w:r>
          </w:p>
        </w:tc>
        <w:tc>
          <w:tcPr>
            <w:tcW w:w="1923" w:type="dxa"/>
          </w:tcPr>
          <w:p w14:paraId="7B1BCF4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15</w:t>
            </w:r>
          </w:p>
        </w:tc>
      </w:tr>
      <w:tr w:rsidR="00B54D51" w:rsidRPr="00037AD4" w14:paraId="38B1325F" w14:textId="77777777" w:rsidTr="00401C67">
        <w:trPr>
          <w:trHeight w:val="246"/>
        </w:trPr>
        <w:tc>
          <w:tcPr>
            <w:tcW w:w="1616" w:type="dxa"/>
          </w:tcPr>
          <w:p w14:paraId="0342659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9</w:t>
            </w:r>
          </w:p>
        </w:tc>
        <w:tc>
          <w:tcPr>
            <w:tcW w:w="1923" w:type="dxa"/>
          </w:tcPr>
          <w:p w14:paraId="25408EC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16</w:t>
            </w:r>
          </w:p>
        </w:tc>
      </w:tr>
      <w:tr w:rsidR="00B54D51" w:rsidRPr="00037AD4" w14:paraId="5395C344" w14:textId="77777777" w:rsidTr="00401C67">
        <w:trPr>
          <w:trHeight w:val="258"/>
        </w:trPr>
        <w:tc>
          <w:tcPr>
            <w:tcW w:w="1616" w:type="dxa"/>
          </w:tcPr>
          <w:p w14:paraId="00E6301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10</w:t>
            </w:r>
          </w:p>
        </w:tc>
        <w:tc>
          <w:tcPr>
            <w:tcW w:w="1923" w:type="dxa"/>
          </w:tcPr>
          <w:p w14:paraId="19CFCA6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21</w:t>
            </w:r>
          </w:p>
        </w:tc>
      </w:tr>
      <w:tr w:rsidR="00B54D51" w:rsidRPr="00037AD4" w14:paraId="217ED7C8" w14:textId="77777777" w:rsidTr="00401C67">
        <w:trPr>
          <w:trHeight w:val="258"/>
        </w:trPr>
        <w:tc>
          <w:tcPr>
            <w:tcW w:w="1616" w:type="dxa"/>
          </w:tcPr>
          <w:p w14:paraId="3370DCD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11</w:t>
            </w:r>
          </w:p>
        </w:tc>
        <w:tc>
          <w:tcPr>
            <w:tcW w:w="1923" w:type="dxa"/>
          </w:tcPr>
          <w:p w14:paraId="0BD5BB4B"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26</w:t>
            </w:r>
          </w:p>
        </w:tc>
      </w:tr>
      <w:tr w:rsidR="00B54D51" w:rsidRPr="00037AD4" w14:paraId="5051ECB8" w14:textId="77777777" w:rsidTr="00401C67">
        <w:trPr>
          <w:trHeight w:val="246"/>
        </w:trPr>
        <w:tc>
          <w:tcPr>
            <w:tcW w:w="1616" w:type="dxa"/>
          </w:tcPr>
          <w:p w14:paraId="1A28DB9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12</w:t>
            </w:r>
          </w:p>
        </w:tc>
        <w:tc>
          <w:tcPr>
            <w:tcW w:w="1923" w:type="dxa"/>
          </w:tcPr>
          <w:p w14:paraId="2C7CF1B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39</w:t>
            </w:r>
          </w:p>
        </w:tc>
      </w:tr>
      <w:tr w:rsidR="00B54D51" w:rsidRPr="00037AD4" w14:paraId="3782A0F1" w14:textId="77777777" w:rsidTr="00401C67">
        <w:trPr>
          <w:trHeight w:val="258"/>
        </w:trPr>
        <w:tc>
          <w:tcPr>
            <w:tcW w:w="1616" w:type="dxa"/>
          </w:tcPr>
          <w:p w14:paraId="71F3369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13</w:t>
            </w:r>
          </w:p>
        </w:tc>
        <w:tc>
          <w:tcPr>
            <w:tcW w:w="1923" w:type="dxa"/>
          </w:tcPr>
          <w:p w14:paraId="1A833B3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36</w:t>
            </w:r>
          </w:p>
        </w:tc>
      </w:tr>
      <w:tr w:rsidR="00B54D51" w:rsidRPr="00037AD4" w14:paraId="1D97BF9E" w14:textId="77777777" w:rsidTr="00401C67">
        <w:trPr>
          <w:trHeight w:val="258"/>
        </w:trPr>
        <w:tc>
          <w:tcPr>
            <w:tcW w:w="1616" w:type="dxa"/>
          </w:tcPr>
          <w:p w14:paraId="296504B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14</w:t>
            </w:r>
          </w:p>
        </w:tc>
        <w:tc>
          <w:tcPr>
            <w:tcW w:w="1923" w:type="dxa"/>
          </w:tcPr>
          <w:p w14:paraId="23736934"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54</w:t>
            </w:r>
          </w:p>
        </w:tc>
      </w:tr>
      <w:tr w:rsidR="00B54D51" w:rsidRPr="00037AD4" w14:paraId="4BA0F8E1" w14:textId="77777777" w:rsidTr="00401C67">
        <w:trPr>
          <w:trHeight w:val="258"/>
        </w:trPr>
        <w:tc>
          <w:tcPr>
            <w:tcW w:w="1616" w:type="dxa"/>
          </w:tcPr>
          <w:p w14:paraId="619ECE1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15</w:t>
            </w:r>
          </w:p>
        </w:tc>
        <w:tc>
          <w:tcPr>
            <w:tcW w:w="1923" w:type="dxa"/>
          </w:tcPr>
          <w:p w14:paraId="2454287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49</w:t>
            </w:r>
          </w:p>
        </w:tc>
      </w:tr>
      <w:tr w:rsidR="00B54D51" w:rsidRPr="00037AD4" w14:paraId="4DC356BB" w14:textId="77777777" w:rsidTr="00401C67">
        <w:trPr>
          <w:trHeight w:val="246"/>
        </w:trPr>
        <w:tc>
          <w:tcPr>
            <w:tcW w:w="1616" w:type="dxa"/>
          </w:tcPr>
          <w:p w14:paraId="7978AA8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16</w:t>
            </w:r>
          </w:p>
        </w:tc>
        <w:tc>
          <w:tcPr>
            <w:tcW w:w="1923" w:type="dxa"/>
          </w:tcPr>
          <w:p w14:paraId="2533C2C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52</w:t>
            </w:r>
          </w:p>
        </w:tc>
      </w:tr>
      <w:tr w:rsidR="00B54D51" w:rsidRPr="00037AD4" w14:paraId="75AF5901" w14:textId="77777777" w:rsidTr="00401C67">
        <w:trPr>
          <w:trHeight w:val="258"/>
        </w:trPr>
        <w:tc>
          <w:tcPr>
            <w:tcW w:w="1616" w:type="dxa"/>
          </w:tcPr>
          <w:p w14:paraId="59E31DF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17</w:t>
            </w:r>
          </w:p>
        </w:tc>
        <w:tc>
          <w:tcPr>
            <w:tcW w:w="1923" w:type="dxa"/>
          </w:tcPr>
          <w:p w14:paraId="7902A63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58</w:t>
            </w:r>
          </w:p>
        </w:tc>
      </w:tr>
      <w:tr w:rsidR="00B54D51" w:rsidRPr="00037AD4" w14:paraId="3A4595E6" w14:textId="77777777" w:rsidTr="00401C67">
        <w:trPr>
          <w:trHeight w:val="258"/>
        </w:trPr>
        <w:tc>
          <w:tcPr>
            <w:tcW w:w="1616" w:type="dxa"/>
          </w:tcPr>
          <w:p w14:paraId="62F6711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18</w:t>
            </w:r>
          </w:p>
        </w:tc>
        <w:tc>
          <w:tcPr>
            <w:tcW w:w="1923" w:type="dxa"/>
          </w:tcPr>
          <w:p w14:paraId="235CCD8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56</w:t>
            </w:r>
          </w:p>
        </w:tc>
      </w:tr>
      <w:tr w:rsidR="00B54D51" w:rsidRPr="00037AD4" w14:paraId="3A8D16B6" w14:textId="77777777" w:rsidTr="00401C67">
        <w:trPr>
          <w:trHeight w:val="246"/>
        </w:trPr>
        <w:tc>
          <w:tcPr>
            <w:tcW w:w="1616" w:type="dxa"/>
          </w:tcPr>
          <w:p w14:paraId="1A947AF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19</w:t>
            </w:r>
          </w:p>
        </w:tc>
        <w:tc>
          <w:tcPr>
            <w:tcW w:w="1923" w:type="dxa"/>
          </w:tcPr>
          <w:p w14:paraId="4D3D0F9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69</w:t>
            </w:r>
          </w:p>
        </w:tc>
      </w:tr>
      <w:tr w:rsidR="00B54D51" w:rsidRPr="00037AD4" w14:paraId="1FFBD3D8" w14:textId="77777777" w:rsidTr="00401C67">
        <w:trPr>
          <w:trHeight w:val="258"/>
        </w:trPr>
        <w:tc>
          <w:tcPr>
            <w:tcW w:w="1616" w:type="dxa"/>
          </w:tcPr>
          <w:p w14:paraId="51AD16B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20</w:t>
            </w:r>
          </w:p>
        </w:tc>
        <w:tc>
          <w:tcPr>
            <w:tcW w:w="1923" w:type="dxa"/>
          </w:tcPr>
          <w:p w14:paraId="784C3E3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72</w:t>
            </w:r>
          </w:p>
        </w:tc>
      </w:tr>
      <w:tr w:rsidR="00B54D51" w:rsidRPr="00037AD4" w14:paraId="3F6742E6" w14:textId="77777777" w:rsidTr="00401C67">
        <w:trPr>
          <w:trHeight w:val="258"/>
        </w:trPr>
        <w:tc>
          <w:tcPr>
            <w:tcW w:w="1616" w:type="dxa"/>
          </w:tcPr>
          <w:p w14:paraId="1AFAD5B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21</w:t>
            </w:r>
          </w:p>
        </w:tc>
        <w:tc>
          <w:tcPr>
            <w:tcW w:w="1923" w:type="dxa"/>
          </w:tcPr>
          <w:p w14:paraId="23E5BBE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79</w:t>
            </w:r>
          </w:p>
        </w:tc>
      </w:tr>
      <w:tr w:rsidR="00B54D51" w:rsidRPr="00037AD4" w14:paraId="372B4131" w14:textId="77777777" w:rsidTr="00401C67">
        <w:trPr>
          <w:trHeight w:val="258"/>
        </w:trPr>
        <w:tc>
          <w:tcPr>
            <w:tcW w:w="1616" w:type="dxa"/>
          </w:tcPr>
          <w:p w14:paraId="777E363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22</w:t>
            </w:r>
          </w:p>
        </w:tc>
        <w:tc>
          <w:tcPr>
            <w:tcW w:w="1923" w:type="dxa"/>
          </w:tcPr>
          <w:p w14:paraId="3FF1B7F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66</w:t>
            </w:r>
          </w:p>
        </w:tc>
      </w:tr>
      <w:tr w:rsidR="00B54D51" w:rsidRPr="00037AD4" w14:paraId="1A8C4731" w14:textId="77777777" w:rsidTr="00401C67">
        <w:trPr>
          <w:trHeight w:val="246"/>
        </w:trPr>
        <w:tc>
          <w:tcPr>
            <w:tcW w:w="1616" w:type="dxa"/>
          </w:tcPr>
          <w:p w14:paraId="1170D31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23</w:t>
            </w:r>
          </w:p>
        </w:tc>
        <w:tc>
          <w:tcPr>
            <w:tcW w:w="1923" w:type="dxa"/>
          </w:tcPr>
          <w:p w14:paraId="305DD39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53</w:t>
            </w:r>
          </w:p>
        </w:tc>
      </w:tr>
      <w:tr w:rsidR="00B54D51" w:rsidRPr="00037AD4" w14:paraId="21951E51" w14:textId="77777777" w:rsidTr="00401C67">
        <w:trPr>
          <w:trHeight w:val="258"/>
        </w:trPr>
        <w:tc>
          <w:tcPr>
            <w:tcW w:w="1616" w:type="dxa"/>
          </w:tcPr>
          <w:p w14:paraId="1293E0C5"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24</w:t>
            </w:r>
          </w:p>
        </w:tc>
        <w:tc>
          <w:tcPr>
            <w:tcW w:w="1923" w:type="dxa"/>
          </w:tcPr>
          <w:p w14:paraId="4E22A15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52</w:t>
            </w:r>
          </w:p>
        </w:tc>
      </w:tr>
      <w:tr w:rsidR="00B54D51" w:rsidRPr="00037AD4" w14:paraId="64C40FB6" w14:textId="77777777" w:rsidTr="00401C67">
        <w:trPr>
          <w:trHeight w:val="258"/>
        </w:trPr>
        <w:tc>
          <w:tcPr>
            <w:tcW w:w="1616" w:type="dxa"/>
          </w:tcPr>
          <w:p w14:paraId="70B8BF5F"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25</w:t>
            </w:r>
          </w:p>
        </w:tc>
        <w:tc>
          <w:tcPr>
            <w:tcW w:w="1923" w:type="dxa"/>
          </w:tcPr>
          <w:p w14:paraId="7A92975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29</w:t>
            </w:r>
          </w:p>
        </w:tc>
      </w:tr>
      <w:tr w:rsidR="00B54D51" w:rsidRPr="00037AD4" w14:paraId="35DFD4DE" w14:textId="77777777" w:rsidTr="00401C67">
        <w:trPr>
          <w:trHeight w:val="258"/>
        </w:trPr>
        <w:tc>
          <w:tcPr>
            <w:tcW w:w="1616" w:type="dxa"/>
          </w:tcPr>
          <w:p w14:paraId="509B9AC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26</w:t>
            </w:r>
          </w:p>
        </w:tc>
        <w:tc>
          <w:tcPr>
            <w:tcW w:w="1923" w:type="dxa"/>
          </w:tcPr>
          <w:p w14:paraId="7C8C8539"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38</w:t>
            </w:r>
          </w:p>
        </w:tc>
      </w:tr>
      <w:tr w:rsidR="00B54D51" w:rsidRPr="00037AD4" w14:paraId="2CA685FC" w14:textId="77777777" w:rsidTr="00401C67">
        <w:trPr>
          <w:trHeight w:val="246"/>
        </w:trPr>
        <w:tc>
          <w:tcPr>
            <w:tcW w:w="1616" w:type="dxa"/>
          </w:tcPr>
          <w:p w14:paraId="66F6178C"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27</w:t>
            </w:r>
          </w:p>
        </w:tc>
        <w:tc>
          <w:tcPr>
            <w:tcW w:w="1923" w:type="dxa"/>
          </w:tcPr>
          <w:p w14:paraId="09F239F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26</w:t>
            </w:r>
          </w:p>
        </w:tc>
      </w:tr>
      <w:tr w:rsidR="00B54D51" w:rsidRPr="00037AD4" w14:paraId="54318663" w14:textId="77777777" w:rsidTr="00401C67">
        <w:trPr>
          <w:trHeight w:val="258"/>
        </w:trPr>
        <w:tc>
          <w:tcPr>
            <w:tcW w:w="1616" w:type="dxa"/>
          </w:tcPr>
          <w:p w14:paraId="0B6ED27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28</w:t>
            </w:r>
          </w:p>
        </w:tc>
        <w:tc>
          <w:tcPr>
            <w:tcW w:w="1923" w:type="dxa"/>
          </w:tcPr>
          <w:p w14:paraId="358BEDE0"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19</w:t>
            </w:r>
          </w:p>
        </w:tc>
      </w:tr>
      <w:tr w:rsidR="00B54D51" w:rsidRPr="00037AD4" w14:paraId="1769DE8F" w14:textId="77777777" w:rsidTr="00401C67">
        <w:trPr>
          <w:trHeight w:val="258"/>
        </w:trPr>
        <w:tc>
          <w:tcPr>
            <w:tcW w:w="1616" w:type="dxa"/>
          </w:tcPr>
          <w:p w14:paraId="0AFD5FE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29</w:t>
            </w:r>
          </w:p>
        </w:tc>
        <w:tc>
          <w:tcPr>
            <w:tcW w:w="1923" w:type="dxa"/>
          </w:tcPr>
          <w:p w14:paraId="3554F5E3"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7</w:t>
            </w:r>
          </w:p>
        </w:tc>
      </w:tr>
      <w:tr w:rsidR="00B54D51" w:rsidRPr="00037AD4" w14:paraId="16026619" w14:textId="77777777" w:rsidTr="00401C67">
        <w:trPr>
          <w:trHeight w:val="246"/>
        </w:trPr>
        <w:tc>
          <w:tcPr>
            <w:tcW w:w="1616" w:type="dxa"/>
          </w:tcPr>
          <w:p w14:paraId="538BC64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30</w:t>
            </w:r>
          </w:p>
        </w:tc>
        <w:tc>
          <w:tcPr>
            <w:tcW w:w="1923" w:type="dxa"/>
          </w:tcPr>
          <w:p w14:paraId="34435436"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7</w:t>
            </w:r>
          </w:p>
        </w:tc>
      </w:tr>
    </w:tbl>
    <w:p w14:paraId="751395AF" w14:textId="77777777" w:rsidR="00B54D51" w:rsidRPr="00037AD4" w:rsidRDefault="00B54D51" w:rsidP="001D7ACE">
      <w:pPr>
        <w:rPr>
          <w:rFonts w:asciiTheme="minorHAnsi" w:hAnsiTheme="minorHAnsi" w:cstheme="minorHAnsi"/>
          <w:u w:val="single"/>
        </w:rPr>
      </w:pPr>
    </w:p>
    <w:p w14:paraId="0B625B28" w14:textId="77777777" w:rsidR="00B54D51" w:rsidRPr="00037AD4" w:rsidRDefault="00B54D51" w:rsidP="001D7ACE">
      <w:pPr>
        <w:rPr>
          <w:rFonts w:asciiTheme="minorHAnsi" w:hAnsiTheme="minorHAnsi" w:cstheme="minorHAnsi"/>
          <w:b/>
          <w:bCs/>
          <w:color w:val="000000" w:themeColor="text1"/>
          <w:sz w:val="26"/>
          <w:szCs w:val="26"/>
          <w:u w:val="single"/>
        </w:rPr>
      </w:pPr>
    </w:p>
    <w:p w14:paraId="574FB551" w14:textId="77777777" w:rsidR="00B54D51" w:rsidRPr="00037AD4" w:rsidRDefault="00B54D51" w:rsidP="001D7ACE">
      <w:pPr>
        <w:rPr>
          <w:rFonts w:asciiTheme="minorHAnsi" w:hAnsiTheme="minorHAnsi" w:cstheme="minorHAnsi"/>
          <w:b/>
          <w:bCs/>
          <w:color w:val="000000" w:themeColor="text1"/>
          <w:sz w:val="26"/>
          <w:szCs w:val="26"/>
          <w:u w:val="single"/>
        </w:rPr>
      </w:pPr>
    </w:p>
    <w:p w14:paraId="27EBCF93" w14:textId="77777777" w:rsidR="00B54D51" w:rsidRPr="00037AD4" w:rsidRDefault="00B54D51" w:rsidP="001D7ACE">
      <w:pPr>
        <w:rPr>
          <w:rFonts w:asciiTheme="minorHAnsi" w:hAnsiTheme="minorHAnsi" w:cstheme="minorHAnsi"/>
          <w:b/>
          <w:bCs/>
          <w:color w:val="000000" w:themeColor="text1"/>
          <w:sz w:val="26"/>
          <w:szCs w:val="26"/>
          <w:u w:val="single"/>
        </w:rPr>
      </w:pPr>
    </w:p>
    <w:p w14:paraId="1C870A81" w14:textId="77777777" w:rsidR="00B54D51" w:rsidRPr="00037AD4" w:rsidRDefault="00B54D51" w:rsidP="001D7ACE">
      <w:pPr>
        <w:rPr>
          <w:rFonts w:asciiTheme="minorHAnsi" w:hAnsiTheme="minorHAnsi" w:cstheme="minorHAnsi"/>
          <w:b/>
          <w:bCs/>
          <w:color w:val="000000" w:themeColor="text1"/>
          <w:sz w:val="26"/>
          <w:szCs w:val="26"/>
          <w:u w:val="single"/>
        </w:rPr>
      </w:pPr>
    </w:p>
    <w:p w14:paraId="03AAB103" w14:textId="77777777" w:rsidR="00B54D51" w:rsidRPr="00037AD4" w:rsidRDefault="00B54D51" w:rsidP="001D7ACE">
      <w:pPr>
        <w:rPr>
          <w:rFonts w:asciiTheme="minorHAnsi" w:hAnsiTheme="minorHAnsi" w:cstheme="minorHAnsi"/>
          <w:b/>
          <w:bCs/>
          <w:color w:val="000000" w:themeColor="text1"/>
          <w:sz w:val="26"/>
          <w:szCs w:val="26"/>
          <w:u w:val="single"/>
        </w:rPr>
      </w:pPr>
    </w:p>
    <w:p w14:paraId="465571C4" w14:textId="77777777" w:rsidR="00B54D51" w:rsidRPr="00037AD4" w:rsidRDefault="00B54D51" w:rsidP="001D7ACE">
      <w:pPr>
        <w:rPr>
          <w:rFonts w:asciiTheme="minorHAnsi" w:hAnsiTheme="minorHAnsi" w:cstheme="minorHAnsi"/>
          <w:b/>
          <w:bCs/>
          <w:color w:val="000000" w:themeColor="text1"/>
          <w:sz w:val="26"/>
          <w:szCs w:val="26"/>
          <w:u w:val="single"/>
        </w:rPr>
      </w:pPr>
    </w:p>
    <w:p w14:paraId="56FA5673" w14:textId="77777777" w:rsidR="00B54D51" w:rsidRPr="00037AD4" w:rsidRDefault="00B54D51" w:rsidP="001D7ACE">
      <w:pPr>
        <w:rPr>
          <w:rFonts w:asciiTheme="minorHAnsi" w:hAnsiTheme="minorHAnsi" w:cstheme="minorHAnsi"/>
          <w:b/>
          <w:bCs/>
          <w:color w:val="000000" w:themeColor="text1"/>
          <w:sz w:val="26"/>
          <w:szCs w:val="26"/>
          <w:u w:val="single"/>
        </w:rPr>
      </w:pPr>
    </w:p>
    <w:p w14:paraId="5CD36958" w14:textId="77777777" w:rsidR="00B54D51" w:rsidRPr="00037AD4" w:rsidRDefault="00B54D51" w:rsidP="001D7ACE">
      <w:pPr>
        <w:rPr>
          <w:rFonts w:asciiTheme="minorHAnsi" w:hAnsiTheme="minorHAnsi" w:cstheme="minorHAnsi"/>
          <w:b/>
          <w:bCs/>
          <w:color w:val="000000" w:themeColor="text1"/>
          <w:sz w:val="26"/>
          <w:szCs w:val="26"/>
          <w:u w:val="single"/>
        </w:rPr>
      </w:pPr>
    </w:p>
    <w:p w14:paraId="357D4091" w14:textId="77777777" w:rsidR="00B54D51" w:rsidRPr="00037AD4" w:rsidRDefault="00B54D51" w:rsidP="001D7ACE">
      <w:pPr>
        <w:rPr>
          <w:rFonts w:asciiTheme="minorHAnsi" w:hAnsiTheme="minorHAnsi" w:cstheme="minorHAnsi"/>
          <w:b/>
          <w:bCs/>
          <w:color w:val="000000" w:themeColor="text1"/>
          <w:sz w:val="26"/>
          <w:szCs w:val="26"/>
          <w:u w:val="single"/>
        </w:rPr>
      </w:pPr>
    </w:p>
    <w:p w14:paraId="2122CE39" w14:textId="77777777" w:rsidR="00B54D51" w:rsidRPr="00037AD4" w:rsidRDefault="00B54D51" w:rsidP="001D7ACE">
      <w:pPr>
        <w:rPr>
          <w:rFonts w:asciiTheme="minorHAnsi" w:hAnsiTheme="minorHAnsi" w:cstheme="minorHAnsi"/>
          <w:b/>
          <w:bCs/>
          <w:color w:val="000000" w:themeColor="text1"/>
          <w:sz w:val="26"/>
          <w:szCs w:val="26"/>
          <w:u w:val="single"/>
        </w:rPr>
      </w:pPr>
    </w:p>
    <w:p w14:paraId="4F4E287D" w14:textId="77777777" w:rsidR="00B54D51" w:rsidRPr="00037AD4" w:rsidRDefault="00B54D51" w:rsidP="007A43F9">
      <w:pPr>
        <w:pStyle w:val="Heading2"/>
      </w:pPr>
      <w:bookmarkStart w:id="576" w:name="_Appendix_6.8_CDR"/>
      <w:bookmarkStart w:id="577" w:name="A67"/>
      <w:bookmarkStart w:id="578" w:name="_Toc175742426"/>
      <w:bookmarkEnd w:id="576"/>
      <w:r w:rsidRPr="00037AD4">
        <w:lastRenderedPageBreak/>
        <w:t>Appendix 6.8 CDR distribution plots</w:t>
      </w:r>
      <w:bookmarkEnd w:id="578"/>
    </w:p>
    <w:bookmarkEnd w:id="577"/>
    <w:p w14:paraId="04741DB4" w14:textId="77777777" w:rsidR="00B54D51" w:rsidRPr="00037AD4" w:rsidRDefault="00B54D51" w:rsidP="001D7ACE">
      <w:pPr>
        <w:rPr>
          <w:rFonts w:asciiTheme="minorHAnsi" w:hAnsiTheme="minorHAnsi" w:cstheme="minorHAnsi"/>
          <w:color w:val="000000" w:themeColor="text1"/>
          <w:u w:val="single"/>
        </w:rPr>
      </w:pPr>
    </w:p>
    <w:p w14:paraId="75A43125" w14:textId="77777777" w:rsidR="00B54D51" w:rsidRPr="00037AD4" w:rsidRDefault="00B54D51" w:rsidP="001D7ACE">
      <w:pPr>
        <w:rPr>
          <w:rFonts w:asciiTheme="minorHAnsi" w:hAnsiTheme="minorHAnsi" w:cstheme="minorHAnsi"/>
          <w:color w:val="000000" w:themeColor="text1"/>
          <w:u w:val="single"/>
        </w:rPr>
      </w:pPr>
      <w:r w:rsidRPr="00037AD4">
        <w:rPr>
          <w:rFonts w:asciiTheme="minorHAnsi" w:hAnsiTheme="minorHAnsi" w:cstheme="minorHAnsi"/>
          <w:color w:val="000000" w:themeColor="text1"/>
          <w:u w:val="single"/>
        </w:rPr>
        <w:t xml:space="preserve">Figure A6.8a, mean predicted vs. mean observed EQ-5D utility, with error/ absolute difference over CDR: ACTIFCARE </w:t>
      </w:r>
    </w:p>
    <w:p w14:paraId="36FE3F78" w14:textId="77777777" w:rsidR="00B54D51" w:rsidRPr="00037AD4" w:rsidRDefault="00B54D51" w:rsidP="001D7ACE">
      <w:pPr>
        <w:rPr>
          <w:rFonts w:asciiTheme="minorHAnsi" w:hAnsiTheme="minorHAnsi" w:cstheme="minorHAnsi"/>
          <w:color w:val="FF0000"/>
          <w:u w:val="single"/>
        </w:rPr>
      </w:pPr>
    </w:p>
    <w:p w14:paraId="52D5AF24" w14:textId="720F3D20" w:rsidR="00B54D51" w:rsidRPr="00037AD4" w:rsidRDefault="00830480" w:rsidP="001D7ACE">
      <w:pPr>
        <w:jc w:val="both"/>
        <w:rPr>
          <w:rFonts w:asciiTheme="minorHAnsi" w:hAnsiTheme="minorHAnsi" w:cstheme="minorHAnsi"/>
          <w:b/>
          <w:bCs/>
        </w:rPr>
      </w:pPr>
      <w:r w:rsidRPr="00037AD4">
        <w:rPr>
          <w:rFonts w:asciiTheme="minorHAnsi" w:hAnsiTheme="minorHAnsi" w:cstheme="minorHAnsi"/>
          <w:noProof/>
          <w:lang w:eastAsia="zh-CN"/>
        </w:rPr>
        <w:drawing>
          <wp:inline distT="0" distB="0" distL="0" distR="0" wp14:anchorId="4DA8F0B5" wp14:editId="652738E0">
            <wp:extent cx="4398579" cy="3190909"/>
            <wp:effectExtent l="0" t="0" r="0" b="0"/>
            <wp:docPr id="195" name="Picture 195" descr="A graph of a person with a number of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graph of a person with a number of lines&#10;&#10;Description automatically generated with medium confidence"/>
                    <pic:cNvPicPr/>
                  </pic:nvPicPr>
                  <pic:blipFill>
                    <a:blip r:embed="rId123">
                      <a:extLst>
                        <a:ext uri="{28A0092B-C50C-407E-A947-70E740481C1C}">
                          <a14:useLocalDpi xmlns:a14="http://schemas.microsoft.com/office/drawing/2010/main" val="0"/>
                        </a:ext>
                      </a:extLst>
                    </a:blip>
                    <a:stretch>
                      <a:fillRect/>
                    </a:stretch>
                  </pic:blipFill>
                  <pic:spPr>
                    <a:xfrm>
                      <a:off x="0" y="0"/>
                      <a:ext cx="4446226" cy="3225474"/>
                    </a:xfrm>
                    <a:prstGeom prst="rect">
                      <a:avLst/>
                    </a:prstGeom>
                  </pic:spPr>
                </pic:pic>
              </a:graphicData>
            </a:graphic>
          </wp:inline>
        </w:drawing>
      </w:r>
    </w:p>
    <w:p w14:paraId="6AACDC08" w14:textId="77777777" w:rsidR="00B54D51" w:rsidRPr="00037AD4" w:rsidRDefault="00B54D51" w:rsidP="001D7ACE">
      <w:pPr>
        <w:rPr>
          <w:rFonts w:asciiTheme="minorHAnsi" w:hAnsiTheme="minorHAnsi" w:cstheme="minorHAnsi"/>
          <w:u w:val="single"/>
        </w:rPr>
      </w:pPr>
    </w:p>
    <w:p w14:paraId="04820497" w14:textId="77777777" w:rsidR="00B54D51" w:rsidRPr="00037AD4" w:rsidRDefault="00B54D51" w:rsidP="001D7ACE">
      <w:pPr>
        <w:rPr>
          <w:rFonts w:asciiTheme="minorHAnsi" w:hAnsiTheme="minorHAnsi" w:cstheme="minorHAnsi"/>
          <w:color w:val="000000" w:themeColor="text1"/>
          <w:u w:val="single"/>
        </w:rPr>
      </w:pPr>
      <w:r w:rsidRPr="00037AD4">
        <w:rPr>
          <w:rFonts w:asciiTheme="minorHAnsi" w:hAnsiTheme="minorHAnsi" w:cstheme="minorHAnsi"/>
          <w:color w:val="000000" w:themeColor="text1"/>
          <w:u w:val="single"/>
        </w:rPr>
        <w:t xml:space="preserve">Figure A6.8b, mean predicted vs. mean observed EQ-5D utility, with error/ absolute difference over CDR: ACTIFCARE </w:t>
      </w:r>
    </w:p>
    <w:p w14:paraId="0AF6B4A1" w14:textId="77777777" w:rsidR="00B54D51" w:rsidRPr="00037AD4" w:rsidRDefault="00B54D51" w:rsidP="001D7ACE">
      <w:pPr>
        <w:rPr>
          <w:rFonts w:asciiTheme="minorHAnsi" w:hAnsiTheme="minorHAnsi" w:cstheme="minorHAnsi"/>
          <w:u w:val="single"/>
        </w:rPr>
      </w:pPr>
    </w:p>
    <w:p w14:paraId="357C3890" w14:textId="7AA83513" w:rsidR="00B54D51" w:rsidRPr="00037AD4" w:rsidRDefault="00830480" w:rsidP="001D7ACE">
      <w:pPr>
        <w:rPr>
          <w:rFonts w:asciiTheme="minorHAnsi" w:hAnsiTheme="minorHAnsi" w:cstheme="minorHAnsi"/>
          <w:u w:val="single"/>
        </w:rPr>
      </w:pPr>
      <w:r w:rsidRPr="00037AD4">
        <w:rPr>
          <w:rFonts w:asciiTheme="minorHAnsi" w:hAnsiTheme="minorHAnsi" w:cstheme="minorHAnsi"/>
          <w:noProof/>
          <w:lang w:eastAsia="zh-CN"/>
        </w:rPr>
        <w:drawing>
          <wp:inline distT="0" distB="0" distL="0" distR="0" wp14:anchorId="22091C6E" wp14:editId="454E7691">
            <wp:extent cx="4398010" cy="3189600"/>
            <wp:effectExtent l="0" t="0" r="0" b="0"/>
            <wp:docPr id="196" name="Picture 196" descr="A graph of a performance&#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Picture 23" descr="A graph of a performance&#10;&#10;Description automatically generated with medium confidence"/>
                    <pic:cNvPicPr/>
                  </pic:nvPicPr>
                  <pic:blipFill>
                    <a:blip r:embed="rId124">
                      <a:extLst>
                        <a:ext uri="{28A0092B-C50C-407E-A947-70E740481C1C}">
                          <a14:useLocalDpi xmlns:a14="http://schemas.microsoft.com/office/drawing/2010/main" val="0"/>
                        </a:ext>
                      </a:extLst>
                    </a:blip>
                    <a:stretch>
                      <a:fillRect/>
                    </a:stretch>
                  </pic:blipFill>
                  <pic:spPr>
                    <a:xfrm>
                      <a:off x="0" y="0"/>
                      <a:ext cx="4398010" cy="3189600"/>
                    </a:xfrm>
                    <a:prstGeom prst="rect">
                      <a:avLst/>
                    </a:prstGeom>
                  </pic:spPr>
                </pic:pic>
              </a:graphicData>
            </a:graphic>
          </wp:inline>
        </w:drawing>
      </w:r>
    </w:p>
    <w:p w14:paraId="7992CF5D" w14:textId="77777777" w:rsidR="00B54D51" w:rsidRPr="00037AD4" w:rsidRDefault="00B54D51" w:rsidP="001D7ACE">
      <w:pPr>
        <w:rPr>
          <w:rFonts w:asciiTheme="minorHAnsi" w:hAnsiTheme="minorHAnsi" w:cstheme="minorHAnsi"/>
          <w:u w:val="single"/>
        </w:rPr>
      </w:pPr>
    </w:p>
    <w:p w14:paraId="102A27F0" w14:textId="77777777" w:rsidR="00B54D51" w:rsidRPr="00037AD4" w:rsidRDefault="00B54D51" w:rsidP="001D7ACE">
      <w:pPr>
        <w:rPr>
          <w:rFonts w:asciiTheme="minorHAnsi" w:hAnsiTheme="minorHAnsi" w:cstheme="minorHAnsi"/>
          <w:u w:val="single"/>
        </w:rPr>
      </w:pPr>
    </w:p>
    <w:p w14:paraId="3C4ACD1F" w14:textId="77777777" w:rsidR="00B54D51" w:rsidRPr="00037AD4" w:rsidRDefault="00B54D51" w:rsidP="001D7ACE">
      <w:pPr>
        <w:rPr>
          <w:rFonts w:asciiTheme="minorHAnsi" w:hAnsiTheme="minorHAnsi" w:cstheme="minorHAnsi"/>
        </w:rPr>
      </w:pPr>
    </w:p>
    <w:p w14:paraId="1CABFB2D" w14:textId="77777777" w:rsidR="00B54D51" w:rsidRPr="00037AD4" w:rsidRDefault="00B54D51" w:rsidP="001D7ACE">
      <w:pPr>
        <w:rPr>
          <w:rFonts w:asciiTheme="minorHAnsi" w:hAnsiTheme="minorHAnsi" w:cstheme="minorHAnsi"/>
          <w:color w:val="000000" w:themeColor="text1"/>
          <w:u w:val="single"/>
        </w:rPr>
      </w:pPr>
      <w:r w:rsidRPr="00037AD4">
        <w:rPr>
          <w:rFonts w:asciiTheme="minorHAnsi" w:hAnsiTheme="minorHAnsi" w:cstheme="minorHAnsi"/>
          <w:color w:val="000000" w:themeColor="text1"/>
          <w:u w:val="single"/>
        </w:rPr>
        <w:lastRenderedPageBreak/>
        <w:t xml:space="preserve">Figure A6.8c, mean predicted vs. mean observed EQ-5D utility, with error/ absolute difference over CDR: EPIC </w:t>
      </w:r>
    </w:p>
    <w:p w14:paraId="0CCFA9D1" w14:textId="77777777" w:rsidR="00B54D51" w:rsidRPr="00037AD4" w:rsidRDefault="00B54D51" w:rsidP="001D7ACE">
      <w:pPr>
        <w:rPr>
          <w:rFonts w:asciiTheme="minorHAnsi" w:hAnsiTheme="minorHAnsi" w:cstheme="minorHAnsi"/>
        </w:rPr>
      </w:pPr>
    </w:p>
    <w:p w14:paraId="15B280CF" w14:textId="3ED52D05" w:rsidR="00B54D51" w:rsidRPr="00037AD4" w:rsidRDefault="00830480" w:rsidP="001D7ACE">
      <w:pPr>
        <w:rPr>
          <w:rFonts w:asciiTheme="minorHAnsi" w:hAnsiTheme="minorHAnsi" w:cstheme="minorHAnsi"/>
          <w:b/>
          <w:bCs/>
          <w:u w:val="single"/>
        </w:rPr>
      </w:pPr>
      <w:r w:rsidRPr="00037AD4">
        <w:rPr>
          <w:rFonts w:asciiTheme="minorHAnsi" w:hAnsiTheme="minorHAnsi" w:cstheme="minorHAnsi"/>
          <w:b/>
          <w:bCs/>
          <w:noProof/>
          <w:lang w:eastAsia="zh-CN"/>
        </w:rPr>
        <w:drawing>
          <wp:inline distT="0" distB="0" distL="0" distR="0" wp14:anchorId="132CF595" wp14:editId="686AF199">
            <wp:extent cx="4426835" cy="3204000"/>
            <wp:effectExtent l="0" t="0" r="5715" b="0"/>
            <wp:docPr id="197" name="Picture 197" descr="A graph of a person with a number of lines&#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Picture 19" descr="A graph of a person with a number of lines&#10;&#10;Description automatically generated with medium confidence"/>
                    <pic:cNvPicPr/>
                  </pic:nvPicPr>
                  <pic:blipFill>
                    <a:blip r:embed="rId125">
                      <a:extLst>
                        <a:ext uri="{28A0092B-C50C-407E-A947-70E740481C1C}">
                          <a14:useLocalDpi xmlns:a14="http://schemas.microsoft.com/office/drawing/2010/main" val="0"/>
                        </a:ext>
                      </a:extLst>
                    </a:blip>
                    <a:stretch>
                      <a:fillRect/>
                    </a:stretch>
                  </pic:blipFill>
                  <pic:spPr>
                    <a:xfrm>
                      <a:off x="0" y="0"/>
                      <a:ext cx="4426835" cy="3204000"/>
                    </a:xfrm>
                    <a:prstGeom prst="rect">
                      <a:avLst/>
                    </a:prstGeom>
                  </pic:spPr>
                </pic:pic>
              </a:graphicData>
            </a:graphic>
          </wp:inline>
        </w:drawing>
      </w:r>
    </w:p>
    <w:p w14:paraId="7C043C6B" w14:textId="77777777" w:rsidR="00B54D51" w:rsidRPr="00037AD4" w:rsidRDefault="00B54D51" w:rsidP="001D7ACE">
      <w:pPr>
        <w:rPr>
          <w:rFonts w:asciiTheme="minorHAnsi" w:hAnsiTheme="minorHAnsi" w:cstheme="minorHAnsi"/>
          <w:color w:val="FF0000"/>
          <w:u w:val="single"/>
        </w:rPr>
      </w:pPr>
    </w:p>
    <w:p w14:paraId="498ED00E" w14:textId="77777777" w:rsidR="00B54D51" w:rsidRPr="00037AD4" w:rsidRDefault="00B54D51" w:rsidP="001D7ACE">
      <w:pPr>
        <w:rPr>
          <w:rFonts w:asciiTheme="minorHAnsi" w:hAnsiTheme="minorHAnsi" w:cstheme="minorHAnsi"/>
          <w:color w:val="000000" w:themeColor="text1"/>
          <w:u w:val="single"/>
        </w:rPr>
      </w:pPr>
      <w:bookmarkStart w:id="579" w:name="FIGUREA68D"/>
      <w:r w:rsidRPr="00037AD4">
        <w:rPr>
          <w:rFonts w:asciiTheme="minorHAnsi" w:hAnsiTheme="minorHAnsi" w:cstheme="minorHAnsi"/>
          <w:color w:val="000000" w:themeColor="text1"/>
          <w:u w:val="single"/>
        </w:rPr>
        <w:t xml:space="preserve">Figure A6.8d, mean predicted vs. mean observed EQ-5D utility, with error/ absolute difference over CDR: EPIC </w:t>
      </w:r>
    </w:p>
    <w:bookmarkEnd w:id="579"/>
    <w:p w14:paraId="06D0743E" w14:textId="77777777" w:rsidR="00B54D51" w:rsidRPr="00037AD4" w:rsidRDefault="00B54D51" w:rsidP="001D7ACE">
      <w:pPr>
        <w:rPr>
          <w:color w:val="000000" w:themeColor="text1"/>
          <w:u w:val="single"/>
        </w:rPr>
      </w:pPr>
    </w:p>
    <w:p w14:paraId="0608291F" w14:textId="0B084AC1" w:rsidR="00B54D51" w:rsidRPr="00037AD4" w:rsidRDefault="00830480" w:rsidP="001D7ACE">
      <w:pPr>
        <w:rPr>
          <w:color w:val="FF0000"/>
          <w:u w:val="single"/>
        </w:rPr>
      </w:pPr>
      <w:r w:rsidRPr="00037AD4">
        <w:rPr>
          <w:noProof/>
          <w:color w:val="FF0000"/>
          <w:lang w:eastAsia="zh-CN"/>
        </w:rPr>
        <w:drawing>
          <wp:inline distT="0" distB="0" distL="0" distR="0" wp14:anchorId="58287F57" wp14:editId="24AA1369">
            <wp:extent cx="4426585" cy="3202444"/>
            <wp:effectExtent l="0" t="0" r="5715" b="0"/>
            <wp:docPr id="198" name="Picture 198" descr="A graph of a performan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graph of a performance&#10;&#10;Description automatically generated with medium confidence"/>
                    <pic:cNvPicPr/>
                  </pic:nvPicPr>
                  <pic:blipFill>
                    <a:blip r:embed="rId126">
                      <a:extLst>
                        <a:ext uri="{28A0092B-C50C-407E-A947-70E740481C1C}">
                          <a14:useLocalDpi xmlns:a14="http://schemas.microsoft.com/office/drawing/2010/main" val="0"/>
                        </a:ext>
                      </a:extLst>
                    </a:blip>
                    <a:stretch>
                      <a:fillRect/>
                    </a:stretch>
                  </pic:blipFill>
                  <pic:spPr>
                    <a:xfrm>
                      <a:off x="0" y="0"/>
                      <a:ext cx="4453985" cy="3222267"/>
                    </a:xfrm>
                    <a:prstGeom prst="rect">
                      <a:avLst/>
                    </a:prstGeom>
                  </pic:spPr>
                </pic:pic>
              </a:graphicData>
            </a:graphic>
          </wp:inline>
        </w:drawing>
      </w:r>
    </w:p>
    <w:p w14:paraId="021E3F64" w14:textId="77777777" w:rsidR="00B54D51" w:rsidRPr="00037AD4" w:rsidRDefault="00B54D51" w:rsidP="001D7ACE">
      <w:pPr>
        <w:rPr>
          <w:color w:val="FF0000"/>
        </w:rPr>
      </w:pPr>
    </w:p>
    <w:p w14:paraId="5D728A7C" w14:textId="77777777" w:rsidR="00B54D51" w:rsidRPr="00037AD4" w:rsidRDefault="00B54D51" w:rsidP="001D7ACE">
      <w:pPr>
        <w:rPr>
          <w:rFonts w:cstheme="minorHAnsi"/>
          <w:u w:val="single"/>
        </w:rPr>
      </w:pPr>
    </w:p>
    <w:p w14:paraId="0E37A8DE" w14:textId="77777777" w:rsidR="00B54D51" w:rsidRPr="00037AD4" w:rsidRDefault="00B54D51" w:rsidP="001D7ACE">
      <w:pPr>
        <w:rPr>
          <w:rFonts w:cstheme="minorHAnsi"/>
          <w:u w:val="single"/>
        </w:rPr>
      </w:pPr>
    </w:p>
    <w:p w14:paraId="6940BB69" w14:textId="77777777" w:rsidR="00B54D51" w:rsidRPr="00037AD4" w:rsidRDefault="00B54D51" w:rsidP="001D7ACE">
      <w:pPr>
        <w:rPr>
          <w:rFonts w:cstheme="minorHAnsi"/>
          <w:u w:val="single"/>
        </w:rPr>
      </w:pPr>
    </w:p>
    <w:p w14:paraId="7362A55A" w14:textId="77777777" w:rsidR="00B54D51" w:rsidRPr="00037AD4" w:rsidRDefault="00B54D51" w:rsidP="001D7ACE">
      <w:pPr>
        <w:rPr>
          <w:rFonts w:cstheme="minorHAnsi"/>
          <w:u w:val="single"/>
        </w:rPr>
      </w:pPr>
    </w:p>
    <w:p w14:paraId="2A6E515A" w14:textId="77777777" w:rsidR="00B54D51" w:rsidRPr="00037AD4" w:rsidRDefault="00B54D51" w:rsidP="007A43F9">
      <w:pPr>
        <w:pStyle w:val="Heading2"/>
      </w:pPr>
      <w:bookmarkStart w:id="580" w:name="A68"/>
      <w:bookmarkStart w:id="581" w:name="_Toc175742427"/>
      <w:r w:rsidRPr="00037AD4">
        <w:lastRenderedPageBreak/>
        <w:t>Appendix 6.9 Summary of mapping chapter key findings</w:t>
      </w:r>
      <w:bookmarkEnd w:id="581"/>
      <w:r w:rsidRPr="00037AD4">
        <w:t xml:space="preserve"> </w:t>
      </w:r>
    </w:p>
    <w:bookmarkEnd w:id="580"/>
    <w:p w14:paraId="6533B3A6" w14:textId="77777777" w:rsidR="00B54D51" w:rsidRPr="00037AD4" w:rsidRDefault="00B54D51" w:rsidP="001D7ACE">
      <w:pPr>
        <w:rPr>
          <w:rFonts w:asciiTheme="minorHAnsi" w:hAnsiTheme="minorHAnsi" w:cstheme="minorHAnsi"/>
          <w:u w:val="single"/>
        </w:rPr>
      </w:pPr>
    </w:p>
    <w:tbl>
      <w:tblPr>
        <w:tblStyle w:val="TableGrid"/>
        <w:tblW w:w="0" w:type="auto"/>
        <w:tblLook w:val="04A0" w:firstRow="1" w:lastRow="0" w:firstColumn="1" w:lastColumn="0" w:noHBand="0" w:noVBand="1"/>
      </w:tblPr>
      <w:tblGrid>
        <w:gridCol w:w="4508"/>
        <w:gridCol w:w="4508"/>
      </w:tblGrid>
      <w:tr w:rsidR="00B54D51" w:rsidRPr="00037AD4" w14:paraId="1BABAA4B" w14:textId="77777777" w:rsidTr="00401C67">
        <w:tc>
          <w:tcPr>
            <w:tcW w:w="4508" w:type="dxa"/>
            <w:shd w:val="clear" w:color="auto" w:fill="E7E6E6" w:themeFill="background2"/>
          </w:tcPr>
          <w:p w14:paraId="0B7FCBDD"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Key Findings</w:t>
            </w:r>
          </w:p>
        </w:tc>
        <w:tc>
          <w:tcPr>
            <w:tcW w:w="4508" w:type="dxa"/>
            <w:shd w:val="clear" w:color="auto" w:fill="E7E6E6" w:themeFill="background2"/>
          </w:tcPr>
          <w:p w14:paraId="40BC879F" w14:textId="77777777" w:rsidR="00B54D51" w:rsidRPr="00037AD4" w:rsidRDefault="00B54D51" w:rsidP="00401C67">
            <w:pPr>
              <w:rPr>
                <w:rFonts w:asciiTheme="minorHAnsi" w:hAnsiTheme="minorHAnsi" w:cstheme="minorHAnsi"/>
                <w:b/>
                <w:bCs/>
              </w:rPr>
            </w:pPr>
            <w:r w:rsidRPr="00037AD4">
              <w:rPr>
                <w:rFonts w:asciiTheme="minorHAnsi" w:hAnsiTheme="minorHAnsi" w:cstheme="minorHAnsi"/>
                <w:b/>
                <w:bCs/>
              </w:rPr>
              <w:t>Implications</w:t>
            </w:r>
          </w:p>
        </w:tc>
      </w:tr>
      <w:tr w:rsidR="00B54D51" w:rsidRPr="00037AD4" w14:paraId="71BE4FE0" w14:textId="77777777" w:rsidTr="00401C67">
        <w:tc>
          <w:tcPr>
            <w:tcW w:w="4508" w:type="dxa"/>
          </w:tcPr>
          <w:p w14:paraId="23B0B652" w14:textId="77777777" w:rsidR="00B54D51" w:rsidRPr="00037AD4" w:rsidRDefault="00B54D51" w:rsidP="00401C67">
            <w:pPr>
              <w:rPr>
                <w:rFonts w:asciiTheme="minorHAnsi" w:hAnsiTheme="minorHAnsi" w:cstheme="minorHAnsi"/>
                <w:u w:val="single"/>
              </w:rPr>
            </w:pPr>
            <w:r w:rsidRPr="00037AD4">
              <w:rPr>
                <w:rFonts w:asciiTheme="minorHAnsi" w:hAnsiTheme="minorHAnsi" w:cstheme="minorHAnsi"/>
              </w:rPr>
              <w:t>Dementia severity influenced model performance, whereby optimality was seen for mild-to-moderate stages</w:t>
            </w:r>
          </w:p>
        </w:tc>
        <w:tc>
          <w:tcPr>
            <w:tcW w:w="4508" w:type="dxa"/>
          </w:tcPr>
          <w:p w14:paraId="4D4F2EAC" w14:textId="77777777" w:rsidR="00B54D51" w:rsidRPr="00037AD4" w:rsidRDefault="00B54D51" w:rsidP="00401C67">
            <w:pPr>
              <w:rPr>
                <w:rFonts w:asciiTheme="minorHAnsi" w:hAnsiTheme="minorHAnsi" w:cstheme="minorHAnsi"/>
                <w:u w:val="single"/>
              </w:rPr>
            </w:pPr>
            <w:r w:rsidRPr="00037AD4">
              <w:rPr>
                <w:rFonts w:asciiTheme="minorHAnsi" w:hAnsiTheme="minorHAnsi" w:cstheme="minorHAnsi"/>
              </w:rPr>
              <w:t>Model predictions were less effective at extreme MMSE scores, influenced by low response proportions and highlighting challenges in severe dementia</w:t>
            </w:r>
          </w:p>
        </w:tc>
      </w:tr>
      <w:tr w:rsidR="00B54D51" w:rsidRPr="00037AD4" w14:paraId="311BD1C9" w14:textId="77777777" w:rsidTr="00401C67">
        <w:tc>
          <w:tcPr>
            <w:tcW w:w="4508" w:type="dxa"/>
          </w:tcPr>
          <w:p w14:paraId="2D0B4AF3" w14:textId="77777777" w:rsidR="00B54D51" w:rsidRPr="00037AD4" w:rsidRDefault="00B54D51" w:rsidP="00401C67">
            <w:pPr>
              <w:rPr>
                <w:rFonts w:asciiTheme="minorHAnsi" w:hAnsiTheme="minorHAnsi" w:cstheme="minorHAnsi"/>
                <w:u w:val="single"/>
              </w:rPr>
            </w:pPr>
            <w:r w:rsidRPr="00037AD4">
              <w:rPr>
                <w:rFonts w:asciiTheme="minorHAnsi" w:hAnsiTheme="minorHAnsi" w:cstheme="minorHAnsi"/>
              </w:rPr>
              <w:t>Dimension-level differences in model performance were observed; strong alignment was seen for "anxiety/depression" and "pain/discomfort" predictions</w:t>
            </w:r>
          </w:p>
        </w:tc>
        <w:tc>
          <w:tcPr>
            <w:tcW w:w="4508" w:type="dxa"/>
          </w:tcPr>
          <w:p w14:paraId="25470872" w14:textId="77777777" w:rsidR="00B54D51" w:rsidRPr="00037AD4" w:rsidRDefault="00B54D51" w:rsidP="00401C67">
            <w:pPr>
              <w:rPr>
                <w:rFonts w:asciiTheme="minorHAnsi" w:hAnsiTheme="minorHAnsi" w:cstheme="minorHAnsi"/>
                <w:u w:val="single"/>
              </w:rPr>
            </w:pPr>
            <w:r w:rsidRPr="00037AD4">
              <w:rPr>
                <w:rFonts w:asciiTheme="minorHAnsi" w:hAnsiTheme="minorHAnsi" w:cstheme="minorHAnsi"/>
              </w:rPr>
              <w:t>Proxy EQ-5D data may more reliably predict PwD responses for specific dimensions</w:t>
            </w:r>
          </w:p>
        </w:tc>
      </w:tr>
      <w:tr w:rsidR="00B54D51" w:rsidRPr="00037AD4" w14:paraId="11B35912" w14:textId="77777777" w:rsidTr="00401C67">
        <w:tc>
          <w:tcPr>
            <w:tcW w:w="4508" w:type="dxa"/>
          </w:tcPr>
          <w:p w14:paraId="134BD3BB" w14:textId="77777777" w:rsidR="00B54D51" w:rsidRPr="00037AD4" w:rsidRDefault="00B54D51" w:rsidP="00401C67">
            <w:pPr>
              <w:rPr>
                <w:rFonts w:asciiTheme="minorHAnsi" w:hAnsiTheme="minorHAnsi" w:cstheme="minorHAnsi"/>
                <w:u w:val="single"/>
              </w:rPr>
            </w:pPr>
            <w:r w:rsidRPr="00037AD4">
              <w:rPr>
                <w:rFonts w:asciiTheme="minorHAnsi" w:hAnsiTheme="minorHAnsi" w:cstheme="minorHAnsi"/>
              </w:rPr>
              <w:t>Choice of utility estimation method (2018 EQ-5D-5L vs. 5L to 3L value set) influences mean utility values</w:t>
            </w:r>
          </w:p>
        </w:tc>
        <w:tc>
          <w:tcPr>
            <w:tcW w:w="4508" w:type="dxa"/>
          </w:tcPr>
          <w:p w14:paraId="5F0659E4" w14:textId="77777777" w:rsidR="00B54D51" w:rsidRPr="00037AD4" w:rsidRDefault="00B54D51" w:rsidP="00401C67">
            <w:pPr>
              <w:rPr>
                <w:rFonts w:asciiTheme="minorHAnsi" w:hAnsiTheme="minorHAnsi" w:cstheme="minorHAnsi"/>
                <w:u w:val="single"/>
              </w:rPr>
            </w:pPr>
            <w:r w:rsidRPr="00037AD4">
              <w:rPr>
                <w:rFonts w:asciiTheme="minorHAnsi" w:hAnsiTheme="minorHAnsi" w:cstheme="minorHAnsi"/>
              </w:rPr>
              <w:t>Researchers must carefully consider EQ-5D value set choice when estimating HRQoL using mapped “data”</w:t>
            </w:r>
          </w:p>
        </w:tc>
      </w:tr>
      <w:tr w:rsidR="00B54D51" w:rsidRPr="00037AD4" w14:paraId="1E4A1252" w14:textId="77777777" w:rsidTr="00401C67">
        <w:tc>
          <w:tcPr>
            <w:tcW w:w="4508" w:type="dxa"/>
          </w:tcPr>
          <w:p w14:paraId="286CC7D4" w14:textId="77777777" w:rsidR="00B54D51" w:rsidRPr="00037AD4" w:rsidRDefault="00B54D51" w:rsidP="00401C67">
            <w:pPr>
              <w:rPr>
                <w:rFonts w:asciiTheme="minorHAnsi" w:hAnsiTheme="minorHAnsi" w:cstheme="minorHAnsi"/>
                <w:u w:val="single"/>
              </w:rPr>
            </w:pPr>
            <w:r w:rsidRPr="00037AD4">
              <w:rPr>
                <w:rFonts w:asciiTheme="minorHAnsi" w:hAnsiTheme="minorHAnsi" w:cstheme="minorHAnsi"/>
              </w:rPr>
              <w:t>Predicted utility distributions were narrower than observed data due to mapping analyses</w:t>
            </w:r>
          </w:p>
        </w:tc>
        <w:tc>
          <w:tcPr>
            <w:tcW w:w="4508" w:type="dxa"/>
          </w:tcPr>
          <w:p w14:paraId="703AE402" w14:textId="77777777" w:rsidR="00B54D51" w:rsidRPr="00037AD4" w:rsidRDefault="00B54D51" w:rsidP="00401C67">
            <w:pPr>
              <w:rPr>
                <w:rFonts w:asciiTheme="minorHAnsi" w:hAnsiTheme="minorHAnsi" w:cstheme="minorHAnsi"/>
                <w:u w:val="single"/>
              </w:rPr>
            </w:pPr>
            <w:r w:rsidRPr="00037AD4">
              <w:rPr>
                <w:rFonts w:asciiTheme="minorHAnsi" w:hAnsiTheme="minorHAnsi" w:cstheme="minorHAnsi"/>
              </w:rPr>
              <w:t>Mapping models aim to estimate mean EQ-5D values, therefore minimising variability in scores</w:t>
            </w:r>
          </w:p>
        </w:tc>
      </w:tr>
      <w:tr w:rsidR="00B54D51" w:rsidRPr="00037AD4" w14:paraId="2062B8B6" w14:textId="77777777" w:rsidTr="00401C67">
        <w:trPr>
          <w:trHeight w:val="54"/>
        </w:trPr>
        <w:tc>
          <w:tcPr>
            <w:tcW w:w="4508" w:type="dxa"/>
          </w:tcPr>
          <w:p w14:paraId="1AAD955B" w14:textId="77777777" w:rsidR="00B54D51" w:rsidRPr="00037AD4" w:rsidRDefault="00B54D51" w:rsidP="00401C67">
            <w:pPr>
              <w:rPr>
                <w:rFonts w:asciiTheme="minorHAnsi" w:hAnsiTheme="minorHAnsi" w:cstheme="minorHAnsi"/>
                <w:u w:val="single"/>
              </w:rPr>
            </w:pPr>
            <w:r w:rsidRPr="00037AD4">
              <w:rPr>
                <w:rFonts w:asciiTheme="minorHAnsi" w:hAnsiTheme="minorHAnsi" w:cstheme="minorHAnsi"/>
              </w:rPr>
              <w:t>Community dwelling (ACTIFCARE) and residential care (EPIC) settings showed different model performances</w:t>
            </w:r>
          </w:p>
        </w:tc>
        <w:tc>
          <w:tcPr>
            <w:tcW w:w="4508" w:type="dxa"/>
          </w:tcPr>
          <w:p w14:paraId="10477511" w14:textId="77777777" w:rsidR="00B54D51" w:rsidRPr="00037AD4" w:rsidRDefault="00B54D51" w:rsidP="00401C67">
            <w:pPr>
              <w:rPr>
                <w:rFonts w:asciiTheme="minorHAnsi" w:hAnsiTheme="minorHAnsi" w:cstheme="minorHAnsi"/>
                <w:u w:val="single"/>
              </w:rPr>
            </w:pPr>
            <w:r w:rsidRPr="00037AD4">
              <w:rPr>
                <w:rFonts w:asciiTheme="minorHAnsi" w:hAnsiTheme="minorHAnsi" w:cstheme="minorHAnsi"/>
              </w:rPr>
              <w:t>Dimension-level mapping models may have increased relevance in community settings, but require further efforts to standardise data collection</w:t>
            </w:r>
          </w:p>
        </w:tc>
      </w:tr>
      <w:tr w:rsidR="00B54D51" w:rsidRPr="00037AD4" w14:paraId="5EA9415E" w14:textId="77777777" w:rsidTr="00401C67">
        <w:trPr>
          <w:trHeight w:val="54"/>
        </w:trPr>
        <w:tc>
          <w:tcPr>
            <w:tcW w:w="4508" w:type="dxa"/>
          </w:tcPr>
          <w:p w14:paraId="0654E60D"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The trial indicator variable showed significance in “self-care”, “usual activities” and “anxiety/depression”</w:t>
            </w:r>
          </w:p>
        </w:tc>
        <w:tc>
          <w:tcPr>
            <w:tcW w:w="4508" w:type="dxa"/>
          </w:tcPr>
          <w:p w14:paraId="020A4297"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Although it is not possible to determine the specific reason for the trial effects, it highlights the role that tailoring the dimension-models played</w:t>
            </w:r>
          </w:p>
        </w:tc>
      </w:tr>
      <w:tr w:rsidR="00B54D51" w:rsidRPr="00037AD4" w14:paraId="499D707A" w14:textId="77777777" w:rsidTr="00401C67">
        <w:trPr>
          <w:trHeight w:val="54"/>
        </w:trPr>
        <w:tc>
          <w:tcPr>
            <w:tcW w:w="4508" w:type="dxa"/>
          </w:tcPr>
          <w:p w14:paraId="1E3D9AEE"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Both trials exhibit ceiling effects in reports, particularly for “pain/discomfort” and “anxiety/depression”</w:t>
            </w:r>
          </w:p>
        </w:tc>
        <w:tc>
          <w:tcPr>
            <w:tcW w:w="4508" w:type="dxa"/>
          </w:tcPr>
          <w:p w14:paraId="3C6D5688"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It is important to consider ceiling effects in interpretation of the findings, and to acknowledge that model performance is dependent on characteristics of the data</w:t>
            </w:r>
          </w:p>
        </w:tc>
      </w:tr>
      <w:tr w:rsidR="00B54D51" w:rsidRPr="00037AD4" w14:paraId="2E062A1C" w14:textId="77777777" w:rsidTr="00401C67">
        <w:trPr>
          <w:trHeight w:val="54"/>
        </w:trPr>
        <w:tc>
          <w:tcPr>
            <w:tcW w:w="4508" w:type="dxa"/>
          </w:tcPr>
          <w:p w14:paraId="37F0E6B1"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MMSE shows varied significance across dimensions</w:t>
            </w:r>
          </w:p>
        </w:tc>
        <w:tc>
          <w:tcPr>
            <w:tcW w:w="4508" w:type="dxa"/>
          </w:tcPr>
          <w:p w14:paraId="2FCEDD22" w14:textId="77777777" w:rsidR="00B54D51" w:rsidRPr="00037AD4" w:rsidRDefault="00B54D51" w:rsidP="00401C67">
            <w:pPr>
              <w:rPr>
                <w:rFonts w:asciiTheme="minorHAnsi" w:hAnsiTheme="minorHAnsi" w:cstheme="minorHAnsi"/>
              </w:rPr>
            </w:pPr>
            <w:r w:rsidRPr="00037AD4">
              <w:rPr>
                <w:rFonts w:asciiTheme="minorHAnsi" w:hAnsiTheme="minorHAnsi" w:cstheme="minorHAnsi"/>
              </w:rPr>
              <w:t>The presence of a cognitive measure in EPIC may have enhanced predictions for certain dimensions</w:t>
            </w:r>
          </w:p>
        </w:tc>
      </w:tr>
    </w:tbl>
    <w:p w14:paraId="649B8892" w14:textId="7BCA0C6D" w:rsidR="00B54D51" w:rsidRPr="00037AD4" w:rsidRDefault="00B54D51" w:rsidP="00781965">
      <w:pPr>
        <w:rPr>
          <w:rFonts w:asciiTheme="minorHAnsi" w:hAnsiTheme="minorHAnsi" w:cstheme="minorHAnsi"/>
          <w:b/>
          <w:bCs/>
          <w:sz w:val="26"/>
          <w:szCs w:val="26"/>
          <w:u w:val="single"/>
        </w:rPr>
        <w:sectPr w:rsidR="00B54D51" w:rsidRPr="00037AD4" w:rsidSect="0051675A">
          <w:pgSz w:w="11906" w:h="16838"/>
          <w:pgMar w:top="1440" w:right="1440" w:bottom="1440" w:left="1440" w:header="708" w:footer="708" w:gutter="0"/>
          <w:cols w:space="708"/>
          <w:docGrid w:linePitch="360"/>
        </w:sectPr>
      </w:pPr>
    </w:p>
    <w:p w14:paraId="71FD4862" w14:textId="1B1E8FFE" w:rsidR="00B54D51" w:rsidRDefault="00B54D51" w:rsidP="007A43F9">
      <w:pPr>
        <w:pStyle w:val="Heading1"/>
      </w:pPr>
      <w:bookmarkStart w:id="582" w:name="_Appendix_6.10_Final"/>
      <w:bookmarkStart w:id="583" w:name="_Toc175742428"/>
      <w:bookmarkEnd w:id="582"/>
      <w:r w:rsidRPr="00037AD4">
        <w:lastRenderedPageBreak/>
        <w:t>References</w:t>
      </w:r>
      <w:bookmarkEnd w:id="583"/>
      <w:r w:rsidRPr="00037AD4">
        <w:t xml:space="preserve">    </w:t>
      </w:r>
    </w:p>
    <w:p w14:paraId="4AF40403" w14:textId="77777777" w:rsidR="00322CFC" w:rsidRPr="00322CFC" w:rsidRDefault="00322CFC" w:rsidP="00322CFC"/>
    <w:p w14:paraId="1CCED0FD" w14:textId="77777777" w:rsidR="00B54D51" w:rsidRPr="009E2F87" w:rsidRDefault="00B54D51" w:rsidP="009E2F87">
      <w:pPr>
        <w:pStyle w:val="EndNoteBibliography"/>
        <w:ind w:left="720" w:hanging="720"/>
        <w:rPr>
          <w:noProof/>
        </w:rPr>
      </w:pPr>
      <w:r w:rsidRPr="009E2F87">
        <w:rPr>
          <w:noProof/>
        </w:rPr>
        <w:t xml:space="preserve">AGED CARE TESTS. </w:t>
      </w:r>
      <w:r w:rsidRPr="009E2F87">
        <w:rPr>
          <w:i/>
          <w:noProof/>
        </w:rPr>
        <w:t xml:space="preserve">The Cornell Scale for Depression in Dementia (CSDD) </w:t>
      </w:r>
      <w:r w:rsidRPr="009E2F87">
        <w:rPr>
          <w:noProof/>
        </w:rPr>
        <w:t xml:space="preserve">[Online]. Available: </w:t>
      </w:r>
      <w:r w:rsidRPr="00B54D51">
        <w:rPr>
          <w:noProof/>
        </w:rPr>
        <w:t>https://www.agedcaretests.com/The_Cornell_Scale_for_Depression_in_Dementia_%28CSDD%29_Sample.pdf</w:t>
      </w:r>
      <w:r w:rsidRPr="009E2F87">
        <w:rPr>
          <w:noProof/>
        </w:rPr>
        <w:t xml:space="preserve"> [Accessed January 2024].</w:t>
      </w:r>
    </w:p>
    <w:p w14:paraId="45343747" w14:textId="77777777" w:rsidR="00B54D51" w:rsidRPr="009E2F87" w:rsidRDefault="00B54D51" w:rsidP="009E2F87">
      <w:pPr>
        <w:pStyle w:val="EndNoteBibliography"/>
        <w:ind w:left="720" w:hanging="720"/>
        <w:rPr>
          <w:noProof/>
        </w:rPr>
      </w:pPr>
      <w:r w:rsidRPr="009E2F87">
        <w:rPr>
          <w:noProof/>
        </w:rPr>
        <w:t xml:space="preserve">ALAVA, M. H., WAILOO, A. J. &amp; ARA, R. 2012. Tails from the peak district: adjusted limited dependent variable mixture models of EQ-5D questionnaire health state utility values. </w:t>
      </w:r>
      <w:r w:rsidRPr="009E2F87">
        <w:rPr>
          <w:i/>
          <w:noProof/>
        </w:rPr>
        <w:t>Value in Health,</w:t>
      </w:r>
      <w:r w:rsidRPr="009E2F87">
        <w:rPr>
          <w:noProof/>
        </w:rPr>
        <w:t xml:space="preserve"> 15</w:t>
      </w:r>
      <w:r w:rsidRPr="009E2F87">
        <w:rPr>
          <w:b/>
          <w:noProof/>
        </w:rPr>
        <w:t>,</w:t>
      </w:r>
      <w:r w:rsidRPr="009E2F87">
        <w:rPr>
          <w:noProof/>
        </w:rPr>
        <w:t xml:space="preserve"> 550-561.</w:t>
      </w:r>
    </w:p>
    <w:p w14:paraId="7F396F90" w14:textId="77777777" w:rsidR="00B54D51" w:rsidRPr="009E2F87" w:rsidRDefault="00B54D51" w:rsidP="009E2F87">
      <w:pPr>
        <w:pStyle w:val="EndNoteBibliography"/>
        <w:ind w:left="720" w:hanging="720"/>
        <w:rPr>
          <w:i/>
          <w:noProof/>
        </w:rPr>
      </w:pPr>
      <w:r w:rsidRPr="009E2F87">
        <w:rPr>
          <w:noProof/>
        </w:rPr>
        <w:t xml:space="preserve">ALBANESE, E., BANERJEE, S., DHANASIRI, S., FERNÁNDEZ, J.-L., FERRI, C., KNAPP, M., MCCRONE, P., PRINCE, M., SNELL, T. &amp; STEWART, R. 2007. Dementia UK. </w:t>
      </w:r>
      <w:r w:rsidRPr="009E2F87">
        <w:rPr>
          <w:i/>
          <w:noProof/>
        </w:rPr>
        <w:t>Alzheimer’s Disease Society, London, UK.</w:t>
      </w:r>
    </w:p>
    <w:p w14:paraId="5979E02C" w14:textId="77777777" w:rsidR="00B54D51" w:rsidRPr="009E2F87" w:rsidRDefault="00B54D51" w:rsidP="009E2F87">
      <w:pPr>
        <w:pStyle w:val="EndNoteBibliography"/>
        <w:ind w:left="720" w:hanging="720"/>
        <w:rPr>
          <w:noProof/>
        </w:rPr>
      </w:pPr>
      <w:r w:rsidRPr="009E2F87">
        <w:rPr>
          <w:noProof/>
        </w:rPr>
        <w:t xml:space="preserve">ALEXOPOULOS, G. S., ABRAMS, R. C., YOUNG, R. C. &amp; SHAMOIAN, C. A. 1988. Cornell scale for depression in dementia. </w:t>
      </w:r>
      <w:r w:rsidRPr="009E2F87">
        <w:rPr>
          <w:i/>
          <w:noProof/>
        </w:rPr>
        <w:t>Biological psychiatry,</w:t>
      </w:r>
      <w:r w:rsidRPr="009E2F87">
        <w:rPr>
          <w:noProof/>
        </w:rPr>
        <w:t xml:space="preserve"> 23</w:t>
      </w:r>
      <w:r w:rsidRPr="009E2F87">
        <w:rPr>
          <w:b/>
          <w:noProof/>
        </w:rPr>
        <w:t>,</w:t>
      </w:r>
      <w:r w:rsidRPr="009E2F87">
        <w:rPr>
          <w:noProof/>
        </w:rPr>
        <w:t xml:space="preserve"> 271-284.</w:t>
      </w:r>
    </w:p>
    <w:p w14:paraId="3399D160" w14:textId="77777777" w:rsidR="00B54D51" w:rsidRPr="009E2F87" w:rsidRDefault="00B54D51" w:rsidP="009E2F87">
      <w:pPr>
        <w:pStyle w:val="EndNoteBibliography"/>
        <w:ind w:left="720" w:hanging="720"/>
        <w:rPr>
          <w:noProof/>
        </w:rPr>
      </w:pPr>
      <w:r w:rsidRPr="009E2F87">
        <w:rPr>
          <w:noProof/>
        </w:rPr>
        <w:t xml:space="preserve">ALZHEIMER’S SOCIETY. 2020. </w:t>
      </w:r>
      <w:r w:rsidRPr="009E2F87">
        <w:rPr>
          <w:i/>
          <w:noProof/>
        </w:rPr>
        <w:t xml:space="preserve">How much does dementia care cost? </w:t>
      </w:r>
      <w:r w:rsidRPr="009E2F87">
        <w:rPr>
          <w:noProof/>
        </w:rPr>
        <w:t xml:space="preserve">[Online]. Available: </w:t>
      </w:r>
      <w:r w:rsidRPr="00B54D51">
        <w:rPr>
          <w:noProof/>
        </w:rPr>
        <w:t>https://www.alzheimers.org.uk/blog/how-much-does-dementia-care-cost</w:t>
      </w:r>
      <w:r w:rsidRPr="009E2F87">
        <w:rPr>
          <w:noProof/>
        </w:rPr>
        <w:t xml:space="preserve"> [Accessed 2024].</w:t>
      </w:r>
    </w:p>
    <w:p w14:paraId="2F021E1A" w14:textId="77777777" w:rsidR="00B54D51" w:rsidRPr="009E2F87" w:rsidRDefault="00B54D51" w:rsidP="009E2F87">
      <w:pPr>
        <w:pStyle w:val="EndNoteBibliography"/>
        <w:ind w:left="720" w:hanging="720"/>
        <w:rPr>
          <w:noProof/>
        </w:rPr>
      </w:pPr>
      <w:r w:rsidRPr="009E2F87">
        <w:rPr>
          <w:noProof/>
        </w:rPr>
        <w:t xml:space="preserve">ANDERSON, D. &amp; BURNHAM, K. 2004. Model selection and multi-model inference. </w:t>
      </w:r>
      <w:r w:rsidRPr="009E2F87">
        <w:rPr>
          <w:i/>
          <w:noProof/>
        </w:rPr>
        <w:t>Second. NY: Springer-Verlag,</w:t>
      </w:r>
      <w:r w:rsidRPr="009E2F87">
        <w:rPr>
          <w:noProof/>
        </w:rPr>
        <w:t xml:space="preserve"> 63</w:t>
      </w:r>
      <w:r w:rsidRPr="009E2F87">
        <w:rPr>
          <w:b/>
          <w:noProof/>
        </w:rPr>
        <w:t>,</w:t>
      </w:r>
      <w:r w:rsidRPr="009E2F87">
        <w:rPr>
          <w:noProof/>
        </w:rPr>
        <w:t xml:space="preserve"> 10.</w:t>
      </w:r>
    </w:p>
    <w:p w14:paraId="7F499732" w14:textId="77777777" w:rsidR="00B54D51" w:rsidRPr="009E2F87" w:rsidRDefault="00B54D51" w:rsidP="009E2F87">
      <w:pPr>
        <w:pStyle w:val="EndNoteBibliography"/>
        <w:ind w:left="720" w:hanging="720"/>
        <w:rPr>
          <w:noProof/>
        </w:rPr>
      </w:pPr>
      <w:r w:rsidRPr="009E2F87">
        <w:rPr>
          <w:noProof/>
        </w:rPr>
        <w:t xml:space="preserve">ANDREN, S. &amp; ELMSTÅHL, S. 2008. The relationship between caregiver burden, caregivers’ perceived health and their sense of coherence in caring for elders with dementia. </w:t>
      </w:r>
      <w:r w:rsidRPr="009E2F87">
        <w:rPr>
          <w:i/>
          <w:noProof/>
        </w:rPr>
        <w:t>Journal of clinical nursing,</w:t>
      </w:r>
      <w:r w:rsidRPr="009E2F87">
        <w:rPr>
          <w:noProof/>
        </w:rPr>
        <w:t xml:space="preserve"> 17</w:t>
      </w:r>
      <w:r w:rsidRPr="009E2F87">
        <w:rPr>
          <w:b/>
          <w:noProof/>
        </w:rPr>
        <w:t>,</w:t>
      </w:r>
      <w:r w:rsidRPr="009E2F87">
        <w:rPr>
          <w:noProof/>
        </w:rPr>
        <w:t xml:space="preserve"> 790-799.</w:t>
      </w:r>
    </w:p>
    <w:p w14:paraId="453A4B81" w14:textId="77777777" w:rsidR="00B54D51" w:rsidRPr="009E2F87" w:rsidRDefault="00B54D51" w:rsidP="009E2F87">
      <w:pPr>
        <w:pStyle w:val="EndNoteBibliography"/>
        <w:ind w:left="720" w:hanging="720"/>
        <w:rPr>
          <w:noProof/>
        </w:rPr>
      </w:pPr>
      <w:r w:rsidRPr="009E2F87">
        <w:rPr>
          <w:noProof/>
        </w:rPr>
        <w:t xml:space="preserve">ANKRI, J., BEAUFILS, B., NOVELLA, J.-L., MORRONE, I., GUILLEMIN, F., JOLLY, D., PLOTON, L. &amp; BLANCHARD, F. 2003. Use of the EQ-5D among patients suffering from dementia. </w:t>
      </w:r>
      <w:r w:rsidRPr="009E2F87">
        <w:rPr>
          <w:i/>
          <w:noProof/>
        </w:rPr>
        <w:t>Journal of clinical epidemiology,</w:t>
      </w:r>
      <w:r w:rsidRPr="009E2F87">
        <w:rPr>
          <w:noProof/>
        </w:rPr>
        <w:t xml:space="preserve"> 56</w:t>
      </w:r>
      <w:r w:rsidRPr="009E2F87">
        <w:rPr>
          <w:b/>
          <w:noProof/>
        </w:rPr>
        <w:t>,</w:t>
      </w:r>
      <w:r w:rsidRPr="009E2F87">
        <w:rPr>
          <w:noProof/>
        </w:rPr>
        <w:t xml:space="preserve"> 1055-1063.</w:t>
      </w:r>
    </w:p>
    <w:p w14:paraId="686F74E5" w14:textId="77777777" w:rsidR="00B54D51" w:rsidRPr="009E2F87" w:rsidRDefault="00B54D51" w:rsidP="009E2F87">
      <w:pPr>
        <w:pStyle w:val="EndNoteBibliography"/>
        <w:ind w:left="720" w:hanging="720"/>
        <w:rPr>
          <w:noProof/>
        </w:rPr>
      </w:pPr>
      <w:r w:rsidRPr="009E2F87">
        <w:rPr>
          <w:noProof/>
        </w:rPr>
        <w:t xml:space="preserve">APA. 2011. </w:t>
      </w:r>
      <w:r w:rsidRPr="009E2F87">
        <w:rPr>
          <w:i/>
          <w:noProof/>
        </w:rPr>
        <w:t xml:space="preserve">Neuropsychiatric Inventory </w:t>
      </w:r>
      <w:r w:rsidRPr="009E2F87">
        <w:rPr>
          <w:noProof/>
        </w:rPr>
        <w:t xml:space="preserve">[Online]. Available: </w:t>
      </w:r>
      <w:r w:rsidRPr="00B54D51">
        <w:rPr>
          <w:noProof/>
        </w:rPr>
        <w:t>https://www.apa.org/pi/about/publications/caregivers/practice-settings/assessment/tools/neuropsychiatric-inventory</w:t>
      </w:r>
      <w:r w:rsidRPr="009E2F87">
        <w:rPr>
          <w:noProof/>
        </w:rPr>
        <w:t xml:space="preserve"> [Accessed January 2024].</w:t>
      </w:r>
    </w:p>
    <w:p w14:paraId="16E457A6" w14:textId="77777777" w:rsidR="00B54D51" w:rsidRPr="009E2F87" w:rsidRDefault="00B54D51" w:rsidP="009E2F87">
      <w:pPr>
        <w:pStyle w:val="EndNoteBibliography"/>
        <w:ind w:left="720" w:hanging="720"/>
        <w:rPr>
          <w:noProof/>
        </w:rPr>
      </w:pPr>
      <w:r w:rsidRPr="009E2F87">
        <w:rPr>
          <w:noProof/>
        </w:rPr>
        <w:t xml:space="preserve">ARUK 2019. The Economic Impact of Dementia </w:t>
      </w:r>
    </w:p>
    <w:p w14:paraId="510348B4" w14:textId="77777777" w:rsidR="00B54D51" w:rsidRPr="009E2F87" w:rsidRDefault="00B54D51" w:rsidP="009E2F87">
      <w:pPr>
        <w:pStyle w:val="EndNoteBibliography"/>
        <w:ind w:left="720" w:hanging="720"/>
        <w:rPr>
          <w:noProof/>
        </w:rPr>
      </w:pPr>
      <w:r w:rsidRPr="009E2F87">
        <w:rPr>
          <w:noProof/>
        </w:rPr>
        <w:t xml:space="preserve">ASHIZAWA, T., IGARASHI, A., SAKATA, Y., AZUMA, M., FUJIMOTO, K., KOBAYASHI, T., TAKASE, Y. &amp; IKEDA, S. 2021. Impact of the Severity of Alzheimer’s Disease on the Quality of Life, Activities of Daily Living, and Caregiving Costs for Institutionalized Patients on Anti-Alzheimer Medications in Japan. </w:t>
      </w:r>
      <w:r w:rsidRPr="009E2F87">
        <w:rPr>
          <w:i/>
          <w:noProof/>
        </w:rPr>
        <w:t>Journal of Alzheimer's Disease,</w:t>
      </w:r>
      <w:r w:rsidRPr="009E2F87">
        <w:rPr>
          <w:noProof/>
        </w:rPr>
        <w:t xml:space="preserve"> 81</w:t>
      </w:r>
      <w:r w:rsidRPr="009E2F87">
        <w:rPr>
          <w:b/>
          <w:noProof/>
        </w:rPr>
        <w:t>,</w:t>
      </w:r>
      <w:r w:rsidRPr="009E2F87">
        <w:rPr>
          <w:noProof/>
        </w:rPr>
        <w:t xml:space="preserve"> 367-374.</w:t>
      </w:r>
    </w:p>
    <w:p w14:paraId="06091396" w14:textId="77777777" w:rsidR="00B54D51" w:rsidRPr="009E2F87" w:rsidRDefault="00B54D51" w:rsidP="009E2F87">
      <w:pPr>
        <w:pStyle w:val="EndNoteBibliography"/>
        <w:ind w:left="720" w:hanging="720"/>
        <w:rPr>
          <w:noProof/>
        </w:rPr>
      </w:pPr>
      <w:r w:rsidRPr="009E2F87">
        <w:rPr>
          <w:noProof/>
        </w:rPr>
        <w:t xml:space="preserve">BANERJEE, S., SAMSI, K., PETRIE, C. D., ALVIR, J., TREGLIA, M., SCHWAM, E. M. &amp; DEL VALLE, M. 2009. What do we know about quality of life in dementia? A review of the emerging evidence on the predictive and explanatory value of disease specific measures of health related quality of life in people with dementia. </w:t>
      </w:r>
      <w:r w:rsidRPr="009E2F87">
        <w:rPr>
          <w:i/>
          <w:noProof/>
        </w:rPr>
        <w:t>International Journal of Geriatric Psychiatry: A journal of the psychiatry of late life and allied sciences,</w:t>
      </w:r>
      <w:r w:rsidRPr="009E2F87">
        <w:rPr>
          <w:noProof/>
        </w:rPr>
        <w:t xml:space="preserve"> 24</w:t>
      </w:r>
      <w:r w:rsidRPr="009E2F87">
        <w:rPr>
          <w:b/>
          <w:noProof/>
        </w:rPr>
        <w:t>,</w:t>
      </w:r>
      <w:r w:rsidRPr="009E2F87">
        <w:rPr>
          <w:noProof/>
        </w:rPr>
        <w:t xml:space="preserve"> 15-24.</w:t>
      </w:r>
    </w:p>
    <w:p w14:paraId="25410E14" w14:textId="77777777" w:rsidR="00B54D51" w:rsidRPr="009E2F87" w:rsidRDefault="00B54D51" w:rsidP="009E2F87">
      <w:pPr>
        <w:pStyle w:val="EndNoteBibliography"/>
        <w:ind w:left="720" w:hanging="720"/>
        <w:rPr>
          <w:noProof/>
        </w:rPr>
      </w:pPr>
      <w:r w:rsidRPr="009E2F87">
        <w:rPr>
          <w:noProof/>
        </w:rPr>
        <w:t xml:space="preserve">BANERJEE, S., SMITH, S., LAMPING, D., HARWOOD, R., FOLEY, B., SMITH, P., MURRAY, J., PRINCE, M., LEVIN, E. &amp; MANN, A. 2006. Quality of life in dementia: more than just cognition. An analysis of associations with quality of life in dementia. </w:t>
      </w:r>
      <w:r w:rsidRPr="009E2F87">
        <w:rPr>
          <w:i/>
          <w:noProof/>
        </w:rPr>
        <w:t>Journal of Neurology, Neurosurgery &amp; Psychiatry,</w:t>
      </w:r>
      <w:r w:rsidRPr="009E2F87">
        <w:rPr>
          <w:noProof/>
        </w:rPr>
        <w:t xml:space="preserve"> 77</w:t>
      </w:r>
      <w:r w:rsidRPr="009E2F87">
        <w:rPr>
          <w:b/>
          <w:noProof/>
        </w:rPr>
        <w:t>,</w:t>
      </w:r>
      <w:r w:rsidRPr="009E2F87">
        <w:rPr>
          <w:noProof/>
        </w:rPr>
        <w:t xml:space="preserve"> 146-148.</w:t>
      </w:r>
    </w:p>
    <w:p w14:paraId="4BC5CBAA" w14:textId="77777777" w:rsidR="00B54D51" w:rsidRPr="009E2F87" w:rsidRDefault="00B54D51" w:rsidP="009E2F87">
      <w:pPr>
        <w:pStyle w:val="EndNoteBibliography"/>
        <w:ind w:left="720" w:hanging="720"/>
        <w:rPr>
          <w:noProof/>
        </w:rPr>
      </w:pPr>
      <w:r w:rsidRPr="009E2F87">
        <w:rPr>
          <w:noProof/>
        </w:rPr>
        <w:t xml:space="preserve">BHATTACHARYA, S., VOGEL, A., HANSEN, M.-L. H., WALDORFF, F. B. &amp; WALDEMAR, G. 2010. Generic and disease-specific measures of quality of life in patients with mild Alzheimer’s disease. </w:t>
      </w:r>
      <w:r w:rsidRPr="009E2F87">
        <w:rPr>
          <w:i/>
          <w:noProof/>
        </w:rPr>
        <w:t>Dementia and geriatric cognitive disorders,</w:t>
      </w:r>
      <w:r w:rsidRPr="009E2F87">
        <w:rPr>
          <w:noProof/>
        </w:rPr>
        <w:t xml:space="preserve"> 30</w:t>
      </w:r>
      <w:r w:rsidRPr="009E2F87">
        <w:rPr>
          <w:b/>
          <w:noProof/>
        </w:rPr>
        <w:t>,</w:t>
      </w:r>
      <w:r w:rsidRPr="009E2F87">
        <w:rPr>
          <w:noProof/>
        </w:rPr>
        <w:t xml:space="preserve"> 327-333.</w:t>
      </w:r>
    </w:p>
    <w:p w14:paraId="7E230DA6" w14:textId="77777777" w:rsidR="00B54D51" w:rsidRPr="009E2F87" w:rsidRDefault="00B54D51" w:rsidP="009E2F87">
      <w:pPr>
        <w:pStyle w:val="EndNoteBibliography"/>
        <w:ind w:left="720" w:hanging="720"/>
        <w:rPr>
          <w:noProof/>
        </w:rPr>
      </w:pPr>
      <w:r w:rsidRPr="009E2F87">
        <w:rPr>
          <w:noProof/>
        </w:rPr>
        <w:lastRenderedPageBreak/>
        <w:t xml:space="preserve">BIGGANE, A. M., OLSEN, M. &amp; WILLIAMSON, P. R. 2019. PPI in research: a reflection from early stage researchers. </w:t>
      </w:r>
      <w:r w:rsidRPr="009E2F87">
        <w:rPr>
          <w:i/>
          <w:noProof/>
        </w:rPr>
        <w:t>Research Involvement and Engagement,</w:t>
      </w:r>
      <w:r w:rsidRPr="009E2F87">
        <w:rPr>
          <w:noProof/>
        </w:rPr>
        <w:t xml:space="preserve"> 5</w:t>
      </w:r>
      <w:r w:rsidRPr="009E2F87">
        <w:rPr>
          <w:b/>
          <w:noProof/>
        </w:rPr>
        <w:t>,</w:t>
      </w:r>
      <w:r w:rsidRPr="009E2F87">
        <w:rPr>
          <w:noProof/>
        </w:rPr>
        <w:t xml:space="preserve"> 1-9.</w:t>
      </w:r>
    </w:p>
    <w:p w14:paraId="21CF91CB" w14:textId="77777777" w:rsidR="00B54D51" w:rsidRPr="009E2F87" w:rsidRDefault="00B54D51" w:rsidP="009E2F87">
      <w:pPr>
        <w:pStyle w:val="EndNoteBibliography"/>
        <w:ind w:left="720" w:hanging="720"/>
        <w:rPr>
          <w:noProof/>
        </w:rPr>
      </w:pPr>
      <w:r w:rsidRPr="009E2F87">
        <w:rPr>
          <w:noProof/>
        </w:rPr>
        <w:t xml:space="preserve">BLOME, C. &amp; AUGUSTIN, M. 2015. Measuring change in quality of life: bias in prospective and retrospective evaluation. </w:t>
      </w:r>
      <w:r w:rsidRPr="009E2F87">
        <w:rPr>
          <w:i/>
          <w:noProof/>
        </w:rPr>
        <w:t>Value in Health,</w:t>
      </w:r>
      <w:r w:rsidRPr="009E2F87">
        <w:rPr>
          <w:noProof/>
        </w:rPr>
        <w:t xml:space="preserve"> 18</w:t>
      </w:r>
      <w:r w:rsidRPr="009E2F87">
        <w:rPr>
          <w:b/>
          <w:noProof/>
        </w:rPr>
        <w:t>,</w:t>
      </w:r>
      <w:r w:rsidRPr="009E2F87">
        <w:rPr>
          <w:noProof/>
        </w:rPr>
        <w:t xml:space="preserve"> 110-115.</w:t>
      </w:r>
    </w:p>
    <w:p w14:paraId="3318CF38" w14:textId="77777777" w:rsidR="00B54D51" w:rsidRPr="009E2F87" w:rsidRDefault="00B54D51" w:rsidP="009E2F87">
      <w:pPr>
        <w:pStyle w:val="EndNoteBibliography"/>
        <w:ind w:left="720" w:hanging="720"/>
        <w:rPr>
          <w:noProof/>
        </w:rPr>
      </w:pPr>
      <w:r w:rsidRPr="009E2F87">
        <w:rPr>
          <w:noProof/>
        </w:rPr>
        <w:t xml:space="preserve">BMC. 2021. </w:t>
      </w:r>
      <w:r w:rsidRPr="009E2F87">
        <w:rPr>
          <w:i/>
          <w:noProof/>
        </w:rPr>
        <w:t xml:space="preserve">ISRCTN registry </w:t>
      </w:r>
      <w:r w:rsidRPr="009E2F87">
        <w:rPr>
          <w:noProof/>
        </w:rPr>
        <w:t xml:space="preserve">[Online]. Available: </w:t>
      </w:r>
      <w:r w:rsidRPr="00B54D51">
        <w:rPr>
          <w:noProof/>
        </w:rPr>
        <w:t>https://www.isrctn.com/page/about</w:t>
      </w:r>
      <w:r w:rsidRPr="009E2F87">
        <w:rPr>
          <w:noProof/>
        </w:rPr>
        <w:t xml:space="preserve"> [Accessed 05/03/2021 2021].</w:t>
      </w:r>
    </w:p>
    <w:p w14:paraId="59D27334" w14:textId="77777777" w:rsidR="00B54D51" w:rsidRPr="009E2F87" w:rsidRDefault="00B54D51" w:rsidP="009E2F87">
      <w:pPr>
        <w:pStyle w:val="EndNoteBibliography"/>
        <w:ind w:left="720" w:hanging="720"/>
        <w:rPr>
          <w:noProof/>
        </w:rPr>
      </w:pPr>
      <w:r w:rsidRPr="009E2F87">
        <w:rPr>
          <w:noProof/>
        </w:rPr>
        <w:t xml:space="preserve">BNF. 2021. </w:t>
      </w:r>
      <w:r w:rsidRPr="009E2F87">
        <w:rPr>
          <w:i/>
          <w:noProof/>
        </w:rPr>
        <w:t xml:space="preserve">Dementia </w:t>
      </w:r>
      <w:r w:rsidRPr="009E2F87">
        <w:rPr>
          <w:noProof/>
        </w:rPr>
        <w:t xml:space="preserve">[Online]. NICE BNF Available: </w:t>
      </w:r>
      <w:r w:rsidRPr="00B54D51">
        <w:rPr>
          <w:noProof/>
        </w:rPr>
        <w:t>https://bnf.nice.org.uk/treatment-summary/dementia.html</w:t>
      </w:r>
      <w:r w:rsidRPr="009E2F87">
        <w:rPr>
          <w:noProof/>
        </w:rPr>
        <w:t xml:space="preserve"> [Accessed 2021].</w:t>
      </w:r>
    </w:p>
    <w:p w14:paraId="799A8640" w14:textId="77777777" w:rsidR="00B54D51" w:rsidRPr="009E2F87" w:rsidRDefault="00B54D51" w:rsidP="009E2F87">
      <w:pPr>
        <w:pStyle w:val="EndNoteBibliography"/>
        <w:ind w:left="720" w:hanging="720"/>
        <w:rPr>
          <w:noProof/>
        </w:rPr>
      </w:pPr>
      <w:r w:rsidRPr="009E2F87">
        <w:rPr>
          <w:noProof/>
        </w:rPr>
        <w:t xml:space="preserve">BONFIGLIO, V., UMEGAKI, H. &amp; KUZUYA, M. 2019. Quality of life in cognitively impaired older adults. </w:t>
      </w:r>
      <w:r w:rsidRPr="009E2F87">
        <w:rPr>
          <w:i/>
          <w:noProof/>
        </w:rPr>
        <w:t>Geriatrics &amp; gerontology international,</w:t>
      </w:r>
      <w:r w:rsidRPr="009E2F87">
        <w:rPr>
          <w:noProof/>
        </w:rPr>
        <w:t xml:space="preserve"> 19</w:t>
      </w:r>
      <w:r w:rsidRPr="009E2F87">
        <w:rPr>
          <w:b/>
          <w:noProof/>
        </w:rPr>
        <w:t>,</w:t>
      </w:r>
      <w:r w:rsidRPr="009E2F87">
        <w:rPr>
          <w:noProof/>
        </w:rPr>
        <w:t xml:space="preserve"> 999-1005.</w:t>
      </w:r>
    </w:p>
    <w:p w14:paraId="381D48D3" w14:textId="77777777" w:rsidR="00B54D51" w:rsidRPr="009E2F87" w:rsidRDefault="00B54D51" w:rsidP="009E2F87">
      <w:pPr>
        <w:pStyle w:val="EndNoteBibliography"/>
        <w:ind w:left="720" w:hanging="720"/>
        <w:rPr>
          <w:noProof/>
        </w:rPr>
      </w:pPr>
      <w:r w:rsidRPr="009E2F87">
        <w:rPr>
          <w:noProof/>
        </w:rPr>
        <w:t xml:space="preserve">BOSTRÖM, F., JÖNSSON, L., MINTHON, L. &amp; LONDOS, E. 2007. Patients with dementia with Lewy bodies have more impaired quality of life than patients with Alzheimer disease. </w:t>
      </w:r>
      <w:r w:rsidRPr="009E2F87">
        <w:rPr>
          <w:i/>
          <w:noProof/>
        </w:rPr>
        <w:t>Alzheimer Disease &amp; Associated Disorders,</w:t>
      </w:r>
      <w:r w:rsidRPr="009E2F87">
        <w:rPr>
          <w:noProof/>
        </w:rPr>
        <w:t xml:space="preserve"> 21</w:t>
      </w:r>
      <w:r w:rsidRPr="009E2F87">
        <w:rPr>
          <w:b/>
          <w:noProof/>
        </w:rPr>
        <w:t>,</w:t>
      </w:r>
      <w:r w:rsidRPr="009E2F87">
        <w:rPr>
          <w:noProof/>
        </w:rPr>
        <w:t xml:space="preserve"> 150-154.</w:t>
      </w:r>
    </w:p>
    <w:p w14:paraId="567F9EFE" w14:textId="77777777" w:rsidR="00B54D51" w:rsidRPr="009E2F87" w:rsidRDefault="00B54D51" w:rsidP="009E2F87">
      <w:pPr>
        <w:pStyle w:val="EndNoteBibliography"/>
        <w:ind w:left="720" w:hanging="720"/>
        <w:rPr>
          <w:noProof/>
        </w:rPr>
      </w:pPr>
      <w:r w:rsidRPr="009E2F87">
        <w:rPr>
          <w:rFonts w:hint="eastAsia"/>
          <w:noProof/>
        </w:rPr>
        <w:t>BRAZIER, J. &amp; DEVERILL, M. 1999. A checklist for judging preference‐based measures of health related quality of life: learning f</w:t>
      </w:r>
      <w:r w:rsidRPr="009E2F87">
        <w:rPr>
          <w:noProof/>
        </w:rPr>
        <w:t xml:space="preserve">rom psychometrics. </w:t>
      </w:r>
      <w:r w:rsidRPr="009E2F87">
        <w:rPr>
          <w:i/>
          <w:noProof/>
        </w:rPr>
        <w:t>Health economics,</w:t>
      </w:r>
      <w:r w:rsidRPr="009E2F87">
        <w:rPr>
          <w:noProof/>
        </w:rPr>
        <w:t xml:space="preserve"> 8</w:t>
      </w:r>
      <w:r w:rsidRPr="009E2F87">
        <w:rPr>
          <w:b/>
          <w:noProof/>
        </w:rPr>
        <w:t>,</w:t>
      </w:r>
      <w:r w:rsidRPr="009E2F87">
        <w:rPr>
          <w:noProof/>
        </w:rPr>
        <w:t xml:space="preserve"> 41-51.</w:t>
      </w:r>
    </w:p>
    <w:p w14:paraId="79035607" w14:textId="77777777" w:rsidR="00B54D51" w:rsidRPr="009E2F87" w:rsidRDefault="00B54D51" w:rsidP="009E2F87">
      <w:pPr>
        <w:pStyle w:val="EndNoteBibliography"/>
        <w:ind w:left="720" w:hanging="720"/>
        <w:rPr>
          <w:noProof/>
        </w:rPr>
      </w:pPr>
      <w:r w:rsidRPr="009E2F87">
        <w:rPr>
          <w:noProof/>
        </w:rPr>
        <w:t xml:space="preserve">BRYAN, S., HARDYMAN, W., BENTHAM, P., BUCKLEY, A. &amp; LAIGHT, A. 2005. Proxy completion of EQ-5D in patients with dementia. </w:t>
      </w:r>
      <w:r w:rsidRPr="009E2F87">
        <w:rPr>
          <w:i/>
          <w:noProof/>
        </w:rPr>
        <w:t>Quality of Life Research,</w:t>
      </w:r>
      <w:r w:rsidRPr="009E2F87">
        <w:rPr>
          <w:noProof/>
        </w:rPr>
        <w:t xml:space="preserve"> 14</w:t>
      </w:r>
      <w:r w:rsidRPr="009E2F87">
        <w:rPr>
          <w:b/>
          <w:noProof/>
        </w:rPr>
        <w:t>,</w:t>
      </w:r>
      <w:r w:rsidRPr="009E2F87">
        <w:rPr>
          <w:noProof/>
        </w:rPr>
        <w:t xml:space="preserve"> 107-118.</w:t>
      </w:r>
    </w:p>
    <w:p w14:paraId="10084FFE" w14:textId="77777777" w:rsidR="00B54D51" w:rsidRPr="009E2F87" w:rsidRDefault="00B54D51" w:rsidP="009E2F87">
      <w:pPr>
        <w:pStyle w:val="EndNoteBibliography"/>
        <w:ind w:left="720" w:hanging="720"/>
        <w:rPr>
          <w:noProof/>
        </w:rPr>
      </w:pPr>
      <w:r w:rsidRPr="009E2F87">
        <w:rPr>
          <w:noProof/>
        </w:rPr>
        <w:t xml:space="preserve">BUCKS, R. S., ASHWORTH, D., WILCOCK, G. &amp; SIEGFRIED, K. 1996. Assessment of activities of daily living in dementia: development of the Bristol Activities of Daily Living Scale. </w:t>
      </w:r>
      <w:r w:rsidRPr="009E2F87">
        <w:rPr>
          <w:i/>
          <w:noProof/>
        </w:rPr>
        <w:t>Age and ageing,</w:t>
      </w:r>
      <w:r w:rsidRPr="009E2F87">
        <w:rPr>
          <w:noProof/>
        </w:rPr>
        <w:t xml:space="preserve"> 25</w:t>
      </w:r>
      <w:r w:rsidRPr="009E2F87">
        <w:rPr>
          <w:b/>
          <w:noProof/>
        </w:rPr>
        <w:t>,</w:t>
      </w:r>
      <w:r w:rsidRPr="009E2F87">
        <w:rPr>
          <w:noProof/>
        </w:rPr>
        <w:t xml:space="preserve"> 113-120.</w:t>
      </w:r>
    </w:p>
    <w:p w14:paraId="29F18A15" w14:textId="77777777" w:rsidR="00B54D51" w:rsidRPr="009E2F87" w:rsidRDefault="00B54D51" w:rsidP="009E2F87">
      <w:pPr>
        <w:pStyle w:val="EndNoteBibliography"/>
        <w:ind w:left="720" w:hanging="720"/>
        <w:rPr>
          <w:noProof/>
        </w:rPr>
      </w:pPr>
      <w:r w:rsidRPr="009E2F87">
        <w:rPr>
          <w:noProof/>
        </w:rPr>
        <w:t xml:space="preserve">BURKS, H. B., DES BORDES, J. K., CHADHA, R., HOLMES, H. M. &amp; RIANON, N. J. 2021. Quality of life assessment in older adults with dementia: a systematic review. </w:t>
      </w:r>
      <w:r w:rsidRPr="009E2F87">
        <w:rPr>
          <w:i/>
          <w:noProof/>
        </w:rPr>
        <w:t>Dementia and geriatric cognitive disorders,</w:t>
      </w:r>
      <w:r w:rsidRPr="009E2F87">
        <w:rPr>
          <w:noProof/>
        </w:rPr>
        <w:t xml:space="preserve"> 50</w:t>
      </w:r>
      <w:r w:rsidRPr="009E2F87">
        <w:rPr>
          <w:b/>
          <w:noProof/>
        </w:rPr>
        <w:t>,</w:t>
      </w:r>
      <w:r w:rsidRPr="009E2F87">
        <w:rPr>
          <w:noProof/>
        </w:rPr>
        <w:t xml:space="preserve"> 103-110.</w:t>
      </w:r>
    </w:p>
    <w:p w14:paraId="324B140F" w14:textId="77777777" w:rsidR="00B54D51" w:rsidRPr="009E2F87" w:rsidRDefault="00B54D51" w:rsidP="009E2F87">
      <w:pPr>
        <w:pStyle w:val="EndNoteBibliography"/>
        <w:ind w:left="720" w:hanging="720"/>
        <w:rPr>
          <w:noProof/>
        </w:rPr>
      </w:pPr>
      <w:r w:rsidRPr="009E2F87">
        <w:rPr>
          <w:noProof/>
        </w:rPr>
        <w:t xml:space="preserve">BYRNE-DAVIS, L., BENNETT, P. &amp; WILCOCK, G. 2006. How are quality of life ratings made? Toward a model of quality of life in people with dementia. </w:t>
      </w:r>
      <w:r w:rsidRPr="009E2F87">
        <w:rPr>
          <w:i/>
          <w:noProof/>
        </w:rPr>
        <w:t>Quality of Life Research,</w:t>
      </w:r>
      <w:r w:rsidRPr="009E2F87">
        <w:rPr>
          <w:noProof/>
        </w:rPr>
        <w:t xml:space="preserve"> 15</w:t>
      </w:r>
      <w:r w:rsidRPr="009E2F87">
        <w:rPr>
          <w:b/>
          <w:noProof/>
        </w:rPr>
        <w:t>,</w:t>
      </w:r>
      <w:r w:rsidRPr="009E2F87">
        <w:rPr>
          <w:noProof/>
        </w:rPr>
        <w:t xml:space="preserve"> 855-865.</w:t>
      </w:r>
    </w:p>
    <w:p w14:paraId="054D416B" w14:textId="77777777" w:rsidR="00B54D51" w:rsidRPr="009E2F87" w:rsidRDefault="00B54D51" w:rsidP="009E2F87">
      <w:pPr>
        <w:pStyle w:val="EndNoteBibliography"/>
        <w:ind w:left="720" w:hanging="720"/>
        <w:rPr>
          <w:noProof/>
        </w:rPr>
      </w:pPr>
      <w:r w:rsidRPr="009E2F87">
        <w:rPr>
          <w:noProof/>
        </w:rPr>
        <w:t xml:space="preserve">CARLTON, J., PEASGOOD, T., MUKURIA, C., JOHNSON, J., OGDEN, M. &amp; TOVEY, W. 2022. The role of patient and public involvement and engagement (PPIE) within the development of the EQ Health and Wellbeing (EQ-HWB). </w:t>
      </w:r>
      <w:r w:rsidRPr="009E2F87">
        <w:rPr>
          <w:i/>
          <w:noProof/>
        </w:rPr>
        <w:t>Journal of Patient-Reported Outcomes,</w:t>
      </w:r>
      <w:r w:rsidRPr="009E2F87">
        <w:rPr>
          <w:noProof/>
        </w:rPr>
        <w:t xml:space="preserve"> 6</w:t>
      </w:r>
      <w:r w:rsidRPr="009E2F87">
        <w:rPr>
          <w:b/>
          <w:noProof/>
        </w:rPr>
        <w:t>,</w:t>
      </w:r>
      <w:r w:rsidRPr="009E2F87">
        <w:rPr>
          <w:noProof/>
        </w:rPr>
        <w:t xml:space="preserve"> 35.</w:t>
      </w:r>
    </w:p>
    <w:p w14:paraId="7FD361A9" w14:textId="77777777" w:rsidR="00B54D51" w:rsidRPr="009E2F87" w:rsidRDefault="00B54D51" w:rsidP="009E2F87">
      <w:pPr>
        <w:pStyle w:val="EndNoteBibliography"/>
        <w:ind w:left="720" w:hanging="720"/>
        <w:rPr>
          <w:noProof/>
        </w:rPr>
      </w:pPr>
      <w:r w:rsidRPr="009E2F87">
        <w:rPr>
          <w:noProof/>
        </w:rPr>
        <w:t xml:space="preserve">CASTRO-MONTEIRO, E., FORJAZ, M. J., AYALA, A., RODRIGUEZ-BLAZQUEZ, C., FERNANDEZ-MAYORALAS, G., DIAZ-REDONDO, A. &amp; MARTINEZ-MARTIN, P. 2014. Change and predictors of quality of life in institutionalized older adults with dementia. </w:t>
      </w:r>
      <w:r w:rsidRPr="009E2F87">
        <w:rPr>
          <w:i/>
          <w:noProof/>
        </w:rPr>
        <w:t>Quality of Life Research,</w:t>
      </w:r>
      <w:r w:rsidRPr="009E2F87">
        <w:rPr>
          <w:noProof/>
        </w:rPr>
        <w:t xml:space="preserve"> 23</w:t>
      </w:r>
      <w:r w:rsidRPr="009E2F87">
        <w:rPr>
          <w:b/>
          <w:noProof/>
        </w:rPr>
        <w:t>,</w:t>
      </w:r>
      <w:r w:rsidRPr="009E2F87">
        <w:rPr>
          <w:noProof/>
        </w:rPr>
        <w:t xml:space="preserve"> 2595-2601.</w:t>
      </w:r>
    </w:p>
    <w:p w14:paraId="6B568EA5" w14:textId="77777777" w:rsidR="00B54D51" w:rsidRPr="009E2F87" w:rsidRDefault="00B54D51" w:rsidP="009E2F87">
      <w:pPr>
        <w:pStyle w:val="EndNoteBibliography"/>
        <w:ind w:left="720" w:hanging="720"/>
        <w:rPr>
          <w:noProof/>
        </w:rPr>
      </w:pPr>
      <w:r w:rsidRPr="009E2F87">
        <w:rPr>
          <w:noProof/>
        </w:rPr>
        <w:t xml:space="preserve">CHUANG, L.-H. &amp; WHITEHEAD, S. J. 2012. Mapping for economic evaluation. </w:t>
      </w:r>
      <w:r w:rsidRPr="009E2F87">
        <w:rPr>
          <w:i/>
          <w:noProof/>
        </w:rPr>
        <w:t>British medical bulletin,</w:t>
      </w:r>
      <w:r w:rsidRPr="009E2F87">
        <w:rPr>
          <w:noProof/>
        </w:rPr>
        <w:t xml:space="preserve"> 101.</w:t>
      </w:r>
    </w:p>
    <w:p w14:paraId="72AB52B0" w14:textId="77777777" w:rsidR="00B54D51" w:rsidRPr="009E2F87" w:rsidRDefault="00B54D51" w:rsidP="009E2F87">
      <w:pPr>
        <w:pStyle w:val="EndNoteBibliography"/>
        <w:ind w:left="720" w:hanging="720"/>
        <w:rPr>
          <w:noProof/>
        </w:rPr>
      </w:pPr>
      <w:r w:rsidRPr="009E2F87">
        <w:rPr>
          <w:noProof/>
        </w:rPr>
        <w:t xml:space="preserve">CLEMENT, C., SELMAN, L. E., KEHOE, P. G., HOWDEN, B., LANE, J. &amp; HORWOOD, J. 2019. Challenges to and facilitators of recruitment to an Alzheimer’s disease clinical trial: a qualitative interview study. </w:t>
      </w:r>
      <w:r w:rsidRPr="009E2F87">
        <w:rPr>
          <w:i/>
          <w:noProof/>
        </w:rPr>
        <w:t>Journal of Alzheimer's Disease,</w:t>
      </w:r>
      <w:r w:rsidRPr="009E2F87">
        <w:rPr>
          <w:noProof/>
        </w:rPr>
        <w:t xml:space="preserve"> 69</w:t>
      </w:r>
      <w:r w:rsidRPr="009E2F87">
        <w:rPr>
          <w:b/>
          <w:noProof/>
        </w:rPr>
        <w:t>,</w:t>
      </w:r>
      <w:r w:rsidRPr="009E2F87">
        <w:rPr>
          <w:noProof/>
        </w:rPr>
        <w:t xml:space="preserve"> 1067-1075.</w:t>
      </w:r>
    </w:p>
    <w:p w14:paraId="319028CB" w14:textId="77777777" w:rsidR="00B54D51" w:rsidRPr="009E2F87" w:rsidRDefault="00B54D51" w:rsidP="009E2F87">
      <w:pPr>
        <w:pStyle w:val="EndNoteBibliography"/>
        <w:ind w:left="720" w:hanging="720"/>
        <w:rPr>
          <w:noProof/>
        </w:rPr>
      </w:pPr>
      <w:r w:rsidRPr="009E2F87">
        <w:rPr>
          <w:noProof/>
        </w:rPr>
        <w:t xml:space="preserve">COAST, J., FLYNN, T. N., NATARAJAN, L., SPROSTON, K., LEWIS, J., LOUVIERE, J. J. &amp; PETERS, T. J. 2008. Valuing the ICECAP capability index for older people. </w:t>
      </w:r>
      <w:r w:rsidRPr="009E2F87">
        <w:rPr>
          <w:i/>
          <w:noProof/>
        </w:rPr>
        <w:t>Social science &amp; medicine,</w:t>
      </w:r>
      <w:r w:rsidRPr="009E2F87">
        <w:rPr>
          <w:noProof/>
        </w:rPr>
        <w:t xml:space="preserve"> 67</w:t>
      </w:r>
      <w:r w:rsidRPr="009E2F87">
        <w:rPr>
          <w:b/>
          <w:noProof/>
        </w:rPr>
        <w:t>,</w:t>
      </w:r>
      <w:r w:rsidRPr="009E2F87">
        <w:rPr>
          <w:noProof/>
        </w:rPr>
        <w:t xml:space="preserve"> 874-882.</w:t>
      </w:r>
    </w:p>
    <w:p w14:paraId="0279BB28" w14:textId="77777777" w:rsidR="00B54D51" w:rsidRPr="009E2F87" w:rsidRDefault="00B54D51" w:rsidP="009E2F87">
      <w:pPr>
        <w:pStyle w:val="EndNoteBibliography"/>
        <w:ind w:left="720" w:hanging="720"/>
        <w:rPr>
          <w:noProof/>
        </w:rPr>
      </w:pPr>
      <w:r w:rsidRPr="009E2F87">
        <w:rPr>
          <w:noProof/>
        </w:rPr>
        <w:t xml:space="preserve">COHEN, J. 2013. </w:t>
      </w:r>
      <w:r w:rsidRPr="009E2F87">
        <w:rPr>
          <w:i/>
          <w:noProof/>
        </w:rPr>
        <w:t>Statistical power analysis for the behavioral sciences</w:t>
      </w:r>
      <w:r w:rsidRPr="009E2F87">
        <w:rPr>
          <w:noProof/>
        </w:rPr>
        <w:t>, Academic press.</w:t>
      </w:r>
    </w:p>
    <w:p w14:paraId="130DA4FB" w14:textId="77777777" w:rsidR="00B54D51" w:rsidRPr="009E2F87" w:rsidRDefault="00B54D51" w:rsidP="009E2F87">
      <w:pPr>
        <w:pStyle w:val="EndNoteBibliography"/>
        <w:ind w:left="720" w:hanging="720"/>
        <w:rPr>
          <w:noProof/>
        </w:rPr>
      </w:pPr>
      <w:r w:rsidRPr="009E2F87">
        <w:rPr>
          <w:noProof/>
        </w:rPr>
        <w:lastRenderedPageBreak/>
        <w:t xml:space="preserve">COHEN-MANSFIELD, J. 1991. Instruction manual for the Cohen-Mansfield agitation inventory (CMAI). </w:t>
      </w:r>
      <w:r w:rsidRPr="009E2F87">
        <w:rPr>
          <w:i/>
          <w:noProof/>
        </w:rPr>
        <w:t>Research Institute of the Hebrew Home of Greater Washington,</w:t>
      </w:r>
      <w:r w:rsidRPr="009E2F87">
        <w:rPr>
          <w:noProof/>
        </w:rPr>
        <w:t xml:space="preserve"> 1991.</w:t>
      </w:r>
    </w:p>
    <w:p w14:paraId="0D7EF48D" w14:textId="77777777" w:rsidR="00B54D51" w:rsidRPr="009E2F87" w:rsidRDefault="00B54D51" w:rsidP="009E2F87">
      <w:pPr>
        <w:pStyle w:val="EndNoteBibliography"/>
        <w:ind w:left="720" w:hanging="720"/>
        <w:rPr>
          <w:noProof/>
        </w:rPr>
      </w:pPr>
      <w:r w:rsidRPr="009E2F87">
        <w:rPr>
          <w:noProof/>
        </w:rPr>
        <w:t xml:space="preserve">COMANS, T. A., NGUYEN, K.-H., RATCLIFFE, J., ROWEN, D. &amp; MULHERN, B. 2020. Valuing the AD-5D dementia utility instrument: an estimation of a general population tariff. </w:t>
      </w:r>
      <w:r w:rsidRPr="009E2F87">
        <w:rPr>
          <w:i/>
          <w:noProof/>
        </w:rPr>
        <w:t>PharmacoEconomics,</w:t>
      </w:r>
      <w:r w:rsidRPr="009E2F87">
        <w:rPr>
          <w:noProof/>
        </w:rPr>
        <w:t xml:space="preserve"> 38</w:t>
      </w:r>
      <w:r w:rsidRPr="009E2F87">
        <w:rPr>
          <w:b/>
          <w:noProof/>
        </w:rPr>
        <w:t>,</w:t>
      </w:r>
      <w:r w:rsidRPr="009E2F87">
        <w:rPr>
          <w:noProof/>
        </w:rPr>
        <w:t xml:space="preserve"> 871-881.</w:t>
      </w:r>
    </w:p>
    <w:p w14:paraId="5A7874A7" w14:textId="77777777" w:rsidR="00B54D51" w:rsidRPr="009E2F87" w:rsidRDefault="00B54D51" w:rsidP="009E2F87">
      <w:pPr>
        <w:pStyle w:val="EndNoteBibliography"/>
        <w:ind w:left="720" w:hanging="720"/>
        <w:rPr>
          <w:noProof/>
        </w:rPr>
      </w:pPr>
      <w:r w:rsidRPr="009E2F87">
        <w:rPr>
          <w:noProof/>
        </w:rPr>
        <w:t xml:space="preserve">CONNOR, D. J., SABBAGH, M. N. &amp; CUMMINGS, J. L. 2008. Comment on administration and scoring of the Neuropsychiatric Inventory in clinical trials. </w:t>
      </w:r>
      <w:r w:rsidRPr="009E2F87">
        <w:rPr>
          <w:i/>
          <w:noProof/>
        </w:rPr>
        <w:t>Alzheimer's &amp; Dementia,</w:t>
      </w:r>
      <w:r w:rsidRPr="009E2F87">
        <w:rPr>
          <w:noProof/>
        </w:rPr>
        <w:t xml:space="preserve"> 4</w:t>
      </w:r>
      <w:r w:rsidRPr="009E2F87">
        <w:rPr>
          <w:b/>
          <w:noProof/>
        </w:rPr>
        <w:t>,</w:t>
      </w:r>
      <w:r w:rsidRPr="009E2F87">
        <w:rPr>
          <w:noProof/>
        </w:rPr>
        <w:t xml:space="preserve"> 390-394.</w:t>
      </w:r>
    </w:p>
    <w:p w14:paraId="5A2003AE" w14:textId="77777777" w:rsidR="00B54D51" w:rsidRPr="009E2F87" w:rsidRDefault="00B54D51" w:rsidP="009E2F87">
      <w:pPr>
        <w:pStyle w:val="EndNoteBibliography"/>
        <w:ind w:left="720" w:hanging="720"/>
        <w:rPr>
          <w:noProof/>
        </w:rPr>
      </w:pPr>
      <w:r w:rsidRPr="009E2F87">
        <w:rPr>
          <w:noProof/>
        </w:rPr>
        <w:t xml:space="preserve">COUCILL, W., BRYAN, S., BENTHAM, P., BUCKLEY, A. &amp; LAIGHT, A. 2001. EQ-5D in patients with dementia: an investigation of inter-rater agreement. </w:t>
      </w:r>
      <w:r w:rsidRPr="009E2F87">
        <w:rPr>
          <w:i/>
          <w:noProof/>
        </w:rPr>
        <w:t>Medical care</w:t>
      </w:r>
      <w:r w:rsidRPr="009E2F87">
        <w:rPr>
          <w:b/>
          <w:noProof/>
        </w:rPr>
        <w:t>,</w:t>
      </w:r>
      <w:r w:rsidRPr="009E2F87">
        <w:rPr>
          <w:noProof/>
        </w:rPr>
        <w:t xml:space="preserve"> 760-771.</w:t>
      </w:r>
    </w:p>
    <w:p w14:paraId="193A2253" w14:textId="77777777" w:rsidR="00B54D51" w:rsidRPr="009E2F87" w:rsidRDefault="00B54D51" w:rsidP="009E2F87">
      <w:pPr>
        <w:pStyle w:val="EndNoteBibliography"/>
        <w:ind w:left="720" w:hanging="720"/>
        <w:rPr>
          <w:noProof/>
        </w:rPr>
      </w:pPr>
      <w:r w:rsidRPr="009E2F87">
        <w:rPr>
          <w:noProof/>
        </w:rPr>
        <w:t xml:space="preserve">CROSETTO, P., FILIPPIN, A., KATUŠČÁK, P. &amp; SMITH, J. 2020. Central tendency bias in belief elicitation. </w:t>
      </w:r>
      <w:r w:rsidRPr="009E2F87">
        <w:rPr>
          <w:i/>
          <w:noProof/>
        </w:rPr>
        <w:t>Journal of Economic Psychology,</w:t>
      </w:r>
      <w:r w:rsidRPr="009E2F87">
        <w:rPr>
          <w:noProof/>
        </w:rPr>
        <w:t xml:space="preserve"> 78</w:t>
      </w:r>
      <w:r w:rsidRPr="009E2F87">
        <w:rPr>
          <w:b/>
          <w:noProof/>
        </w:rPr>
        <w:t>,</w:t>
      </w:r>
      <w:r w:rsidRPr="009E2F87">
        <w:rPr>
          <w:noProof/>
        </w:rPr>
        <w:t xml:space="preserve"> 102273.</w:t>
      </w:r>
    </w:p>
    <w:p w14:paraId="66438425" w14:textId="77777777" w:rsidR="00B54D51" w:rsidRPr="009E2F87" w:rsidRDefault="00B54D51" w:rsidP="009E2F87">
      <w:pPr>
        <w:pStyle w:val="EndNoteBibliography"/>
        <w:ind w:left="720" w:hanging="720"/>
        <w:rPr>
          <w:noProof/>
        </w:rPr>
      </w:pPr>
      <w:r w:rsidRPr="009E2F87">
        <w:rPr>
          <w:noProof/>
        </w:rPr>
        <w:t xml:space="preserve">CUMMINGS, J. 2020. The neuropsychiatric inventory: development and applications. </w:t>
      </w:r>
      <w:r w:rsidRPr="009E2F87">
        <w:rPr>
          <w:i/>
          <w:noProof/>
        </w:rPr>
        <w:t>Journal of geriatric psychiatry and neurology,</w:t>
      </w:r>
      <w:r w:rsidRPr="009E2F87">
        <w:rPr>
          <w:noProof/>
        </w:rPr>
        <w:t xml:space="preserve"> 33</w:t>
      </w:r>
      <w:r w:rsidRPr="009E2F87">
        <w:rPr>
          <w:b/>
          <w:noProof/>
        </w:rPr>
        <w:t>,</w:t>
      </w:r>
      <w:r w:rsidRPr="009E2F87">
        <w:rPr>
          <w:noProof/>
        </w:rPr>
        <w:t xml:space="preserve"> 73-84.</w:t>
      </w:r>
    </w:p>
    <w:p w14:paraId="47316FE9" w14:textId="77777777" w:rsidR="00B54D51" w:rsidRPr="009E2F87" w:rsidRDefault="00B54D51" w:rsidP="009E2F87">
      <w:pPr>
        <w:pStyle w:val="EndNoteBibliography"/>
        <w:ind w:left="720" w:hanging="720"/>
        <w:rPr>
          <w:noProof/>
        </w:rPr>
      </w:pPr>
      <w:r w:rsidRPr="009E2F87">
        <w:rPr>
          <w:rFonts w:hint="eastAsia"/>
          <w:noProof/>
        </w:rPr>
        <w:t xml:space="preserve">DE GRAAFF, B., KLEINHOUT‐VLIEK, T. &amp; VAN DE BOVENKAMP, H. 2021. In the works: patient and public involvement and engagement in healthcare decision‐making. </w:t>
      </w:r>
      <w:r w:rsidRPr="009E2F87">
        <w:rPr>
          <w:rFonts w:hint="eastAsia"/>
          <w:i/>
          <w:noProof/>
        </w:rPr>
        <w:t>Health Expectations: an International Journal of Public Participation in Health Care and Health Policy,</w:t>
      </w:r>
      <w:r w:rsidRPr="009E2F87">
        <w:rPr>
          <w:rFonts w:hint="eastAsia"/>
          <w:noProof/>
        </w:rPr>
        <w:t xml:space="preserve"> 24</w:t>
      </w:r>
      <w:r w:rsidRPr="009E2F87">
        <w:rPr>
          <w:rFonts w:hint="eastAsia"/>
          <w:b/>
          <w:noProof/>
        </w:rPr>
        <w:t>,</w:t>
      </w:r>
      <w:r w:rsidRPr="009E2F87">
        <w:rPr>
          <w:rFonts w:hint="eastAsia"/>
          <w:noProof/>
        </w:rPr>
        <w:t xml:space="preserve"> 1903.</w:t>
      </w:r>
    </w:p>
    <w:p w14:paraId="4E9F09C5" w14:textId="77777777" w:rsidR="00B54D51" w:rsidRPr="009E2F87" w:rsidRDefault="00B54D51" w:rsidP="009E2F87">
      <w:pPr>
        <w:pStyle w:val="EndNoteBibliography"/>
        <w:ind w:left="720" w:hanging="720"/>
        <w:rPr>
          <w:noProof/>
        </w:rPr>
      </w:pPr>
      <w:r w:rsidRPr="009E2F87">
        <w:rPr>
          <w:noProof/>
        </w:rPr>
        <w:t xml:space="preserve">DEAN, R., PROUDFOOT, R. &amp; LINDESAY, J. 1993. The quality of interactions schedule (QUIS): development, reliability and use in the evaluation of two domus units. </w:t>
      </w:r>
      <w:r w:rsidRPr="009E2F87">
        <w:rPr>
          <w:i/>
          <w:noProof/>
        </w:rPr>
        <w:t>International Journal of Geriatric Psychiatry,</w:t>
      </w:r>
      <w:r w:rsidRPr="009E2F87">
        <w:rPr>
          <w:noProof/>
        </w:rPr>
        <w:t xml:space="preserve"> 8</w:t>
      </w:r>
      <w:r w:rsidRPr="009E2F87">
        <w:rPr>
          <w:b/>
          <w:noProof/>
        </w:rPr>
        <w:t>,</w:t>
      </w:r>
      <w:r w:rsidRPr="009E2F87">
        <w:rPr>
          <w:noProof/>
        </w:rPr>
        <w:t xml:space="preserve"> 819-826.</w:t>
      </w:r>
    </w:p>
    <w:p w14:paraId="4646B963" w14:textId="77777777" w:rsidR="00B54D51" w:rsidRPr="009E2F87" w:rsidRDefault="00B54D51" w:rsidP="009E2F87">
      <w:pPr>
        <w:pStyle w:val="EndNoteBibliography"/>
        <w:ind w:left="720" w:hanging="720"/>
        <w:rPr>
          <w:noProof/>
        </w:rPr>
      </w:pPr>
      <w:r w:rsidRPr="009E2F87">
        <w:rPr>
          <w:noProof/>
        </w:rPr>
        <w:t xml:space="preserve">DEEP. 2021. </w:t>
      </w:r>
      <w:r w:rsidRPr="009E2F87">
        <w:rPr>
          <w:i/>
          <w:noProof/>
        </w:rPr>
        <w:t xml:space="preserve">Making things more accessible </w:t>
      </w:r>
      <w:r w:rsidRPr="009E2F87">
        <w:rPr>
          <w:noProof/>
        </w:rPr>
        <w:t xml:space="preserve">[Online]. Available: </w:t>
      </w:r>
      <w:r w:rsidRPr="00B54D51">
        <w:rPr>
          <w:noProof/>
        </w:rPr>
        <w:t>https://www.dementiavoices.org.uk/deep-resources/making-things-more-accessible/</w:t>
      </w:r>
      <w:r w:rsidRPr="009E2F87">
        <w:rPr>
          <w:noProof/>
        </w:rPr>
        <w:t xml:space="preserve"> [Accessed 2021].</w:t>
      </w:r>
    </w:p>
    <w:p w14:paraId="2242D73E" w14:textId="77777777" w:rsidR="00B54D51" w:rsidRPr="009E2F87" w:rsidRDefault="00B54D51" w:rsidP="009E2F87">
      <w:pPr>
        <w:pStyle w:val="EndNoteBibliography"/>
        <w:ind w:left="720" w:hanging="720"/>
        <w:rPr>
          <w:noProof/>
        </w:rPr>
      </w:pPr>
      <w:r w:rsidRPr="009E2F87">
        <w:rPr>
          <w:noProof/>
        </w:rPr>
        <w:t xml:space="preserve">DESAI, A. K., GROSSBERG, G. T. &amp; SHETH, D. N. 2004. Activities of daily living in patients with dementia. </w:t>
      </w:r>
      <w:r w:rsidRPr="009E2F87">
        <w:rPr>
          <w:i/>
          <w:noProof/>
        </w:rPr>
        <w:t>CNS drugs,</w:t>
      </w:r>
      <w:r w:rsidRPr="009E2F87">
        <w:rPr>
          <w:noProof/>
        </w:rPr>
        <w:t xml:space="preserve"> 18</w:t>
      </w:r>
      <w:r w:rsidRPr="009E2F87">
        <w:rPr>
          <w:b/>
          <w:noProof/>
        </w:rPr>
        <w:t>,</w:t>
      </w:r>
      <w:r w:rsidRPr="009E2F87">
        <w:rPr>
          <w:noProof/>
        </w:rPr>
        <w:t xml:space="preserve"> 853-875.</w:t>
      </w:r>
    </w:p>
    <w:p w14:paraId="79483BEA" w14:textId="77777777" w:rsidR="00B54D51" w:rsidRPr="009E2F87" w:rsidRDefault="00B54D51" w:rsidP="009E2F87">
      <w:pPr>
        <w:pStyle w:val="EndNoteBibliography"/>
        <w:ind w:left="720" w:hanging="720"/>
        <w:rPr>
          <w:noProof/>
        </w:rPr>
      </w:pPr>
      <w:r w:rsidRPr="009E2F87">
        <w:rPr>
          <w:noProof/>
        </w:rPr>
        <w:t xml:space="preserve">DEVLIN, N., PARKIN, D., JANSSEN, B., DEVLIN, N., PARKIN, D. &amp; JANSSEN, B. 2020. Analysis of EQ-5D values. </w:t>
      </w:r>
      <w:r w:rsidRPr="009E2F87">
        <w:rPr>
          <w:i/>
          <w:noProof/>
        </w:rPr>
        <w:t>Methods for analysing and reporting EQ-5D data</w:t>
      </w:r>
      <w:r w:rsidRPr="009E2F87">
        <w:rPr>
          <w:b/>
          <w:noProof/>
        </w:rPr>
        <w:t>,</w:t>
      </w:r>
      <w:r w:rsidRPr="009E2F87">
        <w:rPr>
          <w:noProof/>
        </w:rPr>
        <w:t xml:space="preserve"> 61-86.</w:t>
      </w:r>
    </w:p>
    <w:p w14:paraId="632F6A67" w14:textId="77777777" w:rsidR="00B54D51" w:rsidRPr="009E2F87" w:rsidRDefault="00B54D51" w:rsidP="009E2F87">
      <w:pPr>
        <w:pStyle w:val="EndNoteBibliography"/>
        <w:ind w:left="720" w:hanging="720"/>
        <w:rPr>
          <w:noProof/>
        </w:rPr>
      </w:pPr>
      <w:r w:rsidRPr="009E2F87">
        <w:rPr>
          <w:noProof/>
        </w:rPr>
        <w:t xml:space="preserve">DEVLIN, N. J. &amp; BROOKS, R. 2017. EQ-5D and the EuroQol group: past, present and future. </w:t>
      </w:r>
      <w:r w:rsidRPr="009E2F87">
        <w:rPr>
          <w:i/>
          <w:noProof/>
        </w:rPr>
        <w:t>Applied health economics and health policy,</w:t>
      </w:r>
      <w:r w:rsidRPr="009E2F87">
        <w:rPr>
          <w:noProof/>
        </w:rPr>
        <w:t xml:space="preserve"> 15</w:t>
      </w:r>
      <w:r w:rsidRPr="009E2F87">
        <w:rPr>
          <w:b/>
          <w:noProof/>
        </w:rPr>
        <w:t>,</w:t>
      </w:r>
      <w:r w:rsidRPr="009E2F87">
        <w:rPr>
          <w:noProof/>
        </w:rPr>
        <w:t xml:space="preserve"> 127-137.</w:t>
      </w:r>
    </w:p>
    <w:p w14:paraId="2D11EEED" w14:textId="77777777" w:rsidR="00B54D51" w:rsidRPr="009E2F87" w:rsidRDefault="00B54D51" w:rsidP="009E2F87">
      <w:pPr>
        <w:pStyle w:val="EndNoteBibliography"/>
        <w:ind w:left="720" w:hanging="720"/>
        <w:rPr>
          <w:noProof/>
        </w:rPr>
      </w:pPr>
      <w:r w:rsidRPr="009E2F87">
        <w:rPr>
          <w:noProof/>
        </w:rPr>
        <w:t xml:space="preserve">DEVLIN, N. J., </w:t>
      </w:r>
      <w:r w:rsidRPr="009E2F87">
        <w:rPr>
          <w:rFonts w:hint="eastAsia"/>
          <w:noProof/>
        </w:rPr>
        <w:t xml:space="preserve">SHAH, K. K., FENG, Y., MULHERN, B. &amp; VAN HOUT, B. 2018. Valuing health‐related quality of life: An EQ‐5 D‐5 L value set for E ngland. </w:t>
      </w:r>
      <w:r w:rsidRPr="009E2F87">
        <w:rPr>
          <w:rFonts w:hint="eastAsia"/>
          <w:i/>
          <w:noProof/>
        </w:rPr>
        <w:t>Health economics,</w:t>
      </w:r>
      <w:r w:rsidRPr="009E2F87">
        <w:rPr>
          <w:rFonts w:hint="eastAsia"/>
          <w:noProof/>
        </w:rPr>
        <w:t xml:space="preserve"> 27</w:t>
      </w:r>
      <w:r w:rsidRPr="009E2F87">
        <w:rPr>
          <w:rFonts w:hint="eastAsia"/>
          <w:b/>
          <w:noProof/>
        </w:rPr>
        <w:t>,</w:t>
      </w:r>
      <w:r w:rsidRPr="009E2F87">
        <w:rPr>
          <w:rFonts w:hint="eastAsia"/>
          <w:noProof/>
        </w:rPr>
        <w:t xml:space="preserve"> 7-22.</w:t>
      </w:r>
    </w:p>
    <w:p w14:paraId="2407B717" w14:textId="77777777" w:rsidR="00B54D51" w:rsidRPr="009E2F87" w:rsidRDefault="00B54D51" w:rsidP="009E2F87">
      <w:pPr>
        <w:pStyle w:val="EndNoteBibliography"/>
        <w:ind w:left="720" w:hanging="720"/>
        <w:rPr>
          <w:noProof/>
        </w:rPr>
      </w:pPr>
      <w:r w:rsidRPr="009E2F87">
        <w:rPr>
          <w:rFonts w:hint="eastAsia"/>
          <w:noProof/>
        </w:rPr>
        <w:t xml:space="preserve">DIAZ‐REDONDO, A., RODRIGUEZ‐BLAZQUEZ, C., AYALA, A., MARTINEZ‐MARTIN, P., FORJAZ, M. J., LIFE, S. R. G. O. Q. O. &amp; AGING 2014. EQ‐5D rated by proxy in institutionalized older adults with dementia: Psychometric pros and cons. </w:t>
      </w:r>
      <w:r w:rsidRPr="009E2F87">
        <w:rPr>
          <w:rFonts w:hint="eastAsia"/>
          <w:i/>
          <w:noProof/>
        </w:rPr>
        <w:t>Geriatrics &amp; gerontology international,</w:t>
      </w:r>
      <w:r w:rsidRPr="009E2F87">
        <w:rPr>
          <w:rFonts w:hint="eastAsia"/>
          <w:noProof/>
        </w:rPr>
        <w:t xml:space="preserve"> 14</w:t>
      </w:r>
      <w:r w:rsidRPr="009E2F87">
        <w:rPr>
          <w:rFonts w:hint="eastAsia"/>
          <w:b/>
          <w:noProof/>
        </w:rPr>
        <w:t>,</w:t>
      </w:r>
      <w:r w:rsidRPr="009E2F87">
        <w:rPr>
          <w:rFonts w:hint="eastAsia"/>
          <w:noProof/>
        </w:rPr>
        <w:t xml:space="preserve"> 346-353.</w:t>
      </w:r>
    </w:p>
    <w:p w14:paraId="5707C1A6" w14:textId="77777777" w:rsidR="00B54D51" w:rsidRPr="009E2F87" w:rsidRDefault="00B54D51" w:rsidP="009E2F87">
      <w:pPr>
        <w:pStyle w:val="EndNoteBibliography"/>
        <w:ind w:left="720" w:hanging="720"/>
        <w:rPr>
          <w:noProof/>
        </w:rPr>
      </w:pPr>
      <w:r w:rsidRPr="009E2F87">
        <w:rPr>
          <w:noProof/>
        </w:rPr>
        <w:t xml:space="preserve">DICHTER, M., ETTEMA, T., SCHWAB, C., MEYER, G., BARTHOLOMEYCZIK, S., HALEK, M. &amp; DRÖES, R. 2016. QUALIDEM User Guide. </w:t>
      </w:r>
      <w:r w:rsidRPr="009E2F87">
        <w:rPr>
          <w:i/>
          <w:noProof/>
        </w:rPr>
        <w:t>DZNE/VUmc, Witten/Amsterdam</w:t>
      </w:r>
      <w:r w:rsidRPr="009E2F87">
        <w:rPr>
          <w:noProof/>
        </w:rPr>
        <w:t>.</w:t>
      </w:r>
    </w:p>
    <w:p w14:paraId="5F9CE468" w14:textId="77777777" w:rsidR="00B54D51" w:rsidRPr="009E2F87" w:rsidRDefault="00B54D51" w:rsidP="009E2F87">
      <w:pPr>
        <w:pStyle w:val="EndNoteBibliography"/>
        <w:ind w:left="720" w:hanging="720"/>
        <w:rPr>
          <w:noProof/>
        </w:rPr>
      </w:pPr>
      <w:r w:rsidRPr="009E2F87">
        <w:rPr>
          <w:noProof/>
        </w:rPr>
        <w:t xml:space="preserve">DOLAN, P. 1997. Modeling valuations for EuroQol health states. </w:t>
      </w:r>
      <w:r w:rsidRPr="009E2F87">
        <w:rPr>
          <w:i/>
          <w:noProof/>
        </w:rPr>
        <w:t>Medical care</w:t>
      </w:r>
      <w:r w:rsidRPr="009E2F87">
        <w:rPr>
          <w:b/>
          <w:noProof/>
        </w:rPr>
        <w:t>,</w:t>
      </w:r>
      <w:r w:rsidRPr="009E2F87">
        <w:rPr>
          <w:noProof/>
        </w:rPr>
        <w:t xml:space="preserve"> 1095-1108.</w:t>
      </w:r>
    </w:p>
    <w:p w14:paraId="20F3413A" w14:textId="77777777" w:rsidR="00B54D51" w:rsidRPr="009E2F87" w:rsidRDefault="00B54D51" w:rsidP="009E2F87">
      <w:pPr>
        <w:pStyle w:val="EndNoteBibliography"/>
        <w:ind w:left="720" w:hanging="720"/>
        <w:rPr>
          <w:noProof/>
        </w:rPr>
      </w:pPr>
      <w:r w:rsidRPr="009E2F87">
        <w:rPr>
          <w:noProof/>
        </w:rPr>
        <w:t xml:space="preserve">DOUGLAS, S., JAMES, I. &amp; BALLARD, C. 2004. Non-pharmacological interventions in dementia. </w:t>
      </w:r>
      <w:r w:rsidRPr="009E2F87">
        <w:rPr>
          <w:i/>
          <w:noProof/>
        </w:rPr>
        <w:t>Advances in psychiatric treatment,</w:t>
      </w:r>
      <w:r w:rsidRPr="009E2F87">
        <w:rPr>
          <w:noProof/>
        </w:rPr>
        <w:t xml:space="preserve"> 10</w:t>
      </w:r>
      <w:r w:rsidRPr="009E2F87">
        <w:rPr>
          <w:b/>
          <w:noProof/>
        </w:rPr>
        <w:t>,</w:t>
      </w:r>
      <w:r w:rsidRPr="009E2F87">
        <w:rPr>
          <w:noProof/>
        </w:rPr>
        <w:t xml:space="preserve"> 171-177.</w:t>
      </w:r>
    </w:p>
    <w:p w14:paraId="2F1A0093" w14:textId="77777777" w:rsidR="00B54D51" w:rsidRPr="009E2F87" w:rsidRDefault="00B54D51" w:rsidP="009E2F87">
      <w:pPr>
        <w:pStyle w:val="EndNoteBibliography"/>
        <w:ind w:left="720" w:hanging="720"/>
        <w:rPr>
          <w:noProof/>
        </w:rPr>
      </w:pPr>
      <w:r w:rsidRPr="009E2F87">
        <w:rPr>
          <w:noProof/>
        </w:rPr>
        <w:t xml:space="preserve">DOUVEN, I. 2018. A Bayesian perspective on Likert scales and central tendency. </w:t>
      </w:r>
      <w:r w:rsidRPr="009E2F87">
        <w:rPr>
          <w:i/>
          <w:noProof/>
        </w:rPr>
        <w:t>Psychonomic bulletin &amp; review,</w:t>
      </w:r>
      <w:r w:rsidRPr="009E2F87">
        <w:rPr>
          <w:noProof/>
        </w:rPr>
        <w:t xml:space="preserve"> 25</w:t>
      </w:r>
      <w:r w:rsidRPr="009E2F87">
        <w:rPr>
          <w:b/>
          <w:noProof/>
        </w:rPr>
        <w:t>,</w:t>
      </w:r>
      <w:r w:rsidRPr="009E2F87">
        <w:rPr>
          <w:noProof/>
        </w:rPr>
        <w:t xml:space="preserve"> 1203-1211.</w:t>
      </w:r>
    </w:p>
    <w:p w14:paraId="1394CB37" w14:textId="77777777" w:rsidR="00B54D51" w:rsidRPr="009E2F87" w:rsidRDefault="00B54D51" w:rsidP="009E2F87">
      <w:pPr>
        <w:pStyle w:val="EndNoteBibliography"/>
        <w:ind w:left="720" w:hanging="720"/>
        <w:rPr>
          <w:noProof/>
        </w:rPr>
      </w:pPr>
      <w:r w:rsidRPr="009E2F87">
        <w:rPr>
          <w:noProof/>
        </w:rPr>
        <w:lastRenderedPageBreak/>
        <w:t xml:space="preserve">DRAISY. 2021. </w:t>
      </w:r>
      <w:r w:rsidRPr="009E2F87">
        <w:rPr>
          <w:i/>
          <w:noProof/>
        </w:rPr>
        <w:t xml:space="preserve">Dementia Research Advisory Group South Yorkshire </w:t>
      </w:r>
      <w:r w:rsidRPr="009E2F87">
        <w:rPr>
          <w:noProof/>
        </w:rPr>
        <w:t xml:space="preserve">[Online]. Sheffield Institute for Traditional Neuroscience. Available: </w:t>
      </w:r>
      <w:r w:rsidRPr="00B54D51">
        <w:rPr>
          <w:noProof/>
        </w:rPr>
        <w:t>https://draisy.sites.sheffield.ac.uk</w:t>
      </w:r>
      <w:r w:rsidRPr="009E2F87">
        <w:rPr>
          <w:noProof/>
        </w:rPr>
        <w:t xml:space="preserve"> [Accessed 11/07/2021 2021].</w:t>
      </w:r>
    </w:p>
    <w:p w14:paraId="4E44BF37" w14:textId="77777777" w:rsidR="00B54D51" w:rsidRPr="009E2F87" w:rsidRDefault="00B54D51" w:rsidP="009E2F87">
      <w:pPr>
        <w:pStyle w:val="EndNoteBibliography"/>
        <w:ind w:left="720" w:hanging="720"/>
        <w:rPr>
          <w:noProof/>
        </w:rPr>
      </w:pPr>
      <w:r w:rsidRPr="009E2F87">
        <w:rPr>
          <w:noProof/>
        </w:rPr>
        <w:t xml:space="preserve">DRAISY. 2021 </w:t>
      </w:r>
      <w:r w:rsidRPr="009E2F87">
        <w:rPr>
          <w:i/>
          <w:noProof/>
        </w:rPr>
        <w:t xml:space="preserve">Information for Researchers </w:t>
      </w:r>
      <w:r w:rsidRPr="009E2F87">
        <w:rPr>
          <w:noProof/>
        </w:rPr>
        <w:t xml:space="preserve">[Online]. Available: </w:t>
      </w:r>
      <w:r w:rsidRPr="00B54D51">
        <w:rPr>
          <w:noProof/>
        </w:rPr>
        <w:t>https://draisy.sites.sheffield.ac.uk/for-researchers</w:t>
      </w:r>
      <w:r w:rsidRPr="009E2F87">
        <w:rPr>
          <w:noProof/>
        </w:rPr>
        <w:t xml:space="preserve"> [Accessed 2021].</w:t>
      </w:r>
    </w:p>
    <w:p w14:paraId="3E6890B3" w14:textId="77777777" w:rsidR="00B54D51" w:rsidRPr="009E2F87" w:rsidRDefault="00B54D51" w:rsidP="009E2F87">
      <w:pPr>
        <w:pStyle w:val="EndNoteBibliography"/>
        <w:ind w:left="720" w:hanging="720"/>
        <w:rPr>
          <w:noProof/>
        </w:rPr>
      </w:pPr>
      <w:r w:rsidRPr="009E2F87">
        <w:rPr>
          <w:noProof/>
        </w:rPr>
        <w:t>DRÖES, R. 1991. In movement; on psychosocial care for elderly people with dementia [In beweging: over psychosociale hulpverlening an demente ouderen].</w:t>
      </w:r>
    </w:p>
    <w:p w14:paraId="4C83F633" w14:textId="77777777" w:rsidR="00B54D51" w:rsidRPr="009E2F87" w:rsidRDefault="00B54D51" w:rsidP="009E2F87">
      <w:pPr>
        <w:pStyle w:val="EndNoteBibliography"/>
        <w:ind w:left="720" w:hanging="720"/>
        <w:rPr>
          <w:noProof/>
        </w:rPr>
      </w:pPr>
      <w:r w:rsidRPr="009E2F87">
        <w:rPr>
          <w:noProof/>
        </w:rPr>
        <w:t xml:space="preserve">DRUMMOND, M. F., SCULPHER, M. J., CLAXTON, K., STODDART, G. L. &amp; TORRANCE, G. W. 2015. </w:t>
      </w:r>
      <w:r w:rsidRPr="009E2F87">
        <w:rPr>
          <w:i/>
          <w:noProof/>
        </w:rPr>
        <w:t>Methods for the economic evaluation of health care programmes</w:t>
      </w:r>
      <w:r w:rsidRPr="009E2F87">
        <w:rPr>
          <w:noProof/>
        </w:rPr>
        <w:t>, Oxford university press.</w:t>
      </w:r>
    </w:p>
    <w:p w14:paraId="7D88CDD4" w14:textId="77777777" w:rsidR="00B54D51" w:rsidRPr="009E2F87" w:rsidRDefault="00B54D51" w:rsidP="009E2F87">
      <w:pPr>
        <w:pStyle w:val="EndNoteBibliography"/>
        <w:ind w:left="720" w:hanging="720"/>
        <w:rPr>
          <w:noProof/>
        </w:rPr>
      </w:pPr>
      <w:r w:rsidRPr="009E2F87">
        <w:rPr>
          <w:noProof/>
        </w:rPr>
        <w:t xml:space="preserve">EASTON, T., MILTE, R., CROTTY, M. &amp; RATCLIFFE, J. 2018. An empirical comparison of the measurement properties of the EQ-5D-5L, DEMQOL-U and DEMQOL-Proxy-U for older people in residential care. </w:t>
      </w:r>
      <w:r w:rsidRPr="009E2F87">
        <w:rPr>
          <w:i/>
          <w:noProof/>
        </w:rPr>
        <w:t>Quality of Life Research,</w:t>
      </w:r>
      <w:r w:rsidRPr="009E2F87">
        <w:rPr>
          <w:noProof/>
        </w:rPr>
        <w:t xml:space="preserve"> 27</w:t>
      </w:r>
      <w:r w:rsidRPr="009E2F87">
        <w:rPr>
          <w:b/>
          <w:noProof/>
        </w:rPr>
        <w:t>,</w:t>
      </w:r>
      <w:r w:rsidRPr="009E2F87">
        <w:rPr>
          <w:noProof/>
        </w:rPr>
        <w:t xml:space="preserve"> 1283-1294.</w:t>
      </w:r>
    </w:p>
    <w:p w14:paraId="044D2CEA" w14:textId="77777777" w:rsidR="00B54D51" w:rsidRPr="009E2F87" w:rsidRDefault="00B54D51" w:rsidP="009E2F87">
      <w:pPr>
        <w:pStyle w:val="EndNoteBibliography"/>
        <w:ind w:left="720" w:hanging="720"/>
        <w:rPr>
          <w:noProof/>
        </w:rPr>
      </w:pPr>
      <w:r w:rsidRPr="009E2F87">
        <w:rPr>
          <w:noProof/>
        </w:rPr>
        <w:t xml:space="preserve">EDELMAN, P., FULTON, B. R., KUHN, D. &amp; CHANG, C.-H. 2005. A comparison of three methods of measuring dementia-specific quality of life: perspectives of residents, staff, and observers. </w:t>
      </w:r>
      <w:r w:rsidRPr="009E2F87">
        <w:rPr>
          <w:i/>
          <w:noProof/>
        </w:rPr>
        <w:t>The gerontologist,</w:t>
      </w:r>
      <w:r w:rsidRPr="009E2F87">
        <w:rPr>
          <w:noProof/>
        </w:rPr>
        <w:t xml:space="preserve"> 45</w:t>
      </w:r>
      <w:r w:rsidRPr="009E2F87">
        <w:rPr>
          <w:b/>
          <w:noProof/>
        </w:rPr>
        <w:t>,</w:t>
      </w:r>
      <w:r w:rsidRPr="009E2F87">
        <w:rPr>
          <w:noProof/>
        </w:rPr>
        <w:t xml:space="preserve"> 27-36.</w:t>
      </w:r>
    </w:p>
    <w:p w14:paraId="1FC0B9E4" w14:textId="77777777" w:rsidR="00B54D51" w:rsidRPr="009E2F87" w:rsidRDefault="00B54D51" w:rsidP="009E2F87">
      <w:pPr>
        <w:pStyle w:val="EndNoteBibliography"/>
        <w:ind w:left="720" w:hanging="720"/>
        <w:rPr>
          <w:noProof/>
        </w:rPr>
      </w:pPr>
      <w:r w:rsidRPr="009E2F87">
        <w:rPr>
          <w:noProof/>
        </w:rPr>
        <w:t xml:space="preserve">ELLIOTT, D., LAZARUS, R. &amp; LEEDER, S. R. 2006. Proxy respondents reliably assessed the quality of life of elective cardiac surgery patients. </w:t>
      </w:r>
      <w:r w:rsidRPr="009E2F87">
        <w:rPr>
          <w:i/>
          <w:noProof/>
        </w:rPr>
        <w:t>Journal of clinical epidemiology,</w:t>
      </w:r>
      <w:r w:rsidRPr="009E2F87">
        <w:rPr>
          <w:noProof/>
        </w:rPr>
        <w:t xml:space="preserve"> 59</w:t>
      </w:r>
      <w:r w:rsidRPr="009E2F87">
        <w:rPr>
          <w:b/>
          <w:noProof/>
        </w:rPr>
        <w:t>,</w:t>
      </w:r>
      <w:r w:rsidRPr="009E2F87">
        <w:rPr>
          <w:noProof/>
        </w:rPr>
        <w:t xml:space="preserve"> 153-159.</w:t>
      </w:r>
    </w:p>
    <w:p w14:paraId="3FA8321A" w14:textId="77777777" w:rsidR="00B54D51" w:rsidRPr="009E2F87" w:rsidRDefault="00B54D51" w:rsidP="009E2F87">
      <w:pPr>
        <w:pStyle w:val="EndNoteBibliography"/>
        <w:ind w:left="720" w:hanging="720"/>
        <w:rPr>
          <w:noProof/>
        </w:rPr>
      </w:pPr>
      <w:r w:rsidRPr="009E2F87">
        <w:rPr>
          <w:noProof/>
        </w:rPr>
        <w:t xml:space="preserve">ENGEL, L., BUCHOLC, J., MIHALOPOULOS, C., MULHERN, B., RATCLIFFE, J., YATES, M. &amp; HANNA, L. 2020. A qualitative exploration of the content and face validity of preference-based measures within the context of dementia. </w:t>
      </w:r>
      <w:r w:rsidRPr="009E2F87">
        <w:rPr>
          <w:i/>
          <w:noProof/>
        </w:rPr>
        <w:t>Health and Quality of Life Outcomes,</w:t>
      </w:r>
      <w:r w:rsidRPr="009E2F87">
        <w:rPr>
          <w:noProof/>
        </w:rPr>
        <w:t xml:space="preserve"> 18</w:t>
      </w:r>
      <w:r w:rsidRPr="009E2F87">
        <w:rPr>
          <w:b/>
          <w:noProof/>
        </w:rPr>
        <w:t>,</w:t>
      </w:r>
      <w:r w:rsidRPr="009E2F87">
        <w:rPr>
          <w:noProof/>
        </w:rPr>
        <w:t xml:space="preserve"> 1-19.</w:t>
      </w:r>
    </w:p>
    <w:p w14:paraId="3296D3DB" w14:textId="77777777" w:rsidR="00B54D51" w:rsidRPr="009E2F87" w:rsidRDefault="00B54D51" w:rsidP="009E2F87">
      <w:pPr>
        <w:pStyle w:val="EndNoteBibliography"/>
        <w:ind w:left="720" w:hanging="720"/>
        <w:rPr>
          <w:noProof/>
        </w:rPr>
      </w:pPr>
      <w:r w:rsidRPr="009E2F87">
        <w:rPr>
          <w:noProof/>
        </w:rPr>
        <w:t xml:space="preserve">ÉRSEK, K., KOVÁCS, T., WIMO, A., KÁRPATI, K., BRODSZKY, V., PÉNTEK, M., JÖNSSON, L., GUSTAVSSON, A., MCDAID, D. &amp; KENIGSBERG, P. 2010. Costs of dementia in Hungary. </w:t>
      </w:r>
      <w:r w:rsidRPr="009E2F87">
        <w:rPr>
          <w:i/>
          <w:noProof/>
        </w:rPr>
        <w:t>The journal of nutrition, health &amp; aging,</w:t>
      </w:r>
      <w:r w:rsidRPr="009E2F87">
        <w:rPr>
          <w:noProof/>
        </w:rPr>
        <w:t xml:space="preserve"> 14</w:t>
      </w:r>
      <w:r w:rsidRPr="009E2F87">
        <w:rPr>
          <w:b/>
          <w:noProof/>
        </w:rPr>
        <w:t>,</w:t>
      </w:r>
      <w:r w:rsidRPr="009E2F87">
        <w:rPr>
          <w:noProof/>
        </w:rPr>
        <w:t xml:space="preserve"> 633-639.</w:t>
      </w:r>
    </w:p>
    <w:p w14:paraId="5F4A4C2D" w14:textId="77777777" w:rsidR="00B54D51" w:rsidRPr="009E2F87" w:rsidRDefault="00B54D51" w:rsidP="009E2F87">
      <w:pPr>
        <w:pStyle w:val="EndNoteBibliography"/>
        <w:ind w:left="720" w:hanging="720"/>
        <w:rPr>
          <w:noProof/>
        </w:rPr>
      </w:pPr>
      <w:r w:rsidRPr="009E2F87">
        <w:rPr>
          <w:noProof/>
        </w:rPr>
        <w:t xml:space="preserve">ETTEMA, T. P., DRÖES, R. M., DE LANGE, J., MELLENBERGH, G. J. &amp; RIBBE, M. W. 2007. QUALIDEM: development and evaluation of a dementia specific quality of life instrument. Scalability, reliability and internal structure. </w:t>
      </w:r>
      <w:r w:rsidRPr="009E2F87">
        <w:rPr>
          <w:i/>
          <w:noProof/>
        </w:rPr>
        <w:t>International Journal of Geriatric Psychiatry: A journal of the psychiatry of late life and allied sciences,</w:t>
      </w:r>
      <w:r w:rsidRPr="009E2F87">
        <w:rPr>
          <w:noProof/>
        </w:rPr>
        <w:t xml:space="preserve"> 22</w:t>
      </w:r>
      <w:r w:rsidRPr="009E2F87">
        <w:rPr>
          <w:b/>
          <w:noProof/>
        </w:rPr>
        <w:t>,</w:t>
      </w:r>
      <w:r w:rsidRPr="009E2F87">
        <w:rPr>
          <w:noProof/>
        </w:rPr>
        <w:t xml:space="preserve"> 549-556.</w:t>
      </w:r>
    </w:p>
    <w:p w14:paraId="40594F76" w14:textId="77777777" w:rsidR="00B54D51" w:rsidRPr="009E2F87" w:rsidRDefault="00B54D51" w:rsidP="009E2F87">
      <w:pPr>
        <w:pStyle w:val="EndNoteBibliography"/>
        <w:ind w:left="720" w:hanging="720"/>
        <w:rPr>
          <w:noProof/>
        </w:rPr>
      </w:pPr>
      <w:r w:rsidRPr="009E2F87">
        <w:rPr>
          <w:noProof/>
        </w:rPr>
        <w:t xml:space="preserve">EUROQOL GROUP 1990. EuroQol-a new facility for the measurement of health-related quality of life. </w:t>
      </w:r>
      <w:r w:rsidRPr="009E2F87">
        <w:rPr>
          <w:i/>
          <w:noProof/>
        </w:rPr>
        <w:t>Health policy,</w:t>
      </w:r>
      <w:r w:rsidRPr="009E2F87">
        <w:rPr>
          <w:noProof/>
        </w:rPr>
        <w:t xml:space="preserve"> 2023</w:t>
      </w:r>
      <w:r w:rsidRPr="009E2F87">
        <w:rPr>
          <w:b/>
          <w:noProof/>
        </w:rPr>
        <w:t>,</w:t>
      </w:r>
      <w:r w:rsidRPr="009E2F87">
        <w:rPr>
          <w:noProof/>
        </w:rPr>
        <w:t xml:space="preserve"> 199-208.</w:t>
      </w:r>
    </w:p>
    <w:p w14:paraId="3D4A3809" w14:textId="77777777" w:rsidR="00B54D51" w:rsidRPr="009E2F87" w:rsidRDefault="00B54D51" w:rsidP="009E2F87">
      <w:pPr>
        <w:pStyle w:val="EndNoteBibliography"/>
        <w:ind w:left="720" w:hanging="720"/>
        <w:rPr>
          <w:noProof/>
        </w:rPr>
      </w:pPr>
      <w:r w:rsidRPr="009E2F87">
        <w:rPr>
          <w:noProof/>
        </w:rPr>
        <w:t xml:space="preserve">EUROQOL RESEARCH FOUNDATION 2018. EQ-5D-3L User Guide. </w:t>
      </w:r>
      <w:r w:rsidRPr="00B54D51">
        <w:rPr>
          <w:noProof/>
        </w:rPr>
        <w:t>https://euroqol.org/publications/user-guides</w:t>
      </w:r>
      <w:r w:rsidRPr="009E2F87">
        <w:rPr>
          <w:noProof/>
        </w:rPr>
        <w:t>.</w:t>
      </w:r>
    </w:p>
    <w:p w14:paraId="635486C3" w14:textId="77777777" w:rsidR="00B54D51" w:rsidRPr="009E2F87" w:rsidRDefault="00B54D51" w:rsidP="009E2F87">
      <w:pPr>
        <w:pStyle w:val="EndNoteBibliography"/>
        <w:ind w:left="720" w:hanging="720"/>
        <w:rPr>
          <w:noProof/>
        </w:rPr>
      </w:pPr>
      <w:r w:rsidRPr="009E2F87">
        <w:rPr>
          <w:noProof/>
        </w:rPr>
        <w:t xml:space="preserve">EUROQOL RESEARCH FOUNDATION. 2023a. </w:t>
      </w:r>
      <w:r w:rsidRPr="009E2F87">
        <w:rPr>
          <w:i/>
          <w:noProof/>
        </w:rPr>
        <w:t xml:space="preserve">HOW ARE THE SELF-COMPLETE, INTERVIEWER AND PROXY EQ-5D VERSIONS DIFFERENT? </w:t>
      </w:r>
      <w:r w:rsidRPr="009E2F87">
        <w:rPr>
          <w:noProof/>
        </w:rPr>
        <w:t xml:space="preserve">[Online]. Available: </w:t>
      </w:r>
      <w:r w:rsidRPr="00B54D51">
        <w:rPr>
          <w:noProof/>
        </w:rPr>
        <w:t>https://euroqol.org/faq/how-are-the-self-complete-interviewer-and-proxy-eq-5d-versions-different/</w:t>
      </w:r>
      <w:r w:rsidRPr="009E2F87">
        <w:rPr>
          <w:noProof/>
        </w:rPr>
        <w:t xml:space="preserve"> [Accessed January 2024].</w:t>
      </w:r>
    </w:p>
    <w:p w14:paraId="3CC2CA58" w14:textId="77777777" w:rsidR="00B54D51" w:rsidRPr="009E2F87" w:rsidRDefault="00B54D51" w:rsidP="009E2F87">
      <w:pPr>
        <w:pStyle w:val="EndNoteBibliography"/>
        <w:ind w:left="720" w:hanging="720"/>
        <w:rPr>
          <w:noProof/>
        </w:rPr>
      </w:pPr>
      <w:r w:rsidRPr="009E2F87">
        <w:rPr>
          <w:noProof/>
        </w:rPr>
        <w:t xml:space="preserve">EUROQOL RESEARCH FOUNDATION. 2023b. </w:t>
      </w:r>
      <w:r w:rsidRPr="009E2F87">
        <w:rPr>
          <w:i/>
          <w:noProof/>
        </w:rPr>
        <w:t xml:space="preserve">Instrument delivery </w:t>
      </w:r>
      <w:r w:rsidRPr="009E2F87">
        <w:rPr>
          <w:noProof/>
        </w:rPr>
        <w:t xml:space="preserve">[Online]. Available: </w:t>
      </w:r>
      <w:r w:rsidRPr="00B54D51">
        <w:rPr>
          <w:noProof/>
        </w:rPr>
        <w:t>https://euroqol.org/register/instrument-delivery/</w:t>
      </w:r>
      <w:r w:rsidRPr="009E2F87">
        <w:rPr>
          <w:noProof/>
        </w:rPr>
        <w:t xml:space="preserve"> [Accessed 2024].</w:t>
      </w:r>
    </w:p>
    <w:p w14:paraId="17D97434" w14:textId="77777777" w:rsidR="00B54D51" w:rsidRPr="009E2F87" w:rsidRDefault="00B54D51" w:rsidP="009E2F87">
      <w:pPr>
        <w:pStyle w:val="EndNoteBibliography"/>
        <w:ind w:left="720" w:hanging="720"/>
        <w:rPr>
          <w:noProof/>
        </w:rPr>
      </w:pPr>
      <w:r w:rsidRPr="009E2F87">
        <w:rPr>
          <w:noProof/>
        </w:rPr>
        <w:t xml:space="preserve">EUROQOL RESEARCH FOUNDATION. 2023c. </w:t>
      </w:r>
      <w:r w:rsidRPr="009E2F87">
        <w:rPr>
          <w:i/>
          <w:noProof/>
        </w:rPr>
        <w:t xml:space="preserve">Value sets </w:t>
      </w:r>
      <w:r w:rsidRPr="009E2F87">
        <w:rPr>
          <w:noProof/>
        </w:rPr>
        <w:t xml:space="preserve">[Online]. Available: </w:t>
      </w:r>
      <w:r w:rsidRPr="00B54D51">
        <w:rPr>
          <w:noProof/>
        </w:rPr>
        <w:t>https://euroqol.org/information-and-support/resources/value-sets/</w:t>
      </w:r>
      <w:r w:rsidRPr="009E2F87">
        <w:rPr>
          <w:noProof/>
        </w:rPr>
        <w:t xml:space="preserve"> [Accessed January 2024].</w:t>
      </w:r>
    </w:p>
    <w:p w14:paraId="0C4BA764" w14:textId="77777777" w:rsidR="00B54D51" w:rsidRPr="009E2F87" w:rsidRDefault="00B54D51" w:rsidP="009E2F87">
      <w:pPr>
        <w:pStyle w:val="EndNoteBibliography"/>
        <w:ind w:left="720" w:hanging="720"/>
        <w:rPr>
          <w:noProof/>
        </w:rPr>
      </w:pPr>
      <w:r w:rsidRPr="009E2F87">
        <w:rPr>
          <w:noProof/>
        </w:rPr>
        <w:t xml:space="preserve">FARINA, N., KING, D., BURGON, C., BERWALD, S., BUSTARD, E., FEENEY, Y., HABIBI, R., COMAS-HERRERA, A., KNAPP, M. &amp; BANERJEE, S. 2020. Disease severity accounts for </w:t>
      </w:r>
      <w:r w:rsidRPr="009E2F87">
        <w:rPr>
          <w:noProof/>
        </w:rPr>
        <w:lastRenderedPageBreak/>
        <w:t xml:space="preserve">minimal variance of quality of life in people with dementia and their carers: analyses of cross-sectional data from the MODEM study. </w:t>
      </w:r>
      <w:r w:rsidRPr="009E2F87">
        <w:rPr>
          <w:i/>
          <w:noProof/>
        </w:rPr>
        <w:t>BMC geriatrics,</w:t>
      </w:r>
      <w:r w:rsidRPr="009E2F87">
        <w:rPr>
          <w:noProof/>
        </w:rPr>
        <w:t xml:space="preserve"> 20</w:t>
      </w:r>
      <w:r w:rsidRPr="009E2F87">
        <w:rPr>
          <w:b/>
          <w:noProof/>
        </w:rPr>
        <w:t>,</w:t>
      </w:r>
      <w:r w:rsidRPr="009E2F87">
        <w:rPr>
          <w:noProof/>
        </w:rPr>
        <w:t xml:space="preserve"> 1-13.</w:t>
      </w:r>
    </w:p>
    <w:p w14:paraId="4D615928" w14:textId="77777777" w:rsidR="00B54D51" w:rsidRPr="009E2F87" w:rsidRDefault="00B54D51" w:rsidP="009E2F87">
      <w:pPr>
        <w:pStyle w:val="EndNoteBibliography"/>
        <w:ind w:left="720" w:hanging="720"/>
        <w:rPr>
          <w:noProof/>
        </w:rPr>
      </w:pPr>
      <w:r w:rsidRPr="009E2F87">
        <w:rPr>
          <w:noProof/>
        </w:rPr>
        <w:t xml:space="preserve">FAYERS, P. M. &amp; MACHIN, D. 2013. </w:t>
      </w:r>
      <w:r w:rsidRPr="009E2F87">
        <w:rPr>
          <w:i/>
          <w:noProof/>
        </w:rPr>
        <w:t>Quality of life: the assessment, analysis and interpretation of patient-reported outcomes</w:t>
      </w:r>
      <w:r w:rsidRPr="009E2F87">
        <w:rPr>
          <w:noProof/>
        </w:rPr>
        <w:t>, John Wiley &amp; Sons.</w:t>
      </w:r>
    </w:p>
    <w:p w14:paraId="2AA6255B" w14:textId="77777777" w:rsidR="00B54D51" w:rsidRPr="009E2F87" w:rsidRDefault="00B54D51" w:rsidP="009E2F87">
      <w:pPr>
        <w:pStyle w:val="EndNoteBibliography"/>
        <w:ind w:left="720" w:hanging="720"/>
        <w:rPr>
          <w:noProof/>
        </w:rPr>
      </w:pPr>
      <w:r w:rsidRPr="009E2F87">
        <w:rPr>
          <w:noProof/>
        </w:rPr>
        <w:t xml:space="preserve">FEINSTEIN, A. R. &amp; CICCHETTI, D. V. 1990. High agreement but low kappa: I. The problems of two paradoxes. </w:t>
      </w:r>
      <w:r w:rsidRPr="009E2F87">
        <w:rPr>
          <w:i/>
          <w:noProof/>
        </w:rPr>
        <w:t>Journal of clinical epidemiology,</w:t>
      </w:r>
      <w:r w:rsidRPr="009E2F87">
        <w:rPr>
          <w:noProof/>
        </w:rPr>
        <w:t xml:space="preserve"> 43</w:t>
      </w:r>
      <w:r w:rsidRPr="009E2F87">
        <w:rPr>
          <w:b/>
          <w:noProof/>
        </w:rPr>
        <w:t>,</w:t>
      </w:r>
      <w:r w:rsidRPr="009E2F87">
        <w:rPr>
          <w:noProof/>
        </w:rPr>
        <w:t xml:space="preserve"> 543-549.</w:t>
      </w:r>
    </w:p>
    <w:p w14:paraId="42F3D506" w14:textId="77777777" w:rsidR="00B54D51" w:rsidRPr="009E2F87" w:rsidRDefault="00B54D51" w:rsidP="009E2F87">
      <w:pPr>
        <w:pStyle w:val="EndNoteBibliography"/>
        <w:ind w:left="720" w:hanging="720"/>
        <w:rPr>
          <w:noProof/>
        </w:rPr>
      </w:pPr>
      <w:r w:rsidRPr="009E2F87">
        <w:rPr>
          <w:noProof/>
        </w:rPr>
        <w:t xml:space="preserve">FISH, J. 2011. Severe Impairment Battery. </w:t>
      </w:r>
      <w:r w:rsidRPr="009E2F87">
        <w:rPr>
          <w:i/>
          <w:noProof/>
        </w:rPr>
        <w:t>In:</w:t>
      </w:r>
      <w:r w:rsidRPr="009E2F87">
        <w:rPr>
          <w:noProof/>
        </w:rPr>
        <w:t xml:space="preserve"> KREUTZER, J. S., DELUCA, J. &amp; CAPLAN, B. (eds.) </w:t>
      </w:r>
      <w:r w:rsidRPr="009E2F87">
        <w:rPr>
          <w:i/>
          <w:noProof/>
        </w:rPr>
        <w:t>Encyclopedia of Clinical Neuropsychology.</w:t>
      </w:r>
      <w:r w:rsidRPr="009E2F87">
        <w:rPr>
          <w:noProof/>
        </w:rPr>
        <w:t xml:space="preserve"> New York, NY: Springer New York.</w:t>
      </w:r>
    </w:p>
    <w:p w14:paraId="1F400D2A" w14:textId="77777777" w:rsidR="00B54D51" w:rsidRPr="009E2F87" w:rsidRDefault="00B54D51" w:rsidP="009E2F87">
      <w:pPr>
        <w:pStyle w:val="EndNoteBibliography"/>
        <w:ind w:left="720" w:hanging="720"/>
        <w:rPr>
          <w:noProof/>
        </w:rPr>
      </w:pPr>
      <w:r w:rsidRPr="009E2F87">
        <w:rPr>
          <w:noProof/>
        </w:rPr>
        <w:t>FITZPATRICK, R., DAVEY, C., BUXTON, M. J. &amp; JONES, D. R. 1998. Evaluating patient-based outcome measures for use in clinical trials.</w:t>
      </w:r>
    </w:p>
    <w:p w14:paraId="7745D0C2" w14:textId="77777777" w:rsidR="00B54D51" w:rsidRPr="009E2F87" w:rsidRDefault="00B54D51" w:rsidP="009E2F87">
      <w:pPr>
        <w:pStyle w:val="EndNoteBibliography"/>
        <w:ind w:left="720" w:hanging="720"/>
        <w:rPr>
          <w:noProof/>
        </w:rPr>
      </w:pPr>
      <w:r w:rsidRPr="009E2F87">
        <w:rPr>
          <w:noProof/>
        </w:rPr>
        <w:t xml:space="preserve">FOLSTEIN, M. F., FOLSTEIN, S. E. &amp; MCHUGH, P. R. 1975. “Mini-mental state”: a practical method for grading the cognitive state of patients for the clinician. </w:t>
      </w:r>
      <w:r w:rsidRPr="009E2F87">
        <w:rPr>
          <w:i/>
          <w:noProof/>
        </w:rPr>
        <w:t>Journal of psychiatric research,</w:t>
      </w:r>
      <w:r w:rsidRPr="009E2F87">
        <w:rPr>
          <w:noProof/>
        </w:rPr>
        <w:t xml:space="preserve"> 12</w:t>
      </w:r>
      <w:r w:rsidRPr="009E2F87">
        <w:rPr>
          <w:b/>
          <w:noProof/>
        </w:rPr>
        <w:t>,</w:t>
      </w:r>
      <w:r w:rsidRPr="009E2F87">
        <w:rPr>
          <w:noProof/>
        </w:rPr>
        <w:t xml:space="preserve"> 189-198.</w:t>
      </w:r>
    </w:p>
    <w:p w14:paraId="4C668DC6" w14:textId="77777777" w:rsidR="00B54D51" w:rsidRPr="009E2F87" w:rsidRDefault="00B54D51" w:rsidP="009E2F87">
      <w:pPr>
        <w:pStyle w:val="EndNoteBibliography"/>
        <w:ind w:left="720" w:hanging="720"/>
        <w:rPr>
          <w:noProof/>
        </w:rPr>
      </w:pPr>
      <w:r w:rsidRPr="009E2F87">
        <w:rPr>
          <w:noProof/>
        </w:rPr>
        <w:t>FRANCISCONI, S., BOSCO, J. &amp; PARMENTER, L. 2020. Interventional or Non-Interventional? Analyzing the Differences Between Clinical Studies Using Medicines in the European Union.</w:t>
      </w:r>
    </w:p>
    <w:p w14:paraId="1559C2F8" w14:textId="77777777" w:rsidR="00B54D51" w:rsidRPr="009E2F87" w:rsidRDefault="00B54D51" w:rsidP="009E2F87">
      <w:pPr>
        <w:pStyle w:val="EndNoteBibliography"/>
        <w:ind w:left="720" w:hanging="720"/>
        <w:rPr>
          <w:noProof/>
        </w:rPr>
      </w:pPr>
      <w:r w:rsidRPr="009E2F87">
        <w:rPr>
          <w:noProof/>
        </w:rPr>
        <w:t xml:space="preserve">GALEA, M. &amp; WOODWARD, M. 2005. Mini-mental state examination (MMSE). </w:t>
      </w:r>
      <w:r w:rsidRPr="009E2F87">
        <w:rPr>
          <w:i/>
          <w:noProof/>
        </w:rPr>
        <w:t>Australian Journal of Physiotherapy,</w:t>
      </w:r>
      <w:r w:rsidRPr="009E2F87">
        <w:rPr>
          <w:noProof/>
        </w:rPr>
        <w:t xml:space="preserve"> 51</w:t>
      </w:r>
      <w:r w:rsidRPr="009E2F87">
        <w:rPr>
          <w:b/>
          <w:noProof/>
        </w:rPr>
        <w:t>,</w:t>
      </w:r>
      <w:r w:rsidRPr="009E2F87">
        <w:rPr>
          <w:noProof/>
        </w:rPr>
        <w:t xml:space="preserve"> 198.</w:t>
      </w:r>
    </w:p>
    <w:p w14:paraId="2F9955FF" w14:textId="77777777" w:rsidR="00B54D51" w:rsidRPr="009E2F87" w:rsidRDefault="00B54D51" w:rsidP="009E2F87">
      <w:pPr>
        <w:pStyle w:val="EndNoteBibliography"/>
        <w:ind w:left="720" w:hanging="720"/>
        <w:rPr>
          <w:noProof/>
        </w:rPr>
      </w:pPr>
      <w:r w:rsidRPr="009E2F87">
        <w:rPr>
          <w:noProof/>
        </w:rPr>
        <w:t xml:space="preserve">GARRE-OLMO, J., VILALTA-FRANCH, J., CALVÓ-PERXAS, L., LÓPEZ-POUSA, S. &amp; GROUP, C.-A. S. 2017. A path analysis of dependence and quality of life in Alzheimer’s disease. </w:t>
      </w:r>
      <w:r w:rsidRPr="009E2F87">
        <w:rPr>
          <w:i/>
          <w:noProof/>
        </w:rPr>
        <w:t>American Journal of Alzheimer's Disease &amp; Other Dementias®,</w:t>
      </w:r>
      <w:r w:rsidRPr="009E2F87">
        <w:rPr>
          <w:noProof/>
        </w:rPr>
        <w:t xml:space="preserve"> 32</w:t>
      </w:r>
      <w:r w:rsidRPr="009E2F87">
        <w:rPr>
          <w:b/>
          <w:noProof/>
        </w:rPr>
        <w:t>,</w:t>
      </w:r>
      <w:r w:rsidRPr="009E2F87">
        <w:rPr>
          <w:noProof/>
        </w:rPr>
        <w:t xml:space="preserve"> 108-115.</w:t>
      </w:r>
    </w:p>
    <w:p w14:paraId="2884F06E" w14:textId="77777777" w:rsidR="00B54D51" w:rsidRPr="009E2F87" w:rsidRDefault="00B54D51" w:rsidP="009E2F87">
      <w:pPr>
        <w:pStyle w:val="EndNoteBibliography"/>
        <w:ind w:left="720" w:hanging="720"/>
        <w:rPr>
          <w:noProof/>
        </w:rPr>
      </w:pPr>
      <w:r w:rsidRPr="009E2F87">
        <w:rPr>
          <w:noProof/>
        </w:rPr>
        <w:t xml:space="preserve">GIAVARINA, D. 2015. Understanding bland altman analysis. </w:t>
      </w:r>
      <w:r w:rsidRPr="009E2F87">
        <w:rPr>
          <w:i/>
          <w:noProof/>
        </w:rPr>
        <w:t>Biochemia medica,</w:t>
      </w:r>
      <w:r w:rsidRPr="009E2F87">
        <w:rPr>
          <w:noProof/>
        </w:rPr>
        <w:t xml:space="preserve"> 25</w:t>
      </w:r>
      <w:r w:rsidRPr="009E2F87">
        <w:rPr>
          <w:b/>
          <w:noProof/>
        </w:rPr>
        <w:t>,</w:t>
      </w:r>
      <w:r w:rsidRPr="009E2F87">
        <w:rPr>
          <w:noProof/>
        </w:rPr>
        <w:t xml:space="preserve"> 141-151.</w:t>
      </w:r>
    </w:p>
    <w:p w14:paraId="0F0868CE" w14:textId="77777777" w:rsidR="00B54D51" w:rsidRPr="009E2F87" w:rsidRDefault="00B54D51" w:rsidP="009E2F87">
      <w:pPr>
        <w:pStyle w:val="EndNoteBibliography"/>
        <w:ind w:left="720" w:hanging="720"/>
        <w:rPr>
          <w:noProof/>
        </w:rPr>
      </w:pPr>
      <w:r w:rsidRPr="009E2F87">
        <w:rPr>
          <w:noProof/>
        </w:rPr>
        <w:t xml:space="preserve">GÓMEZ-GALLEGO, M., GÓMEZ-AMOR, J. &amp; GÓMEZ-GARCÍA, J. 2012. Determinants of quality of life in Alzheimer's disease: perspective of patients, informal caregivers, and professional caregivers. </w:t>
      </w:r>
      <w:r w:rsidRPr="009E2F87">
        <w:rPr>
          <w:i/>
          <w:noProof/>
        </w:rPr>
        <w:t>International psychogeriatrics,</w:t>
      </w:r>
      <w:r w:rsidRPr="009E2F87">
        <w:rPr>
          <w:noProof/>
        </w:rPr>
        <w:t xml:space="preserve"> 24</w:t>
      </w:r>
      <w:r w:rsidRPr="009E2F87">
        <w:rPr>
          <w:b/>
          <w:noProof/>
        </w:rPr>
        <w:t>,</w:t>
      </w:r>
      <w:r w:rsidRPr="009E2F87">
        <w:rPr>
          <w:noProof/>
        </w:rPr>
        <w:t xml:space="preserve"> 1805.</w:t>
      </w:r>
    </w:p>
    <w:p w14:paraId="50A96D31" w14:textId="77777777" w:rsidR="00B54D51" w:rsidRPr="009E2F87" w:rsidRDefault="00B54D51" w:rsidP="009E2F87">
      <w:pPr>
        <w:pStyle w:val="EndNoteBibliography"/>
        <w:ind w:left="720" w:hanging="720"/>
        <w:rPr>
          <w:noProof/>
        </w:rPr>
      </w:pPr>
      <w:r w:rsidRPr="009E2F87">
        <w:rPr>
          <w:rFonts w:hint="eastAsia"/>
          <w:noProof/>
        </w:rPr>
        <w:t xml:space="preserve">GONZÁLEZ‐VÉLEZ, A. E., FORJAZ, M. J., GIRALDEZ‐GARCÍA, C., MARTÍN‐GARCÍA, S., MARTÍNEZ‐MARTÍN, P., LIFE, S. R. G. O. Q. O. &amp; AGEING 2015. Quality of life by proxy and mortality in institutionalized older adults with dementia. </w:t>
      </w:r>
      <w:r w:rsidRPr="009E2F87">
        <w:rPr>
          <w:rFonts w:hint="eastAsia"/>
          <w:i/>
          <w:noProof/>
        </w:rPr>
        <w:t>Geriatrics &amp; gerontology international,</w:t>
      </w:r>
      <w:r w:rsidRPr="009E2F87">
        <w:rPr>
          <w:rFonts w:hint="eastAsia"/>
          <w:noProof/>
        </w:rPr>
        <w:t xml:space="preserve"> 15</w:t>
      </w:r>
      <w:r w:rsidRPr="009E2F87">
        <w:rPr>
          <w:rFonts w:hint="eastAsia"/>
          <w:b/>
          <w:noProof/>
        </w:rPr>
        <w:t>,</w:t>
      </w:r>
      <w:r w:rsidRPr="009E2F87">
        <w:rPr>
          <w:rFonts w:hint="eastAsia"/>
          <w:noProof/>
        </w:rPr>
        <w:t xml:space="preserve"> 38-44.</w:t>
      </w:r>
    </w:p>
    <w:p w14:paraId="0ECEE026" w14:textId="77777777" w:rsidR="00B54D51" w:rsidRPr="009E2F87" w:rsidRDefault="00B54D51" w:rsidP="009E2F87">
      <w:pPr>
        <w:pStyle w:val="EndNoteBibliography"/>
        <w:ind w:left="720" w:hanging="720"/>
        <w:rPr>
          <w:noProof/>
        </w:rPr>
      </w:pPr>
      <w:r w:rsidRPr="009E2F87">
        <w:rPr>
          <w:noProof/>
        </w:rPr>
        <w:t xml:space="preserve">GRAESSEL, E., BERTH, H., LICHTE, T. &amp; GRAU, H. 2014. Subjective caregiver burden: validity of the 10-item short version of the Burden Scale for Family Caregivers BSFC-s. </w:t>
      </w:r>
      <w:r w:rsidRPr="009E2F87">
        <w:rPr>
          <w:i/>
          <w:noProof/>
        </w:rPr>
        <w:t>BMC geriatrics,</w:t>
      </w:r>
      <w:r w:rsidRPr="009E2F87">
        <w:rPr>
          <w:noProof/>
        </w:rPr>
        <w:t xml:space="preserve"> 14</w:t>
      </w:r>
      <w:r w:rsidRPr="009E2F87">
        <w:rPr>
          <w:b/>
          <w:noProof/>
        </w:rPr>
        <w:t>,</w:t>
      </w:r>
      <w:r w:rsidRPr="009E2F87">
        <w:rPr>
          <w:noProof/>
        </w:rPr>
        <w:t xml:space="preserve"> 1-9.</w:t>
      </w:r>
    </w:p>
    <w:p w14:paraId="3179C222" w14:textId="77777777" w:rsidR="00B54D51" w:rsidRPr="009E2F87" w:rsidRDefault="00B54D51" w:rsidP="009E2F87">
      <w:pPr>
        <w:pStyle w:val="EndNoteBibliography"/>
        <w:ind w:left="720" w:hanging="720"/>
        <w:rPr>
          <w:noProof/>
        </w:rPr>
      </w:pPr>
      <w:r w:rsidRPr="009E2F87">
        <w:rPr>
          <w:noProof/>
        </w:rPr>
        <w:t xml:space="preserve">GRAF, C. 2008. The Lawton instrumental activities of daily living scale. </w:t>
      </w:r>
      <w:r w:rsidRPr="009E2F87">
        <w:rPr>
          <w:i/>
          <w:noProof/>
        </w:rPr>
        <w:t>AJN The American Journal of Nursing,</w:t>
      </w:r>
      <w:r w:rsidRPr="009E2F87">
        <w:rPr>
          <w:noProof/>
        </w:rPr>
        <w:t xml:space="preserve"> 108</w:t>
      </w:r>
      <w:r w:rsidRPr="009E2F87">
        <w:rPr>
          <w:b/>
          <w:noProof/>
        </w:rPr>
        <w:t>,</w:t>
      </w:r>
      <w:r w:rsidRPr="009E2F87">
        <w:rPr>
          <w:noProof/>
        </w:rPr>
        <w:t xml:space="preserve"> 52-62.</w:t>
      </w:r>
    </w:p>
    <w:p w14:paraId="27197243" w14:textId="77777777" w:rsidR="00B54D51" w:rsidRPr="009E2F87" w:rsidRDefault="00B54D51" w:rsidP="009E2F87">
      <w:pPr>
        <w:pStyle w:val="EndNoteBibliography"/>
        <w:ind w:left="720" w:hanging="720"/>
        <w:rPr>
          <w:noProof/>
        </w:rPr>
      </w:pPr>
      <w:r w:rsidRPr="009E2F87">
        <w:rPr>
          <w:noProof/>
        </w:rPr>
        <w:t xml:space="preserve">GRÄSKE, J., MEYER, S. &amp; WOLF-OSTERMANN, K. 2014. Quality of life ratings in dementia care–a cross-sectional study to identify factors associated with proxy-ratings. </w:t>
      </w:r>
      <w:r w:rsidRPr="009E2F87">
        <w:rPr>
          <w:i/>
          <w:noProof/>
        </w:rPr>
        <w:t>Health and Quality of Life Outcomes,</w:t>
      </w:r>
      <w:r w:rsidRPr="009E2F87">
        <w:rPr>
          <w:noProof/>
        </w:rPr>
        <w:t xml:space="preserve"> 12</w:t>
      </w:r>
      <w:r w:rsidRPr="009E2F87">
        <w:rPr>
          <w:b/>
          <w:noProof/>
        </w:rPr>
        <w:t>,</w:t>
      </w:r>
      <w:r w:rsidRPr="009E2F87">
        <w:rPr>
          <w:noProof/>
        </w:rPr>
        <w:t xml:space="preserve"> 1-11.</w:t>
      </w:r>
    </w:p>
    <w:p w14:paraId="16413B00" w14:textId="77777777" w:rsidR="00B54D51" w:rsidRPr="009E2F87" w:rsidRDefault="00B54D51" w:rsidP="009E2F87">
      <w:pPr>
        <w:pStyle w:val="EndNoteBibliography"/>
        <w:ind w:left="720" w:hanging="720"/>
        <w:rPr>
          <w:noProof/>
        </w:rPr>
      </w:pPr>
      <w:r w:rsidRPr="009E2F87">
        <w:rPr>
          <w:noProof/>
        </w:rPr>
        <w:t xml:space="preserve">GRAY, A. M., RIVERO-ARIAS, O. &amp; CLARKE, P. M. 2006. Estimating the association between SF-12 responses and EQ-5D utility values by response mapping. </w:t>
      </w:r>
      <w:r w:rsidRPr="009E2F87">
        <w:rPr>
          <w:i/>
          <w:noProof/>
        </w:rPr>
        <w:t>Medical Decision Making,</w:t>
      </w:r>
      <w:r w:rsidRPr="009E2F87">
        <w:rPr>
          <w:noProof/>
        </w:rPr>
        <w:t xml:space="preserve"> 26</w:t>
      </w:r>
      <w:r w:rsidRPr="009E2F87">
        <w:rPr>
          <w:b/>
          <w:noProof/>
        </w:rPr>
        <w:t>,</w:t>
      </w:r>
      <w:r w:rsidRPr="009E2F87">
        <w:rPr>
          <w:noProof/>
        </w:rPr>
        <w:t xml:space="preserve"> 18-29.</w:t>
      </w:r>
    </w:p>
    <w:p w14:paraId="5F812D7D" w14:textId="77777777" w:rsidR="00B54D51" w:rsidRPr="009E2F87" w:rsidRDefault="00B54D51" w:rsidP="009E2F87">
      <w:pPr>
        <w:pStyle w:val="EndNoteBibliography"/>
        <w:ind w:left="720" w:hanging="720"/>
        <w:rPr>
          <w:noProof/>
        </w:rPr>
      </w:pPr>
      <w:r w:rsidRPr="009E2F87">
        <w:rPr>
          <w:noProof/>
        </w:rPr>
        <w:t xml:space="preserve">GREEN, C. &amp; ZHANG, S. 2016. Predicting the progression of Alzheimer's disease dementia: a multidomain health policy model. </w:t>
      </w:r>
      <w:r w:rsidRPr="009E2F87">
        <w:rPr>
          <w:i/>
          <w:noProof/>
        </w:rPr>
        <w:t>Alzheimer's &amp; Dementia,</w:t>
      </w:r>
      <w:r w:rsidRPr="009E2F87">
        <w:rPr>
          <w:noProof/>
        </w:rPr>
        <w:t xml:space="preserve"> 12</w:t>
      </w:r>
      <w:r w:rsidRPr="009E2F87">
        <w:rPr>
          <w:b/>
          <w:noProof/>
        </w:rPr>
        <w:t>,</w:t>
      </w:r>
      <w:r w:rsidRPr="009E2F87">
        <w:rPr>
          <w:noProof/>
        </w:rPr>
        <w:t xml:space="preserve"> 776-785.</w:t>
      </w:r>
    </w:p>
    <w:p w14:paraId="79BB00FA" w14:textId="77777777" w:rsidR="00B54D51" w:rsidRPr="009E2F87" w:rsidRDefault="00B54D51" w:rsidP="009E2F87">
      <w:pPr>
        <w:pStyle w:val="EndNoteBibliography"/>
        <w:ind w:left="720" w:hanging="720"/>
        <w:rPr>
          <w:noProof/>
        </w:rPr>
      </w:pPr>
      <w:r w:rsidRPr="009E2F87">
        <w:rPr>
          <w:noProof/>
        </w:rPr>
        <w:t xml:space="preserve">GREENE, W. H. &amp; HENSHER, D. A. 2010. </w:t>
      </w:r>
      <w:r w:rsidRPr="009E2F87">
        <w:rPr>
          <w:i/>
          <w:noProof/>
        </w:rPr>
        <w:t>Modeling ordered choices: A primer</w:t>
      </w:r>
      <w:r w:rsidRPr="009E2F87">
        <w:rPr>
          <w:noProof/>
        </w:rPr>
        <w:t>, Cambridge University Press.</w:t>
      </w:r>
    </w:p>
    <w:p w14:paraId="16217E98" w14:textId="77777777" w:rsidR="00B54D51" w:rsidRPr="009E2F87" w:rsidRDefault="00B54D51" w:rsidP="009E2F87">
      <w:pPr>
        <w:pStyle w:val="EndNoteBibliography"/>
        <w:ind w:left="720" w:hanging="720"/>
        <w:rPr>
          <w:noProof/>
        </w:rPr>
      </w:pPr>
      <w:r w:rsidRPr="009E2F87">
        <w:rPr>
          <w:noProof/>
        </w:rPr>
        <w:t xml:space="preserve">GRIFFITHS, A. W., SMITH, S. J., MARTIN, A., MEADS, D., KELLEY, R. &amp; SURR, C. A. 2020. Exploring self-report and proxy-report quality-of-life measures for people living with dementia in care homes. </w:t>
      </w:r>
      <w:r w:rsidRPr="009E2F87">
        <w:rPr>
          <w:i/>
          <w:noProof/>
        </w:rPr>
        <w:t>Quality of Life Research,</w:t>
      </w:r>
      <w:r w:rsidRPr="009E2F87">
        <w:rPr>
          <w:noProof/>
        </w:rPr>
        <w:t xml:space="preserve"> 29</w:t>
      </w:r>
      <w:r w:rsidRPr="009E2F87">
        <w:rPr>
          <w:b/>
          <w:noProof/>
        </w:rPr>
        <w:t>,</w:t>
      </w:r>
      <w:r w:rsidRPr="009E2F87">
        <w:rPr>
          <w:noProof/>
        </w:rPr>
        <w:t xml:space="preserve"> 463-472.</w:t>
      </w:r>
    </w:p>
    <w:p w14:paraId="1E0245CB" w14:textId="77777777" w:rsidR="00B54D51" w:rsidRPr="009E2F87" w:rsidRDefault="00B54D51" w:rsidP="009E2F87">
      <w:pPr>
        <w:pStyle w:val="EndNoteBibliography"/>
        <w:ind w:left="720" w:hanging="720"/>
        <w:rPr>
          <w:noProof/>
        </w:rPr>
      </w:pPr>
      <w:r w:rsidRPr="009E2F87">
        <w:rPr>
          <w:noProof/>
        </w:rPr>
        <w:lastRenderedPageBreak/>
        <w:t xml:space="preserve">HAAKSMA, M. L., LEOUTSAKOS, J.-M. S., BREMER, J. A., AALTEN, P., RAMAKERS, I. H., VERHEY, F. R., RIKKERT, M. G. O. &amp; MELIS, R. J. 2018. The clinical course and interrelations of dementia related symptoms. </w:t>
      </w:r>
      <w:r w:rsidRPr="009E2F87">
        <w:rPr>
          <w:i/>
          <w:noProof/>
        </w:rPr>
        <w:t>International psychogeriatrics,</w:t>
      </w:r>
      <w:r w:rsidRPr="009E2F87">
        <w:rPr>
          <w:noProof/>
        </w:rPr>
        <w:t xml:space="preserve"> 30</w:t>
      </w:r>
      <w:r w:rsidRPr="009E2F87">
        <w:rPr>
          <w:b/>
          <w:noProof/>
        </w:rPr>
        <w:t>,</w:t>
      </w:r>
      <w:r w:rsidRPr="009E2F87">
        <w:rPr>
          <w:noProof/>
        </w:rPr>
        <w:t xml:space="preserve"> 859-866.</w:t>
      </w:r>
    </w:p>
    <w:p w14:paraId="583C358A" w14:textId="77777777" w:rsidR="00B54D51" w:rsidRPr="009E2F87" w:rsidRDefault="00B54D51" w:rsidP="009E2F87">
      <w:pPr>
        <w:pStyle w:val="EndNoteBibliography"/>
        <w:ind w:left="720" w:hanging="720"/>
        <w:rPr>
          <w:noProof/>
        </w:rPr>
      </w:pPr>
      <w:r w:rsidRPr="009E2F87">
        <w:rPr>
          <w:noProof/>
        </w:rPr>
        <w:t xml:space="preserve">HANKINS, M. 2008. The reliability of the twelve-item general health questionnaire (GHQ-12) under realistic assumptions. </w:t>
      </w:r>
      <w:r w:rsidRPr="009E2F87">
        <w:rPr>
          <w:i/>
          <w:noProof/>
        </w:rPr>
        <w:t>BMC public health,</w:t>
      </w:r>
      <w:r w:rsidRPr="009E2F87">
        <w:rPr>
          <w:noProof/>
        </w:rPr>
        <w:t xml:space="preserve"> 8</w:t>
      </w:r>
      <w:r w:rsidRPr="009E2F87">
        <w:rPr>
          <w:b/>
          <w:noProof/>
        </w:rPr>
        <w:t>,</w:t>
      </w:r>
      <w:r w:rsidRPr="009E2F87">
        <w:rPr>
          <w:noProof/>
        </w:rPr>
        <w:t xml:space="preserve"> 1-7.</w:t>
      </w:r>
    </w:p>
    <w:p w14:paraId="18DEE333" w14:textId="77777777" w:rsidR="00B54D51" w:rsidRPr="009E2F87" w:rsidRDefault="00B54D51" w:rsidP="009E2F87">
      <w:pPr>
        <w:pStyle w:val="EndNoteBibliography"/>
        <w:ind w:left="720" w:hanging="720"/>
        <w:rPr>
          <w:noProof/>
        </w:rPr>
      </w:pPr>
      <w:r w:rsidRPr="009E2F87">
        <w:rPr>
          <w:noProof/>
        </w:rPr>
        <w:t xml:space="preserve">HARDING, A. J., MORBEY, H., AHMED, F., OPDEBEECK, C., ELVISH, R., LEROI, I., WILLIAMSON, P. R., KEADY, J. &amp; REILLY, S. T. 2021. A core outcome set for nonpharmacological community-based interventions for people living with dementia at home: a systematic review of outcome measurement instruments. </w:t>
      </w:r>
      <w:r w:rsidRPr="009E2F87">
        <w:rPr>
          <w:i/>
          <w:noProof/>
        </w:rPr>
        <w:t>The Gerontologist,</w:t>
      </w:r>
      <w:r w:rsidRPr="009E2F87">
        <w:rPr>
          <w:noProof/>
        </w:rPr>
        <w:t xml:space="preserve"> 61</w:t>
      </w:r>
      <w:r w:rsidRPr="009E2F87">
        <w:rPr>
          <w:b/>
          <w:noProof/>
        </w:rPr>
        <w:t>,</w:t>
      </w:r>
      <w:r w:rsidRPr="009E2F87">
        <w:rPr>
          <w:noProof/>
        </w:rPr>
        <w:t xml:space="preserve"> e435-e448.</w:t>
      </w:r>
    </w:p>
    <w:p w14:paraId="39BEDCDE" w14:textId="77777777" w:rsidR="00B54D51" w:rsidRPr="009E2F87" w:rsidRDefault="00B54D51" w:rsidP="009E2F87">
      <w:pPr>
        <w:pStyle w:val="EndNoteBibliography"/>
        <w:ind w:left="720" w:hanging="720"/>
        <w:rPr>
          <w:noProof/>
        </w:rPr>
      </w:pPr>
      <w:r w:rsidRPr="009E2F87">
        <w:rPr>
          <w:noProof/>
        </w:rPr>
        <w:t xml:space="preserve">HARDING, A. J., MORBEY, H., AHMED, F., OPDEBEECK, C., LASRADO, R., WILLIAMSON, P. R., SWARBRICK, C., LEROI, I., CHALLIS, D. &amp; HELLSTROM, I. 2019. What is important to people living with dementia?: the ‘long-list’of outcome items in the development of a core outcome set for use in the evaluation of non-pharmacological community-based health and social care interventions. </w:t>
      </w:r>
      <w:r w:rsidRPr="009E2F87">
        <w:rPr>
          <w:i/>
          <w:noProof/>
        </w:rPr>
        <w:t>BMC geriatrics,</w:t>
      </w:r>
      <w:r w:rsidRPr="009E2F87">
        <w:rPr>
          <w:noProof/>
        </w:rPr>
        <w:t xml:space="preserve"> 19</w:t>
      </w:r>
      <w:r w:rsidRPr="009E2F87">
        <w:rPr>
          <w:b/>
          <w:noProof/>
        </w:rPr>
        <w:t>,</w:t>
      </w:r>
      <w:r w:rsidRPr="009E2F87">
        <w:rPr>
          <w:noProof/>
        </w:rPr>
        <w:t xml:space="preserve"> 1-12.</w:t>
      </w:r>
    </w:p>
    <w:p w14:paraId="6A2BF31C" w14:textId="77777777" w:rsidR="00B54D51" w:rsidRPr="009E2F87" w:rsidRDefault="00B54D51" w:rsidP="009E2F87">
      <w:pPr>
        <w:pStyle w:val="EndNoteBibliography"/>
        <w:ind w:left="720" w:hanging="720"/>
        <w:rPr>
          <w:noProof/>
        </w:rPr>
      </w:pPr>
      <w:r w:rsidRPr="009E2F87">
        <w:rPr>
          <w:noProof/>
        </w:rPr>
        <w:t xml:space="preserve">HARRISON, J. K., NOEL-STORR, A. H., DEMEYERE, N., REYNISH, E. L. &amp; QUINN, T. J. 2016. Outcomes measures in a decade of dementia and mild cognitive impairment trials. </w:t>
      </w:r>
      <w:r w:rsidRPr="009E2F87">
        <w:rPr>
          <w:i/>
          <w:noProof/>
        </w:rPr>
        <w:t>Alzheimer's research &amp; therapy,</w:t>
      </w:r>
      <w:r w:rsidRPr="009E2F87">
        <w:rPr>
          <w:noProof/>
        </w:rPr>
        <w:t xml:space="preserve"> 8</w:t>
      </w:r>
      <w:r w:rsidRPr="009E2F87">
        <w:rPr>
          <w:b/>
          <w:noProof/>
        </w:rPr>
        <w:t>,</w:t>
      </w:r>
      <w:r w:rsidRPr="009E2F87">
        <w:rPr>
          <w:noProof/>
        </w:rPr>
        <w:t xml:space="preserve"> 1-10.</w:t>
      </w:r>
    </w:p>
    <w:p w14:paraId="331A576F" w14:textId="77777777" w:rsidR="00B54D51" w:rsidRPr="009E2F87" w:rsidRDefault="00B54D51" w:rsidP="009E2F87">
      <w:pPr>
        <w:pStyle w:val="EndNoteBibliography"/>
        <w:ind w:left="720" w:hanging="720"/>
        <w:rPr>
          <w:noProof/>
        </w:rPr>
      </w:pPr>
      <w:r w:rsidRPr="009E2F87">
        <w:rPr>
          <w:noProof/>
        </w:rPr>
        <w:t xml:space="preserve">HARRISON, S. L., O’DONNELL, L. K., BRADLEY, C. E., MILTE, R., DYER, S. M., GNANAMANICKAM, E. S., LIU, E., HILMER, S. N. &amp; CROTTY, M. 2018. Associations between the drug burden index, potentially inappropriate medications and quality of life in residential aged care. </w:t>
      </w:r>
      <w:r w:rsidRPr="009E2F87">
        <w:rPr>
          <w:i/>
          <w:noProof/>
        </w:rPr>
        <w:t>Drugs &amp; aging,</w:t>
      </w:r>
      <w:r w:rsidRPr="009E2F87">
        <w:rPr>
          <w:noProof/>
        </w:rPr>
        <w:t xml:space="preserve"> 35</w:t>
      </w:r>
      <w:r w:rsidRPr="009E2F87">
        <w:rPr>
          <w:b/>
          <w:noProof/>
        </w:rPr>
        <w:t>,</w:t>
      </w:r>
      <w:r w:rsidRPr="009E2F87">
        <w:rPr>
          <w:noProof/>
        </w:rPr>
        <w:t xml:space="preserve"> 83-91.</w:t>
      </w:r>
    </w:p>
    <w:p w14:paraId="14990422" w14:textId="77777777" w:rsidR="00B54D51" w:rsidRPr="009E2F87" w:rsidRDefault="00B54D51" w:rsidP="009E2F87">
      <w:pPr>
        <w:pStyle w:val="EndNoteBibliography"/>
        <w:ind w:left="720" w:hanging="720"/>
        <w:rPr>
          <w:noProof/>
        </w:rPr>
      </w:pPr>
      <w:r w:rsidRPr="009E2F87">
        <w:rPr>
          <w:noProof/>
        </w:rPr>
        <w:t xml:space="preserve">HAYWOOD, K. L., GARRATT, A. M. &amp; FITZPATRICK, R. 2005. Quality of life in older people: a structured review of generic self-assessed health instruments. </w:t>
      </w:r>
      <w:r w:rsidRPr="009E2F87">
        <w:rPr>
          <w:i/>
          <w:noProof/>
        </w:rPr>
        <w:t>Quality of life Research,</w:t>
      </w:r>
      <w:r w:rsidRPr="009E2F87">
        <w:rPr>
          <w:noProof/>
        </w:rPr>
        <w:t xml:space="preserve"> 14</w:t>
      </w:r>
      <w:r w:rsidRPr="009E2F87">
        <w:rPr>
          <w:b/>
          <w:noProof/>
        </w:rPr>
        <w:t>,</w:t>
      </w:r>
      <w:r w:rsidRPr="009E2F87">
        <w:rPr>
          <w:noProof/>
        </w:rPr>
        <w:t xml:space="preserve"> 1651-1668.</w:t>
      </w:r>
    </w:p>
    <w:p w14:paraId="4D4058C7" w14:textId="77777777" w:rsidR="00B54D51" w:rsidRPr="009E2F87" w:rsidRDefault="00B54D51" w:rsidP="009E2F87">
      <w:pPr>
        <w:pStyle w:val="EndNoteBibliography"/>
        <w:ind w:left="720" w:hanging="720"/>
        <w:rPr>
          <w:noProof/>
        </w:rPr>
      </w:pPr>
      <w:r w:rsidRPr="009E2F87">
        <w:rPr>
          <w:noProof/>
        </w:rPr>
        <w:t xml:space="preserve">HEEREMA, E. 2021. Use and Scoring of the ADAS-Cog Test. </w:t>
      </w:r>
      <w:r w:rsidRPr="009E2F87">
        <w:rPr>
          <w:i/>
          <w:noProof/>
        </w:rPr>
        <w:t xml:space="preserve">Very Well Health </w:t>
      </w:r>
      <w:r w:rsidRPr="009E2F87">
        <w:rPr>
          <w:noProof/>
        </w:rPr>
        <w:t>2021.</w:t>
      </w:r>
    </w:p>
    <w:p w14:paraId="389AAE9F" w14:textId="77777777" w:rsidR="00B54D51" w:rsidRPr="009E2F87" w:rsidRDefault="00B54D51" w:rsidP="009E2F87">
      <w:pPr>
        <w:pStyle w:val="EndNoteBibliography"/>
        <w:ind w:left="720" w:hanging="720"/>
        <w:rPr>
          <w:noProof/>
        </w:rPr>
      </w:pPr>
      <w:r w:rsidRPr="009E2F87">
        <w:rPr>
          <w:noProof/>
        </w:rPr>
        <w:t xml:space="preserve">HERDMAN, M., GUDEX, C., LLOYD, A., JANSSEN, M., KIND, P., PARKIN, D., BONSEL, G. &amp; BADIA, X. 2011. Development and preliminary testing of the new five-level version of EQ-5D (EQ-5D-5L). </w:t>
      </w:r>
      <w:r w:rsidRPr="009E2F87">
        <w:rPr>
          <w:i/>
          <w:noProof/>
        </w:rPr>
        <w:t>Quality of life research,</w:t>
      </w:r>
      <w:r w:rsidRPr="009E2F87">
        <w:rPr>
          <w:noProof/>
        </w:rPr>
        <w:t xml:space="preserve"> 20</w:t>
      </w:r>
      <w:r w:rsidRPr="009E2F87">
        <w:rPr>
          <w:b/>
          <w:noProof/>
        </w:rPr>
        <w:t>,</w:t>
      </w:r>
      <w:r w:rsidRPr="009E2F87">
        <w:rPr>
          <w:noProof/>
        </w:rPr>
        <w:t xml:space="preserve"> 1727-1736.</w:t>
      </w:r>
    </w:p>
    <w:p w14:paraId="2129EBEC" w14:textId="77777777" w:rsidR="00B54D51" w:rsidRPr="009E2F87" w:rsidRDefault="00B54D51" w:rsidP="009E2F87">
      <w:pPr>
        <w:pStyle w:val="EndNoteBibliography"/>
        <w:ind w:left="720" w:hanging="720"/>
        <w:rPr>
          <w:noProof/>
        </w:rPr>
      </w:pPr>
      <w:r w:rsidRPr="009E2F87">
        <w:rPr>
          <w:noProof/>
        </w:rPr>
        <w:t xml:space="preserve">HERNÁNDEZ ALAVA, M., PUDNEY, S. &amp; WAILOO, A. 2023. Estimating the relationship between EQ-5D-5L and EQ-5D-3L: results from a UK population study. </w:t>
      </w:r>
      <w:r w:rsidRPr="009E2F87">
        <w:rPr>
          <w:i/>
          <w:noProof/>
        </w:rPr>
        <w:t>PharmacoEconomics,</w:t>
      </w:r>
      <w:r w:rsidRPr="009E2F87">
        <w:rPr>
          <w:noProof/>
        </w:rPr>
        <w:t xml:space="preserve"> 41</w:t>
      </w:r>
      <w:r w:rsidRPr="009E2F87">
        <w:rPr>
          <w:b/>
          <w:noProof/>
        </w:rPr>
        <w:t>,</w:t>
      </w:r>
      <w:r w:rsidRPr="009E2F87">
        <w:rPr>
          <w:noProof/>
        </w:rPr>
        <w:t xml:space="preserve"> 199-207.</w:t>
      </w:r>
    </w:p>
    <w:p w14:paraId="604C6E43" w14:textId="77777777" w:rsidR="00B54D51" w:rsidRPr="009E2F87" w:rsidRDefault="00B54D51" w:rsidP="009E2F87">
      <w:pPr>
        <w:pStyle w:val="EndNoteBibliography"/>
        <w:ind w:left="720" w:hanging="720"/>
        <w:rPr>
          <w:noProof/>
        </w:rPr>
      </w:pPr>
      <w:r w:rsidRPr="009E2F87">
        <w:rPr>
          <w:noProof/>
        </w:rPr>
        <w:t xml:space="preserve">HERNÁNDEZ-ALAVA, M., PUDNEY, S. &amp; WAILOO, A. 2018. Quality review of a proposed EQ-5D-5L value set for England. </w:t>
      </w:r>
      <w:r w:rsidRPr="009E2F87">
        <w:rPr>
          <w:i/>
          <w:noProof/>
        </w:rPr>
        <w:t>EEPRU report [online]</w:t>
      </w:r>
      <w:r w:rsidRPr="009E2F87">
        <w:rPr>
          <w:noProof/>
        </w:rPr>
        <w:t>.</w:t>
      </w:r>
    </w:p>
    <w:p w14:paraId="6F2EDCA6" w14:textId="77777777" w:rsidR="00B54D51" w:rsidRPr="009E2F87" w:rsidRDefault="00B54D51" w:rsidP="009E2F87">
      <w:pPr>
        <w:pStyle w:val="EndNoteBibliography"/>
        <w:ind w:left="720" w:hanging="720"/>
        <w:rPr>
          <w:noProof/>
        </w:rPr>
      </w:pPr>
      <w:r w:rsidRPr="009E2F87">
        <w:rPr>
          <w:noProof/>
        </w:rPr>
        <w:t xml:space="preserve">HESSMAN, P., SEEBERG, G., REESE, J. P., DAMS, J., BAUM, E., MÜLLER, M. J., DODEL, R. &amp; BALZER-GELDSETZER, M. 2016. Health-related quality of life in patients with Alzheimer’s disease in different German health care settings. </w:t>
      </w:r>
      <w:r w:rsidRPr="009E2F87">
        <w:rPr>
          <w:i/>
          <w:noProof/>
        </w:rPr>
        <w:t>Journal of Alzheimer's Disease,</w:t>
      </w:r>
      <w:r w:rsidRPr="009E2F87">
        <w:rPr>
          <w:noProof/>
        </w:rPr>
        <w:t xml:space="preserve"> 51</w:t>
      </w:r>
      <w:r w:rsidRPr="009E2F87">
        <w:rPr>
          <w:b/>
          <w:noProof/>
        </w:rPr>
        <w:t>,</w:t>
      </w:r>
      <w:r w:rsidRPr="009E2F87">
        <w:rPr>
          <w:noProof/>
        </w:rPr>
        <w:t xml:space="preserve"> 545-561.</w:t>
      </w:r>
    </w:p>
    <w:p w14:paraId="73D3C41D" w14:textId="77777777" w:rsidR="00B54D51" w:rsidRPr="009E2F87" w:rsidRDefault="00B54D51" w:rsidP="009E2F87">
      <w:pPr>
        <w:pStyle w:val="EndNoteBibliography"/>
        <w:ind w:left="720" w:hanging="720"/>
        <w:rPr>
          <w:noProof/>
        </w:rPr>
      </w:pPr>
      <w:r w:rsidRPr="009E2F87">
        <w:rPr>
          <w:noProof/>
        </w:rPr>
        <w:t xml:space="preserve">HIGGINSON, I. J., GAO, W., JACKSON, D., MURRAY, J. &amp; HARDING, R. 2010. Short-form Zarit Caregiver Burden Interviews were valid in advanced conditions. </w:t>
      </w:r>
      <w:r w:rsidRPr="009E2F87">
        <w:rPr>
          <w:i/>
          <w:noProof/>
        </w:rPr>
        <w:t>Journal of clinical epidemiology,</w:t>
      </w:r>
      <w:r w:rsidRPr="009E2F87">
        <w:rPr>
          <w:noProof/>
        </w:rPr>
        <w:t xml:space="preserve"> 63</w:t>
      </w:r>
      <w:r w:rsidRPr="009E2F87">
        <w:rPr>
          <w:b/>
          <w:noProof/>
        </w:rPr>
        <w:t>,</w:t>
      </w:r>
      <w:r w:rsidRPr="009E2F87">
        <w:rPr>
          <w:noProof/>
        </w:rPr>
        <w:t xml:space="preserve"> 535-542.</w:t>
      </w:r>
    </w:p>
    <w:p w14:paraId="1E177776" w14:textId="77777777" w:rsidR="00B54D51" w:rsidRPr="009E2F87" w:rsidRDefault="00B54D51" w:rsidP="009E2F87">
      <w:pPr>
        <w:pStyle w:val="EndNoteBibliography"/>
        <w:ind w:left="720" w:hanging="720"/>
        <w:rPr>
          <w:noProof/>
        </w:rPr>
      </w:pPr>
      <w:r w:rsidRPr="009E2F87">
        <w:rPr>
          <w:noProof/>
        </w:rPr>
        <w:t xml:space="preserve">HODDINOTT, P., POLLOCK, A., O'CATHAIN, A., BOYER, I., TAYLOR, J., MACDONALD, C., OLIVER, S. &amp; DONOVAN, J. L. 2018. How to incorporate patient and public perspectives into the design and conduct of research. </w:t>
      </w:r>
      <w:r w:rsidRPr="009E2F87">
        <w:rPr>
          <w:i/>
          <w:noProof/>
        </w:rPr>
        <w:t>F1000Research,</w:t>
      </w:r>
      <w:r w:rsidRPr="009E2F87">
        <w:rPr>
          <w:noProof/>
        </w:rPr>
        <w:t xml:space="preserve"> 7.</w:t>
      </w:r>
    </w:p>
    <w:p w14:paraId="054EA524" w14:textId="77777777" w:rsidR="00B54D51" w:rsidRPr="009E2F87" w:rsidRDefault="00B54D51" w:rsidP="009E2F87">
      <w:pPr>
        <w:pStyle w:val="EndNoteBibliography"/>
        <w:ind w:left="720" w:hanging="720"/>
        <w:rPr>
          <w:noProof/>
        </w:rPr>
      </w:pPr>
      <w:r w:rsidRPr="009E2F87">
        <w:rPr>
          <w:noProof/>
        </w:rPr>
        <w:t xml:space="preserve">HOE, J., </w:t>
      </w:r>
      <w:r w:rsidRPr="009E2F87">
        <w:rPr>
          <w:rFonts w:hint="eastAsia"/>
          <w:noProof/>
        </w:rPr>
        <w:t xml:space="preserve">KATONA, C., ORRELL, M. &amp; LIVINGSTON, G. 2007. Quality of life in dementia: care recipient and caregiver perceptions of quality of life in dementia: the LASER‐AD </w:t>
      </w:r>
      <w:r w:rsidRPr="009E2F87">
        <w:rPr>
          <w:rFonts w:hint="eastAsia"/>
          <w:noProof/>
        </w:rPr>
        <w:lastRenderedPageBreak/>
        <w:t xml:space="preserve">study. </w:t>
      </w:r>
      <w:r w:rsidRPr="009E2F87">
        <w:rPr>
          <w:rFonts w:hint="eastAsia"/>
          <w:i/>
          <w:noProof/>
        </w:rPr>
        <w:t>International Journal of Geriatric Psychiatry: A journal of the psychiatry of late life</w:t>
      </w:r>
      <w:r w:rsidRPr="009E2F87">
        <w:rPr>
          <w:i/>
          <w:noProof/>
        </w:rPr>
        <w:t xml:space="preserve"> and allied sciences,</w:t>
      </w:r>
      <w:r w:rsidRPr="009E2F87">
        <w:rPr>
          <w:noProof/>
        </w:rPr>
        <w:t xml:space="preserve"> 22</w:t>
      </w:r>
      <w:r w:rsidRPr="009E2F87">
        <w:rPr>
          <w:b/>
          <w:noProof/>
        </w:rPr>
        <w:t>,</w:t>
      </w:r>
      <w:r w:rsidRPr="009E2F87">
        <w:rPr>
          <w:noProof/>
        </w:rPr>
        <w:t xml:space="preserve"> 1031-1036.</w:t>
      </w:r>
    </w:p>
    <w:p w14:paraId="3521FD31" w14:textId="77777777" w:rsidR="00B54D51" w:rsidRPr="009E2F87" w:rsidRDefault="00B54D51" w:rsidP="009E2F87">
      <w:pPr>
        <w:pStyle w:val="EndNoteBibliography"/>
        <w:ind w:left="720" w:hanging="720"/>
        <w:rPr>
          <w:noProof/>
        </w:rPr>
      </w:pPr>
      <w:r w:rsidRPr="009E2F87">
        <w:rPr>
          <w:noProof/>
        </w:rPr>
        <w:t xml:space="preserve">HOUNSOME, N., ORRELL, M. &amp; EDWARDS, R. T. 2011. EQ-5D as a quality of life measure in people with dementia and their carers: evidence and key issues. </w:t>
      </w:r>
      <w:r w:rsidRPr="009E2F87">
        <w:rPr>
          <w:i/>
          <w:noProof/>
        </w:rPr>
        <w:t>Value in health,</w:t>
      </w:r>
      <w:r w:rsidRPr="009E2F87">
        <w:rPr>
          <w:noProof/>
        </w:rPr>
        <w:t xml:space="preserve"> 14</w:t>
      </w:r>
      <w:r w:rsidRPr="009E2F87">
        <w:rPr>
          <w:b/>
          <w:noProof/>
        </w:rPr>
        <w:t>,</w:t>
      </w:r>
      <w:r w:rsidRPr="009E2F87">
        <w:rPr>
          <w:noProof/>
        </w:rPr>
        <w:t xml:space="preserve"> 390-399.</w:t>
      </w:r>
    </w:p>
    <w:p w14:paraId="73FB1398" w14:textId="77777777" w:rsidR="00B54D51" w:rsidRPr="009E2F87" w:rsidRDefault="00B54D51" w:rsidP="009E2F87">
      <w:pPr>
        <w:pStyle w:val="EndNoteBibliography"/>
        <w:ind w:left="720" w:hanging="720"/>
        <w:rPr>
          <w:noProof/>
        </w:rPr>
      </w:pPr>
      <w:r w:rsidRPr="009E2F87">
        <w:rPr>
          <w:noProof/>
        </w:rPr>
        <w:t xml:space="preserve">HUGHES, L. J. 2018. </w:t>
      </w:r>
      <w:r w:rsidRPr="009E2F87">
        <w:rPr>
          <w:i/>
          <w:noProof/>
        </w:rPr>
        <w:t>An evaluation of the feasibility of the routine measurement of quality of life of people with dementia in care homes using DEMQOL-Proxy.</w:t>
      </w:r>
      <w:r w:rsidRPr="009E2F87">
        <w:rPr>
          <w:noProof/>
        </w:rPr>
        <w:t xml:space="preserve"> University of Brighton.</w:t>
      </w:r>
    </w:p>
    <w:p w14:paraId="022BA369" w14:textId="77777777" w:rsidR="00B54D51" w:rsidRPr="009E2F87" w:rsidRDefault="00B54D51" w:rsidP="009E2F87">
      <w:pPr>
        <w:pStyle w:val="EndNoteBibliography"/>
        <w:ind w:left="720" w:hanging="720"/>
        <w:rPr>
          <w:noProof/>
        </w:rPr>
      </w:pPr>
      <w:r w:rsidRPr="009E2F87">
        <w:rPr>
          <w:noProof/>
        </w:rPr>
        <w:t xml:space="preserve">HUSSAIN, H., KEETHARUTH, A., ROWEN, D. &amp; WAILOO, A. 2022. Convergent validity of EQ-5D with core outcomes in dementia: a systematic review. </w:t>
      </w:r>
      <w:r w:rsidRPr="009E2F87">
        <w:rPr>
          <w:i/>
          <w:noProof/>
        </w:rPr>
        <w:t>Health and Quality of Life Outcomes,</w:t>
      </w:r>
      <w:r w:rsidRPr="009E2F87">
        <w:rPr>
          <w:noProof/>
        </w:rPr>
        <w:t xml:space="preserve"> 20</w:t>
      </w:r>
      <w:r w:rsidRPr="009E2F87">
        <w:rPr>
          <w:b/>
          <w:noProof/>
        </w:rPr>
        <w:t>,</w:t>
      </w:r>
      <w:r w:rsidRPr="009E2F87">
        <w:rPr>
          <w:noProof/>
        </w:rPr>
        <w:t xml:space="preserve"> 1-18.</w:t>
      </w:r>
    </w:p>
    <w:p w14:paraId="5F28A9EA" w14:textId="77777777" w:rsidR="00B54D51" w:rsidRPr="009E2F87" w:rsidRDefault="00B54D51" w:rsidP="009E2F87">
      <w:pPr>
        <w:pStyle w:val="EndNoteBibliography"/>
        <w:ind w:left="720" w:hanging="720"/>
        <w:rPr>
          <w:noProof/>
        </w:rPr>
      </w:pPr>
      <w:r w:rsidRPr="009E2F87">
        <w:rPr>
          <w:noProof/>
        </w:rPr>
        <w:t xml:space="preserve">ICHOM. 2016. </w:t>
      </w:r>
      <w:r w:rsidRPr="009E2F87">
        <w:rPr>
          <w:i/>
          <w:noProof/>
        </w:rPr>
        <w:t xml:space="preserve">Dementia </w:t>
      </w:r>
      <w:r w:rsidRPr="009E2F87">
        <w:rPr>
          <w:noProof/>
        </w:rPr>
        <w:t xml:space="preserve">[Online]. Available: </w:t>
      </w:r>
      <w:r w:rsidRPr="00B54D51">
        <w:rPr>
          <w:noProof/>
        </w:rPr>
        <w:t>http://www.ichom.org/medical-conditions/dementia/</w:t>
      </w:r>
      <w:r w:rsidRPr="009E2F87">
        <w:rPr>
          <w:noProof/>
        </w:rPr>
        <w:t>. [Accessed 2021].</w:t>
      </w:r>
    </w:p>
    <w:p w14:paraId="360B6DBF" w14:textId="77777777" w:rsidR="00B54D51" w:rsidRPr="009E2F87" w:rsidRDefault="00B54D51" w:rsidP="009E2F87">
      <w:pPr>
        <w:pStyle w:val="EndNoteBibliography"/>
        <w:ind w:left="720" w:hanging="720"/>
        <w:rPr>
          <w:noProof/>
        </w:rPr>
      </w:pPr>
      <w:r w:rsidRPr="009E2F87">
        <w:rPr>
          <w:noProof/>
        </w:rPr>
        <w:t xml:space="preserve">JANSSEN, M. F., BONSEL, G. J. &amp; LUO, N. 2018. Is EQ-5D-5L better than EQ-5D-3L? A head-to-head comparison of descriptive systems and value sets from seven countries. </w:t>
      </w:r>
      <w:r w:rsidRPr="009E2F87">
        <w:rPr>
          <w:i/>
          <w:noProof/>
        </w:rPr>
        <w:t>Pharmacoeconomics,</w:t>
      </w:r>
      <w:r w:rsidRPr="009E2F87">
        <w:rPr>
          <w:noProof/>
        </w:rPr>
        <w:t xml:space="preserve"> 36</w:t>
      </w:r>
      <w:r w:rsidRPr="009E2F87">
        <w:rPr>
          <w:b/>
          <w:noProof/>
        </w:rPr>
        <w:t>,</w:t>
      </w:r>
      <w:r w:rsidRPr="009E2F87">
        <w:rPr>
          <w:noProof/>
        </w:rPr>
        <w:t xml:space="preserve"> 675-697.</w:t>
      </w:r>
    </w:p>
    <w:p w14:paraId="6F7E0CE7" w14:textId="77777777" w:rsidR="00B54D51" w:rsidRPr="009E2F87" w:rsidRDefault="00B54D51" w:rsidP="009E2F87">
      <w:pPr>
        <w:pStyle w:val="EndNoteBibliography"/>
        <w:ind w:left="720" w:hanging="720"/>
        <w:rPr>
          <w:noProof/>
        </w:rPr>
      </w:pPr>
      <w:r w:rsidRPr="009E2F87">
        <w:rPr>
          <w:noProof/>
        </w:rPr>
        <w:t xml:space="preserve">JING, W., WILLIS, R. &amp; FENG, Z. 2016. Factors influencing quality of life of elderly people with dementia and care implications: A systematic review. </w:t>
      </w:r>
      <w:r w:rsidRPr="009E2F87">
        <w:rPr>
          <w:i/>
          <w:noProof/>
        </w:rPr>
        <w:t>Archives of Gerontology and Geriatrics,</w:t>
      </w:r>
      <w:r w:rsidRPr="009E2F87">
        <w:rPr>
          <w:noProof/>
        </w:rPr>
        <w:t xml:space="preserve"> 66</w:t>
      </w:r>
      <w:r w:rsidRPr="009E2F87">
        <w:rPr>
          <w:b/>
          <w:noProof/>
        </w:rPr>
        <w:t>,</w:t>
      </w:r>
      <w:r w:rsidRPr="009E2F87">
        <w:rPr>
          <w:noProof/>
        </w:rPr>
        <w:t xml:space="preserve"> 23-41.</w:t>
      </w:r>
    </w:p>
    <w:p w14:paraId="51C1F5EC" w14:textId="77777777" w:rsidR="00B54D51" w:rsidRPr="009E2F87" w:rsidRDefault="00B54D51" w:rsidP="009E2F87">
      <w:pPr>
        <w:pStyle w:val="EndNoteBibliography"/>
        <w:ind w:left="720" w:hanging="720"/>
        <w:rPr>
          <w:noProof/>
        </w:rPr>
      </w:pPr>
      <w:r w:rsidRPr="009E2F87">
        <w:rPr>
          <w:noProof/>
        </w:rPr>
        <w:t xml:space="preserve">JONES, R. W. 2011. Drug treatment for people with dementia. </w:t>
      </w:r>
      <w:r w:rsidRPr="009E2F87">
        <w:rPr>
          <w:i/>
          <w:noProof/>
        </w:rPr>
        <w:t>Clinical medicine,</w:t>
      </w:r>
      <w:r w:rsidRPr="009E2F87">
        <w:rPr>
          <w:noProof/>
        </w:rPr>
        <w:t xml:space="preserve"> 11</w:t>
      </w:r>
      <w:r w:rsidRPr="009E2F87">
        <w:rPr>
          <w:b/>
          <w:noProof/>
        </w:rPr>
        <w:t>,</w:t>
      </w:r>
      <w:r w:rsidRPr="009E2F87">
        <w:rPr>
          <w:noProof/>
        </w:rPr>
        <w:t xml:space="preserve"> 67.</w:t>
      </w:r>
    </w:p>
    <w:p w14:paraId="19045041" w14:textId="77777777" w:rsidR="00B54D51" w:rsidRPr="009E2F87" w:rsidRDefault="00B54D51" w:rsidP="009E2F87">
      <w:pPr>
        <w:pStyle w:val="EndNoteBibliography"/>
        <w:ind w:left="720" w:hanging="720"/>
        <w:rPr>
          <w:noProof/>
        </w:rPr>
      </w:pPr>
      <w:r w:rsidRPr="009E2F87">
        <w:rPr>
          <w:noProof/>
        </w:rPr>
        <w:t xml:space="preserve">JONKER, C., GERRITSEN, D., BOSBOOM, P. &amp; VAN DER STEHEN, J. 2004. A model for quality of life measures in patients with dementia: Lawton’s next step. </w:t>
      </w:r>
      <w:r w:rsidRPr="009E2F87">
        <w:rPr>
          <w:i/>
          <w:noProof/>
        </w:rPr>
        <w:t>Dementia and geriatric cognitive disorders,</w:t>
      </w:r>
      <w:r w:rsidRPr="009E2F87">
        <w:rPr>
          <w:noProof/>
        </w:rPr>
        <w:t xml:space="preserve"> 18</w:t>
      </w:r>
      <w:r w:rsidRPr="009E2F87">
        <w:rPr>
          <w:b/>
          <w:noProof/>
        </w:rPr>
        <w:t>,</w:t>
      </w:r>
      <w:r w:rsidRPr="009E2F87">
        <w:rPr>
          <w:noProof/>
        </w:rPr>
        <w:t xml:space="preserve"> 159-164.</w:t>
      </w:r>
    </w:p>
    <w:p w14:paraId="55878835" w14:textId="77777777" w:rsidR="00B54D51" w:rsidRPr="009E2F87" w:rsidRDefault="00B54D51" w:rsidP="009E2F87">
      <w:pPr>
        <w:pStyle w:val="EndNoteBibliography"/>
        <w:ind w:left="720" w:hanging="720"/>
        <w:rPr>
          <w:noProof/>
        </w:rPr>
      </w:pPr>
      <w:r w:rsidRPr="009E2F87">
        <w:rPr>
          <w:noProof/>
        </w:rPr>
        <w:t xml:space="preserve">JPND. 2015. </w:t>
      </w:r>
      <w:r w:rsidRPr="009E2F87">
        <w:rPr>
          <w:i/>
          <w:noProof/>
        </w:rPr>
        <w:t xml:space="preserve">Dementia outcome measures: Charting new territory. European Union: JPND. </w:t>
      </w:r>
      <w:r w:rsidRPr="009E2F87">
        <w:rPr>
          <w:noProof/>
        </w:rPr>
        <w:t xml:space="preserve">[Online]. Available: </w:t>
      </w:r>
      <w:r w:rsidRPr="00B54D51">
        <w:rPr>
          <w:noProof/>
        </w:rPr>
        <w:t>https://www.neurodegenerationresearch.eu/</w:t>
      </w:r>
      <w:r w:rsidRPr="009E2F87">
        <w:rPr>
          <w:noProof/>
        </w:rPr>
        <w:t xml:space="preserve"> wp-content/uploads/2015/10/JPND-Report-Fountain.pdf [Accessed 2021].</w:t>
      </w:r>
    </w:p>
    <w:p w14:paraId="4B8134BE" w14:textId="77777777" w:rsidR="00B54D51" w:rsidRPr="009E2F87" w:rsidRDefault="00B54D51" w:rsidP="009E2F87">
      <w:pPr>
        <w:pStyle w:val="EndNoteBibliography"/>
        <w:ind w:left="720" w:hanging="720"/>
        <w:rPr>
          <w:noProof/>
        </w:rPr>
      </w:pPr>
      <w:r w:rsidRPr="009E2F87">
        <w:rPr>
          <w:noProof/>
        </w:rPr>
        <w:t xml:space="preserve">JUTKOWITZ, E., KUNTZ, K. M., DOWD, B., GAUGLER, J. E., MACLEHOSE, R. F. &amp; KANE, R. L. 2017. Effects of cognition, function, and behavioral and psychological symptoms on out-of-pocket medical and nursing home expenditures and time spent caregiving for persons with dementia. </w:t>
      </w:r>
      <w:r w:rsidRPr="009E2F87">
        <w:rPr>
          <w:i/>
          <w:noProof/>
        </w:rPr>
        <w:t>Alzheimer's &amp; Dementia,</w:t>
      </w:r>
      <w:r w:rsidRPr="009E2F87">
        <w:rPr>
          <w:noProof/>
        </w:rPr>
        <w:t xml:space="preserve"> 13</w:t>
      </w:r>
      <w:r w:rsidRPr="009E2F87">
        <w:rPr>
          <w:b/>
          <w:noProof/>
        </w:rPr>
        <w:t>,</w:t>
      </w:r>
      <w:r w:rsidRPr="009E2F87">
        <w:rPr>
          <w:noProof/>
        </w:rPr>
        <w:t xml:space="preserve"> 801-809.</w:t>
      </w:r>
    </w:p>
    <w:p w14:paraId="36D12E8C" w14:textId="77777777" w:rsidR="00B54D51" w:rsidRPr="009E2F87" w:rsidRDefault="00B54D51" w:rsidP="009E2F87">
      <w:pPr>
        <w:pStyle w:val="EndNoteBibliography"/>
        <w:ind w:left="720" w:hanging="720"/>
        <w:rPr>
          <w:noProof/>
        </w:rPr>
      </w:pPr>
      <w:r w:rsidRPr="009E2F87">
        <w:rPr>
          <w:noProof/>
        </w:rPr>
        <w:t xml:space="preserve">KARIMI, M. &amp; BRAZIER, J. 2016. Health, health-related quality of life, and quality of life: what is the difference? </w:t>
      </w:r>
      <w:r w:rsidRPr="009E2F87">
        <w:rPr>
          <w:i/>
          <w:noProof/>
        </w:rPr>
        <w:t>Pharmacoeconomics,</w:t>
      </w:r>
      <w:r w:rsidRPr="009E2F87">
        <w:rPr>
          <w:noProof/>
        </w:rPr>
        <w:t xml:space="preserve"> 34</w:t>
      </w:r>
      <w:r w:rsidRPr="009E2F87">
        <w:rPr>
          <w:b/>
          <w:noProof/>
        </w:rPr>
        <w:t>,</w:t>
      </w:r>
      <w:r w:rsidRPr="009E2F87">
        <w:rPr>
          <w:noProof/>
        </w:rPr>
        <w:t xml:space="preserve"> 645-649.</w:t>
      </w:r>
    </w:p>
    <w:p w14:paraId="11F37C51" w14:textId="77777777" w:rsidR="00B54D51" w:rsidRPr="009E2F87" w:rsidRDefault="00B54D51" w:rsidP="009E2F87">
      <w:pPr>
        <w:pStyle w:val="EndNoteBibliography"/>
        <w:ind w:left="720" w:hanging="720"/>
        <w:rPr>
          <w:noProof/>
        </w:rPr>
      </w:pPr>
      <w:r w:rsidRPr="009E2F87">
        <w:rPr>
          <w:noProof/>
        </w:rPr>
        <w:t xml:space="preserve">KARLAWISH, J. H., ZBROZEK, A., KINOSIAN, B., GREGORY, A., FERGUSON, A. &amp; GLICK, H. A. 2008a. Preference-based quality of life in patients with Alzheimer's disease. </w:t>
      </w:r>
      <w:r w:rsidRPr="009E2F87">
        <w:rPr>
          <w:i/>
          <w:noProof/>
        </w:rPr>
        <w:t>Alzheimer's &amp; Dementia,</w:t>
      </w:r>
      <w:r w:rsidRPr="009E2F87">
        <w:rPr>
          <w:noProof/>
        </w:rPr>
        <w:t xml:space="preserve"> 4</w:t>
      </w:r>
      <w:r w:rsidRPr="009E2F87">
        <w:rPr>
          <w:b/>
          <w:noProof/>
        </w:rPr>
        <w:t>,</w:t>
      </w:r>
      <w:r w:rsidRPr="009E2F87">
        <w:rPr>
          <w:noProof/>
        </w:rPr>
        <w:t xml:space="preserve"> 193-202.</w:t>
      </w:r>
    </w:p>
    <w:p w14:paraId="44F4DF88" w14:textId="77777777" w:rsidR="00B54D51" w:rsidRPr="009E2F87" w:rsidRDefault="00B54D51" w:rsidP="009E2F87">
      <w:pPr>
        <w:pStyle w:val="EndNoteBibliography"/>
        <w:ind w:left="720" w:hanging="720"/>
        <w:rPr>
          <w:noProof/>
        </w:rPr>
      </w:pPr>
      <w:r w:rsidRPr="009E2F87">
        <w:rPr>
          <w:noProof/>
        </w:rPr>
        <w:t xml:space="preserve">KARLAWISH, J. H., ZBROZEK, A., KINOSIAN, B., GREGORY, A., FERGUSON, A., LOW, D. V. &amp; GLICK, H. A. 2008b. Caregivers' assessments of preference-based quality of life in Alzheimer's disease. </w:t>
      </w:r>
      <w:r w:rsidRPr="009E2F87">
        <w:rPr>
          <w:i/>
          <w:noProof/>
        </w:rPr>
        <w:t>Alzheimer's &amp; Dementia,</w:t>
      </w:r>
      <w:r w:rsidRPr="009E2F87">
        <w:rPr>
          <w:noProof/>
        </w:rPr>
        <w:t xml:space="preserve"> 4</w:t>
      </w:r>
      <w:r w:rsidRPr="009E2F87">
        <w:rPr>
          <w:b/>
          <w:noProof/>
        </w:rPr>
        <w:t>,</w:t>
      </w:r>
      <w:r w:rsidRPr="009E2F87">
        <w:rPr>
          <w:noProof/>
        </w:rPr>
        <w:t xml:space="preserve"> 203-211.</w:t>
      </w:r>
    </w:p>
    <w:p w14:paraId="01302F6A" w14:textId="77777777" w:rsidR="00B54D51" w:rsidRPr="009E2F87" w:rsidRDefault="00B54D51" w:rsidP="009E2F87">
      <w:pPr>
        <w:pStyle w:val="EndNoteBibliography"/>
        <w:ind w:left="720" w:hanging="720"/>
        <w:rPr>
          <w:noProof/>
        </w:rPr>
      </w:pPr>
      <w:r w:rsidRPr="009E2F87">
        <w:rPr>
          <w:noProof/>
        </w:rPr>
        <w:t xml:space="preserve">KAUFER, D. I., CUMMINGS, J. L., KETCHEL, P., SMITH, V., MACMILLAN, A., SHELLEY, T., LOPEZ, O. L. &amp; DEKOSKY, S. T. 2000. Validation of the NPI-Q, a brief clinical form of the Neuropsychiatric Inventory. </w:t>
      </w:r>
      <w:r w:rsidRPr="009E2F87">
        <w:rPr>
          <w:i/>
          <w:noProof/>
        </w:rPr>
        <w:t>The Journal of neuropsychiatry and clinical neurosciences,</w:t>
      </w:r>
      <w:r w:rsidRPr="009E2F87">
        <w:rPr>
          <w:noProof/>
        </w:rPr>
        <w:t xml:space="preserve"> 12</w:t>
      </w:r>
      <w:r w:rsidRPr="009E2F87">
        <w:rPr>
          <w:b/>
          <w:noProof/>
        </w:rPr>
        <w:t>,</w:t>
      </w:r>
      <w:r w:rsidRPr="009E2F87">
        <w:rPr>
          <w:noProof/>
        </w:rPr>
        <w:t xml:space="preserve"> 233-239.</w:t>
      </w:r>
    </w:p>
    <w:p w14:paraId="3097A22B" w14:textId="77777777" w:rsidR="00B54D51" w:rsidRPr="009E2F87" w:rsidRDefault="00B54D51" w:rsidP="009E2F87">
      <w:pPr>
        <w:pStyle w:val="EndNoteBibliography"/>
        <w:ind w:left="720" w:hanging="720"/>
        <w:rPr>
          <w:noProof/>
        </w:rPr>
      </w:pPr>
      <w:r w:rsidRPr="009E2F87">
        <w:rPr>
          <w:noProof/>
        </w:rPr>
        <w:t xml:space="preserve">KAUFMAN, D. M., GEYER, H. L. &amp; MILSTEIN, M. J. 2016. </w:t>
      </w:r>
      <w:r w:rsidRPr="009E2F87">
        <w:rPr>
          <w:i/>
          <w:noProof/>
        </w:rPr>
        <w:t>Kaufman's Clinical Neurology for Psychiatrists E-Book</w:t>
      </w:r>
      <w:r w:rsidRPr="009E2F87">
        <w:rPr>
          <w:noProof/>
        </w:rPr>
        <w:t>, Elsevier Health Sciences.</w:t>
      </w:r>
    </w:p>
    <w:p w14:paraId="443508FD" w14:textId="77777777" w:rsidR="00B54D51" w:rsidRPr="009E2F87" w:rsidRDefault="00B54D51" w:rsidP="009E2F87">
      <w:pPr>
        <w:pStyle w:val="EndNoteBibliography"/>
        <w:ind w:left="720" w:hanging="720"/>
        <w:rPr>
          <w:noProof/>
        </w:rPr>
      </w:pPr>
      <w:r w:rsidRPr="009E2F87">
        <w:rPr>
          <w:noProof/>
        </w:rPr>
        <w:t xml:space="preserve">KEETHARUTH, A., HUSSAIN, H., ROWEN, D. &amp; WAILOO, A. 2022. Assessing the psychometric performance of EQ-5D-5L in dementia: a systematic review. </w:t>
      </w:r>
      <w:r w:rsidRPr="009E2F87">
        <w:rPr>
          <w:i/>
          <w:noProof/>
        </w:rPr>
        <w:t>Health and Quality of Life Outcomes</w:t>
      </w:r>
      <w:r w:rsidRPr="009E2F87">
        <w:rPr>
          <w:noProof/>
        </w:rPr>
        <w:t>.</w:t>
      </w:r>
    </w:p>
    <w:p w14:paraId="41A6AE2F" w14:textId="77777777" w:rsidR="00B54D51" w:rsidRPr="009E2F87" w:rsidRDefault="00B54D51" w:rsidP="009E2F87">
      <w:pPr>
        <w:pStyle w:val="EndNoteBibliography"/>
        <w:ind w:left="720" w:hanging="720"/>
        <w:rPr>
          <w:noProof/>
        </w:rPr>
      </w:pPr>
      <w:r w:rsidRPr="009E2F87">
        <w:rPr>
          <w:noProof/>
        </w:rPr>
        <w:lastRenderedPageBreak/>
        <w:t>KEMPF-LEONARD, K. 2004. Encyclopedia of social measurement.</w:t>
      </w:r>
    </w:p>
    <w:p w14:paraId="3275222F" w14:textId="77777777" w:rsidR="00B54D51" w:rsidRPr="009E2F87" w:rsidRDefault="00B54D51" w:rsidP="009E2F87">
      <w:pPr>
        <w:pStyle w:val="EndNoteBibliography"/>
        <w:ind w:left="720" w:hanging="720"/>
        <w:rPr>
          <w:noProof/>
        </w:rPr>
      </w:pPr>
      <w:r w:rsidRPr="009E2F87">
        <w:rPr>
          <w:noProof/>
        </w:rPr>
        <w:t xml:space="preserve">KERPERSHOEK, L., DE VUGT, M., WOLFS, C., JELLEY, H., ORREL, M., WOODS, B., STEPHAN, A., BIEBER, A., MEYER, G. &amp; ENGEDAL, K. 2016. Access to timely formal dementia care in Europe: protocol of the Actifcare (ACcess to Timely Formal Care) study. </w:t>
      </w:r>
      <w:r w:rsidRPr="009E2F87">
        <w:rPr>
          <w:i/>
          <w:noProof/>
        </w:rPr>
        <w:t>BMC health services research,</w:t>
      </w:r>
      <w:r w:rsidRPr="009E2F87">
        <w:rPr>
          <w:noProof/>
        </w:rPr>
        <w:t xml:space="preserve"> 16</w:t>
      </w:r>
      <w:r w:rsidRPr="009E2F87">
        <w:rPr>
          <w:b/>
          <w:noProof/>
        </w:rPr>
        <w:t>,</w:t>
      </w:r>
      <w:r w:rsidRPr="009E2F87">
        <w:rPr>
          <w:noProof/>
        </w:rPr>
        <w:t xml:space="preserve"> 1-7.</w:t>
      </w:r>
    </w:p>
    <w:p w14:paraId="52AD2822" w14:textId="77777777" w:rsidR="00B54D51" w:rsidRPr="009E2F87" w:rsidRDefault="00B54D51" w:rsidP="009E2F87">
      <w:pPr>
        <w:pStyle w:val="EndNoteBibliography"/>
        <w:ind w:left="720" w:hanging="720"/>
        <w:rPr>
          <w:noProof/>
        </w:rPr>
      </w:pPr>
      <w:r w:rsidRPr="009E2F87">
        <w:rPr>
          <w:noProof/>
        </w:rPr>
        <w:t xml:space="preserve">KERPERSHOEK, L., DE VUGT, M., WOLFS, C., WOODS, B., JELLEY, H., ORRELL, M., STEPHAN, A., BIEBER, A., MEYER, G. &amp; SELBAEK, G. 2018. Needs and quality of life of people with middle-stage dementia and their family carers from the European Actifcare study. When informal care alone may not suffice. </w:t>
      </w:r>
      <w:r w:rsidRPr="009E2F87">
        <w:rPr>
          <w:i/>
          <w:noProof/>
        </w:rPr>
        <w:t>Aging &amp; mental health,</w:t>
      </w:r>
      <w:r w:rsidRPr="009E2F87">
        <w:rPr>
          <w:noProof/>
        </w:rPr>
        <w:t xml:space="preserve"> 22</w:t>
      </w:r>
      <w:r w:rsidRPr="009E2F87">
        <w:rPr>
          <w:b/>
          <w:noProof/>
        </w:rPr>
        <w:t>,</w:t>
      </w:r>
      <w:r w:rsidRPr="009E2F87">
        <w:rPr>
          <w:noProof/>
        </w:rPr>
        <w:t xml:space="preserve"> 897-902.</w:t>
      </w:r>
    </w:p>
    <w:p w14:paraId="57E98FFE" w14:textId="77777777" w:rsidR="00B54D51" w:rsidRPr="009E2F87" w:rsidRDefault="00B54D51" w:rsidP="009E2F87">
      <w:pPr>
        <w:pStyle w:val="EndNoteBibliography"/>
        <w:ind w:left="720" w:hanging="720"/>
        <w:rPr>
          <w:noProof/>
        </w:rPr>
      </w:pPr>
      <w:r w:rsidRPr="009E2F87">
        <w:rPr>
          <w:noProof/>
        </w:rPr>
        <w:t xml:space="preserve">KING, D., FARINA, N., BURGON, C., FEENEY, Y., BERWALD, S., BUSTARD, E., GALLAHER, L., HABIBI, R., WITTENBERG, R. &amp; COMAS-HERRERA, A. 2022. Factors associated with change over time in quality of life of people with dementia: longitudinal analyses from the MODEM cohort study. </w:t>
      </w:r>
      <w:r w:rsidRPr="009E2F87">
        <w:rPr>
          <w:i/>
          <w:noProof/>
        </w:rPr>
        <w:t>BMC geriatrics,</w:t>
      </w:r>
      <w:r w:rsidRPr="009E2F87">
        <w:rPr>
          <w:noProof/>
        </w:rPr>
        <w:t xml:space="preserve"> 22</w:t>
      </w:r>
      <w:r w:rsidRPr="009E2F87">
        <w:rPr>
          <w:b/>
          <w:noProof/>
        </w:rPr>
        <w:t>,</w:t>
      </w:r>
      <w:r w:rsidRPr="009E2F87">
        <w:rPr>
          <w:noProof/>
        </w:rPr>
        <w:t xml:space="preserve"> 1-13.</w:t>
      </w:r>
    </w:p>
    <w:p w14:paraId="3645F5D7" w14:textId="77777777" w:rsidR="00B54D51" w:rsidRPr="009E2F87" w:rsidRDefault="00B54D51" w:rsidP="009E2F87">
      <w:pPr>
        <w:pStyle w:val="EndNoteBibliography"/>
        <w:ind w:left="720" w:hanging="720"/>
        <w:rPr>
          <w:noProof/>
        </w:rPr>
      </w:pPr>
      <w:r w:rsidRPr="009E2F87">
        <w:rPr>
          <w:noProof/>
        </w:rPr>
        <w:t xml:space="preserve">KINGSTON, A., ROBINSON, L., BOOTH, H., KNAPP, M., JAGGER, C. &amp; PROJECT, M. 2018. Projections of multi-morbidity in the older population in England to 2035: estimates from the Population Ageing and Care Simulation (PACSim) model. </w:t>
      </w:r>
      <w:r w:rsidRPr="009E2F87">
        <w:rPr>
          <w:i/>
          <w:noProof/>
        </w:rPr>
        <w:t>Age and ageing,</w:t>
      </w:r>
      <w:r w:rsidRPr="009E2F87">
        <w:rPr>
          <w:noProof/>
        </w:rPr>
        <w:t xml:space="preserve"> 47</w:t>
      </w:r>
      <w:r w:rsidRPr="009E2F87">
        <w:rPr>
          <w:b/>
          <w:noProof/>
        </w:rPr>
        <w:t>,</w:t>
      </w:r>
      <w:r w:rsidRPr="009E2F87">
        <w:rPr>
          <w:noProof/>
        </w:rPr>
        <w:t xml:space="preserve"> 374-380.</w:t>
      </w:r>
    </w:p>
    <w:p w14:paraId="34F50888" w14:textId="77777777" w:rsidR="00B54D51" w:rsidRPr="009E2F87" w:rsidRDefault="00B54D51" w:rsidP="009E2F87">
      <w:pPr>
        <w:pStyle w:val="EndNoteBibliography"/>
        <w:ind w:left="720" w:hanging="720"/>
        <w:rPr>
          <w:noProof/>
        </w:rPr>
      </w:pPr>
      <w:r w:rsidRPr="009E2F87">
        <w:rPr>
          <w:noProof/>
        </w:rPr>
        <w:t xml:space="preserve">KØRNER, A., LAURITZEN, L., ABELSKOV, K., GULMANN, N., MARIE BRODERSEN, A., WEDERVANG-JENSEN, T. &amp; MARIE KJELDGAARD, K. 2006. The geriatric depression scale and the cornell scale for depression in dementia. A validity study. </w:t>
      </w:r>
      <w:r w:rsidRPr="009E2F87">
        <w:rPr>
          <w:i/>
          <w:noProof/>
        </w:rPr>
        <w:t>Nordic journal of psychiatry,</w:t>
      </w:r>
      <w:r w:rsidRPr="009E2F87">
        <w:rPr>
          <w:noProof/>
        </w:rPr>
        <w:t xml:space="preserve"> 60</w:t>
      </w:r>
      <w:r w:rsidRPr="009E2F87">
        <w:rPr>
          <w:b/>
          <w:noProof/>
        </w:rPr>
        <w:t>,</w:t>
      </w:r>
      <w:r w:rsidRPr="009E2F87">
        <w:rPr>
          <w:noProof/>
        </w:rPr>
        <w:t xml:space="preserve"> 360-364.</w:t>
      </w:r>
    </w:p>
    <w:p w14:paraId="37551190" w14:textId="77777777" w:rsidR="00B54D51" w:rsidRPr="009E2F87" w:rsidRDefault="00B54D51" w:rsidP="009E2F87">
      <w:pPr>
        <w:pStyle w:val="EndNoteBibliography"/>
        <w:ind w:left="720" w:hanging="720"/>
        <w:rPr>
          <w:noProof/>
        </w:rPr>
      </w:pPr>
      <w:r w:rsidRPr="009E2F87">
        <w:rPr>
          <w:noProof/>
        </w:rPr>
        <w:t xml:space="preserve">KRABBE, P. 2016. </w:t>
      </w:r>
      <w:r w:rsidRPr="009E2F87">
        <w:rPr>
          <w:i/>
          <w:noProof/>
        </w:rPr>
        <w:t>The measurement of health and health status: concepts, methods and applications from a multidisciplinary perspective</w:t>
      </w:r>
      <w:r w:rsidRPr="009E2F87">
        <w:rPr>
          <w:noProof/>
        </w:rPr>
        <w:t>, Academic Press.</w:t>
      </w:r>
    </w:p>
    <w:p w14:paraId="558F9814" w14:textId="77777777" w:rsidR="00B54D51" w:rsidRPr="009E2F87" w:rsidRDefault="00B54D51" w:rsidP="009E2F87">
      <w:pPr>
        <w:pStyle w:val="EndNoteBibliography"/>
        <w:ind w:left="720" w:hanging="720"/>
        <w:rPr>
          <w:noProof/>
        </w:rPr>
      </w:pPr>
      <w:r w:rsidRPr="009E2F87">
        <w:rPr>
          <w:noProof/>
        </w:rPr>
        <w:t xml:space="preserve">KUNZ, S. 2010. Psychometric properties of the EQ-5D in a study of people with mild to moderate dementia. </w:t>
      </w:r>
      <w:r w:rsidRPr="009E2F87">
        <w:rPr>
          <w:i/>
          <w:noProof/>
        </w:rPr>
        <w:t>Quality of life research,</w:t>
      </w:r>
      <w:r w:rsidRPr="009E2F87">
        <w:rPr>
          <w:noProof/>
        </w:rPr>
        <w:t xml:space="preserve"> 19</w:t>
      </w:r>
      <w:r w:rsidRPr="009E2F87">
        <w:rPr>
          <w:b/>
          <w:noProof/>
        </w:rPr>
        <w:t>,</w:t>
      </w:r>
      <w:r w:rsidRPr="009E2F87">
        <w:rPr>
          <w:noProof/>
        </w:rPr>
        <w:t xml:space="preserve"> 425-434.</w:t>
      </w:r>
    </w:p>
    <w:p w14:paraId="00CA1E25" w14:textId="77777777" w:rsidR="00B54D51" w:rsidRPr="009E2F87" w:rsidRDefault="00B54D51" w:rsidP="009E2F87">
      <w:pPr>
        <w:pStyle w:val="EndNoteBibliography"/>
        <w:ind w:left="720" w:hanging="720"/>
        <w:rPr>
          <w:noProof/>
        </w:rPr>
      </w:pPr>
      <w:r w:rsidRPr="009E2F87">
        <w:rPr>
          <w:noProof/>
        </w:rPr>
        <w:t xml:space="preserve">KUO, Y.-C., LAN, C.-F., CHEN, L.-K. &amp; LAN, V. M. 2010. Dementia care costs and the patient's quality of life (QoL) in Taiwan: home versus institutional care services. </w:t>
      </w:r>
      <w:r w:rsidRPr="009E2F87">
        <w:rPr>
          <w:i/>
          <w:noProof/>
        </w:rPr>
        <w:t>Archives of gerontology and geriatrics,</w:t>
      </w:r>
      <w:r w:rsidRPr="009E2F87">
        <w:rPr>
          <w:noProof/>
        </w:rPr>
        <w:t xml:space="preserve"> 51</w:t>
      </w:r>
      <w:r w:rsidRPr="009E2F87">
        <w:rPr>
          <w:b/>
          <w:noProof/>
        </w:rPr>
        <w:t>,</w:t>
      </w:r>
      <w:r w:rsidRPr="009E2F87">
        <w:rPr>
          <w:noProof/>
        </w:rPr>
        <w:t xml:space="preserve"> 159-163.</w:t>
      </w:r>
    </w:p>
    <w:p w14:paraId="64F333FA" w14:textId="77777777" w:rsidR="00B54D51" w:rsidRPr="009E2F87" w:rsidRDefault="00B54D51" w:rsidP="009E2F87">
      <w:pPr>
        <w:pStyle w:val="EndNoteBibliography"/>
        <w:ind w:left="720" w:hanging="720"/>
        <w:rPr>
          <w:noProof/>
        </w:rPr>
      </w:pPr>
      <w:r w:rsidRPr="009E2F87">
        <w:rPr>
          <w:noProof/>
        </w:rPr>
        <w:t xml:space="preserve">LANDEIRO, F., MUGHAL, S., WALSH, K., NYE, E., MORTON, J., WILLIAMS, H., GHINAI, I., CASTRO, Y., LEAL, J. &amp; ROBERTS, N. 2020. Health-related quality of life in people with predementia Alzheimer’s disease, mild cognitive impairment or dementia measured with preference-based instruments: a systematic literature review. </w:t>
      </w:r>
      <w:r w:rsidRPr="009E2F87">
        <w:rPr>
          <w:i/>
          <w:noProof/>
        </w:rPr>
        <w:t>Alzheimer's research &amp; therapy,</w:t>
      </w:r>
      <w:r w:rsidRPr="009E2F87">
        <w:rPr>
          <w:noProof/>
        </w:rPr>
        <w:t xml:space="preserve"> 12</w:t>
      </w:r>
      <w:r w:rsidRPr="009E2F87">
        <w:rPr>
          <w:b/>
          <w:noProof/>
        </w:rPr>
        <w:t>,</w:t>
      </w:r>
      <w:r w:rsidRPr="009E2F87">
        <w:rPr>
          <w:noProof/>
        </w:rPr>
        <w:t xml:space="preserve"> 1-14.</w:t>
      </w:r>
    </w:p>
    <w:p w14:paraId="611DE30C" w14:textId="77777777" w:rsidR="00B54D51" w:rsidRPr="009E2F87" w:rsidRDefault="00B54D51" w:rsidP="009E2F87">
      <w:pPr>
        <w:pStyle w:val="EndNoteBibliography"/>
        <w:ind w:left="720" w:hanging="720"/>
        <w:rPr>
          <w:noProof/>
        </w:rPr>
      </w:pPr>
      <w:r w:rsidRPr="009E2F87">
        <w:rPr>
          <w:noProof/>
        </w:rPr>
        <w:t xml:space="preserve">LANDIS, J. R. &amp; KOCH, G. G. 1977. The measurement of observer agreement for categorical data. </w:t>
      </w:r>
      <w:r w:rsidRPr="009E2F87">
        <w:rPr>
          <w:i/>
          <w:noProof/>
        </w:rPr>
        <w:t>biometrics</w:t>
      </w:r>
      <w:r w:rsidRPr="009E2F87">
        <w:rPr>
          <w:b/>
          <w:noProof/>
        </w:rPr>
        <w:t>,</w:t>
      </w:r>
      <w:r w:rsidRPr="009E2F87">
        <w:rPr>
          <w:noProof/>
        </w:rPr>
        <w:t xml:space="preserve"> 159-174.</w:t>
      </w:r>
    </w:p>
    <w:p w14:paraId="529C37DF" w14:textId="77777777" w:rsidR="00B54D51" w:rsidRPr="009E2F87" w:rsidRDefault="00B54D51" w:rsidP="009E2F87">
      <w:pPr>
        <w:pStyle w:val="EndNoteBibliography"/>
        <w:ind w:left="720" w:hanging="720"/>
        <w:rPr>
          <w:noProof/>
        </w:rPr>
      </w:pPr>
      <w:r w:rsidRPr="009E2F87">
        <w:rPr>
          <w:noProof/>
        </w:rPr>
        <w:t xml:space="preserve">LANGBAUM, J. B., ZISSIMOPOULOS, J., AU, R., BOSE, N., EDGAR, C. J., EHRENBERG, E., FILLIT, H., HILL, C. V., HUGHES, L. &amp; IRIZARRY, M. 2023. Recommendations to address key recruitment challenges of Alzheimer's disease clinical trials. </w:t>
      </w:r>
      <w:r w:rsidRPr="009E2F87">
        <w:rPr>
          <w:i/>
          <w:noProof/>
        </w:rPr>
        <w:t>Alzheimer's &amp; Dementia,</w:t>
      </w:r>
      <w:r w:rsidRPr="009E2F87">
        <w:rPr>
          <w:noProof/>
        </w:rPr>
        <w:t xml:space="preserve"> 19</w:t>
      </w:r>
      <w:r w:rsidRPr="009E2F87">
        <w:rPr>
          <w:b/>
          <w:noProof/>
        </w:rPr>
        <w:t>,</w:t>
      </w:r>
      <w:r w:rsidRPr="009E2F87">
        <w:rPr>
          <w:noProof/>
        </w:rPr>
        <w:t xml:space="preserve"> 696-707.</w:t>
      </w:r>
    </w:p>
    <w:p w14:paraId="4E185129" w14:textId="77777777" w:rsidR="00B54D51" w:rsidRPr="009E2F87" w:rsidRDefault="00B54D51" w:rsidP="009E2F87">
      <w:pPr>
        <w:pStyle w:val="EndNoteBibliography"/>
        <w:ind w:left="720" w:hanging="720"/>
        <w:rPr>
          <w:noProof/>
        </w:rPr>
      </w:pPr>
      <w:r w:rsidRPr="009E2F87">
        <w:rPr>
          <w:noProof/>
        </w:rPr>
        <w:t xml:space="preserve">LAWTON, M. P. 1988. Physical self-maintenance scale (PSMS). </w:t>
      </w:r>
      <w:r w:rsidRPr="009E2F87">
        <w:rPr>
          <w:i/>
          <w:noProof/>
        </w:rPr>
        <w:t>Psychopharmacol Bull,</w:t>
      </w:r>
      <w:r w:rsidRPr="009E2F87">
        <w:rPr>
          <w:noProof/>
        </w:rPr>
        <w:t xml:space="preserve"> 24</w:t>
      </w:r>
      <w:r w:rsidRPr="009E2F87">
        <w:rPr>
          <w:b/>
          <w:noProof/>
        </w:rPr>
        <w:t>,</w:t>
      </w:r>
      <w:r w:rsidRPr="009E2F87">
        <w:rPr>
          <w:noProof/>
        </w:rPr>
        <w:t xml:space="preserve"> 793-794.</w:t>
      </w:r>
    </w:p>
    <w:p w14:paraId="15EE61FF" w14:textId="77777777" w:rsidR="00B54D51" w:rsidRPr="009E2F87" w:rsidRDefault="00B54D51" w:rsidP="009E2F87">
      <w:pPr>
        <w:pStyle w:val="EndNoteBibliography"/>
        <w:ind w:left="720" w:hanging="720"/>
        <w:rPr>
          <w:noProof/>
        </w:rPr>
      </w:pPr>
      <w:r w:rsidRPr="009E2F87">
        <w:rPr>
          <w:noProof/>
        </w:rPr>
        <w:t xml:space="preserve">LAWTON, M. P. 1994. Quality of life in Alzheimer disease. </w:t>
      </w:r>
      <w:r w:rsidRPr="009E2F87">
        <w:rPr>
          <w:i/>
          <w:noProof/>
        </w:rPr>
        <w:t>Alzheimer disease and associated disorders,</w:t>
      </w:r>
      <w:r w:rsidRPr="009E2F87">
        <w:rPr>
          <w:noProof/>
        </w:rPr>
        <w:t xml:space="preserve"> 8</w:t>
      </w:r>
      <w:r w:rsidRPr="009E2F87">
        <w:rPr>
          <w:b/>
          <w:noProof/>
        </w:rPr>
        <w:t>,</w:t>
      </w:r>
      <w:r w:rsidRPr="009E2F87">
        <w:rPr>
          <w:noProof/>
        </w:rPr>
        <w:t xml:space="preserve"> 138-150.</w:t>
      </w:r>
    </w:p>
    <w:p w14:paraId="75322DC7" w14:textId="77777777" w:rsidR="00B54D51" w:rsidRPr="009E2F87" w:rsidRDefault="00B54D51" w:rsidP="009E2F87">
      <w:pPr>
        <w:pStyle w:val="EndNoteBibliography"/>
        <w:ind w:left="720" w:hanging="720"/>
        <w:rPr>
          <w:noProof/>
        </w:rPr>
      </w:pPr>
      <w:r w:rsidRPr="009E2F87">
        <w:rPr>
          <w:noProof/>
        </w:rPr>
        <w:t xml:space="preserve">LAWTON, M. P. &amp; BRODY, E. M. 1969. Assessment of older people: self-maintaining and instrumental activities of daily living. </w:t>
      </w:r>
      <w:r w:rsidRPr="009E2F87">
        <w:rPr>
          <w:i/>
          <w:noProof/>
        </w:rPr>
        <w:t>The gerontologist,</w:t>
      </w:r>
      <w:r w:rsidRPr="009E2F87">
        <w:rPr>
          <w:noProof/>
        </w:rPr>
        <w:t xml:space="preserve"> 9</w:t>
      </w:r>
      <w:r w:rsidRPr="009E2F87">
        <w:rPr>
          <w:b/>
          <w:noProof/>
        </w:rPr>
        <w:t>,</w:t>
      </w:r>
      <w:r w:rsidRPr="009E2F87">
        <w:rPr>
          <w:noProof/>
        </w:rPr>
        <w:t xml:space="preserve"> 179-186.</w:t>
      </w:r>
    </w:p>
    <w:p w14:paraId="211329B3" w14:textId="77777777" w:rsidR="00B54D51" w:rsidRPr="009E2F87" w:rsidRDefault="00B54D51" w:rsidP="009E2F87">
      <w:pPr>
        <w:pStyle w:val="EndNoteBibliography"/>
        <w:ind w:left="720" w:hanging="720"/>
        <w:rPr>
          <w:noProof/>
        </w:rPr>
      </w:pPr>
      <w:r w:rsidRPr="009E2F87">
        <w:rPr>
          <w:noProof/>
        </w:rPr>
        <w:lastRenderedPageBreak/>
        <w:t xml:space="preserve">LI, L., NGUYEN, K.-H., COMANS, T. &amp; SCUFFHAM, P. 2018. Utility-based instruments for people with dementia: a systematic review and meta-regression analysis. </w:t>
      </w:r>
      <w:r w:rsidRPr="009E2F87">
        <w:rPr>
          <w:i/>
          <w:noProof/>
        </w:rPr>
        <w:t>Value in Health,</w:t>
      </w:r>
      <w:r w:rsidRPr="009E2F87">
        <w:rPr>
          <w:noProof/>
        </w:rPr>
        <w:t xml:space="preserve"> 21</w:t>
      </w:r>
      <w:r w:rsidRPr="009E2F87">
        <w:rPr>
          <w:b/>
          <w:noProof/>
        </w:rPr>
        <w:t>,</w:t>
      </w:r>
      <w:r w:rsidRPr="009E2F87">
        <w:rPr>
          <w:noProof/>
        </w:rPr>
        <w:t xml:space="preserve"> 471-481.</w:t>
      </w:r>
    </w:p>
    <w:p w14:paraId="77337BFC" w14:textId="77777777" w:rsidR="00B54D51" w:rsidRPr="009E2F87" w:rsidRDefault="00B54D51" w:rsidP="009E2F87">
      <w:pPr>
        <w:pStyle w:val="EndNoteBibliography"/>
        <w:ind w:left="720" w:hanging="720"/>
        <w:rPr>
          <w:noProof/>
        </w:rPr>
      </w:pPr>
      <w:r w:rsidRPr="009E2F87">
        <w:rPr>
          <w:noProof/>
        </w:rPr>
        <w:t xml:space="preserve">LILJEQUIST, D., ELFVING, B. &amp; SKAVBERG ROALDSEN, K. 2019. Intraclass correlation–A discussion and demonstration of basic features. </w:t>
      </w:r>
      <w:r w:rsidRPr="009E2F87">
        <w:rPr>
          <w:i/>
          <w:noProof/>
        </w:rPr>
        <w:t>PloS one,</w:t>
      </w:r>
      <w:r w:rsidRPr="009E2F87">
        <w:rPr>
          <w:noProof/>
        </w:rPr>
        <w:t xml:space="preserve"> 14</w:t>
      </w:r>
      <w:r w:rsidRPr="009E2F87">
        <w:rPr>
          <w:b/>
          <w:noProof/>
        </w:rPr>
        <w:t>,</w:t>
      </w:r>
      <w:r w:rsidRPr="009E2F87">
        <w:rPr>
          <w:noProof/>
        </w:rPr>
        <w:t xml:space="preserve"> e0219854.</w:t>
      </w:r>
    </w:p>
    <w:p w14:paraId="0D286916" w14:textId="77777777" w:rsidR="00B54D51" w:rsidRPr="009E2F87" w:rsidRDefault="00B54D51" w:rsidP="009E2F87">
      <w:pPr>
        <w:pStyle w:val="EndNoteBibliography"/>
        <w:ind w:left="720" w:hanging="720"/>
        <w:rPr>
          <w:noProof/>
        </w:rPr>
      </w:pPr>
      <w:r w:rsidRPr="009E2F87">
        <w:rPr>
          <w:noProof/>
        </w:rPr>
        <w:t xml:space="preserve">LOGSDON, R. G., GIBBONS, L. E., MCCURRY, S. M. &amp; TERI, L. 1999. Quality of life in Alzheimer's disease: patient and caregiver reports. </w:t>
      </w:r>
      <w:r w:rsidRPr="009E2F87">
        <w:rPr>
          <w:i/>
          <w:noProof/>
        </w:rPr>
        <w:t>Journal of Mental health and Aging,</w:t>
      </w:r>
      <w:r w:rsidRPr="009E2F87">
        <w:rPr>
          <w:noProof/>
        </w:rPr>
        <w:t xml:space="preserve"> 5</w:t>
      </w:r>
      <w:r w:rsidRPr="009E2F87">
        <w:rPr>
          <w:b/>
          <w:noProof/>
        </w:rPr>
        <w:t>,</w:t>
      </w:r>
      <w:r w:rsidRPr="009E2F87">
        <w:rPr>
          <w:noProof/>
        </w:rPr>
        <w:t xml:space="preserve"> 21-32.</w:t>
      </w:r>
    </w:p>
    <w:p w14:paraId="62543241" w14:textId="77777777" w:rsidR="00B54D51" w:rsidRPr="009E2F87" w:rsidRDefault="00B54D51" w:rsidP="009E2F87">
      <w:pPr>
        <w:pStyle w:val="EndNoteBibliography"/>
        <w:ind w:left="720" w:hanging="720"/>
        <w:rPr>
          <w:noProof/>
        </w:rPr>
      </w:pPr>
      <w:r w:rsidRPr="009E2F87">
        <w:rPr>
          <w:noProof/>
        </w:rPr>
        <w:t xml:space="preserve">LOGSDON, R. G., GIBBONS, L. E., MCCURRY, S. M. &amp; TERI, L. 2002. Assessing quality of life in older adults with cognitive impairment. </w:t>
      </w:r>
      <w:r w:rsidRPr="009E2F87">
        <w:rPr>
          <w:i/>
          <w:noProof/>
        </w:rPr>
        <w:t>Psychosomatic medicine,</w:t>
      </w:r>
      <w:r w:rsidRPr="009E2F87">
        <w:rPr>
          <w:noProof/>
        </w:rPr>
        <w:t xml:space="preserve"> 64</w:t>
      </w:r>
      <w:r w:rsidRPr="009E2F87">
        <w:rPr>
          <w:b/>
          <w:noProof/>
        </w:rPr>
        <w:t>,</w:t>
      </w:r>
      <w:r w:rsidRPr="009E2F87">
        <w:rPr>
          <w:noProof/>
        </w:rPr>
        <w:t xml:space="preserve"> 510-519.</w:t>
      </w:r>
    </w:p>
    <w:p w14:paraId="5318C978" w14:textId="77777777" w:rsidR="00B54D51" w:rsidRPr="009E2F87" w:rsidRDefault="00B54D51" w:rsidP="009E2F87">
      <w:pPr>
        <w:pStyle w:val="EndNoteBibliography"/>
        <w:ind w:left="720" w:hanging="720"/>
        <w:rPr>
          <w:noProof/>
        </w:rPr>
      </w:pPr>
      <w:r w:rsidRPr="009E2F87">
        <w:rPr>
          <w:noProof/>
        </w:rPr>
        <w:t xml:space="preserve">LOGSDON, R. G. &amp; TERI, L. 1997. The Pleasant Events Schedule-AD: Psychometric properties and relationship to depression and cognition in Alzheimer's disease patients. </w:t>
      </w:r>
      <w:r w:rsidRPr="009E2F87">
        <w:rPr>
          <w:i/>
          <w:noProof/>
        </w:rPr>
        <w:t>The Gerontologist,</w:t>
      </w:r>
      <w:r w:rsidRPr="009E2F87">
        <w:rPr>
          <w:noProof/>
        </w:rPr>
        <w:t xml:space="preserve"> 37</w:t>
      </w:r>
      <w:r w:rsidRPr="009E2F87">
        <w:rPr>
          <w:b/>
          <w:noProof/>
        </w:rPr>
        <w:t>,</w:t>
      </w:r>
      <w:r w:rsidRPr="009E2F87">
        <w:rPr>
          <w:noProof/>
        </w:rPr>
        <w:t xml:space="preserve"> 40-45.</w:t>
      </w:r>
    </w:p>
    <w:p w14:paraId="78F5E2F9" w14:textId="77777777" w:rsidR="00B54D51" w:rsidRPr="009E2F87" w:rsidRDefault="00B54D51" w:rsidP="009E2F87">
      <w:pPr>
        <w:pStyle w:val="EndNoteBibliography"/>
        <w:ind w:left="720" w:hanging="720"/>
        <w:rPr>
          <w:noProof/>
        </w:rPr>
      </w:pPr>
      <w:r w:rsidRPr="009E2F87">
        <w:rPr>
          <w:noProof/>
        </w:rPr>
        <w:t xml:space="preserve">LOHR, K. N. 2002. Assessing health status and quality-of-life instruments: attributes and review criteria. </w:t>
      </w:r>
      <w:r w:rsidRPr="009E2F87">
        <w:rPr>
          <w:i/>
          <w:noProof/>
        </w:rPr>
        <w:t>Quality of life research,</w:t>
      </w:r>
      <w:r w:rsidRPr="009E2F87">
        <w:rPr>
          <w:noProof/>
        </w:rPr>
        <w:t xml:space="preserve"> 11</w:t>
      </w:r>
      <w:r w:rsidRPr="009E2F87">
        <w:rPr>
          <w:b/>
          <w:noProof/>
        </w:rPr>
        <w:t>,</w:t>
      </w:r>
      <w:r w:rsidRPr="009E2F87">
        <w:rPr>
          <w:noProof/>
        </w:rPr>
        <w:t xml:space="preserve"> 193-205.</w:t>
      </w:r>
    </w:p>
    <w:p w14:paraId="0C115742" w14:textId="77777777" w:rsidR="00B54D51" w:rsidRPr="009E2F87" w:rsidRDefault="00B54D51" w:rsidP="009E2F87">
      <w:pPr>
        <w:pStyle w:val="EndNoteBibliography"/>
        <w:ind w:left="720" w:hanging="720"/>
        <w:rPr>
          <w:noProof/>
        </w:rPr>
      </w:pPr>
      <w:r w:rsidRPr="009E2F87">
        <w:rPr>
          <w:noProof/>
        </w:rPr>
        <w:t xml:space="preserve">LONGWORTH, L. &amp; ROWEN, D. 2013. Mapping to obtain EQ-5D utility values for use in NICE health technology assessments. </w:t>
      </w:r>
      <w:r w:rsidRPr="009E2F87">
        <w:rPr>
          <w:i/>
          <w:noProof/>
        </w:rPr>
        <w:t>Value in health,</w:t>
      </w:r>
      <w:r w:rsidRPr="009E2F87">
        <w:rPr>
          <w:noProof/>
        </w:rPr>
        <w:t xml:space="preserve"> 16</w:t>
      </w:r>
      <w:r w:rsidRPr="009E2F87">
        <w:rPr>
          <w:b/>
          <w:noProof/>
        </w:rPr>
        <w:t>,</w:t>
      </w:r>
      <w:r w:rsidRPr="009E2F87">
        <w:rPr>
          <w:noProof/>
        </w:rPr>
        <w:t xml:space="preserve"> 202-210.</w:t>
      </w:r>
    </w:p>
    <w:p w14:paraId="104D2891" w14:textId="77777777" w:rsidR="00B54D51" w:rsidRPr="009E2F87" w:rsidRDefault="00B54D51" w:rsidP="009E2F87">
      <w:pPr>
        <w:pStyle w:val="EndNoteBibliography"/>
        <w:ind w:left="720" w:hanging="720"/>
        <w:rPr>
          <w:noProof/>
        </w:rPr>
      </w:pPr>
      <w:r w:rsidRPr="009E2F87">
        <w:rPr>
          <w:noProof/>
        </w:rPr>
        <w:t xml:space="preserve">MAKAI, P., BROUWER, W. B., KOOPMANSCHAP, M. A. &amp; NIEBOER, A. P. 2012. Capabilities and quality of life in Dutch psycho-geriatric nursing homes: an exploratory study using a proxy version of the ICECAP-O. </w:t>
      </w:r>
      <w:r w:rsidRPr="009E2F87">
        <w:rPr>
          <w:i/>
          <w:noProof/>
        </w:rPr>
        <w:t>Quality of life research,</w:t>
      </w:r>
      <w:r w:rsidRPr="009E2F87">
        <w:rPr>
          <w:noProof/>
        </w:rPr>
        <w:t xml:space="preserve"> 21</w:t>
      </w:r>
      <w:r w:rsidRPr="009E2F87">
        <w:rPr>
          <w:b/>
          <w:noProof/>
        </w:rPr>
        <w:t>,</w:t>
      </w:r>
      <w:r w:rsidRPr="009E2F87">
        <w:rPr>
          <w:noProof/>
        </w:rPr>
        <w:t xml:space="preserve"> 801-812.</w:t>
      </w:r>
    </w:p>
    <w:p w14:paraId="7B19EEE1" w14:textId="77777777" w:rsidR="00B54D51" w:rsidRPr="009E2F87" w:rsidRDefault="00B54D51" w:rsidP="009E2F87">
      <w:pPr>
        <w:pStyle w:val="EndNoteBibliography"/>
        <w:ind w:left="720" w:hanging="720"/>
        <w:rPr>
          <w:noProof/>
        </w:rPr>
      </w:pPr>
      <w:r w:rsidRPr="009E2F87">
        <w:rPr>
          <w:noProof/>
        </w:rPr>
        <w:t xml:space="preserve">MARTIN, A., MEADS, D., GRIFFITHS, A. W. &amp; SURR, C. A. 2019. How should we capture health state utility in dementia? Comparisons of DEMQOL-proxy-U and of self-and proxy-completed EQ-5D-5L. </w:t>
      </w:r>
      <w:r w:rsidRPr="009E2F87">
        <w:rPr>
          <w:i/>
          <w:noProof/>
        </w:rPr>
        <w:t>Value in Health,</w:t>
      </w:r>
      <w:r w:rsidRPr="009E2F87">
        <w:rPr>
          <w:noProof/>
        </w:rPr>
        <w:t xml:space="preserve"> 22</w:t>
      </w:r>
      <w:r w:rsidRPr="009E2F87">
        <w:rPr>
          <w:b/>
          <w:noProof/>
        </w:rPr>
        <w:t>,</w:t>
      </w:r>
      <w:r w:rsidRPr="009E2F87">
        <w:rPr>
          <w:noProof/>
        </w:rPr>
        <w:t xml:space="preserve"> 1417-1426.</w:t>
      </w:r>
    </w:p>
    <w:p w14:paraId="2CEE3463" w14:textId="77777777" w:rsidR="00B54D51" w:rsidRPr="009E2F87" w:rsidRDefault="00B54D51" w:rsidP="009E2F87">
      <w:pPr>
        <w:pStyle w:val="EndNoteBibliography"/>
        <w:ind w:left="720" w:hanging="720"/>
        <w:rPr>
          <w:noProof/>
        </w:rPr>
      </w:pPr>
      <w:r w:rsidRPr="009E2F87">
        <w:rPr>
          <w:noProof/>
        </w:rPr>
        <w:t xml:space="preserve">MCHUGH, M. L. 2012. Interrater reliability: the kappa statistic. </w:t>
      </w:r>
      <w:r w:rsidRPr="009E2F87">
        <w:rPr>
          <w:i/>
          <w:noProof/>
        </w:rPr>
        <w:t>Biochemia medica,</w:t>
      </w:r>
      <w:r w:rsidRPr="009E2F87">
        <w:rPr>
          <w:noProof/>
        </w:rPr>
        <w:t xml:space="preserve"> 22</w:t>
      </w:r>
      <w:r w:rsidRPr="009E2F87">
        <w:rPr>
          <w:b/>
          <w:noProof/>
        </w:rPr>
        <w:t>,</w:t>
      </w:r>
      <w:r w:rsidRPr="009E2F87">
        <w:rPr>
          <w:noProof/>
        </w:rPr>
        <w:t xml:space="preserve"> 276-282.</w:t>
      </w:r>
    </w:p>
    <w:p w14:paraId="495C7D2D" w14:textId="77777777" w:rsidR="00B54D51" w:rsidRPr="009E2F87" w:rsidRDefault="00B54D51" w:rsidP="009E2F87">
      <w:pPr>
        <w:pStyle w:val="EndNoteBibliography"/>
        <w:ind w:left="720" w:hanging="720"/>
        <w:rPr>
          <w:noProof/>
        </w:rPr>
      </w:pPr>
      <w:r w:rsidRPr="009E2F87">
        <w:rPr>
          <w:noProof/>
        </w:rPr>
        <w:t xml:space="preserve">MCLAUGHLIN, T., FELDMAN, H., FILLIT, H., SANO, M., SCHMITT, F., AISEN, P., LEIBMAN, C., MUCHA, L., RYAN, J. M. &amp; SULLIVAN, S. D. 2010. Dependence as a unifying construct in defining Alzheimer's disease severity. </w:t>
      </w:r>
      <w:r w:rsidRPr="009E2F87">
        <w:rPr>
          <w:i/>
          <w:noProof/>
        </w:rPr>
        <w:t>Alzheimer's &amp; Dementia,</w:t>
      </w:r>
      <w:r w:rsidRPr="009E2F87">
        <w:rPr>
          <w:noProof/>
        </w:rPr>
        <w:t xml:space="preserve"> 6</w:t>
      </w:r>
      <w:r w:rsidRPr="009E2F87">
        <w:rPr>
          <w:b/>
          <w:noProof/>
        </w:rPr>
        <w:t>,</w:t>
      </w:r>
      <w:r w:rsidRPr="009E2F87">
        <w:rPr>
          <w:noProof/>
        </w:rPr>
        <w:t xml:space="preserve"> 482-493.</w:t>
      </w:r>
    </w:p>
    <w:p w14:paraId="7C3AFE90" w14:textId="77777777" w:rsidR="00B54D51" w:rsidRPr="009E2F87" w:rsidRDefault="00B54D51" w:rsidP="009E2F87">
      <w:pPr>
        <w:pStyle w:val="EndNoteBibliography"/>
        <w:ind w:left="720" w:hanging="720"/>
        <w:rPr>
          <w:noProof/>
        </w:rPr>
      </w:pPr>
      <w:r w:rsidRPr="009E2F87">
        <w:rPr>
          <w:noProof/>
        </w:rPr>
        <w:t xml:space="preserve">MEADER, N., KING, K., LLEWELLYN, A., NORMAN, G., BROWN, J., RODGERS, M., MOE-BYRNE, T., HIGGINS, J., SOWDEN, A. &amp; STEWART, G. 2014. A checklist designed to aid consistency and reproducibility of GRADE assessments: development and pilot validation. </w:t>
      </w:r>
      <w:r w:rsidRPr="009E2F87">
        <w:rPr>
          <w:i/>
          <w:noProof/>
        </w:rPr>
        <w:t>Systematic reviews,</w:t>
      </w:r>
      <w:r w:rsidRPr="009E2F87">
        <w:rPr>
          <w:noProof/>
        </w:rPr>
        <w:t xml:space="preserve"> 3</w:t>
      </w:r>
      <w:r w:rsidRPr="009E2F87">
        <w:rPr>
          <w:b/>
          <w:noProof/>
        </w:rPr>
        <w:t>,</w:t>
      </w:r>
      <w:r w:rsidRPr="009E2F87">
        <w:rPr>
          <w:noProof/>
        </w:rPr>
        <w:t xml:space="preserve"> 1-9.</w:t>
      </w:r>
    </w:p>
    <w:p w14:paraId="7E44C4A2" w14:textId="77777777" w:rsidR="00B54D51" w:rsidRPr="009E2F87" w:rsidRDefault="00B54D51" w:rsidP="009E2F87">
      <w:pPr>
        <w:pStyle w:val="EndNoteBibliography"/>
        <w:ind w:left="720" w:hanging="720"/>
        <w:rPr>
          <w:noProof/>
        </w:rPr>
      </w:pPr>
      <w:r w:rsidRPr="009E2F87">
        <w:rPr>
          <w:noProof/>
        </w:rPr>
        <w:t xml:space="preserve">MEANEY, A., CROKE, M. &amp; KIRBY, M. 2005. Needs assessment in dementia. </w:t>
      </w:r>
      <w:r w:rsidRPr="009E2F87">
        <w:rPr>
          <w:i/>
          <w:noProof/>
        </w:rPr>
        <w:t>International Journal of Geriatric Psychiatry: A journal of the psychiatry of late life and allied sciences,</w:t>
      </w:r>
      <w:r w:rsidRPr="009E2F87">
        <w:rPr>
          <w:noProof/>
        </w:rPr>
        <w:t xml:space="preserve"> 20</w:t>
      </w:r>
      <w:r w:rsidRPr="009E2F87">
        <w:rPr>
          <w:b/>
          <w:noProof/>
        </w:rPr>
        <w:t>,</w:t>
      </w:r>
      <w:r w:rsidRPr="009E2F87">
        <w:rPr>
          <w:noProof/>
        </w:rPr>
        <w:t xml:space="preserve"> 322-329.</w:t>
      </w:r>
    </w:p>
    <w:p w14:paraId="2F387177" w14:textId="77777777" w:rsidR="00B54D51" w:rsidRPr="009E2F87" w:rsidRDefault="00B54D51" w:rsidP="009E2F87">
      <w:pPr>
        <w:pStyle w:val="EndNoteBibliography"/>
        <w:ind w:left="720" w:hanging="720"/>
        <w:rPr>
          <w:noProof/>
        </w:rPr>
      </w:pPr>
      <w:r w:rsidRPr="009E2F87">
        <w:rPr>
          <w:noProof/>
        </w:rPr>
        <w:t xml:space="preserve">MICHALOWSKY, B., HOFFMANN, W. &amp; XIE, F. 2021. Psychometric Properties of EQ-5D-3L and EQ-5D-5L in Cognitively Impaired Patients Living with Dementia. </w:t>
      </w:r>
      <w:r w:rsidRPr="009E2F87">
        <w:rPr>
          <w:i/>
          <w:noProof/>
        </w:rPr>
        <w:t>Journal of Alzheimer's Disease,</w:t>
      </w:r>
      <w:r w:rsidRPr="009E2F87">
        <w:rPr>
          <w:noProof/>
        </w:rPr>
        <w:t xml:space="preserve"> 83</w:t>
      </w:r>
      <w:r w:rsidRPr="009E2F87">
        <w:rPr>
          <w:b/>
          <w:noProof/>
        </w:rPr>
        <w:t>,</w:t>
      </w:r>
      <w:r w:rsidRPr="009E2F87">
        <w:rPr>
          <w:noProof/>
        </w:rPr>
        <w:t xml:space="preserve"> 77-87.</w:t>
      </w:r>
    </w:p>
    <w:p w14:paraId="2365AA63" w14:textId="77777777" w:rsidR="00B54D51" w:rsidRPr="009E2F87" w:rsidRDefault="00B54D51" w:rsidP="009E2F87">
      <w:pPr>
        <w:pStyle w:val="EndNoteBibliography"/>
        <w:ind w:left="720" w:hanging="720"/>
        <w:rPr>
          <w:noProof/>
        </w:rPr>
      </w:pPr>
      <w:r w:rsidRPr="009E2F87">
        <w:rPr>
          <w:noProof/>
        </w:rPr>
        <w:t xml:space="preserve">MICHALOWSKY, B., XIE, F., KOHLMANN, T., GRÄSKE, J., WÜBBELER, M., THYRIAN, J. R. &amp; HOFFMANN, W. 2020. Acceptability and Validity of the EQ-5D in Patients Living With Dementia. </w:t>
      </w:r>
      <w:r w:rsidRPr="009E2F87">
        <w:rPr>
          <w:i/>
          <w:noProof/>
        </w:rPr>
        <w:t>Value in Health,</w:t>
      </w:r>
      <w:r w:rsidRPr="009E2F87">
        <w:rPr>
          <w:noProof/>
        </w:rPr>
        <w:t xml:space="preserve"> 23</w:t>
      </w:r>
      <w:r w:rsidRPr="009E2F87">
        <w:rPr>
          <w:b/>
          <w:noProof/>
        </w:rPr>
        <w:t>,</w:t>
      </w:r>
      <w:r w:rsidRPr="009E2F87">
        <w:rPr>
          <w:noProof/>
        </w:rPr>
        <w:t xml:space="preserve"> 760-767.</w:t>
      </w:r>
    </w:p>
    <w:p w14:paraId="0E466EBC" w14:textId="77777777" w:rsidR="00B54D51" w:rsidRPr="009E2F87" w:rsidRDefault="00B54D51" w:rsidP="009E2F87">
      <w:pPr>
        <w:pStyle w:val="EndNoteBibliography"/>
        <w:ind w:left="720" w:hanging="720"/>
        <w:rPr>
          <w:noProof/>
        </w:rPr>
      </w:pPr>
      <w:r w:rsidRPr="009E2F87">
        <w:rPr>
          <w:noProof/>
        </w:rPr>
        <w:t xml:space="preserve">MITNITSKI, A. B., GRAHAM, J. E., MOGILNER, A. J. &amp; ROCKWOOD, K. 1999. The rate of decline in function in Alzheimer's disease and other dementias. </w:t>
      </w:r>
      <w:r w:rsidRPr="009E2F87">
        <w:rPr>
          <w:i/>
          <w:noProof/>
        </w:rPr>
        <w:t>Journals of Gerontology Series A: Biomedical Sciences and Medical Sciences,</w:t>
      </w:r>
      <w:r w:rsidRPr="009E2F87">
        <w:rPr>
          <w:noProof/>
        </w:rPr>
        <w:t xml:space="preserve"> 54</w:t>
      </w:r>
      <w:r w:rsidRPr="009E2F87">
        <w:rPr>
          <w:b/>
          <w:noProof/>
        </w:rPr>
        <w:t>,</w:t>
      </w:r>
      <w:r w:rsidRPr="009E2F87">
        <w:rPr>
          <w:noProof/>
        </w:rPr>
        <w:t xml:space="preserve"> M65-M69.</w:t>
      </w:r>
    </w:p>
    <w:p w14:paraId="3F12E2CF" w14:textId="77777777" w:rsidR="00B54D51" w:rsidRPr="009E2F87" w:rsidRDefault="00B54D51" w:rsidP="009E2F87">
      <w:pPr>
        <w:pStyle w:val="EndNoteBibliography"/>
        <w:ind w:left="720" w:hanging="720"/>
        <w:rPr>
          <w:noProof/>
        </w:rPr>
      </w:pPr>
      <w:r w:rsidRPr="009E2F87">
        <w:rPr>
          <w:noProof/>
        </w:rPr>
        <w:t xml:space="preserve">MOCA COGNITION. 2021. </w:t>
      </w:r>
      <w:r w:rsidRPr="009E2F87">
        <w:rPr>
          <w:i/>
          <w:noProof/>
        </w:rPr>
        <w:t xml:space="preserve">FAQ </w:t>
      </w:r>
      <w:r w:rsidRPr="009E2F87">
        <w:rPr>
          <w:noProof/>
        </w:rPr>
        <w:t xml:space="preserve">[Online]. Montreal Cognitive Assessment Available: </w:t>
      </w:r>
      <w:r w:rsidRPr="00B54D51">
        <w:rPr>
          <w:noProof/>
        </w:rPr>
        <w:t>https://www.mocatest.org/faq/</w:t>
      </w:r>
      <w:r w:rsidRPr="009E2F87">
        <w:rPr>
          <w:noProof/>
        </w:rPr>
        <w:t xml:space="preserve"> [Accessed 06/04/21].</w:t>
      </w:r>
    </w:p>
    <w:p w14:paraId="52940819" w14:textId="5A93C015" w:rsidR="00B54D51" w:rsidRDefault="00B54D51" w:rsidP="009E2F87">
      <w:pPr>
        <w:pStyle w:val="EndNoteBibliography"/>
        <w:ind w:left="720" w:hanging="720"/>
        <w:rPr>
          <w:noProof/>
        </w:rPr>
      </w:pPr>
      <w:r w:rsidRPr="009E2F87">
        <w:rPr>
          <w:noProof/>
        </w:rPr>
        <w:lastRenderedPageBreak/>
        <w:t xml:space="preserve">MOHER, D., LIBERATI, A., TETZLAFF, J., ALTMAN, D. G. &amp; GROUP, P. 2009. Preferred reporting items for systematic reviews and meta-analyses: the PRISMA statement. </w:t>
      </w:r>
      <w:r w:rsidRPr="009E2F87">
        <w:rPr>
          <w:i/>
          <w:noProof/>
        </w:rPr>
        <w:t>PLoS medicine,</w:t>
      </w:r>
      <w:r w:rsidRPr="009E2F87">
        <w:rPr>
          <w:noProof/>
        </w:rPr>
        <w:t xml:space="preserve"> 6</w:t>
      </w:r>
      <w:r w:rsidRPr="009E2F87">
        <w:rPr>
          <w:b/>
          <w:noProof/>
        </w:rPr>
        <w:t>,</w:t>
      </w:r>
      <w:r w:rsidRPr="009E2F87">
        <w:rPr>
          <w:noProof/>
        </w:rPr>
        <w:t xml:space="preserve"> e1000097.</w:t>
      </w:r>
    </w:p>
    <w:p w14:paraId="713CC47C" w14:textId="1727CD97" w:rsidR="00322CFC" w:rsidRPr="00322CFC" w:rsidRDefault="00322CFC" w:rsidP="009E2F87">
      <w:pPr>
        <w:pStyle w:val="EndNoteBibliography"/>
        <w:ind w:left="720" w:hanging="720"/>
        <w:rPr>
          <w:noProof/>
        </w:rPr>
      </w:pPr>
      <w:r>
        <w:rPr>
          <w:noProof/>
        </w:rPr>
        <w:t xml:space="preserve">MOORE, D. S. &amp; MCCABE, G.P. 1989. </w:t>
      </w:r>
      <w:r>
        <w:rPr>
          <w:i/>
          <w:iCs/>
          <w:noProof/>
        </w:rPr>
        <w:t xml:space="preserve">Introduction to the practice of statistics, </w:t>
      </w:r>
      <w:r>
        <w:rPr>
          <w:noProof/>
        </w:rPr>
        <w:t>WH Freeman/Times Books/ Henry Holt &amp; Co.</w:t>
      </w:r>
    </w:p>
    <w:p w14:paraId="14078C50" w14:textId="77777777" w:rsidR="00B54D51" w:rsidRPr="009E2F87" w:rsidRDefault="00B54D51" w:rsidP="009E2F87">
      <w:pPr>
        <w:pStyle w:val="EndNoteBibliography"/>
        <w:ind w:left="720" w:hanging="720"/>
        <w:rPr>
          <w:noProof/>
        </w:rPr>
      </w:pPr>
      <w:r w:rsidRPr="009E2F87">
        <w:rPr>
          <w:noProof/>
        </w:rPr>
        <w:t xml:space="preserve">MONIZ-COOK, E., VERNOOIJ-DASSEN, M., WOODS, R., VERHEY, F., CHATTAT, R., VUGT, M. D., MOUNTAIN, G., O’CONNELL, M., HARRISON, J. &amp; VASSE, E. 2008. A European consensus on outcome measures for psychosocial intervention research in dementia care. </w:t>
      </w:r>
      <w:r w:rsidRPr="009E2F87">
        <w:rPr>
          <w:i/>
          <w:noProof/>
        </w:rPr>
        <w:t>Aging and Mental Health,</w:t>
      </w:r>
      <w:r w:rsidRPr="009E2F87">
        <w:rPr>
          <w:noProof/>
        </w:rPr>
        <w:t xml:space="preserve"> 12</w:t>
      </w:r>
      <w:r w:rsidRPr="009E2F87">
        <w:rPr>
          <w:b/>
          <w:noProof/>
        </w:rPr>
        <w:t>,</w:t>
      </w:r>
      <w:r w:rsidRPr="009E2F87">
        <w:rPr>
          <w:noProof/>
        </w:rPr>
        <w:t xml:space="preserve"> 14-29.</w:t>
      </w:r>
    </w:p>
    <w:p w14:paraId="009E9BC1" w14:textId="77777777" w:rsidR="00B54D51" w:rsidRPr="009E2F87" w:rsidRDefault="00B54D51" w:rsidP="009E2F87">
      <w:pPr>
        <w:pStyle w:val="EndNoteBibliography"/>
        <w:ind w:left="720" w:hanging="720"/>
        <w:rPr>
          <w:noProof/>
        </w:rPr>
      </w:pPr>
      <w:r w:rsidRPr="009E2F87">
        <w:rPr>
          <w:noProof/>
        </w:rPr>
        <w:t xml:space="preserve">MORRIS, J. C. 1991. The clinical dementia rating (cdr): Current version and. </w:t>
      </w:r>
      <w:r w:rsidRPr="009E2F87">
        <w:rPr>
          <w:i/>
          <w:noProof/>
        </w:rPr>
        <w:t>Young,</w:t>
      </w:r>
      <w:r w:rsidRPr="009E2F87">
        <w:rPr>
          <w:noProof/>
        </w:rPr>
        <w:t xml:space="preserve"> 41</w:t>
      </w:r>
      <w:r w:rsidRPr="009E2F87">
        <w:rPr>
          <w:b/>
          <w:noProof/>
        </w:rPr>
        <w:t>,</w:t>
      </w:r>
      <w:r w:rsidRPr="009E2F87">
        <w:rPr>
          <w:noProof/>
        </w:rPr>
        <w:t xml:space="preserve"> 1588-1592.</w:t>
      </w:r>
    </w:p>
    <w:p w14:paraId="5FC9E18D" w14:textId="77777777" w:rsidR="00B54D51" w:rsidRPr="009E2F87" w:rsidRDefault="00B54D51" w:rsidP="009E2F87">
      <w:pPr>
        <w:pStyle w:val="EndNoteBibliography"/>
        <w:ind w:left="720" w:hanging="720"/>
        <w:rPr>
          <w:noProof/>
        </w:rPr>
      </w:pPr>
      <w:r w:rsidRPr="009E2F87">
        <w:rPr>
          <w:noProof/>
        </w:rPr>
        <w:t xml:space="preserve">MORRIS, J. C. 1997. Clinical dementia rating: a reliable and valid diagnostic and staging measure for dementia of the Alzheimer type. </w:t>
      </w:r>
      <w:r w:rsidRPr="009E2F87">
        <w:rPr>
          <w:i/>
          <w:noProof/>
        </w:rPr>
        <w:t>International psychogeriatrics,</w:t>
      </w:r>
      <w:r w:rsidRPr="009E2F87">
        <w:rPr>
          <w:noProof/>
        </w:rPr>
        <w:t xml:space="preserve"> 9</w:t>
      </w:r>
      <w:r w:rsidRPr="009E2F87">
        <w:rPr>
          <w:b/>
          <w:noProof/>
        </w:rPr>
        <w:t>,</w:t>
      </w:r>
      <w:r w:rsidRPr="009E2F87">
        <w:rPr>
          <w:noProof/>
        </w:rPr>
        <w:t xml:space="preserve"> 173-176.</w:t>
      </w:r>
    </w:p>
    <w:p w14:paraId="5EDEBF08" w14:textId="77777777" w:rsidR="00B54D51" w:rsidRPr="009E2F87" w:rsidRDefault="00B54D51" w:rsidP="009E2F87">
      <w:pPr>
        <w:pStyle w:val="EndNoteBibliography"/>
        <w:ind w:left="720" w:hanging="720"/>
        <w:rPr>
          <w:noProof/>
        </w:rPr>
      </w:pPr>
      <w:r w:rsidRPr="009E2F87">
        <w:rPr>
          <w:noProof/>
        </w:rPr>
        <w:t xml:space="preserve">MULHERN, B., ROWEN, D., BRAZIER, J., SMITH, S., ROMEO, R., TAIT, R., WATCHURST, C., CHUA, K., LOFTUS, V. &amp; YOUNG, T. 2013. Development of DEMQOL-U and DEMQOL-PROXY-U: generation of preference-based indices from DEMQOL and DEMQOL-PROXY for use in economic evaluation. </w:t>
      </w:r>
      <w:r w:rsidRPr="009E2F87">
        <w:rPr>
          <w:i/>
          <w:noProof/>
        </w:rPr>
        <w:t>Health Technology Assessment (Winchester, England),</w:t>
      </w:r>
      <w:r w:rsidRPr="009E2F87">
        <w:rPr>
          <w:noProof/>
        </w:rPr>
        <w:t xml:space="preserve"> 17</w:t>
      </w:r>
      <w:r w:rsidRPr="009E2F87">
        <w:rPr>
          <w:b/>
          <w:noProof/>
        </w:rPr>
        <w:t>,</w:t>
      </w:r>
      <w:r w:rsidRPr="009E2F87">
        <w:rPr>
          <w:noProof/>
        </w:rPr>
        <w:t xml:space="preserve"> v.</w:t>
      </w:r>
    </w:p>
    <w:p w14:paraId="22536EEC" w14:textId="77777777" w:rsidR="00B54D51" w:rsidRPr="009E2F87" w:rsidRDefault="00B54D51" w:rsidP="009E2F87">
      <w:pPr>
        <w:pStyle w:val="EndNoteBibliography"/>
        <w:ind w:left="720" w:hanging="720"/>
        <w:rPr>
          <w:noProof/>
        </w:rPr>
      </w:pPr>
      <w:r w:rsidRPr="009E2F87">
        <w:rPr>
          <w:noProof/>
        </w:rPr>
        <w:t xml:space="preserve">MUUS, I., PETZOLD, M. &amp; RINGSBERG, K. C. 2009. Health-related quality of life after stroke: reliability of proxy responses. </w:t>
      </w:r>
      <w:r w:rsidRPr="009E2F87">
        <w:rPr>
          <w:i/>
          <w:noProof/>
        </w:rPr>
        <w:t>Clinical nursing research,</w:t>
      </w:r>
      <w:r w:rsidRPr="009E2F87">
        <w:rPr>
          <w:noProof/>
        </w:rPr>
        <w:t xml:space="preserve"> 18</w:t>
      </w:r>
      <w:r w:rsidRPr="009E2F87">
        <w:rPr>
          <w:b/>
          <w:noProof/>
        </w:rPr>
        <w:t>,</w:t>
      </w:r>
      <w:r w:rsidRPr="009E2F87">
        <w:rPr>
          <w:noProof/>
        </w:rPr>
        <w:t xml:space="preserve"> 103-118.</w:t>
      </w:r>
    </w:p>
    <w:p w14:paraId="75D3257A" w14:textId="77777777" w:rsidR="00B54D51" w:rsidRPr="009E2F87" w:rsidRDefault="00B54D51" w:rsidP="009E2F87">
      <w:pPr>
        <w:pStyle w:val="EndNoteBibliography"/>
        <w:ind w:left="720" w:hanging="720"/>
        <w:rPr>
          <w:noProof/>
        </w:rPr>
      </w:pPr>
      <w:r w:rsidRPr="009E2F87">
        <w:rPr>
          <w:noProof/>
        </w:rPr>
        <w:t xml:space="preserve">NAGLIE, G., HOGAN, D. B., KRAHN, M., BEATTIE, B. L., BLACK, S. E., MACKNIGHT, C., FREEDMAN, M., PATTERSON, C., BORRIE, M. &amp; BERGMAN, H. 2011a. Predictors of patient self-ratings of quality of life in Alzheimer disease: cross-sectional results from the Canadian Alzheimer's Disease Quality of Life Study. </w:t>
      </w:r>
      <w:r w:rsidRPr="009E2F87">
        <w:rPr>
          <w:i/>
          <w:noProof/>
        </w:rPr>
        <w:t>The American Journal of Geriatric Psychiatry,</w:t>
      </w:r>
      <w:r w:rsidRPr="009E2F87">
        <w:rPr>
          <w:noProof/>
        </w:rPr>
        <w:t xml:space="preserve"> 19</w:t>
      </w:r>
      <w:r w:rsidRPr="009E2F87">
        <w:rPr>
          <w:b/>
          <w:noProof/>
        </w:rPr>
        <w:t>,</w:t>
      </w:r>
      <w:r w:rsidRPr="009E2F87">
        <w:rPr>
          <w:noProof/>
        </w:rPr>
        <w:t xml:space="preserve"> 881-890.</w:t>
      </w:r>
    </w:p>
    <w:p w14:paraId="4051C00B" w14:textId="77777777" w:rsidR="00B54D51" w:rsidRPr="009E2F87" w:rsidRDefault="00B54D51" w:rsidP="009E2F87">
      <w:pPr>
        <w:pStyle w:val="EndNoteBibliography"/>
        <w:ind w:left="720" w:hanging="720"/>
        <w:rPr>
          <w:noProof/>
        </w:rPr>
      </w:pPr>
      <w:r w:rsidRPr="009E2F87">
        <w:rPr>
          <w:noProof/>
        </w:rPr>
        <w:t xml:space="preserve">NAGLIE, G., HOGAN, D. B., KRAHN, M., BLACK, S. E., BEATTIE, B. L., PATTERSON, C., MACKNIGHT, C., FREEDMAN, M., BORRIE, M. &amp; BYSZEWSKI, A. 2011b. Predictors of family caregiver ratings of patient quality of life in Alzheimer disease: cross-sectional results from the Canadian Alzheimer's Disease Quality of Life Study. </w:t>
      </w:r>
      <w:r w:rsidRPr="009E2F87">
        <w:rPr>
          <w:i/>
          <w:noProof/>
        </w:rPr>
        <w:t>The American Journal of Geriatric Psychiatry,</w:t>
      </w:r>
      <w:r w:rsidRPr="009E2F87">
        <w:rPr>
          <w:noProof/>
        </w:rPr>
        <w:t xml:space="preserve"> 19</w:t>
      </w:r>
      <w:r w:rsidRPr="009E2F87">
        <w:rPr>
          <w:b/>
          <w:noProof/>
        </w:rPr>
        <w:t>,</w:t>
      </w:r>
      <w:r w:rsidRPr="009E2F87">
        <w:rPr>
          <w:noProof/>
        </w:rPr>
        <w:t xml:space="preserve"> 891-901.</w:t>
      </w:r>
    </w:p>
    <w:p w14:paraId="1B413041" w14:textId="77777777" w:rsidR="00B54D51" w:rsidRPr="009E2F87" w:rsidRDefault="00B54D51" w:rsidP="009E2F87">
      <w:pPr>
        <w:pStyle w:val="EndNoteBibliography"/>
        <w:ind w:left="720" w:hanging="720"/>
        <w:rPr>
          <w:noProof/>
        </w:rPr>
      </w:pPr>
      <w:r w:rsidRPr="009E2F87">
        <w:rPr>
          <w:noProof/>
        </w:rPr>
        <w:t xml:space="preserve">NHS HRA. 2024. </w:t>
      </w:r>
      <w:r w:rsidRPr="009E2F87">
        <w:rPr>
          <w:i/>
          <w:noProof/>
        </w:rPr>
        <w:t xml:space="preserve">Public Involvement in research? </w:t>
      </w:r>
      <w:r w:rsidRPr="009E2F87">
        <w:rPr>
          <w:noProof/>
        </w:rPr>
        <w:t xml:space="preserve">[Online]. Available: </w:t>
      </w:r>
      <w:r w:rsidRPr="00B54D51">
        <w:rPr>
          <w:noProof/>
        </w:rPr>
        <w:t>https://www.hra.nhs.uk/planning-and-improving-research/best-practice/public-involvement/#:~:text=Public%20involvement%20in%20research%20means,taking%20part%20in%20a%20study</w:t>
      </w:r>
      <w:r w:rsidRPr="009E2F87">
        <w:rPr>
          <w:noProof/>
        </w:rPr>
        <w:t>. [Accessed January 2024].</w:t>
      </w:r>
    </w:p>
    <w:p w14:paraId="2EE4E151" w14:textId="77777777" w:rsidR="00B54D51" w:rsidRPr="009E2F87" w:rsidRDefault="00B54D51" w:rsidP="009E2F87">
      <w:pPr>
        <w:pStyle w:val="EndNoteBibliography"/>
        <w:ind w:left="720" w:hanging="720"/>
        <w:rPr>
          <w:noProof/>
        </w:rPr>
      </w:pPr>
      <w:r w:rsidRPr="009E2F87">
        <w:rPr>
          <w:noProof/>
        </w:rPr>
        <w:t>NICE 2010. ARICEPT (DONEPEZIL) SUBMISSION TO THE NATIONAL INSTITUTE FOR HEALTH AND CLINICAL EXCELLENCE MULTIPLE TECHNOLOGY APPRAISAL (MTA).</w:t>
      </w:r>
    </w:p>
    <w:p w14:paraId="1DA4A0A4" w14:textId="77777777" w:rsidR="00B54D51" w:rsidRPr="009E2F87" w:rsidRDefault="00B54D51" w:rsidP="009E2F87">
      <w:pPr>
        <w:pStyle w:val="EndNoteBibliography"/>
        <w:ind w:left="720" w:hanging="720"/>
        <w:rPr>
          <w:noProof/>
        </w:rPr>
      </w:pPr>
      <w:r w:rsidRPr="009E2F87">
        <w:rPr>
          <w:noProof/>
        </w:rPr>
        <w:t>NICE 2011a. Donepezil, Galantamine, Rivastigmine and Memantne for the Treatment of Alzheimer's Disease: Review of NICE Technology Appraisal Guidance 111: National Institute for Health and Clinical Excellence 2011.</w:t>
      </w:r>
    </w:p>
    <w:p w14:paraId="4FB3809B" w14:textId="77777777" w:rsidR="00B54D51" w:rsidRPr="009E2F87" w:rsidRDefault="00B54D51" w:rsidP="009E2F87">
      <w:pPr>
        <w:pStyle w:val="EndNoteBibliography"/>
        <w:ind w:left="720" w:hanging="720"/>
        <w:rPr>
          <w:noProof/>
        </w:rPr>
      </w:pPr>
      <w:r w:rsidRPr="009E2F87">
        <w:rPr>
          <w:noProof/>
        </w:rPr>
        <w:t>NICE 2011b. Final Appraisal Determination. Donepezil, galantamine, rivastigmine and memantine for the treatment of Alzheimer's disease (review of NICE technology appraisal guidance 111).</w:t>
      </w:r>
    </w:p>
    <w:p w14:paraId="345989A9" w14:textId="77777777" w:rsidR="00B54D51" w:rsidRPr="009E2F87" w:rsidRDefault="00B54D51" w:rsidP="009E2F87">
      <w:pPr>
        <w:pStyle w:val="EndNoteBibliography"/>
        <w:ind w:left="720" w:hanging="720"/>
        <w:rPr>
          <w:noProof/>
        </w:rPr>
      </w:pPr>
      <w:r w:rsidRPr="009E2F87">
        <w:rPr>
          <w:noProof/>
        </w:rPr>
        <w:t>NICE 2011c. Final Appraisal Determination. Donepezil, galantamine, rivastigmine and memantine for the treatment of Alzheimer’s disease (review of NICE technology appraisal guidance 111). 2023.</w:t>
      </w:r>
    </w:p>
    <w:p w14:paraId="6A02D994" w14:textId="77777777" w:rsidR="00B54D51" w:rsidRPr="009E2F87" w:rsidRDefault="00B54D51" w:rsidP="009E2F87">
      <w:pPr>
        <w:pStyle w:val="EndNoteBibliography"/>
        <w:ind w:left="720" w:hanging="720"/>
        <w:rPr>
          <w:noProof/>
        </w:rPr>
      </w:pPr>
      <w:r w:rsidRPr="009E2F87">
        <w:rPr>
          <w:noProof/>
        </w:rPr>
        <w:lastRenderedPageBreak/>
        <w:t xml:space="preserve">NICE. 2013. </w:t>
      </w:r>
      <w:r w:rsidRPr="009E2F87">
        <w:rPr>
          <w:i/>
          <w:noProof/>
        </w:rPr>
        <w:t xml:space="preserve">Updated guide to the methods of technology appraisal </w:t>
      </w:r>
      <w:r w:rsidRPr="009E2F87">
        <w:rPr>
          <w:noProof/>
        </w:rPr>
        <w:t xml:space="preserve">[Online]. London: NICE; 2013. Available: </w:t>
      </w:r>
      <w:r w:rsidRPr="00B54D51">
        <w:rPr>
          <w:noProof/>
        </w:rPr>
        <w:t>https://www.nice.org.uk/process/pmg9/chapter/foreword</w:t>
      </w:r>
      <w:r w:rsidRPr="009E2F87">
        <w:rPr>
          <w:noProof/>
        </w:rPr>
        <w:t xml:space="preserve"> [Accessed 2023].</w:t>
      </w:r>
    </w:p>
    <w:p w14:paraId="0A620405" w14:textId="77777777" w:rsidR="00B54D51" w:rsidRPr="009E2F87" w:rsidRDefault="00B54D51" w:rsidP="009E2F87">
      <w:pPr>
        <w:pStyle w:val="EndNoteBibliography"/>
        <w:ind w:left="720" w:hanging="720"/>
        <w:rPr>
          <w:noProof/>
        </w:rPr>
      </w:pPr>
      <w:r w:rsidRPr="009E2F87">
        <w:rPr>
          <w:noProof/>
        </w:rPr>
        <w:t xml:space="preserve">NICE 2019a. Position statement on use of the EQ-5D-5L value set for England (updated October 2019). </w:t>
      </w:r>
      <w:r w:rsidRPr="009E2F87">
        <w:rPr>
          <w:i/>
          <w:noProof/>
        </w:rPr>
        <w:t xml:space="preserve">Technology appraisal guidance </w:t>
      </w:r>
      <w:r w:rsidRPr="009E2F87">
        <w:rPr>
          <w:noProof/>
        </w:rPr>
        <w:t>2022.</w:t>
      </w:r>
    </w:p>
    <w:p w14:paraId="6D40F3F4" w14:textId="77777777" w:rsidR="00B54D51" w:rsidRPr="009E2F87" w:rsidRDefault="00B54D51" w:rsidP="009E2F87">
      <w:pPr>
        <w:pStyle w:val="EndNoteBibliography"/>
        <w:ind w:left="720" w:hanging="720"/>
        <w:rPr>
          <w:noProof/>
        </w:rPr>
      </w:pPr>
      <w:r w:rsidRPr="009E2F87">
        <w:rPr>
          <w:noProof/>
        </w:rPr>
        <w:t>NICE 2019b. Position statement on use of the EQ-5D-5L value set for England (updated October 2019). 2024.</w:t>
      </w:r>
    </w:p>
    <w:p w14:paraId="6FDBC40F" w14:textId="77777777" w:rsidR="00B54D51" w:rsidRPr="009E2F87" w:rsidRDefault="00B54D51" w:rsidP="009E2F87">
      <w:pPr>
        <w:pStyle w:val="EndNoteBibliography"/>
        <w:ind w:left="720" w:hanging="720"/>
        <w:rPr>
          <w:noProof/>
        </w:rPr>
      </w:pPr>
      <w:r w:rsidRPr="009E2F87">
        <w:rPr>
          <w:noProof/>
        </w:rPr>
        <w:t>NICE 2020a. CHTE Methods Review: Health-related quality of life.</w:t>
      </w:r>
    </w:p>
    <w:p w14:paraId="5CFD6D5B" w14:textId="77777777" w:rsidR="00B54D51" w:rsidRPr="009E2F87" w:rsidRDefault="00B54D51" w:rsidP="009E2F87">
      <w:pPr>
        <w:pStyle w:val="EndNoteBibliography"/>
        <w:ind w:left="720" w:hanging="720"/>
        <w:rPr>
          <w:noProof/>
        </w:rPr>
      </w:pPr>
      <w:r w:rsidRPr="009E2F87">
        <w:rPr>
          <w:noProof/>
        </w:rPr>
        <w:t xml:space="preserve">NICE. 2020b. </w:t>
      </w:r>
      <w:r w:rsidRPr="009E2F87">
        <w:rPr>
          <w:i/>
          <w:noProof/>
        </w:rPr>
        <w:t xml:space="preserve">NICE technology appraisal guidance </w:t>
      </w:r>
      <w:r w:rsidRPr="009E2F87">
        <w:rPr>
          <w:noProof/>
        </w:rPr>
        <w:t xml:space="preserve">[Online]. Available: </w:t>
      </w:r>
      <w:r w:rsidRPr="00B54D51">
        <w:rPr>
          <w:noProof/>
        </w:rPr>
        <w:t>https://www.nice.org.uk/about/what-we-do/our-programmes/nice-guidance/nice-technology-appraisal-guidance30/01/2021</w:t>
      </w:r>
      <w:r w:rsidRPr="009E2F87">
        <w:rPr>
          <w:noProof/>
        </w:rPr>
        <w:t>. [Accessed 28/01/2021].</w:t>
      </w:r>
    </w:p>
    <w:p w14:paraId="01592A48" w14:textId="77777777" w:rsidR="00B54D51" w:rsidRPr="009E2F87" w:rsidRDefault="00B54D51" w:rsidP="009E2F87">
      <w:pPr>
        <w:pStyle w:val="EndNoteBibliography"/>
        <w:ind w:left="720" w:hanging="720"/>
        <w:rPr>
          <w:noProof/>
        </w:rPr>
      </w:pPr>
      <w:r w:rsidRPr="009E2F87">
        <w:rPr>
          <w:noProof/>
        </w:rPr>
        <w:t xml:space="preserve">NICE 2022. NICE health technology evaluations: the manual. </w:t>
      </w:r>
      <w:r w:rsidRPr="009E2F87">
        <w:rPr>
          <w:i/>
          <w:noProof/>
        </w:rPr>
        <w:t xml:space="preserve">Process and methods [PMG36] </w:t>
      </w:r>
      <w:r w:rsidRPr="009E2F87">
        <w:rPr>
          <w:noProof/>
        </w:rPr>
        <w:t>2022.</w:t>
      </w:r>
    </w:p>
    <w:p w14:paraId="54B7C70D" w14:textId="77777777" w:rsidR="00B54D51" w:rsidRPr="009E2F87" w:rsidRDefault="00B54D51" w:rsidP="009E2F87">
      <w:pPr>
        <w:pStyle w:val="EndNoteBibliography"/>
        <w:ind w:left="720" w:hanging="720"/>
        <w:rPr>
          <w:noProof/>
        </w:rPr>
      </w:pPr>
      <w:r w:rsidRPr="009E2F87">
        <w:rPr>
          <w:noProof/>
        </w:rPr>
        <w:t xml:space="preserve">NICKEL, F., BARTH, J. &amp; KOLOMINSKY-RABAS, P. L. 2018. Health economic evaluations of non-pharmacological interventions for persons with dementia and their informal caregivers: a systematic review. </w:t>
      </w:r>
      <w:r w:rsidRPr="009E2F87">
        <w:rPr>
          <w:i/>
          <w:noProof/>
        </w:rPr>
        <w:t>BMC geriatrics,</w:t>
      </w:r>
      <w:r w:rsidRPr="009E2F87">
        <w:rPr>
          <w:noProof/>
        </w:rPr>
        <w:t xml:space="preserve"> 18</w:t>
      </w:r>
      <w:r w:rsidRPr="009E2F87">
        <w:rPr>
          <w:b/>
          <w:noProof/>
        </w:rPr>
        <w:t>,</w:t>
      </w:r>
      <w:r w:rsidRPr="009E2F87">
        <w:rPr>
          <w:noProof/>
        </w:rPr>
        <w:t xml:space="preserve"> 1-18.</w:t>
      </w:r>
    </w:p>
    <w:p w14:paraId="295C0EB9" w14:textId="77777777" w:rsidR="00B54D51" w:rsidRPr="009E2F87" w:rsidRDefault="00B54D51" w:rsidP="009E2F87">
      <w:pPr>
        <w:pStyle w:val="EndNoteBibliography"/>
        <w:ind w:left="720" w:hanging="720"/>
        <w:rPr>
          <w:noProof/>
        </w:rPr>
      </w:pPr>
      <w:r w:rsidRPr="009E2F87">
        <w:rPr>
          <w:noProof/>
        </w:rPr>
        <w:t>NIHR 2019. PPI (Patient and Public Involvement) resources for applicants to NIHR research programmes. 2024.</w:t>
      </w:r>
    </w:p>
    <w:p w14:paraId="4BAD9BB5" w14:textId="77777777" w:rsidR="00B54D51" w:rsidRPr="009E2F87" w:rsidRDefault="00B54D51" w:rsidP="009E2F87">
      <w:pPr>
        <w:pStyle w:val="EndNoteBibliography"/>
        <w:ind w:left="720" w:hanging="720"/>
        <w:rPr>
          <w:noProof/>
        </w:rPr>
      </w:pPr>
      <w:r w:rsidRPr="009E2F87">
        <w:rPr>
          <w:noProof/>
        </w:rPr>
        <w:t xml:space="preserve">O'ROURKE, H. M., DUGGLEBY, W., FRASER, K. D. &amp; JERKE, L. 2015. Factors that affect quality of life from the perspective of people with dementia: a metasynthesis. </w:t>
      </w:r>
      <w:r w:rsidRPr="009E2F87">
        <w:rPr>
          <w:i/>
          <w:noProof/>
        </w:rPr>
        <w:t>Journal of the American Geriatrics Society,</w:t>
      </w:r>
      <w:r w:rsidRPr="009E2F87">
        <w:rPr>
          <w:noProof/>
        </w:rPr>
        <w:t xml:space="preserve"> 63</w:t>
      </w:r>
      <w:r w:rsidRPr="009E2F87">
        <w:rPr>
          <w:b/>
          <w:noProof/>
        </w:rPr>
        <w:t>,</w:t>
      </w:r>
      <w:r w:rsidRPr="009E2F87">
        <w:rPr>
          <w:noProof/>
        </w:rPr>
        <w:t xml:space="preserve"> 24-38.</w:t>
      </w:r>
    </w:p>
    <w:p w14:paraId="5E3B5A0D" w14:textId="77777777" w:rsidR="00B54D51" w:rsidRPr="009E2F87" w:rsidRDefault="00B54D51" w:rsidP="009E2F87">
      <w:pPr>
        <w:pStyle w:val="EndNoteBibliography"/>
        <w:ind w:left="720" w:hanging="720"/>
        <w:rPr>
          <w:noProof/>
        </w:rPr>
      </w:pPr>
      <w:r w:rsidRPr="009E2F87">
        <w:rPr>
          <w:noProof/>
        </w:rPr>
        <w:t xml:space="preserve">O’SHEA, E., HOPPER, L., MARQUES, M., GONÇALVES-PEREIRA, M., WOODS, B., JELLEY, H., VERHEY, F., KERPERSHOEK, L., WOLFS, C. &amp; DE VUGT, M. 2020. A comparison of self and proxy quality of life ratings for people with dementia and their carers: a European prospective cohort study. </w:t>
      </w:r>
      <w:r w:rsidRPr="009E2F87">
        <w:rPr>
          <w:i/>
          <w:noProof/>
        </w:rPr>
        <w:t>Aging &amp; mental health,</w:t>
      </w:r>
      <w:r w:rsidRPr="009E2F87">
        <w:rPr>
          <w:noProof/>
        </w:rPr>
        <w:t xml:space="preserve"> 24</w:t>
      </w:r>
      <w:r w:rsidRPr="009E2F87">
        <w:rPr>
          <w:b/>
          <w:noProof/>
        </w:rPr>
        <w:t>,</w:t>
      </w:r>
      <w:r w:rsidRPr="009E2F87">
        <w:rPr>
          <w:noProof/>
        </w:rPr>
        <w:t xml:space="preserve"> 162-170.</w:t>
      </w:r>
    </w:p>
    <w:p w14:paraId="25FA82C2" w14:textId="77777777" w:rsidR="00B54D51" w:rsidRPr="009E2F87" w:rsidRDefault="00B54D51" w:rsidP="009E2F87">
      <w:pPr>
        <w:pStyle w:val="EndNoteBibliography"/>
        <w:ind w:left="720" w:hanging="720"/>
        <w:rPr>
          <w:noProof/>
        </w:rPr>
      </w:pPr>
      <w:r w:rsidRPr="009E2F87">
        <w:rPr>
          <w:noProof/>
        </w:rPr>
        <w:t xml:space="preserve">ONS. 2017. </w:t>
      </w:r>
      <w:r w:rsidRPr="009E2F87">
        <w:rPr>
          <w:i/>
          <w:noProof/>
        </w:rPr>
        <w:t xml:space="preserve">National Population Projections: 2016-based statistical bulletin </w:t>
      </w:r>
      <w:r w:rsidRPr="009E2F87">
        <w:rPr>
          <w:noProof/>
        </w:rPr>
        <w:t xml:space="preserve">[Online]. Available: </w:t>
      </w:r>
      <w:r w:rsidRPr="00B54D51">
        <w:rPr>
          <w:noProof/>
        </w:rPr>
        <w:t>https://www.ons.gov.uk/peoplepopulationandcommunity/populationandmigration/populationprojections/bulletins/nationalpopulationprojections/2016basedstatisticalbulletin#:~:text=This%20partly%20reflects%20the%201960s,to%20double%20to%203.2%20million</w:t>
      </w:r>
      <w:r w:rsidRPr="009E2F87">
        <w:rPr>
          <w:noProof/>
        </w:rPr>
        <w:t>. [Accessed February 2024].</w:t>
      </w:r>
    </w:p>
    <w:p w14:paraId="167724BF" w14:textId="77777777" w:rsidR="00B54D51" w:rsidRPr="009E2F87" w:rsidRDefault="00B54D51" w:rsidP="009E2F87">
      <w:pPr>
        <w:pStyle w:val="EndNoteBibliography"/>
        <w:ind w:left="720" w:hanging="720"/>
        <w:rPr>
          <w:noProof/>
        </w:rPr>
      </w:pPr>
      <w:r w:rsidRPr="009E2F87">
        <w:rPr>
          <w:noProof/>
        </w:rPr>
        <w:t xml:space="preserve">ORGETA, V., EDWARDS, R. T., HOUNSOME, B., ORRELL, M. &amp; WOODS, B. 2015a. The use of the EQ-5D as a measure of health-related quality of life in people with dementia and their carers. </w:t>
      </w:r>
      <w:r w:rsidRPr="009E2F87">
        <w:rPr>
          <w:i/>
          <w:noProof/>
        </w:rPr>
        <w:t>Quality of Life Research,</w:t>
      </w:r>
      <w:r w:rsidRPr="009E2F87">
        <w:rPr>
          <w:noProof/>
        </w:rPr>
        <w:t xml:space="preserve"> 24</w:t>
      </w:r>
      <w:r w:rsidRPr="009E2F87">
        <w:rPr>
          <w:b/>
          <w:noProof/>
        </w:rPr>
        <w:t>,</w:t>
      </w:r>
      <w:r w:rsidRPr="009E2F87">
        <w:rPr>
          <w:noProof/>
        </w:rPr>
        <w:t xml:space="preserve"> 315-324.</w:t>
      </w:r>
    </w:p>
    <w:p w14:paraId="73C965D0" w14:textId="77777777" w:rsidR="00B54D51" w:rsidRPr="009E2F87" w:rsidRDefault="00B54D51" w:rsidP="009E2F87">
      <w:pPr>
        <w:pStyle w:val="EndNoteBibliography"/>
        <w:ind w:left="720" w:hanging="720"/>
        <w:rPr>
          <w:noProof/>
        </w:rPr>
      </w:pPr>
      <w:r w:rsidRPr="009E2F87">
        <w:rPr>
          <w:rFonts w:hint="eastAsia"/>
          <w:noProof/>
        </w:rPr>
        <w:t xml:space="preserve">ORGETA, V., ORRELL, M., HOUNSOME, B., WOODS, B. &amp; TEAM, R. 2015b. Self and carer perspectives of quality of life in dementia using the QoL‐AD. </w:t>
      </w:r>
      <w:r w:rsidRPr="009E2F87">
        <w:rPr>
          <w:rFonts w:hint="eastAsia"/>
          <w:i/>
          <w:noProof/>
        </w:rPr>
        <w:t>Internati</w:t>
      </w:r>
      <w:r w:rsidRPr="009E2F87">
        <w:rPr>
          <w:i/>
          <w:noProof/>
        </w:rPr>
        <w:t>onal journal of geriatric psychiatry,</w:t>
      </w:r>
      <w:r w:rsidRPr="009E2F87">
        <w:rPr>
          <w:noProof/>
        </w:rPr>
        <w:t xml:space="preserve"> 30</w:t>
      </w:r>
      <w:r w:rsidRPr="009E2F87">
        <w:rPr>
          <w:b/>
          <w:noProof/>
        </w:rPr>
        <w:t>,</w:t>
      </w:r>
      <w:r w:rsidRPr="009E2F87">
        <w:rPr>
          <w:noProof/>
        </w:rPr>
        <w:t xml:space="preserve"> 97-104.</w:t>
      </w:r>
    </w:p>
    <w:p w14:paraId="1053BFC5" w14:textId="77777777" w:rsidR="00B54D51" w:rsidRPr="009E2F87" w:rsidRDefault="00B54D51" w:rsidP="009E2F87">
      <w:pPr>
        <w:pStyle w:val="EndNoteBibliography"/>
        <w:ind w:left="720" w:hanging="720"/>
        <w:rPr>
          <w:noProof/>
        </w:rPr>
      </w:pPr>
      <w:r w:rsidRPr="009E2F87">
        <w:rPr>
          <w:noProof/>
        </w:rPr>
        <w:t xml:space="preserve">OYEBODE, J. R. &amp; PARVEEN, S. 2019. Psychosocial interventions for people with dementia: An overview and commentary on recent developments. </w:t>
      </w:r>
      <w:r w:rsidRPr="009E2F87">
        <w:rPr>
          <w:i/>
          <w:noProof/>
        </w:rPr>
        <w:t>Dementia,</w:t>
      </w:r>
      <w:r w:rsidRPr="009E2F87">
        <w:rPr>
          <w:noProof/>
        </w:rPr>
        <w:t xml:space="preserve"> 18</w:t>
      </w:r>
      <w:r w:rsidRPr="009E2F87">
        <w:rPr>
          <w:b/>
          <w:noProof/>
        </w:rPr>
        <w:t>,</w:t>
      </w:r>
      <w:r w:rsidRPr="009E2F87">
        <w:rPr>
          <w:noProof/>
        </w:rPr>
        <w:t xml:space="preserve"> 8-35.</w:t>
      </w:r>
    </w:p>
    <w:p w14:paraId="77F0AEEC" w14:textId="77777777" w:rsidR="00B54D51" w:rsidRPr="009E2F87" w:rsidRDefault="00B54D51" w:rsidP="009E2F87">
      <w:pPr>
        <w:pStyle w:val="EndNoteBibliography"/>
        <w:ind w:left="720" w:hanging="720"/>
        <w:rPr>
          <w:noProof/>
        </w:rPr>
      </w:pPr>
      <w:r w:rsidRPr="009E2F87">
        <w:rPr>
          <w:noProof/>
        </w:rPr>
        <w:t xml:space="preserve">PAPAIOANNOU, D., SUTTON, A., CARROLL, C., BOOTH, A. &amp; WONG, R. 2010. Literature searching for social science systematic reviews: consideration of a range of search techniques. </w:t>
      </w:r>
      <w:r w:rsidRPr="009E2F87">
        <w:rPr>
          <w:i/>
          <w:noProof/>
        </w:rPr>
        <w:t>Health Information &amp; Libraries Journal,</w:t>
      </w:r>
      <w:r w:rsidRPr="009E2F87">
        <w:rPr>
          <w:noProof/>
        </w:rPr>
        <w:t xml:space="preserve"> 27</w:t>
      </w:r>
      <w:r w:rsidRPr="009E2F87">
        <w:rPr>
          <w:b/>
          <w:noProof/>
        </w:rPr>
        <w:t>,</w:t>
      </w:r>
      <w:r w:rsidRPr="009E2F87">
        <w:rPr>
          <w:noProof/>
        </w:rPr>
        <w:t xml:space="preserve"> 114-122.</w:t>
      </w:r>
    </w:p>
    <w:p w14:paraId="67738313" w14:textId="77777777" w:rsidR="00B54D51" w:rsidRPr="009E2F87" w:rsidRDefault="00B54D51" w:rsidP="009E2F87">
      <w:pPr>
        <w:pStyle w:val="EndNoteBibliography"/>
        <w:ind w:left="720" w:hanging="720"/>
        <w:rPr>
          <w:noProof/>
        </w:rPr>
      </w:pPr>
      <w:r w:rsidRPr="009E2F87">
        <w:rPr>
          <w:noProof/>
        </w:rPr>
        <w:t xml:space="preserve">PATEL, B., PERERA, M., PENDLETON, J., RICHMAN, A. &amp; MAJUMDAR, B. 2014. Psychosocial interventions for dementia: from evidence to practice. </w:t>
      </w:r>
      <w:r w:rsidRPr="009E2F87">
        <w:rPr>
          <w:i/>
          <w:noProof/>
        </w:rPr>
        <w:t>Advances in psychiatric treatment,</w:t>
      </w:r>
      <w:r w:rsidRPr="009E2F87">
        <w:rPr>
          <w:noProof/>
        </w:rPr>
        <w:t xml:space="preserve"> 20</w:t>
      </w:r>
      <w:r w:rsidRPr="009E2F87">
        <w:rPr>
          <w:b/>
          <w:noProof/>
        </w:rPr>
        <w:t>,</w:t>
      </w:r>
      <w:r w:rsidRPr="009E2F87">
        <w:rPr>
          <w:noProof/>
        </w:rPr>
        <w:t xml:space="preserve"> 340-349.</w:t>
      </w:r>
    </w:p>
    <w:p w14:paraId="55786D1B" w14:textId="77777777" w:rsidR="00B54D51" w:rsidRPr="009E2F87" w:rsidRDefault="00B54D51" w:rsidP="009E2F87">
      <w:pPr>
        <w:pStyle w:val="EndNoteBibliography"/>
        <w:ind w:left="720" w:hanging="720"/>
        <w:rPr>
          <w:noProof/>
        </w:rPr>
      </w:pPr>
      <w:r w:rsidRPr="009E2F87">
        <w:rPr>
          <w:noProof/>
        </w:rPr>
        <w:t xml:space="preserve">PAYAKACHAT, N., ALI, M. M. &amp; TILFORD, J. M. 2015a. Can the EQ-5D detect meaningful change? A systematic review. </w:t>
      </w:r>
      <w:r w:rsidRPr="009E2F87">
        <w:rPr>
          <w:i/>
          <w:noProof/>
        </w:rPr>
        <w:t>Pharmacoeconomics,</w:t>
      </w:r>
      <w:r w:rsidRPr="009E2F87">
        <w:rPr>
          <w:noProof/>
        </w:rPr>
        <w:t xml:space="preserve"> 33</w:t>
      </w:r>
      <w:r w:rsidRPr="009E2F87">
        <w:rPr>
          <w:b/>
          <w:noProof/>
        </w:rPr>
        <w:t>,</w:t>
      </w:r>
      <w:r w:rsidRPr="009E2F87">
        <w:rPr>
          <w:noProof/>
        </w:rPr>
        <w:t xml:space="preserve"> 1137-1154.</w:t>
      </w:r>
    </w:p>
    <w:p w14:paraId="07FE92A8" w14:textId="77777777" w:rsidR="00B54D51" w:rsidRPr="009E2F87" w:rsidRDefault="00B54D51" w:rsidP="009E2F87">
      <w:pPr>
        <w:pStyle w:val="EndNoteBibliography"/>
        <w:ind w:left="720" w:hanging="720"/>
        <w:rPr>
          <w:noProof/>
        </w:rPr>
      </w:pPr>
      <w:r w:rsidRPr="009E2F87">
        <w:rPr>
          <w:noProof/>
        </w:rPr>
        <w:lastRenderedPageBreak/>
        <w:t xml:space="preserve">PAYAKACHAT, N., ALI, M. M. &amp; TILFORD, J. M. 2015b. Can the EQ-5D detect meaningful change? A systematic review. </w:t>
      </w:r>
      <w:r w:rsidRPr="009E2F87">
        <w:rPr>
          <w:i/>
          <w:noProof/>
        </w:rPr>
        <w:t>Pharmacoeconomics,</w:t>
      </w:r>
      <w:r w:rsidRPr="009E2F87">
        <w:rPr>
          <w:noProof/>
        </w:rPr>
        <w:t xml:space="preserve"> 33</w:t>
      </w:r>
      <w:r w:rsidRPr="009E2F87">
        <w:rPr>
          <w:b/>
          <w:noProof/>
        </w:rPr>
        <w:t>,</w:t>
      </w:r>
      <w:r w:rsidRPr="009E2F87">
        <w:rPr>
          <w:noProof/>
        </w:rPr>
        <w:t xml:space="preserve"> 1137-1154.</w:t>
      </w:r>
    </w:p>
    <w:p w14:paraId="4C4CF572" w14:textId="77777777" w:rsidR="00B54D51" w:rsidRPr="009E2F87" w:rsidRDefault="00B54D51" w:rsidP="009E2F87">
      <w:pPr>
        <w:pStyle w:val="EndNoteBibliography"/>
        <w:ind w:left="720" w:hanging="720"/>
        <w:rPr>
          <w:noProof/>
        </w:rPr>
      </w:pPr>
      <w:r w:rsidRPr="009E2F87">
        <w:rPr>
          <w:noProof/>
        </w:rPr>
        <w:t xml:space="preserve">PERALES, J., COSCO, T. D., STEPHAN, B. C., HARO, J. M. &amp; BRAYNE, C. 2013. Health-related quality-of-life instruments for Alzheimer’s disease and mixed dementia. </w:t>
      </w:r>
      <w:r w:rsidRPr="009E2F87">
        <w:rPr>
          <w:i/>
          <w:noProof/>
        </w:rPr>
        <w:t>Int Psychogeriatr,</w:t>
      </w:r>
      <w:r w:rsidRPr="009E2F87">
        <w:rPr>
          <w:noProof/>
        </w:rPr>
        <w:t xml:space="preserve"> 25</w:t>
      </w:r>
      <w:r w:rsidRPr="009E2F87">
        <w:rPr>
          <w:b/>
          <w:noProof/>
        </w:rPr>
        <w:t>,</w:t>
      </w:r>
      <w:r w:rsidRPr="009E2F87">
        <w:rPr>
          <w:noProof/>
        </w:rPr>
        <w:t xml:space="preserve"> 691-706.</w:t>
      </w:r>
    </w:p>
    <w:p w14:paraId="3F70FC04" w14:textId="77777777" w:rsidR="00B54D51" w:rsidRPr="009E2F87" w:rsidRDefault="00B54D51" w:rsidP="009E2F87">
      <w:pPr>
        <w:pStyle w:val="EndNoteBibliography"/>
        <w:ind w:left="720" w:hanging="720"/>
        <w:rPr>
          <w:noProof/>
        </w:rPr>
      </w:pPr>
      <w:r w:rsidRPr="009E2F87">
        <w:rPr>
          <w:noProof/>
        </w:rPr>
        <w:t xml:space="preserve">PICKARD, A. S. &amp; KNIGHT, S. J. 2005. Proxy evaluation of health-related quality of life: a conceptual framework for understanding multiple proxy perspectives. </w:t>
      </w:r>
      <w:r w:rsidRPr="009E2F87">
        <w:rPr>
          <w:i/>
          <w:noProof/>
        </w:rPr>
        <w:t>Medical care,</w:t>
      </w:r>
      <w:r w:rsidRPr="009E2F87">
        <w:rPr>
          <w:noProof/>
        </w:rPr>
        <w:t xml:space="preserve"> 43</w:t>
      </w:r>
      <w:r w:rsidRPr="009E2F87">
        <w:rPr>
          <w:b/>
          <w:noProof/>
        </w:rPr>
        <w:t>,</w:t>
      </w:r>
      <w:r w:rsidRPr="009E2F87">
        <w:rPr>
          <w:noProof/>
        </w:rPr>
        <w:t xml:space="preserve"> 493.</w:t>
      </w:r>
    </w:p>
    <w:p w14:paraId="6C810AFB" w14:textId="77777777" w:rsidR="00B54D51" w:rsidRPr="009E2F87" w:rsidRDefault="00B54D51" w:rsidP="009E2F87">
      <w:pPr>
        <w:pStyle w:val="EndNoteBibliography"/>
        <w:ind w:left="720" w:hanging="720"/>
        <w:rPr>
          <w:noProof/>
        </w:rPr>
      </w:pPr>
      <w:r w:rsidRPr="009E2F87">
        <w:rPr>
          <w:noProof/>
        </w:rPr>
        <w:t xml:space="preserve">PRASAD, S., KATTA, M. R., ABHISHEK, S., SRIDHAR, R., VALISEKKA, S. S., HAMEED, M., KAUR, J. &amp; WALIA, N. 2023. Recent advances in Lewy body dementia: A comprehensive review. </w:t>
      </w:r>
      <w:r w:rsidRPr="009E2F87">
        <w:rPr>
          <w:i/>
          <w:noProof/>
        </w:rPr>
        <w:t>Disease-a-Month,</w:t>
      </w:r>
      <w:r w:rsidRPr="009E2F87">
        <w:rPr>
          <w:noProof/>
        </w:rPr>
        <w:t xml:space="preserve"> 69</w:t>
      </w:r>
      <w:r w:rsidRPr="009E2F87">
        <w:rPr>
          <w:b/>
          <w:noProof/>
        </w:rPr>
        <w:t>,</w:t>
      </w:r>
      <w:r w:rsidRPr="009E2F87">
        <w:rPr>
          <w:noProof/>
        </w:rPr>
        <w:t xml:space="preserve"> 101441.</w:t>
      </w:r>
    </w:p>
    <w:p w14:paraId="2D8F1DBF" w14:textId="77777777" w:rsidR="00B54D51" w:rsidRPr="009E2F87" w:rsidRDefault="00B54D51" w:rsidP="009E2F87">
      <w:pPr>
        <w:pStyle w:val="EndNoteBibliography"/>
        <w:ind w:left="720" w:hanging="720"/>
        <w:rPr>
          <w:noProof/>
        </w:rPr>
      </w:pPr>
      <w:r w:rsidRPr="009E2F87">
        <w:rPr>
          <w:noProof/>
        </w:rPr>
        <w:t>RAND, S. &amp; CAIELS, J. 2015. Using proxies to assess quality of life: a review of the issues and challenges.</w:t>
      </w:r>
    </w:p>
    <w:p w14:paraId="6674E4DA" w14:textId="77777777" w:rsidR="00B54D51" w:rsidRPr="009E2F87" w:rsidRDefault="00B54D51" w:rsidP="009E2F87">
      <w:pPr>
        <w:pStyle w:val="EndNoteBibliography"/>
        <w:ind w:left="720" w:hanging="720"/>
        <w:rPr>
          <w:noProof/>
        </w:rPr>
      </w:pPr>
      <w:r w:rsidRPr="009E2F87">
        <w:rPr>
          <w:noProof/>
        </w:rPr>
        <w:t xml:space="preserve">RATCLIFFE, J., FLINT, T., EASTON, T., KILLINGTON, M., CAMERON, I., DAVIES, O., WHITEHEAD, C., KURRLE, S., MILLER, M. &amp; LIU, E. 2017. An empirical comparison of the EQ-5D-5L, DEMQOL-U and DEMQOL-Proxy-U in a post-hospitalisation population of frail older people living in residential aged care. </w:t>
      </w:r>
      <w:r w:rsidRPr="009E2F87">
        <w:rPr>
          <w:i/>
          <w:noProof/>
        </w:rPr>
        <w:t>Applied health economics and health policy,</w:t>
      </w:r>
      <w:r w:rsidRPr="009E2F87">
        <w:rPr>
          <w:noProof/>
        </w:rPr>
        <w:t xml:space="preserve"> 15</w:t>
      </w:r>
      <w:r w:rsidRPr="009E2F87">
        <w:rPr>
          <w:b/>
          <w:noProof/>
        </w:rPr>
        <w:t>,</w:t>
      </w:r>
      <w:r w:rsidRPr="009E2F87">
        <w:rPr>
          <w:noProof/>
        </w:rPr>
        <w:t xml:space="preserve"> 399-412.</w:t>
      </w:r>
    </w:p>
    <w:p w14:paraId="2D7C6F70" w14:textId="77777777" w:rsidR="00B54D51" w:rsidRPr="009E2F87" w:rsidRDefault="00B54D51" w:rsidP="009E2F87">
      <w:pPr>
        <w:pStyle w:val="EndNoteBibliography"/>
        <w:ind w:left="720" w:hanging="720"/>
        <w:rPr>
          <w:noProof/>
        </w:rPr>
      </w:pPr>
      <w:r w:rsidRPr="009E2F87">
        <w:rPr>
          <w:noProof/>
        </w:rPr>
        <w:t xml:space="preserve">REILLY, S. T., HARDING, A. J., MORBEY, H., AHMED, F., WILLIAMSON, P. R., SWARBRICK, C., LEROI, I., DAVIES, L., REEVES, D. &amp; HOLLAND, F. 2020. What is important to people with dementia living at home? A set of core outcome items for use in the evaluation of non-pharmacological community-based health and social care interventions. </w:t>
      </w:r>
      <w:r w:rsidRPr="009E2F87">
        <w:rPr>
          <w:i/>
          <w:noProof/>
        </w:rPr>
        <w:t>Age and Ageing,</w:t>
      </w:r>
      <w:r w:rsidRPr="009E2F87">
        <w:rPr>
          <w:noProof/>
        </w:rPr>
        <w:t xml:space="preserve"> 49</w:t>
      </w:r>
      <w:r w:rsidRPr="009E2F87">
        <w:rPr>
          <w:b/>
          <w:noProof/>
        </w:rPr>
        <w:t>,</w:t>
      </w:r>
      <w:r w:rsidRPr="009E2F87">
        <w:rPr>
          <w:noProof/>
        </w:rPr>
        <w:t xml:space="preserve"> 664-671.</w:t>
      </w:r>
    </w:p>
    <w:p w14:paraId="19CBF947" w14:textId="77777777" w:rsidR="00B54D51" w:rsidRPr="009E2F87" w:rsidRDefault="00B54D51" w:rsidP="009E2F87">
      <w:pPr>
        <w:pStyle w:val="EndNoteBibliography"/>
        <w:ind w:left="720" w:hanging="720"/>
        <w:rPr>
          <w:noProof/>
        </w:rPr>
      </w:pPr>
      <w:r w:rsidRPr="009E2F87">
        <w:rPr>
          <w:noProof/>
        </w:rPr>
        <w:t xml:space="preserve">REISBERG, B. 1988. Functional assessment staging (FAST). </w:t>
      </w:r>
      <w:r w:rsidRPr="009E2F87">
        <w:rPr>
          <w:i/>
          <w:noProof/>
        </w:rPr>
        <w:t>Psychopharmacology bulletin</w:t>
      </w:r>
      <w:r w:rsidRPr="009E2F87">
        <w:rPr>
          <w:noProof/>
        </w:rPr>
        <w:t>.</w:t>
      </w:r>
    </w:p>
    <w:p w14:paraId="4126C740" w14:textId="77777777" w:rsidR="00B54D51" w:rsidRPr="009E2F87" w:rsidRDefault="00B54D51" w:rsidP="009E2F87">
      <w:pPr>
        <w:pStyle w:val="EndNoteBibliography"/>
        <w:ind w:left="720" w:hanging="720"/>
        <w:rPr>
          <w:noProof/>
        </w:rPr>
      </w:pPr>
      <w:r w:rsidRPr="009E2F87">
        <w:rPr>
          <w:noProof/>
        </w:rPr>
        <w:t xml:space="preserve">REISBERG, B., FERRIS, S. H., DE LEON, M. J. &amp; CROOK, T. 1982. The Global Deterioration Scale for assessment of primary degenerative dementia. </w:t>
      </w:r>
      <w:r w:rsidRPr="009E2F87">
        <w:rPr>
          <w:i/>
          <w:noProof/>
        </w:rPr>
        <w:t>The American journal of psychiatry,</w:t>
      </w:r>
      <w:r w:rsidRPr="009E2F87">
        <w:rPr>
          <w:noProof/>
        </w:rPr>
        <w:t xml:space="preserve"> 139</w:t>
      </w:r>
      <w:r w:rsidRPr="009E2F87">
        <w:rPr>
          <w:b/>
          <w:noProof/>
        </w:rPr>
        <w:t>,</w:t>
      </w:r>
      <w:r w:rsidRPr="009E2F87">
        <w:rPr>
          <w:noProof/>
        </w:rPr>
        <w:t xml:space="preserve"> 1136-1139.</w:t>
      </w:r>
    </w:p>
    <w:p w14:paraId="07B6AD68" w14:textId="77777777" w:rsidR="00B54D51" w:rsidRPr="009E2F87" w:rsidRDefault="00B54D51" w:rsidP="009E2F87">
      <w:pPr>
        <w:pStyle w:val="EndNoteBibliography"/>
        <w:ind w:left="720" w:hanging="720"/>
        <w:rPr>
          <w:noProof/>
        </w:rPr>
      </w:pPr>
      <w:r w:rsidRPr="009E2F87">
        <w:rPr>
          <w:noProof/>
        </w:rPr>
        <w:t xml:space="preserve">ROCKWOOD, K., STRANG, D., MACKNIGHT, C., DOWNER, R. &amp; MORRIS, J. C. 2000. Interrater reliability of the Clinical Dementia Rating in a multicenter trial. </w:t>
      </w:r>
      <w:r w:rsidRPr="009E2F87">
        <w:rPr>
          <w:i/>
          <w:noProof/>
        </w:rPr>
        <w:t>Journal of the American Geriatrics Society,</w:t>
      </w:r>
      <w:r w:rsidRPr="009E2F87">
        <w:rPr>
          <w:noProof/>
        </w:rPr>
        <w:t xml:space="preserve"> 48</w:t>
      </w:r>
      <w:r w:rsidRPr="009E2F87">
        <w:rPr>
          <w:b/>
          <w:noProof/>
        </w:rPr>
        <w:t>,</w:t>
      </w:r>
      <w:r w:rsidRPr="009E2F87">
        <w:rPr>
          <w:noProof/>
        </w:rPr>
        <w:t xml:space="preserve"> 558-559.</w:t>
      </w:r>
    </w:p>
    <w:p w14:paraId="06272961" w14:textId="77777777" w:rsidR="00B54D51" w:rsidRPr="009E2F87" w:rsidRDefault="00B54D51" w:rsidP="009E2F87">
      <w:pPr>
        <w:pStyle w:val="EndNoteBibliography"/>
        <w:ind w:left="720" w:hanging="720"/>
        <w:rPr>
          <w:noProof/>
        </w:rPr>
      </w:pPr>
      <w:r w:rsidRPr="009E2F87">
        <w:rPr>
          <w:noProof/>
        </w:rPr>
        <w:t xml:space="preserve">RÖMHILD, J., FLEISCHER, S., MEYER, G., STEPHAN, A., ZWAKHALEN, S., LEINO-KILPI, H., ZABALEGUI, A., SAKS, K., SOTO-MARTIN, M. &amp; SUTCLIFFE, C. 2018. Inter-rater agreement of the Quality of Life-Alzheimer’s Disease (QoL-AD) self-rating and proxy rating scale: Secondary analysis of RightTimePlaceCare data. </w:t>
      </w:r>
      <w:r w:rsidRPr="009E2F87">
        <w:rPr>
          <w:i/>
          <w:noProof/>
        </w:rPr>
        <w:t>Health and quality of life outcomes,</w:t>
      </w:r>
      <w:r w:rsidRPr="009E2F87">
        <w:rPr>
          <w:noProof/>
        </w:rPr>
        <w:t xml:space="preserve"> 16</w:t>
      </w:r>
      <w:r w:rsidRPr="009E2F87">
        <w:rPr>
          <w:b/>
          <w:noProof/>
        </w:rPr>
        <w:t>,</w:t>
      </w:r>
      <w:r w:rsidRPr="009E2F87">
        <w:rPr>
          <w:noProof/>
        </w:rPr>
        <w:t xml:space="preserve"> 1-13.</w:t>
      </w:r>
    </w:p>
    <w:p w14:paraId="276B235D" w14:textId="77777777" w:rsidR="00B54D51" w:rsidRPr="009E2F87" w:rsidRDefault="00B54D51" w:rsidP="009E2F87">
      <w:pPr>
        <w:pStyle w:val="EndNoteBibliography"/>
        <w:ind w:left="720" w:hanging="720"/>
        <w:rPr>
          <w:noProof/>
        </w:rPr>
      </w:pPr>
      <w:r w:rsidRPr="009E2F87">
        <w:rPr>
          <w:noProof/>
        </w:rPr>
        <w:t xml:space="preserve">ROWEN, D., MULHERN, B., BANERJEE, S., VAN HOUT, B., YOUNG, T. A., KNAPP, M., SMITH, S. C., LAMPING, D. L. &amp; BRAZIER, J. E. 2012. Estimating preference-based single index measures for dementia using DEMQOL and DEMQOL-Proxy. </w:t>
      </w:r>
      <w:r w:rsidRPr="009E2F87">
        <w:rPr>
          <w:i/>
          <w:noProof/>
        </w:rPr>
        <w:t>Value in health,</w:t>
      </w:r>
      <w:r w:rsidRPr="009E2F87">
        <w:rPr>
          <w:noProof/>
        </w:rPr>
        <w:t xml:space="preserve"> 15</w:t>
      </w:r>
      <w:r w:rsidRPr="009E2F87">
        <w:rPr>
          <w:b/>
          <w:noProof/>
        </w:rPr>
        <w:t>,</w:t>
      </w:r>
      <w:r w:rsidRPr="009E2F87">
        <w:rPr>
          <w:noProof/>
        </w:rPr>
        <w:t xml:space="preserve"> 346-356.</w:t>
      </w:r>
    </w:p>
    <w:p w14:paraId="5438784E" w14:textId="77777777" w:rsidR="00B54D51" w:rsidRPr="009E2F87" w:rsidRDefault="00B54D51" w:rsidP="009E2F87">
      <w:pPr>
        <w:pStyle w:val="EndNoteBibliography"/>
        <w:ind w:left="720" w:hanging="720"/>
        <w:rPr>
          <w:noProof/>
        </w:rPr>
      </w:pPr>
      <w:r w:rsidRPr="009E2F87">
        <w:rPr>
          <w:noProof/>
        </w:rPr>
        <w:t xml:space="preserve">SAAL, F. E., DOWNEY, R. G. &amp; LAHEY, M. A. 1980. Rating the ratings: Assessing the psychometric quality of rating data. </w:t>
      </w:r>
      <w:r w:rsidRPr="009E2F87">
        <w:rPr>
          <w:i/>
          <w:noProof/>
        </w:rPr>
        <w:t>Psychological bulletin,</w:t>
      </w:r>
      <w:r w:rsidRPr="009E2F87">
        <w:rPr>
          <w:noProof/>
        </w:rPr>
        <w:t xml:space="preserve"> 88</w:t>
      </w:r>
      <w:r w:rsidRPr="009E2F87">
        <w:rPr>
          <w:b/>
          <w:noProof/>
        </w:rPr>
        <w:t>,</w:t>
      </w:r>
      <w:r w:rsidRPr="009E2F87">
        <w:rPr>
          <w:noProof/>
        </w:rPr>
        <w:t xml:space="preserve"> 413.</w:t>
      </w:r>
    </w:p>
    <w:p w14:paraId="156C3A28" w14:textId="77777777" w:rsidR="00B54D51" w:rsidRPr="009E2F87" w:rsidRDefault="00B54D51" w:rsidP="009E2F87">
      <w:pPr>
        <w:pStyle w:val="EndNoteBibliography"/>
        <w:ind w:left="720" w:hanging="720"/>
        <w:rPr>
          <w:noProof/>
        </w:rPr>
      </w:pPr>
      <w:r w:rsidRPr="009E2F87">
        <w:rPr>
          <w:noProof/>
        </w:rPr>
        <w:t xml:space="preserve">SCHEPERS, A. K., ORRELL, M., SHANAHAN, N. &amp; SPECTOR, A. 2012. Sense of competence in dementia care staff (SCIDS) scale: development, reliability, and validity. </w:t>
      </w:r>
      <w:r w:rsidRPr="009E2F87">
        <w:rPr>
          <w:i/>
          <w:noProof/>
        </w:rPr>
        <w:t>International psychogeriatrics,</w:t>
      </w:r>
      <w:r w:rsidRPr="009E2F87">
        <w:rPr>
          <w:noProof/>
        </w:rPr>
        <w:t xml:space="preserve"> 24</w:t>
      </w:r>
      <w:r w:rsidRPr="009E2F87">
        <w:rPr>
          <w:b/>
          <w:noProof/>
        </w:rPr>
        <w:t>,</w:t>
      </w:r>
      <w:r w:rsidRPr="009E2F87">
        <w:rPr>
          <w:noProof/>
        </w:rPr>
        <w:t xml:space="preserve"> 1153-1162.</w:t>
      </w:r>
    </w:p>
    <w:p w14:paraId="73FFC0A2" w14:textId="77777777" w:rsidR="00B54D51" w:rsidRPr="009E2F87" w:rsidRDefault="00B54D51" w:rsidP="009E2F87">
      <w:pPr>
        <w:pStyle w:val="EndNoteBibliography"/>
        <w:ind w:left="720" w:hanging="720"/>
        <w:rPr>
          <w:noProof/>
        </w:rPr>
      </w:pPr>
      <w:r w:rsidRPr="009E2F87">
        <w:rPr>
          <w:noProof/>
        </w:rPr>
        <w:t xml:space="preserve">SCHIFFCZYK, C., ROMERO, B., JONAS, C., LAHMEYER, C., MÜLLER, F. &amp; RIEPE, M. W. 2010. Generic quality of life assessment in dementia patients: a prospective cohort study. </w:t>
      </w:r>
      <w:r w:rsidRPr="009E2F87">
        <w:rPr>
          <w:i/>
          <w:noProof/>
        </w:rPr>
        <w:t>BMC neurology,</w:t>
      </w:r>
      <w:r w:rsidRPr="009E2F87">
        <w:rPr>
          <w:noProof/>
        </w:rPr>
        <w:t xml:space="preserve"> 10</w:t>
      </w:r>
      <w:r w:rsidRPr="009E2F87">
        <w:rPr>
          <w:b/>
          <w:noProof/>
        </w:rPr>
        <w:t>,</w:t>
      </w:r>
      <w:r w:rsidRPr="009E2F87">
        <w:rPr>
          <w:noProof/>
        </w:rPr>
        <w:t xml:space="preserve"> 1-8.</w:t>
      </w:r>
    </w:p>
    <w:p w14:paraId="358DF838" w14:textId="77777777" w:rsidR="00B54D51" w:rsidRPr="009E2F87" w:rsidRDefault="00B54D51" w:rsidP="009E2F87">
      <w:pPr>
        <w:pStyle w:val="EndNoteBibliography"/>
        <w:ind w:left="720" w:hanging="720"/>
        <w:rPr>
          <w:noProof/>
        </w:rPr>
      </w:pPr>
      <w:r w:rsidRPr="009E2F87">
        <w:rPr>
          <w:noProof/>
        </w:rPr>
        <w:lastRenderedPageBreak/>
        <w:t>SCHNEIDER, L. S., MANGIALASCHE, F., ANDREASEN, N., FELDMAN, H., GIACOBINI, E., JONES, R., MANTUA, V., MECOCCI, P., PANI,</w:t>
      </w:r>
      <w:r w:rsidRPr="009E2F87">
        <w:rPr>
          <w:rFonts w:hint="eastAsia"/>
          <w:noProof/>
        </w:rPr>
        <w:t xml:space="preserve"> L. &amp; WINBLAD, B. 2014. Clinical trials and late‐stage drug development for A lzheimer's disease: an appraisal from 1984 to 2014. </w:t>
      </w:r>
      <w:r w:rsidRPr="009E2F87">
        <w:rPr>
          <w:rFonts w:hint="eastAsia"/>
          <w:i/>
          <w:noProof/>
        </w:rPr>
        <w:t>Journal of internal medicine,</w:t>
      </w:r>
      <w:r w:rsidRPr="009E2F87">
        <w:rPr>
          <w:rFonts w:hint="eastAsia"/>
          <w:noProof/>
        </w:rPr>
        <w:t xml:space="preserve"> 275</w:t>
      </w:r>
      <w:r w:rsidRPr="009E2F87">
        <w:rPr>
          <w:rFonts w:hint="eastAsia"/>
          <w:b/>
          <w:noProof/>
        </w:rPr>
        <w:t>,</w:t>
      </w:r>
      <w:r w:rsidRPr="009E2F87">
        <w:rPr>
          <w:rFonts w:hint="eastAsia"/>
          <w:noProof/>
        </w:rPr>
        <w:t xml:space="preserve"> 251-283.</w:t>
      </w:r>
    </w:p>
    <w:p w14:paraId="22784F71" w14:textId="77777777" w:rsidR="00B54D51" w:rsidRPr="009E2F87" w:rsidRDefault="00B54D51" w:rsidP="009E2F87">
      <w:pPr>
        <w:pStyle w:val="EndNoteBibliography"/>
        <w:ind w:left="720" w:hanging="720"/>
        <w:rPr>
          <w:noProof/>
        </w:rPr>
      </w:pPr>
      <w:r w:rsidRPr="009E2F87">
        <w:rPr>
          <w:noProof/>
        </w:rPr>
        <w:t xml:space="preserve">SCLAN, S. G. &amp; REISBERG, B. 1992. Functional assessment staging (FAST) in Alzheimer's disease: reliability, validity, and ordinality. </w:t>
      </w:r>
      <w:r w:rsidRPr="009E2F87">
        <w:rPr>
          <w:i/>
          <w:noProof/>
        </w:rPr>
        <w:t>International psychogeriatrics,</w:t>
      </w:r>
      <w:r w:rsidRPr="009E2F87">
        <w:rPr>
          <w:noProof/>
        </w:rPr>
        <w:t xml:space="preserve"> 4</w:t>
      </w:r>
      <w:r w:rsidRPr="009E2F87">
        <w:rPr>
          <w:b/>
          <w:noProof/>
        </w:rPr>
        <w:t>,</w:t>
      </w:r>
      <w:r w:rsidRPr="009E2F87">
        <w:rPr>
          <w:noProof/>
        </w:rPr>
        <w:t xml:space="preserve"> 55-69.</w:t>
      </w:r>
    </w:p>
    <w:p w14:paraId="7C8C6662" w14:textId="77777777" w:rsidR="00B54D51" w:rsidRPr="009E2F87" w:rsidRDefault="00B54D51" w:rsidP="009E2F87">
      <w:pPr>
        <w:pStyle w:val="EndNoteBibliography"/>
        <w:ind w:left="720" w:hanging="720"/>
        <w:rPr>
          <w:noProof/>
        </w:rPr>
      </w:pPr>
      <w:r w:rsidRPr="009E2F87">
        <w:rPr>
          <w:noProof/>
        </w:rPr>
        <w:t xml:space="preserve">SHEARER, J., GREEN, C., RITCHIE, C. W. &amp; ZAJICEK, J. P. 2012. Health state values for use in the economic evaluation of treatments for Alzheimer’s disease. </w:t>
      </w:r>
      <w:r w:rsidRPr="009E2F87">
        <w:rPr>
          <w:i/>
          <w:noProof/>
        </w:rPr>
        <w:t>Drugs &amp; aging,</w:t>
      </w:r>
      <w:r w:rsidRPr="009E2F87">
        <w:rPr>
          <w:noProof/>
        </w:rPr>
        <w:t xml:space="preserve"> 29</w:t>
      </w:r>
      <w:r w:rsidRPr="009E2F87">
        <w:rPr>
          <w:b/>
          <w:noProof/>
        </w:rPr>
        <w:t>,</w:t>
      </w:r>
      <w:r w:rsidRPr="009E2F87">
        <w:rPr>
          <w:noProof/>
        </w:rPr>
        <w:t xml:space="preserve"> 31-43.</w:t>
      </w:r>
    </w:p>
    <w:p w14:paraId="3140B09E" w14:textId="77777777" w:rsidR="00B54D51" w:rsidRPr="009E2F87" w:rsidRDefault="00B54D51" w:rsidP="009E2F87">
      <w:pPr>
        <w:pStyle w:val="EndNoteBibliography"/>
        <w:ind w:left="720" w:hanging="720"/>
        <w:rPr>
          <w:noProof/>
        </w:rPr>
      </w:pPr>
      <w:r w:rsidRPr="009E2F87">
        <w:rPr>
          <w:noProof/>
        </w:rPr>
        <w:t xml:space="preserve">SHEEHAN, B. D., LALL, R., STINTON, C., MITCHELL, K., GAGE, H., HOLLAND, C. &amp; KATZ, J. 2012. Patient and proxy measurement of quality of life among general hospital in-patients with dementia. </w:t>
      </w:r>
      <w:r w:rsidRPr="009E2F87">
        <w:rPr>
          <w:i/>
          <w:noProof/>
        </w:rPr>
        <w:t>Aging &amp; mental health,</w:t>
      </w:r>
      <w:r w:rsidRPr="009E2F87">
        <w:rPr>
          <w:noProof/>
        </w:rPr>
        <w:t xml:space="preserve"> 16</w:t>
      </w:r>
      <w:r w:rsidRPr="009E2F87">
        <w:rPr>
          <w:b/>
          <w:noProof/>
        </w:rPr>
        <w:t>,</w:t>
      </w:r>
      <w:r w:rsidRPr="009E2F87">
        <w:rPr>
          <w:noProof/>
        </w:rPr>
        <w:t xml:space="preserve"> 603-607.</w:t>
      </w:r>
    </w:p>
    <w:p w14:paraId="19C47059" w14:textId="77777777" w:rsidR="00B54D51" w:rsidRPr="009E2F87" w:rsidRDefault="00B54D51" w:rsidP="009E2F87">
      <w:pPr>
        <w:pStyle w:val="EndNoteBibliography"/>
        <w:ind w:left="720" w:hanging="720"/>
        <w:rPr>
          <w:noProof/>
        </w:rPr>
      </w:pPr>
      <w:r w:rsidRPr="009E2F87">
        <w:rPr>
          <w:noProof/>
        </w:rPr>
        <w:t xml:space="preserve">SILBERFELD, M., RUEDA, S., KRAHN, M. &amp; NAGLIE, G. 2002. Content validity for dementia of three generic preference based health related quality of life instruments. </w:t>
      </w:r>
      <w:r w:rsidRPr="009E2F87">
        <w:rPr>
          <w:i/>
          <w:noProof/>
        </w:rPr>
        <w:t>Quality of Life Research,</w:t>
      </w:r>
      <w:r w:rsidRPr="009E2F87">
        <w:rPr>
          <w:noProof/>
        </w:rPr>
        <w:t xml:space="preserve"> 11</w:t>
      </w:r>
      <w:r w:rsidRPr="009E2F87">
        <w:rPr>
          <w:b/>
          <w:noProof/>
        </w:rPr>
        <w:t>,</w:t>
      </w:r>
      <w:r w:rsidRPr="009E2F87">
        <w:rPr>
          <w:noProof/>
        </w:rPr>
        <w:t xml:space="preserve"> 71-79.</w:t>
      </w:r>
    </w:p>
    <w:p w14:paraId="2016BCBB" w14:textId="77777777" w:rsidR="00B54D51" w:rsidRPr="009E2F87" w:rsidRDefault="00B54D51" w:rsidP="009E2F87">
      <w:pPr>
        <w:pStyle w:val="EndNoteBibliography"/>
        <w:ind w:left="720" w:hanging="720"/>
        <w:rPr>
          <w:noProof/>
        </w:rPr>
      </w:pPr>
      <w:r w:rsidRPr="009E2F87">
        <w:rPr>
          <w:noProof/>
        </w:rPr>
        <w:t xml:space="preserve">SMITH, S., HENDRIKS, A., CANO, S. &amp; BLACK, N. 2020. Proxy reporting of health-related quality of life for people with dementia: a psychometric solution. </w:t>
      </w:r>
      <w:r w:rsidRPr="009E2F87">
        <w:rPr>
          <w:i/>
          <w:noProof/>
        </w:rPr>
        <w:t>Health and quality of life outcomes,</w:t>
      </w:r>
      <w:r w:rsidRPr="009E2F87">
        <w:rPr>
          <w:noProof/>
        </w:rPr>
        <w:t xml:space="preserve"> 18</w:t>
      </w:r>
      <w:r w:rsidRPr="009E2F87">
        <w:rPr>
          <w:b/>
          <w:noProof/>
        </w:rPr>
        <w:t>,</w:t>
      </w:r>
      <w:r w:rsidRPr="009E2F87">
        <w:rPr>
          <w:noProof/>
        </w:rPr>
        <w:t xml:space="preserve"> 1-10.</w:t>
      </w:r>
    </w:p>
    <w:p w14:paraId="235326D4" w14:textId="77777777" w:rsidR="00B54D51" w:rsidRPr="009E2F87" w:rsidRDefault="00B54D51" w:rsidP="009E2F87">
      <w:pPr>
        <w:pStyle w:val="EndNoteBibliography"/>
        <w:ind w:left="720" w:hanging="720"/>
        <w:rPr>
          <w:noProof/>
        </w:rPr>
      </w:pPr>
      <w:r w:rsidRPr="009E2F87">
        <w:rPr>
          <w:noProof/>
        </w:rPr>
        <w:t xml:space="preserve">SMITH, S., LAMPING, D., BANERJEE, S., HARWOOD, R., FOLEY, B., SMITH, P., COOK, J., MURRAY, J., PRINCE, M. &amp; LEVIN, E. 2005a. Measurement of health-related quality of life for people with dementia: development of a new instrument (DEMQOL) and an evaluation of current methodology. </w:t>
      </w:r>
      <w:r w:rsidRPr="009E2F87">
        <w:rPr>
          <w:i/>
          <w:noProof/>
        </w:rPr>
        <w:t>Health Technology Assessment (Winchester, England),</w:t>
      </w:r>
      <w:r w:rsidRPr="009E2F87">
        <w:rPr>
          <w:noProof/>
        </w:rPr>
        <w:t xml:space="preserve"> 9</w:t>
      </w:r>
      <w:r w:rsidRPr="009E2F87">
        <w:rPr>
          <w:b/>
          <w:noProof/>
        </w:rPr>
        <w:t>,</w:t>
      </w:r>
      <w:r w:rsidRPr="009E2F87">
        <w:rPr>
          <w:noProof/>
        </w:rPr>
        <w:t xml:space="preserve"> 1-iv.</w:t>
      </w:r>
    </w:p>
    <w:p w14:paraId="48056523" w14:textId="77777777" w:rsidR="00B54D51" w:rsidRPr="009E2F87" w:rsidRDefault="00B54D51" w:rsidP="009E2F87">
      <w:pPr>
        <w:pStyle w:val="EndNoteBibliography"/>
        <w:ind w:left="720" w:hanging="720"/>
        <w:rPr>
          <w:noProof/>
        </w:rPr>
      </w:pPr>
      <w:r w:rsidRPr="009E2F87">
        <w:rPr>
          <w:noProof/>
        </w:rPr>
        <w:t>SMITH, S. C., MURRAY, J., BAN</w:t>
      </w:r>
      <w:r w:rsidRPr="009E2F87">
        <w:rPr>
          <w:rFonts w:hint="eastAsia"/>
          <w:noProof/>
        </w:rPr>
        <w:t xml:space="preserve">ERJEE, S., FOLEY, B., COOK, J. C., LAMPING, D. L., PRINCE, M., HARWOOD, R. H., LEVIN, E. &amp; MANN, A. 2005b. What constitutes health‐related quality of life in dementia? Development of a conceptual framework for people with dementia and their carers. </w:t>
      </w:r>
      <w:r w:rsidRPr="009E2F87">
        <w:rPr>
          <w:rFonts w:hint="eastAsia"/>
          <w:i/>
          <w:noProof/>
        </w:rPr>
        <w:t>Intern</w:t>
      </w:r>
      <w:r w:rsidRPr="009E2F87">
        <w:rPr>
          <w:i/>
          <w:noProof/>
        </w:rPr>
        <w:t>ational Journal of Geriatric Psychiatry: A journal of the psychiatry of late life and allied sciences,</w:t>
      </w:r>
      <w:r w:rsidRPr="009E2F87">
        <w:rPr>
          <w:noProof/>
        </w:rPr>
        <w:t xml:space="preserve"> 20</w:t>
      </w:r>
      <w:r w:rsidRPr="009E2F87">
        <w:rPr>
          <w:b/>
          <w:noProof/>
        </w:rPr>
        <w:t>,</w:t>
      </w:r>
      <w:r w:rsidRPr="009E2F87">
        <w:rPr>
          <w:noProof/>
        </w:rPr>
        <w:t xml:space="preserve"> 889-895.</w:t>
      </w:r>
    </w:p>
    <w:p w14:paraId="1205CC8E" w14:textId="77777777" w:rsidR="00B54D51" w:rsidRPr="009E2F87" w:rsidRDefault="00B54D51" w:rsidP="009E2F87">
      <w:pPr>
        <w:pStyle w:val="EndNoteBibliography"/>
        <w:ind w:left="720" w:hanging="720"/>
        <w:rPr>
          <w:noProof/>
        </w:rPr>
      </w:pPr>
      <w:r w:rsidRPr="009E2F87">
        <w:rPr>
          <w:noProof/>
        </w:rPr>
        <w:t xml:space="preserve">SOPINA, E., CHENOWETH, L., LUCKETT, T., AGAR, M., LUSCOMBE, G. M., DAVIDSON, P. M., POND, C. D., PHILLIPS, J. &amp; GOODALL, S. 2019. Health-related quality of life in people with advanced dementia: a comparison of EQ-5D-5L and QUALID instruments. </w:t>
      </w:r>
      <w:r w:rsidRPr="009E2F87">
        <w:rPr>
          <w:i/>
          <w:noProof/>
        </w:rPr>
        <w:t>Quality of Life Research,</w:t>
      </w:r>
      <w:r w:rsidRPr="009E2F87">
        <w:rPr>
          <w:noProof/>
        </w:rPr>
        <w:t xml:space="preserve"> 28</w:t>
      </w:r>
      <w:r w:rsidRPr="009E2F87">
        <w:rPr>
          <w:b/>
          <w:noProof/>
        </w:rPr>
        <w:t>,</w:t>
      </w:r>
      <w:r w:rsidRPr="009E2F87">
        <w:rPr>
          <w:noProof/>
        </w:rPr>
        <w:t xml:space="preserve"> 121-129.</w:t>
      </w:r>
    </w:p>
    <w:p w14:paraId="03851917" w14:textId="77777777" w:rsidR="00B54D51" w:rsidRPr="009E2F87" w:rsidRDefault="00B54D51" w:rsidP="009E2F87">
      <w:pPr>
        <w:pStyle w:val="EndNoteBibliography"/>
        <w:ind w:left="720" w:hanging="720"/>
        <w:rPr>
          <w:noProof/>
        </w:rPr>
      </w:pPr>
      <w:r w:rsidRPr="009E2F87">
        <w:rPr>
          <w:noProof/>
        </w:rPr>
        <w:t xml:space="preserve">SOPINA, E. &amp; SØRENSEN, J. 2018. Decision modelling of non-pharmacological interventions for individuals with dementia: a systematic review of methodologies. </w:t>
      </w:r>
      <w:r w:rsidRPr="009E2F87">
        <w:rPr>
          <w:i/>
          <w:noProof/>
        </w:rPr>
        <w:t>Health economics review,</w:t>
      </w:r>
      <w:r w:rsidRPr="009E2F87">
        <w:rPr>
          <w:noProof/>
        </w:rPr>
        <w:t xml:space="preserve"> 8</w:t>
      </w:r>
      <w:r w:rsidRPr="009E2F87">
        <w:rPr>
          <w:b/>
          <w:noProof/>
        </w:rPr>
        <w:t>,</w:t>
      </w:r>
      <w:r w:rsidRPr="009E2F87">
        <w:rPr>
          <w:noProof/>
        </w:rPr>
        <w:t xml:space="preserve"> 1-12.</w:t>
      </w:r>
    </w:p>
    <w:p w14:paraId="24202EFF" w14:textId="77777777" w:rsidR="00B54D51" w:rsidRPr="009E2F87" w:rsidRDefault="00B54D51" w:rsidP="009E2F87">
      <w:pPr>
        <w:pStyle w:val="EndNoteBibliography"/>
        <w:ind w:left="720" w:hanging="720"/>
        <w:rPr>
          <w:noProof/>
        </w:rPr>
      </w:pPr>
      <w:r w:rsidRPr="009E2F87">
        <w:rPr>
          <w:noProof/>
        </w:rPr>
        <w:t xml:space="preserve">SPRANGERS, M. A. &amp; SCHWARTZ, C. E. 1999. Integrating response shift into health-related quality of life research: a theoretical model. </w:t>
      </w:r>
      <w:r w:rsidRPr="009E2F87">
        <w:rPr>
          <w:i/>
          <w:noProof/>
        </w:rPr>
        <w:t>Social science &amp; medicine,</w:t>
      </w:r>
      <w:r w:rsidRPr="009E2F87">
        <w:rPr>
          <w:noProof/>
        </w:rPr>
        <w:t xml:space="preserve"> 48</w:t>
      </w:r>
      <w:r w:rsidRPr="009E2F87">
        <w:rPr>
          <w:b/>
          <w:noProof/>
        </w:rPr>
        <w:t>,</w:t>
      </w:r>
      <w:r w:rsidRPr="009E2F87">
        <w:rPr>
          <w:noProof/>
        </w:rPr>
        <w:t xml:space="preserve"> 1507-1515.</w:t>
      </w:r>
    </w:p>
    <w:p w14:paraId="01B7A37D" w14:textId="77777777" w:rsidR="00B54D51" w:rsidRPr="009E2F87" w:rsidRDefault="00B54D51" w:rsidP="009E2F87">
      <w:pPr>
        <w:pStyle w:val="EndNoteBibliography"/>
        <w:ind w:left="720" w:hanging="720"/>
        <w:rPr>
          <w:noProof/>
        </w:rPr>
      </w:pPr>
      <w:r w:rsidRPr="009E2F87">
        <w:rPr>
          <w:noProof/>
        </w:rPr>
        <w:t xml:space="preserve">STERLING, M. 2011. General health questionnaire–28 (GHQ-28). </w:t>
      </w:r>
      <w:r w:rsidRPr="009E2F87">
        <w:rPr>
          <w:i/>
          <w:noProof/>
        </w:rPr>
        <w:t>Journal of physiotherapy,</w:t>
      </w:r>
      <w:r w:rsidRPr="009E2F87">
        <w:rPr>
          <w:noProof/>
        </w:rPr>
        <w:t xml:space="preserve"> 57</w:t>
      </w:r>
      <w:r w:rsidRPr="009E2F87">
        <w:rPr>
          <w:b/>
          <w:noProof/>
        </w:rPr>
        <w:t>,</w:t>
      </w:r>
      <w:r w:rsidRPr="009E2F87">
        <w:rPr>
          <w:noProof/>
        </w:rPr>
        <w:t xml:space="preserve"> 259.</w:t>
      </w:r>
    </w:p>
    <w:p w14:paraId="7D07A462" w14:textId="77777777" w:rsidR="00B54D51" w:rsidRPr="009E2F87" w:rsidRDefault="00B54D51" w:rsidP="009E2F87">
      <w:pPr>
        <w:pStyle w:val="EndNoteBibliography"/>
        <w:ind w:left="720" w:hanging="720"/>
        <w:rPr>
          <w:noProof/>
        </w:rPr>
      </w:pPr>
      <w:r w:rsidRPr="009E2F87">
        <w:rPr>
          <w:noProof/>
        </w:rPr>
        <w:t xml:space="preserve">SURR, C. A., HOLLOWAY, I., WALWYN, R. E., GRIFFITHS, A. W., MEADS, D., KELLEY, R., MARTIN, A., MCLELLAN, V., BALLARD, C. &amp; FOSSEY, J. 2020. Dementia Care Mapping™ to reduce agitation in care home residents with dementia: the EPIC cluster RCT. </w:t>
      </w:r>
      <w:r w:rsidRPr="009E2F87">
        <w:rPr>
          <w:i/>
          <w:noProof/>
        </w:rPr>
        <w:t>Health Technology Assessment (Winchester, England),</w:t>
      </w:r>
      <w:r w:rsidRPr="009E2F87">
        <w:rPr>
          <w:noProof/>
        </w:rPr>
        <w:t xml:space="preserve"> 24</w:t>
      </w:r>
      <w:r w:rsidRPr="009E2F87">
        <w:rPr>
          <w:b/>
          <w:noProof/>
        </w:rPr>
        <w:t>,</w:t>
      </w:r>
      <w:r w:rsidRPr="009E2F87">
        <w:rPr>
          <w:noProof/>
        </w:rPr>
        <w:t xml:space="preserve"> 1.</w:t>
      </w:r>
    </w:p>
    <w:p w14:paraId="293A49BA" w14:textId="77777777" w:rsidR="00B54D51" w:rsidRPr="009E2F87" w:rsidRDefault="00B54D51" w:rsidP="009E2F87">
      <w:pPr>
        <w:pStyle w:val="EndNoteBibliography"/>
        <w:ind w:left="720" w:hanging="720"/>
        <w:rPr>
          <w:noProof/>
        </w:rPr>
      </w:pPr>
      <w:r w:rsidRPr="009E2F87">
        <w:rPr>
          <w:noProof/>
        </w:rPr>
        <w:t xml:space="preserve">SURR, C. A., HOLLOWAY, I., WALWYN, R. E., GRIFFITHS, A. W., MEADS, D., MARTIN, A., KELLEY, R., BALLARD, C., FOSSEY, J. &amp; BURNLEY, N. 2021. Effectiveness of Dementia </w:t>
      </w:r>
      <w:r w:rsidRPr="009E2F87">
        <w:rPr>
          <w:noProof/>
        </w:rPr>
        <w:lastRenderedPageBreak/>
        <w:t xml:space="preserve">Care Mapping™ to reduce agitation in care home residents with dementia: an open-cohort cluster randomised controlled trial. </w:t>
      </w:r>
      <w:r w:rsidRPr="009E2F87">
        <w:rPr>
          <w:i/>
          <w:noProof/>
        </w:rPr>
        <w:t>Aging &amp; mental health,</w:t>
      </w:r>
      <w:r w:rsidRPr="009E2F87">
        <w:rPr>
          <w:noProof/>
        </w:rPr>
        <w:t xml:space="preserve"> 25</w:t>
      </w:r>
      <w:r w:rsidRPr="009E2F87">
        <w:rPr>
          <w:b/>
          <w:noProof/>
        </w:rPr>
        <w:t>,</w:t>
      </w:r>
      <w:r w:rsidRPr="009E2F87">
        <w:rPr>
          <w:noProof/>
        </w:rPr>
        <w:t xml:space="preserve"> 1410-1423.</w:t>
      </w:r>
    </w:p>
    <w:p w14:paraId="3C2B345F" w14:textId="77777777" w:rsidR="00B54D51" w:rsidRPr="009E2F87" w:rsidRDefault="00B54D51" w:rsidP="009E2F87">
      <w:pPr>
        <w:pStyle w:val="EndNoteBibliography"/>
        <w:ind w:left="720" w:hanging="720"/>
        <w:rPr>
          <w:noProof/>
        </w:rPr>
      </w:pPr>
      <w:r w:rsidRPr="009E2F87">
        <w:rPr>
          <w:noProof/>
        </w:rPr>
        <w:t xml:space="preserve">TIDY, C. 2022. Mini Mental State Examination. </w:t>
      </w:r>
      <w:r w:rsidRPr="009E2F87">
        <w:rPr>
          <w:i/>
          <w:noProof/>
        </w:rPr>
        <w:t xml:space="preserve">Patient Info </w:t>
      </w:r>
      <w:r w:rsidRPr="009E2F87">
        <w:rPr>
          <w:noProof/>
        </w:rPr>
        <w:t>2021.</w:t>
      </w:r>
    </w:p>
    <w:p w14:paraId="6084E525" w14:textId="77777777" w:rsidR="00B54D51" w:rsidRPr="009E2F87" w:rsidRDefault="00B54D51" w:rsidP="009E2F87">
      <w:pPr>
        <w:pStyle w:val="EndNoteBibliography"/>
        <w:ind w:left="720" w:hanging="720"/>
        <w:rPr>
          <w:noProof/>
        </w:rPr>
      </w:pPr>
      <w:r w:rsidRPr="009E2F87">
        <w:rPr>
          <w:noProof/>
        </w:rPr>
        <w:t xml:space="preserve">TRIGG, R., JONES, R., KNAPP, M., KING, D. &amp; LACEY, L. 2015. The relationship between changes in quality of life outcomes and progression of Alzheimer’s disease (AD): results from the Dependence in AD in England 2 (DADE2) longitudinal study. </w:t>
      </w:r>
      <w:r w:rsidRPr="009E2F87">
        <w:rPr>
          <w:i/>
          <w:noProof/>
        </w:rPr>
        <w:t>Running Head: Changes in quality of life outcomes and progression of AD</w:t>
      </w:r>
      <w:r w:rsidRPr="009E2F87">
        <w:rPr>
          <w:noProof/>
        </w:rPr>
        <w:t>.</w:t>
      </w:r>
    </w:p>
    <w:p w14:paraId="6557A4F7" w14:textId="77777777" w:rsidR="00B54D51" w:rsidRPr="009E2F87" w:rsidRDefault="00B54D51" w:rsidP="009E2F87">
      <w:pPr>
        <w:pStyle w:val="EndNoteBibliography"/>
        <w:ind w:left="720" w:hanging="720"/>
        <w:rPr>
          <w:noProof/>
        </w:rPr>
      </w:pPr>
      <w:r w:rsidRPr="009E2F87">
        <w:rPr>
          <w:noProof/>
        </w:rPr>
        <w:t xml:space="preserve">TSOI, K. K., CHAN, J. Y., HIRAI, H. W., WONG, S. Y. &amp; KWOK, T. C. 2015. Cognitive tests to detect dementia: a systematic review and meta-analysis. </w:t>
      </w:r>
      <w:r w:rsidRPr="009E2F87">
        <w:rPr>
          <w:i/>
          <w:noProof/>
        </w:rPr>
        <w:t>JAMA internal medicine,</w:t>
      </w:r>
      <w:r w:rsidRPr="009E2F87">
        <w:rPr>
          <w:noProof/>
        </w:rPr>
        <w:t xml:space="preserve"> 175</w:t>
      </w:r>
      <w:r w:rsidRPr="009E2F87">
        <w:rPr>
          <w:b/>
          <w:noProof/>
        </w:rPr>
        <w:t>,</w:t>
      </w:r>
      <w:r w:rsidRPr="009E2F87">
        <w:rPr>
          <w:noProof/>
        </w:rPr>
        <w:t xml:space="preserve"> 1450-1458.</w:t>
      </w:r>
    </w:p>
    <w:p w14:paraId="6E60807A" w14:textId="77777777" w:rsidR="00B54D51" w:rsidRPr="009E2F87" w:rsidRDefault="00B54D51" w:rsidP="009E2F87">
      <w:pPr>
        <w:pStyle w:val="EndNoteBibliography"/>
        <w:ind w:left="720" w:hanging="720"/>
        <w:rPr>
          <w:noProof/>
        </w:rPr>
      </w:pPr>
      <w:r w:rsidRPr="009E2F87">
        <w:rPr>
          <w:noProof/>
        </w:rPr>
        <w:t xml:space="preserve">U.S. FDA. 2013. </w:t>
      </w:r>
      <w:r w:rsidRPr="009E2F87">
        <w:rPr>
          <w:i/>
          <w:noProof/>
        </w:rPr>
        <w:t xml:space="preserve">Center for Drug Evaluation and Research (CDER). Guidance for industry: Alzheimer’s disease: developing drugs for the treatment of early stage disease </w:t>
      </w:r>
      <w:r w:rsidRPr="009E2F87">
        <w:rPr>
          <w:noProof/>
        </w:rPr>
        <w:t xml:space="preserve">[Online]. Silver Spring, MD: U.S. Department of Health and Human Services. Available: </w:t>
      </w:r>
      <w:r w:rsidRPr="00B54D51">
        <w:rPr>
          <w:noProof/>
        </w:rPr>
        <w:t>http://www.fda.gov/downloads/drugs/guidancecomplianceregulatory</w:t>
      </w:r>
      <w:r w:rsidRPr="009E2F87">
        <w:rPr>
          <w:noProof/>
        </w:rPr>
        <w:t xml:space="preserve"> information/guidances/ucm338287.pdf. Accessed 9 Aug 2016. [Accessed].</w:t>
      </w:r>
    </w:p>
    <w:p w14:paraId="072DC5FB" w14:textId="77777777" w:rsidR="00B54D51" w:rsidRPr="009E2F87" w:rsidRDefault="00B54D51" w:rsidP="009E2F87">
      <w:pPr>
        <w:pStyle w:val="EndNoteBibliography"/>
        <w:ind w:left="720" w:hanging="720"/>
        <w:rPr>
          <w:noProof/>
        </w:rPr>
      </w:pPr>
      <w:r w:rsidRPr="009E2F87">
        <w:rPr>
          <w:noProof/>
        </w:rPr>
        <w:t xml:space="preserve">UNIVERSITY OF YORK, C. F. R. A. D. 2009. </w:t>
      </w:r>
      <w:r w:rsidRPr="009E2F87">
        <w:rPr>
          <w:i/>
          <w:noProof/>
        </w:rPr>
        <w:t>CRD's guidance for undertaking reviews in healthcare</w:t>
      </w:r>
      <w:r w:rsidRPr="009E2F87">
        <w:rPr>
          <w:noProof/>
        </w:rPr>
        <w:t>, York Publ. Services.</w:t>
      </w:r>
    </w:p>
    <w:p w14:paraId="0210D2D4" w14:textId="77777777" w:rsidR="00B54D51" w:rsidRPr="009E2F87" w:rsidRDefault="00B54D51" w:rsidP="009E2F87">
      <w:pPr>
        <w:pStyle w:val="EndNoteBibliography"/>
        <w:ind w:left="720" w:hanging="720"/>
        <w:rPr>
          <w:noProof/>
        </w:rPr>
      </w:pPr>
      <w:r w:rsidRPr="009E2F87">
        <w:rPr>
          <w:noProof/>
        </w:rPr>
        <w:t xml:space="preserve">VAN DE BEEK, M., VAN STEENOVEN, I., RAMAKERS, I. H., AALTEN, P., KOEK, H. L., OLDE RIKKERT, M. G., MANNIËN, J., PAPMA, J. M., DE JONG, F. J. &amp; LEMSTRA, A. W. 2019. Trajectories and determinants of quality of life in dementia with Lewy bodies and Alzheimer’s disease. </w:t>
      </w:r>
      <w:r w:rsidRPr="009E2F87">
        <w:rPr>
          <w:i/>
          <w:noProof/>
        </w:rPr>
        <w:t>Journal of Alzheimer's Disease,</w:t>
      </w:r>
      <w:r w:rsidRPr="009E2F87">
        <w:rPr>
          <w:noProof/>
        </w:rPr>
        <w:t xml:space="preserve"> 70</w:t>
      </w:r>
      <w:r w:rsidRPr="009E2F87">
        <w:rPr>
          <w:b/>
          <w:noProof/>
        </w:rPr>
        <w:t>,</w:t>
      </w:r>
      <w:r w:rsidRPr="009E2F87">
        <w:rPr>
          <w:noProof/>
        </w:rPr>
        <w:t xml:space="preserve"> 389-397.</w:t>
      </w:r>
    </w:p>
    <w:p w14:paraId="5A74BBAC" w14:textId="77777777" w:rsidR="00B54D51" w:rsidRPr="009E2F87" w:rsidRDefault="00B54D51" w:rsidP="009E2F87">
      <w:pPr>
        <w:pStyle w:val="EndNoteBibliography"/>
        <w:ind w:left="720" w:hanging="720"/>
        <w:rPr>
          <w:noProof/>
        </w:rPr>
      </w:pPr>
      <w:r w:rsidRPr="009E2F87">
        <w:rPr>
          <w:noProof/>
        </w:rPr>
        <w:t xml:space="preserve">VAN HOUT, B., JANSSEN, M., FENG, Y.-S., KOHLMANN, T., BUSSCHBACH, J., GOLICKI, D., LLOYD, A., SCALONE, L., KIND, P. &amp; PICKARD, A. S. 2012. Interim scoring for the EQ-5D-5L: mapping the EQ-5D-5L to EQ-5D-3L value sets. </w:t>
      </w:r>
      <w:r w:rsidRPr="009E2F87">
        <w:rPr>
          <w:i/>
          <w:noProof/>
        </w:rPr>
        <w:t>Value in health,</w:t>
      </w:r>
      <w:r w:rsidRPr="009E2F87">
        <w:rPr>
          <w:noProof/>
        </w:rPr>
        <w:t xml:space="preserve"> 15</w:t>
      </w:r>
      <w:r w:rsidRPr="009E2F87">
        <w:rPr>
          <w:b/>
          <w:noProof/>
        </w:rPr>
        <w:t>,</w:t>
      </w:r>
      <w:r w:rsidRPr="009E2F87">
        <w:rPr>
          <w:noProof/>
        </w:rPr>
        <w:t xml:space="preserve"> 708-715.</w:t>
      </w:r>
    </w:p>
    <w:p w14:paraId="4B509937" w14:textId="77777777" w:rsidR="00B54D51" w:rsidRPr="009E2F87" w:rsidRDefault="00B54D51" w:rsidP="009E2F87">
      <w:pPr>
        <w:pStyle w:val="EndNoteBibliography"/>
        <w:ind w:left="720" w:hanging="720"/>
        <w:rPr>
          <w:noProof/>
        </w:rPr>
      </w:pPr>
      <w:r w:rsidRPr="009E2F87">
        <w:rPr>
          <w:rFonts w:hint="eastAsia"/>
          <w:noProof/>
        </w:rPr>
        <w:t xml:space="preserve">VAN HOUT, B. A., AL, M. J., GORDON, G. S. &amp; RUTTEN, F. F. 1994. Costs, effects and C/E‐ratios alongside a clinical trial. </w:t>
      </w:r>
      <w:r w:rsidRPr="009E2F87">
        <w:rPr>
          <w:rFonts w:hint="eastAsia"/>
          <w:i/>
          <w:noProof/>
        </w:rPr>
        <w:t>Health economics,</w:t>
      </w:r>
      <w:r w:rsidRPr="009E2F87">
        <w:rPr>
          <w:rFonts w:hint="eastAsia"/>
          <w:noProof/>
        </w:rPr>
        <w:t xml:space="preserve"> 3</w:t>
      </w:r>
      <w:r w:rsidRPr="009E2F87">
        <w:rPr>
          <w:rFonts w:hint="eastAsia"/>
          <w:b/>
          <w:noProof/>
        </w:rPr>
        <w:t>,</w:t>
      </w:r>
      <w:r w:rsidRPr="009E2F87">
        <w:rPr>
          <w:rFonts w:hint="eastAsia"/>
          <w:noProof/>
        </w:rPr>
        <w:t xml:space="preserve"> 309-319.</w:t>
      </w:r>
    </w:p>
    <w:p w14:paraId="6E12BAC1" w14:textId="77777777" w:rsidR="00B54D51" w:rsidRPr="009E2F87" w:rsidRDefault="00B54D51" w:rsidP="009E2F87">
      <w:pPr>
        <w:pStyle w:val="EndNoteBibliography"/>
        <w:ind w:left="720" w:hanging="720"/>
        <w:rPr>
          <w:noProof/>
        </w:rPr>
      </w:pPr>
      <w:r w:rsidRPr="009E2F87">
        <w:rPr>
          <w:noProof/>
        </w:rPr>
        <w:t xml:space="preserve">VOGEL, A., MORTENSEN, E. L., HASSELBALCH, S. G., ANDERSEN, B. B. &amp; WALDEMAR, G. 2006. Patient versus informant reported quality of life in the earliest phases of Alzheimer's disease. </w:t>
      </w:r>
      <w:r w:rsidRPr="009E2F87">
        <w:rPr>
          <w:i/>
          <w:noProof/>
        </w:rPr>
        <w:t>International Journal of Geriatric Psychiatry: A journal of the psychiatry of late life and allied sciences,</w:t>
      </w:r>
      <w:r w:rsidRPr="009E2F87">
        <w:rPr>
          <w:noProof/>
        </w:rPr>
        <w:t xml:space="preserve"> 21</w:t>
      </w:r>
      <w:r w:rsidRPr="009E2F87">
        <w:rPr>
          <w:b/>
          <w:noProof/>
        </w:rPr>
        <w:t>,</w:t>
      </w:r>
      <w:r w:rsidRPr="009E2F87">
        <w:rPr>
          <w:noProof/>
        </w:rPr>
        <w:t xml:space="preserve"> 1132-1138.</w:t>
      </w:r>
    </w:p>
    <w:p w14:paraId="5F936DE8" w14:textId="77777777" w:rsidR="00B54D51" w:rsidRPr="009E2F87" w:rsidRDefault="00B54D51" w:rsidP="009E2F87">
      <w:pPr>
        <w:pStyle w:val="EndNoteBibliography"/>
        <w:ind w:left="720" w:hanging="720"/>
        <w:rPr>
          <w:noProof/>
        </w:rPr>
      </w:pPr>
      <w:r w:rsidRPr="009E2F87">
        <w:rPr>
          <w:noProof/>
        </w:rPr>
        <w:t xml:space="preserve">VRIEZE, S. I. 2012. Model selection and psychological theory: a discussion of the differences between the Akaike information criterion (AIC) and the Bayesian information criterion (BIC). </w:t>
      </w:r>
      <w:r w:rsidRPr="009E2F87">
        <w:rPr>
          <w:i/>
          <w:noProof/>
        </w:rPr>
        <w:t>Psychological methods,</w:t>
      </w:r>
      <w:r w:rsidRPr="009E2F87">
        <w:rPr>
          <w:noProof/>
        </w:rPr>
        <w:t xml:space="preserve"> 17</w:t>
      </w:r>
      <w:r w:rsidRPr="009E2F87">
        <w:rPr>
          <w:b/>
          <w:noProof/>
        </w:rPr>
        <w:t>,</w:t>
      </w:r>
      <w:r w:rsidRPr="009E2F87">
        <w:rPr>
          <w:noProof/>
        </w:rPr>
        <w:t xml:space="preserve"> 228.</w:t>
      </w:r>
    </w:p>
    <w:p w14:paraId="35EC376C" w14:textId="77777777" w:rsidR="00B54D51" w:rsidRPr="009E2F87" w:rsidRDefault="00B54D51" w:rsidP="009E2F87">
      <w:pPr>
        <w:pStyle w:val="EndNoteBibliography"/>
        <w:ind w:left="720" w:hanging="720"/>
        <w:rPr>
          <w:noProof/>
        </w:rPr>
      </w:pPr>
      <w:r w:rsidRPr="009E2F87">
        <w:rPr>
          <w:noProof/>
        </w:rPr>
        <w:t xml:space="preserve">WAILOO, A. J., HERNANDEZ-ALAVA, M., MANCA, A., MEJIA, A., RAY, J., CRAWFORD, B., BOTTEMAN, M. &amp; BUSSCHBACH, J. 2017. Mapping to estimate health-state utility from non–preference-based outcome measures: an ISPOR good practices for outcomes research task force report. </w:t>
      </w:r>
      <w:r w:rsidRPr="009E2F87">
        <w:rPr>
          <w:i/>
          <w:noProof/>
        </w:rPr>
        <w:t>Value in Health,</w:t>
      </w:r>
      <w:r w:rsidRPr="009E2F87">
        <w:rPr>
          <w:noProof/>
        </w:rPr>
        <w:t xml:space="preserve"> 20</w:t>
      </w:r>
      <w:r w:rsidRPr="009E2F87">
        <w:rPr>
          <w:b/>
          <w:noProof/>
        </w:rPr>
        <w:t>,</w:t>
      </w:r>
      <w:r w:rsidRPr="009E2F87">
        <w:rPr>
          <w:noProof/>
        </w:rPr>
        <w:t xml:space="preserve"> 18-27.</w:t>
      </w:r>
    </w:p>
    <w:p w14:paraId="4216F16B" w14:textId="77777777" w:rsidR="00B54D51" w:rsidRPr="009E2F87" w:rsidRDefault="00B54D51" w:rsidP="009E2F87">
      <w:pPr>
        <w:pStyle w:val="EndNoteBibliography"/>
        <w:ind w:left="720" w:hanging="720"/>
        <w:rPr>
          <w:noProof/>
        </w:rPr>
      </w:pPr>
      <w:r w:rsidRPr="009E2F87">
        <w:rPr>
          <w:noProof/>
        </w:rPr>
        <w:t xml:space="preserve">WEBSTER, L., GROSKREUTZ, D., GRINBERGS-SAULL, A., HOWARD, R., O’BRIEN, J. T., MOUNTAIN, G., BANERJEE, S., WOODS, B., PERNECZKY, R. &amp; LAFORTUNE, L. 2017. Core outcome measures for interventions to prevent or slow the progress of dementia for people living with mild to moderate dementia: Systematic review and consensus recommendations. </w:t>
      </w:r>
      <w:r w:rsidRPr="009E2F87">
        <w:rPr>
          <w:i/>
          <w:noProof/>
        </w:rPr>
        <w:t>PLoS One,</w:t>
      </w:r>
      <w:r w:rsidRPr="009E2F87">
        <w:rPr>
          <w:noProof/>
        </w:rPr>
        <w:t xml:space="preserve"> 12</w:t>
      </w:r>
      <w:r w:rsidRPr="009E2F87">
        <w:rPr>
          <w:b/>
          <w:noProof/>
        </w:rPr>
        <w:t>,</w:t>
      </w:r>
      <w:r w:rsidRPr="009E2F87">
        <w:rPr>
          <w:noProof/>
        </w:rPr>
        <w:t xml:space="preserve"> e0179521.</w:t>
      </w:r>
    </w:p>
    <w:p w14:paraId="05385EC8" w14:textId="77777777" w:rsidR="00B54D51" w:rsidRPr="009E2F87" w:rsidRDefault="00B54D51" w:rsidP="009E2F87">
      <w:pPr>
        <w:pStyle w:val="EndNoteBibliography"/>
        <w:ind w:left="720" w:hanging="720"/>
        <w:rPr>
          <w:noProof/>
        </w:rPr>
      </w:pPr>
      <w:r w:rsidRPr="009E2F87">
        <w:rPr>
          <w:noProof/>
        </w:rPr>
        <w:t xml:space="preserve">WEINER, M. F., MARTIN-COOK, K., SVETLIK, D. A., SAINE, K., FOSTER, B. &amp; FONTAINE, C. 2000. The quality of life in late-stage dementia (QUALID) scale. </w:t>
      </w:r>
      <w:r w:rsidRPr="009E2F87">
        <w:rPr>
          <w:i/>
          <w:noProof/>
        </w:rPr>
        <w:t>J Am Med Dir Assoc,</w:t>
      </w:r>
      <w:r w:rsidRPr="009E2F87">
        <w:rPr>
          <w:noProof/>
        </w:rPr>
        <w:t xml:space="preserve"> 1</w:t>
      </w:r>
      <w:r w:rsidRPr="009E2F87">
        <w:rPr>
          <w:b/>
          <w:noProof/>
        </w:rPr>
        <w:t>,</w:t>
      </w:r>
      <w:r w:rsidRPr="009E2F87">
        <w:rPr>
          <w:noProof/>
        </w:rPr>
        <w:t xml:space="preserve"> 114-116.</w:t>
      </w:r>
    </w:p>
    <w:p w14:paraId="5E98C804" w14:textId="77777777" w:rsidR="00B54D51" w:rsidRPr="009E2F87" w:rsidRDefault="00B54D51" w:rsidP="009E2F87">
      <w:pPr>
        <w:pStyle w:val="EndNoteBibliography"/>
        <w:ind w:left="720" w:hanging="720"/>
        <w:rPr>
          <w:noProof/>
        </w:rPr>
      </w:pPr>
      <w:r w:rsidRPr="009E2F87">
        <w:rPr>
          <w:noProof/>
        </w:rPr>
        <w:lastRenderedPageBreak/>
        <w:t xml:space="preserve">WIMO, A., GUSTAVSSON, A., JÖNSSON, L., WINBLAD, B., HSU, M.-A. &amp; GANNON, B. 2013. Application of Resource Utilization in Dementia (RUD) instrument in a global setting. </w:t>
      </w:r>
      <w:r w:rsidRPr="009E2F87">
        <w:rPr>
          <w:i/>
          <w:noProof/>
        </w:rPr>
        <w:t>Alzheimer's &amp; dementia,</w:t>
      </w:r>
      <w:r w:rsidRPr="009E2F87">
        <w:rPr>
          <w:noProof/>
        </w:rPr>
        <w:t xml:space="preserve"> 9</w:t>
      </w:r>
      <w:r w:rsidRPr="009E2F87">
        <w:rPr>
          <w:b/>
          <w:noProof/>
        </w:rPr>
        <w:t>,</w:t>
      </w:r>
      <w:r w:rsidRPr="009E2F87">
        <w:rPr>
          <w:noProof/>
        </w:rPr>
        <w:t xml:space="preserve"> 429-435. e17.</w:t>
      </w:r>
    </w:p>
    <w:p w14:paraId="263E257C" w14:textId="77777777" w:rsidR="00B54D51" w:rsidRPr="009E2F87" w:rsidRDefault="00B54D51" w:rsidP="009E2F87">
      <w:pPr>
        <w:pStyle w:val="EndNoteBibliography"/>
        <w:ind w:left="720" w:hanging="720"/>
        <w:rPr>
          <w:noProof/>
        </w:rPr>
      </w:pPr>
      <w:r w:rsidRPr="009E2F87">
        <w:rPr>
          <w:noProof/>
        </w:rPr>
        <w:t xml:space="preserve">WOOD, S., CUMMINGS, J. L., HSU, M.-A., BARCLAY, T., WHEATLEY, M. V., YAREMA, K. T. &amp; SCHNELLE, J. F. 2000. The use of the neuropsychiatric inventory in nursing home residents: characterization and measurement. </w:t>
      </w:r>
      <w:r w:rsidRPr="009E2F87">
        <w:rPr>
          <w:i/>
          <w:noProof/>
        </w:rPr>
        <w:t>The American Journal of Geriatric Psychiatry,</w:t>
      </w:r>
      <w:r w:rsidRPr="009E2F87">
        <w:rPr>
          <w:noProof/>
        </w:rPr>
        <w:t xml:space="preserve"> 8</w:t>
      </w:r>
      <w:r w:rsidRPr="009E2F87">
        <w:rPr>
          <w:b/>
          <w:noProof/>
        </w:rPr>
        <w:t>,</w:t>
      </w:r>
      <w:r w:rsidRPr="009E2F87">
        <w:rPr>
          <w:noProof/>
        </w:rPr>
        <w:t xml:space="preserve"> 75-83.</w:t>
      </w:r>
    </w:p>
    <w:p w14:paraId="3930CC55" w14:textId="77777777" w:rsidR="00B54D51" w:rsidRPr="009E2F87" w:rsidRDefault="00B54D51" w:rsidP="009E2F87">
      <w:pPr>
        <w:pStyle w:val="EndNoteBibliography"/>
        <w:ind w:left="720" w:hanging="720"/>
        <w:rPr>
          <w:noProof/>
        </w:rPr>
      </w:pPr>
      <w:r w:rsidRPr="009E2F87">
        <w:rPr>
          <w:noProof/>
        </w:rPr>
        <w:t xml:space="preserve">WOODS, R. T., BRUCE, E., EDWARDS, R., ELVISH, R., HOARE, Z., HOUNSOME, B., KEADY, J., MONIZ-COOK, E., ORGETA, V. &amp; ORRELL, M. 2012. REMCARE: reminiscence groups for people with dementia and their family caregivers-effectiveness and cost-effectiveness pragmatic multicentre randomised trial. </w:t>
      </w:r>
      <w:r w:rsidRPr="009E2F87">
        <w:rPr>
          <w:i/>
          <w:noProof/>
        </w:rPr>
        <w:t>Health Technology Assessment,</w:t>
      </w:r>
      <w:r w:rsidRPr="009E2F87">
        <w:rPr>
          <w:noProof/>
        </w:rPr>
        <w:t xml:space="preserve"> 16.</w:t>
      </w:r>
    </w:p>
    <w:p w14:paraId="201B9AE5" w14:textId="77777777" w:rsidR="00B54D51" w:rsidRPr="009E2F87" w:rsidRDefault="00B54D51" w:rsidP="009E2F87">
      <w:pPr>
        <w:pStyle w:val="EndNoteBibliography"/>
        <w:ind w:left="720" w:hanging="720"/>
        <w:rPr>
          <w:noProof/>
        </w:rPr>
      </w:pPr>
      <w:r w:rsidRPr="009E2F87">
        <w:rPr>
          <w:noProof/>
        </w:rPr>
        <w:t xml:space="preserve">WORLD HEALTH ORGANISATION. 2023 </w:t>
      </w:r>
      <w:r w:rsidRPr="009E2F87">
        <w:rPr>
          <w:i/>
          <w:noProof/>
        </w:rPr>
        <w:t xml:space="preserve">Dementia </w:t>
      </w:r>
      <w:r w:rsidRPr="009E2F87">
        <w:rPr>
          <w:noProof/>
        </w:rPr>
        <w:t xml:space="preserve">[Online]. Available: </w:t>
      </w:r>
      <w:r w:rsidRPr="00B54D51">
        <w:rPr>
          <w:noProof/>
        </w:rPr>
        <w:t>https://www.who.int/news-room/fact-sheets/detail/dementia</w:t>
      </w:r>
      <w:r w:rsidRPr="009E2F87">
        <w:rPr>
          <w:noProof/>
        </w:rPr>
        <w:t xml:space="preserve"> [Accessed].</w:t>
      </w:r>
    </w:p>
    <w:p w14:paraId="5E11F7A4" w14:textId="77777777" w:rsidR="00B54D51" w:rsidRPr="009E2F87" w:rsidRDefault="00B54D51" w:rsidP="009E2F87">
      <w:pPr>
        <w:pStyle w:val="EndNoteBibliography"/>
        <w:ind w:left="720" w:hanging="720"/>
        <w:rPr>
          <w:noProof/>
        </w:rPr>
      </w:pPr>
      <w:r w:rsidRPr="009E2F87">
        <w:rPr>
          <w:noProof/>
        </w:rPr>
        <w:t xml:space="preserve">YORK HEALTH ECONOMICS CONSORTIUM. 2016a. </w:t>
      </w:r>
      <w:r w:rsidRPr="009E2F87">
        <w:rPr>
          <w:i/>
          <w:noProof/>
        </w:rPr>
        <w:t xml:space="preserve">Incremental Cost-Effectiveness Ratio (ICER) [online] </w:t>
      </w:r>
      <w:r w:rsidRPr="009E2F87">
        <w:rPr>
          <w:noProof/>
        </w:rPr>
        <w:t xml:space="preserve">[Online]. Available: </w:t>
      </w:r>
      <w:r w:rsidRPr="00B54D51">
        <w:rPr>
          <w:noProof/>
        </w:rPr>
        <w:t>https://yhec.co.uk/glossary/incremental-cost-effectiveness-ratio-icer/</w:t>
      </w:r>
      <w:r w:rsidRPr="009E2F87">
        <w:rPr>
          <w:noProof/>
        </w:rPr>
        <w:t xml:space="preserve"> [Accessed].</w:t>
      </w:r>
    </w:p>
    <w:p w14:paraId="72562E1C" w14:textId="77777777" w:rsidR="00B54D51" w:rsidRPr="009E2F87" w:rsidRDefault="00B54D51" w:rsidP="009E2F87">
      <w:pPr>
        <w:pStyle w:val="EndNoteBibliography"/>
        <w:ind w:left="720" w:hanging="720"/>
        <w:rPr>
          <w:noProof/>
        </w:rPr>
      </w:pPr>
      <w:r w:rsidRPr="009E2F87">
        <w:rPr>
          <w:noProof/>
        </w:rPr>
        <w:t xml:space="preserve">YORK HEALTH ECONOMICS CONSORTIUM. 2016b. </w:t>
      </w:r>
      <w:r w:rsidRPr="009E2F87">
        <w:rPr>
          <w:i/>
          <w:noProof/>
        </w:rPr>
        <w:t xml:space="preserve">Utility [online] </w:t>
      </w:r>
      <w:r w:rsidRPr="009E2F87">
        <w:rPr>
          <w:noProof/>
        </w:rPr>
        <w:t xml:space="preserve">[Online]. Available: </w:t>
      </w:r>
      <w:r w:rsidRPr="00B54D51">
        <w:rPr>
          <w:noProof/>
        </w:rPr>
        <w:t>https://yhec.co.uk/glossary/utility/</w:t>
      </w:r>
      <w:r w:rsidRPr="009E2F87">
        <w:rPr>
          <w:noProof/>
        </w:rPr>
        <w:t xml:space="preserve"> [Accessed 2022].</w:t>
      </w:r>
    </w:p>
    <w:p w14:paraId="6F33D8B6" w14:textId="77777777" w:rsidR="00B54D51" w:rsidRDefault="00B54D51" w:rsidP="007A43F9">
      <w:pPr>
        <w:pStyle w:val="Heading1"/>
      </w:pPr>
    </w:p>
    <w:p w14:paraId="330DB7BA" w14:textId="609A8BE7" w:rsidR="00C84AC8" w:rsidRDefault="00C84AC8"/>
    <w:sectPr w:rsidR="00C84AC8" w:rsidSect="0051675A">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F6D3B39" w14:textId="77777777" w:rsidR="009A5FE7" w:rsidRDefault="009A5FE7">
      <w:r>
        <w:separator/>
      </w:r>
    </w:p>
  </w:endnote>
  <w:endnote w:type="continuationSeparator" w:id="0">
    <w:p w14:paraId="24EC1537" w14:textId="77777777" w:rsidR="009A5FE7" w:rsidRDefault="009A5FE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10002FF" w:usb1="4000FCFF" w:usb2="00000009" w:usb3="00000000" w:csb0="0000019F" w:csb1="00000000"/>
  </w:font>
  <w:font w:name="TUOS Blake">
    <w:altName w:val="Calibri"/>
    <w:panose1 w:val="020B0604020202020204"/>
    <w:charset w:val="00"/>
    <w:family w:val="swiss"/>
    <w:pitch w:val="variable"/>
    <w:sig w:usb0="8000002F" w:usb1="4000004A" w:usb2="00000000" w:usb3="00000000" w:csb0="00000011" w:csb1="00000000"/>
  </w:font>
  <w:font w:name="Segoe UI Symbol">
    <w:panose1 w:val="020B0502040204020203"/>
    <w:charset w:val="00"/>
    <w:family w:val="swiss"/>
    <w:pitch w:val="variable"/>
    <w:sig w:usb0="800001E3" w:usb1="1200FFEF" w:usb2="0004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001162897"/>
      <w:docPartObj>
        <w:docPartGallery w:val="Page Numbers (Bottom of Page)"/>
        <w:docPartUnique/>
      </w:docPartObj>
    </w:sdtPr>
    <w:sdtContent>
      <w:p w14:paraId="3B177658" w14:textId="77777777" w:rsidR="008D48B0" w:rsidRDefault="00000000" w:rsidP="00CA13CC">
        <w:pPr>
          <w:pStyle w:val="Footer"/>
          <w:framePr w:wrap="none" w:vAnchor="text" w:hAnchor="margin"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E23F393" w14:textId="77777777" w:rsidR="008D48B0" w:rsidRDefault="008D48B0" w:rsidP="00CA13CC">
    <w:pPr>
      <w:pStyle w:val="Footer"/>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1C9523D" w14:textId="77777777" w:rsidR="008D48B0" w:rsidRDefault="008D48B0" w:rsidP="00CA13CC">
    <w:pPr>
      <w:pStyle w:val="Footer"/>
      <w:framePr w:wrap="none" w:vAnchor="text" w:hAnchor="margin" w:xAlign="right" w:y="1"/>
      <w:ind w:right="360"/>
      <w:rPr>
        <w:rStyle w:val="PageNumber"/>
      </w:rPr>
    </w:pPr>
  </w:p>
  <w:p w14:paraId="7364AA7A" w14:textId="77777777" w:rsidR="008D48B0" w:rsidRDefault="008D48B0" w:rsidP="008D5130">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845522635"/>
      <w:docPartObj>
        <w:docPartGallery w:val="Page Numbers (Bottom of Page)"/>
        <w:docPartUnique/>
      </w:docPartObj>
    </w:sdtPr>
    <w:sdtContent>
      <w:p w14:paraId="573E9BF4" w14:textId="77777777" w:rsidR="008D48B0" w:rsidRDefault="00000000" w:rsidP="00CA13CC">
        <w:pPr>
          <w:pStyle w:val="Footer"/>
          <w:framePr w:wrap="none" w:vAnchor="text" w:hAnchor="margin"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i</w:t>
        </w:r>
        <w:r>
          <w:rPr>
            <w:rStyle w:val="PageNumber"/>
          </w:rPr>
          <w:fldChar w:fldCharType="end"/>
        </w:r>
      </w:p>
    </w:sdtContent>
  </w:sdt>
  <w:p w14:paraId="17F1B3CA" w14:textId="77777777" w:rsidR="008D48B0" w:rsidRDefault="008D48B0" w:rsidP="00CA13CC">
    <w:pPr>
      <w:pStyle w:val="Footer"/>
      <w:framePr w:wrap="none" w:vAnchor="text" w:hAnchor="margin" w:y="1"/>
      <w:ind w:right="360"/>
      <w:rPr>
        <w:rStyle w:val="PageNumber"/>
      </w:rPr>
    </w:pPr>
  </w:p>
  <w:p w14:paraId="2E8AFF30" w14:textId="77777777" w:rsidR="008D48B0" w:rsidRDefault="008D48B0" w:rsidP="00CA13CC">
    <w:pPr>
      <w:pStyle w:val="Footer"/>
      <w:ind w:right="360" w:firstLine="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957327477"/>
      <w:docPartObj>
        <w:docPartGallery w:val="Page Numbers (Bottom of Page)"/>
        <w:docPartUnique/>
      </w:docPartObj>
    </w:sdtPr>
    <w:sdtContent>
      <w:p w14:paraId="50872397" w14:textId="77777777" w:rsidR="008D48B0" w:rsidRDefault="00000000" w:rsidP="00CA13CC">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44</w:t>
        </w:r>
        <w:r>
          <w:rPr>
            <w:rStyle w:val="PageNumber"/>
          </w:rPr>
          <w:fldChar w:fldCharType="end"/>
        </w:r>
      </w:p>
    </w:sdtContent>
  </w:sdt>
  <w:p w14:paraId="6B6D4912" w14:textId="77777777" w:rsidR="008D48B0" w:rsidRDefault="008D48B0" w:rsidP="00CA13CC">
    <w:pPr>
      <w:pStyle w:val="Footer"/>
      <w:framePr w:wrap="none" w:vAnchor="text" w:hAnchor="margin" w:xAlign="center" w:y="1"/>
      <w:ind w:right="360"/>
      <w:rPr>
        <w:rStyle w:val="PageNumber"/>
      </w:rPr>
    </w:pPr>
  </w:p>
  <w:p w14:paraId="5A9922FC" w14:textId="77777777" w:rsidR="008D48B0" w:rsidRDefault="008D48B0" w:rsidP="008D5130">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55AD7FD" w14:textId="77777777" w:rsidR="009A5FE7" w:rsidRDefault="009A5FE7">
      <w:r>
        <w:separator/>
      </w:r>
    </w:p>
  </w:footnote>
  <w:footnote w:type="continuationSeparator" w:id="0">
    <w:p w14:paraId="2526EBA7" w14:textId="77777777" w:rsidR="009A5FE7" w:rsidRDefault="009A5FE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E8202D0" w14:textId="77777777" w:rsidR="008D48B0" w:rsidRDefault="008D48B0">
    <w:pPr>
      <w:pStyle w:val="Header"/>
    </w:pPr>
  </w:p>
  <w:p w14:paraId="0CB2D343" w14:textId="77777777" w:rsidR="008D48B0" w:rsidRDefault="008D48B0">
    <w:pPr>
      <w:pStyle w:val="Header"/>
    </w:pPr>
  </w:p>
  <w:p w14:paraId="435F61D2" w14:textId="77777777" w:rsidR="008D48B0" w:rsidRDefault="008D48B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9D71E21"/>
    <w:multiLevelType w:val="hybridMultilevel"/>
    <w:tmpl w:val="DB782A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C9304F2"/>
    <w:multiLevelType w:val="hybridMultilevel"/>
    <w:tmpl w:val="C1B24B18"/>
    <w:lvl w:ilvl="0" w:tplc="0809001B">
      <w:start w:val="1"/>
      <w:numFmt w:val="lowerRoman"/>
      <w:lvlText w:val="%1."/>
      <w:lvlJc w:val="right"/>
      <w:pPr>
        <w:ind w:left="770" w:hanging="360"/>
      </w:pPr>
      <w:rPr>
        <w:rFonts w:hint="default"/>
        <w:b/>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0F182FF4"/>
    <w:multiLevelType w:val="hybridMultilevel"/>
    <w:tmpl w:val="B86A74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F4B6441"/>
    <w:multiLevelType w:val="multilevel"/>
    <w:tmpl w:val="A698C7F4"/>
    <w:lvl w:ilvl="0">
      <w:start w:val="1"/>
      <w:numFmt w:val="lowerRoman"/>
      <w:lvlText w:val="%1."/>
      <w:lvlJc w:val="right"/>
      <w:pPr>
        <w:ind w:left="77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58679E7"/>
    <w:multiLevelType w:val="hybridMultilevel"/>
    <w:tmpl w:val="F94EC9C2"/>
    <w:lvl w:ilvl="0" w:tplc="0809000F">
      <w:start w:val="1"/>
      <w:numFmt w:val="decimal"/>
      <w:lvlText w:val="%1."/>
      <w:lvlJc w:val="left"/>
      <w:pPr>
        <w:ind w:left="720" w:hanging="360"/>
      </w:pPr>
    </w:lvl>
    <w:lvl w:ilvl="1" w:tplc="08090001">
      <w:start w:val="1"/>
      <w:numFmt w:val="bullet"/>
      <w:lvlText w:val=""/>
      <w:lvlJc w:val="left"/>
      <w:pPr>
        <w:ind w:left="1440" w:hanging="360"/>
      </w:pPr>
      <w:rPr>
        <w:rFonts w:ascii="Symbol" w:hAnsi="Symbol"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8326936"/>
    <w:multiLevelType w:val="hybridMultilevel"/>
    <w:tmpl w:val="ECF2A720"/>
    <w:lvl w:ilvl="0" w:tplc="0809001B">
      <w:start w:val="1"/>
      <w:numFmt w:val="lowerRoman"/>
      <w:lvlText w:val="%1."/>
      <w:lvlJc w:val="right"/>
      <w:pPr>
        <w:ind w:left="77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ACE0DEE"/>
    <w:multiLevelType w:val="multilevel"/>
    <w:tmpl w:val="0A9EC938"/>
    <w:lvl w:ilvl="0">
      <w:start w:val="7"/>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2"/>
      <w:numFmt w:val="decimal"/>
      <w:lvlText w:val="%1.%2.%3"/>
      <w:lvlJc w:val="left"/>
      <w:pPr>
        <w:ind w:left="720" w:hanging="720"/>
      </w:pPr>
      <w:rPr>
        <w:rFonts w:hint="default"/>
      </w:rPr>
    </w:lvl>
    <w:lvl w:ilvl="3">
      <w:start w:val="3"/>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1CCD1F45"/>
    <w:multiLevelType w:val="hybridMultilevel"/>
    <w:tmpl w:val="D5D01D0A"/>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248E111A"/>
    <w:multiLevelType w:val="hybridMultilevel"/>
    <w:tmpl w:val="59BE51E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2A7F0BF3"/>
    <w:multiLevelType w:val="hybridMultilevel"/>
    <w:tmpl w:val="9C2CC408"/>
    <w:lvl w:ilvl="0" w:tplc="FFFFFFFF">
      <w:start w:val="1"/>
      <w:numFmt w:val="lowerRoman"/>
      <w:lvlText w:val="%1."/>
      <w:lvlJc w:val="right"/>
      <w:pPr>
        <w:ind w:left="770" w:hanging="360"/>
      </w:pPr>
      <w:rPr>
        <w:rFonts w:hint="default"/>
      </w:rPr>
    </w:lvl>
    <w:lvl w:ilvl="1" w:tplc="FFFFFFFF" w:tentative="1">
      <w:start w:val="1"/>
      <w:numFmt w:val="bullet"/>
      <w:lvlText w:val="o"/>
      <w:lvlJc w:val="left"/>
      <w:pPr>
        <w:ind w:left="1490" w:hanging="360"/>
      </w:pPr>
      <w:rPr>
        <w:rFonts w:ascii="Courier New" w:hAnsi="Courier New" w:cs="Courier New" w:hint="default"/>
      </w:rPr>
    </w:lvl>
    <w:lvl w:ilvl="2" w:tplc="FFFFFFFF" w:tentative="1">
      <w:start w:val="1"/>
      <w:numFmt w:val="bullet"/>
      <w:lvlText w:val=""/>
      <w:lvlJc w:val="left"/>
      <w:pPr>
        <w:ind w:left="2210" w:hanging="360"/>
      </w:pPr>
      <w:rPr>
        <w:rFonts w:ascii="Wingdings" w:hAnsi="Wingdings" w:hint="default"/>
      </w:rPr>
    </w:lvl>
    <w:lvl w:ilvl="3" w:tplc="FFFFFFFF" w:tentative="1">
      <w:start w:val="1"/>
      <w:numFmt w:val="bullet"/>
      <w:lvlText w:val=""/>
      <w:lvlJc w:val="left"/>
      <w:pPr>
        <w:ind w:left="2930" w:hanging="360"/>
      </w:pPr>
      <w:rPr>
        <w:rFonts w:ascii="Symbol" w:hAnsi="Symbol" w:hint="default"/>
      </w:rPr>
    </w:lvl>
    <w:lvl w:ilvl="4" w:tplc="FFFFFFFF" w:tentative="1">
      <w:start w:val="1"/>
      <w:numFmt w:val="bullet"/>
      <w:lvlText w:val="o"/>
      <w:lvlJc w:val="left"/>
      <w:pPr>
        <w:ind w:left="3650" w:hanging="360"/>
      </w:pPr>
      <w:rPr>
        <w:rFonts w:ascii="Courier New" w:hAnsi="Courier New" w:cs="Courier New" w:hint="default"/>
      </w:rPr>
    </w:lvl>
    <w:lvl w:ilvl="5" w:tplc="FFFFFFFF" w:tentative="1">
      <w:start w:val="1"/>
      <w:numFmt w:val="bullet"/>
      <w:lvlText w:val=""/>
      <w:lvlJc w:val="left"/>
      <w:pPr>
        <w:ind w:left="4370" w:hanging="360"/>
      </w:pPr>
      <w:rPr>
        <w:rFonts w:ascii="Wingdings" w:hAnsi="Wingdings" w:hint="default"/>
      </w:rPr>
    </w:lvl>
    <w:lvl w:ilvl="6" w:tplc="FFFFFFFF" w:tentative="1">
      <w:start w:val="1"/>
      <w:numFmt w:val="bullet"/>
      <w:lvlText w:val=""/>
      <w:lvlJc w:val="left"/>
      <w:pPr>
        <w:ind w:left="5090" w:hanging="360"/>
      </w:pPr>
      <w:rPr>
        <w:rFonts w:ascii="Symbol" w:hAnsi="Symbol" w:hint="default"/>
      </w:rPr>
    </w:lvl>
    <w:lvl w:ilvl="7" w:tplc="FFFFFFFF" w:tentative="1">
      <w:start w:val="1"/>
      <w:numFmt w:val="bullet"/>
      <w:lvlText w:val="o"/>
      <w:lvlJc w:val="left"/>
      <w:pPr>
        <w:ind w:left="5810" w:hanging="360"/>
      </w:pPr>
      <w:rPr>
        <w:rFonts w:ascii="Courier New" w:hAnsi="Courier New" w:cs="Courier New" w:hint="default"/>
      </w:rPr>
    </w:lvl>
    <w:lvl w:ilvl="8" w:tplc="FFFFFFFF" w:tentative="1">
      <w:start w:val="1"/>
      <w:numFmt w:val="bullet"/>
      <w:lvlText w:val=""/>
      <w:lvlJc w:val="left"/>
      <w:pPr>
        <w:ind w:left="6530" w:hanging="360"/>
      </w:pPr>
      <w:rPr>
        <w:rFonts w:ascii="Wingdings" w:hAnsi="Wingdings" w:hint="default"/>
      </w:rPr>
    </w:lvl>
  </w:abstractNum>
  <w:abstractNum w:abstractNumId="10" w15:restartNumberingAfterBreak="0">
    <w:nsid w:val="2BE10499"/>
    <w:multiLevelType w:val="hybridMultilevel"/>
    <w:tmpl w:val="9C2CC408"/>
    <w:lvl w:ilvl="0" w:tplc="0809001B">
      <w:start w:val="1"/>
      <w:numFmt w:val="lowerRoman"/>
      <w:lvlText w:val="%1."/>
      <w:lvlJc w:val="right"/>
      <w:pPr>
        <w:ind w:left="770" w:hanging="360"/>
      </w:pPr>
      <w:rPr>
        <w:rFonts w:hint="default"/>
      </w:rPr>
    </w:lvl>
    <w:lvl w:ilvl="1" w:tplc="FFFFFFFF" w:tentative="1">
      <w:start w:val="1"/>
      <w:numFmt w:val="bullet"/>
      <w:lvlText w:val="o"/>
      <w:lvlJc w:val="left"/>
      <w:pPr>
        <w:ind w:left="1490" w:hanging="360"/>
      </w:pPr>
      <w:rPr>
        <w:rFonts w:ascii="Courier New" w:hAnsi="Courier New" w:cs="Courier New" w:hint="default"/>
      </w:rPr>
    </w:lvl>
    <w:lvl w:ilvl="2" w:tplc="FFFFFFFF" w:tentative="1">
      <w:start w:val="1"/>
      <w:numFmt w:val="bullet"/>
      <w:lvlText w:val=""/>
      <w:lvlJc w:val="left"/>
      <w:pPr>
        <w:ind w:left="2210" w:hanging="360"/>
      </w:pPr>
      <w:rPr>
        <w:rFonts w:ascii="Wingdings" w:hAnsi="Wingdings" w:hint="default"/>
      </w:rPr>
    </w:lvl>
    <w:lvl w:ilvl="3" w:tplc="FFFFFFFF" w:tentative="1">
      <w:start w:val="1"/>
      <w:numFmt w:val="bullet"/>
      <w:lvlText w:val=""/>
      <w:lvlJc w:val="left"/>
      <w:pPr>
        <w:ind w:left="2930" w:hanging="360"/>
      </w:pPr>
      <w:rPr>
        <w:rFonts w:ascii="Symbol" w:hAnsi="Symbol" w:hint="default"/>
      </w:rPr>
    </w:lvl>
    <w:lvl w:ilvl="4" w:tplc="FFFFFFFF" w:tentative="1">
      <w:start w:val="1"/>
      <w:numFmt w:val="bullet"/>
      <w:lvlText w:val="o"/>
      <w:lvlJc w:val="left"/>
      <w:pPr>
        <w:ind w:left="3650" w:hanging="360"/>
      </w:pPr>
      <w:rPr>
        <w:rFonts w:ascii="Courier New" w:hAnsi="Courier New" w:cs="Courier New" w:hint="default"/>
      </w:rPr>
    </w:lvl>
    <w:lvl w:ilvl="5" w:tplc="FFFFFFFF" w:tentative="1">
      <w:start w:val="1"/>
      <w:numFmt w:val="bullet"/>
      <w:lvlText w:val=""/>
      <w:lvlJc w:val="left"/>
      <w:pPr>
        <w:ind w:left="4370" w:hanging="360"/>
      </w:pPr>
      <w:rPr>
        <w:rFonts w:ascii="Wingdings" w:hAnsi="Wingdings" w:hint="default"/>
      </w:rPr>
    </w:lvl>
    <w:lvl w:ilvl="6" w:tplc="FFFFFFFF" w:tentative="1">
      <w:start w:val="1"/>
      <w:numFmt w:val="bullet"/>
      <w:lvlText w:val=""/>
      <w:lvlJc w:val="left"/>
      <w:pPr>
        <w:ind w:left="5090" w:hanging="360"/>
      </w:pPr>
      <w:rPr>
        <w:rFonts w:ascii="Symbol" w:hAnsi="Symbol" w:hint="default"/>
      </w:rPr>
    </w:lvl>
    <w:lvl w:ilvl="7" w:tplc="FFFFFFFF" w:tentative="1">
      <w:start w:val="1"/>
      <w:numFmt w:val="bullet"/>
      <w:lvlText w:val="o"/>
      <w:lvlJc w:val="left"/>
      <w:pPr>
        <w:ind w:left="5810" w:hanging="360"/>
      </w:pPr>
      <w:rPr>
        <w:rFonts w:ascii="Courier New" w:hAnsi="Courier New" w:cs="Courier New" w:hint="default"/>
      </w:rPr>
    </w:lvl>
    <w:lvl w:ilvl="8" w:tplc="FFFFFFFF" w:tentative="1">
      <w:start w:val="1"/>
      <w:numFmt w:val="bullet"/>
      <w:lvlText w:val=""/>
      <w:lvlJc w:val="left"/>
      <w:pPr>
        <w:ind w:left="6530" w:hanging="360"/>
      </w:pPr>
      <w:rPr>
        <w:rFonts w:ascii="Wingdings" w:hAnsi="Wingdings" w:hint="default"/>
      </w:rPr>
    </w:lvl>
  </w:abstractNum>
  <w:abstractNum w:abstractNumId="11" w15:restartNumberingAfterBreak="0">
    <w:nsid w:val="3C166AAF"/>
    <w:multiLevelType w:val="multilevel"/>
    <w:tmpl w:val="2ACAD74A"/>
    <w:lvl w:ilvl="0">
      <w:start w:val="7"/>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2"/>
      <w:numFmt w:val="decimal"/>
      <w:lvlText w:val="%1.%2.%3"/>
      <w:lvlJc w:val="left"/>
      <w:pPr>
        <w:ind w:left="720" w:hanging="720"/>
      </w:pPr>
      <w:rPr>
        <w:rFonts w:hint="default"/>
      </w:rPr>
    </w:lvl>
    <w:lvl w:ilvl="3">
      <w:start w:val="3"/>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645C66A5"/>
    <w:multiLevelType w:val="hybridMultilevel"/>
    <w:tmpl w:val="B17A1CF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7D934B99"/>
    <w:multiLevelType w:val="hybridMultilevel"/>
    <w:tmpl w:val="6CA0AA08"/>
    <w:lvl w:ilvl="0" w:tplc="0809000F">
      <w:start w:val="1"/>
      <w:numFmt w:val="decimal"/>
      <w:lvlText w:val="%1."/>
      <w:lvlJc w:val="left"/>
      <w:pPr>
        <w:ind w:left="720" w:hanging="360"/>
      </w:pPr>
    </w:lvl>
    <w:lvl w:ilvl="1" w:tplc="08090001">
      <w:start w:val="1"/>
      <w:numFmt w:val="bullet"/>
      <w:lvlText w:val=""/>
      <w:lvlJc w:val="left"/>
      <w:pPr>
        <w:ind w:left="1440" w:hanging="360"/>
      </w:pPr>
      <w:rPr>
        <w:rFonts w:ascii="Symbol" w:hAnsi="Symbol"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667584793">
    <w:abstractNumId w:val="7"/>
  </w:num>
  <w:num w:numId="2" w16cid:durableId="988633482">
    <w:abstractNumId w:val="12"/>
  </w:num>
  <w:num w:numId="3" w16cid:durableId="1194853113">
    <w:abstractNumId w:val="13"/>
  </w:num>
  <w:num w:numId="4" w16cid:durableId="1022852512">
    <w:abstractNumId w:val="0"/>
  </w:num>
  <w:num w:numId="5" w16cid:durableId="637492713">
    <w:abstractNumId w:val="8"/>
  </w:num>
  <w:num w:numId="6" w16cid:durableId="1862162657">
    <w:abstractNumId w:val="4"/>
  </w:num>
  <w:num w:numId="7" w16cid:durableId="1871915351">
    <w:abstractNumId w:val="10"/>
  </w:num>
  <w:num w:numId="8" w16cid:durableId="535583753">
    <w:abstractNumId w:val="3"/>
  </w:num>
  <w:num w:numId="9" w16cid:durableId="426460776">
    <w:abstractNumId w:val="1"/>
  </w:num>
  <w:num w:numId="10" w16cid:durableId="1406993764">
    <w:abstractNumId w:val="5"/>
  </w:num>
  <w:num w:numId="11" w16cid:durableId="139932501">
    <w:abstractNumId w:val="9"/>
  </w:num>
  <w:num w:numId="12" w16cid:durableId="1933120238">
    <w:abstractNumId w:val="2"/>
  </w:num>
  <w:num w:numId="13" w16cid:durableId="1880782668">
    <w:abstractNumId w:val="11"/>
  </w:num>
  <w:num w:numId="14" w16cid:durableId="1899509140">
    <w:abstractNumId w:val="6"/>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Hannah Hussain">
    <w15:presenceInfo w15:providerId="AD" w15:userId="S::hshussain1@sheffield.ac.uk::00630a1e-dcae-452c-b99e-fc9cec6c1aa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1&lt;/Suspended&gt;&lt;/ENInstantFormat&gt;"/>
    <w:docVar w:name="EN.Layout" w:val="&lt;ENLayout&gt;&lt;Style&gt;BMJ&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5pxftppxavads8efzd3x0dsnvzt9v0pzatr0&quot;&gt;PHD REFS &lt;record-ids&gt;&lt;item&gt;204&lt;/item&gt;&lt;/record-ids&gt;&lt;/item&gt;&lt;/Libraries&gt;"/>
  </w:docVars>
  <w:rsids>
    <w:rsidRoot w:val="00B54D51"/>
    <w:rsid w:val="00012B59"/>
    <w:rsid w:val="00017029"/>
    <w:rsid w:val="0002494A"/>
    <w:rsid w:val="00024B27"/>
    <w:rsid w:val="0002712F"/>
    <w:rsid w:val="00035954"/>
    <w:rsid w:val="00043CFC"/>
    <w:rsid w:val="000514AC"/>
    <w:rsid w:val="000532F0"/>
    <w:rsid w:val="000628A5"/>
    <w:rsid w:val="00063858"/>
    <w:rsid w:val="00076EC7"/>
    <w:rsid w:val="0008187E"/>
    <w:rsid w:val="00091CD5"/>
    <w:rsid w:val="00094A4F"/>
    <w:rsid w:val="000A47C4"/>
    <w:rsid w:val="000B070B"/>
    <w:rsid w:val="000B0FEC"/>
    <w:rsid w:val="000B155A"/>
    <w:rsid w:val="000C120C"/>
    <w:rsid w:val="000C2276"/>
    <w:rsid w:val="000C54B3"/>
    <w:rsid w:val="000C7F91"/>
    <w:rsid w:val="000D12C0"/>
    <w:rsid w:val="000D4B74"/>
    <w:rsid w:val="000D4F2E"/>
    <w:rsid w:val="000E2676"/>
    <w:rsid w:val="000E3774"/>
    <w:rsid w:val="000F4363"/>
    <w:rsid w:val="001045E4"/>
    <w:rsid w:val="00106AD6"/>
    <w:rsid w:val="00110F42"/>
    <w:rsid w:val="00111150"/>
    <w:rsid w:val="00124891"/>
    <w:rsid w:val="001254CE"/>
    <w:rsid w:val="00127B99"/>
    <w:rsid w:val="00132EFA"/>
    <w:rsid w:val="00135F78"/>
    <w:rsid w:val="001364D7"/>
    <w:rsid w:val="001433D5"/>
    <w:rsid w:val="00143FAB"/>
    <w:rsid w:val="0015099F"/>
    <w:rsid w:val="00152EB4"/>
    <w:rsid w:val="001653C8"/>
    <w:rsid w:val="001660FC"/>
    <w:rsid w:val="00167471"/>
    <w:rsid w:val="00170071"/>
    <w:rsid w:val="00170665"/>
    <w:rsid w:val="0017148E"/>
    <w:rsid w:val="00171864"/>
    <w:rsid w:val="00175146"/>
    <w:rsid w:val="0018679A"/>
    <w:rsid w:val="00187BBC"/>
    <w:rsid w:val="00190933"/>
    <w:rsid w:val="00190F5B"/>
    <w:rsid w:val="00194F54"/>
    <w:rsid w:val="00196263"/>
    <w:rsid w:val="00197698"/>
    <w:rsid w:val="001A39D6"/>
    <w:rsid w:val="001A789B"/>
    <w:rsid w:val="001B0BF6"/>
    <w:rsid w:val="001B5D48"/>
    <w:rsid w:val="001C0A31"/>
    <w:rsid w:val="001C171E"/>
    <w:rsid w:val="001C59E6"/>
    <w:rsid w:val="001D4724"/>
    <w:rsid w:val="001D47EE"/>
    <w:rsid w:val="001D5F35"/>
    <w:rsid w:val="001D60FC"/>
    <w:rsid w:val="001E1C1C"/>
    <w:rsid w:val="001E3B68"/>
    <w:rsid w:val="001E3F75"/>
    <w:rsid w:val="001E636C"/>
    <w:rsid w:val="001F2DC3"/>
    <w:rsid w:val="00203CFA"/>
    <w:rsid w:val="00204078"/>
    <w:rsid w:val="002046A6"/>
    <w:rsid w:val="00207DF2"/>
    <w:rsid w:val="002105FB"/>
    <w:rsid w:val="00210BFF"/>
    <w:rsid w:val="00210C6D"/>
    <w:rsid w:val="0021250D"/>
    <w:rsid w:val="002142CE"/>
    <w:rsid w:val="002217A9"/>
    <w:rsid w:val="0022258C"/>
    <w:rsid w:val="00233A99"/>
    <w:rsid w:val="0023623D"/>
    <w:rsid w:val="002362C3"/>
    <w:rsid w:val="00236985"/>
    <w:rsid w:val="00243F82"/>
    <w:rsid w:val="00245021"/>
    <w:rsid w:val="00250442"/>
    <w:rsid w:val="002517AA"/>
    <w:rsid w:val="00254ACD"/>
    <w:rsid w:val="00261F57"/>
    <w:rsid w:val="00263CB2"/>
    <w:rsid w:val="00265797"/>
    <w:rsid w:val="00266FE0"/>
    <w:rsid w:val="00270C9F"/>
    <w:rsid w:val="00271A3D"/>
    <w:rsid w:val="00273A4B"/>
    <w:rsid w:val="002743A3"/>
    <w:rsid w:val="0028294F"/>
    <w:rsid w:val="00285EEA"/>
    <w:rsid w:val="002868BB"/>
    <w:rsid w:val="00290987"/>
    <w:rsid w:val="002977FA"/>
    <w:rsid w:val="002A0488"/>
    <w:rsid w:val="002A4B43"/>
    <w:rsid w:val="002A4CE0"/>
    <w:rsid w:val="002B53FE"/>
    <w:rsid w:val="002B5521"/>
    <w:rsid w:val="002B6F04"/>
    <w:rsid w:val="002C3F9E"/>
    <w:rsid w:val="002C45DB"/>
    <w:rsid w:val="002C61B2"/>
    <w:rsid w:val="002C7E2A"/>
    <w:rsid w:val="002E1A3A"/>
    <w:rsid w:val="002E40D4"/>
    <w:rsid w:val="002F1692"/>
    <w:rsid w:val="002F7045"/>
    <w:rsid w:val="00303A2B"/>
    <w:rsid w:val="0030667F"/>
    <w:rsid w:val="00307EF2"/>
    <w:rsid w:val="00314A02"/>
    <w:rsid w:val="00316C9B"/>
    <w:rsid w:val="0031704F"/>
    <w:rsid w:val="00322562"/>
    <w:rsid w:val="00322CFC"/>
    <w:rsid w:val="00326A74"/>
    <w:rsid w:val="0033466C"/>
    <w:rsid w:val="00345C49"/>
    <w:rsid w:val="003472E7"/>
    <w:rsid w:val="00347649"/>
    <w:rsid w:val="0035069D"/>
    <w:rsid w:val="00357E1D"/>
    <w:rsid w:val="00361FFA"/>
    <w:rsid w:val="00382770"/>
    <w:rsid w:val="0038559C"/>
    <w:rsid w:val="00385E4D"/>
    <w:rsid w:val="00386456"/>
    <w:rsid w:val="003871A6"/>
    <w:rsid w:val="003944AA"/>
    <w:rsid w:val="003A3A84"/>
    <w:rsid w:val="003B032D"/>
    <w:rsid w:val="003B3E43"/>
    <w:rsid w:val="003C3837"/>
    <w:rsid w:val="003C3D6B"/>
    <w:rsid w:val="003C3F4B"/>
    <w:rsid w:val="003D045D"/>
    <w:rsid w:val="003D10A7"/>
    <w:rsid w:val="003D3B37"/>
    <w:rsid w:val="003D4FEB"/>
    <w:rsid w:val="003E112A"/>
    <w:rsid w:val="003E28C7"/>
    <w:rsid w:val="003E319E"/>
    <w:rsid w:val="003F363B"/>
    <w:rsid w:val="003F38DF"/>
    <w:rsid w:val="003F60E4"/>
    <w:rsid w:val="00401B98"/>
    <w:rsid w:val="00406F0E"/>
    <w:rsid w:val="00410921"/>
    <w:rsid w:val="00416BFB"/>
    <w:rsid w:val="00417E13"/>
    <w:rsid w:val="00431228"/>
    <w:rsid w:val="00437C3A"/>
    <w:rsid w:val="00446617"/>
    <w:rsid w:val="004477AA"/>
    <w:rsid w:val="00456E42"/>
    <w:rsid w:val="00457134"/>
    <w:rsid w:val="004611ED"/>
    <w:rsid w:val="00464CF6"/>
    <w:rsid w:val="00466A6E"/>
    <w:rsid w:val="00483C90"/>
    <w:rsid w:val="00485687"/>
    <w:rsid w:val="004857C3"/>
    <w:rsid w:val="00485E41"/>
    <w:rsid w:val="00486874"/>
    <w:rsid w:val="00491877"/>
    <w:rsid w:val="00492A5A"/>
    <w:rsid w:val="004A7012"/>
    <w:rsid w:val="004B1CCA"/>
    <w:rsid w:val="004B3E31"/>
    <w:rsid w:val="004C2167"/>
    <w:rsid w:val="004C52B3"/>
    <w:rsid w:val="004C77AD"/>
    <w:rsid w:val="004D39C7"/>
    <w:rsid w:val="004D3DD8"/>
    <w:rsid w:val="004E0FA8"/>
    <w:rsid w:val="004E5B64"/>
    <w:rsid w:val="004E5D3C"/>
    <w:rsid w:val="004F4D9A"/>
    <w:rsid w:val="004F5159"/>
    <w:rsid w:val="00501FFD"/>
    <w:rsid w:val="00512219"/>
    <w:rsid w:val="0051675A"/>
    <w:rsid w:val="005324B0"/>
    <w:rsid w:val="005346F7"/>
    <w:rsid w:val="005360F9"/>
    <w:rsid w:val="00543915"/>
    <w:rsid w:val="00545604"/>
    <w:rsid w:val="00546EF4"/>
    <w:rsid w:val="00553358"/>
    <w:rsid w:val="00554D4E"/>
    <w:rsid w:val="00561551"/>
    <w:rsid w:val="0056178B"/>
    <w:rsid w:val="00563D67"/>
    <w:rsid w:val="005718E5"/>
    <w:rsid w:val="0057258E"/>
    <w:rsid w:val="00573A7F"/>
    <w:rsid w:val="00574955"/>
    <w:rsid w:val="005848EB"/>
    <w:rsid w:val="00590FE9"/>
    <w:rsid w:val="0059327A"/>
    <w:rsid w:val="005A128F"/>
    <w:rsid w:val="005A43EE"/>
    <w:rsid w:val="005A4DF7"/>
    <w:rsid w:val="005A75E1"/>
    <w:rsid w:val="005B1C81"/>
    <w:rsid w:val="005C62A1"/>
    <w:rsid w:val="005C6FE7"/>
    <w:rsid w:val="005D15A7"/>
    <w:rsid w:val="005D25FD"/>
    <w:rsid w:val="005D3C45"/>
    <w:rsid w:val="005D7D0B"/>
    <w:rsid w:val="005E0F3C"/>
    <w:rsid w:val="005E24FF"/>
    <w:rsid w:val="005E366A"/>
    <w:rsid w:val="005E57A3"/>
    <w:rsid w:val="005E5FDF"/>
    <w:rsid w:val="0061154D"/>
    <w:rsid w:val="00614D2C"/>
    <w:rsid w:val="0062720E"/>
    <w:rsid w:val="00631B84"/>
    <w:rsid w:val="0063352B"/>
    <w:rsid w:val="00644908"/>
    <w:rsid w:val="006563DE"/>
    <w:rsid w:val="00662501"/>
    <w:rsid w:val="0066299C"/>
    <w:rsid w:val="00673F38"/>
    <w:rsid w:val="006757E6"/>
    <w:rsid w:val="00681B11"/>
    <w:rsid w:val="006828CD"/>
    <w:rsid w:val="00694701"/>
    <w:rsid w:val="00694D52"/>
    <w:rsid w:val="006A2069"/>
    <w:rsid w:val="006A5D34"/>
    <w:rsid w:val="006A6259"/>
    <w:rsid w:val="006B46A7"/>
    <w:rsid w:val="006B65AC"/>
    <w:rsid w:val="006C02D4"/>
    <w:rsid w:val="006C1F5C"/>
    <w:rsid w:val="006C632D"/>
    <w:rsid w:val="006D168A"/>
    <w:rsid w:val="006D2E0B"/>
    <w:rsid w:val="006D37D9"/>
    <w:rsid w:val="006E5068"/>
    <w:rsid w:val="006F3E35"/>
    <w:rsid w:val="007057A6"/>
    <w:rsid w:val="007117C4"/>
    <w:rsid w:val="00714E58"/>
    <w:rsid w:val="007156A8"/>
    <w:rsid w:val="00722B2C"/>
    <w:rsid w:val="00723B16"/>
    <w:rsid w:val="00723C16"/>
    <w:rsid w:val="00731404"/>
    <w:rsid w:val="00744D84"/>
    <w:rsid w:val="00744DB6"/>
    <w:rsid w:val="007606E9"/>
    <w:rsid w:val="007667D1"/>
    <w:rsid w:val="007700DE"/>
    <w:rsid w:val="0077749C"/>
    <w:rsid w:val="00777D27"/>
    <w:rsid w:val="007839BE"/>
    <w:rsid w:val="007853DA"/>
    <w:rsid w:val="00791D10"/>
    <w:rsid w:val="007A1A39"/>
    <w:rsid w:val="007A27C2"/>
    <w:rsid w:val="007A5C53"/>
    <w:rsid w:val="007A7421"/>
    <w:rsid w:val="007A7877"/>
    <w:rsid w:val="007B0B35"/>
    <w:rsid w:val="007B27ED"/>
    <w:rsid w:val="007B4AF5"/>
    <w:rsid w:val="007B62B1"/>
    <w:rsid w:val="007C0CE1"/>
    <w:rsid w:val="007C1712"/>
    <w:rsid w:val="007C3BCE"/>
    <w:rsid w:val="007C725B"/>
    <w:rsid w:val="007C7F2F"/>
    <w:rsid w:val="007D0267"/>
    <w:rsid w:val="007D0518"/>
    <w:rsid w:val="007D14CB"/>
    <w:rsid w:val="007D466A"/>
    <w:rsid w:val="007D511B"/>
    <w:rsid w:val="007D5C30"/>
    <w:rsid w:val="007E1760"/>
    <w:rsid w:val="007E6B55"/>
    <w:rsid w:val="007F6647"/>
    <w:rsid w:val="007F6CC8"/>
    <w:rsid w:val="008007C9"/>
    <w:rsid w:val="008034BC"/>
    <w:rsid w:val="00806411"/>
    <w:rsid w:val="008077F8"/>
    <w:rsid w:val="008119BB"/>
    <w:rsid w:val="00817477"/>
    <w:rsid w:val="008174F9"/>
    <w:rsid w:val="008206EF"/>
    <w:rsid w:val="00821F88"/>
    <w:rsid w:val="00823074"/>
    <w:rsid w:val="00825714"/>
    <w:rsid w:val="0082773F"/>
    <w:rsid w:val="00830480"/>
    <w:rsid w:val="008359DD"/>
    <w:rsid w:val="008373E3"/>
    <w:rsid w:val="00837E5B"/>
    <w:rsid w:val="0085385D"/>
    <w:rsid w:val="00856627"/>
    <w:rsid w:val="0086149E"/>
    <w:rsid w:val="00863F41"/>
    <w:rsid w:val="008679F3"/>
    <w:rsid w:val="00870E53"/>
    <w:rsid w:val="00871F24"/>
    <w:rsid w:val="0087410A"/>
    <w:rsid w:val="00882C90"/>
    <w:rsid w:val="00883F29"/>
    <w:rsid w:val="00886635"/>
    <w:rsid w:val="008914C1"/>
    <w:rsid w:val="008A5B0E"/>
    <w:rsid w:val="008B38F4"/>
    <w:rsid w:val="008B60DB"/>
    <w:rsid w:val="008B638F"/>
    <w:rsid w:val="008B6DD7"/>
    <w:rsid w:val="008C2D91"/>
    <w:rsid w:val="008D48B0"/>
    <w:rsid w:val="008D51D1"/>
    <w:rsid w:val="008D6CA4"/>
    <w:rsid w:val="00900040"/>
    <w:rsid w:val="009037B0"/>
    <w:rsid w:val="009040FC"/>
    <w:rsid w:val="00904BB6"/>
    <w:rsid w:val="00915014"/>
    <w:rsid w:val="00917BB4"/>
    <w:rsid w:val="00930C82"/>
    <w:rsid w:val="00940CC1"/>
    <w:rsid w:val="00941C4E"/>
    <w:rsid w:val="00956735"/>
    <w:rsid w:val="00962967"/>
    <w:rsid w:val="00972802"/>
    <w:rsid w:val="00975BC4"/>
    <w:rsid w:val="00975EEE"/>
    <w:rsid w:val="00992727"/>
    <w:rsid w:val="00996BC0"/>
    <w:rsid w:val="009A0C82"/>
    <w:rsid w:val="009A19E4"/>
    <w:rsid w:val="009A5FE7"/>
    <w:rsid w:val="009B08E3"/>
    <w:rsid w:val="009B2F1F"/>
    <w:rsid w:val="009B518E"/>
    <w:rsid w:val="009C06AC"/>
    <w:rsid w:val="009C0A88"/>
    <w:rsid w:val="009C3422"/>
    <w:rsid w:val="009C46CB"/>
    <w:rsid w:val="009C604D"/>
    <w:rsid w:val="009D6360"/>
    <w:rsid w:val="009E53B0"/>
    <w:rsid w:val="009E65F9"/>
    <w:rsid w:val="009E7D83"/>
    <w:rsid w:val="009F18F9"/>
    <w:rsid w:val="009F67EF"/>
    <w:rsid w:val="009F7738"/>
    <w:rsid w:val="00A01CDE"/>
    <w:rsid w:val="00A021DB"/>
    <w:rsid w:val="00A02B5B"/>
    <w:rsid w:val="00A1123D"/>
    <w:rsid w:val="00A124D3"/>
    <w:rsid w:val="00A1363E"/>
    <w:rsid w:val="00A14E4F"/>
    <w:rsid w:val="00A30A28"/>
    <w:rsid w:val="00A36419"/>
    <w:rsid w:val="00A44493"/>
    <w:rsid w:val="00A44B3D"/>
    <w:rsid w:val="00A47CE6"/>
    <w:rsid w:val="00A50549"/>
    <w:rsid w:val="00A56AEA"/>
    <w:rsid w:val="00A60657"/>
    <w:rsid w:val="00A665A4"/>
    <w:rsid w:val="00A7073A"/>
    <w:rsid w:val="00A7396A"/>
    <w:rsid w:val="00A73982"/>
    <w:rsid w:val="00A87F63"/>
    <w:rsid w:val="00A936CE"/>
    <w:rsid w:val="00A974EE"/>
    <w:rsid w:val="00AA07A6"/>
    <w:rsid w:val="00AA36A6"/>
    <w:rsid w:val="00AA7B06"/>
    <w:rsid w:val="00AB1F12"/>
    <w:rsid w:val="00AB2F88"/>
    <w:rsid w:val="00AB49EA"/>
    <w:rsid w:val="00AC0FE9"/>
    <w:rsid w:val="00AC3531"/>
    <w:rsid w:val="00AC388A"/>
    <w:rsid w:val="00AC3A01"/>
    <w:rsid w:val="00AC4BB1"/>
    <w:rsid w:val="00AC6DF9"/>
    <w:rsid w:val="00AD2851"/>
    <w:rsid w:val="00AD2D75"/>
    <w:rsid w:val="00AD5AE3"/>
    <w:rsid w:val="00AD6BA4"/>
    <w:rsid w:val="00AE0FEB"/>
    <w:rsid w:val="00AF1A65"/>
    <w:rsid w:val="00AF33EE"/>
    <w:rsid w:val="00AF783E"/>
    <w:rsid w:val="00B00AB2"/>
    <w:rsid w:val="00B12513"/>
    <w:rsid w:val="00B1310D"/>
    <w:rsid w:val="00B2084C"/>
    <w:rsid w:val="00B22580"/>
    <w:rsid w:val="00B30D9A"/>
    <w:rsid w:val="00B349C1"/>
    <w:rsid w:val="00B43DB5"/>
    <w:rsid w:val="00B4404C"/>
    <w:rsid w:val="00B45B1A"/>
    <w:rsid w:val="00B54D51"/>
    <w:rsid w:val="00B57494"/>
    <w:rsid w:val="00B6702F"/>
    <w:rsid w:val="00B72D2A"/>
    <w:rsid w:val="00B765F9"/>
    <w:rsid w:val="00B77D6A"/>
    <w:rsid w:val="00B8127D"/>
    <w:rsid w:val="00B8180D"/>
    <w:rsid w:val="00B82EB5"/>
    <w:rsid w:val="00B83579"/>
    <w:rsid w:val="00B8462B"/>
    <w:rsid w:val="00B84F44"/>
    <w:rsid w:val="00B857D5"/>
    <w:rsid w:val="00B8599D"/>
    <w:rsid w:val="00B85E21"/>
    <w:rsid w:val="00B872AD"/>
    <w:rsid w:val="00B90A8F"/>
    <w:rsid w:val="00B90F10"/>
    <w:rsid w:val="00B9641F"/>
    <w:rsid w:val="00BA1F4C"/>
    <w:rsid w:val="00BC0D7C"/>
    <w:rsid w:val="00BC79F7"/>
    <w:rsid w:val="00BC7E42"/>
    <w:rsid w:val="00BD1132"/>
    <w:rsid w:val="00BD56AD"/>
    <w:rsid w:val="00BF0A8D"/>
    <w:rsid w:val="00BF18E6"/>
    <w:rsid w:val="00BF6227"/>
    <w:rsid w:val="00C02A85"/>
    <w:rsid w:val="00C04DDE"/>
    <w:rsid w:val="00C061CE"/>
    <w:rsid w:val="00C11FB8"/>
    <w:rsid w:val="00C15535"/>
    <w:rsid w:val="00C17906"/>
    <w:rsid w:val="00C17FCB"/>
    <w:rsid w:val="00C2053F"/>
    <w:rsid w:val="00C22B46"/>
    <w:rsid w:val="00C440B7"/>
    <w:rsid w:val="00C44562"/>
    <w:rsid w:val="00C4467E"/>
    <w:rsid w:val="00C458CA"/>
    <w:rsid w:val="00C4792C"/>
    <w:rsid w:val="00C51710"/>
    <w:rsid w:val="00C53AA8"/>
    <w:rsid w:val="00C555A5"/>
    <w:rsid w:val="00C55E57"/>
    <w:rsid w:val="00C6405A"/>
    <w:rsid w:val="00C70958"/>
    <w:rsid w:val="00C70DE0"/>
    <w:rsid w:val="00C83FDA"/>
    <w:rsid w:val="00C84AC8"/>
    <w:rsid w:val="00C92358"/>
    <w:rsid w:val="00C9288C"/>
    <w:rsid w:val="00CA09A9"/>
    <w:rsid w:val="00CA2987"/>
    <w:rsid w:val="00CA3BBB"/>
    <w:rsid w:val="00CB63EF"/>
    <w:rsid w:val="00CB773B"/>
    <w:rsid w:val="00CB7CD2"/>
    <w:rsid w:val="00CC5F15"/>
    <w:rsid w:val="00CD0A8D"/>
    <w:rsid w:val="00CE1A88"/>
    <w:rsid w:val="00CE3510"/>
    <w:rsid w:val="00CE4169"/>
    <w:rsid w:val="00CE6320"/>
    <w:rsid w:val="00CF2427"/>
    <w:rsid w:val="00CF31D0"/>
    <w:rsid w:val="00CF5792"/>
    <w:rsid w:val="00CF5C82"/>
    <w:rsid w:val="00CF64CA"/>
    <w:rsid w:val="00CF64E4"/>
    <w:rsid w:val="00CF7977"/>
    <w:rsid w:val="00D04019"/>
    <w:rsid w:val="00D10E5A"/>
    <w:rsid w:val="00D12F2B"/>
    <w:rsid w:val="00D13197"/>
    <w:rsid w:val="00D14D76"/>
    <w:rsid w:val="00D219B7"/>
    <w:rsid w:val="00D435F6"/>
    <w:rsid w:val="00D461D0"/>
    <w:rsid w:val="00D526AC"/>
    <w:rsid w:val="00D5771A"/>
    <w:rsid w:val="00D6352C"/>
    <w:rsid w:val="00D64113"/>
    <w:rsid w:val="00D64CE7"/>
    <w:rsid w:val="00D66B7E"/>
    <w:rsid w:val="00D75792"/>
    <w:rsid w:val="00D82AD5"/>
    <w:rsid w:val="00D90E53"/>
    <w:rsid w:val="00D939D4"/>
    <w:rsid w:val="00D9768B"/>
    <w:rsid w:val="00DA290A"/>
    <w:rsid w:val="00DB28D1"/>
    <w:rsid w:val="00DB38A3"/>
    <w:rsid w:val="00DB4DAA"/>
    <w:rsid w:val="00DB69C8"/>
    <w:rsid w:val="00DC00C6"/>
    <w:rsid w:val="00DC1A86"/>
    <w:rsid w:val="00DC55BB"/>
    <w:rsid w:val="00DD47CB"/>
    <w:rsid w:val="00DD6CFC"/>
    <w:rsid w:val="00DD7469"/>
    <w:rsid w:val="00DE0067"/>
    <w:rsid w:val="00DE15C3"/>
    <w:rsid w:val="00DE18C5"/>
    <w:rsid w:val="00DE68E5"/>
    <w:rsid w:val="00DF0BEC"/>
    <w:rsid w:val="00DF34CB"/>
    <w:rsid w:val="00DF43C9"/>
    <w:rsid w:val="00DF54E0"/>
    <w:rsid w:val="00DF652F"/>
    <w:rsid w:val="00E01DE0"/>
    <w:rsid w:val="00E0238C"/>
    <w:rsid w:val="00E1564E"/>
    <w:rsid w:val="00E224B6"/>
    <w:rsid w:val="00E2732E"/>
    <w:rsid w:val="00E27E15"/>
    <w:rsid w:val="00E34C64"/>
    <w:rsid w:val="00E355ED"/>
    <w:rsid w:val="00E356F3"/>
    <w:rsid w:val="00E4102A"/>
    <w:rsid w:val="00E523FB"/>
    <w:rsid w:val="00E53297"/>
    <w:rsid w:val="00E53643"/>
    <w:rsid w:val="00E67F10"/>
    <w:rsid w:val="00E74B37"/>
    <w:rsid w:val="00E814EA"/>
    <w:rsid w:val="00E858BF"/>
    <w:rsid w:val="00E86287"/>
    <w:rsid w:val="00E90D97"/>
    <w:rsid w:val="00E95AD2"/>
    <w:rsid w:val="00E968E4"/>
    <w:rsid w:val="00EA5E35"/>
    <w:rsid w:val="00EB0206"/>
    <w:rsid w:val="00EB563C"/>
    <w:rsid w:val="00EC4439"/>
    <w:rsid w:val="00EC71A5"/>
    <w:rsid w:val="00ED2317"/>
    <w:rsid w:val="00EE6321"/>
    <w:rsid w:val="00EF2219"/>
    <w:rsid w:val="00EF5CF0"/>
    <w:rsid w:val="00F00F62"/>
    <w:rsid w:val="00F02CF3"/>
    <w:rsid w:val="00F147DC"/>
    <w:rsid w:val="00F14940"/>
    <w:rsid w:val="00F23BDF"/>
    <w:rsid w:val="00F23E50"/>
    <w:rsid w:val="00F23F02"/>
    <w:rsid w:val="00F24AA2"/>
    <w:rsid w:val="00F26D5D"/>
    <w:rsid w:val="00F31974"/>
    <w:rsid w:val="00F3208B"/>
    <w:rsid w:val="00F34E14"/>
    <w:rsid w:val="00F35499"/>
    <w:rsid w:val="00F35726"/>
    <w:rsid w:val="00F40449"/>
    <w:rsid w:val="00F42B67"/>
    <w:rsid w:val="00F44DE2"/>
    <w:rsid w:val="00F54399"/>
    <w:rsid w:val="00F55AFE"/>
    <w:rsid w:val="00F55F6E"/>
    <w:rsid w:val="00F56CBA"/>
    <w:rsid w:val="00F57111"/>
    <w:rsid w:val="00F6239B"/>
    <w:rsid w:val="00F641FE"/>
    <w:rsid w:val="00F65D90"/>
    <w:rsid w:val="00F669A4"/>
    <w:rsid w:val="00F723A2"/>
    <w:rsid w:val="00F738EB"/>
    <w:rsid w:val="00F7398D"/>
    <w:rsid w:val="00F75163"/>
    <w:rsid w:val="00F77121"/>
    <w:rsid w:val="00F83DBD"/>
    <w:rsid w:val="00F84259"/>
    <w:rsid w:val="00F85D00"/>
    <w:rsid w:val="00F86C39"/>
    <w:rsid w:val="00F91F28"/>
    <w:rsid w:val="00F963E7"/>
    <w:rsid w:val="00F977C1"/>
    <w:rsid w:val="00FA10A6"/>
    <w:rsid w:val="00FA604E"/>
    <w:rsid w:val="00FB01D5"/>
    <w:rsid w:val="00FB12DF"/>
    <w:rsid w:val="00FB18B6"/>
    <w:rsid w:val="00FB4365"/>
    <w:rsid w:val="00FB6DB2"/>
    <w:rsid w:val="00FB6EFE"/>
    <w:rsid w:val="00FC5A90"/>
    <w:rsid w:val="00FD3044"/>
    <w:rsid w:val="00FD3653"/>
    <w:rsid w:val="00FD4ED7"/>
    <w:rsid w:val="00FE1809"/>
    <w:rsid w:val="00FF22DB"/>
    <w:rsid w:val="00FF358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A86E1C4"/>
  <w15:chartTrackingRefBased/>
  <w15:docId w15:val="{6D33AF3E-CEBD-F048-9D36-3C9016D70A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52EB4"/>
    <w:rPr>
      <w:rFonts w:ascii="Times New Roman" w:eastAsia="Times New Roman" w:hAnsi="Times New Roman" w:cs="Times New Roman"/>
      <w:lang w:eastAsia="en-GB"/>
    </w:rPr>
  </w:style>
  <w:style w:type="paragraph" w:styleId="Heading1">
    <w:name w:val="heading 1"/>
    <w:basedOn w:val="Normal"/>
    <w:next w:val="Normal"/>
    <w:link w:val="Heading1Char"/>
    <w:uiPriority w:val="9"/>
    <w:qFormat/>
    <w:rsid w:val="00B54D51"/>
    <w:pPr>
      <w:keepNext/>
      <w:keepLines/>
      <w:spacing w:before="240"/>
      <w:outlineLvl w:val="0"/>
    </w:pPr>
    <w:rPr>
      <w:rFonts w:asciiTheme="minorHAnsi" w:eastAsiaTheme="majorEastAsia" w:hAnsiTheme="minorHAnsi" w:cstheme="majorBidi"/>
      <w:b/>
      <w:sz w:val="32"/>
      <w:szCs w:val="32"/>
      <w:u w:val="single"/>
    </w:rPr>
  </w:style>
  <w:style w:type="paragraph" w:styleId="Heading2">
    <w:name w:val="heading 2"/>
    <w:basedOn w:val="Normal"/>
    <w:next w:val="Normal"/>
    <w:link w:val="Heading2Char"/>
    <w:uiPriority w:val="9"/>
    <w:unhideWhenUsed/>
    <w:qFormat/>
    <w:rsid w:val="00B54D51"/>
    <w:pPr>
      <w:keepNext/>
      <w:keepLines/>
      <w:spacing w:before="40"/>
      <w:outlineLvl w:val="1"/>
    </w:pPr>
    <w:rPr>
      <w:rFonts w:asciiTheme="majorHAnsi" w:eastAsiaTheme="majorEastAsia" w:hAnsiTheme="majorHAnsi" w:cstheme="majorBidi"/>
      <w:b/>
      <w:sz w:val="26"/>
      <w:szCs w:val="26"/>
      <w:u w:val="single"/>
    </w:rPr>
  </w:style>
  <w:style w:type="paragraph" w:styleId="Heading3">
    <w:name w:val="heading 3"/>
    <w:basedOn w:val="Normal"/>
    <w:next w:val="Normal"/>
    <w:link w:val="Heading3Char"/>
    <w:uiPriority w:val="9"/>
    <w:unhideWhenUsed/>
    <w:qFormat/>
    <w:rsid w:val="00B54D51"/>
    <w:pPr>
      <w:keepNext/>
      <w:keepLines/>
      <w:spacing w:before="40"/>
      <w:outlineLvl w:val="2"/>
    </w:pPr>
    <w:rPr>
      <w:rFonts w:asciiTheme="majorHAnsi" w:eastAsiaTheme="majorEastAsia" w:hAnsiTheme="majorHAnsi" w:cstheme="majorBidi"/>
      <w:b/>
      <w:sz w:val="26"/>
      <w:u w:val="single"/>
    </w:rPr>
  </w:style>
  <w:style w:type="paragraph" w:styleId="Heading4">
    <w:name w:val="heading 4"/>
    <w:basedOn w:val="Normal"/>
    <w:next w:val="Normal"/>
    <w:link w:val="Heading4Char"/>
    <w:uiPriority w:val="9"/>
    <w:unhideWhenUsed/>
    <w:qFormat/>
    <w:rsid w:val="00B54D51"/>
    <w:pPr>
      <w:keepNext/>
      <w:keepLines/>
      <w:spacing w:before="40"/>
      <w:outlineLvl w:val="3"/>
    </w:pPr>
    <w:rPr>
      <w:rFonts w:asciiTheme="majorHAnsi" w:eastAsiaTheme="majorEastAsia" w:hAnsiTheme="majorHAnsi" w:cstheme="majorBidi"/>
      <w:b/>
      <w:iCs/>
      <w:sz w:val="26"/>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54D51"/>
    <w:rPr>
      <w:rFonts w:eastAsiaTheme="majorEastAsia" w:cstheme="majorBidi"/>
      <w:b/>
      <w:sz w:val="32"/>
      <w:szCs w:val="32"/>
      <w:u w:val="single"/>
      <w:lang w:eastAsia="en-GB"/>
    </w:rPr>
  </w:style>
  <w:style w:type="character" w:customStyle="1" w:styleId="Heading2Char">
    <w:name w:val="Heading 2 Char"/>
    <w:basedOn w:val="DefaultParagraphFont"/>
    <w:link w:val="Heading2"/>
    <w:uiPriority w:val="9"/>
    <w:rsid w:val="00B54D51"/>
    <w:rPr>
      <w:rFonts w:asciiTheme="majorHAnsi" w:eastAsiaTheme="majorEastAsia" w:hAnsiTheme="majorHAnsi" w:cstheme="majorBidi"/>
      <w:b/>
      <w:sz w:val="26"/>
      <w:szCs w:val="26"/>
      <w:u w:val="single"/>
      <w:lang w:eastAsia="en-GB"/>
    </w:rPr>
  </w:style>
  <w:style w:type="character" w:customStyle="1" w:styleId="Heading3Char">
    <w:name w:val="Heading 3 Char"/>
    <w:basedOn w:val="DefaultParagraphFont"/>
    <w:link w:val="Heading3"/>
    <w:uiPriority w:val="9"/>
    <w:rsid w:val="00B54D51"/>
    <w:rPr>
      <w:rFonts w:asciiTheme="majorHAnsi" w:eastAsiaTheme="majorEastAsia" w:hAnsiTheme="majorHAnsi" w:cstheme="majorBidi"/>
      <w:b/>
      <w:sz w:val="26"/>
      <w:u w:val="single"/>
      <w:lang w:eastAsia="en-GB"/>
    </w:rPr>
  </w:style>
  <w:style w:type="character" w:customStyle="1" w:styleId="Heading4Char">
    <w:name w:val="Heading 4 Char"/>
    <w:basedOn w:val="DefaultParagraphFont"/>
    <w:link w:val="Heading4"/>
    <w:uiPriority w:val="9"/>
    <w:rsid w:val="00B54D51"/>
    <w:rPr>
      <w:rFonts w:asciiTheme="majorHAnsi" w:eastAsiaTheme="majorEastAsia" w:hAnsiTheme="majorHAnsi" w:cstheme="majorBidi"/>
      <w:b/>
      <w:iCs/>
      <w:sz w:val="26"/>
      <w:u w:val="single"/>
      <w:lang w:eastAsia="en-GB"/>
    </w:rPr>
  </w:style>
  <w:style w:type="character" w:customStyle="1" w:styleId="apple-converted-space">
    <w:name w:val="apple-converted-space"/>
    <w:basedOn w:val="DefaultParagraphFont"/>
    <w:rsid w:val="00B54D51"/>
  </w:style>
  <w:style w:type="table" w:styleId="TableGrid">
    <w:name w:val="Table Grid"/>
    <w:basedOn w:val="TableNormal"/>
    <w:uiPriority w:val="39"/>
    <w:rsid w:val="00B54D5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B54D51"/>
    <w:pPr>
      <w:ind w:left="720"/>
      <w:contextualSpacing/>
    </w:pPr>
    <w:rPr>
      <w:rFonts w:asciiTheme="minorHAnsi" w:eastAsiaTheme="minorHAnsi" w:hAnsiTheme="minorHAnsi" w:cstheme="minorBidi"/>
      <w:lang w:eastAsia="en-US"/>
    </w:rPr>
  </w:style>
  <w:style w:type="paragraph" w:styleId="NormalWeb">
    <w:name w:val="Normal (Web)"/>
    <w:basedOn w:val="Normal"/>
    <w:uiPriority w:val="99"/>
    <w:unhideWhenUsed/>
    <w:rsid w:val="00B54D51"/>
    <w:pPr>
      <w:spacing w:before="100" w:beforeAutospacing="1" w:after="100" w:afterAutospacing="1"/>
    </w:pPr>
  </w:style>
  <w:style w:type="paragraph" w:customStyle="1" w:styleId="EndNoteBibliographyTitle">
    <w:name w:val="EndNote Bibliography Title"/>
    <w:basedOn w:val="Normal"/>
    <w:link w:val="EndNoteBibliographyTitleChar"/>
    <w:rsid w:val="00B54D51"/>
    <w:pPr>
      <w:jc w:val="center"/>
    </w:pPr>
    <w:rPr>
      <w:rFonts w:ascii="Calibri" w:eastAsiaTheme="minorHAnsi" w:hAnsi="Calibri" w:cs="Calibri"/>
      <w:lang w:val="en-US" w:eastAsia="en-US"/>
    </w:rPr>
  </w:style>
  <w:style w:type="character" w:customStyle="1" w:styleId="EndNoteBibliographyTitleChar">
    <w:name w:val="EndNote Bibliography Title Char"/>
    <w:basedOn w:val="DefaultParagraphFont"/>
    <w:link w:val="EndNoteBibliographyTitle"/>
    <w:rsid w:val="00B54D51"/>
    <w:rPr>
      <w:rFonts w:ascii="Calibri" w:hAnsi="Calibri" w:cs="Calibri"/>
      <w:lang w:val="en-US"/>
    </w:rPr>
  </w:style>
  <w:style w:type="paragraph" w:customStyle="1" w:styleId="EndNoteBibliography">
    <w:name w:val="EndNote Bibliography"/>
    <w:basedOn w:val="Normal"/>
    <w:link w:val="EndNoteBibliographyChar"/>
    <w:rsid w:val="00B54D51"/>
    <w:rPr>
      <w:rFonts w:ascii="Calibri" w:eastAsiaTheme="minorHAnsi" w:hAnsi="Calibri" w:cs="Calibri"/>
      <w:lang w:val="en-US" w:eastAsia="en-US"/>
    </w:rPr>
  </w:style>
  <w:style w:type="character" w:customStyle="1" w:styleId="EndNoteBibliographyChar">
    <w:name w:val="EndNote Bibliography Char"/>
    <w:basedOn w:val="DefaultParagraphFont"/>
    <w:link w:val="EndNoteBibliography"/>
    <w:rsid w:val="00B54D51"/>
    <w:rPr>
      <w:rFonts w:ascii="Calibri" w:hAnsi="Calibri" w:cs="Calibri"/>
      <w:lang w:val="en-US"/>
    </w:rPr>
  </w:style>
  <w:style w:type="character" w:styleId="Hyperlink">
    <w:name w:val="Hyperlink"/>
    <w:basedOn w:val="DefaultParagraphFont"/>
    <w:uiPriority w:val="99"/>
    <w:unhideWhenUsed/>
    <w:rsid w:val="00B54D51"/>
    <w:rPr>
      <w:color w:val="0563C1" w:themeColor="hyperlink"/>
      <w:u w:val="single"/>
    </w:rPr>
  </w:style>
  <w:style w:type="character" w:customStyle="1" w:styleId="UnresolvedMention1">
    <w:name w:val="Unresolved Mention1"/>
    <w:basedOn w:val="DefaultParagraphFont"/>
    <w:uiPriority w:val="99"/>
    <w:semiHidden/>
    <w:unhideWhenUsed/>
    <w:rsid w:val="00B54D51"/>
    <w:rPr>
      <w:color w:val="605E5C"/>
      <w:shd w:val="clear" w:color="auto" w:fill="E1DFDD"/>
    </w:rPr>
  </w:style>
  <w:style w:type="character" w:styleId="CommentReference">
    <w:name w:val="annotation reference"/>
    <w:basedOn w:val="DefaultParagraphFont"/>
    <w:uiPriority w:val="99"/>
    <w:semiHidden/>
    <w:unhideWhenUsed/>
    <w:rsid w:val="00B54D51"/>
    <w:rPr>
      <w:sz w:val="16"/>
      <w:szCs w:val="16"/>
    </w:rPr>
  </w:style>
  <w:style w:type="paragraph" w:styleId="CommentText">
    <w:name w:val="annotation text"/>
    <w:basedOn w:val="Normal"/>
    <w:link w:val="CommentTextChar"/>
    <w:uiPriority w:val="99"/>
    <w:unhideWhenUsed/>
    <w:rsid w:val="00B54D51"/>
    <w:rPr>
      <w:rFonts w:asciiTheme="minorHAnsi" w:eastAsiaTheme="minorHAnsi" w:hAnsiTheme="minorHAnsi" w:cstheme="minorBidi"/>
      <w:sz w:val="20"/>
      <w:szCs w:val="20"/>
      <w:lang w:eastAsia="en-US"/>
    </w:rPr>
  </w:style>
  <w:style w:type="character" w:customStyle="1" w:styleId="CommentTextChar">
    <w:name w:val="Comment Text Char"/>
    <w:basedOn w:val="DefaultParagraphFont"/>
    <w:link w:val="CommentText"/>
    <w:uiPriority w:val="99"/>
    <w:rsid w:val="00B54D51"/>
    <w:rPr>
      <w:sz w:val="20"/>
      <w:szCs w:val="20"/>
    </w:rPr>
  </w:style>
  <w:style w:type="paragraph" w:styleId="CommentSubject">
    <w:name w:val="annotation subject"/>
    <w:basedOn w:val="CommentText"/>
    <w:next w:val="CommentText"/>
    <w:link w:val="CommentSubjectChar"/>
    <w:uiPriority w:val="99"/>
    <w:semiHidden/>
    <w:unhideWhenUsed/>
    <w:rsid w:val="00B54D51"/>
    <w:rPr>
      <w:b/>
      <w:bCs/>
    </w:rPr>
  </w:style>
  <w:style w:type="character" w:customStyle="1" w:styleId="CommentSubjectChar">
    <w:name w:val="Comment Subject Char"/>
    <w:basedOn w:val="CommentTextChar"/>
    <w:link w:val="CommentSubject"/>
    <w:uiPriority w:val="99"/>
    <w:semiHidden/>
    <w:rsid w:val="00B54D51"/>
    <w:rPr>
      <w:b/>
      <w:bCs/>
      <w:sz w:val="20"/>
      <w:szCs w:val="20"/>
    </w:rPr>
  </w:style>
  <w:style w:type="paragraph" w:styleId="Footer">
    <w:name w:val="footer"/>
    <w:basedOn w:val="Normal"/>
    <w:link w:val="FooterChar"/>
    <w:uiPriority w:val="99"/>
    <w:unhideWhenUsed/>
    <w:rsid w:val="00B54D51"/>
    <w:pPr>
      <w:tabs>
        <w:tab w:val="center" w:pos="4513"/>
        <w:tab w:val="right" w:pos="9026"/>
      </w:tabs>
    </w:pPr>
    <w:rPr>
      <w:rFonts w:asciiTheme="minorHAnsi" w:eastAsiaTheme="minorHAnsi" w:hAnsiTheme="minorHAnsi" w:cstheme="minorBidi"/>
      <w:lang w:eastAsia="en-US"/>
    </w:rPr>
  </w:style>
  <w:style w:type="character" w:customStyle="1" w:styleId="FooterChar">
    <w:name w:val="Footer Char"/>
    <w:basedOn w:val="DefaultParagraphFont"/>
    <w:link w:val="Footer"/>
    <w:uiPriority w:val="99"/>
    <w:rsid w:val="00B54D51"/>
  </w:style>
  <w:style w:type="character" w:styleId="PageNumber">
    <w:name w:val="page number"/>
    <w:basedOn w:val="DefaultParagraphFont"/>
    <w:uiPriority w:val="99"/>
    <w:semiHidden/>
    <w:unhideWhenUsed/>
    <w:rsid w:val="00B54D51"/>
  </w:style>
  <w:style w:type="character" w:styleId="Emphasis">
    <w:name w:val="Emphasis"/>
    <w:basedOn w:val="DefaultParagraphFont"/>
    <w:uiPriority w:val="20"/>
    <w:qFormat/>
    <w:rsid w:val="00B54D51"/>
    <w:rPr>
      <w:i/>
      <w:iCs/>
    </w:rPr>
  </w:style>
  <w:style w:type="character" w:styleId="FollowedHyperlink">
    <w:name w:val="FollowedHyperlink"/>
    <w:basedOn w:val="DefaultParagraphFont"/>
    <w:uiPriority w:val="99"/>
    <w:semiHidden/>
    <w:unhideWhenUsed/>
    <w:rsid w:val="00B54D51"/>
    <w:rPr>
      <w:color w:val="954F72" w:themeColor="followedHyperlink"/>
      <w:u w:val="single"/>
    </w:rPr>
  </w:style>
  <w:style w:type="character" w:customStyle="1" w:styleId="a">
    <w:name w:val="_"/>
    <w:basedOn w:val="DefaultParagraphFont"/>
    <w:rsid w:val="00B54D51"/>
  </w:style>
  <w:style w:type="paragraph" w:customStyle="1" w:styleId="BodyA">
    <w:name w:val="Body A"/>
    <w:rsid w:val="00B54D51"/>
    <w:pPr>
      <w:pBdr>
        <w:top w:val="nil"/>
        <w:left w:val="nil"/>
        <w:bottom w:val="nil"/>
        <w:right w:val="nil"/>
        <w:between w:val="nil"/>
        <w:bar w:val="nil"/>
      </w:pBdr>
      <w:spacing w:before="180" w:line="480" w:lineRule="auto"/>
    </w:pPr>
    <w:rPr>
      <w:rFonts w:ascii="Arial" w:eastAsia="Arial Unicode MS" w:hAnsi="Arial" w:cs="Arial Unicode MS"/>
      <w:color w:val="000000"/>
      <w:sz w:val="22"/>
      <w:szCs w:val="22"/>
      <w:u w:color="000000"/>
      <w:bdr w:val="nil"/>
      <w:lang w:val="en-US" w:eastAsia="en-GB"/>
    </w:rPr>
  </w:style>
  <w:style w:type="paragraph" w:styleId="Caption">
    <w:name w:val="caption"/>
    <w:basedOn w:val="Normal"/>
    <w:next w:val="Normal"/>
    <w:uiPriority w:val="35"/>
    <w:unhideWhenUsed/>
    <w:qFormat/>
    <w:rsid w:val="00B54D51"/>
    <w:pPr>
      <w:spacing w:after="200"/>
    </w:pPr>
    <w:rPr>
      <w:i/>
      <w:iCs/>
      <w:color w:val="44546A" w:themeColor="text2"/>
      <w:sz w:val="18"/>
      <w:szCs w:val="18"/>
    </w:rPr>
  </w:style>
  <w:style w:type="paragraph" w:styleId="Header">
    <w:name w:val="header"/>
    <w:basedOn w:val="Normal"/>
    <w:link w:val="HeaderChar"/>
    <w:uiPriority w:val="99"/>
    <w:unhideWhenUsed/>
    <w:rsid w:val="00B54D51"/>
    <w:pPr>
      <w:tabs>
        <w:tab w:val="center" w:pos="4513"/>
        <w:tab w:val="right" w:pos="9026"/>
      </w:tabs>
    </w:pPr>
  </w:style>
  <w:style w:type="character" w:customStyle="1" w:styleId="HeaderChar">
    <w:name w:val="Header Char"/>
    <w:basedOn w:val="DefaultParagraphFont"/>
    <w:link w:val="Header"/>
    <w:uiPriority w:val="99"/>
    <w:rsid w:val="00B54D51"/>
    <w:rPr>
      <w:rFonts w:ascii="Times New Roman" w:eastAsia="Times New Roman" w:hAnsi="Times New Roman" w:cs="Times New Roman"/>
      <w:lang w:eastAsia="en-GB"/>
    </w:rPr>
  </w:style>
  <w:style w:type="character" w:customStyle="1" w:styleId="searchhistory-search-term">
    <w:name w:val="searchhistory-search-term"/>
    <w:basedOn w:val="DefaultParagraphFont"/>
    <w:rsid w:val="00B54D51"/>
  </w:style>
  <w:style w:type="paragraph" w:styleId="TOC2">
    <w:name w:val="toc 2"/>
    <w:basedOn w:val="Normal"/>
    <w:next w:val="Normal"/>
    <w:autoRedefine/>
    <w:uiPriority w:val="39"/>
    <w:unhideWhenUsed/>
    <w:rsid w:val="00B54D51"/>
    <w:pPr>
      <w:spacing w:before="120"/>
      <w:ind w:left="240"/>
    </w:pPr>
    <w:rPr>
      <w:rFonts w:asciiTheme="minorHAnsi" w:hAnsiTheme="minorHAnsi" w:cstheme="minorHAnsi"/>
      <w:b/>
      <w:bCs/>
      <w:sz w:val="22"/>
      <w:szCs w:val="22"/>
    </w:rPr>
  </w:style>
  <w:style w:type="paragraph" w:styleId="TOC1">
    <w:name w:val="toc 1"/>
    <w:basedOn w:val="Normal"/>
    <w:next w:val="Normal"/>
    <w:autoRedefine/>
    <w:uiPriority w:val="39"/>
    <w:unhideWhenUsed/>
    <w:rsid w:val="00B54D51"/>
    <w:pPr>
      <w:spacing w:before="120"/>
    </w:pPr>
    <w:rPr>
      <w:rFonts w:asciiTheme="minorHAnsi" w:hAnsiTheme="minorHAnsi" w:cstheme="minorHAnsi"/>
      <w:b/>
      <w:bCs/>
      <w:i/>
      <w:iCs/>
    </w:rPr>
  </w:style>
  <w:style w:type="paragraph" w:styleId="TOC3">
    <w:name w:val="toc 3"/>
    <w:basedOn w:val="Normal"/>
    <w:next w:val="Normal"/>
    <w:autoRedefine/>
    <w:uiPriority w:val="39"/>
    <w:unhideWhenUsed/>
    <w:rsid w:val="00B54D51"/>
    <w:pPr>
      <w:ind w:left="480"/>
    </w:pPr>
    <w:rPr>
      <w:rFonts w:asciiTheme="minorHAnsi" w:hAnsiTheme="minorHAnsi" w:cstheme="minorHAnsi"/>
      <w:sz w:val="20"/>
      <w:szCs w:val="20"/>
    </w:rPr>
  </w:style>
  <w:style w:type="paragraph" w:styleId="TOC4">
    <w:name w:val="toc 4"/>
    <w:basedOn w:val="Normal"/>
    <w:next w:val="Normal"/>
    <w:autoRedefine/>
    <w:uiPriority w:val="39"/>
    <w:unhideWhenUsed/>
    <w:rsid w:val="00B54D51"/>
    <w:pPr>
      <w:ind w:left="720"/>
    </w:pPr>
    <w:rPr>
      <w:rFonts w:asciiTheme="minorHAnsi" w:hAnsiTheme="minorHAnsi" w:cstheme="minorHAnsi"/>
      <w:sz w:val="20"/>
      <w:szCs w:val="20"/>
    </w:rPr>
  </w:style>
  <w:style w:type="paragraph" w:styleId="TOC5">
    <w:name w:val="toc 5"/>
    <w:basedOn w:val="Normal"/>
    <w:next w:val="Normal"/>
    <w:autoRedefine/>
    <w:uiPriority w:val="39"/>
    <w:unhideWhenUsed/>
    <w:rsid w:val="00B54D51"/>
    <w:pPr>
      <w:ind w:left="960"/>
    </w:pPr>
    <w:rPr>
      <w:rFonts w:asciiTheme="minorHAnsi" w:hAnsiTheme="minorHAnsi" w:cstheme="minorHAnsi"/>
      <w:sz w:val="20"/>
      <w:szCs w:val="20"/>
    </w:rPr>
  </w:style>
  <w:style w:type="paragraph" w:styleId="TOC6">
    <w:name w:val="toc 6"/>
    <w:basedOn w:val="Normal"/>
    <w:next w:val="Normal"/>
    <w:autoRedefine/>
    <w:uiPriority w:val="39"/>
    <w:unhideWhenUsed/>
    <w:rsid w:val="00B54D51"/>
    <w:pPr>
      <w:ind w:left="1200"/>
    </w:pPr>
    <w:rPr>
      <w:rFonts w:asciiTheme="minorHAnsi" w:hAnsiTheme="minorHAnsi" w:cstheme="minorHAnsi"/>
      <w:sz w:val="20"/>
      <w:szCs w:val="20"/>
    </w:rPr>
  </w:style>
  <w:style w:type="paragraph" w:styleId="TOC7">
    <w:name w:val="toc 7"/>
    <w:basedOn w:val="Normal"/>
    <w:next w:val="Normal"/>
    <w:autoRedefine/>
    <w:uiPriority w:val="39"/>
    <w:unhideWhenUsed/>
    <w:rsid w:val="00B54D51"/>
    <w:pPr>
      <w:ind w:left="1440"/>
    </w:pPr>
    <w:rPr>
      <w:rFonts w:asciiTheme="minorHAnsi" w:hAnsiTheme="minorHAnsi" w:cstheme="minorHAnsi"/>
      <w:sz w:val="20"/>
      <w:szCs w:val="20"/>
    </w:rPr>
  </w:style>
  <w:style w:type="paragraph" w:styleId="TOC8">
    <w:name w:val="toc 8"/>
    <w:basedOn w:val="Normal"/>
    <w:next w:val="Normal"/>
    <w:autoRedefine/>
    <w:uiPriority w:val="39"/>
    <w:unhideWhenUsed/>
    <w:rsid w:val="00B54D51"/>
    <w:pPr>
      <w:ind w:left="1680"/>
    </w:pPr>
    <w:rPr>
      <w:rFonts w:asciiTheme="minorHAnsi" w:hAnsiTheme="minorHAnsi" w:cstheme="minorHAnsi"/>
      <w:sz w:val="20"/>
      <w:szCs w:val="20"/>
    </w:rPr>
  </w:style>
  <w:style w:type="paragraph" w:styleId="TOC9">
    <w:name w:val="toc 9"/>
    <w:basedOn w:val="Normal"/>
    <w:next w:val="Normal"/>
    <w:autoRedefine/>
    <w:uiPriority w:val="39"/>
    <w:unhideWhenUsed/>
    <w:rsid w:val="00B54D51"/>
    <w:pPr>
      <w:ind w:left="1920"/>
    </w:pPr>
    <w:rPr>
      <w:rFonts w:asciiTheme="minorHAnsi" w:hAnsiTheme="minorHAnsi" w:cstheme="minorHAnsi"/>
      <w:sz w:val="20"/>
      <w:szCs w:val="20"/>
    </w:rPr>
  </w:style>
  <w:style w:type="paragraph" w:styleId="TOCHeading">
    <w:name w:val="TOC Heading"/>
    <w:basedOn w:val="Heading1"/>
    <w:next w:val="Normal"/>
    <w:uiPriority w:val="39"/>
    <w:unhideWhenUsed/>
    <w:qFormat/>
    <w:rsid w:val="00B54D51"/>
    <w:pPr>
      <w:spacing w:before="480" w:line="276" w:lineRule="auto"/>
      <w:outlineLvl w:val="9"/>
    </w:pPr>
    <w:rPr>
      <w:b w:val="0"/>
      <w:bCs/>
      <w:sz w:val="28"/>
      <w:szCs w:val="28"/>
      <w:lang w:val="en-US" w:eastAsia="en-US"/>
    </w:rPr>
  </w:style>
  <w:style w:type="paragraph" w:styleId="BalloonText">
    <w:name w:val="Balloon Text"/>
    <w:basedOn w:val="Normal"/>
    <w:link w:val="BalloonTextChar"/>
    <w:uiPriority w:val="99"/>
    <w:semiHidden/>
    <w:unhideWhenUsed/>
    <w:rsid w:val="00B54D5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54D51"/>
    <w:rPr>
      <w:rFonts w:ascii="Segoe UI" w:eastAsia="Times New Roman" w:hAnsi="Segoe UI" w:cs="Segoe UI"/>
      <w:sz w:val="18"/>
      <w:szCs w:val="18"/>
      <w:lang w:eastAsia="en-GB"/>
    </w:rPr>
  </w:style>
  <w:style w:type="character" w:customStyle="1" w:styleId="UnresolvedMention2">
    <w:name w:val="Unresolved Mention2"/>
    <w:basedOn w:val="DefaultParagraphFont"/>
    <w:uiPriority w:val="99"/>
    <w:semiHidden/>
    <w:unhideWhenUsed/>
    <w:rsid w:val="00B54D51"/>
    <w:rPr>
      <w:color w:val="605E5C"/>
      <w:shd w:val="clear" w:color="auto" w:fill="E1DFDD"/>
    </w:rPr>
  </w:style>
  <w:style w:type="paragraph" w:styleId="Subtitle">
    <w:name w:val="Subtitle"/>
    <w:basedOn w:val="Normal"/>
    <w:next w:val="Normal"/>
    <w:link w:val="SubtitleChar"/>
    <w:uiPriority w:val="11"/>
    <w:qFormat/>
    <w:rsid w:val="00B54D51"/>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B54D51"/>
    <w:rPr>
      <w:rFonts w:eastAsiaTheme="minorEastAsia"/>
      <w:color w:val="5A5A5A" w:themeColor="text1" w:themeTint="A5"/>
      <w:spacing w:val="15"/>
      <w:sz w:val="22"/>
      <w:szCs w:val="22"/>
      <w:lang w:eastAsia="en-GB"/>
    </w:rPr>
  </w:style>
  <w:style w:type="paragraph" w:styleId="Revision">
    <w:name w:val="Revision"/>
    <w:hidden/>
    <w:uiPriority w:val="99"/>
    <w:semiHidden/>
    <w:rsid w:val="00B54D51"/>
    <w:rPr>
      <w:rFonts w:ascii="Times New Roman" w:eastAsia="Times New Roman" w:hAnsi="Times New Roman" w:cs="Times New Roman"/>
      <w:lang w:eastAsia="en-GB"/>
    </w:rPr>
  </w:style>
  <w:style w:type="character" w:customStyle="1" w:styleId="UnresolvedMention3">
    <w:name w:val="Unresolved Mention3"/>
    <w:basedOn w:val="DefaultParagraphFont"/>
    <w:uiPriority w:val="99"/>
    <w:semiHidden/>
    <w:unhideWhenUsed/>
    <w:rsid w:val="00B54D51"/>
    <w:rPr>
      <w:color w:val="605E5C"/>
      <w:shd w:val="clear" w:color="auto" w:fill="E1DFDD"/>
    </w:rPr>
  </w:style>
  <w:style w:type="character" w:styleId="UnresolvedMention">
    <w:name w:val="Unresolved Mention"/>
    <w:basedOn w:val="DefaultParagraphFont"/>
    <w:uiPriority w:val="99"/>
    <w:semiHidden/>
    <w:unhideWhenUsed/>
    <w:rsid w:val="00B54D51"/>
    <w:rPr>
      <w:color w:val="605E5C"/>
      <w:shd w:val="clear" w:color="auto" w:fill="E1DFDD"/>
    </w:rPr>
  </w:style>
  <w:style w:type="paragraph" w:customStyle="1" w:styleId="Figures">
    <w:name w:val="Figures"/>
    <w:basedOn w:val="TableofFigures"/>
    <w:link w:val="FiguresChar"/>
    <w:autoRedefine/>
    <w:qFormat/>
    <w:rsid w:val="00B54D51"/>
    <w:pPr>
      <w:tabs>
        <w:tab w:val="right" w:leader="dot" w:pos="9072"/>
      </w:tabs>
      <w:jc w:val="both"/>
    </w:pPr>
    <w:rPr>
      <w:rFonts w:asciiTheme="majorBidi" w:eastAsiaTheme="minorHAnsi" w:hAnsiTheme="majorBidi" w:cstheme="majorBidi"/>
      <w:b/>
      <w:sz w:val="20"/>
      <w:szCs w:val="20"/>
      <w:lang w:eastAsia="en-US"/>
    </w:rPr>
  </w:style>
  <w:style w:type="character" w:customStyle="1" w:styleId="FiguresChar">
    <w:name w:val="Figures Char"/>
    <w:basedOn w:val="DefaultParagraphFont"/>
    <w:link w:val="Figures"/>
    <w:rsid w:val="00B54D51"/>
    <w:rPr>
      <w:rFonts w:asciiTheme="majorBidi" w:hAnsiTheme="majorBidi" w:cstheme="majorBidi"/>
      <w:b/>
      <w:sz w:val="20"/>
      <w:szCs w:val="20"/>
    </w:rPr>
  </w:style>
  <w:style w:type="paragraph" w:styleId="TableofFigures">
    <w:name w:val="table of figures"/>
    <w:basedOn w:val="Normal"/>
    <w:next w:val="Normal"/>
    <w:uiPriority w:val="99"/>
    <w:semiHidden/>
    <w:unhideWhenUsed/>
    <w:rsid w:val="00B54D51"/>
  </w:style>
  <w:style w:type="table" w:styleId="PlainTable1">
    <w:name w:val="Plain Table 1"/>
    <w:basedOn w:val="TableNormal"/>
    <w:uiPriority w:val="41"/>
    <w:rsid w:val="00B54D51"/>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Light">
    <w:name w:val="Grid Table Light"/>
    <w:basedOn w:val="TableNormal"/>
    <w:uiPriority w:val="40"/>
    <w:rsid w:val="00B54D51"/>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HTMLPreformatted">
    <w:name w:val="HTML Preformatted"/>
    <w:basedOn w:val="Normal"/>
    <w:link w:val="HTMLPreformattedChar"/>
    <w:uiPriority w:val="99"/>
    <w:semiHidden/>
    <w:unhideWhenUsed/>
    <w:rsid w:val="00B54D51"/>
    <w:rPr>
      <w:rFonts w:ascii="Consolas" w:hAnsi="Consolas" w:cs="Consolas"/>
      <w:sz w:val="20"/>
      <w:szCs w:val="20"/>
    </w:rPr>
  </w:style>
  <w:style w:type="character" w:customStyle="1" w:styleId="HTMLPreformattedChar">
    <w:name w:val="HTML Preformatted Char"/>
    <w:basedOn w:val="DefaultParagraphFont"/>
    <w:link w:val="HTMLPreformatted"/>
    <w:uiPriority w:val="99"/>
    <w:semiHidden/>
    <w:rsid w:val="00B54D51"/>
    <w:rPr>
      <w:rFonts w:ascii="Consolas" w:eastAsia="Times New Roman" w:hAnsi="Consolas" w:cs="Consolas"/>
      <w:sz w:val="20"/>
      <w:szCs w:val="20"/>
      <w:lang w:eastAsia="en-GB"/>
    </w:rPr>
  </w:style>
  <w:style w:type="character" w:customStyle="1" w:styleId="base">
    <w:name w:val="base"/>
    <w:basedOn w:val="DefaultParagraphFont"/>
    <w:rsid w:val="00B54D51"/>
  </w:style>
  <w:style w:type="character" w:customStyle="1" w:styleId="mord">
    <w:name w:val="mord"/>
    <w:basedOn w:val="DefaultParagraphFont"/>
    <w:rsid w:val="00B54D51"/>
  </w:style>
  <w:style w:type="character" w:customStyle="1" w:styleId="mrel">
    <w:name w:val="mrel"/>
    <w:basedOn w:val="DefaultParagraphFont"/>
    <w:rsid w:val="00B54D51"/>
  </w:style>
  <w:style w:type="character" w:customStyle="1" w:styleId="vlist-s">
    <w:name w:val="vlist-s"/>
    <w:basedOn w:val="DefaultParagraphFont"/>
    <w:rsid w:val="00B54D51"/>
  </w:style>
  <w:style w:type="character" w:customStyle="1" w:styleId="mbin">
    <w:name w:val="mbin"/>
    <w:basedOn w:val="DefaultParagraphFont"/>
    <w:rsid w:val="00B54D51"/>
  </w:style>
  <w:style w:type="character" w:styleId="PlaceholderText">
    <w:name w:val="Placeholder Text"/>
    <w:basedOn w:val="DefaultParagraphFont"/>
    <w:uiPriority w:val="99"/>
    <w:semiHidden/>
    <w:rsid w:val="00B54D51"/>
    <w:rPr>
      <w:color w:val="808080"/>
    </w:rPr>
  </w:style>
  <w:style w:type="paragraph" w:customStyle="1" w:styleId="table">
    <w:name w:val="table"/>
    <w:autoRedefine/>
    <w:qFormat/>
    <w:rsid w:val="0002494A"/>
    <w:pPr>
      <w:spacing w:after="60"/>
    </w:pPr>
    <w:rPr>
      <w:rFonts w:asciiTheme="majorBidi" w:hAnsiTheme="majorBidi" w:cstheme="majorBidi"/>
      <w:b/>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31821146">
      <w:bodyDiv w:val="1"/>
      <w:marLeft w:val="0"/>
      <w:marRight w:val="0"/>
      <w:marTop w:val="0"/>
      <w:marBottom w:val="0"/>
      <w:divBdr>
        <w:top w:val="none" w:sz="0" w:space="0" w:color="auto"/>
        <w:left w:val="none" w:sz="0" w:space="0" w:color="auto"/>
        <w:bottom w:val="none" w:sz="0" w:space="0" w:color="auto"/>
        <w:right w:val="none" w:sz="0" w:space="0" w:color="auto"/>
      </w:divBdr>
    </w:div>
    <w:div w:id="387190091">
      <w:bodyDiv w:val="1"/>
      <w:marLeft w:val="0"/>
      <w:marRight w:val="0"/>
      <w:marTop w:val="0"/>
      <w:marBottom w:val="0"/>
      <w:divBdr>
        <w:top w:val="none" w:sz="0" w:space="0" w:color="auto"/>
        <w:left w:val="none" w:sz="0" w:space="0" w:color="auto"/>
        <w:bottom w:val="none" w:sz="0" w:space="0" w:color="auto"/>
        <w:right w:val="none" w:sz="0" w:space="0" w:color="auto"/>
      </w:divBdr>
    </w:div>
    <w:div w:id="641345990">
      <w:bodyDiv w:val="1"/>
      <w:marLeft w:val="0"/>
      <w:marRight w:val="0"/>
      <w:marTop w:val="0"/>
      <w:marBottom w:val="0"/>
      <w:divBdr>
        <w:top w:val="none" w:sz="0" w:space="0" w:color="auto"/>
        <w:left w:val="none" w:sz="0" w:space="0" w:color="auto"/>
        <w:bottom w:val="none" w:sz="0" w:space="0" w:color="auto"/>
        <w:right w:val="none" w:sz="0" w:space="0" w:color="auto"/>
      </w:divBdr>
    </w:div>
    <w:div w:id="886258025">
      <w:bodyDiv w:val="1"/>
      <w:marLeft w:val="0"/>
      <w:marRight w:val="0"/>
      <w:marTop w:val="0"/>
      <w:marBottom w:val="0"/>
      <w:divBdr>
        <w:top w:val="none" w:sz="0" w:space="0" w:color="auto"/>
        <w:left w:val="none" w:sz="0" w:space="0" w:color="auto"/>
        <w:bottom w:val="none" w:sz="0" w:space="0" w:color="auto"/>
        <w:right w:val="none" w:sz="0" w:space="0" w:color="auto"/>
      </w:divBdr>
    </w:div>
    <w:div w:id="1042484381">
      <w:bodyDiv w:val="1"/>
      <w:marLeft w:val="0"/>
      <w:marRight w:val="0"/>
      <w:marTop w:val="0"/>
      <w:marBottom w:val="0"/>
      <w:divBdr>
        <w:top w:val="none" w:sz="0" w:space="0" w:color="auto"/>
        <w:left w:val="none" w:sz="0" w:space="0" w:color="auto"/>
        <w:bottom w:val="none" w:sz="0" w:space="0" w:color="auto"/>
        <w:right w:val="none" w:sz="0" w:space="0" w:color="auto"/>
      </w:divBdr>
    </w:div>
    <w:div w:id="1398168758">
      <w:bodyDiv w:val="1"/>
      <w:marLeft w:val="0"/>
      <w:marRight w:val="0"/>
      <w:marTop w:val="0"/>
      <w:marBottom w:val="0"/>
      <w:divBdr>
        <w:top w:val="none" w:sz="0" w:space="0" w:color="auto"/>
        <w:left w:val="none" w:sz="0" w:space="0" w:color="auto"/>
        <w:bottom w:val="none" w:sz="0" w:space="0" w:color="auto"/>
        <w:right w:val="none" w:sz="0" w:space="0" w:color="auto"/>
      </w:divBdr>
    </w:div>
    <w:div w:id="16137047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5.png"/><Relationship Id="rId21" Type="http://schemas.openxmlformats.org/officeDocument/2006/relationships/image" Target="media/image6.emf"/><Relationship Id="rId42" Type="http://schemas.openxmlformats.org/officeDocument/2006/relationships/image" Target="media/image16.png"/><Relationship Id="rId47" Type="http://schemas.openxmlformats.org/officeDocument/2006/relationships/chart" Target="charts/chart13.xml"/><Relationship Id="rId63" Type="http://schemas.openxmlformats.org/officeDocument/2006/relationships/chart" Target="charts/chart19.xml"/><Relationship Id="rId68" Type="http://schemas.openxmlformats.org/officeDocument/2006/relationships/image" Target="media/image34.png"/><Relationship Id="rId84" Type="http://schemas.openxmlformats.org/officeDocument/2006/relationships/image" Target="media/image50.png"/><Relationship Id="rId89" Type="http://schemas.openxmlformats.org/officeDocument/2006/relationships/hyperlink" Target="https://euroqol.org.eq-5d-instruments/samples-demo/" TargetMode="External"/><Relationship Id="rId112" Type="http://schemas.openxmlformats.org/officeDocument/2006/relationships/image" Target="media/image70.png"/><Relationship Id="rId16" Type="http://schemas.openxmlformats.org/officeDocument/2006/relationships/image" Target="media/image3.emf"/><Relationship Id="rId107" Type="http://schemas.openxmlformats.org/officeDocument/2006/relationships/image" Target="media/image65.png"/><Relationship Id="rId11" Type="http://schemas.openxmlformats.org/officeDocument/2006/relationships/footer" Target="footer2.xml"/><Relationship Id="rId32" Type="http://schemas.openxmlformats.org/officeDocument/2006/relationships/chart" Target="charts/chart6.xml"/><Relationship Id="rId37" Type="http://schemas.openxmlformats.org/officeDocument/2006/relationships/image" Target="media/image15.png"/><Relationship Id="rId53" Type="http://schemas.openxmlformats.org/officeDocument/2006/relationships/chart" Target="charts/chart15.xml"/><Relationship Id="rId58" Type="http://schemas.openxmlformats.org/officeDocument/2006/relationships/image" Target="media/image26.png"/><Relationship Id="rId74" Type="http://schemas.openxmlformats.org/officeDocument/2006/relationships/image" Target="media/image40.png"/><Relationship Id="rId79" Type="http://schemas.openxmlformats.org/officeDocument/2006/relationships/image" Target="media/image45.png"/><Relationship Id="rId102" Type="http://schemas.openxmlformats.org/officeDocument/2006/relationships/chart" Target="charts/chart25.xml"/><Relationship Id="rId123" Type="http://schemas.openxmlformats.org/officeDocument/2006/relationships/image" Target="media/image81.png"/><Relationship Id="rId128" Type="http://schemas.microsoft.com/office/2011/relationships/people" Target="people.xml"/><Relationship Id="rId5" Type="http://schemas.openxmlformats.org/officeDocument/2006/relationships/webSettings" Target="webSettings.xml"/><Relationship Id="rId90" Type="http://schemas.openxmlformats.org/officeDocument/2006/relationships/image" Target="media/image55.emf"/><Relationship Id="rId95" Type="http://schemas.openxmlformats.org/officeDocument/2006/relationships/image" Target="media/image59.png"/><Relationship Id="rId22" Type="http://schemas.openxmlformats.org/officeDocument/2006/relationships/image" Target="media/image7.emf"/><Relationship Id="rId27" Type="http://schemas.openxmlformats.org/officeDocument/2006/relationships/image" Target="media/image9.png"/><Relationship Id="rId43" Type="http://schemas.openxmlformats.org/officeDocument/2006/relationships/image" Target="media/image17.png"/><Relationship Id="rId48" Type="http://schemas.openxmlformats.org/officeDocument/2006/relationships/chart" Target="charts/chart14.xml"/><Relationship Id="rId64" Type="http://schemas.openxmlformats.org/officeDocument/2006/relationships/image" Target="media/image30.png"/><Relationship Id="rId69" Type="http://schemas.openxmlformats.org/officeDocument/2006/relationships/image" Target="media/image35.png"/><Relationship Id="rId113" Type="http://schemas.openxmlformats.org/officeDocument/2006/relationships/image" Target="media/image71.png"/><Relationship Id="rId118" Type="http://schemas.openxmlformats.org/officeDocument/2006/relationships/image" Target="media/image76.png"/><Relationship Id="rId80" Type="http://schemas.openxmlformats.org/officeDocument/2006/relationships/image" Target="media/image46.png"/><Relationship Id="rId85" Type="http://schemas.openxmlformats.org/officeDocument/2006/relationships/image" Target="media/image51.png"/><Relationship Id="rId12" Type="http://schemas.openxmlformats.org/officeDocument/2006/relationships/hyperlink" Target="https://doi.org/10.1007/s11136-023-03353-w" TargetMode="External"/><Relationship Id="rId17" Type="http://schemas.openxmlformats.org/officeDocument/2006/relationships/hyperlink" Target="https://hqlo.biomedcentral.com/articles/10.1186/s12955-022-02062-1" TargetMode="External"/><Relationship Id="rId33" Type="http://schemas.openxmlformats.org/officeDocument/2006/relationships/chart" Target="charts/chart7.xml"/><Relationship Id="rId38" Type="http://schemas.openxmlformats.org/officeDocument/2006/relationships/chart" Target="charts/chart8.xml"/><Relationship Id="rId59" Type="http://schemas.openxmlformats.org/officeDocument/2006/relationships/image" Target="media/image27.png"/><Relationship Id="rId103" Type="http://schemas.openxmlformats.org/officeDocument/2006/relationships/chart" Target="charts/chart26.xml"/><Relationship Id="rId108" Type="http://schemas.openxmlformats.org/officeDocument/2006/relationships/image" Target="media/image66.png"/><Relationship Id="rId124" Type="http://schemas.openxmlformats.org/officeDocument/2006/relationships/image" Target="media/image82.png"/><Relationship Id="rId129" Type="http://schemas.openxmlformats.org/officeDocument/2006/relationships/theme" Target="theme/theme1.xml"/><Relationship Id="rId54" Type="http://schemas.openxmlformats.org/officeDocument/2006/relationships/chart" Target="charts/chart16.xml"/><Relationship Id="rId70" Type="http://schemas.openxmlformats.org/officeDocument/2006/relationships/image" Target="media/image36.png"/><Relationship Id="rId75" Type="http://schemas.openxmlformats.org/officeDocument/2006/relationships/image" Target="media/image41.png"/><Relationship Id="rId91" Type="http://schemas.openxmlformats.org/officeDocument/2006/relationships/image" Target="media/image56.emf"/><Relationship Id="rId96" Type="http://schemas.openxmlformats.org/officeDocument/2006/relationships/image" Target="media/image60.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chart" Target="charts/chart1.xml"/><Relationship Id="rId28" Type="http://schemas.openxmlformats.org/officeDocument/2006/relationships/image" Target="media/image10.png"/><Relationship Id="rId49" Type="http://schemas.openxmlformats.org/officeDocument/2006/relationships/image" Target="media/image20.png"/><Relationship Id="rId114" Type="http://schemas.openxmlformats.org/officeDocument/2006/relationships/image" Target="media/image72.png"/><Relationship Id="rId119" Type="http://schemas.openxmlformats.org/officeDocument/2006/relationships/image" Target="media/image77.png"/><Relationship Id="rId44" Type="http://schemas.openxmlformats.org/officeDocument/2006/relationships/image" Target="media/image18.png"/><Relationship Id="rId60" Type="http://schemas.openxmlformats.org/officeDocument/2006/relationships/chart" Target="charts/chart18.xml"/><Relationship Id="rId65" Type="http://schemas.openxmlformats.org/officeDocument/2006/relationships/image" Target="media/image31.png"/><Relationship Id="rId81" Type="http://schemas.openxmlformats.org/officeDocument/2006/relationships/image" Target="media/image47.png"/><Relationship Id="rId86" Type="http://schemas.openxmlformats.org/officeDocument/2006/relationships/image" Target="media/image52.png"/><Relationship Id="rId13" Type="http://schemas.openxmlformats.org/officeDocument/2006/relationships/footer" Target="footer3.xml"/><Relationship Id="rId18" Type="http://schemas.openxmlformats.org/officeDocument/2006/relationships/footer" Target="footer4.xml"/><Relationship Id="rId39" Type="http://schemas.openxmlformats.org/officeDocument/2006/relationships/chart" Target="charts/chart9.xml"/><Relationship Id="rId109" Type="http://schemas.openxmlformats.org/officeDocument/2006/relationships/image" Target="media/image67.png"/><Relationship Id="rId34" Type="http://schemas.openxmlformats.org/officeDocument/2006/relationships/image" Target="media/image12.png"/><Relationship Id="rId50" Type="http://schemas.openxmlformats.org/officeDocument/2006/relationships/image" Target="media/image21.png"/><Relationship Id="rId55" Type="http://schemas.openxmlformats.org/officeDocument/2006/relationships/chart" Target="charts/chart17.xml"/><Relationship Id="rId76" Type="http://schemas.openxmlformats.org/officeDocument/2006/relationships/image" Target="media/image42.png"/><Relationship Id="rId97" Type="http://schemas.openxmlformats.org/officeDocument/2006/relationships/chart" Target="charts/chart21.xml"/><Relationship Id="rId104" Type="http://schemas.openxmlformats.org/officeDocument/2006/relationships/image" Target="media/image62.png"/><Relationship Id="rId120" Type="http://schemas.openxmlformats.org/officeDocument/2006/relationships/image" Target="media/image78.png"/><Relationship Id="rId125" Type="http://schemas.openxmlformats.org/officeDocument/2006/relationships/image" Target="media/image83.png"/><Relationship Id="rId7" Type="http://schemas.openxmlformats.org/officeDocument/2006/relationships/endnotes" Target="endnotes.xml"/><Relationship Id="rId71" Type="http://schemas.openxmlformats.org/officeDocument/2006/relationships/image" Target="media/image37.png"/><Relationship Id="rId92" Type="http://schemas.openxmlformats.org/officeDocument/2006/relationships/image" Target="media/image57.png"/><Relationship Id="rId2" Type="http://schemas.openxmlformats.org/officeDocument/2006/relationships/numbering" Target="numbering.xml"/><Relationship Id="rId29" Type="http://schemas.openxmlformats.org/officeDocument/2006/relationships/image" Target="media/image11.png"/><Relationship Id="rId24" Type="http://schemas.openxmlformats.org/officeDocument/2006/relationships/chart" Target="charts/chart2.xml"/><Relationship Id="rId40" Type="http://schemas.openxmlformats.org/officeDocument/2006/relationships/chart" Target="charts/chart10.xml"/><Relationship Id="rId45" Type="http://schemas.openxmlformats.org/officeDocument/2006/relationships/image" Target="media/image19.png"/><Relationship Id="rId66" Type="http://schemas.openxmlformats.org/officeDocument/2006/relationships/image" Target="media/image32.png"/><Relationship Id="rId87" Type="http://schemas.openxmlformats.org/officeDocument/2006/relationships/image" Target="media/image53.png"/><Relationship Id="rId110" Type="http://schemas.openxmlformats.org/officeDocument/2006/relationships/image" Target="media/image68.png"/><Relationship Id="rId115" Type="http://schemas.openxmlformats.org/officeDocument/2006/relationships/image" Target="media/image73.png"/><Relationship Id="rId61" Type="http://schemas.openxmlformats.org/officeDocument/2006/relationships/image" Target="media/image28.emf"/><Relationship Id="rId82" Type="http://schemas.openxmlformats.org/officeDocument/2006/relationships/image" Target="media/image48.png"/><Relationship Id="rId19" Type="http://schemas.openxmlformats.org/officeDocument/2006/relationships/image" Target="media/image4.emf"/><Relationship Id="rId14" Type="http://schemas.openxmlformats.org/officeDocument/2006/relationships/hyperlink" Target="https://link.springer.com/article/10.1186/s12955-022-02036-3" TargetMode="External"/><Relationship Id="rId30" Type="http://schemas.openxmlformats.org/officeDocument/2006/relationships/chart" Target="charts/chart4.xml"/><Relationship Id="rId35" Type="http://schemas.openxmlformats.org/officeDocument/2006/relationships/image" Target="media/image13.png"/><Relationship Id="rId56" Type="http://schemas.openxmlformats.org/officeDocument/2006/relationships/image" Target="media/image24.png"/><Relationship Id="rId77" Type="http://schemas.openxmlformats.org/officeDocument/2006/relationships/image" Target="media/image43.png"/><Relationship Id="rId100" Type="http://schemas.openxmlformats.org/officeDocument/2006/relationships/chart" Target="charts/chart23.xml"/><Relationship Id="rId105" Type="http://schemas.openxmlformats.org/officeDocument/2006/relationships/image" Target="media/image63.png"/><Relationship Id="rId126" Type="http://schemas.openxmlformats.org/officeDocument/2006/relationships/image" Target="media/image84.png"/><Relationship Id="rId8" Type="http://schemas.openxmlformats.org/officeDocument/2006/relationships/image" Target="media/image1.png"/><Relationship Id="rId51" Type="http://schemas.openxmlformats.org/officeDocument/2006/relationships/image" Target="media/image22.png"/><Relationship Id="rId72" Type="http://schemas.openxmlformats.org/officeDocument/2006/relationships/image" Target="media/image38.png"/><Relationship Id="rId93" Type="http://schemas.openxmlformats.org/officeDocument/2006/relationships/image" Target="media/image58.png"/><Relationship Id="rId98" Type="http://schemas.openxmlformats.org/officeDocument/2006/relationships/chart" Target="charts/chart22.xml"/><Relationship Id="rId121" Type="http://schemas.openxmlformats.org/officeDocument/2006/relationships/image" Target="media/image79.png"/><Relationship Id="rId3" Type="http://schemas.openxmlformats.org/officeDocument/2006/relationships/styles" Target="styles.xml"/><Relationship Id="rId25" Type="http://schemas.openxmlformats.org/officeDocument/2006/relationships/chart" Target="charts/chart3.xml"/><Relationship Id="rId46" Type="http://schemas.openxmlformats.org/officeDocument/2006/relationships/chart" Target="charts/chart12.xml"/><Relationship Id="rId67" Type="http://schemas.openxmlformats.org/officeDocument/2006/relationships/image" Target="media/image33.png"/><Relationship Id="rId116" Type="http://schemas.openxmlformats.org/officeDocument/2006/relationships/image" Target="media/image74.png"/><Relationship Id="rId20" Type="http://schemas.openxmlformats.org/officeDocument/2006/relationships/image" Target="media/image5.emf"/><Relationship Id="rId41" Type="http://schemas.openxmlformats.org/officeDocument/2006/relationships/chart" Target="charts/chart11.xml"/><Relationship Id="rId62" Type="http://schemas.openxmlformats.org/officeDocument/2006/relationships/image" Target="media/image29.emf"/><Relationship Id="rId83" Type="http://schemas.openxmlformats.org/officeDocument/2006/relationships/image" Target="media/image49.png"/><Relationship Id="rId88" Type="http://schemas.openxmlformats.org/officeDocument/2006/relationships/image" Target="media/image54.png"/><Relationship Id="rId111" Type="http://schemas.openxmlformats.org/officeDocument/2006/relationships/image" Target="media/image69.png"/><Relationship Id="rId15" Type="http://schemas.openxmlformats.org/officeDocument/2006/relationships/image" Target="media/image2.png"/><Relationship Id="rId36" Type="http://schemas.openxmlformats.org/officeDocument/2006/relationships/image" Target="media/image14.png"/><Relationship Id="rId57" Type="http://schemas.openxmlformats.org/officeDocument/2006/relationships/image" Target="media/image25.png"/><Relationship Id="rId106" Type="http://schemas.openxmlformats.org/officeDocument/2006/relationships/image" Target="media/image64.png"/><Relationship Id="rId127" Type="http://schemas.openxmlformats.org/officeDocument/2006/relationships/fontTable" Target="fontTable.xml"/><Relationship Id="rId10" Type="http://schemas.openxmlformats.org/officeDocument/2006/relationships/footer" Target="footer1.xml"/><Relationship Id="rId31" Type="http://schemas.openxmlformats.org/officeDocument/2006/relationships/chart" Target="charts/chart5.xml"/><Relationship Id="rId52" Type="http://schemas.openxmlformats.org/officeDocument/2006/relationships/image" Target="media/image23.png"/><Relationship Id="rId73" Type="http://schemas.openxmlformats.org/officeDocument/2006/relationships/image" Target="media/image39.png"/><Relationship Id="rId78" Type="http://schemas.openxmlformats.org/officeDocument/2006/relationships/image" Target="media/image44.png"/><Relationship Id="rId94" Type="http://schemas.openxmlformats.org/officeDocument/2006/relationships/chart" Target="charts/chart20.xml"/><Relationship Id="rId99" Type="http://schemas.openxmlformats.org/officeDocument/2006/relationships/image" Target="media/image61.emf"/><Relationship Id="rId101" Type="http://schemas.openxmlformats.org/officeDocument/2006/relationships/chart" Target="charts/chart24.xml"/><Relationship Id="rId122" Type="http://schemas.openxmlformats.org/officeDocument/2006/relationships/image" Target="media/image80.png"/><Relationship Id="rId4" Type="http://schemas.openxmlformats.org/officeDocument/2006/relationships/settings" Target="settings.xml"/><Relationship Id="rId9" Type="http://schemas.openxmlformats.org/officeDocument/2006/relationships/header" Target="header1.xml"/><Relationship Id="rId26" Type="http://schemas.openxmlformats.org/officeDocument/2006/relationships/image" Target="media/image8.png"/></Relationships>
</file>

<file path=word/charts/_rels/chart1.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Book3"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Book3"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Book4"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Book3"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Book3"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Book4"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Book3"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file:////Users\hannah_hussain\Desktop\PhD%20\Documents%20of%20interest\data%20analysis%20\Chapter%202:3%20-%20establish%20the%20target\charts%20&amp;%20graphs\new%20flipped%20anxiety.xlsx" TargetMode="External"/><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oleObject" Target="Book4" TargetMode="External"/><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oleObject" Target="Book2"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file:////Users\hannah_hussain\Desktop\PhD%20\Documents%20of%20interest\data%20analysis%20\Chapter%202:3%20-%20establish%20the%20target\charts%20&amp;%20graphs\ICC%20all%203%20data%20plot.xlsx" TargetMode="External"/><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chartUserShapes" Target="../drawings/drawing1.xml"/></Relationships>
</file>

<file path=word/charts/_rels/chart22.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oleObject" Target="Book5" TargetMode="External"/><Relationship Id="rId2" Type="http://schemas.microsoft.com/office/2011/relationships/chartColorStyle" Target="colors23.xml"/><Relationship Id="rId1" Type="http://schemas.microsoft.com/office/2011/relationships/chartStyle" Target="style23.xml"/></Relationships>
</file>

<file path=word/charts/_rels/chart24.xml.rels><?xml version="1.0" encoding="UTF-8" standalone="yes"?>
<Relationships xmlns="http://schemas.openxmlformats.org/package/2006/relationships"><Relationship Id="rId3" Type="http://schemas.openxmlformats.org/officeDocument/2006/relationships/oleObject" Target="file:////Volumes\shared\HAR_SP\SP\STU_cmp20hsh\pooled%20data%20from%20the%203%20trials\charts%20&amp;%20graphs\change%20in%20mobility%20vs%20change%20in%20function.xlsx" TargetMode="External"/><Relationship Id="rId2" Type="http://schemas.microsoft.com/office/2011/relationships/chartColorStyle" Target="colors24.xml"/><Relationship Id="rId1" Type="http://schemas.microsoft.com/office/2011/relationships/chartStyle" Target="style24.xml"/></Relationships>
</file>

<file path=word/charts/_rels/chart25.xml.rels><?xml version="1.0" encoding="UTF-8" standalone="yes"?>
<Relationships xmlns="http://schemas.openxmlformats.org/package/2006/relationships"><Relationship Id="rId3" Type="http://schemas.openxmlformats.org/officeDocument/2006/relationships/oleObject" Target="Book3" TargetMode="External"/><Relationship Id="rId2" Type="http://schemas.microsoft.com/office/2011/relationships/chartColorStyle" Target="colors25.xml"/><Relationship Id="rId1" Type="http://schemas.microsoft.com/office/2011/relationships/chartStyle" Target="style25.xml"/></Relationships>
</file>

<file path=word/charts/_rels/chart26.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26.xml"/><Relationship Id="rId1" Type="http://schemas.microsoft.com/office/2011/relationships/chartStyle" Target="style26.xml"/></Relationships>
</file>

<file path=word/charts/_rels/chart3.xml.rels><?xml version="1.0" encoding="UTF-8" standalone="yes"?>
<Relationships xmlns="http://schemas.openxmlformats.org/package/2006/relationships"><Relationship Id="rId3" Type="http://schemas.openxmlformats.org/officeDocument/2006/relationships/oleObject" Target="Book3"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Book4"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Book3"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Book3"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Book3"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Book4"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Book3"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en-GB" sz="1100"/>
              <a:t>Direction of mobility change from</a:t>
            </a:r>
            <a:r>
              <a:rPr lang="en-GB" sz="1100" baseline="0"/>
              <a:t> t0 to t2</a:t>
            </a:r>
            <a:endParaRPr lang="en-GB" sz="1100"/>
          </a:p>
        </c:rich>
      </c:tx>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Sheet1!$C$3</c:f>
              <c:strCache>
                <c:ptCount val="1"/>
                <c:pt idx="0">
                  <c:v>stayed the same </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Sheet1!$B$4:$B$6</c:f>
              <c:strCache>
                <c:ptCount val="3"/>
                <c:pt idx="0">
                  <c:v>pwd, n=450</c:v>
                </c:pt>
                <c:pt idx="1">
                  <c:v>informal proxy, n=421</c:v>
                </c:pt>
                <c:pt idx="2">
                  <c:v>Staff proxy, n=399</c:v>
                </c:pt>
              </c:strCache>
            </c:strRef>
          </c:cat>
          <c:val>
            <c:numRef>
              <c:f>Sheet1!$C$4:$C$6</c:f>
              <c:numCache>
                <c:formatCode>General</c:formatCode>
                <c:ptCount val="3"/>
                <c:pt idx="0">
                  <c:v>56.2</c:v>
                </c:pt>
                <c:pt idx="1">
                  <c:v>52</c:v>
                </c:pt>
                <c:pt idx="2">
                  <c:v>47.9</c:v>
                </c:pt>
              </c:numCache>
            </c:numRef>
          </c:val>
          <c:extLst>
            <c:ext xmlns:c16="http://schemas.microsoft.com/office/drawing/2014/chart" uri="{C3380CC4-5D6E-409C-BE32-E72D297353CC}">
              <c16:uniqueId val="{00000000-CE2A-0A49-9D55-E3EC770AD318}"/>
            </c:ext>
          </c:extLst>
        </c:ser>
        <c:ser>
          <c:idx val="1"/>
          <c:order val="1"/>
          <c:tx>
            <c:strRef>
              <c:f>Sheet1!$D$3</c:f>
              <c:strCache>
                <c:ptCount val="1"/>
                <c:pt idx="0">
                  <c:v>worsened </c:v>
                </c:pt>
              </c:strCache>
            </c:strRef>
          </c:tx>
          <c:spPr>
            <a:solidFill>
              <a:schemeClr val="accent2"/>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Sheet1!$B$4:$B$6</c:f>
              <c:strCache>
                <c:ptCount val="3"/>
                <c:pt idx="0">
                  <c:v>pwd, n=450</c:v>
                </c:pt>
                <c:pt idx="1">
                  <c:v>informal proxy, n=421</c:v>
                </c:pt>
                <c:pt idx="2">
                  <c:v>Staff proxy, n=399</c:v>
                </c:pt>
              </c:strCache>
            </c:strRef>
          </c:cat>
          <c:val>
            <c:numRef>
              <c:f>Sheet1!$D$4:$D$6</c:f>
              <c:numCache>
                <c:formatCode>General</c:formatCode>
                <c:ptCount val="3"/>
                <c:pt idx="0">
                  <c:v>26.5</c:v>
                </c:pt>
                <c:pt idx="1">
                  <c:v>33</c:v>
                </c:pt>
                <c:pt idx="2">
                  <c:v>38.1</c:v>
                </c:pt>
              </c:numCache>
            </c:numRef>
          </c:val>
          <c:extLst>
            <c:ext xmlns:c16="http://schemas.microsoft.com/office/drawing/2014/chart" uri="{C3380CC4-5D6E-409C-BE32-E72D297353CC}">
              <c16:uniqueId val="{00000001-CE2A-0A49-9D55-E3EC770AD318}"/>
            </c:ext>
          </c:extLst>
        </c:ser>
        <c:ser>
          <c:idx val="2"/>
          <c:order val="2"/>
          <c:tx>
            <c:strRef>
              <c:f>Sheet1!$E$3</c:f>
              <c:strCache>
                <c:ptCount val="1"/>
                <c:pt idx="0">
                  <c:v>improved</c:v>
                </c:pt>
              </c:strCache>
            </c:strRef>
          </c:tx>
          <c:spPr>
            <a:solidFill>
              <a:schemeClr val="accent3"/>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Sheet1!$B$4:$B$6</c:f>
              <c:strCache>
                <c:ptCount val="3"/>
                <c:pt idx="0">
                  <c:v>pwd, n=450</c:v>
                </c:pt>
                <c:pt idx="1">
                  <c:v>informal proxy, n=421</c:v>
                </c:pt>
                <c:pt idx="2">
                  <c:v>Staff proxy, n=399</c:v>
                </c:pt>
              </c:strCache>
            </c:strRef>
          </c:cat>
          <c:val>
            <c:numRef>
              <c:f>Sheet1!$E$4:$E$6</c:f>
              <c:numCache>
                <c:formatCode>General</c:formatCode>
                <c:ptCount val="3"/>
                <c:pt idx="0">
                  <c:v>17.3</c:v>
                </c:pt>
                <c:pt idx="1">
                  <c:v>15</c:v>
                </c:pt>
                <c:pt idx="2">
                  <c:v>14</c:v>
                </c:pt>
              </c:numCache>
            </c:numRef>
          </c:val>
          <c:extLst>
            <c:ext xmlns:c16="http://schemas.microsoft.com/office/drawing/2014/chart" uri="{C3380CC4-5D6E-409C-BE32-E72D297353CC}">
              <c16:uniqueId val="{00000002-CE2A-0A49-9D55-E3EC770AD318}"/>
            </c:ext>
          </c:extLst>
        </c:ser>
        <c:dLbls>
          <c:dLblPos val="outEnd"/>
          <c:showLegendKey val="0"/>
          <c:showVal val="1"/>
          <c:showCatName val="0"/>
          <c:showSerName val="0"/>
          <c:showPercent val="0"/>
          <c:showBubbleSize val="0"/>
        </c:dLbls>
        <c:gapWidth val="444"/>
        <c:overlap val="-90"/>
        <c:axId val="1815442176"/>
        <c:axId val="1815443824"/>
      </c:barChart>
      <c:catAx>
        <c:axId val="181544217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n-US"/>
          </a:p>
        </c:txPr>
        <c:crossAx val="1815443824"/>
        <c:crosses val="autoZero"/>
        <c:auto val="1"/>
        <c:lblAlgn val="ctr"/>
        <c:lblOffset val="100"/>
        <c:noMultiLvlLbl val="0"/>
      </c:catAx>
      <c:valAx>
        <c:axId val="1815443824"/>
        <c:scaling>
          <c:orientation val="minMax"/>
        </c:scaling>
        <c:delete val="1"/>
        <c:axPos val="l"/>
        <c:numFmt formatCode="General" sourceLinked="1"/>
        <c:majorTickMark val="none"/>
        <c:minorTickMark val="none"/>
        <c:tickLblPos val="nextTo"/>
        <c:crossAx val="1815442176"/>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en-GB" sz="1000" b="1" i="0" cap="all" baseline="0">
                <a:effectLst/>
              </a:rPr>
              <a:t>Direction of behaviour/mood score progression by usual activities dimension reporting</a:t>
            </a:r>
          </a:p>
        </c:rich>
      </c:tx>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Sheet1!$C$73</c:f>
              <c:strCache>
                <c:ptCount val="1"/>
                <c:pt idx="0">
                  <c:v>EQ-5D UA: no change</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Sheet1!$B$74:$B$82</c:f>
              <c:strCache>
                <c:ptCount val="9"/>
                <c:pt idx="0">
                  <c:v>PwD B/M same</c:v>
                </c:pt>
                <c:pt idx="1">
                  <c:v>PwD B/M worse</c:v>
                </c:pt>
                <c:pt idx="2">
                  <c:v>PwD B/M improved</c:v>
                </c:pt>
                <c:pt idx="3">
                  <c:v>PR B/M same</c:v>
                </c:pt>
                <c:pt idx="4">
                  <c:v>PR B/M worse</c:v>
                </c:pt>
                <c:pt idx="5">
                  <c:v>PR B/M improved</c:v>
                </c:pt>
                <c:pt idx="6">
                  <c:v>ST B/M same</c:v>
                </c:pt>
                <c:pt idx="7">
                  <c:v>ST B/M worse </c:v>
                </c:pt>
                <c:pt idx="8">
                  <c:v>ST B/W improved</c:v>
                </c:pt>
              </c:strCache>
            </c:strRef>
          </c:cat>
          <c:val>
            <c:numRef>
              <c:f>Sheet1!$C$74:$C$82</c:f>
              <c:numCache>
                <c:formatCode>General</c:formatCode>
                <c:ptCount val="9"/>
                <c:pt idx="0">
                  <c:v>11.7</c:v>
                </c:pt>
                <c:pt idx="1">
                  <c:v>49.1</c:v>
                </c:pt>
                <c:pt idx="2">
                  <c:v>39.200000000000003</c:v>
                </c:pt>
                <c:pt idx="3">
                  <c:v>8.3000000000000007</c:v>
                </c:pt>
                <c:pt idx="4">
                  <c:v>44.4</c:v>
                </c:pt>
                <c:pt idx="5">
                  <c:v>47.3</c:v>
                </c:pt>
                <c:pt idx="6">
                  <c:v>11.9</c:v>
                </c:pt>
                <c:pt idx="7">
                  <c:v>39.4</c:v>
                </c:pt>
                <c:pt idx="8">
                  <c:v>48.7</c:v>
                </c:pt>
              </c:numCache>
            </c:numRef>
          </c:val>
          <c:extLst>
            <c:ext xmlns:c16="http://schemas.microsoft.com/office/drawing/2014/chart" uri="{C3380CC4-5D6E-409C-BE32-E72D297353CC}">
              <c16:uniqueId val="{00000000-0CDA-2347-990F-FA187360A295}"/>
            </c:ext>
          </c:extLst>
        </c:ser>
        <c:ser>
          <c:idx val="1"/>
          <c:order val="1"/>
          <c:tx>
            <c:strRef>
              <c:f>Sheet1!$D$73</c:f>
              <c:strCache>
                <c:ptCount val="1"/>
                <c:pt idx="0">
                  <c:v>EQ-5D UA: worse</c:v>
                </c:pt>
              </c:strCache>
            </c:strRef>
          </c:tx>
          <c:spPr>
            <a:solidFill>
              <a:schemeClr val="accent2"/>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Sheet1!$B$74:$B$82</c:f>
              <c:strCache>
                <c:ptCount val="9"/>
                <c:pt idx="0">
                  <c:v>PwD B/M same</c:v>
                </c:pt>
                <c:pt idx="1">
                  <c:v>PwD B/M worse</c:v>
                </c:pt>
                <c:pt idx="2">
                  <c:v>PwD B/M improved</c:v>
                </c:pt>
                <c:pt idx="3">
                  <c:v>PR B/M same</c:v>
                </c:pt>
                <c:pt idx="4">
                  <c:v>PR B/M worse</c:v>
                </c:pt>
                <c:pt idx="5">
                  <c:v>PR B/M improved</c:v>
                </c:pt>
                <c:pt idx="6">
                  <c:v>ST B/M same</c:v>
                </c:pt>
                <c:pt idx="7">
                  <c:v>ST B/M worse </c:v>
                </c:pt>
                <c:pt idx="8">
                  <c:v>ST B/W improved</c:v>
                </c:pt>
              </c:strCache>
            </c:strRef>
          </c:cat>
          <c:val>
            <c:numRef>
              <c:f>Sheet1!$D$74:$D$82</c:f>
              <c:numCache>
                <c:formatCode>General</c:formatCode>
                <c:ptCount val="9"/>
                <c:pt idx="0">
                  <c:v>6.8</c:v>
                </c:pt>
                <c:pt idx="1">
                  <c:v>50.8</c:v>
                </c:pt>
                <c:pt idx="2">
                  <c:v>42.4</c:v>
                </c:pt>
                <c:pt idx="3">
                  <c:v>7.6</c:v>
                </c:pt>
                <c:pt idx="4">
                  <c:v>52.5</c:v>
                </c:pt>
                <c:pt idx="5">
                  <c:v>39.9</c:v>
                </c:pt>
                <c:pt idx="6">
                  <c:v>6.6</c:v>
                </c:pt>
                <c:pt idx="7">
                  <c:v>46</c:v>
                </c:pt>
                <c:pt idx="8">
                  <c:v>47.4</c:v>
                </c:pt>
              </c:numCache>
            </c:numRef>
          </c:val>
          <c:extLst>
            <c:ext xmlns:c16="http://schemas.microsoft.com/office/drawing/2014/chart" uri="{C3380CC4-5D6E-409C-BE32-E72D297353CC}">
              <c16:uniqueId val="{00000001-0CDA-2347-990F-FA187360A295}"/>
            </c:ext>
          </c:extLst>
        </c:ser>
        <c:ser>
          <c:idx val="2"/>
          <c:order val="2"/>
          <c:tx>
            <c:strRef>
              <c:f>Sheet1!$E$73</c:f>
              <c:strCache>
                <c:ptCount val="1"/>
                <c:pt idx="0">
                  <c:v>EQ-5D UA: improved</c:v>
                </c:pt>
              </c:strCache>
            </c:strRef>
          </c:tx>
          <c:spPr>
            <a:solidFill>
              <a:schemeClr val="accent3"/>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Sheet1!$B$74:$B$82</c:f>
              <c:strCache>
                <c:ptCount val="9"/>
                <c:pt idx="0">
                  <c:v>PwD B/M same</c:v>
                </c:pt>
                <c:pt idx="1">
                  <c:v>PwD B/M worse</c:v>
                </c:pt>
                <c:pt idx="2">
                  <c:v>PwD B/M improved</c:v>
                </c:pt>
                <c:pt idx="3">
                  <c:v>PR B/M same</c:v>
                </c:pt>
                <c:pt idx="4">
                  <c:v>PR B/M worse</c:v>
                </c:pt>
                <c:pt idx="5">
                  <c:v>PR B/M improved</c:v>
                </c:pt>
                <c:pt idx="6">
                  <c:v>ST B/M same</c:v>
                </c:pt>
                <c:pt idx="7">
                  <c:v>ST B/M worse </c:v>
                </c:pt>
                <c:pt idx="8">
                  <c:v>ST B/W improved</c:v>
                </c:pt>
              </c:strCache>
            </c:strRef>
          </c:cat>
          <c:val>
            <c:numRef>
              <c:f>Sheet1!$E$74:$E$82</c:f>
              <c:numCache>
                <c:formatCode>General</c:formatCode>
                <c:ptCount val="9"/>
                <c:pt idx="0">
                  <c:v>10.7</c:v>
                </c:pt>
                <c:pt idx="1">
                  <c:v>46.4</c:v>
                </c:pt>
                <c:pt idx="2">
                  <c:v>42.9</c:v>
                </c:pt>
                <c:pt idx="3">
                  <c:v>6.3</c:v>
                </c:pt>
                <c:pt idx="4">
                  <c:v>43.7</c:v>
                </c:pt>
                <c:pt idx="5">
                  <c:v>50</c:v>
                </c:pt>
                <c:pt idx="6">
                  <c:v>14.5</c:v>
                </c:pt>
                <c:pt idx="7">
                  <c:v>33.299999999999997</c:v>
                </c:pt>
                <c:pt idx="8">
                  <c:v>51.2</c:v>
                </c:pt>
              </c:numCache>
            </c:numRef>
          </c:val>
          <c:extLst>
            <c:ext xmlns:c16="http://schemas.microsoft.com/office/drawing/2014/chart" uri="{C3380CC4-5D6E-409C-BE32-E72D297353CC}">
              <c16:uniqueId val="{00000002-0CDA-2347-990F-FA187360A295}"/>
            </c:ext>
          </c:extLst>
        </c:ser>
        <c:dLbls>
          <c:dLblPos val="outEnd"/>
          <c:showLegendKey val="0"/>
          <c:showVal val="1"/>
          <c:showCatName val="0"/>
          <c:showSerName val="0"/>
          <c:showPercent val="0"/>
          <c:showBubbleSize val="0"/>
        </c:dLbls>
        <c:gapWidth val="444"/>
        <c:overlap val="-90"/>
        <c:axId val="1895292496"/>
        <c:axId val="1852715008"/>
      </c:barChart>
      <c:catAx>
        <c:axId val="189529249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n-US"/>
          </a:p>
        </c:txPr>
        <c:crossAx val="1852715008"/>
        <c:crosses val="autoZero"/>
        <c:auto val="1"/>
        <c:lblAlgn val="ctr"/>
        <c:lblOffset val="100"/>
        <c:noMultiLvlLbl val="0"/>
      </c:catAx>
      <c:valAx>
        <c:axId val="1852715008"/>
        <c:scaling>
          <c:orientation val="minMax"/>
        </c:scaling>
        <c:delete val="1"/>
        <c:axPos val="l"/>
        <c:numFmt formatCode="General" sourceLinked="1"/>
        <c:majorTickMark val="none"/>
        <c:minorTickMark val="none"/>
        <c:tickLblPos val="nextTo"/>
        <c:crossAx val="1895292496"/>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en-GB" sz="1000"/>
              <a:t>direction of CDR stage progression by usual activities dimension reporting </a:t>
            </a:r>
          </a:p>
        </c:rich>
      </c:tx>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Sheet1!$C$60</c:f>
              <c:strCache>
                <c:ptCount val="1"/>
                <c:pt idx="0">
                  <c:v>EQ-5D UA: no change</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Sheet1!$B$61:$B$69</c:f>
              <c:strCache>
                <c:ptCount val="9"/>
                <c:pt idx="0">
                  <c:v>PwD CDR same</c:v>
                </c:pt>
                <c:pt idx="1">
                  <c:v>PwD CDR worse</c:v>
                </c:pt>
                <c:pt idx="2">
                  <c:v>PwD CDR improved</c:v>
                </c:pt>
                <c:pt idx="3">
                  <c:v>PR CDR same</c:v>
                </c:pt>
                <c:pt idx="4">
                  <c:v>PR CDR worse</c:v>
                </c:pt>
                <c:pt idx="5">
                  <c:v>PR CDR improved</c:v>
                </c:pt>
                <c:pt idx="6">
                  <c:v>ST CDR same</c:v>
                </c:pt>
                <c:pt idx="7">
                  <c:v>ST CDR worse </c:v>
                </c:pt>
                <c:pt idx="8">
                  <c:v>ST CDR improved</c:v>
                </c:pt>
              </c:strCache>
            </c:strRef>
          </c:cat>
          <c:val>
            <c:numRef>
              <c:f>Sheet1!$C$61:$C$69</c:f>
              <c:numCache>
                <c:formatCode>General</c:formatCode>
                <c:ptCount val="9"/>
                <c:pt idx="0">
                  <c:v>64</c:v>
                </c:pt>
                <c:pt idx="1">
                  <c:v>30.7</c:v>
                </c:pt>
                <c:pt idx="2">
                  <c:v>5.3</c:v>
                </c:pt>
                <c:pt idx="3">
                  <c:v>74.400000000000006</c:v>
                </c:pt>
                <c:pt idx="4">
                  <c:v>22.5</c:v>
                </c:pt>
                <c:pt idx="5">
                  <c:v>3.1</c:v>
                </c:pt>
                <c:pt idx="6">
                  <c:v>56.8</c:v>
                </c:pt>
                <c:pt idx="7">
                  <c:v>30.2</c:v>
                </c:pt>
                <c:pt idx="8">
                  <c:v>13</c:v>
                </c:pt>
              </c:numCache>
            </c:numRef>
          </c:val>
          <c:extLst>
            <c:ext xmlns:c16="http://schemas.microsoft.com/office/drawing/2014/chart" uri="{C3380CC4-5D6E-409C-BE32-E72D297353CC}">
              <c16:uniqueId val="{00000000-43AA-A940-90A3-E9E1A0D95B83}"/>
            </c:ext>
          </c:extLst>
        </c:ser>
        <c:ser>
          <c:idx val="1"/>
          <c:order val="1"/>
          <c:tx>
            <c:strRef>
              <c:f>Sheet1!$D$60</c:f>
              <c:strCache>
                <c:ptCount val="1"/>
                <c:pt idx="0">
                  <c:v>EQ-5D UA: worse</c:v>
                </c:pt>
              </c:strCache>
            </c:strRef>
          </c:tx>
          <c:spPr>
            <a:solidFill>
              <a:schemeClr val="accent2"/>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Sheet1!$B$61:$B$69</c:f>
              <c:strCache>
                <c:ptCount val="9"/>
                <c:pt idx="0">
                  <c:v>PwD CDR same</c:v>
                </c:pt>
                <c:pt idx="1">
                  <c:v>PwD CDR worse</c:v>
                </c:pt>
                <c:pt idx="2">
                  <c:v>PwD CDR improved</c:v>
                </c:pt>
                <c:pt idx="3">
                  <c:v>PR CDR same</c:v>
                </c:pt>
                <c:pt idx="4">
                  <c:v>PR CDR worse</c:v>
                </c:pt>
                <c:pt idx="5">
                  <c:v>PR CDR improved</c:v>
                </c:pt>
                <c:pt idx="6">
                  <c:v>ST CDR same</c:v>
                </c:pt>
                <c:pt idx="7">
                  <c:v>ST CDR worse </c:v>
                </c:pt>
                <c:pt idx="8">
                  <c:v>ST CDR improved</c:v>
                </c:pt>
              </c:strCache>
            </c:strRef>
          </c:cat>
          <c:val>
            <c:numRef>
              <c:f>Sheet1!$D$61:$D$69</c:f>
              <c:numCache>
                <c:formatCode>General</c:formatCode>
                <c:ptCount val="9"/>
                <c:pt idx="0">
                  <c:v>55.2</c:v>
                </c:pt>
                <c:pt idx="1">
                  <c:v>35.299999999999997</c:v>
                </c:pt>
                <c:pt idx="2">
                  <c:v>9.5</c:v>
                </c:pt>
                <c:pt idx="3">
                  <c:v>59.9</c:v>
                </c:pt>
                <c:pt idx="4">
                  <c:v>38.4</c:v>
                </c:pt>
                <c:pt idx="5">
                  <c:v>1.7</c:v>
                </c:pt>
                <c:pt idx="6">
                  <c:v>41.5</c:v>
                </c:pt>
                <c:pt idx="7">
                  <c:v>51.1</c:v>
                </c:pt>
                <c:pt idx="8">
                  <c:v>7.4</c:v>
                </c:pt>
              </c:numCache>
            </c:numRef>
          </c:val>
          <c:extLst>
            <c:ext xmlns:c16="http://schemas.microsoft.com/office/drawing/2014/chart" uri="{C3380CC4-5D6E-409C-BE32-E72D297353CC}">
              <c16:uniqueId val="{00000001-43AA-A940-90A3-E9E1A0D95B83}"/>
            </c:ext>
          </c:extLst>
        </c:ser>
        <c:ser>
          <c:idx val="2"/>
          <c:order val="2"/>
          <c:tx>
            <c:strRef>
              <c:f>Sheet1!$E$60</c:f>
              <c:strCache>
                <c:ptCount val="1"/>
                <c:pt idx="0">
                  <c:v>EQ-5D UA: improved</c:v>
                </c:pt>
              </c:strCache>
            </c:strRef>
          </c:tx>
          <c:spPr>
            <a:solidFill>
              <a:schemeClr val="accent3"/>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Sheet1!$B$61:$B$69</c:f>
              <c:strCache>
                <c:ptCount val="9"/>
                <c:pt idx="0">
                  <c:v>PwD CDR same</c:v>
                </c:pt>
                <c:pt idx="1">
                  <c:v>PwD CDR worse</c:v>
                </c:pt>
                <c:pt idx="2">
                  <c:v>PwD CDR improved</c:v>
                </c:pt>
                <c:pt idx="3">
                  <c:v>PR CDR same</c:v>
                </c:pt>
                <c:pt idx="4">
                  <c:v>PR CDR worse</c:v>
                </c:pt>
                <c:pt idx="5">
                  <c:v>PR CDR improved</c:v>
                </c:pt>
                <c:pt idx="6">
                  <c:v>ST CDR same</c:v>
                </c:pt>
                <c:pt idx="7">
                  <c:v>ST CDR worse </c:v>
                </c:pt>
                <c:pt idx="8">
                  <c:v>ST CDR improved</c:v>
                </c:pt>
              </c:strCache>
            </c:strRef>
          </c:cat>
          <c:val>
            <c:numRef>
              <c:f>Sheet1!$E$61:$E$69</c:f>
              <c:numCache>
                <c:formatCode>General</c:formatCode>
                <c:ptCount val="9"/>
                <c:pt idx="0">
                  <c:v>74.099999999999994</c:v>
                </c:pt>
                <c:pt idx="1">
                  <c:v>24.7</c:v>
                </c:pt>
                <c:pt idx="2">
                  <c:v>1.2</c:v>
                </c:pt>
                <c:pt idx="3">
                  <c:v>74.2</c:v>
                </c:pt>
                <c:pt idx="4">
                  <c:v>19.3</c:v>
                </c:pt>
                <c:pt idx="5">
                  <c:v>6.5</c:v>
                </c:pt>
                <c:pt idx="6">
                  <c:v>49.3</c:v>
                </c:pt>
                <c:pt idx="7">
                  <c:v>33.299999999999997</c:v>
                </c:pt>
                <c:pt idx="8">
                  <c:v>17.399999999999999</c:v>
                </c:pt>
              </c:numCache>
            </c:numRef>
          </c:val>
          <c:extLst>
            <c:ext xmlns:c16="http://schemas.microsoft.com/office/drawing/2014/chart" uri="{C3380CC4-5D6E-409C-BE32-E72D297353CC}">
              <c16:uniqueId val="{00000002-43AA-A940-90A3-E9E1A0D95B83}"/>
            </c:ext>
          </c:extLst>
        </c:ser>
        <c:dLbls>
          <c:dLblPos val="outEnd"/>
          <c:showLegendKey val="0"/>
          <c:showVal val="1"/>
          <c:showCatName val="0"/>
          <c:showSerName val="0"/>
          <c:showPercent val="0"/>
          <c:showBubbleSize val="0"/>
        </c:dLbls>
        <c:gapWidth val="444"/>
        <c:overlap val="-90"/>
        <c:axId val="1449867792"/>
        <c:axId val="1449869440"/>
      </c:barChart>
      <c:catAx>
        <c:axId val="144986779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n-US"/>
          </a:p>
        </c:txPr>
        <c:crossAx val="1449869440"/>
        <c:crosses val="autoZero"/>
        <c:auto val="1"/>
        <c:lblAlgn val="ctr"/>
        <c:lblOffset val="100"/>
        <c:noMultiLvlLbl val="0"/>
      </c:catAx>
      <c:valAx>
        <c:axId val="1449869440"/>
        <c:scaling>
          <c:orientation val="minMax"/>
        </c:scaling>
        <c:delete val="1"/>
        <c:axPos val="l"/>
        <c:numFmt formatCode="General" sourceLinked="1"/>
        <c:majorTickMark val="none"/>
        <c:minorTickMark val="none"/>
        <c:tickLblPos val="nextTo"/>
        <c:crossAx val="144986779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en-GB" sz="1000"/>
              <a:t>direction</a:t>
            </a:r>
            <a:r>
              <a:rPr lang="en-GB" sz="1000" baseline="0"/>
              <a:t> of pain/discomfort change from t0 to t2 </a:t>
            </a:r>
            <a:endParaRPr lang="en-GB" sz="1000"/>
          </a:p>
        </c:rich>
      </c:tx>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Sheet1!$A$20</c:f>
              <c:strCache>
                <c:ptCount val="1"/>
                <c:pt idx="0">
                  <c:v>Stayed the same</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Sheet1!$B$19:$D$19</c:f>
              <c:strCache>
                <c:ptCount val="3"/>
                <c:pt idx="0">
                  <c:v>PwD, n=440</c:v>
                </c:pt>
                <c:pt idx="1">
                  <c:v>Informal proxy, n=418</c:v>
                </c:pt>
                <c:pt idx="2">
                  <c:v>Staff proxy, n=398</c:v>
                </c:pt>
              </c:strCache>
            </c:strRef>
          </c:cat>
          <c:val>
            <c:numRef>
              <c:f>Sheet1!$B$20:$D$20</c:f>
              <c:numCache>
                <c:formatCode>General</c:formatCode>
                <c:ptCount val="3"/>
                <c:pt idx="0">
                  <c:v>55.5</c:v>
                </c:pt>
                <c:pt idx="1">
                  <c:v>50.2</c:v>
                </c:pt>
                <c:pt idx="2">
                  <c:v>61.3</c:v>
                </c:pt>
              </c:numCache>
            </c:numRef>
          </c:val>
          <c:extLst>
            <c:ext xmlns:c16="http://schemas.microsoft.com/office/drawing/2014/chart" uri="{C3380CC4-5D6E-409C-BE32-E72D297353CC}">
              <c16:uniqueId val="{00000000-39EF-7648-86C4-99BD9015A680}"/>
            </c:ext>
          </c:extLst>
        </c:ser>
        <c:ser>
          <c:idx val="1"/>
          <c:order val="1"/>
          <c:tx>
            <c:strRef>
              <c:f>Sheet1!$A$21</c:f>
              <c:strCache>
                <c:ptCount val="1"/>
                <c:pt idx="0">
                  <c:v>Worsened</c:v>
                </c:pt>
              </c:strCache>
            </c:strRef>
          </c:tx>
          <c:spPr>
            <a:solidFill>
              <a:schemeClr val="accent2"/>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Sheet1!$B$19:$D$19</c:f>
              <c:strCache>
                <c:ptCount val="3"/>
                <c:pt idx="0">
                  <c:v>PwD, n=440</c:v>
                </c:pt>
                <c:pt idx="1">
                  <c:v>Informal proxy, n=418</c:v>
                </c:pt>
                <c:pt idx="2">
                  <c:v>Staff proxy, n=398</c:v>
                </c:pt>
              </c:strCache>
            </c:strRef>
          </c:cat>
          <c:val>
            <c:numRef>
              <c:f>Sheet1!$B$21:$D$21</c:f>
              <c:numCache>
                <c:formatCode>General</c:formatCode>
                <c:ptCount val="3"/>
                <c:pt idx="0">
                  <c:v>22.8</c:v>
                </c:pt>
                <c:pt idx="1">
                  <c:v>26.6</c:v>
                </c:pt>
                <c:pt idx="2">
                  <c:v>17.3</c:v>
                </c:pt>
              </c:numCache>
            </c:numRef>
          </c:val>
          <c:extLst>
            <c:ext xmlns:c16="http://schemas.microsoft.com/office/drawing/2014/chart" uri="{C3380CC4-5D6E-409C-BE32-E72D297353CC}">
              <c16:uniqueId val="{00000001-39EF-7648-86C4-99BD9015A680}"/>
            </c:ext>
          </c:extLst>
        </c:ser>
        <c:ser>
          <c:idx val="2"/>
          <c:order val="2"/>
          <c:tx>
            <c:strRef>
              <c:f>Sheet1!$A$22</c:f>
              <c:strCache>
                <c:ptCount val="1"/>
                <c:pt idx="0">
                  <c:v>Improved</c:v>
                </c:pt>
              </c:strCache>
            </c:strRef>
          </c:tx>
          <c:spPr>
            <a:solidFill>
              <a:schemeClr val="accent3"/>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Sheet1!$B$19:$D$19</c:f>
              <c:strCache>
                <c:ptCount val="3"/>
                <c:pt idx="0">
                  <c:v>PwD, n=440</c:v>
                </c:pt>
                <c:pt idx="1">
                  <c:v>Informal proxy, n=418</c:v>
                </c:pt>
                <c:pt idx="2">
                  <c:v>Staff proxy, n=398</c:v>
                </c:pt>
              </c:strCache>
            </c:strRef>
          </c:cat>
          <c:val>
            <c:numRef>
              <c:f>Sheet1!$B$22:$D$22</c:f>
              <c:numCache>
                <c:formatCode>General</c:formatCode>
                <c:ptCount val="3"/>
                <c:pt idx="0">
                  <c:v>21.7</c:v>
                </c:pt>
                <c:pt idx="1">
                  <c:v>23.2</c:v>
                </c:pt>
                <c:pt idx="2">
                  <c:v>21.4</c:v>
                </c:pt>
              </c:numCache>
            </c:numRef>
          </c:val>
          <c:extLst>
            <c:ext xmlns:c16="http://schemas.microsoft.com/office/drawing/2014/chart" uri="{C3380CC4-5D6E-409C-BE32-E72D297353CC}">
              <c16:uniqueId val="{00000002-39EF-7648-86C4-99BD9015A680}"/>
            </c:ext>
          </c:extLst>
        </c:ser>
        <c:dLbls>
          <c:dLblPos val="outEnd"/>
          <c:showLegendKey val="0"/>
          <c:showVal val="1"/>
          <c:showCatName val="0"/>
          <c:showSerName val="0"/>
          <c:showPercent val="0"/>
          <c:showBubbleSize val="0"/>
        </c:dLbls>
        <c:gapWidth val="444"/>
        <c:overlap val="-90"/>
        <c:axId val="1907040352"/>
        <c:axId val="1889695120"/>
      </c:barChart>
      <c:catAx>
        <c:axId val="190704035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n-US"/>
          </a:p>
        </c:txPr>
        <c:crossAx val="1889695120"/>
        <c:crosses val="autoZero"/>
        <c:auto val="1"/>
        <c:lblAlgn val="ctr"/>
        <c:lblOffset val="100"/>
        <c:noMultiLvlLbl val="0"/>
      </c:catAx>
      <c:valAx>
        <c:axId val="1889695120"/>
        <c:scaling>
          <c:orientation val="minMax"/>
        </c:scaling>
        <c:delete val="1"/>
        <c:axPos val="l"/>
        <c:numFmt formatCode="General" sourceLinked="1"/>
        <c:majorTickMark val="none"/>
        <c:minorTickMark val="none"/>
        <c:tickLblPos val="nextTo"/>
        <c:crossAx val="190704035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en-GB" sz="1000" b="1" i="0" cap="all" baseline="0">
                <a:effectLst/>
              </a:rPr>
              <a:t>direction of functional progression by pain/discomfort dimension reporting </a:t>
            </a:r>
          </a:p>
        </c:rich>
      </c:tx>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Sheet1!$C$111</c:f>
              <c:strCache>
                <c:ptCount val="1"/>
                <c:pt idx="0">
                  <c:v>EQ-5D P/D: no change</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Sheet1!$B$112:$B$120</c:f>
              <c:strCache>
                <c:ptCount val="9"/>
                <c:pt idx="0">
                  <c:v>PwD function same</c:v>
                </c:pt>
                <c:pt idx="1">
                  <c:v>PwD function worse</c:v>
                </c:pt>
                <c:pt idx="2">
                  <c:v>PwD function improved</c:v>
                </c:pt>
                <c:pt idx="3">
                  <c:v>PR function same</c:v>
                </c:pt>
                <c:pt idx="4">
                  <c:v>PR function worse</c:v>
                </c:pt>
                <c:pt idx="5">
                  <c:v>PR function improved</c:v>
                </c:pt>
                <c:pt idx="6">
                  <c:v>ST function same</c:v>
                </c:pt>
                <c:pt idx="7">
                  <c:v>ST function worse </c:v>
                </c:pt>
                <c:pt idx="8">
                  <c:v>ST function improved</c:v>
                </c:pt>
              </c:strCache>
            </c:strRef>
          </c:cat>
          <c:val>
            <c:numRef>
              <c:f>Sheet1!$C$112:$C$120</c:f>
              <c:numCache>
                <c:formatCode>General</c:formatCode>
                <c:ptCount val="9"/>
                <c:pt idx="0">
                  <c:v>26.8</c:v>
                </c:pt>
                <c:pt idx="1">
                  <c:v>60</c:v>
                </c:pt>
                <c:pt idx="2">
                  <c:v>13.2</c:v>
                </c:pt>
                <c:pt idx="3">
                  <c:v>28.6</c:v>
                </c:pt>
                <c:pt idx="4">
                  <c:v>57.8</c:v>
                </c:pt>
                <c:pt idx="5">
                  <c:v>13.6</c:v>
                </c:pt>
                <c:pt idx="6">
                  <c:v>54.2</c:v>
                </c:pt>
                <c:pt idx="7">
                  <c:v>38.299999999999997</c:v>
                </c:pt>
                <c:pt idx="8">
                  <c:v>7.5</c:v>
                </c:pt>
              </c:numCache>
            </c:numRef>
          </c:val>
          <c:extLst>
            <c:ext xmlns:c16="http://schemas.microsoft.com/office/drawing/2014/chart" uri="{C3380CC4-5D6E-409C-BE32-E72D297353CC}">
              <c16:uniqueId val="{00000000-91E6-354F-8D5F-806DE585A2DE}"/>
            </c:ext>
          </c:extLst>
        </c:ser>
        <c:ser>
          <c:idx val="1"/>
          <c:order val="1"/>
          <c:tx>
            <c:strRef>
              <c:f>Sheet1!$D$111</c:f>
              <c:strCache>
                <c:ptCount val="1"/>
                <c:pt idx="0">
                  <c:v>EQ-5D P/D: worse</c:v>
                </c:pt>
              </c:strCache>
            </c:strRef>
          </c:tx>
          <c:spPr>
            <a:solidFill>
              <a:schemeClr val="accent2"/>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Sheet1!$B$112:$B$120</c:f>
              <c:strCache>
                <c:ptCount val="9"/>
                <c:pt idx="0">
                  <c:v>PwD function same</c:v>
                </c:pt>
                <c:pt idx="1">
                  <c:v>PwD function worse</c:v>
                </c:pt>
                <c:pt idx="2">
                  <c:v>PwD function improved</c:v>
                </c:pt>
                <c:pt idx="3">
                  <c:v>PR function same</c:v>
                </c:pt>
                <c:pt idx="4">
                  <c:v>PR function worse</c:v>
                </c:pt>
                <c:pt idx="5">
                  <c:v>PR function improved</c:v>
                </c:pt>
                <c:pt idx="6">
                  <c:v>ST function same</c:v>
                </c:pt>
                <c:pt idx="7">
                  <c:v>ST function worse </c:v>
                </c:pt>
                <c:pt idx="8">
                  <c:v>ST function improved</c:v>
                </c:pt>
              </c:strCache>
            </c:strRef>
          </c:cat>
          <c:val>
            <c:numRef>
              <c:f>Sheet1!$D$112:$D$120</c:f>
              <c:numCache>
                <c:formatCode>General</c:formatCode>
                <c:ptCount val="9"/>
                <c:pt idx="0">
                  <c:v>22</c:v>
                </c:pt>
                <c:pt idx="1">
                  <c:v>64.8</c:v>
                </c:pt>
                <c:pt idx="2">
                  <c:v>13.2</c:v>
                </c:pt>
                <c:pt idx="3">
                  <c:v>22.9</c:v>
                </c:pt>
                <c:pt idx="4">
                  <c:v>65.7</c:v>
                </c:pt>
                <c:pt idx="5">
                  <c:v>11.4</c:v>
                </c:pt>
                <c:pt idx="6">
                  <c:v>58</c:v>
                </c:pt>
                <c:pt idx="7">
                  <c:v>37.700000000000003</c:v>
                </c:pt>
                <c:pt idx="8">
                  <c:v>4.3</c:v>
                </c:pt>
              </c:numCache>
            </c:numRef>
          </c:val>
          <c:extLst>
            <c:ext xmlns:c16="http://schemas.microsoft.com/office/drawing/2014/chart" uri="{C3380CC4-5D6E-409C-BE32-E72D297353CC}">
              <c16:uniqueId val="{00000001-91E6-354F-8D5F-806DE585A2DE}"/>
            </c:ext>
          </c:extLst>
        </c:ser>
        <c:ser>
          <c:idx val="2"/>
          <c:order val="2"/>
          <c:tx>
            <c:strRef>
              <c:f>Sheet1!$E$111</c:f>
              <c:strCache>
                <c:ptCount val="1"/>
                <c:pt idx="0">
                  <c:v>EQ-5D P/D: improved</c:v>
                </c:pt>
              </c:strCache>
            </c:strRef>
          </c:tx>
          <c:spPr>
            <a:solidFill>
              <a:schemeClr val="accent3"/>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Sheet1!$B$112:$B$120</c:f>
              <c:strCache>
                <c:ptCount val="9"/>
                <c:pt idx="0">
                  <c:v>PwD function same</c:v>
                </c:pt>
                <c:pt idx="1">
                  <c:v>PwD function worse</c:v>
                </c:pt>
                <c:pt idx="2">
                  <c:v>PwD function improved</c:v>
                </c:pt>
                <c:pt idx="3">
                  <c:v>PR function same</c:v>
                </c:pt>
                <c:pt idx="4">
                  <c:v>PR function worse</c:v>
                </c:pt>
                <c:pt idx="5">
                  <c:v>PR function improved</c:v>
                </c:pt>
                <c:pt idx="6">
                  <c:v>ST function same</c:v>
                </c:pt>
                <c:pt idx="7">
                  <c:v>ST function worse </c:v>
                </c:pt>
                <c:pt idx="8">
                  <c:v>ST function improved</c:v>
                </c:pt>
              </c:strCache>
            </c:strRef>
          </c:cat>
          <c:val>
            <c:numRef>
              <c:f>Sheet1!$E$112:$E$120</c:f>
              <c:numCache>
                <c:formatCode>General</c:formatCode>
                <c:ptCount val="9"/>
                <c:pt idx="0">
                  <c:v>27</c:v>
                </c:pt>
                <c:pt idx="1">
                  <c:v>62.9</c:v>
                </c:pt>
                <c:pt idx="2">
                  <c:v>10.1</c:v>
                </c:pt>
                <c:pt idx="3">
                  <c:v>18.7</c:v>
                </c:pt>
                <c:pt idx="4">
                  <c:v>70.3</c:v>
                </c:pt>
                <c:pt idx="5">
                  <c:v>11</c:v>
                </c:pt>
                <c:pt idx="6">
                  <c:v>57.3</c:v>
                </c:pt>
                <c:pt idx="7">
                  <c:v>36.6</c:v>
                </c:pt>
                <c:pt idx="8">
                  <c:v>6.1</c:v>
                </c:pt>
              </c:numCache>
            </c:numRef>
          </c:val>
          <c:extLst>
            <c:ext xmlns:c16="http://schemas.microsoft.com/office/drawing/2014/chart" uri="{C3380CC4-5D6E-409C-BE32-E72D297353CC}">
              <c16:uniqueId val="{00000002-91E6-354F-8D5F-806DE585A2DE}"/>
            </c:ext>
          </c:extLst>
        </c:ser>
        <c:dLbls>
          <c:dLblPos val="outEnd"/>
          <c:showLegendKey val="0"/>
          <c:showVal val="1"/>
          <c:showCatName val="0"/>
          <c:showSerName val="0"/>
          <c:showPercent val="0"/>
          <c:showBubbleSize val="0"/>
        </c:dLbls>
        <c:gapWidth val="444"/>
        <c:overlap val="-90"/>
        <c:axId val="1471477680"/>
        <c:axId val="1471479328"/>
      </c:barChart>
      <c:catAx>
        <c:axId val="147147768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n-US"/>
          </a:p>
        </c:txPr>
        <c:crossAx val="1471479328"/>
        <c:crosses val="autoZero"/>
        <c:auto val="1"/>
        <c:lblAlgn val="ctr"/>
        <c:lblOffset val="100"/>
        <c:noMultiLvlLbl val="0"/>
      </c:catAx>
      <c:valAx>
        <c:axId val="1471479328"/>
        <c:scaling>
          <c:orientation val="minMax"/>
        </c:scaling>
        <c:delete val="1"/>
        <c:axPos val="l"/>
        <c:numFmt formatCode="General" sourceLinked="1"/>
        <c:majorTickMark val="none"/>
        <c:minorTickMark val="none"/>
        <c:tickLblPos val="nextTo"/>
        <c:crossAx val="1471477680"/>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en-GB" sz="1000" b="1" i="0" cap="all" baseline="0">
                <a:effectLst/>
              </a:rPr>
              <a:t>direction of behaviour/mood progression by pain/discomfort dimension reporting </a:t>
            </a:r>
          </a:p>
        </c:rich>
      </c:tx>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Sheet1!$C$99</c:f>
              <c:strCache>
                <c:ptCount val="1"/>
                <c:pt idx="0">
                  <c:v>EQ-5D P/D: no change</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Sheet1!$B$100:$B$108</c:f>
              <c:strCache>
                <c:ptCount val="9"/>
                <c:pt idx="0">
                  <c:v>PwD B/M same</c:v>
                </c:pt>
                <c:pt idx="1">
                  <c:v>PwD B/M worse</c:v>
                </c:pt>
                <c:pt idx="2">
                  <c:v>PwD B/M improved</c:v>
                </c:pt>
                <c:pt idx="3">
                  <c:v>PR B/M same</c:v>
                </c:pt>
                <c:pt idx="4">
                  <c:v>PR B/M worse</c:v>
                </c:pt>
                <c:pt idx="5">
                  <c:v>PR B/M improved</c:v>
                </c:pt>
                <c:pt idx="6">
                  <c:v>ST B/M same</c:v>
                </c:pt>
                <c:pt idx="7">
                  <c:v>ST B/M worse </c:v>
                </c:pt>
                <c:pt idx="8">
                  <c:v>ST B/W improved</c:v>
                </c:pt>
              </c:strCache>
            </c:strRef>
          </c:cat>
          <c:val>
            <c:numRef>
              <c:f>Sheet1!$C$100:$C$108</c:f>
              <c:numCache>
                <c:formatCode>General</c:formatCode>
                <c:ptCount val="9"/>
                <c:pt idx="0">
                  <c:v>11.1</c:v>
                </c:pt>
                <c:pt idx="1">
                  <c:v>45.7</c:v>
                </c:pt>
                <c:pt idx="2">
                  <c:v>43.2</c:v>
                </c:pt>
                <c:pt idx="3">
                  <c:v>9.1</c:v>
                </c:pt>
                <c:pt idx="4">
                  <c:v>47.4</c:v>
                </c:pt>
                <c:pt idx="5">
                  <c:v>43.5</c:v>
                </c:pt>
                <c:pt idx="6">
                  <c:v>11.5</c:v>
                </c:pt>
                <c:pt idx="7">
                  <c:v>41</c:v>
                </c:pt>
                <c:pt idx="8">
                  <c:v>47.5</c:v>
                </c:pt>
              </c:numCache>
            </c:numRef>
          </c:val>
          <c:extLst>
            <c:ext xmlns:c16="http://schemas.microsoft.com/office/drawing/2014/chart" uri="{C3380CC4-5D6E-409C-BE32-E72D297353CC}">
              <c16:uniqueId val="{00000000-D930-844D-A096-9F448BE06CBF}"/>
            </c:ext>
          </c:extLst>
        </c:ser>
        <c:ser>
          <c:idx val="1"/>
          <c:order val="1"/>
          <c:tx>
            <c:strRef>
              <c:f>Sheet1!$D$99</c:f>
              <c:strCache>
                <c:ptCount val="1"/>
                <c:pt idx="0">
                  <c:v>EQ-5D P/D: worse</c:v>
                </c:pt>
              </c:strCache>
            </c:strRef>
          </c:tx>
          <c:spPr>
            <a:solidFill>
              <a:schemeClr val="accent2"/>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Sheet1!$B$100:$B$108</c:f>
              <c:strCache>
                <c:ptCount val="9"/>
                <c:pt idx="0">
                  <c:v>PwD B/M same</c:v>
                </c:pt>
                <c:pt idx="1">
                  <c:v>PwD B/M worse</c:v>
                </c:pt>
                <c:pt idx="2">
                  <c:v>PwD B/M improved</c:v>
                </c:pt>
                <c:pt idx="3">
                  <c:v>PR B/M same</c:v>
                </c:pt>
                <c:pt idx="4">
                  <c:v>PR B/M worse</c:v>
                </c:pt>
                <c:pt idx="5">
                  <c:v>PR B/M improved</c:v>
                </c:pt>
                <c:pt idx="6">
                  <c:v>ST B/M same</c:v>
                </c:pt>
                <c:pt idx="7">
                  <c:v>ST B/M worse </c:v>
                </c:pt>
                <c:pt idx="8">
                  <c:v>ST B/W improved</c:v>
                </c:pt>
              </c:strCache>
            </c:strRef>
          </c:cat>
          <c:val>
            <c:numRef>
              <c:f>Sheet1!$D$100:$D$108</c:f>
              <c:numCache>
                <c:formatCode>General</c:formatCode>
                <c:ptCount val="9"/>
                <c:pt idx="0">
                  <c:v>7.1</c:v>
                </c:pt>
                <c:pt idx="1">
                  <c:v>58.2</c:v>
                </c:pt>
                <c:pt idx="2">
                  <c:v>34.700000000000003</c:v>
                </c:pt>
                <c:pt idx="3">
                  <c:v>3.7</c:v>
                </c:pt>
                <c:pt idx="4">
                  <c:v>52.8</c:v>
                </c:pt>
                <c:pt idx="5">
                  <c:v>43.5</c:v>
                </c:pt>
                <c:pt idx="6">
                  <c:v>4.4000000000000004</c:v>
                </c:pt>
                <c:pt idx="7">
                  <c:v>50.7</c:v>
                </c:pt>
                <c:pt idx="8">
                  <c:v>44.9</c:v>
                </c:pt>
              </c:numCache>
            </c:numRef>
          </c:val>
          <c:extLst>
            <c:ext xmlns:c16="http://schemas.microsoft.com/office/drawing/2014/chart" uri="{C3380CC4-5D6E-409C-BE32-E72D297353CC}">
              <c16:uniqueId val="{00000001-D930-844D-A096-9F448BE06CBF}"/>
            </c:ext>
          </c:extLst>
        </c:ser>
        <c:ser>
          <c:idx val="2"/>
          <c:order val="2"/>
          <c:tx>
            <c:strRef>
              <c:f>Sheet1!$E$99</c:f>
              <c:strCache>
                <c:ptCount val="1"/>
                <c:pt idx="0">
                  <c:v>EQ-5D P/D: improved</c:v>
                </c:pt>
              </c:strCache>
            </c:strRef>
          </c:tx>
          <c:spPr>
            <a:solidFill>
              <a:schemeClr val="accent3"/>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Sheet1!$B$100:$B$108</c:f>
              <c:strCache>
                <c:ptCount val="9"/>
                <c:pt idx="0">
                  <c:v>PwD B/M same</c:v>
                </c:pt>
                <c:pt idx="1">
                  <c:v>PwD B/M worse</c:v>
                </c:pt>
                <c:pt idx="2">
                  <c:v>PwD B/M improved</c:v>
                </c:pt>
                <c:pt idx="3">
                  <c:v>PR B/M same</c:v>
                </c:pt>
                <c:pt idx="4">
                  <c:v>PR B/M worse</c:v>
                </c:pt>
                <c:pt idx="5">
                  <c:v>PR B/M improved</c:v>
                </c:pt>
                <c:pt idx="6">
                  <c:v>ST B/M same</c:v>
                </c:pt>
                <c:pt idx="7">
                  <c:v>ST B/M worse </c:v>
                </c:pt>
                <c:pt idx="8">
                  <c:v>ST B/W improved</c:v>
                </c:pt>
              </c:strCache>
            </c:strRef>
          </c:cat>
          <c:val>
            <c:numRef>
              <c:f>Sheet1!$E$100:$E$108</c:f>
              <c:numCache>
                <c:formatCode>General</c:formatCode>
                <c:ptCount val="9"/>
                <c:pt idx="0">
                  <c:v>10.5</c:v>
                </c:pt>
                <c:pt idx="1">
                  <c:v>50.5</c:v>
                </c:pt>
                <c:pt idx="2">
                  <c:v>39</c:v>
                </c:pt>
                <c:pt idx="3">
                  <c:v>9.1999999999999993</c:v>
                </c:pt>
                <c:pt idx="4">
                  <c:v>45.4</c:v>
                </c:pt>
                <c:pt idx="5">
                  <c:v>45.4</c:v>
                </c:pt>
                <c:pt idx="6">
                  <c:v>11.8</c:v>
                </c:pt>
                <c:pt idx="7">
                  <c:v>31.8</c:v>
                </c:pt>
                <c:pt idx="8">
                  <c:v>56.4</c:v>
                </c:pt>
              </c:numCache>
            </c:numRef>
          </c:val>
          <c:extLst>
            <c:ext xmlns:c16="http://schemas.microsoft.com/office/drawing/2014/chart" uri="{C3380CC4-5D6E-409C-BE32-E72D297353CC}">
              <c16:uniqueId val="{00000002-D930-844D-A096-9F448BE06CBF}"/>
            </c:ext>
          </c:extLst>
        </c:ser>
        <c:dLbls>
          <c:dLblPos val="outEnd"/>
          <c:showLegendKey val="0"/>
          <c:showVal val="1"/>
          <c:showCatName val="0"/>
          <c:showSerName val="0"/>
          <c:showPercent val="0"/>
          <c:showBubbleSize val="0"/>
        </c:dLbls>
        <c:gapWidth val="444"/>
        <c:overlap val="-90"/>
        <c:axId val="1507846144"/>
        <c:axId val="1507847792"/>
      </c:barChart>
      <c:catAx>
        <c:axId val="150784614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n-US"/>
          </a:p>
        </c:txPr>
        <c:crossAx val="1507847792"/>
        <c:crosses val="autoZero"/>
        <c:auto val="1"/>
        <c:lblAlgn val="ctr"/>
        <c:lblOffset val="100"/>
        <c:noMultiLvlLbl val="0"/>
      </c:catAx>
      <c:valAx>
        <c:axId val="1507847792"/>
        <c:scaling>
          <c:orientation val="minMax"/>
        </c:scaling>
        <c:delete val="1"/>
        <c:axPos val="l"/>
        <c:numFmt formatCode="General" sourceLinked="1"/>
        <c:majorTickMark val="none"/>
        <c:minorTickMark val="none"/>
        <c:tickLblPos val="nextTo"/>
        <c:crossAx val="150784614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en-GB" sz="1000"/>
              <a:t>direction of anxiety/depression change from t0 to t2</a:t>
            </a:r>
          </a:p>
        </c:rich>
      </c:tx>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Sheet1!$A$28</c:f>
              <c:strCache>
                <c:ptCount val="1"/>
                <c:pt idx="0">
                  <c:v>Stayed the same</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Sheet1!$B$27:$D$27</c:f>
              <c:strCache>
                <c:ptCount val="3"/>
                <c:pt idx="0">
                  <c:v>PwD, n=442</c:v>
                </c:pt>
                <c:pt idx="1">
                  <c:v>Informal proxy, n=418</c:v>
                </c:pt>
                <c:pt idx="2">
                  <c:v>Staff proxy, n=398</c:v>
                </c:pt>
              </c:strCache>
            </c:strRef>
          </c:cat>
          <c:val>
            <c:numRef>
              <c:f>Sheet1!$B$28:$D$28</c:f>
              <c:numCache>
                <c:formatCode>General</c:formatCode>
                <c:ptCount val="3"/>
                <c:pt idx="0">
                  <c:v>60.9</c:v>
                </c:pt>
                <c:pt idx="1">
                  <c:v>50.5</c:v>
                </c:pt>
                <c:pt idx="2">
                  <c:v>65.8</c:v>
                </c:pt>
              </c:numCache>
            </c:numRef>
          </c:val>
          <c:extLst>
            <c:ext xmlns:c16="http://schemas.microsoft.com/office/drawing/2014/chart" uri="{C3380CC4-5D6E-409C-BE32-E72D297353CC}">
              <c16:uniqueId val="{00000000-A01D-D64A-9772-21FC8E391661}"/>
            </c:ext>
          </c:extLst>
        </c:ser>
        <c:ser>
          <c:idx val="1"/>
          <c:order val="1"/>
          <c:tx>
            <c:strRef>
              <c:f>Sheet1!$A$29</c:f>
              <c:strCache>
                <c:ptCount val="1"/>
                <c:pt idx="0">
                  <c:v>Worsened</c:v>
                </c:pt>
              </c:strCache>
            </c:strRef>
          </c:tx>
          <c:spPr>
            <a:solidFill>
              <a:schemeClr val="accent2"/>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Sheet1!$B$27:$D$27</c:f>
              <c:strCache>
                <c:ptCount val="3"/>
                <c:pt idx="0">
                  <c:v>PwD, n=442</c:v>
                </c:pt>
                <c:pt idx="1">
                  <c:v>Informal proxy, n=418</c:v>
                </c:pt>
                <c:pt idx="2">
                  <c:v>Staff proxy, n=398</c:v>
                </c:pt>
              </c:strCache>
            </c:strRef>
          </c:cat>
          <c:val>
            <c:numRef>
              <c:f>Sheet1!$B$29:$D$29</c:f>
              <c:numCache>
                <c:formatCode>General</c:formatCode>
                <c:ptCount val="3"/>
                <c:pt idx="0">
                  <c:v>18.600000000000001</c:v>
                </c:pt>
                <c:pt idx="1">
                  <c:v>26</c:v>
                </c:pt>
                <c:pt idx="2">
                  <c:v>11.8</c:v>
                </c:pt>
              </c:numCache>
            </c:numRef>
          </c:val>
          <c:extLst>
            <c:ext xmlns:c16="http://schemas.microsoft.com/office/drawing/2014/chart" uri="{C3380CC4-5D6E-409C-BE32-E72D297353CC}">
              <c16:uniqueId val="{00000001-A01D-D64A-9772-21FC8E391661}"/>
            </c:ext>
          </c:extLst>
        </c:ser>
        <c:ser>
          <c:idx val="2"/>
          <c:order val="2"/>
          <c:tx>
            <c:strRef>
              <c:f>Sheet1!$A$30</c:f>
              <c:strCache>
                <c:ptCount val="1"/>
                <c:pt idx="0">
                  <c:v>Improved</c:v>
                </c:pt>
              </c:strCache>
            </c:strRef>
          </c:tx>
          <c:spPr>
            <a:solidFill>
              <a:schemeClr val="accent3"/>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Sheet1!$B$27:$D$27</c:f>
              <c:strCache>
                <c:ptCount val="3"/>
                <c:pt idx="0">
                  <c:v>PwD, n=442</c:v>
                </c:pt>
                <c:pt idx="1">
                  <c:v>Informal proxy, n=418</c:v>
                </c:pt>
                <c:pt idx="2">
                  <c:v>Staff proxy, n=398</c:v>
                </c:pt>
              </c:strCache>
            </c:strRef>
          </c:cat>
          <c:val>
            <c:numRef>
              <c:f>Sheet1!$B$30:$D$30</c:f>
              <c:numCache>
                <c:formatCode>General</c:formatCode>
                <c:ptCount val="3"/>
                <c:pt idx="0">
                  <c:v>20.5</c:v>
                </c:pt>
                <c:pt idx="1">
                  <c:v>23.5</c:v>
                </c:pt>
                <c:pt idx="2">
                  <c:v>22.4</c:v>
                </c:pt>
              </c:numCache>
            </c:numRef>
          </c:val>
          <c:extLst>
            <c:ext xmlns:c16="http://schemas.microsoft.com/office/drawing/2014/chart" uri="{C3380CC4-5D6E-409C-BE32-E72D297353CC}">
              <c16:uniqueId val="{00000002-A01D-D64A-9772-21FC8E391661}"/>
            </c:ext>
          </c:extLst>
        </c:ser>
        <c:dLbls>
          <c:dLblPos val="outEnd"/>
          <c:showLegendKey val="0"/>
          <c:showVal val="1"/>
          <c:showCatName val="0"/>
          <c:showSerName val="0"/>
          <c:showPercent val="0"/>
          <c:showBubbleSize val="0"/>
        </c:dLbls>
        <c:gapWidth val="444"/>
        <c:overlap val="-90"/>
        <c:axId val="1895174016"/>
        <c:axId val="1895109968"/>
      </c:barChart>
      <c:catAx>
        <c:axId val="189517401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n-US"/>
          </a:p>
        </c:txPr>
        <c:crossAx val="1895109968"/>
        <c:crosses val="autoZero"/>
        <c:auto val="1"/>
        <c:lblAlgn val="ctr"/>
        <c:lblOffset val="100"/>
        <c:noMultiLvlLbl val="0"/>
      </c:catAx>
      <c:valAx>
        <c:axId val="1895109968"/>
        <c:scaling>
          <c:orientation val="minMax"/>
        </c:scaling>
        <c:delete val="1"/>
        <c:axPos val="l"/>
        <c:numFmt formatCode="General" sourceLinked="1"/>
        <c:majorTickMark val="none"/>
        <c:minorTickMark val="none"/>
        <c:tickLblPos val="nextTo"/>
        <c:crossAx val="1895174016"/>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en-GB" sz="1000"/>
              <a:t>direction of behaviour/mood</a:t>
            </a:r>
            <a:r>
              <a:rPr lang="en-GB" sz="1000" baseline="0"/>
              <a:t> progression by anxiety/depression reporting</a:t>
            </a:r>
            <a:endParaRPr lang="en-GB" sz="1000"/>
          </a:p>
        </c:rich>
      </c:tx>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Sheet1!$C$125</c:f>
              <c:strCache>
                <c:ptCount val="1"/>
                <c:pt idx="0">
                  <c:v>EQ-5D A/D: no change</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Sheet1!$B$126:$B$134</c:f>
              <c:strCache>
                <c:ptCount val="9"/>
                <c:pt idx="0">
                  <c:v>PwD B/M same</c:v>
                </c:pt>
                <c:pt idx="1">
                  <c:v>PwD B/M worse</c:v>
                </c:pt>
                <c:pt idx="2">
                  <c:v>PwD B/M improved</c:v>
                </c:pt>
                <c:pt idx="3">
                  <c:v>PR B/M same</c:v>
                </c:pt>
                <c:pt idx="4">
                  <c:v>PR B/M worse</c:v>
                </c:pt>
                <c:pt idx="5">
                  <c:v>PR B/M improved</c:v>
                </c:pt>
                <c:pt idx="6">
                  <c:v>ST B/M same</c:v>
                </c:pt>
                <c:pt idx="7">
                  <c:v>ST B/M worse </c:v>
                </c:pt>
                <c:pt idx="8">
                  <c:v>ST B/W improved</c:v>
                </c:pt>
              </c:strCache>
            </c:strRef>
          </c:cat>
          <c:val>
            <c:numRef>
              <c:f>Sheet1!$C$126:$C$134</c:f>
              <c:numCache>
                <c:formatCode>General</c:formatCode>
                <c:ptCount val="9"/>
                <c:pt idx="0">
                  <c:v>12.8</c:v>
                </c:pt>
                <c:pt idx="1">
                  <c:v>46.2</c:v>
                </c:pt>
                <c:pt idx="2">
                  <c:v>41</c:v>
                </c:pt>
                <c:pt idx="3">
                  <c:v>11</c:v>
                </c:pt>
                <c:pt idx="4">
                  <c:v>46.4</c:v>
                </c:pt>
                <c:pt idx="5">
                  <c:v>42.6</c:v>
                </c:pt>
                <c:pt idx="6">
                  <c:v>13</c:v>
                </c:pt>
                <c:pt idx="7">
                  <c:v>39.700000000000003</c:v>
                </c:pt>
                <c:pt idx="8">
                  <c:v>47.3</c:v>
                </c:pt>
              </c:numCache>
            </c:numRef>
          </c:val>
          <c:extLst>
            <c:ext xmlns:c16="http://schemas.microsoft.com/office/drawing/2014/chart" uri="{C3380CC4-5D6E-409C-BE32-E72D297353CC}">
              <c16:uniqueId val="{00000000-6DD3-E540-B2DE-93B1A350803F}"/>
            </c:ext>
          </c:extLst>
        </c:ser>
        <c:ser>
          <c:idx val="1"/>
          <c:order val="1"/>
          <c:tx>
            <c:strRef>
              <c:f>Sheet1!$D$125</c:f>
              <c:strCache>
                <c:ptCount val="1"/>
                <c:pt idx="0">
                  <c:v>EQ-5D A/D: worse</c:v>
                </c:pt>
              </c:strCache>
            </c:strRef>
          </c:tx>
          <c:spPr>
            <a:solidFill>
              <a:schemeClr val="accent2"/>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Sheet1!$B$126:$B$134</c:f>
              <c:strCache>
                <c:ptCount val="9"/>
                <c:pt idx="0">
                  <c:v>PwD B/M same</c:v>
                </c:pt>
                <c:pt idx="1">
                  <c:v>PwD B/M worse</c:v>
                </c:pt>
                <c:pt idx="2">
                  <c:v>PwD B/M improved</c:v>
                </c:pt>
                <c:pt idx="3">
                  <c:v>PR B/M same</c:v>
                </c:pt>
                <c:pt idx="4">
                  <c:v>PR B/M worse</c:v>
                </c:pt>
                <c:pt idx="5">
                  <c:v>PR B/M improved</c:v>
                </c:pt>
                <c:pt idx="6">
                  <c:v>ST B/M same</c:v>
                </c:pt>
                <c:pt idx="7">
                  <c:v>ST B/M worse </c:v>
                </c:pt>
                <c:pt idx="8">
                  <c:v>ST B/W improved</c:v>
                </c:pt>
              </c:strCache>
            </c:strRef>
          </c:cat>
          <c:val>
            <c:numRef>
              <c:f>Sheet1!$D$126:$D$134</c:f>
              <c:numCache>
                <c:formatCode>General</c:formatCode>
                <c:ptCount val="9"/>
                <c:pt idx="0">
                  <c:v>3.7</c:v>
                </c:pt>
                <c:pt idx="1">
                  <c:v>61</c:v>
                </c:pt>
                <c:pt idx="2">
                  <c:v>35.299999999999997</c:v>
                </c:pt>
                <c:pt idx="3">
                  <c:v>5.6</c:v>
                </c:pt>
                <c:pt idx="4">
                  <c:v>58.3</c:v>
                </c:pt>
                <c:pt idx="5">
                  <c:v>36.1</c:v>
                </c:pt>
                <c:pt idx="6">
                  <c:v>2.1</c:v>
                </c:pt>
                <c:pt idx="7">
                  <c:v>70.2</c:v>
                </c:pt>
                <c:pt idx="8">
                  <c:v>27.6</c:v>
                </c:pt>
              </c:numCache>
            </c:numRef>
          </c:val>
          <c:extLst>
            <c:ext xmlns:c16="http://schemas.microsoft.com/office/drawing/2014/chart" uri="{C3380CC4-5D6E-409C-BE32-E72D297353CC}">
              <c16:uniqueId val="{00000001-6DD3-E540-B2DE-93B1A350803F}"/>
            </c:ext>
          </c:extLst>
        </c:ser>
        <c:ser>
          <c:idx val="2"/>
          <c:order val="2"/>
          <c:tx>
            <c:strRef>
              <c:f>Sheet1!$E$125</c:f>
              <c:strCache>
                <c:ptCount val="1"/>
                <c:pt idx="0">
                  <c:v>EQ-5D A/D: improved</c:v>
                </c:pt>
              </c:strCache>
            </c:strRef>
          </c:tx>
          <c:spPr>
            <a:solidFill>
              <a:schemeClr val="accent3"/>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Sheet1!$B$126:$B$134</c:f>
              <c:strCache>
                <c:ptCount val="9"/>
                <c:pt idx="0">
                  <c:v>PwD B/M same</c:v>
                </c:pt>
                <c:pt idx="1">
                  <c:v>PwD B/M worse</c:v>
                </c:pt>
                <c:pt idx="2">
                  <c:v>PwD B/M improved</c:v>
                </c:pt>
                <c:pt idx="3">
                  <c:v>PR B/M same</c:v>
                </c:pt>
                <c:pt idx="4">
                  <c:v>PR B/M worse</c:v>
                </c:pt>
                <c:pt idx="5">
                  <c:v>PR B/M improved</c:v>
                </c:pt>
                <c:pt idx="6">
                  <c:v>ST B/M same</c:v>
                </c:pt>
                <c:pt idx="7">
                  <c:v>ST B/M worse </c:v>
                </c:pt>
                <c:pt idx="8">
                  <c:v>ST B/W improved</c:v>
                </c:pt>
              </c:strCache>
            </c:strRef>
          </c:cat>
          <c:val>
            <c:numRef>
              <c:f>Sheet1!$E$126:$E$134</c:f>
              <c:numCache>
                <c:formatCode>General</c:formatCode>
                <c:ptCount val="9"/>
                <c:pt idx="0">
                  <c:v>8.9</c:v>
                </c:pt>
                <c:pt idx="1">
                  <c:v>47.8</c:v>
                </c:pt>
                <c:pt idx="2">
                  <c:v>43.3</c:v>
                </c:pt>
                <c:pt idx="3">
                  <c:v>3.1</c:v>
                </c:pt>
                <c:pt idx="4">
                  <c:v>39.200000000000003</c:v>
                </c:pt>
                <c:pt idx="5">
                  <c:v>57.7</c:v>
                </c:pt>
                <c:pt idx="6">
                  <c:v>6.7</c:v>
                </c:pt>
                <c:pt idx="7">
                  <c:v>28.1</c:v>
                </c:pt>
                <c:pt idx="8">
                  <c:v>65.2</c:v>
                </c:pt>
              </c:numCache>
            </c:numRef>
          </c:val>
          <c:extLst>
            <c:ext xmlns:c16="http://schemas.microsoft.com/office/drawing/2014/chart" uri="{C3380CC4-5D6E-409C-BE32-E72D297353CC}">
              <c16:uniqueId val="{00000002-6DD3-E540-B2DE-93B1A350803F}"/>
            </c:ext>
          </c:extLst>
        </c:ser>
        <c:dLbls>
          <c:dLblPos val="outEnd"/>
          <c:showLegendKey val="0"/>
          <c:showVal val="1"/>
          <c:showCatName val="0"/>
          <c:showSerName val="0"/>
          <c:showPercent val="0"/>
          <c:showBubbleSize val="0"/>
        </c:dLbls>
        <c:gapWidth val="444"/>
        <c:overlap val="-90"/>
        <c:axId val="1509015936"/>
        <c:axId val="1509269952"/>
      </c:barChart>
      <c:catAx>
        <c:axId val="150901593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n-US"/>
          </a:p>
        </c:txPr>
        <c:crossAx val="1509269952"/>
        <c:crosses val="autoZero"/>
        <c:auto val="1"/>
        <c:lblAlgn val="ctr"/>
        <c:lblOffset val="100"/>
        <c:noMultiLvlLbl val="0"/>
      </c:catAx>
      <c:valAx>
        <c:axId val="1509269952"/>
        <c:scaling>
          <c:orientation val="minMax"/>
        </c:scaling>
        <c:delete val="1"/>
        <c:axPos val="l"/>
        <c:numFmt formatCode="General" sourceLinked="1"/>
        <c:majorTickMark val="none"/>
        <c:minorTickMark val="none"/>
        <c:tickLblPos val="nextTo"/>
        <c:crossAx val="1509015936"/>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en-GB" sz="1000"/>
              <a:t>direction of cognition</a:t>
            </a:r>
            <a:r>
              <a:rPr lang="en-GB" sz="1000" baseline="0"/>
              <a:t> </a:t>
            </a:r>
            <a:r>
              <a:rPr lang="en-GB" sz="1000"/>
              <a:t>progression by anxiety/depression dimension reporting </a:t>
            </a:r>
          </a:p>
        </c:rich>
      </c:tx>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Sheet1!$B$16</c:f>
              <c:strCache>
                <c:ptCount val="1"/>
                <c:pt idx="0">
                  <c:v>EQ-5D A/D: no change</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Sheet1!$A$17:$A$22</c:f>
              <c:strCache>
                <c:ptCount val="6"/>
                <c:pt idx="0">
                  <c:v>PwD cog same</c:v>
                </c:pt>
                <c:pt idx="1">
                  <c:v>PwD cog worse </c:v>
                </c:pt>
                <c:pt idx="2">
                  <c:v>PwD cog improved </c:v>
                </c:pt>
                <c:pt idx="3">
                  <c:v>Pr cog same</c:v>
                </c:pt>
                <c:pt idx="4">
                  <c:v>Pr cog worse</c:v>
                </c:pt>
                <c:pt idx="5">
                  <c:v>Pr cog improved</c:v>
                </c:pt>
              </c:strCache>
            </c:strRef>
          </c:cat>
          <c:val>
            <c:numRef>
              <c:f>Sheet1!$B$17:$B$22</c:f>
              <c:numCache>
                <c:formatCode>General</c:formatCode>
                <c:ptCount val="6"/>
                <c:pt idx="0">
                  <c:v>13.2</c:v>
                </c:pt>
                <c:pt idx="1">
                  <c:v>56.6</c:v>
                </c:pt>
                <c:pt idx="2">
                  <c:v>30.2</c:v>
                </c:pt>
                <c:pt idx="3">
                  <c:v>10.199999999999999</c:v>
                </c:pt>
                <c:pt idx="4">
                  <c:v>64.2</c:v>
                </c:pt>
                <c:pt idx="5">
                  <c:v>25.6</c:v>
                </c:pt>
              </c:numCache>
            </c:numRef>
          </c:val>
          <c:extLst>
            <c:ext xmlns:c16="http://schemas.microsoft.com/office/drawing/2014/chart" uri="{C3380CC4-5D6E-409C-BE32-E72D297353CC}">
              <c16:uniqueId val="{00000000-E04E-3147-BF2D-52EA00DAC686}"/>
            </c:ext>
          </c:extLst>
        </c:ser>
        <c:ser>
          <c:idx val="1"/>
          <c:order val="1"/>
          <c:tx>
            <c:strRef>
              <c:f>Sheet1!$C$16</c:f>
              <c:strCache>
                <c:ptCount val="1"/>
                <c:pt idx="0">
                  <c:v>EQ-5D A/D: worse</c:v>
                </c:pt>
              </c:strCache>
            </c:strRef>
          </c:tx>
          <c:spPr>
            <a:solidFill>
              <a:schemeClr val="accent2"/>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Sheet1!$A$17:$A$22</c:f>
              <c:strCache>
                <c:ptCount val="6"/>
                <c:pt idx="0">
                  <c:v>PwD cog same</c:v>
                </c:pt>
                <c:pt idx="1">
                  <c:v>PwD cog worse </c:v>
                </c:pt>
                <c:pt idx="2">
                  <c:v>PwD cog improved </c:v>
                </c:pt>
                <c:pt idx="3">
                  <c:v>Pr cog same</c:v>
                </c:pt>
                <c:pt idx="4">
                  <c:v>Pr cog worse</c:v>
                </c:pt>
                <c:pt idx="5">
                  <c:v>Pr cog improved</c:v>
                </c:pt>
              </c:strCache>
            </c:strRef>
          </c:cat>
          <c:val>
            <c:numRef>
              <c:f>Sheet1!$C$17:$C$22</c:f>
              <c:numCache>
                <c:formatCode>General</c:formatCode>
                <c:ptCount val="6"/>
                <c:pt idx="0">
                  <c:v>7.4</c:v>
                </c:pt>
                <c:pt idx="1">
                  <c:v>64.8</c:v>
                </c:pt>
                <c:pt idx="2">
                  <c:v>27.8</c:v>
                </c:pt>
                <c:pt idx="3">
                  <c:v>12.3</c:v>
                </c:pt>
                <c:pt idx="4">
                  <c:v>50.8</c:v>
                </c:pt>
                <c:pt idx="5">
                  <c:v>36.9</c:v>
                </c:pt>
              </c:numCache>
            </c:numRef>
          </c:val>
          <c:extLst>
            <c:ext xmlns:c16="http://schemas.microsoft.com/office/drawing/2014/chart" uri="{C3380CC4-5D6E-409C-BE32-E72D297353CC}">
              <c16:uniqueId val="{00000001-E04E-3147-BF2D-52EA00DAC686}"/>
            </c:ext>
          </c:extLst>
        </c:ser>
        <c:ser>
          <c:idx val="2"/>
          <c:order val="2"/>
          <c:tx>
            <c:strRef>
              <c:f>Sheet1!$D$16</c:f>
              <c:strCache>
                <c:ptCount val="1"/>
                <c:pt idx="0">
                  <c:v>EQ-5D A/D: improved</c:v>
                </c:pt>
              </c:strCache>
            </c:strRef>
          </c:tx>
          <c:spPr>
            <a:solidFill>
              <a:schemeClr val="accent3"/>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Sheet1!$A$17:$A$22</c:f>
              <c:strCache>
                <c:ptCount val="6"/>
                <c:pt idx="0">
                  <c:v>PwD cog same</c:v>
                </c:pt>
                <c:pt idx="1">
                  <c:v>PwD cog worse </c:v>
                </c:pt>
                <c:pt idx="2">
                  <c:v>PwD cog improved </c:v>
                </c:pt>
                <c:pt idx="3">
                  <c:v>Pr cog same</c:v>
                </c:pt>
                <c:pt idx="4">
                  <c:v>Pr cog worse</c:v>
                </c:pt>
                <c:pt idx="5">
                  <c:v>Pr cog improved</c:v>
                </c:pt>
              </c:strCache>
            </c:strRef>
          </c:cat>
          <c:val>
            <c:numRef>
              <c:f>Sheet1!$D$17:$D$22</c:f>
              <c:numCache>
                <c:formatCode>General</c:formatCode>
                <c:ptCount val="6"/>
                <c:pt idx="0">
                  <c:v>12.7</c:v>
                </c:pt>
                <c:pt idx="1">
                  <c:v>60.3</c:v>
                </c:pt>
                <c:pt idx="2">
                  <c:v>27</c:v>
                </c:pt>
                <c:pt idx="3">
                  <c:v>15.9</c:v>
                </c:pt>
                <c:pt idx="4">
                  <c:v>58</c:v>
                </c:pt>
                <c:pt idx="5">
                  <c:v>26.1</c:v>
                </c:pt>
              </c:numCache>
            </c:numRef>
          </c:val>
          <c:extLst>
            <c:ext xmlns:c16="http://schemas.microsoft.com/office/drawing/2014/chart" uri="{C3380CC4-5D6E-409C-BE32-E72D297353CC}">
              <c16:uniqueId val="{00000002-E04E-3147-BF2D-52EA00DAC686}"/>
            </c:ext>
          </c:extLst>
        </c:ser>
        <c:dLbls>
          <c:dLblPos val="outEnd"/>
          <c:showLegendKey val="0"/>
          <c:showVal val="1"/>
          <c:showCatName val="0"/>
          <c:showSerName val="0"/>
          <c:showPercent val="0"/>
          <c:showBubbleSize val="0"/>
        </c:dLbls>
        <c:gapWidth val="444"/>
        <c:overlap val="-90"/>
        <c:axId val="1404434496"/>
        <c:axId val="1389971392"/>
      </c:barChart>
      <c:catAx>
        <c:axId val="140443449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n-US"/>
          </a:p>
        </c:txPr>
        <c:crossAx val="1389971392"/>
        <c:crosses val="autoZero"/>
        <c:auto val="1"/>
        <c:lblAlgn val="ctr"/>
        <c:lblOffset val="100"/>
        <c:noMultiLvlLbl val="0"/>
      </c:catAx>
      <c:valAx>
        <c:axId val="1389971392"/>
        <c:scaling>
          <c:orientation val="minMax"/>
        </c:scaling>
        <c:delete val="1"/>
        <c:axPos val="l"/>
        <c:numFmt formatCode="General" sourceLinked="1"/>
        <c:majorTickMark val="none"/>
        <c:minorTickMark val="none"/>
        <c:tickLblPos val="nextTo"/>
        <c:crossAx val="1404434496"/>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en-GB" sz="1000"/>
              <a:t>direction of utility</a:t>
            </a:r>
            <a:r>
              <a:rPr lang="en-GB" sz="1000" baseline="0"/>
              <a:t> change from t0 to t2</a:t>
            </a:r>
            <a:endParaRPr lang="en-GB" sz="1000"/>
          </a:p>
        </c:rich>
      </c:tx>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Sheet1!$A$2</c:f>
              <c:strCache>
                <c:ptCount val="1"/>
                <c:pt idx="0">
                  <c:v>stayed the same</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Sheet1!$B$1:$D$1</c:f>
              <c:strCache>
                <c:ptCount val="3"/>
                <c:pt idx="0">
                  <c:v>PwD, n=733</c:v>
                </c:pt>
                <c:pt idx="1">
                  <c:v>Informal proxy, n=744</c:v>
                </c:pt>
                <c:pt idx="2">
                  <c:v>Staff proxy, n=398</c:v>
                </c:pt>
              </c:strCache>
            </c:strRef>
          </c:cat>
          <c:val>
            <c:numRef>
              <c:f>Sheet1!$B$2:$D$2</c:f>
              <c:numCache>
                <c:formatCode>General</c:formatCode>
                <c:ptCount val="3"/>
                <c:pt idx="0">
                  <c:v>19.7</c:v>
                </c:pt>
                <c:pt idx="1">
                  <c:v>13</c:v>
                </c:pt>
                <c:pt idx="2">
                  <c:v>6.6</c:v>
                </c:pt>
              </c:numCache>
            </c:numRef>
          </c:val>
          <c:extLst>
            <c:ext xmlns:c16="http://schemas.microsoft.com/office/drawing/2014/chart" uri="{C3380CC4-5D6E-409C-BE32-E72D297353CC}">
              <c16:uniqueId val="{00000000-0DB3-BC43-B6EA-D2B32E172FE0}"/>
            </c:ext>
          </c:extLst>
        </c:ser>
        <c:ser>
          <c:idx val="1"/>
          <c:order val="1"/>
          <c:tx>
            <c:strRef>
              <c:f>Sheet1!$A$3</c:f>
              <c:strCache>
                <c:ptCount val="1"/>
                <c:pt idx="0">
                  <c:v>worsened</c:v>
                </c:pt>
              </c:strCache>
            </c:strRef>
          </c:tx>
          <c:spPr>
            <a:solidFill>
              <a:schemeClr val="accent2"/>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Sheet1!$B$1:$D$1</c:f>
              <c:strCache>
                <c:ptCount val="3"/>
                <c:pt idx="0">
                  <c:v>PwD, n=733</c:v>
                </c:pt>
                <c:pt idx="1">
                  <c:v>Informal proxy, n=744</c:v>
                </c:pt>
                <c:pt idx="2">
                  <c:v>Staff proxy, n=398</c:v>
                </c:pt>
              </c:strCache>
            </c:strRef>
          </c:cat>
          <c:val>
            <c:numRef>
              <c:f>Sheet1!$B$3:$D$3</c:f>
              <c:numCache>
                <c:formatCode>General</c:formatCode>
                <c:ptCount val="3"/>
                <c:pt idx="0">
                  <c:v>40.9</c:v>
                </c:pt>
                <c:pt idx="1">
                  <c:v>55.8</c:v>
                </c:pt>
                <c:pt idx="2">
                  <c:v>56.5</c:v>
                </c:pt>
              </c:numCache>
            </c:numRef>
          </c:val>
          <c:extLst>
            <c:ext xmlns:c16="http://schemas.microsoft.com/office/drawing/2014/chart" uri="{C3380CC4-5D6E-409C-BE32-E72D297353CC}">
              <c16:uniqueId val="{00000001-0DB3-BC43-B6EA-D2B32E172FE0}"/>
            </c:ext>
          </c:extLst>
        </c:ser>
        <c:ser>
          <c:idx val="2"/>
          <c:order val="2"/>
          <c:tx>
            <c:strRef>
              <c:f>Sheet1!$A$4</c:f>
              <c:strCache>
                <c:ptCount val="1"/>
                <c:pt idx="0">
                  <c:v>improved</c:v>
                </c:pt>
              </c:strCache>
            </c:strRef>
          </c:tx>
          <c:spPr>
            <a:solidFill>
              <a:schemeClr val="accent3"/>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Sheet1!$B$1:$D$1</c:f>
              <c:strCache>
                <c:ptCount val="3"/>
                <c:pt idx="0">
                  <c:v>PwD, n=733</c:v>
                </c:pt>
                <c:pt idx="1">
                  <c:v>Informal proxy, n=744</c:v>
                </c:pt>
                <c:pt idx="2">
                  <c:v>Staff proxy, n=398</c:v>
                </c:pt>
              </c:strCache>
            </c:strRef>
          </c:cat>
          <c:val>
            <c:numRef>
              <c:f>Sheet1!$B$4:$D$4</c:f>
              <c:numCache>
                <c:formatCode>General</c:formatCode>
                <c:ptCount val="3"/>
                <c:pt idx="0">
                  <c:v>39.4</c:v>
                </c:pt>
                <c:pt idx="1">
                  <c:v>31.2</c:v>
                </c:pt>
                <c:pt idx="2">
                  <c:v>36.9</c:v>
                </c:pt>
              </c:numCache>
            </c:numRef>
          </c:val>
          <c:extLst>
            <c:ext xmlns:c16="http://schemas.microsoft.com/office/drawing/2014/chart" uri="{C3380CC4-5D6E-409C-BE32-E72D297353CC}">
              <c16:uniqueId val="{00000002-0DB3-BC43-B6EA-D2B32E172FE0}"/>
            </c:ext>
          </c:extLst>
        </c:ser>
        <c:dLbls>
          <c:dLblPos val="outEnd"/>
          <c:showLegendKey val="0"/>
          <c:showVal val="1"/>
          <c:showCatName val="0"/>
          <c:showSerName val="0"/>
          <c:showPercent val="0"/>
          <c:showBubbleSize val="0"/>
        </c:dLbls>
        <c:gapWidth val="444"/>
        <c:overlap val="-90"/>
        <c:axId val="910898272"/>
        <c:axId val="910899920"/>
      </c:barChart>
      <c:catAx>
        <c:axId val="91089827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n-US"/>
          </a:p>
        </c:txPr>
        <c:crossAx val="910899920"/>
        <c:crosses val="autoZero"/>
        <c:auto val="1"/>
        <c:lblAlgn val="ctr"/>
        <c:lblOffset val="100"/>
        <c:noMultiLvlLbl val="0"/>
      </c:catAx>
      <c:valAx>
        <c:axId val="910899920"/>
        <c:scaling>
          <c:orientation val="minMax"/>
          <c:max val="100"/>
        </c:scaling>
        <c:delete val="1"/>
        <c:axPos val="l"/>
        <c:numFmt formatCode="General" sourceLinked="1"/>
        <c:majorTickMark val="none"/>
        <c:minorTickMark val="none"/>
        <c:tickLblPos val="nextTo"/>
        <c:crossAx val="91089827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Sheet1!$C$1</c:f>
              <c:strCache>
                <c:ptCount val="1"/>
                <c:pt idx="0">
                  <c:v>PwD utility</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multiLvlStrRef>
              <c:f>Sheet1!$A$2:$B$7</c:f>
              <c:multiLvlStrCache>
                <c:ptCount val="6"/>
                <c:lvl>
                  <c:pt idx="0">
                    <c:v>No change</c:v>
                  </c:pt>
                  <c:pt idx="1">
                    <c:v>Improvement</c:v>
                  </c:pt>
                  <c:pt idx="2">
                    <c:v>Worsening</c:v>
                  </c:pt>
                  <c:pt idx="3">
                    <c:v>No change</c:v>
                  </c:pt>
                  <c:pt idx="4">
                    <c:v>Improvement</c:v>
                  </c:pt>
                  <c:pt idx="5">
                    <c:v>Worsening</c:v>
                  </c:pt>
                </c:lvl>
                <c:lvl>
                  <c:pt idx="0">
                    <c:v>No change</c:v>
                  </c:pt>
                  <c:pt idx="3">
                    <c:v>Progressed</c:v>
                  </c:pt>
                </c:lvl>
              </c:multiLvlStrCache>
            </c:multiLvlStrRef>
          </c:cat>
          <c:val>
            <c:numRef>
              <c:f>Sheet1!$C$2:$C$7</c:f>
              <c:numCache>
                <c:formatCode>General</c:formatCode>
                <c:ptCount val="6"/>
                <c:pt idx="0">
                  <c:v>15.4</c:v>
                </c:pt>
                <c:pt idx="1">
                  <c:v>42.3</c:v>
                </c:pt>
                <c:pt idx="2">
                  <c:v>42.3</c:v>
                </c:pt>
                <c:pt idx="3">
                  <c:v>11.5</c:v>
                </c:pt>
                <c:pt idx="4">
                  <c:v>30.8</c:v>
                </c:pt>
                <c:pt idx="5">
                  <c:v>57.7</c:v>
                </c:pt>
              </c:numCache>
            </c:numRef>
          </c:val>
          <c:extLst>
            <c:ext xmlns:c16="http://schemas.microsoft.com/office/drawing/2014/chart" uri="{C3380CC4-5D6E-409C-BE32-E72D297353CC}">
              <c16:uniqueId val="{00000000-6D90-7B48-93F4-DD79A34C4975}"/>
            </c:ext>
          </c:extLst>
        </c:ser>
        <c:ser>
          <c:idx val="1"/>
          <c:order val="1"/>
          <c:tx>
            <c:strRef>
              <c:f>Sheet1!$D$1</c:f>
              <c:strCache>
                <c:ptCount val="1"/>
                <c:pt idx="0">
                  <c:v>Proxy utility</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multiLvlStrRef>
              <c:f>Sheet1!$A$2:$B$7</c:f>
              <c:multiLvlStrCache>
                <c:ptCount val="6"/>
                <c:lvl>
                  <c:pt idx="0">
                    <c:v>No change</c:v>
                  </c:pt>
                  <c:pt idx="1">
                    <c:v>Improvement</c:v>
                  </c:pt>
                  <c:pt idx="2">
                    <c:v>Worsening</c:v>
                  </c:pt>
                  <c:pt idx="3">
                    <c:v>No change</c:v>
                  </c:pt>
                  <c:pt idx="4">
                    <c:v>Improvement</c:v>
                  </c:pt>
                  <c:pt idx="5">
                    <c:v>Worsening</c:v>
                  </c:pt>
                </c:lvl>
                <c:lvl>
                  <c:pt idx="0">
                    <c:v>No change</c:v>
                  </c:pt>
                  <c:pt idx="3">
                    <c:v>Progressed</c:v>
                  </c:pt>
                </c:lvl>
              </c:multiLvlStrCache>
            </c:multiLvlStrRef>
          </c:cat>
          <c:val>
            <c:numRef>
              <c:f>Sheet1!$D$2:$D$7</c:f>
              <c:numCache>
                <c:formatCode>General</c:formatCode>
                <c:ptCount val="6"/>
                <c:pt idx="0">
                  <c:v>6.9</c:v>
                </c:pt>
                <c:pt idx="1">
                  <c:v>34.200000000000003</c:v>
                </c:pt>
                <c:pt idx="2">
                  <c:v>58.9</c:v>
                </c:pt>
                <c:pt idx="3">
                  <c:v>4.3</c:v>
                </c:pt>
                <c:pt idx="4">
                  <c:v>23.3</c:v>
                </c:pt>
                <c:pt idx="5">
                  <c:v>72.400000000000006</c:v>
                </c:pt>
              </c:numCache>
            </c:numRef>
          </c:val>
          <c:extLst>
            <c:ext xmlns:c16="http://schemas.microsoft.com/office/drawing/2014/chart" uri="{C3380CC4-5D6E-409C-BE32-E72D297353CC}">
              <c16:uniqueId val="{00000001-6D90-7B48-93F4-DD79A34C4975}"/>
            </c:ext>
          </c:extLst>
        </c:ser>
        <c:ser>
          <c:idx val="2"/>
          <c:order val="2"/>
          <c:tx>
            <c:strRef>
              <c:f>Sheet1!$E$1</c:f>
              <c:strCache>
                <c:ptCount val="1"/>
                <c:pt idx="0">
                  <c:v>Staff utility</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multiLvlStrRef>
              <c:f>Sheet1!$A$2:$B$7</c:f>
              <c:multiLvlStrCache>
                <c:ptCount val="6"/>
                <c:lvl>
                  <c:pt idx="0">
                    <c:v>No change</c:v>
                  </c:pt>
                  <c:pt idx="1">
                    <c:v>Improvement</c:v>
                  </c:pt>
                  <c:pt idx="2">
                    <c:v>Worsening</c:v>
                  </c:pt>
                  <c:pt idx="3">
                    <c:v>No change</c:v>
                  </c:pt>
                  <c:pt idx="4">
                    <c:v>Improvement</c:v>
                  </c:pt>
                  <c:pt idx="5">
                    <c:v>Worsening</c:v>
                  </c:pt>
                </c:lvl>
                <c:lvl>
                  <c:pt idx="0">
                    <c:v>No change</c:v>
                  </c:pt>
                  <c:pt idx="3">
                    <c:v>Progressed</c:v>
                  </c:pt>
                </c:lvl>
              </c:multiLvlStrCache>
            </c:multiLvlStrRef>
          </c:cat>
          <c:val>
            <c:numRef>
              <c:f>Sheet1!$E$2:$E$7</c:f>
              <c:numCache>
                <c:formatCode>General</c:formatCode>
                <c:ptCount val="6"/>
                <c:pt idx="0">
                  <c:v>8.5</c:v>
                </c:pt>
                <c:pt idx="1">
                  <c:v>35.200000000000003</c:v>
                </c:pt>
                <c:pt idx="2">
                  <c:v>56.3</c:v>
                </c:pt>
                <c:pt idx="3">
                  <c:v>3.3</c:v>
                </c:pt>
                <c:pt idx="4">
                  <c:v>34.700000000000003</c:v>
                </c:pt>
                <c:pt idx="5">
                  <c:v>62</c:v>
                </c:pt>
              </c:numCache>
            </c:numRef>
          </c:val>
          <c:extLst>
            <c:ext xmlns:c16="http://schemas.microsoft.com/office/drawing/2014/chart" uri="{C3380CC4-5D6E-409C-BE32-E72D297353CC}">
              <c16:uniqueId val="{00000002-6D90-7B48-93F4-DD79A34C4975}"/>
            </c:ext>
          </c:extLst>
        </c:ser>
        <c:dLbls>
          <c:dLblPos val="outEnd"/>
          <c:showLegendKey val="0"/>
          <c:showVal val="1"/>
          <c:showCatName val="0"/>
          <c:showSerName val="0"/>
          <c:showPercent val="0"/>
          <c:showBubbleSize val="0"/>
        </c:dLbls>
        <c:gapWidth val="100"/>
        <c:overlap val="-24"/>
        <c:axId val="368543247"/>
        <c:axId val="368544895"/>
      </c:barChart>
      <c:catAx>
        <c:axId val="368543247"/>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2"/>
                </a:solidFill>
                <a:latin typeface="+mn-lt"/>
                <a:ea typeface="+mn-ea"/>
                <a:cs typeface="+mn-cs"/>
              </a:defRPr>
            </a:pPr>
            <a:endParaRPr lang="en-US"/>
          </a:p>
        </c:txPr>
        <c:crossAx val="368544895"/>
        <c:crosses val="autoZero"/>
        <c:auto val="1"/>
        <c:lblAlgn val="ctr"/>
        <c:lblOffset val="100"/>
        <c:noMultiLvlLbl val="0"/>
      </c:catAx>
      <c:valAx>
        <c:axId val="368544895"/>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36854324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en-GB" sz="1000" b="1" i="0" cap="all" baseline="0">
                <a:effectLst/>
              </a:rPr>
              <a:t>direction of functional status score progression by mobility dimension reporting </a:t>
            </a:r>
          </a:p>
        </c:rich>
      </c:tx>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Sheet1!$B$5</c:f>
              <c:strCache>
                <c:ptCount val="1"/>
                <c:pt idx="0">
                  <c:v>EQ-5D mob: no change</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Sheet1!$A$6:$A$14</c:f>
              <c:strCache>
                <c:ptCount val="9"/>
                <c:pt idx="0">
                  <c:v>PwD Function same</c:v>
                </c:pt>
                <c:pt idx="1">
                  <c:v>PwD function worse</c:v>
                </c:pt>
                <c:pt idx="2">
                  <c:v>PwD function improved</c:v>
                </c:pt>
                <c:pt idx="3">
                  <c:v>PR function same</c:v>
                </c:pt>
                <c:pt idx="4">
                  <c:v>PR function worse</c:v>
                </c:pt>
                <c:pt idx="5">
                  <c:v>PR function improved</c:v>
                </c:pt>
                <c:pt idx="6">
                  <c:v>ST function same</c:v>
                </c:pt>
                <c:pt idx="7">
                  <c:v>ST function worse</c:v>
                </c:pt>
                <c:pt idx="8">
                  <c:v>ST function improved</c:v>
                </c:pt>
              </c:strCache>
            </c:strRef>
          </c:cat>
          <c:val>
            <c:numRef>
              <c:f>Sheet1!$B$6:$B$14</c:f>
              <c:numCache>
                <c:formatCode>General</c:formatCode>
                <c:ptCount val="9"/>
                <c:pt idx="0">
                  <c:v>22.9</c:v>
                </c:pt>
                <c:pt idx="1">
                  <c:v>63.8</c:v>
                </c:pt>
                <c:pt idx="2">
                  <c:v>13.3</c:v>
                </c:pt>
                <c:pt idx="3">
                  <c:v>27.7</c:v>
                </c:pt>
                <c:pt idx="4">
                  <c:v>58.3</c:v>
                </c:pt>
                <c:pt idx="5">
                  <c:v>14</c:v>
                </c:pt>
                <c:pt idx="6">
                  <c:v>59.5</c:v>
                </c:pt>
                <c:pt idx="7">
                  <c:v>33.299999999999997</c:v>
                </c:pt>
                <c:pt idx="8">
                  <c:v>7.22</c:v>
                </c:pt>
              </c:numCache>
            </c:numRef>
          </c:val>
          <c:extLst>
            <c:ext xmlns:c16="http://schemas.microsoft.com/office/drawing/2014/chart" uri="{C3380CC4-5D6E-409C-BE32-E72D297353CC}">
              <c16:uniqueId val="{00000000-472C-9449-B88F-764F6B18EB8B}"/>
            </c:ext>
          </c:extLst>
        </c:ser>
        <c:ser>
          <c:idx val="1"/>
          <c:order val="1"/>
          <c:tx>
            <c:strRef>
              <c:f>Sheet1!$C$5</c:f>
              <c:strCache>
                <c:ptCount val="1"/>
                <c:pt idx="0">
                  <c:v>EQ-5D mob: worse</c:v>
                </c:pt>
              </c:strCache>
            </c:strRef>
          </c:tx>
          <c:spPr>
            <a:solidFill>
              <a:schemeClr val="accent2"/>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Sheet1!$A$6:$A$14</c:f>
              <c:strCache>
                <c:ptCount val="9"/>
                <c:pt idx="0">
                  <c:v>PwD Function same</c:v>
                </c:pt>
                <c:pt idx="1">
                  <c:v>PwD function worse</c:v>
                </c:pt>
                <c:pt idx="2">
                  <c:v>PwD function improved</c:v>
                </c:pt>
                <c:pt idx="3">
                  <c:v>PR function same</c:v>
                </c:pt>
                <c:pt idx="4">
                  <c:v>PR function worse</c:v>
                </c:pt>
                <c:pt idx="5">
                  <c:v>PR function improved</c:v>
                </c:pt>
                <c:pt idx="6">
                  <c:v>ST function same</c:v>
                </c:pt>
                <c:pt idx="7">
                  <c:v>ST function worse</c:v>
                </c:pt>
                <c:pt idx="8">
                  <c:v>ST function improved</c:v>
                </c:pt>
              </c:strCache>
            </c:strRef>
          </c:cat>
          <c:val>
            <c:numRef>
              <c:f>Sheet1!$C$6:$C$14</c:f>
              <c:numCache>
                <c:formatCode>General</c:formatCode>
                <c:ptCount val="9"/>
                <c:pt idx="0">
                  <c:v>29.4</c:v>
                </c:pt>
                <c:pt idx="1">
                  <c:v>61.5</c:v>
                </c:pt>
                <c:pt idx="2">
                  <c:v>9.1</c:v>
                </c:pt>
                <c:pt idx="3">
                  <c:v>24.2</c:v>
                </c:pt>
                <c:pt idx="4">
                  <c:v>70.5</c:v>
                </c:pt>
                <c:pt idx="5">
                  <c:v>5.3</c:v>
                </c:pt>
                <c:pt idx="6">
                  <c:v>52.7</c:v>
                </c:pt>
                <c:pt idx="7">
                  <c:v>43.2</c:v>
                </c:pt>
                <c:pt idx="8">
                  <c:v>4.0999999999999996</c:v>
                </c:pt>
              </c:numCache>
            </c:numRef>
          </c:val>
          <c:extLst>
            <c:ext xmlns:c16="http://schemas.microsoft.com/office/drawing/2014/chart" uri="{C3380CC4-5D6E-409C-BE32-E72D297353CC}">
              <c16:uniqueId val="{00000001-472C-9449-B88F-764F6B18EB8B}"/>
            </c:ext>
          </c:extLst>
        </c:ser>
        <c:ser>
          <c:idx val="2"/>
          <c:order val="2"/>
          <c:tx>
            <c:strRef>
              <c:f>Sheet1!$D$5</c:f>
              <c:strCache>
                <c:ptCount val="1"/>
                <c:pt idx="0">
                  <c:v>EQ-5D mob: improved</c:v>
                </c:pt>
              </c:strCache>
            </c:strRef>
          </c:tx>
          <c:spPr>
            <a:solidFill>
              <a:schemeClr val="accent3"/>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Sheet1!$A$6:$A$14</c:f>
              <c:strCache>
                <c:ptCount val="9"/>
                <c:pt idx="0">
                  <c:v>PwD Function same</c:v>
                </c:pt>
                <c:pt idx="1">
                  <c:v>PwD function worse</c:v>
                </c:pt>
                <c:pt idx="2">
                  <c:v>PwD function improved</c:v>
                </c:pt>
                <c:pt idx="3">
                  <c:v>PR function same</c:v>
                </c:pt>
                <c:pt idx="4">
                  <c:v>PR function worse</c:v>
                </c:pt>
                <c:pt idx="5">
                  <c:v>PR function improved</c:v>
                </c:pt>
                <c:pt idx="6">
                  <c:v>ST function same</c:v>
                </c:pt>
                <c:pt idx="7">
                  <c:v>ST function worse</c:v>
                </c:pt>
                <c:pt idx="8">
                  <c:v>ST function improved</c:v>
                </c:pt>
              </c:strCache>
            </c:strRef>
          </c:cat>
          <c:val>
            <c:numRef>
              <c:f>Sheet1!$D$6:$D$14</c:f>
              <c:numCache>
                <c:formatCode>General</c:formatCode>
                <c:ptCount val="9"/>
                <c:pt idx="0">
                  <c:v>30.3</c:v>
                </c:pt>
                <c:pt idx="1">
                  <c:v>56.6</c:v>
                </c:pt>
                <c:pt idx="2">
                  <c:v>13.1</c:v>
                </c:pt>
                <c:pt idx="3">
                  <c:v>16.7</c:v>
                </c:pt>
                <c:pt idx="4">
                  <c:v>61.7</c:v>
                </c:pt>
                <c:pt idx="5">
                  <c:v>21.6</c:v>
                </c:pt>
                <c:pt idx="6">
                  <c:v>51</c:v>
                </c:pt>
                <c:pt idx="7">
                  <c:v>37.299999999999997</c:v>
                </c:pt>
                <c:pt idx="8">
                  <c:v>11.8</c:v>
                </c:pt>
              </c:numCache>
            </c:numRef>
          </c:val>
          <c:extLst>
            <c:ext xmlns:c16="http://schemas.microsoft.com/office/drawing/2014/chart" uri="{C3380CC4-5D6E-409C-BE32-E72D297353CC}">
              <c16:uniqueId val="{00000002-472C-9449-B88F-764F6B18EB8B}"/>
            </c:ext>
          </c:extLst>
        </c:ser>
        <c:dLbls>
          <c:dLblPos val="outEnd"/>
          <c:showLegendKey val="0"/>
          <c:showVal val="1"/>
          <c:showCatName val="0"/>
          <c:showSerName val="0"/>
          <c:showPercent val="0"/>
          <c:showBubbleSize val="0"/>
        </c:dLbls>
        <c:gapWidth val="444"/>
        <c:overlap val="-90"/>
        <c:axId val="1848862176"/>
        <c:axId val="1848849680"/>
      </c:barChart>
      <c:catAx>
        <c:axId val="184886217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n-US"/>
          </a:p>
        </c:txPr>
        <c:crossAx val="1848849680"/>
        <c:crosses val="autoZero"/>
        <c:auto val="1"/>
        <c:lblAlgn val="ctr"/>
        <c:lblOffset val="100"/>
        <c:noMultiLvlLbl val="0"/>
      </c:catAx>
      <c:valAx>
        <c:axId val="1848849680"/>
        <c:scaling>
          <c:orientation val="minMax"/>
        </c:scaling>
        <c:delete val="1"/>
        <c:axPos val="l"/>
        <c:numFmt formatCode="General" sourceLinked="1"/>
        <c:majorTickMark val="none"/>
        <c:minorTickMark val="none"/>
        <c:tickLblPos val="nextTo"/>
        <c:crossAx val="1848862176"/>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Sheet1!$D$9</c:f>
              <c:strCache>
                <c:ptCount val="1"/>
                <c:pt idx="0">
                  <c:v>M</c:v>
                </c:pt>
              </c:strCache>
            </c:strRef>
          </c:tx>
          <c:spPr>
            <a:ln w="28575" cap="rnd">
              <a:solidFill>
                <a:schemeClr val="accent1"/>
              </a:solidFill>
              <a:round/>
            </a:ln>
            <a:effectLst/>
          </c:spPr>
          <c:marker>
            <c:symbol val="none"/>
          </c:marker>
          <c:cat>
            <c:strRef>
              <c:f>Sheet1!$E$8:$G$8</c:f>
              <c:strCache>
                <c:ptCount val="3"/>
                <c:pt idx="0">
                  <c:v>mild</c:v>
                </c:pt>
                <c:pt idx="1">
                  <c:v>moderate</c:v>
                </c:pt>
                <c:pt idx="2">
                  <c:v>severe</c:v>
                </c:pt>
              </c:strCache>
            </c:strRef>
          </c:cat>
          <c:val>
            <c:numRef>
              <c:f>Sheet1!$E$9:$G$9</c:f>
              <c:numCache>
                <c:formatCode>General</c:formatCode>
                <c:ptCount val="3"/>
                <c:pt idx="0">
                  <c:v>0.6</c:v>
                </c:pt>
                <c:pt idx="1">
                  <c:v>0.53</c:v>
                </c:pt>
                <c:pt idx="2">
                  <c:v>0.04</c:v>
                </c:pt>
              </c:numCache>
            </c:numRef>
          </c:val>
          <c:smooth val="0"/>
          <c:extLst>
            <c:ext xmlns:c16="http://schemas.microsoft.com/office/drawing/2014/chart" uri="{C3380CC4-5D6E-409C-BE32-E72D297353CC}">
              <c16:uniqueId val="{00000000-C18C-ED46-8E5C-6146E0CF4342}"/>
            </c:ext>
          </c:extLst>
        </c:ser>
        <c:ser>
          <c:idx val="1"/>
          <c:order val="1"/>
          <c:tx>
            <c:strRef>
              <c:f>Sheet1!$D$10</c:f>
              <c:strCache>
                <c:ptCount val="1"/>
                <c:pt idx="0">
                  <c:v>SC</c:v>
                </c:pt>
              </c:strCache>
            </c:strRef>
          </c:tx>
          <c:spPr>
            <a:ln w="28575" cap="rnd">
              <a:solidFill>
                <a:schemeClr val="accent2"/>
              </a:solidFill>
              <a:round/>
            </a:ln>
            <a:effectLst/>
          </c:spPr>
          <c:marker>
            <c:symbol val="none"/>
          </c:marker>
          <c:cat>
            <c:strRef>
              <c:f>Sheet1!$E$8:$G$8</c:f>
              <c:strCache>
                <c:ptCount val="3"/>
                <c:pt idx="0">
                  <c:v>mild</c:v>
                </c:pt>
                <c:pt idx="1">
                  <c:v>moderate</c:v>
                </c:pt>
                <c:pt idx="2">
                  <c:v>severe</c:v>
                </c:pt>
              </c:strCache>
            </c:strRef>
          </c:cat>
          <c:val>
            <c:numRef>
              <c:f>Sheet1!$E$10:$G$10</c:f>
              <c:numCache>
                <c:formatCode>General</c:formatCode>
                <c:ptCount val="3"/>
                <c:pt idx="0">
                  <c:v>0.45</c:v>
                </c:pt>
                <c:pt idx="1">
                  <c:v>0.28000000000000003</c:v>
                </c:pt>
                <c:pt idx="2">
                  <c:v>0.04</c:v>
                </c:pt>
              </c:numCache>
            </c:numRef>
          </c:val>
          <c:smooth val="0"/>
          <c:extLst>
            <c:ext xmlns:c16="http://schemas.microsoft.com/office/drawing/2014/chart" uri="{C3380CC4-5D6E-409C-BE32-E72D297353CC}">
              <c16:uniqueId val="{00000001-C18C-ED46-8E5C-6146E0CF4342}"/>
            </c:ext>
          </c:extLst>
        </c:ser>
        <c:ser>
          <c:idx val="2"/>
          <c:order val="2"/>
          <c:tx>
            <c:strRef>
              <c:f>Sheet1!$D$11</c:f>
              <c:strCache>
                <c:ptCount val="1"/>
                <c:pt idx="0">
                  <c:v>UA</c:v>
                </c:pt>
              </c:strCache>
            </c:strRef>
          </c:tx>
          <c:spPr>
            <a:ln w="28575" cap="rnd">
              <a:solidFill>
                <a:schemeClr val="accent3"/>
              </a:solidFill>
              <a:round/>
            </a:ln>
            <a:effectLst/>
          </c:spPr>
          <c:marker>
            <c:symbol val="none"/>
          </c:marker>
          <c:cat>
            <c:strRef>
              <c:f>Sheet1!$E$8:$G$8</c:f>
              <c:strCache>
                <c:ptCount val="3"/>
                <c:pt idx="0">
                  <c:v>mild</c:v>
                </c:pt>
                <c:pt idx="1">
                  <c:v>moderate</c:v>
                </c:pt>
                <c:pt idx="2">
                  <c:v>severe</c:v>
                </c:pt>
              </c:strCache>
            </c:strRef>
          </c:cat>
          <c:val>
            <c:numRef>
              <c:f>Sheet1!$E$11:$G$11</c:f>
              <c:numCache>
                <c:formatCode>General</c:formatCode>
                <c:ptCount val="3"/>
                <c:pt idx="0">
                  <c:v>0.28000000000000003</c:v>
                </c:pt>
                <c:pt idx="1">
                  <c:v>0.2</c:v>
                </c:pt>
                <c:pt idx="2">
                  <c:v>0.05</c:v>
                </c:pt>
              </c:numCache>
            </c:numRef>
          </c:val>
          <c:smooth val="0"/>
          <c:extLst>
            <c:ext xmlns:c16="http://schemas.microsoft.com/office/drawing/2014/chart" uri="{C3380CC4-5D6E-409C-BE32-E72D297353CC}">
              <c16:uniqueId val="{00000002-C18C-ED46-8E5C-6146E0CF4342}"/>
            </c:ext>
          </c:extLst>
        </c:ser>
        <c:ser>
          <c:idx val="3"/>
          <c:order val="3"/>
          <c:tx>
            <c:strRef>
              <c:f>Sheet1!$D$12</c:f>
              <c:strCache>
                <c:ptCount val="1"/>
                <c:pt idx="0">
                  <c:v>P/D</c:v>
                </c:pt>
              </c:strCache>
            </c:strRef>
          </c:tx>
          <c:spPr>
            <a:ln w="28575" cap="rnd">
              <a:solidFill>
                <a:schemeClr val="accent4"/>
              </a:solidFill>
              <a:round/>
            </a:ln>
            <a:effectLst/>
          </c:spPr>
          <c:marker>
            <c:symbol val="none"/>
          </c:marker>
          <c:cat>
            <c:strRef>
              <c:f>Sheet1!$E$8:$G$8</c:f>
              <c:strCache>
                <c:ptCount val="3"/>
                <c:pt idx="0">
                  <c:v>mild</c:v>
                </c:pt>
                <c:pt idx="1">
                  <c:v>moderate</c:v>
                </c:pt>
                <c:pt idx="2">
                  <c:v>severe</c:v>
                </c:pt>
              </c:strCache>
            </c:strRef>
          </c:cat>
          <c:val>
            <c:numRef>
              <c:f>Sheet1!$E$12:$G$12</c:f>
              <c:numCache>
                <c:formatCode>General</c:formatCode>
                <c:ptCount val="3"/>
                <c:pt idx="0">
                  <c:v>0.43</c:v>
                </c:pt>
                <c:pt idx="1">
                  <c:v>0.35</c:v>
                </c:pt>
                <c:pt idx="2">
                  <c:v>0.61</c:v>
                </c:pt>
              </c:numCache>
            </c:numRef>
          </c:val>
          <c:smooth val="0"/>
          <c:extLst>
            <c:ext xmlns:c16="http://schemas.microsoft.com/office/drawing/2014/chart" uri="{C3380CC4-5D6E-409C-BE32-E72D297353CC}">
              <c16:uniqueId val="{00000003-C18C-ED46-8E5C-6146E0CF4342}"/>
            </c:ext>
          </c:extLst>
        </c:ser>
        <c:ser>
          <c:idx val="4"/>
          <c:order val="4"/>
          <c:tx>
            <c:strRef>
              <c:f>Sheet1!$D$13</c:f>
              <c:strCache>
                <c:ptCount val="1"/>
                <c:pt idx="0">
                  <c:v>A/D</c:v>
                </c:pt>
              </c:strCache>
            </c:strRef>
          </c:tx>
          <c:spPr>
            <a:ln w="28575" cap="rnd">
              <a:solidFill>
                <a:schemeClr val="accent5"/>
              </a:solidFill>
              <a:round/>
            </a:ln>
            <a:effectLst/>
          </c:spPr>
          <c:marker>
            <c:symbol val="none"/>
          </c:marker>
          <c:cat>
            <c:strRef>
              <c:f>Sheet1!$E$8:$G$8</c:f>
              <c:strCache>
                <c:ptCount val="3"/>
                <c:pt idx="0">
                  <c:v>mild</c:v>
                </c:pt>
                <c:pt idx="1">
                  <c:v>moderate</c:v>
                </c:pt>
                <c:pt idx="2">
                  <c:v>severe</c:v>
                </c:pt>
              </c:strCache>
            </c:strRef>
          </c:cat>
          <c:val>
            <c:numRef>
              <c:f>Sheet1!$E$13:$G$13</c:f>
              <c:numCache>
                <c:formatCode>General</c:formatCode>
                <c:ptCount val="3"/>
                <c:pt idx="0">
                  <c:v>0.3</c:v>
                </c:pt>
                <c:pt idx="1">
                  <c:v>0.36</c:v>
                </c:pt>
                <c:pt idx="2">
                  <c:v>-0.13</c:v>
                </c:pt>
              </c:numCache>
            </c:numRef>
          </c:val>
          <c:smooth val="0"/>
          <c:extLst>
            <c:ext xmlns:c16="http://schemas.microsoft.com/office/drawing/2014/chart" uri="{C3380CC4-5D6E-409C-BE32-E72D297353CC}">
              <c16:uniqueId val="{00000004-C18C-ED46-8E5C-6146E0CF4342}"/>
            </c:ext>
          </c:extLst>
        </c:ser>
        <c:dLbls>
          <c:showLegendKey val="0"/>
          <c:showVal val="0"/>
          <c:showCatName val="0"/>
          <c:showSerName val="0"/>
          <c:showPercent val="0"/>
          <c:showBubbleSize val="0"/>
        </c:dLbls>
        <c:smooth val="0"/>
        <c:axId val="60382943"/>
        <c:axId val="114465183"/>
      </c:lineChart>
      <c:catAx>
        <c:axId val="6038294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4465183"/>
        <c:crosses val="autoZero"/>
        <c:auto val="1"/>
        <c:lblAlgn val="ctr"/>
        <c:lblOffset val="100"/>
        <c:noMultiLvlLbl val="0"/>
      </c:catAx>
      <c:valAx>
        <c:axId val="114465183"/>
        <c:scaling>
          <c:orientation val="minMax"/>
          <c:max val="0.70000000000000007"/>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0382943"/>
        <c:crosses val="autoZero"/>
        <c:crossBetween val="between"/>
        <c:majorUnit val="0.1"/>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000"/>
              <a:t>Responsiveness</a:t>
            </a:r>
            <a:r>
              <a:rPr lang="en-GB" sz="1000" baseline="0"/>
              <a:t> analysis change in utility between T0 and T2 for PwD with worsened health as defined by external measures</a:t>
            </a:r>
            <a:endParaRPr lang="en-GB" sz="1000"/>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PwD EQ-5D index score</c:v>
                </c:pt>
              </c:strCache>
            </c:strRef>
          </c:tx>
          <c:spPr>
            <a:solidFill>
              <a:schemeClr val="accent1"/>
            </a:solidFill>
            <a:ln>
              <a:noFill/>
            </a:ln>
            <a:effectLst/>
          </c:spPr>
          <c:invertIfNegative val="0"/>
          <c:cat>
            <c:strRef>
              <c:f>Sheet1!$A$2:$A$6</c:f>
              <c:strCache>
                <c:ptCount val="5"/>
                <c:pt idx="0">
                  <c:v>CDR stage</c:v>
                </c:pt>
                <c:pt idx="1">
                  <c:v>Merged function score</c:v>
                </c:pt>
                <c:pt idx="2">
                  <c:v>Merged NPI score</c:v>
                </c:pt>
                <c:pt idx="3">
                  <c:v>MMSE total score</c:v>
                </c:pt>
                <c:pt idx="4">
                  <c:v>CSDD total score</c:v>
                </c:pt>
              </c:strCache>
            </c:strRef>
          </c:cat>
          <c:val>
            <c:numRef>
              <c:f>Sheet1!$B$2:$B$6</c:f>
              <c:numCache>
                <c:formatCode>General</c:formatCode>
                <c:ptCount val="5"/>
                <c:pt idx="0">
                  <c:v>0.11</c:v>
                </c:pt>
                <c:pt idx="1">
                  <c:v>0.04</c:v>
                </c:pt>
                <c:pt idx="2">
                  <c:v>0.11</c:v>
                </c:pt>
                <c:pt idx="3">
                  <c:v>0.05</c:v>
                </c:pt>
                <c:pt idx="4">
                  <c:v>-0.11</c:v>
                </c:pt>
              </c:numCache>
            </c:numRef>
          </c:val>
          <c:extLst>
            <c:ext xmlns:c16="http://schemas.microsoft.com/office/drawing/2014/chart" uri="{C3380CC4-5D6E-409C-BE32-E72D297353CC}">
              <c16:uniqueId val="{00000000-9F12-4442-89C6-2826FE77DC7F}"/>
            </c:ext>
          </c:extLst>
        </c:ser>
        <c:ser>
          <c:idx val="1"/>
          <c:order val="1"/>
          <c:tx>
            <c:strRef>
              <c:f>Sheet1!$C$1</c:f>
              <c:strCache>
                <c:ptCount val="1"/>
                <c:pt idx="0">
                  <c:v>Proxy EQ-5D index score</c:v>
                </c:pt>
              </c:strCache>
            </c:strRef>
          </c:tx>
          <c:spPr>
            <a:solidFill>
              <a:schemeClr val="accent2"/>
            </a:solidFill>
            <a:ln>
              <a:noFill/>
            </a:ln>
            <a:effectLst/>
          </c:spPr>
          <c:invertIfNegative val="0"/>
          <c:cat>
            <c:strRef>
              <c:f>Sheet1!$A$2:$A$6</c:f>
              <c:strCache>
                <c:ptCount val="5"/>
                <c:pt idx="0">
                  <c:v>CDR stage</c:v>
                </c:pt>
                <c:pt idx="1">
                  <c:v>Merged function score</c:v>
                </c:pt>
                <c:pt idx="2">
                  <c:v>Merged NPI score</c:v>
                </c:pt>
                <c:pt idx="3">
                  <c:v>MMSE total score</c:v>
                </c:pt>
                <c:pt idx="4">
                  <c:v>CSDD total score</c:v>
                </c:pt>
              </c:strCache>
            </c:strRef>
          </c:cat>
          <c:val>
            <c:numRef>
              <c:f>Sheet1!$C$2:$C$6</c:f>
              <c:numCache>
                <c:formatCode>General</c:formatCode>
                <c:ptCount val="5"/>
                <c:pt idx="0">
                  <c:v>0.67</c:v>
                </c:pt>
                <c:pt idx="1">
                  <c:v>0.4</c:v>
                </c:pt>
                <c:pt idx="2">
                  <c:v>0.44</c:v>
                </c:pt>
                <c:pt idx="3">
                  <c:v>0.33</c:v>
                </c:pt>
                <c:pt idx="4">
                  <c:v>0.34</c:v>
                </c:pt>
              </c:numCache>
            </c:numRef>
          </c:val>
          <c:extLst>
            <c:ext xmlns:c16="http://schemas.microsoft.com/office/drawing/2014/chart" uri="{C3380CC4-5D6E-409C-BE32-E72D297353CC}">
              <c16:uniqueId val="{00000001-9F12-4442-89C6-2826FE77DC7F}"/>
            </c:ext>
          </c:extLst>
        </c:ser>
        <c:ser>
          <c:idx val="2"/>
          <c:order val="2"/>
          <c:tx>
            <c:strRef>
              <c:f>Sheet1!$D$1</c:f>
              <c:strCache>
                <c:ptCount val="1"/>
                <c:pt idx="0">
                  <c:v>Staff EQ-5D index score</c:v>
                </c:pt>
              </c:strCache>
            </c:strRef>
          </c:tx>
          <c:spPr>
            <a:solidFill>
              <a:schemeClr val="accent3"/>
            </a:solidFill>
            <a:ln>
              <a:noFill/>
            </a:ln>
            <a:effectLst/>
          </c:spPr>
          <c:invertIfNegative val="0"/>
          <c:cat>
            <c:strRef>
              <c:f>Sheet1!$A$2:$A$6</c:f>
              <c:strCache>
                <c:ptCount val="5"/>
                <c:pt idx="0">
                  <c:v>CDR stage</c:v>
                </c:pt>
                <c:pt idx="1">
                  <c:v>Merged function score</c:v>
                </c:pt>
                <c:pt idx="2">
                  <c:v>Merged NPI score</c:v>
                </c:pt>
                <c:pt idx="3">
                  <c:v>MMSE total score</c:v>
                </c:pt>
                <c:pt idx="4">
                  <c:v>CSDD total score</c:v>
                </c:pt>
              </c:strCache>
            </c:strRef>
          </c:cat>
          <c:val>
            <c:numRef>
              <c:f>Sheet1!$D$2:$D$6</c:f>
              <c:numCache>
                <c:formatCode>General</c:formatCode>
                <c:ptCount val="5"/>
                <c:pt idx="0">
                  <c:v>0.6</c:v>
                </c:pt>
                <c:pt idx="1">
                  <c:v>0.48</c:v>
                </c:pt>
                <c:pt idx="2">
                  <c:v>0.48</c:v>
                </c:pt>
                <c:pt idx="3">
                  <c:v>0</c:v>
                </c:pt>
                <c:pt idx="4">
                  <c:v>0</c:v>
                </c:pt>
              </c:numCache>
            </c:numRef>
          </c:val>
          <c:extLst>
            <c:ext xmlns:c16="http://schemas.microsoft.com/office/drawing/2014/chart" uri="{C3380CC4-5D6E-409C-BE32-E72D297353CC}">
              <c16:uniqueId val="{00000002-9F12-4442-89C6-2826FE77DC7F}"/>
            </c:ext>
          </c:extLst>
        </c:ser>
        <c:dLbls>
          <c:showLegendKey val="0"/>
          <c:showVal val="0"/>
          <c:showCatName val="0"/>
          <c:showSerName val="0"/>
          <c:showPercent val="0"/>
          <c:showBubbleSize val="0"/>
        </c:dLbls>
        <c:gapWidth val="219"/>
        <c:overlap val="-27"/>
        <c:axId val="1961055759"/>
        <c:axId val="1961057407"/>
      </c:barChart>
      <c:catAx>
        <c:axId val="19610557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61057407"/>
        <c:crosses val="autoZero"/>
        <c:auto val="1"/>
        <c:lblAlgn val="ctr"/>
        <c:lblOffset val="100"/>
        <c:noMultiLvlLbl val="0"/>
      </c:catAx>
      <c:valAx>
        <c:axId val="1961057407"/>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6105575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000"/>
              <a:t>Responsiveness analysis</a:t>
            </a:r>
            <a:r>
              <a:rPr lang="en-GB" sz="1000" baseline="0"/>
              <a:t> change in utility between T0 and T2 for PwD with improved/stable health as defined by external measures </a:t>
            </a:r>
            <a:endParaRPr lang="en-GB" sz="1000"/>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Sheet1!$B$8</c:f>
              <c:strCache>
                <c:ptCount val="1"/>
                <c:pt idx="0">
                  <c:v>PwD EQ-5D index score</c:v>
                </c:pt>
              </c:strCache>
            </c:strRef>
          </c:tx>
          <c:spPr>
            <a:solidFill>
              <a:schemeClr val="accent1"/>
            </a:solidFill>
            <a:ln>
              <a:noFill/>
            </a:ln>
            <a:effectLst/>
          </c:spPr>
          <c:invertIfNegative val="0"/>
          <c:cat>
            <c:strRef>
              <c:f>Sheet1!$A$9:$A$13</c:f>
              <c:strCache>
                <c:ptCount val="5"/>
                <c:pt idx="0">
                  <c:v>CDR stage</c:v>
                </c:pt>
                <c:pt idx="1">
                  <c:v>Merged function score</c:v>
                </c:pt>
                <c:pt idx="2">
                  <c:v>Merged NPI score</c:v>
                </c:pt>
                <c:pt idx="3">
                  <c:v>MMSE total score</c:v>
                </c:pt>
                <c:pt idx="4">
                  <c:v>CSDD total score</c:v>
                </c:pt>
              </c:strCache>
            </c:strRef>
          </c:cat>
          <c:val>
            <c:numRef>
              <c:f>Sheet1!$B$9:$B$13</c:f>
              <c:numCache>
                <c:formatCode>General</c:formatCode>
                <c:ptCount val="5"/>
                <c:pt idx="0">
                  <c:v>0.22</c:v>
                </c:pt>
                <c:pt idx="1">
                  <c:v>0.09</c:v>
                </c:pt>
                <c:pt idx="2">
                  <c:v>0.11</c:v>
                </c:pt>
                <c:pt idx="3">
                  <c:v>0.13</c:v>
                </c:pt>
                <c:pt idx="4">
                  <c:v>0</c:v>
                </c:pt>
              </c:numCache>
            </c:numRef>
          </c:val>
          <c:extLst>
            <c:ext xmlns:c16="http://schemas.microsoft.com/office/drawing/2014/chart" uri="{C3380CC4-5D6E-409C-BE32-E72D297353CC}">
              <c16:uniqueId val="{00000000-ADF1-9442-8C41-7352C6C8DFA5}"/>
            </c:ext>
          </c:extLst>
        </c:ser>
        <c:ser>
          <c:idx val="1"/>
          <c:order val="1"/>
          <c:tx>
            <c:strRef>
              <c:f>Sheet1!$C$8</c:f>
              <c:strCache>
                <c:ptCount val="1"/>
                <c:pt idx="0">
                  <c:v>Proxy EQ-5D index score</c:v>
                </c:pt>
              </c:strCache>
            </c:strRef>
          </c:tx>
          <c:spPr>
            <a:solidFill>
              <a:schemeClr val="accent2"/>
            </a:solidFill>
            <a:ln>
              <a:noFill/>
            </a:ln>
            <a:effectLst/>
          </c:spPr>
          <c:invertIfNegative val="0"/>
          <c:cat>
            <c:strRef>
              <c:f>Sheet1!$A$9:$A$13</c:f>
              <c:strCache>
                <c:ptCount val="5"/>
                <c:pt idx="0">
                  <c:v>CDR stage</c:v>
                </c:pt>
                <c:pt idx="1">
                  <c:v>Merged function score</c:v>
                </c:pt>
                <c:pt idx="2">
                  <c:v>Merged NPI score</c:v>
                </c:pt>
                <c:pt idx="3">
                  <c:v>MMSE total score</c:v>
                </c:pt>
                <c:pt idx="4">
                  <c:v>CSDD total score</c:v>
                </c:pt>
              </c:strCache>
            </c:strRef>
          </c:cat>
          <c:val>
            <c:numRef>
              <c:f>Sheet1!$C$9:$C$13</c:f>
              <c:numCache>
                <c:formatCode>General</c:formatCode>
                <c:ptCount val="5"/>
                <c:pt idx="0">
                  <c:v>0.13</c:v>
                </c:pt>
                <c:pt idx="1">
                  <c:v>0.03</c:v>
                </c:pt>
                <c:pt idx="2">
                  <c:v>0.2</c:v>
                </c:pt>
                <c:pt idx="3">
                  <c:v>0.22</c:v>
                </c:pt>
                <c:pt idx="4">
                  <c:v>0.12</c:v>
                </c:pt>
              </c:numCache>
            </c:numRef>
          </c:val>
          <c:extLst>
            <c:ext xmlns:c16="http://schemas.microsoft.com/office/drawing/2014/chart" uri="{C3380CC4-5D6E-409C-BE32-E72D297353CC}">
              <c16:uniqueId val="{00000001-ADF1-9442-8C41-7352C6C8DFA5}"/>
            </c:ext>
          </c:extLst>
        </c:ser>
        <c:ser>
          <c:idx val="2"/>
          <c:order val="2"/>
          <c:tx>
            <c:strRef>
              <c:f>Sheet1!$D$8</c:f>
              <c:strCache>
                <c:ptCount val="1"/>
                <c:pt idx="0">
                  <c:v>Staff EQ-5D index score</c:v>
                </c:pt>
              </c:strCache>
            </c:strRef>
          </c:tx>
          <c:spPr>
            <a:solidFill>
              <a:schemeClr val="accent3"/>
            </a:solidFill>
            <a:ln>
              <a:noFill/>
            </a:ln>
            <a:effectLst/>
          </c:spPr>
          <c:invertIfNegative val="0"/>
          <c:cat>
            <c:strRef>
              <c:f>Sheet1!$A$9:$A$13</c:f>
              <c:strCache>
                <c:ptCount val="5"/>
                <c:pt idx="0">
                  <c:v>CDR stage</c:v>
                </c:pt>
                <c:pt idx="1">
                  <c:v>Merged function score</c:v>
                </c:pt>
                <c:pt idx="2">
                  <c:v>Merged NPI score</c:v>
                </c:pt>
                <c:pt idx="3">
                  <c:v>MMSE total score</c:v>
                </c:pt>
                <c:pt idx="4">
                  <c:v>CSDD total score</c:v>
                </c:pt>
              </c:strCache>
            </c:strRef>
          </c:cat>
          <c:val>
            <c:numRef>
              <c:f>Sheet1!$D$9:$D$13</c:f>
              <c:numCache>
                <c:formatCode>General</c:formatCode>
                <c:ptCount val="5"/>
                <c:pt idx="0">
                  <c:v>0.11</c:v>
                </c:pt>
                <c:pt idx="1">
                  <c:v>0.25</c:v>
                </c:pt>
                <c:pt idx="2">
                  <c:v>0.2</c:v>
                </c:pt>
                <c:pt idx="3">
                  <c:v>0</c:v>
                </c:pt>
                <c:pt idx="4">
                  <c:v>0</c:v>
                </c:pt>
              </c:numCache>
            </c:numRef>
          </c:val>
          <c:extLst>
            <c:ext xmlns:c16="http://schemas.microsoft.com/office/drawing/2014/chart" uri="{C3380CC4-5D6E-409C-BE32-E72D297353CC}">
              <c16:uniqueId val="{00000002-ADF1-9442-8C41-7352C6C8DFA5}"/>
            </c:ext>
          </c:extLst>
        </c:ser>
        <c:dLbls>
          <c:showLegendKey val="0"/>
          <c:showVal val="0"/>
          <c:showCatName val="0"/>
          <c:showSerName val="0"/>
          <c:showPercent val="0"/>
          <c:showBubbleSize val="0"/>
        </c:dLbls>
        <c:gapWidth val="219"/>
        <c:overlap val="-27"/>
        <c:axId val="1975816511"/>
        <c:axId val="1970240991"/>
      </c:barChart>
      <c:catAx>
        <c:axId val="197581651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70240991"/>
        <c:crosses val="autoZero"/>
        <c:auto val="1"/>
        <c:lblAlgn val="ctr"/>
        <c:lblOffset val="100"/>
        <c:noMultiLvlLbl val="0"/>
      </c:catAx>
      <c:valAx>
        <c:axId val="1970240991"/>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75816511"/>
        <c:crosses val="autoZero"/>
        <c:crossBetween val="between"/>
        <c:majorUnit val="0.2"/>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en-GB" sz="1100"/>
              <a:t>Change in dementia severity from t0 to t2</a:t>
            </a:r>
          </a:p>
          <a:p>
            <a:pPr>
              <a:defRPr/>
            </a:pPr>
            <a:r>
              <a:rPr lang="en-GB" sz="1100"/>
              <a:t>n=738</a:t>
            </a:r>
          </a:p>
        </c:rich>
      </c:tx>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Pt>
            <c:idx val="1"/>
            <c:invertIfNegative val="0"/>
            <c:bubble3D val="0"/>
            <c:spPr>
              <a:solidFill>
                <a:schemeClr val="accent2"/>
              </a:solidFill>
              <a:ln>
                <a:noFill/>
              </a:ln>
              <a:effectLst/>
            </c:spPr>
            <c:extLst>
              <c:ext xmlns:c16="http://schemas.microsoft.com/office/drawing/2014/chart" uri="{C3380CC4-5D6E-409C-BE32-E72D297353CC}">
                <c16:uniqueId val="{00000001-F5F1-9146-B7D9-6A49F625075C}"/>
              </c:ext>
            </c:extLst>
          </c:dPt>
          <c:dPt>
            <c:idx val="2"/>
            <c:invertIfNegative val="0"/>
            <c:bubble3D val="0"/>
            <c:spPr>
              <a:solidFill>
                <a:schemeClr val="accent3"/>
              </a:solidFill>
              <a:ln>
                <a:noFill/>
              </a:ln>
              <a:effectLst/>
            </c:spPr>
            <c:extLst>
              <c:ext xmlns:c16="http://schemas.microsoft.com/office/drawing/2014/chart" uri="{C3380CC4-5D6E-409C-BE32-E72D297353CC}">
                <c16:uniqueId val="{00000003-F5F1-9146-B7D9-6A49F625075C}"/>
              </c:ext>
            </c:extLst>
          </c:dPt>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Sheet1!$A$1:$A$3</c:f>
              <c:strCache>
                <c:ptCount val="3"/>
                <c:pt idx="0">
                  <c:v>No change in dementia severity </c:v>
                </c:pt>
                <c:pt idx="1">
                  <c:v>Dementia has progressed </c:v>
                </c:pt>
                <c:pt idx="2">
                  <c:v>Dementia  has improved </c:v>
                </c:pt>
              </c:strCache>
            </c:strRef>
          </c:cat>
          <c:val>
            <c:numRef>
              <c:f>Sheet1!$B$1:$B$3</c:f>
              <c:numCache>
                <c:formatCode>General</c:formatCode>
                <c:ptCount val="3"/>
                <c:pt idx="0">
                  <c:v>59.2</c:v>
                </c:pt>
                <c:pt idx="1">
                  <c:v>33.700000000000003</c:v>
                </c:pt>
                <c:pt idx="2">
                  <c:v>7.1</c:v>
                </c:pt>
              </c:numCache>
            </c:numRef>
          </c:val>
          <c:extLst>
            <c:ext xmlns:c16="http://schemas.microsoft.com/office/drawing/2014/chart" uri="{C3380CC4-5D6E-409C-BE32-E72D297353CC}">
              <c16:uniqueId val="{00000004-F5F1-9146-B7D9-6A49F625075C}"/>
            </c:ext>
          </c:extLst>
        </c:ser>
        <c:dLbls>
          <c:dLblPos val="outEnd"/>
          <c:showLegendKey val="0"/>
          <c:showVal val="1"/>
          <c:showCatName val="0"/>
          <c:showSerName val="0"/>
          <c:showPercent val="0"/>
          <c:showBubbleSize val="0"/>
        </c:dLbls>
        <c:gapWidth val="444"/>
        <c:overlap val="-90"/>
        <c:axId val="451493040"/>
        <c:axId val="451494688"/>
      </c:barChart>
      <c:catAx>
        <c:axId val="45149304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n-US"/>
          </a:p>
        </c:txPr>
        <c:crossAx val="451494688"/>
        <c:crosses val="autoZero"/>
        <c:auto val="1"/>
        <c:lblAlgn val="ctr"/>
        <c:lblOffset val="100"/>
        <c:noMultiLvlLbl val="0"/>
      </c:catAx>
      <c:valAx>
        <c:axId val="451494688"/>
        <c:scaling>
          <c:orientation val="minMax"/>
          <c:max val="100"/>
        </c:scaling>
        <c:delete val="1"/>
        <c:axPos val="l"/>
        <c:numFmt formatCode="General" sourceLinked="1"/>
        <c:majorTickMark val="none"/>
        <c:minorTickMark val="none"/>
        <c:tickLblPos val="nextTo"/>
        <c:crossAx val="45149304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en-GB" sz="1000"/>
              <a:t>change</a:t>
            </a:r>
            <a:r>
              <a:rPr lang="en-GB" sz="1000" baseline="0"/>
              <a:t> in functional status from t0 to t2 </a:t>
            </a:r>
          </a:p>
          <a:p>
            <a:pPr>
              <a:defRPr/>
            </a:pPr>
            <a:r>
              <a:rPr lang="en-GB" sz="1000" baseline="0"/>
              <a:t>n=721</a:t>
            </a:r>
            <a:endParaRPr lang="en-GB" sz="1000"/>
          </a:p>
        </c:rich>
      </c:tx>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6.1111111111111109E-2"/>
          <c:y val="0.22875000000000001"/>
          <c:w val="0.93888888888888888"/>
          <c:h val="0.69559383202099734"/>
        </c:manualLayout>
      </c:layout>
      <c:barChart>
        <c:barDir val="col"/>
        <c:grouping val="clustered"/>
        <c:varyColors val="0"/>
        <c:ser>
          <c:idx val="0"/>
          <c:order val="0"/>
          <c:spPr>
            <a:solidFill>
              <a:schemeClr val="accent1"/>
            </a:solidFill>
            <a:ln>
              <a:noFill/>
            </a:ln>
            <a:effectLst/>
          </c:spPr>
          <c:invertIfNegative val="0"/>
          <c:dPt>
            <c:idx val="1"/>
            <c:invertIfNegative val="0"/>
            <c:bubble3D val="0"/>
            <c:spPr>
              <a:solidFill>
                <a:schemeClr val="accent2"/>
              </a:solidFill>
              <a:ln>
                <a:noFill/>
              </a:ln>
              <a:effectLst/>
            </c:spPr>
            <c:extLst>
              <c:ext xmlns:c16="http://schemas.microsoft.com/office/drawing/2014/chart" uri="{C3380CC4-5D6E-409C-BE32-E72D297353CC}">
                <c16:uniqueId val="{00000001-F15A-624D-8FC1-5FB270BEDF38}"/>
              </c:ext>
            </c:extLst>
          </c:dPt>
          <c:dPt>
            <c:idx val="2"/>
            <c:invertIfNegative val="0"/>
            <c:bubble3D val="0"/>
            <c:spPr>
              <a:solidFill>
                <a:schemeClr val="accent3"/>
              </a:solidFill>
              <a:ln>
                <a:noFill/>
              </a:ln>
              <a:effectLst/>
            </c:spPr>
            <c:extLst>
              <c:ext xmlns:c16="http://schemas.microsoft.com/office/drawing/2014/chart" uri="{C3380CC4-5D6E-409C-BE32-E72D297353CC}">
                <c16:uniqueId val="{00000003-F15A-624D-8FC1-5FB270BEDF38}"/>
              </c:ext>
            </c:extLst>
          </c:dPt>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Sheet1!$B$4:$B$6</c:f>
              <c:strCache>
                <c:ptCount val="3"/>
                <c:pt idx="0">
                  <c:v>Function: no change</c:v>
                </c:pt>
                <c:pt idx="1">
                  <c:v>Function: worsened</c:v>
                </c:pt>
                <c:pt idx="2">
                  <c:v>Function: improved</c:v>
                </c:pt>
              </c:strCache>
            </c:strRef>
          </c:cat>
          <c:val>
            <c:numRef>
              <c:f>Sheet1!$C$4:$C$6</c:f>
              <c:numCache>
                <c:formatCode>General</c:formatCode>
                <c:ptCount val="3"/>
                <c:pt idx="0">
                  <c:v>37.700000000000003</c:v>
                </c:pt>
                <c:pt idx="1">
                  <c:v>52.3</c:v>
                </c:pt>
                <c:pt idx="2">
                  <c:v>10</c:v>
                </c:pt>
              </c:numCache>
            </c:numRef>
          </c:val>
          <c:extLst>
            <c:ext xmlns:c16="http://schemas.microsoft.com/office/drawing/2014/chart" uri="{C3380CC4-5D6E-409C-BE32-E72D297353CC}">
              <c16:uniqueId val="{00000004-F15A-624D-8FC1-5FB270BEDF38}"/>
            </c:ext>
          </c:extLst>
        </c:ser>
        <c:dLbls>
          <c:dLblPos val="outEnd"/>
          <c:showLegendKey val="0"/>
          <c:showVal val="1"/>
          <c:showCatName val="0"/>
          <c:showSerName val="0"/>
          <c:showPercent val="0"/>
          <c:showBubbleSize val="0"/>
        </c:dLbls>
        <c:gapWidth val="444"/>
        <c:overlap val="-90"/>
        <c:axId val="115142383"/>
        <c:axId val="115144031"/>
      </c:barChart>
      <c:catAx>
        <c:axId val="11514238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n-US"/>
          </a:p>
        </c:txPr>
        <c:crossAx val="115144031"/>
        <c:crosses val="autoZero"/>
        <c:auto val="1"/>
        <c:lblAlgn val="ctr"/>
        <c:lblOffset val="100"/>
        <c:noMultiLvlLbl val="0"/>
      </c:catAx>
      <c:valAx>
        <c:axId val="115144031"/>
        <c:scaling>
          <c:orientation val="minMax"/>
        </c:scaling>
        <c:delete val="1"/>
        <c:axPos val="l"/>
        <c:numFmt formatCode="General" sourceLinked="1"/>
        <c:majorTickMark val="none"/>
        <c:minorTickMark val="none"/>
        <c:tickLblPos val="nextTo"/>
        <c:crossAx val="11514238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en-GB" sz="900" b="1" i="0" cap="all" baseline="0">
                <a:effectLst/>
              </a:rPr>
              <a:t>change in behaviour/mood status from t0 to t2 </a:t>
            </a:r>
          </a:p>
          <a:p>
            <a:pPr>
              <a:defRPr/>
            </a:pPr>
            <a:r>
              <a:rPr lang="en-GB" sz="900" b="1" i="0" cap="all" baseline="0">
                <a:effectLst/>
              </a:rPr>
              <a:t>n=757</a:t>
            </a:r>
          </a:p>
        </c:rich>
      </c:tx>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Pt>
            <c:idx val="1"/>
            <c:invertIfNegative val="0"/>
            <c:bubble3D val="0"/>
            <c:spPr>
              <a:solidFill>
                <a:schemeClr val="accent2"/>
              </a:solidFill>
              <a:ln>
                <a:noFill/>
              </a:ln>
              <a:effectLst/>
            </c:spPr>
            <c:extLst>
              <c:ext xmlns:c16="http://schemas.microsoft.com/office/drawing/2014/chart" uri="{C3380CC4-5D6E-409C-BE32-E72D297353CC}">
                <c16:uniqueId val="{00000001-7A85-CC4A-9079-52EB34AC619B}"/>
              </c:ext>
            </c:extLst>
          </c:dPt>
          <c:dPt>
            <c:idx val="2"/>
            <c:invertIfNegative val="0"/>
            <c:bubble3D val="0"/>
            <c:spPr>
              <a:solidFill>
                <a:schemeClr val="accent3"/>
              </a:solidFill>
              <a:ln>
                <a:noFill/>
              </a:ln>
              <a:effectLst/>
            </c:spPr>
            <c:extLst>
              <c:ext xmlns:c16="http://schemas.microsoft.com/office/drawing/2014/chart" uri="{C3380CC4-5D6E-409C-BE32-E72D297353CC}">
                <c16:uniqueId val="{00000003-7A85-CC4A-9079-52EB34AC619B}"/>
              </c:ext>
            </c:extLst>
          </c:dPt>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Sheet1!$B$4:$B$6</c:f>
              <c:strCache>
                <c:ptCount val="3"/>
                <c:pt idx="0">
                  <c:v>Behaviour/mood: no change</c:v>
                </c:pt>
                <c:pt idx="1">
                  <c:v>Behaviour/mood: worsened</c:v>
                </c:pt>
                <c:pt idx="2">
                  <c:v>Behaviour/mood: improved</c:v>
                </c:pt>
              </c:strCache>
            </c:strRef>
          </c:cat>
          <c:val>
            <c:numRef>
              <c:f>Sheet1!$C$4:$C$6</c:f>
              <c:numCache>
                <c:formatCode>General</c:formatCode>
                <c:ptCount val="3"/>
                <c:pt idx="0">
                  <c:v>9.4</c:v>
                </c:pt>
                <c:pt idx="1">
                  <c:v>45.3</c:v>
                </c:pt>
                <c:pt idx="2">
                  <c:v>45.3</c:v>
                </c:pt>
              </c:numCache>
            </c:numRef>
          </c:val>
          <c:extLst>
            <c:ext xmlns:c16="http://schemas.microsoft.com/office/drawing/2014/chart" uri="{C3380CC4-5D6E-409C-BE32-E72D297353CC}">
              <c16:uniqueId val="{00000004-7A85-CC4A-9079-52EB34AC619B}"/>
            </c:ext>
          </c:extLst>
        </c:ser>
        <c:dLbls>
          <c:dLblPos val="outEnd"/>
          <c:showLegendKey val="0"/>
          <c:showVal val="1"/>
          <c:showCatName val="0"/>
          <c:showSerName val="0"/>
          <c:showPercent val="0"/>
          <c:showBubbleSize val="0"/>
        </c:dLbls>
        <c:gapWidth val="444"/>
        <c:overlap val="-90"/>
        <c:axId val="1826457344"/>
        <c:axId val="1826458992"/>
      </c:barChart>
      <c:catAx>
        <c:axId val="182645734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n-US"/>
          </a:p>
        </c:txPr>
        <c:crossAx val="1826458992"/>
        <c:crosses val="autoZero"/>
        <c:auto val="1"/>
        <c:lblAlgn val="ctr"/>
        <c:lblOffset val="100"/>
        <c:noMultiLvlLbl val="0"/>
      </c:catAx>
      <c:valAx>
        <c:axId val="1826458992"/>
        <c:scaling>
          <c:orientation val="minMax"/>
        </c:scaling>
        <c:delete val="1"/>
        <c:axPos val="l"/>
        <c:numFmt formatCode="General" sourceLinked="1"/>
        <c:majorTickMark val="none"/>
        <c:minorTickMark val="none"/>
        <c:tickLblPos val="nextTo"/>
        <c:crossAx val="1826457344"/>
        <c:crosses val="autoZero"/>
        <c:crossBetween val="between"/>
      </c:valAx>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en-GB" sz="1000"/>
              <a:t>change in cognitive</a:t>
            </a:r>
            <a:r>
              <a:rPr lang="en-GB" sz="1000" baseline="0"/>
              <a:t> status from to to t2 </a:t>
            </a:r>
          </a:p>
          <a:p>
            <a:pPr>
              <a:defRPr/>
            </a:pPr>
            <a:r>
              <a:rPr lang="en-GB" sz="1000" baseline="0"/>
              <a:t>n=275</a:t>
            </a:r>
            <a:endParaRPr lang="en-GB" sz="1000"/>
          </a:p>
        </c:rich>
      </c:tx>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Pt>
            <c:idx val="1"/>
            <c:invertIfNegative val="0"/>
            <c:bubble3D val="0"/>
            <c:spPr>
              <a:solidFill>
                <a:schemeClr val="accent2"/>
              </a:solidFill>
              <a:ln>
                <a:noFill/>
              </a:ln>
              <a:effectLst/>
            </c:spPr>
            <c:extLst>
              <c:ext xmlns:c16="http://schemas.microsoft.com/office/drawing/2014/chart" uri="{C3380CC4-5D6E-409C-BE32-E72D297353CC}">
                <c16:uniqueId val="{00000001-D77A-D140-A514-E1CBB46D4C55}"/>
              </c:ext>
            </c:extLst>
          </c:dPt>
          <c:dPt>
            <c:idx val="2"/>
            <c:invertIfNegative val="0"/>
            <c:bubble3D val="0"/>
            <c:spPr>
              <a:solidFill>
                <a:schemeClr val="accent3"/>
              </a:solidFill>
              <a:ln>
                <a:noFill/>
              </a:ln>
              <a:effectLst/>
            </c:spPr>
            <c:extLst>
              <c:ext xmlns:c16="http://schemas.microsoft.com/office/drawing/2014/chart" uri="{C3380CC4-5D6E-409C-BE32-E72D297353CC}">
                <c16:uniqueId val="{00000003-D77A-D140-A514-E1CBB46D4C55}"/>
              </c:ext>
            </c:extLst>
          </c:dPt>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Sheet1!$A$7:$A$9</c:f>
              <c:strCache>
                <c:ptCount val="3"/>
                <c:pt idx="0">
                  <c:v>Cognition: No change</c:v>
                </c:pt>
                <c:pt idx="1">
                  <c:v>Cognition: Worsened </c:v>
                </c:pt>
                <c:pt idx="2">
                  <c:v>Cognition: Improved </c:v>
                </c:pt>
              </c:strCache>
            </c:strRef>
          </c:cat>
          <c:val>
            <c:numRef>
              <c:f>Sheet1!$B$7:$B$9</c:f>
              <c:numCache>
                <c:formatCode>General</c:formatCode>
                <c:ptCount val="3"/>
                <c:pt idx="0">
                  <c:v>12</c:v>
                </c:pt>
                <c:pt idx="1">
                  <c:v>59.6</c:v>
                </c:pt>
                <c:pt idx="2">
                  <c:v>28.4</c:v>
                </c:pt>
              </c:numCache>
            </c:numRef>
          </c:val>
          <c:extLst>
            <c:ext xmlns:c16="http://schemas.microsoft.com/office/drawing/2014/chart" uri="{C3380CC4-5D6E-409C-BE32-E72D297353CC}">
              <c16:uniqueId val="{00000004-D77A-D140-A514-E1CBB46D4C55}"/>
            </c:ext>
          </c:extLst>
        </c:ser>
        <c:dLbls>
          <c:dLblPos val="outEnd"/>
          <c:showLegendKey val="0"/>
          <c:showVal val="1"/>
          <c:showCatName val="0"/>
          <c:showSerName val="0"/>
          <c:showPercent val="0"/>
          <c:showBubbleSize val="0"/>
        </c:dLbls>
        <c:gapWidth val="444"/>
        <c:overlap val="-90"/>
        <c:axId val="1903010719"/>
        <c:axId val="1946791519"/>
      </c:barChart>
      <c:catAx>
        <c:axId val="1903010719"/>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n-US"/>
          </a:p>
        </c:txPr>
        <c:crossAx val="1946791519"/>
        <c:crosses val="autoZero"/>
        <c:auto val="1"/>
        <c:lblAlgn val="ctr"/>
        <c:lblOffset val="100"/>
        <c:noMultiLvlLbl val="0"/>
      </c:catAx>
      <c:valAx>
        <c:axId val="1946791519"/>
        <c:scaling>
          <c:orientation val="minMax"/>
        </c:scaling>
        <c:delete val="1"/>
        <c:axPos val="l"/>
        <c:numFmt formatCode="General" sourceLinked="1"/>
        <c:majorTickMark val="none"/>
        <c:minorTickMark val="none"/>
        <c:tickLblPos val="nextTo"/>
        <c:crossAx val="1903010719"/>
        <c:crosses val="autoZero"/>
        <c:crossBetween val="between"/>
      </c:valAx>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en-GB" sz="1000" b="1" i="0" cap="all" baseline="0">
                <a:effectLst/>
              </a:rPr>
              <a:t>Direction of behaviour/mood score progression by mobility dimension reporting</a:t>
            </a:r>
          </a:p>
        </c:rich>
      </c:tx>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Sheet1!$C$9</c:f>
              <c:strCache>
                <c:ptCount val="1"/>
                <c:pt idx="0">
                  <c:v>EQ-5D mob: no change</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Sheet1!$B$10:$B$18</c:f>
              <c:strCache>
                <c:ptCount val="9"/>
                <c:pt idx="0">
                  <c:v>PwD B/M same</c:v>
                </c:pt>
                <c:pt idx="1">
                  <c:v>PwD B/M worse</c:v>
                </c:pt>
                <c:pt idx="2">
                  <c:v>PwD B/M improved</c:v>
                </c:pt>
                <c:pt idx="3">
                  <c:v>PR B/M same</c:v>
                </c:pt>
                <c:pt idx="4">
                  <c:v>PR B/M worse</c:v>
                </c:pt>
                <c:pt idx="5">
                  <c:v>PR B/M improved</c:v>
                </c:pt>
                <c:pt idx="6">
                  <c:v>ST B/M same</c:v>
                </c:pt>
                <c:pt idx="7">
                  <c:v>ST B/M worse </c:v>
                </c:pt>
                <c:pt idx="8">
                  <c:v>ST B/W improved</c:v>
                </c:pt>
              </c:strCache>
            </c:strRef>
          </c:cat>
          <c:val>
            <c:numRef>
              <c:f>Sheet1!$C$10:$C$18</c:f>
              <c:numCache>
                <c:formatCode>General</c:formatCode>
                <c:ptCount val="9"/>
                <c:pt idx="0">
                  <c:v>9.6</c:v>
                </c:pt>
                <c:pt idx="1">
                  <c:v>52</c:v>
                </c:pt>
                <c:pt idx="2">
                  <c:v>38.4</c:v>
                </c:pt>
                <c:pt idx="3">
                  <c:v>9.1999999999999993</c:v>
                </c:pt>
                <c:pt idx="4">
                  <c:v>44.7</c:v>
                </c:pt>
                <c:pt idx="5">
                  <c:v>46.1</c:v>
                </c:pt>
                <c:pt idx="6">
                  <c:v>13.6</c:v>
                </c:pt>
                <c:pt idx="7">
                  <c:v>40.799999999999997</c:v>
                </c:pt>
                <c:pt idx="8">
                  <c:v>45.6</c:v>
                </c:pt>
              </c:numCache>
            </c:numRef>
          </c:val>
          <c:extLst>
            <c:ext xmlns:c16="http://schemas.microsoft.com/office/drawing/2014/chart" uri="{C3380CC4-5D6E-409C-BE32-E72D297353CC}">
              <c16:uniqueId val="{00000000-E764-1B49-800B-0BE2D4DA4F05}"/>
            </c:ext>
          </c:extLst>
        </c:ser>
        <c:ser>
          <c:idx val="1"/>
          <c:order val="1"/>
          <c:tx>
            <c:strRef>
              <c:f>Sheet1!$D$9</c:f>
              <c:strCache>
                <c:ptCount val="1"/>
                <c:pt idx="0">
                  <c:v>EQ-5D mob: worse</c:v>
                </c:pt>
              </c:strCache>
            </c:strRef>
          </c:tx>
          <c:spPr>
            <a:solidFill>
              <a:schemeClr val="accent2"/>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Sheet1!$B$10:$B$18</c:f>
              <c:strCache>
                <c:ptCount val="9"/>
                <c:pt idx="0">
                  <c:v>PwD B/M same</c:v>
                </c:pt>
                <c:pt idx="1">
                  <c:v>PwD B/M worse</c:v>
                </c:pt>
                <c:pt idx="2">
                  <c:v>PwD B/M improved</c:v>
                </c:pt>
                <c:pt idx="3">
                  <c:v>PR B/M same</c:v>
                </c:pt>
                <c:pt idx="4">
                  <c:v>PR B/M worse</c:v>
                </c:pt>
                <c:pt idx="5">
                  <c:v>PR B/M improved</c:v>
                </c:pt>
                <c:pt idx="6">
                  <c:v>ST B/M same</c:v>
                </c:pt>
                <c:pt idx="7">
                  <c:v>ST B/M worse </c:v>
                </c:pt>
                <c:pt idx="8">
                  <c:v>ST B/W improved</c:v>
                </c:pt>
              </c:strCache>
            </c:strRef>
          </c:cat>
          <c:val>
            <c:numRef>
              <c:f>Sheet1!$D$10:$D$18</c:f>
              <c:numCache>
                <c:formatCode>General</c:formatCode>
                <c:ptCount val="9"/>
                <c:pt idx="0">
                  <c:v>11</c:v>
                </c:pt>
                <c:pt idx="1">
                  <c:v>40.700000000000003</c:v>
                </c:pt>
                <c:pt idx="2">
                  <c:v>48.3</c:v>
                </c:pt>
                <c:pt idx="3">
                  <c:v>4.4000000000000004</c:v>
                </c:pt>
                <c:pt idx="4">
                  <c:v>54</c:v>
                </c:pt>
                <c:pt idx="5">
                  <c:v>41.6</c:v>
                </c:pt>
                <c:pt idx="6">
                  <c:v>6.6</c:v>
                </c:pt>
                <c:pt idx="7">
                  <c:v>44.1</c:v>
                </c:pt>
                <c:pt idx="8">
                  <c:v>49.3</c:v>
                </c:pt>
              </c:numCache>
            </c:numRef>
          </c:val>
          <c:extLst>
            <c:ext xmlns:c16="http://schemas.microsoft.com/office/drawing/2014/chart" uri="{C3380CC4-5D6E-409C-BE32-E72D297353CC}">
              <c16:uniqueId val="{00000001-E764-1B49-800B-0BE2D4DA4F05}"/>
            </c:ext>
          </c:extLst>
        </c:ser>
        <c:ser>
          <c:idx val="2"/>
          <c:order val="2"/>
          <c:tx>
            <c:strRef>
              <c:f>Sheet1!$E$9</c:f>
              <c:strCache>
                <c:ptCount val="1"/>
                <c:pt idx="0">
                  <c:v>EQ-5D mob: improved</c:v>
                </c:pt>
              </c:strCache>
            </c:strRef>
          </c:tx>
          <c:spPr>
            <a:solidFill>
              <a:schemeClr val="accent3"/>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Sheet1!$B$10:$B$18</c:f>
              <c:strCache>
                <c:ptCount val="9"/>
                <c:pt idx="0">
                  <c:v>PwD B/M same</c:v>
                </c:pt>
                <c:pt idx="1">
                  <c:v>PwD B/M worse</c:v>
                </c:pt>
                <c:pt idx="2">
                  <c:v>PwD B/M improved</c:v>
                </c:pt>
                <c:pt idx="3">
                  <c:v>PR B/M same</c:v>
                </c:pt>
                <c:pt idx="4">
                  <c:v>PR B/M worse</c:v>
                </c:pt>
                <c:pt idx="5">
                  <c:v>PR B/M improved</c:v>
                </c:pt>
                <c:pt idx="6">
                  <c:v>ST B/M same</c:v>
                </c:pt>
                <c:pt idx="7">
                  <c:v>ST B/M worse </c:v>
                </c:pt>
                <c:pt idx="8">
                  <c:v>ST B/W improved</c:v>
                </c:pt>
              </c:strCache>
            </c:strRef>
          </c:cat>
          <c:val>
            <c:numRef>
              <c:f>Sheet1!$E$10:$E$18</c:f>
              <c:numCache>
                <c:formatCode>General</c:formatCode>
                <c:ptCount val="9"/>
                <c:pt idx="0">
                  <c:v>10.3</c:v>
                </c:pt>
                <c:pt idx="1">
                  <c:v>52.6</c:v>
                </c:pt>
                <c:pt idx="2">
                  <c:v>37.1</c:v>
                </c:pt>
                <c:pt idx="3">
                  <c:v>9.5</c:v>
                </c:pt>
                <c:pt idx="4">
                  <c:v>47.6</c:v>
                </c:pt>
                <c:pt idx="5">
                  <c:v>42.9</c:v>
                </c:pt>
                <c:pt idx="6">
                  <c:v>10.7</c:v>
                </c:pt>
                <c:pt idx="7">
                  <c:v>30.4</c:v>
                </c:pt>
                <c:pt idx="8">
                  <c:v>58.9</c:v>
                </c:pt>
              </c:numCache>
            </c:numRef>
          </c:val>
          <c:extLst>
            <c:ext xmlns:c16="http://schemas.microsoft.com/office/drawing/2014/chart" uri="{C3380CC4-5D6E-409C-BE32-E72D297353CC}">
              <c16:uniqueId val="{00000002-E764-1B49-800B-0BE2D4DA4F05}"/>
            </c:ext>
          </c:extLst>
        </c:ser>
        <c:dLbls>
          <c:dLblPos val="outEnd"/>
          <c:showLegendKey val="0"/>
          <c:showVal val="1"/>
          <c:showCatName val="0"/>
          <c:showSerName val="0"/>
          <c:showPercent val="0"/>
          <c:showBubbleSize val="0"/>
        </c:dLbls>
        <c:gapWidth val="444"/>
        <c:overlap val="-90"/>
        <c:axId val="1858118448"/>
        <c:axId val="1858344560"/>
      </c:barChart>
      <c:catAx>
        <c:axId val="185811844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n-US"/>
          </a:p>
        </c:txPr>
        <c:crossAx val="1858344560"/>
        <c:crosses val="autoZero"/>
        <c:auto val="1"/>
        <c:lblAlgn val="ctr"/>
        <c:lblOffset val="100"/>
        <c:noMultiLvlLbl val="0"/>
      </c:catAx>
      <c:valAx>
        <c:axId val="1858344560"/>
        <c:scaling>
          <c:orientation val="minMax"/>
        </c:scaling>
        <c:delete val="1"/>
        <c:axPos val="l"/>
        <c:numFmt formatCode="General" sourceLinked="1"/>
        <c:majorTickMark val="none"/>
        <c:minorTickMark val="none"/>
        <c:tickLblPos val="nextTo"/>
        <c:crossAx val="185811844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en-GB" sz="1000"/>
              <a:t>direction of self-care change from t0 to t2</a:t>
            </a:r>
          </a:p>
        </c:rich>
      </c:tx>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Sheet1!$A$8</c:f>
              <c:strCache>
                <c:ptCount val="1"/>
                <c:pt idx="0">
                  <c:v>Stayed the same</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Sheet1!$B$7:$D$7</c:f>
              <c:strCache>
                <c:ptCount val="3"/>
                <c:pt idx="0">
                  <c:v>PwD, n=446</c:v>
                </c:pt>
                <c:pt idx="1">
                  <c:v>Informal proxy, n=421</c:v>
                </c:pt>
                <c:pt idx="2">
                  <c:v>Staff proxy, n=399</c:v>
                </c:pt>
              </c:strCache>
            </c:strRef>
          </c:cat>
          <c:val>
            <c:numRef>
              <c:f>Sheet1!$B$8:$D$8</c:f>
              <c:numCache>
                <c:formatCode>General</c:formatCode>
                <c:ptCount val="3"/>
                <c:pt idx="0">
                  <c:v>64.8</c:v>
                </c:pt>
                <c:pt idx="1">
                  <c:v>49.2</c:v>
                </c:pt>
                <c:pt idx="2">
                  <c:v>44.6</c:v>
                </c:pt>
              </c:numCache>
            </c:numRef>
          </c:val>
          <c:extLst>
            <c:ext xmlns:c16="http://schemas.microsoft.com/office/drawing/2014/chart" uri="{C3380CC4-5D6E-409C-BE32-E72D297353CC}">
              <c16:uniqueId val="{00000000-0F1E-8A41-AFF0-CC04CD8A3E2B}"/>
            </c:ext>
          </c:extLst>
        </c:ser>
        <c:ser>
          <c:idx val="1"/>
          <c:order val="1"/>
          <c:tx>
            <c:strRef>
              <c:f>Sheet1!$A$9</c:f>
              <c:strCache>
                <c:ptCount val="1"/>
                <c:pt idx="0">
                  <c:v>Worsened</c:v>
                </c:pt>
              </c:strCache>
            </c:strRef>
          </c:tx>
          <c:spPr>
            <a:solidFill>
              <a:schemeClr val="accent2"/>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Sheet1!$B$7:$D$7</c:f>
              <c:strCache>
                <c:ptCount val="3"/>
                <c:pt idx="0">
                  <c:v>PwD, n=446</c:v>
                </c:pt>
                <c:pt idx="1">
                  <c:v>Informal proxy, n=421</c:v>
                </c:pt>
                <c:pt idx="2">
                  <c:v>Staff proxy, n=399</c:v>
                </c:pt>
              </c:strCache>
            </c:strRef>
          </c:cat>
          <c:val>
            <c:numRef>
              <c:f>Sheet1!$B$9:$D$9</c:f>
              <c:numCache>
                <c:formatCode>General</c:formatCode>
                <c:ptCount val="3"/>
                <c:pt idx="0">
                  <c:v>49.2</c:v>
                </c:pt>
                <c:pt idx="1">
                  <c:v>43.5</c:v>
                </c:pt>
                <c:pt idx="2">
                  <c:v>39.4</c:v>
                </c:pt>
              </c:numCache>
            </c:numRef>
          </c:val>
          <c:extLst>
            <c:ext xmlns:c16="http://schemas.microsoft.com/office/drawing/2014/chart" uri="{C3380CC4-5D6E-409C-BE32-E72D297353CC}">
              <c16:uniqueId val="{00000001-0F1E-8A41-AFF0-CC04CD8A3E2B}"/>
            </c:ext>
          </c:extLst>
        </c:ser>
        <c:ser>
          <c:idx val="2"/>
          <c:order val="2"/>
          <c:tx>
            <c:strRef>
              <c:f>Sheet1!$A$10</c:f>
              <c:strCache>
                <c:ptCount val="1"/>
                <c:pt idx="0">
                  <c:v>Improved</c:v>
                </c:pt>
              </c:strCache>
            </c:strRef>
          </c:tx>
          <c:spPr>
            <a:solidFill>
              <a:schemeClr val="accent3"/>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Sheet1!$B$7:$D$7</c:f>
              <c:strCache>
                <c:ptCount val="3"/>
                <c:pt idx="0">
                  <c:v>PwD, n=446</c:v>
                </c:pt>
                <c:pt idx="1">
                  <c:v>Informal proxy, n=421</c:v>
                </c:pt>
                <c:pt idx="2">
                  <c:v>Staff proxy, n=399</c:v>
                </c:pt>
              </c:strCache>
            </c:strRef>
          </c:cat>
          <c:val>
            <c:numRef>
              <c:f>Sheet1!$B$10:$D$10</c:f>
              <c:numCache>
                <c:formatCode>General</c:formatCode>
                <c:ptCount val="3"/>
                <c:pt idx="0">
                  <c:v>44.6</c:v>
                </c:pt>
                <c:pt idx="1">
                  <c:v>7.3</c:v>
                </c:pt>
                <c:pt idx="2">
                  <c:v>16</c:v>
                </c:pt>
              </c:numCache>
            </c:numRef>
          </c:val>
          <c:extLst>
            <c:ext xmlns:c16="http://schemas.microsoft.com/office/drawing/2014/chart" uri="{C3380CC4-5D6E-409C-BE32-E72D297353CC}">
              <c16:uniqueId val="{00000002-0F1E-8A41-AFF0-CC04CD8A3E2B}"/>
            </c:ext>
          </c:extLst>
        </c:ser>
        <c:dLbls>
          <c:dLblPos val="outEnd"/>
          <c:showLegendKey val="0"/>
          <c:showVal val="1"/>
          <c:showCatName val="0"/>
          <c:showSerName val="0"/>
          <c:showPercent val="0"/>
          <c:showBubbleSize val="0"/>
        </c:dLbls>
        <c:gapWidth val="444"/>
        <c:overlap val="-90"/>
        <c:axId val="1893204848"/>
        <c:axId val="1893551296"/>
      </c:barChart>
      <c:catAx>
        <c:axId val="189320484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n-US"/>
          </a:p>
        </c:txPr>
        <c:crossAx val="1893551296"/>
        <c:crosses val="autoZero"/>
        <c:auto val="1"/>
        <c:lblAlgn val="ctr"/>
        <c:lblOffset val="100"/>
        <c:noMultiLvlLbl val="0"/>
      </c:catAx>
      <c:valAx>
        <c:axId val="1893551296"/>
        <c:scaling>
          <c:orientation val="minMax"/>
        </c:scaling>
        <c:delete val="1"/>
        <c:axPos val="l"/>
        <c:numFmt formatCode="General" sourceLinked="1"/>
        <c:majorTickMark val="none"/>
        <c:minorTickMark val="none"/>
        <c:tickLblPos val="nextTo"/>
        <c:crossAx val="189320484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en-GB" sz="1000"/>
              <a:t>direction of function score progression by self-care dimension reporting </a:t>
            </a:r>
          </a:p>
        </c:rich>
      </c:tx>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Sheet1!$C$22</c:f>
              <c:strCache>
                <c:ptCount val="1"/>
                <c:pt idx="0">
                  <c:v>EQ-5D SC: no change</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Sheet1!$B$23:$B$31</c:f>
              <c:strCache>
                <c:ptCount val="9"/>
                <c:pt idx="0">
                  <c:v>PwD function same</c:v>
                </c:pt>
                <c:pt idx="1">
                  <c:v>PwD function worse</c:v>
                </c:pt>
                <c:pt idx="2">
                  <c:v>PwD function improved</c:v>
                </c:pt>
                <c:pt idx="3">
                  <c:v>PR function same</c:v>
                </c:pt>
                <c:pt idx="4">
                  <c:v>PR function worse</c:v>
                </c:pt>
                <c:pt idx="5">
                  <c:v>PR function improved</c:v>
                </c:pt>
                <c:pt idx="6">
                  <c:v>ST function same</c:v>
                </c:pt>
                <c:pt idx="7">
                  <c:v>ST function worse </c:v>
                </c:pt>
                <c:pt idx="8">
                  <c:v>ST function improved</c:v>
                </c:pt>
              </c:strCache>
            </c:strRef>
          </c:cat>
          <c:val>
            <c:numRef>
              <c:f>Sheet1!$C$23:$C$31</c:f>
              <c:numCache>
                <c:formatCode>General</c:formatCode>
                <c:ptCount val="9"/>
                <c:pt idx="0">
                  <c:v>24.4</c:v>
                </c:pt>
                <c:pt idx="1">
                  <c:v>61.2</c:v>
                </c:pt>
                <c:pt idx="2">
                  <c:v>14.4</c:v>
                </c:pt>
                <c:pt idx="3">
                  <c:v>34.299999999999997</c:v>
                </c:pt>
                <c:pt idx="4">
                  <c:v>50.8</c:v>
                </c:pt>
                <c:pt idx="5">
                  <c:v>14.9</c:v>
                </c:pt>
                <c:pt idx="6">
                  <c:v>60.6</c:v>
                </c:pt>
                <c:pt idx="7">
                  <c:v>31.2</c:v>
                </c:pt>
                <c:pt idx="8">
                  <c:v>8.1999999999999993</c:v>
                </c:pt>
              </c:numCache>
            </c:numRef>
          </c:val>
          <c:extLst>
            <c:ext xmlns:c16="http://schemas.microsoft.com/office/drawing/2014/chart" uri="{C3380CC4-5D6E-409C-BE32-E72D297353CC}">
              <c16:uniqueId val="{00000000-0E37-FC49-AE39-122FA7FD63ED}"/>
            </c:ext>
          </c:extLst>
        </c:ser>
        <c:ser>
          <c:idx val="1"/>
          <c:order val="1"/>
          <c:tx>
            <c:strRef>
              <c:f>Sheet1!$D$22</c:f>
              <c:strCache>
                <c:ptCount val="1"/>
                <c:pt idx="0">
                  <c:v>EQ-5D SC: worse</c:v>
                </c:pt>
              </c:strCache>
            </c:strRef>
          </c:tx>
          <c:spPr>
            <a:solidFill>
              <a:schemeClr val="accent2"/>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Sheet1!$B$23:$B$31</c:f>
              <c:strCache>
                <c:ptCount val="9"/>
                <c:pt idx="0">
                  <c:v>PwD function same</c:v>
                </c:pt>
                <c:pt idx="1">
                  <c:v>PwD function worse</c:v>
                </c:pt>
                <c:pt idx="2">
                  <c:v>PwD function improved</c:v>
                </c:pt>
                <c:pt idx="3">
                  <c:v>PR function same</c:v>
                </c:pt>
                <c:pt idx="4">
                  <c:v>PR function worse</c:v>
                </c:pt>
                <c:pt idx="5">
                  <c:v>PR function improved</c:v>
                </c:pt>
                <c:pt idx="6">
                  <c:v>ST function same</c:v>
                </c:pt>
                <c:pt idx="7">
                  <c:v>ST function worse </c:v>
                </c:pt>
                <c:pt idx="8">
                  <c:v>ST function improved</c:v>
                </c:pt>
              </c:strCache>
            </c:strRef>
          </c:cat>
          <c:val>
            <c:numRef>
              <c:f>Sheet1!$D$23:$D$31</c:f>
              <c:numCache>
                <c:formatCode>General</c:formatCode>
                <c:ptCount val="9"/>
                <c:pt idx="0">
                  <c:v>28.7</c:v>
                </c:pt>
                <c:pt idx="1">
                  <c:v>63</c:v>
                </c:pt>
                <c:pt idx="2">
                  <c:v>8.3000000000000007</c:v>
                </c:pt>
                <c:pt idx="3">
                  <c:v>13.3</c:v>
                </c:pt>
                <c:pt idx="4">
                  <c:v>79.8</c:v>
                </c:pt>
                <c:pt idx="5">
                  <c:v>6.9</c:v>
                </c:pt>
                <c:pt idx="6">
                  <c:v>48.4</c:v>
                </c:pt>
                <c:pt idx="7">
                  <c:v>49.7</c:v>
                </c:pt>
                <c:pt idx="8">
                  <c:v>1.9</c:v>
                </c:pt>
              </c:numCache>
            </c:numRef>
          </c:val>
          <c:extLst>
            <c:ext xmlns:c16="http://schemas.microsoft.com/office/drawing/2014/chart" uri="{C3380CC4-5D6E-409C-BE32-E72D297353CC}">
              <c16:uniqueId val="{00000001-0E37-FC49-AE39-122FA7FD63ED}"/>
            </c:ext>
          </c:extLst>
        </c:ser>
        <c:ser>
          <c:idx val="2"/>
          <c:order val="2"/>
          <c:tx>
            <c:strRef>
              <c:f>Sheet1!$E$22</c:f>
              <c:strCache>
                <c:ptCount val="1"/>
                <c:pt idx="0">
                  <c:v>EQ-5D SC: improved</c:v>
                </c:pt>
              </c:strCache>
            </c:strRef>
          </c:tx>
          <c:spPr>
            <a:solidFill>
              <a:schemeClr val="accent3"/>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Sheet1!$B$23:$B$31</c:f>
              <c:strCache>
                <c:ptCount val="9"/>
                <c:pt idx="0">
                  <c:v>PwD function same</c:v>
                </c:pt>
                <c:pt idx="1">
                  <c:v>PwD function worse</c:v>
                </c:pt>
                <c:pt idx="2">
                  <c:v>PwD function improved</c:v>
                </c:pt>
                <c:pt idx="3">
                  <c:v>PR function same</c:v>
                </c:pt>
                <c:pt idx="4">
                  <c:v>PR function worse</c:v>
                </c:pt>
                <c:pt idx="5">
                  <c:v>PR function improved</c:v>
                </c:pt>
                <c:pt idx="6">
                  <c:v>ST function same</c:v>
                </c:pt>
                <c:pt idx="7">
                  <c:v>ST function worse </c:v>
                </c:pt>
                <c:pt idx="8">
                  <c:v>ST function improved</c:v>
                </c:pt>
              </c:strCache>
            </c:strRef>
          </c:cat>
          <c:val>
            <c:numRef>
              <c:f>Sheet1!$E$23:$E$31</c:f>
              <c:numCache>
                <c:formatCode>General</c:formatCode>
                <c:ptCount val="9"/>
                <c:pt idx="0">
                  <c:v>27.3</c:v>
                </c:pt>
                <c:pt idx="1">
                  <c:v>63.6</c:v>
                </c:pt>
                <c:pt idx="2">
                  <c:v>9.1</c:v>
                </c:pt>
                <c:pt idx="3">
                  <c:v>30</c:v>
                </c:pt>
                <c:pt idx="4">
                  <c:v>43.3</c:v>
                </c:pt>
                <c:pt idx="5">
                  <c:v>26.7</c:v>
                </c:pt>
                <c:pt idx="6">
                  <c:v>60.7</c:v>
                </c:pt>
                <c:pt idx="7">
                  <c:v>25</c:v>
                </c:pt>
                <c:pt idx="8">
                  <c:v>14.3</c:v>
                </c:pt>
              </c:numCache>
            </c:numRef>
          </c:val>
          <c:extLst>
            <c:ext xmlns:c16="http://schemas.microsoft.com/office/drawing/2014/chart" uri="{C3380CC4-5D6E-409C-BE32-E72D297353CC}">
              <c16:uniqueId val="{00000002-0E37-FC49-AE39-122FA7FD63ED}"/>
            </c:ext>
          </c:extLst>
        </c:ser>
        <c:dLbls>
          <c:dLblPos val="outEnd"/>
          <c:showLegendKey val="0"/>
          <c:showVal val="1"/>
          <c:showCatName val="0"/>
          <c:showSerName val="0"/>
          <c:showPercent val="0"/>
          <c:showBubbleSize val="0"/>
        </c:dLbls>
        <c:gapWidth val="444"/>
        <c:overlap val="-90"/>
        <c:axId val="1850014672"/>
        <c:axId val="1850667808"/>
      </c:barChart>
      <c:catAx>
        <c:axId val="185001467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n-US"/>
          </a:p>
        </c:txPr>
        <c:crossAx val="1850667808"/>
        <c:crosses val="autoZero"/>
        <c:auto val="1"/>
        <c:lblAlgn val="ctr"/>
        <c:lblOffset val="100"/>
        <c:noMultiLvlLbl val="0"/>
      </c:catAx>
      <c:valAx>
        <c:axId val="1850667808"/>
        <c:scaling>
          <c:orientation val="minMax"/>
        </c:scaling>
        <c:delete val="1"/>
        <c:axPos val="l"/>
        <c:numFmt formatCode="General" sourceLinked="1"/>
        <c:majorTickMark val="none"/>
        <c:minorTickMark val="none"/>
        <c:tickLblPos val="nextTo"/>
        <c:crossAx val="185001467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en-GB" sz="1000"/>
              <a:t>direction of behaviour/mood</a:t>
            </a:r>
            <a:r>
              <a:rPr lang="en-GB" sz="1000" baseline="0"/>
              <a:t> progression by self-care dimension reporting </a:t>
            </a:r>
            <a:endParaRPr lang="en-GB" sz="1000"/>
          </a:p>
        </c:rich>
      </c:tx>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Sheet1!$C$35</c:f>
              <c:strCache>
                <c:ptCount val="1"/>
                <c:pt idx="0">
                  <c:v>EQ-5D SC: no change</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Sheet1!$B$36:$B$44</c:f>
              <c:strCache>
                <c:ptCount val="9"/>
                <c:pt idx="0">
                  <c:v>PwD B/M same</c:v>
                </c:pt>
                <c:pt idx="1">
                  <c:v>PwD B/M worse</c:v>
                </c:pt>
                <c:pt idx="2">
                  <c:v>PwD B/M improved</c:v>
                </c:pt>
                <c:pt idx="3">
                  <c:v>PR B/M same</c:v>
                </c:pt>
                <c:pt idx="4">
                  <c:v>PR B/M worse</c:v>
                </c:pt>
                <c:pt idx="5">
                  <c:v>PR B/M improved</c:v>
                </c:pt>
                <c:pt idx="6">
                  <c:v>ST B/M same</c:v>
                </c:pt>
                <c:pt idx="7">
                  <c:v>ST B/M worse </c:v>
                </c:pt>
                <c:pt idx="8">
                  <c:v>ST B/W improved</c:v>
                </c:pt>
              </c:strCache>
            </c:strRef>
          </c:cat>
          <c:val>
            <c:numRef>
              <c:f>Sheet1!$C$36:$C$44</c:f>
              <c:numCache>
                <c:formatCode>General</c:formatCode>
                <c:ptCount val="9"/>
                <c:pt idx="0">
                  <c:v>10.1</c:v>
                </c:pt>
                <c:pt idx="1">
                  <c:v>47.2</c:v>
                </c:pt>
                <c:pt idx="2">
                  <c:v>42.7</c:v>
                </c:pt>
                <c:pt idx="3">
                  <c:v>11.6</c:v>
                </c:pt>
                <c:pt idx="4">
                  <c:v>47.3</c:v>
                </c:pt>
                <c:pt idx="5">
                  <c:v>41.1</c:v>
                </c:pt>
                <c:pt idx="6">
                  <c:v>9.6</c:v>
                </c:pt>
                <c:pt idx="7">
                  <c:v>34.799999999999997</c:v>
                </c:pt>
                <c:pt idx="8">
                  <c:v>55.6</c:v>
                </c:pt>
              </c:numCache>
            </c:numRef>
          </c:val>
          <c:extLst>
            <c:ext xmlns:c16="http://schemas.microsoft.com/office/drawing/2014/chart" uri="{C3380CC4-5D6E-409C-BE32-E72D297353CC}">
              <c16:uniqueId val="{00000000-5D8C-3342-8932-19049C53E379}"/>
            </c:ext>
          </c:extLst>
        </c:ser>
        <c:ser>
          <c:idx val="1"/>
          <c:order val="1"/>
          <c:tx>
            <c:strRef>
              <c:f>Sheet1!$D$35</c:f>
              <c:strCache>
                <c:ptCount val="1"/>
                <c:pt idx="0">
                  <c:v>EQ-5D SC: worse</c:v>
                </c:pt>
              </c:strCache>
            </c:strRef>
          </c:tx>
          <c:spPr>
            <a:solidFill>
              <a:schemeClr val="accent2"/>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Sheet1!$B$36:$B$44</c:f>
              <c:strCache>
                <c:ptCount val="9"/>
                <c:pt idx="0">
                  <c:v>PwD B/M same</c:v>
                </c:pt>
                <c:pt idx="1">
                  <c:v>PwD B/M worse</c:v>
                </c:pt>
                <c:pt idx="2">
                  <c:v>PwD B/M improved</c:v>
                </c:pt>
                <c:pt idx="3">
                  <c:v>PR B/M same</c:v>
                </c:pt>
                <c:pt idx="4">
                  <c:v>PR B/M worse</c:v>
                </c:pt>
                <c:pt idx="5">
                  <c:v>PR B/M improved</c:v>
                </c:pt>
                <c:pt idx="6">
                  <c:v>ST B/M same</c:v>
                </c:pt>
                <c:pt idx="7">
                  <c:v>ST B/M worse </c:v>
                </c:pt>
                <c:pt idx="8">
                  <c:v>ST B/W improved</c:v>
                </c:pt>
              </c:strCache>
            </c:strRef>
          </c:cat>
          <c:val>
            <c:numRef>
              <c:f>Sheet1!$D$36:$D$44</c:f>
              <c:numCache>
                <c:formatCode>General</c:formatCode>
                <c:ptCount val="9"/>
                <c:pt idx="0">
                  <c:v>9.1999999999999993</c:v>
                </c:pt>
                <c:pt idx="1">
                  <c:v>50.5</c:v>
                </c:pt>
                <c:pt idx="2">
                  <c:v>40.299999999999997</c:v>
                </c:pt>
                <c:pt idx="3">
                  <c:v>3.9</c:v>
                </c:pt>
                <c:pt idx="4">
                  <c:v>49.4</c:v>
                </c:pt>
                <c:pt idx="5">
                  <c:v>46.7</c:v>
                </c:pt>
                <c:pt idx="6">
                  <c:v>9.6</c:v>
                </c:pt>
                <c:pt idx="7">
                  <c:v>50.9</c:v>
                </c:pt>
                <c:pt idx="8">
                  <c:v>39.5</c:v>
                </c:pt>
              </c:numCache>
            </c:numRef>
          </c:val>
          <c:extLst>
            <c:ext xmlns:c16="http://schemas.microsoft.com/office/drawing/2014/chart" uri="{C3380CC4-5D6E-409C-BE32-E72D297353CC}">
              <c16:uniqueId val="{00000001-5D8C-3342-8932-19049C53E379}"/>
            </c:ext>
          </c:extLst>
        </c:ser>
        <c:ser>
          <c:idx val="2"/>
          <c:order val="2"/>
          <c:tx>
            <c:strRef>
              <c:f>Sheet1!$E$35</c:f>
              <c:strCache>
                <c:ptCount val="1"/>
                <c:pt idx="0">
                  <c:v>EQ-5D SC: improved</c:v>
                </c:pt>
              </c:strCache>
            </c:strRef>
          </c:tx>
          <c:spPr>
            <a:solidFill>
              <a:schemeClr val="accent3"/>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Sheet1!$B$36:$B$44</c:f>
              <c:strCache>
                <c:ptCount val="9"/>
                <c:pt idx="0">
                  <c:v>PwD B/M same</c:v>
                </c:pt>
                <c:pt idx="1">
                  <c:v>PwD B/M worse</c:v>
                </c:pt>
                <c:pt idx="2">
                  <c:v>PwD B/M improved</c:v>
                </c:pt>
                <c:pt idx="3">
                  <c:v>PR B/M same</c:v>
                </c:pt>
                <c:pt idx="4">
                  <c:v>PR B/M worse</c:v>
                </c:pt>
                <c:pt idx="5">
                  <c:v>PR B/M improved</c:v>
                </c:pt>
                <c:pt idx="6">
                  <c:v>ST B/M same</c:v>
                </c:pt>
                <c:pt idx="7">
                  <c:v>ST B/M worse </c:v>
                </c:pt>
                <c:pt idx="8">
                  <c:v>ST B/W improved</c:v>
                </c:pt>
              </c:strCache>
            </c:strRef>
          </c:cat>
          <c:val>
            <c:numRef>
              <c:f>Sheet1!$E$36:$E$44</c:f>
              <c:numCache>
                <c:formatCode>General</c:formatCode>
                <c:ptCount val="9"/>
                <c:pt idx="0">
                  <c:v>11.1</c:v>
                </c:pt>
                <c:pt idx="1">
                  <c:v>60</c:v>
                </c:pt>
                <c:pt idx="2">
                  <c:v>28.9</c:v>
                </c:pt>
                <c:pt idx="3">
                  <c:v>3.3</c:v>
                </c:pt>
                <c:pt idx="4">
                  <c:v>46.7</c:v>
                </c:pt>
                <c:pt idx="5">
                  <c:v>50</c:v>
                </c:pt>
                <c:pt idx="6">
                  <c:v>15.6</c:v>
                </c:pt>
                <c:pt idx="7">
                  <c:v>31.3</c:v>
                </c:pt>
                <c:pt idx="8">
                  <c:v>53.1</c:v>
                </c:pt>
              </c:numCache>
            </c:numRef>
          </c:val>
          <c:extLst>
            <c:ext xmlns:c16="http://schemas.microsoft.com/office/drawing/2014/chart" uri="{C3380CC4-5D6E-409C-BE32-E72D297353CC}">
              <c16:uniqueId val="{00000002-5D8C-3342-8932-19049C53E379}"/>
            </c:ext>
          </c:extLst>
        </c:ser>
        <c:dLbls>
          <c:dLblPos val="outEnd"/>
          <c:showLegendKey val="0"/>
          <c:showVal val="1"/>
          <c:showCatName val="0"/>
          <c:showSerName val="0"/>
          <c:showPercent val="0"/>
          <c:showBubbleSize val="0"/>
        </c:dLbls>
        <c:gapWidth val="444"/>
        <c:overlap val="-90"/>
        <c:axId val="1446754352"/>
        <c:axId val="1850288096"/>
      </c:barChart>
      <c:catAx>
        <c:axId val="144675435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n-US"/>
          </a:p>
        </c:txPr>
        <c:crossAx val="1850288096"/>
        <c:crosses val="autoZero"/>
        <c:auto val="1"/>
        <c:lblAlgn val="ctr"/>
        <c:lblOffset val="100"/>
        <c:noMultiLvlLbl val="0"/>
      </c:catAx>
      <c:valAx>
        <c:axId val="1850288096"/>
        <c:scaling>
          <c:orientation val="minMax"/>
        </c:scaling>
        <c:delete val="1"/>
        <c:axPos val="l"/>
        <c:numFmt formatCode="General" sourceLinked="1"/>
        <c:majorTickMark val="none"/>
        <c:minorTickMark val="none"/>
        <c:tickLblPos val="nextTo"/>
        <c:crossAx val="144675435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en-GB" sz="1000"/>
              <a:t>direction of cdr progression by self-care dimension reporting </a:t>
            </a:r>
          </a:p>
        </c:rich>
      </c:tx>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Sheet1!$C$47</c:f>
              <c:strCache>
                <c:ptCount val="1"/>
                <c:pt idx="0">
                  <c:v>EQ-5D SC: no change</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Sheet1!$B$48:$B$56</c:f>
              <c:strCache>
                <c:ptCount val="9"/>
                <c:pt idx="0">
                  <c:v>PwD CDR same</c:v>
                </c:pt>
                <c:pt idx="1">
                  <c:v>PwD CDR worse</c:v>
                </c:pt>
                <c:pt idx="2">
                  <c:v>PwD CDR improved</c:v>
                </c:pt>
                <c:pt idx="3">
                  <c:v>PR CDR same</c:v>
                </c:pt>
                <c:pt idx="4">
                  <c:v>PR CDR worse</c:v>
                </c:pt>
                <c:pt idx="5">
                  <c:v>PR CDR improved</c:v>
                </c:pt>
                <c:pt idx="6">
                  <c:v>ST CDR same</c:v>
                </c:pt>
                <c:pt idx="7">
                  <c:v>ST CDR worse </c:v>
                </c:pt>
                <c:pt idx="8">
                  <c:v>ST CDR improved</c:v>
                </c:pt>
              </c:strCache>
            </c:strRef>
          </c:cat>
          <c:val>
            <c:numRef>
              <c:f>Sheet1!$C$48:$C$56</c:f>
              <c:numCache>
                <c:formatCode>General</c:formatCode>
                <c:ptCount val="9"/>
                <c:pt idx="0">
                  <c:v>70.8</c:v>
                </c:pt>
                <c:pt idx="1">
                  <c:v>24.2</c:v>
                </c:pt>
                <c:pt idx="2">
                  <c:v>5</c:v>
                </c:pt>
                <c:pt idx="3">
                  <c:v>79.5</c:v>
                </c:pt>
                <c:pt idx="4">
                  <c:v>18.5</c:v>
                </c:pt>
                <c:pt idx="5">
                  <c:v>2</c:v>
                </c:pt>
                <c:pt idx="6">
                  <c:v>60.2</c:v>
                </c:pt>
                <c:pt idx="7">
                  <c:v>30.1</c:v>
                </c:pt>
                <c:pt idx="8">
                  <c:v>9.6999999999999993</c:v>
                </c:pt>
              </c:numCache>
            </c:numRef>
          </c:val>
          <c:extLst>
            <c:ext xmlns:c16="http://schemas.microsoft.com/office/drawing/2014/chart" uri="{C3380CC4-5D6E-409C-BE32-E72D297353CC}">
              <c16:uniqueId val="{00000000-CB19-9D4B-8757-030A6A40C811}"/>
            </c:ext>
          </c:extLst>
        </c:ser>
        <c:ser>
          <c:idx val="1"/>
          <c:order val="1"/>
          <c:tx>
            <c:strRef>
              <c:f>Sheet1!$D$47</c:f>
              <c:strCache>
                <c:ptCount val="1"/>
                <c:pt idx="0">
                  <c:v>EQ-5D SC: worse</c:v>
                </c:pt>
              </c:strCache>
            </c:strRef>
          </c:tx>
          <c:spPr>
            <a:solidFill>
              <a:schemeClr val="accent2"/>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Sheet1!$B$48:$B$56</c:f>
              <c:strCache>
                <c:ptCount val="9"/>
                <c:pt idx="0">
                  <c:v>PwD CDR same</c:v>
                </c:pt>
                <c:pt idx="1">
                  <c:v>PwD CDR worse</c:v>
                </c:pt>
                <c:pt idx="2">
                  <c:v>PwD CDR improved</c:v>
                </c:pt>
                <c:pt idx="3">
                  <c:v>PR CDR same</c:v>
                </c:pt>
                <c:pt idx="4">
                  <c:v>PR CDR worse</c:v>
                </c:pt>
                <c:pt idx="5">
                  <c:v>PR CDR improved</c:v>
                </c:pt>
                <c:pt idx="6">
                  <c:v>ST CDR same</c:v>
                </c:pt>
                <c:pt idx="7">
                  <c:v>ST CDR worse </c:v>
                </c:pt>
                <c:pt idx="8">
                  <c:v>ST CDR improved</c:v>
                </c:pt>
              </c:strCache>
            </c:strRef>
          </c:cat>
          <c:val>
            <c:numRef>
              <c:f>Sheet1!$D$48:$D$56</c:f>
              <c:numCache>
                <c:formatCode>General</c:formatCode>
                <c:ptCount val="9"/>
                <c:pt idx="0">
                  <c:v>50.5</c:v>
                </c:pt>
                <c:pt idx="1">
                  <c:v>43.2</c:v>
                </c:pt>
                <c:pt idx="2">
                  <c:v>6.3</c:v>
                </c:pt>
                <c:pt idx="3">
                  <c:v>54.1</c:v>
                </c:pt>
                <c:pt idx="4">
                  <c:v>43.5</c:v>
                </c:pt>
                <c:pt idx="5">
                  <c:v>2.4</c:v>
                </c:pt>
                <c:pt idx="6">
                  <c:v>39.1</c:v>
                </c:pt>
                <c:pt idx="7">
                  <c:v>53.9</c:v>
                </c:pt>
                <c:pt idx="8">
                  <c:v>7</c:v>
                </c:pt>
              </c:numCache>
            </c:numRef>
          </c:val>
          <c:extLst>
            <c:ext xmlns:c16="http://schemas.microsoft.com/office/drawing/2014/chart" uri="{C3380CC4-5D6E-409C-BE32-E72D297353CC}">
              <c16:uniqueId val="{00000001-CB19-9D4B-8757-030A6A40C811}"/>
            </c:ext>
          </c:extLst>
        </c:ser>
        <c:ser>
          <c:idx val="2"/>
          <c:order val="2"/>
          <c:tx>
            <c:strRef>
              <c:f>Sheet1!$E$47</c:f>
              <c:strCache>
                <c:ptCount val="1"/>
                <c:pt idx="0">
                  <c:v>EQ-5D SC: improved</c:v>
                </c:pt>
              </c:strCache>
            </c:strRef>
          </c:tx>
          <c:spPr>
            <a:solidFill>
              <a:schemeClr val="accent3"/>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Sheet1!$B$48:$B$56</c:f>
              <c:strCache>
                <c:ptCount val="9"/>
                <c:pt idx="0">
                  <c:v>PwD CDR same</c:v>
                </c:pt>
                <c:pt idx="1">
                  <c:v>PwD CDR worse</c:v>
                </c:pt>
                <c:pt idx="2">
                  <c:v>PwD CDR improved</c:v>
                </c:pt>
                <c:pt idx="3">
                  <c:v>PR CDR same</c:v>
                </c:pt>
                <c:pt idx="4">
                  <c:v>PR CDR worse</c:v>
                </c:pt>
                <c:pt idx="5">
                  <c:v>PR CDR improved</c:v>
                </c:pt>
                <c:pt idx="6">
                  <c:v>ST CDR same</c:v>
                </c:pt>
                <c:pt idx="7">
                  <c:v>ST CDR worse </c:v>
                </c:pt>
                <c:pt idx="8">
                  <c:v>ST CDR improved</c:v>
                </c:pt>
              </c:strCache>
            </c:strRef>
          </c:cat>
          <c:val>
            <c:numRef>
              <c:f>Sheet1!$E$48:$E$56</c:f>
              <c:numCache>
                <c:formatCode>General</c:formatCode>
                <c:ptCount val="9"/>
                <c:pt idx="0">
                  <c:v>55.5</c:v>
                </c:pt>
                <c:pt idx="1">
                  <c:v>37.799999999999997</c:v>
                </c:pt>
                <c:pt idx="2">
                  <c:v>6.7</c:v>
                </c:pt>
                <c:pt idx="3">
                  <c:v>65.5</c:v>
                </c:pt>
                <c:pt idx="4">
                  <c:v>20.7</c:v>
                </c:pt>
                <c:pt idx="5">
                  <c:v>13.8</c:v>
                </c:pt>
                <c:pt idx="6">
                  <c:v>50</c:v>
                </c:pt>
                <c:pt idx="7">
                  <c:v>20.3</c:v>
                </c:pt>
                <c:pt idx="8">
                  <c:v>29.7</c:v>
                </c:pt>
              </c:numCache>
            </c:numRef>
          </c:val>
          <c:extLst>
            <c:ext xmlns:c16="http://schemas.microsoft.com/office/drawing/2014/chart" uri="{C3380CC4-5D6E-409C-BE32-E72D297353CC}">
              <c16:uniqueId val="{00000002-CB19-9D4B-8757-030A6A40C811}"/>
            </c:ext>
          </c:extLst>
        </c:ser>
        <c:dLbls>
          <c:dLblPos val="outEnd"/>
          <c:showLegendKey val="0"/>
          <c:showVal val="1"/>
          <c:showCatName val="0"/>
          <c:showSerName val="0"/>
          <c:showPercent val="0"/>
          <c:showBubbleSize val="0"/>
        </c:dLbls>
        <c:gapWidth val="444"/>
        <c:overlap val="-90"/>
        <c:axId val="1449853344"/>
        <c:axId val="1449854992"/>
      </c:barChart>
      <c:catAx>
        <c:axId val="144985334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n-US"/>
          </a:p>
        </c:txPr>
        <c:crossAx val="1449854992"/>
        <c:crosses val="autoZero"/>
        <c:auto val="1"/>
        <c:lblAlgn val="ctr"/>
        <c:lblOffset val="100"/>
        <c:noMultiLvlLbl val="0"/>
      </c:catAx>
      <c:valAx>
        <c:axId val="1449854992"/>
        <c:scaling>
          <c:orientation val="minMax"/>
        </c:scaling>
        <c:delete val="1"/>
        <c:axPos val="l"/>
        <c:numFmt formatCode="General" sourceLinked="1"/>
        <c:majorTickMark val="none"/>
        <c:minorTickMark val="none"/>
        <c:tickLblPos val="nextTo"/>
        <c:crossAx val="144985334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en-GB" sz="1000" b="1" i="0" cap="all" baseline="0">
                <a:effectLst/>
              </a:rPr>
              <a:t>direction of usual activities change from </a:t>
            </a:r>
          </a:p>
          <a:p>
            <a:pPr>
              <a:defRPr/>
            </a:pPr>
            <a:r>
              <a:rPr lang="en-GB" sz="1000" b="1" i="0" cap="all" baseline="0">
                <a:effectLst/>
              </a:rPr>
              <a:t>t0 to t2 </a:t>
            </a:r>
          </a:p>
        </c:rich>
      </c:tx>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Sheet1!$A$14</c:f>
              <c:strCache>
                <c:ptCount val="1"/>
                <c:pt idx="0">
                  <c:v>Stayed the same</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Sheet1!$B$13:$D$13</c:f>
              <c:strCache>
                <c:ptCount val="3"/>
                <c:pt idx="0">
                  <c:v>PwD, n=436</c:v>
                </c:pt>
                <c:pt idx="1">
                  <c:v>Informal proxy, n=420</c:v>
                </c:pt>
                <c:pt idx="2">
                  <c:v>Staff proxy, n=399</c:v>
                </c:pt>
              </c:strCache>
            </c:strRef>
          </c:cat>
          <c:val>
            <c:numRef>
              <c:f>Sheet1!$B$14:$D$14</c:f>
              <c:numCache>
                <c:formatCode>General</c:formatCode>
                <c:ptCount val="3"/>
                <c:pt idx="0">
                  <c:v>53.4</c:v>
                </c:pt>
                <c:pt idx="1">
                  <c:v>40.700000000000003</c:v>
                </c:pt>
                <c:pt idx="2">
                  <c:v>48.4</c:v>
                </c:pt>
              </c:numCache>
            </c:numRef>
          </c:val>
          <c:extLst>
            <c:ext xmlns:c16="http://schemas.microsoft.com/office/drawing/2014/chart" uri="{C3380CC4-5D6E-409C-BE32-E72D297353CC}">
              <c16:uniqueId val="{00000000-94D8-2743-970D-238BB235DCC0}"/>
            </c:ext>
          </c:extLst>
        </c:ser>
        <c:ser>
          <c:idx val="1"/>
          <c:order val="1"/>
          <c:tx>
            <c:strRef>
              <c:f>Sheet1!$A$15</c:f>
              <c:strCache>
                <c:ptCount val="1"/>
                <c:pt idx="0">
                  <c:v>Worsened</c:v>
                </c:pt>
              </c:strCache>
            </c:strRef>
          </c:tx>
          <c:spPr>
            <a:solidFill>
              <a:schemeClr val="accent2"/>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Sheet1!$B$13:$D$13</c:f>
              <c:strCache>
                <c:ptCount val="3"/>
                <c:pt idx="0">
                  <c:v>PwD, n=436</c:v>
                </c:pt>
                <c:pt idx="1">
                  <c:v>Informal proxy, n=420</c:v>
                </c:pt>
                <c:pt idx="2">
                  <c:v>Staff proxy, n=399</c:v>
                </c:pt>
              </c:strCache>
            </c:strRef>
          </c:cat>
          <c:val>
            <c:numRef>
              <c:f>Sheet1!$B$15:$D$15</c:f>
              <c:numCache>
                <c:formatCode>General</c:formatCode>
                <c:ptCount val="3"/>
                <c:pt idx="0">
                  <c:v>27.1</c:v>
                </c:pt>
                <c:pt idx="1">
                  <c:v>44</c:v>
                </c:pt>
                <c:pt idx="2">
                  <c:v>34.299999999999997</c:v>
                </c:pt>
              </c:numCache>
            </c:numRef>
          </c:val>
          <c:extLst>
            <c:ext xmlns:c16="http://schemas.microsoft.com/office/drawing/2014/chart" uri="{C3380CC4-5D6E-409C-BE32-E72D297353CC}">
              <c16:uniqueId val="{00000001-94D8-2743-970D-238BB235DCC0}"/>
            </c:ext>
          </c:extLst>
        </c:ser>
        <c:ser>
          <c:idx val="2"/>
          <c:order val="2"/>
          <c:tx>
            <c:strRef>
              <c:f>Sheet1!$A$16</c:f>
              <c:strCache>
                <c:ptCount val="1"/>
                <c:pt idx="0">
                  <c:v>Improved</c:v>
                </c:pt>
              </c:strCache>
            </c:strRef>
          </c:tx>
          <c:spPr>
            <a:solidFill>
              <a:schemeClr val="accent3"/>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Sheet1!$B$13:$D$13</c:f>
              <c:strCache>
                <c:ptCount val="3"/>
                <c:pt idx="0">
                  <c:v>PwD, n=436</c:v>
                </c:pt>
                <c:pt idx="1">
                  <c:v>Informal proxy, n=420</c:v>
                </c:pt>
                <c:pt idx="2">
                  <c:v>Staff proxy, n=399</c:v>
                </c:pt>
              </c:strCache>
            </c:strRef>
          </c:cat>
          <c:val>
            <c:numRef>
              <c:f>Sheet1!$B$16:$D$16</c:f>
              <c:numCache>
                <c:formatCode>General</c:formatCode>
                <c:ptCount val="3"/>
                <c:pt idx="0">
                  <c:v>19.5</c:v>
                </c:pt>
                <c:pt idx="1">
                  <c:v>15.3</c:v>
                </c:pt>
                <c:pt idx="2">
                  <c:v>17.3</c:v>
                </c:pt>
              </c:numCache>
            </c:numRef>
          </c:val>
          <c:extLst>
            <c:ext xmlns:c16="http://schemas.microsoft.com/office/drawing/2014/chart" uri="{C3380CC4-5D6E-409C-BE32-E72D297353CC}">
              <c16:uniqueId val="{00000002-94D8-2743-970D-238BB235DCC0}"/>
            </c:ext>
          </c:extLst>
        </c:ser>
        <c:dLbls>
          <c:dLblPos val="outEnd"/>
          <c:showLegendKey val="0"/>
          <c:showVal val="1"/>
          <c:showCatName val="0"/>
          <c:showSerName val="0"/>
          <c:showPercent val="0"/>
          <c:showBubbleSize val="0"/>
        </c:dLbls>
        <c:gapWidth val="444"/>
        <c:overlap val="-90"/>
        <c:axId val="1890489888"/>
        <c:axId val="1890491536"/>
      </c:barChart>
      <c:catAx>
        <c:axId val="189048988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n-US"/>
          </a:p>
        </c:txPr>
        <c:crossAx val="1890491536"/>
        <c:crosses val="autoZero"/>
        <c:auto val="1"/>
        <c:lblAlgn val="ctr"/>
        <c:lblOffset val="100"/>
        <c:noMultiLvlLbl val="0"/>
      </c:catAx>
      <c:valAx>
        <c:axId val="1890491536"/>
        <c:scaling>
          <c:orientation val="minMax"/>
        </c:scaling>
        <c:delete val="1"/>
        <c:axPos val="l"/>
        <c:numFmt formatCode="General" sourceLinked="1"/>
        <c:majorTickMark val="none"/>
        <c:minorTickMark val="none"/>
        <c:tickLblPos val="nextTo"/>
        <c:crossAx val="189048988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en-GB" sz="1000" b="1" i="0" cap="all" baseline="0">
                <a:effectLst/>
              </a:rPr>
              <a:t>Direction of functional score progression by usual activities dimension reporting</a:t>
            </a:r>
          </a:p>
        </c:rich>
      </c:tx>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Sheet1!$C$85</c:f>
              <c:strCache>
                <c:ptCount val="1"/>
                <c:pt idx="0">
                  <c:v>EQ-5D UA: no change</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Sheet1!$B$86:$B$94</c:f>
              <c:strCache>
                <c:ptCount val="9"/>
                <c:pt idx="0">
                  <c:v>PwD function same</c:v>
                </c:pt>
                <c:pt idx="1">
                  <c:v>PwD function worse</c:v>
                </c:pt>
                <c:pt idx="2">
                  <c:v>PwD function improved</c:v>
                </c:pt>
                <c:pt idx="3">
                  <c:v>PR function same</c:v>
                </c:pt>
                <c:pt idx="4">
                  <c:v>PR function worse</c:v>
                </c:pt>
                <c:pt idx="5">
                  <c:v>PR function improved</c:v>
                </c:pt>
                <c:pt idx="6">
                  <c:v>ST function same</c:v>
                </c:pt>
                <c:pt idx="7">
                  <c:v>ST function worse </c:v>
                </c:pt>
                <c:pt idx="8">
                  <c:v>ST function improved</c:v>
                </c:pt>
              </c:strCache>
            </c:strRef>
          </c:cat>
          <c:val>
            <c:numRef>
              <c:f>Sheet1!$C$86:$C$94</c:f>
              <c:numCache>
                <c:formatCode>General</c:formatCode>
                <c:ptCount val="9"/>
                <c:pt idx="0">
                  <c:v>28</c:v>
                </c:pt>
                <c:pt idx="1">
                  <c:v>57.8</c:v>
                </c:pt>
                <c:pt idx="2">
                  <c:v>41.2</c:v>
                </c:pt>
                <c:pt idx="3">
                  <c:v>29.4</c:v>
                </c:pt>
                <c:pt idx="4">
                  <c:v>55</c:v>
                </c:pt>
                <c:pt idx="5">
                  <c:v>15.6</c:v>
                </c:pt>
                <c:pt idx="6">
                  <c:v>52.8</c:v>
                </c:pt>
                <c:pt idx="7">
                  <c:v>37.6</c:v>
                </c:pt>
                <c:pt idx="8">
                  <c:v>9.6</c:v>
                </c:pt>
              </c:numCache>
            </c:numRef>
          </c:val>
          <c:extLst>
            <c:ext xmlns:c16="http://schemas.microsoft.com/office/drawing/2014/chart" uri="{C3380CC4-5D6E-409C-BE32-E72D297353CC}">
              <c16:uniqueId val="{00000000-C420-9A41-AE37-79F84F23307D}"/>
            </c:ext>
          </c:extLst>
        </c:ser>
        <c:ser>
          <c:idx val="1"/>
          <c:order val="1"/>
          <c:tx>
            <c:strRef>
              <c:f>Sheet1!$D$85</c:f>
              <c:strCache>
                <c:ptCount val="1"/>
                <c:pt idx="0">
                  <c:v>EQ-5D UA: worse</c:v>
                </c:pt>
              </c:strCache>
            </c:strRef>
          </c:tx>
          <c:spPr>
            <a:solidFill>
              <a:schemeClr val="accent2"/>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Sheet1!$B$86:$B$94</c:f>
              <c:strCache>
                <c:ptCount val="9"/>
                <c:pt idx="0">
                  <c:v>PwD function same</c:v>
                </c:pt>
                <c:pt idx="1">
                  <c:v>PwD function worse</c:v>
                </c:pt>
                <c:pt idx="2">
                  <c:v>PwD function improved</c:v>
                </c:pt>
                <c:pt idx="3">
                  <c:v>PR function same</c:v>
                </c:pt>
                <c:pt idx="4">
                  <c:v>PR function worse</c:v>
                </c:pt>
                <c:pt idx="5">
                  <c:v>PR function improved</c:v>
                </c:pt>
                <c:pt idx="6">
                  <c:v>ST function same</c:v>
                </c:pt>
                <c:pt idx="7">
                  <c:v>ST function worse </c:v>
                </c:pt>
                <c:pt idx="8">
                  <c:v>ST function improved</c:v>
                </c:pt>
              </c:strCache>
            </c:strRef>
          </c:cat>
          <c:val>
            <c:numRef>
              <c:f>Sheet1!$D$86:$D$94</c:f>
              <c:numCache>
                <c:formatCode>General</c:formatCode>
                <c:ptCount val="9"/>
                <c:pt idx="0">
                  <c:v>27</c:v>
                </c:pt>
                <c:pt idx="1">
                  <c:v>63.1</c:v>
                </c:pt>
                <c:pt idx="2">
                  <c:v>9.9</c:v>
                </c:pt>
                <c:pt idx="3">
                  <c:v>18.600000000000001</c:v>
                </c:pt>
                <c:pt idx="4">
                  <c:v>73.5</c:v>
                </c:pt>
                <c:pt idx="5">
                  <c:v>7.9</c:v>
                </c:pt>
                <c:pt idx="6">
                  <c:v>57.8</c:v>
                </c:pt>
                <c:pt idx="7">
                  <c:v>37</c:v>
                </c:pt>
                <c:pt idx="8">
                  <c:v>5.2</c:v>
                </c:pt>
              </c:numCache>
            </c:numRef>
          </c:val>
          <c:extLst>
            <c:ext xmlns:c16="http://schemas.microsoft.com/office/drawing/2014/chart" uri="{C3380CC4-5D6E-409C-BE32-E72D297353CC}">
              <c16:uniqueId val="{00000001-C420-9A41-AE37-79F84F23307D}"/>
            </c:ext>
          </c:extLst>
        </c:ser>
        <c:ser>
          <c:idx val="2"/>
          <c:order val="2"/>
          <c:tx>
            <c:strRef>
              <c:f>Sheet1!$E$85</c:f>
              <c:strCache>
                <c:ptCount val="1"/>
                <c:pt idx="0">
                  <c:v>EQ-5D UA: improved</c:v>
                </c:pt>
              </c:strCache>
            </c:strRef>
          </c:tx>
          <c:spPr>
            <a:solidFill>
              <a:schemeClr val="accent3"/>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Sheet1!$B$86:$B$94</c:f>
              <c:strCache>
                <c:ptCount val="9"/>
                <c:pt idx="0">
                  <c:v>PwD function same</c:v>
                </c:pt>
                <c:pt idx="1">
                  <c:v>PwD function worse</c:v>
                </c:pt>
                <c:pt idx="2">
                  <c:v>PwD function improved</c:v>
                </c:pt>
                <c:pt idx="3">
                  <c:v>PR function same</c:v>
                </c:pt>
                <c:pt idx="4">
                  <c:v>PR function worse</c:v>
                </c:pt>
                <c:pt idx="5">
                  <c:v>PR function improved</c:v>
                </c:pt>
                <c:pt idx="6">
                  <c:v>ST function same</c:v>
                </c:pt>
                <c:pt idx="7">
                  <c:v>ST function worse </c:v>
                </c:pt>
                <c:pt idx="8">
                  <c:v>ST function improved</c:v>
                </c:pt>
              </c:strCache>
            </c:strRef>
          </c:cat>
          <c:val>
            <c:numRef>
              <c:f>Sheet1!$E$86:$E$94</c:f>
              <c:numCache>
                <c:formatCode>General</c:formatCode>
                <c:ptCount val="9"/>
                <c:pt idx="0">
                  <c:v>20.2</c:v>
                </c:pt>
                <c:pt idx="1">
                  <c:v>67.900000000000006</c:v>
                </c:pt>
                <c:pt idx="2">
                  <c:v>11.9</c:v>
                </c:pt>
                <c:pt idx="3">
                  <c:v>33.299999999999997</c:v>
                </c:pt>
                <c:pt idx="4">
                  <c:v>50</c:v>
                </c:pt>
                <c:pt idx="5">
                  <c:v>16.7</c:v>
                </c:pt>
                <c:pt idx="6">
                  <c:v>59.1</c:v>
                </c:pt>
                <c:pt idx="7">
                  <c:v>39.4</c:v>
                </c:pt>
                <c:pt idx="8">
                  <c:v>1.5</c:v>
                </c:pt>
              </c:numCache>
            </c:numRef>
          </c:val>
          <c:extLst>
            <c:ext xmlns:c16="http://schemas.microsoft.com/office/drawing/2014/chart" uri="{C3380CC4-5D6E-409C-BE32-E72D297353CC}">
              <c16:uniqueId val="{00000002-C420-9A41-AE37-79F84F23307D}"/>
            </c:ext>
          </c:extLst>
        </c:ser>
        <c:dLbls>
          <c:dLblPos val="outEnd"/>
          <c:showLegendKey val="0"/>
          <c:showVal val="1"/>
          <c:showCatName val="0"/>
          <c:showSerName val="0"/>
          <c:showPercent val="0"/>
          <c:showBubbleSize val="0"/>
        </c:dLbls>
        <c:gapWidth val="444"/>
        <c:overlap val="-90"/>
        <c:axId val="1507529632"/>
        <c:axId val="1507531280"/>
      </c:barChart>
      <c:catAx>
        <c:axId val="150752963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n-US"/>
          </a:p>
        </c:txPr>
        <c:crossAx val="1507531280"/>
        <c:crosses val="autoZero"/>
        <c:auto val="1"/>
        <c:lblAlgn val="ctr"/>
        <c:lblOffset val="100"/>
        <c:noMultiLvlLbl val="0"/>
      </c:catAx>
      <c:valAx>
        <c:axId val="1507531280"/>
        <c:scaling>
          <c:orientation val="minMax"/>
        </c:scaling>
        <c:delete val="1"/>
        <c:axPos val="l"/>
        <c:numFmt formatCode="General" sourceLinked="1"/>
        <c:majorTickMark val="none"/>
        <c:minorTickMark val="none"/>
        <c:tickLblPos val="nextTo"/>
        <c:crossAx val="150752963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1.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2.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3.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4.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5.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6.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7.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8.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9.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2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24.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25.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26.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drawings/drawing1.xml><?xml version="1.0" encoding="utf-8"?>
<c:userShapes xmlns:c="http://schemas.openxmlformats.org/drawingml/2006/chart">
  <cdr:relSizeAnchor xmlns:cdr="http://schemas.openxmlformats.org/drawingml/2006/chartDrawing">
    <cdr:from>
      <cdr:x>0.02991</cdr:x>
      <cdr:y>0.18305</cdr:y>
    </cdr:from>
    <cdr:to>
      <cdr:x>0.03991</cdr:x>
      <cdr:y>0.73504</cdr:y>
    </cdr:to>
    <cdr:sp macro="" textlink="">
      <cdr:nvSpPr>
        <cdr:cNvPr id="2" name="TextBox 1">
          <a:extLst xmlns:a="http://schemas.openxmlformats.org/drawingml/2006/main">
            <a:ext uri="{FF2B5EF4-FFF2-40B4-BE49-F238E27FC236}">
              <a16:creationId xmlns:a16="http://schemas.microsoft.com/office/drawing/2014/main" id="{EE1F1D43-3B5F-1715-7414-916B8F05D821}"/>
            </a:ext>
          </a:extLst>
        </cdr:cNvPr>
        <cdr:cNvSpPr txBox="1"/>
      </cdr:nvSpPr>
      <cdr:spPr>
        <a:xfrm xmlns:a="http://schemas.openxmlformats.org/drawingml/2006/main">
          <a:off x="136770" y="502138"/>
          <a:ext cx="45719" cy="1514231"/>
        </a:xfrm>
        <a:prstGeom xmlns:a="http://schemas.openxmlformats.org/drawingml/2006/main" prst="rect">
          <a:avLst/>
        </a:prstGeom>
      </cdr:spPr>
      <cdr:txBody>
        <a:bodyPr xmlns:a="http://schemas.openxmlformats.org/drawingml/2006/main" vertOverflow="clip" vert="vert270" wrap="square" rtlCol="0"/>
        <a:lstStyle xmlns:a="http://schemas.openxmlformats.org/drawingml/2006/main"/>
        <a:p xmlns:a="http://schemas.openxmlformats.org/drawingml/2006/main">
          <a:r>
            <a:rPr lang="en-GB" sz="1100"/>
            <a:t>effect size</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1901549-A04A-1C4E-B72E-DC3920CB18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.~WRD0002</Template>
  <TotalTime>8</TotalTime>
  <Pages>417</Pages>
  <Words>122270</Words>
  <Characters>696941</Characters>
  <Application>Microsoft Office Word</Application>
  <DocSecurity>0</DocSecurity>
  <Lines>5807</Lines>
  <Paragraphs>1635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817576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Hannah Hussain</dc:creator>
  <cp:keywords/>
  <dc:description/>
  <cp:lastModifiedBy>Hannah Hussain</cp:lastModifiedBy>
  <cp:revision>3</cp:revision>
  <cp:lastPrinted>2024-04-16T12:46:00Z</cp:lastPrinted>
  <dcterms:created xsi:type="dcterms:W3CDTF">2024-08-28T12:06:00Z</dcterms:created>
  <dcterms:modified xsi:type="dcterms:W3CDTF">2024-08-28T12:16:00Z</dcterms:modified>
</cp:coreProperties>
</file>